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EB1B16" w14:textId="1B9B7465" w:rsidR="00CB776F" w:rsidRPr="00577E7E" w:rsidRDefault="00AF24B6">
      <w:pPr>
        <w:rPr>
          <w:rFonts w:asciiTheme="majorHAnsi" w:eastAsiaTheme="majorEastAsia" w:hAnsiTheme="majorHAnsi" w:cstheme="majorBidi"/>
          <w:color w:val="2E74B5" w:themeColor="accent1" w:themeShade="BF"/>
          <w:sz w:val="32"/>
          <w:szCs w:val="32"/>
        </w:rPr>
      </w:pPr>
      <w:r w:rsidRPr="000D34C0">
        <w:rPr>
          <w:noProof/>
          <w:lang w:eastAsia="cs-CZ"/>
        </w:rPr>
        <w:drawing>
          <wp:anchor distT="0" distB="0" distL="114300" distR="114300" simplePos="0" relativeHeight="251663360" behindDoc="1" locked="0" layoutInCell="1" allowOverlap="1" wp14:anchorId="27262AAC" wp14:editId="6A2BBAC5">
            <wp:simplePos x="0" y="0"/>
            <wp:positionH relativeFrom="page">
              <wp:align>right</wp:align>
            </wp:positionH>
            <wp:positionV relativeFrom="paragraph">
              <wp:posOffset>-885825</wp:posOffset>
            </wp:positionV>
            <wp:extent cx="7539629" cy="10668000"/>
            <wp:effectExtent l="0" t="0" r="4445" b="0"/>
            <wp:wrapNone/>
            <wp:docPr id="2" name="Obrázek 2" descr="C:\Users\MARTIN~1\AppData\Local\Temp\SP_Zlin_2020_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1\AppData\Local\Temp\SP_Zlin_2020_TS.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39629"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76F" w:rsidRPr="00577E7E">
        <w:rPr>
          <w:noProof/>
          <w:lang w:eastAsia="cs-CZ"/>
        </w:rPr>
        <mc:AlternateContent>
          <mc:Choice Requires="wps">
            <w:drawing>
              <wp:anchor distT="45720" distB="45720" distL="114300" distR="114300" simplePos="0" relativeHeight="251661312" behindDoc="0" locked="0" layoutInCell="1" allowOverlap="1" wp14:anchorId="305DB8A7" wp14:editId="35CD015C">
                <wp:simplePos x="0" y="0"/>
                <wp:positionH relativeFrom="margin">
                  <wp:align>left</wp:align>
                </wp:positionH>
                <wp:positionV relativeFrom="paragraph">
                  <wp:posOffset>533400</wp:posOffset>
                </wp:positionV>
                <wp:extent cx="5362575" cy="1404620"/>
                <wp:effectExtent l="0" t="0" r="0" b="1905"/>
                <wp:wrapSquare wrapText="bothSides"/>
                <wp:docPr id="2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4620"/>
                        </a:xfrm>
                        <a:prstGeom prst="rect">
                          <a:avLst/>
                        </a:prstGeom>
                        <a:noFill/>
                        <a:ln w="9525">
                          <a:noFill/>
                          <a:miter lim="800000"/>
                          <a:headEnd/>
                          <a:tailEnd/>
                        </a:ln>
                      </wps:spPr>
                      <wps:txbx>
                        <w:txbxContent>
                          <w:p w14:paraId="773D9020" w14:textId="77777777" w:rsidR="00332A29" w:rsidRDefault="00332A29" w:rsidP="00CB776F"/>
                          <w:p w14:paraId="0FCF0C65" w14:textId="242C803F" w:rsidR="00332A29" w:rsidRPr="00CA2AD1" w:rsidRDefault="00332A29" w:rsidP="00CB776F">
                            <w:pPr>
                              <w:rPr>
                                <w:b/>
                                <w:color w:val="FFFFFF" w:themeColor="background1"/>
                                <w:sz w:val="52"/>
                              </w:rPr>
                            </w:pPr>
                            <w:r w:rsidRPr="00CA2AD1">
                              <w:rPr>
                                <w:b/>
                                <w:color w:val="FFFFFF" w:themeColor="background1"/>
                                <w:sz w:val="52"/>
                              </w:rPr>
                              <w:t>Strategie rozvoje statutá</w:t>
                            </w:r>
                            <w:r>
                              <w:rPr>
                                <w:b/>
                                <w:color w:val="FFFFFF" w:themeColor="background1"/>
                                <w:sz w:val="52"/>
                              </w:rPr>
                              <w:t>rního města Zlína do roku 2030 –</w:t>
                            </w:r>
                            <w:r w:rsidRPr="00CA2AD1">
                              <w:rPr>
                                <w:b/>
                                <w:color w:val="FFFFFF" w:themeColor="background1"/>
                                <w:sz w:val="52"/>
                              </w:rPr>
                              <w:t xml:space="preserve"> ZLÍN 2030</w:t>
                            </w:r>
                          </w:p>
                          <w:p w14:paraId="151B4068" w14:textId="34127852" w:rsidR="00332A29" w:rsidRDefault="00332A29" w:rsidP="00CB776F">
                            <w:pPr>
                              <w:rPr>
                                <w:b/>
                                <w:color w:val="FBD10B"/>
                                <w:sz w:val="44"/>
                              </w:rPr>
                            </w:pPr>
                            <w:r>
                              <w:rPr>
                                <w:b/>
                                <w:color w:val="FBD10B"/>
                                <w:sz w:val="44"/>
                              </w:rPr>
                              <w:t>Analytická část</w:t>
                            </w:r>
                          </w:p>
                          <w:p w14:paraId="518294B8" w14:textId="06F3360D" w:rsidR="00332A29" w:rsidRPr="00CA2AD1" w:rsidRDefault="00332A29" w:rsidP="00CB776F">
                            <w:pPr>
                              <w:rPr>
                                <w:b/>
                                <w:color w:val="FBD10B"/>
                                <w:sz w:val="44"/>
                              </w:rPr>
                            </w:pPr>
                          </w:p>
                          <w:p w14:paraId="199046DD" w14:textId="77777777" w:rsidR="00332A29" w:rsidRDefault="00332A29" w:rsidP="00CB776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05DB8A7" id="_x0000_t202" coordsize="21600,21600" o:spt="202" path="m,l,21600r21600,l21600,xe">
                <v:stroke joinstyle="miter"/>
                <v:path gradientshapeok="t" o:connecttype="rect"/>
              </v:shapetype>
              <v:shape id="Textové pole 2" o:spid="_x0000_s1026" type="#_x0000_t202" style="position:absolute;left:0;text-align:left;margin-left:0;margin-top:42pt;width:422.25pt;height:110.6pt;z-index:2516613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" filled="f" stroked="f">
                <v:textbox style="mso-fit-shape-to-text:t">
                  <w:txbxContent>
                    <w:p w14:paraId="773D9020" w14:textId="77777777" w:rsidR="00332A29" w:rsidRDefault="00332A29" w:rsidP="00CB776F"/>
                    <w:p w14:paraId="0FCF0C65" w14:textId="242C803F" w:rsidR="00332A29" w:rsidRPr="00CA2AD1" w:rsidRDefault="00332A29" w:rsidP="00CB776F">
                      <w:pPr>
                        <w:rPr>
                          <w:b/>
                          <w:color w:val="FFFFFF" w:themeColor="background1"/>
                          <w:sz w:val="52"/>
                        </w:rPr>
                      </w:pPr>
                      <w:r w:rsidRPr="00CA2AD1">
                        <w:rPr>
                          <w:b/>
                          <w:color w:val="FFFFFF" w:themeColor="background1"/>
                          <w:sz w:val="52"/>
                        </w:rPr>
                        <w:t>Strategie rozvoje statutá</w:t>
                      </w:r>
                      <w:r>
                        <w:rPr>
                          <w:b/>
                          <w:color w:val="FFFFFF" w:themeColor="background1"/>
                          <w:sz w:val="52"/>
                        </w:rPr>
                        <w:t>rního města Zlína do roku 2030 –</w:t>
                      </w:r>
                      <w:r w:rsidRPr="00CA2AD1">
                        <w:rPr>
                          <w:b/>
                          <w:color w:val="FFFFFF" w:themeColor="background1"/>
                          <w:sz w:val="52"/>
                        </w:rPr>
                        <w:t xml:space="preserve"> ZLÍN 2030</w:t>
                      </w:r>
                    </w:p>
                    <w:p w14:paraId="151B4068" w14:textId="34127852" w:rsidR="00332A29" w:rsidRDefault="00332A29" w:rsidP="00CB776F">
                      <w:pPr>
                        <w:rPr>
                          <w:b/>
                          <w:color w:val="FBD10B"/>
                          <w:sz w:val="44"/>
                        </w:rPr>
                      </w:pPr>
                      <w:r>
                        <w:rPr>
                          <w:b/>
                          <w:color w:val="FBD10B"/>
                          <w:sz w:val="44"/>
                        </w:rPr>
                        <w:t>Analytická část</w:t>
                      </w:r>
                    </w:p>
                    <w:p w14:paraId="518294B8" w14:textId="06F3360D" w:rsidR="00332A29" w:rsidRPr="00CA2AD1" w:rsidRDefault="00332A29" w:rsidP="00CB776F">
                      <w:pPr>
                        <w:rPr>
                          <w:b/>
                          <w:color w:val="FBD10B"/>
                          <w:sz w:val="44"/>
                        </w:rPr>
                      </w:pPr>
                    </w:p>
                    <w:p w14:paraId="199046DD" w14:textId="77777777" w:rsidR="00332A29" w:rsidRDefault="00332A29" w:rsidP="00CB776F"/>
                  </w:txbxContent>
                </v:textbox>
                <w10:wrap type="square" anchorx="margin"/>
              </v:shape>
            </w:pict>
          </mc:Fallback>
        </mc:AlternateContent>
      </w:r>
      <w:r w:rsidR="00CB776F" w:rsidRPr="00577E7E">
        <w:br w:type="page"/>
      </w:r>
    </w:p>
    <w:p w14:paraId="589689F0" w14:textId="77777777" w:rsidR="00827953" w:rsidRDefault="00827953" w:rsidP="00CB776F">
      <w:pPr>
        <w:rPr>
          <w:rFonts w:cs="Segoe UI"/>
          <w:b/>
          <w:szCs w:val="20"/>
        </w:rPr>
      </w:pPr>
    </w:p>
    <w:p w14:paraId="587B1E45" w14:textId="77777777" w:rsidR="00CB776F" w:rsidRPr="00577E7E" w:rsidRDefault="00CB776F" w:rsidP="00CB776F">
      <w:pPr>
        <w:rPr>
          <w:rFonts w:cs="Segoe UI"/>
          <w:b/>
          <w:szCs w:val="20"/>
        </w:rPr>
      </w:pPr>
      <w:r w:rsidRPr="00577E7E">
        <w:rPr>
          <w:rFonts w:cs="Segoe UI"/>
          <w:b/>
          <w:szCs w:val="20"/>
        </w:rPr>
        <w:t>Zpracovatel:</w:t>
      </w:r>
    </w:p>
    <w:p w14:paraId="0645109E" w14:textId="6037DC05" w:rsidR="00CB776F" w:rsidRPr="00577E7E" w:rsidRDefault="00CB776F" w:rsidP="00CB776F">
      <w:pPr>
        <w:spacing w:line="276" w:lineRule="auto"/>
        <w:rPr>
          <w:rFonts w:cs="Segoe UI"/>
          <w:b/>
          <w:sz w:val="24"/>
          <w:szCs w:val="20"/>
        </w:rPr>
      </w:pPr>
      <w:r w:rsidRPr="00577E7E">
        <w:rPr>
          <w:rFonts w:cs="Segoe UI"/>
          <w:b/>
          <w:sz w:val="24"/>
          <w:szCs w:val="20"/>
        </w:rPr>
        <w:t>PROCES – Centrum p</w:t>
      </w:r>
      <w:r w:rsidR="00B1436C">
        <w:rPr>
          <w:rFonts w:cs="Segoe UI"/>
          <w:b/>
          <w:sz w:val="24"/>
          <w:szCs w:val="20"/>
        </w:rPr>
        <w:t>ro rozvoj obcí a regionů, s.r.</w:t>
      </w:r>
      <w:r w:rsidRPr="00577E7E">
        <w:rPr>
          <w:rFonts w:cs="Segoe UI"/>
          <w:b/>
          <w:sz w:val="24"/>
          <w:szCs w:val="20"/>
        </w:rPr>
        <w:t>o.</w:t>
      </w:r>
    </w:p>
    <w:p w14:paraId="229B1ED2" w14:textId="77777777" w:rsidR="00CB776F" w:rsidRPr="00577E7E" w:rsidRDefault="00CB776F" w:rsidP="00CB776F">
      <w:pPr>
        <w:rPr>
          <w:rFonts w:cs="Segoe UI"/>
          <w:szCs w:val="20"/>
        </w:rPr>
      </w:pPr>
      <w:r w:rsidRPr="00577E7E">
        <w:rPr>
          <w:rFonts w:cs="Segoe UI"/>
          <w:szCs w:val="20"/>
        </w:rPr>
        <w:t>Moravská 758/95, 700 30 Ostrava-Hrabůvka, IČ: 28576217</w:t>
      </w:r>
    </w:p>
    <w:p w14:paraId="33FA1237" w14:textId="77777777" w:rsidR="00CB776F" w:rsidRPr="00577E7E" w:rsidRDefault="00CB776F" w:rsidP="00CB776F">
      <w:pPr>
        <w:rPr>
          <w:rFonts w:cs="Segoe UI"/>
          <w:szCs w:val="20"/>
        </w:rPr>
      </w:pPr>
      <w:r w:rsidRPr="00577E7E">
        <w:rPr>
          <w:rFonts w:cs="Segoe UI"/>
          <w:szCs w:val="20"/>
        </w:rPr>
        <w:t>tel.: +420 595 136 023, web: http://rozvoj-obce.cz, e -mail: info@rozvoj-obce.cz</w:t>
      </w:r>
    </w:p>
    <w:p w14:paraId="1B999D1A" w14:textId="7AB5F2B4" w:rsidR="00CB776F" w:rsidRPr="00577E7E" w:rsidRDefault="00A1317F" w:rsidP="00CB776F">
      <w:pPr>
        <w:spacing w:before="480"/>
        <w:rPr>
          <w:rFonts w:cs="Segoe UI"/>
          <w:b/>
          <w:szCs w:val="20"/>
        </w:rPr>
      </w:pPr>
      <w:r>
        <w:rPr>
          <w:rFonts w:cs="Segoe UI"/>
          <w:b/>
          <w:szCs w:val="20"/>
        </w:rPr>
        <w:t>Realizační tým:</w:t>
      </w:r>
    </w:p>
    <w:p w14:paraId="6F2CAF1B" w14:textId="77777777" w:rsidR="00CB776F" w:rsidRPr="00577E7E" w:rsidRDefault="00CB776F" w:rsidP="00CB776F">
      <w:pPr>
        <w:rPr>
          <w:rFonts w:cs="Segoe UI"/>
          <w:szCs w:val="20"/>
        </w:rPr>
      </w:pPr>
      <w:r w:rsidRPr="00577E7E">
        <w:rPr>
          <w:rFonts w:cs="Segoe UI"/>
          <w:szCs w:val="20"/>
        </w:rPr>
        <w:t>Doc. Ing. Lubor Hruška, Ph.D.</w:t>
      </w:r>
    </w:p>
    <w:p w14:paraId="204695A6" w14:textId="79537FF3" w:rsidR="00CB776F" w:rsidRPr="00577E7E" w:rsidRDefault="00A1317F" w:rsidP="00CB776F">
      <w:pPr>
        <w:rPr>
          <w:rFonts w:cs="Segoe UI"/>
          <w:szCs w:val="20"/>
        </w:rPr>
      </w:pPr>
      <w:r>
        <w:rPr>
          <w:rFonts w:cs="Segoe UI"/>
          <w:szCs w:val="20"/>
        </w:rPr>
        <w:t>PhDr. Andrea Hrušková</w:t>
      </w:r>
    </w:p>
    <w:p w14:paraId="4EE7B814" w14:textId="77777777" w:rsidR="00CB776F" w:rsidRPr="00577E7E" w:rsidRDefault="00CB776F" w:rsidP="00CB776F">
      <w:pPr>
        <w:rPr>
          <w:rFonts w:cs="Segoe UI"/>
          <w:szCs w:val="20"/>
        </w:rPr>
      </w:pPr>
      <w:r w:rsidRPr="00577E7E">
        <w:rPr>
          <w:rFonts w:cs="Segoe UI"/>
          <w:szCs w:val="20"/>
        </w:rPr>
        <w:t>Ing. Ivana Foldynová, Ph.D.</w:t>
      </w:r>
    </w:p>
    <w:p w14:paraId="41880A25" w14:textId="77777777" w:rsidR="007321E6" w:rsidRPr="00577E7E" w:rsidRDefault="007321E6" w:rsidP="007321E6">
      <w:pPr>
        <w:rPr>
          <w:rFonts w:cs="Segoe UI"/>
          <w:szCs w:val="20"/>
        </w:rPr>
      </w:pPr>
      <w:r w:rsidRPr="00577E7E">
        <w:rPr>
          <w:rFonts w:cs="Segoe UI"/>
          <w:szCs w:val="20"/>
        </w:rPr>
        <w:t>Mgr. Martina Melárová</w:t>
      </w:r>
    </w:p>
    <w:p w14:paraId="76A9FABC" w14:textId="77777777" w:rsidR="007321E6" w:rsidRDefault="007321E6" w:rsidP="007321E6">
      <w:pPr>
        <w:rPr>
          <w:rFonts w:cs="Segoe UI"/>
          <w:szCs w:val="20"/>
        </w:rPr>
      </w:pPr>
      <w:r>
        <w:rPr>
          <w:rFonts w:cs="Segoe UI"/>
          <w:szCs w:val="20"/>
        </w:rPr>
        <w:t>Mgr. Štěpán Strnadel</w:t>
      </w:r>
    </w:p>
    <w:p w14:paraId="5CE8AF0C" w14:textId="77777777" w:rsidR="00F64217" w:rsidRPr="00577E7E" w:rsidRDefault="00F64217" w:rsidP="00F64217">
      <w:pPr>
        <w:rPr>
          <w:rFonts w:cs="Segoe UI"/>
          <w:szCs w:val="20"/>
        </w:rPr>
      </w:pPr>
      <w:r>
        <w:rPr>
          <w:rFonts w:cs="Segoe UI"/>
          <w:szCs w:val="20"/>
        </w:rPr>
        <w:t>Ing. David Kubáň</w:t>
      </w:r>
    </w:p>
    <w:p w14:paraId="31C47F53" w14:textId="77777777" w:rsidR="007321E6" w:rsidRDefault="007321E6" w:rsidP="007321E6">
      <w:pPr>
        <w:rPr>
          <w:rFonts w:cs="Segoe UI"/>
          <w:szCs w:val="20"/>
        </w:rPr>
      </w:pPr>
      <w:r>
        <w:rPr>
          <w:rFonts w:cs="Segoe UI"/>
          <w:szCs w:val="20"/>
        </w:rPr>
        <w:t>Bc. Linda Vyvialová</w:t>
      </w:r>
    </w:p>
    <w:p w14:paraId="5A556C51" w14:textId="77777777" w:rsidR="007321E6" w:rsidRDefault="007321E6" w:rsidP="007321E6">
      <w:pPr>
        <w:rPr>
          <w:rFonts w:cs="Segoe UI"/>
          <w:szCs w:val="20"/>
        </w:rPr>
      </w:pPr>
      <w:r>
        <w:rPr>
          <w:rFonts w:cs="Segoe UI"/>
          <w:szCs w:val="20"/>
        </w:rPr>
        <w:t>Mgr. Petra Koprajdová</w:t>
      </w:r>
    </w:p>
    <w:p w14:paraId="5E0E446A" w14:textId="67BB18CD" w:rsidR="006F13F9" w:rsidRDefault="006F13F9" w:rsidP="007321E6">
      <w:pPr>
        <w:rPr>
          <w:rFonts w:cs="Segoe UI"/>
          <w:szCs w:val="20"/>
        </w:rPr>
      </w:pPr>
      <w:r>
        <w:rPr>
          <w:rFonts w:cs="Segoe UI"/>
          <w:szCs w:val="20"/>
        </w:rPr>
        <w:t>Ing. Petr Proske</w:t>
      </w:r>
    </w:p>
    <w:p w14:paraId="178B5919" w14:textId="77777777" w:rsidR="00CB776F" w:rsidRPr="00577E7E" w:rsidRDefault="00CB776F" w:rsidP="00CB776F">
      <w:pPr>
        <w:rPr>
          <w:rFonts w:cs="Segoe UI"/>
          <w:szCs w:val="20"/>
        </w:rPr>
      </w:pPr>
      <w:r w:rsidRPr="00577E7E">
        <w:rPr>
          <w:rFonts w:cs="Segoe UI"/>
          <w:szCs w:val="20"/>
        </w:rPr>
        <w:t>a další</w:t>
      </w:r>
    </w:p>
    <w:p w14:paraId="57E5CC6D" w14:textId="77777777" w:rsidR="00CB776F" w:rsidRPr="00577E7E" w:rsidRDefault="00CB776F" w:rsidP="00CB776F">
      <w:pPr>
        <w:spacing w:line="276" w:lineRule="auto"/>
      </w:pPr>
    </w:p>
    <w:p w14:paraId="1473679E" w14:textId="77777777" w:rsidR="004B0424" w:rsidRPr="004B0424" w:rsidRDefault="004B0424" w:rsidP="004B0424">
      <w:pPr>
        <w:rPr>
          <w:rFonts w:cs="Segoe UI"/>
          <w:b/>
          <w:szCs w:val="20"/>
        </w:rPr>
      </w:pPr>
      <w:r w:rsidRPr="004B0424">
        <w:rPr>
          <w:rFonts w:cs="Segoe UI"/>
          <w:b/>
          <w:szCs w:val="20"/>
        </w:rPr>
        <w:t>Zadavatel:</w:t>
      </w:r>
    </w:p>
    <w:p w14:paraId="2A5ACD26" w14:textId="77777777" w:rsidR="004B0424" w:rsidRPr="004B0424" w:rsidRDefault="004B0424" w:rsidP="004B0424">
      <w:pPr>
        <w:rPr>
          <w:rFonts w:cs="Segoe UI"/>
          <w:b/>
          <w:szCs w:val="20"/>
        </w:rPr>
      </w:pPr>
      <w:r w:rsidRPr="004B0424">
        <w:rPr>
          <w:rFonts w:cs="Segoe UI"/>
          <w:b/>
          <w:szCs w:val="20"/>
        </w:rPr>
        <w:t>Statutární město Zlín</w:t>
      </w:r>
    </w:p>
    <w:p w14:paraId="787CFFD8" w14:textId="77777777" w:rsidR="004B0424" w:rsidRPr="004B0424" w:rsidRDefault="004B0424" w:rsidP="004B0424">
      <w:pPr>
        <w:rPr>
          <w:rFonts w:cs="Segoe UI"/>
          <w:szCs w:val="20"/>
        </w:rPr>
      </w:pPr>
      <w:r w:rsidRPr="004B0424">
        <w:rPr>
          <w:rFonts w:cs="Segoe UI"/>
          <w:szCs w:val="20"/>
        </w:rPr>
        <w:t>náměstí Míru 12, 760 01 Zlín, IČ: 00283924</w:t>
      </w:r>
    </w:p>
    <w:p w14:paraId="6E7007E3" w14:textId="63A29C0B" w:rsidR="004B0424" w:rsidRPr="004B0424" w:rsidRDefault="004B0424" w:rsidP="004B0424">
      <w:pPr>
        <w:rPr>
          <w:rFonts w:cs="Segoe UI"/>
          <w:szCs w:val="20"/>
        </w:rPr>
      </w:pPr>
      <w:r w:rsidRPr="004B0424">
        <w:rPr>
          <w:rFonts w:cs="Segoe UI"/>
          <w:szCs w:val="20"/>
        </w:rPr>
        <w:t>tel: +420 577 630 111, web: https://www.zlin.eu/, e-mail: posta@zlin.eu</w:t>
      </w:r>
    </w:p>
    <w:p w14:paraId="25E06237" w14:textId="77777777" w:rsidR="00577E7E" w:rsidRDefault="00577E7E" w:rsidP="00CB776F">
      <w:pPr>
        <w:rPr>
          <w:rFonts w:cs="Segoe UI"/>
          <w:b/>
          <w:szCs w:val="20"/>
        </w:rPr>
      </w:pPr>
    </w:p>
    <w:p w14:paraId="6070747E" w14:textId="77777777" w:rsidR="004B0424" w:rsidRDefault="004B0424" w:rsidP="00CB776F">
      <w:pPr>
        <w:rPr>
          <w:rFonts w:cs="Segoe UI"/>
          <w:b/>
          <w:szCs w:val="20"/>
        </w:rPr>
      </w:pPr>
    </w:p>
    <w:p w14:paraId="6A8EAADD" w14:textId="439EB70F" w:rsidR="000B2566" w:rsidRDefault="000B2566" w:rsidP="000B2566">
      <w:r>
        <w:t>Zp</w:t>
      </w:r>
      <w:r w:rsidR="00AF371C">
        <w:t>racováno v úzké součinnosti se s</w:t>
      </w:r>
      <w:r>
        <w:t>tatutárním městem Zlín</w:t>
      </w:r>
      <w:r w:rsidR="00AF371C">
        <w:t>em</w:t>
      </w:r>
      <w:r w:rsidRPr="0046428A">
        <w:t>.</w:t>
      </w:r>
    </w:p>
    <w:p w14:paraId="7E3DBE51" w14:textId="77777777" w:rsidR="000B2566" w:rsidRDefault="000B2566" w:rsidP="000B2566"/>
    <w:p w14:paraId="21BB280F" w14:textId="77777777" w:rsidR="000B2566" w:rsidRDefault="000B2566" w:rsidP="000B2566"/>
    <w:p w14:paraId="27E22953" w14:textId="7C6F241B" w:rsidR="000B2566" w:rsidRPr="00D11DE4" w:rsidRDefault="00BA092F" w:rsidP="008D07C3">
      <w:pPr>
        <w:shd w:val="clear" w:color="auto" w:fill="00538E"/>
        <w:jc w:val="center"/>
        <w:rPr>
          <w:rFonts w:cs="Segoe UI"/>
          <w:b/>
          <w:i/>
          <w:color w:val="FBD10B"/>
          <w:szCs w:val="20"/>
        </w:rPr>
      </w:pPr>
      <w:r>
        <w:rPr>
          <w:rFonts w:cs="Segoe UI"/>
          <w:b/>
          <w:color w:val="FBD10B"/>
          <w:sz w:val="28"/>
          <w:szCs w:val="20"/>
        </w:rPr>
        <w:t>Stav</w:t>
      </w:r>
      <w:r w:rsidR="00F737D8">
        <w:rPr>
          <w:rFonts w:cs="Segoe UI"/>
          <w:b/>
          <w:color w:val="FBD10B"/>
          <w:sz w:val="28"/>
          <w:szCs w:val="20"/>
        </w:rPr>
        <w:t xml:space="preserve"> ke dni 30. 10.</w:t>
      </w:r>
      <w:r w:rsidR="000D56A8">
        <w:rPr>
          <w:rFonts w:cs="Segoe UI"/>
          <w:b/>
          <w:color w:val="FBD10B"/>
          <w:sz w:val="28"/>
          <w:szCs w:val="20"/>
        </w:rPr>
        <w:t xml:space="preserve"> </w:t>
      </w:r>
      <w:r w:rsidR="00F737D8">
        <w:rPr>
          <w:rFonts w:cs="Segoe UI"/>
          <w:b/>
          <w:color w:val="FBD10B"/>
          <w:sz w:val="28"/>
          <w:szCs w:val="20"/>
        </w:rPr>
        <w:t>2</w:t>
      </w:r>
      <w:r w:rsidR="004B0424">
        <w:rPr>
          <w:rFonts w:cs="Segoe UI"/>
          <w:b/>
          <w:color w:val="FBD10B"/>
          <w:sz w:val="28"/>
          <w:szCs w:val="20"/>
        </w:rPr>
        <w:t>020</w:t>
      </w:r>
    </w:p>
    <w:p w14:paraId="2A581345" w14:textId="77777777" w:rsidR="000B2566" w:rsidRDefault="000B2566" w:rsidP="000B2566">
      <w:pPr>
        <w:spacing w:after="200" w:line="276" w:lineRule="auto"/>
        <w:rPr>
          <w:rFonts w:cs="Segoe UI"/>
          <w:szCs w:val="20"/>
        </w:rPr>
      </w:pPr>
      <w:r>
        <w:rPr>
          <w:rFonts w:cs="Segoe UI"/>
          <w:szCs w:val="20"/>
        </w:rPr>
        <w:br w:type="page"/>
      </w:r>
    </w:p>
    <w:p w14:paraId="0FE807CD" w14:textId="77777777" w:rsidR="000B2566" w:rsidRPr="002563AD" w:rsidRDefault="000B2566" w:rsidP="000B2566">
      <w:pPr>
        <w:tabs>
          <w:tab w:val="left" w:pos="1366"/>
        </w:tabs>
        <w:rPr>
          <w:rFonts w:cs="Segoe UI"/>
          <w:szCs w:val="20"/>
        </w:rPr>
        <w:sectPr w:rsidR="000B2566" w:rsidRPr="002563AD" w:rsidSect="006E1FCB">
          <w:footerReference w:type="default" r:id="rId9"/>
          <w:pgSz w:w="11906" w:h="16838"/>
          <w:pgMar w:top="1417" w:right="1417" w:bottom="1417" w:left="1417" w:header="708" w:footer="708" w:gutter="0"/>
          <w:cols w:space="708"/>
          <w:docGrid w:linePitch="360"/>
        </w:sectPr>
      </w:pPr>
    </w:p>
    <w:sdt>
      <w:sdtPr>
        <w:rPr>
          <w:rFonts w:eastAsiaTheme="minorHAnsi" w:cstheme="minorBidi"/>
          <w:b w:val="0"/>
          <w:color w:val="auto"/>
          <w:sz w:val="22"/>
          <w:szCs w:val="22"/>
          <w:lang w:eastAsia="en-US"/>
        </w:rPr>
        <w:id w:val="1357539873"/>
        <w:docPartObj>
          <w:docPartGallery w:val="Table of Contents"/>
          <w:docPartUnique/>
        </w:docPartObj>
      </w:sdtPr>
      <w:sdtEndPr>
        <w:rPr>
          <w:bCs/>
        </w:rPr>
      </w:sdtEndPr>
      <w:sdtContent>
        <w:p w14:paraId="4FCBB54F" w14:textId="77777777" w:rsidR="00CB776F" w:rsidRPr="00577E7E" w:rsidRDefault="00CB776F">
          <w:pPr>
            <w:pStyle w:val="Nadpisobsahu"/>
          </w:pPr>
          <w:r w:rsidRPr="00577E7E">
            <w:t>Obsah</w:t>
          </w:r>
        </w:p>
        <w:p w14:paraId="648C01AD" w14:textId="77777777" w:rsidR="00332A29" w:rsidRDefault="00CB776F">
          <w:pPr>
            <w:pStyle w:val="Obsah1"/>
            <w:rPr>
              <w:rFonts w:eastAsiaTheme="minorEastAsia"/>
              <w:noProof/>
              <w:lang w:eastAsia="cs-CZ"/>
            </w:rPr>
          </w:pPr>
          <w:r w:rsidRPr="00577E7E">
            <w:rPr>
              <w:b/>
              <w:bCs/>
            </w:rPr>
            <w:fldChar w:fldCharType="begin"/>
          </w:r>
          <w:r w:rsidRPr="00577E7E">
            <w:rPr>
              <w:b/>
              <w:bCs/>
            </w:rPr>
            <w:instrText xml:space="preserve"> TOC \o "1-3" \h \z \u </w:instrText>
          </w:r>
          <w:r w:rsidRPr="00577E7E">
            <w:rPr>
              <w:b/>
              <w:bCs/>
            </w:rPr>
            <w:fldChar w:fldCharType="separate"/>
          </w:r>
          <w:hyperlink w:anchor="_Toc77074569" w:history="1">
            <w:r w:rsidR="00332A29" w:rsidRPr="00617EE2">
              <w:rPr>
                <w:rStyle w:val="Hypertextovodkaz"/>
                <w:noProof/>
              </w:rPr>
              <w:t>Seznam zkratek</w:t>
            </w:r>
            <w:r w:rsidR="00332A29">
              <w:rPr>
                <w:noProof/>
                <w:webHidden/>
              </w:rPr>
              <w:tab/>
            </w:r>
            <w:r w:rsidR="00332A29">
              <w:rPr>
                <w:noProof/>
                <w:webHidden/>
              </w:rPr>
              <w:fldChar w:fldCharType="begin"/>
            </w:r>
            <w:r w:rsidR="00332A29">
              <w:rPr>
                <w:noProof/>
                <w:webHidden/>
              </w:rPr>
              <w:instrText xml:space="preserve"> PAGEREF _Toc77074569 \h </w:instrText>
            </w:r>
            <w:r w:rsidR="00332A29">
              <w:rPr>
                <w:noProof/>
                <w:webHidden/>
              </w:rPr>
            </w:r>
            <w:r w:rsidR="00332A29">
              <w:rPr>
                <w:noProof/>
                <w:webHidden/>
              </w:rPr>
              <w:fldChar w:fldCharType="separate"/>
            </w:r>
            <w:r w:rsidR="00332A29">
              <w:rPr>
                <w:noProof/>
                <w:webHidden/>
              </w:rPr>
              <w:t>7</w:t>
            </w:r>
            <w:r w:rsidR="00332A29">
              <w:rPr>
                <w:noProof/>
                <w:webHidden/>
              </w:rPr>
              <w:fldChar w:fldCharType="end"/>
            </w:r>
          </w:hyperlink>
        </w:p>
        <w:p w14:paraId="6A293BA9" w14:textId="77777777" w:rsidR="00332A29" w:rsidRDefault="00183F7E">
          <w:pPr>
            <w:pStyle w:val="Obsah1"/>
            <w:tabs>
              <w:tab w:val="left" w:pos="440"/>
            </w:tabs>
            <w:rPr>
              <w:rFonts w:eastAsiaTheme="minorEastAsia"/>
              <w:noProof/>
              <w:lang w:eastAsia="cs-CZ"/>
            </w:rPr>
          </w:pPr>
          <w:hyperlink w:anchor="_Toc77074570" w:history="1">
            <w:r w:rsidR="00332A29" w:rsidRPr="00617EE2">
              <w:rPr>
                <w:rStyle w:val="Hypertextovodkaz"/>
                <w:noProof/>
              </w:rPr>
              <w:t>1</w:t>
            </w:r>
            <w:r w:rsidR="00332A29">
              <w:rPr>
                <w:rFonts w:eastAsiaTheme="minorEastAsia"/>
                <w:noProof/>
                <w:lang w:eastAsia="cs-CZ"/>
              </w:rPr>
              <w:tab/>
            </w:r>
            <w:r w:rsidR="00332A29" w:rsidRPr="00617EE2">
              <w:rPr>
                <w:rStyle w:val="Hypertextovodkaz"/>
                <w:noProof/>
              </w:rPr>
              <w:t>Analýza vnitřního prostředí</w:t>
            </w:r>
            <w:r w:rsidR="00332A29">
              <w:rPr>
                <w:noProof/>
                <w:webHidden/>
              </w:rPr>
              <w:tab/>
            </w:r>
            <w:r w:rsidR="00332A29">
              <w:rPr>
                <w:noProof/>
                <w:webHidden/>
              </w:rPr>
              <w:fldChar w:fldCharType="begin"/>
            </w:r>
            <w:r w:rsidR="00332A29">
              <w:rPr>
                <w:noProof/>
                <w:webHidden/>
              </w:rPr>
              <w:instrText xml:space="preserve"> PAGEREF _Toc77074570 \h </w:instrText>
            </w:r>
            <w:r w:rsidR="00332A29">
              <w:rPr>
                <w:noProof/>
                <w:webHidden/>
              </w:rPr>
            </w:r>
            <w:r w:rsidR="00332A29">
              <w:rPr>
                <w:noProof/>
                <w:webHidden/>
              </w:rPr>
              <w:fldChar w:fldCharType="separate"/>
            </w:r>
            <w:r w:rsidR="00332A29">
              <w:rPr>
                <w:noProof/>
                <w:webHidden/>
              </w:rPr>
              <w:t>10</w:t>
            </w:r>
            <w:r w:rsidR="00332A29">
              <w:rPr>
                <w:noProof/>
                <w:webHidden/>
              </w:rPr>
              <w:fldChar w:fldCharType="end"/>
            </w:r>
          </w:hyperlink>
        </w:p>
        <w:p w14:paraId="4AE2BF3A" w14:textId="77777777" w:rsidR="00332A29" w:rsidRDefault="00183F7E">
          <w:pPr>
            <w:pStyle w:val="Obsah2"/>
            <w:tabs>
              <w:tab w:val="left" w:pos="880"/>
              <w:tab w:val="right" w:leader="dot" w:pos="9062"/>
            </w:tabs>
            <w:rPr>
              <w:rFonts w:eastAsiaTheme="minorEastAsia"/>
              <w:noProof/>
              <w:lang w:eastAsia="cs-CZ"/>
            </w:rPr>
          </w:pPr>
          <w:hyperlink w:anchor="_Toc77074571" w:history="1">
            <w:r w:rsidR="00332A29" w:rsidRPr="00617EE2">
              <w:rPr>
                <w:rStyle w:val="Hypertextovodkaz"/>
                <w:noProof/>
              </w:rPr>
              <w:t>1.1</w:t>
            </w:r>
            <w:r w:rsidR="00332A29">
              <w:rPr>
                <w:rFonts w:eastAsiaTheme="minorEastAsia"/>
                <w:noProof/>
                <w:lang w:eastAsia="cs-CZ"/>
              </w:rPr>
              <w:tab/>
            </w:r>
            <w:r w:rsidR="00332A29" w:rsidRPr="00617EE2">
              <w:rPr>
                <w:rStyle w:val="Hypertextovodkaz"/>
                <w:noProof/>
              </w:rPr>
              <w:t>Město s příhodnými podmínkami pro budoucnost</w:t>
            </w:r>
            <w:r w:rsidR="00332A29">
              <w:rPr>
                <w:noProof/>
                <w:webHidden/>
              </w:rPr>
              <w:tab/>
            </w:r>
            <w:r w:rsidR="00332A29">
              <w:rPr>
                <w:noProof/>
                <w:webHidden/>
              </w:rPr>
              <w:fldChar w:fldCharType="begin"/>
            </w:r>
            <w:r w:rsidR="00332A29">
              <w:rPr>
                <w:noProof/>
                <w:webHidden/>
              </w:rPr>
              <w:instrText xml:space="preserve"> PAGEREF _Toc77074571 \h </w:instrText>
            </w:r>
            <w:r w:rsidR="00332A29">
              <w:rPr>
                <w:noProof/>
                <w:webHidden/>
              </w:rPr>
            </w:r>
            <w:r w:rsidR="00332A29">
              <w:rPr>
                <w:noProof/>
                <w:webHidden/>
              </w:rPr>
              <w:fldChar w:fldCharType="separate"/>
            </w:r>
            <w:r w:rsidR="00332A29">
              <w:rPr>
                <w:noProof/>
                <w:webHidden/>
              </w:rPr>
              <w:t>11</w:t>
            </w:r>
            <w:r w:rsidR="00332A29">
              <w:rPr>
                <w:noProof/>
                <w:webHidden/>
              </w:rPr>
              <w:fldChar w:fldCharType="end"/>
            </w:r>
          </w:hyperlink>
        </w:p>
        <w:p w14:paraId="77CEDF12" w14:textId="77777777" w:rsidR="00332A29" w:rsidRDefault="00183F7E">
          <w:pPr>
            <w:pStyle w:val="Obsah3"/>
            <w:tabs>
              <w:tab w:val="left" w:pos="1320"/>
              <w:tab w:val="right" w:leader="dot" w:pos="9062"/>
            </w:tabs>
            <w:rPr>
              <w:rFonts w:eastAsiaTheme="minorEastAsia"/>
              <w:noProof/>
              <w:lang w:eastAsia="cs-CZ"/>
            </w:rPr>
          </w:pPr>
          <w:hyperlink w:anchor="_Toc77074572" w:history="1">
            <w:r w:rsidR="00332A29" w:rsidRPr="00617EE2">
              <w:rPr>
                <w:rStyle w:val="Hypertextovodkaz"/>
                <w:noProof/>
              </w:rPr>
              <w:t>1.1.1</w:t>
            </w:r>
            <w:r w:rsidR="00332A29">
              <w:rPr>
                <w:rFonts w:eastAsiaTheme="minorEastAsia"/>
                <w:noProof/>
                <w:lang w:eastAsia="cs-CZ"/>
              </w:rPr>
              <w:tab/>
            </w:r>
            <w:r w:rsidR="00332A29" w:rsidRPr="00617EE2">
              <w:rPr>
                <w:rStyle w:val="Hypertextovodkaz"/>
                <w:noProof/>
              </w:rPr>
              <w:t>Poloha a geografické vymezení</w:t>
            </w:r>
            <w:r w:rsidR="00332A29">
              <w:rPr>
                <w:noProof/>
                <w:webHidden/>
              </w:rPr>
              <w:tab/>
            </w:r>
            <w:r w:rsidR="00332A29">
              <w:rPr>
                <w:noProof/>
                <w:webHidden/>
              </w:rPr>
              <w:fldChar w:fldCharType="begin"/>
            </w:r>
            <w:r w:rsidR="00332A29">
              <w:rPr>
                <w:noProof/>
                <w:webHidden/>
              </w:rPr>
              <w:instrText xml:space="preserve"> PAGEREF _Toc77074572 \h </w:instrText>
            </w:r>
            <w:r w:rsidR="00332A29">
              <w:rPr>
                <w:noProof/>
                <w:webHidden/>
              </w:rPr>
            </w:r>
            <w:r w:rsidR="00332A29">
              <w:rPr>
                <w:noProof/>
                <w:webHidden/>
              </w:rPr>
              <w:fldChar w:fldCharType="separate"/>
            </w:r>
            <w:r w:rsidR="00332A29">
              <w:rPr>
                <w:noProof/>
                <w:webHidden/>
              </w:rPr>
              <w:t>11</w:t>
            </w:r>
            <w:r w:rsidR="00332A29">
              <w:rPr>
                <w:noProof/>
                <w:webHidden/>
              </w:rPr>
              <w:fldChar w:fldCharType="end"/>
            </w:r>
          </w:hyperlink>
        </w:p>
        <w:p w14:paraId="5650AEEC" w14:textId="77777777" w:rsidR="00332A29" w:rsidRDefault="00183F7E">
          <w:pPr>
            <w:pStyle w:val="Obsah3"/>
            <w:tabs>
              <w:tab w:val="left" w:pos="1320"/>
              <w:tab w:val="right" w:leader="dot" w:pos="9062"/>
            </w:tabs>
            <w:rPr>
              <w:rFonts w:eastAsiaTheme="minorEastAsia"/>
              <w:noProof/>
              <w:lang w:eastAsia="cs-CZ"/>
            </w:rPr>
          </w:pPr>
          <w:hyperlink w:anchor="_Toc77074573" w:history="1">
            <w:r w:rsidR="00332A29" w:rsidRPr="00617EE2">
              <w:rPr>
                <w:rStyle w:val="Hypertextovodkaz"/>
                <w:noProof/>
              </w:rPr>
              <w:t>1.1.2</w:t>
            </w:r>
            <w:r w:rsidR="00332A29">
              <w:rPr>
                <w:rFonts w:eastAsiaTheme="minorEastAsia"/>
                <w:noProof/>
                <w:lang w:eastAsia="cs-CZ"/>
              </w:rPr>
              <w:tab/>
            </w:r>
            <w:r w:rsidR="00332A29" w:rsidRPr="00617EE2">
              <w:rPr>
                <w:rStyle w:val="Hypertextovodkaz"/>
                <w:noProof/>
              </w:rPr>
              <w:t>Regionální vazby Zlína</w:t>
            </w:r>
            <w:r w:rsidR="00332A29">
              <w:rPr>
                <w:noProof/>
                <w:webHidden/>
              </w:rPr>
              <w:tab/>
            </w:r>
            <w:r w:rsidR="00332A29">
              <w:rPr>
                <w:noProof/>
                <w:webHidden/>
              </w:rPr>
              <w:fldChar w:fldCharType="begin"/>
            </w:r>
            <w:r w:rsidR="00332A29">
              <w:rPr>
                <w:noProof/>
                <w:webHidden/>
              </w:rPr>
              <w:instrText xml:space="preserve"> PAGEREF _Toc77074573 \h </w:instrText>
            </w:r>
            <w:r w:rsidR="00332A29">
              <w:rPr>
                <w:noProof/>
                <w:webHidden/>
              </w:rPr>
            </w:r>
            <w:r w:rsidR="00332A29">
              <w:rPr>
                <w:noProof/>
                <w:webHidden/>
              </w:rPr>
              <w:fldChar w:fldCharType="separate"/>
            </w:r>
            <w:r w:rsidR="00332A29">
              <w:rPr>
                <w:noProof/>
                <w:webHidden/>
              </w:rPr>
              <w:t>11</w:t>
            </w:r>
            <w:r w:rsidR="00332A29">
              <w:rPr>
                <w:noProof/>
                <w:webHidden/>
              </w:rPr>
              <w:fldChar w:fldCharType="end"/>
            </w:r>
          </w:hyperlink>
        </w:p>
        <w:p w14:paraId="70537776" w14:textId="77777777" w:rsidR="00332A29" w:rsidRDefault="00183F7E">
          <w:pPr>
            <w:pStyle w:val="Obsah3"/>
            <w:tabs>
              <w:tab w:val="left" w:pos="1320"/>
              <w:tab w:val="right" w:leader="dot" w:pos="9062"/>
            </w:tabs>
            <w:rPr>
              <w:rFonts w:eastAsiaTheme="minorEastAsia"/>
              <w:noProof/>
              <w:lang w:eastAsia="cs-CZ"/>
            </w:rPr>
          </w:pPr>
          <w:hyperlink w:anchor="_Toc77074574" w:history="1">
            <w:r w:rsidR="00332A29" w:rsidRPr="00617EE2">
              <w:rPr>
                <w:rStyle w:val="Hypertextovodkaz"/>
                <w:noProof/>
              </w:rPr>
              <w:t>1.1.3</w:t>
            </w:r>
            <w:r w:rsidR="00332A29">
              <w:rPr>
                <w:rFonts w:eastAsiaTheme="minorEastAsia"/>
                <w:noProof/>
                <w:lang w:eastAsia="cs-CZ"/>
              </w:rPr>
              <w:tab/>
            </w:r>
            <w:r w:rsidR="00332A29" w:rsidRPr="00617EE2">
              <w:rPr>
                <w:rStyle w:val="Hypertextovodkaz"/>
                <w:noProof/>
              </w:rPr>
              <w:t>Urbanismus a památková ochrana</w:t>
            </w:r>
            <w:r w:rsidR="00332A29">
              <w:rPr>
                <w:noProof/>
                <w:webHidden/>
              </w:rPr>
              <w:tab/>
            </w:r>
            <w:r w:rsidR="00332A29">
              <w:rPr>
                <w:noProof/>
                <w:webHidden/>
              </w:rPr>
              <w:fldChar w:fldCharType="begin"/>
            </w:r>
            <w:r w:rsidR="00332A29">
              <w:rPr>
                <w:noProof/>
                <w:webHidden/>
              </w:rPr>
              <w:instrText xml:space="preserve"> PAGEREF _Toc77074574 \h </w:instrText>
            </w:r>
            <w:r w:rsidR="00332A29">
              <w:rPr>
                <w:noProof/>
                <w:webHidden/>
              </w:rPr>
            </w:r>
            <w:r w:rsidR="00332A29">
              <w:rPr>
                <w:noProof/>
                <w:webHidden/>
              </w:rPr>
              <w:fldChar w:fldCharType="separate"/>
            </w:r>
            <w:r w:rsidR="00332A29">
              <w:rPr>
                <w:noProof/>
                <w:webHidden/>
              </w:rPr>
              <w:t>13</w:t>
            </w:r>
            <w:r w:rsidR="00332A29">
              <w:rPr>
                <w:noProof/>
                <w:webHidden/>
              </w:rPr>
              <w:fldChar w:fldCharType="end"/>
            </w:r>
          </w:hyperlink>
        </w:p>
        <w:p w14:paraId="4D1AE101" w14:textId="77777777" w:rsidR="00332A29" w:rsidRDefault="00183F7E">
          <w:pPr>
            <w:pStyle w:val="Obsah3"/>
            <w:tabs>
              <w:tab w:val="left" w:pos="1320"/>
              <w:tab w:val="right" w:leader="dot" w:pos="9062"/>
            </w:tabs>
            <w:rPr>
              <w:rFonts w:eastAsiaTheme="minorEastAsia"/>
              <w:noProof/>
              <w:lang w:eastAsia="cs-CZ"/>
            </w:rPr>
          </w:pPr>
          <w:hyperlink w:anchor="_Toc77074575" w:history="1">
            <w:r w:rsidR="00332A29" w:rsidRPr="00617EE2">
              <w:rPr>
                <w:rStyle w:val="Hypertextovodkaz"/>
                <w:noProof/>
              </w:rPr>
              <w:t>1.1.4</w:t>
            </w:r>
            <w:r w:rsidR="00332A29">
              <w:rPr>
                <w:rFonts w:eastAsiaTheme="minorEastAsia"/>
                <w:noProof/>
                <w:lang w:eastAsia="cs-CZ"/>
              </w:rPr>
              <w:tab/>
            </w:r>
            <w:r w:rsidR="00332A29" w:rsidRPr="00617EE2">
              <w:rPr>
                <w:rStyle w:val="Hypertextovodkaz"/>
                <w:noProof/>
              </w:rPr>
              <w:t>Prostorová struktura města</w:t>
            </w:r>
            <w:r w:rsidR="00332A29">
              <w:rPr>
                <w:noProof/>
                <w:webHidden/>
              </w:rPr>
              <w:tab/>
            </w:r>
            <w:r w:rsidR="00332A29">
              <w:rPr>
                <w:noProof/>
                <w:webHidden/>
              </w:rPr>
              <w:fldChar w:fldCharType="begin"/>
            </w:r>
            <w:r w:rsidR="00332A29">
              <w:rPr>
                <w:noProof/>
                <w:webHidden/>
              </w:rPr>
              <w:instrText xml:space="preserve"> PAGEREF _Toc77074575 \h </w:instrText>
            </w:r>
            <w:r w:rsidR="00332A29">
              <w:rPr>
                <w:noProof/>
                <w:webHidden/>
              </w:rPr>
            </w:r>
            <w:r w:rsidR="00332A29">
              <w:rPr>
                <w:noProof/>
                <w:webHidden/>
              </w:rPr>
              <w:fldChar w:fldCharType="separate"/>
            </w:r>
            <w:r w:rsidR="00332A29">
              <w:rPr>
                <w:noProof/>
                <w:webHidden/>
              </w:rPr>
              <w:t>15</w:t>
            </w:r>
            <w:r w:rsidR="00332A29">
              <w:rPr>
                <w:noProof/>
                <w:webHidden/>
              </w:rPr>
              <w:fldChar w:fldCharType="end"/>
            </w:r>
          </w:hyperlink>
        </w:p>
        <w:p w14:paraId="1B36B603" w14:textId="77777777" w:rsidR="00332A29" w:rsidRDefault="00183F7E">
          <w:pPr>
            <w:pStyle w:val="Obsah3"/>
            <w:tabs>
              <w:tab w:val="left" w:pos="1320"/>
              <w:tab w:val="right" w:leader="dot" w:pos="9062"/>
            </w:tabs>
            <w:rPr>
              <w:rFonts w:eastAsiaTheme="minorEastAsia"/>
              <w:noProof/>
              <w:lang w:eastAsia="cs-CZ"/>
            </w:rPr>
          </w:pPr>
          <w:hyperlink w:anchor="_Toc77074576" w:history="1">
            <w:r w:rsidR="00332A29" w:rsidRPr="00617EE2">
              <w:rPr>
                <w:rStyle w:val="Hypertextovodkaz"/>
                <w:noProof/>
              </w:rPr>
              <w:t>1.1.5</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_Toc77074576 \h </w:instrText>
            </w:r>
            <w:r w:rsidR="00332A29">
              <w:rPr>
                <w:noProof/>
                <w:webHidden/>
              </w:rPr>
            </w:r>
            <w:r w:rsidR="00332A29">
              <w:rPr>
                <w:noProof/>
                <w:webHidden/>
              </w:rPr>
              <w:fldChar w:fldCharType="separate"/>
            </w:r>
            <w:r w:rsidR="00332A29">
              <w:rPr>
                <w:noProof/>
                <w:webHidden/>
              </w:rPr>
              <w:t>27</w:t>
            </w:r>
            <w:r w:rsidR="00332A29">
              <w:rPr>
                <w:noProof/>
                <w:webHidden/>
              </w:rPr>
              <w:fldChar w:fldCharType="end"/>
            </w:r>
          </w:hyperlink>
        </w:p>
        <w:p w14:paraId="1CF151FB" w14:textId="77777777" w:rsidR="00332A29" w:rsidRDefault="00183F7E">
          <w:pPr>
            <w:pStyle w:val="Obsah3"/>
            <w:tabs>
              <w:tab w:val="left" w:pos="1320"/>
              <w:tab w:val="right" w:leader="dot" w:pos="9062"/>
            </w:tabs>
            <w:rPr>
              <w:rFonts w:eastAsiaTheme="minorEastAsia"/>
              <w:noProof/>
              <w:lang w:eastAsia="cs-CZ"/>
            </w:rPr>
          </w:pPr>
          <w:hyperlink w:anchor="_Toc77074577" w:history="1">
            <w:r w:rsidR="00332A29" w:rsidRPr="00617EE2">
              <w:rPr>
                <w:rStyle w:val="Hypertextovodkaz"/>
                <w:noProof/>
              </w:rPr>
              <w:t>1.1.6</w:t>
            </w:r>
            <w:r w:rsidR="00332A29">
              <w:rPr>
                <w:rFonts w:eastAsiaTheme="minorEastAsia"/>
                <w:noProof/>
                <w:lang w:eastAsia="cs-CZ"/>
              </w:rPr>
              <w:tab/>
            </w:r>
            <w:r w:rsidR="00332A29" w:rsidRPr="00617EE2">
              <w:rPr>
                <w:rStyle w:val="Hypertextovodkaz"/>
                <w:noProof/>
              </w:rPr>
              <w:t>SWOT analýza</w:t>
            </w:r>
            <w:r w:rsidR="00332A29">
              <w:rPr>
                <w:noProof/>
                <w:webHidden/>
              </w:rPr>
              <w:tab/>
            </w:r>
            <w:r w:rsidR="00332A29">
              <w:rPr>
                <w:noProof/>
                <w:webHidden/>
              </w:rPr>
              <w:fldChar w:fldCharType="begin"/>
            </w:r>
            <w:r w:rsidR="00332A29">
              <w:rPr>
                <w:noProof/>
                <w:webHidden/>
              </w:rPr>
              <w:instrText xml:space="preserve"> PAGEREF _Toc77074577 \h </w:instrText>
            </w:r>
            <w:r w:rsidR="00332A29">
              <w:rPr>
                <w:noProof/>
                <w:webHidden/>
              </w:rPr>
            </w:r>
            <w:r w:rsidR="00332A29">
              <w:rPr>
                <w:noProof/>
                <w:webHidden/>
              </w:rPr>
              <w:fldChar w:fldCharType="separate"/>
            </w:r>
            <w:r w:rsidR="00332A29">
              <w:rPr>
                <w:noProof/>
                <w:webHidden/>
              </w:rPr>
              <w:t>28</w:t>
            </w:r>
            <w:r w:rsidR="00332A29">
              <w:rPr>
                <w:noProof/>
                <w:webHidden/>
              </w:rPr>
              <w:fldChar w:fldCharType="end"/>
            </w:r>
          </w:hyperlink>
        </w:p>
        <w:p w14:paraId="70E2C932" w14:textId="77777777" w:rsidR="00332A29" w:rsidRDefault="00183F7E">
          <w:pPr>
            <w:pStyle w:val="Obsah2"/>
            <w:tabs>
              <w:tab w:val="left" w:pos="880"/>
              <w:tab w:val="right" w:leader="dot" w:pos="9062"/>
            </w:tabs>
            <w:rPr>
              <w:rFonts w:eastAsiaTheme="minorEastAsia"/>
              <w:noProof/>
              <w:lang w:eastAsia="cs-CZ"/>
            </w:rPr>
          </w:pPr>
          <w:hyperlink w:anchor="_Toc77074578" w:history="1">
            <w:r w:rsidR="00332A29" w:rsidRPr="00617EE2">
              <w:rPr>
                <w:rStyle w:val="Hypertextovodkaz"/>
                <w:noProof/>
              </w:rPr>
              <w:t>1.2</w:t>
            </w:r>
            <w:r w:rsidR="00332A29">
              <w:rPr>
                <w:rFonts w:eastAsiaTheme="minorEastAsia"/>
                <w:noProof/>
                <w:lang w:eastAsia="cs-CZ"/>
              </w:rPr>
              <w:tab/>
            </w:r>
            <w:r w:rsidR="00332A29" w:rsidRPr="00617EE2">
              <w:rPr>
                <w:rStyle w:val="Hypertextovodkaz"/>
                <w:noProof/>
              </w:rPr>
              <w:t>Město s vysokou kvalitou života</w:t>
            </w:r>
            <w:r w:rsidR="00332A29">
              <w:rPr>
                <w:noProof/>
                <w:webHidden/>
              </w:rPr>
              <w:tab/>
            </w:r>
            <w:r w:rsidR="00332A29">
              <w:rPr>
                <w:noProof/>
                <w:webHidden/>
              </w:rPr>
              <w:fldChar w:fldCharType="begin"/>
            </w:r>
            <w:r w:rsidR="00332A29">
              <w:rPr>
                <w:noProof/>
                <w:webHidden/>
              </w:rPr>
              <w:instrText xml:space="preserve"> PAGEREF _Toc77074578 \h </w:instrText>
            </w:r>
            <w:r w:rsidR="00332A29">
              <w:rPr>
                <w:noProof/>
                <w:webHidden/>
              </w:rPr>
            </w:r>
            <w:r w:rsidR="00332A29">
              <w:rPr>
                <w:noProof/>
                <w:webHidden/>
              </w:rPr>
              <w:fldChar w:fldCharType="separate"/>
            </w:r>
            <w:r w:rsidR="00332A29">
              <w:rPr>
                <w:noProof/>
                <w:webHidden/>
              </w:rPr>
              <w:t>29</w:t>
            </w:r>
            <w:r w:rsidR="00332A29">
              <w:rPr>
                <w:noProof/>
                <w:webHidden/>
              </w:rPr>
              <w:fldChar w:fldCharType="end"/>
            </w:r>
          </w:hyperlink>
        </w:p>
        <w:p w14:paraId="474D7A26" w14:textId="77777777" w:rsidR="00332A29" w:rsidRDefault="00183F7E">
          <w:pPr>
            <w:pStyle w:val="Obsah3"/>
            <w:tabs>
              <w:tab w:val="left" w:pos="1320"/>
              <w:tab w:val="right" w:leader="dot" w:pos="9062"/>
            </w:tabs>
            <w:rPr>
              <w:rFonts w:eastAsiaTheme="minorEastAsia"/>
              <w:noProof/>
              <w:lang w:eastAsia="cs-CZ"/>
            </w:rPr>
          </w:pPr>
          <w:hyperlink w:anchor="_Toc77074579" w:history="1">
            <w:r w:rsidR="00332A29" w:rsidRPr="00617EE2">
              <w:rPr>
                <w:rStyle w:val="Hypertextovodkaz"/>
                <w:noProof/>
              </w:rPr>
              <w:t>1.2.1</w:t>
            </w:r>
            <w:r w:rsidR="00332A29">
              <w:rPr>
                <w:rFonts w:eastAsiaTheme="minorEastAsia"/>
                <w:noProof/>
                <w:lang w:eastAsia="cs-CZ"/>
              </w:rPr>
              <w:tab/>
            </w:r>
            <w:r w:rsidR="00332A29" w:rsidRPr="00617EE2">
              <w:rPr>
                <w:rStyle w:val="Hypertextovodkaz"/>
                <w:noProof/>
              </w:rPr>
              <w:t>Sociální dimenze</w:t>
            </w:r>
            <w:r w:rsidR="00332A29">
              <w:rPr>
                <w:noProof/>
                <w:webHidden/>
              </w:rPr>
              <w:tab/>
            </w:r>
            <w:r w:rsidR="00332A29">
              <w:rPr>
                <w:noProof/>
                <w:webHidden/>
              </w:rPr>
              <w:fldChar w:fldCharType="begin"/>
            </w:r>
            <w:r w:rsidR="00332A29">
              <w:rPr>
                <w:noProof/>
                <w:webHidden/>
              </w:rPr>
              <w:instrText xml:space="preserve"> PAGEREF _Toc77074579 \h </w:instrText>
            </w:r>
            <w:r w:rsidR="00332A29">
              <w:rPr>
                <w:noProof/>
                <w:webHidden/>
              </w:rPr>
            </w:r>
            <w:r w:rsidR="00332A29">
              <w:rPr>
                <w:noProof/>
                <w:webHidden/>
              </w:rPr>
              <w:fldChar w:fldCharType="separate"/>
            </w:r>
            <w:r w:rsidR="00332A29">
              <w:rPr>
                <w:noProof/>
                <w:webHidden/>
              </w:rPr>
              <w:t>29</w:t>
            </w:r>
            <w:r w:rsidR="00332A29">
              <w:rPr>
                <w:noProof/>
                <w:webHidden/>
              </w:rPr>
              <w:fldChar w:fldCharType="end"/>
            </w:r>
          </w:hyperlink>
        </w:p>
        <w:p w14:paraId="0253EEBB" w14:textId="77777777" w:rsidR="00332A29" w:rsidRDefault="00183F7E">
          <w:pPr>
            <w:pStyle w:val="Obsah3"/>
            <w:tabs>
              <w:tab w:val="left" w:pos="1320"/>
              <w:tab w:val="right" w:leader="dot" w:pos="9062"/>
            </w:tabs>
            <w:rPr>
              <w:rFonts w:eastAsiaTheme="minorEastAsia"/>
              <w:noProof/>
              <w:lang w:eastAsia="cs-CZ"/>
            </w:rPr>
          </w:pPr>
          <w:hyperlink w:anchor="_Toc77074580" w:history="1">
            <w:r w:rsidR="00332A29" w:rsidRPr="00617EE2">
              <w:rPr>
                <w:rStyle w:val="Hypertextovodkaz"/>
                <w:noProof/>
              </w:rPr>
              <w:t>1.2.2</w:t>
            </w:r>
            <w:r w:rsidR="00332A29">
              <w:rPr>
                <w:rFonts w:eastAsiaTheme="minorEastAsia"/>
                <w:noProof/>
                <w:lang w:eastAsia="cs-CZ"/>
              </w:rPr>
              <w:tab/>
            </w:r>
            <w:r w:rsidR="00332A29" w:rsidRPr="00617EE2">
              <w:rPr>
                <w:rStyle w:val="Hypertextovodkaz"/>
                <w:noProof/>
              </w:rPr>
              <w:t>Životní prostředí</w:t>
            </w:r>
            <w:r w:rsidR="00332A29">
              <w:rPr>
                <w:noProof/>
                <w:webHidden/>
              </w:rPr>
              <w:tab/>
            </w:r>
            <w:r w:rsidR="00332A29">
              <w:rPr>
                <w:noProof/>
                <w:webHidden/>
              </w:rPr>
              <w:fldChar w:fldCharType="begin"/>
            </w:r>
            <w:r w:rsidR="00332A29">
              <w:rPr>
                <w:noProof/>
                <w:webHidden/>
              </w:rPr>
              <w:instrText xml:space="preserve"> PAGEREF _Toc77074580 \h </w:instrText>
            </w:r>
            <w:r w:rsidR="00332A29">
              <w:rPr>
                <w:noProof/>
                <w:webHidden/>
              </w:rPr>
            </w:r>
            <w:r w:rsidR="00332A29">
              <w:rPr>
                <w:noProof/>
                <w:webHidden/>
              </w:rPr>
              <w:fldChar w:fldCharType="separate"/>
            </w:r>
            <w:r w:rsidR="00332A29">
              <w:rPr>
                <w:noProof/>
                <w:webHidden/>
              </w:rPr>
              <w:t>71</w:t>
            </w:r>
            <w:r w:rsidR="00332A29">
              <w:rPr>
                <w:noProof/>
                <w:webHidden/>
              </w:rPr>
              <w:fldChar w:fldCharType="end"/>
            </w:r>
          </w:hyperlink>
        </w:p>
        <w:p w14:paraId="68FA3720" w14:textId="77777777" w:rsidR="00332A29" w:rsidRDefault="00183F7E">
          <w:pPr>
            <w:pStyle w:val="Obsah3"/>
            <w:tabs>
              <w:tab w:val="left" w:pos="1320"/>
              <w:tab w:val="right" w:leader="dot" w:pos="9062"/>
            </w:tabs>
            <w:rPr>
              <w:rFonts w:eastAsiaTheme="minorEastAsia"/>
              <w:noProof/>
              <w:lang w:eastAsia="cs-CZ"/>
            </w:rPr>
          </w:pPr>
          <w:hyperlink w:anchor="_Toc77074581" w:history="1">
            <w:r w:rsidR="00332A29" w:rsidRPr="00617EE2">
              <w:rPr>
                <w:rStyle w:val="Hypertextovodkaz"/>
                <w:noProof/>
              </w:rPr>
              <w:t>1.2.3</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_Toc77074581 \h </w:instrText>
            </w:r>
            <w:r w:rsidR="00332A29">
              <w:rPr>
                <w:noProof/>
                <w:webHidden/>
              </w:rPr>
            </w:r>
            <w:r w:rsidR="00332A29">
              <w:rPr>
                <w:noProof/>
                <w:webHidden/>
              </w:rPr>
              <w:fldChar w:fldCharType="separate"/>
            </w:r>
            <w:r w:rsidR="00332A29">
              <w:rPr>
                <w:noProof/>
                <w:webHidden/>
              </w:rPr>
              <w:t>86</w:t>
            </w:r>
            <w:r w:rsidR="00332A29">
              <w:rPr>
                <w:noProof/>
                <w:webHidden/>
              </w:rPr>
              <w:fldChar w:fldCharType="end"/>
            </w:r>
          </w:hyperlink>
        </w:p>
        <w:p w14:paraId="6221B37F" w14:textId="77777777" w:rsidR="00332A29" w:rsidRDefault="00183F7E">
          <w:pPr>
            <w:pStyle w:val="Obsah3"/>
            <w:tabs>
              <w:tab w:val="left" w:pos="1320"/>
              <w:tab w:val="right" w:leader="dot" w:pos="9062"/>
            </w:tabs>
            <w:rPr>
              <w:rFonts w:eastAsiaTheme="minorEastAsia"/>
              <w:noProof/>
              <w:lang w:eastAsia="cs-CZ"/>
            </w:rPr>
          </w:pPr>
          <w:hyperlink w:anchor="_Toc77074582" w:history="1">
            <w:r w:rsidR="00332A29" w:rsidRPr="00617EE2">
              <w:rPr>
                <w:rStyle w:val="Hypertextovodkaz"/>
                <w:noProof/>
              </w:rPr>
              <w:t>1.2.4</w:t>
            </w:r>
            <w:r w:rsidR="00332A29">
              <w:rPr>
                <w:rFonts w:eastAsiaTheme="minorEastAsia"/>
                <w:noProof/>
                <w:lang w:eastAsia="cs-CZ"/>
              </w:rPr>
              <w:tab/>
            </w:r>
            <w:r w:rsidR="00332A29" w:rsidRPr="00617EE2">
              <w:rPr>
                <w:rStyle w:val="Hypertextovodkaz"/>
                <w:noProof/>
              </w:rPr>
              <w:t>SWOT analýza</w:t>
            </w:r>
            <w:r w:rsidR="00332A29">
              <w:rPr>
                <w:noProof/>
                <w:webHidden/>
              </w:rPr>
              <w:tab/>
            </w:r>
            <w:r w:rsidR="00332A29">
              <w:rPr>
                <w:noProof/>
                <w:webHidden/>
              </w:rPr>
              <w:fldChar w:fldCharType="begin"/>
            </w:r>
            <w:r w:rsidR="00332A29">
              <w:rPr>
                <w:noProof/>
                <w:webHidden/>
              </w:rPr>
              <w:instrText xml:space="preserve"> PAGEREF _Toc77074582 \h </w:instrText>
            </w:r>
            <w:r w:rsidR="00332A29">
              <w:rPr>
                <w:noProof/>
                <w:webHidden/>
              </w:rPr>
            </w:r>
            <w:r w:rsidR="00332A29">
              <w:rPr>
                <w:noProof/>
                <w:webHidden/>
              </w:rPr>
              <w:fldChar w:fldCharType="separate"/>
            </w:r>
            <w:r w:rsidR="00332A29">
              <w:rPr>
                <w:noProof/>
                <w:webHidden/>
              </w:rPr>
              <w:t>87</w:t>
            </w:r>
            <w:r w:rsidR="00332A29">
              <w:rPr>
                <w:noProof/>
                <w:webHidden/>
              </w:rPr>
              <w:fldChar w:fldCharType="end"/>
            </w:r>
          </w:hyperlink>
        </w:p>
        <w:p w14:paraId="41EFFD0F" w14:textId="77777777" w:rsidR="00332A29" w:rsidRDefault="00183F7E">
          <w:pPr>
            <w:pStyle w:val="Obsah2"/>
            <w:tabs>
              <w:tab w:val="left" w:pos="880"/>
              <w:tab w:val="right" w:leader="dot" w:pos="9062"/>
            </w:tabs>
            <w:rPr>
              <w:rFonts w:eastAsiaTheme="minorEastAsia"/>
              <w:noProof/>
              <w:lang w:eastAsia="cs-CZ"/>
            </w:rPr>
          </w:pPr>
          <w:hyperlink w:anchor="_Toc77074583" w:history="1">
            <w:r w:rsidR="00332A29" w:rsidRPr="00617EE2">
              <w:rPr>
                <w:rStyle w:val="Hypertextovodkaz"/>
                <w:noProof/>
              </w:rPr>
              <w:t>1.3</w:t>
            </w:r>
            <w:r w:rsidR="00332A29">
              <w:rPr>
                <w:rFonts w:eastAsiaTheme="minorEastAsia"/>
                <w:noProof/>
                <w:lang w:eastAsia="cs-CZ"/>
              </w:rPr>
              <w:tab/>
            </w:r>
            <w:r w:rsidR="00332A29" w:rsidRPr="00617EE2">
              <w:rPr>
                <w:rStyle w:val="Hypertextovodkaz"/>
                <w:noProof/>
              </w:rPr>
              <w:t>Město přívětivé pro vzdělávání a rozvoj znalostí</w:t>
            </w:r>
            <w:r w:rsidR="00332A29">
              <w:rPr>
                <w:noProof/>
                <w:webHidden/>
              </w:rPr>
              <w:tab/>
            </w:r>
            <w:r w:rsidR="00332A29">
              <w:rPr>
                <w:noProof/>
                <w:webHidden/>
              </w:rPr>
              <w:fldChar w:fldCharType="begin"/>
            </w:r>
            <w:r w:rsidR="00332A29">
              <w:rPr>
                <w:noProof/>
                <w:webHidden/>
              </w:rPr>
              <w:instrText xml:space="preserve"> PAGEREF _Toc77074583 \h </w:instrText>
            </w:r>
            <w:r w:rsidR="00332A29">
              <w:rPr>
                <w:noProof/>
                <w:webHidden/>
              </w:rPr>
            </w:r>
            <w:r w:rsidR="00332A29">
              <w:rPr>
                <w:noProof/>
                <w:webHidden/>
              </w:rPr>
              <w:fldChar w:fldCharType="separate"/>
            </w:r>
            <w:r w:rsidR="00332A29">
              <w:rPr>
                <w:noProof/>
                <w:webHidden/>
              </w:rPr>
              <w:t>89</w:t>
            </w:r>
            <w:r w:rsidR="00332A29">
              <w:rPr>
                <w:noProof/>
                <w:webHidden/>
              </w:rPr>
              <w:fldChar w:fldCharType="end"/>
            </w:r>
          </w:hyperlink>
        </w:p>
        <w:p w14:paraId="2ECBEDD6" w14:textId="77777777" w:rsidR="00332A29" w:rsidRDefault="00183F7E">
          <w:pPr>
            <w:pStyle w:val="Obsah3"/>
            <w:tabs>
              <w:tab w:val="left" w:pos="1320"/>
              <w:tab w:val="right" w:leader="dot" w:pos="9062"/>
            </w:tabs>
            <w:rPr>
              <w:rFonts w:eastAsiaTheme="minorEastAsia"/>
              <w:noProof/>
              <w:lang w:eastAsia="cs-CZ"/>
            </w:rPr>
          </w:pPr>
          <w:hyperlink w:anchor="_Toc77074584" w:history="1">
            <w:r w:rsidR="00332A29" w:rsidRPr="00617EE2">
              <w:rPr>
                <w:rStyle w:val="Hypertextovodkaz"/>
                <w:noProof/>
              </w:rPr>
              <w:t>1.3.1</w:t>
            </w:r>
            <w:r w:rsidR="00332A29">
              <w:rPr>
                <w:rFonts w:eastAsiaTheme="minorEastAsia"/>
                <w:noProof/>
                <w:lang w:eastAsia="cs-CZ"/>
              </w:rPr>
              <w:tab/>
            </w:r>
            <w:r w:rsidR="00332A29" w:rsidRPr="00617EE2">
              <w:rPr>
                <w:rStyle w:val="Hypertextovodkaz"/>
                <w:noProof/>
              </w:rPr>
              <w:t>Nabídka vzdělávacích služeb na území města Zlína</w:t>
            </w:r>
            <w:r w:rsidR="00332A29">
              <w:rPr>
                <w:noProof/>
                <w:webHidden/>
              </w:rPr>
              <w:tab/>
            </w:r>
            <w:r w:rsidR="00332A29">
              <w:rPr>
                <w:noProof/>
                <w:webHidden/>
              </w:rPr>
              <w:fldChar w:fldCharType="begin"/>
            </w:r>
            <w:r w:rsidR="00332A29">
              <w:rPr>
                <w:noProof/>
                <w:webHidden/>
              </w:rPr>
              <w:instrText xml:space="preserve"> PAGEREF _Toc77074584 \h </w:instrText>
            </w:r>
            <w:r w:rsidR="00332A29">
              <w:rPr>
                <w:noProof/>
                <w:webHidden/>
              </w:rPr>
            </w:r>
            <w:r w:rsidR="00332A29">
              <w:rPr>
                <w:noProof/>
                <w:webHidden/>
              </w:rPr>
              <w:fldChar w:fldCharType="separate"/>
            </w:r>
            <w:r w:rsidR="00332A29">
              <w:rPr>
                <w:noProof/>
                <w:webHidden/>
              </w:rPr>
              <w:t>89</w:t>
            </w:r>
            <w:r w:rsidR="00332A29">
              <w:rPr>
                <w:noProof/>
                <w:webHidden/>
              </w:rPr>
              <w:fldChar w:fldCharType="end"/>
            </w:r>
          </w:hyperlink>
        </w:p>
        <w:p w14:paraId="606FE5DC" w14:textId="77777777" w:rsidR="00332A29" w:rsidRDefault="00183F7E">
          <w:pPr>
            <w:pStyle w:val="Obsah3"/>
            <w:tabs>
              <w:tab w:val="left" w:pos="1320"/>
              <w:tab w:val="right" w:leader="dot" w:pos="9062"/>
            </w:tabs>
            <w:rPr>
              <w:rFonts w:eastAsiaTheme="minorEastAsia"/>
              <w:noProof/>
              <w:lang w:eastAsia="cs-CZ"/>
            </w:rPr>
          </w:pPr>
          <w:hyperlink w:anchor="_Toc77074585" w:history="1">
            <w:r w:rsidR="00332A29" w:rsidRPr="00617EE2">
              <w:rPr>
                <w:rStyle w:val="Hypertextovodkaz"/>
                <w:noProof/>
              </w:rPr>
              <w:t>1.3.2</w:t>
            </w:r>
            <w:r w:rsidR="00332A29">
              <w:rPr>
                <w:rFonts w:eastAsiaTheme="minorEastAsia"/>
                <w:noProof/>
                <w:lang w:eastAsia="cs-CZ"/>
              </w:rPr>
              <w:tab/>
            </w:r>
            <w:r w:rsidR="00332A29" w:rsidRPr="00617EE2">
              <w:rPr>
                <w:rStyle w:val="Hypertextovodkaz"/>
                <w:noProof/>
              </w:rPr>
              <w:t>Síťování a spolupráce aktérů v oblasti vzdělávání</w:t>
            </w:r>
            <w:r w:rsidR="00332A29">
              <w:rPr>
                <w:noProof/>
                <w:webHidden/>
              </w:rPr>
              <w:tab/>
            </w:r>
            <w:r w:rsidR="00332A29">
              <w:rPr>
                <w:noProof/>
                <w:webHidden/>
              </w:rPr>
              <w:fldChar w:fldCharType="begin"/>
            </w:r>
            <w:r w:rsidR="00332A29">
              <w:rPr>
                <w:noProof/>
                <w:webHidden/>
              </w:rPr>
              <w:instrText xml:space="preserve"> PAGEREF _Toc77074585 \h </w:instrText>
            </w:r>
            <w:r w:rsidR="00332A29">
              <w:rPr>
                <w:noProof/>
                <w:webHidden/>
              </w:rPr>
            </w:r>
            <w:r w:rsidR="00332A29">
              <w:rPr>
                <w:noProof/>
                <w:webHidden/>
              </w:rPr>
              <w:fldChar w:fldCharType="separate"/>
            </w:r>
            <w:r w:rsidR="00332A29">
              <w:rPr>
                <w:noProof/>
                <w:webHidden/>
              </w:rPr>
              <w:t>101</w:t>
            </w:r>
            <w:r w:rsidR="00332A29">
              <w:rPr>
                <w:noProof/>
                <w:webHidden/>
              </w:rPr>
              <w:fldChar w:fldCharType="end"/>
            </w:r>
          </w:hyperlink>
        </w:p>
        <w:p w14:paraId="3FD20ED3" w14:textId="77777777" w:rsidR="00332A29" w:rsidRDefault="00183F7E">
          <w:pPr>
            <w:pStyle w:val="Obsah3"/>
            <w:tabs>
              <w:tab w:val="left" w:pos="1320"/>
              <w:tab w:val="right" w:leader="dot" w:pos="9062"/>
            </w:tabs>
            <w:rPr>
              <w:rFonts w:eastAsiaTheme="minorEastAsia"/>
              <w:noProof/>
              <w:lang w:eastAsia="cs-CZ"/>
            </w:rPr>
          </w:pPr>
          <w:hyperlink w:anchor="_Toc77074586" w:history="1">
            <w:r w:rsidR="00332A29" w:rsidRPr="00617EE2">
              <w:rPr>
                <w:rStyle w:val="Hypertextovodkaz"/>
                <w:noProof/>
              </w:rPr>
              <w:t>1.3.3</w:t>
            </w:r>
            <w:r w:rsidR="00332A29">
              <w:rPr>
                <w:rFonts w:eastAsiaTheme="minorEastAsia"/>
                <w:noProof/>
                <w:lang w:eastAsia="cs-CZ"/>
              </w:rPr>
              <w:tab/>
            </w:r>
            <w:r w:rsidR="00332A29" w:rsidRPr="00617EE2">
              <w:rPr>
                <w:rStyle w:val="Hypertextovodkaz"/>
                <w:noProof/>
              </w:rPr>
              <w:t>Hodnocení oblasti vzdělávání občany města Zlín</w:t>
            </w:r>
            <w:r w:rsidR="00332A29">
              <w:rPr>
                <w:noProof/>
                <w:webHidden/>
              </w:rPr>
              <w:tab/>
            </w:r>
            <w:r w:rsidR="00332A29">
              <w:rPr>
                <w:noProof/>
                <w:webHidden/>
              </w:rPr>
              <w:fldChar w:fldCharType="begin"/>
            </w:r>
            <w:r w:rsidR="00332A29">
              <w:rPr>
                <w:noProof/>
                <w:webHidden/>
              </w:rPr>
              <w:instrText xml:space="preserve"> PAGEREF _Toc77074586 \h </w:instrText>
            </w:r>
            <w:r w:rsidR="00332A29">
              <w:rPr>
                <w:noProof/>
                <w:webHidden/>
              </w:rPr>
            </w:r>
            <w:r w:rsidR="00332A29">
              <w:rPr>
                <w:noProof/>
                <w:webHidden/>
              </w:rPr>
              <w:fldChar w:fldCharType="separate"/>
            </w:r>
            <w:r w:rsidR="00332A29">
              <w:rPr>
                <w:noProof/>
                <w:webHidden/>
              </w:rPr>
              <w:t>104</w:t>
            </w:r>
            <w:r w:rsidR="00332A29">
              <w:rPr>
                <w:noProof/>
                <w:webHidden/>
              </w:rPr>
              <w:fldChar w:fldCharType="end"/>
            </w:r>
          </w:hyperlink>
        </w:p>
        <w:p w14:paraId="788F8FB0" w14:textId="77777777" w:rsidR="00332A29" w:rsidRDefault="00183F7E">
          <w:pPr>
            <w:pStyle w:val="Obsah3"/>
            <w:tabs>
              <w:tab w:val="left" w:pos="1320"/>
              <w:tab w:val="right" w:leader="dot" w:pos="9062"/>
            </w:tabs>
            <w:rPr>
              <w:rFonts w:eastAsiaTheme="minorEastAsia"/>
              <w:noProof/>
              <w:lang w:eastAsia="cs-CZ"/>
            </w:rPr>
          </w:pPr>
          <w:hyperlink w:anchor="_Toc77074587" w:history="1">
            <w:r w:rsidR="00332A29" w:rsidRPr="00617EE2">
              <w:rPr>
                <w:rStyle w:val="Hypertextovodkaz"/>
                <w:noProof/>
              </w:rPr>
              <w:t>1.3.4</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_Toc77074587 \h </w:instrText>
            </w:r>
            <w:r w:rsidR="00332A29">
              <w:rPr>
                <w:noProof/>
                <w:webHidden/>
              </w:rPr>
            </w:r>
            <w:r w:rsidR="00332A29">
              <w:rPr>
                <w:noProof/>
                <w:webHidden/>
              </w:rPr>
              <w:fldChar w:fldCharType="separate"/>
            </w:r>
            <w:r w:rsidR="00332A29">
              <w:rPr>
                <w:noProof/>
                <w:webHidden/>
              </w:rPr>
              <w:t>106</w:t>
            </w:r>
            <w:r w:rsidR="00332A29">
              <w:rPr>
                <w:noProof/>
                <w:webHidden/>
              </w:rPr>
              <w:fldChar w:fldCharType="end"/>
            </w:r>
          </w:hyperlink>
        </w:p>
        <w:p w14:paraId="36884761" w14:textId="77777777" w:rsidR="00332A29" w:rsidRDefault="00183F7E">
          <w:pPr>
            <w:pStyle w:val="Obsah3"/>
            <w:tabs>
              <w:tab w:val="left" w:pos="1320"/>
              <w:tab w:val="right" w:leader="dot" w:pos="9062"/>
            </w:tabs>
            <w:rPr>
              <w:rFonts w:eastAsiaTheme="minorEastAsia"/>
              <w:noProof/>
              <w:lang w:eastAsia="cs-CZ"/>
            </w:rPr>
          </w:pPr>
          <w:hyperlink w:anchor="_Toc77074588" w:history="1">
            <w:r w:rsidR="00332A29" w:rsidRPr="00617EE2">
              <w:rPr>
                <w:rStyle w:val="Hypertextovodkaz"/>
                <w:noProof/>
              </w:rPr>
              <w:t>1.3.5</w:t>
            </w:r>
            <w:r w:rsidR="00332A29">
              <w:rPr>
                <w:rFonts w:eastAsiaTheme="minorEastAsia"/>
                <w:noProof/>
                <w:lang w:eastAsia="cs-CZ"/>
              </w:rPr>
              <w:tab/>
            </w:r>
            <w:r w:rsidR="00332A29" w:rsidRPr="00617EE2">
              <w:rPr>
                <w:rStyle w:val="Hypertextovodkaz"/>
                <w:noProof/>
              </w:rPr>
              <w:t>SWOT analýza</w:t>
            </w:r>
            <w:r w:rsidR="00332A29">
              <w:rPr>
                <w:noProof/>
                <w:webHidden/>
              </w:rPr>
              <w:tab/>
            </w:r>
            <w:r w:rsidR="00332A29">
              <w:rPr>
                <w:noProof/>
                <w:webHidden/>
              </w:rPr>
              <w:fldChar w:fldCharType="begin"/>
            </w:r>
            <w:r w:rsidR="00332A29">
              <w:rPr>
                <w:noProof/>
                <w:webHidden/>
              </w:rPr>
              <w:instrText xml:space="preserve"> PAGEREF _Toc77074588 \h </w:instrText>
            </w:r>
            <w:r w:rsidR="00332A29">
              <w:rPr>
                <w:noProof/>
                <w:webHidden/>
              </w:rPr>
            </w:r>
            <w:r w:rsidR="00332A29">
              <w:rPr>
                <w:noProof/>
                <w:webHidden/>
              </w:rPr>
              <w:fldChar w:fldCharType="separate"/>
            </w:r>
            <w:r w:rsidR="00332A29">
              <w:rPr>
                <w:noProof/>
                <w:webHidden/>
              </w:rPr>
              <w:t>107</w:t>
            </w:r>
            <w:r w:rsidR="00332A29">
              <w:rPr>
                <w:noProof/>
                <w:webHidden/>
              </w:rPr>
              <w:fldChar w:fldCharType="end"/>
            </w:r>
          </w:hyperlink>
        </w:p>
        <w:p w14:paraId="25271235" w14:textId="77777777" w:rsidR="00332A29" w:rsidRDefault="00183F7E">
          <w:pPr>
            <w:pStyle w:val="Obsah2"/>
            <w:tabs>
              <w:tab w:val="left" w:pos="880"/>
              <w:tab w:val="right" w:leader="dot" w:pos="9062"/>
            </w:tabs>
            <w:rPr>
              <w:rFonts w:eastAsiaTheme="minorEastAsia"/>
              <w:noProof/>
              <w:lang w:eastAsia="cs-CZ"/>
            </w:rPr>
          </w:pPr>
          <w:hyperlink w:anchor="_Toc77074589" w:history="1">
            <w:r w:rsidR="00332A29" w:rsidRPr="00617EE2">
              <w:rPr>
                <w:rStyle w:val="Hypertextovodkaz"/>
                <w:noProof/>
              </w:rPr>
              <w:t>1.4</w:t>
            </w:r>
            <w:r w:rsidR="00332A29">
              <w:rPr>
                <w:rFonts w:eastAsiaTheme="minorEastAsia"/>
                <w:noProof/>
                <w:lang w:eastAsia="cs-CZ"/>
              </w:rPr>
              <w:tab/>
            </w:r>
            <w:r w:rsidR="00332A29" w:rsidRPr="00617EE2">
              <w:rPr>
                <w:rStyle w:val="Hypertextovodkaz"/>
                <w:noProof/>
              </w:rPr>
              <w:t>Město s udržitelnou dopravou a technickou infrastrukturou</w:t>
            </w:r>
            <w:r w:rsidR="00332A29">
              <w:rPr>
                <w:noProof/>
                <w:webHidden/>
              </w:rPr>
              <w:tab/>
            </w:r>
            <w:r w:rsidR="00332A29">
              <w:rPr>
                <w:noProof/>
                <w:webHidden/>
              </w:rPr>
              <w:fldChar w:fldCharType="begin"/>
            </w:r>
            <w:r w:rsidR="00332A29">
              <w:rPr>
                <w:noProof/>
                <w:webHidden/>
              </w:rPr>
              <w:instrText xml:space="preserve"> PAGEREF _Toc77074589 \h </w:instrText>
            </w:r>
            <w:r w:rsidR="00332A29">
              <w:rPr>
                <w:noProof/>
                <w:webHidden/>
              </w:rPr>
            </w:r>
            <w:r w:rsidR="00332A29">
              <w:rPr>
                <w:noProof/>
                <w:webHidden/>
              </w:rPr>
              <w:fldChar w:fldCharType="separate"/>
            </w:r>
            <w:r w:rsidR="00332A29">
              <w:rPr>
                <w:noProof/>
                <w:webHidden/>
              </w:rPr>
              <w:t>109</w:t>
            </w:r>
            <w:r w:rsidR="00332A29">
              <w:rPr>
                <w:noProof/>
                <w:webHidden/>
              </w:rPr>
              <w:fldChar w:fldCharType="end"/>
            </w:r>
          </w:hyperlink>
        </w:p>
        <w:p w14:paraId="66F2370B" w14:textId="77777777" w:rsidR="00332A29" w:rsidRDefault="00183F7E">
          <w:pPr>
            <w:pStyle w:val="Obsah3"/>
            <w:tabs>
              <w:tab w:val="left" w:pos="1320"/>
              <w:tab w:val="right" w:leader="dot" w:pos="9062"/>
            </w:tabs>
            <w:rPr>
              <w:rFonts w:eastAsiaTheme="minorEastAsia"/>
              <w:noProof/>
              <w:lang w:eastAsia="cs-CZ"/>
            </w:rPr>
          </w:pPr>
          <w:hyperlink w:anchor="_Toc77074590" w:history="1">
            <w:r w:rsidR="00332A29" w:rsidRPr="00617EE2">
              <w:rPr>
                <w:rStyle w:val="Hypertextovodkaz"/>
                <w:noProof/>
              </w:rPr>
              <w:t>1.4.1</w:t>
            </w:r>
            <w:r w:rsidR="00332A29">
              <w:rPr>
                <w:rFonts w:eastAsiaTheme="minorEastAsia"/>
                <w:noProof/>
                <w:lang w:eastAsia="cs-CZ"/>
              </w:rPr>
              <w:tab/>
            </w:r>
            <w:r w:rsidR="00332A29" w:rsidRPr="00617EE2">
              <w:rPr>
                <w:rStyle w:val="Hypertextovodkaz"/>
                <w:noProof/>
              </w:rPr>
              <w:t>Dopravní infrastruktura</w:t>
            </w:r>
            <w:r w:rsidR="00332A29">
              <w:rPr>
                <w:noProof/>
                <w:webHidden/>
              </w:rPr>
              <w:tab/>
            </w:r>
            <w:r w:rsidR="00332A29">
              <w:rPr>
                <w:noProof/>
                <w:webHidden/>
              </w:rPr>
              <w:fldChar w:fldCharType="begin"/>
            </w:r>
            <w:r w:rsidR="00332A29">
              <w:rPr>
                <w:noProof/>
                <w:webHidden/>
              </w:rPr>
              <w:instrText xml:space="preserve"> PAGEREF _Toc77074590 \h </w:instrText>
            </w:r>
            <w:r w:rsidR="00332A29">
              <w:rPr>
                <w:noProof/>
                <w:webHidden/>
              </w:rPr>
            </w:r>
            <w:r w:rsidR="00332A29">
              <w:rPr>
                <w:noProof/>
                <w:webHidden/>
              </w:rPr>
              <w:fldChar w:fldCharType="separate"/>
            </w:r>
            <w:r w:rsidR="00332A29">
              <w:rPr>
                <w:noProof/>
                <w:webHidden/>
              </w:rPr>
              <w:t>109</w:t>
            </w:r>
            <w:r w:rsidR="00332A29">
              <w:rPr>
                <w:noProof/>
                <w:webHidden/>
              </w:rPr>
              <w:fldChar w:fldCharType="end"/>
            </w:r>
          </w:hyperlink>
        </w:p>
        <w:p w14:paraId="75369F3F" w14:textId="77777777" w:rsidR="00332A29" w:rsidRDefault="00183F7E">
          <w:pPr>
            <w:pStyle w:val="Obsah3"/>
            <w:tabs>
              <w:tab w:val="left" w:pos="1320"/>
              <w:tab w:val="right" w:leader="dot" w:pos="9062"/>
            </w:tabs>
            <w:rPr>
              <w:rFonts w:eastAsiaTheme="minorEastAsia"/>
              <w:noProof/>
              <w:lang w:eastAsia="cs-CZ"/>
            </w:rPr>
          </w:pPr>
          <w:hyperlink w:anchor="_Toc77074591" w:history="1">
            <w:r w:rsidR="00332A29" w:rsidRPr="00617EE2">
              <w:rPr>
                <w:rStyle w:val="Hypertextovodkaz"/>
                <w:noProof/>
              </w:rPr>
              <w:t>1.4.2</w:t>
            </w:r>
            <w:r w:rsidR="00332A29">
              <w:rPr>
                <w:rFonts w:eastAsiaTheme="minorEastAsia"/>
                <w:noProof/>
                <w:lang w:eastAsia="cs-CZ"/>
              </w:rPr>
              <w:tab/>
            </w:r>
            <w:r w:rsidR="00332A29" w:rsidRPr="00617EE2">
              <w:rPr>
                <w:rStyle w:val="Hypertextovodkaz"/>
                <w:noProof/>
              </w:rPr>
              <w:t>Technická infrastruktura – stávající stav a problémy</w:t>
            </w:r>
            <w:r w:rsidR="00332A29">
              <w:rPr>
                <w:noProof/>
                <w:webHidden/>
              </w:rPr>
              <w:tab/>
            </w:r>
            <w:r w:rsidR="00332A29">
              <w:rPr>
                <w:noProof/>
                <w:webHidden/>
              </w:rPr>
              <w:fldChar w:fldCharType="begin"/>
            </w:r>
            <w:r w:rsidR="00332A29">
              <w:rPr>
                <w:noProof/>
                <w:webHidden/>
              </w:rPr>
              <w:instrText xml:space="preserve"> PAGEREF _Toc77074591 \h </w:instrText>
            </w:r>
            <w:r w:rsidR="00332A29">
              <w:rPr>
                <w:noProof/>
                <w:webHidden/>
              </w:rPr>
            </w:r>
            <w:r w:rsidR="00332A29">
              <w:rPr>
                <w:noProof/>
                <w:webHidden/>
              </w:rPr>
              <w:fldChar w:fldCharType="separate"/>
            </w:r>
            <w:r w:rsidR="00332A29">
              <w:rPr>
                <w:noProof/>
                <w:webHidden/>
              </w:rPr>
              <w:t>124</w:t>
            </w:r>
            <w:r w:rsidR="00332A29">
              <w:rPr>
                <w:noProof/>
                <w:webHidden/>
              </w:rPr>
              <w:fldChar w:fldCharType="end"/>
            </w:r>
          </w:hyperlink>
        </w:p>
        <w:p w14:paraId="4B883690" w14:textId="77777777" w:rsidR="00332A29" w:rsidRDefault="00183F7E">
          <w:pPr>
            <w:pStyle w:val="Obsah3"/>
            <w:tabs>
              <w:tab w:val="left" w:pos="1320"/>
              <w:tab w:val="right" w:leader="dot" w:pos="9062"/>
            </w:tabs>
            <w:rPr>
              <w:rFonts w:eastAsiaTheme="minorEastAsia"/>
              <w:noProof/>
              <w:lang w:eastAsia="cs-CZ"/>
            </w:rPr>
          </w:pPr>
          <w:hyperlink w:anchor="_Toc77074592" w:history="1">
            <w:r w:rsidR="00332A29" w:rsidRPr="00617EE2">
              <w:rPr>
                <w:rStyle w:val="Hypertextovodkaz"/>
                <w:noProof/>
              </w:rPr>
              <w:t>1.4.3</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_Toc77074592 \h </w:instrText>
            </w:r>
            <w:r w:rsidR="00332A29">
              <w:rPr>
                <w:noProof/>
                <w:webHidden/>
              </w:rPr>
            </w:r>
            <w:r w:rsidR="00332A29">
              <w:rPr>
                <w:noProof/>
                <w:webHidden/>
              </w:rPr>
              <w:fldChar w:fldCharType="separate"/>
            </w:r>
            <w:r w:rsidR="00332A29">
              <w:rPr>
                <w:noProof/>
                <w:webHidden/>
              </w:rPr>
              <w:t>138</w:t>
            </w:r>
            <w:r w:rsidR="00332A29">
              <w:rPr>
                <w:noProof/>
                <w:webHidden/>
              </w:rPr>
              <w:fldChar w:fldCharType="end"/>
            </w:r>
          </w:hyperlink>
        </w:p>
        <w:p w14:paraId="43A203C2" w14:textId="77777777" w:rsidR="00332A29" w:rsidRDefault="00183F7E">
          <w:pPr>
            <w:pStyle w:val="Obsah3"/>
            <w:tabs>
              <w:tab w:val="left" w:pos="1320"/>
              <w:tab w:val="right" w:leader="dot" w:pos="9062"/>
            </w:tabs>
            <w:rPr>
              <w:rFonts w:eastAsiaTheme="minorEastAsia"/>
              <w:noProof/>
              <w:lang w:eastAsia="cs-CZ"/>
            </w:rPr>
          </w:pPr>
          <w:hyperlink w:anchor="_Toc77074593" w:history="1">
            <w:r w:rsidR="00332A29" w:rsidRPr="00617EE2">
              <w:rPr>
                <w:rStyle w:val="Hypertextovodkaz"/>
                <w:noProof/>
              </w:rPr>
              <w:t>1.4.4</w:t>
            </w:r>
            <w:r w:rsidR="00332A29">
              <w:rPr>
                <w:rFonts w:eastAsiaTheme="minorEastAsia"/>
                <w:noProof/>
                <w:lang w:eastAsia="cs-CZ"/>
              </w:rPr>
              <w:tab/>
            </w:r>
            <w:r w:rsidR="00332A29" w:rsidRPr="00617EE2">
              <w:rPr>
                <w:rStyle w:val="Hypertextovodkaz"/>
                <w:noProof/>
              </w:rPr>
              <w:t>SWOT analýza</w:t>
            </w:r>
            <w:r w:rsidR="00332A29">
              <w:rPr>
                <w:noProof/>
                <w:webHidden/>
              </w:rPr>
              <w:tab/>
            </w:r>
            <w:r w:rsidR="00332A29">
              <w:rPr>
                <w:noProof/>
                <w:webHidden/>
              </w:rPr>
              <w:fldChar w:fldCharType="begin"/>
            </w:r>
            <w:r w:rsidR="00332A29">
              <w:rPr>
                <w:noProof/>
                <w:webHidden/>
              </w:rPr>
              <w:instrText xml:space="preserve"> PAGEREF _Toc77074593 \h </w:instrText>
            </w:r>
            <w:r w:rsidR="00332A29">
              <w:rPr>
                <w:noProof/>
                <w:webHidden/>
              </w:rPr>
            </w:r>
            <w:r w:rsidR="00332A29">
              <w:rPr>
                <w:noProof/>
                <w:webHidden/>
              </w:rPr>
              <w:fldChar w:fldCharType="separate"/>
            </w:r>
            <w:r w:rsidR="00332A29">
              <w:rPr>
                <w:noProof/>
                <w:webHidden/>
              </w:rPr>
              <w:t>139</w:t>
            </w:r>
            <w:r w:rsidR="00332A29">
              <w:rPr>
                <w:noProof/>
                <w:webHidden/>
              </w:rPr>
              <w:fldChar w:fldCharType="end"/>
            </w:r>
          </w:hyperlink>
        </w:p>
        <w:p w14:paraId="39771453" w14:textId="77777777" w:rsidR="00332A29" w:rsidRDefault="00183F7E">
          <w:pPr>
            <w:pStyle w:val="Obsah2"/>
            <w:tabs>
              <w:tab w:val="left" w:pos="880"/>
              <w:tab w:val="right" w:leader="dot" w:pos="9062"/>
            </w:tabs>
            <w:rPr>
              <w:rFonts w:eastAsiaTheme="minorEastAsia"/>
              <w:noProof/>
              <w:lang w:eastAsia="cs-CZ"/>
            </w:rPr>
          </w:pPr>
          <w:hyperlink w:anchor="_Toc77074594" w:history="1">
            <w:r w:rsidR="00332A29" w:rsidRPr="00617EE2">
              <w:rPr>
                <w:rStyle w:val="Hypertextovodkaz"/>
                <w:noProof/>
              </w:rPr>
              <w:t>1.5</w:t>
            </w:r>
            <w:r w:rsidR="00332A29">
              <w:rPr>
                <w:rFonts w:eastAsiaTheme="minorEastAsia"/>
                <w:noProof/>
                <w:lang w:eastAsia="cs-CZ"/>
              </w:rPr>
              <w:tab/>
            </w:r>
            <w:r w:rsidR="00332A29" w:rsidRPr="00617EE2">
              <w:rPr>
                <w:rStyle w:val="Hypertextovodkaz"/>
                <w:noProof/>
              </w:rPr>
              <w:t>Bezpečné město</w:t>
            </w:r>
            <w:r w:rsidR="00332A29">
              <w:rPr>
                <w:noProof/>
                <w:webHidden/>
              </w:rPr>
              <w:tab/>
            </w:r>
            <w:r w:rsidR="00332A29">
              <w:rPr>
                <w:noProof/>
                <w:webHidden/>
              </w:rPr>
              <w:fldChar w:fldCharType="begin"/>
            </w:r>
            <w:r w:rsidR="00332A29">
              <w:rPr>
                <w:noProof/>
                <w:webHidden/>
              </w:rPr>
              <w:instrText xml:space="preserve"> PAGEREF _Toc77074594 \h </w:instrText>
            </w:r>
            <w:r w:rsidR="00332A29">
              <w:rPr>
                <w:noProof/>
                <w:webHidden/>
              </w:rPr>
            </w:r>
            <w:r w:rsidR="00332A29">
              <w:rPr>
                <w:noProof/>
                <w:webHidden/>
              </w:rPr>
              <w:fldChar w:fldCharType="separate"/>
            </w:r>
            <w:r w:rsidR="00332A29">
              <w:rPr>
                <w:noProof/>
                <w:webHidden/>
              </w:rPr>
              <w:t>141</w:t>
            </w:r>
            <w:r w:rsidR="00332A29">
              <w:rPr>
                <w:noProof/>
                <w:webHidden/>
              </w:rPr>
              <w:fldChar w:fldCharType="end"/>
            </w:r>
          </w:hyperlink>
        </w:p>
        <w:p w14:paraId="28538EBE" w14:textId="77777777" w:rsidR="00332A29" w:rsidRDefault="00183F7E">
          <w:pPr>
            <w:pStyle w:val="Obsah3"/>
            <w:tabs>
              <w:tab w:val="left" w:pos="1320"/>
              <w:tab w:val="right" w:leader="dot" w:pos="9062"/>
            </w:tabs>
            <w:rPr>
              <w:rFonts w:eastAsiaTheme="minorEastAsia"/>
              <w:noProof/>
              <w:lang w:eastAsia="cs-CZ"/>
            </w:rPr>
          </w:pPr>
          <w:hyperlink w:anchor="_Toc77074595" w:history="1">
            <w:r w:rsidR="00332A29" w:rsidRPr="00617EE2">
              <w:rPr>
                <w:rStyle w:val="Hypertextovodkaz"/>
                <w:noProof/>
              </w:rPr>
              <w:t>1.5.1</w:t>
            </w:r>
            <w:r w:rsidR="00332A29">
              <w:rPr>
                <w:rFonts w:eastAsiaTheme="minorEastAsia"/>
                <w:noProof/>
                <w:lang w:eastAsia="cs-CZ"/>
              </w:rPr>
              <w:tab/>
            </w:r>
            <w:r w:rsidR="00332A29" w:rsidRPr="00617EE2">
              <w:rPr>
                <w:rStyle w:val="Hypertextovodkaz"/>
                <w:noProof/>
              </w:rPr>
              <w:t>Bezpečnost a kriminalita</w:t>
            </w:r>
            <w:r w:rsidR="00332A29">
              <w:rPr>
                <w:noProof/>
                <w:webHidden/>
              </w:rPr>
              <w:tab/>
            </w:r>
            <w:r w:rsidR="00332A29">
              <w:rPr>
                <w:noProof/>
                <w:webHidden/>
              </w:rPr>
              <w:fldChar w:fldCharType="begin"/>
            </w:r>
            <w:r w:rsidR="00332A29">
              <w:rPr>
                <w:noProof/>
                <w:webHidden/>
              </w:rPr>
              <w:instrText xml:space="preserve"> PAGEREF _Toc77074595 \h </w:instrText>
            </w:r>
            <w:r w:rsidR="00332A29">
              <w:rPr>
                <w:noProof/>
                <w:webHidden/>
              </w:rPr>
            </w:r>
            <w:r w:rsidR="00332A29">
              <w:rPr>
                <w:noProof/>
                <w:webHidden/>
              </w:rPr>
              <w:fldChar w:fldCharType="separate"/>
            </w:r>
            <w:r w:rsidR="00332A29">
              <w:rPr>
                <w:noProof/>
                <w:webHidden/>
              </w:rPr>
              <w:t>141</w:t>
            </w:r>
            <w:r w:rsidR="00332A29">
              <w:rPr>
                <w:noProof/>
                <w:webHidden/>
              </w:rPr>
              <w:fldChar w:fldCharType="end"/>
            </w:r>
          </w:hyperlink>
        </w:p>
        <w:p w14:paraId="2897D9A7" w14:textId="77777777" w:rsidR="00332A29" w:rsidRDefault="00183F7E">
          <w:pPr>
            <w:pStyle w:val="Obsah3"/>
            <w:tabs>
              <w:tab w:val="left" w:pos="1320"/>
              <w:tab w:val="right" w:leader="dot" w:pos="9062"/>
            </w:tabs>
            <w:rPr>
              <w:rFonts w:eastAsiaTheme="minorEastAsia"/>
              <w:noProof/>
              <w:lang w:eastAsia="cs-CZ"/>
            </w:rPr>
          </w:pPr>
          <w:hyperlink w:anchor="_Toc77074596" w:history="1">
            <w:r w:rsidR="00332A29" w:rsidRPr="00617EE2">
              <w:rPr>
                <w:rStyle w:val="Hypertextovodkaz"/>
                <w:noProof/>
              </w:rPr>
              <w:t>1.5.2</w:t>
            </w:r>
            <w:r w:rsidR="00332A29">
              <w:rPr>
                <w:rFonts w:eastAsiaTheme="minorEastAsia"/>
                <w:noProof/>
                <w:lang w:eastAsia="cs-CZ"/>
              </w:rPr>
              <w:tab/>
            </w:r>
            <w:r w:rsidR="00332A29" w:rsidRPr="00617EE2">
              <w:rPr>
                <w:rStyle w:val="Hypertextovodkaz"/>
                <w:noProof/>
              </w:rPr>
              <w:t>Městská policie</w:t>
            </w:r>
            <w:r w:rsidR="00332A29">
              <w:rPr>
                <w:noProof/>
                <w:webHidden/>
              </w:rPr>
              <w:tab/>
            </w:r>
            <w:r w:rsidR="00332A29">
              <w:rPr>
                <w:noProof/>
                <w:webHidden/>
              </w:rPr>
              <w:fldChar w:fldCharType="begin"/>
            </w:r>
            <w:r w:rsidR="00332A29">
              <w:rPr>
                <w:noProof/>
                <w:webHidden/>
              </w:rPr>
              <w:instrText xml:space="preserve"> PAGEREF _Toc77074596 \h </w:instrText>
            </w:r>
            <w:r w:rsidR="00332A29">
              <w:rPr>
                <w:noProof/>
                <w:webHidden/>
              </w:rPr>
            </w:r>
            <w:r w:rsidR="00332A29">
              <w:rPr>
                <w:noProof/>
                <w:webHidden/>
              </w:rPr>
              <w:fldChar w:fldCharType="separate"/>
            </w:r>
            <w:r w:rsidR="00332A29">
              <w:rPr>
                <w:noProof/>
                <w:webHidden/>
              </w:rPr>
              <w:t>146</w:t>
            </w:r>
            <w:r w:rsidR="00332A29">
              <w:rPr>
                <w:noProof/>
                <w:webHidden/>
              </w:rPr>
              <w:fldChar w:fldCharType="end"/>
            </w:r>
          </w:hyperlink>
        </w:p>
        <w:p w14:paraId="6485B235" w14:textId="77777777" w:rsidR="00332A29" w:rsidRDefault="00183F7E">
          <w:pPr>
            <w:pStyle w:val="Obsah3"/>
            <w:tabs>
              <w:tab w:val="left" w:pos="1320"/>
              <w:tab w:val="right" w:leader="dot" w:pos="9062"/>
            </w:tabs>
            <w:rPr>
              <w:rFonts w:eastAsiaTheme="minorEastAsia"/>
              <w:noProof/>
              <w:lang w:eastAsia="cs-CZ"/>
            </w:rPr>
          </w:pPr>
          <w:hyperlink w:anchor="_Toc77074597" w:history="1">
            <w:r w:rsidR="00332A29" w:rsidRPr="00617EE2">
              <w:rPr>
                <w:rStyle w:val="Hypertextovodkaz"/>
                <w:noProof/>
              </w:rPr>
              <w:t>1.5.3</w:t>
            </w:r>
            <w:r w:rsidR="00332A29">
              <w:rPr>
                <w:rFonts w:eastAsiaTheme="minorEastAsia"/>
                <w:noProof/>
                <w:lang w:eastAsia="cs-CZ"/>
              </w:rPr>
              <w:tab/>
            </w:r>
            <w:r w:rsidR="00332A29" w:rsidRPr="00617EE2">
              <w:rPr>
                <w:rStyle w:val="Hypertextovodkaz"/>
                <w:noProof/>
              </w:rPr>
              <w:t>Krizové řízení a ochrana obyvatelstva</w:t>
            </w:r>
            <w:r w:rsidR="00332A29">
              <w:rPr>
                <w:noProof/>
                <w:webHidden/>
              </w:rPr>
              <w:tab/>
            </w:r>
            <w:r w:rsidR="00332A29">
              <w:rPr>
                <w:noProof/>
                <w:webHidden/>
              </w:rPr>
              <w:fldChar w:fldCharType="begin"/>
            </w:r>
            <w:r w:rsidR="00332A29">
              <w:rPr>
                <w:noProof/>
                <w:webHidden/>
              </w:rPr>
              <w:instrText xml:space="preserve"> PAGEREF _Toc77074597 \h </w:instrText>
            </w:r>
            <w:r w:rsidR="00332A29">
              <w:rPr>
                <w:noProof/>
                <w:webHidden/>
              </w:rPr>
            </w:r>
            <w:r w:rsidR="00332A29">
              <w:rPr>
                <w:noProof/>
                <w:webHidden/>
              </w:rPr>
              <w:fldChar w:fldCharType="separate"/>
            </w:r>
            <w:r w:rsidR="00332A29">
              <w:rPr>
                <w:noProof/>
                <w:webHidden/>
              </w:rPr>
              <w:t>149</w:t>
            </w:r>
            <w:r w:rsidR="00332A29">
              <w:rPr>
                <w:noProof/>
                <w:webHidden/>
              </w:rPr>
              <w:fldChar w:fldCharType="end"/>
            </w:r>
          </w:hyperlink>
        </w:p>
        <w:p w14:paraId="78129396" w14:textId="77777777" w:rsidR="00332A29" w:rsidRDefault="00183F7E">
          <w:pPr>
            <w:pStyle w:val="Obsah3"/>
            <w:tabs>
              <w:tab w:val="left" w:pos="1320"/>
              <w:tab w:val="right" w:leader="dot" w:pos="9062"/>
            </w:tabs>
            <w:rPr>
              <w:rFonts w:eastAsiaTheme="minorEastAsia"/>
              <w:noProof/>
              <w:lang w:eastAsia="cs-CZ"/>
            </w:rPr>
          </w:pPr>
          <w:hyperlink w:anchor="_Toc77074598" w:history="1">
            <w:r w:rsidR="00332A29" w:rsidRPr="00617EE2">
              <w:rPr>
                <w:rStyle w:val="Hypertextovodkaz"/>
                <w:noProof/>
              </w:rPr>
              <w:t>1.5.4</w:t>
            </w:r>
            <w:r w:rsidR="00332A29">
              <w:rPr>
                <w:rFonts w:eastAsiaTheme="minorEastAsia"/>
                <w:noProof/>
                <w:lang w:eastAsia="cs-CZ"/>
              </w:rPr>
              <w:tab/>
            </w:r>
            <w:r w:rsidR="00332A29" w:rsidRPr="00617EE2">
              <w:rPr>
                <w:rStyle w:val="Hypertextovodkaz"/>
                <w:noProof/>
              </w:rPr>
              <w:t>Bezpečnost silničního provozu</w:t>
            </w:r>
            <w:r w:rsidR="00332A29">
              <w:rPr>
                <w:noProof/>
                <w:webHidden/>
              </w:rPr>
              <w:tab/>
            </w:r>
            <w:r w:rsidR="00332A29">
              <w:rPr>
                <w:noProof/>
                <w:webHidden/>
              </w:rPr>
              <w:fldChar w:fldCharType="begin"/>
            </w:r>
            <w:r w:rsidR="00332A29">
              <w:rPr>
                <w:noProof/>
                <w:webHidden/>
              </w:rPr>
              <w:instrText xml:space="preserve"> PAGEREF _Toc77074598 \h </w:instrText>
            </w:r>
            <w:r w:rsidR="00332A29">
              <w:rPr>
                <w:noProof/>
                <w:webHidden/>
              </w:rPr>
            </w:r>
            <w:r w:rsidR="00332A29">
              <w:rPr>
                <w:noProof/>
                <w:webHidden/>
              </w:rPr>
              <w:fldChar w:fldCharType="separate"/>
            </w:r>
            <w:r w:rsidR="00332A29">
              <w:rPr>
                <w:noProof/>
                <w:webHidden/>
              </w:rPr>
              <w:t>152</w:t>
            </w:r>
            <w:r w:rsidR="00332A29">
              <w:rPr>
                <w:noProof/>
                <w:webHidden/>
              </w:rPr>
              <w:fldChar w:fldCharType="end"/>
            </w:r>
          </w:hyperlink>
        </w:p>
        <w:p w14:paraId="7BB4D6C0" w14:textId="77777777" w:rsidR="00332A29" w:rsidRDefault="00183F7E">
          <w:pPr>
            <w:pStyle w:val="Obsah3"/>
            <w:tabs>
              <w:tab w:val="left" w:pos="1320"/>
              <w:tab w:val="right" w:leader="dot" w:pos="9062"/>
            </w:tabs>
            <w:rPr>
              <w:rFonts w:eastAsiaTheme="minorEastAsia"/>
              <w:noProof/>
              <w:lang w:eastAsia="cs-CZ"/>
            </w:rPr>
          </w:pPr>
          <w:hyperlink w:anchor="_Toc77074599" w:history="1">
            <w:r w:rsidR="00332A29" w:rsidRPr="00617EE2">
              <w:rPr>
                <w:rStyle w:val="Hypertextovodkaz"/>
                <w:noProof/>
              </w:rPr>
              <w:t>1.5.5</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_Toc77074599 \h </w:instrText>
            </w:r>
            <w:r w:rsidR="00332A29">
              <w:rPr>
                <w:noProof/>
                <w:webHidden/>
              </w:rPr>
            </w:r>
            <w:r w:rsidR="00332A29">
              <w:rPr>
                <w:noProof/>
                <w:webHidden/>
              </w:rPr>
              <w:fldChar w:fldCharType="separate"/>
            </w:r>
            <w:r w:rsidR="00332A29">
              <w:rPr>
                <w:noProof/>
                <w:webHidden/>
              </w:rPr>
              <w:t>155</w:t>
            </w:r>
            <w:r w:rsidR="00332A29">
              <w:rPr>
                <w:noProof/>
                <w:webHidden/>
              </w:rPr>
              <w:fldChar w:fldCharType="end"/>
            </w:r>
          </w:hyperlink>
        </w:p>
        <w:p w14:paraId="639F8E4A" w14:textId="77777777" w:rsidR="00332A29" w:rsidRDefault="00183F7E">
          <w:pPr>
            <w:pStyle w:val="Obsah3"/>
            <w:tabs>
              <w:tab w:val="left" w:pos="1320"/>
              <w:tab w:val="right" w:leader="dot" w:pos="9062"/>
            </w:tabs>
            <w:rPr>
              <w:rFonts w:eastAsiaTheme="minorEastAsia"/>
              <w:noProof/>
              <w:lang w:eastAsia="cs-CZ"/>
            </w:rPr>
          </w:pPr>
          <w:hyperlink w:anchor="_Toc77074600" w:history="1">
            <w:r w:rsidR="00332A29" w:rsidRPr="00617EE2">
              <w:rPr>
                <w:rStyle w:val="Hypertextovodkaz"/>
                <w:noProof/>
              </w:rPr>
              <w:t>1.5.6</w:t>
            </w:r>
            <w:r w:rsidR="00332A29">
              <w:rPr>
                <w:rFonts w:eastAsiaTheme="minorEastAsia"/>
                <w:noProof/>
                <w:lang w:eastAsia="cs-CZ"/>
              </w:rPr>
              <w:tab/>
            </w:r>
            <w:r w:rsidR="00332A29" w:rsidRPr="00617EE2">
              <w:rPr>
                <w:rStyle w:val="Hypertextovodkaz"/>
                <w:noProof/>
              </w:rPr>
              <w:t>SWOT analýza</w:t>
            </w:r>
            <w:r w:rsidR="00332A29">
              <w:rPr>
                <w:noProof/>
                <w:webHidden/>
              </w:rPr>
              <w:tab/>
            </w:r>
            <w:r w:rsidR="00332A29">
              <w:rPr>
                <w:noProof/>
                <w:webHidden/>
              </w:rPr>
              <w:fldChar w:fldCharType="begin"/>
            </w:r>
            <w:r w:rsidR="00332A29">
              <w:rPr>
                <w:noProof/>
                <w:webHidden/>
              </w:rPr>
              <w:instrText xml:space="preserve"> PAGEREF _Toc77074600 \h </w:instrText>
            </w:r>
            <w:r w:rsidR="00332A29">
              <w:rPr>
                <w:noProof/>
                <w:webHidden/>
              </w:rPr>
            </w:r>
            <w:r w:rsidR="00332A29">
              <w:rPr>
                <w:noProof/>
                <w:webHidden/>
              </w:rPr>
              <w:fldChar w:fldCharType="separate"/>
            </w:r>
            <w:r w:rsidR="00332A29">
              <w:rPr>
                <w:noProof/>
                <w:webHidden/>
              </w:rPr>
              <w:t>156</w:t>
            </w:r>
            <w:r w:rsidR="00332A29">
              <w:rPr>
                <w:noProof/>
                <w:webHidden/>
              </w:rPr>
              <w:fldChar w:fldCharType="end"/>
            </w:r>
          </w:hyperlink>
        </w:p>
        <w:p w14:paraId="7B22A78A" w14:textId="77777777" w:rsidR="00332A29" w:rsidRDefault="00183F7E">
          <w:pPr>
            <w:pStyle w:val="Obsah2"/>
            <w:tabs>
              <w:tab w:val="left" w:pos="880"/>
              <w:tab w:val="right" w:leader="dot" w:pos="9062"/>
            </w:tabs>
            <w:rPr>
              <w:rFonts w:eastAsiaTheme="minorEastAsia"/>
              <w:noProof/>
              <w:lang w:eastAsia="cs-CZ"/>
            </w:rPr>
          </w:pPr>
          <w:hyperlink w:anchor="_Toc77074601" w:history="1">
            <w:r w:rsidR="00332A29" w:rsidRPr="00617EE2">
              <w:rPr>
                <w:rStyle w:val="Hypertextovodkaz"/>
                <w:noProof/>
              </w:rPr>
              <w:t>1.6</w:t>
            </w:r>
            <w:r w:rsidR="00332A29">
              <w:rPr>
                <w:rFonts w:eastAsiaTheme="minorEastAsia"/>
                <w:noProof/>
                <w:lang w:eastAsia="cs-CZ"/>
              </w:rPr>
              <w:tab/>
            </w:r>
            <w:r w:rsidR="00332A29" w:rsidRPr="00617EE2">
              <w:rPr>
                <w:rStyle w:val="Hypertextovodkaz"/>
                <w:noProof/>
              </w:rPr>
              <w:t>Vstřícné město</w:t>
            </w:r>
            <w:r w:rsidR="00332A29">
              <w:rPr>
                <w:noProof/>
                <w:webHidden/>
              </w:rPr>
              <w:tab/>
            </w:r>
            <w:r w:rsidR="00332A29">
              <w:rPr>
                <w:noProof/>
                <w:webHidden/>
              </w:rPr>
              <w:fldChar w:fldCharType="begin"/>
            </w:r>
            <w:r w:rsidR="00332A29">
              <w:rPr>
                <w:noProof/>
                <w:webHidden/>
              </w:rPr>
              <w:instrText xml:space="preserve"> PAGEREF _Toc77074601 \h </w:instrText>
            </w:r>
            <w:r w:rsidR="00332A29">
              <w:rPr>
                <w:noProof/>
                <w:webHidden/>
              </w:rPr>
            </w:r>
            <w:r w:rsidR="00332A29">
              <w:rPr>
                <w:noProof/>
                <w:webHidden/>
              </w:rPr>
              <w:fldChar w:fldCharType="separate"/>
            </w:r>
            <w:r w:rsidR="00332A29">
              <w:rPr>
                <w:noProof/>
                <w:webHidden/>
              </w:rPr>
              <w:t>158</w:t>
            </w:r>
            <w:r w:rsidR="00332A29">
              <w:rPr>
                <w:noProof/>
                <w:webHidden/>
              </w:rPr>
              <w:fldChar w:fldCharType="end"/>
            </w:r>
          </w:hyperlink>
        </w:p>
        <w:p w14:paraId="7B82403B" w14:textId="77777777" w:rsidR="00332A29" w:rsidRDefault="00183F7E">
          <w:pPr>
            <w:pStyle w:val="Obsah3"/>
            <w:tabs>
              <w:tab w:val="left" w:pos="1320"/>
              <w:tab w:val="right" w:leader="dot" w:pos="9062"/>
            </w:tabs>
            <w:rPr>
              <w:rFonts w:eastAsiaTheme="minorEastAsia"/>
              <w:noProof/>
              <w:lang w:eastAsia="cs-CZ"/>
            </w:rPr>
          </w:pPr>
          <w:hyperlink w:anchor="_Toc77074602" w:history="1">
            <w:r w:rsidR="00332A29" w:rsidRPr="00617EE2">
              <w:rPr>
                <w:rStyle w:val="Hypertextovodkaz"/>
                <w:noProof/>
              </w:rPr>
              <w:t>1.6.1</w:t>
            </w:r>
            <w:r w:rsidR="00332A29">
              <w:rPr>
                <w:rFonts w:eastAsiaTheme="minorEastAsia"/>
                <w:noProof/>
                <w:lang w:eastAsia="cs-CZ"/>
              </w:rPr>
              <w:tab/>
            </w:r>
            <w:r w:rsidR="00332A29" w:rsidRPr="00617EE2">
              <w:rPr>
                <w:rStyle w:val="Hypertextovodkaz"/>
                <w:noProof/>
              </w:rPr>
              <w:t>Ekonomický rozvoj a trh práce</w:t>
            </w:r>
            <w:r w:rsidR="00332A29">
              <w:rPr>
                <w:noProof/>
                <w:webHidden/>
              </w:rPr>
              <w:tab/>
            </w:r>
            <w:r w:rsidR="00332A29">
              <w:rPr>
                <w:noProof/>
                <w:webHidden/>
              </w:rPr>
              <w:fldChar w:fldCharType="begin"/>
            </w:r>
            <w:r w:rsidR="00332A29">
              <w:rPr>
                <w:noProof/>
                <w:webHidden/>
              </w:rPr>
              <w:instrText xml:space="preserve"> PAGEREF _Toc77074602 \h </w:instrText>
            </w:r>
            <w:r w:rsidR="00332A29">
              <w:rPr>
                <w:noProof/>
                <w:webHidden/>
              </w:rPr>
            </w:r>
            <w:r w:rsidR="00332A29">
              <w:rPr>
                <w:noProof/>
                <w:webHidden/>
              </w:rPr>
              <w:fldChar w:fldCharType="separate"/>
            </w:r>
            <w:r w:rsidR="00332A29">
              <w:rPr>
                <w:noProof/>
                <w:webHidden/>
              </w:rPr>
              <w:t>158</w:t>
            </w:r>
            <w:r w:rsidR="00332A29">
              <w:rPr>
                <w:noProof/>
                <w:webHidden/>
              </w:rPr>
              <w:fldChar w:fldCharType="end"/>
            </w:r>
          </w:hyperlink>
        </w:p>
        <w:p w14:paraId="4EE7153D" w14:textId="77777777" w:rsidR="00332A29" w:rsidRDefault="00183F7E">
          <w:pPr>
            <w:pStyle w:val="Obsah3"/>
            <w:tabs>
              <w:tab w:val="left" w:pos="1320"/>
              <w:tab w:val="right" w:leader="dot" w:pos="9062"/>
            </w:tabs>
            <w:rPr>
              <w:rFonts w:eastAsiaTheme="minorEastAsia"/>
              <w:noProof/>
              <w:lang w:eastAsia="cs-CZ"/>
            </w:rPr>
          </w:pPr>
          <w:hyperlink w:anchor="_Toc77074603" w:history="1">
            <w:r w:rsidR="00332A29" w:rsidRPr="00617EE2">
              <w:rPr>
                <w:rStyle w:val="Hypertextovodkaz"/>
                <w:noProof/>
              </w:rPr>
              <w:t>1.6.2</w:t>
            </w:r>
            <w:r w:rsidR="00332A29">
              <w:rPr>
                <w:rFonts w:eastAsiaTheme="minorEastAsia"/>
                <w:noProof/>
                <w:lang w:eastAsia="cs-CZ"/>
              </w:rPr>
              <w:tab/>
            </w:r>
            <w:r w:rsidR="00332A29" w:rsidRPr="00617EE2">
              <w:rPr>
                <w:rStyle w:val="Hypertextovodkaz"/>
                <w:noProof/>
              </w:rPr>
              <w:t>Ekonomická aktivita</w:t>
            </w:r>
            <w:r w:rsidR="00332A29">
              <w:rPr>
                <w:noProof/>
                <w:webHidden/>
              </w:rPr>
              <w:tab/>
            </w:r>
            <w:r w:rsidR="00332A29">
              <w:rPr>
                <w:noProof/>
                <w:webHidden/>
              </w:rPr>
              <w:fldChar w:fldCharType="begin"/>
            </w:r>
            <w:r w:rsidR="00332A29">
              <w:rPr>
                <w:noProof/>
                <w:webHidden/>
              </w:rPr>
              <w:instrText xml:space="preserve"> PAGEREF _Toc77074603 \h </w:instrText>
            </w:r>
            <w:r w:rsidR="00332A29">
              <w:rPr>
                <w:noProof/>
                <w:webHidden/>
              </w:rPr>
            </w:r>
            <w:r w:rsidR="00332A29">
              <w:rPr>
                <w:noProof/>
                <w:webHidden/>
              </w:rPr>
              <w:fldChar w:fldCharType="separate"/>
            </w:r>
            <w:r w:rsidR="00332A29">
              <w:rPr>
                <w:noProof/>
                <w:webHidden/>
              </w:rPr>
              <w:t>164</w:t>
            </w:r>
            <w:r w:rsidR="00332A29">
              <w:rPr>
                <w:noProof/>
                <w:webHidden/>
              </w:rPr>
              <w:fldChar w:fldCharType="end"/>
            </w:r>
          </w:hyperlink>
        </w:p>
        <w:p w14:paraId="12269E1A" w14:textId="77777777" w:rsidR="00332A29" w:rsidRDefault="00183F7E">
          <w:pPr>
            <w:pStyle w:val="Obsah3"/>
            <w:tabs>
              <w:tab w:val="left" w:pos="1320"/>
              <w:tab w:val="right" w:leader="dot" w:pos="9062"/>
            </w:tabs>
            <w:rPr>
              <w:rFonts w:eastAsiaTheme="minorEastAsia"/>
              <w:noProof/>
              <w:lang w:eastAsia="cs-CZ"/>
            </w:rPr>
          </w:pPr>
          <w:hyperlink w:anchor="_Toc77074604" w:history="1">
            <w:r w:rsidR="00332A29" w:rsidRPr="00617EE2">
              <w:rPr>
                <w:rStyle w:val="Hypertextovodkaz"/>
                <w:noProof/>
              </w:rPr>
              <w:t>1.6.3</w:t>
            </w:r>
            <w:r w:rsidR="00332A29">
              <w:rPr>
                <w:rFonts w:eastAsiaTheme="minorEastAsia"/>
                <w:noProof/>
                <w:lang w:eastAsia="cs-CZ"/>
              </w:rPr>
              <w:tab/>
            </w:r>
            <w:r w:rsidR="00332A29" w:rsidRPr="00617EE2">
              <w:rPr>
                <w:rStyle w:val="Hypertextovodkaz"/>
                <w:noProof/>
              </w:rPr>
              <w:t>Analýza stakeholderů</w:t>
            </w:r>
            <w:r w:rsidR="00332A29">
              <w:rPr>
                <w:noProof/>
                <w:webHidden/>
              </w:rPr>
              <w:tab/>
            </w:r>
            <w:r w:rsidR="00332A29">
              <w:rPr>
                <w:noProof/>
                <w:webHidden/>
              </w:rPr>
              <w:fldChar w:fldCharType="begin"/>
            </w:r>
            <w:r w:rsidR="00332A29">
              <w:rPr>
                <w:noProof/>
                <w:webHidden/>
              </w:rPr>
              <w:instrText xml:space="preserve"> PAGEREF _Toc77074604 \h </w:instrText>
            </w:r>
            <w:r w:rsidR="00332A29">
              <w:rPr>
                <w:noProof/>
                <w:webHidden/>
              </w:rPr>
            </w:r>
            <w:r w:rsidR="00332A29">
              <w:rPr>
                <w:noProof/>
                <w:webHidden/>
              </w:rPr>
              <w:fldChar w:fldCharType="separate"/>
            </w:r>
            <w:r w:rsidR="00332A29">
              <w:rPr>
                <w:noProof/>
                <w:webHidden/>
              </w:rPr>
              <w:t>177</w:t>
            </w:r>
            <w:r w:rsidR="00332A29">
              <w:rPr>
                <w:noProof/>
                <w:webHidden/>
              </w:rPr>
              <w:fldChar w:fldCharType="end"/>
            </w:r>
          </w:hyperlink>
        </w:p>
        <w:p w14:paraId="6E8C1639" w14:textId="77777777" w:rsidR="00332A29" w:rsidRDefault="00183F7E">
          <w:pPr>
            <w:pStyle w:val="Obsah3"/>
            <w:tabs>
              <w:tab w:val="left" w:pos="1320"/>
              <w:tab w:val="right" w:leader="dot" w:pos="9062"/>
            </w:tabs>
            <w:rPr>
              <w:rFonts w:eastAsiaTheme="minorEastAsia"/>
              <w:noProof/>
              <w:lang w:eastAsia="cs-CZ"/>
            </w:rPr>
          </w:pPr>
          <w:hyperlink w:anchor="_Toc77074605" w:history="1">
            <w:r w:rsidR="00332A29" w:rsidRPr="00617EE2">
              <w:rPr>
                <w:rStyle w:val="Hypertextovodkaz"/>
                <w:noProof/>
              </w:rPr>
              <w:t>1.6.4</w:t>
            </w:r>
            <w:r w:rsidR="00332A29">
              <w:rPr>
                <w:rFonts w:eastAsiaTheme="minorEastAsia"/>
                <w:noProof/>
                <w:lang w:eastAsia="cs-CZ"/>
              </w:rPr>
              <w:tab/>
            </w:r>
            <w:r w:rsidR="00332A29" w:rsidRPr="00617EE2">
              <w:rPr>
                <w:rStyle w:val="Hypertextovodkaz"/>
                <w:noProof/>
              </w:rPr>
              <w:t>Průzkum podnikatelského prostředí</w:t>
            </w:r>
            <w:r w:rsidR="00332A29">
              <w:rPr>
                <w:noProof/>
                <w:webHidden/>
              </w:rPr>
              <w:tab/>
            </w:r>
            <w:r w:rsidR="00332A29">
              <w:rPr>
                <w:noProof/>
                <w:webHidden/>
              </w:rPr>
              <w:fldChar w:fldCharType="begin"/>
            </w:r>
            <w:r w:rsidR="00332A29">
              <w:rPr>
                <w:noProof/>
                <w:webHidden/>
              </w:rPr>
              <w:instrText xml:space="preserve"> PAGEREF _Toc77074605 \h </w:instrText>
            </w:r>
            <w:r w:rsidR="00332A29">
              <w:rPr>
                <w:noProof/>
                <w:webHidden/>
              </w:rPr>
            </w:r>
            <w:r w:rsidR="00332A29">
              <w:rPr>
                <w:noProof/>
                <w:webHidden/>
              </w:rPr>
              <w:fldChar w:fldCharType="separate"/>
            </w:r>
            <w:r w:rsidR="00332A29">
              <w:rPr>
                <w:noProof/>
                <w:webHidden/>
              </w:rPr>
              <w:t>179</w:t>
            </w:r>
            <w:r w:rsidR="00332A29">
              <w:rPr>
                <w:noProof/>
                <w:webHidden/>
              </w:rPr>
              <w:fldChar w:fldCharType="end"/>
            </w:r>
          </w:hyperlink>
        </w:p>
        <w:p w14:paraId="0F3D6D30" w14:textId="77777777" w:rsidR="00332A29" w:rsidRDefault="00183F7E">
          <w:pPr>
            <w:pStyle w:val="Obsah3"/>
            <w:tabs>
              <w:tab w:val="left" w:pos="1320"/>
              <w:tab w:val="right" w:leader="dot" w:pos="9062"/>
            </w:tabs>
            <w:rPr>
              <w:rFonts w:eastAsiaTheme="minorEastAsia"/>
              <w:noProof/>
              <w:lang w:eastAsia="cs-CZ"/>
            </w:rPr>
          </w:pPr>
          <w:hyperlink w:anchor="_Toc77074606" w:history="1">
            <w:r w:rsidR="00332A29" w:rsidRPr="00617EE2">
              <w:rPr>
                <w:rStyle w:val="Hypertextovodkaz"/>
                <w:noProof/>
              </w:rPr>
              <w:t>1.6.5</w:t>
            </w:r>
            <w:r w:rsidR="00332A29">
              <w:rPr>
                <w:rFonts w:eastAsiaTheme="minorEastAsia"/>
                <w:noProof/>
                <w:lang w:eastAsia="cs-CZ"/>
              </w:rPr>
              <w:tab/>
            </w:r>
            <w:r w:rsidR="00332A29" w:rsidRPr="00617EE2">
              <w:rPr>
                <w:rStyle w:val="Hypertextovodkaz"/>
                <w:noProof/>
              </w:rPr>
              <w:t>Stav a potenciál rozvoje cestovního ruchu města</w:t>
            </w:r>
            <w:r w:rsidR="00332A29">
              <w:rPr>
                <w:noProof/>
                <w:webHidden/>
              </w:rPr>
              <w:tab/>
            </w:r>
            <w:r w:rsidR="00332A29">
              <w:rPr>
                <w:noProof/>
                <w:webHidden/>
              </w:rPr>
              <w:fldChar w:fldCharType="begin"/>
            </w:r>
            <w:r w:rsidR="00332A29">
              <w:rPr>
                <w:noProof/>
                <w:webHidden/>
              </w:rPr>
              <w:instrText xml:space="preserve"> PAGEREF _Toc77074606 \h </w:instrText>
            </w:r>
            <w:r w:rsidR="00332A29">
              <w:rPr>
                <w:noProof/>
                <w:webHidden/>
              </w:rPr>
            </w:r>
            <w:r w:rsidR="00332A29">
              <w:rPr>
                <w:noProof/>
                <w:webHidden/>
              </w:rPr>
              <w:fldChar w:fldCharType="separate"/>
            </w:r>
            <w:r w:rsidR="00332A29">
              <w:rPr>
                <w:noProof/>
                <w:webHidden/>
              </w:rPr>
              <w:t>181</w:t>
            </w:r>
            <w:r w:rsidR="00332A29">
              <w:rPr>
                <w:noProof/>
                <w:webHidden/>
              </w:rPr>
              <w:fldChar w:fldCharType="end"/>
            </w:r>
          </w:hyperlink>
        </w:p>
        <w:p w14:paraId="4292943E" w14:textId="77777777" w:rsidR="00332A29" w:rsidRDefault="00183F7E">
          <w:pPr>
            <w:pStyle w:val="Obsah3"/>
            <w:tabs>
              <w:tab w:val="left" w:pos="1320"/>
              <w:tab w:val="right" w:leader="dot" w:pos="9062"/>
            </w:tabs>
            <w:rPr>
              <w:rFonts w:eastAsiaTheme="minorEastAsia"/>
              <w:noProof/>
              <w:lang w:eastAsia="cs-CZ"/>
            </w:rPr>
          </w:pPr>
          <w:hyperlink w:anchor="_Toc77074607" w:history="1">
            <w:r w:rsidR="00332A29" w:rsidRPr="00617EE2">
              <w:rPr>
                <w:rStyle w:val="Hypertextovodkaz"/>
                <w:noProof/>
              </w:rPr>
              <w:t>1.6.6</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_Toc77074607 \h </w:instrText>
            </w:r>
            <w:r w:rsidR="00332A29">
              <w:rPr>
                <w:noProof/>
                <w:webHidden/>
              </w:rPr>
            </w:r>
            <w:r w:rsidR="00332A29">
              <w:rPr>
                <w:noProof/>
                <w:webHidden/>
              </w:rPr>
              <w:fldChar w:fldCharType="separate"/>
            </w:r>
            <w:r w:rsidR="00332A29">
              <w:rPr>
                <w:noProof/>
                <w:webHidden/>
              </w:rPr>
              <w:t>186</w:t>
            </w:r>
            <w:r w:rsidR="00332A29">
              <w:rPr>
                <w:noProof/>
                <w:webHidden/>
              </w:rPr>
              <w:fldChar w:fldCharType="end"/>
            </w:r>
          </w:hyperlink>
        </w:p>
        <w:p w14:paraId="0C4DE525" w14:textId="77777777" w:rsidR="00332A29" w:rsidRDefault="00183F7E">
          <w:pPr>
            <w:pStyle w:val="Obsah3"/>
            <w:tabs>
              <w:tab w:val="left" w:pos="1320"/>
              <w:tab w:val="right" w:leader="dot" w:pos="9062"/>
            </w:tabs>
            <w:rPr>
              <w:rFonts w:eastAsiaTheme="minorEastAsia"/>
              <w:noProof/>
              <w:lang w:eastAsia="cs-CZ"/>
            </w:rPr>
          </w:pPr>
          <w:hyperlink w:anchor="_Toc77074608" w:history="1">
            <w:r w:rsidR="00332A29" w:rsidRPr="00617EE2">
              <w:rPr>
                <w:rStyle w:val="Hypertextovodkaz"/>
                <w:noProof/>
              </w:rPr>
              <w:t>1.6.7</w:t>
            </w:r>
            <w:r w:rsidR="00332A29">
              <w:rPr>
                <w:rFonts w:eastAsiaTheme="minorEastAsia"/>
                <w:noProof/>
                <w:lang w:eastAsia="cs-CZ"/>
              </w:rPr>
              <w:tab/>
            </w:r>
            <w:r w:rsidR="00332A29" w:rsidRPr="00617EE2">
              <w:rPr>
                <w:rStyle w:val="Hypertextovodkaz"/>
                <w:noProof/>
              </w:rPr>
              <w:t>Řízení a správa města</w:t>
            </w:r>
            <w:r w:rsidR="00332A29">
              <w:rPr>
                <w:noProof/>
                <w:webHidden/>
              </w:rPr>
              <w:tab/>
            </w:r>
            <w:r w:rsidR="00332A29">
              <w:rPr>
                <w:noProof/>
                <w:webHidden/>
              </w:rPr>
              <w:fldChar w:fldCharType="begin"/>
            </w:r>
            <w:r w:rsidR="00332A29">
              <w:rPr>
                <w:noProof/>
                <w:webHidden/>
              </w:rPr>
              <w:instrText xml:space="preserve"> PAGEREF _Toc77074608 \h </w:instrText>
            </w:r>
            <w:r w:rsidR="00332A29">
              <w:rPr>
                <w:noProof/>
                <w:webHidden/>
              </w:rPr>
            </w:r>
            <w:r w:rsidR="00332A29">
              <w:rPr>
                <w:noProof/>
                <w:webHidden/>
              </w:rPr>
              <w:fldChar w:fldCharType="separate"/>
            </w:r>
            <w:r w:rsidR="00332A29">
              <w:rPr>
                <w:noProof/>
                <w:webHidden/>
              </w:rPr>
              <w:t>187</w:t>
            </w:r>
            <w:r w:rsidR="00332A29">
              <w:rPr>
                <w:noProof/>
                <w:webHidden/>
              </w:rPr>
              <w:fldChar w:fldCharType="end"/>
            </w:r>
          </w:hyperlink>
        </w:p>
        <w:p w14:paraId="235C6F05" w14:textId="77777777" w:rsidR="00332A29" w:rsidRDefault="00183F7E">
          <w:pPr>
            <w:pStyle w:val="Obsah3"/>
            <w:tabs>
              <w:tab w:val="left" w:pos="1320"/>
              <w:tab w:val="right" w:leader="dot" w:pos="9062"/>
            </w:tabs>
            <w:rPr>
              <w:rFonts w:eastAsiaTheme="minorEastAsia"/>
              <w:noProof/>
              <w:lang w:eastAsia="cs-CZ"/>
            </w:rPr>
          </w:pPr>
          <w:hyperlink w:anchor="_Toc77074609" w:history="1">
            <w:r w:rsidR="00332A29" w:rsidRPr="00617EE2">
              <w:rPr>
                <w:rStyle w:val="Hypertextovodkaz"/>
                <w:noProof/>
              </w:rPr>
              <w:t>1.6.8</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_Toc77074609 \h </w:instrText>
            </w:r>
            <w:r w:rsidR="00332A29">
              <w:rPr>
                <w:noProof/>
                <w:webHidden/>
              </w:rPr>
            </w:r>
            <w:r w:rsidR="00332A29">
              <w:rPr>
                <w:noProof/>
                <w:webHidden/>
              </w:rPr>
              <w:fldChar w:fldCharType="separate"/>
            </w:r>
            <w:r w:rsidR="00332A29">
              <w:rPr>
                <w:noProof/>
                <w:webHidden/>
              </w:rPr>
              <w:t>199</w:t>
            </w:r>
            <w:r w:rsidR="00332A29">
              <w:rPr>
                <w:noProof/>
                <w:webHidden/>
              </w:rPr>
              <w:fldChar w:fldCharType="end"/>
            </w:r>
          </w:hyperlink>
        </w:p>
        <w:p w14:paraId="2C1BDD99" w14:textId="77777777" w:rsidR="00332A29" w:rsidRDefault="00183F7E">
          <w:pPr>
            <w:pStyle w:val="Obsah3"/>
            <w:tabs>
              <w:tab w:val="left" w:pos="1320"/>
              <w:tab w:val="right" w:leader="dot" w:pos="9062"/>
            </w:tabs>
            <w:rPr>
              <w:rFonts w:eastAsiaTheme="minorEastAsia"/>
              <w:noProof/>
              <w:lang w:eastAsia="cs-CZ"/>
            </w:rPr>
          </w:pPr>
          <w:hyperlink w:anchor="_Toc77074610" w:history="1">
            <w:r w:rsidR="00332A29" w:rsidRPr="00617EE2">
              <w:rPr>
                <w:rStyle w:val="Hypertextovodkaz"/>
                <w:noProof/>
              </w:rPr>
              <w:t>1.6.9</w:t>
            </w:r>
            <w:r w:rsidR="00332A29">
              <w:rPr>
                <w:rFonts w:eastAsiaTheme="minorEastAsia"/>
                <w:noProof/>
                <w:lang w:eastAsia="cs-CZ"/>
              </w:rPr>
              <w:tab/>
            </w:r>
            <w:r w:rsidR="00332A29" w:rsidRPr="00617EE2">
              <w:rPr>
                <w:rStyle w:val="Hypertextovodkaz"/>
                <w:noProof/>
              </w:rPr>
              <w:t>SWOT analýza</w:t>
            </w:r>
            <w:r w:rsidR="00332A29">
              <w:rPr>
                <w:noProof/>
                <w:webHidden/>
              </w:rPr>
              <w:tab/>
            </w:r>
            <w:r w:rsidR="00332A29">
              <w:rPr>
                <w:noProof/>
                <w:webHidden/>
              </w:rPr>
              <w:fldChar w:fldCharType="begin"/>
            </w:r>
            <w:r w:rsidR="00332A29">
              <w:rPr>
                <w:noProof/>
                <w:webHidden/>
              </w:rPr>
              <w:instrText xml:space="preserve"> PAGEREF _Toc77074610 \h </w:instrText>
            </w:r>
            <w:r w:rsidR="00332A29">
              <w:rPr>
                <w:noProof/>
                <w:webHidden/>
              </w:rPr>
            </w:r>
            <w:r w:rsidR="00332A29">
              <w:rPr>
                <w:noProof/>
                <w:webHidden/>
              </w:rPr>
              <w:fldChar w:fldCharType="separate"/>
            </w:r>
            <w:r w:rsidR="00332A29">
              <w:rPr>
                <w:noProof/>
                <w:webHidden/>
              </w:rPr>
              <w:t>200</w:t>
            </w:r>
            <w:r w:rsidR="00332A29">
              <w:rPr>
                <w:noProof/>
                <w:webHidden/>
              </w:rPr>
              <w:fldChar w:fldCharType="end"/>
            </w:r>
          </w:hyperlink>
        </w:p>
        <w:p w14:paraId="4410F4B3" w14:textId="77777777" w:rsidR="00332A29" w:rsidRDefault="00183F7E">
          <w:pPr>
            <w:pStyle w:val="Obsah2"/>
            <w:tabs>
              <w:tab w:val="left" w:pos="880"/>
              <w:tab w:val="right" w:leader="dot" w:pos="9062"/>
            </w:tabs>
            <w:rPr>
              <w:rFonts w:eastAsiaTheme="minorEastAsia"/>
              <w:noProof/>
              <w:lang w:eastAsia="cs-CZ"/>
            </w:rPr>
          </w:pPr>
          <w:hyperlink w:anchor="_Toc77074611" w:history="1">
            <w:r w:rsidR="00332A29" w:rsidRPr="00617EE2">
              <w:rPr>
                <w:rStyle w:val="Hypertextovodkaz"/>
                <w:noProof/>
              </w:rPr>
              <w:t>1.7</w:t>
            </w:r>
            <w:r w:rsidR="00332A29">
              <w:rPr>
                <w:rFonts w:eastAsiaTheme="minorEastAsia"/>
                <w:noProof/>
                <w:lang w:eastAsia="cs-CZ"/>
              </w:rPr>
              <w:tab/>
            </w:r>
            <w:r w:rsidR="00332A29" w:rsidRPr="00617EE2">
              <w:rPr>
                <w:rStyle w:val="Hypertextovodkaz"/>
                <w:noProof/>
              </w:rPr>
              <w:t>Příloha kapitoly Kvalita života</w:t>
            </w:r>
            <w:r w:rsidR="00332A29">
              <w:rPr>
                <w:noProof/>
                <w:webHidden/>
              </w:rPr>
              <w:tab/>
            </w:r>
            <w:r w:rsidR="00332A29">
              <w:rPr>
                <w:noProof/>
                <w:webHidden/>
              </w:rPr>
              <w:fldChar w:fldCharType="begin"/>
            </w:r>
            <w:r w:rsidR="00332A29">
              <w:rPr>
                <w:noProof/>
                <w:webHidden/>
              </w:rPr>
              <w:instrText xml:space="preserve"> PAGEREF _Toc77074611 \h </w:instrText>
            </w:r>
            <w:r w:rsidR="00332A29">
              <w:rPr>
                <w:noProof/>
                <w:webHidden/>
              </w:rPr>
            </w:r>
            <w:r w:rsidR="00332A29">
              <w:rPr>
                <w:noProof/>
                <w:webHidden/>
              </w:rPr>
              <w:fldChar w:fldCharType="separate"/>
            </w:r>
            <w:r w:rsidR="00332A29">
              <w:rPr>
                <w:noProof/>
                <w:webHidden/>
              </w:rPr>
              <w:t>202</w:t>
            </w:r>
            <w:r w:rsidR="00332A29">
              <w:rPr>
                <w:noProof/>
                <w:webHidden/>
              </w:rPr>
              <w:fldChar w:fldCharType="end"/>
            </w:r>
          </w:hyperlink>
        </w:p>
        <w:p w14:paraId="598840C1" w14:textId="77777777" w:rsidR="00332A29" w:rsidRDefault="00183F7E">
          <w:pPr>
            <w:pStyle w:val="Obsah2"/>
            <w:tabs>
              <w:tab w:val="left" w:pos="880"/>
              <w:tab w:val="right" w:leader="dot" w:pos="9062"/>
            </w:tabs>
            <w:rPr>
              <w:rFonts w:eastAsiaTheme="minorEastAsia"/>
              <w:noProof/>
              <w:lang w:eastAsia="cs-CZ"/>
            </w:rPr>
          </w:pPr>
          <w:hyperlink w:anchor="_Toc77074612" w:history="1">
            <w:r w:rsidR="00332A29" w:rsidRPr="00617EE2">
              <w:rPr>
                <w:rStyle w:val="Hypertextovodkaz"/>
                <w:noProof/>
              </w:rPr>
              <w:t>1.8</w:t>
            </w:r>
            <w:r w:rsidR="00332A29">
              <w:rPr>
                <w:rFonts w:eastAsiaTheme="minorEastAsia"/>
                <w:noProof/>
                <w:lang w:eastAsia="cs-CZ"/>
              </w:rPr>
              <w:tab/>
            </w:r>
            <w:r w:rsidR="00332A29" w:rsidRPr="00617EE2">
              <w:rPr>
                <w:rStyle w:val="Hypertextovodkaz"/>
                <w:noProof/>
              </w:rPr>
              <w:t>Příloha kapitoly Město přívětivé pro vzdělávání a rozvoj znalostí</w:t>
            </w:r>
            <w:r w:rsidR="00332A29">
              <w:rPr>
                <w:noProof/>
                <w:webHidden/>
              </w:rPr>
              <w:tab/>
            </w:r>
            <w:r w:rsidR="00332A29">
              <w:rPr>
                <w:noProof/>
                <w:webHidden/>
              </w:rPr>
              <w:fldChar w:fldCharType="begin"/>
            </w:r>
            <w:r w:rsidR="00332A29">
              <w:rPr>
                <w:noProof/>
                <w:webHidden/>
              </w:rPr>
              <w:instrText xml:space="preserve"> PAGEREF _Toc77074612 \h </w:instrText>
            </w:r>
            <w:r w:rsidR="00332A29">
              <w:rPr>
                <w:noProof/>
                <w:webHidden/>
              </w:rPr>
            </w:r>
            <w:r w:rsidR="00332A29">
              <w:rPr>
                <w:noProof/>
                <w:webHidden/>
              </w:rPr>
              <w:fldChar w:fldCharType="separate"/>
            </w:r>
            <w:r w:rsidR="00332A29">
              <w:rPr>
                <w:noProof/>
                <w:webHidden/>
              </w:rPr>
              <w:t>206</w:t>
            </w:r>
            <w:r w:rsidR="00332A29">
              <w:rPr>
                <w:noProof/>
                <w:webHidden/>
              </w:rPr>
              <w:fldChar w:fldCharType="end"/>
            </w:r>
          </w:hyperlink>
        </w:p>
        <w:p w14:paraId="5B292220" w14:textId="77777777" w:rsidR="00332A29" w:rsidRDefault="00183F7E">
          <w:pPr>
            <w:pStyle w:val="Obsah2"/>
            <w:tabs>
              <w:tab w:val="left" w:pos="880"/>
              <w:tab w:val="right" w:leader="dot" w:pos="9062"/>
            </w:tabs>
            <w:rPr>
              <w:rFonts w:eastAsiaTheme="minorEastAsia"/>
              <w:noProof/>
              <w:lang w:eastAsia="cs-CZ"/>
            </w:rPr>
          </w:pPr>
          <w:hyperlink w:anchor="_Toc77074613" w:history="1">
            <w:r w:rsidR="00332A29" w:rsidRPr="00617EE2">
              <w:rPr>
                <w:rStyle w:val="Hypertextovodkaz"/>
                <w:noProof/>
              </w:rPr>
              <w:t>1.9</w:t>
            </w:r>
            <w:r w:rsidR="00332A29">
              <w:rPr>
                <w:rFonts w:eastAsiaTheme="minorEastAsia"/>
                <w:noProof/>
                <w:lang w:eastAsia="cs-CZ"/>
              </w:rPr>
              <w:tab/>
            </w:r>
            <w:r w:rsidR="00332A29" w:rsidRPr="00617EE2">
              <w:rPr>
                <w:rStyle w:val="Hypertextovodkaz"/>
                <w:noProof/>
              </w:rPr>
              <w:t>Příloha kapitoly Město s udržitelnou dopravou a technickou infrastrukturou</w:t>
            </w:r>
            <w:r w:rsidR="00332A29">
              <w:rPr>
                <w:noProof/>
                <w:webHidden/>
              </w:rPr>
              <w:tab/>
            </w:r>
            <w:r w:rsidR="00332A29">
              <w:rPr>
                <w:noProof/>
                <w:webHidden/>
              </w:rPr>
              <w:fldChar w:fldCharType="begin"/>
            </w:r>
            <w:r w:rsidR="00332A29">
              <w:rPr>
                <w:noProof/>
                <w:webHidden/>
              </w:rPr>
              <w:instrText xml:space="preserve"> PAGEREF _Toc77074613 \h </w:instrText>
            </w:r>
            <w:r w:rsidR="00332A29">
              <w:rPr>
                <w:noProof/>
                <w:webHidden/>
              </w:rPr>
            </w:r>
            <w:r w:rsidR="00332A29">
              <w:rPr>
                <w:noProof/>
                <w:webHidden/>
              </w:rPr>
              <w:fldChar w:fldCharType="separate"/>
            </w:r>
            <w:r w:rsidR="00332A29">
              <w:rPr>
                <w:noProof/>
                <w:webHidden/>
              </w:rPr>
              <w:t>210</w:t>
            </w:r>
            <w:r w:rsidR="00332A29">
              <w:rPr>
                <w:noProof/>
                <w:webHidden/>
              </w:rPr>
              <w:fldChar w:fldCharType="end"/>
            </w:r>
          </w:hyperlink>
        </w:p>
        <w:p w14:paraId="540F02AF" w14:textId="77777777" w:rsidR="00332A29" w:rsidRDefault="00183F7E">
          <w:pPr>
            <w:pStyle w:val="Obsah2"/>
            <w:tabs>
              <w:tab w:val="left" w:pos="880"/>
              <w:tab w:val="right" w:leader="dot" w:pos="9062"/>
            </w:tabs>
            <w:rPr>
              <w:rFonts w:eastAsiaTheme="minorEastAsia"/>
              <w:noProof/>
              <w:lang w:eastAsia="cs-CZ"/>
            </w:rPr>
          </w:pPr>
          <w:hyperlink w:anchor="_Toc77074614" w:history="1">
            <w:r w:rsidR="00332A29" w:rsidRPr="00617EE2">
              <w:rPr>
                <w:rStyle w:val="Hypertextovodkaz"/>
                <w:noProof/>
              </w:rPr>
              <w:t>1.10</w:t>
            </w:r>
            <w:r w:rsidR="00332A29">
              <w:rPr>
                <w:rFonts w:eastAsiaTheme="minorEastAsia"/>
                <w:noProof/>
                <w:lang w:eastAsia="cs-CZ"/>
              </w:rPr>
              <w:tab/>
            </w:r>
            <w:r w:rsidR="00332A29" w:rsidRPr="00617EE2">
              <w:rPr>
                <w:rStyle w:val="Hypertextovodkaz"/>
                <w:noProof/>
              </w:rPr>
              <w:t>Příloha kapitoly Vstřícné město</w:t>
            </w:r>
            <w:r w:rsidR="00332A29">
              <w:rPr>
                <w:noProof/>
                <w:webHidden/>
              </w:rPr>
              <w:tab/>
            </w:r>
            <w:r w:rsidR="00332A29">
              <w:rPr>
                <w:noProof/>
                <w:webHidden/>
              </w:rPr>
              <w:fldChar w:fldCharType="begin"/>
            </w:r>
            <w:r w:rsidR="00332A29">
              <w:rPr>
                <w:noProof/>
                <w:webHidden/>
              </w:rPr>
              <w:instrText xml:space="preserve"> PAGEREF _Toc77074614 \h </w:instrText>
            </w:r>
            <w:r w:rsidR="00332A29">
              <w:rPr>
                <w:noProof/>
                <w:webHidden/>
              </w:rPr>
            </w:r>
            <w:r w:rsidR="00332A29">
              <w:rPr>
                <w:noProof/>
                <w:webHidden/>
              </w:rPr>
              <w:fldChar w:fldCharType="separate"/>
            </w:r>
            <w:r w:rsidR="00332A29">
              <w:rPr>
                <w:noProof/>
                <w:webHidden/>
              </w:rPr>
              <w:t>211</w:t>
            </w:r>
            <w:r w:rsidR="00332A29">
              <w:rPr>
                <w:noProof/>
                <w:webHidden/>
              </w:rPr>
              <w:fldChar w:fldCharType="end"/>
            </w:r>
          </w:hyperlink>
        </w:p>
        <w:p w14:paraId="5EE6E457" w14:textId="77777777" w:rsidR="00332A29" w:rsidRDefault="00183F7E">
          <w:pPr>
            <w:pStyle w:val="Obsah2"/>
            <w:tabs>
              <w:tab w:val="left" w:pos="880"/>
              <w:tab w:val="right" w:leader="dot" w:pos="9062"/>
            </w:tabs>
            <w:rPr>
              <w:rFonts w:eastAsiaTheme="minorEastAsia"/>
              <w:noProof/>
              <w:lang w:eastAsia="cs-CZ"/>
            </w:rPr>
          </w:pPr>
          <w:hyperlink w:anchor="_Toc77074615" w:history="1">
            <w:r w:rsidR="00332A29" w:rsidRPr="00617EE2">
              <w:rPr>
                <w:rStyle w:val="Hypertextovodkaz"/>
                <w:noProof/>
              </w:rPr>
              <w:t>1.11</w:t>
            </w:r>
            <w:r w:rsidR="00332A29">
              <w:rPr>
                <w:rFonts w:eastAsiaTheme="minorEastAsia"/>
                <w:noProof/>
                <w:lang w:eastAsia="cs-CZ"/>
              </w:rPr>
              <w:tab/>
            </w:r>
            <w:r w:rsidR="00332A29" w:rsidRPr="00617EE2">
              <w:rPr>
                <w:rStyle w:val="Hypertextovodkaz"/>
                <w:noProof/>
              </w:rPr>
              <w:t>Seznam tabulek</w:t>
            </w:r>
            <w:r w:rsidR="00332A29">
              <w:rPr>
                <w:noProof/>
                <w:webHidden/>
              </w:rPr>
              <w:tab/>
            </w:r>
            <w:r w:rsidR="00332A29">
              <w:rPr>
                <w:noProof/>
                <w:webHidden/>
              </w:rPr>
              <w:fldChar w:fldCharType="begin"/>
            </w:r>
            <w:r w:rsidR="00332A29">
              <w:rPr>
                <w:noProof/>
                <w:webHidden/>
              </w:rPr>
              <w:instrText xml:space="preserve"> PAGEREF _Toc77074615 \h </w:instrText>
            </w:r>
            <w:r w:rsidR="00332A29">
              <w:rPr>
                <w:noProof/>
                <w:webHidden/>
              </w:rPr>
            </w:r>
            <w:r w:rsidR="00332A29">
              <w:rPr>
                <w:noProof/>
                <w:webHidden/>
              </w:rPr>
              <w:fldChar w:fldCharType="separate"/>
            </w:r>
            <w:r w:rsidR="00332A29">
              <w:rPr>
                <w:noProof/>
                <w:webHidden/>
              </w:rPr>
              <w:t>214</w:t>
            </w:r>
            <w:r w:rsidR="00332A29">
              <w:rPr>
                <w:noProof/>
                <w:webHidden/>
              </w:rPr>
              <w:fldChar w:fldCharType="end"/>
            </w:r>
          </w:hyperlink>
        </w:p>
        <w:p w14:paraId="5AD2C59B" w14:textId="77777777" w:rsidR="00332A29" w:rsidRDefault="00183F7E">
          <w:pPr>
            <w:pStyle w:val="Obsah2"/>
            <w:tabs>
              <w:tab w:val="left" w:pos="880"/>
              <w:tab w:val="right" w:leader="dot" w:pos="9062"/>
            </w:tabs>
            <w:rPr>
              <w:rFonts w:eastAsiaTheme="minorEastAsia"/>
              <w:noProof/>
              <w:lang w:eastAsia="cs-CZ"/>
            </w:rPr>
          </w:pPr>
          <w:hyperlink w:anchor="_Toc77074616" w:history="1">
            <w:r w:rsidR="00332A29" w:rsidRPr="00617EE2">
              <w:rPr>
                <w:rStyle w:val="Hypertextovodkaz"/>
                <w:noProof/>
              </w:rPr>
              <w:t>1.12</w:t>
            </w:r>
            <w:r w:rsidR="00332A29">
              <w:rPr>
                <w:rFonts w:eastAsiaTheme="minorEastAsia"/>
                <w:noProof/>
                <w:lang w:eastAsia="cs-CZ"/>
              </w:rPr>
              <w:tab/>
            </w:r>
            <w:r w:rsidR="00332A29" w:rsidRPr="00617EE2">
              <w:rPr>
                <w:rStyle w:val="Hypertextovodkaz"/>
                <w:noProof/>
              </w:rPr>
              <w:t>Seznam obrázků</w:t>
            </w:r>
            <w:r w:rsidR="00332A29">
              <w:rPr>
                <w:noProof/>
                <w:webHidden/>
              </w:rPr>
              <w:tab/>
            </w:r>
            <w:r w:rsidR="00332A29">
              <w:rPr>
                <w:noProof/>
                <w:webHidden/>
              </w:rPr>
              <w:fldChar w:fldCharType="begin"/>
            </w:r>
            <w:r w:rsidR="00332A29">
              <w:rPr>
                <w:noProof/>
                <w:webHidden/>
              </w:rPr>
              <w:instrText xml:space="preserve"> PAGEREF _Toc77074616 \h </w:instrText>
            </w:r>
            <w:r w:rsidR="00332A29">
              <w:rPr>
                <w:noProof/>
                <w:webHidden/>
              </w:rPr>
            </w:r>
            <w:r w:rsidR="00332A29">
              <w:rPr>
                <w:noProof/>
                <w:webHidden/>
              </w:rPr>
              <w:fldChar w:fldCharType="separate"/>
            </w:r>
            <w:r w:rsidR="00332A29">
              <w:rPr>
                <w:noProof/>
                <w:webHidden/>
              </w:rPr>
              <w:t>219</w:t>
            </w:r>
            <w:r w:rsidR="00332A29">
              <w:rPr>
                <w:noProof/>
                <w:webHidden/>
              </w:rPr>
              <w:fldChar w:fldCharType="end"/>
            </w:r>
          </w:hyperlink>
        </w:p>
        <w:p w14:paraId="62F3A9A4" w14:textId="77777777" w:rsidR="00332A29" w:rsidRDefault="00183F7E">
          <w:pPr>
            <w:pStyle w:val="Obsah2"/>
            <w:tabs>
              <w:tab w:val="left" w:pos="880"/>
              <w:tab w:val="right" w:leader="dot" w:pos="9062"/>
            </w:tabs>
            <w:rPr>
              <w:rFonts w:eastAsiaTheme="minorEastAsia"/>
              <w:noProof/>
              <w:lang w:eastAsia="cs-CZ"/>
            </w:rPr>
          </w:pPr>
          <w:hyperlink w:anchor="_Toc77074617" w:history="1">
            <w:r w:rsidR="00332A29" w:rsidRPr="00617EE2">
              <w:rPr>
                <w:rStyle w:val="Hypertextovodkaz"/>
                <w:noProof/>
              </w:rPr>
              <w:t>1.13</w:t>
            </w:r>
            <w:r w:rsidR="00332A29">
              <w:rPr>
                <w:rFonts w:eastAsiaTheme="minorEastAsia"/>
                <w:noProof/>
                <w:lang w:eastAsia="cs-CZ"/>
              </w:rPr>
              <w:tab/>
            </w:r>
            <w:r w:rsidR="00332A29" w:rsidRPr="00617EE2">
              <w:rPr>
                <w:rStyle w:val="Hypertextovodkaz"/>
                <w:noProof/>
              </w:rPr>
              <w:t>Zdroje dat</w:t>
            </w:r>
            <w:r w:rsidR="00332A29">
              <w:rPr>
                <w:noProof/>
                <w:webHidden/>
              </w:rPr>
              <w:tab/>
            </w:r>
            <w:r w:rsidR="00332A29">
              <w:rPr>
                <w:noProof/>
                <w:webHidden/>
              </w:rPr>
              <w:fldChar w:fldCharType="begin"/>
            </w:r>
            <w:r w:rsidR="00332A29">
              <w:rPr>
                <w:noProof/>
                <w:webHidden/>
              </w:rPr>
              <w:instrText xml:space="preserve"> PAGEREF _Toc77074617 \h </w:instrText>
            </w:r>
            <w:r w:rsidR="00332A29">
              <w:rPr>
                <w:noProof/>
                <w:webHidden/>
              </w:rPr>
            </w:r>
            <w:r w:rsidR="00332A29">
              <w:rPr>
                <w:noProof/>
                <w:webHidden/>
              </w:rPr>
              <w:fldChar w:fldCharType="separate"/>
            </w:r>
            <w:r w:rsidR="00332A29">
              <w:rPr>
                <w:noProof/>
                <w:webHidden/>
              </w:rPr>
              <w:t>225</w:t>
            </w:r>
            <w:r w:rsidR="00332A29">
              <w:rPr>
                <w:noProof/>
                <w:webHidden/>
              </w:rPr>
              <w:fldChar w:fldCharType="end"/>
            </w:r>
          </w:hyperlink>
        </w:p>
        <w:p w14:paraId="38BFECB8" w14:textId="77777777" w:rsidR="00332A29" w:rsidRDefault="00183F7E">
          <w:pPr>
            <w:pStyle w:val="Obsah1"/>
            <w:tabs>
              <w:tab w:val="left" w:pos="440"/>
            </w:tabs>
            <w:rPr>
              <w:rFonts w:eastAsiaTheme="minorEastAsia"/>
              <w:noProof/>
              <w:lang w:eastAsia="cs-CZ"/>
            </w:rPr>
          </w:pPr>
          <w:hyperlink w:anchor="_Toc77074618" w:history="1">
            <w:r w:rsidR="00332A29" w:rsidRPr="00617EE2">
              <w:rPr>
                <w:rStyle w:val="Hypertextovodkaz"/>
                <w:noProof/>
              </w:rPr>
              <w:t>2</w:t>
            </w:r>
            <w:r w:rsidR="00332A29">
              <w:rPr>
                <w:rFonts w:eastAsiaTheme="minorEastAsia"/>
                <w:noProof/>
                <w:lang w:eastAsia="cs-CZ"/>
              </w:rPr>
              <w:tab/>
            </w:r>
            <w:r w:rsidR="00332A29" w:rsidRPr="00617EE2">
              <w:rPr>
                <w:rStyle w:val="Hypertextovodkaz"/>
                <w:noProof/>
              </w:rPr>
              <w:t>Přílohy</w:t>
            </w:r>
            <w:r w:rsidR="00332A29">
              <w:rPr>
                <w:noProof/>
                <w:webHidden/>
              </w:rPr>
              <w:tab/>
            </w:r>
            <w:r w:rsidR="00332A29">
              <w:rPr>
                <w:noProof/>
                <w:webHidden/>
              </w:rPr>
              <w:fldChar w:fldCharType="begin"/>
            </w:r>
            <w:r w:rsidR="00332A29">
              <w:rPr>
                <w:noProof/>
                <w:webHidden/>
              </w:rPr>
              <w:instrText xml:space="preserve"> PAGEREF _Toc77074618 \h </w:instrText>
            </w:r>
            <w:r w:rsidR="00332A29">
              <w:rPr>
                <w:noProof/>
                <w:webHidden/>
              </w:rPr>
            </w:r>
            <w:r w:rsidR="00332A29">
              <w:rPr>
                <w:noProof/>
                <w:webHidden/>
              </w:rPr>
              <w:fldChar w:fldCharType="separate"/>
            </w:r>
            <w:r w:rsidR="00332A29">
              <w:rPr>
                <w:noProof/>
                <w:webHidden/>
              </w:rPr>
              <w:t>230</w:t>
            </w:r>
            <w:r w:rsidR="00332A29">
              <w:rPr>
                <w:noProof/>
                <w:webHidden/>
              </w:rPr>
              <w:fldChar w:fldCharType="end"/>
            </w:r>
          </w:hyperlink>
        </w:p>
        <w:p w14:paraId="35E91727" w14:textId="77777777" w:rsidR="00332A29" w:rsidRDefault="00183F7E">
          <w:pPr>
            <w:pStyle w:val="Obsah2"/>
            <w:tabs>
              <w:tab w:val="left" w:pos="880"/>
              <w:tab w:val="right" w:leader="dot" w:pos="9062"/>
            </w:tabs>
            <w:rPr>
              <w:rFonts w:eastAsiaTheme="minorEastAsia"/>
              <w:noProof/>
              <w:lang w:eastAsia="cs-CZ"/>
            </w:rPr>
          </w:pPr>
          <w:hyperlink w:anchor="_Toc77074619" w:history="1">
            <w:r w:rsidR="00332A29" w:rsidRPr="00617EE2">
              <w:rPr>
                <w:rStyle w:val="Hypertextovodkaz"/>
                <w:noProof/>
              </w:rPr>
              <w:t>2.1</w:t>
            </w:r>
            <w:r w:rsidR="00332A29">
              <w:rPr>
                <w:rFonts w:eastAsiaTheme="minorEastAsia"/>
                <w:noProof/>
                <w:lang w:eastAsia="cs-CZ"/>
              </w:rPr>
              <w:tab/>
            </w:r>
            <w:r w:rsidR="00332A29" w:rsidRPr="00617EE2">
              <w:rPr>
                <w:rStyle w:val="Hypertextovodkaz"/>
                <w:noProof/>
              </w:rPr>
              <w:t>Anketní šetření spokojenosti obyvatel města</w:t>
            </w:r>
            <w:r w:rsidR="00332A29">
              <w:rPr>
                <w:noProof/>
                <w:webHidden/>
              </w:rPr>
              <w:tab/>
            </w:r>
            <w:r w:rsidR="00332A29">
              <w:rPr>
                <w:noProof/>
                <w:webHidden/>
              </w:rPr>
              <w:fldChar w:fldCharType="begin"/>
            </w:r>
            <w:r w:rsidR="00332A29">
              <w:rPr>
                <w:noProof/>
                <w:webHidden/>
              </w:rPr>
              <w:instrText xml:space="preserve"> PAGEREF _Toc77074619 \h </w:instrText>
            </w:r>
            <w:r w:rsidR="00332A29">
              <w:rPr>
                <w:noProof/>
                <w:webHidden/>
              </w:rPr>
            </w:r>
            <w:r w:rsidR="00332A29">
              <w:rPr>
                <w:noProof/>
                <w:webHidden/>
              </w:rPr>
              <w:fldChar w:fldCharType="separate"/>
            </w:r>
            <w:r w:rsidR="00332A29">
              <w:rPr>
                <w:noProof/>
                <w:webHidden/>
              </w:rPr>
              <w:t>230</w:t>
            </w:r>
            <w:r w:rsidR="00332A29">
              <w:rPr>
                <w:noProof/>
                <w:webHidden/>
              </w:rPr>
              <w:fldChar w:fldCharType="end"/>
            </w:r>
          </w:hyperlink>
        </w:p>
        <w:p w14:paraId="4A29F182" w14:textId="77777777" w:rsidR="00332A29" w:rsidRDefault="00183F7E">
          <w:pPr>
            <w:pStyle w:val="Obsah3"/>
            <w:tabs>
              <w:tab w:val="left" w:pos="1320"/>
              <w:tab w:val="right" w:leader="dot" w:pos="9062"/>
            </w:tabs>
            <w:rPr>
              <w:rFonts w:eastAsiaTheme="minorEastAsia"/>
              <w:noProof/>
              <w:lang w:eastAsia="cs-CZ"/>
            </w:rPr>
          </w:pPr>
          <w:hyperlink w:anchor="_Toc77074620" w:history="1">
            <w:r w:rsidR="00332A29" w:rsidRPr="00617EE2">
              <w:rPr>
                <w:rStyle w:val="Hypertextovodkaz"/>
                <w:noProof/>
              </w:rPr>
              <w:t>2.1.1</w:t>
            </w:r>
            <w:r w:rsidR="00332A29">
              <w:rPr>
                <w:rFonts w:eastAsiaTheme="minorEastAsia"/>
                <w:noProof/>
                <w:lang w:eastAsia="cs-CZ"/>
              </w:rPr>
              <w:tab/>
            </w:r>
            <w:r w:rsidR="00332A29" w:rsidRPr="00617EE2">
              <w:rPr>
                <w:rStyle w:val="Hypertextovodkaz"/>
                <w:noProof/>
              </w:rPr>
              <w:t>Charakteristika respondentů</w:t>
            </w:r>
            <w:r w:rsidR="00332A29">
              <w:rPr>
                <w:noProof/>
                <w:webHidden/>
              </w:rPr>
              <w:tab/>
            </w:r>
            <w:r w:rsidR="00332A29">
              <w:rPr>
                <w:noProof/>
                <w:webHidden/>
              </w:rPr>
              <w:fldChar w:fldCharType="begin"/>
            </w:r>
            <w:r w:rsidR="00332A29">
              <w:rPr>
                <w:noProof/>
                <w:webHidden/>
              </w:rPr>
              <w:instrText xml:space="preserve"> PAGEREF _Toc77074620 \h </w:instrText>
            </w:r>
            <w:r w:rsidR="00332A29">
              <w:rPr>
                <w:noProof/>
                <w:webHidden/>
              </w:rPr>
            </w:r>
            <w:r w:rsidR="00332A29">
              <w:rPr>
                <w:noProof/>
                <w:webHidden/>
              </w:rPr>
              <w:fldChar w:fldCharType="separate"/>
            </w:r>
            <w:r w:rsidR="00332A29">
              <w:rPr>
                <w:noProof/>
                <w:webHidden/>
              </w:rPr>
              <w:t>231</w:t>
            </w:r>
            <w:r w:rsidR="00332A29">
              <w:rPr>
                <w:noProof/>
                <w:webHidden/>
              </w:rPr>
              <w:fldChar w:fldCharType="end"/>
            </w:r>
          </w:hyperlink>
        </w:p>
        <w:p w14:paraId="4622E6DC" w14:textId="77777777" w:rsidR="00332A29" w:rsidRDefault="00183F7E">
          <w:pPr>
            <w:pStyle w:val="Obsah3"/>
            <w:tabs>
              <w:tab w:val="left" w:pos="1320"/>
              <w:tab w:val="right" w:leader="dot" w:pos="9062"/>
            </w:tabs>
            <w:rPr>
              <w:rFonts w:eastAsiaTheme="minorEastAsia"/>
              <w:noProof/>
              <w:lang w:eastAsia="cs-CZ"/>
            </w:rPr>
          </w:pPr>
          <w:hyperlink w:anchor="_Toc77074621" w:history="1">
            <w:r w:rsidR="00332A29" w:rsidRPr="00617EE2">
              <w:rPr>
                <w:rStyle w:val="Hypertextovodkaz"/>
                <w:noProof/>
              </w:rPr>
              <w:t>2.1.2</w:t>
            </w:r>
            <w:r w:rsidR="00332A29">
              <w:rPr>
                <w:rFonts w:eastAsiaTheme="minorEastAsia"/>
                <w:noProof/>
                <w:lang w:eastAsia="cs-CZ"/>
              </w:rPr>
              <w:tab/>
            </w:r>
            <w:r w:rsidR="00332A29" w:rsidRPr="00617EE2">
              <w:rPr>
                <w:rStyle w:val="Hypertextovodkaz"/>
                <w:noProof/>
              </w:rPr>
              <w:t>Hodnocení kvality života</w:t>
            </w:r>
            <w:r w:rsidR="00332A29">
              <w:rPr>
                <w:noProof/>
                <w:webHidden/>
              </w:rPr>
              <w:tab/>
            </w:r>
            <w:r w:rsidR="00332A29">
              <w:rPr>
                <w:noProof/>
                <w:webHidden/>
              </w:rPr>
              <w:fldChar w:fldCharType="begin"/>
            </w:r>
            <w:r w:rsidR="00332A29">
              <w:rPr>
                <w:noProof/>
                <w:webHidden/>
              </w:rPr>
              <w:instrText xml:space="preserve"> PAGEREF _Toc77074621 \h </w:instrText>
            </w:r>
            <w:r w:rsidR="00332A29">
              <w:rPr>
                <w:noProof/>
                <w:webHidden/>
              </w:rPr>
            </w:r>
            <w:r w:rsidR="00332A29">
              <w:rPr>
                <w:noProof/>
                <w:webHidden/>
              </w:rPr>
              <w:fldChar w:fldCharType="separate"/>
            </w:r>
            <w:r w:rsidR="00332A29">
              <w:rPr>
                <w:noProof/>
                <w:webHidden/>
              </w:rPr>
              <w:t>233</w:t>
            </w:r>
            <w:r w:rsidR="00332A29">
              <w:rPr>
                <w:noProof/>
                <w:webHidden/>
              </w:rPr>
              <w:fldChar w:fldCharType="end"/>
            </w:r>
          </w:hyperlink>
        </w:p>
        <w:p w14:paraId="43FF6F92" w14:textId="77777777" w:rsidR="00332A29" w:rsidRDefault="00183F7E">
          <w:pPr>
            <w:pStyle w:val="Obsah3"/>
            <w:tabs>
              <w:tab w:val="left" w:pos="1320"/>
              <w:tab w:val="right" w:leader="dot" w:pos="9062"/>
            </w:tabs>
            <w:rPr>
              <w:rFonts w:eastAsiaTheme="minorEastAsia"/>
              <w:noProof/>
              <w:lang w:eastAsia="cs-CZ"/>
            </w:rPr>
          </w:pPr>
          <w:hyperlink w:anchor="_Toc77074622" w:history="1">
            <w:r w:rsidR="00332A29" w:rsidRPr="00617EE2">
              <w:rPr>
                <w:rStyle w:val="Hypertextovodkaz"/>
                <w:noProof/>
              </w:rPr>
              <w:t>2.1.3</w:t>
            </w:r>
            <w:r w:rsidR="00332A29">
              <w:rPr>
                <w:rFonts w:eastAsiaTheme="minorEastAsia"/>
                <w:noProof/>
                <w:lang w:eastAsia="cs-CZ"/>
              </w:rPr>
              <w:tab/>
            </w:r>
            <w:r w:rsidR="00332A29" w:rsidRPr="00617EE2">
              <w:rPr>
                <w:rStyle w:val="Hypertextovodkaz"/>
                <w:noProof/>
              </w:rPr>
              <w:t>Co se mi ve Zlíně líbí</w:t>
            </w:r>
            <w:r w:rsidR="00332A29">
              <w:rPr>
                <w:noProof/>
                <w:webHidden/>
              </w:rPr>
              <w:tab/>
            </w:r>
            <w:r w:rsidR="00332A29">
              <w:rPr>
                <w:noProof/>
                <w:webHidden/>
              </w:rPr>
              <w:fldChar w:fldCharType="begin"/>
            </w:r>
            <w:r w:rsidR="00332A29">
              <w:rPr>
                <w:noProof/>
                <w:webHidden/>
              </w:rPr>
              <w:instrText xml:space="preserve"> PAGEREF _Toc77074622 \h </w:instrText>
            </w:r>
            <w:r w:rsidR="00332A29">
              <w:rPr>
                <w:noProof/>
                <w:webHidden/>
              </w:rPr>
            </w:r>
            <w:r w:rsidR="00332A29">
              <w:rPr>
                <w:noProof/>
                <w:webHidden/>
              </w:rPr>
              <w:fldChar w:fldCharType="separate"/>
            </w:r>
            <w:r w:rsidR="00332A29">
              <w:rPr>
                <w:noProof/>
                <w:webHidden/>
              </w:rPr>
              <w:t>233</w:t>
            </w:r>
            <w:r w:rsidR="00332A29">
              <w:rPr>
                <w:noProof/>
                <w:webHidden/>
              </w:rPr>
              <w:fldChar w:fldCharType="end"/>
            </w:r>
          </w:hyperlink>
        </w:p>
        <w:p w14:paraId="3968123A" w14:textId="77777777" w:rsidR="00332A29" w:rsidRDefault="00183F7E">
          <w:pPr>
            <w:pStyle w:val="Obsah3"/>
            <w:tabs>
              <w:tab w:val="left" w:pos="1320"/>
              <w:tab w:val="right" w:leader="dot" w:pos="9062"/>
            </w:tabs>
            <w:rPr>
              <w:rFonts w:eastAsiaTheme="minorEastAsia"/>
              <w:noProof/>
              <w:lang w:eastAsia="cs-CZ"/>
            </w:rPr>
          </w:pPr>
          <w:hyperlink w:anchor="_Toc77074623" w:history="1">
            <w:r w:rsidR="00332A29" w:rsidRPr="00617EE2">
              <w:rPr>
                <w:rStyle w:val="Hypertextovodkaz"/>
                <w:noProof/>
              </w:rPr>
              <w:t>2.1.4</w:t>
            </w:r>
            <w:r w:rsidR="00332A29">
              <w:rPr>
                <w:rFonts w:eastAsiaTheme="minorEastAsia"/>
                <w:noProof/>
                <w:lang w:eastAsia="cs-CZ"/>
              </w:rPr>
              <w:tab/>
            </w:r>
            <w:r w:rsidR="00332A29" w:rsidRPr="00617EE2">
              <w:rPr>
                <w:rStyle w:val="Hypertextovodkaz"/>
                <w:noProof/>
              </w:rPr>
              <w:t>Co mi ve Zlíně chybí</w:t>
            </w:r>
            <w:r w:rsidR="00332A29">
              <w:rPr>
                <w:noProof/>
                <w:webHidden/>
              </w:rPr>
              <w:tab/>
            </w:r>
            <w:r w:rsidR="00332A29">
              <w:rPr>
                <w:noProof/>
                <w:webHidden/>
              </w:rPr>
              <w:fldChar w:fldCharType="begin"/>
            </w:r>
            <w:r w:rsidR="00332A29">
              <w:rPr>
                <w:noProof/>
                <w:webHidden/>
              </w:rPr>
              <w:instrText xml:space="preserve"> PAGEREF _Toc77074623 \h </w:instrText>
            </w:r>
            <w:r w:rsidR="00332A29">
              <w:rPr>
                <w:noProof/>
                <w:webHidden/>
              </w:rPr>
            </w:r>
            <w:r w:rsidR="00332A29">
              <w:rPr>
                <w:noProof/>
                <w:webHidden/>
              </w:rPr>
              <w:fldChar w:fldCharType="separate"/>
            </w:r>
            <w:r w:rsidR="00332A29">
              <w:rPr>
                <w:noProof/>
                <w:webHidden/>
              </w:rPr>
              <w:t>236</w:t>
            </w:r>
            <w:r w:rsidR="00332A29">
              <w:rPr>
                <w:noProof/>
                <w:webHidden/>
              </w:rPr>
              <w:fldChar w:fldCharType="end"/>
            </w:r>
          </w:hyperlink>
        </w:p>
        <w:p w14:paraId="688FFAE8" w14:textId="77777777" w:rsidR="00332A29" w:rsidRDefault="00183F7E">
          <w:pPr>
            <w:pStyle w:val="Obsah3"/>
            <w:tabs>
              <w:tab w:val="left" w:pos="1320"/>
              <w:tab w:val="right" w:leader="dot" w:pos="9062"/>
            </w:tabs>
            <w:rPr>
              <w:rFonts w:eastAsiaTheme="minorEastAsia"/>
              <w:noProof/>
              <w:lang w:eastAsia="cs-CZ"/>
            </w:rPr>
          </w:pPr>
          <w:hyperlink w:anchor="_Toc77074624" w:history="1">
            <w:r w:rsidR="00332A29" w:rsidRPr="00617EE2">
              <w:rPr>
                <w:rStyle w:val="Hypertextovodkaz"/>
                <w:noProof/>
              </w:rPr>
              <w:t>2.1.5</w:t>
            </w:r>
            <w:r w:rsidR="00332A29">
              <w:rPr>
                <w:rFonts w:eastAsiaTheme="minorEastAsia"/>
                <w:noProof/>
                <w:lang w:eastAsia="cs-CZ"/>
              </w:rPr>
              <w:tab/>
            </w:r>
            <w:r w:rsidR="00332A29" w:rsidRPr="00617EE2">
              <w:rPr>
                <w:rStyle w:val="Hypertextovodkaz"/>
                <w:noProof/>
              </w:rPr>
              <w:t>Jak hodnotím vývoj města za posledních 5 let</w:t>
            </w:r>
            <w:r w:rsidR="00332A29">
              <w:rPr>
                <w:noProof/>
                <w:webHidden/>
              </w:rPr>
              <w:tab/>
            </w:r>
            <w:r w:rsidR="00332A29">
              <w:rPr>
                <w:noProof/>
                <w:webHidden/>
              </w:rPr>
              <w:fldChar w:fldCharType="begin"/>
            </w:r>
            <w:r w:rsidR="00332A29">
              <w:rPr>
                <w:noProof/>
                <w:webHidden/>
              </w:rPr>
              <w:instrText xml:space="preserve"> PAGEREF _Toc77074624 \h </w:instrText>
            </w:r>
            <w:r w:rsidR="00332A29">
              <w:rPr>
                <w:noProof/>
                <w:webHidden/>
              </w:rPr>
            </w:r>
            <w:r w:rsidR="00332A29">
              <w:rPr>
                <w:noProof/>
                <w:webHidden/>
              </w:rPr>
              <w:fldChar w:fldCharType="separate"/>
            </w:r>
            <w:r w:rsidR="00332A29">
              <w:rPr>
                <w:noProof/>
                <w:webHidden/>
              </w:rPr>
              <w:t>238</w:t>
            </w:r>
            <w:r w:rsidR="00332A29">
              <w:rPr>
                <w:noProof/>
                <w:webHidden/>
              </w:rPr>
              <w:fldChar w:fldCharType="end"/>
            </w:r>
          </w:hyperlink>
        </w:p>
        <w:p w14:paraId="76998D30" w14:textId="77777777" w:rsidR="00332A29" w:rsidRDefault="00183F7E">
          <w:pPr>
            <w:pStyle w:val="Obsah3"/>
            <w:tabs>
              <w:tab w:val="left" w:pos="1320"/>
              <w:tab w:val="right" w:leader="dot" w:pos="9062"/>
            </w:tabs>
            <w:rPr>
              <w:rFonts w:eastAsiaTheme="minorEastAsia"/>
              <w:noProof/>
              <w:lang w:eastAsia="cs-CZ"/>
            </w:rPr>
          </w:pPr>
          <w:hyperlink w:anchor="_Toc77074625" w:history="1">
            <w:r w:rsidR="00332A29" w:rsidRPr="00617EE2">
              <w:rPr>
                <w:rStyle w:val="Hypertextovodkaz"/>
                <w:noProof/>
              </w:rPr>
              <w:t>2.1.6</w:t>
            </w:r>
            <w:r w:rsidR="00332A29">
              <w:rPr>
                <w:rFonts w:eastAsiaTheme="minorEastAsia"/>
                <w:noProof/>
                <w:lang w:eastAsia="cs-CZ"/>
              </w:rPr>
              <w:tab/>
            </w:r>
            <w:r w:rsidR="00332A29" w:rsidRPr="00617EE2">
              <w:rPr>
                <w:rStyle w:val="Hypertextovodkaz"/>
                <w:noProof/>
              </w:rPr>
              <w:t>Jak hodnotím občanskou vybavenost</w:t>
            </w:r>
            <w:r w:rsidR="00332A29">
              <w:rPr>
                <w:noProof/>
                <w:webHidden/>
              </w:rPr>
              <w:tab/>
            </w:r>
            <w:r w:rsidR="00332A29">
              <w:rPr>
                <w:noProof/>
                <w:webHidden/>
              </w:rPr>
              <w:fldChar w:fldCharType="begin"/>
            </w:r>
            <w:r w:rsidR="00332A29">
              <w:rPr>
                <w:noProof/>
                <w:webHidden/>
              </w:rPr>
              <w:instrText xml:space="preserve"> PAGEREF _Toc77074625 \h </w:instrText>
            </w:r>
            <w:r w:rsidR="00332A29">
              <w:rPr>
                <w:noProof/>
                <w:webHidden/>
              </w:rPr>
            </w:r>
            <w:r w:rsidR="00332A29">
              <w:rPr>
                <w:noProof/>
                <w:webHidden/>
              </w:rPr>
              <w:fldChar w:fldCharType="separate"/>
            </w:r>
            <w:r w:rsidR="00332A29">
              <w:rPr>
                <w:noProof/>
                <w:webHidden/>
              </w:rPr>
              <w:t>241</w:t>
            </w:r>
            <w:r w:rsidR="00332A29">
              <w:rPr>
                <w:noProof/>
                <w:webHidden/>
              </w:rPr>
              <w:fldChar w:fldCharType="end"/>
            </w:r>
          </w:hyperlink>
        </w:p>
        <w:p w14:paraId="7BCA74C0" w14:textId="77777777" w:rsidR="00332A29" w:rsidRDefault="00183F7E">
          <w:pPr>
            <w:pStyle w:val="Obsah3"/>
            <w:tabs>
              <w:tab w:val="left" w:pos="1320"/>
              <w:tab w:val="right" w:leader="dot" w:pos="9062"/>
            </w:tabs>
            <w:rPr>
              <w:rFonts w:eastAsiaTheme="minorEastAsia"/>
              <w:noProof/>
              <w:lang w:eastAsia="cs-CZ"/>
            </w:rPr>
          </w:pPr>
          <w:hyperlink w:anchor="_Toc77074626" w:history="1">
            <w:r w:rsidR="00332A29" w:rsidRPr="00617EE2">
              <w:rPr>
                <w:rStyle w:val="Hypertextovodkaz"/>
                <w:noProof/>
              </w:rPr>
              <w:t>2.1.7</w:t>
            </w:r>
            <w:r w:rsidR="00332A29">
              <w:rPr>
                <w:rFonts w:eastAsiaTheme="minorEastAsia"/>
                <w:noProof/>
                <w:lang w:eastAsia="cs-CZ"/>
              </w:rPr>
              <w:tab/>
            </w:r>
            <w:r w:rsidR="00332A29" w:rsidRPr="00617EE2">
              <w:rPr>
                <w:rStyle w:val="Hypertextovodkaz"/>
                <w:noProof/>
              </w:rPr>
              <w:t>Jak hodnotím vzdělávání</w:t>
            </w:r>
            <w:r w:rsidR="00332A29">
              <w:rPr>
                <w:noProof/>
                <w:webHidden/>
              </w:rPr>
              <w:tab/>
            </w:r>
            <w:r w:rsidR="00332A29">
              <w:rPr>
                <w:noProof/>
                <w:webHidden/>
              </w:rPr>
              <w:fldChar w:fldCharType="begin"/>
            </w:r>
            <w:r w:rsidR="00332A29">
              <w:rPr>
                <w:noProof/>
                <w:webHidden/>
              </w:rPr>
              <w:instrText xml:space="preserve"> PAGEREF _Toc77074626 \h </w:instrText>
            </w:r>
            <w:r w:rsidR="00332A29">
              <w:rPr>
                <w:noProof/>
                <w:webHidden/>
              </w:rPr>
            </w:r>
            <w:r w:rsidR="00332A29">
              <w:rPr>
                <w:noProof/>
                <w:webHidden/>
              </w:rPr>
              <w:fldChar w:fldCharType="separate"/>
            </w:r>
            <w:r w:rsidR="00332A29">
              <w:rPr>
                <w:noProof/>
                <w:webHidden/>
              </w:rPr>
              <w:t>243</w:t>
            </w:r>
            <w:r w:rsidR="00332A29">
              <w:rPr>
                <w:noProof/>
                <w:webHidden/>
              </w:rPr>
              <w:fldChar w:fldCharType="end"/>
            </w:r>
          </w:hyperlink>
        </w:p>
        <w:p w14:paraId="20EDF5F1" w14:textId="77777777" w:rsidR="00332A29" w:rsidRDefault="00183F7E">
          <w:pPr>
            <w:pStyle w:val="Obsah3"/>
            <w:tabs>
              <w:tab w:val="left" w:pos="1320"/>
              <w:tab w:val="right" w:leader="dot" w:pos="9062"/>
            </w:tabs>
            <w:rPr>
              <w:rFonts w:eastAsiaTheme="minorEastAsia"/>
              <w:noProof/>
              <w:lang w:eastAsia="cs-CZ"/>
            </w:rPr>
          </w:pPr>
          <w:hyperlink w:anchor="_Toc77074627" w:history="1">
            <w:r w:rsidR="00332A29" w:rsidRPr="00617EE2">
              <w:rPr>
                <w:rStyle w:val="Hypertextovodkaz"/>
                <w:noProof/>
              </w:rPr>
              <w:t>2.1.8</w:t>
            </w:r>
            <w:r w:rsidR="00332A29">
              <w:rPr>
                <w:rFonts w:eastAsiaTheme="minorEastAsia"/>
                <w:noProof/>
                <w:lang w:eastAsia="cs-CZ"/>
              </w:rPr>
              <w:tab/>
            </w:r>
            <w:r w:rsidR="00332A29" w:rsidRPr="00617EE2">
              <w:rPr>
                <w:rStyle w:val="Hypertextovodkaz"/>
                <w:noProof/>
              </w:rPr>
              <w:t>Jak hodnotím dopravu</w:t>
            </w:r>
            <w:r w:rsidR="00332A29">
              <w:rPr>
                <w:noProof/>
                <w:webHidden/>
              </w:rPr>
              <w:tab/>
            </w:r>
            <w:r w:rsidR="00332A29">
              <w:rPr>
                <w:noProof/>
                <w:webHidden/>
              </w:rPr>
              <w:fldChar w:fldCharType="begin"/>
            </w:r>
            <w:r w:rsidR="00332A29">
              <w:rPr>
                <w:noProof/>
                <w:webHidden/>
              </w:rPr>
              <w:instrText xml:space="preserve"> PAGEREF _Toc77074627 \h </w:instrText>
            </w:r>
            <w:r w:rsidR="00332A29">
              <w:rPr>
                <w:noProof/>
                <w:webHidden/>
              </w:rPr>
            </w:r>
            <w:r w:rsidR="00332A29">
              <w:rPr>
                <w:noProof/>
                <w:webHidden/>
              </w:rPr>
              <w:fldChar w:fldCharType="separate"/>
            </w:r>
            <w:r w:rsidR="00332A29">
              <w:rPr>
                <w:noProof/>
                <w:webHidden/>
              </w:rPr>
              <w:t>244</w:t>
            </w:r>
            <w:r w:rsidR="00332A29">
              <w:rPr>
                <w:noProof/>
                <w:webHidden/>
              </w:rPr>
              <w:fldChar w:fldCharType="end"/>
            </w:r>
          </w:hyperlink>
        </w:p>
        <w:p w14:paraId="6400F2B2" w14:textId="77777777" w:rsidR="00332A29" w:rsidRDefault="00183F7E">
          <w:pPr>
            <w:pStyle w:val="Obsah3"/>
            <w:tabs>
              <w:tab w:val="left" w:pos="1320"/>
              <w:tab w:val="right" w:leader="dot" w:pos="9062"/>
            </w:tabs>
            <w:rPr>
              <w:rFonts w:eastAsiaTheme="minorEastAsia"/>
              <w:noProof/>
              <w:lang w:eastAsia="cs-CZ"/>
            </w:rPr>
          </w:pPr>
          <w:hyperlink w:anchor="_Toc77074628" w:history="1">
            <w:r w:rsidR="00332A29" w:rsidRPr="00617EE2">
              <w:rPr>
                <w:rStyle w:val="Hypertextovodkaz"/>
                <w:noProof/>
              </w:rPr>
              <w:t>2.1.9</w:t>
            </w:r>
            <w:r w:rsidR="00332A29">
              <w:rPr>
                <w:rFonts w:eastAsiaTheme="minorEastAsia"/>
                <w:noProof/>
                <w:lang w:eastAsia="cs-CZ"/>
              </w:rPr>
              <w:tab/>
            </w:r>
            <w:r w:rsidR="00332A29" w:rsidRPr="00617EE2">
              <w:rPr>
                <w:rStyle w:val="Hypertextovodkaz"/>
                <w:noProof/>
              </w:rPr>
              <w:t>Jak hodnotím bydlení</w:t>
            </w:r>
            <w:r w:rsidR="00332A29">
              <w:rPr>
                <w:noProof/>
                <w:webHidden/>
              </w:rPr>
              <w:tab/>
            </w:r>
            <w:r w:rsidR="00332A29">
              <w:rPr>
                <w:noProof/>
                <w:webHidden/>
              </w:rPr>
              <w:fldChar w:fldCharType="begin"/>
            </w:r>
            <w:r w:rsidR="00332A29">
              <w:rPr>
                <w:noProof/>
                <w:webHidden/>
              </w:rPr>
              <w:instrText xml:space="preserve"> PAGEREF _Toc77074628 \h </w:instrText>
            </w:r>
            <w:r w:rsidR="00332A29">
              <w:rPr>
                <w:noProof/>
                <w:webHidden/>
              </w:rPr>
            </w:r>
            <w:r w:rsidR="00332A29">
              <w:rPr>
                <w:noProof/>
                <w:webHidden/>
              </w:rPr>
              <w:fldChar w:fldCharType="separate"/>
            </w:r>
            <w:r w:rsidR="00332A29">
              <w:rPr>
                <w:noProof/>
                <w:webHidden/>
              </w:rPr>
              <w:t>245</w:t>
            </w:r>
            <w:r w:rsidR="00332A29">
              <w:rPr>
                <w:noProof/>
                <w:webHidden/>
              </w:rPr>
              <w:fldChar w:fldCharType="end"/>
            </w:r>
          </w:hyperlink>
        </w:p>
        <w:p w14:paraId="136B6FD5" w14:textId="77777777" w:rsidR="00332A29" w:rsidRDefault="00183F7E">
          <w:pPr>
            <w:pStyle w:val="Obsah3"/>
            <w:tabs>
              <w:tab w:val="left" w:pos="1320"/>
              <w:tab w:val="right" w:leader="dot" w:pos="9062"/>
            </w:tabs>
            <w:rPr>
              <w:rFonts w:eastAsiaTheme="minorEastAsia"/>
              <w:noProof/>
              <w:lang w:eastAsia="cs-CZ"/>
            </w:rPr>
          </w:pPr>
          <w:hyperlink w:anchor="_Toc77074629" w:history="1">
            <w:r w:rsidR="00332A29" w:rsidRPr="00617EE2">
              <w:rPr>
                <w:rStyle w:val="Hypertextovodkaz"/>
                <w:noProof/>
              </w:rPr>
              <w:t>2.1.10</w:t>
            </w:r>
            <w:r w:rsidR="00332A29">
              <w:rPr>
                <w:rFonts w:eastAsiaTheme="minorEastAsia"/>
                <w:noProof/>
                <w:lang w:eastAsia="cs-CZ"/>
              </w:rPr>
              <w:tab/>
            </w:r>
            <w:r w:rsidR="00332A29" w:rsidRPr="00617EE2">
              <w:rPr>
                <w:rStyle w:val="Hypertextovodkaz"/>
                <w:noProof/>
              </w:rPr>
              <w:t>Jak hodnotím pracovní příležitosti</w:t>
            </w:r>
            <w:r w:rsidR="00332A29">
              <w:rPr>
                <w:noProof/>
                <w:webHidden/>
              </w:rPr>
              <w:tab/>
            </w:r>
            <w:r w:rsidR="00332A29">
              <w:rPr>
                <w:noProof/>
                <w:webHidden/>
              </w:rPr>
              <w:fldChar w:fldCharType="begin"/>
            </w:r>
            <w:r w:rsidR="00332A29">
              <w:rPr>
                <w:noProof/>
                <w:webHidden/>
              </w:rPr>
              <w:instrText xml:space="preserve"> PAGEREF _Toc77074629 \h </w:instrText>
            </w:r>
            <w:r w:rsidR="00332A29">
              <w:rPr>
                <w:noProof/>
                <w:webHidden/>
              </w:rPr>
            </w:r>
            <w:r w:rsidR="00332A29">
              <w:rPr>
                <w:noProof/>
                <w:webHidden/>
              </w:rPr>
              <w:fldChar w:fldCharType="separate"/>
            </w:r>
            <w:r w:rsidR="00332A29">
              <w:rPr>
                <w:noProof/>
                <w:webHidden/>
              </w:rPr>
              <w:t>248</w:t>
            </w:r>
            <w:r w:rsidR="00332A29">
              <w:rPr>
                <w:noProof/>
                <w:webHidden/>
              </w:rPr>
              <w:fldChar w:fldCharType="end"/>
            </w:r>
          </w:hyperlink>
        </w:p>
        <w:p w14:paraId="1BADF7B4" w14:textId="77777777" w:rsidR="00332A29" w:rsidRDefault="00183F7E">
          <w:pPr>
            <w:pStyle w:val="Obsah3"/>
            <w:tabs>
              <w:tab w:val="left" w:pos="1320"/>
              <w:tab w:val="right" w:leader="dot" w:pos="9062"/>
            </w:tabs>
            <w:rPr>
              <w:rFonts w:eastAsiaTheme="minorEastAsia"/>
              <w:noProof/>
              <w:lang w:eastAsia="cs-CZ"/>
            </w:rPr>
          </w:pPr>
          <w:hyperlink w:anchor="_Toc77074630" w:history="1">
            <w:r w:rsidR="00332A29" w:rsidRPr="00617EE2">
              <w:rPr>
                <w:rStyle w:val="Hypertextovodkaz"/>
                <w:noProof/>
              </w:rPr>
              <w:t>2.1.11</w:t>
            </w:r>
            <w:r w:rsidR="00332A29">
              <w:rPr>
                <w:rFonts w:eastAsiaTheme="minorEastAsia"/>
                <w:noProof/>
                <w:lang w:eastAsia="cs-CZ"/>
              </w:rPr>
              <w:tab/>
            </w:r>
            <w:r w:rsidR="00332A29" w:rsidRPr="00617EE2">
              <w:rPr>
                <w:rStyle w:val="Hypertextovodkaz"/>
                <w:noProof/>
              </w:rPr>
              <w:t>Jak hodnotím bezpečnost</w:t>
            </w:r>
            <w:r w:rsidR="00332A29">
              <w:rPr>
                <w:noProof/>
                <w:webHidden/>
              </w:rPr>
              <w:tab/>
            </w:r>
            <w:r w:rsidR="00332A29">
              <w:rPr>
                <w:noProof/>
                <w:webHidden/>
              </w:rPr>
              <w:fldChar w:fldCharType="begin"/>
            </w:r>
            <w:r w:rsidR="00332A29">
              <w:rPr>
                <w:noProof/>
                <w:webHidden/>
              </w:rPr>
              <w:instrText xml:space="preserve"> PAGEREF _Toc77074630 \h </w:instrText>
            </w:r>
            <w:r w:rsidR="00332A29">
              <w:rPr>
                <w:noProof/>
                <w:webHidden/>
              </w:rPr>
            </w:r>
            <w:r w:rsidR="00332A29">
              <w:rPr>
                <w:noProof/>
                <w:webHidden/>
              </w:rPr>
              <w:fldChar w:fldCharType="separate"/>
            </w:r>
            <w:r w:rsidR="00332A29">
              <w:rPr>
                <w:noProof/>
                <w:webHidden/>
              </w:rPr>
              <w:t>250</w:t>
            </w:r>
            <w:r w:rsidR="00332A29">
              <w:rPr>
                <w:noProof/>
                <w:webHidden/>
              </w:rPr>
              <w:fldChar w:fldCharType="end"/>
            </w:r>
          </w:hyperlink>
        </w:p>
        <w:p w14:paraId="7C046624" w14:textId="77777777" w:rsidR="00332A29" w:rsidRDefault="00183F7E">
          <w:pPr>
            <w:pStyle w:val="Obsah3"/>
            <w:tabs>
              <w:tab w:val="left" w:pos="1320"/>
              <w:tab w:val="right" w:leader="dot" w:pos="9062"/>
            </w:tabs>
            <w:rPr>
              <w:rFonts w:eastAsiaTheme="minorEastAsia"/>
              <w:noProof/>
              <w:lang w:eastAsia="cs-CZ"/>
            </w:rPr>
          </w:pPr>
          <w:hyperlink w:anchor="_Toc77074631" w:history="1">
            <w:r w:rsidR="00332A29" w:rsidRPr="00617EE2">
              <w:rPr>
                <w:rStyle w:val="Hypertextovodkaz"/>
                <w:noProof/>
              </w:rPr>
              <w:t>2.1.12</w:t>
            </w:r>
            <w:r w:rsidR="00332A29">
              <w:rPr>
                <w:rFonts w:eastAsiaTheme="minorEastAsia"/>
                <w:noProof/>
                <w:lang w:eastAsia="cs-CZ"/>
              </w:rPr>
              <w:tab/>
            </w:r>
            <w:r w:rsidR="00332A29" w:rsidRPr="00617EE2">
              <w:rPr>
                <w:rStyle w:val="Hypertextovodkaz"/>
                <w:noProof/>
              </w:rPr>
              <w:t>Jak hodnotím práci Magistrátu města Zlín</w:t>
            </w:r>
            <w:r w:rsidR="00332A29">
              <w:rPr>
                <w:noProof/>
                <w:webHidden/>
              </w:rPr>
              <w:tab/>
            </w:r>
            <w:r w:rsidR="00332A29">
              <w:rPr>
                <w:noProof/>
                <w:webHidden/>
              </w:rPr>
              <w:fldChar w:fldCharType="begin"/>
            </w:r>
            <w:r w:rsidR="00332A29">
              <w:rPr>
                <w:noProof/>
                <w:webHidden/>
              </w:rPr>
              <w:instrText xml:space="preserve"> PAGEREF _Toc77074631 \h </w:instrText>
            </w:r>
            <w:r w:rsidR="00332A29">
              <w:rPr>
                <w:noProof/>
                <w:webHidden/>
              </w:rPr>
            </w:r>
            <w:r w:rsidR="00332A29">
              <w:rPr>
                <w:noProof/>
                <w:webHidden/>
              </w:rPr>
              <w:fldChar w:fldCharType="separate"/>
            </w:r>
            <w:r w:rsidR="00332A29">
              <w:rPr>
                <w:noProof/>
                <w:webHidden/>
              </w:rPr>
              <w:t>253</w:t>
            </w:r>
            <w:r w:rsidR="00332A29">
              <w:rPr>
                <w:noProof/>
                <w:webHidden/>
              </w:rPr>
              <w:fldChar w:fldCharType="end"/>
            </w:r>
          </w:hyperlink>
        </w:p>
        <w:p w14:paraId="4FCF644B" w14:textId="77777777" w:rsidR="00332A29" w:rsidRDefault="00183F7E">
          <w:pPr>
            <w:pStyle w:val="Obsah3"/>
            <w:tabs>
              <w:tab w:val="left" w:pos="1320"/>
              <w:tab w:val="right" w:leader="dot" w:pos="9062"/>
            </w:tabs>
            <w:rPr>
              <w:rFonts w:eastAsiaTheme="minorEastAsia"/>
              <w:noProof/>
              <w:lang w:eastAsia="cs-CZ"/>
            </w:rPr>
          </w:pPr>
          <w:hyperlink w:anchor="_Toc77074632" w:history="1">
            <w:r w:rsidR="00332A29" w:rsidRPr="00617EE2">
              <w:rPr>
                <w:rStyle w:val="Hypertextovodkaz"/>
                <w:noProof/>
              </w:rPr>
              <w:t>2.1.13</w:t>
            </w:r>
            <w:r w:rsidR="00332A29">
              <w:rPr>
                <w:rFonts w:eastAsiaTheme="minorEastAsia"/>
                <w:noProof/>
                <w:lang w:eastAsia="cs-CZ"/>
              </w:rPr>
              <w:tab/>
            </w:r>
            <w:r w:rsidR="00332A29" w:rsidRPr="00617EE2">
              <w:rPr>
                <w:rStyle w:val="Hypertextovodkaz"/>
                <w:noProof/>
              </w:rPr>
              <w:t>Stěhování ze Zlína</w:t>
            </w:r>
            <w:r w:rsidR="00332A29">
              <w:rPr>
                <w:noProof/>
                <w:webHidden/>
              </w:rPr>
              <w:tab/>
            </w:r>
            <w:r w:rsidR="00332A29">
              <w:rPr>
                <w:noProof/>
                <w:webHidden/>
              </w:rPr>
              <w:fldChar w:fldCharType="begin"/>
            </w:r>
            <w:r w:rsidR="00332A29">
              <w:rPr>
                <w:noProof/>
                <w:webHidden/>
              </w:rPr>
              <w:instrText xml:space="preserve"> PAGEREF _Toc77074632 \h </w:instrText>
            </w:r>
            <w:r w:rsidR="00332A29">
              <w:rPr>
                <w:noProof/>
                <w:webHidden/>
              </w:rPr>
            </w:r>
            <w:r w:rsidR="00332A29">
              <w:rPr>
                <w:noProof/>
                <w:webHidden/>
              </w:rPr>
              <w:fldChar w:fldCharType="separate"/>
            </w:r>
            <w:r w:rsidR="00332A29">
              <w:rPr>
                <w:noProof/>
                <w:webHidden/>
              </w:rPr>
              <w:t>254</w:t>
            </w:r>
            <w:r w:rsidR="00332A29">
              <w:rPr>
                <w:noProof/>
                <w:webHidden/>
              </w:rPr>
              <w:fldChar w:fldCharType="end"/>
            </w:r>
          </w:hyperlink>
        </w:p>
        <w:p w14:paraId="62477CC4" w14:textId="77777777" w:rsidR="00332A29" w:rsidRDefault="00183F7E">
          <w:pPr>
            <w:pStyle w:val="Obsah3"/>
            <w:tabs>
              <w:tab w:val="left" w:pos="1320"/>
              <w:tab w:val="right" w:leader="dot" w:pos="9062"/>
            </w:tabs>
            <w:rPr>
              <w:rFonts w:eastAsiaTheme="minorEastAsia"/>
              <w:noProof/>
              <w:lang w:eastAsia="cs-CZ"/>
            </w:rPr>
          </w:pPr>
          <w:hyperlink w:anchor="_Toc77074633" w:history="1">
            <w:r w:rsidR="00332A29" w:rsidRPr="00617EE2">
              <w:rPr>
                <w:rStyle w:val="Hypertextovodkaz"/>
                <w:noProof/>
              </w:rPr>
              <w:t>2.1.14</w:t>
            </w:r>
            <w:r w:rsidR="00332A29">
              <w:rPr>
                <w:rFonts w:eastAsiaTheme="minorEastAsia"/>
                <w:noProof/>
                <w:lang w:eastAsia="cs-CZ"/>
              </w:rPr>
              <w:tab/>
            </w:r>
            <w:r w:rsidR="00332A29" w:rsidRPr="00617EE2">
              <w:rPr>
                <w:rStyle w:val="Hypertextovodkaz"/>
                <w:noProof/>
              </w:rPr>
              <w:t>Co by mělo město přednostně podporovat</w:t>
            </w:r>
            <w:r w:rsidR="00332A29">
              <w:rPr>
                <w:noProof/>
                <w:webHidden/>
              </w:rPr>
              <w:tab/>
            </w:r>
            <w:r w:rsidR="00332A29">
              <w:rPr>
                <w:noProof/>
                <w:webHidden/>
              </w:rPr>
              <w:fldChar w:fldCharType="begin"/>
            </w:r>
            <w:r w:rsidR="00332A29">
              <w:rPr>
                <w:noProof/>
                <w:webHidden/>
              </w:rPr>
              <w:instrText xml:space="preserve"> PAGEREF _Toc77074633 \h </w:instrText>
            </w:r>
            <w:r w:rsidR="00332A29">
              <w:rPr>
                <w:noProof/>
                <w:webHidden/>
              </w:rPr>
            </w:r>
            <w:r w:rsidR="00332A29">
              <w:rPr>
                <w:noProof/>
                <w:webHidden/>
              </w:rPr>
              <w:fldChar w:fldCharType="separate"/>
            </w:r>
            <w:r w:rsidR="00332A29">
              <w:rPr>
                <w:noProof/>
                <w:webHidden/>
              </w:rPr>
              <w:t>255</w:t>
            </w:r>
            <w:r w:rsidR="00332A29">
              <w:rPr>
                <w:noProof/>
                <w:webHidden/>
              </w:rPr>
              <w:fldChar w:fldCharType="end"/>
            </w:r>
          </w:hyperlink>
        </w:p>
        <w:p w14:paraId="6B8A5E24" w14:textId="77777777" w:rsidR="00332A29" w:rsidRDefault="00183F7E">
          <w:pPr>
            <w:pStyle w:val="Obsah3"/>
            <w:tabs>
              <w:tab w:val="left" w:pos="1320"/>
              <w:tab w:val="right" w:leader="dot" w:pos="9062"/>
            </w:tabs>
            <w:rPr>
              <w:rFonts w:eastAsiaTheme="minorEastAsia"/>
              <w:noProof/>
              <w:lang w:eastAsia="cs-CZ"/>
            </w:rPr>
          </w:pPr>
          <w:hyperlink w:anchor="_Toc77074634" w:history="1">
            <w:r w:rsidR="00332A29" w:rsidRPr="00617EE2">
              <w:rPr>
                <w:rStyle w:val="Hypertextovodkaz"/>
                <w:noProof/>
              </w:rPr>
              <w:t>2.1.15</w:t>
            </w:r>
            <w:r w:rsidR="00332A29">
              <w:rPr>
                <w:rFonts w:eastAsiaTheme="minorEastAsia"/>
                <w:noProof/>
                <w:lang w:eastAsia="cs-CZ"/>
              </w:rPr>
              <w:tab/>
            </w:r>
            <w:r w:rsidR="00332A29" w:rsidRPr="00617EE2">
              <w:rPr>
                <w:rStyle w:val="Hypertextovodkaz"/>
                <w:noProof/>
              </w:rPr>
              <w:t>Jak rozvíjet Zlín</w:t>
            </w:r>
            <w:r w:rsidR="00332A29">
              <w:rPr>
                <w:noProof/>
                <w:webHidden/>
              </w:rPr>
              <w:tab/>
            </w:r>
            <w:r w:rsidR="00332A29">
              <w:rPr>
                <w:noProof/>
                <w:webHidden/>
              </w:rPr>
              <w:fldChar w:fldCharType="begin"/>
            </w:r>
            <w:r w:rsidR="00332A29">
              <w:rPr>
                <w:noProof/>
                <w:webHidden/>
              </w:rPr>
              <w:instrText xml:space="preserve"> PAGEREF _Toc77074634 \h </w:instrText>
            </w:r>
            <w:r w:rsidR="00332A29">
              <w:rPr>
                <w:noProof/>
                <w:webHidden/>
              </w:rPr>
            </w:r>
            <w:r w:rsidR="00332A29">
              <w:rPr>
                <w:noProof/>
                <w:webHidden/>
              </w:rPr>
              <w:fldChar w:fldCharType="separate"/>
            </w:r>
            <w:r w:rsidR="00332A29">
              <w:rPr>
                <w:noProof/>
                <w:webHidden/>
              </w:rPr>
              <w:t>257</w:t>
            </w:r>
            <w:r w:rsidR="00332A29">
              <w:rPr>
                <w:noProof/>
                <w:webHidden/>
              </w:rPr>
              <w:fldChar w:fldCharType="end"/>
            </w:r>
          </w:hyperlink>
        </w:p>
        <w:p w14:paraId="364A7D58" w14:textId="77777777" w:rsidR="00332A29" w:rsidRDefault="00183F7E">
          <w:pPr>
            <w:pStyle w:val="Obsah3"/>
            <w:tabs>
              <w:tab w:val="left" w:pos="1320"/>
              <w:tab w:val="right" w:leader="dot" w:pos="9062"/>
            </w:tabs>
            <w:rPr>
              <w:rFonts w:eastAsiaTheme="minorEastAsia"/>
              <w:noProof/>
              <w:lang w:eastAsia="cs-CZ"/>
            </w:rPr>
          </w:pPr>
          <w:hyperlink w:anchor="_Toc77074635" w:history="1">
            <w:r w:rsidR="00332A29" w:rsidRPr="00617EE2">
              <w:rPr>
                <w:rStyle w:val="Hypertextovodkaz"/>
                <w:noProof/>
              </w:rPr>
              <w:t>2.1.16</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_Toc77074635 \h </w:instrText>
            </w:r>
            <w:r w:rsidR="00332A29">
              <w:rPr>
                <w:noProof/>
                <w:webHidden/>
              </w:rPr>
            </w:r>
            <w:r w:rsidR="00332A29">
              <w:rPr>
                <w:noProof/>
                <w:webHidden/>
              </w:rPr>
              <w:fldChar w:fldCharType="separate"/>
            </w:r>
            <w:r w:rsidR="00332A29">
              <w:rPr>
                <w:noProof/>
                <w:webHidden/>
              </w:rPr>
              <w:t>259</w:t>
            </w:r>
            <w:r w:rsidR="00332A29">
              <w:rPr>
                <w:noProof/>
                <w:webHidden/>
              </w:rPr>
              <w:fldChar w:fldCharType="end"/>
            </w:r>
          </w:hyperlink>
        </w:p>
        <w:p w14:paraId="62B772F5" w14:textId="77777777" w:rsidR="00332A29" w:rsidRDefault="00183F7E">
          <w:pPr>
            <w:pStyle w:val="Obsah2"/>
            <w:tabs>
              <w:tab w:val="left" w:pos="880"/>
              <w:tab w:val="right" w:leader="dot" w:pos="9062"/>
            </w:tabs>
            <w:rPr>
              <w:rFonts w:eastAsiaTheme="minorEastAsia"/>
              <w:noProof/>
              <w:lang w:eastAsia="cs-CZ"/>
            </w:rPr>
          </w:pPr>
          <w:hyperlink w:anchor="_Toc77074636" w:history="1">
            <w:r w:rsidR="00332A29" w:rsidRPr="00617EE2">
              <w:rPr>
                <w:rStyle w:val="Hypertextovodkaz"/>
                <w:noProof/>
              </w:rPr>
              <w:t>2.2</w:t>
            </w:r>
            <w:r w:rsidR="00332A29">
              <w:rPr>
                <w:rFonts w:eastAsiaTheme="minorEastAsia"/>
                <w:noProof/>
                <w:lang w:eastAsia="cs-CZ"/>
              </w:rPr>
              <w:tab/>
            </w:r>
            <w:r w:rsidR="00332A29" w:rsidRPr="00617EE2">
              <w:rPr>
                <w:rStyle w:val="Hypertextovodkaz"/>
                <w:noProof/>
              </w:rPr>
              <w:t>Analýza stakeholderů</w:t>
            </w:r>
            <w:r w:rsidR="00332A29">
              <w:rPr>
                <w:noProof/>
                <w:webHidden/>
              </w:rPr>
              <w:tab/>
            </w:r>
            <w:r w:rsidR="00332A29">
              <w:rPr>
                <w:noProof/>
                <w:webHidden/>
              </w:rPr>
              <w:fldChar w:fldCharType="begin"/>
            </w:r>
            <w:r w:rsidR="00332A29">
              <w:rPr>
                <w:noProof/>
                <w:webHidden/>
              </w:rPr>
              <w:instrText xml:space="preserve"> PAGEREF _Toc77074636 \h </w:instrText>
            </w:r>
            <w:r w:rsidR="00332A29">
              <w:rPr>
                <w:noProof/>
                <w:webHidden/>
              </w:rPr>
            </w:r>
            <w:r w:rsidR="00332A29">
              <w:rPr>
                <w:noProof/>
                <w:webHidden/>
              </w:rPr>
              <w:fldChar w:fldCharType="separate"/>
            </w:r>
            <w:r w:rsidR="00332A29">
              <w:rPr>
                <w:noProof/>
                <w:webHidden/>
              </w:rPr>
              <w:t>261</w:t>
            </w:r>
            <w:r w:rsidR="00332A29">
              <w:rPr>
                <w:noProof/>
                <w:webHidden/>
              </w:rPr>
              <w:fldChar w:fldCharType="end"/>
            </w:r>
          </w:hyperlink>
        </w:p>
        <w:p w14:paraId="32C2009D" w14:textId="77777777" w:rsidR="00332A29" w:rsidRDefault="00183F7E">
          <w:pPr>
            <w:pStyle w:val="Obsah3"/>
            <w:tabs>
              <w:tab w:val="left" w:pos="1320"/>
              <w:tab w:val="right" w:leader="dot" w:pos="9062"/>
            </w:tabs>
            <w:rPr>
              <w:rFonts w:eastAsiaTheme="minorEastAsia"/>
              <w:noProof/>
              <w:lang w:eastAsia="cs-CZ"/>
            </w:rPr>
          </w:pPr>
          <w:hyperlink w:anchor="_Toc77074637" w:history="1">
            <w:r w:rsidR="00332A29" w:rsidRPr="00617EE2">
              <w:rPr>
                <w:rStyle w:val="Hypertextovodkaz"/>
                <w:noProof/>
              </w:rPr>
              <w:t>2.2.1</w:t>
            </w:r>
            <w:r w:rsidR="00332A29">
              <w:rPr>
                <w:rFonts w:eastAsiaTheme="minorEastAsia"/>
                <w:noProof/>
                <w:lang w:eastAsia="cs-CZ"/>
              </w:rPr>
              <w:tab/>
            </w:r>
            <w:r w:rsidR="00332A29" w:rsidRPr="00617EE2">
              <w:rPr>
                <w:rStyle w:val="Hypertextovodkaz"/>
                <w:noProof/>
              </w:rPr>
              <w:t>Úvod</w:t>
            </w:r>
            <w:r w:rsidR="00332A29">
              <w:rPr>
                <w:noProof/>
                <w:webHidden/>
              </w:rPr>
              <w:tab/>
            </w:r>
            <w:r w:rsidR="00332A29">
              <w:rPr>
                <w:noProof/>
                <w:webHidden/>
              </w:rPr>
              <w:fldChar w:fldCharType="begin"/>
            </w:r>
            <w:r w:rsidR="00332A29">
              <w:rPr>
                <w:noProof/>
                <w:webHidden/>
              </w:rPr>
              <w:instrText xml:space="preserve"> PAGEREF _Toc77074637 \h </w:instrText>
            </w:r>
            <w:r w:rsidR="00332A29">
              <w:rPr>
                <w:noProof/>
                <w:webHidden/>
              </w:rPr>
            </w:r>
            <w:r w:rsidR="00332A29">
              <w:rPr>
                <w:noProof/>
                <w:webHidden/>
              </w:rPr>
              <w:fldChar w:fldCharType="separate"/>
            </w:r>
            <w:r w:rsidR="00332A29">
              <w:rPr>
                <w:noProof/>
                <w:webHidden/>
              </w:rPr>
              <w:t>261</w:t>
            </w:r>
            <w:r w:rsidR="00332A29">
              <w:rPr>
                <w:noProof/>
                <w:webHidden/>
              </w:rPr>
              <w:fldChar w:fldCharType="end"/>
            </w:r>
          </w:hyperlink>
        </w:p>
        <w:p w14:paraId="579E582E" w14:textId="77777777" w:rsidR="00332A29" w:rsidRDefault="00183F7E">
          <w:pPr>
            <w:pStyle w:val="Obsah3"/>
            <w:tabs>
              <w:tab w:val="left" w:pos="1320"/>
              <w:tab w:val="right" w:leader="dot" w:pos="9062"/>
            </w:tabs>
            <w:rPr>
              <w:rFonts w:eastAsiaTheme="minorEastAsia"/>
              <w:noProof/>
              <w:lang w:eastAsia="cs-CZ"/>
            </w:rPr>
          </w:pPr>
          <w:hyperlink w:anchor="_Toc77074638" w:history="1">
            <w:r w:rsidR="00332A29" w:rsidRPr="00617EE2">
              <w:rPr>
                <w:rStyle w:val="Hypertextovodkaz"/>
                <w:noProof/>
              </w:rPr>
              <w:t>2.2.2</w:t>
            </w:r>
            <w:r w:rsidR="00332A29">
              <w:rPr>
                <w:rFonts w:eastAsiaTheme="minorEastAsia"/>
                <w:noProof/>
                <w:lang w:eastAsia="cs-CZ"/>
              </w:rPr>
              <w:tab/>
            </w:r>
            <w:r w:rsidR="00332A29" w:rsidRPr="00617EE2">
              <w:rPr>
                <w:rStyle w:val="Hypertextovodkaz"/>
                <w:noProof/>
              </w:rPr>
              <w:t>Identifikace zainteresovaných aktérů do rozvoje města Zlín</w:t>
            </w:r>
            <w:r w:rsidR="00332A29">
              <w:rPr>
                <w:noProof/>
                <w:webHidden/>
              </w:rPr>
              <w:tab/>
            </w:r>
            <w:r w:rsidR="00332A29">
              <w:rPr>
                <w:noProof/>
                <w:webHidden/>
              </w:rPr>
              <w:fldChar w:fldCharType="begin"/>
            </w:r>
            <w:r w:rsidR="00332A29">
              <w:rPr>
                <w:noProof/>
                <w:webHidden/>
              </w:rPr>
              <w:instrText xml:space="preserve"> PAGEREF _Toc77074638 \h </w:instrText>
            </w:r>
            <w:r w:rsidR="00332A29">
              <w:rPr>
                <w:noProof/>
                <w:webHidden/>
              </w:rPr>
            </w:r>
            <w:r w:rsidR="00332A29">
              <w:rPr>
                <w:noProof/>
                <w:webHidden/>
              </w:rPr>
              <w:fldChar w:fldCharType="separate"/>
            </w:r>
            <w:r w:rsidR="00332A29">
              <w:rPr>
                <w:noProof/>
                <w:webHidden/>
              </w:rPr>
              <w:t>264</w:t>
            </w:r>
            <w:r w:rsidR="00332A29">
              <w:rPr>
                <w:noProof/>
                <w:webHidden/>
              </w:rPr>
              <w:fldChar w:fldCharType="end"/>
            </w:r>
          </w:hyperlink>
        </w:p>
        <w:p w14:paraId="70A9D20C" w14:textId="77777777" w:rsidR="00332A29" w:rsidRDefault="00183F7E">
          <w:pPr>
            <w:pStyle w:val="Obsah3"/>
            <w:tabs>
              <w:tab w:val="left" w:pos="1320"/>
              <w:tab w:val="right" w:leader="dot" w:pos="9062"/>
            </w:tabs>
            <w:rPr>
              <w:rFonts w:eastAsiaTheme="minorEastAsia"/>
              <w:noProof/>
              <w:lang w:eastAsia="cs-CZ"/>
            </w:rPr>
          </w:pPr>
          <w:hyperlink w:anchor="_Toc77074639" w:history="1">
            <w:r w:rsidR="00332A29" w:rsidRPr="00617EE2">
              <w:rPr>
                <w:rStyle w:val="Hypertextovodkaz"/>
                <w:noProof/>
                <w:lang w:eastAsia="cs-CZ"/>
              </w:rPr>
              <w:t>2.2.3</w:t>
            </w:r>
            <w:r w:rsidR="00332A29">
              <w:rPr>
                <w:rFonts w:eastAsiaTheme="minorEastAsia"/>
                <w:noProof/>
                <w:lang w:eastAsia="cs-CZ"/>
              </w:rPr>
              <w:tab/>
            </w:r>
            <w:r w:rsidR="00332A29" w:rsidRPr="00617EE2">
              <w:rPr>
                <w:rStyle w:val="Hypertextovodkaz"/>
                <w:noProof/>
                <w:lang w:eastAsia="cs-CZ"/>
              </w:rPr>
              <w:t>Prioritizace zainteresovaných stran a jejich zapojení</w:t>
            </w:r>
            <w:r w:rsidR="00332A29">
              <w:rPr>
                <w:noProof/>
                <w:webHidden/>
              </w:rPr>
              <w:tab/>
            </w:r>
            <w:r w:rsidR="00332A29">
              <w:rPr>
                <w:noProof/>
                <w:webHidden/>
              </w:rPr>
              <w:fldChar w:fldCharType="begin"/>
            </w:r>
            <w:r w:rsidR="00332A29">
              <w:rPr>
                <w:noProof/>
                <w:webHidden/>
              </w:rPr>
              <w:instrText xml:space="preserve"> PAGEREF _Toc77074639 \h </w:instrText>
            </w:r>
            <w:r w:rsidR="00332A29">
              <w:rPr>
                <w:noProof/>
                <w:webHidden/>
              </w:rPr>
            </w:r>
            <w:r w:rsidR="00332A29">
              <w:rPr>
                <w:noProof/>
                <w:webHidden/>
              </w:rPr>
              <w:fldChar w:fldCharType="separate"/>
            </w:r>
            <w:r w:rsidR="00332A29">
              <w:rPr>
                <w:noProof/>
                <w:webHidden/>
              </w:rPr>
              <w:t>273</w:t>
            </w:r>
            <w:r w:rsidR="00332A29">
              <w:rPr>
                <w:noProof/>
                <w:webHidden/>
              </w:rPr>
              <w:fldChar w:fldCharType="end"/>
            </w:r>
          </w:hyperlink>
        </w:p>
        <w:p w14:paraId="3DEC016F" w14:textId="77777777" w:rsidR="00332A29" w:rsidRDefault="00183F7E">
          <w:pPr>
            <w:pStyle w:val="Obsah3"/>
            <w:tabs>
              <w:tab w:val="left" w:pos="1320"/>
              <w:tab w:val="right" w:leader="dot" w:pos="9062"/>
            </w:tabs>
            <w:rPr>
              <w:rFonts w:eastAsiaTheme="minorEastAsia"/>
              <w:noProof/>
              <w:lang w:eastAsia="cs-CZ"/>
            </w:rPr>
          </w:pPr>
          <w:hyperlink w:anchor="_Toc77074640" w:history="1">
            <w:r w:rsidR="00332A29" w:rsidRPr="00617EE2">
              <w:rPr>
                <w:rStyle w:val="Hypertextovodkaz"/>
                <w:noProof/>
              </w:rPr>
              <w:t>2.2.4</w:t>
            </w:r>
            <w:r w:rsidR="00332A29">
              <w:rPr>
                <w:rFonts w:eastAsiaTheme="minorEastAsia"/>
                <w:noProof/>
                <w:lang w:eastAsia="cs-CZ"/>
              </w:rPr>
              <w:tab/>
            </w:r>
            <w:r w:rsidR="00332A29" w:rsidRPr="00617EE2">
              <w:rPr>
                <w:rStyle w:val="Hypertextovodkaz"/>
                <w:noProof/>
              </w:rPr>
              <w:t>Zdroje</w:t>
            </w:r>
            <w:r w:rsidR="00332A29">
              <w:rPr>
                <w:noProof/>
                <w:webHidden/>
              </w:rPr>
              <w:tab/>
            </w:r>
            <w:r w:rsidR="00332A29">
              <w:rPr>
                <w:noProof/>
                <w:webHidden/>
              </w:rPr>
              <w:fldChar w:fldCharType="begin"/>
            </w:r>
            <w:r w:rsidR="00332A29">
              <w:rPr>
                <w:noProof/>
                <w:webHidden/>
              </w:rPr>
              <w:instrText xml:space="preserve"> PAGEREF _Toc77074640 \h </w:instrText>
            </w:r>
            <w:r w:rsidR="00332A29">
              <w:rPr>
                <w:noProof/>
                <w:webHidden/>
              </w:rPr>
            </w:r>
            <w:r w:rsidR="00332A29">
              <w:rPr>
                <w:noProof/>
                <w:webHidden/>
              </w:rPr>
              <w:fldChar w:fldCharType="separate"/>
            </w:r>
            <w:r w:rsidR="00332A29">
              <w:rPr>
                <w:noProof/>
                <w:webHidden/>
              </w:rPr>
              <w:t>281</w:t>
            </w:r>
            <w:r w:rsidR="00332A29">
              <w:rPr>
                <w:noProof/>
                <w:webHidden/>
              </w:rPr>
              <w:fldChar w:fldCharType="end"/>
            </w:r>
          </w:hyperlink>
        </w:p>
        <w:p w14:paraId="21FFC888" w14:textId="77777777" w:rsidR="00332A29" w:rsidRDefault="00183F7E">
          <w:pPr>
            <w:pStyle w:val="Obsah2"/>
            <w:tabs>
              <w:tab w:val="left" w:pos="880"/>
              <w:tab w:val="right" w:leader="dot" w:pos="9062"/>
            </w:tabs>
            <w:rPr>
              <w:rFonts w:eastAsiaTheme="minorEastAsia"/>
              <w:noProof/>
              <w:lang w:eastAsia="cs-CZ"/>
            </w:rPr>
          </w:pPr>
          <w:hyperlink w:anchor="_Toc77074641" w:history="1">
            <w:r w:rsidR="00332A29" w:rsidRPr="00617EE2">
              <w:rPr>
                <w:rStyle w:val="Hypertextovodkaz"/>
                <w:noProof/>
              </w:rPr>
              <w:t>2.3</w:t>
            </w:r>
            <w:r w:rsidR="00332A29">
              <w:rPr>
                <w:rFonts w:eastAsiaTheme="minorEastAsia"/>
                <w:noProof/>
                <w:lang w:eastAsia="cs-CZ"/>
              </w:rPr>
              <w:tab/>
            </w:r>
            <w:r w:rsidR="00332A29" w:rsidRPr="00617EE2">
              <w:rPr>
                <w:rStyle w:val="Hypertextovodkaz"/>
                <w:noProof/>
              </w:rPr>
              <w:t>Zpráva o realizaci průzkumu stakeholderů a osobností</w:t>
            </w:r>
            <w:r w:rsidR="00332A29">
              <w:rPr>
                <w:noProof/>
                <w:webHidden/>
              </w:rPr>
              <w:tab/>
            </w:r>
            <w:r w:rsidR="00332A29">
              <w:rPr>
                <w:noProof/>
                <w:webHidden/>
              </w:rPr>
              <w:fldChar w:fldCharType="begin"/>
            </w:r>
            <w:r w:rsidR="00332A29">
              <w:rPr>
                <w:noProof/>
                <w:webHidden/>
              </w:rPr>
              <w:instrText xml:space="preserve"> PAGEREF _Toc77074641 \h </w:instrText>
            </w:r>
            <w:r w:rsidR="00332A29">
              <w:rPr>
                <w:noProof/>
                <w:webHidden/>
              </w:rPr>
            </w:r>
            <w:r w:rsidR="00332A29">
              <w:rPr>
                <w:noProof/>
                <w:webHidden/>
              </w:rPr>
              <w:fldChar w:fldCharType="separate"/>
            </w:r>
            <w:r w:rsidR="00332A29">
              <w:rPr>
                <w:noProof/>
                <w:webHidden/>
              </w:rPr>
              <w:t>282</w:t>
            </w:r>
            <w:r w:rsidR="00332A29">
              <w:rPr>
                <w:noProof/>
                <w:webHidden/>
              </w:rPr>
              <w:fldChar w:fldCharType="end"/>
            </w:r>
          </w:hyperlink>
        </w:p>
        <w:p w14:paraId="6CBCCEA3" w14:textId="77777777" w:rsidR="00332A29" w:rsidRDefault="00183F7E">
          <w:pPr>
            <w:pStyle w:val="Obsah3"/>
            <w:tabs>
              <w:tab w:val="left" w:pos="1320"/>
              <w:tab w:val="right" w:leader="dot" w:pos="9062"/>
            </w:tabs>
            <w:rPr>
              <w:rFonts w:eastAsiaTheme="minorEastAsia"/>
              <w:noProof/>
              <w:lang w:eastAsia="cs-CZ"/>
            </w:rPr>
          </w:pPr>
          <w:hyperlink w:anchor="_Toc77074642" w:history="1">
            <w:r w:rsidR="00332A29" w:rsidRPr="00617EE2">
              <w:rPr>
                <w:rStyle w:val="Hypertextovodkaz"/>
                <w:noProof/>
              </w:rPr>
              <w:t>2.3.1</w:t>
            </w:r>
            <w:r w:rsidR="00332A29">
              <w:rPr>
                <w:rFonts w:eastAsiaTheme="minorEastAsia"/>
                <w:noProof/>
                <w:lang w:eastAsia="cs-CZ"/>
              </w:rPr>
              <w:tab/>
            </w:r>
            <w:r w:rsidR="00332A29" w:rsidRPr="00617EE2">
              <w:rPr>
                <w:rStyle w:val="Hypertextovodkaz"/>
                <w:noProof/>
              </w:rPr>
              <w:t>Výsledky průzkumu</w:t>
            </w:r>
            <w:r w:rsidR="00332A29">
              <w:rPr>
                <w:noProof/>
                <w:webHidden/>
              </w:rPr>
              <w:tab/>
            </w:r>
            <w:r w:rsidR="00332A29">
              <w:rPr>
                <w:noProof/>
                <w:webHidden/>
              </w:rPr>
              <w:fldChar w:fldCharType="begin"/>
            </w:r>
            <w:r w:rsidR="00332A29">
              <w:rPr>
                <w:noProof/>
                <w:webHidden/>
              </w:rPr>
              <w:instrText xml:space="preserve"> PAGEREF _Toc77074642 \h </w:instrText>
            </w:r>
            <w:r w:rsidR="00332A29">
              <w:rPr>
                <w:noProof/>
                <w:webHidden/>
              </w:rPr>
            </w:r>
            <w:r w:rsidR="00332A29">
              <w:rPr>
                <w:noProof/>
                <w:webHidden/>
              </w:rPr>
              <w:fldChar w:fldCharType="separate"/>
            </w:r>
            <w:r w:rsidR="00332A29">
              <w:rPr>
                <w:noProof/>
                <w:webHidden/>
              </w:rPr>
              <w:t>283</w:t>
            </w:r>
            <w:r w:rsidR="00332A29">
              <w:rPr>
                <w:noProof/>
                <w:webHidden/>
              </w:rPr>
              <w:fldChar w:fldCharType="end"/>
            </w:r>
          </w:hyperlink>
        </w:p>
        <w:p w14:paraId="22503D20" w14:textId="77777777" w:rsidR="00332A29" w:rsidRDefault="00183F7E">
          <w:pPr>
            <w:pStyle w:val="Obsah3"/>
            <w:tabs>
              <w:tab w:val="left" w:pos="1320"/>
              <w:tab w:val="right" w:leader="dot" w:pos="9062"/>
            </w:tabs>
            <w:rPr>
              <w:rFonts w:eastAsiaTheme="minorEastAsia"/>
              <w:noProof/>
              <w:lang w:eastAsia="cs-CZ"/>
            </w:rPr>
          </w:pPr>
          <w:hyperlink w:anchor="_Toc77074643" w:history="1">
            <w:r w:rsidR="00332A29" w:rsidRPr="00617EE2">
              <w:rPr>
                <w:rStyle w:val="Hypertextovodkaz"/>
                <w:noProof/>
              </w:rPr>
              <w:t>2.3.2</w:t>
            </w:r>
            <w:r w:rsidR="00332A29">
              <w:rPr>
                <w:rFonts w:eastAsiaTheme="minorEastAsia"/>
                <w:noProof/>
                <w:lang w:eastAsia="cs-CZ"/>
              </w:rPr>
              <w:tab/>
            </w:r>
            <w:r w:rsidR="00332A29" w:rsidRPr="00617EE2">
              <w:rPr>
                <w:rStyle w:val="Hypertextovodkaz"/>
                <w:noProof/>
              </w:rPr>
              <w:t>Příloha: Scénář rozhovoru</w:t>
            </w:r>
            <w:r w:rsidR="00332A29">
              <w:rPr>
                <w:noProof/>
                <w:webHidden/>
              </w:rPr>
              <w:tab/>
            </w:r>
            <w:r w:rsidR="00332A29">
              <w:rPr>
                <w:noProof/>
                <w:webHidden/>
              </w:rPr>
              <w:fldChar w:fldCharType="begin"/>
            </w:r>
            <w:r w:rsidR="00332A29">
              <w:rPr>
                <w:noProof/>
                <w:webHidden/>
              </w:rPr>
              <w:instrText xml:space="preserve"> PAGEREF _Toc77074643 \h </w:instrText>
            </w:r>
            <w:r w:rsidR="00332A29">
              <w:rPr>
                <w:noProof/>
                <w:webHidden/>
              </w:rPr>
            </w:r>
            <w:r w:rsidR="00332A29">
              <w:rPr>
                <w:noProof/>
                <w:webHidden/>
              </w:rPr>
              <w:fldChar w:fldCharType="separate"/>
            </w:r>
            <w:r w:rsidR="00332A29">
              <w:rPr>
                <w:noProof/>
                <w:webHidden/>
              </w:rPr>
              <w:t>295</w:t>
            </w:r>
            <w:r w:rsidR="00332A29">
              <w:rPr>
                <w:noProof/>
                <w:webHidden/>
              </w:rPr>
              <w:fldChar w:fldCharType="end"/>
            </w:r>
          </w:hyperlink>
        </w:p>
        <w:p w14:paraId="7B45BC7A" w14:textId="77777777" w:rsidR="00332A29" w:rsidRDefault="00183F7E">
          <w:pPr>
            <w:pStyle w:val="Obsah2"/>
            <w:tabs>
              <w:tab w:val="left" w:pos="880"/>
              <w:tab w:val="right" w:leader="dot" w:pos="9062"/>
            </w:tabs>
            <w:rPr>
              <w:rFonts w:eastAsiaTheme="minorEastAsia"/>
              <w:noProof/>
              <w:lang w:eastAsia="cs-CZ"/>
            </w:rPr>
          </w:pPr>
          <w:hyperlink w:anchor="_Toc77074644" w:history="1">
            <w:r w:rsidR="00332A29" w:rsidRPr="00617EE2">
              <w:rPr>
                <w:rStyle w:val="Hypertextovodkaz"/>
                <w:noProof/>
              </w:rPr>
              <w:t>2.4</w:t>
            </w:r>
            <w:r w:rsidR="00332A29">
              <w:rPr>
                <w:rFonts w:eastAsiaTheme="minorEastAsia"/>
                <w:noProof/>
                <w:lang w:eastAsia="cs-CZ"/>
              </w:rPr>
              <w:tab/>
            </w:r>
            <w:r w:rsidR="00332A29" w:rsidRPr="00617EE2">
              <w:rPr>
                <w:rStyle w:val="Hypertextovodkaz"/>
                <w:noProof/>
              </w:rPr>
              <w:t>Průzkum podnikatelského prostředí</w:t>
            </w:r>
            <w:r w:rsidR="00332A29">
              <w:rPr>
                <w:noProof/>
                <w:webHidden/>
              </w:rPr>
              <w:tab/>
            </w:r>
            <w:r w:rsidR="00332A29">
              <w:rPr>
                <w:noProof/>
                <w:webHidden/>
              </w:rPr>
              <w:fldChar w:fldCharType="begin"/>
            </w:r>
            <w:r w:rsidR="00332A29">
              <w:rPr>
                <w:noProof/>
                <w:webHidden/>
              </w:rPr>
              <w:instrText xml:space="preserve"> PAGEREF _Toc77074644 \h </w:instrText>
            </w:r>
            <w:r w:rsidR="00332A29">
              <w:rPr>
                <w:noProof/>
                <w:webHidden/>
              </w:rPr>
            </w:r>
            <w:r w:rsidR="00332A29">
              <w:rPr>
                <w:noProof/>
                <w:webHidden/>
              </w:rPr>
              <w:fldChar w:fldCharType="separate"/>
            </w:r>
            <w:r w:rsidR="00332A29">
              <w:rPr>
                <w:noProof/>
                <w:webHidden/>
              </w:rPr>
              <w:t>298</w:t>
            </w:r>
            <w:r w:rsidR="00332A29">
              <w:rPr>
                <w:noProof/>
                <w:webHidden/>
              </w:rPr>
              <w:fldChar w:fldCharType="end"/>
            </w:r>
          </w:hyperlink>
        </w:p>
        <w:p w14:paraId="3D5C9BF1" w14:textId="77777777" w:rsidR="00332A29" w:rsidRDefault="00183F7E">
          <w:pPr>
            <w:pStyle w:val="Obsah3"/>
            <w:tabs>
              <w:tab w:val="left" w:pos="1320"/>
              <w:tab w:val="right" w:leader="dot" w:pos="9062"/>
            </w:tabs>
            <w:rPr>
              <w:rFonts w:eastAsiaTheme="minorEastAsia"/>
              <w:noProof/>
              <w:lang w:eastAsia="cs-CZ"/>
            </w:rPr>
          </w:pPr>
          <w:hyperlink w:anchor="_Toc77074645" w:history="1">
            <w:r w:rsidR="00332A29" w:rsidRPr="00617EE2">
              <w:rPr>
                <w:rStyle w:val="Hypertextovodkaz"/>
                <w:noProof/>
              </w:rPr>
              <w:t>2.4.1</w:t>
            </w:r>
            <w:r w:rsidR="00332A29">
              <w:rPr>
                <w:rFonts w:eastAsiaTheme="minorEastAsia"/>
                <w:noProof/>
                <w:lang w:eastAsia="cs-CZ"/>
              </w:rPr>
              <w:tab/>
            </w:r>
            <w:r w:rsidR="00332A29" w:rsidRPr="00617EE2">
              <w:rPr>
                <w:rStyle w:val="Hypertextovodkaz"/>
                <w:noProof/>
              </w:rPr>
              <w:t>Hodnocení podnikatelského prostředí ve městě</w:t>
            </w:r>
            <w:r w:rsidR="00332A29">
              <w:rPr>
                <w:noProof/>
                <w:webHidden/>
              </w:rPr>
              <w:tab/>
            </w:r>
            <w:r w:rsidR="00332A29">
              <w:rPr>
                <w:noProof/>
                <w:webHidden/>
              </w:rPr>
              <w:fldChar w:fldCharType="begin"/>
            </w:r>
            <w:r w:rsidR="00332A29">
              <w:rPr>
                <w:noProof/>
                <w:webHidden/>
              </w:rPr>
              <w:instrText xml:space="preserve"> PAGEREF _Toc77074645 \h </w:instrText>
            </w:r>
            <w:r w:rsidR="00332A29">
              <w:rPr>
                <w:noProof/>
                <w:webHidden/>
              </w:rPr>
            </w:r>
            <w:r w:rsidR="00332A29">
              <w:rPr>
                <w:noProof/>
                <w:webHidden/>
              </w:rPr>
              <w:fldChar w:fldCharType="separate"/>
            </w:r>
            <w:r w:rsidR="00332A29">
              <w:rPr>
                <w:noProof/>
                <w:webHidden/>
              </w:rPr>
              <w:t>300</w:t>
            </w:r>
            <w:r w:rsidR="00332A29">
              <w:rPr>
                <w:noProof/>
                <w:webHidden/>
              </w:rPr>
              <w:fldChar w:fldCharType="end"/>
            </w:r>
          </w:hyperlink>
        </w:p>
        <w:p w14:paraId="24D73DB3" w14:textId="77777777" w:rsidR="00332A29" w:rsidRDefault="00183F7E">
          <w:pPr>
            <w:pStyle w:val="Obsah3"/>
            <w:tabs>
              <w:tab w:val="left" w:pos="1320"/>
              <w:tab w:val="right" w:leader="dot" w:pos="9062"/>
            </w:tabs>
            <w:rPr>
              <w:rFonts w:eastAsiaTheme="minorEastAsia"/>
              <w:noProof/>
              <w:lang w:eastAsia="cs-CZ"/>
            </w:rPr>
          </w:pPr>
          <w:hyperlink w:anchor="_Toc77074646" w:history="1">
            <w:r w:rsidR="00332A29" w:rsidRPr="00617EE2">
              <w:rPr>
                <w:rStyle w:val="Hypertextovodkaz"/>
                <w:noProof/>
              </w:rPr>
              <w:t>2.4.2</w:t>
            </w:r>
            <w:r w:rsidR="00332A29">
              <w:rPr>
                <w:rFonts w:eastAsiaTheme="minorEastAsia"/>
                <w:noProof/>
                <w:lang w:eastAsia="cs-CZ"/>
              </w:rPr>
              <w:tab/>
            </w:r>
            <w:r w:rsidR="00332A29" w:rsidRPr="00617EE2">
              <w:rPr>
                <w:rStyle w:val="Hypertextovodkaz"/>
                <w:noProof/>
              </w:rPr>
              <w:t>Hodnocení vlastního podnikání</w:t>
            </w:r>
            <w:r w:rsidR="00332A29">
              <w:rPr>
                <w:noProof/>
                <w:webHidden/>
              </w:rPr>
              <w:tab/>
            </w:r>
            <w:r w:rsidR="00332A29">
              <w:rPr>
                <w:noProof/>
                <w:webHidden/>
              </w:rPr>
              <w:fldChar w:fldCharType="begin"/>
            </w:r>
            <w:r w:rsidR="00332A29">
              <w:rPr>
                <w:noProof/>
                <w:webHidden/>
              </w:rPr>
              <w:instrText xml:space="preserve"> PAGEREF _Toc77074646 \h </w:instrText>
            </w:r>
            <w:r w:rsidR="00332A29">
              <w:rPr>
                <w:noProof/>
                <w:webHidden/>
              </w:rPr>
            </w:r>
            <w:r w:rsidR="00332A29">
              <w:rPr>
                <w:noProof/>
                <w:webHidden/>
              </w:rPr>
              <w:fldChar w:fldCharType="separate"/>
            </w:r>
            <w:r w:rsidR="00332A29">
              <w:rPr>
                <w:noProof/>
                <w:webHidden/>
              </w:rPr>
              <w:t>308</w:t>
            </w:r>
            <w:r w:rsidR="00332A29">
              <w:rPr>
                <w:noProof/>
                <w:webHidden/>
              </w:rPr>
              <w:fldChar w:fldCharType="end"/>
            </w:r>
          </w:hyperlink>
        </w:p>
        <w:p w14:paraId="7066CB00" w14:textId="77777777" w:rsidR="00332A29" w:rsidRDefault="00183F7E">
          <w:pPr>
            <w:pStyle w:val="Obsah3"/>
            <w:tabs>
              <w:tab w:val="left" w:pos="1320"/>
              <w:tab w:val="right" w:leader="dot" w:pos="9062"/>
            </w:tabs>
            <w:rPr>
              <w:rFonts w:eastAsiaTheme="minorEastAsia"/>
              <w:noProof/>
              <w:lang w:eastAsia="cs-CZ"/>
            </w:rPr>
          </w:pPr>
          <w:hyperlink w:anchor="_Toc77074647" w:history="1">
            <w:r w:rsidR="00332A29" w:rsidRPr="00617EE2">
              <w:rPr>
                <w:rStyle w:val="Hypertextovodkaz"/>
                <w:noProof/>
              </w:rPr>
              <w:t>2.4.3</w:t>
            </w:r>
            <w:r w:rsidR="00332A29">
              <w:rPr>
                <w:rFonts w:eastAsiaTheme="minorEastAsia"/>
                <w:noProof/>
                <w:lang w:eastAsia="cs-CZ"/>
              </w:rPr>
              <w:tab/>
            </w:r>
            <w:r w:rsidR="00332A29" w:rsidRPr="00617EE2">
              <w:rPr>
                <w:rStyle w:val="Hypertextovodkaz"/>
                <w:noProof/>
              </w:rPr>
              <w:t>Dílčí shrnutí</w:t>
            </w:r>
            <w:r w:rsidR="00332A29">
              <w:rPr>
                <w:noProof/>
                <w:webHidden/>
              </w:rPr>
              <w:tab/>
            </w:r>
            <w:r w:rsidR="00332A29">
              <w:rPr>
                <w:noProof/>
                <w:webHidden/>
              </w:rPr>
              <w:fldChar w:fldCharType="begin"/>
            </w:r>
            <w:r w:rsidR="00332A29">
              <w:rPr>
                <w:noProof/>
                <w:webHidden/>
              </w:rPr>
              <w:instrText xml:space="preserve"> PAGEREF _Toc77074647 \h </w:instrText>
            </w:r>
            <w:r w:rsidR="00332A29">
              <w:rPr>
                <w:noProof/>
                <w:webHidden/>
              </w:rPr>
            </w:r>
            <w:r w:rsidR="00332A29">
              <w:rPr>
                <w:noProof/>
                <w:webHidden/>
              </w:rPr>
              <w:fldChar w:fldCharType="separate"/>
            </w:r>
            <w:r w:rsidR="00332A29">
              <w:rPr>
                <w:noProof/>
                <w:webHidden/>
              </w:rPr>
              <w:t>314</w:t>
            </w:r>
            <w:r w:rsidR="00332A29">
              <w:rPr>
                <w:noProof/>
                <w:webHidden/>
              </w:rPr>
              <w:fldChar w:fldCharType="end"/>
            </w:r>
          </w:hyperlink>
        </w:p>
        <w:p w14:paraId="3286AA13" w14:textId="77777777" w:rsidR="00332A29" w:rsidRDefault="00183F7E">
          <w:pPr>
            <w:pStyle w:val="Obsah3"/>
            <w:tabs>
              <w:tab w:val="left" w:pos="1320"/>
              <w:tab w:val="right" w:leader="dot" w:pos="9062"/>
            </w:tabs>
            <w:rPr>
              <w:rFonts w:eastAsiaTheme="minorEastAsia"/>
              <w:noProof/>
              <w:lang w:eastAsia="cs-CZ"/>
            </w:rPr>
          </w:pPr>
          <w:hyperlink w:anchor="_Toc77074648" w:history="1">
            <w:r w:rsidR="00332A29" w:rsidRPr="00617EE2">
              <w:rPr>
                <w:rStyle w:val="Hypertextovodkaz"/>
                <w:noProof/>
              </w:rPr>
              <w:t>2.4.4</w:t>
            </w:r>
            <w:r w:rsidR="00332A29">
              <w:rPr>
                <w:rFonts w:eastAsiaTheme="minorEastAsia"/>
                <w:noProof/>
                <w:lang w:eastAsia="cs-CZ"/>
              </w:rPr>
              <w:tab/>
            </w:r>
            <w:r w:rsidR="00332A29" w:rsidRPr="00617EE2">
              <w:rPr>
                <w:rStyle w:val="Hypertextovodkaz"/>
                <w:noProof/>
              </w:rPr>
              <w:t>Příloha – doplňující tabulky a grafy</w:t>
            </w:r>
            <w:r w:rsidR="00332A29">
              <w:rPr>
                <w:noProof/>
                <w:webHidden/>
              </w:rPr>
              <w:tab/>
            </w:r>
            <w:r w:rsidR="00332A29">
              <w:rPr>
                <w:noProof/>
                <w:webHidden/>
              </w:rPr>
              <w:fldChar w:fldCharType="begin"/>
            </w:r>
            <w:r w:rsidR="00332A29">
              <w:rPr>
                <w:noProof/>
                <w:webHidden/>
              </w:rPr>
              <w:instrText xml:space="preserve"> PAGEREF _Toc77074648 \h </w:instrText>
            </w:r>
            <w:r w:rsidR="00332A29">
              <w:rPr>
                <w:noProof/>
                <w:webHidden/>
              </w:rPr>
            </w:r>
            <w:r w:rsidR="00332A29">
              <w:rPr>
                <w:noProof/>
                <w:webHidden/>
              </w:rPr>
              <w:fldChar w:fldCharType="separate"/>
            </w:r>
            <w:r w:rsidR="00332A29">
              <w:rPr>
                <w:noProof/>
                <w:webHidden/>
              </w:rPr>
              <w:t>315</w:t>
            </w:r>
            <w:r w:rsidR="00332A29">
              <w:rPr>
                <w:noProof/>
                <w:webHidden/>
              </w:rPr>
              <w:fldChar w:fldCharType="end"/>
            </w:r>
          </w:hyperlink>
        </w:p>
        <w:p w14:paraId="7337641B" w14:textId="77777777" w:rsidR="00332A29" w:rsidRDefault="00183F7E">
          <w:pPr>
            <w:pStyle w:val="Obsah3"/>
            <w:tabs>
              <w:tab w:val="left" w:pos="1320"/>
              <w:tab w:val="right" w:leader="dot" w:pos="9062"/>
            </w:tabs>
            <w:rPr>
              <w:rFonts w:eastAsiaTheme="minorEastAsia"/>
              <w:noProof/>
              <w:lang w:eastAsia="cs-CZ"/>
            </w:rPr>
          </w:pPr>
          <w:hyperlink w:anchor="_Toc77074649" w:history="1">
            <w:r w:rsidR="00332A29" w:rsidRPr="00617EE2">
              <w:rPr>
                <w:rStyle w:val="Hypertextovodkaz"/>
                <w:noProof/>
              </w:rPr>
              <w:t>2.4.5</w:t>
            </w:r>
            <w:r w:rsidR="00332A29">
              <w:rPr>
                <w:rFonts w:eastAsiaTheme="minorEastAsia"/>
                <w:noProof/>
                <w:lang w:eastAsia="cs-CZ"/>
              </w:rPr>
              <w:tab/>
            </w:r>
            <w:r w:rsidR="00332A29" w:rsidRPr="00617EE2">
              <w:rPr>
                <w:rStyle w:val="Hypertextovodkaz"/>
                <w:noProof/>
              </w:rPr>
              <w:t>Příloha - dotazník</w:t>
            </w:r>
            <w:r w:rsidR="00332A29">
              <w:rPr>
                <w:noProof/>
                <w:webHidden/>
              </w:rPr>
              <w:tab/>
            </w:r>
            <w:r w:rsidR="00332A29">
              <w:rPr>
                <w:noProof/>
                <w:webHidden/>
              </w:rPr>
              <w:fldChar w:fldCharType="begin"/>
            </w:r>
            <w:r w:rsidR="00332A29">
              <w:rPr>
                <w:noProof/>
                <w:webHidden/>
              </w:rPr>
              <w:instrText xml:space="preserve"> PAGEREF _Toc77074649 \h </w:instrText>
            </w:r>
            <w:r w:rsidR="00332A29">
              <w:rPr>
                <w:noProof/>
                <w:webHidden/>
              </w:rPr>
            </w:r>
            <w:r w:rsidR="00332A29">
              <w:rPr>
                <w:noProof/>
                <w:webHidden/>
              </w:rPr>
              <w:fldChar w:fldCharType="separate"/>
            </w:r>
            <w:r w:rsidR="00332A29">
              <w:rPr>
                <w:noProof/>
                <w:webHidden/>
              </w:rPr>
              <w:t>317</w:t>
            </w:r>
            <w:r w:rsidR="00332A29">
              <w:rPr>
                <w:noProof/>
                <w:webHidden/>
              </w:rPr>
              <w:fldChar w:fldCharType="end"/>
            </w:r>
          </w:hyperlink>
        </w:p>
        <w:p w14:paraId="2F084B68" w14:textId="77777777" w:rsidR="00332A29" w:rsidRDefault="00183F7E">
          <w:pPr>
            <w:pStyle w:val="Obsah1"/>
            <w:tabs>
              <w:tab w:val="left" w:pos="440"/>
            </w:tabs>
            <w:rPr>
              <w:rFonts w:eastAsiaTheme="minorEastAsia"/>
              <w:noProof/>
              <w:lang w:eastAsia="cs-CZ"/>
            </w:rPr>
          </w:pPr>
          <w:hyperlink w:anchor="_Toc77074650" w:history="1">
            <w:r w:rsidR="00332A29" w:rsidRPr="00617EE2">
              <w:rPr>
                <w:rStyle w:val="Hypertextovodkaz"/>
                <w:noProof/>
              </w:rPr>
              <w:t>3</w:t>
            </w:r>
            <w:r w:rsidR="00332A29">
              <w:rPr>
                <w:rFonts w:eastAsiaTheme="minorEastAsia"/>
                <w:noProof/>
                <w:lang w:eastAsia="cs-CZ"/>
              </w:rPr>
              <w:tab/>
            </w:r>
            <w:r w:rsidR="00332A29" w:rsidRPr="00617EE2">
              <w:rPr>
                <w:rStyle w:val="Hypertextovodkaz"/>
                <w:noProof/>
              </w:rPr>
              <w:t>Analýza vnějšího prostředí</w:t>
            </w:r>
            <w:r w:rsidR="00332A29">
              <w:rPr>
                <w:noProof/>
                <w:webHidden/>
              </w:rPr>
              <w:tab/>
            </w:r>
            <w:r w:rsidR="00332A29">
              <w:rPr>
                <w:noProof/>
                <w:webHidden/>
              </w:rPr>
              <w:fldChar w:fldCharType="begin"/>
            </w:r>
            <w:r w:rsidR="00332A29">
              <w:rPr>
                <w:noProof/>
                <w:webHidden/>
              </w:rPr>
              <w:instrText xml:space="preserve"> PAGEREF _Toc77074650 \h </w:instrText>
            </w:r>
            <w:r w:rsidR="00332A29">
              <w:rPr>
                <w:noProof/>
                <w:webHidden/>
              </w:rPr>
            </w:r>
            <w:r w:rsidR="00332A29">
              <w:rPr>
                <w:noProof/>
                <w:webHidden/>
              </w:rPr>
              <w:fldChar w:fldCharType="separate"/>
            </w:r>
            <w:r w:rsidR="00332A29">
              <w:rPr>
                <w:noProof/>
                <w:webHidden/>
              </w:rPr>
              <w:t>325</w:t>
            </w:r>
            <w:r w:rsidR="00332A29">
              <w:rPr>
                <w:noProof/>
                <w:webHidden/>
              </w:rPr>
              <w:fldChar w:fldCharType="end"/>
            </w:r>
          </w:hyperlink>
        </w:p>
        <w:p w14:paraId="6C41A853" w14:textId="77777777" w:rsidR="00332A29" w:rsidRDefault="00183F7E">
          <w:pPr>
            <w:pStyle w:val="Obsah2"/>
            <w:tabs>
              <w:tab w:val="left" w:pos="880"/>
              <w:tab w:val="right" w:leader="dot" w:pos="9062"/>
            </w:tabs>
            <w:rPr>
              <w:rFonts w:eastAsiaTheme="minorEastAsia"/>
              <w:noProof/>
              <w:lang w:eastAsia="cs-CZ"/>
            </w:rPr>
          </w:pPr>
          <w:hyperlink w:anchor="_Toc77074651" w:history="1">
            <w:r w:rsidR="00332A29" w:rsidRPr="00617EE2">
              <w:rPr>
                <w:rStyle w:val="Hypertextovodkaz"/>
                <w:noProof/>
              </w:rPr>
              <w:t>3.1</w:t>
            </w:r>
            <w:r w:rsidR="00332A29">
              <w:rPr>
                <w:rFonts w:eastAsiaTheme="minorEastAsia"/>
                <w:noProof/>
                <w:lang w:eastAsia="cs-CZ"/>
              </w:rPr>
              <w:tab/>
            </w:r>
            <w:r w:rsidR="00332A29" w:rsidRPr="00617EE2">
              <w:rPr>
                <w:rStyle w:val="Hypertextovodkaz"/>
                <w:noProof/>
              </w:rPr>
              <w:t>PESTLE analýza</w:t>
            </w:r>
            <w:r w:rsidR="00332A29">
              <w:rPr>
                <w:noProof/>
                <w:webHidden/>
              </w:rPr>
              <w:tab/>
            </w:r>
            <w:r w:rsidR="00332A29">
              <w:rPr>
                <w:noProof/>
                <w:webHidden/>
              </w:rPr>
              <w:fldChar w:fldCharType="begin"/>
            </w:r>
            <w:r w:rsidR="00332A29">
              <w:rPr>
                <w:noProof/>
                <w:webHidden/>
              </w:rPr>
              <w:instrText xml:space="preserve"> PAGEREF _Toc77074651 \h </w:instrText>
            </w:r>
            <w:r w:rsidR="00332A29">
              <w:rPr>
                <w:noProof/>
                <w:webHidden/>
              </w:rPr>
            </w:r>
            <w:r w:rsidR="00332A29">
              <w:rPr>
                <w:noProof/>
                <w:webHidden/>
              </w:rPr>
              <w:fldChar w:fldCharType="separate"/>
            </w:r>
            <w:r w:rsidR="00332A29">
              <w:rPr>
                <w:noProof/>
                <w:webHidden/>
              </w:rPr>
              <w:t>325</w:t>
            </w:r>
            <w:r w:rsidR="00332A29">
              <w:rPr>
                <w:noProof/>
                <w:webHidden/>
              </w:rPr>
              <w:fldChar w:fldCharType="end"/>
            </w:r>
          </w:hyperlink>
        </w:p>
        <w:p w14:paraId="2DE3664C" w14:textId="77777777" w:rsidR="00332A29" w:rsidRDefault="00183F7E">
          <w:pPr>
            <w:pStyle w:val="Obsah3"/>
            <w:tabs>
              <w:tab w:val="left" w:pos="1320"/>
              <w:tab w:val="right" w:leader="dot" w:pos="9062"/>
            </w:tabs>
            <w:rPr>
              <w:rFonts w:eastAsiaTheme="minorEastAsia"/>
              <w:noProof/>
              <w:lang w:eastAsia="cs-CZ"/>
            </w:rPr>
          </w:pPr>
          <w:hyperlink w:anchor="_Toc77074652" w:history="1">
            <w:r w:rsidR="00332A29" w:rsidRPr="00617EE2">
              <w:rPr>
                <w:rStyle w:val="Hypertextovodkaz"/>
                <w:noProof/>
              </w:rPr>
              <w:t>3.1.1</w:t>
            </w:r>
            <w:r w:rsidR="00332A29">
              <w:rPr>
                <w:rFonts w:eastAsiaTheme="minorEastAsia"/>
                <w:noProof/>
                <w:lang w:eastAsia="cs-CZ"/>
              </w:rPr>
              <w:tab/>
            </w:r>
            <w:r w:rsidR="00332A29" w:rsidRPr="00617EE2">
              <w:rPr>
                <w:rStyle w:val="Hypertextovodkaz"/>
                <w:noProof/>
              </w:rPr>
              <w:t>Politické faktory</w:t>
            </w:r>
            <w:r w:rsidR="00332A29">
              <w:rPr>
                <w:noProof/>
                <w:webHidden/>
              </w:rPr>
              <w:tab/>
            </w:r>
            <w:r w:rsidR="00332A29">
              <w:rPr>
                <w:noProof/>
                <w:webHidden/>
              </w:rPr>
              <w:fldChar w:fldCharType="begin"/>
            </w:r>
            <w:r w:rsidR="00332A29">
              <w:rPr>
                <w:noProof/>
                <w:webHidden/>
              </w:rPr>
              <w:instrText xml:space="preserve"> PAGEREF _Toc77074652 \h </w:instrText>
            </w:r>
            <w:r w:rsidR="00332A29">
              <w:rPr>
                <w:noProof/>
                <w:webHidden/>
              </w:rPr>
            </w:r>
            <w:r w:rsidR="00332A29">
              <w:rPr>
                <w:noProof/>
                <w:webHidden/>
              </w:rPr>
              <w:fldChar w:fldCharType="separate"/>
            </w:r>
            <w:r w:rsidR="00332A29">
              <w:rPr>
                <w:noProof/>
                <w:webHidden/>
              </w:rPr>
              <w:t>325</w:t>
            </w:r>
            <w:r w:rsidR="00332A29">
              <w:rPr>
                <w:noProof/>
                <w:webHidden/>
              </w:rPr>
              <w:fldChar w:fldCharType="end"/>
            </w:r>
          </w:hyperlink>
        </w:p>
        <w:p w14:paraId="07D84C0D" w14:textId="77777777" w:rsidR="00332A29" w:rsidRDefault="00183F7E">
          <w:pPr>
            <w:pStyle w:val="Obsah3"/>
            <w:tabs>
              <w:tab w:val="left" w:pos="1320"/>
              <w:tab w:val="right" w:leader="dot" w:pos="9062"/>
            </w:tabs>
            <w:rPr>
              <w:rFonts w:eastAsiaTheme="minorEastAsia"/>
              <w:noProof/>
              <w:lang w:eastAsia="cs-CZ"/>
            </w:rPr>
          </w:pPr>
          <w:hyperlink w:anchor="_Toc77074653" w:history="1">
            <w:r w:rsidR="00332A29" w:rsidRPr="00617EE2">
              <w:rPr>
                <w:rStyle w:val="Hypertextovodkaz"/>
                <w:noProof/>
              </w:rPr>
              <w:t>3.1.2</w:t>
            </w:r>
            <w:r w:rsidR="00332A29">
              <w:rPr>
                <w:rFonts w:eastAsiaTheme="minorEastAsia"/>
                <w:noProof/>
                <w:lang w:eastAsia="cs-CZ"/>
              </w:rPr>
              <w:tab/>
            </w:r>
            <w:r w:rsidR="00332A29" w:rsidRPr="00617EE2">
              <w:rPr>
                <w:rStyle w:val="Hypertextovodkaz"/>
                <w:noProof/>
              </w:rPr>
              <w:t>Ekonomické faktory</w:t>
            </w:r>
            <w:r w:rsidR="00332A29">
              <w:rPr>
                <w:noProof/>
                <w:webHidden/>
              </w:rPr>
              <w:tab/>
            </w:r>
            <w:r w:rsidR="00332A29">
              <w:rPr>
                <w:noProof/>
                <w:webHidden/>
              </w:rPr>
              <w:fldChar w:fldCharType="begin"/>
            </w:r>
            <w:r w:rsidR="00332A29">
              <w:rPr>
                <w:noProof/>
                <w:webHidden/>
              </w:rPr>
              <w:instrText xml:space="preserve"> PAGEREF _Toc77074653 \h </w:instrText>
            </w:r>
            <w:r w:rsidR="00332A29">
              <w:rPr>
                <w:noProof/>
                <w:webHidden/>
              </w:rPr>
            </w:r>
            <w:r w:rsidR="00332A29">
              <w:rPr>
                <w:noProof/>
                <w:webHidden/>
              </w:rPr>
              <w:fldChar w:fldCharType="separate"/>
            </w:r>
            <w:r w:rsidR="00332A29">
              <w:rPr>
                <w:noProof/>
                <w:webHidden/>
              </w:rPr>
              <w:t>326</w:t>
            </w:r>
            <w:r w:rsidR="00332A29">
              <w:rPr>
                <w:noProof/>
                <w:webHidden/>
              </w:rPr>
              <w:fldChar w:fldCharType="end"/>
            </w:r>
          </w:hyperlink>
        </w:p>
        <w:p w14:paraId="0FEA4B6B" w14:textId="77777777" w:rsidR="00332A29" w:rsidRDefault="00183F7E">
          <w:pPr>
            <w:pStyle w:val="Obsah3"/>
            <w:tabs>
              <w:tab w:val="left" w:pos="1320"/>
              <w:tab w:val="right" w:leader="dot" w:pos="9062"/>
            </w:tabs>
            <w:rPr>
              <w:rFonts w:eastAsiaTheme="minorEastAsia"/>
              <w:noProof/>
              <w:lang w:eastAsia="cs-CZ"/>
            </w:rPr>
          </w:pPr>
          <w:hyperlink w:anchor="_Toc77074654" w:history="1">
            <w:r w:rsidR="00332A29" w:rsidRPr="00617EE2">
              <w:rPr>
                <w:rStyle w:val="Hypertextovodkaz"/>
                <w:noProof/>
              </w:rPr>
              <w:t>3.1.3</w:t>
            </w:r>
            <w:r w:rsidR="00332A29">
              <w:rPr>
                <w:rFonts w:eastAsiaTheme="minorEastAsia"/>
                <w:noProof/>
                <w:lang w:eastAsia="cs-CZ"/>
              </w:rPr>
              <w:tab/>
            </w:r>
            <w:r w:rsidR="00332A29" w:rsidRPr="00617EE2">
              <w:rPr>
                <w:rStyle w:val="Hypertextovodkaz"/>
                <w:noProof/>
              </w:rPr>
              <w:t>Sociální faktory</w:t>
            </w:r>
            <w:r w:rsidR="00332A29">
              <w:rPr>
                <w:noProof/>
                <w:webHidden/>
              </w:rPr>
              <w:tab/>
            </w:r>
            <w:r w:rsidR="00332A29">
              <w:rPr>
                <w:noProof/>
                <w:webHidden/>
              </w:rPr>
              <w:fldChar w:fldCharType="begin"/>
            </w:r>
            <w:r w:rsidR="00332A29">
              <w:rPr>
                <w:noProof/>
                <w:webHidden/>
              </w:rPr>
              <w:instrText xml:space="preserve"> PAGEREF _Toc77074654 \h </w:instrText>
            </w:r>
            <w:r w:rsidR="00332A29">
              <w:rPr>
                <w:noProof/>
                <w:webHidden/>
              </w:rPr>
            </w:r>
            <w:r w:rsidR="00332A29">
              <w:rPr>
                <w:noProof/>
                <w:webHidden/>
              </w:rPr>
              <w:fldChar w:fldCharType="separate"/>
            </w:r>
            <w:r w:rsidR="00332A29">
              <w:rPr>
                <w:noProof/>
                <w:webHidden/>
              </w:rPr>
              <w:t>327</w:t>
            </w:r>
            <w:r w:rsidR="00332A29">
              <w:rPr>
                <w:noProof/>
                <w:webHidden/>
              </w:rPr>
              <w:fldChar w:fldCharType="end"/>
            </w:r>
          </w:hyperlink>
        </w:p>
        <w:p w14:paraId="2A5C004B" w14:textId="77777777" w:rsidR="00332A29" w:rsidRDefault="00183F7E">
          <w:pPr>
            <w:pStyle w:val="Obsah3"/>
            <w:tabs>
              <w:tab w:val="left" w:pos="1320"/>
              <w:tab w:val="right" w:leader="dot" w:pos="9062"/>
            </w:tabs>
            <w:rPr>
              <w:rFonts w:eastAsiaTheme="minorEastAsia"/>
              <w:noProof/>
              <w:lang w:eastAsia="cs-CZ"/>
            </w:rPr>
          </w:pPr>
          <w:hyperlink w:anchor="_Toc77074655" w:history="1">
            <w:r w:rsidR="00332A29" w:rsidRPr="00617EE2">
              <w:rPr>
                <w:rStyle w:val="Hypertextovodkaz"/>
                <w:noProof/>
              </w:rPr>
              <w:t>3.1.4</w:t>
            </w:r>
            <w:r w:rsidR="00332A29">
              <w:rPr>
                <w:rFonts w:eastAsiaTheme="minorEastAsia"/>
                <w:noProof/>
                <w:lang w:eastAsia="cs-CZ"/>
              </w:rPr>
              <w:tab/>
            </w:r>
            <w:r w:rsidR="00332A29" w:rsidRPr="00617EE2">
              <w:rPr>
                <w:rStyle w:val="Hypertextovodkaz"/>
                <w:noProof/>
              </w:rPr>
              <w:t>Technologické faktory</w:t>
            </w:r>
            <w:r w:rsidR="00332A29">
              <w:rPr>
                <w:noProof/>
                <w:webHidden/>
              </w:rPr>
              <w:tab/>
            </w:r>
            <w:r w:rsidR="00332A29">
              <w:rPr>
                <w:noProof/>
                <w:webHidden/>
              </w:rPr>
              <w:fldChar w:fldCharType="begin"/>
            </w:r>
            <w:r w:rsidR="00332A29">
              <w:rPr>
                <w:noProof/>
                <w:webHidden/>
              </w:rPr>
              <w:instrText xml:space="preserve"> PAGEREF _Toc77074655 \h </w:instrText>
            </w:r>
            <w:r w:rsidR="00332A29">
              <w:rPr>
                <w:noProof/>
                <w:webHidden/>
              </w:rPr>
            </w:r>
            <w:r w:rsidR="00332A29">
              <w:rPr>
                <w:noProof/>
                <w:webHidden/>
              </w:rPr>
              <w:fldChar w:fldCharType="separate"/>
            </w:r>
            <w:r w:rsidR="00332A29">
              <w:rPr>
                <w:noProof/>
                <w:webHidden/>
              </w:rPr>
              <w:t>329</w:t>
            </w:r>
            <w:r w:rsidR="00332A29">
              <w:rPr>
                <w:noProof/>
                <w:webHidden/>
              </w:rPr>
              <w:fldChar w:fldCharType="end"/>
            </w:r>
          </w:hyperlink>
        </w:p>
        <w:p w14:paraId="26840E78" w14:textId="77777777" w:rsidR="00332A29" w:rsidRDefault="00183F7E">
          <w:pPr>
            <w:pStyle w:val="Obsah3"/>
            <w:tabs>
              <w:tab w:val="left" w:pos="1320"/>
              <w:tab w:val="right" w:leader="dot" w:pos="9062"/>
            </w:tabs>
            <w:rPr>
              <w:rFonts w:eastAsiaTheme="minorEastAsia"/>
              <w:noProof/>
              <w:lang w:eastAsia="cs-CZ"/>
            </w:rPr>
          </w:pPr>
          <w:hyperlink w:anchor="_Toc77074656" w:history="1">
            <w:r w:rsidR="00332A29" w:rsidRPr="00617EE2">
              <w:rPr>
                <w:rStyle w:val="Hypertextovodkaz"/>
                <w:noProof/>
              </w:rPr>
              <w:t>3.1.5</w:t>
            </w:r>
            <w:r w:rsidR="00332A29">
              <w:rPr>
                <w:rFonts w:eastAsiaTheme="minorEastAsia"/>
                <w:noProof/>
                <w:lang w:eastAsia="cs-CZ"/>
              </w:rPr>
              <w:tab/>
            </w:r>
            <w:r w:rsidR="00332A29" w:rsidRPr="00617EE2">
              <w:rPr>
                <w:rStyle w:val="Hypertextovodkaz"/>
                <w:noProof/>
              </w:rPr>
              <w:t>Legislativní faktory</w:t>
            </w:r>
            <w:r w:rsidR="00332A29">
              <w:rPr>
                <w:noProof/>
                <w:webHidden/>
              </w:rPr>
              <w:tab/>
            </w:r>
            <w:r w:rsidR="00332A29">
              <w:rPr>
                <w:noProof/>
                <w:webHidden/>
              </w:rPr>
              <w:fldChar w:fldCharType="begin"/>
            </w:r>
            <w:r w:rsidR="00332A29">
              <w:rPr>
                <w:noProof/>
                <w:webHidden/>
              </w:rPr>
              <w:instrText xml:space="preserve"> PAGEREF _Toc77074656 \h </w:instrText>
            </w:r>
            <w:r w:rsidR="00332A29">
              <w:rPr>
                <w:noProof/>
                <w:webHidden/>
              </w:rPr>
            </w:r>
            <w:r w:rsidR="00332A29">
              <w:rPr>
                <w:noProof/>
                <w:webHidden/>
              </w:rPr>
              <w:fldChar w:fldCharType="separate"/>
            </w:r>
            <w:r w:rsidR="00332A29">
              <w:rPr>
                <w:noProof/>
                <w:webHidden/>
              </w:rPr>
              <w:t>330</w:t>
            </w:r>
            <w:r w:rsidR="00332A29">
              <w:rPr>
                <w:noProof/>
                <w:webHidden/>
              </w:rPr>
              <w:fldChar w:fldCharType="end"/>
            </w:r>
          </w:hyperlink>
        </w:p>
        <w:p w14:paraId="332BE78A" w14:textId="77777777" w:rsidR="00332A29" w:rsidRDefault="00183F7E">
          <w:pPr>
            <w:pStyle w:val="Obsah3"/>
            <w:tabs>
              <w:tab w:val="left" w:pos="1320"/>
              <w:tab w:val="right" w:leader="dot" w:pos="9062"/>
            </w:tabs>
            <w:rPr>
              <w:rFonts w:eastAsiaTheme="minorEastAsia"/>
              <w:noProof/>
              <w:lang w:eastAsia="cs-CZ"/>
            </w:rPr>
          </w:pPr>
          <w:hyperlink w:anchor="_Toc77074657" w:history="1">
            <w:r w:rsidR="00332A29" w:rsidRPr="00617EE2">
              <w:rPr>
                <w:rStyle w:val="Hypertextovodkaz"/>
                <w:noProof/>
              </w:rPr>
              <w:t>3.1.6</w:t>
            </w:r>
            <w:r w:rsidR="00332A29">
              <w:rPr>
                <w:rFonts w:eastAsiaTheme="minorEastAsia"/>
                <w:noProof/>
                <w:lang w:eastAsia="cs-CZ"/>
              </w:rPr>
              <w:tab/>
            </w:r>
            <w:r w:rsidR="00332A29" w:rsidRPr="00617EE2">
              <w:rPr>
                <w:rStyle w:val="Hypertextovodkaz"/>
                <w:noProof/>
              </w:rPr>
              <w:t>Ekologické faktory</w:t>
            </w:r>
            <w:r w:rsidR="00332A29">
              <w:rPr>
                <w:noProof/>
                <w:webHidden/>
              </w:rPr>
              <w:tab/>
            </w:r>
            <w:r w:rsidR="00332A29">
              <w:rPr>
                <w:noProof/>
                <w:webHidden/>
              </w:rPr>
              <w:fldChar w:fldCharType="begin"/>
            </w:r>
            <w:r w:rsidR="00332A29">
              <w:rPr>
                <w:noProof/>
                <w:webHidden/>
              </w:rPr>
              <w:instrText xml:space="preserve"> PAGEREF _Toc77074657 \h </w:instrText>
            </w:r>
            <w:r w:rsidR="00332A29">
              <w:rPr>
                <w:noProof/>
                <w:webHidden/>
              </w:rPr>
            </w:r>
            <w:r w:rsidR="00332A29">
              <w:rPr>
                <w:noProof/>
                <w:webHidden/>
              </w:rPr>
              <w:fldChar w:fldCharType="separate"/>
            </w:r>
            <w:r w:rsidR="00332A29">
              <w:rPr>
                <w:noProof/>
                <w:webHidden/>
              </w:rPr>
              <w:t>331</w:t>
            </w:r>
            <w:r w:rsidR="00332A29">
              <w:rPr>
                <w:noProof/>
                <w:webHidden/>
              </w:rPr>
              <w:fldChar w:fldCharType="end"/>
            </w:r>
          </w:hyperlink>
        </w:p>
        <w:p w14:paraId="365E59B9" w14:textId="77777777" w:rsidR="00332A29" w:rsidRDefault="00183F7E">
          <w:pPr>
            <w:pStyle w:val="Obsah2"/>
            <w:tabs>
              <w:tab w:val="left" w:pos="880"/>
              <w:tab w:val="right" w:leader="dot" w:pos="9062"/>
            </w:tabs>
            <w:rPr>
              <w:rFonts w:eastAsiaTheme="minorEastAsia"/>
              <w:noProof/>
              <w:lang w:eastAsia="cs-CZ"/>
            </w:rPr>
          </w:pPr>
          <w:hyperlink w:anchor="_Toc77074658" w:history="1">
            <w:r w:rsidR="00332A29" w:rsidRPr="00617EE2">
              <w:rPr>
                <w:rStyle w:val="Hypertextovodkaz"/>
                <w:noProof/>
              </w:rPr>
              <w:t>3.2</w:t>
            </w:r>
            <w:r w:rsidR="00332A29">
              <w:rPr>
                <w:rFonts w:eastAsiaTheme="minorEastAsia"/>
                <w:noProof/>
                <w:lang w:eastAsia="cs-CZ"/>
              </w:rPr>
              <w:tab/>
            </w:r>
            <w:r w:rsidR="00332A29" w:rsidRPr="00617EE2">
              <w:rPr>
                <w:rStyle w:val="Hypertextovodkaz"/>
                <w:noProof/>
              </w:rPr>
              <w:t>Identifikace nejvýznamnějších nadřazených a související strategických dokumentů</w:t>
            </w:r>
            <w:r w:rsidR="00332A29">
              <w:rPr>
                <w:noProof/>
                <w:webHidden/>
              </w:rPr>
              <w:tab/>
            </w:r>
            <w:r w:rsidR="00332A29">
              <w:rPr>
                <w:noProof/>
                <w:webHidden/>
              </w:rPr>
              <w:fldChar w:fldCharType="begin"/>
            </w:r>
            <w:r w:rsidR="00332A29">
              <w:rPr>
                <w:noProof/>
                <w:webHidden/>
              </w:rPr>
              <w:instrText xml:space="preserve"> PAGEREF _Toc77074658 \h </w:instrText>
            </w:r>
            <w:r w:rsidR="00332A29">
              <w:rPr>
                <w:noProof/>
                <w:webHidden/>
              </w:rPr>
            </w:r>
            <w:r w:rsidR="00332A29">
              <w:rPr>
                <w:noProof/>
                <w:webHidden/>
              </w:rPr>
              <w:fldChar w:fldCharType="separate"/>
            </w:r>
            <w:r w:rsidR="00332A29">
              <w:rPr>
                <w:noProof/>
                <w:webHidden/>
              </w:rPr>
              <w:t>334</w:t>
            </w:r>
            <w:r w:rsidR="00332A29">
              <w:rPr>
                <w:noProof/>
                <w:webHidden/>
              </w:rPr>
              <w:fldChar w:fldCharType="end"/>
            </w:r>
          </w:hyperlink>
        </w:p>
        <w:p w14:paraId="5CA4D7B6" w14:textId="77777777" w:rsidR="00332A29" w:rsidRDefault="00183F7E">
          <w:pPr>
            <w:pStyle w:val="Obsah1"/>
            <w:tabs>
              <w:tab w:val="left" w:pos="440"/>
            </w:tabs>
            <w:rPr>
              <w:rFonts w:eastAsiaTheme="minorEastAsia"/>
              <w:noProof/>
              <w:lang w:eastAsia="cs-CZ"/>
            </w:rPr>
          </w:pPr>
          <w:hyperlink w:anchor="_Toc77074659" w:history="1">
            <w:r w:rsidR="00332A29" w:rsidRPr="00617EE2">
              <w:rPr>
                <w:rStyle w:val="Hypertextovodkaz"/>
                <w:noProof/>
              </w:rPr>
              <w:t>4</w:t>
            </w:r>
            <w:r w:rsidR="00332A29">
              <w:rPr>
                <w:rFonts w:eastAsiaTheme="minorEastAsia"/>
                <w:noProof/>
                <w:lang w:eastAsia="cs-CZ"/>
              </w:rPr>
              <w:tab/>
            </w:r>
            <w:r w:rsidR="00332A29" w:rsidRPr="00617EE2">
              <w:rPr>
                <w:rStyle w:val="Hypertextovodkaz"/>
                <w:noProof/>
              </w:rPr>
              <w:t>Východiska pro návrhovou část</w:t>
            </w:r>
            <w:r w:rsidR="00332A29">
              <w:rPr>
                <w:noProof/>
                <w:webHidden/>
              </w:rPr>
              <w:tab/>
            </w:r>
            <w:r w:rsidR="00332A29">
              <w:rPr>
                <w:noProof/>
                <w:webHidden/>
              </w:rPr>
              <w:fldChar w:fldCharType="begin"/>
            </w:r>
            <w:r w:rsidR="00332A29">
              <w:rPr>
                <w:noProof/>
                <w:webHidden/>
              </w:rPr>
              <w:instrText xml:space="preserve"> PAGEREF _Toc77074659 \h </w:instrText>
            </w:r>
            <w:r w:rsidR="00332A29">
              <w:rPr>
                <w:noProof/>
                <w:webHidden/>
              </w:rPr>
            </w:r>
            <w:r w:rsidR="00332A29">
              <w:rPr>
                <w:noProof/>
                <w:webHidden/>
              </w:rPr>
              <w:fldChar w:fldCharType="separate"/>
            </w:r>
            <w:r w:rsidR="00332A29">
              <w:rPr>
                <w:noProof/>
                <w:webHidden/>
              </w:rPr>
              <w:t>339</w:t>
            </w:r>
            <w:r w:rsidR="00332A29">
              <w:rPr>
                <w:noProof/>
                <w:webHidden/>
              </w:rPr>
              <w:fldChar w:fldCharType="end"/>
            </w:r>
          </w:hyperlink>
        </w:p>
        <w:p w14:paraId="3AF4423A" w14:textId="77777777" w:rsidR="00332A29" w:rsidRDefault="00183F7E">
          <w:pPr>
            <w:pStyle w:val="Obsah2"/>
            <w:tabs>
              <w:tab w:val="left" w:pos="880"/>
              <w:tab w:val="right" w:leader="dot" w:pos="9062"/>
            </w:tabs>
            <w:rPr>
              <w:rFonts w:eastAsiaTheme="minorEastAsia"/>
              <w:noProof/>
              <w:lang w:eastAsia="cs-CZ"/>
            </w:rPr>
          </w:pPr>
          <w:hyperlink w:anchor="_Toc77074660" w:history="1">
            <w:r w:rsidR="00332A29" w:rsidRPr="00617EE2">
              <w:rPr>
                <w:rStyle w:val="Hypertextovodkaz"/>
                <w:noProof/>
              </w:rPr>
              <w:t>4.1</w:t>
            </w:r>
            <w:r w:rsidR="00332A29">
              <w:rPr>
                <w:rFonts w:eastAsiaTheme="minorEastAsia"/>
                <w:noProof/>
                <w:lang w:eastAsia="cs-CZ"/>
              </w:rPr>
              <w:tab/>
            </w:r>
            <w:r w:rsidR="00332A29" w:rsidRPr="00617EE2">
              <w:rPr>
                <w:rStyle w:val="Hypertextovodkaz"/>
                <w:noProof/>
              </w:rPr>
              <w:t xml:space="preserve">Vyhodnocení plnění cílů Strategie rozvoje statutárního města Zlína do roku 2020 </w:t>
            </w:r>
            <w:r w:rsidR="00332A29" w:rsidRPr="00617EE2">
              <w:rPr>
                <w:rStyle w:val="Hypertextovodkaz"/>
                <w:noProof/>
              </w:rPr>
              <w:sym w:font="Symbol" w:char="F02D"/>
            </w:r>
            <w:r w:rsidR="00332A29" w:rsidRPr="00617EE2">
              <w:rPr>
                <w:rStyle w:val="Hypertextovodkaz"/>
                <w:noProof/>
              </w:rPr>
              <w:t xml:space="preserve"> Zlín 2020</w:t>
            </w:r>
            <w:r w:rsidR="00332A29">
              <w:rPr>
                <w:noProof/>
                <w:webHidden/>
              </w:rPr>
              <w:tab/>
            </w:r>
            <w:r w:rsidR="00332A29">
              <w:rPr>
                <w:noProof/>
                <w:webHidden/>
              </w:rPr>
              <w:fldChar w:fldCharType="begin"/>
            </w:r>
            <w:r w:rsidR="00332A29">
              <w:rPr>
                <w:noProof/>
                <w:webHidden/>
              </w:rPr>
              <w:instrText xml:space="preserve"> PAGEREF _Toc77074660 \h </w:instrText>
            </w:r>
            <w:r w:rsidR="00332A29">
              <w:rPr>
                <w:noProof/>
                <w:webHidden/>
              </w:rPr>
            </w:r>
            <w:r w:rsidR="00332A29">
              <w:rPr>
                <w:noProof/>
                <w:webHidden/>
              </w:rPr>
              <w:fldChar w:fldCharType="separate"/>
            </w:r>
            <w:r w:rsidR="00332A29">
              <w:rPr>
                <w:noProof/>
                <w:webHidden/>
              </w:rPr>
              <w:t>339</w:t>
            </w:r>
            <w:r w:rsidR="00332A29">
              <w:rPr>
                <w:noProof/>
                <w:webHidden/>
              </w:rPr>
              <w:fldChar w:fldCharType="end"/>
            </w:r>
          </w:hyperlink>
        </w:p>
        <w:p w14:paraId="479D6E22" w14:textId="77777777" w:rsidR="00332A29" w:rsidRDefault="00183F7E">
          <w:pPr>
            <w:pStyle w:val="Obsah3"/>
            <w:tabs>
              <w:tab w:val="left" w:pos="1320"/>
              <w:tab w:val="right" w:leader="dot" w:pos="9062"/>
            </w:tabs>
            <w:rPr>
              <w:rFonts w:eastAsiaTheme="minorEastAsia"/>
              <w:noProof/>
              <w:lang w:eastAsia="cs-CZ"/>
            </w:rPr>
          </w:pPr>
          <w:hyperlink w:anchor="_Toc77074661" w:history="1">
            <w:r w:rsidR="00332A29" w:rsidRPr="00617EE2">
              <w:rPr>
                <w:rStyle w:val="Hypertextovodkaz"/>
                <w:noProof/>
              </w:rPr>
              <w:t>4.1.1</w:t>
            </w:r>
            <w:r w:rsidR="00332A29">
              <w:rPr>
                <w:rFonts w:eastAsiaTheme="minorEastAsia"/>
                <w:noProof/>
                <w:lang w:eastAsia="cs-CZ"/>
              </w:rPr>
              <w:tab/>
            </w:r>
            <w:r w:rsidR="00332A29" w:rsidRPr="00617EE2">
              <w:rPr>
                <w:rStyle w:val="Hypertextovodkaz"/>
                <w:noProof/>
              </w:rPr>
              <w:t>Tematická oblast 1 – Obyvatelstvo, bydlení a občanská vybavenost</w:t>
            </w:r>
            <w:r w:rsidR="00332A29">
              <w:rPr>
                <w:noProof/>
                <w:webHidden/>
              </w:rPr>
              <w:tab/>
            </w:r>
            <w:r w:rsidR="00332A29">
              <w:rPr>
                <w:noProof/>
                <w:webHidden/>
              </w:rPr>
              <w:fldChar w:fldCharType="begin"/>
            </w:r>
            <w:r w:rsidR="00332A29">
              <w:rPr>
                <w:noProof/>
                <w:webHidden/>
              </w:rPr>
              <w:instrText xml:space="preserve"> PAGEREF _Toc77074661 \h </w:instrText>
            </w:r>
            <w:r w:rsidR="00332A29">
              <w:rPr>
                <w:noProof/>
                <w:webHidden/>
              </w:rPr>
            </w:r>
            <w:r w:rsidR="00332A29">
              <w:rPr>
                <w:noProof/>
                <w:webHidden/>
              </w:rPr>
              <w:fldChar w:fldCharType="separate"/>
            </w:r>
            <w:r w:rsidR="00332A29">
              <w:rPr>
                <w:noProof/>
                <w:webHidden/>
              </w:rPr>
              <w:t>340</w:t>
            </w:r>
            <w:r w:rsidR="00332A29">
              <w:rPr>
                <w:noProof/>
                <w:webHidden/>
              </w:rPr>
              <w:fldChar w:fldCharType="end"/>
            </w:r>
          </w:hyperlink>
        </w:p>
        <w:p w14:paraId="7D96D7A1" w14:textId="77777777" w:rsidR="00332A29" w:rsidRDefault="00183F7E">
          <w:pPr>
            <w:pStyle w:val="Obsah3"/>
            <w:tabs>
              <w:tab w:val="left" w:pos="1320"/>
              <w:tab w:val="right" w:leader="dot" w:pos="9062"/>
            </w:tabs>
            <w:rPr>
              <w:rFonts w:eastAsiaTheme="minorEastAsia"/>
              <w:noProof/>
              <w:lang w:eastAsia="cs-CZ"/>
            </w:rPr>
          </w:pPr>
          <w:hyperlink w:anchor="_Toc77074662" w:history="1">
            <w:r w:rsidR="00332A29" w:rsidRPr="00617EE2">
              <w:rPr>
                <w:rStyle w:val="Hypertextovodkaz"/>
                <w:noProof/>
              </w:rPr>
              <w:t>4.1.2</w:t>
            </w:r>
            <w:r w:rsidR="00332A29">
              <w:rPr>
                <w:rFonts w:eastAsiaTheme="minorEastAsia"/>
                <w:noProof/>
                <w:lang w:eastAsia="cs-CZ"/>
              </w:rPr>
              <w:tab/>
            </w:r>
            <w:r w:rsidR="00332A29" w:rsidRPr="00617EE2">
              <w:rPr>
                <w:rStyle w:val="Hypertextovodkaz"/>
                <w:noProof/>
              </w:rPr>
              <w:t>Tematická oblast 2 – Ekonomický rozvoj a trh práce</w:t>
            </w:r>
            <w:r w:rsidR="00332A29">
              <w:rPr>
                <w:noProof/>
                <w:webHidden/>
              </w:rPr>
              <w:tab/>
            </w:r>
            <w:r w:rsidR="00332A29">
              <w:rPr>
                <w:noProof/>
                <w:webHidden/>
              </w:rPr>
              <w:fldChar w:fldCharType="begin"/>
            </w:r>
            <w:r w:rsidR="00332A29">
              <w:rPr>
                <w:noProof/>
                <w:webHidden/>
              </w:rPr>
              <w:instrText xml:space="preserve"> PAGEREF _Toc77074662 \h </w:instrText>
            </w:r>
            <w:r w:rsidR="00332A29">
              <w:rPr>
                <w:noProof/>
                <w:webHidden/>
              </w:rPr>
            </w:r>
            <w:r w:rsidR="00332A29">
              <w:rPr>
                <w:noProof/>
                <w:webHidden/>
              </w:rPr>
              <w:fldChar w:fldCharType="separate"/>
            </w:r>
            <w:r w:rsidR="00332A29">
              <w:rPr>
                <w:noProof/>
                <w:webHidden/>
              </w:rPr>
              <w:t>343</w:t>
            </w:r>
            <w:r w:rsidR="00332A29">
              <w:rPr>
                <w:noProof/>
                <w:webHidden/>
              </w:rPr>
              <w:fldChar w:fldCharType="end"/>
            </w:r>
          </w:hyperlink>
        </w:p>
        <w:p w14:paraId="1EDB2E0E" w14:textId="77777777" w:rsidR="00332A29" w:rsidRDefault="00183F7E">
          <w:pPr>
            <w:pStyle w:val="Obsah3"/>
            <w:tabs>
              <w:tab w:val="left" w:pos="1320"/>
              <w:tab w:val="right" w:leader="dot" w:pos="9062"/>
            </w:tabs>
            <w:rPr>
              <w:rFonts w:eastAsiaTheme="minorEastAsia"/>
              <w:noProof/>
              <w:lang w:eastAsia="cs-CZ"/>
            </w:rPr>
          </w:pPr>
          <w:hyperlink w:anchor="_Toc77074663" w:history="1">
            <w:r w:rsidR="00332A29" w:rsidRPr="00617EE2">
              <w:rPr>
                <w:rStyle w:val="Hypertextovodkaz"/>
                <w:noProof/>
              </w:rPr>
              <w:t>4.1.3</w:t>
            </w:r>
            <w:r w:rsidR="00332A29">
              <w:rPr>
                <w:rFonts w:eastAsiaTheme="minorEastAsia"/>
                <w:noProof/>
                <w:lang w:eastAsia="cs-CZ"/>
              </w:rPr>
              <w:tab/>
            </w:r>
            <w:r w:rsidR="00332A29" w:rsidRPr="00617EE2">
              <w:rPr>
                <w:rStyle w:val="Hypertextovodkaz"/>
                <w:noProof/>
              </w:rPr>
              <w:t>Tematická oblast 3 – Doprava a technická infrastruktura</w:t>
            </w:r>
            <w:r w:rsidR="00332A29">
              <w:rPr>
                <w:noProof/>
                <w:webHidden/>
              </w:rPr>
              <w:tab/>
            </w:r>
            <w:r w:rsidR="00332A29">
              <w:rPr>
                <w:noProof/>
                <w:webHidden/>
              </w:rPr>
              <w:fldChar w:fldCharType="begin"/>
            </w:r>
            <w:r w:rsidR="00332A29">
              <w:rPr>
                <w:noProof/>
                <w:webHidden/>
              </w:rPr>
              <w:instrText xml:space="preserve"> PAGEREF _Toc77074663 \h </w:instrText>
            </w:r>
            <w:r w:rsidR="00332A29">
              <w:rPr>
                <w:noProof/>
                <w:webHidden/>
              </w:rPr>
            </w:r>
            <w:r w:rsidR="00332A29">
              <w:rPr>
                <w:noProof/>
                <w:webHidden/>
              </w:rPr>
              <w:fldChar w:fldCharType="separate"/>
            </w:r>
            <w:r w:rsidR="00332A29">
              <w:rPr>
                <w:noProof/>
                <w:webHidden/>
              </w:rPr>
              <w:t>346</w:t>
            </w:r>
            <w:r w:rsidR="00332A29">
              <w:rPr>
                <w:noProof/>
                <w:webHidden/>
              </w:rPr>
              <w:fldChar w:fldCharType="end"/>
            </w:r>
          </w:hyperlink>
        </w:p>
        <w:p w14:paraId="59829E95" w14:textId="77777777" w:rsidR="00332A29" w:rsidRDefault="00183F7E">
          <w:pPr>
            <w:pStyle w:val="Obsah3"/>
            <w:tabs>
              <w:tab w:val="left" w:pos="1320"/>
              <w:tab w:val="right" w:leader="dot" w:pos="9062"/>
            </w:tabs>
            <w:rPr>
              <w:rFonts w:eastAsiaTheme="minorEastAsia"/>
              <w:noProof/>
              <w:lang w:eastAsia="cs-CZ"/>
            </w:rPr>
          </w:pPr>
          <w:hyperlink w:anchor="_Toc77074664" w:history="1">
            <w:r w:rsidR="00332A29" w:rsidRPr="00617EE2">
              <w:rPr>
                <w:rStyle w:val="Hypertextovodkaz"/>
                <w:noProof/>
              </w:rPr>
              <w:t>4.1.4</w:t>
            </w:r>
            <w:r w:rsidR="00332A29">
              <w:rPr>
                <w:rFonts w:eastAsiaTheme="minorEastAsia"/>
                <w:noProof/>
                <w:lang w:eastAsia="cs-CZ"/>
              </w:rPr>
              <w:tab/>
            </w:r>
            <w:r w:rsidR="00332A29" w:rsidRPr="00617EE2">
              <w:rPr>
                <w:rStyle w:val="Hypertextovodkaz"/>
                <w:noProof/>
              </w:rPr>
              <w:t>Tematická oblast 4 – Životní a fyzické prostředí města</w:t>
            </w:r>
            <w:r w:rsidR="00332A29">
              <w:rPr>
                <w:noProof/>
                <w:webHidden/>
              </w:rPr>
              <w:tab/>
            </w:r>
            <w:r w:rsidR="00332A29">
              <w:rPr>
                <w:noProof/>
                <w:webHidden/>
              </w:rPr>
              <w:fldChar w:fldCharType="begin"/>
            </w:r>
            <w:r w:rsidR="00332A29">
              <w:rPr>
                <w:noProof/>
                <w:webHidden/>
              </w:rPr>
              <w:instrText xml:space="preserve"> PAGEREF _Toc77074664 \h </w:instrText>
            </w:r>
            <w:r w:rsidR="00332A29">
              <w:rPr>
                <w:noProof/>
                <w:webHidden/>
              </w:rPr>
            </w:r>
            <w:r w:rsidR="00332A29">
              <w:rPr>
                <w:noProof/>
                <w:webHidden/>
              </w:rPr>
              <w:fldChar w:fldCharType="separate"/>
            </w:r>
            <w:r w:rsidR="00332A29">
              <w:rPr>
                <w:noProof/>
                <w:webHidden/>
              </w:rPr>
              <w:t>348</w:t>
            </w:r>
            <w:r w:rsidR="00332A29">
              <w:rPr>
                <w:noProof/>
                <w:webHidden/>
              </w:rPr>
              <w:fldChar w:fldCharType="end"/>
            </w:r>
          </w:hyperlink>
        </w:p>
        <w:p w14:paraId="030AAF9F" w14:textId="77777777" w:rsidR="00332A29" w:rsidRDefault="00183F7E">
          <w:pPr>
            <w:pStyle w:val="Obsah3"/>
            <w:tabs>
              <w:tab w:val="left" w:pos="1320"/>
              <w:tab w:val="right" w:leader="dot" w:pos="9062"/>
            </w:tabs>
            <w:rPr>
              <w:rFonts w:eastAsiaTheme="minorEastAsia"/>
              <w:noProof/>
              <w:lang w:eastAsia="cs-CZ"/>
            </w:rPr>
          </w:pPr>
          <w:hyperlink w:anchor="_Toc77074665" w:history="1">
            <w:r w:rsidR="00332A29" w:rsidRPr="00617EE2">
              <w:rPr>
                <w:rStyle w:val="Hypertextovodkaz"/>
                <w:noProof/>
              </w:rPr>
              <w:t>4.1.5</w:t>
            </w:r>
            <w:r w:rsidR="00332A29">
              <w:rPr>
                <w:rFonts w:eastAsiaTheme="minorEastAsia"/>
                <w:noProof/>
                <w:lang w:eastAsia="cs-CZ"/>
              </w:rPr>
              <w:tab/>
            </w:r>
            <w:r w:rsidR="00332A29" w:rsidRPr="00617EE2">
              <w:rPr>
                <w:rStyle w:val="Hypertextovodkaz"/>
                <w:noProof/>
              </w:rPr>
              <w:t>Tematická oblast 5 – Řízení a správa města</w:t>
            </w:r>
            <w:r w:rsidR="00332A29">
              <w:rPr>
                <w:noProof/>
                <w:webHidden/>
              </w:rPr>
              <w:tab/>
            </w:r>
            <w:r w:rsidR="00332A29">
              <w:rPr>
                <w:noProof/>
                <w:webHidden/>
              </w:rPr>
              <w:fldChar w:fldCharType="begin"/>
            </w:r>
            <w:r w:rsidR="00332A29">
              <w:rPr>
                <w:noProof/>
                <w:webHidden/>
              </w:rPr>
              <w:instrText xml:space="preserve"> PAGEREF _Toc77074665 \h </w:instrText>
            </w:r>
            <w:r w:rsidR="00332A29">
              <w:rPr>
                <w:noProof/>
                <w:webHidden/>
              </w:rPr>
            </w:r>
            <w:r w:rsidR="00332A29">
              <w:rPr>
                <w:noProof/>
                <w:webHidden/>
              </w:rPr>
              <w:fldChar w:fldCharType="separate"/>
            </w:r>
            <w:r w:rsidR="00332A29">
              <w:rPr>
                <w:noProof/>
                <w:webHidden/>
              </w:rPr>
              <w:t>351</w:t>
            </w:r>
            <w:r w:rsidR="00332A29">
              <w:rPr>
                <w:noProof/>
                <w:webHidden/>
              </w:rPr>
              <w:fldChar w:fldCharType="end"/>
            </w:r>
          </w:hyperlink>
        </w:p>
        <w:p w14:paraId="4C00130B" w14:textId="77777777" w:rsidR="00332A29" w:rsidRDefault="00183F7E">
          <w:pPr>
            <w:pStyle w:val="Obsah3"/>
            <w:tabs>
              <w:tab w:val="left" w:pos="1320"/>
              <w:tab w:val="right" w:leader="dot" w:pos="9062"/>
            </w:tabs>
            <w:rPr>
              <w:rFonts w:eastAsiaTheme="minorEastAsia"/>
              <w:noProof/>
              <w:lang w:eastAsia="cs-CZ"/>
            </w:rPr>
          </w:pPr>
          <w:hyperlink w:anchor="_Toc77074666" w:history="1">
            <w:r w:rsidR="00332A29" w:rsidRPr="00617EE2">
              <w:rPr>
                <w:rStyle w:val="Hypertextovodkaz"/>
                <w:noProof/>
              </w:rPr>
              <w:t>4.1.6</w:t>
            </w:r>
            <w:r w:rsidR="00332A29">
              <w:rPr>
                <w:rFonts w:eastAsiaTheme="minorEastAsia"/>
                <w:noProof/>
                <w:lang w:eastAsia="cs-CZ"/>
              </w:rPr>
              <w:tab/>
            </w:r>
            <w:r w:rsidR="00332A29" w:rsidRPr="00617EE2">
              <w:rPr>
                <w:rStyle w:val="Hypertextovodkaz"/>
                <w:noProof/>
              </w:rPr>
              <w:t>Závěrečné vyhodnocení naplňování Strategie „Zlín 2020“</w:t>
            </w:r>
            <w:r w:rsidR="00332A29">
              <w:rPr>
                <w:noProof/>
                <w:webHidden/>
              </w:rPr>
              <w:tab/>
            </w:r>
            <w:r w:rsidR="00332A29">
              <w:rPr>
                <w:noProof/>
                <w:webHidden/>
              </w:rPr>
              <w:fldChar w:fldCharType="begin"/>
            </w:r>
            <w:r w:rsidR="00332A29">
              <w:rPr>
                <w:noProof/>
                <w:webHidden/>
              </w:rPr>
              <w:instrText xml:space="preserve"> PAGEREF _Toc77074666 \h </w:instrText>
            </w:r>
            <w:r w:rsidR="00332A29">
              <w:rPr>
                <w:noProof/>
                <w:webHidden/>
              </w:rPr>
            </w:r>
            <w:r w:rsidR="00332A29">
              <w:rPr>
                <w:noProof/>
                <w:webHidden/>
              </w:rPr>
              <w:fldChar w:fldCharType="separate"/>
            </w:r>
            <w:r w:rsidR="00332A29">
              <w:rPr>
                <w:noProof/>
                <w:webHidden/>
              </w:rPr>
              <w:t>352</w:t>
            </w:r>
            <w:r w:rsidR="00332A29">
              <w:rPr>
                <w:noProof/>
                <w:webHidden/>
              </w:rPr>
              <w:fldChar w:fldCharType="end"/>
            </w:r>
          </w:hyperlink>
        </w:p>
        <w:p w14:paraId="39E77440" w14:textId="77777777" w:rsidR="00332A29" w:rsidRDefault="00183F7E">
          <w:pPr>
            <w:pStyle w:val="Obsah2"/>
            <w:tabs>
              <w:tab w:val="left" w:pos="880"/>
              <w:tab w:val="right" w:leader="dot" w:pos="9062"/>
            </w:tabs>
            <w:rPr>
              <w:rFonts w:eastAsiaTheme="minorEastAsia"/>
              <w:noProof/>
              <w:lang w:eastAsia="cs-CZ"/>
            </w:rPr>
          </w:pPr>
          <w:hyperlink w:anchor="_Toc77074667" w:history="1">
            <w:r w:rsidR="00332A29" w:rsidRPr="00617EE2">
              <w:rPr>
                <w:rStyle w:val="Hypertextovodkaz"/>
                <w:noProof/>
              </w:rPr>
              <w:t>4.2</w:t>
            </w:r>
            <w:r w:rsidR="00332A29">
              <w:rPr>
                <w:rFonts w:eastAsiaTheme="minorEastAsia"/>
                <w:noProof/>
                <w:lang w:eastAsia="cs-CZ"/>
              </w:rPr>
              <w:tab/>
            </w:r>
            <w:r w:rsidR="00332A29" w:rsidRPr="00617EE2">
              <w:rPr>
                <w:rStyle w:val="Hypertextovodkaz"/>
                <w:noProof/>
              </w:rPr>
              <w:t>Hlavní trendy a prognózy dalšího vývoje</w:t>
            </w:r>
            <w:r w:rsidR="00332A29">
              <w:rPr>
                <w:noProof/>
                <w:webHidden/>
              </w:rPr>
              <w:tab/>
            </w:r>
            <w:r w:rsidR="00332A29">
              <w:rPr>
                <w:noProof/>
                <w:webHidden/>
              </w:rPr>
              <w:fldChar w:fldCharType="begin"/>
            </w:r>
            <w:r w:rsidR="00332A29">
              <w:rPr>
                <w:noProof/>
                <w:webHidden/>
              </w:rPr>
              <w:instrText xml:space="preserve"> PAGEREF _Toc77074667 \h </w:instrText>
            </w:r>
            <w:r w:rsidR="00332A29">
              <w:rPr>
                <w:noProof/>
                <w:webHidden/>
              </w:rPr>
            </w:r>
            <w:r w:rsidR="00332A29">
              <w:rPr>
                <w:noProof/>
                <w:webHidden/>
              </w:rPr>
              <w:fldChar w:fldCharType="separate"/>
            </w:r>
            <w:r w:rsidR="00332A29">
              <w:rPr>
                <w:noProof/>
                <w:webHidden/>
              </w:rPr>
              <w:t>355</w:t>
            </w:r>
            <w:r w:rsidR="00332A29">
              <w:rPr>
                <w:noProof/>
                <w:webHidden/>
              </w:rPr>
              <w:fldChar w:fldCharType="end"/>
            </w:r>
          </w:hyperlink>
        </w:p>
        <w:p w14:paraId="7F639144" w14:textId="77777777" w:rsidR="00332A29" w:rsidRDefault="00183F7E">
          <w:pPr>
            <w:pStyle w:val="Obsah3"/>
            <w:tabs>
              <w:tab w:val="left" w:pos="1320"/>
              <w:tab w:val="right" w:leader="dot" w:pos="9062"/>
            </w:tabs>
            <w:rPr>
              <w:rFonts w:eastAsiaTheme="minorEastAsia"/>
              <w:noProof/>
              <w:lang w:eastAsia="cs-CZ"/>
            </w:rPr>
          </w:pPr>
          <w:hyperlink w:anchor="_Toc77074668" w:history="1">
            <w:r w:rsidR="00332A29" w:rsidRPr="00617EE2">
              <w:rPr>
                <w:rStyle w:val="Hypertextovodkaz"/>
                <w:noProof/>
              </w:rPr>
              <w:t>4.2.1</w:t>
            </w:r>
            <w:r w:rsidR="00332A29">
              <w:rPr>
                <w:rFonts w:eastAsiaTheme="minorEastAsia"/>
                <w:noProof/>
                <w:lang w:eastAsia="cs-CZ"/>
              </w:rPr>
              <w:tab/>
            </w:r>
            <w:r w:rsidR="00332A29" w:rsidRPr="00617EE2">
              <w:rPr>
                <w:rStyle w:val="Hypertextovodkaz"/>
                <w:noProof/>
              </w:rPr>
              <w:t>Shrnutí hlavních identifikovaných trendů</w:t>
            </w:r>
            <w:r w:rsidR="00332A29">
              <w:rPr>
                <w:noProof/>
                <w:webHidden/>
              </w:rPr>
              <w:tab/>
            </w:r>
            <w:r w:rsidR="00332A29">
              <w:rPr>
                <w:noProof/>
                <w:webHidden/>
              </w:rPr>
              <w:fldChar w:fldCharType="begin"/>
            </w:r>
            <w:r w:rsidR="00332A29">
              <w:rPr>
                <w:noProof/>
                <w:webHidden/>
              </w:rPr>
              <w:instrText xml:space="preserve"> PAGEREF _Toc77074668 \h </w:instrText>
            </w:r>
            <w:r w:rsidR="00332A29">
              <w:rPr>
                <w:noProof/>
                <w:webHidden/>
              </w:rPr>
            </w:r>
            <w:r w:rsidR="00332A29">
              <w:rPr>
                <w:noProof/>
                <w:webHidden/>
              </w:rPr>
              <w:fldChar w:fldCharType="separate"/>
            </w:r>
            <w:r w:rsidR="00332A29">
              <w:rPr>
                <w:noProof/>
                <w:webHidden/>
              </w:rPr>
              <w:t>355</w:t>
            </w:r>
            <w:r w:rsidR="00332A29">
              <w:rPr>
                <w:noProof/>
                <w:webHidden/>
              </w:rPr>
              <w:fldChar w:fldCharType="end"/>
            </w:r>
          </w:hyperlink>
        </w:p>
        <w:p w14:paraId="29C8CBA0" w14:textId="77777777" w:rsidR="00332A29" w:rsidRDefault="00183F7E">
          <w:pPr>
            <w:pStyle w:val="Obsah3"/>
            <w:tabs>
              <w:tab w:val="left" w:pos="1320"/>
              <w:tab w:val="right" w:leader="dot" w:pos="9062"/>
            </w:tabs>
            <w:rPr>
              <w:rFonts w:eastAsiaTheme="minorEastAsia"/>
              <w:noProof/>
              <w:lang w:eastAsia="cs-CZ"/>
            </w:rPr>
          </w:pPr>
          <w:hyperlink w:anchor="_Toc77074669" w:history="1">
            <w:r w:rsidR="00332A29" w:rsidRPr="00617EE2">
              <w:rPr>
                <w:rStyle w:val="Hypertextovodkaz"/>
                <w:noProof/>
              </w:rPr>
              <w:t>4.2.2</w:t>
            </w:r>
            <w:r w:rsidR="00332A29">
              <w:rPr>
                <w:rFonts w:eastAsiaTheme="minorEastAsia"/>
                <w:noProof/>
                <w:lang w:eastAsia="cs-CZ"/>
              </w:rPr>
              <w:tab/>
            </w:r>
            <w:r w:rsidR="00332A29" w:rsidRPr="00617EE2">
              <w:rPr>
                <w:rStyle w:val="Hypertextovodkaz"/>
                <w:noProof/>
              </w:rPr>
              <w:t>Demografická prognóza obyvatel do roku 2040</w:t>
            </w:r>
            <w:r w:rsidR="00332A29">
              <w:rPr>
                <w:noProof/>
                <w:webHidden/>
              </w:rPr>
              <w:tab/>
            </w:r>
            <w:r w:rsidR="00332A29">
              <w:rPr>
                <w:noProof/>
                <w:webHidden/>
              </w:rPr>
              <w:fldChar w:fldCharType="begin"/>
            </w:r>
            <w:r w:rsidR="00332A29">
              <w:rPr>
                <w:noProof/>
                <w:webHidden/>
              </w:rPr>
              <w:instrText xml:space="preserve"> PAGEREF _Toc77074669 \h </w:instrText>
            </w:r>
            <w:r w:rsidR="00332A29">
              <w:rPr>
                <w:noProof/>
                <w:webHidden/>
              </w:rPr>
            </w:r>
            <w:r w:rsidR="00332A29">
              <w:rPr>
                <w:noProof/>
                <w:webHidden/>
              </w:rPr>
              <w:fldChar w:fldCharType="separate"/>
            </w:r>
            <w:r w:rsidR="00332A29">
              <w:rPr>
                <w:noProof/>
                <w:webHidden/>
              </w:rPr>
              <w:t>358</w:t>
            </w:r>
            <w:r w:rsidR="00332A29">
              <w:rPr>
                <w:noProof/>
                <w:webHidden/>
              </w:rPr>
              <w:fldChar w:fldCharType="end"/>
            </w:r>
          </w:hyperlink>
        </w:p>
        <w:p w14:paraId="17387E96" w14:textId="77777777" w:rsidR="00332A29" w:rsidRDefault="00183F7E">
          <w:pPr>
            <w:pStyle w:val="Obsah3"/>
            <w:tabs>
              <w:tab w:val="left" w:pos="1320"/>
              <w:tab w:val="right" w:leader="dot" w:pos="9062"/>
            </w:tabs>
            <w:rPr>
              <w:rFonts w:eastAsiaTheme="minorEastAsia"/>
              <w:noProof/>
              <w:lang w:eastAsia="cs-CZ"/>
            </w:rPr>
          </w:pPr>
          <w:hyperlink w:anchor="_Toc77074670" w:history="1">
            <w:r w:rsidR="00332A29" w:rsidRPr="00617EE2">
              <w:rPr>
                <w:rStyle w:val="Hypertextovodkaz"/>
                <w:noProof/>
              </w:rPr>
              <w:t>4.2.3</w:t>
            </w:r>
            <w:r w:rsidR="00332A29">
              <w:rPr>
                <w:rFonts w:eastAsiaTheme="minorEastAsia"/>
                <w:noProof/>
                <w:lang w:eastAsia="cs-CZ"/>
              </w:rPr>
              <w:tab/>
            </w:r>
            <w:r w:rsidR="00332A29" w:rsidRPr="00617EE2">
              <w:rPr>
                <w:rStyle w:val="Hypertextovodkaz"/>
                <w:noProof/>
              </w:rPr>
              <w:t>Ekonomická prognóza</w:t>
            </w:r>
            <w:r w:rsidR="00332A29">
              <w:rPr>
                <w:noProof/>
                <w:webHidden/>
              </w:rPr>
              <w:tab/>
            </w:r>
            <w:r w:rsidR="00332A29">
              <w:rPr>
                <w:noProof/>
                <w:webHidden/>
              </w:rPr>
              <w:fldChar w:fldCharType="begin"/>
            </w:r>
            <w:r w:rsidR="00332A29">
              <w:rPr>
                <w:noProof/>
                <w:webHidden/>
              </w:rPr>
              <w:instrText xml:space="preserve"> PAGEREF _Toc77074670 \h </w:instrText>
            </w:r>
            <w:r w:rsidR="00332A29">
              <w:rPr>
                <w:noProof/>
                <w:webHidden/>
              </w:rPr>
            </w:r>
            <w:r w:rsidR="00332A29">
              <w:rPr>
                <w:noProof/>
                <w:webHidden/>
              </w:rPr>
              <w:fldChar w:fldCharType="separate"/>
            </w:r>
            <w:r w:rsidR="00332A29">
              <w:rPr>
                <w:noProof/>
                <w:webHidden/>
              </w:rPr>
              <w:t>361</w:t>
            </w:r>
            <w:r w:rsidR="00332A29">
              <w:rPr>
                <w:noProof/>
                <w:webHidden/>
              </w:rPr>
              <w:fldChar w:fldCharType="end"/>
            </w:r>
          </w:hyperlink>
        </w:p>
        <w:p w14:paraId="6D5D0294" w14:textId="77777777" w:rsidR="00332A29" w:rsidRDefault="00183F7E">
          <w:pPr>
            <w:pStyle w:val="Obsah2"/>
            <w:tabs>
              <w:tab w:val="left" w:pos="880"/>
              <w:tab w:val="right" w:leader="dot" w:pos="9062"/>
            </w:tabs>
            <w:rPr>
              <w:rFonts w:eastAsiaTheme="minorEastAsia"/>
              <w:noProof/>
              <w:lang w:eastAsia="cs-CZ"/>
            </w:rPr>
          </w:pPr>
          <w:hyperlink w:anchor="_Toc77074671" w:history="1">
            <w:r w:rsidR="00332A29" w:rsidRPr="00617EE2">
              <w:rPr>
                <w:rStyle w:val="Hypertextovodkaz"/>
                <w:noProof/>
              </w:rPr>
              <w:t>4.3</w:t>
            </w:r>
            <w:r w:rsidR="00332A29">
              <w:rPr>
                <w:rFonts w:eastAsiaTheme="minorEastAsia"/>
                <w:noProof/>
                <w:lang w:eastAsia="cs-CZ"/>
              </w:rPr>
              <w:tab/>
            </w:r>
            <w:r w:rsidR="00332A29" w:rsidRPr="00617EE2">
              <w:rPr>
                <w:rStyle w:val="Hypertextovodkaz"/>
                <w:noProof/>
              </w:rPr>
              <w:t>Problémová analýza</w:t>
            </w:r>
            <w:r w:rsidR="00332A29">
              <w:rPr>
                <w:noProof/>
                <w:webHidden/>
              </w:rPr>
              <w:tab/>
            </w:r>
            <w:r w:rsidR="00332A29">
              <w:rPr>
                <w:noProof/>
                <w:webHidden/>
              </w:rPr>
              <w:fldChar w:fldCharType="begin"/>
            </w:r>
            <w:r w:rsidR="00332A29">
              <w:rPr>
                <w:noProof/>
                <w:webHidden/>
              </w:rPr>
              <w:instrText xml:space="preserve"> PAGEREF _Toc77074671 \h </w:instrText>
            </w:r>
            <w:r w:rsidR="00332A29">
              <w:rPr>
                <w:noProof/>
                <w:webHidden/>
              </w:rPr>
            </w:r>
            <w:r w:rsidR="00332A29">
              <w:rPr>
                <w:noProof/>
                <w:webHidden/>
              </w:rPr>
              <w:fldChar w:fldCharType="separate"/>
            </w:r>
            <w:r w:rsidR="00332A29">
              <w:rPr>
                <w:noProof/>
                <w:webHidden/>
              </w:rPr>
              <w:t>364</w:t>
            </w:r>
            <w:r w:rsidR="00332A29">
              <w:rPr>
                <w:noProof/>
                <w:webHidden/>
              </w:rPr>
              <w:fldChar w:fldCharType="end"/>
            </w:r>
          </w:hyperlink>
        </w:p>
        <w:p w14:paraId="2438C98D" w14:textId="77777777" w:rsidR="00332A29" w:rsidRDefault="00183F7E">
          <w:pPr>
            <w:pStyle w:val="Obsah2"/>
            <w:tabs>
              <w:tab w:val="left" w:pos="880"/>
              <w:tab w:val="right" w:leader="dot" w:pos="9062"/>
            </w:tabs>
            <w:rPr>
              <w:rFonts w:eastAsiaTheme="minorEastAsia"/>
              <w:noProof/>
              <w:lang w:eastAsia="cs-CZ"/>
            </w:rPr>
          </w:pPr>
          <w:hyperlink w:anchor="_Toc77074672" w:history="1">
            <w:r w:rsidR="00332A29" w:rsidRPr="00617EE2">
              <w:rPr>
                <w:rStyle w:val="Hypertextovodkaz"/>
                <w:noProof/>
              </w:rPr>
              <w:t>4.4</w:t>
            </w:r>
            <w:r w:rsidR="00332A29">
              <w:rPr>
                <w:rFonts w:eastAsiaTheme="minorEastAsia"/>
                <w:noProof/>
                <w:lang w:eastAsia="cs-CZ"/>
              </w:rPr>
              <w:tab/>
            </w:r>
            <w:r w:rsidR="00332A29" w:rsidRPr="00617EE2">
              <w:rPr>
                <w:rStyle w:val="Hypertextovodkaz"/>
                <w:noProof/>
              </w:rPr>
              <w:t>Identifikovaný rozvojový potenciál města</w:t>
            </w:r>
            <w:r w:rsidR="00332A29">
              <w:rPr>
                <w:noProof/>
                <w:webHidden/>
              </w:rPr>
              <w:tab/>
            </w:r>
            <w:r w:rsidR="00332A29">
              <w:rPr>
                <w:noProof/>
                <w:webHidden/>
              </w:rPr>
              <w:fldChar w:fldCharType="begin"/>
            </w:r>
            <w:r w:rsidR="00332A29">
              <w:rPr>
                <w:noProof/>
                <w:webHidden/>
              </w:rPr>
              <w:instrText xml:space="preserve"> PAGEREF _Toc77074672 \h </w:instrText>
            </w:r>
            <w:r w:rsidR="00332A29">
              <w:rPr>
                <w:noProof/>
                <w:webHidden/>
              </w:rPr>
            </w:r>
            <w:r w:rsidR="00332A29">
              <w:rPr>
                <w:noProof/>
                <w:webHidden/>
              </w:rPr>
              <w:fldChar w:fldCharType="separate"/>
            </w:r>
            <w:r w:rsidR="00332A29">
              <w:rPr>
                <w:noProof/>
                <w:webHidden/>
              </w:rPr>
              <w:t>369</w:t>
            </w:r>
            <w:r w:rsidR="00332A29">
              <w:rPr>
                <w:noProof/>
                <w:webHidden/>
              </w:rPr>
              <w:fldChar w:fldCharType="end"/>
            </w:r>
          </w:hyperlink>
        </w:p>
        <w:p w14:paraId="3198DB59" w14:textId="77777777" w:rsidR="00332A29" w:rsidRDefault="00183F7E">
          <w:pPr>
            <w:pStyle w:val="Obsah2"/>
            <w:tabs>
              <w:tab w:val="left" w:pos="880"/>
              <w:tab w:val="right" w:leader="dot" w:pos="9062"/>
            </w:tabs>
            <w:rPr>
              <w:rFonts w:eastAsiaTheme="minorEastAsia"/>
              <w:noProof/>
              <w:lang w:eastAsia="cs-CZ"/>
            </w:rPr>
          </w:pPr>
          <w:hyperlink w:anchor="_Toc77074673" w:history="1">
            <w:r w:rsidR="00332A29" w:rsidRPr="00617EE2">
              <w:rPr>
                <w:rStyle w:val="Hypertextovodkaz"/>
                <w:noProof/>
              </w:rPr>
              <w:t>4.5</w:t>
            </w:r>
            <w:r w:rsidR="00332A29">
              <w:rPr>
                <w:rFonts w:eastAsiaTheme="minorEastAsia"/>
                <w:noProof/>
                <w:lang w:eastAsia="cs-CZ"/>
              </w:rPr>
              <w:tab/>
            </w:r>
            <w:r w:rsidR="00332A29" w:rsidRPr="00617EE2">
              <w:rPr>
                <w:rStyle w:val="Hypertextovodkaz"/>
                <w:noProof/>
              </w:rPr>
              <w:t>Shrnutí hlavních analytických poznatků s důrazem na souvislosti</w:t>
            </w:r>
            <w:r w:rsidR="00332A29">
              <w:rPr>
                <w:noProof/>
                <w:webHidden/>
              </w:rPr>
              <w:tab/>
            </w:r>
            <w:r w:rsidR="00332A29">
              <w:rPr>
                <w:noProof/>
                <w:webHidden/>
              </w:rPr>
              <w:fldChar w:fldCharType="begin"/>
            </w:r>
            <w:r w:rsidR="00332A29">
              <w:rPr>
                <w:noProof/>
                <w:webHidden/>
              </w:rPr>
              <w:instrText xml:space="preserve"> PAGEREF _Toc77074673 \h </w:instrText>
            </w:r>
            <w:r w:rsidR="00332A29">
              <w:rPr>
                <w:noProof/>
                <w:webHidden/>
              </w:rPr>
            </w:r>
            <w:r w:rsidR="00332A29">
              <w:rPr>
                <w:noProof/>
                <w:webHidden/>
              </w:rPr>
              <w:fldChar w:fldCharType="separate"/>
            </w:r>
            <w:r w:rsidR="00332A29">
              <w:rPr>
                <w:noProof/>
                <w:webHidden/>
              </w:rPr>
              <w:t>372</w:t>
            </w:r>
            <w:r w:rsidR="00332A29">
              <w:rPr>
                <w:noProof/>
                <w:webHidden/>
              </w:rPr>
              <w:fldChar w:fldCharType="end"/>
            </w:r>
          </w:hyperlink>
        </w:p>
        <w:p w14:paraId="5023B6DA" w14:textId="77777777" w:rsidR="00332A29" w:rsidRDefault="00183F7E">
          <w:pPr>
            <w:pStyle w:val="Obsah2"/>
            <w:tabs>
              <w:tab w:val="left" w:pos="880"/>
              <w:tab w:val="right" w:leader="dot" w:pos="9062"/>
            </w:tabs>
            <w:rPr>
              <w:rFonts w:eastAsiaTheme="minorEastAsia"/>
              <w:noProof/>
              <w:lang w:eastAsia="cs-CZ"/>
            </w:rPr>
          </w:pPr>
          <w:hyperlink w:anchor="_Toc77074674" w:history="1">
            <w:r w:rsidR="00332A29" w:rsidRPr="00617EE2">
              <w:rPr>
                <w:rStyle w:val="Hypertextovodkaz"/>
                <w:noProof/>
              </w:rPr>
              <w:t>4.6</w:t>
            </w:r>
            <w:r w:rsidR="00332A29">
              <w:rPr>
                <w:rFonts w:eastAsiaTheme="minorEastAsia"/>
                <w:noProof/>
                <w:lang w:eastAsia="cs-CZ"/>
              </w:rPr>
              <w:tab/>
            </w:r>
            <w:r w:rsidR="00332A29" w:rsidRPr="00617EE2">
              <w:rPr>
                <w:rStyle w:val="Hypertextovodkaz"/>
                <w:noProof/>
              </w:rPr>
              <w:t>SWOT analýza</w:t>
            </w:r>
            <w:r w:rsidR="00332A29">
              <w:rPr>
                <w:noProof/>
                <w:webHidden/>
              </w:rPr>
              <w:tab/>
            </w:r>
            <w:r w:rsidR="00332A29">
              <w:rPr>
                <w:noProof/>
                <w:webHidden/>
              </w:rPr>
              <w:fldChar w:fldCharType="begin"/>
            </w:r>
            <w:r w:rsidR="00332A29">
              <w:rPr>
                <w:noProof/>
                <w:webHidden/>
              </w:rPr>
              <w:instrText xml:space="preserve"> PAGEREF _Toc77074674 \h </w:instrText>
            </w:r>
            <w:r w:rsidR="00332A29">
              <w:rPr>
                <w:noProof/>
                <w:webHidden/>
              </w:rPr>
            </w:r>
            <w:r w:rsidR="00332A29">
              <w:rPr>
                <w:noProof/>
                <w:webHidden/>
              </w:rPr>
              <w:fldChar w:fldCharType="separate"/>
            </w:r>
            <w:r w:rsidR="00332A29">
              <w:rPr>
                <w:noProof/>
                <w:webHidden/>
              </w:rPr>
              <w:t>375</w:t>
            </w:r>
            <w:r w:rsidR="00332A29">
              <w:rPr>
                <w:noProof/>
                <w:webHidden/>
              </w:rPr>
              <w:fldChar w:fldCharType="end"/>
            </w:r>
          </w:hyperlink>
        </w:p>
        <w:p w14:paraId="052ABB04" w14:textId="77777777" w:rsidR="00332A29" w:rsidRDefault="00183F7E">
          <w:pPr>
            <w:pStyle w:val="Obsah3"/>
            <w:tabs>
              <w:tab w:val="left" w:pos="1320"/>
              <w:tab w:val="right" w:leader="dot" w:pos="9062"/>
            </w:tabs>
            <w:rPr>
              <w:rFonts w:eastAsiaTheme="minorEastAsia"/>
              <w:noProof/>
              <w:lang w:eastAsia="cs-CZ"/>
            </w:rPr>
          </w:pPr>
          <w:hyperlink w:anchor="_Toc77074675" w:history="1">
            <w:r w:rsidR="00332A29" w:rsidRPr="00617EE2">
              <w:rPr>
                <w:rStyle w:val="Hypertextovodkaz"/>
                <w:noProof/>
              </w:rPr>
              <w:t>4.6.1</w:t>
            </w:r>
            <w:r w:rsidR="00332A29">
              <w:rPr>
                <w:rFonts w:eastAsiaTheme="minorEastAsia"/>
                <w:noProof/>
                <w:lang w:eastAsia="cs-CZ"/>
              </w:rPr>
              <w:tab/>
            </w:r>
            <w:r w:rsidR="00332A29" w:rsidRPr="00617EE2">
              <w:rPr>
                <w:rStyle w:val="Hypertextovodkaz"/>
                <w:noProof/>
              </w:rPr>
              <w:t>SWOT analýza tematické oblasti Územní plánování a urbanismus</w:t>
            </w:r>
            <w:r w:rsidR="00332A29">
              <w:rPr>
                <w:noProof/>
                <w:webHidden/>
              </w:rPr>
              <w:tab/>
            </w:r>
            <w:r w:rsidR="00332A29">
              <w:rPr>
                <w:noProof/>
                <w:webHidden/>
              </w:rPr>
              <w:fldChar w:fldCharType="begin"/>
            </w:r>
            <w:r w:rsidR="00332A29">
              <w:rPr>
                <w:noProof/>
                <w:webHidden/>
              </w:rPr>
              <w:instrText xml:space="preserve"> PAGEREF _Toc77074675 \h </w:instrText>
            </w:r>
            <w:r w:rsidR="00332A29">
              <w:rPr>
                <w:noProof/>
                <w:webHidden/>
              </w:rPr>
            </w:r>
            <w:r w:rsidR="00332A29">
              <w:rPr>
                <w:noProof/>
                <w:webHidden/>
              </w:rPr>
              <w:fldChar w:fldCharType="separate"/>
            </w:r>
            <w:r w:rsidR="00332A29">
              <w:rPr>
                <w:noProof/>
                <w:webHidden/>
              </w:rPr>
              <w:t>375</w:t>
            </w:r>
            <w:r w:rsidR="00332A29">
              <w:rPr>
                <w:noProof/>
                <w:webHidden/>
              </w:rPr>
              <w:fldChar w:fldCharType="end"/>
            </w:r>
          </w:hyperlink>
        </w:p>
        <w:p w14:paraId="5355388E" w14:textId="77777777" w:rsidR="00332A29" w:rsidRDefault="00183F7E">
          <w:pPr>
            <w:pStyle w:val="Obsah3"/>
            <w:tabs>
              <w:tab w:val="left" w:pos="1320"/>
              <w:tab w:val="right" w:leader="dot" w:pos="9062"/>
            </w:tabs>
            <w:rPr>
              <w:rFonts w:eastAsiaTheme="minorEastAsia"/>
              <w:noProof/>
              <w:lang w:eastAsia="cs-CZ"/>
            </w:rPr>
          </w:pPr>
          <w:hyperlink w:anchor="_Toc77074676" w:history="1">
            <w:r w:rsidR="00332A29" w:rsidRPr="00617EE2">
              <w:rPr>
                <w:rStyle w:val="Hypertextovodkaz"/>
                <w:noProof/>
              </w:rPr>
              <w:t>4.6.2</w:t>
            </w:r>
            <w:r w:rsidR="00332A29">
              <w:rPr>
                <w:rFonts w:eastAsiaTheme="minorEastAsia"/>
                <w:noProof/>
                <w:lang w:eastAsia="cs-CZ"/>
              </w:rPr>
              <w:tab/>
            </w:r>
            <w:r w:rsidR="00332A29" w:rsidRPr="00617EE2">
              <w:rPr>
                <w:rStyle w:val="Hypertextovodkaz"/>
                <w:noProof/>
              </w:rPr>
              <w:t>SWOT analýza tematické oblasti Kvalita života</w:t>
            </w:r>
            <w:r w:rsidR="00332A29">
              <w:rPr>
                <w:noProof/>
                <w:webHidden/>
              </w:rPr>
              <w:tab/>
            </w:r>
            <w:r w:rsidR="00332A29">
              <w:rPr>
                <w:noProof/>
                <w:webHidden/>
              </w:rPr>
              <w:fldChar w:fldCharType="begin"/>
            </w:r>
            <w:r w:rsidR="00332A29">
              <w:rPr>
                <w:noProof/>
                <w:webHidden/>
              </w:rPr>
              <w:instrText xml:space="preserve"> PAGEREF _Toc77074676 \h </w:instrText>
            </w:r>
            <w:r w:rsidR="00332A29">
              <w:rPr>
                <w:noProof/>
                <w:webHidden/>
              </w:rPr>
            </w:r>
            <w:r w:rsidR="00332A29">
              <w:rPr>
                <w:noProof/>
                <w:webHidden/>
              </w:rPr>
              <w:fldChar w:fldCharType="separate"/>
            </w:r>
            <w:r w:rsidR="00332A29">
              <w:rPr>
                <w:noProof/>
                <w:webHidden/>
              </w:rPr>
              <w:t>376</w:t>
            </w:r>
            <w:r w:rsidR="00332A29">
              <w:rPr>
                <w:noProof/>
                <w:webHidden/>
              </w:rPr>
              <w:fldChar w:fldCharType="end"/>
            </w:r>
          </w:hyperlink>
        </w:p>
        <w:p w14:paraId="076790F5" w14:textId="77777777" w:rsidR="00332A29" w:rsidRDefault="00183F7E">
          <w:pPr>
            <w:pStyle w:val="Obsah3"/>
            <w:tabs>
              <w:tab w:val="left" w:pos="1320"/>
              <w:tab w:val="right" w:leader="dot" w:pos="9062"/>
            </w:tabs>
            <w:rPr>
              <w:rFonts w:eastAsiaTheme="minorEastAsia"/>
              <w:noProof/>
              <w:lang w:eastAsia="cs-CZ"/>
            </w:rPr>
          </w:pPr>
          <w:hyperlink w:anchor="_Toc77074677" w:history="1">
            <w:r w:rsidR="00332A29" w:rsidRPr="00617EE2">
              <w:rPr>
                <w:rStyle w:val="Hypertextovodkaz"/>
                <w:noProof/>
              </w:rPr>
              <w:t>4.6.3</w:t>
            </w:r>
            <w:r w:rsidR="00332A29">
              <w:rPr>
                <w:rFonts w:eastAsiaTheme="minorEastAsia"/>
                <w:noProof/>
                <w:lang w:eastAsia="cs-CZ"/>
              </w:rPr>
              <w:tab/>
            </w:r>
            <w:r w:rsidR="00332A29" w:rsidRPr="00617EE2">
              <w:rPr>
                <w:rStyle w:val="Hypertextovodkaz"/>
                <w:noProof/>
              </w:rPr>
              <w:t>SWOT analýza tematické oblasti Vzdělávání</w:t>
            </w:r>
            <w:r w:rsidR="00332A29">
              <w:rPr>
                <w:noProof/>
                <w:webHidden/>
              </w:rPr>
              <w:tab/>
            </w:r>
            <w:r w:rsidR="00332A29">
              <w:rPr>
                <w:noProof/>
                <w:webHidden/>
              </w:rPr>
              <w:fldChar w:fldCharType="begin"/>
            </w:r>
            <w:r w:rsidR="00332A29">
              <w:rPr>
                <w:noProof/>
                <w:webHidden/>
              </w:rPr>
              <w:instrText xml:space="preserve"> PAGEREF _Toc77074677 \h </w:instrText>
            </w:r>
            <w:r w:rsidR="00332A29">
              <w:rPr>
                <w:noProof/>
                <w:webHidden/>
              </w:rPr>
            </w:r>
            <w:r w:rsidR="00332A29">
              <w:rPr>
                <w:noProof/>
                <w:webHidden/>
              </w:rPr>
              <w:fldChar w:fldCharType="separate"/>
            </w:r>
            <w:r w:rsidR="00332A29">
              <w:rPr>
                <w:noProof/>
                <w:webHidden/>
              </w:rPr>
              <w:t>378</w:t>
            </w:r>
            <w:r w:rsidR="00332A29">
              <w:rPr>
                <w:noProof/>
                <w:webHidden/>
              </w:rPr>
              <w:fldChar w:fldCharType="end"/>
            </w:r>
          </w:hyperlink>
        </w:p>
        <w:p w14:paraId="2B30B3AA" w14:textId="77777777" w:rsidR="00332A29" w:rsidRDefault="00183F7E">
          <w:pPr>
            <w:pStyle w:val="Obsah3"/>
            <w:tabs>
              <w:tab w:val="left" w:pos="1320"/>
              <w:tab w:val="right" w:leader="dot" w:pos="9062"/>
            </w:tabs>
            <w:rPr>
              <w:rFonts w:eastAsiaTheme="minorEastAsia"/>
              <w:noProof/>
              <w:lang w:eastAsia="cs-CZ"/>
            </w:rPr>
          </w:pPr>
          <w:hyperlink w:anchor="_Toc77074678" w:history="1">
            <w:r w:rsidR="00332A29" w:rsidRPr="00617EE2">
              <w:rPr>
                <w:rStyle w:val="Hypertextovodkaz"/>
                <w:noProof/>
              </w:rPr>
              <w:t>4.6.4</w:t>
            </w:r>
            <w:r w:rsidR="00332A29">
              <w:rPr>
                <w:rFonts w:eastAsiaTheme="minorEastAsia"/>
                <w:noProof/>
                <w:lang w:eastAsia="cs-CZ"/>
              </w:rPr>
              <w:tab/>
            </w:r>
            <w:r w:rsidR="00332A29" w:rsidRPr="00617EE2">
              <w:rPr>
                <w:rStyle w:val="Hypertextovodkaz"/>
                <w:noProof/>
              </w:rPr>
              <w:t>SWOT analýza tematické oblasti Doprava a technická infrastruktura</w:t>
            </w:r>
            <w:r w:rsidR="00332A29">
              <w:rPr>
                <w:noProof/>
                <w:webHidden/>
              </w:rPr>
              <w:tab/>
            </w:r>
            <w:r w:rsidR="00332A29">
              <w:rPr>
                <w:noProof/>
                <w:webHidden/>
              </w:rPr>
              <w:fldChar w:fldCharType="begin"/>
            </w:r>
            <w:r w:rsidR="00332A29">
              <w:rPr>
                <w:noProof/>
                <w:webHidden/>
              </w:rPr>
              <w:instrText xml:space="preserve"> PAGEREF _Toc77074678 \h </w:instrText>
            </w:r>
            <w:r w:rsidR="00332A29">
              <w:rPr>
                <w:noProof/>
                <w:webHidden/>
              </w:rPr>
            </w:r>
            <w:r w:rsidR="00332A29">
              <w:rPr>
                <w:noProof/>
                <w:webHidden/>
              </w:rPr>
              <w:fldChar w:fldCharType="separate"/>
            </w:r>
            <w:r w:rsidR="00332A29">
              <w:rPr>
                <w:noProof/>
                <w:webHidden/>
              </w:rPr>
              <w:t>380</w:t>
            </w:r>
            <w:r w:rsidR="00332A29">
              <w:rPr>
                <w:noProof/>
                <w:webHidden/>
              </w:rPr>
              <w:fldChar w:fldCharType="end"/>
            </w:r>
          </w:hyperlink>
        </w:p>
        <w:p w14:paraId="06693E21" w14:textId="77777777" w:rsidR="00332A29" w:rsidRDefault="00183F7E">
          <w:pPr>
            <w:pStyle w:val="Obsah3"/>
            <w:tabs>
              <w:tab w:val="left" w:pos="1320"/>
              <w:tab w:val="right" w:leader="dot" w:pos="9062"/>
            </w:tabs>
            <w:rPr>
              <w:rFonts w:eastAsiaTheme="minorEastAsia"/>
              <w:noProof/>
              <w:lang w:eastAsia="cs-CZ"/>
            </w:rPr>
          </w:pPr>
          <w:hyperlink w:anchor="_Toc77074679" w:history="1">
            <w:r w:rsidR="00332A29" w:rsidRPr="00617EE2">
              <w:rPr>
                <w:rStyle w:val="Hypertextovodkaz"/>
                <w:noProof/>
              </w:rPr>
              <w:t>4.6.5</w:t>
            </w:r>
            <w:r w:rsidR="00332A29">
              <w:rPr>
                <w:rFonts w:eastAsiaTheme="minorEastAsia"/>
                <w:noProof/>
                <w:lang w:eastAsia="cs-CZ"/>
              </w:rPr>
              <w:tab/>
            </w:r>
            <w:r w:rsidR="00332A29" w:rsidRPr="00617EE2">
              <w:rPr>
                <w:rStyle w:val="Hypertextovodkaz"/>
                <w:noProof/>
              </w:rPr>
              <w:t>SWOT analýza tematické oblasti Bezpečnost</w:t>
            </w:r>
            <w:r w:rsidR="00332A29">
              <w:rPr>
                <w:noProof/>
                <w:webHidden/>
              </w:rPr>
              <w:tab/>
            </w:r>
            <w:r w:rsidR="00332A29">
              <w:rPr>
                <w:noProof/>
                <w:webHidden/>
              </w:rPr>
              <w:fldChar w:fldCharType="begin"/>
            </w:r>
            <w:r w:rsidR="00332A29">
              <w:rPr>
                <w:noProof/>
                <w:webHidden/>
              </w:rPr>
              <w:instrText xml:space="preserve"> PAGEREF _Toc77074679 \h </w:instrText>
            </w:r>
            <w:r w:rsidR="00332A29">
              <w:rPr>
                <w:noProof/>
                <w:webHidden/>
              </w:rPr>
            </w:r>
            <w:r w:rsidR="00332A29">
              <w:rPr>
                <w:noProof/>
                <w:webHidden/>
              </w:rPr>
              <w:fldChar w:fldCharType="separate"/>
            </w:r>
            <w:r w:rsidR="00332A29">
              <w:rPr>
                <w:noProof/>
                <w:webHidden/>
              </w:rPr>
              <w:t>382</w:t>
            </w:r>
            <w:r w:rsidR="00332A29">
              <w:rPr>
                <w:noProof/>
                <w:webHidden/>
              </w:rPr>
              <w:fldChar w:fldCharType="end"/>
            </w:r>
          </w:hyperlink>
        </w:p>
        <w:p w14:paraId="0E812267" w14:textId="77777777" w:rsidR="00332A29" w:rsidRDefault="00183F7E">
          <w:pPr>
            <w:pStyle w:val="Obsah3"/>
            <w:tabs>
              <w:tab w:val="left" w:pos="1320"/>
              <w:tab w:val="right" w:leader="dot" w:pos="9062"/>
            </w:tabs>
            <w:rPr>
              <w:rFonts w:eastAsiaTheme="minorEastAsia"/>
              <w:noProof/>
              <w:lang w:eastAsia="cs-CZ"/>
            </w:rPr>
          </w:pPr>
          <w:hyperlink w:anchor="_Toc77074680" w:history="1">
            <w:r w:rsidR="00332A29" w:rsidRPr="00617EE2">
              <w:rPr>
                <w:rStyle w:val="Hypertextovodkaz"/>
                <w:noProof/>
              </w:rPr>
              <w:t>4.6.6</w:t>
            </w:r>
            <w:r w:rsidR="00332A29">
              <w:rPr>
                <w:rFonts w:eastAsiaTheme="minorEastAsia"/>
                <w:noProof/>
                <w:lang w:eastAsia="cs-CZ"/>
              </w:rPr>
              <w:tab/>
            </w:r>
            <w:r w:rsidR="00332A29" w:rsidRPr="00617EE2">
              <w:rPr>
                <w:rStyle w:val="Hypertextovodkaz"/>
                <w:noProof/>
              </w:rPr>
              <w:t>SWOT analýza tematické oblasti Vstřícné město</w:t>
            </w:r>
            <w:r w:rsidR="00332A29">
              <w:rPr>
                <w:noProof/>
                <w:webHidden/>
              </w:rPr>
              <w:tab/>
            </w:r>
            <w:r w:rsidR="00332A29">
              <w:rPr>
                <w:noProof/>
                <w:webHidden/>
              </w:rPr>
              <w:fldChar w:fldCharType="begin"/>
            </w:r>
            <w:r w:rsidR="00332A29">
              <w:rPr>
                <w:noProof/>
                <w:webHidden/>
              </w:rPr>
              <w:instrText xml:space="preserve"> PAGEREF _Toc77074680 \h </w:instrText>
            </w:r>
            <w:r w:rsidR="00332A29">
              <w:rPr>
                <w:noProof/>
                <w:webHidden/>
              </w:rPr>
            </w:r>
            <w:r w:rsidR="00332A29">
              <w:rPr>
                <w:noProof/>
                <w:webHidden/>
              </w:rPr>
              <w:fldChar w:fldCharType="separate"/>
            </w:r>
            <w:r w:rsidR="00332A29">
              <w:rPr>
                <w:noProof/>
                <w:webHidden/>
              </w:rPr>
              <w:t>384</w:t>
            </w:r>
            <w:r w:rsidR="00332A29">
              <w:rPr>
                <w:noProof/>
                <w:webHidden/>
              </w:rPr>
              <w:fldChar w:fldCharType="end"/>
            </w:r>
          </w:hyperlink>
        </w:p>
        <w:p w14:paraId="27A03AB8" w14:textId="77777777" w:rsidR="00CB776F" w:rsidRPr="00577E7E" w:rsidRDefault="00CB776F">
          <w:r w:rsidRPr="00577E7E">
            <w:rPr>
              <w:b/>
              <w:bCs/>
            </w:rPr>
            <w:fldChar w:fldCharType="end"/>
          </w:r>
        </w:p>
      </w:sdtContent>
    </w:sdt>
    <w:p w14:paraId="57F9EE89" w14:textId="3AC0BC8F" w:rsidR="00BF26AA" w:rsidRDefault="00CB776F" w:rsidP="00BF26AA">
      <w:pPr>
        <w:jc w:val="left"/>
      </w:pPr>
      <w:r w:rsidRPr="00577E7E">
        <w:br w:type="page"/>
      </w:r>
    </w:p>
    <w:p w14:paraId="746CC215" w14:textId="77777777" w:rsidR="00D11DE4" w:rsidRDefault="00D11DE4" w:rsidP="00D11DE4">
      <w:pPr>
        <w:pStyle w:val="Nadpis1"/>
        <w:numPr>
          <w:ilvl w:val="0"/>
          <w:numId w:val="0"/>
        </w:numPr>
        <w:ind w:left="510" w:hanging="510"/>
      </w:pPr>
      <w:bookmarkStart w:id="0" w:name="_Toc41679185"/>
      <w:bookmarkStart w:id="1" w:name="_Toc77074569"/>
      <w:r w:rsidRPr="00AA7F3E">
        <w:lastRenderedPageBreak/>
        <w:t>Seznam zkratek</w:t>
      </w:r>
      <w:bookmarkEnd w:id="0"/>
      <w:bookmarkEnd w:id="1"/>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796"/>
      </w:tblGrid>
      <w:tr w:rsidR="008F0B07" w14:paraId="53349776" w14:textId="77777777" w:rsidTr="00E37D33">
        <w:tc>
          <w:tcPr>
            <w:tcW w:w="1668" w:type="dxa"/>
          </w:tcPr>
          <w:p w14:paraId="757EE74B" w14:textId="03703EF7" w:rsidR="008F0B07" w:rsidRDefault="008F0B07" w:rsidP="008F0B07">
            <w:pPr>
              <w:spacing w:before="20" w:afterLines="20" w:after="48"/>
              <w:rPr>
                <w:rFonts w:cs="Segoe UI"/>
              </w:rPr>
            </w:pPr>
            <w:r>
              <w:t>AMSP ČR</w:t>
            </w:r>
          </w:p>
        </w:tc>
        <w:tc>
          <w:tcPr>
            <w:tcW w:w="7796" w:type="dxa"/>
          </w:tcPr>
          <w:p w14:paraId="207C14BF" w14:textId="042C4514" w:rsidR="008F0B07" w:rsidRDefault="008F0B07" w:rsidP="008F0B07">
            <w:pPr>
              <w:spacing w:before="20" w:afterLines="20" w:after="48"/>
              <w:rPr>
                <w:rFonts w:cs="Segoe UI"/>
              </w:rPr>
            </w:pPr>
            <w:r>
              <w:t>Asociace malých a středních podniků a živnostníků ČR</w:t>
            </w:r>
          </w:p>
        </w:tc>
      </w:tr>
      <w:tr w:rsidR="008F0B07" w14:paraId="57C7AEDC" w14:textId="77777777" w:rsidTr="00E37D33">
        <w:tc>
          <w:tcPr>
            <w:tcW w:w="1668" w:type="dxa"/>
          </w:tcPr>
          <w:p w14:paraId="6F3B52E7" w14:textId="6FCF996C" w:rsidR="008F0B07" w:rsidRDefault="008F0B07" w:rsidP="008F0B07">
            <w:pPr>
              <w:spacing w:before="20" w:afterLines="20" w:after="48"/>
              <w:rPr>
                <w:rFonts w:cs="Segoe UI"/>
              </w:rPr>
            </w:pPr>
            <w:r>
              <w:rPr>
                <w:rFonts w:cs="Segoe UI"/>
              </w:rPr>
              <w:t>APZ</w:t>
            </w:r>
          </w:p>
        </w:tc>
        <w:tc>
          <w:tcPr>
            <w:tcW w:w="7796" w:type="dxa"/>
          </w:tcPr>
          <w:p w14:paraId="51E84C65" w14:textId="0A3DB574" w:rsidR="008F0B07" w:rsidRDefault="008F0B07" w:rsidP="008F0B07">
            <w:pPr>
              <w:spacing w:before="20" w:afterLines="20" w:after="48"/>
              <w:rPr>
                <w:rFonts w:cs="Segoe UI"/>
              </w:rPr>
            </w:pPr>
            <w:r>
              <w:rPr>
                <w:rFonts w:cs="Segoe UI"/>
              </w:rPr>
              <w:t>Aktivní politika zaměstnanosti</w:t>
            </w:r>
          </w:p>
        </w:tc>
      </w:tr>
      <w:tr w:rsidR="008F0B07" w14:paraId="5A9A578A" w14:textId="77777777" w:rsidTr="00E37D33">
        <w:tc>
          <w:tcPr>
            <w:tcW w:w="1668" w:type="dxa"/>
            <w:vAlign w:val="bottom"/>
          </w:tcPr>
          <w:p w14:paraId="23A36CED"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ARIM</w:t>
            </w:r>
          </w:p>
        </w:tc>
        <w:tc>
          <w:tcPr>
            <w:tcW w:w="7796" w:type="dxa"/>
            <w:vAlign w:val="bottom"/>
          </w:tcPr>
          <w:p w14:paraId="4F967885"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Calibri"/>
                <w:color w:val="000000"/>
                <w:lang w:eastAsia="cs-CZ"/>
              </w:rPr>
              <w:t>Oddělení anesteziologie, resuscitace a intenzivní medicíny</w:t>
            </w:r>
          </w:p>
        </w:tc>
      </w:tr>
      <w:tr w:rsidR="008F0B07" w14:paraId="5C005536" w14:textId="77777777" w:rsidTr="00E37D33">
        <w:tc>
          <w:tcPr>
            <w:tcW w:w="1668" w:type="dxa"/>
          </w:tcPr>
          <w:p w14:paraId="6E1D1F13" w14:textId="77777777" w:rsidR="008F0B07" w:rsidRDefault="008F0B07" w:rsidP="008F0B07">
            <w:pPr>
              <w:spacing w:before="20" w:afterLines="20" w:after="48"/>
              <w:rPr>
                <w:rFonts w:cs="Segoe UI"/>
              </w:rPr>
            </w:pPr>
            <w:r>
              <w:rPr>
                <w:rFonts w:cs="Segoe UI"/>
              </w:rPr>
              <w:t>AT</w:t>
            </w:r>
          </w:p>
        </w:tc>
        <w:tc>
          <w:tcPr>
            <w:tcW w:w="7796" w:type="dxa"/>
          </w:tcPr>
          <w:p w14:paraId="6E3E02DA" w14:textId="77777777" w:rsidR="008F0B07" w:rsidRDefault="008F0B07" w:rsidP="008F0B07">
            <w:pPr>
              <w:spacing w:before="20" w:afterLines="20" w:after="48"/>
              <w:rPr>
                <w:rFonts w:cs="Segoe UI"/>
              </w:rPr>
            </w:pPr>
            <w:r>
              <w:rPr>
                <w:rFonts w:cs="Segoe UI"/>
              </w:rPr>
              <w:t>Automatická tlaková stanice</w:t>
            </w:r>
          </w:p>
        </w:tc>
      </w:tr>
      <w:tr w:rsidR="008F0B07" w14:paraId="725BA4AF" w14:textId="77777777" w:rsidTr="00E37D33">
        <w:tc>
          <w:tcPr>
            <w:tcW w:w="1668" w:type="dxa"/>
          </w:tcPr>
          <w:p w14:paraId="13D1E7BD" w14:textId="77777777" w:rsidR="008F0B07" w:rsidRPr="009871FC" w:rsidRDefault="008F0B07" w:rsidP="008F0B07">
            <w:pPr>
              <w:spacing w:before="0"/>
              <w:jc w:val="left"/>
              <w:rPr>
                <w:rFonts w:ascii="Calibri" w:hAnsi="Calibri" w:cs="Calibri"/>
                <w:color w:val="000000"/>
              </w:rPr>
            </w:pPr>
            <w:r w:rsidRPr="009871FC">
              <w:rPr>
                <w:rFonts w:ascii="Calibri" w:hAnsi="Calibri" w:cs="Calibri"/>
                <w:color w:val="000000"/>
              </w:rPr>
              <w:t>BaP</w:t>
            </w:r>
          </w:p>
        </w:tc>
        <w:tc>
          <w:tcPr>
            <w:tcW w:w="7796" w:type="dxa"/>
          </w:tcPr>
          <w:p w14:paraId="76B3FF72" w14:textId="77777777" w:rsidR="008F0B07" w:rsidRPr="009871FC" w:rsidRDefault="008F0B07" w:rsidP="008F0B07">
            <w:pPr>
              <w:spacing w:before="20" w:afterLines="20" w:after="48"/>
              <w:jc w:val="left"/>
              <w:rPr>
                <w:rFonts w:cs="Segoe UI"/>
              </w:rPr>
            </w:pPr>
            <w:r w:rsidRPr="009871FC">
              <w:rPr>
                <w:rFonts w:cs="Segoe UI"/>
              </w:rPr>
              <w:t>Benzo(a)pyren</w:t>
            </w:r>
          </w:p>
        </w:tc>
      </w:tr>
      <w:tr w:rsidR="008F0B07" w14:paraId="5812798E" w14:textId="77777777" w:rsidTr="00E37D33">
        <w:tc>
          <w:tcPr>
            <w:tcW w:w="1668" w:type="dxa"/>
          </w:tcPr>
          <w:p w14:paraId="6858E2D7" w14:textId="459DDAFE" w:rsidR="008F0B07" w:rsidRPr="009871FC" w:rsidRDefault="008F0B07" w:rsidP="008F0B07">
            <w:pPr>
              <w:spacing w:before="0"/>
              <w:jc w:val="left"/>
              <w:rPr>
                <w:rFonts w:ascii="Calibri" w:hAnsi="Calibri" w:cs="Calibri"/>
                <w:color w:val="000000"/>
              </w:rPr>
            </w:pPr>
            <w:r>
              <w:t>BESIP</w:t>
            </w:r>
          </w:p>
        </w:tc>
        <w:tc>
          <w:tcPr>
            <w:tcW w:w="7796" w:type="dxa"/>
          </w:tcPr>
          <w:p w14:paraId="35033B9B" w14:textId="53E72C99" w:rsidR="008F0B07" w:rsidRPr="009871FC" w:rsidRDefault="008F0B07" w:rsidP="008F0B07">
            <w:pPr>
              <w:spacing w:before="20" w:afterLines="20" w:after="48"/>
              <w:jc w:val="left"/>
              <w:rPr>
                <w:rFonts w:cs="Segoe UI"/>
              </w:rPr>
            </w:pPr>
            <w:r>
              <w:t>Bezpečnost silničního provozu</w:t>
            </w:r>
          </w:p>
        </w:tc>
      </w:tr>
      <w:tr w:rsidR="008F0B07" w14:paraId="4D6B3A83" w14:textId="77777777" w:rsidTr="00E37D33">
        <w:tc>
          <w:tcPr>
            <w:tcW w:w="1668" w:type="dxa"/>
          </w:tcPr>
          <w:p w14:paraId="40C9B98C" w14:textId="77777777" w:rsidR="008F0B07" w:rsidRPr="009871FC" w:rsidRDefault="008F0B07" w:rsidP="008F0B07">
            <w:pPr>
              <w:spacing w:before="0"/>
              <w:jc w:val="left"/>
              <w:rPr>
                <w:rFonts w:ascii="Calibri" w:hAnsi="Calibri" w:cs="Calibri"/>
                <w:color w:val="000000"/>
              </w:rPr>
            </w:pPr>
            <w:r w:rsidRPr="009871FC">
              <w:rPr>
                <w:rFonts w:ascii="Calibri" w:hAnsi="Calibri" w:cs="Calibri"/>
                <w:color w:val="000000"/>
              </w:rPr>
              <w:t>BRKO</w:t>
            </w:r>
          </w:p>
        </w:tc>
        <w:tc>
          <w:tcPr>
            <w:tcW w:w="7796" w:type="dxa"/>
          </w:tcPr>
          <w:p w14:paraId="15DFFFF6" w14:textId="7C309B7F" w:rsidR="008F0B07" w:rsidRPr="009871FC" w:rsidRDefault="008F0B07" w:rsidP="00BB5485">
            <w:pPr>
              <w:spacing w:before="20" w:afterLines="20" w:after="48"/>
              <w:jc w:val="left"/>
              <w:rPr>
                <w:rFonts w:cs="Segoe UI"/>
              </w:rPr>
            </w:pPr>
            <w:r w:rsidRPr="009871FC">
              <w:rPr>
                <w:rFonts w:cs="Segoe UI"/>
              </w:rPr>
              <w:t>Biologick</w:t>
            </w:r>
            <w:r w:rsidR="00BB5485">
              <w:rPr>
                <w:rFonts w:cs="Segoe UI"/>
              </w:rPr>
              <w:t>y</w:t>
            </w:r>
            <w:r w:rsidRPr="009871FC">
              <w:rPr>
                <w:rFonts w:cs="Segoe UI"/>
              </w:rPr>
              <w:t xml:space="preserve"> rozložitelný komunální odpad</w:t>
            </w:r>
          </w:p>
        </w:tc>
      </w:tr>
      <w:tr w:rsidR="00672892" w14:paraId="537BB151" w14:textId="77777777" w:rsidTr="00E37D33">
        <w:tc>
          <w:tcPr>
            <w:tcW w:w="1668" w:type="dxa"/>
          </w:tcPr>
          <w:p w14:paraId="7DA0F86D" w14:textId="23DD2A86" w:rsidR="00672892" w:rsidRPr="009871FC" w:rsidRDefault="00672892" w:rsidP="008F0B07">
            <w:pPr>
              <w:spacing w:before="0"/>
              <w:jc w:val="left"/>
              <w:rPr>
                <w:rFonts w:ascii="Calibri" w:hAnsi="Calibri" w:cs="Calibri"/>
                <w:color w:val="000000"/>
              </w:rPr>
            </w:pPr>
            <w:r>
              <w:rPr>
                <w:rFonts w:ascii="Calibri" w:hAnsi="Calibri" w:cs="Calibri"/>
                <w:color w:val="000000"/>
              </w:rPr>
              <w:t>CCR VM</w:t>
            </w:r>
          </w:p>
        </w:tc>
        <w:tc>
          <w:tcPr>
            <w:tcW w:w="7796" w:type="dxa"/>
          </w:tcPr>
          <w:p w14:paraId="23677838" w14:textId="1842024C" w:rsidR="00672892" w:rsidRPr="009871FC" w:rsidRDefault="00672892" w:rsidP="00BB5485">
            <w:pPr>
              <w:spacing w:before="20" w:afterLines="20" w:after="48"/>
              <w:jc w:val="left"/>
              <w:rPr>
                <w:rFonts w:cs="Segoe UI"/>
              </w:rPr>
            </w:pPr>
            <w:r>
              <w:rPr>
                <w:rFonts w:cs="Segoe UI"/>
              </w:rPr>
              <w:t>Centrála cestovního ruchu Východní Morava</w:t>
            </w:r>
          </w:p>
        </w:tc>
      </w:tr>
      <w:tr w:rsidR="008F0B07" w14:paraId="1A55E0DE" w14:textId="77777777" w:rsidTr="00E37D33">
        <w:tc>
          <w:tcPr>
            <w:tcW w:w="1668" w:type="dxa"/>
          </w:tcPr>
          <w:p w14:paraId="25B08BA2" w14:textId="77777777" w:rsidR="008F0B07" w:rsidRDefault="008F0B07" w:rsidP="008F0B07">
            <w:pPr>
              <w:spacing w:before="20" w:afterLines="20" w:after="48"/>
              <w:rPr>
                <w:rFonts w:cs="Segoe UI"/>
              </w:rPr>
            </w:pPr>
            <w:r>
              <w:rPr>
                <w:rFonts w:cs="Segoe UI"/>
              </w:rPr>
              <w:t>CR</w:t>
            </w:r>
          </w:p>
        </w:tc>
        <w:tc>
          <w:tcPr>
            <w:tcW w:w="7796" w:type="dxa"/>
          </w:tcPr>
          <w:p w14:paraId="00E989BE" w14:textId="77777777" w:rsidR="008F0B07" w:rsidRDefault="008F0B07" w:rsidP="008F0B07">
            <w:pPr>
              <w:spacing w:before="20" w:afterLines="20" w:after="48"/>
              <w:rPr>
                <w:rFonts w:cs="Segoe UI"/>
              </w:rPr>
            </w:pPr>
            <w:r>
              <w:rPr>
                <w:rFonts w:cs="Segoe UI"/>
              </w:rPr>
              <w:t>Cestovní ruch</w:t>
            </w:r>
          </w:p>
        </w:tc>
      </w:tr>
      <w:tr w:rsidR="008F0B07" w14:paraId="3092A259" w14:textId="77777777" w:rsidTr="00E37D33">
        <w:tc>
          <w:tcPr>
            <w:tcW w:w="1668" w:type="dxa"/>
          </w:tcPr>
          <w:p w14:paraId="6BA069E2" w14:textId="77777777" w:rsidR="008F0B07" w:rsidRDefault="008F0B07" w:rsidP="008F0B07">
            <w:pPr>
              <w:spacing w:before="20" w:afterLines="20" w:after="48"/>
              <w:rPr>
                <w:rFonts w:cs="Segoe UI"/>
              </w:rPr>
            </w:pPr>
            <w:r>
              <w:rPr>
                <w:rFonts w:cs="Segoe UI"/>
              </w:rPr>
              <w:t>CZT</w:t>
            </w:r>
          </w:p>
        </w:tc>
        <w:tc>
          <w:tcPr>
            <w:tcW w:w="7796" w:type="dxa"/>
          </w:tcPr>
          <w:p w14:paraId="040AE227" w14:textId="77777777" w:rsidR="008F0B07" w:rsidRDefault="008F0B07" w:rsidP="008F0B07">
            <w:pPr>
              <w:spacing w:before="20" w:afterLines="20" w:after="48"/>
              <w:rPr>
                <w:rFonts w:cs="Segoe UI"/>
              </w:rPr>
            </w:pPr>
            <w:r>
              <w:rPr>
                <w:rFonts w:cs="Segoe UI"/>
              </w:rPr>
              <w:t>Centrální zásobování teplem</w:t>
            </w:r>
          </w:p>
        </w:tc>
      </w:tr>
      <w:tr w:rsidR="00296C7E" w14:paraId="2D482EAA" w14:textId="77777777" w:rsidTr="00E37D33">
        <w:tc>
          <w:tcPr>
            <w:tcW w:w="1668" w:type="dxa"/>
          </w:tcPr>
          <w:p w14:paraId="2C7C58DD" w14:textId="05552BA0" w:rsidR="00296C7E" w:rsidRDefault="00296C7E" w:rsidP="008F0B07">
            <w:pPr>
              <w:spacing w:before="20" w:afterLines="20" w:after="48"/>
              <w:rPr>
                <w:rFonts w:cs="Segoe UI"/>
              </w:rPr>
            </w:pPr>
            <w:r>
              <w:rPr>
                <w:rFonts w:cs="Segoe UI"/>
              </w:rPr>
              <w:t>ČHMÚ</w:t>
            </w:r>
          </w:p>
        </w:tc>
        <w:tc>
          <w:tcPr>
            <w:tcW w:w="7796" w:type="dxa"/>
          </w:tcPr>
          <w:p w14:paraId="3969DCCB" w14:textId="0FFBD386" w:rsidR="00296C7E" w:rsidRDefault="00296C7E" w:rsidP="008F0B07">
            <w:pPr>
              <w:spacing w:before="20" w:afterLines="20" w:after="48"/>
              <w:rPr>
                <w:rFonts w:cs="Segoe UI"/>
              </w:rPr>
            </w:pPr>
            <w:r>
              <w:rPr>
                <w:rFonts w:cs="Segoe UI"/>
              </w:rPr>
              <w:t>Český hydrometeorologický ústav</w:t>
            </w:r>
          </w:p>
        </w:tc>
      </w:tr>
      <w:tr w:rsidR="008F0B07" w14:paraId="0C5496E8" w14:textId="77777777" w:rsidTr="00E37D33">
        <w:tc>
          <w:tcPr>
            <w:tcW w:w="1668" w:type="dxa"/>
          </w:tcPr>
          <w:p w14:paraId="046B024F" w14:textId="77777777" w:rsidR="008F0B07" w:rsidRDefault="008F0B07" w:rsidP="008F0B07">
            <w:pPr>
              <w:spacing w:before="20" w:afterLines="20" w:after="48"/>
              <w:rPr>
                <w:rFonts w:cs="Segoe UI"/>
              </w:rPr>
            </w:pPr>
            <w:r>
              <w:rPr>
                <w:rFonts w:cs="Segoe UI"/>
              </w:rPr>
              <w:t>ČNB</w:t>
            </w:r>
          </w:p>
        </w:tc>
        <w:tc>
          <w:tcPr>
            <w:tcW w:w="7796" w:type="dxa"/>
          </w:tcPr>
          <w:p w14:paraId="1844393D" w14:textId="77777777" w:rsidR="008F0B07" w:rsidRDefault="008F0B07" w:rsidP="008F0B07">
            <w:pPr>
              <w:spacing w:before="20" w:afterLines="20" w:after="48"/>
              <w:rPr>
                <w:rFonts w:cs="Segoe UI"/>
              </w:rPr>
            </w:pPr>
            <w:r>
              <w:rPr>
                <w:rFonts w:cs="Segoe UI"/>
              </w:rPr>
              <w:t>Česká národní banka</w:t>
            </w:r>
          </w:p>
        </w:tc>
      </w:tr>
      <w:tr w:rsidR="008F0B07" w14:paraId="73E33E8F" w14:textId="77777777" w:rsidTr="00E37D33">
        <w:tc>
          <w:tcPr>
            <w:tcW w:w="1668" w:type="dxa"/>
          </w:tcPr>
          <w:p w14:paraId="242DE92C" w14:textId="77777777" w:rsidR="008F0B07" w:rsidRDefault="008F0B07" w:rsidP="008F0B07">
            <w:pPr>
              <w:spacing w:before="20" w:afterLines="20" w:after="48"/>
              <w:rPr>
                <w:rFonts w:cs="Segoe UI"/>
              </w:rPr>
            </w:pPr>
            <w:r>
              <w:rPr>
                <w:rFonts w:cs="Segoe UI"/>
              </w:rPr>
              <w:t>ČOV</w:t>
            </w:r>
          </w:p>
        </w:tc>
        <w:tc>
          <w:tcPr>
            <w:tcW w:w="7796" w:type="dxa"/>
          </w:tcPr>
          <w:p w14:paraId="1056FAE1" w14:textId="77777777" w:rsidR="008F0B07" w:rsidRDefault="008F0B07" w:rsidP="008F0B07">
            <w:pPr>
              <w:spacing w:before="20" w:afterLines="20" w:after="48"/>
              <w:rPr>
                <w:rFonts w:cs="Segoe UI"/>
              </w:rPr>
            </w:pPr>
            <w:r>
              <w:rPr>
                <w:rFonts w:cs="Segoe UI"/>
              </w:rPr>
              <w:t>Čistírna odpadních vod</w:t>
            </w:r>
          </w:p>
        </w:tc>
      </w:tr>
      <w:tr w:rsidR="008F0B07" w14:paraId="65230966" w14:textId="77777777" w:rsidTr="00E37D33">
        <w:tc>
          <w:tcPr>
            <w:tcW w:w="1668" w:type="dxa"/>
          </w:tcPr>
          <w:p w14:paraId="6FE3F652" w14:textId="77777777" w:rsidR="008F0B07" w:rsidRDefault="008F0B07" w:rsidP="008F0B07">
            <w:pPr>
              <w:spacing w:before="20" w:afterLines="20" w:after="48"/>
              <w:rPr>
                <w:rFonts w:cs="Segoe UI"/>
              </w:rPr>
            </w:pPr>
            <w:r>
              <w:rPr>
                <w:rFonts w:cs="Segoe UI"/>
              </w:rPr>
              <w:t>ČR</w:t>
            </w:r>
          </w:p>
        </w:tc>
        <w:tc>
          <w:tcPr>
            <w:tcW w:w="7796" w:type="dxa"/>
          </w:tcPr>
          <w:p w14:paraId="176DAA18" w14:textId="77777777" w:rsidR="008F0B07" w:rsidRDefault="008F0B07" w:rsidP="008F0B07">
            <w:pPr>
              <w:spacing w:before="20" w:afterLines="20" w:after="48"/>
              <w:rPr>
                <w:rFonts w:cs="Segoe UI"/>
              </w:rPr>
            </w:pPr>
            <w:r>
              <w:rPr>
                <w:rFonts w:cs="Segoe UI"/>
              </w:rPr>
              <w:t>Česká republika</w:t>
            </w:r>
          </w:p>
        </w:tc>
      </w:tr>
      <w:tr w:rsidR="008F0B07" w14:paraId="6B158599" w14:textId="77777777" w:rsidTr="00E37D33">
        <w:tc>
          <w:tcPr>
            <w:tcW w:w="1668" w:type="dxa"/>
            <w:hideMark/>
          </w:tcPr>
          <w:p w14:paraId="0C2C6E1E" w14:textId="77777777" w:rsidR="008F0B07" w:rsidRDefault="008F0B07" w:rsidP="008F0B07">
            <w:pPr>
              <w:spacing w:before="20" w:afterLines="20" w:after="48"/>
              <w:rPr>
                <w:rFonts w:cs="Segoe UI"/>
              </w:rPr>
            </w:pPr>
            <w:r>
              <w:rPr>
                <w:rFonts w:cs="Segoe UI"/>
              </w:rPr>
              <w:t>ČSÚ</w:t>
            </w:r>
          </w:p>
        </w:tc>
        <w:tc>
          <w:tcPr>
            <w:tcW w:w="7796" w:type="dxa"/>
            <w:hideMark/>
          </w:tcPr>
          <w:p w14:paraId="1F892322" w14:textId="77777777" w:rsidR="008F0B07" w:rsidRDefault="008F0B07" w:rsidP="008F0B07">
            <w:pPr>
              <w:spacing w:before="20" w:afterLines="20" w:after="48"/>
              <w:rPr>
                <w:rFonts w:cs="Segoe UI"/>
              </w:rPr>
            </w:pPr>
            <w:r>
              <w:rPr>
                <w:rFonts w:cs="Segoe UI"/>
              </w:rPr>
              <w:t>Český statistický úřad</w:t>
            </w:r>
          </w:p>
        </w:tc>
      </w:tr>
      <w:tr w:rsidR="008F0B07" w14:paraId="7A94E11C" w14:textId="77777777" w:rsidTr="00E37D33">
        <w:tc>
          <w:tcPr>
            <w:tcW w:w="1668" w:type="dxa"/>
            <w:hideMark/>
          </w:tcPr>
          <w:p w14:paraId="33B32BE7" w14:textId="77777777" w:rsidR="008F0B07" w:rsidRDefault="008F0B07" w:rsidP="008F0B07">
            <w:pPr>
              <w:spacing w:before="20" w:afterLines="20" w:after="48"/>
              <w:rPr>
                <w:rFonts w:cs="Segoe UI"/>
              </w:rPr>
            </w:pPr>
            <w:r>
              <w:rPr>
                <w:rFonts w:cs="Segoe UI"/>
              </w:rPr>
              <w:t>ČÚZK</w:t>
            </w:r>
          </w:p>
        </w:tc>
        <w:tc>
          <w:tcPr>
            <w:tcW w:w="7796" w:type="dxa"/>
            <w:hideMark/>
          </w:tcPr>
          <w:p w14:paraId="7BA8175A" w14:textId="77777777" w:rsidR="008F0B07" w:rsidRDefault="008F0B07" w:rsidP="008F0B07">
            <w:pPr>
              <w:spacing w:before="20" w:afterLines="20" w:after="48"/>
              <w:rPr>
                <w:rFonts w:cs="Segoe UI"/>
              </w:rPr>
            </w:pPr>
            <w:r>
              <w:rPr>
                <w:rFonts w:cs="Segoe UI"/>
              </w:rPr>
              <w:t>Český úřad zeměměřičský a katastrální</w:t>
            </w:r>
          </w:p>
        </w:tc>
      </w:tr>
      <w:tr w:rsidR="008F0B07" w14:paraId="738DC744" w14:textId="77777777" w:rsidTr="00E37D33">
        <w:tc>
          <w:tcPr>
            <w:tcW w:w="1668" w:type="dxa"/>
          </w:tcPr>
          <w:p w14:paraId="65235CC6" w14:textId="6676AB63" w:rsidR="008F0B07" w:rsidRDefault="008F0B07" w:rsidP="008F0B07">
            <w:pPr>
              <w:spacing w:before="20" w:afterLines="20" w:after="48"/>
              <w:rPr>
                <w:rFonts w:cs="Segoe UI"/>
              </w:rPr>
            </w:pPr>
            <w:r>
              <w:t>DBKIS</w:t>
            </w:r>
          </w:p>
        </w:tc>
        <w:tc>
          <w:tcPr>
            <w:tcW w:w="7796" w:type="dxa"/>
          </w:tcPr>
          <w:p w14:paraId="18AB028E" w14:textId="7199E7C1" w:rsidR="008F0B07" w:rsidRDefault="008F0B07" w:rsidP="008F0B07">
            <w:pPr>
              <w:spacing w:before="20" w:afterLines="20" w:after="48"/>
              <w:rPr>
                <w:rFonts w:cs="Segoe UI"/>
              </w:rPr>
            </w:pPr>
            <w:r>
              <w:t>Dopravně-bezpečnostní kamerový informační systém</w:t>
            </w:r>
          </w:p>
        </w:tc>
      </w:tr>
      <w:tr w:rsidR="00296C7E" w14:paraId="372E16E9" w14:textId="77777777" w:rsidTr="00E37D33">
        <w:tc>
          <w:tcPr>
            <w:tcW w:w="1668" w:type="dxa"/>
          </w:tcPr>
          <w:p w14:paraId="49D1B1F7" w14:textId="54EDCD01" w:rsidR="00296C7E" w:rsidRDefault="00296C7E" w:rsidP="008F0B07">
            <w:pPr>
              <w:spacing w:before="20" w:afterLines="20" w:after="48"/>
            </w:pPr>
            <w:r>
              <w:t>DDM</w:t>
            </w:r>
          </w:p>
        </w:tc>
        <w:tc>
          <w:tcPr>
            <w:tcW w:w="7796" w:type="dxa"/>
          </w:tcPr>
          <w:p w14:paraId="0CA5294D" w14:textId="0FFC04A2" w:rsidR="00296C7E" w:rsidRDefault="00296C7E" w:rsidP="008F0B07">
            <w:pPr>
              <w:spacing w:before="20" w:afterLines="20" w:after="48"/>
            </w:pPr>
            <w:r>
              <w:t>Dům dětí a mládeže</w:t>
            </w:r>
          </w:p>
        </w:tc>
      </w:tr>
      <w:tr w:rsidR="008F0B07" w14:paraId="308D5FB0" w14:textId="77777777" w:rsidTr="00E37D33">
        <w:tc>
          <w:tcPr>
            <w:tcW w:w="1668" w:type="dxa"/>
            <w:vAlign w:val="bottom"/>
          </w:tcPr>
          <w:p w14:paraId="3C8CF478"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DnB</w:t>
            </w:r>
          </w:p>
        </w:tc>
        <w:tc>
          <w:tcPr>
            <w:tcW w:w="7796" w:type="dxa"/>
            <w:vAlign w:val="bottom"/>
          </w:tcPr>
          <w:p w14:paraId="068B7ED5"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Doplatek na bydlení</w:t>
            </w:r>
          </w:p>
        </w:tc>
      </w:tr>
      <w:tr w:rsidR="008F0B07" w14:paraId="40AAADE3" w14:textId="77777777" w:rsidTr="00E37D33">
        <w:tc>
          <w:tcPr>
            <w:tcW w:w="1668" w:type="dxa"/>
          </w:tcPr>
          <w:p w14:paraId="3A9CA028" w14:textId="77777777" w:rsidR="008F0B07" w:rsidRDefault="008F0B07" w:rsidP="008F0B07">
            <w:pPr>
              <w:spacing w:before="20" w:afterLines="20" w:after="48"/>
              <w:rPr>
                <w:rFonts w:cs="Segoe UI"/>
              </w:rPr>
            </w:pPr>
            <w:r>
              <w:rPr>
                <w:rFonts w:cs="Segoe UI"/>
              </w:rPr>
              <w:t>EU</w:t>
            </w:r>
          </w:p>
        </w:tc>
        <w:tc>
          <w:tcPr>
            <w:tcW w:w="7796" w:type="dxa"/>
          </w:tcPr>
          <w:p w14:paraId="25B8E15F" w14:textId="77777777" w:rsidR="008F0B07" w:rsidRDefault="008F0B07" w:rsidP="008F0B07">
            <w:pPr>
              <w:spacing w:before="20" w:afterLines="20" w:after="48"/>
              <w:rPr>
                <w:rFonts w:cs="Segoe UI"/>
              </w:rPr>
            </w:pPr>
            <w:r>
              <w:rPr>
                <w:rFonts w:cs="Segoe UI"/>
              </w:rPr>
              <w:t>Evropská unie</w:t>
            </w:r>
          </w:p>
        </w:tc>
      </w:tr>
      <w:tr w:rsidR="008F0B07" w14:paraId="08C3070E" w14:textId="77777777" w:rsidTr="00E37D33">
        <w:tc>
          <w:tcPr>
            <w:tcW w:w="1668" w:type="dxa"/>
          </w:tcPr>
          <w:p w14:paraId="6EDDB607" w14:textId="77777777" w:rsidR="008F0B07" w:rsidRDefault="008F0B07" w:rsidP="008F0B07">
            <w:pPr>
              <w:spacing w:before="20" w:afterLines="20" w:after="48"/>
              <w:rPr>
                <w:rFonts w:cs="Segoe UI"/>
              </w:rPr>
            </w:pPr>
            <w:r>
              <w:rPr>
                <w:rFonts w:cs="Segoe UI"/>
              </w:rPr>
              <w:t>FUA</w:t>
            </w:r>
          </w:p>
        </w:tc>
        <w:tc>
          <w:tcPr>
            <w:tcW w:w="7796" w:type="dxa"/>
          </w:tcPr>
          <w:p w14:paraId="4A9D1F35" w14:textId="77777777" w:rsidR="008F0B07" w:rsidRDefault="008F0B07" w:rsidP="008F0B07">
            <w:pPr>
              <w:spacing w:before="20" w:afterLines="20" w:after="48"/>
              <w:rPr>
                <w:rFonts w:cs="Segoe UI"/>
              </w:rPr>
            </w:pPr>
            <w:r>
              <w:rPr>
                <w:rFonts w:cs="Segoe UI"/>
              </w:rPr>
              <w:t>Funkční městská oblast (z anglického Functional Urban Area)</w:t>
            </w:r>
          </w:p>
        </w:tc>
      </w:tr>
      <w:tr w:rsidR="00672892" w14:paraId="66B5E8DC" w14:textId="77777777" w:rsidTr="00E37D33">
        <w:tc>
          <w:tcPr>
            <w:tcW w:w="1668" w:type="dxa"/>
          </w:tcPr>
          <w:p w14:paraId="6004ACF0" w14:textId="5E096472" w:rsidR="00672892" w:rsidRDefault="00672892" w:rsidP="008F0B07">
            <w:pPr>
              <w:spacing w:before="20" w:afterLines="20" w:after="48"/>
              <w:rPr>
                <w:rFonts w:cs="Segoe UI"/>
              </w:rPr>
            </w:pPr>
            <w:r>
              <w:rPr>
                <w:rFonts w:cs="Segoe UI"/>
              </w:rPr>
              <w:t>GIS</w:t>
            </w:r>
          </w:p>
        </w:tc>
        <w:tc>
          <w:tcPr>
            <w:tcW w:w="7796" w:type="dxa"/>
          </w:tcPr>
          <w:p w14:paraId="2E6B5558" w14:textId="771AF2A5" w:rsidR="00672892" w:rsidRDefault="00672892" w:rsidP="008F0B07">
            <w:pPr>
              <w:spacing w:before="20" w:afterLines="20" w:after="48"/>
              <w:rPr>
                <w:rFonts w:cs="Segoe UI"/>
              </w:rPr>
            </w:pPr>
            <w:r>
              <w:rPr>
                <w:rFonts w:cs="Segoe UI"/>
              </w:rPr>
              <w:t>Geoinformační systémy</w:t>
            </w:r>
          </w:p>
        </w:tc>
      </w:tr>
      <w:tr w:rsidR="008F0B07" w14:paraId="6CC1CF02" w14:textId="77777777" w:rsidTr="00E37D33">
        <w:tc>
          <w:tcPr>
            <w:tcW w:w="1668" w:type="dxa"/>
            <w:vAlign w:val="bottom"/>
          </w:tcPr>
          <w:p w14:paraId="3CF24C8C"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HN</w:t>
            </w:r>
          </w:p>
        </w:tc>
        <w:tc>
          <w:tcPr>
            <w:tcW w:w="7796" w:type="dxa"/>
            <w:vAlign w:val="bottom"/>
          </w:tcPr>
          <w:p w14:paraId="366F73FF"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Hmotná nouze</w:t>
            </w:r>
          </w:p>
        </w:tc>
      </w:tr>
      <w:tr w:rsidR="008F0B07" w14:paraId="783AFC3F" w14:textId="77777777" w:rsidTr="00E60FC1">
        <w:tc>
          <w:tcPr>
            <w:tcW w:w="1668" w:type="dxa"/>
          </w:tcPr>
          <w:p w14:paraId="43D7BAED" w14:textId="66D56C75" w:rsidR="008F0B07" w:rsidRPr="004D13E4" w:rsidRDefault="008F0B07" w:rsidP="008F0B07">
            <w:pPr>
              <w:spacing w:before="0"/>
              <w:jc w:val="left"/>
              <w:rPr>
                <w:rFonts w:ascii="Calibri" w:eastAsia="Times New Roman" w:hAnsi="Calibri" w:cs="Segoe UI"/>
                <w:color w:val="000000"/>
                <w:lang w:eastAsia="cs-CZ"/>
              </w:rPr>
            </w:pPr>
            <w:r>
              <w:rPr>
                <w:rFonts w:cs="Segoe UI"/>
              </w:rPr>
              <w:t>HPH</w:t>
            </w:r>
          </w:p>
        </w:tc>
        <w:tc>
          <w:tcPr>
            <w:tcW w:w="7796" w:type="dxa"/>
          </w:tcPr>
          <w:p w14:paraId="462AEFB6" w14:textId="24AEAC6E" w:rsidR="008F0B07" w:rsidRPr="004D13E4" w:rsidRDefault="008F0B07" w:rsidP="008F0B07">
            <w:pPr>
              <w:spacing w:before="0"/>
              <w:jc w:val="left"/>
              <w:rPr>
                <w:rFonts w:ascii="Calibri" w:eastAsia="Times New Roman" w:hAnsi="Calibri" w:cs="Segoe UI"/>
                <w:color w:val="000000"/>
                <w:lang w:eastAsia="cs-CZ"/>
              </w:rPr>
            </w:pPr>
            <w:r>
              <w:t>H</w:t>
            </w:r>
            <w:r w:rsidRPr="00BC6DCE">
              <w:t>rub</w:t>
            </w:r>
            <w:r>
              <w:t>á</w:t>
            </w:r>
            <w:r w:rsidRPr="00BC6DCE">
              <w:t xml:space="preserve"> přidan</w:t>
            </w:r>
            <w:r>
              <w:t>á</w:t>
            </w:r>
            <w:r w:rsidRPr="00BC6DCE">
              <w:t xml:space="preserve"> hodnot</w:t>
            </w:r>
            <w:r>
              <w:t>a</w:t>
            </w:r>
          </w:p>
        </w:tc>
      </w:tr>
      <w:tr w:rsidR="008F0B07" w14:paraId="32364EE3" w14:textId="77777777" w:rsidTr="00E60FC1">
        <w:tc>
          <w:tcPr>
            <w:tcW w:w="1668" w:type="dxa"/>
          </w:tcPr>
          <w:p w14:paraId="07DDF971" w14:textId="6BB9F148" w:rsidR="008F0B07" w:rsidRDefault="008F0B07" w:rsidP="008F0B07">
            <w:pPr>
              <w:spacing w:before="0"/>
              <w:jc w:val="left"/>
              <w:rPr>
                <w:rFonts w:cs="Segoe UI"/>
              </w:rPr>
            </w:pPr>
            <w:r>
              <w:rPr>
                <w:rFonts w:cs="Segoe UI"/>
              </w:rPr>
              <w:t>HUZ</w:t>
            </w:r>
          </w:p>
        </w:tc>
        <w:tc>
          <w:tcPr>
            <w:tcW w:w="7796" w:type="dxa"/>
          </w:tcPr>
          <w:p w14:paraId="69B725E9" w14:textId="576A58C8" w:rsidR="008F0B07" w:rsidRDefault="008F0B07" w:rsidP="008F0B07">
            <w:pPr>
              <w:spacing w:before="0"/>
              <w:jc w:val="left"/>
            </w:pPr>
            <w:r>
              <w:rPr>
                <w:rFonts w:cs="Segoe UI"/>
              </w:rPr>
              <w:t>Hromadné ubytovací zařízení</w:t>
            </w:r>
          </w:p>
        </w:tc>
      </w:tr>
      <w:tr w:rsidR="008F0B07" w14:paraId="77D962E6" w14:textId="77777777" w:rsidTr="00E60FC1">
        <w:tc>
          <w:tcPr>
            <w:tcW w:w="1668" w:type="dxa"/>
          </w:tcPr>
          <w:p w14:paraId="3D8674B3" w14:textId="130975EA" w:rsidR="008F0B07" w:rsidRPr="004D13E4" w:rsidRDefault="008F0B07" w:rsidP="008F0B07">
            <w:pPr>
              <w:spacing w:before="0"/>
              <w:jc w:val="left"/>
              <w:rPr>
                <w:rFonts w:ascii="Calibri" w:eastAsia="Times New Roman" w:hAnsi="Calibri" w:cs="Segoe UI"/>
                <w:color w:val="000000"/>
                <w:lang w:eastAsia="cs-CZ"/>
              </w:rPr>
            </w:pPr>
            <w:r>
              <w:rPr>
                <w:rFonts w:cs="Segoe UI"/>
              </w:rPr>
              <w:t>HZS</w:t>
            </w:r>
          </w:p>
        </w:tc>
        <w:tc>
          <w:tcPr>
            <w:tcW w:w="7796" w:type="dxa"/>
          </w:tcPr>
          <w:p w14:paraId="6A37C04E" w14:textId="6CFD4794" w:rsidR="008F0B07" w:rsidRPr="004D13E4" w:rsidRDefault="008F0B07" w:rsidP="008F0B07">
            <w:pPr>
              <w:spacing w:before="0"/>
              <w:jc w:val="left"/>
              <w:rPr>
                <w:rFonts w:ascii="Calibri" w:eastAsia="Times New Roman" w:hAnsi="Calibri" w:cs="Segoe UI"/>
                <w:color w:val="000000"/>
                <w:lang w:eastAsia="cs-CZ"/>
              </w:rPr>
            </w:pPr>
            <w:r>
              <w:rPr>
                <w:rFonts w:cs="Segoe UI"/>
              </w:rPr>
              <w:t>Hasičský záchranný sbor</w:t>
            </w:r>
          </w:p>
        </w:tc>
      </w:tr>
      <w:tr w:rsidR="00296C7E" w14:paraId="63F8EE1F" w14:textId="77777777" w:rsidTr="00E60FC1">
        <w:tc>
          <w:tcPr>
            <w:tcW w:w="1668" w:type="dxa"/>
          </w:tcPr>
          <w:p w14:paraId="7FD97ECB" w14:textId="662EA169" w:rsidR="00296C7E" w:rsidRDefault="00296C7E" w:rsidP="008F0B07">
            <w:pPr>
              <w:spacing w:before="0"/>
              <w:jc w:val="left"/>
              <w:rPr>
                <w:rFonts w:cs="Segoe UI"/>
              </w:rPr>
            </w:pPr>
            <w:r>
              <w:rPr>
                <w:rFonts w:cs="Segoe UI"/>
              </w:rPr>
              <w:t>IAD</w:t>
            </w:r>
          </w:p>
        </w:tc>
        <w:tc>
          <w:tcPr>
            <w:tcW w:w="7796" w:type="dxa"/>
          </w:tcPr>
          <w:p w14:paraId="55E24188" w14:textId="7C53DAE0" w:rsidR="00296C7E" w:rsidRDefault="00296C7E" w:rsidP="008F0B07">
            <w:pPr>
              <w:spacing w:before="0"/>
              <w:jc w:val="left"/>
              <w:rPr>
                <w:rFonts w:cs="Segoe UI"/>
              </w:rPr>
            </w:pPr>
            <w:r>
              <w:rPr>
                <w:rFonts w:cs="Segoe UI"/>
              </w:rPr>
              <w:t>Individuální automobilová doprava</w:t>
            </w:r>
          </w:p>
        </w:tc>
      </w:tr>
      <w:tr w:rsidR="008F0B07" w14:paraId="0C570B24" w14:textId="77777777" w:rsidTr="00E60FC1">
        <w:tc>
          <w:tcPr>
            <w:tcW w:w="1668" w:type="dxa"/>
          </w:tcPr>
          <w:p w14:paraId="0B8B9809" w14:textId="7F204E7F" w:rsidR="008F0B07" w:rsidRDefault="008F0B07" w:rsidP="008F0B07">
            <w:pPr>
              <w:spacing w:before="0"/>
              <w:jc w:val="left"/>
              <w:rPr>
                <w:rFonts w:cs="Segoe UI"/>
              </w:rPr>
            </w:pPr>
            <w:r>
              <w:rPr>
                <w:rFonts w:cs="Segoe UI"/>
              </w:rPr>
              <w:t>ICT</w:t>
            </w:r>
          </w:p>
        </w:tc>
        <w:tc>
          <w:tcPr>
            <w:tcW w:w="7796" w:type="dxa"/>
          </w:tcPr>
          <w:p w14:paraId="0554413A" w14:textId="15705B7F" w:rsidR="008F0B07" w:rsidRDefault="008F0B07" w:rsidP="008F0B07">
            <w:pPr>
              <w:spacing w:before="0"/>
              <w:jc w:val="left"/>
              <w:rPr>
                <w:rFonts w:cs="Segoe UI"/>
              </w:rPr>
            </w:pPr>
            <w:r w:rsidRPr="00B314BE">
              <w:rPr>
                <w:rFonts w:cs="Segoe UI"/>
              </w:rPr>
              <w:t>Informační a komunikační technologie</w:t>
            </w:r>
          </w:p>
        </w:tc>
      </w:tr>
      <w:tr w:rsidR="008F0B07" w14:paraId="7EC71FEF" w14:textId="77777777" w:rsidTr="00E60FC1">
        <w:tc>
          <w:tcPr>
            <w:tcW w:w="1668" w:type="dxa"/>
          </w:tcPr>
          <w:p w14:paraId="09A1BD4B" w14:textId="1272C645" w:rsidR="008F0B07" w:rsidRDefault="008F0B07" w:rsidP="008F0B07">
            <w:pPr>
              <w:spacing w:before="0"/>
              <w:jc w:val="left"/>
              <w:rPr>
                <w:rFonts w:cs="Segoe UI"/>
              </w:rPr>
            </w:pPr>
            <w:r>
              <w:rPr>
                <w:rFonts w:cs="Segoe UI"/>
              </w:rPr>
              <w:t>IG</w:t>
            </w:r>
          </w:p>
        </w:tc>
        <w:tc>
          <w:tcPr>
            <w:tcW w:w="7796" w:type="dxa"/>
          </w:tcPr>
          <w:p w14:paraId="1CE7AC3B" w14:textId="582D0235" w:rsidR="008F0B07" w:rsidRDefault="008F0B07" w:rsidP="008F0B07">
            <w:pPr>
              <w:spacing w:before="0"/>
              <w:jc w:val="left"/>
              <w:rPr>
                <w:rFonts w:cs="Segoe UI"/>
              </w:rPr>
            </w:pPr>
            <w:r>
              <w:rPr>
                <w:rFonts w:cs="Segoe UI"/>
              </w:rPr>
              <w:t>Instagram</w:t>
            </w:r>
          </w:p>
        </w:tc>
      </w:tr>
      <w:tr w:rsidR="008F0B07" w14:paraId="0BF9ED78" w14:textId="77777777" w:rsidTr="00E60FC1">
        <w:tc>
          <w:tcPr>
            <w:tcW w:w="1668" w:type="dxa"/>
          </w:tcPr>
          <w:p w14:paraId="3343D7C7" w14:textId="553ACAEA" w:rsidR="008F0B07" w:rsidRPr="004D13E4" w:rsidRDefault="008F0B07" w:rsidP="008F0B07">
            <w:pPr>
              <w:spacing w:before="0"/>
              <w:jc w:val="left"/>
              <w:rPr>
                <w:rFonts w:ascii="Calibri" w:eastAsia="Times New Roman" w:hAnsi="Calibri" w:cs="Segoe UI"/>
                <w:color w:val="000000"/>
                <w:lang w:eastAsia="cs-CZ"/>
              </w:rPr>
            </w:pPr>
            <w:r>
              <w:rPr>
                <w:rFonts w:cs="Segoe UI"/>
              </w:rPr>
              <w:t>IKAP</w:t>
            </w:r>
          </w:p>
        </w:tc>
        <w:tc>
          <w:tcPr>
            <w:tcW w:w="7796" w:type="dxa"/>
          </w:tcPr>
          <w:p w14:paraId="4CB9B8F8" w14:textId="4B876785" w:rsidR="008F0B07" w:rsidRPr="004D13E4" w:rsidRDefault="008F0B07" w:rsidP="008F0B07">
            <w:pPr>
              <w:spacing w:before="0"/>
              <w:jc w:val="left"/>
              <w:rPr>
                <w:rFonts w:ascii="Calibri" w:eastAsia="Times New Roman" w:hAnsi="Calibri" w:cs="Segoe UI"/>
                <w:color w:val="000000"/>
                <w:lang w:eastAsia="cs-CZ"/>
              </w:rPr>
            </w:pPr>
            <w:r>
              <w:t xml:space="preserve">Implementace krajského akčního plánu </w:t>
            </w:r>
          </w:p>
        </w:tc>
      </w:tr>
      <w:tr w:rsidR="00672892" w14:paraId="76B8C00D" w14:textId="77777777" w:rsidTr="00E60FC1">
        <w:tc>
          <w:tcPr>
            <w:tcW w:w="1668" w:type="dxa"/>
          </w:tcPr>
          <w:p w14:paraId="6160A3BB" w14:textId="7318FC33" w:rsidR="00672892" w:rsidRDefault="00672892" w:rsidP="008F0B07">
            <w:pPr>
              <w:spacing w:before="0"/>
              <w:jc w:val="left"/>
              <w:rPr>
                <w:rFonts w:cs="Segoe UI"/>
              </w:rPr>
            </w:pPr>
            <w:r>
              <w:rPr>
                <w:rFonts w:cs="Segoe UI"/>
              </w:rPr>
              <w:t>IKT</w:t>
            </w:r>
          </w:p>
        </w:tc>
        <w:tc>
          <w:tcPr>
            <w:tcW w:w="7796" w:type="dxa"/>
          </w:tcPr>
          <w:p w14:paraId="537626BB" w14:textId="54C75D68" w:rsidR="00672892" w:rsidRDefault="00672892" w:rsidP="008F0B07">
            <w:pPr>
              <w:spacing w:before="0"/>
              <w:jc w:val="left"/>
            </w:pPr>
            <w:r>
              <w:t>Informační a komunikační technologie</w:t>
            </w:r>
          </w:p>
        </w:tc>
      </w:tr>
      <w:tr w:rsidR="00296C7E" w14:paraId="5955CF4A" w14:textId="77777777" w:rsidTr="00E60FC1">
        <w:tc>
          <w:tcPr>
            <w:tcW w:w="1668" w:type="dxa"/>
          </w:tcPr>
          <w:p w14:paraId="4C32435D" w14:textId="57179A5C" w:rsidR="00296C7E" w:rsidRDefault="00296C7E" w:rsidP="008F0B07">
            <w:pPr>
              <w:spacing w:before="0"/>
              <w:jc w:val="left"/>
              <w:rPr>
                <w:rFonts w:cs="Segoe UI"/>
              </w:rPr>
            </w:pPr>
            <w:r>
              <w:rPr>
                <w:rFonts w:cs="Segoe UI"/>
              </w:rPr>
              <w:t>IROP</w:t>
            </w:r>
          </w:p>
        </w:tc>
        <w:tc>
          <w:tcPr>
            <w:tcW w:w="7796" w:type="dxa"/>
          </w:tcPr>
          <w:p w14:paraId="3F4F1E9A" w14:textId="1CFEF3B4" w:rsidR="00296C7E" w:rsidRDefault="00296C7E" w:rsidP="008F0B07">
            <w:pPr>
              <w:spacing w:before="0"/>
              <w:jc w:val="left"/>
            </w:pPr>
            <w:r>
              <w:t>Integrovaný regionální operační program</w:t>
            </w:r>
          </w:p>
        </w:tc>
      </w:tr>
      <w:tr w:rsidR="008F0B07" w14:paraId="10EBA629" w14:textId="77777777" w:rsidTr="00E60FC1">
        <w:tc>
          <w:tcPr>
            <w:tcW w:w="1668" w:type="dxa"/>
          </w:tcPr>
          <w:p w14:paraId="36ECA9BF" w14:textId="2B4665F4" w:rsidR="008F0B07" w:rsidRDefault="008F0B07" w:rsidP="008F0B07">
            <w:pPr>
              <w:spacing w:before="0"/>
              <w:jc w:val="left"/>
              <w:rPr>
                <w:rFonts w:cs="Segoe UI"/>
              </w:rPr>
            </w:pPr>
            <w:r>
              <w:t>ITI</w:t>
            </w:r>
          </w:p>
        </w:tc>
        <w:tc>
          <w:tcPr>
            <w:tcW w:w="7796" w:type="dxa"/>
          </w:tcPr>
          <w:p w14:paraId="3038DFBA" w14:textId="46C1FA5C" w:rsidR="008F0B07" w:rsidRDefault="008F0B07" w:rsidP="008F0B07">
            <w:pPr>
              <w:spacing w:before="0"/>
              <w:jc w:val="left"/>
            </w:pPr>
            <w:r>
              <w:rPr>
                <w:rFonts w:cs="Segoe UI"/>
              </w:rPr>
              <w:t>Integrované teritoriální investice</w:t>
            </w:r>
          </w:p>
        </w:tc>
      </w:tr>
      <w:tr w:rsidR="008F0B07" w14:paraId="432F39F1" w14:textId="77777777" w:rsidTr="00E37D33">
        <w:tc>
          <w:tcPr>
            <w:tcW w:w="1668" w:type="dxa"/>
          </w:tcPr>
          <w:p w14:paraId="622F639B" w14:textId="77777777" w:rsidR="008F0B07" w:rsidRDefault="008F0B07" w:rsidP="008F0B07">
            <w:pPr>
              <w:spacing w:before="20" w:afterLines="20" w:after="48"/>
              <w:rPr>
                <w:rFonts w:cs="Segoe UI"/>
              </w:rPr>
            </w:pPr>
            <w:r>
              <w:rPr>
                <w:rFonts w:cs="Segoe UI"/>
              </w:rPr>
              <w:t>IRZ</w:t>
            </w:r>
          </w:p>
        </w:tc>
        <w:tc>
          <w:tcPr>
            <w:tcW w:w="7796" w:type="dxa"/>
          </w:tcPr>
          <w:p w14:paraId="4F0D1018" w14:textId="77777777" w:rsidR="008F0B07" w:rsidRDefault="008F0B07" w:rsidP="008F0B07">
            <w:pPr>
              <w:spacing w:before="20" w:afterLines="20" w:after="48"/>
              <w:rPr>
                <w:rFonts w:cs="Segoe UI"/>
              </w:rPr>
            </w:pPr>
            <w:r>
              <w:rPr>
                <w:rFonts w:cs="Segoe UI"/>
              </w:rPr>
              <w:t>Integrovaný registr znečišťování životního prostředí</w:t>
            </w:r>
          </w:p>
        </w:tc>
      </w:tr>
      <w:tr w:rsidR="008F0B07" w14:paraId="26AE3914" w14:textId="77777777" w:rsidTr="00E37D33">
        <w:tc>
          <w:tcPr>
            <w:tcW w:w="1668" w:type="dxa"/>
          </w:tcPr>
          <w:p w14:paraId="05CEA87F" w14:textId="77777777" w:rsidR="008F0B07" w:rsidRDefault="008F0B07" w:rsidP="008F0B07">
            <w:pPr>
              <w:spacing w:before="20" w:afterLines="20" w:after="48"/>
              <w:rPr>
                <w:rFonts w:cs="Segoe UI"/>
              </w:rPr>
            </w:pPr>
            <w:r>
              <w:rPr>
                <w:rFonts w:cs="Segoe UI"/>
              </w:rPr>
              <w:t>IZS</w:t>
            </w:r>
          </w:p>
        </w:tc>
        <w:tc>
          <w:tcPr>
            <w:tcW w:w="7796" w:type="dxa"/>
          </w:tcPr>
          <w:p w14:paraId="6422D0B9" w14:textId="77777777" w:rsidR="008F0B07" w:rsidRDefault="008F0B07" w:rsidP="008F0B07">
            <w:pPr>
              <w:spacing w:before="20" w:afterLines="20" w:after="48"/>
              <w:rPr>
                <w:rFonts w:cs="Segoe UI"/>
              </w:rPr>
            </w:pPr>
            <w:r>
              <w:rPr>
                <w:rFonts w:cs="Segoe UI"/>
              </w:rPr>
              <w:t>Integrovaný záchranný systém</w:t>
            </w:r>
          </w:p>
        </w:tc>
      </w:tr>
      <w:tr w:rsidR="008F0B07" w14:paraId="0AF509C4" w14:textId="77777777" w:rsidTr="00E37D33">
        <w:tc>
          <w:tcPr>
            <w:tcW w:w="1668" w:type="dxa"/>
          </w:tcPr>
          <w:p w14:paraId="1DD06905" w14:textId="248D0A4B" w:rsidR="008F0B07" w:rsidRDefault="008F0B07" w:rsidP="008F0B07">
            <w:pPr>
              <w:spacing w:before="20" w:afterLines="20" w:after="48"/>
              <w:rPr>
                <w:rFonts w:cs="Segoe UI"/>
              </w:rPr>
            </w:pPr>
            <w:r>
              <w:t>JPO</w:t>
            </w:r>
          </w:p>
        </w:tc>
        <w:tc>
          <w:tcPr>
            <w:tcW w:w="7796" w:type="dxa"/>
          </w:tcPr>
          <w:p w14:paraId="5F5996A4" w14:textId="51D09FD5" w:rsidR="008F0B07" w:rsidRDefault="008F0B07" w:rsidP="008F0B07">
            <w:pPr>
              <w:spacing w:before="20" w:afterLines="20" w:after="48"/>
              <w:rPr>
                <w:rFonts w:cs="Segoe UI"/>
              </w:rPr>
            </w:pPr>
            <w:r>
              <w:t>Jednotka požární ochrany</w:t>
            </w:r>
          </w:p>
        </w:tc>
      </w:tr>
      <w:tr w:rsidR="00672892" w14:paraId="5CC5023B" w14:textId="77777777" w:rsidTr="00E37D33">
        <w:tc>
          <w:tcPr>
            <w:tcW w:w="1668" w:type="dxa"/>
          </w:tcPr>
          <w:p w14:paraId="6E78FCAF" w14:textId="6DD47B92" w:rsidR="00672892" w:rsidRDefault="00672892" w:rsidP="008F0B07">
            <w:pPr>
              <w:spacing w:before="20" w:afterLines="20" w:after="48"/>
            </w:pPr>
            <w:r>
              <w:t>JSDH</w:t>
            </w:r>
          </w:p>
        </w:tc>
        <w:tc>
          <w:tcPr>
            <w:tcW w:w="7796" w:type="dxa"/>
          </w:tcPr>
          <w:p w14:paraId="3282BE23" w14:textId="00FCCC9B" w:rsidR="00672892" w:rsidRDefault="00672892" w:rsidP="008F0B07">
            <w:pPr>
              <w:spacing w:before="20" w:afterLines="20" w:after="48"/>
            </w:pPr>
            <w:r>
              <w:t>Jednotka sboru dobrovolných hasičů</w:t>
            </w:r>
          </w:p>
        </w:tc>
      </w:tr>
      <w:tr w:rsidR="00296C7E" w14:paraId="59262DC5" w14:textId="77777777" w:rsidTr="00E37D33">
        <w:tc>
          <w:tcPr>
            <w:tcW w:w="1668" w:type="dxa"/>
          </w:tcPr>
          <w:p w14:paraId="210D4F0D" w14:textId="21CE429C" w:rsidR="00296C7E" w:rsidRPr="00296C7E" w:rsidRDefault="00296C7E" w:rsidP="008F0B07">
            <w:pPr>
              <w:spacing w:before="20" w:afterLines="20" w:after="48"/>
              <w:rPr>
                <w:highlight w:val="yellow"/>
              </w:rPr>
            </w:pPr>
            <w:r w:rsidRPr="00BA092F">
              <w:t>JŘBU</w:t>
            </w:r>
          </w:p>
        </w:tc>
        <w:tc>
          <w:tcPr>
            <w:tcW w:w="7796" w:type="dxa"/>
          </w:tcPr>
          <w:p w14:paraId="169E7CCB" w14:textId="27FA697E" w:rsidR="00296C7E" w:rsidRPr="00296C7E" w:rsidRDefault="00BA092F" w:rsidP="00804AF3">
            <w:pPr>
              <w:spacing w:before="20" w:afterLines="20" w:after="48"/>
              <w:rPr>
                <w:highlight w:val="yellow"/>
              </w:rPr>
            </w:pPr>
            <w:r w:rsidRPr="00BA092F">
              <w:t>Jednací řízení bez uveřejněn</w:t>
            </w:r>
            <w:r w:rsidR="00804AF3">
              <w:t>í</w:t>
            </w:r>
          </w:p>
        </w:tc>
      </w:tr>
      <w:tr w:rsidR="008F0B07" w14:paraId="1F6AE4FB" w14:textId="77777777" w:rsidTr="00E37D33">
        <w:tc>
          <w:tcPr>
            <w:tcW w:w="1668" w:type="dxa"/>
          </w:tcPr>
          <w:p w14:paraId="43EA6F2F" w14:textId="5AE9A6F4" w:rsidR="008F0B07" w:rsidRDefault="008F0B07" w:rsidP="008F0B07">
            <w:pPr>
              <w:spacing w:before="20" w:afterLines="20" w:after="48"/>
              <w:rPr>
                <w:rFonts w:cs="Segoe UI"/>
              </w:rPr>
            </w:pPr>
            <w:r>
              <w:rPr>
                <w:rFonts w:cs="Segoe UI"/>
              </w:rPr>
              <w:t>KAP</w:t>
            </w:r>
          </w:p>
        </w:tc>
        <w:tc>
          <w:tcPr>
            <w:tcW w:w="7796" w:type="dxa"/>
          </w:tcPr>
          <w:p w14:paraId="13B8463A" w14:textId="50B6B420" w:rsidR="008F0B07" w:rsidRDefault="008F0B07" w:rsidP="008F0B07">
            <w:pPr>
              <w:spacing w:before="20" w:afterLines="20" w:after="48"/>
              <w:rPr>
                <w:rFonts w:cs="Segoe UI"/>
              </w:rPr>
            </w:pPr>
            <w:r>
              <w:rPr>
                <w:rFonts w:cs="Segoe UI"/>
              </w:rPr>
              <w:t>Krajský akční plán</w:t>
            </w:r>
          </w:p>
        </w:tc>
      </w:tr>
      <w:tr w:rsidR="008F0B07" w14:paraId="5F7D6672" w14:textId="77777777" w:rsidTr="00E37D33">
        <w:tc>
          <w:tcPr>
            <w:tcW w:w="1668" w:type="dxa"/>
          </w:tcPr>
          <w:p w14:paraId="04D06F03" w14:textId="77777777" w:rsidR="008F0B07" w:rsidRPr="009871FC" w:rsidRDefault="008F0B07" w:rsidP="008F0B07">
            <w:pPr>
              <w:spacing w:before="0"/>
              <w:jc w:val="left"/>
              <w:rPr>
                <w:rFonts w:ascii="Calibri" w:hAnsi="Calibri" w:cs="Calibri"/>
                <w:color w:val="000000"/>
              </w:rPr>
            </w:pPr>
            <w:r w:rsidRPr="009871FC">
              <w:rPr>
                <w:rFonts w:ascii="Calibri" w:hAnsi="Calibri" w:cs="Calibri"/>
                <w:color w:val="000000"/>
              </w:rPr>
              <w:t>KES</w:t>
            </w:r>
          </w:p>
        </w:tc>
        <w:tc>
          <w:tcPr>
            <w:tcW w:w="7796" w:type="dxa"/>
          </w:tcPr>
          <w:p w14:paraId="4B3F8926" w14:textId="77777777" w:rsidR="008F0B07" w:rsidRPr="009871FC" w:rsidRDefault="008F0B07" w:rsidP="008F0B07">
            <w:pPr>
              <w:spacing w:before="20" w:afterLines="20" w:after="48"/>
              <w:jc w:val="left"/>
            </w:pPr>
            <w:r w:rsidRPr="009871FC">
              <w:t>Koeficient ekologické stability</w:t>
            </w:r>
          </w:p>
        </w:tc>
      </w:tr>
      <w:tr w:rsidR="008F0B07" w14:paraId="165298AF" w14:textId="77777777" w:rsidTr="00E37D33">
        <w:tc>
          <w:tcPr>
            <w:tcW w:w="1668" w:type="dxa"/>
          </w:tcPr>
          <w:p w14:paraId="4654A529" w14:textId="211C99F0" w:rsidR="008F0B07" w:rsidRPr="009871FC" w:rsidRDefault="008F0B07" w:rsidP="008F0B07">
            <w:pPr>
              <w:spacing w:before="0"/>
              <w:jc w:val="left"/>
              <w:rPr>
                <w:rFonts w:ascii="Calibri" w:hAnsi="Calibri" w:cs="Calibri"/>
                <w:color w:val="000000"/>
              </w:rPr>
            </w:pPr>
            <w:r>
              <w:lastRenderedPageBreak/>
              <w:t>KHK ZK</w:t>
            </w:r>
          </w:p>
        </w:tc>
        <w:tc>
          <w:tcPr>
            <w:tcW w:w="7796" w:type="dxa"/>
          </w:tcPr>
          <w:p w14:paraId="3850FEFA" w14:textId="614A52EB" w:rsidR="008F0B07" w:rsidRPr="009871FC" w:rsidRDefault="008F0B07" w:rsidP="008F0B07">
            <w:pPr>
              <w:spacing w:before="20" w:afterLines="20" w:after="48"/>
              <w:jc w:val="left"/>
            </w:pPr>
            <w:r>
              <w:t>Krajská hospodářská komora Zlínského kraje</w:t>
            </w:r>
          </w:p>
        </w:tc>
      </w:tr>
      <w:tr w:rsidR="008F0B07" w14:paraId="0E5EE1D5" w14:textId="77777777" w:rsidTr="00E37D33">
        <w:tc>
          <w:tcPr>
            <w:tcW w:w="1668" w:type="dxa"/>
            <w:vAlign w:val="bottom"/>
          </w:tcPr>
          <w:p w14:paraId="68D015FA"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KNTB</w:t>
            </w:r>
          </w:p>
        </w:tc>
        <w:tc>
          <w:tcPr>
            <w:tcW w:w="7796" w:type="dxa"/>
            <w:vAlign w:val="bottom"/>
          </w:tcPr>
          <w:p w14:paraId="11E80D9C" w14:textId="3DE4D49D" w:rsidR="008F0B07" w:rsidRPr="004D13E4" w:rsidRDefault="008F0B07" w:rsidP="00BB5485">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Krajská nemocnice Tomáše Ba</w:t>
            </w:r>
            <w:r w:rsidR="00BB5485">
              <w:rPr>
                <w:rFonts w:ascii="Calibri" w:eastAsia="Times New Roman" w:hAnsi="Calibri" w:cs="Segoe UI"/>
                <w:color w:val="000000"/>
                <w:lang w:eastAsia="cs-CZ"/>
              </w:rPr>
              <w:t>t</w:t>
            </w:r>
            <w:r w:rsidRPr="004D13E4">
              <w:rPr>
                <w:rFonts w:ascii="Calibri" w:eastAsia="Times New Roman" w:hAnsi="Calibri" w:cs="Segoe UI"/>
                <w:color w:val="000000"/>
                <w:lang w:eastAsia="cs-CZ"/>
              </w:rPr>
              <w:t>i</w:t>
            </w:r>
          </w:p>
        </w:tc>
      </w:tr>
      <w:tr w:rsidR="008F0B07" w14:paraId="1AE5654F" w14:textId="77777777" w:rsidTr="00E37D33">
        <w:tc>
          <w:tcPr>
            <w:tcW w:w="1668" w:type="dxa"/>
          </w:tcPr>
          <w:p w14:paraId="690A58C8" w14:textId="77777777" w:rsidR="008F0B07" w:rsidRPr="00072564" w:rsidRDefault="008F0B07" w:rsidP="008F0B07">
            <w:pPr>
              <w:spacing w:before="20" w:afterLines="20" w:after="48"/>
              <w:rPr>
                <w:rFonts w:cs="Segoe UI"/>
              </w:rPr>
            </w:pPr>
            <w:r>
              <w:rPr>
                <w:rFonts w:cs="Segoe UI"/>
              </w:rPr>
              <w:t>KPSS</w:t>
            </w:r>
          </w:p>
        </w:tc>
        <w:tc>
          <w:tcPr>
            <w:tcW w:w="7796" w:type="dxa"/>
          </w:tcPr>
          <w:p w14:paraId="4CFCD788" w14:textId="77777777" w:rsidR="008F0B07" w:rsidRDefault="008F0B07" w:rsidP="008F0B07">
            <w:pPr>
              <w:spacing w:before="20" w:afterLines="20" w:after="48"/>
              <w:rPr>
                <w:rFonts w:cs="Segoe UI"/>
              </w:rPr>
            </w:pPr>
            <w:r>
              <w:rPr>
                <w:rFonts w:cs="Segoe UI"/>
              </w:rPr>
              <w:t>Komunitní plánování sociálních služeb</w:t>
            </w:r>
          </w:p>
        </w:tc>
      </w:tr>
      <w:tr w:rsidR="008F0B07" w14:paraId="5348353A" w14:textId="77777777" w:rsidTr="00E37D33">
        <w:tc>
          <w:tcPr>
            <w:tcW w:w="1668" w:type="dxa"/>
          </w:tcPr>
          <w:p w14:paraId="160E6362" w14:textId="7FA56BDA" w:rsidR="008F0B07" w:rsidRDefault="008F0B07" w:rsidP="008F0B07">
            <w:pPr>
              <w:spacing w:before="20" w:afterLines="20" w:after="48"/>
              <w:rPr>
                <w:rFonts w:cs="Segoe UI"/>
              </w:rPr>
            </w:pPr>
            <w:r>
              <w:rPr>
                <w:rFonts w:cs="Segoe UI"/>
              </w:rPr>
              <w:t>MAP</w:t>
            </w:r>
          </w:p>
        </w:tc>
        <w:tc>
          <w:tcPr>
            <w:tcW w:w="7796" w:type="dxa"/>
          </w:tcPr>
          <w:p w14:paraId="41076205" w14:textId="082779C4" w:rsidR="008F0B07" w:rsidRDefault="008F0B07" w:rsidP="008F0B07">
            <w:pPr>
              <w:spacing w:before="20" w:afterLines="20" w:after="48"/>
              <w:rPr>
                <w:rFonts w:cs="Segoe UI"/>
              </w:rPr>
            </w:pPr>
            <w:r>
              <w:rPr>
                <w:rFonts w:cs="Segoe UI"/>
              </w:rPr>
              <w:t>Místní akční plán</w:t>
            </w:r>
          </w:p>
        </w:tc>
      </w:tr>
      <w:tr w:rsidR="008F0B07" w14:paraId="31B6A493" w14:textId="77777777" w:rsidTr="00E37D33">
        <w:tc>
          <w:tcPr>
            <w:tcW w:w="1668" w:type="dxa"/>
          </w:tcPr>
          <w:p w14:paraId="17AC1224" w14:textId="21CC5AAB" w:rsidR="008F0B07" w:rsidRDefault="008F0B07" w:rsidP="008F0B07">
            <w:pPr>
              <w:spacing w:before="20" w:afterLines="20" w:after="48"/>
              <w:rPr>
                <w:rFonts w:cs="Segoe UI"/>
              </w:rPr>
            </w:pPr>
            <w:r>
              <w:rPr>
                <w:rFonts w:cs="Segoe UI"/>
              </w:rPr>
              <w:t>MAS</w:t>
            </w:r>
          </w:p>
        </w:tc>
        <w:tc>
          <w:tcPr>
            <w:tcW w:w="7796" w:type="dxa"/>
          </w:tcPr>
          <w:p w14:paraId="3F40BD9A" w14:textId="37BF1316" w:rsidR="008F0B07" w:rsidRDefault="008F0B07" w:rsidP="008F0B07">
            <w:pPr>
              <w:spacing w:before="20" w:afterLines="20" w:after="48"/>
              <w:rPr>
                <w:rFonts w:cs="Segoe UI"/>
              </w:rPr>
            </w:pPr>
            <w:r>
              <w:rPr>
                <w:rFonts w:cs="Segoe UI"/>
              </w:rPr>
              <w:t>Místní akční skupina</w:t>
            </w:r>
          </w:p>
        </w:tc>
      </w:tr>
      <w:tr w:rsidR="008F0B07" w14:paraId="28E11BBD" w14:textId="77777777" w:rsidTr="00E37D33">
        <w:tc>
          <w:tcPr>
            <w:tcW w:w="1668" w:type="dxa"/>
          </w:tcPr>
          <w:p w14:paraId="6D6C4690" w14:textId="77777777" w:rsidR="008F0B07" w:rsidRPr="009871FC" w:rsidRDefault="008F0B07" w:rsidP="008F0B07">
            <w:pPr>
              <w:spacing w:before="0"/>
              <w:jc w:val="left"/>
              <w:rPr>
                <w:rFonts w:ascii="Calibri" w:hAnsi="Calibri" w:cs="Calibri"/>
                <w:color w:val="000000"/>
              </w:rPr>
            </w:pPr>
            <w:r w:rsidRPr="009871FC">
              <w:rPr>
                <w:rFonts w:ascii="Calibri" w:hAnsi="Calibri" w:cs="Calibri"/>
                <w:color w:val="000000"/>
              </w:rPr>
              <w:t>MČ</w:t>
            </w:r>
          </w:p>
        </w:tc>
        <w:tc>
          <w:tcPr>
            <w:tcW w:w="7796" w:type="dxa"/>
          </w:tcPr>
          <w:p w14:paraId="6DDBEB5C" w14:textId="77777777" w:rsidR="008F0B07" w:rsidRPr="009871FC" w:rsidRDefault="008F0B07" w:rsidP="008F0B07">
            <w:pPr>
              <w:spacing w:before="20" w:afterLines="20" w:after="48"/>
              <w:jc w:val="left"/>
            </w:pPr>
            <w:r w:rsidRPr="009871FC">
              <w:t>Městská část</w:t>
            </w:r>
          </w:p>
        </w:tc>
      </w:tr>
      <w:tr w:rsidR="008F0B07" w14:paraId="50358ACF" w14:textId="77777777" w:rsidTr="00E37D33">
        <w:tc>
          <w:tcPr>
            <w:tcW w:w="1668" w:type="dxa"/>
          </w:tcPr>
          <w:p w14:paraId="440B4416" w14:textId="61E35731" w:rsidR="008F0B07" w:rsidRPr="009871FC" w:rsidRDefault="008F0B07" w:rsidP="008F0B07">
            <w:pPr>
              <w:spacing w:before="0"/>
              <w:jc w:val="left"/>
              <w:rPr>
                <w:rFonts w:ascii="Calibri" w:hAnsi="Calibri" w:cs="Calibri"/>
                <w:color w:val="000000"/>
              </w:rPr>
            </w:pPr>
            <w:r>
              <w:t>MHD</w:t>
            </w:r>
          </w:p>
        </w:tc>
        <w:tc>
          <w:tcPr>
            <w:tcW w:w="7796" w:type="dxa"/>
          </w:tcPr>
          <w:p w14:paraId="7F3FDE06" w14:textId="6994DC86" w:rsidR="008F0B07" w:rsidRPr="009871FC" w:rsidRDefault="008F0B07" w:rsidP="008F0B07">
            <w:pPr>
              <w:spacing w:before="20" w:afterLines="20" w:after="48"/>
              <w:jc w:val="left"/>
            </w:pPr>
            <w:r>
              <w:rPr>
                <w:rFonts w:cs="Segoe UI"/>
              </w:rPr>
              <w:t>Městská hromadná doprava</w:t>
            </w:r>
          </w:p>
        </w:tc>
      </w:tr>
      <w:tr w:rsidR="00672892" w14:paraId="059B37A6" w14:textId="77777777" w:rsidTr="00E37D33">
        <w:tc>
          <w:tcPr>
            <w:tcW w:w="1668" w:type="dxa"/>
            <w:vAlign w:val="bottom"/>
          </w:tcPr>
          <w:p w14:paraId="43720CE2" w14:textId="314086F5" w:rsidR="00672892" w:rsidRPr="004D13E4" w:rsidRDefault="00672892" w:rsidP="00672892">
            <w:pPr>
              <w:spacing w:before="0"/>
              <w:jc w:val="left"/>
              <w:rPr>
                <w:rFonts w:ascii="Calibri" w:eastAsia="Times New Roman" w:hAnsi="Calibri" w:cs="Segoe UI"/>
                <w:color w:val="000000"/>
                <w:lang w:eastAsia="cs-CZ"/>
              </w:rPr>
            </w:pPr>
            <w:r>
              <w:rPr>
                <w:rFonts w:ascii="Calibri" w:eastAsia="Times New Roman" w:hAnsi="Calibri" w:cs="Segoe UI"/>
                <w:color w:val="000000"/>
                <w:lang w:eastAsia="cs-CZ"/>
              </w:rPr>
              <w:t>MITS</w:t>
            </w:r>
          </w:p>
        </w:tc>
        <w:tc>
          <w:tcPr>
            <w:tcW w:w="7796" w:type="dxa"/>
            <w:vAlign w:val="bottom"/>
          </w:tcPr>
          <w:p w14:paraId="0965131F" w14:textId="55368915" w:rsidR="00672892" w:rsidRPr="004D13E4" w:rsidRDefault="00672892" w:rsidP="008F0B07">
            <w:pPr>
              <w:spacing w:before="0"/>
              <w:jc w:val="left"/>
              <w:rPr>
                <w:rFonts w:ascii="Calibri" w:eastAsia="Times New Roman" w:hAnsi="Calibri" w:cs="Segoe UI"/>
                <w:color w:val="000000"/>
                <w:lang w:eastAsia="cs-CZ"/>
              </w:rPr>
            </w:pPr>
            <w:r>
              <w:rPr>
                <w:rFonts w:ascii="Calibri" w:eastAsia="Times New Roman" w:hAnsi="Calibri" w:cs="Segoe UI"/>
                <w:color w:val="000000"/>
                <w:lang w:eastAsia="cs-CZ"/>
              </w:rPr>
              <w:t>Městské informační a turistické středisko</w:t>
            </w:r>
          </w:p>
        </w:tc>
      </w:tr>
      <w:tr w:rsidR="008F0B07" w14:paraId="3D308DBE" w14:textId="77777777" w:rsidTr="00E37D33">
        <w:tc>
          <w:tcPr>
            <w:tcW w:w="1668" w:type="dxa"/>
            <w:vAlign w:val="bottom"/>
          </w:tcPr>
          <w:p w14:paraId="5EF1EA1D"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MMZ</w:t>
            </w:r>
          </w:p>
        </w:tc>
        <w:tc>
          <w:tcPr>
            <w:tcW w:w="7796" w:type="dxa"/>
            <w:vAlign w:val="bottom"/>
          </w:tcPr>
          <w:p w14:paraId="01AF4D2E"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Magistrát města Zlína</w:t>
            </w:r>
          </w:p>
        </w:tc>
      </w:tr>
      <w:tr w:rsidR="008F0B07" w14:paraId="03C429AD" w14:textId="77777777" w:rsidTr="00E60FC1">
        <w:tc>
          <w:tcPr>
            <w:tcW w:w="1668" w:type="dxa"/>
          </w:tcPr>
          <w:p w14:paraId="645A9F68" w14:textId="34115706" w:rsidR="008F0B07" w:rsidRPr="004D13E4" w:rsidRDefault="008F0B07" w:rsidP="008F0B07">
            <w:pPr>
              <w:spacing w:before="0"/>
              <w:jc w:val="left"/>
              <w:rPr>
                <w:rFonts w:ascii="Calibri" w:eastAsia="Times New Roman" w:hAnsi="Calibri" w:cs="Segoe UI"/>
                <w:color w:val="000000"/>
                <w:lang w:eastAsia="cs-CZ"/>
              </w:rPr>
            </w:pPr>
            <w:r>
              <w:t>MKDS</w:t>
            </w:r>
          </w:p>
        </w:tc>
        <w:tc>
          <w:tcPr>
            <w:tcW w:w="7796" w:type="dxa"/>
          </w:tcPr>
          <w:p w14:paraId="03A24881" w14:textId="184462BD" w:rsidR="008F0B07" w:rsidRPr="004D13E4" w:rsidRDefault="008F0B07" w:rsidP="008F0B07">
            <w:pPr>
              <w:spacing w:before="0"/>
              <w:jc w:val="left"/>
              <w:rPr>
                <w:rFonts w:ascii="Calibri" w:eastAsia="Times New Roman" w:hAnsi="Calibri" w:cs="Segoe UI"/>
                <w:color w:val="000000"/>
                <w:lang w:eastAsia="cs-CZ"/>
              </w:rPr>
            </w:pPr>
            <w:r>
              <w:t>Městský kamerový dohlížecí systém</w:t>
            </w:r>
          </w:p>
        </w:tc>
      </w:tr>
      <w:tr w:rsidR="008F0B07" w14:paraId="1E9FF530" w14:textId="77777777" w:rsidTr="00E37D33">
        <w:tc>
          <w:tcPr>
            <w:tcW w:w="1668" w:type="dxa"/>
          </w:tcPr>
          <w:p w14:paraId="6AEF7058" w14:textId="77777777" w:rsidR="008F0B07" w:rsidRDefault="008F0B07" w:rsidP="008F0B07">
            <w:pPr>
              <w:spacing w:before="20" w:afterLines="20" w:after="48"/>
              <w:rPr>
                <w:rFonts w:cs="Segoe UI"/>
              </w:rPr>
            </w:pPr>
            <w:r>
              <w:rPr>
                <w:rFonts w:cs="Segoe UI"/>
              </w:rPr>
              <w:t>MP</w:t>
            </w:r>
          </w:p>
        </w:tc>
        <w:tc>
          <w:tcPr>
            <w:tcW w:w="7796" w:type="dxa"/>
          </w:tcPr>
          <w:p w14:paraId="7EB5C6FE" w14:textId="77777777" w:rsidR="008F0B07" w:rsidRDefault="008F0B07" w:rsidP="008F0B07">
            <w:pPr>
              <w:spacing w:before="20" w:afterLines="20" w:after="48"/>
              <w:rPr>
                <w:rFonts w:cs="Segoe UI"/>
              </w:rPr>
            </w:pPr>
            <w:r>
              <w:rPr>
                <w:rFonts w:cs="Segoe UI"/>
              </w:rPr>
              <w:t>Městská policie</w:t>
            </w:r>
          </w:p>
        </w:tc>
      </w:tr>
      <w:tr w:rsidR="008F0B07" w14:paraId="128D4100" w14:textId="77777777" w:rsidTr="00E37D33">
        <w:tc>
          <w:tcPr>
            <w:tcW w:w="1668" w:type="dxa"/>
          </w:tcPr>
          <w:p w14:paraId="3C53C5CA" w14:textId="7A6665A6" w:rsidR="008F0B07" w:rsidRDefault="008F0B07" w:rsidP="008F0B07">
            <w:pPr>
              <w:spacing w:before="20" w:afterLines="20" w:after="48"/>
              <w:rPr>
                <w:rFonts w:cs="Segoe UI"/>
              </w:rPr>
            </w:pPr>
            <w:r>
              <w:rPr>
                <w:rFonts w:cs="Segoe UI"/>
              </w:rPr>
              <w:t>MPZ</w:t>
            </w:r>
          </w:p>
        </w:tc>
        <w:tc>
          <w:tcPr>
            <w:tcW w:w="7796" w:type="dxa"/>
          </w:tcPr>
          <w:p w14:paraId="74D7B6D0" w14:textId="45569002" w:rsidR="008F0B07" w:rsidRDefault="008F0B07" w:rsidP="008F0B07">
            <w:pPr>
              <w:spacing w:before="20" w:afterLines="20" w:after="48"/>
              <w:rPr>
                <w:rFonts w:cs="Segoe UI"/>
              </w:rPr>
            </w:pPr>
            <w:r>
              <w:rPr>
                <w:rFonts w:cs="Segoe UI"/>
              </w:rPr>
              <w:t>Městská památková zóna</w:t>
            </w:r>
          </w:p>
        </w:tc>
      </w:tr>
      <w:tr w:rsidR="008F0B07" w14:paraId="35479D49" w14:textId="77777777" w:rsidTr="00E37D33">
        <w:tc>
          <w:tcPr>
            <w:tcW w:w="1668" w:type="dxa"/>
          </w:tcPr>
          <w:p w14:paraId="698247D8" w14:textId="29341907" w:rsidR="008F0B07" w:rsidRDefault="008F0B07" w:rsidP="008F0B07">
            <w:pPr>
              <w:spacing w:before="20" w:afterLines="20" w:after="48"/>
              <w:rPr>
                <w:rFonts w:cs="Segoe UI"/>
              </w:rPr>
            </w:pPr>
            <w:r>
              <w:rPr>
                <w:rFonts w:cs="Segoe UI"/>
              </w:rPr>
              <w:t>MŠ</w:t>
            </w:r>
          </w:p>
        </w:tc>
        <w:tc>
          <w:tcPr>
            <w:tcW w:w="7796" w:type="dxa"/>
          </w:tcPr>
          <w:p w14:paraId="460B2999" w14:textId="4EB0F11E" w:rsidR="008F0B07" w:rsidRDefault="008F0B07" w:rsidP="008F0B07">
            <w:pPr>
              <w:spacing w:before="20" w:afterLines="20" w:after="48"/>
              <w:rPr>
                <w:rFonts w:cs="Segoe UI"/>
              </w:rPr>
            </w:pPr>
            <w:r>
              <w:rPr>
                <w:rFonts w:cs="Segoe UI"/>
              </w:rPr>
              <w:t>Mateřská škola</w:t>
            </w:r>
          </w:p>
        </w:tc>
      </w:tr>
      <w:tr w:rsidR="008F0B07" w14:paraId="39FA14E2" w14:textId="77777777" w:rsidTr="00E37D33">
        <w:tc>
          <w:tcPr>
            <w:tcW w:w="1668" w:type="dxa"/>
            <w:vAlign w:val="bottom"/>
          </w:tcPr>
          <w:p w14:paraId="798DF01A"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MPZ</w:t>
            </w:r>
          </w:p>
        </w:tc>
        <w:tc>
          <w:tcPr>
            <w:tcW w:w="7796" w:type="dxa"/>
            <w:vAlign w:val="bottom"/>
          </w:tcPr>
          <w:p w14:paraId="55410217"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Městská památková zóna Zlín</w:t>
            </w:r>
          </w:p>
        </w:tc>
      </w:tr>
      <w:tr w:rsidR="008F0B07" w14:paraId="4228B706" w14:textId="77777777" w:rsidTr="00E60FC1">
        <w:tc>
          <w:tcPr>
            <w:tcW w:w="1668" w:type="dxa"/>
          </w:tcPr>
          <w:p w14:paraId="4E1B1461" w14:textId="20CCFE03" w:rsidR="008F0B07" w:rsidRPr="004D13E4" w:rsidRDefault="008F0B07" w:rsidP="008F0B07">
            <w:pPr>
              <w:spacing w:before="0"/>
              <w:jc w:val="left"/>
              <w:rPr>
                <w:rFonts w:ascii="Calibri" w:eastAsia="Times New Roman" w:hAnsi="Calibri" w:cs="Segoe UI"/>
                <w:color w:val="000000"/>
                <w:lang w:eastAsia="cs-CZ"/>
              </w:rPr>
            </w:pPr>
            <w:r>
              <w:t>MVČR</w:t>
            </w:r>
          </w:p>
        </w:tc>
        <w:tc>
          <w:tcPr>
            <w:tcW w:w="7796" w:type="dxa"/>
          </w:tcPr>
          <w:p w14:paraId="7FE9A9EC" w14:textId="73398A3C" w:rsidR="008F0B07" w:rsidRPr="004D13E4" w:rsidRDefault="008F0B07" w:rsidP="008F0B07">
            <w:pPr>
              <w:spacing w:before="0"/>
              <w:jc w:val="left"/>
              <w:rPr>
                <w:rFonts w:ascii="Calibri" w:eastAsia="Times New Roman" w:hAnsi="Calibri" w:cs="Segoe UI"/>
                <w:color w:val="000000"/>
                <w:lang w:eastAsia="cs-CZ"/>
              </w:rPr>
            </w:pPr>
            <w:r>
              <w:t>Ministerstvo vnitra České republiky</w:t>
            </w:r>
          </w:p>
        </w:tc>
      </w:tr>
      <w:tr w:rsidR="00672892" w14:paraId="649CA418" w14:textId="77777777" w:rsidTr="00E60FC1">
        <w:tc>
          <w:tcPr>
            <w:tcW w:w="1668" w:type="dxa"/>
          </w:tcPr>
          <w:p w14:paraId="7846BF69" w14:textId="685014B8" w:rsidR="00672892" w:rsidRDefault="00672892" w:rsidP="008F0B07">
            <w:pPr>
              <w:spacing w:before="0"/>
              <w:jc w:val="left"/>
            </w:pPr>
            <w:r>
              <w:t>NNO</w:t>
            </w:r>
          </w:p>
        </w:tc>
        <w:tc>
          <w:tcPr>
            <w:tcW w:w="7796" w:type="dxa"/>
          </w:tcPr>
          <w:p w14:paraId="4D2A2364" w14:textId="6B2E737C" w:rsidR="00672892" w:rsidRDefault="00672892" w:rsidP="008F0B07">
            <w:pPr>
              <w:spacing w:before="0"/>
              <w:jc w:val="left"/>
            </w:pPr>
            <w:r>
              <w:t>Nestátní nezisková organizace</w:t>
            </w:r>
          </w:p>
        </w:tc>
      </w:tr>
      <w:tr w:rsidR="00672892" w14:paraId="4FDE03AA" w14:textId="77777777" w:rsidTr="00E60FC1">
        <w:tc>
          <w:tcPr>
            <w:tcW w:w="1668" w:type="dxa"/>
          </w:tcPr>
          <w:p w14:paraId="2C0C8198" w14:textId="3F3C110B" w:rsidR="00672892" w:rsidRDefault="00672892" w:rsidP="008F0B07">
            <w:pPr>
              <w:spacing w:before="0"/>
              <w:jc w:val="left"/>
            </w:pPr>
            <w:r>
              <w:t>NTL</w:t>
            </w:r>
          </w:p>
        </w:tc>
        <w:tc>
          <w:tcPr>
            <w:tcW w:w="7796" w:type="dxa"/>
          </w:tcPr>
          <w:p w14:paraId="76D476C9" w14:textId="428E9019" w:rsidR="00672892" w:rsidRDefault="00672892" w:rsidP="008F0B07">
            <w:pPr>
              <w:spacing w:before="0"/>
              <w:jc w:val="left"/>
            </w:pPr>
            <w:r>
              <w:t>Nízkotlaké</w:t>
            </w:r>
          </w:p>
        </w:tc>
      </w:tr>
      <w:tr w:rsidR="008F0B07" w14:paraId="3A88B87E" w14:textId="77777777" w:rsidTr="00E60FC1">
        <w:tc>
          <w:tcPr>
            <w:tcW w:w="1668" w:type="dxa"/>
          </w:tcPr>
          <w:p w14:paraId="39401879" w14:textId="3BB09B44" w:rsidR="008F0B07" w:rsidRDefault="008F0B07" w:rsidP="008F0B07">
            <w:pPr>
              <w:spacing w:before="0"/>
              <w:jc w:val="left"/>
            </w:pPr>
            <w:r w:rsidRPr="00C052CE">
              <w:t>OPM</w:t>
            </w:r>
          </w:p>
        </w:tc>
        <w:tc>
          <w:tcPr>
            <w:tcW w:w="7796" w:type="dxa"/>
          </w:tcPr>
          <w:p w14:paraId="6AF7ABDA" w14:textId="01415A85" w:rsidR="008F0B07" w:rsidRDefault="008F0B07" w:rsidP="008F0B07">
            <w:pPr>
              <w:spacing w:before="0"/>
              <w:jc w:val="left"/>
            </w:pPr>
            <w:r>
              <w:t>Obsazená pracovní místa</w:t>
            </w:r>
          </w:p>
        </w:tc>
      </w:tr>
      <w:tr w:rsidR="008F0B07" w14:paraId="67C03B7E" w14:textId="77777777" w:rsidTr="00E60FC1">
        <w:tc>
          <w:tcPr>
            <w:tcW w:w="1668" w:type="dxa"/>
          </w:tcPr>
          <w:p w14:paraId="0B784045" w14:textId="0E963C13" w:rsidR="008F0B07" w:rsidRDefault="008F0B07" w:rsidP="008F0B07">
            <w:pPr>
              <w:spacing w:before="0"/>
              <w:jc w:val="left"/>
            </w:pPr>
            <w:r>
              <w:t>ORP</w:t>
            </w:r>
          </w:p>
        </w:tc>
        <w:tc>
          <w:tcPr>
            <w:tcW w:w="7796" w:type="dxa"/>
          </w:tcPr>
          <w:p w14:paraId="1F4651E3" w14:textId="348B5A07" w:rsidR="008F0B07" w:rsidRDefault="008F0B07" w:rsidP="008F0B07">
            <w:pPr>
              <w:spacing w:before="0"/>
              <w:jc w:val="left"/>
            </w:pPr>
            <w:r>
              <w:t>Obec s rozšířenou působností</w:t>
            </w:r>
          </w:p>
        </w:tc>
      </w:tr>
      <w:tr w:rsidR="00672892" w14:paraId="1E7CFF50" w14:textId="77777777" w:rsidTr="00E60FC1">
        <w:tc>
          <w:tcPr>
            <w:tcW w:w="1668" w:type="dxa"/>
          </w:tcPr>
          <w:p w14:paraId="719B4CE8" w14:textId="1A667B5B" w:rsidR="00672892" w:rsidRDefault="00672892" w:rsidP="008F0B07">
            <w:pPr>
              <w:spacing w:before="0"/>
              <w:jc w:val="left"/>
            </w:pPr>
            <w:r>
              <w:t>OV</w:t>
            </w:r>
          </w:p>
        </w:tc>
        <w:tc>
          <w:tcPr>
            <w:tcW w:w="7796" w:type="dxa"/>
          </w:tcPr>
          <w:p w14:paraId="6DE25252" w14:textId="0420F16E" w:rsidR="00672892" w:rsidRDefault="00672892" w:rsidP="008F0B07">
            <w:pPr>
              <w:spacing w:before="0"/>
              <w:jc w:val="left"/>
            </w:pPr>
            <w:r>
              <w:t>Odpadní vody</w:t>
            </w:r>
          </w:p>
        </w:tc>
      </w:tr>
      <w:tr w:rsidR="008F0B07" w14:paraId="4689D252" w14:textId="77777777" w:rsidTr="00E37D33">
        <w:tc>
          <w:tcPr>
            <w:tcW w:w="1668" w:type="dxa"/>
            <w:vAlign w:val="bottom"/>
          </w:tcPr>
          <w:p w14:paraId="49FFE47D"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OZP</w:t>
            </w:r>
          </w:p>
        </w:tc>
        <w:tc>
          <w:tcPr>
            <w:tcW w:w="7796" w:type="dxa"/>
            <w:vAlign w:val="bottom"/>
          </w:tcPr>
          <w:p w14:paraId="78ED66B3"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Osoby se zdravotním postižením</w:t>
            </w:r>
          </w:p>
        </w:tc>
      </w:tr>
      <w:tr w:rsidR="008F0B07" w14:paraId="4B06CFFF" w14:textId="77777777" w:rsidTr="00E60FC1">
        <w:tc>
          <w:tcPr>
            <w:tcW w:w="1668" w:type="dxa"/>
          </w:tcPr>
          <w:p w14:paraId="4B722F95" w14:textId="7931B179" w:rsidR="008F0B07" w:rsidRPr="004D13E4" w:rsidRDefault="008F0B07" w:rsidP="008F0B07">
            <w:pPr>
              <w:spacing w:before="0"/>
              <w:jc w:val="left"/>
              <w:rPr>
                <w:rFonts w:ascii="Calibri" w:eastAsia="Times New Roman" w:hAnsi="Calibri" w:cs="Segoe UI"/>
                <w:color w:val="000000"/>
                <w:lang w:eastAsia="cs-CZ"/>
              </w:rPr>
            </w:pPr>
            <w:r>
              <w:t>NBÚ</w:t>
            </w:r>
          </w:p>
        </w:tc>
        <w:tc>
          <w:tcPr>
            <w:tcW w:w="7796" w:type="dxa"/>
          </w:tcPr>
          <w:p w14:paraId="769847C9" w14:textId="027258AF" w:rsidR="008F0B07" w:rsidRPr="004D13E4" w:rsidRDefault="008F0B07" w:rsidP="008F0B07">
            <w:pPr>
              <w:spacing w:before="0"/>
              <w:jc w:val="left"/>
              <w:rPr>
                <w:rFonts w:ascii="Calibri" w:eastAsia="Times New Roman" w:hAnsi="Calibri" w:cs="Segoe UI"/>
                <w:color w:val="000000"/>
                <w:lang w:eastAsia="cs-CZ"/>
              </w:rPr>
            </w:pPr>
            <w:r>
              <w:t>Národní bezpečnostní úřad</w:t>
            </w:r>
          </w:p>
        </w:tc>
      </w:tr>
      <w:tr w:rsidR="008F0B07" w14:paraId="2FF07246" w14:textId="77777777" w:rsidTr="00E60FC1">
        <w:tc>
          <w:tcPr>
            <w:tcW w:w="1668" w:type="dxa"/>
          </w:tcPr>
          <w:p w14:paraId="17769B21" w14:textId="0289E07E" w:rsidR="008F0B07" w:rsidRPr="004D13E4" w:rsidRDefault="008F0B07" w:rsidP="008F0B07">
            <w:pPr>
              <w:spacing w:before="0"/>
              <w:jc w:val="left"/>
              <w:rPr>
                <w:rFonts w:ascii="Calibri" w:eastAsia="Times New Roman" w:hAnsi="Calibri" w:cs="Segoe UI"/>
                <w:color w:val="000000"/>
                <w:lang w:eastAsia="cs-CZ"/>
              </w:rPr>
            </w:pPr>
            <w:r>
              <w:rPr>
                <w:rFonts w:cs="Segoe UI"/>
              </w:rPr>
              <w:t>PČR</w:t>
            </w:r>
          </w:p>
        </w:tc>
        <w:tc>
          <w:tcPr>
            <w:tcW w:w="7796" w:type="dxa"/>
          </w:tcPr>
          <w:p w14:paraId="3C29F032" w14:textId="7E75EC67" w:rsidR="008F0B07" w:rsidRPr="004D13E4" w:rsidRDefault="008F0B07" w:rsidP="008F0B07">
            <w:pPr>
              <w:spacing w:before="0"/>
              <w:jc w:val="left"/>
              <w:rPr>
                <w:rFonts w:ascii="Calibri" w:eastAsia="Times New Roman" w:hAnsi="Calibri" w:cs="Segoe UI"/>
                <w:color w:val="000000"/>
                <w:lang w:eastAsia="cs-CZ"/>
              </w:rPr>
            </w:pPr>
            <w:r>
              <w:rPr>
                <w:rFonts w:cs="Segoe UI"/>
              </w:rPr>
              <w:t>Policie ČR</w:t>
            </w:r>
          </w:p>
        </w:tc>
      </w:tr>
      <w:tr w:rsidR="008F0B07" w14:paraId="46236167" w14:textId="77777777" w:rsidTr="00E37D33">
        <w:tc>
          <w:tcPr>
            <w:tcW w:w="1668" w:type="dxa"/>
            <w:vAlign w:val="bottom"/>
          </w:tcPr>
          <w:p w14:paraId="30565FD8"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PnB</w:t>
            </w:r>
          </w:p>
        </w:tc>
        <w:tc>
          <w:tcPr>
            <w:tcW w:w="7796" w:type="dxa"/>
            <w:vAlign w:val="bottom"/>
          </w:tcPr>
          <w:p w14:paraId="7CA7A2F4"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Příspěvek na bydlení</w:t>
            </w:r>
          </w:p>
        </w:tc>
      </w:tr>
      <w:tr w:rsidR="008F0B07" w14:paraId="5F160229" w14:textId="77777777" w:rsidTr="00E37D33">
        <w:tc>
          <w:tcPr>
            <w:tcW w:w="1668" w:type="dxa"/>
            <w:vAlign w:val="bottom"/>
          </w:tcPr>
          <w:p w14:paraId="565C8282"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PnŽ</w:t>
            </w:r>
          </w:p>
        </w:tc>
        <w:tc>
          <w:tcPr>
            <w:tcW w:w="7796" w:type="dxa"/>
            <w:vAlign w:val="bottom"/>
          </w:tcPr>
          <w:p w14:paraId="3607AA1E"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Příspěvek na živobytí</w:t>
            </w:r>
          </w:p>
        </w:tc>
      </w:tr>
      <w:tr w:rsidR="008F0B07" w14:paraId="227FA6C9" w14:textId="77777777" w:rsidTr="00E37D33">
        <w:tc>
          <w:tcPr>
            <w:tcW w:w="1668" w:type="dxa"/>
            <w:vAlign w:val="bottom"/>
          </w:tcPr>
          <w:p w14:paraId="6A5DC0C0"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POU</w:t>
            </w:r>
          </w:p>
        </w:tc>
        <w:tc>
          <w:tcPr>
            <w:tcW w:w="7796" w:type="dxa"/>
            <w:vAlign w:val="bottom"/>
          </w:tcPr>
          <w:p w14:paraId="29B86822"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Pověřený obecní úřad</w:t>
            </w:r>
          </w:p>
        </w:tc>
      </w:tr>
      <w:tr w:rsidR="008F0B07" w14:paraId="415E9DBE" w14:textId="77777777" w:rsidTr="00E60FC1">
        <w:tc>
          <w:tcPr>
            <w:tcW w:w="1668" w:type="dxa"/>
          </w:tcPr>
          <w:p w14:paraId="66D9B16A" w14:textId="6C210D62" w:rsidR="008F0B07" w:rsidRPr="004D13E4" w:rsidRDefault="008F0B07" w:rsidP="008F0B07">
            <w:pPr>
              <w:spacing w:before="0"/>
              <w:jc w:val="left"/>
              <w:rPr>
                <w:rFonts w:ascii="Calibri" w:eastAsia="Times New Roman" w:hAnsi="Calibri" w:cs="Segoe UI"/>
                <w:color w:val="000000"/>
                <w:lang w:eastAsia="cs-CZ"/>
              </w:rPr>
            </w:pPr>
            <w:r>
              <w:rPr>
                <w:rFonts w:cs="Segoe UI"/>
              </w:rPr>
              <w:t>PR</w:t>
            </w:r>
          </w:p>
        </w:tc>
        <w:tc>
          <w:tcPr>
            <w:tcW w:w="7796" w:type="dxa"/>
          </w:tcPr>
          <w:p w14:paraId="48781230" w14:textId="4B0B69DA" w:rsidR="008F0B07" w:rsidRPr="004D13E4" w:rsidRDefault="008F0B07" w:rsidP="008F0B07">
            <w:pPr>
              <w:spacing w:before="0"/>
              <w:jc w:val="left"/>
              <w:rPr>
                <w:rFonts w:ascii="Calibri" w:eastAsia="Times New Roman" w:hAnsi="Calibri" w:cs="Segoe UI"/>
                <w:color w:val="000000"/>
                <w:lang w:eastAsia="cs-CZ"/>
              </w:rPr>
            </w:pPr>
            <w:r>
              <w:rPr>
                <w:rFonts w:cs="Segoe UI"/>
              </w:rPr>
              <w:t>Public Relations</w:t>
            </w:r>
          </w:p>
        </w:tc>
      </w:tr>
      <w:tr w:rsidR="00672892" w14:paraId="252C3CB3" w14:textId="77777777" w:rsidTr="00E60FC1">
        <w:tc>
          <w:tcPr>
            <w:tcW w:w="1668" w:type="dxa"/>
          </w:tcPr>
          <w:p w14:paraId="6BF750A7" w14:textId="73C880A0" w:rsidR="00672892" w:rsidRDefault="00672892" w:rsidP="008F0B07">
            <w:pPr>
              <w:spacing w:before="0"/>
              <w:jc w:val="left"/>
              <w:rPr>
                <w:rFonts w:cs="Segoe UI"/>
              </w:rPr>
            </w:pPr>
            <w:r>
              <w:rPr>
                <w:rFonts w:cs="Segoe UI"/>
              </w:rPr>
              <w:t>PS</w:t>
            </w:r>
          </w:p>
        </w:tc>
        <w:tc>
          <w:tcPr>
            <w:tcW w:w="7796" w:type="dxa"/>
          </w:tcPr>
          <w:p w14:paraId="09DE032B" w14:textId="6246290F" w:rsidR="00672892" w:rsidRDefault="00672892" w:rsidP="008F0B07">
            <w:pPr>
              <w:spacing w:before="0"/>
              <w:jc w:val="left"/>
              <w:rPr>
                <w:rFonts w:cs="Segoe UI"/>
              </w:rPr>
            </w:pPr>
            <w:r>
              <w:rPr>
                <w:rFonts w:cs="Segoe UI"/>
              </w:rPr>
              <w:t>Pracovní skupina</w:t>
            </w:r>
          </w:p>
        </w:tc>
      </w:tr>
      <w:tr w:rsidR="008F0B07" w14:paraId="6C8285F0" w14:textId="77777777" w:rsidTr="00E60FC1">
        <w:tc>
          <w:tcPr>
            <w:tcW w:w="1668" w:type="dxa"/>
          </w:tcPr>
          <w:p w14:paraId="22F3D720" w14:textId="0165AEEE" w:rsidR="008F0B07" w:rsidRPr="004D13E4" w:rsidRDefault="000A4D66" w:rsidP="008F0B07">
            <w:pPr>
              <w:spacing w:before="0"/>
              <w:jc w:val="left"/>
              <w:rPr>
                <w:rFonts w:ascii="Calibri" w:eastAsia="Times New Roman" w:hAnsi="Calibri" w:cs="Segoe UI"/>
                <w:color w:val="000000"/>
                <w:lang w:eastAsia="cs-CZ"/>
              </w:rPr>
            </w:pPr>
            <w:r>
              <w:rPr>
                <w:rFonts w:cs="Segoe UI"/>
              </w:rPr>
              <w:t>SUMP</w:t>
            </w:r>
            <w:bookmarkStart w:id="2" w:name="_GoBack"/>
            <w:bookmarkEnd w:id="2"/>
          </w:p>
        </w:tc>
        <w:tc>
          <w:tcPr>
            <w:tcW w:w="7796" w:type="dxa"/>
          </w:tcPr>
          <w:p w14:paraId="7F90AE7A" w14:textId="7F6FEFCD" w:rsidR="008F0B07" w:rsidRPr="004D13E4" w:rsidRDefault="008F0B07" w:rsidP="008F0B07">
            <w:pPr>
              <w:spacing w:before="0"/>
              <w:jc w:val="left"/>
              <w:rPr>
                <w:rFonts w:ascii="Calibri" w:eastAsia="Times New Roman" w:hAnsi="Calibri" w:cs="Segoe UI"/>
                <w:color w:val="000000"/>
                <w:lang w:eastAsia="cs-CZ"/>
              </w:rPr>
            </w:pPr>
            <w:r>
              <w:rPr>
                <w:rFonts w:cs="Segoe UI"/>
              </w:rPr>
              <w:t>Plán udržitelné městské mobility</w:t>
            </w:r>
          </w:p>
        </w:tc>
      </w:tr>
      <w:tr w:rsidR="008F0B07" w14:paraId="685BBF98" w14:textId="77777777" w:rsidTr="00E60FC1">
        <w:tc>
          <w:tcPr>
            <w:tcW w:w="1668" w:type="dxa"/>
          </w:tcPr>
          <w:p w14:paraId="0501C8FA" w14:textId="26557319" w:rsidR="008F0B07" w:rsidRDefault="008F0B07" w:rsidP="008F0B07">
            <w:pPr>
              <w:spacing w:before="0"/>
              <w:jc w:val="left"/>
              <w:rPr>
                <w:rFonts w:cs="Segoe UI"/>
              </w:rPr>
            </w:pPr>
            <w:r>
              <w:rPr>
                <w:rFonts w:cs="Segoe UI"/>
              </w:rPr>
              <w:t>PÚR ČR</w:t>
            </w:r>
          </w:p>
        </w:tc>
        <w:tc>
          <w:tcPr>
            <w:tcW w:w="7796" w:type="dxa"/>
          </w:tcPr>
          <w:p w14:paraId="3087E4A8" w14:textId="372D4A58" w:rsidR="008F0B07" w:rsidRDefault="008F0B07" w:rsidP="008F0B07">
            <w:pPr>
              <w:spacing w:before="0"/>
              <w:jc w:val="left"/>
              <w:rPr>
                <w:rFonts w:cs="Segoe UI"/>
              </w:rPr>
            </w:pPr>
            <w:r>
              <w:t>Politika územního rozvoje České republiky</w:t>
            </w:r>
          </w:p>
        </w:tc>
      </w:tr>
      <w:tr w:rsidR="008F0B07" w14:paraId="3850020B" w14:textId="77777777" w:rsidTr="00E37D33">
        <w:tc>
          <w:tcPr>
            <w:tcW w:w="1668" w:type="dxa"/>
          </w:tcPr>
          <w:p w14:paraId="162E3CF9" w14:textId="77777777" w:rsidR="008F0B07" w:rsidRDefault="008F0B07" w:rsidP="008F0B07">
            <w:pPr>
              <w:spacing w:before="20" w:afterLines="20" w:after="48"/>
              <w:rPr>
                <w:rFonts w:cs="Segoe UI"/>
              </w:rPr>
            </w:pPr>
            <w:r>
              <w:rPr>
                <w:rFonts w:cs="Segoe UI"/>
              </w:rPr>
              <w:t>REZZO</w:t>
            </w:r>
          </w:p>
        </w:tc>
        <w:tc>
          <w:tcPr>
            <w:tcW w:w="7796" w:type="dxa"/>
          </w:tcPr>
          <w:p w14:paraId="06E5C8AB" w14:textId="77777777" w:rsidR="008F0B07" w:rsidRPr="00453EE4" w:rsidRDefault="008F0B07" w:rsidP="008F0B07">
            <w:pPr>
              <w:spacing w:before="20" w:afterLines="20" w:after="48"/>
              <w:rPr>
                <w:rFonts w:cs="Segoe UI"/>
              </w:rPr>
            </w:pPr>
            <w:r>
              <w:rPr>
                <w:rFonts w:cs="Segoe UI"/>
              </w:rPr>
              <w:t>Registr emisí a zdrojů znečištění ovzduší</w:t>
            </w:r>
          </w:p>
        </w:tc>
      </w:tr>
      <w:tr w:rsidR="008F0B07" w14:paraId="130A9F1B" w14:textId="77777777" w:rsidTr="00E37D33">
        <w:tc>
          <w:tcPr>
            <w:tcW w:w="1668" w:type="dxa"/>
          </w:tcPr>
          <w:p w14:paraId="706B2321" w14:textId="77777777" w:rsidR="008F0B07" w:rsidRPr="009871FC" w:rsidRDefault="008F0B07" w:rsidP="008F0B07">
            <w:pPr>
              <w:spacing w:before="0"/>
              <w:jc w:val="left"/>
              <w:rPr>
                <w:rFonts w:ascii="Calibri" w:hAnsi="Calibri" w:cs="Calibri"/>
                <w:color w:val="000000"/>
              </w:rPr>
            </w:pPr>
            <w:r w:rsidRPr="009871FC">
              <w:rPr>
                <w:rFonts w:ascii="Calibri" w:hAnsi="Calibri" w:cs="Calibri"/>
                <w:color w:val="000000"/>
              </w:rPr>
              <w:t>RFID</w:t>
            </w:r>
          </w:p>
        </w:tc>
        <w:tc>
          <w:tcPr>
            <w:tcW w:w="7796" w:type="dxa"/>
          </w:tcPr>
          <w:p w14:paraId="592F9F99" w14:textId="77777777" w:rsidR="008F0B07" w:rsidRPr="009871FC" w:rsidRDefault="008F0B07" w:rsidP="008F0B07">
            <w:pPr>
              <w:spacing w:before="20" w:afterLines="20" w:after="48"/>
              <w:jc w:val="left"/>
            </w:pPr>
            <w:r w:rsidRPr="009871FC">
              <w:t>Radiofrekvenční identifikace</w:t>
            </w:r>
          </w:p>
        </w:tc>
      </w:tr>
      <w:tr w:rsidR="00BA092F" w14:paraId="2709E1DF" w14:textId="77777777" w:rsidTr="00E37D33">
        <w:tc>
          <w:tcPr>
            <w:tcW w:w="1668" w:type="dxa"/>
          </w:tcPr>
          <w:p w14:paraId="5A04F18D" w14:textId="10857B43" w:rsidR="00BA092F" w:rsidRPr="009871FC" w:rsidRDefault="00BA092F" w:rsidP="008F0B07">
            <w:pPr>
              <w:spacing w:before="0"/>
              <w:jc w:val="left"/>
              <w:rPr>
                <w:rFonts w:ascii="Calibri" w:hAnsi="Calibri" w:cs="Calibri"/>
                <w:color w:val="000000"/>
              </w:rPr>
            </w:pPr>
            <w:r>
              <w:rPr>
                <w:rFonts w:ascii="Calibri" w:hAnsi="Calibri" w:cs="Calibri"/>
                <w:color w:val="000000"/>
              </w:rPr>
              <w:t>RVO</w:t>
            </w:r>
          </w:p>
        </w:tc>
        <w:tc>
          <w:tcPr>
            <w:tcW w:w="7796" w:type="dxa"/>
          </w:tcPr>
          <w:p w14:paraId="0AB39939" w14:textId="2C7025EF" w:rsidR="00BA092F" w:rsidRPr="009871FC" w:rsidRDefault="00BA092F" w:rsidP="008F0B07">
            <w:pPr>
              <w:spacing w:before="20" w:afterLines="20" w:after="48"/>
              <w:jc w:val="left"/>
            </w:pPr>
            <w:r>
              <w:t>Rozvaděč veřejného osvětlení</w:t>
            </w:r>
          </w:p>
        </w:tc>
      </w:tr>
      <w:tr w:rsidR="00296C7E" w14:paraId="63B0C1D5" w14:textId="77777777" w:rsidTr="00E37D33">
        <w:tc>
          <w:tcPr>
            <w:tcW w:w="1668" w:type="dxa"/>
          </w:tcPr>
          <w:p w14:paraId="01E4B8F3" w14:textId="66E061B7" w:rsidR="00296C7E" w:rsidRPr="009871FC" w:rsidRDefault="00296C7E" w:rsidP="008F0B07">
            <w:pPr>
              <w:spacing w:before="0"/>
              <w:jc w:val="left"/>
              <w:rPr>
                <w:rFonts w:ascii="Calibri" w:hAnsi="Calibri" w:cs="Calibri"/>
                <w:color w:val="000000"/>
              </w:rPr>
            </w:pPr>
            <w:r>
              <w:rPr>
                <w:rFonts w:ascii="Calibri" w:hAnsi="Calibri" w:cs="Calibri"/>
                <w:color w:val="000000"/>
              </w:rPr>
              <w:t>RVP</w:t>
            </w:r>
          </w:p>
        </w:tc>
        <w:tc>
          <w:tcPr>
            <w:tcW w:w="7796" w:type="dxa"/>
          </w:tcPr>
          <w:p w14:paraId="3E97E173" w14:textId="42F58F49" w:rsidR="00296C7E" w:rsidRPr="009871FC" w:rsidRDefault="00296C7E" w:rsidP="008F0B07">
            <w:pPr>
              <w:spacing w:before="20" w:afterLines="20" w:after="48"/>
              <w:jc w:val="left"/>
            </w:pPr>
            <w:r>
              <w:t>Rámcový vzdělávací program</w:t>
            </w:r>
          </w:p>
        </w:tc>
      </w:tr>
      <w:tr w:rsidR="008F0B07" w14:paraId="758EBFC2" w14:textId="77777777" w:rsidTr="00E37D33">
        <w:tc>
          <w:tcPr>
            <w:tcW w:w="1668" w:type="dxa"/>
          </w:tcPr>
          <w:p w14:paraId="2906F76F" w14:textId="3A709EFB" w:rsidR="008F0B07" w:rsidRPr="009871FC" w:rsidRDefault="008F0B07" w:rsidP="008F0B07">
            <w:pPr>
              <w:spacing w:before="0"/>
              <w:jc w:val="left"/>
              <w:rPr>
                <w:rFonts w:ascii="Calibri" w:hAnsi="Calibri" w:cs="Calibri"/>
                <w:color w:val="000000"/>
              </w:rPr>
            </w:pPr>
            <w:r>
              <w:rPr>
                <w:rFonts w:cs="Segoe UI"/>
              </w:rPr>
              <w:t>ŘSD</w:t>
            </w:r>
          </w:p>
        </w:tc>
        <w:tc>
          <w:tcPr>
            <w:tcW w:w="7796" w:type="dxa"/>
          </w:tcPr>
          <w:p w14:paraId="0B4F2017" w14:textId="0D8FDEC0" w:rsidR="008F0B07" w:rsidRPr="009871FC" w:rsidRDefault="008F0B07" w:rsidP="008F0B07">
            <w:pPr>
              <w:spacing w:before="20" w:afterLines="20" w:after="48"/>
              <w:jc w:val="left"/>
            </w:pPr>
            <w:r>
              <w:rPr>
                <w:rFonts w:cs="Segoe UI"/>
              </w:rPr>
              <w:t>Ředitelství silnic a dálnic</w:t>
            </w:r>
          </w:p>
        </w:tc>
      </w:tr>
      <w:tr w:rsidR="00BA092F" w14:paraId="3234789C" w14:textId="77777777" w:rsidTr="00E37D33">
        <w:tc>
          <w:tcPr>
            <w:tcW w:w="1668" w:type="dxa"/>
          </w:tcPr>
          <w:p w14:paraId="307922F5" w14:textId="2203B9F0" w:rsidR="00BA092F" w:rsidRDefault="00BA092F" w:rsidP="008F0B07">
            <w:pPr>
              <w:spacing w:before="0"/>
              <w:jc w:val="left"/>
              <w:rPr>
                <w:rFonts w:cs="Segoe UI"/>
              </w:rPr>
            </w:pPr>
            <w:r>
              <w:rPr>
                <w:rFonts w:cs="Segoe UI"/>
              </w:rPr>
              <w:t>SB</w:t>
            </w:r>
          </w:p>
        </w:tc>
        <w:tc>
          <w:tcPr>
            <w:tcW w:w="7796" w:type="dxa"/>
          </w:tcPr>
          <w:p w14:paraId="323EE719" w14:textId="62A1505F" w:rsidR="00BA092F" w:rsidRDefault="00BA092F" w:rsidP="008F0B07">
            <w:pPr>
              <w:spacing w:before="20" w:afterLines="20" w:after="48"/>
              <w:jc w:val="left"/>
              <w:rPr>
                <w:rFonts w:cs="Segoe UI"/>
              </w:rPr>
            </w:pPr>
            <w:r>
              <w:t>Světelný bod</w:t>
            </w:r>
          </w:p>
        </w:tc>
      </w:tr>
      <w:tr w:rsidR="008F0B07" w14:paraId="7D4ECFB8" w14:textId="77777777" w:rsidTr="00E37D33">
        <w:tc>
          <w:tcPr>
            <w:tcW w:w="1668" w:type="dxa"/>
          </w:tcPr>
          <w:p w14:paraId="64E4F38A" w14:textId="20AEE5AC" w:rsidR="008F0B07" w:rsidRDefault="008F0B07" w:rsidP="008F0B07">
            <w:pPr>
              <w:spacing w:before="0"/>
              <w:jc w:val="left"/>
              <w:rPr>
                <w:rFonts w:cs="Segoe UI"/>
              </w:rPr>
            </w:pPr>
            <w:r>
              <w:t>SDH</w:t>
            </w:r>
          </w:p>
        </w:tc>
        <w:tc>
          <w:tcPr>
            <w:tcW w:w="7796" w:type="dxa"/>
          </w:tcPr>
          <w:p w14:paraId="3E5FD3D8" w14:textId="70ADB021" w:rsidR="008F0B07" w:rsidRDefault="008F0B07" w:rsidP="008F0B07">
            <w:pPr>
              <w:spacing w:before="20" w:afterLines="20" w:after="48"/>
              <w:jc w:val="left"/>
              <w:rPr>
                <w:rFonts w:cs="Segoe UI"/>
              </w:rPr>
            </w:pPr>
            <w:r>
              <w:t>Sbor dobrovolných hasičů</w:t>
            </w:r>
          </w:p>
        </w:tc>
      </w:tr>
      <w:tr w:rsidR="008F0B07" w14:paraId="26D0C7AD" w14:textId="77777777" w:rsidTr="00E37D33">
        <w:tc>
          <w:tcPr>
            <w:tcW w:w="1668" w:type="dxa"/>
          </w:tcPr>
          <w:p w14:paraId="19867F37" w14:textId="77777777" w:rsidR="008F0B07" w:rsidRPr="009871FC" w:rsidRDefault="008F0B07" w:rsidP="008F0B07">
            <w:pPr>
              <w:spacing w:before="0"/>
              <w:jc w:val="left"/>
              <w:rPr>
                <w:rFonts w:ascii="Calibri" w:hAnsi="Calibri" w:cs="Calibri"/>
                <w:color w:val="000000"/>
              </w:rPr>
            </w:pPr>
            <w:r w:rsidRPr="009871FC">
              <w:rPr>
                <w:rFonts w:ascii="Calibri" w:hAnsi="Calibri" w:cs="Calibri"/>
                <w:color w:val="000000"/>
              </w:rPr>
              <w:t>SKO</w:t>
            </w:r>
          </w:p>
        </w:tc>
        <w:tc>
          <w:tcPr>
            <w:tcW w:w="7796" w:type="dxa"/>
          </w:tcPr>
          <w:p w14:paraId="57CB217E" w14:textId="77777777" w:rsidR="008F0B07" w:rsidRPr="009871FC" w:rsidRDefault="008F0B07" w:rsidP="008F0B07">
            <w:pPr>
              <w:spacing w:before="20" w:afterLines="20" w:after="48"/>
              <w:jc w:val="left"/>
            </w:pPr>
            <w:r w:rsidRPr="009871FC">
              <w:t>Směsný komunální odpad</w:t>
            </w:r>
          </w:p>
        </w:tc>
      </w:tr>
      <w:tr w:rsidR="008F0B07" w14:paraId="44CD776C" w14:textId="77777777" w:rsidTr="00E37D33">
        <w:tc>
          <w:tcPr>
            <w:tcW w:w="1668" w:type="dxa"/>
            <w:vAlign w:val="bottom"/>
          </w:tcPr>
          <w:p w14:paraId="3288F6B7"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SLDB</w:t>
            </w:r>
          </w:p>
        </w:tc>
        <w:tc>
          <w:tcPr>
            <w:tcW w:w="7796" w:type="dxa"/>
            <w:vAlign w:val="bottom"/>
          </w:tcPr>
          <w:p w14:paraId="4B6D8D2B" w14:textId="77777777" w:rsidR="008F0B07" w:rsidRPr="004D13E4" w:rsidRDefault="008F0B07" w:rsidP="008F0B07">
            <w:pPr>
              <w:spacing w:before="0"/>
              <w:jc w:val="left"/>
              <w:rPr>
                <w:rFonts w:ascii="Calibri" w:eastAsia="Times New Roman" w:hAnsi="Calibri" w:cs="Calibri"/>
                <w:color w:val="000000"/>
                <w:lang w:eastAsia="cs-CZ"/>
              </w:rPr>
            </w:pPr>
            <w:r w:rsidRPr="004D13E4">
              <w:rPr>
                <w:rFonts w:ascii="Calibri" w:eastAsia="Times New Roman" w:hAnsi="Calibri" w:cs="Segoe UI"/>
                <w:color w:val="000000"/>
                <w:lang w:eastAsia="cs-CZ"/>
              </w:rPr>
              <w:t>Sčítání lidu, domů a bytů</w:t>
            </w:r>
          </w:p>
        </w:tc>
      </w:tr>
      <w:tr w:rsidR="008F0B07" w14:paraId="2FB2D88D" w14:textId="77777777" w:rsidTr="00E60FC1">
        <w:tc>
          <w:tcPr>
            <w:tcW w:w="1668" w:type="dxa"/>
          </w:tcPr>
          <w:p w14:paraId="29F5C8BD" w14:textId="409C944E" w:rsidR="008F0B07" w:rsidRPr="004D13E4" w:rsidRDefault="008F0B07" w:rsidP="008F0B07">
            <w:pPr>
              <w:spacing w:before="0"/>
              <w:jc w:val="left"/>
              <w:rPr>
                <w:rFonts w:ascii="Calibri" w:eastAsia="Times New Roman" w:hAnsi="Calibri" w:cs="Segoe UI"/>
                <w:color w:val="000000"/>
                <w:lang w:eastAsia="cs-CZ"/>
              </w:rPr>
            </w:pPr>
            <w:r>
              <w:rPr>
                <w:rFonts w:cs="Segoe UI"/>
              </w:rPr>
              <w:t>SMZ</w:t>
            </w:r>
          </w:p>
        </w:tc>
        <w:tc>
          <w:tcPr>
            <w:tcW w:w="7796" w:type="dxa"/>
          </w:tcPr>
          <w:p w14:paraId="5522B627" w14:textId="51F242C9" w:rsidR="008F0B07" w:rsidRPr="004D13E4" w:rsidRDefault="008F0B07" w:rsidP="008F0B07">
            <w:pPr>
              <w:spacing w:before="0"/>
              <w:jc w:val="left"/>
              <w:rPr>
                <w:rFonts w:ascii="Calibri" w:eastAsia="Times New Roman" w:hAnsi="Calibri" w:cs="Segoe UI"/>
                <w:color w:val="000000"/>
                <w:lang w:eastAsia="cs-CZ"/>
              </w:rPr>
            </w:pPr>
            <w:r>
              <w:rPr>
                <w:rFonts w:cs="Segoe UI"/>
              </w:rPr>
              <w:t>Statutární město Zlín</w:t>
            </w:r>
          </w:p>
        </w:tc>
      </w:tr>
      <w:tr w:rsidR="008F0B07" w14:paraId="35107EA0" w14:textId="77777777" w:rsidTr="00E37D33">
        <w:tc>
          <w:tcPr>
            <w:tcW w:w="1668" w:type="dxa"/>
            <w:hideMark/>
          </w:tcPr>
          <w:p w14:paraId="196B4B0B" w14:textId="77777777" w:rsidR="008F0B07" w:rsidRDefault="008F0B07" w:rsidP="008F0B07">
            <w:pPr>
              <w:spacing w:before="20" w:afterLines="20" w:after="48"/>
              <w:rPr>
                <w:rFonts w:cs="Segoe UI"/>
              </w:rPr>
            </w:pPr>
            <w:r>
              <w:rPr>
                <w:rFonts w:cs="Segoe UI"/>
              </w:rPr>
              <w:t>SO ORP</w:t>
            </w:r>
          </w:p>
        </w:tc>
        <w:tc>
          <w:tcPr>
            <w:tcW w:w="7796" w:type="dxa"/>
            <w:hideMark/>
          </w:tcPr>
          <w:p w14:paraId="442AB28C" w14:textId="77777777" w:rsidR="008F0B07" w:rsidRDefault="008F0B07" w:rsidP="008F0B07">
            <w:pPr>
              <w:spacing w:before="20" w:afterLines="20" w:after="48"/>
              <w:rPr>
                <w:rFonts w:cs="Segoe UI"/>
              </w:rPr>
            </w:pPr>
            <w:r>
              <w:rPr>
                <w:rFonts w:cs="Segoe UI"/>
              </w:rPr>
              <w:t>Správní obvod obce s rozšířenou působností</w:t>
            </w:r>
          </w:p>
        </w:tc>
      </w:tr>
      <w:tr w:rsidR="008F0B07" w14:paraId="3EF5A6E3" w14:textId="77777777" w:rsidTr="00E37D33">
        <w:tc>
          <w:tcPr>
            <w:tcW w:w="1668" w:type="dxa"/>
          </w:tcPr>
          <w:p w14:paraId="52C34BA8" w14:textId="782DF606" w:rsidR="008F0B07" w:rsidRDefault="008F0B07" w:rsidP="008F0B07">
            <w:pPr>
              <w:spacing w:before="20" w:afterLines="20" w:after="48"/>
              <w:rPr>
                <w:rFonts w:cs="Segoe UI"/>
              </w:rPr>
            </w:pPr>
            <w:r>
              <w:rPr>
                <w:rFonts w:cs="Segoe UI"/>
              </w:rPr>
              <w:t>SŠ</w:t>
            </w:r>
          </w:p>
        </w:tc>
        <w:tc>
          <w:tcPr>
            <w:tcW w:w="7796" w:type="dxa"/>
          </w:tcPr>
          <w:p w14:paraId="293A5C5A" w14:textId="16442DAE" w:rsidR="008F0B07" w:rsidRDefault="008F0B07" w:rsidP="008F0B07">
            <w:pPr>
              <w:spacing w:before="20" w:afterLines="20" w:after="48"/>
              <w:rPr>
                <w:rFonts w:cs="Segoe UI"/>
              </w:rPr>
            </w:pPr>
            <w:r>
              <w:rPr>
                <w:rFonts w:cs="Segoe UI"/>
              </w:rPr>
              <w:t>Střední škola</w:t>
            </w:r>
          </w:p>
        </w:tc>
      </w:tr>
      <w:tr w:rsidR="00672892" w14:paraId="096B2E12" w14:textId="77777777" w:rsidTr="00E37D33">
        <w:tc>
          <w:tcPr>
            <w:tcW w:w="1668" w:type="dxa"/>
          </w:tcPr>
          <w:p w14:paraId="2E8C84C5" w14:textId="0EFB0D3E" w:rsidR="00672892" w:rsidRDefault="00672892" w:rsidP="008F0B07">
            <w:pPr>
              <w:spacing w:before="20" w:afterLines="20" w:after="48"/>
              <w:rPr>
                <w:rFonts w:cs="Segoe UI"/>
              </w:rPr>
            </w:pPr>
            <w:r>
              <w:rPr>
                <w:rFonts w:cs="Segoe UI"/>
              </w:rPr>
              <w:t>STL</w:t>
            </w:r>
          </w:p>
        </w:tc>
        <w:tc>
          <w:tcPr>
            <w:tcW w:w="7796" w:type="dxa"/>
          </w:tcPr>
          <w:p w14:paraId="5FCE53A1" w14:textId="068534E1" w:rsidR="00672892" w:rsidRPr="00494BCA" w:rsidRDefault="00672892" w:rsidP="008F0B07">
            <w:pPr>
              <w:spacing w:before="20" w:afterLines="20" w:after="48"/>
              <w:rPr>
                <w:rFonts w:cs="Segoe UI"/>
              </w:rPr>
            </w:pPr>
            <w:r>
              <w:rPr>
                <w:rFonts w:cs="Segoe UI"/>
              </w:rPr>
              <w:t>Středotlaké</w:t>
            </w:r>
          </w:p>
        </w:tc>
      </w:tr>
      <w:tr w:rsidR="008F0B07" w14:paraId="4AA1CD06" w14:textId="77777777" w:rsidTr="00E37D33">
        <w:tc>
          <w:tcPr>
            <w:tcW w:w="1668" w:type="dxa"/>
          </w:tcPr>
          <w:p w14:paraId="069EA371" w14:textId="4162A63F" w:rsidR="008F0B07" w:rsidRDefault="008F0B07" w:rsidP="008F0B07">
            <w:pPr>
              <w:spacing w:before="20" w:afterLines="20" w:after="48"/>
              <w:rPr>
                <w:rFonts w:cs="Segoe UI"/>
              </w:rPr>
            </w:pPr>
            <w:r>
              <w:rPr>
                <w:rFonts w:cs="Segoe UI"/>
              </w:rPr>
              <w:t>SUMF</w:t>
            </w:r>
          </w:p>
        </w:tc>
        <w:tc>
          <w:tcPr>
            <w:tcW w:w="7796" w:type="dxa"/>
          </w:tcPr>
          <w:p w14:paraId="0EF0E585" w14:textId="00908C97" w:rsidR="008F0B07" w:rsidRDefault="008F0B07" w:rsidP="008F0B07">
            <w:pPr>
              <w:spacing w:before="20" w:afterLines="20" w:after="48"/>
              <w:rPr>
                <w:rFonts w:cs="Segoe UI"/>
              </w:rPr>
            </w:pPr>
            <w:r w:rsidRPr="00494BCA">
              <w:rPr>
                <w:rFonts w:cs="Segoe UI"/>
              </w:rPr>
              <w:t xml:space="preserve">Sustainable Urban Mobility Framework </w:t>
            </w:r>
            <w:r>
              <w:rPr>
                <w:rFonts w:cs="Segoe UI"/>
              </w:rPr>
              <w:t>(Strategický rámec udržitelné dopravy)</w:t>
            </w:r>
          </w:p>
        </w:tc>
      </w:tr>
      <w:tr w:rsidR="008F0B07" w14:paraId="332CE3A1" w14:textId="77777777" w:rsidTr="00E37D33">
        <w:tc>
          <w:tcPr>
            <w:tcW w:w="1668" w:type="dxa"/>
          </w:tcPr>
          <w:p w14:paraId="5354D1D9" w14:textId="76C95B6F" w:rsidR="008F0B07" w:rsidRDefault="008F0B07" w:rsidP="008F0B07">
            <w:pPr>
              <w:spacing w:before="20" w:afterLines="20" w:after="48"/>
              <w:rPr>
                <w:rFonts w:cs="Segoe UI"/>
              </w:rPr>
            </w:pPr>
            <w:r>
              <w:rPr>
                <w:rFonts w:cs="Segoe UI"/>
              </w:rPr>
              <w:lastRenderedPageBreak/>
              <w:t>SV</w:t>
            </w:r>
          </w:p>
        </w:tc>
        <w:tc>
          <w:tcPr>
            <w:tcW w:w="7796" w:type="dxa"/>
          </w:tcPr>
          <w:p w14:paraId="780356FB" w14:textId="25C59EF2" w:rsidR="008F0B07" w:rsidRPr="00494BCA" w:rsidRDefault="008F0B07" w:rsidP="008F0B07">
            <w:pPr>
              <w:spacing w:before="20" w:afterLines="20" w:after="48"/>
              <w:rPr>
                <w:rFonts w:cs="Segoe UI"/>
              </w:rPr>
            </w:pPr>
            <w:r>
              <w:rPr>
                <w:rFonts w:cs="Segoe UI"/>
              </w:rPr>
              <w:t>Skupinový vodovod</w:t>
            </w:r>
          </w:p>
        </w:tc>
      </w:tr>
      <w:tr w:rsidR="00672892" w14:paraId="309D8B60" w14:textId="77777777" w:rsidTr="00E37D33">
        <w:tc>
          <w:tcPr>
            <w:tcW w:w="1668" w:type="dxa"/>
          </w:tcPr>
          <w:p w14:paraId="49020EB5" w14:textId="3A8CEA85" w:rsidR="00672892" w:rsidRDefault="00672892" w:rsidP="008F0B07">
            <w:pPr>
              <w:spacing w:before="20" w:afterLines="20" w:after="48"/>
              <w:rPr>
                <w:rFonts w:cs="Segoe UI"/>
              </w:rPr>
            </w:pPr>
            <w:r>
              <w:rPr>
                <w:rFonts w:cs="Segoe UI"/>
              </w:rPr>
              <w:t>SŽDC</w:t>
            </w:r>
          </w:p>
        </w:tc>
        <w:tc>
          <w:tcPr>
            <w:tcW w:w="7796" w:type="dxa"/>
          </w:tcPr>
          <w:p w14:paraId="6EFB0FE4" w14:textId="6B911C84" w:rsidR="00672892" w:rsidRDefault="00672892" w:rsidP="008F0B07">
            <w:pPr>
              <w:spacing w:before="20" w:afterLines="20" w:after="48"/>
              <w:rPr>
                <w:rFonts w:cs="Segoe UI"/>
              </w:rPr>
            </w:pPr>
            <w:r>
              <w:rPr>
                <w:rFonts w:cs="Segoe UI"/>
              </w:rPr>
              <w:t>Správa železniční dopravní cesty</w:t>
            </w:r>
          </w:p>
        </w:tc>
      </w:tr>
      <w:tr w:rsidR="008F0B07" w14:paraId="485A0B14" w14:textId="77777777" w:rsidTr="00E37D33">
        <w:tc>
          <w:tcPr>
            <w:tcW w:w="1668" w:type="dxa"/>
          </w:tcPr>
          <w:p w14:paraId="28623414" w14:textId="58547EE0" w:rsidR="008F0B07" w:rsidRDefault="008F0B07" w:rsidP="008F0B07">
            <w:pPr>
              <w:spacing w:before="20" w:afterLines="20" w:after="48"/>
              <w:rPr>
                <w:rFonts w:cs="Segoe UI"/>
              </w:rPr>
            </w:pPr>
            <w:r>
              <w:rPr>
                <w:rFonts w:cs="Segoe UI"/>
              </w:rPr>
              <w:t>ŠVP</w:t>
            </w:r>
          </w:p>
        </w:tc>
        <w:tc>
          <w:tcPr>
            <w:tcW w:w="7796" w:type="dxa"/>
          </w:tcPr>
          <w:p w14:paraId="5A74A7E6" w14:textId="3C942A2C" w:rsidR="008F0B07" w:rsidRDefault="008F0B07" w:rsidP="008F0B07">
            <w:pPr>
              <w:spacing w:before="20" w:afterLines="20" w:after="48"/>
              <w:rPr>
                <w:rFonts w:cs="Segoe UI"/>
              </w:rPr>
            </w:pPr>
            <w:r w:rsidRPr="006157F4">
              <w:rPr>
                <w:rFonts w:cs="Segoe UI"/>
              </w:rPr>
              <w:t>Školní vzdělávací program</w:t>
            </w:r>
          </w:p>
        </w:tc>
      </w:tr>
      <w:tr w:rsidR="008F0B07" w14:paraId="3E22A3A5" w14:textId="77777777" w:rsidTr="00E37D33">
        <w:tc>
          <w:tcPr>
            <w:tcW w:w="1668" w:type="dxa"/>
          </w:tcPr>
          <w:p w14:paraId="5D84045A" w14:textId="122E0184" w:rsidR="008F0B07" w:rsidRDefault="008F0B07" w:rsidP="008F0B07">
            <w:pPr>
              <w:spacing w:before="20" w:afterLines="20" w:after="48"/>
              <w:rPr>
                <w:rFonts w:cs="Segoe UI"/>
              </w:rPr>
            </w:pPr>
            <w:r>
              <w:rPr>
                <w:rFonts w:cs="Segoe UI"/>
              </w:rPr>
              <w:t>TIC</w:t>
            </w:r>
          </w:p>
        </w:tc>
        <w:tc>
          <w:tcPr>
            <w:tcW w:w="7796" w:type="dxa"/>
          </w:tcPr>
          <w:p w14:paraId="2CA7D853" w14:textId="09FCDB95" w:rsidR="008F0B07" w:rsidRPr="006157F4" w:rsidRDefault="008F0B07" w:rsidP="008F0B07">
            <w:pPr>
              <w:spacing w:before="20" w:afterLines="20" w:after="48"/>
              <w:rPr>
                <w:rFonts w:cs="Segoe UI"/>
              </w:rPr>
            </w:pPr>
            <w:r>
              <w:rPr>
                <w:rFonts w:cs="Segoe UI"/>
              </w:rPr>
              <w:t>Turistické informační centrum</w:t>
            </w:r>
          </w:p>
        </w:tc>
      </w:tr>
      <w:tr w:rsidR="008F0B07" w14:paraId="10B83CE6" w14:textId="77777777" w:rsidTr="00E37D33">
        <w:tc>
          <w:tcPr>
            <w:tcW w:w="1668" w:type="dxa"/>
          </w:tcPr>
          <w:p w14:paraId="54D68AD4" w14:textId="77777777" w:rsidR="008F0B07" w:rsidRPr="009871FC" w:rsidRDefault="008F0B07" w:rsidP="008F0B07">
            <w:pPr>
              <w:spacing w:before="0"/>
              <w:jc w:val="left"/>
              <w:rPr>
                <w:rFonts w:ascii="Calibri" w:hAnsi="Calibri" w:cs="Calibri"/>
                <w:color w:val="000000"/>
              </w:rPr>
            </w:pPr>
            <w:r>
              <w:rPr>
                <w:rFonts w:ascii="Calibri" w:hAnsi="Calibri" w:cs="Calibri"/>
                <w:color w:val="000000"/>
              </w:rPr>
              <w:t>TSZ</w:t>
            </w:r>
          </w:p>
        </w:tc>
        <w:tc>
          <w:tcPr>
            <w:tcW w:w="7796" w:type="dxa"/>
          </w:tcPr>
          <w:p w14:paraId="4598C487" w14:textId="77777777" w:rsidR="008F0B07" w:rsidRPr="009871FC" w:rsidRDefault="008F0B07" w:rsidP="008F0B07">
            <w:pPr>
              <w:spacing w:before="20" w:afterLines="20" w:after="48"/>
              <w:jc w:val="left"/>
            </w:pPr>
            <w:r>
              <w:t>Technické služby Zlín</w:t>
            </w:r>
          </w:p>
        </w:tc>
      </w:tr>
      <w:tr w:rsidR="00672892" w14:paraId="1B39E180" w14:textId="77777777" w:rsidTr="00E37D33">
        <w:tc>
          <w:tcPr>
            <w:tcW w:w="1668" w:type="dxa"/>
          </w:tcPr>
          <w:p w14:paraId="151AE72D" w14:textId="3E4A5533" w:rsidR="00672892" w:rsidRDefault="00672892" w:rsidP="008F0B07">
            <w:pPr>
              <w:spacing w:before="0"/>
              <w:jc w:val="left"/>
              <w:rPr>
                <w:rFonts w:ascii="Calibri" w:hAnsi="Calibri" w:cs="Calibri"/>
                <w:color w:val="000000"/>
              </w:rPr>
            </w:pPr>
            <w:r>
              <w:rPr>
                <w:rFonts w:ascii="Calibri" w:hAnsi="Calibri" w:cs="Calibri"/>
                <w:color w:val="000000"/>
              </w:rPr>
              <w:t>TUV</w:t>
            </w:r>
          </w:p>
        </w:tc>
        <w:tc>
          <w:tcPr>
            <w:tcW w:w="7796" w:type="dxa"/>
          </w:tcPr>
          <w:p w14:paraId="442359D4" w14:textId="311382AD" w:rsidR="00672892" w:rsidRDefault="00672892" w:rsidP="008F0B07">
            <w:pPr>
              <w:spacing w:before="20" w:afterLines="20" w:after="48"/>
              <w:jc w:val="left"/>
            </w:pPr>
            <w:r>
              <w:t>Teplá a užitková voda</w:t>
            </w:r>
          </w:p>
        </w:tc>
      </w:tr>
      <w:tr w:rsidR="008F0B07" w14:paraId="3D4B1792" w14:textId="77777777" w:rsidTr="00E37D33">
        <w:tc>
          <w:tcPr>
            <w:tcW w:w="1668" w:type="dxa"/>
            <w:hideMark/>
          </w:tcPr>
          <w:p w14:paraId="0704EC78" w14:textId="77777777" w:rsidR="008F0B07" w:rsidRDefault="008F0B07" w:rsidP="008F0B07">
            <w:pPr>
              <w:spacing w:before="20" w:afterLines="20" w:after="48"/>
              <w:rPr>
                <w:rFonts w:cs="Segoe UI"/>
              </w:rPr>
            </w:pPr>
            <w:r>
              <w:rPr>
                <w:rFonts w:cs="Segoe UI"/>
              </w:rPr>
              <w:t>ÚAP</w:t>
            </w:r>
          </w:p>
        </w:tc>
        <w:tc>
          <w:tcPr>
            <w:tcW w:w="7796" w:type="dxa"/>
            <w:hideMark/>
          </w:tcPr>
          <w:p w14:paraId="62F071D0" w14:textId="77777777" w:rsidR="008F0B07" w:rsidRDefault="008F0B07" w:rsidP="008F0B07">
            <w:pPr>
              <w:spacing w:before="20" w:afterLines="20" w:after="48"/>
              <w:rPr>
                <w:rFonts w:cs="Segoe UI"/>
              </w:rPr>
            </w:pPr>
            <w:r>
              <w:rPr>
                <w:rFonts w:cs="Segoe UI"/>
              </w:rPr>
              <w:t>Územně analytické podklady</w:t>
            </w:r>
          </w:p>
        </w:tc>
      </w:tr>
      <w:tr w:rsidR="008F0B07" w14:paraId="117BAD9B" w14:textId="77777777" w:rsidTr="00E37D33">
        <w:tc>
          <w:tcPr>
            <w:tcW w:w="1668" w:type="dxa"/>
          </w:tcPr>
          <w:p w14:paraId="04D4222C" w14:textId="77777777" w:rsidR="008F0B07" w:rsidRDefault="008F0B07" w:rsidP="008F0B07">
            <w:pPr>
              <w:spacing w:before="20" w:afterLines="20" w:after="48"/>
              <w:rPr>
                <w:rFonts w:cs="Segoe UI"/>
              </w:rPr>
            </w:pPr>
            <w:r>
              <w:rPr>
                <w:rFonts w:cs="Segoe UI"/>
              </w:rPr>
              <w:t>ÚP</w:t>
            </w:r>
          </w:p>
        </w:tc>
        <w:tc>
          <w:tcPr>
            <w:tcW w:w="7796" w:type="dxa"/>
          </w:tcPr>
          <w:p w14:paraId="592F9533" w14:textId="77777777" w:rsidR="008F0B07" w:rsidRDefault="008F0B07" w:rsidP="008F0B07">
            <w:pPr>
              <w:spacing w:before="20" w:afterLines="20" w:after="48"/>
              <w:rPr>
                <w:rFonts w:cs="Segoe UI"/>
              </w:rPr>
            </w:pPr>
            <w:r>
              <w:rPr>
                <w:rFonts w:cs="Segoe UI"/>
              </w:rPr>
              <w:t>Úřad práce</w:t>
            </w:r>
          </w:p>
        </w:tc>
      </w:tr>
      <w:tr w:rsidR="00672892" w14:paraId="7F96BF57" w14:textId="77777777" w:rsidTr="00E37D33">
        <w:tc>
          <w:tcPr>
            <w:tcW w:w="1668" w:type="dxa"/>
          </w:tcPr>
          <w:p w14:paraId="50AAEC5B" w14:textId="49701D4B" w:rsidR="00672892" w:rsidRDefault="00672892" w:rsidP="008F0B07">
            <w:pPr>
              <w:spacing w:before="20" w:afterLines="20" w:after="48"/>
              <w:rPr>
                <w:rFonts w:cs="Segoe UI"/>
              </w:rPr>
            </w:pPr>
            <w:r>
              <w:rPr>
                <w:rFonts w:cs="Segoe UI"/>
              </w:rPr>
              <w:t>ÚV</w:t>
            </w:r>
          </w:p>
        </w:tc>
        <w:tc>
          <w:tcPr>
            <w:tcW w:w="7796" w:type="dxa"/>
          </w:tcPr>
          <w:p w14:paraId="483A4C87" w14:textId="164E6D51" w:rsidR="00672892" w:rsidRDefault="00672892" w:rsidP="008F0B07">
            <w:pPr>
              <w:spacing w:before="20" w:afterLines="20" w:after="48"/>
              <w:rPr>
                <w:rFonts w:cs="Segoe UI"/>
              </w:rPr>
            </w:pPr>
            <w:r>
              <w:rPr>
                <w:rFonts w:cs="Segoe UI"/>
              </w:rPr>
              <w:t>Úpravna vody</w:t>
            </w:r>
          </w:p>
        </w:tc>
      </w:tr>
      <w:tr w:rsidR="008F0B07" w14:paraId="129ECDD4" w14:textId="77777777" w:rsidTr="00E37D33">
        <w:tc>
          <w:tcPr>
            <w:tcW w:w="1668" w:type="dxa"/>
          </w:tcPr>
          <w:p w14:paraId="4D17F14C" w14:textId="3B1EEC72" w:rsidR="008F0B07" w:rsidRDefault="008F0B07" w:rsidP="008F0B07">
            <w:pPr>
              <w:spacing w:before="20" w:afterLines="20" w:after="48"/>
              <w:rPr>
                <w:rFonts w:cs="Segoe UI"/>
              </w:rPr>
            </w:pPr>
            <w:r>
              <w:rPr>
                <w:rFonts w:cs="Segoe UI"/>
              </w:rPr>
              <w:t>UTB</w:t>
            </w:r>
          </w:p>
        </w:tc>
        <w:tc>
          <w:tcPr>
            <w:tcW w:w="7796" w:type="dxa"/>
          </w:tcPr>
          <w:p w14:paraId="2A90DDEE" w14:textId="38F5158B" w:rsidR="008F0B07" w:rsidRDefault="008F0B07" w:rsidP="008F0B07">
            <w:pPr>
              <w:spacing w:before="20" w:afterLines="20" w:after="48"/>
              <w:rPr>
                <w:rFonts w:cs="Segoe UI"/>
              </w:rPr>
            </w:pPr>
            <w:r>
              <w:rPr>
                <w:rFonts w:cs="Segoe UI"/>
              </w:rPr>
              <w:t>Univerzita Tomáše Bati</w:t>
            </w:r>
            <w:r w:rsidR="0023746C">
              <w:rPr>
                <w:rFonts w:cs="Segoe UI"/>
              </w:rPr>
              <w:t xml:space="preserve"> ve Zlíně</w:t>
            </w:r>
          </w:p>
        </w:tc>
      </w:tr>
      <w:tr w:rsidR="008F0B07" w14:paraId="77364EF5" w14:textId="77777777" w:rsidTr="00E37D33">
        <w:tc>
          <w:tcPr>
            <w:tcW w:w="1668" w:type="dxa"/>
          </w:tcPr>
          <w:p w14:paraId="50BFD23F" w14:textId="77777777" w:rsidR="008F0B07" w:rsidRPr="009871FC" w:rsidRDefault="008F0B07" w:rsidP="008F0B07">
            <w:pPr>
              <w:spacing w:before="0"/>
              <w:jc w:val="left"/>
              <w:rPr>
                <w:rFonts w:ascii="Calibri" w:hAnsi="Calibri" w:cs="Calibri"/>
                <w:color w:val="000000"/>
              </w:rPr>
            </w:pPr>
            <w:r w:rsidRPr="009871FC">
              <w:rPr>
                <w:rFonts w:ascii="Calibri" w:hAnsi="Calibri" w:cs="Calibri"/>
                <w:color w:val="000000"/>
              </w:rPr>
              <w:t>ÚSES</w:t>
            </w:r>
          </w:p>
        </w:tc>
        <w:tc>
          <w:tcPr>
            <w:tcW w:w="7796" w:type="dxa"/>
          </w:tcPr>
          <w:p w14:paraId="69F1AAE7" w14:textId="77777777" w:rsidR="008F0B07" w:rsidRPr="009871FC" w:rsidRDefault="008F0B07" w:rsidP="008F0B07">
            <w:pPr>
              <w:spacing w:before="20" w:afterLines="20" w:after="48"/>
              <w:jc w:val="left"/>
            </w:pPr>
            <w:r w:rsidRPr="009871FC">
              <w:t>Územní systém ekologické stability</w:t>
            </w:r>
          </w:p>
        </w:tc>
      </w:tr>
      <w:tr w:rsidR="00672892" w14:paraId="63548F12" w14:textId="77777777" w:rsidTr="00E37D33">
        <w:tc>
          <w:tcPr>
            <w:tcW w:w="1668" w:type="dxa"/>
          </w:tcPr>
          <w:p w14:paraId="426078E7" w14:textId="5F7424E0" w:rsidR="00672892" w:rsidRPr="009871FC" w:rsidRDefault="00672892" w:rsidP="008F0B07">
            <w:pPr>
              <w:spacing w:before="0"/>
              <w:jc w:val="left"/>
              <w:rPr>
                <w:rFonts w:ascii="Calibri" w:hAnsi="Calibri" w:cs="Calibri"/>
                <w:color w:val="000000"/>
              </w:rPr>
            </w:pPr>
            <w:r>
              <w:rPr>
                <w:rFonts w:ascii="Calibri" w:hAnsi="Calibri" w:cs="Calibri"/>
                <w:color w:val="000000"/>
              </w:rPr>
              <w:t>VDJ</w:t>
            </w:r>
          </w:p>
        </w:tc>
        <w:tc>
          <w:tcPr>
            <w:tcW w:w="7796" w:type="dxa"/>
          </w:tcPr>
          <w:p w14:paraId="0A0B01E6" w14:textId="6F21A9E9" w:rsidR="00672892" w:rsidRPr="009871FC" w:rsidRDefault="00672892" w:rsidP="008F0B07">
            <w:pPr>
              <w:spacing w:before="20" w:afterLines="20" w:after="48"/>
              <w:jc w:val="left"/>
            </w:pPr>
            <w:r>
              <w:t>Vodojem</w:t>
            </w:r>
          </w:p>
        </w:tc>
      </w:tr>
      <w:tr w:rsidR="00296C7E" w14:paraId="29DA6A2F" w14:textId="77777777" w:rsidTr="00E37D33">
        <w:tc>
          <w:tcPr>
            <w:tcW w:w="1668" w:type="dxa"/>
          </w:tcPr>
          <w:p w14:paraId="301878C7" w14:textId="35AFB671" w:rsidR="00296C7E" w:rsidRPr="009871FC" w:rsidRDefault="00296C7E" w:rsidP="008F0B07">
            <w:pPr>
              <w:spacing w:before="0"/>
              <w:jc w:val="left"/>
              <w:rPr>
                <w:rFonts w:ascii="Calibri" w:hAnsi="Calibri" w:cs="Calibri"/>
                <w:color w:val="000000"/>
              </w:rPr>
            </w:pPr>
            <w:r>
              <w:rPr>
                <w:rFonts w:ascii="Calibri" w:hAnsi="Calibri" w:cs="Calibri"/>
                <w:color w:val="000000"/>
              </w:rPr>
              <w:t>VHD</w:t>
            </w:r>
          </w:p>
        </w:tc>
        <w:tc>
          <w:tcPr>
            <w:tcW w:w="7796" w:type="dxa"/>
          </w:tcPr>
          <w:p w14:paraId="35DE3D17" w14:textId="0B2CC8B1" w:rsidR="00296C7E" w:rsidRPr="009871FC" w:rsidRDefault="00296C7E" w:rsidP="008F0B07">
            <w:pPr>
              <w:spacing w:before="20" w:afterLines="20" w:after="48"/>
              <w:jc w:val="left"/>
            </w:pPr>
            <w:r>
              <w:t>Veřejná hromadná doprava</w:t>
            </w:r>
          </w:p>
        </w:tc>
      </w:tr>
      <w:tr w:rsidR="008F0B07" w14:paraId="42FBC2BF" w14:textId="77777777" w:rsidTr="00E37D33">
        <w:tc>
          <w:tcPr>
            <w:tcW w:w="1668" w:type="dxa"/>
          </w:tcPr>
          <w:p w14:paraId="6673A1F4" w14:textId="0B4DE04F" w:rsidR="008F0B07" w:rsidRPr="009871FC" w:rsidRDefault="008F0B07" w:rsidP="008F0B07">
            <w:pPr>
              <w:spacing w:before="0"/>
              <w:jc w:val="left"/>
              <w:rPr>
                <w:rFonts w:ascii="Calibri" w:hAnsi="Calibri" w:cs="Calibri"/>
                <w:color w:val="000000"/>
              </w:rPr>
            </w:pPr>
            <w:r>
              <w:t>VISO</w:t>
            </w:r>
          </w:p>
        </w:tc>
        <w:tc>
          <w:tcPr>
            <w:tcW w:w="7796" w:type="dxa"/>
          </w:tcPr>
          <w:p w14:paraId="7D18FF01" w14:textId="45A30081" w:rsidR="008F0B07" w:rsidRPr="009871FC" w:rsidRDefault="008F0B07" w:rsidP="008F0B07">
            <w:pPr>
              <w:spacing w:before="20" w:afterLines="20" w:after="48"/>
              <w:jc w:val="left"/>
            </w:pPr>
            <w:r>
              <w:t>Varovný informační systém obyvatel</w:t>
            </w:r>
          </w:p>
        </w:tc>
      </w:tr>
      <w:tr w:rsidR="00672892" w14:paraId="199B8716" w14:textId="77777777" w:rsidTr="00E37D33">
        <w:tc>
          <w:tcPr>
            <w:tcW w:w="1668" w:type="dxa"/>
          </w:tcPr>
          <w:p w14:paraId="7C3361AF" w14:textId="75851B4A" w:rsidR="00672892" w:rsidRDefault="00672892" w:rsidP="008F0B07">
            <w:pPr>
              <w:spacing w:before="0"/>
              <w:jc w:val="left"/>
              <w:rPr>
                <w:rFonts w:cs="Segoe UI"/>
              </w:rPr>
            </w:pPr>
            <w:r>
              <w:rPr>
                <w:rFonts w:cs="Segoe UI"/>
              </w:rPr>
              <w:t>VN</w:t>
            </w:r>
          </w:p>
        </w:tc>
        <w:tc>
          <w:tcPr>
            <w:tcW w:w="7796" w:type="dxa"/>
          </w:tcPr>
          <w:p w14:paraId="5A376145" w14:textId="358EED08" w:rsidR="00672892" w:rsidRDefault="00672892" w:rsidP="008F0B07">
            <w:pPr>
              <w:spacing w:before="20" w:afterLines="20" w:after="48"/>
              <w:jc w:val="left"/>
              <w:rPr>
                <w:rFonts w:cstheme="minorHAnsi"/>
              </w:rPr>
            </w:pPr>
            <w:r>
              <w:rPr>
                <w:rFonts w:cstheme="minorHAnsi"/>
              </w:rPr>
              <w:t>Vysoké napětí</w:t>
            </w:r>
          </w:p>
        </w:tc>
      </w:tr>
      <w:tr w:rsidR="00BA092F" w14:paraId="0D6EBD07" w14:textId="77777777" w:rsidTr="00E37D33">
        <w:tc>
          <w:tcPr>
            <w:tcW w:w="1668" w:type="dxa"/>
          </w:tcPr>
          <w:p w14:paraId="354A8DB8" w14:textId="293AEF82" w:rsidR="00BA092F" w:rsidRDefault="00BA092F" w:rsidP="008F0B07">
            <w:pPr>
              <w:spacing w:before="0"/>
              <w:jc w:val="left"/>
              <w:rPr>
                <w:rFonts w:cs="Segoe UI"/>
              </w:rPr>
            </w:pPr>
            <w:r>
              <w:rPr>
                <w:rFonts w:cs="Segoe UI"/>
              </w:rPr>
              <w:t>VO</w:t>
            </w:r>
          </w:p>
        </w:tc>
        <w:tc>
          <w:tcPr>
            <w:tcW w:w="7796" w:type="dxa"/>
          </w:tcPr>
          <w:p w14:paraId="082BA53D" w14:textId="26C08B55" w:rsidR="00BA092F" w:rsidRDefault="00BA092F" w:rsidP="008F0B07">
            <w:pPr>
              <w:spacing w:before="20" w:afterLines="20" w:after="48"/>
              <w:jc w:val="left"/>
              <w:rPr>
                <w:rFonts w:cstheme="minorHAnsi"/>
              </w:rPr>
            </w:pPr>
            <w:r>
              <w:rPr>
                <w:rFonts w:cstheme="minorHAnsi"/>
              </w:rPr>
              <w:t>Veřejné osvětlení</w:t>
            </w:r>
          </w:p>
        </w:tc>
      </w:tr>
      <w:tr w:rsidR="008F0B07" w14:paraId="27CE5B32" w14:textId="77777777" w:rsidTr="00E37D33">
        <w:tc>
          <w:tcPr>
            <w:tcW w:w="1668" w:type="dxa"/>
          </w:tcPr>
          <w:p w14:paraId="64D38AB2" w14:textId="4EB3A4AD" w:rsidR="008F0B07" w:rsidRDefault="008F0B07" w:rsidP="008F0B07">
            <w:pPr>
              <w:spacing w:before="0"/>
              <w:jc w:val="left"/>
            </w:pPr>
            <w:r>
              <w:rPr>
                <w:rFonts w:cs="Segoe UI"/>
              </w:rPr>
              <w:t xml:space="preserve">VPM </w:t>
            </w:r>
          </w:p>
        </w:tc>
        <w:tc>
          <w:tcPr>
            <w:tcW w:w="7796" w:type="dxa"/>
          </w:tcPr>
          <w:p w14:paraId="227CC640" w14:textId="5CC17236" w:rsidR="008F0B07" w:rsidRDefault="008F0B07" w:rsidP="008F0B07">
            <w:pPr>
              <w:spacing w:before="20" w:afterLines="20" w:after="48"/>
              <w:jc w:val="left"/>
            </w:pPr>
            <w:r>
              <w:rPr>
                <w:rFonts w:cstheme="minorHAnsi"/>
              </w:rPr>
              <w:t>Volná pracovní</w:t>
            </w:r>
            <w:r w:rsidRPr="005C4721">
              <w:rPr>
                <w:rFonts w:cstheme="minorHAnsi"/>
              </w:rPr>
              <w:t xml:space="preserve"> míst</w:t>
            </w:r>
            <w:r>
              <w:rPr>
                <w:rFonts w:cstheme="minorHAnsi"/>
              </w:rPr>
              <w:t>a</w:t>
            </w:r>
          </w:p>
        </w:tc>
      </w:tr>
      <w:tr w:rsidR="00672892" w14:paraId="44A1CC97" w14:textId="77777777" w:rsidTr="00E37D33">
        <w:tc>
          <w:tcPr>
            <w:tcW w:w="1668" w:type="dxa"/>
          </w:tcPr>
          <w:p w14:paraId="4EAB66B3" w14:textId="431CFB3F" w:rsidR="00672892" w:rsidRDefault="00672892" w:rsidP="008F0B07">
            <w:pPr>
              <w:spacing w:before="0"/>
              <w:jc w:val="left"/>
              <w:rPr>
                <w:rFonts w:cs="Segoe UI"/>
              </w:rPr>
            </w:pPr>
            <w:r>
              <w:rPr>
                <w:rFonts w:cs="Segoe UI"/>
              </w:rPr>
              <w:t>VTL</w:t>
            </w:r>
          </w:p>
        </w:tc>
        <w:tc>
          <w:tcPr>
            <w:tcW w:w="7796" w:type="dxa"/>
          </w:tcPr>
          <w:p w14:paraId="208FB865" w14:textId="1B5C5C9E" w:rsidR="00672892" w:rsidRDefault="00672892" w:rsidP="008F0B07">
            <w:pPr>
              <w:spacing w:before="20" w:afterLines="20" w:after="48"/>
              <w:jc w:val="left"/>
              <w:rPr>
                <w:rFonts w:cstheme="minorHAnsi"/>
              </w:rPr>
            </w:pPr>
            <w:r>
              <w:rPr>
                <w:rFonts w:cstheme="minorHAnsi"/>
              </w:rPr>
              <w:t>Vysokotlaké</w:t>
            </w:r>
          </w:p>
        </w:tc>
      </w:tr>
      <w:tr w:rsidR="00672892" w14:paraId="3E2930B0" w14:textId="77777777" w:rsidTr="00E37D33">
        <w:tc>
          <w:tcPr>
            <w:tcW w:w="1668" w:type="dxa"/>
          </w:tcPr>
          <w:p w14:paraId="634EFAB6" w14:textId="532DF760" w:rsidR="00672892" w:rsidRDefault="00672892" w:rsidP="008F0B07">
            <w:pPr>
              <w:spacing w:before="0"/>
              <w:jc w:val="left"/>
              <w:rPr>
                <w:rFonts w:cs="Segoe UI"/>
              </w:rPr>
            </w:pPr>
            <w:r>
              <w:rPr>
                <w:rFonts w:cs="Segoe UI"/>
              </w:rPr>
              <w:t>VVN</w:t>
            </w:r>
          </w:p>
        </w:tc>
        <w:tc>
          <w:tcPr>
            <w:tcW w:w="7796" w:type="dxa"/>
          </w:tcPr>
          <w:p w14:paraId="67F50762" w14:textId="0894A011" w:rsidR="00672892" w:rsidRDefault="00672892" w:rsidP="008F0B07">
            <w:pPr>
              <w:spacing w:before="20" w:afterLines="20" w:after="48"/>
              <w:jc w:val="left"/>
              <w:rPr>
                <w:rFonts w:cstheme="minorHAnsi"/>
              </w:rPr>
            </w:pPr>
            <w:r>
              <w:rPr>
                <w:rFonts w:cstheme="minorHAnsi"/>
              </w:rPr>
              <w:t>Velmi vysoké napětí</w:t>
            </w:r>
          </w:p>
        </w:tc>
      </w:tr>
      <w:tr w:rsidR="008F0B07" w14:paraId="091B4A2B" w14:textId="77777777" w:rsidTr="00E37D33">
        <w:tc>
          <w:tcPr>
            <w:tcW w:w="1668" w:type="dxa"/>
          </w:tcPr>
          <w:p w14:paraId="1FF3C482" w14:textId="04477B01" w:rsidR="008F0B07" w:rsidRDefault="008F0B07" w:rsidP="008F0B07">
            <w:pPr>
              <w:spacing w:before="0"/>
              <w:jc w:val="left"/>
            </w:pPr>
            <w:r>
              <w:rPr>
                <w:rFonts w:cs="Segoe UI"/>
              </w:rPr>
              <w:t xml:space="preserve">YT </w:t>
            </w:r>
          </w:p>
        </w:tc>
        <w:tc>
          <w:tcPr>
            <w:tcW w:w="7796" w:type="dxa"/>
          </w:tcPr>
          <w:p w14:paraId="65C67249" w14:textId="454692BB" w:rsidR="008F0B07" w:rsidRDefault="008F0B07" w:rsidP="008F0B07">
            <w:pPr>
              <w:spacing w:before="20" w:afterLines="20" w:after="48"/>
              <w:jc w:val="left"/>
            </w:pPr>
            <w:r>
              <w:rPr>
                <w:rFonts w:cstheme="minorHAnsi"/>
              </w:rPr>
              <w:t>Youtube</w:t>
            </w:r>
          </w:p>
        </w:tc>
      </w:tr>
      <w:tr w:rsidR="00296C7E" w14:paraId="622A5305" w14:textId="77777777" w:rsidTr="00E37D33">
        <w:tc>
          <w:tcPr>
            <w:tcW w:w="1668" w:type="dxa"/>
          </w:tcPr>
          <w:p w14:paraId="30034A36" w14:textId="37FA88E8" w:rsidR="00296C7E" w:rsidRDefault="00296C7E" w:rsidP="008F0B07">
            <w:pPr>
              <w:spacing w:before="20" w:afterLines="20" w:after="48"/>
              <w:rPr>
                <w:rFonts w:cs="Segoe UI"/>
              </w:rPr>
            </w:pPr>
            <w:r>
              <w:rPr>
                <w:rFonts w:cs="Segoe UI"/>
              </w:rPr>
              <w:t>ZID</w:t>
            </w:r>
          </w:p>
        </w:tc>
        <w:tc>
          <w:tcPr>
            <w:tcW w:w="7796" w:type="dxa"/>
          </w:tcPr>
          <w:p w14:paraId="0942C91F" w14:textId="6AE9933B" w:rsidR="00296C7E" w:rsidRDefault="00296C7E" w:rsidP="008F0B07">
            <w:pPr>
              <w:spacing w:before="20" w:afterLines="20" w:after="48"/>
              <w:rPr>
                <w:rFonts w:cs="Segoe UI"/>
              </w:rPr>
            </w:pPr>
            <w:r>
              <w:rPr>
                <w:rFonts w:cs="Segoe UI"/>
              </w:rPr>
              <w:t>Zlínská integrovaná doprava</w:t>
            </w:r>
          </w:p>
        </w:tc>
      </w:tr>
      <w:tr w:rsidR="008F0B07" w14:paraId="5FA175B7" w14:textId="77777777" w:rsidTr="00E37D33">
        <w:tc>
          <w:tcPr>
            <w:tcW w:w="1668" w:type="dxa"/>
            <w:hideMark/>
          </w:tcPr>
          <w:p w14:paraId="7980148C" w14:textId="77777777" w:rsidR="008F0B07" w:rsidRDefault="008F0B07" w:rsidP="008F0B07">
            <w:pPr>
              <w:spacing w:before="20" w:afterLines="20" w:after="48"/>
              <w:rPr>
                <w:rFonts w:cs="Segoe UI"/>
              </w:rPr>
            </w:pPr>
            <w:r>
              <w:rPr>
                <w:rFonts w:cs="Segoe UI"/>
              </w:rPr>
              <w:t>ZPF</w:t>
            </w:r>
          </w:p>
        </w:tc>
        <w:tc>
          <w:tcPr>
            <w:tcW w:w="7796" w:type="dxa"/>
            <w:hideMark/>
          </w:tcPr>
          <w:p w14:paraId="41A12F54" w14:textId="77777777" w:rsidR="008F0B07" w:rsidRDefault="008F0B07" w:rsidP="008F0B07">
            <w:pPr>
              <w:spacing w:before="20" w:afterLines="20" w:after="48"/>
              <w:rPr>
                <w:rFonts w:cs="Segoe UI"/>
              </w:rPr>
            </w:pPr>
            <w:r>
              <w:rPr>
                <w:rFonts w:cs="Segoe UI"/>
              </w:rPr>
              <w:t>Zemědělský půdní fond</w:t>
            </w:r>
          </w:p>
        </w:tc>
      </w:tr>
      <w:tr w:rsidR="008F0B07" w14:paraId="04C50C1B" w14:textId="77777777" w:rsidTr="00E37D33">
        <w:tc>
          <w:tcPr>
            <w:tcW w:w="1668" w:type="dxa"/>
          </w:tcPr>
          <w:p w14:paraId="7C304C66" w14:textId="08040D4F" w:rsidR="008F0B07" w:rsidRDefault="008F0B07" w:rsidP="008F0B07">
            <w:pPr>
              <w:spacing w:before="20" w:afterLines="20" w:after="48"/>
              <w:rPr>
                <w:rFonts w:cs="Segoe UI"/>
              </w:rPr>
            </w:pPr>
            <w:r>
              <w:rPr>
                <w:rFonts w:cs="Segoe UI"/>
              </w:rPr>
              <w:t>ZTP</w:t>
            </w:r>
          </w:p>
        </w:tc>
        <w:tc>
          <w:tcPr>
            <w:tcW w:w="7796" w:type="dxa"/>
          </w:tcPr>
          <w:p w14:paraId="63EFE22F" w14:textId="1E7F3F95" w:rsidR="008F0B07" w:rsidRDefault="008F0B07" w:rsidP="008F0B07">
            <w:pPr>
              <w:spacing w:before="20" w:afterLines="20" w:after="48"/>
              <w:rPr>
                <w:rFonts w:cs="Segoe UI"/>
              </w:rPr>
            </w:pPr>
            <w:r>
              <w:rPr>
                <w:rFonts w:cstheme="minorHAnsi"/>
              </w:rPr>
              <w:t>Z</w:t>
            </w:r>
            <w:r w:rsidRPr="00B314BE">
              <w:rPr>
                <w:rFonts w:cstheme="minorHAnsi"/>
              </w:rPr>
              <w:t>vlášť těžké postižení</w:t>
            </w:r>
          </w:p>
        </w:tc>
      </w:tr>
      <w:tr w:rsidR="008F0B07" w14:paraId="1C79CB79" w14:textId="77777777" w:rsidTr="00E37D33">
        <w:tc>
          <w:tcPr>
            <w:tcW w:w="1668" w:type="dxa"/>
          </w:tcPr>
          <w:p w14:paraId="15AF52E5" w14:textId="58B059D7" w:rsidR="008F0B07" w:rsidRDefault="008F0B07" w:rsidP="008F0B07">
            <w:pPr>
              <w:spacing w:before="20" w:afterLines="20" w:after="48"/>
              <w:rPr>
                <w:rFonts w:cs="Segoe UI"/>
              </w:rPr>
            </w:pPr>
            <w:r>
              <w:rPr>
                <w:rFonts w:cs="Segoe UI"/>
              </w:rPr>
              <w:t>ZŠ</w:t>
            </w:r>
          </w:p>
        </w:tc>
        <w:tc>
          <w:tcPr>
            <w:tcW w:w="7796" w:type="dxa"/>
          </w:tcPr>
          <w:p w14:paraId="020BDF15" w14:textId="00736646" w:rsidR="008F0B07" w:rsidRDefault="008F0B07" w:rsidP="008F0B07">
            <w:pPr>
              <w:spacing w:before="20" w:afterLines="20" w:after="48"/>
              <w:rPr>
                <w:rFonts w:cs="Segoe UI"/>
              </w:rPr>
            </w:pPr>
            <w:r>
              <w:rPr>
                <w:rFonts w:cs="Segoe UI"/>
              </w:rPr>
              <w:t>Základní škola</w:t>
            </w:r>
          </w:p>
        </w:tc>
      </w:tr>
      <w:tr w:rsidR="008F0B07" w14:paraId="702BCD6E" w14:textId="77777777" w:rsidTr="00E37D33">
        <w:tc>
          <w:tcPr>
            <w:tcW w:w="1668" w:type="dxa"/>
          </w:tcPr>
          <w:p w14:paraId="46AA40D0" w14:textId="18A5B1F2" w:rsidR="008F0B07" w:rsidRDefault="008F0B07" w:rsidP="008F0B07">
            <w:pPr>
              <w:spacing w:before="20" w:afterLines="20" w:after="48"/>
              <w:rPr>
                <w:rFonts w:cs="Segoe UI"/>
              </w:rPr>
            </w:pPr>
            <w:r>
              <w:rPr>
                <w:rFonts w:cs="Segoe UI"/>
              </w:rPr>
              <w:t>ZÚR ZK</w:t>
            </w:r>
          </w:p>
        </w:tc>
        <w:tc>
          <w:tcPr>
            <w:tcW w:w="7796" w:type="dxa"/>
          </w:tcPr>
          <w:p w14:paraId="0C85481A" w14:textId="27A861EA" w:rsidR="008F0B07" w:rsidRDefault="008F0B07" w:rsidP="008F0B07">
            <w:pPr>
              <w:spacing w:before="20" w:afterLines="20" w:after="48"/>
              <w:rPr>
                <w:rFonts w:cs="Segoe UI"/>
              </w:rPr>
            </w:pPr>
            <w:r>
              <w:rPr>
                <w:rFonts w:cs="Segoe UI"/>
              </w:rPr>
              <w:t>Zásady územního rozvoje Zlínského kraje</w:t>
            </w:r>
          </w:p>
        </w:tc>
      </w:tr>
      <w:tr w:rsidR="008F0B07" w14:paraId="5900B705" w14:textId="77777777" w:rsidTr="00E37D33">
        <w:tc>
          <w:tcPr>
            <w:tcW w:w="1668" w:type="dxa"/>
          </w:tcPr>
          <w:p w14:paraId="6E098B68" w14:textId="662744BF" w:rsidR="008F0B07" w:rsidRDefault="008F0B07" w:rsidP="008F0B07">
            <w:pPr>
              <w:spacing w:before="20" w:afterLines="20" w:after="48"/>
              <w:rPr>
                <w:rFonts w:cs="Segoe UI"/>
              </w:rPr>
            </w:pPr>
            <w:r>
              <w:rPr>
                <w:rFonts w:cs="Segoe UI"/>
              </w:rPr>
              <w:t>ZUŠ</w:t>
            </w:r>
          </w:p>
        </w:tc>
        <w:tc>
          <w:tcPr>
            <w:tcW w:w="7796" w:type="dxa"/>
          </w:tcPr>
          <w:p w14:paraId="7F361641" w14:textId="0B8551DF" w:rsidR="008F0B07" w:rsidRDefault="008F0B07" w:rsidP="008F0B07">
            <w:pPr>
              <w:spacing w:before="20" w:afterLines="20" w:after="48"/>
              <w:rPr>
                <w:rFonts w:cs="Segoe UI"/>
              </w:rPr>
            </w:pPr>
            <w:r w:rsidRPr="00622231">
              <w:rPr>
                <w:rFonts w:cs="Segoe UI"/>
              </w:rPr>
              <w:t>Základní umělecká škola</w:t>
            </w:r>
          </w:p>
        </w:tc>
      </w:tr>
      <w:tr w:rsidR="00296C7E" w14:paraId="60E1A544" w14:textId="77777777" w:rsidTr="00E37D33">
        <w:tc>
          <w:tcPr>
            <w:tcW w:w="1668" w:type="dxa"/>
          </w:tcPr>
          <w:p w14:paraId="219B5703" w14:textId="2111B402" w:rsidR="00296C7E" w:rsidRDefault="00296C7E" w:rsidP="008F0B07">
            <w:pPr>
              <w:spacing w:before="20" w:afterLines="20" w:after="48"/>
              <w:rPr>
                <w:rFonts w:cs="Segoe UI"/>
              </w:rPr>
            </w:pPr>
            <w:r>
              <w:rPr>
                <w:rFonts w:cs="Segoe UI"/>
              </w:rPr>
              <w:t>ZV</w:t>
            </w:r>
          </w:p>
        </w:tc>
        <w:tc>
          <w:tcPr>
            <w:tcW w:w="7796" w:type="dxa"/>
          </w:tcPr>
          <w:p w14:paraId="5F65D678" w14:textId="31B78F24" w:rsidR="00296C7E" w:rsidRPr="00622231" w:rsidRDefault="00296C7E" w:rsidP="008F0B07">
            <w:pPr>
              <w:spacing w:before="20" w:afterLines="20" w:after="48"/>
              <w:rPr>
                <w:rFonts w:cs="Segoe UI"/>
              </w:rPr>
            </w:pPr>
            <w:r>
              <w:rPr>
                <w:rFonts w:cs="Segoe UI"/>
              </w:rPr>
              <w:t>Základní vzdělávání</w:t>
            </w:r>
          </w:p>
        </w:tc>
      </w:tr>
    </w:tbl>
    <w:p w14:paraId="0B6E2A8A" w14:textId="77777777" w:rsidR="0086272A" w:rsidRDefault="0086272A" w:rsidP="0086272A"/>
    <w:p w14:paraId="116A4F7B" w14:textId="77777777" w:rsidR="0086272A" w:rsidRDefault="0086272A">
      <w:pPr>
        <w:spacing w:before="0" w:after="160" w:line="259" w:lineRule="auto"/>
        <w:jc w:val="left"/>
        <w:rPr>
          <w:rFonts w:eastAsiaTheme="majorEastAsia" w:cstheme="majorBidi"/>
          <w:b/>
          <w:color w:val="323E4F" w:themeColor="text2" w:themeShade="BF"/>
          <w:sz w:val="32"/>
          <w:szCs w:val="32"/>
        </w:rPr>
      </w:pPr>
      <w:r>
        <w:br w:type="page"/>
      </w:r>
    </w:p>
    <w:p w14:paraId="20E4F764" w14:textId="1C62B299" w:rsidR="00BF26AA" w:rsidRDefault="00BF26AA" w:rsidP="00B55FB4">
      <w:pPr>
        <w:pStyle w:val="Nadpis1"/>
      </w:pPr>
      <w:bookmarkStart w:id="3" w:name="_Toc77074570"/>
      <w:r>
        <w:lastRenderedPageBreak/>
        <w:t>Analýza vnitřního prostředí</w:t>
      </w:r>
      <w:bookmarkEnd w:id="3"/>
    </w:p>
    <w:p w14:paraId="11B4A827" w14:textId="1499E29E" w:rsidR="0052785F" w:rsidRDefault="0052785F" w:rsidP="0052785F">
      <w:r w:rsidRPr="00A632B2">
        <w:t>Analýza je provedena za účelem nalezení hlavních potenciálních pólů rozvoje</w:t>
      </w:r>
      <w:r>
        <w:t xml:space="preserve"> statutárního města Zlína</w:t>
      </w:r>
      <w:r w:rsidRPr="00A632B2">
        <w:t xml:space="preserve"> při zohlednění současných změn, jejichž další podporou dojde ke stimulaci ekonomického a sociá</w:t>
      </w:r>
      <w:r>
        <w:t xml:space="preserve">lního růstu území města </w:t>
      </w:r>
      <w:r w:rsidRPr="00A632B2">
        <w:t xml:space="preserve">a ochraně </w:t>
      </w:r>
      <w:r w:rsidRPr="00D977A3">
        <w:t xml:space="preserve">území před růstem sociálních a bezpečnostních rizik. </w:t>
      </w:r>
      <w:r>
        <w:t>Kapitola Analýza vnitřního prostředí se zabývá zhodnocením aspektů v jednotlivých oblastech (Územní plánování a</w:t>
      </w:r>
      <w:r w:rsidR="00BB5485">
        <w:t> </w:t>
      </w:r>
      <w:r>
        <w:t>urbanismus, Kvalita života, Vzdělá</w:t>
      </w:r>
      <w:r w:rsidR="00757ADA">
        <w:t>vá</w:t>
      </w:r>
      <w:r>
        <w:t>ní, Doprava a technická infrastruktura, Bezpečnost</w:t>
      </w:r>
      <w:r w:rsidR="001C61D7">
        <w:t>, Vstřícné město</w:t>
      </w:r>
      <w:r>
        <w:t xml:space="preserve">) a jejich podoblastech. </w:t>
      </w:r>
    </w:p>
    <w:p w14:paraId="5AA39D4F" w14:textId="77777777" w:rsidR="0052785F" w:rsidRDefault="0052785F" w:rsidP="0052785F">
      <w:pPr>
        <w:spacing w:after="120"/>
      </w:pPr>
      <w:r>
        <w:t>Při tvorbě analytické části se vycházelo z primárních i sekundární dat, shromážděných z dostupných databází a</w:t>
      </w:r>
      <w:r w:rsidRPr="00765519">
        <w:rPr>
          <w:szCs w:val="24"/>
        </w:rPr>
        <w:t xml:space="preserve"> dalších informačních zdrojů</w:t>
      </w:r>
      <w:r>
        <w:rPr>
          <w:szCs w:val="24"/>
        </w:rPr>
        <w:t>, strategických a koncepčních dokumentů, které se k území vztahují.</w:t>
      </w:r>
      <w:r>
        <w:t xml:space="preserve"> Ve vhodných případech bylo provedeno porovnání s dalšími městy či územními celky. </w:t>
      </w:r>
    </w:p>
    <w:p w14:paraId="51D6C1EE" w14:textId="23B881E4" w:rsidR="0052785F" w:rsidRDefault="0052785F" w:rsidP="0052785F">
      <w:pPr>
        <w:rPr>
          <w:lang w:eastAsia="ja-JP"/>
        </w:rPr>
      </w:pPr>
      <w:r>
        <w:t>V rámci analytické části bylo</w:t>
      </w:r>
      <w:r w:rsidRPr="00766B24">
        <w:t xml:space="preserve"> </w:t>
      </w:r>
      <w:r>
        <w:t>provedeno anketní šetření spokojenosti obyvatel města, průzkum podnikatelského prostředí a rozhovory s osobnostmi/stakehol</w:t>
      </w:r>
      <w:r w:rsidR="001C61D7">
        <w:t>dery. Výstupy z těchto šetření b</w:t>
      </w:r>
      <w:r>
        <w:t>yly zapracovány do příslušných část</w:t>
      </w:r>
      <w:r w:rsidR="004B3E59">
        <w:t>í</w:t>
      </w:r>
      <w:r>
        <w:t xml:space="preserve"> analýzy. </w:t>
      </w:r>
    </w:p>
    <w:p w14:paraId="36DAA652" w14:textId="2FDFDBDA" w:rsidR="0052785F" w:rsidRDefault="0052785F" w:rsidP="0052785F">
      <w:r>
        <w:t>Jednotlivé oblasti jsou uzavřeny výčtem hlavních analy</w:t>
      </w:r>
      <w:r w:rsidR="004B3E59">
        <w:t>tických zjištění ve formě dílčího shrnutí</w:t>
      </w:r>
      <w:r>
        <w:t xml:space="preserve"> a SWOT analýzy.</w:t>
      </w:r>
    </w:p>
    <w:p w14:paraId="7D2B6FFA" w14:textId="5FA672BC" w:rsidR="007F66B5" w:rsidRDefault="007F66B5">
      <w:pPr>
        <w:spacing w:before="0" w:after="160" w:line="259" w:lineRule="auto"/>
        <w:jc w:val="left"/>
      </w:pPr>
      <w:r>
        <w:br w:type="page"/>
      </w:r>
    </w:p>
    <w:p w14:paraId="6F50A262" w14:textId="77777777" w:rsidR="00AF371C" w:rsidRDefault="00AF371C" w:rsidP="00AF371C">
      <w:pPr>
        <w:pStyle w:val="Nadpis2"/>
      </w:pPr>
      <w:bookmarkStart w:id="4" w:name="_Toc46988091"/>
      <w:bookmarkStart w:id="5" w:name="_Toc52960760"/>
      <w:bookmarkStart w:id="6" w:name="_Toc77074571"/>
      <w:bookmarkStart w:id="7" w:name="_Toc50468116"/>
      <w:r w:rsidRPr="008C280D">
        <w:lastRenderedPageBreak/>
        <w:t>Město s příhodnými podmínkami pro budoucnost</w:t>
      </w:r>
      <w:bookmarkEnd w:id="4"/>
      <w:bookmarkEnd w:id="5"/>
      <w:bookmarkEnd w:id="6"/>
      <w:r w:rsidRPr="008C280D">
        <w:t xml:space="preserve"> </w:t>
      </w:r>
    </w:p>
    <w:p w14:paraId="03726F95" w14:textId="77777777" w:rsidR="00AF371C" w:rsidRDefault="00AF371C" w:rsidP="00AF371C">
      <w:pPr>
        <w:jc w:val="center"/>
        <w:rPr>
          <w:rFonts w:cstheme="minorHAnsi"/>
          <w:i/>
        </w:rPr>
      </w:pPr>
      <w:r w:rsidRPr="0037335B">
        <w:rPr>
          <w:rFonts w:cstheme="minorHAnsi"/>
          <w:i/>
        </w:rPr>
        <w:t>„Zlín je úžasné a nedoceněné město. Vyrostlo z rukou schopných a neobyčejně pracovitých lidí.“</w:t>
      </w:r>
    </w:p>
    <w:p w14:paraId="582F62D8" w14:textId="77777777" w:rsidR="00AF371C" w:rsidRDefault="00AF371C" w:rsidP="00AF371C">
      <w:pPr>
        <w:jc w:val="right"/>
        <w:rPr>
          <w:rFonts w:cstheme="minorHAnsi"/>
        </w:rPr>
      </w:pPr>
      <w:r w:rsidRPr="0037335B">
        <w:rPr>
          <w:rFonts w:cstheme="minorHAnsi"/>
        </w:rPr>
        <w:t>Eva Jiřičná, architektka</w:t>
      </w:r>
    </w:p>
    <w:p w14:paraId="2CEFEFC2" w14:textId="77777777" w:rsidR="00AF371C" w:rsidRDefault="00AF371C" w:rsidP="00AF371C">
      <w:pPr>
        <w:pStyle w:val="Nadpis3"/>
        <w:ind w:left="720"/>
      </w:pPr>
      <w:bookmarkStart w:id="8" w:name="_Toc46988092"/>
      <w:bookmarkStart w:id="9" w:name="_Toc52960761"/>
      <w:bookmarkStart w:id="10" w:name="_Toc77074572"/>
      <w:r w:rsidRPr="003B6339">
        <w:t>Poloha a geografické vymezení</w:t>
      </w:r>
      <w:bookmarkEnd w:id="8"/>
      <w:bookmarkEnd w:id="9"/>
      <w:bookmarkEnd w:id="10"/>
      <w:r w:rsidRPr="003B6339">
        <w:t xml:space="preserve"> </w:t>
      </w:r>
    </w:p>
    <w:p w14:paraId="0BCD9F8D" w14:textId="42B7796D" w:rsidR="00AF371C" w:rsidRDefault="00AF371C" w:rsidP="00AF371C">
      <w:r w:rsidRPr="006810BC">
        <w:t>Podoba dnešního Zlína, jeho současná velikost a význa</w:t>
      </w:r>
      <w:r>
        <w:t>m,</w:t>
      </w:r>
      <w:r w:rsidRPr="006810BC">
        <w:t xml:space="preserve"> je neoddělitelně spjat</w:t>
      </w:r>
      <w:r w:rsidR="00BB5485">
        <w:t>a</w:t>
      </w:r>
      <w:r w:rsidRPr="006810BC">
        <w:t xml:space="preserve"> s lokalizací výrobních závodů firmy Baťa právě ve Zlíně a s tím spojeným intenzivním rozvojem průmyslu v 1. pol. 20. století. Prostorové uspořádání města je předurčen</w:t>
      </w:r>
      <w:r>
        <w:t>o fyzickogeografickým charakterem</w:t>
      </w:r>
      <w:r w:rsidRPr="006810BC">
        <w:t xml:space="preserve"> území, kde se nachází. Pro uspořádání města je charakteristická </w:t>
      </w:r>
      <w:r>
        <w:t>d</w:t>
      </w:r>
      <w:r w:rsidRPr="006810BC">
        <w:t>ominantní východo-západní osa urbanizovaného území</w:t>
      </w:r>
      <w:r>
        <w:t>, která kopíruje údolí řeky Dřevnice. Naopak severní a jižní okraj města ohraničují zalesněné svahy pásů Vizovické vrchoviny, které jsou určitými bariérami další územní expanze města. Město Zlín</w:t>
      </w:r>
      <w:r w:rsidR="00CE7182">
        <w:t xml:space="preserve"> je unikátním </w:t>
      </w:r>
      <w:r>
        <w:t>zachovalým souborem funkcionalistické architektury a urbanistické struktury města. V období 30. let</w:t>
      </w:r>
      <w:r w:rsidR="00CE7182">
        <w:t xml:space="preserve"> 20. století</w:t>
      </w:r>
      <w:r>
        <w:t xml:space="preserve"> byly ve stejném duchu jako Zlín budovány moderní Otrokovice, které díky lepší dopravní dostupnosti železniční, silniční i říční dopravy a dostatku volných ploch byly ideálním prostorem pro lokalizaci určitých druhů výroby (koželužská, papírenská, chemická nebo gumárenská). V dnešní době je Zlín s Otrokovicemi propojen jednotným systémem veřejné dopravy a díky blízkosti obou měst a</w:t>
      </w:r>
      <w:r w:rsidR="00804AF3">
        <w:t> </w:t>
      </w:r>
      <w:r>
        <w:t>společné koncentraci ekonomických aktivit je propojení obou měst základem širší Zlínské aglomerace.</w:t>
      </w:r>
    </w:p>
    <w:p w14:paraId="6A6E8EEE" w14:textId="77777777" w:rsidR="00AF371C" w:rsidRDefault="00AF371C" w:rsidP="00AF371C">
      <w:pPr>
        <w:pStyle w:val="Nadpis3"/>
        <w:ind w:left="720"/>
      </w:pPr>
      <w:bookmarkStart w:id="11" w:name="_Toc52960762"/>
      <w:bookmarkStart w:id="12" w:name="_Toc77074573"/>
      <w:r>
        <w:t>Regionální vazby Zlína</w:t>
      </w:r>
      <w:bookmarkEnd w:id="11"/>
      <w:bookmarkEnd w:id="12"/>
    </w:p>
    <w:p w14:paraId="2E6E2ED5" w14:textId="0E7CC770" w:rsidR="00AF371C" w:rsidRPr="00D35342" w:rsidRDefault="00AF371C" w:rsidP="00AF371C">
      <w:r w:rsidRPr="00D35342">
        <w:t xml:space="preserve">Město Zlín je jádrem Zlínské aglomerace, </w:t>
      </w:r>
      <w:r>
        <w:t xml:space="preserve">funkčně propojeného celku </w:t>
      </w:r>
      <w:r w:rsidRPr="00D35342">
        <w:t>hustě zalidněného</w:t>
      </w:r>
      <w:r>
        <w:t xml:space="preserve"> urbanizovaného</w:t>
      </w:r>
      <w:r w:rsidRPr="00D35342">
        <w:t xml:space="preserve"> území s vysokou koncentrací ekonomických aktivit republikového významu. O</w:t>
      </w:r>
      <w:r w:rsidR="00BB5485">
        <w:t> </w:t>
      </w:r>
      <w:r w:rsidRPr="00D35342">
        <w:t>významu Zlínské aglomerace také svědčí skutečnost, že se jedná o jednu z rozvojových oblastí České republiky stanovenou v závazném dokumentu „Politika územního rozvoje ČR</w:t>
      </w:r>
      <w:r w:rsidRPr="00D35342">
        <w:rPr>
          <w:rStyle w:val="Znakapoznpodarou"/>
        </w:rPr>
        <w:footnoteReference w:id="2"/>
      </w:r>
      <w:r w:rsidRPr="00D35342">
        <w:t>“ (PÚR), který koordinuje regionální rozvoj na celostátní, přeshraniční a mezinárodní úrovni. Bližší specifikace Rozvojové oblast</w:t>
      </w:r>
      <w:r w:rsidR="00094895">
        <w:t>i Zlín je uvedena v tabulce 1.1</w:t>
      </w:r>
      <w:r w:rsidRPr="00D35342">
        <w:t>.</w:t>
      </w:r>
    </w:p>
    <w:p w14:paraId="54076A35" w14:textId="38115140" w:rsidR="00AF371C" w:rsidRDefault="00AF371C" w:rsidP="00AF371C">
      <w:pPr>
        <w:pStyle w:val="Titulek"/>
      </w:pPr>
      <w:bookmarkStart w:id="13" w:name="_Toc50030238"/>
      <w:bookmarkStart w:id="14" w:name="_Toc52960741"/>
      <w:bookmarkStart w:id="15" w:name="_Toc77074681"/>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1</w:t>
      </w:r>
      <w:r w:rsidR="004857C6">
        <w:rPr>
          <w:noProof/>
        </w:rPr>
        <w:fldChar w:fldCharType="end"/>
      </w:r>
      <w:r w:rsidR="00BB5485">
        <w:rPr>
          <w:noProof/>
        </w:rPr>
        <w:t>:</w:t>
      </w:r>
      <w:r>
        <w:t xml:space="preserve"> Vymezení rozvojové oblasti Zlín</w:t>
      </w:r>
      <w:bookmarkEnd w:id="13"/>
      <w:bookmarkEnd w:id="14"/>
      <w:bookmarkEnd w:id="15"/>
    </w:p>
    <w:tbl>
      <w:tblPr>
        <w:tblW w:w="9130" w:type="dxa"/>
        <w:tblInd w:w="-5" w:type="dxa"/>
        <w:tblCellMar>
          <w:left w:w="70" w:type="dxa"/>
          <w:right w:w="70" w:type="dxa"/>
        </w:tblCellMar>
        <w:tblLook w:val="04A0" w:firstRow="1" w:lastRow="0" w:firstColumn="1" w:lastColumn="0" w:noHBand="0" w:noVBand="1"/>
      </w:tblPr>
      <w:tblGrid>
        <w:gridCol w:w="9130"/>
      </w:tblGrid>
      <w:tr w:rsidR="00AF371C" w:rsidRPr="000F473D" w14:paraId="1404BEAA" w14:textId="77777777" w:rsidTr="00047BE4">
        <w:trPr>
          <w:trHeight w:val="223"/>
        </w:trPr>
        <w:tc>
          <w:tcPr>
            <w:tcW w:w="913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826260" w14:textId="77777777" w:rsidR="00AF371C" w:rsidRPr="000F473D" w:rsidRDefault="00AF371C" w:rsidP="00047BE4">
            <w:pPr>
              <w:spacing w:before="0"/>
              <w:jc w:val="center"/>
              <w:rPr>
                <w:rFonts w:ascii="Calibri" w:eastAsia="Times New Roman" w:hAnsi="Calibri" w:cs="Calibri"/>
                <w:b/>
                <w:bCs/>
                <w:color w:val="000000"/>
                <w:sz w:val="18"/>
                <w:szCs w:val="18"/>
                <w:lang w:eastAsia="cs-CZ"/>
              </w:rPr>
            </w:pPr>
            <w:r w:rsidRPr="000F473D">
              <w:rPr>
                <w:rFonts w:ascii="Calibri" w:eastAsia="Times New Roman" w:hAnsi="Calibri" w:cs="Calibri"/>
                <w:b/>
                <w:bCs/>
                <w:color w:val="000000"/>
                <w:sz w:val="18"/>
                <w:szCs w:val="18"/>
                <w:lang w:eastAsia="cs-CZ"/>
              </w:rPr>
              <w:t>OB9 - Rozvojová oblast Zlín</w:t>
            </w:r>
          </w:p>
        </w:tc>
      </w:tr>
      <w:tr w:rsidR="00AF371C" w:rsidRPr="000F473D" w14:paraId="1F6476A8" w14:textId="77777777" w:rsidTr="00047BE4">
        <w:trPr>
          <w:trHeight w:val="235"/>
        </w:trPr>
        <w:tc>
          <w:tcPr>
            <w:tcW w:w="9130" w:type="dxa"/>
            <w:tcBorders>
              <w:top w:val="nil"/>
              <w:left w:val="single" w:sz="4" w:space="0" w:color="auto"/>
              <w:bottom w:val="single" w:sz="4" w:space="0" w:color="auto"/>
              <w:right w:val="single" w:sz="4" w:space="0" w:color="auto"/>
            </w:tcBorders>
            <w:shd w:val="clear" w:color="000000" w:fill="F2F2F2"/>
            <w:noWrap/>
            <w:vAlign w:val="center"/>
            <w:hideMark/>
          </w:tcPr>
          <w:p w14:paraId="151345AB" w14:textId="77777777" w:rsidR="00AF371C" w:rsidRPr="000F473D" w:rsidRDefault="00AF371C" w:rsidP="00047BE4">
            <w:pPr>
              <w:spacing w:before="0"/>
              <w:jc w:val="left"/>
              <w:rPr>
                <w:rFonts w:ascii="Calibri" w:eastAsia="Times New Roman" w:hAnsi="Calibri" w:cs="Calibri"/>
                <w:b/>
                <w:bCs/>
                <w:color w:val="000000"/>
                <w:sz w:val="18"/>
                <w:szCs w:val="18"/>
                <w:lang w:eastAsia="cs-CZ"/>
              </w:rPr>
            </w:pPr>
            <w:r w:rsidRPr="000F473D">
              <w:rPr>
                <w:rFonts w:ascii="Calibri" w:eastAsia="Times New Roman" w:hAnsi="Calibri" w:cs="Calibri"/>
                <w:b/>
                <w:bCs/>
                <w:color w:val="000000"/>
                <w:sz w:val="18"/>
                <w:szCs w:val="18"/>
                <w:lang w:eastAsia="cs-CZ"/>
              </w:rPr>
              <w:t>Vymezení</w:t>
            </w:r>
          </w:p>
        </w:tc>
      </w:tr>
      <w:tr w:rsidR="00AF371C" w:rsidRPr="000F473D" w14:paraId="755D2DA6" w14:textId="77777777" w:rsidTr="00047BE4">
        <w:trPr>
          <w:trHeight w:val="600"/>
        </w:trPr>
        <w:tc>
          <w:tcPr>
            <w:tcW w:w="9130" w:type="dxa"/>
            <w:tcBorders>
              <w:top w:val="nil"/>
              <w:left w:val="single" w:sz="4" w:space="0" w:color="auto"/>
              <w:bottom w:val="single" w:sz="4" w:space="0" w:color="auto"/>
              <w:right w:val="single" w:sz="4" w:space="0" w:color="auto"/>
            </w:tcBorders>
            <w:shd w:val="clear" w:color="auto" w:fill="auto"/>
            <w:vAlign w:val="center"/>
            <w:hideMark/>
          </w:tcPr>
          <w:p w14:paraId="6C28D415" w14:textId="5C916C2C" w:rsidR="00AF371C" w:rsidRPr="000F473D" w:rsidRDefault="00AF371C" w:rsidP="00BB5485">
            <w:pPr>
              <w:spacing w:before="0"/>
              <w:rPr>
                <w:rFonts w:ascii="Calibri" w:eastAsia="Times New Roman" w:hAnsi="Calibri" w:cs="Calibri"/>
                <w:color w:val="000000"/>
                <w:sz w:val="18"/>
                <w:szCs w:val="18"/>
                <w:lang w:eastAsia="cs-CZ"/>
              </w:rPr>
            </w:pPr>
            <w:r w:rsidRPr="000F473D">
              <w:rPr>
                <w:rFonts w:ascii="Calibri" w:eastAsia="Times New Roman" w:hAnsi="Calibri" w:cs="Calibri"/>
                <w:color w:val="000000"/>
                <w:sz w:val="18"/>
                <w:szCs w:val="18"/>
                <w:lang w:eastAsia="cs-CZ"/>
              </w:rPr>
              <w:t>Území obcí z ORP Holešov (jen obce v jihovýchodní části), Otrokovice (bez obcí v západní části), Vizovice (jen obce v</w:t>
            </w:r>
            <w:r w:rsidR="00BB5485">
              <w:rPr>
                <w:rFonts w:ascii="Calibri" w:eastAsia="Times New Roman" w:hAnsi="Calibri" w:cs="Calibri"/>
                <w:color w:val="000000"/>
                <w:sz w:val="18"/>
                <w:szCs w:val="18"/>
                <w:lang w:eastAsia="cs-CZ"/>
              </w:rPr>
              <w:t> </w:t>
            </w:r>
            <w:r w:rsidRPr="000F473D">
              <w:rPr>
                <w:rFonts w:ascii="Calibri" w:eastAsia="Times New Roman" w:hAnsi="Calibri" w:cs="Calibri"/>
                <w:color w:val="000000"/>
                <w:sz w:val="18"/>
                <w:szCs w:val="18"/>
                <w:lang w:eastAsia="cs-CZ"/>
              </w:rPr>
              <w:t>západní části), Zlín, Uherské Hradiště (jen obce v severovýchodní části).</w:t>
            </w:r>
          </w:p>
        </w:tc>
      </w:tr>
      <w:tr w:rsidR="00AF371C" w:rsidRPr="000F473D" w14:paraId="1AD47E5B" w14:textId="77777777" w:rsidTr="00047BE4">
        <w:trPr>
          <w:trHeight w:val="223"/>
        </w:trPr>
        <w:tc>
          <w:tcPr>
            <w:tcW w:w="9130" w:type="dxa"/>
            <w:tcBorders>
              <w:top w:val="nil"/>
              <w:left w:val="single" w:sz="4" w:space="0" w:color="auto"/>
              <w:bottom w:val="single" w:sz="4" w:space="0" w:color="auto"/>
              <w:right w:val="single" w:sz="4" w:space="0" w:color="auto"/>
            </w:tcBorders>
            <w:shd w:val="clear" w:color="000000" w:fill="F2F2F2"/>
            <w:noWrap/>
            <w:vAlign w:val="center"/>
            <w:hideMark/>
          </w:tcPr>
          <w:p w14:paraId="12AD3B9C" w14:textId="77777777" w:rsidR="00AF371C" w:rsidRPr="000F473D" w:rsidRDefault="00AF371C" w:rsidP="00BB5485">
            <w:pPr>
              <w:spacing w:before="0"/>
              <w:rPr>
                <w:rFonts w:ascii="Calibri" w:eastAsia="Times New Roman" w:hAnsi="Calibri" w:cs="Calibri"/>
                <w:b/>
                <w:bCs/>
                <w:color w:val="000000"/>
                <w:sz w:val="18"/>
                <w:szCs w:val="18"/>
                <w:lang w:eastAsia="cs-CZ"/>
              </w:rPr>
            </w:pPr>
            <w:r w:rsidRPr="000F473D">
              <w:rPr>
                <w:rFonts w:ascii="Calibri" w:eastAsia="Times New Roman" w:hAnsi="Calibri" w:cs="Calibri"/>
                <w:b/>
                <w:bCs/>
                <w:color w:val="000000"/>
                <w:sz w:val="18"/>
                <w:szCs w:val="18"/>
                <w:lang w:eastAsia="cs-CZ"/>
              </w:rPr>
              <w:t>Důvody vymezení</w:t>
            </w:r>
          </w:p>
        </w:tc>
      </w:tr>
      <w:tr w:rsidR="00AF371C" w:rsidRPr="000F473D" w14:paraId="51421AB5" w14:textId="77777777" w:rsidTr="00047BE4">
        <w:trPr>
          <w:trHeight w:val="984"/>
        </w:trPr>
        <w:tc>
          <w:tcPr>
            <w:tcW w:w="9130" w:type="dxa"/>
            <w:tcBorders>
              <w:top w:val="nil"/>
              <w:left w:val="single" w:sz="4" w:space="0" w:color="auto"/>
              <w:bottom w:val="single" w:sz="4" w:space="0" w:color="auto"/>
              <w:right w:val="single" w:sz="4" w:space="0" w:color="auto"/>
            </w:tcBorders>
            <w:shd w:val="clear" w:color="auto" w:fill="auto"/>
            <w:vAlign w:val="center"/>
            <w:hideMark/>
          </w:tcPr>
          <w:p w14:paraId="650022C0" w14:textId="52F08D79" w:rsidR="00AF371C" w:rsidRPr="000F473D" w:rsidRDefault="00AF371C" w:rsidP="009E5648">
            <w:pPr>
              <w:spacing w:before="0"/>
              <w:rPr>
                <w:rFonts w:ascii="Calibri" w:eastAsia="Times New Roman" w:hAnsi="Calibri" w:cs="Calibri"/>
                <w:color w:val="000000"/>
                <w:sz w:val="18"/>
                <w:szCs w:val="18"/>
                <w:lang w:eastAsia="cs-CZ"/>
              </w:rPr>
            </w:pPr>
            <w:r w:rsidRPr="000F473D">
              <w:rPr>
                <w:rFonts w:ascii="Calibri" w:eastAsia="Times New Roman" w:hAnsi="Calibri" w:cs="Calibri"/>
                <w:color w:val="000000"/>
                <w:sz w:val="18"/>
                <w:szCs w:val="18"/>
                <w:lang w:eastAsia="cs-CZ"/>
              </w:rPr>
              <w:t>Území ovlivněné rozvojovou dynamikou krajského města Zlína při spolupůsobení vedlejších center, zejména Otrokovic a</w:t>
            </w:r>
            <w:r w:rsidR="009E5648">
              <w:rPr>
                <w:rFonts w:ascii="Calibri" w:eastAsia="Times New Roman" w:hAnsi="Calibri" w:cs="Calibri"/>
                <w:color w:val="000000"/>
                <w:sz w:val="18"/>
                <w:szCs w:val="18"/>
                <w:lang w:eastAsia="cs-CZ"/>
              </w:rPr>
              <w:t> </w:t>
            </w:r>
            <w:r w:rsidRPr="000F473D">
              <w:rPr>
                <w:rFonts w:ascii="Calibri" w:eastAsia="Times New Roman" w:hAnsi="Calibri" w:cs="Calibri"/>
                <w:color w:val="000000"/>
                <w:sz w:val="18"/>
                <w:szCs w:val="18"/>
                <w:lang w:eastAsia="cs-CZ"/>
              </w:rPr>
              <w:t>Holešova. Jedná se o silnou koncentraci obyvatelstva a ekonomických činností, z nichž značná část má republikový význam; podporujícím faktorem rozvoje je poloha (Otrokovice) na II. tranzitním železničním koridoru a uvažovaná rychlostní silniční propojení Zlína prostřednictvím R49 s dálnicí D1 u Hulína a Otrokovic prostřednictvím R55 z Hulína do Břeclavi.</w:t>
            </w:r>
          </w:p>
        </w:tc>
      </w:tr>
    </w:tbl>
    <w:p w14:paraId="70076E5D" w14:textId="71703338" w:rsidR="00AF371C" w:rsidRDefault="00AF371C" w:rsidP="00AF371C">
      <w:pPr>
        <w:pStyle w:val="Zdroj"/>
      </w:pPr>
      <w:r>
        <w:t>Zdroj: MMR,</w:t>
      </w:r>
      <w:r w:rsidRPr="002954BC">
        <w:t xml:space="preserve"> Politika územního rozvoje České republiky, ve znění Aktualizací č. 1, 2 a 3</w:t>
      </w:r>
      <w:r>
        <w:t>, 2019</w:t>
      </w:r>
      <w:r w:rsidR="009E5648">
        <w:t>.</w:t>
      </w:r>
    </w:p>
    <w:p w14:paraId="6821D31A" w14:textId="77777777" w:rsidR="00AF371C" w:rsidRDefault="00AF371C" w:rsidP="00AF371C">
      <w:r>
        <w:t>Na regionální úrovni jsou klíčovými dokumenty stanovujícími regionální rozvoj „Zásady územního rozvoje</w:t>
      </w:r>
      <w:r>
        <w:rPr>
          <w:rStyle w:val="Znakapoznpodarou"/>
        </w:rPr>
        <w:footnoteReference w:id="3"/>
      </w:r>
      <w:r>
        <w:t>“ (ZÚR) pro jednotlivé kraje. ZÚR Zlínského kraje dále zpřesňuje vymezení rozvojové oblasti OB9 Zlín a pro jednotlivé ORP uvádí výčet obcí, které jsou součástí rozvojové oblasti.</w:t>
      </w:r>
    </w:p>
    <w:p w14:paraId="74AC8D3F" w14:textId="77777777" w:rsidR="00AF371C" w:rsidRDefault="00AF371C" w:rsidP="00AF371C">
      <w:r>
        <w:lastRenderedPageBreak/>
        <w:t>Jednou z priorit územního plánování stanovených v ZÚR Zlínského kraje je podpora polycentrického rozvoje sídelní struktury. Pro Zlínskou aglomeraci platí snaha posilovat republikový význam krajského města Zlín a urbanizovaného území Zlínské aglomerace zvláště v návaznosti na rozvojové potenciály koridoru Pomoraví a koridoru Pováží na straně Slovenska. Zároveň je prioritou posilování kooperativních vztahů mezi městem a venkovem s cílem zvýšení atraktivity a konkurenceschopnosti venkovského prostoru. Důležitou prioritou je také podpora opatření pro účinné zlepšení dopravní dostupnosti (rozvoj a zkvalitnění železniční dopravy a infrastruktury, rozvoj cyklistické dopravy, eliminace negativních účinků dopravy na zdraví obyvatel – dostatečný odstup nové zástavby od dopravních koridorů).</w:t>
      </w:r>
    </w:p>
    <w:p w14:paraId="1AB38CF2" w14:textId="777EA91A" w:rsidR="00AF371C" w:rsidRDefault="00AF371C" w:rsidP="00AF371C">
      <w:pPr>
        <w:pStyle w:val="Titulek"/>
      </w:pPr>
      <w:bookmarkStart w:id="16" w:name="_Toc50030239"/>
      <w:bookmarkStart w:id="17" w:name="_Toc52960742"/>
      <w:bookmarkStart w:id="18" w:name="_Toc7707468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2</w:t>
      </w:r>
      <w:r w:rsidR="004857C6">
        <w:rPr>
          <w:noProof/>
        </w:rPr>
        <w:fldChar w:fldCharType="end"/>
      </w:r>
      <w:r w:rsidR="009E5648">
        <w:rPr>
          <w:noProof/>
        </w:rPr>
        <w:t>:</w:t>
      </w:r>
      <w:r>
        <w:t xml:space="preserve"> Výčet obcí zahrnutých do rozvojové oblasti Zlín dle ZÚR</w:t>
      </w:r>
      <w:bookmarkEnd w:id="16"/>
      <w:bookmarkEnd w:id="17"/>
      <w:bookmarkEnd w:id="18"/>
    </w:p>
    <w:tbl>
      <w:tblPr>
        <w:tblW w:w="9071" w:type="dxa"/>
        <w:tblInd w:w="-5" w:type="dxa"/>
        <w:tblCellMar>
          <w:left w:w="70" w:type="dxa"/>
          <w:right w:w="70" w:type="dxa"/>
        </w:tblCellMar>
        <w:tblLook w:val="04A0" w:firstRow="1" w:lastRow="0" w:firstColumn="1" w:lastColumn="0" w:noHBand="0" w:noVBand="1"/>
      </w:tblPr>
      <w:tblGrid>
        <w:gridCol w:w="1701"/>
        <w:gridCol w:w="6520"/>
        <w:gridCol w:w="850"/>
      </w:tblGrid>
      <w:tr w:rsidR="00AF371C" w:rsidRPr="00F239CA" w14:paraId="21088A16" w14:textId="77777777" w:rsidTr="00047BE4">
        <w:trPr>
          <w:trHeight w:val="300"/>
        </w:trPr>
        <w:tc>
          <w:tcPr>
            <w:tcW w:w="170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532D87B" w14:textId="77777777" w:rsidR="00AF371C" w:rsidRPr="00F239CA" w:rsidRDefault="00AF371C" w:rsidP="00047BE4">
            <w:pPr>
              <w:spacing w:before="0"/>
              <w:jc w:val="center"/>
              <w:rPr>
                <w:rFonts w:ascii="Calibri" w:eastAsia="Times New Roman" w:hAnsi="Calibri" w:cs="Calibri"/>
                <w:b/>
                <w:bCs/>
                <w:color w:val="000000"/>
                <w:sz w:val="18"/>
                <w:szCs w:val="18"/>
                <w:lang w:eastAsia="cs-CZ"/>
              </w:rPr>
            </w:pPr>
            <w:r w:rsidRPr="00F239CA">
              <w:rPr>
                <w:rFonts w:ascii="Calibri" w:eastAsia="Times New Roman" w:hAnsi="Calibri" w:cs="Calibri"/>
                <w:b/>
                <w:bCs/>
                <w:color w:val="000000"/>
                <w:sz w:val="18"/>
                <w:szCs w:val="18"/>
                <w:lang w:eastAsia="cs-CZ"/>
              </w:rPr>
              <w:t>ORP</w:t>
            </w:r>
          </w:p>
        </w:tc>
        <w:tc>
          <w:tcPr>
            <w:tcW w:w="6520" w:type="dxa"/>
            <w:tcBorders>
              <w:top w:val="single" w:sz="4" w:space="0" w:color="auto"/>
              <w:left w:val="nil"/>
              <w:bottom w:val="single" w:sz="4" w:space="0" w:color="auto"/>
              <w:right w:val="single" w:sz="4" w:space="0" w:color="auto"/>
            </w:tcBorders>
            <w:shd w:val="clear" w:color="000000" w:fill="F2F2F2"/>
            <w:noWrap/>
            <w:vAlign w:val="center"/>
            <w:hideMark/>
          </w:tcPr>
          <w:p w14:paraId="3AA7EC35" w14:textId="77777777" w:rsidR="00AF371C" w:rsidRPr="00F239CA" w:rsidRDefault="00AF371C" w:rsidP="00047BE4">
            <w:pPr>
              <w:spacing w:before="0"/>
              <w:jc w:val="center"/>
              <w:rPr>
                <w:rFonts w:ascii="Calibri" w:eastAsia="Times New Roman" w:hAnsi="Calibri" w:cs="Calibri"/>
                <w:b/>
                <w:bCs/>
                <w:color w:val="000000"/>
                <w:sz w:val="18"/>
                <w:szCs w:val="18"/>
                <w:lang w:eastAsia="cs-CZ"/>
              </w:rPr>
            </w:pPr>
            <w:r w:rsidRPr="00F239CA">
              <w:rPr>
                <w:rFonts w:ascii="Calibri" w:eastAsia="Times New Roman" w:hAnsi="Calibri" w:cs="Calibri"/>
                <w:b/>
                <w:bCs/>
                <w:color w:val="000000"/>
                <w:sz w:val="18"/>
                <w:szCs w:val="18"/>
                <w:lang w:eastAsia="cs-CZ"/>
              </w:rPr>
              <w:t>Obec</w:t>
            </w:r>
          </w:p>
        </w:tc>
        <w:tc>
          <w:tcPr>
            <w:tcW w:w="850" w:type="dxa"/>
            <w:tcBorders>
              <w:top w:val="single" w:sz="4" w:space="0" w:color="auto"/>
              <w:left w:val="nil"/>
              <w:bottom w:val="single" w:sz="4" w:space="0" w:color="auto"/>
              <w:right w:val="single" w:sz="4" w:space="0" w:color="auto"/>
            </w:tcBorders>
            <w:shd w:val="clear" w:color="000000" w:fill="F2F2F2"/>
            <w:noWrap/>
            <w:vAlign w:val="center"/>
            <w:hideMark/>
          </w:tcPr>
          <w:p w14:paraId="571D7B1A" w14:textId="77777777" w:rsidR="00AF371C" w:rsidRPr="00F239CA" w:rsidRDefault="00AF371C" w:rsidP="00047BE4">
            <w:pPr>
              <w:spacing w:before="0"/>
              <w:jc w:val="center"/>
              <w:rPr>
                <w:rFonts w:ascii="Calibri" w:eastAsia="Times New Roman" w:hAnsi="Calibri" w:cs="Calibri"/>
                <w:b/>
                <w:bCs/>
                <w:color w:val="000000"/>
                <w:sz w:val="18"/>
                <w:szCs w:val="18"/>
                <w:lang w:eastAsia="cs-CZ"/>
              </w:rPr>
            </w:pPr>
            <w:r w:rsidRPr="00F239CA">
              <w:rPr>
                <w:rFonts w:ascii="Calibri" w:eastAsia="Times New Roman" w:hAnsi="Calibri" w:cs="Calibri"/>
                <w:b/>
                <w:bCs/>
                <w:color w:val="000000"/>
                <w:sz w:val="18"/>
                <w:szCs w:val="18"/>
                <w:lang w:eastAsia="cs-CZ"/>
              </w:rPr>
              <w:t>Počet obcí</w:t>
            </w:r>
          </w:p>
        </w:tc>
      </w:tr>
      <w:tr w:rsidR="00AF371C" w:rsidRPr="00F239CA" w14:paraId="5D4DD531" w14:textId="77777777" w:rsidTr="00047BE4">
        <w:trPr>
          <w:trHeight w:val="4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FA62836"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Holešov</w:t>
            </w:r>
          </w:p>
        </w:tc>
        <w:tc>
          <w:tcPr>
            <w:tcW w:w="6520" w:type="dxa"/>
            <w:tcBorders>
              <w:top w:val="nil"/>
              <w:left w:val="nil"/>
              <w:bottom w:val="single" w:sz="4" w:space="0" w:color="auto"/>
              <w:right w:val="single" w:sz="4" w:space="0" w:color="auto"/>
            </w:tcBorders>
            <w:shd w:val="clear" w:color="auto" w:fill="auto"/>
            <w:vAlign w:val="center"/>
            <w:hideMark/>
          </w:tcPr>
          <w:p w14:paraId="04617EA1"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Holešov, Horní Lapač, Jankovice, Kurovice, Lechotice, Ludslavice, Martinice, Míškovice, Přílepy, Třebětice, Zahnašovice, Žeranovice</w:t>
            </w:r>
          </w:p>
        </w:tc>
        <w:tc>
          <w:tcPr>
            <w:tcW w:w="850" w:type="dxa"/>
            <w:tcBorders>
              <w:top w:val="nil"/>
              <w:left w:val="nil"/>
              <w:bottom w:val="single" w:sz="4" w:space="0" w:color="auto"/>
              <w:right w:val="single" w:sz="4" w:space="0" w:color="auto"/>
            </w:tcBorders>
            <w:shd w:val="clear" w:color="auto" w:fill="auto"/>
            <w:noWrap/>
            <w:vAlign w:val="center"/>
            <w:hideMark/>
          </w:tcPr>
          <w:p w14:paraId="2B43A641" w14:textId="77777777" w:rsidR="00AF371C" w:rsidRPr="00F239CA" w:rsidRDefault="00AF371C" w:rsidP="00047BE4">
            <w:pPr>
              <w:spacing w:before="0"/>
              <w:jc w:val="righ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12</w:t>
            </w:r>
          </w:p>
        </w:tc>
      </w:tr>
      <w:tr w:rsidR="00AF371C" w:rsidRPr="00F239CA" w14:paraId="4E67BF54" w14:textId="77777777" w:rsidTr="00047BE4">
        <w:trPr>
          <w:trHeight w:val="28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DF8A0E1"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Otrokovice</w:t>
            </w:r>
          </w:p>
        </w:tc>
        <w:tc>
          <w:tcPr>
            <w:tcW w:w="6520" w:type="dxa"/>
            <w:tcBorders>
              <w:top w:val="nil"/>
              <w:left w:val="nil"/>
              <w:bottom w:val="single" w:sz="4" w:space="0" w:color="auto"/>
              <w:right w:val="single" w:sz="4" w:space="0" w:color="auto"/>
            </w:tcBorders>
            <w:shd w:val="clear" w:color="auto" w:fill="auto"/>
            <w:vAlign w:val="center"/>
            <w:hideMark/>
          </w:tcPr>
          <w:p w14:paraId="164096AE"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Komárov, Napajedla, Oldřichovice, Otrokovice, Pohořelice, Spytihněv, Tlumačov</w:t>
            </w:r>
          </w:p>
        </w:tc>
        <w:tc>
          <w:tcPr>
            <w:tcW w:w="850" w:type="dxa"/>
            <w:tcBorders>
              <w:top w:val="nil"/>
              <w:left w:val="nil"/>
              <w:bottom w:val="single" w:sz="4" w:space="0" w:color="auto"/>
              <w:right w:val="single" w:sz="4" w:space="0" w:color="auto"/>
            </w:tcBorders>
            <w:shd w:val="clear" w:color="auto" w:fill="auto"/>
            <w:noWrap/>
            <w:vAlign w:val="center"/>
            <w:hideMark/>
          </w:tcPr>
          <w:p w14:paraId="46E15ADE" w14:textId="77777777" w:rsidR="00AF371C" w:rsidRPr="00F239CA" w:rsidRDefault="00AF371C" w:rsidP="00047BE4">
            <w:pPr>
              <w:spacing w:before="0"/>
              <w:jc w:val="righ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7</w:t>
            </w:r>
          </w:p>
        </w:tc>
      </w:tr>
      <w:tr w:rsidR="00AF371C" w:rsidRPr="00F239CA" w14:paraId="00372841" w14:textId="77777777" w:rsidTr="00047BE4">
        <w:trPr>
          <w:trHeight w:val="28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D23DAB2"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Uherské Hradiště</w:t>
            </w:r>
          </w:p>
        </w:tc>
        <w:tc>
          <w:tcPr>
            <w:tcW w:w="6520" w:type="dxa"/>
            <w:tcBorders>
              <w:top w:val="nil"/>
              <w:left w:val="nil"/>
              <w:bottom w:val="single" w:sz="4" w:space="0" w:color="auto"/>
              <w:right w:val="single" w:sz="4" w:space="0" w:color="auto"/>
            </w:tcBorders>
            <w:shd w:val="clear" w:color="auto" w:fill="auto"/>
            <w:vAlign w:val="center"/>
            <w:hideMark/>
          </w:tcPr>
          <w:p w14:paraId="6389CF0E"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Březolupy, Částkov, Svárov, Zlámanec</w:t>
            </w:r>
          </w:p>
        </w:tc>
        <w:tc>
          <w:tcPr>
            <w:tcW w:w="850" w:type="dxa"/>
            <w:tcBorders>
              <w:top w:val="nil"/>
              <w:left w:val="nil"/>
              <w:bottom w:val="single" w:sz="4" w:space="0" w:color="auto"/>
              <w:right w:val="single" w:sz="4" w:space="0" w:color="auto"/>
            </w:tcBorders>
            <w:shd w:val="clear" w:color="auto" w:fill="auto"/>
            <w:noWrap/>
            <w:vAlign w:val="center"/>
            <w:hideMark/>
          </w:tcPr>
          <w:p w14:paraId="38D9379C" w14:textId="77777777" w:rsidR="00AF371C" w:rsidRPr="00F239CA" w:rsidRDefault="00AF371C" w:rsidP="00047BE4">
            <w:pPr>
              <w:spacing w:before="0"/>
              <w:jc w:val="righ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4</w:t>
            </w:r>
          </w:p>
        </w:tc>
      </w:tr>
      <w:tr w:rsidR="00AF371C" w:rsidRPr="00F239CA" w14:paraId="2AC1B282" w14:textId="77777777" w:rsidTr="00047BE4">
        <w:trPr>
          <w:trHeight w:val="28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F0FEB27"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Vizovice</w:t>
            </w:r>
          </w:p>
        </w:tc>
        <w:tc>
          <w:tcPr>
            <w:tcW w:w="6520" w:type="dxa"/>
            <w:tcBorders>
              <w:top w:val="nil"/>
              <w:left w:val="nil"/>
              <w:bottom w:val="single" w:sz="4" w:space="0" w:color="auto"/>
              <w:right w:val="single" w:sz="4" w:space="0" w:color="auto"/>
            </w:tcBorders>
            <w:shd w:val="clear" w:color="auto" w:fill="auto"/>
            <w:vAlign w:val="center"/>
            <w:hideMark/>
          </w:tcPr>
          <w:p w14:paraId="00BD1116"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Březová, Neubuz, Hrobice, Slušovice, Veselá, Vizovice, Zádveřice-Raková</w:t>
            </w:r>
          </w:p>
        </w:tc>
        <w:tc>
          <w:tcPr>
            <w:tcW w:w="850" w:type="dxa"/>
            <w:tcBorders>
              <w:top w:val="nil"/>
              <w:left w:val="nil"/>
              <w:bottom w:val="single" w:sz="4" w:space="0" w:color="auto"/>
              <w:right w:val="single" w:sz="4" w:space="0" w:color="auto"/>
            </w:tcBorders>
            <w:shd w:val="clear" w:color="auto" w:fill="auto"/>
            <w:noWrap/>
            <w:vAlign w:val="center"/>
            <w:hideMark/>
          </w:tcPr>
          <w:p w14:paraId="704539A7" w14:textId="77777777" w:rsidR="00AF371C" w:rsidRPr="00F239CA" w:rsidRDefault="00AF371C" w:rsidP="00047BE4">
            <w:pPr>
              <w:spacing w:before="0"/>
              <w:jc w:val="righ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7</w:t>
            </w:r>
          </w:p>
        </w:tc>
      </w:tr>
      <w:tr w:rsidR="00AF371C" w:rsidRPr="00F239CA" w14:paraId="0DD47EDD" w14:textId="77777777" w:rsidTr="00047BE4">
        <w:trPr>
          <w:trHeight w:val="102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3E9E763"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Zlín</w:t>
            </w:r>
          </w:p>
        </w:tc>
        <w:tc>
          <w:tcPr>
            <w:tcW w:w="6520" w:type="dxa"/>
            <w:tcBorders>
              <w:top w:val="nil"/>
              <w:left w:val="nil"/>
              <w:bottom w:val="single" w:sz="4" w:space="0" w:color="auto"/>
              <w:right w:val="single" w:sz="4" w:space="0" w:color="auto"/>
            </w:tcBorders>
            <w:shd w:val="clear" w:color="auto" w:fill="auto"/>
            <w:vAlign w:val="center"/>
            <w:hideMark/>
          </w:tcPr>
          <w:p w14:paraId="1F5EA9B8"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Bohuslavice u Zlína, Březnice, Březůvky, Dobrkovice, Doubravy, Držková, Fryšták, Hostišová, Hřivínův Újezd, Hvozdná, Kaňovice, Karlovice, Kašava, Kelníky, Lhota, Lípa, Lukov, Lukoveček, Machová, Mysločovice, Ostrata, Provodov, Racková, Sazovice, Šarovy, Tečovice, Velký Ořechov, Vlčková, Zlín, Želechovice nad Dřevnicí.</w:t>
            </w:r>
          </w:p>
        </w:tc>
        <w:tc>
          <w:tcPr>
            <w:tcW w:w="850" w:type="dxa"/>
            <w:tcBorders>
              <w:top w:val="nil"/>
              <w:left w:val="nil"/>
              <w:bottom w:val="single" w:sz="4" w:space="0" w:color="auto"/>
              <w:right w:val="single" w:sz="4" w:space="0" w:color="auto"/>
            </w:tcBorders>
            <w:shd w:val="clear" w:color="auto" w:fill="auto"/>
            <w:noWrap/>
            <w:vAlign w:val="center"/>
            <w:hideMark/>
          </w:tcPr>
          <w:p w14:paraId="0DA1A8C6" w14:textId="77777777" w:rsidR="00AF371C" w:rsidRPr="00F239CA" w:rsidRDefault="00AF371C" w:rsidP="00047BE4">
            <w:pPr>
              <w:spacing w:before="0"/>
              <w:jc w:val="righ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30</w:t>
            </w:r>
          </w:p>
        </w:tc>
      </w:tr>
      <w:tr w:rsidR="00AF371C" w:rsidRPr="00F239CA" w14:paraId="5BFEE519" w14:textId="77777777" w:rsidTr="00047BE4">
        <w:trPr>
          <w:trHeight w:val="28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C1389FA" w14:textId="77777777" w:rsidR="00AF371C" w:rsidRPr="00F239CA" w:rsidRDefault="00AF371C" w:rsidP="00047BE4">
            <w:pPr>
              <w:spacing w:before="0"/>
              <w:jc w:val="left"/>
              <w:rPr>
                <w:rFonts w:ascii="Calibri" w:eastAsia="Times New Roman" w:hAnsi="Calibri" w:cs="Calibri"/>
                <w:i/>
                <w:iCs/>
                <w:color w:val="000000"/>
                <w:sz w:val="18"/>
                <w:szCs w:val="18"/>
                <w:lang w:eastAsia="cs-CZ"/>
              </w:rPr>
            </w:pPr>
            <w:r w:rsidRPr="00F239CA">
              <w:rPr>
                <w:rFonts w:ascii="Calibri" w:eastAsia="Times New Roman" w:hAnsi="Calibri" w:cs="Calibri"/>
                <w:i/>
                <w:iCs/>
                <w:color w:val="000000"/>
                <w:sz w:val="18"/>
                <w:szCs w:val="18"/>
                <w:lang w:eastAsia="cs-CZ"/>
              </w:rPr>
              <w:t>Celkem</w:t>
            </w:r>
          </w:p>
        </w:tc>
        <w:tc>
          <w:tcPr>
            <w:tcW w:w="6520" w:type="dxa"/>
            <w:tcBorders>
              <w:top w:val="nil"/>
              <w:left w:val="nil"/>
              <w:bottom w:val="single" w:sz="4" w:space="0" w:color="auto"/>
              <w:right w:val="single" w:sz="4" w:space="0" w:color="auto"/>
            </w:tcBorders>
            <w:shd w:val="clear" w:color="auto" w:fill="auto"/>
            <w:noWrap/>
            <w:vAlign w:val="bottom"/>
            <w:hideMark/>
          </w:tcPr>
          <w:p w14:paraId="04A0FD50" w14:textId="77777777" w:rsidR="00AF371C" w:rsidRPr="00F239CA" w:rsidRDefault="00AF371C" w:rsidP="00047BE4">
            <w:pPr>
              <w:spacing w:before="0"/>
              <w:jc w:val="lef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w:t>
            </w:r>
          </w:p>
        </w:tc>
        <w:tc>
          <w:tcPr>
            <w:tcW w:w="850" w:type="dxa"/>
            <w:tcBorders>
              <w:top w:val="nil"/>
              <w:left w:val="nil"/>
              <w:bottom w:val="single" w:sz="4" w:space="0" w:color="auto"/>
              <w:right w:val="single" w:sz="4" w:space="0" w:color="auto"/>
            </w:tcBorders>
            <w:shd w:val="clear" w:color="auto" w:fill="auto"/>
            <w:noWrap/>
            <w:vAlign w:val="bottom"/>
            <w:hideMark/>
          </w:tcPr>
          <w:p w14:paraId="2F229019" w14:textId="77777777" w:rsidR="00AF371C" w:rsidRPr="00F239CA" w:rsidRDefault="00AF371C" w:rsidP="00047BE4">
            <w:pPr>
              <w:spacing w:before="0"/>
              <w:jc w:val="right"/>
              <w:rPr>
                <w:rFonts w:ascii="Calibri" w:eastAsia="Times New Roman" w:hAnsi="Calibri" w:cs="Calibri"/>
                <w:color w:val="000000"/>
                <w:sz w:val="18"/>
                <w:szCs w:val="18"/>
                <w:lang w:eastAsia="cs-CZ"/>
              </w:rPr>
            </w:pPr>
            <w:r w:rsidRPr="00F239CA">
              <w:rPr>
                <w:rFonts w:ascii="Calibri" w:eastAsia="Times New Roman" w:hAnsi="Calibri" w:cs="Calibri"/>
                <w:color w:val="000000"/>
                <w:sz w:val="18"/>
                <w:szCs w:val="18"/>
                <w:lang w:eastAsia="cs-CZ"/>
              </w:rPr>
              <w:t>60</w:t>
            </w:r>
          </w:p>
        </w:tc>
      </w:tr>
    </w:tbl>
    <w:p w14:paraId="5CA7DE00" w14:textId="1255ED6B" w:rsidR="00AF371C" w:rsidRPr="002954BC" w:rsidRDefault="00AF371C" w:rsidP="00AF371C">
      <w:pPr>
        <w:pStyle w:val="Zdroj"/>
      </w:pPr>
      <w:r>
        <w:t xml:space="preserve">Zdroj: Zlínský kraj (2018), </w:t>
      </w:r>
      <w:r w:rsidRPr="002954BC">
        <w:t>Úplné znění zásad územního rozvoje zlínského kraje po vydání aktualizace č. 2</w:t>
      </w:r>
      <w:r w:rsidR="009E5648">
        <w:t>.</w:t>
      </w:r>
    </w:p>
    <w:p w14:paraId="2EFC91C0" w14:textId="7B021982" w:rsidR="00AF371C" w:rsidRDefault="00AF371C" w:rsidP="00AF371C">
      <w:r w:rsidRPr="001C0684">
        <w:t xml:space="preserve">V rámci kohezní politiky </w:t>
      </w:r>
      <w:r>
        <w:t xml:space="preserve">regionálního rozvoje </w:t>
      </w:r>
      <w:r w:rsidRPr="001C0684">
        <w:t>EU</w:t>
      </w:r>
      <w:r>
        <w:t xml:space="preserve">, která </w:t>
      </w:r>
      <w:r>
        <w:rPr>
          <w:rFonts w:cstheme="minorHAnsi"/>
          <w:bCs/>
        </w:rPr>
        <w:t xml:space="preserve">využívá </w:t>
      </w:r>
      <w:r w:rsidRPr="001C0684">
        <w:rPr>
          <w:rFonts w:cstheme="minorHAnsi"/>
          <w:bCs/>
        </w:rPr>
        <w:t>prostředků Evropských strukturálních a investičních fondů</w:t>
      </w:r>
      <w:r>
        <w:rPr>
          <w:rFonts w:cstheme="minorHAnsi"/>
          <w:bCs/>
        </w:rPr>
        <w:t>,</w:t>
      </w:r>
      <w:r>
        <w:t xml:space="preserve"> </w:t>
      </w:r>
      <w:r w:rsidRPr="001C0684">
        <w:t>je Zlínská aglomerace v programovém období 2014 – 2020 nositelem Integrovaného plánu rozvoje území.</w:t>
      </w:r>
      <w:r>
        <w:t xml:space="preserve"> V novém programovém období </w:t>
      </w:r>
      <w:r w:rsidRPr="001C0684">
        <w:rPr>
          <w:rFonts w:cstheme="minorHAnsi"/>
          <w:bCs/>
        </w:rPr>
        <w:t xml:space="preserve">let </w:t>
      </w:r>
      <w:r w:rsidR="00CE7182">
        <w:rPr>
          <w:rFonts w:cstheme="minorHAnsi"/>
          <w:bCs/>
        </w:rPr>
        <w:t>2021 – 202</w:t>
      </w:r>
      <w:r w:rsidRPr="001C0684">
        <w:rPr>
          <w:rFonts w:cstheme="minorHAnsi"/>
          <w:bCs/>
        </w:rPr>
        <w:t>7</w:t>
      </w:r>
      <w:r>
        <w:t xml:space="preserve"> </w:t>
      </w:r>
      <w:r w:rsidRPr="001C0684">
        <w:rPr>
          <w:rFonts w:cstheme="minorHAnsi"/>
          <w:bCs/>
        </w:rPr>
        <w:t>jsou nástrojem realizace územní dimenze regionálního rozvoje Integrované teritoriální investice (ITI)</w:t>
      </w:r>
      <w:r>
        <w:rPr>
          <w:rFonts w:cstheme="minorHAnsi"/>
          <w:bCs/>
        </w:rPr>
        <w:t>.</w:t>
      </w:r>
      <w:r>
        <w:t xml:space="preserve"> </w:t>
      </w:r>
      <w:r w:rsidRPr="00187EEA">
        <w:t>Vymezení Zlínské aglomerace pro účely ITI</w:t>
      </w:r>
      <w:r w:rsidRPr="00187EEA">
        <w:rPr>
          <w:rStyle w:val="Znakapoznpodarou"/>
        </w:rPr>
        <w:footnoteReference w:id="4"/>
      </w:r>
      <w:r w:rsidRPr="00187EEA">
        <w:t xml:space="preserve"> je širší než v předchozím programovém období (místo 11 zahrnuje 36 obcí). Porovnání charakteristik Zlínské aglomerace vymezených pro účely evropské kohezní politiky v různých programových obdobích </w:t>
      </w:r>
      <w:r>
        <w:t>ilustruje tabulka</w:t>
      </w:r>
      <w:r w:rsidR="00EB62B8">
        <w:t xml:space="preserve"> 1.3</w:t>
      </w:r>
      <w:r w:rsidRPr="00187EEA">
        <w:t xml:space="preserve">. </w:t>
      </w:r>
    </w:p>
    <w:p w14:paraId="2A702DDF" w14:textId="56AA76BC" w:rsidR="00AF371C" w:rsidRDefault="00AF371C" w:rsidP="00AF371C">
      <w:pPr>
        <w:pStyle w:val="Titulek"/>
        <w:keepNext/>
      </w:pPr>
      <w:bookmarkStart w:id="19" w:name="_Toc50030240"/>
      <w:bookmarkStart w:id="20" w:name="_Toc52960743"/>
      <w:bookmarkStart w:id="21" w:name="_Toc7707468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3</w:t>
      </w:r>
      <w:r w:rsidR="004857C6">
        <w:rPr>
          <w:noProof/>
        </w:rPr>
        <w:fldChar w:fldCharType="end"/>
      </w:r>
      <w:r w:rsidR="009E5648">
        <w:rPr>
          <w:noProof/>
        </w:rPr>
        <w:t>:</w:t>
      </w:r>
      <w:r>
        <w:t xml:space="preserve"> Srovnání základních charakteristik vymezení Zlínské aglomerace v letech 2014 a 2019</w:t>
      </w:r>
      <w:bookmarkEnd w:id="19"/>
      <w:bookmarkEnd w:id="20"/>
      <w:bookmarkEnd w:id="21"/>
    </w:p>
    <w:p w14:paraId="2C9C838D" w14:textId="77777777" w:rsidR="00AF371C" w:rsidRDefault="00AF371C" w:rsidP="00AF371C">
      <w:r w:rsidRPr="001622E4">
        <w:rPr>
          <w:noProof/>
          <w:lang w:eastAsia="cs-CZ"/>
        </w:rPr>
        <w:drawing>
          <wp:inline distT="0" distB="0" distL="0" distR="0" wp14:anchorId="6642BC73" wp14:editId="29446930">
            <wp:extent cx="4019550" cy="962025"/>
            <wp:effectExtent l="0" t="0" r="0" b="9525"/>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19550" cy="962025"/>
                    </a:xfrm>
                    <a:prstGeom prst="rect">
                      <a:avLst/>
                    </a:prstGeom>
                    <a:noFill/>
                    <a:ln>
                      <a:noFill/>
                    </a:ln>
                  </pic:spPr>
                </pic:pic>
              </a:graphicData>
            </a:graphic>
          </wp:inline>
        </w:drawing>
      </w:r>
    </w:p>
    <w:p w14:paraId="0B6F9344" w14:textId="64C51C41" w:rsidR="00AF371C" w:rsidRDefault="00AF371C" w:rsidP="00AF371C">
      <w:pPr>
        <w:pStyle w:val="Zdroj"/>
      </w:pPr>
      <w:r w:rsidRPr="00C027A1">
        <w:t xml:space="preserve">Zdroj: </w:t>
      </w:r>
      <w:r>
        <w:t>Vymezení území pro Integrované teritoriální investice (ITI) v ČR, 2020</w:t>
      </w:r>
      <w:r w:rsidR="009E5648">
        <w:t>.</w:t>
      </w:r>
    </w:p>
    <w:p w14:paraId="52713F6A" w14:textId="63B784B5" w:rsidR="00AF371C" w:rsidRDefault="00AF371C" w:rsidP="00AF371C">
      <w:r w:rsidRPr="00187EEA">
        <w:rPr>
          <w:rFonts w:cstheme="minorHAnsi"/>
          <w:bCs/>
        </w:rPr>
        <w:t>Zlínská aglomerace je tak jedním z vymezených pólů rozvoje zásadního významu pro rozvoj České republiky. Strategie regionálního rozvoje ČR 2021+</w:t>
      </w:r>
      <w:r w:rsidRPr="00187EEA">
        <w:rPr>
          <w:rStyle w:val="Znakapoznpodarou"/>
          <w:rFonts w:cstheme="minorHAnsi"/>
          <w:bCs/>
        </w:rPr>
        <w:footnoteReference w:id="5"/>
      </w:r>
      <w:r w:rsidRPr="00187EEA">
        <w:rPr>
          <w:rFonts w:cstheme="minorHAnsi"/>
          <w:bCs/>
        </w:rPr>
        <w:t xml:space="preserve"> celkem vymezuje 3 metropolitní oblasti a</w:t>
      </w:r>
      <w:r w:rsidR="009E5648">
        <w:rPr>
          <w:rFonts w:cstheme="minorHAnsi"/>
          <w:bCs/>
        </w:rPr>
        <w:t> </w:t>
      </w:r>
      <w:r w:rsidRPr="00187EEA">
        <w:rPr>
          <w:rFonts w:cstheme="minorHAnsi"/>
          <w:bCs/>
        </w:rPr>
        <w:t>11</w:t>
      </w:r>
      <w:r w:rsidR="009E5648">
        <w:rPr>
          <w:rFonts w:cstheme="minorHAnsi"/>
          <w:bCs/>
        </w:rPr>
        <w:t> </w:t>
      </w:r>
      <w:r w:rsidRPr="00187EEA">
        <w:rPr>
          <w:rFonts w:cstheme="minorHAnsi"/>
          <w:bCs/>
        </w:rPr>
        <w:t>aglomerací ostatních krajských měst a jejich zázemí. Aglomerace využívají svůj růstový potenciál a</w:t>
      </w:r>
      <w:r w:rsidR="009E5648">
        <w:rPr>
          <w:rFonts w:cstheme="minorHAnsi"/>
          <w:bCs/>
        </w:rPr>
        <w:t> </w:t>
      </w:r>
      <w:r w:rsidRPr="00187EEA">
        <w:rPr>
          <w:rFonts w:cstheme="minorHAnsi"/>
          <w:bCs/>
        </w:rPr>
        <w:t xml:space="preserve">plní úlohu významných krajských hospodářských, kulturních a akademických center. Důležitým aspektem územní dimenze rozvoje je </w:t>
      </w:r>
      <w:r w:rsidRPr="00187EEA">
        <w:rPr>
          <w:rFonts w:cstheme="minorHAnsi"/>
          <w:shd w:val="clear" w:color="auto" w:fill="FFFFFF"/>
        </w:rPr>
        <w:t xml:space="preserve">koordinace aktivit různých aktérů v daném území za účelem </w:t>
      </w:r>
      <w:r w:rsidRPr="00187EEA">
        <w:rPr>
          <w:rFonts w:cstheme="minorHAnsi"/>
          <w:shd w:val="clear" w:color="auto" w:fill="FFFFFF"/>
        </w:rPr>
        <w:lastRenderedPageBreak/>
        <w:t xml:space="preserve">dosažení synergických efektů. </w:t>
      </w:r>
      <w:r w:rsidRPr="00187EEA">
        <w:rPr>
          <w:rFonts w:cstheme="minorHAnsi"/>
          <w:bCs/>
        </w:rPr>
        <w:t>Formou finanční podpory projektů tak mohou ITI přispívat k rozvoji aglomerací a jejich zázemí zejména v oblasti ekonomiky, dopravy, kvality služeb nebo životního prostředí.</w:t>
      </w:r>
      <w:r>
        <w:rPr>
          <w:rFonts w:cstheme="minorHAnsi"/>
          <w:bCs/>
        </w:rPr>
        <w:t xml:space="preserve"> </w:t>
      </w:r>
      <w:r w:rsidRPr="00187EEA">
        <w:t>Celková populace nově vymezené Zlínské aglomerace činí 130 176 obyvatel</w:t>
      </w:r>
      <w:r>
        <w:t xml:space="preserve"> v roce 2019</w:t>
      </w:r>
      <w:r w:rsidRPr="00187EEA">
        <w:t>, poměrně vysoká je hustota zalidnění – téměř 300 obyvatel na km</w:t>
      </w:r>
      <w:r w:rsidRPr="00187EEA">
        <w:rPr>
          <w:vertAlign w:val="superscript"/>
        </w:rPr>
        <w:t>2</w:t>
      </w:r>
      <w:r w:rsidRPr="00187EEA">
        <w:t xml:space="preserve">. </w:t>
      </w:r>
    </w:p>
    <w:p w14:paraId="5D9AA9AF" w14:textId="747BE10A" w:rsidR="00AF371C" w:rsidRDefault="00AF371C" w:rsidP="00415279">
      <w:pPr>
        <w:pStyle w:val="Titulek"/>
        <w:spacing w:after="0"/>
      </w:pPr>
      <w:bookmarkStart w:id="22" w:name="_Toc50030244"/>
      <w:bookmarkStart w:id="23" w:name="_Toc52960748"/>
      <w:bookmarkStart w:id="24" w:name="_Toc77074819"/>
      <w:r w:rsidRPr="00355A94">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w:t>
      </w:r>
      <w:r w:rsidR="00804AF3">
        <w:rPr>
          <w:noProof/>
        </w:rPr>
        <w:fldChar w:fldCharType="end"/>
      </w:r>
      <w:r w:rsidR="009E5648">
        <w:rPr>
          <w:noProof/>
        </w:rPr>
        <w:t>:</w:t>
      </w:r>
      <w:r w:rsidRPr="00355A94">
        <w:t xml:space="preserve"> </w:t>
      </w:r>
      <w:r>
        <w:t>Vymezení Zlínské aglomerace pro ITI v programovém období 2021 – 2027</w:t>
      </w:r>
      <w:bookmarkEnd w:id="22"/>
      <w:bookmarkEnd w:id="23"/>
      <w:bookmarkEnd w:id="24"/>
    </w:p>
    <w:p w14:paraId="116C9929" w14:textId="77777777" w:rsidR="00AF371C" w:rsidRDefault="00AF371C" w:rsidP="00415279">
      <w:pPr>
        <w:pStyle w:val="Zdroj"/>
        <w:spacing w:before="0" w:after="0"/>
      </w:pPr>
      <w:r>
        <w:rPr>
          <w:noProof/>
        </w:rPr>
        <w:drawing>
          <wp:inline distT="0" distB="0" distL="0" distR="0" wp14:anchorId="40840F02" wp14:editId="25409EE3">
            <wp:extent cx="5760720" cy="4076700"/>
            <wp:effectExtent l="0" t="0" r="0" b="0"/>
            <wp:docPr id="225" name="Zástupný symbol pro obsah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symbol pro obsah 4"/>
                    <pic:cNvPicPr>
                      <a:picLocks noGrp="1"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0"/>
                      <a:ext cx="5760720" cy="4076700"/>
                    </a:xfrm>
                    <a:prstGeom prst="rect">
                      <a:avLst/>
                    </a:prstGeom>
                  </pic:spPr>
                </pic:pic>
              </a:graphicData>
            </a:graphic>
          </wp:inline>
        </w:drawing>
      </w:r>
    </w:p>
    <w:p w14:paraId="0E3C73AB" w14:textId="2E572D4B" w:rsidR="00AF371C" w:rsidRDefault="00AF371C" w:rsidP="00AF371C">
      <w:pPr>
        <w:pStyle w:val="Zdroj"/>
      </w:pPr>
      <w:r w:rsidRPr="00C027A1">
        <w:t>Zdroj:</w:t>
      </w:r>
      <w:r>
        <w:t xml:space="preserve"> ČUZK (2020), MVČR, zpracování PROCES</w:t>
      </w:r>
      <w:r w:rsidR="009E5648">
        <w:t>.</w:t>
      </w:r>
    </w:p>
    <w:p w14:paraId="402E1C52" w14:textId="77777777" w:rsidR="00AF371C" w:rsidRDefault="00AF371C" w:rsidP="00AF371C">
      <w:pPr>
        <w:pStyle w:val="Nadpis3"/>
        <w:ind w:left="720"/>
      </w:pPr>
      <w:bookmarkStart w:id="25" w:name="_Toc46988093"/>
      <w:bookmarkStart w:id="26" w:name="_Toc52960763"/>
      <w:bookmarkStart w:id="27" w:name="_Toc77074574"/>
      <w:r>
        <w:t>Urbanismus</w:t>
      </w:r>
      <w:bookmarkEnd w:id="25"/>
      <w:r>
        <w:t xml:space="preserve"> a památková ochrana</w:t>
      </w:r>
      <w:bookmarkEnd w:id="26"/>
      <w:bookmarkEnd w:id="27"/>
    </w:p>
    <w:p w14:paraId="44014E48" w14:textId="71CB5CC1" w:rsidR="00AF371C" w:rsidRPr="00D35342" w:rsidRDefault="00AF371C" w:rsidP="00AF371C">
      <w:r w:rsidRPr="00D35342">
        <w:t>Město Zlín je unikátní svým uceleným urbanistickým charakterem, který vznikl důsledkem koncepčního plánování moderního průmyslového města v živelném období rozvoje města v první polovině 20. století</w:t>
      </w:r>
      <w:r w:rsidRPr="00D35342">
        <w:rPr>
          <w:rStyle w:val="Znakapoznpodarou"/>
        </w:rPr>
        <w:footnoteReference w:id="6"/>
      </w:r>
      <w:r w:rsidRPr="00D35342">
        <w:t xml:space="preserve">. V krátkém období </w:t>
      </w:r>
      <w:r w:rsidR="00BA6808">
        <w:t>s</w:t>
      </w:r>
      <w:r w:rsidRPr="00D35342">
        <w:t>e z provinčního města, které v roce 1910 mělo 3 557 obyvatel, stalo moderní průmyslové město s rozvinutými službami (53 041 obyvatel v roce 1950). Na rozvoji města se podílela řada významných architektů a urbanistů, z nichž můžeme uvést Františka Lýdie Gahuru, Vladimíra Karfíka, Miroslava Drofa nebo Jiřího Voženílka. Urbanistická skladba Zlína je charakteristická užitím standardizovaného stavebního modulu skeletových železobetonových a cihelných konstrukcí v široké škále budov továrních, obytných, obslužných a jiných (internáty, společenský dům, obchodní dům, nemocnice). Důležitými principy uplatňovanými při plánování města byly funkčnost, hospodárnost a účelnost. V procesu rozvoje města byly uplatněny principy budování</w:t>
      </w:r>
      <w:r>
        <w:t xml:space="preserve"> </w:t>
      </w:r>
      <w:r w:rsidRPr="00D35342">
        <w:t>pásmového města – mezi čtvrti obytné a výrobní areál je vloženo moderní centrum s občanskou vybaveností. Rozvoj moderního Zlína probíhal v souladu s ideou zahradního města s vysokým zastoupením zeleně ve veřejném prostoru, které je organicky srostlé s okolní krajinou a respektující místní terén a reliéf. Jedná se</w:t>
      </w:r>
      <w:r w:rsidR="009E5648">
        <w:t> </w:t>
      </w:r>
      <w:r w:rsidRPr="00D35342">
        <w:t>o</w:t>
      </w:r>
      <w:r w:rsidR="009E5648">
        <w:t> </w:t>
      </w:r>
      <w:r w:rsidRPr="00D35342">
        <w:t>příklad města vybudovaného podle zásad moderního funkcionalistického urbanismu.</w:t>
      </w:r>
    </w:p>
    <w:p w14:paraId="0124E77E" w14:textId="77777777" w:rsidR="00AF371C" w:rsidRPr="00D35342" w:rsidRDefault="00AF371C" w:rsidP="00AF371C">
      <w:r w:rsidRPr="00D35342">
        <w:lastRenderedPageBreak/>
        <w:t>Unikátní moderní urbanismus spolu s řadou architektonických památek z období 20. – 50. let 20. století, spojený s rozmachem obuvnické firmy Baťa, je dnes hlavním předmětem památkové ochrany. Urbanistický celek je zapsán do seznamu lokalit Evropského dědictví. Městská památková zóna Zlín (MPZ) zahrnuje historické jádro a převážnou část průmyslového zahradního města (areál firmy Baťa, obytné čtvrti). Souhrnná plocha MPZ činí přibližně 430 ha.</w:t>
      </w:r>
    </w:p>
    <w:p w14:paraId="7FD17D40" w14:textId="77777777" w:rsidR="00AF371C" w:rsidRPr="00D35342" w:rsidRDefault="00AF371C" w:rsidP="00AF371C">
      <w:r w:rsidRPr="00D35342">
        <w:t>Předmětem památkové péče v MPZ jsou především:</w:t>
      </w:r>
    </w:p>
    <w:p w14:paraId="22BEEE19" w14:textId="77777777" w:rsidR="00AF371C" w:rsidRDefault="00AF371C" w:rsidP="00A55F7D">
      <w:pPr>
        <w:pStyle w:val="Odstavecseseznamem"/>
        <w:numPr>
          <w:ilvl w:val="0"/>
          <w:numId w:val="57"/>
        </w:numPr>
      </w:pPr>
      <w:r>
        <w:t>Nemovité kulturní památky</w:t>
      </w:r>
    </w:p>
    <w:p w14:paraId="11C0FF0A" w14:textId="77777777" w:rsidR="00AF371C" w:rsidRDefault="00AF371C" w:rsidP="00A55F7D">
      <w:pPr>
        <w:pStyle w:val="Odstavecseseznamem"/>
        <w:numPr>
          <w:ilvl w:val="0"/>
          <w:numId w:val="57"/>
        </w:numPr>
      </w:pPr>
      <w:r>
        <w:t>Historický půdorys a odpovídající prostorová struktura</w:t>
      </w:r>
    </w:p>
    <w:p w14:paraId="3404E0D3" w14:textId="77777777" w:rsidR="00AF371C" w:rsidRDefault="00AF371C" w:rsidP="00A55F7D">
      <w:pPr>
        <w:pStyle w:val="Odstavecseseznamem"/>
        <w:numPr>
          <w:ilvl w:val="0"/>
          <w:numId w:val="57"/>
        </w:numPr>
      </w:pPr>
      <w:r>
        <w:t>Panorama památkové zóny a hlavní dominanty v blízkých a dálkových pohledech</w:t>
      </w:r>
    </w:p>
    <w:p w14:paraId="3A31CF5A" w14:textId="77777777" w:rsidR="00AF371C" w:rsidRDefault="00AF371C" w:rsidP="00A55F7D">
      <w:pPr>
        <w:pStyle w:val="Odstavecseseznamem"/>
        <w:numPr>
          <w:ilvl w:val="0"/>
          <w:numId w:val="57"/>
        </w:numPr>
      </w:pPr>
      <w:r>
        <w:t>Veřejná zeleň zachovávající princip zahradního města</w:t>
      </w:r>
    </w:p>
    <w:p w14:paraId="23EC7B3A" w14:textId="77777777" w:rsidR="00AF371C" w:rsidRDefault="00AF371C" w:rsidP="00A55F7D">
      <w:pPr>
        <w:pStyle w:val="Odstavecseseznamem"/>
        <w:numPr>
          <w:ilvl w:val="0"/>
          <w:numId w:val="57"/>
        </w:numPr>
      </w:pPr>
      <w:r>
        <w:t>Ostatní objekty dotvářející charakter zóny</w:t>
      </w:r>
    </w:p>
    <w:p w14:paraId="42401725" w14:textId="77777777" w:rsidR="00AF371C" w:rsidRDefault="00AF371C" w:rsidP="00AF371C">
      <w:r>
        <w:t>Proces regenerace objektů MPZ koordinuje dokument „Strategický plán pro regeneraci městské památkové zóny Zlín na období 2016 – 2020</w:t>
      </w:r>
      <w:r>
        <w:rPr>
          <w:rStyle w:val="Znakapoznpodarou"/>
        </w:rPr>
        <w:footnoteReference w:id="7"/>
      </w:r>
      <w:r>
        <w:t>“, jehož hlavním cílem je vytvoření strategie a priorit ve věci obnovy nemovitých kulturních památek a veřejných prostor ve Zlíně. Cíle Programu regenerace jsou v souladu s platnými územně plánovacími podklady města. Celkové náklady finančních prostředků MPZ pro účely regenerace byly pro období 2016 – 2020 vyčísleny na 591,8 mil. Kč.</w:t>
      </w:r>
    </w:p>
    <w:p w14:paraId="2FC4AD53" w14:textId="77777777" w:rsidR="00AF371C" w:rsidRDefault="00AF371C" w:rsidP="00AF371C">
      <w:r>
        <w:t>Dokument dále uvádí klíčové památky Zlína „spojující</w:t>
      </w:r>
      <w:r w:rsidRPr="008952E2">
        <w:t xml:space="preserve"> </w:t>
      </w:r>
      <w:r>
        <w:t>v sobě jedinečnou architekturu, jedinečné urbanistické postavení a vysoký prezentační potenciál“, mezi které řadí Správní budovu firmy Baťa č. 21 – „Baťův mrakodrap“ nebo Památník Tomáše Bati. Z městských souborů je nutné podobně nahlížet na moderní centrum kolem náměstí Práce a T.G.M., bývalou továrnu firmy Baťa, soubory typových rodinných domků – typických „baťovských domků“ (kolonie U lomu, čtvrti Letná, Díly, Lesní čtvrť, Zálešná a Podvesná) a poválečnou výstavbu ve východní části města.</w:t>
      </w:r>
    </w:p>
    <w:p w14:paraId="273A1C8D" w14:textId="431A7E9B" w:rsidR="00AF371C" w:rsidRDefault="00AF371C" w:rsidP="00415279">
      <w:pPr>
        <w:pStyle w:val="Titulek"/>
        <w:keepNext/>
        <w:spacing w:after="120"/>
      </w:pPr>
      <w:bookmarkStart w:id="28" w:name="_Toc52960749"/>
      <w:bookmarkStart w:id="29" w:name="_Toc7707482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w:t>
      </w:r>
      <w:r w:rsidR="00804AF3">
        <w:rPr>
          <w:noProof/>
        </w:rPr>
        <w:fldChar w:fldCharType="end"/>
      </w:r>
      <w:r w:rsidR="001E76FE">
        <w:rPr>
          <w:noProof/>
        </w:rPr>
        <w:t>:</w:t>
      </w:r>
      <w:r>
        <w:t xml:space="preserve"> Městská památková zóna</w:t>
      </w:r>
      <w:bookmarkEnd w:id="28"/>
      <w:bookmarkEnd w:id="29"/>
    </w:p>
    <w:p w14:paraId="7B660710" w14:textId="77777777" w:rsidR="00AF371C" w:rsidRDefault="00AF371C" w:rsidP="00415279">
      <w:pPr>
        <w:spacing w:before="0"/>
      </w:pPr>
      <w:r>
        <w:rPr>
          <w:noProof/>
          <w:lang w:eastAsia="cs-CZ"/>
        </w:rPr>
        <w:drawing>
          <wp:inline distT="0" distB="0" distL="0" distR="0" wp14:anchorId="3B1C382B" wp14:editId="44A38AF5">
            <wp:extent cx="5760720" cy="3170555"/>
            <wp:effectExtent l="19050" t="19050" r="11430" b="10795"/>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pz_mapa_novaa.png"/>
                    <pic:cNvPicPr/>
                  </pic:nvPicPr>
                  <pic:blipFill>
                    <a:blip r:embed="rId12">
                      <a:extLst>
                        <a:ext uri="{28A0092B-C50C-407E-A947-70E740481C1C}">
                          <a14:useLocalDpi xmlns:a14="http://schemas.microsoft.com/office/drawing/2010/main" val="0"/>
                        </a:ext>
                      </a:extLst>
                    </a:blip>
                    <a:stretch>
                      <a:fillRect/>
                    </a:stretch>
                  </pic:blipFill>
                  <pic:spPr>
                    <a:xfrm>
                      <a:off x="0" y="0"/>
                      <a:ext cx="5760720" cy="3170555"/>
                    </a:xfrm>
                    <a:prstGeom prst="rect">
                      <a:avLst/>
                    </a:prstGeom>
                    <a:ln>
                      <a:solidFill>
                        <a:schemeClr val="bg1">
                          <a:lumMod val="75000"/>
                        </a:schemeClr>
                      </a:solidFill>
                    </a:ln>
                  </pic:spPr>
                </pic:pic>
              </a:graphicData>
            </a:graphic>
          </wp:inline>
        </w:drawing>
      </w:r>
    </w:p>
    <w:p w14:paraId="1429F9B6" w14:textId="4AB03472" w:rsidR="00AF371C" w:rsidRPr="001E76FE" w:rsidRDefault="00AF371C" w:rsidP="00AF371C">
      <w:pPr>
        <w:pStyle w:val="Zdroj"/>
        <w:rPr>
          <w:rStyle w:val="Hypertextovodkaz"/>
          <w:rFonts w:eastAsiaTheme="majorEastAsia"/>
          <w:color w:val="auto"/>
          <w:u w:val="none"/>
        </w:rPr>
      </w:pPr>
      <w:r>
        <w:t xml:space="preserve">Zdroj: Oficiální stránky </w:t>
      </w:r>
      <w:r w:rsidR="005668E1">
        <w:t>s</w:t>
      </w:r>
      <w:r>
        <w:t xml:space="preserve">tatutárního města Zlín, Odbor kultury a památkové péče; </w:t>
      </w:r>
      <w:hyperlink r:id="rId13" w:history="1">
        <w:r w:rsidRPr="001E76FE">
          <w:rPr>
            <w:rStyle w:val="Hypertextovodkaz"/>
            <w:rFonts w:eastAsiaTheme="majorEastAsia"/>
            <w:color w:val="auto"/>
            <w:u w:val="none"/>
          </w:rPr>
          <w:t>https://www.zlin.eu/odbor-kultury-a-pamatkove-pece-cl-117.html</w:t>
        </w:r>
      </w:hyperlink>
    </w:p>
    <w:p w14:paraId="295D6933" w14:textId="47051921" w:rsidR="00AF371C" w:rsidRDefault="00AF371C" w:rsidP="00AF371C">
      <w:pPr>
        <w:pStyle w:val="Titulek"/>
        <w:keepNext/>
        <w:keepLines/>
        <w:rPr>
          <w:rStyle w:val="Hypertextovodkaz"/>
        </w:rPr>
      </w:pPr>
      <w:bookmarkStart w:id="30" w:name="_Toc52960750"/>
      <w:bookmarkStart w:id="31" w:name="_Toc77074821"/>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w:t>
      </w:r>
      <w:r w:rsidR="00804AF3">
        <w:rPr>
          <w:noProof/>
        </w:rPr>
        <w:fldChar w:fldCharType="end"/>
      </w:r>
      <w:r w:rsidR="001E76FE">
        <w:rPr>
          <w:noProof/>
        </w:rPr>
        <w:t>:</w:t>
      </w:r>
      <w:r>
        <w:t xml:space="preserve"> Přehled lokalit památkové ochrany v centru města</w:t>
      </w:r>
      <w:bookmarkEnd w:id="30"/>
      <w:bookmarkEnd w:id="31"/>
    </w:p>
    <w:p w14:paraId="7F999833" w14:textId="639DCFAE" w:rsidR="00AF371C" w:rsidRPr="001E76FE" w:rsidRDefault="00AF371C" w:rsidP="00AF371C">
      <w:pPr>
        <w:pStyle w:val="Zdroj"/>
        <w:rPr>
          <w:rStyle w:val="Hypertextovodkaz"/>
          <w:rFonts w:eastAsiaTheme="majorEastAsia"/>
          <w:color w:val="auto"/>
          <w:u w:val="none"/>
        </w:rPr>
      </w:pPr>
      <w:r>
        <w:rPr>
          <w:noProof/>
          <w:color w:val="0000FF"/>
          <w:u w:val="single"/>
        </w:rPr>
        <w:drawing>
          <wp:anchor distT="0" distB="0" distL="114300" distR="114300" simplePos="0" relativeHeight="251719680" behindDoc="0" locked="0" layoutInCell="1" allowOverlap="1" wp14:anchorId="5116C1D4" wp14:editId="7116C046">
            <wp:simplePos x="0" y="0"/>
            <wp:positionH relativeFrom="column">
              <wp:posOffset>14605</wp:posOffset>
            </wp:positionH>
            <wp:positionV relativeFrom="paragraph">
              <wp:posOffset>93980</wp:posOffset>
            </wp:positionV>
            <wp:extent cx="5760720" cy="4215765"/>
            <wp:effectExtent l="19050" t="19050" r="11430" b="13335"/>
            <wp:wrapSquare wrapText="bothSides"/>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matky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215765"/>
                    </a:xfrm>
                    <a:prstGeom prst="rect">
                      <a:avLst/>
                    </a:prstGeom>
                    <a:ln>
                      <a:solidFill>
                        <a:schemeClr val="bg1">
                          <a:lumMod val="50000"/>
                        </a:schemeClr>
                      </a:solidFill>
                    </a:ln>
                  </pic:spPr>
                </pic:pic>
              </a:graphicData>
            </a:graphic>
          </wp:anchor>
        </w:drawing>
      </w:r>
      <w:r>
        <w:t xml:space="preserve">Zdroj: </w:t>
      </w:r>
      <w:r w:rsidRPr="006C371D">
        <w:t>Strategický plán 2016</w:t>
      </w:r>
      <w:r w:rsidR="001E76FE">
        <w:t xml:space="preserve"> </w:t>
      </w:r>
      <w:r w:rsidRPr="006C371D">
        <w:t>–</w:t>
      </w:r>
      <w:r w:rsidR="001E76FE">
        <w:t xml:space="preserve"> </w:t>
      </w:r>
      <w:r w:rsidRPr="006C371D">
        <w:t>2020 Programu regenerace MPZ Zlín</w:t>
      </w:r>
      <w:r>
        <w:t xml:space="preserve">, </w:t>
      </w:r>
      <w:hyperlink r:id="rId15" w:history="1">
        <w:r w:rsidRPr="001E76FE">
          <w:rPr>
            <w:rStyle w:val="Hypertextovodkaz"/>
            <w:rFonts w:eastAsiaTheme="majorEastAsia"/>
            <w:color w:val="auto"/>
            <w:u w:val="none"/>
          </w:rPr>
          <w:t>https://www.zlin.eu/strategicky-plan-2016-2020-programu-regenerace-mpz-zlin-cl-3443.html</w:t>
        </w:r>
      </w:hyperlink>
    </w:p>
    <w:p w14:paraId="4270D217" w14:textId="77777777" w:rsidR="00AF371C" w:rsidRDefault="00AF371C" w:rsidP="00AF371C">
      <w:pPr>
        <w:pStyle w:val="Nadpis3"/>
        <w:ind w:left="720"/>
      </w:pPr>
      <w:bookmarkStart w:id="32" w:name="_Toc52960764"/>
      <w:bookmarkStart w:id="33" w:name="_Toc77074575"/>
      <w:r>
        <w:t>Prostorová struktura města</w:t>
      </w:r>
      <w:bookmarkEnd w:id="32"/>
      <w:bookmarkEnd w:id="33"/>
    </w:p>
    <w:p w14:paraId="7D38960B" w14:textId="162F8CBD" w:rsidR="00AF371C" w:rsidRDefault="00AF371C" w:rsidP="00AF371C">
      <w:r>
        <w:t>Ve druhé polovině 20. století pokračoval trend rozvoje města, ačkoliv již pomalejším tempem, než v předchozím období. Populační velikost se zvýšila z 53 014 v roce 1950 na 84 522 v roce 1991, kdy dosáhla svého vrcholu. V tomto období byl prostor města obohacen o nové čtvrti, jedná se především o</w:t>
      </w:r>
      <w:r w:rsidR="001E76FE">
        <w:t> </w:t>
      </w:r>
      <w:r>
        <w:t xml:space="preserve">hromadnou bytovou výstavbu a panelová sídliště. V poválečném období byla nejprve vystavěna čtvrť Obeciny (součástí MPZ), později Bartošova čtvrť, sídliště ve Zlíně-Malenovicích nebo největší zlínské sídliště – Jižní </w:t>
      </w:r>
      <w:r w:rsidR="00053411">
        <w:t>S</w:t>
      </w:r>
      <w:r>
        <w:t xml:space="preserve">vahy. V důsledku procesu deindustrializace a úpadku průmyslové výroby v 90. letech 20. století procházely výrobní lokality v centru města procesem transformace. Do dnešní doby se podařilo regenerovat řadu lokalit a nalézt vhodné využití některých bývalých továrních budov (začleňování východní části bývalého areálu firmy Baťa do městského centra). Pro další rozvoj města je důležité v tomto trendu dále pokračovat a nalézat funkční řešení městského prostoru spolu se zachováváním charakteru zlínského urbanismu. Dalším procesem ovlivňujícím prostorové uspořádání města je proces suburbanizace, tedy rozšiřování obytné funkce města do jeho zázemí – například nové zástavby rodinných domů v lokalitách městských částí Mladcová, Kostelec, Štípa, Kudlov, Příluky, Prštné nebo Mokrá. Intenzitu procesu suburbanizace v širším zázemí města Zlín zobrazuje mapa na </w:t>
      </w:r>
      <w:r w:rsidR="00BE6D54">
        <w:t xml:space="preserve">obrázku 1.4 na </w:t>
      </w:r>
      <w:r>
        <w:t>následující straně.</w:t>
      </w:r>
    </w:p>
    <w:p w14:paraId="7EE10E17" w14:textId="0D4C43D6" w:rsidR="00AF371C" w:rsidRDefault="00AF371C" w:rsidP="00AF371C">
      <w:pPr>
        <w:pStyle w:val="Titulek"/>
        <w:keepNext/>
      </w:pPr>
      <w:bookmarkStart w:id="34" w:name="_Toc52960751"/>
      <w:bookmarkStart w:id="35" w:name="_Toc77074822"/>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w:t>
      </w:r>
      <w:r w:rsidR="00804AF3">
        <w:rPr>
          <w:noProof/>
        </w:rPr>
        <w:fldChar w:fldCharType="end"/>
      </w:r>
      <w:r w:rsidR="001E76FE">
        <w:rPr>
          <w:noProof/>
        </w:rPr>
        <w:t>:</w:t>
      </w:r>
      <w:r>
        <w:t xml:space="preserve"> Intenzita bytové výstavby ve Zlíně a okolí v letech 2009 - 2019</w:t>
      </w:r>
      <w:bookmarkEnd w:id="34"/>
      <w:bookmarkEnd w:id="35"/>
    </w:p>
    <w:p w14:paraId="1AE6905A" w14:textId="77777777" w:rsidR="00AF371C" w:rsidRDefault="00AF371C" w:rsidP="00AF371C">
      <w:r>
        <w:rPr>
          <w:noProof/>
          <w:lang w:eastAsia="cs-CZ"/>
        </w:rPr>
        <w:drawing>
          <wp:inline distT="0" distB="0" distL="0" distR="0" wp14:anchorId="10DB2A9A" wp14:editId="42FE2272">
            <wp:extent cx="5753100" cy="4067175"/>
            <wp:effectExtent l="0" t="0" r="0" b="9525"/>
            <wp:docPr id="228" name="Obrázek 228" descr="byty_Zlin_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yty_Zlin_V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1A3C9A40" w14:textId="3CD30185" w:rsidR="00AF371C" w:rsidRDefault="00685240" w:rsidP="00685240">
      <w:pPr>
        <w:pStyle w:val="zdroj0"/>
      </w:pPr>
      <w:r>
        <w:t>Zdroj: ČSÚ, MVČR, statutární město Zlín, zpracování PROCES</w:t>
      </w:r>
      <w:r w:rsidR="00BA6808">
        <w:t>,</w:t>
      </w:r>
      <w:r>
        <w:t xml:space="preserve"> 2020</w:t>
      </w:r>
      <w:r w:rsidR="001E76FE">
        <w:t>.</w:t>
      </w:r>
    </w:p>
    <w:p w14:paraId="21F63CA7" w14:textId="174ABF8F" w:rsidR="00AF371C" w:rsidRDefault="00AF371C" w:rsidP="00AF371C">
      <w:r w:rsidRPr="00D35342">
        <w:t>Pro vývoj prostorové struktury města je klíčový dokument Územního plánu. Územní plán obsahuje urbanistickou koncepci, jejíž zásadami se řídí rozvoj města. Hlavní zásady urbanistické koncepce aktuálního Územním plánu Zlína jsou uveden</w:t>
      </w:r>
      <w:r w:rsidR="001E76FE">
        <w:t>y</w:t>
      </w:r>
      <w:r w:rsidRPr="00D35342">
        <w:t xml:space="preserve"> níže:</w:t>
      </w:r>
    </w:p>
    <w:p w14:paraId="7E819D5E" w14:textId="77777777" w:rsidR="00AF371C" w:rsidRDefault="00AF371C" w:rsidP="00A55F7D">
      <w:pPr>
        <w:pStyle w:val="Odstavecseseznamem"/>
        <w:numPr>
          <w:ilvl w:val="0"/>
          <w:numId w:val="58"/>
        </w:numPr>
      </w:pPr>
      <w:r>
        <w:t>Posílení významu města Zlína v rámci České republiky a Evropském prostoru</w:t>
      </w:r>
    </w:p>
    <w:p w14:paraId="4D7F2306" w14:textId="77777777" w:rsidR="00AF371C" w:rsidRDefault="00AF371C" w:rsidP="00A55F7D">
      <w:pPr>
        <w:pStyle w:val="Odstavecseseznamem"/>
        <w:numPr>
          <w:ilvl w:val="0"/>
          <w:numId w:val="59"/>
        </w:numPr>
      </w:pPr>
      <w:r>
        <w:t>územní plán v návaznosti na dopravní koridory v Pomoraví a Pováží; připojení města Zlína na dálnici D55 (Přerov – Uherské Hradiště – Břeclav) a D49 (Hulín – Zlín – Slovensko) kapacitní silnicí</w:t>
      </w:r>
    </w:p>
    <w:p w14:paraId="216F6B08" w14:textId="77777777" w:rsidR="00AF371C" w:rsidRDefault="00AF371C" w:rsidP="00A55F7D">
      <w:pPr>
        <w:pStyle w:val="Odstavecseseznamem"/>
        <w:numPr>
          <w:ilvl w:val="0"/>
          <w:numId w:val="59"/>
        </w:numPr>
      </w:pPr>
      <w:r>
        <w:t>propojení města na dálnice a převedení dopravy ve směru západ – východ</w:t>
      </w:r>
    </w:p>
    <w:p w14:paraId="4A69E12E" w14:textId="77777777" w:rsidR="00AF371C" w:rsidRDefault="00AF371C" w:rsidP="00A55F7D">
      <w:pPr>
        <w:pStyle w:val="Odstavecseseznamem"/>
        <w:numPr>
          <w:ilvl w:val="0"/>
          <w:numId w:val="59"/>
        </w:numPr>
      </w:pPr>
      <w:r>
        <w:t>posílení významu železnice ve Zlíně (zdvoukolejnění, elektrizace), napojení na III. tranzitní železniční koridor (Lipník nad Bečvou – Přerov) a II. tranzitní železniční koridor (Přerov – Břeclav)</w:t>
      </w:r>
    </w:p>
    <w:p w14:paraId="5AF0824B" w14:textId="77777777" w:rsidR="00AF371C" w:rsidRDefault="00AF371C" w:rsidP="00A55F7D">
      <w:pPr>
        <w:pStyle w:val="Odstavecseseznamem"/>
        <w:numPr>
          <w:ilvl w:val="0"/>
          <w:numId w:val="59"/>
        </w:numPr>
      </w:pPr>
      <w:r>
        <w:t>posílení vztahů v rozvojové oblasti mezi Otrokovicemi, Zlínem, Napajedly a Holešovem</w:t>
      </w:r>
    </w:p>
    <w:p w14:paraId="57C35641" w14:textId="77777777" w:rsidR="00AF371C" w:rsidRDefault="00AF371C" w:rsidP="00A55F7D">
      <w:pPr>
        <w:pStyle w:val="Odstavecseseznamem"/>
        <w:numPr>
          <w:ilvl w:val="1"/>
          <w:numId w:val="59"/>
        </w:numPr>
      </w:pPr>
      <w:r>
        <w:t xml:space="preserve">spolupráce v dělbě funkcí - využití průmyslové zóny Holešov pro rozvoj pracovních příležitostí v oblasti výroby </w:t>
      </w:r>
      <w:r>
        <w:tab/>
      </w:r>
    </w:p>
    <w:p w14:paraId="7BD0E1BD" w14:textId="77777777" w:rsidR="00AF371C" w:rsidRDefault="00AF371C" w:rsidP="00A55F7D">
      <w:pPr>
        <w:pStyle w:val="Odstavecseseznamem"/>
        <w:numPr>
          <w:ilvl w:val="1"/>
          <w:numId w:val="59"/>
        </w:numPr>
      </w:pPr>
      <w:r>
        <w:t>rozšíření příležitostí pro vzdělávání ve Zlíně vymezením ploch, umožňujících rozvoj vysokého školství</w:t>
      </w:r>
    </w:p>
    <w:p w14:paraId="1770FF9B" w14:textId="00B77FCD" w:rsidR="00AF371C" w:rsidRDefault="00AF371C" w:rsidP="00A55F7D">
      <w:pPr>
        <w:pStyle w:val="Odstavecseseznamem"/>
        <w:numPr>
          <w:ilvl w:val="1"/>
          <w:numId w:val="59"/>
        </w:numPr>
      </w:pPr>
      <w:r>
        <w:t>rozvoj ploch pro inovace a služby (východní část Baťova areálu, plochy mezi Dřevnicí a tř.</w:t>
      </w:r>
      <w:r w:rsidR="001E76FE">
        <w:t xml:space="preserve"> </w:t>
      </w:r>
      <w:r>
        <w:t>T.</w:t>
      </w:r>
      <w:r w:rsidR="001E76FE">
        <w:t xml:space="preserve"> </w:t>
      </w:r>
      <w:r>
        <w:t xml:space="preserve">Bati) </w:t>
      </w:r>
    </w:p>
    <w:p w14:paraId="650A9F2B" w14:textId="77777777" w:rsidR="00AF371C" w:rsidRDefault="00AF371C" w:rsidP="00A55F7D">
      <w:pPr>
        <w:pStyle w:val="Odstavecseseznamem"/>
        <w:numPr>
          <w:ilvl w:val="1"/>
          <w:numId w:val="59"/>
        </w:numPr>
      </w:pPr>
      <w:r>
        <w:t>rozvoj veřejné integrované dopravy s terminálem v centru Zlína</w:t>
      </w:r>
    </w:p>
    <w:p w14:paraId="638927DC" w14:textId="77777777" w:rsidR="00AF371C" w:rsidRDefault="00AF371C" w:rsidP="00A55F7D">
      <w:pPr>
        <w:pStyle w:val="Odstavecseseznamem"/>
        <w:numPr>
          <w:ilvl w:val="1"/>
          <w:numId w:val="59"/>
        </w:numPr>
      </w:pPr>
      <w:r>
        <w:t>propojení cyklistickými stezkami</w:t>
      </w:r>
      <w:r>
        <w:tab/>
      </w:r>
    </w:p>
    <w:p w14:paraId="1FCB0AB3" w14:textId="77777777" w:rsidR="00AF371C" w:rsidRDefault="00AF371C" w:rsidP="00A55F7D">
      <w:pPr>
        <w:pStyle w:val="Odstavecseseznamem"/>
        <w:numPr>
          <w:ilvl w:val="1"/>
          <w:numId w:val="59"/>
        </w:numPr>
      </w:pPr>
      <w:r>
        <w:t>propojení systému ekologické stability</w:t>
      </w:r>
    </w:p>
    <w:p w14:paraId="4B663E75" w14:textId="77777777" w:rsidR="00AF371C" w:rsidRDefault="00AF371C" w:rsidP="009B2952">
      <w:pPr>
        <w:pStyle w:val="Odstavecseseznamem"/>
        <w:keepNext/>
        <w:numPr>
          <w:ilvl w:val="0"/>
          <w:numId w:val="58"/>
        </w:numPr>
        <w:ind w:left="714" w:hanging="357"/>
      </w:pPr>
      <w:r>
        <w:lastRenderedPageBreak/>
        <w:t>Posílení atraktivity města</w:t>
      </w:r>
    </w:p>
    <w:p w14:paraId="2C76E8A5" w14:textId="1AAE8549" w:rsidR="00AF371C" w:rsidRDefault="00AF371C" w:rsidP="00A55F7D">
      <w:pPr>
        <w:pStyle w:val="Odstavecseseznamem"/>
        <w:numPr>
          <w:ilvl w:val="0"/>
          <w:numId w:val="60"/>
        </w:numPr>
      </w:pPr>
      <w:r>
        <w:t>rozvoj městského prostředí – rozvoj bydlení v blízkosti vlastního města</w:t>
      </w:r>
      <w:r w:rsidR="001E76FE">
        <w:t>,</w:t>
      </w:r>
      <w:r>
        <w:t xml:space="preserve"> a to především západním směrem, s využitím všech vhodných ploch s předpokladem pro pohodu bydlení, především na terasách nad údolím s minimálním rizikem hluku a imisí z dopravy</w:t>
      </w:r>
    </w:p>
    <w:p w14:paraId="68C7C91F" w14:textId="77777777" w:rsidR="00AF371C" w:rsidRDefault="00AF371C" w:rsidP="00A55F7D">
      <w:pPr>
        <w:pStyle w:val="Odstavecseseznamem"/>
        <w:numPr>
          <w:ilvl w:val="0"/>
          <w:numId w:val="60"/>
        </w:numPr>
      </w:pPr>
      <w:r>
        <w:t>rozvoj ploch smíšených, umožňujících rozvoj pracovních příležitostí a občanského vybavení po celém městě s cílem minimalizování vnitroměstských pohybů obyvatel</w:t>
      </w:r>
    </w:p>
    <w:p w14:paraId="537B9988" w14:textId="49D1B056" w:rsidR="00AF371C" w:rsidRDefault="00AF371C" w:rsidP="00A55F7D">
      <w:pPr>
        <w:pStyle w:val="Odstavecseseznamem"/>
        <w:numPr>
          <w:ilvl w:val="0"/>
          <w:numId w:val="60"/>
        </w:numPr>
      </w:pPr>
      <w:r>
        <w:t>rozvoj ploch</w:t>
      </w:r>
      <w:r w:rsidR="001E76FE">
        <w:t xml:space="preserve"> </w:t>
      </w:r>
      <w:r>
        <w:t>umožňujících rozvoj turistického ruchu - rozšíření lázní Kostelec, sportovně rekreační využití údolí Fryštáckého potoka</w:t>
      </w:r>
    </w:p>
    <w:p w14:paraId="47BDC621" w14:textId="5CD96FF8" w:rsidR="00AF371C" w:rsidRDefault="00AF371C" w:rsidP="00A55F7D">
      <w:pPr>
        <w:pStyle w:val="Odstavecseseznamem"/>
        <w:numPr>
          <w:ilvl w:val="0"/>
          <w:numId w:val="58"/>
        </w:numPr>
      </w:pPr>
      <w:r>
        <w:t xml:space="preserve">Posílení rozmanitosti života v souladu </w:t>
      </w:r>
      <w:r w:rsidR="001E76FE">
        <w:t>a</w:t>
      </w:r>
      <w:r>
        <w:t xml:space="preserve"> harmonii s prostředím</w:t>
      </w:r>
    </w:p>
    <w:p w14:paraId="5666C404" w14:textId="283C57B4" w:rsidR="00AF371C" w:rsidRDefault="00AF371C" w:rsidP="00A55F7D">
      <w:pPr>
        <w:pStyle w:val="Odstavecseseznamem"/>
        <w:numPr>
          <w:ilvl w:val="0"/>
          <w:numId w:val="61"/>
        </w:numPr>
      </w:pPr>
      <w:r>
        <w:t>posílení funkce centra města a jeho částí - podmínkami pro regeneraci významných prostorů města – centra, Baťova areálu, panelových sídlišť, lokálních center v</w:t>
      </w:r>
      <w:r w:rsidR="001E76FE">
        <w:t> </w:t>
      </w:r>
      <w:r>
        <w:t>městských částech Malenovice, Štípa a Jižní Svahy</w:t>
      </w:r>
    </w:p>
    <w:p w14:paraId="3F7ABA19" w14:textId="234F3B08" w:rsidR="00AF371C" w:rsidRDefault="00CE7182" w:rsidP="00A55F7D">
      <w:pPr>
        <w:pStyle w:val="Odstavecseseznamem"/>
        <w:numPr>
          <w:ilvl w:val="0"/>
          <w:numId w:val="61"/>
        </w:numPr>
      </w:pPr>
      <w:r>
        <w:t>zachování</w:t>
      </w:r>
      <w:r w:rsidR="00AF371C">
        <w:t xml:space="preserve"> identity jednotlivých prostorů (urbanistické koncepce)</w:t>
      </w:r>
    </w:p>
    <w:p w14:paraId="62423975" w14:textId="77777777" w:rsidR="00AF371C" w:rsidRDefault="00AF371C" w:rsidP="00A55F7D">
      <w:pPr>
        <w:pStyle w:val="Odstavecseseznamem"/>
        <w:numPr>
          <w:ilvl w:val="0"/>
          <w:numId w:val="61"/>
        </w:numPr>
      </w:pPr>
      <w:r>
        <w:t>uspokojování volnočasových aktivit obyvatel – rozšířením sportovních areálů, využitím navazující krajiny pro rekreaci, propojených sítí cyklostezek, pěších tahů</w:t>
      </w:r>
    </w:p>
    <w:p w14:paraId="21A31852" w14:textId="77777777" w:rsidR="00AF371C" w:rsidRDefault="00AF371C" w:rsidP="00A55F7D">
      <w:pPr>
        <w:pStyle w:val="Odstavecseseznamem"/>
        <w:numPr>
          <w:ilvl w:val="0"/>
          <w:numId w:val="61"/>
        </w:numPr>
      </w:pPr>
      <w:r>
        <w:t>navržení podmínek pro zachování významného podílu zeleně ve struktuře města vytvářející jedinečný systém navazující na krajinu</w:t>
      </w:r>
    </w:p>
    <w:p w14:paraId="08E8BAF7" w14:textId="77777777" w:rsidR="00AF371C" w:rsidRDefault="00AF371C" w:rsidP="00A55F7D">
      <w:pPr>
        <w:pStyle w:val="Odstavecseseznamem"/>
        <w:numPr>
          <w:ilvl w:val="0"/>
          <w:numId w:val="61"/>
        </w:numPr>
      </w:pPr>
      <w:r>
        <w:t>na celém správním území města Zlína uplatnit zákaz zřizování logistických center</w:t>
      </w:r>
    </w:p>
    <w:p w14:paraId="6359398B" w14:textId="77777777" w:rsidR="00AF371C" w:rsidRDefault="00AF371C" w:rsidP="00AF371C">
      <w:pPr>
        <w:pStyle w:val="Nadpis4"/>
      </w:pPr>
      <w:r>
        <w:t>Veřejná prostranství</w:t>
      </w:r>
    </w:p>
    <w:p w14:paraId="710182F4" w14:textId="401B33B7" w:rsidR="00AF371C" w:rsidRDefault="00AF371C" w:rsidP="00AF371C">
      <w:r>
        <w:t xml:space="preserve">Důležitou součástí urbanistické struktury města jsou veřejná prostranství. Jedná se o plochy k veřejnému užívání bez ohledu na jejich vlastnickou strukturu (náměstí, ulice, tržiště, chodníky, </w:t>
      </w:r>
      <w:r w:rsidR="00CE7182">
        <w:t>veřejná zeleň, parky, apod.). Ta</w:t>
      </w:r>
      <w:r>
        <w:t>to místa zároveň plní důležitou funkci pro existenci společenského a</w:t>
      </w:r>
      <w:r w:rsidR="00086EB9">
        <w:t> </w:t>
      </w:r>
      <w:r>
        <w:t>kulturního života, jsou místem setkávání, konání akcí pro veřejnost a trávení volného času.</w:t>
      </w:r>
    </w:p>
    <w:p w14:paraId="6209B556" w14:textId="490A0479" w:rsidR="00AF371C" w:rsidRDefault="00AF371C" w:rsidP="00AF371C">
      <w:r>
        <w:t>Řada lokalit veřejného prostoru v centru Zlína prošla v poslední době úspěšnou revitalizací. Můžeme zmínit především východní část Baťova areálu, park Komenského, Gahurův prospekt, Památník Tomáše Bati, ulici Školní. Historické náměstí Míru, kde sídlí radnice města, je součástí nejrozsáhlejší pěší zóny ve městě. S trendem revitalizace Baťova areálu spolu s lokalizací některých veřejných institucí se však vytváří polycentrická urbánní struktura (náměstí Míru, náměstí Práce a východní část Baťova areálu). Problémem je rozdělení tohoto širšího centra komunikacemi</w:t>
      </w:r>
      <w:r w:rsidR="00086EB9">
        <w:t xml:space="preserve"> s vysokou intenzitou dopravy a </w:t>
      </w:r>
      <w:r>
        <w:t>tedy znesnadněný pohyb chodců, kteří se v prostoru centra pohybují. Intenzivní doprava v centru je tedy problémem, který omezuje větší organické propojení lokalit širšího centra a kvalitu veřejného prostoru. Posílení funkce centra města a zkvalitnění dopravy patří také k hlavním zásadám současné urbanistické koncepce Územního plánu Zlína. Řešením, které by zlepšilo situaci, je omezení dopravy, případně její přesměrování. V tomto ohledu je možné předpokládat mírné zlepšení situace v důsledku výstavby komunikace D49 a odklonění části tranzitní dopravy, která v současnosti prochází centrem. Důležitou dopravní stavbou, která by jednoznačně přispěla kvalitě veřejného prostoru v centru Zlína</w:t>
      </w:r>
      <w:r w:rsidR="00086EB9">
        <w:t>,</w:t>
      </w:r>
      <w:r>
        <w:t xml:space="preserve"> je uvažovaný krátký silniční tunel v délce zhruba 1 km v ose silnice I/49 (</w:t>
      </w:r>
      <w:r w:rsidR="00E864DB">
        <w:t>t</w:t>
      </w:r>
      <w:r>
        <w:t>ř. T. Bati) v úseku Gahurova-Dlouhá. V roce 2020 MMZ vypsal veřejnou zakázku na studii proveditelnosti tunelu, který by měl být realizován v</w:t>
      </w:r>
      <w:r w:rsidRPr="00101F01">
        <w:t xml:space="preserve"> horizontu roku 2035</w:t>
      </w:r>
      <w:r>
        <w:t xml:space="preserve">. Součástí řešení jsou také náměty na přestavbu křižovatek v centru města. </w:t>
      </w:r>
    </w:p>
    <w:p w14:paraId="297E9742" w14:textId="77777777" w:rsidR="00AF371C" w:rsidRDefault="00AF371C" w:rsidP="00AF371C">
      <w:r>
        <w:t>Vysoký podíl zelených ploch v prostoru města je pro Zlín charakteristický, je důležité dále podporovat údržbu zelených ploch a rozšiřovat zastoupení zeleně ve veřejném prostoru. Zelené plochy a parky mohou propojovat jinak fragmentované území města. Kvalitu veřejného městského prostoru mohou také zvyšovat zelené střechy, zelené fasády nebo dešťové zahrady. Podpora umísťování uměleckých prvků a zakomponování uměleckých děl nebo vyhrazení míst pro street art – neoficiální vizuální umění ve veřejném prostoru – mohou dále oživit jinak zanedbané lokality.</w:t>
      </w:r>
    </w:p>
    <w:p w14:paraId="787D91D8" w14:textId="5340A781" w:rsidR="00AF371C" w:rsidRDefault="00AF371C" w:rsidP="00AF371C">
      <w:r>
        <w:lastRenderedPageBreak/>
        <w:t xml:space="preserve">Město připravuje přestavbu autobusového i vlakového nádraží, která jsou v současnosti zanedbaná </w:t>
      </w:r>
      <w:r w:rsidR="00086EB9">
        <w:t>a </w:t>
      </w:r>
      <w:r>
        <w:t>ve špatném technickém stavu. Nádraží leží v blízkosti revitalizované části Baťova areálu</w:t>
      </w:r>
      <w:r w:rsidR="00BA6808">
        <w:t>.</w:t>
      </w:r>
      <w:r>
        <w:t xml:space="preserve"> </w:t>
      </w:r>
      <w:r w:rsidR="00BA6808">
        <w:t>Z</w:t>
      </w:r>
      <w:r>
        <w:t xml:space="preserve">áměrem </w:t>
      </w:r>
      <w:r w:rsidR="00BA6808">
        <w:t xml:space="preserve">je </w:t>
      </w:r>
      <w:r>
        <w:t>prostory nádraží s areálem propojit a zlepšit průchodnost pro pěší. V případě vlakového nádraží je plánována stavba zcela nového dopravního terminálu navazujícího na MHD a autobusovou dopravu. Projekt bude realizován v návaznosti na modernizaci železniční trati. Současný stav veřejných chodníků a</w:t>
      </w:r>
      <w:r w:rsidR="00086EB9">
        <w:t> </w:t>
      </w:r>
      <w:r>
        <w:t>cyklostezek ve městě není ideální (blíže analyzováno v kapitole Dopravní infrastruktura a Technická infrastruktura). Zlepšení jejich stavu, lepší vzájemná propojenost a návaznost by rozhodně přispěly k rozvoji udržitelné městské mobility a tím i</w:t>
      </w:r>
      <w:r w:rsidR="00BA6808">
        <w:t xml:space="preserve"> k</w:t>
      </w:r>
      <w:r>
        <w:t xml:space="preserve"> vyšší kvalitě veřejného prostoru ve Zlíně. V Územním plánu se uvádí zamýšlené změny nových pěších tras a propojení, které mají zlepšit průchodnost města ve směru sever-jih, překonat dopravní bariéry a zajistit příchod k zastávkám MHD.</w:t>
      </w:r>
    </w:p>
    <w:p w14:paraId="045107A1" w14:textId="646C566B" w:rsidR="00AF371C" w:rsidRDefault="00AF371C" w:rsidP="00AF371C">
      <w:pPr>
        <w:pStyle w:val="Titulek"/>
      </w:pPr>
      <w:bookmarkStart w:id="36" w:name="_Toc52960744"/>
      <w:bookmarkStart w:id="37" w:name="_Toc77074684"/>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4</w:t>
      </w:r>
      <w:r w:rsidR="004857C6">
        <w:rPr>
          <w:noProof/>
        </w:rPr>
        <w:fldChar w:fldCharType="end"/>
      </w:r>
      <w:r w:rsidR="00086EB9">
        <w:rPr>
          <w:noProof/>
        </w:rPr>
        <w:t>:</w:t>
      </w:r>
      <w:r>
        <w:t xml:space="preserve"> Vybrané projekty významných staveb a revitalizace veřejného prostoru ve Zlíně od roku 2010</w:t>
      </w:r>
      <w:bookmarkEnd w:id="36"/>
      <w:bookmarkEnd w:id="37"/>
    </w:p>
    <w:p w14:paraId="339E5E37" w14:textId="737FA9D4" w:rsidR="00AF371C" w:rsidRDefault="00177418" w:rsidP="00AF371C">
      <w:pPr>
        <w:pStyle w:val="Zdroj"/>
      </w:pPr>
      <w:r w:rsidRPr="00177418">
        <w:rPr>
          <w:noProof/>
        </w:rPr>
        <w:drawing>
          <wp:inline distT="0" distB="0" distL="0" distR="0" wp14:anchorId="6B21FDD9" wp14:editId="37DAB07A">
            <wp:extent cx="5760720" cy="2968772"/>
            <wp:effectExtent l="0" t="0" r="0" b="3175"/>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968772"/>
                    </a:xfrm>
                    <a:prstGeom prst="rect">
                      <a:avLst/>
                    </a:prstGeom>
                    <a:noFill/>
                    <a:ln>
                      <a:noFill/>
                    </a:ln>
                  </pic:spPr>
                </pic:pic>
              </a:graphicData>
            </a:graphic>
          </wp:inline>
        </w:drawing>
      </w:r>
      <w:r w:rsidR="00AF371C" w:rsidRPr="00D77415" w:rsidDel="00D77415">
        <w:t xml:space="preserve"> </w:t>
      </w:r>
    </w:p>
    <w:p w14:paraId="5D913CB2" w14:textId="6C10A316" w:rsidR="00AF371C" w:rsidRDefault="00AF371C" w:rsidP="00AF371C">
      <w:pPr>
        <w:pStyle w:val="Zdroj"/>
      </w:pPr>
      <w:r>
        <w:t xml:space="preserve">Zdroj: Strategický plán pro regeneraci Městské památkové zóny Zlín na období 2016 – 2020; Oficiální stránky </w:t>
      </w:r>
      <w:r w:rsidR="005668E1">
        <w:t>s</w:t>
      </w:r>
      <w:r>
        <w:t>tatutárního města Zlín, Univerzita Tomáše Bati ve Zlíně</w:t>
      </w:r>
      <w:r w:rsidR="00870073">
        <w:t>.</w:t>
      </w:r>
    </w:p>
    <w:p w14:paraId="4B0FEC65" w14:textId="24CAD2EB" w:rsidR="00AF371C" w:rsidRDefault="00AF371C" w:rsidP="00AF371C">
      <w:r>
        <w:t>V posledních letech došlo ke zlepšení kvality veřejného prostoru v centru města díky realizaci projektů revitalizace, z nichž jsou zásadní</w:t>
      </w:r>
      <w:r w:rsidR="00094895">
        <w:t xml:space="preserve"> projekty uvedeny v tabulce 1.4</w:t>
      </w:r>
      <w:r>
        <w:t xml:space="preserve">. Existuje však řada lokalit, jejichž stav je neuspokojivý, v některých případech již město plánuje revitalizaci v blízké době. </w:t>
      </w:r>
    </w:p>
    <w:p w14:paraId="3CECCDA9" w14:textId="77777777" w:rsidR="00AF371C" w:rsidRDefault="00AF371C" w:rsidP="00AF371C">
      <w:r>
        <w:t>Lokality veřejného prostranství vhodné k revitalizaci a plánované revitalizace:</w:t>
      </w:r>
    </w:p>
    <w:p w14:paraId="639AA69B" w14:textId="77777777" w:rsidR="00AF371C" w:rsidRDefault="00AF371C" w:rsidP="00A55F7D">
      <w:pPr>
        <w:pStyle w:val="Odstavecseseznamem"/>
        <w:numPr>
          <w:ilvl w:val="0"/>
          <w:numId w:val="62"/>
        </w:numPr>
      </w:pPr>
      <w:r>
        <w:t>Divadelní park</w:t>
      </w:r>
    </w:p>
    <w:p w14:paraId="3EF67CD3" w14:textId="129DD2CF" w:rsidR="00AF371C" w:rsidRDefault="00AF371C" w:rsidP="00A55F7D">
      <w:pPr>
        <w:pStyle w:val="Odstavecseseznamem"/>
        <w:numPr>
          <w:ilvl w:val="0"/>
          <w:numId w:val="62"/>
        </w:numPr>
      </w:pPr>
      <w:r>
        <w:t xml:space="preserve">Náměstí </w:t>
      </w:r>
      <w:r w:rsidR="00E864DB">
        <w:t>M</w:t>
      </w:r>
      <w:r>
        <w:t>íru vč. ulice Bartošovy a Rašínovy</w:t>
      </w:r>
    </w:p>
    <w:p w14:paraId="111F6F71" w14:textId="77777777" w:rsidR="00AF371C" w:rsidRDefault="00AF371C" w:rsidP="00A55F7D">
      <w:pPr>
        <w:pStyle w:val="Odstavecseseznamem"/>
        <w:numPr>
          <w:ilvl w:val="0"/>
          <w:numId w:val="62"/>
        </w:numPr>
      </w:pPr>
      <w:r>
        <w:t>Prostor před kostelem sv. Filipa a Jakuba</w:t>
      </w:r>
    </w:p>
    <w:p w14:paraId="7E02EBC8" w14:textId="77777777" w:rsidR="00AF371C" w:rsidRDefault="00AF371C" w:rsidP="00A55F7D">
      <w:pPr>
        <w:pStyle w:val="Odstavecseseznamem"/>
        <w:numPr>
          <w:ilvl w:val="0"/>
          <w:numId w:val="62"/>
        </w:numPr>
      </w:pPr>
      <w:r>
        <w:t>Terminály železničního a autobusového nádraží</w:t>
      </w:r>
    </w:p>
    <w:p w14:paraId="511C5E87" w14:textId="77777777" w:rsidR="00AF371C" w:rsidRDefault="00AF371C" w:rsidP="00A55F7D">
      <w:pPr>
        <w:pStyle w:val="Odstavecseseznamem"/>
        <w:numPr>
          <w:ilvl w:val="0"/>
          <w:numId w:val="62"/>
        </w:numPr>
      </w:pPr>
      <w:r>
        <w:t>Velké kino</w:t>
      </w:r>
    </w:p>
    <w:p w14:paraId="48633915" w14:textId="6C52C2AA" w:rsidR="00AF371C" w:rsidRDefault="00AF371C" w:rsidP="00A55F7D">
      <w:pPr>
        <w:pStyle w:val="Odstavecseseznamem"/>
        <w:numPr>
          <w:ilvl w:val="0"/>
          <w:numId w:val="62"/>
        </w:numPr>
      </w:pPr>
      <w:r>
        <w:t xml:space="preserve">Sad </w:t>
      </w:r>
      <w:r w:rsidR="00E864DB">
        <w:t>S</w:t>
      </w:r>
      <w:r>
        <w:t>vobody</w:t>
      </w:r>
    </w:p>
    <w:p w14:paraId="2191C4E1" w14:textId="77777777" w:rsidR="00AF371C" w:rsidRDefault="00AF371C" w:rsidP="00A55F7D">
      <w:pPr>
        <w:pStyle w:val="Odstavecseseznamem"/>
        <w:numPr>
          <w:ilvl w:val="0"/>
          <w:numId w:val="62"/>
        </w:numPr>
      </w:pPr>
      <w:r>
        <w:t>Prostor lyžařského svahu a jeho okolí</w:t>
      </w:r>
    </w:p>
    <w:p w14:paraId="703AB4F1" w14:textId="77777777" w:rsidR="00AF371C" w:rsidRDefault="00AF371C" w:rsidP="00A55F7D">
      <w:pPr>
        <w:pStyle w:val="Odstavecseseznamem"/>
        <w:numPr>
          <w:ilvl w:val="0"/>
          <w:numId w:val="62"/>
        </w:numPr>
      </w:pPr>
      <w:r>
        <w:t>Prostor v blízkosti Malé scény</w:t>
      </w:r>
    </w:p>
    <w:p w14:paraId="173C6D27" w14:textId="77777777" w:rsidR="00AF371C" w:rsidRDefault="00AF371C" w:rsidP="00A55F7D">
      <w:pPr>
        <w:pStyle w:val="Odstavecseseznamem"/>
        <w:numPr>
          <w:ilvl w:val="0"/>
          <w:numId w:val="62"/>
        </w:numPr>
      </w:pPr>
      <w:r>
        <w:t>Park ve Zlíně-Malenovicích</w:t>
      </w:r>
    </w:p>
    <w:p w14:paraId="04341E5B" w14:textId="77777777" w:rsidR="00AF371C" w:rsidRDefault="00AF371C" w:rsidP="00A55F7D">
      <w:pPr>
        <w:pStyle w:val="Odstavecseseznamem"/>
        <w:numPr>
          <w:ilvl w:val="0"/>
          <w:numId w:val="62"/>
        </w:numPr>
      </w:pPr>
      <w:r>
        <w:t>nábřeží Dřevnice</w:t>
      </w:r>
    </w:p>
    <w:p w14:paraId="5E7D2A7A" w14:textId="77777777" w:rsidR="00AF371C" w:rsidRDefault="00AF371C" w:rsidP="00A55F7D">
      <w:pPr>
        <w:pStyle w:val="Odstavecseseznamem"/>
        <w:numPr>
          <w:ilvl w:val="0"/>
          <w:numId w:val="62"/>
        </w:numPr>
      </w:pPr>
      <w:r w:rsidRPr="00C4180A">
        <w:t>prostranství v</w:t>
      </w:r>
      <w:r>
        <w:t>nitrobloku mezi ulicemi Vodní, D</w:t>
      </w:r>
      <w:r w:rsidRPr="00C4180A">
        <w:t>louhá, Zarámí</w:t>
      </w:r>
    </w:p>
    <w:p w14:paraId="02D3649D" w14:textId="77777777" w:rsidR="00AF371C" w:rsidRDefault="00AF371C" w:rsidP="00AF371C">
      <w:pPr>
        <w:pStyle w:val="Odstavecseseznamem"/>
      </w:pPr>
    </w:p>
    <w:p w14:paraId="02C789CB" w14:textId="77777777" w:rsidR="00AF371C" w:rsidRDefault="00AF371C" w:rsidP="00AF371C">
      <w:pPr>
        <w:pStyle w:val="Odstavecseseznamem"/>
      </w:pPr>
    </w:p>
    <w:p w14:paraId="3BFDF16A" w14:textId="77777777" w:rsidR="00AF371C" w:rsidRDefault="00AF371C" w:rsidP="00AF371C">
      <w:pPr>
        <w:pStyle w:val="Odstavecseseznamem"/>
      </w:pPr>
    </w:p>
    <w:p w14:paraId="1823309E" w14:textId="77777777" w:rsidR="00AF371C" w:rsidRDefault="00AF371C" w:rsidP="00AF371C">
      <w:pPr>
        <w:pStyle w:val="Nadpis4"/>
      </w:pPr>
      <w:r>
        <w:lastRenderedPageBreak/>
        <w:t>Lokality pro bydlení</w:t>
      </w:r>
    </w:p>
    <w:p w14:paraId="190CE9AE" w14:textId="04E080CC" w:rsidR="00AF371C" w:rsidRDefault="00AF371C" w:rsidP="00AF371C">
      <w:r>
        <w:t>Z důvod</w:t>
      </w:r>
      <w:r w:rsidR="006315EE">
        <w:t>u</w:t>
      </w:r>
      <w:r>
        <w:t xml:space="preserve"> komplikovaného geomorfologického charakteru území postrádá Zlín extenzivní volné plochy vhodné pro bytovou (stejně jako průmyslovou či komerční) zástavbu. Probíhající trend suburbanizace přinesl v posledních třiceti letech řadu negativních dopadů tohoto procesu na sídla a krajinu. </w:t>
      </w:r>
    </w:p>
    <w:p w14:paraId="1F6D683E" w14:textId="77777777" w:rsidR="00AF371C" w:rsidRDefault="00AF371C" w:rsidP="00AF371C">
      <w:r>
        <w:t>Současný územní plán nabízí jen omezené plochy pro bydlení hromadné, většinu návrhových ploch tvoří plochy pro bydlení individuální. V této situaci se dá nalézt jen omezený prostor pro další rozvoj hromadného bydlení. Urbánně nejvhodnější, ale procesně nejsložitější je postupná intenzifikace stávající zástavby, která naráží na limity samotného územního plánu, památkovou péči, ale především složité povolovací procesy v zastavěném území. Další prostor lze spatřit v přestavbě dosud nevhodně využívaných lokalit, jako jsou průmyslové a postprůmyslové lokality, které se při dohodě vlastníků s městem mohou stát novými obytnými čtvrtěmi. Nejnáročnější je hledání nových ploch mimo současně zastavěné území, protože tyto jsou většinou v konfliktu s technickými, přírodními limity v území a jsou složitě napojitelné na stávající infrastrukturu.</w:t>
      </w:r>
    </w:p>
    <w:p w14:paraId="4344D68F" w14:textId="3865EB6D" w:rsidR="00AF371C" w:rsidRDefault="00AF371C" w:rsidP="00AF371C">
      <w:r>
        <w:t>Odkazem baťovského funkcionalistického urbanismu jsou obytné čtvrti pocházející z tohoto období. Jejich podoba vychází z konceptu zahradního města a jsou tvořené pro Zlín charakteristickou zástavbou standardizovaných cihlových rodinných domů krychlového tvaru – tzv. čtvrtdomků, půldomků a</w:t>
      </w:r>
      <w:r w:rsidR="00D042C9">
        <w:t> </w:t>
      </w:r>
      <w:r>
        <w:t>jednodomků, které se nachází ve čtvrtích Letná, Díly, Lesní čtvrť, Zálešná nebo Podvesná. První domy dělnických kolonií začaly vznikat již v roce 1919 a jejich životnost se odhadovala na 20 až 30 let. Výstavba vrcholila v prvorepublikovém období a do dnešní doby domy několikanásobně přesáhly svou odhadovanou životnost. Některé aspekty tohoto typu zástavby jsou v dnešní době problematické především v důsledku rozvoje automobilismu a potřeby parkovacích míst. Díky poměrně úzkým ulicím a</w:t>
      </w:r>
      <w:r w:rsidR="00D042C9">
        <w:t> </w:t>
      </w:r>
      <w:r>
        <w:t>množství zaparkovaných aut je zhoršená průjezdnost složek Integrovaného záchranného systému nebo popelářských vozů technických služeb města. Obytná zástavba z tohoto období je součástí MPZ a</w:t>
      </w:r>
      <w:r w:rsidR="00D042C9">
        <w:t> </w:t>
      </w:r>
      <w:r>
        <w:t>možnosti oprav nemovitostí jsou pro majitele limitovány památkovou ochranou. Čtvrti baťovských domků jsou důležitou součástí urbanistické struktury města, které svým obyvatelům nabízí kvalitní bydlení, také v důsledku vysokého zastoupení zelených ploch v zástavbě.</w:t>
      </w:r>
    </w:p>
    <w:p w14:paraId="42E80317" w14:textId="11C58C43" w:rsidR="00AF371C" w:rsidRDefault="00AF371C" w:rsidP="00AF371C">
      <w:r>
        <w:t>V poválečném období dochází ve Zlíně v souvislosti s populačním nárůstem k budování zástavby hromadného bydlení – sídlišť, z nichž raná zástavba je dnes také součástí MPZ (Kolektivní dům, Věžové domy, Morýsovy domy, Benešovo nábřeží, Obeciny). V pozdějším období druhé poloviny 20. století byla vybudována další sídliště více vzdálená centru města, která nejsou předmětem MPZ (Bartošova čtvrť, Z</w:t>
      </w:r>
      <w:r w:rsidR="00164472">
        <w:t>lín-Malenovice, Podhoří, Jižní S</w:t>
      </w:r>
      <w:r>
        <w:t>vahy). Z urbanisticko-architektonického hlediska je hodnotným souborem I.</w:t>
      </w:r>
      <w:r w:rsidR="00053411">
        <w:t xml:space="preserve"> etapa výstavby sídliště Jižní S</w:t>
      </w:r>
      <w:r>
        <w:t>vahy, při jehož výstavbě byl zohledněn krajinný reliéf i</w:t>
      </w:r>
      <w:r w:rsidR="00D042C9">
        <w:t> </w:t>
      </w:r>
      <w:r>
        <w:t>návaznost na charakteristické rysy zlínského urbanismu. V období od počátku 90. let polevil trend intenzivního budování objektů hromadného bydlení spojený s předchozí érou, dochází k budování menšího počtu bytových domů v lokalitách Slezská, Podlesí nebo Havlíčkovo nábřeží. Naopak se rozvíjí trend individuálního bydlení v zázemí města – proces suburbanizace, který zahrnuje i lokality v širším zázemí města mimo území samotného města Zlín.</w:t>
      </w:r>
    </w:p>
    <w:p w14:paraId="59CB6CB6" w14:textId="77777777" w:rsidR="00AF371C" w:rsidRDefault="00AF371C" w:rsidP="00AF371C"/>
    <w:p w14:paraId="6C165669" w14:textId="77777777" w:rsidR="00AF371C" w:rsidRDefault="00AF371C" w:rsidP="00AF371C"/>
    <w:p w14:paraId="2FFDE13F" w14:textId="77777777" w:rsidR="00AF371C" w:rsidRDefault="00AF371C" w:rsidP="00AF371C"/>
    <w:p w14:paraId="39B70554" w14:textId="77777777" w:rsidR="00AF371C" w:rsidRDefault="00AF371C" w:rsidP="00AF371C"/>
    <w:p w14:paraId="3D544062" w14:textId="77777777" w:rsidR="00AF371C" w:rsidRDefault="00AF371C" w:rsidP="00AF371C"/>
    <w:p w14:paraId="6436B369" w14:textId="77777777" w:rsidR="00AF371C" w:rsidRDefault="00AF371C" w:rsidP="00AF371C"/>
    <w:p w14:paraId="218DABBF" w14:textId="77777777" w:rsidR="00AF371C" w:rsidRDefault="00AF371C" w:rsidP="00AF371C">
      <w:pPr>
        <w:rPr>
          <w:b/>
        </w:rPr>
      </w:pPr>
    </w:p>
    <w:p w14:paraId="530287BE" w14:textId="77777777" w:rsidR="00AF371C" w:rsidRPr="00FF2E30" w:rsidRDefault="00AF371C" w:rsidP="00AF371C">
      <w:pPr>
        <w:keepNext/>
        <w:rPr>
          <w:b/>
        </w:rPr>
      </w:pPr>
      <w:r w:rsidRPr="00FF2E30">
        <w:rPr>
          <w:b/>
        </w:rPr>
        <w:lastRenderedPageBreak/>
        <w:t>Rozvojové plochy bydlení</w:t>
      </w:r>
    </w:p>
    <w:p w14:paraId="231E5732" w14:textId="7FB0A848" w:rsidR="00AF371C" w:rsidRPr="00D35342" w:rsidRDefault="00AF371C" w:rsidP="00AF371C">
      <w:r w:rsidRPr="00D35342">
        <w:t>Na území města je kapacita ploch pro novou výstavbu hromadného bydlení již omezená. Nová výstavba hromadného bydlení je dle Územního plánu umožněna v území na východ od Bartošovy čtvrti v lokalitě Boněcký rybník (výměra rozvojové plochy činí přibližně 4,49 ha</w:t>
      </w:r>
      <w:r w:rsidR="00E2632F">
        <w:t>)</w:t>
      </w:r>
      <w:r>
        <w:t xml:space="preserve">. </w:t>
      </w:r>
      <w:r w:rsidRPr="00D35342">
        <w:t>Z dalších rozvojových ploch s možným využitím k účelu hromadného bydlení lze uvést lokalitu</w:t>
      </w:r>
      <w:r w:rsidR="00164472">
        <w:t xml:space="preserve"> ulice Křiby na sídlišti Jižní S</w:t>
      </w:r>
      <w:r w:rsidRPr="00D35342">
        <w:t>vahy, západní část Zálešné, jako plochy přestavby za účelem hromadného bydlení uvádí Územní plán lokality ulic</w:t>
      </w:r>
      <w:r w:rsidR="00E2632F">
        <w:t>e</w:t>
      </w:r>
      <w:r w:rsidRPr="00D35342">
        <w:t xml:space="preserve"> Antonínova a ulice 2. května.</w:t>
      </w:r>
      <w:r>
        <w:t xml:space="preserve"> </w:t>
      </w:r>
    </w:p>
    <w:p w14:paraId="5E03E477" w14:textId="17B4908A" w:rsidR="00AF371C" w:rsidRDefault="00AF371C" w:rsidP="00AF371C">
      <w:pPr>
        <w:pStyle w:val="Titulek"/>
        <w:keepNext/>
      </w:pPr>
      <w:bookmarkStart w:id="38" w:name="_Toc52960752"/>
      <w:bookmarkStart w:id="39" w:name="_Toc7707482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w:t>
      </w:r>
      <w:r w:rsidR="00804AF3">
        <w:rPr>
          <w:noProof/>
        </w:rPr>
        <w:fldChar w:fldCharType="end"/>
      </w:r>
      <w:r w:rsidR="00E2632F">
        <w:rPr>
          <w:noProof/>
        </w:rPr>
        <w:t>:</w:t>
      </w:r>
      <w:r>
        <w:t xml:space="preserve"> Rozvojová plocha hromadného bydlení – lokalita Boněcký rybník</w:t>
      </w:r>
      <w:bookmarkEnd w:id="38"/>
      <w:bookmarkEnd w:id="39"/>
      <w:r>
        <w:t xml:space="preserve"> </w:t>
      </w:r>
    </w:p>
    <w:p w14:paraId="56609820" w14:textId="77777777" w:rsidR="00AF371C" w:rsidRDefault="00AF371C" w:rsidP="00AF371C">
      <w:r>
        <w:rPr>
          <w:noProof/>
          <w:lang w:eastAsia="cs-CZ"/>
        </w:rPr>
        <w:drawing>
          <wp:inline distT="0" distB="0" distL="0" distR="0" wp14:anchorId="3E146E6F" wp14:editId="30DD7144">
            <wp:extent cx="3240000" cy="3240000"/>
            <wp:effectExtent l="0" t="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_Zlin_hr_bydleni_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52B8D6DF" w14:textId="219C0892" w:rsidR="00AF371C" w:rsidRDefault="00AF371C" w:rsidP="00AF371C">
      <w:pPr>
        <w:pStyle w:val="Zdroj"/>
      </w:pPr>
      <w:r w:rsidRPr="00A332C2">
        <w:t>Zdroj: Územní plán města Zlín</w:t>
      </w:r>
      <w:r>
        <w:t>, zpracování PROCES, 2020</w:t>
      </w:r>
      <w:r w:rsidR="00E2632F">
        <w:t>.</w:t>
      </w:r>
    </w:p>
    <w:p w14:paraId="1817FB49" w14:textId="77777777" w:rsidR="00AF371C" w:rsidRDefault="00AF371C" w:rsidP="00AF371C">
      <w:r>
        <w:t>Lokalita v území katastru MČ Štípa je plochou územní rezervy pro využití za účelem výstavby budov hromadného bydlení. Na území téměř 7,9 ha se uvažuje o výstavbě nízkopodlažních bytových domů. Jedná se o nový záměr, realizovatelný po vyčerpání návrhových ploch.</w:t>
      </w:r>
    </w:p>
    <w:p w14:paraId="6B0FE3ED" w14:textId="77777777" w:rsidR="00AF371C" w:rsidRDefault="00AF371C" w:rsidP="00AF371C">
      <w:pPr>
        <w:pStyle w:val="Titulek"/>
      </w:pPr>
    </w:p>
    <w:p w14:paraId="5BA7F514" w14:textId="77777777" w:rsidR="00AF371C" w:rsidRDefault="00AF371C" w:rsidP="00AF371C">
      <w:pPr>
        <w:pStyle w:val="Titulek"/>
      </w:pPr>
    </w:p>
    <w:p w14:paraId="5571F561" w14:textId="77777777" w:rsidR="00AF371C" w:rsidRDefault="00AF371C" w:rsidP="00AF371C">
      <w:pPr>
        <w:pStyle w:val="Titulek"/>
      </w:pPr>
    </w:p>
    <w:p w14:paraId="0FDF6069" w14:textId="77777777" w:rsidR="00AF371C" w:rsidRDefault="00AF371C" w:rsidP="00AF371C">
      <w:pPr>
        <w:pStyle w:val="Titulek"/>
      </w:pPr>
    </w:p>
    <w:p w14:paraId="07824B47" w14:textId="77777777" w:rsidR="00AF371C" w:rsidRDefault="00AF371C" w:rsidP="00AF371C">
      <w:pPr>
        <w:pStyle w:val="Titulek"/>
      </w:pPr>
    </w:p>
    <w:p w14:paraId="2C8E9FF0" w14:textId="3123CFDC" w:rsidR="00AF371C" w:rsidRDefault="00AF371C" w:rsidP="00AF371C">
      <w:pPr>
        <w:pStyle w:val="Titulek"/>
        <w:keepNext/>
      </w:pPr>
      <w:bookmarkStart w:id="40" w:name="_Toc52960753"/>
      <w:bookmarkStart w:id="41" w:name="_Toc77074824"/>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w:t>
      </w:r>
      <w:r w:rsidR="00804AF3">
        <w:rPr>
          <w:noProof/>
        </w:rPr>
        <w:fldChar w:fldCharType="end"/>
      </w:r>
      <w:r w:rsidR="00E2632F">
        <w:rPr>
          <w:noProof/>
        </w:rPr>
        <w:t>:</w:t>
      </w:r>
      <w:r>
        <w:t xml:space="preserve"> Územní rezerva rozvojové plochy hromadného bydlení – lokalita Zlín-Štípa</w:t>
      </w:r>
      <w:bookmarkEnd w:id="40"/>
      <w:bookmarkEnd w:id="41"/>
    </w:p>
    <w:p w14:paraId="769A760D" w14:textId="77777777" w:rsidR="00AF371C" w:rsidRDefault="00AF371C" w:rsidP="00AF371C">
      <w:r>
        <w:rPr>
          <w:noProof/>
          <w:lang w:eastAsia="cs-CZ"/>
        </w:rPr>
        <w:drawing>
          <wp:inline distT="0" distB="0" distL="0" distR="0" wp14:anchorId="3A4F087B" wp14:editId="05053B2B">
            <wp:extent cx="3240000" cy="3240000"/>
            <wp:effectExtent l="0" t="0" r="0" b="0"/>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P_Zlin_rozv_pl_bydlen_hr_ID_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1EAFD5F3" w14:textId="271B19BB" w:rsidR="00AF371C" w:rsidRDefault="00AF371C" w:rsidP="00AF371C">
      <w:pPr>
        <w:pStyle w:val="Zdroj"/>
      </w:pPr>
      <w:r w:rsidRPr="00A332C2">
        <w:t>Zdroj: Územní plán města Zlín</w:t>
      </w:r>
      <w:r>
        <w:t>, zpracování PROCES, 2020</w:t>
      </w:r>
      <w:r w:rsidR="00E2632F">
        <w:t>.</w:t>
      </w:r>
    </w:p>
    <w:p w14:paraId="5AAF7D41" w14:textId="4F1CB49D" w:rsidR="00AF371C" w:rsidRPr="00D35342" w:rsidRDefault="00AF371C" w:rsidP="00AF371C">
      <w:r w:rsidRPr="00D35342">
        <w:t>Územní plán dále uvádí plochy bydlení individuálního (bydlení v rodinných domech a vilách), případně nerozlišeného bydlení (navíc umožňuje výstavbu bytových domů). Na území Zlína se rozvojové plochy individuálního bydlení nacház</w:t>
      </w:r>
      <w:r w:rsidR="006315EE">
        <w:t>ejí</w:t>
      </w:r>
      <w:r w:rsidRPr="00D35342">
        <w:t xml:space="preserve"> především v oblasti extravilánu městských částí Zlína. Jedná se o</w:t>
      </w:r>
      <w:r w:rsidR="006315EE">
        <w:t> </w:t>
      </w:r>
      <w:r w:rsidRPr="00D35342">
        <w:t xml:space="preserve">plochy vymezené pro zástavbu rodinných domů. Využití za účelem bydlení umožňují také plochy smíšené obytné, případně plochy smíšené obytné městské – lokální centrum, které vedle obytné funkce slouží například jako veřejné prostranství, nebo </w:t>
      </w:r>
      <w:r>
        <w:t>komerční zařízení</w:t>
      </w:r>
      <w:r w:rsidRPr="00D35342">
        <w:t>. Návrh rozvojov</w:t>
      </w:r>
      <w:r w:rsidR="00E2632F">
        <w:t>ých</w:t>
      </w:r>
      <w:r w:rsidRPr="00D35342">
        <w:t xml:space="preserve"> ploch bydlení individuálního je soustředěn do jižní části města – při Hradské silnici a na Lazy, do prostoru Nivy, Vršava, Paseckého žlebu a Mezihoří, okraj Mladcové, do prostoru Ostrá Horka a terasy severovýchodní a</w:t>
      </w:r>
      <w:r w:rsidR="00E2632F">
        <w:t> </w:t>
      </w:r>
      <w:r w:rsidRPr="00D35342">
        <w:t>severozápadní části Prštného. Z dalších rozvojových ploch bydlení uvádí Územní plán oblasti jihovýchodního okraje Lhotky, západního okraje Kudlova, severovýchodního okraje Malenovic, Příluky – oblast prostoru terasy Dolní Dědiny a Horní Dědiny východ</w:t>
      </w:r>
      <w:r w:rsidR="006315EE">
        <w:t>,</w:t>
      </w:r>
      <w:r w:rsidRPr="00D35342">
        <w:t xml:space="preserve"> nebo n</w:t>
      </w:r>
      <w:r w:rsidR="00164472">
        <w:t>ovou zástavbu v centru Jižních S</w:t>
      </w:r>
      <w:r w:rsidRPr="00D35342">
        <w:t>vahů, mezi ulicemi Středovou a Okružní. Diskutovaným záměrem Zlínského kraje je výstavba nové budovy krajské nemocnice v oblasti Zlína-Malenovic. V případě realizace tohoto záměru se uvažuje o</w:t>
      </w:r>
      <w:r w:rsidR="00E2632F">
        <w:t> </w:t>
      </w:r>
      <w:r w:rsidRPr="00D35342">
        <w:t>využití stávajícího areálu krajské nemocnice pro rezidenční účely, konkrétní záměr na využití území však není doposud</w:t>
      </w:r>
      <w:r>
        <w:t xml:space="preserve"> zanesen v závazné dokumentaci</w:t>
      </w:r>
      <w:r w:rsidRPr="00D35342">
        <w:t xml:space="preserve">, </w:t>
      </w:r>
      <w:r>
        <w:t>přestože již bylo vybráno vhodné urbanistické řešení.</w:t>
      </w:r>
      <w:r w:rsidRPr="00D35342">
        <w:t xml:space="preserve"> Rozvojové plochy pro účely by</w:t>
      </w:r>
      <w:r w:rsidR="00651DC2">
        <w:t>dlení zobrazuje mapa uvedená v obrázku 1.7</w:t>
      </w:r>
      <w:r w:rsidRPr="00D35342">
        <w:t>.</w:t>
      </w:r>
    </w:p>
    <w:p w14:paraId="19650660" w14:textId="5B9D20E2" w:rsidR="00AF371C" w:rsidRDefault="00AF371C" w:rsidP="00AF371C">
      <w:pPr>
        <w:pStyle w:val="Titulek"/>
        <w:keepNext/>
      </w:pPr>
      <w:bookmarkStart w:id="42" w:name="_Toc52960754"/>
      <w:bookmarkStart w:id="43" w:name="_Toc77074825"/>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w:t>
      </w:r>
      <w:r w:rsidR="00804AF3">
        <w:rPr>
          <w:noProof/>
        </w:rPr>
        <w:fldChar w:fldCharType="end"/>
      </w:r>
      <w:r w:rsidR="00E2632F">
        <w:rPr>
          <w:noProof/>
        </w:rPr>
        <w:t>:</w:t>
      </w:r>
      <w:r>
        <w:t xml:space="preserve"> Rozvojové plochy bydlení ve Zlíně</w:t>
      </w:r>
      <w:bookmarkEnd w:id="42"/>
      <w:bookmarkEnd w:id="43"/>
    </w:p>
    <w:p w14:paraId="29334D5C" w14:textId="26DC8390" w:rsidR="00651DC2" w:rsidRPr="00651DC2" w:rsidRDefault="00651DC2" w:rsidP="00651DC2">
      <w:r w:rsidRPr="00651DC2">
        <w:rPr>
          <w:noProof/>
          <w:lang w:eastAsia="cs-CZ"/>
        </w:rPr>
        <w:drawing>
          <wp:inline distT="0" distB="0" distL="0" distR="0" wp14:anchorId="595D6C61" wp14:editId="33DECEE0">
            <wp:extent cx="5760720" cy="4322920"/>
            <wp:effectExtent l="0" t="0" r="0" b="1905"/>
            <wp:docPr id="80" name="Obrázek 80" descr="C:\Users\MARTIN~1\AppData\Local\Temp\Plochy_Zlin_BYDLE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1\AppData\Local\Temp\Plochy_Zlin_BYDLENI.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322920"/>
                    </a:xfrm>
                    <a:prstGeom prst="rect">
                      <a:avLst/>
                    </a:prstGeom>
                    <a:noFill/>
                    <a:ln>
                      <a:noFill/>
                    </a:ln>
                  </pic:spPr>
                </pic:pic>
              </a:graphicData>
            </a:graphic>
          </wp:inline>
        </w:drawing>
      </w:r>
    </w:p>
    <w:p w14:paraId="79BE3950" w14:textId="7FDFD0F8" w:rsidR="00AF371C" w:rsidRDefault="00AF371C" w:rsidP="00AF371C">
      <w:pPr>
        <w:pStyle w:val="Zdroj"/>
      </w:pPr>
      <w:r w:rsidRPr="00A332C2">
        <w:t>Zdroj: Územní plán města Zlín</w:t>
      </w:r>
      <w:r>
        <w:t>, zpracování PROCES, 2020</w:t>
      </w:r>
      <w:r w:rsidR="00E2632F">
        <w:t>.</w:t>
      </w:r>
    </w:p>
    <w:p w14:paraId="11A99DE3" w14:textId="4860C5FC" w:rsidR="00AF371C" w:rsidRPr="00813719" w:rsidRDefault="00AF371C" w:rsidP="00AF371C">
      <w:pPr>
        <w:pStyle w:val="Zdroj"/>
      </w:pPr>
      <w:r w:rsidRPr="00813719">
        <w:t>Pozn.: Kategorie „Smíšené obytné“</w:t>
      </w:r>
      <w:r>
        <w:t xml:space="preserve"> v legendě mapy </w:t>
      </w:r>
      <w:r w:rsidRPr="00813719">
        <w:t>zahrnuje plochy uváděné v Územním plánu jako „Smíšené obytné“ a „Smíšené obytné městské – lokální centrum“</w:t>
      </w:r>
      <w:r>
        <w:t>; v mapě uvedeny rozvojové plochy včetně územních rezerv</w:t>
      </w:r>
      <w:r w:rsidR="00E2632F">
        <w:t>.</w:t>
      </w:r>
    </w:p>
    <w:p w14:paraId="331ACFA1" w14:textId="4398332E" w:rsidR="00AF371C" w:rsidRPr="001127CD" w:rsidRDefault="00AF371C" w:rsidP="00AF371C">
      <w:pPr>
        <w:rPr>
          <w:rFonts w:cstheme="minorHAnsi"/>
          <w:color w:val="000000" w:themeColor="text1"/>
        </w:rPr>
      </w:pPr>
      <w:r w:rsidRPr="001127CD">
        <w:rPr>
          <w:rFonts w:cstheme="minorHAnsi"/>
          <w:color w:val="000000" w:themeColor="text1"/>
        </w:rPr>
        <w:t>Zajímavou rozvojovou lokalitou v centru města je v současné době nevyužitý prostor pod sportovní halou (ulice Březnická). Prostor o rozloze asi 2,5 ha je v majetku města Zlín, které na budoucí využití lokality vypsalo urbanistickou soutěž. Nové objekty v lokalitě by měly plnit více funkcí, plánuje se komerční, volnočasová i obytná funkce. Nový urbanistický celek</w:t>
      </w:r>
      <w:r w:rsidR="00E2632F">
        <w:rPr>
          <w:rFonts w:cstheme="minorHAnsi"/>
          <w:color w:val="000000" w:themeColor="text1"/>
        </w:rPr>
        <w:t xml:space="preserve"> by</w:t>
      </w:r>
      <w:r w:rsidRPr="001127CD">
        <w:rPr>
          <w:rFonts w:cstheme="minorHAnsi"/>
          <w:color w:val="000000" w:themeColor="text1"/>
        </w:rPr>
        <w:t xml:space="preserve"> </w:t>
      </w:r>
      <w:r w:rsidRPr="001127CD">
        <w:rPr>
          <w:rFonts w:cstheme="minorHAnsi"/>
          <w:color w:val="000000" w:themeColor="text1"/>
          <w:shd w:val="clear" w:color="auto" w:fill="FFFFFF"/>
        </w:rPr>
        <w:t>měl vhodně doplnit současnou strukturu města funkčně i prostorově</w:t>
      </w:r>
      <w:r>
        <w:rPr>
          <w:rFonts w:cstheme="minorHAnsi"/>
          <w:color w:val="000000" w:themeColor="text1"/>
          <w:shd w:val="clear" w:color="auto" w:fill="FFFFFF"/>
        </w:rPr>
        <w:t>.</w:t>
      </w:r>
    </w:p>
    <w:p w14:paraId="269C15E0" w14:textId="4517D22E" w:rsidR="00AF371C" w:rsidRDefault="00AF371C" w:rsidP="00AF371C">
      <w:r>
        <w:t>Vedle výstavby nových lokalit je pro rozvoj v oblasti bydlení žádoucí dále pokračovat v trendu regenerace panelových s</w:t>
      </w:r>
      <w:r w:rsidR="00164472">
        <w:t>ídlišť (Bartošova čtvrť, Jižní S</w:t>
      </w:r>
      <w:r>
        <w:t>vahy) i lokalit baťovské zástavby. Zároveň je důležité zlepšit dostupnost bydlení pro mladé rodiny vybudováním nízkonákladových bytů nebo sítě sdíleného bydlení. V tomto směru město plánuje výstavbu nových družstevních bytů určených pro mladé novomanžele nebo samoživitele s omezeným příjmem. Město Zlín za tímto účelem plánuje postavit několik bytových domů. Vzhledem k trendu stárnutí populace je důležité se v dalším rozvoji zabývat touto otázkou a zajistit dostatečné kapacity vhodného bydlení pro tuto skupinu obyvatel. Nová zástavba v oblastech suburbánních rezidenčních zón často postrádá prvky kvalitního veřejného prostoru (především v případech individuální rezidenční zástavby tzv. „satelitních měst“, kde je tradičně poddimenzovaná kapacita veřejné infrastruktury a občanské vybavenosti).</w:t>
      </w:r>
    </w:p>
    <w:p w14:paraId="4D0009AA" w14:textId="77777777" w:rsidR="00AF371C" w:rsidRDefault="00AF371C" w:rsidP="00AF371C">
      <w:pPr>
        <w:spacing w:before="0" w:after="160" w:line="259" w:lineRule="auto"/>
        <w:jc w:val="left"/>
      </w:pPr>
      <w:r>
        <w:br w:type="page"/>
      </w:r>
    </w:p>
    <w:p w14:paraId="157FB00D" w14:textId="77777777" w:rsidR="00AF371C" w:rsidRDefault="00AF371C" w:rsidP="00AF371C">
      <w:pPr>
        <w:pStyle w:val="Nadpis4"/>
      </w:pPr>
      <w:r w:rsidRPr="00EF2FC1">
        <w:lastRenderedPageBreak/>
        <w:t>Ploch</w:t>
      </w:r>
      <w:r>
        <w:t>y pro podnikání</w:t>
      </w:r>
    </w:p>
    <w:p w14:paraId="5E91AEC6" w14:textId="04BD16D8" w:rsidR="00AF371C" w:rsidRDefault="00AF371C" w:rsidP="00AF371C">
      <w:r>
        <w:t xml:space="preserve">Již v raných dobách rozvoje moderního Zlína bylo patrné, že poloha města situovaného v údolí mezi hřbety Vizovické vrchoviny není pro lokalizaci průmyslové výroby zcela ideální. Také kvůli nedostatku volných ploch byla část průmyslové výroby firmy Baťa umístěna do prostoru Otrokovic. Většina ploch průmyslové výroby je ve Zlíně soustředěna v údolním pásu podél řeky Dřevnice, především v západní části města (od Baťova areálu směrem na Zlín-Malenovice), jak znázorňuje obrázek </w:t>
      </w:r>
      <w:r w:rsidR="00BB66F4">
        <w:t>1.8</w:t>
      </w:r>
      <w:r>
        <w:t>. V dnešní době, kdy je hustota zástavby v porovnání s historií vyšší, jsou možnosti lokalizace další průmyslové výroby ve Zlíně omezené. Určité možnosti nabízí průmyslová zóna Zlín – Východ v katastrálním území MČ Příluk a Lužkovice, ležící ve východní části města. Současné nevyhovující dopravní spojení průmyslové zóny na navazující síť dopravních komunikací je v rámci připravovaného projektu plánováno dále zkvalitnit – konkrétně je připravován projektový záměr nového silničního napojení na komunikaci I/49 včetně přemostění železniční trati a řeky Dřevnice. V souhrnu je však lokalizace nové velkokapacitní výroby na území Zlína problematická, především z důvodu celkového horšího napojení Zlína na hlavní silniční a železniční systém dopravních komunikací a omezeným kapacitám rozvojových ploch. Na druhou stranu je možné v rámci Zlínské aglomerace využít již existujících průmyslových zón s lepší dopravní dostupností například na území města Holešov nebo Otrokovice.</w:t>
      </w:r>
    </w:p>
    <w:p w14:paraId="15EAC9C8" w14:textId="2D48449F" w:rsidR="00AF371C" w:rsidRDefault="00AF371C" w:rsidP="00AF371C">
      <w:pPr>
        <w:rPr>
          <w:rFonts w:ascii="Calibri" w:eastAsia="Times New Roman" w:hAnsi="Calibri" w:cs="Calibri"/>
          <w:bCs/>
          <w:color w:val="000000"/>
          <w:lang w:eastAsia="cs-CZ"/>
        </w:rPr>
      </w:pPr>
      <w:r>
        <w:t>Vzhledem k obecnému trendu komerční suburbanizace a rozšiřování ploch tzv. „sídelní kaše“ („urban sprawl“), je nutné jasné vymezení podnikatelských a výrobních ploch pro tyto účely. Průmyslovou výrobu, která je spojená s negativními externalitami</w:t>
      </w:r>
      <w:r w:rsidR="0039788E">
        <w:t>,</w:t>
      </w:r>
      <w:r>
        <w:t xml:space="preserve"> je vhodné lokalizovat do okrajových zón, případně využít stávající průmyslové zóny v zázemí širší Zlínské aglomerace. Prohloubení vzájemné kooperace soukromého sektoru s vědeckovýzkumnými institucemi a univerzitou podporované veřejnou správou jsou základem fungování regionálních inovačních systémů, důležitého motoru regionálního rozvoje. Pro rozvoj podnikatelských aktivit v centru Zlína je vhodné podporovat malé a střední podniky s vysokou přidanou hodnotou založené na využívání inovací a znalostní ekonomiky. Je proto vhodné podporovat vytváření co</w:t>
      </w:r>
      <w:r w:rsidR="002E5B2D">
        <w:t>-</w:t>
      </w:r>
      <w:r>
        <w:t>workingových center a prostor pro nové firmy – start-upy – například po vzoru Digital Innovation Hubs. Prohloubení spolupráce s Univerzitou Tomáše Bati</w:t>
      </w:r>
      <w:r w:rsidR="0023746C">
        <w:t xml:space="preserve"> ve Zlíně</w:t>
      </w:r>
      <w:r>
        <w:t xml:space="preserve"> (UTB) a nabídka kvalitních příležitostí pro uplatnění kvalifikovaných osob mohou být přínosem v dlouhodobém měřítku. Pro zkvalitnění podnikatelského prostředí města je vhodné využít již tradičně silná odvětví místní ekonomiky – technologické firmy nebo kreativní průmysl. V současné době je příkladem uvedené spolupráce Technologické inovační centrum (TIC), které je ve společném vlastnictví Zlínského kraje a</w:t>
      </w:r>
      <w:r w:rsidR="0039788E">
        <w:t> </w:t>
      </w:r>
      <w:r>
        <w:t xml:space="preserve">UTB. TIC se nachází v revitalizované části Baťova areálu a nabízí služby a poradenství začínajícím firmám a </w:t>
      </w:r>
      <w:r w:rsidR="0039788E">
        <w:t xml:space="preserve">také </w:t>
      </w:r>
      <w:r>
        <w:t xml:space="preserve">nabízí kancelářské prostory v rámci podnikatelského inkubátoru a co-workingového centra. Další a širší podpora inovativních společností aplikujících poznatky univerzitního výzkumu pak může stimulovat další rozvoj. Pro potřeby kreativních a inovujících společností se nabízí možnost širšího využití Baťova areálu v centru města v blízkosti UTB a dalších veřejných institucí. Pozitivní příklad rozvoje města založeného na úzké spolupráci s univerzitou a aplikací vědy a vývoje v komerční sféře nabízí švédské město </w:t>
      </w:r>
      <w:r w:rsidRPr="00F4085D">
        <w:rPr>
          <w:rFonts w:ascii="Calibri" w:eastAsia="Times New Roman" w:hAnsi="Calibri" w:cs="Calibri"/>
          <w:bCs/>
          <w:color w:val="000000"/>
          <w:lang w:eastAsia="cs-CZ"/>
        </w:rPr>
        <w:t>Umeå</w:t>
      </w:r>
      <w:r>
        <w:rPr>
          <w:rFonts w:ascii="Calibri" w:eastAsia="Times New Roman" w:hAnsi="Calibri" w:cs="Calibri"/>
          <w:bCs/>
          <w:color w:val="000000"/>
          <w:lang w:eastAsia="cs-CZ"/>
        </w:rPr>
        <w:t>.</w:t>
      </w:r>
    </w:p>
    <w:p w14:paraId="6B4BCE0D" w14:textId="4870A07E" w:rsidR="00AF371C" w:rsidRDefault="00AF371C" w:rsidP="00AF371C">
      <w:pPr>
        <w:pStyle w:val="Titulek"/>
        <w:rPr>
          <w:rFonts w:cstheme="minorHAnsi"/>
        </w:rPr>
      </w:pPr>
      <w:bookmarkStart w:id="44" w:name="_Toc52960745"/>
      <w:bookmarkStart w:id="45" w:name="_Toc7707468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5</w:t>
      </w:r>
      <w:r w:rsidR="004857C6">
        <w:rPr>
          <w:noProof/>
        </w:rPr>
        <w:fldChar w:fldCharType="end"/>
      </w:r>
      <w:r w:rsidR="0039788E">
        <w:rPr>
          <w:noProof/>
        </w:rPr>
        <w:t>:</w:t>
      </w:r>
      <w:r>
        <w:t xml:space="preserve"> </w:t>
      </w:r>
      <w:r w:rsidRPr="00F4085D">
        <w:rPr>
          <w:rFonts w:ascii="Calibri" w:eastAsia="Times New Roman" w:hAnsi="Calibri" w:cs="Calibri"/>
          <w:bCs/>
          <w:color w:val="000000"/>
          <w:lang w:eastAsia="cs-CZ"/>
        </w:rPr>
        <w:t>Umeå - příklad rozvoje města založeného na podpoře vzdělání a znalostní ekonomiky</w:t>
      </w:r>
      <w:bookmarkEnd w:id="44"/>
      <w:bookmarkEnd w:id="45"/>
    </w:p>
    <w:tbl>
      <w:tblPr>
        <w:tblW w:w="9071" w:type="dxa"/>
        <w:tblInd w:w="-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9071"/>
      </w:tblGrid>
      <w:tr w:rsidR="00AF371C" w:rsidRPr="00F4085D" w14:paraId="0E92645E" w14:textId="77777777" w:rsidTr="00047BE4">
        <w:trPr>
          <w:trHeight w:val="708"/>
        </w:trPr>
        <w:tc>
          <w:tcPr>
            <w:tcW w:w="9071" w:type="dxa"/>
            <w:shd w:val="clear" w:color="000000" w:fill="F8CBAD"/>
            <w:noWrap/>
            <w:vAlign w:val="center"/>
            <w:hideMark/>
          </w:tcPr>
          <w:p w14:paraId="562CC51A" w14:textId="417AFA00" w:rsidR="00AF371C" w:rsidRPr="00F4085D" w:rsidRDefault="00AF371C" w:rsidP="0039788E">
            <w:pPr>
              <w:spacing w:before="0"/>
              <w:rPr>
                <w:rFonts w:ascii="Calibri" w:eastAsia="Times New Roman" w:hAnsi="Calibri" w:cs="Calibri"/>
                <w:color w:val="000000"/>
                <w:sz w:val="18"/>
                <w:szCs w:val="18"/>
                <w:lang w:eastAsia="cs-CZ"/>
              </w:rPr>
            </w:pPr>
            <w:r w:rsidRPr="00F4085D">
              <w:rPr>
                <w:rFonts w:ascii="Calibri" w:eastAsia="Times New Roman" w:hAnsi="Calibri" w:cstheme="minorHAnsi"/>
                <w:color w:val="000000"/>
                <w:sz w:val="18"/>
                <w:szCs w:val="18"/>
                <w:lang w:eastAsia="cs-CZ"/>
              </w:rPr>
              <w:t>Umeå je město v severním Švédsku, které je jedním z nejrychleji rostoucích evropských měst a je zároveň centrem rozvoje jinak řídce osídleného regionu severního Švédska</w:t>
            </w:r>
            <w:r>
              <w:rPr>
                <w:rFonts w:ascii="Calibri" w:eastAsia="Times New Roman" w:hAnsi="Calibri" w:cstheme="minorHAnsi"/>
                <w:color w:val="000000"/>
                <w:sz w:val="18"/>
                <w:szCs w:val="18"/>
                <w:lang w:eastAsia="cs-CZ"/>
              </w:rPr>
              <w:t xml:space="preserve"> </w:t>
            </w:r>
            <w:r w:rsidRPr="00137308">
              <w:rPr>
                <w:sz w:val="18"/>
                <w:szCs w:val="18"/>
              </w:rPr>
              <w:t>(Norrland)</w:t>
            </w:r>
            <w:r w:rsidRPr="00F4085D">
              <w:rPr>
                <w:rFonts w:ascii="Calibri" w:eastAsia="Times New Roman" w:hAnsi="Calibri" w:cstheme="minorHAnsi"/>
                <w:color w:val="000000"/>
                <w:sz w:val="18"/>
                <w:szCs w:val="18"/>
                <w:lang w:eastAsia="cs-CZ"/>
              </w:rPr>
              <w:t>. Za posledních 50 let se populace města zdvojnásobila na současných 120 000 obyvatel. K rozvoji přispělo především založení univerzity v roce 1965, které akcelerovalo rozvoj. Koncept rozvoje je založený na podpoře znalostní ekonomiky, tedy podpoře kvalitního vzdělání a využívání vědeckých poznatků při tvorbě inovací v komerční sféře.</w:t>
            </w:r>
            <w:r w:rsidRPr="00137308">
              <w:rPr>
                <w:rFonts w:ascii="Calibri" w:eastAsia="Times New Roman" w:hAnsi="Calibri" w:cstheme="minorHAnsi"/>
                <w:color w:val="000000"/>
                <w:sz w:val="18"/>
                <w:szCs w:val="18"/>
                <w:lang w:eastAsia="cs-CZ"/>
              </w:rPr>
              <w:t xml:space="preserve"> Odlišuje se tak od ostatních měst v regionu</w:t>
            </w:r>
            <w:r w:rsidRPr="00137308">
              <w:rPr>
                <w:sz w:val="18"/>
                <w:szCs w:val="18"/>
              </w:rPr>
              <w:t xml:space="preserve"> severního Švédska založených na tradičním základu těžkého průmyslu.</w:t>
            </w:r>
            <w:r>
              <w:rPr>
                <w:rFonts w:ascii="Calibri" w:eastAsia="Times New Roman" w:hAnsi="Calibri" w:cstheme="minorHAnsi"/>
                <w:color w:val="000000"/>
                <w:sz w:val="18"/>
                <w:szCs w:val="18"/>
                <w:lang w:eastAsia="cs-CZ"/>
              </w:rPr>
              <w:t xml:space="preserve"> V </w:t>
            </w:r>
            <w:r w:rsidRPr="00F4085D">
              <w:rPr>
                <w:rFonts w:ascii="Calibri" w:eastAsia="Times New Roman" w:hAnsi="Calibri" w:cstheme="minorHAnsi"/>
                <w:color w:val="000000"/>
                <w:sz w:val="18"/>
                <w:szCs w:val="18"/>
                <w:lang w:eastAsia="cs-CZ"/>
              </w:rPr>
              <w:t>současnosti zde fungují dvě univerzity, které mají vysokou kvalitu vzdělání i</w:t>
            </w:r>
            <w:r w:rsidR="0039788E">
              <w:rPr>
                <w:rFonts w:ascii="Calibri" w:eastAsia="Times New Roman" w:hAnsi="Calibri" w:cstheme="minorHAnsi"/>
                <w:color w:val="000000"/>
                <w:sz w:val="18"/>
                <w:szCs w:val="18"/>
                <w:lang w:eastAsia="cs-CZ"/>
              </w:rPr>
              <w:t> </w:t>
            </w:r>
            <w:r w:rsidRPr="00F4085D">
              <w:rPr>
                <w:rFonts w:ascii="Calibri" w:eastAsia="Times New Roman" w:hAnsi="Calibri" w:cstheme="minorHAnsi"/>
                <w:color w:val="000000"/>
                <w:sz w:val="18"/>
                <w:szCs w:val="18"/>
                <w:lang w:eastAsia="cs-CZ"/>
              </w:rPr>
              <w:t>v mezinárodním srovnání. Dohromady ve městě studuje přes 39 000 studentů s vysokým podílem studentů ze zahraniční. Rozvoj města vychází z předpokladů udržitelnosti v sociální, ekonomické i environmentální rovině a na rozvoji s</w:t>
            </w:r>
            <w:r w:rsidR="0039788E">
              <w:rPr>
                <w:rFonts w:ascii="Calibri" w:eastAsia="Times New Roman" w:hAnsi="Calibri" w:cstheme="minorHAnsi"/>
                <w:color w:val="000000"/>
                <w:sz w:val="18"/>
                <w:szCs w:val="18"/>
                <w:lang w:eastAsia="cs-CZ"/>
              </w:rPr>
              <w:t>e</w:t>
            </w:r>
            <w:r w:rsidRPr="00F4085D">
              <w:rPr>
                <w:rFonts w:ascii="Calibri" w:eastAsia="Times New Roman" w:hAnsi="Calibri" w:cstheme="minorHAnsi"/>
                <w:color w:val="000000"/>
                <w:sz w:val="18"/>
                <w:szCs w:val="18"/>
                <w:lang w:eastAsia="cs-CZ"/>
              </w:rPr>
              <w:t xml:space="preserve"> vysokou mírou aktivně podílejí samotní obyvatelé města. O kvalitě prostředí města svědčí umístění na vrcholu žebříčku </w:t>
            </w:r>
            <w:r w:rsidRPr="00F4085D">
              <w:rPr>
                <w:rFonts w:ascii="Calibri" w:eastAsia="Times New Roman" w:hAnsi="Calibri" w:cs="Calibri"/>
                <w:i/>
                <w:iCs/>
                <w:color w:val="000000"/>
                <w:sz w:val="18"/>
                <w:szCs w:val="18"/>
                <w:lang w:eastAsia="cs-CZ"/>
              </w:rPr>
              <w:t>„European Smart City“</w:t>
            </w:r>
            <w:r w:rsidRPr="00F4085D">
              <w:rPr>
                <w:rFonts w:ascii="Calibri" w:eastAsia="Times New Roman" w:hAnsi="Calibri" w:cs="Calibri"/>
                <w:color w:val="000000"/>
                <w:sz w:val="18"/>
                <w:szCs w:val="18"/>
                <w:lang w:eastAsia="cs-CZ"/>
              </w:rPr>
              <w:t xml:space="preserve"> v roce 2014; město je také členem sítě </w:t>
            </w:r>
            <w:r w:rsidRPr="00F4085D">
              <w:rPr>
                <w:rFonts w:ascii="Calibri" w:eastAsia="Times New Roman" w:hAnsi="Calibri" w:cs="Calibri"/>
                <w:i/>
                <w:iCs/>
                <w:color w:val="000000"/>
                <w:sz w:val="18"/>
                <w:szCs w:val="18"/>
                <w:lang w:eastAsia="cs-CZ"/>
              </w:rPr>
              <w:t>„European Green Capital“.</w:t>
            </w:r>
            <w:r w:rsidRPr="00137308">
              <w:rPr>
                <w:rFonts w:ascii="Calibri" w:eastAsia="Times New Roman" w:hAnsi="Calibri" w:cs="Calibri"/>
                <w:i/>
                <w:iCs/>
                <w:color w:val="000000"/>
                <w:sz w:val="18"/>
                <w:szCs w:val="18"/>
                <w:lang w:eastAsia="cs-CZ"/>
              </w:rPr>
              <w:t xml:space="preserve"> </w:t>
            </w:r>
            <w:r w:rsidRPr="00137308">
              <w:rPr>
                <w:rFonts w:ascii="Calibri" w:eastAsia="Times New Roman" w:hAnsi="Calibri" w:cs="Calibri"/>
                <w:iCs/>
                <w:color w:val="000000"/>
                <w:sz w:val="18"/>
                <w:szCs w:val="18"/>
                <w:lang w:eastAsia="cs-CZ"/>
              </w:rPr>
              <w:t>Trend rozvoje bude pokračovat i v budoucnu, dle</w:t>
            </w:r>
            <w:r w:rsidRPr="00137308">
              <w:rPr>
                <w:rFonts w:ascii="Calibri" w:eastAsia="Times New Roman" w:hAnsi="Calibri" w:cstheme="minorHAnsi"/>
                <w:color w:val="000000"/>
                <w:sz w:val="18"/>
                <w:szCs w:val="18"/>
                <w:lang w:eastAsia="cs-CZ"/>
              </w:rPr>
              <w:t xml:space="preserve"> vlastních predikcí má populace města v roce 2050 dosáhnout 200 000 obyvatel.</w:t>
            </w:r>
          </w:p>
        </w:tc>
      </w:tr>
    </w:tbl>
    <w:p w14:paraId="21212F89" w14:textId="77777777" w:rsidR="00AF371C" w:rsidRPr="00A463C1" w:rsidRDefault="00AF371C" w:rsidP="00AF371C">
      <w:pPr>
        <w:pStyle w:val="Zdroj"/>
      </w:pPr>
      <w:r w:rsidRPr="00A463C1">
        <w:t>Zdroj: www.umea.se</w:t>
      </w:r>
    </w:p>
    <w:p w14:paraId="112955E4" w14:textId="77777777" w:rsidR="00AF371C" w:rsidRDefault="00AF371C" w:rsidP="00AF371C">
      <w:pPr>
        <w:pStyle w:val="Titulek"/>
      </w:pPr>
    </w:p>
    <w:p w14:paraId="79D0CB5D" w14:textId="13901A0B" w:rsidR="00AF371C" w:rsidRDefault="00AF371C" w:rsidP="00AF371C">
      <w:pPr>
        <w:pStyle w:val="Titulek"/>
        <w:keepNext/>
        <w:keepLines/>
      </w:pPr>
      <w:bookmarkStart w:id="46" w:name="_Toc52960755"/>
      <w:bookmarkStart w:id="47" w:name="_Toc77074826"/>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w:t>
      </w:r>
      <w:r w:rsidR="00804AF3">
        <w:rPr>
          <w:noProof/>
        </w:rPr>
        <w:fldChar w:fldCharType="end"/>
      </w:r>
      <w:r w:rsidR="0039788E">
        <w:rPr>
          <w:noProof/>
        </w:rPr>
        <w:t>:</w:t>
      </w:r>
      <w:r>
        <w:t xml:space="preserve"> Rozmístění výrobních a skladových ploch ve Zlíně</w:t>
      </w:r>
      <w:bookmarkEnd w:id="46"/>
      <w:bookmarkEnd w:id="47"/>
    </w:p>
    <w:p w14:paraId="4C327FCE" w14:textId="485DE4E4" w:rsidR="00651DC2" w:rsidRPr="00651DC2" w:rsidRDefault="00651DC2" w:rsidP="00651DC2">
      <w:r w:rsidRPr="00651DC2">
        <w:rPr>
          <w:noProof/>
          <w:lang w:eastAsia="cs-CZ"/>
        </w:rPr>
        <w:drawing>
          <wp:inline distT="0" distB="0" distL="0" distR="0" wp14:anchorId="5522DD9D" wp14:editId="4F4B85A8">
            <wp:extent cx="5760720" cy="4322445"/>
            <wp:effectExtent l="0" t="0" r="0" b="1905"/>
            <wp:docPr id="229" name="Obrázek 229" descr="C:\Users\MARTIN~1\AppData\Local\Temp\Plochy_Zlin_VYROB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1\AppData\Local\Temp\Plochy_Zlin_VYROBNI.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322445"/>
                    </a:xfrm>
                    <a:prstGeom prst="rect">
                      <a:avLst/>
                    </a:prstGeom>
                    <a:noFill/>
                    <a:ln>
                      <a:noFill/>
                    </a:ln>
                  </pic:spPr>
                </pic:pic>
              </a:graphicData>
            </a:graphic>
          </wp:inline>
        </w:drawing>
      </w:r>
    </w:p>
    <w:p w14:paraId="3371EF97" w14:textId="11CF218A" w:rsidR="00AF371C" w:rsidRDefault="00AF371C" w:rsidP="00AF371C">
      <w:pPr>
        <w:pStyle w:val="Zdroj"/>
      </w:pPr>
      <w:r w:rsidRPr="00A332C2">
        <w:t>Zdroj: Územní plán města Zlín</w:t>
      </w:r>
      <w:r>
        <w:t>, zpracování PROCES, 2020</w:t>
      </w:r>
      <w:r w:rsidR="0039788E">
        <w:t>.</w:t>
      </w:r>
    </w:p>
    <w:p w14:paraId="350138A4" w14:textId="77777777" w:rsidR="00AF371C" w:rsidRDefault="00AF371C" w:rsidP="00AF371C">
      <w:pPr>
        <w:pStyle w:val="Zdroj"/>
      </w:pPr>
    </w:p>
    <w:p w14:paraId="0AE6BBAE" w14:textId="77777777" w:rsidR="00AF371C" w:rsidRDefault="00AF371C" w:rsidP="00AF371C">
      <w:pPr>
        <w:pStyle w:val="Nadpis4"/>
      </w:pPr>
      <w:r>
        <w:t>Problémová území a l</w:t>
      </w:r>
      <w:r w:rsidRPr="00EF2FC1">
        <w:t>okality</w:t>
      </w:r>
      <w:r>
        <w:t xml:space="preserve"> brownfields </w:t>
      </w:r>
    </w:p>
    <w:p w14:paraId="50BABC5B" w14:textId="3AD1C916" w:rsidR="00AF371C" w:rsidRDefault="00AF371C" w:rsidP="00AF371C">
      <w:r>
        <w:t xml:space="preserve">Anglický termín „brownfield“ označuje zanedbané, opuštěné území, jehož účel je v současné době nejasný. Tato území nelze efektivně využívat bez předchozí regenerace. Vzniká jako pozůstatek průmyslové, zemědělské, rezidenční, vojenské nebo jiné činnosti. Přehled lokalit brownfields na území Zlína </w:t>
      </w:r>
      <w:r w:rsidR="00EB62B8">
        <w:t>je uveden níže</w:t>
      </w:r>
      <w:r>
        <w:t xml:space="preserve">. Zlínský kraj území brownfields monitoruje a snaží se podporovat jejich revitalizaci, souhrn lokalit a plán revitalizace shrnuje dokument </w:t>
      </w:r>
      <w:r w:rsidRPr="00A61EC8">
        <w:rPr>
          <w:i/>
        </w:rPr>
        <w:t>„Strategie využití brownfields ve Zlínském kraji</w:t>
      </w:r>
      <w:r>
        <w:rPr>
          <w:rStyle w:val="Znakapoznpodarou"/>
          <w:i/>
        </w:rPr>
        <w:footnoteReference w:id="8"/>
      </w:r>
      <w:r w:rsidRPr="00A61EC8">
        <w:rPr>
          <w:i/>
        </w:rPr>
        <w:t>“.</w:t>
      </w:r>
    </w:p>
    <w:p w14:paraId="26D8C71A" w14:textId="765749D8" w:rsidR="00AF371C" w:rsidRDefault="00AF371C" w:rsidP="00AF371C">
      <w:r>
        <w:t>Charakter brownfield má a</w:t>
      </w:r>
      <w:r w:rsidRPr="00406C8D">
        <w:t>reál bývalého koupaliště Riviéra</w:t>
      </w:r>
      <w:r>
        <w:t xml:space="preserve">. </w:t>
      </w:r>
      <w:r w:rsidRPr="00406C8D">
        <w:t xml:space="preserve">Koupaliště Riviéra ve Zlíně-Malenovicích bylo po zpřísnění legislativy a nevyhovujícím podmínkám v roce 2007 uzavřeno. Od té doby areál chátrá. Jedná se o jinak atraktivní lokalitu v blízkosti malenovického hradu. V okolí </w:t>
      </w:r>
      <w:r w:rsidR="002E5B2D">
        <w:t>h</w:t>
      </w:r>
      <w:r w:rsidRPr="00406C8D">
        <w:t>radu Malenovice je v roce 2022 plánovaná revitalizace, je možné, že projekt bude mít pozitivní vliv na zlepšení samotné lokality chátrajícího koupaliště. Plocha areálu je přibližně 1,3 ha.</w:t>
      </w:r>
    </w:p>
    <w:p w14:paraId="655AF454" w14:textId="77777777" w:rsidR="00AF371C" w:rsidRDefault="00AF371C" w:rsidP="00AF371C">
      <w:pPr>
        <w:spacing w:before="0" w:after="160" w:line="259" w:lineRule="auto"/>
        <w:jc w:val="left"/>
      </w:pPr>
      <w:r>
        <w:br w:type="page"/>
      </w:r>
    </w:p>
    <w:p w14:paraId="6D5C2A15" w14:textId="77777777" w:rsidR="00AF371C" w:rsidRDefault="00AF371C" w:rsidP="00AF371C">
      <w:r>
        <w:lastRenderedPageBreak/>
        <w:t>Dalšími chátrajícími či nevyužívanými lokalitami ve městě jsou:</w:t>
      </w:r>
    </w:p>
    <w:p w14:paraId="03C7533B" w14:textId="77777777" w:rsidR="00AF371C" w:rsidRDefault="00AF371C" w:rsidP="00AF371C"/>
    <w:tbl>
      <w:tblPr>
        <w:tblStyle w:val="TableNormal"/>
        <w:tblW w:w="9328" w:type="dxa"/>
        <w:tblLayout w:type="fixed"/>
        <w:tblCellMar>
          <w:right w:w="57" w:type="dxa"/>
        </w:tblCellMar>
        <w:tblLook w:val="01E0" w:firstRow="1" w:lastRow="1" w:firstColumn="1" w:lastColumn="1" w:noHBand="0" w:noVBand="0"/>
      </w:tblPr>
      <w:tblGrid>
        <w:gridCol w:w="2098"/>
        <w:gridCol w:w="7230"/>
      </w:tblGrid>
      <w:tr w:rsidR="00AF371C" w14:paraId="2F3F6C1F" w14:textId="77777777" w:rsidTr="00047BE4">
        <w:trPr>
          <w:trHeight w:val="743"/>
        </w:trPr>
        <w:tc>
          <w:tcPr>
            <w:tcW w:w="2098" w:type="dxa"/>
          </w:tcPr>
          <w:p w14:paraId="10D0AB9E" w14:textId="77777777" w:rsidR="00AF371C" w:rsidRPr="00406C8D" w:rsidRDefault="00AF371C" w:rsidP="00047BE4">
            <w:pPr>
              <w:spacing w:before="0"/>
              <w:jc w:val="left"/>
              <w:rPr>
                <w:b/>
                <w:sz w:val="18"/>
                <w:szCs w:val="18"/>
                <w:lang w:val="cs-CZ"/>
              </w:rPr>
            </w:pPr>
          </w:p>
          <w:p w14:paraId="3054942E" w14:textId="77777777" w:rsidR="00AF371C" w:rsidRPr="00406C8D" w:rsidRDefault="00AF371C" w:rsidP="00047BE4">
            <w:pPr>
              <w:spacing w:before="0"/>
              <w:jc w:val="left"/>
              <w:rPr>
                <w:b/>
                <w:sz w:val="18"/>
                <w:szCs w:val="18"/>
                <w:lang w:val="cs-CZ"/>
              </w:rPr>
            </w:pPr>
            <w:r w:rsidRPr="00406C8D">
              <w:rPr>
                <w:b/>
                <w:sz w:val="18"/>
                <w:szCs w:val="18"/>
                <w:lang w:val="cs-CZ"/>
              </w:rPr>
              <w:t>Vytěžené území cihelny Malenovice</w:t>
            </w:r>
          </w:p>
        </w:tc>
        <w:tc>
          <w:tcPr>
            <w:tcW w:w="7230" w:type="dxa"/>
          </w:tcPr>
          <w:p w14:paraId="37C58300" w14:textId="77777777" w:rsidR="00AF371C" w:rsidRPr="00ED0EA5" w:rsidRDefault="00AF371C" w:rsidP="00047BE4">
            <w:pPr>
              <w:spacing w:before="0"/>
              <w:rPr>
                <w:sz w:val="18"/>
                <w:szCs w:val="18"/>
                <w:lang w:val="cs-CZ"/>
              </w:rPr>
            </w:pPr>
            <w:r w:rsidRPr="00ED0EA5">
              <w:rPr>
                <w:sz w:val="18"/>
                <w:szCs w:val="18"/>
                <w:lang w:val="cs-CZ"/>
              </w:rPr>
              <w:t>Lokalita bývalé cihelny firmy Baťa, a.s. o rozloze cca 9,3 ha představuje nezastavěnou plochu ve svažitém terénu se zvýšeným rizikem sesuvů.</w:t>
            </w:r>
            <w:r>
              <w:rPr>
                <w:sz w:val="18"/>
                <w:szCs w:val="18"/>
                <w:lang w:val="cs-CZ"/>
              </w:rPr>
              <w:t xml:space="preserve"> </w:t>
            </w:r>
            <w:r w:rsidRPr="00ED0EA5">
              <w:rPr>
                <w:sz w:val="18"/>
                <w:szCs w:val="18"/>
                <w:lang w:val="cs-CZ"/>
              </w:rPr>
              <w:t>S ohledem na charakter lokality</w:t>
            </w:r>
            <w:r>
              <w:rPr>
                <w:sz w:val="18"/>
                <w:szCs w:val="18"/>
                <w:lang w:val="cs-CZ"/>
              </w:rPr>
              <w:t xml:space="preserve"> se jako vhodné jeví f</w:t>
            </w:r>
            <w:r w:rsidRPr="00ED0EA5">
              <w:rPr>
                <w:sz w:val="18"/>
                <w:szCs w:val="18"/>
                <w:lang w:val="cs-CZ"/>
              </w:rPr>
              <w:t>unkční využití založené</w:t>
            </w:r>
            <w:r>
              <w:rPr>
                <w:sz w:val="18"/>
                <w:szCs w:val="18"/>
                <w:lang w:val="cs-CZ"/>
              </w:rPr>
              <w:t xml:space="preserve"> </w:t>
            </w:r>
            <w:r w:rsidRPr="00ED0EA5">
              <w:rPr>
                <w:sz w:val="18"/>
                <w:szCs w:val="18"/>
                <w:lang w:val="cs-CZ"/>
              </w:rPr>
              <w:t>na integraci lokality do okolní krajiny.</w:t>
            </w:r>
          </w:p>
        </w:tc>
      </w:tr>
      <w:tr w:rsidR="00AF371C" w14:paraId="4650EEFA" w14:textId="77777777" w:rsidTr="00047BE4">
        <w:trPr>
          <w:trHeight w:val="1973"/>
        </w:trPr>
        <w:tc>
          <w:tcPr>
            <w:tcW w:w="2098" w:type="dxa"/>
            <w:vAlign w:val="center"/>
          </w:tcPr>
          <w:p w14:paraId="2F23A1ED" w14:textId="70801A27" w:rsidR="00AF371C" w:rsidRPr="00406C8D" w:rsidRDefault="0039788E" w:rsidP="00047BE4">
            <w:pPr>
              <w:spacing w:before="0"/>
              <w:jc w:val="left"/>
              <w:rPr>
                <w:b/>
                <w:sz w:val="18"/>
                <w:szCs w:val="18"/>
                <w:lang w:val="cs-CZ"/>
              </w:rPr>
            </w:pPr>
            <w:r>
              <w:rPr>
                <w:b/>
                <w:sz w:val="18"/>
                <w:szCs w:val="18"/>
                <w:lang w:val="cs-CZ"/>
              </w:rPr>
              <w:t>Č</w:t>
            </w:r>
            <w:r w:rsidR="00AF371C">
              <w:rPr>
                <w:b/>
                <w:sz w:val="18"/>
                <w:szCs w:val="18"/>
                <w:lang w:val="cs-CZ"/>
              </w:rPr>
              <w:t xml:space="preserve">ást </w:t>
            </w:r>
            <w:r w:rsidR="00AF371C" w:rsidRPr="00406C8D">
              <w:rPr>
                <w:b/>
                <w:sz w:val="18"/>
                <w:szCs w:val="18"/>
                <w:lang w:val="cs-CZ"/>
              </w:rPr>
              <w:t>Ba</w:t>
            </w:r>
            <w:r w:rsidR="00AF371C">
              <w:rPr>
                <w:b/>
                <w:sz w:val="18"/>
                <w:szCs w:val="18"/>
                <w:lang w:val="cs-CZ"/>
              </w:rPr>
              <w:t>ťova</w:t>
            </w:r>
            <w:r w:rsidR="00AF371C" w:rsidRPr="00406C8D">
              <w:rPr>
                <w:b/>
                <w:sz w:val="18"/>
                <w:szCs w:val="18"/>
                <w:lang w:val="cs-CZ"/>
              </w:rPr>
              <w:t xml:space="preserve"> areál</w:t>
            </w:r>
            <w:r w:rsidR="00AF371C">
              <w:rPr>
                <w:b/>
                <w:sz w:val="18"/>
                <w:szCs w:val="18"/>
                <w:lang w:val="cs-CZ"/>
              </w:rPr>
              <w:t>u</w:t>
            </w:r>
            <w:r w:rsidR="00AF371C" w:rsidRPr="00406C8D">
              <w:rPr>
                <w:b/>
                <w:sz w:val="18"/>
                <w:szCs w:val="18"/>
                <w:lang w:val="cs-CZ"/>
              </w:rPr>
              <w:t xml:space="preserve"> Zlín</w:t>
            </w:r>
          </w:p>
        </w:tc>
        <w:tc>
          <w:tcPr>
            <w:tcW w:w="7230" w:type="dxa"/>
          </w:tcPr>
          <w:p w14:paraId="0507D193" w14:textId="77777777" w:rsidR="00AF371C" w:rsidRPr="005B1193" w:rsidRDefault="00AF371C" w:rsidP="00047BE4">
            <w:pPr>
              <w:spacing w:before="0"/>
              <w:rPr>
                <w:sz w:val="18"/>
                <w:szCs w:val="18"/>
                <w:lang w:val="cs-CZ"/>
              </w:rPr>
            </w:pPr>
            <w:r w:rsidRPr="005B1193">
              <w:rPr>
                <w:sz w:val="18"/>
                <w:szCs w:val="18"/>
                <w:lang w:val="cs-CZ"/>
              </w:rPr>
              <w:t>Historický areál firmy Baťa o rozloze cca 69,6 ha představuje symbol úpadku obu</w:t>
            </w:r>
            <w:r>
              <w:rPr>
                <w:sz w:val="18"/>
                <w:szCs w:val="18"/>
                <w:lang w:val="cs-CZ"/>
              </w:rPr>
              <w:t>vnického průmyslu ve Zlíně</w:t>
            </w:r>
            <w:r w:rsidRPr="005B1193">
              <w:rPr>
                <w:sz w:val="18"/>
                <w:szCs w:val="18"/>
                <w:lang w:val="cs-CZ"/>
              </w:rPr>
              <w:t xml:space="preserve">. Proces regenerace lokality Baťova areálu probíhá postupně, přičemž současný charakter regenerace je iniciován rovněž institucemi veřejného sektoru (např. sídlo Zlínského kraje, Technologického inovačního centra, s.r.o., Baťův Institut </w:t>
            </w:r>
            <w:r w:rsidRPr="005B1193">
              <w:rPr>
                <w:rFonts w:cstheme="minorHAnsi"/>
                <w:sz w:val="18"/>
                <w:szCs w:val="18"/>
                <w:shd w:val="clear" w:color="auto" w:fill="FFFFFF"/>
                <w:lang w:val="cs-CZ"/>
              </w:rPr>
              <w:t>14|15, pošta apod.)</w:t>
            </w:r>
            <w:r w:rsidRPr="005B1193">
              <w:rPr>
                <w:sz w:val="18"/>
                <w:szCs w:val="18"/>
                <w:lang w:val="cs-CZ"/>
              </w:rPr>
              <w:t xml:space="preserve"> </w:t>
            </w:r>
          </w:p>
          <w:p w14:paraId="17FFAB07" w14:textId="77777777" w:rsidR="00AF371C" w:rsidRPr="00ED0EA5" w:rsidRDefault="00AF371C" w:rsidP="00047BE4">
            <w:pPr>
              <w:spacing w:before="0"/>
              <w:rPr>
                <w:sz w:val="18"/>
                <w:szCs w:val="18"/>
                <w:lang w:val="cs-CZ"/>
              </w:rPr>
            </w:pPr>
            <w:r>
              <w:rPr>
                <w:sz w:val="18"/>
                <w:szCs w:val="18"/>
                <w:lang w:val="cs-CZ"/>
              </w:rPr>
              <w:t xml:space="preserve">Zbývající část areálu zůstává stále průmyslová, přítomnost prosperujících společností tak tvoří hlavní limit případné další transformace.  Velkou roli může hrát SMZ, které musí vyvíjet konkrétní kroky a především prostřednictvím aktivní komunikace zajistit zapojení všech zainteresovaných aktérů. </w:t>
            </w:r>
            <w:r w:rsidRPr="005B1193">
              <w:rPr>
                <w:sz w:val="18"/>
                <w:szCs w:val="18"/>
                <w:lang w:val="cs-CZ"/>
              </w:rPr>
              <w:t xml:space="preserve">Klíčové aktivity v lokalitě se vedle regenerace nevyužívaných objektů musí dotýkat rovněž řešení otázek dopravní a technické infrastruktury. </w:t>
            </w:r>
          </w:p>
        </w:tc>
      </w:tr>
      <w:tr w:rsidR="00AF371C" w14:paraId="71089673" w14:textId="77777777" w:rsidTr="00047BE4">
        <w:trPr>
          <w:trHeight w:val="1119"/>
        </w:trPr>
        <w:tc>
          <w:tcPr>
            <w:tcW w:w="2098" w:type="dxa"/>
            <w:vAlign w:val="center"/>
          </w:tcPr>
          <w:p w14:paraId="29ECD8F2" w14:textId="77777777" w:rsidR="00AF371C" w:rsidRPr="00406C8D" w:rsidRDefault="00AF371C" w:rsidP="00047BE4">
            <w:pPr>
              <w:jc w:val="left"/>
              <w:rPr>
                <w:b/>
                <w:sz w:val="18"/>
                <w:szCs w:val="18"/>
                <w:lang w:val="cs-CZ"/>
              </w:rPr>
            </w:pPr>
            <w:r w:rsidRPr="00406C8D">
              <w:rPr>
                <w:b/>
                <w:sz w:val="18"/>
                <w:szCs w:val="18"/>
                <w:lang w:val="cs-CZ"/>
              </w:rPr>
              <w:t>Filmový areál Zlín</w:t>
            </w:r>
          </w:p>
        </w:tc>
        <w:tc>
          <w:tcPr>
            <w:tcW w:w="7230" w:type="dxa"/>
          </w:tcPr>
          <w:p w14:paraId="7E4B7382" w14:textId="77777777" w:rsidR="00AF371C" w:rsidRDefault="00AF371C" w:rsidP="00047BE4">
            <w:pPr>
              <w:spacing w:before="0"/>
              <w:rPr>
                <w:sz w:val="18"/>
                <w:szCs w:val="18"/>
                <w:lang w:val="cs-CZ"/>
              </w:rPr>
            </w:pPr>
            <w:r w:rsidRPr="00ED0EA5">
              <w:rPr>
                <w:sz w:val="18"/>
                <w:szCs w:val="18"/>
                <w:lang w:val="cs-CZ"/>
              </w:rPr>
              <w:t>Lokalita filmových ateliérů ve Zlíně o rozloze cca 0,7 ha představuje jihovýchodní část filmového areálu, která je v současnosti částečně využívaná pro účely skladování.</w:t>
            </w:r>
          </w:p>
          <w:p w14:paraId="2F9B39E3" w14:textId="77777777" w:rsidR="00AF371C" w:rsidRPr="00ED0EA5" w:rsidRDefault="00AF371C" w:rsidP="00047BE4">
            <w:pPr>
              <w:spacing w:before="0"/>
              <w:rPr>
                <w:sz w:val="18"/>
                <w:szCs w:val="18"/>
                <w:lang w:val="cs-CZ"/>
              </w:rPr>
            </w:pPr>
            <w:r>
              <w:rPr>
                <w:sz w:val="18"/>
                <w:szCs w:val="18"/>
                <w:lang w:val="cs-CZ"/>
              </w:rPr>
              <w:t>V současnosti dochází k postupné obnově delší dobu zanedbaného areálu ze strany soukromých subjektů, které v areálu působí. V roce 2016 v areálu zahájilo činnost filmové a vzdělávací centrum pro veřejnost Filmový uzel, které sídlí ve dvou zrekonstruovaných budovách areálu.</w:t>
            </w:r>
          </w:p>
        </w:tc>
      </w:tr>
    </w:tbl>
    <w:p w14:paraId="7180A393" w14:textId="77777777" w:rsidR="00AF371C" w:rsidRDefault="00AF371C" w:rsidP="00AF371C">
      <w:pPr>
        <w:keepLines/>
        <w:rPr>
          <w:b/>
        </w:rPr>
      </w:pPr>
      <w:r w:rsidRPr="00D723FE">
        <w:rPr>
          <w:b/>
        </w:rPr>
        <w:t>Baťův areál</w:t>
      </w:r>
    </w:p>
    <w:p w14:paraId="6F102A85" w14:textId="081D1995" w:rsidR="00AF371C" w:rsidRDefault="00AF371C" w:rsidP="00AF371C">
      <w:r w:rsidRPr="00E46C76">
        <w:t>Areál bývalé firmy Baťa, později areál Svitu</w:t>
      </w:r>
      <w:r>
        <w:t>, utrpěl úpadkem obuvnictví a průmyslu ve Zlíně. Jedná se o</w:t>
      </w:r>
      <w:r w:rsidR="00844A4B">
        <w:t> </w:t>
      </w:r>
      <w:r>
        <w:t xml:space="preserve">rozlehlé zastavěné území o ploše téměř 70 ha s vysokou koncentrací průmyslových budov (asi 45 ha). V posledních letech dochází k postupné revitalizaci ve východní části areálu, která se stává funkční </w:t>
      </w:r>
      <w:r w:rsidRPr="00542EAB">
        <w:rPr>
          <w:rFonts w:cstheme="minorHAnsi"/>
        </w:rPr>
        <w:t>součástí města. V areálu jsou nově lokalizované některé veřejné služby (pošta,</w:t>
      </w:r>
      <w:r>
        <w:rPr>
          <w:rFonts w:cstheme="minorHAnsi"/>
        </w:rPr>
        <w:t xml:space="preserve"> sídlo krajského úřadu a</w:t>
      </w:r>
      <w:r w:rsidR="00844A4B">
        <w:rPr>
          <w:rFonts w:cstheme="minorHAnsi"/>
        </w:rPr>
        <w:t> </w:t>
      </w:r>
      <w:r w:rsidR="002E5B2D">
        <w:rPr>
          <w:rFonts w:cstheme="minorHAnsi"/>
        </w:rPr>
        <w:t>f</w:t>
      </w:r>
      <w:r>
        <w:rPr>
          <w:rFonts w:cstheme="minorHAnsi"/>
        </w:rPr>
        <w:t>inančního úřadu ve 21. budově,</w:t>
      </w:r>
      <w:r w:rsidRPr="00542EAB">
        <w:rPr>
          <w:rFonts w:cstheme="minorHAnsi"/>
        </w:rPr>
        <w:t xml:space="preserve"> sídlí zde </w:t>
      </w:r>
      <w:r w:rsidRPr="00542EAB">
        <w:rPr>
          <w:rFonts w:cstheme="minorHAnsi"/>
          <w:shd w:val="clear" w:color="auto" w:fill="FFFFFF"/>
        </w:rPr>
        <w:t xml:space="preserve">14|15 </w:t>
      </w:r>
      <w:r>
        <w:rPr>
          <w:rFonts w:cstheme="minorHAnsi"/>
          <w:shd w:val="clear" w:color="auto" w:fill="FFFFFF"/>
        </w:rPr>
        <w:t>Baťův Institut,</w:t>
      </w:r>
      <w:r w:rsidRPr="00542EAB">
        <w:rPr>
          <w:rFonts w:cstheme="minorHAnsi"/>
          <w:shd w:val="clear" w:color="auto" w:fill="FFFFFF"/>
        </w:rPr>
        <w:t xml:space="preserve"> </w:t>
      </w:r>
      <w:r>
        <w:rPr>
          <w:rFonts w:cstheme="minorHAnsi"/>
          <w:shd w:val="clear" w:color="auto" w:fill="FFFFFF"/>
        </w:rPr>
        <w:t>kam spadá</w:t>
      </w:r>
      <w:r w:rsidRPr="00542EAB">
        <w:rPr>
          <w:rFonts w:cstheme="minorHAnsi"/>
          <w:shd w:val="clear" w:color="auto" w:fill="FFFFFF"/>
        </w:rPr>
        <w:t xml:space="preserve"> muzeum Jihovýchodní Moravy, </w:t>
      </w:r>
      <w:r>
        <w:rPr>
          <w:rFonts w:cstheme="minorHAnsi"/>
        </w:rPr>
        <w:t>krajská</w:t>
      </w:r>
      <w:r w:rsidRPr="00542EAB">
        <w:rPr>
          <w:rFonts w:cstheme="minorHAnsi"/>
        </w:rPr>
        <w:t xml:space="preserve"> </w:t>
      </w:r>
      <w:r>
        <w:rPr>
          <w:rFonts w:cstheme="minorHAnsi"/>
        </w:rPr>
        <w:t>knihovna nebo</w:t>
      </w:r>
      <w:r w:rsidRPr="00542EAB">
        <w:rPr>
          <w:rFonts w:cstheme="minorHAnsi"/>
        </w:rPr>
        <w:t xml:space="preserve"> krajská galerie) </w:t>
      </w:r>
      <w:r>
        <w:t xml:space="preserve">a řada dalších služeb (restaurace, obchody). V západní </w:t>
      </w:r>
      <w:r w:rsidRPr="00103CA7">
        <w:t>části sídlí společnosti zabývající se průmyslovou výrobou, jsou zde sklady, řada objektů nemá využití. Zatímco východní část areálu je v Územním plánu města vedena jako zóna městského centra, západní část je označena jako lokalita smíšené funkce výrobní a skladovací. Baťův areál má díky své poloze blízké centru města vysoký potenciál revitalizace a dalšího využití. Město Zlín podporuje další revitalizaci a začleňování Baťova areálu do funkčního prostoru města. V oblasti pravobřežní</w:t>
      </w:r>
      <w:r w:rsidR="00844A4B">
        <w:t>,</w:t>
      </w:r>
      <w:r w:rsidRPr="00103CA7">
        <w:t xml:space="preserve"> západní části Baťova areálu (průmyslový areál Rybníky), která není součástí MPZ, je plánováno vedení nové pravobřežní komunikace v úseku Prštné – Podbaba. Spolu s využitím poznatků z plánované Studie dopravní obslužnosti areálu Svit – Zlín je tak možné předpokládat zlepšení dopravní situace v oblasti s pozitivním dopadem na rozvoj Baťova areálu.</w:t>
      </w:r>
    </w:p>
    <w:p w14:paraId="5A3C34B7" w14:textId="059A4714" w:rsidR="00AF371C" w:rsidRDefault="00AF371C" w:rsidP="00AF371C">
      <w:r>
        <w:t>Překážkami, které musí projekty revitalizace překonat, jsou poměrně složitá vlastnická struktura a</w:t>
      </w:r>
      <w:r w:rsidR="00844A4B">
        <w:t> </w:t>
      </w:r>
      <w:r>
        <w:t>špatný technický stav některých budov, případně neochota vlastníků měnit stávající stav využití. Komplex Baťova areálu je zároveň součástí MPZ, projekty revitalizace tak musí respektovat stanoviska orgánů památkové péče. Památková ochrana se nicméně nevztahuje na pravobřežní západní část areálu. Areálem prochází železniční trať Otrokovice – Vizovice a v jeho těsné blízkosti je i železniční a</w:t>
      </w:r>
      <w:r w:rsidR="00844A4B">
        <w:t> </w:t>
      </w:r>
      <w:r>
        <w:t>autobusové nádraží. V projektu plánované renovace vlakového nádraží je stavba zcela nové budovy nádraží a její propojení s přilehlým Baťovým areálem.</w:t>
      </w:r>
    </w:p>
    <w:p w14:paraId="52BF28D2" w14:textId="40D29089" w:rsidR="00AF371C" w:rsidRDefault="00AF371C" w:rsidP="00AF371C">
      <w:r>
        <w:t>V současnosti je plánovaný rozsáhlý developerský projekt výstavby komerčního obchodního centra Fabrika na ploše bývalých budov č. 24, 25 a 26 (přibližně 70 000 m</w:t>
      </w:r>
      <w:r w:rsidRPr="001F1E29">
        <w:rPr>
          <w:vertAlign w:val="superscript"/>
        </w:rPr>
        <w:t>2</w:t>
      </w:r>
      <w:r>
        <w:t>) inves</w:t>
      </w:r>
      <w:r w:rsidR="00844A4B">
        <w:t>tiční skupiny Cream. Jedná se o </w:t>
      </w:r>
      <w:r>
        <w:t>dlouho diskutovaný projekt, který v nedávné době získal stavební povolení a dle investora má být dokončen roku 2023. Objekt má plnit více funkcí, vedle nákupního centra zde bude prostor i</w:t>
      </w:r>
      <w:r w:rsidR="00844A4B">
        <w:t> </w:t>
      </w:r>
      <w:r>
        <w:t>pro volnočasové aktivity, kanceláře nebo univerzitní prostory. Vzhledem k rozsahu objektu lze očekávat zvýšení intenzity dopravy v rámci areálu i jeho blízkém okolí. V záměru je nicméně vybudovat až 1 000 parkovacích míst a některé další úpravy přilehlé dopravní sítě.</w:t>
      </w:r>
    </w:p>
    <w:p w14:paraId="0A8DE00D" w14:textId="761984B6" w:rsidR="00AF371C" w:rsidRDefault="00AF371C" w:rsidP="00AF371C">
      <w:pPr>
        <w:pStyle w:val="Titulek"/>
        <w:keepNext/>
        <w:rPr>
          <w:b w:val="0"/>
        </w:rPr>
      </w:pPr>
      <w:bookmarkStart w:id="48" w:name="_Toc52960756"/>
      <w:bookmarkStart w:id="49" w:name="_Toc77074827"/>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w:t>
      </w:r>
      <w:r w:rsidR="00804AF3">
        <w:rPr>
          <w:noProof/>
        </w:rPr>
        <w:fldChar w:fldCharType="end"/>
      </w:r>
      <w:r w:rsidR="00844A4B">
        <w:rPr>
          <w:noProof/>
        </w:rPr>
        <w:t>:</w:t>
      </w:r>
      <w:r>
        <w:t xml:space="preserve"> Základní členění Baťova areálu</w:t>
      </w:r>
      <w:bookmarkEnd w:id="48"/>
      <w:bookmarkEnd w:id="49"/>
    </w:p>
    <w:p w14:paraId="7FD90B71" w14:textId="77777777" w:rsidR="00AF371C" w:rsidRPr="00D723FE" w:rsidRDefault="00AF371C" w:rsidP="00AF371C">
      <w:pPr>
        <w:rPr>
          <w:b/>
        </w:rPr>
      </w:pPr>
      <w:r>
        <w:rPr>
          <w:noProof/>
          <w:lang w:eastAsia="cs-CZ"/>
        </w:rPr>
        <w:drawing>
          <wp:inline distT="0" distB="0" distL="0" distR="0" wp14:anchorId="7C9965C5" wp14:editId="23E23B44">
            <wp:extent cx="5760720" cy="3423920"/>
            <wp:effectExtent l="19050" t="19050" r="11430" b="2413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ata2.png"/>
                    <pic:cNvPicPr/>
                  </pic:nvPicPr>
                  <pic:blipFill>
                    <a:blip r:embed="rId22">
                      <a:extLst>
                        <a:ext uri="{28A0092B-C50C-407E-A947-70E740481C1C}">
                          <a14:useLocalDpi xmlns:a14="http://schemas.microsoft.com/office/drawing/2010/main" val="0"/>
                        </a:ext>
                      </a:extLst>
                    </a:blip>
                    <a:stretch>
                      <a:fillRect/>
                    </a:stretch>
                  </pic:blipFill>
                  <pic:spPr>
                    <a:xfrm>
                      <a:off x="0" y="0"/>
                      <a:ext cx="5760720" cy="3423920"/>
                    </a:xfrm>
                    <a:prstGeom prst="rect">
                      <a:avLst/>
                    </a:prstGeom>
                    <a:ln>
                      <a:solidFill>
                        <a:schemeClr val="bg1">
                          <a:lumMod val="50000"/>
                        </a:schemeClr>
                      </a:solidFill>
                    </a:ln>
                  </pic:spPr>
                </pic:pic>
              </a:graphicData>
            </a:graphic>
          </wp:inline>
        </w:drawing>
      </w:r>
    </w:p>
    <w:p w14:paraId="4498DB25" w14:textId="77777777" w:rsidR="00AF371C" w:rsidRDefault="00AF371C" w:rsidP="00AF371C">
      <w:pPr>
        <w:pStyle w:val="Zdroj"/>
      </w:pPr>
      <w:r>
        <w:t xml:space="preserve">Zdroj: Brownfieldy Zlínského kraje, 2020, </w:t>
      </w:r>
      <w:hyperlink r:id="rId23" w:history="1">
        <w:r w:rsidRPr="00844A4B">
          <w:rPr>
            <w:rStyle w:val="Hypertextovodkaz"/>
            <w:rFonts w:eastAsiaTheme="majorEastAsia"/>
            <w:color w:val="auto"/>
            <w:u w:val="none"/>
          </w:rPr>
          <w:t>https://geoportal.kr-zlinsky.cz/bf/</w:t>
        </w:r>
      </w:hyperlink>
    </w:p>
    <w:p w14:paraId="371C0644" w14:textId="77777777" w:rsidR="00AF371C" w:rsidRPr="00ED0EA5" w:rsidRDefault="00AF371C" w:rsidP="00AF371C"/>
    <w:p w14:paraId="492920CA" w14:textId="77777777" w:rsidR="00AF371C" w:rsidRDefault="00AF371C" w:rsidP="00AF371C">
      <w:pPr>
        <w:pStyle w:val="Nadpis3"/>
        <w:ind w:left="720"/>
      </w:pPr>
      <w:bookmarkStart w:id="50" w:name="_Toc52960765"/>
      <w:bookmarkStart w:id="51" w:name="_Toc77074576"/>
      <w:r>
        <w:lastRenderedPageBreak/>
        <w:t>Dílčí shrnutí</w:t>
      </w:r>
      <w:bookmarkEnd w:id="50"/>
      <w:bookmarkEnd w:id="51"/>
    </w:p>
    <w:p w14:paraId="49DBC72A" w14:textId="77777777" w:rsidR="00AF371C" w:rsidRDefault="00AF371C" w:rsidP="00AF371C">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r w:rsidRPr="00F2584F">
        <w:rPr>
          <w:b/>
        </w:rPr>
        <w:t>Hlavní zjištění</w:t>
      </w:r>
      <w:r w:rsidRPr="00F2584F">
        <w:t>:</w:t>
      </w:r>
    </w:p>
    <w:p w14:paraId="0F7471AC" w14:textId="77777777" w:rsidR="00AF371C" w:rsidRDefault="00AF371C" w:rsidP="00AF371C">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p>
    <w:p w14:paraId="01399E0B" w14:textId="77777777" w:rsidR="00AF371C" w:rsidRPr="00A046EB"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pPr>
      <w:r>
        <w:rPr>
          <w:i/>
        </w:rPr>
        <w:t>Zlín je ojedinělý svou unikátní moderní funkcionalistickou urbanistickou strukturou.</w:t>
      </w:r>
    </w:p>
    <w:p w14:paraId="1A70B536" w14:textId="77777777" w:rsidR="00AF371C" w:rsidRPr="000D016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pPr>
      <w:r>
        <w:rPr>
          <w:i/>
        </w:rPr>
        <w:t>Město je z části tvořeno rozsáhlou Městskou památkovou zónou zahrnující lokality historického jádra města, bývalé továrny firmy Baťa a obytných čtvrtí převážně z období 1. pol. 20. století (asi 430 ha).</w:t>
      </w:r>
    </w:p>
    <w:p w14:paraId="70E48858" w14:textId="77777777" w:rsidR="00AF371C" w:rsidRPr="000D016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pPr>
      <w:r>
        <w:rPr>
          <w:i/>
        </w:rPr>
        <w:t>Město Zlín je jádrem širší Zlínské aglomerace, jejíž populační velikost je větší než 130 000 obyvatel.</w:t>
      </w:r>
    </w:p>
    <w:p w14:paraId="0A4F985D" w14:textId="77777777" w:rsidR="00AF371C" w:rsidRPr="000D016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pPr>
      <w:r>
        <w:rPr>
          <w:i/>
        </w:rPr>
        <w:t>V posledních letech byla realizována řada úspěšných projektů revitalizace veřejného prostoru.</w:t>
      </w:r>
    </w:p>
    <w:p w14:paraId="2A94D15F" w14:textId="77777777" w:rsidR="00AF371C" w:rsidRPr="000D016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pPr>
      <w:r>
        <w:rPr>
          <w:i/>
        </w:rPr>
        <w:t>Centrum města je fragmentováno procházejícími silničními komunikacemi s rušnou dopravou.</w:t>
      </w:r>
    </w:p>
    <w:p w14:paraId="2A30FC16" w14:textId="6E16E56F" w:rsidR="00AF371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Industriální Baťův areál v centru města je největší problémovou lokalitou (70 ha). V poslední době prochází v</w:t>
      </w:r>
      <w:r w:rsidRPr="000D016C">
        <w:rPr>
          <w:i/>
        </w:rPr>
        <w:t>ýchodní část Baťova areálu</w:t>
      </w:r>
      <w:r>
        <w:rPr>
          <w:i/>
        </w:rPr>
        <w:t xml:space="preserve"> revitalizací a</w:t>
      </w:r>
      <w:r w:rsidRPr="000D016C">
        <w:rPr>
          <w:i/>
        </w:rPr>
        <w:t xml:space="preserve"> začleňuje</w:t>
      </w:r>
      <w:r w:rsidR="00844A4B">
        <w:rPr>
          <w:i/>
        </w:rPr>
        <w:t xml:space="preserve"> se</w:t>
      </w:r>
      <w:r w:rsidRPr="000D016C">
        <w:rPr>
          <w:i/>
        </w:rPr>
        <w:t xml:space="preserve"> do širšího centra města</w:t>
      </w:r>
      <w:r>
        <w:rPr>
          <w:i/>
        </w:rPr>
        <w:t>, také díky umístění řady veřejných institucí</w:t>
      </w:r>
      <w:r w:rsidRPr="000D016C">
        <w:rPr>
          <w:i/>
        </w:rPr>
        <w:t xml:space="preserve">. Západní část má průmyslový charakter, podstatná část </w:t>
      </w:r>
      <w:r>
        <w:rPr>
          <w:i/>
        </w:rPr>
        <w:t>zůstává</w:t>
      </w:r>
      <w:r w:rsidRPr="000D016C">
        <w:rPr>
          <w:i/>
        </w:rPr>
        <w:t xml:space="preserve"> zanedbaná</w:t>
      </w:r>
      <w:r>
        <w:rPr>
          <w:i/>
        </w:rPr>
        <w:t>.</w:t>
      </w:r>
    </w:p>
    <w:p w14:paraId="344391EA" w14:textId="77777777" w:rsidR="00AF371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Rozvíjející se Univerzita Tomáše Bati může být ve spolupráci s inovativními firmami zdrojem rozvoje znalostní ekonomiky a kvalifikovaných pracovních příležitostí.</w:t>
      </w:r>
    </w:p>
    <w:p w14:paraId="1F418125" w14:textId="0907E151" w:rsidR="00AF371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Nová urbanistická koncepce by měla zohledňovat požadavky moderního univerzitního města a</w:t>
      </w:r>
      <w:r w:rsidR="00844A4B">
        <w:rPr>
          <w:i/>
        </w:rPr>
        <w:t> </w:t>
      </w:r>
      <w:r>
        <w:rPr>
          <w:i/>
        </w:rPr>
        <w:t>zároveň respektovat základy funkcionalistického urbanismu, který je zdrojem identity Zlína.</w:t>
      </w:r>
    </w:p>
    <w:p w14:paraId="2F0438B1" w14:textId="77777777" w:rsidR="00AF371C"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Potenciál extenzivního růstu města je limitován vnějšími okolnostmi, alternativy růstu (intenzifikace či přestavba) jsou procesně náročné.</w:t>
      </w:r>
    </w:p>
    <w:p w14:paraId="4FFFA662" w14:textId="77777777" w:rsidR="00AF371C" w:rsidRPr="00C131F9" w:rsidRDefault="00AF371C" w:rsidP="00AF371C">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Město má velký potenciál dalšího rozvoje svých veřejných prostranství.</w:t>
      </w:r>
    </w:p>
    <w:p w14:paraId="1D9ECD67" w14:textId="77777777" w:rsidR="00AF371C" w:rsidRDefault="00AF371C" w:rsidP="00AF371C">
      <w:pPr>
        <w:spacing w:before="0" w:after="160" w:line="259" w:lineRule="auto"/>
        <w:jc w:val="left"/>
      </w:pPr>
      <w:r>
        <w:br w:type="page"/>
      </w:r>
    </w:p>
    <w:p w14:paraId="703AAD0D" w14:textId="77777777" w:rsidR="00AF371C" w:rsidRPr="00EF4C6A" w:rsidRDefault="00AF371C" w:rsidP="00AF371C">
      <w:pPr>
        <w:pStyle w:val="Nadpis3"/>
        <w:ind w:left="720"/>
      </w:pPr>
      <w:bookmarkStart w:id="52" w:name="_Toc52960766"/>
      <w:bookmarkStart w:id="53" w:name="_Toc77074577"/>
      <w:r>
        <w:lastRenderedPageBreak/>
        <w:t>SWOT analýza</w:t>
      </w:r>
      <w:bookmarkEnd w:id="52"/>
      <w:bookmarkEnd w:id="53"/>
    </w:p>
    <w:p w14:paraId="160DB440" w14:textId="77777777" w:rsidR="00AF371C" w:rsidRDefault="00AF371C" w:rsidP="00AF371C"/>
    <w:tbl>
      <w:tblPr>
        <w:tblStyle w:val="Mkatabulky2"/>
        <w:tblW w:w="0" w:type="auto"/>
        <w:tblLook w:val="04A0" w:firstRow="1" w:lastRow="0" w:firstColumn="1" w:lastColumn="0" w:noHBand="0" w:noVBand="1"/>
      </w:tblPr>
      <w:tblGrid>
        <w:gridCol w:w="4533"/>
        <w:gridCol w:w="4529"/>
      </w:tblGrid>
      <w:tr w:rsidR="00AF371C" w:rsidRPr="00BC1A35" w14:paraId="182DC90C" w14:textId="77777777" w:rsidTr="00047BE4">
        <w:trPr>
          <w:cantSplit/>
          <w:tblHeader/>
        </w:trPr>
        <w:tc>
          <w:tcPr>
            <w:tcW w:w="4533" w:type="dxa"/>
            <w:shd w:val="clear" w:color="auto" w:fill="FF7C80"/>
          </w:tcPr>
          <w:p w14:paraId="26C8BDB7" w14:textId="77777777" w:rsidR="00AF371C" w:rsidRPr="00BC1A35" w:rsidRDefault="00AF371C" w:rsidP="00047BE4">
            <w:pPr>
              <w:spacing w:before="0"/>
              <w:jc w:val="center"/>
              <w:rPr>
                <w:b/>
                <w:szCs w:val="24"/>
              </w:rPr>
            </w:pPr>
            <w:r w:rsidRPr="00BC1A35">
              <w:rPr>
                <w:b/>
                <w:szCs w:val="24"/>
              </w:rPr>
              <w:t>SILNÉ STRÁNKY</w:t>
            </w:r>
          </w:p>
        </w:tc>
        <w:tc>
          <w:tcPr>
            <w:tcW w:w="4530" w:type="dxa"/>
            <w:shd w:val="clear" w:color="auto" w:fill="B8CCE4"/>
          </w:tcPr>
          <w:p w14:paraId="7E22CD60" w14:textId="77777777" w:rsidR="00AF371C" w:rsidRPr="00BC1A35" w:rsidRDefault="00AF371C" w:rsidP="00047BE4">
            <w:pPr>
              <w:spacing w:before="0"/>
              <w:jc w:val="center"/>
              <w:rPr>
                <w:b/>
                <w:szCs w:val="24"/>
              </w:rPr>
            </w:pPr>
            <w:r w:rsidRPr="00BC1A35">
              <w:rPr>
                <w:b/>
                <w:szCs w:val="24"/>
              </w:rPr>
              <w:t>SLABÉ STRÁNKY</w:t>
            </w:r>
          </w:p>
        </w:tc>
      </w:tr>
      <w:tr w:rsidR="00AF371C" w:rsidRPr="00BC1A35" w14:paraId="34DA18CD" w14:textId="77777777" w:rsidTr="00047BE4">
        <w:trPr>
          <w:cantSplit/>
          <w:trHeight w:val="3177"/>
        </w:trPr>
        <w:tc>
          <w:tcPr>
            <w:tcW w:w="4533" w:type="dxa"/>
            <w:shd w:val="clear" w:color="auto" w:fill="FFDDDD"/>
          </w:tcPr>
          <w:p w14:paraId="2F869DDD" w14:textId="77777777" w:rsidR="00AF371C" w:rsidRPr="0045137D" w:rsidRDefault="00AF371C" w:rsidP="00047BE4">
            <w:pPr>
              <w:suppressAutoHyphens/>
              <w:spacing w:before="0"/>
              <w:ind w:left="171"/>
              <w:contextualSpacing/>
              <w:jc w:val="left"/>
              <w:rPr>
                <w:sz w:val="12"/>
                <w:szCs w:val="24"/>
              </w:rPr>
            </w:pPr>
          </w:p>
          <w:p w14:paraId="5A62EC38" w14:textId="6A2ED79F" w:rsidR="00AF371C" w:rsidRPr="008A060E" w:rsidRDefault="00AF371C" w:rsidP="00AF371C">
            <w:pPr>
              <w:pStyle w:val="Odstavecseseznamem"/>
              <w:numPr>
                <w:ilvl w:val="0"/>
                <w:numId w:val="12"/>
              </w:numPr>
              <w:suppressAutoHyphens/>
              <w:spacing w:before="0" w:after="160"/>
              <w:ind w:left="171" w:hanging="142"/>
              <w:jc w:val="left"/>
              <w:rPr>
                <w:szCs w:val="24"/>
              </w:rPr>
            </w:pPr>
            <w:r>
              <w:t>Historicky ucelená urbanistická koncepce města vycházející ze zásad funkcionalismu, unikátní městský soubor vysoké architektonické a</w:t>
            </w:r>
            <w:r w:rsidR="00844A4B">
              <w:t> </w:t>
            </w:r>
            <w:r>
              <w:t>urbanistické kvality, který je předmětem památkové ochrany.</w:t>
            </w:r>
          </w:p>
          <w:p w14:paraId="200CFE62" w14:textId="77777777" w:rsidR="00AF371C" w:rsidRPr="008A060E" w:rsidRDefault="00AF371C" w:rsidP="00AF371C">
            <w:pPr>
              <w:pStyle w:val="Odstavecseseznamem"/>
              <w:numPr>
                <w:ilvl w:val="0"/>
                <w:numId w:val="12"/>
              </w:numPr>
              <w:suppressAutoHyphens/>
              <w:spacing w:before="0" w:after="160"/>
              <w:ind w:left="171" w:hanging="142"/>
              <w:jc w:val="left"/>
              <w:rPr>
                <w:szCs w:val="24"/>
              </w:rPr>
            </w:pPr>
            <w:r>
              <w:t>Koncepce města jako zahradního města, vysoký podíl zelených ploch.</w:t>
            </w:r>
          </w:p>
          <w:p w14:paraId="2D87A781" w14:textId="77777777" w:rsidR="00AF371C" w:rsidRPr="0092398A" w:rsidRDefault="00AF371C" w:rsidP="00AF371C">
            <w:pPr>
              <w:pStyle w:val="Odstavecseseznamem"/>
              <w:numPr>
                <w:ilvl w:val="0"/>
                <w:numId w:val="12"/>
              </w:numPr>
              <w:suppressAutoHyphens/>
              <w:spacing w:before="0" w:after="160"/>
              <w:ind w:left="171" w:hanging="142"/>
              <w:jc w:val="left"/>
              <w:rPr>
                <w:szCs w:val="24"/>
              </w:rPr>
            </w:pPr>
            <w:r>
              <w:t>Atraktivní přírodní okolí města.</w:t>
            </w:r>
          </w:p>
          <w:p w14:paraId="4831D8A7" w14:textId="77777777" w:rsidR="00AF371C" w:rsidRPr="006A7F00" w:rsidRDefault="00AF371C" w:rsidP="00AF371C">
            <w:pPr>
              <w:pStyle w:val="Odstavecseseznamem"/>
              <w:numPr>
                <w:ilvl w:val="0"/>
                <w:numId w:val="12"/>
              </w:numPr>
              <w:suppressAutoHyphens/>
              <w:spacing w:before="0" w:after="160"/>
              <w:ind w:left="171" w:hanging="142"/>
              <w:jc w:val="left"/>
              <w:rPr>
                <w:szCs w:val="24"/>
              </w:rPr>
            </w:pPr>
            <w:r>
              <w:t>Proběhlé projekty revitalizace veřejného prostoru, které vedly k jeho zkvalitnění.</w:t>
            </w:r>
          </w:p>
          <w:p w14:paraId="3B5161E0" w14:textId="77777777" w:rsidR="00AF371C" w:rsidRPr="006A7F00" w:rsidRDefault="00AF371C" w:rsidP="00AF371C">
            <w:pPr>
              <w:pStyle w:val="Odstavecseseznamem"/>
              <w:numPr>
                <w:ilvl w:val="0"/>
                <w:numId w:val="12"/>
              </w:numPr>
              <w:suppressAutoHyphens/>
              <w:spacing w:before="0" w:after="160"/>
              <w:ind w:left="171" w:hanging="142"/>
              <w:jc w:val="left"/>
              <w:rPr>
                <w:szCs w:val="24"/>
              </w:rPr>
            </w:pPr>
            <w:r>
              <w:t xml:space="preserve">Zlín jako centrum Zlínské aglomerace s více než </w:t>
            </w:r>
            <w:r w:rsidRPr="006A7F00">
              <w:t>130 000</w:t>
            </w:r>
            <w:r>
              <w:t xml:space="preserve"> obyvateli.</w:t>
            </w:r>
          </w:p>
          <w:p w14:paraId="3C2494BC" w14:textId="77777777" w:rsidR="00AF371C" w:rsidRPr="00BC1A35" w:rsidRDefault="00AF371C" w:rsidP="00AF371C">
            <w:pPr>
              <w:pStyle w:val="Odstavecseseznamem"/>
              <w:numPr>
                <w:ilvl w:val="0"/>
                <w:numId w:val="12"/>
              </w:numPr>
              <w:suppressAutoHyphens/>
              <w:spacing w:before="0" w:after="160"/>
              <w:ind w:left="171" w:hanging="142"/>
              <w:jc w:val="left"/>
              <w:rPr>
                <w:szCs w:val="24"/>
              </w:rPr>
            </w:pPr>
            <w:r>
              <w:t>Existence Univerzity Tomáše Bati jako silného aktéra rozvoje území.</w:t>
            </w:r>
          </w:p>
        </w:tc>
        <w:tc>
          <w:tcPr>
            <w:tcW w:w="4530" w:type="dxa"/>
            <w:shd w:val="clear" w:color="auto" w:fill="EEF3F8"/>
          </w:tcPr>
          <w:p w14:paraId="626AB946" w14:textId="77777777" w:rsidR="00AF371C" w:rsidRPr="0045137D" w:rsidRDefault="00AF371C" w:rsidP="00047BE4">
            <w:pPr>
              <w:suppressAutoHyphens/>
              <w:spacing w:before="0"/>
              <w:ind w:left="175"/>
              <w:contextualSpacing/>
              <w:jc w:val="left"/>
              <w:rPr>
                <w:sz w:val="12"/>
                <w:szCs w:val="12"/>
              </w:rPr>
            </w:pPr>
          </w:p>
          <w:p w14:paraId="3352AF7C" w14:textId="77777777" w:rsidR="00AF371C" w:rsidRPr="0092398A" w:rsidRDefault="00AF371C" w:rsidP="00AF371C">
            <w:pPr>
              <w:numPr>
                <w:ilvl w:val="0"/>
                <w:numId w:val="33"/>
              </w:numPr>
              <w:spacing w:before="0"/>
              <w:jc w:val="left"/>
              <w:rPr>
                <w:szCs w:val="24"/>
              </w:rPr>
            </w:pPr>
            <w:r>
              <w:t>Limitující rozvoj v důsledku umístění města v údolí.</w:t>
            </w:r>
          </w:p>
          <w:p w14:paraId="062307F5" w14:textId="77777777" w:rsidR="00AF371C" w:rsidRPr="0092398A" w:rsidRDefault="00AF371C" w:rsidP="00AF371C">
            <w:pPr>
              <w:numPr>
                <w:ilvl w:val="0"/>
                <w:numId w:val="33"/>
              </w:numPr>
              <w:spacing w:before="0"/>
              <w:jc w:val="left"/>
              <w:rPr>
                <w:szCs w:val="24"/>
              </w:rPr>
            </w:pPr>
            <w:r>
              <w:t>Horší dopravní napojení na národní a mezinárodní dopravní infrastrukturu a železniční síť.</w:t>
            </w:r>
          </w:p>
          <w:p w14:paraId="08F508AA" w14:textId="77777777" w:rsidR="00AF371C" w:rsidRPr="0064283F" w:rsidRDefault="00AF371C" w:rsidP="00AF371C">
            <w:pPr>
              <w:numPr>
                <w:ilvl w:val="0"/>
                <w:numId w:val="33"/>
              </w:numPr>
              <w:spacing w:before="0"/>
              <w:jc w:val="left"/>
              <w:rPr>
                <w:szCs w:val="24"/>
              </w:rPr>
            </w:pPr>
            <w:r>
              <w:t>Intenzivní automobilová doprava procházející centrem města – zhoršení kvality veřejného prostoru.</w:t>
            </w:r>
          </w:p>
          <w:p w14:paraId="3B5A2040" w14:textId="77777777" w:rsidR="00AF371C" w:rsidRPr="0092398A" w:rsidRDefault="00AF371C" w:rsidP="00AF371C">
            <w:pPr>
              <w:numPr>
                <w:ilvl w:val="0"/>
                <w:numId w:val="33"/>
              </w:numPr>
              <w:spacing w:before="0"/>
              <w:jc w:val="left"/>
              <w:rPr>
                <w:szCs w:val="24"/>
              </w:rPr>
            </w:pPr>
            <w:r>
              <w:t>Absence dlouhodobé rozvojové urbanistické koncepce města.</w:t>
            </w:r>
          </w:p>
          <w:p w14:paraId="0B93FD76" w14:textId="77777777" w:rsidR="00AF371C" w:rsidRDefault="00AF371C" w:rsidP="00AF371C">
            <w:pPr>
              <w:numPr>
                <w:ilvl w:val="0"/>
                <w:numId w:val="33"/>
              </w:numPr>
              <w:spacing w:before="0"/>
              <w:jc w:val="left"/>
              <w:rPr>
                <w:szCs w:val="24"/>
              </w:rPr>
            </w:pPr>
            <w:r>
              <w:rPr>
                <w:szCs w:val="24"/>
              </w:rPr>
              <w:t xml:space="preserve">Absence Plánu ochrany pro Městské památkové zóny Zlín. </w:t>
            </w:r>
          </w:p>
          <w:p w14:paraId="476F52E9" w14:textId="77777777" w:rsidR="00AF371C" w:rsidRDefault="00AF371C" w:rsidP="00AF371C">
            <w:pPr>
              <w:numPr>
                <w:ilvl w:val="0"/>
                <w:numId w:val="33"/>
              </w:numPr>
              <w:spacing w:before="0"/>
              <w:jc w:val="left"/>
              <w:rPr>
                <w:szCs w:val="24"/>
              </w:rPr>
            </w:pPr>
            <w:r>
              <w:rPr>
                <w:szCs w:val="24"/>
              </w:rPr>
              <w:t>Nerespektování památkové ochrany vlastníky objektů památkové zóny.</w:t>
            </w:r>
          </w:p>
          <w:p w14:paraId="14CC9395" w14:textId="77777777" w:rsidR="00AF371C" w:rsidRDefault="00AF371C" w:rsidP="00AF371C">
            <w:pPr>
              <w:numPr>
                <w:ilvl w:val="0"/>
                <w:numId w:val="33"/>
              </w:numPr>
              <w:spacing w:before="0"/>
              <w:jc w:val="left"/>
              <w:rPr>
                <w:szCs w:val="24"/>
              </w:rPr>
            </w:pPr>
            <w:r>
              <w:rPr>
                <w:szCs w:val="24"/>
              </w:rPr>
              <w:t>Kompetence kanceláře hlavního architekta.</w:t>
            </w:r>
          </w:p>
          <w:p w14:paraId="074673EE" w14:textId="77777777" w:rsidR="00AF371C" w:rsidRPr="00A046EB" w:rsidRDefault="00AF371C" w:rsidP="00047BE4">
            <w:pPr>
              <w:pStyle w:val="Odstavecseseznamem"/>
              <w:spacing w:before="0"/>
              <w:ind w:left="170"/>
              <w:jc w:val="left"/>
              <w:rPr>
                <w:szCs w:val="24"/>
              </w:rPr>
            </w:pPr>
          </w:p>
        </w:tc>
      </w:tr>
    </w:tbl>
    <w:p w14:paraId="2DF631D0" w14:textId="77777777" w:rsidR="00AF371C" w:rsidRDefault="00AF371C" w:rsidP="00AF371C"/>
    <w:tbl>
      <w:tblPr>
        <w:tblStyle w:val="Mkatabulky1"/>
        <w:tblW w:w="0" w:type="auto"/>
        <w:tblLook w:val="04A0" w:firstRow="1" w:lastRow="0" w:firstColumn="1" w:lastColumn="0" w:noHBand="0" w:noVBand="1"/>
      </w:tblPr>
      <w:tblGrid>
        <w:gridCol w:w="4534"/>
        <w:gridCol w:w="4528"/>
      </w:tblGrid>
      <w:tr w:rsidR="00AF371C" w:rsidRPr="00BC1A35" w14:paraId="6F80BCDB" w14:textId="77777777" w:rsidTr="00047BE4">
        <w:trPr>
          <w:cantSplit/>
          <w:tblHeader/>
        </w:trPr>
        <w:tc>
          <w:tcPr>
            <w:tcW w:w="4535" w:type="dxa"/>
            <w:shd w:val="clear" w:color="auto" w:fill="F79646"/>
          </w:tcPr>
          <w:p w14:paraId="58E1BB06" w14:textId="77777777" w:rsidR="00AF371C" w:rsidRPr="00BC1A35" w:rsidRDefault="00AF371C" w:rsidP="00047BE4">
            <w:pPr>
              <w:spacing w:before="0"/>
              <w:jc w:val="center"/>
              <w:rPr>
                <w:b/>
                <w:szCs w:val="24"/>
              </w:rPr>
            </w:pPr>
            <w:r w:rsidRPr="00BC1A35">
              <w:rPr>
                <w:b/>
                <w:szCs w:val="24"/>
              </w:rPr>
              <w:t>PŘÍLEŽITOSTI</w:t>
            </w:r>
          </w:p>
        </w:tc>
        <w:tc>
          <w:tcPr>
            <w:tcW w:w="4528" w:type="dxa"/>
            <w:shd w:val="clear" w:color="auto" w:fill="B2A1C7"/>
          </w:tcPr>
          <w:p w14:paraId="66D0B370" w14:textId="77777777" w:rsidR="00AF371C" w:rsidRPr="00BC1A35" w:rsidRDefault="00AF371C" w:rsidP="00047BE4">
            <w:pPr>
              <w:spacing w:before="0"/>
              <w:jc w:val="center"/>
              <w:rPr>
                <w:b/>
                <w:szCs w:val="24"/>
              </w:rPr>
            </w:pPr>
            <w:r w:rsidRPr="00BC1A35">
              <w:rPr>
                <w:b/>
                <w:szCs w:val="24"/>
              </w:rPr>
              <w:t>HROZBY</w:t>
            </w:r>
          </w:p>
        </w:tc>
      </w:tr>
      <w:tr w:rsidR="00AF371C" w:rsidRPr="00BC1A35" w14:paraId="556B76B7" w14:textId="77777777" w:rsidTr="00047BE4">
        <w:trPr>
          <w:cantSplit/>
          <w:trHeight w:val="4484"/>
        </w:trPr>
        <w:tc>
          <w:tcPr>
            <w:tcW w:w="4535" w:type="dxa"/>
            <w:shd w:val="clear" w:color="auto" w:fill="FEF7CE"/>
          </w:tcPr>
          <w:p w14:paraId="38DA1059" w14:textId="77777777" w:rsidR="00AF371C" w:rsidRDefault="00AF371C" w:rsidP="00047BE4">
            <w:pPr>
              <w:suppressAutoHyphens/>
              <w:spacing w:before="0"/>
              <w:ind w:left="171"/>
              <w:contextualSpacing/>
              <w:jc w:val="left"/>
              <w:rPr>
                <w:szCs w:val="24"/>
                <w:highlight w:val="yellow"/>
              </w:rPr>
            </w:pPr>
          </w:p>
          <w:p w14:paraId="20B20AAA" w14:textId="4A86157D" w:rsidR="00AF371C" w:rsidRDefault="00AF371C" w:rsidP="00AF371C">
            <w:pPr>
              <w:pStyle w:val="Odstavecseseznamem"/>
              <w:numPr>
                <w:ilvl w:val="0"/>
                <w:numId w:val="12"/>
              </w:numPr>
              <w:suppressAutoHyphens/>
              <w:spacing w:before="0" w:after="160"/>
              <w:ind w:left="313" w:hanging="219"/>
              <w:jc w:val="left"/>
              <w:rPr>
                <w:szCs w:val="24"/>
              </w:rPr>
            </w:pPr>
            <w:r>
              <w:rPr>
                <w:szCs w:val="24"/>
              </w:rPr>
              <w:t>Vytvoření dlouhodobé rozvojové koncepce a</w:t>
            </w:r>
            <w:r w:rsidR="00844A4B">
              <w:rPr>
                <w:szCs w:val="24"/>
              </w:rPr>
              <w:t> </w:t>
            </w:r>
            <w:r>
              <w:rPr>
                <w:szCs w:val="24"/>
              </w:rPr>
              <w:t>rozvoj města v souladu s koncepcí.</w:t>
            </w:r>
          </w:p>
          <w:p w14:paraId="694FD78C" w14:textId="77777777" w:rsidR="00AF371C" w:rsidRPr="00481B13" w:rsidRDefault="00AF371C" w:rsidP="00AF371C">
            <w:pPr>
              <w:pStyle w:val="Odstavecseseznamem"/>
              <w:numPr>
                <w:ilvl w:val="0"/>
                <w:numId w:val="12"/>
              </w:numPr>
              <w:suppressAutoHyphens/>
              <w:spacing w:before="0" w:after="160"/>
              <w:ind w:left="313" w:hanging="219"/>
              <w:jc w:val="left"/>
              <w:rPr>
                <w:szCs w:val="24"/>
              </w:rPr>
            </w:pPr>
            <w:r>
              <w:rPr>
                <w:szCs w:val="24"/>
              </w:rPr>
              <w:t>Iniciativní role města v procesech urbanistické přestavby (komunikace, návrhy, metodiky, propagace, popularizace).</w:t>
            </w:r>
          </w:p>
          <w:p w14:paraId="370D141D"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Pokračování v trendu revitalizace veřejného prostoru a památkově chráněných budov.</w:t>
            </w:r>
          </w:p>
          <w:p w14:paraId="0BC978DA"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Revitalizace Baťova areálu a jeho začlenění do širšího centra.</w:t>
            </w:r>
          </w:p>
          <w:p w14:paraId="4B2DEE47"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Dosažení vysokého standardu nově vznikající architektury v souladu s tradicí Zlína.</w:t>
            </w:r>
          </w:p>
          <w:p w14:paraId="3C1B04A4"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Využití potenciálu Univerzity Tomáše Bati při rozvoji znalostní ekonomiky.</w:t>
            </w:r>
          </w:p>
          <w:p w14:paraId="738DE22A"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Podpora zachování vysokého podílu zelených ploch ve veřejném prostoru vycházející z koncepce zahradního města.</w:t>
            </w:r>
          </w:p>
          <w:p w14:paraId="252A5640"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Rozvoj města v souladu s podporou kvalitního životního prostředí.</w:t>
            </w:r>
          </w:p>
          <w:p w14:paraId="643BABCA"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Podpora dostupnosti bydlení.</w:t>
            </w:r>
          </w:p>
          <w:p w14:paraId="603A5CB7"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Spolupráce města při modernizaci stavebního fondu.</w:t>
            </w:r>
          </w:p>
          <w:p w14:paraId="3A03CDBE" w14:textId="77777777" w:rsidR="00AF371C" w:rsidRPr="00B221E4" w:rsidRDefault="00AF371C" w:rsidP="00AF371C">
            <w:pPr>
              <w:pStyle w:val="Odstavecseseznamem"/>
              <w:numPr>
                <w:ilvl w:val="0"/>
                <w:numId w:val="12"/>
              </w:numPr>
              <w:suppressAutoHyphens/>
              <w:spacing w:before="0" w:after="160"/>
              <w:ind w:left="313" w:hanging="219"/>
              <w:jc w:val="left"/>
              <w:rPr>
                <w:szCs w:val="24"/>
              </w:rPr>
            </w:pPr>
            <w:r>
              <w:t>Regenerace obytných čtvrtí včetně panelových sídlišť.</w:t>
            </w:r>
          </w:p>
          <w:p w14:paraId="3EF8D621"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Přiměřená intenzifikace stávající zástavby.</w:t>
            </w:r>
          </w:p>
          <w:p w14:paraId="6B3B7D3D" w14:textId="53916E9C" w:rsidR="00AF371C" w:rsidRDefault="00AF371C" w:rsidP="00AF371C">
            <w:pPr>
              <w:pStyle w:val="Odstavecseseznamem"/>
              <w:numPr>
                <w:ilvl w:val="0"/>
                <w:numId w:val="12"/>
              </w:numPr>
              <w:suppressAutoHyphens/>
              <w:spacing w:before="0" w:after="160"/>
              <w:ind w:left="313" w:hanging="219"/>
              <w:jc w:val="left"/>
              <w:rPr>
                <w:szCs w:val="24"/>
              </w:rPr>
            </w:pPr>
            <w:r>
              <w:t>Kvalitní obnova památkově hodnotných objektů a</w:t>
            </w:r>
            <w:r w:rsidR="00844A4B">
              <w:t> </w:t>
            </w:r>
            <w:r>
              <w:t>souborů.</w:t>
            </w:r>
          </w:p>
          <w:p w14:paraId="6440716A" w14:textId="77777777" w:rsidR="00AF371C" w:rsidRDefault="00AF371C" w:rsidP="00AF371C">
            <w:pPr>
              <w:pStyle w:val="Odstavecseseznamem"/>
              <w:numPr>
                <w:ilvl w:val="0"/>
                <w:numId w:val="12"/>
              </w:numPr>
              <w:suppressAutoHyphens/>
              <w:spacing w:before="0" w:after="160"/>
              <w:ind w:left="313" w:hanging="219"/>
              <w:jc w:val="left"/>
              <w:rPr>
                <w:szCs w:val="24"/>
              </w:rPr>
            </w:pPr>
            <w:r>
              <w:rPr>
                <w:szCs w:val="24"/>
              </w:rPr>
              <w:t>Realizace opatření usměrňující dopravu v centru města.</w:t>
            </w:r>
          </w:p>
          <w:p w14:paraId="174BCAD9" w14:textId="77777777" w:rsidR="00AF371C" w:rsidRPr="00C131F9" w:rsidRDefault="00AF371C" w:rsidP="00AF371C">
            <w:pPr>
              <w:pStyle w:val="Odstavecseseznamem"/>
              <w:numPr>
                <w:ilvl w:val="0"/>
                <w:numId w:val="12"/>
              </w:numPr>
              <w:suppressAutoHyphens/>
              <w:spacing w:before="0" w:after="160"/>
              <w:ind w:left="313" w:hanging="219"/>
              <w:jc w:val="left"/>
              <w:rPr>
                <w:szCs w:val="24"/>
              </w:rPr>
            </w:pPr>
            <w:r>
              <w:rPr>
                <w:szCs w:val="24"/>
              </w:rPr>
              <w:t>Podpora alternativních způsobů dopravy na úkor IAD (železnice, trolejbusy, cyklistika apod.).</w:t>
            </w:r>
          </w:p>
        </w:tc>
        <w:tc>
          <w:tcPr>
            <w:tcW w:w="4528" w:type="dxa"/>
            <w:shd w:val="clear" w:color="auto" w:fill="E5DFEC"/>
          </w:tcPr>
          <w:p w14:paraId="51B1AA6B" w14:textId="77777777" w:rsidR="00AF371C" w:rsidRPr="007C6AE7" w:rsidRDefault="00AF371C" w:rsidP="00047BE4">
            <w:pPr>
              <w:suppressAutoHyphens/>
              <w:spacing w:before="0"/>
              <w:ind w:left="173"/>
              <w:contextualSpacing/>
              <w:jc w:val="left"/>
              <w:rPr>
                <w:szCs w:val="24"/>
              </w:rPr>
            </w:pPr>
          </w:p>
          <w:p w14:paraId="27E39E91" w14:textId="77777777" w:rsidR="00AF371C" w:rsidRPr="00A21DD7" w:rsidRDefault="00AF371C" w:rsidP="00AF371C">
            <w:pPr>
              <w:numPr>
                <w:ilvl w:val="0"/>
                <w:numId w:val="13"/>
              </w:numPr>
              <w:spacing w:before="0"/>
              <w:ind w:left="173" w:hanging="173"/>
              <w:jc w:val="left"/>
              <w:rPr>
                <w:szCs w:val="24"/>
              </w:rPr>
            </w:pPr>
            <w:r w:rsidRPr="00A21DD7">
              <w:rPr>
                <w:szCs w:val="24"/>
              </w:rPr>
              <w:t>Neorganizovaná zástavba nízké architektonické kvality, rozšiřování ploch „urban sprawl“.</w:t>
            </w:r>
          </w:p>
          <w:p w14:paraId="6246F664" w14:textId="77777777" w:rsidR="00AF371C" w:rsidRPr="0092398A" w:rsidRDefault="00AF371C" w:rsidP="00AF371C">
            <w:pPr>
              <w:numPr>
                <w:ilvl w:val="0"/>
                <w:numId w:val="13"/>
              </w:numPr>
              <w:spacing w:before="0"/>
              <w:ind w:left="173" w:hanging="173"/>
              <w:jc w:val="left"/>
              <w:rPr>
                <w:szCs w:val="24"/>
              </w:rPr>
            </w:pPr>
            <w:r>
              <w:t>Nárůst intenzity dopravy, který povede k vyšší fragmentaci prostoru centra.</w:t>
            </w:r>
          </w:p>
          <w:p w14:paraId="576752BD" w14:textId="77777777" w:rsidR="00AF371C" w:rsidRDefault="00AF371C" w:rsidP="00AF371C">
            <w:pPr>
              <w:numPr>
                <w:ilvl w:val="0"/>
                <w:numId w:val="13"/>
              </w:numPr>
              <w:spacing w:before="0"/>
              <w:ind w:left="173" w:hanging="173"/>
              <w:jc w:val="left"/>
              <w:rPr>
                <w:szCs w:val="24"/>
              </w:rPr>
            </w:pPr>
            <w:r>
              <w:rPr>
                <w:szCs w:val="24"/>
              </w:rPr>
              <w:t>Další vylidňování města Zlína a stárnutí populace.</w:t>
            </w:r>
          </w:p>
          <w:p w14:paraId="31DDF287" w14:textId="77777777" w:rsidR="00AF371C" w:rsidRDefault="00AF371C" w:rsidP="00AF371C">
            <w:pPr>
              <w:numPr>
                <w:ilvl w:val="0"/>
                <w:numId w:val="13"/>
              </w:numPr>
              <w:spacing w:before="0"/>
              <w:ind w:left="173" w:hanging="173"/>
              <w:jc w:val="left"/>
              <w:rPr>
                <w:szCs w:val="24"/>
              </w:rPr>
            </w:pPr>
            <w:r>
              <w:rPr>
                <w:szCs w:val="24"/>
              </w:rPr>
              <w:t>Limity v památkové zóně omezující další rozvoj lokalit.</w:t>
            </w:r>
          </w:p>
          <w:p w14:paraId="2AAE0507" w14:textId="77777777" w:rsidR="00AF371C" w:rsidRDefault="00AF371C" w:rsidP="00AF371C">
            <w:pPr>
              <w:numPr>
                <w:ilvl w:val="0"/>
                <w:numId w:val="13"/>
              </w:numPr>
              <w:spacing w:before="0"/>
              <w:ind w:left="173" w:hanging="173"/>
              <w:jc w:val="left"/>
              <w:rPr>
                <w:szCs w:val="24"/>
              </w:rPr>
            </w:pPr>
            <w:r>
              <w:rPr>
                <w:szCs w:val="24"/>
              </w:rPr>
              <w:t>Nedostatečná kapacita bytového fondu, nárůst cen bydlení.</w:t>
            </w:r>
          </w:p>
          <w:p w14:paraId="7103AB2A" w14:textId="77777777" w:rsidR="00AF371C" w:rsidRDefault="00AF371C" w:rsidP="00AF371C">
            <w:pPr>
              <w:numPr>
                <w:ilvl w:val="0"/>
                <w:numId w:val="13"/>
              </w:numPr>
              <w:spacing w:before="0"/>
              <w:ind w:left="173" w:hanging="173"/>
              <w:jc w:val="left"/>
              <w:rPr>
                <w:szCs w:val="24"/>
              </w:rPr>
            </w:pPr>
            <w:r>
              <w:rPr>
                <w:szCs w:val="24"/>
              </w:rPr>
              <w:t xml:space="preserve">Nedostatečná spolupráce s Univerzitou Tomáše Bati, nevyužití potenciálu. </w:t>
            </w:r>
          </w:p>
          <w:p w14:paraId="34CA715B" w14:textId="77777777" w:rsidR="00AF371C" w:rsidRPr="00FA35B8" w:rsidRDefault="00AF371C" w:rsidP="00AF371C">
            <w:pPr>
              <w:numPr>
                <w:ilvl w:val="0"/>
                <w:numId w:val="13"/>
              </w:numPr>
              <w:spacing w:before="0"/>
              <w:ind w:left="173" w:hanging="173"/>
              <w:jc w:val="left"/>
              <w:rPr>
                <w:szCs w:val="24"/>
              </w:rPr>
            </w:pPr>
            <w:r>
              <w:rPr>
                <w:szCs w:val="24"/>
              </w:rPr>
              <w:t>Nepředvídatelnost rozhodování veřejné správy v oblasti výstavby.</w:t>
            </w:r>
          </w:p>
        </w:tc>
      </w:tr>
    </w:tbl>
    <w:p w14:paraId="16B62F56" w14:textId="77777777" w:rsidR="00AF371C" w:rsidRDefault="00AF371C" w:rsidP="00AF371C"/>
    <w:p w14:paraId="5A367A1D" w14:textId="77777777" w:rsidR="00047BE4" w:rsidRDefault="00047BE4" w:rsidP="00047BE4">
      <w:pPr>
        <w:pStyle w:val="Nadpis2"/>
      </w:pPr>
      <w:bookmarkStart w:id="54" w:name="_Toc53037934"/>
      <w:bookmarkStart w:id="55" w:name="_Toc77074578"/>
      <w:bookmarkStart w:id="56" w:name="_Toc50468820"/>
      <w:bookmarkEnd w:id="7"/>
      <w:r>
        <w:lastRenderedPageBreak/>
        <w:t>Město s vysokou kvalitou života</w:t>
      </w:r>
      <w:bookmarkEnd w:id="54"/>
      <w:bookmarkEnd w:id="55"/>
      <w:r>
        <w:t xml:space="preserve"> </w:t>
      </w:r>
    </w:p>
    <w:p w14:paraId="76F78D96" w14:textId="77777777" w:rsidR="00047BE4" w:rsidRPr="00EA4301" w:rsidRDefault="00047BE4" w:rsidP="00047BE4">
      <w:pPr>
        <w:pStyle w:val="Nadpis3"/>
        <w:ind w:left="720"/>
      </w:pPr>
      <w:bookmarkStart w:id="57" w:name="_Toc53037935"/>
      <w:bookmarkStart w:id="58" w:name="_Toc77074579"/>
      <w:r w:rsidRPr="00EA4301">
        <w:t>Sociální dimenze</w:t>
      </w:r>
      <w:bookmarkEnd w:id="57"/>
      <w:bookmarkEnd w:id="58"/>
      <w:r w:rsidRPr="00EA4301">
        <w:t xml:space="preserve"> </w:t>
      </w:r>
    </w:p>
    <w:p w14:paraId="11FFB8A5" w14:textId="77777777" w:rsidR="00047BE4" w:rsidRPr="00EA4301" w:rsidRDefault="00047BE4" w:rsidP="00047BE4">
      <w:pPr>
        <w:pStyle w:val="Nadpis4"/>
        <w:ind w:left="864" w:hanging="864"/>
      </w:pPr>
      <w:r w:rsidRPr="00EA4301">
        <w:t xml:space="preserve">Populační vývoj města </w:t>
      </w:r>
    </w:p>
    <w:p w14:paraId="1A5B3CE1" w14:textId="77777777" w:rsidR="00047BE4" w:rsidRPr="001C77B7" w:rsidRDefault="00047BE4" w:rsidP="00047BE4">
      <w:pPr>
        <w:rPr>
          <w:b/>
        </w:rPr>
      </w:pPr>
      <w:r w:rsidRPr="00EA4301">
        <w:rPr>
          <w:b/>
        </w:rPr>
        <w:t xml:space="preserve">Počet obyvatel města Zlína má </w:t>
      </w:r>
      <w:r w:rsidRPr="00EA4301">
        <w:t xml:space="preserve">ve sledovaném období od roku 2001 </w:t>
      </w:r>
      <w:r w:rsidRPr="00EA4301">
        <w:rPr>
          <w:b/>
        </w:rPr>
        <w:t>klesající tendenci</w:t>
      </w:r>
      <w:r w:rsidRPr="00EA4301">
        <w:t>, kdy toto klesání je nejprve výraznější a od roku</w:t>
      </w:r>
      <w:r>
        <w:t xml:space="preserve"> 2006 pouze pozvolné. Výjimky představují roky 2011, 2016 a 2019, kdy k 1. 1. těchto let došlo k mírnému nárůstu obyvatel o 161, 59 a 50 obyvatel. Výrazný úbytek obyvatel mezi roky 2008 a 2009 je způsoben územní změnou, při které došlo k </w:t>
      </w:r>
      <w:r w:rsidRPr="003957C1">
        <w:t>oddělení obce Želechovice nad Dřevnicí</w:t>
      </w:r>
      <w:r>
        <w:t xml:space="preserve">. </w:t>
      </w:r>
      <w:r w:rsidRPr="001C77B7">
        <w:rPr>
          <w:b/>
        </w:rPr>
        <w:t>K 1. 1. 2020 m</w:t>
      </w:r>
      <w:r>
        <w:rPr>
          <w:b/>
        </w:rPr>
        <w:t>ěl</w:t>
      </w:r>
      <w:r w:rsidRPr="001C77B7">
        <w:rPr>
          <w:b/>
        </w:rPr>
        <w:t xml:space="preserve"> Zlín 74 935 obyvatel.</w:t>
      </w:r>
    </w:p>
    <w:p w14:paraId="393B3A49" w14:textId="5CB750BB" w:rsidR="00047BE4" w:rsidRDefault="00047BE4" w:rsidP="00047BE4">
      <w:pPr>
        <w:pStyle w:val="Titulek"/>
      </w:pPr>
      <w:bookmarkStart w:id="59" w:name="_Toc53037899"/>
      <w:bookmarkStart w:id="60" w:name="_Toc7707482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10</w:t>
      </w:r>
      <w:r w:rsidR="00804AF3">
        <w:rPr>
          <w:noProof/>
        </w:rPr>
        <w:fldChar w:fldCharType="end"/>
      </w:r>
      <w:r w:rsidR="00844A4B">
        <w:rPr>
          <w:noProof/>
        </w:rPr>
        <w:t>:</w:t>
      </w:r>
      <w:r>
        <w:t xml:space="preserve"> Počet obyvatel města Zlína od r. 2001</w:t>
      </w:r>
      <w:bookmarkEnd w:id="59"/>
      <w:bookmarkEnd w:id="60"/>
    </w:p>
    <w:p w14:paraId="3037E55A" w14:textId="641A30F8" w:rsidR="00047BE4" w:rsidRDefault="00047BE4" w:rsidP="00047BE4">
      <w:pPr>
        <w:rPr>
          <w:rStyle w:val="ZdrojChar"/>
          <w:rFonts w:eastAsiaTheme="minorHAnsi"/>
        </w:rPr>
      </w:pPr>
      <w:r>
        <w:rPr>
          <w:noProof/>
          <w:lang w:eastAsia="cs-CZ"/>
        </w:rPr>
        <w:drawing>
          <wp:inline distT="0" distB="0" distL="0" distR="0" wp14:anchorId="1CC86F36" wp14:editId="505F26C9">
            <wp:extent cx="5760000" cy="2281707"/>
            <wp:effectExtent l="0" t="0" r="0" b="444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2281707"/>
                    </a:xfrm>
                    <a:prstGeom prst="rect">
                      <a:avLst/>
                    </a:prstGeom>
                    <a:noFill/>
                  </pic:spPr>
                </pic:pic>
              </a:graphicData>
            </a:graphic>
          </wp:inline>
        </w:drawing>
      </w:r>
      <w:r w:rsidRPr="00E708E8">
        <w:rPr>
          <w:rStyle w:val="ZdrojChar"/>
          <w:rFonts w:eastAsiaTheme="minorHAnsi"/>
        </w:rPr>
        <w:t>Zdroj: ČSÚ, Veřejná databáze</w:t>
      </w:r>
      <w:r>
        <w:rPr>
          <w:rStyle w:val="ZdrojChar"/>
          <w:rFonts w:eastAsiaTheme="minorHAnsi"/>
        </w:rPr>
        <w:t>, data k 1. 1, daného roku</w:t>
      </w:r>
      <w:r w:rsidRPr="00E708E8">
        <w:rPr>
          <w:rStyle w:val="ZdrojChar"/>
          <w:rFonts w:eastAsiaTheme="minorHAnsi"/>
        </w:rPr>
        <w:t>; zpracování PROCES</w:t>
      </w:r>
      <w:r w:rsidR="00844A4B">
        <w:rPr>
          <w:rStyle w:val="ZdrojChar"/>
          <w:rFonts w:eastAsiaTheme="minorHAnsi"/>
        </w:rPr>
        <w:t>, 2020.</w:t>
      </w:r>
    </w:p>
    <w:p w14:paraId="6B667793" w14:textId="77777777" w:rsidR="00047BE4" w:rsidRDefault="00047BE4" w:rsidP="00047BE4">
      <w:r>
        <w:t xml:space="preserve">Při srovnání populačního vývoje Zlína od roku 2001 s dalšími velkými městy je vidět, že ačkoliv k poklesu počtu obyvatel docházelo od roku 2001 u všech porovnávaných měst, u většiny se tento trend postupně obrací a počet obyvatel opět narůstá. V Liberci se zvyšuje počet obyvatel již od roku 2006, v Pardubicích je vidět růst od roku 2007. </w:t>
      </w:r>
    </w:p>
    <w:p w14:paraId="55061FFD" w14:textId="77777777" w:rsidR="00047BE4" w:rsidRDefault="00047BE4" w:rsidP="00047BE4">
      <w:r>
        <w:t>V dalších porovnávaných městech České Budějovice a Olomouc už změna počtu obyvatel není tak výrazná a trendy klesání se střídají se stoupajícími, ve výsledku však v posledních letech u těchto měst lze pozorovat nárůst počtu obyvatel. Zlín se zde hodnotami řadí mezi neutrální města, neboť počet obyvatel sice klesá, ale nepočítáme-li územní změnu k roku 2009, pouze velmi pozvolně. Městem, kde obyvatel stále výrazněji ubývá, je Opava.</w:t>
      </w:r>
    </w:p>
    <w:p w14:paraId="670601CD" w14:textId="39AC2BBF" w:rsidR="00047BE4" w:rsidRPr="00C07BA2" w:rsidRDefault="00047BE4" w:rsidP="00047BE4">
      <w:pPr>
        <w:pStyle w:val="Titulek"/>
        <w:keepNext/>
      </w:pPr>
      <w:bookmarkStart w:id="61" w:name="_Toc53037900"/>
      <w:bookmarkStart w:id="62" w:name="_Toc77074829"/>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11</w:t>
      </w:r>
      <w:r w:rsidR="00804AF3">
        <w:rPr>
          <w:noProof/>
        </w:rPr>
        <w:fldChar w:fldCharType="end"/>
      </w:r>
      <w:r w:rsidR="00C27E38">
        <w:rPr>
          <w:noProof/>
        </w:rPr>
        <w:t>:</w:t>
      </w:r>
      <w:r>
        <w:t xml:space="preserve"> Index počtu obyvatel ve vybraných městech od r. 2001</w:t>
      </w:r>
      <w:bookmarkEnd w:id="61"/>
      <w:bookmarkEnd w:id="62"/>
    </w:p>
    <w:p w14:paraId="6C800DF4" w14:textId="096F742C" w:rsidR="00047BE4" w:rsidRDefault="00047BE4" w:rsidP="00047BE4">
      <w:pPr>
        <w:rPr>
          <w:rStyle w:val="ZdrojChar"/>
          <w:rFonts w:eastAsiaTheme="minorHAnsi"/>
        </w:rPr>
      </w:pPr>
      <w:r w:rsidRPr="00D93314">
        <w:rPr>
          <w:noProof/>
          <w:lang w:eastAsia="cs-CZ"/>
        </w:rPr>
        <mc:AlternateContent>
          <mc:Choice Requires="wps">
            <w:drawing>
              <wp:anchor distT="0" distB="0" distL="114300" distR="114300" simplePos="0" relativeHeight="251729920" behindDoc="0" locked="0" layoutInCell="1" allowOverlap="1" wp14:anchorId="6D5FC163" wp14:editId="0D8AE10A">
                <wp:simplePos x="0" y="0"/>
                <wp:positionH relativeFrom="column">
                  <wp:posOffset>1110687</wp:posOffset>
                </wp:positionH>
                <wp:positionV relativeFrom="paragraph">
                  <wp:posOffset>208076</wp:posOffset>
                </wp:positionV>
                <wp:extent cx="1099212" cy="233205"/>
                <wp:effectExtent l="0" t="0" r="0" b="0"/>
                <wp:wrapNone/>
                <wp:docPr id="23" name="TextovéPole 4"/>
                <wp:cNvGraphicFramePr/>
                <a:graphic xmlns:a="http://schemas.openxmlformats.org/drawingml/2006/main">
                  <a:graphicData uri="http://schemas.microsoft.com/office/word/2010/wordprocessingShape">
                    <wps:wsp>
                      <wps:cNvSpPr txBox="1"/>
                      <wps:spPr>
                        <a:xfrm>
                          <a:off x="0" y="0"/>
                          <a:ext cx="1099212"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ED04DF1" w14:textId="77777777" w:rsidR="00332A29" w:rsidRDefault="00332A29" w:rsidP="00047BE4">
                            <w:pPr>
                              <w:pStyle w:val="Normlnweb"/>
                              <w:spacing w:before="0" w:beforeAutospacing="0" w:after="0" w:afterAutospacing="0"/>
                            </w:pPr>
                            <w:r>
                              <w:rPr>
                                <w:rFonts w:asciiTheme="minorHAnsi" w:hAnsi="Calibri" w:cstheme="minorBidi"/>
                                <w:color w:val="262626" w:themeColor="text1" w:themeTint="D9"/>
                                <w:sz w:val="18"/>
                                <w:szCs w:val="18"/>
                              </w:rPr>
                              <w:t>Revize dat dle SLDB</w:t>
                            </w:r>
                          </w:p>
                        </w:txbxContent>
                      </wps:txbx>
                      <wps:bodyPr vertOverflow="clip" horzOverflow="clip" wrap="none" rtlCol="0" anchor="t">
                        <a:spAutoFit/>
                      </wps:bodyPr>
                    </wps:wsp>
                  </a:graphicData>
                </a:graphic>
              </wp:anchor>
            </w:drawing>
          </mc:Choice>
          <mc:Fallback>
            <w:pict>
              <v:shape w14:anchorId="6D5FC163" id="TextovéPole 4" o:spid="_x0000_s1027" type="#_x0000_t202" style="position:absolute;left:0;text-align:left;margin-left:87.45pt;margin-top:16.4pt;width:86.55pt;height:18.35pt;z-index:251729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" filled="f" stroked="f">
                <v:textbox style="mso-fit-shape-to-text:t">
                  <w:txbxContent>
                    <w:p w14:paraId="3ED04DF1" w14:textId="77777777" w:rsidR="00332A29" w:rsidRDefault="00332A29" w:rsidP="00047BE4">
                      <w:pPr>
                        <w:pStyle w:val="Normlnweb"/>
                        <w:spacing w:before="0" w:beforeAutospacing="0" w:after="0" w:afterAutospacing="0"/>
                      </w:pPr>
                      <w:r>
                        <w:rPr>
                          <w:rFonts w:asciiTheme="minorHAnsi" w:hAnsi="Calibri" w:cstheme="minorBidi"/>
                          <w:color w:val="262626" w:themeColor="text1" w:themeTint="D9"/>
                          <w:sz w:val="18"/>
                          <w:szCs w:val="18"/>
                        </w:rPr>
                        <w:t>Revize dat dle SLDB</w:t>
                      </w:r>
                    </w:p>
                  </w:txbxContent>
                </v:textbox>
              </v:shape>
            </w:pict>
          </mc:Fallback>
        </mc:AlternateContent>
      </w:r>
      <w:r>
        <w:rPr>
          <w:noProof/>
          <w:lang w:eastAsia="cs-CZ"/>
        </w:rPr>
        <mc:AlternateContent>
          <mc:Choice Requires="wps">
            <w:drawing>
              <wp:anchor distT="0" distB="0" distL="114300" distR="114300" simplePos="0" relativeHeight="251728896" behindDoc="0" locked="0" layoutInCell="1" allowOverlap="1" wp14:anchorId="23E7E9AB" wp14:editId="12FBFEF8">
                <wp:simplePos x="0" y="0"/>
                <wp:positionH relativeFrom="column">
                  <wp:posOffset>1031935</wp:posOffset>
                </wp:positionH>
                <wp:positionV relativeFrom="paragraph">
                  <wp:posOffset>362585</wp:posOffset>
                </wp:positionV>
                <wp:extent cx="136071" cy="79340"/>
                <wp:effectExtent l="0" t="0" r="35560" b="35560"/>
                <wp:wrapNone/>
                <wp:docPr id="22" name="Přímá spojnice 6"/>
                <wp:cNvGraphicFramePr/>
                <a:graphic xmlns:a="http://schemas.openxmlformats.org/drawingml/2006/main">
                  <a:graphicData uri="http://schemas.microsoft.com/office/word/2010/wordprocessingShape">
                    <wps:wsp>
                      <wps:cNvCnPr/>
                      <wps:spPr>
                        <a:xfrm flipV="1">
                          <a:off x="0" y="0"/>
                          <a:ext cx="136071" cy="79340"/>
                        </a:xfrm>
                        <a:prstGeom prst="line">
                          <a:avLst/>
                        </a:prstGeom>
                        <a:ln>
                          <a:solidFill>
                            <a:schemeClr val="tx1">
                              <a:lumMod val="65000"/>
                              <a:lumOff val="3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F5C72F" id="Přímá spojnice 6" o:spid="_x0000_s1026" style="position:absolute;flip:y;z-index:251728896;visibility:visible;mso-wrap-style:square;mso-wrap-distance-left:9pt;mso-wrap-distance-top:0;mso-wrap-distance-right:9pt;mso-wrap-distance-bottom:0;mso-position-horizontal:absolute;mso-position-horizontal-relative:text;mso-position-vertical:absolute;mso-position-vertical-relative:text" from="81.25pt,28.55pt" to="91.95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" strokecolor="#5a5a5a [2109]" strokeweight=".5pt">
                <v:stroke joinstyle="miter"/>
              </v:line>
            </w:pict>
          </mc:Fallback>
        </mc:AlternateContent>
      </w:r>
      <w:r w:rsidRPr="00D93314">
        <w:rPr>
          <w:noProof/>
          <w:lang w:eastAsia="cs-CZ"/>
        </w:rPr>
        <mc:AlternateContent>
          <mc:Choice Requires="wps">
            <w:drawing>
              <wp:anchor distT="0" distB="0" distL="114300" distR="114300" simplePos="0" relativeHeight="251730944" behindDoc="0" locked="0" layoutInCell="1" allowOverlap="1" wp14:anchorId="68712C42" wp14:editId="58BBDAB5">
                <wp:simplePos x="0" y="0"/>
                <wp:positionH relativeFrom="column">
                  <wp:posOffset>1697990</wp:posOffset>
                </wp:positionH>
                <wp:positionV relativeFrom="paragraph">
                  <wp:posOffset>1402943</wp:posOffset>
                </wp:positionV>
                <wp:extent cx="878382" cy="233205"/>
                <wp:effectExtent l="0" t="0" r="0" b="0"/>
                <wp:wrapNone/>
                <wp:docPr id="24" name="TextovéPole 8"/>
                <wp:cNvGraphicFramePr/>
                <a:graphic xmlns:a="http://schemas.openxmlformats.org/drawingml/2006/main">
                  <a:graphicData uri="http://schemas.microsoft.com/office/word/2010/wordprocessingShape">
                    <wps:wsp>
                      <wps:cNvSpPr txBox="1"/>
                      <wps:spPr>
                        <a:xfrm>
                          <a:off x="0" y="0"/>
                          <a:ext cx="878382"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84AFC3A" w14:textId="77777777" w:rsidR="00332A29" w:rsidRDefault="00332A29" w:rsidP="00047BE4">
                            <w:pPr>
                              <w:pStyle w:val="Normlnweb"/>
                              <w:spacing w:before="0" w:beforeAutospacing="0" w:after="0" w:afterAutospacing="0"/>
                            </w:pPr>
                            <w:r>
                              <w:rPr>
                                <w:rFonts w:asciiTheme="minorHAnsi" w:hAnsi="Calibri" w:cstheme="minorBidi"/>
                                <w:color w:val="262626" w:themeColor="text1" w:themeTint="D9"/>
                                <w:sz w:val="18"/>
                                <w:szCs w:val="18"/>
                              </w:rPr>
                              <w:t>Územní změna</w:t>
                            </w:r>
                          </w:p>
                        </w:txbxContent>
                      </wps:txbx>
                      <wps:bodyPr vertOverflow="clip" horzOverflow="clip" wrap="none" rtlCol="0" anchor="t">
                        <a:spAutoFit/>
                      </wps:bodyPr>
                    </wps:wsp>
                  </a:graphicData>
                </a:graphic>
              </wp:anchor>
            </w:drawing>
          </mc:Choice>
          <mc:Fallback>
            <w:pict>
              <v:shape w14:anchorId="68712C42" id="TextovéPole 8" o:spid="_x0000_s1028" type="#_x0000_t202" style="position:absolute;left:0;text-align:left;margin-left:133.7pt;margin-top:110.45pt;width:69.15pt;height:18.35pt;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" filled="f" stroked="f">
                <v:textbox style="mso-fit-shape-to-text:t">
                  <w:txbxContent>
                    <w:p w14:paraId="584AFC3A" w14:textId="77777777" w:rsidR="00332A29" w:rsidRDefault="00332A29" w:rsidP="00047BE4">
                      <w:pPr>
                        <w:pStyle w:val="Normlnweb"/>
                        <w:spacing w:before="0" w:beforeAutospacing="0" w:after="0" w:afterAutospacing="0"/>
                      </w:pPr>
                      <w:r>
                        <w:rPr>
                          <w:rFonts w:asciiTheme="minorHAnsi" w:hAnsi="Calibri" w:cstheme="minorBidi"/>
                          <w:color w:val="262626" w:themeColor="text1" w:themeTint="D9"/>
                          <w:sz w:val="18"/>
                          <w:szCs w:val="18"/>
                        </w:rPr>
                        <w:t>Územní změna</w:t>
                      </w:r>
                    </w:p>
                  </w:txbxContent>
                </v:textbox>
              </v:shape>
            </w:pict>
          </mc:Fallback>
        </mc:AlternateContent>
      </w:r>
      <w:r>
        <w:rPr>
          <w:noProof/>
          <w:lang w:eastAsia="cs-CZ"/>
        </w:rPr>
        <mc:AlternateContent>
          <mc:Choice Requires="wps">
            <w:drawing>
              <wp:anchor distT="0" distB="0" distL="114300" distR="114300" simplePos="0" relativeHeight="251727872" behindDoc="0" locked="0" layoutInCell="1" allowOverlap="1" wp14:anchorId="39C23FD3" wp14:editId="6C1754F8">
                <wp:simplePos x="0" y="0"/>
                <wp:positionH relativeFrom="column">
                  <wp:posOffset>2479783</wp:posOffset>
                </wp:positionH>
                <wp:positionV relativeFrom="paragraph">
                  <wp:posOffset>1412875</wp:posOffset>
                </wp:positionV>
                <wp:extent cx="136071" cy="79340"/>
                <wp:effectExtent l="0" t="0" r="35560" b="35560"/>
                <wp:wrapNone/>
                <wp:docPr id="21" name="Přímá spojnice 6"/>
                <wp:cNvGraphicFramePr/>
                <a:graphic xmlns:a="http://schemas.openxmlformats.org/drawingml/2006/main">
                  <a:graphicData uri="http://schemas.microsoft.com/office/word/2010/wordprocessingShape">
                    <wps:wsp>
                      <wps:cNvCnPr/>
                      <wps:spPr>
                        <a:xfrm flipV="1">
                          <a:off x="0" y="0"/>
                          <a:ext cx="136071" cy="79340"/>
                        </a:xfrm>
                        <a:prstGeom prst="line">
                          <a:avLst/>
                        </a:prstGeom>
                        <a:ln>
                          <a:solidFill>
                            <a:schemeClr val="tx1">
                              <a:lumMod val="65000"/>
                              <a:lumOff val="3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91BA35" id="Přímá spojnice 6" o:spid="_x0000_s1026" style="position:absolute;flip:y;z-index:251727872;visibility:visible;mso-wrap-style:square;mso-wrap-distance-left:9pt;mso-wrap-distance-top:0;mso-wrap-distance-right:9pt;mso-wrap-distance-bottom:0;mso-position-horizontal:absolute;mso-position-horizontal-relative:text;mso-position-vertical:absolute;mso-position-vertical-relative:text" from="195.25pt,111.25pt" to="205.9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" strokecolor="#5a5a5a [2109]" strokeweight=".5pt">
                <v:stroke joinstyle="miter"/>
              </v:line>
            </w:pict>
          </mc:Fallback>
        </mc:AlternateContent>
      </w:r>
      <w:r>
        <w:rPr>
          <w:noProof/>
          <w:lang w:eastAsia="cs-CZ"/>
        </w:rPr>
        <mc:AlternateContent>
          <mc:Choice Requires="wps">
            <w:drawing>
              <wp:anchor distT="0" distB="0" distL="114300" distR="114300" simplePos="0" relativeHeight="251726848" behindDoc="0" locked="0" layoutInCell="1" allowOverlap="1" wp14:anchorId="5623ADB2" wp14:editId="31CB6C64">
                <wp:simplePos x="0" y="0"/>
                <wp:positionH relativeFrom="column">
                  <wp:posOffset>3194050</wp:posOffset>
                </wp:positionH>
                <wp:positionV relativeFrom="paragraph">
                  <wp:posOffset>151130</wp:posOffset>
                </wp:positionV>
                <wp:extent cx="233680" cy="1675765"/>
                <wp:effectExtent l="0" t="0" r="0" b="635"/>
                <wp:wrapNone/>
                <wp:docPr id="20" name="Obdélník 3"/>
                <wp:cNvGraphicFramePr/>
                <a:graphic xmlns:a="http://schemas.openxmlformats.org/drawingml/2006/main">
                  <a:graphicData uri="http://schemas.microsoft.com/office/word/2010/wordprocessingShape">
                    <wps:wsp>
                      <wps:cNvSpPr/>
                      <wps:spPr>
                        <a:xfrm>
                          <a:off x="0" y="0"/>
                          <a:ext cx="233680" cy="1675765"/>
                        </a:xfrm>
                        <a:prstGeom prst="rect">
                          <a:avLst/>
                        </a:prstGeom>
                        <a:solidFill>
                          <a:srgbClr val="4F81B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01E80010" id="Obdélník 3" o:spid="_x0000_s1026" style="position:absolute;margin-left:251.5pt;margin-top:11.9pt;width:18.4pt;height:131.9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" fillcolor="#4f81bd" stroked="f" strokeweight="1pt">
                <v:fill opacity="13107f"/>
              </v:rect>
            </w:pict>
          </mc:Fallback>
        </mc:AlternateContent>
      </w:r>
      <w:r>
        <w:rPr>
          <w:noProof/>
          <w:lang w:eastAsia="cs-CZ"/>
        </w:rPr>
        <mc:AlternateContent>
          <mc:Choice Requires="wps">
            <w:drawing>
              <wp:anchor distT="0" distB="0" distL="114300" distR="114300" simplePos="0" relativeHeight="251725824" behindDoc="0" locked="0" layoutInCell="1" allowOverlap="1" wp14:anchorId="640A134A" wp14:editId="7192EB5A">
                <wp:simplePos x="0" y="0"/>
                <wp:positionH relativeFrom="column">
                  <wp:posOffset>876935</wp:posOffset>
                </wp:positionH>
                <wp:positionV relativeFrom="paragraph">
                  <wp:posOffset>145619</wp:posOffset>
                </wp:positionV>
                <wp:extent cx="234043" cy="1676399"/>
                <wp:effectExtent l="0" t="0" r="0" b="635"/>
                <wp:wrapNone/>
                <wp:docPr id="19" name="Obdélník 3"/>
                <wp:cNvGraphicFramePr/>
                <a:graphic xmlns:a="http://schemas.openxmlformats.org/drawingml/2006/main">
                  <a:graphicData uri="http://schemas.microsoft.com/office/word/2010/wordprocessingShape">
                    <wps:wsp>
                      <wps:cNvSpPr/>
                      <wps:spPr>
                        <a:xfrm>
                          <a:off x="0" y="0"/>
                          <a:ext cx="234043" cy="1676399"/>
                        </a:xfrm>
                        <a:prstGeom prst="rect">
                          <a:avLst/>
                        </a:prstGeom>
                        <a:solidFill>
                          <a:srgbClr val="4F81B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FC4FAEE" id="Obdélník 3" o:spid="_x0000_s1026" style="position:absolute;margin-left:69.05pt;margin-top:11.45pt;width:18.45pt;height:132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" fillcolor="#4f81bd" stroked="f" strokeweight="1pt">
                <v:fill opacity="13107f"/>
              </v:rect>
            </w:pict>
          </mc:Fallback>
        </mc:AlternateContent>
      </w:r>
      <w:r>
        <w:rPr>
          <w:noProof/>
          <w:lang w:eastAsia="cs-CZ"/>
        </w:rPr>
        <w:drawing>
          <wp:inline distT="0" distB="0" distL="0" distR="0" wp14:anchorId="2C5BC3FF" wp14:editId="577AE17B">
            <wp:extent cx="5773420" cy="243840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3420" cy="2438400"/>
                    </a:xfrm>
                    <a:prstGeom prst="rect">
                      <a:avLst/>
                    </a:prstGeom>
                    <a:noFill/>
                  </pic:spPr>
                </pic:pic>
              </a:graphicData>
            </a:graphic>
          </wp:inline>
        </w:drawing>
      </w:r>
      <w:r w:rsidRPr="006B2BEC">
        <w:rPr>
          <w:rStyle w:val="ZdrojChar"/>
          <w:rFonts w:eastAsiaTheme="minorHAnsi"/>
        </w:rPr>
        <w:t xml:space="preserve"> </w:t>
      </w:r>
      <w:r w:rsidRPr="00E708E8">
        <w:rPr>
          <w:rStyle w:val="ZdrojChar"/>
          <w:rFonts w:eastAsiaTheme="minorHAnsi"/>
        </w:rPr>
        <w:t>Zdroj: ČSÚ, Veřejná databáze</w:t>
      </w:r>
      <w:r>
        <w:rPr>
          <w:rStyle w:val="ZdrojChar"/>
          <w:rFonts w:eastAsiaTheme="minorHAnsi"/>
        </w:rPr>
        <w:t>, data k 1. 1, daného roku</w:t>
      </w:r>
      <w:r w:rsidRPr="00E708E8">
        <w:rPr>
          <w:rStyle w:val="ZdrojChar"/>
          <w:rFonts w:eastAsiaTheme="minorHAnsi"/>
        </w:rPr>
        <w:t>; zpracování PROCES</w:t>
      </w:r>
      <w:r w:rsidR="00C27E38">
        <w:rPr>
          <w:rStyle w:val="ZdrojChar"/>
          <w:rFonts w:eastAsiaTheme="minorHAnsi"/>
        </w:rPr>
        <w:t>, 2020.</w:t>
      </w:r>
    </w:p>
    <w:p w14:paraId="07A44CD8" w14:textId="5B2B6FFE" w:rsidR="00047BE4" w:rsidRDefault="00047BE4" w:rsidP="00047BE4">
      <w:r>
        <w:t xml:space="preserve">Důvodem poklesu obyvatel ve Zlíně je především záporné </w:t>
      </w:r>
      <w:r w:rsidRPr="000B4506">
        <w:rPr>
          <w:b/>
        </w:rPr>
        <w:t>migrační saldo</w:t>
      </w:r>
      <w:r>
        <w:t xml:space="preserve">. Záporné migrační saldo značí větší počet vystěhovaných, než přistěhovaných. V následujícím grafu </w:t>
      </w:r>
      <w:r w:rsidR="00EB62B8">
        <w:t xml:space="preserve">(obrázek 1.12) </w:t>
      </w:r>
      <w:r>
        <w:t>lze pozorovat, že kladných hodnot dosáhlo migrační saldo v letech 1993 a 2015, dále v letech 2018 a 2019.</w:t>
      </w:r>
    </w:p>
    <w:p w14:paraId="4524B00B" w14:textId="0ABF46AD" w:rsidR="00047BE4" w:rsidRDefault="00047BE4" w:rsidP="00047BE4">
      <w:r w:rsidRPr="000B4506">
        <w:rPr>
          <w:b/>
        </w:rPr>
        <w:t>Přirozený přírůstek</w:t>
      </w:r>
      <w:r>
        <w:t xml:space="preserve"> se také pohybuje většinou v záporných hodnotách. Záporná hodnota přirozeného přírůstku znamená, že se daný rok méně lidí narodilo</w:t>
      </w:r>
      <w:r w:rsidR="00C27E38">
        <w:t>,</w:t>
      </w:r>
      <w:r>
        <w:t xml:space="preserve"> než zemřelo. Tato hodnota byla kladná v letech 1990 a 1991, následně se pohybovala ve výraznějších záporných hodnotách až -273 obyvatel roku 1995, postupně však začala vzrůstat a v letech 2008, 2010 a 2012 dosáhla kladných hodnot (počet narozených byl tedy větší než počet zemřelých). Od roku 2012 již kladných hodnot nedosáhla, pohybuje se mírně pod hodnotou nula.</w:t>
      </w:r>
    </w:p>
    <w:p w14:paraId="2B826AF7" w14:textId="27EFD4BE" w:rsidR="00047BE4" w:rsidRDefault="00047BE4" w:rsidP="00047BE4">
      <w:pPr>
        <w:keepNext/>
      </w:pPr>
      <w:r>
        <w:t xml:space="preserve">Výslednicí přírůstku nebo úbytku obyvatel stěhováním (migrační saldo) a přirozeného přírůstku nebo úbytku je </w:t>
      </w:r>
      <w:r w:rsidRPr="000B4506">
        <w:rPr>
          <w:b/>
        </w:rPr>
        <w:t>celková změna obyvatel</w:t>
      </w:r>
      <w:r>
        <w:t>, která je, obdobně jako migrační saldo, většinou záporná. Kladných hodnot dosáhla pouze v letech 1990</w:t>
      </w:r>
      <w:r w:rsidR="00C27E38">
        <w:t xml:space="preserve"> </w:t>
      </w:r>
      <w:r w:rsidR="00C27E38">
        <w:sym w:font="Symbol" w:char="F02D"/>
      </w:r>
      <w:r w:rsidR="00C27E38">
        <w:t xml:space="preserve"> </w:t>
      </w:r>
      <w:r>
        <w:t>1993, 2015 a 2018.</w:t>
      </w:r>
    </w:p>
    <w:p w14:paraId="454E5ED2" w14:textId="40848031" w:rsidR="00047BE4" w:rsidRDefault="00047BE4" w:rsidP="00047BE4">
      <w:pPr>
        <w:pStyle w:val="Titulek"/>
        <w:keepNext/>
      </w:pPr>
      <w:bookmarkStart w:id="63" w:name="_Toc53037901"/>
      <w:bookmarkStart w:id="64" w:name="_Toc7707483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12</w:t>
      </w:r>
      <w:r w:rsidR="00804AF3">
        <w:rPr>
          <w:noProof/>
        </w:rPr>
        <w:fldChar w:fldCharType="end"/>
      </w:r>
      <w:r w:rsidR="00C27E38">
        <w:rPr>
          <w:noProof/>
        </w:rPr>
        <w:t>:</w:t>
      </w:r>
      <w:r>
        <w:t xml:space="preserve"> Změny počtu obyvatel od r. 1990</w:t>
      </w:r>
      <w:bookmarkEnd w:id="63"/>
      <w:bookmarkEnd w:id="64"/>
    </w:p>
    <w:p w14:paraId="6A987700" w14:textId="2EF812F2" w:rsidR="00047BE4" w:rsidRDefault="00047BE4" w:rsidP="00047BE4">
      <w:pPr>
        <w:rPr>
          <w:rStyle w:val="ZdrojChar"/>
          <w:rFonts w:eastAsiaTheme="minorHAnsi"/>
        </w:rPr>
      </w:pPr>
      <w:r>
        <w:rPr>
          <w:noProof/>
          <w:lang w:eastAsia="cs-CZ"/>
        </w:rPr>
        <mc:AlternateContent>
          <mc:Choice Requires="wps">
            <w:drawing>
              <wp:anchor distT="0" distB="0" distL="114300" distR="114300" simplePos="0" relativeHeight="251721728" behindDoc="0" locked="0" layoutInCell="1" allowOverlap="1" wp14:anchorId="20290F57" wp14:editId="623E4668">
                <wp:simplePos x="0" y="0"/>
                <wp:positionH relativeFrom="column">
                  <wp:posOffset>565725</wp:posOffset>
                </wp:positionH>
                <wp:positionV relativeFrom="paragraph">
                  <wp:posOffset>706120</wp:posOffset>
                </wp:positionV>
                <wp:extent cx="4892633" cy="0"/>
                <wp:effectExtent l="0" t="0" r="22860" b="19050"/>
                <wp:wrapNone/>
                <wp:docPr id="5" name="Přímá spojnice 5"/>
                <wp:cNvGraphicFramePr/>
                <a:graphic xmlns:a="http://schemas.openxmlformats.org/drawingml/2006/main">
                  <a:graphicData uri="http://schemas.microsoft.com/office/word/2010/wordprocessingShape">
                    <wps:wsp>
                      <wps:cNvCnPr/>
                      <wps:spPr>
                        <a:xfrm>
                          <a:off x="0" y="0"/>
                          <a:ext cx="48926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DAA3214" id="Přímá spojnice 5" o:spid="_x0000_s1026" style="position:absolute;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55pt,55.6pt" to="429.8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" strokecolor="black [3200]" strokeweight=".5pt">
                <v:stroke joinstyle="miter"/>
              </v:line>
            </w:pict>
          </mc:Fallback>
        </mc:AlternateContent>
      </w:r>
      <w:r>
        <w:rPr>
          <w:noProof/>
          <w:lang w:eastAsia="cs-CZ"/>
        </w:rPr>
        <w:drawing>
          <wp:inline distT="0" distB="0" distL="0" distR="0" wp14:anchorId="0A2000C4" wp14:editId="08CA11C9">
            <wp:extent cx="5760000" cy="2188826"/>
            <wp:effectExtent l="19050" t="19050" r="12700" b="2159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00" cy="2188826"/>
                    </a:xfrm>
                    <a:prstGeom prst="rect">
                      <a:avLst/>
                    </a:prstGeom>
                    <a:noFill/>
                    <a:ln>
                      <a:solidFill>
                        <a:schemeClr val="bg1">
                          <a:lumMod val="75000"/>
                        </a:schemeClr>
                      </a:solidFill>
                    </a:ln>
                  </pic:spPr>
                </pic:pic>
              </a:graphicData>
            </a:graphic>
          </wp:inline>
        </w:drawing>
      </w:r>
      <w:r w:rsidRPr="00E708E8">
        <w:rPr>
          <w:rStyle w:val="ZdrojChar"/>
          <w:rFonts w:eastAsiaTheme="minorHAnsi"/>
        </w:rPr>
        <w:t xml:space="preserve"> Zdroj: ČSÚ, Veřejná databáze; zpracování PROCES</w:t>
      </w:r>
      <w:r w:rsidR="00C27E38">
        <w:rPr>
          <w:rStyle w:val="ZdrojChar"/>
          <w:rFonts w:eastAsiaTheme="minorHAnsi"/>
        </w:rPr>
        <w:t>, 2020.</w:t>
      </w:r>
    </w:p>
    <w:p w14:paraId="67BA076C" w14:textId="57827867" w:rsidR="00047BE4" w:rsidRDefault="00047BE4" w:rsidP="00047BE4">
      <w:r>
        <w:t xml:space="preserve">Srovnání změny počtu obyvatel s dalšími vybranými městy znázorňuje následující graf </w:t>
      </w:r>
      <w:r w:rsidR="00BB66F4">
        <w:t xml:space="preserve">(obrázek 1.13) </w:t>
      </w:r>
      <w:r>
        <w:t xml:space="preserve">hrubé míry celkového přírůstku, přirozeného přírůstku a migračního salda. Pro srovnání jsou data uvedena na 1 000 obyvatel středního stavu, v pětiletém průměru. Je vidět, že výše zmiňovaný úbytek obyvatel Opavy je způsoben převážně migrací. V Pardubicích závisí změna počtu obyvatel také převážně na migraci, lidé se ale stěhují do města. Kladný migrační trend je také v Liberci a Českých </w:t>
      </w:r>
      <w:r>
        <w:lastRenderedPageBreak/>
        <w:t xml:space="preserve">Budějovicích, kde je nárůst obyvatel podpořen také přirozeným přírůstkem. V Olomouci naopak přibývá obyvatel díky přirozenému přírůstku. </w:t>
      </w:r>
    </w:p>
    <w:p w14:paraId="66BBA95A" w14:textId="77777777" w:rsidR="00047BE4" w:rsidRDefault="00047BE4" w:rsidP="00047BE4">
      <w:pPr>
        <w:keepNext/>
      </w:pPr>
      <w:r>
        <w:t>Zlín je v tomto srovnání hodnotami blízký nule, se zápornou hrubou mírou celkového přírůstku, což potvrzuje také současný trend pozvolného poklesu obyvatel ve městě.</w:t>
      </w:r>
    </w:p>
    <w:p w14:paraId="485CC9D8" w14:textId="2C8CF782" w:rsidR="00047BE4" w:rsidRDefault="00047BE4" w:rsidP="00047BE4">
      <w:pPr>
        <w:pStyle w:val="Titulek"/>
        <w:keepNext/>
        <w:tabs>
          <w:tab w:val="left" w:pos="8205"/>
        </w:tabs>
      </w:pPr>
      <w:bookmarkStart w:id="65" w:name="_Toc53037902"/>
      <w:bookmarkStart w:id="66" w:name="_Toc7707483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13</w:t>
      </w:r>
      <w:r w:rsidR="00804AF3">
        <w:rPr>
          <w:noProof/>
        </w:rPr>
        <w:fldChar w:fldCharType="end"/>
      </w:r>
      <w:r w:rsidR="00C27E38">
        <w:rPr>
          <w:noProof/>
        </w:rPr>
        <w:t>:</w:t>
      </w:r>
      <w:r>
        <w:t xml:space="preserve"> Průměrná hodnota změny počtu obyvatel za 5 let (2019</w:t>
      </w:r>
      <w:r w:rsidR="00C27E38">
        <w:t xml:space="preserve"> </w:t>
      </w:r>
      <w:r w:rsidR="00C27E38">
        <w:sym w:font="Symbol" w:char="F02D"/>
      </w:r>
      <w:r w:rsidR="00C27E38">
        <w:t xml:space="preserve"> </w:t>
      </w:r>
      <w:r>
        <w:t>2015) - srovnání vybraných měst</w:t>
      </w:r>
      <w:bookmarkEnd w:id="65"/>
      <w:bookmarkEnd w:id="66"/>
      <w:r>
        <w:t xml:space="preserve"> </w:t>
      </w:r>
    </w:p>
    <w:p w14:paraId="2AB84FBE" w14:textId="77777777" w:rsidR="00047BE4" w:rsidRPr="00E434F1" w:rsidRDefault="00047BE4" w:rsidP="00047BE4">
      <w:r>
        <w:rPr>
          <w:noProof/>
          <w:lang w:eastAsia="cs-CZ"/>
        </w:rPr>
        <w:drawing>
          <wp:inline distT="0" distB="0" distL="0" distR="0" wp14:anchorId="4B18F06F" wp14:editId="16CCB6CE">
            <wp:extent cx="5773420" cy="286512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3420" cy="2865120"/>
                    </a:xfrm>
                    <a:prstGeom prst="rect">
                      <a:avLst/>
                    </a:prstGeom>
                    <a:noFill/>
                  </pic:spPr>
                </pic:pic>
              </a:graphicData>
            </a:graphic>
          </wp:inline>
        </w:drawing>
      </w:r>
    </w:p>
    <w:p w14:paraId="7BD7F18E" w14:textId="60C3088D" w:rsidR="00047BE4" w:rsidRDefault="00047BE4" w:rsidP="00047BE4">
      <w:r w:rsidRPr="00E708E8">
        <w:rPr>
          <w:rStyle w:val="ZdrojChar"/>
          <w:rFonts w:eastAsiaTheme="minorHAnsi"/>
        </w:rPr>
        <w:t>Zdroj: ČSÚ, Veřejná databáze; zpracování PROCES</w:t>
      </w:r>
      <w:r w:rsidR="00E94453">
        <w:rPr>
          <w:rStyle w:val="ZdrojChar"/>
          <w:rFonts w:eastAsiaTheme="minorHAnsi"/>
        </w:rPr>
        <w:t>, 2020.</w:t>
      </w:r>
    </w:p>
    <w:p w14:paraId="265AC402" w14:textId="7FB7AB6F" w:rsidR="00047BE4" w:rsidRDefault="00047BE4" w:rsidP="00047BE4">
      <w:r>
        <w:t>Následující mapa</w:t>
      </w:r>
      <w:r w:rsidR="00BB66F4">
        <w:t xml:space="preserve"> (obrázek 1.14)</w:t>
      </w:r>
      <w:r>
        <w:t xml:space="preserve"> znázorňuje desetiletou změnu počtu obyvatel ve Zlíně a v okolních obcích. Úbytek do 10</w:t>
      </w:r>
      <w:r w:rsidR="00E94453">
        <w:t> </w:t>
      </w:r>
      <w:r>
        <w:t>% obyvatel je vidět ve Zlíně a z obcí v jeho okolí dále také v Želechovicích nad Dřevnicí, v Bohuslavicích u Zlína, v Karlovicích nebo v Otrokovicích. V ostatních dosud nejmenovaných obcích SO ORP Zlín počet obyvatel vzrůstá, přírůstek lze v rámci SO ORP Zlín pozorovat nejvýrazněji v obcích Doubravy a Lípa.</w:t>
      </w:r>
    </w:p>
    <w:bookmarkStart w:id="67" w:name="_Toc53037903"/>
    <w:bookmarkStart w:id="68" w:name="_Toc77074832"/>
    <w:p w14:paraId="031E381A" w14:textId="244E65F6" w:rsidR="00047BE4" w:rsidRDefault="00047BE4" w:rsidP="00047BE4">
      <w:pPr>
        <w:pStyle w:val="Titulek"/>
        <w:keepNext/>
      </w:pPr>
      <w:r>
        <w:rPr>
          <w:noProof/>
          <w:lang w:eastAsia="cs-CZ"/>
        </w:rPr>
        <w:lastRenderedPageBreak/>
        <mc:AlternateContent>
          <mc:Choice Requires="wps">
            <w:drawing>
              <wp:anchor distT="0" distB="0" distL="114300" distR="114300" simplePos="0" relativeHeight="251724800" behindDoc="0" locked="0" layoutInCell="1" allowOverlap="1" wp14:anchorId="468DC691" wp14:editId="48077853">
                <wp:simplePos x="0" y="0"/>
                <wp:positionH relativeFrom="column">
                  <wp:posOffset>3827480</wp:posOffset>
                </wp:positionH>
                <wp:positionV relativeFrom="paragraph">
                  <wp:posOffset>1877911</wp:posOffset>
                </wp:positionV>
                <wp:extent cx="1889185" cy="257810"/>
                <wp:effectExtent l="0" t="0" r="0" b="8890"/>
                <wp:wrapNone/>
                <wp:docPr id="9" name="Textové pole 9"/>
                <wp:cNvGraphicFramePr/>
                <a:graphic xmlns:a="http://schemas.openxmlformats.org/drawingml/2006/main">
                  <a:graphicData uri="http://schemas.microsoft.com/office/word/2010/wordprocessingShape">
                    <wps:wsp>
                      <wps:cNvSpPr txBox="1"/>
                      <wps:spPr>
                        <a:xfrm>
                          <a:off x="0" y="0"/>
                          <a:ext cx="1889185" cy="2578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B2991" w14:textId="50BD04E0" w:rsidR="00332A29" w:rsidRPr="00E708E8" w:rsidRDefault="00332A29" w:rsidP="00047BE4">
                            <w:pPr>
                              <w:spacing w:before="0"/>
                              <w:rPr>
                                <w:b/>
                                <w:sz w:val="19"/>
                                <w:szCs w:val="19"/>
                              </w:rPr>
                            </w:pPr>
                            <w:r w:rsidRPr="00E708E8">
                              <w:rPr>
                                <w:b/>
                                <w:sz w:val="19"/>
                                <w:szCs w:val="19"/>
                              </w:rPr>
                              <w:t>Změna počtu obyvatel 2010</w:t>
                            </w:r>
                            <w:r>
                              <w:rPr>
                                <w:b/>
                                <w:sz w:val="19"/>
                                <w:szCs w:val="19"/>
                              </w:rPr>
                              <w:t xml:space="preserve"> - </w:t>
                            </w:r>
                            <w:r w:rsidRPr="00E708E8">
                              <w:rPr>
                                <w:b/>
                                <w:sz w:val="19"/>
                                <w:szCs w:val="19"/>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DC691" id="Textové pole 9" o:spid="_x0000_s1029" type="#_x0000_t202" style="position:absolute;left:0;text-align:left;margin-left:301.4pt;margin-top:147.85pt;width:148.75pt;height:20.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" fillcolor="white [3201]" stroked="f" strokeweight=".5pt">
                <v:textbox>
                  <w:txbxContent>
                    <w:p w14:paraId="4FBB2991" w14:textId="50BD04E0" w:rsidR="00332A29" w:rsidRPr="00E708E8" w:rsidRDefault="00332A29" w:rsidP="00047BE4">
                      <w:pPr>
                        <w:spacing w:before="0"/>
                        <w:rPr>
                          <w:b/>
                          <w:sz w:val="19"/>
                          <w:szCs w:val="19"/>
                        </w:rPr>
                      </w:pPr>
                      <w:r w:rsidRPr="00E708E8">
                        <w:rPr>
                          <w:b/>
                          <w:sz w:val="19"/>
                          <w:szCs w:val="19"/>
                        </w:rPr>
                        <w:t>Změna počtu obyvatel 2010</w:t>
                      </w:r>
                      <w:r>
                        <w:rPr>
                          <w:b/>
                          <w:sz w:val="19"/>
                          <w:szCs w:val="19"/>
                        </w:rPr>
                        <w:t xml:space="preserve"> - </w:t>
                      </w:r>
                      <w:r w:rsidRPr="00E708E8">
                        <w:rPr>
                          <w:b/>
                          <w:sz w:val="19"/>
                          <w:szCs w:val="19"/>
                        </w:rPr>
                        <w:t>2020</w:t>
                      </w:r>
                    </w:p>
                  </w:txbxContent>
                </v:textbox>
              </v:shape>
            </w:pict>
          </mc:Fallback>
        </mc:AlternateContent>
      </w:r>
      <w:r w:rsidRPr="00E708E8">
        <w:rPr>
          <w:noProof/>
          <w:lang w:eastAsia="cs-CZ"/>
        </w:rPr>
        <w:drawing>
          <wp:anchor distT="0" distB="0" distL="114300" distR="114300" simplePos="0" relativeHeight="251723776" behindDoc="0" locked="0" layoutInCell="1" allowOverlap="1" wp14:anchorId="619FE536" wp14:editId="4E293962">
            <wp:simplePos x="0" y="0"/>
            <wp:positionH relativeFrom="column">
              <wp:posOffset>3823335</wp:posOffset>
            </wp:positionH>
            <wp:positionV relativeFrom="paragraph">
              <wp:posOffset>1852487</wp:posOffset>
            </wp:positionV>
            <wp:extent cx="1952625" cy="1927860"/>
            <wp:effectExtent l="19050" t="19050" r="28575" b="15240"/>
            <wp:wrapNone/>
            <wp:docPr id="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28" cstate="print">
                      <a:extLst>
                        <a:ext uri="{28A0092B-C50C-407E-A947-70E740481C1C}">
                          <a14:useLocalDpi xmlns:a14="http://schemas.microsoft.com/office/drawing/2010/main" val="0"/>
                        </a:ext>
                      </a:extLst>
                    </a:blip>
                    <a:srcRect l="59995" t="19764" r="812" b="2699"/>
                    <a:stretch/>
                  </pic:blipFill>
                  <pic:spPr bwMode="auto">
                    <a:xfrm>
                      <a:off x="0" y="0"/>
                      <a:ext cx="1952625" cy="192786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14</w:t>
      </w:r>
      <w:r w:rsidR="00804AF3">
        <w:rPr>
          <w:noProof/>
        </w:rPr>
        <w:fldChar w:fldCharType="end"/>
      </w:r>
      <w:r w:rsidR="00E94453">
        <w:rPr>
          <w:noProof/>
        </w:rPr>
        <w:t>:</w:t>
      </w:r>
      <w:r>
        <w:t xml:space="preserve"> Suburbanizace - změna počtu obyvatel 2010</w:t>
      </w:r>
      <w:r w:rsidR="00E94453">
        <w:t xml:space="preserve"> </w:t>
      </w:r>
      <w:r w:rsidR="00E94453">
        <w:sym w:font="Symbol" w:char="F02D"/>
      </w:r>
      <w:r w:rsidR="00E94453">
        <w:t xml:space="preserve"> </w:t>
      </w:r>
      <w:r>
        <w:t>2020</w:t>
      </w:r>
      <w:bookmarkEnd w:id="67"/>
      <w:bookmarkEnd w:id="68"/>
    </w:p>
    <w:p w14:paraId="395AF9D7" w14:textId="7E70F517" w:rsidR="00047BE4" w:rsidRDefault="00047BE4" w:rsidP="00047BE4">
      <w:pPr>
        <w:rPr>
          <w:rStyle w:val="ZdrojChar"/>
          <w:rFonts w:eastAsiaTheme="minorHAnsi"/>
        </w:rPr>
      </w:pPr>
      <w:r w:rsidRPr="00E708E8">
        <w:rPr>
          <w:noProof/>
          <w:lang w:eastAsia="cs-CZ"/>
        </w:rPr>
        <w:drawing>
          <wp:anchor distT="0" distB="0" distL="114300" distR="114300" simplePos="0" relativeHeight="251722752" behindDoc="0" locked="0" layoutInCell="1" allowOverlap="1" wp14:anchorId="1E8B4C9B" wp14:editId="61068E47">
            <wp:simplePos x="0" y="0"/>
            <wp:positionH relativeFrom="column">
              <wp:posOffset>21590</wp:posOffset>
            </wp:positionH>
            <wp:positionV relativeFrom="paragraph">
              <wp:posOffset>18415</wp:posOffset>
            </wp:positionV>
            <wp:extent cx="4320000" cy="3496824"/>
            <wp:effectExtent l="19050" t="19050" r="23495" b="27940"/>
            <wp:wrapTopAndBottom/>
            <wp:docPr id="7" name="Zástupný symbol pro obsah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rotWithShape="1">
                    <a:blip r:embed="rId29" cstate="print">
                      <a:extLst>
                        <a:ext uri="{28A0092B-C50C-407E-A947-70E740481C1C}">
                          <a14:useLocalDpi xmlns:a14="http://schemas.microsoft.com/office/drawing/2010/main" val="0"/>
                        </a:ext>
                      </a:extLst>
                    </a:blip>
                    <a:srcRect l="227" t="3347" r="40685" b="844"/>
                    <a:stretch/>
                  </pic:blipFill>
                  <pic:spPr bwMode="auto">
                    <a:xfrm>
                      <a:off x="0" y="0"/>
                      <a:ext cx="4320000" cy="3496824"/>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ZdrojChar"/>
          <w:rFonts w:eastAsiaTheme="minorHAnsi"/>
        </w:rPr>
        <w:t>Zdroj: ČSÚ</w:t>
      </w:r>
      <w:r w:rsidRPr="00E708E8">
        <w:rPr>
          <w:rStyle w:val="ZdrojChar"/>
          <w:rFonts w:eastAsiaTheme="minorHAnsi"/>
        </w:rPr>
        <w:t>; zpracování PROCES</w:t>
      </w:r>
      <w:r w:rsidR="00E94453">
        <w:rPr>
          <w:rStyle w:val="ZdrojChar"/>
          <w:rFonts w:eastAsiaTheme="minorHAnsi"/>
        </w:rPr>
        <w:t>, 2020.</w:t>
      </w:r>
    </w:p>
    <w:p w14:paraId="722F7004" w14:textId="77777777" w:rsidR="00047BE4" w:rsidRPr="00EA4301" w:rsidRDefault="00047BE4" w:rsidP="00047BE4">
      <w:pPr>
        <w:pStyle w:val="Nadpis4"/>
        <w:ind w:left="864" w:hanging="864"/>
      </w:pPr>
      <w:r w:rsidRPr="00EA4301">
        <w:t xml:space="preserve">Strukturální charakteristika obyvatelstva města </w:t>
      </w:r>
    </w:p>
    <w:p w14:paraId="20E9422A" w14:textId="4BAC80C2" w:rsidR="00047BE4" w:rsidRDefault="00047BE4" w:rsidP="00047BE4">
      <w:pPr>
        <w:keepNext/>
      </w:pPr>
      <w:r w:rsidRPr="00EA4301">
        <w:t>Střední délka života ne</w:t>
      </w:r>
      <w:r w:rsidRPr="001C77B7">
        <w:t>boli naděje dožití udává průměrný počet let, který</w:t>
      </w:r>
      <w:r w:rsidR="00E94453">
        <w:t xml:space="preserve"> má naději prožít osoba právě x-</w:t>
      </w:r>
      <w:r w:rsidRPr="001C77B7">
        <w:t>letá při zachování řádu úmrtnosti sledovaného období.</w:t>
      </w:r>
      <w:r>
        <w:t xml:space="preserve"> V grafu </w:t>
      </w:r>
      <w:r w:rsidR="00BB66F4">
        <w:t>(obrázek 1.15)f</w:t>
      </w:r>
      <w:r>
        <w:t xml:space="preserve"> je zobrazena naděje dožití při narození pro muže a ženy ve vybraných SO ORP (Zlín, Olomouc, Pardubice, České Budějovice, Opava, Liberec). Ženy ve Zlíně mají z těchto ORP nejvyšší naději dožití (83,2 let), muži mají nejvyšší naději dožití v Pardubicích (77,5 let), ve Zlíně je tato hodnota druhá nejvyšší (77,0 let). </w:t>
      </w:r>
    </w:p>
    <w:p w14:paraId="2F9C10B6" w14:textId="2F1A696F" w:rsidR="00047BE4" w:rsidRDefault="00047BE4" w:rsidP="00047BE4">
      <w:pPr>
        <w:pStyle w:val="Titulek"/>
        <w:keepNext/>
      </w:pPr>
      <w:bookmarkStart w:id="69" w:name="_Toc53037904"/>
      <w:bookmarkStart w:id="70" w:name="_Toc7707483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15</w:t>
      </w:r>
      <w:r w:rsidR="00804AF3">
        <w:rPr>
          <w:noProof/>
        </w:rPr>
        <w:fldChar w:fldCharType="end"/>
      </w:r>
      <w:r w:rsidR="00E94453">
        <w:rPr>
          <w:noProof/>
        </w:rPr>
        <w:t>:</w:t>
      </w:r>
      <w:r>
        <w:t xml:space="preserve"> Naděje dožití ve SO ORP Zlín ve sr</w:t>
      </w:r>
      <w:r w:rsidR="00E94453">
        <w:t xml:space="preserve">ovnání s vybranými SO ORP (2015 </w:t>
      </w:r>
      <w:r w:rsidR="00E94453">
        <w:sym w:font="Symbol" w:char="F02D"/>
      </w:r>
      <w:r w:rsidR="00E94453">
        <w:t xml:space="preserve"> </w:t>
      </w:r>
      <w:r>
        <w:t>2019)</w:t>
      </w:r>
      <w:bookmarkEnd w:id="69"/>
      <w:bookmarkEnd w:id="70"/>
    </w:p>
    <w:p w14:paraId="1139EC96" w14:textId="449C6B1C" w:rsidR="00047BE4" w:rsidRDefault="00047BE4" w:rsidP="00047BE4">
      <w:pPr>
        <w:pStyle w:val="Zdroj"/>
      </w:pPr>
      <w:r>
        <w:rPr>
          <w:noProof/>
        </w:rPr>
        <w:drawing>
          <wp:inline distT="0" distB="0" distL="0" distR="0" wp14:anchorId="538D2DEE" wp14:editId="6A27F221">
            <wp:extent cx="5773420" cy="231076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3420" cy="2310765"/>
                    </a:xfrm>
                    <a:prstGeom prst="rect">
                      <a:avLst/>
                    </a:prstGeom>
                    <a:noFill/>
                  </pic:spPr>
                </pic:pic>
              </a:graphicData>
            </a:graphic>
          </wp:inline>
        </w:drawing>
      </w:r>
      <w:r>
        <w:t>Zdroj: ČSÚ, Naděje dožití při narození podle pohlaví ve správních obvodech ORP a Praze, 2003</w:t>
      </w:r>
      <w:r w:rsidR="00E94453">
        <w:t xml:space="preserve"> </w:t>
      </w:r>
      <w:r w:rsidR="00E94453">
        <w:sym w:font="Symbol" w:char="F02D"/>
      </w:r>
      <w:r w:rsidR="00E94453">
        <w:t xml:space="preserve"> </w:t>
      </w:r>
      <w:r>
        <w:t>2019</w:t>
      </w:r>
      <w:r w:rsidR="00E94453">
        <w:t>.</w:t>
      </w:r>
    </w:p>
    <w:p w14:paraId="7636017E" w14:textId="77777777" w:rsidR="00047BE4" w:rsidRDefault="00047BE4" w:rsidP="00047BE4"/>
    <w:p w14:paraId="10E43829" w14:textId="77777777" w:rsidR="00047BE4" w:rsidRDefault="00047BE4" w:rsidP="00047BE4">
      <w:pPr>
        <w:keepNext/>
      </w:pPr>
      <w:r>
        <w:lastRenderedPageBreak/>
        <w:t xml:space="preserve">Průměrný věk obyvatel Zlína je 44,2 let, což je nejvyšší hodnota z porovnávaných měst. Druhý nejvyšší průměrný věk mají obyvatelé Opavy a následně Pardubic, nejnižší poté v Liberci (42,1). </w:t>
      </w:r>
    </w:p>
    <w:p w14:paraId="1E4B3A43" w14:textId="1C76CEDA" w:rsidR="00047BE4" w:rsidRDefault="00047BE4" w:rsidP="00047BE4">
      <w:pPr>
        <w:pStyle w:val="Titulek"/>
        <w:keepNext/>
      </w:pPr>
      <w:bookmarkStart w:id="71" w:name="_Toc53037905"/>
      <w:bookmarkStart w:id="72" w:name="_Toc7707483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16</w:t>
      </w:r>
      <w:r w:rsidR="00804AF3">
        <w:rPr>
          <w:noProof/>
        </w:rPr>
        <w:fldChar w:fldCharType="end"/>
      </w:r>
      <w:r w:rsidR="00E94453">
        <w:rPr>
          <w:noProof/>
        </w:rPr>
        <w:t>:</w:t>
      </w:r>
      <w:r>
        <w:t xml:space="preserve"> Průměrný věk obyvatel vybraných měst (k 31. 12. 2019)</w:t>
      </w:r>
      <w:bookmarkEnd w:id="71"/>
      <w:bookmarkEnd w:id="72"/>
    </w:p>
    <w:p w14:paraId="4706ED1D" w14:textId="25C76FEC" w:rsidR="00047BE4" w:rsidRDefault="00047BE4" w:rsidP="00047BE4">
      <w:pPr>
        <w:pStyle w:val="Zdroj"/>
      </w:pPr>
      <w:r>
        <w:rPr>
          <w:noProof/>
        </w:rPr>
        <w:drawing>
          <wp:inline distT="0" distB="0" distL="0" distR="0" wp14:anchorId="1980C0B2" wp14:editId="7B6D24EF">
            <wp:extent cx="5773420" cy="2048510"/>
            <wp:effectExtent l="0" t="0" r="0" b="889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3420" cy="2048510"/>
                    </a:xfrm>
                    <a:prstGeom prst="rect">
                      <a:avLst/>
                    </a:prstGeom>
                    <a:noFill/>
                  </pic:spPr>
                </pic:pic>
              </a:graphicData>
            </a:graphic>
          </wp:inline>
        </w:drawing>
      </w:r>
      <w:r>
        <w:t>Zdroj: ČSÚ, 2020; zpracování PROCES</w:t>
      </w:r>
      <w:r w:rsidR="00E94453">
        <w:t>.</w:t>
      </w:r>
    </w:p>
    <w:p w14:paraId="6FC34407" w14:textId="1260C442" w:rsidR="00047BE4" w:rsidRDefault="00047BE4" w:rsidP="00047BE4">
      <w:pPr>
        <w:keepNext/>
      </w:pPr>
      <w:r w:rsidRPr="004A7DB7">
        <w:rPr>
          <w:b/>
        </w:rPr>
        <w:t>Vzdělanostní struktura</w:t>
      </w:r>
      <w:r>
        <w:t xml:space="preserve"> obyvatel je zjišťována v rámci </w:t>
      </w:r>
      <w:r w:rsidRPr="000F4FFD">
        <w:t>Sčítání lidu, domů a bytů</w:t>
      </w:r>
      <w:r>
        <w:t xml:space="preserve"> (SLDB), nejnověji je proto dostupná k 26. 3. 2011. Podíly v následujícím grafu</w:t>
      </w:r>
      <w:r w:rsidR="00EB62B8">
        <w:t xml:space="preserve"> (obrázek 1.17)</w:t>
      </w:r>
      <w:r>
        <w:t xml:space="preserve"> jsou procenta z celkového počtu obyvatel od 15 let. Nejvyšší podíl obyvatel Zlína má úplné střední vzdělání s maturitou (29,6 %) nebo střední vzdělání vč. vyučení bez maturity (29,0 %). Celkem 17,5 % obyvatel Zlína má vysokoškolské vzdělání (z toho 14,1 % magisterské, 2,7 % bakalářské a 0,7 % doktorské). Čtvrtým nejpočetnějším druhem vzdělání je základní vč. neukončeného, které má 15,4 % obyvatel Zlína. </w:t>
      </w:r>
    </w:p>
    <w:p w14:paraId="3115C039" w14:textId="67544D16" w:rsidR="00047BE4" w:rsidRDefault="00047BE4" w:rsidP="00047BE4">
      <w:pPr>
        <w:pStyle w:val="Titulek"/>
        <w:keepNext/>
      </w:pPr>
      <w:bookmarkStart w:id="73" w:name="_Toc53037906"/>
      <w:bookmarkStart w:id="74" w:name="_Toc7707483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17</w:t>
      </w:r>
      <w:r w:rsidR="00804AF3">
        <w:rPr>
          <w:noProof/>
        </w:rPr>
        <w:fldChar w:fldCharType="end"/>
      </w:r>
      <w:r w:rsidR="00E94453">
        <w:rPr>
          <w:noProof/>
        </w:rPr>
        <w:t>:</w:t>
      </w:r>
      <w:r>
        <w:t xml:space="preserve"> Vzdělanostní struktura obyvatel Zlína (k 26. 3. 2011)</w:t>
      </w:r>
      <w:bookmarkEnd w:id="73"/>
      <w:bookmarkEnd w:id="74"/>
    </w:p>
    <w:p w14:paraId="2A7C11F7" w14:textId="5618B799" w:rsidR="00047BE4" w:rsidRDefault="00047BE4" w:rsidP="00047BE4">
      <w:pPr>
        <w:pStyle w:val="Zdroj"/>
      </w:pPr>
      <w:r>
        <w:rPr>
          <w:noProof/>
        </w:rPr>
        <w:drawing>
          <wp:inline distT="0" distB="0" distL="0" distR="0" wp14:anchorId="252ECE7A" wp14:editId="0FB3D64C">
            <wp:extent cx="5810250" cy="2304415"/>
            <wp:effectExtent l="0" t="0" r="0" b="63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10250" cy="2304415"/>
                    </a:xfrm>
                    <a:prstGeom prst="rect">
                      <a:avLst/>
                    </a:prstGeom>
                    <a:noFill/>
                  </pic:spPr>
                </pic:pic>
              </a:graphicData>
            </a:graphic>
          </wp:inline>
        </w:drawing>
      </w:r>
      <w:r w:rsidRPr="00364B9D">
        <w:t xml:space="preserve"> </w:t>
      </w:r>
      <w:r>
        <w:t>Zdroj: SLDB 2011; zpracování PROCES</w:t>
      </w:r>
      <w:r w:rsidR="00E94453">
        <w:t>, 2020.</w:t>
      </w:r>
      <w:r>
        <w:t xml:space="preserve"> </w:t>
      </w:r>
    </w:p>
    <w:p w14:paraId="74CA009A" w14:textId="77777777" w:rsidR="00047BE4" w:rsidRDefault="00047BE4" w:rsidP="00047BE4">
      <w:r>
        <w:t xml:space="preserve">Obdobná vzdělanostní struktura je také v dalších sledovaných městech, kdy v Opavě je mírně vyšší podíl obyvatel bez vzdělání, se základním vzděláním a se středním vzděláním bez maturity, nejvyšší podíl obyvatel se středním vzděláním s maturitou mají z porovnávaných měst v Pardubicích a Českých Budějovicích, vysokoškolsky vzdělaných obyvatel je nejvíce v Olomouci. Při porovnávání je nicméně třeba uvážit také podíl obyvatel, u kterých nebyl vzdělanostní stupeň zjištěn. </w:t>
      </w:r>
    </w:p>
    <w:p w14:paraId="048605EA" w14:textId="7BFB863D" w:rsidR="00047BE4" w:rsidRDefault="00047BE4" w:rsidP="00047BE4">
      <w:pPr>
        <w:pStyle w:val="Titulek"/>
        <w:keepNext/>
      </w:pPr>
      <w:bookmarkStart w:id="75" w:name="_Toc53037866"/>
      <w:bookmarkStart w:id="76" w:name="_Toc77074686"/>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6</w:t>
      </w:r>
      <w:r w:rsidR="004857C6">
        <w:rPr>
          <w:noProof/>
        </w:rPr>
        <w:fldChar w:fldCharType="end"/>
      </w:r>
      <w:r w:rsidR="00E94453">
        <w:rPr>
          <w:noProof/>
        </w:rPr>
        <w:t>:</w:t>
      </w:r>
      <w:r>
        <w:t xml:space="preserve"> Srovnání vybraných měst podle vzdělanostní struktury (k 26. 3. 2011)</w:t>
      </w:r>
      <w:bookmarkEnd w:id="75"/>
      <w:bookmarkEnd w:id="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92"/>
        <w:gridCol w:w="1060"/>
        <w:gridCol w:w="1062"/>
        <w:gridCol w:w="993"/>
        <w:gridCol w:w="1276"/>
        <w:gridCol w:w="917"/>
        <w:gridCol w:w="1062"/>
      </w:tblGrid>
      <w:tr w:rsidR="00047BE4" w:rsidRPr="0014713B" w14:paraId="38B09FA9" w14:textId="77777777" w:rsidTr="00047BE4">
        <w:trPr>
          <w:trHeight w:val="255"/>
          <w:tblHeader/>
        </w:trPr>
        <w:tc>
          <w:tcPr>
            <w:tcW w:w="1485" w:type="pct"/>
            <w:shd w:val="clear" w:color="auto" w:fill="F2F2F2" w:themeFill="background1" w:themeFillShade="F2"/>
            <w:vAlign w:val="center"/>
            <w:hideMark/>
          </w:tcPr>
          <w:p w14:paraId="249DA020" w14:textId="77777777" w:rsidR="00047BE4" w:rsidRPr="0014713B" w:rsidRDefault="00047BE4" w:rsidP="00047BE4">
            <w:pPr>
              <w:keepNext/>
              <w:spacing w:before="0"/>
              <w:jc w:val="center"/>
              <w:rPr>
                <w:rFonts w:eastAsia="Times New Roman" w:cstheme="minorHAnsi"/>
                <w:b/>
                <w:sz w:val="18"/>
                <w:szCs w:val="18"/>
                <w:lang w:eastAsia="cs-CZ"/>
              </w:rPr>
            </w:pPr>
            <w:r w:rsidRPr="0014713B">
              <w:rPr>
                <w:rFonts w:eastAsia="Times New Roman" w:cstheme="minorHAnsi"/>
                <w:b/>
                <w:sz w:val="18"/>
                <w:szCs w:val="18"/>
                <w:lang w:eastAsia="cs-CZ"/>
              </w:rPr>
              <w:t>Vzdělání</w:t>
            </w:r>
          </w:p>
        </w:tc>
        <w:tc>
          <w:tcPr>
            <w:tcW w:w="585" w:type="pct"/>
            <w:tcBorders>
              <w:bottom w:val="single" w:sz="4" w:space="0" w:color="auto"/>
            </w:tcBorders>
            <w:shd w:val="clear" w:color="auto" w:fill="F2F2F2" w:themeFill="background1" w:themeFillShade="F2"/>
            <w:noWrap/>
            <w:vAlign w:val="center"/>
            <w:hideMark/>
          </w:tcPr>
          <w:p w14:paraId="4E14B55B" w14:textId="77777777" w:rsidR="00047BE4" w:rsidRPr="0014713B" w:rsidRDefault="00047BE4" w:rsidP="00047BE4">
            <w:pPr>
              <w:keepNext/>
              <w:spacing w:before="0"/>
              <w:jc w:val="center"/>
              <w:rPr>
                <w:rFonts w:eastAsia="Times New Roman" w:cstheme="minorHAnsi"/>
                <w:b/>
                <w:color w:val="000000"/>
                <w:sz w:val="18"/>
                <w:szCs w:val="18"/>
                <w:lang w:eastAsia="cs-CZ"/>
              </w:rPr>
            </w:pPr>
            <w:r w:rsidRPr="0014713B">
              <w:rPr>
                <w:rFonts w:eastAsia="Times New Roman" w:cstheme="minorHAnsi"/>
                <w:b/>
                <w:color w:val="000000"/>
                <w:sz w:val="18"/>
                <w:szCs w:val="18"/>
                <w:lang w:eastAsia="cs-CZ"/>
              </w:rPr>
              <w:t>Zlín</w:t>
            </w:r>
          </w:p>
        </w:tc>
        <w:tc>
          <w:tcPr>
            <w:tcW w:w="586" w:type="pct"/>
            <w:tcBorders>
              <w:bottom w:val="single" w:sz="4" w:space="0" w:color="auto"/>
            </w:tcBorders>
            <w:shd w:val="clear" w:color="auto" w:fill="F2F2F2" w:themeFill="background1" w:themeFillShade="F2"/>
            <w:noWrap/>
            <w:vAlign w:val="center"/>
            <w:hideMark/>
          </w:tcPr>
          <w:p w14:paraId="0B7E33B6" w14:textId="77777777" w:rsidR="00047BE4" w:rsidRPr="0014713B" w:rsidRDefault="00047BE4" w:rsidP="00047BE4">
            <w:pPr>
              <w:keepNext/>
              <w:spacing w:before="0"/>
              <w:jc w:val="center"/>
              <w:rPr>
                <w:rFonts w:eastAsia="Times New Roman" w:cstheme="minorHAnsi"/>
                <w:b/>
                <w:color w:val="000000"/>
                <w:sz w:val="18"/>
                <w:szCs w:val="18"/>
                <w:lang w:eastAsia="cs-CZ"/>
              </w:rPr>
            </w:pPr>
            <w:r w:rsidRPr="0014713B">
              <w:rPr>
                <w:rFonts w:eastAsia="Times New Roman" w:cstheme="minorHAnsi"/>
                <w:b/>
                <w:color w:val="000000"/>
                <w:sz w:val="18"/>
                <w:szCs w:val="18"/>
                <w:lang w:eastAsia="cs-CZ"/>
              </w:rPr>
              <w:t>Liberec</w:t>
            </w:r>
          </w:p>
        </w:tc>
        <w:tc>
          <w:tcPr>
            <w:tcW w:w="548" w:type="pct"/>
            <w:tcBorders>
              <w:bottom w:val="single" w:sz="4" w:space="0" w:color="auto"/>
            </w:tcBorders>
            <w:shd w:val="clear" w:color="auto" w:fill="F2F2F2" w:themeFill="background1" w:themeFillShade="F2"/>
            <w:noWrap/>
            <w:vAlign w:val="center"/>
            <w:hideMark/>
          </w:tcPr>
          <w:p w14:paraId="039283D2" w14:textId="77777777" w:rsidR="00047BE4" w:rsidRPr="0014713B" w:rsidRDefault="00047BE4" w:rsidP="00047BE4">
            <w:pPr>
              <w:keepNext/>
              <w:spacing w:before="0"/>
              <w:jc w:val="center"/>
              <w:rPr>
                <w:rFonts w:eastAsia="Times New Roman" w:cstheme="minorHAnsi"/>
                <w:b/>
                <w:color w:val="000000"/>
                <w:sz w:val="18"/>
                <w:szCs w:val="18"/>
                <w:lang w:eastAsia="cs-CZ"/>
              </w:rPr>
            </w:pPr>
            <w:r w:rsidRPr="0014713B">
              <w:rPr>
                <w:rFonts w:eastAsia="Times New Roman" w:cstheme="minorHAnsi"/>
                <w:b/>
                <w:color w:val="000000"/>
                <w:sz w:val="18"/>
                <w:szCs w:val="18"/>
                <w:lang w:eastAsia="cs-CZ"/>
              </w:rPr>
              <w:t>Olomouc</w:t>
            </w:r>
          </w:p>
        </w:tc>
        <w:tc>
          <w:tcPr>
            <w:tcW w:w="704" w:type="pct"/>
            <w:tcBorders>
              <w:bottom w:val="single" w:sz="4" w:space="0" w:color="auto"/>
            </w:tcBorders>
            <w:shd w:val="clear" w:color="auto" w:fill="F2F2F2" w:themeFill="background1" w:themeFillShade="F2"/>
            <w:noWrap/>
            <w:vAlign w:val="center"/>
            <w:hideMark/>
          </w:tcPr>
          <w:p w14:paraId="26D7B355" w14:textId="77777777" w:rsidR="00047BE4" w:rsidRPr="0014713B" w:rsidRDefault="00047BE4" w:rsidP="00047BE4">
            <w:pPr>
              <w:keepNext/>
              <w:spacing w:before="0"/>
              <w:jc w:val="center"/>
              <w:rPr>
                <w:rFonts w:eastAsia="Times New Roman" w:cstheme="minorHAnsi"/>
                <w:b/>
                <w:color w:val="000000"/>
                <w:sz w:val="18"/>
                <w:szCs w:val="18"/>
                <w:lang w:eastAsia="cs-CZ"/>
              </w:rPr>
            </w:pPr>
            <w:r w:rsidRPr="0014713B">
              <w:rPr>
                <w:rFonts w:eastAsia="Times New Roman" w:cstheme="minorHAnsi"/>
                <w:b/>
                <w:color w:val="000000"/>
                <w:sz w:val="18"/>
                <w:szCs w:val="18"/>
                <w:lang w:eastAsia="cs-CZ"/>
              </w:rPr>
              <w:t>Č. Budějovice</w:t>
            </w:r>
          </w:p>
        </w:tc>
        <w:tc>
          <w:tcPr>
            <w:tcW w:w="506" w:type="pct"/>
            <w:tcBorders>
              <w:bottom w:val="single" w:sz="4" w:space="0" w:color="auto"/>
            </w:tcBorders>
            <w:shd w:val="clear" w:color="auto" w:fill="F2F2F2" w:themeFill="background1" w:themeFillShade="F2"/>
            <w:noWrap/>
            <w:vAlign w:val="center"/>
            <w:hideMark/>
          </w:tcPr>
          <w:p w14:paraId="3C078584" w14:textId="77777777" w:rsidR="00047BE4" w:rsidRPr="0014713B" w:rsidRDefault="00047BE4" w:rsidP="00047BE4">
            <w:pPr>
              <w:keepNext/>
              <w:spacing w:before="0"/>
              <w:jc w:val="center"/>
              <w:rPr>
                <w:rFonts w:eastAsia="Times New Roman" w:cstheme="minorHAnsi"/>
                <w:b/>
                <w:color w:val="000000"/>
                <w:sz w:val="18"/>
                <w:szCs w:val="18"/>
                <w:lang w:eastAsia="cs-CZ"/>
              </w:rPr>
            </w:pPr>
            <w:r w:rsidRPr="0014713B">
              <w:rPr>
                <w:rFonts w:eastAsia="Times New Roman" w:cstheme="minorHAnsi"/>
                <w:b/>
                <w:color w:val="000000"/>
                <w:sz w:val="18"/>
                <w:szCs w:val="18"/>
                <w:lang w:eastAsia="cs-CZ"/>
              </w:rPr>
              <w:t>Opava</w:t>
            </w:r>
          </w:p>
        </w:tc>
        <w:tc>
          <w:tcPr>
            <w:tcW w:w="586" w:type="pct"/>
            <w:tcBorders>
              <w:bottom w:val="single" w:sz="4" w:space="0" w:color="auto"/>
            </w:tcBorders>
            <w:shd w:val="clear" w:color="auto" w:fill="F2F2F2" w:themeFill="background1" w:themeFillShade="F2"/>
            <w:noWrap/>
            <w:vAlign w:val="center"/>
            <w:hideMark/>
          </w:tcPr>
          <w:p w14:paraId="0799F74B" w14:textId="77777777" w:rsidR="00047BE4" w:rsidRPr="0014713B" w:rsidRDefault="00047BE4" w:rsidP="00047BE4">
            <w:pPr>
              <w:keepNext/>
              <w:spacing w:before="0"/>
              <w:jc w:val="center"/>
              <w:rPr>
                <w:rFonts w:eastAsia="Times New Roman" w:cstheme="minorHAnsi"/>
                <w:b/>
                <w:color w:val="000000"/>
                <w:sz w:val="18"/>
                <w:szCs w:val="18"/>
                <w:lang w:eastAsia="cs-CZ"/>
              </w:rPr>
            </w:pPr>
            <w:r w:rsidRPr="0014713B">
              <w:rPr>
                <w:rFonts w:eastAsia="Times New Roman" w:cstheme="minorHAnsi"/>
                <w:b/>
                <w:color w:val="000000"/>
                <w:sz w:val="18"/>
                <w:szCs w:val="18"/>
                <w:lang w:eastAsia="cs-CZ"/>
              </w:rPr>
              <w:t>Pardubice</w:t>
            </w:r>
          </w:p>
        </w:tc>
      </w:tr>
      <w:tr w:rsidR="00047BE4" w:rsidRPr="0014713B" w14:paraId="5C35C036" w14:textId="77777777" w:rsidTr="00047BE4">
        <w:trPr>
          <w:trHeight w:val="255"/>
        </w:trPr>
        <w:tc>
          <w:tcPr>
            <w:tcW w:w="1485" w:type="pct"/>
            <w:shd w:val="clear" w:color="auto" w:fill="auto"/>
            <w:vAlign w:val="center"/>
            <w:hideMark/>
          </w:tcPr>
          <w:p w14:paraId="6AE9DEB3"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bez vzdělání</w:t>
            </w:r>
          </w:p>
        </w:tc>
        <w:tc>
          <w:tcPr>
            <w:tcW w:w="585" w:type="pct"/>
            <w:tcBorders>
              <w:top w:val="single" w:sz="4" w:space="0" w:color="auto"/>
              <w:left w:val="nil"/>
              <w:bottom w:val="single" w:sz="4" w:space="0" w:color="auto"/>
              <w:right w:val="single" w:sz="4" w:space="0" w:color="auto"/>
            </w:tcBorders>
            <w:shd w:val="clear" w:color="000000" w:fill="5A8AC6"/>
            <w:noWrap/>
            <w:vAlign w:val="bottom"/>
            <w:hideMark/>
          </w:tcPr>
          <w:p w14:paraId="29115DBC" w14:textId="1C09834A"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0,2</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608EC8"/>
            <w:noWrap/>
            <w:vAlign w:val="bottom"/>
            <w:hideMark/>
          </w:tcPr>
          <w:p w14:paraId="1A45AD92" w14:textId="705732BA"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0,4</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5B8BC6"/>
            <w:noWrap/>
            <w:vAlign w:val="bottom"/>
            <w:hideMark/>
          </w:tcPr>
          <w:p w14:paraId="7E207D52" w14:textId="72FA2422"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0,3</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5D8CC7"/>
            <w:noWrap/>
            <w:vAlign w:val="bottom"/>
            <w:hideMark/>
          </w:tcPr>
          <w:p w14:paraId="3F74B756" w14:textId="51169B7E"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0,3</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6D97CC"/>
            <w:noWrap/>
            <w:vAlign w:val="bottom"/>
            <w:hideMark/>
          </w:tcPr>
          <w:p w14:paraId="7BAA4484" w14:textId="6E3082AC"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0,7</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4E1379D5" w14:textId="7E4DCE91"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0,3</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6373F178" w14:textId="77777777" w:rsidTr="00047BE4">
        <w:trPr>
          <w:trHeight w:val="255"/>
        </w:trPr>
        <w:tc>
          <w:tcPr>
            <w:tcW w:w="1485" w:type="pct"/>
            <w:shd w:val="clear" w:color="auto" w:fill="auto"/>
            <w:vAlign w:val="center"/>
            <w:hideMark/>
          </w:tcPr>
          <w:p w14:paraId="151BBDAC"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základní (vč. neukončeného)</w:t>
            </w:r>
          </w:p>
        </w:tc>
        <w:tc>
          <w:tcPr>
            <w:tcW w:w="585" w:type="pct"/>
            <w:tcBorders>
              <w:top w:val="single" w:sz="4" w:space="0" w:color="auto"/>
              <w:left w:val="nil"/>
              <w:bottom w:val="single" w:sz="4" w:space="0" w:color="auto"/>
              <w:right w:val="single" w:sz="4" w:space="0" w:color="auto"/>
            </w:tcBorders>
            <w:shd w:val="clear" w:color="000000" w:fill="FBC2C5"/>
            <w:noWrap/>
            <w:vAlign w:val="bottom"/>
            <w:hideMark/>
          </w:tcPr>
          <w:p w14:paraId="64483218" w14:textId="5C96B0CD"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15,4</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BC3C6"/>
            <w:noWrap/>
            <w:vAlign w:val="bottom"/>
            <w:hideMark/>
          </w:tcPr>
          <w:p w14:paraId="40B6AEEA" w14:textId="5C41FA30"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15,1</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FBCACD"/>
            <w:noWrap/>
            <w:vAlign w:val="bottom"/>
            <w:hideMark/>
          </w:tcPr>
          <w:p w14:paraId="3B612BF0" w14:textId="01492630"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13,8</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FBCACC"/>
            <w:noWrap/>
            <w:vAlign w:val="bottom"/>
            <w:hideMark/>
          </w:tcPr>
          <w:p w14:paraId="19DF635E" w14:textId="6B580DC2"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13,9</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FBBCBE"/>
            <w:noWrap/>
            <w:vAlign w:val="bottom"/>
            <w:hideMark/>
          </w:tcPr>
          <w:p w14:paraId="29F3C413" w14:textId="5611F885"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16,6</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BCCCE"/>
            <w:noWrap/>
            <w:vAlign w:val="bottom"/>
            <w:hideMark/>
          </w:tcPr>
          <w:p w14:paraId="07B5C5DA" w14:textId="09FA7C9D"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13,5</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0787E5F4" w14:textId="77777777" w:rsidTr="00047BE4">
        <w:trPr>
          <w:trHeight w:val="255"/>
        </w:trPr>
        <w:tc>
          <w:tcPr>
            <w:tcW w:w="1485" w:type="pct"/>
            <w:shd w:val="clear" w:color="auto" w:fill="auto"/>
            <w:vAlign w:val="center"/>
            <w:hideMark/>
          </w:tcPr>
          <w:p w14:paraId="7203680D"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střední vč. vyučení (bez maturity)</w:t>
            </w:r>
          </w:p>
        </w:tc>
        <w:tc>
          <w:tcPr>
            <w:tcW w:w="585" w:type="pct"/>
            <w:tcBorders>
              <w:top w:val="single" w:sz="4" w:space="0" w:color="auto"/>
              <w:left w:val="nil"/>
              <w:bottom w:val="single" w:sz="4" w:space="0" w:color="auto"/>
              <w:right w:val="single" w:sz="4" w:space="0" w:color="auto"/>
            </w:tcBorders>
            <w:shd w:val="clear" w:color="000000" w:fill="F97A7C"/>
            <w:noWrap/>
            <w:vAlign w:val="bottom"/>
            <w:hideMark/>
          </w:tcPr>
          <w:p w14:paraId="07BBA44D" w14:textId="33FE670E"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29,0</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97577"/>
            <w:noWrap/>
            <w:vAlign w:val="bottom"/>
            <w:hideMark/>
          </w:tcPr>
          <w:p w14:paraId="449ACEE7" w14:textId="6A27DD93"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29,9</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F98789"/>
            <w:noWrap/>
            <w:vAlign w:val="bottom"/>
            <w:hideMark/>
          </w:tcPr>
          <w:p w14:paraId="02003EDA" w14:textId="6E4AC066"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26,5</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F98183"/>
            <w:noWrap/>
            <w:vAlign w:val="bottom"/>
            <w:hideMark/>
          </w:tcPr>
          <w:p w14:paraId="5E77D6E2" w14:textId="2C14B547"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27,7</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67B83F5" w14:textId="0A77DFDC"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32,0</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97476"/>
            <w:noWrap/>
            <w:vAlign w:val="bottom"/>
            <w:hideMark/>
          </w:tcPr>
          <w:p w14:paraId="3B820F0B" w14:textId="698B4C81"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30,0</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576D87A7" w14:textId="77777777" w:rsidTr="00047BE4">
        <w:trPr>
          <w:trHeight w:val="255"/>
        </w:trPr>
        <w:tc>
          <w:tcPr>
            <w:tcW w:w="1485" w:type="pct"/>
            <w:shd w:val="clear" w:color="auto" w:fill="auto"/>
            <w:vAlign w:val="center"/>
            <w:hideMark/>
          </w:tcPr>
          <w:p w14:paraId="038D63A9"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úplné střední s maturitou</w:t>
            </w:r>
          </w:p>
        </w:tc>
        <w:tc>
          <w:tcPr>
            <w:tcW w:w="585" w:type="pct"/>
            <w:tcBorders>
              <w:top w:val="single" w:sz="4" w:space="0" w:color="auto"/>
              <w:left w:val="nil"/>
              <w:bottom w:val="single" w:sz="4" w:space="0" w:color="auto"/>
              <w:right w:val="single" w:sz="4" w:space="0" w:color="auto"/>
            </w:tcBorders>
            <w:shd w:val="clear" w:color="000000" w:fill="F97678"/>
            <w:noWrap/>
            <w:vAlign w:val="bottom"/>
            <w:hideMark/>
          </w:tcPr>
          <w:p w14:paraId="62350FB4" w14:textId="41C44E44"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29,6</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97C7E"/>
            <w:noWrap/>
            <w:vAlign w:val="bottom"/>
            <w:hideMark/>
          </w:tcPr>
          <w:p w14:paraId="28A846E8" w14:textId="166C3DF3"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28,6</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F97375"/>
            <w:noWrap/>
            <w:vAlign w:val="bottom"/>
            <w:hideMark/>
          </w:tcPr>
          <w:p w14:paraId="5AB4F5F1" w14:textId="44C3F567"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30,3</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F96F71"/>
            <w:noWrap/>
            <w:vAlign w:val="bottom"/>
            <w:hideMark/>
          </w:tcPr>
          <w:p w14:paraId="6B4BF936" w14:textId="317B2A8D"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31,0</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F97E80"/>
            <w:noWrap/>
            <w:vAlign w:val="bottom"/>
            <w:hideMark/>
          </w:tcPr>
          <w:p w14:paraId="5CA48493" w14:textId="33D3B0B9"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28,3</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96F71"/>
            <w:noWrap/>
            <w:vAlign w:val="bottom"/>
            <w:hideMark/>
          </w:tcPr>
          <w:p w14:paraId="2E7EF443" w14:textId="2002D6EB"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31,0</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1447FF29" w14:textId="77777777" w:rsidTr="00047BE4">
        <w:trPr>
          <w:trHeight w:val="255"/>
        </w:trPr>
        <w:tc>
          <w:tcPr>
            <w:tcW w:w="1485" w:type="pct"/>
            <w:shd w:val="clear" w:color="auto" w:fill="auto"/>
            <w:vAlign w:val="center"/>
            <w:hideMark/>
          </w:tcPr>
          <w:p w14:paraId="1FF9FF4A"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vyšší odborné</w:t>
            </w:r>
          </w:p>
        </w:tc>
        <w:tc>
          <w:tcPr>
            <w:tcW w:w="585" w:type="pct"/>
            <w:tcBorders>
              <w:top w:val="single" w:sz="4" w:space="0" w:color="auto"/>
              <w:left w:val="nil"/>
              <w:bottom w:val="single" w:sz="4" w:space="0" w:color="auto"/>
              <w:right w:val="single" w:sz="4" w:space="0" w:color="auto"/>
            </w:tcBorders>
            <w:shd w:val="clear" w:color="000000" w:fill="89ABD6"/>
            <w:noWrap/>
            <w:vAlign w:val="bottom"/>
            <w:hideMark/>
          </w:tcPr>
          <w:p w14:paraId="54C389C1" w14:textId="22FB59CD"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1,5</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85A8D5"/>
            <w:noWrap/>
            <w:vAlign w:val="bottom"/>
            <w:hideMark/>
          </w:tcPr>
          <w:p w14:paraId="6C88A314" w14:textId="51915C2F"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1,4</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8CADD7"/>
            <w:noWrap/>
            <w:vAlign w:val="bottom"/>
            <w:hideMark/>
          </w:tcPr>
          <w:p w14:paraId="50E51AAB" w14:textId="2CAA4876"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1,5</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92B1D9"/>
            <w:noWrap/>
            <w:vAlign w:val="bottom"/>
            <w:hideMark/>
          </w:tcPr>
          <w:p w14:paraId="003CFB40" w14:textId="5D1C412E"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1,7</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779ED0"/>
            <w:noWrap/>
            <w:vAlign w:val="bottom"/>
            <w:hideMark/>
          </w:tcPr>
          <w:p w14:paraId="3E7F73A8" w14:textId="5B2F6CB7"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1,0</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8CADD7"/>
            <w:noWrap/>
            <w:vAlign w:val="bottom"/>
            <w:hideMark/>
          </w:tcPr>
          <w:p w14:paraId="3A84D0B8" w14:textId="27FBB7FC"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1,5</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1A54F5D0" w14:textId="77777777" w:rsidTr="00047BE4">
        <w:trPr>
          <w:trHeight w:val="255"/>
        </w:trPr>
        <w:tc>
          <w:tcPr>
            <w:tcW w:w="1485" w:type="pct"/>
            <w:shd w:val="clear" w:color="auto" w:fill="auto"/>
            <w:vAlign w:val="center"/>
            <w:hideMark/>
          </w:tcPr>
          <w:p w14:paraId="291472FB"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nástavbové</w:t>
            </w:r>
          </w:p>
        </w:tc>
        <w:tc>
          <w:tcPr>
            <w:tcW w:w="585" w:type="pct"/>
            <w:tcBorders>
              <w:top w:val="single" w:sz="4" w:space="0" w:color="auto"/>
              <w:left w:val="nil"/>
              <w:bottom w:val="single" w:sz="4" w:space="0" w:color="auto"/>
              <w:right w:val="single" w:sz="4" w:space="0" w:color="auto"/>
            </w:tcBorders>
            <w:shd w:val="clear" w:color="000000" w:fill="CFDCEF"/>
            <w:noWrap/>
            <w:vAlign w:val="bottom"/>
            <w:hideMark/>
          </w:tcPr>
          <w:p w14:paraId="108BCBAC" w14:textId="1FB0D1CF"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3,2</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C9D8ED"/>
            <w:noWrap/>
            <w:vAlign w:val="bottom"/>
            <w:hideMark/>
          </w:tcPr>
          <w:p w14:paraId="5E1139B5" w14:textId="508A46CC"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3,1</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CAD9ED"/>
            <w:noWrap/>
            <w:vAlign w:val="bottom"/>
            <w:hideMark/>
          </w:tcPr>
          <w:p w14:paraId="55DFC5BF" w14:textId="1BAA9AC1"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3,1</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DDE6F4"/>
            <w:noWrap/>
            <w:vAlign w:val="bottom"/>
            <w:hideMark/>
          </w:tcPr>
          <w:p w14:paraId="04B206EF" w14:textId="1FFD7960"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3,6</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CBD9ED"/>
            <w:noWrap/>
            <w:vAlign w:val="bottom"/>
            <w:hideMark/>
          </w:tcPr>
          <w:p w14:paraId="3CC0AA6F" w14:textId="456A9B92"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3,1</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D3DFF0"/>
            <w:noWrap/>
            <w:vAlign w:val="bottom"/>
            <w:hideMark/>
          </w:tcPr>
          <w:p w14:paraId="46573339" w14:textId="7ECE0460"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3,3</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0599C185" w14:textId="77777777" w:rsidTr="00047BE4">
        <w:trPr>
          <w:trHeight w:val="255"/>
        </w:trPr>
        <w:tc>
          <w:tcPr>
            <w:tcW w:w="1485" w:type="pct"/>
            <w:shd w:val="clear" w:color="auto" w:fill="auto"/>
            <w:vAlign w:val="center"/>
            <w:hideMark/>
          </w:tcPr>
          <w:p w14:paraId="4866F9D0"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vysokoškolské</w:t>
            </w:r>
          </w:p>
        </w:tc>
        <w:tc>
          <w:tcPr>
            <w:tcW w:w="585" w:type="pct"/>
            <w:tcBorders>
              <w:top w:val="single" w:sz="4" w:space="0" w:color="auto"/>
              <w:left w:val="nil"/>
              <w:bottom w:val="single" w:sz="4" w:space="0" w:color="auto"/>
              <w:right w:val="single" w:sz="4" w:space="0" w:color="auto"/>
            </w:tcBorders>
            <w:shd w:val="clear" w:color="000000" w:fill="FBB7B9"/>
            <w:noWrap/>
            <w:vAlign w:val="bottom"/>
            <w:hideMark/>
          </w:tcPr>
          <w:p w14:paraId="318A84D1" w14:textId="5D6DBED9"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17,5</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BC5C7"/>
            <w:noWrap/>
            <w:vAlign w:val="bottom"/>
            <w:hideMark/>
          </w:tcPr>
          <w:p w14:paraId="2A16211D" w14:textId="63CAE423"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14,9</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FAA6A9"/>
            <w:noWrap/>
            <w:vAlign w:val="bottom"/>
            <w:hideMark/>
          </w:tcPr>
          <w:p w14:paraId="2E01318C" w14:textId="7AFFA751"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20,6</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FBB9BB"/>
            <w:noWrap/>
            <w:vAlign w:val="bottom"/>
            <w:hideMark/>
          </w:tcPr>
          <w:p w14:paraId="7ED6A3CB" w14:textId="5A260E6C"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17,1</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FBC8CB"/>
            <w:noWrap/>
            <w:vAlign w:val="bottom"/>
            <w:hideMark/>
          </w:tcPr>
          <w:p w14:paraId="0B569E15" w14:textId="25DF09E1"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14,2</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BC2C5"/>
            <w:noWrap/>
            <w:vAlign w:val="bottom"/>
            <w:hideMark/>
          </w:tcPr>
          <w:p w14:paraId="14FB3E82" w14:textId="408AE22B"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15,3</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08CEC90F" w14:textId="77777777" w:rsidTr="00047BE4">
        <w:trPr>
          <w:trHeight w:val="255"/>
        </w:trPr>
        <w:tc>
          <w:tcPr>
            <w:tcW w:w="1485" w:type="pct"/>
            <w:shd w:val="clear" w:color="auto" w:fill="auto"/>
            <w:vAlign w:val="center"/>
            <w:hideMark/>
          </w:tcPr>
          <w:p w14:paraId="76A1B8F2" w14:textId="77777777" w:rsidR="00047BE4" w:rsidRPr="0014713B" w:rsidRDefault="00047BE4" w:rsidP="00047BE4">
            <w:pPr>
              <w:keepNext/>
              <w:spacing w:before="0"/>
              <w:ind w:firstLineChars="100" w:firstLine="180"/>
              <w:jc w:val="left"/>
              <w:rPr>
                <w:rFonts w:eastAsia="Times New Roman" w:cstheme="minorHAnsi"/>
                <w:i/>
                <w:color w:val="000000"/>
                <w:sz w:val="18"/>
                <w:szCs w:val="18"/>
                <w:lang w:eastAsia="cs-CZ"/>
              </w:rPr>
            </w:pPr>
            <w:r w:rsidRPr="0014713B">
              <w:rPr>
                <w:rFonts w:eastAsia="Times New Roman" w:cstheme="minorHAnsi"/>
                <w:i/>
                <w:color w:val="000000"/>
                <w:sz w:val="18"/>
                <w:szCs w:val="18"/>
                <w:lang w:eastAsia="cs-CZ"/>
              </w:rPr>
              <w:t>bakalářské</w:t>
            </w:r>
          </w:p>
        </w:tc>
        <w:tc>
          <w:tcPr>
            <w:tcW w:w="585" w:type="pct"/>
            <w:tcBorders>
              <w:top w:val="single" w:sz="4" w:space="0" w:color="auto"/>
              <w:left w:val="nil"/>
              <w:bottom w:val="single" w:sz="4" w:space="0" w:color="auto"/>
              <w:right w:val="single" w:sz="4" w:space="0" w:color="auto"/>
            </w:tcBorders>
            <w:shd w:val="clear" w:color="000000" w:fill="BACDE7"/>
            <w:noWrap/>
            <w:vAlign w:val="bottom"/>
            <w:hideMark/>
          </w:tcPr>
          <w:p w14:paraId="35410D82" w14:textId="563F8411"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2,7</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A6BFE0"/>
            <w:noWrap/>
            <w:vAlign w:val="bottom"/>
            <w:hideMark/>
          </w:tcPr>
          <w:p w14:paraId="1BAFF5CB" w14:textId="799EFF5C"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2,2</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BBCEE8"/>
            <w:noWrap/>
            <w:vAlign w:val="bottom"/>
            <w:hideMark/>
          </w:tcPr>
          <w:p w14:paraId="48751DC0" w14:textId="3CC2BA06"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2,7</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B7CBE6"/>
            <w:noWrap/>
            <w:vAlign w:val="bottom"/>
            <w:hideMark/>
          </w:tcPr>
          <w:p w14:paraId="500320A5" w14:textId="01042812"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2,6</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AEC5E3"/>
            <w:noWrap/>
            <w:vAlign w:val="bottom"/>
            <w:hideMark/>
          </w:tcPr>
          <w:p w14:paraId="2308483D" w14:textId="788ACE68"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2,4</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ADC4E3"/>
            <w:noWrap/>
            <w:vAlign w:val="bottom"/>
            <w:hideMark/>
          </w:tcPr>
          <w:p w14:paraId="0FC80E07" w14:textId="52FFC4D7" w:rsidR="00047BE4" w:rsidRPr="00F80DD2" w:rsidRDefault="00047BE4" w:rsidP="00593A07">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2,4</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3AFA3715" w14:textId="77777777" w:rsidTr="00047BE4">
        <w:trPr>
          <w:trHeight w:val="255"/>
        </w:trPr>
        <w:tc>
          <w:tcPr>
            <w:tcW w:w="1485" w:type="pct"/>
            <w:shd w:val="clear" w:color="auto" w:fill="auto"/>
            <w:vAlign w:val="center"/>
            <w:hideMark/>
          </w:tcPr>
          <w:p w14:paraId="000405DE" w14:textId="77777777" w:rsidR="00047BE4" w:rsidRPr="0014713B" w:rsidRDefault="00047BE4" w:rsidP="00047BE4">
            <w:pPr>
              <w:keepNext/>
              <w:spacing w:before="0"/>
              <w:ind w:firstLineChars="100" w:firstLine="180"/>
              <w:jc w:val="left"/>
              <w:rPr>
                <w:rFonts w:eastAsia="Times New Roman" w:cstheme="minorHAnsi"/>
                <w:i/>
                <w:color w:val="000000"/>
                <w:sz w:val="18"/>
                <w:szCs w:val="18"/>
                <w:lang w:eastAsia="cs-CZ"/>
              </w:rPr>
            </w:pPr>
            <w:r w:rsidRPr="0014713B">
              <w:rPr>
                <w:rFonts w:eastAsia="Times New Roman" w:cstheme="minorHAnsi"/>
                <w:i/>
                <w:color w:val="000000"/>
                <w:sz w:val="18"/>
                <w:szCs w:val="18"/>
                <w:lang w:eastAsia="cs-CZ"/>
              </w:rPr>
              <w:t>magisterské</w:t>
            </w:r>
          </w:p>
        </w:tc>
        <w:tc>
          <w:tcPr>
            <w:tcW w:w="585" w:type="pct"/>
            <w:tcBorders>
              <w:top w:val="single" w:sz="4" w:space="0" w:color="auto"/>
              <w:left w:val="nil"/>
              <w:bottom w:val="single" w:sz="4" w:space="0" w:color="auto"/>
              <w:right w:val="single" w:sz="4" w:space="0" w:color="auto"/>
            </w:tcBorders>
            <w:shd w:val="clear" w:color="000000" w:fill="FBC9CB"/>
            <w:noWrap/>
            <w:vAlign w:val="bottom"/>
            <w:hideMark/>
          </w:tcPr>
          <w:p w14:paraId="3561B8B7" w14:textId="5DBA55F8"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14,1</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BD3D6"/>
            <w:noWrap/>
            <w:vAlign w:val="bottom"/>
            <w:hideMark/>
          </w:tcPr>
          <w:p w14:paraId="00F81EA0" w14:textId="63B754CC"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12,1</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FBBDC0"/>
            <w:noWrap/>
            <w:vAlign w:val="bottom"/>
            <w:hideMark/>
          </w:tcPr>
          <w:p w14:paraId="49BB8ECE" w14:textId="15674BBA"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16,3</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FBCBCE"/>
            <w:noWrap/>
            <w:vAlign w:val="bottom"/>
            <w:hideMark/>
          </w:tcPr>
          <w:p w14:paraId="3B6254E5" w14:textId="1781DE0F"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13,6</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FBD8DA"/>
            <w:noWrap/>
            <w:vAlign w:val="bottom"/>
            <w:hideMark/>
          </w:tcPr>
          <w:p w14:paraId="465FB540" w14:textId="001D6B8A"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11,3</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BD3D6"/>
            <w:noWrap/>
            <w:vAlign w:val="bottom"/>
            <w:hideMark/>
          </w:tcPr>
          <w:p w14:paraId="60B92CD8" w14:textId="77777777"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12,1%</w:t>
            </w:r>
          </w:p>
        </w:tc>
      </w:tr>
      <w:tr w:rsidR="00047BE4" w:rsidRPr="0014713B" w14:paraId="69946FCB" w14:textId="77777777" w:rsidTr="00047BE4">
        <w:trPr>
          <w:trHeight w:val="255"/>
        </w:trPr>
        <w:tc>
          <w:tcPr>
            <w:tcW w:w="1485" w:type="pct"/>
            <w:shd w:val="clear" w:color="auto" w:fill="auto"/>
            <w:vAlign w:val="center"/>
            <w:hideMark/>
          </w:tcPr>
          <w:p w14:paraId="2C1FE796" w14:textId="77777777" w:rsidR="00047BE4" w:rsidRPr="0014713B" w:rsidRDefault="00047BE4" w:rsidP="00047BE4">
            <w:pPr>
              <w:keepNext/>
              <w:spacing w:before="0"/>
              <w:ind w:firstLineChars="100" w:firstLine="180"/>
              <w:jc w:val="left"/>
              <w:rPr>
                <w:rFonts w:eastAsia="Times New Roman" w:cstheme="minorHAnsi"/>
                <w:i/>
                <w:color w:val="000000"/>
                <w:sz w:val="18"/>
                <w:szCs w:val="18"/>
                <w:lang w:eastAsia="cs-CZ"/>
              </w:rPr>
            </w:pPr>
            <w:r w:rsidRPr="0014713B">
              <w:rPr>
                <w:rFonts w:eastAsia="Times New Roman" w:cstheme="minorHAnsi"/>
                <w:i/>
                <w:color w:val="000000"/>
                <w:sz w:val="18"/>
                <w:szCs w:val="18"/>
                <w:lang w:eastAsia="cs-CZ"/>
              </w:rPr>
              <w:t>doktorské</w:t>
            </w:r>
          </w:p>
        </w:tc>
        <w:tc>
          <w:tcPr>
            <w:tcW w:w="585" w:type="pct"/>
            <w:tcBorders>
              <w:top w:val="single" w:sz="4" w:space="0" w:color="auto"/>
              <w:left w:val="nil"/>
              <w:bottom w:val="single" w:sz="4" w:space="0" w:color="auto"/>
              <w:right w:val="single" w:sz="4" w:space="0" w:color="auto"/>
            </w:tcBorders>
            <w:shd w:val="clear" w:color="000000" w:fill="6C96CC"/>
            <w:noWrap/>
            <w:vAlign w:val="bottom"/>
            <w:hideMark/>
          </w:tcPr>
          <w:p w14:paraId="5F043FDB" w14:textId="5080E41C"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0,7</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6894CB"/>
            <w:noWrap/>
            <w:vAlign w:val="bottom"/>
            <w:hideMark/>
          </w:tcPr>
          <w:p w14:paraId="411290A5" w14:textId="0B3CF100"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0,6</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8EAED8"/>
            <w:noWrap/>
            <w:vAlign w:val="bottom"/>
            <w:hideMark/>
          </w:tcPr>
          <w:p w14:paraId="0043ECDA" w14:textId="36D0E65A"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1,6</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739BCE"/>
            <w:noWrap/>
            <w:vAlign w:val="bottom"/>
            <w:hideMark/>
          </w:tcPr>
          <w:p w14:paraId="48E211AE" w14:textId="6C309CAC"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0,9</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618FC8"/>
            <w:noWrap/>
            <w:vAlign w:val="bottom"/>
            <w:hideMark/>
          </w:tcPr>
          <w:p w14:paraId="23CD19AE" w14:textId="03B33513"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0,4</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729BCE"/>
            <w:noWrap/>
            <w:vAlign w:val="bottom"/>
            <w:hideMark/>
          </w:tcPr>
          <w:p w14:paraId="0E5EE56E" w14:textId="20454745" w:rsidR="00047BE4" w:rsidRPr="00F80DD2" w:rsidRDefault="00047BE4" w:rsidP="00047BE4">
            <w:pPr>
              <w:keepNext/>
              <w:spacing w:before="0"/>
              <w:jc w:val="right"/>
              <w:rPr>
                <w:rFonts w:eastAsia="Times New Roman" w:cstheme="minorHAnsi"/>
                <w:i/>
                <w:color w:val="000000"/>
                <w:sz w:val="18"/>
                <w:szCs w:val="18"/>
                <w:lang w:eastAsia="cs-CZ"/>
              </w:rPr>
            </w:pPr>
            <w:r w:rsidRPr="00F80DD2">
              <w:rPr>
                <w:rFonts w:cstheme="minorHAnsi"/>
                <w:color w:val="000000"/>
                <w:sz w:val="18"/>
                <w:szCs w:val="18"/>
              </w:rPr>
              <w:t>0,9</w:t>
            </w:r>
            <w:r w:rsidR="00593A07">
              <w:rPr>
                <w:rFonts w:cstheme="minorHAnsi"/>
                <w:color w:val="000000"/>
                <w:sz w:val="18"/>
                <w:szCs w:val="18"/>
              </w:rPr>
              <w:t xml:space="preserve"> </w:t>
            </w:r>
            <w:r w:rsidRPr="00F80DD2">
              <w:rPr>
                <w:rFonts w:cstheme="minorHAnsi"/>
                <w:color w:val="000000"/>
                <w:sz w:val="18"/>
                <w:szCs w:val="18"/>
              </w:rPr>
              <w:t>%</w:t>
            </w:r>
          </w:p>
        </w:tc>
      </w:tr>
      <w:tr w:rsidR="00047BE4" w:rsidRPr="0014713B" w14:paraId="2FDA754E" w14:textId="77777777" w:rsidTr="00047BE4">
        <w:trPr>
          <w:trHeight w:val="255"/>
        </w:trPr>
        <w:tc>
          <w:tcPr>
            <w:tcW w:w="1485" w:type="pct"/>
            <w:shd w:val="clear" w:color="auto" w:fill="auto"/>
            <w:vAlign w:val="center"/>
            <w:hideMark/>
          </w:tcPr>
          <w:p w14:paraId="7E91BFD8" w14:textId="77777777" w:rsidR="00047BE4" w:rsidRPr="0014713B" w:rsidRDefault="00047BE4" w:rsidP="00047BE4">
            <w:pPr>
              <w:keepNext/>
              <w:spacing w:before="0"/>
              <w:jc w:val="left"/>
              <w:rPr>
                <w:rFonts w:eastAsia="Times New Roman" w:cstheme="minorHAnsi"/>
                <w:color w:val="000000"/>
                <w:sz w:val="18"/>
                <w:szCs w:val="18"/>
                <w:lang w:eastAsia="cs-CZ"/>
              </w:rPr>
            </w:pPr>
            <w:r w:rsidRPr="0014713B">
              <w:rPr>
                <w:rFonts w:eastAsia="Times New Roman" w:cstheme="minorHAnsi"/>
                <w:color w:val="000000"/>
                <w:sz w:val="18"/>
                <w:szCs w:val="18"/>
                <w:lang w:eastAsia="cs-CZ"/>
              </w:rPr>
              <w:t>nezjištěno</w:t>
            </w:r>
          </w:p>
        </w:tc>
        <w:tc>
          <w:tcPr>
            <w:tcW w:w="585" w:type="pct"/>
            <w:tcBorders>
              <w:top w:val="single" w:sz="4" w:space="0" w:color="auto"/>
              <w:left w:val="nil"/>
              <w:bottom w:val="single" w:sz="4" w:space="0" w:color="auto"/>
              <w:right w:val="single" w:sz="4" w:space="0" w:color="auto"/>
            </w:tcBorders>
            <w:shd w:val="clear" w:color="000000" w:fill="DCE6F4"/>
            <w:noWrap/>
            <w:vAlign w:val="bottom"/>
            <w:hideMark/>
          </w:tcPr>
          <w:p w14:paraId="3879C066" w14:textId="7BBBD7EA"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3,6</w:t>
            </w:r>
            <w:r w:rsidR="00E94453">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CF1F3"/>
            <w:noWrap/>
            <w:vAlign w:val="bottom"/>
            <w:hideMark/>
          </w:tcPr>
          <w:p w14:paraId="31D6D781" w14:textId="3BF64D24"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6,6</w:t>
            </w:r>
            <w:r w:rsidR="00E94453">
              <w:rPr>
                <w:rFonts w:cstheme="minorHAnsi"/>
                <w:color w:val="000000"/>
                <w:sz w:val="18"/>
                <w:szCs w:val="18"/>
              </w:rPr>
              <w:t xml:space="preserve"> </w:t>
            </w:r>
            <w:r w:rsidRPr="00F80DD2">
              <w:rPr>
                <w:rFonts w:cstheme="minorHAnsi"/>
                <w:color w:val="000000"/>
                <w:sz w:val="18"/>
                <w:szCs w:val="18"/>
              </w:rPr>
              <w:t>%</w:t>
            </w:r>
          </w:p>
        </w:tc>
        <w:tc>
          <w:tcPr>
            <w:tcW w:w="548" w:type="pct"/>
            <w:tcBorders>
              <w:top w:val="single" w:sz="4" w:space="0" w:color="auto"/>
              <w:left w:val="single" w:sz="4" w:space="0" w:color="auto"/>
              <w:bottom w:val="single" w:sz="4" w:space="0" w:color="auto"/>
              <w:right w:val="single" w:sz="4" w:space="0" w:color="auto"/>
            </w:tcBorders>
            <w:shd w:val="clear" w:color="000000" w:fill="EBF0F9"/>
            <w:noWrap/>
            <w:vAlign w:val="bottom"/>
            <w:hideMark/>
          </w:tcPr>
          <w:p w14:paraId="1A165086" w14:textId="0721E4FD"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4,0</w:t>
            </w:r>
            <w:r w:rsidR="00E94453">
              <w:rPr>
                <w:rFonts w:cstheme="minorHAnsi"/>
                <w:color w:val="000000"/>
                <w:sz w:val="18"/>
                <w:szCs w:val="18"/>
              </w:rPr>
              <w:t xml:space="preserve"> </w:t>
            </w:r>
            <w:r w:rsidRPr="00F80DD2">
              <w:rPr>
                <w:rFonts w:cstheme="minorHAnsi"/>
                <w:color w:val="000000"/>
                <w:sz w:val="18"/>
                <w:szCs w:val="18"/>
              </w:rPr>
              <w:t>%</w:t>
            </w:r>
          </w:p>
        </w:tc>
        <w:tc>
          <w:tcPr>
            <w:tcW w:w="704" w:type="pct"/>
            <w:tcBorders>
              <w:top w:val="single" w:sz="4" w:space="0" w:color="auto"/>
              <w:left w:val="single" w:sz="4" w:space="0" w:color="auto"/>
              <w:bottom w:val="single" w:sz="4" w:space="0" w:color="auto"/>
              <w:right w:val="single" w:sz="4" w:space="0" w:color="auto"/>
            </w:tcBorders>
            <w:shd w:val="clear" w:color="000000" w:fill="FCFBFE"/>
            <w:noWrap/>
            <w:vAlign w:val="bottom"/>
            <w:hideMark/>
          </w:tcPr>
          <w:p w14:paraId="651BE44B" w14:textId="1FF752CF"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4,6</w:t>
            </w:r>
            <w:r w:rsidR="00593A07">
              <w:rPr>
                <w:rFonts w:cstheme="minorHAnsi"/>
                <w:color w:val="000000"/>
                <w:sz w:val="18"/>
                <w:szCs w:val="18"/>
              </w:rPr>
              <w:t xml:space="preserve"> </w:t>
            </w:r>
            <w:r w:rsidRPr="00F80DD2">
              <w:rPr>
                <w:rFonts w:cstheme="minorHAnsi"/>
                <w:color w:val="000000"/>
                <w:sz w:val="18"/>
                <w:szCs w:val="18"/>
              </w:rPr>
              <w:t>%</w:t>
            </w:r>
          </w:p>
        </w:tc>
        <w:tc>
          <w:tcPr>
            <w:tcW w:w="506" w:type="pct"/>
            <w:tcBorders>
              <w:top w:val="single" w:sz="4" w:space="0" w:color="auto"/>
              <w:left w:val="single" w:sz="4" w:space="0" w:color="auto"/>
              <w:bottom w:val="single" w:sz="4" w:space="0" w:color="auto"/>
              <w:right w:val="single" w:sz="4" w:space="0" w:color="auto"/>
            </w:tcBorders>
            <w:shd w:val="clear" w:color="000000" w:fill="F2F5FB"/>
            <w:noWrap/>
            <w:vAlign w:val="bottom"/>
            <w:hideMark/>
          </w:tcPr>
          <w:p w14:paraId="7A11F340" w14:textId="0D07C644"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4,1</w:t>
            </w:r>
            <w:r w:rsidR="00593A07">
              <w:rPr>
                <w:rFonts w:cstheme="minorHAnsi"/>
                <w:color w:val="000000"/>
                <w:sz w:val="18"/>
                <w:szCs w:val="18"/>
              </w:rPr>
              <w:t xml:space="preserve"> </w:t>
            </w:r>
            <w:r w:rsidRPr="00F80DD2">
              <w:rPr>
                <w:rFonts w:cstheme="minorHAnsi"/>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shd w:val="clear" w:color="000000" w:fill="FCF9FC"/>
            <w:noWrap/>
            <w:vAlign w:val="bottom"/>
            <w:hideMark/>
          </w:tcPr>
          <w:p w14:paraId="1DADCE92" w14:textId="1CCBD6E5" w:rsidR="00047BE4" w:rsidRPr="00F80DD2" w:rsidRDefault="00047BE4" w:rsidP="00047BE4">
            <w:pPr>
              <w:keepNext/>
              <w:spacing w:before="0"/>
              <w:jc w:val="right"/>
              <w:rPr>
                <w:rFonts w:eastAsia="Times New Roman" w:cstheme="minorHAnsi"/>
                <w:color w:val="000000"/>
                <w:sz w:val="18"/>
                <w:szCs w:val="18"/>
                <w:lang w:eastAsia="cs-CZ"/>
              </w:rPr>
            </w:pPr>
            <w:r w:rsidRPr="00F80DD2">
              <w:rPr>
                <w:rFonts w:cstheme="minorHAnsi"/>
                <w:color w:val="000000"/>
                <w:sz w:val="18"/>
                <w:szCs w:val="18"/>
              </w:rPr>
              <w:t>5,1</w:t>
            </w:r>
            <w:r w:rsidR="00593A07">
              <w:rPr>
                <w:rFonts w:cstheme="minorHAnsi"/>
                <w:color w:val="000000"/>
                <w:sz w:val="18"/>
                <w:szCs w:val="18"/>
              </w:rPr>
              <w:t xml:space="preserve"> </w:t>
            </w:r>
            <w:r w:rsidRPr="00F80DD2">
              <w:rPr>
                <w:rFonts w:cstheme="minorHAnsi"/>
                <w:color w:val="000000"/>
                <w:sz w:val="18"/>
                <w:szCs w:val="18"/>
              </w:rPr>
              <w:t>%</w:t>
            </w:r>
          </w:p>
        </w:tc>
      </w:tr>
    </w:tbl>
    <w:p w14:paraId="6AD30900" w14:textId="29AFE952" w:rsidR="00047BE4" w:rsidRPr="00F55FB8" w:rsidRDefault="00047BE4" w:rsidP="00047BE4">
      <w:pPr>
        <w:pStyle w:val="Zdroj"/>
      </w:pPr>
      <w:r w:rsidRPr="00F55FB8">
        <w:t>Zdroj: SLDB 2011; zpracování PROCES</w:t>
      </w:r>
      <w:r w:rsidR="00E94453">
        <w:t>.</w:t>
      </w:r>
      <w:r w:rsidRPr="00F55FB8">
        <w:t xml:space="preserve"> </w:t>
      </w:r>
    </w:p>
    <w:p w14:paraId="3D0D32C5" w14:textId="77777777" w:rsidR="00047BE4" w:rsidRDefault="00047BE4" w:rsidP="00047BE4">
      <w:pPr>
        <w:pStyle w:val="Zdroj"/>
      </w:pPr>
      <w:r w:rsidRPr="00F55FB8">
        <w:t>Pozn.: Procenta počítána z obyvatelstva</w:t>
      </w:r>
      <w:r>
        <w:t xml:space="preserve"> od 15 let. Nejtmavší červená značí nejvyšší hodnotu a nejtmavší modrá hodnotu nejnižší.</w:t>
      </w:r>
    </w:p>
    <w:p w14:paraId="3E618D74" w14:textId="61F16B34" w:rsidR="00047BE4" w:rsidRDefault="00047BE4" w:rsidP="00047BE4">
      <w:r>
        <w:t xml:space="preserve">Na mapě níže </w:t>
      </w:r>
      <w:r w:rsidR="00BE6D54">
        <w:t xml:space="preserve">(obrázek 1.18) </w:t>
      </w:r>
      <w:r>
        <w:t xml:space="preserve">je vidět rozložení obyvatelstva v obcích SO ORP Zlín a okolí. Je patrný proces suburbanizace, kdy obyvatelé velkých měst mají snahu bydlet na venkově a stěhují se např. kvůli zeleni nebo lepším cenám pozemků, současně však často dojíždějí do měst za prací či infrastrukturou. Ve SO ORP Zlín je nejnižší hustota zalidnění v obcích severního okraje SO ORP, a sice v obcích </w:t>
      </w:r>
      <w:r w:rsidRPr="00B6552A">
        <w:t>Držková</w:t>
      </w:r>
      <w:r>
        <w:t>, kde na km</w:t>
      </w:r>
      <w:r w:rsidRPr="007F4F7D">
        <w:rPr>
          <w:vertAlign w:val="superscript"/>
        </w:rPr>
        <w:t>2</w:t>
      </w:r>
      <w:r>
        <w:t xml:space="preserve"> připadá 17,0 obyvatel, </w:t>
      </w:r>
      <w:r w:rsidRPr="00B6552A">
        <w:t>Lukoveček</w:t>
      </w:r>
      <w:r>
        <w:t xml:space="preserve"> (20,3 ob/km</w:t>
      </w:r>
      <w:r w:rsidRPr="007F4F7D">
        <w:rPr>
          <w:vertAlign w:val="superscript"/>
        </w:rPr>
        <w:t>2</w:t>
      </w:r>
      <w:r>
        <w:t xml:space="preserve">) a </w:t>
      </w:r>
      <w:r w:rsidRPr="00B6552A">
        <w:t>Vlčková</w:t>
      </w:r>
      <w:r>
        <w:t xml:space="preserve"> (38,2 ob/km</w:t>
      </w:r>
      <w:r w:rsidRPr="007F4F7D">
        <w:rPr>
          <w:vertAlign w:val="superscript"/>
        </w:rPr>
        <w:t>2</w:t>
      </w:r>
      <w:r>
        <w:t xml:space="preserve">). Na jižním okraji SO ORP je poté méně osídlená obec </w:t>
      </w:r>
      <w:r w:rsidRPr="00B6552A">
        <w:t>Kelníky</w:t>
      </w:r>
      <w:r>
        <w:t xml:space="preserve"> (38,3 ob/km</w:t>
      </w:r>
      <w:r w:rsidRPr="007F4F7D">
        <w:rPr>
          <w:vertAlign w:val="superscript"/>
        </w:rPr>
        <w:t>2</w:t>
      </w:r>
      <w:r>
        <w:t>). Zlín má hustotu zalidnění dle očekávání nejvyšší (728,8 ob/km</w:t>
      </w:r>
      <w:r w:rsidRPr="007F4F7D">
        <w:rPr>
          <w:vertAlign w:val="superscript"/>
        </w:rPr>
        <w:t>2</w:t>
      </w:r>
      <w:r>
        <w:t xml:space="preserve">), v rámci SO ORP jsou poté nejvíce zalidněny obce sousedící s SO ORP Otrokovice: </w:t>
      </w:r>
      <w:r w:rsidRPr="007F4F7D">
        <w:t>Machová</w:t>
      </w:r>
      <w:r>
        <w:t xml:space="preserve"> (207,1</w:t>
      </w:r>
      <w:r w:rsidRPr="007F4F7D">
        <w:t xml:space="preserve"> </w:t>
      </w:r>
      <w:r>
        <w:t>ob/km</w:t>
      </w:r>
      <w:r w:rsidRPr="007F4F7D">
        <w:rPr>
          <w:vertAlign w:val="superscript"/>
        </w:rPr>
        <w:t>2</w:t>
      </w:r>
      <w:r>
        <w:t xml:space="preserve">), </w:t>
      </w:r>
      <w:r w:rsidRPr="007F4F7D">
        <w:t>Hostišová</w:t>
      </w:r>
      <w:r>
        <w:t xml:space="preserve"> (205,8</w:t>
      </w:r>
      <w:r w:rsidRPr="007F4F7D">
        <w:t xml:space="preserve"> </w:t>
      </w:r>
      <w:r>
        <w:t>ob/km</w:t>
      </w:r>
      <w:r w:rsidRPr="007F4F7D">
        <w:rPr>
          <w:vertAlign w:val="superscript"/>
        </w:rPr>
        <w:t>2</w:t>
      </w:r>
      <w:r>
        <w:t xml:space="preserve">) a </w:t>
      </w:r>
      <w:r w:rsidRPr="007F4F7D">
        <w:t>Tečovice</w:t>
      </w:r>
      <w:r>
        <w:t xml:space="preserve"> (203,9</w:t>
      </w:r>
      <w:r w:rsidRPr="007F4F7D">
        <w:t xml:space="preserve"> </w:t>
      </w:r>
      <w:r>
        <w:t>ob/km</w:t>
      </w:r>
      <w:r w:rsidRPr="007F4F7D">
        <w:rPr>
          <w:vertAlign w:val="superscript"/>
        </w:rPr>
        <w:t>2</w:t>
      </w:r>
      <w:r>
        <w:t>). Samotné město Otrokovice má hustotu zalidnění 911,0 ob/km</w:t>
      </w:r>
      <w:r w:rsidRPr="007F4F7D">
        <w:rPr>
          <w:vertAlign w:val="superscript"/>
        </w:rPr>
        <w:t>2</w:t>
      </w:r>
      <w:r>
        <w:t>.</w:t>
      </w:r>
    </w:p>
    <w:p w14:paraId="3F7C6578" w14:textId="0AAF1261" w:rsidR="00047BE4" w:rsidRDefault="00047BE4" w:rsidP="00047BE4">
      <w:pPr>
        <w:pStyle w:val="Titulek"/>
        <w:keepNext/>
      </w:pPr>
      <w:bookmarkStart w:id="77" w:name="_Toc53037907"/>
      <w:bookmarkStart w:id="78" w:name="_Toc77074836"/>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18</w:t>
      </w:r>
      <w:r w:rsidR="00804AF3">
        <w:rPr>
          <w:noProof/>
        </w:rPr>
        <w:fldChar w:fldCharType="end"/>
      </w:r>
      <w:r w:rsidR="00593A07">
        <w:rPr>
          <w:noProof/>
        </w:rPr>
        <w:t>:</w:t>
      </w:r>
      <w:r>
        <w:t xml:space="preserve"> Hustota zalidnění obcí SO ORP Zlín</w:t>
      </w:r>
      <w:bookmarkEnd w:id="77"/>
      <w:bookmarkEnd w:id="78"/>
    </w:p>
    <w:p w14:paraId="224D8DA1" w14:textId="65EBA2F6" w:rsidR="00047BE4" w:rsidRDefault="00047BE4" w:rsidP="00047BE4">
      <w:pPr>
        <w:rPr>
          <w:rStyle w:val="ZdrojChar"/>
          <w:rFonts w:eastAsiaTheme="minorHAnsi"/>
        </w:rPr>
      </w:pPr>
      <w:r w:rsidRPr="00B9338D">
        <w:rPr>
          <w:noProof/>
          <w:lang w:eastAsia="cs-CZ"/>
        </w:rPr>
        <w:drawing>
          <wp:inline distT="0" distB="0" distL="0" distR="0" wp14:anchorId="0130C907" wp14:editId="479CB37C">
            <wp:extent cx="5760720" cy="5760720"/>
            <wp:effectExtent l="0" t="0" r="0" b="0"/>
            <wp:docPr id="12" name="Obrázek 12" descr="C:\Users\Linda Vyvialová\Desktop\Zlin\GIS_Zlin\Zakladn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nda Vyvialová\Desktop\Zlin\GIS_Zlin\Zakladni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r w:rsidRPr="00B9338D">
        <w:rPr>
          <w:rStyle w:val="ZdrojChar"/>
          <w:rFonts w:eastAsiaTheme="minorHAnsi"/>
        </w:rPr>
        <w:t>Zdroj: ČSÚ, data k 1. 1. 2020; zpracování PROCES</w:t>
      </w:r>
      <w:r w:rsidR="00593A07">
        <w:rPr>
          <w:rStyle w:val="ZdrojChar"/>
          <w:rFonts w:eastAsiaTheme="minorHAnsi"/>
        </w:rPr>
        <w:t>.</w:t>
      </w:r>
    </w:p>
    <w:p w14:paraId="143F1595" w14:textId="77777777" w:rsidR="00047BE4" w:rsidRDefault="00047BE4" w:rsidP="00047BE4">
      <w:pPr>
        <w:spacing w:before="0" w:after="160" w:line="259" w:lineRule="auto"/>
        <w:jc w:val="left"/>
      </w:pPr>
    </w:p>
    <w:p w14:paraId="532BC287" w14:textId="77777777" w:rsidR="00047BE4" w:rsidRDefault="00047BE4" w:rsidP="00047BE4">
      <w:pPr>
        <w:pStyle w:val="Nadpis4"/>
        <w:ind w:left="864" w:hanging="864"/>
      </w:pPr>
      <w:r>
        <w:lastRenderedPageBreak/>
        <w:t>Dílčí shrnutí</w:t>
      </w:r>
    </w:p>
    <w:p w14:paraId="50D2A73C"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r w:rsidRPr="00F2584F">
        <w:rPr>
          <w:b/>
        </w:rPr>
        <w:t>Hlavní zjištění</w:t>
      </w:r>
      <w:r w:rsidRPr="00F2584F">
        <w:t>:</w:t>
      </w:r>
    </w:p>
    <w:p w14:paraId="3C667BBE"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p>
    <w:p w14:paraId="42A604C9" w14:textId="77777777" w:rsidR="00047BE4" w:rsidRPr="00E14420"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Ve Zlíně dochází k velmi mírnému poklesu obyvatel; od roku 2010 do roku 2020 poklesl celkový počet obyvatel o 779 osob, tedy o 1 %.</w:t>
      </w:r>
    </w:p>
    <w:p w14:paraId="761267E9" w14:textId="77777777" w:rsidR="00047BE4" w:rsidRPr="00830DD5"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830DD5">
        <w:rPr>
          <w:i/>
        </w:rPr>
        <w:t>Ve Zlíně a jeho okolí je patrný suburbanizační trend, nejvyšší přírůstek obyvatel (za 10 let) je v obcích Doubravy a Lípa.</w:t>
      </w:r>
    </w:p>
    <w:p w14:paraId="3B294E21"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Při porovnávání s vybranými městy (Zlín, Olomouc, Pardubice, České Budějovice, Opava, Liberec) měl Zlín u žen nejvyšší naději dožití při narození (83,2 let), u mužů vyšla naděje dožití jako druhá nejvyšší (77,0 let). Ve Zlíně je také z porovnávaných měst nejvyšší průměrný věk (44,2 let).</w:t>
      </w:r>
    </w:p>
    <w:p w14:paraId="3AA724D3"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Vzdělanostní struktura Zlína nevykazuje výrazné rozdíly od ostatních porovnávaných měst, k 26. 3. 2011 mělo nejvíce obyvatel středoškolské vzdělání (58,6 % obyvatel), vysokoškolské 17,5 % obyvatel a základní 15,4 % obyvatel.</w:t>
      </w:r>
    </w:p>
    <w:p w14:paraId="393C8E84" w14:textId="77777777" w:rsidR="00047BE4" w:rsidRPr="00E14420"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Hustota zalidnění Zlína je 728,8 obyvatel/km</w:t>
      </w:r>
      <w:r w:rsidRPr="00F74059">
        <w:rPr>
          <w:i/>
          <w:vertAlign w:val="superscript"/>
        </w:rPr>
        <w:t>2</w:t>
      </w:r>
      <w:r>
        <w:rPr>
          <w:i/>
        </w:rPr>
        <w:t>. Otrokovice mají hustotu zalidnění 911,0 obyvatel/km</w:t>
      </w:r>
      <w:r w:rsidRPr="00F74059">
        <w:rPr>
          <w:i/>
          <w:vertAlign w:val="superscript"/>
        </w:rPr>
        <w:t>2</w:t>
      </w:r>
      <w:r>
        <w:rPr>
          <w:i/>
        </w:rPr>
        <w:t>.</w:t>
      </w:r>
    </w:p>
    <w:p w14:paraId="63342BF4" w14:textId="77777777" w:rsidR="00047BE4" w:rsidRPr="001D21E7" w:rsidRDefault="00047BE4" w:rsidP="00047BE4"/>
    <w:p w14:paraId="63870CD9" w14:textId="77777777" w:rsidR="00047BE4" w:rsidRDefault="00047BE4" w:rsidP="00047BE4">
      <w:pPr>
        <w:spacing w:before="0" w:after="160" w:line="259" w:lineRule="auto"/>
        <w:jc w:val="left"/>
      </w:pPr>
      <w:r>
        <w:br w:type="page"/>
      </w:r>
    </w:p>
    <w:p w14:paraId="4F04DF89" w14:textId="77777777" w:rsidR="00047BE4" w:rsidRDefault="00047BE4" w:rsidP="00047BE4">
      <w:pPr>
        <w:pStyle w:val="Nadpis4"/>
        <w:ind w:left="864" w:hanging="864"/>
      </w:pPr>
      <w:r w:rsidRPr="00B80D1D">
        <w:lastRenderedPageBreak/>
        <w:t>Charakteristika domovního a bytového fondu na území města Zlína</w:t>
      </w:r>
    </w:p>
    <w:p w14:paraId="09006A88" w14:textId="06CAA175" w:rsidR="00047BE4" w:rsidRDefault="00047BE4" w:rsidP="00047BE4">
      <w:r w:rsidRPr="00862208">
        <w:t xml:space="preserve">Vývoj domovního a bytového fondu v historii odpovídal populačnímu nárůstu města v průběhu jeho rozvoje. V první polovině 20. století, v období intenzivního rozvoje baťovského Zlína, docházelo k výstavbě obytných čtvrtí rodinných domků, které se z velké části dochovaly do dnešní doby a jsou pro </w:t>
      </w:r>
      <w:r>
        <w:t xml:space="preserve">vzhled dnešního </w:t>
      </w:r>
      <w:r w:rsidRPr="00862208">
        <w:t>Zlín</w:t>
      </w:r>
      <w:r>
        <w:t>a</w:t>
      </w:r>
      <w:r w:rsidRPr="00862208">
        <w:t xml:space="preserve"> charakteristické (například lokality Zálešná, Podvesná, Letná a Lesní čtvrť). Zástavba z tohoto období je dnes součástí Městské památkové zóny Zlín (MPZ). V období po roce 1945 </w:t>
      </w:r>
      <w:r>
        <w:t>byla</w:t>
      </w:r>
      <w:r w:rsidRPr="00862208">
        <w:t xml:space="preserve"> v různých etapách budována sídliště hr</w:t>
      </w:r>
      <w:r>
        <w:t>omadného bydlení, z nichž je ra</w:t>
      </w:r>
      <w:r w:rsidRPr="00862208">
        <w:t>ná výstavba součástí p</w:t>
      </w:r>
      <w:r>
        <w:t>amátkové ochrany (sídliště Obec</w:t>
      </w:r>
      <w:r w:rsidRPr="00862208">
        <w:t>iny, Morýsovy domy</w:t>
      </w:r>
      <w:r>
        <w:t>, Benešovo nábřeží). V dalších etapách byly budovány další rozsáhlá sídliště, kter</w:t>
      </w:r>
      <w:r w:rsidR="00053411">
        <w:t>á</w:t>
      </w:r>
      <w:r>
        <w:t xml:space="preserve"> dnes patří k lokalitám s nejvyšší mírou koncentrace obyvatel</w:t>
      </w:r>
      <w:r w:rsidRPr="00862208">
        <w:t xml:space="preserve"> (Bartošova čtvrť, sídliště Male</w:t>
      </w:r>
      <w:r w:rsidR="00164472">
        <w:t>novice, Podhoří, Jižní S</w:t>
      </w:r>
      <w:r w:rsidRPr="00862208">
        <w:t xml:space="preserve">vahy). Od roku 1990 </w:t>
      </w:r>
      <w:r>
        <w:t>intenzita bytové výstavby klesá</w:t>
      </w:r>
      <w:r w:rsidRPr="00862208">
        <w:t xml:space="preserve">. Bytová výstavba v tomto období je soustředěna především v lokalitách </w:t>
      </w:r>
      <w:r w:rsidR="00053411">
        <w:t>navazujících na sídliště Jižní S</w:t>
      </w:r>
      <w:r w:rsidRPr="00862208">
        <w:t>vahy. Ve velké míře se pak v důsledku procesu rezidenční suburbanizace rozvíjí zástavba v okrajových částech města (lokality Kostelec a Štípa v severovýchodní části města Zlína, Kudlov v</w:t>
      </w:r>
      <w:r w:rsidR="00593A07">
        <w:t> </w:t>
      </w:r>
      <w:r w:rsidRPr="00862208">
        <w:t xml:space="preserve">jihovýchodní části města Zlína a dále lokality Mladcová v severní části města Zlína respektive Městské nivy v </w:t>
      </w:r>
      <w:r>
        <w:t>místní</w:t>
      </w:r>
      <w:r w:rsidRPr="00862208">
        <w:t xml:space="preserve"> části Příluky).</w:t>
      </w:r>
      <w:r>
        <w:t xml:space="preserve"> Vzhledem ke kopcovitému reliéfu Zlína a jeho blízkého okolí a současné hustotě zástavby jsou možnosti nové bytové výstavby hromadného bydlení ve Zlíně omezené. Nové plochy určené pro výstavbu hromadného bydlení jsou uvedeny v Územním plánu města Zlín (například lokalita Boněckého rybníka – blíže analyzováno v kapitole „Územní plánování a urbanismus“). Vzhledem k nedostatečné kapacitě nových ploch pro hromadné bydlení je nutné využít přeměny stávajících ploch využívaných k jiným účelům na bydlení spolu s doplňováním městské struktury o</w:t>
      </w:r>
      <w:r w:rsidR="00593A07">
        <w:t> </w:t>
      </w:r>
      <w:r>
        <w:t>novou zástavbu (tzv. zahušťování stávající zástavby). Největší úroveň koncentrace obydlených bytů se nachází v</w:t>
      </w:r>
      <w:r w:rsidRPr="00625402">
        <w:t xml:space="preserve"> lokalit</w:t>
      </w:r>
      <w:r>
        <w:t>ách</w:t>
      </w:r>
      <w:r w:rsidRPr="00625402">
        <w:t xml:space="preserve"> sídlišť Jižní Svahy I a II. Další zlínská sídliště vykazují výrazně nižší počet trvale obydlených bytů a tedy i </w:t>
      </w:r>
      <w:r>
        <w:t>nižší koncentraci obyvatelstva. Strukturu domovního fondu z pohledu stáří obydlených domů ilustruje následující tabulka</w:t>
      </w:r>
      <w:r w:rsidR="00EB62B8">
        <w:t xml:space="preserve"> 1.7</w:t>
      </w:r>
      <w:r>
        <w:t>. Z údajů je patrné velké zastoupení domů z období intenzivní výstavby baťovského Zlína před rokem 1945.</w:t>
      </w:r>
    </w:p>
    <w:p w14:paraId="70039C20" w14:textId="3DCC4369" w:rsidR="00047BE4" w:rsidRDefault="00047BE4" w:rsidP="00047BE4">
      <w:pPr>
        <w:pStyle w:val="Titulek"/>
      </w:pPr>
      <w:bookmarkStart w:id="79" w:name="_Toc49439848"/>
      <w:bookmarkStart w:id="80" w:name="_Toc53037867"/>
      <w:bookmarkStart w:id="81" w:name="_Toc7707468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7</w:t>
      </w:r>
      <w:r w:rsidR="004857C6">
        <w:rPr>
          <w:noProof/>
        </w:rPr>
        <w:fldChar w:fldCharType="end"/>
      </w:r>
      <w:r w:rsidR="00593A07">
        <w:rPr>
          <w:noProof/>
        </w:rPr>
        <w:t>:</w:t>
      </w:r>
      <w:r>
        <w:rPr>
          <w:noProof/>
        </w:rPr>
        <w:t xml:space="preserve"> </w:t>
      </w:r>
      <w:r>
        <w:t>Obydlené domy s byty podle období výstavby nebo rekonstrukce domu</w:t>
      </w:r>
      <w:bookmarkEnd w:id="79"/>
      <w:bookmarkEnd w:id="80"/>
      <w:bookmarkEnd w:id="81"/>
    </w:p>
    <w:tbl>
      <w:tblPr>
        <w:tblW w:w="5000" w:type="pct"/>
        <w:tblCellMar>
          <w:left w:w="70" w:type="dxa"/>
          <w:right w:w="70" w:type="dxa"/>
        </w:tblCellMar>
        <w:tblLook w:val="04A0" w:firstRow="1" w:lastRow="0" w:firstColumn="1" w:lastColumn="0" w:noHBand="0" w:noVBand="1"/>
      </w:tblPr>
      <w:tblGrid>
        <w:gridCol w:w="1555"/>
        <w:gridCol w:w="1044"/>
        <w:gridCol w:w="669"/>
        <w:gridCol w:w="703"/>
        <w:gridCol w:w="703"/>
        <w:gridCol w:w="662"/>
        <w:gridCol w:w="703"/>
        <w:gridCol w:w="662"/>
        <w:gridCol w:w="703"/>
        <w:gridCol w:w="768"/>
        <w:gridCol w:w="890"/>
      </w:tblGrid>
      <w:tr w:rsidR="00047BE4" w:rsidRPr="00A865FA" w14:paraId="52324F09" w14:textId="77777777" w:rsidTr="00047BE4">
        <w:trPr>
          <w:trHeight w:val="255"/>
        </w:trPr>
        <w:tc>
          <w:tcPr>
            <w:tcW w:w="858"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58964B8" w14:textId="77777777" w:rsidR="00047BE4" w:rsidRPr="00A865FA" w:rsidRDefault="00047BE4" w:rsidP="00047BE4">
            <w:pPr>
              <w:spacing w:before="0"/>
              <w:jc w:val="center"/>
              <w:rPr>
                <w:rFonts w:eastAsia="Times New Roman" w:cstheme="minorHAnsi"/>
                <w:bCs/>
                <w:color w:val="000000"/>
                <w:sz w:val="18"/>
                <w:szCs w:val="18"/>
                <w:lang w:eastAsia="cs-CZ"/>
              </w:rPr>
            </w:pPr>
          </w:p>
        </w:tc>
        <w:tc>
          <w:tcPr>
            <w:tcW w:w="576"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2E9D2AB"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Obydlené domy s byty celkem</w:t>
            </w:r>
          </w:p>
        </w:tc>
        <w:tc>
          <w:tcPr>
            <w:tcW w:w="3566" w:type="pct"/>
            <w:gridSpan w:val="9"/>
            <w:tcBorders>
              <w:top w:val="single" w:sz="4" w:space="0" w:color="auto"/>
              <w:left w:val="nil"/>
              <w:bottom w:val="single" w:sz="4" w:space="0" w:color="auto"/>
              <w:right w:val="single" w:sz="4" w:space="0" w:color="auto"/>
            </w:tcBorders>
            <w:shd w:val="clear" w:color="000000" w:fill="F2F2F2"/>
            <w:vAlign w:val="center"/>
            <w:hideMark/>
          </w:tcPr>
          <w:p w14:paraId="2F43AC36"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v tom podle období výstavby nebo rekonstrukce domu</w:t>
            </w:r>
          </w:p>
        </w:tc>
      </w:tr>
      <w:tr w:rsidR="00047BE4" w:rsidRPr="00A865FA" w14:paraId="22D5218A" w14:textId="77777777" w:rsidTr="00047BE4">
        <w:trPr>
          <w:trHeight w:val="255"/>
        </w:trPr>
        <w:tc>
          <w:tcPr>
            <w:tcW w:w="858" w:type="pct"/>
            <w:vMerge/>
            <w:tcBorders>
              <w:top w:val="single" w:sz="4" w:space="0" w:color="auto"/>
              <w:left w:val="single" w:sz="4" w:space="0" w:color="auto"/>
              <w:bottom w:val="single" w:sz="4" w:space="0" w:color="auto"/>
              <w:right w:val="single" w:sz="4" w:space="0" w:color="auto"/>
            </w:tcBorders>
            <w:vAlign w:val="center"/>
            <w:hideMark/>
          </w:tcPr>
          <w:p w14:paraId="6F0EE7AE" w14:textId="77777777" w:rsidR="00047BE4" w:rsidRPr="00A865FA" w:rsidRDefault="00047BE4" w:rsidP="00047BE4">
            <w:pPr>
              <w:spacing w:before="0"/>
              <w:jc w:val="left"/>
              <w:rPr>
                <w:rFonts w:eastAsia="Times New Roman" w:cstheme="minorHAnsi"/>
                <w:bCs/>
                <w:color w:val="000000"/>
                <w:sz w:val="18"/>
                <w:szCs w:val="18"/>
                <w:lang w:eastAsia="cs-CZ"/>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14:paraId="29DAEF21" w14:textId="77777777" w:rsidR="00047BE4" w:rsidRPr="00A865FA" w:rsidRDefault="00047BE4" w:rsidP="00047BE4">
            <w:pPr>
              <w:spacing w:before="0"/>
              <w:jc w:val="left"/>
              <w:rPr>
                <w:rFonts w:eastAsia="Times New Roman" w:cstheme="minorHAnsi"/>
                <w:bCs/>
                <w:color w:val="000000"/>
                <w:sz w:val="18"/>
                <w:szCs w:val="18"/>
                <w:lang w:eastAsia="cs-CZ"/>
              </w:rPr>
            </w:pPr>
          </w:p>
        </w:tc>
        <w:tc>
          <w:tcPr>
            <w:tcW w:w="369" w:type="pct"/>
            <w:tcBorders>
              <w:top w:val="nil"/>
              <w:left w:val="nil"/>
              <w:bottom w:val="single" w:sz="4" w:space="0" w:color="auto"/>
              <w:right w:val="single" w:sz="4" w:space="0" w:color="auto"/>
            </w:tcBorders>
            <w:shd w:val="clear" w:color="000000" w:fill="F2F2F2"/>
            <w:vAlign w:val="center"/>
            <w:hideMark/>
          </w:tcPr>
          <w:p w14:paraId="4F1494A3"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1919 a dříve</w:t>
            </w:r>
          </w:p>
        </w:tc>
        <w:tc>
          <w:tcPr>
            <w:tcW w:w="388" w:type="pct"/>
            <w:tcBorders>
              <w:top w:val="nil"/>
              <w:left w:val="nil"/>
              <w:bottom w:val="single" w:sz="4" w:space="0" w:color="auto"/>
              <w:right w:val="single" w:sz="4" w:space="0" w:color="auto"/>
            </w:tcBorders>
            <w:shd w:val="clear" w:color="000000" w:fill="F2F2F2"/>
            <w:vAlign w:val="center"/>
            <w:hideMark/>
          </w:tcPr>
          <w:p w14:paraId="63970E46"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1920 - 1945</w:t>
            </w:r>
          </w:p>
        </w:tc>
        <w:tc>
          <w:tcPr>
            <w:tcW w:w="388" w:type="pct"/>
            <w:tcBorders>
              <w:top w:val="nil"/>
              <w:left w:val="nil"/>
              <w:bottom w:val="single" w:sz="4" w:space="0" w:color="auto"/>
              <w:right w:val="single" w:sz="4" w:space="0" w:color="auto"/>
            </w:tcBorders>
            <w:shd w:val="clear" w:color="000000" w:fill="F2F2F2"/>
            <w:vAlign w:val="center"/>
            <w:hideMark/>
          </w:tcPr>
          <w:p w14:paraId="350B8433"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1946 - 1960</w:t>
            </w:r>
          </w:p>
        </w:tc>
        <w:tc>
          <w:tcPr>
            <w:tcW w:w="365" w:type="pct"/>
            <w:tcBorders>
              <w:top w:val="nil"/>
              <w:left w:val="nil"/>
              <w:bottom w:val="single" w:sz="4" w:space="0" w:color="auto"/>
              <w:right w:val="single" w:sz="4" w:space="0" w:color="auto"/>
            </w:tcBorders>
            <w:shd w:val="clear" w:color="000000" w:fill="F2F2F2"/>
            <w:vAlign w:val="center"/>
            <w:hideMark/>
          </w:tcPr>
          <w:p w14:paraId="15DB5A2B"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1961 - 1970</w:t>
            </w:r>
          </w:p>
        </w:tc>
        <w:tc>
          <w:tcPr>
            <w:tcW w:w="388" w:type="pct"/>
            <w:tcBorders>
              <w:top w:val="nil"/>
              <w:left w:val="nil"/>
              <w:bottom w:val="single" w:sz="4" w:space="0" w:color="auto"/>
              <w:right w:val="single" w:sz="4" w:space="0" w:color="auto"/>
            </w:tcBorders>
            <w:shd w:val="clear" w:color="000000" w:fill="F2F2F2"/>
            <w:vAlign w:val="center"/>
            <w:hideMark/>
          </w:tcPr>
          <w:p w14:paraId="1B1EDB98"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1971 - 1980</w:t>
            </w:r>
          </w:p>
        </w:tc>
        <w:tc>
          <w:tcPr>
            <w:tcW w:w="365" w:type="pct"/>
            <w:tcBorders>
              <w:top w:val="nil"/>
              <w:left w:val="nil"/>
              <w:bottom w:val="single" w:sz="4" w:space="0" w:color="auto"/>
              <w:right w:val="single" w:sz="4" w:space="0" w:color="auto"/>
            </w:tcBorders>
            <w:shd w:val="clear" w:color="000000" w:fill="F2F2F2"/>
            <w:vAlign w:val="center"/>
            <w:hideMark/>
          </w:tcPr>
          <w:p w14:paraId="09DB23FF"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1981 - 1990</w:t>
            </w:r>
          </w:p>
        </w:tc>
        <w:tc>
          <w:tcPr>
            <w:tcW w:w="388" w:type="pct"/>
            <w:tcBorders>
              <w:top w:val="nil"/>
              <w:left w:val="nil"/>
              <w:bottom w:val="single" w:sz="4" w:space="0" w:color="auto"/>
              <w:right w:val="single" w:sz="4" w:space="0" w:color="auto"/>
            </w:tcBorders>
            <w:shd w:val="clear" w:color="000000" w:fill="F2F2F2"/>
            <w:vAlign w:val="center"/>
            <w:hideMark/>
          </w:tcPr>
          <w:p w14:paraId="3700B5F2"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1991 - 2000</w:t>
            </w:r>
          </w:p>
        </w:tc>
        <w:tc>
          <w:tcPr>
            <w:tcW w:w="424" w:type="pct"/>
            <w:tcBorders>
              <w:top w:val="nil"/>
              <w:left w:val="nil"/>
              <w:bottom w:val="single" w:sz="4" w:space="0" w:color="auto"/>
              <w:right w:val="single" w:sz="4" w:space="0" w:color="auto"/>
            </w:tcBorders>
            <w:shd w:val="clear" w:color="000000" w:fill="F2F2F2"/>
            <w:vAlign w:val="center"/>
            <w:hideMark/>
          </w:tcPr>
          <w:p w14:paraId="3150C341"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2001 - 2011</w:t>
            </w:r>
          </w:p>
        </w:tc>
        <w:tc>
          <w:tcPr>
            <w:tcW w:w="491" w:type="pct"/>
            <w:tcBorders>
              <w:top w:val="nil"/>
              <w:left w:val="nil"/>
              <w:bottom w:val="single" w:sz="4" w:space="0" w:color="auto"/>
              <w:right w:val="single" w:sz="4" w:space="0" w:color="auto"/>
            </w:tcBorders>
            <w:shd w:val="clear" w:color="000000" w:fill="F2F2F2"/>
            <w:vAlign w:val="center"/>
            <w:hideMark/>
          </w:tcPr>
          <w:p w14:paraId="025F7340" w14:textId="77777777" w:rsidR="00047BE4" w:rsidRPr="00A865FA" w:rsidRDefault="00047BE4" w:rsidP="00047BE4">
            <w:pPr>
              <w:spacing w:before="0"/>
              <w:jc w:val="center"/>
              <w:rPr>
                <w:rFonts w:eastAsia="Times New Roman" w:cstheme="minorHAnsi"/>
                <w:bCs/>
                <w:color w:val="000000"/>
                <w:sz w:val="18"/>
                <w:szCs w:val="18"/>
                <w:lang w:eastAsia="cs-CZ"/>
              </w:rPr>
            </w:pPr>
            <w:r w:rsidRPr="00A865FA">
              <w:rPr>
                <w:rFonts w:eastAsia="Times New Roman" w:cstheme="minorHAnsi"/>
                <w:bCs/>
                <w:color w:val="000000"/>
                <w:sz w:val="18"/>
                <w:szCs w:val="18"/>
                <w:lang w:eastAsia="cs-CZ"/>
              </w:rPr>
              <w:t>nezjištěno</w:t>
            </w:r>
          </w:p>
        </w:tc>
      </w:tr>
      <w:tr w:rsidR="00047BE4" w:rsidRPr="00A865FA" w14:paraId="3A53A9FB" w14:textId="77777777" w:rsidTr="00047BE4">
        <w:trPr>
          <w:trHeight w:val="255"/>
        </w:trPr>
        <w:tc>
          <w:tcPr>
            <w:tcW w:w="858" w:type="pct"/>
            <w:vMerge w:val="restart"/>
            <w:tcBorders>
              <w:top w:val="nil"/>
              <w:left w:val="single" w:sz="4" w:space="0" w:color="auto"/>
              <w:right w:val="single" w:sz="4" w:space="0" w:color="auto"/>
            </w:tcBorders>
            <w:shd w:val="clear" w:color="auto" w:fill="auto"/>
            <w:vAlign w:val="center"/>
            <w:hideMark/>
          </w:tcPr>
          <w:p w14:paraId="657462F4" w14:textId="6DA4C79C" w:rsidR="00047BE4" w:rsidRPr="00A865FA" w:rsidRDefault="00047BE4" w:rsidP="00593A07">
            <w:pPr>
              <w:spacing w:before="0"/>
              <w:jc w:val="left"/>
              <w:rPr>
                <w:rFonts w:eastAsia="Times New Roman" w:cstheme="minorHAnsi"/>
                <w:color w:val="000000"/>
                <w:sz w:val="18"/>
                <w:szCs w:val="18"/>
                <w:lang w:eastAsia="cs-CZ"/>
              </w:rPr>
            </w:pPr>
            <w:r w:rsidRPr="00A865FA">
              <w:rPr>
                <w:rFonts w:eastAsia="Times New Roman" w:cstheme="minorHAnsi"/>
                <w:color w:val="000000"/>
                <w:sz w:val="18"/>
                <w:szCs w:val="18"/>
                <w:lang w:eastAsia="cs-CZ"/>
              </w:rPr>
              <w:t>Obydlené domy s</w:t>
            </w:r>
            <w:r w:rsidR="00593A07">
              <w:rPr>
                <w:rFonts w:eastAsia="Times New Roman" w:cstheme="minorHAnsi"/>
                <w:color w:val="000000"/>
                <w:sz w:val="18"/>
                <w:szCs w:val="18"/>
                <w:lang w:eastAsia="cs-CZ"/>
              </w:rPr>
              <w:t> </w:t>
            </w:r>
            <w:r w:rsidRPr="00A865FA">
              <w:rPr>
                <w:rFonts w:eastAsia="Times New Roman" w:cstheme="minorHAnsi"/>
                <w:color w:val="000000"/>
                <w:sz w:val="18"/>
                <w:szCs w:val="18"/>
                <w:lang w:eastAsia="cs-CZ"/>
              </w:rPr>
              <w:t>byty celkem</w:t>
            </w:r>
          </w:p>
        </w:tc>
        <w:tc>
          <w:tcPr>
            <w:tcW w:w="576" w:type="pct"/>
            <w:tcBorders>
              <w:top w:val="nil"/>
              <w:left w:val="nil"/>
              <w:bottom w:val="single" w:sz="4" w:space="0" w:color="auto"/>
              <w:right w:val="single" w:sz="4" w:space="0" w:color="auto"/>
            </w:tcBorders>
            <w:shd w:val="clear" w:color="auto" w:fill="auto"/>
            <w:vAlign w:val="center"/>
            <w:hideMark/>
          </w:tcPr>
          <w:p w14:paraId="3D0527D9"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11 194</w:t>
            </w:r>
          </w:p>
        </w:tc>
        <w:tc>
          <w:tcPr>
            <w:tcW w:w="369" w:type="pct"/>
            <w:tcBorders>
              <w:top w:val="nil"/>
              <w:left w:val="nil"/>
              <w:bottom w:val="single" w:sz="4" w:space="0" w:color="auto"/>
              <w:right w:val="single" w:sz="4" w:space="0" w:color="auto"/>
            </w:tcBorders>
            <w:shd w:val="clear" w:color="auto" w:fill="auto"/>
            <w:vAlign w:val="center"/>
            <w:hideMark/>
          </w:tcPr>
          <w:p w14:paraId="09D67751"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261</w:t>
            </w:r>
          </w:p>
        </w:tc>
        <w:tc>
          <w:tcPr>
            <w:tcW w:w="388" w:type="pct"/>
            <w:tcBorders>
              <w:top w:val="nil"/>
              <w:left w:val="nil"/>
              <w:bottom w:val="single" w:sz="4" w:space="0" w:color="auto"/>
              <w:right w:val="single" w:sz="4" w:space="0" w:color="auto"/>
            </w:tcBorders>
            <w:shd w:val="clear" w:color="auto" w:fill="auto"/>
            <w:vAlign w:val="center"/>
            <w:hideMark/>
          </w:tcPr>
          <w:p w14:paraId="03AC1CD8"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3 931</w:t>
            </w:r>
          </w:p>
        </w:tc>
        <w:tc>
          <w:tcPr>
            <w:tcW w:w="388" w:type="pct"/>
            <w:tcBorders>
              <w:top w:val="nil"/>
              <w:left w:val="nil"/>
              <w:bottom w:val="single" w:sz="4" w:space="0" w:color="auto"/>
              <w:right w:val="single" w:sz="4" w:space="0" w:color="auto"/>
            </w:tcBorders>
            <w:shd w:val="clear" w:color="auto" w:fill="auto"/>
            <w:vAlign w:val="center"/>
            <w:hideMark/>
          </w:tcPr>
          <w:p w14:paraId="7CDB49B4"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1 259</w:t>
            </w:r>
          </w:p>
        </w:tc>
        <w:tc>
          <w:tcPr>
            <w:tcW w:w="365" w:type="pct"/>
            <w:tcBorders>
              <w:top w:val="nil"/>
              <w:left w:val="nil"/>
              <w:bottom w:val="single" w:sz="4" w:space="0" w:color="auto"/>
              <w:right w:val="single" w:sz="4" w:space="0" w:color="auto"/>
            </w:tcBorders>
            <w:shd w:val="clear" w:color="auto" w:fill="auto"/>
            <w:vAlign w:val="center"/>
            <w:hideMark/>
          </w:tcPr>
          <w:p w14:paraId="03A78A49"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949</w:t>
            </w:r>
          </w:p>
        </w:tc>
        <w:tc>
          <w:tcPr>
            <w:tcW w:w="388" w:type="pct"/>
            <w:tcBorders>
              <w:top w:val="nil"/>
              <w:left w:val="nil"/>
              <w:bottom w:val="single" w:sz="4" w:space="0" w:color="auto"/>
              <w:right w:val="single" w:sz="4" w:space="0" w:color="auto"/>
            </w:tcBorders>
            <w:shd w:val="clear" w:color="auto" w:fill="auto"/>
            <w:vAlign w:val="center"/>
            <w:hideMark/>
          </w:tcPr>
          <w:p w14:paraId="4D70CACA"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1 293</w:t>
            </w:r>
          </w:p>
        </w:tc>
        <w:tc>
          <w:tcPr>
            <w:tcW w:w="365" w:type="pct"/>
            <w:tcBorders>
              <w:top w:val="nil"/>
              <w:left w:val="nil"/>
              <w:bottom w:val="single" w:sz="4" w:space="0" w:color="auto"/>
              <w:right w:val="single" w:sz="4" w:space="0" w:color="auto"/>
            </w:tcBorders>
            <w:shd w:val="clear" w:color="auto" w:fill="auto"/>
            <w:vAlign w:val="center"/>
            <w:hideMark/>
          </w:tcPr>
          <w:p w14:paraId="7B209107"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903</w:t>
            </w:r>
          </w:p>
        </w:tc>
        <w:tc>
          <w:tcPr>
            <w:tcW w:w="388" w:type="pct"/>
            <w:tcBorders>
              <w:top w:val="nil"/>
              <w:left w:val="nil"/>
              <w:bottom w:val="single" w:sz="4" w:space="0" w:color="auto"/>
              <w:right w:val="single" w:sz="4" w:space="0" w:color="auto"/>
            </w:tcBorders>
            <w:shd w:val="clear" w:color="auto" w:fill="auto"/>
            <w:vAlign w:val="center"/>
            <w:hideMark/>
          </w:tcPr>
          <w:p w14:paraId="2B68BE18"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1 143</w:t>
            </w:r>
          </w:p>
        </w:tc>
        <w:tc>
          <w:tcPr>
            <w:tcW w:w="424" w:type="pct"/>
            <w:tcBorders>
              <w:top w:val="nil"/>
              <w:left w:val="nil"/>
              <w:bottom w:val="single" w:sz="4" w:space="0" w:color="auto"/>
              <w:right w:val="single" w:sz="4" w:space="0" w:color="auto"/>
            </w:tcBorders>
            <w:shd w:val="clear" w:color="auto" w:fill="auto"/>
            <w:vAlign w:val="center"/>
            <w:hideMark/>
          </w:tcPr>
          <w:p w14:paraId="6C515EA1"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1 191</w:t>
            </w:r>
          </w:p>
        </w:tc>
        <w:tc>
          <w:tcPr>
            <w:tcW w:w="491" w:type="pct"/>
            <w:tcBorders>
              <w:top w:val="nil"/>
              <w:left w:val="nil"/>
              <w:bottom w:val="single" w:sz="4" w:space="0" w:color="auto"/>
              <w:right w:val="single" w:sz="4" w:space="0" w:color="auto"/>
            </w:tcBorders>
            <w:shd w:val="clear" w:color="auto" w:fill="auto"/>
            <w:vAlign w:val="center"/>
            <w:hideMark/>
          </w:tcPr>
          <w:p w14:paraId="08A8445F"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264</w:t>
            </w:r>
          </w:p>
        </w:tc>
      </w:tr>
      <w:tr w:rsidR="00047BE4" w:rsidRPr="00A865FA" w14:paraId="5FDCF306" w14:textId="77777777" w:rsidTr="00047BE4">
        <w:trPr>
          <w:trHeight w:val="255"/>
        </w:trPr>
        <w:tc>
          <w:tcPr>
            <w:tcW w:w="858" w:type="pct"/>
            <w:vMerge/>
            <w:tcBorders>
              <w:left w:val="single" w:sz="4" w:space="0" w:color="auto"/>
              <w:bottom w:val="single" w:sz="4" w:space="0" w:color="auto"/>
              <w:right w:val="single" w:sz="4" w:space="0" w:color="auto"/>
            </w:tcBorders>
            <w:shd w:val="clear" w:color="auto" w:fill="auto"/>
            <w:vAlign w:val="center"/>
            <w:hideMark/>
          </w:tcPr>
          <w:p w14:paraId="36ACE83D" w14:textId="77777777" w:rsidR="00047BE4" w:rsidRPr="00A865FA" w:rsidRDefault="00047BE4" w:rsidP="00047BE4">
            <w:pPr>
              <w:spacing w:before="0"/>
              <w:jc w:val="left"/>
              <w:rPr>
                <w:rFonts w:eastAsia="Times New Roman" w:cstheme="minorHAnsi"/>
                <w:color w:val="000000"/>
                <w:sz w:val="18"/>
                <w:szCs w:val="18"/>
                <w:lang w:eastAsia="cs-CZ"/>
              </w:rPr>
            </w:pPr>
          </w:p>
        </w:tc>
        <w:tc>
          <w:tcPr>
            <w:tcW w:w="576" w:type="pct"/>
            <w:tcBorders>
              <w:top w:val="nil"/>
              <w:left w:val="nil"/>
              <w:bottom w:val="single" w:sz="4" w:space="0" w:color="auto"/>
              <w:right w:val="single" w:sz="4" w:space="0" w:color="auto"/>
            </w:tcBorders>
            <w:shd w:val="clear" w:color="auto" w:fill="auto"/>
            <w:vAlign w:val="center"/>
            <w:hideMark/>
          </w:tcPr>
          <w:p w14:paraId="22562EC6" w14:textId="658A9372"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100</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369" w:type="pct"/>
            <w:tcBorders>
              <w:top w:val="single" w:sz="4" w:space="0" w:color="auto"/>
              <w:left w:val="single" w:sz="4" w:space="0" w:color="auto"/>
              <w:bottom w:val="single" w:sz="4" w:space="0" w:color="auto"/>
              <w:right w:val="single" w:sz="4" w:space="0" w:color="auto"/>
            </w:tcBorders>
            <w:shd w:val="clear" w:color="000000" w:fill="5A8AC6"/>
            <w:vAlign w:val="center"/>
            <w:hideMark/>
          </w:tcPr>
          <w:p w14:paraId="5F4D27C3" w14:textId="10476C49"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2,3</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388" w:type="pct"/>
            <w:tcBorders>
              <w:top w:val="single" w:sz="4" w:space="0" w:color="auto"/>
              <w:left w:val="single" w:sz="4" w:space="0" w:color="auto"/>
              <w:bottom w:val="single" w:sz="4" w:space="0" w:color="auto"/>
              <w:right w:val="single" w:sz="4" w:space="0" w:color="auto"/>
            </w:tcBorders>
            <w:shd w:val="clear" w:color="000000" w:fill="F8696B"/>
            <w:vAlign w:val="center"/>
            <w:hideMark/>
          </w:tcPr>
          <w:p w14:paraId="2DFB48C5" w14:textId="1F11E744"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35,1</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388" w:type="pct"/>
            <w:tcBorders>
              <w:top w:val="single" w:sz="4" w:space="0" w:color="auto"/>
              <w:left w:val="single" w:sz="4" w:space="0" w:color="auto"/>
              <w:bottom w:val="single" w:sz="4" w:space="0" w:color="auto"/>
              <w:right w:val="single" w:sz="4" w:space="0" w:color="auto"/>
            </w:tcBorders>
            <w:shd w:val="clear" w:color="000000" w:fill="FCF6F9"/>
            <w:vAlign w:val="center"/>
            <w:hideMark/>
          </w:tcPr>
          <w:p w14:paraId="1C237ABF" w14:textId="0CE1DEC4"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11,2</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365" w:type="pct"/>
            <w:tcBorders>
              <w:top w:val="single" w:sz="4" w:space="0" w:color="auto"/>
              <w:left w:val="single" w:sz="4" w:space="0" w:color="auto"/>
              <w:bottom w:val="single" w:sz="4" w:space="0" w:color="auto"/>
              <w:right w:val="single" w:sz="4" w:space="0" w:color="auto"/>
            </w:tcBorders>
            <w:shd w:val="clear" w:color="000000" w:fill="D8E2F2"/>
            <w:vAlign w:val="center"/>
            <w:hideMark/>
          </w:tcPr>
          <w:p w14:paraId="1828A850" w14:textId="502BCE7B"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8,5</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388" w:type="pct"/>
            <w:tcBorders>
              <w:top w:val="single" w:sz="4" w:space="0" w:color="auto"/>
              <w:left w:val="single" w:sz="4" w:space="0" w:color="auto"/>
              <w:bottom w:val="single" w:sz="4" w:space="0" w:color="auto"/>
              <w:right w:val="single" w:sz="4" w:space="0" w:color="auto"/>
            </w:tcBorders>
            <w:shd w:val="clear" w:color="000000" w:fill="FCF5F8"/>
            <w:vAlign w:val="center"/>
            <w:hideMark/>
          </w:tcPr>
          <w:p w14:paraId="6ACDBE01" w14:textId="3B9D3740"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11,6</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365" w:type="pct"/>
            <w:tcBorders>
              <w:top w:val="single" w:sz="4" w:space="0" w:color="auto"/>
              <w:left w:val="single" w:sz="4" w:space="0" w:color="auto"/>
              <w:bottom w:val="single" w:sz="4" w:space="0" w:color="auto"/>
              <w:right w:val="single" w:sz="4" w:space="0" w:color="auto"/>
            </w:tcBorders>
            <w:shd w:val="clear" w:color="000000" w:fill="CFDCEF"/>
            <w:vAlign w:val="center"/>
            <w:hideMark/>
          </w:tcPr>
          <w:p w14:paraId="71FF2E5C" w14:textId="195D61AD"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8,1</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388" w:type="pct"/>
            <w:tcBorders>
              <w:top w:val="single" w:sz="4" w:space="0" w:color="auto"/>
              <w:left w:val="single" w:sz="4" w:space="0" w:color="auto"/>
              <w:bottom w:val="single" w:sz="4" w:space="0" w:color="auto"/>
              <w:right w:val="single" w:sz="4" w:space="0" w:color="auto"/>
            </w:tcBorders>
            <w:shd w:val="clear" w:color="000000" w:fill="FCFCFF"/>
            <w:vAlign w:val="center"/>
            <w:hideMark/>
          </w:tcPr>
          <w:p w14:paraId="65A28551" w14:textId="2E78F201"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10,2</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424" w:type="pct"/>
            <w:tcBorders>
              <w:top w:val="single" w:sz="4" w:space="0" w:color="auto"/>
              <w:left w:val="single" w:sz="4" w:space="0" w:color="auto"/>
              <w:bottom w:val="single" w:sz="4" w:space="0" w:color="auto"/>
              <w:right w:val="single" w:sz="4" w:space="0" w:color="auto"/>
            </w:tcBorders>
            <w:shd w:val="clear" w:color="000000" w:fill="FCFAFD"/>
            <w:vAlign w:val="center"/>
            <w:hideMark/>
          </w:tcPr>
          <w:p w14:paraId="26E1650B" w14:textId="70E8E721"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10,6</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c>
          <w:tcPr>
            <w:tcW w:w="491" w:type="pct"/>
            <w:tcBorders>
              <w:top w:val="single" w:sz="4" w:space="0" w:color="auto"/>
              <w:left w:val="single" w:sz="4" w:space="0" w:color="auto"/>
              <w:bottom w:val="single" w:sz="4" w:space="0" w:color="auto"/>
              <w:right w:val="single" w:sz="4" w:space="0" w:color="auto"/>
            </w:tcBorders>
            <w:shd w:val="clear" w:color="000000" w:fill="5A8AC6"/>
            <w:vAlign w:val="center"/>
            <w:hideMark/>
          </w:tcPr>
          <w:p w14:paraId="2FEE3110" w14:textId="31F7C3DE"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2,4</w:t>
            </w:r>
            <w:r w:rsidR="00593A07">
              <w:rPr>
                <w:rFonts w:eastAsia="Times New Roman" w:cstheme="minorHAnsi"/>
                <w:color w:val="000000"/>
                <w:sz w:val="18"/>
                <w:szCs w:val="18"/>
                <w:lang w:eastAsia="cs-CZ"/>
              </w:rPr>
              <w:t xml:space="preserve"> </w:t>
            </w:r>
            <w:r w:rsidRPr="00A865FA">
              <w:rPr>
                <w:rFonts w:eastAsia="Times New Roman" w:cstheme="minorHAnsi"/>
                <w:color w:val="000000"/>
                <w:sz w:val="18"/>
                <w:szCs w:val="18"/>
                <w:lang w:eastAsia="cs-CZ"/>
              </w:rPr>
              <w:t>%</w:t>
            </w:r>
          </w:p>
        </w:tc>
      </w:tr>
      <w:tr w:rsidR="00047BE4" w:rsidRPr="00A865FA" w14:paraId="2E425064" w14:textId="77777777" w:rsidTr="00047BE4">
        <w:trPr>
          <w:trHeight w:val="25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A642092" w14:textId="77777777" w:rsidR="00047BE4" w:rsidRPr="00A865FA" w:rsidRDefault="00047BE4" w:rsidP="00047BE4">
            <w:pPr>
              <w:spacing w:before="0"/>
              <w:jc w:val="left"/>
              <w:rPr>
                <w:rFonts w:eastAsia="Times New Roman" w:cstheme="minorHAnsi"/>
                <w:color w:val="000000"/>
                <w:sz w:val="18"/>
                <w:szCs w:val="18"/>
                <w:lang w:eastAsia="cs-CZ"/>
              </w:rPr>
            </w:pPr>
            <w:r w:rsidRPr="00A865FA">
              <w:rPr>
                <w:rFonts w:eastAsia="Times New Roman" w:cstheme="minorHAnsi"/>
                <w:color w:val="000000"/>
                <w:sz w:val="18"/>
                <w:szCs w:val="18"/>
                <w:lang w:eastAsia="cs-CZ"/>
              </w:rPr>
              <w:t>v nich počet bytů:</w:t>
            </w:r>
          </w:p>
        </w:tc>
      </w:tr>
      <w:tr w:rsidR="00047BE4" w:rsidRPr="00A865FA" w14:paraId="730ED72E" w14:textId="77777777" w:rsidTr="00047BE4">
        <w:trPr>
          <w:trHeight w:val="255"/>
        </w:trPr>
        <w:tc>
          <w:tcPr>
            <w:tcW w:w="858" w:type="pct"/>
            <w:tcBorders>
              <w:top w:val="nil"/>
              <w:left w:val="single" w:sz="4" w:space="0" w:color="auto"/>
              <w:bottom w:val="single" w:sz="4" w:space="0" w:color="auto"/>
              <w:right w:val="single" w:sz="4" w:space="0" w:color="auto"/>
            </w:tcBorders>
            <w:shd w:val="clear" w:color="auto" w:fill="auto"/>
            <w:vAlign w:val="center"/>
            <w:hideMark/>
          </w:tcPr>
          <w:p w14:paraId="4112CD84" w14:textId="77777777" w:rsidR="00047BE4" w:rsidRPr="00A865FA" w:rsidRDefault="00047BE4" w:rsidP="00047BE4">
            <w:pPr>
              <w:pStyle w:val="Odstavecseseznamem"/>
              <w:numPr>
                <w:ilvl w:val="0"/>
                <w:numId w:val="11"/>
              </w:numPr>
              <w:spacing w:before="0"/>
              <w:ind w:left="351"/>
              <w:jc w:val="left"/>
              <w:rPr>
                <w:rFonts w:eastAsia="Times New Roman" w:cstheme="minorHAnsi"/>
                <w:color w:val="000000"/>
                <w:sz w:val="18"/>
                <w:szCs w:val="18"/>
                <w:lang w:eastAsia="cs-CZ"/>
              </w:rPr>
            </w:pPr>
            <w:r w:rsidRPr="00A865FA">
              <w:rPr>
                <w:rFonts w:eastAsia="Times New Roman" w:cstheme="minorHAnsi"/>
                <w:color w:val="000000"/>
                <w:sz w:val="18"/>
                <w:szCs w:val="18"/>
                <w:lang w:eastAsia="cs-CZ"/>
              </w:rPr>
              <w:t xml:space="preserve">obydlených </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09631BD8"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31 702</w:t>
            </w:r>
          </w:p>
        </w:tc>
        <w:tc>
          <w:tcPr>
            <w:tcW w:w="369" w:type="pct"/>
            <w:tcBorders>
              <w:top w:val="single" w:sz="4" w:space="0" w:color="auto"/>
              <w:left w:val="nil"/>
              <w:bottom w:val="single" w:sz="4" w:space="0" w:color="auto"/>
              <w:right w:val="single" w:sz="4" w:space="0" w:color="auto"/>
            </w:tcBorders>
            <w:shd w:val="clear" w:color="auto" w:fill="auto"/>
            <w:vAlign w:val="center"/>
            <w:hideMark/>
          </w:tcPr>
          <w:p w14:paraId="3A2FED9C"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291</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5BBB3FBA"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5 113</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3988BC68"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4 453</w:t>
            </w:r>
          </w:p>
        </w:tc>
        <w:tc>
          <w:tcPr>
            <w:tcW w:w="365" w:type="pct"/>
            <w:tcBorders>
              <w:top w:val="single" w:sz="4" w:space="0" w:color="auto"/>
              <w:left w:val="nil"/>
              <w:bottom w:val="single" w:sz="4" w:space="0" w:color="auto"/>
              <w:right w:val="single" w:sz="4" w:space="0" w:color="auto"/>
            </w:tcBorders>
            <w:shd w:val="clear" w:color="auto" w:fill="auto"/>
            <w:vAlign w:val="center"/>
            <w:hideMark/>
          </w:tcPr>
          <w:p w14:paraId="4DB0A298"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4 992</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0C5A7FA2"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7 039</w:t>
            </w:r>
          </w:p>
        </w:tc>
        <w:tc>
          <w:tcPr>
            <w:tcW w:w="365" w:type="pct"/>
            <w:tcBorders>
              <w:top w:val="single" w:sz="4" w:space="0" w:color="auto"/>
              <w:left w:val="nil"/>
              <w:bottom w:val="single" w:sz="4" w:space="0" w:color="auto"/>
              <w:right w:val="single" w:sz="4" w:space="0" w:color="auto"/>
            </w:tcBorders>
            <w:shd w:val="clear" w:color="auto" w:fill="auto"/>
            <w:vAlign w:val="center"/>
            <w:hideMark/>
          </w:tcPr>
          <w:p w14:paraId="06DF183C"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4 204</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37B179FC"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2 662</w:t>
            </w:r>
          </w:p>
        </w:tc>
        <w:tc>
          <w:tcPr>
            <w:tcW w:w="424" w:type="pct"/>
            <w:tcBorders>
              <w:top w:val="single" w:sz="4" w:space="0" w:color="auto"/>
              <w:left w:val="nil"/>
              <w:bottom w:val="single" w:sz="4" w:space="0" w:color="auto"/>
              <w:right w:val="single" w:sz="4" w:space="0" w:color="auto"/>
            </w:tcBorders>
            <w:shd w:val="clear" w:color="auto" w:fill="auto"/>
            <w:vAlign w:val="center"/>
            <w:hideMark/>
          </w:tcPr>
          <w:p w14:paraId="2EA17743"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2 542</w:t>
            </w:r>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03692075"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406</w:t>
            </w:r>
          </w:p>
        </w:tc>
      </w:tr>
      <w:tr w:rsidR="00047BE4" w:rsidRPr="00A865FA" w14:paraId="7CA50A70" w14:textId="77777777" w:rsidTr="00047BE4">
        <w:trPr>
          <w:trHeight w:val="255"/>
        </w:trPr>
        <w:tc>
          <w:tcPr>
            <w:tcW w:w="858" w:type="pct"/>
            <w:tcBorders>
              <w:top w:val="nil"/>
              <w:left w:val="single" w:sz="4" w:space="0" w:color="auto"/>
              <w:bottom w:val="single" w:sz="4" w:space="0" w:color="auto"/>
              <w:right w:val="single" w:sz="4" w:space="0" w:color="auto"/>
            </w:tcBorders>
            <w:shd w:val="clear" w:color="auto" w:fill="auto"/>
            <w:vAlign w:val="center"/>
            <w:hideMark/>
          </w:tcPr>
          <w:p w14:paraId="1B620623" w14:textId="77777777" w:rsidR="00047BE4" w:rsidRPr="00A865FA" w:rsidRDefault="00047BE4" w:rsidP="00047BE4">
            <w:pPr>
              <w:pStyle w:val="Odstavecseseznamem"/>
              <w:numPr>
                <w:ilvl w:val="0"/>
                <w:numId w:val="11"/>
              </w:numPr>
              <w:spacing w:before="0"/>
              <w:ind w:left="351"/>
              <w:jc w:val="left"/>
              <w:rPr>
                <w:rFonts w:eastAsia="Times New Roman" w:cstheme="minorHAnsi"/>
                <w:color w:val="000000"/>
                <w:sz w:val="18"/>
                <w:szCs w:val="18"/>
                <w:lang w:eastAsia="cs-CZ"/>
              </w:rPr>
            </w:pPr>
            <w:r w:rsidRPr="00A865FA">
              <w:rPr>
                <w:rFonts w:eastAsia="Times New Roman" w:cstheme="minorHAnsi"/>
                <w:color w:val="000000"/>
                <w:sz w:val="18"/>
                <w:szCs w:val="18"/>
                <w:lang w:eastAsia="cs-CZ"/>
              </w:rPr>
              <w:t xml:space="preserve">neobydlených </w:t>
            </w:r>
          </w:p>
        </w:tc>
        <w:tc>
          <w:tcPr>
            <w:tcW w:w="576" w:type="pct"/>
            <w:tcBorders>
              <w:top w:val="nil"/>
              <w:left w:val="nil"/>
              <w:bottom w:val="single" w:sz="4" w:space="0" w:color="auto"/>
              <w:right w:val="single" w:sz="4" w:space="0" w:color="auto"/>
            </w:tcBorders>
            <w:shd w:val="clear" w:color="auto" w:fill="auto"/>
            <w:vAlign w:val="center"/>
            <w:hideMark/>
          </w:tcPr>
          <w:p w14:paraId="1A921B19"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2 078</w:t>
            </w:r>
          </w:p>
        </w:tc>
        <w:tc>
          <w:tcPr>
            <w:tcW w:w="369" w:type="pct"/>
            <w:tcBorders>
              <w:top w:val="nil"/>
              <w:left w:val="nil"/>
              <w:bottom w:val="single" w:sz="4" w:space="0" w:color="auto"/>
              <w:right w:val="single" w:sz="4" w:space="0" w:color="auto"/>
            </w:tcBorders>
            <w:shd w:val="clear" w:color="auto" w:fill="auto"/>
            <w:vAlign w:val="center"/>
            <w:hideMark/>
          </w:tcPr>
          <w:p w14:paraId="72265244"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8</w:t>
            </w:r>
          </w:p>
        </w:tc>
        <w:tc>
          <w:tcPr>
            <w:tcW w:w="388" w:type="pct"/>
            <w:tcBorders>
              <w:top w:val="nil"/>
              <w:left w:val="nil"/>
              <w:bottom w:val="single" w:sz="4" w:space="0" w:color="auto"/>
              <w:right w:val="single" w:sz="4" w:space="0" w:color="auto"/>
            </w:tcBorders>
            <w:shd w:val="clear" w:color="auto" w:fill="auto"/>
            <w:vAlign w:val="center"/>
            <w:hideMark/>
          </w:tcPr>
          <w:p w14:paraId="432EDFC8"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569</w:t>
            </w:r>
          </w:p>
        </w:tc>
        <w:tc>
          <w:tcPr>
            <w:tcW w:w="388" w:type="pct"/>
            <w:tcBorders>
              <w:top w:val="nil"/>
              <w:left w:val="nil"/>
              <w:bottom w:val="single" w:sz="4" w:space="0" w:color="auto"/>
              <w:right w:val="single" w:sz="4" w:space="0" w:color="auto"/>
            </w:tcBorders>
            <w:shd w:val="clear" w:color="auto" w:fill="auto"/>
            <w:vAlign w:val="center"/>
            <w:hideMark/>
          </w:tcPr>
          <w:p w14:paraId="784BD6D7"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273</w:t>
            </w:r>
          </w:p>
        </w:tc>
        <w:tc>
          <w:tcPr>
            <w:tcW w:w="365" w:type="pct"/>
            <w:tcBorders>
              <w:top w:val="nil"/>
              <w:left w:val="nil"/>
              <w:bottom w:val="single" w:sz="4" w:space="0" w:color="auto"/>
              <w:right w:val="single" w:sz="4" w:space="0" w:color="auto"/>
            </w:tcBorders>
            <w:shd w:val="clear" w:color="auto" w:fill="auto"/>
            <w:vAlign w:val="center"/>
            <w:hideMark/>
          </w:tcPr>
          <w:p w14:paraId="107DF87C"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309</w:t>
            </w:r>
          </w:p>
        </w:tc>
        <w:tc>
          <w:tcPr>
            <w:tcW w:w="388" w:type="pct"/>
            <w:tcBorders>
              <w:top w:val="nil"/>
              <w:left w:val="nil"/>
              <w:bottom w:val="single" w:sz="4" w:space="0" w:color="auto"/>
              <w:right w:val="single" w:sz="4" w:space="0" w:color="auto"/>
            </w:tcBorders>
            <w:shd w:val="clear" w:color="auto" w:fill="auto"/>
            <w:vAlign w:val="center"/>
            <w:hideMark/>
          </w:tcPr>
          <w:p w14:paraId="4BB2629F"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352</w:t>
            </w:r>
          </w:p>
        </w:tc>
        <w:tc>
          <w:tcPr>
            <w:tcW w:w="365" w:type="pct"/>
            <w:tcBorders>
              <w:top w:val="nil"/>
              <w:left w:val="nil"/>
              <w:bottom w:val="single" w:sz="4" w:space="0" w:color="auto"/>
              <w:right w:val="single" w:sz="4" w:space="0" w:color="auto"/>
            </w:tcBorders>
            <w:shd w:val="clear" w:color="auto" w:fill="auto"/>
            <w:vAlign w:val="center"/>
            <w:hideMark/>
          </w:tcPr>
          <w:p w14:paraId="157E42BC"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197</w:t>
            </w:r>
          </w:p>
        </w:tc>
        <w:tc>
          <w:tcPr>
            <w:tcW w:w="388" w:type="pct"/>
            <w:tcBorders>
              <w:top w:val="nil"/>
              <w:left w:val="nil"/>
              <w:bottom w:val="single" w:sz="4" w:space="0" w:color="auto"/>
              <w:right w:val="single" w:sz="4" w:space="0" w:color="auto"/>
            </w:tcBorders>
            <w:shd w:val="clear" w:color="auto" w:fill="auto"/>
            <w:vAlign w:val="center"/>
            <w:hideMark/>
          </w:tcPr>
          <w:p w14:paraId="27D2D906"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167</w:t>
            </w:r>
          </w:p>
        </w:tc>
        <w:tc>
          <w:tcPr>
            <w:tcW w:w="424" w:type="pct"/>
            <w:tcBorders>
              <w:top w:val="nil"/>
              <w:left w:val="nil"/>
              <w:bottom w:val="single" w:sz="4" w:space="0" w:color="auto"/>
              <w:right w:val="single" w:sz="4" w:space="0" w:color="auto"/>
            </w:tcBorders>
            <w:shd w:val="clear" w:color="auto" w:fill="auto"/>
            <w:vAlign w:val="center"/>
            <w:hideMark/>
          </w:tcPr>
          <w:p w14:paraId="5EDC93E5"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190</w:t>
            </w:r>
          </w:p>
        </w:tc>
        <w:tc>
          <w:tcPr>
            <w:tcW w:w="491" w:type="pct"/>
            <w:tcBorders>
              <w:top w:val="nil"/>
              <w:left w:val="nil"/>
              <w:bottom w:val="single" w:sz="4" w:space="0" w:color="auto"/>
              <w:right w:val="single" w:sz="4" w:space="0" w:color="auto"/>
            </w:tcBorders>
            <w:shd w:val="clear" w:color="auto" w:fill="auto"/>
            <w:vAlign w:val="center"/>
            <w:hideMark/>
          </w:tcPr>
          <w:p w14:paraId="4F22946D" w14:textId="77777777" w:rsidR="00047BE4" w:rsidRPr="00A865FA" w:rsidRDefault="00047BE4" w:rsidP="00047BE4">
            <w:pPr>
              <w:spacing w:before="0"/>
              <w:jc w:val="right"/>
              <w:rPr>
                <w:rFonts w:eastAsia="Times New Roman" w:cstheme="minorHAnsi"/>
                <w:color w:val="000000"/>
                <w:sz w:val="18"/>
                <w:szCs w:val="18"/>
                <w:lang w:eastAsia="cs-CZ"/>
              </w:rPr>
            </w:pPr>
            <w:r w:rsidRPr="00A865FA">
              <w:rPr>
                <w:rFonts w:eastAsia="Times New Roman" w:cstheme="minorHAnsi"/>
                <w:color w:val="000000"/>
                <w:sz w:val="18"/>
                <w:szCs w:val="18"/>
                <w:lang w:eastAsia="cs-CZ"/>
              </w:rPr>
              <w:t>13</w:t>
            </w:r>
          </w:p>
        </w:tc>
      </w:tr>
    </w:tbl>
    <w:p w14:paraId="628E59A8" w14:textId="0921DE43" w:rsidR="00047BE4" w:rsidRDefault="00047BE4" w:rsidP="00047BE4">
      <w:pPr>
        <w:pStyle w:val="Zdroj"/>
      </w:pPr>
      <w:r>
        <w:t>Zdroj: ČSÚ, SLDB</w:t>
      </w:r>
      <w:r w:rsidR="00593A07">
        <w:t>.</w:t>
      </w:r>
    </w:p>
    <w:p w14:paraId="0A125C53" w14:textId="20563499" w:rsidR="00047BE4" w:rsidRDefault="00047BE4" w:rsidP="00047BE4">
      <w:r>
        <w:t xml:space="preserve">Tabulka </w:t>
      </w:r>
      <w:r w:rsidR="004846A1">
        <w:t>1.9</w:t>
      </w:r>
      <w:r>
        <w:t xml:space="preserve"> znázorňuje strukturu bytového fondu ve Zlíně. Z celkového počtu 31 702 bytů se větší část bytů (asi dvě třetiny) nachází v bytových domech, další přibližně třetina je v domech rodinných. Z hlediska počtu osob žijících v jednom bytě převládají domácnosti s 1 případně 2 osobami, počet bytů obývaných více osobami je pak nižší. Strukturu domácností v obecné rovině ovlivňuje trend snižování průměrného počtu členů obývajících domácnost. Průměrná plocha bytu ve Zlíně činí 80,5 m</w:t>
      </w:r>
      <w:r w:rsidRPr="009C2A90">
        <w:rPr>
          <w:vertAlign w:val="superscript"/>
        </w:rPr>
        <w:t>2</w:t>
      </w:r>
      <w:r>
        <w:t>, průměrná obytná plocha pak je 59,8 m</w:t>
      </w:r>
      <w:r w:rsidRPr="009C2A90">
        <w:rPr>
          <w:vertAlign w:val="superscript"/>
        </w:rPr>
        <w:t>2</w:t>
      </w:r>
      <w:r>
        <w:t>. Nejvyšší počet bytů je v kategorii tří a čtyřpokojových, jejich počet dohromady činí více než polovinu z celkového počtu bytů.</w:t>
      </w:r>
    </w:p>
    <w:p w14:paraId="7D6C8AE7" w14:textId="7E127AE2" w:rsidR="00047BE4" w:rsidRDefault="00047BE4" w:rsidP="00047BE4">
      <w:pPr>
        <w:pStyle w:val="Titulek"/>
        <w:keepNext/>
      </w:pPr>
      <w:bookmarkStart w:id="82" w:name="_Toc49439849"/>
      <w:bookmarkStart w:id="83" w:name="_Toc53037868"/>
      <w:bookmarkStart w:id="84" w:name="_Toc77074688"/>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8</w:t>
      </w:r>
      <w:r w:rsidR="004857C6">
        <w:rPr>
          <w:noProof/>
        </w:rPr>
        <w:fldChar w:fldCharType="end"/>
      </w:r>
      <w:r w:rsidR="00B453CA">
        <w:rPr>
          <w:noProof/>
        </w:rPr>
        <w:t>:</w:t>
      </w:r>
      <w:r>
        <w:t xml:space="preserve"> Dokončené byty ve Zlíně v letech 2015</w:t>
      </w:r>
      <w:r w:rsidR="00B453CA">
        <w:t xml:space="preserve"> </w:t>
      </w:r>
      <w:r w:rsidR="00B453CA">
        <w:sym w:font="Symbol" w:char="F02D"/>
      </w:r>
      <w:r w:rsidR="00B453CA">
        <w:t xml:space="preserve"> </w:t>
      </w:r>
      <w:r>
        <w:t>2019</w:t>
      </w:r>
      <w:bookmarkEnd w:id="82"/>
      <w:bookmarkEnd w:id="83"/>
      <w:bookmarkEnd w:id="84"/>
    </w:p>
    <w:p w14:paraId="4819CD4F" w14:textId="77777777" w:rsidR="00047BE4" w:rsidRDefault="00047BE4" w:rsidP="00047BE4">
      <w:r w:rsidRPr="00872A25">
        <w:rPr>
          <w:noProof/>
          <w:lang w:eastAsia="cs-CZ"/>
        </w:rPr>
        <w:drawing>
          <wp:inline distT="0" distB="0" distL="0" distR="0" wp14:anchorId="619E80C0" wp14:editId="18BE2FDA">
            <wp:extent cx="2962275" cy="1371600"/>
            <wp:effectExtent l="0" t="0" r="952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2275" cy="1371600"/>
                    </a:xfrm>
                    <a:prstGeom prst="rect">
                      <a:avLst/>
                    </a:prstGeom>
                    <a:noFill/>
                    <a:ln>
                      <a:noFill/>
                    </a:ln>
                  </pic:spPr>
                </pic:pic>
              </a:graphicData>
            </a:graphic>
          </wp:inline>
        </w:drawing>
      </w:r>
    </w:p>
    <w:p w14:paraId="20E62040" w14:textId="3032D65D" w:rsidR="00047BE4" w:rsidRDefault="00047BE4" w:rsidP="00047BE4">
      <w:pPr>
        <w:pStyle w:val="Zdroj"/>
      </w:pPr>
      <w:r>
        <w:t>Zdroj: ČSÚ, 2020, Veřejná databáze</w:t>
      </w:r>
      <w:r w:rsidR="00B453CA">
        <w:t>.</w:t>
      </w:r>
    </w:p>
    <w:p w14:paraId="376FF4D8" w14:textId="1D998BA8" w:rsidR="00047BE4" w:rsidRPr="004F4C79" w:rsidRDefault="00047BE4" w:rsidP="00047BE4">
      <w:pPr>
        <w:pStyle w:val="Titulek"/>
        <w:keepNext/>
      </w:pPr>
      <w:bookmarkStart w:id="85" w:name="_Toc49439850"/>
      <w:bookmarkStart w:id="86" w:name="_Toc53037869"/>
      <w:bookmarkStart w:id="87" w:name="_Toc7707468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9</w:t>
      </w:r>
      <w:r w:rsidR="004857C6">
        <w:rPr>
          <w:noProof/>
        </w:rPr>
        <w:fldChar w:fldCharType="end"/>
      </w:r>
      <w:r w:rsidR="00B453CA">
        <w:rPr>
          <w:noProof/>
        </w:rPr>
        <w:t>:</w:t>
      </w:r>
      <w:r>
        <w:t xml:space="preserve"> </w:t>
      </w:r>
      <w:r w:rsidRPr="001E1FB9">
        <w:t xml:space="preserve">Rozložení </w:t>
      </w:r>
      <w:r w:rsidRPr="004F4C79">
        <w:t>bytového fondu dle počtu bydlících osob</w:t>
      </w:r>
      <w:r>
        <w:t xml:space="preserve"> ve městě Zlín</w:t>
      </w:r>
      <w:r w:rsidRPr="001E1FB9">
        <w:t xml:space="preserve"> k 26.</w:t>
      </w:r>
      <w:r>
        <w:t xml:space="preserve"> </w:t>
      </w:r>
      <w:r w:rsidRPr="001E1FB9">
        <w:t>3.</w:t>
      </w:r>
      <w:r>
        <w:t xml:space="preserve"> </w:t>
      </w:r>
      <w:r w:rsidRPr="001E1FB9">
        <w:t>2011</w:t>
      </w:r>
      <w:bookmarkEnd w:id="85"/>
      <w:bookmarkEnd w:id="86"/>
      <w:bookmarkEnd w:id="87"/>
    </w:p>
    <w:tbl>
      <w:tblPr>
        <w:tblW w:w="5000" w:type="pct"/>
        <w:tblLayout w:type="fixed"/>
        <w:tblCellMar>
          <w:left w:w="70" w:type="dxa"/>
          <w:right w:w="70" w:type="dxa"/>
        </w:tblCellMar>
        <w:tblLook w:val="04A0" w:firstRow="1" w:lastRow="0" w:firstColumn="1" w:lastColumn="0" w:noHBand="0" w:noVBand="1"/>
      </w:tblPr>
      <w:tblGrid>
        <w:gridCol w:w="3803"/>
        <w:gridCol w:w="1156"/>
        <w:gridCol w:w="683"/>
        <w:gridCol w:w="685"/>
        <w:gridCol w:w="683"/>
        <w:gridCol w:w="685"/>
        <w:gridCol w:w="667"/>
        <w:gridCol w:w="700"/>
      </w:tblGrid>
      <w:tr w:rsidR="00047BE4" w:rsidRPr="00D922F3" w14:paraId="0D35595E" w14:textId="77777777" w:rsidTr="00047BE4">
        <w:trPr>
          <w:trHeight w:val="255"/>
          <w:tblHeader/>
        </w:trPr>
        <w:tc>
          <w:tcPr>
            <w:tcW w:w="2098"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5D10C1C8"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Druh domu, typ bytu, počet místností</w:t>
            </w:r>
          </w:p>
        </w:tc>
        <w:tc>
          <w:tcPr>
            <w:tcW w:w="638"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6E70226"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Obydlené byty celkem</w:t>
            </w:r>
          </w:p>
        </w:tc>
        <w:tc>
          <w:tcPr>
            <w:tcW w:w="2264" w:type="pct"/>
            <w:gridSpan w:val="6"/>
            <w:tcBorders>
              <w:top w:val="single" w:sz="4" w:space="0" w:color="auto"/>
              <w:left w:val="nil"/>
              <w:bottom w:val="single" w:sz="4" w:space="0" w:color="auto"/>
              <w:right w:val="single" w:sz="4" w:space="0" w:color="000000"/>
            </w:tcBorders>
            <w:shd w:val="clear" w:color="000000" w:fill="D9D9D9"/>
            <w:vAlign w:val="center"/>
            <w:hideMark/>
          </w:tcPr>
          <w:p w14:paraId="474A6C9B"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s počtem osob v bytě</w:t>
            </w:r>
          </w:p>
        </w:tc>
      </w:tr>
      <w:tr w:rsidR="00047BE4" w:rsidRPr="00D922F3" w14:paraId="077A45B6" w14:textId="77777777" w:rsidTr="00047BE4">
        <w:trPr>
          <w:trHeight w:val="255"/>
          <w:tblHeader/>
        </w:trPr>
        <w:tc>
          <w:tcPr>
            <w:tcW w:w="2098" w:type="pct"/>
            <w:vMerge/>
            <w:tcBorders>
              <w:top w:val="single" w:sz="4" w:space="0" w:color="auto"/>
              <w:left w:val="single" w:sz="4" w:space="0" w:color="auto"/>
              <w:bottom w:val="single" w:sz="4" w:space="0" w:color="000000"/>
              <w:right w:val="single" w:sz="4" w:space="0" w:color="auto"/>
            </w:tcBorders>
            <w:vAlign w:val="center"/>
            <w:hideMark/>
          </w:tcPr>
          <w:p w14:paraId="52B22392" w14:textId="77777777" w:rsidR="00047BE4" w:rsidRPr="00D922F3" w:rsidRDefault="00047BE4" w:rsidP="00047BE4">
            <w:pPr>
              <w:spacing w:before="0"/>
              <w:jc w:val="left"/>
              <w:rPr>
                <w:rFonts w:ascii="Calibri" w:eastAsia="Times New Roman" w:hAnsi="Calibri" w:cs="Calibri"/>
                <w:color w:val="000000"/>
                <w:sz w:val="18"/>
                <w:szCs w:val="18"/>
                <w:lang w:eastAsia="cs-CZ"/>
              </w:rPr>
            </w:pPr>
          </w:p>
        </w:tc>
        <w:tc>
          <w:tcPr>
            <w:tcW w:w="638" w:type="pct"/>
            <w:vMerge/>
            <w:tcBorders>
              <w:top w:val="single" w:sz="4" w:space="0" w:color="auto"/>
              <w:left w:val="single" w:sz="4" w:space="0" w:color="auto"/>
              <w:bottom w:val="single" w:sz="4" w:space="0" w:color="000000"/>
              <w:right w:val="single" w:sz="4" w:space="0" w:color="auto"/>
            </w:tcBorders>
            <w:vAlign w:val="center"/>
            <w:hideMark/>
          </w:tcPr>
          <w:p w14:paraId="170B6944" w14:textId="77777777" w:rsidR="00047BE4" w:rsidRPr="00D922F3" w:rsidRDefault="00047BE4" w:rsidP="00047BE4">
            <w:pPr>
              <w:spacing w:before="0"/>
              <w:jc w:val="left"/>
              <w:rPr>
                <w:rFonts w:ascii="Calibri" w:eastAsia="Times New Roman" w:hAnsi="Calibri" w:cs="Calibri"/>
                <w:color w:val="000000"/>
                <w:sz w:val="18"/>
                <w:szCs w:val="18"/>
                <w:lang w:eastAsia="cs-CZ"/>
              </w:rPr>
            </w:pPr>
          </w:p>
        </w:tc>
        <w:tc>
          <w:tcPr>
            <w:tcW w:w="377" w:type="pct"/>
            <w:tcBorders>
              <w:top w:val="nil"/>
              <w:left w:val="nil"/>
              <w:bottom w:val="single" w:sz="4" w:space="0" w:color="auto"/>
              <w:right w:val="single" w:sz="4" w:space="0" w:color="auto"/>
            </w:tcBorders>
            <w:shd w:val="clear" w:color="000000" w:fill="D9D9D9"/>
            <w:vAlign w:val="center"/>
            <w:hideMark/>
          </w:tcPr>
          <w:p w14:paraId="2BD20549"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w:t>
            </w:r>
          </w:p>
        </w:tc>
        <w:tc>
          <w:tcPr>
            <w:tcW w:w="378" w:type="pct"/>
            <w:tcBorders>
              <w:top w:val="nil"/>
              <w:left w:val="nil"/>
              <w:bottom w:val="single" w:sz="4" w:space="0" w:color="auto"/>
              <w:right w:val="single" w:sz="4" w:space="0" w:color="auto"/>
            </w:tcBorders>
            <w:shd w:val="clear" w:color="000000" w:fill="D9D9D9"/>
            <w:vAlign w:val="center"/>
            <w:hideMark/>
          </w:tcPr>
          <w:p w14:paraId="3321821C"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w:t>
            </w:r>
          </w:p>
        </w:tc>
        <w:tc>
          <w:tcPr>
            <w:tcW w:w="377" w:type="pct"/>
            <w:tcBorders>
              <w:top w:val="nil"/>
              <w:left w:val="nil"/>
              <w:bottom w:val="single" w:sz="4" w:space="0" w:color="auto"/>
              <w:right w:val="single" w:sz="4" w:space="0" w:color="auto"/>
            </w:tcBorders>
            <w:shd w:val="clear" w:color="000000" w:fill="D9D9D9"/>
            <w:vAlign w:val="center"/>
            <w:hideMark/>
          </w:tcPr>
          <w:p w14:paraId="278935AE"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w:t>
            </w:r>
          </w:p>
        </w:tc>
        <w:tc>
          <w:tcPr>
            <w:tcW w:w="378" w:type="pct"/>
            <w:tcBorders>
              <w:top w:val="nil"/>
              <w:left w:val="nil"/>
              <w:bottom w:val="single" w:sz="4" w:space="0" w:color="auto"/>
              <w:right w:val="single" w:sz="4" w:space="0" w:color="auto"/>
            </w:tcBorders>
            <w:shd w:val="clear" w:color="000000" w:fill="D9D9D9"/>
            <w:vAlign w:val="center"/>
            <w:hideMark/>
          </w:tcPr>
          <w:p w14:paraId="55DD0EF4"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w:t>
            </w:r>
          </w:p>
        </w:tc>
        <w:tc>
          <w:tcPr>
            <w:tcW w:w="368" w:type="pct"/>
            <w:tcBorders>
              <w:top w:val="nil"/>
              <w:left w:val="nil"/>
              <w:bottom w:val="single" w:sz="4" w:space="0" w:color="auto"/>
              <w:right w:val="single" w:sz="4" w:space="0" w:color="auto"/>
            </w:tcBorders>
            <w:shd w:val="clear" w:color="000000" w:fill="D9D9D9"/>
            <w:vAlign w:val="center"/>
            <w:hideMark/>
          </w:tcPr>
          <w:p w14:paraId="1C939011"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w:t>
            </w:r>
          </w:p>
        </w:tc>
        <w:tc>
          <w:tcPr>
            <w:tcW w:w="387" w:type="pct"/>
            <w:tcBorders>
              <w:top w:val="nil"/>
              <w:left w:val="nil"/>
              <w:bottom w:val="single" w:sz="4" w:space="0" w:color="auto"/>
              <w:right w:val="single" w:sz="4" w:space="0" w:color="auto"/>
            </w:tcBorders>
            <w:shd w:val="clear" w:color="000000" w:fill="D9D9D9"/>
            <w:vAlign w:val="center"/>
            <w:hideMark/>
          </w:tcPr>
          <w:p w14:paraId="640AA574" w14:textId="77777777" w:rsidR="00047BE4" w:rsidRPr="00D922F3" w:rsidRDefault="00047BE4" w:rsidP="00047BE4">
            <w:pPr>
              <w:spacing w:before="0"/>
              <w:jc w:val="center"/>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6 a více</w:t>
            </w:r>
          </w:p>
        </w:tc>
      </w:tr>
      <w:tr w:rsidR="00047BE4" w:rsidRPr="00D922F3" w14:paraId="21EEA847"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78D1002D" w14:textId="77777777" w:rsidR="00047BE4" w:rsidRPr="00D922F3" w:rsidRDefault="00047BE4" w:rsidP="00047BE4">
            <w:pPr>
              <w:spacing w:before="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Obydlené byty celkem</w:t>
            </w:r>
          </w:p>
        </w:tc>
        <w:tc>
          <w:tcPr>
            <w:tcW w:w="638" w:type="pct"/>
            <w:tcBorders>
              <w:top w:val="nil"/>
              <w:left w:val="nil"/>
              <w:bottom w:val="single" w:sz="4" w:space="0" w:color="auto"/>
              <w:right w:val="single" w:sz="4" w:space="0" w:color="auto"/>
            </w:tcBorders>
            <w:shd w:val="clear" w:color="auto" w:fill="auto"/>
            <w:vAlign w:val="center"/>
            <w:hideMark/>
          </w:tcPr>
          <w:p w14:paraId="0500ACD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31 702</w:t>
            </w:r>
          </w:p>
        </w:tc>
        <w:tc>
          <w:tcPr>
            <w:tcW w:w="377" w:type="pct"/>
            <w:tcBorders>
              <w:top w:val="nil"/>
              <w:left w:val="nil"/>
              <w:bottom w:val="single" w:sz="4" w:space="0" w:color="auto"/>
              <w:right w:val="single" w:sz="4" w:space="0" w:color="auto"/>
            </w:tcBorders>
            <w:shd w:val="clear" w:color="auto" w:fill="auto"/>
            <w:vAlign w:val="center"/>
            <w:hideMark/>
          </w:tcPr>
          <w:p w14:paraId="05F4977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10 039</w:t>
            </w:r>
          </w:p>
        </w:tc>
        <w:tc>
          <w:tcPr>
            <w:tcW w:w="378" w:type="pct"/>
            <w:tcBorders>
              <w:top w:val="nil"/>
              <w:left w:val="nil"/>
              <w:bottom w:val="single" w:sz="4" w:space="0" w:color="auto"/>
              <w:right w:val="single" w:sz="4" w:space="0" w:color="auto"/>
            </w:tcBorders>
            <w:shd w:val="clear" w:color="auto" w:fill="auto"/>
            <w:vAlign w:val="center"/>
            <w:hideMark/>
          </w:tcPr>
          <w:p w14:paraId="13648442"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9 800</w:t>
            </w:r>
          </w:p>
        </w:tc>
        <w:tc>
          <w:tcPr>
            <w:tcW w:w="377" w:type="pct"/>
            <w:tcBorders>
              <w:top w:val="nil"/>
              <w:left w:val="nil"/>
              <w:bottom w:val="single" w:sz="4" w:space="0" w:color="auto"/>
              <w:right w:val="single" w:sz="4" w:space="0" w:color="auto"/>
            </w:tcBorders>
            <w:shd w:val="clear" w:color="auto" w:fill="auto"/>
            <w:vAlign w:val="center"/>
            <w:hideMark/>
          </w:tcPr>
          <w:p w14:paraId="12329665"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5 607</w:t>
            </w:r>
          </w:p>
        </w:tc>
        <w:tc>
          <w:tcPr>
            <w:tcW w:w="378" w:type="pct"/>
            <w:tcBorders>
              <w:top w:val="nil"/>
              <w:left w:val="nil"/>
              <w:bottom w:val="single" w:sz="4" w:space="0" w:color="auto"/>
              <w:right w:val="single" w:sz="4" w:space="0" w:color="auto"/>
            </w:tcBorders>
            <w:shd w:val="clear" w:color="auto" w:fill="auto"/>
            <w:vAlign w:val="center"/>
            <w:hideMark/>
          </w:tcPr>
          <w:p w14:paraId="39C05FE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4 514</w:t>
            </w:r>
          </w:p>
        </w:tc>
        <w:tc>
          <w:tcPr>
            <w:tcW w:w="368" w:type="pct"/>
            <w:tcBorders>
              <w:top w:val="nil"/>
              <w:left w:val="nil"/>
              <w:bottom w:val="single" w:sz="4" w:space="0" w:color="auto"/>
              <w:right w:val="single" w:sz="4" w:space="0" w:color="auto"/>
            </w:tcBorders>
            <w:shd w:val="clear" w:color="auto" w:fill="auto"/>
            <w:vAlign w:val="center"/>
            <w:hideMark/>
          </w:tcPr>
          <w:p w14:paraId="242D12F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1 196</w:t>
            </w:r>
          </w:p>
        </w:tc>
        <w:tc>
          <w:tcPr>
            <w:tcW w:w="387" w:type="pct"/>
            <w:tcBorders>
              <w:top w:val="nil"/>
              <w:left w:val="nil"/>
              <w:bottom w:val="single" w:sz="4" w:space="0" w:color="auto"/>
              <w:right w:val="single" w:sz="4" w:space="0" w:color="auto"/>
            </w:tcBorders>
            <w:shd w:val="clear" w:color="auto" w:fill="auto"/>
            <w:vAlign w:val="center"/>
            <w:hideMark/>
          </w:tcPr>
          <w:p w14:paraId="703E5278"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546</w:t>
            </w:r>
          </w:p>
        </w:tc>
      </w:tr>
      <w:tr w:rsidR="00047BE4" w:rsidRPr="00D922F3" w14:paraId="30D2A49B"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5BBA67CF"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byty v rodinných domech</w:t>
            </w:r>
          </w:p>
        </w:tc>
        <w:tc>
          <w:tcPr>
            <w:tcW w:w="638" w:type="pct"/>
            <w:tcBorders>
              <w:top w:val="nil"/>
              <w:left w:val="nil"/>
              <w:bottom w:val="single" w:sz="4" w:space="0" w:color="auto"/>
              <w:right w:val="single" w:sz="4" w:space="0" w:color="auto"/>
            </w:tcBorders>
            <w:shd w:val="clear" w:color="auto" w:fill="auto"/>
            <w:vAlign w:val="center"/>
            <w:hideMark/>
          </w:tcPr>
          <w:p w14:paraId="192D5CF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10 878</w:t>
            </w:r>
          </w:p>
        </w:tc>
        <w:tc>
          <w:tcPr>
            <w:tcW w:w="377" w:type="pct"/>
            <w:tcBorders>
              <w:top w:val="nil"/>
              <w:left w:val="nil"/>
              <w:bottom w:val="single" w:sz="4" w:space="0" w:color="auto"/>
              <w:right w:val="single" w:sz="4" w:space="0" w:color="auto"/>
            </w:tcBorders>
            <w:shd w:val="clear" w:color="auto" w:fill="auto"/>
            <w:vAlign w:val="center"/>
            <w:hideMark/>
          </w:tcPr>
          <w:p w14:paraId="7C557295"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2 403</w:t>
            </w:r>
          </w:p>
        </w:tc>
        <w:tc>
          <w:tcPr>
            <w:tcW w:w="378" w:type="pct"/>
            <w:tcBorders>
              <w:top w:val="nil"/>
              <w:left w:val="nil"/>
              <w:bottom w:val="single" w:sz="4" w:space="0" w:color="auto"/>
              <w:right w:val="single" w:sz="4" w:space="0" w:color="auto"/>
            </w:tcBorders>
            <w:shd w:val="clear" w:color="auto" w:fill="auto"/>
            <w:vAlign w:val="center"/>
            <w:hideMark/>
          </w:tcPr>
          <w:p w14:paraId="7519B70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3 069</w:t>
            </w:r>
          </w:p>
        </w:tc>
        <w:tc>
          <w:tcPr>
            <w:tcW w:w="377" w:type="pct"/>
            <w:tcBorders>
              <w:top w:val="nil"/>
              <w:left w:val="nil"/>
              <w:bottom w:val="single" w:sz="4" w:space="0" w:color="auto"/>
              <w:right w:val="single" w:sz="4" w:space="0" w:color="auto"/>
            </w:tcBorders>
            <w:shd w:val="clear" w:color="auto" w:fill="auto"/>
            <w:vAlign w:val="center"/>
            <w:hideMark/>
          </w:tcPr>
          <w:p w14:paraId="7690C13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2 089</w:t>
            </w:r>
          </w:p>
        </w:tc>
        <w:tc>
          <w:tcPr>
            <w:tcW w:w="378" w:type="pct"/>
            <w:tcBorders>
              <w:top w:val="nil"/>
              <w:left w:val="nil"/>
              <w:bottom w:val="single" w:sz="4" w:space="0" w:color="auto"/>
              <w:right w:val="single" w:sz="4" w:space="0" w:color="auto"/>
            </w:tcBorders>
            <w:shd w:val="clear" w:color="auto" w:fill="auto"/>
            <w:vAlign w:val="center"/>
            <w:hideMark/>
          </w:tcPr>
          <w:p w14:paraId="2A525F09"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2 147</w:t>
            </w:r>
          </w:p>
        </w:tc>
        <w:tc>
          <w:tcPr>
            <w:tcW w:w="368" w:type="pct"/>
            <w:tcBorders>
              <w:top w:val="nil"/>
              <w:left w:val="nil"/>
              <w:bottom w:val="single" w:sz="4" w:space="0" w:color="auto"/>
              <w:right w:val="single" w:sz="4" w:space="0" w:color="auto"/>
            </w:tcBorders>
            <w:shd w:val="clear" w:color="auto" w:fill="auto"/>
            <w:vAlign w:val="center"/>
            <w:hideMark/>
          </w:tcPr>
          <w:p w14:paraId="3514AB52"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771</w:t>
            </w:r>
          </w:p>
        </w:tc>
        <w:tc>
          <w:tcPr>
            <w:tcW w:w="387" w:type="pct"/>
            <w:tcBorders>
              <w:top w:val="nil"/>
              <w:left w:val="nil"/>
              <w:bottom w:val="single" w:sz="4" w:space="0" w:color="auto"/>
              <w:right w:val="single" w:sz="4" w:space="0" w:color="auto"/>
            </w:tcBorders>
            <w:shd w:val="clear" w:color="auto" w:fill="auto"/>
            <w:vAlign w:val="center"/>
            <w:hideMark/>
          </w:tcPr>
          <w:p w14:paraId="74FD347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399</w:t>
            </w:r>
          </w:p>
        </w:tc>
      </w:tr>
      <w:tr w:rsidR="00047BE4" w:rsidRPr="00D922F3" w14:paraId="6DF751AE"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1C018D07"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byty v bytových domech</w:t>
            </w:r>
          </w:p>
        </w:tc>
        <w:tc>
          <w:tcPr>
            <w:tcW w:w="638" w:type="pct"/>
            <w:tcBorders>
              <w:top w:val="nil"/>
              <w:left w:val="nil"/>
              <w:bottom w:val="single" w:sz="4" w:space="0" w:color="auto"/>
              <w:right w:val="single" w:sz="4" w:space="0" w:color="auto"/>
            </w:tcBorders>
            <w:shd w:val="clear" w:color="auto" w:fill="auto"/>
            <w:vAlign w:val="center"/>
            <w:hideMark/>
          </w:tcPr>
          <w:p w14:paraId="028BFA4C"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20 401</w:t>
            </w:r>
          </w:p>
        </w:tc>
        <w:tc>
          <w:tcPr>
            <w:tcW w:w="377" w:type="pct"/>
            <w:tcBorders>
              <w:top w:val="nil"/>
              <w:left w:val="nil"/>
              <w:bottom w:val="single" w:sz="4" w:space="0" w:color="auto"/>
              <w:right w:val="single" w:sz="4" w:space="0" w:color="auto"/>
            </w:tcBorders>
            <w:shd w:val="clear" w:color="auto" w:fill="auto"/>
            <w:vAlign w:val="center"/>
            <w:hideMark/>
          </w:tcPr>
          <w:p w14:paraId="4F0DE44A"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7 394</w:t>
            </w:r>
          </w:p>
        </w:tc>
        <w:tc>
          <w:tcPr>
            <w:tcW w:w="378" w:type="pct"/>
            <w:tcBorders>
              <w:top w:val="nil"/>
              <w:left w:val="nil"/>
              <w:bottom w:val="single" w:sz="4" w:space="0" w:color="auto"/>
              <w:right w:val="single" w:sz="4" w:space="0" w:color="auto"/>
            </w:tcBorders>
            <w:shd w:val="clear" w:color="auto" w:fill="auto"/>
            <w:vAlign w:val="center"/>
            <w:hideMark/>
          </w:tcPr>
          <w:p w14:paraId="62FBCAF1"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6 629</w:t>
            </w:r>
          </w:p>
        </w:tc>
        <w:tc>
          <w:tcPr>
            <w:tcW w:w="377" w:type="pct"/>
            <w:tcBorders>
              <w:top w:val="nil"/>
              <w:left w:val="nil"/>
              <w:bottom w:val="single" w:sz="4" w:space="0" w:color="auto"/>
              <w:right w:val="single" w:sz="4" w:space="0" w:color="auto"/>
            </w:tcBorders>
            <w:shd w:val="clear" w:color="auto" w:fill="auto"/>
            <w:vAlign w:val="center"/>
            <w:hideMark/>
          </w:tcPr>
          <w:p w14:paraId="70A56B25"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3 481</w:t>
            </w:r>
          </w:p>
        </w:tc>
        <w:tc>
          <w:tcPr>
            <w:tcW w:w="378" w:type="pct"/>
            <w:tcBorders>
              <w:top w:val="nil"/>
              <w:left w:val="nil"/>
              <w:bottom w:val="single" w:sz="4" w:space="0" w:color="auto"/>
              <w:right w:val="single" w:sz="4" w:space="0" w:color="auto"/>
            </w:tcBorders>
            <w:shd w:val="clear" w:color="auto" w:fill="auto"/>
            <w:vAlign w:val="center"/>
            <w:hideMark/>
          </w:tcPr>
          <w:p w14:paraId="150C645A"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2 344</w:t>
            </w:r>
          </w:p>
        </w:tc>
        <w:tc>
          <w:tcPr>
            <w:tcW w:w="368" w:type="pct"/>
            <w:tcBorders>
              <w:top w:val="nil"/>
              <w:left w:val="nil"/>
              <w:bottom w:val="single" w:sz="4" w:space="0" w:color="auto"/>
              <w:right w:val="single" w:sz="4" w:space="0" w:color="auto"/>
            </w:tcBorders>
            <w:shd w:val="clear" w:color="auto" w:fill="auto"/>
            <w:vAlign w:val="center"/>
            <w:hideMark/>
          </w:tcPr>
          <w:p w14:paraId="1772988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417</w:t>
            </w:r>
          </w:p>
        </w:tc>
        <w:tc>
          <w:tcPr>
            <w:tcW w:w="387" w:type="pct"/>
            <w:tcBorders>
              <w:top w:val="nil"/>
              <w:left w:val="nil"/>
              <w:bottom w:val="single" w:sz="4" w:space="0" w:color="auto"/>
              <w:right w:val="single" w:sz="4" w:space="0" w:color="auto"/>
            </w:tcBorders>
            <w:shd w:val="clear" w:color="auto" w:fill="auto"/>
            <w:vAlign w:val="center"/>
            <w:hideMark/>
          </w:tcPr>
          <w:p w14:paraId="22533A7B"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136</w:t>
            </w:r>
          </w:p>
        </w:tc>
      </w:tr>
      <w:tr w:rsidR="00047BE4" w:rsidRPr="00D922F3" w14:paraId="130AB450"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4405679D"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byty v ostatních budovách*</w:t>
            </w:r>
          </w:p>
        </w:tc>
        <w:tc>
          <w:tcPr>
            <w:tcW w:w="638" w:type="pct"/>
            <w:tcBorders>
              <w:top w:val="nil"/>
              <w:left w:val="nil"/>
              <w:bottom w:val="single" w:sz="4" w:space="0" w:color="auto"/>
              <w:right w:val="single" w:sz="4" w:space="0" w:color="auto"/>
            </w:tcBorders>
            <w:shd w:val="clear" w:color="auto" w:fill="auto"/>
            <w:vAlign w:val="center"/>
            <w:hideMark/>
          </w:tcPr>
          <w:p w14:paraId="1E64BEFD"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423</w:t>
            </w:r>
          </w:p>
        </w:tc>
        <w:tc>
          <w:tcPr>
            <w:tcW w:w="377" w:type="pct"/>
            <w:tcBorders>
              <w:top w:val="nil"/>
              <w:left w:val="nil"/>
              <w:bottom w:val="single" w:sz="4" w:space="0" w:color="auto"/>
              <w:right w:val="single" w:sz="4" w:space="0" w:color="auto"/>
            </w:tcBorders>
            <w:shd w:val="clear" w:color="auto" w:fill="auto"/>
            <w:vAlign w:val="center"/>
            <w:hideMark/>
          </w:tcPr>
          <w:p w14:paraId="19FFB84B"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242</w:t>
            </w:r>
          </w:p>
        </w:tc>
        <w:tc>
          <w:tcPr>
            <w:tcW w:w="378" w:type="pct"/>
            <w:tcBorders>
              <w:top w:val="nil"/>
              <w:left w:val="nil"/>
              <w:bottom w:val="single" w:sz="4" w:space="0" w:color="auto"/>
              <w:right w:val="single" w:sz="4" w:space="0" w:color="auto"/>
            </w:tcBorders>
            <w:shd w:val="clear" w:color="auto" w:fill="auto"/>
            <w:vAlign w:val="center"/>
            <w:hideMark/>
          </w:tcPr>
          <w:p w14:paraId="024DDA8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102</w:t>
            </w:r>
          </w:p>
        </w:tc>
        <w:tc>
          <w:tcPr>
            <w:tcW w:w="377" w:type="pct"/>
            <w:tcBorders>
              <w:top w:val="nil"/>
              <w:left w:val="nil"/>
              <w:bottom w:val="single" w:sz="4" w:space="0" w:color="auto"/>
              <w:right w:val="single" w:sz="4" w:space="0" w:color="auto"/>
            </w:tcBorders>
            <w:shd w:val="clear" w:color="auto" w:fill="auto"/>
            <w:vAlign w:val="center"/>
            <w:hideMark/>
          </w:tcPr>
          <w:p w14:paraId="7FC65419"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37</w:t>
            </w:r>
          </w:p>
        </w:tc>
        <w:tc>
          <w:tcPr>
            <w:tcW w:w="378" w:type="pct"/>
            <w:tcBorders>
              <w:top w:val="nil"/>
              <w:left w:val="nil"/>
              <w:bottom w:val="single" w:sz="4" w:space="0" w:color="auto"/>
              <w:right w:val="single" w:sz="4" w:space="0" w:color="auto"/>
            </w:tcBorders>
            <w:shd w:val="clear" w:color="auto" w:fill="auto"/>
            <w:vAlign w:val="center"/>
            <w:hideMark/>
          </w:tcPr>
          <w:p w14:paraId="76952D1B"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23</w:t>
            </w:r>
          </w:p>
        </w:tc>
        <w:tc>
          <w:tcPr>
            <w:tcW w:w="368" w:type="pct"/>
            <w:tcBorders>
              <w:top w:val="nil"/>
              <w:left w:val="nil"/>
              <w:bottom w:val="single" w:sz="4" w:space="0" w:color="auto"/>
              <w:right w:val="single" w:sz="4" w:space="0" w:color="auto"/>
            </w:tcBorders>
            <w:shd w:val="clear" w:color="auto" w:fill="auto"/>
            <w:vAlign w:val="center"/>
            <w:hideMark/>
          </w:tcPr>
          <w:p w14:paraId="53F05679"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w:t>
            </w:r>
          </w:p>
        </w:tc>
        <w:tc>
          <w:tcPr>
            <w:tcW w:w="387" w:type="pct"/>
            <w:tcBorders>
              <w:top w:val="nil"/>
              <w:left w:val="nil"/>
              <w:bottom w:val="single" w:sz="4" w:space="0" w:color="auto"/>
              <w:right w:val="single" w:sz="4" w:space="0" w:color="auto"/>
            </w:tcBorders>
            <w:shd w:val="clear" w:color="auto" w:fill="auto"/>
            <w:vAlign w:val="center"/>
            <w:hideMark/>
          </w:tcPr>
          <w:p w14:paraId="46324EED"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11</w:t>
            </w:r>
          </w:p>
        </w:tc>
      </w:tr>
      <w:tr w:rsidR="00047BE4" w:rsidRPr="00D922F3" w14:paraId="29817B75"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1CB42F37" w14:textId="77777777" w:rsidR="00047BE4" w:rsidRPr="00D922F3" w:rsidRDefault="00047BE4" w:rsidP="00047BE4">
            <w:pPr>
              <w:spacing w:before="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Obydlené byty celkem</w:t>
            </w:r>
          </w:p>
        </w:tc>
        <w:tc>
          <w:tcPr>
            <w:tcW w:w="638" w:type="pct"/>
            <w:tcBorders>
              <w:top w:val="nil"/>
              <w:left w:val="nil"/>
              <w:bottom w:val="single" w:sz="4" w:space="0" w:color="auto"/>
              <w:right w:val="single" w:sz="4" w:space="0" w:color="auto"/>
            </w:tcBorders>
            <w:shd w:val="clear" w:color="auto" w:fill="auto"/>
            <w:vAlign w:val="center"/>
            <w:hideMark/>
          </w:tcPr>
          <w:p w14:paraId="478415C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100%</w:t>
            </w:r>
          </w:p>
        </w:tc>
        <w:tc>
          <w:tcPr>
            <w:tcW w:w="377" w:type="pct"/>
            <w:tcBorders>
              <w:top w:val="single" w:sz="4" w:space="0" w:color="auto"/>
              <w:left w:val="single" w:sz="4" w:space="0" w:color="auto"/>
              <w:bottom w:val="single" w:sz="4" w:space="0" w:color="auto"/>
              <w:right w:val="single" w:sz="4" w:space="0" w:color="auto"/>
            </w:tcBorders>
            <w:shd w:val="clear" w:color="000000" w:fill="FBC4C6"/>
            <w:vAlign w:val="center"/>
            <w:hideMark/>
          </w:tcPr>
          <w:p w14:paraId="3143D04D" w14:textId="099E3B7D"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32</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FBC7C9"/>
            <w:vAlign w:val="center"/>
            <w:hideMark/>
          </w:tcPr>
          <w:p w14:paraId="119AFA7C" w14:textId="2F04D5A5"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31</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7" w:type="pct"/>
            <w:tcBorders>
              <w:top w:val="single" w:sz="4" w:space="0" w:color="auto"/>
              <w:left w:val="single" w:sz="4" w:space="0" w:color="auto"/>
              <w:bottom w:val="single" w:sz="4" w:space="0" w:color="auto"/>
              <w:right w:val="single" w:sz="4" w:space="0" w:color="auto"/>
            </w:tcBorders>
            <w:shd w:val="clear" w:color="000000" w:fill="FCF5F8"/>
            <w:vAlign w:val="center"/>
            <w:hideMark/>
          </w:tcPr>
          <w:p w14:paraId="018818BA" w14:textId="26000930"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18</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ECF1F9"/>
            <w:vAlign w:val="center"/>
            <w:hideMark/>
          </w:tcPr>
          <w:p w14:paraId="5D295B74" w14:textId="6060477A"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14</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68" w:type="pct"/>
            <w:tcBorders>
              <w:top w:val="single" w:sz="4" w:space="0" w:color="auto"/>
              <w:left w:val="single" w:sz="4" w:space="0" w:color="auto"/>
              <w:bottom w:val="single" w:sz="4" w:space="0" w:color="auto"/>
              <w:right w:val="single" w:sz="4" w:space="0" w:color="auto"/>
            </w:tcBorders>
            <w:shd w:val="clear" w:color="000000" w:fill="7BA1D1"/>
            <w:vAlign w:val="center"/>
            <w:hideMark/>
          </w:tcPr>
          <w:p w14:paraId="16A660B6" w14:textId="13FBA56C"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87" w:type="pct"/>
            <w:tcBorders>
              <w:top w:val="single" w:sz="4" w:space="0" w:color="auto"/>
              <w:left w:val="single" w:sz="4" w:space="0" w:color="auto"/>
              <w:bottom w:val="single" w:sz="4" w:space="0" w:color="auto"/>
              <w:right w:val="single" w:sz="4" w:space="0" w:color="auto"/>
            </w:tcBorders>
            <w:shd w:val="clear" w:color="000000" w:fill="6592CA"/>
            <w:vAlign w:val="center"/>
            <w:hideMark/>
          </w:tcPr>
          <w:p w14:paraId="07D8F6D2" w14:textId="05D3A5B3"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r>
      <w:tr w:rsidR="00047BE4" w:rsidRPr="00D922F3" w14:paraId="7D996A93"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6769EE93"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byty v rodinných domech</w:t>
            </w:r>
          </w:p>
        </w:tc>
        <w:tc>
          <w:tcPr>
            <w:tcW w:w="638" w:type="pct"/>
            <w:tcBorders>
              <w:top w:val="nil"/>
              <w:left w:val="nil"/>
              <w:bottom w:val="single" w:sz="4" w:space="0" w:color="auto"/>
              <w:right w:val="single" w:sz="4" w:space="0" w:color="auto"/>
            </w:tcBorders>
            <w:shd w:val="clear" w:color="auto" w:fill="auto"/>
            <w:vAlign w:val="center"/>
            <w:hideMark/>
          </w:tcPr>
          <w:p w14:paraId="65F26AA5"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100%</w:t>
            </w:r>
          </w:p>
        </w:tc>
        <w:tc>
          <w:tcPr>
            <w:tcW w:w="377" w:type="pct"/>
            <w:tcBorders>
              <w:top w:val="single" w:sz="4" w:space="0" w:color="auto"/>
              <w:left w:val="single" w:sz="4" w:space="0" w:color="auto"/>
              <w:bottom w:val="single" w:sz="4" w:space="0" w:color="auto"/>
              <w:right w:val="single" w:sz="4" w:space="0" w:color="auto"/>
            </w:tcBorders>
            <w:shd w:val="clear" w:color="000000" w:fill="FCE6E9"/>
            <w:vAlign w:val="center"/>
            <w:hideMark/>
          </w:tcPr>
          <w:p w14:paraId="1FF235B4" w14:textId="165CEE5F"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22</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FBD0D3"/>
            <w:vAlign w:val="center"/>
            <w:hideMark/>
          </w:tcPr>
          <w:p w14:paraId="2A02F43D" w14:textId="6784DF33"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28</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7" w:type="pct"/>
            <w:tcBorders>
              <w:top w:val="single" w:sz="4" w:space="0" w:color="auto"/>
              <w:left w:val="single" w:sz="4" w:space="0" w:color="auto"/>
              <w:bottom w:val="single" w:sz="4" w:space="0" w:color="auto"/>
              <w:right w:val="single" w:sz="4" w:space="0" w:color="auto"/>
            </w:tcBorders>
            <w:shd w:val="clear" w:color="000000" w:fill="FCF0F3"/>
            <w:vAlign w:val="center"/>
            <w:hideMark/>
          </w:tcPr>
          <w:p w14:paraId="4E608454" w14:textId="6A6D3394"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19</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FCEEF1"/>
            <w:vAlign w:val="center"/>
            <w:hideMark/>
          </w:tcPr>
          <w:p w14:paraId="67C15EE2" w14:textId="68A2F314"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20</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68" w:type="pct"/>
            <w:tcBorders>
              <w:top w:val="single" w:sz="4" w:space="0" w:color="auto"/>
              <w:left w:val="single" w:sz="4" w:space="0" w:color="auto"/>
              <w:bottom w:val="single" w:sz="4" w:space="0" w:color="auto"/>
              <w:right w:val="single" w:sz="4" w:space="0" w:color="auto"/>
            </w:tcBorders>
            <w:shd w:val="clear" w:color="000000" w:fill="9FBADE"/>
            <w:vAlign w:val="center"/>
            <w:hideMark/>
          </w:tcPr>
          <w:p w14:paraId="0061F22D" w14:textId="3805E252"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7</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87" w:type="pct"/>
            <w:tcBorders>
              <w:top w:val="single" w:sz="4" w:space="0" w:color="auto"/>
              <w:left w:val="single" w:sz="4" w:space="0" w:color="auto"/>
              <w:bottom w:val="single" w:sz="4" w:space="0" w:color="auto"/>
              <w:right w:val="single" w:sz="4" w:space="0" w:color="auto"/>
            </w:tcBorders>
            <w:shd w:val="clear" w:color="000000" w:fill="7AA0D1"/>
            <w:vAlign w:val="center"/>
            <w:hideMark/>
          </w:tcPr>
          <w:p w14:paraId="4894554E" w14:textId="23886D3D"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r>
      <w:tr w:rsidR="00047BE4" w:rsidRPr="00D922F3" w14:paraId="7FF1A6E8"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019A7E72"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byty v bytových domech</w:t>
            </w:r>
          </w:p>
        </w:tc>
        <w:tc>
          <w:tcPr>
            <w:tcW w:w="638" w:type="pct"/>
            <w:tcBorders>
              <w:top w:val="nil"/>
              <w:left w:val="nil"/>
              <w:bottom w:val="single" w:sz="4" w:space="0" w:color="auto"/>
              <w:right w:val="single" w:sz="4" w:space="0" w:color="auto"/>
            </w:tcBorders>
            <w:shd w:val="clear" w:color="auto" w:fill="auto"/>
            <w:vAlign w:val="center"/>
            <w:hideMark/>
          </w:tcPr>
          <w:p w14:paraId="1EF1846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100%</w:t>
            </w:r>
          </w:p>
        </w:tc>
        <w:tc>
          <w:tcPr>
            <w:tcW w:w="377" w:type="pct"/>
            <w:tcBorders>
              <w:top w:val="single" w:sz="4" w:space="0" w:color="auto"/>
              <w:left w:val="single" w:sz="4" w:space="0" w:color="auto"/>
              <w:bottom w:val="single" w:sz="4" w:space="0" w:color="auto"/>
              <w:right w:val="single" w:sz="4" w:space="0" w:color="auto"/>
            </w:tcBorders>
            <w:shd w:val="clear" w:color="000000" w:fill="FBB4B6"/>
            <w:vAlign w:val="center"/>
            <w:hideMark/>
          </w:tcPr>
          <w:p w14:paraId="3271249C" w14:textId="063182B0"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36</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FBC1C4"/>
            <w:vAlign w:val="center"/>
            <w:hideMark/>
          </w:tcPr>
          <w:p w14:paraId="399634B3" w14:textId="6F739392"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32</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7" w:type="pct"/>
            <w:tcBorders>
              <w:top w:val="single" w:sz="4" w:space="0" w:color="auto"/>
              <w:left w:val="single" w:sz="4" w:space="0" w:color="auto"/>
              <w:bottom w:val="single" w:sz="4" w:space="0" w:color="auto"/>
              <w:right w:val="single" w:sz="4" w:space="0" w:color="auto"/>
            </w:tcBorders>
            <w:shd w:val="clear" w:color="000000" w:fill="FCF8FA"/>
            <w:vAlign w:val="center"/>
            <w:hideMark/>
          </w:tcPr>
          <w:p w14:paraId="527085D0" w14:textId="7A6096FE"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17</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CFDCEF"/>
            <w:vAlign w:val="center"/>
            <w:hideMark/>
          </w:tcPr>
          <w:p w14:paraId="41CA695C" w14:textId="4E542559"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11</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68" w:type="pct"/>
            <w:tcBorders>
              <w:top w:val="single" w:sz="4" w:space="0" w:color="auto"/>
              <w:left w:val="single" w:sz="4" w:space="0" w:color="auto"/>
              <w:bottom w:val="single" w:sz="4" w:space="0" w:color="auto"/>
              <w:right w:val="single" w:sz="4" w:space="0" w:color="auto"/>
            </w:tcBorders>
            <w:shd w:val="clear" w:color="000000" w:fill="6894CB"/>
            <w:vAlign w:val="center"/>
            <w:hideMark/>
          </w:tcPr>
          <w:p w14:paraId="0D38BE60" w14:textId="54C84592"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87" w:type="pct"/>
            <w:tcBorders>
              <w:top w:val="single" w:sz="4" w:space="0" w:color="auto"/>
              <w:left w:val="single" w:sz="4" w:space="0" w:color="auto"/>
              <w:bottom w:val="single" w:sz="4" w:space="0" w:color="auto"/>
              <w:right w:val="single" w:sz="4" w:space="0" w:color="auto"/>
            </w:tcBorders>
            <w:shd w:val="clear" w:color="000000" w:fill="5A8AC6"/>
            <w:vAlign w:val="center"/>
            <w:hideMark/>
          </w:tcPr>
          <w:p w14:paraId="54EC1515" w14:textId="43D39341"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r>
      <w:tr w:rsidR="00047BE4" w:rsidRPr="00D922F3" w14:paraId="1C746050"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749D2224"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byty v ostatních budovách</w:t>
            </w:r>
          </w:p>
        </w:tc>
        <w:tc>
          <w:tcPr>
            <w:tcW w:w="638" w:type="pct"/>
            <w:tcBorders>
              <w:top w:val="nil"/>
              <w:left w:val="nil"/>
              <w:bottom w:val="single" w:sz="4" w:space="0" w:color="auto"/>
              <w:right w:val="single" w:sz="4" w:space="0" w:color="auto"/>
            </w:tcBorders>
            <w:shd w:val="clear" w:color="auto" w:fill="auto"/>
            <w:vAlign w:val="center"/>
            <w:hideMark/>
          </w:tcPr>
          <w:p w14:paraId="4B33B5B0"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100%</w:t>
            </w:r>
          </w:p>
        </w:tc>
        <w:tc>
          <w:tcPr>
            <w:tcW w:w="377" w:type="pct"/>
            <w:tcBorders>
              <w:top w:val="single" w:sz="4" w:space="0" w:color="auto"/>
              <w:left w:val="single" w:sz="4" w:space="0" w:color="auto"/>
              <w:bottom w:val="single" w:sz="4" w:space="0" w:color="auto"/>
              <w:right w:val="single" w:sz="4" w:space="0" w:color="auto"/>
            </w:tcBorders>
            <w:shd w:val="clear" w:color="000000" w:fill="F8696B"/>
            <w:vAlign w:val="center"/>
            <w:hideMark/>
          </w:tcPr>
          <w:p w14:paraId="19CE0F76" w14:textId="346F5B0D"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57</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FCDFE1"/>
            <w:vAlign w:val="center"/>
            <w:hideMark/>
          </w:tcPr>
          <w:p w14:paraId="1133D246" w14:textId="3FF14565"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24</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7" w:type="pct"/>
            <w:tcBorders>
              <w:top w:val="single" w:sz="4" w:space="0" w:color="auto"/>
              <w:left w:val="single" w:sz="4" w:space="0" w:color="auto"/>
              <w:bottom w:val="single" w:sz="4" w:space="0" w:color="auto"/>
              <w:right w:val="single" w:sz="4" w:space="0" w:color="auto"/>
            </w:tcBorders>
            <w:shd w:val="clear" w:color="000000" w:fill="B1C7E4"/>
            <w:vAlign w:val="center"/>
            <w:hideMark/>
          </w:tcPr>
          <w:p w14:paraId="0C1687F2" w14:textId="668D937E"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9</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78" w:type="pct"/>
            <w:tcBorders>
              <w:top w:val="single" w:sz="4" w:space="0" w:color="auto"/>
              <w:left w:val="single" w:sz="4" w:space="0" w:color="auto"/>
              <w:bottom w:val="single" w:sz="4" w:space="0" w:color="auto"/>
              <w:right w:val="single" w:sz="4" w:space="0" w:color="auto"/>
            </w:tcBorders>
            <w:shd w:val="clear" w:color="000000" w:fill="8DAED8"/>
            <w:vAlign w:val="center"/>
            <w:hideMark/>
          </w:tcPr>
          <w:p w14:paraId="576A1173" w14:textId="0D29B46E"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68" w:type="pct"/>
            <w:tcBorders>
              <w:top w:val="single" w:sz="4" w:space="0" w:color="auto"/>
              <w:left w:val="single" w:sz="4" w:space="0" w:color="auto"/>
              <w:bottom w:val="single" w:sz="4" w:space="0" w:color="auto"/>
              <w:right w:val="single" w:sz="4" w:space="0" w:color="auto"/>
            </w:tcBorders>
            <w:shd w:val="clear" w:color="000000" w:fill="6793CA"/>
            <w:vAlign w:val="center"/>
            <w:hideMark/>
          </w:tcPr>
          <w:p w14:paraId="1B2C4E02" w14:textId="2221CD74"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c>
          <w:tcPr>
            <w:tcW w:w="387" w:type="pct"/>
            <w:tcBorders>
              <w:top w:val="single" w:sz="4" w:space="0" w:color="auto"/>
              <w:left w:val="single" w:sz="4" w:space="0" w:color="auto"/>
              <w:bottom w:val="single" w:sz="4" w:space="0" w:color="auto"/>
              <w:right w:val="single" w:sz="4" w:space="0" w:color="auto"/>
            </w:tcBorders>
            <w:shd w:val="clear" w:color="000000" w:fill="6E98CD"/>
            <w:vAlign w:val="center"/>
            <w:hideMark/>
          </w:tcPr>
          <w:p w14:paraId="0DB9656B" w14:textId="26C4F324"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w:t>
            </w:r>
            <w:r w:rsidR="00B453CA">
              <w:rPr>
                <w:rFonts w:ascii="Calibri" w:eastAsia="Times New Roman" w:hAnsi="Calibri" w:cs="Calibri"/>
                <w:color w:val="000000"/>
                <w:sz w:val="18"/>
                <w:szCs w:val="18"/>
                <w:lang w:eastAsia="cs-CZ"/>
              </w:rPr>
              <w:t xml:space="preserve"> </w:t>
            </w:r>
            <w:r w:rsidRPr="00D922F3">
              <w:rPr>
                <w:rFonts w:ascii="Calibri" w:eastAsia="Times New Roman" w:hAnsi="Calibri" w:cs="Calibri"/>
                <w:color w:val="000000"/>
                <w:sz w:val="18"/>
                <w:szCs w:val="18"/>
                <w:lang w:eastAsia="cs-CZ"/>
              </w:rPr>
              <w:t>%</w:t>
            </w:r>
          </w:p>
        </w:tc>
      </w:tr>
      <w:tr w:rsidR="00047BE4" w:rsidRPr="00D922F3" w14:paraId="51334E04"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379F9782" w14:textId="77777777" w:rsidR="00047BE4" w:rsidRPr="00D922F3" w:rsidRDefault="00047BE4" w:rsidP="00047BE4">
            <w:pPr>
              <w:spacing w:before="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Byty podle počtu obytných místností (8 m² a více)</w:t>
            </w:r>
          </w:p>
        </w:tc>
        <w:tc>
          <w:tcPr>
            <w:tcW w:w="638" w:type="pct"/>
            <w:tcBorders>
              <w:top w:val="nil"/>
              <w:left w:val="nil"/>
              <w:bottom w:val="single" w:sz="4" w:space="0" w:color="auto"/>
              <w:right w:val="single" w:sz="4" w:space="0" w:color="auto"/>
            </w:tcBorders>
            <w:shd w:val="clear" w:color="auto" w:fill="auto"/>
            <w:vAlign w:val="center"/>
            <w:hideMark/>
          </w:tcPr>
          <w:p w14:paraId="008423C8"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 </w:t>
            </w:r>
          </w:p>
        </w:tc>
        <w:tc>
          <w:tcPr>
            <w:tcW w:w="377" w:type="pct"/>
            <w:tcBorders>
              <w:top w:val="nil"/>
              <w:left w:val="nil"/>
              <w:bottom w:val="single" w:sz="4" w:space="0" w:color="auto"/>
              <w:right w:val="single" w:sz="4" w:space="0" w:color="auto"/>
            </w:tcBorders>
            <w:shd w:val="clear" w:color="auto" w:fill="auto"/>
            <w:vAlign w:val="center"/>
            <w:hideMark/>
          </w:tcPr>
          <w:p w14:paraId="685D630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 </w:t>
            </w:r>
          </w:p>
        </w:tc>
        <w:tc>
          <w:tcPr>
            <w:tcW w:w="378" w:type="pct"/>
            <w:tcBorders>
              <w:top w:val="nil"/>
              <w:left w:val="nil"/>
              <w:bottom w:val="single" w:sz="4" w:space="0" w:color="auto"/>
              <w:right w:val="single" w:sz="4" w:space="0" w:color="auto"/>
            </w:tcBorders>
            <w:shd w:val="clear" w:color="auto" w:fill="auto"/>
            <w:vAlign w:val="center"/>
            <w:hideMark/>
          </w:tcPr>
          <w:p w14:paraId="61AE012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 </w:t>
            </w:r>
          </w:p>
        </w:tc>
        <w:tc>
          <w:tcPr>
            <w:tcW w:w="377" w:type="pct"/>
            <w:tcBorders>
              <w:top w:val="nil"/>
              <w:left w:val="nil"/>
              <w:bottom w:val="single" w:sz="4" w:space="0" w:color="auto"/>
              <w:right w:val="single" w:sz="4" w:space="0" w:color="auto"/>
            </w:tcBorders>
            <w:shd w:val="clear" w:color="auto" w:fill="auto"/>
            <w:vAlign w:val="center"/>
            <w:hideMark/>
          </w:tcPr>
          <w:p w14:paraId="6B6F1E2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 </w:t>
            </w:r>
          </w:p>
        </w:tc>
        <w:tc>
          <w:tcPr>
            <w:tcW w:w="378" w:type="pct"/>
            <w:tcBorders>
              <w:top w:val="nil"/>
              <w:left w:val="nil"/>
              <w:bottom w:val="single" w:sz="4" w:space="0" w:color="auto"/>
              <w:right w:val="single" w:sz="4" w:space="0" w:color="auto"/>
            </w:tcBorders>
            <w:shd w:val="clear" w:color="auto" w:fill="auto"/>
            <w:vAlign w:val="center"/>
            <w:hideMark/>
          </w:tcPr>
          <w:p w14:paraId="20E4374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 </w:t>
            </w:r>
          </w:p>
        </w:tc>
        <w:tc>
          <w:tcPr>
            <w:tcW w:w="368" w:type="pct"/>
            <w:tcBorders>
              <w:top w:val="nil"/>
              <w:left w:val="nil"/>
              <w:bottom w:val="single" w:sz="4" w:space="0" w:color="auto"/>
              <w:right w:val="single" w:sz="4" w:space="0" w:color="auto"/>
            </w:tcBorders>
            <w:shd w:val="clear" w:color="auto" w:fill="auto"/>
            <w:vAlign w:val="center"/>
            <w:hideMark/>
          </w:tcPr>
          <w:p w14:paraId="6E295D5B"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 </w:t>
            </w:r>
          </w:p>
        </w:tc>
        <w:tc>
          <w:tcPr>
            <w:tcW w:w="387" w:type="pct"/>
            <w:tcBorders>
              <w:top w:val="nil"/>
              <w:left w:val="nil"/>
              <w:bottom w:val="single" w:sz="4" w:space="0" w:color="auto"/>
              <w:right w:val="single" w:sz="4" w:space="0" w:color="auto"/>
            </w:tcBorders>
            <w:shd w:val="clear" w:color="auto" w:fill="auto"/>
            <w:vAlign w:val="center"/>
            <w:hideMark/>
          </w:tcPr>
          <w:p w14:paraId="43EF5F99"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 </w:t>
            </w:r>
          </w:p>
        </w:tc>
      </w:tr>
      <w:tr w:rsidR="00047BE4" w:rsidRPr="00D922F3" w14:paraId="17CCC2B7"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3844DCB3"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w:t>
            </w:r>
          </w:p>
        </w:tc>
        <w:tc>
          <w:tcPr>
            <w:tcW w:w="638" w:type="pct"/>
            <w:tcBorders>
              <w:top w:val="nil"/>
              <w:left w:val="nil"/>
              <w:bottom w:val="single" w:sz="4" w:space="0" w:color="auto"/>
              <w:right w:val="single" w:sz="4" w:space="0" w:color="auto"/>
            </w:tcBorders>
            <w:shd w:val="clear" w:color="auto" w:fill="auto"/>
            <w:vAlign w:val="center"/>
            <w:hideMark/>
          </w:tcPr>
          <w:p w14:paraId="44D3926C"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2 133</w:t>
            </w:r>
          </w:p>
        </w:tc>
        <w:tc>
          <w:tcPr>
            <w:tcW w:w="377" w:type="pct"/>
            <w:tcBorders>
              <w:top w:val="nil"/>
              <w:left w:val="nil"/>
              <w:bottom w:val="single" w:sz="4" w:space="0" w:color="auto"/>
              <w:right w:val="single" w:sz="4" w:space="0" w:color="auto"/>
            </w:tcBorders>
            <w:shd w:val="clear" w:color="auto" w:fill="auto"/>
            <w:vAlign w:val="center"/>
            <w:hideMark/>
          </w:tcPr>
          <w:p w14:paraId="03A51972"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1 430</w:t>
            </w:r>
          </w:p>
        </w:tc>
        <w:tc>
          <w:tcPr>
            <w:tcW w:w="378" w:type="pct"/>
            <w:tcBorders>
              <w:top w:val="nil"/>
              <w:left w:val="nil"/>
              <w:bottom w:val="single" w:sz="4" w:space="0" w:color="auto"/>
              <w:right w:val="single" w:sz="4" w:space="0" w:color="auto"/>
            </w:tcBorders>
            <w:shd w:val="clear" w:color="auto" w:fill="auto"/>
            <w:vAlign w:val="center"/>
            <w:hideMark/>
          </w:tcPr>
          <w:p w14:paraId="6FCDE69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451</w:t>
            </w:r>
          </w:p>
        </w:tc>
        <w:tc>
          <w:tcPr>
            <w:tcW w:w="377" w:type="pct"/>
            <w:tcBorders>
              <w:top w:val="nil"/>
              <w:left w:val="nil"/>
              <w:bottom w:val="single" w:sz="4" w:space="0" w:color="auto"/>
              <w:right w:val="single" w:sz="4" w:space="0" w:color="auto"/>
            </w:tcBorders>
            <w:shd w:val="clear" w:color="auto" w:fill="auto"/>
            <w:vAlign w:val="center"/>
            <w:hideMark/>
          </w:tcPr>
          <w:p w14:paraId="4913B67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139</w:t>
            </w:r>
          </w:p>
        </w:tc>
        <w:tc>
          <w:tcPr>
            <w:tcW w:w="378" w:type="pct"/>
            <w:tcBorders>
              <w:top w:val="nil"/>
              <w:left w:val="nil"/>
              <w:bottom w:val="single" w:sz="4" w:space="0" w:color="auto"/>
              <w:right w:val="single" w:sz="4" w:space="0" w:color="auto"/>
            </w:tcBorders>
            <w:shd w:val="clear" w:color="auto" w:fill="auto"/>
            <w:vAlign w:val="center"/>
            <w:hideMark/>
          </w:tcPr>
          <w:p w14:paraId="144D145C"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83</w:t>
            </w:r>
          </w:p>
        </w:tc>
        <w:tc>
          <w:tcPr>
            <w:tcW w:w="368" w:type="pct"/>
            <w:tcBorders>
              <w:top w:val="nil"/>
              <w:left w:val="nil"/>
              <w:bottom w:val="single" w:sz="4" w:space="0" w:color="auto"/>
              <w:right w:val="single" w:sz="4" w:space="0" w:color="auto"/>
            </w:tcBorders>
            <w:shd w:val="clear" w:color="auto" w:fill="auto"/>
            <w:vAlign w:val="center"/>
            <w:hideMark/>
          </w:tcPr>
          <w:p w14:paraId="6C12C850"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21</w:t>
            </w:r>
          </w:p>
        </w:tc>
        <w:tc>
          <w:tcPr>
            <w:tcW w:w="387" w:type="pct"/>
            <w:tcBorders>
              <w:top w:val="nil"/>
              <w:left w:val="nil"/>
              <w:bottom w:val="single" w:sz="4" w:space="0" w:color="auto"/>
              <w:right w:val="single" w:sz="4" w:space="0" w:color="auto"/>
            </w:tcBorders>
            <w:shd w:val="clear" w:color="auto" w:fill="auto"/>
            <w:vAlign w:val="center"/>
            <w:hideMark/>
          </w:tcPr>
          <w:p w14:paraId="279B9C6D"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9</w:t>
            </w:r>
          </w:p>
        </w:tc>
      </w:tr>
      <w:tr w:rsidR="00047BE4" w:rsidRPr="00D922F3" w14:paraId="27EA658E"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2556940A"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w:t>
            </w:r>
          </w:p>
        </w:tc>
        <w:tc>
          <w:tcPr>
            <w:tcW w:w="638" w:type="pct"/>
            <w:tcBorders>
              <w:top w:val="nil"/>
              <w:left w:val="nil"/>
              <w:bottom w:val="single" w:sz="4" w:space="0" w:color="auto"/>
              <w:right w:val="single" w:sz="4" w:space="0" w:color="auto"/>
            </w:tcBorders>
            <w:shd w:val="clear" w:color="auto" w:fill="auto"/>
            <w:vAlign w:val="center"/>
            <w:hideMark/>
          </w:tcPr>
          <w:p w14:paraId="057A07E5"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4 066</w:t>
            </w:r>
          </w:p>
        </w:tc>
        <w:tc>
          <w:tcPr>
            <w:tcW w:w="377" w:type="pct"/>
            <w:tcBorders>
              <w:top w:val="nil"/>
              <w:left w:val="nil"/>
              <w:bottom w:val="single" w:sz="4" w:space="0" w:color="auto"/>
              <w:right w:val="single" w:sz="4" w:space="0" w:color="auto"/>
            </w:tcBorders>
            <w:shd w:val="clear" w:color="auto" w:fill="auto"/>
            <w:vAlign w:val="center"/>
            <w:hideMark/>
          </w:tcPr>
          <w:p w14:paraId="358DA1E0"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1 992</w:t>
            </w:r>
          </w:p>
        </w:tc>
        <w:tc>
          <w:tcPr>
            <w:tcW w:w="378" w:type="pct"/>
            <w:tcBorders>
              <w:top w:val="nil"/>
              <w:left w:val="nil"/>
              <w:bottom w:val="single" w:sz="4" w:space="0" w:color="auto"/>
              <w:right w:val="single" w:sz="4" w:space="0" w:color="auto"/>
            </w:tcBorders>
            <w:shd w:val="clear" w:color="auto" w:fill="auto"/>
            <w:vAlign w:val="center"/>
            <w:hideMark/>
          </w:tcPr>
          <w:p w14:paraId="1587E55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1 243</w:t>
            </w:r>
          </w:p>
        </w:tc>
        <w:tc>
          <w:tcPr>
            <w:tcW w:w="377" w:type="pct"/>
            <w:tcBorders>
              <w:top w:val="nil"/>
              <w:left w:val="nil"/>
              <w:bottom w:val="single" w:sz="4" w:space="0" w:color="auto"/>
              <w:right w:val="single" w:sz="4" w:space="0" w:color="auto"/>
            </w:tcBorders>
            <w:shd w:val="clear" w:color="auto" w:fill="auto"/>
            <w:vAlign w:val="center"/>
            <w:hideMark/>
          </w:tcPr>
          <w:p w14:paraId="19771C92"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501</w:t>
            </w:r>
          </w:p>
        </w:tc>
        <w:tc>
          <w:tcPr>
            <w:tcW w:w="378" w:type="pct"/>
            <w:tcBorders>
              <w:top w:val="nil"/>
              <w:left w:val="nil"/>
              <w:bottom w:val="single" w:sz="4" w:space="0" w:color="auto"/>
              <w:right w:val="single" w:sz="4" w:space="0" w:color="auto"/>
            </w:tcBorders>
            <w:shd w:val="clear" w:color="auto" w:fill="auto"/>
            <w:vAlign w:val="center"/>
            <w:hideMark/>
          </w:tcPr>
          <w:p w14:paraId="098FC33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258</w:t>
            </w:r>
          </w:p>
        </w:tc>
        <w:tc>
          <w:tcPr>
            <w:tcW w:w="368" w:type="pct"/>
            <w:tcBorders>
              <w:top w:val="nil"/>
              <w:left w:val="nil"/>
              <w:bottom w:val="single" w:sz="4" w:space="0" w:color="auto"/>
              <w:right w:val="single" w:sz="4" w:space="0" w:color="auto"/>
            </w:tcBorders>
            <w:shd w:val="clear" w:color="auto" w:fill="auto"/>
            <w:vAlign w:val="center"/>
            <w:hideMark/>
          </w:tcPr>
          <w:p w14:paraId="6B40D4F8"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52</w:t>
            </w:r>
          </w:p>
        </w:tc>
        <w:tc>
          <w:tcPr>
            <w:tcW w:w="387" w:type="pct"/>
            <w:tcBorders>
              <w:top w:val="nil"/>
              <w:left w:val="nil"/>
              <w:bottom w:val="single" w:sz="4" w:space="0" w:color="auto"/>
              <w:right w:val="single" w:sz="4" w:space="0" w:color="auto"/>
            </w:tcBorders>
            <w:shd w:val="clear" w:color="auto" w:fill="auto"/>
            <w:vAlign w:val="center"/>
            <w:hideMark/>
          </w:tcPr>
          <w:p w14:paraId="31370C9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20</w:t>
            </w:r>
          </w:p>
        </w:tc>
      </w:tr>
      <w:tr w:rsidR="00047BE4" w:rsidRPr="00D922F3" w14:paraId="03DDEB4C"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6646BF9E"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w:t>
            </w:r>
          </w:p>
        </w:tc>
        <w:tc>
          <w:tcPr>
            <w:tcW w:w="638" w:type="pct"/>
            <w:tcBorders>
              <w:top w:val="nil"/>
              <w:left w:val="nil"/>
              <w:bottom w:val="single" w:sz="4" w:space="0" w:color="auto"/>
              <w:right w:val="single" w:sz="4" w:space="0" w:color="auto"/>
            </w:tcBorders>
            <w:shd w:val="clear" w:color="auto" w:fill="auto"/>
            <w:vAlign w:val="center"/>
            <w:hideMark/>
          </w:tcPr>
          <w:p w14:paraId="4331F1BB"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8 682</w:t>
            </w:r>
          </w:p>
        </w:tc>
        <w:tc>
          <w:tcPr>
            <w:tcW w:w="377" w:type="pct"/>
            <w:tcBorders>
              <w:top w:val="nil"/>
              <w:left w:val="nil"/>
              <w:bottom w:val="single" w:sz="4" w:space="0" w:color="auto"/>
              <w:right w:val="single" w:sz="4" w:space="0" w:color="auto"/>
            </w:tcBorders>
            <w:shd w:val="clear" w:color="auto" w:fill="auto"/>
            <w:vAlign w:val="center"/>
            <w:hideMark/>
          </w:tcPr>
          <w:p w14:paraId="6E136AE6"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2 847</w:t>
            </w:r>
          </w:p>
        </w:tc>
        <w:tc>
          <w:tcPr>
            <w:tcW w:w="378" w:type="pct"/>
            <w:tcBorders>
              <w:top w:val="nil"/>
              <w:left w:val="nil"/>
              <w:bottom w:val="single" w:sz="4" w:space="0" w:color="auto"/>
              <w:right w:val="single" w:sz="4" w:space="0" w:color="auto"/>
            </w:tcBorders>
            <w:shd w:val="clear" w:color="auto" w:fill="auto"/>
            <w:vAlign w:val="center"/>
            <w:hideMark/>
          </w:tcPr>
          <w:p w14:paraId="79F8DCD5"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3 073</w:t>
            </w:r>
          </w:p>
        </w:tc>
        <w:tc>
          <w:tcPr>
            <w:tcW w:w="377" w:type="pct"/>
            <w:tcBorders>
              <w:top w:val="nil"/>
              <w:left w:val="nil"/>
              <w:bottom w:val="single" w:sz="4" w:space="0" w:color="auto"/>
              <w:right w:val="single" w:sz="4" w:space="0" w:color="auto"/>
            </w:tcBorders>
            <w:shd w:val="clear" w:color="auto" w:fill="auto"/>
            <w:vAlign w:val="center"/>
            <w:hideMark/>
          </w:tcPr>
          <w:p w14:paraId="5B3CCB2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1 523</w:t>
            </w:r>
          </w:p>
        </w:tc>
        <w:tc>
          <w:tcPr>
            <w:tcW w:w="378" w:type="pct"/>
            <w:tcBorders>
              <w:top w:val="nil"/>
              <w:left w:val="nil"/>
              <w:bottom w:val="single" w:sz="4" w:space="0" w:color="auto"/>
              <w:right w:val="single" w:sz="4" w:space="0" w:color="auto"/>
            </w:tcBorders>
            <w:shd w:val="clear" w:color="auto" w:fill="auto"/>
            <w:vAlign w:val="center"/>
            <w:hideMark/>
          </w:tcPr>
          <w:p w14:paraId="464A1658"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968</w:t>
            </w:r>
          </w:p>
        </w:tc>
        <w:tc>
          <w:tcPr>
            <w:tcW w:w="368" w:type="pct"/>
            <w:tcBorders>
              <w:top w:val="nil"/>
              <w:left w:val="nil"/>
              <w:bottom w:val="single" w:sz="4" w:space="0" w:color="auto"/>
              <w:right w:val="single" w:sz="4" w:space="0" w:color="auto"/>
            </w:tcBorders>
            <w:shd w:val="clear" w:color="auto" w:fill="auto"/>
            <w:vAlign w:val="center"/>
            <w:hideMark/>
          </w:tcPr>
          <w:p w14:paraId="234807E3"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195</w:t>
            </w:r>
          </w:p>
        </w:tc>
        <w:tc>
          <w:tcPr>
            <w:tcW w:w="387" w:type="pct"/>
            <w:tcBorders>
              <w:top w:val="nil"/>
              <w:left w:val="nil"/>
              <w:bottom w:val="single" w:sz="4" w:space="0" w:color="auto"/>
              <w:right w:val="single" w:sz="4" w:space="0" w:color="auto"/>
            </w:tcBorders>
            <w:shd w:val="clear" w:color="auto" w:fill="auto"/>
            <w:vAlign w:val="center"/>
            <w:hideMark/>
          </w:tcPr>
          <w:p w14:paraId="1D6341B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76</w:t>
            </w:r>
          </w:p>
        </w:tc>
      </w:tr>
      <w:tr w:rsidR="00047BE4" w:rsidRPr="00D922F3" w14:paraId="35C6F296"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73986AD8"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w:t>
            </w:r>
          </w:p>
        </w:tc>
        <w:tc>
          <w:tcPr>
            <w:tcW w:w="638" w:type="pct"/>
            <w:tcBorders>
              <w:top w:val="nil"/>
              <w:left w:val="nil"/>
              <w:bottom w:val="single" w:sz="4" w:space="0" w:color="auto"/>
              <w:right w:val="single" w:sz="4" w:space="0" w:color="auto"/>
            </w:tcBorders>
            <w:shd w:val="clear" w:color="auto" w:fill="auto"/>
            <w:vAlign w:val="center"/>
            <w:hideMark/>
          </w:tcPr>
          <w:p w14:paraId="3947CF10"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8 619</w:t>
            </w:r>
          </w:p>
        </w:tc>
        <w:tc>
          <w:tcPr>
            <w:tcW w:w="377" w:type="pct"/>
            <w:tcBorders>
              <w:top w:val="nil"/>
              <w:left w:val="nil"/>
              <w:bottom w:val="single" w:sz="4" w:space="0" w:color="auto"/>
              <w:right w:val="single" w:sz="4" w:space="0" w:color="auto"/>
            </w:tcBorders>
            <w:shd w:val="clear" w:color="auto" w:fill="auto"/>
            <w:vAlign w:val="center"/>
            <w:hideMark/>
          </w:tcPr>
          <w:p w14:paraId="12DF768D"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1 761</w:t>
            </w:r>
          </w:p>
        </w:tc>
        <w:tc>
          <w:tcPr>
            <w:tcW w:w="378" w:type="pct"/>
            <w:tcBorders>
              <w:top w:val="nil"/>
              <w:left w:val="nil"/>
              <w:bottom w:val="single" w:sz="4" w:space="0" w:color="auto"/>
              <w:right w:val="single" w:sz="4" w:space="0" w:color="auto"/>
            </w:tcBorders>
            <w:shd w:val="clear" w:color="auto" w:fill="auto"/>
            <w:vAlign w:val="center"/>
            <w:hideMark/>
          </w:tcPr>
          <w:p w14:paraId="21D3BB9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2 923</w:t>
            </w:r>
          </w:p>
        </w:tc>
        <w:tc>
          <w:tcPr>
            <w:tcW w:w="377" w:type="pct"/>
            <w:tcBorders>
              <w:top w:val="nil"/>
              <w:left w:val="nil"/>
              <w:bottom w:val="single" w:sz="4" w:space="0" w:color="auto"/>
              <w:right w:val="single" w:sz="4" w:space="0" w:color="auto"/>
            </w:tcBorders>
            <w:shd w:val="clear" w:color="auto" w:fill="auto"/>
            <w:vAlign w:val="center"/>
            <w:hideMark/>
          </w:tcPr>
          <w:p w14:paraId="52D15F4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1 886</w:t>
            </w:r>
          </w:p>
        </w:tc>
        <w:tc>
          <w:tcPr>
            <w:tcW w:w="378" w:type="pct"/>
            <w:tcBorders>
              <w:top w:val="nil"/>
              <w:left w:val="nil"/>
              <w:bottom w:val="single" w:sz="4" w:space="0" w:color="auto"/>
              <w:right w:val="single" w:sz="4" w:space="0" w:color="auto"/>
            </w:tcBorders>
            <w:shd w:val="clear" w:color="auto" w:fill="auto"/>
            <w:vAlign w:val="center"/>
            <w:hideMark/>
          </w:tcPr>
          <w:p w14:paraId="45423B68"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1 602</w:t>
            </w:r>
          </w:p>
        </w:tc>
        <w:tc>
          <w:tcPr>
            <w:tcW w:w="368" w:type="pct"/>
            <w:tcBorders>
              <w:top w:val="nil"/>
              <w:left w:val="nil"/>
              <w:bottom w:val="single" w:sz="4" w:space="0" w:color="auto"/>
              <w:right w:val="single" w:sz="4" w:space="0" w:color="auto"/>
            </w:tcBorders>
            <w:shd w:val="clear" w:color="auto" w:fill="auto"/>
            <w:vAlign w:val="center"/>
            <w:hideMark/>
          </w:tcPr>
          <w:p w14:paraId="18EDD93A"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316</w:t>
            </w:r>
          </w:p>
        </w:tc>
        <w:tc>
          <w:tcPr>
            <w:tcW w:w="387" w:type="pct"/>
            <w:tcBorders>
              <w:top w:val="nil"/>
              <w:left w:val="nil"/>
              <w:bottom w:val="single" w:sz="4" w:space="0" w:color="auto"/>
              <w:right w:val="single" w:sz="4" w:space="0" w:color="auto"/>
            </w:tcBorders>
            <w:shd w:val="clear" w:color="auto" w:fill="auto"/>
            <w:vAlign w:val="center"/>
            <w:hideMark/>
          </w:tcPr>
          <w:p w14:paraId="77B354B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131</w:t>
            </w:r>
          </w:p>
        </w:tc>
      </w:tr>
      <w:tr w:rsidR="00047BE4" w:rsidRPr="00D922F3" w14:paraId="0211E471"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2C553E2F" w14:textId="77777777" w:rsidR="00047BE4" w:rsidRPr="00D922F3" w:rsidRDefault="00047BE4" w:rsidP="00047BE4">
            <w:pPr>
              <w:spacing w:before="0"/>
              <w:ind w:firstLineChars="100" w:firstLine="18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 a více</w:t>
            </w:r>
          </w:p>
        </w:tc>
        <w:tc>
          <w:tcPr>
            <w:tcW w:w="638" w:type="pct"/>
            <w:tcBorders>
              <w:top w:val="nil"/>
              <w:left w:val="nil"/>
              <w:bottom w:val="single" w:sz="4" w:space="0" w:color="auto"/>
              <w:right w:val="single" w:sz="4" w:space="0" w:color="auto"/>
            </w:tcBorders>
            <w:shd w:val="clear" w:color="auto" w:fill="auto"/>
            <w:vAlign w:val="center"/>
            <w:hideMark/>
          </w:tcPr>
          <w:p w14:paraId="5D3F54CF"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5 326</w:t>
            </w:r>
          </w:p>
        </w:tc>
        <w:tc>
          <w:tcPr>
            <w:tcW w:w="377" w:type="pct"/>
            <w:tcBorders>
              <w:top w:val="nil"/>
              <w:left w:val="nil"/>
              <w:bottom w:val="single" w:sz="4" w:space="0" w:color="auto"/>
              <w:right w:val="single" w:sz="4" w:space="0" w:color="auto"/>
            </w:tcBorders>
            <w:shd w:val="clear" w:color="auto" w:fill="auto"/>
            <w:vAlign w:val="center"/>
            <w:hideMark/>
          </w:tcPr>
          <w:p w14:paraId="61A56AD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594</w:t>
            </w:r>
          </w:p>
        </w:tc>
        <w:tc>
          <w:tcPr>
            <w:tcW w:w="378" w:type="pct"/>
            <w:tcBorders>
              <w:top w:val="nil"/>
              <w:left w:val="nil"/>
              <w:bottom w:val="single" w:sz="4" w:space="0" w:color="auto"/>
              <w:right w:val="single" w:sz="4" w:space="0" w:color="auto"/>
            </w:tcBorders>
            <w:shd w:val="clear" w:color="auto" w:fill="auto"/>
            <w:vAlign w:val="center"/>
            <w:hideMark/>
          </w:tcPr>
          <w:p w14:paraId="22003ADB"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1 343</w:t>
            </w:r>
          </w:p>
        </w:tc>
        <w:tc>
          <w:tcPr>
            <w:tcW w:w="377" w:type="pct"/>
            <w:tcBorders>
              <w:top w:val="nil"/>
              <w:left w:val="nil"/>
              <w:bottom w:val="single" w:sz="4" w:space="0" w:color="auto"/>
              <w:right w:val="single" w:sz="4" w:space="0" w:color="auto"/>
            </w:tcBorders>
            <w:shd w:val="clear" w:color="auto" w:fill="auto"/>
            <w:vAlign w:val="center"/>
            <w:hideMark/>
          </w:tcPr>
          <w:p w14:paraId="7DDEB65A"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1 203</w:t>
            </w:r>
          </w:p>
        </w:tc>
        <w:tc>
          <w:tcPr>
            <w:tcW w:w="378" w:type="pct"/>
            <w:tcBorders>
              <w:top w:val="nil"/>
              <w:left w:val="nil"/>
              <w:bottom w:val="single" w:sz="4" w:space="0" w:color="auto"/>
              <w:right w:val="single" w:sz="4" w:space="0" w:color="auto"/>
            </w:tcBorders>
            <w:shd w:val="clear" w:color="auto" w:fill="auto"/>
            <w:vAlign w:val="center"/>
            <w:hideMark/>
          </w:tcPr>
          <w:p w14:paraId="64068FE2"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1 394</w:t>
            </w:r>
          </w:p>
        </w:tc>
        <w:tc>
          <w:tcPr>
            <w:tcW w:w="368" w:type="pct"/>
            <w:tcBorders>
              <w:top w:val="nil"/>
              <w:left w:val="nil"/>
              <w:bottom w:val="single" w:sz="4" w:space="0" w:color="auto"/>
              <w:right w:val="single" w:sz="4" w:space="0" w:color="auto"/>
            </w:tcBorders>
            <w:shd w:val="clear" w:color="auto" w:fill="auto"/>
            <w:vAlign w:val="center"/>
            <w:hideMark/>
          </w:tcPr>
          <w:p w14:paraId="6ACAAE3C"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522</w:t>
            </w:r>
          </w:p>
        </w:tc>
        <w:tc>
          <w:tcPr>
            <w:tcW w:w="387" w:type="pct"/>
            <w:tcBorders>
              <w:top w:val="nil"/>
              <w:left w:val="nil"/>
              <w:bottom w:val="single" w:sz="4" w:space="0" w:color="auto"/>
              <w:right w:val="single" w:sz="4" w:space="0" w:color="auto"/>
            </w:tcBorders>
            <w:shd w:val="clear" w:color="auto" w:fill="auto"/>
            <w:vAlign w:val="center"/>
            <w:hideMark/>
          </w:tcPr>
          <w:p w14:paraId="7C8B2B8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270</w:t>
            </w:r>
          </w:p>
        </w:tc>
      </w:tr>
      <w:tr w:rsidR="00047BE4" w:rsidRPr="00D922F3" w14:paraId="55DB5233"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0375630D" w14:textId="77777777" w:rsidR="00047BE4" w:rsidRPr="00D922F3" w:rsidRDefault="00047BE4" w:rsidP="00047BE4">
            <w:pPr>
              <w:spacing w:before="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Průměrná celková plocha bytu v m²</w:t>
            </w:r>
          </w:p>
        </w:tc>
        <w:tc>
          <w:tcPr>
            <w:tcW w:w="638" w:type="pct"/>
            <w:tcBorders>
              <w:top w:val="nil"/>
              <w:left w:val="nil"/>
              <w:bottom w:val="single" w:sz="4" w:space="0" w:color="auto"/>
              <w:right w:val="single" w:sz="4" w:space="0" w:color="auto"/>
            </w:tcBorders>
            <w:shd w:val="clear" w:color="auto" w:fill="auto"/>
            <w:vAlign w:val="center"/>
            <w:hideMark/>
          </w:tcPr>
          <w:p w14:paraId="49658C5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80,5</w:t>
            </w:r>
          </w:p>
        </w:tc>
        <w:tc>
          <w:tcPr>
            <w:tcW w:w="377" w:type="pct"/>
            <w:tcBorders>
              <w:top w:val="nil"/>
              <w:left w:val="nil"/>
              <w:bottom w:val="single" w:sz="4" w:space="0" w:color="auto"/>
              <w:right w:val="single" w:sz="4" w:space="0" w:color="auto"/>
            </w:tcBorders>
            <w:shd w:val="clear" w:color="auto" w:fill="auto"/>
            <w:vAlign w:val="center"/>
            <w:hideMark/>
          </w:tcPr>
          <w:p w14:paraId="57C5D34A"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63,9</w:t>
            </w:r>
          </w:p>
        </w:tc>
        <w:tc>
          <w:tcPr>
            <w:tcW w:w="378" w:type="pct"/>
            <w:tcBorders>
              <w:top w:val="nil"/>
              <w:left w:val="nil"/>
              <w:bottom w:val="single" w:sz="4" w:space="0" w:color="auto"/>
              <w:right w:val="single" w:sz="4" w:space="0" w:color="auto"/>
            </w:tcBorders>
            <w:shd w:val="clear" w:color="auto" w:fill="auto"/>
            <w:vAlign w:val="center"/>
            <w:hideMark/>
          </w:tcPr>
          <w:p w14:paraId="5B47ABCD"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77,3</w:t>
            </w:r>
          </w:p>
        </w:tc>
        <w:tc>
          <w:tcPr>
            <w:tcW w:w="377" w:type="pct"/>
            <w:tcBorders>
              <w:top w:val="nil"/>
              <w:left w:val="nil"/>
              <w:bottom w:val="single" w:sz="4" w:space="0" w:color="auto"/>
              <w:right w:val="single" w:sz="4" w:space="0" w:color="auto"/>
            </w:tcBorders>
            <w:shd w:val="clear" w:color="auto" w:fill="auto"/>
            <w:vAlign w:val="center"/>
            <w:hideMark/>
          </w:tcPr>
          <w:p w14:paraId="6796C338"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87,6</w:t>
            </w:r>
          </w:p>
        </w:tc>
        <w:tc>
          <w:tcPr>
            <w:tcW w:w="378" w:type="pct"/>
            <w:tcBorders>
              <w:top w:val="nil"/>
              <w:left w:val="nil"/>
              <w:bottom w:val="single" w:sz="4" w:space="0" w:color="auto"/>
              <w:right w:val="single" w:sz="4" w:space="0" w:color="auto"/>
            </w:tcBorders>
            <w:shd w:val="clear" w:color="auto" w:fill="auto"/>
            <w:vAlign w:val="center"/>
            <w:hideMark/>
          </w:tcPr>
          <w:p w14:paraId="1DCC1CD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99,2</w:t>
            </w:r>
          </w:p>
        </w:tc>
        <w:tc>
          <w:tcPr>
            <w:tcW w:w="368" w:type="pct"/>
            <w:tcBorders>
              <w:top w:val="nil"/>
              <w:left w:val="nil"/>
              <w:bottom w:val="single" w:sz="4" w:space="0" w:color="auto"/>
              <w:right w:val="single" w:sz="4" w:space="0" w:color="auto"/>
            </w:tcBorders>
            <w:shd w:val="clear" w:color="auto" w:fill="auto"/>
            <w:vAlign w:val="center"/>
            <w:hideMark/>
          </w:tcPr>
          <w:p w14:paraId="3A7AB08E"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111,2</w:t>
            </w:r>
          </w:p>
        </w:tc>
        <w:tc>
          <w:tcPr>
            <w:tcW w:w="387" w:type="pct"/>
            <w:tcBorders>
              <w:top w:val="nil"/>
              <w:left w:val="nil"/>
              <w:bottom w:val="single" w:sz="4" w:space="0" w:color="auto"/>
              <w:right w:val="single" w:sz="4" w:space="0" w:color="auto"/>
            </w:tcBorders>
            <w:shd w:val="clear" w:color="auto" w:fill="auto"/>
            <w:vAlign w:val="center"/>
            <w:hideMark/>
          </w:tcPr>
          <w:p w14:paraId="0FD412A1"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119,5</w:t>
            </w:r>
          </w:p>
        </w:tc>
      </w:tr>
      <w:tr w:rsidR="00047BE4" w:rsidRPr="00D922F3" w14:paraId="54372F19" w14:textId="77777777" w:rsidTr="00047BE4">
        <w:trPr>
          <w:trHeight w:val="255"/>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59ED52B5" w14:textId="77777777" w:rsidR="00047BE4" w:rsidRPr="00D922F3" w:rsidRDefault="00047BE4" w:rsidP="00047BE4">
            <w:pPr>
              <w:spacing w:before="0"/>
              <w:jc w:val="lef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Průměrná obytná plocha bytu v m²</w:t>
            </w:r>
          </w:p>
        </w:tc>
        <w:tc>
          <w:tcPr>
            <w:tcW w:w="638" w:type="pct"/>
            <w:tcBorders>
              <w:top w:val="nil"/>
              <w:left w:val="nil"/>
              <w:bottom w:val="single" w:sz="4" w:space="0" w:color="auto"/>
              <w:right w:val="single" w:sz="4" w:space="0" w:color="auto"/>
            </w:tcBorders>
            <w:shd w:val="clear" w:color="auto" w:fill="auto"/>
            <w:vAlign w:val="center"/>
            <w:hideMark/>
          </w:tcPr>
          <w:p w14:paraId="008ABDFA"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59,8</w:t>
            </w:r>
          </w:p>
        </w:tc>
        <w:tc>
          <w:tcPr>
            <w:tcW w:w="377" w:type="pct"/>
            <w:tcBorders>
              <w:top w:val="nil"/>
              <w:left w:val="nil"/>
              <w:bottom w:val="single" w:sz="4" w:space="0" w:color="auto"/>
              <w:right w:val="single" w:sz="4" w:space="0" w:color="auto"/>
            </w:tcBorders>
            <w:shd w:val="clear" w:color="auto" w:fill="auto"/>
            <w:vAlign w:val="center"/>
            <w:hideMark/>
          </w:tcPr>
          <w:p w14:paraId="65A6D997"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47,8</w:t>
            </w:r>
          </w:p>
        </w:tc>
        <w:tc>
          <w:tcPr>
            <w:tcW w:w="378" w:type="pct"/>
            <w:tcBorders>
              <w:top w:val="nil"/>
              <w:left w:val="nil"/>
              <w:bottom w:val="single" w:sz="4" w:space="0" w:color="auto"/>
              <w:right w:val="single" w:sz="4" w:space="0" w:color="auto"/>
            </w:tcBorders>
            <w:shd w:val="clear" w:color="auto" w:fill="auto"/>
            <w:vAlign w:val="center"/>
            <w:hideMark/>
          </w:tcPr>
          <w:p w14:paraId="4CF6516B"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58,0</w:t>
            </w:r>
          </w:p>
        </w:tc>
        <w:tc>
          <w:tcPr>
            <w:tcW w:w="377" w:type="pct"/>
            <w:tcBorders>
              <w:top w:val="nil"/>
              <w:left w:val="nil"/>
              <w:bottom w:val="single" w:sz="4" w:space="0" w:color="auto"/>
              <w:right w:val="single" w:sz="4" w:space="0" w:color="auto"/>
            </w:tcBorders>
            <w:shd w:val="clear" w:color="auto" w:fill="auto"/>
            <w:vAlign w:val="center"/>
            <w:hideMark/>
          </w:tcPr>
          <w:p w14:paraId="209E59D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64,8</w:t>
            </w:r>
          </w:p>
        </w:tc>
        <w:tc>
          <w:tcPr>
            <w:tcW w:w="378" w:type="pct"/>
            <w:tcBorders>
              <w:top w:val="nil"/>
              <w:left w:val="nil"/>
              <w:bottom w:val="single" w:sz="4" w:space="0" w:color="auto"/>
              <w:right w:val="single" w:sz="4" w:space="0" w:color="auto"/>
            </w:tcBorders>
            <w:shd w:val="clear" w:color="auto" w:fill="auto"/>
            <w:vAlign w:val="center"/>
            <w:hideMark/>
          </w:tcPr>
          <w:p w14:paraId="75E8D95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72,7</w:t>
            </w:r>
          </w:p>
        </w:tc>
        <w:tc>
          <w:tcPr>
            <w:tcW w:w="368" w:type="pct"/>
            <w:tcBorders>
              <w:top w:val="nil"/>
              <w:left w:val="nil"/>
              <w:bottom w:val="single" w:sz="4" w:space="0" w:color="auto"/>
              <w:right w:val="single" w:sz="4" w:space="0" w:color="auto"/>
            </w:tcBorders>
            <w:shd w:val="clear" w:color="auto" w:fill="auto"/>
            <w:vAlign w:val="center"/>
            <w:hideMark/>
          </w:tcPr>
          <w:p w14:paraId="00E65804"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81,0</w:t>
            </w:r>
          </w:p>
        </w:tc>
        <w:tc>
          <w:tcPr>
            <w:tcW w:w="387" w:type="pct"/>
            <w:tcBorders>
              <w:top w:val="nil"/>
              <w:left w:val="nil"/>
              <w:bottom w:val="single" w:sz="4" w:space="0" w:color="auto"/>
              <w:right w:val="single" w:sz="4" w:space="0" w:color="auto"/>
            </w:tcBorders>
            <w:shd w:val="clear" w:color="auto" w:fill="auto"/>
            <w:vAlign w:val="center"/>
            <w:hideMark/>
          </w:tcPr>
          <w:p w14:paraId="1FCB4588" w14:textId="77777777" w:rsidR="00047BE4" w:rsidRPr="00D922F3" w:rsidRDefault="00047BE4" w:rsidP="00047BE4">
            <w:pPr>
              <w:spacing w:before="0"/>
              <w:jc w:val="right"/>
              <w:rPr>
                <w:rFonts w:ascii="Calibri" w:eastAsia="Times New Roman" w:hAnsi="Calibri" w:cs="Calibri"/>
                <w:color w:val="000000"/>
                <w:sz w:val="18"/>
                <w:szCs w:val="18"/>
                <w:lang w:eastAsia="cs-CZ"/>
              </w:rPr>
            </w:pPr>
            <w:r w:rsidRPr="00D922F3">
              <w:rPr>
                <w:rFonts w:ascii="Calibri" w:eastAsia="Times New Roman" w:hAnsi="Calibri" w:cs="Calibri"/>
                <w:color w:val="000000"/>
                <w:sz w:val="18"/>
                <w:szCs w:val="18"/>
                <w:lang w:eastAsia="cs-CZ"/>
              </w:rPr>
              <w:t>88,2</w:t>
            </w:r>
          </w:p>
        </w:tc>
      </w:tr>
    </w:tbl>
    <w:p w14:paraId="6416BC5E" w14:textId="762267DD" w:rsidR="00047BE4" w:rsidRDefault="00047BE4" w:rsidP="00047BE4">
      <w:pPr>
        <w:pStyle w:val="Zdroj"/>
      </w:pPr>
      <w:r>
        <w:t>Zdroj: ČSÚ, SLDB 2011</w:t>
      </w:r>
      <w:r w:rsidR="00B453CA">
        <w:t>.</w:t>
      </w:r>
      <w:r>
        <w:br/>
        <w:t xml:space="preserve">Pozn.: Byty v ostatních </w:t>
      </w:r>
      <w:r w:rsidRPr="00485047">
        <w:t>budovách</w:t>
      </w:r>
      <w:r w:rsidRPr="007F1415">
        <w:t xml:space="preserve"> zahrnují:</w:t>
      </w:r>
      <w:r>
        <w:t xml:space="preserve"> </w:t>
      </w:r>
    </w:p>
    <w:p w14:paraId="5745420E" w14:textId="475F8476" w:rsidR="00047BE4" w:rsidRPr="007F1415" w:rsidRDefault="00047BE4" w:rsidP="00047BE4">
      <w:pPr>
        <w:pStyle w:val="Zdroj"/>
        <w:ind w:left="284"/>
      </w:pPr>
      <w:r>
        <w:t>1/</w:t>
      </w:r>
      <w:r w:rsidR="00B453CA">
        <w:t xml:space="preserve"> </w:t>
      </w:r>
      <w:r w:rsidRPr="007F1415">
        <w:t>domy sloužící k dlouhodobému (nebo trvalému) společnému ubytování jednotlivých osob, příp. domácností, jako jsou např. domovy důchodců, ústavy sociální péče všech druhů, kláštery, domovy mládeže, internáty, studentské koleje, svobodárny, apod.</w:t>
      </w:r>
      <w:r w:rsidR="00B453CA">
        <w:t>;</w:t>
      </w:r>
    </w:p>
    <w:p w14:paraId="1704001C" w14:textId="092F6E6D" w:rsidR="00047BE4" w:rsidRPr="007F1415" w:rsidRDefault="00047BE4" w:rsidP="00047BE4">
      <w:pPr>
        <w:pStyle w:val="Zdroj"/>
        <w:ind w:left="284"/>
      </w:pPr>
      <w:r>
        <w:t>2/</w:t>
      </w:r>
      <w:r w:rsidR="00B453CA">
        <w:t xml:space="preserve"> </w:t>
      </w:r>
      <w:r w:rsidRPr="007F1415">
        <w:t>ubytovací zařízení sloužící ke krátkodobému (dočasnému) ubytování: hotely, lůžková léčebná zařízení jako jsou nemocnice, lázeňské ústavy, rekreační zařízení, humanitární střediska, upr</w:t>
      </w:r>
      <w:r w:rsidR="00B453CA">
        <w:t>chlické tábory, ubytovny, apod.</w:t>
      </w:r>
    </w:p>
    <w:p w14:paraId="0F84F0AA" w14:textId="193DB0FB" w:rsidR="00047BE4" w:rsidRPr="0056280B" w:rsidRDefault="00047BE4" w:rsidP="00047BE4">
      <w:r>
        <w:t xml:space="preserve">Podrobné údaje z oblasti bydlení poskytují data ze Sčítání lidu, domů a bytů (SLDB), populačního censu, který byl naposledy proveden v roce 2011. Tabulka </w:t>
      </w:r>
      <w:r w:rsidR="004846A1">
        <w:t>1.10</w:t>
      </w:r>
      <w:r>
        <w:t xml:space="preserve"> zobrazuje podrobnou charakteristiku bytového fondu ve Zlíně na základě dat ze SLDB 2011. Je patrné, že z celkového počtu 12 787 domů na území města, je přibližně 85 % charakteru rodinných domů, zbylých 15 % tvoří domy bytové. Podíl bytových domů ve struktuře domovního fondu města je tak ve Zlíně v porovnání s ostatními krajskými městy České republiky nízký. Relativně vysoký podíl rodinných domů ve struktuře domovního fondu pak souvisí s vysokým podílem obydlených domů ve vlastnictví fyzické osoby, podíl bytových domů ve vlastnictví obce či státu je naopak relativně nízký, s čímž dále souvisí skutečnost, že zastoupení </w:t>
      </w:r>
      <w:r>
        <w:lastRenderedPageBreak/>
        <w:t>nájemního bydlení je v porovnání s krajskými městy Česka nižší</w:t>
      </w:r>
      <w:r>
        <w:rPr>
          <w:rStyle w:val="Znakapoznpodarou"/>
        </w:rPr>
        <w:footnoteReference w:id="9"/>
      </w:r>
      <w:r>
        <w:t>. Ve městě Zlín bylo roku 2011 evidováno 1 572 neobydlených domů k bydlení, z velké většiny charakteru rodinných domů.</w:t>
      </w:r>
    </w:p>
    <w:p w14:paraId="7A116FF6" w14:textId="2CE2C1B3" w:rsidR="00047BE4" w:rsidRPr="0056280B" w:rsidRDefault="00047BE4" w:rsidP="00047BE4">
      <w:pPr>
        <w:pStyle w:val="Titulek"/>
        <w:keepNext/>
      </w:pPr>
      <w:bookmarkStart w:id="88" w:name="_Toc49439851"/>
      <w:bookmarkStart w:id="89" w:name="_Toc53037870"/>
      <w:bookmarkStart w:id="90" w:name="_Toc77074690"/>
      <w:r w:rsidRPr="0056280B">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10</w:t>
      </w:r>
      <w:r w:rsidR="00081B47">
        <w:rPr>
          <w:noProof/>
        </w:rPr>
        <w:fldChar w:fldCharType="end"/>
      </w:r>
      <w:r w:rsidR="00B453CA">
        <w:rPr>
          <w:noProof/>
        </w:rPr>
        <w:t>:</w:t>
      </w:r>
      <w:r w:rsidRPr="0056280B">
        <w:t xml:space="preserve"> Rozložení domovního fondu ve městě Zlín k 26.</w:t>
      </w:r>
      <w:r>
        <w:t xml:space="preserve"> </w:t>
      </w:r>
      <w:r w:rsidRPr="0056280B">
        <w:t>3.</w:t>
      </w:r>
      <w:r>
        <w:t xml:space="preserve"> </w:t>
      </w:r>
      <w:r w:rsidRPr="0056280B">
        <w:t>2011</w:t>
      </w:r>
      <w:bookmarkEnd w:id="88"/>
      <w:bookmarkEnd w:id="89"/>
      <w:bookmarkEnd w:id="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68"/>
        <w:gridCol w:w="883"/>
        <w:gridCol w:w="1202"/>
        <w:gridCol w:w="1203"/>
        <w:gridCol w:w="1203"/>
        <w:gridCol w:w="1203"/>
      </w:tblGrid>
      <w:tr w:rsidR="00047BE4" w:rsidRPr="0056280B" w14:paraId="6E926BE7" w14:textId="77777777" w:rsidTr="00047BE4">
        <w:trPr>
          <w:trHeight w:val="255"/>
          <w:tblHeader/>
        </w:trPr>
        <w:tc>
          <w:tcPr>
            <w:tcW w:w="1858" w:type="pct"/>
            <w:vMerge w:val="restart"/>
            <w:shd w:val="clear" w:color="000000" w:fill="D9D9D9"/>
            <w:vAlign w:val="center"/>
            <w:hideMark/>
          </w:tcPr>
          <w:p w14:paraId="0A013824"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Domy</w:t>
            </w:r>
          </w:p>
        </w:tc>
        <w:tc>
          <w:tcPr>
            <w:tcW w:w="487" w:type="pct"/>
            <w:vMerge w:val="restart"/>
            <w:shd w:val="clear" w:color="000000" w:fill="D9D9D9"/>
            <w:vAlign w:val="center"/>
            <w:hideMark/>
          </w:tcPr>
          <w:p w14:paraId="6BD375A6"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Domy celkem</w:t>
            </w:r>
          </w:p>
        </w:tc>
        <w:tc>
          <w:tcPr>
            <w:tcW w:w="1327" w:type="pct"/>
            <w:gridSpan w:val="2"/>
            <w:shd w:val="clear" w:color="000000" w:fill="D9D9D9"/>
            <w:vAlign w:val="center"/>
            <w:hideMark/>
          </w:tcPr>
          <w:p w14:paraId="2A554077"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z toho</w:t>
            </w:r>
          </w:p>
        </w:tc>
        <w:tc>
          <w:tcPr>
            <w:tcW w:w="1328" w:type="pct"/>
            <w:gridSpan w:val="2"/>
            <w:shd w:val="clear" w:color="000000" w:fill="D9D9D9"/>
            <w:vAlign w:val="center"/>
            <w:hideMark/>
          </w:tcPr>
          <w:p w14:paraId="2396E315"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Počet osob</w:t>
            </w:r>
          </w:p>
        </w:tc>
      </w:tr>
      <w:tr w:rsidR="00047BE4" w:rsidRPr="0056280B" w14:paraId="77CB203F" w14:textId="77777777" w:rsidTr="00047BE4">
        <w:trPr>
          <w:trHeight w:val="255"/>
          <w:tblHeader/>
        </w:trPr>
        <w:tc>
          <w:tcPr>
            <w:tcW w:w="1858" w:type="pct"/>
            <w:vMerge/>
            <w:shd w:val="clear" w:color="000000" w:fill="D9D9D9"/>
            <w:vAlign w:val="center"/>
            <w:hideMark/>
          </w:tcPr>
          <w:p w14:paraId="02425D81" w14:textId="77777777" w:rsidR="00047BE4" w:rsidRPr="0056280B" w:rsidRDefault="00047BE4" w:rsidP="00047BE4">
            <w:pPr>
              <w:keepNext/>
              <w:keepLines/>
              <w:spacing w:before="0"/>
              <w:jc w:val="left"/>
              <w:rPr>
                <w:rFonts w:ascii="Calibri" w:eastAsia="Times New Roman" w:hAnsi="Calibri" w:cs="Calibri"/>
                <w:color w:val="000000"/>
                <w:sz w:val="18"/>
                <w:szCs w:val="18"/>
                <w:lang w:eastAsia="cs-CZ"/>
              </w:rPr>
            </w:pPr>
          </w:p>
        </w:tc>
        <w:tc>
          <w:tcPr>
            <w:tcW w:w="487" w:type="pct"/>
            <w:vMerge/>
            <w:shd w:val="clear" w:color="000000" w:fill="D9D9D9"/>
            <w:vAlign w:val="center"/>
            <w:hideMark/>
          </w:tcPr>
          <w:p w14:paraId="4709D695" w14:textId="77777777" w:rsidR="00047BE4" w:rsidRPr="0056280B" w:rsidRDefault="00047BE4" w:rsidP="00047BE4">
            <w:pPr>
              <w:keepNext/>
              <w:keepLines/>
              <w:spacing w:before="0"/>
              <w:jc w:val="left"/>
              <w:rPr>
                <w:rFonts w:ascii="Calibri" w:eastAsia="Times New Roman" w:hAnsi="Calibri" w:cs="Calibri"/>
                <w:color w:val="000000"/>
                <w:sz w:val="18"/>
                <w:szCs w:val="18"/>
                <w:lang w:eastAsia="cs-CZ"/>
              </w:rPr>
            </w:pPr>
          </w:p>
        </w:tc>
        <w:tc>
          <w:tcPr>
            <w:tcW w:w="663" w:type="pct"/>
            <w:shd w:val="clear" w:color="000000" w:fill="D9D9D9"/>
            <w:vAlign w:val="center"/>
            <w:hideMark/>
          </w:tcPr>
          <w:p w14:paraId="5F79FF3A"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rodinné domy</w:t>
            </w:r>
          </w:p>
        </w:tc>
        <w:tc>
          <w:tcPr>
            <w:tcW w:w="664" w:type="pct"/>
            <w:shd w:val="clear" w:color="000000" w:fill="D9D9D9"/>
            <w:vAlign w:val="center"/>
          </w:tcPr>
          <w:p w14:paraId="66413088"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bytové domy</w:t>
            </w:r>
          </w:p>
        </w:tc>
        <w:tc>
          <w:tcPr>
            <w:tcW w:w="664" w:type="pct"/>
            <w:shd w:val="clear" w:color="000000" w:fill="D9D9D9"/>
            <w:vAlign w:val="center"/>
          </w:tcPr>
          <w:p w14:paraId="6DEFB0CA"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celkem</w:t>
            </w:r>
          </w:p>
        </w:tc>
        <w:tc>
          <w:tcPr>
            <w:tcW w:w="664" w:type="pct"/>
            <w:shd w:val="clear" w:color="000000" w:fill="D9D9D9"/>
            <w:vAlign w:val="center"/>
          </w:tcPr>
          <w:p w14:paraId="1F5E17FE" w14:textId="77777777" w:rsidR="00047BE4" w:rsidRPr="0056280B" w:rsidRDefault="00047BE4" w:rsidP="00047BE4">
            <w:pPr>
              <w:keepNext/>
              <w:keepLines/>
              <w:spacing w:before="0"/>
              <w:jc w:val="center"/>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z toho v rodinných domech</w:t>
            </w:r>
          </w:p>
        </w:tc>
      </w:tr>
      <w:tr w:rsidR="00047BE4" w:rsidRPr="0056280B" w14:paraId="58636552" w14:textId="77777777" w:rsidTr="00047BE4">
        <w:trPr>
          <w:trHeight w:val="255"/>
        </w:trPr>
        <w:tc>
          <w:tcPr>
            <w:tcW w:w="1858" w:type="pct"/>
            <w:shd w:val="clear" w:color="auto" w:fill="auto"/>
            <w:vAlign w:val="center"/>
            <w:hideMark/>
          </w:tcPr>
          <w:p w14:paraId="46A0FAD6" w14:textId="77777777" w:rsidR="00047BE4" w:rsidRPr="0056280B" w:rsidRDefault="00047BE4" w:rsidP="00047BE4">
            <w:pPr>
              <w:keepNext/>
              <w:keepLines/>
              <w:spacing w:before="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Domy celkem</w:t>
            </w:r>
          </w:p>
        </w:tc>
        <w:tc>
          <w:tcPr>
            <w:tcW w:w="487" w:type="pct"/>
            <w:shd w:val="clear" w:color="auto" w:fill="auto"/>
            <w:vAlign w:val="center"/>
            <w:hideMark/>
          </w:tcPr>
          <w:p w14:paraId="28C3B797"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12 787</w:t>
            </w:r>
          </w:p>
        </w:tc>
        <w:tc>
          <w:tcPr>
            <w:tcW w:w="663" w:type="pct"/>
            <w:shd w:val="clear" w:color="auto" w:fill="auto"/>
            <w:vAlign w:val="center"/>
            <w:hideMark/>
          </w:tcPr>
          <w:p w14:paraId="7766D92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10 909</w:t>
            </w:r>
          </w:p>
        </w:tc>
        <w:tc>
          <w:tcPr>
            <w:tcW w:w="664" w:type="pct"/>
            <w:shd w:val="clear" w:color="auto" w:fill="auto"/>
            <w:vAlign w:val="center"/>
            <w:hideMark/>
          </w:tcPr>
          <w:p w14:paraId="3FA5509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1 598</w:t>
            </w:r>
          </w:p>
        </w:tc>
        <w:tc>
          <w:tcPr>
            <w:tcW w:w="664" w:type="pct"/>
            <w:shd w:val="clear" w:color="auto" w:fill="auto"/>
            <w:vAlign w:val="center"/>
            <w:hideMark/>
          </w:tcPr>
          <w:p w14:paraId="4412475D"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74 916</w:t>
            </w:r>
          </w:p>
        </w:tc>
        <w:tc>
          <w:tcPr>
            <w:tcW w:w="664" w:type="pct"/>
            <w:shd w:val="clear" w:color="auto" w:fill="auto"/>
            <w:vAlign w:val="center"/>
            <w:hideMark/>
          </w:tcPr>
          <w:p w14:paraId="0C489AB2"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29 896</w:t>
            </w:r>
          </w:p>
        </w:tc>
      </w:tr>
      <w:tr w:rsidR="00047BE4" w:rsidRPr="0056280B" w14:paraId="2CBCCA32" w14:textId="77777777" w:rsidTr="00047BE4">
        <w:trPr>
          <w:trHeight w:val="255"/>
        </w:trPr>
        <w:tc>
          <w:tcPr>
            <w:tcW w:w="1858" w:type="pct"/>
            <w:shd w:val="clear" w:color="auto" w:fill="auto"/>
            <w:vAlign w:val="center"/>
            <w:hideMark/>
          </w:tcPr>
          <w:p w14:paraId="7832DFA4"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obydlené domy</w:t>
            </w:r>
          </w:p>
        </w:tc>
        <w:tc>
          <w:tcPr>
            <w:tcW w:w="487" w:type="pct"/>
            <w:shd w:val="clear" w:color="auto" w:fill="auto"/>
            <w:vAlign w:val="center"/>
            <w:hideMark/>
          </w:tcPr>
          <w:p w14:paraId="52BA832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11 208</w:t>
            </w:r>
          </w:p>
        </w:tc>
        <w:tc>
          <w:tcPr>
            <w:tcW w:w="663" w:type="pct"/>
            <w:shd w:val="clear" w:color="auto" w:fill="auto"/>
            <w:vAlign w:val="center"/>
            <w:hideMark/>
          </w:tcPr>
          <w:p w14:paraId="58462A49"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9 412</w:t>
            </w:r>
          </w:p>
        </w:tc>
        <w:tc>
          <w:tcPr>
            <w:tcW w:w="664" w:type="pct"/>
            <w:shd w:val="clear" w:color="auto" w:fill="auto"/>
            <w:vAlign w:val="center"/>
            <w:hideMark/>
          </w:tcPr>
          <w:p w14:paraId="16D1186D"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1 549</w:t>
            </w:r>
          </w:p>
        </w:tc>
        <w:tc>
          <w:tcPr>
            <w:tcW w:w="664" w:type="pct"/>
            <w:shd w:val="clear" w:color="auto" w:fill="auto"/>
            <w:vAlign w:val="center"/>
            <w:hideMark/>
          </w:tcPr>
          <w:p w14:paraId="6EA2C24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74 916</w:t>
            </w:r>
          </w:p>
        </w:tc>
        <w:tc>
          <w:tcPr>
            <w:tcW w:w="664" w:type="pct"/>
            <w:shd w:val="clear" w:color="auto" w:fill="auto"/>
            <w:vAlign w:val="center"/>
            <w:hideMark/>
          </w:tcPr>
          <w:p w14:paraId="7503C58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29 896</w:t>
            </w:r>
          </w:p>
        </w:tc>
      </w:tr>
      <w:tr w:rsidR="00047BE4" w:rsidRPr="0056280B" w14:paraId="7A3EA46E" w14:textId="77777777" w:rsidTr="00047BE4">
        <w:trPr>
          <w:trHeight w:val="255"/>
        </w:trPr>
        <w:tc>
          <w:tcPr>
            <w:tcW w:w="1858" w:type="pct"/>
            <w:shd w:val="clear" w:color="auto" w:fill="auto"/>
            <w:vAlign w:val="center"/>
            <w:hideMark/>
          </w:tcPr>
          <w:p w14:paraId="61A59C08"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z počtu domů vlastnictví:</w:t>
            </w:r>
          </w:p>
        </w:tc>
        <w:tc>
          <w:tcPr>
            <w:tcW w:w="487" w:type="pct"/>
            <w:shd w:val="clear" w:color="auto" w:fill="auto"/>
            <w:vAlign w:val="center"/>
            <w:hideMark/>
          </w:tcPr>
          <w:p w14:paraId="295FBDC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3" w:type="pct"/>
            <w:shd w:val="clear" w:color="auto" w:fill="auto"/>
            <w:vAlign w:val="center"/>
            <w:hideMark/>
          </w:tcPr>
          <w:p w14:paraId="58FFE06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6B50548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03C70CE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0647596F"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r>
      <w:tr w:rsidR="00047BE4" w:rsidRPr="0056280B" w14:paraId="3DC1B58E" w14:textId="77777777" w:rsidTr="00047BE4">
        <w:trPr>
          <w:trHeight w:val="255"/>
        </w:trPr>
        <w:tc>
          <w:tcPr>
            <w:tcW w:w="1858" w:type="pct"/>
            <w:shd w:val="clear" w:color="auto" w:fill="auto"/>
            <w:vAlign w:val="center"/>
            <w:hideMark/>
          </w:tcPr>
          <w:p w14:paraId="5036F723"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fyzická osoba</w:t>
            </w:r>
          </w:p>
        </w:tc>
        <w:tc>
          <w:tcPr>
            <w:tcW w:w="487" w:type="pct"/>
            <w:shd w:val="clear" w:color="auto" w:fill="auto"/>
            <w:vAlign w:val="center"/>
            <w:hideMark/>
          </w:tcPr>
          <w:p w14:paraId="67B3D83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8 310</w:t>
            </w:r>
          </w:p>
        </w:tc>
        <w:tc>
          <w:tcPr>
            <w:tcW w:w="663" w:type="pct"/>
            <w:shd w:val="clear" w:color="auto" w:fill="auto"/>
            <w:vAlign w:val="center"/>
            <w:hideMark/>
          </w:tcPr>
          <w:p w14:paraId="7979F83D"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8 057</w:t>
            </w:r>
          </w:p>
        </w:tc>
        <w:tc>
          <w:tcPr>
            <w:tcW w:w="664" w:type="pct"/>
            <w:shd w:val="clear" w:color="auto" w:fill="auto"/>
            <w:vAlign w:val="center"/>
            <w:hideMark/>
          </w:tcPr>
          <w:p w14:paraId="5735229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208</w:t>
            </w:r>
          </w:p>
        </w:tc>
        <w:tc>
          <w:tcPr>
            <w:tcW w:w="664" w:type="pct"/>
            <w:shd w:val="clear" w:color="auto" w:fill="auto"/>
            <w:vAlign w:val="center"/>
            <w:hideMark/>
          </w:tcPr>
          <w:p w14:paraId="2C7CBA0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28 224</w:t>
            </w:r>
          </w:p>
        </w:tc>
        <w:tc>
          <w:tcPr>
            <w:tcW w:w="664" w:type="pct"/>
            <w:shd w:val="clear" w:color="auto" w:fill="auto"/>
            <w:vAlign w:val="center"/>
            <w:hideMark/>
          </w:tcPr>
          <w:p w14:paraId="47F9306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26 174</w:t>
            </w:r>
          </w:p>
        </w:tc>
      </w:tr>
      <w:tr w:rsidR="00047BE4" w:rsidRPr="0056280B" w14:paraId="72D9866A" w14:textId="77777777" w:rsidTr="00047BE4">
        <w:trPr>
          <w:trHeight w:val="255"/>
        </w:trPr>
        <w:tc>
          <w:tcPr>
            <w:tcW w:w="1858" w:type="pct"/>
            <w:shd w:val="clear" w:color="auto" w:fill="auto"/>
            <w:vAlign w:val="center"/>
            <w:hideMark/>
          </w:tcPr>
          <w:p w14:paraId="4B5EEAE4"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obec, stát</w:t>
            </w:r>
          </w:p>
        </w:tc>
        <w:tc>
          <w:tcPr>
            <w:tcW w:w="487" w:type="pct"/>
            <w:shd w:val="clear" w:color="auto" w:fill="auto"/>
            <w:vAlign w:val="center"/>
            <w:hideMark/>
          </w:tcPr>
          <w:p w14:paraId="136612A9"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275</w:t>
            </w:r>
          </w:p>
        </w:tc>
        <w:tc>
          <w:tcPr>
            <w:tcW w:w="663" w:type="pct"/>
            <w:shd w:val="clear" w:color="auto" w:fill="auto"/>
            <w:vAlign w:val="center"/>
            <w:hideMark/>
          </w:tcPr>
          <w:p w14:paraId="4DE68B1A"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173</w:t>
            </w:r>
          </w:p>
        </w:tc>
        <w:tc>
          <w:tcPr>
            <w:tcW w:w="664" w:type="pct"/>
            <w:shd w:val="clear" w:color="auto" w:fill="auto"/>
            <w:vAlign w:val="center"/>
            <w:hideMark/>
          </w:tcPr>
          <w:p w14:paraId="207336A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70</w:t>
            </w:r>
          </w:p>
        </w:tc>
        <w:tc>
          <w:tcPr>
            <w:tcW w:w="664" w:type="pct"/>
            <w:shd w:val="clear" w:color="auto" w:fill="auto"/>
            <w:vAlign w:val="center"/>
            <w:hideMark/>
          </w:tcPr>
          <w:p w14:paraId="7F04156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4 873</w:t>
            </w:r>
          </w:p>
        </w:tc>
        <w:tc>
          <w:tcPr>
            <w:tcW w:w="664" w:type="pct"/>
            <w:shd w:val="clear" w:color="auto" w:fill="auto"/>
            <w:vAlign w:val="center"/>
            <w:hideMark/>
          </w:tcPr>
          <w:p w14:paraId="5AB52857"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493</w:t>
            </w:r>
          </w:p>
        </w:tc>
      </w:tr>
      <w:tr w:rsidR="00047BE4" w:rsidRPr="0056280B" w14:paraId="6CA4E82E" w14:textId="77777777" w:rsidTr="00047BE4">
        <w:trPr>
          <w:trHeight w:val="255"/>
        </w:trPr>
        <w:tc>
          <w:tcPr>
            <w:tcW w:w="1858" w:type="pct"/>
            <w:shd w:val="clear" w:color="auto" w:fill="auto"/>
            <w:vAlign w:val="center"/>
            <w:hideMark/>
          </w:tcPr>
          <w:p w14:paraId="1E069788"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bytové družstvo</w:t>
            </w:r>
          </w:p>
        </w:tc>
        <w:tc>
          <w:tcPr>
            <w:tcW w:w="487" w:type="pct"/>
            <w:shd w:val="clear" w:color="auto" w:fill="auto"/>
            <w:vAlign w:val="center"/>
            <w:hideMark/>
          </w:tcPr>
          <w:p w14:paraId="7DEFFC2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228</w:t>
            </w:r>
          </w:p>
        </w:tc>
        <w:tc>
          <w:tcPr>
            <w:tcW w:w="663" w:type="pct"/>
            <w:shd w:val="clear" w:color="auto" w:fill="auto"/>
            <w:vAlign w:val="center"/>
            <w:hideMark/>
          </w:tcPr>
          <w:p w14:paraId="7AA9ED9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w:t>
            </w:r>
          </w:p>
        </w:tc>
        <w:tc>
          <w:tcPr>
            <w:tcW w:w="664" w:type="pct"/>
            <w:shd w:val="clear" w:color="auto" w:fill="auto"/>
            <w:vAlign w:val="center"/>
            <w:hideMark/>
          </w:tcPr>
          <w:p w14:paraId="640B9589"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226</w:t>
            </w:r>
          </w:p>
        </w:tc>
        <w:tc>
          <w:tcPr>
            <w:tcW w:w="664" w:type="pct"/>
            <w:shd w:val="clear" w:color="auto" w:fill="auto"/>
            <w:vAlign w:val="center"/>
            <w:hideMark/>
          </w:tcPr>
          <w:p w14:paraId="2B749C1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9 913</w:t>
            </w:r>
          </w:p>
        </w:tc>
        <w:tc>
          <w:tcPr>
            <w:tcW w:w="664" w:type="pct"/>
            <w:shd w:val="clear" w:color="auto" w:fill="auto"/>
            <w:vAlign w:val="center"/>
            <w:hideMark/>
          </w:tcPr>
          <w:p w14:paraId="3394C06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5</w:t>
            </w:r>
          </w:p>
        </w:tc>
      </w:tr>
      <w:tr w:rsidR="00047BE4" w:rsidRPr="0056280B" w14:paraId="012E4C7E" w14:textId="77777777" w:rsidTr="00047BE4">
        <w:trPr>
          <w:trHeight w:val="255"/>
        </w:trPr>
        <w:tc>
          <w:tcPr>
            <w:tcW w:w="1858" w:type="pct"/>
            <w:shd w:val="clear" w:color="auto" w:fill="auto"/>
            <w:vAlign w:val="center"/>
            <w:hideMark/>
          </w:tcPr>
          <w:p w14:paraId="0D6C2D97"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spoluvlastnictví vlastníků bytů</w:t>
            </w:r>
          </w:p>
        </w:tc>
        <w:tc>
          <w:tcPr>
            <w:tcW w:w="487" w:type="pct"/>
            <w:shd w:val="clear" w:color="auto" w:fill="auto"/>
            <w:vAlign w:val="center"/>
            <w:hideMark/>
          </w:tcPr>
          <w:p w14:paraId="0A1DBD8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1 922</w:t>
            </w:r>
          </w:p>
        </w:tc>
        <w:tc>
          <w:tcPr>
            <w:tcW w:w="663" w:type="pct"/>
            <w:shd w:val="clear" w:color="auto" w:fill="auto"/>
            <w:vAlign w:val="center"/>
            <w:hideMark/>
          </w:tcPr>
          <w:p w14:paraId="31FC4B9E"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1 061</w:t>
            </w:r>
          </w:p>
        </w:tc>
        <w:tc>
          <w:tcPr>
            <w:tcW w:w="664" w:type="pct"/>
            <w:shd w:val="clear" w:color="auto" w:fill="auto"/>
            <w:vAlign w:val="center"/>
            <w:hideMark/>
          </w:tcPr>
          <w:p w14:paraId="36EDBDFF"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858</w:t>
            </w:r>
          </w:p>
        </w:tc>
        <w:tc>
          <w:tcPr>
            <w:tcW w:w="664" w:type="pct"/>
            <w:shd w:val="clear" w:color="auto" w:fill="auto"/>
            <w:vAlign w:val="center"/>
            <w:hideMark/>
          </w:tcPr>
          <w:p w14:paraId="599EB20E"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25 169</w:t>
            </w:r>
          </w:p>
        </w:tc>
        <w:tc>
          <w:tcPr>
            <w:tcW w:w="664" w:type="pct"/>
            <w:shd w:val="clear" w:color="auto" w:fill="auto"/>
            <w:vAlign w:val="center"/>
            <w:hideMark/>
          </w:tcPr>
          <w:p w14:paraId="3821BBC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2 935</w:t>
            </w:r>
          </w:p>
        </w:tc>
      </w:tr>
      <w:tr w:rsidR="00047BE4" w:rsidRPr="0056280B" w14:paraId="72E46386" w14:textId="77777777" w:rsidTr="00047BE4">
        <w:trPr>
          <w:trHeight w:val="255"/>
        </w:trPr>
        <w:tc>
          <w:tcPr>
            <w:tcW w:w="1858" w:type="pct"/>
            <w:shd w:val="clear" w:color="auto" w:fill="auto"/>
            <w:vAlign w:val="center"/>
            <w:hideMark/>
          </w:tcPr>
          <w:p w14:paraId="683926E8"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domy s počtem bytů:</w:t>
            </w:r>
          </w:p>
        </w:tc>
        <w:tc>
          <w:tcPr>
            <w:tcW w:w="487" w:type="pct"/>
            <w:shd w:val="clear" w:color="auto" w:fill="auto"/>
            <w:vAlign w:val="center"/>
            <w:hideMark/>
          </w:tcPr>
          <w:p w14:paraId="739687C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3" w:type="pct"/>
            <w:shd w:val="clear" w:color="auto" w:fill="auto"/>
            <w:vAlign w:val="center"/>
            <w:hideMark/>
          </w:tcPr>
          <w:p w14:paraId="70E36EA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6019C21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5737745F"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05784B1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r>
      <w:tr w:rsidR="00047BE4" w:rsidRPr="0056280B" w14:paraId="381993F1" w14:textId="77777777" w:rsidTr="00047BE4">
        <w:trPr>
          <w:trHeight w:val="255"/>
        </w:trPr>
        <w:tc>
          <w:tcPr>
            <w:tcW w:w="1858" w:type="pct"/>
            <w:shd w:val="clear" w:color="auto" w:fill="auto"/>
            <w:vAlign w:val="center"/>
            <w:hideMark/>
          </w:tcPr>
          <w:p w14:paraId="3ECB0D28"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w:t>
            </w:r>
          </w:p>
        </w:tc>
        <w:tc>
          <w:tcPr>
            <w:tcW w:w="487" w:type="pct"/>
            <w:shd w:val="clear" w:color="auto" w:fill="auto"/>
            <w:vAlign w:val="center"/>
            <w:hideMark/>
          </w:tcPr>
          <w:p w14:paraId="0EC48C9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7 582</w:t>
            </w:r>
          </w:p>
        </w:tc>
        <w:tc>
          <w:tcPr>
            <w:tcW w:w="663" w:type="pct"/>
            <w:shd w:val="clear" w:color="auto" w:fill="auto"/>
            <w:vAlign w:val="center"/>
            <w:hideMark/>
          </w:tcPr>
          <w:p w14:paraId="2551C37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7 387</w:t>
            </w:r>
          </w:p>
        </w:tc>
        <w:tc>
          <w:tcPr>
            <w:tcW w:w="664" w:type="pct"/>
            <w:shd w:val="clear" w:color="auto" w:fill="auto"/>
            <w:vAlign w:val="center"/>
            <w:hideMark/>
          </w:tcPr>
          <w:p w14:paraId="4CC45A7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w:t>
            </w:r>
          </w:p>
        </w:tc>
        <w:tc>
          <w:tcPr>
            <w:tcW w:w="664" w:type="pct"/>
            <w:shd w:val="clear" w:color="auto" w:fill="auto"/>
            <w:vAlign w:val="center"/>
            <w:hideMark/>
          </w:tcPr>
          <w:p w14:paraId="23CF3D7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21 704</w:t>
            </w:r>
          </w:p>
        </w:tc>
        <w:tc>
          <w:tcPr>
            <w:tcW w:w="664" w:type="pct"/>
            <w:shd w:val="clear" w:color="auto" w:fill="auto"/>
            <w:vAlign w:val="center"/>
            <w:hideMark/>
          </w:tcPr>
          <w:p w14:paraId="60765EA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21 174</w:t>
            </w:r>
          </w:p>
        </w:tc>
      </w:tr>
      <w:tr w:rsidR="00047BE4" w:rsidRPr="0056280B" w14:paraId="3E7504A5" w14:textId="77777777" w:rsidTr="00047BE4">
        <w:trPr>
          <w:trHeight w:val="255"/>
        </w:trPr>
        <w:tc>
          <w:tcPr>
            <w:tcW w:w="1858" w:type="pct"/>
            <w:shd w:val="clear" w:color="auto" w:fill="auto"/>
            <w:vAlign w:val="center"/>
            <w:hideMark/>
          </w:tcPr>
          <w:p w14:paraId="484D60A3"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2 - 3</w:t>
            </w:r>
          </w:p>
        </w:tc>
        <w:tc>
          <w:tcPr>
            <w:tcW w:w="487" w:type="pct"/>
            <w:shd w:val="clear" w:color="auto" w:fill="auto"/>
            <w:vAlign w:val="center"/>
            <w:hideMark/>
          </w:tcPr>
          <w:p w14:paraId="5B81301E"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2 112</w:t>
            </w:r>
          </w:p>
        </w:tc>
        <w:tc>
          <w:tcPr>
            <w:tcW w:w="663" w:type="pct"/>
            <w:shd w:val="clear" w:color="auto" w:fill="auto"/>
            <w:vAlign w:val="center"/>
            <w:hideMark/>
          </w:tcPr>
          <w:p w14:paraId="061FE61D"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2 025</w:t>
            </w:r>
          </w:p>
        </w:tc>
        <w:tc>
          <w:tcPr>
            <w:tcW w:w="664" w:type="pct"/>
            <w:shd w:val="clear" w:color="auto" w:fill="auto"/>
            <w:vAlign w:val="center"/>
            <w:hideMark/>
          </w:tcPr>
          <w:p w14:paraId="10CB99A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58</w:t>
            </w:r>
          </w:p>
        </w:tc>
        <w:tc>
          <w:tcPr>
            <w:tcW w:w="664" w:type="pct"/>
            <w:shd w:val="clear" w:color="auto" w:fill="auto"/>
            <w:vAlign w:val="center"/>
            <w:hideMark/>
          </w:tcPr>
          <w:p w14:paraId="6DD1D768"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9 262</w:t>
            </w:r>
          </w:p>
        </w:tc>
        <w:tc>
          <w:tcPr>
            <w:tcW w:w="664" w:type="pct"/>
            <w:shd w:val="clear" w:color="auto" w:fill="auto"/>
            <w:vAlign w:val="center"/>
            <w:hideMark/>
          </w:tcPr>
          <w:p w14:paraId="26419EC7"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8 722</w:t>
            </w:r>
          </w:p>
        </w:tc>
      </w:tr>
      <w:tr w:rsidR="00047BE4" w:rsidRPr="0056280B" w14:paraId="561D9209" w14:textId="77777777" w:rsidTr="00047BE4">
        <w:trPr>
          <w:trHeight w:val="255"/>
        </w:trPr>
        <w:tc>
          <w:tcPr>
            <w:tcW w:w="1858" w:type="pct"/>
            <w:shd w:val="clear" w:color="auto" w:fill="auto"/>
            <w:vAlign w:val="center"/>
            <w:hideMark/>
          </w:tcPr>
          <w:p w14:paraId="2A400B4E"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4 - 11</w:t>
            </w:r>
          </w:p>
        </w:tc>
        <w:tc>
          <w:tcPr>
            <w:tcW w:w="487" w:type="pct"/>
            <w:shd w:val="clear" w:color="auto" w:fill="auto"/>
            <w:vAlign w:val="center"/>
            <w:hideMark/>
          </w:tcPr>
          <w:p w14:paraId="75FE6F3F"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885</w:t>
            </w:r>
          </w:p>
        </w:tc>
        <w:tc>
          <w:tcPr>
            <w:tcW w:w="663" w:type="pct"/>
            <w:shd w:val="clear" w:color="auto" w:fill="auto"/>
            <w:vAlign w:val="center"/>
            <w:hideMark/>
          </w:tcPr>
          <w:p w14:paraId="3CFEC1C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145C5C0A"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879</w:t>
            </w:r>
          </w:p>
        </w:tc>
        <w:tc>
          <w:tcPr>
            <w:tcW w:w="664" w:type="pct"/>
            <w:shd w:val="clear" w:color="auto" w:fill="auto"/>
            <w:vAlign w:val="center"/>
            <w:hideMark/>
          </w:tcPr>
          <w:p w14:paraId="3643AB5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11 301</w:t>
            </w:r>
          </w:p>
        </w:tc>
        <w:tc>
          <w:tcPr>
            <w:tcW w:w="664" w:type="pct"/>
            <w:shd w:val="clear" w:color="auto" w:fill="auto"/>
            <w:vAlign w:val="center"/>
            <w:hideMark/>
          </w:tcPr>
          <w:p w14:paraId="5D1051C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130F270C" w14:textId="77777777" w:rsidTr="00047BE4">
        <w:trPr>
          <w:trHeight w:val="255"/>
        </w:trPr>
        <w:tc>
          <w:tcPr>
            <w:tcW w:w="1858" w:type="pct"/>
            <w:shd w:val="clear" w:color="auto" w:fill="auto"/>
            <w:vAlign w:val="center"/>
            <w:hideMark/>
          </w:tcPr>
          <w:p w14:paraId="47784833"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12 a více</w:t>
            </w:r>
          </w:p>
        </w:tc>
        <w:tc>
          <w:tcPr>
            <w:tcW w:w="487" w:type="pct"/>
            <w:shd w:val="clear" w:color="auto" w:fill="auto"/>
            <w:vAlign w:val="center"/>
            <w:hideMark/>
          </w:tcPr>
          <w:p w14:paraId="6C7699B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615</w:t>
            </w:r>
          </w:p>
        </w:tc>
        <w:tc>
          <w:tcPr>
            <w:tcW w:w="663" w:type="pct"/>
            <w:shd w:val="clear" w:color="auto" w:fill="auto"/>
            <w:vAlign w:val="center"/>
            <w:hideMark/>
          </w:tcPr>
          <w:p w14:paraId="1CF36BAE"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4176AB3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612</w:t>
            </w:r>
          </w:p>
        </w:tc>
        <w:tc>
          <w:tcPr>
            <w:tcW w:w="664" w:type="pct"/>
            <w:shd w:val="clear" w:color="auto" w:fill="auto"/>
            <w:vAlign w:val="center"/>
            <w:hideMark/>
          </w:tcPr>
          <w:p w14:paraId="0093D90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32 313</w:t>
            </w:r>
          </w:p>
        </w:tc>
        <w:tc>
          <w:tcPr>
            <w:tcW w:w="664" w:type="pct"/>
            <w:shd w:val="clear" w:color="auto" w:fill="auto"/>
            <w:vAlign w:val="center"/>
            <w:hideMark/>
          </w:tcPr>
          <w:p w14:paraId="42FA2FF8"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6A51E21C" w14:textId="77777777" w:rsidTr="00047BE4">
        <w:trPr>
          <w:trHeight w:val="255"/>
        </w:trPr>
        <w:tc>
          <w:tcPr>
            <w:tcW w:w="1858" w:type="pct"/>
            <w:shd w:val="clear" w:color="auto" w:fill="auto"/>
            <w:vAlign w:val="center"/>
            <w:hideMark/>
          </w:tcPr>
          <w:p w14:paraId="4759B028"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z počtu domů počet nadzemních podlaží:</w:t>
            </w:r>
          </w:p>
        </w:tc>
        <w:tc>
          <w:tcPr>
            <w:tcW w:w="487" w:type="pct"/>
            <w:shd w:val="clear" w:color="auto" w:fill="auto"/>
            <w:vAlign w:val="center"/>
            <w:hideMark/>
          </w:tcPr>
          <w:p w14:paraId="56C7BC3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3" w:type="pct"/>
            <w:shd w:val="clear" w:color="auto" w:fill="auto"/>
            <w:vAlign w:val="center"/>
            <w:hideMark/>
          </w:tcPr>
          <w:p w14:paraId="478D0B22"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08F1002E"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20A09C9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4CA4D37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r>
      <w:tr w:rsidR="00047BE4" w:rsidRPr="0056280B" w14:paraId="189D442A" w14:textId="77777777" w:rsidTr="00047BE4">
        <w:trPr>
          <w:trHeight w:val="255"/>
        </w:trPr>
        <w:tc>
          <w:tcPr>
            <w:tcW w:w="1858" w:type="pct"/>
            <w:shd w:val="clear" w:color="auto" w:fill="auto"/>
            <w:vAlign w:val="center"/>
            <w:hideMark/>
          </w:tcPr>
          <w:p w14:paraId="625C3080"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1 - 2</w:t>
            </w:r>
          </w:p>
        </w:tc>
        <w:tc>
          <w:tcPr>
            <w:tcW w:w="487" w:type="pct"/>
            <w:shd w:val="clear" w:color="auto" w:fill="auto"/>
            <w:vAlign w:val="center"/>
            <w:hideMark/>
          </w:tcPr>
          <w:p w14:paraId="05BD80A9"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9 221</w:t>
            </w:r>
          </w:p>
        </w:tc>
        <w:tc>
          <w:tcPr>
            <w:tcW w:w="663" w:type="pct"/>
            <w:shd w:val="clear" w:color="auto" w:fill="auto"/>
            <w:vAlign w:val="center"/>
            <w:hideMark/>
          </w:tcPr>
          <w:p w14:paraId="51FD84E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8 917</w:t>
            </w:r>
          </w:p>
        </w:tc>
        <w:tc>
          <w:tcPr>
            <w:tcW w:w="664" w:type="pct"/>
            <w:shd w:val="clear" w:color="auto" w:fill="auto"/>
            <w:vAlign w:val="center"/>
            <w:hideMark/>
          </w:tcPr>
          <w:p w14:paraId="05E12E0D"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266</w:t>
            </w:r>
          </w:p>
        </w:tc>
        <w:tc>
          <w:tcPr>
            <w:tcW w:w="664" w:type="pct"/>
            <w:shd w:val="clear" w:color="auto" w:fill="auto"/>
            <w:vAlign w:val="center"/>
            <w:hideMark/>
          </w:tcPr>
          <w:p w14:paraId="2AB053CF"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30 503</w:t>
            </w:r>
          </w:p>
        </w:tc>
        <w:tc>
          <w:tcPr>
            <w:tcW w:w="664" w:type="pct"/>
            <w:shd w:val="clear" w:color="auto" w:fill="auto"/>
            <w:vAlign w:val="center"/>
            <w:hideMark/>
          </w:tcPr>
          <w:p w14:paraId="498BF0AF"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28 288</w:t>
            </w:r>
          </w:p>
        </w:tc>
      </w:tr>
      <w:tr w:rsidR="00047BE4" w:rsidRPr="0056280B" w14:paraId="0AD9CCBE" w14:textId="77777777" w:rsidTr="00047BE4">
        <w:trPr>
          <w:trHeight w:val="255"/>
        </w:trPr>
        <w:tc>
          <w:tcPr>
            <w:tcW w:w="1858" w:type="pct"/>
            <w:shd w:val="clear" w:color="auto" w:fill="auto"/>
            <w:vAlign w:val="center"/>
            <w:hideMark/>
          </w:tcPr>
          <w:p w14:paraId="644CC9E2"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3 - 4</w:t>
            </w:r>
          </w:p>
        </w:tc>
        <w:tc>
          <w:tcPr>
            <w:tcW w:w="487" w:type="pct"/>
            <w:shd w:val="clear" w:color="auto" w:fill="auto"/>
            <w:vAlign w:val="center"/>
            <w:hideMark/>
          </w:tcPr>
          <w:p w14:paraId="70E9E00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977</w:t>
            </w:r>
          </w:p>
        </w:tc>
        <w:tc>
          <w:tcPr>
            <w:tcW w:w="663" w:type="pct"/>
            <w:shd w:val="clear" w:color="auto" w:fill="auto"/>
            <w:vAlign w:val="center"/>
            <w:hideMark/>
          </w:tcPr>
          <w:p w14:paraId="57437EB2"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242</w:t>
            </w:r>
          </w:p>
        </w:tc>
        <w:tc>
          <w:tcPr>
            <w:tcW w:w="664" w:type="pct"/>
            <w:shd w:val="clear" w:color="auto" w:fill="auto"/>
            <w:vAlign w:val="center"/>
            <w:hideMark/>
          </w:tcPr>
          <w:p w14:paraId="5360681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688</w:t>
            </w:r>
          </w:p>
        </w:tc>
        <w:tc>
          <w:tcPr>
            <w:tcW w:w="664" w:type="pct"/>
            <w:shd w:val="clear" w:color="auto" w:fill="auto"/>
            <w:vAlign w:val="center"/>
            <w:hideMark/>
          </w:tcPr>
          <w:p w14:paraId="348592F2"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12 521</w:t>
            </w:r>
          </w:p>
        </w:tc>
        <w:tc>
          <w:tcPr>
            <w:tcW w:w="664" w:type="pct"/>
            <w:shd w:val="clear" w:color="auto" w:fill="auto"/>
            <w:vAlign w:val="center"/>
            <w:hideMark/>
          </w:tcPr>
          <w:p w14:paraId="036312ED"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919</w:t>
            </w:r>
          </w:p>
        </w:tc>
      </w:tr>
      <w:tr w:rsidR="00047BE4" w:rsidRPr="0056280B" w14:paraId="75291101" w14:textId="77777777" w:rsidTr="00047BE4">
        <w:trPr>
          <w:trHeight w:val="255"/>
        </w:trPr>
        <w:tc>
          <w:tcPr>
            <w:tcW w:w="1858" w:type="pct"/>
            <w:shd w:val="clear" w:color="auto" w:fill="auto"/>
            <w:vAlign w:val="center"/>
            <w:hideMark/>
          </w:tcPr>
          <w:p w14:paraId="609042CE"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5 a více</w:t>
            </w:r>
          </w:p>
        </w:tc>
        <w:tc>
          <w:tcPr>
            <w:tcW w:w="487" w:type="pct"/>
            <w:shd w:val="clear" w:color="auto" w:fill="auto"/>
            <w:vAlign w:val="center"/>
            <w:hideMark/>
          </w:tcPr>
          <w:p w14:paraId="195FB20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588</w:t>
            </w:r>
          </w:p>
        </w:tc>
        <w:tc>
          <w:tcPr>
            <w:tcW w:w="663" w:type="pct"/>
            <w:shd w:val="clear" w:color="auto" w:fill="auto"/>
            <w:vAlign w:val="center"/>
            <w:hideMark/>
          </w:tcPr>
          <w:p w14:paraId="073C89B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387AD6B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559</w:t>
            </w:r>
          </w:p>
        </w:tc>
        <w:tc>
          <w:tcPr>
            <w:tcW w:w="664" w:type="pct"/>
            <w:shd w:val="clear" w:color="auto" w:fill="auto"/>
            <w:vAlign w:val="center"/>
            <w:hideMark/>
          </w:tcPr>
          <w:p w14:paraId="5B8B0F27"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29 797</w:t>
            </w:r>
          </w:p>
        </w:tc>
        <w:tc>
          <w:tcPr>
            <w:tcW w:w="664" w:type="pct"/>
            <w:shd w:val="clear" w:color="auto" w:fill="auto"/>
            <w:vAlign w:val="center"/>
            <w:hideMark/>
          </w:tcPr>
          <w:p w14:paraId="00D1369F"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6F49ECD6" w14:textId="77777777" w:rsidTr="00047BE4">
        <w:trPr>
          <w:trHeight w:val="255"/>
        </w:trPr>
        <w:tc>
          <w:tcPr>
            <w:tcW w:w="1858" w:type="pct"/>
            <w:shd w:val="clear" w:color="auto" w:fill="auto"/>
            <w:vAlign w:val="center"/>
            <w:hideMark/>
          </w:tcPr>
          <w:p w14:paraId="437E49C0"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z počtu obydlených domů:</w:t>
            </w:r>
          </w:p>
        </w:tc>
        <w:tc>
          <w:tcPr>
            <w:tcW w:w="487" w:type="pct"/>
            <w:shd w:val="clear" w:color="auto" w:fill="auto"/>
            <w:vAlign w:val="center"/>
            <w:hideMark/>
          </w:tcPr>
          <w:p w14:paraId="5EE02FD4"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3" w:type="pct"/>
            <w:shd w:val="clear" w:color="auto" w:fill="auto"/>
            <w:vAlign w:val="center"/>
            <w:hideMark/>
          </w:tcPr>
          <w:p w14:paraId="5997B32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2BBFCE09"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784FE8F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2CA9205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r>
      <w:tr w:rsidR="00047BE4" w:rsidRPr="0056280B" w14:paraId="138012F2" w14:textId="77777777" w:rsidTr="00047BE4">
        <w:trPr>
          <w:trHeight w:val="255"/>
        </w:trPr>
        <w:tc>
          <w:tcPr>
            <w:tcW w:w="1858" w:type="pct"/>
            <w:shd w:val="clear" w:color="auto" w:fill="auto"/>
            <w:vAlign w:val="center"/>
            <w:hideMark/>
          </w:tcPr>
          <w:p w14:paraId="020FC209"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ubytovací zařízení bez bytů</w:t>
            </w:r>
          </w:p>
        </w:tc>
        <w:tc>
          <w:tcPr>
            <w:tcW w:w="487" w:type="pct"/>
            <w:shd w:val="clear" w:color="auto" w:fill="auto"/>
            <w:vAlign w:val="center"/>
            <w:hideMark/>
          </w:tcPr>
          <w:p w14:paraId="3193832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14</w:t>
            </w:r>
          </w:p>
        </w:tc>
        <w:tc>
          <w:tcPr>
            <w:tcW w:w="663" w:type="pct"/>
            <w:shd w:val="clear" w:color="auto" w:fill="auto"/>
            <w:vAlign w:val="center"/>
            <w:hideMark/>
          </w:tcPr>
          <w:p w14:paraId="031B254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43719817"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77E483E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336</w:t>
            </w:r>
          </w:p>
        </w:tc>
        <w:tc>
          <w:tcPr>
            <w:tcW w:w="664" w:type="pct"/>
            <w:shd w:val="clear" w:color="auto" w:fill="auto"/>
            <w:vAlign w:val="center"/>
            <w:hideMark/>
          </w:tcPr>
          <w:p w14:paraId="14A4DB5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4FDEA00B" w14:textId="77777777" w:rsidTr="00047BE4">
        <w:trPr>
          <w:trHeight w:val="255"/>
        </w:trPr>
        <w:tc>
          <w:tcPr>
            <w:tcW w:w="1858" w:type="pct"/>
            <w:shd w:val="clear" w:color="auto" w:fill="auto"/>
            <w:vAlign w:val="center"/>
            <w:hideMark/>
          </w:tcPr>
          <w:p w14:paraId="33637C12"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neobydlené domy s byty</w:t>
            </w:r>
          </w:p>
        </w:tc>
        <w:tc>
          <w:tcPr>
            <w:tcW w:w="487" w:type="pct"/>
            <w:shd w:val="clear" w:color="auto" w:fill="auto"/>
            <w:vAlign w:val="center"/>
            <w:hideMark/>
          </w:tcPr>
          <w:p w14:paraId="0A9B943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1 572</w:t>
            </w:r>
          </w:p>
        </w:tc>
        <w:tc>
          <w:tcPr>
            <w:tcW w:w="663" w:type="pct"/>
            <w:shd w:val="clear" w:color="auto" w:fill="auto"/>
            <w:vAlign w:val="center"/>
            <w:hideMark/>
          </w:tcPr>
          <w:p w14:paraId="0D909A28"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1 497</w:t>
            </w:r>
          </w:p>
        </w:tc>
        <w:tc>
          <w:tcPr>
            <w:tcW w:w="664" w:type="pct"/>
            <w:shd w:val="clear" w:color="auto" w:fill="auto"/>
            <w:vAlign w:val="center"/>
            <w:hideMark/>
          </w:tcPr>
          <w:p w14:paraId="7F76A427"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49</w:t>
            </w:r>
          </w:p>
        </w:tc>
        <w:tc>
          <w:tcPr>
            <w:tcW w:w="664" w:type="pct"/>
            <w:shd w:val="clear" w:color="auto" w:fill="auto"/>
            <w:vAlign w:val="center"/>
            <w:hideMark/>
          </w:tcPr>
          <w:p w14:paraId="0584722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451BA03A"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5F9127AB" w14:textId="77777777" w:rsidTr="00047BE4">
        <w:trPr>
          <w:trHeight w:val="255"/>
        </w:trPr>
        <w:tc>
          <w:tcPr>
            <w:tcW w:w="1858" w:type="pct"/>
            <w:shd w:val="clear" w:color="auto" w:fill="auto"/>
            <w:vAlign w:val="center"/>
            <w:hideMark/>
          </w:tcPr>
          <w:p w14:paraId="2AAEB112"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z toho:</w:t>
            </w:r>
          </w:p>
        </w:tc>
        <w:tc>
          <w:tcPr>
            <w:tcW w:w="487" w:type="pct"/>
            <w:shd w:val="clear" w:color="auto" w:fill="auto"/>
            <w:vAlign w:val="center"/>
            <w:hideMark/>
          </w:tcPr>
          <w:p w14:paraId="0ACBC8A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3" w:type="pct"/>
            <w:shd w:val="clear" w:color="auto" w:fill="auto"/>
            <w:vAlign w:val="center"/>
            <w:hideMark/>
          </w:tcPr>
          <w:p w14:paraId="46DE2CC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5467996A"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25756548"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c>
          <w:tcPr>
            <w:tcW w:w="664" w:type="pct"/>
            <w:shd w:val="clear" w:color="auto" w:fill="auto"/>
            <w:vAlign w:val="center"/>
            <w:hideMark/>
          </w:tcPr>
          <w:p w14:paraId="23BB329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 </w:t>
            </w:r>
          </w:p>
        </w:tc>
      </w:tr>
      <w:tr w:rsidR="00047BE4" w:rsidRPr="0056280B" w14:paraId="35A95B98" w14:textId="77777777" w:rsidTr="00047BE4">
        <w:trPr>
          <w:trHeight w:val="255"/>
        </w:trPr>
        <w:tc>
          <w:tcPr>
            <w:tcW w:w="1858" w:type="pct"/>
            <w:shd w:val="clear" w:color="auto" w:fill="auto"/>
            <w:vAlign w:val="center"/>
            <w:hideMark/>
          </w:tcPr>
          <w:p w14:paraId="5EABB046"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využívané k rekreaci</w:t>
            </w:r>
          </w:p>
        </w:tc>
        <w:tc>
          <w:tcPr>
            <w:tcW w:w="487" w:type="pct"/>
            <w:shd w:val="clear" w:color="auto" w:fill="auto"/>
            <w:vAlign w:val="center"/>
            <w:hideMark/>
          </w:tcPr>
          <w:p w14:paraId="7B964F82"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121</w:t>
            </w:r>
          </w:p>
        </w:tc>
        <w:tc>
          <w:tcPr>
            <w:tcW w:w="663" w:type="pct"/>
            <w:shd w:val="clear" w:color="auto" w:fill="auto"/>
            <w:vAlign w:val="center"/>
            <w:hideMark/>
          </w:tcPr>
          <w:p w14:paraId="50752583"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121</w:t>
            </w:r>
          </w:p>
        </w:tc>
        <w:tc>
          <w:tcPr>
            <w:tcW w:w="664" w:type="pct"/>
            <w:shd w:val="clear" w:color="auto" w:fill="auto"/>
            <w:vAlign w:val="center"/>
            <w:hideMark/>
          </w:tcPr>
          <w:p w14:paraId="392CF30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w:t>
            </w:r>
          </w:p>
        </w:tc>
        <w:tc>
          <w:tcPr>
            <w:tcW w:w="664" w:type="pct"/>
            <w:shd w:val="clear" w:color="auto" w:fill="auto"/>
            <w:vAlign w:val="center"/>
            <w:hideMark/>
          </w:tcPr>
          <w:p w14:paraId="0C73FE4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58EDCB9E"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7173467E" w14:textId="77777777" w:rsidTr="00047BE4">
        <w:trPr>
          <w:trHeight w:val="255"/>
        </w:trPr>
        <w:tc>
          <w:tcPr>
            <w:tcW w:w="1858" w:type="pct"/>
            <w:shd w:val="clear" w:color="auto" w:fill="auto"/>
            <w:vAlign w:val="center"/>
            <w:hideMark/>
          </w:tcPr>
          <w:p w14:paraId="3D2B9EFA"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přestavba domu</w:t>
            </w:r>
          </w:p>
        </w:tc>
        <w:tc>
          <w:tcPr>
            <w:tcW w:w="487" w:type="pct"/>
            <w:shd w:val="clear" w:color="auto" w:fill="auto"/>
            <w:vAlign w:val="center"/>
            <w:hideMark/>
          </w:tcPr>
          <w:p w14:paraId="4D7E9E9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99</w:t>
            </w:r>
          </w:p>
        </w:tc>
        <w:tc>
          <w:tcPr>
            <w:tcW w:w="663" w:type="pct"/>
            <w:shd w:val="clear" w:color="auto" w:fill="auto"/>
            <w:vAlign w:val="center"/>
            <w:hideMark/>
          </w:tcPr>
          <w:p w14:paraId="0D978C9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97</w:t>
            </w:r>
          </w:p>
        </w:tc>
        <w:tc>
          <w:tcPr>
            <w:tcW w:w="664" w:type="pct"/>
            <w:shd w:val="clear" w:color="auto" w:fill="auto"/>
            <w:vAlign w:val="center"/>
            <w:hideMark/>
          </w:tcPr>
          <w:p w14:paraId="09F8F5AA"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w:t>
            </w:r>
          </w:p>
        </w:tc>
        <w:tc>
          <w:tcPr>
            <w:tcW w:w="664" w:type="pct"/>
            <w:shd w:val="clear" w:color="auto" w:fill="auto"/>
            <w:vAlign w:val="center"/>
            <w:hideMark/>
          </w:tcPr>
          <w:p w14:paraId="2EF543D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1237603A"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14EC4F6F" w14:textId="77777777" w:rsidTr="00047BE4">
        <w:trPr>
          <w:trHeight w:val="255"/>
        </w:trPr>
        <w:tc>
          <w:tcPr>
            <w:tcW w:w="1858" w:type="pct"/>
            <w:shd w:val="clear" w:color="auto" w:fill="auto"/>
            <w:vAlign w:val="center"/>
            <w:hideMark/>
          </w:tcPr>
          <w:p w14:paraId="6E643D2B" w14:textId="77777777" w:rsidR="00047BE4" w:rsidRPr="0056280B" w:rsidRDefault="00047BE4" w:rsidP="00047BE4">
            <w:pPr>
              <w:keepNext/>
              <w:keepLines/>
              <w:spacing w:before="0"/>
              <w:ind w:firstLineChars="200" w:firstLine="36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nezpůsobilé k bydlení</w:t>
            </w:r>
          </w:p>
        </w:tc>
        <w:tc>
          <w:tcPr>
            <w:tcW w:w="487" w:type="pct"/>
            <w:shd w:val="clear" w:color="auto" w:fill="auto"/>
            <w:vAlign w:val="center"/>
            <w:hideMark/>
          </w:tcPr>
          <w:p w14:paraId="168B7BF5"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81</w:t>
            </w:r>
          </w:p>
        </w:tc>
        <w:tc>
          <w:tcPr>
            <w:tcW w:w="663" w:type="pct"/>
            <w:shd w:val="clear" w:color="auto" w:fill="auto"/>
            <w:vAlign w:val="center"/>
            <w:hideMark/>
          </w:tcPr>
          <w:p w14:paraId="001F17B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79</w:t>
            </w:r>
          </w:p>
        </w:tc>
        <w:tc>
          <w:tcPr>
            <w:tcW w:w="664" w:type="pct"/>
            <w:shd w:val="clear" w:color="auto" w:fill="auto"/>
            <w:vAlign w:val="center"/>
            <w:hideMark/>
          </w:tcPr>
          <w:p w14:paraId="43DC587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w:t>
            </w:r>
          </w:p>
        </w:tc>
        <w:tc>
          <w:tcPr>
            <w:tcW w:w="664" w:type="pct"/>
            <w:shd w:val="clear" w:color="auto" w:fill="auto"/>
            <w:vAlign w:val="center"/>
            <w:hideMark/>
          </w:tcPr>
          <w:p w14:paraId="773A7012"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17EA5C8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2BB2ACB3" w14:textId="77777777" w:rsidTr="00047BE4">
        <w:trPr>
          <w:trHeight w:val="255"/>
        </w:trPr>
        <w:tc>
          <w:tcPr>
            <w:tcW w:w="1858" w:type="pct"/>
            <w:shd w:val="clear" w:color="auto" w:fill="auto"/>
            <w:vAlign w:val="center"/>
            <w:hideMark/>
          </w:tcPr>
          <w:p w14:paraId="48B00521"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neobydlená ubytovací zařízení bez bytů</w:t>
            </w:r>
          </w:p>
        </w:tc>
        <w:tc>
          <w:tcPr>
            <w:tcW w:w="487" w:type="pct"/>
            <w:shd w:val="clear" w:color="auto" w:fill="auto"/>
            <w:vAlign w:val="center"/>
            <w:hideMark/>
          </w:tcPr>
          <w:p w14:paraId="23C1987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7</w:t>
            </w:r>
          </w:p>
        </w:tc>
        <w:tc>
          <w:tcPr>
            <w:tcW w:w="663" w:type="pct"/>
            <w:shd w:val="clear" w:color="auto" w:fill="auto"/>
            <w:vAlign w:val="center"/>
            <w:hideMark/>
          </w:tcPr>
          <w:p w14:paraId="55038A3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03D935AC"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3EECBFF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1B8DD860"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r w:rsidR="00047BE4" w:rsidRPr="0056280B" w14:paraId="47328B8F" w14:textId="77777777" w:rsidTr="00047BE4">
        <w:trPr>
          <w:trHeight w:val="255"/>
        </w:trPr>
        <w:tc>
          <w:tcPr>
            <w:tcW w:w="1858" w:type="pct"/>
            <w:shd w:val="clear" w:color="auto" w:fill="auto"/>
            <w:vAlign w:val="center"/>
            <w:hideMark/>
          </w:tcPr>
          <w:p w14:paraId="00980FFF" w14:textId="77777777" w:rsidR="00047BE4" w:rsidRPr="0056280B" w:rsidRDefault="00047BE4" w:rsidP="00047BE4">
            <w:pPr>
              <w:keepNext/>
              <w:keepLines/>
              <w:spacing w:before="0"/>
              <w:ind w:firstLineChars="100" w:firstLine="180"/>
              <w:jc w:val="lef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počet bytů v neobydlených domech</w:t>
            </w:r>
          </w:p>
        </w:tc>
        <w:tc>
          <w:tcPr>
            <w:tcW w:w="487" w:type="pct"/>
            <w:shd w:val="clear" w:color="auto" w:fill="auto"/>
            <w:vAlign w:val="center"/>
            <w:hideMark/>
          </w:tcPr>
          <w:p w14:paraId="64AA4941"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1 819</w:t>
            </w:r>
          </w:p>
        </w:tc>
        <w:tc>
          <w:tcPr>
            <w:tcW w:w="663" w:type="pct"/>
            <w:shd w:val="clear" w:color="auto" w:fill="auto"/>
            <w:vAlign w:val="center"/>
            <w:hideMark/>
          </w:tcPr>
          <w:p w14:paraId="73C9357A"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1 574</w:t>
            </w:r>
          </w:p>
        </w:tc>
        <w:tc>
          <w:tcPr>
            <w:tcW w:w="664" w:type="pct"/>
            <w:shd w:val="clear" w:color="auto" w:fill="auto"/>
            <w:vAlign w:val="center"/>
            <w:hideMark/>
          </w:tcPr>
          <w:p w14:paraId="09158016"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218</w:t>
            </w:r>
          </w:p>
        </w:tc>
        <w:tc>
          <w:tcPr>
            <w:tcW w:w="664" w:type="pct"/>
            <w:shd w:val="clear" w:color="auto" w:fill="auto"/>
            <w:vAlign w:val="center"/>
            <w:hideMark/>
          </w:tcPr>
          <w:p w14:paraId="18DF7BB9"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c>
          <w:tcPr>
            <w:tcW w:w="664" w:type="pct"/>
            <w:shd w:val="clear" w:color="auto" w:fill="auto"/>
            <w:vAlign w:val="center"/>
            <w:hideMark/>
          </w:tcPr>
          <w:p w14:paraId="509A36BB" w14:textId="77777777" w:rsidR="00047BE4" w:rsidRPr="0056280B" w:rsidRDefault="00047BE4" w:rsidP="00047BE4">
            <w:pPr>
              <w:keepNext/>
              <w:keepLines/>
              <w:spacing w:before="0"/>
              <w:jc w:val="right"/>
              <w:rPr>
                <w:rFonts w:ascii="Calibri" w:eastAsia="Times New Roman" w:hAnsi="Calibri" w:cs="Calibri"/>
                <w:color w:val="000000"/>
                <w:sz w:val="18"/>
                <w:szCs w:val="18"/>
                <w:lang w:eastAsia="cs-CZ"/>
              </w:rPr>
            </w:pPr>
            <w:r w:rsidRPr="0056280B">
              <w:rPr>
                <w:rFonts w:ascii="Calibri" w:eastAsia="Times New Roman" w:hAnsi="Calibri" w:cs="Calibri"/>
                <w:color w:val="000000"/>
                <w:sz w:val="18"/>
                <w:szCs w:val="18"/>
                <w:lang w:eastAsia="cs-CZ"/>
              </w:rPr>
              <w:t>x</w:t>
            </w:r>
          </w:p>
        </w:tc>
      </w:tr>
    </w:tbl>
    <w:p w14:paraId="7920CECD" w14:textId="136D6AA9" w:rsidR="00047BE4" w:rsidRDefault="00047BE4" w:rsidP="00047BE4">
      <w:pPr>
        <w:pStyle w:val="Zdroj"/>
      </w:pPr>
      <w:r>
        <w:t>Zdroj: ČSÚ, SLDB 2011</w:t>
      </w:r>
      <w:r w:rsidR="00B453CA">
        <w:t>.</w:t>
      </w:r>
      <w:r>
        <w:br/>
        <w:t xml:space="preserve">Pozn.: Byty v ostatních </w:t>
      </w:r>
      <w:r w:rsidRPr="00485047">
        <w:t>budovách</w:t>
      </w:r>
      <w:r w:rsidRPr="007F1415">
        <w:t xml:space="preserve"> zahrnují:</w:t>
      </w:r>
      <w:r>
        <w:t xml:space="preserve"> </w:t>
      </w:r>
    </w:p>
    <w:p w14:paraId="7AAA9737" w14:textId="77A00ACD" w:rsidR="00047BE4" w:rsidRPr="007F1415" w:rsidRDefault="00047BE4" w:rsidP="00047BE4">
      <w:pPr>
        <w:pStyle w:val="Zdroj"/>
        <w:ind w:left="284"/>
      </w:pPr>
      <w:r>
        <w:t>1/</w:t>
      </w:r>
      <w:r w:rsidR="00B453CA">
        <w:t xml:space="preserve"> </w:t>
      </w:r>
      <w:r w:rsidRPr="007F1415">
        <w:t>domy sloužící k dlouhodobému (nebo trvalému) společnému ubytování jednotlivých osob, příp. domácností, jako jsou např. domovy důchodců, ústavy sociální péče všech druhů, kláštery, domovy mládeže, internáty, studen</w:t>
      </w:r>
      <w:r w:rsidR="00B453CA">
        <w:t>tské koleje, svobodárny, apod.;</w:t>
      </w:r>
    </w:p>
    <w:p w14:paraId="7D7805D9" w14:textId="010394F1" w:rsidR="00047BE4" w:rsidRPr="007F1415" w:rsidRDefault="00047BE4" w:rsidP="00047BE4">
      <w:pPr>
        <w:pStyle w:val="Zdroj"/>
        <w:ind w:left="284"/>
      </w:pPr>
      <w:r>
        <w:t>2/</w:t>
      </w:r>
      <w:r w:rsidR="00B453CA">
        <w:t xml:space="preserve"> </w:t>
      </w:r>
      <w:r w:rsidRPr="007F1415">
        <w:t>ubytovací zařízení sloužící ke krátkodobému (dočasnému) ubytování: hotely, lůžková léčebná zařízení jako jsou nemocnice, lázeňské ústavy, rekreační zařízení, humanitární střediska, upr</w:t>
      </w:r>
      <w:r w:rsidR="00B453CA">
        <w:t>chlické tábory, ubytovny, apod.;</w:t>
      </w:r>
    </w:p>
    <w:p w14:paraId="00855331" w14:textId="0175910F" w:rsidR="00047BE4" w:rsidRPr="00231055" w:rsidRDefault="00047BE4" w:rsidP="00047BE4">
      <w:pPr>
        <w:pStyle w:val="Zdroj"/>
        <w:ind w:left="284"/>
      </w:pPr>
      <w:r>
        <w:t>3/</w:t>
      </w:r>
      <w:r w:rsidR="00B453CA">
        <w:t xml:space="preserve"> </w:t>
      </w:r>
      <w:r w:rsidRPr="007F1415">
        <w:t>provozní budovy s byty (s bytem) - jsou určeny k jinému účelu než k trvalému bydlení (administrativní budovy, školy, muzea, divadla, kina, různé provozní budovy apod.) a jsou předmětem sčítání pouze tehdy, je-li v nich byt (i neobydlený)</w:t>
      </w:r>
      <w:r w:rsidR="00B453CA">
        <w:t>,</w:t>
      </w:r>
      <w:r w:rsidRPr="007F1415">
        <w:t xml:space="preserve"> nebo jestliže v nich byl v rozhodný okamžik sčítání někdo ubytován mimo byt.</w:t>
      </w:r>
    </w:p>
    <w:p w14:paraId="15D52DEF" w14:textId="77777777" w:rsidR="00047BE4" w:rsidRPr="007F3648" w:rsidRDefault="00047BE4" w:rsidP="00047BE4">
      <w:r>
        <w:t>Zlín patří mezi atraktivní místa k bydlení, průměrná cena nemovitostí i nájmů bytů je ve srovnání s dalšími krajskými městy Česka spíše nadprůměrná. Roli na této skutečnosti může mít i nedostatek nemovitostí na trhu a zvýšená poptávka. Dynamiku trhu s nemovitostmi také ovlivňuje Univerzita Tomáše Bati, respektive její studenti, kteří hledají krátkodobé bydlení. Vývoj poptávky bude ovlivňován trendem stárnutí populace a specifickými nároky seniorů na bydlení.</w:t>
      </w:r>
    </w:p>
    <w:p w14:paraId="2E4FE6F8" w14:textId="21A399F2" w:rsidR="00047BE4" w:rsidRDefault="00047BE4" w:rsidP="00047BE4">
      <w:r>
        <w:lastRenderedPageBreak/>
        <w:t xml:space="preserve">Podrobný přehled charakteru domácností hospodařících ve Zlíně nabízí tabulka </w:t>
      </w:r>
      <w:r w:rsidR="004846A1">
        <w:t>1.11</w:t>
      </w:r>
      <w:r>
        <w:t>. Z celkového počtu domácností tvořených jednou rodinou (20 110), je přibližně 78 % tvořeno úplnými rodinami, zbylých 22 % jsou domácnosti neúplné, z čehož v 85 % případů je v čele neúplné rodiny žena.</w:t>
      </w:r>
    </w:p>
    <w:p w14:paraId="4A5C7F76" w14:textId="5E9E45BE" w:rsidR="00047BE4" w:rsidRPr="007F1415" w:rsidRDefault="00047BE4" w:rsidP="00047BE4">
      <w:pPr>
        <w:pStyle w:val="Titulek"/>
        <w:keepNext/>
      </w:pPr>
      <w:bookmarkStart w:id="91" w:name="_Toc49439852"/>
      <w:bookmarkStart w:id="92" w:name="_Toc53037871"/>
      <w:bookmarkStart w:id="93" w:name="_Toc77074691"/>
      <w:r w:rsidRPr="00231055">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11</w:t>
      </w:r>
      <w:r w:rsidR="00081B47">
        <w:rPr>
          <w:noProof/>
        </w:rPr>
        <w:fldChar w:fldCharType="end"/>
      </w:r>
      <w:r w:rsidR="00B453CA">
        <w:rPr>
          <w:noProof/>
        </w:rPr>
        <w:t>:</w:t>
      </w:r>
      <w:r w:rsidRPr="00231055">
        <w:t xml:space="preserve"> Domácnosti v bytech podle</w:t>
      </w:r>
      <w:r w:rsidRPr="00654003">
        <w:t xml:space="preserve"> počt</w:t>
      </w:r>
      <w:r>
        <w:t>u členů a typu domácnosti ve městě Zlín</w:t>
      </w:r>
      <w:r w:rsidRPr="001E1FB9">
        <w:t xml:space="preserve"> k 26.</w:t>
      </w:r>
      <w:r>
        <w:t xml:space="preserve"> </w:t>
      </w:r>
      <w:r w:rsidRPr="001E1FB9">
        <w:t>3.</w:t>
      </w:r>
      <w:r>
        <w:t xml:space="preserve"> </w:t>
      </w:r>
      <w:r w:rsidRPr="001E1FB9">
        <w:t>2011</w:t>
      </w:r>
      <w:bookmarkEnd w:id="91"/>
      <w:bookmarkEnd w:id="92"/>
      <w:bookmarkEnd w:id="93"/>
    </w:p>
    <w:tbl>
      <w:tblPr>
        <w:tblW w:w="5000" w:type="pct"/>
        <w:tblCellMar>
          <w:left w:w="70" w:type="dxa"/>
          <w:right w:w="70" w:type="dxa"/>
        </w:tblCellMar>
        <w:tblLook w:val="04A0" w:firstRow="1" w:lastRow="0" w:firstColumn="1" w:lastColumn="0" w:noHBand="0" w:noVBand="1"/>
      </w:tblPr>
      <w:tblGrid>
        <w:gridCol w:w="1279"/>
        <w:gridCol w:w="2747"/>
        <w:gridCol w:w="1014"/>
        <w:gridCol w:w="804"/>
        <w:gridCol w:w="805"/>
        <w:gridCol w:w="805"/>
        <w:gridCol w:w="805"/>
        <w:gridCol w:w="803"/>
      </w:tblGrid>
      <w:tr w:rsidR="00047BE4" w:rsidRPr="004F4C79" w14:paraId="18FC067E" w14:textId="77777777" w:rsidTr="00047BE4">
        <w:trPr>
          <w:trHeight w:val="255"/>
          <w:tblHeader/>
        </w:trPr>
        <w:tc>
          <w:tcPr>
            <w:tcW w:w="2222" w:type="pct"/>
            <w:gridSpan w:val="2"/>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992BF60"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Typ domácnosti</w:t>
            </w:r>
          </w:p>
        </w:tc>
        <w:tc>
          <w:tcPr>
            <w:tcW w:w="559"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DC49E70"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Domácnosti</w:t>
            </w:r>
            <w:r w:rsidRPr="004F4C79">
              <w:rPr>
                <w:rFonts w:ascii="Calibri" w:eastAsia="Times New Roman" w:hAnsi="Calibri" w:cs="Calibri"/>
                <w:color w:val="000000"/>
                <w:sz w:val="18"/>
                <w:szCs w:val="18"/>
                <w:lang w:eastAsia="cs-CZ"/>
              </w:rPr>
              <w:t xml:space="preserve"> celkem</w:t>
            </w:r>
          </w:p>
        </w:tc>
        <w:tc>
          <w:tcPr>
            <w:tcW w:w="2219" w:type="pct"/>
            <w:gridSpan w:val="5"/>
            <w:tcBorders>
              <w:top w:val="single" w:sz="4" w:space="0" w:color="auto"/>
              <w:left w:val="nil"/>
              <w:bottom w:val="single" w:sz="4" w:space="0" w:color="auto"/>
              <w:right w:val="single" w:sz="4" w:space="0" w:color="auto"/>
            </w:tcBorders>
            <w:shd w:val="clear" w:color="000000" w:fill="D9D9D9"/>
            <w:vAlign w:val="center"/>
            <w:hideMark/>
          </w:tcPr>
          <w:p w14:paraId="2AFF235A"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v tom podle počtu členů domácnosti</w:t>
            </w:r>
          </w:p>
        </w:tc>
      </w:tr>
      <w:tr w:rsidR="00047BE4" w:rsidRPr="004F4C79" w14:paraId="29825E76" w14:textId="77777777" w:rsidTr="00047BE4">
        <w:trPr>
          <w:trHeight w:val="255"/>
          <w:tblHeader/>
        </w:trPr>
        <w:tc>
          <w:tcPr>
            <w:tcW w:w="2222" w:type="pct"/>
            <w:gridSpan w:val="2"/>
            <w:vMerge/>
            <w:tcBorders>
              <w:top w:val="single" w:sz="4" w:space="0" w:color="auto"/>
              <w:left w:val="single" w:sz="4" w:space="0" w:color="auto"/>
              <w:bottom w:val="single" w:sz="4" w:space="0" w:color="auto"/>
              <w:right w:val="single" w:sz="4" w:space="0" w:color="auto"/>
            </w:tcBorders>
            <w:vAlign w:val="center"/>
            <w:hideMark/>
          </w:tcPr>
          <w:p w14:paraId="1791DE9A" w14:textId="77777777" w:rsidR="00047BE4" w:rsidRPr="004F4C79" w:rsidRDefault="00047BE4" w:rsidP="00047BE4">
            <w:pPr>
              <w:spacing w:before="0"/>
              <w:jc w:val="left"/>
              <w:rPr>
                <w:rFonts w:ascii="Calibri" w:eastAsia="Times New Roman" w:hAnsi="Calibri" w:cs="Calibri"/>
                <w:color w:val="000000"/>
                <w:sz w:val="18"/>
                <w:szCs w:val="18"/>
                <w:lang w:eastAsia="cs-CZ"/>
              </w:rPr>
            </w:pPr>
          </w:p>
        </w:tc>
        <w:tc>
          <w:tcPr>
            <w:tcW w:w="559" w:type="pct"/>
            <w:vMerge/>
            <w:tcBorders>
              <w:top w:val="single" w:sz="4" w:space="0" w:color="auto"/>
              <w:left w:val="single" w:sz="4" w:space="0" w:color="auto"/>
              <w:bottom w:val="single" w:sz="4" w:space="0" w:color="000000"/>
              <w:right w:val="single" w:sz="4" w:space="0" w:color="auto"/>
            </w:tcBorders>
            <w:vAlign w:val="center"/>
            <w:hideMark/>
          </w:tcPr>
          <w:p w14:paraId="521570B8" w14:textId="77777777" w:rsidR="00047BE4" w:rsidRPr="004F4C79" w:rsidRDefault="00047BE4" w:rsidP="00047BE4">
            <w:pPr>
              <w:spacing w:before="0"/>
              <w:jc w:val="left"/>
              <w:rPr>
                <w:rFonts w:ascii="Calibri" w:eastAsia="Times New Roman" w:hAnsi="Calibri" w:cs="Calibri"/>
                <w:color w:val="000000"/>
                <w:sz w:val="18"/>
                <w:szCs w:val="18"/>
                <w:lang w:eastAsia="cs-CZ"/>
              </w:rPr>
            </w:pPr>
          </w:p>
        </w:tc>
        <w:tc>
          <w:tcPr>
            <w:tcW w:w="444" w:type="pct"/>
            <w:tcBorders>
              <w:top w:val="nil"/>
              <w:left w:val="nil"/>
              <w:bottom w:val="single" w:sz="4" w:space="0" w:color="auto"/>
              <w:right w:val="single" w:sz="4" w:space="0" w:color="auto"/>
            </w:tcBorders>
            <w:shd w:val="clear" w:color="000000" w:fill="D9D9D9"/>
            <w:vAlign w:val="center"/>
            <w:hideMark/>
          </w:tcPr>
          <w:p w14:paraId="1B921438"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w:t>
            </w:r>
          </w:p>
        </w:tc>
        <w:tc>
          <w:tcPr>
            <w:tcW w:w="444" w:type="pct"/>
            <w:tcBorders>
              <w:top w:val="nil"/>
              <w:left w:val="nil"/>
              <w:bottom w:val="single" w:sz="4" w:space="0" w:color="auto"/>
              <w:right w:val="single" w:sz="4" w:space="0" w:color="auto"/>
            </w:tcBorders>
            <w:shd w:val="clear" w:color="000000" w:fill="D9D9D9"/>
            <w:vAlign w:val="center"/>
            <w:hideMark/>
          </w:tcPr>
          <w:p w14:paraId="4E1E65DC"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w:t>
            </w:r>
          </w:p>
        </w:tc>
        <w:tc>
          <w:tcPr>
            <w:tcW w:w="444" w:type="pct"/>
            <w:tcBorders>
              <w:top w:val="nil"/>
              <w:left w:val="nil"/>
              <w:bottom w:val="single" w:sz="4" w:space="0" w:color="auto"/>
              <w:right w:val="single" w:sz="4" w:space="0" w:color="auto"/>
            </w:tcBorders>
            <w:shd w:val="clear" w:color="000000" w:fill="D9D9D9"/>
            <w:vAlign w:val="center"/>
            <w:hideMark/>
          </w:tcPr>
          <w:p w14:paraId="7F3687A1"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w:t>
            </w:r>
          </w:p>
        </w:tc>
        <w:tc>
          <w:tcPr>
            <w:tcW w:w="444" w:type="pct"/>
            <w:tcBorders>
              <w:top w:val="nil"/>
              <w:left w:val="nil"/>
              <w:bottom w:val="single" w:sz="4" w:space="0" w:color="auto"/>
              <w:right w:val="single" w:sz="4" w:space="0" w:color="auto"/>
            </w:tcBorders>
            <w:shd w:val="clear" w:color="000000" w:fill="D9D9D9"/>
            <w:vAlign w:val="center"/>
            <w:hideMark/>
          </w:tcPr>
          <w:p w14:paraId="69FE1C1A"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w:t>
            </w:r>
          </w:p>
        </w:tc>
        <w:tc>
          <w:tcPr>
            <w:tcW w:w="442" w:type="pct"/>
            <w:tcBorders>
              <w:top w:val="nil"/>
              <w:left w:val="nil"/>
              <w:bottom w:val="single" w:sz="4" w:space="0" w:color="auto"/>
              <w:right w:val="single" w:sz="4" w:space="0" w:color="auto"/>
            </w:tcBorders>
            <w:shd w:val="clear" w:color="000000" w:fill="D9D9D9"/>
            <w:vAlign w:val="center"/>
            <w:hideMark/>
          </w:tcPr>
          <w:p w14:paraId="548911F2" w14:textId="77777777" w:rsidR="00047BE4" w:rsidRPr="004F4C79" w:rsidRDefault="00047BE4" w:rsidP="00047BE4">
            <w:pPr>
              <w:spacing w:before="0"/>
              <w:jc w:val="center"/>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 a více</w:t>
            </w:r>
          </w:p>
        </w:tc>
      </w:tr>
      <w:tr w:rsidR="00047BE4" w:rsidRPr="004F4C79" w14:paraId="6584DC34"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6E9DC7"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Bytové domácnosti celkem</w:t>
            </w:r>
          </w:p>
        </w:tc>
        <w:tc>
          <w:tcPr>
            <w:tcW w:w="559" w:type="pct"/>
            <w:tcBorders>
              <w:top w:val="nil"/>
              <w:left w:val="nil"/>
              <w:bottom w:val="single" w:sz="4" w:space="0" w:color="auto"/>
              <w:right w:val="single" w:sz="4" w:space="0" w:color="auto"/>
            </w:tcBorders>
            <w:shd w:val="clear" w:color="auto" w:fill="auto"/>
            <w:vAlign w:val="center"/>
            <w:hideMark/>
          </w:tcPr>
          <w:p w14:paraId="73A784A7"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31 702</w:t>
            </w:r>
          </w:p>
        </w:tc>
        <w:tc>
          <w:tcPr>
            <w:tcW w:w="444" w:type="pct"/>
            <w:tcBorders>
              <w:top w:val="nil"/>
              <w:left w:val="nil"/>
              <w:bottom w:val="single" w:sz="4" w:space="0" w:color="auto"/>
              <w:right w:val="single" w:sz="4" w:space="0" w:color="auto"/>
            </w:tcBorders>
            <w:shd w:val="clear" w:color="auto" w:fill="auto"/>
            <w:vAlign w:val="center"/>
            <w:hideMark/>
          </w:tcPr>
          <w:p w14:paraId="7C98DEB2"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10 039</w:t>
            </w:r>
          </w:p>
        </w:tc>
        <w:tc>
          <w:tcPr>
            <w:tcW w:w="444" w:type="pct"/>
            <w:tcBorders>
              <w:top w:val="nil"/>
              <w:left w:val="nil"/>
              <w:bottom w:val="single" w:sz="4" w:space="0" w:color="auto"/>
              <w:right w:val="single" w:sz="4" w:space="0" w:color="auto"/>
            </w:tcBorders>
            <w:shd w:val="clear" w:color="auto" w:fill="auto"/>
            <w:vAlign w:val="center"/>
            <w:hideMark/>
          </w:tcPr>
          <w:p w14:paraId="0FA43F63"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9 800</w:t>
            </w:r>
          </w:p>
        </w:tc>
        <w:tc>
          <w:tcPr>
            <w:tcW w:w="444" w:type="pct"/>
            <w:tcBorders>
              <w:top w:val="nil"/>
              <w:left w:val="nil"/>
              <w:bottom w:val="single" w:sz="4" w:space="0" w:color="auto"/>
              <w:right w:val="single" w:sz="4" w:space="0" w:color="auto"/>
            </w:tcBorders>
            <w:shd w:val="clear" w:color="auto" w:fill="auto"/>
            <w:vAlign w:val="center"/>
            <w:hideMark/>
          </w:tcPr>
          <w:p w14:paraId="2B208206"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5 607</w:t>
            </w:r>
          </w:p>
        </w:tc>
        <w:tc>
          <w:tcPr>
            <w:tcW w:w="444" w:type="pct"/>
            <w:tcBorders>
              <w:top w:val="nil"/>
              <w:left w:val="nil"/>
              <w:bottom w:val="single" w:sz="4" w:space="0" w:color="auto"/>
              <w:right w:val="single" w:sz="4" w:space="0" w:color="auto"/>
            </w:tcBorders>
            <w:shd w:val="clear" w:color="auto" w:fill="auto"/>
            <w:vAlign w:val="center"/>
            <w:hideMark/>
          </w:tcPr>
          <w:p w14:paraId="1928D77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4 514</w:t>
            </w:r>
          </w:p>
        </w:tc>
        <w:tc>
          <w:tcPr>
            <w:tcW w:w="442" w:type="pct"/>
            <w:tcBorders>
              <w:top w:val="nil"/>
              <w:left w:val="nil"/>
              <w:bottom w:val="single" w:sz="4" w:space="0" w:color="auto"/>
              <w:right w:val="single" w:sz="4" w:space="0" w:color="auto"/>
            </w:tcBorders>
            <w:shd w:val="clear" w:color="auto" w:fill="auto"/>
            <w:vAlign w:val="center"/>
            <w:hideMark/>
          </w:tcPr>
          <w:p w14:paraId="4EDF3F1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1 742</w:t>
            </w:r>
          </w:p>
        </w:tc>
      </w:tr>
      <w:tr w:rsidR="00047BE4" w:rsidRPr="004F4C79" w14:paraId="003698B9" w14:textId="77777777" w:rsidTr="00047BE4">
        <w:trPr>
          <w:trHeight w:val="255"/>
        </w:trPr>
        <w:tc>
          <w:tcPr>
            <w:tcW w:w="706" w:type="pct"/>
            <w:vMerge w:val="restart"/>
            <w:tcBorders>
              <w:top w:val="nil"/>
              <w:left w:val="single" w:sz="4" w:space="0" w:color="auto"/>
              <w:bottom w:val="single" w:sz="4" w:space="0" w:color="auto"/>
              <w:right w:val="single" w:sz="4" w:space="0" w:color="auto"/>
            </w:tcBorders>
            <w:shd w:val="clear" w:color="auto" w:fill="auto"/>
            <w:vAlign w:val="center"/>
            <w:hideMark/>
          </w:tcPr>
          <w:p w14:paraId="35009839"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v tom</w:t>
            </w:r>
          </w:p>
        </w:tc>
        <w:tc>
          <w:tcPr>
            <w:tcW w:w="1516" w:type="pct"/>
            <w:tcBorders>
              <w:top w:val="nil"/>
              <w:left w:val="nil"/>
              <w:bottom w:val="single" w:sz="4" w:space="0" w:color="auto"/>
              <w:right w:val="single" w:sz="4" w:space="0" w:color="auto"/>
            </w:tcBorders>
            <w:shd w:val="clear" w:color="auto" w:fill="auto"/>
            <w:vAlign w:val="center"/>
            <w:hideMark/>
          </w:tcPr>
          <w:p w14:paraId="72DC9AAC"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hospodařící domácnost</w:t>
            </w:r>
          </w:p>
        </w:tc>
        <w:tc>
          <w:tcPr>
            <w:tcW w:w="559" w:type="pct"/>
            <w:tcBorders>
              <w:top w:val="nil"/>
              <w:left w:val="nil"/>
              <w:bottom w:val="single" w:sz="4" w:space="0" w:color="auto"/>
              <w:right w:val="single" w:sz="4" w:space="0" w:color="auto"/>
            </w:tcBorders>
            <w:shd w:val="clear" w:color="auto" w:fill="auto"/>
            <w:vAlign w:val="center"/>
            <w:hideMark/>
          </w:tcPr>
          <w:p w14:paraId="14269BC4"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30 515</w:t>
            </w:r>
          </w:p>
        </w:tc>
        <w:tc>
          <w:tcPr>
            <w:tcW w:w="444" w:type="pct"/>
            <w:tcBorders>
              <w:top w:val="nil"/>
              <w:left w:val="nil"/>
              <w:bottom w:val="single" w:sz="4" w:space="0" w:color="auto"/>
              <w:right w:val="single" w:sz="4" w:space="0" w:color="auto"/>
            </w:tcBorders>
            <w:shd w:val="clear" w:color="auto" w:fill="auto"/>
            <w:vAlign w:val="center"/>
            <w:hideMark/>
          </w:tcPr>
          <w:p w14:paraId="28327B9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10 039</w:t>
            </w:r>
          </w:p>
        </w:tc>
        <w:tc>
          <w:tcPr>
            <w:tcW w:w="444" w:type="pct"/>
            <w:tcBorders>
              <w:top w:val="nil"/>
              <w:left w:val="nil"/>
              <w:bottom w:val="single" w:sz="4" w:space="0" w:color="auto"/>
              <w:right w:val="single" w:sz="4" w:space="0" w:color="auto"/>
            </w:tcBorders>
            <w:shd w:val="clear" w:color="auto" w:fill="auto"/>
            <w:vAlign w:val="center"/>
            <w:hideMark/>
          </w:tcPr>
          <w:p w14:paraId="33BCB523"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9 584</w:t>
            </w:r>
          </w:p>
        </w:tc>
        <w:tc>
          <w:tcPr>
            <w:tcW w:w="444" w:type="pct"/>
            <w:tcBorders>
              <w:top w:val="nil"/>
              <w:left w:val="nil"/>
              <w:bottom w:val="single" w:sz="4" w:space="0" w:color="auto"/>
              <w:right w:val="single" w:sz="4" w:space="0" w:color="auto"/>
            </w:tcBorders>
            <w:shd w:val="clear" w:color="auto" w:fill="auto"/>
            <w:vAlign w:val="center"/>
            <w:hideMark/>
          </w:tcPr>
          <w:p w14:paraId="697DD2A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5 388</w:t>
            </w:r>
          </w:p>
        </w:tc>
        <w:tc>
          <w:tcPr>
            <w:tcW w:w="444" w:type="pct"/>
            <w:tcBorders>
              <w:top w:val="nil"/>
              <w:left w:val="nil"/>
              <w:bottom w:val="single" w:sz="4" w:space="0" w:color="auto"/>
              <w:right w:val="single" w:sz="4" w:space="0" w:color="auto"/>
            </w:tcBorders>
            <w:shd w:val="clear" w:color="auto" w:fill="auto"/>
            <w:vAlign w:val="center"/>
            <w:hideMark/>
          </w:tcPr>
          <w:p w14:paraId="1B077A2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4 271</w:t>
            </w:r>
          </w:p>
        </w:tc>
        <w:tc>
          <w:tcPr>
            <w:tcW w:w="442" w:type="pct"/>
            <w:tcBorders>
              <w:top w:val="nil"/>
              <w:left w:val="nil"/>
              <w:bottom w:val="single" w:sz="4" w:space="0" w:color="auto"/>
              <w:right w:val="single" w:sz="4" w:space="0" w:color="auto"/>
            </w:tcBorders>
            <w:shd w:val="clear" w:color="auto" w:fill="auto"/>
            <w:vAlign w:val="center"/>
            <w:hideMark/>
          </w:tcPr>
          <w:p w14:paraId="08E6256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1 233</w:t>
            </w:r>
          </w:p>
        </w:tc>
      </w:tr>
      <w:tr w:rsidR="00047BE4" w:rsidRPr="004F4C79" w14:paraId="42FE040D" w14:textId="77777777" w:rsidTr="00047BE4">
        <w:trPr>
          <w:trHeight w:val="255"/>
        </w:trPr>
        <w:tc>
          <w:tcPr>
            <w:tcW w:w="706" w:type="pct"/>
            <w:vMerge/>
            <w:tcBorders>
              <w:top w:val="nil"/>
              <w:left w:val="single" w:sz="4" w:space="0" w:color="auto"/>
              <w:bottom w:val="single" w:sz="4" w:space="0" w:color="auto"/>
              <w:right w:val="single" w:sz="4" w:space="0" w:color="auto"/>
            </w:tcBorders>
            <w:vAlign w:val="center"/>
            <w:hideMark/>
          </w:tcPr>
          <w:p w14:paraId="498DA7AE" w14:textId="77777777" w:rsidR="00047BE4" w:rsidRPr="004F4C79" w:rsidRDefault="00047BE4" w:rsidP="00047BE4">
            <w:pPr>
              <w:spacing w:before="0"/>
              <w:jc w:val="left"/>
              <w:rPr>
                <w:rFonts w:ascii="Calibri" w:eastAsia="Times New Roman" w:hAnsi="Calibri" w:cs="Calibri"/>
                <w:color w:val="000000"/>
                <w:sz w:val="18"/>
                <w:szCs w:val="18"/>
                <w:lang w:eastAsia="cs-CZ"/>
              </w:rPr>
            </w:pPr>
          </w:p>
        </w:tc>
        <w:tc>
          <w:tcPr>
            <w:tcW w:w="1516" w:type="pct"/>
            <w:tcBorders>
              <w:top w:val="nil"/>
              <w:left w:val="nil"/>
              <w:bottom w:val="single" w:sz="4" w:space="0" w:color="auto"/>
              <w:right w:val="single" w:sz="4" w:space="0" w:color="auto"/>
            </w:tcBorders>
            <w:shd w:val="clear" w:color="auto" w:fill="auto"/>
            <w:vAlign w:val="center"/>
            <w:hideMark/>
          </w:tcPr>
          <w:p w14:paraId="5A669A13"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 a více hospodařících domácností</w:t>
            </w:r>
          </w:p>
        </w:tc>
        <w:tc>
          <w:tcPr>
            <w:tcW w:w="559" w:type="pct"/>
            <w:tcBorders>
              <w:top w:val="nil"/>
              <w:left w:val="nil"/>
              <w:bottom w:val="single" w:sz="4" w:space="0" w:color="auto"/>
              <w:right w:val="single" w:sz="4" w:space="0" w:color="auto"/>
            </w:tcBorders>
            <w:shd w:val="clear" w:color="auto" w:fill="auto"/>
            <w:vAlign w:val="center"/>
            <w:hideMark/>
          </w:tcPr>
          <w:p w14:paraId="2D31A74A"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1 187</w:t>
            </w:r>
          </w:p>
        </w:tc>
        <w:tc>
          <w:tcPr>
            <w:tcW w:w="444" w:type="pct"/>
            <w:tcBorders>
              <w:top w:val="nil"/>
              <w:left w:val="nil"/>
              <w:bottom w:val="single" w:sz="4" w:space="0" w:color="auto"/>
              <w:right w:val="single" w:sz="4" w:space="0" w:color="auto"/>
            </w:tcBorders>
            <w:shd w:val="clear" w:color="auto" w:fill="auto"/>
            <w:vAlign w:val="center"/>
            <w:hideMark/>
          </w:tcPr>
          <w:p w14:paraId="64EB9A4C"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3D8B3C56"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216</w:t>
            </w:r>
          </w:p>
        </w:tc>
        <w:tc>
          <w:tcPr>
            <w:tcW w:w="444" w:type="pct"/>
            <w:tcBorders>
              <w:top w:val="nil"/>
              <w:left w:val="nil"/>
              <w:bottom w:val="single" w:sz="4" w:space="0" w:color="auto"/>
              <w:right w:val="single" w:sz="4" w:space="0" w:color="auto"/>
            </w:tcBorders>
            <w:shd w:val="clear" w:color="auto" w:fill="auto"/>
            <w:vAlign w:val="center"/>
            <w:hideMark/>
          </w:tcPr>
          <w:p w14:paraId="21968A35"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219</w:t>
            </w:r>
          </w:p>
        </w:tc>
        <w:tc>
          <w:tcPr>
            <w:tcW w:w="444" w:type="pct"/>
            <w:tcBorders>
              <w:top w:val="nil"/>
              <w:left w:val="nil"/>
              <w:bottom w:val="single" w:sz="4" w:space="0" w:color="auto"/>
              <w:right w:val="single" w:sz="4" w:space="0" w:color="auto"/>
            </w:tcBorders>
            <w:shd w:val="clear" w:color="auto" w:fill="auto"/>
            <w:vAlign w:val="center"/>
            <w:hideMark/>
          </w:tcPr>
          <w:p w14:paraId="2740DA5D"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243</w:t>
            </w:r>
          </w:p>
        </w:tc>
        <w:tc>
          <w:tcPr>
            <w:tcW w:w="442" w:type="pct"/>
            <w:tcBorders>
              <w:top w:val="nil"/>
              <w:left w:val="nil"/>
              <w:bottom w:val="single" w:sz="4" w:space="0" w:color="auto"/>
              <w:right w:val="single" w:sz="4" w:space="0" w:color="auto"/>
            </w:tcBorders>
            <w:shd w:val="clear" w:color="auto" w:fill="auto"/>
            <w:vAlign w:val="center"/>
            <w:hideMark/>
          </w:tcPr>
          <w:p w14:paraId="7E05E3B8"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509</w:t>
            </w:r>
          </w:p>
        </w:tc>
      </w:tr>
      <w:tr w:rsidR="00047BE4" w:rsidRPr="004F4C79" w14:paraId="087D1312"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5EE4A74"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Vybavenost osobním počítačem:</w:t>
            </w:r>
          </w:p>
        </w:tc>
        <w:tc>
          <w:tcPr>
            <w:tcW w:w="559" w:type="pct"/>
            <w:tcBorders>
              <w:top w:val="nil"/>
              <w:left w:val="nil"/>
              <w:bottom w:val="single" w:sz="4" w:space="0" w:color="auto"/>
              <w:right w:val="single" w:sz="4" w:space="0" w:color="auto"/>
            </w:tcBorders>
            <w:shd w:val="clear" w:color="auto" w:fill="auto"/>
            <w:vAlign w:val="center"/>
            <w:hideMark/>
          </w:tcPr>
          <w:p w14:paraId="41AB14EA"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 </w:t>
            </w:r>
          </w:p>
        </w:tc>
        <w:tc>
          <w:tcPr>
            <w:tcW w:w="444" w:type="pct"/>
            <w:tcBorders>
              <w:top w:val="nil"/>
              <w:left w:val="nil"/>
              <w:bottom w:val="single" w:sz="4" w:space="0" w:color="auto"/>
              <w:right w:val="single" w:sz="4" w:space="0" w:color="auto"/>
            </w:tcBorders>
            <w:shd w:val="clear" w:color="auto" w:fill="auto"/>
            <w:vAlign w:val="center"/>
            <w:hideMark/>
          </w:tcPr>
          <w:p w14:paraId="5B4E2781"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 </w:t>
            </w:r>
          </w:p>
        </w:tc>
        <w:tc>
          <w:tcPr>
            <w:tcW w:w="444" w:type="pct"/>
            <w:tcBorders>
              <w:top w:val="nil"/>
              <w:left w:val="nil"/>
              <w:bottom w:val="single" w:sz="4" w:space="0" w:color="auto"/>
              <w:right w:val="single" w:sz="4" w:space="0" w:color="auto"/>
            </w:tcBorders>
            <w:shd w:val="clear" w:color="auto" w:fill="auto"/>
            <w:vAlign w:val="center"/>
            <w:hideMark/>
          </w:tcPr>
          <w:p w14:paraId="604E592D"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 </w:t>
            </w:r>
          </w:p>
        </w:tc>
        <w:tc>
          <w:tcPr>
            <w:tcW w:w="444" w:type="pct"/>
            <w:tcBorders>
              <w:top w:val="nil"/>
              <w:left w:val="nil"/>
              <w:bottom w:val="single" w:sz="4" w:space="0" w:color="auto"/>
              <w:right w:val="single" w:sz="4" w:space="0" w:color="auto"/>
            </w:tcBorders>
            <w:shd w:val="clear" w:color="auto" w:fill="auto"/>
            <w:vAlign w:val="center"/>
            <w:hideMark/>
          </w:tcPr>
          <w:p w14:paraId="38C000F8"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 </w:t>
            </w:r>
          </w:p>
        </w:tc>
        <w:tc>
          <w:tcPr>
            <w:tcW w:w="444" w:type="pct"/>
            <w:tcBorders>
              <w:top w:val="nil"/>
              <w:left w:val="nil"/>
              <w:bottom w:val="single" w:sz="4" w:space="0" w:color="auto"/>
              <w:right w:val="single" w:sz="4" w:space="0" w:color="auto"/>
            </w:tcBorders>
            <w:shd w:val="clear" w:color="auto" w:fill="auto"/>
            <w:vAlign w:val="center"/>
            <w:hideMark/>
          </w:tcPr>
          <w:p w14:paraId="38F1F9F8"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 </w:t>
            </w:r>
          </w:p>
        </w:tc>
        <w:tc>
          <w:tcPr>
            <w:tcW w:w="442" w:type="pct"/>
            <w:tcBorders>
              <w:top w:val="nil"/>
              <w:left w:val="nil"/>
              <w:bottom w:val="single" w:sz="4" w:space="0" w:color="auto"/>
              <w:right w:val="single" w:sz="4" w:space="0" w:color="auto"/>
            </w:tcBorders>
            <w:shd w:val="clear" w:color="auto" w:fill="auto"/>
            <w:vAlign w:val="center"/>
            <w:hideMark/>
          </w:tcPr>
          <w:p w14:paraId="360F6AB3"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 </w:t>
            </w:r>
          </w:p>
        </w:tc>
      </w:tr>
      <w:tr w:rsidR="00047BE4" w:rsidRPr="004F4C79" w14:paraId="3126D0CF"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515C4D" w14:textId="77777777" w:rsidR="00047BE4" w:rsidRPr="004F4C79" w:rsidRDefault="00047BE4" w:rsidP="00047BE4">
            <w:pPr>
              <w:spacing w:before="0"/>
              <w:ind w:firstLineChars="100" w:firstLine="18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s internetem</w:t>
            </w:r>
          </w:p>
        </w:tc>
        <w:tc>
          <w:tcPr>
            <w:tcW w:w="559" w:type="pct"/>
            <w:tcBorders>
              <w:top w:val="nil"/>
              <w:left w:val="nil"/>
              <w:bottom w:val="single" w:sz="4" w:space="0" w:color="auto"/>
              <w:right w:val="single" w:sz="4" w:space="0" w:color="auto"/>
            </w:tcBorders>
            <w:shd w:val="clear" w:color="auto" w:fill="auto"/>
            <w:vAlign w:val="center"/>
            <w:hideMark/>
          </w:tcPr>
          <w:p w14:paraId="694EC9B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17 752</w:t>
            </w:r>
          </w:p>
        </w:tc>
        <w:tc>
          <w:tcPr>
            <w:tcW w:w="444" w:type="pct"/>
            <w:tcBorders>
              <w:top w:val="nil"/>
              <w:left w:val="nil"/>
              <w:bottom w:val="single" w:sz="4" w:space="0" w:color="auto"/>
              <w:right w:val="single" w:sz="4" w:space="0" w:color="auto"/>
            </w:tcBorders>
            <w:shd w:val="clear" w:color="auto" w:fill="auto"/>
            <w:vAlign w:val="center"/>
            <w:hideMark/>
          </w:tcPr>
          <w:p w14:paraId="0E9E5AB7"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3 130</w:t>
            </w:r>
          </w:p>
        </w:tc>
        <w:tc>
          <w:tcPr>
            <w:tcW w:w="444" w:type="pct"/>
            <w:tcBorders>
              <w:top w:val="nil"/>
              <w:left w:val="nil"/>
              <w:bottom w:val="single" w:sz="4" w:space="0" w:color="auto"/>
              <w:right w:val="single" w:sz="4" w:space="0" w:color="auto"/>
            </w:tcBorders>
            <w:shd w:val="clear" w:color="auto" w:fill="auto"/>
            <w:vAlign w:val="center"/>
            <w:hideMark/>
          </w:tcPr>
          <w:p w14:paraId="6C0AC60A"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5 140</w:t>
            </w:r>
          </w:p>
        </w:tc>
        <w:tc>
          <w:tcPr>
            <w:tcW w:w="444" w:type="pct"/>
            <w:tcBorders>
              <w:top w:val="nil"/>
              <w:left w:val="nil"/>
              <w:bottom w:val="single" w:sz="4" w:space="0" w:color="auto"/>
              <w:right w:val="single" w:sz="4" w:space="0" w:color="auto"/>
            </w:tcBorders>
            <w:shd w:val="clear" w:color="auto" w:fill="auto"/>
            <w:vAlign w:val="center"/>
            <w:hideMark/>
          </w:tcPr>
          <w:p w14:paraId="745C6A3C"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4 227</w:t>
            </w:r>
          </w:p>
        </w:tc>
        <w:tc>
          <w:tcPr>
            <w:tcW w:w="444" w:type="pct"/>
            <w:tcBorders>
              <w:top w:val="nil"/>
              <w:left w:val="nil"/>
              <w:bottom w:val="single" w:sz="4" w:space="0" w:color="auto"/>
              <w:right w:val="single" w:sz="4" w:space="0" w:color="auto"/>
            </w:tcBorders>
            <w:shd w:val="clear" w:color="auto" w:fill="auto"/>
            <w:vAlign w:val="center"/>
            <w:hideMark/>
          </w:tcPr>
          <w:p w14:paraId="186482B3"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3 865</w:t>
            </w:r>
          </w:p>
        </w:tc>
        <w:tc>
          <w:tcPr>
            <w:tcW w:w="442" w:type="pct"/>
            <w:tcBorders>
              <w:top w:val="nil"/>
              <w:left w:val="nil"/>
              <w:bottom w:val="single" w:sz="4" w:space="0" w:color="auto"/>
              <w:right w:val="single" w:sz="4" w:space="0" w:color="auto"/>
            </w:tcBorders>
            <w:shd w:val="clear" w:color="auto" w:fill="auto"/>
            <w:vAlign w:val="center"/>
            <w:hideMark/>
          </w:tcPr>
          <w:p w14:paraId="62F6CD17"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1 390</w:t>
            </w:r>
          </w:p>
        </w:tc>
      </w:tr>
      <w:tr w:rsidR="00047BE4" w:rsidRPr="004F4C79" w14:paraId="745D431A"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256CCB" w14:textId="77777777" w:rsidR="00047BE4" w:rsidRPr="004F4C79" w:rsidRDefault="00047BE4" w:rsidP="00047BE4">
            <w:pPr>
              <w:spacing w:before="0"/>
              <w:ind w:firstLineChars="100" w:firstLine="18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bez internetu</w:t>
            </w:r>
          </w:p>
        </w:tc>
        <w:tc>
          <w:tcPr>
            <w:tcW w:w="559" w:type="pct"/>
            <w:tcBorders>
              <w:top w:val="nil"/>
              <w:left w:val="nil"/>
              <w:bottom w:val="single" w:sz="4" w:space="0" w:color="auto"/>
              <w:right w:val="single" w:sz="4" w:space="0" w:color="auto"/>
            </w:tcBorders>
            <w:shd w:val="clear" w:color="auto" w:fill="auto"/>
            <w:vAlign w:val="center"/>
            <w:hideMark/>
          </w:tcPr>
          <w:p w14:paraId="6BCB682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1 101</w:t>
            </w:r>
          </w:p>
        </w:tc>
        <w:tc>
          <w:tcPr>
            <w:tcW w:w="444" w:type="pct"/>
            <w:tcBorders>
              <w:top w:val="nil"/>
              <w:left w:val="nil"/>
              <w:bottom w:val="single" w:sz="4" w:space="0" w:color="auto"/>
              <w:right w:val="single" w:sz="4" w:space="0" w:color="auto"/>
            </w:tcBorders>
            <w:shd w:val="clear" w:color="auto" w:fill="auto"/>
            <w:vAlign w:val="center"/>
            <w:hideMark/>
          </w:tcPr>
          <w:p w14:paraId="7568B501"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350</w:t>
            </w:r>
          </w:p>
        </w:tc>
        <w:tc>
          <w:tcPr>
            <w:tcW w:w="444" w:type="pct"/>
            <w:tcBorders>
              <w:top w:val="nil"/>
              <w:left w:val="nil"/>
              <w:bottom w:val="single" w:sz="4" w:space="0" w:color="auto"/>
              <w:right w:val="single" w:sz="4" w:space="0" w:color="auto"/>
            </w:tcBorders>
            <w:shd w:val="clear" w:color="auto" w:fill="auto"/>
            <w:vAlign w:val="center"/>
            <w:hideMark/>
          </w:tcPr>
          <w:p w14:paraId="4CF4D0C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396</w:t>
            </w:r>
          </w:p>
        </w:tc>
        <w:tc>
          <w:tcPr>
            <w:tcW w:w="444" w:type="pct"/>
            <w:tcBorders>
              <w:top w:val="nil"/>
              <w:left w:val="nil"/>
              <w:bottom w:val="single" w:sz="4" w:space="0" w:color="auto"/>
              <w:right w:val="single" w:sz="4" w:space="0" w:color="auto"/>
            </w:tcBorders>
            <w:shd w:val="clear" w:color="auto" w:fill="auto"/>
            <w:vAlign w:val="center"/>
            <w:hideMark/>
          </w:tcPr>
          <w:p w14:paraId="66FA9EBC"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185</w:t>
            </w:r>
          </w:p>
        </w:tc>
        <w:tc>
          <w:tcPr>
            <w:tcW w:w="444" w:type="pct"/>
            <w:tcBorders>
              <w:top w:val="nil"/>
              <w:left w:val="nil"/>
              <w:bottom w:val="single" w:sz="4" w:space="0" w:color="auto"/>
              <w:right w:val="single" w:sz="4" w:space="0" w:color="auto"/>
            </w:tcBorders>
            <w:shd w:val="clear" w:color="auto" w:fill="auto"/>
            <w:vAlign w:val="center"/>
            <w:hideMark/>
          </w:tcPr>
          <w:p w14:paraId="37A88BD5"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118</w:t>
            </w:r>
          </w:p>
        </w:tc>
        <w:tc>
          <w:tcPr>
            <w:tcW w:w="442" w:type="pct"/>
            <w:tcBorders>
              <w:top w:val="nil"/>
              <w:left w:val="nil"/>
              <w:bottom w:val="single" w:sz="4" w:space="0" w:color="auto"/>
              <w:right w:val="single" w:sz="4" w:space="0" w:color="auto"/>
            </w:tcBorders>
            <w:shd w:val="clear" w:color="auto" w:fill="auto"/>
            <w:vAlign w:val="center"/>
            <w:hideMark/>
          </w:tcPr>
          <w:p w14:paraId="580935A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52</w:t>
            </w:r>
          </w:p>
        </w:tc>
      </w:tr>
      <w:tr w:rsidR="00047BE4" w:rsidRPr="004F4C79" w14:paraId="0A11AFF3"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8E4360E"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Hospodařící domácnosti celkem</w:t>
            </w:r>
          </w:p>
        </w:tc>
        <w:tc>
          <w:tcPr>
            <w:tcW w:w="559" w:type="pct"/>
            <w:tcBorders>
              <w:top w:val="nil"/>
              <w:left w:val="nil"/>
              <w:bottom w:val="single" w:sz="4" w:space="0" w:color="auto"/>
              <w:right w:val="single" w:sz="4" w:space="0" w:color="auto"/>
            </w:tcBorders>
            <w:shd w:val="clear" w:color="auto" w:fill="auto"/>
            <w:vAlign w:val="center"/>
            <w:hideMark/>
          </w:tcPr>
          <w:p w14:paraId="25FA896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33 003</w:t>
            </w:r>
          </w:p>
        </w:tc>
        <w:tc>
          <w:tcPr>
            <w:tcW w:w="444" w:type="pct"/>
            <w:tcBorders>
              <w:top w:val="nil"/>
              <w:left w:val="nil"/>
              <w:bottom w:val="single" w:sz="4" w:space="0" w:color="auto"/>
              <w:right w:val="single" w:sz="4" w:space="0" w:color="auto"/>
            </w:tcBorders>
            <w:shd w:val="clear" w:color="auto" w:fill="auto"/>
            <w:vAlign w:val="center"/>
            <w:hideMark/>
          </w:tcPr>
          <w:p w14:paraId="177732B4"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11 151</w:t>
            </w:r>
          </w:p>
        </w:tc>
        <w:tc>
          <w:tcPr>
            <w:tcW w:w="444" w:type="pct"/>
            <w:tcBorders>
              <w:top w:val="nil"/>
              <w:left w:val="nil"/>
              <w:bottom w:val="single" w:sz="4" w:space="0" w:color="auto"/>
              <w:right w:val="single" w:sz="4" w:space="0" w:color="auto"/>
            </w:tcBorders>
            <w:shd w:val="clear" w:color="auto" w:fill="auto"/>
            <w:vAlign w:val="center"/>
            <w:hideMark/>
          </w:tcPr>
          <w:p w14:paraId="52E0F2E4"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10 226</w:t>
            </w:r>
          </w:p>
        </w:tc>
        <w:tc>
          <w:tcPr>
            <w:tcW w:w="444" w:type="pct"/>
            <w:tcBorders>
              <w:top w:val="nil"/>
              <w:left w:val="nil"/>
              <w:bottom w:val="single" w:sz="4" w:space="0" w:color="auto"/>
              <w:right w:val="single" w:sz="4" w:space="0" w:color="auto"/>
            </w:tcBorders>
            <w:shd w:val="clear" w:color="auto" w:fill="auto"/>
            <w:vAlign w:val="center"/>
            <w:hideMark/>
          </w:tcPr>
          <w:p w14:paraId="1AD2E3F4"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5 764</w:t>
            </w:r>
          </w:p>
        </w:tc>
        <w:tc>
          <w:tcPr>
            <w:tcW w:w="444" w:type="pct"/>
            <w:tcBorders>
              <w:top w:val="nil"/>
              <w:left w:val="nil"/>
              <w:bottom w:val="single" w:sz="4" w:space="0" w:color="auto"/>
              <w:right w:val="single" w:sz="4" w:space="0" w:color="auto"/>
            </w:tcBorders>
            <w:shd w:val="clear" w:color="auto" w:fill="auto"/>
            <w:vAlign w:val="center"/>
            <w:hideMark/>
          </w:tcPr>
          <w:p w14:paraId="277FDA4A"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4 552</w:t>
            </w:r>
          </w:p>
        </w:tc>
        <w:tc>
          <w:tcPr>
            <w:tcW w:w="442" w:type="pct"/>
            <w:tcBorders>
              <w:top w:val="nil"/>
              <w:left w:val="nil"/>
              <w:bottom w:val="single" w:sz="4" w:space="0" w:color="auto"/>
              <w:right w:val="single" w:sz="4" w:space="0" w:color="auto"/>
            </w:tcBorders>
            <w:shd w:val="clear" w:color="auto" w:fill="auto"/>
            <w:vAlign w:val="center"/>
            <w:hideMark/>
          </w:tcPr>
          <w:p w14:paraId="6EE609C5"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1 310</w:t>
            </w:r>
          </w:p>
        </w:tc>
      </w:tr>
      <w:tr w:rsidR="00047BE4" w:rsidRPr="004F4C79" w14:paraId="473B3D83"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97A79C" w14:textId="77777777" w:rsidR="00047BE4" w:rsidRPr="004F4C79" w:rsidRDefault="00047BE4" w:rsidP="00047BE4">
            <w:pPr>
              <w:spacing w:before="0"/>
              <w:ind w:firstLineChars="100" w:firstLine="18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domácnosti jednotlivců</w:t>
            </w:r>
          </w:p>
        </w:tc>
        <w:tc>
          <w:tcPr>
            <w:tcW w:w="559" w:type="pct"/>
            <w:tcBorders>
              <w:top w:val="nil"/>
              <w:left w:val="nil"/>
              <w:bottom w:val="single" w:sz="4" w:space="0" w:color="auto"/>
              <w:right w:val="single" w:sz="4" w:space="0" w:color="auto"/>
            </w:tcBorders>
            <w:shd w:val="clear" w:color="auto" w:fill="auto"/>
            <w:vAlign w:val="center"/>
            <w:hideMark/>
          </w:tcPr>
          <w:p w14:paraId="4C05FD90"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11 151</w:t>
            </w:r>
          </w:p>
        </w:tc>
        <w:tc>
          <w:tcPr>
            <w:tcW w:w="444" w:type="pct"/>
            <w:tcBorders>
              <w:top w:val="nil"/>
              <w:left w:val="nil"/>
              <w:bottom w:val="single" w:sz="4" w:space="0" w:color="auto"/>
              <w:right w:val="single" w:sz="4" w:space="0" w:color="auto"/>
            </w:tcBorders>
            <w:shd w:val="clear" w:color="auto" w:fill="auto"/>
            <w:vAlign w:val="center"/>
            <w:hideMark/>
          </w:tcPr>
          <w:p w14:paraId="1CDD5AC0"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11 151</w:t>
            </w:r>
          </w:p>
        </w:tc>
        <w:tc>
          <w:tcPr>
            <w:tcW w:w="444" w:type="pct"/>
            <w:tcBorders>
              <w:top w:val="nil"/>
              <w:left w:val="nil"/>
              <w:bottom w:val="single" w:sz="4" w:space="0" w:color="auto"/>
              <w:right w:val="single" w:sz="4" w:space="0" w:color="auto"/>
            </w:tcBorders>
            <w:shd w:val="clear" w:color="auto" w:fill="auto"/>
            <w:vAlign w:val="center"/>
            <w:hideMark/>
          </w:tcPr>
          <w:p w14:paraId="72EF3EA1"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5F42A03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1A0A712C"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2" w:type="pct"/>
            <w:tcBorders>
              <w:top w:val="nil"/>
              <w:left w:val="nil"/>
              <w:bottom w:val="single" w:sz="4" w:space="0" w:color="auto"/>
              <w:right w:val="single" w:sz="4" w:space="0" w:color="auto"/>
            </w:tcBorders>
            <w:shd w:val="clear" w:color="auto" w:fill="auto"/>
            <w:vAlign w:val="center"/>
            <w:hideMark/>
          </w:tcPr>
          <w:p w14:paraId="1DA4681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r>
      <w:tr w:rsidR="00047BE4" w:rsidRPr="004F4C79" w14:paraId="65FF3F84" w14:textId="77777777" w:rsidTr="00047BE4">
        <w:trPr>
          <w:trHeight w:val="255"/>
        </w:trPr>
        <w:tc>
          <w:tcPr>
            <w:tcW w:w="706" w:type="pct"/>
            <w:tcBorders>
              <w:top w:val="nil"/>
              <w:left w:val="single" w:sz="4" w:space="0" w:color="auto"/>
              <w:bottom w:val="single" w:sz="4" w:space="0" w:color="auto"/>
              <w:right w:val="single" w:sz="4" w:space="0" w:color="auto"/>
            </w:tcBorders>
            <w:shd w:val="clear" w:color="auto" w:fill="auto"/>
            <w:vAlign w:val="center"/>
            <w:hideMark/>
          </w:tcPr>
          <w:p w14:paraId="46B392AC"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v tom</w:t>
            </w:r>
          </w:p>
        </w:tc>
        <w:tc>
          <w:tcPr>
            <w:tcW w:w="1516" w:type="pct"/>
            <w:tcBorders>
              <w:top w:val="nil"/>
              <w:left w:val="nil"/>
              <w:bottom w:val="single" w:sz="4" w:space="0" w:color="auto"/>
              <w:right w:val="single" w:sz="4" w:space="0" w:color="auto"/>
            </w:tcBorders>
            <w:shd w:val="clear" w:color="auto" w:fill="auto"/>
            <w:vAlign w:val="center"/>
            <w:hideMark/>
          </w:tcPr>
          <w:p w14:paraId="720EA048"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bydlící samostatně</w:t>
            </w:r>
          </w:p>
        </w:tc>
        <w:tc>
          <w:tcPr>
            <w:tcW w:w="559" w:type="pct"/>
            <w:tcBorders>
              <w:top w:val="nil"/>
              <w:left w:val="nil"/>
              <w:bottom w:val="single" w:sz="4" w:space="0" w:color="auto"/>
              <w:right w:val="single" w:sz="4" w:space="0" w:color="auto"/>
            </w:tcBorders>
            <w:shd w:val="clear" w:color="auto" w:fill="auto"/>
            <w:vAlign w:val="center"/>
            <w:hideMark/>
          </w:tcPr>
          <w:p w14:paraId="3627D528"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10 039</w:t>
            </w:r>
          </w:p>
        </w:tc>
        <w:tc>
          <w:tcPr>
            <w:tcW w:w="444" w:type="pct"/>
            <w:tcBorders>
              <w:top w:val="nil"/>
              <w:left w:val="nil"/>
              <w:bottom w:val="single" w:sz="4" w:space="0" w:color="auto"/>
              <w:right w:val="single" w:sz="4" w:space="0" w:color="auto"/>
            </w:tcBorders>
            <w:shd w:val="clear" w:color="auto" w:fill="auto"/>
            <w:vAlign w:val="center"/>
            <w:hideMark/>
          </w:tcPr>
          <w:p w14:paraId="312921B2"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10 039</w:t>
            </w:r>
          </w:p>
        </w:tc>
        <w:tc>
          <w:tcPr>
            <w:tcW w:w="444" w:type="pct"/>
            <w:tcBorders>
              <w:top w:val="nil"/>
              <w:left w:val="nil"/>
              <w:bottom w:val="single" w:sz="4" w:space="0" w:color="auto"/>
              <w:right w:val="single" w:sz="4" w:space="0" w:color="auto"/>
            </w:tcBorders>
            <w:shd w:val="clear" w:color="auto" w:fill="auto"/>
            <w:vAlign w:val="center"/>
            <w:hideMark/>
          </w:tcPr>
          <w:p w14:paraId="11FE6C0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68840603"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2BE79262"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2" w:type="pct"/>
            <w:tcBorders>
              <w:top w:val="nil"/>
              <w:left w:val="nil"/>
              <w:bottom w:val="single" w:sz="4" w:space="0" w:color="auto"/>
              <w:right w:val="single" w:sz="4" w:space="0" w:color="auto"/>
            </w:tcBorders>
            <w:shd w:val="clear" w:color="auto" w:fill="auto"/>
            <w:vAlign w:val="center"/>
            <w:hideMark/>
          </w:tcPr>
          <w:p w14:paraId="6DE785A7"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r>
      <w:tr w:rsidR="00047BE4" w:rsidRPr="004F4C79" w14:paraId="177CD9A7" w14:textId="77777777" w:rsidTr="00047BE4">
        <w:trPr>
          <w:trHeight w:val="255"/>
        </w:trPr>
        <w:tc>
          <w:tcPr>
            <w:tcW w:w="706" w:type="pct"/>
            <w:tcBorders>
              <w:top w:val="nil"/>
              <w:left w:val="single" w:sz="4" w:space="0" w:color="auto"/>
              <w:bottom w:val="single" w:sz="4" w:space="0" w:color="auto"/>
              <w:right w:val="single" w:sz="4" w:space="0" w:color="auto"/>
            </w:tcBorders>
            <w:shd w:val="clear" w:color="auto" w:fill="auto"/>
            <w:vAlign w:val="center"/>
            <w:hideMark/>
          </w:tcPr>
          <w:p w14:paraId="0C34A1DE"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 </w:t>
            </w:r>
          </w:p>
        </w:tc>
        <w:tc>
          <w:tcPr>
            <w:tcW w:w="1516" w:type="pct"/>
            <w:tcBorders>
              <w:top w:val="nil"/>
              <w:left w:val="nil"/>
              <w:bottom w:val="single" w:sz="4" w:space="0" w:color="auto"/>
              <w:right w:val="single" w:sz="4" w:space="0" w:color="auto"/>
            </w:tcBorders>
            <w:shd w:val="clear" w:color="auto" w:fill="auto"/>
            <w:vAlign w:val="center"/>
            <w:hideMark/>
          </w:tcPr>
          <w:p w14:paraId="5A327F3D"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spolubydlící s jinou</w:t>
            </w:r>
          </w:p>
        </w:tc>
        <w:tc>
          <w:tcPr>
            <w:tcW w:w="559" w:type="pct"/>
            <w:tcBorders>
              <w:top w:val="nil"/>
              <w:left w:val="nil"/>
              <w:bottom w:val="single" w:sz="4" w:space="0" w:color="auto"/>
              <w:right w:val="single" w:sz="4" w:space="0" w:color="auto"/>
            </w:tcBorders>
            <w:shd w:val="clear" w:color="auto" w:fill="auto"/>
            <w:vAlign w:val="center"/>
            <w:hideMark/>
          </w:tcPr>
          <w:p w14:paraId="5E482CD6"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1 112</w:t>
            </w:r>
          </w:p>
        </w:tc>
        <w:tc>
          <w:tcPr>
            <w:tcW w:w="444" w:type="pct"/>
            <w:tcBorders>
              <w:top w:val="nil"/>
              <w:left w:val="nil"/>
              <w:bottom w:val="single" w:sz="4" w:space="0" w:color="auto"/>
              <w:right w:val="single" w:sz="4" w:space="0" w:color="auto"/>
            </w:tcBorders>
            <w:shd w:val="clear" w:color="auto" w:fill="auto"/>
            <w:vAlign w:val="center"/>
            <w:hideMark/>
          </w:tcPr>
          <w:p w14:paraId="11ECFA3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1 112</w:t>
            </w:r>
          </w:p>
        </w:tc>
        <w:tc>
          <w:tcPr>
            <w:tcW w:w="444" w:type="pct"/>
            <w:tcBorders>
              <w:top w:val="nil"/>
              <w:left w:val="nil"/>
              <w:bottom w:val="single" w:sz="4" w:space="0" w:color="auto"/>
              <w:right w:val="single" w:sz="4" w:space="0" w:color="auto"/>
            </w:tcBorders>
            <w:shd w:val="clear" w:color="auto" w:fill="auto"/>
            <w:vAlign w:val="center"/>
            <w:hideMark/>
          </w:tcPr>
          <w:p w14:paraId="4B48D099"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437760A3"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55C32C00"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2" w:type="pct"/>
            <w:tcBorders>
              <w:top w:val="nil"/>
              <w:left w:val="nil"/>
              <w:bottom w:val="single" w:sz="4" w:space="0" w:color="auto"/>
              <w:right w:val="single" w:sz="4" w:space="0" w:color="auto"/>
            </w:tcBorders>
            <w:shd w:val="clear" w:color="auto" w:fill="auto"/>
            <w:vAlign w:val="center"/>
            <w:hideMark/>
          </w:tcPr>
          <w:p w14:paraId="3B7BCD39"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r>
      <w:tr w:rsidR="00047BE4" w:rsidRPr="004F4C79" w14:paraId="154D8BFD"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B69C42" w14:textId="77777777" w:rsidR="00047BE4" w:rsidRPr="004F4C79" w:rsidRDefault="00047BE4" w:rsidP="00047BE4">
            <w:pPr>
              <w:spacing w:before="0"/>
              <w:ind w:firstLineChars="100" w:firstLine="18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vícečlenné nerodinné domácnosti</w:t>
            </w:r>
          </w:p>
        </w:tc>
        <w:tc>
          <w:tcPr>
            <w:tcW w:w="559" w:type="pct"/>
            <w:tcBorders>
              <w:top w:val="nil"/>
              <w:left w:val="nil"/>
              <w:bottom w:val="single" w:sz="4" w:space="0" w:color="auto"/>
              <w:right w:val="single" w:sz="4" w:space="0" w:color="auto"/>
            </w:tcBorders>
            <w:shd w:val="clear" w:color="auto" w:fill="auto"/>
            <w:vAlign w:val="center"/>
            <w:hideMark/>
          </w:tcPr>
          <w:p w14:paraId="1795597C"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1 385</w:t>
            </w:r>
          </w:p>
        </w:tc>
        <w:tc>
          <w:tcPr>
            <w:tcW w:w="444" w:type="pct"/>
            <w:tcBorders>
              <w:top w:val="nil"/>
              <w:left w:val="nil"/>
              <w:bottom w:val="single" w:sz="4" w:space="0" w:color="auto"/>
              <w:right w:val="single" w:sz="4" w:space="0" w:color="auto"/>
            </w:tcBorders>
            <w:shd w:val="clear" w:color="auto" w:fill="auto"/>
            <w:vAlign w:val="center"/>
            <w:hideMark/>
          </w:tcPr>
          <w:p w14:paraId="5796A4CA"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493CC2C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1 060</w:t>
            </w:r>
          </w:p>
        </w:tc>
        <w:tc>
          <w:tcPr>
            <w:tcW w:w="444" w:type="pct"/>
            <w:tcBorders>
              <w:top w:val="nil"/>
              <w:left w:val="nil"/>
              <w:bottom w:val="single" w:sz="4" w:space="0" w:color="auto"/>
              <w:right w:val="single" w:sz="4" w:space="0" w:color="auto"/>
            </w:tcBorders>
            <w:shd w:val="clear" w:color="auto" w:fill="auto"/>
            <w:vAlign w:val="center"/>
            <w:hideMark/>
          </w:tcPr>
          <w:p w14:paraId="3B0A487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191</w:t>
            </w:r>
          </w:p>
        </w:tc>
        <w:tc>
          <w:tcPr>
            <w:tcW w:w="444" w:type="pct"/>
            <w:tcBorders>
              <w:top w:val="nil"/>
              <w:left w:val="nil"/>
              <w:bottom w:val="single" w:sz="4" w:space="0" w:color="auto"/>
              <w:right w:val="single" w:sz="4" w:space="0" w:color="auto"/>
            </w:tcBorders>
            <w:shd w:val="clear" w:color="auto" w:fill="auto"/>
            <w:vAlign w:val="center"/>
            <w:hideMark/>
          </w:tcPr>
          <w:p w14:paraId="148B62E3"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72</w:t>
            </w:r>
          </w:p>
        </w:tc>
        <w:tc>
          <w:tcPr>
            <w:tcW w:w="442" w:type="pct"/>
            <w:tcBorders>
              <w:top w:val="nil"/>
              <w:left w:val="nil"/>
              <w:bottom w:val="single" w:sz="4" w:space="0" w:color="auto"/>
              <w:right w:val="single" w:sz="4" w:space="0" w:color="auto"/>
            </w:tcBorders>
            <w:shd w:val="clear" w:color="auto" w:fill="auto"/>
            <w:vAlign w:val="center"/>
            <w:hideMark/>
          </w:tcPr>
          <w:p w14:paraId="425D6DE4"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62</w:t>
            </w:r>
          </w:p>
        </w:tc>
      </w:tr>
      <w:tr w:rsidR="00047BE4" w:rsidRPr="004F4C79" w14:paraId="60B53C8C"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B001950" w14:textId="77777777" w:rsidR="00047BE4" w:rsidRPr="004F4C79" w:rsidRDefault="00047BE4" w:rsidP="00047BE4">
            <w:pPr>
              <w:spacing w:before="0"/>
              <w:ind w:firstLineChars="100" w:firstLine="18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rodinné domácnosti</w:t>
            </w:r>
          </w:p>
        </w:tc>
        <w:tc>
          <w:tcPr>
            <w:tcW w:w="559" w:type="pct"/>
            <w:tcBorders>
              <w:top w:val="nil"/>
              <w:left w:val="nil"/>
              <w:bottom w:val="single" w:sz="4" w:space="0" w:color="auto"/>
              <w:right w:val="single" w:sz="4" w:space="0" w:color="auto"/>
            </w:tcBorders>
            <w:shd w:val="clear" w:color="auto" w:fill="auto"/>
            <w:vAlign w:val="center"/>
            <w:hideMark/>
          </w:tcPr>
          <w:p w14:paraId="2DD7F8F1"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20 467</w:t>
            </w:r>
          </w:p>
        </w:tc>
        <w:tc>
          <w:tcPr>
            <w:tcW w:w="444" w:type="pct"/>
            <w:tcBorders>
              <w:top w:val="nil"/>
              <w:left w:val="nil"/>
              <w:bottom w:val="single" w:sz="4" w:space="0" w:color="auto"/>
              <w:right w:val="single" w:sz="4" w:space="0" w:color="auto"/>
            </w:tcBorders>
            <w:shd w:val="clear" w:color="auto" w:fill="auto"/>
            <w:vAlign w:val="center"/>
            <w:hideMark/>
          </w:tcPr>
          <w:p w14:paraId="5175F816"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35BB493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9 166</w:t>
            </w:r>
          </w:p>
        </w:tc>
        <w:tc>
          <w:tcPr>
            <w:tcW w:w="444" w:type="pct"/>
            <w:tcBorders>
              <w:top w:val="nil"/>
              <w:left w:val="nil"/>
              <w:bottom w:val="single" w:sz="4" w:space="0" w:color="auto"/>
              <w:right w:val="single" w:sz="4" w:space="0" w:color="auto"/>
            </w:tcBorders>
            <w:shd w:val="clear" w:color="auto" w:fill="auto"/>
            <w:vAlign w:val="center"/>
            <w:hideMark/>
          </w:tcPr>
          <w:p w14:paraId="6CF4D264"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5 573</w:t>
            </w:r>
          </w:p>
        </w:tc>
        <w:tc>
          <w:tcPr>
            <w:tcW w:w="444" w:type="pct"/>
            <w:tcBorders>
              <w:top w:val="nil"/>
              <w:left w:val="nil"/>
              <w:bottom w:val="single" w:sz="4" w:space="0" w:color="auto"/>
              <w:right w:val="single" w:sz="4" w:space="0" w:color="auto"/>
            </w:tcBorders>
            <w:shd w:val="clear" w:color="auto" w:fill="auto"/>
            <w:vAlign w:val="center"/>
            <w:hideMark/>
          </w:tcPr>
          <w:p w14:paraId="0738397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4 480</w:t>
            </w:r>
          </w:p>
        </w:tc>
        <w:tc>
          <w:tcPr>
            <w:tcW w:w="442" w:type="pct"/>
            <w:tcBorders>
              <w:top w:val="nil"/>
              <w:left w:val="nil"/>
              <w:bottom w:val="single" w:sz="4" w:space="0" w:color="auto"/>
              <w:right w:val="single" w:sz="4" w:space="0" w:color="auto"/>
            </w:tcBorders>
            <w:shd w:val="clear" w:color="auto" w:fill="auto"/>
            <w:vAlign w:val="center"/>
            <w:hideMark/>
          </w:tcPr>
          <w:p w14:paraId="130277A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1 248</w:t>
            </w:r>
          </w:p>
        </w:tc>
      </w:tr>
      <w:tr w:rsidR="00047BE4" w:rsidRPr="004F4C79" w14:paraId="46C5EA18"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E0C2DE" w14:textId="77777777" w:rsidR="00047BE4" w:rsidRPr="004F4C79" w:rsidRDefault="00047BE4" w:rsidP="00047BE4">
            <w:pPr>
              <w:spacing w:before="0"/>
              <w:ind w:firstLineChars="200" w:firstLine="36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tvořené 1 rodinou</w:t>
            </w:r>
          </w:p>
        </w:tc>
        <w:tc>
          <w:tcPr>
            <w:tcW w:w="559" w:type="pct"/>
            <w:tcBorders>
              <w:top w:val="nil"/>
              <w:left w:val="nil"/>
              <w:bottom w:val="single" w:sz="4" w:space="0" w:color="auto"/>
              <w:right w:val="single" w:sz="4" w:space="0" w:color="auto"/>
            </w:tcBorders>
            <w:shd w:val="clear" w:color="auto" w:fill="auto"/>
            <w:vAlign w:val="center"/>
            <w:hideMark/>
          </w:tcPr>
          <w:p w14:paraId="00A089B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20 110</w:t>
            </w:r>
          </w:p>
        </w:tc>
        <w:tc>
          <w:tcPr>
            <w:tcW w:w="444" w:type="pct"/>
            <w:tcBorders>
              <w:top w:val="nil"/>
              <w:left w:val="nil"/>
              <w:bottom w:val="single" w:sz="4" w:space="0" w:color="auto"/>
              <w:right w:val="single" w:sz="4" w:space="0" w:color="auto"/>
            </w:tcBorders>
            <w:shd w:val="clear" w:color="auto" w:fill="auto"/>
            <w:vAlign w:val="center"/>
            <w:hideMark/>
          </w:tcPr>
          <w:p w14:paraId="29D07E90"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3E94138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9 166</w:t>
            </w:r>
          </w:p>
        </w:tc>
        <w:tc>
          <w:tcPr>
            <w:tcW w:w="444" w:type="pct"/>
            <w:tcBorders>
              <w:top w:val="nil"/>
              <w:left w:val="nil"/>
              <w:bottom w:val="single" w:sz="4" w:space="0" w:color="auto"/>
              <w:right w:val="single" w:sz="4" w:space="0" w:color="auto"/>
            </w:tcBorders>
            <w:shd w:val="clear" w:color="auto" w:fill="auto"/>
            <w:vAlign w:val="center"/>
            <w:hideMark/>
          </w:tcPr>
          <w:p w14:paraId="51BF319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5 573</w:t>
            </w:r>
          </w:p>
        </w:tc>
        <w:tc>
          <w:tcPr>
            <w:tcW w:w="444" w:type="pct"/>
            <w:tcBorders>
              <w:top w:val="nil"/>
              <w:left w:val="nil"/>
              <w:bottom w:val="single" w:sz="4" w:space="0" w:color="auto"/>
              <w:right w:val="single" w:sz="4" w:space="0" w:color="auto"/>
            </w:tcBorders>
            <w:shd w:val="clear" w:color="auto" w:fill="auto"/>
            <w:vAlign w:val="center"/>
            <w:hideMark/>
          </w:tcPr>
          <w:p w14:paraId="2EDE983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4 332</w:t>
            </w:r>
          </w:p>
        </w:tc>
        <w:tc>
          <w:tcPr>
            <w:tcW w:w="442" w:type="pct"/>
            <w:tcBorders>
              <w:top w:val="nil"/>
              <w:left w:val="nil"/>
              <w:bottom w:val="single" w:sz="4" w:space="0" w:color="auto"/>
              <w:right w:val="single" w:sz="4" w:space="0" w:color="auto"/>
            </w:tcBorders>
            <w:shd w:val="clear" w:color="auto" w:fill="auto"/>
            <w:vAlign w:val="center"/>
            <w:hideMark/>
          </w:tcPr>
          <w:p w14:paraId="2C835E50"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1 039</w:t>
            </w:r>
          </w:p>
        </w:tc>
      </w:tr>
      <w:tr w:rsidR="00047BE4" w:rsidRPr="004F4C79" w14:paraId="002B6A73"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1B27C0D" w14:textId="77777777" w:rsidR="00047BE4" w:rsidRPr="004F4C79" w:rsidRDefault="00047BE4" w:rsidP="00047BE4">
            <w:pPr>
              <w:spacing w:before="0"/>
              <w:ind w:firstLineChars="300" w:firstLine="54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úplné rodiny celkem</w:t>
            </w:r>
          </w:p>
        </w:tc>
        <w:tc>
          <w:tcPr>
            <w:tcW w:w="559" w:type="pct"/>
            <w:tcBorders>
              <w:top w:val="nil"/>
              <w:left w:val="nil"/>
              <w:bottom w:val="single" w:sz="4" w:space="0" w:color="auto"/>
              <w:right w:val="single" w:sz="4" w:space="0" w:color="auto"/>
            </w:tcBorders>
            <w:shd w:val="clear" w:color="auto" w:fill="auto"/>
            <w:vAlign w:val="center"/>
            <w:hideMark/>
          </w:tcPr>
          <w:p w14:paraId="274DD6B1"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15 760</w:t>
            </w:r>
          </w:p>
        </w:tc>
        <w:tc>
          <w:tcPr>
            <w:tcW w:w="444" w:type="pct"/>
            <w:tcBorders>
              <w:top w:val="nil"/>
              <w:left w:val="nil"/>
              <w:bottom w:val="single" w:sz="4" w:space="0" w:color="auto"/>
              <w:right w:val="single" w:sz="4" w:space="0" w:color="auto"/>
            </w:tcBorders>
            <w:shd w:val="clear" w:color="auto" w:fill="auto"/>
            <w:vAlign w:val="center"/>
            <w:hideMark/>
          </w:tcPr>
          <w:p w14:paraId="70320137"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49658EA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6 517</w:t>
            </w:r>
          </w:p>
        </w:tc>
        <w:tc>
          <w:tcPr>
            <w:tcW w:w="444" w:type="pct"/>
            <w:tcBorders>
              <w:top w:val="nil"/>
              <w:left w:val="nil"/>
              <w:bottom w:val="single" w:sz="4" w:space="0" w:color="auto"/>
              <w:right w:val="single" w:sz="4" w:space="0" w:color="auto"/>
            </w:tcBorders>
            <w:shd w:val="clear" w:color="auto" w:fill="auto"/>
            <w:vAlign w:val="center"/>
            <w:hideMark/>
          </w:tcPr>
          <w:p w14:paraId="581F2158"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4 254</w:t>
            </w:r>
          </w:p>
        </w:tc>
        <w:tc>
          <w:tcPr>
            <w:tcW w:w="444" w:type="pct"/>
            <w:tcBorders>
              <w:top w:val="nil"/>
              <w:left w:val="nil"/>
              <w:bottom w:val="single" w:sz="4" w:space="0" w:color="auto"/>
              <w:right w:val="single" w:sz="4" w:space="0" w:color="auto"/>
            </w:tcBorders>
            <w:shd w:val="clear" w:color="auto" w:fill="auto"/>
            <w:vAlign w:val="center"/>
            <w:hideMark/>
          </w:tcPr>
          <w:p w14:paraId="3D4F040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4 047</w:t>
            </w:r>
          </w:p>
        </w:tc>
        <w:tc>
          <w:tcPr>
            <w:tcW w:w="442" w:type="pct"/>
            <w:tcBorders>
              <w:top w:val="nil"/>
              <w:left w:val="nil"/>
              <w:bottom w:val="single" w:sz="4" w:space="0" w:color="auto"/>
              <w:right w:val="single" w:sz="4" w:space="0" w:color="auto"/>
            </w:tcBorders>
            <w:shd w:val="clear" w:color="auto" w:fill="auto"/>
            <w:vAlign w:val="center"/>
            <w:hideMark/>
          </w:tcPr>
          <w:p w14:paraId="1B5AA9A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942</w:t>
            </w:r>
          </w:p>
        </w:tc>
      </w:tr>
      <w:tr w:rsidR="00047BE4" w:rsidRPr="004F4C79" w14:paraId="6273592F" w14:textId="77777777" w:rsidTr="00047BE4">
        <w:trPr>
          <w:trHeight w:val="255"/>
        </w:trPr>
        <w:tc>
          <w:tcPr>
            <w:tcW w:w="706" w:type="pct"/>
            <w:vMerge w:val="restart"/>
            <w:tcBorders>
              <w:top w:val="nil"/>
              <w:left w:val="single" w:sz="4" w:space="0" w:color="auto"/>
              <w:bottom w:val="single" w:sz="4" w:space="0" w:color="auto"/>
              <w:right w:val="single" w:sz="4" w:space="0" w:color="auto"/>
            </w:tcBorders>
            <w:shd w:val="clear" w:color="auto" w:fill="auto"/>
            <w:vAlign w:val="center"/>
            <w:hideMark/>
          </w:tcPr>
          <w:p w14:paraId="1C9F7E25" w14:textId="77777777" w:rsidR="00047BE4" w:rsidRPr="004F4C79" w:rsidRDefault="00047BE4" w:rsidP="00047BE4">
            <w:pPr>
              <w:spacing w:before="0"/>
              <w:ind w:firstLineChars="300" w:firstLine="54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v tom</w:t>
            </w:r>
          </w:p>
        </w:tc>
        <w:tc>
          <w:tcPr>
            <w:tcW w:w="1516" w:type="pct"/>
            <w:tcBorders>
              <w:top w:val="nil"/>
              <w:left w:val="nil"/>
              <w:bottom w:val="single" w:sz="4" w:space="0" w:color="auto"/>
              <w:right w:val="single" w:sz="4" w:space="0" w:color="auto"/>
            </w:tcBorders>
            <w:shd w:val="clear" w:color="auto" w:fill="auto"/>
            <w:vAlign w:val="center"/>
            <w:hideMark/>
          </w:tcPr>
          <w:p w14:paraId="2DB7060B"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úplná rodina bez závislých dětí</w:t>
            </w:r>
          </w:p>
        </w:tc>
        <w:tc>
          <w:tcPr>
            <w:tcW w:w="559" w:type="pct"/>
            <w:tcBorders>
              <w:top w:val="nil"/>
              <w:left w:val="nil"/>
              <w:bottom w:val="single" w:sz="4" w:space="0" w:color="auto"/>
              <w:right w:val="single" w:sz="4" w:space="0" w:color="auto"/>
            </w:tcBorders>
            <w:shd w:val="clear" w:color="auto" w:fill="auto"/>
            <w:vAlign w:val="center"/>
            <w:hideMark/>
          </w:tcPr>
          <w:p w14:paraId="616FA97D"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9 499</w:t>
            </w:r>
          </w:p>
        </w:tc>
        <w:tc>
          <w:tcPr>
            <w:tcW w:w="444" w:type="pct"/>
            <w:tcBorders>
              <w:top w:val="nil"/>
              <w:left w:val="nil"/>
              <w:bottom w:val="single" w:sz="4" w:space="0" w:color="auto"/>
              <w:right w:val="single" w:sz="4" w:space="0" w:color="auto"/>
            </w:tcBorders>
            <w:shd w:val="clear" w:color="auto" w:fill="auto"/>
            <w:vAlign w:val="center"/>
            <w:hideMark/>
          </w:tcPr>
          <w:p w14:paraId="13C603EB"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2E910A3D"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6 517</w:t>
            </w:r>
          </w:p>
        </w:tc>
        <w:tc>
          <w:tcPr>
            <w:tcW w:w="444" w:type="pct"/>
            <w:tcBorders>
              <w:top w:val="nil"/>
              <w:left w:val="nil"/>
              <w:bottom w:val="single" w:sz="4" w:space="0" w:color="auto"/>
              <w:right w:val="single" w:sz="4" w:space="0" w:color="auto"/>
            </w:tcBorders>
            <w:shd w:val="clear" w:color="auto" w:fill="auto"/>
            <w:vAlign w:val="center"/>
            <w:hideMark/>
          </w:tcPr>
          <w:p w14:paraId="0D42A506"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2 131</w:t>
            </w:r>
          </w:p>
        </w:tc>
        <w:tc>
          <w:tcPr>
            <w:tcW w:w="444" w:type="pct"/>
            <w:tcBorders>
              <w:top w:val="nil"/>
              <w:left w:val="nil"/>
              <w:bottom w:val="single" w:sz="4" w:space="0" w:color="auto"/>
              <w:right w:val="single" w:sz="4" w:space="0" w:color="auto"/>
            </w:tcBorders>
            <w:shd w:val="clear" w:color="auto" w:fill="auto"/>
            <w:vAlign w:val="center"/>
            <w:hideMark/>
          </w:tcPr>
          <w:p w14:paraId="50C18902"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683</w:t>
            </w:r>
          </w:p>
        </w:tc>
        <w:tc>
          <w:tcPr>
            <w:tcW w:w="442" w:type="pct"/>
            <w:tcBorders>
              <w:top w:val="nil"/>
              <w:left w:val="nil"/>
              <w:bottom w:val="single" w:sz="4" w:space="0" w:color="auto"/>
              <w:right w:val="single" w:sz="4" w:space="0" w:color="auto"/>
            </w:tcBorders>
            <w:shd w:val="clear" w:color="auto" w:fill="auto"/>
            <w:vAlign w:val="center"/>
            <w:hideMark/>
          </w:tcPr>
          <w:p w14:paraId="2BB1E38D"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168</w:t>
            </w:r>
          </w:p>
        </w:tc>
      </w:tr>
      <w:tr w:rsidR="00047BE4" w:rsidRPr="004F4C79" w14:paraId="48F0F8AD" w14:textId="77777777" w:rsidTr="00047BE4">
        <w:trPr>
          <w:trHeight w:val="255"/>
        </w:trPr>
        <w:tc>
          <w:tcPr>
            <w:tcW w:w="706" w:type="pct"/>
            <w:vMerge/>
            <w:tcBorders>
              <w:top w:val="nil"/>
              <w:left w:val="single" w:sz="4" w:space="0" w:color="auto"/>
              <w:bottom w:val="single" w:sz="4" w:space="0" w:color="auto"/>
              <w:right w:val="single" w:sz="4" w:space="0" w:color="auto"/>
            </w:tcBorders>
            <w:vAlign w:val="center"/>
            <w:hideMark/>
          </w:tcPr>
          <w:p w14:paraId="7E314C6B" w14:textId="77777777" w:rsidR="00047BE4" w:rsidRPr="004F4C79" w:rsidRDefault="00047BE4" w:rsidP="00047BE4">
            <w:pPr>
              <w:spacing w:before="0"/>
              <w:jc w:val="left"/>
              <w:rPr>
                <w:rFonts w:ascii="Calibri" w:eastAsia="Times New Roman" w:hAnsi="Calibri" w:cs="Calibri"/>
                <w:color w:val="000000"/>
                <w:sz w:val="18"/>
                <w:szCs w:val="18"/>
                <w:lang w:eastAsia="cs-CZ"/>
              </w:rPr>
            </w:pPr>
          </w:p>
        </w:tc>
        <w:tc>
          <w:tcPr>
            <w:tcW w:w="1516" w:type="pct"/>
            <w:tcBorders>
              <w:top w:val="nil"/>
              <w:left w:val="nil"/>
              <w:bottom w:val="single" w:sz="4" w:space="0" w:color="auto"/>
              <w:right w:val="single" w:sz="4" w:space="0" w:color="auto"/>
            </w:tcBorders>
            <w:shd w:val="clear" w:color="auto" w:fill="auto"/>
            <w:vAlign w:val="center"/>
            <w:hideMark/>
          </w:tcPr>
          <w:p w14:paraId="444D97BC"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úplná rodina se závislými dětmi</w:t>
            </w:r>
          </w:p>
        </w:tc>
        <w:tc>
          <w:tcPr>
            <w:tcW w:w="559" w:type="pct"/>
            <w:tcBorders>
              <w:top w:val="nil"/>
              <w:left w:val="nil"/>
              <w:bottom w:val="single" w:sz="4" w:space="0" w:color="auto"/>
              <w:right w:val="single" w:sz="4" w:space="0" w:color="auto"/>
            </w:tcBorders>
            <w:shd w:val="clear" w:color="auto" w:fill="auto"/>
            <w:vAlign w:val="center"/>
            <w:hideMark/>
          </w:tcPr>
          <w:p w14:paraId="6FC2F2A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6 261</w:t>
            </w:r>
          </w:p>
        </w:tc>
        <w:tc>
          <w:tcPr>
            <w:tcW w:w="444" w:type="pct"/>
            <w:tcBorders>
              <w:top w:val="nil"/>
              <w:left w:val="nil"/>
              <w:bottom w:val="single" w:sz="4" w:space="0" w:color="auto"/>
              <w:right w:val="single" w:sz="4" w:space="0" w:color="auto"/>
            </w:tcBorders>
            <w:shd w:val="clear" w:color="auto" w:fill="auto"/>
            <w:vAlign w:val="center"/>
            <w:hideMark/>
          </w:tcPr>
          <w:p w14:paraId="24E46F20"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6A87F2C4"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7C7948BA"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2 123</w:t>
            </w:r>
          </w:p>
        </w:tc>
        <w:tc>
          <w:tcPr>
            <w:tcW w:w="444" w:type="pct"/>
            <w:tcBorders>
              <w:top w:val="nil"/>
              <w:left w:val="nil"/>
              <w:bottom w:val="single" w:sz="4" w:space="0" w:color="auto"/>
              <w:right w:val="single" w:sz="4" w:space="0" w:color="auto"/>
            </w:tcBorders>
            <w:shd w:val="clear" w:color="auto" w:fill="auto"/>
            <w:vAlign w:val="center"/>
            <w:hideMark/>
          </w:tcPr>
          <w:p w14:paraId="53E80D9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3 364</w:t>
            </w:r>
          </w:p>
        </w:tc>
        <w:tc>
          <w:tcPr>
            <w:tcW w:w="442" w:type="pct"/>
            <w:tcBorders>
              <w:top w:val="nil"/>
              <w:left w:val="nil"/>
              <w:bottom w:val="single" w:sz="4" w:space="0" w:color="auto"/>
              <w:right w:val="single" w:sz="4" w:space="0" w:color="auto"/>
            </w:tcBorders>
            <w:shd w:val="clear" w:color="auto" w:fill="auto"/>
            <w:vAlign w:val="center"/>
            <w:hideMark/>
          </w:tcPr>
          <w:p w14:paraId="085F3E98"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774</w:t>
            </w:r>
          </w:p>
        </w:tc>
      </w:tr>
      <w:tr w:rsidR="00047BE4" w:rsidRPr="004F4C79" w14:paraId="49E12F5F"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80EC2C" w14:textId="77777777" w:rsidR="00047BE4" w:rsidRPr="004F4C79" w:rsidRDefault="00047BE4" w:rsidP="00047BE4">
            <w:pPr>
              <w:spacing w:before="0"/>
              <w:ind w:firstLineChars="300" w:firstLine="54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neúplné rodiny celkem</w:t>
            </w:r>
          </w:p>
        </w:tc>
        <w:tc>
          <w:tcPr>
            <w:tcW w:w="559" w:type="pct"/>
            <w:tcBorders>
              <w:top w:val="nil"/>
              <w:left w:val="nil"/>
              <w:bottom w:val="single" w:sz="4" w:space="0" w:color="auto"/>
              <w:right w:val="single" w:sz="4" w:space="0" w:color="auto"/>
            </w:tcBorders>
            <w:shd w:val="clear" w:color="auto" w:fill="auto"/>
            <w:vAlign w:val="center"/>
            <w:hideMark/>
          </w:tcPr>
          <w:p w14:paraId="6FF14054"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4 350</w:t>
            </w:r>
          </w:p>
        </w:tc>
        <w:tc>
          <w:tcPr>
            <w:tcW w:w="444" w:type="pct"/>
            <w:tcBorders>
              <w:top w:val="nil"/>
              <w:left w:val="nil"/>
              <w:bottom w:val="single" w:sz="4" w:space="0" w:color="auto"/>
              <w:right w:val="single" w:sz="4" w:space="0" w:color="auto"/>
            </w:tcBorders>
            <w:shd w:val="clear" w:color="auto" w:fill="auto"/>
            <w:vAlign w:val="center"/>
            <w:hideMark/>
          </w:tcPr>
          <w:p w14:paraId="153DC962"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7E63799B"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2 649</w:t>
            </w:r>
          </w:p>
        </w:tc>
        <w:tc>
          <w:tcPr>
            <w:tcW w:w="444" w:type="pct"/>
            <w:tcBorders>
              <w:top w:val="nil"/>
              <w:left w:val="nil"/>
              <w:bottom w:val="single" w:sz="4" w:space="0" w:color="auto"/>
              <w:right w:val="single" w:sz="4" w:space="0" w:color="auto"/>
            </w:tcBorders>
            <w:shd w:val="clear" w:color="auto" w:fill="auto"/>
            <w:vAlign w:val="center"/>
            <w:hideMark/>
          </w:tcPr>
          <w:p w14:paraId="493D3AAD"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1 319</w:t>
            </w:r>
          </w:p>
        </w:tc>
        <w:tc>
          <w:tcPr>
            <w:tcW w:w="444" w:type="pct"/>
            <w:tcBorders>
              <w:top w:val="nil"/>
              <w:left w:val="nil"/>
              <w:bottom w:val="single" w:sz="4" w:space="0" w:color="auto"/>
              <w:right w:val="single" w:sz="4" w:space="0" w:color="auto"/>
            </w:tcBorders>
            <w:shd w:val="clear" w:color="auto" w:fill="auto"/>
            <w:vAlign w:val="center"/>
            <w:hideMark/>
          </w:tcPr>
          <w:p w14:paraId="4D00D2F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285</w:t>
            </w:r>
          </w:p>
        </w:tc>
        <w:tc>
          <w:tcPr>
            <w:tcW w:w="442" w:type="pct"/>
            <w:tcBorders>
              <w:top w:val="nil"/>
              <w:left w:val="nil"/>
              <w:bottom w:val="single" w:sz="4" w:space="0" w:color="auto"/>
              <w:right w:val="single" w:sz="4" w:space="0" w:color="auto"/>
            </w:tcBorders>
            <w:shd w:val="clear" w:color="auto" w:fill="auto"/>
            <w:vAlign w:val="center"/>
            <w:hideMark/>
          </w:tcPr>
          <w:p w14:paraId="33AB3370"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97</w:t>
            </w:r>
          </w:p>
        </w:tc>
      </w:tr>
      <w:tr w:rsidR="00047BE4" w:rsidRPr="004F4C79" w14:paraId="5BC2D06A" w14:textId="77777777" w:rsidTr="00047BE4">
        <w:trPr>
          <w:trHeight w:val="255"/>
        </w:trPr>
        <w:tc>
          <w:tcPr>
            <w:tcW w:w="706" w:type="pct"/>
            <w:vMerge w:val="restart"/>
            <w:tcBorders>
              <w:top w:val="nil"/>
              <w:left w:val="single" w:sz="4" w:space="0" w:color="auto"/>
              <w:bottom w:val="single" w:sz="4" w:space="0" w:color="auto"/>
              <w:right w:val="single" w:sz="4" w:space="0" w:color="auto"/>
            </w:tcBorders>
            <w:shd w:val="clear" w:color="auto" w:fill="auto"/>
            <w:vAlign w:val="center"/>
            <w:hideMark/>
          </w:tcPr>
          <w:p w14:paraId="5EE327A0" w14:textId="77777777" w:rsidR="00047BE4" w:rsidRPr="004F4C79" w:rsidRDefault="00047BE4" w:rsidP="00047BE4">
            <w:pPr>
              <w:spacing w:before="0"/>
              <w:ind w:firstLineChars="300" w:firstLine="54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v tom</w:t>
            </w:r>
          </w:p>
        </w:tc>
        <w:tc>
          <w:tcPr>
            <w:tcW w:w="1516" w:type="pct"/>
            <w:tcBorders>
              <w:top w:val="nil"/>
              <w:left w:val="nil"/>
              <w:bottom w:val="single" w:sz="4" w:space="0" w:color="auto"/>
              <w:right w:val="single" w:sz="4" w:space="0" w:color="auto"/>
            </w:tcBorders>
            <w:shd w:val="clear" w:color="auto" w:fill="auto"/>
            <w:vAlign w:val="center"/>
            <w:hideMark/>
          </w:tcPr>
          <w:p w14:paraId="4B741657"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neúplná rodina v čele muž</w:t>
            </w:r>
          </w:p>
        </w:tc>
        <w:tc>
          <w:tcPr>
            <w:tcW w:w="559" w:type="pct"/>
            <w:tcBorders>
              <w:top w:val="nil"/>
              <w:left w:val="nil"/>
              <w:bottom w:val="single" w:sz="4" w:space="0" w:color="auto"/>
              <w:right w:val="single" w:sz="4" w:space="0" w:color="auto"/>
            </w:tcBorders>
            <w:shd w:val="clear" w:color="auto" w:fill="auto"/>
            <w:vAlign w:val="center"/>
            <w:hideMark/>
          </w:tcPr>
          <w:p w14:paraId="3F89F30E"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674</w:t>
            </w:r>
          </w:p>
        </w:tc>
        <w:tc>
          <w:tcPr>
            <w:tcW w:w="444" w:type="pct"/>
            <w:tcBorders>
              <w:top w:val="nil"/>
              <w:left w:val="nil"/>
              <w:bottom w:val="single" w:sz="4" w:space="0" w:color="auto"/>
              <w:right w:val="single" w:sz="4" w:space="0" w:color="auto"/>
            </w:tcBorders>
            <w:shd w:val="clear" w:color="auto" w:fill="auto"/>
            <w:vAlign w:val="center"/>
            <w:hideMark/>
          </w:tcPr>
          <w:p w14:paraId="2A3E25B2"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2D38EDB0"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400</w:t>
            </w:r>
          </w:p>
        </w:tc>
        <w:tc>
          <w:tcPr>
            <w:tcW w:w="444" w:type="pct"/>
            <w:tcBorders>
              <w:top w:val="nil"/>
              <w:left w:val="nil"/>
              <w:bottom w:val="single" w:sz="4" w:space="0" w:color="auto"/>
              <w:right w:val="single" w:sz="4" w:space="0" w:color="auto"/>
            </w:tcBorders>
            <w:shd w:val="clear" w:color="auto" w:fill="auto"/>
            <w:vAlign w:val="center"/>
            <w:hideMark/>
          </w:tcPr>
          <w:p w14:paraId="7C035279"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198</w:t>
            </w:r>
          </w:p>
        </w:tc>
        <w:tc>
          <w:tcPr>
            <w:tcW w:w="444" w:type="pct"/>
            <w:tcBorders>
              <w:top w:val="nil"/>
              <w:left w:val="nil"/>
              <w:bottom w:val="single" w:sz="4" w:space="0" w:color="auto"/>
              <w:right w:val="single" w:sz="4" w:space="0" w:color="auto"/>
            </w:tcBorders>
            <w:shd w:val="clear" w:color="auto" w:fill="auto"/>
            <w:vAlign w:val="center"/>
            <w:hideMark/>
          </w:tcPr>
          <w:p w14:paraId="267FEE7C"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59</w:t>
            </w:r>
          </w:p>
        </w:tc>
        <w:tc>
          <w:tcPr>
            <w:tcW w:w="442" w:type="pct"/>
            <w:tcBorders>
              <w:top w:val="nil"/>
              <w:left w:val="nil"/>
              <w:bottom w:val="single" w:sz="4" w:space="0" w:color="auto"/>
              <w:right w:val="single" w:sz="4" w:space="0" w:color="auto"/>
            </w:tcBorders>
            <w:shd w:val="clear" w:color="auto" w:fill="auto"/>
            <w:vAlign w:val="center"/>
            <w:hideMark/>
          </w:tcPr>
          <w:p w14:paraId="14ECCEB6"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17</w:t>
            </w:r>
          </w:p>
        </w:tc>
      </w:tr>
      <w:tr w:rsidR="00047BE4" w:rsidRPr="004F4C79" w14:paraId="2779BB20" w14:textId="77777777" w:rsidTr="00047BE4">
        <w:trPr>
          <w:trHeight w:val="255"/>
        </w:trPr>
        <w:tc>
          <w:tcPr>
            <w:tcW w:w="706" w:type="pct"/>
            <w:vMerge/>
            <w:tcBorders>
              <w:top w:val="nil"/>
              <w:left w:val="single" w:sz="4" w:space="0" w:color="auto"/>
              <w:bottom w:val="single" w:sz="4" w:space="0" w:color="auto"/>
              <w:right w:val="single" w:sz="4" w:space="0" w:color="auto"/>
            </w:tcBorders>
            <w:vAlign w:val="center"/>
            <w:hideMark/>
          </w:tcPr>
          <w:p w14:paraId="5BC26A77" w14:textId="77777777" w:rsidR="00047BE4" w:rsidRPr="004F4C79" w:rsidRDefault="00047BE4" w:rsidP="00047BE4">
            <w:pPr>
              <w:spacing w:before="0"/>
              <w:jc w:val="left"/>
              <w:rPr>
                <w:rFonts w:ascii="Calibri" w:eastAsia="Times New Roman" w:hAnsi="Calibri" w:cs="Calibri"/>
                <w:color w:val="000000"/>
                <w:sz w:val="18"/>
                <w:szCs w:val="18"/>
                <w:lang w:eastAsia="cs-CZ"/>
              </w:rPr>
            </w:pPr>
          </w:p>
        </w:tc>
        <w:tc>
          <w:tcPr>
            <w:tcW w:w="1516" w:type="pct"/>
            <w:tcBorders>
              <w:top w:val="nil"/>
              <w:left w:val="nil"/>
              <w:bottom w:val="single" w:sz="4" w:space="0" w:color="auto"/>
              <w:right w:val="single" w:sz="4" w:space="0" w:color="auto"/>
            </w:tcBorders>
            <w:shd w:val="clear" w:color="auto" w:fill="auto"/>
            <w:vAlign w:val="center"/>
            <w:hideMark/>
          </w:tcPr>
          <w:p w14:paraId="4C7B5004"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neúplná rodina v čele žena</w:t>
            </w:r>
          </w:p>
        </w:tc>
        <w:tc>
          <w:tcPr>
            <w:tcW w:w="559" w:type="pct"/>
            <w:tcBorders>
              <w:top w:val="nil"/>
              <w:left w:val="nil"/>
              <w:bottom w:val="single" w:sz="4" w:space="0" w:color="auto"/>
              <w:right w:val="single" w:sz="4" w:space="0" w:color="auto"/>
            </w:tcBorders>
            <w:shd w:val="clear" w:color="auto" w:fill="auto"/>
            <w:vAlign w:val="center"/>
            <w:hideMark/>
          </w:tcPr>
          <w:p w14:paraId="31B97BCD"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3 676</w:t>
            </w:r>
          </w:p>
        </w:tc>
        <w:tc>
          <w:tcPr>
            <w:tcW w:w="444" w:type="pct"/>
            <w:tcBorders>
              <w:top w:val="nil"/>
              <w:left w:val="nil"/>
              <w:bottom w:val="single" w:sz="4" w:space="0" w:color="auto"/>
              <w:right w:val="single" w:sz="4" w:space="0" w:color="auto"/>
            </w:tcBorders>
            <w:shd w:val="clear" w:color="auto" w:fill="auto"/>
            <w:vAlign w:val="center"/>
            <w:hideMark/>
          </w:tcPr>
          <w:p w14:paraId="33CF32DA"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2EDEA4B2"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2 249</w:t>
            </w:r>
          </w:p>
        </w:tc>
        <w:tc>
          <w:tcPr>
            <w:tcW w:w="444" w:type="pct"/>
            <w:tcBorders>
              <w:top w:val="nil"/>
              <w:left w:val="nil"/>
              <w:bottom w:val="single" w:sz="4" w:space="0" w:color="auto"/>
              <w:right w:val="single" w:sz="4" w:space="0" w:color="auto"/>
            </w:tcBorders>
            <w:shd w:val="clear" w:color="auto" w:fill="auto"/>
            <w:vAlign w:val="center"/>
            <w:hideMark/>
          </w:tcPr>
          <w:p w14:paraId="2E610FCA"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1 121</w:t>
            </w:r>
          </w:p>
        </w:tc>
        <w:tc>
          <w:tcPr>
            <w:tcW w:w="444" w:type="pct"/>
            <w:tcBorders>
              <w:top w:val="nil"/>
              <w:left w:val="nil"/>
              <w:bottom w:val="single" w:sz="4" w:space="0" w:color="auto"/>
              <w:right w:val="single" w:sz="4" w:space="0" w:color="auto"/>
            </w:tcBorders>
            <w:shd w:val="clear" w:color="auto" w:fill="auto"/>
            <w:vAlign w:val="center"/>
            <w:hideMark/>
          </w:tcPr>
          <w:p w14:paraId="5CA78B07"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226</w:t>
            </w:r>
          </w:p>
        </w:tc>
        <w:tc>
          <w:tcPr>
            <w:tcW w:w="442" w:type="pct"/>
            <w:tcBorders>
              <w:top w:val="nil"/>
              <w:left w:val="nil"/>
              <w:bottom w:val="single" w:sz="4" w:space="0" w:color="auto"/>
              <w:right w:val="single" w:sz="4" w:space="0" w:color="auto"/>
            </w:tcBorders>
            <w:shd w:val="clear" w:color="auto" w:fill="auto"/>
            <w:vAlign w:val="center"/>
            <w:hideMark/>
          </w:tcPr>
          <w:p w14:paraId="228D72CC"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80</w:t>
            </w:r>
          </w:p>
        </w:tc>
      </w:tr>
      <w:tr w:rsidR="00047BE4" w:rsidRPr="004F4C79" w14:paraId="5802AD5D" w14:textId="77777777" w:rsidTr="00047BE4">
        <w:trPr>
          <w:trHeight w:val="255"/>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40C8B40" w14:textId="77777777" w:rsidR="00047BE4" w:rsidRPr="004F4C79" w:rsidRDefault="00047BE4" w:rsidP="00047BE4">
            <w:pPr>
              <w:spacing w:before="0"/>
              <w:ind w:firstLineChars="200" w:firstLine="36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tvořené 2 a více rodinami</w:t>
            </w:r>
          </w:p>
        </w:tc>
        <w:tc>
          <w:tcPr>
            <w:tcW w:w="559" w:type="pct"/>
            <w:tcBorders>
              <w:top w:val="nil"/>
              <w:left w:val="nil"/>
              <w:bottom w:val="single" w:sz="4" w:space="0" w:color="auto"/>
              <w:right w:val="single" w:sz="4" w:space="0" w:color="auto"/>
            </w:tcBorders>
            <w:shd w:val="clear" w:color="auto" w:fill="auto"/>
            <w:vAlign w:val="center"/>
            <w:hideMark/>
          </w:tcPr>
          <w:p w14:paraId="7046DACF"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357</w:t>
            </w:r>
          </w:p>
        </w:tc>
        <w:tc>
          <w:tcPr>
            <w:tcW w:w="444" w:type="pct"/>
            <w:tcBorders>
              <w:top w:val="nil"/>
              <w:left w:val="nil"/>
              <w:bottom w:val="single" w:sz="4" w:space="0" w:color="auto"/>
              <w:right w:val="single" w:sz="4" w:space="0" w:color="auto"/>
            </w:tcBorders>
            <w:shd w:val="clear" w:color="auto" w:fill="auto"/>
            <w:vAlign w:val="center"/>
            <w:hideMark/>
          </w:tcPr>
          <w:p w14:paraId="694518C1"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1AD39123"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4173AA35" w14:textId="77777777" w:rsidR="00047BE4" w:rsidRPr="004F4C79" w:rsidRDefault="00047BE4" w:rsidP="00047BE4">
            <w:pPr>
              <w:spacing w:before="0"/>
              <w:jc w:val="lef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x</w:t>
            </w:r>
          </w:p>
        </w:tc>
        <w:tc>
          <w:tcPr>
            <w:tcW w:w="444" w:type="pct"/>
            <w:tcBorders>
              <w:top w:val="nil"/>
              <w:left w:val="nil"/>
              <w:bottom w:val="single" w:sz="4" w:space="0" w:color="auto"/>
              <w:right w:val="single" w:sz="4" w:space="0" w:color="auto"/>
            </w:tcBorders>
            <w:shd w:val="clear" w:color="auto" w:fill="auto"/>
            <w:vAlign w:val="center"/>
            <w:hideMark/>
          </w:tcPr>
          <w:p w14:paraId="0D557977"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148</w:t>
            </w:r>
          </w:p>
        </w:tc>
        <w:tc>
          <w:tcPr>
            <w:tcW w:w="442" w:type="pct"/>
            <w:tcBorders>
              <w:top w:val="nil"/>
              <w:left w:val="nil"/>
              <w:bottom w:val="single" w:sz="4" w:space="0" w:color="auto"/>
              <w:right w:val="single" w:sz="4" w:space="0" w:color="auto"/>
            </w:tcBorders>
            <w:shd w:val="clear" w:color="auto" w:fill="auto"/>
            <w:vAlign w:val="center"/>
            <w:hideMark/>
          </w:tcPr>
          <w:p w14:paraId="23218547" w14:textId="77777777" w:rsidR="00047BE4" w:rsidRPr="004F4C79" w:rsidRDefault="00047BE4" w:rsidP="00047BE4">
            <w:pPr>
              <w:spacing w:before="0"/>
              <w:jc w:val="right"/>
              <w:rPr>
                <w:rFonts w:ascii="Calibri" w:eastAsia="Times New Roman" w:hAnsi="Calibri" w:cs="Calibri"/>
                <w:color w:val="000000"/>
                <w:sz w:val="18"/>
                <w:szCs w:val="18"/>
                <w:lang w:eastAsia="cs-CZ"/>
              </w:rPr>
            </w:pPr>
            <w:r w:rsidRPr="004F4C79">
              <w:rPr>
                <w:rFonts w:ascii="Calibri" w:eastAsia="Times New Roman" w:hAnsi="Calibri" w:cs="Calibri"/>
                <w:color w:val="000000"/>
                <w:sz w:val="18"/>
                <w:szCs w:val="18"/>
                <w:lang w:eastAsia="cs-CZ"/>
              </w:rPr>
              <w:t>209</w:t>
            </w:r>
          </w:p>
        </w:tc>
      </w:tr>
    </w:tbl>
    <w:p w14:paraId="79C1A7F1" w14:textId="48D1D9AA" w:rsidR="00047BE4" w:rsidRDefault="00047BE4" w:rsidP="00047BE4">
      <w:pPr>
        <w:pStyle w:val="Zdroj"/>
      </w:pPr>
      <w:r>
        <w:t>Zdroj: ČSÚ, SLDB 2011</w:t>
      </w:r>
      <w:r w:rsidR="00B453CA">
        <w:t>.</w:t>
      </w:r>
    </w:p>
    <w:p w14:paraId="1554BC9E" w14:textId="77777777" w:rsidR="00047BE4" w:rsidRDefault="00047BE4" w:rsidP="00047BE4">
      <w:pPr>
        <w:rPr>
          <w:b/>
        </w:rPr>
      </w:pPr>
      <w:r w:rsidRPr="00C4456C">
        <w:rPr>
          <w:b/>
        </w:rPr>
        <w:t>Bytový fond v majetku města</w:t>
      </w:r>
    </w:p>
    <w:p w14:paraId="6ED4BACF" w14:textId="1397DE14" w:rsidR="00047BE4" w:rsidRDefault="00047BE4" w:rsidP="00047BE4">
      <w:r w:rsidRPr="001F5DFA">
        <w:t>Město Zlín je významným aktérem v oblasti nájemního bydlení</w:t>
      </w:r>
      <w:r>
        <w:t xml:space="preserve">. V současné době město spravuje 1 988 nájemních bytů, nemalý podíl z celkového počtu 7 629 nájemních bytů ve Zlíně. Problematice bydlení </w:t>
      </w:r>
      <w:r w:rsidRPr="003E7299">
        <w:t>a</w:t>
      </w:r>
      <w:r w:rsidR="00B453CA">
        <w:t> </w:t>
      </w:r>
      <w:r w:rsidRPr="003E7299">
        <w:t>strategii nakládání s bytovým fondem v majetku města se věnuje dokument „Koncepce bydlení na území statutárního města Zlína na období let 2020 – 2025</w:t>
      </w:r>
      <w:r>
        <w:rPr>
          <w:rStyle w:val="Znakapoznpodarou"/>
        </w:rPr>
        <w:footnoteReference w:id="10"/>
      </w:r>
      <w:r w:rsidRPr="003E7299">
        <w:t>“.</w:t>
      </w:r>
      <w:r>
        <w:rPr>
          <w:sz w:val="20"/>
          <w:szCs w:val="20"/>
        </w:rPr>
        <w:t xml:space="preserve"> </w:t>
      </w:r>
      <w:r>
        <w:t>V důsledku širokých politických a</w:t>
      </w:r>
      <w:r w:rsidR="00B453CA">
        <w:t> </w:t>
      </w:r>
      <w:r>
        <w:t xml:space="preserve">společenských změn po roce 1989 byla převedena řada majetků z vlastnictví státu do vlastnictví obcí. V roce 1992 tak do vlastnictví města Zlín bylo převedeno celkově 10 475, kde byly zastoupeny jak bytové domy s vysokým počtem bytových jednotek, tak i tzv. baťovské domky s jedním až čtyřmi byty. V následujících letech pak byly dlouhodobým nájemníkům odprodávány, především v kategorii baťovských domků. Proces privatizace bytového fondu vrcholil ve Zlíně koncem 90. let. Vývoj počtu bytů ve vlastnictví města od roku 2015 znázorňuje tabulka </w:t>
      </w:r>
      <w:r w:rsidR="004846A1">
        <w:t>1.12</w:t>
      </w:r>
      <w:r>
        <w:t>. Správu byt</w:t>
      </w:r>
      <w:r w:rsidR="00081B47">
        <w:t xml:space="preserve">ového fondu v majetku </w:t>
      </w:r>
      <w:r w:rsidR="00081B47" w:rsidRPr="002659A5">
        <w:t>města zajišťuje</w:t>
      </w:r>
      <w:r>
        <w:t xml:space="preserve"> Odbor majetkové správy Magistrátu města Zlín (MMZ).</w:t>
      </w:r>
    </w:p>
    <w:p w14:paraId="720F86FD" w14:textId="77E4A13E" w:rsidR="00047BE4" w:rsidRDefault="00047BE4" w:rsidP="00047BE4">
      <w:r>
        <w:t>Bytový fond ve vlastnictví města Zlína sestává z nemovitostí různého stáří, část sestává z nemovitostí postavených před rokem 1960. Základ bytového fondu města tvoří velkokapacitní bytové domy z 60. až 80. let 20. století. Nejnovější z domů v rámci bytového fondu města byl postaven v roce 2009 (ulice Masarykova, Zlín-Malenovice). Charakteristiku bytového fondu ve vlastnictví Zlína zobrazuje graf na obrázku</w:t>
      </w:r>
      <w:r w:rsidR="00BB66F4">
        <w:t xml:space="preserve"> 1.19</w:t>
      </w:r>
      <w:r>
        <w:t>.</w:t>
      </w:r>
    </w:p>
    <w:p w14:paraId="58BA9869" w14:textId="1549C055" w:rsidR="00047BE4" w:rsidRDefault="00047BE4" w:rsidP="00047BE4">
      <w:pPr>
        <w:pStyle w:val="Titulek"/>
        <w:keepNext/>
        <w:keepLines/>
      </w:pPr>
      <w:bookmarkStart w:id="94" w:name="_Toc49439862"/>
      <w:bookmarkStart w:id="95" w:name="_Toc53037908"/>
      <w:bookmarkStart w:id="96" w:name="_Toc77074837"/>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19</w:t>
      </w:r>
      <w:r w:rsidR="00804AF3">
        <w:rPr>
          <w:noProof/>
        </w:rPr>
        <w:fldChar w:fldCharType="end"/>
      </w:r>
      <w:r w:rsidR="00B453CA">
        <w:rPr>
          <w:noProof/>
        </w:rPr>
        <w:t>:</w:t>
      </w:r>
      <w:r>
        <w:t xml:space="preserve"> Stáří bytů v rámci bytového fondu v majetku města Zlín</w:t>
      </w:r>
      <w:bookmarkEnd w:id="94"/>
      <w:r>
        <w:t>a</w:t>
      </w:r>
      <w:bookmarkEnd w:id="95"/>
      <w:bookmarkEnd w:id="96"/>
    </w:p>
    <w:p w14:paraId="0975E1C5" w14:textId="77777777" w:rsidR="00047BE4" w:rsidRDefault="00047BE4" w:rsidP="00047BE4">
      <w:pPr>
        <w:pStyle w:val="Zdroj"/>
      </w:pPr>
      <w:r>
        <w:rPr>
          <w:noProof/>
        </w:rPr>
        <w:drawing>
          <wp:inline distT="0" distB="0" distL="0" distR="0" wp14:anchorId="533E7976" wp14:editId="1EC697B5">
            <wp:extent cx="5773420" cy="2170430"/>
            <wp:effectExtent l="0" t="0" r="0" b="1270"/>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3420" cy="2170430"/>
                    </a:xfrm>
                    <a:prstGeom prst="rect">
                      <a:avLst/>
                    </a:prstGeom>
                    <a:noFill/>
                  </pic:spPr>
                </pic:pic>
              </a:graphicData>
            </a:graphic>
          </wp:inline>
        </w:drawing>
      </w:r>
    </w:p>
    <w:p w14:paraId="0A62EC15" w14:textId="4C36ACE1" w:rsidR="00047BE4" w:rsidRDefault="00047BE4" w:rsidP="00047BE4">
      <w:pPr>
        <w:pStyle w:val="Zdroj"/>
      </w:pPr>
      <w:r>
        <w:t xml:space="preserve">Zdroj: MMZ (2020): Koncepce bydlení na území statutárního města Zlína na období 2020 </w:t>
      </w:r>
      <w:r w:rsidR="00B453CA">
        <w:t>–</w:t>
      </w:r>
      <w:r>
        <w:t xml:space="preserve"> 2025</w:t>
      </w:r>
      <w:r w:rsidR="00B453CA">
        <w:t>.</w:t>
      </w:r>
    </w:p>
    <w:p w14:paraId="100786DF" w14:textId="119730E1" w:rsidR="00047BE4" w:rsidRDefault="00047BE4" w:rsidP="00047BE4">
      <w:r>
        <w:t>Velikost bytového fondu ve vlastnictví města je v současnosti stabilizovaná. P</w:t>
      </w:r>
      <w:r w:rsidRPr="00130564">
        <w:t xml:space="preserve">robíhá </w:t>
      </w:r>
      <w:r>
        <w:t>prodej</w:t>
      </w:r>
      <w:r w:rsidRPr="00130564">
        <w:t xml:space="preserve"> posledních bytů, které městu zůstávají ve spoluvlastněných domech a </w:t>
      </w:r>
      <w:r>
        <w:t xml:space="preserve">baťovských </w:t>
      </w:r>
      <w:r w:rsidRPr="00130564">
        <w:t>dom</w:t>
      </w:r>
      <w:r>
        <w:t>cích</w:t>
      </w:r>
      <w:r w:rsidRPr="00130564">
        <w:t>, jejichž údržba je pro město finančně velmi náročná.</w:t>
      </w:r>
      <w:r>
        <w:t xml:space="preserve"> K prodeji je aktuálně určeno celkem 123 bytových jednotek: 4 domy v Podlesí IV o celkovém počtu 108 bytových jednotek, u nichž je důvodem k prodeji smlouva o smlouvě budoucí. Dále byt na </w:t>
      </w:r>
      <w:r w:rsidR="00B453CA">
        <w:t>t</w:t>
      </w:r>
      <w:r>
        <w:t>ř. T. Bati a byt na Dukelské, u kterých se jedná o poslední byt v majetku města, jeden čtyřd</w:t>
      </w:r>
      <w:r w:rsidR="00672892">
        <w:t>omek a následně jsou prodávány b</w:t>
      </w:r>
      <w:r>
        <w:t xml:space="preserve">aťovské domky (celkem 12 bytů). Další větší odprodeje nejsou plánovány, naopak město zamýšlí omladit bytový fond o novou výstavbu. </w:t>
      </w:r>
      <w:r>
        <w:rPr>
          <w:rFonts w:ascii="Calibri" w:eastAsia="Times New Roman" w:hAnsi="Calibri" w:cs="Calibri"/>
          <w:color w:val="000000"/>
          <w:lang w:eastAsia="cs-CZ"/>
        </w:rPr>
        <w:t xml:space="preserve">Město plánuje dále rozšířit bytový fond výstavbou družstevních bytů určených pro mladé rodiny střední příjmové kategorie, pro tyto účely se realizuje projekt „Družstevní bydlení Zlín“. </w:t>
      </w:r>
    </w:p>
    <w:p w14:paraId="0BCDD70E" w14:textId="3729F9B6" w:rsidR="00047BE4" w:rsidRDefault="00047BE4" w:rsidP="00047BE4">
      <w:pPr>
        <w:pStyle w:val="Titulek"/>
      </w:pPr>
      <w:bookmarkStart w:id="97" w:name="_Toc49439853"/>
      <w:bookmarkStart w:id="98" w:name="_Toc53037872"/>
      <w:bookmarkStart w:id="99" w:name="_Toc7707469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12</w:t>
      </w:r>
      <w:r w:rsidR="00081B47">
        <w:rPr>
          <w:noProof/>
        </w:rPr>
        <w:fldChar w:fldCharType="end"/>
      </w:r>
      <w:r w:rsidR="00DF6936">
        <w:rPr>
          <w:noProof/>
        </w:rPr>
        <w:t>:</w:t>
      </w:r>
      <w:r>
        <w:t xml:space="preserve"> Vývoj počtu bytů v bytovém fondu města Zlína od r</w:t>
      </w:r>
      <w:r w:rsidR="00B453CA">
        <w:t>.</w:t>
      </w:r>
      <w:r>
        <w:t xml:space="preserve"> 2015</w:t>
      </w:r>
      <w:bookmarkEnd w:id="97"/>
      <w:bookmarkEnd w:id="98"/>
      <w:bookmarkEnd w:id="99"/>
    </w:p>
    <w:tbl>
      <w:tblPr>
        <w:tblpPr w:leftFromText="141" w:rightFromText="141" w:vertAnchor="text" w:tblpY="1"/>
        <w:tblOverlap w:val="never"/>
        <w:tblW w:w="0" w:type="auto"/>
        <w:tblCellMar>
          <w:left w:w="70" w:type="dxa"/>
          <w:right w:w="70" w:type="dxa"/>
        </w:tblCellMar>
        <w:tblLook w:val="04A0" w:firstRow="1" w:lastRow="0" w:firstColumn="1" w:lastColumn="0" w:noHBand="0" w:noVBand="1"/>
      </w:tblPr>
      <w:tblGrid>
        <w:gridCol w:w="1134"/>
        <w:gridCol w:w="2758"/>
        <w:gridCol w:w="1490"/>
      </w:tblGrid>
      <w:tr w:rsidR="00047BE4" w:rsidRPr="00E56F88" w14:paraId="3D5AEA85" w14:textId="77777777" w:rsidTr="00047BE4">
        <w:trPr>
          <w:trHeight w:val="255"/>
        </w:trPr>
        <w:tc>
          <w:tcPr>
            <w:tcW w:w="1134"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2BFF6D8"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Rok</w:t>
            </w:r>
          </w:p>
        </w:tc>
        <w:tc>
          <w:tcPr>
            <w:tcW w:w="0" w:type="auto"/>
            <w:tcBorders>
              <w:top w:val="single" w:sz="4" w:space="0" w:color="auto"/>
              <w:left w:val="nil"/>
              <w:bottom w:val="single" w:sz="4" w:space="0" w:color="auto"/>
              <w:right w:val="single" w:sz="4" w:space="0" w:color="auto"/>
            </w:tcBorders>
            <w:shd w:val="clear" w:color="000000" w:fill="F2F2F2"/>
            <w:noWrap/>
            <w:vAlign w:val="center"/>
            <w:hideMark/>
          </w:tcPr>
          <w:p w14:paraId="496DB69A"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Počet bytů v bytovém fondu města</w:t>
            </w:r>
          </w:p>
        </w:tc>
        <w:tc>
          <w:tcPr>
            <w:tcW w:w="1490" w:type="dxa"/>
            <w:tcBorders>
              <w:top w:val="single" w:sz="4" w:space="0" w:color="auto"/>
              <w:left w:val="nil"/>
              <w:bottom w:val="single" w:sz="4" w:space="0" w:color="auto"/>
              <w:right w:val="single" w:sz="4" w:space="0" w:color="auto"/>
            </w:tcBorders>
            <w:shd w:val="clear" w:color="000000" w:fill="F2F2F2"/>
            <w:noWrap/>
            <w:vAlign w:val="center"/>
            <w:hideMark/>
          </w:tcPr>
          <w:p w14:paraId="11030EC9"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Rozdíl</w:t>
            </w:r>
            <w:r>
              <w:rPr>
                <w:rFonts w:ascii="Calibri" w:eastAsia="Times New Roman" w:hAnsi="Calibri" w:cs="Calibri"/>
                <w:b/>
                <w:bCs/>
                <w:color w:val="000000"/>
                <w:sz w:val="18"/>
                <w:szCs w:val="18"/>
                <w:lang w:eastAsia="cs-CZ"/>
              </w:rPr>
              <w:t xml:space="preserve"> mezi roky</w:t>
            </w:r>
          </w:p>
        </w:tc>
      </w:tr>
      <w:tr w:rsidR="00047BE4" w:rsidRPr="00E56F88" w14:paraId="356DEE58" w14:textId="77777777" w:rsidTr="00047BE4">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E3BE51"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2015</w:t>
            </w:r>
          </w:p>
        </w:tc>
        <w:tc>
          <w:tcPr>
            <w:tcW w:w="0" w:type="auto"/>
            <w:tcBorders>
              <w:top w:val="nil"/>
              <w:left w:val="nil"/>
              <w:bottom w:val="single" w:sz="4" w:space="0" w:color="auto"/>
              <w:right w:val="single" w:sz="4" w:space="0" w:color="auto"/>
            </w:tcBorders>
            <w:shd w:val="clear" w:color="auto" w:fill="auto"/>
            <w:noWrap/>
            <w:vAlign w:val="center"/>
            <w:hideMark/>
          </w:tcPr>
          <w:p w14:paraId="330906A3"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2080</w:t>
            </w:r>
          </w:p>
        </w:tc>
        <w:tc>
          <w:tcPr>
            <w:tcW w:w="1490" w:type="dxa"/>
            <w:tcBorders>
              <w:top w:val="nil"/>
              <w:left w:val="nil"/>
              <w:bottom w:val="single" w:sz="4" w:space="0" w:color="auto"/>
              <w:right w:val="single" w:sz="4" w:space="0" w:color="auto"/>
            </w:tcBorders>
            <w:shd w:val="clear" w:color="auto" w:fill="auto"/>
            <w:noWrap/>
            <w:vAlign w:val="bottom"/>
            <w:hideMark/>
          </w:tcPr>
          <w:p w14:paraId="7C50738D" w14:textId="77777777" w:rsidR="00047BE4" w:rsidRPr="00E56F88" w:rsidRDefault="00047BE4" w:rsidP="00047BE4">
            <w:pPr>
              <w:spacing w:before="0"/>
              <w:jc w:val="lef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 </w:t>
            </w:r>
          </w:p>
        </w:tc>
      </w:tr>
      <w:tr w:rsidR="00047BE4" w:rsidRPr="00E56F88" w14:paraId="05EE0152" w14:textId="77777777" w:rsidTr="00047BE4">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5D8534"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2016</w:t>
            </w:r>
          </w:p>
        </w:tc>
        <w:tc>
          <w:tcPr>
            <w:tcW w:w="0" w:type="auto"/>
            <w:tcBorders>
              <w:top w:val="nil"/>
              <w:left w:val="nil"/>
              <w:bottom w:val="single" w:sz="4" w:space="0" w:color="auto"/>
              <w:right w:val="single" w:sz="4" w:space="0" w:color="auto"/>
            </w:tcBorders>
            <w:shd w:val="clear" w:color="auto" w:fill="auto"/>
            <w:noWrap/>
            <w:vAlign w:val="center"/>
            <w:hideMark/>
          </w:tcPr>
          <w:p w14:paraId="7FCBF08E"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2057</w:t>
            </w:r>
          </w:p>
        </w:tc>
        <w:tc>
          <w:tcPr>
            <w:tcW w:w="1490" w:type="dxa"/>
            <w:tcBorders>
              <w:top w:val="single" w:sz="4" w:space="0" w:color="auto"/>
              <w:left w:val="single" w:sz="4" w:space="0" w:color="auto"/>
              <w:bottom w:val="single" w:sz="4" w:space="0" w:color="auto"/>
              <w:right w:val="single" w:sz="4" w:space="0" w:color="auto"/>
            </w:tcBorders>
            <w:shd w:val="clear" w:color="000000" w:fill="FAD3D6"/>
            <w:noWrap/>
            <w:vAlign w:val="bottom"/>
            <w:hideMark/>
          </w:tcPr>
          <w:p w14:paraId="4DD88187"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-23</w:t>
            </w:r>
            <w:r>
              <w:rPr>
                <w:rFonts w:ascii="Calibri" w:eastAsia="Times New Roman" w:hAnsi="Calibri" w:cs="Calibri"/>
                <w:color w:val="000000"/>
                <w:sz w:val="18"/>
                <w:szCs w:val="18"/>
                <w:lang w:eastAsia="cs-CZ"/>
              </w:rPr>
              <w:t xml:space="preserve"> bytů</w:t>
            </w:r>
          </w:p>
        </w:tc>
      </w:tr>
      <w:tr w:rsidR="00047BE4" w:rsidRPr="00E56F88" w14:paraId="66960437" w14:textId="77777777" w:rsidTr="00047BE4">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6B56223"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2017</w:t>
            </w:r>
          </w:p>
        </w:tc>
        <w:tc>
          <w:tcPr>
            <w:tcW w:w="0" w:type="auto"/>
            <w:tcBorders>
              <w:top w:val="nil"/>
              <w:left w:val="nil"/>
              <w:bottom w:val="single" w:sz="4" w:space="0" w:color="auto"/>
              <w:right w:val="single" w:sz="4" w:space="0" w:color="auto"/>
            </w:tcBorders>
            <w:shd w:val="clear" w:color="auto" w:fill="auto"/>
            <w:noWrap/>
            <w:vAlign w:val="center"/>
            <w:hideMark/>
          </w:tcPr>
          <w:p w14:paraId="478286CC"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2043</w:t>
            </w:r>
          </w:p>
        </w:tc>
        <w:tc>
          <w:tcPr>
            <w:tcW w:w="1490"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57A0EC8"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-14</w:t>
            </w:r>
            <w:r>
              <w:rPr>
                <w:rFonts w:ascii="Calibri" w:eastAsia="Times New Roman" w:hAnsi="Calibri" w:cs="Calibri"/>
                <w:color w:val="000000"/>
                <w:sz w:val="18"/>
                <w:szCs w:val="18"/>
                <w:lang w:eastAsia="cs-CZ"/>
              </w:rPr>
              <w:t xml:space="preserve"> bytů</w:t>
            </w:r>
          </w:p>
        </w:tc>
      </w:tr>
      <w:tr w:rsidR="00047BE4" w:rsidRPr="00E56F88" w14:paraId="0065CE1E" w14:textId="77777777" w:rsidTr="00047BE4">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2CB209"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2018</w:t>
            </w:r>
          </w:p>
        </w:tc>
        <w:tc>
          <w:tcPr>
            <w:tcW w:w="0" w:type="auto"/>
            <w:tcBorders>
              <w:top w:val="nil"/>
              <w:left w:val="nil"/>
              <w:bottom w:val="single" w:sz="4" w:space="0" w:color="auto"/>
              <w:right w:val="single" w:sz="4" w:space="0" w:color="auto"/>
            </w:tcBorders>
            <w:shd w:val="clear" w:color="auto" w:fill="auto"/>
            <w:noWrap/>
            <w:vAlign w:val="center"/>
            <w:hideMark/>
          </w:tcPr>
          <w:p w14:paraId="61B6C701"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2038</w:t>
            </w:r>
          </w:p>
        </w:tc>
        <w:tc>
          <w:tcPr>
            <w:tcW w:w="1490" w:type="dxa"/>
            <w:tcBorders>
              <w:top w:val="single" w:sz="4" w:space="0" w:color="auto"/>
              <w:left w:val="single" w:sz="4" w:space="0" w:color="auto"/>
              <w:bottom w:val="single" w:sz="4" w:space="0" w:color="auto"/>
              <w:right w:val="single" w:sz="4" w:space="0" w:color="auto"/>
            </w:tcBorders>
            <w:shd w:val="clear" w:color="000000" w:fill="789FD1"/>
            <w:noWrap/>
            <w:vAlign w:val="bottom"/>
            <w:hideMark/>
          </w:tcPr>
          <w:p w14:paraId="3BFD52FF"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-5</w:t>
            </w:r>
            <w:r>
              <w:rPr>
                <w:rFonts w:ascii="Calibri" w:eastAsia="Times New Roman" w:hAnsi="Calibri" w:cs="Calibri"/>
                <w:color w:val="000000"/>
                <w:sz w:val="18"/>
                <w:szCs w:val="18"/>
                <w:lang w:eastAsia="cs-CZ"/>
              </w:rPr>
              <w:t xml:space="preserve"> bytů</w:t>
            </w:r>
          </w:p>
        </w:tc>
      </w:tr>
      <w:tr w:rsidR="00047BE4" w:rsidRPr="00E56F88" w14:paraId="271FD996" w14:textId="77777777" w:rsidTr="00047BE4">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CA10154"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2019</w:t>
            </w:r>
          </w:p>
        </w:tc>
        <w:tc>
          <w:tcPr>
            <w:tcW w:w="0" w:type="auto"/>
            <w:tcBorders>
              <w:top w:val="nil"/>
              <w:left w:val="nil"/>
              <w:bottom w:val="single" w:sz="4" w:space="0" w:color="auto"/>
              <w:right w:val="single" w:sz="4" w:space="0" w:color="auto"/>
            </w:tcBorders>
            <w:shd w:val="clear" w:color="auto" w:fill="auto"/>
            <w:noWrap/>
            <w:vAlign w:val="center"/>
            <w:hideMark/>
          </w:tcPr>
          <w:p w14:paraId="27BCE8B5"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2035</w:t>
            </w:r>
          </w:p>
        </w:tc>
        <w:tc>
          <w:tcPr>
            <w:tcW w:w="1490"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15382CEA"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-3</w:t>
            </w:r>
            <w:r>
              <w:rPr>
                <w:rFonts w:ascii="Calibri" w:eastAsia="Times New Roman" w:hAnsi="Calibri" w:cs="Calibri"/>
                <w:color w:val="000000"/>
                <w:sz w:val="18"/>
                <w:szCs w:val="18"/>
                <w:lang w:eastAsia="cs-CZ"/>
              </w:rPr>
              <w:t xml:space="preserve"> byty</w:t>
            </w:r>
          </w:p>
        </w:tc>
      </w:tr>
      <w:tr w:rsidR="00047BE4" w:rsidRPr="00E56F88" w14:paraId="71AC2C8B" w14:textId="77777777" w:rsidTr="00047BE4">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EB1B66" w14:textId="77777777" w:rsidR="00047BE4" w:rsidRPr="00E56F88" w:rsidRDefault="00047BE4" w:rsidP="00047BE4">
            <w:pPr>
              <w:spacing w:before="0"/>
              <w:jc w:val="center"/>
              <w:rPr>
                <w:rFonts w:ascii="Calibri" w:eastAsia="Times New Roman" w:hAnsi="Calibri" w:cs="Calibri"/>
                <w:b/>
                <w:bCs/>
                <w:color w:val="000000"/>
                <w:sz w:val="18"/>
                <w:szCs w:val="18"/>
                <w:lang w:eastAsia="cs-CZ"/>
              </w:rPr>
            </w:pPr>
            <w:r w:rsidRPr="00E56F88">
              <w:rPr>
                <w:rFonts w:ascii="Calibri" w:eastAsia="Times New Roman" w:hAnsi="Calibri" w:cs="Calibri"/>
                <w:b/>
                <w:bCs/>
                <w:color w:val="000000"/>
                <w:sz w:val="18"/>
                <w:szCs w:val="18"/>
                <w:lang w:eastAsia="cs-CZ"/>
              </w:rPr>
              <w:t>2020</w:t>
            </w:r>
          </w:p>
        </w:tc>
        <w:tc>
          <w:tcPr>
            <w:tcW w:w="0" w:type="auto"/>
            <w:tcBorders>
              <w:top w:val="nil"/>
              <w:left w:val="nil"/>
              <w:bottom w:val="single" w:sz="4" w:space="0" w:color="auto"/>
              <w:right w:val="single" w:sz="4" w:space="0" w:color="auto"/>
            </w:tcBorders>
            <w:shd w:val="clear" w:color="auto" w:fill="auto"/>
            <w:noWrap/>
            <w:vAlign w:val="center"/>
            <w:hideMark/>
          </w:tcPr>
          <w:p w14:paraId="5586CB9B"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1988</w:t>
            </w:r>
          </w:p>
        </w:tc>
        <w:tc>
          <w:tcPr>
            <w:tcW w:w="149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F3DD1F3" w14:textId="77777777" w:rsidR="00047BE4" w:rsidRPr="00E56F88" w:rsidRDefault="00047BE4" w:rsidP="00047BE4">
            <w:pPr>
              <w:spacing w:before="0"/>
              <w:jc w:val="right"/>
              <w:rPr>
                <w:rFonts w:ascii="Calibri" w:eastAsia="Times New Roman" w:hAnsi="Calibri" w:cs="Calibri"/>
                <w:color w:val="000000"/>
                <w:sz w:val="18"/>
                <w:szCs w:val="18"/>
                <w:lang w:eastAsia="cs-CZ"/>
              </w:rPr>
            </w:pPr>
            <w:r w:rsidRPr="00E56F88">
              <w:rPr>
                <w:rFonts w:ascii="Calibri" w:eastAsia="Times New Roman" w:hAnsi="Calibri" w:cs="Calibri"/>
                <w:color w:val="000000"/>
                <w:sz w:val="18"/>
                <w:szCs w:val="18"/>
                <w:lang w:eastAsia="cs-CZ"/>
              </w:rPr>
              <w:t>-47</w:t>
            </w:r>
            <w:r>
              <w:rPr>
                <w:rFonts w:ascii="Calibri" w:eastAsia="Times New Roman" w:hAnsi="Calibri" w:cs="Calibri"/>
                <w:color w:val="000000"/>
                <w:sz w:val="18"/>
                <w:szCs w:val="18"/>
                <w:lang w:eastAsia="cs-CZ"/>
              </w:rPr>
              <w:t xml:space="preserve"> bytů</w:t>
            </w:r>
          </w:p>
        </w:tc>
      </w:tr>
    </w:tbl>
    <w:p w14:paraId="7535C575" w14:textId="4E74C1D5" w:rsidR="00047BE4" w:rsidRDefault="00047BE4" w:rsidP="00047BE4">
      <w:pPr>
        <w:pStyle w:val="Zdroj"/>
      </w:pPr>
      <w:r>
        <w:br w:type="textWrapping" w:clear="all"/>
        <w:t>Zdroj: MMZ, data k 1. 1. daného roku</w:t>
      </w:r>
      <w:r w:rsidR="00DF6936">
        <w:t>.</w:t>
      </w:r>
      <w:r>
        <w:br/>
        <w:t>Pozn.</w:t>
      </w:r>
      <w:r w:rsidR="00DF6936">
        <w:t>:</w:t>
      </w:r>
      <w:r>
        <w:t xml:space="preserve"> Největší úbytek je označen červenou barvou, nejmenší úbytek modrou.</w:t>
      </w:r>
    </w:p>
    <w:p w14:paraId="2AE5082D" w14:textId="28F0E713" w:rsidR="00047BE4" w:rsidRPr="00F82884" w:rsidRDefault="00047BE4" w:rsidP="00047BE4">
      <w:pPr>
        <w:rPr>
          <w:rFonts w:ascii="Calibri" w:eastAsia="Times New Roman" w:hAnsi="Calibri" w:cs="Calibri"/>
          <w:color w:val="000000"/>
          <w:lang w:eastAsia="cs-CZ"/>
        </w:rPr>
      </w:pPr>
      <w:r>
        <w:t xml:space="preserve">Strukturu bytového fondu ve vlastnictví města uvádí tabulka </w:t>
      </w:r>
      <w:r w:rsidR="004846A1">
        <w:t>1.13</w:t>
      </w:r>
      <w:r>
        <w:t xml:space="preserve">. </w:t>
      </w:r>
      <w:r w:rsidRPr="00B14E47">
        <w:t>V bytovém fondu města jsou v nejvyšší míře zastoupeny byty velikosti 1+kk (49,2 %) a 2+kk (36,2 %).</w:t>
      </w:r>
      <w:r>
        <w:t xml:space="preserve"> Ze strukturálního hlediska je tedy soubor městských bytů značně nevyvážený ve prospěch menších bytů. Poptávka po větších bytech proto zůstává z velké části neuspokojena.</w:t>
      </w:r>
      <w:r w:rsidRPr="00B14E47">
        <w:t xml:space="preserve"> </w:t>
      </w:r>
      <w:r>
        <w:t>Převážná část bytů (</w:t>
      </w:r>
      <w:r w:rsidRPr="00D44DC4">
        <w:t>78 %</w:t>
      </w:r>
      <w:r>
        <w:t xml:space="preserve">) se nachází v sedmi největších domech, které jsou kompletně ve vlastnictví města. </w:t>
      </w:r>
      <w:r w:rsidRPr="00B14E47">
        <w:t xml:space="preserve">K největším bytovým domům v majetku města patří dvě </w:t>
      </w:r>
      <w:r>
        <w:t xml:space="preserve">dominantní </w:t>
      </w:r>
      <w:r w:rsidRPr="00B14E47">
        <w:t xml:space="preserve">budovy </w:t>
      </w:r>
      <w:r>
        <w:t>atypick</w:t>
      </w:r>
      <w:r w:rsidR="00164472">
        <w:t>ého půdorysu na sídlišti Jižní S</w:t>
      </w:r>
      <w:r>
        <w:t xml:space="preserve">vahy – </w:t>
      </w:r>
      <w:r w:rsidRPr="00B14E47">
        <w:t xml:space="preserve">tzv. segmenty, </w:t>
      </w:r>
      <w:r>
        <w:rPr>
          <w:rFonts w:ascii="Calibri" w:eastAsia="Times New Roman" w:hAnsi="Calibri" w:cs="Calibri"/>
          <w:color w:val="000000"/>
          <w:lang w:eastAsia="cs-CZ"/>
        </w:rPr>
        <w:t xml:space="preserve">které patří zároveň k největším obytným budovám ve městě, v souhrnu se zde nachází přes 700 bytů. Záměrem města je prostřednictvím bytového fondu usnadnit bydlení znevýhodněným skupinám obyvatel, část bytového fondu je tak určena přednostně pro mladé rodiny s dětmi, seniory nebo osoby se zdravotním postižením. V současnosti je pro mladé nízkopříjmové rodiny určeno 30 malometrážních „startovacích“ bytů. Pro seniory a osoby se zdravotním postižením je vyhrazeno 466 bytů. Bezbariérových bytů v majetku města je 56, které se nachází v 6 domech. </w:t>
      </w:r>
      <w:r>
        <w:t>Město plánuje úpravu pravidel pro nájem bytů, důraz bude kladen na skutečnou bytovou potřebu žadatele a jeho sociální situaci</w:t>
      </w:r>
      <w:r>
        <w:rPr>
          <w:rFonts w:ascii="Calibri" w:eastAsia="Times New Roman" w:hAnsi="Calibri" w:cs="Calibri"/>
          <w:color w:val="000000"/>
          <w:lang w:eastAsia="cs-CZ"/>
        </w:rPr>
        <w:t>.</w:t>
      </w:r>
    </w:p>
    <w:p w14:paraId="12617272" w14:textId="0C255EBF" w:rsidR="00047BE4" w:rsidRDefault="00047BE4" w:rsidP="00047BE4">
      <w:pPr>
        <w:pStyle w:val="Titulek"/>
        <w:keepNext/>
      </w:pPr>
      <w:bookmarkStart w:id="100" w:name="_Toc49439854"/>
      <w:bookmarkStart w:id="101" w:name="_Toc53037873"/>
      <w:bookmarkStart w:id="102" w:name="_Toc77074693"/>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13</w:t>
      </w:r>
      <w:r w:rsidR="00081B47">
        <w:rPr>
          <w:noProof/>
        </w:rPr>
        <w:fldChar w:fldCharType="end"/>
      </w:r>
      <w:r w:rsidR="00DF6936">
        <w:rPr>
          <w:noProof/>
        </w:rPr>
        <w:t>:</w:t>
      </w:r>
      <w:r>
        <w:t xml:space="preserve"> Rozložení bytů bytového fondu města Zlína podle dispozice</w:t>
      </w:r>
      <w:bookmarkEnd w:id="100"/>
      <w:bookmarkEnd w:id="101"/>
      <w:bookmarkEnd w:id="102"/>
    </w:p>
    <w:tbl>
      <w:tblPr>
        <w:tblW w:w="5000" w:type="pct"/>
        <w:tblCellMar>
          <w:left w:w="70" w:type="dxa"/>
          <w:right w:w="70" w:type="dxa"/>
        </w:tblCellMar>
        <w:tblLook w:val="04A0" w:firstRow="1" w:lastRow="0" w:firstColumn="1" w:lastColumn="0" w:noHBand="0" w:noVBand="1"/>
      </w:tblPr>
      <w:tblGrid>
        <w:gridCol w:w="983"/>
        <w:gridCol w:w="537"/>
        <w:gridCol w:w="628"/>
        <w:gridCol w:w="537"/>
        <w:gridCol w:w="537"/>
        <w:gridCol w:w="628"/>
        <w:gridCol w:w="537"/>
        <w:gridCol w:w="537"/>
        <w:gridCol w:w="537"/>
        <w:gridCol w:w="537"/>
        <w:gridCol w:w="537"/>
        <w:gridCol w:w="720"/>
        <w:gridCol w:w="1807"/>
      </w:tblGrid>
      <w:tr w:rsidR="00047BE4" w:rsidRPr="00D66D7C" w14:paraId="222EEC80" w14:textId="77777777" w:rsidTr="00047BE4">
        <w:trPr>
          <w:trHeight w:val="255"/>
        </w:trPr>
        <w:tc>
          <w:tcPr>
            <w:tcW w:w="647"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F703E94"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Dispozice</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501D9253"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1+0</w:t>
            </w:r>
          </w:p>
        </w:tc>
        <w:tc>
          <w:tcPr>
            <w:tcW w:w="324" w:type="pct"/>
            <w:tcBorders>
              <w:top w:val="single" w:sz="4" w:space="0" w:color="auto"/>
              <w:left w:val="nil"/>
              <w:bottom w:val="single" w:sz="4" w:space="0" w:color="auto"/>
              <w:right w:val="single" w:sz="4" w:space="0" w:color="auto"/>
            </w:tcBorders>
            <w:shd w:val="clear" w:color="000000" w:fill="F2F2F2"/>
            <w:noWrap/>
            <w:vAlign w:val="center"/>
            <w:hideMark/>
          </w:tcPr>
          <w:p w14:paraId="19835CD6"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1+kk</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5F8D39AF"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1+1</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47EAD467"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2+0</w:t>
            </w:r>
          </w:p>
        </w:tc>
        <w:tc>
          <w:tcPr>
            <w:tcW w:w="324" w:type="pct"/>
            <w:tcBorders>
              <w:top w:val="single" w:sz="4" w:space="0" w:color="auto"/>
              <w:left w:val="nil"/>
              <w:bottom w:val="single" w:sz="4" w:space="0" w:color="auto"/>
              <w:right w:val="single" w:sz="4" w:space="0" w:color="auto"/>
            </w:tcBorders>
            <w:shd w:val="clear" w:color="000000" w:fill="F2F2F2"/>
            <w:noWrap/>
            <w:vAlign w:val="center"/>
            <w:hideMark/>
          </w:tcPr>
          <w:p w14:paraId="16E3477E"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2+kk</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283A589C"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2+1</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6166161D"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3+kk</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246B2E47"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3+1</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3EDB282B"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4+kk</w:t>
            </w:r>
          </w:p>
        </w:tc>
        <w:tc>
          <w:tcPr>
            <w:tcW w:w="290" w:type="pct"/>
            <w:tcBorders>
              <w:top w:val="single" w:sz="4" w:space="0" w:color="auto"/>
              <w:left w:val="nil"/>
              <w:bottom w:val="single" w:sz="4" w:space="0" w:color="auto"/>
              <w:right w:val="single" w:sz="4" w:space="0" w:color="auto"/>
            </w:tcBorders>
            <w:shd w:val="clear" w:color="000000" w:fill="F2F2F2"/>
            <w:noWrap/>
            <w:vAlign w:val="center"/>
            <w:hideMark/>
          </w:tcPr>
          <w:p w14:paraId="78A0D34F"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4+1</w:t>
            </w:r>
          </w:p>
        </w:tc>
        <w:tc>
          <w:tcPr>
            <w:tcW w:w="383" w:type="pct"/>
            <w:tcBorders>
              <w:top w:val="single" w:sz="4" w:space="0" w:color="auto"/>
              <w:left w:val="nil"/>
              <w:bottom w:val="single" w:sz="4" w:space="0" w:color="auto"/>
              <w:right w:val="single" w:sz="4" w:space="0" w:color="auto"/>
            </w:tcBorders>
            <w:shd w:val="clear" w:color="000000" w:fill="F2F2F2"/>
            <w:noWrap/>
            <w:vAlign w:val="center"/>
            <w:hideMark/>
          </w:tcPr>
          <w:p w14:paraId="4CD767CC"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Celkem</w:t>
            </w:r>
          </w:p>
        </w:tc>
        <w:tc>
          <w:tcPr>
            <w:tcW w:w="1000" w:type="pct"/>
            <w:tcBorders>
              <w:top w:val="single" w:sz="4" w:space="0" w:color="auto"/>
              <w:left w:val="nil"/>
              <w:bottom w:val="single" w:sz="4" w:space="0" w:color="auto"/>
              <w:right w:val="single" w:sz="4" w:space="0" w:color="auto"/>
            </w:tcBorders>
            <w:shd w:val="clear" w:color="000000" w:fill="F2F2F2"/>
            <w:noWrap/>
            <w:vAlign w:val="center"/>
            <w:hideMark/>
          </w:tcPr>
          <w:p w14:paraId="7EB5DEBD" w14:textId="77777777" w:rsidR="00047BE4" w:rsidRPr="00D66D7C" w:rsidRDefault="00047BE4" w:rsidP="00047BE4">
            <w:pPr>
              <w:spacing w:before="0"/>
              <w:jc w:val="center"/>
              <w:rPr>
                <w:rFonts w:eastAsia="Times New Roman" w:cstheme="minorHAnsi"/>
                <w:b/>
                <w:bCs/>
                <w:sz w:val="18"/>
                <w:szCs w:val="18"/>
                <w:lang w:eastAsia="cs-CZ"/>
              </w:rPr>
            </w:pPr>
            <w:r w:rsidRPr="00D66D7C">
              <w:rPr>
                <w:rFonts w:eastAsia="Times New Roman" w:cstheme="minorHAnsi"/>
                <w:b/>
                <w:bCs/>
                <w:sz w:val="18"/>
                <w:szCs w:val="18"/>
                <w:lang w:eastAsia="cs-CZ"/>
              </w:rPr>
              <w:t>Z toho bezbariérových</w:t>
            </w:r>
          </w:p>
        </w:tc>
      </w:tr>
      <w:tr w:rsidR="00047BE4" w:rsidRPr="00D66D7C" w14:paraId="2DD26A3F" w14:textId="77777777" w:rsidTr="00047BE4">
        <w:trPr>
          <w:trHeight w:val="255"/>
        </w:trPr>
        <w:tc>
          <w:tcPr>
            <w:tcW w:w="647" w:type="pct"/>
            <w:tcBorders>
              <w:top w:val="nil"/>
              <w:left w:val="single" w:sz="4" w:space="0" w:color="auto"/>
              <w:bottom w:val="single" w:sz="4" w:space="0" w:color="auto"/>
              <w:right w:val="single" w:sz="4" w:space="0" w:color="auto"/>
            </w:tcBorders>
            <w:shd w:val="clear" w:color="auto" w:fill="auto"/>
            <w:noWrap/>
            <w:vAlign w:val="center"/>
            <w:hideMark/>
          </w:tcPr>
          <w:p w14:paraId="7D33BD71" w14:textId="77777777" w:rsidR="00047BE4" w:rsidRPr="00D66D7C" w:rsidRDefault="00047BE4" w:rsidP="00047BE4">
            <w:pPr>
              <w:spacing w:before="0"/>
              <w:jc w:val="left"/>
              <w:rPr>
                <w:rFonts w:eastAsia="Times New Roman" w:cstheme="minorHAnsi"/>
                <w:b/>
                <w:bCs/>
                <w:color w:val="000000"/>
                <w:sz w:val="18"/>
                <w:szCs w:val="18"/>
                <w:lang w:eastAsia="cs-CZ"/>
              </w:rPr>
            </w:pPr>
            <w:r w:rsidRPr="00D66D7C">
              <w:rPr>
                <w:rFonts w:eastAsia="Times New Roman" w:cstheme="minorHAnsi"/>
                <w:b/>
                <w:bCs/>
                <w:color w:val="000000"/>
                <w:sz w:val="18"/>
                <w:szCs w:val="18"/>
                <w:lang w:eastAsia="cs-CZ"/>
              </w:rPr>
              <w:t>Počet bytů</w:t>
            </w:r>
          </w:p>
        </w:tc>
        <w:tc>
          <w:tcPr>
            <w:tcW w:w="290" w:type="pct"/>
            <w:tcBorders>
              <w:top w:val="nil"/>
              <w:left w:val="nil"/>
              <w:bottom w:val="single" w:sz="4" w:space="0" w:color="auto"/>
              <w:right w:val="single" w:sz="4" w:space="0" w:color="auto"/>
            </w:tcBorders>
            <w:shd w:val="clear" w:color="auto" w:fill="auto"/>
            <w:noWrap/>
            <w:vAlign w:val="center"/>
            <w:hideMark/>
          </w:tcPr>
          <w:p w14:paraId="44F79B2D"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32</w:t>
            </w:r>
          </w:p>
        </w:tc>
        <w:tc>
          <w:tcPr>
            <w:tcW w:w="324" w:type="pct"/>
            <w:tcBorders>
              <w:top w:val="nil"/>
              <w:left w:val="nil"/>
              <w:bottom w:val="single" w:sz="4" w:space="0" w:color="auto"/>
              <w:right w:val="single" w:sz="4" w:space="0" w:color="auto"/>
            </w:tcBorders>
            <w:shd w:val="clear" w:color="auto" w:fill="auto"/>
            <w:noWrap/>
            <w:vAlign w:val="center"/>
            <w:hideMark/>
          </w:tcPr>
          <w:p w14:paraId="6A08E264"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917</w:t>
            </w:r>
          </w:p>
        </w:tc>
        <w:tc>
          <w:tcPr>
            <w:tcW w:w="290" w:type="pct"/>
            <w:tcBorders>
              <w:top w:val="nil"/>
              <w:left w:val="nil"/>
              <w:bottom w:val="single" w:sz="4" w:space="0" w:color="auto"/>
              <w:right w:val="single" w:sz="4" w:space="0" w:color="auto"/>
            </w:tcBorders>
            <w:shd w:val="clear" w:color="auto" w:fill="auto"/>
            <w:noWrap/>
            <w:vAlign w:val="center"/>
            <w:hideMark/>
          </w:tcPr>
          <w:p w14:paraId="71E1F662"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155</w:t>
            </w:r>
          </w:p>
        </w:tc>
        <w:tc>
          <w:tcPr>
            <w:tcW w:w="290" w:type="pct"/>
            <w:tcBorders>
              <w:top w:val="nil"/>
              <w:left w:val="nil"/>
              <w:bottom w:val="single" w:sz="4" w:space="0" w:color="auto"/>
              <w:right w:val="single" w:sz="4" w:space="0" w:color="auto"/>
            </w:tcBorders>
            <w:shd w:val="clear" w:color="auto" w:fill="auto"/>
            <w:noWrap/>
            <w:vAlign w:val="center"/>
            <w:hideMark/>
          </w:tcPr>
          <w:p w14:paraId="04B60890"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4</w:t>
            </w:r>
          </w:p>
        </w:tc>
        <w:tc>
          <w:tcPr>
            <w:tcW w:w="324" w:type="pct"/>
            <w:tcBorders>
              <w:top w:val="nil"/>
              <w:left w:val="nil"/>
              <w:bottom w:val="single" w:sz="4" w:space="0" w:color="auto"/>
              <w:right w:val="single" w:sz="4" w:space="0" w:color="auto"/>
            </w:tcBorders>
            <w:shd w:val="clear" w:color="auto" w:fill="auto"/>
            <w:noWrap/>
            <w:vAlign w:val="center"/>
            <w:hideMark/>
          </w:tcPr>
          <w:p w14:paraId="567332A2"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674</w:t>
            </w:r>
          </w:p>
        </w:tc>
        <w:tc>
          <w:tcPr>
            <w:tcW w:w="290" w:type="pct"/>
            <w:tcBorders>
              <w:top w:val="nil"/>
              <w:left w:val="nil"/>
              <w:bottom w:val="single" w:sz="4" w:space="0" w:color="auto"/>
              <w:right w:val="single" w:sz="4" w:space="0" w:color="auto"/>
            </w:tcBorders>
            <w:shd w:val="clear" w:color="auto" w:fill="auto"/>
            <w:noWrap/>
            <w:vAlign w:val="center"/>
            <w:hideMark/>
          </w:tcPr>
          <w:p w14:paraId="1C6A6525"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38</w:t>
            </w:r>
          </w:p>
        </w:tc>
        <w:tc>
          <w:tcPr>
            <w:tcW w:w="290" w:type="pct"/>
            <w:tcBorders>
              <w:top w:val="nil"/>
              <w:left w:val="nil"/>
              <w:bottom w:val="single" w:sz="4" w:space="0" w:color="auto"/>
              <w:right w:val="single" w:sz="4" w:space="0" w:color="auto"/>
            </w:tcBorders>
            <w:shd w:val="clear" w:color="auto" w:fill="auto"/>
            <w:noWrap/>
            <w:vAlign w:val="center"/>
            <w:hideMark/>
          </w:tcPr>
          <w:p w14:paraId="38B6EC52"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18</w:t>
            </w:r>
          </w:p>
        </w:tc>
        <w:tc>
          <w:tcPr>
            <w:tcW w:w="290" w:type="pct"/>
            <w:tcBorders>
              <w:top w:val="nil"/>
              <w:left w:val="nil"/>
              <w:bottom w:val="single" w:sz="4" w:space="0" w:color="auto"/>
              <w:right w:val="single" w:sz="4" w:space="0" w:color="auto"/>
            </w:tcBorders>
            <w:shd w:val="clear" w:color="auto" w:fill="auto"/>
            <w:noWrap/>
            <w:vAlign w:val="center"/>
            <w:hideMark/>
          </w:tcPr>
          <w:p w14:paraId="5C94E240"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21</w:t>
            </w:r>
          </w:p>
        </w:tc>
        <w:tc>
          <w:tcPr>
            <w:tcW w:w="290" w:type="pct"/>
            <w:tcBorders>
              <w:top w:val="nil"/>
              <w:left w:val="nil"/>
              <w:bottom w:val="single" w:sz="4" w:space="0" w:color="auto"/>
              <w:right w:val="single" w:sz="4" w:space="0" w:color="auto"/>
            </w:tcBorders>
            <w:shd w:val="clear" w:color="auto" w:fill="auto"/>
            <w:noWrap/>
            <w:vAlign w:val="center"/>
            <w:hideMark/>
          </w:tcPr>
          <w:p w14:paraId="56B890A2"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1</w:t>
            </w:r>
          </w:p>
        </w:tc>
        <w:tc>
          <w:tcPr>
            <w:tcW w:w="290" w:type="pct"/>
            <w:tcBorders>
              <w:top w:val="nil"/>
              <w:left w:val="nil"/>
              <w:bottom w:val="single" w:sz="4" w:space="0" w:color="auto"/>
              <w:right w:val="single" w:sz="4" w:space="0" w:color="auto"/>
            </w:tcBorders>
            <w:shd w:val="clear" w:color="auto" w:fill="auto"/>
            <w:noWrap/>
            <w:vAlign w:val="center"/>
            <w:hideMark/>
          </w:tcPr>
          <w:p w14:paraId="01917976" w14:textId="77777777"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2</w:t>
            </w:r>
          </w:p>
        </w:tc>
        <w:tc>
          <w:tcPr>
            <w:tcW w:w="383" w:type="pct"/>
            <w:tcBorders>
              <w:top w:val="nil"/>
              <w:left w:val="nil"/>
              <w:bottom w:val="single" w:sz="4" w:space="0" w:color="auto"/>
              <w:right w:val="single" w:sz="4" w:space="0" w:color="auto"/>
            </w:tcBorders>
            <w:shd w:val="clear" w:color="auto" w:fill="auto"/>
            <w:noWrap/>
            <w:vAlign w:val="center"/>
            <w:hideMark/>
          </w:tcPr>
          <w:p w14:paraId="44ED58D7" w14:textId="77777777" w:rsidR="00047BE4" w:rsidRPr="00D66D7C" w:rsidRDefault="00047BE4" w:rsidP="00047BE4">
            <w:pPr>
              <w:spacing w:before="0"/>
              <w:jc w:val="right"/>
              <w:rPr>
                <w:rFonts w:eastAsia="Times New Roman" w:cstheme="minorHAnsi"/>
                <w:b/>
                <w:bCs/>
                <w:color w:val="000000"/>
                <w:sz w:val="18"/>
                <w:szCs w:val="18"/>
                <w:lang w:eastAsia="cs-CZ"/>
              </w:rPr>
            </w:pPr>
            <w:r w:rsidRPr="00B81022">
              <w:rPr>
                <w:rFonts w:ascii="Calibri" w:eastAsia="Times New Roman" w:hAnsi="Calibri" w:cs="Calibri"/>
                <w:b/>
                <w:bCs/>
                <w:color w:val="000000"/>
                <w:sz w:val="18"/>
                <w:szCs w:val="18"/>
                <w:lang w:eastAsia="cs-CZ"/>
              </w:rPr>
              <w:t>1862</w:t>
            </w:r>
          </w:p>
        </w:tc>
        <w:tc>
          <w:tcPr>
            <w:tcW w:w="1000" w:type="pct"/>
            <w:tcBorders>
              <w:top w:val="nil"/>
              <w:left w:val="nil"/>
              <w:bottom w:val="single" w:sz="4" w:space="0" w:color="auto"/>
              <w:right w:val="single" w:sz="4" w:space="0" w:color="auto"/>
            </w:tcBorders>
            <w:shd w:val="clear" w:color="auto" w:fill="auto"/>
            <w:noWrap/>
            <w:vAlign w:val="center"/>
            <w:hideMark/>
          </w:tcPr>
          <w:p w14:paraId="60761A0E" w14:textId="77777777" w:rsidR="00047BE4" w:rsidRPr="00B81022" w:rsidRDefault="00047BE4" w:rsidP="00047BE4">
            <w:pPr>
              <w:spacing w:before="0"/>
              <w:jc w:val="right"/>
              <w:rPr>
                <w:rFonts w:eastAsia="Times New Roman" w:cstheme="minorHAnsi"/>
                <w:bCs/>
                <w:color w:val="000000"/>
                <w:sz w:val="18"/>
                <w:szCs w:val="18"/>
                <w:lang w:eastAsia="cs-CZ"/>
              </w:rPr>
            </w:pPr>
            <w:r w:rsidRPr="00B81022">
              <w:rPr>
                <w:rFonts w:ascii="Calibri" w:eastAsia="Times New Roman" w:hAnsi="Calibri" w:cs="Calibri"/>
                <w:color w:val="000000"/>
                <w:sz w:val="18"/>
                <w:szCs w:val="18"/>
                <w:lang w:eastAsia="cs-CZ"/>
              </w:rPr>
              <w:t>56</w:t>
            </w:r>
          </w:p>
        </w:tc>
      </w:tr>
      <w:tr w:rsidR="00047BE4" w:rsidRPr="00D66D7C" w14:paraId="69E83552" w14:textId="77777777" w:rsidTr="00047BE4">
        <w:trPr>
          <w:trHeight w:val="255"/>
        </w:trPr>
        <w:tc>
          <w:tcPr>
            <w:tcW w:w="647" w:type="pct"/>
            <w:tcBorders>
              <w:top w:val="nil"/>
              <w:left w:val="single" w:sz="4" w:space="0" w:color="auto"/>
              <w:bottom w:val="single" w:sz="4" w:space="0" w:color="auto"/>
              <w:right w:val="single" w:sz="4" w:space="0" w:color="auto"/>
            </w:tcBorders>
            <w:shd w:val="clear" w:color="auto" w:fill="auto"/>
            <w:noWrap/>
            <w:vAlign w:val="center"/>
            <w:hideMark/>
          </w:tcPr>
          <w:p w14:paraId="7C42C096" w14:textId="77777777" w:rsidR="00047BE4" w:rsidRPr="00D66D7C" w:rsidRDefault="00047BE4" w:rsidP="00047BE4">
            <w:pPr>
              <w:spacing w:before="0"/>
              <w:jc w:val="left"/>
              <w:rPr>
                <w:rFonts w:eastAsia="Times New Roman" w:cstheme="minorHAnsi"/>
                <w:color w:val="000000"/>
                <w:sz w:val="18"/>
                <w:szCs w:val="18"/>
                <w:lang w:eastAsia="cs-CZ"/>
              </w:rPr>
            </w:pPr>
            <w:r w:rsidRPr="00D66D7C">
              <w:rPr>
                <w:rFonts w:eastAsia="Times New Roman" w:cstheme="minorHAnsi"/>
                <w:color w:val="000000"/>
                <w:sz w:val="18"/>
                <w:szCs w:val="18"/>
                <w:lang w:eastAsia="cs-CZ"/>
              </w:rPr>
              <w:t>Podíl bytů</w:t>
            </w:r>
          </w:p>
        </w:tc>
        <w:tc>
          <w:tcPr>
            <w:tcW w:w="290"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27E32232" w14:textId="6D7130FA"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1,7</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324"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4FA39AA0" w14:textId="2A70C8C1"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49,2</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290" w:type="pct"/>
            <w:tcBorders>
              <w:top w:val="single" w:sz="4" w:space="0" w:color="auto"/>
              <w:left w:val="single" w:sz="4" w:space="0" w:color="auto"/>
              <w:bottom w:val="single" w:sz="4" w:space="0" w:color="auto"/>
              <w:right w:val="single" w:sz="4" w:space="0" w:color="auto"/>
            </w:tcBorders>
            <w:shd w:val="clear" w:color="000000" w:fill="FCE8EB"/>
            <w:noWrap/>
            <w:vAlign w:val="center"/>
            <w:hideMark/>
          </w:tcPr>
          <w:p w14:paraId="526FCA62" w14:textId="43D2572D"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8,3</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290" w:type="pct"/>
            <w:tcBorders>
              <w:top w:val="single" w:sz="4" w:space="0" w:color="auto"/>
              <w:left w:val="single" w:sz="4" w:space="0" w:color="auto"/>
              <w:bottom w:val="single" w:sz="4" w:space="0" w:color="auto"/>
              <w:right w:val="single" w:sz="4" w:space="0" w:color="auto"/>
            </w:tcBorders>
            <w:shd w:val="clear" w:color="000000" w:fill="6995CB"/>
            <w:noWrap/>
            <w:vAlign w:val="center"/>
            <w:hideMark/>
          </w:tcPr>
          <w:p w14:paraId="25B3FEC6" w14:textId="776722A0"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0,2</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324" w:type="pct"/>
            <w:tcBorders>
              <w:top w:val="single" w:sz="4" w:space="0" w:color="auto"/>
              <w:left w:val="single" w:sz="4" w:space="0" w:color="auto"/>
              <w:bottom w:val="single" w:sz="4" w:space="0" w:color="auto"/>
              <w:right w:val="single" w:sz="4" w:space="0" w:color="auto"/>
            </w:tcBorders>
            <w:shd w:val="clear" w:color="000000" w:fill="FA9294"/>
            <w:noWrap/>
            <w:vAlign w:val="center"/>
            <w:hideMark/>
          </w:tcPr>
          <w:p w14:paraId="0541BE5C" w14:textId="4AA846B1"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36,2</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290" w:type="pct"/>
            <w:tcBorders>
              <w:top w:val="single" w:sz="4" w:space="0" w:color="auto"/>
              <w:left w:val="single" w:sz="4" w:space="0" w:color="auto"/>
              <w:bottom w:val="single" w:sz="4" w:space="0" w:color="auto"/>
              <w:right w:val="single" w:sz="4" w:space="0" w:color="auto"/>
            </w:tcBorders>
            <w:shd w:val="clear" w:color="000000" w:fill="FCFCFE"/>
            <w:noWrap/>
            <w:vAlign w:val="center"/>
            <w:hideMark/>
          </w:tcPr>
          <w:p w14:paraId="46308D63" w14:textId="34ACC3CD"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2,0</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290" w:type="pct"/>
            <w:tcBorders>
              <w:top w:val="single" w:sz="4" w:space="0" w:color="auto"/>
              <w:left w:val="single" w:sz="4" w:space="0" w:color="auto"/>
              <w:bottom w:val="single" w:sz="4" w:space="0" w:color="auto"/>
              <w:right w:val="single" w:sz="4" w:space="0" w:color="auto"/>
            </w:tcBorders>
            <w:shd w:val="clear" w:color="000000" w:fill="B2C8E5"/>
            <w:noWrap/>
            <w:vAlign w:val="center"/>
            <w:hideMark/>
          </w:tcPr>
          <w:p w14:paraId="4FACF11F" w14:textId="62E05E98"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1,0</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290" w:type="pct"/>
            <w:tcBorders>
              <w:top w:val="single" w:sz="4" w:space="0" w:color="auto"/>
              <w:left w:val="single" w:sz="4" w:space="0" w:color="auto"/>
              <w:bottom w:val="single" w:sz="4" w:space="0" w:color="auto"/>
              <w:right w:val="single" w:sz="4" w:space="0" w:color="auto"/>
            </w:tcBorders>
            <w:shd w:val="clear" w:color="000000" w:fill="C2D3EA"/>
            <w:noWrap/>
            <w:vAlign w:val="center"/>
            <w:hideMark/>
          </w:tcPr>
          <w:p w14:paraId="38AB0A27" w14:textId="5499E63A"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1,1</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290" w:type="pct"/>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14B1567C" w14:textId="2F222653"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0,1</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290" w:type="pct"/>
            <w:tcBorders>
              <w:top w:val="single" w:sz="4" w:space="0" w:color="auto"/>
              <w:left w:val="single" w:sz="4" w:space="0" w:color="auto"/>
              <w:bottom w:val="single" w:sz="4" w:space="0" w:color="auto"/>
              <w:right w:val="single" w:sz="4" w:space="0" w:color="auto"/>
            </w:tcBorders>
            <w:shd w:val="clear" w:color="000000" w:fill="5F8DC7"/>
            <w:noWrap/>
            <w:vAlign w:val="center"/>
            <w:hideMark/>
          </w:tcPr>
          <w:p w14:paraId="724F7E21" w14:textId="4C24FD2B"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0,1</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383" w:type="pct"/>
            <w:tcBorders>
              <w:top w:val="nil"/>
              <w:left w:val="nil"/>
              <w:bottom w:val="single" w:sz="4" w:space="0" w:color="auto"/>
              <w:right w:val="single" w:sz="4" w:space="0" w:color="auto"/>
            </w:tcBorders>
            <w:shd w:val="clear" w:color="auto" w:fill="auto"/>
            <w:noWrap/>
            <w:vAlign w:val="center"/>
            <w:hideMark/>
          </w:tcPr>
          <w:p w14:paraId="6EA6A2D5" w14:textId="42112B3E"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100,0</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c>
          <w:tcPr>
            <w:tcW w:w="1000" w:type="pct"/>
            <w:tcBorders>
              <w:top w:val="single" w:sz="4" w:space="0" w:color="auto"/>
              <w:left w:val="single" w:sz="4" w:space="0" w:color="auto"/>
              <w:bottom w:val="single" w:sz="4" w:space="0" w:color="auto"/>
              <w:right w:val="single" w:sz="4" w:space="0" w:color="auto"/>
            </w:tcBorders>
            <w:shd w:val="clear" w:color="000000" w:fill="FCF9FB"/>
            <w:noWrap/>
            <w:vAlign w:val="center"/>
            <w:hideMark/>
          </w:tcPr>
          <w:p w14:paraId="09C1C67C" w14:textId="27B4D473" w:rsidR="00047BE4" w:rsidRPr="00B81022" w:rsidRDefault="00047BE4" w:rsidP="00047BE4">
            <w:pPr>
              <w:spacing w:before="0"/>
              <w:jc w:val="right"/>
              <w:rPr>
                <w:rFonts w:eastAsia="Times New Roman" w:cstheme="minorHAnsi"/>
                <w:color w:val="000000"/>
                <w:sz w:val="18"/>
                <w:szCs w:val="18"/>
                <w:lang w:eastAsia="cs-CZ"/>
              </w:rPr>
            </w:pPr>
            <w:r w:rsidRPr="00B81022">
              <w:rPr>
                <w:rFonts w:ascii="Calibri" w:eastAsia="Times New Roman" w:hAnsi="Calibri" w:cs="Calibri"/>
                <w:color w:val="000000"/>
                <w:sz w:val="18"/>
                <w:szCs w:val="18"/>
                <w:lang w:eastAsia="cs-CZ"/>
              </w:rPr>
              <w:t>3,0</w:t>
            </w:r>
            <w:r w:rsidR="00DF6936">
              <w:rPr>
                <w:rFonts w:ascii="Calibri" w:eastAsia="Times New Roman" w:hAnsi="Calibri" w:cs="Calibri"/>
                <w:color w:val="000000"/>
                <w:sz w:val="18"/>
                <w:szCs w:val="18"/>
                <w:lang w:eastAsia="cs-CZ"/>
              </w:rPr>
              <w:t xml:space="preserve"> </w:t>
            </w:r>
            <w:r w:rsidRPr="00B81022">
              <w:rPr>
                <w:rFonts w:ascii="Calibri" w:eastAsia="Times New Roman" w:hAnsi="Calibri" w:cs="Calibri"/>
                <w:color w:val="000000"/>
                <w:sz w:val="18"/>
                <w:szCs w:val="18"/>
                <w:lang w:eastAsia="cs-CZ"/>
              </w:rPr>
              <w:t>%</w:t>
            </w:r>
          </w:p>
        </w:tc>
      </w:tr>
    </w:tbl>
    <w:p w14:paraId="0C52866D" w14:textId="5F46FAF8" w:rsidR="00047BE4" w:rsidRDefault="00047BE4" w:rsidP="00047BE4">
      <w:pPr>
        <w:pStyle w:val="Zdroj"/>
        <w:tabs>
          <w:tab w:val="left" w:pos="6195"/>
        </w:tabs>
      </w:pPr>
      <w:r>
        <w:t>Zdroj: MMZ, data k 6. 8. 2020</w:t>
      </w:r>
      <w:r w:rsidR="00DF6936">
        <w:t>.</w:t>
      </w:r>
      <w:r>
        <w:tab/>
      </w:r>
    </w:p>
    <w:p w14:paraId="54FBABD5" w14:textId="7EE208C0" w:rsidR="00047BE4" w:rsidRDefault="00047BE4" w:rsidP="00047BE4">
      <w:pPr>
        <w:pStyle w:val="Zdroj"/>
      </w:pPr>
      <w:r>
        <w:t>Pozn.</w:t>
      </w:r>
      <w:r w:rsidR="00DF6936">
        <w:t>1:</w:t>
      </w:r>
      <w:r>
        <w:t xml:space="preserve"> Barvy značí hodnotu buněk: nejvyšší hodnota je značena tmavě červenou barvou, nejnižší hodnota tmavě modrou barvou.</w:t>
      </w:r>
      <w:r>
        <w:br/>
        <w:t>Pozn. 2</w:t>
      </w:r>
      <w:r w:rsidR="00DF6936">
        <w:t>:</w:t>
      </w:r>
      <w:r>
        <w:t xml:space="preserve"> Rozdíl v celkovém počtu bytů bytového fondu je způsoben</w:t>
      </w:r>
      <w:r w:rsidRPr="00440982">
        <w:t xml:space="preserve"> tím, že některé byty jsou pronajímány </w:t>
      </w:r>
      <w:r>
        <w:t xml:space="preserve">poskytovatelům sociálních služeb </w:t>
      </w:r>
      <w:r w:rsidRPr="00440982">
        <w:t>– tyto byty potom nejsou započítány.</w:t>
      </w:r>
      <w:r>
        <w:t xml:space="preserve"> </w:t>
      </w:r>
    </w:p>
    <w:p w14:paraId="55FBF8F9" w14:textId="76E2C0D2" w:rsidR="00047BE4" w:rsidRDefault="00047BE4" w:rsidP="00047BE4">
      <w:r>
        <w:rPr>
          <w:rFonts w:ascii="Calibri" w:eastAsia="Times New Roman" w:hAnsi="Calibri" w:cs="Calibri"/>
          <w:color w:val="000000"/>
          <w:lang w:eastAsia="cs-CZ"/>
        </w:rPr>
        <w:t xml:space="preserve">Dlouhodobým záměrem města je modernizace a omlazení stávajících bytů i rozšíření bytového fondu. Přehled nákladů města v rámci bytového fondu ilustruje graf na obrázku </w:t>
      </w:r>
      <w:r w:rsidR="00BB66F4">
        <w:rPr>
          <w:rFonts w:ascii="Calibri" w:eastAsia="Times New Roman" w:hAnsi="Calibri" w:cs="Calibri"/>
          <w:color w:val="000000"/>
          <w:lang w:eastAsia="cs-CZ"/>
        </w:rPr>
        <w:t>1.20</w:t>
      </w:r>
      <w:r>
        <w:rPr>
          <w:rFonts w:ascii="Calibri" w:eastAsia="Times New Roman" w:hAnsi="Calibri" w:cs="Calibri"/>
          <w:color w:val="000000"/>
          <w:lang w:eastAsia="cs-CZ"/>
        </w:rPr>
        <w:t>. Náklady ve sledovaném období narůstají, v roce 2019 činil náklad finančních prostředků investovaných do městského bytového fondu 58 mil. Kč. Vysoké náklady v roce 2014 si vyžádaly nutné rozsáhlé opravy velkých bytových budov na sídlišti Jižní svahy. Vzhledem ke zmenšení počtu bytů v bytovém fondu města mezi lety 2011 a 2019 se příjmy z bytového fondu snížily, zároveň se v uplynulých letech zvýšily výdaje za opravy a investice.</w:t>
      </w:r>
    </w:p>
    <w:p w14:paraId="3E8B4631" w14:textId="4437254B" w:rsidR="00047BE4" w:rsidRDefault="00047BE4" w:rsidP="00047BE4">
      <w:pPr>
        <w:pStyle w:val="Titulek"/>
        <w:keepNext/>
        <w:jc w:val="left"/>
      </w:pPr>
      <w:bookmarkStart w:id="103" w:name="_Toc49439863"/>
      <w:bookmarkStart w:id="104" w:name="_Toc53037909"/>
      <w:bookmarkStart w:id="105" w:name="_Toc7707483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20</w:t>
      </w:r>
      <w:r w:rsidR="00804AF3">
        <w:rPr>
          <w:noProof/>
        </w:rPr>
        <w:fldChar w:fldCharType="end"/>
      </w:r>
      <w:r w:rsidR="00DF6936">
        <w:rPr>
          <w:noProof/>
        </w:rPr>
        <w:t>:</w:t>
      </w:r>
      <w:r>
        <w:t xml:space="preserve"> Náklady na provoz a investiční výdaje v rámci bytového fondu města od r. 2011</w:t>
      </w:r>
      <w:bookmarkEnd w:id="103"/>
      <w:bookmarkEnd w:id="104"/>
      <w:bookmarkEnd w:id="105"/>
    </w:p>
    <w:p w14:paraId="0010A88F" w14:textId="2501CFB2" w:rsidR="00047BE4" w:rsidRDefault="00047BE4" w:rsidP="00047BE4">
      <w:pPr>
        <w:pStyle w:val="Zdroj"/>
      </w:pPr>
      <w:r>
        <w:rPr>
          <w:noProof/>
        </w:rPr>
        <w:drawing>
          <wp:inline distT="0" distB="0" distL="0" distR="0" wp14:anchorId="43B6CD8D" wp14:editId="56F8690C">
            <wp:extent cx="5773420" cy="2152015"/>
            <wp:effectExtent l="0" t="0" r="0" b="63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3420" cy="2152015"/>
                    </a:xfrm>
                    <a:prstGeom prst="rect">
                      <a:avLst/>
                    </a:prstGeom>
                    <a:noFill/>
                  </pic:spPr>
                </pic:pic>
              </a:graphicData>
            </a:graphic>
          </wp:inline>
        </w:drawing>
      </w:r>
      <w:r>
        <w:t>Zdroj: MMZ</w:t>
      </w:r>
      <w:r w:rsidRPr="000A729A">
        <w:t xml:space="preserve"> </w:t>
      </w:r>
      <w:r>
        <w:t>zpracování PROCES, 2020</w:t>
      </w:r>
      <w:r w:rsidR="00DF6936">
        <w:t>.</w:t>
      </w:r>
    </w:p>
    <w:p w14:paraId="1A1F38DD" w14:textId="3D14550B" w:rsidR="00047BE4" w:rsidRDefault="00047BE4" w:rsidP="00047BE4">
      <w:pPr>
        <w:pStyle w:val="Titulek"/>
        <w:keepNext/>
        <w:jc w:val="left"/>
      </w:pPr>
      <w:bookmarkStart w:id="106" w:name="_Toc49439864"/>
      <w:bookmarkStart w:id="107" w:name="_Toc53037910"/>
      <w:bookmarkStart w:id="108" w:name="_Toc7707483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21</w:t>
      </w:r>
      <w:r w:rsidR="00804AF3">
        <w:rPr>
          <w:noProof/>
        </w:rPr>
        <w:fldChar w:fldCharType="end"/>
      </w:r>
      <w:r w:rsidR="00DF6936">
        <w:rPr>
          <w:noProof/>
        </w:rPr>
        <w:t>:</w:t>
      </w:r>
      <w:r>
        <w:t xml:space="preserve"> Příjmy (nájemné) a výdaje (náklady na provoz a investiční výdaje) v rámci bytového fondu města od r. 2011</w:t>
      </w:r>
      <w:bookmarkEnd w:id="106"/>
      <w:bookmarkEnd w:id="107"/>
      <w:bookmarkEnd w:id="108"/>
    </w:p>
    <w:p w14:paraId="3AD531A1" w14:textId="77777777" w:rsidR="00047BE4" w:rsidRPr="00B11AE1" w:rsidRDefault="00047BE4" w:rsidP="00047BE4">
      <w:r>
        <w:rPr>
          <w:noProof/>
          <w:lang w:eastAsia="cs-CZ"/>
        </w:rPr>
        <w:drawing>
          <wp:inline distT="0" distB="0" distL="0" distR="0" wp14:anchorId="12E2CE80" wp14:editId="2218AF83">
            <wp:extent cx="5761355" cy="224980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1355" cy="2249805"/>
                    </a:xfrm>
                    <a:prstGeom prst="rect">
                      <a:avLst/>
                    </a:prstGeom>
                    <a:noFill/>
                  </pic:spPr>
                </pic:pic>
              </a:graphicData>
            </a:graphic>
          </wp:inline>
        </w:drawing>
      </w:r>
    </w:p>
    <w:p w14:paraId="1FDDCF97" w14:textId="292E979A" w:rsidR="00047BE4" w:rsidRDefault="00047BE4" w:rsidP="00047BE4">
      <w:pPr>
        <w:pStyle w:val="Zdroj"/>
      </w:pPr>
      <w:r>
        <w:t>Zdroj: MMZ, zpracování PROCES, 2020</w:t>
      </w:r>
      <w:r w:rsidR="00DF6936">
        <w:t>.</w:t>
      </w:r>
    </w:p>
    <w:p w14:paraId="1B719CEA" w14:textId="646921AE" w:rsidR="00047BE4" w:rsidRPr="008307E1" w:rsidRDefault="00047BE4" w:rsidP="00047BE4">
      <w:r>
        <w:rPr>
          <w:rFonts w:ascii="Calibri" w:eastAsia="Times New Roman" w:hAnsi="Calibri" w:cs="Calibri"/>
          <w:color w:val="000000"/>
          <w:lang w:eastAsia="cs-CZ"/>
        </w:rPr>
        <w:t xml:space="preserve">Rozdělení bytů v bytovém fondu spolu s počtem žádostí o pronájem v jednotlivých kategorií shrnuje tabulka </w:t>
      </w:r>
      <w:r w:rsidR="004846A1">
        <w:rPr>
          <w:rFonts w:ascii="Calibri" w:eastAsia="Times New Roman" w:hAnsi="Calibri" w:cs="Calibri"/>
          <w:color w:val="000000"/>
          <w:lang w:eastAsia="cs-CZ"/>
        </w:rPr>
        <w:t>1.14</w:t>
      </w:r>
      <w:r>
        <w:rPr>
          <w:rFonts w:ascii="Calibri" w:eastAsia="Times New Roman" w:hAnsi="Calibri" w:cs="Calibri"/>
          <w:color w:val="000000"/>
          <w:lang w:eastAsia="cs-CZ"/>
        </w:rPr>
        <w:t>.</w:t>
      </w:r>
    </w:p>
    <w:p w14:paraId="709D744D" w14:textId="53E9E4F8" w:rsidR="00047BE4" w:rsidRDefault="00047BE4" w:rsidP="00047BE4">
      <w:pPr>
        <w:pStyle w:val="Titulek"/>
        <w:keepNext/>
      </w:pPr>
      <w:bookmarkStart w:id="109" w:name="_Toc49439855"/>
      <w:bookmarkStart w:id="110" w:name="_Toc53037874"/>
      <w:bookmarkStart w:id="111" w:name="_Toc77074694"/>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14</w:t>
      </w:r>
      <w:r w:rsidR="00081B47">
        <w:rPr>
          <w:noProof/>
        </w:rPr>
        <w:fldChar w:fldCharType="end"/>
      </w:r>
      <w:r w:rsidR="00DF6936">
        <w:rPr>
          <w:noProof/>
        </w:rPr>
        <w:t>:</w:t>
      </w:r>
      <w:r>
        <w:t xml:space="preserve"> Přehled počtu žadatelů o městské byty v letech 2018 a 2019</w:t>
      </w:r>
      <w:bookmarkEnd w:id="109"/>
      <w:bookmarkEnd w:id="110"/>
      <w:bookmarkEnd w:id="111"/>
    </w:p>
    <w:tbl>
      <w:tblPr>
        <w:tblW w:w="8980" w:type="dxa"/>
        <w:tblCellMar>
          <w:left w:w="70" w:type="dxa"/>
          <w:right w:w="70" w:type="dxa"/>
        </w:tblCellMar>
        <w:tblLook w:val="04A0" w:firstRow="1" w:lastRow="0" w:firstColumn="1" w:lastColumn="0" w:noHBand="0" w:noVBand="1"/>
      </w:tblPr>
      <w:tblGrid>
        <w:gridCol w:w="3220"/>
        <w:gridCol w:w="960"/>
        <w:gridCol w:w="960"/>
        <w:gridCol w:w="960"/>
        <w:gridCol w:w="960"/>
        <w:gridCol w:w="960"/>
        <w:gridCol w:w="960"/>
      </w:tblGrid>
      <w:tr w:rsidR="00047BE4" w:rsidRPr="007D20E0" w14:paraId="1DABCC3C" w14:textId="77777777" w:rsidTr="00047BE4">
        <w:trPr>
          <w:trHeight w:val="255"/>
        </w:trPr>
        <w:tc>
          <w:tcPr>
            <w:tcW w:w="3220"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6383B01F" w14:textId="77777777" w:rsidR="00047BE4" w:rsidRPr="007D20E0" w:rsidRDefault="00047BE4" w:rsidP="00047BE4">
            <w:pPr>
              <w:spacing w:before="0"/>
              <w:jc w:val="center"/>
              <w:rPr>
                <w:rFonts w:ascii="Calibri" w:eastAsia="Times New Roman" w:hAnsi="Calibri" w:cs="Calibri"/>
                <w:b/>
                <w:bCs/>
                <w:color w:val="000000"/>
                <w:sz w:val="18"/>
                <w:szCs w:val="18"/>
                <w:lang w:eastAsia="cs-CZ"/>
              </w:rPr>
            </w:pPr>
            <w:r w:rsidRPr="007D20E0">
              <w:rPr>
                <w:rFonts w:ascii="Calibri" w:eastAsia="Times New Roman" w:hAnsi="Calibri" w:cs="Calibri"/>
                <w:b/>
                <w:bCs/>
                <w:color w:val="000000"/>
                <w:sz w:val="18"/>
                <w:szCs w:val="18"/>
                <w:lang w:eastAsia="cs-CZ"/>
              </w:rPr>
              <w:t> </w:t>
            </w:r>
          </w:p>
        </w:tc>
        <w:tc>
          <w:tcPr>
            <w:tcW w:w="1920" w:type="dxa"/>
            <w:gridSpan w:val="2"/>
            <w:tcBorders>
              <w:top w:val="single" w:sz="4" w:space="0" w:color="auto"/>
              <w:left w:val="nil"/>
              <w:bottom w:val="single" w:sz="4" w:space="0" w:color="auto"/>
              <w:right w:val="single" w:sz="4" w:space="0" w:color="auto"/>
            </w:tcBorders>
            <w:shd w:val="clear" w:color="000000" w:fill="F2F2F2"/>
            <w:vAlign w:val="center"/>
            <w:hideMark/>
          </w:tcPr>
          <w:p w14:paraId="4E0882BB" w14:textId="77777777" w:rsidR="00047BE4" w:rsidRPr="007D20E0" w:rsidRDefault="00047BE4" w:rsidP="00047BE4">
            <w:pPr>
              <w:spacing w:before="0"/>
              <w:jc w:val="center"/>
              <w:rPr>
                <w:rFonts w:ascii="Calibri" w:eastAsia="Times New Roman" w:hAnsi="Calibri" w:cs="Calibri"/>
                <w:b/>
                <w:bCs/>
                <w:color w:val="000000"/>
                <w:sz w:val="18"/>
                <w:szCs w:val="18"/>
                <w:lang w:eastAsia="cs-CZ"/>
              </w:rPr>
            </w:pPr>
            <w:r w:rsidRPr="007D20E0">
              <w:rPr>
                <w:rFonts w:ascii="Calibri" w:eastAsia="Times New Roman" w:hAnsi="Calibri" w:cs="Calibri"/>
                <w:b/>
                <w:bCs/>
                <w:color w:val="000000"/>
                <w:sz w:val="18"/>
                <w:szCs w:val="18"/>
                <w:lang w:eastAsia="cs-CZ"/>
              </w:rPr>
              <w:t>Startovací</w:t>
            </w:r>
          </w:p>
        </w:tc>
        <w:tc>
          <w:tcPr>
            <w:tcW w:w="1920" w:type="dxa"/>
            <w:gridSpan w:val="2"/>
            <w:tcBorders>
              <w:top w:val="single" w:sz="4" w:space="0" w:color="auto"/>
              <w:left w:val="nil"/>
              <w:bottom w:val="single" w:sz="4" w:space="0" w:color="auto"/>
              <w:right w:val="single" w:sz="4" w:space="0" w:color="auto"/>
            </w:tcBorders>
            <w:shd w:val="clear" w:color="000000" w:fill="F2F2F2"/>
            <w:vAlign w:val="center"/>
            <w:hideMark/>
          </w:tcPr>
          <w:p w14:paraId="378C283C" w14:textId="77777777" w:rsidR="00047BE4" w:rsidRPr="007D20E0" w:rsidRDefault="00047BE4" w:rsidP="00047BE4">
            <w:pPr>
              <w:spacing w:before="0"/>
              <w:jc w:val="center"/>
              <w:rPr>
                <w:rFonts w:ascii="Calibri" w:eastAsia="Times New Roman" w:hAnsi="Calibri" w:cs="Calibri"/>
                <w:b/>
                <w:bCs/>
                <w:color w:val="000000"/>
                <w:sz w:val="18"/>
                <w:szCs w:val="18"/>
                <w:lang w:eastAsia="cs-CZ"/>
              </w:rPr>
            </w:pPr>
            <w:r w:rsidRPr="007D20E0">
              <w:rPr>
                <w:rFonts w:ascii="Calibri" w:eastAsia="Times New Roman" w:hAnsi="Calibri" w:cs="Calibri"/>
                <w:b/>
                <w:bCs/>
                <w:color w:val="000000"/>
                <w:sz w:val="18"/>
                <w:szCs w:val="18"/>
                <w:lang w:eastAsia="cs-CZ"/>
              </w:rPr>
              <w:t>Běžné</w:t>
            </w:r>
          </w:p>
        </w:tc>
        <w:tc>
          <w:tcPr>
            <w:tcW w:w="1920" w:type="dxa"/>
            <w:gridSpan w:val="2"/>
            <w:tcBorders>
              <w:top w:val="single" w:sz="4" w:space="0" w:color="auto"/>
              <w:left w:val="nil"/>
              <w:bottom w:val="single" w:sz="4" w:space="0" w:color="auto"/>
              <w:right w:val="single" w:sz="4" w:space="0" w:color="auto"/>
            </w:tcBorders>
            <w:shd w:val="clear" w:color="000000" w:fill="F2F2F2"/>
            <w:vAlign w:val="center"/>
            <w:hideMark/>
          </w:tcPr>
          <w:p w14:paraId="16F059A5" w14:textId="77777777" w:rsidR="00047BE4" w:rsidRPr="007620EC" w:rsidRDefault="00047BE4" w:rsidP="00047BE4">
            <w:pPr>
              <w:spacing w:before="0"/>
              <w:jc w:val="center"/>
              <w:rPr>
                <w:rFonts w:ascii="Calibri" w:eastAsia="Times New Roman" w:hAnsi="Calibri" w:cs="Calibri"/>
                <w:b/>
                <w:bCs/>
                <w:i/>
                <w:sz w:val="18"/>
                <w:szCs w:val="18"/>
                <w:lang w:eastAsia="cs-CZ"/>
              </w:rPr>
            </w:pPr>
            <w:r w:rsidRPr="007620EC">
              <w:rPr>
                <w:rFonts w:ascii="Calibri" w:eastAsia="Times New Roman" w:hAnsi="Calibri" w:cs="Calibri"/>
                <w:b/>
                <w:bCs/>
                <w:i/>
                <w:sz w:val="18"/>
                <w:szCs w:val="18"/>
                <w:lang w:eastAsia="cs-CZ"/>
              </w:rPr>
              <w:t>Senioři a OZP*</w:t>
            </w:r>
          </w:p>
        </w:tc>
      </w:tr>
      <w:tr w:rsidR="00047BE4" w:rsidRPr="007D20E0" w14:paraId="019725C0" w14:textId="77777777" w:rsidTr="00047BE4">
        <w:trPr>
          <w:trHeight w:val="255"/>
        </w:trPr>
        <w:tc>
          <w:tcPr>
            <w:tcW w:w="3220" w:type="dxa"/>
            <w:vMerge/>
            <w:tcBorders>
              <w:top w:val="single" w:sz="4" w:space="0" w:color="auto"/>
              <w:left w:val="single" w:sz="4" w:space="0" w:color="auto"/>
              <w:bottom w:val="single" w:sz="4" w:space="0" w:color="000000"/>
              <w:right w:val="single" w:sz="4" w:space="0" w:color="auto"/>
            </w:tcBorders>
            <w:vAlign w:val="center"/>
            <w:hideMark/>
          </w:tcPr>
          <w:p w14:paraId="62C6E399" w14:textId="77777777" w:rsidR="00047BE4" w:rsidRPr="007D20E0" w:rsidRDefault="00047BE4" w:rsidP="00047BE4">
            <w:pPr>
              <w:spacing w:before="0"/>
              <w:jc w:val="left"/>
              <w:rPr>
                <w:rFonts w:ascii="Calibri" w:eastAsia="Times New Roman" w:hAnsi="Calibri" w:cs="Calibri"/>
                <w:b/>
                <w:bCs/>
                <w:color w:val="000000"/>
                <w:sz w:val="18"/>
                <w:szCs w:val="18"/>
                <w:lang w:eastAsia="cs-CZ"/>
              </w:rPr>
            </w:pPr>
          </w:p>
        </w:tc>
        <w:tc>
          <w:tcPr>
            <w:tcW w:w="960" w:type="dxa"/>
            <w:tcBorders>
              <w:top w:val="nil"/>
              <w:left w:val="nil"/>
              <w:bottom w:val="single" w:sz="4" w:space="0" w:color="auto"/>
              <w:right w:val="single" w:sz="4" w:space="0" w:color="auto"/>
            </w:tcBorders>
            <w:shd w:val="clear" w:color="000000" w:fill="F2F2F2"/>
            <w:vAlign w:val="center"/>
            <w:hideMark/>
          </w:tcPr>
          <w:p w14:paraId="03166191" w14:textId="77777777" w:rsidR="00047BE4" w:rsidRPr="007D20E0" w:rsidRDefault="00047BE4" w:rsidP="00047BE4">
            <w:pPr>
              <w:spacing w:before="0"/>
              <w:jc w:val="center"/>
              <w:rPr>
                <w:rFonts w:ascii="Calibri" w:eastAsia="Times New Roman" w:hAnsi="Calibri" w:cs="Calibri"/>
                <w:b/>
                <w:bCs/>
                <w:color w:val="000000"/>
                <w:sz w:val="18"/>
                <w:szCs w:val="18"/>
                <w:lang w:eastAsia="cs-CZ"/>
              </w:rPr>
            </w:pPr>
            <w:r w:rsidRPr="007D20E0">
              <w:rPr>
                <w:rFonts w:ascii="Calibri" w:eastAsia="Times New Roman" w:hAnsi="Calibri" w:cs="Calibri"/>
                <w:b/>
                <w:bCs/>
                <w:color w:val="000000"/>
                <w:sz w:val="18"/>
                <w:szCs w:val="18"/>
                <w:lang w:eastAsia="cs-CZ"/>
              </w:rPr>
              <w:t>2018</w:t>
            </w:r>
          </w:p>
        </w:tc>
        <w:tc>
          <w:tcPr>
            <w:tcW w:w="960" w:type="dxa"/>
            <w:tcBorders>
              <w:top w:val="nil"/>
              <w:left w:val="nil"/>
              <w:bottom w:val="single" w:sz="4" w:space="0" w:color="auto"/>
              <w:right w:val="single" w:sz="4" w:space="0" w:color="auto"/>
            </w:tcBorders>
            <w:shd w:val="clear" w:color="000000" w:fill="F2F2F2"/>
            <w:vAlign w:val="center"/>
            <w:hideMark/>
          </w:tcPr>
          <w:p w14:paraId="0CA9AA41" w14:textId="77777777" w:rsidR="00047BE4" w:rsidRPr="007D20E0" w:rsidRDefault="00047BE4" w:rsidP="00047BE4">
            <w:pPr>
              <w:spacing w:before="0"/>
              <w:jc w:val="center"/>
              <w:rPr>
                <w:rFonts w:ascii="Calibri" w:eastAsia="Times New Roman" w:hAnsi="Calibri" w:cs="Calibri"/>
                <w:b/>
                <w:bCs/>
                <w:color w:val="000000"/>
                <w:sz w:val="18"/>
                <w:szCs w:val="18"/>
                <w:lang w:eastAsia="cs-CZ"/>
              </w:rPr>
            </w:pPr>
            <w:r w:rsidRPr="007D20E0">
              <w:rPr>
                <w:rFonts w:ascii="Calibri" w:eastAsia="Times New Roman" w:hAnsi="Calibri" w:cs="Calibri"/>
                <w:b/>
                <w:bCs/>
                <w:color w:val="000000"/>
                <w:sz w:val="18"/>
                <w:szCs w:val="18"/>
                <w:lang w:eastAsia="cs-CZ"/>
              </w:rPr>
              <w:t>2019</w:t>
            </w:r>
          </w:p>
        </w:tc>
        <w:tc>
          <w:tcPr>
            <w:tcW w:w="960" w:type="dxa"/>
            <w:tcBorders>
              <w:top w:val="nil"/>
              <w:left w:val="nil"/>
              <w:bottom w:val="single" w:sz="4" w:space="0" w:color="auto"/>
              <w:right w:val="single" w:sz="4" w:space="0" w:color="auto"/>
            </w:tcBorders>
            <w:shd w:val="clear" w:color="000000" w:fill="F2F2F2"/>
            <w:vAlign w:val="center"/>
            <w:hideMark/>
          </w:tcPr>
          <w:p w14:paraId="63F54A64" w14:textId="77777777" w:rsidR="00047BE4" w:rsidRPr="007D20E0" w:rsidRDefault="00047BE4" w:rsidP="00047BE4">
            <w:pPr>
              <w:spacing w:before="0"/>
              <w:jc w:val="center"/>
              <w:rPr>
                <w:rFonts w:ascii="Calibri" w:eastAsia="Times New Roman" w:hAnsi="Calibri" w:cs="Calibri"/>
                <w:b/>
                <w:bCs/>
                <w:color w:val="000000"/>
                <w:sz w:val="18"/>
                <w:szCs w:val="18"/>
                <w:lang w:eastAsia="cs-CZ"/>
              </w:rPr>
            </w:pPr>
            <w:r w:rsidRPr="007D20E0">
              <w:rPr>
                <w:rFonts w:ascii="Calibri" w:eastAsia="Times New Roman" w:hAnsi="Calibri" w:cs="Calibri"/>
                <w:b/>
                <w:bCs/>
                <w:color w:val="000000"/>
                <w:sz w:val="18"/>
                <w:szCs w:val="18"/>
                <w:lang w:eastAsia="cs-CZ"/>
              </w:rPr>
              <w:t>2018</w:t>
            </w:r>
          </w:p>
        </w:tc>
        <w:tc>
          <w:tcPr>
            <w:tcW w:w="960" w:type="dxa"/>
            <w:tcBorders>
              <w:top w:val="nil"/>
              <w:left w:val="nil"/>
              <w:bottom w:val="single" w:sz="4" w:space="0" w:color="auto"/>
              <w:right w:val="single" w:sz="4" w:space="0" w:color="auto"/>
            </w:tcBorders>
            <w:shd w:val="clear" w:color="000000" w:fill="F2F2F2"/>
            <w:vAlign w:val="center"/>
            <w:hideMark/>
          </w:tcPr>
          <w:p w14:paraId="5433D9CD" w14:textId="77777777" w:rsidR="00047BE4" w:rsidRPr="007D20E0" w:rsidRDefault="00047BE4" w:rsidP="00047BE4">
            <w:pPr>
              <w:spacing w:before="0"/>
              <w:jc w:val="center"/>
              <w:rPr>
                <w:rFonts w:ascii="Calibri" w:eastAsia="Times New Roman" w:hAnsi="Calibri" w:cs="Calibri"/>
                <w:b/>
                <w:bCs/>
                <w:color w:val="000000"/>
                <w:sz w:val="18"/>
                <w:szCs w:val="18"/>
                <w:lang w:eastAsia="cs-CZ"/>
              </w:rPr>
            </w:pPr>
            <w:r w:rsidRPr="007D20E0">
              <w:rPr>
                <w:rFonts w:ascii="Calibri" w:eastAsia="Times New Roman" w:hAnsi="Calibri" w:cs="Calibri"/>
                <w:b/>
                <w:bCs/>
                <w:color w:val="000000"/>
                <w:sz w:val="18"/>
                <w:szCs w:val="18"/>
                <w:lang w:eastAsia="cs-CZ"/>
              </w:rPr>
              <w:t>2019</w:t>
            </w:r>
          </w:p>
        </w:tc>
        <w:tc>
          <w:tcPr>
            <w:tcW w:w="960" w:type="dxa"/>
            <w:tcBorders>
              <w:top w:val="nil"/>
              <w:left w:val="nil"/>
              <w:bottom w:val="single" w:sz="4" w:space="0" w:color="auto"/>
              <w:right w:val="single" w:sz="4" w:space="0" w:color="auto"/>
            </w:tcBorders>
            <w:shd w:val="clear" w:color="000000" w:fill="F2F2F2"/>
            <w:vAlign w:val="center"/>
            <w:hideMark/>
          </w:tcPr>
          <w:p w14:paraId="64376536" w14:textId="77777777" w:rsidR="00047BE4" w:rsidRPr="007620EC" w:rsidRDefault="00047BE4" w:rsidP="00047BE4">
            <w:pPr>
              <w:spacing w:before="0"/>
              <w:jc w:val="center"/>
              <w:rPr>
                <w:rFonts w:ascii="Calibri" w:eastAsia="Times New Roman" w:hAnsi="Calibri" w:cs="Calibri"/>
                <w:b/>
                <w:bCs/>
                <w:i/>
                <w:sz w:val="18"/>
                <w:szCs w:val="18"/>
                <w:lang w:eastAsia="cs-CZ"/>
              </w:rPr>
            </w:pPr>
            <w:r w:rsidRPr="007620EC">
              <w:rPr>
                <w:rFonts w:ascii="Calibri" w:eastAsia="Times New Roman" w:hAnsi="Calibri" w:cs="Calibri"/>
                <w:b/>
                <w:bCs/>
                <w:i/>
                <w:sz w:val="18"/>
                <w:szCs w:val="18"/>
                <w:lang w:eastAsia="cs-CZ"/>
              </w:rPr>
              <w:t>2018</w:t>
            </w:r>
          </w:p>
        </w:tc>
        <w:tc>
          <w:tcPr>
            <w:tcW w:w="960" w:type="dxa"/>
            <w:tcBorders>
              <w:top w:val="nil"/>
              <w:left w:val="nil"/>
              <w:bottom w:val="single" w:sz="4" w:space="0" w:color="auto"/>
              <w:right w:val="single" w:sz="4" w:space="0" w:color="auto"/>
            </w:tcBorders>
            <w:shd w:val="clear" w:color="000000" w:fill="F2F2F2"/>
            <w:vAlign w:val="center"/>
            <w:hideMark/>
          </w:tcPr>
          <w:p w14:paraId="3C32BD5B" w14:textId="77777777" w:rsidR="00047BE4" w:rsidRPr="007620EC" w:rsidRDefault="00047BE4" w:rsidP="00047BE4">
            <w:pPr>
              <w:spacing w:before="0"/>
              <w:jc w:val="center"/>
              <w:rPr>
                <w:rFonts w:ascii="Calibri" w:eastAsia="Times New Roman" w:hAnsi="Calibri" w:cs="Calibri"/>
                <w:b/>
                <w:bCs/>
                <w:i/>
                <w:sz w:val="18"/>
                <w:szCs w:val="18"/>
                <w:lang w:eastAsia="cs-CZ"/>
              </w:rPr>
            </w:pPr>
            <w:r w:rsidRPr="007620EC">
              <w:rPr>
                <w:rFonts w:ascii="Calibri" w:eastAsia="Times New Roman" w:hAnsi="Calibri" w:cs="Calibri"/>
                <w:b/>
                <w:bCs/>
                <w:i/>
                <w:sz w:val="18"/>
                <w:szCs w:val="18"/>
                <w:lang w:eastAsia="cs-CZ"/>
              </w:rPr>
              <w:t>2019</w:t>
            </w:r>
          </w:p>
        </w:tc>
      </w:tr>
      <w:tr w:rsidR="00047BE4" w:rsidRPr="007D20E0" w14:paraId="68D9DECF" w14:textId="77777777" w:rsidTr="00047BE4">
        <w:trPr>
          <w:trHeight w:val="255"/>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1E8FFA7D" w14:textId="77777777" w:rsidR="00047BE4" w:rsidRPr="007D20E0" w:rsidRDefault="00047BE4" w:rsidP="00047BE4">
            <w:pPr>
              <w:spacing w:before="0"/>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Počet bytů dané kategorie</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948AF"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30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61430"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30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156E1"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1 574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EEB74"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1 539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B8267"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443</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68B46"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443</w:t>
            </w:r>
          </w:p>
        </w:tc>
      </w:tr>
      <w:tr w:rsidR="00047BE4" w:rsidRPr="007D20E0" w14:paraId="293FBFB2" w14:textId="77777777" w:rsidTr="00047BE4">
        <w:trPr>
          <w:trHeight w:val="255"/>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09459813" w14:textId="77777777" w:rsidR="00047BE4" w:rsidRPr="007D20E0" w:rsidRDefault="00047BE4" w:rsidP="00047BE4">
            <w:pPr>
              <w:spacing w:before="0"/>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 xml:space="preserve">Počet evidovaných žádostí k 1. 1. </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7C175"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573F4"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E384D"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242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72A196"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236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DD97F"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340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DCD74"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442</w:t>
            </w:r>
          </w:p>
        </w:tc>
      </w:tr>
      <w:tr w:rsidR="00047BE4" w:rsidRPr="007D20E0" w14:paraId="0BF6BB5F" w14:textId="77777777" w:rsidTr="00047BE4">
        <w:trPr>
          <w:trHeight w:val="255"/>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0DA9E05D" w14:textId="77777777" w:rsidR="00047BE4" w:rsidRPr="007D20E0" w:rsidRDefault="00047BE4" w:rsidP="00047BE4">
            <w:pPr>
              <w:spacing w:before="0"/>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Počet nově podaných žádostí</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11B50"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1A980"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05A62"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106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83500"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97</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5FAD8"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134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51301"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68</w:t>
            </w:r>
          </w:p>
        </w:tc>
      </w:tr>
      <w:tr w:rsidR="00047BE4" w:rsidRPr="007D20E0" w14:paraId="7D63B442" w14:textId="77777777" w:rsidTr="00047BE4">
        <w:trPr>
          <w:trHeight w:val="255"/>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137EF339" w14:textId="77777777" w:rsidR="00047BE4" w:rsidRPr="007D20E0" w:rsidRDefault="00047BE4" w:rsidP="00047BE4">
            <w:pPr>
              <w:spacing w:before="0"/>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Žádosti vyřazené ze seznamu</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595A9"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B3551"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96079"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5</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6BD60"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89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BE74A"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15</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4CC70"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22</w:t>
            </w:r>
          </w:p>
        </w:tc>
      </w:tr>
      <w:tr w:rsidR="00047BE4" w:rsidRPr="007D20E0" w14:paraId="423A8816" w14:textId="77777777" w:rsidTr="00047BE4">
        <w:trPr>
          <w:trHeight w:val="255"/>
        </w:trPr>
        <w:tc>
          <w:tcPr>
            <w:tcW w:w="3220" w:type="dxa"/>
            <w:tcBorders>
              <w:top w:val="nil"/>
              <w:left w:val="single" w:sz="4" w:space="0" w:color="auto"/>
              <w:bottom w:val="single" w:sz="4" w:space="0" w:color="auto"/>
              <w:right w:val="single" w:sz="4" w:space="0" w:color="auto"/>
            </w:tcBorders>
            <w:shd w:val="clear" w:color="auto" w:fill="auto"/>
            <w:vAlign w:val="center"/>
            <w:hideMark/>
          </w:tcPr>
          <w:p w14:paraId="7507446E" w14:textId="77777777" w:rsidR="00047BE4" w:rsidRPr="007D20E0" w:rsidRDefault="00047BE4" w:rsidP="00047BE4">
            <w:pPr>
              <w:spacing w:before="0"/>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Nově pronajaté byty</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924ED"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A6067"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1341F"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107</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967E6" w14:textId="77777777" w:rsidR="00047BE4" w:rsidRPr="007D20E0" w:rsidRDefault="00047BE4" w:rsidP="00047BE4">
            <w:pPr>
              <w:spacing w:before="0"/>
              <w:jc w:val="center"/>
              <w:rPr>
                <w:rFonts w:ascii="Calibri" w:eastAsia="Times New Roman" w:hAnsi="Calibri" w:cs="Calibri"/>
                <w:color w:val="000000"/>
                <w:sz w:val="18"/>
                <w:szCs w:val="18"/>
                <w:lang w:eastAsia="cs-CZ"/>
              </w:rPr>
            </w:pPr>
            <w:r w:rsidRPr="007D20E0">
              <w:rPr>
                <w:rFonts w:ascii="Calibri" w:eastAsia="Times New Roman" w:hAnsi="Calibri" w:cs="Calibri"/>
                <w:color w:val="000000"/>
                <w:sz w:val="18"/>
                <w:szCs w:val="18"/>
                <w:lang w:eastAsia="cs-CZ"/>
              </w:rPr>
              <w:t>69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3A5D7"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17</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E074A" w14:textId="77777777" w:rsidR="00047BE4" w:rsidRPr="007620EC" w:rsidRDefault="00047BE4" w:rsidP="00047BE4">
            <w:pPr>
              <w:spacing w:before="0"/>
              <w:jc w:val="center"/>
              <w:rPr>
                <w:rFonts w:ascii="Calibri" w:eastAsia="Times New Roman" w:hAnsi="Calibri" w:cs="Calibri"/>
                <w:i/>
                <w:sz w:val="18"/>
                <w:szCs w:val="18"/>
                <w:lang w:eastAsia="cs-CZ"/>
              </w:rPr>
            </w:pPr>
            <w:r w:rsidRPr="007620EC">
              <w:rPr>
                <w:rFonts w:ascii="Calibri" w:eastAsia="Times New Roman" w:hAnsi="Calibri" w:cs="Calibri"/>
                <w:i/>
                <w:sz w:val="18"/>
                <w:szCs w:val="18"/>
                <w:lang w:eastAsia="cs-CZ"/>
              </w:rPr>
              <w:t>52</w:t>
            </w:r>
          </w:p>
        </w:tc>
      </w:tr>
    </w:tbl>
    <w:p w14:paraId="5A83848A" w14:textId="77777777" w:rsidR="00047BE4" w:rsidRDefault="00047BE4" w:rsidP="00047BE4">
      <w:pPr>
        <w:pStyle w:val="Zdroj"/>
      </w:pPr>
      <w:r>
        <w:t>Zdroj: MMZ</w:t>
      </w:r>
      <w:r>
        <w:br/>
      </w:r>
      <w:r w:rsidRPr="007D20E0">
        <w:t xml:space="preserve">* </w:t>
      </w:r>
      <w:r>
        <w:t>Vzhledem k možnosti podání žádosti i pro žadatele nesplňující podmínky udělení městského bytu jsou údaje v kategorii „Senioři a OZP“ pouze ilustrativní.</w:t>
      </w:r>
    </w:p>
    <w:p w14:paraId="02808617" w14:textId="5A5F43A2" w:rsidR="00047BE4" w:rsidRPr="008A1025" w:rsidRDefault="00047BE4" w:rsidP="00047BE4">
      <w:r>
        <w:rPr>
          <w:rFonts w:ascii="Calibri" w:eastAsia="Times New Roman" w:hAnsi="Calibri" w:cs="Calibri"/>
          <w:color w:val="000000"/>
          <w:lang w:eastAsia="cs-CZ"/>
        </w:rPr>
        <w:t>Vzhledem k příznivé ceně nájmů městských bytů v porovnání s komerčně pronajímanými byty je o byty velký zájem a kapacita městských bytů je plně využita. Výše nájemného pro jednotlivé katego</w:t>
      </w:r>
      <w:r w:rsidR="004846A1">
        <w:rPr>
          <w:rFonts w:ascii="Calibri" w:eastAsia="Times New Roman" w:hAnsi="Calibri" w:cs="Calibri"/>
          <w:color w:val="000000"/>
          <w:lang w:eastAsia="cs-CZ"/>
        </w:rPr>
        <w:t>rie bydlení shrnuje tabulka 1.15</w:t>
      </w:r>
      <w:r>
        <w:rPr>
          <w:rFonts w:ascii="Calibri" w:eastAsia="Times New Roman" w:hAnsi="Calibri" w:cs="Calibri"/>
          <w:color w:val="000000"/>
          <w:lang w:eastAsia="cs-CZ"/>
        </w:rPr>
        <w:t>. Pro srovnání lze uvést průměrnou výši nájemného dle statistiky nemovitostí realitní společnosti Realitymix</w:t>
      </w:r>
      <w:r>
        <w:rPr>
          <w:rStyle w:val="Znakapoznpodarou"/>
          <w:rFonts w:ascii="Calibri" w:eastAsia="Times New Roman" w:hAnsi="Calibri" w:cs="Calibri"/>
          <w:color w:val="000000"/>
          <w:lang w:eastAsia="cs-CZ"/>
        </w:rPr>
        <w:footnoteReference w:id="11"/>
      </w:r>
      <w:r>
        <w:rPr>
          <w:rFonts w:ascii="Calibri" w:eastAsia="Times New Roman" w:hAnsi="Calibri" w:cs="Calibri"/>
          <w:color w:val="000000"/>
          <w:lang w:eastAsia="cs-CZ"/>
        </w:rPr>
        <w:t>, která pro Zlín uvádí průměrnou cenu nájmu za m</w:t>
      </w:r>
      <w:r w:rsidRPr="00F72F67">
        <w:rPr>
          <w:rFonts w:ascii="Calibri" w:eastAsia="Times New Roman" w:hAnsi="Calibri" w:cs="Calibri"/>
          <w:color w:val="000000"/>
          <w:vertAlign w:val="superscript"/>
          <w:lang w:eastAsia="cs-CZ"/>
        </w:rPr>
        <w:t>2</w:t>
      </w:r>
      <w:r>
        <w:rPr>
          <w:rFonts w:ascii="Calibri" w:eastAsia="Times New Roman" w:hAnsi="Calibri" w:cs="Calibri"/>
          <w:color w:val="000000"/>
          <w:lang w:eastAsia="cs-CZ"/>
        </w:rPr>
        <w:t xml:space="preserve"> ve výši 191 Kč/m</w:t>
      </w:r>
      <w:r w:rsidRPr="00F72F67">
        <w:rPr>
          <w:rFonts w:ascii="Calibri" w:eastAsia="Times New Roman" w:hAnsi="Calibri" w:cs="Calibri"/>
          <w:color w:val="000000"/>
          <w:vertAlign w:val="superscript"/>
          <w:lang w:eastAsia="cs-CZ"/>
        </w:rPr>
        <w:t>2</w:t>
      </w:r>
      <w:r>
        <w:rPr>
          <w:rFonts w:ascii="Calibri" w:eastAsia="Times New Roman" w:hAnsi="Calibri" w:cs="Calibri"/>
          <w:color w:val="000000"/>
          <w:lang w:eastAsia="cs-CZ"/>
        </w:rPr>
        <w:t xml:space="preserve"> pro srpen 2020</w:t>
      </w:r>
      <w:r>
        <w:rPr>
          <w:rStyle w:val="Znakapoznpodarou"/>
          <w:rFonts w:ascii="Calibri" w:eastAsia="Times New Roman" w:hAnsi="Calibri" w:cs="Calibri"/>
          <w:color w:val="000000"/>
          <w:lang w:eastAsia="cs-CZ"/>
        </w:rPr>
        <w:footnoteReference w:id="12"/>
      </w:r>
      <w:r>
        <w:rPr>
          <w:rFonts w:ascii="Calibri" w:eastAsia="Times New Roman" w:hAnsi="Calibri" w:cs="Calibri"/>
          <w:color w:val="000000"/>
          <w:lang w:eastAsia="cs-CZ"/>
        </w:rPr>
        <w:t>.</w:t>
      </w:r>
    </w:p>
    <w:p w14:paraId="17A4DFAC" w14:textId="702A6C0B" w:rsidR="00047BE4" w:rsidRDefault="00047BE4" w:rsidP="00047BE4">
      <w:pPr>
        <w:pStyle w:val="Titulek"/>
        <w:keepNext/>
      </w:pPr>
      <w:bookmarkStart w:id="112" w:name="_Toc49439856"/>
      <w:bookmarkStart w:id="113" w:name="_Toc53037875"/>
      <w:bookmarkStart w:id="114" w:name="_Toc7707469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15</w:t>
      </w:r>
      <w:r w:rsidR="00081B47">
        <w:rPr>
          <w:noProof/>
        </w:rPr>
        <w:fldChar w:fldCharType="end"/>
      </w:r>
      <w:r w:rsidR="00DF6936">
        <w:rPr>
          <w:noProof/>
        </w:rPr>
        <w:t>:</w:t>
      </w:r>
      <w:r>
        <w:t xml:space="preserve"> </w:t>
      </w:r>
      <w:r w:rsidRPr="005C1476">
        <w:t>Výše nájemného v obecních bytech na m</w:t>
      </w:r>
      <w:r w:rsidRPr="005C1476">
        <w:rPr>
          <w:vertAlign w:val="superscript"/>
        </w:rPr>
        <w:t>2</w:t>
      </w:r>
      <w:r>
        <w:t xml:space="preserve"> v roce 2020</w:t>
      </w:r>
      <w:bookmarkEnd w:id="112"/>
      <w:bookmarkEnd w:id="113"/>
      <w:bookmarkEnd w:id="114"/>
    </w:p>
    <w:tbl>
      <w:tblPr>
        <w:tblW w:w="0" w:type="auto"/>
        <w:tblCellMar>
          <w:left w:w="70" w:type="dxa"/>
          <w:right w:w="70" w:type="dxa"/>
        </w:tblCellMar>
        <w:tblLook w:val="04A0" w:firstRow="1" w:lastRow="0" w:firstColumn="1" w:lastColumn="0" w:noHBand="0" w:noVBand="1"/>
      </w:tblPr>
      <w:tblGrid>
        <w:gridCol w:w="3397"/>
        <w:gridCol w:w="1888"/>
        <w:gridCol w:w="1888"/>
        <w:gridCol w:w="1889"/>
      </w:tblGrid>
      <w:tr w:rsidR="00047BE4" w:rsidRPr="00BC4E0C" w14:paraId="7FEBF6A9" w14:textId="77777777" w:rsidTr="00047BE4">
        <w:trPr>
          <w:trHeight w:val="255"/>
        </w:trPr>
        <w:tc>
          <w:tcPr>
            <w:tcW w:w="3397"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B258F9F" w14:textId="77777777" w:rsidR="00047BE4" w:rsidRPr="00BC4E0C" w:rsidRDefault="00047BE4" w:rsidP="00047BE4">
            <w:pPr>
              <w:spacing w:before="0"/>
              <w:jc w:val="center"/>
              <w:rPr>
                <w:rFonts w:ascii="Calibri" w:eastAsia="Times New Roman" w:hAnsi="Calibri" w:cs="Calibri"/>
                <w:b/>
                <w:bCs/>
                <w:color w:val="000000"/>
                <w:sz w:val="18"/>
                <w:szCs w:val="18"/>
                <w:lang w:eastAsia="cs-CZ"/>
              </w:rPr>
            </w:pPr>
            <w:r w:rsidRPr="00BC4E0C">
              <w:rPr>
                <w:rFonts w:ascii="Calibri" w:eastAsia="Times New Roman" w:hAnsi="Calibri" w:cs="Calibri"/>
                <w:b/>
                <w:bCs/>
                <w:color w:val="000000"/>
                <w:sz w:val="18"/>
                <w:szCs w:val="18"/>
                <w:lang w:eastAsia="cs-CZ"/>
              </w:rPr>
              <w:t>Typ bytu / Cena za m</w:t>
            </w:r>
            <w:r w:rsidRPr="00BC4E0C">
              <w:rPr>
                <w:rFonts w:ascii="Calibri" w:eastAsia="Times New Roman" w:hAnsi="Calibri" w:cs="Calibri"/>
                <w:b/>
                <w:bCs/>
                <w:color w:val="000000"/>
                <w:sz w:val="18"/>
                <w:szCs w:val="18"/>
                <w:vertAlign w:val="superscript"/>
                <w:lang w:eastAsia="cs-CZ"/>
              </w:rPr>
              <w:t>2</w:t>
            </w:r>
            <w:r w:rsidRPr="00BC4E0C">
              <w:rPr>
                <w:rFonts w:ascii="Calibri" w:eastAsia="Times New Roman" w:hAnsi="Calibri" w:cs="Calibri"/>
                <w:b/>
                <w:bCs/>
                <w:color w:val="000000"/>
                <w:sz w:val="18"/>
                <w:szCs w:val="18"/>
                <w:lang w:eastAsia="cs-CZ"/>
              </w:rPr>
              <w:t>/měsíc*</w:t>
            </w:r>
          </w:p>
        </w:tc>
        <w:tc>
          <w:tcPr>
            <w:tcW w:w="1888" w:type="dxa"/>
            <w:tcBorders>
              <w:top w:val="single" w:sz="4" w:space="0" w:color="auto"/>
              <w:left w:val="nil"/>
              <w:bottom w:val="nil"/>
              <w:right w:val="single" w:sz="4" w:space="0" w:color="auto"/>
            </w:tcBorders>
            <w:shd w:val="clear" w:color="000000" w:fill="F2F2F2"/>
            <w:vAlign w:val="center"/>
            <w:hideMark/>
          </w:tcPr>
          <w:p w14:paraId="5B0391D7" w14:textId="77777777" w:rsidR="00047BE4" w:rsidRPr="00BC4E0C" w:rsidRDefault="00047BE4" w:rsidP="00047BE4">
            <w:pPr>
              <w:spacing w:before="0"/>
              <w:jc w:val="center"/>
              <w:rPr>
                <w:rFonts w:ascii="Calibri" w:eastAsia="Times New Roman" w:hAnsi="Calibri" w:cs="Calibri"/>
                <w:b/>
                <w:bCs/>
                <w:color w:val="000000"/>
                <w:sz w:val="18"/>
                <w:szCs w:val="18"/>
                <w:lang w:eastAsia="cs-CZ"/>
              </w:rPr>
            </w:pPr>
            <w:r w:rsidRPr="00BC4E0C">
              <w:rPr>
                <w:rFonts w:ascii="Calibri" w:eastAsia="Times New Roman" w:hAnsi="Calibri" w:cs="Calibri"/>
                <w:b/>
                <w:bCs/>
                <w:color w:val="000000"/>
                <w:sz w:val="18"/>
                <w:szCs w:val="18"/>
                <w:lang w:eastAsia="cs-CZ"/>
              </w:rPr>
              <w:t>Počet bytů dané kategorie</w:t>
            </w:r>
          </w:p>
        </w:tc>
        <w:tc>
          <w:tcPr>
            <w:tcW w:w="1888" w:type="dxa"/>
            <w:tcBorders>
              <w:top w:val="single" w:sz="4" w:space="0" w:color="auto"/>
              <w:left w:val="nil"/>
              <w:bottom w:val="nil"/>
              <w:right w:val="single" w:sz="4" w:space="0" w:color="auto"/>
            </w:tcBorders>
            <w:shd w:val="clear" w:color="000000" w:fill="F2F2F2"/>
            <w:vAlign w:val="center"/>
            <w:hideMark/>
          </w:tcPr>
          <w:p w14:paraId="32FEBF18" w14:textId="77777777" w:rsidR="00047BE4" w:rsidRPr="00BC4E0C" w:rsidRDefault="00047BE4" w:rsidP="00047BE4">
            <w:pPr>
              <w:spacing w:before="0"/>
              <w:jc w:val="center"/>
              <w:rPr>
                <w:rFonts w:ascii="Calibri" w:eastAsia="Times New Roman" w:hAnsi="Calibri" w:cs="Calibri"/>
                <w:b/>
                <w:bCs/>
                <w:color w:val="000000"/>
                <w:sz w:val="18"/>
                <w:szCs w:val="18"/>
                <w:lang w:eastAsia="cs-CZ"/>
              </w:rPr>
            </w:pPr>
            <w:r w:rsidRPr="00BC4E0C">
              <w:rPr>
                <w:rFonts w:ascii="Calibri" w:eastAsia="Times New Roman" w:hAnsi="Calibri" w:cs="Calibri"/>
                <w:b/>
                <w:bCs/>
                <w:color w:val="000000"/>
                <w:sz w:val="18"/>
                <w:szCs w:val="18"/>
                <w:lang w:eastAsia="cs-CZ"/>
              </w:rPr>
              <w:t>Stávající nájemníci od 1. 1. 2020</w:t>
            </w:r>
          </w:p>
        </w:tc>
        <w:tc>
          <w:tcPr>
            <w:tcW w:w="1889" w:type="dxa"/>
            <w:tcBorders>
              <w:top w:val="single" w:sz="4" w:space="0" w:color="auto"/>
              <w:left w:val="nil"/>
              <w:bottom w:val="single" w:sz="4" w:space="0" w:color="auto"/>
              <w:right w:val="single" w:sz="4" w:space="0" w:color="auto"/>
            </w:tcBorders>
            <w:shd w:val="clear" w:color="000000" w:fill="F2F2F2"/>
            <w:vAlign w:val="center"/>
            <w:hideMark/>
          </w:tcPr>
          <w:p w14:paraId="71F5DB53" w14:textId="77777777" w:rsidR="00047BE4" w:rsidRPr="00BC4E0C" w:rsidRDefault="00047BE4" w:rsidP="00047BE4">
            <w:pPr>
              <w:spacing w:before="0"/>
              <w:jc w:val="center"/>
              <w:rPr>
                <w:rFonts w:ascii="Calibri" w:eastAsia="Times New Roman" w:hAnsi="Calibri" w:cs="Calibri"/>
                <w:b/>
                <w:bCs/>
                <w:color w:val="000000"/>
                <w:sz w:val="18"/>
                <w:szCs w:val="18"/>
                <w:lang w:eastAsia="cs-CZ"/>
              </w:rPr>
            </w:pPr>
            <w:r w:rsidRPr="00BC4E0C">
              <w:rPr>
                <w:rFonts w:ascii="Calibri" w:eastAsia="Times New Roman" w:hAnsi="Calibri" w:cs="Calibri"/>
                <w:b/>
                <w:bCs/>
                <w:color w:val="000000"/>
                <w:sz w:val="18"/>
                <w:szCs w:val="18"/>
                <w:lang w:eastAsia="cs-CZ"/>
              </w:rPr>
              <w:t>Noví nájemníci</w:t>
            </w:r>
          </w:p>
        </w:tc>
      </w:tr>
      <w:tr w:rsidR="00047BE4" w:rsidRPr="00BC4E0C" w14:paraId="00CF06AE" w14:textId="77777777" w:rsidTr="00047BE4">
        <w:trPr>
          <w:trHeight w:val="255"/>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62A6CF" w14:textId="77777777" w:rsidR="00047BE4" w:rsidRPr="00BC4E0C" w:rsidRDefault="00047BE4" w:rsidP="00047BE4">
            <w:pPr>
              <w:spacing w:before="0"/>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Běžné (standardní) byty ve velkokapacitních domech Okružní, Středová a Nad Ovčírnou</w:t>
            </w:r>
          </w:p>
        </w:tc>
        <w:tc>
          <w:tcPr>
            <w:tcW w:w="1888" w:type="dxa"/>
            <w:tcBorders>
              <w:top w:val="single" w:sz="4" w:space="0" w:color="auto"/>
              <w:left w:val="nil"/>
              <w:bottom w:val="single" w:sz="4" w:space="0" w:color="auto"/>
              <w:right w:val="single" w:sz="4" w:space="0" w:color="auto"/>
            </w:tcBorders>
            <w:shd w:val="clear" w:color="auto" w:fill="auto"/>
            <w:vAlign w:val="center"/>
            <w:hideMark/>
          </w:tcPr>
          <w:p w14:paraId="55A61EF3" w14:textId="77777777" w:rsidR="00047BE4" w:rsidRPr="00BC4E0C" w:rsidRDefault="00047BE4" w:rsidP="00047BE4">
            <w:pPr>
              <w:spacing w:before="0"/>
              <w:jc w:val="right"/>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860</w:t>
            </w:r>
          </w:p>
        </w:tc>
        <w:tc>
          <w:tcPr>
            <w:tcW w:w="1888" w:type="dxa"/>
            <w:tcBorders>
              <w:top w:val="single" w:sz="4" w:space="0" w:color="auto"/>
              <w:left w:val="nil"/>
              <w:bottom w:val="single" w:sz="4" w:space="0" w:color="auto"/>
              <w:right w:val="single" w:sz="4" w:space="0" w:color="auto"/>
            </w:tcBorders>
            <w:shd w:val="clear" w:color="auto" w:fill="auto"/>
            <w:vAlign w:val="center"/>
            <w:hideMark/>
          </w:tcPr>
          <w:p w14:paraId="60FE429E"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69 Kč</w:t>
            </w:r>
          </w:p>
        </w:tc>
        <w:tc>
          <w:tcPr>
            <w:tcW w:w="1889" w:type="dxa"/>
            <w:tcBorders>
              <w:top w:val="nil"/>
              <w:left w:val="nil"/>
              <w:bottom w:val="single" w:sz="4" w:space="0" w:color="auto"/>
              <w:right w:val="single" w:sz="4" w:space="0" w:color="auto"/>
            </w:tcBorders>
            <w:shd w:val="clear" w:color="auto" w:fill="auto"/>
            <w:vAlign w:val="center"/>
            <w:hideMark/>
          </w:tcPr>
          <w:p w14:paraId="154E8849"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79,53 Kč</w:t>
            </w:r>
          </w:p>
        </w:tc>
      </w:tr>
      <w:tr w:rsidR="00047BE4" w:rsidRPr="00BC4E0C" w14:paraId="1B0743F1" w14:textId="77777777" w:rsidTr="00047BE4">
        <w:trPr>
          <w:trHeight w:val="255"/>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13FF07E" w14:textId="77777777" w:rsidR="00047BE4" w:rsidRPr="00BC4E0C" w:rsidRDefault="00047BE4" w:rsidP="00047BE4">
            <w:pPr>
              <w:spacing w:before="0"/>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Byty pro seniory a osoby se zdravotním postižením</w:t>
            </w:r>
          </w:p>
        </w:tc>
        <w:tc>
          <w:tcPr>
            <w:tcW w:w="1888" w:type="dxa"/>
            <w:tcBorders>
              <w:top w:val="nil"/>
              <w:left w:val="nil"/>
              <w:bottom w:val="single" w:sz="4" w:space="0" w:color="auto"/>
              <w:right w:val="single" w:sz="4" w:space="0" w:color="auto"/>
            </w:tcBorders>
            <w:shd w:val="clear" w:color="auto" w:fill="auto"/>
            <w:vAlign w:val="center"/>
            <w:hideMark/>
          </w:tcPr>
          <w:p w14:paraId="2CF9DCDB" w14:textId="77777777" w:rsidR="00047BE4" w:rsidRPr="00BC4E0C" w:rsidRDefault="00047BE4" w:rsidP="00047BE4">
            <w:pPr>
              <w:spacing w:before="0"/>
              <w:jc w:val="right"/>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447</w:t>
            </w:r>
          </w:p>
        </w:tc>
        <w:tc>
          <w:tcPr>
            <w:tcW w:w="1888" w:type="dxa"/>
            <w:tcBorders>
              <w:top w:val="nil"/>
              <w:left w:val="nil"/>
              <w:bottom w:val="single" w:sz="4" w:space="0" w:color="auto"/>
              <w:right w:val="single" w:sz="4" w:space="0" w:color="auto"/>
            </w:tcBorders>
            <w:shd w:val="clear" w:color="auto" w:fill="auto"/>
            <w:vAlign w:val="center"/>
            <w:hideMark/>
          </w:tcPr>
          <w:p w14:paraId="089A7CB0"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23,59 Kč – 45,19 Kč</w:t>
            </w:r>
          </w:p>
        </w:tc>
        <w:tc>
          <w:tcPr>
            <w:tcW w:w="1889" w:type="dxa"/>
            <w:tcBorders>
              <w:top w:val="nil"/>
              <w:left w:val="nil"/>
              <w:bottom w:val="single" w:sz="4" w:space="0" w:color="auto"/>
              <w:right w:val="single" w:sz="4" w:space="0" w:color="auto"/>
            </w:tcBorders>
            <w:shd w:val="clear" w:color="auto" w:fill="auto"/>
            <w:vAlign w:val="center"/>
            <w:hideMark/>
          </w:tcPr>
          <w:p w14:paraId="29AE33D5"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50 Kč**</w:t>
            </w:r>
          </w:p>
        </w:tc>
      </w:tr>
      <w:tr w:rsidR="00047BE4" w:rsidRPr="00BC4E0C" w14:paraId="06BBFFD7" w14:textId="77777777" w:rsidTr="00047BE4">
        <w:trPr>
          <w:trHeight w:val="255"/>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C6304F" w14:textId="77777777" w:rsidR="00047BE4" w:rsidRPr="00BC4E0C" w:rsidRDefault="00047BE4" w:rsidP="00047BE4">
            <w:pPr>
              <w:spacing w:before="0"/>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Standardní byty</w:t>
            </w:r>
          </w:p>
        </w:tc>
        <w:tc>
          <w:tcPr>
            <w:tcW w:w="1888" w:type="dxa"/>
            <w:tcBorders>
              <w:top w:val="nil"/>
              <w:left w:val="nil"/>
              <w:bottom w:val="single" w:sz="4" w:space="0" w:color="auto"/>
              <w:right w:val="single" w:sz="4" w:space="0" w:color="auto"/>
            </w:tcBorders>
            <w:shd w:val="clear" w:color="auto" w:fill="auto"/>
            <w:vAlign w:val="center"/>
            <w:hideMark/>
          </w:tcPr>
          <w:p w14:paraId="4E3807EC" w14:textId="77777777" w:rsidR="00047BE4" w:rsidRPr="00BC4E0C" w:rsidRDefault="00047BE4" w:rsidP="00047BE4">
            <w:pPr>
              <w:spacing w:before="0"/>
              <w:jc w:val="right"/>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308</w:t>
            </w:r>
          </w:p>
        </w:tc>
        <w:tc>
          <w:tcPr>
            <w:tcW w:w="1888" w:type="dxa"/>
            <w:tcBorders>
              <w:top w:val="nil"/>
              <w:left w:val="nil"/>
              <w:bottom w:val="single" w:sz="4" w:space="0" w:color="auto"/>
              <w:right w:val="single" w:sz="4" w:space="0" w:color="auto"/>
            </w:tcBorders>
            <w:shd w:val="clear" w:color="auto" w:fill="auto"/>
            <w:vAlign w:val="center"/>
            <w:hideMark/>
          </w:tcPr>
          <w:p w14:paraId="5694DA4A"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79,53 Kč</w:t>
            </w:r>
          </w:p>
        </w:tc>
        <w:tc>
          <w:tcPr>
            <w:tcW w:w="1889" w:type="dxa"/>
            <w:tcBorders>
              <w:top w:val="nil"/>
              <w:left w:val="nil"/>
              <w:bottom w:val="single" w:sz="4" w:space="0" w:color="auto"/>
              <w:right w:val="single" w:sz="4" w:space="0" w:color="auto"/>
            </w:tcBorders>
            <w:shd w:val="clear" w:color="auto" w:fill="auto"/>
            <w:vAlign w:val="center"/>
            <w:hideMark/>
          </w:tcPr>
          <w:p w14:paraId="278725A5"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79,53 Kč</w:t>
            </w:r>
          </w:p>
        </w:tc>
      </w:tr>
      <w:tr w:rsidR="00047BE4" w:rsidRPr="00BC4E0C" w14:paraId="78CB4C18" w14:textId="77777777" w:rsidTr="00047BE4">
        <w:trPr>
          <w:trHeight w:val="255"/>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5286DC" w14:textId="77777777" w:rsidR="00047BE4" w:rsidRPr="00BC4E0C" w:rsidRDefault="00047BE4" w:rsidP="00047BE4">
            <w:pPr>
              <w:spacing w:before="0"/>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Byty se státní dotací</w:t>
            </w:r>
          </w:p>
        </w:tc>
        <w:tc>
          <w:tcPr>
            <w:tcW w:w="1888" w:type="dxa"/>
            <w:tcBorders>
              <w:top w:val="nil"/>
              <w:left w:val="nil"/>
              <w:bottom w:val="single" w:sz="4" w:space="0" w:color="auto"/>
              <w:right w:val="single" w:sz="4" w:space="0" w:color="auto"/>
            </w:tcBorders>
            <w:shd w:val="clear" w:color="auto" w:fill="auto"/>
            <w:vAlign w:val="center"/>
            <w:hideMark/>
          </w:tcPr>
          <w:p w14:paraId="7A0CA91E" w14:textId="77777777" w:rsidR="00047BE4" w:rsidRPr="00BC4E0C" w:rsidRDefault="00047BE4" w:rsidP="00047BE4">
            <w:pPr>
              <w:spacing w:before="0"/>
              <w:jc w:val="right"/>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235</w:t>
            </w:r>
          </w:p>
        </w:tc>
        <w:tc>
          <w:tcPr>
            <w:tcW w:w="1888" w:type="dxa"/>
            <w:tcBorders>
              <w:top w:val="nil"/>
              <w:left w:val="nil"/>
              <w:bottom w:val="single" w:sz="4" w:space="0" w:color="auto"/>
              <w:right w:val="single" w:sz="4" w:space="0" w:color="auto"/>
            </w:tcBorders>
            <w:shd w:val="clear" w:color="auto" w:fill="auto"/>
            <w:vAlign w:val="center"/>
            <w:hideMark/>
          </w:tcPr>
          <w:p w14:paraId="52C0E633"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23,59 – 58,98 Kč</w:t>
            </w:r>
          </w:p>
        </w:tc>
        <w:tc>
          <w:tcPr>
            <w:tcW w:w="1889" w:type="dxa"/>
            <w:tcBorders>
              <w:top w:val="nil"/>
              <w:left w:val="nil"/>
              <w:bottom w:val="single" w:sz="4" w:space="0" w:color="auto"/>
              <w:right w:val="single" w:sz="4" w:space="0" w:color="auto"/>
            </w:tcBorders>
            <w:shd w:val="clear" w:color="auto" w:fill="auto"/>
            <w:vAlign w:val="center"/>
            <w:hideMark/>
          </w:tcPr>
          <w:p w14:paraId="4D4C0792"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70,78 Kč</w:t>
            </w:r>
          </w:p>
        </w:tc>
      </w:tr>
      <w:tr w:rsidR="00047BE4" w:rsidRPr="00BC4E0C" w14:paraId="153EE3BF" w14:textId="77777777" w:rsidTr="00047BE4">
        <w:trPr>
          <w:trHeight w:val="255"/>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A332FAE" w14:textId="77777777" w:rsidR="00047BE4" w:rsidRPr="00BC4E0C" w:rsidRDefault="00047BE4" w:rsidP="00047BE4">
            <w:pPr>
              <w:spacing w:before="0"/>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Byty se sníženou kvalitou</w:t>
            </w:r>
          </w:p>
        </w:tc>
        <w:tc>
          <w:tcPr>
            <w:tcW w:w="1888" w:type="dxa"/>
            <w:tcBorders>
              <w:top w:val="nil"/>
              <w:left w:val="nil"/>
              <w:bottom w:val="single" w:sz="4" w:space="0" w:color="auto"/>
              <w:right w:val="single" w:sz="4" w:space="0" w:color="auto"/>
            </w:tcBorders>
            <w:shd w:val="clear" w:color="auto" w:fill="auto"/>
            <w:vAlign w:val="center"/>
            <w:hideMark/>
          </w:tcPr>
          <w:p w14:paraId="08B8DC8A" w14:textId="77777777" w:rsidR="00047BE4" w:rsidRPr="00BC4E0C" w:rsidRDefault="00047BE4" w:rsidP="00047BE4">
            <w:pPr>
              <w:spacing w:before="0"/>
              <w:jc w:val="right"/>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135</w:t>
            </w:r>
          </w:p>
        </w:tc>
        <w:tc>
          <w:tcPr>
            <w:tcW w:w="1888" w:type="dxa"/>
            <w:tcBorders>
              <w:top w:val="nil"/>
              <w:left w:val="nil"/>
              <w:bottom w:val="single" w:sz="4" w:space="0" w:color="auto"/>
              <w:right w:val="single" w:sz="4" w:space="0" w:color="auto"/>
            </w:tcBorders>
            <w:shd w:val="clear" w:color="auto" w:fill="auto"/>
            <w:vAlign w:val="center"/>
            <w:hideMark/>
          </w:tcPr>
          <w:p w14:paraId="36F141B2"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65 Kč</w:t>
            </w:r>
          </w:p>
        </w:tc>
        <w:tc>
          <w:tcPr>
            <w:tcW w:w="1889" w:type="dxa"/>
            <w:tcBorders>
              <w:top w:val="nil"/>
              <w:left w:val="nil"/>
              <w:bottom w:val="single" w:sz="4" w:space="0" w:color="auto"/>
              <w:right w:val="single" w:sz="4" w:space="0" w:color="auto"/>
            </w:tcBorders>
            <w:shd w:val="clear" w:color="auto" w:fill="auto"/>
            <w:vAlign w:val="center"/>
            <w:hideMark/>
          </w:tcPr>
          <w:p w14:paraId="60721FE8"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65 Kč</w:t>
            </w:r>
          </w:p>
        </w:tc>
      </w:tr>
      <w:tr w:rsidR="00047BE4" w:rsidRPr="00BC4E0C" w14:paraId="7DF2486D" w14:textId="77777777" w:rsidTr="00047BE4">
        <w:trPr>
          <w:trHeight w:val="255"/>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B3CF69" w14:textId="77777777" w:rsidR="00047BE4" w:rsidRPr="00BC4E0C" w:rsidRDefault="00047BE4" w:rsidP="00047BE4">
            <w:pPr>
              <w:spacing w:before="0"/>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Startovací byty pro mladé rodiny</w:t>
            </w:r>
          </w:p>
        </w:tc>
        <w:tc>
          <w:tcPr>
            <w:tcW w:w="1888" w:type="dxa"/>
            <w:tcBorders>
              <w:top w:val="nil"/>
              <w:left w:val="nil"/>
              <w:bottom w:val="single" w:sz="4" w:space="0" w:color="auto"/>
              <w:right w:val="single" w:sz="4" w:space="0" w:color="auto"/>
            </w:tcBorders>
            <w:shd w:val="clear" w:color="auto" w:fill="auto"/>
            <w:vAlign w:val="center"/>
            <w:hideMark/>
          </w:tcPr>
          <w:p w14:paraId="1528AB64" w14:textId="77777777" w:rsidR="00047BE4" w:rsidRPr="00BC4E0C" w:rsidRDefault="00047BE4" w:rsidP="00047BE4">
            <w:pPr>
              <w:spacing w:before="0"/>
              <w:jc w:val="right"/>
              <w:rPr>
                <w:rFonts w:ascii="Calibri" w:eastAsia="Times New Roman" w:hAnsi="Calibri" w:cs="Calibri"/>
                <w:color w:val="000000"/>
                <w:sz w:val="18"/>
                <w:szCs w:val="18"/>
                <w:lang w:eastAsia="cs-CZ"/>
              </w:rPr>
            </w:pPr>
            <w:r w:rsidRPr="00BC4E0C">
              <w:rPr>
                <w:rFonts w:ascii="Calibri" w:eastAsia="Times New Roman" w:hAnsi="Calibri" w:cs="Calibri"/>
                <w:color w:val="000000"/>
                <w:sz w:val="18"/>
                <w:szCs w:val="18"/>
                <w:lang w:eastAsia="cs-CZ"/>
              </w:rPr>
              <w:t>30</w:t>
            </w:r>
          </w:p>
        </w:tc>
        <w:tc>
          <w:tcPr>
            <w:tcW w:w="1888" w:type="dxa"/>
            <w:tcBorders>
              <w:top w:val="nil"/>
              <w:left w:val="nil"/>
              <w:bottom w:val="single" w:sz="4" w:space="0" w:color="auto"/>
              <w:right w:val="single" w:sz="4" w:space="0" w:color="auto"/>
            </w:tcBorders>
            <w:shd w:val="clear" w:color="auto" w:fill="auto"/>
            <w:vAlign w:val="center"/>
            <w:hideMark/>
          </w:tcPr>
          <w:p w14:paraId="5443D04D"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50 Kč – 60 Kč</w:t>
            </w:r>
          </w:p>
        </w:tc>
        <w:tc>
          <w:tcPr>
            <w:tcW w:w="1889" w:type="dxa"/>
            <w:tcBorders>
              <w:top w:val="nil"/>
              <w:left w:val="nil"/>
              <w:bottom w:val="single" w:sz="4" w:space="0" w:color="auto"/>
              <w:right w:val="single" w:sz="4" w:space="0" w:color="auto"/>
            </w:tcBorders>
            <w:shd w:val="clear" w:color="auto" w:fill="auto"/>
            <w:vAlign w:val="center"/>
            <w:hideMark/>
          </w:tcPr>
          <w:p w14:paraId="489B03EC" w14:textId="77777777" w:rsidR="00047BE4" w:rsidRPr="00BC4E0C" w:rsidRDefault="00047BE4" w:rsidP="00047BE4">
            <w:pPr>
              <w:spacing w:before="0"/>
              <w:jc w:val="right"/>
              <w:rPr>
                <w:rFonts w:ascii="Calibri" w:eastAsia="Times New Roman" w:hAnsi="Calibri" w:cs="Calibri"/>
                <w:color w:val="000000"/>
                <w:sz w:val="16"/>
                <w:szCs w:val="16"/>
                <w:lang w:eastAsia="cs-CZ"/>
              </w:rPr>
            </w:pPr>
            <w:r w:rsidRPr="00BC4E0C">
              <w:rPr>
                <w:rFonts w:ascii="Calibri" w:eastAsia="Times New Roman" w:hAnsi="Calibri" w:cs="Calibri"/>
                <w:color w:val="000000"/>
                <w:sz w:val="16"/>
                <w:szCs w:val="16"/>
                <w:lang w:eastAsia="cs-CZ"/>
              </w:rPr>
              <w:t>50 Kč – 60 Kč</w:t>
            </w:r>
          </w:p>
        </w:tc>
      </w:tr>
    </w:tbl>
    <w:p w14:paraId="52D179AE" w14:textId="5CAFC7C7" w:rsidR="00047BE4" w:rsidRDefault="00047BE4" w:rsidP="00047BE4">
      <w:pPr>
        <w:pStyle w:val="Zdroj"/>
      </w:pPr>
      <w:r>
        <w:t>Zdroj: MMZ, 2020</w:t>
      </w:r>
      <w:r w:rsidR="00DF6936">
        <w:t>.</w:t>
      </w:r>
      <w:r>
        <w:br/>
      </w:r>
      <w:r w:rsidRPr="005C1476">
        <w:t>*</w:t>
      </w:r>
      <w:r>
        <w:t xml:space="preserve"> </w:t>
      </w:r>
      <w:r w:rsidRPr="005C1476">
        <w:t>K nájmu platí nájemníci ještě nájem za zařizovací předměty (kuchyňská linka, sporák, vodovodní baterie apod.)</w:t>
      </w:r>
      <w:r w:rsidR="00DF6936">
        <w:t>.</w:t>
      </w:r>
      <w:r>
        <w:br/>
        <w:t>** K 1. 1. 2021 připravuje MMZ</w:t>
      </w:r>
      <w:r w:rsidRPr="005C1476">
        <w:t xml:space="preserve"> zvýšení nájemného u nově uzavíraných smluv se seniory a OZP, zřejmě na 79,53 Kč / m</w:t>
      </w:r>
      <w:r w:rsidRPr="005C1476">
        <w:rPr>
          <w:vertAlign w:val="superscript"/>
        </w:rPr>
        <w:t>2</w:t>
      </w:r>
      <w:r w:rsidRPr="005C1476">
        <w:t xml:space="preserve"> / měsíc.</w:t>
      </w:r>
    </w:p>
    <w:p w14:paraId="4935DA42" w14:textId="77777777" w:rsidR="00047BE4" w:rsidRDefault="00047BE4" w:rsidP="00047BE4">
      <w:r>
        <w:t xml:space="preserve">SMZ pro oblast bydlení formulovalo </w:t>
      </w:r>
      <w:r w:rsidRPr="006209AB">
        <w:rPr>
          <w:b/>
        </w:rPr>
        <w:t>rozvojovou vizi</w:t>
      </w:r>
      <w:r>
        <w:t>, která shrnuje rámcovou představu o řešení bytové politiky v blízké budoucnosti. Klíčová je atraktivita bydlení ve Zlíně a její zvyšování. Koncepčně se rozvoj bydlení zaměřuje na znevýhodněné skupiny obyvatel, jako jsou mladé rodiny s dětmi, osoby se zdravotním postižením a sociálně znevýhodnění občané. Bytový fond ve vlastnictví města má pak primárně sloužit uvedeným skupinám obyvatel. Jeho stav se má po technické stránce dále zlepšovat, plánuje se výstavba nových družstevních bytů. Ve Zlíně je celkový nedostatek ploch pro novou výstavbu hromadného bydlení, což se odráží na tempu výstavby. Z důvodů vysoké poptávky po nové komerční bytové výstavbě město plánuje vymezení ploch pro novou výstavbu v územním plánu. Nové plochy jsou vybírány s ohledem na minimalizaci negativních vlivů nové zástavby na stávající zastavěné území města.</w:t>
      </w:r>
    </w:p>
    <w:p w14:paraId="3202EBD8" w14:textId="77777777" w:rsidR="00047BE4" w:rsidRDefault="00047BE4" w:rsidP="00047BE4">
      <w:r>
        <w:t xml:space="preserve">Z provedeného anketního šetření vyplývá, že nemalá část oslovených respondentů (celkově 993 oslovených) není s kvalitou bydlení ve Zlíně spokojena. Nespokojenost je především z důvodů vysokých </w:t>
      </w:r>
      <w:r>
        <w:lastRenderedPageBreak/>
        <w:t>nákladů na bydlení, zhoršenou dostupností bytů pro nízkopříjmové skupiny obyvatel, vysokou hladinou hluku spojenou s intenzivní dopravou nebo problematickým parkováním.</w:t>
      </w:r>
    </w:p>
    <w:p w14:paraId="351E9D74" w14:textId="77777777" w:rsidR="00047BE4" w:rsidRDefault="00047BE4" w:rsidP="00047BE4">
      <w:pPr>
        <w:pStyle w:val="Nadpis4"/>
        <w:ind w:left="864" w:hanging="864"/>
      </w:pPr>
      <w:r>
        <w:t>Dílčí shrnutí</w:t>
      </w:r>
    </w:p>
    <w:p w14:paraId="728B38C3"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r>
        <w:rPr>
          <w:b/>
        </w:rPr>
        <w:t>Hlavní zjištění</w:t>
      </w:r>
      <w:r>
        <w:t>:</w:t>
      </w:r>
    </w:p>
    <w:p w14:paraId="620D97EF"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p>
    <w:p w14:paraId="3E8A98D8" w14:textId="77777777" w:rsidR="00047BE4" w:rsidRPr="000A729A"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Značná část domovního a bytového fondu na území města pochází z období 1. pol. 20. století a je památkově chráněná (především zástavba baťovských domků)</w:t>
      </w:r>
      <w:r w:rsidRPr="00B7481D">
        <w:rPr>
          <w:i/>
        </w:rPr>
        <w:t>.</w:t>
      </w:r>
    </w:p>
    <w:p w14:paraId="66167B52" w14:textId="77777777" w:rsidR="00047BE4" w:rsidRPr="000A729A"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7481D">
        <w:rPr>
          <w:i/>
        </w:rPr>
        <w:t>Relativně vysoký podíl rodinných domů v domovní struktuře města, relativně nižší zastoupení nájemního bydlení.</w:t>
      </w:r>
    </w:p>
    <w:p w14:paraId="0785E55D" w14:textId="08B087DE"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7481D">
        <w:rPr>
          <w:i/>
        </w:rPr>
        <w:t>Nejhustěji oby</w:t>
      </w:r>
      <w:r w:rsidR="00053411">
        <w:rPr>
          <w:i/>
        </w:rPr>
        <w:t>dlenou zónou je sídliště Jižní S</w:t>
      </w:r>
      <w:r w:rsidRPr="00B7481D">
        <w:rPr>
          <w:i/>
        </w:rPr>
        <w:t>vahy.</w:t>
      </w:r>
    </w:p>
    <w:p w14:paraId="36BCDBD4"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7481D">
        <w:rPr>
          <w:i/>
        </w:rPr>
        <w:t>Nedostatek ploch pro výstavbu nových budov hromadného bydlení.</w:t>
      </w:r>
    </w:p>
    <w:p w14:paraId="064A32F4"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7481D">
        <w:rPr>
          <w:i/>
        </w:rPr>
        <w:t xml:space="preserve">Město Zlín disponuje přibližně 2 000 byty, část bytového fondu je určena k podpoře bydlení znevýhodněných </w:t>
      </w:r>
      <w:r>
        <w:rPr>
          <w:i/>
        </w:rPr>
        <w:t xml:space="preserve">skupin </w:t>
      </w:r>
      <w:r w:rsidRPr="00B7481D">
        <w:rPr>
          <w:i/>
        </w:rPr>
        <w:t>obyvatel.</w:t>
      </w:r>
    </w:p>
    <w:p w14:paraId="6791736F" w14:textId="77777777" w:rsidR="00047BE4" w:rsidRDefault="00047BE4" w:rsidP="00047BE4">
      <w:r>
        <w:br w:type="page"/>
      </w:r>
    </w:p>
    <w:p w14:paraId="52065D63" w14:textId="77777777" w:rsidR="00047BE4" w:rsidRDefault="00047BE4" w:rsidP="00047BE4">
      <w:pPr>
        <w:pStyle w:val="Nadpis4"/>
        <w:ind w:left="864" w:hanging="864"/>
      </w:pPr>
      <w:bookmarkStart w:id="115" w:name="_Toc47967095"/>
      <w:bookmarkStart w:id="116" w:name="_Toc48636714"/>
      <w:r>
        <w:lastRenderedPageBreak/>
        <w:t xml:space="preserve">Nabídka zdravotnických a sociálních služeb na území města Zlína </w:t>
      </w:r>
    </w:p>
    <w:p w14:paraId="593986AA" w14:textId="77777777" w:rsidR="00047BE4" w:rsidRDefault="00047BE4" w:rsidP="00047BE4">
      <w:pPr>
        <w:pStyle w:val="Nadpis5"/>
      </w:pPr>
      <w:r>
        <w:t>Sociální služby a ekonomicky znevýhodnění</w:t>
      </w:r>
      <w:bookmarkEnd w:id="115"/>
      <w:bookmarkEnd w:id="116"/>
      <w:r>
        <w:t xml:space="preserve"> obyvatelé</w:t>
      </w:r>
    </w:p>
    <w:p w14:paraId="0EF01096" w14:textId="5408A506" w:rsidR="00047BE4" w:rsidRPr="00120E4C" w:rsidRDefault="00047BE4" w:rsidP="00047BE4">
      <w:r w:rsidRPr="00EC4597">
        <w:t>Rozvoj v oblasti sociálních služeb ovlivňuje nejen politika státu a jeho organizací, ale i činnost regionálních a lokálních institucí. Město je do určité míry zodpovědné za rozvoj místní sociální sítě a</w:t>
      </w:r>
      <w:r w:rsidR="00DF6936">
        <w:t> </w:t>
      </w:r>
      <w:r w:rsidRPr="00EC4597">
        <w:t>vytváření příznivých podmínek pro podporu znevýhodněných</w:t>
      </w:r>
      <w:r>
        <w:t xml:space="preserve"> skupin</w:t>
      </w:r>
      <w:r w:rsidRPr="00EC4597">
        <w:t xml:space="preserve"> obyvatel na svém území, přičemž spolupracuje s poskytovateli sociálních služeb.</w:t>
      </w:r>
    </w:p>
    <w:p w14:paraId="2AB90264" w14:textId="77777777" w:rsidR="00047BE4" w:rsidRDefault="00047BE4" w:rsidP="00047BE4">
      <w:r>
        <w:t>Státní správu v sociální oblasti v SO ORP Zlín vykonává Odbor sociálních věcí MMZ. Jedná se o výkon veřejného opatrovnictví, sociální práce, sociální kurately (především u osob propuštěných z výkonu trestu odnětí svobody). Dále vykonává sociálně právní ochranu dětí, řeší problematiku ohrožených nezletilých dětí, kolizní opatrovnictví, náhradní rodinnou péči (osvojení, pěstounská péče) a kuratelu pro děti a mládež. Také zajišťuje vypravení tzv. sociálních pohřbů, dle zákona o pohřebnictví.</w:t>
      </w:r>
    </w:p>
    <w:p w14:paraId="169D7D23" w14:textId="77777777" w:rsidR="00047BE4" w:rsidRPr="00B76F39" w:rsidRDefault="00047BE4" w:rsidP="00047BE4">
      <w:r w:rsidRPr="00EC4597">
        <w:t>Městská samospráva pak v oblasti sociální provozuje 17 klubů seniorů, ve kterých je evidovaných více než 1 000 aktivních seniorů, a středisko pro seniory a osoby se zdravotním postižením. Odbor sociálních věcí spravuje dva neinvestiční fondy statutárního města Zlína. Fond pro-rodinných aktivit, z nějž jsou financovány organizace, které poskytují celoroční pravidelné volnočasové aktivity pro děti a mládež a Sociální fond, jehož prostřednictvím jsou podporovány organizace, které občanům s trvalým pobytem ve Zlíně poskytují registrované sociální služby. V roce 2020 bylo ze Sociálního fondu SMZ podpořeno 35 organizací, které občanům SMZ poskytují až 73 registrovaných sociálních služeb. Celková suma schválených a vyplacených dotací činila 20 017 000 Kč. Dalším úkolem městské samosprávy je řešit rozvoj sociálních služeb pro občany města, což se děje metodou komunitního plánování.</w:t>
      </w:r>
    </w:p>
    <w:p w14:paraId="32D67425" w14:textId="43A8F050" w:rsidR="00047BE4" w:rsidRPr="00497AB1" w:rsidRDefault="00047BE4" w:rsidP="00047BE4">
      <w:r w:rsidRPr="00497AB1">
        <w:t>Pobytové sociální služby v současné době ve Zlíně (ORP Zlín) poskytuje několik organizací</w:t>
      </w:r>
      <w:r>
        <w:t>,</w:t>
      </w:r>
      <w:r w:rsidRPr="00497AB1">
        <w:t xml:space="preserve"> jejichž přehled s počtem zaregistrovaných míst (kapacity)</w:t>
      </w:r>
      <w:r w:rsidRPr="00497AB1">
        <w:rPr>
          <w:color w:val="FF0000"/>
        </w:rPr>
        <w:t xml:space="preserve"> </w:t>
      </w:r>
      <w:r w:rsidRPr="00497AB1">
        <w:t xml:space="preserve">udává tabulka </w:t>
      </w:r>
      <w:r w:rsidR="004846A1">
        <w:t>1.16</w:t>
      </w:r>
      <w:r w:rsidRPr="00497AB1">
        <w:t xml:space="preserve">. </w:t>
      </w:r>
    </w:p>
    <w:p w14:paraId="68326D68" w14:textId="1D1D63D2" w:rsidR="00047BE4" w:rsidRPr="00497AB1" w:rsidRDefault="00047BE4" w:rsidP="00047BE4">
      <w:pPr>
        <w:pStyle w:val="Titulek"/>
        <w:jc w:val="left"/>
      </w:pPr>
      <w:bookmarkStart w:id="117" w:name="_Toc53037876"/>
      <w:bookmarkStart w:id="118" w:name="_Toc77074696"/>
      <w:r w:rsidRPr="00497AB1">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16</w:t>
      </w:r>
      <w:r w:rsidR="00081B47">
        <w:rPr>
          <w:noProof/>
        </w:rPr>
        <w:fldChar w:fldCharType="end"/>
      </w:r>
      <w:r w:rsidR="008E652E">
        <w:rPr>
          <w:noProof/>
        </w:rPr>
        <w:t>:</w:t>
      </w:r>
      <w:r w:rsidRPr="00497AB1">
        <w:t xml:space="preserve"> Počet míst v zařízeních v ORP Zlín</w:t>
      </w:r>
      <w:bookmarkEnd w:id="117"/>
      <w:bookmarkEnd w:id="118"/>
    </w:p>
    <w:tbl>
      <w:tblPr>
        <w:tblW w:w="9208" w:type="dxa"/>
        <w:tblCellMar>
          <w:left w:w="70" w:type="dxa"/>
          <w:right w:w="70" w:type="dxa"/>
        </w:tblCellMar>
        <w:tblLook w:val="04A0" w:firstRow="1" w:lastRow="0" w:firstColumn="1" w:lastColumn="0" w:noHBand="0" w:noVBand="1"/>
      </w:tblPr>
      <w:tblGrid>
        <w:gridCol w:w="1146"/>
        <w:gridCol w:w="1146"/>
        <w:gridCol w:w="1186"/>
        <w:gridCol w:w="1146"/>
        <w:gridCol w:w="1146"/>
        <w:gridCol w:w="1146"/>
        <w:gridCol w:w="1146"/>
        <w:gridCol w:w="1146"/>
      </w:tblGrid>
      <w:tr w:rsidR="00047BE4" w:rsidRPr="00497AB1" w14:paraId="57620C56" w14:textId="77777777" w:rsidTr="00047BE4">
        <w:trPr>
          <w:cantSplit/>
          <w:trHeight w:val="840"/>
          <w:tblHeader/>
        </w:trPr>
        <w:tc>
          <w:tcPr>
            <w:tcW w:w="114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719C10EF"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Obec</w:t>
            </w:r>
          </w:p>
        </w:tc>
        <w:tc>
          <w:tcPr>
            <w:tcW w:w="1146" w:type="dxa"/>
            <w:tcBorders>
              <w:top w:val="single" w:sz="8" w:space="0" w:color="auto"/>
              <w:left w:val="nil"/>
              <w:bottom w:val="single" w:sz="8" w:space="0" w:color="auto"/>
              <w:right w:val="nil"/>
            </w:tcBorders>
            <w:shd w:val="clear" w:color="auto" w:fill="F2F2F2" w:themeFill="background1" w:themeFillShade="F2"/>
            <w:vAlign w:val="center"/>
            <w:hideMark/>
          </w:tcPr>
          <w:p w14:paraId="0B429F15"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Týdenní stacionáře</w:t>
            </w:r>
          </w:p>
        </w:tc>
        <w:tc>
          <w:tcPr>
            <w:tcW w:w="118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15DD9EA8"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Domovy pro osoby se zdravotním postižením</w:t>
            </w:r>
          </w:p>
        </w:tc>
        <w:tc>
          <w:tcPr>
            <w:tcW w:w="1146" w:type="dxa"/>
            <w:tcBorders>
              <w:top w:val="single" w:sz="8" w:space="0" w:color="auto"/>
              <w:left w:val="nil"/>
              <w:bottom w:val="single" w:sz="8" w:space="0" w:color="auto"/>
              <w:right w:val="nil"/>
            </w:tcBorders>
            <w:shd w:val="clear" w:color="auto" w:fill="F2F2F2" w:themeFill="background1" w:themeFillShade="F2"/>
            <w:vAlign w:val="center"/>
            <w:hideMark/>
          </w:tcPr>
          <w:p w14:paraId="721C4515"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Domovy pro seniory</w:t>
            </w:r>
          </w:p>
        </w:tc>
        <w:tc>
          <w:tcPr>
            <w:tcW w:w="114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41931D5B"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Domovy se zvláštním režimem</w:t>
            </w:r>
          </w:p>
        </w:tc>
        <w:tc>
          <w:tcPr>
            <w:tcW w:w="1146" w:type="dxa"/>
            <w:tcBorders>
              <w:top w:val="single" w:sz="8" w:space="0" w:color="auto"/>
              <w:left w:val="nil"/>
              <w:bottom w:val="single" w:sz="8" w:space="0" w:color="auto"/>
              <w:right w:val="nil"/>
            </w:tcBorders>
            <w:shd w:val="clear" w:color="auto" w:fill="F2F2F2" w:themeFill="background1" w:themeFillShade="F2"/>
            <w:vAlign w:val="center"/>
            <w:hideMark/>
          </w:tcPr>
          <w:p w14:paraId="43DA0719"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Chráněné bydlení</w:t>
            </w:r>
          </w:p>
        </w:tc>
        <w:tc>
          <w:tcPr>
            <w:tcW w:w="114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1E4F1829"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Azylové domy</w:t>
            </w:r>
          </w:p>
        </w:tc>
        <w:tc>
          <w:tcPr>
            <w:tcW w:w="1146"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5B5E9AB6"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Domy na půl cesty</w:t>
            </w:r>
          </w:p>
        </w:tc>
      </w:tr>
      <w:tr w:rsidR="00047BE4" w:rsidRPr="00497AB1" w14:paraId="39197D6F" w14:textId="77777777" w:rsidTr="00047BE4">
        <w:trPr>
          <w:trHeight w:val="292"/>
        </w:trPr>
        <w:tc>
          <w:tcPr>
            <w:tcW w:w="1146" w:type="dxa"/>
            <w:tcBorders>
              <w:top w:val="nil"/>
              <w:left w:val="single" w:sz="8" w:space="0" w:color="auto"/>
              <w:bottom w:val="nil"/>
              <w:right w:val="single" w:sz="8" w:space="0" w:color="auto"/>
            </w:tcBorders>
            <w:shd w:val="clear" w:color="auto" w:fill="auto"/>
            <w:noWrap/>
            <w:vAlign w:val="center"/>
            <w:hideMark/>
          </w:tcPr>
          <w:p w14:paraId="67801F60"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Fryšták</w:t>
            </w:r>
          </w:p>
        </w:tc>
        <w:tc>
          <w:tcPr>
            <w:tcW w:w="1146" w:type="dxa"/>
            <w:tcBorders>
              <w:top w:val="nil"/>
              <w:left w:val="nil"/>
              <w:bottom w:val="nil"/>
              <w:right w:val="nil"/>
            </w:tcBorders>
            <w:shd w:val="clear" w:color="auto" w:fill="auto"/>
            <w:noWrap/>
            <w:vAlign w:val="center"/>
            <w:hideMark/>
          </w:tcPr>
          <w:p w14:paraId="39408170" w14:textId="77777777" w:rsidR="00047BE4" w:rsidRPr="00497AB1" w:rsidRDefault="00047BE4" w:rsidP="00047BE4">
            <w:pPr>
              <w:spacing w:before="0"/>
              <w:jc w:val="right"/>
              <w:rPr>
                <w:rFonts w:ascii="Calibri" w:eastAsia="Times New Roman" w:hAnsi="Calibri" w:cs="Calibri"/>
                <w:color w:val="000000"/>
                <w:sz w:val="18"/>
                <w:szCs w:val="18"/>
                <w:lang w:eastAsia="cs-CZ"/>
              </w:rPr>
            </w:pPr>
          </w:p>
        </w:tc>
        <w:tc>
          <w:tcPr>
            <w:tcW w:w="1186" w:type="dxa"/>
            <w:tcBorders>
              <w:top w:val="nil"/>
              <w:left w:val="single" w:sz="8" w:space="0" w:color="auto"/>
              <w:bottom w:val="nil"/>
              <w:right w:val="single" w:sz="8" w:space="0" w:color="auto"/>
            </w:tcBorders>
            <w:shd w:val="clear" w:color="auto" w:fill="auto"/>
            <w:noWrap/>
            <w:vAlign w:val="center"/>
            <w:hideMark/>
          </w:tcPr>
          <w:p w14:paraId="7AB27E2D" w14:textId="77777777" w:rsidR="00047BE4" w:rsidRPr="00497AB1" w:rsidRDefault="00047BE4" w:rsidP="00047BE4">
            <w:pPr>
              <w:spacing w:before="0"/>
              <w:jc w:val="right"/>
              <w:rPr>
                <w:rFonts w:ascii="Calibri" w:eastAsia="Times New Roman" w:hAnsi="Calibri" w:cs="Calibri"/>
                <w:strike/>
                <w:color w:val="000000"/>
                <w:sz w:val="18"/>
                <w:szCs w:val="18"/>
                <w:lang w:eastAsia="cs-CZ"/>
              </w:rPr>
            </w:pPr>
            <w:r w:rsidRPr="00497AB1">
              <w:rPr>
                <w:rFonts w:ascii="Calibri" w:eastAsia="Times New Roman" w:hAnsi="Calibri" w:cs="Calibri"/>
                <w:color w:val="000000"/>
                <w:sz w:val="18"/>
                <w:szCs w:val="18"/>
                <w:lang w:eastAsia="cs-CZ"/>
              </w:rPr>
              <w:t>24</w:t>
            </w:r>
          </w:p>
        </w:tc>
        <w:tc>
          <w:tcPr>
            <w:tcW w:w="1146" w:type="dxa"/>
            <w:tcBorders>
              <w:top w:val="nil"/>
              <w:left w:val="nil"/>
              <w:bottom w:val="nil"/>
              <w:right w:val="nil"/>
            </w:tcBorders>
            <w:shd w:val="clear" w:color="auto" w:fill="auto"/>
            <w:noWrap/>
            <w:vAlign w:val="center"/>
            <w:hideMark/>
          </w:tcPr>
          <w:p w14:paraId="2C9F720B" w14:textId="77777777" w:rsidR="00047BE4" w:rsidRPr="00497AB1" w:rsidRDefault="00047BE4" w:rsidP="00047BE4">
            <w:pPr>
              <w:spacing w:before="0"/>
              <w:jc w:val="right"/>
              <w:rPr>
                <w:rFonts w:ascii="Calibri" w:eastAsia="Times New Roman" w:hAnsi="Calibri" w:cs="Calibri"/>
                <w:color w:val="000000"/>
                <w:sz w:val="18"/>
                <w:szCs w:val="18"/>
                <w:lang w:eastAsia="cs-CZ"/>
              </w:rPr>
            </w:pPr>
          </w:p>
        </w:tc>
        <w:tc>
          <w:tcPr>
            <w:tcW w:w="1146" w:type="dxa"/>
            <w:tcBorders>
              <w:top w:val="nil"/>
              <w:left w:val="single" w:sz="8" w:space="0" w:color="auto"/>
              <w:bottom w:val="nil"/>
              <w:right w:val="single" w:sz="8" w:space="0" w:color="auto"/>
            </w:tcBorders>
            <w:shd w:val="clear" w:color="auto" w:fill="auto"/>
            <w:noWrap/>
            <w:vAlign w:val="center"/>
            <w:hideMark/>
          </w:tcPr>
          <w:p w14:paraId="7BE6E6D6"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c>
          <w:tcPr>
            <w:tcW w:w="1146" w:type="dxa"/>
            <w:tcBorders>
              <w:top w:val="nil"/>
              <w:left w:val="nil"/>
              <w:bottom w:val="nil"/>
              <w:right w:val="nil"/>
            </w:tcBorders>
            <w:shd w:val="clear" w:color="auto" w:fill="auto"/>
            <w:noWrap/>
            <w:vAlign w:val="center"/>
            <w:hideMark/>
          </w:tcPr>
          <w:p w14:paraId="64328D96"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4</w:t>
            </w:r>
          </w:p>
        </w:tc>
        <w:tc>
          <w:tcPr>
            <w:tcW w:w="1146" w:type="dxa"/>
            <w:tcBorders>
              <w:top w:val="nil"/>
              <w:left w:val="single" w:sz="8" w:space="0" w:color="auto"/>
              <w:bottom w:val="nil"/>
              <w:right w:val="single" w:sz="8" w:space="0" w:color="auto"/>
            </w:tcBorders>
            <w:shd w:val="clear" w:color="auto" w:fill="auto"/>
            <w:noWrap/>
            <w:vAlign w:val="center"/>
            <w:hideMark/>
          </w:tcPr>
          <w:p w14:paraId="026E986D"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c>
          <w:tcPr>
            <w:tcW w:w="1146" w:type="dxa"/>
            <w:tcBorders>
              <w:top w:val="nil"/>
              <w:left w:val="nil"/>
              <w:bottom w:val="single" w:sz="8" w:space="0" w:color="auto"/>
              <w:right w:val="single" w:sz="8" w:space="0" w:color="auto"/>
            </w:tcBorders>
            <w:shd w:val="clear" w:color="auto" w:fill="auto"/>
            <w:noWrap/>
            <w:vAlign w:val="center"/>
            <w:hideMark/>
          </w:tcPr>
          <w:p w14:paraId="67DA3469"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r>
      <w:tr w:rsidR="00047BE4" w:rsidRPr="00497AB1" w14:paraId="17CC1FCD" w14:textId="77777777" w:rsidTr="00047BE4">
        <w:trPr>
          <w:trHeight w:val="292"/>
        </w:trPr>
        <w:tc>
          <w:tcPr>
            <w:tcW w:w="11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1EDDB46" w14:textId="77777777" w:rsidR="00047BE4" w:rsidRPr="00497AB1" w:rsidRDefault="00047BE4" w:rsidP="00047BE4">
            <w:pPr>
              <w:spacing w:before="0"/>
              <w:jc w:val="center"/>
              <w:rPr>
                <w:rFonts w:ascii="Calibri" w:eastAsia="Times New Roman" w:hAnsi="Calibri" w:cs="Calibri"/>
                <w:b/>
                <w:color w:val="000000"/>
                <w:sz w:val="18"/>
                <w:szCs w:val="18"/>
                <w:lang w:eastAsia="cs-CZ"/>
              </w:rPr>
            </w:pPr>
            <w:r w:rsidRPr="00497AB1">
              <w:rPr>
                <w:rFonts w:ascii="Calibri" w:eastAsia="Times New Roman" w:hAnsi="Calibri" w:cs="Calibri"/>
                <w:b/>
                <w:color w:val="000000"/>
                <w:sz w:val="18"/>
                <w:szCs w:val="18"/>
                <w:lang w:eastAsia="cs-CZ"/>
              </w:rPr>
              <w:t>Lukov</w:t>
            </w:r>
          </w:p>
        </w:tc>
        <w:tc>
          <w:tcPr>
            <w:tcW w:w="1146" w:type="dxa"/>
            <w:tcBorders>
              <w:top w:val="single" w:sz="8" w:space="0" w:color="auto"/>
              <w:left w:val="nil"/>
              <w:bottom w:val="single" w:sz="8" w:space="0" w:color="auto"/>
              <w:right w:val="nil"/>
            </w:tcBorders>
            <w:shd w:val="clear" w:color="auto" w:fill="auto"/>
            <w:noWrap/>
            <w:vAlign w:val="center"/>
            <w:hideMark/>
          </w:tcPr>
          <w:p w14:paraId="3D01DF00"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c>
          <w:tcPr>
            <w:tcW w:w="11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BD4E349"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c>
          <w:tcPr>
            <w:tcW w:w="1146" w:type="dxa"/>
            <w:tcBorders>
              <w:top w:val="single" w:sz="8" w:space="0" w:color="auto"/>
              <w:left w:val="nil"/>
              <w:bottom w:val="single" w:sz="8" w:space="0" w:color="auto"/>
              <w:right w:val="nil"/>
            </w:tcBorders>
            <w:shd w:val="clear" w:color="auto" w:fill="auto"/>
            <w:noWrap/>
            <w:vAlign w:val="center"/>
            <w:hideMark/>
          </w:tcPr>
          <w:p w14:paraId="01202AA9"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182</w:t>
            </w:r>
          </w:p>
        </w:tc>
        <w:tc>
          <w:tcPr>
            <w:tcW w:w="11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A113F47"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21</w:t>
            </w:r>
          </w:p>
        </w:tc>
        <w:tc>
          <w:tcPr>
            <w:tcW w:w="1146" w:type="dxa"/>
            <w:tcBorders>
              <w:top w:val="single" w:sz="8" w:space="0" w:color="auto"/>
              <w:left w:val="nil"/>
              <w:bottom w:val="single" w:sz="8" w:space="0" w:color="auto"/>
              <w:right w:val="nil"/>
            </w:tcBorders>
            <w:shd w:val="clear" w:color="auto" w:fill="auto"/>
            <w:noWrap/>
            <w:vAlign w:val="center"/>
            <w:hideMark/>
          </w:tcPr>
          <w:p w14:paraId="12B5753E"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c>
          <w:tcPr>
            <w:tcW w:w="11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5F806C"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c>
          <w:tcPr>
            <w:tcW w:w="1146" w:type="dxa"/>
            <w:tcBorders>
              <w:top w:val="nil"/>
              <w:left w:val="nil"/>
              <w:bottom w:val="single" w:sz="8" w:space="0" w:color="auto"/>
              <w:right w:val="single" w:sz="8" w:space="0" w:color="auto"/>
            </w:tcBorders>
            <w:shd w:val="clear" w:color="auto" w:fill="auto"/>
            <w:noWrap/>
            <w:vAlign w:val="center"/>
            <w:hideMark/>
          </w:tcPr>
          <w:p w14:paraId="28CE9237"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r>
      <w:tr w:rsidR="00047BE4" w:rsidRPr="00497AB1" w14:paraId="02E3A454" w14:textId="77777777" w:rsidTr="00047BE4">
        <w:trPr>
          <w:trHeight w:val="292"/>
        </w:trPr>
        <w:tc>
          <w:tcPr>
            <w:tcW w:w="1146" w:type="dxa"/>
            <w:tcBorders>
              <w:top w:val="nil"/>
              <w:left w:val="single" w:sz="8" w:space="0" w:color="auto"/>
              <w:bottom w:val="single" w:sz="8" w:space="0" w:color="auto"/>
              <w:right w:val="single" w:sz="8" w:space="0" w:color="auto"/>
            </w:tcBorders>
            <w:shd w:val="clear" w:color="auto" w:fill="auto"/>
            <w:noWrap/>
            <w:vAlign w:val="center"/>
            <w:hideMark/>
          </w:tcPr>
          <w:p w14:paraId="0CECAA75" w14:textId="77777777" w:rsidR="00047BE4" w:rsidRPr="00497AB1" w:rsidRDefault="00047BE4" w:rsidP="00047BE4">
            <w:pPr>
              <w:spacing w:before="0"/>
              <w:jc w:val="center"/>
              <w:rPr>
                <w:rFonts w:ascii="Calibri" w:eastAsia="Times New Roman" w:hAnsi="Calibri" w:cs="Calibri"/>
                <w:b/>
                <w:color w:val="0D0D0D"/>
                <w:sz w:val="18"/>
                <w:szCs w:val="18"/>
                <w:lang w:eastAsia="cs-CZ"/>
              </w:rPr>
            </w:pPr>
            <w:r w:rsidRPr="00497AB1">
              <w:rPr>
                <w:rFonts w:ascii="Calibri" w:eastAsia="Times New Roman" w:hAnsi="Calibri" w:cs="Calibri"/>
                <w:b/>
                <w:color w:val="0D0D0D"/>
                <w:sz w:val="18"/>
                <w:szCs w:val="18"/>
                <w:lang w:eastAsia="cs-CZ"/>
              </w:rPr>
              <w:t>Zlín</w:t>
            </w:r>
          </w:p>
        </w:tc>
        <w:tc>
          <w:tcPr>
            <w:tcW w:w="1146" w:type="dxa"/>
            <w:tcBorders>
              <w:top w:val="nil"/>
              <w:left w:val="nil"/>
              <w:bottom w:val="single" w:sz="8" w:space="0" w:color="auto"/>
              <w:right w:val="nil"/>
            </w:tcBorders>
            <w:shd w:val="clear" w:color="auto" w:fill="auto"/>
            <w:noWrap/>
            <w:vAlign w:val="center"/>
            <w:hideMark/>
          </w:tcPr>
          <w:p w14:paraId="6E53F9B5"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11</w:t>
            </w:r>
          </w:p>
        </w:tc>
        <w:tc>
          <w:tcPr>
            <w:tcW w:w="1186" w:type="dxa"/>
            <w:tcBorders>
              <w:top w:val="nil"/>
              <w:left w:val="single" w:sz="8" w:space="0" w:color="auto"/>
              <w:bottom w:val="single" w:sz="8" w:space="0" w:color="auto"/>
              <w:right w:val="single" w:sz="8" w:space="0" w:color="auto"/>
            </w:tcBorders>
            <w:shd w:val="clear" w:color="auto" w:fill="auto"/>
            <w:noWrap/>
            <w:vAlign w:val="center"/>
            <w:hideMark/>
          </w:tcPr>
          <w:p w14:paraId="269F7F3B"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 </w:t>
            </w:r>
          </w:p>
        </w:tc>
        <w:tc>
          <w:tcPr>
            <w:tcW w:w="1146" w:type="dxa"/>
            <w:tcBorders>
              <w:top w:val="nil"/>
              <w:left w:val="nil"/>
              <w:bottom w:val="single" w:sz="8" w:space="0" w:color="auto"/>
              <w:right w:val="nil"/>
            </w:tcBorders>
            <w:shd w:val="clear" w:color="auto" w:fill="auto"/>
            <w:noWrap/>
            <w:vAlign w:val="center"/>
            <w:hideMark/>
          </w:tcPr>
          <w:p w14:paraId="4FE0B241"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99</w:t>
            </w:r>
          </w:p>
        </w:tc>
        <w:tc>
          <w:tcPr>
            <w:tcW w:w="1146" w:type="dxa"/>
            <w:tcBorders>
              <w:top w:val="nil"/>
              <w:left w:val="single" w:sz="8" w:space="0" w:color="auto"/>
              <w:bottom w:val="single" w:sz="8" w:space="0" w:color="auto"/>
              <w:right w:val="single" w:sz="8" w:space="0" w:color="auto"/>
            </w:tcBorders>
            <w:shd w:val="clear" w:color="auto" w:fill="auto"/>
            <w:noWrap/>
            <w:vAlign w:val="center"/>
            <w:hideMark/>
          </w:tcPr>
          <w:p w14:paraId="7A234DD0"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406</w:t>
            </w:r>
          </w:p>
        </w:tc>
        <w:tc>
          <w:tcPr>
            <w:tcW w:w="1146" w:type="dxa"/>
            <w:tcBorders>
              <w:top w:val="nil"/>
              <w:left w:val="nil"/>
              <w:bottom w:val="single" w:sz="8" w:space="0" w:color="auto"/>
              <w:right w:val="nil"/>
            </w:tcBorders>
            <w:shd w:val="clear" w:color="auto" w:fill="auto"/>
            <w:noWrap/>
            <w:vAlign w:val="center"/>
            <w:hideMark/>
          </w:tcPr>
          <w:p w14:paraId="376D1B79"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25</w:t>
            </w:r>
          </w:p>
        </w:tc>
        <w:tc>
          <w:tcPr>
            <w:tcW w:w="1146" w:type="dxa"/>
            <w:tcBorders>
              <w:top w:val="nil"/>
              <w:left w:val="single" w:sz="8" w:space="0" w:color="auto"/>
              <w:bottom w:val="single" w:sz="8" w:space="0" w:color="auto"/>
              <w:right w:val="single" w:sz="8" w:space="0" w:color="auto"/>
            </w:tcBorders>
            <w:shd w:val="clear" w:color="auto" w:fill="auto"/>
            <w:noWrap/>
            <w:vAlign w:val="center"/>
            <w:hideMark/>
          </w:tcPr>
          <w:p w14:paraId="6FC3D4FC"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45</w:t>
            </w:r>
          </w:p>
        </w:tc>
        <w:tc>
          <w:tcPr>
            <w:tcW w:w="1146" w:type="dxa"/>
            <w:tcBorders>
              <w:top w:val="nil"/>
              <w:left w:val="nil"/>
              <w:bottom w:val="single" w:sz="8" w:space="0" w:color="auto"/>
              <w:right w:val="single" w:sz="8" w:space="0" w:color="auto"/>
            </w:tcBorders>
            <w:shd w:val="clear" w:color="auto" w:fill="auto"/>
            <w:noWrap/>
            <w:vAlign w:val="center"/>
            <w:hideMark/>
          </w:tcPr>
          <w:p w14:paraId="46CEB431" w14:textId="77777777" w:rsidR="00047BE4" w:rsidRPr="00497AB1" w:rsidRDefault="00047BE4" w:rsidP="00047BE4">
            <w:pPr>
              <w:spacing w:before="0"/>
              <w:jc w:val="right"/>
              <w:rPr>
                <w:rFonts w:ascii="Calibri" w:eastAsia="Times New Roman" w:hAnsi="Calibri" w:cs="Calibri"/>
                <w:color w:val="000000"/>
                <w:sz w:val="18"/>
                <w:szCs w:val="18"/>
                <w:lang w:eastAsia="cs-CZ"/>
              </w:rPr>
            </w:pPr>
            <w:r w:rsidRPr="00497AB1">
              <w:rPr>
                <w:rFonts w:ascii="Calibri" w:eastAsia="Times New Roman" w:hAnsi="Calibri" w:cs="Calibri"/>
                <w:color w:val="000000"/>
                <w:sz w:val="18"/>
                <w:szCs w:val="18"/>
                <w:lang w:eastAsia="cs-CZ"/>
              </w:rPr>
              <w:t>16</w:t>
            </w:r>
          </w:p>
        </w:tc>
      </w:tr>
    </w:tbl>
    <w:p w14:paraId="7223ECE6" w14:textId="1BF25E84" w:rsidR="00047BE4" w:rsidRPr="00497AB1" w:rsidRDefault="00047BE4" w:rsidP="00047BE4">
      <w:pPr>
        <w:pStyle w:val="Zdroj"/>
      </w:pPr>
      <w:r w:rsidRPr="00497AB1">
        <w:t xml:space="preserve">Zdroj: </w:t>
      </w:r>
      <w:r>
        <w:t xml:space="preserve">ČSÚ, Veřejná databáze, 2018; </w:t>
      </w:r>
      <w:r w:rsidRPr="00EC4597">
        <w:t>Magistrát města Zlín, Odbor sociálních věcí</w:t>
      </w:r>
      <w:r w:rsidR="008E652E">
        <w:t>.</w:t>
      </w:r>
    </w:p>
    <w:p w14:paraId="67443136" w14:textId="77777777" w:rsidR="00047BE4" w:rsidRPr="00497AB1" w:rsidRDefault="00047BE4" w:rsidP="00047BE4">
      <w:r w:rsidRPr="00497AB1">
        <w:t>Ve Zlíně v současnosti působí přibližně 38 organizací poskytující sociální služby, jenž jsou zaměřené na činnosti, které mají občanům města pomoci řešit jejich nepříznivou sociální situaci. Tyto služby nejvíce využívají cílové skupiny obyvatel, jako jsou senioři, osoby se zdravotním postižením, rodiny s dětmi či lidé ohrožení sociálním vyloučením. Údaje jsou uvedeny za jednotlivé cílové skupiny obyvatel a formy sociální služby – ambulantní, pobytové nebo terénní.</w:t>
      </w:r>
      <w:r>
        <w:t xml:space="preserve"> Podrobný přehled organizací, které poskytují sociální služby obyvatelům města Zlína je uveden v přílohách.</w:t>
      </w:r>
    </w:p>
    <w:p w14:paraId="52ABBB11" w14:textId="24E22FD8" w:rsidR="00047BE4" w:rsidRPr="0007766C" w:rsidRDefault="00047BE4" w:rsidP="00047BE4">
      <w:r w:rsidRPr="00BA65C7">
        <w:t xml:space="preserve">Metodou komunitního plánování, do kterého je zapojeno široké spektrum poskytovatelů sociálních služeb, veřejnost a obce v SO ORP Zlín, byl zpracován „Střednědobý plán sociálních služeb na Zlínsku na období let 2020 </w:t>
      </w:r>
      <w:r w:rsidR="008E652E">
        <w:sym w:font="Symbol" w:char="F02D"/>
      </w:r>
      <w:r w:rsidRPr="00BA65C7">
        <w:t xml:space="preserve"> 2024“. V jeho rámci jsou stanoveny čtyři hlavní tematické oblasti sociálních a</w:t>
      </w:r>
      <w:r w:rsidR="008E652E">
        <w:t> </w:t>
      </w:r>
      <w:r w:rsidRPr="00BA65C7">
        <w:t>souvisejících služeb:</w:t>
      </w:r>
    </w:p>
    <w:p w14:paraId="21346D4B" w14:textId="77777777" w:rsidR="00047BE4" w:rsidRDefault="00047BE4" w:rsidP="00047BE4">
      <w:pPr>
        <w:pStyle w:val="Odstavecseseznamem"/>
        <w:numPr>
          <w:ilvl w:val="0"/>
          <w:numId w:val="16"/>
        </w:numPr>
      </w:pPr>
      <w:r>
        <w:t>Děti, mládež, rodina</w:t>
      </w:r>
    </w:p>
    <w:p w14:paraId="7351A238" w14:textId="77777777" w:rsidR="00047BE4" w:rsidRDefault="00047BE4" w:rsidP="00047BE4">
      <w:pPr>
        <w:pStyle w:val="Odstavecseseznamem"/>
        <w:numPr>
          <w:ilvl w:val="0"/>
          <w:numId w:val="16"/>
        </w:numPr>
      </w:pPr>
      <w:r w:rsidRPr="000A28EA">
        <w:t>Senioři</w:t>
      </w:r>
    </w:p>
    <w:p w14:paraId="1DC94597" w14:textId="77777777" w:rsidR="00047BE4" w:rsidRDefault="00047BE4" w:rsidP="00047BE4">
      <w:pPr>
        <w:pStyle w:val="Odstavecseseznamem"/>
        <w:numPr>
          <w:ilvl w:val="0"/>
          <w:numId w:val="16"/>
        </w:numPr>
      </w:pPr>
      <w:r>
        <w:t>Osoby se zdravotním</w:t>
      </w:r>
      <w:r w:rsidRPr="000A28EA">
        <w:t xml:space="preserve"> postižením</w:t>
      </w:r>
    </w:p>
    <w:p w14:paraId="4D7F8673" w14:textId="77777777" w:rsidR="00047BE4" w:rsidRDefault="00047BE4" w:rsidP="00047BE4">
      <w:pPr>
        <w:pStyle w:val="Odstavecseseznamem"/>
        <w:numPr>
          <w:ilvl w:val="0"/>
          <w:numId w:val="16"/>
        </w:numPr>
      </w:pPr>
      <w:r>
        <w:t>Osoby ohrožené sociálním vyloučením</w:t>
      </w:r>
    </w:p>
    <w:p w14:paraId="3055C664" w14:textId="24927240" w:rsidR="00047BE4" w:rsidRPr="0087757E" w:rsidRDefault="00047BE4" w:rsidP="00047BE4">
      <w:r w:rsidRPr="00BA65C7">
        <w:lastRenderedPageBreak/>
        <w:t>V uvedených oblastech koncepce analyzuje současný stav v oblasti sociální</w:t>
      </w:r>
      <w:r w:rsidR="008E652E">
        <w:t>ch služeb a navrhuje priority a </w:t>
      </w:r>
      <w:r w:rsidRPr="00BA65C7">
        <w:t>cíle důležitých opatření ke zlepšení situace. Aktuálně je zcela nedostatečná kapacita pobytových zařízení pro seniory (domovy pro seniory, domovy se zvláštním režimem), pro osoby ohrožené sociálním vyloučením (domovy se zvláštním režimem), pro osoby se zdravotním postižením (chráněné bydlení pro mentálně postižené a duševně nemocné).</w:t>
      </w:r>
      <w:r>
        <w:t xml:space="preserve"> </w:t>
      </w:r>
    </w:p>
    <w:p w14:paraId="65A8B149" w14:textId="38031A9B" w:rsidR="00047BE4" w:rsidRDefault="00047BE4" w:rsidP="00047BE4">
      <w:r w:rsidRPr="00BA65C7">
        <w:t>Z dalších navrhovaných priorit můžeme zmínit například potřebu dostatečného počtu odborníků pro práci se sociálně znevýhodněnými osobami (psychologická a psychiatrická péče), výstavbu finančně dostupného bydlení pro početnější rodiny, podpora mezigeneračního (komunitního) bydlení nebo vyhrazení sociálních lůžek ve zdravotnických zařízeních. Zřízení služby sociální rehabilitace (terénní a</w:t>
      </w:r>
      <w:r w:rsidR="008E652E">
        <w:t> </w:t>
      </w:r>
      <w:r w:rsidRPr="00BA65C7">
        <w:t>ambulantní formy) pro cílovou skupinu osob s mentálním postižením, rozšíření služby sociální rehabilitace pro osoby s duševním onemocněním a osoby nevidomé a slabozraké. Vznik komunitního typu bydlení pro osoby se zdravotním postižením a jejich pečující osoby, centra duševního zdraví ve Zlíně s návaznými terénními službami nebo podporu služeb pro rodiny s dětmi se zdravotním postižením.</w:t>
      </w:r>
    </w:p>
    <w:p w14:paraId="13A617E3" w14:textId="77777777" w:rsidR="00047BE4" w:rsidRPr="0087757E" w:rsidRDefault="00047BE4" w:rsidP="00047BE4">
      <w:pPr>
        <w:keepLines/>
        <w:rPr>
          <w:b/>
        </w:rPr>
      </w:pPr>
      <w:r>
        <w:rPr>
          <w:b/>
        </w:rPr>
        <w:t>Sociální</w:t>
      </w:r>
      <w:r w:rsidRPr="0087757E">
        <w:rPr>
          <w:b/>
        </w:rPr>
        <w:t xml:space="preserve"> vyloučení</w:t>
      </w:r>
    </w:p>
    <w:p w14:paraId="65EF1530" w14:textId="28D56208" w:rsidR="00047BE4" w:rsidRPr="00BA65C7" w:rsidRDefault="00047BE4" w:rsidP="00047BE4">
      <w:r w:rsidRPr="0087757E">
        <w:t>Sociálním vyloučením se rozumí proces vyčleňování jedinců nebo skupin obyvatelstva ze společnosti. Tento proces má více dimenzí, zásadně se na něm podílí forma ekonomického, sociálního nebo kulturního znevýhodnění. V prostoru může docházet ke koncentraci sociálně vyloučených osob a</w:t>
      </w:r>
      <w:r w:rsidR="008E652E">
        <w:t> </w:t>
      </w:r>
      <w:r w:rsidRPr="0087757E">
        <w:t>vzniku sociálně vyloučených lokalit</w:t>
      </w:r>
      <w:r>
        <w:t>.</w:t>
      </w:r>
      <w:r w:rsidRPr="0087757E">
        <w:t xml:space="preserve"> Z celkových osmi sociálně vyloučených lokalit vysoké koncentrace</w:t>
      </w:r>
      <w:r>
        <w:t xml:space="preserve"> sociálně </w:t>
      </w:r>
      <w:r w:rsidRPr="00BA65C7">
        <w:t>vyloučených obyvatel evidovaných ve Zlínském kraji se žádná nenachází na území města Zlín.</w:t>
      </w:r>
    </w:p>
    <w:p w14:paraId="2295C1D2" w14:textId="7949B040" w:rsidR="00047BE4" w:rsidRDefault="00047BE4" w:rsidP="00047BE4">
      <w:r w:rsidRPr="00BA65C7">
        <w:t>Významným faktorem ovlivňujícím sociální postavení obyvatel je nezaměstnanost.</w:t>
      </w:r>
      <w:r>
        <w:t xml:space="preserve"> </w:t>
      </w:r>
      <w:r w:rsidRPr="00BA65C7">
        <w:t>Osoby dlouhodobě nezaměstnané, s nízkými příjmy, s nízkým vzděláním, nekvalifikované, osoby se zdravotním postižením, po výkonu trestu, rodiny s jedním rodičem, mladí lidé bez pracovních zkušeností či opouštějící dětské domovy, cizinci, uprchlíci, lidé odlišného etnika, lidé žijící ve vyloučených lokalitách mají horší uplatnění na trhu práce a tím i omezené možnosti příjmu. Úroveň nezaměstnanosti je ve Zlínském kraji i ve městě Zlín dlouhodobě nízká. Více je této problematice věnována kapitola Vstřícné město. V posledním desetiletí klesají rozdíly v nezaměstnanosti a v míře sociálního znevýhodnění mezi jednotlivými kraji, zatímco odlišnosti mezi obcemi a regiony v jednotlivých krajích rostou. V určitých obcích a na území obcí s pověřeným obecním úřadem se přitom sociální a ekonomické znevýhodnění kumulují – pro obce s nejvyšší nezaměstnaností a nejvyšším podílem osob pobírajících příspěvek na živobytí je také typický nadprůměrný počet osob v exekuci. Město Zlín k těmto územím nepatří (viz ukazatele níže).</w:t>
      </w:r>
    </w:p>
    <w:p w14:paraId="66394863" w14:textId="77777777" w:rsidR="00047BE4" w:rsidRPr="00F63ECC" w:rsidRDefault="00047BE4" w:rsidP="00047BE4">
      <w:pPr>
        <w:keepNext/>
        <w:rPr>
          <w:b/>
        </w:rPr>
      </w:pPr>
      <w:r w:rsidRPr="00F63ECC">
        <w:rPr>
          <w:b/>
        </w:rPr>
        <w:t>Podíl osob v exekuci</w:t>
      </w:r>
    </w:p>
    <w:p w14:paraId="3E9AF986" w14:textId="38C52387" w:rsidR="00047BE4" w:rsidRDefault="00047BE4" w:rsidP="00047BE4">
      <w:r>
        <w:t>V soudobé české společnosti představují exekuce problém, který se odráží v mnoha rovinách. Zásadní vliv má přítomnost exekuce na ekonomický růst vyjádřený hrubým domácím produktem. Hrubý domácí produkt je z významné části tvořen výdaji domácností a firmami. Exekuce nejenže snižují výši výdajů domácností, ale mění i jejich strukturu, především od statků dlouhodobé spotřeby k statkům krátkodobé spotřeby. Exekuce mají další dopad na firmy, kdy osoby v exekuci mají nižší motivaci k práci a</w:t>
      </w:r>
      <w:r w:rsidR="008E652E">
        <w:t> </w:t>
      </w:r>
      <w:r>
        <w:t>jejich produktivita je nižší, což ovlivňuje rozdíl příjmů ze zaměstnance a nákladů na něj (zvýšené náklady na mzdové účetnictví, administrativu a komunikaci se zainteresovanými institucemi (exekutorský úřad). V případě hlubších finančních problémů, které mají za příčinu relativně vysoké srážky ze mzdy, dochází k demotivaci jedince setrvat v zaměstnání či účastnit se legálního trhu práce.</w:t>
      </w:r>
      <w:r>
        <w:rPr>
          <w:rStyle w:val="Znakapoznpodarou"/>
        </w:rPr>
        <w:footnoteReference w:id="13"/>
      </w:r>
      <w:r>
        <w:t xml:space="preserve"> </w:t>
      </w:r>
    </w:p>
    <w:p w14:paraId="5A63514F" w14:textId="4ACA87A6" w:rsidR="00047BE4" w:rsidRDefault="00047BE4" w:rsidP="00047BE4">
      <w:pPr>
        <w:spacing w:before="0" w:after="160"/>
      </w:pPr>
      <w:r>
        <w:t>V SO ORP Zlín se v roce 2019 nacházelo 4 442 osob v exekuci, což je 5,26 % obyvatel starších 15 let. Podíl osob v exekuci je tedy v SO ORP Zlíně výrazně nižší než celorepublikový průměr (v rámci České republiky</w:t>
      </w:r>
      <w:r w:rsidR="008E652E">
        <w:t xml:space="preserve"> v roce 2019</w:t>
      </w:r>
      <w:r>
        <w:t xml:space="preserve"> činil podíl osob v exekuci 8,7 % osob). Podíl osob v exekuci ve městě Zlín je oproti SO ORP o něco vyšší, v roce 2019 činil 5,8 % (3 724 osob), tzn., že 83,8 % osob v exekuci z SO ORP Zlín </w:t>
      </w:r>
      <w:r>
        <w:lastRenderedPageBreak/>
        <w:t xml:space="preserve">žije ve městě Zlíně. </w:t>
      </w:r>
      <w:r w:rsidRPr="00917E1E">
        <w:t>Podíl osob v exekuci v</w:t>
      </w:r>
      <w:r>
        <w:t xml:space="preserve">e městě Zlíně </w:t>
      </w:r>
      <w:r w:rsidRPr="00917E1E">
        <w:t>se</w:t>
      </w:r>
      <w:r>
        <w:t xml:space="preserve"> ovšem mezi lety 2019 a 2017 mírně snížil (o 0,96 p. b.). Nejvíce osob v exekuci je postiženo 3 – 9 exekucemi (40 %). Na jednu osobu tak připadne v průměru 6,1 exekucí. I když situace ve městě Zlíně patří mezi méně závažné v porovnání s celorepublikovým průměrem, je vhodné se problematikou zabývat. </w:t>
      </w:r>
    </w:p>
    <w:p w14:paraId="2F33366A" w14:textId="359AE4A1" w:rsidR="00047BE4" w:rsidRPr="0037391B" w:rsidRDefault="00047BE4" w:rsidP="00047BE4">
      <w:pPr>
        <w:pStyle w:val="Titulek"/>
        <w:keepNext/>
        <w:keepLines/>
      </w:pPr>
      <w:bookmarkStart w:id="119" w:name="_Toc49439866"/>
      <w:bookmarkStart w:id="120" w:name="_Toc53037911"/>
      <w:bookmarkStart w:id="121" w:name="_Toc7707484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22</w:t>
      </w:r>
      <w:r w:rsidR="00804AF3">
        <w:rPr>
          <w:noProof/>
        </w:rPr>
        <w:fldChar w:fldCharType="end"/>
      </w:r>
      <w:r w:rsidR="008E652E">
        <w:rPr>
          <w:noProof/>
        </w:rPr>
        <w:t>:</w:t>
      </w:r>
      <w:r>
        <w:t xml:space="preserve"> Exekuce ve městě Zlíně v roce 2019</w:t>
      </w:r>
      <w:bookmarkEnd w:id="119"/>
      <w:bookmarkEnd w:id="120"/>
      <w:bookmarkEnd w:id="121"/>
    </w:p>
    <w:p w14:paraId="5ABB5DDE" w14:textId="77777777" w:rsidR="00047BE4" w:rsidRDefault="00047BE4" w:rsidP="00047BE4">
      <w:r>
        <w:rPr>
          <w:noProof/>
          <w:lang w:eastAsia="cs-CZ"/>
        </w:rPr>
        <w:drawing>
          <wp:anchor distT="0" distB="0" distL="114300" distR="114300" simplePos="0" relativeHeight="251731968" behindDoc="0" locked="0" layoutInCell="1" allowOverlap="1" wp14:anchorId="36C2BC92" wp14:editId="67C9071A">
            <wp:simplePos x="0" y="0"/>
            <wp:positionH relativeFrom="margin">
              <wp:posOffset>4722495</wp:posOffset>
            </wp:positionH>
            <wp:positionV relativeFrom="paragraph">
              <wp:posOffset>1650365</wp:posOffset>
            </wp:positionV>
            <wp:extent cx="1038225" cy="874395"/>
            <wp:effectExtent l="0" t="0" r="9525" b="1905"/>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038225" cy="87439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26225706" wp14:editId="0E714E36">
            <wp:extent cx="5760000" cy="2525431"/>
            <wp:effectExtent l="0" t="0" r="0" b="825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9391"/>
                    <a:stretch/>
                  </pic:blipFill>
                  <pic:spPr bwMode="auto">
                    <a:xfrm>
                      <a:off x="0" y="0"/>
                      <a:ext cx="5760000" cy="2525431"/>
                    </a:xfrm>
                    <a:prstGeom prst="rect">
                      <a:avLst/>
                    </a:prstGeom>
                    <a:ln>
                      <a:noFill/>
                    </a:ln>
                    <a:extLst>
                      <a:ext uri="{53640926-AAD7-44D8-BBD7-CCE9431645EC}">
                        <a14:shadowObscured xmlns:a14="http://schemas.microsoft.com/office/drawing/2010/main"/>
                      </a:ext>
                    </a:extLst>
                  </pic:spPr>
                </pic:pic>
              </a:graphicData>
            </a:graphic>
          </wp:inline>
        </w:drawing>
      </w:r>
    </w:p>
    <w:p w14:paraId="610CF3ED" w14:textId="07688142" w:rsidR="00047BE4" w:rsidRDefault="00047BE4" w:rsidP="00047BE4">
      <w:pPr>
        <w:pStyle w:val="Zdroj"/>
      </w:pPr>
      <w:r w:rsidRPr="001344BE">
        <w:t>Zdroj: mapaexekuci.cz, údaje jsou pouze za fyzické osoby</w:t>
      </w:r>
      <w:r>
        <w:t>, 2020</w:t>
      </w:r>
      <w:r w:rsidR="008E652E">
        <w:t>.</w:t>
      </w:r>
    </w:p>
    <w:p w14:paraId="48F6A29D" w14:textId="77777777" w:rsidR="00047BE4" w:rsidRDefault="00047BE4" w:rsidP="00047BE4">
      <w:pPr>
        <w:keepNext/>
        <w:rPr>
          <w:b/>
        </w:rPr>
      </w:pPr>
      <w:r w:rsidRPr="00F63ECC">
        <w:rPr>
          <w:b/>
        </w:rPr>
        <w:t>Počet a objem vyplacených dávek pomoci v hmotné nouzi</w:t>
      </w:r>
    </w:p>
    <w:p w14:paraId="38C940DF" w14:textId="77777777" w:rsidR="00047BE4" w:rsidRDefault="00047BE4" w:rsidP="00047BE4">
      <w:r w:rsidRPr="00FD38B0">
        <w:t>Podle zákona č. 111/2006 Sb. o pomoci v hmotné nouzi (HN), se osoba nachází v hmotné nouzi, jestliže její příjem a příjem společně posuzovaných osob po odečtení přiměřených nákladů na bydlení, nedosahuje částky živobytí. Při posuzování stavu hmotné nouze se posuzují příjmy, sociální a majetkové poměry osoby, která o dávku žádá, a dále osob, které jsou společně posuzovány.</w:t>
      </w:r>
    </w:p>
    <w:p w14:paraId="1BCA6AB4" w14:textId="5727E0A6" w:rsidR="00047BE4" w:rsidRDefault="00047BE4" w:rsidP="00047BE4">
      <w:r w:rsidRPr="001E2AFD">
        <w:t>Základní dávkou pomoci v hmotné nouzi, která pomáhá osobě či rodině při nedostatečném příjmu, je příspěvek na živobytí (PnŽ).</w:t>
      </w:r>
      <w:r>
        <w:t xml:space="preserve"> V celostátním srovnání patří Zlín k oblastem s nízkým podílem osob pobírajících příspěvek na živobytí. Podíl osob v hmotné nouzi na území ORP Zlín činil 0,38 % (celkem 376 osob), zatímco celostátní průměr činí 1,39 %. Z dostupných dat vyplývá, že dochází k poklesu evidovaných osob v hmotné nouzi od roku 2014</w:t>
      </w:r>
      <w:r>
        <w:rPr>
          <w:rStyle w:val="Znakapoznpodarou"/>
        </w:rPr>
        <w:footnoteReference w:id="14"/>
      </w:r>
      <w:r>
        <w:t xml:space="preserve">. Graf na obrázku </w:t>
      </w:r>
      <w:r w:rsidR="00BB66F4">
        <w:t>1.23</w:t>
      </w:r>
      <w:r>
        <w:t xml:space="preserve"> zobrazuje vývoj průměrného počtu měsíčně vyplácených dávek příspěvku na živobytí a průměrné výše tohoto příspěvku v letech 2014 až 2019. Z vývoje je patrné, že v hodnoceném období dochází k poklesu počtu vyplácených dávek, průměrná výše vyplácených dávek se také snížila na hodnotu 1 568 Kč. Celkový počet vyplacených dávek v roce 2019 byl 6 255 (521 vyplácených dávek měsíčně). Celková výše finančních prostředků vyplacených touto formou sociálních dávek ve Zlíně snížila z hodnoty 38,13 mil. Kč v roce 2014, na 9,81 mil. Kč v roce 2019.</w:t>
      </w:r>
    </w:p>
    <w:p w14:paraId="3F6C3E01" w14:textId="4C1AB760" w:rsidR="00047BE4" w:rsidRDefault="00047BE4" w:rsidP="00047BE4">
      <w:r>
        <w:t>Další</w:t>
      </w:r>
      <w:r w:rsidRPr="001F4CD3">
        <w:t xml:space="preserve"> dávka pomoci v hmotné nouzi řeší nedostatek příjmu k uhrazení nákladů na bydlení tam, kde nestačí vlastní příjmy osoby či rodiny včetně příspěvku na bydlení ze systému státní sociální podpory.</w:t>
      </w:r>
      <w:r>
        <w:t xml:space="preserve"> Jedná se o dávku příspěvek na bydlení (PnB) a doplatek na bydlení (DnB). </w:t>
      </w:r>
      <w:r w:rsidRPr="001A5AF7">
        <w:t>V</w:t>
      </w:r>
      <w:r>
        <w:t> kontaktním pracovišti Úřadu práce Zlín bylo v roce 2019 vyplaceno 12 755 dávek příspěvku</w:t>
      </w:r>
      <w:r w:rsidRPr="001A5AF7">
        <w:t xml:space="preserve"> na bydlení. Ve sledovaném období byl nejvyšší počet žádo</w:t>
      </w:r>
      <w:r>
        <w:t>stí vyplacen v roce 2014 (19 715), o</w:t>
      </w:r>
      <w:r w:rsidRPr="001A5AF7">
        <w:t xml:space="preserve">d </w:t>
      </w:r>
      <w:r>
        <w:t>tohoto roku tedy</w:t>
      </w:r>
      <w:r w:rsidRPr="001A5AF7">
        <w:t xml:space="preserve"> došlo k výraznému poklesu počtu vyplacených dávek.</w:t>
      </w:r>
      <w:r>
        <w:t xml:space="preserve"> Podobný trend je v případě dávky doplatek na bydlení. V roce 2019</w:t>
      </w:r>
      <w:r w:rsidRPr="00935A8E">
        <w:t xml:space="preserve"> bylo vyplaceno </w:t>
      </w:r>
      <w:r>
        <w:t>1 753</w:t>
      </w:r>
      <w:r w:rsidRPr="00935A8E">
        <w:t xml:space="preserve"> </w:t>
      </w:r>
      <w:r>
        <w:t>dávek</w:t>
      </w:r>
      <w:r w:rsidRPr="00935A8E">
        <w:t xml:space="preserve"> doplatk</w:t>
      </w:r>
      <w:r>
        <w:t>u</w:t>
      </w:r>
      <w:r w:rsidRPr="00935A8E">
        <w:t xml:space="preserve"> na bydlení</w:t>
      </w:r>
      <w:r>
        <w:t xml:space="preserve">, přičemž počet vyplacených dávek má od roku 2014, kdy bylo vyplaceno 6 326 dávek, klesající trend. Vývoj celkové hodnoty výše vyplacených dávek spolu </w:t>
      </w:r>
      <w:r>
        <w:lastRenderedPageBreak/>
        <w:t>s ukazatelem průměrné výše vyplácených dávek ve sledovaném období je zn</w:t>
      </w:r>
      <w:r w:rsidR="00E111E6">
        <w:t>ázorněn na grafu na obrázku 1.24</w:t>
      </w:r>
      <w:r>
        <w:t>.</w:t>
      </w:r>
    </w:p>
    <w:p w14:paraId="36937233" w14:textId="46A41726" w:rsidR="00047BE4" w:rsidRPr="009910A1" w:rsidRDefault="00047BE4" w:rsidP="00047BE4">
      <w:pPr>
        <w:pStyle w:val="Titulek"/>
        <w:keepNext/>
        <w:keepLines/>
      </w:pPr>
      <w:bookmarkStart w:id="122" w:name="_Toc49439867"/>
      <w:bookmarkStart w:id="123" w:name="_Toc53037912"/>
      <w:bookmarkStart w:id="124" w:name="_Toc7707484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23</w:t>
      </w:r>
      <w:r w:rsidR="00804AF3">
        <w:rPr>
          <w:noProof/>
        </w:rPr>
        <w:fldChar w:fldCharType="end"/>
      </w:r>
      <w:r w:rsidR="00822247">
        <w:rPr>
          <w:noProof/>
        </w:rPr>
        <w:t>:</w:t>
      </w:r>
      <w:r>
        <w:t xml:space="preserve"> </w:t>
      </w:r>
      <w:r w:rsidRPr="009910A1">
        <w:t>Vývoj počtu dávek a průměrné výše dávek – Příspěvek na živobytí (PnŽ)</w:t>
      </w:r>
      <w:bookmarkEnd w:id="122"/>
      <w:bookmarkEnd w:id="123"/>
      <w:bookmarkEnd w:id="124"/>
    </w:p>
    <w:p w14:paraId="5190CD17" w14:textId="7310A1B4" w:rsidR="00047BE4" w:rsidRDefault="00047BE4" w:rsidP="00047BE4">
      <w:pPr>
        <w:pStyle w:val="Zdroj"/>
      </w:pPr>
      <w:r>
        <w:rPr>
          <w:noProof/>
        </w:rPr>
        <w:drawing>
          <wp:inline distT="0" distB="0" distL="0" distR="0" wp14:anchorId="2BD2169B" wp14:editId="35B9F97F">
            <wp:extent cx="5773420" cy="2030095"/>
            <wp:effectExtent l="0" t="0" r="0" b="8255"/>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3420" cy="2030095"/>
                    </a:xfrm>
                    <a:prstGeom prst="rect">
                      <a:avLst/>
                    </a:prstGeom>
                    <a:noFill/>
                  </pic:spPr>
                </pic:pic>
              </a:graphicData>
            </a:graphic>
          </wp:inline>
        </w:drawing>
      </w:r>
      <w:r>
        <w:t xml:space="preserve">Zdroj: </w:t>
      </w:r>
      <w:r w:rsidRPr="00862B77">
        <w:t>Úřad práce ČR – Krajská pobočka ve Zlíně</w:t>
      </w:r>
      <w:r>
        <w:t>, k 1.</w:t>
      </w:r>
      <w:r w:rsidR="00822247">
        <w:t xml:space="preserve"> </w:t>
      </w:r>
      <w:r>
        <w:t>8.</w:t>
      </w:r>
      <w:r w:rsidR="00822247">
        <w:t xml:space="preserve"> </w:t>
      </w:r>
      <w:r>
        <w:t>2020, zpracování PROCES</w:t>
      </w:r>
      <w:r w:rsidR="00822247">
        <w:t>.</w:t>
      </w:r>
    </w:p>
    <w:p w14:paraId="3B18DEE5" w14:textId="662FEAED" w:rsidR="00047BE4" w:rsidRDefault="00047BE4" w:rsidP="00047BE4">
      <w:pPr>
        <w:pStyle w:val="Titulek"/>
        <w:keepNext/>
        <w:keepLines/>
        <w:spacing w:after="120"/>
      </w:pPr>
      <w:bookmarkStart w:id="125" w:name="_Toc49439868"/>
      <w:bookmarkStart w:id="126" w:name="_Toc53037913"/>
      <w:bookmarkStart w:id="127" w:name="_Toc7707484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24</w:t>
      </w:r>
      <w:r w:rsidR="00804AF3">
        <w:rPr>
          <w:noProof/>
        </w:rPr>
        <w:fldChar w:fldCharType="end"/>
      </w:r>
      <w:r w:rsidR="00822247">
        <w:rPr>
          <w:noProof/>
        </w:rPr>
        <w:t>:</w:t>
      </w:r>
      <w:r>
        <w:t xml:space="preserve"> Celková výše a průměrná výše dávky u Příspěvku na bydlení (PnB) a Doplatku na bydlení (DnB)</w:t>
      </w:r>
      <w:r w:rsidR="00822247">
        <w:t xml:space="preserve"> v</w:t>
      </w:r>
      <w:r>
        <w:t xml:space="preserve"> letech 2014</w:t>
      </w:r>
      <w:r w:rsidR="00822247">
        <w:t> </w:t>
      </w:r>
      <w:r w:rsidR="00822247">
        <w:sym w:font="Symbol" w:char="F02D"/>
      </w:r>
      <w:r w:rsidR="00822247">
        <w:t> </w:t>
      </w:r>
      <w:r>
        <w:t>2019</w:t>
      </w:r>
      <w:bookmarkEnd w:id="125"/>
      <w:bookmarkEnd w:id="126"/>
      <w:bookmarkEnd w:id="127"/>
    </w:p>
    <w:p w14:paraId="442BD47A" w14:textId="77777777" w:rsidR="00047BE4" w:rsidRDefault="00047BE4" w:rsidP="00047BE4">
      <w:pPr>
        <w:pStyle w:val="Zdroj"/>
      </w:pPr>
      <w:r>
        <w:rPr>
          <w:noProof/>
        </w:rPr>
        <w:drawing>
          <wp:inline distT="0" distB="0" distL="0" distR="0" wp14:anchorId="3AA55806" wp14:editId="742EC4AE">
            <wp:extent cx="5773420" cy="2115185"/>
            <wp:effectExtent l="0" t="0" r="0" b="0"/>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3420" cy="2115185"/>
                    </a:xfrm>
                    <a:prstGeom prst="rect">
                      <a:avLst/>
                    </a:prstGeom>
                    <a:noFill/>
                  </pic:spPr>
                </pic:pic>
              </a:graphicData>
            </a:graphic>
          </wp:inline>
        </w:drawing>
      </w:r>
    </w:p>
    <w:p w14:paraId="60832BA1" w14:textId="040047BB" w:rsidR="00047BE4" w:rsidRDefault="00047BE4" w:rsidP="00047BE4">
      <w:pPr>
        <w:pStyle w:val="Zdroj"/>
      </w:pPr>
      <w:r>
        <w:t xml:space="preserve">Zdroj: </w:t>
      </w:r>
      <w:r w:rsidRPr="00862B77">
        <w:t>Úřad práce ČR – Krajská pobočka ve Zlíně</w:t>
      </w:r>
      <w:r>
        <w:t>, k 1.</w:t>
      </w:r>
      <w:r w:rsidR="00822247">
        <w:t xml:space="preserve"> </w:t>
      </w:r>
      <w:r>
        <w:t>8.</w:t>
      </w:r>
      <w:r w:rsidR="00822247">
        <w:t xml:space="preserve"> </w:t>
      </w:r>
      <w:r>
        <w:t>2020, zpracování PROCES</w:t>
      </w:r>
      <w:r w:rsidR="00822247">
        <w:t>.</w:t>
      </w:r>
    </w:p>
    <w:p w14:paraId="232D9B21" w14:textId="77777777" w:rsidR="00047BE4" w:rsidRDefault="00047BE4" w:rsidP="00047BE4">
      <w:pPr>
        <w:rPr>
          <w:b/>
        </w:rPr>
      </w:pPr>
      <w:r>
        <w:rPr>
          <w:b/>
        </w:rPr>
        <w:t>Osoby bez domova</w:t>
      </w:r>
    </w:p>
    <w:p w14:paraId="27A4FA16" w14:textId="77777777" w:rsidR="00047BE4" w:rsidRDefault="00047BE4" w:rsidP="00047BE4">
      <w:r>
        <w:t>V roce 2019 realizoval Výzkumný ústav práce a sociálních věcí sčítání osob bez domova. Na základě publikovaných zjištění můžeme uvést, že v celostátním srovnání je podíl osob bez domova na celkovém počtu obyvatel ve Zlínském kraji relativně nízký. Celkový počet osob bez domova ve Zlínském kraji v roce 2019 byl odhadnut na 1 137. Průměrný věk osob bez domova je ve Zlínském kraji naopak jeden z nejvyšších v Česku (50 let)</w:t>
      </w:r>
      <w:r>
        <w:rPr>
          <w:rStyle w:val="Znakapoznpodarou"/>
        </w:rPr>
        <w:footnoteReference w:id="15"/>
      </w:r>
      <w:r>
        <w:t xml:space="preserve">. </w:t>
      </w:r>
      <w:r w:rsidRPr="00F749CA">
        <w:t>Oblastní spolek Českého červeného kříže Zlín provozuje ve Zlíně pro osoby bez přístřeší azylový dům s kapacitou 14 lůžek, nízkoprahové denní centrum a noclehárnu, která poskytuje možnost přenocování 6 mužům a 4 ženám. Azylový dům poskytuje pomoc a podporu mužům, kteří se ocitli v nepříznivé sociální situaci spojené se ztrátou bydlení.</w:t>
      </w:r>
    </w:p>
    <w:p w14:paraId="7F1AE133" w14:textId="3BCB342B" w:rsidR="00047BE4" w:rsidRPr="001A48D5" w:rsidRDefault="00047BE4" w:rsidP="00047BE4">
      <w:pPr>
        <w:pStyle w:val="Titulek"/>
        <w:keepNext/>
        <w:keepLines/>
      </w:pPr>
      <w:bookmarkStart w:id="128" w:name="_Toc49439869"/>
      <w:bookmarkStart w:id="129" w:name="_Toc53037914"/>
      <w:bookmarkStart w:id="130" w:name="_Toc77074843"/>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25</w:t>
      </w:r>
      <w:r w:rsidR="00804AF3">
        <w:rPr>
          <w:noProof/>
        </w:rPr>
        <w:fldChar w:fldCharType="end"/>
      </w:r>
      <w:r w:rsidR="00822247">
        <w:rPr>
          <w:noProof/>
        </w:rPr>
        <w:t>:</w:t>
      </w:r>
      <w:r>
        <w:t xml:space="preserve"> Celkový počet osob bez domova na 1 000 obyvatel (včetně dětí)</w:t>
      </w:r>
      <w:bookmarkEnd w:id="128"/>
      <w:bookmarkEnd w:id="129"/>
      <w:bookmarkEnd w:id="130"/>
    </w:p>
    <w:p w14:paraId="453E5F1B" w14:textId="77777777" w:rsidR="00047BE4" w:rsidRPr="001A48D5" w:rsidRDefault="00047BE4" w:rsidP="00047BE4">
      <w:r>
        <w:rPr>
          <w:noProof/>
          <w:lang w:eastAsia="cs-CZ"/>
        </w:rPr>
        <w:drawing>
          <wp:inline distT="0" distB="0" distL="0" distR="0" wp14:anchorId="413C33A2" wp14:editId="3D95A166">
            <wp:extent cx="5591175" cy="2642235"/>
            <wp:effectExtent l="19050" t="19050" r="28575" b="24765"/>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zdomovectvi_kraj.png"/>
                    <pic:cNvPicPr/>
                  </pic:nvPicPr>
                  <pic:blipFill>
                    <a:blip r:embed="rId42">
                      <a:extLst>
                        <a:ext uri="{28A0092B-C50C-407E-A947-70E740481C1C}">
                          <a14:useLocalDpi xmlns:a14="http://schemas.microsoft.com/office/drawing/2010/main" val="0"/>
                        </a:ext>
                      </a:extLst>
                    </a:blip>
                    <a:stretch>
                      <a:fillRect/>
                    </a:stretch>
                  </pic:blipFill>
                  <pic:spPr>
                    <a:xfrm>
                      <a:off x="0" y="0"/>
                      <a:ext cx="5594715" cy="2643908"/>
                    </a:xfrm>
                    <a:prstGeom prst="rect">
                      <a:avLst/>
                    </a:prstGeom>
                    <a:ln>
                      <a:solidFill>
                        <a:schemeClr val="bg1">
                          <a:lumMod val="50000"/>
                        </a:schemeClr>
                      </a:solidFill>
                    </a:ln>
                  </pic:spPr>
                </pic:pic>
              </a:graphicData>
            </a:graphic>
          </wp:inline>
        </w:drawing>
      </w:r>
    </w:p>
    <w:p w14:paraId="04D37923" w14:textId="77777777" w:rsidR="00047BE4" w:rsidRDefault="00047BE4" w:rsidP="00047BE4">
      <w:pPr>
        <w:pStyle w:val="Zdroj"/>
      </w:pPr>
      <w:r>
        <w:t>Zdroj: VÚPSV (2019) Sčítání osob bez domova v Č</w:t>
      </w:r>
      <w:r w:rsidRPr="006212B7">
        <w:t>eské republice 2019</w:t>
      </w:r>
    </w:p>
    <w:p w14:paraId="3FDADD86" w14:textId="77777777" w:rsidR="00047BE4" w:rsidRDefault="00047BE4" w:rsidP="00047BE4">
      <w:pPr>
        <w:rPr>
          <w:b/>
        </w:rPr>
      </w:pPr>
      <w:r w:rsidRPr="00304743">
        <w:rPr>
          <w:b/>
        </w:rPr>
        <w:t>Bezbariérov</w:t>
      </w:r>
      <w:r>
        <w:rPr>
          <w:b/>
        </w:rPr>
        <w:t>ost městského prostoru</w:t>
      </w:r>
    </w:p>
    <w:p w14:paraId="4A714528" w14:textId="77777777" w:rsidR="00047BE4" w:rsidRDefault="00047BE4" w:rsidP="00047BE4">
      <w:r>
        <w:t>Odstraňování fyzických i smyslových bariér ve veřejném prostoru města pro usnadnění mobility obyvatel je pro zlepšování kvality života ve městech nezbytné. Potřeba bezbariérovosti je nejvíce aktuální u zdravotně znevýhodněných skupin obyvatel, seniorů nebo rodičů s malými dětmi. Za účelem zlepšení informovanosti cílových skupin obyvatel o možnostech pohybu ve městě a dostupnosti veřejných institucí vznikla s podporou města Zlín v roce 2015 informační brožura o bezbariérovosti doplněná online mapou</w:t>
      </w:r>
      <w:r>
        <w:rPr>
          <w:rStyle w:val="Znakapoznpodarou"/>
        </w:rPr>
        <w:footnoteReference w:id="16"/>
      </w:r>
      <w:r>
        <w:t xml:space="preserve">. Velká část autobusů a trolejbusů MHD Zlín jsou nízkopodlažní bezbariérové vozy (97 % autobusů a 80 % trolejbusů v roce 2014), problémem je horší dostupnost sedadel, úzké uličky a obtížná větratelnost (nové vozy již mají klimatizaci). Ve vlakové dopravě se situace zlepšila zavedením moderních typů souprav. Špatná situace je v meziměstské autobusové dopravě. Dochází k bezbariérovým úpravám zastávek MHD. Aktualizace a rozšíření </w:t>
      </w:r>
      <w:r w:rsidRPr="00C04F0F">
        <w:rPr>
          <w:b/>
        </w:rPr>
        <w:t>mapy bezbariérovosti</w:t>
      </w:r>
      <w:r>
        <w:t xml:space="preserve"> jsou jednou z priorit rozvoje sociálních služeb na Zlínsku. Na základě proběhlého mapování bezbariérovosti v roce 2015 vyplývá, že řada budov základních a středních škol není bezbariérových. Bezbariérové nejsou ani některé budovy UTB, některé pobočky České pošty, řada poboček Zlínského klubu seniorů nebo sídlo Policie ČR.</w:t>
      </w:r>
    </w:p>
    <w:p w14:paraId="7676E373" w14:textId="77777777" w:rsidR="00047BE4" w:rsidRDefault="00047BE4" w:rsidP="00047BE4">
      <w:pPr>
        <w:pStyle w:val="Nadpis5"/>
      </w:pPr>
      <w:r>
        <w:t xml:space="preserve">Nabídka </w:t>
      </w:r>
      <w:r w:rsidRPr="00B7481D">
        <w:t>zdravotnických</w:t>
      </w:r>
      <w:r>
        <w:t xml:space="preserve"> služeb</w:t>
      </w:r>
    </w:p>
    <w:p w14:paraId="24D116A2" w14:textId="77777777" w:rsidR="00BB74D3" w:rsidRDefault="00047BE4" w:rsidP="00BB74D3">
      <w:pPr>
        <w:rPr>
          <w:color w:val="000000"/>
          <w:shd w:val="clear" w:color="auto" w:fill="FFFFFF"/>
        </w:rPr>
      </w:pPr>
      <w:r w:rsidRPr="00E4476F">
        <w:rPr>
          <w:rFonts w:cstheme="minorHAnsi"/>
        </w:rPr>
        <w:t xml:space="preserve">Vedle </w:t>
      </w:r>
      <w:r w:rsidRPr="00E4476F">
        <w:rPr>
          <w:rFonts w:cstheme="minorHAnsi"/>
          <w:b/>
        </w:rPr>
        <w:t>Krajské nemocnice Tomáše Ba</w:t>
      </w:r>
      <w:r>
        <w:rPr>
          <w:rFonts w:cstheme="minorHAnsi"/>
          <w:b/>
        </w:rPr>
        <w:t>t</w:t>
      </w:r>
      <w:r w:rsidRPr="00E4476F">
        <w:rPr>
          <w:rFonts w:cstheme="minorHAnsi"/>
          <w:b/>
        </w:rPr>
        <w:t>i</w:t>
      </w:r>
      <w:r w:rsidRPr="00E4476F">
        <w:rPr>
          <w:rFonts w:cstheme="minorHAnsi"/>
        </w:rPr>
        <w:t xml:space="preserve"> (KNTB), největšího zdravotnického zařízením na území Zlína, můžeme jako další vý</w:t>
      </w:r>
      <w:r>
        <w:rPr>
          <w:rFonts w:cstheme="minorHAnsi"/>
        </w:rPr>
        <w:t xml:space="preserve">znamná centra zdravotnické péče </w:t>
      </w:r>
      <w:r w:rsidRPr="00E4476F">
        <w:rPr>
          <w:rFonts w:cstheme="minorHAnsi"/>
        </w:rPr>
        <w:t xml:space="preserve">uvést </w:t>
      </w:r>
      <w:r>
        <w:t>EUC Kliniku Zlín</w:t>
      </w:r>
      <w:r w:rsidRPr="00E4476F">
        <w:t xml:space="preserve">, sídlící v Baťově areálu. Jedná se o </w:t>
      </w:r>
      <w:r w:rsidRPr="00E4476F">
        <w:rPr>
          <w:color w:val="000000"/>
          <w:shd w:val="clear" w:color="auto" w:fill="FFFFFF"/>
        </w:rPr>
        <w:t>soukromou kliniku poskytující základní i ambulantní lékařskou péči v oboru chirurgie, gynekologie, diabetologie a gastroenterologie. Dále se zde nachází ordinace praktického lékaře, interna, kardiologie, kožní, plastická chirurgie, rehabilitace, lékárna a mamocentrum.</w:t>
      </w:r>
      <w:r>
        <w:rPr>
          <w:rFonts w:cstheme="minorHAnsi"/>
        </w:rPr>
        <w:t xml:space="preserve"> Dalším významným zdravotnickým zařízením s širokým zaměřením lékařské péče je</w:t>
      </w:r>
      <w:r>
        <w:t xml:space="preserve"> </w:t>
      </w:r>
      <w:r>
        <w:rPr>
          <w:rFonts w:cstheme="minorHAnsi"/>
        </w:rPr>
        <w:t>Poliklinika Zlín</w:t>
      </w:r>
      <w:r w:rsidRPr="00E4476F">
        <w:rPr>
          <w:rFonts w:cstheme="minorHAnsi"/>
        </w:rPr>
        <w:t>, na</w:t>
      </w:r>
      <w:r>
        <w:rPr>
          <w:rFonts w:cstheme="minorHAnsi"/>
        </w:rPr>
        <w:t>cházející se na třídě Tomáše Bat</w:t>
      </w:r>
      <w:r w:rsidRPr="00E4476F">
        <w:rPr>
          <w:rFonts w:cstheme="minorHAnsi"/>
        </w:rPr>
        <w:t xml:space="preserve">i v centru města. </w:t>
      </w:r>
      <w:r>
        <w:rPr>
          <w:rFonts w:cstheme="minorHAnsi"/>
        </w:rPr>
        <w:t>Poliklinika Zlín</w:t>
      </w:r>
      <w:r w:rsidRPr="00E4476F">
        <w:rPr>
          <w:rFonts w:cstheme="minorHAnsi"/>
        </w:rPr>
        <w:t xml:space="preserve"> je lékařské středisko, kde se nachází ordinace </w:t>
      </w:r>
      <w:r w:rsidRPr="00E4476F">
        <w:rPr>
          <w:rFonts w:cstheme="minorHAnsi"/>
          <w:color w:val="000000"/>
          <w:shd w:val="clear" w:color="auto" w:fill="FFFFFF"/>
        </w:rPr>
        <w:t xml:space="preserve">praktických i dětských lékařů, alergologie, genetiky, chirurgie, kardiologie a neurologie. Zajišťuje kožní, zubní, psychiatrickou, ORL, oční, onkologickou i ortopedickou péči. Dále poskytuje očkování a cestovní medicínu, RTG, SONO a </w:t>
      </w:r>
      <w:r>
        <w:rPr>
          <w:rFonts w:cstheme="minorHAnsi"/>
          <w:color w:val="000000"/>
          <w:shd w:val="clear" w:color="auto" w:fill="FFFFFF"/>
        </w:rPr>
        <w:t>mamograf</w:t>
      </w:r>
      <w:r w:rsidRPr="00E4476F">
        <w:rPr>
          <w:rFonts w:cstheme="minorHAnsi"/>
          <w:color w:val="000000"/>
          <w:shd w:val="clear" w:color="auto" w:fill="FFFFFF"/>
        </w:rPr>
        <w:t>.</w:t>
      </w:r>
      <w:r>
        <w:rPr>
          <w:rFonts w:cstheme="minorHAnsi"/>
        </w:rPr>
        <w:t xml:space="preserve"> </w:t>
      </w:r>
      <w:r>
        <w:rPr>
          <w:color w:val="000000"/>
          <w:shd w:val="clear" w:color="auto" w:fill="FFFFFF"/>
        </w:rPr>
        <w:t xml:space="preserve">Vedle uvedených zařízení se na zdravotní péči ve městě podílí široké spektrum dalších soukromých klinik, ordinací lékařů a lékáren. </w:t>
      </w:r>
    </w:p>
    <w:p w14:paraId="4A009D66" w14:textId="045E1A80" w:rsidR="00047BE4" w:rsidRPr="002659A5" w:rsidRDefault="00BB74D3" w:rsidP="00BB74D3">
      <w:pPr>
        <w:rPr>
          <w:color w:val="000000"/>
          <w:shd w:val="clear" w:color="auto" w:fill="FFFFFF"/>
        </w:rPr>
      </w:pPr>
      <w:r w:rsidRPr="002659A5">
        <w:rPr>
          <w:color w:val="000000"/>
          <w:shd w:val="clear" w:color="auto" w:fill="FFFFFF"/>
        </w:rPr>
        <w:lastRenderedPageBreak/>
        <w:t>Statutární město Zlín je zřizovatelem a provozovatelem zdravotnického zařízení Rehabilitační stacionář. Dle zákona č. 372/2011 Sb. je stacionář poskytovatelem zdravotních služeb. Předmětem činnosti organizační složky je poskytování zdravotních služeb a výchovně vzdělávací péče dětem do šestnácti let s postižením smyslovým, tělesným, mentálním, kombinovaným a s poruchou autistického spektra, poradenská činnost zákonným zástupcům dětí do šestnácti let v oblasti mentálního a tělesného rozvoje, sebeobsluhy a dalších souvisejících dovedností, péče o děti do 3 let v denním režimu, provoz ambulance fyzioterapie pro děti a mladistvé do osmnácti let.</w:t>
      </w:r>
    </w:p>
    <w:p w14:paraId="14A33E2E" w14:textId="3B756EED" w:rsidR="00047BE4" w:rsidRDefault="00047BE4" w:rsidP="00047BE4">
      <w:pPr>
        <w:rPr>
          <w:color w:val="000000" w:themeColor="text1"/>
        </w:rPr>
      </w:pPr>
      <w:r w:rsidRPr="002659A5">
        <w:rPr>
          <w:color w:val="000000"/>
          <w:shd w:val="clear" w:color="auto" w:fill="FFFFFF"/>
        </w:rPr>
        <w:t>Ve Zlíně jsou dále lokalizovány dvě výjezdové základny Zdravotnické záchranné služby Zlínského</w:t>
      </w:r>
      <w:r>
        <w:rPr>
          <w:color w:val="000000"/>
          <w:shd w:val="clear" w:color="auto" w:fill="FFFFFF"/>
        </w:rPr>
        <w:t xml:space="preserve"> kraje. Zdravotnická záchranná služba garantuje zajištění zákonem stanovené dojezdové doby 20 minut. </w:t>
      </w:r>
      <w:r>
        <w:rPr>
          <w:color w:val="000000" w:themeColor="text1"/>
        </w:rPr>
        <w:t xml:space="preserve">Graf </w:t>
      </w:r>
      <w:r w:rsidR="00EB62B8">
        <w:rPr>
          <w:color w:val="000000" w:themeColor="text1"/>
        </w:rPr>
        <w:t>na obrázku 1.26 z</w:t>
      </w:r>
      <w:r>
        <w:rPr>
          <w:color w:val="000000" w:themeColor="text1"/>
        </w:rPr>
        <w:t xml:space="preserve">obrazuje srovnání dostupnosti vybraných druhů lékařské péče (přepočet na 1 000 obyvatel). Dostupnost lékařské péče ve Zlíně je srovnatelná s vybranými městy, relativně vyšší dostupnost platí v případě praktických lékařů pro děti a dorost, všeobecných praktických lékařů nebo stomatologie. Údaje dále doplňuje výčet zdravotnických zařízení působících ve Zlíně dle </w:t>
      </w:r>
      <w:r>
        <w:t>Národního registru poskytovatelů zdravotních služeb. Z přehledu je patrné, že nabídka zdravotních služeb ve Zlíně je široká a odpovídá potřebám krajského města obsluhujícího širší zázemí.</w:t>
      </w:r>
    </w:p>
    <w:p w14:paraId="5595224F" w14:textId="69702EAC" w:rsidR="00047BE4" w:rsidRDefault="00047BE4" w:rsidP="00047BE4">
      <w:pPr>
        <w:pStyle w:val="Titulek"/>
        <w:keepNext/>
      </w:pPr>
      <w:bookmarkStart w:id="131" w:name="_Toc53037915"/>
      <w:bookmarkStart w:id="132" w:name="_Toc77074844"/>
      <w:bookmarkStart w:id="133" w:name="_Toc4943985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26</w:t>
      </w:r>
      <w:r w:rsidR="00804AF3">
        <w:rPr>
          <w:noProof/>
        </w:rPr>
        <w:fldChar w:fldCharType="end"/>
      </w:r>
      <w:r w:rsidR="007C7D7E">
        <w:rPr>
          <w:noProof/>
        </w:rPr>
        <w:t>:</w:t>
      </w:r>
      <w:r>
        <w:t xml:space="preserve"> Srovnání dostupnosti vybraných druhů zdravotní péče v roce 2020</w:t>
      </w:r>
      <w:bookmarkEnd w:id="131"/>
      <w:bookmarkEnd w:id="132"/>
    </w:p>
    <w:p w14:paraId="555201FF" w14:textId="77777777" w:rsidR="00047BE4" w:rsidRPr="00C159A9" w:rsidRDefault="00047BE4" w:rsidP="00047BE4">
      <w:r>
        <w:rPr>
          <w:noProof/>
          <w:lang w:eastAsia="cs-CZ"/>
        </w:rPr>
        <w:drawing>
          <wp:inline distT="0" distB="0" distL="0" distR="0" wp14:anchorId="305D8DD6" wp14:editId="10172509">
            <wp:extent cx="5773420" cy="3091180"/>
            <wp:effectExtent l="0" t="0" r="0" b="0"/>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3420" cy="3091180"/>
                    </a:xfrm>
                    <a:prstGeom prst="rect">
                      <a:avLst/>
                    </a:prstGeom>
                    <a:noFill/>
                  </pic:spPr>
                </pic:pic>
              </a:graphicData>
            </a:graphic>
          </wp:inline>
        </w:drawing>
      </w:r>
    </w:p>
    <w:p w14:paraId="4623708C" w14:textId="35DCB1DA" w:rsidR="00047BE4" w:rsidRPr="00D7652F" w:rsidRDefault="00047BE4" w:rsidP="00047BE4">
      <w:pPr>
        <w:pStyle w:val="Zdroj"/>
      </w:pPr>
      <w:r w:rsidRPr="00D7652F">
        <w:t xml:space="preserve">Zdroj: </w:t>
      </w:r>
      <w:r>
        <w:t>Národní registr poskytovatelů zdravotních služeb, zpracování PROCES, 2020</w:t>
      </w:r>
      <w:r w:rsidR="007C7D7E">
        <w:t>.</w:t>
      </w:r>
    </w:p>
    <w:p w14:paraId="58A18DB0" w14:textId="77777777" w:rsidR="00047BE4" w:rsidRDefault="00047BE4" w:rsidP="00047BE4">
      <w:pPr>
        <w:pStyle w:val="Titulek"/>
        <w:keepNext/>
        <w:keepLines/>
      </w:pPr>
      <w:bookmarkStart w:id="134" w:name="_Toc50468183"/>
    </w:p>
    <w:p w14:paraId="48C5892E" w14:textId="5AF08635" w:rsidR="00047BE4" w:rsidRDefault="00DC277C" w:rsidP="00DC277C">
      <w:pPr>
        <w:pStyle w:val="Titulek"/>
        <w:keepNext/>
      </w:pPr>
      <w:bookmarkStart w:id="135" w:name="_Toc53037878"/>
      <w:bookmarkStart w:id="136" w:name="_Toc7707469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17</w:t>
      </w:r>
      <w:r w:rsidR="00081B47">
        <w:rPr>
          <w:noProof/>
        </w:rPr>
        <w:fldChar w:fldCharType="end"/>
      </w:r>
      <w:r>
        <w:t xml:space="preserve">: </w:t>
      </w:r>
      <w:r w:rsidR="00047BE4">
        <w:t>Seznam nejvíce zastoupených zdravotních služeb ve Zlíně</w:t>
      </w:r>
      <w:bookmarkEnd w:id="134"/>
      <w:bookmarkEnd w:id="135"/>
      <w:bookmarkEnd w:id="136"/>
    </w:p>
    <w:tbl>
      <w:tblPr>
        <w:tblW w:w="8066" w:type="dxa"/>
        <w:tblCellMar>
          <w:left w:w="70" w:type="dxa"/>
          <w:right w:w="70" w:type="dxa"/>
        </w:tblCellMar>
        <w:tblLook w:val="04A0" w:firstRow="1" w:lastRow="0" w:firstColumn="1" w:lastColumn="0" w:noHBand="0" w:noVBand="1"/>
      </w:tblPr>
      <w:tblGrid>
        <w:gridCol w:w="3251"/>
        <w:gridCol w:w="1696"/>
        <w:gridCol w:w="1701"/>
        <w:gridCol w:w="1418"/>
      </w:tblGrid>
      <w:tr w:rsidR="00047BE4" w:rsidRPr="005537FC" w14:paraId="56238043" w14:textId="77777777" w:rsidTr="00047BE4">
        <w:trPr>
          <w:trHeight w:val="254"/>
        </w:trPr>
        <w:tc>
          <w:tcPr>
            <w:tcW w:w="3251"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14:paraId="5D2C874B" w14:textId="77777777" w:rsidR="00047BE4" w:rsidRPr="00D6624E" w:rsidRDefault="00047BE4" w:rsidP="00047BE4">
            <w:pPr>
              <w:keepNext/>
              <w:keepLines/>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Zdravotní péče</w:t>
            </w:r>
          </w:p>
        </w:tc>
        <w:tc>
          <w:tcPr>
            <w:tcW w:w="1696" w:type="dxa"/>
            <w:tcBorders>
              <w:top w:val="single" w:sz="8" w:space="0" w:color="auto"/>
              <w:left w:val="nil"/>
              <w:bottom w:val="single" w:sz="8" w:space="0" w:color="auto"/>
              <w:right w:val="nil"/>
            </w:tcBorders>
            <w:shd w:val="clear" w:color="auto" w:fill="F2F2F2" w:themeFill="background1" w:themeFillShade="F2"/>
            <w:noWrap/>
            <w:vAlign w:val="center"/>
            <w:hideMark/>
          </w:tcPr>
          <w:p w14:paraId="104F436E" w14:textId="77777777" w:rsidR="00047BE4" w:rsidRPr="00D6624E" w:rsidRDefault="00047BE4" w:rsidP="00047BE4">
            <w:pPr>
              <w:keepNext/>
              <w:keepLines/>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Právnická osoba</w:t>
            </w:r>
          </w:p>
        </w:tc>
        <w:tc>
          <w:tcPr>
            <w:tcW w:w="1701"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14:paraId="4BDA9E1D" w14:textId="77777777" w:rsidR="00047BE4" w:rsidRPr="00D6624E" w:rsidRDefault="00047BE4" w:rsidP="00047BE4">
            <w:pPr>
              <w:keepNext/>
              <w:keepLines/>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Fyzická osoba</w:t>
            </w:r>
          </w:p>
        </w:tc>
        <w:tc>
          <w:tcPr>
            <w:tcW w:w="1418" w:type="dxa"/>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14:paraId="1CF09F7F" w14:textId="77777777" w:rsidR="00047BE4" w:rsidRPr="00D6624E" w:rsidRDefault="00047BE4" w:rsidP="00047BE4">
            <w:pPr>
              <w:keepNext/>
              <w:keepLines/>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Celkem</w:t>
            </w:r>
          </w:p>
        </w:tc>
      </w:tr>
      <w:tr w:rsidR="00047BE4" w:rsidRPr="005537FC" w14:paraId="51B3384B" w14:textId="77777777" w:rsidTr="00047BE4">
        <w:trPr>
          <w:trHeight w:hRule="exact" w:val="284"/>
        </w:trPr>
        <w:tc>
          <w:tcPr>
            <w:tcW w:w="3251" w:type="dxa"/>
            <w:tcBorders>
              <w:top w:val="nil"/>
              <w:left w:val="single" w:sz="8" w:space="0" w:color="auto"/>
              <w:bottom w:val="nil"/>
              <w:right w:val="nil"/>
            </w:tcBorders>
            <w:shd w:val="clear" w:color="auto" w:fill="auto"/>
            <w:noWrap/>
            <w:vAlign w:val="center"/>
            <w:hideMark/>
          </w:tcPr>
          <w:p w14:paraId="2AFC5BDD"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Z</w:t>
            </w:r>
            <w:r w:rsidRPr="005537FC">
              <w:rPr>
                <w:rFonts w:ascii="Calibri" w:eastAsia="Times New Roman" w:hAnsi="Calibri" w:cs="Calibri"/>
                <w:color w:val="000000"/>
                <w:sz w:val="18"/>
                <w:szCs w:val="18"/>
                <w:lang w:eastAsia="cs-CZ"/>
              </w:rPr>
              <w:t>ubní lékařství</w:t>
            </w:r>
          </w:p>
        </w:tc>
        <w:tc>
          <w:tcPr>
            <w:tcW w:w="1696" w:type="dxa"/>
            <w:tcBorders>
              <w:top w:val="nil"/>
              <w:left w:val="single" w:sz="8" w:space="0" w:color="auto"/>
              <w:bottom w:val="nil"/>
              <w:right w:val="single" w:sz="8" w:space="0" w:color="auto"/>
            </w:tcBorders>
            <w:shd w:val="clear" w:color="auto" w:fill="auto"/>
            <w:noWrap/>
            <w:vAlign w:val="center"/>
            <w:hideMark/>
          </w:tcPr>
          <w:p w14:paraId="2E5CF8BD"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51</w:t>
            </w:r>
          </w:p>
        </w:tc>
        <w:tc>
          <w:tcPr>
            <w:tcW w:w="1701" w:type="dxa"/>
            <w:tcBorders>
              <w:top w:val="nil"/>
              <w:left w:val="nil"/>
              <w:bottom w:val="nil"/>
              <w:right w:val="nil"/>
            </w:tcBorders>
            <w:shd w:val="clear" w:color="auto" w:fill="auto"/>
            <w:noWrap/>
            <w:vAlign w:val="center"/>
            <w:hideMark/>
          </w:tcPr>
          <w:p w14:paraId="3FBF4121"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9</w:t>
            </w:r>
          </w:p>
        </w:tc>
        <w:tc>
          <w:tcPr>
            <w:tcW w:w="1418" w:type="dxa"/>
            <w:tcBorders>
              <w:top w:val="nil"/>
              <w:left w:val="single" w:sz="8" w:space="0" w:color="auto"/>
              <w:bottom w:val="nil"/>
              <w:right w:val="single" w:sz="8" w:space="0" w:color="auto"/>
            </w:tcBorders>
            <w:shd w:val="clear" w:color="auto" w:fill="auto"/>
            <w:noWrap/>
            <w:vAlign w:val="center"/>
            <w:hideMark/>
          </w:tcPr>
          <w:p w14:paraId="273259FE"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60</w:t>
            </w:r>
          </w:p>
        </w:tc>
      </w:tr>
      <w:tr w:rsidR="00047BE4" w:rsidRPr="005537FC" w14:paraId="2902E65E" w14:textId="77777777" w:rsidTr="00047BE4">
        <w:trPr>
          <w:trHeight w:hRule="exact" w:val="284"/>
        </w:trPr>
        <w:tc>
          <w:tcPr>
            <w:tcW w:w="3251" w:type="dxa"/>
            <w:tcBorders>
              <w:top w:val="single" w:sz="8" w:space="0" w:color="auto"/>
              <w:left w:val="single" w:sz="8" w:space="0" w:color="auto"/>
              <w:bottom w:val="single" w:sz="8" w:space="0" w:color="auto"/>
              <w:right w:val="nil"/>
            </w:tcBorders>
            <w:shd w:val="clear" w:color="auto" w:fill="auto"/>
            <w:noWrap/>
            <w:vAlign w:val="center"/>
            <w:hideMark/>
          </w:tcPr>
          <w:p w14:paraId="638378F9"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V</w:t>
            </w:r>
            <w:r w:rsidRPr="005537FC">
              <w:rPr>
                <w:rFonts w:ascii="Calibri" w:eastAsia="Times New Roman" w:hAnsi="Calibri" w:cs="Calibri"/>
                <w:color w:val="000000"/>
                <w:sz w:val="18"/>
                <w:szCs w:val="18"/>
                <w:lang w:eastAsia="cs-CZ"/>
              </w:rPr>
              <w:t>šeobecné praktické lékařství</w:t>
            </w:r>
          </w:p>
        </w:tc>
        <w:tc>
          <w:tcPr>
            <w:tcW w:w="1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5C4DF98"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32</w:t>
            </w:r>
          </w:p>
        </w:tc>
        <w:tc>
          <w:tcPr>
            <w:tcW w:w="1701" w:type="dxa"/>
            <w:tcBorders>
              <w:top w:val="single" w:sz="8" w:space="0" w:color="auto"/>
              <w:left w:val="nil"/>
              <w:bottom w:val="single" w:sz="8" w:space="0" w:color="auto"/>
              <w:right w:val="nil"/>
            </w:tcBorders>
            <w:shd w:val="clear" w:color="auto" w:fill="auto"/>
            <w:noWrap/>
            <w:vAlign w:val="center"/>
            <w:hideMark/>
          </w:tcPr>
          <w:p w14:paraId="2CC29CB7"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16</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102F1CC"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48</w:t>
            </w:r>
          </w:p>
        </w:tc>
      </w:tr>
      <w:tr w:rsidR="00047BE4" w:rsidRPr="005537FC" w14:paraId="374E7B10" w14:textId="77777777" w:rsidTr="00047BE4">
        <w:trPr>
          <w:trHeight w:hRule="exact" w:val="284"/>
        </w:trPr>
        <w:tc>
          <w:tcPr>
            <w:tcW w:w="3251" w:type="dxa"/>
            <w:tcBorders>
              <w:top w:val="nil"/>
              <w:left w:val="single" w:sz="8" w:space="0" w:color="auto"/>
              <w:bottom w:val="nil"/>
              <w:right w:val="nil"/>
            </w:tcBorders>
            <w:shd w:val="clear" w:color="auto" w:fill="auto"/>
            <w:noWrap/>
            <w:vAlign w:val="center"/>
            <w:hideMark/>
          </w:tcPr>
          <w:p w14:paraId="6F4C7405"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Fyzioterapeut</w:t>
            </w:r>
          </w:p>
        </w:tc>
        <w:tc>
          <w:tcPr>
            <w:tcW w:w="1696" w:type="dxa"/>
            <w:tcBorders>
              <w:top w:val="nil"/>
              <w:left w:val="single" w:sz="8" w:space="0" w:color="auto"/>
              <w:bottom w:val="nil"/>
              <w:right w:val="single" w:sz="8" w:space="0" w:color="auto"/>
            </w:tcBorders>
            <w:shd w:val="clear" w:color="auto" w:fill="auto"/>
            <w:noWrap/>
            <w:vAlign w:val="center"/>
            <w:hideMark/>
          </w:tcPr>
          <w:p w14:paraId="630BD5C8"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18</w:t>
            </w:r>
          </w:p>
        </w:tc>
        <w:tc>
          <w:tcPr>
            <w:tcW w:w="1701" w:type="dxa"/>
            <w:tcBorders>
              <w:top w:val="nil"/>
              <w:left w:val="nil"/>
              <w:bottom w:val="nil"/>
              <w:right w:val="nil"/>
            </w:tcBorders>
            <w:shd w:val="clear" w:color="auto" w:fill="auto"/>
            <w:noWrap/>
            <w:vAlign w:val="center"/>
            <w:hideMark/>
          </w:tcPr>
          <w:p w14:paraId="58153E22"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11</w:t>
            </w:r>
          </w:p>
        </w:tc>
        <w:tc>
          <w:tcPr>
            <w:tcW w:w="1418" w:type="dxa"/>
            <w:tcBorders>
              <w:top w:val="nil"/>
              <w:left w:val="single" w:sz="8" w:space="0" w:color="auto"/>
              <w:bottom w:val="nil"/>
              <w:right w:val="single" w:sz="8" w:space="0" w:color="auto"/>
            </w:tcBorders>
            <w:shd w:val="clear" w:color="auto" w:fill="auto"/>
            <w:noWrap/>
            <w:vAlign w:val="center"/>
            <w:hideMark/>
          </w:tcPr>
          <w:p w14:paraId="41FD8E72"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29</w:t>
            </w:r>
          </w:p>
        </w:tc>
      </w:tr>
      <w:tr w:rsidR="00047BE4" w:rsidRPr="005537FC" w14:paraId="57C382E7" w14:textId="77777777" w:rsidTr="00047BE4">
        <w:trPr>
          <w:trHeight w:hRule="exact" w:val="284"/>
        </w:trPr>
        <w:tc>
          <w:tcPr>
            <w:tcW w:w="3251" w:type="dxa"/>
            <w:tcBorders>
              <w:top w:val="single" w:sz="8" w:space="0" w:color="auto"/>
              <w:left w:val="single" w:sz="8" w:space="0" w:color="auto"/>
              <w:bottom w:val="single" w:sz="8" w:space="0" w:color="auto"/>
              <w:right w:val="nil"/>
            </w:tcBorders>
            <w:shd w:val="clear" w:color="auto" w:fill="auto"/>
            <w:noWrap/>
            <w:vAlign w:val="center"/>
            <w:hideMark/>
          </w:tcPr>
          <w:p w14:paraId="58D3F1DF"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Zubní technik</w:t>
            </w:r>
          </w:p>
        </w:tc>
        <w:tc>
          <w:tcPr>
            <w:tcW w:w="1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F2E8C7"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5</w:t>
            </w:r>
          </w:p>
        </w:tc>
        <w:tc>
          <w:tcPr>
            <w:tcW w:w="1701" w:type="dxa"/>
            <w:tcBorders>
              <w:top w:val="single" w:sz="8" w:space="0" w:color="auto"/>
              <w:left w:val="nil"/>
              <w:bottom w:val="single" w:sz="8" w:space="0" w:color="auto"/>
              <w:right w:val="nil"/>
            </w:tcBorders>
            <w:shd w:val="clear" w:color="auto" w:fill="auto"/>
            <w:noWrap/>
            <w:vAlign w:val="center"/>
            <w:hideMark/>
          </w:tcPr>
          <w:p w14:paraId="62D9024B"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18</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39D595"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23</w:t>
            </w:r>
          </w:p>
        </w:tc>
      </w:tr>
      <w:tr w:rsidR="00047BE4" w:rsidRPr="005537FC" w14:paraId="5A17D4F5" w14:textId="77777777" w:rsidTr="00047BE4">
        <w:trPr>
          <w:trHeight w:hRule="exact" w:val="284"/>
        </w:trPr>
        <w:tc>
          <w:tcPr>
            <w:tcW w:w="3251" w:type="dxa"/>
            <w:tcBorders>
              <w:top w:val="nil"/>
              <w:left w:val="single" w:sz="8" w:space="0" w:color="auto"/>
              <w:bottom w:val="nil"/>
              <w:right w:val="nil"/>
            </w:tcBorders>
            <w:shd w:val="clear" w:color="auto" w:fill="auto"/>
            <w:noWrap/>
            <w:vAlign w:val="center"/>
            <w:hideMark/>
          </w:tcPr>
          <w:p w14:paraId="0281C697"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G</w:t>
            </w:r>
            <w:r w:rsidRPr="005537FC">
              <w:rPr>
                <w:rFonts w:ascii="Calibri" w:eastAsia="Times New Roman" w:hAnsi="Calibri" w:cs="Calibri"/>
                <w:color w:val="000000"/>
                <w:sz w:val="18"/>
                <w:szCs w:val="18"/>
                <w:lang w:eastAsia="cs-CZ"/>
              </w:rPr>
              <w:t>ynekologie a porodnictví</w:t>
            </w:r>
          </w:p>
        </w:tc>
        <w:tc>
          <w:tcPr>
            <w:tcW w:w="1696" w:type="dxa"/>
            <w:tcBorders>
              <w:top w:val="nil"/>
              <w:left w:val="single" w:sz="8" w:space="0" w:color="auto"/>
              <w:bottom w:val="nil"/>
              <w:right w:val="single" w:sz="8" w:space="0" w:color="auto"/>
            </w:tcBorders>
            <w:shd w:val="clear" w:color="auto" w:fill="auto"/>
            <w:noWrap/>
            <w:vAlign w:val="center"/>
            <w:hideMark/>
          </w:tcPr>
          <w:p w14:paraId="47AC4D32"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16</w:t>
            </w:r>
          </w:p>
        </w:tc>
        <w:tc>
          <w:tcPr>
            <w:tcW w:w="1701" w:type="dxa"/>
            <w:tcBorders>
              <w:top w:val="nil"/>
              <w:left w:val="nil"/>
              <w:bottom w:val="nil"/>
              <w:right w:val="nil"/>
            </w:tcBorders>
            <w:shd w:val="clear" w:color="auto" w:fill="auto"/>
            <w:noWrap/>
            <w:vAlign w:val="center"/>
            <w:hideMark/>
          </w:tcPr>
          <w:p w14:paraId="381A55CD"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2</w:t>
            </w:r>
          </w:p>
        </w:tc>
        <w:tc>
          <w:tcPr>
            <w:tcW w:w="1418" w:type="dxa"/>
            <w:tcBorders>
              <w:top w:val="nil"/>
              <w:left w:val="single" w:sz="8" w:space="0" w:color="auto"/>
              <w:bottom w:val="nil"/>
              <w:right w:val="single" w:sz="8" w:space="0" w:color="auto"/>
            </w:tcBorders>
            <w:shd w:val="clear" w:color="auto" w:fill="auto"/>
            <w:noWrap/>
            <w:vAlign w:val="center"/>
            <w:hideMark/>
          </w:tcPr>
          <w:p w14:paraId="655A73C2"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18</w:t>
            </w:r>
          </w:p>
        </w:tc>
      </w:tr>
      <w:tr w:rsidR="00047BE4" w:rsidRPr="005537FC" w14:paraId="1A65CBFD" w14:textId="77777777" w:rsidTr="00047BE4">
        <w:trPr>
          <w:trHeight w:hRule="exact" w:val="284"/>
        </w:trPr>
        <w:tc>
          <w:tcPr>
            <w:tcW w:w="3251" w:type="dxa"/>
            <w:tcBorders>
              <w:top w:val="single" w:sz="8" w:space="0" w:color="auto"/>
              <w:left w:val="single" w:sz="8" w:space="0" w:color="auto"/>
              <w:bottom w:val="single" w:sz="8" w:space="0" w:color="auto"/>
              <w:right w:val="nil"/>
            </w:tcBorders>
            <w:shd w:val="clear" w:color="auto" w:fill="auto"/>
            <w:noWrap/>
            <w:vAlign w:val="center"/>
            <w:hideMark/>
          </w:tcPr>
          <w:p w14:paraId="5F51A207"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V</w:t>
            </w:r>
            <w:r w:rsidRPr="005537FC">
              <w:rPr>
                <w:rFonts w:ascii="Calibri" w:eastAsia="Times New Roman" w:hAnsi="Calibri" w:cs="Calibri"/>
                <w:color w:val="000000"/>
                <w:sz w:val="18"/>
                <w:szCs w:val="18"/>
                <w:lang w:eastAsia="cs-CZ"/>
              </w:rPr>
              <w:t>nitřní lékařství</w:t>
            </w:r>
          </w:p>
        </w:tc>
        <w:tc>
          <w:tcPr>
            <w:tcW w:w="1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C1DD61"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14</w:t>
            </w:r>
          </w:p>
        </w:tc>
        <w:tc>
          <w:tcPr>
            <w:tcW w:w="1701" w:type="dxa"/>
            <w:tcBorders>
              <w:top w:val="single" w:sz="8" w:space="0" w:color="auto"/>
              <w:left w:val="nil"/>
              <w:bottom w:val="single" w:sz="8" w:space="0" w:color="auto"/>
              <w:right w:val="nil"/>
            </w:tcBorders>
            <w:shd w:val="clear" w:color="auto" w:fill="auto"/>
            <w:noWrap/>
            <w:vAlign w:val="center"/>
            <w:hideMark/>
          </w:tcPr>
          <w:p w14:paraId="7D56AF39"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18D0783"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15</w:t>
            </w:r>
          </w:p>
        </w:tc>
      </w:tr>
      <w:tr w:rsidR="00047BE4" w:rsidRPr="005537FC" w14:paraId="611E21F6" w14:textId="77777777" w:rsidTr="00047BE4">
        <w:trPr>
          <w:trHeight w:hRule="exact" w:val="284"/>
        </w:trPr>
        <w:tc>
          <w:tcPr>
            <w:tcW w:w="3251" w:type="dxa"/>
            <w:tcBorders>
              <w:top w:val="nil"/>
              <w:left w:val="single" w:sz="8" w:space="0" w:color="auto"/>
              <w:bottom w:val="nil"/>
              <w:right w:val="nil"/>
            </w:tcBorders>
            <w:shd w:val="clear" w:color="auto" w:fill="auto"/>
            <w:noWrap/>
            <w:vAlign w:val="center"/>
            <w:hideMark/>
          </w:tcPr>
          <w:p w14:paraId="4E4F6082"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Dentální hygienistka</w:t>
            </w:r>
          </w:p>
        </w:tc>
        <w:tc>
          <w:tcPr>
            <w:tcW w:w="1696" w:type="dxa"/>
            <w:tcBorders>
              <w:top w:val="nil"/>
              <w:left w:val="single" w:sz="8" w:space="0" w:color="auto"/>
              <w:bottom w:val="nil"/>
              <w:right w:val="single" w:sz="8" w:space="0" w:color="auto"/>
            </w:tcBorders>
            <w:shd w:val="clear" w:color="auto" w:fill="auto"/>
            <w:noWrap/>
            <w:vAlign w:val="center"/>
            <w:hideMark/>
          </w:tcPr>
          <w:p w14:paraId="56363806"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5</w:t>
            </w:r>
          </w:p>
        </w:tc>
        <w:tc>
          <w:tcPr>
            <w:tcW w:w="1701" w:type="dxa"/>
            <w:tcBorders>
              <w:top w:val="nil"/>
              <w:left w:val="nil"/>
              <w:bottom w:val="nil"/>
              <w:right w:val="nil"/>
            </w:tcBorders>
            <w:shd w:val="clear" w:color="auto" w:fill="auto"/>
            <w:noWrap/>
            <w:vAlign w:val="center"/>
            <w:hideMark/>
          </w:tcPr>
          <w:p w14:paraId="791029C6"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7</w:t>
            </w:r>
          </w:p>
        </w:tc>
        <w:tc>
          <w:tcPr>
            <w:tcW w:w="1418" w:type="dxa"/>
            <w:tcBorders>
              <w:top w:val="nil"/>
              <w:left w:val="single" w:sz="8" w:space="0" w:color="auto"/>
              <w:bottom w:val="nil"/>
              <w:right w:val="single" w:sz="8" w:space="0" w:color="auto"/>
            </w:tcBorders>
            <w:shd w:val="clear" w:color="auto" w:fill="auto"/>
            <w:noWrap/>
            <w:vAlign w:val="center"/>
            <w:hideMark/>
          </w:tcPr>
          <w:p w14:paraId="7C1F8AD6"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12</w:t>
            </w:r>
          </w:p>
        </w:tc>
      </w:tr>
      <w:tr w:rsidR="00047BE4" w:rsidRPr="005537FC" w14:paraId="5BB8C1BC" w14:textId="77777777" w:rsidTr="00047BE4">
        <w:trPr>
          <w:trHeight w:hRule="exact" w:val="284"/>
        </w:trPr>
        <w:tc>
          <w:tcPr>
            <w:tcW w:w="3251" w:type="dxa"/>
            <w:tcBorders>
              <w:top w:val="single" w:sz="8" w:space="0" w:color="auto"/>
              <w:left w:val="single" w:sz="8" w:space="0" w:color="auto"/>
              <w:bottom w:val="single" w:sz="8" w:space="0" w:color="auto"/>
              <w:right w:val="nil"/>
            </w:tcBorders>
            <w:shd w:val="clear" w:color="auto" w:fill="auto"/>
            <w:noWrap/>
            <w:vAlign w:val="center"/>
            <w:hideMark/>
          </w:tcPr>
          <w:p w14:paraId="5C09BBB3"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D</w:t>
            </w:r>
            <w:r w:rsidRPr="005537FC">
              <w:rPr>
                <w:rFonts w:ascii="Calibri" w:eastAsia="Times New Roman" w:hAnsi="Calibri" w:cs="Calibri"/>
                <w:color w:val="000000"/>
                <w:sz w:val="18"/>
                <w:szCs w:val="18"/>
                <w:lang w:eastAsia="cs-CZ"/>
              </w:rPr>
              <w:t>ermatovenerologie</w:t>
            </w:r>
          </w:p>
        </w:tc>
        <w:tc>
          <w:tcPr>
            <w:tcW w:w="1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C7299FD"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10</w:t>
            </w:r>
          </w:p>
        </w:tc>
        <w:tc>
          <w:tcPr>
            <w:tcW w:w="1701" w:type="dxa"/>
            <w:tcBorders>
              <w:top w:val="single" w:sz="8" w:space="0" w:color="auto"/>
              <w:left w:val="nil"/>
              <w:bottom w:val="single" w:sz="8" w:space="0" w:color="auto"/>
              <w:right w:val="nil"/>
            </w:tcBorders>
            <w:shd w:val="clear" w:color="auto" w:fill="auto"/>
            <w:noWrap/>
            <w:vAlign w:val="center"/>
            <w:hideMark/>
          </w:tcPr>
          <w:p w14:paraId="538A888D"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2</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4A57CFE"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12</w:t>
            </w:r>
          </w:p>
        </w:tc>
      </w:tr>
      <w:tr w:rsidR="00047BE4" w:rsidRPr="005537FC" w14:paraId="11D54A20" w14:textId="77777777" w:rsidTr="00047BE4">
        <w:trPr>
          <w:trHeight w:hRule="exact" w:val="284"/>
        </w:trPr>
        <w:tc>
          <w:tcPr>
            <w:tcW w:w="3251" w:type="dxa"/>
            <w:tcBorders>
              <w:top w:val="nil"/>
              <w:left w:val="single" w:sz="8" w:space="0" w:color="auto"/>
              <w:bottom w:val="nil"/>
              <w:right w:val="nil"/>
            </w:tcBorders>
            <w:shd w:val="clear" w:color="auto" w:fill="auto"/>
            <w:noWrap/>
            <w:vAlign w:val="center"/>
            <w:hideMark/>
          </w:tcPr>
          <w:p w14:paraId="59ED429B"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E</w:t>
            </w:r>
            <w:r w:rsidRPr="005537FC">
              <w:rPr>
                <w:rFonts w:ascii="Calibri" w:eastAsia="Times New Roman" w:hAnsi="Calibri" w:cs="Calibri"/>
                <w:color w:val="000000"/>
                <w:sz w:val="18"/>
                <w:szCs w:val="18"/>
                <w:lang w:eastAsia="cs-CZ"/>
              </w:rPr>
              <w:t>ndokrinologie a diabetologie</w:t>
            </w:r>
          </w:p>
        </w:tc>
        <w:tc>
          <w:tcPr>
            <w:tcW w:w="1696" w:type="dxa"/>
            <w:tcBorders>
              <w:top w:val="nil"/>
              <w:left w:val="single" w:sz="8" w:space="0" w:color="auto"/>
              <w:bottom w:val="nil"/>
              <w:right w:val="single" w:sz="8" w:space="0" w:color="auto"/>
            </w:tcBorders>
            <w:shd w:val="clear" w:color="auto" w:fill="auto"/>
            <w:noWrap/>
            <w:vAlign w:val="center"/>
            <w:hideMark/>
          </w:tcPr>
          <w:p w14:paraId="7E211111"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11</w:t>
            </w:r>
          </w:p>
        </w:tc>
        <w:tc>
          <w:tcPr>
            <w:tcW w:w="1701" w:type="dxa"/>
            <w:tcBorders>
              <w:top w:val="nil"/>
              <w:left w:val="nil"/>
              <w:bottom w:val="nil"/>
              <w:right w:val="nil"/>
            </w:tcBorders>
            <w:shd w:val="clear" w:color="auto" w:fill="auto"/>
            <w:noWrap/>
            <w:vAlign w:val="center"/>
            <w:hideMark/>
          </w:tcPr>
          <w:p w14:paraId="5598B46F"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w:t>
            </w:r>
          </w:p>
        </w:tc>
        <w:tc>
          <w:tcPr>
            <w:tcW w:w="1418" w:type="dxa"/>
            <w:tcBorders>
              <w:top w:val="nil"/>
              <w:left w:val="single" w:sz="8" w:space="0" w:color="auto"/>
              <w:bottom w:val="nil"/>
              <w:right w:val="single" w:sz="8" w:space="0" w:color="auto"/>
            </w:tcBorders>
            <w:shd w:val="clear" w:color="auto" w:fill="auto"/>
            <w:noWrap/>
            <w:vAlign w:val="center"/>
            <w:hideMark/>
          </w:tcPr>
          <w:p w14:paraId="5E4ED885"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12</w:t>
            </w:r>
          </w:p>
        </w:tc>
      </w:tr>
      <w:tr w:rsidR="00047BE4" w:rsidRPr="005537FC" w14:paraId="5B367C97" w14:textId="77777777" w:rsidTr="00047BE4">
        <w:trPr>
          <w:trHeight w:hRule="exact" w:val="284"/>
        </w:trPr>
        <w:tc>
          <w:tcPr>
            <w:tcW w:w="3251" w:type="dxa"/>
            <w:tcBorders>
              <w:top w:val="single" w:sz="8" w:space="0" w:color="auto"/>
              <w:left w:val="single" w:sz="8" w:space="0" w:color="auto"/>
              <w:bottom w:val="single" w:sz="8" w:space="0" w:color="auto"/>
              <w:right w:val="nil"/>
            </w:tcBorders>
            <w:shd w:val="clear" w:color="auto" w:fill="auto"/>
            <w:noWrap/>
            <w:vAlign w:val="center"/>
            <w:hideMark/>
          </w:tcPr>
          <w:p w14:paraId="3E895F01"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R</w:t>
            </w:r>
            <w:r w:rsidRPr="005537FC">
              <w:rPr>
                <w:rFonts w:ascii="Calibri" w:eastAsia="Times New Roman" w:hAnsi="Calibri" w:cs="Calibri"/>
                <w:color w:val="000000"/>
                <w:sz w:val="18"/>
                <w:szCs w:val="18"/>
                <w:lang w:eastAsia="cs-CZ"/>
              </w:rPr>
              <w:t>ehabilitační a fyzikální medicína</w:t>
            </w:r>
          </w:p>
        </w:tc>
        <w:tc>
          <w:tcPr>
            <w:tcW w:w="1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70E77BD"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9</w:t>
            </w:r>
          </w:p>
        </w:tc>
        <w:tc>
          <w:tcPr>
            <w:tcW w:w="1701" w:type="dxa"/>
            <w:tcBorders>
              <w:top w:val="single" w:sz="8" w:space="0" w:color="auto"/>
              <w:left w:val="nil"/>
              <w:bottom w:val="single" w:sz="8" w:space="0" w:color="auto"/>
              <w:right w:val="nil"/>
            </w:tcBorders>
            <w:shd w:val="clear" w:color="auto" w:fill="auto"/>
            <w:noWrap/>
            <w:vAlign w:val="center"/>
            <w:hideMark/>
          </w:tcPr>
          <w:p w14:paraId="41146759"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3</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6CDAB6E"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12</w:t>
            </w:r>
          </w:p>
        </w:tc>
      </w:tr>
      <w:tr w:rsidR="00047BE4" w:rsidRPr="005537FC" w14:paraId="266DD110" w14:textId="77777777" w:rsidTr="00047BE4">
        <w:trPr>
          <w:trHeight w:hRule="exact" w:val="284"/>
        </w:trPr>
        <w:tc>
          <w:tcPr>
            <w:tcW w:w="3251" w:type="dxa"/>
            <w:tcBorders>
              <w:top w:val="nil"/>
              <w:left w:val="single" w:sz="8" w:space="0" w:color="auto"/>
              <w:bottom w:val="nil"/>
              <w:right w:val="nil"/>
            </w:tcBorders>
            <w:shd w:val="clear" w:color="auto" w:fill="auto"/>
            <w:noWrap/>
            <w:vAlign w:val="center"/>
            <w:hideMark/>
          </w:tcPr>
          <w:p w14:paraId="5456A0B2"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N</w:t>
            </w:r>
            <w:r w:rsidRPr="005537FC">
              <w:rPr>
                <w:rFonts w:ascii="Calibri" w:eastAsia="Times New Roman" w:hAnsi="Calibri" w:cs="Calibri"/>
                <w:color w:val="000000"/>
                <w:sz w:val="18"/>
                <w:szCs w:val="18"/>
                <w:lang w:eastAsia="cs-CZ"/>
              </w:rPr>
              <w:t>eurologie</w:t>
            </w:r>
          </w:p>
        </w:tc>
        <w:tc>
          <w:tcPr>
            <w:tcW w:w="1696" w:type="dxa"/>
            <w:tcBorders>
              <w:top w:val="nil"/>
              <w:left w:val="single" w:sz="8" w:space="0" w:color="auto"/>
              <w:bottom w:val="nil"/>
              <w:right w:val="single" w:sz="8" w:space="0" w:color="auto"/>
            </w:tcBorders>
            <w:shd w:val="clear" w:color="auto" w:fill="auto"/>
            <w:noWrap/>
            <w:vAlign w:val="center"/>
            <w:hideMark/>
          </w:tcPr>
          <w:p w14:paraId="1A5F9F76"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9</w:t>
            </w:r>
          </w:p>
        </w:tc>
        <w:tc>
          <w:tcPr>
            <w:tcW w:w="1701" w:type="dxa"/>
            <w:tcBorders>
              <w:top w:val="nil"/>
              <w:left w:val="nil"/>
              <w:bottom w:val="nil"/>
              <w:right w:val="nil"/>
            </w:tcBorders>
            <w:shd w:val="clear" w:color="auto" w:fill="auto"/>
            <w:noWrap/>
            <w:vAlign w:val="center"/>
            <w:hideMark/>
          </w:tcPr>
          <w:p w14:paraId="617540B1"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2</w:t>
            </w:r>
          </w:p>
        </w:tc>
        <w:tc>
          <w:tcPr>
            <w:tcW w:w="1418" w:type="dxa"/>
            <w:tcBorders>
              <w:top w:val="nil"/>
              <w:left w:val="single" w:sz="8" w:space="0" w:color="auto"/>
              <w:bottom w:val="nil"/>
              <w:right w:val="single" w:sz="8" w:space="0" w:color="auto"/>
            </w:tcBorders>
            <w:shd w:val="clear" w:color="auto" w:fill="auto"/>
            <w:noWrap/>
            <w:vAlign w:val="center"/>
            <w:hideMark/>
          </w:tcPr>
          <w:p w14:paraId="6A3FA36F"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11</w:t>
            </w:r>
          </w:p>
        </w:tc>
      </w:tr>
      <w:tr w:rsidR="00047BE4" w:rsidRPr="005537FC" w14:paraId="486BF28F" w14:textId="77777777" w:rsidTr="00047BE4">
        <w:trPr>
          <w:trHeight w:hRule="exact" w:val="284"/>
        </w:trPr>
        <w:tc>
          <w:tcPr>
            <w:tcW w:w="3251" w:type="dxa"/>
            <w:tcBorders>
              <w:top w:val="single" w:sz="8" w:space="0" w:color="auto"/>
              <w:left w:val="single" w:sz="8" w:space="0" w:color="auto"/>
              <w:bottom w:val="single" w:sz="8" w:space="0" w:color="auto"/>
              <w:right w:val="nil"/>
            </w:tcBorders>
            <w:shd w:val="clear" w:color="auto" w:fill="auto"/>
            <w:noWrap/>
            <w:vAlign w:val="center"/>
            <w:hideMark/>
          </w:tcPr>
          <w:p w14:paraId="5DFA1054"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O</w:t>
            </w:r>
            <w:r w:rsidRPr="005537FC">
              <w:rPr>
                <w:rFonts w:ascii="Calibri" w:eastAsia="Times New Roman" w:hAnsi="Calibri" w:cs="Calibri"/>
                <w:color w:val="000000"/>
                <w:sz w:val="18"/>
                <w:szCs w:val="18"/>
                <w:lang w:eastAsia="cs-CZ"/>
              </w:rPr>
              <w:t>ftalmologie</w:t>
            </w:r>
          </w:p>
        </w:tc>
        <w:tc>
          <w:tcPr>
            <w:tcW w:w="1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D514539"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10</w:t>
            </w:r>
          </w:p>
        </w:tc>
        <w:tc>
          <w:tcPr>
            <w:tcW w:w="1701" w:type="dxa"/>
            <w:tcBorders>
              <w:top w:val="single" w:sz="8" w:space="0" w:color="auto"/>
              <w:left w:val="nil"/>
              <w:bottom w:val="single" w:sz="8" w:space="0" w:color="auto"/>
              <w:right w:val="nil"/>
            </w:tcBorders>
            <w:shd w:val="clear" w:color="auto" w:fill="auto"/>
            <w:noWrap/>
            <w:vAlign w:val="center"/>
            <w:hideMark/>
          </w:tcPr>
          <w:p w14:paraId="11D98C54"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E92637"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11</w:t>
            </w:r>
          </w:p>
        </w:tc>
      </w:tr>
      <w:tr w:rsidR="00047BE4" w:rsidRPr="005537FC" w14:paraId="2EF0C868" w14:textId="77777777" w:rsidTr="00047BE4">
        <w:trPr>
          <w:trHeight w:hRule="exact" w:val="284"/>
        </w:trPr>
        <w:tc>
          <w:tcPr>
            <w:tcW w:w="3251" w:type="dxa"/>
            <w:tcBorders>
              <w:top w:val="nil"/>
              <w:left w:val="single" w:sz="8" w:space="0" w:color="auto"/>
              <w:bottom w:val="nil"/>
              <w:right w:val="nil"/>
            </w:tcBorders>
            <w:shd w:val="clear" w:color="auto" w:fill="auto"/>
            <w:noWrap/>
            <w:vAlign w:val="center"/>
            <w:hideMark/>
          </w:tcPr>
          <w:p w14:paraId="704524F9"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Všeobecná sestra</w:t>
            </w:r>
          </w:p>
        </w:tc>
        <w:tc>
          <w:tcPr>
            <w:tcW w:w="1696" w:type="dxa"/>
            <w:tcBorders>
              <w:top w:val="nil"/>
              <w:left w:val="single" w:sz="8" w:space="0" w:color="auto"/>
              <w:bottom w:val="nil"/>
              <w:right w:val="single" w:sz="8" w:space="0" w:color="auto"/>
            </w:tcBorders>
            <w:shd w:val="clear" w:color="auto" w:fill="auto"/>
            <w:noWrap/>
            <w:vAlign w:val="center"/>
            <w:hideMark/>
          </w:tcPr>
          <w:p w14:paraId="27A85A2C"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9</w:t>
            </w:r>
          </w:p>
        </w:tc>
        <w:tc>
          <w:tcPr>
            <w:tcW w:w="1701" w:type="dxa"/>
            <w:tcBorders>
              <w:top w:val="nil"/>
              <w:left w:val="nil"/>
              <w:bottom w:val="nil"/>
              <w:right w:val="nil"/>
            </w:tcBorders>
            <w:shd w:val="clear" w:color="auto" w:fill="auto"/>
            <w:noWrap/>
            <w:vAlign w:val="center"/>
            <w:hideMark/>
          </w:tcPr>
          <w:p w14:paraId="00980B40"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2</w:t>
            </w:r>
          </w:p>
        </w:tc>
        <w:tc>
          <w:tcPr>
            <w:tcW w:w="1418" w:type="dxa"/>
            <w:tcBorders>
              <w:top w:val="nil"/>
              <w:left w:val="single" w:sz="8" w:space="0" w:color="auto"/>
              <w:bottom w:val="nil"/>
              <w:right w:val="single" w:sz="8" w:space="0" w:color="auto"/>
            </w:tcBorders>
            <w:shd w:val="clear" w:color="auto" w:fill="auto"/>
            <w:noWrap/>
            <w:vAlign w:val="center"/>
            <w:hideMark/>
          </w:tcPr>
          <w:p w14:paraId="63F451BE"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11</w:t>
            </w:r>
          </w:p>
        </w:tc>
      </w:tr>
      <w:tr w:rsidR="00047BE4" w:rsidRPr="005537FC" w14:paraId="58047A65" w14:textId="77777777" w:rsidTr="00047BE4">
        <w:trPr>
          <w:trHeight w:hRule="exact" w:val="284"/>
        </w:trPr>
        <w:tc>
          <w:tcPr>
            <w:tcW w:w="3251" w:type="dxa"/>
            <w:tcBorders>
              <w:top w:val="single" w:sz="8" w:space="0" w:color="auto"/>
              <w:left w:val="single" w:sz="8" w:space="0" w:color="auto"/>
              <w:bottom w:val="single" w:sz="8" w:space="0" w:color="auto"/>
              <w:right w:val="nil"/>
            </w:tcBorders>
            <w:shd w:val="clear" w:color="auto" w:fill="auto"/>
            <w:noWrap/>
            <w:vAlign w:val="center"/>
            <w:hideMark/>
          </w:tcPr>
          <w:p w14:paraId="66450FAD"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A</w:t>
            </w:r>
            <w:r w:rsidRPr="005537FC">
              <w:rPr>
                <w:rFonts w:ascii="Calibri" w:eastAsia="Times New Roman" w:hAnsi="Calibri" w:cs="Calibri"/>
                <w:color w:val="000000"/>
                <w:sz w:val="18"/>
                <w:szCs w:val="18"/>
                <w:lang w:eastAsia="cs-CZ"/>
              </w:rPr>
              <w:t>nesteziologie a intenzivní medicína</w:t>
            </w:r>
          </w:p>
        </w:tc>
        <w:tc>
          <w:tcPr>
            <w:tcW w:w="1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2774E25"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7</w:t>
            </w:r>
          </w:p>
        </w:tc>
        <w:tc>
          <w:tcPr>
            <w:tcW w:w="1701" w:type="dxa"/>
            <w:tcBorders>
              <w:top w:val="single" w:sz="8" w:space="0" w:color="auto"/>
              <w:left w:val="nil"/>
              <w:bottom w:val="single" w:sz="8" w:space="0" w:color="auto"/>
              <w:right w:val="nil"/>
            </w:tcBorders>
            <w:shd w:val="clear" w:color="auto" w:fill="auto"/>
            <w:noWrap/>
            <w:vAlign w:val="center"/>
            <w:hideMark/>
          </w:tcPr>
          <w:p w14:paraId="35FDA34E"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3</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E6EB437"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10</w:t>
            </w:r>
          </w:p>
        </w:tc>
      </w:tr>
      <w:tr w:rsidR="00047BE4" w:rsidRPr="005537FC" w14:paraId="3F95D732" w14:textId="77777777" w:rsidTr="00047BE4">
        <w:trPr>
          <w:trHeight w:hRule="exact" w:val="284"/>
        </w:trPr>
        <w:tc>
          <w:tcPr>
            <w:tcW w:w="3251" w:type="dxa"/>
            <w:tcBorders>
              <w:top w:val="nil"/>
              <w:left w:val="single" w:sz="8" w:space="0" w:color="auto"/>
              <w:bottom w:val="single" w:sz="8" w:space="0" w:color="auto"/>
              <w:right w:val="nil"/>
            </w:tcBorders>
            <w:shd w:val="clear" w:color="auto" w:fill="auto"/>
            <w:noWrap/>
            <w:vAlign w:val="center"/>
            <w:hideMark/>
          </w:tcPr>
          <w:p w14:paraId="3ED85B6B"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C</w:t>
            </w:r>
            <w:r w:rsidRPr="005537FC">
              <w:rPr>
                <w:rFonts w:ascii="Calibri" w:eastAsia="Times New Roman" w:hAnsi="Calibri" w:cs="Calibri"/>
                <w:color w:val="000000"/>
                <w:sz w:val="18"/>
                <w:szCs w:val="18"/>
                <w:lang w:eastAsia="cs-CZ"/>
              </w:rPr>
              <w:t>hirurgie</w:t>
            </w:r>
          </w:p>
        </w:tc>
        <w:tc>
          <w:tcPr>
            <w:tcW w:w="1696" w:type="dxa"/>
            <w:tcBorders>
              <w:top w:val="nil"/>
              <w:left w:val="single" w:sz="8" w:space="0" w:color="auto"/>
              <w:bottom w:val="single" w:sz="8" w:space="0" w:color="auto"/>
              <w:right w:val="single" w:sz="8" w:space="0" w:color="auto"/>
            </w:tcBorders>
            <w:shd w:val="clear" w:color="auto" w:fill="auto"/>
            <w:noWrap/>
            <w:vAlign w:val="center"/>
            <w:hideMark/>
          </w:tcPr>
          <w:p w14:paraId="0D37F2D6"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8</w:t>
            </w:r>
          </w:p>
        </w:tc>
        <w:tc>
          <w:tcPr>
            <w:tcW w:w="1701" w:type="dxa"/>
            <w:tcBorders>
              <w:top w:val="nil"/>
              <w:left w:val="nil"/>
              <w:bottom w:val="single" w:sz="8" w:space="0" w:color="auto"/>
              <w:right w:val="nil"/>
            </w:tcBorders>
            <w:shd w:val="clear" w:color="auto" w:fill="auto"/>
            <w:noWrap/>
            <w:vAlign w:val="center"/>
            <w:hideMark/>
          </w:tcPr>
          <w:p w14:paraId="366BC2DA"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2</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5F1EE721"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10</w:t>
            </w:r>
          </w:p>
        </w:tc>
      </w:tr>
      <w:tr w:rsidR="00047BE4" w:rsidRPr="005537FC" w14:paraId="602C189D" w14:textId="77777777" w:rsidTr="00047BE4">
        <w:trPr>
          <w:trHeight w:hRule="exact" w:val="284"/>
        </w:trPr>
        <w:tc>
          <w:tcPr>
            <w:tcW w:w="3251" w:type="dxa"/>
            <w:tcBorders>
              <w:top w:val="nil"/>
              <w:left w:val="single" w:sz="8" w:space="0" w:color="auto"/>
              <w:bottom w:val="single" w:sz="8" w:space="0" w:color="auto"/>
              <w:right w:val="nil"/>
            </w:tcBorders>
            <w:shd w:val="clear" w:color="auto" w:fill="auto"/>
            <w:noWrap/>
            <w:vAlign w:val="center"/>
            <w:hideMark/>
          </w:tcPr>
          <w:p w14:paraId="726D7CD1" w14:textId="77777777" w:rsidR="00047BE4" w:rsidRPr="005537FC" w:rsidRDefault="00047BE4" w:rsidP="00047BE4">
            <w:pPr>
              <w:keepNext/>
              <w:keepLines/>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P</w:t>
            </w:r>
            <w:r w:rsidRPr="005537FC">
              <w:rPr>
                <w:rFonts w:ascii="Calibri" w:eastAsia="Times New Roman" w:hAnsi="Calibri" w:cs="Calibri"/>
                <w:color w:val="000000"/>
                <w:sz w:val="18"/>
                <w:szCs w:val="18"/>
                <w:lang w:eastAsia="cs-CZ"/>
              </w:rPr>
              <w:t>raktické lékařství pro děti a dorost</w:t>
            </w:r>
          </w:p>
        </w:tc>
        <w:tc>
          <w:tcPr>
            <w:tcW w:w="1696" w:type="dxa"/>
            <w:tcBorders>
              <w:top w:val="nil"/>
              <w:left w:val="single" w:sz="8" w:space="0" w:color="auto"/>
              <w:bottom w:val="single" w:sz="8" w:space="0" w:color="auto"/>
              <w:right w:val="single" w:sz="8" w:space="0" w:color="auto"/>
            </w:tcBorders>
            <w:shd w:val="clear" w:color="auto" w:fill="auto"/>
            <w:noWrap/>
            <w:vAlign w:val="center"/>
            <w:hideMark/>
          </w:tcPr>
          <w:p w14:paraId="6D5A4E17"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7</w:t>
            </w:r>
          </w:p>
        </w:tc>
        <w:tc>
          <w:tcPr>
            <w:tcW w:w="1701" w:type="dxa"/>
            <w:tcBorders>
              <w:top w:val="nil"/>
              <w:left w:val="nil"/>
              <w:bottom w:val="single" w:sz="8" w:space="0" w:color="auto"/>
              <w:right w:val="nil"/>
            </w:tcBorders>
            <w:shd w:val="clear" w:color="auto" w:fill="auto"/>
            <w:noWrap/>
            <w:vAlign w:val="center"/>
            <w:hideMark/>
          </w:tcPr>
          <w:p w14:paraId="3C72C569"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3</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1A0C2D21" w14:textId="77777777" w:rsidR="00047BE4" w:rsidRPr="005537FC" w:rsidRDefault="00047BE4" w:rsidP="00047BE4">
            <w:pPr>
              <w:keepNext/>
              <w:keepLines/>
              <w:spacing w:before="0"/>
              <w:jc w:val="right"/>
              <w:rPr>
                <w:rFonts w:ascii="Calibri" w:eastAsia="Times New Roman" w:hAnsi="Calibri" w:cs="Calibri"/>
                <w:color w:val="000000"/>
                <w:sz w:val="18"/>
                <w:szCs w:val="18"/>
                <w:lang w:eastAsia="cs-CZ"/>
              </w:rPr>
            </w:pPr>
            <w:r w:rsidRPr="005537FC">
              <w:rPr>
                <w:rFonts w:ascii="Calibri" w:eastAsia="Times New Roman" w:hAnsi="Calibri" w:cs="Calibri"/>
                <w:color w:val="000000"/>
                <w:sz w:val="18"/>
                <w:szCs w:val="18"/>
                <w:lang w:eastAsia="cs-CZ"/>
              </w:rPr>
              <w:t>10</w:t>
            </w:r>
          </w:p>
        </w:tc>
      </w:tr>
    </w:tbl>
    <w:p w14:paraId="16B91FC5" w14:textId="00CB7D2A" w:rsidR="00047BE4" w:rsidRPr="00D7652F" w:rsidRDefault="00047BE4" w:rsidP="00047BE4">
      <w:pPr>
        <w:pStyle w:val="Zdroj"/>
      </w:pPr>
      <w:r w:rsidRPr="00D7652F">
        <w:t xml:space="preserve">Zdroj: </w:t>
      </w:r>
      <w:r>
        <w:t>Národní registr poskytovatelů zdravotních služeb, zpracování PROCES, 2020</w:t>
      </w:r>
      <w:r w:rsidR="007C7D7E">
        <w:t>.</w:t>
      </w:r>
    </w:p>
    <w:bookmarkEnd w:id="133"/>
    <w:p w14:paraId="57048F26" w14:textId="77777777" w:rsidR="00047BE4" w:rsidRDefault="00047BE4" w:rsidP="00047BE4">
      <w:pPr>
        <w:keepNext/>
        <w:keepLines/>
        <w:rPr>
          <w:b/>
        </w:rPr>
      </w:pPr>
      <w:r>
        <w:rPr>
          <w:b/>
        </w:rPr>
        <w:t>Dále jsou zastoupeny tyto obory</w:t>
      </w:r>
      <w:r w:rsidRPr="008A0FD2">
        <w:rPr>
          <w:b/>
        </w:rPr>
        <w:t>:</w:t>
      </w:r>
    </w:p>
    <w:tbl>
      <w:tblPr>
        <w:tblW w:w="0" w:type="auto"/>
        <w:jc w:val="center"/>
        <w:tblLook w:val="04A0" w:firstRow="1" w:lastRow="0" w:firstColumn="1" w:lastColumn="0" w:noHBand="0" w:noVBand="1"/>
      </w:tblPr>
      <w:tblGrid>
        <w:gridCol w:w="3020"/>
        <w:gridCol w:w="3021"/>
        <w:gridCol w:w="3021"/>
      </w:tblGrid>
      <w:tr w:rsidR="00047BE4" w14:paraId="6FF18454" w14:textId="77777777" w:rsidTr="00047BE4">
        <w:trPr>
          <w:jc w:val="center"/>
        </w:trPr>
        <w:tc>
          <w:tcPr>
            <w:tcW w:w="3020" w:type="dxa"/>
            <w:vAlign w:val="bottom"/>
          </w:tcPr>
          <w:p w14:paraId="64F482B0" w14:textId="77777777" w:rsidR="00047BE4" w:rsidRDefault="00047BE4" w:rsidP="00047BE4">
            <w:pPr>
              <w:pStyle w:val="Odstavecseseznamem"/>
              <w:keepNext/>
              <w:keepLines/>
              <w:spacing w:before="0"/>
              <w:jc w:val="left"/>
              <w:rPr>
                <w:rFonts w:ascii="Calibri" w:hAnsi="Calibri" w:cs="Calibri"/>
                <w:color w:val="000000"/>
                <w:sz w:val="18"/>
                <w:szCs w:val="18"/>
              </w:rPr>
            </w:pPr>
          </w:p>
          <w:p w14:paraId="13468AA2"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ortopedie a traumatologie pohybového ústrojí</w:t>
            </w:r>
          </w:p>
        </w:tc>
        <w:tc>
          <w:tcPr>
            <w:tcW w:w="3021" w:type="dxa"/>
            <w:vAlign w:val="bottom"/>
          </w:tcPr>
          <w:p w14:paraId="14412386"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korektivní dermatologie</w:t>
            </w:r>
          </w:p>
        </w:tc>
        <w:tc>
          <w:tcPr>
            <w:tcW w:w="3021" w:type="dxa"/>
            <w:vAlign w:val="bottom"/>
          </w:tcPr>
          <w:p w14:paraId="21FC87C6"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revmatologie</w:t>
            </w:r>
          </w:p>
        </w:tc>
      </w:tr>
      <w:tr w:rsidR="00047BE4" w14:paraId="5C9F1B6D" w14:textId="77777777" w:rsidTr="00047BE4">
        <w:trPr>
          <w:jc w:val="center"/>
        </w:trPr>
        <w:tc>
          <w:tcPr>
            <w:tcW w:w="3020" w:type="dxa"/>
            <w:vAlign w:val="bottom"/>
          </w:tcPr>
          <w:p w14:paraId="1F6E7CB5"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al</w:t>
            </w:r>
            <w:r>
              <w:rPr>
                <w:rFonts w:ascii="Calibri" w:hAnsi="Calibri" w:cs="Calibri"/>
                <w:color w:val="000000"/>
                <w:sz w:val="18"/>
                <w:szCs w:val="18"/>
              </w:rPr>
              <w:t>ergologie</w:t>
            </w:r>
          </w:p>
        </w:tc>
        <w:tc>
          <w:tcPr>
            <w:tcW w:w="3021" w:type="dxa"/>
            <w:vAlign w:val="bottom"/>
          </w:tcPr>
          <w:p w14:paraId="6CB2FEB2"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lékařská genetika</w:t>
            </w:r>
          </w:p>
        </w:tc>
        <w:tc>
          <w:tcPr>
            <w:tcW w:w="3021" w:type="dxa"/>
            <w:vAlign w:val="bottom"/>
          </w:tcPr>
          <w:p w14:paraId="29E1F5CA"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tělovýchovné lékařství</w:t>
            </w:r>
          </w:p>
        </w:tc>
      </w:tr>
      <w:tr w:rsidR="00047BE4" w14:paraId="179EB49F" w14:textId="77777777" w:rsidTr="00047BE4">
        <w:trPr>
          <w:jc w:val="center"/>
        </w:trPr>
        <w:tc>
          <w:tcPr>
            <w:tcW w:w="3020" w:type="dxa"/>
            <w:vAlign w:val="bottom"/>
          </w:tcPr>
          <w:p w14:paraId="5EEC04A7"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kardiologie</w:t>
            </w:r>
          </w:p>
        </w:tc>
        <w:tc>
          <w:tcPr>
            <w:tcW w:w="3021" w:type="dxa"/>
            <w:vAlign w:val="bottom"/>
          </w:tcPr>
          <w:p w14:paraId="1F7B75A1"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nefrologie</w:t>
            </w:r>
          </w:p>
        </w:tc>
        <w:tc>
          <w:tcPr>
            <w:tcW w:w="3021" w:type="dxa"/>
            <w:vAlign w:val="bottom"/>
          </w:tcPr>
          <w:p w14:paraId="5E5C57BC"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urgentní medicína</w:t>
            </w:r>
          </w:p>
        </w:tc>
      </w:tr>
      <w:tr w:rsidR="00047BE4" w14:paraId="74E5AD35" w14:textId="77777777" w:rsidTr="00047BE4">
        <w:trPr>
          <w:jc w:val="center"/>
        </w:trPr>
        <w:tc>
          <w:tcPr>
            <w:tcW w:w="3020" w:type="dxa"/>
            <w:vAlign w:val="bottom"/>
          </w:tcPr>
          <w:p w14:paraId="3E83EBC3"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plastická chirurgie</w:t>
            </w:r>
          </w:p>
        </w:tc>
        <w:tc>
          <w:tcPr>
            <w:tcW w:w="3021" w:type="dxa"/>
            <w:vAlign w:val="bottom"/>
          </w:tcPr>
          <w:p w14:paraId="65F873ED"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o</w:t>
            </w:r>
            <w:r w:rsidRPr="0088560C">
              <w:rPr>
                <w:rFonts w:ascii="Calibri" w:hAnsi="Calibri" w:cs="Calibri"/>
                <w:color w:val="000000"/>
                <w:sz w:val="18"/>
                <w:szCs w:val="18"/>
              </w:rPr>
              <w:t>ptometrista</w:t>
            </w:r>
          </w:p>
        </w:tc>
        <w:tc>
          <w:tcPr>
            <w:tcW w:w="3021" w:type="dxa"/>
            <w:vAlign w:val="bottom"/>
          </w:tcPr>
          <w:p w14:paraId="07842E02"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cévní chirurgie</w:t>
            </w:r>
          </w:p>
        </w:tc>
      </w:tr>
      <w:tr w:rsidR="00047BE4" w14:paraId="7DD4DACD" w14:textId="77777777" w:rsidTr="00047BE4">
        <w:trPr>
          <w:jc w:val="center"/>
        </w:trPr>
        <w:tc>
          <w:tcPr>
            <w:tcW w:w="3020" w:type="dxa"/>
            <w:vAlign w:val="bottom"/>
          </w:tcPr>
          <w:p w14:paraId="2A32CA15"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z</w:t>
            </w:r>
            <w:r w:rsidRPr="0088560C">
              <w:rPr>
                <w:rFonts w:ascii="Calibri" w:hAnsi="Calibri" w:cs="Calibri"/>
                <w:color w:val="000000"/>
                <w:sz w:val="18"/>
                <w:szCs w:val="18"/>
              </w:rPr>
              <w:t>ubní technik pro fixní a snímatelné náhrady</w:t>
            </w:r>
          </w:p>
        </w:tc>
        <w:tc>
          <w:tcPr>
            <w:tcW w:w="3021" w:type="dxa"/>
            <w:vAlign w:val="bottom"/>
          </w:tcPr>
          <w:p w14:paraId="797F5CF8"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radiologie a zobrazovací metody</w:t>
            </w:r>
          </w:p>
        </w:tc>
        <w:tc>
          <w:tcPr>
            <w:tcW w:w="3021" w:type="dxa"/>
            <w:vAlign w:val="bottom"/>
          </w:tcPr>
          <w:p w14:paraId="261E9207"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dětská a dorostová psychiatrie</w:t>
            </w:r>
          </w:p>
        </w:tc>
      </w:tr>
      <w:tr w:rsidR="00047BE4" w14:paraId="5CBE8637" w14:textId="77777777" w:rsidTr="00047BE4">
        <w:trPr>
          <w:jc w:val="center"/>
        </w:trPr>
        <w:tc>
          <w:tcPr>
            <w:tcW w:w="3020" w:type="dxa"/>
            <w:vAlign w:val="bottom"/>
          </w:tcPr>
          <w:p w14:paraId="69DAD684"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praktické lékárenství</w:t>
            </w:r>
          </w:p>
        </w:tc>
        <w:tc>
          <w:tcPr>
            <w:tcW w:w="3021" w:type="dxa"/>
            <w:vAlign w:val="bottom"/>
          </w:tcPr>
          <w:p w14:paraId="0B648376"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traumatologie</w:t>
            </w:r>
          </w:p>
        </w:tc>
        <w:tc>
          <w:tcPr>
            <w:tcW w:w="3021" w:type="dxa"/>
            <w:vAlign w:val="bottom"/>
          </w:tcPr>
          <w:p w14:paraId="2A1402DC"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dětská chirurgie</w:t>
            </w:r>
          </w:p>
        </w:tc>
      </w:tr>
      <w:tr w:rsidR="00047BE4" w14:paraId="39819C98" w14:textId="77777777" w:rsidTr="00047BE4">
        <w:trPr>
          <w:jc w:val="center"/>
        </w:trPr>
        <w:tc>
          <w:tcPr>
            <w:tcW w:w="3020" w:type="dxa"/>
            <w:vAlign w:val="bottom"/>
          </w:tcPr>
          <w:p w14:paraId="142FD316"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urologie</w:t>
            </w:r>
          </w:p>
        </w:tc>
        <w:tc>
          <w:tcPr>
            <w:tcW w:w="3021" w:type="dxa"/>
            <w:vAlign w:val="bottom"/>
          </w:tcPr>
          <w:p w14:paraId="09C1A413"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angiologie</w:t>
            </w:r>
          </w:p>
        </w:tc>
        <w:tc>
          <w:tcPr>
            <w:tcW w:w="3021" w:type="dxa"/>
            <w:vAlign w:val="bottom"/>
          </w:tcPr>
          <w:p w14:paraId="64C01F67"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dětská neurologie</w:t>
            </w:r>
          </w:p>
        </w:tc>
      </w:tr>
      <w:tr w:rsidR="00047BE4" w14:paraId="30BDC52C" w14:textId="77777777" w:rsidTr="00047BE4">
        <w:trPr>
          <w:jc w:val="center"/>
        </w:trPr>
        <w:tc>
          <w:tcPr>
            <w:tcW w:w="3020" w:type="dxa"/>
            <w:vAlign w:val="bottom"/>
          </w:tcPr>
          <w:p w14:paraId="3C613575"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alergologie a klinická imunologie</w:t>
            </w:r>
          </w:p>
        </w:tc>
        <w:tc>
          <w:tcPr>
            <w:tcW w:w="3021" w:type="dxa"/>
            <w:vAlign w:val="bottom"/>
          </w:tcPr>
          <w:p w14:paraId="784C92DB"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dětská kardiologie</w:t>
            </w:r>
          </w:p>
        </w:tc>
        <w:tc>
          <w:tcPr>
            <w:tcW w:w="3021" w:type="dxa"/>
            <w:vAlign w:val="bottom"/>
          </w:tcPr>
          <w:p w14:paraId="2CAAD518"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dětská otorinolaryngologie</w:t>
            </w:r>
          </w:p>
        </w:tc>
      </w:tr>
      <w:tr w:rsidR="00047BE4" w14:paraId="742DE877" w14:textId="77777777" w:rsidTr="00047BE4">
        <w:trPr>
          <w:jc w:val="center"/>
        </w:trPr>
        <w:tc>
          <w:tcPr>
            <w:tcW w:w="3020" w:type="dxa"/>
            <w:vAlign w:val="bottom"/>
          </w:tcPr>
          <w:p w14:paraId="7B41FF73"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dětské lékařství</w:t>
            </w:r>
          </w:p>
        </w:tc>
        <w:tc>
          <w:tcPr>
            <w:tcW w:w="3021" w:type="dxa"/>
            <w:vAlign w:val="bottom"/>
          </w:tcPr>
          <w:p w14:paraId="2DF1D025"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foniatrie</w:t>
            </w:r>
          </w:p>
        </w:tc>
        <w:tc>
          <w:tcPr>
            <w:tcW w:w="3021" w:type="dxa"/>
            <w:vAlign w:val="bottom"/>
          </w:tcPr>
          <w:p w14:paraId="30CAEE8A"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hygiena a epidemiologie</w:t>
            </w:r>
          </w:p>
        </w:tc>
      </w:tr>
      <w:tr w:rsidR="00047BE4" w14:paraId="0EA4CCFA" w14:textId="77777777" w:rsidTr="00047BE4">
        <w:trPr>
          <w:jc w:val="center"/>
        </w:trPr>
        <w:tc>
          <w:tcPr>
            <w:tcW w:w="3020" w:type="dxa"/>
            <w:vAlign w:val="bottom"/>
          </w:tcPr>
          <w:p w14:paraId="203C103F"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otorinolaryngologie a chirurgie hlavy a krku</w:t>
            </w:r>
          </w:p>
        </w:tc>
        <w:tc>
          <w:tcPr>
            <w:tcW w:w="3021" w:type="dxa"/>
            <w:vAlign w:val="bottom"/>
          </w:tcPr>
          <w:p w14:paraId="3B4813D5"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gastroenterologie</w:t>
            </w:r>
          </w:p>
        </w:tc>
        <w:tc>
          <w:tcPr>
            <w:tcW w:w="3021" w:type="dxa"/>
            <w:vAlign w:val="bottom"/>
          </w:tcPr>
          <w:p w14:paraId="572DAF24" w14:textId="77777777" w:rsidR="00047BE4" w:rsidRPr="0088560C" w:rsidRDefault="00047BE4" w:rsidP="00047BE4">
            <w:pPr>
              <w:pStyle w:val="Odstavecseseznamem"/>
              <w:keepNext/>
              <w:keepLines/>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infekční lékařství</w:t>
            </w:r>
          </w:p>
        </w:tc>
      </w:tr>
      <w:tr w:rsidR="00047BE4" w14:paraId="6AC1B633" w14:textId="77777777" w:rsidTr="00047BE4">
        <w:trPr>
          <w:jc w:val="center"/>
        </w:trPr>
        <w:tc>
          <w:tcPr>
            <w:tcW w:w="3020" w:type="dxa"/>
            <w:vAlign w:val="bottom"/>
          </w:tcPr>
          <w:p w14:paraId="63583E94"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klinická biochemie</w:t>
            </w:r>
          </w:p>
        </w:tc>
        <w:tc>
          <w:tcPr>
            <w:tcW w:w="3021" w:type="dxa"/>
            <w:vAlign w:val="bottom"/>
          </w:tcPr>
          <w:p w14:paraId="4B65909A"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klinická osteologie</w:t>
            </w:r>
          </w:p>
        </w:tc>
        <w:tc>
          <w:tcPr>
            <w:tcW w:w="3021" w:type="dxa"/>
            <w:vAlign w:val="bottom"/>
          </w:tcPr>
          <w:p w14:paraId="12693FCF"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klinická farmacie</w:t>
            </w:r>
          </w:p>
        </w:tc>
      </w:tr>
      <w:tr w:rsidR="00047BE4" w14:paraId="5C90D28F" w14:textId="77777777" w:rsidTr="00047BE4">
        <w:trPr>
          <w:jc w:val="center"/>
        </w:trPr>
        <w:tc>
          <w:tcPr>
            <w:tcW w:w="3020" w:type="dxa"/>
            <w:vAlign w:val="bottom"/>
          </w:tcPr>
          <w:p w14:paraId="24779FBD"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k</w:t>
            </w:r>
            <w:r w:rsidRPr="0088560C">
              <w:rPr>
                <w:rFonts w:ascii="Calibri" w:hAnsi="Calibri" w:cs="Calibri"/>
                <w:color w:val="000000"/>
                <w:sz w:val="18"/>
                <w:szCs w:val="18"/>
              </w:rPr>
              <w:t>linický logoped</w:t>
            </w:r>
          </w:p>
        </w:tc>
        <w:tc>
          <w:tcPr>
            <w:tcW w:w="3021" w:type="dxa"/>
            <w:vAlign w:val="bottom"/>
          </w:tcPr>
          <w:p w14:paraId="1C37EE01"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lékařská mikrobiologie</w:t>
            </w:r>
          </w:p>
        </w:tc>
        <w:tc>
          <w:tcPr>
            <w:tcW w:w="3021" w:type="dxa"/>
            <w:vAlign w:val="bottom"/>
          </w:tcPr>
          <w:p w14:paraId="28B255C3"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klinická farmakologie</w:t>
            </w:r>
          </w:p>
        </w:tc>
      </w:tr>
      <w:tr w:rsidR="00047BE4" w14:paraId="2FC268A8" w14:textId="77777777" w:rsidTr="00047BE4">
        <w:trPr>
          <w:jc w:val="center"/>
        </w:trPr>
        <w:tc>
          <w:tcPr>
            <w:tcW w:w="3020" w:type="dxa"/>
            <w:vAlign w:val="bottom"/>
          </w:tcPr>
          <w:p w14:paraId="3AEAA50C"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hematologie a transfúzní lékařství</w:t>
            </w:r>
          </w:p>
        </w:tc>
        <w:tc>
          <w:tcPr>
            <w:tcW w:w="3021" w:type="dxa"/>
            <w:vAlign w:val="bottom"/>
          </w:tcPr>
          <w:p w14:paraId="56CA82D1"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neonatologie</w:t>
            </w:r>
          </w:p>
        </w:tc>
        <w:tc>
          <w:tcPr>
            <w:tcW w:w="3021" w:type="dxa"/>
            <w:vAlign w:val="bottom"/>
          </w:tcPr>
          <w:p w14:paraId="32097461"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nemocniční lékárenství</w:t>
            </w:r>
          </w:p>
        </w:tc>
      </w:tr>
      <w:tr w:rsidR="00047BE4" w14:paraId="2BE81237" w14:textId="77777777" w:rsidTr="00047BE4">
        <w:trPr>
          <w:jc w:val="center"/>
        </w:trPr>
        <w:tc>
          <w:tcPr>
            <w:tcW w:w="3020" w:type="dxa"/>
            <w:vAlign w:val="bottom"/>
          </w:tcPr>
          <w:p w14:paraId="5035D071"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klinická onkologie</w:t>
            </w:r>
          </w:p>
        </w:tc>
        <w:tc>
          <w:tcPr>
            <w:tcW w:w="3021" w:type="dxa"/>
            <w:vAlign w:val="bottom"/>
          </w:tcPr>
          <w:p w14:paraId="3B8A6FF8"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neurochirurgie</w:t>
            </w:r>
          </w:p>
        </w:tc>
        <w:tc>
          <w:tcPr>
            <w:tcW w:w="3021" w:type="dxa"/>
            <w:vAlign w:val="bottom"/>
          </w:tcPr>
          <w:p w14:paraId="48F64CAB"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n</w:t>
            </w:r>
            <w:r w:rsidRPr="0088560C">
              <w:rPr>
                <w:rFonts w:ascii="Calibri" w:hAnsi="Calibri" w:cs="Calibri"/>
                <w:color w:val="000000"/>
                <w:sz w:val="18"/>
                <w:szCs w:val="18"/>
              </w:rPr>
              <w:t>utriční terapeut</w:t>
            </w:r>
          </w:p>
        </w:tc>
      </w:tr>
      <w:tr w:rsidR="00047BE4" w14:paraId="57FA318C" w14:textId="77777777" w:rsidTr="00047BE4">
        <w:trPr>
          <w:jc w:val="center"/>
        </w:trPr>
        <w:tc>
          <w:tcPr>
            <w:tcW w:w="3020" w:type="dxa"/>
            <w:vAlign w:val="bottom"/>
          </w:tcPr>
          <w:p w14:paraId="010F9682"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K</w:t>
            </w:r>
            <w:r>
              <w:rPr>
                <w:rFonts w:ascii="Calibri" w:hAnsi="Calibri" w:cs="Calibri"/>
                <w:color w:val="000000"/>
                <w:sz w:val="18"/>
                <w:szCs w:val="18"/>
              </w:rPr>
              <w:t>linická</w:t>
            </w:r>
            <w:r w:rsidRPr="0088560C">
              <w:rPr>
                <w:rFonts w:ascii="Calibri" w:hAnsi="Calibri" w:cs="Calibri"/>
                <w:color w:val="000000"/>
                <w:sz w:val="18"/>
                <w:szCs w:val="18"/>
              </w:rPr>
              <w:t xml:space="preserve"> psycholog</w:t>
            </w:r>
            <w:r>
              <w:rPr>
                <w:rFonts w:ascii="Calibri" w:hAnsi="Calibri" w:cs="Calibri"/>
                <w:color w:val="000000"/>
                <w:sz w:val="18"/>
                <w:szCs w:val="18"/>
              </w:rPr>
              <w:t>ie</w:t>
            </w:r>
          </w:p>
        </w:tc>
        <w:tc>
          <w:tcPr>
            <w:tcW w:w="3021" w:type="dxa"/>
            <w:vAlign w:val="bottom"/>
          </w:tcPr>
          <w:p w14:paraId="4E0DBA7D"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nukleární medicína</w:t>
            </w:r>
          </w:p>
        </w:tc>
        <w:tc>
          <w:tcPr>
            <w:tcW w:w="3021" w:type="dxa"/>
            <w:vAlign w:val="bottom"/>
          </w:tcPr>
          <w:p w14:paraId="7FB82F44"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o</w:t>
            </w:r>
            <w:r w:rsidRPr="0088560C">
              <w:rPr>
                <w:rFonts w:ascii="Calibri" w:hAnsi="Calibri" w:cs="Calibri"/>
                <w:color w:val="000000"/>
                <w:sz w:val="18"/>
                <w:szCs w:val="18"/>
              </w:rPr>
              <w:t>dborný fyzioterapeut</w:t>
            </w:r>
          </w:p>
        </w:tc>
      </w:tr>
      <w:tr w:rsidR="00047BE4" w14:paraId="04A29A1C" w14:textId="77777777" w:rsidTr="00047BE4">
        <w:trPr>
          <w:jc w:val="center"/>
        </w:trPr>
        <w:tc>
          <w:tcPr>
            <w:tcW w:w="3020" w:type="dxa"/>
            <w:vAlign w:val="bottom"/>
          </w:tcPr>
          <w:p w14:paraId="344BACCA"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orální a maxilofaciální chirurgie</w:t>
            </w:r>
          </w:p>
        </w:tc>
        <w:tc>
          <w:tcPr>
            <w:tcW w:w="3021" w:type="dxa"/>
            <w:vAlign w:val="bottom"/>
          </w:tcPr>
          <w:p w14:paraId="56308E8F"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ortodoncie</w:t>
            </w:r>
          </w:p>
        </w:tc>
        <w:tc>
          <w:tcPr>
            <w:tcW w:w="3021" w:type="dxa"/>
            <w:vAlign w:val="bottom"/>
          </w:tcPr>
          <w:p w14:paraId="1FD9E13D"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o</w:t>
            </w:r>
            <w:r w:rsidRPr="0088560C">
              <w:rPr>
                <w:rFonts w:ascii="Calibri" w:hAnsi="Calibri" w:cs="Calibri"/>
                <w:color w:val="000000"/>
                <w:sz w:val="18"/>
                <w:szCs w:val="18"/>
              </w:rPr>
              <w:t>rtotik-protetik</w:t>
            </w:r>
          </w:p>
        </w:tc>
      </w:tr>
      <w:tr w:rsidR="00047BE4" w14:paraId="64A06673" w14:textId="77777777" w:rsidTr="00047BE4">
        <w:trPr>
          <w:jc w:val="center"/>
        </w:trPr>
        <w:tc>
          <w:tcPr>
            <w:tcW w:w="3020" w:type="dxa"/>
            <w:vAlign w:val="bottom"/>
          </w:tcPr>
          <w:p w14:paraId="6CFED972"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paliativní medicína</w:t>
            </w:r>
          </w:p>
        </w:tc>
        <w:tc>
          <w:tcPr>
            <w:tcW w:w="3021" w:type="dxa"/>
            <w:vAlign w:val="bottom"/>
          </w:tcPr>
          <w:p w14:paraId="07E8C9E0"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o</w:t>
            </w:r>
            <w:r w:rsidRPr="0088560C">
              <w:rPr>
                <w:rFonts w:ascii="Calibri" w:hAnsi="Calibri" w:cs="Calibri"/>
                <w:color w:val="000000"/>
                <w:sz w:val="18"/>
                <w:szCs w:val="18"/>
              </w:rPr>
              <w:t>rtoptista</w:t>
            </w:r>
          </w:p>
        </w:tc>
        <w:tc>
          <w:tcPr>
            <w:tcW w:w="3021" w:type="dxa"/>
            <w:vAlign w:val="bottom"/>
          </w:tcPr>
          <w:p w14:paraId="089559BD"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psychosomatika</w:t>
            </w:r>
          </w:p>
        </w:tc>
      </w:tr>
      <w:tr w:rsidR="00047BE4" w14:paraId="72A8D410" w14:textId="77777777" w:rsidTr="00047BE4">
        <w:trPr>
          <w:jc w:val="center"/>
        </w:trPr>
        <w:tc>
          <w:tcPr>
            <w:tcW w:w="3020" w:type="dxa"/>
            <w:vAlign w:val="bottom"/>
          </w:tcPr>
          <w:p w14:paraId="78872BDB"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pneumologie a ftizeologie</w:t>
            </w:r>
          </w:p>
        </w:tc>
        <w:tc>
          <w:tcPr>
            <w:tcW w:w="3021" w:type="dxa"/>
            <w:vAlign w:val="bottom"/>
          </w:tcPr>
          <w:p w14:paraId="74AA67D7"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patologie</w:t>
            </w:r>
          </w:p>
        </w:tc>
        <w:tc>
          <w:tcPr>
            <w:tcW w:w="3021" w:type="dxa"/>
            <w:vAlign w:val="bottom"/>
          </w:tcPr>
          <w:p w14:paraId="485EA9E7"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urogynekologie</w:t>
            </w:r>
          </w:p>
        </w:tc>
      </w:tr>
      <w:tr w:rsidR="00047BE4" w14:paraId="31EDD40F" w14:textId="77777777" w:rsidTr="00047BE4">
        <w:trPr>
          <w:jc w:val="center"/>
        </w:trPr>
        <w:tc>
          <w:tcPr>
            <w:tcW w:w="3020" w:type="dxa"/>
            <w:vAlign w:val="bottom"/>
          </w:tcPr>
          <w:p w14:paraId="51DC5F26"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p</w:t>
            </w:r>
            <w:r w:rsidRPr="0088560C">
              <w:rPr>
                <w:rFonts w:ascii="Calibri" w:hAnsi="Calibri" w:cs="Calibri"/>
                <w:color w:val="000000"/>
                <w:sz w:val="18"/>
                <w:szCs w:val="18"/>
              </w:rPr>
              <w:t>orodní asistentka</w:t>
            </w:r>
          </w:p>
        </w:tc>
        <w:tc>
          <w:tcPr>
            <w:tcW w:w="3021" w:type="dxa"/>
            <w:vAlign w:val="bottom"/>
          </w:tcPr>
          <w:p w14:paraId="0E3B2008"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psychiatrie</w:t>
            </w:r>
          </w:p>
        </w:tc>
        <w:tc>
          <w:tcPr>
            <w:tcW w:w="3021" w:type="dxa"/>
            <w:vAlign w:val="bottom"/>
          </w:tcPr>
          <w:p w14:paraId="0D48839D" w14:textId="77777777" w:rsidR="00047BE4" w:rsidRPr="00590639" w:rsidRDefault="00047BE4" w:rsidP="00047BE4">
            <w:pPr>
              <w:pStyle w:val="Odstavecseseznamem"/>
              <w:numPr>
                <w:ilvl w:val="0"/>
                <w:numId w:val="15"/>
              </w:numPr>
              <w:spacing w:before="0"/>
              <w:jc w:val="left"/>
              <w:rPr>
                <w:rFonts w:ascii="Calibri" w:hAnsi="Calibri" w:cs="Calibri"/>
                <w:color w:val="000000"/>
                <w:sz w:val="18"/>
                <w:szCs w:val="18"/>
              </w:rPr>
            </w:pPr>
            <w:r>
              <w:rPr>
                <w:rFonts w:ascii="Calibri" w:hAnsi="Calibri" w:cs="Calibri"/>
                <w:color w:val="000000"/>
                <w:sz w:val="18"/>
                <w:szCs w:val="18"/>
              </w:rPr>
              <w:t>z</w:t>
            </w:r>
            <w:r w:rsidRPr="0088560C">
              <w:rPr>
                <w:rFonts w:ascii="Calibri" w:hAnsi="Calibri" w:cs="Calibri"/>
                <w:color w:val="000000"/>
                <w:sz w:val="18"/>
                <w:szCs w:val="18"/>
              </w:rPr>
              <w:t>ubní technik pro ortodoncii</w:t>
            </w:r>
          </w:p>
        </w:tc>
      </w:tr>
      <w:tr w:rsidR="00047BE4" w14:paraId="2E04AA32" w14:textId="77777777" w:rsidTr="00047BE4">
        <w:trPr>
          <w:jc w:val="center"/>
        </w:trPr>
        <w:tc>
          <w:tcPr>
            <w:tcW w:w="3020" w:type="dxa"/>
            <w:vAlign w:val="bottom"/>
          </w:tcPr>
          <w:p w14:paraId="0BED1BDE"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geriatrie</w:t>
            </w:r>
          </w:p>
        </w:tc>
        <w:tc>
          <w:tcPr>
            <w:tcW w:w="3021" w:type="dxa"/>
            <w:vAlign w:val="bottom"/>
          </w:tcPr>
          <w:p w14:paraId="2252D404" w14:textId="77777777" w:rsidR="00047BE4" w:rsidRPr="0088560C" w:rsidRDefault="00047BE4" w:rsidP="00047BE4">
            <w:pPr>
              <w:pStyle w:val="Odstavecseseznamem"/>
              <w:numPr>
                <w:ilvl w:val="0"/>
                <w:numId w:val="15"/>
              </w:numPr>
              <w:spacing w:before="0"/>
              <w:jc w:val="left"/>
              <w:rPr>
                <w:rFonts w:ascii="Calibri" w:hAnsi="Calibri" w:cs="Calibri"/>
                <w:color w:val="000000"/>
                <w:sz w:val="18"/>
                <w:szCs w:val="18"/>
              </w:rPr>
            </w:pPr>
            <w:r w:rsidRPr="0088560C">
              <w:rPr>
                <w:rFonts w:ascii="Calibri" w:hAnsi="Calibri" w:cs="Calibri"/>
                <w:color w:val="000000"/>
                <w:sz w:val="18"/>
                <w:szCs w:val="18"/>
              </w:rPr>
              <w:t>radiační onkologie</w:t>
            </w:r>
          </w:p>
        </w:tc>
        <w:tc>
          <w:tcPr>
            <w:tcW w:w="3021" w:type="dxa"/>
            <w:vAlign w:val="bottom"/>
          </w:tcPr>
          <w:p w14:paraId="5E9C520D" w14:textId="77777777" w:rsidR="00047BE4" w:rsidRPr="00590639" w:rsidRDefault="00047BE4" w:rsidP="00047BE4">
            <w:pPr>
              <w:spacing w:before="0"/>
              <w:jc w:val="left"/>
              <w:rPr>
                <w:rFonts w:ascii="Calibri" w:hAnsi="Calibri" w:cs="Calibri"/>
                <w:color w:val="000000"/>
                <w:sz w:val="18"/>
                <w:szCs w:val="18"/>
              </w:rPr>
            </w:pPr>
          </w:p>
        </w:tc>
      </w:tr>
    </w:tbl>
    <w:p w14:paraId="0402021B" w14:textId="198D7706" w:rsidR="00047BE4" w:rsidRPr="00D7652F" w:rsidRDefault="00047BE4" w:rsidP="00047BE4">
      <w:pPr>
        <w:pStyle w:val="Zdroj"/>
      </w:pPr>
      <w:r w:rsidRPr="00D7652F">
        <w:t xml:space="preserve">Zdroj: </w:t>
      </w:r>
      <w:r>
        <w:t>Národní registr poskytovatelů zdravotních služeb</w:t>
      </w:r>
      <w:r w:rsidR="007C7D7E">
        <w:t>, 2020.</w:t>
      </w:r>
    </w:p>
    <w:p w14:paraId="5C17734A" w14:textId="77777777" w:rsidR="00047BE4" w:rsidRDefault="00047BE4" w:rsidP="00047BE4">
      <w:pPr>
        <w:rPr>
          <w:color w:val="000000" w:themeColor="text1"/>
        </w:rPr>
      </w:pPr>
    </w:p>
    <w:p w14:paraId="0AAEC18B" w14:textId="3CD138AE" w:rsidR="00047BE4" w:rsidRDefault="00047BE4" w:rsidP="00047BE4">
      <w:pPr>
        <w:rPr>
          <w:color w:val="000000" w:themeColor="text1"/>
          <w:shd w:val="clear" w:color="auto" w:fill="FFFFFF"/>
        </w:rPr>
      </w:pPr>
      <w:r w:rsidRPr="003F24DB">
        <w:rPr>
          <w:color w:val="000000" w:themeColor="text1"/>
        </w:rPr>
        <w:lastRenderedPageBreak/>
        <w:t xml:space="preserve">Hlavním zdravotnickým zařízením poskytujícím ambulantní zdravotnickou péči ve Zlíně je </w:t>
      </w:r>
      <w:r>
        <w:rPr>
          <w:color w:val="000000" w:themeColor="text1"/>
        </w:rPr>
        <w:t xml:space="preserve">však </w:t>
      </w:r>
      <w:r w:rsidRPr="00491A5F">
        <w:rPr>
          <w:b/>
          <w:color w:val="000000" w:themeColor="text1"/>
        </w:rPr>
        <w:t>Krajská nemocnice Tomáše Ba</w:t>
      </w:r>
      <w:r>
        <w:rPr>
          <w:b/>
          <w:color w:val="000000" w:themeColor="text1"/>
        </w:rPr>
        <w:t>t</w:t>
      </w:r>
      <w:r w:rsidRPr="00491A5F">
        <w:rPr>
          <w:b/>
          <w:color w:val="000000" w:themeColor="text1"/>
        </w:rPr>
        <w:t>i</w:t>
      </w:r>
      <w:r w:rsidRPr="003F24DB">
        <w:rPr>
          <w:color w:val="000000" w:themeColor="text1"/>
        </w:rPr>
        <w:t xml:space="preserve">. </w:t>
      </w:r>
      <w:r>
        <w:rPr>
          <w:color w:val="000000" w:themeColor="text1"/>
        </w:rPr>
        <w:t xml:space="preserve">Jedná se o významné středisko zdravotnictví, které v některých oborech dosahuje nadregionálního významu. </w:t>
      </w:r>
      <w:r w:rsidRPr="003F24DB">
        <w:rPr>
          <w:color w:val="000000" w:themeColor="text1"/>
        </w:rPr>
        <w:t xml:space="preserve">Nemocnice je od roku 2006 akciovou společností, jediným akcionářem společnosti je Zlínský kraj. </w:t>
      </w:r>
      <w:r w:rsidRPr="003F24DB">
        <w:rPr>
          <w:color w:val="000000" w:themeColor="text1"/>
          <w:shd w:val="clear" w:color="auto" w:fill="FFFFFF"/>
        </w:rPr>
        <w:t>Krajská nemocnice T. Bati zaměstnává na všech svých pracovištích více než 2</w:t>
      </w:r>
      <w:r w:rsidR="007C7D7E">
        <w:rPr>
          <w:color w:val="000000" w:themeColor="text1"/>
          <w:shd w:val="clear" w:color="auto" w:fill="FFFFFF"/>
        </w:rPr>
        <w:t xml:space="preserve"> </w:t>
      </w:r>
      <w:r w:rsidRPr="003F24DB">
        <w:rPr>
          <w:color w:val="000000" w:themeColor="text1"/>
          <w:shd w:val="clear" w:color="auto" w:fill="FFFFFF"/>
        </w:rPr>
        <w:t>230 lidí, z toho je nejméně 340 lékařů, více než 1</w:t>
      </w:r>
      <w:r w:rsidR="007C7D7E">
        <w:rPr>
          <w:color w:val="000000" w:themeColor="text1"/>
          <w:shd w:val="clear" w:color="auto" w:fill="FFFFFF"/>
        </w:rPr>
        <w:t xml:space="preserve"> </w:t>
      </w:r>
      <w:r w:rsidRPr="003F24DB">
        <w:rPr>
          <w:color w:val="000000" w:themeColor="text1"/>
          <w:shd w:val="clear" w:color="auto" w:fill="FFFFFF"/>
        </w:rPr>
        <w:t>580 ostatního nelékařského zdravotnického personálu a méně než 310 tvoří skupina nezdravotníků. Ročně je v KNTB hospitalizováno přes 45 tisíc pacientů. Nemocnice má k dispozici 925 lůžek, z toho je 776 pro akutní péči a 149 pro následnou péči.</w:t>
      </w:r>
      <w:r>
        <w:rPr>
          <w:color w:val="000000" w:themeColor="text1"/>
          <w:shd w:val="clear" w:color="auto" w:fill="FFFFFF"/>
        </w:rPr>
        <w:t xml:space="preserve"> Kromě standardní lůžkové péče fungují na některých odděleních denní stacionáře, které mohou v některých případech nahrazovat hospitalizaci. V rámci nemocnice existují centra specializované péče následujícího zaměření:</w:t>
      </w:r>
    </w:p>
    <w:p w14:paraId="6D4394EF" w14:textId="77777777" w:rsidR="00047BE4" w:rsidRDefault="00047BE4" w:rsidP="00047BE4">
      <w:pPr>
        <w:pStyle w:val="Odstavecseseznamem"/>
        <w:numPr>
          <w:ilvl w:val="0"/>
          <w:numId w:val="17"/>
        </w:numPr>
        <w:rPr>
          <w:lang w:eastAsia="cs-CZ"/>
        </w:rPr>
      </w:pPr>
      <w:r w:rsidRPr="00BC74B3">
        <w:rPr>
          <w:lang w:eastAsia="cs-CZ"/>
        </w:rPr>
        <w:t>péče o pacienty s cévní mozkovou příhodou</w:t>
      </w:r>
    </w:p>
    <w:p w14:paraId="54B591CE" w14:textId="77777777" w:rsidR="00047BE4" w:rsidRPr="00BC74B3" w:rsidRDefault="00047BE4" w:rsidP="00047BE4">
      <w:pPr>
        <w:pStyle w:val="Odstavecseseznamem"/>
        <w:numPr>
          <w:ilvl w:val="0"/>
          <w:numId w:val="17"/>
        </w:numPr>
        <w:rPr>
          <w:lang w:eastAsia="cs-CZ"/>
        </w:rPr>
      </w:pPr>
      <w:r w:rsidRPr="00BC74B3">
        <w:rPr>
          <w:lang w:eastAsia="cs-CZ"/>
        </w:rPr>
        <w:t>kardiovaskulární péče</w:t>
      </w:r>
    </w:p>
    <w:p w14:paraId="54A764C6" w14:textId="77777777" w:rsidR="00047BE4" w:rsidRPr="00BC74B3" w:rsidRDefault="00047BE4" w:rsidP="00047BE4">
      <w:pPr>
        <w:pStyle w:val="Odstavecseseznamem"/>
        <w:numPr>
          <w:ilvl w:val="0"/>
          <w:numId w:val="17"/>
        </w:numPr>
        <w:rPr>
          <w:lang w:eastAsia="cs-CZ"/>
        </w:rPr>
      </w:pPr>
      <w:r w:rsidRPr="00BC74B3">
        <w:rPr>
          <w:lang w:eastAsia="cs-CZ"/>
        </w:rPr>
        <w:t>onkologické péče</w:t>
      </w:r>
    </w:p>
    <w:p w14:paraId="34D1F113" w14:textId="77777777" w:rsidR="00047BE4" w:rsidRPr="00BC74B3" w:rsidRDefault="00047BE4" w:rsidP="00047BE4">
      <w:pPr>
        <w:pStyle w:val="Odstavecseseznamem"/>
        <w:numPr>
          <w:ilvl w:val="0"/>
          <w:numId w:val="17"/>
        </w:numPr>
        <w:rPr>
          <w:lang w:eastAsia="cs-CZ"/>
        </w:rPr>
      </w:pPr>
      <w:r w:rsidRPr="00BC74B3">
        <w:rPr>
          <w:lang w:eastAsia="cs-CZ"/>
        </w:rPr>
        <w:t>traumatologické péče pro dospělé</w:t>
      </w:r>
    </w:p>
    <w:p w14:paraId="751A2404" w14:textId="77777777" w:rsidR="00047BE4" w:rsidRPr="00BC74B3" w:rsidRDefault="00047BE4" w:rsidP="00047BE4">
      <w:pPr>
        <w:pStyle w:val="Odstavecseseznamem"/>
        <w:numPr>
          <w:ilvl w:val="0"/>
          <w:numId w:val="17"/>
        </w:numPr>
        <w:rPr>
          <w:lang w:eastAsia="cs-CZ"/>
        </w:rPr>
      </w:pPr>
      <w:r w:rsidRPr="00BC74B3">
        <w:rPr>
          <w:lang w:eastAsia="cs-CZ"/>
        </w:rPr>
        <w:t>intenzivní péče v perinatologii</w:t>
      </w:r>
    </w:p>
    <w:p w14:paraId="06E49D8D" w14:textId="77777777" w:rsidR="00047BE4" w:rsidRDefault="00047BE4" w:rsidP="00047BE4">
      <w:pPr>
        <w:pStyle w:val="Odstavecseseznamem"/>
        <w:numPr>
          <w:ilvl w:val="0"/>
          <w:numId w:val="17"/>
        </w:numPr>
        <w:rPr>
          <w:lang w:eastAsia="cs-CZ"/>
        </w:rPr>
      </w:pPr>
      <w:r w:rsidRPr="00BC74B3">
        <w:rPr>
          <w:lang w:eastAsia="cs-CZ"/>
        </w:rPr>
        <w:t>péče v</w:t>
      </w:r>
      <w:r>
        <w:rPr>
          <w:lang w:eastAsia="cs-CZ"/>
        </w:rPr>
        <w:t> </w:t>
      </w:r>
      <w:r w:rsidRPr="00BC74B3">
        <w:rPr>
          <w:lang w:eastAsia="cs-CZ"/>
        </w:rPr>
        <w:t>onkogynekologii</w:t>
      </w:r>
    </w:p>
    <w:p w14:paraId="4ECAFF49" w14:textId="57524E8C" w:rsidR="00047BE4" w:rsidRDefault="00047BE4" w:rsidP="00047BE4">
      <w:pPr>
        <w:rPr>
          <w:lang w:eastAsia="cs-CZ"/>
        </w:rPr>
      </w:pPr>
      <w:r>
        <w:rPr>
          <w:lang w:eastAsia="cs-CZ"/>
        </w:rPr>
        <w:t xml:space="preserve">Počet pacientů v jednotlivých interních odděleních nemocnice uvádí tabulka </w:t>
      </w:r>
      <w:r w:rsidR="00DC277C">
        <w:rPr>
          <w:lang w:eastAsia="cs-CZ"/>
        </w:rPr>
        <w:t>1.18</w:t>
      </w:r>
      <w:r>
        <w:rPr>
          <w:lang w:eastAsia="cs-CZ"/>
        </w:rPr>
        <w:t>. Nejvyšší počet vyšetření je evidován na interním oddělení, oddělení onkologie, rehabilitace nebo plicním oddělení. Největší počet lůžek je na interním oddělení (90).</w:t>
      </w:r>
      <w:bookmarkStart w:id="137" w:name="_Toc49439860"/>
    </w:p>
    <w:p w14:paraId="5CB08449" w14:textId="3463736C" w:rsidR="00047BE4" w:rsidRDefault="00047BE4" w:rsidP="00047BE4">
      <w:pPr>
        <w:pStyle w:val="Titulek"/>
        <w:keepNext/>
      </w:pPr>
      <w:bookmarkStart w:id="138" w:name="_Toc53037879"/>
      <w:bookmarkStart w:id="139" w:name="_Toc7707469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18</w:t>
      </w:r>
      <w:r w:rsidR="00081B47">
        <w:rPr>
          <w:noProof/>
        </w:rPr>
        <w:fldChar w:fldCharType="end"/>
      </w:r>
      <w:r w:rsidR="007C7D7E">
        <w:rPr>
          <w:noProof/>
        </w:rPr>
        <w:t>:</w:t>
      </w:r>
      <w:r>
        <w:t xml:space="preserve"> </w:t>
      </w:r>
      <w:r w:rsidRPr="00BA32D2">
        <w:t xml:space="preserve">Základní ukazatele jednotlivých oddělení interních oborů </w:t>
      </w:r>
      <w:r w:rsidRPr="00B7481D">
        <w:t>Krajská nemocnice Tomáše Ba</w:t>
      </w:r>
      <w:r>
        <w:t>t</w:t>
      </w:r>
      <w:r w:rsidRPr="00B7481D">
        <w:t>i</w:t>
      </w:r>
      <w:r>
        <w:t xml:space="preserve"> v roce</w:t>
      </w:r>
      <w:r w:rsidRPr="00BA32D2">
        <w:t xml:space="preserve"> 2019</w:t>
      </w:r>
      <w:bookmarkEnd w:id="137"/>
      <w:bookmarkEnd w:id="138"/>
      <w:bookmarkEnd w:id="139"/>
    </w:p>
    <w:tbl>
      <w:tblPr>
        <w:tblW w:w="8495" w:type="dxa"/>
        <w:tblLayout w:type="fixed"/>
        <w:tblCellMar>
          <w:left w:w="70" w:type="dxa"/>
          <w:right w:w="70" w:type="dxa"/>
        </w:tblCellMar>
        <w:tblLook w:val="04A0" w:firstRow="1" w:lastRow="0" w:firstColumn="1" w:lastColumn="0" w:noHBand="0" w:noVBand="1"/>
      </w:tblPr>
      <w:tblGrid>
        <w:gridCol w:w="1985"/>
        <w:gridCol w:w="1691"/>
        <w:gridCol w:w="1134"/>
        <w:gridCol w:w="1286"/>
        <w:gridCol w:w="1124"/>
        <w:gridCol w:w="567"/>
        <w:gridCol w:w="708"/>
      </w:tblGrid>
      <w:tr w:rsidR="00047BE4" w:rsidRPr="00D7652F" w14:paraId="54CE75B2" w14:textId="77777777" w:rsidTr="00047BE4">
        <w:trPr>
          <w:trHeight w:val="315"/>
        </w:trPr>
        <w:tc>
          <w:tcPr>
            <w:tcW w:w="1985"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7ACFCC84"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Oddělení</w:t>
            </w:r>
          </w:p>
        </w:tc>
        <w:tc>
          <w:tcPr>
            <w:tcW w:w="4111" w:type="dxa"/>
            <w:gridSpan w:val="3"/>
            <w:tcBorders>
              <w:top w:val="single" w:sz="8" w:space="0" w:color="auto"/>
              <w:left w:val="nil"/>
              <w:bottom w:val="single" w:sz="8" w:space="0" w:color="auto"/>
              <w:right w:val="single" w:sz="8" w:space="0" w:color="000000"/>
            </w:tcBorders>
            <w:shd w:val="clear" w:color="auto" w:fill="F2F2F2" w:themeFill="background1" w:themeFillShade="F2"/>
            <w:noWrap/>
            <w:vAlign w:val="center"/>
            <w:hideMark/>
          </w:tcPr>
          <w:p w14:paraId="10E5E8A8"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Počet pacientů</w:t>
            </w:r>
          </w:p>
        </w:tc>
        <w:tc>
          <w:tcPr>
            <w:tcW w:w="1124"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5F1B1C84"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Prům. doba hospitalizace v dnech</w:t>
            </w:r>
          </w:p>
        </w:tc>
        <w:tc>
          <w:tcPr>
            <w:tcW w:w="567"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2E21E998"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Počet lůžek</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660B2670" w14:textId="3E1DAB09" w:rsidR="00047BE4" w:rsidRPr="00D6624E" w:rsidRDefault="00047BE4" w:rsidP="007C7D7E">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V</w:t>
            </w:r>
            <w:r>
              <w:rPr>
                <w:rFonts w:ascii="Calibri" w:eastAsia="Times New Roman" w:hAnsi="Calibri" w:cs="Calibri"/>
                <w:b/>
                <w:color w:val="000000"/>
                <w:sz w:val="18"/>
                <w:szCs w:val="18"/>
                <w:lang w:eastAsia="cs-CZ"/>
              </w:rPr>
              <w:t>y</w:t>
            </w:r>
            <w:r w:rsidRPr="00D6624E">
              <w:rPr>
                <w:rFonts w:ascii="Calibri" w:eastAsia="Times New Roman" w:hAnsi="Calibri" w:cs="Calibri"/>
                <w:b/>
                <w:color w:val="000000"/>
                <w:sz w:val="18"/>
                <w:szCs w:val="18"/>
                <w:lang w:eastAsia="cs-CZ"/>
              </w:rPr>
              <w:t>užití lůžek v</w:t>
            </w:r>
            <w:r w:rsidR="007C7D7E">
              <w:rPr>
                <w:rFonts w:ascii="Calibri" w:eastAsia="Times New Roman" w:hAnsi="Calibri" w:cs="Calibri"/>
                <w:b/>
                <w:color w:val="000000"/>
                <w:sz w:val="18"/>
                <w:szCs w:val="18"/>
                <w:lang w:eastAsia="cs-CZ"/>
              </w:rPr>
              <w:t> </w:t>
            </w:r>
            <w:r w:rsidRPr="00D6624E">
              <w:rPr>
                <w:rFonts w:ascii="Calibri" w:eastAsia="Times New Roman" w:hAnsi="Calibri" w:cs="Calibri"/>
                <w:b/>
                <w:color w:val="000000"/>
                <w:sz w:val="18"/>
                <w:szCs w:val="18"/>
                <w:lang w:eastAsia="cs-CZ"/>
              </w:rPr>
              <w:t>%</w:t>
            </w:r>
          </w:p>
        </w:tc>
      </w:tr>
      <w:tr w:rsidR="00047BE4" w:rsidRPr="00D7652F" w14:paraId="2152AD2D" w14:textId="77777777" w:rsidTr="00047BE4">
        <w:trPr>
          <w:trHeight w:val="315"/>
        </w:trPr>
        <w:tc>
          <w:tcPr>
            <w:tcW w:w="1985" w:type="dxa"/>
            <w:vMerge/>
            <w:tcBorders>
              <w:top w:val="single" w:sz="8" w:space="0" w:color="auto"/>
              <w:left w:val="single" w:sz="8" w:space="0" w:color="auto"/>
              <w:bottom w:val="single" w:sz="8" w:space="0" w:color="000000"/>
              <w:right w:val="single" w:sz="8" w:space="0" w:color="auto"/>
            </w:tcBorders>
            <w:vAlign w:val="center"/>
            <w:hideMark/>
          </w:tcPr>
          <w:p w14:paraId="0F8613CB"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c>
          <w:tcPr>
            <w:tcW w:w="2825" w:type="dxa"/>
            <w:gridSpan w:val="2"/>
            <w:tcBorders>
              <w:top w:val="single" w:sz="8" w:space="0" w:color="auto"/>
              <w:left w:val="nil"/>
              <w:bottom w:val="single" w:sz="8" w:space="0" w:color="auto"/>
              <w:right w:val="single" w:sz="8" w:space="0" w:color="000000"/>
            </w:tcBorders>
            <w:shd w:val="clear" w:color="auto" w:fill="F2F2F2" w:themeFill="background1" w:themeFillShade="F2"/>
            <w:noWrap/>
            <w:vAlign w:val="center"/>
            <w:hideMark/>
          </w:tcPr>
          <w:p w14:paraId="25B21C54"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Ambulantní</w:t>
            </w:r>
          </w:p>
        </w:tc>
        <w:tc>
          <w:tcPr>
            <w:tcW w:w="1286" w:type="dxa"/>
            <w:tcBorders>
              <w:top w:val="nil"/>
              <w:left w:val="nil"/>
              <w:bottom w:val="single" w:sz="8" w:space="0" w:color="auto"/>
              <w:right w:val="single" w:sz="8" w:space="0" w:color="auto"/>
            </w:tcBorders>
            <w:shd w:val="clear" w:color="auto" w:fill="F2F2F2" w:themeFill="background1" w:themeFillShade="F2"/>
            <w:noWrap/>
            <w:vAlign w:val="center"/>
            <w:hideMark/>
          </w:tcPr>
          <w:p w14:paraId="3CF5843A"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Hospitalizovaní</w:t>
            </w:r>
          </w:p>
        </w:tc>
        <w:tc>
          <w:tcPr>
            <w:tcW w:w="1124" w:type="dxa"/>
            <w:vMerge/>
            <w:tcBorders>
              <w:top w:val="single" w:sz="8" w:space="0" w:color="auto"/>
              <w:left w:val="single" w:sz="8" w:space="0" w:color="auto"/>
              <w:bottom w:val="single" w:sz="8" w:space="0" w:color="000000"/>
              <w:right w:val="single" w:sz="8" w:space="0" w:color="auto"/>
            </w:tcBorders>
            <w:vAlign w:val="center"/>
            <w:hideMark/>
          </w:tcPr>
          <w:p w14:paraId="31DE8A60"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14:paraId="416F4E88"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66248016"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r>
      <w:tr w:rsidR="00047BE4" w:rsidRPr="00D7652F" w14:paraId="338CA2E2" w14:textId="77777777" w:rsidTr="00047BE4">
        <w:trPr>
          <w:trHeight w:val="459"/>
        </w:trPr>
        <w:tc>
          <w:tcPr>
            <w:tcW w:w="1985" w:type="dxa"/>
            <w:vMerge/>
            <w:tcBorders>
              <w:top w:val="single" w:sz="8" w:space="0" w:color="auto"/>
              <w:left w:val="single" w:sz="8" w:space="0" w:color="auto"/>
              <w:bottom w:val="single" w:sz="8" w:space="0" w:color="000000"/>
              <w:right w:val="single" w:sz="8" w:space="0" w:color="auto"/>
            </w:tcBorders>
            <w:vAlign w:val="center"/>
            <w:hideMark/>
          </w:tcPr>
          <w:p w14:paraId="7BCA6160"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c>
          <w:tcPr>
            <w:tcW w:w="1691" w:type="dxa"/>
            <w:tcBorders>
              <w:top w:val="nil"/>
              <w:left w:val="nil"/>
              <w:bottom w:val="single" w:sz="8" w:space="0" w:color="auto"/>
              <w:right w:val="single" w:sz="8" w:space="0" w:color="auto"/>
            </w:tcBorders>
            <w:shd w:val="clear" w:color="auto" w:fill="F2F2F2" w:themeFill="background1" w:themeFillShade="F2"/>
            <w:noWrap/>
            <w:vAlign w:val="center"/>
            <w:hideMark/>
          </w:tcPr>
          <w:p w14:paraId="1E068B66"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Pacienti</w:t>
            </w:r>
          </w:p>
        </w:tc>
        <w:tc>
          <w:tcPr>
            <w:tcW w:w="1134" w:type="dxa"/>
            <w:tcBorders>
              <w:top w:val="nil"/>
              <w:left w:val="nil"/>
              <w:bottom w:val="single" w:sz="8" w:space="0" w:color="auto"/>
              <w:right w:val="nil"/>
            </w:tcBorders>
            <w:shd w:val="clear" w:color="auto" w:fill="F2F2F2" w:themeFill="background1" w:themeFillShade="F2"/>
            <w:noWrap/>
            <w:vAlign w:val="center"/>
            <w:hideMark/>
          </w:tcPr>
          <w:p w14:paraId="7C1E94B4"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Vyšetření</w:t>
            </w:r>
          </w:p>
        </w:tc>
        <w:tc>
          <w:tcPr>
            <w:tcW w:w="1286" w:type="dxa"/>
            <w:tcBorders>
              <w:top w:val="nil"/>
              <w:left w:val="single" w:sz="8" w:space="0" w:color="auto"/>
              <w:bottom w:val="single" w:sz="8" w:space="0" w:color="auto"/>
              <w:right w:val="single" w:sz="8" w:space="0" w:color="auto"/>
            </w:tcBorders>
            <w:shd w:val="clear" w:color="auto" w:fill="F2F2F2" w:themeFill="background1" w:themeFillShade="F2"/>
            <w:noWrap/>
            <w:vAlign w:val="center"/>
            <w:hideMark/>
          </w:tcPr>
          <w:p w14:paraId="3C3BB6A0" w14:textId="77777777" w:rsidR="00047BE4" w:rsidRPr="00D6624E"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 </w:t>
            </w:r>
          </w:p>
        </w:tc>
        <w:tc>
          <w:tcPr>
            <w:tcW w:w="1124" w:type="dxa"/>
            <w:vMerge/>
            <w:tcBorders>
              <w:top w:val="single" w:sz="8" w:space="0" w:color="auto"/>
              <w:left w:val="single" w:sz="8" w:space="0" w:color="auto"/>
              <w:bottom w:val="single" w:sz="8" w:space="0" w:color="000000"/>
              <w:right w:val="single" w:sz="8" w:space="0" w:color="auto"/>
            </w:tcBorders>
            <w:vAlign w:val="center"/>
            <w:hideMark/>
          </w:tcPr>
          <w:p w14:paraId="59D9EE11"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14:paraId="188EE921"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3D92607E" w14:textId="77777777" w:rsidR="00047BE4" w:rsidRPr="00D7652F" w:rsidRDefault="00047BE4" w:rsidP="00047BE4">
            <w:pPr>
              <w:keepNext/>
              <w:keepLines/>
              <w:spacing w:before="0"/>
              <w:jc w:val="left"/>
              <w:rPr>
                <w:rFonts w:ascii="Calibri" w:eastAsia="Times New Roman" w:hAnsi="Calibri" w:cs="Calibri"/>
                <w:color w:val="000000"/>
                <w:sz w:val="18"/>
                <w:szCs w:val="18"/>
                <w:lang w:eastAsia="cs-CZ"/>
              </w:rPr>
            </w:pPr>
          </w:p>
        </w:tc>
      </w:tr>
      <w:tr w:rsidR="00047BE4" w:rsidRPr="00D7652F" w14:paraId="548D2C8D"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35517B2A"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Dětské</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11EEC38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5 025</w:t>
            </w:r>
          </w:p>
        </w:tc>
        <w:tc>
          <w:tcPr>
            <w:tcW w:w="1134" w:type="dxa"/>
            <w:tcBorders>
              <w:top w:val="nil"/>
              <w:left w:val="nil"/>
              <w:bottom w:val="single" w:sz="8" w:space="0" w:color="auto"/>
              <w:right w:val="nil"/>
            </w:tcBorders>
            <w:shd w:val="clear" w:color="auto" w:fill="auto"/>
            <w:noWrap/>
            <w:vAlign w:val="center"/>
            <w:hideMark/>
          </w:tcPr>
          <w:p w14:paraId="0FD05157"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10 606</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45CD1FAB"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4 888</w:t>
            </w:r>
          </w:p>
        </w:tc>
        <w:tc>
          <w:tcPr>
            <w:tcW w:w="1124" w:type="dxa"/>
            <w:tcBorders>
              <w:top w:val="nil"/>
              <w:left w:val="nil"/>
              <w:bottom w:val="single" w:sz="8" w:space="0" w:color="auto"/>
              <w:right w:val="nil"/>
            </w:tcBorders>
            <w:shd w:val="clear" w:color="auto" w:fill="auto"/>
            <w:noWrap/>
            <w:vAlign w:val="center"/>
            <w:hideMark/>
          </w:tcPr>
          <w:p w14:paraId="6944AB46"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2,35</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0A6B9990"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45</w:t>
            </w:r>
          </w:p>
        </w:tc>
        <w:tc>
          <w:tcPr>
            <w:tcW w:w="708" w:type="dxa"/>
            <w:tcBorders>
              <w:top w:val="nil"/>
              <w:left w:val="nil"/>
              <w:bottom w:val="single" w:sz="8" w:space="0" w:color="auto"/>
              <w:right w:val="single" w:sz="8" w:space="0" w:color="auto"/>
            </w:tcBorders>
            <w:shd w:val="clear" w:color="auto" w:fill="auto"/>
            <w:noWrap/>
            <w:vAlign w:val="center"/>
            <w:hideMark/>
          </w:tcPr>
          <w:p w14:paraId="5CEEE9D3"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51,61</w:t>
            </w:r>
          </w:p>
        </w:tc>
      </w:tr>
      <w:tr w:rsidR="00047BE4" w:rsidRPr="00D7652F" w14:paraId="560BE566"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46F30273"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Geriatrie</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73B1DED3"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3 197</w:t>
            </w:r>
          </w:p>
        </w:tc>
        <w:tc>
          <w:tcPr>
            <w:tcW w:w="1134" w:type="dxa"/>
            <w:tcBorders>
              <w:top w:val="nil"/>
              <w:left w:val="nil"/>
              <w:bottom w:val="single" w:sz="8" w:space="0" w:color="auto"/>
              <w:right w:val="nil"/>
            </w:tcBorders>
            <w:shd w:val="clear" w:color="auto" w:fill="auto"/>
            <w:noWrap/>
            <w:vAlign w:val="center"/>
            <w:hideMark/>
          </w:tcPr>
          <w:p w14:paraId="09BE37D2"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12 691</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61702DCE"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601</w:t>
            </w:r>
          </w:p>
        </w:tc>
        <w:tc>
          <w:tcPr>
            <w:tcW w:w="1124" w:type="dxa"/>
            <w:tcBorders>
              <w:top w:val="nil"/>
              <w:left w:val="nil"/>
              <w:bottom w:val="single" w:sz="8" w:space="0" w:color="auto"/>
              <w:right w:val="nil"/>
            </w:tcBorders>
            <w:shd w:val="clear" w:color="auto" w:fill="auto"/>
            <w:noWrap/>
            <w:vAlign w:val="center"/>
            <w:hideMark/>
          </w:tcPr>
          <w:p w14:paraId="279A32B8"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14,96</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6198927C"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30</w:t>
            </w:r>
          </w:p>
        </w:tc>
        <w:tc>
          <w:tcPr>
            <w:tcW w:w="708" w:type="dxa"/>
            <w:tcBorders>
              <w:top w:val="nil"/>
              <w:left w:val="nil"/>
              <w:bottom w:val="single" w:sz="8" w:space="0" w:color="auto"/>
              <w:right w:val="single" w:sz="8" w:space="0" w:color="auto"/>
            </w:tcBorders>
            <w:shd w:val="clear" w:color="auto" w:fill="auto"/>
            <w:noWrap/>
            <w:vAlign w:val="center"/>
            <w:hideMark/>
          </w:tcPr>
          <w:p w14:paraId="3538907D"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82,4</w:t>
            </w:r>
          </w:p>
        </w:tc>
      </w:tr>
      <w:tr w:rsidR="00047BE4" w:rsidRPr="00D7652F" w14:paraId="38EDBD45"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216C59AA"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Interní</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54B89FE7"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23 797</w:t>
            </w:r>
          </w:p>
        </w:tc>
        <w:tc>
          <w:tcPr>
            <w:tcW w:w="1134" w:type="dxa"/>
            <w:tcBorders>
              <w:top w:val="nil"/>
              <w:left w:val="nil"/>
              <w:bottom w:val="single" w:sz="8" w:space="0" w:color="auto"/>
              <w:right w:val="nil"/>
            </w:tcBorders>
            <w:shd w:val="clear" w:color="auto" w:fill="auto"/>
            <w:noWrap/>
            <w:vAlign w:val="center"/>
            <w:hideMark/>
          </w:tcPr>
          <w:p w14:paraId="49DB5641"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54 957</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7E88E6AF"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4 264</w:t>
            </w:r>
          </w:p>
        </w:tc>
        <w:tc>
          <w:tcPr>
            <w:tcW w:w="1124" w:type="dxa"/>
            <w:tcBorders>
              <w:top w:val="nil"/>
              <w:left w:val="nil"/>
              <w:bottom w:val="single" w:sz="8" w:space="0" w:color="auto"/>
              <w:right w:val="nil"/>
            </w:tcBorders>
            <w:shd w:val="clear" w:color="auto" w:fill="auto"/>
            <w:noWrap/>
            <w:vAlign w:val="center"/>
            <w:hideMark/>
          </w:tcPr>
          <w:p w14:paraId="6506B711"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5,86</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4DA9EBCE"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90</w:t>
            </w:r>
          </w:p>
        </w:tc>
        <w:tc>
          <w:tcPr>
            <w:tcW w:w="708" w:type="dxa"/>
            <w:tcBorders>
              <w:top w:val="nil"/>
              <w:left w:val="nil"/>
              <w:bottom w:val="single" w:sz="8" w:space="0" w:color="auto"/>
              <w:right w:val="single" w:sz="8" w:space="0" w:color="auto"/>
            </w:tcBorders>
            <w:shd w:val="clear" w:color="auto" w:fill="auto"/>
            <w:noWrap/>
            <w:vAlign w:val="center"/>
            <w:hideMark/>
          </w:tcPr>
          <w:p w14:paraId="0AC81581"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83,83</w:t>
            </w:r>
          </w:p>
        </w:tc>
      </w:tr>
      <w:tr w:rsidR="00047BE4" w:rsidRPr="00D7652F" w14:paraId="7B29725C"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1382DDE1"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Kardiologie</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1E86C41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8 469</w:t>
            </w:r>
          </w:p>
        </w:tc>
        <w:tc>
          <w:tcPr>
            <w:tcW w:w="1134" w:type="dxa"/>
            <w:tcBorders>
              <w:top w:val="nil"/>
              <w:left w:val="nil"/>
              <w:bottom w:val="single" w:sz="8" w:space="0" w:color="auto"/>
              <w:right w:val="nil"/>
            </w:tcBorders>
            <w:shd w:val="clear" w:color="auto" w:fill="auto"/>
            <w:noWrap/>
            <w:vAlign w:val="center"/>
            <w:hideMark/>
          </w:tcPr>
          <w:p w14:paraId="331DD83D"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13 139</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1AFD57E1"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2 679</w:t>
            </w:r>
          </w:p>
        </w:tc>
        <w:tc>
          <w:tcPr>
            <w:tcW w:w="1124" w:type="dxa"/>
            <w:tcBorders>
              <w:top w:val="nil"/>
              <w:left w:val="nil"/>
              <w:bottom w:val="single" w:sz="8" w:space="0" w:color="auto"/>
              <w:right w:val="nil"/>
            </w:tcBorders>
            <w:shd w:val="clear" w:color="auto" w:fill="auto"/>
            <w:noWrap/>
            <w:vAlign w:val="center"/>
            <w:hideMark/>
          </w:tcPr>
          <w:p w14:paraId="042123A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4,4</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0661EAD5"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55</w:t>
            </w:r>
          </w:p>
        </w:tc>
        <w:tc>
          <w:tcPr>
            <w:tcW w:w="708" w:type="dxa"/>
            <w:tcBorders>
              <w:top w:val="nil"/>
              <w:left w:val="nil"/>
              <w:bottom w:val="single" w:sz="8" w:space="0" w:color="auto"/>
              <w:right w:val="single" w:sz="8" w:space="0" w:color="auto"/>
            </w:tcBorders>
            <w:shd w:val="clear" w:color="auto" w:fill="auto"/>
            <w:noWrap/>
            <w:vAlign w:val="center"/>
            <w:hideMark/>
          </w:tcPr>
          <w:p w14:paraId="757A9816"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86,86</w:t>
            </w:r>
          </w:p>
        </w:tc>
      </w:tr>
      <w:tr w:rsidR="00047BE4" w:rsidRPr="00D7652F" w14:paraId="4432FE39"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001522B2"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Kožní</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45E0B019"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9 038</w:t>
            </w:r>
          </w:p>
        </w:tc>
        <w:tc>
          <w:tcPr>
            <w:tcW w:w="1134" w:type="dxa"/>
            <w:tcBorders>
              <w:top w:val="nil"/>
              <w:left w:val="nil"/>
              <w:bottom w:val="single" w:sz="8" w:space="0" w:color="auto"/>
              <w:right w:val="nil"/>
            </w:tcBorders>
            <w:shd w:val="clear" w:color="auto" w:fill="auto"/>
            <w:noWrap/>
            <w:vAlign w:val="center"/>
            <w:hideMark/>
          </w:tcPr>
          <w:p w14:paraId="57D09A14"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29 029</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78B3E76D"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595</w:t>
            </w:r>
          </w:p>
        </w:tc>
        <w:tc>
          <w:tcPr>
            <w:tcW w:w="1124" w:type="dxa"/>
            <w:tcBorders>
              <w:top w:val="nil"/>
              <w:left w:val="nil"/>
              <w:bottom w:val="single" w:sz="8" w:space="0" w:color="auto"/>
              <w:right w:val="nil"/>
            </w:tcBorders>
            <w:shd w:val="clear" w:color="auto" w:fill="auto"/>
            <w:noWrap/>
            <w:vAlign w:val="center"/>
            <w:hideMark/>
          </w:tcPr>
          <w:p w14:paraId="28C22B99"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8,94</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3C0F4EBF"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21</w:t>
            </w:r>
          </w:p>
        </w:tc>
        <w:tc>
          <w:tcPr>
            <w:tcW w:w="708" w:type="dxa"/>
            <w:tcBorders>
              <w:top w:val="nil"/>
              <w:left w:val="nil"/>
              <w:bottom w:val="single" w:sz="8" w:space="0" w:color="auto"/>
              <w:right w:val="single" w:sz="8" w:space="0" w:color="auto"/>
            </w:tcBorders>
            <w:shd w:val="clear" w:color="auto" w:fill="auto"/>
            <w:noWrap/>
            <w:vAlign w:val="center"/>
            <w:hideMark/>
          </w:tcPr>
          <w:p w14:paraId="324CB7C6"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76,22</w:t>
            </w:r>
          </w:p>
        </w:tc>
      </w:tr>
      <w:tr w:rsidR="00047BE4" w:rsidRPr="00D7652F" w14:paraId="0CE9D682"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734F9BA2"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Neurologie</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50128844"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8 301</w:t>
            </w:r>
          </w:p>
        </w:tc>
        <w:tc>
          <w:tcPr>
            <w:tcW w:w="1134" w:type="dxa"/>
            <w:tcBorders>
              <w:top w:val="nil"/>
              <w:left w:val="nil"/>
              <w:bottom w:val="single" w:sz="8" w:space="0" w:color="auto"/>
              <w:right w:val="nil"/>
            </w:tcBorders>
            <w:shd w:val="clear" w:color="auto" w:fill="auto"/>
            <w:noWrap/>
            <w:vAlign w:val="center"/>
            <w:hideMark/>
          </w:tcPr>
          <w:p w14:paraId="720280A0"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14 836</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650D77D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2 393</w:t>
            </w:r>
          </w:p>
        </w:tc>
        <w:tc>
          <w:tcPr>
            <w:tcW w:w="1124" w:type="dxa"/>
            <w:tcBorders>
              <w:top w:val="nil"/>
              <w:left w:val="nil"/>
              <w:bottom w:val="single" w:sz="8" w:space="0" w:color="auto"/>
              <w:right w:val="nil"/>
            </w:tcBorders>
            <w:shd w:val="clear" w:color="auto" w:fill="auto"/>
            <w:noWrap/>
            <w:vAlign w:val="center"/>
            <w:hideMark/>
          </w:tcPr>
          <w:p w14:paraId="50BBDE9B"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5,6</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5257B62D"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50</w:t>
            </w:r>
          </w:p>
        </w:tc>
        <w:tc>
          <w:tcPr>
            <w:tcW w:w="708" w:type="dxa"/>
            <w:tcBorders>
              <w:top w:val="nil"/>
              <w:left w:val="nil"/>
              <w:bottom w:val="single" w:sz="8" w:space="0" w:color="auto"/>
              <w:right w:val="single" w:sz="8" w:space="0" w:color="auto"/>
            </w:tcBorders>
            <w:shd w:val="clear" w:color="auto" w:fill="auto"/>
            <w:noWrap/>
            <w:vAlign w:val="center"/>
            <w:hideMark/>
          </w:tcPr>
          <w:p w14:paraId="09F4BC56"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77,49</w:t>
            </w:r>
          </w:p>
        </w:tc>
      </w:tr>
      <w:tr w:rsidR="00047BE4" w:rsidRPr="00D7652F" w14:paraId="702CB7D7"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01D6F39A"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Novorozenecké</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2E4BFB2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888</w:t>
            </w:r>
          </w:p>
        </w:tc>
        <w:tc>
          <w:tcPr>
            <w:tcW w:w="1134" w:type="dxa"/>
            <w:tcBorders>
              <w:top w:val="nil"/>
              <w:left w:val="nil"/>
              <w:bottom w:val="single" w:sz="8" w:space="0" w:color="auto"/>
              <w:right w:val="nil"/>
            </w:tcBorders>
            <w:shd w:val="clear" w:color="auto" w:fill="auto"/>
            <w:noWrap/>
            <w:vAlign w:val="center"/>
            <w:hideMark/>
          </w:tcPr>
          <w:p w14:paraId="33EF5825"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1 440</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001564C7"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2 726</w:t>
            </w:r>
          </w:p>
        </w:tc>
        <w:tc>
          <w:tcPr>
            <w:tcW w:w="1124" w:type="dxa"/>
            <w:tcBorders>
              <w:top w:val="nil"/>
              <w:left w:val="nil"/>
              <w:bottom w:val="single" w:sz="8" w:space="0" w:color="auto"/>
              <w:right w:val="nil"/>
            </w:tcBorders>
            <w:shd w:val="clear" w:color="auto" w:fill="auto"/>
            <w:noWrap/>
            <w:vAlign w:val="center"/>
            <w:hideMark/>
          </w:tcPr>
          <w:p w14:paraId="4FC7D7E5"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5,53</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40B24F79"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54</w:t>
            </w:r>
          </w:p>
        </w:tc>
        <w:tc>
          <w:tcPr>
            <w:tcW w:w="708" w:type="dxa"/>
            <w:tcBorders>
              <w:top w:val="nil"/>
              <w:left w:val="nil"/>
              <w:bottom w:val="single" w:sz="8" w:space="0" w:color="auto"/>
              <w:right w:val="single" w:sz="8" w:space="0" w:color="auto"/>
            </w:tcBorders>
            <w:shd w:val="clear" w:color="auto" w:fill="auto"/>
            <w:noWrap/>
            <w:vAlign w:val="center"/>
            <w:hideMark/>
          </w:tcPr>
          <w:p w14:paraId="139FAFEC"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75,02</w:t>
            </w:r>
          </w:p>
        </w:tc>
      </w:tr>
      <w:tr w:rsidR="00047BE4" w:rsidRPr="00D7652F" w14:paraId="7CEB0C52"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7E959B67"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Onkologie</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4C77B8A0"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10 274</w:t>
            </w:r>
          </w:p>
        </w:tc>
        <w:tc>
          <w:tcPr>
            <w:tcW w:w="1134" w:type="dxa"/>
            <w:tcBorders>
              <w:top w:val="nil"/>
              <w:left w:val="nil"/>
              <w:bottom w:val="single" w:sz="8" w:space="0" w:color="auto"/>
              <w:right w:val="nil"/>
            </w:tcBorders>
            <w:shd w:val="clear" w:color="auto" w:fill="auto"/>
            <w:noWrap/>
            <w:vAlign w:val="center"/>
            <w:hideMark/>
          </w:tcPr>
          <w:p w14:paraId="27F2B5DB"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54 762</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25376355"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1 820</w:t>
            </w:r>
          </w:p>
        </w:tc>
        <w:tc>
          <w:tcPr>
            <w:tcW w:w="1124" w:type="dxa"/>
            <w:tcBorders>
              <w:top w:val="nil"/>
              <w:left w:val="nil"/>
              <w:bottom w:val="single" w:sz="8" w:space="0" w:color="auto"/>
              <w:right w:val="nil"/>
            </w:tcBorders>
            <w:shd w:val="clear" w:color="auto" w:fill="auto"/>
            <w:noWrap/>
            <w:vAlign w:val="center"/>
            <w:hideMark/>
          </w:tcPr>
          <w:p w14:paraId="58EA8660"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5,29</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3831EA31"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38</w:t>
            </w:r>
          </w:p>
        </w:tc>
        <w:tc>
          <w:tcPr>
            <w:tcW w:w="708" w:type="dxa"/>
            <w:tcBorders>
              <w:top w:val="nil"/>
              <w:left w:val="nil"/>
              <w:bottom w:val="single" w:sz="8" w:space="0" w:color="auto"/>
              <w:right w:val="single" w:sz="8" w:space="0" w:color="auto"/>
            </w:tcBorders>
            <w:shd w:val="clear" w:color="auto" w:fill="auto"/>
            <w:noWrap/>
            <w:vAlign w:val="center"/>
            <w:hideMark/>
          </w:tcPr>
          <w:p w14:paraId="6DF2210E"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74,39</w:t>
            </w:r>
          </w:p>
        </w:tc>
      </w:tr>
      <w:tr w:rsidR="00047BE4" w:rsidRPr="00D7652F" w14:paraId="7AA9400D"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604497E7"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Plicní</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42846B55"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11 463</w:t>
            </w:r>
          </w:p>
        </w:tc>
        <w:tc>
          <w:tcPr>
            <w:tcW w:w="1134" w:type="dxa"/>
            <w:tcBorders>
              <w:top w:val="nil"/>
              <w:left w:val="nil"/>
              <w:bottom w:val="single" w:sz="8" w:space="0" w:color="auto"/>
              <w:right w:val="nil"/>
            </w:tcBorders>
            <w:shd w:val="clear" w:color="auto" w:fill="auto"/>
            <w:noWrap/>
            <w:vAlign w:val="center"/>
            <w:hideMark/>
          </w:tcPr>
          <w:p w14:paraId="6D1683B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31 336</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13C86D56"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1 992</w:t>
            </w:r>
          </w:p>
        </w:tc>
        <w:tc>
          <w:tcPr>
            <w:tcW w:w="1124" w:type="dxa"/>
            <w:tcBorders>
              <w:top w:val="nil"/>
              <w:left w:val="nil"/>
              <w:bottom w:val="single" w:sz="8" w:space="0" w:color="auto"/>
              <w:right w:val="nil"/>
            </w:tcBorders>
            <w:shd w:val="clear" w:color="auto" w:fill="auto"/>
            <w:noWrap/>
            <w:vAlign w:val="center"/>
            <w:hideMark/>
          </w:tcPr>
          <w:p w14:paraId="0B172BF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5,52</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12FEBDFC"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40</w:t>
            </w:r>
          </w:p>
        </w:tc>
        <w:tc>
          <w:tcPr>
            <w:tcW w:w="708" w:type="dxa"/>
            <w:tcBorders>
              <w:top w:val="nil"/>
              <w:left w:val="nil"/>
              <w:bottom w:val="single" w:sz="8" w:space="0" w:color="auto"/>
              <w:right w:val="single" w:sz="8" w:space="0" w:color="auto"/>
            </w:tcBorders>
            <w:shd w:val="clear" w:color="auto" w:fill="auto"/>
            <w:noWrap/>
            <w:vAlign w:val="center"/>
            <w:hideMark/>
          </w:tcPr>
          <w:p w14:paraId="51CB2DCF"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86,16</w:t>
            </w:r>
          </w:p>
        </w:tc>
      </w:tr>
      <w:tr w:rsidR="00047BE4" w:rsidRPr="00D7652F" w14:paraId="386E8F70"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4A0B3B77"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Radioterapie</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2BF5311A"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1 509</w:t>
            </w:r>
          </w:p>
        </w:tc>
        <w:tc>
          <w:tcPr>
            <w:tcW w:w="1134" w:type="dxa"/>
            <w:tcBorders>
              <w:top w:val="nil"/>
              <w:left w:val="nil"/>
              <w:bottom w:val="single" w:sz="8" w:space="0" w:color="auto"/>
              <w:right w:val="nil"/>
            </w:tcBorders>
            <w:shd w:val="clear" w:color="auto" w:fill="auto"/>
            <w:noWrap/>
            <w:vAlign w:val="center"/>
            <w:hideMark/>
          </w:tcPr>
          <w:p w14:paraId="7869895C"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23 795</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03C7833D"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 </w:t>
            </w:r>
          </w:p>
        </w:tc>
        <w:tc>
          <w:tcPr>
            <w:tcW w:w="1124" w:type="dxa"/>
            <w:tcBorders>
              <w:top w:val="nil"/>
              <w:left w:val="nil"/>
              <w:bottom w:val="single" w:sz="8" w:space="0" w:color="auto"/>
              <w:right w:val="nil"/>
            </w:tcBorders>
            <w:shd w:val="clear" w:color="auto" w:fill="auto"/>
            <w:noWrap/>
            <w:vAlign w:val="center"/>
            <w:hideMark/>
          </w:tcPr>
          <w:p w14:paraId="18027588"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 </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3163A8FD"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 </w:t>
            </w:r>
          </w:p>
        </w:tc>
        <w:tc>
          <w:tcPr>
            <w:tcW w:w="708" w:type="dxa"/>
            <w:tcBorders>
              <w:top w:val="nil"/>
              <w:left w:val="nil"/>
              <w:bottom w:val="single" w:sz="8" w:space="0" w:color="auto"/>
              <w:right w:val="single" w:sz="8" w:space="0" w:color="auto"/>
            </w:tcBorders>
            <w:shd w:val="clear" w:color="auto" w:fill="auto"/>
            <w:noWrap/>
            <w:vAlign w:val="center"/>
            <w:hideMark/>
          </w:tcPr>
          <w:p w14:paraId="5756CFCB"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 </w:t>
            </w:r>
          </w:p>
        </w:tc>
      </w:tr>
      <w:tr w:rsidR="00047BE4" w:rsidRPr="00D7652F" w14:paraId="44B7CA78" w14:textId="77777777" w:rsidTr="00047BE4">
        <w:trPr>
          <w:trHeight w:val="315"/>
        </w:trPr>
        <w:tc>
          <w:tcPr>
            <w:tcW w:w="1985" w:type="dxa"/>
            <w:tcBorders>
              <w:top w:val="nil"/>
              <w:left w:val="single" w:sz="8" w:space="0" w:color="auto"/>
              <w:bottom w:val="single" w:sz="8" w:space="0" w:color="auto"/>
              <w:right w:val="nil"/>
            </w:tcBorders>
            <w:shd w:val="clear" w:color="auto" w:fill="FFFFFF" w:themeFill="background1"/>
            <w:noWrap/>
            <w:vAlign w:val="center"/>
            <w:hideMark/>
          </w:tcPr>
          <w:p w14:paraId="04819CB9" w14:textId="77777777" w:rsidR="00047BE4" w:rsidRPr="00D6624E" w:rsidRDefault="00047BE4" w:rsidP="00047BE4">
            <w:pPr>
              <w:keepNext/>
              <w:keepLines/>
              <w:spacing w:before="0"/>
              <w:jc w:val="left"/>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Rehabilitace</w:t>
            </w:r>
          </w:p>
        </w:tc>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7B66214C"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8 183</w:t>
            </w:r>
          </w:p>
        </w:tc>
        <w:tc>
          <w:tcPr>
            <w:tcW w:w="1134" w:type="dxa"/>
            <w:tcBorders>
              <w:top w:val="nil"/>
              <w:left w:val="nil"/>
              <w:bottom w:val="single" w:sz="8" w:space="0" w:color="auto"/>
              <w:right w:val="nil"/>
            </w:tcBorders>
            <w:shd w:val="clear" w:color="auto" w:fill="auto"/>
            <w:noWrap/>
            <w:vAlign w:val="center"/>
            <w:hideMark/>
          </w:tcPr>
          <w:p w14:paraId="18185460"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37 434</w:t>
            </w:r>
          </w:p>
        </w:tc>
        <w:tc>
          <w:tcPr>
            <w:tcW w:w="1286" w:type="dxa"/>
            <w:tcBorders>
              <w:top w:val="nil"/>
              <w:left w:val="single" w:sz="8" w:space="0" w:color="auto"/>
              <w:bottom w:val="single" w:sz="8" w:space="0" w:color="auto"/>
              <w:right w:val="single" w:sz="8" w:space="0" w:color="auto"/>
            </w:tcBorders>
            <w:shd w:val="clear" w:color="auto" w:fill="auto"/>
            <w:noWrap/>
            <w:vAlign w:val="center"/>
            <w:hideMark/>
          </w:tcPr>
          <w:p w14:paraId="7869B2C6"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699</w:t>
            </w:r>
          </w:p>
        </w:tc>
        <w:tc>
          <w:tcPr>
            <w:tcW w:w="1124" w:type="dxa"/>
            <w:tcBorders>
              <w:top w:val="nil"/>
              <w:left w:val="nil"/>
              <w:bottom w:val="single" w:sz="8" w:space="0" w:color="auto"/>
              <w:right w:val="nil"/>
            </w:tcBorders>
            <w:shd w:val="clear" w:color="auto" w:fill="auto"/>
            <w:noWrap/>
            <w:vAlign w:val="center"/>
            <w:hideMark/>
          </w:tcPr>
          <w:p w14:paraId="09FC5636"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12,51</w:t>
            </w:r>
          </w:p>
        </w:tc>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308407E5"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30</w:t>
            </w:r>
          </w:p>
        </w:tc>
        <w:tc>
          <w:tcPr>
            <w:tcW w:w="708" w:type="dxa"/>
            <w:tcBorders>
              <w:top w:val="nil"/>
              <w:left w:val="nil"/>
              <w:bottom w:val="single" w:sz="8" w:space="0" w:color="auto"/>
              <w:right w:val="single" w:sz="8" w:space="0" w:color="auto"/>
            </w:tcBorders>
            <w:shd w:val="clear" w:color="auto" w:fill="auto"/>
            <w:noWrap/>
            <w:vAlign w:val="center"/>
            <w:hideMark/>
          </w:tcPr>
          <w:p w14:paraId="542FB175" w14:textId="77777777" w:rsidR="00047BE4" w:rsidRPr="00D7652F" w:rsidRDefault="00047BE4" w:rsidP="00047BE4">
            <w:pPr>
              <w:keepNext/>
              <w:keepLines/>
              <w:spacing w:before="0"/>
              <w:jc w:val="right"/>
              <w:rPr>
                <w:rFonts w:ascii="Calibri" w:eastAsia="Times New Roman" w:hAnsi="Calibri" w:cs="Calibri"/>
                <w:color w:val="000000"/>
                <w:sz w:val="18"/>
                <w:szCs w:val="18"/>
                <w:lang w:eastAsia="cs-CZ"/>
              </w:rPr>
            </w:pPr>
            <w:r w:rsidRPr="00D7652F">
              <w:rPr>
                <w:rFonts w:ascii="Calibri" w:eastAsia="Times New Roman" w:hAnsi="Calibri" w:cs="Calibri"/>
                <w:color w:val="000000"/>
                <w:sz w:val="18"/>
                <w:szCs w:val="18"/>
                <w:lang w:eastAsia="cs-CZ"/>
              </w:rPr>
              <w:t>80,32</w:t>
            </w:r>
          </w:p>
        </w:tc>
      </w:tr>
    </w:tbl>
    <w:p w14:paraId="59DF25D3" w14:textId="1337545C" w:rsidR="00047BE4" w:rsidRPr="00AD4975" w:rsidRDefault="00047BE4" w:rsidP="00047BE4">
      <w:pPr>
        <w:pStyle w:val="Zdroj"/>
      </w:pPr>
      <w:r w:rsidRPr="00AD4975">
        <w:t>Zdroj: Krajská nemocnice T.</w:t>
      </w:r>
      <w:r>
        <w:t xml:space="preserve"> Bati ve Zlíně (2019): Výroční zpráva 2019</w:t>
      </w:r>
      <w:r w:rsidR="007C7D7E">
        <w:t>.</w:t>
      </w:r>
    </w:p>
    <w:p w14:paraId="60BAED63" w14:textId="77777777" w:rsidR="00047BE4" w:rsidRDefault="00047BE4" w:rsidP="00047BE4">
      <w:r>
        <w:t>Z přehledu jednotlivých chirurgických oddělení nemocnice patří k nejvytíženějším oddělením urgentní příjem, traumatologie, gynekologicko-porodnické oddělení, chirurgie nebo oční oddělení. Nejvíce hospitalizovaných eviduje oddělení gynekologicko-porodnické a traumatologické. Nejdelší průměrná doba hospitalizace je v případě chirurgického oddělení (5,95 dne), které zároveň provozuje nejvyšší počet lůžek (74).</w:t>
      </w:r>
    </w:p>
    <w:p w14:paraId="7E31D1B8" w14:textId="77777777" w:rsidR="00047BE4" w:rsidRDefault="00047BE4" w:rsidP="00047BE4">
      <w:pPr>
        <w:pStyle w:val="Titulek"/>
        <w:keepNext/>
        <w:keepLines/>
        <w:jc w:val="left"/>
      </w:pPr>
      <w:bookmarkStart w:id="140" w:name="_Toc49439861"/>
    </w:p>
    <w:p w14:paraId="5847691E" w14:textId="604E1A5B" w:rsidR="00047BE4" w:rsidRDefault="00047BE4" w:rsidP="00047BE4">
      <w:pPr>
        <w:pStyle w:val="Titulek"/>
        <w:keepNext/>
      </w:pPr>
      <w:bookmarkStart w:id="141" w:name="_Toc53037880"/>
      <w:bookmarkStart w:id="142" w:name="_Toc7707469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19</w:t>
      </w:r>
      <w:r w:rsidR="00081B47">
        <w:rPr>
          <w:noProof/>
        </w:rPr>
        <w:fldChar w:fldCharType="end"/>
      </w:r>
      <w:r w:rsidR="007C7D7E">
        <w:rPr>
          <w:noProof/>
        </w:rPr>
        <w:t>:</w:t>
      </w:r>
      <w:r>
        <w:t xml:space="preserve"> </w:t>
      </w:r>
      <w:r w:rsidRPr="00467737">
        <w:t xml:space="preserve">Základní ukazatele jednotlivých oddělení chirurgických oborů </w:t>
      </w:r>
      <w:r>
        <w:t>Krajská nemocnice Tomáše Bat</w:t>
      </w:r>
      <w:r w:rsidRPr="00B7481D">
        <w:t>i</w:t>
      </w:r>
      <w:r>
        <w:t xml:space="preserve"> v roce</w:t>
      </w:r>
      <w:r w:rsidRPr="00467737">
        <w:t xml:space="preserve"> 2019</w:t>
      </w:r>
      <w:bookmarkEnd w:id="140"/>
      <w:bookmarkEnd w:id="141"/>
      <w:bookmarkEnd w:id="142"/>
    </w:p>
    <w:tbl>
      <w:tblPr>
        <w:tblW w:w="9062" w:type="dxa"/>
        <w:tblInd w:w="-10" w:type="dxa"/>
        <w:tblCellMar>
          <w:left w:w="70" w:type="dxa"/>
          <w:right w:w="70" w:type="dxa"/>
        </w:tblCellMar>
        <w:tblLook w:val="04A0" w:firstRow="1" w:lastRow="0" w:firstColumn="1" w:lastColumn="0" w:noHBand="0" w:noVBand="1"/>
      </w:tblPr>
      <w:tblGrid>
        <w:gridCol w:w="1403"/>
        <w:gridCol w:w="1871"/>
        <w:gridCol w:w="1372"/>
        <w:gridCol w:w="1665"/>
        <w:gridCol w:w="1202"/>
        <w:gridCol w:w="728"/>
        <w:gridCol w:w="821"/>
      </w:tblGrid>
      <w:tr w:rsidR="00047BE4" w:rsidRPr="00D6624E" w14:paraId="22ACF411" w14:textId="77777777" w:rsidTr="00047BE4">
        <w:trPr>
          <w:trHeight w:val="310"/>
        </w:trPr>
        <w:tc>
          <w:tcPr>
            <w:tcW w:w="1403"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469885AE"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Oddělení</w:t>
            </w:r>
          </w:p>
        </w:tc>
        <w:tc>
          <w:tcPr>
            <w:tcW w:w="4908" w:type="dxa"/>
            <w:gridSpan w:val="3"/>
            <w:tcBorders>
              <w:top w:val="single" w:sz="8" w:space="0" w:color="auto"/>
              <w:left w:val="nil"/>
              <w:bottom w:val="single" w:sz="8" w:space="0" w:color="auto"/>
              <w:right w:val="single" w:sz="8" w:space="0" w:color="000000"/>
            </w:tcBorders>
            <w:shd w:val="clear" w:color="auto" w:fill="F2F2F2" w:themeFill="background1" w:themeFillShade="F2"/>
            <w:noWrap/>
            <w:vAlign w:val="center"/>
            <w:hideMark/>
          </w:tcPr>
          <w:p w14:paraId="644D3F9F"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Počet pacientů</w:t>
            </w:r>
          </w:p>
        </w:tc>
        <w:tc>
          <w:tcPr>
            <w:tcW w:w="1202"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028EA7AF"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Prům. doba hospitalizace v dnech</w:t>
            </w:r>
          </w:p>
        </w:tc>
        <w:tc>
          <w:tcPr>
            <w:tcW w:w="728"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35C38DC9"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Počet lůžek</w:t>
            </w:r>
          </w:p>
        </w:tc>
        <w:tc>
          <w:tcPr>
            <w:tcW w:w="821"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2A232E1E" w14:textId="7592E17A" w:rsidR="00047BE4" w:rsidRPr="00AD4975" w:rsidRDefault="00047BE4" w:rsidP="00131F5C">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V</w:t>
            </w:r>
            <w:r>
              <w:rPr>
                <w:rFonts w:ascii="Calibri" w:eastAsia="Times New Roman" w:hAnsi="Calibri" w:cs="Calibri"/>
                <w:b/>
                <w:color w:val="000000"/>
                <w:sz w:val="18"/>
                <w:szCs w:val="18"/>
                <w:lang w:eastAsia="cs-CZ"/>
              </w:rPr>
              <w:t>y</w:t>
            </w:r>
            <w:r w:rsidRPr="00AD4975">
              <w:rPr>
                <w:rFonts w:ascii="Calibri" w:eastAsia="Times New Roman" w:hAnsi="Calibri" w:cs="Calibri"/>
                <w:b/>
                <w:color w:val="000000"/>
                <w:sz w:val="18"/>
                <w:szCs w:val="18"/>
                <w:lang w:eastAsia="cs-CZ"/>
              </w:rPr>
              <w:t>užití lůžek v</w:t>
            </w:r>
            <w:r w:rsidR="00131F5C">
              <w:rPr>
                <w:rFonts w:ascii="Calibri" w:eastAsia="Times New Roman" w:hAnsi="Calibri" w:cs="Calibri"/>
                <w:b/>
                <w:color w:val="000000"/>
                <w:sz w:val="18"/>
                <w:szCs w:val="18"/>
                <w:lang w:eastAsia="cs-CZ"/>
              </w:rPr>
              <w:t> </w:t>
            </w:r>
            <w:r w:rsidRPr="00AD4975">
              <w:rPr>
                <w:rFonts w:ascii="Calibri" w:eastAsia="Times New Roman" w:hAnsi="Calibri" w:cs="Calibri"/>
                <w:b/>
                <w:color w:val="000000"/>
                <w:sz w:val="18"/>
                <w:szCs w:val="18"/>
                <w:lang w:eastAsia="cs-CZ"/>
              </w:rPr>
              <w:t>%</w:t>
            </w:r>
          </w:p>
        </w:tc>
      </w:tr>
      <w:tr w:rsidR="00047BE4" w:rsidRPr="00AD4975" w14:paraId="5B623D49" w14:textId="77777777" w:rsidTr="00047BE4">
        <w:trPr>
          <w:trHeight w:val="258"/>
        </w:trPr>
        <w:tc>
          <w:tcPr>
            <w:tcW w:w="1403" w:type="dxa"/>
            <w:vMerge/>
            <w:tcBorders>
              <w:top w:val="single" w:sz="8" w:space="0" w:color="auto"/>
              <w:left w:val="single" w:sz="8" w:space="0" w:color="auto"/>
              <w:bottom w:val="single" w:sz="8" w:space="0" w:color="000000"/>
              <w:right w:val="single" w:sz="8" w:space="0" w:color="auto"/>
            </w:tcBorders>
            <w:vAlign w:val="center"/>
            <w:hideMark/>
          </w:tcPr>
          <w:p w14:paraId="601BE85F"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c>
          <w:tcPr>
            <w:tcW w:w="3243" w:type="dxa"/>
            <w:gridSpan w:val="2"/>
            <w:tcBorders>
              <w:top w:val="single" w:sz="8" w:space="0" w:color="auto"/>
              <w:left w:val="nil"/>
              <w:bottom w:val="single" w:sz="8" w:space="0" w:color="auto"/>
              <w:right w:val="single" w:sz="8" w:space="0" w:color="000000"/>
            </w:tcBorders>
            <w:shd w:val="clear" w:color="auto" w:fill="F2F2F2" w:themeFill="background1" w:themeFillShade="F2"/>
            <w:noWrap/>
            <w:vAlign w:val="center"/>
            <w:hideMark/>
          </w:tcPr>
          <w:p w14:paraId="29AE6732"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Ambulantní</w:t>
            </w:r>
          </w:p>
        </w:tc>
        <w:tc>
          <w:tcPr>
            <w:tcW w:w="1665" w:type="dxa"/>
            <w:tcBorders>
              <w:top w:val="nil"/>
              <w:left w:val="nil"/>
              <w:bottom w:val="single" w:sz="8" w:space="0" w:color="auto"/>
              <w:right w:val="single" w:sz="8" w:space="0" w:color="auto"/>
            </w:tcBorders>
            <w:shd w:val="clear" w:color="auto" w:fill="F2F2F2" w:themeFill="background1" w:themeFillShade="F2"/>
            <w:noWrap/>
            <w:vAlign w:val="center"/>
            <w:hideMark/>
          </w:tcPr>
          <w:p w14:paraId="22B9A51C"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D6624E">
              <w:rPr>
                <w:rFonts w:ascii="Calibri" w:eastAsia="Times New Roman" w:hAnsi="Calibri" w:cs="Calibri"/>
                <w:b/>
                <w:color w:val="000000"/>
                <w:sz w:val="18"/>
                <w:szCs w:val="18"/>
                <w:lang w:eastAsia="cs-CZ"/>
              </w:rPr>
              <w:t>Hospitalizovaní</w:t>
            </w:r>
          </w:p>
        </w:tc>
        <w:tc>
          <w:tcPr>
            <w:tcW w:w="1202" w:type="dxa"/>
            <w:vMerge/>
            <w:tcBorders>
              <w:top w:val="single" w:sz="8" w:space="0" w:color="auto"/>
              <w:left w:val="single" w:sz="8" w:space="0" w:color="auto"/>
              <w:bottom w:val="single" w:sz="8" w:space="0" w:color="000000"/>
              <w:right w:val="single" w:sz="8" w:space="0" w:color="auto"/>
            </w:tcBorders>
            <w:vAlign w:val="center"/>
            <w:hideMark/>
          </w:tcPr>
          <w:p w14:paraId="46FFE2A3"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c>
          <w:tcPr>
            <w:tcW w:w="728" w:type="dxa"/>
            <w:vMerge/>
            <w:tcBorders>
              <w:top w:val="single" w:sz="8" w:space="0" w:color="auto"/>
              <w:left w:val="single" w:sz="8" w:space="0" w:color="auto"/>
              <w:bottom w:val="single" w:sz="8" w:space="0" w:color="000000"/>
              <w:right w:val="single" w:sz="8" w:space="0" w:color="auto"/>
            </w:tcBorders>
            <w:vAlign w:val="center"/>
            <w:hideMark/>
          </w:tcPr>
          <w:p w14:paraId="61A65B48"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c>
          <w:tcPr>
            <w:tcW w:w="821" w:type="dxa"/>
            <w:vMerge/>
            <w:tcBorders>
              <w:top w:val="single" w:sz="8" w:space="0" w:color="auto"/>
              <w:left w:val="single" w:sz="8" w:space="0" w:color="auto"/>
              <w:bottom w:val="single" w:sz="8" w:space="0" w:color="000000"/>
              <w:right w:val="single" w:sz="8" w:space="0" w:color="auto"/>
            </w:tcBorders>
            <w:vAlign w:val="center"/>
            <w:hideMark/>
          </w:tcPr>
          <w:p w14:paraId="4608D1B7"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r>
      <w:tr w:rsidR="00047BE4" w:rsidRPr="00AD4975" w14:paraId="1E260800" w14:textId="77777777" w:rsidTr="00047BE4">
        <w:trPr>
          <w:trHeight w:val="280"/>
        </w:trPr>
        <w:tc>
          <w:tcPr>
            <w:tcW w:w="1403" w:type="dxa"/>
            <w:vMerge/>
            <w:tcBorders>
              <w:top w:val="single" w:sz="8" w:space="0" w:color="auto"/>
              <w:left w:val="single" w:sz="8" w:space="0" w:color="auto"/>
              <w:bottom w:val="single" w:sz="8" w:space="0" w:color="000000"/>
              <w:right w:val="single" w:sz="8" w:space="0" w:color="auto"/>
            </w:tcBorders>
            <w:vAlign w:val="center"/>
            <w:hideMark/>
          </w:tcPr>
          <w:p w14:paraId="62D5F142"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c>
          <w:tcPr>
            <w:tcW w:w="1871" w:type="dxa"/>
            <w:tcBorders>
              <w:top w:val="nil"/>
              <w:left w:val="nil"/>
              <w:bottom w:val="single" w:sz="8" w:space="0" w:color="auto"/>
              <w:right w:val="single" w:sz="8" w:space="0" w:color="auto"/>
            </w:tcBorders>
            <w:shd w:val="clear" w:color="auto" w:fill="F2F2F2" w:themeFill="background1" w:themeFillShade="F2"/>
            <w:noWrap/>
            <w:vAlign w:val="center"/>
            <w:hideMark/>
          </w:tcPr>
          <w:p w14:paraId="449565B7"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Pacienti</w:t>
            </w:r>
          </w:p>
        </w:tc>
        <w:tc>
          <w:tcPr>
            <w:tcW w:w="1372" w:type="dxa"/>
            <w:tcBorders>
              <w:top w:val="nil"/>
              <w:left w:val="nil"/>
              <w:bottom w:val="single" w:sz="8" w:space="0" w:color="auto"/>
              <w:right w:val="nil"/>
            </w:tcBorders>
            <w:shd w:val="clear" w:color="auto" w:fill="F2F2F2" w:themeFill="background1" w:themeFillShade="F2"/>
            <w:noWrap/>
            <w:vAlign w:val="center"/>
            <w:hideMark/>
          </w:tcPr>
          <w:p w14:paraId="326BF72C"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Vyšetření</w:t>
            </w:r>
          </w:p>
        </w:tc>
        <w:tc>
          <w:tcPr>
            <w:tcW w:w="1665" w:type="dxa"/>
            <w:tcBorders>
              <w:top w:val="nil"/>
              <w:left w:val="single" w:sz="8" w:space="0" w:color="auto"/>
              <w:bottom w:val="single" w:sz="8" w:space="0" w:color="auto"/>
              <w:right w:val="single" w:sz="8" w:space="0" w:color="auto"/>
            </w:tcBorders>
            <w:shd w:val="clear" w:color="auto" w:fill="F2F2F2" w:themeFill="background1" w:themeFillShade="F2"/>
            <w:noWrap/>
            <w:vAlign w:val="center"/>
            <w:hideMark/>
          </w:tcPr>
          <w:p w14:paraId="72F616B7"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 </w:t>
            </w:r>
          </w:p>
        </w:tc>
        <w:tc>
          <w:tcPr>
            <w:tcW w:w="1202" w:type="dxa"/>
            <w:vMerge/>
            <w:tcBorders>
              <w:top w:val="single" w:sz="8" w:space="0" w:color="auto"/>
              <w:left w:val="single" w:sz="8" w:space="0" w:color="auto"/>
              <w:bottom w:val="single" w:sz="8" w:space="0" w:color="000000"/>
              <w:right w:val="single" w:sz="8" w:space="0" w:color="auto"/>
            </w:tcBorders>
            <w:vAlign w:val="center"/>
            <w:hideMark/>
          </w:tcPr>
          <w:p w14:paraId="65D27279"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c>
          <w:tcPr>
            <w:tcW w:w="728" w:type="dxa"/>
            <w:vMerge/>
            <w:tcBorders>
              <w:top w:val="single" w:sz="8" w:space="0" w:color="auto"/>
              <w:left w:val="single" w:sz="8" w:space="0" w:color="auto"/>
              <w:bottom w:val="single" w:sz="8" w:space="0" w:color="000000"/>
              <w:right w:val="single" w:sz="8" w:space="0" w:color="auto"/>
            </w:tcBorders>
            <w:vAlign w:val="center"/>
            <w:hideMark/>
          </w:tcPr>
          <w:p w14:paraId="557E7FDF"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c>
          <w:tcPr>
            <w:tcW w:w="821" w:type="dxa"/>
            <w:vMerge/>
            <w:tcBorders>
              <w:top w:val="single" w:sz="8" w:space="0" w:color="auto"/>
              <w:left w:val="single" w:sz="8" w:space="0" w:color="auto"/>
              <w:bottom w:val="single" w:sz="8" w:space="0" w:color="000000"/>
              <w:right w:val="single" w:sz="8" w:space="0" w:color="auto"/>
            </w:tcBorders>
            <w:vAlign w:val="center"/>
            <w:hideMark/>
          </w:tcPr>
          <w:p w14:paraId="70FC67C6" w14:textId="77777777" w:rsidR="00047BE4" w:rsidRPr="00AD4975" w:rsidRDefault="00047BE4" w:rsidP="00047BE4">
            <w:pPr>
              <w:keepNext/>
              <w:keepLines/>
              <w:spacing w:before="0"/>
              <w:jc w:val="left"/>
              <w:rPr>
                <w:rFonts w:ascii="Calibri" w:eastAsia="Times New Roman" w:hAnsi="Calibri" w:cs="Calibri"/>
                <w:color w:val="000000"/>
                <w:sz w:val="18"/>
                <w:szCs w:val="18"/>
                <w:lang w:eastAsia="cs-CZ"/>
              </w:rPr>
            </w:pPr>
          </w:p>
        </w:tc>
      </w:tr>
      <w:tr w:rsidR="00047BE4" w:rsidRPr="00AD4975" w14:paraId="305ECFED"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340D9F39"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ARIM I</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09A22288"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2 759</w:t>
            </w:r>
          </w:p>
        </w:tc>
        <w:tc>
          <w:tcPr>
            <w:tcW w:w="1372" w:type="dxa"/>
            <w:tcBorders>
              <w:top w:val="nil"/>
              <w:left w:val="nil"/>
              <w:bottom w:val="single" w:sz="8" w:space="0" w:color="auto"/>
              <w:right w:val="nil"/>
            </w:tcBorders>
            <w:shd w:val="clear" w:color="auto" w:fill="auto"/>
            <w:noWrap/>
            <w:vAlign w:val="center"/>
            <w:hideMark/>
          </w:tcPr>
          <w:p w14:paraId="2C136033"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10 325</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7E5E3F1E"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445</w:t>
            </w:r>
          </w:p>
        </w:tc>
        <w:tc>
          <w:tcPr>
            <w:tcW w:w="1202" w:type="dxa"/>
            <w:tcBorders>
              <w:top w:val="nil"/>
              <w:left w:val="nil"/>
              <w:bottom w:val="single" w:sz="8" w:space="0" w:color="auto"/>
              <w:right w:val="nil"/>
            </w:tcBorders>
            <w:shd w:val="clear" w:color="auto" w:fill="auto"/>
            <w:noWrap/>
            <w:vAlign w:val="center"/>
            <w:hideMark/>
          </w:tcPr>
          <w:p w14:paraId="00A863C1"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5,56</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57078E59"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9</w:t>
            </w:r>
          </w:p>
        </w:tc>
        <w:tc>
          <w:tcPr>
            <w:tcW w:w="821" w:type="dxa"/>
            <w:tcBorders>
              <w:top w:val="nil"/>
              <w:left w:val="nil"/>
              <w:bottom w:val="single" w:sz="8" w:space="0" w:color="auto"/>
              <w:right w:val="single" w:sz="8" w:space="0" w:color="auto"/>
            </w:tcBorders>
            <w:shd w:val="clear" w:color="auto" w:fill="auto"/>
            <w:noWrap/>
            <w:vAlign w:val="center"/>
            <w:hideMark/>
          </w:tcPr>
          <w:p w14:paraId="57ECBEC1"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76,7</w:t>
            </w:r>
          </w:p>
        </w:tc>
      </w:tr>
      <w:tr w:rsidR="00047BE4" w:rsidRPr="00AD4975" w14:paraId="4314E60E"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405B7A75"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ARIM II., III.</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1075BFA9"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 </w:t>
            </w:r>
          </w:p>
        </w:tc>
        <w:tc>
          <w:tcPr>
            <w:tcW w:w="1372" w:type="dxa"/>
            <w:tcBorders>
              <w:top w:val="nil"/>
              <w:left w:val="nil"/>
              <w:bottom w:val="single" w:sz="8" w:space="0" w:color="auto"/>
              <w:right w:val="nil"/>
            </w:tcBorders>
            <w:shd w:val="clear" w:color="auto" w:fill="auto"/>
            <w:noWrap/>
            <w:vAlign w:val="center"/>
            <w:hideMark/>
          </w:tcPr>
          <w:p w14:paraId="1046721E"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 </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79949374"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1756</w:t>
            </w:r>
          </w:p>
        </w:tc>
        <w:tc>
          <w:tcPr>
            <w:tcW w:w="1202" w:type="dxa"/>
            <w:tcBorders>
              <w:top w:val="nil"/>
              <w:left w:val="nil"/>
              <w:bottom w:val="single" w:sz="8" w:space="0" w:color="auto"/>
              <w:right w:val="nil"/>
            </w:tcBorders>
            <w:shd w:val="clear" w:color="auto" w:fill="auto"/>
            <w:noWrap/>
            <w:vAlign w:val="center"/>
            <w:hideMark/>
          </w:tcPr>
          <w:p w14:paraId="53E9CFF0"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3,23</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4BDAFB56"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20</w:t>
            </w:r>
          </w:p>
        </w:tc>
        <w:tc>
          <w:tcPr>
            <w:tcW w:w="821" w:type="dxa"/>
            <w:tcBorders>
              <w:top w:val="nil"/>
              <w:left w:val="nil"/>
              <w:bottom w:val="single" w:sz="8" w:space="0" w:color="auto"/>
              <w:right w:val="single" w:sz="8" w:space="0" w:color="auto"/>
            </w:tcBorders>
            <w:shd w:val="clear" w:color="auto" w:fill="auto"/>
            <w:noWrap/>
            <w:vAlign w:val="center"/>
            <w:hideMark/>
          </w:tcPr>
          <w:p w14:paraId="2AE8E138"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80,32</w:t>
            </w:r>
          </w:p>
        </w:tc>
      </w:tr>
      <w:tr w:rsidR="00047BE4" w:rsidRPr="00AD4975" w14:paraId="002E4200" w14:textId="77777777" w:rsidTr="00047BE4">
        <w:trPr>
          <w:trHeight w:val="495"/>
        </w:trPr>
        <w:tc>
          <w:tcPr>
            <w:tcW w:w="1403" w:type="dxa"/>
            <w:tcBorders>
              <w:top w:val="nil"/>
              <w:left w:val="single" w:sz="8" w:space="0" w:color="auto"/>
              <w:bottom w:val="single" w:sz="8" w:space="0" w:color="auto"/>
              <w:right w:val="nil"/>
            </w:tcBorders>
            <w:shd w:val="clear" w:color="auto" w:fill="FFFFFF" w:themeFill="background1"/>
            <w:vAlign w:val="center"/>
            <w:hideMark/>
          </w:tcPr>
          <w:p w14:paraId="13CA7038"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Gynekologicko-porodnické</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583FD29C"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11 750</w:t>
            </w:r>
          </w:p>
        </w:tc>
        <w:tc>
          <w:tcPr>
            <w:tcW w:w="1372" w:type="dxa"/>
            <w:tcBorders>
              <w:top w:val="nil"/>
              <w:left w:val="nil"/>
              <w:bottom w:val="single" w:sz="8" w:space="0" w:color="auto"/>
              <w:right w:val="nil"/>
            </w:tcBorders>
            <w:shd w:val="clear" w:color="auto" w:fill="auto"/>
            <w:noWrap/>
            <w:vAlign w:val="center"/>
            <w:hideMark/>
          </w:tcPr>
          <w:p w14:paraId="237F8257"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27 890</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6DB80B02"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4 325</w:t>
            </w:r>
          </w:p>
        </w:tc>
        <w:tc>
          <w:tcPr>
            <w:tcW w:w="1202" w:type="dxa"/>
            <w:tcBorders>
              <w:top w:val="nil"/>
              <w:left w:val="nil"/>
              <w:bottom w:val="single" w:sz="8" w:space="0" w:color="auto"/>
              <w:right w:val="nil"/>
            </w:tcBorders>
            <w:shd w:val="clear" w:color="auto" w:fill="auto"/>
            <w:noWrap/>
            <w:vAlign w:val="center"/>
            <w:hideMark/>
          </w:tcPr>
          <w:p w14:paraId="488B4FE6"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3,59</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23851448"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63</w:t>
            </w:r>
          </w:p>
        </w:tc>
        <w:tc>
          <w:tcPr>
            <w:tcW w:w="821" w:type="dxa"/>
            <w:tcBorders>
              <w:top w:val="nil"/>
              <w:left w:val="nil"/>
              <w:bottom w:val="single" w:sz="8" w:space="0" w:color="auto"/>
              <w:right w:val="single" w:sz="8" w:space="0" w:color="auto"/>
            </w:tcBorders>
            <w:shd w:val="clear" w:color="auto" w:fill="auto"/>
            <w:noWrap/>
            <w:vAlign w:val="center"/>
            <w:hideMark/>
          </w:tcPr>
          <w:p w14:paraId="4367CCF2"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69,92</w:t>
            </w:r>
          </w:p>
        </w:tc>
      </w:tr>
      <w:tr w:rsidR="00047BE4" w:rsidRPr="00AD4975" w14:paraId="7807A16B"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09A6A490"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Pr>
                <w:rFonts w:ascii="Calibri" w:eastAsia="Times New Roman" w:hAnsi="Calibri" w:cs="Calibri"/>
                <w:b/>
                <w:color w:val="000000"/>
                <w:sz w:val="18"/>
                <w:szCs w:val="18"/>
                <w:lang w:eastAsia="cs-CZ"/>
              </w:rPr>
              <w:t>Chirurgie</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5903E262"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12 276</w:t>
            </w:r>
          </w:p>
        </w:tc>
        <w:tc>
          <w:tcPr>
            <w:tcW w:w="1372" w:type="dxa"/>
            <w:tcBorders>
              <w:top w:val="nil"/>
              <w:left w:val="nil"/>
              <w:bottom w:val="single" w:sz="8" w:space="0" w:color="auto"/>
              <w:right w:val="nil"/>
            </w:tcBorders>
            <w:shd w:val="clear" w:color="auto" w:fill="auto"/>
            <w:noWrap/>
            <w:vAlign w:val="center"/>
            <w:hideMark/>
          </w:tcPr>
          <w:p w14:paraId="0510A90E"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23 635</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6B323202"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2 800</w:t>
            </w:r>
          </w:p>
        </w:tc>
        <w:tc>
          <w:tcPr>
            <w:tcW w:w="1202" w:type="dxa"/>
            <w:tcBorders>
              <w:top w:val="nil"/>
              <w:left w:val="nil"/>
              <w:bottom w:val="single" w:sz="8" w:space="0" w:color="auto"/>
              <w:right w:val="nil"/>
            </w:tcBorders>
            <w:shd w:val="clear" w:color="auto" w:fill="auto"/>
            <w:noWrap/>
            <w:vAlign w:val="center"/>
            <w:hideMark/>
          </w:tcPr>
          <w:p w14:paraId="7FB57234"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5,95</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6EEB4247"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74</w:t>
            </w:r>
          </w:p>
        </w:tc>
        <w:tc>
          <w:tcPr>
            <w:tcW w:w="821" w:type="dxa"/>
            <w:tcBorders>
              <w:top w:val="nil"/>
              <w:left w:val="nil"/>
              <w:bottom w:val="single" w:sz="8" w:space="0" w:color="auto"/>
              <w:right w:val="single" w:sz="8" w:space="0" w:color="auto"/>
            </w:tcBorders>
            <w:shd w:val="clear" w:color="auto" w:fill="auto"/>
            <w:noWrap/>
            <w:vAlign w:val="center"/>
            <w:hideMark/>
          </w:tcPr>
          <w:p w14:paraId="525A94B4"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75,42</w:t>
            </w:r>
          </w:p>
        </w:tc>
      </w:tr>
      <w:tr w:rsidR="00047BE4" w:rsidRPr="00AD4975" w14:paraId="72713D57"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57C87284"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Neurochirurgie</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3FDE1A7A"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4 132</w:t>
            </w:r>
          </w:p>
        </w:tc>
        <w:tc>
          <w:tcPr>
            <w:tcW w:w="1372" w:type="dxa"/>
            <w:tcBorders>
              <w:top w:val="nil"/>
              <w:left w:val="nil"/>
              <w:bottom w:val="single" w:sz="8" w:space="0" w:color="auto"/>
              <w:right w:val="nil"/>
            </w:tcBorders>
            <w:shd w:val="clear" w:color="auto" w:fill="auto"/>
            <w:noWrap/>
            <w:vAlign w:val="center"/>
            <w:hideMark/>
          </w:tcPr>
          <w:p w14:paraId="46AAA312"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8 161</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1B3EC0D5"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939</w:t>
            </w:r>
          </w:p>
        </w:tc>
        <w:tc>
          <w:tcPr>
            <w:tcW w:w="1202" w:type="dxa"/>
            <w:tcBorders>
              <w:top w:val="nil"/>
              <w:left w:val="nil"/>
              <w:bottom w:val="single" w:sz="8" w:space="0" w:color="auto"/>
              <w:right w:val="nil"/>
            </w:tcBorders>
            <w:shd w:val="clear" w:color="auto" w:fill="auto"/>
            <w:noWrap/>
            <w:vAlign w:val="center"/>
            <w:hideMark/>
          </w:tcPr>
          <w:p w14:paraId="5178764E"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4,16</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155F80C1"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13</w:t>
            </w:r>
          </w:p>
        </w:tc>
        <w:tc>
          <w:tcPr>
            <w:tcW w:w="821" w:type="dxa"/>
            <w:tcBorders>
              <w:top w:val="nil"/>
              <w:left w:val="nil"/>
              <w:bottom w:val="single" w:sz="8" w:space="0" w:color="auto"/>
              <w:right w:val="single" w:sz="8" w:space="0" w:color="auto"/>
            </w:tcBorders>
            <w:shd w:val="clear" w:color="auto" w:fill="auto"/>
            <w:noWrap/>
            <w:vAlign w:val="center"/>
            <w:hideMark/>
          </w:tcPr>
          <w:p w14:paraId="0BDB2D9B"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87,69</w:t>
            </w:r>
          </w:p>
        </w:tc>
      </w:tr>
      <w:tr w:rsidR="00047BE4" w:rsidRPr="00AD4975" w14:paraId="26D952FA"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7D4B2EFC"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Oční</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48566777"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12 197</w:t>
            </w:r>
          </w:p>
        </w:tc>
        <w:tc>
          <w:tcPr>
            <w:tcW w:w="1372" w:type="dxa"/>
            <w:tcBorders>
              <w:top w:val="nil"/>
              <w:left w:val="nil"/>
              <w:bottom w:val="single" w:sz="8" w:space="0" w:color="auto"/>
              <w:right w:val="nil"/>
            </w:tcBorders>
            <w:shd w:val="clear" w:color="auto" w:fill="auto"/>
            <w:noWrap/>
            <w:vAlign w:val="center"/>
            <w:hideMark/>
          </w:tcPr>
          <w:p w14:paraId="35CC2C0E"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26 226</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74C2D72B"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528</w:t>
            </w:r>
          </w:p>
        </w:tc>
        <w:tc>
          <w:tcPr>
            <w:tcW w:w="1202" w:type="dxa"/>
            <w:tcBorders>
              <w:top w:val="nil"/>
              <w:left w:val="nil"/>
              <w:bottom w:val="single" w:sz="8" w:space="0" w:color="auto"/>
              <w:right w:val="nil"/>
            </w:tcBorders>
            <w:shd w:val="clear" w:color="auto" w:fill="auto"/>
            <w:noWrap/>
            <w:vAlign w:val="center"/>
            <w:hideMark/>
          </w:tcPr>
          <w:p w14:paraId="71C594C3"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3,28</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43E8FEB1"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6</w:t>
            </w:r>
          </w:p>
        </w:tc>
        <w:tc>
          <w:tcPr>
            <w:tcW w:w="821" w:type="dxa"/>
            <w:tcBorders>
              <w:top w:val="nil"/>
              <w:left w:val="nil"/>
              <w:bottom w:val="single" w:sz="8" w:space="0" w:color="auto"/>
              <w:right w:val="single" w:sz="8" w:space="0" w:color="auto"/>
            </w:tcBorders>
            <w:shd w:val="clear" w:color="auto" w:fill="auto"/>
            <w:noWrap/>
            <w:vAlign w:val="center"/>
            <w:hideMark/>
          </w:tcPr>
          <w:p w14:paraId="5C7F9DE5"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82,62</w:t>
            </w:r>
          </w:p>
        </w:tc>
      </w:tr>
      <w:tr w:rsidR="00047BE4" w:rsidRPr="00AD4975" w14:paraId="0DFE7DDA"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7A51132A"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ORL</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13592401"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9 992</w:t>
            </w:r>
          </w:p>
        </w:tc>
        <w:tc>
          <w:tcPr>
            <w:tcW w:w="1372" w:type="dxa"/>
            <w:tcBorders>
              <w:top w:val="nil"/>
              <w:left w:val="nil"/>
              <w:bottom w:val="single" w:sz="8" w:space="0" w:color="auto"/>
              <w:right w:val="nil"/>
            </w:tcBorders>
            <w:shd w:val="clear" w:color="auto" w:fill="auto"/>
            <w:noWrap/>
            <w:vAlign w:val="center"/>
            <w:hideMark/>
          </w:tcPr>
          <w:p w14:paraId="5DC6E3A6"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15 792</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3218345E"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933</w:t>
            </w:r>
          </w:p>
        </w:tc>
        <w:tc>
          <w:tcPr>
            <w:tcW w:w="1202" w:type="dxa"/>
            <w:tcBorders>
              <w:top w:val="nil"/>
              <w:left w:val="nil"/>
              <w:bottom w:val="single" w:sz="8" w:space="0" w:color="auto"/>
              <w:right w:val="nil"/>
            </w:tcBorders>
            <w:shd w:val="clear" w:color="auto" w:fill="auto"/>
            <w:noWrap/>
            <w:vAlign w:val="center"/>
            <w:hideMark/>
          </w:tcPr>
          <w:p w14:paraId="659DC48D"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4,62</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708A3D38"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16</w:t>
            </w:r>
          </w:p>
        </w:tc>
        <w:tc>
          <w:tcPr>
            <w:tcW w:w="821" w:type="dxa"/>
            <w:tcBorders>
              <w:top w:val="nil"/>
              <w:left w:val="nil"/>
              <w:bottom w:val="single" w:sz="8" w:space="0" w:color="auto"/>
              <w:right w:val="single" w:sz="8" w:space="0" w:color="auto"/>
            </w:tcBorders>
            <w:shd w:val="clear" w:color="auto" w:fill="auto"/>
            <w:noWrap/>
            <w:vAlign w:val="center"/>
            <w:hideMark/>
          </w:tcPr>
          <w:p w14:paraId="025B920C"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74,18</w:t>
            </w:r>
          </w:p>
        </w:tc>
      </w:tr>
      <w:tr w:rsidR="00047BE4" w:rsidRPr="00AD4975" w14:paraId="34A4D3C7"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772EBD1B"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Ortopedie</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5719AC65"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7 534</w:t>
            </w:r>
          </w:p>
        </w:tc>
        <w:tc>
          <w:tcPr>
            <w:tcW w:w="1372" w:type="dxa"/>
            <w:tcBorders>
              <w:top w:val="nil"/>
              <w:left w:val="nil"/>
              <w:bottom w:val="single" w:sz="8" w:space="0" w:color="auto"/>
              <w:right w:val="nil"/>
            </w:tcBorders>
            <w:shd w:val="clear" w:color="auto" w:fill="auto"/>
            <w:noWrap/>
            <w:vAlign w:val="center"/>
            <w:hideMark/>
          </w:tcPr>
          <w:p w14:paraId="0EF774A3"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13 538</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464251CE"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1 346</w:t>
            </w:r>
          </w:p>
        </w:tc>
        <w:tc>
          <w:tcPr>
            <w:tcW w:w="1202" w:type="dxa"/>
            <w:tcBorders>
              <w:top w:val="nil"/>
              <w:left w:val="nil"/>
              <w:bottom w:val="single" w:sz="8" w:space="0" w:color="auto"/>
              <w:right w:val="nil"/>
            </w:tcBorders>
            <w:shd w:val="clear" w:color="auto" w:fill="auto"/>
            <w:noWrap/>
            <w:vAlign w:val="center"/>
            <w:hideMark/>
          </w:tcPr>
          <w:p w14:paraId="79491556"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5,62</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03C48BB7"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35</w:t>
            </w:r>
          </w:p>
        </w:tc>
        <w:tc>
          <w:tcPr>
            <w:tcW w:w="821" w:type="dxa"/>
            <w:tcBorders>
              <w:top w:val="nil"/>
              <w:left w:val="nil"/>
              <w:bottom w:val="single" w:sz="8" w:space="0" w:color="auto"/>
              <w:right w:val="single" w:sz="8" w:space="0" w:color="auto"/>
            </w:tcBorders>
            <w:shd w:val="clear" w:color="auto" w:fill="auto"/>
            <w:noWrap/>
            <w:vAlign w:val="center"/>
            <w:hideMark/>
          </w:tcPr>
          <w:p w14:paraId="2630AE8B"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63,61</w:t>
            </w:r>
          </w:p>
        </w:tc>
      </w:tr>
      <w:tr w:rsidR="00047BE4" w:rsidRPr="00AD4975" w14:paraId="5C60F714" w14:textId="77777777" w:rsidTr="00047BE4">
        <w:trPr>
          <w:trHeight w:val="495"/>
        </w:trPr>
        <w:tc>
          <w:tcPr>
            <w:tcW w:w="1403" w:type="dxa"/>
            <w:tcBorders>
              <w:top w:val="nil"/>
              <w:left w:val="single" w:sz="8" w:space="0" w:color="auto"/>
              <w:bottom w:val="single" w:sz="8" w:space="0" w:color="auto"/>
              <w:right w:val="nil"/>
            </w:tcBorders>
            <w:shd w:val="clear" w:color="auto" w:fill="FFFFFF" w:themeFill="background1"/>
            <w:vAlign w:val="center"/>
            <w:hideMark/>
          </w:tcPr>
          <w:p w14:paraId="325D457F" w14:textId="77777777" w:rsidR="00047BE4" w:rsidRPr="00AD4975" w:rsidRDefault="00047BE4" w:rsidP="00047BE4">
            <w:pPr>
              <w:keepNext/>
              <w:keepLines/>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Traumatologie a COS</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3F3FE890"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25 618</w:t>
            </w:r>
          </w:p>
        </w:tc>
        <w:tc>
          <w:tcPr>
            <w:tcW w:w="1372" w:type="dxa"/>
            <w:tcBorders>
              <w:top w:val="nil"/>
              <w:left w:val="nil"/>
              <w:bottom w:val="single" w:sz="8" w:space="0" w:color="auto"/>
              <w:right w:val="nil"/>
            </w:tcBorders>
            <w:shd w:val="clear" w:color="auto" w:fill="auto"/>
            <w:noWrap/>
            <w:vAlign w:val="center"/>
            <w:hideMark/>
          </w:tcPr>
          <w:p w14:paraId="11C9A479"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38 511</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7FB7665B"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2 180</w:t>
            </w:r>
          </w:p>
        </w:tc>
        <w:tc>
          <w:tcPr>
            <w:tcW w:w="1202" w:type="dxa"/>
            <w:tcBorders>
              <w:top w:val="nil"/>
              <w:left w:val="nil"/>
              <w:bottom w:val="single" w:sz="8" w:space="0" w:color="auto"/>
              <w:right w:val="nil"/>
            </w:tcBorders>
            <w:shd w:val="clear" w:color="auto" w:fill="auto"/>
            <w:noWrap/>
            <w:vAlign w:val="center"/>
            <w:hideMark/>
          </w:tcPr>
          <w:p w14:paraId="39DEBE4D"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3,6</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31375296"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34</w:t>
            </w:r>
          </w:p>
        </w:tc>
        <w:tc>
          <w:tcPr>
            <w:tcW w:w="821" w:type="dxa"/>
            <w:tcBorders>
              <w:top w:val="nil"/>
              <w:left w:val="nil"/>
              <w:bottom w:val="single" w:sz="8" w:space="0" w:color="auto"/>
              <w:right w:val="single" w:sz="8" w:space="0" w:color="auto"/>
            </w:tcBorders>
            <w:shd w:val="clear" w:color="auto" w:fill="auto"/>
            <w:noWrap/>
            <w:vAlign w:val="center"/>
            <w:hideMark/>
          </w:tcPr>
          <w:p w14:paraId="32680A54" w14:textId="77777777" w:rsidR="00047BE4" w:rsidRPr="00AD4975" w:rsidRDefault="00047BE4" w:rsidP="00047BE4">
            <w:pPr>
              <w:keepNext/>
              <w:keepLines/>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71,83</w:t>
            </w:r>
          </w:p>
        </w:tc>
      </w:tr>
      <w:tr w:rsidR="00047BE4" w:rsidRPr="00AD4975" w14:paraId="3120593F"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0EF3ADCF" w14:textId="77777777" w:rsidR="00047BE4" w:rsidRPr="00AD4975" w:rsidRDefault="00047BE4" w:rsidP="00047BE4">
            <w:pPr>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ÚČOCH</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355F951F"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5 717</w:t>
            </w:r>
          </w:p>
        </w:tc>
        <w:tc>
          <w:tcPr>
            <w:tcW w:w="1372" w:type="dxa"/>
            <w:tcBorders>
              <w:top w:val="nil"/>
              <w:left w:val="nil"/>
              <w:bottom w:val="single" w:sz="8" w:space="0" w:color="auto"/>
              <w:right w:val="nil"/>
            </w:tcBorders>
            <w:shd w:val="clear" w:color="auto" w:fill="auto"/>
            <w:noWrap/>
            <w:vAlign w:val="center"/>
            <w:hideMark/>
          </w:tcPr>
          <w:p w14:paraId="2EE8A592"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9 283</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2E24ADAE"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507</w:t>
            </w:r>
          </w:p>
        </w:tc>
        <w:tc>
          <w:tcPr>
            <w:tcW w:w="1202" w:type="dxa"/>
            <w:tcBorders>
              <w:top w:val="nil"/>
              <w:left w:val="nil"/>
              <w:bottom w:val="single" w:sz="8" w:space="0" w:color="auto"/>
              <w:right w:val="nil"/>
            </w:tcBorders>
            <w:shd w:val="clear" w:color="auto" w:fill="auto"/>
            <w:noWrap/>
            <w:vAlign w:val="center"/>
            <w:hideMark/>
          </w:tcPr>
          <w:p w14:paraId="5027A54E"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3,72</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1BFD8AEA"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8</w:t>
            </w:r>
          </w:p>
        </w:tc>
        <w:tc>
          <w:tcPr>
            <w:tcW w:w="821" w:type="dxa"/>
            <w:tcBorders>
              <w:top w:val="nil"/>
              <w:left w:val="nil"/>
              <w:bottom w:val="single" w:sz="8" w:space="0" w:color="auto"/>
              <w:right w:val="single" w:sz="8" w:space="0" w:color="auto"/>
            </w:tcBorders>
            <w:shd w:val="clear" w:color="auto" w:fill="auto"/>
            <w:noWrap/>
            <w:vAlign w:val="center"/>
            <w:hideMark/>
          </w:tcPr>
          <w:p w14:paraId="68C6E3DC"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65,17</w:t>
            </w:r>
          </w:p>
        </w:tc>
      </w:tr>
      <w:tr w:rsidR="00047BE4" w:rsidRPr="00AD4975" w14:paraId="6CA9DAC9"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410C960F" w14:textId="77777777" w:rsidR="00047BE4" w:rsidRPr="00AD4975" w:rsidRDefault="00047BE4" w:rsidP="00047BE4">
            <w:pPr>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Urologie</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1AE5A4EE"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10 181</w:t>
            </w:r>
          </w:p>
        </w:tc>
        <w:tc>
          <w:tcPr>
            <w:tcW w:w="1372" w:type="dxa"/>
            <w:tcBorders>
              <w:top w:val="nil"/>
              <w:left w:val="nil"/>
              <w:bottom w:val="single" w:sz="8" w:space="0" w:color="auto"/>
              <w:right w:val="nil"/>
            </w:tcBorders>
            <w:shd w:val="clear" w:color="auto" w:fill="auto"/>
            <w:noWrap/>
            <w:vAlign w:val="center"/>
            <w:hideMark/>
          </w:tcPr>
          <w:p w14:paraId="76F4EC04"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24 880</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2D0F4014"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1 743</w:t>
            </w:r>
          </w:p>
        </w:tc>
        <w:tc>
          <w:tcPr>
            <w:tcW w:w="1202" w:type="dxa"/>
            <w:tcBorders>
              <w:top w:val="nil"/>
              <w:left w:val="nil"/>
              <w:bottom w:val="single" w:sz="8" w:space="0" w:color="auto"/>
              <w:right w:val="nil"/>
            </w:tcBorders>
            <w:shd w:val="clear" w:color="auto" w:fill="auto"/>
            <w:noWrap/>
            <w:vAlign w:val="center"/>
            <w:hideMark/>
          </w:tcPr>
          <w:p w14:paraId="3D1A0506"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4,57</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2A3F9524"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30</w:t>
            </w:r>
          </w:p>
        </w:tc>
        <w:tc>
          <w:tcPr>
            <w:tcW w:w="821" w:type="dxa"/>
            <w:tcBorders>
              <w:top w:val="nil"/>
              <w:left w:val="nil"/>
              <w:bottom w:val="single" w:sz="8" w:space="0" w:color="auto"/>
              <w:right w:val="single" w:sz="8" w:space="0" w:color="auto"/>
            </w:tcBorders>
            <w:shd w:val="clear" w:color="auto" w:fill="auto"/>
            <w:noWrap/>
            <w:vAlign w:val="center"/>
            <w:hideMark/>
          </w:tcPr>
          <w:p w14:paraId="64495760"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75,64</w:t>
            </w:r>
          </w:p>
        </w:tc>
      </w:tr>
      <w:tr w:rsidR="00047BE4" w:rsidRPr="00AD4975" w14:paraId="1C726462" w14:textId="77777777" w:rsidTr="00047BE4">
        <w:trPr>
          <w:trHeight w:val="315"/>
        </w:trPr>
        <w:tc>
          <w:tcPr>
            <w:tcW w:w="1403" w:type="dxa"/>
            <w:tcBorders>
              <w:top w:val="nil"/>
              <w:left w:val="single" w:sz="8" w:space="0" w:color="auto"/>
              <w:bottom w:val="single" w:sz="8" w:space="0" w:color="auto"/>
              <w:right w:val="nil"/>
            </w:tcBorders>
            <w:shd w:val="clear" w:color="auto" w:fill="FFFFFF" w:themeFill="background1"/>
            <w:noWrap/>
            <w:vAlign w:val="center"/>
            <w:hideMark/>
          </w:tcPr>
          <w:p w14:paraId="4B3B33D9" w14:textId="77777777" w:rsidR="00047BE4" w:rsidRPr="00AD4975" w:rsidRDefault="00047BE4" w:rsidP="00047BE4">
            <w:pPr>
              <w:spacing w:before="0"/>
              <w:jc w:val="center"/>
              <w:rPr>
                <w:rFonts w:ascii="Calibri" w:eastAsia="Times New Roman" w:hAnsi="Calibri" w:cs="Calibri"/>
                <w:b/>
                <w:color w:val="000000"/>
                <w:sz w:val="18"/>
                <w:szCs w:val="18"/>
                <w:lang w:eastAsia="cs-CZ"/>
              </w:rPr>
            </w:pPr>
            <w:r w:rsidRPr="00AD4975">
              <w:rPr>
                <w:rFonts w:ascii="Calibri" w:eastAsia="Times New Roman" w:hAnsi="Calibri" w:cs="Calibri"/>
                <w:b/>
                <w:color w:val="000000"/>
                <w:sz w:val="18"/>
                <w:szCs w:val="18"/>
                <w:lang w:eastAsia="cs-CZ"/>
              </w:rPr>
              <w:t>Urgentní příjem</w:t>
            </w:r>
          </w:p>
        </w:tc>
        <w:tc>
          <w:tcPr>
            <w:tcW w:w="1871" w:type="dxa"/>
            <w:tcBorders>
              <w:top w:val="nil"/>
              <w:left w:val="single" w:sz="8" w:space="0" w:color="auto"/>
              <w:bottom w:val="single" w:sz="8" w:space="0" w:color="auto"/>
              <w:right w:val="single" w:sz="8" w:space="0" w:color="auto"/>
            </w:tcBorders>
            <w:shd w:val="clear" w:color="auto" w:fill="auto"/>
            <w:noWrap/>
            <w:vAlign w:val="center"/>
            <w:hideMark/>
          </w:tcPr>
          <w:p w14:paraId="3940FC26"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31 198</w:t>
            </w:r>
          </w:p>
        </w:tc>
        <w:tc>
          <w:tcPr>
            <w:tcW w:w="1372" w:type="dxa"/>
            <w:tcBorders>
              <w:top w:val="nil"/>
              <w:left w:val="nil"/>
              <w:bottom w:val="single" w:sz="8" w:space="0" w:color="auto"/>
              <w:right w:val="nil"/>
            </w:tcBorders>
            <w:shd w:val="clear" w:color="auto" w:fill="auto"/>
            <w:noWrap/>
            <w:vAlign w:val="center"/>
            <w:hideMark/>
          </w:tcPr>
          <w:p w14:paraId="0D16225D"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53 339</w:t>
            </w:r>
          </w:p>
        </w:tc>
        <w:tc>
          <w:tcPr>
            <w:tcW w:w="1665" w:type="dxa"/>
            <w:tcBorders>
              <w:top w:val="nil"/>
              <w:left w:val="single" w:sz="8" w:space="0" w:color="auto"/>
              <w:bottom w:val="single" w:sz="8" w:space="0" w:color="auto"/>
              <w:right w:val="single" w:sz="8" w:space="0" w:color="auto"/>
            </w:tcBorders>
            <w:shd w:val="clear" w:color="auto" w:fill="auto"/>
            <w:noWrap/>
            <w:vAlign w:val="center"/>
            <w:hideMark/>
          </w:tcPr>
          <w:p w14:paraId="2530F41F"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 </w:t>
            </w:r>
          </w:p>
        </w:tc>
        <w:tc>
          <w:tcPr>
            <w:tcW w:w="1202" w:type="dxa"/>
            <w:tcBorders>
              <w:top w:val="nil"/>
              <w:left w:val="nil"/>
              <w:bottom w:val="single" w:sz="8" w:space="0" w:color="auto"/>
              <w:right w:val="nil"/>
            </w:tcBorders>
            <w:shd w:val="clear" w:color="auto" w:fill="auto"/>
            <w:noWrap/>
            <w:vAlign w:val="center"/>
            <w:hideMark/>
          </w:tcPr>
          <w:p w14:paraId="621214CA"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 </w:t>
            </w:r>
          </w:p>
        </w:tc>
        <w:tc>
          <w:tcPr>
            <w:tcW w:w="728" w:type="dxa"/>
            <w:tcBorders>
              <w:top w:val="nil"/>
              <w:left w:val="single" w:sz="8" w:space="0" w:color="auto"/>
              <w:bottom w:val="single" w:sz="8" w:space="0" w:color="auto"/>
              <w:right w:val="single" w:sz="8" w:space="0" w:color="auto"/>
            </w:tcBorders>
            <w:shd w:val="clear" w:color="auto" w:fill="auto"/>
            <w:noWrap/>
            <w:vAlign w:val="center"/>
            <w:hideMark/>
          </w:tcPr>
          <w:p w14:paraId="6AB466D1"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 </w:t>
            </w:r>
          </w:p>
        </w:tc>
        <w:tc>
          <w:tcPr>
            <w:tcW w:w="821" w:type="dxa"/>
            <w:tcBorders>
              <w:top w:val="nil"/>
              <w:left w:val="nil"/>
              <w:bottom w:val="single" w:sz="8" w:space="0" w:color="auto"/>
              <w:right w:val="single" w:sz="8" w:space="0" w:color="auto"/>
            </w:tcBorders>
            <w:shd w:val="clear" w:color="auto" w:fill="auto"/>
            <w:noWrap/>
            <w:vAlign w:val="center"/>
            <w:hideMark/>
          </w:tcPr>
          <w:p w14:paraId="25D94D2C" w14:textId="77777777" w:rsidR="00047BE4" w:rsidRPr="00AD4975" w:rsidRDefault="00047BE4" w:rsidP="00047BE4">
            <w:pPr>
              <w:spacing w:before="0"/>
              <w:jc w:val="center"/>
              <w:rPr>
                <w:rFonts w:ascii="Calibri" w:eastAsia="Times New Roman" w:hAnsi="Calibri" w:cs="Calibri"/>
                <w:color w:val="000000"/>
                <w:sz w:val="18"/>
                <w:szCs w:val="18"/>
                <w:lang w:eastAsia="cs-CZ"/>
              </w:rPr>
            </w:pPr>
            <w:r w:rsidRPr="00AD4975">
              <w:rPr>
                <w:rFonts w:ascii="Calibri" w:eastAsia="Times New Roman" w:hAnsi="Calibri" w:cs="Calibri"/>
                <w:color w:val="000000"/>
                <w:sz w:val="18"/>
                <w:szCs w:val="18"/>
                <w:lang w:eastAsia="cs-CZ"/>
              </w:rPr>
              <w:t> </w:t>
            </w:r>
          </w:p>
        </w:tc>
      </w:tr>
    </w:tbl>
    <w:p w14:paraId="6B81BD72" w14:textId="1EE106F3" w:rsidR="00047BE4" w:rsidRDefault="00047BE4" w:rsidP="00047BE4">
      <w:pPr>
        <w:pStyle w:val="Zdroj"/>
      </w:pPr>
      <w:r w:rsidRPr="00AD4975">
        <w:t>Zdroj: Krajská nemocnice T.</w:t>
      </w:r>
      <w:r>
        <w:t xml:space="preserve"> Bati ve Zlíně (2019): Výroční zpráva 2019</w:t>
      </w:r>
      <w:r w:rsidR="00131F5C">
        <w:t>.</w:t>
      </w:r>
    </w:p>
    <w:p w14:paraId="6B4DA0F1" w14:textId="2D8BCEDA" w:rsidR="00047BE4" w:rsidRDefault="00047BE4" w:rsidP="00047BE4">
      <w:pPr>
        <w:pStyle w:val="Zdroj"/>
      </w:pPr>
      <w:r>
        <w:t>*</w:t>
      </w:r>
      <w:r w:rsidR="00131F5C">
        <w:t>P</w:t>
      </w:r>
      <w:r>
        <w:t>ozn.: ARIM – oddělení anesteziologie, resuscitace a intenzivní medicíny; ORL – ušní, nosní, krční; COS – centrální operační sály; ÚČOCH – ústní, čelistní a obličejová chirurgie</w:t>
      </w:r>
      <w:r w:rsidR="00131F5C">
        <w:t>.</w:t>
      </w:r>
    </w:p>
    <w:p w14:paraId="1C24385C" w14:textId="1DE88521" w:rsidR="00047BE4" w:rsidRDefault="00047BE4" w:rsidP="00047BE4">
      <w:r>
        <w:t xml:space="preserve">Následující graf </w:t>
      </w:r>
      <w:r w:rsidR="00EB62B8">
        <w:t xml:space="preserve">(obrázek 1.27) </w:t>
      </w:r>
      <w:r>
        <w:t>zobrazuje rozdíl kapacity lůžek jednotlivých interních oddělení nemocnice v letech 2015 a 2019. Ze srovnání kapacity lůžek je patrný výrazný pokles lůžek na interním oddělení z původních 145 na 90 v roce 2019. Pokles počtu lůžek zaznamenalo také dětské oddělení. Plicní oddělení zaznamenalo mírné navýšení počtu lůžek. V rámci chirurgických oddělení nemocnice kapacita lůžek ve sledovaném období nedosáhla výraznějších změn. Snížení počtu lůžek může být způsobeno vnitřní reorganizací a úsporami, spolu s trendem nahrazování tradiční hospitalizace krátkodobými pobyty formou denních stacionářů.</w:t>
      </w:r>
    </w:p>
    <w:p w14:paraId="3492F02C" w14:textId="38A8846B" w:rsidR="00047BE4" w:rsidRDefault="00047BE4" w:rsidP="00047BE4">
      <w:pPr>
        <w:pStyle w:val="Titulek"/>
      </w:pPr>
      <w:bookmarkStart w:id="143" w:name="_Toc49439870"/>
      <w:bookmarkStart w:id="144" w:name="_Toc53037916"/>
      <w:bookmarkStart w:id="145" w:name="_Toc7707484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27</w:t>
      </w:r>
      <w:r w:rsidR="00804AF3">
        <w:rPr>
          <w:noProof/>
        </w:rPr>
        <w:fldChar w:fldCharType="end"/>
      </w:r>
      <w:r w:rsidR="00131F5C">
        <w:rPr>
          <w:noProof/>
        </w:rPr>
        <w:t>:</w:t>
      </w:r>
      <w:r w:rsidRPr="008039ED">
        <w:t xml:space="preserve"> </w:t>
      </w:r>
      <w:r>
        <w:t>Srovnání počtu lůžek na vybraných interních odděleních KNTB v letech 2015 a 2019</w:t>
      </w:r>
      <w:r>
        <w:rPr>
          <w:noProof/>
          <w:lang w:eastAsia="cs-CZ"/>
        </w:rPr>
        <w:drawing>
          <wp:anchor distT="0" distB="0" distL="114300" distR="114300" simplePos="0" relativeHeight="251732992" behindDoc="0" locked="0" layoutInCell="1" allowOverlap="1" wp14:anchorId="62F47906" wp14:editId="57D3C234">
            <wp:simplePos x="0" y="0"/>
            <wp:positionH relativeFrom="margin">
              <wp:align>left</wp:align>
            </wp:positionH>
            <wp:positionV relativeFrom="paragraph">
              <wp:posOffset>239395</wp:posOffset>
            </wp:positionV>
            <wp:extent cx="5773420" cy="2414270"/>
            <wp:effectExtent l="0" t="0" r="0" b="5080"/>
            <wp:wrapSquare wrapText="bothSides"/>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73420" cy="2414270"/>
                    </a:xfrm>
                    <a:prstGeom prst="rect">
                      <a:avLst/>
                    </a:prstGeom>
                    <a:noFill/>
                  </pic:spPr>
                </pic:pic>
              </a:graphicData>
            </a:graphic>
          </wp:anchor>
        </w:drawing>
      </w:r>
      <w:bookmarkEnd w:id="143"/>
      <w:bookmarkEnd w:id="144"/>
      <w:bookmarkEnd w:id="145"/>
    </w:p>
    <w:p w14:paraId="04149E28" w14:textId="67A92005" w:rsidR="00047BE4" w:rsidRDefault="00047BE4" w:rsidP="00047BE4">
      <w:pPr>
        <w:pStyle w:val="Zdroj"/>
      </w:pPr>
      <w:r w:rsidRPr="00AD4975">
        <w:t>Zdroj: Krajská nemocnice T.</w:t>
      </w:r>
      <w:r>
        <w:t xml:space="preserve"> Bati ve Zlíně (2019): Výroční zpráva 2019, zpracování PROCES</w:t>
      </w:r>
      <w:r w:rsidR="00131F5C">
        <w:t>.</w:t>
      </w:r>
    </w:p>
    <w:p w14:paraId="260413AA" w14:textId="2BF0716C" w:rsidR="00047BE4" w:rsidRDefault="00047BE4" w:rsidP="00047BE4">
      <w:r>
        <w:lastRenderedPageBreak/>
        <w:t>V souhrnu lze konstatovat, že ve Zlíně existuje dostatečné zajištění zdravotní péče. Obecným problémem zdravotnictví je nedostatek kvalifikovaného personálu a zvyšování průměrného věku lékařů. Nedostatek odborných lékařů je spolu s nedostatkem některých lékařských přístrojů příčinou dlouhých čekacích dob na odborná vyšetření. V mezikrajském srovnání má Zlínský kraj menší počet lůžek na počet obyvatel, podobně v počtu lékařů na 1 000 obyvatel je situace ve Zlínském kraji podprůměrná.</w:t>
      </w:r>
      <w:r>
        <w:rPr>
          <w:rStyle w:val="Znakapoznpodarou"/>
        </w:rPr>
        <w:footnoteReference w:id="17"/>
      </w:r>
      <w:r>
        <w:t xml:space="preserve"> Z výsledků provedeného anketního šetření vyplývá skutečnost, že kvalita zdravotní péče není obyvateli Zlína hodnocena příliš pozitivně. Na škále 0 – 100 (0 – velmi nespokojen; 100</w:t>
      </w:r>
      <w:r w:rsidR="00585CA7">
        <w:t> </w:t>
      </w:r>
      <w:r w:rsidR="00585CA7">
        <w:sym w:font="Symbol" w:char="F02D"/>
      </w:r>
      <w:r w:rsidR="00585CA7">
        <w:t> </w:t>
      </w:r>
      <w:r>
        <w:t>velmi spokojen) je kvalita zdravotních služeb ohodnocena na 54,7 bodů, tedy nejméně v porovnání s ostatními kategoriemi občanské vybavenosti města. Některá centra zdravotní péče (například Zlínská poliklinika) nejsou bezbariérové, což znesnadňuje přístup osobám se zhoršenou pohyblivostí.</w:t>
      </w:r>
    </w:p>
    <w:p w14:paraId="05731DE7" w14:textId="77777777" w:rsidR="00047BE4" w:rsidRDefault="00047BE4" w:rsidP="00047BE4">
      <w:pPr>
        <w:pStyle w:val="Nadpis4"/>
        <w:ind w:left="864" w:hanging="864"/>
      </w:pPr>
      <w:bookmarkStart w:id="146" w:name="_Toc49439884"/>
      <w:r>
        <w:t>Dílčí shrnutí</w:t>
      </w:r>
      <w:bookmarkEnd w:id="146"/>
    </w:p>
    <w:p w14:paraId="2C4EE2CA"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r>
        <w:rPr>
          <w:b/>
        </w:rPr>
        <w:t>Hlavní zjištění</w:t>
      </w:r>
      <w:r>
        <w:t>:</w:t>
      </w:r>
    </w:p>
    <w:p w14:paraId="695F17E0"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p>
    <w:p w14:paraId="0023EAEF" w14:textId="77777777" w:rsidR="00047BE4" w:rsidRPr="00573A03"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7481D">
        <w:rPr>
          <w:i/>
        </w:rPr>
        <w:t>V celostátním srovnání je podíl osob v exekuci relativně nízký, objem vyplácených dávek v hmotné nouzi v posledních letech klesá.</w:t>
      </w:r>
    </w:p>
    <w:p w14:paraId="7CF87E47"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7481D">
        <w:rPr>
          <w:i/>
        </w:rPr>
        <w:t>Na území Zlína se nenachází sociálně vyloučené lokality.</w:t>
      </w:r>
    </w:p>
    <w:p w14:paraId="6411777B"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7481D">
        <w:rPr>
          <w:i/>
        </w:rPr>
        <w:t>Ve Zlíně působí množství organizací</w:t>
      </w:r>
      <w:r>
        <w:rPr>
          <w:i/>
        </w:rPr>
        <w:t xml:space="preserve"> poskytujících sociální služby pro všechny cílové skupiny obyvatel.</w:t>
      </w:r>
      <w:r w:rsidRPr="00B7481D">
        <w:rPr>
          <w:i/>
        </w:rPr>
        <w:t xml:space="preserve"> </w:t>
      </w:r>
    </w:p>
    <w:p w14:paraId="0D21A47F" w14:textId="146D5140"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Střednědobý plán sociálních služeb na Zlínsku na období let 2020 – 2024 zjišťuje potřeby poskytování sociálních služeb občanům města, zajišťuje dostupnost informací o možnostech a</w:t>
      </w:r>
      <w:r w:rsidR="00131F5C">
        <w:rPr>
          <w:i/>
        </w:rPr>
        <w:t> </w:t>
      </w:r>
      <w:r>
        <w:rPr>
          <w:i/>
        </w:rPr>
        <w:t>způsobech poskytování sociálních služeb, sleduje a vyhodnocuje plnění plánů rozvoje sociálních služeb za účasti zástupců veřejnosti, obcí a zástupců poskytovatelů sociálních služeb.</w:t>
      </w:r>
    </w:p>
    <w:p w14:paraId="5EB04472"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 současné době je kritický nedostatek kapacit pobytových sociálních služeb.</w:t>
      </w:r>
    </w:p>
    <w:p w14:paraId="2B3EBEFA"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 xml:space="preserve">Ve městě existuje široká nabídka zdravotní péče. Největším poskytovatelem je Krajská nemocnice Tomáše Bati. Problémem je nedostatek kvalifikovaného personálu a dlouhé čekací doby v případě některých odborných vyšetření. </w:t>
      </w:r>
    </w:p>
    <w:p w14:paraId="21315670" w14:textId="77777777" w:rsidR="00047BE4" w:rsidRDefault="00047BE4" w:rsidP="00047BE4">
      <w:pPr>
        <w:spacing w:before="0" w:after="160" w:line="259" w:lineRule="auto"/>
        <w:jc w:val="left"/>
        <w:rPr>
          <w:rFonts w:ascii="Calibri" w:eastAsiaTheme="majorEastAsia" w:hAnsi="Calibri" w:cstheme="majorBidi"/>
          <w:i/>
          <w:iCs/>
          <w:color w:val="5B9BD5" w:themeColor="accent1"/>
        </w:rPr>
      </w:pPr>
      <w:r>
        <w:br w:type="page"/>
      </w:r>
    </w:p>
    <w:p w14:paraId="7CCDC373" w14:textId="77777777" w:rsidR="00047BE4" w:rsidRDefault="00047BE4" w:rsidP="00047BE4">
      <w:pPr>
        <w:pStyle w:val="Nadpis4"/>
        <w:ind w:left="864" w:hanging="864"/>
      </w:pPr>
      <w:r>
        <w:lastRenderedPageBreak/>
        <w:t xml:space="preserve">Nabídka kulturních, sportovních a volnočasových aktivit na území města Zlína </w:t>
      </w:r>
    </w:p>
    <w:p w14:paraId="7CD01EE4" w14:textId="77777777" w:rsidR="00047BE4" w:rsidRDefault="00047BE4" w:rsidP="00047BE4">
      <w:r>
        <w:t xml:space="preserve">Oblast kulturních, sportovních a volnočasových aktivit ve městě Zlín patří k důležitým oblastem trávení volného času občanů města i jeho návštěvníků. Je to jedna s důležitých oblastí podporující prevenci patologických jevů ve společnosti. Mezi významné akce patří např. Mezinárodní festival filmů pro děti a mládež (Zlín film Festival); festival Neznámá země, věnovaný cestování, sbližování a poznávání kultur; divadelní festival Setkání/Stretnutie; </w:t>
      </w:r>
      <w:r w:rsidRPr="00525AF4">
        <w:t xml:space="preserve">Mezinárodní festival </w:t>
      </w:r>
      <w:r>
        <w:t xml:space="preserve">dechových orchestrů a folklorních souborů FEDO; folklorní festival Zlínské besedování či Barum Czech Rally s divácky atraktivní noční rychlostní zkouškou v centru města. </w:t>
      </w:r>
    </w:p>
    <w:p w14:paraId="573E0471" w14:textId="77777777" w:rsidR="00047BE4" w:rsidRDefault="00047BE4" w:rsidP="00047BE4">
      <w:pPr>
        <w:pStyle w:val="Nadpis5"/>
      </w:pPr>
      <w:r>
        <w:t>Kultura</w:t>
      </w:r>
    </w:p>
    <w:p w14:paraId="013D4762" w14:textId="6E918FBB" w:rsidR="00047BE4" w:rsidRDefault="00047BE4" w:rsidP="00047BE4">
      <w:r w:rsidRPr="004E0433">
        <w:t xml:space="preserve">Oblast kultury je v rámci </w:t>
      </w:r>
      <w:r>
        <w:t>Magistrátu města Zlín</w:t>
      </w:r>
      <w:r w:rsidRPr="004E0433">
        <w:t xml:space="preserve"> v gesci </w:t>
      </w:r>
      <w:r w:rsidRPr="00DC73AF">
        <w:rPr>
          <w:b/>
        </w:rPr>
        <w:t>Odboru kultury a památkové péče</w:t>
      </w:r>
      <w:r w:rsidRPr="003C3465">
        <w:t>. D</w:t>
      </w:r>
      <w:r w:rsidRPr="00D12C1B">
        <w:t>ále</w:t>
      </w:r>
      <w:r>
        <w:t xml:space="preserve"> je zřízen </w:t>
      </w:r>
      <w:r w:rsidRPr="00C22DDB">
        <w:rPr>
          <w:b/>
        </w:rPr>
        <w:t>Odbor Kulturní centrum</w:t>
      </w:r>
      <w:r>
        <w:t xml:space="preserve">, který zajišťuje </w:t>
      </w:r>
      <w:r w:rsidRPr="005924F7">
        <w:t>chod Kongresového centra po stránce provozní, technologické, mar</w:t>
      </w:r>
      <w:r>
        <w:t xml:space="preserve">ketingové, obchodní, produkční </w:t>
      </w:r>
      <w:r w:rsidRPr="005924F7">
        <w:t>atd.</w:t>
      </w:r>
      <w:r>
        <w:t xml:space="preserve"> Dalším útvarem magistrátu zasahujícím do oblasti kultury je </w:t>
      </w:r>
      <w:r w:rsidRPr="00D12C1B">
        <w:rPr>
          <w:b/>
        </w:rPr>
        <w:t>Oddělní cestovního ruchu a informací</w:t>
      </w:r>
      <w:r w:rsidRPr="009934A6">
        <w:t>, které zajišťuje organizační složku města Živý Zlín</w:t>
      </w:r>
      <w:r>
        <w:t xml:space="preserve"> – kulturní agentura,</w:t>
      </w:r>
      <w:r w:rsidRPr="009934A6">
        <w:t xml:space="preserve"> organizuje pořádání městských jarmarků vč. tvořivých dílen</w:t>
      </w:r>
      <w:r>
        <w:t xml:space="preserve">, </w:t>
      </w:r>
      <w:r w:rsidRPr="009934A6">
        <w:t>pořádá a</w:t>
      </w:r>
      <w:r w:rsidR="00131F5C">
        <w:t> </w:t>
      </w:r>
      <w:r w:rsidRPr="009934A6">
        <w:t>organizuje Mezinárodní festival outdoorových filmů ve Zlíně, Zlínské filmové léto (letní kina ve Zlíně) aj.</w:t>
      </w:r>
    </w:p>
    <w:p w14:paraId="26E83665" w14:textId="696A3839" w:rsidR="00047BE4" w:rsidRDefault="00047BE4" w:rsidP="00047BE4">
      <w:r>
        <w:t xml:space="preserve">Pro oblast kultury nemá </w:t>
      </w:r>
      <w:r w:rsidR="005668E1">
        <w:t>s</w:t>
      </w:r>
      <w:r>
        <w:t>tatutární město Zlín vypracovaný žádný oficiálně platný strategický dokument. V roce 2019 byl vypracován dokument 30 kroků k roku 2022, který nebyl prozatím schválen Zastupitelstvem města. Jedná se o 1. f</w:t>
      </w:r>
      <w:r w:rsidR="005668E1">
        <w:t>ázi chystané kulturní koncepce s</w:t>
      </w:r>
      <w:r>
        <w:t>tatutárního města Zlín, na kterou by měly navazovat další postupové kroky.</w:t>
      </w:r>
    </w:p>
    <w:p w14:paraId="357B9896" w14:textId="4E605279" w:rsidR="00047BE4" w:rsidRDefault="00D471C1" w:rsidP="00D471C1">
      <w:pPr>
        <w:pStyle w:val="Titulek"/>
      </w:pPr>
      <w:bookmarkStart w:id="147" w:name="_Toc7707470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20</w:t>
      </w:r>
      <w:r w:rsidR="00081B47">
        <w:rPr>
          <w:noProof/>
        </w:rPr>
        <w:fldChar w:fldCharType="end"/>
      </w:r>
      <w:r>
        <w:t xml:space="preserve">: </w:t>
      </w:r>
      <w:r w:rsidR="00047BE4">
        <w:t>Kulturní organizace a instituce zřízené nebo založené/spoluzalože</w:t>
      </w:r>
      <w:r>
        <w:t xml:space="preserve">né </w:t>
      </w:r>
      <w:r w:rsidR="005668E1">
        <w:t>s</w:t>
      </w:r>
      <w:r>
        <w:t>tatutárním městem Zlín</w:t>
      </w:r>
      <w:bookmarkEnd w:id="147"/>
    </w:p>
    <w:tbl>
      <w:tblPr>
        <w:tblStyle w:val="Tabulkasmkou31"/>
        <w:tblW w:w="0" w:type="auto"/>
        <w:tblLook w:val="0420" w:firstRow="1" w:lastRow="0" w:firstColumn="0" w:lastColumn="0" w:noHBand="0" w:noVBand="1"/>
      </w:tblPr>
      <w:tblGrid>
        <w:gridCol w:w="3828"/>
        <w:gridCol w:w="5234"/>
      </w:tblGrid>
      <w:tr w:rsidR="00047BE4" w:rsidRPr="00B1794C" w14:paraId="79E06943" w14:textId="77777777" w:rsidTr="00047BE4">
        <w:trPr>
          <w:cnfStyle w:val="100000000000" w:firstRow="1" w:lastRow="0" w:firstColumn="0" w:lastColumn="0" w:oddVBand="0" w:evenVBand="0" w:oddHBand="0" w:evenHBand="0" w:firstRowFirstColumn="0" w:firstRowLastColumn="0" w:lastRowFirstColumn="0" w:lastRowLastColumn="0"/>
          <w:trHeight w:val="20"/>
        </w:trPr>
        <w:tc>
          <w:tcPr>
            <w:tcW w:w="3828" w:type="dxa"/>
          </w:tcPr>
          <w:p w14:paraId="619973F1" w14:textId="77777777" w:rsidR="00047BE4" w:rsidRPr="00B1794C" w:rsidRDefault="00047BE4" w:rsidP="00047BE4">
            <w:pPr>
              <w:spacing w:before="0"/>
              <w:jc w:val="center"/>
              <w:rPr>
                <w:rFonts w:cstheme="minorHAnsi"/>
                <w:sz w:val="18"/>
                <w:szCs w:val="18"/>
              </w:rPr>
            </w:pPr>
            <w:r>
              <w:rPr>
                <w:rFonts w:cstheme="minorHAnsi"/>
                <w:sz w:val="18"/>
                <w:szCs w:val="18"/>
              </w:rPr>
              <w:t>Právní forma</w:t>
            </w:r>
          </w:p>
        </w:tc>
        <w:tc>
          <w:tcPr>
            <w:tcW w:w="5234" w:type="dxa"/>
          </w:tcPr>
          <w:p w14:paraId="5701C49C" w14:textId="77777777" w:rsidR="00047BE4" w:rsidRPr="00B1794C" w:rsidRDefault="00047BE4" w:rsidP="00047BE4">
            <w:pPr>
              <w:spacing w:before="0"/>
              <w:jc w:val="center"/>
              <w:rPr>
                <w:rFonts w:cstheme="minorHAnsi"/>
                <w:sz w:val="18"/>
                <w:szCs w:val="18"/>
              </w:rPr>
            </w:pPr>
            <w:r>
              <w:rPr>
                <w:rFonts w:cstheme="minorHAnsi"/>
                <w:sz w:val="18"/>
                <w:szCs w:val="18"/>
              </w:rPr>
              <w:t>Název subjektu</w:t>
            </w:r>
          </w:p>
        </w:tc>
      </w:tr>
      <w:tr w:rsidR="00047BE4" w:rsidRPr="00B1794C" w14:paraId="6100CDF7"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3828" w:type="dxa"/>
            <w:vMerge w:val="restart"/>
          </w:tcPr>
          <w:p w14:paraId="31333251" w14:textId="3F2080A8" w:rsidR="00047BE4" w:rsidRPr="00B1794C" w:rsidRDefault="00047BE4" w:rsidP="005668E1">
            <w:pPr>
              <w:spacing w:before="0"/>
              <w:rPr>
                <w:rFonts w:cstheme="minorHAnsi"/>
                <w:sz w:val="18"/>
                <w:szCs w:val="18"/>
              </w:rPr>
            </w:pPr>
            <w:r>
              <w:rPr>
                <w:rFonts w:cstheme="minorHAnsi"/>
                <w:sz w:val="18"/>
                <w:szCs w:val="18"/>
              </w:rPr>
              <w:t xml:space="preserve">Příspěvková organizace </w:t>
            </w:r>
            <w:r w:rsidR="005668E1">
              <w:rPr>
                <w:rFonts w:cstheme="minorHAnsi"/>
                <w:sz w:val="18"/>
                <w:szCs w:val="18"/>
              </w:rPr>
              <w:t>s</w:t>
            </w:r>
            <w:r>
              <w:rPr>
                <w:rFonts w:cstheme="minorHAnsi"/>
                <w:sz w:val="18"/>
                <w:szCs w:val="18"/>
              </w:rPr>
              <w:t>tatutárního města Zlín</w:t>
            </w:r>
          </w:p>
        </w:tc>
        <w:tc>
          <w:tcPr>
            <w:tcW w:w="5234" w:type="dxa"/>
          </w:tcPr>
          <w:p w14:paraId="141E1463" w14:textId="77777777" w:rsidR="00047BE4" w:rsidRPr="00B1794C" w:rsidRDefault="00047BE4" w:rsidP="00047BE4">
            <w:pPr>
              <w:spacing w:before="0"/>
              <w:rPr>
                <w:rFonts w:cstheme="minorHAnsi"/>
                <w:sz w:val="18"/>
                <w:szCs w:val="18"/>
              </w:rPr>
            </w:pPr>
            <w:r w:rsidRPr="00044B7E">
              <w:rPr>
                <w:rFonts w:cstheme="minorHAnsi"/>
                <w:sz w:val="18"/>
                <w:szCs w:val="18"/>
              </w:rPr>
              <w:t>Městské divadlo Zlín, příspěvková organizace</w:t>
            </w:r>
          </w:p>
        </w:tc>
      </w:tr>
      <w:tr w:rsidR="00047BE4" w:rsidRPr="00B1794C" w14:paraId="12EAB83B" w14:textId="77777777" w:rsidTr="00047BE4">
        <w:trPr>
          <w:trHeight w:val="20"/>
        </w:trPr>
        <w:tc>
          <w:tcPr>
            <w:tcW w:w="3828" w:type="dxa"/>
            <w:vMerge/>
          </w:tcPr>
          <w:p w14:paraId="76EA58D0" w14:textId="77777777" w:rsidR="00047BE4" w:rsidRPr="00240C4D" w:rsidRDefault="00047BE4" w:rsidP="00047BE4">
            <w:pPr>
              <w:tabs>
                <w:tab w:val="left" w:pos="1170"/>
              </w:tabs>
              <w:spacing w:before="0"/>
              <w:rPr>
                <w:rFonts w:cstheme="minorHAnsi"/>
                <w:sz w:val="18"/>
                <w:szCs w:val="18"/>
              </w:rPr>
            </w:pPr>
          </w:p>
        </w:tc>
        <w:tc>
          <w:tcPr>
            <w:tcW w:w="5234" w:type="dxa"/>
          </w:tcPr>
          <w:p w14:paraId="175E2CD5" w14:textId="77777777" w:rsidR="00047BE4" w:rsidRPr="00240C4D" w:rsidRDefault="00047BE4" w:rsidP="00047BE4">
            <w:pPr>
              <w:spacing w:before="0"/>
              <w:rPr>
                <w:rFonts w:cstheme="minorHAnsi"/>
                <w:sz w:val="18"/>
                <w:szCs w:val="18"/>
              </w:rPr>
            </w:pPr>
            <w:r w:rsidRPr="009B760F">
              <w:rPr>
                <w:rFonts w:cstheme="minorHAnsi"/>
                <w:sz w:val="18"/>
                <w:szCs w:val="18"/>
              </w:rPr>
              <w:t>ZOO a zámek Zlí</w:t>
            </w:r>
            <w:r>
              <w:rPr>
                <w:rFonts w:cstheme="minorHAnsi"/>
                <w:sz w:val="18"/>
                <w:szCs w:val="18"/>
              </w:rPr>
              <w:t>n-Lešná, příspěvková organizace</w:t>
            </w:r>
          </w:p>
        </w:tc>
      </w:tr>
      <w:tr w:rsidR="00047BE4" w:rsidRPr="00B1794C" w14:paraId="7119295C"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3828" w:type="dxa"/>
            <w:vMerge w:val="restart"/>
            <w:shd w:val="clear" w:color="auto" w:fill="FFFFFF" w:themeFill="background1"/>
          </w:tcPr>
          <w:p w14:paraId="51AA6289" w14:textId="77777777" w:rsidR="00047BE4" w:rsidRPr="009B760F" w:rsidRDefault="00047BE4" w:rsidP="00047BE4">
            <w:pPr>
              <w:tabs>
                <w:tab w:val="left" w:pos="1170"/>
              </w:tabs>
              <w:spacing w:before="0"/>
              <w:rPr>
                <w:rFonts w:cstheme="minorHAnsi"/>
                <w:sz w:val="18"/>
                <w:szCs w:val="18"/>
              </w:rPr>
            </w:pPr>
            <w:r w:rsidRPr="009B760F">
              <w:rPr>
                <w:rFonts w:cstheme="minorHAnsi"/>
                <w:sz w:val="18"/>
                <w:szCs w:val="18"/>
              </w:rPr>
              <w:t>Organizační složky statutárního města Zlína</w:t>
            </w:r>
          </w:p>
        </w:tc>
        <w:tc>
          <w:tcPr>
            <w:tcW w:w="5234" w:type="dxa"/>
          </w:tcPr>
          <w:p w14:paraId="1092F6F7" w14:textId="77777777" w:rsidR="00047BE4" w:rsidRPr="00B1794C" w:rsidRDefault="00047BE4" w:rsidP="00047BE4">
            <w:pPr>
              <w:tabs>
                <w:tab w:val="left" w:pos="285"/>
              </w:tabs>
              <w:spacing w:before="0"/>
              <w:rPr>
                <w:rFonts w:cstheme="minorHAnsi"/>
                <w:sz w:val="18"/>
                <w:szCs w:val="18"/>
              </w:rPr>
            </w:pPr>
            <w:r w:rsidRPr="00240C4D">
              <w:rPr>
                <w:rFonts w:cstheme="minorHAnsi"/>
                <w:sz w:val="18"/>
                <w:szCs w:val="18"/>
              </w:rPr>
              <w:t>ALTERNATIVA - Kulturní institut Zlín</w:t>
            </w:r>
          </w:p>
        </w:tc>
      </w:tr>
      <w:tr w:rsidR="00047BE4" w:rsidRPr="00B1794C" w14:paraId="121E3421" w14:textId="77777777" w:rsidTr="00047BE4">
        <w:trPr>
          <w:trHeight w:val="20"/>
        </w:trPr>
        <w:tc>
          <w:tcPr>
            <w:tcW w:w="3828" w:type="dxa"/>
            <w:vMerge/>
            <w:shd w:val="clear" w:color="auto" w:fill="FFFFFF" w:themeFill="background1"/>
          </w:tcPr>
          <w:p w14:paraId="6D54A122" w14:textId="77777777" w:rsidR="00047BE4" w:rsidRPr="00B1794C" w:rsidRDefault="00047BE4" w:rsidP="00047BE4">
            <w:pPr>
              <w:spacing w:before="0"/>
              <w:rPr>
                <w:rFonts w:cstheme="minorHAnsi"/>
                <w:sz w:val="18"/>
                <w:szCs w:val="18"/>
              </w:rPr>
            </w:pPr>
          </w:p>
        </w:tc>
        <w:tc>
          <w:tcPr>
            <w:tcW w:w="5234" w:type="dxa"/>
          </w:tcPr>
          <w:p w14:paraId="62B69926" w14:textId="77777777" w:rsidR="00047BE4" w:rsidRPr="00B1794C" w:rsidRDefault="00047BE4" w:rsidP="00047BE4">
            <w:pPr>
              <w:spacing w:before="0"/>
              <w:jc w:val="left"/>
              <w:rPr>
                <w:rFonts w:cstheme="minorHAnsi"/>
                <w:sz w:val="18"/>
                <w:szCs w:val="18"/>
              </w:rPr>
            </w:pPr>
            <w:r>
              <w:rPr>
                <w:rFonts w:cstheme="minorHAnsi"/>
                <w:sz w:val="18"/>
                <w:szCs w:val="18"/>
              </w:rPr>
              <w:t>Živý Zlín – kulturní agentura</w:t>
            </w:r>
          </w:p>
        </w:tc>
      </w:tr>
      <w:tr w:rsidR="00047BE4" w:rsidRPr="00B1794C" w14:paraId="37C53B8B"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3828" w:type="dxa"/>
          </w:tcPr>
          <w:p w14:paraId="2BC289FD" w14:textId="21206361" w:rsidR="00047BE4" w:rsidRPr="00B1794C" w:rsidRDefault="00047BE4" w:rsidP="00047BE4">
            <w:pPr>
              <w:spacing w:before="0"/>
              <w:rPr>
                <w:rFonts w:cstheme="minorHAnsi"/>
                <w:sz w:val="18"/>
                <w:szCs w:val="18"/>
              </w:rPr>
            </w:pPr>
            <w:r w:rsidRPr="00240C4D">
              <w:rPr>
                <w:rFonts w:cstheme="minorHAnsi"/>
                <w:sz w:val="18"/>
                <w:szCs w:val="18"/>
              </w:rPr>
              <w:t>Obecně prospěšné společnosti</w:t>
            </w:r>
          </w:p>
        </w:tc>
        <w:tc>
          <w:tcPr>
            <w:tcW w:w="5234" w:type="dxa"/>
          </w:tcPr>
          <w:p w14:paraId="61348AFF" w14:textId="77777777" w:rsidR="00047BE4" w:rsidRPr="00B1794C" w:rsidRDefault="00047BE4" w:rsidP="00047BE4">
            <w:pPr>
              <w:spacing w:before="0"/>
              <w:jc w:val="left"/>
              <w:rPr>
                <w:rFonts w:cstheme="minorHAnsi"/>
                <w:sz w:val="18"/>
                <w:szCs w:val="18"/>
              </w:rPr>
            </w:pPr>
            <w:r w:rsidRPr="00240C4D">
              <w:rPr>
                <w:rFonts w:cstheme="minorHAnsi"/>
                <w:sz w:val="18"/>
                <w:szCs w:val="18"/>
              </w:rPr>
              <w:t>Filharmonie Bohuslava Martinů</w:t>
            </w:r>
          </w:p>
        </w:tc>
      </w:tr>
    </w:tbl>
    <w:p w14:paraId="6E6F5440" w14:textId="5386A463" w:rsidR="00D471C1" w:rsidRDefault="00D471C1" w:rsidP="00D471C1">
      <w:pPr>
        <w:spacing w:before="60"/>
        <w:rPr>
          <w:rStyle w:val="Hypertextovodkaz"/>
          <w:i/>
          <w:sz w:val="18"/>
        </w:rPr>
      </w:pPr>
      <w:r w:rsidRPr="004F00E7">
        <w:rPr>
          <w:rFonts w:cstheme="minorHAnsi"/>
          <w:i/>
          <w:sz w:val="18"/>
        </w:rPr>
        <w:t xml:space="preserve">Zdroj: </w:t>
      </w:r>
      <w:hyperlink r:id="rId45" w:history="1">
        <w:r w:rsidRPr="00CD5FCF">
          <w:rPr>
            <w:rStyle w:val="Hypertextovodkaz"/>
            <w:i/>
            <w:color w:val="auto"/>
            <w:sz w:val="18"/>
            <w:u w:val="none"/>
          </w:rPr>
          <w:t>https://www.zlin.eu/</w:t>
        </w:r>
      </w:hyperlink>
      <w:r w:rsidRPr="00CD5FCF">
        <w:rPr>
          <w:rStyle w:val="Hypertextovodkaz"/>
          <w:color w:val="auto"/>
          <w:sz w:val="18"/>
          <w:u w:val="none"/>
        </w:rPr>
        <w:t xml:space="preserve">, </w:t>
      </w:r>
      <w:r w:rsidRPr="00552249">
        <w:rPr>
          <w:rStyle w:val="Hypertextovodkaz"/>
          <w:color w:val="000000" w:themeColor="text1"/>
          <w:sz w:val="18"/>
          <w:u w:val="none"/>
        </w:rPr>
        <w:t>2020</w:t>
      </w:r>
      <w:r>
        <w:rPr>
          <w:rStyle w:val="Hypertextovodkaz"/>
          <w:color w:val="000000" w:themeColor="text1"/>
          <w:sz w:val="18"/>
          <w:u w:val="none"/>
        </w:rPr>
        <w:t>.</w:t>
      </w:r>
    </w:p>
    <w:p w14:paraId="248A1459" w14:textId="77777777" w:rsidR="00047BE4" w:rsidRDefault="00047BE4" w:rsidP="00047BE4">
      <w:pPr>
        <w:spacing w:before="240"/>
      </w:pPr>
      <w:r w:rsidRPr="00E77F16">
        <w:t>Město Zlín je od roku 2017 zapojeno do projektu na podporu filmového průmyslu „Filmová obec“</w:t>
      </w:r>
      <w:r>
        <w:t xml:space="preserve">, </w:t>
      </w:r>
      <w:r w:rsidRPr="00E77F16">
        <w:t>v</w:t>
      </w:r>
      <w:r>
        <w:t> </w:t>
      </w:r>
      <w:r w:rsidRPr="00E77F16">
        <w:t>rámci kterého město poskytuje filmařským štábům, např. bezplatné zábory při natáčení nebo z</w:t>
      </w:r>
      <w:r>
        <w:t xml:space="preserve">ajištění svozu odpadu z placu. </w:t>
      </w:r>
    </w:p>
    <w:p w14:paraId="603B4D6E" w14:textId="00AECBBF" w:rsidR="00047BE4" w:rsidRDefault="00047BE4" w:rsidP="00047BE4">
      <w:r w:rsidRPr="0006797C">
        <w:t xml:space="preserve">Kulturní obraz města je výsledkem činností profesionálních institucí, </w:t>
      </w:r>
      <w:r>
        <w:t>ale i amatérských spolků a </w:t>
      </w:r>
      <w:r w:rsidRPr="0006797C">
        <w:t>souborů působících ve městě.</w:t>
      </w:r>
      <w:r>
        <w:t xml:space="preserve"> Počty kulturních organizací ve městě Zlín udává následující tabulka</w:t>
      </w:r>
      <w:r w:rsidR="00DC277C">
        <w:t xml:space="preserve"> 1.21</w:t>
      </w:r>
      <w:r>
        <w:t>.</w:t>
      </w:r>
    </w:p>
    <w:p w14:paraId="5E167084" w14:textId="2F9311A1" w:rsidR="00047BE4" w:rsidRDefault="00047BE4" w:rsidP="00047BE4">
      <w:pPr>
        <w:pStyle w:val="Titulek"/>
      </w:pPr>
      <w:bookmarkStart w:id="148" w:name="_Toc53037881"/>
      <w:bookmarkStart w:id="149" w:name="_Toc77074701"/>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21</w:t>
      </w:r>
      <w:r w:rsidR="00081B47">
        <w:rPr>
          <w:noProof/>
        </w:rPr>
        <w:fldChar w:fldCharType="end"/>
      </w:r>
      <w:r w:rsidR="00131F5C">
        <w:rPr>
          <w:noProof/>
        </w:rPr>
        <w:t>:</w:t>
      </w:r>
      <w:r w:rsidR="005668E1">
        <w:t xml:space="preserve"> Kulturní organizace na území s</w:t>
      </w:r>
      <w:r>
        <w:t>tatutárního města Zlín</w:t>
      </w:r>
      <w:bookmarkEnd w:id="148"/>
      <w:bookmarkEnd w:id="149"/>
    </w:p>
    <w:tbl>
      <w:tblPr>
        <w:tblStyle w:val="Tabulkasmkou31"/>
        <w:tblW w:w="0" w:type="auto"/>
        <w:tblLook w:val="0420" w:firstRow="1" w:lastRow="0" w:firstColumn="0" w:lastColumn="0" w:noHBand="0" w:noVBand="1"/>
      </w:tblPr>
      <w:tblGrid>
        <w:gridCol w:w="4531"/>
        <w:gridCol w:w="4531"/>
      </w:tblGrid>
      <w:tr w:rsidR="00047BE4" w:rsidRPr="00B1794C" w14:paraId="7548E8D9" w14:textId="77777777" w:rsidTr="00047BE4">
        <w:trPr>
          <w:cnfStyle w:val="100000000000" w:firstRow="1" w:lastRow="0" w:firstColumn="0" w:lastColumn="0" w:oddVBand="0" w:evenVBand="0" w:oddHBand="0" w:evenHBand="0" w:firstRowFirstColumn="0" w:firstRowLastColumn="0" w:lastRowFirstColumn="0" w:lastRowLastColumn="0"/>
          <w:trHeight w:val="20"/>
          <w:tblHeader/>
        </w:trPr>
        <w:tc>
          <w:tcPr>
            <w:tcW w:w="4531" w:type="dxa"/>
          </w:tcPr>
          <w:p w14:paraId="1DE765F3" w14:textId="77777777" w:rsidR="00047BE4" w:rsidRPr="00B1794C" w:rsidRDefault="00047BE4" w:rsidP="00047BE4">
            <w:pPr>
              <w:spacing w:before="0"/>
              <w:jc w:val="center"/>
              <w:rPr>
                <w:rFonts w:cstheme="minorHAnsi"/>
                <w:sz w:val="18"/>
                <w:szCs w:val="18"/>
              </w:rPr>
            </w:pPr>
            <w:r w:rsidRPr="00B1794C">
              <w:rPr>
                <w:rFonts w:cstheme="minorHAnsi"/>
                <w:sz w:val="18"/>
                <w:szCs w:val="18"/>
              </w:rPr>
              <w:t>Oblast působení/organizace</w:t>
            </w:r>
          </w:p>
        </w:tc>
        <w:tc>
          <w:tcPr>
            <w:tcW w:w="4531" w:type="dxa"/>
          </w:tcPr>
          <w:p w14:paraId="513EE7A1" w14:textId="77777777" w:rsidR="00047BE4" w:rsidRPr="00B1794C" w:rsidRDefault="00047BE4" w:rsidP="00047BE4">
            <w:pPr>
              <w:spacing w:before="0"/>
              <w:jc w:val="center"/>
              <w:rPr>
                <w:rFonts w:cstheme="minorHAnsi"/>
                <w:sz w:val="18"/>
                <w:szCs w:val="18"/>
              </w:rPr>
            </w:pPr>
            <w:r w:rsidRPr="00B1794C">
              <w:rPr>
                <w:rFonts w:cstheme="minorHAnsi"/>
                <w:sz w:val="18"/>
                <w:szCs w:val="18"/>
              </w:rPr>
              <w:t>Počet subjektů</w:t>
            </w:r>
          </w:p>
        </w:tc>
      </w:tr>
      <w:tr w:rsidR="00047BE4" w:rsidRPr="00B1794C" w14:paraId="2304EFA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0919B31D" w14:textId="77777777" w:rsidR="00047BE4" w:rsidRPr="00B1794C" w:rsidRDefault="00047BE4" w:rsidP="00047BE4">
            <w:pPr>
              <w:spacing w:before="0"/>
              <w:rPr>
                <w:rFonts w:cstheme="minorHAnsi"/>
                <w:sz w:val="18"/>
                <w:szCs w:val="18"/>
              </w:rPr>
            </w:pPr>
            <w:r w:rsidRPr="00B1794C">
              <w:rPr>
                <w:rFonts w:cstheme="minorHAnsi"/>
                <w:sz w:val="18"/>
                <w:szCs w:val="18"/>
              </w:rPr>
              <w:t>Agentury</w:t>
            </w:r>
          </w:p>
        </w:tc>
        <w:tc>
          <w:tcPr>
            <w:tcW w:w="4531" w:type="dxa"/>
          </w:tcPr>
          <w:p w14:paraId="39F910C4" w14:textId="77777777" w:rsidR="00047BE4" w:rsidRPr="00B1794C" w:rsidRDefault="00047BE4" w:rsidP="00047BE4">
            <w:pPr>
              <w:spacing w:before="0"/>
              <w:jc w:val="right"/>
              <w:rPr>
                <w:rFonts w:cstheme="minorHAnsi"/>
                <w:sz w:val="18"/>
                <w:szCs w:val="18"/>
              </w:rPr>
            </w:pPr>
            <w:r>
              <w:rPr>
                <w:rFonts w:cstheme="minorHAnsi"/>
                <w:sz w:val="18"/>
                <w:szCs w:val="18"/>
              </w:rPr>
              <w:t>18</w:t>
            </w:r>
          </w:p>
        </w:tc>
      </w:tr>
      <w:tr w:rsidR="00047BE4" w:rsidRPr="00B1794C" w14:paraId="0E59CC15" w14:textId="77777777" w:rsidTr="00047BE4">
        <w:trPr>
          <w:trHeight w:val="20"/>
        </w:trPr>
        <w:tc>
          <w:tcPr>
            <w:tcW w:w="4531" w:type="dxa"/>
          </w:tcPr>
          <w:p w14:paraId="0F6A4883" w14:textId="77777777" w:rsidR="00047BE4" w:rsidRPr="00B1794C" w:rsidRDefault="00047BE4" w:rsidP="00047BE4">
            <w:pPr>
              <w:tabs>
                <w:tab w:val="left" w:pos="1170"/>
              </w:tabs>
              <w:spacing w:before="0"/>
              <w:rPr>
                <w:rFonts w:cstheme="minorHAnsi"/>
                <w:sz w:val="18"/>
                <w:szCs w:val="18"/>
              </w:rPr>
            </w:pPr>
            <w:r w:rsidRPr="00B1794C">
              <w:rPr>
                <w:rFonts w:cstheme="minorHAnsi"/>
                <w:sz w:val="18"/>
                <w:szCs w:val="18"/>
              </w:rPr>
              <w:t>Alternativa – kulturní institut Zlín</w:t>
            </w:r>
          </w:p>
        </w:tc>
        <w:tc>
          <w:tcPr>
            <w:tcW w:w="4531" w:type="dxa"/>
          </w:tcPr>
          <w:p w14:paraId="7B6C8C93" w14:textId="77777777" w:rsidR="00047BE4" w:rsidRPr="00B1794C" w:rsidRDefault="00047BE4" w:rsidP="00047BE4">
            <w:pPr>
              <w:spacing w:before="0"/>
              <w:jc w:val="right"/>
              <w:rPr>
                <w:rFonts w:cstheme="minorHAnsi"/>
                <w:sz w:val="18"/>
                <w:szCs w:val="18"/>
              </w:rPr>
            </w:pPr>
            <w:r w:rsidRPr="00B1794C">
              <w:rPr>
                <w:rFonts w:cstheme="minorHAnsi"/>
                <w:sz w:val="18"/>
                <w:szCs w:val="18"/>
              </w:rPr>
              <w:t>1</w:t>
            </w:r>
          </w:p>
        </w:tc>
      </w:tr>
      <w:tr w:rsidR="00047BE4" w:rsidRPr="00B1794C" w14:paraId="172CCFDA"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25F6EBAA" w14:textId="77777777" w:rsidR="00047BE4" w:rsidRPr="00B1794C" w:rsidRDefault="00047BE4" w:rsidP="00047BE4">
            <w:pPr>
              <w:spacing w:before="0"/>
              <w:rPr>
                <w:rFonts w:cstheme="minorHAnsi"/>
                <w:sz w:val="18"/>
                <w:szCs w:val="18"/>
              </w:rPr>
            </w:pPr>
            <w:r w:rsidRPr="00B1794C">
              <w:rPr>
                <w:rFonts w:cstheme="minorHAnsi"/>
                <w:sz w:val="18"/>
                <w:szCs w:val="18"/>
              </w:rPr>
              <w:t>Archiv</w:t>
            </w:r>
          </w:p>
        </w:tc>
        <w:tc>
          <w:tcPr>
            <w:tcW w:w="4531" w:type="dxa"/>
          </w:tcPr>
          <w:p w14:paraId="0CBBAEC7" w14:textId="77777777" w:rsidR="00047BE4" w:rsidRPr="00B1794C" w:rsidRDefault="00047BE4" w:rsidP="00047BE4">
            <w:pPr>
              <w:spacing w:before="0"/>
              <w:jc w:val="right"/>
              <w:rPr>
                <w:rFonts w:cstheme="minorHAnsi"/>
                <w:sz w:val="18"/>
                <w:szCs w:val="18"/>
              </w:rPr>
            </w:pPr>
            <w:r>
              <w:rPr>
                <w:rFonts w:cstheme="minorHAnsi"/>
                <w:sz w:val="18"/>
                <w:szCs w:val="18"/>
              </w:rPr>
              <w:t>2</w:t>
            </w:r>
          </w:p>
        </w:tc>
      </w:tr>
      <w:tr w:rsidR="00047BE4" w:rsidRPr="00B1794C" w14:paraId="3001C4CA" w14:textId="77777777" w:rsidTr="00047BE4">
        <w:trPr>
          <w:trHeight w:val="20"/>
        </w:trPr>
        <w:tc>
          <w:tcPr>
            <w:tcW w:w="4531" w:type="dxa"/>
          </w:tcPr>
          <w:p w14:paraId="2D2EA395" w14:textId="77777777" w:rsidR="00047BE4" w:rsidRPr="00B1794C" w:rsidRDefault="00047BE4" w:rsidP="00047BE4">
            <w:pPr>
              <w:spacing w:before="0"/>
              <w:rPr>
                <w:rFonts w:cstheme="minorHAnsi"/>
                <w:sz w:val="18"/>
                <w:szCs w:val="18"/>
              </w:rPr>
            </w:pPr>
            <w:r w:rsidRPr="00B1794C">
              <w:rPr>
                <w:rFonts w:cstheme="minorHAnsi"/>
                <w:sz w:val="18"/>
                <w:szCs w:val="18"/>
              </w:rPr>
              <w:t>Divadla</w:t>
            </w:r>
          </w:p>
        </w:tc>
        <w:tc>
          <w:tcPr>
            <w:tcW w:w="4531" w:type="dxa"/>
          </w:tcPr>
          <w:p w14:paraId="7146463F" w14:textId="77777777" w:rsidR="00047BE4" w:rsidRPr="00B1794C" w:rsidRDefault="00047BE4" w:rsidP="00047BE4">
            <w:pPr>
              <w:spacing w:before="0"/>
              <w:jc w:val="right"/>
              <w:rPr>
                <w:rFonts w:cstheme="minorHAnsi"/>
                <w:sz w:val="18"/>
                <w:szCs w:val="18"/>
              </w:rPr>
            </w:pPr>
            <w:r>
              <w:rPr>
                <w:rFonts w:cstheme="minorHAnsi"/>
                <w:sz w:val="18"/>
                <w:szCs w:val="18"/>
              </w:rPr>
              <w:t>7</w:t>
            </w:r>
          </w:p>
        </w:tc>
      </w:tr>
      <w:tr w:rsidR="00047BE4" w:rsidRPr="00B1794C" w14:paraId="2AD397E1"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4EE7546C" w14:textId="77777777" w:rsidR="00047BE4" w:rsidRPr="00B1794C" w:rsidRDefault="00047BE4" w:rsidP="00047BE4">
            <w:pPr>
              <w:spacing w:before="0"/>
              <w:rPr>
                <w:rFonts w:cstheme="minorHAnsi"/>
                <w:sz w:val="18"/>
                <w:szCs w:val="18"/>
              </w:rPr>
            </w:pPr>
            <w:r w:rsidRPr="00B1794C">
              <w:rPr>
                <w:rFonts w:cstheme="minorHAnsi"/>
                <w:sz w:val="18"/>
                <w:szCs w:val="18"/>
              </w:rPr>
              <w:t>Dechová hudba a mažoretky</w:t>
            </w:r>
          </w:p>
        </w:tc>
        <w:tc>
          <w:tcPr>
            <w:tcW w:w="4531" w:type="dxa"/>
          </w:tcPr>
          <w:p w14:paraId="1B9E8150" w14:textId="77777777" w:rsidR="00047BE4" w:rsidRPr="00B1794C" w:rsidRDefault="00047BE4" w:rsidP="00047BE4">
            <w:pPr>
              <w:spacing w:before="0"/>
              <w:jc w:val="right"/>
              <w:rPr>
                <w:rFonts w:cstheme="minorHAnsi"/>
                <w:sz w:val="18"/>
                <w:szCs w:val="18"/>
              </w:rPr>
            </w:pPr>
            <w:r w:rsidRPr="00B1794C">
              <w:rPr>
                <w:rFonts w:cstheme="minorHAnsi"/>
                <w:sz w:val="18"/>
                <w:szCs w:val="18"/>
              </w:rPr>
              <w:t>5</w:t>
            </w:r>
          </w:p>
        </w:tc>
      </w:tr>
      <w:tr w:rsidR="00047BE4" w:rsidRPr="00B1794C" w14:paraId="5AC40B47" w14:textId="77777777" w:rsidTr="00047BE4">
        <w:trPr>
          <w:trHeight w:val="20"/>
        </w:trPr>
        <w:tc>
          <w:tcPr>
            <w:tcW w:w="4531" w:type="dxa"/>
          </w:tcPr>
          <w:p w14:paraId="127666F6" w14:textId="77777777" w:rsidR="00047BE4" w:rsidRPr="00B1794C" w:rsidRDefault="00047BE4" w:rsidP="00047BE4">
            <w:pPr>
              <w:spacing w:before="0"/>
              <w:rPr>
                <w:rFonts w:cstheme="minorHAnsi"/>
                <w:sz w:val="18"/>
                <w:szCs w:val="18"/>
              </w:rPr>
            </w:pPr>
            <w:r w:rsidRPr="00B1794C">
              <w:rPr>
                <w:rFonts w:cstheme="minorHAnsi"/>
                <w:sz w:val="18"/>
                <w:szCs w:val="18"/>
              </w:rPr>
              <w:t>Farní úřady</w:t>
            </w:r>
          </w:p>
        </w:tc>
        <w:tc>
          <w:tcPr>
            <w:tcW w:w="4531" w:type="dxa"/>
          </w:tcPr>
          <w:p w14:paraId="6358A523" w14:textId="77777777" w:rsidR="00047BE4" w:rsidRPr="00B1794C" w:rsidRDefault="00047BE4" w:rsidP="00047BE4">
            <w:pPr>
              <w:spacing w:before="0"/>
              <w:jc w:val="right"/>
              <w:rPr>
                <w:rFonts w:cstheme="minorHAnsi"/>
                <w:sz w:val="18"/>
                <w:szCs w:val="18"/>
              </w:rPr>
            </w:pPr>
            <w:r w:rsidRPr="00B1794C">
              <w:rPr>
                <w:rFonts w:cstheme="minorHAnsi"/>
                <w:sz w:val="18"/>
                <w:szCs w:val="18"/>
              </w:rPr>
              <w:t>12</w:t>
            </w:r>
          </w:p>
        </w:tc>
      </w:tr>
      <w:tr w:rsidR="00047BE4" w:rsidRPr="00B1794C" w14:paraId="175D900A"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2DF17B49" w14:textId="77777777" w:rsidR="00047BE4" w:rsidRPr="00B1794C" w:rsidRDefault="00047BE4" w:rsidP="00047BE4">
            <w:pPr>
              <w:spacing w:before="0"/>
              <w:rPr>
                <w:rFonts w:cstheme="minorHAnsi"/>
                <w:sz w:val="18"/>
                <w:szCs w:val="18"/>
              </w:rPr>
            </w:pPr>
            <w:r w:rsidRPr="00B1794C">
              <w:rPr>
                <w:rFonts w:cstheme="minorHAnsi"/>
                <w:sz w:val="18"/>
                <w:szCs w:val="18"/>
              </w:rPr>
              <w:t>Film</w:t>
            </w:r>
          </w:p>
        </w:tc>
        <w:tc>
          <w:tcPr>
            <w:tcW w:w="4531" w:type="dxa"/>
          </w:tcPr>
          <w:p w14:paraId="241366DA" w14:textId="77777777" w:rsidR="00047BE4" w:rsidRPr="00B1794C" w:rsidRDefault="00047BE4" w:rsidP="00047BE4">
            <w:pPr>
              <w:spacing w:before="0"/>
              <w:jc w:val="right"/>
              <w:rPr>
                <w:rFonts w:cstheme="minorHAnsi"/>
                <w:sz w:val="18"/>
                <w:szCs w:val="18"/>
              </w:rPr>
            </w:pPr>
            <w:r>
              <w:rPr>
                <w:rFonts w:cstheme="minorHAnsi"/>
                <w:sz w:val="18"/>
                <w:szCs w:val="18"/>
              </w:rPr>
              <w:t>4</w:t>
            </w:r>
          </w:p>
        </w:tc>
      </w:tr>
      <w:tr w:rsidR="00047BE4" w:rsidRPr="00B1794C" w14:paraId="7E5E9ABD" w14:textId="77777777" w:rsidTr="00047BE4">
        <w:trPr>
          <w:trHeight w:val="20"/>
        </w:trPr>
        <w:tc>
          <w:tcPr>
            <w:tcW w:w="4531" w:type="dxa"/>
          </w:tcPr>
          <w:p w14:paraId="7B6B971C" w14:textId="77777777" w:rsidR="00047BE4" w:rsidRPr="00B1794C" w:rsidRDefault="00047BE4" w:rsidP="00047BE4">
            <w:pPr>
              <w:spacing w:before="0"/>
              <w:rPr>
                <w:rFonts w:cstheme="minorHAnsi"/>
                <w:sz w:val="18"/>
                <w:szCs w:val="18"/>
              </w:rPr>
            </w:pPr>
            <w:r w:rsidRPr="00B1794C">
              <w:rPr>
                <w:rFonts w:cstheme="minorHAnsi"/>
                <w:sz w:val="18"/>
                <w:szCs w:val="18"/>
              </w:rPr>
              <w:t>Filharmonie</w:t>
            </w:r>
          </w:p>
        </w:tc>
        <w:tc>
          <w:tcPr>
            <w:tcW w:w="4531" w:type="dxa"/>
          </w:tcPr>
          <w:p w14:paraId="69911850" w14:textId="77777777" w:rsidR="00047BE4" w:rsidRPr="00B1794C" w:rsidRDefault="00047BE4" w:rsidP="00047BE4">
            <w:pPr>
              <w:spacing w:before="0"/>
              <w:jc w:val="right"/>
              <w:rPr>
                <w:rFonts w:cstheme="minorHAnsi"/>
                <w:sz w:val="18"/>
                <w:szCs w:val="18"/>
              </w:rPr>
            </w:pPr>
            <w:r w:rsidRPr="00B1794C">
              <w:rPr>
                <w:rFonts w:cstheme="minorHAnsi"/>
                <w:sz w:val="18"/>
                <w:szCs w:val="18"/>
              </w:rPr>
              <w:t>1</w:t>
            </w:r>
          </w:p>
        </w:tc>
      </w:tr>
      <w:tr w:rsidR="00047BE4" w:rsidRPr="00B1794C" w14:paraId="5328FE26"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0E633129" w14:textId="77777777" w:rsidR="00047BE4" w:rsidRPr="00B1794C" w:rsidRDefault="00047BE4" w:rsidP="00047BE4">
            <w:pPr>
              <w:spacing w:before="0"/>
              <w:rPr>
                <w:rFonts w:cstheme="minorHAnsi"/>
                <w:sz w:val="18"/>
                <w:szCs w:val="18"/>
              </w:rPr>
            </w:pPr>
            <w:r w:rsidRPr="00B1794C">
              <w:rPr>
                <w:rFonts w:cstheme="minorHAnsi"/>
                <w:sz w:val="18"/>
                <w:szCs w:val="18"/>
              </w:rPr>
              <w:t>Folklor</w:t>
            </w:r>
          </w:p>
        </w:tc>
        <w:tc>
          <w:tcPr>
            <w:tcW w:w="4531" w:type="dxa"/>
          </w:tcPr>
          <w:p w14:paraId="0E61A5F9" w14:textId="77777777" w:rsidR="00047BE4" w:rsidRPr="00B1794C" w:rsidRDefault="00047BE4" w:rsidP="00047BE4">
            <w:pPr>
              <w:spacing w:before="0"/>
              <w:jc w:val="right"/>
              <w:rPr>
                <w:rFonts w:cstheme="minorHAnsi"/>
                <w:sz w:val="18"/>
                <w:szCs w:val="18"/>
              </w:rPr>
            </w:pPr>
            <w:r w:rsidRPr="00B1794C">
              <w:rPr>
                <w:rFonts w:cstheme="minorHAnsi"/>
                <w:sz w:val="18"/>
                <w:szCs w:val="18"/>
              </w:rPr>
              <w:t>18</w:t>
            </w:r>
          </w:p>
        </w:tc>
      </w:tr>
      <w:tr w:rsidR="00047BE4" w:rsidRPr="00B1794C" w14:paraId="1FFC4536" w14:textId="77777777" w:rsidTr="00047BE4">
        <w:trPr>
          <w:trHeight w:val="20"/>
        </w:trPr>
        <w:tc>
          <w:tcPr>
            <w:tcW w:w="4531" w:type="dxa"/>
          </w:tcPr>
          <w:p w14:paraId="66AAD696" w14:textId="77777777" w:rsidR="00047BE4" w:rsidRPr="00B1794C" w:rsidRDefault="00047BE4" w:rsidP="00047BE4">
            <w:pPr>
              <w:spacing w:before="0"/>
              <w:rPr>
                <w:rFonts w:cstheme="minorHAnsi"/>
                <w:sz w:val="18"/>
                <w:szCs w:val="18"/>
              </w:rPr>
            </w:pPr>
            <w:r w:rsidRPr="00B1794C">
              <w:rPr>
                <w:rFonts w:cstheme="minorHAnsi"/>
                <w:sz w:val="18"/>
                <w:szCs w:val="18"/>
              </w:rPr>
              <w:t>Galerie</w:t>
            </w:r>
          </w:p>
        </w:tc>
        <w:tc>
          <w:tcPr>
            <w:tcW w:w="4531" w:type="dxa"/>
          </w:tcPr>
          <w:p w14:paraId="42F73014" w14:textId="77777777" w:rsidR="00047BE4" w:rsidRPr="00B1794C" w:rsidRDefault="00047BE4" w:rsidP="00047BE4">
            <w:pPr>
              <w:spacing w:before="0"/>
              <w:jc w:val="right"/>
              <w:rPr>
                <w:rFonts w:cstheme="minorHAnsi"/>
                <w:sz w:val="18"/>
                <w:szCs w:val="18"/>
              </w:rPr>
            </w:pPr>
            <w:r w:rsidRPr="00B1794C">
              <w:rPr>
                <w:rFonts w:cstheme="minorHAnsi"/>
                <w:sz w:val="18"/>
                <w:szCs w:val="18"/>
              </w:rPr>
              <w:t>10</w:t>
            </w:r>
          </w:p>
        </w:tc>
      </w:tr>
      <w:tr w:rsidR="00047BE4" w:rsidRPr="00B1794C" w14:paraId="68F8769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2BF7E935" w14:textId="77777777" w:rsidR="00047BE4" w:rsidRPr="00922714" w:rsidRDefault="00047BE4" w:rsidP="00047BE4">
            <w:pPr>
              <w:spacing w:before="0"/>
              <w:rPr>
                <w:rFonts w:cstheme="minorHAnsi"/>
                <w:sz w:val="18"/>
                <w:szCs w:val="18"/>
              </w:rPr>
            </w:pPr>
            <w:r w:rsidRPr="00922714">
              <w:rPr>
                <w:rFonts w:cstheme="minorHAnsi"/>
                <w:sz w:val="18"/>
                <w:szCs w:val="18"/>
              </w:rPr>
              <w:t>Hvězdárna</w:t>
            </w:r>
          </w:p>
        </w:tc>
        <w:tc>
          <w:tcPr>
            <w:tcW w:w="4531" w:type="dxa"/>
          </w:tcPr>
          <w:p w14:paraId="60BA5FC2" w14:textId="77777777" w:rsidR="00047BE4" w:rsidRPr="00B1794C" w:rsidRDefault="00047BE4" w:rsidP="00047BE4">
            <w:pPr>
              <w:spacing w:before="0"/>
              <w:jc w:val="right"/>
              <w:rPr>
                <w:rFonts w:cstheme="minorHAnsi"/>
                <w:sz w:val="18"/>
                <w:szCs w:val="18"/>
                <w:highlight w:val="yellow"/>
              </w:rPr>
            </w:pPr>
            <w:r w:rsidRPr="00922714">
              <w:rPr>
                <w:rFonts w:cstheme="minorHAnsi"/>
                <w:sz w:val="18"/>
                <w:szCs w:val="18"/>
              </w:rPr>
              <w:t>1</w:t>
            </w:r>
          </w:p>
        </w:tc>
      </w:tr>
      <w:tr w:rsidR="00047BE4" w:rsidRPr="00B1794C" w14:paraId="45AC13DA" w14:textId="77777777" w:rsidTr="00047BE4">
        <w:trPr>
          <w:trHeight w:val="20"/>
        </w:trPr>
        <w:tc>
          <w:tcPr>
            <w:tcW w:w="4531" w:type="dxa"/>
          </w:tcPr>
          <w:p w14:paraId="1EEA1B8E" w14:textId="77777777" w:rsidR="00047BE4" w:rsidRPr="00B1794C" w:rsidRDefault="00047BE4" w:rsidP="00047BE4">
            <w:pPr>
              <w:spacing w:before="0"/>
              <w:rPr>
                <w:rFonts w:cstheme="minorHAnsi"/>
                <w:sz w:val="18"/>
                <w:szCs w:val="18"/>
              </w:rPr>
            </w:pPr>
            <w:r w:rsidRPr="00B1794C">
              <w:rPr>
                <w:rFonts w:cstheme="minorHAnsi"/>
                <w:sz w:val="18"/>
                <w:szCs w:val="18"/>
              </w:rPr>
              <w:t>Jazzová hudební tělesa</w:t>
            </w:r>
          </w:p>
        </w:tc>
        <w:tc>
          <w:tcPr>
            <w:tcW w:w="4531" w:type="dxa"/>
          </w:tcPr>
          <w:p w14:paraId="162FDFDE" w14:textId="77777777" w:rsidR="00047BE4" w:rsidRPr="00B1794C" w:rsidRDefault="00047BE4" w:rsidP="00047BE4">
            <w:pPr>
              <w:spacing w:before="0"/>
              <w:jc w:val="right"/>
              <w:rPr>
                <w:rFonts w:cstheme="minorHAnsi"/>
                <w:sz w:val="18"/>
                <w:szCs w:val="18"/>
              </w:rPr>
            </w:pPr>
            <w:r w:rsidRPr="00B1794C">
              <w:rPr>
                <w:rFonts w:cstheme="minorHAnsi"/>
                <w:sz w:val="18"/>
                <w:szCs w:val="18"/>
              </w:rPr>
              <w:t>5</w:t>
            </w:r>
          </w:p>
        </w:tc>
      </w:tr>
      <w:tr w:rsidR="00047BE4" w:rsidRPr="00B1794C" w14:paraId="331EB377"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7582619E" w14:textId="77777777" w:rsidR="00047BE4" w:rsidRPr="00B1794C" w:rsidRDefault="00047BE4" w:rsidP="00047BE4">
            <w:pPr>
              <w:spacing w:before="0"/>
              <w:rPr>
                <w:rFonts w:cstheme="minorHAnsi"/>
                <w:sz w:val="18"/>
                <w:szCs w:val="18"/>
              </w:rPr>
            </w:pPr>
            <w:r w:rsidRPr="00B1794C">
              <w:rPr>
                <w:rFonts w:cstheme="minorHAnsi"/>
                <w:sz w:val="18"/>
                <w:szCs w:val="18"/>
              </w:rPr>
              <w:t>Kina</w:t>
            </w:r>
          </w:p>
        </w:tc>
        <w:tc>
          <w:tcPr>
            <w:tcW w:w="4531" w:type="dxa"/>
          </w:tcPr>
          <w:p w14:paraId="25E7D8EB" w14:textId="77777777" w:rsidR="00047BE4" w:rsidRDefault="00047BE4" w:rsidP="00047BE4">
            <w:pPr>
              <w:spacing w:before="0"/>
              <w:jc w:val="right"/>
              <w:rPr>
                <w:rFonts w:cstheme="minorHAnsi"/>
                <w:sz w:val="18"/>
                <w:szCs w:val="18"/>
              </w:rPr>
            </w:pPr>
            <w:r>
              <w:rPr>
                <w:rFonts w:cstheme="minorHAnsi"/>
                <w:sz w:val="18"/>
                <w:szCs w:val="18"/>
              </w:rPr>
              <w:t>1</w:t>
            </w:r>
          </w:p>
          <w:p w14:paraId="4A798636" w14:textId="77777777" w:rsidR="00047BE4" w:rsidRPr="00B1794C" w:rsidRDefault="00047BE4" w:rsidP="00047BE4">
            <w:pPr>
              <w:spacing w:before="0"/>
              <w:jc w:val="right"/>
              <w:rPr>
                <w:rFonts w:cstheme="minorHAnsi"/>
                <w:sz w:val="18"/>
                <w:szCs w:val="18"/>
              </w:rPr>
            </w:pPr>
            <w:r>
              <w:rPr>
                <w:rFonts w:cstheme="minorHAnsi"/>
                <w:sz w:val="18"/>
                <w:szCs w:val="18"/>
              </w:rPr>
              <w:lastRenderedPageBreak/>
              <w:t>(jeden subjekt provozuje multikino i Malé kino)</w:t>
            </w:r>
          </w:p>
        </w:tc>
      </w:tr>
      <w:tr w:rsidR="00047BE4" w:rsidRPr="00B1794C" w14:paraId="1C606707" w14:textId="77777777" w:rsidTr="00047BE4">
        <w:trPr>
          <w:trHeight w:val="20"/>
        </w:trPr>
        <w:tc>
          <w:tcPr>
            <w:tcW w:w="4531" w:type="dxa"/>
          </w:tcPr>
          <w:p w14:paraId="3BD79AA5" w14:textId="77777777" w:rsidR="00047BE4" w:rsidRPr="00B1794C" w:rsidRDefault="00047BE4" w:rsidP="00047BE4">
            <w:pPr>
              <w:spacing w:before="0"/>
              <w:rPr>
                <w:rFonts w:cstheme="minorHAnsi"/>
                <w:sz w:val="18"/>
                <w:szCs w:val="18"/>
              </w:rPr>
            </w:pPr>
            <w:r w:rsidRPr="00B1794C">
              <w:rPr>
                <w:rFonts w:cstheme="minorHAnsi"/>
                <w:sz w:val="18"/>
                <w:szCs w:val="18"/>
              </w:rPr>
              <w:lastRenderedPageBreak/>
              <w:t>Hudební kluby</w:t>
            </w:r>
          </w:p>
        </w:tc>
        <w:tc>
          <w:tcPr>
            <w:tcW w:w="4531" w:type="dxa"/>
          </w:tcPr>
          <w:p w14:paraId="5954918B" w14:textId="77777777" w:rsidR="00047BE4" w:rsidRPr="00B1794C" w:rsidRDefault="00047BE4" w:rsidP="00047BE4">
            <w:pPr>
              <w:spacing w:before="0"/>
              <w:jc w:val="right"/>
              <w:rPr>
                <w:rFonts w:cstheme="minorHAnsi"/>
                <w:sz w:val="18"/>
                <w:szCs w:val="18"/>
              </w:rPr>
            </w:pPr>
            <w:r w:rsidRPr="00B1794C">
              <w:rPr>
                <w:rFonts w:cstheme="minorHAnsi"/>
                <w:sz w:val="18"/>
                <w:szCs w:val="18"/>
              </w:rPr>
              <w:t>7</w:t>
            </w:r>
          </w:p>
        </w:tc>
      </w:tr>
      <w:tr w:rsidR="00047BE4" w:rsidRPr="00B1794C" w14:paraId="1A88DDEB"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395D2FBD" w14:textId="77777777" w:rsidR="00047BE4" w:rsidRDefault="00047BE4" w:rsidP="00047BE4">
            <w:pPr>
              <w:spacing w:before="0"/>
              <w:rPr>
                <w:rFonts w:cstheme="minorHAnsi"/>
                <w:sz w:val="18"/>
                <w:szCs w:val="18"/>
              </w:rPr>
            </w:pPr>
            <w:r w:rsidRPr="00B1794C">
              <w:rPr>
                <w:rFonts w:cstheme="minorHAnsi"/>
                <w:sz w:val="18"/>
                <w:szCs w:val="18"/>
              </w:rPr>
              <w:t>Knihovny</w:t>
            </w:r>
          </w:p>
          <w:p w14:paraId="46FD4857" w14:textId="77777777" w:rsidR="00047BE4" w:rsidRDefault="00047BE4" w:rsidP="00047BE4">
            <w:pPr>
              <w:pStyle w:val="Odstavecseseznamem"/>
              <w:numPr>
                <w:ilvl w:val="0"/>
                <w:numId w:val="11"/>
              </w:numPr>
              <w:spacing w:before="0"/>
              <w:ind w:left="743"/>
              <w:rPr>
                <w:rFonts w:cstheme="minorHAnsi"/>
                <w:sz w:val="18"/>
                <w:szCs w:val="18"/>
              </w:rPr>
            </w:pPr>
            <w:r>
              <w:rPr>
                <w:rFonts w:cstheme="minorHAnsi"/>
                <w:sz w:val="18"/>
                <w:szCs w:val="18"/>
              </w:rPr>
              <w:t>Odborné knihovny</w:t>
            </w:r>
          </w:p>
          <w:p w14:paraId="7DCD13E8" w14:textId="77777777" w:rsidR="00047BE4" w:rsidRPr="00577F48" w:rsidRDefault="00047BE4" w:rsidP="00047BE4">
            <w:pPr>
              <w:pStyle w:val="Odstavecseseznamem"/>
              <w:numPr>
                <w:ilvl w:val="0"/>
                <w:numId w:val="11"/>
              </w:numPr>
              <w:spacing w:before="0"/>
              <w:ind w:left="743"/>
              <w:rPr>
                <w:rFonts w:cstheme="minorHAnsi"/>
                <w:sz w:val="18"/>
                <w:szCs w:val="18"/>
              </w:rPr>
            </w:pPr>
            <w:r>
              <w:rPr>
                <w:rFonts w:cstheme="minorHAnsi"/>
                <w:sz w:val="18"/>
                <w:szCs w:val="18"/>
              </w:rPr>
              <w:t>Krajská knihovna</w:t>
            </w:r>
          </w:p>
        </w:tc>
        <w:tc>
          <w:tcPr>
            <w:tcW w:w="4531" w:type="dxa"/>
          </w:tcPr>
          <w:p w14:paraId="3F81B779" w14:textId="77777777" w:rsidR="00047BE4" w:rsidRDefault="00047BE4" w:rsidP="00047BE4">
            <w:pPr>
              <w:spacing w:before="0"/>
              <w:jc w:val="right"/>
              <w:rPr>
                <w:rFonts w:cstheme="minorHAnsi"/>
                <w:sz w:val="18"/>
                <w:szCs w:val="18"/>
              </w:rPr>
            </w:pPr>
            <w:r>
              <w:rPr>
                <w:rFonts w:cstheme="minorHAnsi"/>
                <w:sz w:val="18"/>
                <w:szCs w:val="18"/>
              </w:rPr>
              <w:t>4</w:t>
            </w:r>
          </w:p>
          <w:p w14:paraId="6E687119" w14:textId="77777777" w:rsidR="00047BE4" w:rsidRDefault="00047BE4" w:rsidP="00047BE4">
            <w:pPr>
              <w:spacing w:before="0"/>
              <w:jc w:val="right"/>
              <w:rPr>
                <w:rFonts w:cstheme="minorHAnsi"/>
                <w:sz w:val="18"/>
                <w:szCs w:val="18"/>
              </w:rPr>
            </w:pPr>
            <w:r>
              <w:rPr>
                <w:rFonts w:cstheme="minorHAnsi"/>
                <w:sz w:val="18"/>
                <w:szCs w:val="18"/>
              </w:rPr>
              <w:t>3</w:t>
            </w:r>
          </w:p>
          <w:p w14:paraId="37C7CB9C" w14:textId="77777777" w:rsidR="00047BE4" w:rsidRDefault="00047BE4" w:rsidP="00047BE4">
            <w:pPr>
              <w:spacing w:before="0"/>
              <w:jc w:val="right"/>
              <w:rPr>
                <w:rFonts w:cstheme="minorHAnsi"/>
                <w:sz w:val="18"/>
                <w:szCs w:val="18"/>
              </w:rPr>
            </w:pPr>
            <w:r>
              <w:rPr>
                <w:rFonts w:cstheme="minorHAnsi"/>
                <w:sz w:val="18"/>
                <w:szCs w:val="18"/>
              </w:rPr>
              <w:t>1</w:t>
            </w:r>
          </w:p>
          <w:p w14:paraId="06DAFF82" w14:textId="77777777" w:rsidR="00047BE4" w:rsidRPr="00B1794C" w:rsidRDefault="00047BE4" w:rsidP="00047BE4">
            <w:pPr>
              <w:spacing w:before="0"/>
              <w:jc w:val="right"/>
              <w:rPr>
                <w:rFonts w:cstheme="minorHAnsi"/>
                <w:sz w:val="18"/>
                <w:szCs w:val="18"/>
              </w:rPr>
            </w:pPr>
            <w:r>
              <w:rPr>
                <w:rFonts w:cstheme="minorHAnsi"/>
                <w:sz w:val="18"/>
                <w:szCs w:val="18"/>
              </w:rPr>
              <w:t>(zahrnuje 10 poboček a 3 obvodní knihovny)</w:t>
            </w:r>
          </w:p>
        </w:tc>
      </w:tr>
      <w:tr w:rsidR="00047BE4" w:rsidRPr="00B1794C" w14:paraId="1FA1052B" w14:textId="77777777" w:rsidTr="00047BE4">
        <w:trPr>
          <w:trHeight w:val="20"/>
        </w:trPr>
        <w:tc>
          <w:tcPr>
            <w:tcW w:w="4531" w:type="dxa"/>
          </w:tcPr>
          <w:p w14:paraId="0FB642FC" w14:textId="77777777" w:rsidR="00047BE4" w:rsidRPr="00B1794C" w:rsidRDefault="00047BE4" w:rsidP="00047BE4">
            <w:pPr>
              <w:spacing w:before="0"/>
              <w:rPr>
                <w:rFonts w:cstheme="minorHAnsi"/>
                <w:sz w:val="18"/>
                <w:szCs w:val="18"/>
              </w:rPr>
            </w:pPr>
            <w:r w:rsidRPr="00B1794C">
              <w:rPr>
                <w:rFonts w:cstheme="minorHAnsi"/>
                <w:sz w:val="18"/>
                <w:szCs w:val="18"/>
              </w:rPr>
              <w:t>Kongresové centrum Zlín</w:t>
            </w:r>
          </w:p>
        </w:tc>
        <w:tc>
          <w:tcPr>
            <w:tcW w:w="4531" w:type="dxa"/>
          </w:tcPr>
          <w:p w14:paraId="5E348361" w14:textId="77777777" w:rsidR="00047BE4" w:rsidRPr="00B1794C" w:rsidRDefault="00047BE4" w:rsidP="00047BE4">
            <w:pPr>
              <w:spacing w:before="0"/>
              <w:jc w:val="right"/>
              <w:rPr>
                <w:rFonts w:cstheme="minorHAnsi"/>
                <w:sz w:val="18"/>
                <w:szCs w:val="18"/>
              </w:rPr>
            </w:pPr>
            <w:r w:rsidRPr="00B1794C">
              <w:rPr>
                <w:rFonts w:cstheme="minorHAnsi"/>
                <w:sz w:val="18"/>
                <w:szCs w:val="18"/>
              </w:rPr>
              <w:t>1</w:t>
            </w:r>
          </w:p>
        </w:tc>
      </w:tr>
      <w:tr w:rsidR="00047BE4" w:rsidRPr="00B1794C" w14:paraId="2E4C1C14"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7F500FCB" w14:textId="77777777" w:rsidR="00047BE4" w:rsidRPr="00B1794C" w:rsidRDefault="00047BE4" w:rsidP="00047BE4">
            <w:pPr>
              <w:spacing w:before="0"/>
              <w:rPr>
                <w:rFonts w:cstheme="minorHAnsi"/>
                <w:sz w:val="18"/>
                <w:szCs w:val="18"/>
              </w:rPr>
            </w:pPr>
            <w:r w:rsidRPr="00B1794C">
              <w:rPr>
                <w:rFonts w:cstheme="minorHAnsi"/>
                <w:sz w:val="18"/>
                <w:szCs w:val="18"/>
              </w:rPr>
              <w:t>Kostely – bohoslužby</w:t>
            </w:r>
          </w:p>
        </w:tc>
        <w:tc>
          <w:tcPr>
            <w:tcW w:w="4531" w:type="dxa"/>
          </w:tcPr>
          <w:p w14:paraId="3D7AE265" w14:textId="77777777" w:rsidR="00047BE4" w:rsidRPr="00B1794C" w:rsidRDefault="00047BE4" w:rsidP="00047BE4">
            <w:pPr>
              <w:spacing w:before="0"/>
              <w:jc w:val="right"/>
              <w:rPr>
                <w:rFonts w:cstheme="minorHAnsi"/>
                <w:sz w:val="18"/>
                <w:szCs w:val="18"/>
              </w:rPr>
            </w:pPr>
            <w:r w:rsidRPr="00B1794C">
              <w:rPr>
                <w:rFonts w:cstheme="minorHAnsi"/>
                <w:sz w:val="18"/>
                <w:szCs w:val="18"/>
              </w:rPr>
              <w:t>9</w:t>
            </w:r>
          </w:p>
        </w:tc>
      </w:tr>
      <w:tr w:rsidR="00047BE4" w:rsidRPr="00B1794C" w14:paraId="156B1B44" w14:textId="77777777" w:rsidTr="00047BE4">
        <w:trPr>
          <w:trHeight w:val="20"/>
        </w:trPr>
        <w:tc>
          <w:tcPr>
            <w:tcW w:w="4531" w:type="dxa"/>
          </w:tcPr>
          <w:p w14:paraId="38DDE782" w14:textId="77777777" w:rsidR="00047BE4" w:rsidRPr="002D208D" w:rsidRDefault="00047BE4" w:rsidP="00047BE4">
            <w:pPr>
              <w:spacing w:before="0"/>
              <w:rPr>
                <w:rFonts w:cstheme="minorHAnsi"/>
                <w:sz w:val="18"/>
                <w:szCs w:val="18"/>
              </w:rPr>
            </w:pPr>
            <w:r>
              <w:rPr>
                <w:rFonts w:cstheme="minorHAnsi"/>
                <w:sz w:val="18"/>
                <w:szCs w:val="18"/>
              </w:rPr>
              <w:t>Dům ku</w:t>
            </w:r>
            <w:r w:rsidRPr="002D208D">
              <w:rPr>
                <w:rFonts w:cstheme="minorHAnsi"/>
                <w:sz w:val="18"/>
                <w:szCs w:val="18"/>
              </w:rPr>
              <w:t>ltur</w:t>
            </w:r>
            <w:r>
              <w:rPr>
                <w:rFonts w:cstheme="minorHAnsi"/>
                <w:sz w:val="18"/>
                <w:szCs w:val="18"/>
              </w:rPr>
              <w:t>y</w:t>
            </w:r>
          </w:p>
        </w:tc>
        <w:tc>
          <w:tcPr>
            <w:tcW w:w="4531" w:type="dxa"/>
          </w:tcPr>
          <w:p w14:paraId="34074191" w14:textId="77777777" w:rsidR="00047BE4" w:rsidRPr="002D208D" w:rsidRDefault="00047BE4" w:rsidP="00047BE4">
            <w:pPr>
              <w:spacing w:before="0"/>
              <w:jc w:val="right"/>
              <w:rPr>
                <w:rFonts w:cstheme="minorHAnsi"/>
                <w:sz w:val="18"/>
                <w:szCs w:val="18"/>
              </w:rPr>
            </w:pPr>
            <w:r w:rsidRPr="002D208D">
              <w:rPr>
                <w:rFonts w:cstheme="minorHAnsi"/>
                <w:sz w:val="18"/>
                <w:szCs w:val="18"/>
              </w:rPr>
              <w:t>1</w:t>
            </w:r>
          </w:p>
        </w:tc>
      </w:tr>
      <w:tr w:rsidR="00047BE4" w:rsidRPr="00B1794C" w14:paraId="2C3746F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4901AD09" w14:textId="77777777" w:rsidR="00047BE4" w:rsidRPr="00B1794C" w:rsidRDefault="00047BE4" w:rsidP="00047BE4">
            <w:pPr>
              <w:spacing w:before="0"/>
              <w:rPr>
                <w:rFonts w:cstheme="minorHAnsi"/>
                <w:sz w:val="18"/>
                <w:szCs w:val="18"/>
              </w:rPr>
            </w:pPr>
            <w:r w:rsidRPr="00B1794C">
              <w:rPr>
                <w:rFonts w:cstheme="minorHAnsi"/>
                <w:sz w:val="18"/>
                <w:szCs w:val="18"/>
              </w:rPr>
              <w:t>Muzea</w:t>
            </w:r>
          </w:p>
        </w:tc>
        <w:tc>
          <w:tcPr>
            <w:tcW w:w="4531" w:type="dxa"/>
          </w:tcPr>
          <w:p w14:paraId="605807FC" w14:textId="77777777" w:rsidR="00047BE4" w:rsidRPr="00B1794C" w:rsidRDefault="00047BE4" w:rsidP="00047BE4">
            <w:pPr>
              <w:spacing w:before="0"/>
              <w:jc w:val="right"/>
              <w:rPr>
                <w:rFonts w:cstheme="minorHAnsi"/>
                <w:sz w:val="18"/>
                <w:szCs w:val="18"/>
              </w:rPr>
            </w:pPr>
            <w:r w:rsidRPr="00B1794C">
              <w:rPr>
                <w:rFonts w:cstheme="minorHAnsi"/>
                <w:sz w:val="18"/>
                <w:szCs w:val="18"/>
              </w:rPr>
              <w:t>1</w:t>
            </w:r>
          </w:p>
        </w:tc>
      </w:tr>
      <w:tr w:rsidR="00047BE4" w:rsidRPr="00B1794C" w14:paraId="7A073042" w14:textId="77777777" w:rsidTr="00047BE4">
        <w:trPr>
          <w:trHeight w:val="20"/>
        </w:trPr>
        <w:tc>
          <w:tcPr>
            <w:tcW w:w="4531" w:type="dxa"/>
          </w:tcPr>
          <w:p w14:paraId="5FA9FADF" w14:textId="77777777" w:rsidR="00047BE4" w:rsidRPr="00B1794C" w:rsidRDefault="00047BE4" w:rsidP="00047BE4">
            <w:pPr>
              <w:spacing w:before="0"/>
              <w:rPr>
                <w:rFonts w:cstheme="minorHAnsi"/>
                <w:sz w:val="18"/>
                <w:szCs w:val="18"/>
              </w:rPr>
            </w:pPr>
            <w:r w:rsidRPr="00B1794C">
              <w:rPr>
                <w:rFonts w:cstheme="minorHAnsi"/>
                <w:sz w:val="18"/>
                <w:szCs w:val="18"/>
              </w:rPr>
              <w:t>Pěvecké sbory</w:t>
            </w:r>
          </w:p>
        </w:tc>
        <w:tc>
          <w:tcPr>
            <w:tcW w:w="4531" w:type="dxa"/>
          </w:tcPr>
          <w:p w14:paraId="170A1CFF" w14:textId="77777777" w:rsidR="00047BE4" w:rsidRPr="00B1794C" w:rsidRDefault="00047BE4" w:rsidP="00047BE4">
            <w:pPr>
              <w:spacing w:before="0"/>
              <w:jc w:val="right"/>
              <w:rPr>
                <w:rFonts w:cstheme="minorHAnsi"/>
                <w:sz w:val="18"/>
                <w:szCs w:val="18"/>
              </w:rPr>
            </w:pPr>
            <w:r w:rsidRPr="00B1794C">
              <w:rPr>
                <w:rFonts w:cstheme="minorHAnsi"/>
                <w:sz w:val="18"/>
                <w:szCs w:val="18"/>
              </w:rPr>
              <w:t>5</w:t>
            </w:r>
          </w:p>
        </w:tc>
      </w:tr>
      <w:tr w:rsidR="00047BE4" w:rsidRPr="00B1794C" w14:paraId="568A88CE"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00D35B14" w14:textId="77777777" w:rsidR="00047BE4" w:rsidRPr="00B1794C" w:rsidRDefault="00047BE4" w:rsidP="00047BE4">
            <w:pPr>
              <w:spacing w:before="0"/>
              <w:rPr>
                <w:rFonts w:cstheme="minorHAnsi"/>
                <w:sz w:val="18"/>
                <w:szCs w:val="18"/>
              </w:rPr>
            </w:pPr>
            <w:r w:rsidRPr="00B1794C">
              <w:rPr>
                <w:rFonts w:cstheme="minorHAnsi"/>
                <w:sz w:val="18"/>
                <w:szCs w:val="18"/>
              </w:rPr>
              <w:t>Rádia</w:t>
            </w:r>
          </w:p>
        </w:tc>
        <w:tc>
          <w:tcPr>
            <w:tcW w:w="4531" w:type="dxa"/>
          </w:tcPr>
          <w:p w14:paraId="4759AE8F" w14:textId="77777777" w:rsidR="00047BE4" w:rsidRPr="00B1794C" w:rsidRDefault="00047BE4" w:rsidP="00047BE4">
            <w:pPr>
              <w:spacing w:before="0"/>
              <w:jc w:val="right"/>
              <w:rPr>
                <w:rFonts w:cstheme="minorHAnsi"/>
                <w:sz w:val="18"/>
                <w:szCs w:val="18"/>
              </w:rPr>
            </w:pPr>
            <w:r w:rsidRPr="00B1794C">
              <w:rPr>
                <w:rFonts w:cstheme="minorHAnsi"/>
                <w:sz w:val="18"/>
                <w:szCs w:val="18"/>
              </w:rPr>
              <w:t>5</w:t>
            </w:r>
          </w:p>
        </w:tc>
      </w:tr>
      <w:tr w:rsidR="00047BE4" w:rsidRPr="00B1794C" w14:paraId="2B8CD7A0" w14:textId="77777777" w:rsidTr="00047BE4">
        <w:trPr>
          <w:trHeight w:val="20"/>
        </w:trPr>
        <w:tc>
          <w:tcPr>
            <w:tcW w:w="4531" w:type="dxa"/>
          </w:tcPr>
          <w:p w14:paraId="1BAF1883" w14:textId="77777777" w:rsidR="00047BE4" w:rsidRPr="00B1794C" w:rsidRDefault="00047BE4" w:rsidP="00047BE4">
            <w:pPr>
              <w:spacing w:before="0"/>
              <w:rPr>
                <w:rFonts w:cstheme="minorHAnsi"/>
                <w:sz w:val="18"/>
                <w:szCs w:val="18"/>
              </w:rPr>
            </w:pPr>
            <w:r>
              <w:rPr>
                <w:rFonts w:cstheme="minorHAnsi"/>
                <w:sz w:val="18"/>
                <w:szCs w:val="18"/>
              </w:rPr>
              <w:t>U</w:t>
            </w:r>
            <w:r w:rsidRPr="00B1794C">
              <w:rPr>
                <w:rFonts w:cstheme="minorHAnsi"/>
                <w:sz w:val="18"/>
                <w:szCs w:val="18"/>
              </w:rPr>
              <w:t>mělecké školy</w:t>
            </w:r>
            <w:r>
              <w:rPr>
                <w:rFonts w:cstheme="minorHAnsi"/>
                <w:sz w:val="18"/>
                <w:szCs w:val="18"/>
              </w:rPr>
              <w:t xml:space="preserve"> vč. filmových škol</w:t>
            </w:r>
          </w:p>
        </w:tc>
        <w:tc>
          <w:tcPr>
            <w:tcW w:w="4531" w:type="dxa"/>
          </w:tcPr>
          <w:p w14:paraId="274C0C9E" w14:textId="77777777" w:rsidR="00047BE4" w:rsidRPr="00B1794C" w:rsidRDefault="00047BE4" w:rsidP="00047BE4">
            <w:pPr>
              <w:spacing w:before="0"/>
              <w:jc w:val="right"/>
              <w:rPr>
                <w:rFonts w:cstheme="minorHAnsi"/>
                <w:sz w:val="18"/>
                <w:szCs w:val="18"/>
              </w:rPr>
            </w:pPr>
            <w:r>
              <w:rPr>
                <w:rFonts w:cstheme="minorHAnsi"/>
                <w:sz w:val="18"/>
                <w:szCs w:val="18"/>
              </w:rPr>
              <w:t>10</w:t>
            </w:r>
          </w:p>
        </w:tc>
      </w:tr>
      <w:tr w:rsidR="00047BE4" w:rsidRPr="00B1794C" w14:paraId="6987C45C"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531" w:type="dxa"/>
          </w:tcPr>
          <w:p w14:paraId="5538E0E0" w14:textId="77777777" w:rsidR="00047BE4" w:rsidRPr="00B1794C" w:rsidRDefault="00047BE4" w:rsidP="00047BE4">
            <w:pPr>
              <w:spacing w:before="0"/>
              <w:rPr>
                <w:rFonts w:cstheme="minorHAnsi"/>
                <w:sz w:val="18"/>
                <w:szCs w:val="18"/>
              </w:rPr>
            </w:pPr>
            <w:r w:rsidRPr="00B1794C">
              <w:rPr>
                <w:rFonts w:cstheme="minorHAnsi"/>
                <w:sz w:val="18"/>
                <w:szCs w:val="18"/>
              </w:rPr>
              <w:t>Zlínsky klub 204</w:t>
            </w:r>
          </w:p>
        </w:tc>
        <w:tc>
          <w:tcPr>
            <w:tcW w:w="4531" w:type="dxa"/>
          </w:tcPr>
          <w:p w14:paraId="0217E3B8" w14:textId="77777777" w:rsidR="00047BE4" w:rsidRPr="00B1794C" w:rsidRDefault="00047BE4" w:rsidP="00047BE4">
            <w:pPr>
              <w:spacing w:before="0"/>
              <w:jc w:val="right"/>
              <w:rPr>
                <w:rFonts w:cstheme="minorHAnsi"/>
                <w:sz w:val="18"/>
                <w:szCs w:val="18"/>
              </w:rPr>
            </w:pPr>
            <w:r w:rsidRPr="00B1794C">
              <w:rPr>
                <w:rFonts w:cstheme="minorHAnsi"/>
                <w:sz w:val="18"/>
                <w:szCs w:val="18"/>
              </w:rPr>
              <w:t>1</w:t>
            </w:r>
          </w:p>
        </w:tc>
      </w:tr>
    </w:tbl>
    <w:p w14:paraId="1884F84F" w14:textId="65E47491" w:rsidR="00047BE4" w:rsidRPr="00F56B7A" w:rsidRDefault="00047BE4" w:rsidP="00047BE4">
      <w:pPr>
        <w:keepNext/>
        <w:spacing w:before="60"/>
        <w:rPr>
          <w:i/>
          <w:sz w:val="18"/>
        </w:rPr>
      </w:pPr>
      <w:r w:rsidRPr="00F56B7A">
        <w:rPr>
          <w:i/>
          <w:sz w:val="18"/>
        </w:rPr>
        <w:t>Zdroj: https://www.zlin.eu/prehled-kulturnich-organizaci-cl-665.html</w:t>
      </w:r>
      <w:r>
        <w:rPr>
          <w:i/>
          <w:sz w:val="18"/>
        </w:rPr>
        <w:t xml:space="preserve">, </w:t>
      </w:r>
      <w:r w:rsidR="00131F5C">
        <w:rPr>
          <w:i/>
          <w:sz w:val="18"/>
        </w:rPr>
        <w:t xml:space="preserve">PROCES, </w:t>
      </w:r>
      <w:r>
        <w:rPr>
          <w:i/>
          <w:sz w:val="18"/>
        </w:rPr>
        <w:t>vlastní zpracování</w:t>
      </w:r>
      <w:r w:rsidR="00131F5C">
        <w:rPr>
          <w:i/>
          <w:sz w:val="18"/>
        </w:rPr>
        <w:t>, 2020.</w:t>
      </w:r>
    </w:p>
    <w:p w14:paraId="4036B4FB" w14:textId="77777777" w:rsidR="00047BE4" w:rsidRPr="002A5F30" w:rsidRDefault="00047BE4" w:rsidP="00047BE4">
      <w:pPr>
        <w:keepNext/>
        <w:rPr>
          <w:b/>
        </w:rPr>
      </w:pPr>
      <w:r w:rsidRPr="002A5F30">
        <w:rPr>
          <w:b/>
        </w:rPr>
        <w:t>Významné kulturní organizace</w:t>
      </w:r>
      <w:r>
        <w:rPr>
          <w:b/>
        </w:rPr>
        <w:t xml:space="preserve"> </w:t>
      </w:r>
    </w:p>
    <w:p w14:paraId="0DC9E990" w14:textId="185740BA" w:rsidR="00047BE4" w:rsidRDefault="00047BE4" w:rsidP="00047BE4">
      <w:r>
        <w:t xml:space="preserve">Statutární město Zlín zřizuje kulturní příspěvkovou organizaci </w:t>
      </w:r>
      <w:r w:rsidRPr="00DC73AF">
        <w:rPr>
          <w:b/>
        </w:rPr>
        <w:t>Městské divadlo Zlín</w:t>
      </w:r>
      <w:r w:rsidRPr="002552E0">
        <w:t xml:space="preserve"> s profesionálním divadelním souborem s</w:t>
      </w:r>
      <w:r>
        <w:t xml:space="preserve"> 2</w:t>
      </w:r>
      <w:r w:rsidRPr="002552E0">
        <w:t>2 herci (přepočtený stav), navíc zde pravidelně hostuje cca 6 herců a také studenti ZSVOŠU (cca 16 studentů).</w:t>
      </w:r>
      <w:r>
        <w:t xml:space="preserve"> Městské divadlo disponuje 3 hracími prostory – Velký sál </w:t>
      </w:r>
      <w:r w:rsidRPr="002552E0">
        <w:t>s kapacitou hlediště 687 míst, Studio Z</w:t>
      </w:r>
      <w:r>
        <w:t xml:space="preserve"> </w:t>
      </w:r>
      <w:r w:rsidRPr="002552E0">
        <w:t>s kapacitou 146 míst pro diváky a Dílna</w:t>
      </w:r>
      <w:r>
        <w:t xml:space="preserve"> s kapacitou až 100 míst (variabilní uspořádání dle počtu stolů, u kterých diváci sedí). V roce 2018 navštívilo Městské divadlo Zlín celkem 96 551 diváků a bylo tak 19. nejnavštěvovanějším divadlem v ČR (databáze NIPOS). Městské divadlo Zlín je každoročně pořadatelem mezinárodního divadelního festivalu Setkání - Stretnutie.</w:t>
      </w:r>
      <w:r w:rsidRPr="00770CCA">
        <w:t xml:space="preserve"> </w:t>
      </w:r>
      <w:r>
        <w:t>Kromě divadelní tvorby nabízí také služby jako pronájem prostor, zakázkové šití (především divadelních kostýmů), zakázkovou</w:t>
      </w:r>
      <w:r w:rsidRPr="00770CCA">
        <w:t xml:space="preserve"> výrobu především divadelních, filmových a jiných scénografických prvků</w:t>
      </w:r>
      <w:r>
        <w:t xml:space="preserve">, půjčení kostýmů a rekvizit nebo výstavní činnost. Dalším významným divadelním souborem města Zlína je </w:t>
      </w:r>
      <w:r w:rsidRPr="00487052">
        <w:rPr>
          <w:b/>
        </w:rPr>
        <w:t>Malá Scéna Zlín, o.p.s.</w:t>
      </w:r>
      <w:r>
        <w:t xml:space="preserve"> Divadlo působí v komplexu</w:t>
      </w:r>
      <w:r w:rsidRPr="00100726">
        <w:t xml:space="preserve"> </w:t>
      </w:r>
      <w:r>
        <w:t xml:space="preserve">Obchodní a společenské centrum Díly, který má ve výpůjčce ZUŠ Zlín (budova nese lidový název </w:t>
      </w:r>
      <w:r w:rsidRPr="00A619A1">
        <w:t>Malá scéna</w:t>
      </w:r>
      <w:r>
        <w:t>)</w:t>
      </w:r>
      <w:r w:rsidRPr="00A619A1">
        <w:t>.</w:t>
      </w:r>
      <w:r>
        <w:t xml:space="preserve"> Divácká kapacita Divadla Malé scény je </w:t>
      </w:r>
      <w:r w:rsidRPr="00A619A1">
        <w:t xml:space="preserve">260 míst </w:t>
      </w:r>
      <w:r>
        <w:t>(</w:t>
      </w:r>
      <w:r w:rsidRPr="00A619A1">
        <w:t>+ možnost přístavků</w:t>
      </w:r>
      <w:r>
        <w:t xml:space="preserve">). Dále ve Zlíně působí amatérský divadelní spolek </w:t>
      </w:r>
      <w:r w:rsidRPr="00B70279">
        <w:rPr>
          <w:b/>
        </w:rPr>
        <w:t>Studio T</w:t>
      </w:r>
      <w:r>
        <w:t xml:space="preserve">, z.s. se zaměřením na představení pro děti. </w:t>
      </w:r>
      <w:r w:rsidRPr="00EF7D98">
        <w:t xml:space="preserve">V současné době </w:t>
      </w:r>
      <w:r>
        <w:t>působí</w:t>
      </w:r>
      <w:r w:rsidRPr="00EF7D98">
        <w:t xml:space="preserve"> </w:t>
      </w:r>
      <w:r>
        <w:t>v budově Zlínského klubu 204, stejně jako další amatérské divadelní soubory</w:t>
      </w:r>
      <w:r w:rsidR="0071775E">
        <w:t>,</w:t>
      </w:r>
      <w:r>
        <w:t xml:space="preserve"> </w:t>
      </w:r>
      <w:r w:rsidRPr="00B70279">
        <w:rPr>
          <w:b/>
        </w:rPr>
        <w:t xml:space="preserve">Divadlo OPONA, z.s. </w:t>
      </w:r>
      <w:r>
        <w:t xml:space="preserve">nebo dětské divadlo </w:t>
      </w:r>
      <w:r w:rsidRPr="00B70279">
        <w:rPr>
          <w:b/>
        </w:rPr>
        <w:t>Malá múza, z.s.</w:t>
      </w:r>
      <w:r>
        <w:rPr>
          <w:b/>
        </w:rPr>
        <w:t xml:space="preserve"> </w:t>
      </w:r>
      <w:r w:rsidRPr="00C724A5">
        <w:t>Dalším divadlem působícím ve městě je</w:t>
      </w:r>
      <w:r>
        <w:rPr>
          <w:b/>
        </w:rPr>
        <w:t xml:space="preserve"> Divadelní centrum Zlín, z.s.</w:t>
      </w:r>
      <w:r>
        <w:t xml:space="preserve"> se sídlem v areálu zlínských filmových ateliérů. Ve Zlíně pravidelně hraje také </w:t>
      </w:r>
      <w:r w:rsidRPr="00B70279">
        <w:rPr>
          <w:b/>
        </w:rPr>
        <w:t>Divadlo Scéna</w:t>
      </w:r>
      <w:r>
        <w:rPr>
          <w:b/>
        </w:rPr>
        <w:t>, o.p.s.</w:t>
      </w:r>
      <w:r>
        <w:t>, které se orientuje na dětské diváky. Divadlo hraje v budově Malá scéna ve Zlíně.</w:t>
      </w:r>
    </w:p>
    <w:p w14:paraId="1611EDC4" w14:textId="66C4E75A" w:rsidR="00047BE4" w:rsidRDefault="00047BE4" w:rsidP="00047BE4">
      <w:r w:rsidRPr="00CA09D7">
        <w:t>Hlavním aktérem symfonické hudby na území města Zlína</w:t>
      </w:r>
      <w:r>
        <w:t xml:space="preserve"> je </w:t>
      </w:r>
      <w:r w:rsidRPr="00DC73AF">
        <w:rPr>
          <w:b/>
        </w:rPr>
        <w:t>Filharmonie Bohuslava Martinů</w:t>
      </w:r>
      <w:r>
        <w:rPr>
          <w:b/>
        </w:rPr>
        <w:t>, o.p.s.</w:t>
      </w:r>
      <w:r>
        <w:t xml:space="preserve"> (</w:t>
      </w:r>
      <w:r w:rsidRPr="008D10E2">
        <w:t>profesionální osmdesátičlenný symfonický orchestr</w:t>
      </w:r>
      <w:r>
        <w:t xml:space="preserve">) se sídlem v polyfunkční </w:t>
      </w:r>
      <w:r w:rsidRPr="000603B2">
        <w:t>budově Kongresového centra Zlín. Filharmonie byla založena</w:t>
      </w:r>
      <w:r>
        <w:t xml:space="preserve"> po 2. sv. válce. Dříve byla příspěvkovou organizací města Zlín, v roce </w:t>
      </w:r>
      <w:r w:rsidRPr="000603B2">
        <w:t xml:space="preserve">2005 </w:t>
      </w:r>
      <w:r>
        <w:t xml:space="preserve">prošla právní proměnou, kdy </w:t>
      </w:r>
      <w:r w:rsidR="005668E1">
        <w:t>s</w:t>
      </w:r>
      <w:r>
        <w:t>tatutární město Zlín a Zlínský kraj založili Filharmonii</w:t>
      </w:r>
      <w:r w:rsidRPr="007809BB">
        <w:t xml:space="preserve"> Bohuslava Martinů</w:t>
      </w:r>
      <w:r>
        <w:t>,</w:t>
      </w:r>
      <w:r w:rsidRPr="007809BB">
        <w:t xml:space="preserve"> </w:t>
      </w:r>
      <w:r>
        <w:t>obecně prospěšnou společnost, přičemž majetkový podíl města k 1. 1. 2019 činí 50 %.</w:t>
      </w:r>
      <w:r w:rsidRPr="000603B2">
        <w:t xml:space="preserve"> Filharmonie pořádá koncerty vč. hudebně-vzdělávacích konce</w:t>
      </w:r>
      <w:r>
        <w:t>rtů pro děti a studenty, pravidelné abonentní cykly a účastní se českých i zahraničních festivalů. Orchestr využívá jak vlastní hudební nástroje, které hradí z vlastních prostředků a příspěvků zřizovatelů, tak hudební nástroje, které jsou v</w:t>
      </w:r>
      <w:r w:rsidR="0071775E">
        <w:t> </w:t>
      </w:r>
      <w:r>
        <w:t>majetku města, a to na základě smlouvy o výpůjčce.</w:t>
      </w:r>
    </w:p>
    <w:p w14:paraId="48DB3160" w14:textId="77777777" w:rsidR="00047BE4" w:rsidRDefault="00047BE4" w:rsidP="00047BE4">
      <w:r>
        <w:t xml:space="preserve">Další kulturní institucí působící ve městě od roku 2003 je </w:t>
      </w:r>
      <w:r w:rsidRPr="00E741B1">
        <w:rPr>
          <w:b/>
        </w:rPr>
        <w:t>Alternativa – kulturní institut Zlín</w:t>
      </w:r>
      <w:r>
        <w:t>, organizační složka</w:t>
      </w:r>
      <w:r w:rsidRPr="007608B1">
        <w:t xml:space="preserve"> </w:t>
      </w:r>
      <w:r>
        <w:t>SMZ</w:t>
      </w:r>
      <w:r w:rsidRPr="007608B1">
        <w:t xml:space="preserve"> </w:t>
      </w:r>
      <w:r>
        <w:t xml:space="preserve">začleněna pod odbor kultury magistrátu města Zlína. Sídlo organizace je v budově Kolektivního domu a jejím </w:t>
      </w:r>
      <w:r w:rsidRPr="00E741B1">
        <w:t>účelem je rozvoj nejrůznějších kulturních, společenských a vzdělávacích aktivit pro širokou veřejnost s cílem nabídnout kvalitní možnost využití volného času. Mezi pořádané akce patří výstavy, vernisáže výstav, koncerty, přednášky, semináře, školení, konference, besedy, filmové projekce aj.</w:t>
      </w:r>
      <w:r w:rsidRPr="00472E59">
        <w:t xml:space="preserve"> </w:t>
      </w:r>
      <w:r w:rsidRPr="00770CCA">
        <w:t xml:space="preserve">Pro tyto </w:t>
      </w:r>
      <w:r>
        <w:t xml:space="preserve">účely </w:t>
      </w:r>
      <w:r w:rsidRPr="00770CCA">
        <w:t xml:space="preserve">nabízí </w:t>
      </w:r>
      <w:r>
        <w:t xml:space="preserve">své </w:t>
      </w:r>
      <w:r w:rsidRPr="00770CCA">
        <w:t xml:space="preserve">prostory </w:t>
      </w:r>
      <w:r w:rsidRPr="00F8154B">
        <w:t>o výměře 270 m</w:t>
      </w:r>
      <w:r w:rsidRPr="00F8154B">
        <w:rPr>
          <w:vertAlign w:val="superscript"/>
        </w:rPr>
        <w:t xml:space="preserve">2 </w:t>
      </w:r>
      <w:r>
        <w:t xml:space="preserve">také </w:t>
      </w:r>
      <w:r w:rsidRPr="00770CCA">
        <w:t>k pronájmu dalším subjektům.</w:t>
      </w:r>
      <w:r>
        <w:t xml:space="preserve"> Objekt je od roku 1958 zapsán na Seznam nemovitých kulturních památek.</w:t>
      </w:r>
    </w:p>
    <w:p w14:paraId="1C01FA0E" w14:textId="77777777" w:rsidR="00047BE4" w:rsidRPr="00C5320D" w:rsidRDefault="00047BE4" w:rsidP="00047BE4">
      <w:r w:rsidRPr="00ED36FE">
        <w:lastRenderedPageBreak/>
        <w:t xml:space="preserve">Na území města působí také </w:t>
      </w:r>
      <w:r w:rsidRPr="00DC73AF">
        <w:rPr>
          <w:b/>
        </w:rPr>
        <w:t>Krajská knihovna Františka Bartoše</w:t>
      </w:r>
      <w:r>
        <w:t>, příspěvková organizace Zlínského kraje</w:t>
      </w:r>
      <w:r w:rsidRPr="00ED36FE">
        <w:t xml:space="preserve"> s</w:t>
      </w:r>
      <w:r>
        <w:t xml:space="preserve"> Ústřední knihovou, </w:t>
      </w:r>
      <w:r w:rsidRPr="00ED36FE">
        <w:t>třemi obvodními knihovnami (Jižní Svahy, Malenovice, Díly) a 10 pobočkami především v</w:t>
      </w:r>
      <w:r>
        <w:t> </w:t>
      </w:r>
      <w:r w:rsidRPr="00ED36FE">
        <w:t xml:space="preserve">místních částech města (Podlesí, Kudlov, Prštné, Louky, Příluky, Kostelec, Lhotka, Štípa, Velíková, Mokrá). Město </w:t>
      </w:r>
      <w:r>
        <w:t xml:space="preserve">hradí ze svého rozpočtu provoz poboček (elektřina, voda, teplo) a opravy a nákup vybavení pro pobočky a zároveň </w:t>
      </w:r>
      <w:r w:rsidRPr="00ED36FE">
        <w:t>přispívá na provoz Kra</w:t>
      </w:r>
      <w:r>
        <w:t xml:space="preserve">jské knihovny Františka Bartoše, </w:t>
      </w:r>
      <w:r w:rsidRPr="00ED36FE">
        <w:t>neboť vedle svých krajských funkcí poskytuje služby jako městská knihovna. Z Kulturního fondu statutárního města Zlín pak město přispívá na obnovu knihovního fondu (nákup knih) a akci Literární jaro.</w:t>
      </w:r>
      <w:r>
        <w:rPr>
          <w:rStyle w:val="Znakapoznpodarou"/>
        </w:rPr>
        <w:footnoteReference w:id="18"/>
      </w:r>
      <w:r>
        <w:t xml:space="preserve"> Ústřední knihovna sídlí v kulturně vzdělávacím centru 14|15 Baťův institut v areálu bývalých Baťových závodů. Veřejnost může využívat také služeb </w:t>
      </w:r>
      <w:r>
        <w:rPr>
          <w:b/>
        </w:rPr>
        <w:t>K</w:t>
      </w:r>
      <w:r w:rsidRPr="007B4C0E">
        <w:rPr>
          <w:b/>
        </w:rPr>
        <w:t>nihovny Univerzity Tomáše Bati ve Zlíně</w:t>
      </w:r>
      <w:r>
        <w:t xml:space="preserve"> (v současné době se jedná o cca 600 osob</w:t>
      </w:r>
      <w:r>
        <w:rPr>
          <w:rStyle w:val="Znakapoznpodarou"/>
        </w:rPr>
        <w:footnoteReference w:id="19"/>
      </w:r>
      <w:r>
        <w:t xml:space="preserve">), a to zejména pokud hledá odborné informace a literaturu. Další volně přístupnou veřejnosti </w:t>
      </w:r>
      <w:r w:rsidRPr="00C5320D">
        <w:t>je knihovna Krajské galerie výtvarného umění ve Zlíně, která je zaměřena na odbornou literaturu z oblasti výtvarného umění, včetně architektury, užitého umění, fotografie a příbuzných oborů. Další odbornou knihovnu má</w:t>
      </w:r>
      <w:r>
        <w:t xml:space="preserve"> Muzeum</w:t>
      </w:r>
      <w:r w:rsidRPr="00C5320D">
        <w:t xml:space="preserve"> jihovýchodní Moravy ve Zlíně, která je určena pro pracovníky muzea, ale i pro laickou veřejnost.</w:t>
      </w:r>
    </w:p>
    <w:p w14:paraId="12E2BE2F" w14:textId="77777777" w:rsidR="00047BE4" w:rsidRDefault="00047BE4" w:rsidP="00047BE4">
      <w:r>
        <w:t>Kromě Krajské knihovny Františka Bartoše se v budově 14|15 Baťův institut</w:t>
      </w:r>
      <w:r w:rsidRPr="00064EE5">
        <w:t xml:space="preserve"> nachází </w:t>
      </w:r>
      <w:r>
        <w:t xml:space="preserve">další dvě příspěvkové organizace Zlínského kraje, a to </w:t>
      </w:r>
      <w:r w:rsidRPr="00064EE5">
        <w:t>Krajská galerie výtvarného umění ve Zlíně a Muzeum Jihovýchodní Moravy ve Zlíně.</w:t>
      </w:r>
      <w:r>
        <w:t xml:space="preserve"> </w:t>
      </w:r>
      <w:r w:rsidRPr="004F00E7">
        <w:rPr>
          <w:b/>
        </w:rPr>
        <w:t>Muzeum jihovýchodní Moravy ve Zlíně</w:t>
      </w:r>
      <w:r>
        <w:t xml:space="preserve"> nabízí návštěvníkům výstavní i doprovodný program ve dvou objektech na území města Zlína, a to právě v prostorách 14. budovy baťovského areálu a pak na Hradě Malenovice. </w:t>
      </w:r>
      <w:r w:rsidRPr="00B04B00">
        <w:rPr>
          <w:b/>
        </w:rPr>
        <w:t>K</w:t>
      </w:r>
      <w:r>
        <w:rPr>
          <w:b/>
        </w:rPr>
        <w:t xml:space="preserve">rajská galerie výtvarného umění </w:t>
      </w:r>
      <w:r w:rsidRPr="00B04B00">
        <w:t xml:space="preserve">se zabývá zejména českým </w:t>
      </w:r>
      <w:r>
        <w:t>a slovenským výtvarným</w:t>
      </w:r>
      <w:r w:rsidRPr="00064EE5">
        <w:t xml:space="preserve"> umění</w:t>
      </w:r>
      <w:r>
        <w:t>m</w:t>
      </w:r>
      <w:r w:rsidRPr="00064EE5">
        <w:t xml:space="preserve"> a </w:t>
      </w:r>
      <w:r>
        <w:t>architekturou</w:t>
      </w:r>
      <w:r w:rsidRPr="00064EE5">
        <w:t xml:space="preserve"> 19. až 21. století. Spravuje a dále buduje sbírku uměleckých děl, pořádá výstavy, vzdělávací programy a</w:t>
      </w:r>
      <w:r>
        <w:t> </w:t>
      </w:r>
      <w:r w:rsidRPr="00064EE5">
        <w:t>spektrum své činnosti doplňuje o akce propojující různé obory kultury.</w:t>
      </w:r>
    </w:p>
    <w:p w14:paraId="1FA6D569" w14:textId="77777777" w:rsidR="00047BE4" w:rsidRDefault="00047BE4" w:rsidP="00047BE4">
      <w:r>
        <w:t>14|15 Baťův institut je příspěvkovou organizací Zlínského kraje. J</w:t>
      </w:r>
      <w:r w:rsidRPr="00FE7364">
        <w:t>ako krajské kulturně vzdělávací centrum nabízí mimo jiné i kongresové služby. Zájemci o pronájem mohou využít nabídku prostor pro konference, semináře, přednášky, kulturní akce</w:t>
      </w:r>
      <w:r>
        <w:t xml:space="preserve"> atd. </w:t>
      </w:r>
      <w:r w:rsidRPr="00FE7364">
        <w:t>Jedná se především o konferenční sá</w:t>
      </w:r>
      <w:r>
        <w:t>ly, platformu a prostor kavárny. Kapacita místností k pronájmu</w:t>
      </w:r>
      <w:r>
        <w:rPr>
          <w:rStyle w:val="Znakapoznpodarou"/>
        </w:rPr>
        <w:footnoteReference w:id="20"/>
      </w:r>
      <w:r>
        <w:t>:</w:t>
      </w:r>
    </w:p>
    <w:p w14:paraId="5E55E9CB" w14:textId="77777777" w:rsidR="00047BE4" w:rsidRDefault="00047BE4" w:rsidP="00047BE4">
      <w:pPr>
        <w:pStyle w:val="Odstavecseseznamem"/>
        <w:numPr>
          <w:ilvl w:val="0"/>
          <w:numId w:val="11"/>
        </w:numPr>
        <w:spacing w:before="60"/>
        <w:ind w:left="709" w:hanging="357"/>
      </w:pPr>
      <w:r>
        <w:t>Sál A. Multifunkční sál pro konference, přednášky či semináře</w:t>
      </w:r>
      <w:r>
        <w:tab/>
        <w:t>kapacita 90 míst</w:t>
      </w:r>
    </w:p>
    <w:p w14:paraId="20F709FB" w14:textId="77777777" w:rsidR="00047BE4" w:rsidRDefault="00047BE4" w:rsidP="00047BE4">
      <w:pPr>
        <w:pStyle w:val="Odstavecseseznamem"/>
        <w:numPr>
          <w:ilvl w:val="0"/>
          <w:numId w:val="11"/>
        </w:numPr>
        <w:ind w:left="709"/>
      </w:pPr>
      <w:r>
        <w:t xml:space="preserve">Sál B: </w:t>
      </w:r>
      <w:r w:rsidRPr="00FE7364">
        <w:t>Multifunkční sál pro konference, výstavy a další eventy</w:t>
      </w:r>
      <w:r>
        <w:tab/>
        <w:t>kapacita 80 míst</w:t>
      </w:r>
    </w:p>
    <w:p w14:paraId="4046B7FA" w14:textId="77777777" w:rsidR="00047BE4" w:rsidRDefault="00047BE4" w:rsidP="00047BE4">
      <w:pPr>
        <w:pStyle w:val="Odstavecseseznamem"/>
        <w:numPr>
          <w:ilvl w:val="0"/>
          <w:numId w:val="11"/>
        </w:numPr>
        <w:ind w:left="709"/>
      </w:pPr>
      <w:r>
        <w:t xml:space="preserve">Sál C: </w:t>
      </w:r>
      <w:r w:rsidRPr="00FE7364">
        <w:t>Multifunkční sál pro konference, přednášky či semináře</w:t>
      </w:r>
      <w:r>
        <w:tab/>
        <w:t>kapacita 25 míst</w:t>
      </w:r>
    </w:p>
    <w:p w14:paraId="740CCAD5" w14:textId="77777777" w:rsidR="00047BE4" w:rsidRDefault="00047BE4" w:rsidP="00047BE4">
      <w:pPr>
        <w:pStyle w:val="Odstavecseseznamem"/>
        <w:numPr>
          <w:ilvl w:val="0"/>
          <w:numId w:val="11"/>
        </w:numPr>
        <w:ind w:left="709"/>
      </w:pPr>
      <w:r>
        <w:t xml:space="preserve">Platforma: </w:t>
      </w:r>
      <w:r w:rsidRPr="00FE7364">
        <w:t>Hlavní vstupní prostranství pro víceúčelové využití</w:t>
      </w:r>
      <w:r>
        <w:tab/>
        <w:t>kapacita 3 000 osob</w:t>
      </w:r>
    </w:p>
    <w:p w14:paraId="29CE457E" w14:textId="4A71B331" w:rsidR="00047BE4" w:rsidRDefault="00047BE4" w:rsidP="00047BE4">
      <w:r w:rsidRPr="009B760F">
        <w:t xml:space="preserve">Ve městě Zlín se nachází také zoologická zahrada zvaná </w:t>
      </w:r>
      <w:hyperlink r:id="rId46" w:tooltip="Zoologická zahrada Zlín" w:history="1">
        <w:r w:rsidRPr="009B760F">
          <w:t>Zoo Lešná</w:t>
        </w:r>
      </w:hyperlink>
      <w:r w:rsidRPr="009B760F">
        <w:t>. Nachází se v ní také historický zámek </w:t>
      </w:r>
      <w:hyperlink r:id="rId47" w:tooltip="Lešná (zámek, Zlín)" w:history="1">
        <w:r w:rsidRPr="009B760F">
          <w:t>Lešná</w:t>
        </w:r>
      </w:hyperlink>
      <w:r>
        <w:t xml:space="preserve">. Organizace </w:t>
      </w:r>
      <w:r w:rsidRPr="009B760F">
        <w:rPr>
          <w:b/>
        </w:rPr>
        <w:t>ZOO a zámek Zlín-Lešná</w:t>
      </w:r>
      <w:r w:rsidR="005668E1">
        <w:t xml:space="preserve"> je příspěvková organizace s</w:t>
      </w:r>
      <w:r>
        <w:t>tatutárního města Zlín.</w:t>
      </w:r>
      <w:r w:rsidRPr="009B760F">
        <w:t xml:space="preserve"> Na okraji města je provozována také</w:t>
      </w:r>
      <w:r>
        <w:t xml:space="preserve"> </w:t>
      </w:r>
      <w:r w:rsidRPr="00E316C9">
        <w:rPr>
          <w:b/>
        </w:rPr>
        <w:t>Hvězdárna Zlín</w:t>
      </w:r>
      <w:r>
        <w:t xml:space="preserve">, kterou provozuje sdružení občanů Zlínská astronomická společnost na základě smlouvy s městem. </w:t>
      </w:r>
      <w:r w:rsidRPr="00922714">
        <w:t xml:space="preserve">Kromě pozorování oblohy </w:t>
      </w:r>
      <w:r>
        <w:t>zde jsou realizovány</w:t>
      </w:r>
      <w:r w:rsidRPr="00922714">
        <w:t xml:space="preserve"> </w:t>
      </w:r>
      <w:r>
        <w:t xml:space="preserve">astronomické kroužky, </w:t>
      </w:r>
      <w:r w:rsidRPr="00922714">
        <w:t>přednášky, výstavy</w:t>
      </w:r>
      <w:r>
        <w:t>, workshopy</w:t>
      </w:r>
      <w:r w:rsidRPr="00922714">
        <w:t xml:space="preserve"> či koncerty.</w:t>
      </w:r>
      <w:r>
        <w:t xml:space="preserve"> Kapacita hlavního sálu je 50-100 osob (dle povahy akce), kapacita knihovny je 30 osob a pro zázemí akce nabízí hvězdárna svou klubovnu.</w:t>
      </w:r>
    </w:p>
    <w:p w14:paraId="694CACD7" w14:textId="77777777" w:rsidR="00047BE4" w:rsidRDefault="00047BE4" w:rsidP="00047BE4">
      <w:r>
        <w:t xml:space="preserve">Město má od července 2020 zřízenou novou organizační složku </w:t>
      </w:r>
      <w:r w:rsidRPr="00D1208F">
        <w:rPr>
          <w:b/>
        </w:rPr>
        <w:t>Živý Zlín – kulturní agentura</w:t>
      </w:r>
      <w:r>
        <w:t>, která je začleněna pod oddělení cestovního ruchu a informací. Sídlo organizace je na zlínském zámku.</w:t>
      </w:r>
      <w:r w:rsidRPr="00C3253F">
        <w:t xml:space="preserve"> Agentura pořádá kulturní akce ve veřejném prostoru města a na zámku, připravuje edukační aktivity. Poskytuje poradenství a konzultace pořadatelům a také zprostředkovává pronájmy prostor zámku.</w:t>
      </w:r>
    </w:p>
    <w:p w14:paraId="3D8FAB8B" w14:textId="77777777" w:rsidR="00047BE4" w:rsidRDefault="00047BE4" w:rsidP="00047BE4">
      <w:r>
        <w:t xml:space="preserve">Významným centrem </w:t>
      </w:r>
      <w:r w:rsidRPr="00DC73AF">
        <w:t xml:space="preserve">společenského života ve </w:t>
      </w:r>
      <w:r>
        <w:t xml:space="preserve">městě Zlín je </w:t>
      </w:r>
      <w:r w:rsidRPr="00DC73AF">
        <w:rPr>
          <w:b/>
        </w:rPr>
        <w:t>Zlínský klub 204</w:t>
      </w:r>
      <w:r w:rsidRPr="00DC73AF">
        <w:t xml:space="preserve"> otevřen</w:t>
      </w:r>
      <w:r>
        <w:t>ý od 6. října 2014. B</w:t>
      </w:r>
      <w:r w:rsidRPr="00DC73AF">
        <w:t xml:space="preserve">udova </w:t>
      </w:r>
      <w:r>
        <w:t>je využívána j</w:t>
      </w:r>
      <w:r w:rsidRPr="00DC73AF">
        <w:t xml:space="preserve">ako zázemí pro zlínskou amatérskou kulturní scénu a centrum pro rozvoj </w:t>
      </w:r>
      <w:r w:rsidRPr="00DC73AF">
        <w:lastRenderedPageBreak/>
        <w:t>občanské společnosti.</w:t>
      </w:r>
      <w:r>
        <w:t xml:space="preserve"> Prostory slouží spolkům (využívá je cca 24 spolků).</w:t>
      </w:r>
      <w:r>
        <w:rPr>
          <w:rStyle w:val="Znakapoznpodarou"/>
        </w:rPr>
        <w:footnoteReference w:id="21"/>
      </w:r>
      <w:r>
        <w:t xml:space="preserve"> V prostorách Zlínského klubu 204 funguje také kontaktní místo Family Point a Senior Point</w:t>
      </w:r>
      <w:r>
        <w:rPr>
          <w:rStyle w:val="Znakapoznpodarou"/>
        </w:rPr>
        <w:footnoteReference w:id="22"/>
      </w:r>
      <w:r>
        <w:t xml:space="preserve">. </w:t>
      </w:r>
    </w:p>
    <w:p w14:paraId="4BB4BB80" w14:textId="5813D463" w:rsidR="00047BE4" w:rsidRDefault="00047BE4" w:rsidP="00047BE4">
      <w:r>
        <w:t xml:space="preserve">Další významnou budovou určenou pro pořádání </w:t>
      </w:r>
      <w:r w:rsidRPr="002D209B">
        <w:t>kulturních, společenských a vzdělávacích akcí</w:t>
      </w:r>
      <w:r>
        <w:t xml:space="preserve"> je </w:t>
      </w:r>
      <w:r w:rsidRPr="004F0FDF">
        <w:rPr>
          <w:b/>
        </w:rPr>
        <w:t>Kongresové centrum Zlín</w:t>
      </w:r>
      <w:r>
        <w:t xml:space="preserve">. Jedná se o multifunkční objekt, který poskytuje mj. zázemí pro Filharmonii Bohuslava Martinů, o.p.s. </w:t>
      </w:r>
      <w:r w:rsidRPr="00C5320D">
        <w:t>Kongresové centrum</w:t>
      </w:r>
      <w:r>
        <w:t xml:space="preserve"> Zlín je otevřeno od 1. 1. 2011. Investorem a vlastníkem objektu je SMZ. Kapacita Kongresového centra Zlín je 100</w:t>
      </w:r>
      <w:r w:rsidR="00CD5FCF">
        <w:t xml:space="preserve"> </w:t>
      </w:r>
      <w:r>
        <w:t>-</w:t>
      </w:r>
      <w:r w:rsidR="00CD5FCF">
        <w:t xml:space="preserve"> </w:t>
      </w:r>
      <w:r>
        <w:t xml:space="preserve">1000 míst (dle typu akce – možnost </w:t>
      </w:r>
      <w:r w:rsidRPr="002D209B">
        <w:t>variabilního uspořádání jednotlivých prostor umožňuje široké využití Velkého sálu, Malého sálu a</w:t>
      </w:r>
      <w:r>
        <w:t> </w:t>
      </w:r>
      <w:r w:rsidRPr="002D209B">
        <w:t>salonků od akcí pro velké množství návštěvníků až po komorní setkán</w:t>
      </w:r>
      <w:r>
        <w:t>í</w:t>
      </w:r>
      <w:r>
        <w:rPr>
          <w:rStyle w:val="Znakapoznpodarou"/>
        </w:rPr>
        <w:footnoteReference w:id="23"/>
      </w:r>
      <w:r>
        <w:t xml:space="preserve">). </w:t>
      </w:r>
    </w:p>
    <w:p w14:paraId="6F8A0CB1" w14:textId="77777777" w:rsidR="00047BE4" w:rsidRDefault="00047BE4" w:rsidP="00047BE4">
      <w:r>
        <w:t>Tradice filmové produkce ve městě je spojována s </w:t>
      </w:r>
      <w:r w:rsidRPr="00E741B1">
        <w:rPr>
          <w:b/>
        </w:rPr>
        <w:t>areálem zlínských filmových ateliérů</w:t>
      </w:r>
      <w:r>
        <w:t>, který je v současnosti tvořený deseti budovami a</w:t>
      </w:r>
      <w:r w:rsidRPr="00CB1A48">
        <w:t xml:space="preserve"> </w:t>
      </w:r>
      <w:r>
        <w:t xml:space="preserve">běžně přístupný veřejnosti. Mezi společnosti a organizace, které zde sídlí, patří např. Filmové laboratoře Zlín a.s., </w:t>
      </w:r>
      <w:r w:rsidRPr="00CB1A48">
        <w:t>Filmfest, s. r. o. (servisní organizace Zlín Film Festivalu)</w:t>
      </w:r>
      <w:r>
        <w:t xml:space="preserve">, </w:t>
      </w:r>
      <w:r w:rsidRPr="00CB1A48">
        <w:t xml:space="preserve">Filmové ateliéry s. r. o. </w:t>
      </w:r>
      <w:r>
        <w:t xml:space="preserve">a </w:t>
      </w:r>
      <w:r w:rsidRPr="00CB1A48">
        <w:t>Luminar Film s. r. o. (</w:t>
      </w:r>
      <w:r>
        <w:t>oba subjekty se věnují filmové produkci</w:t>
      </w:r>
      <w:r w:rsidRPr="00CB1A48">
        <w:t>)</w:t>
      </w:r>
      <w:r>
        <w:t xml:space="preserve">, </w:t>
      </w:r>
      <w:r w:rsidRPr="00CB1A48">
        <w:t>Filmový uzel Zlín (multimediální dům s kavárnou a stálou expozicí o historii zlínského filmu)</w:t>
      </w:r>
      <w:r>
        <w:t xml:space="preserve">, </w:t>
      </w:r>
      <w:r w:rsidRPr="00CB1A48">
        <w:t>Kabinet filmové historie (expozice věnovaná loutkové a ani</w:t>
      </w:r>
      <w:r>
        <w:t xml:space="preserve">mované tvorbě ve Zlíně), </w:t>
      </w:r>
      <w:r w:rsidRPr="00E741B1">
        <w:t>Zlín Film Office (regionální filmová kancelář pro Zlínský kraj)</w:t>
      </w:r>
      <w:r>
        <w:t>.</w:t>
      </w:r>
      <w:r w:rsidRPr="007809BB">
        <w:t xml:space="preserve"> </w:t>
      </w:r>
    </w:p>
    <w:p w14:paraId="1E15D16C" w14:textId="77777777" w:rsidR="00047BE4" w:rsidRDefault="00047BE4" w:rsidP="00047BE4">
      <w:r>
        <w:t xml:space="preserve">Ve městě se nachází také multikino </w:t>
      </w:r>
      <w:r w:rsidRPr="00955DB3">
        <w:rPr>
          <w:b/>
        </w:rPr>
        <w:t>Golden Apple Cinema, a. s.,</w:t>
      </w:r>
      <w:r>
        <w:t xml:space="preserve"> které se nachází v obchodním centru Zlaté jablko a má 6 sálů s celkovou maximální kapacitou 949 míst. Pod správu společnosti </w:t>
      </w:r>
      <w:r w:rsidRPr="00955DB3">
        <w:t>Golden Apple Cinema</w:t>
      </w:r>
      <w:r>
        <w:t xml:space="preserve"> spadá také </w:t>
      </w:r>
      <w:r w:rsidRPr="00955DB3">
        <w:rPr>
          <w:b/>
        </w:rPr>
        <w:t>Malé kino</w:t>
      </w:r>
      <w:r>
        <w:t xml:space="preserve">, které se nachází </w:t>
      </w:r>
      <w:r w:rsidRPr="00955DB3">
        <w:t xml:space="preserve">v areálu </w:t>
      </w:r>
      <w:r>
        <w:t xml:space="preserve">zlínských </w:t>
      </w:r>
      <w:r w:rsidRPr="00955DB3">
        <w:t>filmových ateliérů.</w:t>
      </w:r>
      <w:r>
        <w:t xml:space="preserve"> Jeho kapacita </w:t>
      </w:r>
      <w:r w:rsidRPr="00955DB3">
        <w:t>je 37 diváků</w:t>
      </w:r>
      <w:r>
        <w:t>.</w:t>
      </w:r>
      <w:r>
        <w:rPr>
          <w:rStyle w:val="Znakapoznpodarou"/>
        </w:rPr>
        <w:footnoteReference w:id="24"/>
      </w:r>
      <w:r>
        <w:t xml:space="preserve"> Na území města se nachází i </w:t>
      </w:r>
      <w:r w:rsidRPr="00C3253F">
        <w:rPr>
          <w:b/>
        </w:rPr>
        <w:t>Velké kino</w:t>
      </w:r>
      <w:r>
        <w:rPr>
          <w:b/>
        </w:rPr>
        <w:t xml:space="preserve"> </w:t>
      </w:r>
      <w:r w:rsidRPr="00C3253F">
        <w:t>na náměstí Práce</w:t>
      </w:r>
      <w:r>
        <w:t xml:space="preserve">, které je ale v současné době uzavřeno z důvodu havarijního stavu budovy. </w:t>
      </w:r>
    </w:p>
    <w:p w14:paraId="460FDE19" w14:textId="77777777" w:rsidR="00047BE4" w:rsidRDefault="00047BE4" w:rsidP="00047BE4">
      <w:pPr>
        <w:rPr>
          <w:rFonts w:cstheme="minorHAnsi"/>
        </w:rPr>
      </w:pPr>
      <w:r w:rsidRPr="002A5F30">
        <w:rPr>
          <w:b/>
        </w:rPr>
        <w:t>Umělecké</w:t>
      </w:r>
      <w:r>
        <w:rPr>
          <w:b/>
        </w:rPr>
        <w:t xml:space="preserve"> vzdělávání</w:t>
      </w:r>
      <w:r>
        <w:t xml:space="preserve"> </w:t>
      </w:r>
      <w:r>
        <w:rPr>
          <w:rFonts w:cstheme="minorHAnsi"/>
        </w:rPr>
        <w:t xml:space="preserve">je ve městě zajištěno prostřednictvím uměleckých škol, filmových škol a dalších kulturních organizací působících ve městě vč. </w:t>
      </w:r>
      <w:r w:rsidRPr="000A773C">
        <w:rPr>
          <w:rFonts w:cstheme="minorHAnsi"/>
        </w:rPr>
        <w:t>zájmov</w:t>
      </w:r>
      <w:r>
        <w:rPr>
          <w:rFonts w:cstheme="minorHAnsi"/>
        </w:rPr>
        <w:t>ých</w:t>
      </w:r>
      <w:r w:rsidRPr="000A773C">
        <w:rPr>
          <w:rFonts w:cstheme="minorHAnsi"/>
        </w:rPr>
        <w:t xml:space="preserve"> sdružení a spolk</w:t>
      </w:r>
      <w:r>
        <w:rPr>
          <w:rFonts w:cstheme="minorHAnsi"/>
        </w:rPr>
        <w:t>ů</w:t>
      </w:r>
      <w:r w:rsidRPr="000A773C">
        <w:rPr>
          <w:rFonts w:cstheme="minorHAnsi"/>
        </w:rPr>
        <w:t xml:space="preserve"> realizují</w:t>
      </w:r>
      <w:r>
        <w:rPr>
          <w:rFonts w:cstheme="minorHAnsi"/>
        </w:rPr>
        <w:t>cích</w:t>
      </w:r>
      <w:r w:rsidRPr="000A773C">
        <w:rPr>
          <w:rFonts w:cstheme="minorHAnsi"/>
        </w:rPr>
        <w:t xml:space="preserve"> kulturně vzdělávací činnost prostřednictvím svých aktivit (např. workshopy, semináře, rukodělné dílny aj.). Tyto aktivity bývají jak cílené na konkrétní cílovou skupinu, tak otevřené pro všechny skupiny návštěvníků (rodiny s dětmi, senio</w:t>
      </w:r>
      <w:r>
        <w:rPr>
          <w:rFonts w:cstheme="minorHAnsi"/>
        </w:rPr>
        <w:t>ry</w:t>
      </w:r>
      <w:r w:rsidRPr="000A773C">
        <w:rPr>
          <w:rFonts w:cstheme="minorHAnsi"/>
        </w:rPr>
        <w:t>, o</w:t>
      </w:r>
      <w:r>
        <w:rPr>
          <w:rFonts w:cstheme="minorHAnsi"/>
        </w:rPr>
        <w:t>soby v produktivním věku atd.).</w:t>
      </w:r>
    </w:p>
    <w:p w14:paraId="69C831F5" w14:textId="77777777" w:rsidR="00047BE4" w:rsidRDefault="00047BE4" w:rsidP="00047BE4">
      <w:pPr>
        <w:rPr>
          <w:rFonts w:cstheme="minorHAnsi"/>
        </w:rPr>
      </w:pPr>
      <w:r w:rsidRPr="00602DD5">
        <w:rPr>
          <w:rFonts w:cstheme="minorHAnsi"/>
        </w:rPr>
        <w:t>Umělecké školy jsou většinou umístěny na základě smluvního vztahu v objektech ve vlastnictví statutárního města Zlín, které tak podporuje volnočasové aktivity dětí a mládeže, jako prevenci sociálně patologických jevů.</w:t>
      </w:r>
    </w:p>
    <w:p w14:paraId="40316BC8" w14:textId="03FDA8C6" w:rsidR="00047BE4" w:rsidRDefault="00047BE4" w:rsidP="00047BE4">
      <w:pPr>
        <w:pStyle w:val="Titulek"/>
        <w:keepNext/>
      </w:pPr>
      <w:bookmarkStart w:id="150" w:name="_Toc53037882"/>
      <w:bookmarkStart w:id="151" w:name="_Toc7707470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22</w:t>
      </w:r>
      <w:r w:rsidR="00081B47">
        <w:rPr>
          <w:noProof/>
        </w:rPr>
        <w:fldChar w:fldCharType="end"/>
      </w:r>
      <w:r w:rsidR="00CD5FCF">
        <w:rPr>
          <w:noProof/>
        </w:rPr>
        <w:t>:</w:t>
      </w:r>
      <w:r>
        <w:t xml:space="preserve"> Přehled uměleckých škol a filmových škol na území </w:t>
      </w:r>
      <w:r w:rsidR="005668E1">
        <w:t>s</w:t>
      </w:r>
      <w:r>
        <w:t>tatutárního města Zlína</w:t>
      </w:r>
      <w:bookmarkEnd w:id="150"/>
      <w:bookmarkEnd w:id="151"/>
    </w:p>
    <w:tbl>
      <w:tblPr>
        <w:tblStyle w:val="Tabulkasmkou31"/>
        <w:tblW w:w="0" w:type="auto"/>
        <w:tblLook w:val="0420" w:firstRow="1" w:lastRow="0" w:firstColumn="0" w:lastColumn="0" w:noHBand="0" w:noVBand="1"/>
      </w:tblPr>
      <w:tblGrid>
        <w:gridCol w:w="4644"/>
        <w:gridCol w:w="4418"/>
      </w:tblGrid>
      <w:tr w:rsidR="00047BE4" w:rsidRPr="00B1794C" w14:paraId="06EF168A" w14:textId="77777777" w:rsidTr="00047BE4">
        <w:trPr>
          <w:cnfStyle w:val="100000000000" w:firstRow="1" w:lastRow="0" w:firstColumn="0" w:lastColumn="0" w:oddVBand="0" w:evenVBand="0" w:oddHBand="0" w:evenHBand="0" w:firstRowFirstColumn="0" w:firstRowLastColumn="0" w:lastRowFirstColumn="0" w:lastRowLastColumn="0"/>
          <w:trHeight w:val="20"/>
        </w:trPr>
        <w:tc>
          <w:tcPr>
            <w:tcW w:w="4644" w:type="dxa"/>
          </w:tcPr>
          <w:p w14:paraId="4300A116" w14:textId="77777777" w:rsidR="00047BE4" w:rsidRPr="00B1794C" w:rsidRDefault="00047BE4" w:rsidP="00047BE4">
            <w:pPr>
              <w:spacing w:before="0"/>
              <w:jc w:val="center"/>
              <w:rPr>
                <w:rFonts w:cstheme="minorHAnsi"/>
                <w:sz w:val="18"/>
                <w:szCs w:val="18"/>
              </w:rPr>
            </w:pPr>
            <w:r>
              <w:rPr>
                <w:rFonts w:cstheme="minorHAnsi"/>
                <w:sz w:val="18"/>
                <w:szCs w:val="18"/>
              </w:rPr>
              <w:t>Umělecké školy vč. hudební školy</w:t>
            </w:r>
          </w:p>
        </w:tc>
        <w:tc>
          <w:tcPr>
            <w:tcW w:w="4418" w:type="dxa"/>
          </w:tcPr>
          <w:p w14:paraId="0A30A322" w14:textId="77777777" w:rsidR="00047BE4" w:rsidRPr="00B1794C" w:rsidRDefault="00047BE4" w:rsidP="00047BE4">
            <w:pPr>
              <w:spacing w:before="0"/>
              <w:jc w:val="center"/>
              <w:rPr>
                <w:rFonts w:cstheme="minorHAnsi"/>
                <w:sz w:val="18"/>
                <w:szCs w:val="18"/>
              </w:rPr>
            </w:pPr>
            <w:r>
              <w:rPr>
                <w:rFonts w:cstheme="minorHAnsi"/>
                <w:sz w:val="18"/>
                <w:szCs w:val="18"/>
              </w:rPr>
              <w:t>Filmové školy</w:t>
            </w:r>
          </w:p>
        </w:tc>
      </w:tr>
      <w:tr w:rsidR="00047BE4" w:rsidRPr="00B1794C" w14:paraId="5B304F11"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644" w:type="dxa"/>
          </w:tcPr>
          <w:p w14:paraId="1D404EAD" w14:textId="77777777" w:rsidR="00047BE4" w:rsidRPr="00AD64C2" w:rsidRDefault="00047BE4" w:rsidP="00047BE4">
            <w:pPr>
              <w:pStyle w:val="Odstavecseseznamem"/>
              <w:numPr>
                <w:ilvl w:val="0"/>
                <w:numId w:val="18"/>
              </w:numPr>
              <w:tabs>
                <w:tab w:val="left" w:pos="1170"/>
              </w:tabs>
              <w:spacing w:before="0"/>
              <w:ind w:left="318"/>
              <w:rPr>
                <w:rFonts w:cstheme="minorHAnsi"/>
                <w:sz w:val="20"/>
                <w:szCs w:val="18"/>
              </w:rPr>
            </w:pPr>
            <w:r w:rsidRPr="00AD64C2">
              <w:rPr>
                <w:rFonts w:cstheme="minorHAnsi"/>
                <w:sz w:val="20"/>
              </w:rPr>
              <w:t xml:space="preserve">Základní umělecká škola Zlín </w:t>
            </w:r>
          </w:p>
        </w:tc>
        <w:tc>
          <w:tcPr>
            <w:tcW w:w="4418" w:type="dxa"/>
          </w:tcPr>
          <w:p w14:paraId="47171292" w14:textId="45A8561B" w:rsidR="00047BE4" w:rsidRPr="00AD64C2" w:rsidRDefault="00047BE4" w:rsidP="00CD5FCF">
            <w:pPr>
              <w:pStyle w:val="Odstavecseseznamem"/>
              <w:numPr>
                <w:ilvl w:val="0"/>
                <w:numId w:val="19"/>
              </w:numPr>
              <w:spacing w:before="0"/>
              <w:ind w:left="323"/>
              <w:jc w:val="left"/>
              <w:rPr>
                <w:rFonts w:cstheme="minorHAnsi"/>
                <w:sz w:val="18"/>
                <w:szCs w:val="18"/>
              </w:rPr>
            </w:pPr>
            <w:r>
              <w:rPr>
                <w:rFonts w:cstheme="minorHAnsi"/>
                <w:sz w:val="18"/>
                <w:szCs w:val="18"/>
              </w:rPr>
              <w:t>S</w:t>
            </w:r>
            <w:r w:rsidRPr="00AD64C2">
              <w:rPr>
                <w:rFonts w:cstheme="minorHAnsi"/>
                <w:sz w:val="18"/>
                <w:szCs w:val="18"/>
              </w:rPr>
              <w:t>třední škola filmová, multimediální</w:t>
            </w:r>
            <w:r w:rsidR="00CD5FCF">
              <w:rPr>
                <w:rFonts w:cstheme="minorHAnsi"/>
                <w:sz w:val="18"/>
                <w:szCs w:val="18"/>
              </w:rPr>
              <w:t>ch</w:t>
            </w:r>
            <w:r>
              <w:rPr>
                <w:rFonts w:cstheme="minorHAnsi"/>
                <w:sz w:val="18"/>
                <w:szCs w:val="18"/>
              </w:rPr>
              <w:t xml:space="preserve"> </w:t>
            </w:r>
            <w:r w:rsidRPr="00AD64C2">
              <w:rPr>
                <w:rFonts w:cstheme="minorHAnsi"/>
                <w:sz w:val="18"/>
                <w:szCs w:val="18"/>
              </w:rPr>
              <w:t>a</w:t>
            </w:r>
            <w:r w:rsidR="00CD5FCF">
              <w:rPr>
                <w:rFonts w:cstheme="minorHAnsi"/>
                <w:sz w:val="18"/>
                <w:szCs w:val="18"/>
              </w:rPr>
              <w:t> </w:t>
            </w:r>
            <w:r w:rsidRPr="00AD64C2">
              <w:rPr>
                <w:rFonts w:cstheme="minorHAnsi"/>
                <w:sz w:val="18"/>
                <w:szCs w:val="18"/>
              </w:rPr>
              <w:t>počítačových technologií, s.r.o.</w:t>
            </w:r>
            <w:r>
              <w:rPr>
                <w:rFonts w:cstheme="minorHAnsi"/>
                <w:sz w:val="18"/>
                <w:szCs w:val="18"/>
              </w:rPr>
              <w:t xml:space="preserve"> (Creative Hill College)</w:t>
            </w:r>
          </w:p>
        </w:tc>
      </w:tr>
      <w:tr w:rsidR="00047BE4" w:rsidRPr="00B1794C" w14:paraId="65EBF792" w14:textId="77777777" w:rsidTr="00047BE4">
        <w:trPr>
          <w:trHeight w:val="20"/>
        </w:trPr>
        <w:tc>
          <w:tcPr>
            <w:tcW w:w="4644" w:type="dxa"/>
          </w:tcPr>
          <w:p w14:paraId="67562BD2" w14:textId="77777777" w:rsidR="00047BE4" w:rsidRPr="00AD64C2" w:rsidRDefault="00047BE4" w:rsidP="00047BE4">
            <w:pPr>
              <w:pStyle w:val="Odstavecseseznamem"/>
              <w:numPr>
                <w:ilvl w:val="0"/>
                <w:numId w:val="18"/>
              </w:numPr>
              <w:tabs>
                <w:tab w:val="left" w:pos="1170"/>
              </w:tabs>
              <w:spacing w:before="0"/>
              <w:ind w:left="318"/>
              <w:rPr>
                <w:rFonts w:cstheme="minorHAnsi"/>
                <w:sz w:val="20"/>
                <w:szCs w:val="18"/>
              </w:rPr>
            </w:pPr>
            <w:r w:rsidRPr="00AD64C2">
              <w:rPr>
                <w:rFonts w:cstheme="minorHAnsi"/>
                <w:sz w:val="20"/>
              </w:rPr>
              <w:t>Základní umělecká škola Zlín – Malenovice</w:t>
            </w:r>
          </w:p>
        </w:tc>
        <w:tc>
          <w:tcPr>
            <w:tcW w:w="4418" w:type="dxa"/>
          </w:tcPr>
          <w:p w14:paraId="6FDBFFA9" w14:textId="0C022F09" w:rsidR="00047BE4" w:rsidRPr="00B1794C" w:rsidRDefault="00047BE4" w:rsidP="00047BE4">
            <w:pPr>
              <w:pStyle w:val="Odstavecseseznamem"/>
              <w:numPr>
                <w:ilvl w:val="0"/>
                <w:numId w:val="19"/>
              </w:numPr>
              <w:spacing w:before="0"/>
              <w:ind w:left="323"/>
              <w:jc w:val="left"/>
              <w:rPr>
                <w:rFonts w:cstheme="minorHAnsi"/>
                <w:sz w:val="18"/>
                <w:szCs w:val="18"/>
              </w:rPr>
            </w:pPr>
            <w:r w:rsidRPr="00AD64C2">
              <w:rPr>
                <w:rFonts w:cstheme="minorHAnsi"/>
                <w:sz w:val="18"/>
                <w:szCs w:val="18"/>
              </w:rPr>
              <w:t>Fakulta mul</w:t>
            </w:r>
            <w:r w:rsidR="0023746C">
              <w:rPr>
                <w:rFonts w:cstheme="minorHAnsi"/>
                <w:sz w:val="18"/>
                <w:szCs w:val="18"/>
              </w:rPr>
              <w:t>timediálních komunikací UTB</w:t>
            </w:r>
          </w:p>
        </w:tc>
      </w:tr>
      <w:tr w:rsidR="00047BE4" w:rsidRPr="00B1794C" w14:paraId="436BA739"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644" w:type="dxa"/>
          </w:tcPr>
          <w:p w14:paraId="28857B93" w14:textId="77777777" w:rsidR="00047BE4" w:rsidRPr="00C950F5" w:rsidRDefault="00047BE4" w:rsidP="00047BE4">
            <w:pPr>
              <w:pStyle w:val="Odstavecseseznamem"/>
              <w:numPr>
                <w:ilvl w:val="0"/>
                <w:numId w:val="18"/>
              </w:numPr>
              <w:tabs>
                <w:tab w:val="left" w:pos="1170"/>
              </w:tabs>
              <w:spacing w:before="0"/>
              <w:ind w:left="318"/>
              <w:jc w:val="left"/>
              <w:rPr>
                <w:rFonts w:cstheme="minorHAnsi"/>
                <w:sz w:val="20"/>
              </w:rPr>
            </w:pPr>
            <w:r w:rsidRPr="00AD64C2">
              <w:rPr>
                <w:rFonts w:cstheme="minorHAnsi"/>
                <w:sz w:val="20"/>
              </w:rPr>
              <w:t>Základní umělecká škola Zlín</w:t>
            </w:r>
            <w:r>
              <w:rPr>
                <w:rFonts w:cstheme="minorHAnsi"/>
                <w:sz w:val="20"/>
              </w:rPr>
              <w:t xml:space="preserve"> – Jižní Svahy</w:t>
            </w:r>
          </w:p>
        </w:tc>
        <w:tc>
          <w:tcPr>
            <w:tcW w:w="4418" w:type="dxa"/>
          </w:tcPr>
          <w:p w14:paraId="23E28095" w14:textId="77777777" w:rsidR="00047BE4" w:rsidRPr="00C950F5" w:rsidRDefault="00047BE4" w:rsidP="00047BE4">
            <w:pPr>
              <w:pStyle w:val="Odstavecseseznamem"/>
              <w:spacing w:before="0"/>
              <w:ind w:left="323"/>
              <w:rPr>
                <w:rFonts w:cstheme="minorHAnsi"/>
                <w:sz w:val="18"/>
                <w:szCs w:val="18"/>
              </w:rPr>
            </w:pPr>
          </w:p>
        </w:tc>
      </w:tr>
      <w:tr w:rsidR="00047BE4" w:rsidRPr="00B1794C" w14:paraId="21C52F32" w14:textId="77777777" w:rsidTr="00047BE4">
        <w:trPr>
          <w:trHeight w:val="20"/>
        </w:trPr>
        <w:tc>
          <w:tcPr>
            <w:tcW w:w="4644" w:type="dxa"/>
          </w:tcPr>
          <w:p w14:paraId="13FB2068" w14:textId="77777777" w:rsidR="00047BE4" w:rsidRPr="00C950F5" w:rsidRDefault="00047BE4" w:rsidP="00047BE4">
            <w:pPr>
              <w:pStyle w:val="Odstavecseseznamem"/>
              <w:numPr>
                <w:ilvl w:val="0"/>
                <w:numId w:val="18"/>
              </w:numPr>
              <w:tabs>
                <w:tab w:val="left" w:pos="1170"/>
              </w:tabs>
              <w:spacing w:before="0"/>
              <w:ind w:left="318"/>
              <w:jc w:val="left"/>
              <w:rPr>
                <w:rFonts w:cstheme="minorHAnsi"/>
                <w:sz w:val="20"/>
              </w:rPr>
            </w:pPr>
            <w:r w:rsidRPr="00AD64C2">
              <w:rPr>
                <w:rFonts w:cstheme="minorHAnsi"/>
                <w:sz w:val="20"/>
              </w:rPr>
              <w:t>Základní umělecká škola HARMONIE Zlín, s.r.o</w:t>
            </w:r>
          </w:p>
        </w:tc>
        <w:tc>
          <w:tcPr>
            <w:tcW w:w="4418" w:type="dxa"/>
          </w:tcPr>
          <w:p w14:paraId="2417026F" w14:textId="77777777" w:rsidR="00047BE4" w:rsidRPr="00B1794C" w:rsidRDefault="00047BE4" w:rsidP="00047BE4">
            <w:pPr>
              <w:spacing w:before="0"/>
              <w:jc w:val="right"/>
              <w:rPr>
                <w:rFonts w:cstheme="minorHAnsi"/>
                <w:sz w:val="18"/>
                <w:szCs w:val="18"/>
              </w:rPr>
            </w:pPr>
          </w:p>
        </w:tc>
      </w:tr>
      <w:tr w:rsidR="00047BE4" w:rsidRPr="00B1794C" w14:paraId="7B3CF78F"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644" w:type="dxa"/>
          </w:tcPr>
          <w:p w14:paraId="24B066F5" w14:textId="77777777" w:rsidR="00047BE4" w:rsidRPr="00C950F5" w:rsidRDefault="00047BE4" w:rsidP="00047BE4">
            <w:pPr>
              <w:pStyle w:val="Odstavecseseznamem"/>
              <w:numPr>
                <w:ilvl w:val="0"/>
                <w:numId w:val="18"/>
              </w:numPr>
              <w:tabs>
                <w:tab w:val="left" w:pos="1170"/>
              </w:tabs>
              <w:spacing w:before="0"/>
              <w:ind w:left="318"/>
              <w:jc w:val="left"/>
              <w:rPr>
                <w:rFonts w:cstheme="minorHAnsi"/>
                <w:sz w:val="20"/>
              </w:rPr>
            </w:pPr>
            <w:r w:rsidRPr="00AD64C2">
              <w:rPr>
                <w:rFonts w:cstheme="minorHAnsi"/>
                <w:sz w:val="20"/>
              </w:rPr>
              <w:t>Základní umělecká škola Morava, s.r.o.</w:t>
            </w:r>
          </w:p>
        </w:tc>
        <w:tc>
          <w:tcPr>
            <w:tcW w:w="4418" w:type="dxa"/>
          </w:tcPr>
          <w:p w14:paraId="1E6A9E05" w14:textId="77777777" w:rsidR="00047BE4" w:rsidRPr="00B1794C" w:rsidRDefault="00047BE4" w:rsidP="00047BE4">
            <w:pPr>
              <w:spacing w:before="0"/>
              <w:jc w:val="right"/>
              <w:rPr>
                <w:rFonts w:cstheme="minorHAnsi"/>
                <w:sz w:val="18"/>
                <w:szCs w:val="18"/>
              </w:rPr>
            </w:pPr>
          </w:p>
        </w:tc>
      </w:tr>
      <w:tr w:rsidR="00047BE4" w:rsidRPr="00B1794C" w14:paraId="196563CD" w14:textId="77777777" w:rsidTr="00047BE4">
        <w:trPr>
          <w:trHeight w:val="20"/>
        </w:trPr>
        <w:tc>
          <w:tcPr>
            <w:tcW w:w="4644" w:type="dxa"/>
          </w:tcPr>
          <w:p w14:paraId="6CF22FAB" w14:textId="77777777" w:rsidR="00047BE4" w:rsidRPr="00C950F5" w:rsidRDefault="00047BE4" w:rsidP="00047BE4">
            <w:pPr>
              <w:pStyle w:val="Odstavecseseznamem"/>
              <w:numPr>
                <w:ilvl w:val="0"/>
                <w:numId w:val="18"/>
              </w:numPr>
              <w:tabs>
                <w:tab w:val="left" w:pos="1170"/>
              </w:tabs>
              <w:spacing w:before="0"/>
              <w:ind w:left="318"/>
              <w:jc w:val="left"/>
              <w:rPr>
                <w:rFonts w:cstheme="minorHAnsi"/>
                <w:sz w:val="20"/>
              </w:rPr>
            </w:pPr>
            <w:r w:rsidRPr="00AD64C2">
              <w:rPr>
                <w:rFonts w:cstheme="minorHAnsi"/>
                <w:sz w:val="20"/>
              </w:rPr>
              <w:t>Hudební škola YAMAHA Zlín</w:t>
            </w:r>
          </w:p>
        </w:tc>
        <w:tc>
          <w:tcPr>
            <w:tcW w:w="4418" w:type="dxa"/>
          </w:tcPr>
          <w:p w14:paraId="221BA3BE" w14:textId="77777777" w:rsidR="00047BE4" w:rsidRPr="00B1794C" w:rsidRDefault="00047BE4" w:rsidP="00047BE4">
            <w:pPr>
              <w:spacing w:before="0"/>
              <w:jc w:val="right"/>
              <w:rPr>
                <w:rFonts w:cstheme="minorHAnsi"/>
                <w:sz w:val="18"/>
                <w:szCs w:val="18"/>
              </w:rPr>
            </w:pPr>
          </w:p>
        </w:tc>
      </w:tr>
      <w:tr w:rsidR="00047BE4" w:rsidRPr="00B1794C" w14:paraId="1A956DEA"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4644" w:type="dxa"/>
          </w:tcPr>
          <w:p w14:paraId="61B276A7" w14:textId="77777777" w:rsidR="00047BE4" w:rsidRPr="009B760F" w:rsidRDefault="00047BE4" w:rsidP="00047BE4">
            <w:pPr>
              <w:pStyle w:val="Odstavecseseznamem"/>
              <w:numPr>
                <w:ilvl w:val="0"/>
                <w:numId w:val="18"/>
              </w:numPr>
              <w:tabs>
                <w:tab w:val="left" w:pos="1170"/>
              </w:tabs>
              <w:spacing w:before="0"/>
              <w:ind w:left="318"/>
              <w:jc w:val="left"/>
              <w:rPr>
                <w:rFonts w:cstheme="minorHAnsi"/>
                <w:sz w:val="20"/>
              </w:rPr>
            </w:pPr>
            <w:r w:rsidRPr="00AD64C2">
              <w:rPr>
                <w:rFonts w:cstheme="minorHAnsi"/>
                <w:sz w:val="20"/>
              </w:rPr>
              <w:t>Základní umělecká škola klávesových nástrojů</w:t>
            </w:r>
          </w:p>
        </w:tc>
        <w:tc>
          <w:tcPr>
            <w:tcW w:w="4418" w:type="dxa"/>
          </w:tcPr>
          <w:p w14:paraId="167ED3F0" w14:textId="77777777" w:rsidR="00047BE4" w:rsidRPr="00B1794C" w:rsidRDefault="00047BE4" w:rsidP="00047BE4">
            <w:pPr>
              <w:spacing w:before="0"/>
              <w:jc w:val="right"/>
              <w:rPr>
                <w:rFonts w:cstheme="minorHAnsi"/>
                <w:sz w:val="18"/>
                <w:szCs w:val="18"/>
              </w:rPr>
            </w:pPr>
          </w:p>
        </w:tc>
      </w:tr>
      <w:tr w:rsidR="00047BE4" w:rsidRPr="00B1794C" w14:paraId="2564C084" w14:textId="77777777" w:rsidTr="00047BE4">
        <w:trPr>
          <w:trHeight w:val="20"/>
        </w:trPr>
        <w:tc>
          <w:tcPr>
            <w:tcW w:w="4644" w:type="dxa"/>
          </w:tcPr>
          <w:p w14:paraId="71A667AC" w14:textId="77777777" w:rsidR="00047BE4" w:rsidRPr="00AD64C2" w:rsidRDefault="00047BE4" w:rsidP="00047BE4">
            <w:pPr>
              <w:pStyle w:val="Odstavecseseznamem"/>
              <w:numPr>
                <w:ilvl w:val="0"/>
                <w:numId w:val="18"/>
              </w:numPr>
              <w:tabs>
                <w:tab w:val="left" w:pos="1170"/>
              </w:tabs>
              <w:spacing w:before="0"/>
              <w:ind w:left="318"/>
              <w:jc w:val="left"/>
              <w:rPr>
                <w:rFonts w:cstheme="minorHAnsi"/>
                <w:sz w:val="20"/>
              </w:rPr>
            </w:pPr>
            <w:r w:rsidRPr="002565D1">
              <w:rPr>
                <w:rFonts w:cstheme="minorHAnsi"/>
                <w:sz w:val="20"/>
              </w:rPr>
              <w:t>Zlínská soukromá vyšší odborná škola</w:t>
            </w:r>
            <w:r>
              <w:rPr>
                <w:rFonts w:cstheme="minorHAnsi"/>
                <w:sz w:val="20"/>
              </w:rPr>
              <w:t xml:space="preserve"> umění, o.</w:t>
            </w:r>
            <w:r w:rsidRPr="002565D1">
              <w:rPr>
                <w:rFonts w:cstheme="minorHAnsi"/>
                <w:sz w:val="20"/>
              </w:rPr>
              <w:t>p.s.</w:t>
            </w:r>
          </w:p>
        </w:tc>
        <w:tc>
          <w:tcPr>
            <w:tcW w:w="4418" w:type="dxa"/>
          </w:tcPr>
          <w:p w14:paraId="17E41E22" w14:textId="77777777" w:rsidR="00047BE4" w:rsidRPr="00B1794C" w:rsidRDefault="00047BE4" w:rsidP="00047BE4">
            <w:pPr>
              <w:spacing w:before="0"/>
              <w:jc w:val="right"/>
              <w:rPr>
                <w:rFonts w:cstheme="minorHAnsi"/>
                <w:sz w:val="18"/>
                <w:szCs w:val="18"/>
              </w:rPr>
            </w:pPr>
          </w:p>
        </w:tc>
      </w:tr>
    </w:tbl>
    <w:p w14:paraId="253A4A57" w14:textId="09AB1C18" w:rsidR="00047BE4" w:rsidRDefault="00047BE4" w:rsidP="00047BE4">
      <w:pPr>
        <w:spacing w:before="60"/>
        <w:rPr>
          <w:rStyle w:val="Hypertextovodkaz"/>
          <w:i/>
          <w:sz w:val="18"/>
        </w:rPr>
      </w:pPr>
      <w:r w:rsidRPr="004F00E7">
        <w:rPr>
          <w:rFonts w:cstheme="minorHAnsi"/>
          <w:i/>
          <w:sz w:val="18"/>
        </w:rPr>
        <w:t xml:space="preserve">Zdroj: </w:t>
      </w:r>
      <w:hyperlink r:id="rId48" w:history="1">
        <w:r w:rsidRPr="00CD5FCF">
          <w:rPr>
            <w:rStyle w:val="Hypertextovodkaz"/>
            <w:i/>
            <w:color w:val="auto"/>
            <w:sz w:val="18"/>
            <w:u w:val="none"/>
          </w:rPr>
          <w:t>https://www.zlin.eu/</w:t>
        </w:r>
      </w:hyperlink>
      <w:r w:rsidRPr="00CD5FCF">
        <w:rPr>
          <w:rStyle w:val="Hypertextovodkaz"/>
          <w:color w:val="auto"/>
          <w:sz w:val="18"/>
          <w:u w:val="none"/>
        </w:rPr>
        <w:t xml:space="preserve">, </w:t>
      </w:r>
      <w:r w:rsidRPr="00552249">
        <w:rPr>
          <w:rStyle w:val="Hypertextovodkaz"/>
          <w:color w:val="000000" w:themeColor="text1"/>
          <w:sz w:val="18"/>
          <w:u w:val="none"/>
        </w:rPr>
        <w:t>2020</w:t>
      </w:r>
      <w:r w:rsidR="00CD5FCF">
        <w:rPr>
          <w:rStyle w:val="Hypertextovodkaz"/>
          <w:color w:val="000000" w:themeColor="text1"/>
          <w:sz w:val="18"/>
          <w:u w:val="none"/>
        </w:rPr>
        <w:t>.</w:t>
      </w:r>
    </w:p>
    <w:p w14:paraId="4842C2E6" w14:textId="2214BB77" w:rsidR="00047BE4" w:rsidRDefault="00047BE4" w:rsidP="00047BE4">
      <w:r w:rsidRPr="00F11B63">
        <w:lastRenderedPageBreak/>
        <w:t xml:space="preserve">Na území města </w:t>
      </w:r>
      <w:r>
        <w:t>Zlína působí také celá řada uměleckých souborů</w:t>
      </w:r>
      <w:r w:rsidR="00E52970">
        <w:t>,</w:t>
      </w:r>
      <w:r>
        <w:t xml:space="preserve"> např. Velký dechový orchestr města Zlína; Big Band Zlín, z.s.; Avion Swing band z.s., F-dur jazzband z.s.; Fryštácká javořina z.s.; Bartošův soubor z. s.; Valašský soubor Kašava, z.s.; VONICA 80 o.p.s., </w:t>
      </w:r>
      <w:r w:rsidRPr="007A2CC5">
        <w:t>Dětský folklórní soubor Vonička</w:t>
      </w:r>
      <w:r>
        <w:t xml:space="preserve">; Dětský folklorní soubor Trnečka; Cimbálová muzika Rováš, Cimbálová muzika Valášek Zlín, z.s.; Cimbálová muzika Juráš z.s., Cimbálová muzika Paléska, z.s.; Cimbálová muzika Máj, </w:t>
      </w:r>
      <w:r w:rsidRPr="00F11B63">
        <w:t>Smíšený pěvecký sbor Dvořák Zlín,</w:t>
      </w:r>
      <w:r>
        <w:t xml:space="preserve"> z.s.; </w:t>
      </w:r>
      <w:r w:rsidRPr="00F11B63">
        <w:t>Canticum Camerale Zlín</w:t>
      </w:r>
      <w:r>
        <w:t xml:space="preserve"> z.s. a další. </w:t>
      </w:r>
    </w:p>
    <w:p w14:paraId="443BBC7C" w14:textId="77777777" w:rsidR="00047BE4" w:rsidRDefault="00047BE4" w:rsidP="00047BE4">
      <w:r>
        <w:t>Z</w:t>
      </w:r>
      <w:r w:rsidRPr="00204551">
        <w:t>ázemí různým souborům, spolkům a školám</w:t>
      </w:r>
      <w:r>
        <w:t xml:space="preserve"> poskytuje mj. Dům kultury, který zároveň umožňuje zájemcům dlouhodobý nebo krátkodobý pronájem prostor</w:t>
      </w:r>
      <w:r w:rsidRPr="00204551">
        <w:t>.</w:t>
      </w:r>
      <w:r>
        <w:t xml:space="preserve"> Kapacita místností k pronájmu</w:t>
      </w:r>
      <w:r>
        <w:rPr>
          <w:rStyle w:val="Znakapoznpodarou"/>
        </w:rPr>
        <w:footnoteReference w:id="25"/>
      </w:r>
      <w:r>
        <w:t>:</w:t>
      </w:r>
    </w:p>
    <w:p w14:paraId="42BAAD19" w14:textId="07C2DA6B" w:rsidR="00047BE4" w:rsidRDefault="00047BE4" w:rsidP="00047BE4">
      <w:pPr>
        <w:pStyle w:val="Odstavecseseznamem"/>
        <w:numPr>
          <w:ilvl w:val="0"/>
          <w:numId w:val="11"/>
        </w:numPr>
        <w:spacing w:before="60"/>
        <w:ind w:left="709" w:hanging="357"/>
      </w:pPr>
      <w:r>
        <w:t>Taneční sál</w:t>
      </w:r>
      <w:r>
        <w:tab/>
        <w:t xml:space="preserve"> </w:t>
      </w:r>
      <w:r>
        <w:tab/>
      </w:r>
      <w:r>
        <w:tab/>
        <w:t>kapacita 150</w:t>
      </w:r>
      <w:r w:rsidR="00897A22">
        <w:t xml:space="preserve"> </w:t>
      </w:r>
      <w:r>
        <w:t>-</w:t>
      </w:r>
      <w:r w:rsidR="00897A22">
        <w:t xml:space="preserve"> </w:t>
      </w:r>
      <w:r>
        <w:t>200 lidí (dle uspořádání)</w:t>
      </w:r>
    </w:p>
    <w:p w14:paraId="0E8F7FF0" w14:textId="77777777" w:rsidR="00047BE4" w:rsidRDefault="00047BE4" w:rsidP="00047BE4">
      <w:pPr>
        <w:pStyle w:val="Odstavecseseznamem"/>
        <w:numPr>
          <w:ilvl w:val="0"/>
          <w:numId w:val="11"/>
        </w:numPr>
        <w:ind w:left="709"/>
      </w:pPr>
      <w:r>
        <w:t>Salonek</w:t>
      </w:r>
      <w:r>
        <w:tab/>
      </w:r>
      <w:r>
        <w:tab/>
      </w:r>
      <w:r>
        <w:tab/>
      </w:r>
      <w:r>
        <w:tab/>
        <w:t>kapacita do 30 lidí (dle uspořádání)</w:t>
      </w:r>
    </w:p>
    <w:p w14:paraId="322BC439" w14:textId="77777777" w:rsidR="00047BE4" w:rsidRDefault="00047BE4" w:rsidP="00047BE4">
      <w:pPr>
        <w:pStyle w:val="Odstavecseseznamem"/>
        <w:numPr>
          <w:ilvl w:val="0"/>
          <w:numId w:val="11"/>
        </w:numPr>
        <w:ind w:left="709"/>
      </w:pPr>
      <w:r>
        <w:t>Místnost č. 21</w:t>
      </w:r>
      <w:r>
        <w:tab/>
      </w:r>
      <w:r>
        <w:tab/>
      </w:r>
      <w:r>
        <w:tab/>
        <w:t>kapacita 22 lidí</w:t>
      </w:r>
    </w:p>
    <w:p w14:paraId="541394B9" w14:textId="24142049" w:rsidR="00047BE4" w:rsidRDefault="00047BE4" w:rsidP="00047BE4">
      <w:pPr>
        <w:pStyle w:val="Odstavecseseznamem"/>
        <w:numPr>
          <w:ilvl w:val="0"/>
          <w:numId w:val="11"/>
        </w:numPr>
        <w:ind w:left="709"/>
      </w:pPr>
      <w:r>
        <w:t>Místnost č</w:t>
      </w:r>
      <w:r w:rsidR="00897A22">
        <w:t xml:space="preserve">. </w:t>
      </w:r>
      <w:r>
        <w:t>329 (1. NP)</w:t>
      </w:r>
      <w:r>
        <w:tab/>
      </w:r>
      <w:r>
        <w:tab/>
        <w:t>kapacita 22 lidí</w:t>
      </w:r>
    </w:p>
    <w:p w14:paraId="0E3D6B21" w14:textId="77777777" w:rsidR="00047BE4" w:rsidRDefault="00047BE4" w:rsidP="00047BE4">
      <w:pPr>
        <w:pStyle w:val="Odstavecseseznamem"/>
        <w:numPr>
          <w:ilvl w:val="0"/>
          <w:numId w:val="11"/>
        </w:numPr>
        <w:ind w:left="709"/>
      </w:pPr>
      <w:r>
        <w:t>Místnost č. 231</w:t>
      </w:r>
      <w:r>
        <w:tab/>
      </w:r>
      <w:r>
        <w:tab/>
      </w:r>
      <w:r>
        <w:tab/>
        <w:t>kapacita 10 lidí</w:t>
      </w:r>
    </w:p>
    <w:p w14:paraId="6543965F" w14:textId="77777777" w:rsidR="00047BE4" w:rsidRPr="00360F1F" w:rsidRDefault="00047BE4" w:rsidP="00047BE4">
      <w:pPr>
        <w:pStyle w:val="Odstavecseseznamem"/>
        <w:numPr>
          <w:ilvl w:val="0"/>
          <w:numId w:val="11"/>
        </w:numPr>
        <w:ind w:left="709"/>
      </w:pPr>
      <w:r>
        <w:t>Tělocvična č. 325</w:t>
      </w:r>
      <w:r>
        <w:tab/>
      </w:r>
      <w:r>
        <w:tab/>
        <w:t>celková výměra 107 m</w:t>
      </w:r>
      <w:r>
        <w:rPr>
          <w:vertAlign w:val="superscript"/>
        </w:rPr>
        <w:t>2</w:t>
      </w:r>
      <w:r>
        <w:t xml:space="preserve"> (není uveden počet osob)</w:t>
      </w:r>
    </w:p>
    <w:p w14:paraId="6CEC9BFE" w14:textId="77777777" w:rsidR="00047BE4" w:rsidRDefault="00047BE4" w:rsidP="00047BE4">
      <w:pPr>
        <w:pStyle w:val="Odstavecseseznamem"/>
        <w:numPr>
          <w:ilvl w:val="0"/>
          <w:numId w:val="11"/>
        </w:numPr>
        <w:ind w:left="709"/>
      </w:pPr>
      <w:r>
        <w:t>Tělocvična č. 307</w:t>
      </w:r>
      <w:r>
        <w:tab/>
      </w:r>
      <w:r>
        <w:tab/>
        <w:t>celková výměra 75 m</w:t>
      </w:r>
      <w:r>
        <w:rPr>
          <w:vertAlign w:val="superscript"/>
        </w:rPr>
        <w:t xml:space="preserve">2 </w:t>
      </w:r>
      <w:r>
        <w:t>(není uveden počet osob)</w:t>
      </w:r>
    </w:p>
    <w:p w14:paraId="4C29452D" w14:textId="77777777" w:rsidR="00047BE4" w:rsidRDefault="00047BE4" w:rsidP="00047BE4">
      <w:pPr>
        <w:pStyle w:val="Odstavecseseznamem"/>
        <w:numPr>
          <w:ilvl w:val="0"/>
          <w:numId w:val="11"/>
        </w:numPr>
        <w:ind w:left="709"/>
      </w:pPr>
      <w:r>
        <w:t>Místnost č. 22 a 23</w:t>
      </w:r>
      <w:r>
        <w:tab/>
      </w:r>
      <w:r>
        <w:tab/>
        <w:t>celková výměra 24,6 m</w:t>
      </w:r>
      <w:r>
        <w:rPr>
          <w:vertAlign w:val="superscript"/>
        </w:rPr>
        <w:t xml:space="preserve">2 </w:t>
      </w:r>
      <w:r>
        <w:t>(není uveden počet osob)</w:t>
      </w:r>
    </w:p>
    <w:p w14:paraId="664FAA62" w14:textId="77777777" w:rsidR="00047BE4" w:rsidRPr="00342936" w:rsidRDefault="00047BE4" w:rsidP="00047BE4">
      <w:pPr>
        <w:pStyle w:val="Odstavecseseznamem"/>
        <w:numPr>
          <w:ilvl w:val="0"/>
          <w:numId w:val="11"/>
        </w:numPr>
        <w:ind w:left="709"/>
      </w:pPr>
      <w:r>
        <w:t>Místnost č. 329 (2. NP)</w:t>
      </w:r>
      <w:r>
        <w:tab/>
      </w:r>
      <w:r>
        <w:tab/>
        <w:t>celková výměra 37 m</w:t>
      </w:r>
      <w:r>
        <w:rPr>
          <w:vertAlign w:val="superscript"/>
        </w:rPr>
        <w:t xml:space="preserve">2 </w:t>
      </w:r>
      <w:r>
        <w:t>(není uveden počet osob)</w:t>
      </w:r>
    </w:p>
    <w:p w14:paraId="1948660B" w14:textId="530B0ADD" w:rsidR="00047BE4" w:rsidRDefault="00047BE4" w:rsidP="00047BE4">
      <w:r w:rsidRPr="00A74BB7">
        <w:t>Dalšími aktéry podporující kulturní život ve městě Zlín je např. Zelenáčova šopa (hudební a divadelní klub a hospoda – jsou zde realizovány koncerty, divadla i besedy; kapacita sálu je do 60 míst a salonku 15 míst)</w:t>
      </w:r>
      <w:r w:rsidRPr="00A74BB7">
        <w:rPr>
          <w:rStyle w:val="Znakapoznpodarou"/>
        </w:rPr>
        <w:footnoteReference w:id="26"/>
      </w:r>
      <w:r>
        <w:t>,</w:t>
      </w:r>
      <w:r w:rsidRPr="00A74BB7">
        <w:t xml:space="preserve"> Agentura Velryba s.r.o. (produkční a eventová agentura) Agentura Pragokoncert Bohemia a.s. (</w:t>
      </w:r>
      <w:r>
        <w:t>umělecká</w:t>
      </w:r>
      <w:r w:rsidRPr="00A74BB7">
        <w:t xml:space="preserve"> agentur</w:t>
      </w:r>
      <w:r>
        <w:t>a</w:t>
      </w:r>
      <w:r w:rsidRPr="00A74BB7">
        <w:t>) nebo Nadace Tomáše Bati – Baťova vila (mj. realizace kulturních i</w:t>
      </w:r>
      <w:r>
        <w:t> </w:t>
      </w:r>
      <w:r w:rsidRPr="00A74BB7">
        <w:t>vzdělávacích a</w:t>
      </w:r>
      <w:r w:rsidR="00897A22">
        <w:t> </w:t>
      </w:r>
      <w:r w:rsidRPr="00A74BB7">
        <w:t>společenské aktivit).</w:t>
      </w:r>
    </w:p>
    <w:p w14:paraId="097F71D1" w14:textId="77777777" w:rsidR="00047BE4" w:rsidRPr="006A5FBF" w:rsidRDefault="00047BE4" w:rsidP="00047BE4">
      <w:pPr>
        <w:rPr>
          <w:rFonts w:cstheme="minorHAnsi"/>
        </w:rPr>
      </w:pPr>
      <w:r w:rsidRPr="005924F7">
        <w:rPr>
          <w:rFonts w:cstheme="minorHAnsi"/>
        </w:rPr>
        <w:t xml:space="preserve">Kultura je spojena </w:t>
      </w:r>
      <w:r>
        <w:rPr>
          <w:rFonts w:cstheme="minorHAnsi"/>
        </w:rPr>
        <w:t xml:space="preserve">také </w:t>
      </w:r>
      <w:r w:rsidRPr="005924F7">
        <w:rPr>
          <w:rFonts w:cstheme="minorHAnsi"/>
        </w:rPr>
        <w:t>s</w:t>
      </w:r>
      <w:r>
        <w:rPr>
          <w:rFonts w:cstheme="minorHAnsi"/>
        </w:rPr>
        <w:t xml:space="preserve"> </w:t>
      </w:r>
      <w:r w:rsidRPr="005924F7">
        <w:rPr>
          <w:rFonts w:cstheme="minorHAnsi"/>
        </w:rPr>
        <w:t>pam</w:t>
      </w:r>
      <w:r>
        <w:rPr>
          <w:rFonts w:cstheme="minorHAnsi"/>
        </w:rPr>
        <w:t xml:space="preserve">átkami, které se váží zejména k </w:t>
      </w:r>
      <w:r w:rsidRPr="005924F7">
        <w:rPr>
          <w:rFonts w:cstheme="minorHAnsi"/>
        </w:rPr>
        <w:t xml:space="preserve">cestovnímu ruchu. </w:t>
      </w:r>
      <w:r>
        <w:rPr>
          <w:rFonts w:cstheme="minorHAnsi"/>
        </w:rPr>
        <w:t>Zároveň se některé kulturní činnosti</w:t>
      </w:r>
      <w:r w:rsidRPr="005924F7">
        <w:rPr>
          <w:rFonts w:cstheme="minorHAnsi"/>
        </w:rPr>
        <w:t xml:space="preserve"> </w:t>
      </w:r>
      <w:r>
        <w:rPr>
          <w:rFonts w:cstheme="minorHAnsi"/>
        </w:rPr>
        <w:t>na území města odehrávají</w:t>
      </w:r>
      <w:r w:rsidRPr="005924F7">
        <w:rPr>
          <w:rFonts w:cstheme="minorHAnsi"/>
        </w:rPr>
        <w:t xml:space="preserve"> v prostorách památkově chráněných, což klade zvýšené nároky na jejich údržbu i pravidelnou obnovu. </w:t>
      </w:r>
      <w:r>
        <w:rPr>
          <w:rFonts w:cstheme="minorHAnsi"/>
        </w:rPr>
        <w:t xml:space="preserve">V </w:t>
      </w:r>
      <w:r w:rsidRPr="005924F7">
        <w:rPr>
          <w:rFonts w:cstheme="minorHAnsi"/>
        </w:rPr>
        <w:t xml:space="preserve">příloze </w:t>
      </w:r>
      <w:r>
        <w:rPr>
          <w:rFonts w:cstheme="minorHAnsi"/>
        </w:rPr>
        <w:t xml:space="preserve">pak </w:t>
      </w:r>
      <w:r w:rsidRPr="005924F7">
        <w:rPr>
          <w:rFonts w:cstheme="minorHAnsi"/>
        </w:rPr>
        <w:t xml:space="preserve">uvádíme seznam památek na katastrálním území města Zlína, </w:t>
      </w:r>
      <w:r w:rsidRPr="00EB0068">
        <w:t xml:space="preserve">viz </w:t>
      </w:r>
      <w:r w:rsidRPr="004A113D">
        <w:t>příloha této kapitoly.</w:t>
      </w:r>
    </w:p>
    <w:p w14:paraId="793E0CC7" w14:textId="77777777" w:rsidR="00047BE4" w:rsidRPr="00627C1C" w:rsidRDefault="00047BE4" w:rsidP="00047BE4">
      <w:pPr>
        <w:rPr>
          <w:b/>
        </w:rPr>
      </w:pPr>
      <w:r w:rsidRPr="00627C1C">
        <w:rPr>
          <w:b/>
        </w:rPr>
        <w:t>Pravidelné kulturní akce</w:t>
      </w:r>
      <w:r>
        <w:rPr>
          <w:b/>
        </w:rPr>
        <w:t xml:space="preserve"> ve městě Zlín</w:t>
      </w:r>
    </w:p>
    <w:p w14:paraId="5C7D34CA" w14:textId="3F188B95" w:rsidR="00047BE4" w:rsidRDefault="00047BE4" w:rsidP="00047BE4">
      <w:r>
        <w:t>Výpis pravidelných akcí ve Zlíně vedených jako kulturní akce uvádí tabulka</w:t>
      </w:r>
      <w:r w:rsidR="00CA267E">
        <w:t xml:space="preserve"> 1.23</w:t>
      </w:r>
      <w:r>
        <w:t>, kde jsou identifikovány akce realizované městem. Z hlediska sezónnosti je nejvíce kulturních aktivit realizováno na jaře (v měsících duben a květen). V letních měsících jsou nejčastěji aktivity směřovány na červen a srpen. V roce 2020 byly všechny veřejné akce ovlivněny koronavirovou krizí a</w:t>
      </w:r>
      <w:r w:rsidR="00897A22">
        <w:t> s </w:t>
      </w:r>
      <w:r>
        <w:t>ní spojenými opatřeními, kvůli kterým musely být některé aktivity zrušeny, omezeny např. v počtu účastníků nebo byly přesunuty na jiný termín (např. Zlín Film Festival byl z května přesunut na září).</w:t>
      </w:r>
    </w:p>
    <w:p w14:paraId="4A5F0505" w14:textId="4317B231" w:rsidR="00047BE4" w:rsidRDefault="00047BE4" w:rsidP="00047BE4">
      <w:pPr>
        <w:pStyle w:val="Titulek"/>
        <w:keepNext/>
        <w:spacing w:after="60"/>
      </w:pPr>
      <w:bookmarkStart w:id="152" w:name="_Toc53037883"/>
      <w:bookmarkStart w:id="153" w:name="_Toc7707470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23</w:t>
      </w:r>
      <w:r w:rsidR="00081B47">
        <w:rPr>
          <w:noProof/>
        </w:rPr>
        <w:fldChar w:fldCharType="end"/>
      </w:r>
      <w:r w:rsidR="00897A22">
        <w:rPr>
          <w:noProof/>
        </w:rPr>
        <w:t>:</w:t>
      </w:r>
      <w:r>
        <w:t xml:space="preserve"> Pravidelné akce ve městě Zlín</w:t>
      </w:r>
      <w:bookmarkEnd w:id="152"/>
      <w:bookmarkEnd w:id="153"/>
    </w:p>
    <w:tbl>
      <w:tblPr>
        <w:tblStyle w:val="Tabulkasmkou31"/>
        <w:tblW w:w="5003" w:type="pct"/>
        <w:tblLook w:val="0420" w:firstRow="1" w:lastRow="0" w:firstColumn="0" w:lastColumn="0" w:noHBand="0" w:noVBand="1"/>
      </w:tblPr>
      <w:tblGrid>
        <w:gridCol w:w="4678"/>
        <w:gridCol w:w="2204"/>
        <w:gridCol w:w="2195"/>
      </w:tblGrid>
      <w:tr w:rsidR="00047BE4" w:rsidRPr="00100726" w14:paraId="0CE61018" w14:textId="77777777" w:rsidTr="00047BE4">
        <w:trPr>
          <w:cnfStyle w:val="100000000000" w:firstRow="1" w:lastRow="0" w:firstColumn="0" w:lastColumn="0" w:oddVBand="0" w:evenVBand="0" w:oddHBand="0" w:evenHBand="0" w:firstRowFirstColumn="0" w:firstRowLastColumn="0" w:lastRowFirstColumn="0" w:lastRowLastColumn="0"/>
          <w:trHeight w:val="20"/>
          <w:tblHeader/>
        </w:trPr>
        <w:tc>
          <w:tcPr>
            <w:tcW w:w="2577" w:type="pct"/>
            <w:noWrap/>
          </w:tcPr>
          <w:p w14:paraId="3A507047" w14:textId="77777777" w:rsidR="00047BE4" w:rsidRPr="00100726" w:rsidRDefault="00047BE4" w:rsidP="00047BE4">
            <w:pPr>
              <w:keepNext/>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Název akce</w:t>
            </w:r>
          </w:p>
        </w:tc>
        <w:tc>
          <w:tcPr>
            <w:tcW w:w="1214" w:type="pct"/>
            <w:noWrap/>
          </w:tcPr>
          <w:p w14:paraId="3AF01701" w14:textId="77777777" w:rsidR="00047BE4" w:rsidRPr="00100726" w:rsidRDefault="00047BE4" w:rsidP="00047BE4">
            <w:pPr>
              <w:keepNext/>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Termín</w:t>
            </w:r>
          </w:p>
        </w:tc>
        <w:tc>
          <w:tcPr>
            <w:tcW w:w="1209" w:type="pct"/>
            <w:noWrap/>
          </w:tcPr>
          <w:p w14:paraId="27AF5895" w14:textId="77777777" w:rsidR="00047BE4" w:rsidRPr="00100726" w:rsidRDefault="00047BE4" w:rsidP="00047BE4">
            <w:pPr>
              <w:keepNext/>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Poznámka</w:t>
            </w:r>
          </w:p>
        </w:tc>
      </w:tr>
      <w:tr w:rsidR="00047BE4" w:rsidRPr="00100726" w14:paraId="2D0D4E4B"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71041287" w14:textId="77777777" w:rsidR="00047BE4" w:rsidRPr="00100726" w:rsidRDefault="00047BE4" w:rsidP="00047BE4">
            <w:pPr>
              <w:keepNext/>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Novoroční ohňostroj</w:t>
            </w:r>
          </w:p>
        </w:tc>
        <w:tc>
          <w:tcPr>
            <w:tcW w:w="1214" w:type="pct"/>
            <w:noWrap/>
            <w:hideMark/>
          </w:tcPr>
          <w:p w14:paraId="4447AC85" w14:textId="77777777" w:rsidR="00047BE4" w:rsidRPr="00100726" w:rsidRDefault="00047BE4" w:rsidP="00047BE4">
            <w:pPr>
              <w:keepNext/>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leden</w:t>
            </w:r>
          </w:p>
        </w:tc>
        <w:tc>
          <w:tcPr>
            <w:tcW w:w="1209" w:type="pct"/>
            <w:noWrap/>
            <w:hideMark/>
          </w:tcPr>
          <w:p w14:paraId="0CB23E51" w14:textId="77777777" w:rsidR="00047BE4" w:rsidRPr="00100726" w:rsidRDefault="00047BE4" w:rsidP="00047BE4">
            <w:pPr>
              <w:keepNext/>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747FCB12" w14:textId="77777777" w:rsidTr="00047BE4">
        <w:trPr>
          <w:trHeight w:val="20"/>
        </w:trPr>
        <w:tc>
          <w:tcPr>
            <w:tcW w:w="2577" w:type="pct"/>
            <w:noWrap/>
            <w:hideMark/>
          </w:tcPr>
          <w:p w14:paraId="728154CE"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Lešetínský fašank</w:t>
            </w:r>
          </w:p>
        </w:tc>
        <w:tc>
          <w:tcPr>
            <w:tcW w:w="1214" w:type="pct"/>
            <w:noWrap/>
            <w:hideMark/>
          </w:tcPr>
          <w:p w14:paraId="669F6090"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únor</w:t>
            </w:r>
          </w:p>
        </w:tc>
        <w:tc>
          <w:tcPr>
            <w:tcW w:w="1209" w:type="pct"/>
            <w:noWrap/>
            <w:hideMark/>
          </w:tcPr>
          <w:p w14:paraId="0B486CBA"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3F73FED4"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659E77E2"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Czech Drive</w:t>
            </w:r>
          </w:p>
        </w:tc>
        <w:tc>
          <w:tcPr>
            <w:tcW w:w="1214" w:type="pct"/>
            <w:noWrap/>
            <w:hideMark/>
          </w:tcPr>
          <w:p w14:paraId="0B6A0D2B"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7E87EBF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6B6F980B" w14:textId="77777777" w:rsidTr="00047BE4">
        <w:trPr>
          <w:trHeight w:val="20"/>
        </w:trPr>
        <w:tc>
          <w:tcPr>
            <w:tcW w:w="2577" w:type="pct"/>
            <w:noWrap/>
            <w:hideMark/>
          </w:tcPr>
          <w:p w14:paraId="6003E959"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Velikonoční jarmark</w:t>
            </w:r>
          </w:p>
        </w:tc>
        <w:tc>
          <w:tcPr>
            <w:tcW w:w="1214" w:type="pct"/>
            <w:noWrap/>
            <w:hideMark/>
          </w:tcPr>
          <w:p w14:paraId="111BEF79"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77BEBD4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745479A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3328BCA2"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Juniorský maraton - Běžíme pro Evropu</w:t>
            </w:r>
          </w:p>
        </w:tc>
        <w:tc>
          <w:tcPr>
            <w:tcW w:w="1214" w:type="pct"/>
            <w:noWrap/>
            <w:hideMark/>
          </w:tcPr>
          <w:p w14:paraId="3CD95636"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78CD3AC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7E950149" w14:textId="77777777" w:rsidTr="00047BE4">
        <w:trPr>
          <w:trHeight w:val="20"/>
        </w:trPr>
        <w:tc>
          <w:tcPr>
            <w:tcW w:w="2577" w:type="pct"/>
            <w:noWrap/>
            <w:hideMark/>
          </w:tcPr>
          <w:p w14:paraId="67CBA64D"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Stavění máje / Pálení čarodějnic</w:t>
            </w:r>
          </w:p>
        </w:tc>
        <w:tc>
          <w:tcPr>
            <w:tcW w:w="1214" w:type="pct"/>
            <w:noWrap/>
            <w:hideMark/>
          </w:tcPr>
          <w:p w14:paraId="0AB7BF7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463872B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7699D573"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355F3991"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Neznámá země</w:t>
            </w:r>
          </w:p>
        </w:tc>
        <w:tc>
          <w:tcPr>
            <w:tcW w:w="1214" w:type="pct"/>
            <w:noWrap/>
            <w:hideMark/>
          </w:tcPr>
          <w:p w14:paraId="213046D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5419A348"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37EE7094" w14:textId="77777777" w:rsidTr="00047BE4">
        <w:trPr>
          <w:trHeight w:val="20"/>
        </w:trPr>
        <w:tc>
          <w:tcPr>
            <w:tcW w:w="2577" w:type="pct"/>
            <w:noWrap/>
            <w:hideMark/>
          </w:tcPr>
          <w:p w14:paraId="069E83E2"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Velikonoce v parku</w:t>
            </w:r>
          </w:p>
        </w:tc>
        <w:tc>
          <w:tcPr>
            <w:tcW w:w="1214" w:type="pct"/>
            <w:noWrap/>
            <w:hideMark/>
          </w:tcPr>
          <w:p w14:paraId="0A36262F"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5A638B93" w14:textId="033D5272"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r w:rsidR="00897A22">
              <w:rPr>
                <w:rFonts w:ascii="Calibri" w:eastAsia="Times New Roman" w:hAnsi="Calibri" w:cs="Calibri"/>
                <w:color w:val="000000"/>
                <w:sz w:val="18"/>
                <w:szCs w:val="18"/>
                <w:lang w:eastAsia="cs-CZ"/>
              </w:rPr>
              <w:t>s</w:t>
            </w:r>
            <w:r>
              <w:rPr>
                <w:rFonts w:ascii="Calibri" w:eastAsia="Times New Roman" w:hAnsi="Calibri" w:cs="Calibri"/>
                <w:color w:val="000000"/>
                <w:sz w:val="18"/>
                <w:szCs w:val="18"/>
                <w:lang w:eastAsia="cs-CZ"/>
              </w:rPr>
              <w:t>oučástí projektu Živý Zlín</w:t>
            </w:r>
          </w:p>
        </w:tc>
      </w:tr>
      <w:tr w:rsidR="00047BE4" w:rsidRPr="00100726" w14:paraId="4E6139C1"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5161A000"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Den Země</w:t>
            </w:r>
          </w:p>
        </w:tc>
        <w:tc>
          <w:tcPr>
            <w:tcW w:w="1214" w:type="pct"/>
            <w:noWrap/>
            <w:hideMark/>
          </w:tcPr>
          <w:p w14:paraId="29440FB8"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xml:space="preserve">duben </w:t>
            </w:r>
          </w:p>
        </w:tc>
        <w:tc>
          <w:tcPr>
            <w:tcW w:w="1209" w:type="pct"/>
            <w:noWrap/>
            <w:hideMark/>
          </w:tcPr>
          <w:p w14:paraId="331BD90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72D36255" w14:textId="77777777" w:rsidTr="00047BE4">
        <w:trPr>
          <w:trHeight w:val="20"/>
        </w:trPr>
        <w:tc>
          <w:tcPr>
            <w:tcW w:w="2577" w:type="pct"/>
            <w:noWrap/>
            <w:hideMark/>
          </w:tcPr>
          <w:p w14:paraId="02F19003"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Putování za tajemným zlínským hradem</w:t>
            </w:r>
          </w:p>
        </w:tc>
        <w:tc>
          <w:tcPr>
            <w:tcW w:w="1214" w:type="pct"/>
            <w:noWrap/>
            <w:hideMark/>
          </w:tcPr>
          <w:p w14:paraId="082E6FFA"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788A75BA"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2495F66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32705F06"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Culturea</w:t>
            </w:r>
          </w:p>
        </w:tc>
        <w:tc>
          <w:tcPr>
            <w:tcW w:w="1214" w:type="pct"/>
            <w:noWrap/>
            <w:hideMark/>
          </w:tcPr>
          <w:p w14:paraId="1BFA44AB"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w:t>
            </w:r>
          </w:p>
        </w:tc>
        <w:tc>
          <w:tcPr>
            <w:tcW w:w="1209" w:type="pct"/>
            <w:noWrap/>
            <w:hideMark/>
          </w:tcPr>
          <w:p w14:paraId="6B2925A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22657756" w14:textId="77777777" w:rsidTr="00047BE4">
        <w:trPr>
          <w:trHeight w:val="20"/>
        </w:trPr>
        <w:tc>
          <w:tcPr>
            <w:tcW w:w="2577" w:type="pct"/>
            <w:noWrap/>
            <w:hideMark/>
          </w:tcPr>
          <w:p w14:paraId="281A573C"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lastRenderedPageBreak/>
              <w:t>Literární jaro</w:t>
            </w:r>
          </w:p>
        </w:tc>
        <w:tc>
          <w:tcPr>
            <w:tcW w:w="1214" w:type="pct"/>
            <w:noWrap/>
            <w:hideMark/>
          </w:tcPr>
          <w:p w14:paraId="15916AC5"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duben/květen</w:t>
            </w:r>
          </w:p>
        </w:tc>
        <w:tc>
          <w:tcPr>
            <w:tcW w:w="1209" w:type="pct"/>
            <w:noWrap/>
            <w:hideMark/>
          </w:tcPr>
          <w:p w14:paraId="06B9D678"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6B57DA0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299FEB7F"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Talentinum</w:t>
            </w:r>
          </w:p>
        </w:tc>
        <w:tc>
          <w:tcPr>
            <w:tcW w:w="1214" w:type="pct"/>
            <w:noWrap/>
            <w:hideMark/>
          </w:tcPr>
          <w:p w14:paraId="771A2506"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duben/květen</w:t>
            </w:r>
          </w:p>
        </w:tc>
        <w:tc>
          <w:tcPr>
            <w:tcW w:w="1209" w:type="pct"/>
            <w:noWrap/>
            <w:hideMark/>
          </w:tcPr>
          <w:p w14:paraId="410B58BB"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bienále</w:t>
            </w:r>
          </w:p>
        </w:tc>
      </w:tr>
      <w:tr w:rsidR="00047BE4" w:rsidRPr="00100726" w14:paraId="4D755E6A" w14:textId="77777777" w:rsidTr="00047BE4">
        <w:trPr>
          <w:trHeight w:val="20"/>
        </w:trPr>
        <w:tc>
          <w:tcPr>
            <w:tcW w:w="2577" w:type="pct"/>
            <w:noWrap/>
            <w:hideMark/>
          </w:tcPr>
          <w:p w14:paraId="2453D4B9"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Oslavy 1. máje</w:t>
            </w:r>
          </w:p>
        </w:tc>
        <w:tc>
          <w:tcPr>
            <w:tcW w:w="1214" w:type="pct"/>
            <w:noWrap/>
            <w:hideMark/>
          </w:tcPr>
          <w:p w14:paraId="3F148E0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129A888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 i jiný subjekt</w:t>
            </w:r>
          </w:p>
        </w:tc>
      </w:tr>
      <w:tr w:rsidR="00047BE4" w:rsidRPr="00100726" w14:paraId="671175E1"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2AB3F681"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Zlín Design Week</w:t>
            </w:r>
          </w:p>
        </w:tc>
        <w:tc>
          <w:tcPr>
            <w:tcW w:w="1214" w:type="pct"/>
            <w:noWrap/>
            <w:hideMark/>
          </w:tcPr>
          <w:p w14:paraId="55047F37"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28913E58"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2A83EA06" w14:textId="77777777" w:rsidTr="00047BE4">
        <w:trPr>
          <w:trHeight w:val="20"/>
        </w:trPr>
        <w:tc>
          <w:tcPr>
            <w:tcW w:w="2577" w:type="pct"/>
            <w:noWrap/>
            <w:hideMark/>
          </w:tcPr>
          <w:p w14:paraId="23E4369F"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Zlínský sraz Porsche</w:t>
            </w:r>
          </w:p>
        </w:tc>
        <w:tc>
          <w:tcPr>
            <w:tcW w:w="1214" w:type="pct"/>
            <w:noWrap/>
            <w:hideMark/>
          </w:tcPr>
          <w:p w14:paraId="05102B3C"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58575C7C"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33D5478F"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21B5AE04"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Zlín Film Festival</w:t>
            </w:r>
          </w:p>
        </w:tc>
        <w:tc>
          <w:tcPr>
            <w:tcW w:w="1214" w:type="pct"/>
            <w:noWrap/>
            <w:hideMark/>
          </w:tcPr>
          <w:p w14:paraId="51E18E0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551222F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3ADF4859" w14:textId="77777777" w:rsidTr="00047BE4">
        <w:trPr>
          <w:trHeight w:val="20"/>
        </w:trPr>
        <w:tc>
          <w:tcPr>
            <w:tcW w:w="2577" w:type="pct"/>
            <w:noWrap/>
            <w:hideMark/>
          </w:tcPr>
          <w:p w14:paraId="18271843"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Burger street festival</w:t>
            </w:r>
          </w:p>
        </w:tc>
        <w:tc>
          <w:tcPr>
            <w:tcW w:w="1214" w:type="pct"/>
            <w:noWrap/>
            <w:hideMark/>
          </w:tcPr>
          <w:p w14:paraId="2EDA779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0E2BA17F"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zatím byl 1. ročník</w:t>
            </w:r>
          </w:p>
        </w:tc>
      </w:tr>
      <w:tr w:rsidR="00047BE4" w:rsidRPr="00100726" w14:paraId="0A695D5E"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22E7558D"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Setkání - Stretnutie</w:t>
            </w:r>
          </w:p>
        </w:tc>
        <w:tc>
          <w:tcPr>
            <w:tcW w:w="1214" w:type="pct"/>
            <w:noWrap/>
            <w:hideMark/>
          </w:tcPr>
          <w:p w14:paraId="1FC9C62F"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1AC4C940"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79FB58B4" w14:textId="77777777" w:rsidTr="00047BE4">
        <w:trPr>
          <w:trHeight w:val="20"/>
        </w:trPr>
        <w:tc>
          <w:tcPr>
            <w:tcW w:w="2577" w:type="pct"/>
            <w:noWrap/>
            <w:hideMark/>
          </w:tcPr>
          <w:p w14:paraId="072F8CB5"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Galerijní a muzejní noc</w:t>
            </w:r>
          </w:p>
        </w:tc>
        <w:tc>
          <w:tcPr>
            <w:tcW w:w="1214" w:type="pct"/>
            <w:noWrap/>
            <w:hideMark/>
          </w:tcPr>
          <w:p w14:paraId="4635C003"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17141F2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6540379B"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3A86ED2C"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Noc kostelů</w:t>
            </w:r>
          </w:p>
        </w:tc>
        <w:tc>
          <w:tcPr>
            <w:tcW w:w="1214" w:type="pct"/>
            <w:noWrap/>
            <w:hideMark/>
          </w:tcPr>
          <w:p w14:paraId="65458D85"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38530DAB"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22F5EC49" w14:textId="77777777" w:rsidTr="00047BE4">
        <w:trPr>
          <w:trHeight w:val="20"/>
        </w:trPr>
        <w:tc>
          <w:tcPr>
            <w:tcW w:w="2577" w:type="pct"/>
            <w:noWrap/>
            <w:hideMark/>
          </w:tcPr>
          <w:p w14:paraId="6BA21105"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Majáles</w:t>
            </w:r>
          </w:p>
        </w:tc>
        <w:tc>
          <w:tcPr>
            <w:tcW w:w="1214" w:type="pct"/>
            <w:noWrap/>
            <w:hideMark/>
          </w:tcPr>
          <w:p w14:paraId="4373D33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květen</w:t>
            </w:r>
          </w:p>
        </w:tc>
        <w:tc>
          <w:tcPr>
            <w:tcW w:w="1209" w:type="pct"/>
            <w:noWrap/>
            <w:hideMark/>
          </w:tcPr>
          <w:p w14:paraId="4D7BD70D"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76D64B81"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4F7668D6"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Rozloučení se sezónou - MDZ</w:t>
            </w:r>
          </w:p>
        </w:tc>
        <w:tc>
          <w:tcPr>
            <w:tcW w:w="1214" w:type="pct"/>
            <w:noWrap/>
            <w:hideMark/>
          </w:tcPr>
          <w:p w14:paraId="0CA0BC0D"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červen</w:t>
            </w:r>
          </w:p>
        </w:tc>
        <w:tc>
          <w:tcPr>
            <w:tcW w:w="1209" w:type="pct"/>
            <w:noWrap/>
            <w:hideMark/>
          </w:tcPr>
          <w:p w14:paraId="0D5AFE31"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4445DD24" w14:textId="77777777" w:rsidTr="00047BE4">
        <w:trPr>
          <w:trHeight w:val="20"/>
        </w:trPr>
        <w:tc>
          <w:tcPr>
            <w:tcW w:w="2577" w:type="pct"/>
            <w:noWrap/>
            <w:hideMark/>
          </w:tcPr>
          <w:p w14:paraId="161B8C6D"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Vydržíš co primátor</w:t>
            </w:r>
          </w:p>
        </w:tc>
        <w:tc>
          <w:tcPr>
            <w:tcW w:w="1214" w:type="pct"/>
            <w:noWrap/>
            <w:hideMark/>
          </w:tcPr>
          <w:p w14:paraId="39E6EF1D"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xml:space="preserve">červen </w:t>
            </w:r>
          </w:p>
        </w:tc>
        <w:tc>
          <w:tcPr>
            <w:tcW w:w="1209" w:type="pct"/>
            <w:noWrap/>
            <w:hideMark/>
          </w:tcPr>
          <w:p w14:paraId="6B700A3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0486BC01"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47418837"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I senioři umí žít naplno</w:t>
            </w:r>
          </w:p>
        </w:tc>
        <w:tc>
          <w:tcPr>
            <w:tcW w:w="1214" w:type="pct"/>
            <w:noWrap/>
            <w:hideMark/>
          </w:tcPr>
          <w:p w14:paraId="38139387"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červen</w:t>
            </w:r>
          </w:p>
        </w:tc>
        <w:tc>
          <w:tcPr>
            <w:tcW w:w="1209" w:type="pct"/>
            <w:noWrap/>
            <w:hideMark/>
          </w:tcPr>
          <w:p w14:paraId="620F6AF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30008C60" w14:textId="77777777" w:rsidTr="00047BE4">
        <w:trPr>
          <w:trHeight w:val="20"/>
        </w:trPr>
        <w:tc>
          <w:tcPr>
            <w:tcW w:w="2577" w:type="pct"/>
            <w:noWrap/>
            <w:hideMark/>
          </w:tcPr>
          <w:p w14:paraId="3FE73008"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Táta Fest</w:t>
            </w:r>
          </w:p>
        </w:tc>
        <w:tc>
          <w:tcPr>
            <w:tcW w:w="1214" w:type="pct"/>
            <w:noWrap/>
            <w:hideMark/>
          </w:tcPr>
          <w:p w14:paraId="232A6931"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červen</w:t>
            </w:r>
          </w:p>
        </w:tc>
        <w:tc>
          <w:tcPr>
            <w:tcW w:w="1209" w:type="pct"/>
            <w:noWrap/>
            <w:hideMark/>
          </w:tcPr>
          <w:p w14:paraId="2D123ED0"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27677E96"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20161E69"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Zlínské jaro</w:t>
            </w:r>
          </w:p>
        </w:tc>
        <w:tc>
          <w:tcPr>
            <w:tcW w:w="1214" w:type="pct"/>
            <w:noWrap/>
            <w:hideMark/>
          </w:tcPr>
          <w:p w14:paraId="0B996C5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červen</w:t>
            </w:r>
          </w:p>
        </w:tc>
        <w:tc>
          <w:tcPr>
            <w:tcW w:w="1209" w:type="pct"/>
            <w:noWrap/>
            <w:hideMark/>
          </w:tcPr>
          <w:p w14:paraId="17DD7F40"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40880393" w14:textId="77777777" w:rsidTr="00047BE4">
        <w:trPr>
          <w:trHeight w:val="20"/>
        </w:trPr>
        <w:tc>
          <w:tcPr>
            <w:tcW w:w="2577" w:type="pct"/>
            <w:noWrap/>
            <w:hideMark/>
          </w:tcPr>
          <w:p w14:paraId="48700D25"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Mezinárodní den jógy</w:t>
            </w:r>
          </w:p>
        </w:tc>
        <w:tc>
          <w:tcPr>
            <w:tcW w:w="1214" w:type="pct"/>
            <w:noWrap/>
            <w:hideMark/>
          </w:tcPr>
          <w:p w14:paraId="0DB51751"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červen</w:t>
            </w:r>
          </w:p>
        </w:tc>
        <w:tc>
          <w:tcPr>
            <w:tcW w:w="1209" w:type="pct"/>
            <w:noWrap/>
            <w:hideMark/>
          </w:tcPr>
          <w:p w14:paraId="774C2DDA"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0FFBAEFE"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3CFDF026"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Zlínské filmové léto</w:t>
            </w:r>
          </w:p>
        </w:tc>
        <w:tc>
          <w:tcPr>
            <w:tcW w:w="1214" w:type="pct"/>
            <w:noWrap/>
            <w:hideMark/>
          </w:tcPr>
          <w:p w14:paraId="74F2C229"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Červenec-</w:t>
            </w:r>
            <w:r w:rsidRPr="00100726">
              <w:rPr>
                <w:rFonts w:ascii="Calibri" w:eastAsia="Times New Roman" w:hAnsi="Calibri" w:cs="Calibri"/>
                <w:color w:val="000000"/>
                <w:sz w:val="18"/>
                <w:szCs w:val="18"/>
                <w:lang w:eastAsia="cs-CZ"/>
              </w:rPr>
              <w:t>srpen</w:t>
            </w:r>
          </w:p>
        </w:tc>
        <w:tc>
          <w:tcPr>
            <w:tcW w:w="1209" w:type="pct"/>
            <w:noWrap/>
            <w:hideMark/>
          </w:tcPr>
          <w:p w14:paraId="200F8F5D"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2364902B" w14:textId="77777777" w:rsidTr="00047BE4">
        <w:trPr>
          <w:trHeight w:val="20"/>
        </w:trPr>
        <w:tc>
          <w:tcPr>
            <w:tcW w:w="2577" w:type="pct"/>
            <w:noWrap/>
            <w:hideMark/>
          </w:tcPr>
          <w:p w14:paraId="4574EF56"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Barum Czech Rally Zlín</w:t>
            </w:r>
          </w:p>
        </w:tc>
        <w:tc>
          <w:tcPr>
            <w:tcW w:w="1214" w:type="pct"/>
            <w:noWrap/>
            <w:hideMark/>
          </w:tcPr>
          <w:p w14:paraId="320E7E66"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srpen</w:t>
            </w:r>
          </w:p>
        </w:tc>
        <w:tc>
          <w:tcPr>
            <w:tcW w:w="1209" w:type="pct"/>
            <w:noWrap/>
            <w:hideMark/>
          </w:tcPr>
          <w:p w14:paraId="7113E5D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0764560D"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63FB843B"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Zlínské besedování</w:t>
            </w:r>
          </w:p>
        </w:tc>
        <w:tc>
          <w:tcPr>
            <w:tcW w:w="1214" w:type="pct"/>
            <w:noWrap/>
            <w:hideMark/>
          </w:tcPr>
          <w:p w14:paraId="430CB7A1"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srpen</w:t>
            </w:r>
          </w:p>
        </w:tc>
        <w:tc>
          <w:tcPr>
            <w:tcW w:w="1209" w:type="pct"/>
            <w:noWrap/>
            <w:hideMark/>
          </w:tcPr>
          <w:p w14:paraId="59ED806A"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bienále</w:t>
            </w:r>
          </w:p>
        </w:tc>
      </w:tr>
      <w:tr w:rsidR="00047BE4" w:rsidRPr="00100726" w14:paraId="6E91F1EC" w14:textId="77777777" w:rsidTr="00047BE4">
        <w:trPr>
          <w:trHeight w:val="20"/>
        </w:trPr>
        <w:tc>
          <w:tcPr>
            <w:tcW w:w="2577" w:type="pct"/>
            <w:noWrap/>
            <w:hideMark/>
          </w:tcPr>
          <w:p w14:paraId="2F45E7A5"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Mezinárodní festival dechových a folklorních souborů (FEDO)</w:t>
            </w:r>
          </w:p>
        </w:tc>
        <w:tc>
          <w:tcPr>
            <w:tcW w:w="1214" w:type="pct"/>
            <w:noWrap/>
            <w:hideMark/>
          </w:tcPr>
          <w:p w14:paraId="27D48441"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srpen</w:t>
            </w:r>
          </w:p>
        </w:tc>
        <w:tc>
          <w:tcPr>
            <w:tcW w:w="1209" w:type="pct"/>
            <w:noWrap/>
            <w:hideMark/>
          </w:tcPr>
          <w:p w14:paraId="1EE266E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bienále</w:t>
            </w:r>
          </w:p>
        </w:tc>
      </w:tr>
      <w:tr w:rsidR="00047BE4" w:rsidRPr="00100726" w14:paraId="7BB1FECF"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6FFAD44E"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Škoda meeting Zlín</w:t>
            </w:r>
          </w:p>
        </w:tc>
        <w:tc>
          <w:tcPr>
            <w:tcW w:w="1214" w:type="pct"/>
            <w:noWrap/>
            <w:hideMark/>
          </w:tcPr>
          <w:p w14:paraId="04AFB1FF"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srpen</w:t>
            </w:r>
          </w:p>
        </w:tc>
        <w:tc>
          <w:tcPr>
            <w:tcW w:w="1209" w:type="pct"/>
            <w:noWrap/>
            <w:hideMark/>
          </w:tcPr>
          <w:p w14:paraId="634C2846"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054BD124" w14:textId="77777777" w:rsidTr="00047BE4">
        <w:trPr>
          <w:trHeight w:val="20"/>
        </w:trPr>
        <w:tc>
          <w:tcPr>
            <w:tcW w:w="2577" w:type="pct"/>
            <w:noWrap/>
            <w:hideMark/>
          </w:tcPr>
          <w:p w14:paraId="7689554A"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Truck sraz Zlín</w:t>
            </w:r>
          </w:p>
        </w:tc>
        <w:tc>
          <w:tcPr>
            <w:tcW w:w="1214" w:type="pct"/>
            <w:noWrap/>
            <w:hideMark/>
          </w:tcPr>
          <w:p w14:paraId="0D99EF19"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srpen</w:t>
            </w:r>
          </w:p>
        </w:tc>
        <w:tc>
          <w:tcPr>
            <w:tcW w:w="1209" w:type="pct"/>
            <w:noWrap/>
            <w:hideMark/>
          </w:tcPr>
          <w:p w14:paraId="6576454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1B8852C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48A31597"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Kejklířský jarmark</w:t>
            </w:r>
          </w:p>
        </w:tc>
        <w:tc>
          <w:tcPr>
            <w:tcW w:w="1214" w:type="pct"/>
            <w:noWrap/>
            <w:hideMark/>
          </w:tcPr>
          <w:p w14:paraId="33800E95"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září</w:t>
            </w:r>
          </w:p>
        </w:tc>
        <w:tc>
          <w:tcPr>
            <w:tcW w:w="1209" w:type="pct"/>
            <w:noWrap/>
            <w:hideMark/>
          </w:tcPr>
          <w:p w14:paraId="52BC43F8"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62210199" w14:textId="77777777" w:rsidTr="00047BE4">
        <w:trPr>
          <w:trHeight w:val="20"/>
        </w:trPr>
        <w:tc>
          <w:tcPr>
            <w:tcW w:w="2577" w:type="pct"/>
            <w:noWrap/>
            <w:hideMark/>
          </w:tcPr>
          <w:p w14:paraId="57DC0297"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Žijeme středověkem</w:t>
            </w:r>
          </w:p>
        </w:tc>
        <w:tc>
          <w:tcPr>
            <w:tcW w:w="1214" w:type="pct"/>
            <w:noWrap/>
            <w:hideMark/>
          </w:tcPr>
          <w:p w14:paraId="2E5C4F7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září</w:t>
            </w:r>
          </w:p>
        </w:tc>
        <w:tc>
          <w:tcPr>
            <w:tcW w:w="1209" w:type="pct"/>
            <w:noWrap/>
            <w:hideMark/>
          </w:tcPr>
          <w:p w14:paraId="2660942B" w14:textId="558493E5" w:rsidR="00047BE4" w:rsidRPr="00100726" w:rsidRDefault="00047BE4" w:rsidP="00897A22">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r w:rsidR="00897A22">
              <w:rPr>
                <w:rFonts w:ascii="Calibri" w:eastAsia="Times New Roman" w:hAnsi="Calibri" w:cs="Calibri"/>
                <w:color w:val="000000"/>
                <w:sz w:val="18"/>
                <w:szCs w:val="18"/>
                <w:lang w:eastAsia="cs-CZ"/>
              </w:rPr>
              <w:t>s</w:t>
            </w:r>
            <w:r>
              <w:rPr>
                <w:rFonts w:ascii="Calibri" w:eastAsia="Times New Roman" w:hAnsi="Calibri" w:cs="Calibri"/>
                <w:color w:val="000000"/>
                <w:sz w:val="18"/>
                <w:szCs w:val="18"/>
                <w:lang w:eastAsia="cs-CZ"/>
              </w:rPr>
              <w:t>oučástí projektu Živý Zlín</w:t>
            </w:r>
          </w:p>
        </w:tc>
      </w:tr>
      <w:tr w:rsidR="00047BE4" w:rsidRPr="00100726" w14:paraId="7A0EC4D7"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27472B77"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O putovní pohár primátora města Zlína</w:t>
            </w:r>
          </w:p>
        </w:tc>
        <w:tc>
          <w:tcPr>
            <w:tcW w:w="1214" w:type="pct"/>
            <w:noWrap/>
            <w:hideMark/>
          </w:tcPr>
          <w:p w14:paraId="705B48BF"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září</w:t>
            </w:r>
          </w:p>
        </w:tc>
        <w:tc>
          <w:tcPr>
            <w:tcW w:w="1209" w:type="pct"/>
            <w:noWrap/>
            <w:hideMark/>
          </w:tcPr>
          <w:p w14:paraId="7902C364"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10F88E81" w14:textId="77777777" w:rsidTr="00047BE4">
        <w:trPr>
          <w:trHeight w:val="20"/>
        </w:trPr>
        <w:tc>
          <w:tcPr>
            <w:tcW w:w="2577" w:type="pct"/>
            <w:noWrap/>
            <w:hideMark/>
          </w:tcPr>
          <w:p w14:paraId="23A27381"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Kloboukový den</w:t>
            </w:r>
          </w:p>
        </w:tc>
        <w:tc>
          <w:tcPr>
            <w:tcW w:w="1214" w:type="pct"/>
            <w:noWrap/>
            <w:hideMark/>
          </w:tcPr>
          <w:p w14:paraId="2A35D808"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září</w:t>
            </w:r>
          </w:p>
        </w:tc>
        <w:tc>
          <w:tcPr>
            <w:tcW w:w="1209" w:type="pct"/>
            <w:noWrap/>
            <w:hideMark/>
          </w:tcPr>
          <w:p w14:paraId="6EAD7F46"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587159EF"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2A7F97E6"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Běž! Běž!</w:t>
            </w:r>
          </w:p>
        </w:tc>
        <w:tc>
          <w:tcPr>
            <w:tcW w:w="1214" w:type="pct"/>
            <w:noWrap/>
            <w:hideMark/>
          </w:tcPr>
          <w:p w14:paraId="7BF30C65"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září</w:t>
            </w:r>
          </w:p>
        </w:tc>
        <w:tc>
          <w:tcPr>
            <w:tcW w:w="1209" w:type="pct"/>
            <w:noWrap/>
            <w:hideMark/>
          </w:tcPr>
          <w:p w14:paraId="362F8796"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2221C387" w14:textId="77777777" w:rsidTr="00047BE4">
        <w:trPr>
          <w:trHeight w:val="20"/>
        </w:trPr>
        <w:tc>
          <w:tcPr>
            <w:tcW w:w="2577" w:type="pct"/>
            <w:noWrap/>
            <w:hideMark/>
          </w:tcPr>
          <w:p w14:paraId="0F941ADE"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Lešetín fest</w:t>
            </w:r>
          </w:p>
        </w:tc>
        <w:tc>
          <w:tcPr>
            <w:tcW w:w="1214" w:type="pct"/>
            <w:noWrap/>
            <w:hideMark/>
          </w:tcPr>
          <w:p w14:paraId="3FD75F7C"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září</w:t>
            </w:r>
          </w:p>
        </w:tc>
        <w:tc>
          <w:tcPr>
            <w:tcW w:w="1209" w:type="pct"/>
            <w:noWrap/>
            <w:hideMark/>
          </w:tcPr>
          <w:p w14:paraId="4476F1A9"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4B33CF70"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0456D170"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Harmonia Moraviae</w:t>
            </w:r>
          </w:p>
        </w:tc>
        <w:tc>
          <w:tcPr>
            <w:tcW w:w="1214" w:type="pct"/>
            <w:noWrap/>
            <w:hideMark/>
          </w:tcPr>
          <w:p w14:paraId="11AD5C6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září</w:t>
            </w:r>
          </w:p>
        </w:tc>
        <w:tc>
          <w:tcPr>
            <w:tcW w:w="1209" w:type="pct"/>
            <w:noWrap/>
            <w:hideMark/>
          </w:tcPr>
          <w:p w14:paraId="42BF97EA"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2A3ED317" w14:textId="77777777" w:rsidTr="00047BE4">
        <w:trPr>
          <w:trHeight w:val="20"/>
        </w:trPr>
        <w:tc>
          <w:tcPr>
            <w:tcW w:w="2577" w:type="pct"/>
            <w:noWrap/>
            <w:hideMark/>
          </w:tcPr>
          <w:p w14:paraId="1DA9D6F4"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Dýňobraní</w:t>
            </w:r>
          </w:p>
        </w:tc>
        <w:tc>
          <w:tcPr>
            <w:tcW w:w="1214" w:type="pct"/>
            <w:noWrap/>
            <w:hideMark/>
          </w:tcPr>
          <w:p w14:paraId="17A80B43"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říjen</w:t>
            </w:r>
          </w:p>
        </w:tc>
        <w:tc>
          <w:tcPr>
            <w:tcW w:w="1209" w:type="pct"/>
            <w:noWrap/>
            <w:hideMark/>
          </w:tcPr>
          <w:p w14:paraId="24C4BACB" w14:textId="757F0381" w:rsidR="00047BE4" w:rsidRPr="00100726" w:rsidRDefault="00897A22" w:rsidP="00047BE4">
            <w:pPr>
              <w:spacing w:before="0"/>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s</w:t>
            </w:r>
            <w:r w:rsidR="00047BE4">
              <w:rPr>
                <w:rFonts w:ascii="Calibri" w:eastAsia="Times New Roman" w:hAnsi="Calibri" w:cs="Calibri"/>
                <w:color w:val="000000"/>
                <w:sz w:val="18"/>
                <w:szCs w:val="18"/>
                <w:lang w:eastAsia="cs-CZ"/>
              </w:rPr>
              <w:t>oučástí projektu Živý Zlín</w:t>
            </w:r>
          </w:p>
        </w:tc>
      </w:tr>
      <w:tr w:rsidR="00047BE4" w:rsidRPr="00100726" w14:paraId="266D3005"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4734EEEC"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Běh přes valašské kotáry</w:t>
            </w:r>
          </w:p>
        </w:tc>
        <w:tc>
          <w:tcPr>
            <w:tcW w:w="1214" w:type="pct"/>
            <w:noWrap/>
            <w:hideMark/>
          </w:tcPr>
          <w:p w14:paraId="54BEBE35"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říjen</w:t>
            </w:r>
          </w:p>
        </w:tc>
        <w:tc>
          <w:tcPr>
            <w:tcW w:w="1209" w:type="pct"/>
            <w:noWrap/>
            <w:hideMark/>
          </w:tcPr>
          <w:p w14:paraId="3493D55D"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6CD70DE3" w14:textId="77777777" w:rsidTr="00047BE4">
        <w:trPr>
          <w:trHeight w:val="20"/>
        </w:trPr>
        <w:tc>
          <w:tcPr>
            <w:tcW w:w="2577" w:type="pct"/>
            <w:noWrap/>
            <w:hideMark/>
          </w:tcPr>
          <w:p w14:paraId="45D8047C"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Den architektury</w:t>
            </w:r>
          </w:p>
        </w:tc>
        <w:tc>
          <w:tcPr>
            <w:tcW w:w="1214" w:type="pct"/>
            <w:noWrap/>
            <w:hideMark/>
          </w:tcPr>
          <w:p w14:paraId="0B30ECA1"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říjen</w:t>
            </w:r>
          </w:p>
        </w:tc>
        <w:tc>
          <w:tcPr>
            <w:tcW w:w="1209" w:type="pct"/>
            <w:noWrap/>
            <w:hideMark/>
          </w:tcPr>
          <w:p w14:paraId="6EF29F5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 </w:t>
            </w:r>
          </w:p>
        </w:tc>
      </w:tr>
      <w:tr w:rsidR="00047BE4" w:rsidRPr="00100726" w14:paraId="31FCEE96"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113CBC79"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Stromové slavnosti</w:t>
            </w:r>
          </w:p>
        </w:tc>
        <w:tc>
          <w:tcPr>
            <w:tcW w:w="1214" w:type="pct"/>
            <w:noWrap/>
            <w:hideMark/>
          </w:tcPr>
          <w:p w14:paraId="62171CEF"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říjen</w:t>
            </w:r>
          </w:p>
        </w:tc>
        <w:tc>
          <w:tcPr>
            <w:tcW w:w="1209" w:type="pct"/>
            <w:noWrap/>
            <w:hideMark/>
          </w:tcPr>
          <w:p w14:paraId="2BBDF8C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050D72D2" w14:textId="77777777" w:rsidTr="00047BE4">
        <w:trPr>
          <w:trHeight w:val="20"/>
        </w:trPr>
        <w:tc>
          <w:tcPr>
            <w:tcW w:w="2577" w:type="pct"/>
            <w:noWrap/>
            <w:hideMark/>
          </w:tcPr>
          <w:p w14:paraId="4F59CE9A"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Svatomartinské hody</w:t>
            </w:r>
          </w:p>
        </w:tc>
        <w:tc>
          <w:tcPr>
            <w:tcW w:w="1214" w:type="pct"/>
            <w:noWrap/>
            <w:hideMark/>
          </w:tcPr>
          <w:p w14:paraId="4357C92E"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listopad</w:t>
            </w:r>
          </w:p>
        </w:tc>
        <w:tc>
          <w:tcPr>
            <w:tcW w:w="1209" w:type="pct"/>
            <w:noWrap/>
            <w:hideMark/>
          </w:tcPr>
          <w:p w14:paraId="19CDBE62"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0FBE61F2" w14:textId="77777777" w:rsidTr="00047BE4">
        <w:trPr>
          <w:cnfStyle w:val="000000100000" w:firstRow="0" w:lastRow="0" w:firstColumn="0" w:lastColumn="0" w:oddVBand="0" w:evenVBand="0" w:oddHBand="1" w:evenHBand="0" w:firstRowFirstColumn="0" w:firstRowLastColumn="0" w:lastRowFirstColumn="0" w:lastRowLastColumn="0"/>
          <w:trHeight w:val="20"/>
        </w:trPr>
        <w:tc>
          <w:tcPr>
            <w:tcW w:w="2577" w:type="pct"/>
            <w:noWrap/>
            <w:hideMark/>
          </w:tcPr>
          <w:p w14:paraId="6FFAA51F"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Mezinárodní festival outdoorových filmů</w:t>
            </w:r>
          </w:p>
        </w:tc>
        <w:tc>
          <w:tcPr>
            <w:tcW w:w="1214" w:type="pct"/>
            <w:noWrap/>
            <w:hideMark/>
          </w:tcPr>
          <w:p w14:paraId="7D9D975C"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listopad</w:t>
            </w:r>
          </w:p>
        </w:tc>
        <w:tc>
          <w:tcPr>
            <w:tcW w:w="1209" w:type="pct"/>
            <w:noWrap/>
            <w:hideMark/>
          </w:tcPr>
          <w:p w14:paraId="21C4A36D"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r w:rsidR="00047BE4" w:rsidRPr="00100726" w14:paraId="0E4A8600" w14:textId="77777777" w:rsidTr="00047BE4">
        <w:trPr>
          <w:trHeight w:val="20"/>
        </w:trPr>
        <w:tc>
          <w:tcPr>
            <w:tcW w:w="2577" w:type="pct"/>
            <w:noWrap/>
            <w:hideMark/>
          </w:tcPr>
          <w:p w14:paraId="15C0301F" w14:textId="77777777" w:rsidR="00047BE4" w:rsidRPr="00100726" w:rsidRDefault="00047BE4" w:rsidP="00047BE4">
            <w:pPr>
              <w:spacing w:before="0"/>
              <w:jc w:val="left"/>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Adventní Zlín (vánoční jarmark)</w:t>
            </w:r>
          </w:p>
        </w:tc>
        <w:tc>
          <w:tcPr>
            <w:tcW w:w="1214" w:type="pct"/>
            <w:noWrap/>
            <w:hideMark/>
          </w:tcPr>
          <w:p w14:paraId="0902D960"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prosinec</w:t>
            </w:r>
          </w:p>
        </w:tc>
        <w:tc>
          <w:tcPr>
            <w:tcW w:w="1209" w:type="pct"/>
            <w:noWrap/>
            <w:hideMark/>
          </w:tcPr>
          <w:p w14:paraId="4D59EF9F" w14:textId="77777777" w:rsidR="00047BE4" w:rsidRPr="00100726" w:rsidRDefault="00047BE4" w:rsidP="00047BE4">
            <w:pPr>
              <w:spacing w:before="0"/>
              <w:jc w:val="center"/>
              <w:rPr>
                <w:rFonts w:ascii="Calibri" w:eastAsia="Times New Roman" w:hAnsi="Calibri" w:cs="Calibri"/>
                <w:color w:val="000000"/>
                <w:sz w:val="18"/>
                <w:szCs w:val="18"/>
                <w:lang w:eastAsia="cs-CZ"/>
              </w:rPr>
            </w:pPr>
            <w:r w:rsidRPr="00100726">
              <w:rPr>
                <w:rFonts w:ascii="Calibri" w:eastAsia="Times New Roman" w:hAnsi="Calibri" w:cs="Calibri"/>
                <w:color w:val="000000"/>
                <w:sz w:val="18"/>
                <w:szCs w:val="18"/>
                <w:lang w:eastAsia="cs-CZ"/>
              </w:rPr>
              <w:t>akce města</w:t>
            </w:r>
          </w:p>
        </w:tc>
      </w:tr>
    </w:tbl>
    <w:p w14:paraId="5C035C4E" w14:textId="5B73FD66" w:rsidR="00047BE4" w:rsidRDefault="00047BE4" w:rsidP="00047BE4">
      <w:r w:rsidRPr="00A00763">
        <w:rPr>
          <w:i/>
          <w:sz w:val="18"/>
        </w:rPr>
        <w:t>Zdroj: Magistrátu města Zlín</w:t>
      </w:r>
      <w:r>
        <w:rPr>
          <w:i/>
          <w:sz w:val="18"/>
        </w:rPr>
        <w:t>a</w:t>
      </w:r>
      <w:r w:rsidRPr="00A00763">
        <w:rPr>
          <w:i/>
          <w:sz w:val="18"/>
        </w:rPr>
        <w:t>, 2020</w:t>
      </w:r>
      <w:r w:rsidR="00897A22">
        <w:rPr>
          <w:i/>
          <w:sz w:val="18"/>
        </w:rPr>
        <w:t>.</w:t>
      </w:r>
    </w:p>
    <w:p w14:paraId="07F8FFEB" w14:textId="77777777" w:rsidR="00047BE4" w:rsidRDefault="00047BE4" w:rsidP="00047BE4">
      <w:pPr>
        <w:keepNext/>
        <w:rPr>
          <w:b/>
        </w:rPr>
      </w:pPr>
      <w:r w:rsidRPr="00C47ED0">
        <w:rPr>
          <w:b/>
        </w:rPr>
        <w:t>Financování kultury</w:t>
      </w:r>
    </w:p>
    <w:p w14:paraId="767E9D34" w14:textId="41A8B8AC" w:rsidR="00047BE4" w:rsidRPr="00064EE5" w:rsidRDefault="00047BE4" w:rsidP="00047BE4">
      <w:pPr>
        <w:keepNext/>
      </w:pPr>
      <w:r w:rsidRPr="00064EE5">
        <w:t xml:space="preserve">Kulturní život je ze strany </w:t>
      </w:r>
      <w:r>
        <w:t>SMZ</w:t>
      </w:r>
      <w:r w:rsidRPr="00064EE5">
        <w:t xml:space="preserve"> </w:t>
      </w:r>
      <w:r>
        <w:t>financován</w:t>
      </w:r>
      <w:r w:rsidR="00970218">
        <w:t xml:space="preserve"> ve čtyřech</w:t>
      </w:r>
      <w:r w:rsidRPr="00064EE5">
        <w:t xml:space="preserve"> rovinách:</w:t>
      </w:r>
    </w:p>
    <w:p w14:paraId="7261D4FD" w14:textId="77777777" w:rsidR="00047BE4" w:rsidRDefault="00047BE4" w:rsidP="00047BE4">
      <w:pPr>
        <w:pStyle w:val="Odstavecseseznamem"/>
        <w:numPr>
          <w:ilvl w:val="0"/>
          <w:numId w:val="20"/>
        </w:numPr>
      </w:pPr>
      <w:r w:rsidRPr="00064EE5">
        <w:t>provozní a investiční příspěvky zřizovatele či zakladatele</w:t>
      </w:r>
      <w:r>
        <w:t xml:space="preserve"> (tj. SMZ)</w:t>
      </w:r>
      <w:r w:rsidRPr="00064EE5">
        <w:t xml:space="preserve"> pro zřizované či založené</w:t>
      </w:r>
      <w:r>
        <w:t xml:space="preserve"> </w:t>
      </w:r>
      <w:r w:rsidRPr="00064EE5">
        <w:t>kulturní instituce (Městské divadlo Zlín, Filharmonie Bohuslava Martinů),</w:t>
      </w:r>
      <w:r>
        <w:t xml:space="preserve"> </w:t>
      </w:r>
    </w:p>
    <w:p w14:paraId="4F94E7B9" w14:textId="37FA4067" w:rsidR="00970218" w:rsidRPr="002659A5" w:rsidRDefault="00970218" w:rsidP="00970218">
      <w:pPr>
        <w:pStyle w:val="Odstavecseseznamem"/>
        <w:numPr>
          <w:ilvl w:val="0"/>
          <w:numId w:val="20"/>
        </w:numPr>
      </w:pPr>
      <w:r w:rsidRPr="002659A5">
        <w:t>prostředky z rozpočtu na akce pořádané městem (akce pořádají odbory či oddělení) jako např. jarmarky, Zlínské filmové léto nebo Zlínský novoroční ohňostroj,</w:t>
      </w:r>
    </w:p>
    <w:p w14:paraId="2E34ECEA" w14:textId="77777777" w:rsidR="00047BE4" w:rsidRDefault="00047BE4" w:rsidP="00047BE4">
      <w:pPr>
        <w:pStyle w:val="Odstavecseseznamem"/>
        <w:numPr>
          <w:ilvl w:val="0"/>
          <w:numId w:val="20"/>
        </w:numPr>
      </w:pPr>
      <w:r w:rsidRPr="002659A5">
        <w:t>dotace z rozpočtu města Zlína na přípravu a realizaci vybraných kulturních akcí (např. Mezinárodní festival filmů pro děti a mládež, festival Setkání - Stretnutie, festival dechových orchestrů a folklorních souborů FEDO, festival cestovatelů Neznámá země aj.) nebo</w:t>
      </w:r>
      <w:r w:rsidRPr="00064EE5">
        <w:t xml:space="preserve"> na provoz </w:t>
      </w:r>
      <w:r>
        <w:t>vybraných kulturních</w:t>
      </w:r>
      <w:r w:rsidRPr="00064EE5">
        <w:t xml:space="preserve"> </w:t>
      </w:r>
      <w:r>
        <w:t>organizací</w:t>
      </w:r>
      <w:r w:rsidRPr="00064EE5">
        <w:t xml:space="preserve"> (např. Krajská knihovna Františka Bartoše</w:t>
      </w:r>
      <w:r>
        <w:t>,</w:t>
      </w:r>
      <w:r w:rsidRPr="009C14E0">
        <w:t xml:space="preserve"> </w:t>
      </w:r>
      <w:r>
        <w:t>Krajská</w:t>
      </w:r>
      <w:r w:rsidRPr="009C14E0">
        <w:t xml:space="preserve"> galerie výtvarného umění ve Zlíně</w:t>
      </w:r>
      <w:r w:rsidRPr="00064EE5">
        <w:t>),</w:t>
      </w:r>
    </w:p>
    <w:p w14:paraId="3F71A25A" w14:textId="5D633D64" w:rsidR="00047BE4" w:rsidRPr="00064EE5" w:rsidRDefault="00047BE4" w:rsidP="00047BE4">
      <w:pPr>
        <w:pStyle w:val="Odstavecseseznamem"/>
        <w:numPr>
          <w:ilvl w:val="0"/>
          <w:numId w:val="20"/>
        </w:numPr>
      </w:pPr>
      <w:r w:rsidRPr="00064EE5">
        <w:t>dotace z</w:t>
      </w:r>
      <w:r>
        <w:t xml:space="preserve"> fondů, a to </w:t>
      </w:r>
      <w:r w:rsidRPr="00064EE5">
        <w:t>Kulturního fondu města Zlína na přípravu a realizaci jednotlivých kulturních</w:t>
      </w:r>
      <w:r>
        <w:t xml:space="preserve"> </w:t>
      </w:r>
      <w:r w:rsidRPr="00064EE5">
        <w:t>akcí, na úhradu nájemného v prostorách k pravidelné činnosti či na podporu obnovy</w:t>
      </w:r>
      <w:r>
        <w:t xml:space="preserve"> </w:t>
      </w:r>
      <w:r w:rsidRPr="00064EE5">
        <w:t>kulturních památek</w:t>
      </w:r>
      <w:r>
        <w:t xml:space="preserve"> a Filmového fondu </w:t>
      </w:r>
      <w:r w:rsidRPr="00934A79">
        <w:t>na vznik námětů a scénářů, které čerpají výhradně z</w:t>
      </w:r>
      <w:r w:rsidR="00897A22">
        <w:t> </w:t>
      </w:r>
      <w:r w:rsidRPr="00934A79">
        <w:t>histo</w:t>
      </w:r>
      <w:r>
        <w:t>rie či současnosti města Zlína,</w:t>
      </w:r>
      <w:r w:rsidRPr="00934A79">
        <w:t xml:space="preserve"> na realizaci audiovizuálních děl, která zobrazují historii či současnost města Zlína a </w:t>
      </w:r>
      <w:r>
        <w:t xml:space="preserve">na </w:t>
      </w:r>
      <w:r w:rsidRPr="00934A79">
        <w:t>realizaci audiovizuálních děl na území města Zlína</w:t>
      </w:r>
      <w:r>
        <w:t>.</w:t>
      </w:r>
    </w:p>
    <w:p w14:paraId="056E2C44" w14:textId="77777777" w:rsidR="00047BE4" w:rsidRPr="00215B2C" w:rsidRDefault="00047BE4" w:rsidP="00047BE4">
      <w:r w:rsidRPr="004E0433">
        <w:lastRenderedPageBreak/>
        <w:t xml:space="preserve">Pro podporu činností v zájmu města </w:t>
      </w:r>
      <w:r>
        <w:t xml:space="preserve">v oblasti </w:t>
      </w:r>
      <w:r w:rsidRPr="004E0433">
        <w:t xml:space="preserve">kultury </w:t>
      </w:r>
      <w:r>
        <w:t>je vytvořen</w:t>
      </w:r>
      <w:r w:rsidRPr="000A0F88">
        <w:t xml:space="preserve"> Program podpory kultury statutárního města Zlína</w:t>
      </w:r>
      <w:r>
        <w:t xml:space="preserve">, prostřednictvím něhož jsou poskytovány finanční prostředky z rozpočtu města, z Kulturního fondu statutárního města Zlína a Filmového fond statutárního města Zlína. </w:t>
      </w:r>
    </w:p>
    <w:tbl>
      <w:tblPr>
        <w:tblW w:w="9209" w:type="dxa"/>
        <w:tblInd w:w="108" w:type="dxa"/>
        <w:tblLook w:val="04A0" w:firstRow="1" w:lastRow="0" w:firstColumn="1" w:lastColumn="0" w:noHBand="0" w:noVBand="1"/>
      </w:tblPr>
      <w:tblGrid>
        <w:gridCol w:w="1980"/>
        <w:gridCol w:w="7229"/>
      </w:tblGrid>
      <w:tr w:rsidR="00047BE4" w14:paraId="382C5AB8" w14:textId="77777777" w:rsidTr="00047BE4">
        <w:tc>
          <w:tcPr>
            <w:tcW w:w="1980" w:type="dxa"/>
          </w:tcPr>
          <w:p w14:paraId="6EA4F0CF" w14:textId="69DB4DE4" w:rsidR="00047BE4" w:rsidRPr="00701E47" w:rsidRDefault="00047BE4" w:rsidP="00897A22">
            <w:pPr>
              <w:ind w:left="-113"/>
              <w:jc w:val="left"/>
              <w:rPr>
                <w:b/>
              </w:rPr>
            </w:pPr>
            <w:r w:rsidRPr="000A0F88">
              <w:rPr>
                <w:b/>
              </w:rPr>
              <w:t>Program podpory kultury statutárního města Zlína</w:t>
            </w:r>
            <w:r w:rsidRPr="00701E47">
              <w:rPr>
                <w:b/>
              </w:rPr>
              <w:t xml:space="preserve"> </w:t>
            </w:r>
            <w:r>
              <w:rPr>
                <w:b/>
              </w:rPr>
              <w:t>na léta 2019</w:t>
            </w:r>
            <w:r w:rsidR="00897A22">
              <w:rPr>
                <w:b/>
              </w:rPr>
              <w:t xml:space="preserve"> </w:t>
            </w:r>
            <w:r w:rsidR="00897A22">
              <w:rPr>
                <w:b/>
              </w:rPr>
              <w:sym w:font="Symbol" w:char="F02D"/>
            </w:r>
            <w:r w:rsidR="00897A22">
              <w:rPr>
                <w:b/>
              </w:rPr>
              <w:t xml:space="preserve"> </w:t>
            </w:r>
            <w:r>
              <w:rPr>
                <w:b/>
              </w:rPr>
              <w:t>2023</w:t>
            </w:r>
          </w:p>
        </w:tc>
        <w:tc>
          <w:tcPr>
            <w:tcW w:w="7229" w:type="dxa"/>
          </w:tcPr>
          <w:p w14:paraId="48B739AC" w14:textId="1D8D6D54" w:rsidR="00047BE4" w:rsidRDefault="00047BE4" w:rsidP="00897A22">
            <w:pPr>
              <w:tabs>
                <w:tab w:val="left" w:pos="6838"/>
              </w:tabs>
              <w:ind w:right="34"/>
            </w:pPr>
            <w:r>
              <w:t>Program stanovuje základní rámec a podmínky pro poskytování podpor statutárním městem Zlínem pro účely rozvoje a uspokojování potřeb v oblasti kultury. Příjemci podpory z tohoto programu mohou být fyzické i právnické osoby, za předpokladu, že vyvíjejí činnost, pořádají akce, realizují aktivity či projekty s prokazatelně kulturním obsahem a slouží k naplnění cíle tohoto programu, kterým je podpora kultury a zachování kulturního dědictví na území statutárního města Zlína.</w:t>
            </w:r>
            <w:r w:rsidRPr="000A0F88">
              <w:t xml:space="preserve"> </w:t>
            </w:r>
            <w:r>
              <w:t>Zdroje programu tvoří rozpočet statutárního města Zlína, včetně finančních prostředků Kulturního fondu statutárního města Zlína a</w:t>
            </w:r>
            <w:r w:rsidR="00897A22">
              <w:t> </w:t>
            </w:r>
            <w:r>
              <w:t xml:space="preserve">Filmového fondu statutárního města Zlína. Dalším zdrojem programu je nemovitý a movitý majetek statutárního města Zlína. Program </w:t>
            </w:r>
            <w:r w:rsidRPr="00A7718C">
              <w:t xml:space="preserve">podpory kultury statutárního města Zlína </w:t>
            </w:r>
            <w:r>
              <w:t>tak zastřešuje poskytování podpory městem v rámci celého odvětví kultury, tedy kromě kulturního a filmového fondu jde především o</w:t>
            </w:r>
            <w:r w:rsidR="00897A22">
              <w:t> </w:t>
            </w:r>
            <w:r>
              <w:t>financování provozu a některých investic organizací Městské divadlo Zlín, ZOO a zámek Zlín-Lešná a Filharmonie Bohuslava Martinů.</w:t>
            </w:r>
          </w:p>
        </w:tc>
      </w:tr>
      <w:tr w:rsidR="00047BE4" w14:paraId="36934CD2" w14:textId="77777777" w:rsidTr="00047BE4">
        <w:tc>
          <w:tcPr>
            <w:tcW w:w="1980" w:type="dxa"/>
          </w:tcPr>
          <w:p w14:paraId="18A11984" w14:textId="77777777" w:rsidR="00047BE4" w:rsidRPr="00701E47" w:rsidRDefault="00047BE4" w:rsidP="00047BE4">
            <w:pPr>
              <w:ind w:left="-113"/>
              <w:jc w:val="left"/>
              <w:rPr>
                <w:b/>
              </w:rPr>
            </w:pPr>
            <w:r w:rsidRPr="00701E47">
              <w:rPr>
                <w:b/>
              </w:rPr>
              <w:t>Kulturní fond statutárního města Zlín</w:t>
            </w:r>
            <w:r>
              <w:rPr>
                <w:b/>
              </w:rPr>
              <w:t>a</w:t>
            </w:r>
          </w:p>
        </w:tc>
        <w:tc>
          <w:tcPr>
            <w:tcW w:w="7229" w:type="dxa"/>
          </w:tcPr>
          <w:p w14:paraId="775C9A2B" w14:textId="77777777" w:rsidR="00047BE4" w:rsidRDefault="00047BE4" w:rsidP="00047BE4">
            <w:r>
              <w:t>Kulturní fond byl zřízen v roce 1991. Jsou z něj poskytovány dotace na podporu kulturních akcí/projektů, na úhradu nájemného prostor k pravidelné kulturní činnosti a na obnovu a restaurování kulturních památek na území města Zlína. O dotace mohou žádat právnické a fyzické osoby aktivní v kulturním životě města Zlína s výjimkou příspěvkových organizací statutárního města Zlín.</w:t>
            </w:r>
            <w:r>
              <w:rPr>
                <w:rStyle w:val="Znakapoznpodarou"/>
              </w:rPr>
              <w:footnoteReference w:id="27"/>
            </w:r>
            <w:r>
              <w:t xml:space="preserve"> Výzva na akce/projekty probíhá dvakrát ročně, na památky a nájemné jednou ročně.</w:t>
            </w:r>
          </w:p>
        </w:tc>
      </w:tr>
    </w:tbl>
    <w:p w14:paraId="4BF6EF07" w14:textId="0023EF03" w:rsidR="00047BE4" w:rsidRDefault="00047BE4" w:rsidP="00047BE4">
      <w:r w:rsidRPr="00973FA0">
        <w:t xml:space="preserve">Vývoj čerpání, resp. výdajů </w:t>
      </w:r>
      <w:r>
        <w:t>Kulturního fondu</w:t>
      </w:r>
      <w:r w:rsidRPr="00973FA0">
        <w:t xml:space="preserve"> v letech 201</w:t>
      </w:r>
      <w:r>
        <w:t>4</w:t>
      </w:r>
      <w:r w:rsidR="00897A22">
        <w:t xml:space="preserve"> </w:t>
      </w:r>
      <w:r w:rsidR="00897A22">
        <w:sym w:font="Symbol" w:char="F02D"/>
      </w:r>
      <w:r w:rsidR="00897A22">
        <w:t xml:space="preserve"> </w:t>
      </w:r>
      <w:r w:rsidRPr="00973FA0">
        <w:t xml:space="preserve">2019 znázorňuje </w:t>
      </w:r>
      <w:r>
        <w:t>obrázek</w:t>
      </w:r>
      <w:r w:rsidR="00E111E6">
        <w:t xml:space="preserve"> 1.28</w:t>
      </w:r>
      <w:r>
        <w:t>.</w:t>
      </w:r>
      <w:r w:rsidRPr="00973FA0">
        <w:t xml:space="preserve"> Největší finanční obnos byl z</w:t>
      </w:r>
      <w:r>
        <w:t> Kulturního fondu čerpán v roce 2016</w:t>
      </w:r>
      <w:r w:rsidRPr="00973FA0">
        <w:t xml:space="preserve"> (</w:t>
      </w:r>
      <w:r>
        <w:t>přesně</w:t>
      </w:r>
      <w:r w:rsidRPr="00973FA0">
        <w:t xml:space="preserve"> 17</w:t>
      </w:r>
      <w:r>
        <w:t xml:space="preserve"> </w:t>
      </w:r>
      <w:r w:rsidRPr="00973FA0">
        <w:t>953</w:t>
      </w:r>
      <w:r>
        <w:t xml:space="preserve"> </w:t>
      </w:r>
      <w:r w:rsidRPr="00973FA0">
        <w:t>441</w:t>
      </w:r>
      <w:r>
        <w:t xml:space="preserve"> Kč, tj. 1,15</w:t>
      </w:r>
      <w:r w:rsidRPr="00973FA0">
        <w:t xml:space="preserve"> % </w:t>
      </w:r>
      <w:r>
        <w:t xml:space="preserve">celkových </w:t>
      </w:r>
      <w:r w:rsidRPr="00973FA0">
        <w:t xml:space="preserve">výdajů </w:t>
      </w:r>
      <w:r>
        <w:t>SMZ</w:t>
      </w:r>
      <w:r w:rsidRPr="00973FA0">
        <w:t xml:space="preserve">). </w:t>
      </w:r>
      <w:r>
        <w:t>Podíl výdajů Kulturního fondu ve vztahu k celkovým výdajům SMZ je mezi léty 2014</w:t>
      </w:r>
      <w:r w:rsidR="00897A22">
        <w:t xml:space="preserve"> </w:t>
      </w:r>
      <w:r w:rsidR="00897A22">
        <w:sym w:font="Symbol" w:char="F02D"/>
      </w:r>
      <w:r w:rsidR="00897A22">
        <w:t xml:space="preserve"> </w:t>
      </w:r>
      <w:r>
        <w:t xml:space="preserve">2017 vyšší jak 1,0 %. V roce 2019 je celková částka i podíl Kulturního fondu na celkových výdajích města nejnižší, a to proto, že </w:t>
      </w:r>
      <w:r w:rsidRPr="00606C25">
        <w:t>dotace</w:t>
      </w:r>
      <w:r>
        <w:t xml:space="preserve"> na akci</w:t>
      </w:r>
      <w:r w:rsidRPr="00606C25">
        <w:t xml:space="preserve"> Zlín Film Fest </w:t>
      </w:r>
      <w:r>
        <w:t xml:space="preserve">nebyla vyplacena </w:t>
      </w:r>
      <w:r w:rsidRPr="00606C25">
        <w:t xml:space="preserve">prostřednictvím Kulturního fondu </w:t>
      </w:r>
      <w:r>
        <w:t>SMZ</w:t>
      </w:r>
      <w:r w:rsidRPr="00606C25">
        <w:t xml:space="preserve">, ale přímo z rozpočtu </w:t>
      </w:r>
      <w:r>
        <w:t>SMZ. V roce 2020 činí rozpočet Kulturního fondu 6 508 000 Kč. Navíc byla vyplacena</w:t>
      </w:r>
      <w:r w:rsidRPr="005D08BE">
        <w:t xml:space="preserve"> </w:t>
      </w:r>
      <w:r>
        <w:t xml:space="preserve">dotace na akce </w:t>
      </w:r>
      <w:r w:rsidRPr="005D08BE">
        <w:t xml:space="preserve">Zlín </w:t>
      </w:r>
      <w:r>
        <w:t>design Week, Země neznámá, Fedo a</w:t>
      </w:r>
      <w:r w:rsidRPr="005D08BE">
        <w:t xml:space="preserve"> KKFB Zlín čte a st</w:t>
      </w:r>
      <w:r>
        <w:t xml:space="preserve">uduje </w:t>
      </w:r>
      <w:r w:rsidRPr="005D08BE">
        <w:t>přímo z</w:t>
      </w:r>
      <w:r w:rsidR="00034C72">
        <w:t> </w:t>
      </w:r>
      <w:r w:rsidRPr="005D08BE">
        <w:t xml:space="preserve">rozpočtu </w:t>
      </w:r>
      <w:r>
        <w:t>města. V 1. pololetí 2020 pak bylo podáno celkem 115 žádostí o dotaci a v 2. pololetí 2020 celkem 186 žádostí o dotaci. Vliv na schvalování žádostí o dotaci a čerpání Kulturního fondu v roce 2020 bude mít také koronavorová krize, resp. zavedená opatření omezující pořádání kulturních akcí od května 2020 (některé akce musely být přesunuty, omezeny nebo zrušeny).</w:t>
      </w:r>
    </w:p>
    <w:p w14:paraId="5B3CB81B" w14:textId="4D2FF210" w:rsidR="00047BE4" w:rsidRDefault="00047BE4" w:rsidP="00047BE4">
      <w:pPr>
        <w:pStyle w:val="Titulek"/>
        <w:keepNext/>
      </w:pPr>
      <w:bookmarkStart w:id="154" w:name="_Toc53037917"/>
      <w:bookmarkStart w:id="155" w:name="_Toc77074846"/>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28</w:t>
      </w:r>
      <w:r w:rsidR="00804AF3">
        <w:rPr>
          <w:noProof/>
        </w:rPr>
        <w:fldChar w:fldCharType="end"/>
      </w:r>
      <w:r w:rsidR="00034C72">
        <w:rPr>
          <w:noProof/>
        </w:rPr>
        <w:t>:</w:t>
      </w:r>
      <w:r>
        <w:t xml:space="preserve"> Hospodaření Kulturního fondu v letech 2014</w:t>
      </w:r>
      <w:r w:rsidR="00034C72">
        <w:t xml:space="preserve"> </w:t>
      </w:r>
      <w:r w:rsidR="00034C72">
        <w:sym w:font="Symbol" w:char="F02D"/>
      </w:r>
      <w:r w:rsidR="00034C72">
        <w:t xml:space="preserve"> </w:t>
      </w:r>
      <w:r>
        <w:t>2019</w:t>
      </w:r>
      <w:bookmarkEnd w:id="154"/>
      <w:bookmarkEnd w:id="155"/>
    </w:p>
    <w:p w14:paraId="436FD879" w14:textId="77777777" w:rsidR="00047BE4" w:rsidRDefault="00047BE4" w:rsidP="00047BE4">
      <w:r>
        <w:rPr>
          <w:noProof/>
          <w:lang w:eastAsia="cs-CZ"/>
        </w:rPr>
        <w:drawing>
          <wp:inline distT="0" distB="0" distL="0" distR="0" wp14:anchorId="71CE3BB9" wp14:editId="0FD62B8F">
            <wp:extent cx="5749290" cy="2908300"/>
            <wp:effectExtent l="0" t="0" r="3810" b="6350"/>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9290" cy="2908300"/>
                    </a:xfrm>
                    <a:prstGeom prst="rect">
                      <a:avLst/>
                    </a:prstGeom>
                    <a:noFill/>
                  </pic:spPr>
                </pic:pic>
              </a:graphicData>
            </a:graphic>
          </wp:inline>
        </w:drawing>
      </w:r>
    </w:p>
    <w:p w14:paraId="34D06CAE" w14:textId="2B628870" w:rsidR="00047BE4" w:rsidRDefault="00047BE4" w:rsidP="00047BE4">
      <w:pPr>
        <w:spacing w:before="60"/>
        <w:rPr>
          <w:i/>
          <w:sz w:val="18"/>
        </w:rPr>
      </w:pPr>
      <w:r w:rsidRPr="009D0DA6">
        <w:rPr>
          <w:i/>
          <w:sz w:val="18"/>
        </w:rPr>
        <w:t>Zdroj: Výroční zpráva Magistrátu města Zlína a Městské policie Zlín a Rozpočet a závěrečný účet statutárního města Zlín v jednotlivých letech</w:t>
      </w:r>
      <w:r w:rsidR="00034C72">
        <w:rPr>
          <w:i/>
          <w:sz w:val="18"/>
        </w:rPr>
        <w:t>.</w:t>
      </w:r>
    </w:p>
    <w:p w14:paraId="3AE61711" w14:textId="77777777" w:rsidR="00047BE4" w:rsidRPr="006871D3" w:rsidRDefault="00047BE4" w:rsidP="00047BE4">
      <w:pPr>
        <w:spacing w:before="0"/>
        <w:rPr>
          <w:i/>
          <w:sz w:val="18"/>
        </w:rPr>
      </w:pPr>
      <w:r>
        <w:rPr>
          <w:i/>
          <w:sz w:val="18"/>
        </w:rPr>
        <w:t>Pozn.: V</w:t>
      </w:r>
      <w:r w:rsidRPr="00973FA0">
        <w:rPr>
          <w:i/>
          <w:sz w:val="18"/>
        </w:rPr>
        <w:t xml:space="preserve"> roce 2019 nebyla vyplacena dotace Zlín Film Fest prostřednictvím </w:t>
      </w:r>
      <w:r>
        <w:rPr>
          <w:i/>
          <w:sz w:val="18"/>
        </w:rPr>
        <w:t>Kulturního fondu SMZ</w:t>
      </w:r>
      <w:r w:rsidRPr="00973FA0">
        <w:rPr>
          <w:i/>
          <w:sz w:val="18"/>
        </w:rPr>
        <w:t xml:space="preserve">, ale přímo z rozpočtu </w:t>
      </w:r>
      <w:r>
        <w:rPr>
          <w:i/>
          <w:sz w:val="18"/>
        </w:rPr>
        <w:t>SMZ.</w:t>
      </w:r>
    </w:p>
    <w:tbl>
      <w:tblPr>
        <w:tblW w:w="9180" w:type="dxa"/>
        <w:tblLook w:val="04A0" w:firstRow="1" w:lastRow="0" w:firstColumn="1" w:lastColumn="0" w:noHBand="0" w:noVBand="1"/>
      </w:tblPr>
      <w:tblGrid>
        <w:gridCol w:w="1980"/>
        <w:gridCol w:w="7200"/>
      </w:tblGrid>
      <w:tr w:rsidR="00047BE4" w14:paraId="7A1624C0" w14:textId="77777777" w:rsidTr="00047BE4">
        <w:tc>
          <w:tcPr>
            <w:tcW w:w="1980" w:type="dxa"/>
          </w:tcPr>
          <w:p w14:paraId="280FC86F" w14:textId="77777777" w:rsidR="00047BE4" w:rsidRPr="00701E47" w:rsidRDefault="00047BE4" w:rsidP="00047BE4">
            <w:pPr>
              <w:jc w:val="left"/>
              <w:rPr>
                <w:b/>
              </w:rPr>
            </w:pPr>
            <w:r w:rsidRPr="00701E47">
              <w:rPr>
                <w:b/>
              </w:rPr>
              <w:t>Filmový fond statutárního města Zlína</w:t>
            </w:r>
          </w:p>
        </w:tc>
        <w:tc>
          <w:tcPr>
            <w:tcW w:w="7200" w:type="dxa"/>
          </w:tcPr>
          <w:p w14:paraId="00891B53" w14:textId="1986DA01" w:rsidR="00047BE4" w:rsidRDefault="00047BE4" w:rsidP="00047BE4">
            <w:r>
              <w:t xml:space="preserve">Filmový fond je zřízen od roku 2017. Z Filmového fondu je poskytována návratná finanční výpomoc nebo dotace na základě vyhlášeného programu, </w:t>
            </w:r>
            <w:r w:rsidRPr="00034C72">
              <w:t>a</w:t>
            </w:r>
            <w:r w:rsidR="00034C72">
              <w:t> </w:t>
            </w:r>
            <w:r w:rsidRPr="00034C72">
              <w:t>to</w:t>
            </w:r>
            <w:r>
              <w:t xml:space="preserve"> na vznik námětů a scénářů, které čerpají výhradně z historie či současnosti města Zlína a na realizaci audiovizuálních děl, která zobrazují historii či současnost města Zlína</w:t>
            </w:r>
            <w:r w:rsidR="00034C72">
              <w:t>,</w:t>
            </w:r>
            <w:r>
              <w:t xml:space="preserve"> a realizaci audiovizuálních děl na území města Zlína. O</w:t>
            </w:r>
            <w:r w:rsidR="00034C72">
              <w:t> </w:t>
            </w:r>
            <w:r>
              <w:t>podporu mohou žádat právnické i fyzické osoby s výjimkou příspěvkových organizací statutárního města Zlína.</w:t>
            </w:r>
          </w:p>
          <w:p w14:paraId="26EA0031" w14:textId="77777777" w:rsidR="00047BE4" w:rsidRDefault="00047BE4" w:rsidP="00047BE4">
            <w:r>
              <w:t xml:space="preserve">V roce 2018 tak proběhla první výzva pro podání žádostí. Alokováno byla částka 1 mil. Kč, stejně tak v roce 2019. V roce 2019 pak byla vyplacena dotace v celkové výši 600 000 Kč, která byla rozdělena mezi 6 příjemců. Příděl, resp. Zastupitelstvem města Zlína schválená dotace do Filmového fondu na rok 2020 je částka 1 mil. Kč. </w:t>
            </w:r>
          </w:p>
        </w:tc>
      </w:tr>
    </w:tbl>
    <w:p w14:paraId="3E8CD3FF" w14:textId="77777777" w:rsidR="00047BE4" w:rsidRPr="0052008B" w:rsidRDefault="00047BE4" w:rsidP="00047BE4">
      <w:pPr>
        <w:rPr>
          <w:b/>
        </w:rPr>
      </w:pPr>
      <w:r w:rsidRPr="0052008B">
        <w:rPr>
          <w:b/>
        </w:rPr>
        <w:t>Výsledky anketního šetření vztahující se ke kulturní oblasti</w:t>
      </w:r>
    </w:p>
    <w:p w14:paraId="3BADB1A2" w14:textId="77777777" w:rsidR="00047BE4" w:rsidRDefault="00047BE4" w:rsidP="00047BE4">
      <w:r>
        <w:t xml:space="preserve">Oblast kultury se v rámci anketního šetření spokojenosti objevila v „žebříčku oblíbenosti“ na 5. místě z 20 nejčastějších odpovědí (otázka zněla: Co se vám ve Zlíně nejvíce líbí?). Pořádané kulturní akce ve městě byly hodnoceny velmi kladně také v rámci hodnocení vývoje města za posledních 5 let. Je nutné podotknout, že při negativním hodnocení vývoje města za posledních 5 let se často </w:t>
      </w:r>
      <w:r w:rsidRPr="001C018D">
        <w:t>objevovaly stížnosti na nevyhovující kino</w:t>
      </w:r>
      <w:r>
        <w:t>.</w:t>
      </w:r>
    </w:p>
    <w:p w14:paraId="11845F15" w14:textId="0CA5821D" w:rsidR="00047BE4" w:rsidRDefault="00047BE4" w:rsidP="00047BE4">
      <w:r>
        <w:t>Nabídka kulturních aktivit ve městě byla hodnocena kladně jak respondenty s trvalým bydlištěm ve Zlíně (hodnota průměrného postoje na škále 0</w:t>
      </w:r>
      <w:r w:rsidR="00034C72">
        <w:t xml:space="preserve"> </w:t>
      </w:r>
      <w:r>
        <w:t>-</w:t>
      </w:r>
      <w:r w:rsidR="00034C72">
        <w:t xml:space="preserve"> </w:t>
      </w:r>
      <w:r>
        <w:t>100</w:t>
      </w:r>
      <w:r>
        <w:rPr>
          <w:rStyle w:val="Znakapoznpodarou"/>
        </w:rPr>
        <w:footnoteReference w:id="28"/>
      </w:r>
      <w:r>
        <w:t xml:space="preserve"> je 62,6), tak respondenty žijícími ve Zlíně bez trvalého bydliště (hodnota průměrného postoje je 62,1), i studenty UTB, kteří hodnotili spokojenost s kulturními aktivitami o něco lépe než ostatní respondenti (hodnota průměrného postoje je 64,1), více viz tabulka</w:t>
      </w:r>
      <w:r w:rsidR="00CA267E">
        <w:t xml:space="preserve"> 1.24</w:t>
      </w:r>
      <w:r>
        <w:t>.</w:t>
      </w:r>
    </w:p>
    <w:p w14:paraId="1E406A32" w14:textId="1D836025" w:rsidR="00047BE4" w:rsidRDefault="00047BE4" w:rsidP="00047BE4">
      <w:pPr>
        <w:pStyle w:val="Titulek"/>
        <w:keepNext/>
        <w:spacing w:after="60"/>
      </w:pPr>
      <w:bookmarkStart w:id="156" w:name="_Toc53037884"/>
      <w:bookmarkStart w:id="157" w:name="_Toc77074704"/>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24</w:t>
      </w:r>
      <w:r w:rsidR="00081B47">
        <w:rPr>
          <w:noProof/>
        </w:rPr>
        <w:fldChar w:fldCharType="end"/>
      </w:r>
      <w:r w:rsidR="00034C72">
        <w:rPr>
          <w:noProof/>
        </w:rPr>
        <w:t>:</w:t>
      </w:r>
      <w:r>
        <w:t xml:space="preserve"> </w:t>
      </w:r>
      <w:r w:rsidRPr="00223000">
        <w:t>Spokojenost s</w:t>
      </w:r>
      <w:r>
        <w:t> nabídkou kulturních akcí</w:t>
      </w:r>
      <w:r w:rsidRPr="00223000">
        <w:t xml:space="preserve"> podle pohlaví, věku a u studentů UTB</w:t>
      </w:r>
      <w:bookmarkEnd w:id="156"/>
      <w:bookmarkEnd w:id="157"/>
    </w:p>
    <w:tbl>
      <w:tblPr>
        <w:tblW w:w="0" w:type="auto"/>
        <w:tblInd w:w="-5" w:type="dxa"/>
        <w:tblLayout w:type="fixed"/>
        <w:tblCellMar>
          <w:left w:w="70" w:type="dxa"/>
          <w:right w:w="70" w:type="dxa"/>
        </w:tblCellMar>
        <w:tblLook w:val="04A0" w:firstRow="1" w:lastRow="0" w:firstColumn="1" w:lastColumn="0" w:noHBand="0" w:noVBand="1"/>
      </w:tblPr>
      <w:tblGrid>
        <w:gridCol w:w="2268"/>
        <w:gridCol w:w="567"/>
        <w:gridCol w:w="567"/>
        <w:gridCol w:w="567"/>
        <w:gridCol w:w="1134"/>
        <w:gridCol w:w="709"/>
        <w:gridCol w:w="851"/>
        <w:gridCol w:w="1559"/>
        <w:gridCol w:w="845"/>
      </w:tblGrid>
      <w:tr w:rsidR="00047BE4" w:rsidRPr="001A228A" w14:paraId="43083069" w14:textId="77777777" w:rsidTr="00047BE4">
        <w:trPr>
          <w:trHeight w:val="240"/>
        </w:trPr>
        <w:tc>
          <w:tcPr>
            <w:tcW w:w="2268"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36B12B"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Oblast hodnocení</w:t>
            </w:r>
          </w:p>
        </w:tc>
        <w:tc>
          <w:tcPr>
            <w:tcW w:w="4395"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55379084"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s trvalým bydlištěm ve Zlíně</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FB0063F"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žijící ve Zlíně (bez trvalého bydliště)</w:t>
            </w:r>
          </w:p>
        </w:tc>
        <w:tc>
          <w:tcPr>
            <w:tcW w:w="845"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EEC871D"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Studenti UTB</w:t>
            </w:r>
          </w:p>
        </w:tc>
      </w:tr>
      <w:tr w:rsidR="00047BE4" w:rsidRPr="001A228A" w14:paraId="1782CE5E" w14:textId="77777777" w:rsidTr="00047BE4">
        <w:trPr>
          <w:trHeight w:val="24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2C3613EC"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567"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31A70E2A" w14:textId="77777777" w:rsidR="00047BE4" w:rsidRPr="001A228A" w:rsidRDefault="00047BE4" w:rsidP="00047BE4">
            <w:pPr>
              <w:keepNext/>
              <w:ind w:left="-70" w:right="-70"/>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Celkem</w:t>
            </w:r>
          </w:p>
        </w:tc>
        <w:tc>
          <w:tcPr>
            <w:tcW w:w="1134"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70D73B65"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Pohlaví</w:t>
            </w:r>
          </w:p>
        </w:tc>
        <w:tc>
          <w:tcPr>
            <w:tcW w:w="2694"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0C0E7F3D"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Věková kategorie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3341038"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14:paraId="1F5EEBA5" w14:textId="77777777" w:rsidR="00047BE4" w:rsidRPr="001A228A" w:rsidRDefault="00047BE4" w:rsidP="00047BE4">
            <w:pPr>
              <w:keepNext/>
              <w:rPr>
                <w:rFonts w:ascii="Calibri" w:eastAsia="Times New Roman" w:hAnsi="Calibri" w:cs="Calibri"/>
                <w:b/>
                <w:bCs/>
                <w:color w:val="000000"/>
                <w:sz w:val="18"/>
                <w:szCs w:val="18"/>
                <w:lang w:eastAsia="cs-CZ"/>
              </w:rPr>
            </w:pPr>
          </w:p>
        </w:tc>
      </w:tr>
      <w:tr w:rsidR="00047BE4" w:rsidRPr="001A228A" w14:paraId="0111BDE3" w14:textId="77777777" w:rsidTr="00047BE4">
        <w:trPr>
          <w:trHeight w:val="24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1033B32F"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567" w:type="dxa"/>
            <w:vMerge/>
            <w:tcBorders>
              <w:top w:val="nil"/>
              <w:left w:val="single" w:sz="4" w:space="0" w:color="auto"/>
              <w:bottom w:val="single" w:sz="4" w:space="0" w:color="auto"/>
              <w:right w:val="single" w:sz="4" w:space="0" w:color="auto"/>
            </w:tcBorders>
            <w:vAlign w:val="center"/>
            <w:hideMark/>
          </w:tcPr>
          <w:p w14:paraId="2A6DCD0B"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567" w:type="dxa"/>
            <w:tcBorders>
              <w:top w:val="nil"/>
              <w:left w:val="nil"/>
              <w:bottom w:val="single" w:sz="4" w:space="0" w:color="auto"/>
              <w:right w:val="single" w:sz="4" w:space="0" w:color="auto"/>
            </w:tcBorders>
            <w:shd w:val="clear" w:color="000000" w:fill="F2F2F2"/>
            <w:noWrap/>
            <w:vAlign w:val="center"/>
            <w:hideMark/>
          </w:tcPr>
          <w:p w14:paraId="515FF6F6"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Muž</w:t>
            </w:r>
          </w:p>
        </w:tc>
        <w:tc>
          <w:tcPr>
            <w:tcW w:w="567" w:type="dxa"/>
            <w:tcBorders>
              <w:top w:val="nil"/>
              <w:left w:val="nil"/>
              <w:bottom w:val="single" w:sz="4" w:space="0" w:color="auto"/>
              <w:right w:val="single" w:sz="4" w:space="0" w:color="auto"/>
            </w:tcBorders>
            <w:shd w:val="clear" w:color="000000" w:fill="F2F2F2"/>
            <w:noWrap/>
            <w:vAlign w:val="center"/>
            <w:hideMark/>
          </w:tcPr>
          <w:p w14:paraId="69921EA5"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Žena</w:t>
            </w:r>
          </w:p>
        </w:tc>
        <w:tc>
          <w:tcPr>
            <w:tcW w:w="1134" w:type="dxa"/>
            <w:tcBorders>
              <w:top w:val="nil"/>
              <w:left w:val="nil"/>
              <w:bottom w:val="single" w:sz="4" w:space="0" w:color="auto"/>
              <w:right w:val="single" w:sz="4" w:space="0" w:color="auto"/>
            </w:tcBorders>
            <w:shd w:val="clear" w:color="000000" w:fill="F2F2F2"/>
            <w:noWrap/>
            <w:vAlign w:val="center"/>
            <w:hideMark/>
          </w:tcPr>
          <w:p w14:paraId="25AE93A2"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méně než 35</w:t>
            </w:r>
          </w:p>
        </w:tc>
        <w:tc>
          <w:tcPr>
            <w:tcW w:w="709" w:type="dxa"/>
            <w:tcBorders>
              <w:top w:val="nil"/>
              <w:left w:val="nil"/>
              <w:bottom w:val="single" w:sz="4" w:space="0" w:color="auto"/>
              <w:right w:val="single" w:sz="4" w:space="0" w:color="auto"/>
            </w:tcBorders>
            <w:shd w:val="clear" w:color="000000" w:fill="F2F2F2"/>
            <w:noWrap/>
            <w:vAlign w:val="center"/>
            <w:hideMark/>
          </w:tcPr>
          <w:p w14:paraId="356272B6"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35 - 64</w:t>
            </w:r>
          </w:p>
        </w:tc>
        <w:tc>
          <w:tcPr>
            <w:tcW w:w="851" w:type="dxa"/>
            <w:tcBorders>
              <w:top w:val="nil"/>
              <w:left w:val="nil"/>
              <w:bottom w:val="single" w:sz="4" w:space="0" w:color="auto"/>
              <w:right w:val="single" w:sz="4" w:space="0" w:color="auto"/>
            </w:tcBorders>
            <w:shd w:val="clear" w:color="000000" w:fill="F2F2F2"/>
            <w:noWrap/>
            <w:vAlign w:val="center"/>
            <w:hideMark/>
          </w:tcPr>
          <w:p w14:paraId="1CD78730"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65 a více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369F277"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14:paraId="62877148" w14:textId="77777777" w:rsidR="00047BE4" w:rsidRPr="001A228A" w:rsidRDefault="00047BE4" w:rsidP="00047BE4">
            <w:pPr>
              <w:keepNext/>
              <w:rPr>
                <w:rFonts w:ascii="Calibri" w:eastAsia="Times New Roman" w:hAnsi="Calibri" w:cs="Calibri"/>
                <w:b/>
                <w:bCs/>
                <w:color w:val="000000"/>
                <w:sz w:val="18"/>
                <w:szCs w:val="18"/>
                <w:lang w:eastAsia="cs-CZ"/>
              </w:rPr>
            </w:pPr>
          </w:p>
        </w:tc>
      </w:tr>
      <w:tr w:rsidR="00047BE4" w:rsidRPr="001A228A" w14:paraId="532A8D1A" w14:textId="77777777" w:rsidTr="00047BE4">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20AE6211" w14:textId="77777777" w:rsidR="00047BE4" w:rsidRPr="001A228A" w:rsidRDefault="00047BE4" w:rsidP="00047BE4">
            <w:pPr>
              <w:keepNext/>
              <w:rPr>
                <w:rFonts w:ascii="Calibri" w:eastAsia="Times New Roman" w:hAnsi="Calibri" w:cs="Calibri"/>
                <w:color w:val="000000"/>
                <w:sz w:val="18"/>
                <w:szCs w:val="18"/>
                <w:lang w:eastAsia="cs-CZ"/>
              </w:rPr>
            </w:pPr>
            <w:r>
              <w:rPr>
                <w:rFonts w:ascii="Calibri" w:hAnsi="Calibri" w:cs="Calibri"/>
                <w:color w:val="000000"/>
                <w:sz w:val="18"/>
                <w:szCs w:val="18"/>
              </w:rPr>
              <w:t>Nabídka kulturních akcí</w:t>
            </w:r>
          </w:p>
        </w:tc>
        <w:tc>
          <w:tcPr>
            <w:tcW w:w="567" w:type="dxa"/>
            <w:tcBorders>
              <w:top w:val="single" w:sz="4" w:space="0" w:color="auto"/>
              <w:left w:val="single" w:sz="4" w:space="0" w:color="auto"/>
              <w:bottom w:val="single" w:sz="4" w:space="0" w:color="auto"/>
              <w:right w:val="single" w:sz="4" w:space="0" w:color="auto"/>
            </w:tcBorders>
            <w:shd w:val="clear" w:color="000000" w:fill="FCFBFE"/>
            <w:noWrap/>
            <w:hideMark/>
          </w:tcPr>
          <w:p w14:paraId="5CF4ED48"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62,6</w:t>
            </w:r>
          </w:p>
        </w:tc>
        <w:tc>
          <w:tcPr>
            <w:tcW w:w="567" w:type="dxa"/>
            <w:tcBorders>
              <w:top w:val="single" w:sz="4" w:space="0" w:color="auto"/>
              <w:left w:val="single" w:sz="4" w:space="0" w:color="auto"/>
              <w:bottom w:val="single" w:sz="4" w:space="0" w:color="auto"/>
              <w:right w:val="single" w:sz="4" w:space="0" w:color="auto"/>
            </w:tcBorders>
            <w:shd w:val="clear" w:color="000000" w:fill="EAEFF8"/>
            <w:noWrap/>
            <w:hideMark/>
          </w:tcPr>
          <w:p w14:paraId="3B3FD6F5"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60,8</w:t>
            </w:r>
          </w:p>
        </w:tc>
        <w:tc>
          <w:tcPr>
            <w:tcW w:w="567" w:type="dxa"/>
            <w:tcBorders>
              <w:top w:val="single" w:sz="4" w:space="0" w:color="auto"/>
              <w:left w:val="single" w:sz="4" w:space="0" w:color="auto"/>
              <w:bottom w:val="single" w:sz="4" w:space="0" w:color="auto"/>
              <w:right w:val="single" w:sz="4" w:space="0" w:color="auto"/>
            </w:tcBorders>
            <w:shd w:val="clear" w:color="000000" w:fill="FCECEF"/>
            <w:noWrap/>
            <w:hideMark/>
          </w:tcPr>
          <w:p w14:paraId="1B265776"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64,3</w:t>
            </w:r>
          </w:p>
        </w:tc>
        <w:tc>
          <w:tcPr>
            <w:tcW w:w="1134" w:type="dxa"/>
            <w:tcBorders>
              <w:top w:val="single" w:sz="4" w:space="0" w:color="auto"/>
              <w:left w:val="single" w:sz="4" w:space="0" w:color="auto"/>
              <w:bottom w:val="single" w:sz="4" w:space="0" w:color="auto"/>
              <w:right w:val="single" w:sz="4" w:space="0" w:color="auto"/>
            </w:tcBorders>
            <w:shd w:val="clear" w:color="000000" w:fill="EAEFF8"/>
            <w:noWrap/>
            <w:hideMark/>
          </w:tcPr>
          <w:p w14:paraId="28F61745"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60,8</w:t>
            </w:r>
          </w:p>
        </w:tc>
        <w:tc>
          <w:tcPr>
            <w:tcW w:w="709" w:type="dxa"/>
            <w:tcBorders>
              <w:top w:val="single" w:sz="4" w:space="0" w:color="auto"/>
              <w:left w:val="single" w:sz="4" w:space="0" w:color="auto"/>
              <w:bottom w:val="single" w:sz="4" w:space="0" w:color="auto"/>
              <w:right w:val="single" w:sz="4" w:space="0" w:color="auto"/>
            </w:tcBorders>
            <w:shd w:val="clear" w:color="000000" w:fill="EDF1F9"/>
            <w:noWrap/>
            <w:hideMark/>
          </w:tcPr>
          <w:p w14:paraId="03E77DE6"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61,1</w:t>
            </w:r>
          </w:p>
        </w:tc>
        <w:tc>
          <w:tcPr>
            <w:tcW w:w="851" w:type="dxa"/>
            <w:tcBorders>
              <w:top w:val="single" w:sz="4" w:space="0" w:color="auto"/>
              <w:left w:val="single" w:sz="4" w:space="0" w:color="auto"/>
              <w:bottom w:val="single" w:sz="4" w:space="0" w:color="auto"/>
              <w:right w:val="single" w:sz="4" w:space="0" w:color="auto"/>
            </w:tcBorders>
            <w:shd w:val="clear" w:color="000000" w:fill="FBCED0"/>
            <w:noWrap/>
            <w:hideMark/>
          </w:tcPr>
          <w:p w14:paraId="62D58D23"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67,5</w:t>
            </w:r>
          </w:p>
        </w:tc>
        <w:tc>
          <w:tcPr>
            <w:tcW w:w="1559" w:type="dxa"/>
            <w:tcBorders>
              <w:top w:val="single" w:sz="4" w:space="0" w:color="auto"/>
              <w:left w:val="single" w:sz="4" w:space="0" w:color="auto"/>
              <w:bottom w:val="single" w:sz="4" w:space="0" w:color="auto"/>
              <w:right w:val="single" w:sz="4" w:space="0" w:color="auto"/>
            </w:tcBorders>
            <w:shd w:val="clear" w:color="000000" w:fill="F7F9FD"/>
            <w:noWrap/>
            <w:hideMark/>
          </w:tcPr>
          <w:p w14:paraId="3594547A"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62,1</w:t>
            </w:r>
          </w:p>
        </w:tc>
        <w:tc>
          <w:tcPr>
            <w:tcW w:w="845" w:type="dxa"/>
            <w:tcBorders>
              <w:top w:val="single" w:sz="4" w:space="0" w:color="auto"/>
              <w:left w:val="single" w:sz="4" w:space="0" w:color="auto"/>
              <w:bottom w:val="single" w:sz="4" w:space="0" w:color="auto"/>
              <w:right w:val="single" w:sz="4" w:space="0" w:color="auto"/>
            </w:tcBorders>
            <w:shd w:val="clear" w:color="000000" w:fill="FCEEF1"/>
            <w:noWrap/>
            <w:hideMark/>
          </w:tcPr>
          <w:p w14:paraId="1679A138"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64,1</w:t>
            </w:r>
          </w:p>
        </w:tc>
      </w:tr>
    </w:tbl>
    <w:p w14:paraId="2273FB49" w14:textId="03A9D7AE" w:rsidR="00047BE4" w:rsidRDefault="00047BE4" w:rsidP="00047BE4">
      <w:pPr>
        <w:pStyle w:val="zdroj0"/>
        <w:spacing w:after="0"/>
        <w:rPr>
          <w:rFonts w:asciiTheme="minorHAnsi" w:hAnsiTheme="minorHAnsi" w:cstheme="minorHAnsi"/>
        </w:rPr>
      </w:pPr>
      <w:r>
        <w:rPr>
          <w:rFonts w:asciiTheme="minorHAnsi" w:hAnsiTheme="minorHAnsi" w:cstheme="minorHAnsi"/>
        </w:rPr>
        <w:t>Zdroj: PROCES, Anketní šetření spokojenosti obyvatel města Zlín 2020</w:t>
      </w:r>
      <w:r w:rsidR="005668E1">
        <w:rPr>
          <w:rFonts w:asciiTheme="minorHAnsi" w:hAnsiTheme="minorHAnsi" w:cstheme="minorHAnsi"/>
        </w:rPr>
        <w:t>;</w:t>
      </w:r>
      <w:r>
        <w:rPr>
          <w:rFonts w:asciiTheme="minorHAnsi" w:hAnsiTheme="minorHAnsi" w:cstheme="minorHAnsi"/>
        </w:rPr>
        <w:t xml:space="preserve"> Otázka 5.</w:t>
      </w:r>
      <w:r w:rsidR="005668E1">
        <w:rPr>
          <w:rFonts w:asciiTheme="minorHAnsi" w:hAnsiTheme="minorHAnsi" w:cstheme="minorHAnsi"/>
        </w:rPr>
        <w:t>:</w:t>
      </w:r>
      <w:r>
        <w:rPr>
          <w:rFonts w:asciiTheme="minorHAnsi" w:hAnsiTheme="minorHAnsi" w:cstheme="minorHAnsi"/>
        </w:rPr>
        <w:t xml:space="preserve"> Jak jste spokojeni s občanskou vybaveností ve Vašem městě?</w:t>
      </w:r>
      <w:r>
        <w:rPr>
          <w:rFonts w:asciiTheme="minorHAnsi" w:hAnsiTheme="minorHAnsi" w:cstheme="minorHAnsi"/>
        </w:rPr>
        <w:br/>
        <w:t>Pozn.: Průměrné hodnocení na škále 0</w:t>
      </w:r>
      <w:r w:rsidR="005668E1">
        <w:rPr>
          <w:rFonts w:asciiTheme="minorHAnsi" w:hAnsiTheme="minorHAnsi" w:cstheme="minorHAnsi"/>
        </w:rPr>
        <w:t xml:space="preserve"> </w:t>
      </w:r>
      <w:r w:rsidR="005668E1">
        <w:rPr>
          <w:rFonts w:asciiTheme="minorHAnsi" w:hAnsiTheme="minorHAnsi" w:cstheme="minorHAnsi"/>
        </w:rPr>
        <w:sym w:font="Symbol" w:char="F02D"/>
      </w:r>
      <w:r w:rsidR="005668E1">
        <w:rPr>
          <w:rFonts w:asciiTheme="minorHAnsi" w:hAnsiTheme="minorHAnsi" w:cstheme="minorHAnsi"/>
        </w:rPr>
        <w:t xml:space="preserve"> </w:t>
      </w:r>
      <w:r>
        <w:rPr>
          <w:rFonts w:asciiTheme="minorHAnsi" w:hAnsiTheme="minorHAnsi" w:cstheme="minorHAnsi"/>
        </w:rPr>
        <w:t>100 (0 velmi nespokojen</w:t>
      </w:r>
      <w:r w:rsidR="005668E1">
        <w:rPr>
          <w:rFonts w:asciiTheme="minorHAnsi" w:hAnsiTheme="minorHAnsi" w:cstheme="minorHAnsi"/>
        </w:rPr>
        <w:t>;</w:t>
      </w:r>
      <w:r>
        <w:rPr>
          <w:rFonts w:asciiTheme="minorHAnsi" w:hAnsiTheme="minorHAnsi" w:cstheme="minorHAnsi"/>
        </w:rPr>
        <w:t xml:space="preserve"> 100 velmi spokojen).</w:t>
      </w:r>
    </w:p>
    <w:p w14:paraId="567BD504" w14:textId="53958496" w:rsidR="00047BE4" w:rsidRPr="0004100A" w:rsidRDefault="00047BE4" w:rsidP="00047BE4">
      <w:pPr>
        <w:keepNext/>
      </w:pPr>
      <w:r>
        <w:t xml:space="preserve">I přes kladné hodnocení nabídky kulturních akcí, respondenti v otázce, co jim </w:t>
      </w:r>
      <w:r w:rsidRPr="00A91FD1">
        <w:rPr>
          <w:rFonts w:cstheme="minorHAnsi"/>
        </w:rPr>
        <w:t>ve Zlíně nejvíce chybí</w:t>
      </w:r>
      <w:r>
        <w:rPr>
          <w:rFonts w:cstheme="minorHAnsi"/>
        </w:rPr>
        <w:t xml:space="preserve">, odpovídali nejčastěji, že postrádají </w:t>
      </w:r>
      <w:r w:rsidRPr="00DA7ABE">
        <w:rPr>
          <w:rFonts w:cstheme="minorHAnsi"/>
        </w:rPr>
        <w:t>kulturní akce a celkově možnosti vyžití a</w:t>
      </w:r>
      <w:r>
        <w:rPr>
          <w:rFonts w:cstheme="minorHAnsi"/>
        </w:rPr>
        <w:t> </w:t>
      </w:r>
      <w:r w:rsidRPr="00DA7ABE">
        <w:rPr>
          <w:rFonts w:cstheme="minorHAnsi"/>
        </w:rPr>
        <w:t xml:space="preserve">realizace společenského života – zmiňovali akce všeobecně, kulturní, festivaly, hudební akce </w:t>
      </w:r>
      <w:r w:rsidR="00034C72">
        <w:rPr>
          <w:rFonts w:cstheme="minorHAnsi"/>
        </w:rPr>
        <w:t xml:space="preserve">aj. </w:t>
      </w:r>
      <w:r>
        <w:rPr>
          <w:rFonts w:cstheme="minorHAnsi"/>
        </w:rPr>
        <w:t xml:space="preserve">a </w:t>
      </w:r>
      <w:r>
        <w:t>také</w:t>
      </w:r>
      <w:r>
        <w:rPr>
          <w:rFonts w:cstheme="minorHAnsi"/>
        </w:rPr>
        <w:t xml:space="preserve"> </w:t>
      </w:r>
      <w:r w:rsidRPr="00A30C65">
        <w:rPr>
          <w:rFonts w:cstheme="minorHAnsi"/>
        </w:rPr>
        <w:t>zaniklý hudební klub</w:t>
      </w:r>
      <w:r>
        <w:rPr>
          <w:rFonts w:cstheme="minorHAnsi"/>
        </w:rPr>
        <w:t xml:space="preserve">. </w:t>
      </w:r>
    </w:p>
    <w:p w14:paraId="67A7EED1" w14:textId="184C4C3A" w:rsidR="00047BE4" w:rsidRDefault="00047BE4" w:rsidP="00047BE4">
      <w:pPr>
        <w:keepNext/>
      </w:pPr>
      <w:r>
        <w:t>Větší počet kulturních aktivit by uvítalo 21,0 % respondentů s trvalým bydlištěm ve Zlíně, přičemž větší zájem mají ženy (24,8 %). Dle věku mají o větší počet kulturních aktivit zájem respondenti do 34 let (29,2 %), naopak nejmenší zájem o větší počet kulturních aktivit mají respondenti ve věku 65 a více let (11,9 %). Zájem o větší počet kulturních aktivit má také 41,3 % respondentů žijících ve Zlíně bez trvalého bydliště i 34,4 % studentů UTB účastnících se anketního šetření, více viz tabulka</w:t>
      </w:r>
      <w:r w:rsidR="00CA267E">
        <w:t xml:space="preserve"> 1.25</w:t>
      </w:r>
      <w:r>
        <w:t xml:space="preserve">. </w:t>
      </w:r>
    </w:p>
    <w:p w14:paraId="3081A523" w14:textId="706BA47D" w:rsidR="00047BE4" w:rsidRDefault="00047BE4" w:rsidP="00047BE4">
      <w:pPr>
        <w:pStyle w:val="Titulek"/>
        <w:keepNext/>
        <w:spacing w:after="60"/>
      </w:pPr>
      <w:bookmarkStart w:id="158" w:name="_Toc53037885"/>
      <w:bookmarkStart w:id="159" w:name="_Toc7707470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25</w:t>
      </w:r>
      <w:r w:rsidR="00081B47">
        <w:rPr>
          <w:noProof/>
        </w:rPr>
        <w:fldChar w:fldCharType="end"/>
      </w:r>
      <w:r w:rsidR="00034C72">
        <w:rPr>
          <w:noProof/>
        </w:rPr>
        <w:t>:</w:t>
      </w:r>
      <w:r>
        <w:t xml:space="preserve"> Vnímání respondentů ohledně potřeby podpory většího počtu kulturních aktivit ze strany města</w:t>
      </w:r>
      <w:bookmarkEnd w:id="158"/>
      <w:bookmarkEnd w:id="159"/>
      <w:r>
        <w:t xml:space="preserve"> </w:t>
      </w:r>
    </w:p>
    <w:tbl>
      <w:tblPr>
        <w:tblW w:w="0" w:type="auto"/>
        <w:tblCellMar>
          <w:left w:w="70" w:type="dxa"/>
          <w:right w:w="70" w:type="dxa"/>
        </w:tblCellMar>
        <w:tblLook w:val="04A0" w:firstRow="1" w:lastRow="0" w:firstColumn="1" w:lastColumn="0" w:noHBand="0" w:noVBand="1"/>
      </w:tblPr>
      <w:tblGrid>
        <w:gridCol w:w="2236"/>
        <w:gridCol w:w="694"/>
        <w:gridCol w:w="628"/>
        <w:gridCol w:w="628"/>
        <w:gridCol w:w="1087"/>
        <w:gridCol w:w="642"/>
        <w:gridCol w:w="789"/>
        <w:gridCol w:w="1526"/>
        <w:gridCol w:w="832"/>
      </w:tblGrid>
      <w:tr w:rsidR="00047BE4" w:rsidRPr="00FC11DE" w14:paraId="45E93E07" w14:textId="77777777" w:rsidTr="00047BE4">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8A9080D"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Oblast podpory</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07A6E0D9"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80C9DB4"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70AD710"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Studenti UTB</w:t>
            </w:r>
          </w:p>
        </w:tc>
      </w:tr>
      <w:tr w:rsidR="00047BE4" w:rsidRPr="00FC11DE" w14:paraId="2A2A1D8E" w14:textId="77777777" w:rsidTr="00047BE4">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FD7BBF"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5A8102C3"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2253CB68"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03AF2316"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E1AF59"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10D78E" w14:textId="77777777" w:rsidR="00047BE4" w:rsidRPr="00FC11DE" w:rsidRDefault="00047BE4" w:rsidP="00047BE4">
            <w:pPr>
              <w:keepNext/>
              <w:rPr>
                <w:rFonts w:ascii="Calibri" w:eastAsia="Times New Roman" w:hAnsi="Calibri" w:cs="Calibri"/>
                <w:b/>
                <w:bCs/>
                <w:color w:val="000000"/>
                <w:sz w:val="18"/>
                <w:szCs w:val="18"/>
                <w:lang w:eastAsia="cs-CZ"/>
              </w:rPr>
            </w:pPr>
          </w:p>
        </w:tc>
      </w:tr>
      <w:tr w:rsidR="00047BE4" w:rsidRPr="00FC11DE" w14:paraId="74664C03" w14:textId="77777777" w:rsidTr="00047BE4">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BCA88E"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5C9B0C80"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433B7E30"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5C64E2A9"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25584477"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46473F41"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36527908"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F9E846"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507A07" w14:textId="77777777" w:rsidR="00047BE4" w:rsidRPr="00FC11DE" w:rsidRDefault="00047BE4" w:rsidP="00047BE4">
            <w:pPr>
              <w:keepNext/>
              <w:rPr>
                <w:rFonts w:ascii="Calibri" w:eastAsia="Times New Roman" w:hAnsi="Calibri" w:cs="Calibri"/>
                <w:b/>
                <w:bCs/>
                <w:color w:val="000000"/>
                <w:sz w:val="18"/>
                <w:szCs w:val="18"/>
                <w:lang w:eastAsia="cs-CZ"/>
              </w:rPr>
            </w:pPr>
          </w:p>
        </w:tc>
      </w:tr>
      <w:tr w:rsidR="00047BE4" w:rsidRPr="00FC11DE" w14:paraId="3A6542BC" w14:textId="77777777" w:rsidTr="00047BE4">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7EF765" w14:textId="77777777" w:rsidR="00047BE4" w:rsidRPr="00FC11DE" w:rsidRDefault="00047BE4" w:rsidP="00047BE4">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Větší počet kulturních aktivit</w:t>
            </w:r>
          </w:p>
        </w:tc>
        <w:tc>
          <w:tcPr>
            <w:tcW w:w="0" w:type="auto"/>
            <w:tcBorders>
              <w:top w:val="single" w:sz="4" w:space="0" w:color="auto"/>
              <w:left w:val="single" w:sz="4" w:space="0" w:color="auto"/>
              <w:bottom w:val="single" w:sz="4" w:space="0" w:color="auto"/>
              <w:right w:val="single" w:sz="4" w:space="0" w:color="auto"/>
            </w:tcBorders>
            <w:shd w:val="clear" w:color="000000" w:fill="E6EDF7"/>
            <w:noWrap/>
            <w:hideMark/>
          </w:tcPr>
          <w:p w14:paraId="08E58B2D" w14:textId="33D83B35"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21,0</w:t>
            </w:r>
            <w:r w:rsidR="00034C72">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C4D5EB"/>
            <w:noWrap/>
            <w:hideMark/>
          </w:tcPr>
          <w:p w14:paraId="6918FAA3" w14:textId="0964348D"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16,7</w:t>
            </w:r>
            <w:r w:rsidR="00034C72">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CF8FB"/>
            <w:noWrap/>
            <w:hideMark/>
          </w:tcPr>
          <w:p w14:paraId="7E542F61" w14:textId="50900625"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24,8</w:t>
            </w:r>
            <w:r w:rsidR="00034C72">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CE8EB"/>
            <w:noWrap/>
            <w:hideMark/>
          </w:tcPr>
          <w:p w14:paraId="7EAA9937" w14:textId="4048A929"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29,2</w:t>
            </w:r>
            <w:r w:rsidR="00034C72">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EEF2FA"/>
            <w:noWrap/>
            <w:hideMark/>
          </w:tcPr>
          <w:p w14:paraId="71C4D248" w14:textId="3E8E5D11"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22,0</w:t>
            </w:r>
            <w:r w:rsidR="00034C72">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9DB9DD"/>
            <w:noWrap/>
            <w:hideMark/>
          </w:tcPr>
          <w:p w14:paraId="26C40560" w14:textId="7695207A"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11,9</w:t>
            </w:r>
            <w:r w:rsidR="00034C72">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BBCBF"/>
            <w:noWrap/>
            <w:hideMark/>
          </w:tcPr>
          <w:p w14:paraId="490EF909" w14:textId="520BD73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41,3</w:t>
            </w:r>
            <w:r w:rsidR="00034C72">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BD5D8"/>
            <w:noWrap/>
            <w:hideMark/>
          </w:tcPr>
          <w:p w14:paraId="5E749AD8" w14:textId="2B4C2C3A"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34,4</w:t>
            </w:r>
            <w:r w:rsidR="00034C72">
              <w:rPr>
                <w:rFonts w:cstheme="minorHAnsi"/>
                <w:sz w:val="18"/>
                <w:szCs w:val="18"/>
              </w:rPr>
              <w:t xml:space="preserve"> </w:t>
            </w:r>
            <w:r w:rsidRPr="003D492B">
              <w:rPr>
                <w:rFonts w:cstheme="minorHAnsi"/>
                <w:sz w:val="18"/>
                <w:szCs w:val="18"/>
              </w:rPr>
              <w:t>%</w:t>
            </w:r>
          </w:p>
        </w:tc>
      </w:tr>
    </w:tbl>
    <w:p w14:paraId="59BE0036" w14:textId="68690EA1" w:rsidR="00047BE4" w:rsidRPr="005E760B" w:rsidRDefault="00047BE4" w:rsidP="00047BE4">
      <w:pPr>
        <w:pStyle w:val="zdroj0"/>
        <w:keepNext/>
        <w:spacing w:after="0"/>
        <w:rPr>
          <w:rFonts w:asciiTheme="minorHAnsi" w:hAnsiTheme="minorHAnsi" w:cstheme="minorHAnsi"/>
        </w:rPr>
      </w:pPr>
      <w:r w:rsidRPr="005E760B">
        <w:rPr>
          <w:rFonts w:asciiTheme="minorHAnsi" w:hAnsiTheme="minorHAnsi" w:cstheme="minorHAnsi"/>
        </w:rPr>
        <w:t>Zdroj: PROCES, Anketní šetření spokoj</w:t>
      </w:r>
      <w:r w:rsidR="005668E1">
        <w:rPr>
          <w:rFonts w:asciiTheme="minorHAnsi" w:hAnsiTheme="minorHAnsi" w:cstheme="minorHAnsi"/>
        </w:rPr>
        <w:t>enosti obyvatel města Zlín 2020;</w:t>
      </w:r>
      <w:r w:rsidRPr="005E760B">
        <w:rPr>
          <w:rFonts w:asciiTheme="minorHAnsi" w:hAnsiTheme="minorHAnsi" w:cstheme="minorHAnsi"/>
        </w:rPr>
        <w:t xml:space="preserve"> Otázka 14.</w:t>
      </w:r>
      <w:r w:rsidR="005668E1">
        <w:rPr>
          <w:rFonts w:asciiTheme="minorHAnsi" w:hAnsiTheme="minorHAnsi" w:cstheme="minorHAnsi"/>
        </w:rPr>
        <w:t>:</w:t>
      </w:r>
      <w:r w:rsidRPr="005E760B">
        <w:rPr>
          <w:rFonts w:asciiTheme="minorHAnsi" w:hAnsiTheme="minorHAnsi" w:cstheme="minorHAnsi"/>
        </w:rPr>
        <w:t xml:space="preserve"> Co by mělo město přednostně podporovat (Zaškrtněte maximálně 3 možnosti)</w:t>
      </w:r>
    </w:p>
    <w:p w14:paraId="691AF041" w14:textId="77777777" w:rsidR="00047BE4" w:rsidRDefault="00047BE4" w:rsidP="00047BE4">
      <w:pPr>
        <w:pStyle w:val="Nadpis5"/>
      </w:pPr>
      <w:r>
        <w:t>Sport a volnočasové aktivity</w:t>
      </w:r>
    </w:p>
    <w:p w14:paraId="497FE93F" w14:textId="77777777" w:rsidR="00047BE4" w:rsidRDefault="00047BE4" w:rsidP="00047BE4">
      <w:r w:rsidRPr="004E0433">
        <w:t xml:space="preserve">Oblast </w:t>
      </w:r>
      <w:r>
        <w:t>sportu</w:t>
      </w:r>
      <w:r w:rsidRPr="004E0433">
        <w:t xml:space="preserve"> je v rámci </w:t>
      </w:r>
      <w:r>
        <w:t>Magistrátu města Zlín</w:t>
      </w:r>
      <w:r w:rsidRPr="004E0433">
        <w:t xml:space="preserve"> v gesci </w:t>
      </w:r>
      <w:r w:rsidRPr="00B62943">
        <w:rPr>
          <w:b/>
        </w:rPr>
        <w:t>Oddělení prevence kriminality a sportovišť</w:t>
      </w:r>
      <w:r>
        <w:t>, která má mj. v kompetenci správu vybraných městských sportovišť a podporu sportu, správu Fondu mládeže a tělovýchovy a metodické vedení organizační složky města – Středisko volného času-Ostrov radosti. V současné době město nemá platný strategický dokument pro oblast sportu, koncepce sportu se ale v roce 2020 zpracovává.</w:t>
      </w:r>
    </w:p>
    <w:p w14:paraId="4B23E47C" w14:textId="3AA04E15" w:rsidR="00047BE4" w:rsidRDefault="00047BE4" w:rsidP="00047BE4">
      <w:r>
        <w:t>Sportovní vyžití ve městě Zlín je všestranné, jsou zde sportoviště se zaměřením na fotbal, futsal, hokej a</w:t>
      </w:r>
      <w:r w:rsidR="00034C72">
        <w:t> </w:t>
      </w:r>
      <w:r>
        <w:t xml:space="preserve">bruslení, atletiku, stolní tenis, tenis, badminton, squash, volejbal, beachvolejbal, plavání a koupání i lyžování atd. Mezi sportovní dominanty ve městě patří např. </w:t>
      </w:r>
      <w:r w:rsidRPr="001D3711">
        <w:t>fotbalový stadion Letná,</w:t>
      </w:r>
      <w:r>
        <w:t xml:space="preserve"> zimní </w:t>
      </w:r>
      <w:r w:rsidRPr="001D3711">
        <w:t xml:space="preserve">stadion Luďka Čajky, PSG Arena, </w:t>
      </w:r>
      <w:r>
        <w:t>Stadion Mládeže</w:t>
      </w:r>
      <w:r w:rsidRPr="001D3711">
        <w:t xml:space="preserve">, </w:t>
      </w:r>
      <w:r>
        <w:t>Sportovní komplex hala Zelené nebo</w:t>
      </w:r>
      <w:r w:rsidRPr="001D3711">
        <w:t xml:space="preserve"> </w:t>
      </w:r>
      <w:r>
        <w:t xml:space="preserve">Lázně Zlín aj. </w:t>
      </w:r>
      <w:r w:rsidRPr="001D3711">
        <w:t>V zimním období je v</w:t>
      </w:r>
      <w:r>
        <w:t> </w:t>
      </w:r>
      <w:r w:rsidRPr="001D3711">
        <w:t>provozu</w:t>
      </w:r>
      <w:r>
        <w:t xml:space="preserve"> také</w:t>
      </w:r>
      <w:r w:rsidRPr="001D3711">
        <w:t xml:space="preserve"> lyžařská sjezdovka</w:t>
      </w:r>
      <w:r>
        <w:t xml:space="preserve"> na náměstí T.G. Masaryka. Veřejnost může využívat také sportoviště (hřiště, tělocvičny) při základních a středních školách na území města nebo dětských hřišť, z</w:t>
      </w:r>
      <w:r w:rsidR="00034C72">
        <w:t> </w:t>
      </w:r>
      <w:r>
        <w:t>nichž u</w:t>
      </w:r>
      <w:r w:rsidR="00034C72">
        <w:t> </w:t>
      </w:r>
      <w:r>
        <w:t xml:space="preserve">některých instalovány také cvičební prvky pro seniory. Následující tabulka </w:t>
      </w:r>
      <w:r w:rsidR="00EB62B8">
        <w:t>1.2</w:t>
      </w:r>
      <w:r w:rsidR="00CA267E">
        <w:t>6</w:t>
      </w:r>
      <w:r w:rsidR="00EB62B8">
        <w:t xml:space="preserve"> </w:t>
      </w:r>
      <w:r>
        <w:t xml:space="preserve">udává výběr několika sportovišť nacházejících se na území města Zlína. </w:t>
      </w:r>
    </w:p>
    <w:p w14:paraId="3B0157A4" w14:textId="0933BD81" w:rsidR="00047BE4" w:rsidRDefault="00047BE4" w:rsidP="00047BE4">
      <w:pPr>
        <w:pStyle w:val="Titulek"/>
        <w:keepNext/>
        <w:spacing w:after="60"/>
      </w:pPr>
      <w:bookmarkStart w:id="160" w:name="_Toc53037886"/>
      <w:bookmarkStart w:id="161" w:name="_Toc77074706"/>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26</w:t>
      </w:r>
      <w:r w:rsidR="00081B47">
        <w:rPr>
          <w:noProof/>
        </w:rPr>
        <w:fldChar w:fldCharType="end"/>
      </w:r>
      <w:r w:rsidR="00034C72">
        <w:rPr>
          <w:noProof/>
        </w:rPr>
        <w:t>:</w:t>
      </w:r>
      <w:r>
        <w:t xml:space="preserve"> Výběr sportovišť na území SMZ</w:t>
      </w:r>
      <w:bookmarkEnd w:id="160"/>
      <w:bookmarkEnd w:id="161"/>
    </w:p>
    <w:tbl>
      <w:tblPr>
        <w:tblW w:w="0" w:type="auto"/>
        <w:tblLook w:val="0420" w:firstRow="1" w:lastRow="0" w:firstColumn="0" w:lastColumn="0" w:noHBand="0" w:noVBand="1"/>
      </w:tblPr>
      <w:tblGrid>
        <w:gridCol w:w="3854"/>
        <w:gridCol w:w="2091"/>
        <w:gridCol w:w="3127"/>
      </w:tblGrid>
      <w:tr w:rsidR="00047BE4" w:rsidRPr="00572FA6" w14:paraId="102E483D" w14:textId="77777777" w:rsidTr="00047BE4">
        <w:tc>
          <w:tcPr>
            <w:tcW w:w="3936" w:type="dxa"/>
          </w:tcPr>
          <w:p w14:paraId="3D8C0C50" w14:textId="77777777" w:rsidR="00047BE4" w:rsidRPr="00572FA6" w:rsidRDefault="00047BE4" w:rsidP="00047BE4">
            <w:pPr>
              <w:keepNext/>
              <w:keepLines/>
              <w:spacing w:before="0"/>
              <w:jc w:val="center"/>
              <w:rPr>
                <w:rFonts w:cstheme="minorHAnsi"/>
                <w:sz w:val="18"/>
                <w:szCs w:val="18"/>
              </w:rPr>
            </w:pPr>
            <w:r w:rsidRPr="00572FA6">
              <w:rPr>
                <w:rFonts w:cstheme="minorHAnsi"/>
                <w:sz w:val="18"/>
                <w:szCs w:val="18"/>
              </w:rPr>
              <w:t>Název sportovního zařízení</w:t>
            </w:r>
          </w:p>
        </w:tc>
        <w:tc>
          <w:tcPr>
            <w:tcW w:w="2126" w:type="dxa"/>
          </w:tcPr>
          <w:p w14:paraId="40C13BD1" w14:textId="77777777" w:rsidR="00047BE4" w:rsidRPr="00572FA6" w:rsidRDefault="00047BE4" w:rsidP="00047BE4">
            <w:pPr>
              <w:keepNext/>
              <w:keepLines/>
              <w:spacing w:before="0"/>
              <w:jc w:val="center"/>
              <w:rPr>
                <w:rFonts w:cstheme="minorHAnsi"/>
                <w:sz w:val="18"/>
                <w:szCs w:val="18"/>
              </w:rPr>
            </w:pPr>
            <w:r w:rsidRPr="00572FA6">
              <w:rPr>
                <w:rFonts w:cstheme="minorHAnsi"/>
                <w:sz w:val="18"/>
                <w:szCs w:val="18"/>
              </w:rPr>
              <w:t>Adresa</w:t>
            </w:r>
          </w:p>
        </w:tc>
        <w:tc>
          <w:tcPr>
            <w:tcW w:w="3187" w:type="dxa"/>
          </w:tcPr>
          <w:p w14:paraId="5020AA33" w14:textId="77777777" w:rsidR="00047BE4" w:rsidRPr="00572FA6" w:rsidRDefault="00047BE4" w:rsidP="00047BE4">
            <w:pPr>
              <w:keepNext/>
              <w:keepLines/>
              <w:spacing w:before="0"/>
              <w:jc w:val="center"/>
              <w:rPr>
                <w:rFonts w:cstheme="minorHAnsi"/>
                <w:sz w:val="18"/>
                <w:szCs w:val="18"/>
              </w:rPr>
            </w:pPr>
            <w:r w:rsidRPr="00572FA6">
              <w:rPr>
                <w:rFonts w:cstheme="minorHAnsi"/>
                <w:sz w:val="18"/>
                <w:szCs w:val="18"/>
              </w:rPr>
              <w:t>Sporty</w:t>
            </w:r>
          </w:p>
        </w:tc>
      </w:tr>
      <w:tr w:rsidR="00047BE4" w:rsidRPr="00572FA6" w14:paraId="34B50330" w14:textId="77777777" w:rsidTr="00047BE4">
        <w:tc>
          <w:tcPr>
            <w:tcW w:w="3936" w:type="dxa"/>
          </w:tcPr>
          <w:p w14:paraId="5A95FA3D"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Fotbalové hřiště, tenisové kurty</w:t>
            </w:r>
          </w:p>
        </w:tc>
        <w:tc>
          <w:tcPr>
            <w:tcW w:w="2126" w:type="dxa"/>
          </w:tcPr>
          <w:p w14:paraId="46ADEB33"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U hřiště 276</w:t>
            </w:r>
          </w:p>
        </w:tc>
        <w:tc>
          <w:tcPr>
            <w:tcW w:w="3187" w:type="dxa"/>
          </w:tcPr>
          <w:p w14:paraId="1924D2BB"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Fotbal</w:t>
            </w:r>
            <w:r>
              <w:rPr>
                <w:rFonts w:cstheme="minorHAnsi"/>
                <w:sz w:val="18"/>
                <w:szCs w:val="18"/>
              </w:rPr>
              <w:t>, tenis</w:t>
            </w:r>
          </w:p>
        </w:tc>
      </w:tr>
      <w:tr w:rsidR="00047BE4" w:rsidRPr="00572FA6" w14:paraId="6238D050" w14:textId="77777777" w:rsidTr="00047BE4">
        <w:tc>
          <w:tcPr>
            <w:tcW w:w="3936" w:type="dxa"/>
          </w:tcPr>
          <w:p w14:paraId="1F480535"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Fotbalové hřiště Paseky</w:t>
            </w:r>
          </w:p>
        </w:tc>
        <w:tc>
          <w:tcPr>
            <w:tcW w:w="2126" w:type="dxa"/>
          </w:tcPr>
          <w:p w14:paraId="28FC81A5"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Pasecká</w:t>
            </w:r>
          </w:p>
        </w:tc>
        <w:tc>
          <w:tcPr>
            <w:tcW w:w="3187" w:type="dxa"/>
          </w:tcPr>
          <w:p w14:paraId="7A06640A"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Fotbal</w:t>
            </w:r>
          </w:p>
        </w:tc>
      </w:tr>
      <w:tr w:rsidR="00047BE4" w:rsidRPr="00572FA6" w14:paraId="6C2CD010" w14:textId="77777777" w:rsidTr="00047BE4">
        <w:tc>
          <w:tcPr>
            <w:tcW w:w="3936" w:type="dxa"/>
          </w:tcPr>
          <w:p w14:paraId="389C707E"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Fotbalový stadion –</w:t>
            </w:r>
            <w:r>
              <w:rPr>
                <w:rFonts w:cstheme="minorHAnsi"/>
                <w:sz w:val="18"/>
                <w:szCs w:val="18"/>
              </w:rPr>
              <w:t xml:space="preserve"> </w:t>
            </w:r>
            <w:r w:rsidRPr="00572FA6">
              <w:rPr>
                <w:rFonts w:cstheme="minorHAnsi"/>
                <w:sz w:val="18"/>
                <w:szCs w:val="18"/>
              </w:rPr>
              <w:t>stadion Letná</w:t>
            </w:r>
          </w:p>
        </w:tc>
        <w:tc>
          <w:tcPr>
            <w:tcW w:w="2126" w:type="dxa"/>
          </w:tcPr>
          <w:p w14:paraId="64946D09"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Tyršovo nábřeží 4381</w:t>
            </w:r>
          </w:p>
        </w:tc>
        <w:tc>
          <w:tcPr>
            <w:tcW w:w="3187" w:type="dxa"/>
          </w:tcPr>
          <w:p w14:paraId="2D27D540"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Fotbal</w:t>
            </w:r>
          </w:p>
        </w:tc>
      </w:tr>
      <w:tr w:rsidR="00047BE4" w:rsidRPr="00572FA6" w14:paraId="2B22C78E" w14:textId="77777777" w:rsidTr="00047BE4">
        <w:tc>
          <w:tcPr>
            <w:tcW w:w="3936" w:type="dxa"/>
          </w:tcPr>
          <w:p w14:paraId="0E36F186"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Fotbalový areál Vlastislava Marečka</w:t>
            </w:r>
          </w:p>
        </w:tc>
        <w:tc>
          <w:tcPr>
            <w:tcW w:w="2126" w:type="dxa"/>
          </w:tcPr>
          <w:p w14:paraId="6CDC50F5"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Sokolská 4989</w:t>
            </w:r>
          </w:p>
        </w:tc>
        <w:tc>
          <w:tcPr>
            <w:tcW w:w="3187" w:type="dxa"/>
          </w:tcPr>
          <w:p w14:paraId="5B1AB872"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Fotbal</w:t>
            </w:r>
          </w:p>
        </w:tc>
      </w:tr>
      <w:tr w:rsidR="00047BE4" w:rsidRPr="00572FA6" w14:paraId="110A5F1D" w14:textId="77777777" w:rsidTr="00047BE4">
        <w:tc>
          <w:tcPr>
            <w:tcW w:w="3936" w:type="dxa"/>
          </w:tcPr>
          <w:p w14:paraId="704E59C4"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Hřiště a stadiony pro fotbal</w:t>
            </w:r>
          </w:p>
        </w:tc>
        <w:tc>
          <w:tcPr>
            <w:tcW w:w="2126" w:type="dxa"/>
          </w:tcPr>
          <w:p w14:paraId="08D6A37A" w14:textId="77777777" w:rsidR="00047BE4" w:rsidRPr="00572FA6" w:rsidRDefault="00047BE4" w:rsidP="00047BE4">
            <w:pPr>
              <w:keepNext/>
              <w:keepLines/>
              <w:spacing w:before="0"/>
              <w:jc w:val="left"/>
              <w:rPr>
                <w:rFonts w:cstheme="minorHAnsi"/>
                <w:sz w:val="18"/>
                <w:szCs w:val="18"/>
              </w:rPr>
            </w:pPr>
            <w:r>
              <w:rPr>
                <w:rFonts w:cstheme="minorHAnsi"/>
                <w:sz w:val="18"/>
                <w:szCs w:val="18"/>
              </w:rPr>
              <w:t>Cecilka</w:t>
            </w:r>
            <w:r w:rsidRPr="00572FA6">
              <w:rPr>
                <w:rFonts w:cstheme="minorHAnsi"/>
                <w:sz w:val="18"/>
                <w:szCs w:val="18"/>
              </w:rPr>
              <w:t xml:space="preserve"> 125</w:t>
            </w:r>
          </w:p>
        </w:tc>
        <w:tc>
          <w:tcPr>
            <w:tcW w:w="3187" w:type="dxa"/>
          </w:tcPr>
          <w:p w14:paraId="2D4A28C2"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Fotbal</w:t>
            </w:r>
          </w:p>
        </w:tc>
      </w:tr>
      <w:tr w:rsidR="00047BE4" w:rsidRPr="00572FA6" w14:paraId="357BC667" w14:textId="77777777" w:rsidTr="00047BE4">
        <w:tc>
          <w:tcPr>
            <w:tcW w:w="3936" w:type="dxa"/>
          </w:tcPr>
          <w:p w14:paraId="55EF9DB2"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Hřiště a stadiony pro fotbal + výběhová plocha</w:t>
            </w:r>
          </w:p>
        </w:tc>
        <w:tc>
          <w:tcPr>
            <w:tcW w:w="2126" w:type="dxa"/>
          </w:tcPr>
          <w:p w14:paraId="64819E69" w14:textId="77777777" w:rsidR="00047BE4" w:rsidRPr="00572FA6" w:rsidRDefault="00047BE4" w:rsidP="00047BE4">
            <w:pPr>
              <w:keepNext/>
              <w:keepLines/>
              <w:spacing w:before="0"/>
              <w:jc w:val="left"/>
              <w:rPr>
                <w:rFonts w:cstheme="minorHAnsi"/>
                <w:sz w:val="18"/>
                <w:szCs w:val="18"/>
              </w:rPr>
            </w:pPr>
            <w:r>
              <w:rPr>
                <w:rFonts w:cstheme="minorHAnsi"/>
                <w:sz w:val="18"/>
                <w:szCs w:val="18"/>
              </w:rPr>
              <w:t>Na Vrše</w:t>
            </w:r>
            <w:r w:rsidRPr="00572FA6">
              <w:rPr>
                <w:rFonts w:cstheme="minorHAnsi"/>
                <w:sz w:val="18"/>
                <w:szCs w:val="18"/>
              </w:rPr>
              <w:t xml:space="preserve"> 295</w:t>
            </w:r>
          </w:p>
        </w:tc>
        <w:tc>
          <w:tcPr>
            <w:tcW w:w="3187" w:type="dxa"/>
          </w:tcPr>
          <w:p w14:paraId="5BA71FCC"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Fotbal</w:t>
            </w:r>
          </w:p>
        </w:tc>
      </w:tr>
      <w:tr w:rsidR="00047BE4" w:rsidRPr="00572FA6" w14:paraId="48393A94" w14:textId="77777777" w:rsidTr="00047BE4">
        <w:tc>
          <w:tcPr>
            <w:tcW w:w="3936" w:type="dxa"/>
          </w:tcPr>
          <w:p w14:paraId="68772978"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Hal</w:t>
            </w:r>
            <w:r>
              <w:rPr>
                <w:rFonts w:cstheme="minorHAnsi"/>
                <w:sz w:val="18"/>
                <w:szCs w:val="18"/>
              </w:rPr>
              <w:t>a stolního tenisu</w:t>
            </w:r>
          </w:p>
        </w:tc>
        <w:tc>
          <w:tcPr>
            <w:tcW w:w="2126" w:type="dxa"/>
          </w:tcPr>
          <w:p w14:paraId="3E7EC872"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 xml:space="preserve">Podvesná 1070 </w:t>
            </w:r>
          </w:p>
        </w:tc>
        <w:tc>
          <w:tcPr>
            <w:tcW w:w="3187" w:type="dxa"/>
          </w:tcPr>
          <w:p w14:paraId="20DC8DD0"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Stolní tenis</w:t>
            </w:r>
          </w:p>
        </w:tc>
      </w:tr>
      <w:tr w:rsidR="00047BE4" w:rsidRPr="00572FA6" w14:paraId="7580C9F7" w14:textId="77777777" w:rsidTr="00047BE4">
        <w:tc>
          <w:tcPr>
            <w:tcW w:w="3936" w:type="dxa"/>
          </w:tcPr>
          <w:p w14:paraId="56892DAF"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Šatna, klubovna, tenisové kurty</w:t>
            </w:r>
          </w:p>
        </w:tc>
        <w:tc>
          <w:tcPr>
            <w:tcW w:w="2126" w:type="dxa"/>
          </w:tcPr>
          <w:p w14:paraId="67AA7E52"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Januštice</w:t>
            </w:r>
          </w:p>
        </w:tc>
        <w:tc>
          <w:tcPr>
            <w:tcW w:w="3187" w:type="dxa"/>
          </w:tcPr>
          <w:p w14:paraId="12BCF146"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Tenis</w:t>
            </w:r>
          </w:p>
        </w:tc>
      </w:tr>
      <w:tr w:rsidR="00047BE4" w:rsidRPr="00572FA6" w14:paraId="65458D67" w14:textId="77777777" w:rsidTr="00047BE4">
        <w:tc>
          <w:tcPr>
            <w:tcW w:w="3936" w:type="dxa"/>
          </w:tcPr>
          <w:p w14:paraId="68D10A21"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Pr>
                <w:rFonts w:cstheme="minorHAnsi"/>
                <w:sz w:val="18"/>
                <w:szCs w:val="18"/>
              </w:rPr>
              <w:t>Tenisové kurty a tenisová hala Vršava</w:t>
            </w:r>
          </w:p>
        </w:tc>
        <w:tc>
          <w:tcPr>
            <w:tcW w:w="2126" w:type="dxa"/>
          </w:tcPr>
          <w:p w14:paraId="367E8881" w14:textId="77777777" w:rsidR="00047BE4" w:rsidRPr="00572FA6" w:rsidRDefault="00047BE4" w:rsidP="00047BE4">
            <w:pPr>
              <w:keepNext/>
              <w:keepLines/>
              <w:spacing w:before="0"/>
              <w:jc w:val="left"/>
              <w:rPr>
                <w:rFonts w:cstheme="minorHAnsi"/>
                <w:sz w:val="18"/>
                <w:szCs w:val="18"/>
              </w:rPr>
            </w:pPr>
            <w:r>
              <w:rPr>
                <w:rFonts w:cstheme="minorHAnsi"/>
                <w:sz w:val="18"/>
                <w:szCs w:val="18"/>
              </w:rPr>
              <w:t>Sokolská</w:t>
            </w:r>
            <w:r w:rsidRPr="00572FA6">
              <w:rPr>
                <w:rFonts w:cstheme="minorHAnsi"/>
                <w:sz w:val="18"/>
                <w:szCs w:val="18"/>
              </w:rPr>
              <w:t xml:space="preserve"> 5369</w:t>
            </w:r>
          </w:p>
        </w:tc>
        <w:tc>
          <w:tcPr>
            <w:tcW w:w="3187" w:type="dxa"/>
          </w:tcPr>
          <w:p w14:paraId="2F4781A6"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Tenis</w:t>
            </w:r>
          </w:p>
        </w:tc>
      </w:tr>
      <w:tr w:rsidR="00047BE4" w:rsidRPr="00572FA6" w14:paraId="5F6738EF" w14:textId="77777777" w:rsidTr="00047BE4">
        <w:tc>
          <w:tcPr>
            <w:tcW w:w="3936" w:type="dxa"/>
          </w:tcPr>
          <w:p w14:paraId="384E88ED"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Tenis Mladcová</w:t>
            </w:r>
          </w:p>
        </w:tc>
        <w:tc>
          <w:tcPr>
            <w:tcW w:w="2126" w:type="dxa"/>
          </w:tcPr>
          <w:p w14:paraId="37E7C424"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Vinohrádek 493</w:t>
            </w:r>
          </w:p>
        </w:tc>
        <w:tc>
          <w:tcPr>
            <w:tcW w:w="3187" w:type="dxa"/>
          </w:tcPr>
          <w:p w14:paraId="515C5CF6"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Tenis</w:t>
            </w:r>
          </w:p>
        </w:tc>
      </w:tr>
      <w:tr w:rsidR="00047BE4" w:rsidRPr="00572FA6" w14:paraId="7E0658F9" w14:textId="77777777" w:rsidTr="00047BE4">
        <w:tc>
          <w:tcPr>
            <w:tcW w:w="3936" w:type="dxa"/>
          </w:tcPr>
          <w:p w14:paraId="1600146D"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Squash Club ZPS – Tennis Zlín</w:t>
            </w:r>
          </w:p>
        </w:tc>
        <w:tc>
          <w:tcPr>
            <w:tcW w:w="2126" w:type="dxa"/>
          </w:tcPr>
          <w:p w14:paraId="1C1C46C8"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Masarykova 1013</w:t>
            </w:r>
          </w:p>
        </w:tc>
        <w:tc>
          <w:tcPr>
            <w:tcW w:w="3187" w:type="dxa"/>
          </w:tcPr>
          <w:p w14:paraId="03D42E71"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Squash, tenis</w:t>
            </w:r>
          </w:p>
        </w:tc>
      </w:tr>
      <w:tr w:rsidR="00047BE4" w:rsidRPr="00572FA6" w14:paraId="3545F221" w14:textId="77777777" w:rsidTr="00047BE4">
        <w:tc>
          <w:tcPr>
            <w:tcW w:w="3936" w:type="dxa"/>
          </w:tcPr>
          <w:p w14:paraId="549043F0"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Sportcentrum Maty Z</w:t>
            </w:r>
            <w:r>
              <w:rPr>
                <w:rFonts w:cstheme="minorHAnsi"/>
                <w:sz w:val="18"/>
                <w:szCs w:val="18"/>
              </w:rPr>
              <w:t>lín</w:t>
            </w:r>
          </w:p>
        </w:tc>
        <w:tc>
          <w:tcPr>
            <w:tcW w:w="2126" w:type="dxa"/>
          </w:tcPr>
          <w:p w14:paraId="3D8B3537" w14:textId="77777777" w:rsidR="00047BE4" w:rsidRPr="00572FA6" w:rsidRDefault="00047BE4" w:rsidP="00047BE4">
            <w:pPr>
              <w:keepNext/>
              <w:keepLines/>
              <w:spacing w:before="0"/>
              <w:jc w:val="left"/>
              <w:rPr>
                <w:rFonts w:cstheme="minorHAnsi"/>
                <w:sz w:val="18"/>
                <w:szCs w:val="18"/>
              </w:rPr>
            </w:pPr>
          </w:p>
        </w:tc>
        <w:tc>
          <w:tcPr>
            <w:tcW w:w="3187" w:type="dxa"/>
          </w:tcPr>
          <w:p w14:paraId="20854F75"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Badminton, tenis</w:t>
            </w:r>
          </w:p>
        </w:tc>
      </w:tr>
      <w:tr w:rsidR="00047BE4" w:rsidRPr="00572FA6" w14:paraId="3CD6BC1D" w14:textId="77777777" w:rsidTr="00047BE4">
        <w:tc>
          <w:tcPr>
            <w:tcW w:w="3936" w:type="dxa"/>
          </w:tcPr>
          <w:p w14:paraId="57669F6C"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Squash Zlín</w:t>
            </w:r>
          </w:p>
        </w:tc>
        <w:tc>
          <w:tcPr>
            <w:tcW w:w="2126" w:type="dxa"/>
          </w:tcPr>
          <w:p w14:paraId="16FEDE5C"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Kvítková 5279</w:t>
            </w:r>
          </w:p>
        </w:tc>
        <w:tc>
          <w:tcPr>
            <w:tcW w:w="3187" w:type="dxa"/>
          </w:tcPr>
          <w:p w14:paraId="4AA52705"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Squash</w:t>
            </w:r>
          </w:p>
        </w:tc>
      </w:tr>
      <w:tr w:rsidR="00047BE4" w:rsidRPr="00572FA6" w14:paraId="6A2A8BC9" w14:textId="77777777" w:rsidTr="00047BE4">
        <w:tc>
          <w:tcPr>
            <w:tcW w:w="3936" w:type="dxa"/>
          </w:tcPr>
          <w:p w14:paraId="14FB8173"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Pr>
                <w:rFonts w:cstheme="minorHAnsi"/>
                <w:sz w:val="18"/>
                <w:szCs w:val="18"/>
              </w:rPr>
              <w:t>KC Zlín kuželna</w:t>
            </w:r>
          </w:p>
        </w:tc>
        <w:tc>
          <w:tcPr>
            <w:tcW w:w="2126" w:type="dxa"/>
          </w:tcPr>
          <w:p w14:paraId="0FA1D53F"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Tyršovo nábřeží</w:t>
            </w:r>
          </w:p>
        </w:tc>
        <w:tc>
          <w:tcPr>
            <w:tcW w:w="3187" w:type="dxa"/>
          </w:tcPr>
          <w:p w14:paraId="4E7E9BC4"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Kuželky/bowling</w:t>
            </w:r>
          </w:p>
        </w:tc>
      </w:tr>
      <w:tr w:rsidR="00047BE4" w:rsidRPr="00572FA6" w14:paraId="4416BD00" w14:textId="77777777" w:rsidTr="00047BE4">
        <w:tc>
          <w:tcPr>
            <w:tcW w:w="3936" w:type="dxa"/>
          </w:tcPr>
          <w:p w14:paraId="7D419933"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Sokolovna</w:t>
            </w:r>
          </w:p>
        </w:tc>
        <w:tc>
          <w:tcPr>
            <w:tcW w:w="2126" w:type="dxa"/>
          </w:tcPr>
          <w:p w14:paraId="589F2B0B"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Sokolská 663</w:t>
            </w:r>
          </w:p>
        </w:tc>
        <w:tc>
          <w:tcPr>
            <w:tcW w:w="3187" w:type="dxa"/>
          </w:tcPr>
          <w:p w14:paraId="6D432607" w14:textId="77777777" w:rsidR="00047BE4" w:rsidRPr="00572FA6" w:rsidRDefault="00047BE4" w:rsidP="00047BE4">
            <w:pPr>
              <w:keepNext/>
              <w:keepLines/>
              <w:spacing w:before="0"/>
              <w:jc w:val="left"/>
              <w:rPr>
                <w:rFonts w:cstheme="minorHAnsi"/>
                <w:sz w:val="18"/>
                <w:szCs w:val="18"/>
              </w:rPr>
            </w:pPr>
          </w:p>
        </w:tc>
      </w:tr>
      <w:tr w:rsidR="00047BE4" w:rsidRPr="00572FA6" w14:paraId="478A608C" w14:textId="77777777" w:rsidTr="00047BE4">
        <w:tc>
          <w:tcPr>
            <w:tcW w:w="3936" w:type="dxa"/>
          </w:tcPr>
          <w:p w14:paraId="375D768D"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Sokolovna</w:t>
            </w:r>
          </w:p>
        </w:tc>
        <w:tc>
          <w:tcPr>
            <w:tcW w:w="2126" w:type="dxa"/>
          </w:tcPr>
          <w:p w14:paraId="1799D8FD"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U Sokolovny 100</w:t>
            </w:r>
          </w:p>
        </w:tc>
        <w:tc>
          <w:tcPr>
            <w:tcW w:w="3187" w:type="dxa"/>
          </w:tcPr>
          <w:p w14:paraId="04262C9E" w14:textId="77777777" w:rsidR="00047BE4" w:rsidRPr="00572FA6" w:rsidRDefault="00047BE4" w:rsidP="00047BE4">
            <w:pPr>
              <w:keepNext/>
              <w:keepLines/>
              <w:spacing w:before="0"/>
              <w:jc w:val="left"/>
              <w:rPr>
                <w:rFonts w:cstheme="minorHAnsi"/>
                <w:sz w:val="18"/>
                <w:szCs w:val="18"/>
              </w:rPr>
            </w:pPr>
          </w:p>
        </w:tc>
      </w:tr>
      <w:tr w:rsidR="00047BE4" w:rsidRPr="00572FA6" w14:paraId="04717ABC" w14:textId="77777777" w:rsidTr="00047BE4">
        <w:tc>
          <w:tcPr>
            <w:tcW w:w="3936" w:type="dxa"/>
          </w:tcPr>
          <w:p w14:paraId="22A6A8B6"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Sokolovna</w:t>
            </w:r>
          </w:p>
        </w:tc>
        <w:tc>
          <w:tcPr>
            <w:tcW w:w="2126" w:type="dxa"/>
          </w:tcPr>
          <w:p w14:paraId="6EA31D64"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Tyršova 230</w:t>
            </w:r>
          </w:p>
        </w:tc>
        <w:tc>
          <w:tcPr>
            <w:tcW w:w="3187" w:type="dxa"/>
          </w:tcPr>
          <w:p w14:paraId="02AB65EA" w14:textId="77777777" w:rsidR="00047BE4" w:rsidRPr="00572FA6" w:rsidRDefault="00047BE4" w:rsidP="00047BE4">
            <w:pPr>
              <w:keepNext/>
              <w:keepLines/>
              <w:spacing w:before="0"/>
              <w:jc w:val="left"/>
              <w:rPr>
                <w:rFonts w:cstheme="minorHAnsi"/>
                <w:sz w:val="18"/>
                <w:szCs w:val="18"/>
              </w:rPr>
            </w:pPr>
          </w:p>
        </w:tc>
      </w:tr>
      <w:tr w:rsidR="00047BE4" w:rsidRPr="00572FA6" w14:paraId="755D8BE7" w14:textId="77777777" w:rsidTr="00047BE4">
        <w:tc>
          <w:tcPr>
            <w:tcW w:w="3936" w:type="dxa"/>
          </w:tcPr>
          <w:p w14:paraId="107E1EAC"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Orlovna</w:t>
            </w:r>
          </w:p>
        </w:tc>
        <w:tc>
          <w:tcPr>
            <w:tcW w:w="2126" w:type="dxa"/>
          </w:tcPr>
          <w:p w14:paraId="516B6293"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Štefánikova 661</w:t>
            </w:r>
          </w:p>
        </w:tc>
        <w:tc>
          <w:tcPr>
            <w:tcW w:w="3187" w:type="dxa"/>
          </w:tcPr>
          <w:p w14:paraId="1FB1718A" w14:textId="77777777" w:rsidR="00047BE4" w:rsidRPr="00572FA6" w:rsidRDefault="00047BE4" w:rsidP="00047BE4">
            <w:pPr>
              <w:keepNext/>
              <w:keepLines/>
              <w:spacing w:before="0"/>
              <w:jc w:val="left"/>
              <w:rPr>
                <w:rFonts w:cstheme="minorHAnsi"/>
                <w:sz w:val="18"/>
                <w:szCs w:val="18"/>
              </w:rPr>
            </w:pPr>
          </w:p>
        </w:tc>
      </w:tr>
      <w:tr w:rsidR="00047BE4" w:rsidRPr="00572FA6" w14:paraId="588BBB39" w14:textId="77777777" w:rsidTr="00047BE4">
        <w:tc>
          <w:tcPr>
            <w:tcW w:w="3936" w:type="dxa"/>
          </w:tcPr>
          <w:p w14:paraId="20CD15C8"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Orlovna</w:t>
            </w:r>
          </w:p>
        </w:tc>
        <w:tc>
          <w:tcPr>
            <w:tcW w:w="2126" w:type="dxa"/>
          </w:tcPr>
          <w:p w14:paraId="76C94CAE"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Jar. Staši 150</w:t>
            </w:r>
          </w:p>
        </w:tc>
        <w:tc>
          <w:tcPr>
            <w:tcW w:w="3187" w:type="dxa"/>
          </w:tcPr>
          <w:p w14:paraId="238FA3CD" w14:textId="77777777" w:rsidR="00047BE4" w:rsidRPr="00572FA6" w:rsidRDefault="00047BE4" w:rsidP="00047BE4">
            <w:pPr>
              <w:keepNext/>
              <w:keepLines/>
              <w:spacing w:before="0"/>
              <w:jc w:val="left"/>
              <w:rPr>
                <w:rFonts w:cstheme="minorHAnsi"/>
                <w:sz w:val="18"/>
                <w:szCs w:val="18"/>
              </w:rPr>
            </w:pPr>
          </w:p>
        </w:tc>
      </w:tr>
      <w:tr w:rsidR="00047BE4" w:rsidRPr="00572FA6" w14:paraId="1C54AFA4" w14:textId="77777777" w:rsidTr="00047BE4">
        <w:tc>
          <w:tcPr>
            <w:tcW w:w="3936" w:type="dxa"/>
          </w:tcPr>
          <w:p w14:paraId="039A6C0D"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Sportovní komplex hala Zelené</w:t>
            </w:r>
          </w:p>
        </w:tc>
        <w:tc>
          <w:tcPr>
            <w:tcW w:w="2126" w:type="dxa"/>
          </w:tcPr>
          <w:p w14:paraId="562FE93E"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 xml:space="preserve">Dukelská 5413 </w:t>
            </w:r>
          </w:p>
        </w:tc>
        <w:tc>
          <w:tcPr>
            <w:tcW w:w="3187" w:type="dxa"/>
          </w:tcPr>
          <w:p w14:paraId="0713C40C" w14:textId="77777777" w:rsidR="00047BE4" w:rsidRPr="00572FA6" w:rsidRDefault="00047BE4" w:rsidP="00047BE4">
            <w:pPr>
              <w:keepNext/>
              <w:keepLines/>
              <w:spacing w:before="0"/>
              <w:jc w:val="left"/>
              <w:rPr>
                <w:rFonts w:cstheme="minorHAnsi"/>
                <w:sz w:val="18"/>
                <w:szCs w:val="18"/>
              </w:rPr>
            </w:pPr>
          </w:p>
        </w:tc>
      </w:tr>
      <w:tr w:rsidR="00047BE4" w:rsidRPr="00572FA6" w14:paraId="5869FD9D" w14:textId="77777777" w:rsidTr="00047BE4">
        <w:tc>
          <w:tcPr>
            <w:tcW w:w="3936" w:type="dxa"/>
          </w:tcPr>
          <w:p w14:paraId="77E2F1A7"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Pr>
                <w:rFonts w:cstheme="minorHAnsi"/>
                <w:sz w:val="18"/>
                <w:szCs w:val="18"/>
              </w:rPr>
              <w:t>Stadion M</w:t>
            </w:r>
            <w:r w:rsidRPr="00572FA6">
              <w:rPr>
                <w:rFonts w:cstheme="minorHAnsi"/>
                <w:sz w:val="18"/>
                <w:szCs w:val="18"/>
              </w:rPr>
              <w:t xml:space="preserve">ládeže </w:t>
            </w:r>
          </w:p>
        </w:tc>
        <w:tc>
          <w:tcPr>
            <w:tcW w:w="2126" w:type="dxa"/>
          </w:tcPr>
          <w:p w14:paraId="585D9405"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Hradská 3586</w:t>
            </w:r>
          </w:p>
        </w:tc>
        <w:tc>
          <w:tcPr>
            <w:tcW w:w="3187" w:type="dxa"/>
          </w:tcPr>
          <w:p w14:paraId="19046381"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At</w:t>
            </w:r>
            <w:r>
              <w:rPr>
                <w:rFonts w:cstheme="minorHAnsi"/>
                <w:sz w:val="18"/>
                <w:szCs w:val="18"/>
              </w:rPr>
              <w:t>l</w:t>
            </w:r>
            <w:r w:rsidRPr="00572FA6">
              <w:rPr>
                <w:rFonts w:cstheme="minorHAnsi"/>
                <w:sz w:val="18"/>
                <w:szCs w:val="18"/>
              </w:rPr>
              <w:t>etika, rugby, americký fotbal</w:t>
            </w:r>
          </w:p>
        </w:tc>
      </w:tr>
      <w:tr w:rsidR="00047BE4" w:rsidRPr="00572FA6" w14:paraId="1A8C2BFB" w14:textId="77777777" w:rsidTr="00047BE4">
        <w:tc>
          <w:tcPr>
            <w:tcW w:w="3936" w:type="dxa"/>
          </w:tcPr>
          <w:p w14:paraId="75336140"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Sportovní hala Datart</w:t>
            </w:r>
          </w:p>
        </w:tc>
        <w:tc>
          <w:tcPr>
            <w:tcW w:w="2126" w:type="dxa"/>
          </w:tcPr>
          <w:p w14:paraId="4F26BFB2"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U Zimního stadionu 4286</w:t>
            </w:r>
          </w:p>
        </w:tc>
        <w:tc>
          <w:tcPr>
            <w:tcW w:w="3187" w:type="dxa"/>
          </w:tcPr>
          <w:p w14:paraId="1C94FBCA" w14:textId="77777777" w:rsidR="00047BE4" w:rsidRPr="00572FA6" w:rsidRDefault="00047BE4" w:rsidP="00047BE4">
            <w:pPr>
              <w:keepNext/>
              <w:keepLines/>
              <w:spacing w:before="0"/>
              <w:jc w:val="left"/>
              <w:rPr>
                <w:rFonts w:cstheme="minorHAnsi"/>
                <w:sz w:val="18"/>
                <w:szCs w:val="18"/>
              </w:rPr>
            </w:pPr>
            <w:r>
              <w:rPr>
                <w:rFonts w:cstheme="minorHAnsi"/>
                <w:sz w:val="18"/>
                <w:szCs w:val="18"/>
              </w:rPr>
              <w:t>F</w:t>
            </w:r>
            <w:r w:rsidRPr="00572FA6">
              <w:rPr>
                <w:rFonts w:cstheme="minorHAnsi"/>
                <w:sz w:val="18"/>
                <w:szCs w:val="18"/>
              </w:rPr>
              <w:t>utsal, házená, sport pro všechny, volejbal</w:t>
            </w:r>
          </w:p>
        </w:tc>
      </w:tr>
      <w:tr w:rsidR="00047BE4" w:rsidRPr="00572FA6" w14:paraId="26D8A29B" w14:textId="77777777" w:rsidTr="00047BE4">
        <w:tc>
          <w:tcPr>
            <w:tcW w:w="3936" w:type="dxa"/>
          </w:tcPr>
          <w:p w14:paraId="0E800D7C"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PSG Aréna</w:t>
            </w:r>
            <w:r w:rsidRPr="00572FA6">
              <w:rPr>
                <w:rFonts w:cstheme="minorHAnsi"/>
                <w:sz w:val="18"/>
                <w:szCs w:val="18"/>
              </w:rPr>
              <w:tab/>
            </w:r>
          </w:p>
        </w:tc>
        <w:tc>
          <w:tcPr>
            <w:tcW w:w="2126" w:type="dxa"/>
          </w:tcPr>
          <w:p w14:paraId="61920498"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Březinová 5513</w:t>
            </w:r>
          </w:p>
        </w:tc>
        <w:tc>
          <w:tcPr>
            <w:tcW w:w="3187" w:type="dxa"/>
          </w:tcPr>
          <w:p w14:paraId="39C71E0D"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Lední hokej</w:t>
            </w:r>
          </w:p>
        </w:tc>
      </w:tr>
      <w:tr w:rsidR="00047BE4" w:rsidRPr="00572FA6" w14:paraId="1D42D4AB" w14:textId="77777777" w:rsidTr="00047BE4">
        <w:tc>
          <w:tcPr>
            <w:tcW w:w="3936" w:type="dxa"/>
          </w:tcPr>
          <w:p w14:paraId="5FE2CB87"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Stadion Luďka Čajky</w:t>
            </w:r>
          </w:p>
        </w:tc>
        <w:tc>
          <w:tcPr>
            <w:tcW w:w="2126" w:type="dxa"/>
          </w:tcPr>
          <w:p w14:paraId="1AA6F53A"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Březinová 4068</w:t>
            </w:r>
          </w:p>
        </w:tc>
        <w:tc>
          <w:tcPr>
            <w:tcW w:w="3187" w:type="dxa"/>
          </w:tcPr>
          <w:p w14:paraId="121A7D3A"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Lední hokej</w:t>
            </w:r>
          </w:p>
        </w:tc>
      </w:tr>
      <w:tr w:rsidR="00047BE4" w:rsidRPr="00572FA6" w14:paraId="71C15E0C" w14:textId="77777777" w:rsidTr="00047BE4">
        <w:tc>
          <w:tcPr>
            <w:tcW w:w="3936" w:type="dxa"/>
          </w:tcPr>
          <w:p w14:paraId="27E5593F" w14:textId="77777777" w:rsidR="00047BE4" w:rsidRPr="00572FA6" w:rsidRDefault="00047BE4" w:rsidP="00047BE4">
            <w:pPr>
              <w:pStyle w:val="Odstavecseseznamem"/>
              <w:keepNext/>
              <w:keepLines/>
              <w:numPr>
                <w:ilvl w:val="0"/>
                <w:numId w:val="21"/>
              </w:numPr>
              <w:spacing w:before="0"/>
              <w:ind w:left="313"/>
              <w:jc w:val="left"/>
              <w:rPr>
                <w:rFonts w:cstheme="minorHAnsi"/>
                <w:sz w:val="18"/>
                <w:szCs w:val="18"/>
              </w:rPr>
            </w:pPr>
            <w:r w:rsidRPr="00572FA6">
              <w:rPr>
                <w:rFonts w:cstheme="minorHAnsi"/>
                <w:sz w:val="18"/>
                <w:szCs w:val="18"/>
              </w:rPr>
              <w:t>Svah Zlín</w:t>
            </w:r>
          </w:p>
        </w:tc>
        <w:tc>
          <w:tcPr>
            <w:tcW w:w="2126" w:type="dxa"/>
          </w:tcPr>
          <w:p w14:paraId="249D9769"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Nám. T, G. Masaryka</w:t>
            </w:r>
          </w:p>
        </w:tc>
        <w:tc>
          <w:tcPr>
            <w:tcW w:w="3187" w:type="dxa"/>
          </w:tcPr>
          <w:p w14:paraId="4CC66299"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Lyžování</w:t>
            </w:r>
          </w:p>
        </w:tc>
      </w:tr>
      <w:tr w:rsidR="00047BE4" w:rsidRPr="00572FA6" w14:paraId="1DA90368" w14:textId="77777777" w:rsidTr="00047BE4">
        <w:tc>
          <w:tcPr>
            <w:tcW w:w="3936" w:type="dxa"/>
          </w:tcPr>
          <w:p w14:paraId="2241E3BA" w14:textId="77777777" w:rsidR="00047BE4" w:rsidRPr="00572FA6" w:rsidRDefault="00047BE4" w:rsidP="00047BE4">
            <w:pPr>
              <w:pStyle w:val="Odstavecseseznamem"/>
              <w:keepNext/>
              <w:keepLines/>
              <w:numPr>
                <w:ilvl w:val="0"/>
                <w:numId w:val="21"/>
              </w:numPr>
              <w:spacing w:before="0"/>
              <w:ind w:left="318"/>
              <w:jc w:val="left"/>
              <w:rPr>
                <w:rFonts w:cstheme="minorHAnsi"/>
                <w:sz w:val="18"/>
                <w:szCs w:val="18"/>
              </w:rPr>
            </w:pPr>
            <w:r w:rsidRPr="00572FA6">
              <w:rPr>
                <w:rFonts w:cstheme="minorHAnsi"/>
                <w:sz w:val="18"/>
                <w:szCs w:val="18"/>
              </w:rPr>
              <w:t xml:space="preserve">Lázně Zlín – kryté bazény a venkovní bazén </w:t>
            </w:r>
          </w:p>
        </w:tc>
        <w:tc>
          <w:tcPr>
            <w:tcW w:w="2126" w:type="dxa"/>
            <w:vMerge w:val="restart"/>
          </w:tcPr>
          <w:p w14:paraId="54CA29AA"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Hradecká 888</w:t>
            </w:r>
          </w:p>
          <w:p w14:paraId="6AAD4974"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Broučkova</w:t>
            </w:r>
          </w:p>
        </w:tc>
        <w:tc>
          <w:tcPr>
            <w:tcW w:w="3187" w:type="dxa"/>
          </w:tcPr>
          <w:p w14:paraId="14E7DA29" w14:textId="77777777" w:rsidR="00047BE4" w:rsidRPr="00572FA6" w:rsidRDefault="00047BE4" w:rsidP="00047BE4">
            <w:pPr>
              <w:keepNext/>
              <w:keepLines/>
              <w:spacing w:before="0"/>
              <w:jc w:val="left"/>
              <w:rPr>
                <w:rFonts w:cstheme="minorHAnsi"/>
                <w:sz w:val="18"/>
                <w:szCs w:val="18"/>
              </w:rPr>
            </w:pPr>
            <w:r w:rsidRPr="00572FA6">
              <w:rPr>
                <w:rFonts w:cstheme="minorHAnsi"/>
                <w:sz w:val="18"/>
                <w:szCs w:val="18"/>
              </w:rPr>
              <w:t>Plavání, koupání</w:t>
            </w:r>
          </w:p>
        </w:tc>
      </w:tr>
      <w:tr w:rsidR="00047BE4" w:rsidRPr="00572FA6" w14:paraId="5573C204" w14:textId="77777777" w:rsidTr="00047BE4">
        <w:tc>
          <w:tcPr>
            <w:tcW w:w="3936" w:type="dxa"/>
          </w:tcPr>
          <w:p w14:paraId="77F45C35" w14:textId="77777777" w:rsidR="00047BE4" w:rsidRPr="00572FA6" w:rsidRDefault="00047BE4" w:rsidP="00047BE4">
            <w:pPr>
              <w:pStyle w:val="Odstavecseseznamem"/>
              <w:numPr>
                <w:ilvl w:val="0"/>
                <w:numId w:val="21"/>
              </w:numPr>
              <w:spacing w:before="0"/>
              <w:ind w:left="318"/>
              <w:jc w:val="left"/>
              <w:rPr>
                <w:rFonts w:cstheme="minorHAnsi"/>
                <w:sz w:val="18"/>
                <w:szCs w:val="18"/>
              </w:rPr>
            </w:pPr>
            <w:r w:rsidRPr="00572FA6">
              <w:rPr>
                <w:rFonts w:cstheme="minorHAnsi"/>
                <w:sz w:val="18"/>
                <w:szCs w:val="18"/>
              </w:rPr>
              <w:t>Lázně Zlín – koupaliště Zelené</w:t>
            </w:r>
          </w:p>
        </w:tc>
        <w:tc>
          <w:tcPr>
            <w:tcW w:w="2126" w:type="dxa"/>
            <w:vMerge/>
          </w:tcPr>
          <w:p w14:paraId="74825CA1" w14:textId="77777777" w:rsidR="00047BE4" w:rsidRPr="00572FA6" w:rsidRDefault="00047BE4" w:rsidP="00047BE4">
            <w:pPr>
              <w:spacing w:before="0"/>
              <w:jc w:val="left"/>
              <w:rPr>
                <w:rFonts w:cstheme="minorHAnsi"/>
                <w:sz w:val="18"/>
                <w:szCs w:val="18"/>
              </w:rPr>
            </w:pPr>
          </w:p>
        </w:tc>
        <w:tc>
          <w:tcPr>
            <w:tcW w:w="3187" w:type="dxa"/>
          </w:tcPr>
          <w:p w14:paraId="48288499" w14:textId="77777777" w:rsidR="00047BE4" w:rsidRPr="00572FA6" w:rsidRDefault="00047BE4" w:rsidP="00047BE4">
            <w:pPr>
              <w:spacing w:before="0"/>
              <w:jc w:val="left"/>
              <w:rPr>
                <w:rFonts w:cstheme="minorHAnsi"/>
                <w:sz w:val="18"/>
                <w:szCs w:val="18"/>
              </w:rPr>
            </w:pPr>
            <w:r w:rsidRPr="00572FA6">
              <w:rPr>
                <w:rFonts w:cstheme="minorHAnsi"/>
                <w:sz w:val="18"/>
                <w:szCs w:val="18"/>
              </w:rPr>
              <w:t>Plavání, koupání</w:t>
            </w:r>
          </w:p>
        </w:tc>
      </w:tr>
      <w:tr w:rsidR="00047BE4" w:rsidRPr="00572FA6" w14:paraId="7F02CE56" w14:textId="77777777" w:rsidTr="00047BE4">
        <w:tc>
          <w:tcPr>
            <w:tcW w:w="3936" w:type="dxa"/>
          </w:tcPr>
          <w:p w14:paraId="54E6E486" w14:textId="77777777" w:rsidR="00047BE4" w:rsidRPr="00572FA6" w:rsidRDefault="00047BE4" w:rsidP="00047BE4">
            <w:pPr>
              <w:pStyle w:val="Odstavecseseznamem"/>
              <w:numPr>
                <w:ilvl w:val="0"/>
                <w:numId w:val="21"/>
              </w:numPr>
              <w:spacing w:before="0"/>
              <w:ind w:left="318"/>
              <w:jc w:val="left"/>
              <w:rPr>
                <w:rFonts w:cstheme="minorHAnsi"/>
                <w:sz w:val="18"/>
                <w:szCs w:val="18"/>
              </w:rPr>
            </w:pPr>
            <w:r w:rsidRPr="00572FA6">
              <w:rPr>
                <w:rFonts w:cstheme="minorHAnsi"/>
                <w:sz w:val="18"/>
                <w:szCs w:val="18"/>
              </w:rPr>
              <w:t>Lázně Zlín – koupaliště Panorama</w:t>
            </w:r>
          </w:p>
        </w:tc>
        <w:tc>
          <w:tcPr>
            <w:tcW w:w="2126" w:type="dxa"/>
          </w:tcPr>
          <w:p w14:paraId="38D9D70D" w14:textId="77777777" w:rsidR="00047BE4" w:rsidRPr="00572FA6" w:rsidRDefault="00047BE4" w:rsidP="00047BE4">
            <w:pPr>
              <w:spacing w:before="0"/>
              <w:jc w:val="left"/>
              <w:rPr>
                <w:rFonts w:cstheme="minorHAnsi"/>
                <w:sz w:val="18"/>
                <w:szCs w:val="18"/>
              </w:rPr>
            </w:pPr>
            <w:r w:rsidRPr="00572FA6">
              <w:rPr>
                <w:rFonts w:cstheme="minorHAnsi"/>
                <w:sz w:val="18"/>
                <w:szCs w:val="18"/>
              </w:rPr>
              <w:t>Zlín-Jižní svahy</w:t>
            </w:r>
          </w:p>
        </w:tc>
        <w:tc>
          <w:tcPr>
            <w:tcW w:w="3187" w:type="dxa"/>
          </w:tcPr>
          <w:p w14:paraId="181BD68E" w14:textId="77777777" w:rsidR="00047BE4" w:rsidRPr="00572FA6" w:rsidRDefault="00047BE4" w:rsidP="00047BE4">
            <w:pPr>
              <w:spacing w:before="0"/>
              <w:jc w:val="left"/>
              <w:rPr>
                <w:rFonts w:cstheme="minorHAnsi"/>
                <w:sz w:val="18"/>
                <w:szCs w:val="18"/>
              </w:rPr>
            </w:pPr>
            <w:r w:rsidRPr="00572FA6">
              <w:rPr>
                <w:rFonts w:cstheme="minorHAnsi"/>
                <w:sz w:val="18"/>
                <w:szCs w:val="18"/>
              </w:rPr>
              <w:t>Plavání, koupání</w:t>
            </w:r>
          </w:p>
        </w:tc>
      </w:tr>
      <w:tr w:rsidR="00047BE4" w:rsidRPr="00572FA6" w14:paraId="4AFE9556" w14:textId="77777777" w:rsidTr="00047BE4">
        <w:tc>
          <w:tcPr>
            <w:tcW w:w="3936" w:type="dxa"/>
          </w:tcPr>
          <w:p w14:paraId="29B2C7C2" w14:textId="77777777" w:rsidR="00047BE4" w:rsidRPr="00572FA6" w:rsidRDefault="00047BE4" w:rsidP="00047BE4">
            <w:pPr>
              <w:pStyle w:val="Odstavecseseznamem"/>
              <w:numPr>
                <w:ilvl w:val="0"/>
                <w:numId w:val="21"/>
              </w:numPr>
              <w:spacing w:before="0"/>
              <w:ind w:left="318"/>
              <w:jc w:val="left"/>
              <w:rPr>
                <w:rFonts w:cstheme="minorHAnsi"/>
                <w:sz w:val="18"/>
                <w:szCs w:val="18"/>
              </w:rPr>
            </w:pPr>
            <w:r w:rsidRPr="00572FA6">
              <w:rPr>
                <w:rFonts w:cstheme="minorHAnsi"/>
                <w:sz w:val="18"/>
                <w:szCs w:val="18"/>
              </w:rPr>
              <w:t>Koupaliště Zlín-Louky</w:t>
            </w:r>
          </w:p>
        </w:tc>
        <w:tc>
          <w:tcPr>
            <w:tcW w:w="2126" w:type="dxa"/>
          </w:tcPr>
          <w:p w14:paraId="4AA62389" w14:textId="77777777" w:rsidR="00047BE4" w:rsidRPr="00572FA6" w:rsidRDefault="00047BE4" w:rsidP="00047BE4">
            <w:pPr>
              <w:spacing w:before="0"/>
              <w:jc w:val="left"/>
              <w:rPr>
                <w:rFonts w:cstheme="minorHAnsi"/>
                <w:sz w:val="18"/>
                <w:szCs w:val="18"/>
              </w:rPr>
            </w:pPr>
          </w:p>
        </w:tc>
        <w:tc>
          <w:tcPr>
            <w:tcW w:w="3187" w:type="dxa"/>
          </w:tcPr>
          <w:p w14:paraId="62AE123D" w14:textId="77777777" w:rsidR="00047BE4" w:rsidRPr="00572FA6" w:rsidRDefault="00047BE4" w:rsidP="00047BE4">
            <w:pPr>
              <w:spacing w:before="0"/>
              <w:jc w:val="left"/>
              <w:rPr>
                <w:rFonts w:cstheme="minorHAnsi"/>
                <w:sz w:val="18"/>
                <w:szCs w:val="18"/>
              </w:rPr>
            </w:pPr>
            <w:r w:rsidRPr="00572FA6">
              <w:rPr>
                <w:rFonts w:cstheme="minorHAnsi"/>
                <w:sz w:val="18"/>
                <w:szCs w:val="18"/>
              </w:rPr>
              <w:t>Plávání, koupání</w:t>
            </w:r>
          </w:p>
        </w:tc>
      </w:tr>
      <w:tr w:rsidR="00047BE4" w:rsidRPr="00572FA6" w14:paraId="5EAF1661" w14:textId="77777777" w:rsidTr="00047BE4">
        <w:tc>
          <w:tcPr>
            <w:tcW w:w="3936" w:type="dxa"/>
          </w:tcPr>
          <w:p w14:paraId="23B3E2A7" w14:textId="77777777" w:rsidR="00047BE4" w:rsidRPr="00572FA6" w:rsidRDefault="00047BE4" w:rsidP="00047BE4">
            <w:pPr>
              <w:pStyle w:val="Odstavecseseznamem"/>
              <w:numPr>
                <w:ilvl w:val="0"/>
                <w:numId w:val="21"/>
              </w:numPr>
              <w:spacing w:before="0"/>
              <w:ind w:left="318"/>
              <w:jc w:val="left"/>
              <w:rPr>
                <w:rFonts w:cstheme="minorHAnsi"/>
                <w:sz w:val="18"/>
                <w:szCs w:val="18"/>
              </w:rPr>
            </w:pPr>
            <w:r w:rsidRPr="00572FA6">
              <w:rPr>
                <w:rFonts w:cstheme="minorHAnsi"/>
                <w:sz w:val="18"/>
                <w:szCs w:val="18"/>
              </w:rPr>
              <w:t>Hotel Lázně Kostelec - koupaliště</w:t>
            </w:r>
          </w:p>
        </w:tc>
        <w:tc>
          <w:tcPr>
            <w:tcW w:w="2126" w:type="dxa"/>
          </w:tcPr>
          <w:p w14:paraId="470AF569" w14:textId="77777777" w:rsidR="00047BE4" w:rsidRPr="00572FA6" w:rsidRDefault="00047BE4" w:rsidP="00047BE4">
            <w:pPr>
              <w:spacing w:before="0"/>
              <w:jc w:val="left"/>
              <w:rPr>
                <w:rFonts w:cstheme="minorHAnsi"/>
                <w:sz w:val="18"/>
                <w:szCs w:val="18"/>
              </w:rPr>
            </w:pPr>
            <w:r w:rsidRPr="00572FA6">
              <w:rPr>
                <w:rFonts w:cstheme="minorHAnsi"/>
                <w:sz w:val="18"/>
                <w:szCs w:val="18"/>
              </w:rPr>
              <w:t>Lázně 493</w:t>
            </w:r>
          </w:p>
        </w:tc>
        <w:tc>
          <w:tcPr>
            <w:tcW w:w="3187" w:type="dxa"/>
          </w:tcPr>
          <w:p w14:paraId="0A75A7B2" w14:textId="77777777" w:rsidR="00047BE4" w:rsidRPr="00572FA6" w:rsidRDefault="00047BE4" w:rsidP="00047BE4">
            <w:pPr>
              <w:spacing w:before="0"/>
              <w:jc w:val="left"/>
              <w:rPr>
                <w:rFonts w:cstheme="minorHAnsi"/>
                <w:sz w:val="18"/>
                <w:szCs w:val="18"/>
              </w:rPr>
            </w:pPr>
            <w:r w:rsidRPr="00572FA6">
              <w:rPr>
                <w:rFonts w:cstheme="minorHAnsi"/>
                <w:sz w:val="18"/>
                <w:szCs w:val="18"/>
              </w:rPr>
              <w:t>Plávání, koupání</w:t>
            </w:r>
          </w:p>
        </w:tc>
      </w:tr>
      <w:tr w:rsidR="00047BE4" w:rsidRPr="00572FA6" w14:paraId="1378F450" w14:textId="77777777" w:rsidTr="00047BE4">
        <w:trPr>
          <w:trHeight w:val="70"/>
        </w:trPr>
        <w:tc>
          <w:tcPr>
            <w:tcW w:w="3936" w:type="dxa"/>
          </w:tcPr>
          <w:p w14:paraId="7DFA6259" w14:textId="77777777" w:rsidR="00047BE4" w:rsidRPr="00572FA6" w:rsidRDefault="00047BE4" w:rsidP="00047BE4">
            <w:pPr>
              <w:pStyle w:val="Odstavecseseznamem"/>
              <w:numPr>
                <w:ilvl w:val="0"/>
                <w:numId w:val="21"/>
              </w:numPr>
              <w:spacing w:before="0"/>
              <w:ind w:left="318"/>
              <w:jc w:val="left"/>
              <w:rPr>
                <w:rFonts w:cstheme="minorHAnsi"/>
                <w:sz w:val="18"/>
                <w:szCs w:val="18"/>
              </w:rPr>
            </w:pPr>
            <w:r w:rsidRPr="00572FA6">
              <w:rPr>
                <w:rFonts w:cstheme="minorHAnsi"/>
                <w:sz w:val="18"/>
                <w:szCs w:val="18"/>
              </w:rPr>
              <w:t>E-KARTS Zlín</w:t>
            </w:r>
          </w:p>
        </w:tc>
        <w:tc>
          <w:tcPr>
            <w:tcW w:w="2126" w:type="dxa"/>
          </w:tcPr>
          <w:p w14:paraId="099BEBBE" w14:textId="77777777" w:rsidR="00047BE4" w:rsidRPr="00572FA6" w:rsidRDefault="00047BE4" w:rsidP="00047BE4">
            <w:pPr>
              <w:spacing w:before="0"/>
              <w:jc w:val="left"/>
              <w:rPr>
                <w:rFonts w:cstheme="minorHAnsi"/>
                <w:sz w:val="18"/>
                <w:szCs w:val="18"/>
              </w:rPr>
            </w:pPr>
            <w:r w:rsidRPr="00572FA6">
              <w:rPr>
                <w:rFonts w:cstheme="minorHAnsi"/>
                <w:sz w:val="18"/>
                <w:szCs w:val="18"/>
              </w:rPr>
              <w:t>Malotova 5656</w:t>
            </w:r>
          </w:p>
        </w:tc>
        <w:tc>
          <w:tcPr>
            <w:tcW w:w="3187" w:type="dxa"/>
          </w:tcPr>
          <w:p w14:paraId="3DAF91CB" w14:textId="77777777" w:rsidR="00047BE4" w:rsidRPr="00572FA6" w:rsidRDefault="00047BE4" w:rsidP="00047BE4">
            <w:pPr>
              <w:spacing w:before="0"/>
              <w:jc w:val="left"/>
              <w:rPr>
                <w:rFonts w:cstheme="minorHAnsi"/>
                <w:sz w:val="18"/>
                <w:szCs w:val="18"/>
              </w:rPr>
            </w:pPr>
            <w:r w:rsidRPr="00572FA6">
              <w:rPr>
                <w:rFonts w:cstheme="minorHAnsi"/>
                <w:sz w:val="18"/>
                <w:szCs w:val="18"/>
              </w:rPr>
              <w:t>Motokárová dráha</w:t>
            </w:r>
          </w:p>
        </w:tc>
      </w:tr>
      <w:tr w:rsidR="00047BE4" w:rsidRPr="00572FA6" w14:paraId="75E00EA5" w14:textId="77777777" w:rsidTr="00047BE4">
        <w:tc>
          <w:tcPr>
            <w:tcW w:w="3936" w:type="dxa"/>
          </w:tcPr>
          <w:p w14:paraId="22415331" w14:textId="77777777" w:rsidR="00047BE4" w:rsidRPr="00572FA6" w:rsidRDefault="00047BE4" w:rsidP="00047BE4">
            <w:pPr>
              <w:pStyle w:val="Odstavecseseznamem"/>
              <w:numPr>
                <w:ilvl w:val="0"/>
                <w:numId w:val="21"/>
              </w:numPr>
              <w:spacing w:before="0"/>
              <w:ind w:left="318"/>
              <w:jc w:val="left"/>
              <w:rPr>
                <w:rFonts w:cstheme="minorHAnsi"/>
                <w:sz w:val="18"/>
                <w:szCs w:val="18"/>
              </w:rPr>
            </w:pPr>
            <w:r w:rsidRPr="00572FA6">
              <w:rPr>
                <w:rFonts w:cstheme="minorHAnsi"/>
                <w:sz w:val="18"/>
                <w:szCs w:val="18"/>
              </w:rPr>
              <w:t>Lanové centrum C.V.A.K.</w:t>
            </w:r>
          </w:p>
        </w:tc>
        <w:tc>
          <w:tcPr>
            <w:tcW w:w="2126" w:type="dxa"/>
          </w:tcPr>
          <w:p w14:paraId="3F214622" w14:textId="77777777" w:rsidR="00047BE4" w:rsidRPr="00572FA6" w:rsidRDefault="00047BE4" w:rsidP="00047BE4">
            <w:pPr>
              <w:spacing w:before="0"/>
              <w:jc w:val="left"/>
              <w:rPr>
                <w:rFonts w:cstheme="minorHAnsi"/>
                <w:sz w:val="18"/>
                <w:szCs w:val="18"/>
              </w:rPr>
            </w:pPr>
            <w:r w:rsidRPr="00572FA6">
              <w:rPr>
                <w:rFonts w:cstheme="minorHAnsi"/>
                <w:sz w:val="18"/>
                <w:szCs w:val="18"/>
              </w:rPr>
              <w:t>Vinohrádek 568</w:t>
            </w:r>
          </w:p>
        </w:tc>
        <w:tc>
          <w:tcPr>
            <w:tcW w:w="3187" w:type="dxa"/>
          </w:tcPr>
          <w:p w14:paraId="7A8C5D31" w14:textId="77777777" w:rsidR="00047BE4" w:rsidRPr="00572FA6" w:rsidRDefault="00047BE4" w:rsidP="00047BE4">
            <w:pPr>
              <w:spacing w:before="0"/>
              <w:jc w:val="left"/>
              <w:rPr>
                <w:rFonts w:cstheme="minorHAnsi"/>
                <w:sz w:val="18"/>
                <w:szCs w:val="18"/>
              </w:rPr>
            </w:pPr>
            <w:r w:rsidRPr="00572FA6">
              <w:rPr>
                <w:rFonts w:cstheme="minorHAnsi"/>
                <w:sz w:val="18"/>
                <w:szCs w:val="18"/>
              </w:rPr>
              <w:t>Lanové centrum</w:t>
            </w:r>
          </w:p>
        </w:tc>
      </w:tr>
      <w:tr w:rsidR="00047BE4" w:rsidRPr="00572FA6" w14:paraId="5F27948E" w14:textId="77777777" w:rsidTr="00047BE4">
        <w:tc>
          <w:tcPr>
            <w:tcW w:w="3936" w:type="dxa"/>
          </w:tcPr>
          <w:p w14:paraId="2F9EB4DF" w14:textId="77777777" w:rsidR="00047BE4" w:rsidRPr="00572FA6" w:rsidRDefault="00047BE4" w:rsidP="00047BE4">
            <w:pPr>
              <w:pStyle w:val="Odstavecseseznamem"/>
              <w:numPr>
                <w:ilvl w:val="0"/>
                <w:numId w:val="21"/>
              </w:numPr>
              <w:spacing w:before="0"/>
              <w:ind w:left="318"/>
              <w:jc w:val="left"/>
              <w:rPr>
                <w:rFonts w:cstheme="minorHAnsi"/>
                <w:sz w:val="18"/>
                <w:szCs w:val="18"/>
              </w:rPr>
            </w:pPr>
            <w:r w:rsidRPr="00572FA6">
              <w:rPr>
                <w:rFonts w:cstheme="minorHAnsi"/>
                <w:sz w:val="18"/>
                <w:szCs w:val="18"/>
              </w:rPr>
              <w:t>Tělocvična Sportovního klubu Policie Zlín, z.s.</w:t>
            </w:r>
          </w:p>
        </w:tc>
        <w:tc>
          <w:tcPr>
            <w:tcW w:w="2126" w:type="dxa"/>
          </w:tcPr>
          <w:p w14:paraId="768D9C43" w14:textId="77777777" w:rsidR="00047BE4" w:rsidRPr="00572FA6" w:rsidRDefault="00047BE4" w:rsidP="00047BE4">
            <w:pPr>
              <w:spacing w:before="0"/>
              <w:jc w:val="left"/>
              <w:rPr>
                <w:rFonts w:cstheme="minorHAnsi"/>
                <w:sz w:val="18"/>
                <w:szCs w:val="18"/>
              </w:rPr>
            </w:pPr>
            <w:r w:rsidRPr="00572FA6">
              <w:rPr>
                <w:rFonts w:cstheme="minorHAnsi"/>
                <w:sz w:val="18"/>
                <w:szCs w:val="18"/>
              </w:rPr>
              <w:t>Zálešná V/4069</w:t>
            </w:r>
          </w:p>
        </w:tc>
        <w:tc>
          <w:tcPr>
            <w:tcW w:w="3187" w:type="dxa"/>
          </w:tcPr>
          <w:p w14:paraId="31B09A98" w14:textId="77777777" w:rsidR="00047BE4" w:rsidRPr="00572FA6" w:rsidRDefault="00047BE4" w:rsidP="00047BE4">
            <w:pPr>
              <w:spacing w:before="0"/>
              <w:jc w:val="left"/>
              <w:rPr>
                <w:rFonts w:cstheme="minorHAnsi"/>
                <w:sz w:val="18"/>
                <w:szCs w:val="18"/>
              </w:rPr>
            </w:pPr>
            <w:r w:rsidRPr="00572FA6">
              <w:rPr>
                <w:rFonts w:cstheme="minorHAnsi"/>
                <w:sz w:val="18"/>
                <w:szCs w:val="18"/>
              </w:rPr>
              <w:t>Judo</w:t>
            </w:r>
          </w:p>
        </w:tc>
      </w:tr>
    </w:tbl>
    <w:p w14:paraId="0C7AF58A" w14:textId="77777777" w:rsidR="00047BE4" w:rsidRPr="00E44714" w:rsidRDefault="00047BE4" w:rsidP="00047BE4">
      <w:pPr>
        <w:spacing w:before="60"/>
        <w:rPr>
          <w:i/>
          <w:sz w:val="18"/>
        </w:rPr>
      </w:pPr>
      <w:r w:rsidRPr="00E44714">
        <w:rPr>
          <w:i/>
          <w:sz w:val="18"/>
        </w:rPr>
        <w:t xml:space="preserve">Zdroj: </w:t>
      </w:r>
      <w:hyperlink r:id="rId50" w:history="1">
        <w:r w:rsidRPr="00034C72">
          <w:rPr>
            <w:rStyle w:val="Hypertextovodkaz"/>
            <w:i/>
            <w:color w:val="auto"/>
            <w:sz w:val="18"/>
            <w:u w:val="none"/>
          </w:rPr>
          <w:t>https://www.cuscz.cz/</w:t>
        </w:r>
      </w:hyperlink>
      <w:r w:rsidRPr="00034C72">
        <w:rPr>
          <w:i/>
          <w:sz w:val="18"/>
        </w:rPr>
        <w:t xml:space="preserve">, </w:t>
      </w:r>
      <w:hyperlink r:id="rId51" w:history="1">
        <w:r w:rsidRPr="00034C72">
          <w:rPr>
            <w:rStyle w:val="Hypertextovodkaz"/>
            <w:i/>
            <w:color w:val="auto"/>
            <w:sz w:val="18"/>
            <w:u w:val="none"/>
          </w:rPr>
          <w:t>https://www.zlin.eu/</w:t>
        </w:r>
      </w:hyperlink>
    </w:p>
    <w:p w14:paraId="642A5C76" w14:textId="77777777" w:rsidR="00047BE4" w:rsidRDefault="00047BE4" w:rsidP="00047BE4">
      <w:r>
        <w:t xml:space="preserve">Oddělení prevence kriminality a sportovišť je </w:t>
      </w:r>
      <w:r w:rsidRPr="00E44714">
        <w:t>správcem několika sportovních zařízení, a to Městské sportovní haly a ubytovny na ul. Dukelská 5413 (Sportovní komplex hala Zelené), hřiště a</w:t>
      </w:r>
      <w:r>
        <w:t xml:space="preserve"> šatny u Sokolovny, 2. ledové plochy (PSG Aréna na ul. Březnická 5513), Stadionu Mládeže (ul. Hradecká 3586), areálu fotbalového hřiště na ul. Pasecká a několika budov, (budova Unie Kompas, Pod Stráněmi 2505, objekt pro oddíl rugby na Stadionu Mládeže Zlín a objekt pro oddíl juda na ulici Zálešná č.p. 4069)</w:t>
      </w:r>
      <w:r>
        <w:rPr>
          <w:rStyle w:val="Znakapoznpodarou"/>
        </w:rPr>
        <w:footnoteReference w:id="29"/>
      </w:r>
      <w:r>
        <w:t>.</w:t>
      </w:r>
      <w:r w:rsidRPr="00BA13A2">
        <w:t xml:space="preserve"> </w:t>
      </w:r>
    </w:p>
    <w:p w14:paraId="482A16F3" w14:textId="74E7D479" w:rsidR="00047BE4" w:rsidRPr="00BA13A2" w:rsidRDefault="00047BE4" w:rsidP="00047BE4">
      <w:r>
        <w:t xml:space="preserve">Statutární město Zlín je pak od roku 2005 spoluvlastníkem obchodní společnosti Berani Zlín, s.r.o. Statutární město Zlín má své zástupce v nehonorovaných funkcích prezídia a dozorčí radě. V současné době tak má společnost 3 vlastníky – </w:t>
      </w:r>
      <w:r w:rsidR="005668E1">
        <w:t>s</w:t>
      </w:r>
      <w:r>
        <w:t>tatutární město Zlín s obchodním podílem ve výši 49</w:t>
      </w:r>
      <w:r w:rsidR="006973FF">
        <w:t xml:space="preserve"> </w:t>
      </w:r>
      <w:r>
        <w:t>%, občanské sdružení Berani Zlín, z.s. s obchodním podílem ve výši 41</w:t>
      </w:r>
      <w:r w:rsidR="006973FF">
        <w:t xml:space="preserve"> </w:t>
      </w:r>
      <w:r>
        <w:t>% a PSG a.s. s obchodním podílem ve výši 10</w:t>
      </w:r>
      <w:r w:rsidR="006973FF">
        <w:t> </w:t>
      </w:r>
      <w:r>
        <w:t xml:space="preserve">%. Klub sdružuje oddíly: krasobruslení, hokej, zájmový a rekreační sport a spravuje také ledovou plochu – PSG arénu, kterou postavilo město Zlín nedaleko stávajícího zimního stadionu Luďka Čajky. Tato nová hala umožňuje pravidelné bruslení veřejnosti a škol a stala se domovskou arénou sledge </w:t>
      </w:r>
      <w:r>
        <w:lastRenderedPageBreak/>
        <w:t>hokeje.</w:t>
      </w:r>
      <w:r>
        <w:rPr>
          <w:rStyle w:val="Znakapoznpodarou"/>
        </w:rPr>
        <w:footnoteReference w:id="30"/>
      </w:r>
      <w:r w:rsidR="005668E1">
        <w:t xml:space="preserve"> Dále je s</w:t>
      </w:r>
      <w:r>
        <w:t>tatutární město Zlín zřizovatelem příspěvkové organizace</w:t>
      </w:r>
      <w:r w:rsidRPr="00BA13A2">
        <w:t xml:space="preserve"> </w:t>
      </w:r>
      <w:r>
        <w:t>Plavecká škola Zlín, jejímž hlavním</w:t>
      </w:r>
      <w:r w:rsidRPr="00BA13A2">
        <w:t xml:space="preserve"> účelem je zajištění výuky plavání žáků základních škol.</w:t>
      </w:r>
      <w:r>
        <w:rPr>
          <w:rStyle w:val="Znakapoznpodarou"/>
        </w:rPr>
        <w:footnoteReference w:id="31"/>
      </w:r>
    </w:p>
    <w:p w14:paraId="11BF3A54" w14:textId="4B503BD0" w:rsidR="00047BE4" w:rsidRDefault="00047BE4" w:rsidP="00047BE4">
      <w:r>
        <w:t xml:space="preserve">Dle databáze Česká unie </w:t>
      </w:r>
      <w:r w:rsidR="006973FF">
        <w:t xml:space="preserve">je </w:t>
      </w:r>
      <w:r>
        <w:t>ve městě registrováno 24 sportovních klubů, jenž jsou členy okresního</w:t>
      </w:r>
      <w:r w:rsidRPr="00E53971">
        <w:t xml:space="preserve"> sdružení </w:t>
      </w:r>
      <w:r w:rsidRPr="00972A4F">
        <w:t>Česká unie sportu</w:t>
      </w:r>
      <w:r>
        <w:t>,</w:t>
      </w:r>
      <w:r w:rsidRPr="00972A4F">
        <w:t xml:space="preserve"> </w:t>
      </w:r>
      <w:r>
        <w:t xml:space="preserve">v rámci kterých působí 49 sportovních oddílů (celková členská základna v oddílech je 4 636 </w:t>
      </w:r>
      <w:r w:rsidRPr="00300BA9">
        <w:t>osob, z toho je 1 617 dětí do 15 let).</w:t>
      </w:r>
      <w:r>
        <w:t xml:space="preserve"> Ne všechny sportovní kluby jsou organizovány pod Českou unií sportu, proto lze předpokládat širší spektrum nabídky sportů, resp. sportovních klubů i</w:t>
      </w:r>
      <w:r w:rsidR="006973FF">
        <w:t> </w:t>
      </w:r>
      <w:r>
        <w:t>oddílů. Mezi sportovní kluby působící na území města Zlín patří např.:</w:t>
      </w:r>
    </w:p>
    <w:p w14:paraId="702D5804" w14:textId="77777777" w:rsidR="00047BE4" w:rsidRDefault="00047BE4" w:rsidP="00047BE4">
      <w:pPr>
        <w:pStyle w:val="Odstavecseseznamem"/>
        <w:numPr>
          <w:ilvl w:val="0"/>
          <w:numId w:val="24"/>
        </w:numPr>
      </w:pPr>
      <w:r>
        <w:t xml:space="preserve">PSG Berani Zlín (hokejový klub), </w:t>
      </w:r>
    </w:p>
    <w:p w14:paraId="169697CD" w14:textId="77777777" w:rsidR="00047BE4" w:rsidRDefault="00047BE4" w:rsidP="00047BE4">
      <w:pPr>
        <w:pStyle w:val="Odstavecseseznamem"/>
        <w:numPr>
          <w:ilvl w:val="0"/>
          <w:numId w:val="24"/>
        </w:numPr>
      </w:pPr>
      <w:r>
        <w:t xml:space="preserve">FC Fastav Zlín (fotbalový klub), </w:t>
      </w:r>
    </w:p>
    <w:p w14:paraId="2A4A612D" w14:textId="77777777" w:rsidR="00047BE4" w:rsidRDefault="00047BE4" w:rsidP="00047BE4">
      <w:pPr>
        <w:pStyle w:val="Odstavecseseznamem"/>
        <w:numPr>
          <w:ilvl w:val="0"/>
          <w:numId w:val="24"/>
        </w:numPr>
      </w:pPr>
      <w:r>
        <w:t xml:space="preserve">AK Zlín (klub lehké atletiky), </w:t>
      </w:r>
    </w:p>
    <w:p w14:paraId="027EBCB0" w14:textId="77777777" w:rsidR="00047BE4" w:rsidRDefault="00047BE4" w:rsidP="00047BE4">
      <w:pPr>
        <w:pStyle w:val="Odstavecseseznamem"/>
        <w:numPr>
          <w:ilvl w:val="0"/>
          <w:numId w:val="24"/>
        </w:numPr>
      </w:pPr>
      <w:r>
        <w:t xml:space="preserve">Handball Club Zlín (házenkářský klub), </w:t>
      </w:r>
    </w:p>
    <w:p w14:paraId="53196E66" w14:textId="77777777" w:rsidR="00047BE4" w:rsidRDefault="00047BE4" w:rsidP="00047BE4">
      <w:pPr>
        <w:pStyle w:val="Odstavecseseznamem"/>
        <w:numPr>
          <w:ilvl w:val="0"/>
          <w:numId w:val="24"/>
        </w:numPr>
      </w:pPr>
      <w:r>
        <w:t xml:space="preserve">SKB Zlín, z.s. (basketbalový klub), </w:t>
      </w:r>
    </w:p>
    <w:p w14:paraId="11AD1D52" w14:textId="77777777" w:rsidR="00047BE4" w:rsidRDefault="00047BE4" w:rsidP="00047BE4">
      <w:pPr>
        <w:pStyle w:val="Odstavecseseznamem"/>
        <w:numPr>
          <w:ilvl w:val="0"/>
          <w:numId w:val="24"/>
        </w:numPr>
      </w:pPr>
      <w:r>
        <w:t xml:space="preserve">VSK Fatra Zlín (volejbalový klub), </w:t>
      </w:r>
    </w:p>
    <w:p w14:paraId="394A8A3D" w14:textId="77777777" w:rsidR="00047BE4" w:rsidRDefault="00047BE4" w:rsidP="00047BE4">
      <w:pPr>
        <w:pStyle w:val="Odstavecseseznamem"/>
        <w:numPr>
          <w:ilvl w:val="0"/>
          <w:numId w:val="24"/>
        </w:numPr>
      </w:pPr>
      <w:r>
        <w:t xml:space="preserve">KST Zlín (klub stolního tenisu), </w:t>
      </w:r>
    </w:p>
    <w:p w14:paraId="7BA60984" w14:textId="77777777" w:rsidR="00047BE4" w:rsidRDefault="00047BE4" w:rsidP="00047BE4">
      <w:pPr>
        <w:pStyle w:val="Odstavecseseznamem"/>
        <w:numPr>
          <w:ilvl w:val="0"/>
          <w:numId w:val="24"/>
        </w:numPr>
      </w:pPr>
      <w:r>
        <w:t xml:space="preserve">TITAN TRILIFE (triatlonový klub), </w:t>
      </w:r>
    </w:p>
    <w:p w14:paraId="2BC81879" w14:textId="77777777" w:rsidR="00047BE4" w:rsidRDefault="00047BE4" w:rsidP="00047BE4">
      <w:pPr>
        <w:pStyle w:val="Odstavecseseznamem"/>
        <w:numPr>
          <w:ilvl w:val="0"/>
          <w:numId w:val="24"/>
        </w:numPr>
      </w:pPr>
      <w:r>
        <w:t xml:space="preserve">Futsal Zlín (klub futsalu), </w:t>
      </w:r>
    </w:p>
    <w:p w14:paraId="365F95D3" w14:textId="77777777" w:rsidR="00047BE4" w:rsidRDefault="00047BE4" w:rsidP="00047BE4">
      <w:pPr>
        <w:pStyle w:val="Odstavecseseznamem"/>
        <w:numPr>
          <w:ilvl w:val="0"/>
          <w:numId w:val="24"/>
        </w:numPr>
      </w:pPr>
      <w:r>
        <w:t xml:space="preserve">RC Zlín (ragbyový klub), </w:t>
      </w:r>
    </w:p>
    <w:p w14:paraId="0C039E84" w14:textId="77777777" w:rsidR="00047BE4" w:rsidRDefault="00047BE4" w:rsidP="00047BE4">
      <w:pPr>
        <w:pStyle w:val="Odstavecseseznamem"/>
        <w:numPr>
          <w:ilvl w:val="0"/>
          <w:numId w:val="24"/>
        </w:numPr>
      </w:pPr>
      <w:r>
        <w:t xml:space="preserve">SKOB Zlín (klub orientačního běhu), </w:t>
      </w:r>
    </w:p>
    <w:p w14:paraId="01E4DFC9" w14:textId="77777777" w:rsidR="00047BE4" w:rsidRDefault="00047BE4" w:rsidP="00047BE4">
      <w:pPr>
        <w:pStyle w:val="Odstavecseseznamem"/>
        <w:numPr>
          <w:ilvl w:val="0"/>
          <w:numId w:val="24"/>
        </w:numPr>
      </w:pPr>
      <w:r>
        <w:t xml:space="preserve">Tiger Club o.s. (kickboxerský klub), </w:t>
      </w:r>
    </w:p>
    <w:p w14:paraId="4469CD7A" w14:textId="77777777" w:rsidR="00047BE4" w:rsidRDefault="00047BE4" w:rsidP="00047BE4">
      <w:pPr>
        <w:pStyle w:val="Odstavecseseznamem"/>
        <w:numPr>
          <w:ilvl w:val="0"/>
          <w:numId w:val="24"/>
        </w:numPr>
      </w:pPr>
      <w:r>
        <w:t xml:space="preserve">PK Zlín (plavecký klub), </w:t>
      </w:r>
    </w:p>
    <w:p w14:paraId="29FCA8A7" w14:textId="77777777" w:rsidR="00047BE4" w:rsidRDefault="00047BE4" w:rsidP="00047BE4">
      <w:pPr>
        <w:pStyle w:val="Odstavecseseznamem"/>
        <w:numPr>
          <w:ilvl w:val="0"/>
          <w:numId w:val="24"/>
        </w:numPr>
      </w:pPr>
      <w:r>
        <w:t xml:space="preserve">KC Zlín (kuželkářský klub) a mnoho dalších. </w:t>
      </w:r>
    </w:p>
    <w:p w14:paraId="5CDEC54A" w14:textId="77777777" w:rsidR="00047BE4" w:rsidRDefault="00047BE4" w:rsidP="00047BE4">
      <w:pPr>
        <w:ind w:left="360"/>
      </w:pPr>
      <w:r>
        <w:t xml:space="preserve">Součástí sportovního prostředí ve Zlíně jsou také kluby nebo oddíly handicapovaných sportovců (např. SHK LAPP Zlín – </w:t>
      </w:r>
      <w:r w:rsidRPr="00E8548D">
        <w:t>s</w:t>
      </w:r>
      <w:r>
        <w:t>ledge hokejový klub, SK Berani Naděje Zlín – plavecký klub, Handicap Zlín – kuželky, bowling a střelba a další).</w:t>
      </w:r>
    </w:p>
    <w:p w14:paraId="694391AE" w14:textId="77777777" w:rsidR="00047BE4" w:rsidRPr="00E8548D" w:rsidRDefault="00047BE4" w:rsidP="00047BE4">
      <w:pPr>
        <w:rPr>
          <w:b/>
        </w:rPr>
      </w:pPr>
      <w:r w:rsidRPr="00E8548D">
        <w:rPr>
          <w:b/>
        </w:rPr>
        <w:t>Sportovní akce na území města Zlína</w:t>
      </w:r>
    </w:p>
    <w:p w14:paraId="6038AC55" w14:textId="64D3DBE6" w:rsidR="00047BE4" w:rsidRDefault="00047BE4" w:rsidP="00047BE4">
      <w:r w:rsidRPr="004307FB">
        <w:t>Přehled sportovních akcí, pořádaných na území SMZ v roce 2019, n</w:t>
      </w:r>
      <w:r>
        <w:t>a které byla schválena dotace z </w:t>
      </w:r>
      <w:r w:rsidRPr="004307FB">
        <w:t xml:space="preserve">Fondu mládeže a tělovýchovy </w:t>
      </w:r>
      <w:r>
        <w:t>dokládá následující tabulka</w:t>
      </w:r>
      <w:r w:rsidR="00EB62B8">
        <w:t xml:space="preserve"> 1.2</w:t>
      </w:r>
      <w:r w:rsidR="00CA267E">
        <w:t>7</w:t>
      </w:r>
      <w:r>
        <w:t xml:space="preserve">. </w:t>
      </w:r>
      <w:r w:rsidRPr="004307FB">
        <w:t>Statutární město Zlín také každoročně organizuje slavnostní Vyhlášení nejúspěšnějších sportovců města Zlína.</w:t>
      </w:r>
      <w:r>
        <w:t xml:space="preserve"> </w:t>
      </w:r>
    </w:p>
    <w:p w14:paraId="793816D6" w14:textId="2C618679" w:rsidR="00047BE4" w:rsidRDefault="00047BE4" w:rsidP="00047BE4">
      <w:pPr>
        <w:pStyle w:val="Titulek"/>
        <w:keepNext/>
        <w:spacing w:after="60"/>
      </w:pPr>
      <w:bookmarkStart w:id="162" w:name="_Toc53037887"/>
      <w:bookmarkStart w:id="163" w:name="_Toc7707470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27</w:t>
      </w:r>
      <w:r w:rsidR="00081B47">
        <w:rPr>
          <w:noProof/>
        </w:rPr>
        <w:fldChar w:fldCharType="end"/>
      </w:r>
      <w:r w:rsidR="006973FF">
        <w:rPr>
          <w:noProof/>
        </w:rPr>
        <w:t>:</w:t>
      </w:r>
      <w:r>
        <w:t xml:space="preserve"> Sportovní akce pořádané na území SMZ v roce 2019</w:t>
      </w:r>
      <w:bookmarkEnd w:id="162"/>
      <w:bookmarkEnd w:id="163"/>
    </w:p>
    <w:tbl>
      <w:tblPr>
        <w:tblStyle w:val="Tabulkasmkou3"/>
        <w:tblW w:w="5000" w:type="pct"/>
        <w:tblLook w:val="0420" w:firstRow="1" w:lastRow="0" w:firstColumn="0" w:lastColumn="0" w:noHBand="0" w:noVBand="1"/>
      </w:tblPr>
      <w:tblGrid>
        <w:gridCol w:w="3538"/>
        <w:gridCol w:w="5534"/>
      </w:tblGrid>
      <w:tr w:rsidR="00047BE4" w:rsidRPr="004307FB" w14:paraId="45F5744B" w14:textId="77777777" w:rsidTr="00685240">
        <w:trPr>
          <w:cnfStyle w:val="100000000000" w:firstRow="1" w:lastRow="0" w:firstColumn="0" w:lastColumn="0" w:oddVBand="0" w:evenVBand="0" w:oddHBand="0" w:evenHBand="0" w:firstRowFirstColumn="0" w:firstRowLastColumn="0" w:lastRowFirstColumn="0" w:lastRowLastColumn="0"/>
          <w:trHeight w:val="20"/>
        </w:trPr>
        <w:tc>
          <w:tcPr>
            <w:tcW w:w="1905" w:type="pct"/>
            <w:hideMark/>
          </w:tcPr>
          <w:p w14:paraId="77D10766" w14:textId="77777777" w:rsidR="00047BE4" w:rsidRPr="004307FB" w:rsidRDefault="00047BE4" w:rsidP="00047BE4">
            <w:pPr>
              <w:spacing w:before="0"/>
              <w:jc w:val="center"/>
              <w:rPr>
                <w:rFonts w:ascii="Calibri" w:eastAsia="Times New Roman" w:hAnsi="Calibri" w:cs="Calibri"/>
                <w:sz w:val="18"/>
                <w:szCs w:val="18"/>
                <w:lang w:eastAsia="cs-CZ"/>
              </w:rPr>
            </w:pPr>
            <w:r>
              <w:rPr>
                <w:rFonts w:ascii="Calibri" w:eastAsia="Times New Roman" w:hAnsi="Calibri" w:cs="Calibri"/>
                <w:sz w:val="18"/>
                <w:szCs w:val="18"/>
                <w:lang w:eastAsia="cs-CZ"/>
              </w:rPr>
              <w:t>Pořádající organizace</w:t>
            </w:r>
          </w:p>
        </w:tc>
        <w:tc>
          <w:tcPr>
            <w:tcW w:w="3095" w:type="pct"/>
            <w:hideMark/>
          </w:tcPr>
          <w:p w14:paraId="2915D768" w14:textId="77777777" w:rsidR="00047BE4" w:rsidRPr="004307FB" w:rsidRDefault="00047BE4" w:rsidP="00047BE4">
            <w:pPr>
              <w:spacing w:before="0"/>
              <w:jc w:val="center"/>
              <w:rPr>
                <w:rFonts w:ascii="Calibri" w:eastAsia="Times New Roman" w:hAnsi="Calibri" w:cs="Calibri"/>
                <w:sz w:val="18"/>
                <w:szCs w:val="18"/>
                <w:lang w:eastAsia="cs-CZ"/>
              </w:rPr>
            </w:pPr>
            <w:r>
              <w:rPr>
                <w:rFonts w:ascii="Calibri" w:eastAsia="Times New Roman" w:hAnsi="Calibri" w:cs="Calibri"/>
                <w:sz w:val="18"/>
                <w:szCs w:val="18"/>
                <w:lang w:eastAsia="cs-CZ"/>
              </w:rPr>
              <w:t>N</w:t>
            </w:r>
            <w:r w:rsidRPr="004307FB">
              <w:rPr>
                <w:rFonts w:ascii="Calibri" w:eastAsia="Times New Roman" w:hAnsi="Calibri" w:cs="Calibri"/>
                <w:sz w:val="18"/>
                <w:szCs w:val="18"/>
                <w:lang w:eastAsia="cs-CZ"/>
              </w:rPr>
              <w:t>ázev akce</w:t>
            </w:r>
          </w:p>
        </w:tc>
      </w:tr>
      <w:tr w:rsidR="00047BE4" w:rsidRPr="004307FB" w14:paraId="667CCC5B"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747B2DF8"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Atletický klub Zlín</w:t>
            </w:r>
          </w:p>
        </w:tc>
        <w:tc>
          <w:tcPr>
            <w:tcW w:w="3095" w:type="pct"/>
            <w:hideMark/>
          </w:tcPr>
          <w:p w14:paraId="349F834C" w14:textId="55AC0F67" w:rsidR="00047BE4" w:rsidRPr="004307FB" w:rsidRDefault="00047BE4" w:rsidP="0064598B">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II.</w:t>
            </w:r>
            <w:r w:rsidR="0064598B">
              <w:rPr>
                <w:rFonts w:ascii="Calibri" w:eastAsia="Times New Roman" w:hAnsi="Calibri" w:cs="Calibri"/>
                <w:sz w:val="18"/>
                <w:szCs w:val="18"/>
                <w:lang w:eastAsia="cs-CZ"/>
              </w:rPr>
              <w:t xml:space="preserve"> kolo krajského </w:t>
            </w:r>
            <w:r w:rsidRPr="004307FB">
              <w:rPr>
                <w:rFonts w:ascii="Calibri" w:eastAsia="Times New Roman" w:hAnsi="Calibri" w:cs="Calibri"/>
                <w:sz w:val="18"/>
                <w:szCs w:val="18"/>
                <w:lang w:eastAsia="cs-CZ"/>
              </w:rPr>
              <w:t>přeboru družstev m</w:t>
            </w:r>
            <w:r w:rsidR="0064598B">
              <w:rPr>
                <w:rFonts w:ascii="Calibri" w:eastAsia="Times New Roman" w:hAnsi="Calibri" w:cs="Calibri"/>
                <w:sz w:val="18"/>
                <w:szCs w:val="18"/>
                <w:lang w:eastAsia="cs-CZ"/>
              </w:rPr>
              <w:t xml:space="preserve">ladšího </w:t>
            </w:r>
            <w:r w:rsidRPr="004307FB">
              <w:rPr>
                <w:rFonts w:ascii="Calibri" w:eastAsia="Times New Roman" w:hAnsi="Calibri" w:cs="Calibri"/>
                <w:sz w:val="18"/>
                <w:szCs w:val="18"/>
                <w:lang w:eastAsia="cs-CZ"/>
              </w:rPr>
              <w:t>žactva</w:t>
            </w:r>
            <w:r w:rsidR="0064598B">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w:t>
            </w:r>
            <w:r w:rsidR="0064598B">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kraj</w:t>
            </w:r>
            <w:r w:rsidR="0064598B">
              <w:rPr>
                <w:rFonts w:ascii="Calibri" w:eastAsia="Times New Roman" w:hAnsi="Calibri" w:cs="Calibri"/>
                <w:sz w:val="18"/>
                <w:szCs w:val="18"/>
                <w:lang w:eastAsia="cs-CZ"/>
              </w:rPr>
              <w:t>ský</w:t>
            </w:r>
            <w:r w:rsidRPr="004307FB">
              <w:rPr>
                <w:rFonts w:ascii="Calibri" w:eastAsia="Times New Roman" w:hAnsi="Calibri" w:cs="Calibri"/>
                <w:sz w:val="18"/>
                <w:szCs w:val="18"/>
                <w:lang w:eastAsia="cs-CZ"/>
              </w:rPr>
              <w:t xml:space="preserve"> přebor jednotlivců v</w:t>
            </w:r>
            <w:r w:rsidR="006973FF">
              <w:rPr>
                <w:rFonts w:ascii="Calibri" w:eastAsia="Times New Roman" w:hAnsi="Calibri" w:cs="Calibri"/>
                <w:sz w:val="18"/>
                <w:szCs w:val="18"/>
                <w:lang w:eastAsia="cs-CZ"/>
              </w:rPr>
              <w:t> </w:t>
            </w:r>
            <w:r w:rsidRPr="004307FB">
              <w:rPr>
                <w:rFonts w:ascii="Calibri" w:eastAsia="Times New Roman" w:hAnsi="Calibri" w:cs="Calibri"/>
                <w:sz w:val="18"/>
                <w:szCs w:val="18"/>
                <w:lang w:eastAsia="cs-CZ"/>
              </w:rPr>
              <w:t>atletice</w:t>
            </w:r>
          </w:p>
        </w:tc>
      </w:tr>
      <w:tr w:rsidR="00047BE4" w:rsidRPr="004307FB" w14:paraId="772E63F2" w14:textId="77777777" w:rsidTr="00685240">
        <w:trPr>
          <w:trHeight w:val="20"/>
        </w:trPr>
        <w:tc>
          <w:tcPr>
            <w:tcW w:w="1905" w:type="pct"/>
            <w:vMerge/>
            <w:hideMark/>
          </w:tcPr>
          <w:p w14:paraId="5CB89F6A"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31C895FA"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Mistrovství ČR ve vícebojích</w:t>
            </w:r>
          </w:p>
        </w:tc>
      </w:tr>
      <w:tr w:rsidR="00047BE4" w:rsidRPr="004307FB" w14:paraId="31A206AB"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49BD29BC"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78F6DDA5"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Mikulášská laťka</w:t>
            </w:r>
          </w:p>
        </w:tc>
      </w:tr>
      <w:tr w:rsidR="00047BE4" w:rsidRPr="004307FB" w14:paraId="2BDAC0A3" w14:textId="77777777" w:rsidTr="00685240">
        <w:trPr>
          <w:trHeight w:val="20"/>
        </w:trPr>
        <w:tc>
          <w:tcPr>
            <w:tcW w:w="1905" w:type="pct"/>
            <w:vMerge/>
            <w:hideMark/>
          </w:tcPr>
          <w:p w14:paraId="2FE68E30"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3AE98687"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Běh Zlínem "Přes valašské kotáry"</w:t>
            </w:r>
          </w:p>
        </w:tc>
      </w:tr>
      <w:tr w:rsidR="00047BE4" w:rsidRPr="004307FB" w14:paraId="6F0833EE"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021CEDA8"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2AD6019A"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Mítink Zlín 2019</w:t>
            </w:r>
          </w:p>
        </w:tc>
      </w:tr>
      <w:tr w:rsidR="00047BE4" w:rsidRPr="004307FB" w14:paraId="5BF4281D" w14:textId="77777777" w:rsidTr="00685240">
        <w:trPr>
          <w:trHeight w:val="20"/>
        </w:trPr>
        <w:tc>
          <w:tcPr>
            <w:tcW w:w="1905" w:type="pct"/>
            <w:noWrap/>
            <w:hideMark/>
          </w:tcPr>
          <w:p w14:paraId="28BD3124"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České sportovní lezení</w:t>
            </w:r>
          </w:p>
        </w:tc>
        <w:tc>
          <w:tcPr>
            <w:tcW w:w="3095" w:type="pct"/>
            <w:hideMark/>
          </w:tcPr>
          <w:p w14:paraId="7D12F955"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Školní Boulder pohár 2019</w:t>
            </w:r>
          </w:p>
        </w:tc>
      </w:tr>
      <w:tr w:rsidR="00047BE4" w:rsidRPr="004307FB" w14:paraId="5248C6D3"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noWrap/>
            <w:hideMark/>
          </w:tcPr>
          <w:p w14:paraId="40B3D2A7"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dp Lukostřelba Zlín z.s.</w:t>
            </w:r>
          </w:p>
        </w:tc>
        <w:tc>
          <w:tcPr>
            <w:tcW w:w="3095" w:type="pct"/>
            <w:hideMark/>
          </w:tcPr>
          <w:p w14:paraId="4DA51CA5" w14:textId="44D7BC7B"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BOW open II.</w:t>
            </w:r>
            <w:r w:rsidR="0064598B">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kolo</w:t>
            </w:r>
          </w:p>
        </w:tc>
      </w:tr>
      <w:tr w:rsidR="00047BE4" w:rsidRPr="004307FB" w14:paraId="6F4AAD90" w14:textId="77777777" w:rsidTr="00685240">
        <w:trPr>
          <w:trHeight w:val="20"/>
        </w:trPr>
        <w:tc>
          <w:tcPr>
            <w:tcW w:w="1905" w:type="pct"/>
            <w:noWrap/>
            <w:hideMark/>
          </w:tcPr>
          <w:p w14:paraId="4D00612C"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Gymnastika Zlín z.s.</w:t>
            </w:r>
          </w:p>
        </w:tc>
        <w:tc>
          <w:tcPr>
            <w:tcW w:w="3095" w:type="pct"/>
            <w:hideMark/>
          </w:tcPr>
          <w:p w14:paraId="229CAAA1"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Zlínský sněhulák</w:t>
            </w:r>
          </w:p>
        </w:tc>
      </w:tr>
      <w:tr w:rsidR="00047BE4" w:rsidRPr="004307FB" w14:paraId="0549B12C"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1EF16DAB"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HBC Malenovice</w:t>
            </w:r>
          </w:p>
        </w:tc>
        <w:tc>
          <w:tcPr>
            <w:tcW w:w="3095" w:type="pct"/>
            <w:hideMark/>
          </w:tcPr>
          <w:p w14:paraId="2F08F271" w14:textId="0B75C04E"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mladších žáků v hokejbale (7.</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4.</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2019)</w:t>
            </w:r>
          </w:p>
        </w:tc>
      </w:tr>
      <w:tr w:rsidR="00047BE4" w:rsidRPr="004307FB" w14:paraId="5A70A58A" w14:textId="77777777" w:rsidTr="00685240">
        <w:trPr>
          <w:trHeight w:val="20"/>
        </w:trPr>
        <w:tc>
          <w:tcPr>
            <w:tcW w:w="1905" w:type="pct"/>
            <w:vMerge/>
            <w:hideMark/>
          </w:tcPr>
          <w:p w14:paraId="771E8979"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698CD267" w14:textId="431B2FA3"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mladších žáků v hokejbale (8.</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5.</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2019)</w:t>
            </w:r>
          </w:p>
        </w:tc>
      </w:tr>
      <w:tr w:rsidR="00047BE4" w:rsidRPr="004307FB" w14:paraId="298E1D5E"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2E8B7D18"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384AD304" w14:textId="7E16847F"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Zlínský pohár</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dvoudenní turnaj starších žáků v hokejbale</w:t>
            </w:r>
          </w:p>
        </w:tc>
      </w:tr>
      <w:tr w:rsidR="00047BE4" w:rsidRPr="004307FB" w14:paraId="61882F60" w14:textId="77777777" w:rsidTr="00685240">
        <w:trPr>
          <w:trHeight w:val="20"/>
        </w:trPr>
        <w:tc>
          <w:tcPr>
            <w:tcW w:w="1905" w:type="pct"/>
            <w:vMerge/>
            <w:hideMark/>
          </w:tcPr>
          <w:p w14:paraId="4C095B9D"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1E0C8648"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minipřípravek v hokejbale</w:t>
            </w:r>
          </w:p>
        </w:tc>
      </w:tr>
      <w:tr w:rsidR="00047BE4" w:rsidRPr="004307FB" w14:paraId="535A4FE7"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408E710F"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3394179A"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mladších žáků v hokejbale</w:t>
            </w:r>
          </w:p>
        </w:tc>
      </w:tr>
      <w:tr w:rsidR="00047BE4" w:rsidRPr="004307FB" w14:paraId="22CA72CA" w14:textId="77777777" w:rsidTr="00685240">
        <w:trPr>
          <w:trHeight w:val="20"/>
        </w:trPr>
        <w:tc>
          <w:tcPr>
            <w:tcW w:w="1905" w:type="pct"/>
            <w:vMerge/>
            <w:hideMark/>
          </w:tcPr>
          <w:p w14:paraId="4AB82C68"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168C634E"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přípravek v hokejbale</w:t>
            </w:r>
          </w:p>
        </w:tc>
      </w:tr>
      <w:tr w:rsidR="00047BE4" w:rsidRPr="004307FB" w14:paraId="53E7C28C"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noWrap/>
            <w:hideMark/>
          </w:tcPr>
          <w:p w14:paraId="4BA285DA"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HOLIDAY CUP z.s.</w:t>
            </w:r>
          </w:p>
        </w:tc>
        <w:tc>
          <w:tcPr>
            <w:tcW w:w="3095" w:type="pct"/>
            <w:hideMark/>
          </w:tcPr>
          <w:p w14:paraId="34F5C733"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Mikulášský turnaj miniházené</w:t>
            </w:r>
          </w:p>
        </w:tc>
      </w:tr>
      <w:tr w:rsidR="00047BE4" w:rsidRPr="004307FB" w14:paraId="322DB79B" w14:textId="77777777" w:rsidTr="00685240">
        <w:trPr>
          <w:trHeight w:val="20"/>
        </w:trPr>
        <w:tc>
          <w:tcPr>
            <w:tcW w:w="1905" w:type="pct"/>
            <w:vMerge w:val="restart"/>
            <w:noWrap/>
            <w:hideMark/>
          </w:tcPr>
          <w:p w14:paraId="7D1F5896" w14:textId="77777777" w:rsidR="00047BE4"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lastRenderedPageBreak/>
              <w:t>IHC DEVILS Zlín</w:t>
            </w:r>
          </w:p>
          <w:p w14:paraId="369669A1" w14:textId="77777777" w:rsidR="00047BE4" w:rsidRPr="00753061" w:rsidRDefault="00047BE4" w:rsidP="00047BE4">
            <w:pPr>
              <w:tabs>
                <w:tab w:val="left" w:pos="2232"/>
              </w:tabs>
              <w:rPr>
                <w:rFonts w:ascii="Calibri" w:eastAsia="Times New Roman" w:hAnsi="Calibri" w:cs="Calibri"/>
                <w:sz w:val="18"/>
                <w:szCs w:val="18"/>
                <w:lang w:eastAsia="cs-CZ"/>
              </w:rPr>
            </w:pPr>
            <w:r>
              <w:rPr>
                <w:rFonts w:ascii="Calibri" w:eastAsia="Times New Roman" w:hAnsi="Calibri" w:cs="Calibri"/>
                <w:sz w:val="18"/>
                <w:szCs w:val="18"/>
                <w:lang w:eastAsia="cs-CZ"/>
              </w:rPr>
              <w:tab/>
            </w:r>
          </w:p>
        </w:tc>
        <w:tc>
          <w:tcPr>
            <w:tcW w:w="3095" w:type="pct"/>
            <w:hideMark/>
          </w:tcPr>
          <w:p w14:paraId="435F1822" w14:textId="76D8285B"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dorost (roč. 2003</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2004)</w:t>
            </w:r>
          </w:p>
        </w:tc>
      </w:tr>
      <w:tr w:rsidR="00047BE4" w:rsidRPr="004307FB" w14:paraId="5EC6EADA"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1EE97453"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7D2064C6" w14:textId="31D10697"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starších žáků (2005</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2006)</w:t>
            </w:r>
          </w:p>
        </w:tc>
      </w:tr>
      <w:tr w:rsidR="00047BE4" w:rsidRPr="004307FB" w14:paraId="21CE3C92" w14:textId="77777777" w:rsidTr="00685240">
        <w:trPr>
          <w:trHeight w:val="20"/>
        </w:trPr>
        <w:tc>
          <w:tcPr>
            <w:tcW w:w="1905" w:type="pct"/>
            <w:vMerge/>
            <w:hideMark/>
          </w:tcPr>
          <w:p w14:paraId="102C8ED5"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1870287F" w14:textId="099AA679"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m</w:t>
            </w:r>
            <w:r>
              <w:rPr>
                <w:rFonts w:ascii="Calibri" w:eastAsia="Times New Roman" w:hAnsi="Calibri" w:cs="Calibri"/>
                <w:sz w:val="18"/>
                <w:szCs w:val="18"/>
                <w:lang w:eastAsia="cs-CZ"/>
              </w:rPr>
              <w:t>l</w:t>
            </w:r>
            <w:r w:rsidRPr="004307FB">
              <w:rPr>
                <w:rFonts w:ascii="Calibri" w:eastAsia="Times New Roman" w:hAnsi="Calibri" w:cs="Calibri"/>
                <w:sz w:val="18"/>
                <w:szCs w:val="18"/>
                <w:lang w:eastAsia="cs-CZ"/>
              </w:rPr>
              <w:t>adších žáků (2007</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2008)</w:t>
            </w:r>
          </w:p>
        </w:tc>
      </w:tr>
      <w:tr w:rsidR="00047BE4" w:rsidRPr="004307FB" w14:paraId="0468C2AF"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7FF67BDC"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2DFAAA6C" w14:textId="480BEB3D"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Turnaj přípravek (2009</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2010)</w:t>
            </w:r>
          </w:p>
        </w:tc>
      </w:tr>
      <w:tr w:rsidR="00047BE4" w:rsidRPr="004307FB" w14:paraId="1E25F444" w14:textId="77777777" w:rsidTr="00685240">
        <w:trPr>
          <w:trHeight w:val="20"/>
        </w:trPr>
        <w:tc>
          <w:tcPr>
            <w:tcW w:w="1905" w:type="pct"/>
            <w:noWrap/>
            <w:hideMark/>
          </w:tcPr>
          <w:p w14:paraId="4201780F"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Juniorský maratonský klub, z.s.</w:t>
            </w:r>
          </w:p>
        </w:tc>
        <w:tc>
          <w:tcPr>
            <w:tcW w:w="3095" w:type="pct"/>
            <w:hideMark/>
          </w:tcPr>
          <w:p w14:paraId="4D67B209"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Juniorský maraton 2019</w:t>
            </w:r>
          </w:p>
        </w:tc>
      </w:tr>
      <w:tr w:rsidR="00047BE4" w:rsidRPr="004307FB" w14:paraId="0AD93BCE"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hideMark/>
          </w:tcPr>
          <w:p w14:paraId="311884E2"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Klub moderní gymnastiky Zlín</w:t>
            </w:r>
          </w:p>
        </w:tc>
        <w:tc>
          <w:tcPr>
            <w:tcW w:w="3095" w:type="pct"/>
            <w:hideMark/>
          </w:tcPr>
          <w:p w14:paraId="14AEA413"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Zlínský střevíček</w:t>
            </w:r>
          </w:p>
        </w:tc>
      </w:tr>
      <w:tr w:rsidR="00047BE4" w:rsidRPr="004307FB" w14:paraId="20C44FB6" w14:textId="77777777" w:rsidTr="00685240">
        <w:trPr>
          <w:trHeight w:val="20"/>
        </w:trPr>
        <w:tc>
          <w:tcPr>
            <w:tcW w:w="1905" w:type="pct"/>
            <w:vMerge/>
            <w:hideMark/>
          </w:tcPr>
          <w:p w14:paraId="4AD80B94"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5D40FA04"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 cup - kolo Českomoravského poháru</w:t>
            </w:r>
          </w:p>
        </w:tc>
      </w:tr>
      <w:tr w:rsidR="00047BE4" w:rsidRPr="004307FB" w14:paraId="3B65BA40"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2632ADF2"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Lezecký klub Vertikon Zlín</w:t>
            </w:r>
          </w:p>
        </w:tc>
        <w:tc>
          <w:tcPr>
            <w:tcW w:w="3095" w:type="pct"/>
            <w:hideMark/>
          </w:tcPr>
          <w:p w14:paraId="0147D291"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 Vertikon cup U14</w:t>
            </w:r>
          </w:p>
        </w:tc>
      </w:tr>
      <w:tr w:rsidR="00047BE4" w:rsidRPr="004307FB" w14:paraId="713DDE40" w14:textId="77777777" w:rsidTr="00685240">
        <w:trPr>
          <w:trHeight w:val="20"/>
        </w:trPr>
        <w:tc>
          <w:tcPr>
            <w:tcW w:w="1905" w:type="pct"/>
            <w:vMerge/>
            <w:hideMark/>
          </w:tcPr>
          <w:p w14:paraId="48A6FE38"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49738EE6"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IX. Štěpánský závod</w:t>
            </w:r>
          </w:p>
        </w:tc>
      </w:tr>
      <w:tr w:rsidR="00047BE4" w:rsidRPr="004307FB" w14:paraId="4B0A6FE9"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hideMark/>
          </w:tcPr>
          <w:p w14:paraId="6D842F23"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Lukostřelecký klub Phoenix Kostelec, z.s.</w:t>
            </w:r>
          </w:p>
        </w:tc>
        <w:tc>
          <w:tcPr>
            <w:tcW w:w="3095" w:type="pct"/>
            <w:hideMark/>
          </w:tcPr>
          <w:p w14:paraId="03115585" w14:textId="1F515210"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Mezinárodní závody v</w:t>
            </w:r>
            <w:r w:rsidR="006973FF">
              <w:rPr>
                <w:rFonts w:ascii="Calibri" w:eastAsia="Times New Roman" w:hAnsi="Calibri" w:cs="Calibri"/>
                <w:sz w:val="18"/>
                <w:szCs w:val="18"/>
                <w:lang w:eastAsia="cs-CZ"/>
              </w:rPr>
              <w:t>e</w:t>
            </w:r>
            <w:r w:rsidRPr="004307FB">
              <w:rPr>
                <w:rFonts w:ascii="Calibri" w:eastAsia="Times New Roman" w:hAnsi="Calibri" w:cs="Calibri"/>
                <w:sz w:val="18"/>
                <w:szCs w:val="18"/>
                <w:lang w:eastAsia="cs-CZ"/>
              </w:rPr>
              <w:t xml:space="preserve"> 3D lukostřelbě</w:t>
            </w:r>
          </w:p>
        </w:tc>
      </w:tr>
      <w:tr w:rsidR="00047BE4" w:rsidRPr="004307FB" w14:paraId="1934E6C4" w14:textId="77777777" w:rsidTr="00685240">
        <w:trPr>
          <w:trHeight w:val="20"/>
        </w:trPr>
        <w:tc>
          <w:tcPr>
            <w:tcW w:w="1905" w:type="pct"/>
            <w:vMerge/>
            <w:hideMark/>
          </w:tcPr>
          <w:p w14:paraId="6A741802"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02C9F7D2"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6. mistrovství ČR ve 3D lukostřelbě</w:t>
            </w:r>
          </w:p>
        </w:tc>
      </w:tr>
      <w:tr w:rsidR="00047BE4" w:rsidRPr="004307FB" w14:paraId="0F7D55BA"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1D85BEE1" w14:textId="77777777" w:rsidR="00047BE4" w:rsidRPr="007E6A6A"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NEMO Zlín, pobočný spolek SPMS</w:t>
            </w:r>
          </w:p>
        </w:tc>
        <w:tc>
          <w:tcPr>
            <w:tcW w:w="3095" w:type="pct"/>
            <w:hideMark/>
          </w:tcPr>
          <w:p w14:paraId="2EF887C5"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Mistrovství ČR v PP a RP</w:t>
            </w:r>
          </w:p>
        </w:tc>
      </w:tr>
      <w:tr w:rsidR="00047BE4" w:rsidRPr="004307FB" w14:paraId="243317AB" w14:textId="77777777" w:rsidTr="00685240">
        <w:trPr>
          <w:trHeight w:val="20"/>
        </w:trPr>
        <w:tc>
          <w:tcPr>
            <w:tcW w:w="1905" w:type="pct"/>
            <w:vMerge/>
            <w:hideMark/>
          </w:tcPr>
          <w:p w14:paraId="564E8D25"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1E89B6B6"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Moravský pohár mládeže v PP a RP</w:t>
            </w:r>
          </w:p>
        </w:tc>
      </w:tr>
      <w:tr w:rsidR="00047BE4" w:rsidRPr="004307FB" w14:paraId="0B2FC1C6"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571FD3C3"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7B0BB51B"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Středoevropský pohár mládeže v PP a RP</w:t>
            </w:r>
          </w:p>
        </w:tc>
      </w:tr>
      <w:tr w:rsidR="00047BE4" w:rsidRPr="004307FB" w14:paraId="034F0023" w14:textId="77777777" w:rsidTr="00685240">
        <w:trPr>
          <w:trHeight w:val="20"/>
        </w:trPr>
        <w:tc>
          <w:tcPr>
            <w:tcW w:w="1905" w:type="pct"/>
            <w:vMerge/>
            <w:hideMark/>
          </w:tcPr>
          <w:p w14:paraId="4229913C"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4FB58F80"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Mezinárodní závody v PP a RP "NEMO TROPHY 2019"</w:t>
            </w:r>
          </w:p>
        </w:tc>
      </w:tr>
      <w:tr w:rsidR="00047BE4" w:rsidRPr="004307FB" w14:paraId="2ADD4046"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08C50201"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Orel jednota Zlín</w:t>
            </w:r>
          </w:p>
        </w:tc>
        <w:tc>
          <w:tcPr>
            <w:tcW w:w="3095" w:type="pct"/>
            <w:hideMark/>
          </w:tcPr>
          <w:p w14:paraId="08EA9831"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Plavecké závody "Velikonoční cena"</w:t>
            </w:r>
          </w:p>
        </w:tc>
      </w:tr>
      <w:tr w:rsidR="00047BE4" w:rsidRPr="004307FB" w14:paraId="7C3E4DD5" w14:textId="77777777" w:rsidTr="00685240">
        <w:trPr>
          <w:trHeight w:val="20"/>
        </w:trPr>
        <w:tc>
          <w:tcPr>
            <w:tcW w:w="1905" w:type="pct"/>
            <w:vMerge/>
            <w:hideMark/>
          </w:tcPr>
          <w:p w14:paraId="04F775A8"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246971C5"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Volejbalový turnaj smíšených družstev ve Zlíně</w:t>
            </w:r>
          </w:p>
        </w:tc>
      </w:tr>
      <w:tr w:rsidR="00047BE4" w:rsidRPr="004307FB" w14:paraId="003486B9"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7D3CD837"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223FAF4B"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Cyklistický závod "XC Zlín"</w:t>
            </w:r>
          </w:p>
        </w:tc>
      </w:tr>
      <w:tr w:rsidR="00047BE4" w:rsidRPr="004307FB" w14:paraId="1F83ECCA" w14:textId="77777777" w:rsidTr="00685240">
        <w:trPr>
          <w:trHeight w:val="20"/>
        </w:trPr>
        <w:tc>
          <w:tcPr>
            <w:tcW w:w="1905" w:type="pct"/>
            <w:noWrap/>
            <w:hideMark/>
          </w:tcPr>
          <w:p w14:paraId="7A211CB4"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PLAVECKÝ KLUB ZLÍN, z.s.</w:t>
            </w:r>
          </w:p>
        </w:tc>
        <w:tc>
          <w:tcPr>
            <w:tcW w:w="3095" w:type="pct"/>
            <w:hideMark/>
          </w:tcPr>
          <w:p w14:paraId="635719C1" w14:textId="02415472"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56.</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ročník mezinárodních plaveckých závodů Vánoční cena Zlína 2019</w:t>
            </w:r>
          </w:p>
        </w:tc>
      </w:tr>
      <w:tr w:rsidR="00047BE4" w:rsidRPr="004307FB" w14:paraId="6EDDB29F"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231FB589"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RUGBY CLUB Zlín, z.s.</w:t>
            </w:r>
          </w:p>
        </w:tc>
        <w:tc>
          <w:tcPr>
            <w:tcW w:w="3095" w:type="pct"/>
            <w:hideMark/>
          </w:tcPr>
          <w:p w14:paraId="12840C6F" w14:textId="3593CD8C"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Zlínská Valaš</w:t>
            </w:r>
            <w:r w:rsidR="006973FF">
              <w:rPr>
                <w:rFonts w:ascii="Calibri" w:eastAsia="Times New Roman" w:hAnsi="Calibri" w:cs="Calibri"/>
                <w:sz w:val="18"/>
                <w:szCs w:val="18"/>
                <w:lang w:eastAsia="cs-CZ"/>
              </w:rPr>
              <w:t xml:space="preserve">ka, oblastní přebor Moravy žáků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jaro 2019</w:t>
            </w:r>
          </w:p>
        </w:tc>
      </w:tr>
      <w:tr w:rsidR="00047BE4" w:rsidRPr="004307FB" w14:paraId="7FAB2EB4" w14:textId="77777777" w:rsidTr="00685240">
        <w:trPr>
          <w:trHeight w:val="20"/>
        </w:trPr>
        <w:tc>
          <w:tcPr>
            <w:tcW w:w="1905" w:type="pct"/>
            <w:vMerge/>
            <w:hideMark/>
          </w:tcPr>
          <w:p w14:paraId="4A1A75B9"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74230CB3" w14:textId="44E85E2C"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 21, oblastní přebor Moravy žáků v</w:t>
            </w:r>
            <w:r w:rsidR="006973FF">
              <w:rPr>
                <w:rFonts w:ascii="Calibri" w:eastAsia="Times New Roman" w:hAnsi="Calibri" w:cs="Calibri"/>
                <w:sz w:val="18"/>
                <w:szCs w:val="18"/>
                <w:lang w:eastAsia="cs-CZ"/>
              </w:rPr>
              <w:t> </w:t>
            </w:r>
            <w:r w:rsidRPr="004307FB">
              <w:rPr>
                <w:rFonts w:ascii="Calibri" w:eastAsia="Times New Roman" w:hAnsi="Calibri" w:cs="Calibri"/>
                <w:sz w:val="18"/>
                <w:szCs w:val="18"/>
                <w:lang w:eastAsia="cs-CZ"/>
              </w:rPr>
              <w:t>rugby</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podzim 2019</w:t>
            </w:r>
          </w:p>
        </w:tc>
      </w:tr>
      <w:tr w:rsidR="00047BE4" w:rsidRPr="004307FB" w14:paraId="2BF8EE35"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noWrap/>
            <w:hideMark/>
          </w:tcPr>
          <w:p w14:paraId="652B9D02"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Spolek přátel DD a SŠ Zlín</w:t>
            </w:r>
          </w:p>
        </w:tc>
        <w:tc>
          <w:tcPr>
            <w:tcW w:w="3095" w:type="pct"/>
            <w:hideMark/>
          </w:tcPr>
          <w:p w14:paraId="55334C0A"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LazOHraní na Divokém západě</w:t>
            </w:r>
          </w:p>
        </w:tc>
      </w:tr>
      <w:tr w:rsidR="00047BE4" w:rsidRPr="004307FB" w14:paraId="70A12B4B" w14:textId="77777777" w:rsidTr="00685240">
        <w:trPr>
          <w:trHeight w:val="20"/>
        </w:trPr>
        <w:tc>
          <w:tcPr>
            <w:tcW w:w="1905" w:type="pct"/>
            <w:noWrap/>
            <w:hideMark/>
          </w:tcPr>
          <w:p w14:paraId="07D7212D"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Sportovní klub Basketbalu</w:t>
            </w:r>
          </w:p>
        </w:tc>
        <w:tc>
          <w:tcPr>
            <w:tcW w:w="3095" w:type="pct"/>
            <w:hideMark/>
          </w:tcPr>
          <w:p w14:paraId="63207E7B" w14:textId="0FEDCC19"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Streetball Show (23.</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ročník)</w:t>
            </w:r>
          </w:p>
        </w:tc>
      </w:tr>
      <w:tr w:rsidR="00047BE4" w:rsidRPr="004307FB" w14:paraId="0F9B41E6"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noWrap/>
            <w:hideMark/>
          </w:tcPr>
          <w:p w14:paraId="7206CAB0"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Sportovní šerm Zlín, z.s.</w:t>
            </w:r>
          </w:p>
        </w:tc>
        <w:tc>
          <w:tcPr>
            <w:tcW w:w="3095" w:type="pct"/>
            <w:hideMark/>
          </w:tcPr>
          <w:p w14:paraId="099AB841"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Vánoční pohár 2019</w:t>
            </w:r>
          </w:p>
        </w:tc>
      </w:tr>
      <w:tr w:rsidR="00047BE4" w:rsidRPr="004307FB" w14:paraId="0AA68D96" w14:textId="77777777" w:rsidTr="00685240">
        <w:trPr>
          <w:trHeight w:val="20"/>
        </w:trPr>
        <w:tc>
          <w:tcPr>
            <w:tcW w:w="1905" w:type="pct"/>
            <w:noWrap/>
            <w:hideMark/>
          </w:tcPr>
          <w:p w14:paraId="523BD571"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Střední škola pedagogická a sociální Zlín,s.r.o.</w:t>
            </w:r>
          </w:p>
        </w:tc>
        <w:tc>
          <w:tcPr>
            <w:tcW w:w="3095" w:type="pct"/>
            <w:hideMark/>
          </w:tcPr>
          <w:p w14:paraId="5C78356D"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Olympiáda MŠ -VII. Ročník</w:t>
            </w:r>
          </w:p>
        </w:tc>
      </w:tr>
      <w:tr w:rsidR="00047BE4" w:rsidRPr="004307FB" w14:paraId="028ACCAB"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3292780D"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Šachový klub Zlín-Malenovice, z.s.</w:t>
            </w:r>
          </w:p>
        </w:tc>
        <w:tc>
          <w:tcPr>
            <w:tcW w:w="3095" w:type="pct"/>
            <w:hideMark/>
          </w:tcPr>
          <w:p w14:paraId="38146C48" w14:textId="1D61FE1F"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Zlínský šachový turnaj pro mládež 2019</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1.turnaj</w:t>
            </w:r>
          </w:p>
        </w:tc>
      </w:tr>
      <w:tr w:rsidR="00047BE4" w:rsidRPr="004307FB" w14:paraId="22271646" w14:textId="77777777" w:rsidTr="006973FF">
        <w:trPr>
          <w:trHeight w:val="20"/>
        </w:trPr>
        <w:tc>
          <w:tcPr>
            <w:tcW w:w="1905" w:type="pct"/>
            <w:vMerge/>
            <w:hideMark/>
          </w:tcPr>
          <w:p w14:paraId="21DA6CAD"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shd w:val="clear" w:color="auto" w:fill="auto"/>
            <w:hideMark/>
          </w:tcPr>
          <w:p w14:paraId="5387F74D" w14:textId="6151887B" w:rsidR="00047BE4" w:rsidRPr="006973FF" w:rsidRDefault="006973FF" w:rsidP="00047BE4">
            <w:pPr>
              <w:spacing w:before="0"/>
              <w:jc w:val="left"/>
              <w:rPr>
                <w:rFonts w:ascii="Calibri" w:eastAsia="Times New Roman" w:hAnsi="Calibri" w:cs="Calibri"/>
                <w:sz w:val="18"/>
                <w:szCs w:val="18"/>
                <w:lang w:eastAsia="cs-CZ"/>
              </w:rPr>
            </w:pPr>
            <w:r>
              <w:rPr>
                <w:rFonts w:ascii="Calibri" w:eastAsia="Times New Roman" w:hAnsi="Calibri" w:cs="Calibri"/>
                <w:sz w:val="18"/>
                <w:szCs w:val="18"/>
                <w:lang w:eastAsia="cs-CZ"/>
              </w:rPr>
              <w:t xml:space="preserve">Krajský </w:t>
            </w:r>
            <w:r w:rsidR="00047BE4" w:rsidRPr="006973FF">
              <w:rPr>
                <w:rFonts w:ascii="Calibri" w:eastAsia="Times New Roman" w:hAnsi="Calibri" w:cs="Calibri"/>
                <w:sz w:val="18"/>
                <w:szCs w:val="18"/>
                <w:lang w:eastAsia="cs-CZ"/>
              </w:rPr>
              <w:t>přebor družstev starších žáků 2019</w:t>
            </w:r>
          </w:p>
        </w:tc>
      </w:tr>
      <w:tr w:rsidR="00047BE4" w:rsidRPr="004307FB" w14:paraId="3E779E8C"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508E31FA"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7A2026A6"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GP ZK žáků v rapid šachu, 2. turnaj 2019</w:t>
            </w:r>
          </w:p>
        </w:tc>
      </w:tr>
      <w:tr w:rsidR="00047BE4" w:rsidRPr="004307FB" w14:paraId="1A0D4CBC" w14:textId="77777777" w:rsidTr="00685240">
        <w:trPr>
          <w:trHeight w:val="20"/>
        </w:trPr>
        <w:tc>
          <w:tcPr>
            <w:tcW w:w="1905" w:type="pct"/>
            <w:vMerge/>
            <w:hideMark/>
          </w:tcPr>
          <w:p w14:paraId="0E0A3E99"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3A102FFA" w14:textId="5BBD04E2"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Zlínský šachový turnaj pro mládež 30.</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11.</w:t>
            </w:r>
            <w:r w:rsidR="006973FF">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2019</w:t>
            </w:r>
          </w:p>
        </w:tc>
      </w:tr>
      <w:tr w:rsidR="00047BE4" w:rsidRPr="004307FB" w14:paraId="6D5F57DA"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0B4583A5"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04D7FF07"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Okresní kolo Přeboru škol Zlín</w:t>
            </w:r>
          </w:p>
        </w:tc>
      </w:tr>
      <w:tr w:rsidR="00047BE4" w:rsidRPr="004307FB" w14:paraId="6C1D446E" w14:textId="77777777" w:rsidTr="00685240">
        <w:trPr>
          <w:trHeight w:val="20"/>
        </w:trPr>
        <w:tc>
          <w:tcPr>
            <w:tcW w:w="1905" w:type="pct"/>
            <w:noWrap/>
            <w:hideMark/>
          </w:tcPr>
          <w:p w14:paraId="7DBA3BC1"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Šermířský klub Zlín, z.s.</w:t>
            </w:r>
          </w:p>
        </w:tc>
        <w:tc>
          <w:tcPr>
            <w:tcW w:w="3095" w:type="pct"/>
            <w:hideMark/>
          </w:tcPr>
          <w:p w14:paraId="6C935B2A"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Valašský fleret, 40. ročník</w:t>
            </w:r>
          </w:p>
        </w:tc>
      </w:tr>
      <w:tr w:rsidR="00047BE4" w:rsidRPr="004307FB" w14:paraId="1D535E0E"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39D718A3"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Taneční klub FORTUNA Zlín z.s.</w:t>
            </w:r>
          </w:p>
        </w:tc>
        <w:tc>
          <w:tcPr>
            <w:tcW w:w="3095" w:type="pct"/>
            <w:hideMark/>
          </w:tcPr>
          <w:p w14:paraId="0BD8F59E"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O pohár hejtmana ZK a primátora MZ-Zl. Taneční festival s Galavečerem</w:t>
            </w:r>
          </w:p>
        </w:tc>
      </w:tr>
      <w:tr w:rsidR="00047BE4" w:rsidRPr="004307FB" w14:paraId="10B12AA3" w14:textId="77777777" w:rsidTr="00685240">
        <w:trPr>
          <w:trHeight w:val="20"/>
        </w:trPr>
        <w:tc>
          <w:tcPr>
            <w:tcW w:w="1905" w:type="pct"/>
            <w:vMerge/>
            <w:hideMark/>
          </w:tcPr>
          <w:p w14:paraId="224C06A5"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59A7AD53"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MČR v tanečním sportu v latinskoamerických tancích</w:t>
            </w:r>
          </w:p>
        </w:tc>
      </w:tr>
      <w:tr w:rsidR="00047BE4" w:rsidRPr="004307FB" w14:paraId="1CBB4F52"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77BD6EC0"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394EBD27"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Vánoční cena FORTUNY 2019 s GALAVEČEREM</w:t>
            </w:r>
          </w:p>
        </w:tc>
      </w:tr>
      <w:tr w:rsidR="00047BE4" w:rsidRPr="004307FB" w14:paraId="5D14B302" w14:textId="77777777" w:rsidTr="00685240">
        <w:trPr>
          <w:trHeight w:val="20"/>
        </w:trPr>
        <w:tc>
          <w:tcPr>
            <w:tcW w:w="1905" w:type="pct"/>
            <w:hideMark/>
          </w:tcPr>
          <w:p w14:paraId="58DEC192"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Tělocvičná jednota Sokol Zlín - Prštné</w:t>
            </w:r>
          </w:p>
        </w:tc>
        <w:tc>
          <w:tcPr>
            <w:tcW w:w="3095" w:type="pct"/>
            <w:hideMark/>
          </w:tcPr>
          <w:p w14:paraId="74B4F47F"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Český pohár v krasojízdě žáků a juniorů</w:t>
            </w:r>
          </w:p>
        </w:tc>
      </w:tr>
      <w:tr w:rsidR="00047BE4" w:rsidRPr="004307FB" w14:paraId="13757380"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val="restart"/>
            <w:noWrap/>
            <w:hideMark/>
          </w:tcPr>
          <w:p w14:paraId="7E242BC4"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Tenisový klub Zlín, z.s.</w:t>
            </w:r>
          </w:p>
        </w:tc>
        <w:tc>
          <w:tcPr>
            <w:tcW w:w="3095" w:type="pct"/>
            <w:hideMark/>
          </w:tcPr>
          <w:p w14:paraId="4CAFE873"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Tenisový turnaj ČTS třídy A, kategorie dorost</w:t>
            </w:r>
          </w:p>
        </w:tc>
      </w:tr>
      <w:tr w:rsidR="00047BE4" w:rsidRPr="004307FB" w14:paraId="3CE0FAE5" w14:textId="77777777" w:rsidTr="00685240">
        <w:trPr>
          <w:trHeight w:val="20"/>
        </w:trPr>
        <w:tc>
          <w:tcPr>
            <w:tcW w:w="1905" w:type="pct"/>
            <w:vMerge/>
            <w:hideMark/>
          </w:tcPr>
          <w:p w14:paraId="1BDCA24F"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7A4B7C00" w14:textId="40A7D913"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Mezinárodní tenisový turnaj dět</w:t>
            </w:r>
            <w:r w:rsidR="006973FF">
              <w:rPr>
                <w:rFonts w:ascii="Calibri" w:eastAsia="Times New Roman" w:hAnsi="Calibri" w:cs="Calibri"/>
                <w:sz w:val="18"/>
                <w:szCs w:val="18"/>
                <w:lang w:eastAsia="cs-CZ"/>
              </w:rPr>
              <w:t>í</w:t>
            </w:r>
            <w:r w:rsidRPr="004307FB">
              <w:rPr>
                <w:rFonts w:ascii="Calibri" w:eastAsia="Times New Roman" w:hAnsi="Calibri" w:cs="Calibri"/>
                <w:sz w:val="18"/>
                <w:szCs w:val="18"/>
                <w:lang w:eastAsia="cs-CZ"/>
              </w:rPr>
              <w:t xml:space="preserve"> do 12 let, CUP 2019</w:t>
            </w:r>
          </w:p>
        </w:tc>
      </w:tr>
      <w:tr w:rsidR="00047BE4" w:rsidRPr="004307FB" w14:paraId="5D1AB9C6"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noWrap/>
            <w:hideMark/>
          </w:tcPr>
          <w:p w14:paraId="1E05F670"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TITAN sport club</w:t>
            </w:r>
          </w:p>
        </w:tc>
        <w:tc>
          <w:tcPr>
            <w:tcW w:w="3095" w:type="pct"/>
            <w:hideMark/>
          </w:tcPr>
          <w:p w14:paraId="65CBF8F5"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Supersprint Triatlon Zlín 2019</w:t>
            </w:r>
          </w:p>
        </w:tc>
      </w:tr>
      <w:tr w:rsidR="00047BE4" w:rsidRPr="004307FB" w14:paraId="2F0215A5" w14:textId="77777777" w:rsidTr="00685240">
        <w:trPr>
          <w:trHeight w:val="20"/>
        </w:trPr>
        <w:tc>
          <w:tcPr>
            <w:tcW w:w="1905" w:type="pct"/>
            <w:vMerge w:val="restart"/>
            <w:noWrap/>
            <w:hideMark/>
          </w:tcPr>
          <w:p w14:paraId="6555DAE9"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Volejbalový sportovní klub Zlín, z.s.</w:t>
            </w:r>
          </w:p>
        </w:tc>
        <w:tc>
          <w:tcPr>
            <w:tcW w:w="3095" w:type="pct"/>
            <w:hideMark/>
          </w:tcPr>
          <w:p w14:paraId="29BC11C2"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Volejbalový turnaj dětí v minivolejbale</w:t>
            </w:r>
          </w:p>
        </w:tc>
      </w:tr>
      <w:tr w:rsidR="00047BE4" w:rsidRPr="004307FB" w14:paraId="6D26A83F"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7E05306E"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281FF5D5"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Republikový turnaj kadetů ve volejbale</w:t>
            </w:r>
          </w:p>
        </w:tc>
      </w:tr>
      <w:tr w:rsidR="00047BE4" w:rsidRPr="004307FB" w14:paraId="1BBB4968" w14:textId="77777777" w:rsidTr="00685240">
        <w:trPr>
          <w:trHeight w:val="20"/>
        </w:trPr>
        <w:tc>
          <w:tcPr>
            <w:tcW w:w="1905" w:type="pct"/>
            <w:vMerge/>
            <w:hideMark/>
          </w:tcPr>
          <w:p w14:paraId="7F1157BE"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576012BA"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Republikový turnaj juniorů ve volejbale</w:t>
            </w:r>
          </w:p>
        </w:tc>
      </w:tr>
      <w:tr w:rsidR="00047BE4" w:rsidRPr="004307FB" w14:paraId="30E3A4F3"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7AFBDA78" w14:textId="77777777" w:rsidR="00047BE4" w:rsidRPr="004307FB" w:rsidRDefault="00047BE4" w:rsidP="00047BE4">
            <w:pPr>
              <w:spacing w:before="0"/>
              <w:jc w:val="left"/>
              <w:rPr>
                <w:rFonts w:ascii="Calibri" w:eastAsia="Times New Roman" w:hAnsi="Calibri" w:cs="Calibri"/>
                <w:bCs/>
                <w:sz w:val="18"/>
                <w:szCs w:val="18"/>
                <w:lang w:eastAsia="cs-CZ"/>
              </w:rPr>
            </w:pPr>
          </w:p>
        </w:tc>
        <w:tc>
          <w:tcPr>
            <w:tcW w:w="3095" w:type="pct"/>
            <w:hideMark/>
          </w:tcPr>
          <w:p w14:paraId="2AF91692"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Mezinárodní turnaj ve volejbale mužů - Zlíncup 2019</w:t>
            </w:r>
          </w:p>
        </w:tc>
      </w:tr>
      <w:tr w:rsidR="00047BE4" w:rsidRPr="004307FB" w14:paraId="33374A0F" w14:textId="77777777" w:rsidTr="00685240">
        <w:trPr>
          <w:trHeight w:val="20"/>
        </w:trPr>
        <w:tc>
          <w:tcPr>
            <w:tcW w:w="1905" w:type="pct"/>
            <w:noWrap/>
            <w:hideMark/>
          </w:tcPr>
          <w:p w14:paraId="283BC3D0"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Zlínské aplikované sporty, z.s.</w:t>
            </w:r>
          </w:p>
        </w:tc>
        <w:tc>
          <w:tcPr>
            <w:tcW w:w="3095" w:type="pct"/>
            <w:hideMark/>
          </w:tcPr>
          <w:p w14:paraId="17D3CB9F"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LAPP CUP Zlín 2019</w:t>
            </w:r>
          </w:p>
        </w:tc>
      </w:tr>
      <w:tr w:rsidR="00047BE4" w:rsidRPr="004307FB" w14:paraId="6D9C3D21"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noWrap/>
            <w:hideMark/>
          </w:tcPr>
          <w:p w14:paraId="6B20FD3C" w14:textId="77777777" w:rsidR="00047BE4" w:rsidRPr="004307FB" w:rsidRDefault="00047BE4" w:rsidP="00047BE4">
            <w:pPr>
              <w:spacing w:before="0"/>
              <w:jc w:val="left"/>
              <w:rPr>
                <w:rFonts w:ascii="Calibri" w:eastAsia="Times New Roman" w:hAnsi="Calibri" w:cs="Calibri"/>
                <w:bCs/>
                <w:sz w:val="18"/>
                <w:szCs w:val="18"/>
                <w:lang w:eastAsia="cs-CZ"/>
              </w:rPr>
            </w:pPr>
            <w:r w:rsidRPr="004307FB">
              <w:rPr>
                <w:rFonts w:ascii="Calibri" w:eastAsia="Times New Roman" w:hAnsi="Calibri" w:cs="Calibri"/>
                <w:bCs/>
                <w:sz w:val="18"/>
                <w:szCs w:val="18"/>
                <w:lang w:eastAsia="cs-CZ"/>
              </w:rPr>
              <w:t>Zlínský krajský svaz ČSOS</w:t>
            </w:r>
          </w:p>
        </w:tc>
        <w:tc>
          <w:tcPr>
            <w:tcW w:w="3095" w:type="pct"/>
            <w:hideMark/>
          </w:tcPr>
          <w:p w14:paraId="6B9FD431"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Krajské finále přeboru škol v orientačním běhu</w:t>
            </w:r>
          </w:p>
        </w:tc>
      </w:tr>
      <w:tr w:rsidR="00047BE4" w:rsidRPr="004307FB" w14:paraId="226705D8" w14:textId="77777777" w:rsidTr="00685240">
        <w:trPr>
          <w:trHeight w:val="20"/>
        </w:trPr>
        <w:tc>
          <w:tcPr>
            <w:tcW w:w="1905" w:type="pct"/>
            <w:vMerge w:val="restart"/>
            <w:noWrap/>
            <w:hideMark/>
          </w:tcPr>
          <w:p w14:paraId="1DE21965" w14:textId="77777777" w:rsidR="00047BE4" w:rsidRPr="00753061" w:rsidRDefault="00047BE4" w:rsidP="00047BE4">
            <w:pPr>
              <w:spacing w:before="0"/>
              <w:jc w:val="left"/>
              <w:rPr>
                <w:rFonts w:ascii="Calibri" w:eastAsia="Times New Roman" w:hAnsi="Calibri" w:cs="Calibri"/>
                <w:bCs/>
                <w:sz w:val="18"/>
                <w:szCs w:val="18"/>
                <w:lang w:eastAsia="cs-CZ"/>
              </w:rPr>
            </w:pPr>
            <w:r w:rsidRPr="00753061">
              <w:rPr>
                <w:rFonts w:ascii="Calibri" w:eastAsia="Times New Roman" w:hAnsi="Calibri" w:cs="Calibri"/>
                <w:bCs/>
                <w:sz w:val="18"/>
                <w:szCs w:val="18"/>
                <w:lang w:eastAsia="cs-CZ"/>
              </w:rPr>
              <w:t>Zlínský plavecký klub, z.s.</w:t>
            </w:r>
          </w:p>
        </w:tc>
        <w:tc>
          <w:tcPr>
            <w:tcW w:w="3095" w:type="pct"/>
            <w:hideMark/>
          </w:tcPr>
          <w:p w14:paraId="05F4FBA8" w14:textId="3345545E" w:rsidR="00047BE4" w:rsidRPr="004307FB" w:rsidRDefault="00047BE4" w:rsidP="006973FF">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Přebor ZPK - zimní část (pro děti 1.</w:t>
            </w:r>
            <w:r w:rsidR="006973FF">
              <w:rPr>
                <w:rFonts w:ascii="Calibri" w:eastAsia="Times New Roman" w:hAnsi="Calibri" w:cs="Calibri"/>
                <w:sz w:val="18"/>
                <w:szCs w:val="18"/>
                <w:lang w:eastAsia="cs-CZ"/>
              </w:rPr>
              <w:t xml:space="preserve"> </w:t>
            </w:r>
            <w:r w:rsidR="006973FF">
              <w:rPr>
                <w:rFonts w:ascii="Calibri" w:eastAsia="Times New Roman" w:hAnsi="Calibri" w:cs="Calibri"/>
                <w:sz w:val="18"/>
                <w:szCs w:val="18"/>
                <w:lang w:eastAsia="cs-CZ"/>
              </w:rPr>
              <w:sym w:font="Symbol" w:char="F02D"/>
            </w:r>
            <w:r w:rsidR="006973FF">
              <w:rPr>
                <w:rFonts w:ascii="Calibri" w:eastAsia="Times New Roman" w:hAnsi="Calibri" w:cs="Calibri"/>
                <w:sz w:val="18"/>
                <w:szCs w:val="18"/>
                <w:lang w:eastAsia="cs-CZ"/>
              </w:rPr>
              <w:t xml:space="preserve"> </w:t>
            </w:r>
            <w:r w:rsidR="0064598B">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9.</w:t>
            </w:r>
            <w:r w:rsidR="0064598B">
              <w:rPr>
                <w:rFonts w:ascii="Calibri" w:eastAsia="Times New Roman" w:hAnsi="Calibri" w:cs="Calibri"/>
                <w:sz w:val="18"/>
                <w:szCs w:val="18"/>
                <w:lang w:eastAsia="cs-CZ"/>
              </w:rPr>
              <w:t xml:space="preserve"> </w:t>
            </w:r>
            <w:r w:rsidRPr="004307FB">
              <w:rPr>
                <w:rFonts w:ascii="Calibri" w:eastAsia="Times New Roman" w:hAnsi="Calibri" w:cs="Calibri"/>
                <w:sz w:val="18"/>
                <w:szCs w:val="18"/>
                <w:lang w:eastAsia="cs-CZ"/>
              </w:rPr>
              <w:t>ročníků ZŠ)</w:t>
            </w:r>
          </w:p>
        </w:tc>
      </w:tr>
      <w:tr w:rsidR="00047BE4" w:rsidRPr="004307FB" w14:paraId="3CFFAEFC" w14:textId="77777777" w:rsidTr="00685240">
        <w:trPr>
          <w:cnfStyle w:val="000000100000" w:firstRow="0" w:lastRow="0" w:firstColumn="0" w:lastColumn="0" w:oddVBand="0" w:evenVBand="0" w:oddHBand="1" w:evenHBand="0" w:firstRowFirstColumn="0" w:firstRowLastColumn="0" w:lastRowFirstColumn="0" w:lastRowLastColumn="0"/>
          <w:trHeight w:val="20"/>
        </w:trPr>
        <w:tc>
          <w:tcPr>
            <w:tcW w:w="1905" w:type="pct"/>
            <w:vMerge/>
            <w:hideMark/>
          </w:tcPr>
          <w:p w14:paraId="6557F094" w14:textId="77777777" w:rsidR="00047BE4" w:rsidRPr="004307FB" w:rsidRDefault="00047BE4" w:rsidP="00047BE4">
            <w:pPr>
              <w:spacing w:before="0"/>
              <w:jc w:val="left"/>
              <w:rPr>
                <w:rFonts w:ascii="Calibri" w:eastAsia="Times New Roman" w:hAnsi="Calibri" w:cs="Calibri"/>
                <w:b/>
                <w:bCs/>
                <w:sz w:val="18"/>
                <w:szCs w:val="18"/>
                <w:lang w:eastAsia="cs-CZ"/>
              </w:rPr>
            </w:pPr>
          </w:p>
        </w:tc>
        <w:tc>
          <w:tcPr>
            <w:tcW w:w="3095" w:type="pct"/>
            <w:hideMark/>
          </w:tcPr>
          <w:p w14:paraId="79B5580C" w14:textId="77777777" w:rsidR="00047BE4" w:rsidRPr="004307FB" w:rsidRDefault="00047BE4" w:rsidP="00047BE4">
            <w:pPr>
              <w:spacing w:before="0"/>
              <w:jc w:val="left"/>
              <w:rPr>
                <w:rFonts w:ascii="Calibri" w:eastAsia="Times New Roman" w:hAnsi="Calibri" w:cs="Calibri"/>
                <w:sz w:val="18"/>
                <w:szCs w:val="18"/>
                <w:lang w:eastAsia="cs-CZ"/>
              </w:rPr>
            </w:pPr>
            <w:r w:rsidRPr="004307FB">
              <w:rPr>
                <w:rFonts w:ascii="Calibri" w:eastAsia="Times New Roman" w:hAnsi="Calibri" w:cs="Calibri"/>
                <w:sz w:val="18"/>
                <w:szCs w:val="18"/>
                <w:lang w:eastAsia="cs-CZ"/>
              </w:rPr>
              <w:t>Zlínský sandál</w:t>
            </w:r>
          </w:p>
        </w:tc>
      </w:tr>
    </w:tbl>
    <w:p w14:paraId="37E8BF4E" w14:textId="0C4C5AFB" w:rsidR="00047BE4" w:rsidRDefault="00047BE4" w:rsidP="00047BE4">
      <w:pPr>
        <w:spacing w:before="60" w:after="120"/>
        <w:rPr>
          <w:i/>
          <w:sz w:val="18"/>
        </w:rPr>
      </w:pPr>
      <w:r w:rsidRPr="0072024B">
        <w:rPr>
          <w:i/>
          <w:sz w:val="18"/>
        </w:rPr>
        <w:t>Zdroj: Magistrát města Zlín</w:t>
      </w:r>
      <w:r>
        <w:rPr>
          <w:i/>
          <w:sz w:val="18"/>
        </w:rPr>
        <w:t>a</w:t>
      </w:r>
      <w:r w:rsidR="006973FF">
        <w:rPr>
          <w:i/>
          <w:sz w:val="18"/>
        </w:rPr>
        <w:t>.</w:t>
      </w:r>
    </w:p>
    <w:p w14:paraId="76FFF14B" w14:textId="77777777" w:rsidR="00047BE4" w:rsidRPr="006F4841" w:rsidRDefault="00047BE4" w:rsidP="00047BE4">
      <w:pPr>
        <w:rPr>
          <w:b/>
        </w:rPr>
      </w:pPr>
      <w:r w:rsidRPr="006F4841">
        <w:rPr>
          <w:b/>
        </w:rPr>
        <w:t>Volnočasové aktivity</w:t>
      </w:r>
    </w:p>
    <w:p w14:paraId="53D8C1E8" w14:textId="77777777" w:rsidR="00047BE4" w:rsidRDefault="00047BE4" w:rsidP="00047BE4">
      <w:r>
        <w:t>Na území města Zlín je poskytována také široká nabídka volnočasových aktivit s různorodým zaměřením, např. zájmové kroužky, setkání, besedy, příměstské a pobytové tábory aj. Aktivit se mohou účastnit děti, mládež, senioři i celé rodiny.</w:t>
      </w:r>
      <w:r w:rsidRPr="007F75BC">
        <w:t xml:space="preserve"> </w:t>
      </w:r>
      <w:r>
        <w:t xml:space="preserve">Cílovou skupinou jsou osoby všech věkových kategorií. Pro oblast podpory pro-rodinných aktivit má pak město Zlín zřízen Fond pro-rodinných aktivit. </w:t>
      </w:r>
    </w:p>
    <w:p w14:paraId="3D93BE45" w14:textId="7D9123BC" w:rsidR="00047BE4" w:rsidRDefault="00047BE4" w:rsidP="00047BE4">
      <w:r>
        <w:t>Dětská a mateřská centra a kluby pro mládež na území města vedené v rámci databáze SMZ</w:t>
      </w:r>
      <w:r>
        <w:rPr>
          <w:rStyle w:val="Znakapoznpodarou"/>
        </w:rPr>
        <w:footnoteReference w:id="32"/>
      </w:r>
      <w:r>
        <w:t xml:space="preserve"> udává tabulka</w:t>
      </w:r>
      <w:r w:rsidR="00CA267E">
        <w:t xml:space="preserve"> 1.28</w:t>
      </w:r>
      <w:r>
        <w:t>.</w:t>
      </w:r>
    </w:p>
    <w:p w14:paraId="67F72080" w14:textId="106759EF" w:rsidR="00047BE4" w:rsidRDefault="00047BE4" w:rsidP="00047BE4">
      <w:pPr>
        <w:pStyle w:val="Titulek"/>
        <w:keepNext/>
        <w:spacing w:after="60"/>
      </w:pPr>
      <w:bookmarkStart w:id="164" w:name="_Toc53037888"/>
      <w:bookmarkStart w:id="165" w:name="_Toc77074708"/>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28</w:t>
      </w:r>
      <w:r w:rsidR="00081B47">
        <w:rPr>
          <w:noProof/>
        </w:rPr>
        <w:fldChar w:fldCharType="end"/>
      </w:r>
      <w:r w:rsidR="00B67EB5">
        <w:rPr>
          <w:noProof/>
        </w:rPr>
        <w:t>:</w:t>
      </w:r>
      <w:r w:rsidRPr="007D5673">
        <w:t xml:space="preserve"> Dětská a mateřská centra a kluby pro mládež na území města vedené v rámci databáze SMZ</w:t>
      </w:r>
      <w:bookmarkEnd w:id="164"/>
      <w:bookmarkEnd w:id="165"/>
    </w:p>
    <w:tbl>
      <w:tblPr>
        <w:tblStyle w:val="Tabulkasmkou31"/>
        <w:tblW w:w="5000" w:type="pct"/>
        <w:tblLook w:val="0420" w:firstRow="1" w:lastRow="0" w:firstColumn="0" w:lastColumn="0" w:noHBand="0" w:noVBand="1"/>
      </w:tblPr>
      <w:tblGrid>
        <w:gridCol w:w="9072"/>
      </w:tblGrid>
      <w:tr w:rsidR="00047BE4" w:rsidRPr="00753061" w14:paraId="2D5243B9" w14:textId="77777777" w:rsidTr="00047BE4">
        <w:trPr>
          <w:cnfStyle w:val="100000000000" w:firstRow="1" w:lastRow="0" w:firstColumn="0" w:lastColumn="0" w:oddVBand="0" w:evenVBand="0" w:oddHBand="0" w:evenHBand="0" w:firstRowFirstColumn="0" w:firstRowLastColumn="0" w:lastRowFirstColumn="0" w:lastRowLastColumn="0"/>
        </w:trPr>
        <w:tc>
          <w:tcPr>
            <w:tcW w:w="5000" w:type="pct"/>
          </w:tcPr>
          <w:p w14:paraId="0EA6BAA0" w14:textId="77777777" w:rsidR="00047BE4" w:rsidRPr="00753061" w:rsidRDefault="00047BE4" w:rsidP="00047BE4">
            <w:pPr>
              <w:keepNext/>
              <w:spacing w:before="0"/>
              <w:jc w:val="center"/>
              <w:rPr>
                <w:sz w:val="18"/>
                <w:szCs w:val="18"/>
              </w:rPr>
            </w:pPr>
            <w:r w:rsidRPr="00753061">
              <w:rPr>
                <w:sz w:val="18"/>
                <w:szCs w:val="18"/>
              </w:rPr>
              <w:t>Název organizace</w:t>
            </w:r>
          </w:p>
        </w:tc>
      </w:tr>
      <w:tr w:rsidR="00047BE4" w:rsidRPr="00753061" w14:paraId="4B63EEC6"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47FCE181" w14:textId="77777777" w:rsidR="00047BE4" w:rsidRPr="00753061" w:rsidRDefault="00047BE4" w:rsidP="00047BE4">
            <w:pPr>
              <w:pStyle w:val="Odstavecseseznamem"/>
              <w:keepNext/>
              <w:numPr>
                <w:ilvl w:val="0"/>
                <w:numId w:val="22"/>
              </w:numPr>
              <w:spacing w:before="0"/>
              <w:ind w:left="426"/>
              <w:contextualSpacing w:val="0"/>
              <w:rPr>
                <w:sz w:val="18"/>
                <w:szCs w:val="18"/>
              </w:rPr>
            </w:pPr>
            <w:r w:rsidRPr="00753061">
              <w:rPr>
                <w:sz w:val="18"/>
                <w:szCs w:val="18"/>
              </w:rPr>
              <w:t>Aktivně životem o.p.s.</w:t>
            </w:r>
          </w:p>
        </w:tc>
      </w:tr>
      <w:tr w:rsidR="00047BE4" w:rsidRPr="00753061" w14:paraId="54DF76B8" w14:textId="77777777" w:rsidTr="00047BE4">
        <w:tc>
          <w:tcPr>
            <w:tcW w:w="5000" w:type="pct"/>
          </w:tcPr>
          <w:p w14:paraId="53CC04C2" w14:textId="77777777" w:rsidR="00047BE4" w:rsidRPr="00753061" w:rsidRDefault="00047BE4" w:rsidP="00047BE4">
            <w:pPr>
              <w:pStyle w:val="Odstavecseseznamem"/>
              <w:keepNext/>
              <w:numPr>
                <w:ilvl w:val="0"/>
                <w:numId w:val="22"/>
              </w:numPr>
              <w:spacing w:before="0"/>
              <w:ind w:left="426"/>
              <w:contextualSpacing w:val="0"/>
              <w:rPr>
                <w:sz w:val="18"/>
                <w:szCs w:val="18"/>
              </w:rPr>
            </w:pPr>
            <w:r w:rsidRPr="00753061">
              <w:rPr>
                <w:sz w:val="18"/>
                <w:szCs w:val="18"/>
              </w:rPr>
              <w:t xml:space="preserve">Beruška </w:t>
            </w:r>
          </w:p>
        </w:tc>
      </w:tr>
      <w:tr w:rsidR="00047BE4" w:rsidRPr="00753061" w14:paraId="20FFA6C8"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1BDA4E6F"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Bibi-Jane s.r.o.</w:t>
            </w:r>
          </w:p>
        </w:tc>
      </w:tr>
      <w:tr w:rsidR="00047BE4" w:rsidRPr="00753061" w14:paraId="52EE1328" w14:textId="77777777" w:rsidTr="00047BE4">
        <w:tc>
          <w:tcPr>
            <w:tcW w:w="5000" w:type="pct"/>
          </w:tcPr>
          <w:p w14:paraId="0AAE11D0"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BODY CLUB, o.s.</w:t>
            </w:r>
          </w:p>
        </w:tc>
      </w:tr>
      <w:tr w:rsidR="00047BE4" w:rsidRPr="00753061" w14:paraId="4B36AE57"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1261C106"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Centrum pro rodinu Zlín z.s</w:t>
            </w:r>
          </w:p>
        </w:tc>
      </w:tr>
      <w:tr w:rsidR="00047BE4" w:rsidRPr="00753061" w14:paraId="077414EC" w14:textId="77777777" w:rsidTr="00047BE4">
        <w:tc>
          <w:tcPr>
            <w:tcW w:w="5000" w:type="pct"/>
          </w:tcPr>
          <w:p w14:paraId="0BCB0B10"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Dětské centrum VLNKA</w:t>
            </w:r>
          </w:p>
        </w:tc>
      </w:tr>
      <w:tr w:rsidR="00047BE4" w:rsidRPr="00753061" w14:paraId="14BFA3E6"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0B534661"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Dětské sportovní centrum KOŤATA A KOCOUŘI ZLÍN z.ú.</w:t>
            </w:r>
          </w:p>
        </w:tc>
      </w:tr>
      <w:tr w:rsidR="00047BE4" w:rsidRPr="00753061" w14:paraId="5FDC0D81" w14:textId="77777777" w:rsidTr="00047BE4">
        <w:tc>
          <w:tcPr>
            <w:tcW w:w="5000" w:type="pct"/>
          </w:tcPr>
          <w:p w14:paraId="16FF6BEC"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Domino</w:t>
            </w:r>
          </w:p>
        </w:tc>
      </w:tr>
      <w:tr w:rsidR="00047BE4" w:rsidRPr="00753061" w14:paraId="2DB1C086"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17FF06BA"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Dům dětí a mládeže Astra, p.o.</w:t>
            </w:r>
          </w:p>
        </w:tc>
      </w:tr>
      <w:tr w:rsidR="00047BE4" w:rsidRPr="00753061" w14:paraId="31F21610" w14:textId="77777777" w:rsidTr="00047BE4">
        <w:tc>
          <w:tcPr>
            <w:tcW w:w="5000" w:type="pct"/>
          </w:tcPr>
          <w:p w14:paraId="17339BF0"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Family Point a Senior Point - místo pro rodinu a seniory</w:t>
            </w:r>
          </w:p>
        </w:tc>
      </w:tr>
      <w:tr w:rsidR="00047BE4" w:rsidRPr="00753061" w14:paraId="0C38D9EA"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2F452F6B"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Handicap Zlín, z.s.</w:t>
            </w:r>
          </w:p>
        </w:tc>
      </w:tr>
      <w:tr w:rsidR="00047BE4" w:rsidRPr="00753061" w14:paraId="0CB36157" w14:textId="77777777" w:rsidTr="00047BE4">
        <w:tc>
          <w:tcPr>
            <w:tcW w:w="5000" w:type="pct"/>
          </w:tcPr>
          <w:p w14:paraId="7C0CA8C4"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HEPA outdoor fitness</w:t>
            </w:r>
          </w:p>
        </w:tc>
      </w:tr>
      <w:tr w:rsidR="00047BE4" w:rsidRPr="00753061" w14:paraId="0C5EC422"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58A9FD14"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HP sport servis - centrum volného času, z.s.</w:t>
            </w:r>
          </w:p>
        </w:tc>
      </w:tr>
      <w:tr w:rsidR="00047BE4" w:rsidRPr="00753061" w14:paraId="7C1B0E1E" w14:textId="77777777" w:rsidTr="00047BE4">
        <w:tc>
          <w:tcPr>
            <w:tcW w:w="5000" w:type="pct"/>
          </w:tcPr>
          <w:p w14:paraId="2A96F3FE"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IZAP Slunečnice z.ú.</w:t>
            </w:r>
          </w:p>
        </w:tc>
      </w:tr>
      <w:tr w:rsidR="00047BE4" w:rsidRPr="00753061" w14:paraId="65A05AC7"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34F9939A"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Kamarád - Nenuda z.s.</w:t>
            </w:r>
          </w:p>
        </w:tc>
      </w:tr>
      <w:tr w:rsidR="00047BE4" w:rsidRPr="00753061" w14:paraId="24479AF2" w14:textId="77777777" w:rsidTr="00047BE4">
        <w:tc>
          <w:tcPr>
            <w:tcW w:w="5000" w:type="pct"/>
          </w:tcPr>
          <w:p w14:paraId="53C76A58"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Karamela – centrum dětské rekreace</w:t>
            </w:r>
          </w:p>
        </w:tc>
      </w:tr>
      <w:tr w:rsidR="00047BE4" w:rsidRPr="00753061" w14:paraId="0239B352"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6A0FFBBF"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KIKI klub s.r.o.</w:t>
            </w:r>
          </w:p>
        </w:tc>
      </w:tr>
      <w:tr w:rsidR="00047BE4" w:rsidRPr="00753061" w14:paraId="0C47AC3D" w14:textId="77777777" w:rsidTr="00047BE4">
        <w:tc>
          <w:tcPr>
            <w:tcW w:w="5000" w:type="pct"/>
          </w:tcPr>
          <w:p w14:paraId="7AA0F799"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Montessori Zlín - Centrum přirozeného vzdělávání pro děti</w:t>
            </w:r>
          </w:p>
        </w:tc>
      </w:tr>
      <w:tr w:rsidR="00047BE4" w:rsidRPr="00753061" w14:paraId="10C4F6F6"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34A749BF"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NEKKY baby club</w:t>
            </w:r>
          </w:p>
        </w:tc>
      </w:tr>
      <w:tr w:rsidR="00047BE4" w:rsidRPr="00753061" w14:paraId="76C8DB04" w14:textId="77777777" w:rsidTr="00047BE4">
        <w:tc>
          <w:tcPr>
            <w:tcW w:w="5000" w:type="pct"/>
          </w:tcPr>
          <w:p w14:paraId="6F42F549"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Ostrov radosti - středisko volného času vč. detašovaného pracoviště KLUB "Íčko"</w:t>
            </w:r>
          </w:p>
        </w:tc>
      </w:tr>
      <w:tr w:rsidR="00047BE4" w:rsidRPr="00753061" w14:paraId="64BF9754"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12871F11"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Přátelé harmonické výchovy, o. s. a Divadelní soubor "Studio T"</w:t>
            </w:r>
          </w:p>
        </w:tc>
      </w:tr>
      <w:tr w:rsidR="00047BE4" w:rsidRPr="00753061" w14:paraId="752A96D1" w14:textId="77777777" w:rsidTr="00047BE4">
        <w:tc>
          <w:tcPr>
            <w:tcW w:w="5000" w:type="pct"/>
          </w:tcPr>
          <w:p w14:paraId="251D6EA6"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Rodinný zábavní park Galaxie Zlín</w:t>
            </w:r>
          </w:p>
        </w:tc>
      </w:tr>
      <w:tr w:rsidR="00047BE4" w:rsidRPr="00753061" w14:paraId="64075BE1"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7DE8B8D2"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Salesiánský klub mládeže, z. s. Zlín</w:t>
            </w:r>
          </w:p>
        </w:tc>
      </w:tr>
      <w:tr w:rsidR="00047BE4" w:rsidRPr="00753061" w14:paraId="43D3850E" w14:textId="77777777" w:rsidTr="00047BE4">
        <w:tc>
          <w:tcPr>
            <w:tcW w:w="5000" w:type="pct"/>
          </w:tcPr>
          <w:p w14:paraId="095CAFDE"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Sarkander</w:t>
            </w:r>
          </w:p>
        </w:tc>
      </w:tr>
      <w:tr w:rsidR="00047BE4" w:rsidRPr="00753061" w14:paraId="4D3BE7DB"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24A446C6"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Sluníčko, volný čas dětí a mládeže</w:t>
            </w:r>
          </w:p>
        </w:tc>
      </w:tr>
      <w:tr w:rsidR="00047BE4" w:rsidRPr="00753061" w14:paraId="781E9EEE" w14:textId="77777777" w:rsidTr="00047BE4">
        <w:tc>
          <w:tcPr>
            <w:tcW w:w="5000" w:type="pct"/>
          </w:tcPr>
          <w:p w14:paraId="0E3A92CE"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SportyZlin.cz, z.s.</w:t>
            </w:r>
          </w:p>
        </w:tc>
      </w:tr>
      <w:tr w:rsidR="00047BE4" w:rsidRPr="00753061" w14:paraId="0294D1F0"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49C41635"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Školička KAČKA</w:t>
            </w:r>
          </w:p>
        </w:tc>
      </w:tr>
      <w:tr w:rsidR="00047BE4" w:rsidRPr="00753061" w14:paraId="0A79F7D2" w14:textId="77777777" w:rsidTr="00047BE4">
        <w:tc>
          <w:tcPr>
            <w:tcW w:w="5000" w:type="pct"/>
          </w:tcPr>
          <w:p w14:paraId="2246A022"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Unie Kompas</w:t>
            </w:r>
          </w:p>
        </w:tc>
      </w:tr>
      <w:tr w:rsidR="00047BE4" w:rsidRPr="00753061" w14:paraId="194AE122" w14:textId="77777777" w:rsidTr="00047BE4">
        <w:trPr>
          <w:cnfStyle w:val="000000100000" w:firstRow="0" w:lastRow="0" w:firstColumn="0" w:lastColumn="0" w:oddVBand="0" w:evenVBand="0" w:oddHBand="1" w:evenHBand="0" w:firstRowFirstColumn="0" w:firstRowLastColumn="0" w:lastRowFirstColumn="0" w:lastRowLastColumn="0"/>
        </w:trPr>
        <w:tc>
          <w:tcPr>
            <w:tcW w:w="5000" w:type="pct"/>
          </w:tcPr>
          <w:p w14:paraId="0424F801" w14:textId="77777777" w:rsidR="00047BE4" w:rsidRPr="00753061" w:rsidRDefault="00047BE4" w:rsidP="00047BE4">
            <w:pPr>
              <w:pStyle w:val="Odstavecseseznamem"/>
              <w:numPr>
                <w:ilvl w:val="0"/>
                <w:numId w:val="22"/>
              </w:numPr>
              <w:spacing w:before="0"/>
              <w:ind w:left="426"/>
              <w:contextualSpacing w:val="0"/>
              <w:rPr>
                <w:sz w:val="18"/>
                <w:szCs w:val="18"/>
              </w:rPr>
            </w:pPr>
            <w:r w:rsidRPr="00753061">
              <w:rPr>
                <w:sz w:val="18"/>
                <w:szCs w:val="18"/>
              </w:rPr>
              <w:t>Vita Sana Club, z. s.</w:t>
            </w:r>
          </w:p>
        </w:tc>
      </w:tr>
    </w:tbl>
    <w:p w14:paraId="68AB939D" w14:textId="77777777" w:rsidR="00047BE4" w:rsidRPr="007D5673" w:rsidRDefault="00047BE4" w:rsidP="00047BE4">
      <w:pPr>
        <w:spacing w:before="60"/>
        <w:rPr>
          <w:i/>
          <w:sz w:val="18"/>
        </w:rPr>
      </w:pPr>
      <w:r w:rsidRPr="007D5673">
        <w:rPr>
          <w:i/>
          <w:sz w:val="18"/>
        </w:rPr>
        <w:t>Zdroj: https://www.zlin.eu/detska-materska-centra-a-kluby-pro-mladez-cl-698.html</w:t>
      </w:r>
    </w:p>
    <w:p w14:paraId="194AEC11" w14:textId="0967BD40" w:rsidR="00047BE4" w:rsidRDefault="00047BE4" w:rsidP="00047BE4">
      <w:r>
        <w:t xml:space="preserve">Statutární město Zlín zřizuje v oblasti podpory volnočasového vyžití příspěvkovou organizaci </w:t>
      </w:r>
      <w:r w:rsidRPr="00961775">
        <w:rPr>
          <w:b/>
        </w:rPr>
        <w:t>Dům dětí a mládeže ASTRA</w:t>
      </w:r>
      <w:r>
        <w:t>, která n</w:t>
      </w:r>
      <w:r w:rsidRPr="00961775">
        <w:t>abízí řad</w:t>
      </w:r>
      <w:r>
        <w:t>u</w:t>
      </w:r>
      <w:r w:rsidRPr="00961775">
        <w:t xml:space="preserve"> zájmových kroužků, a klubů</w:t>
      </w:r>
      <w:r>
        <w:t xml:space="preserve"> v oblastech </w:t>
      </w:r>
      <w:r w:rsidRPr="00961775">
        <w:t>přírodních věd, péče o</w:t>
      </w:r>
      <w:r w:rsidR="00B67EB5">
        <w:t> </w:t>
      </w:r>
      <w:r w:rsidRPr="00961775">
        <w:t>domácí zvíř</w:t>
      </w:r>
      <w:r w:rsidR="002E0074">
        <w:t>ata</w:t>
      </w:r>
      <w:r w:rsidRPr="00961775">
        <w:t>, sport</w:t>
      </w:r>
      <w:r>
        <w:t>u</w:t>
      </w:r>
      <w:r w:rsidRPr="00961775">
        <w:t>, pobyt</w:t>
      </w:r>
      <w:r>
        <w:t>u</w:t>
      </w:r>
      <w:r w:rsidRPr="00961775">
        <w:t xml:space="preserve"> v přírodě, streetdance, sportovní</w:t>
      </w:r>
      <w:r>
        <w:t>ho a </w:t>
      </w:r>
      <w:r w:rsidRPr="00961775">
        <w:t>orientální</w:t>
      </w:r>
      <w:r>
        <w:t>ho</w:t>
      </w:r>
      <w:r w:rsidRPr="00961775">
        <w:t xml:space="preserve"> tance, hudb</w:t>
      </w:r>
      <w:r>
        <w:t>y</w:t>
      </w:r>
      <w:r w:rsidRPr="00961775">
        <w:t>, zpěv</w:t>
      </w:r>
      <w:r>
        <w:t>u, modelářství, výtvarné</w:t>
      </w:r>
      <w:r w:rsidRPr="00961775">
        <w:t>, ru</w:t>
      </w:r>
      <w:r>
        <w:t>kodělné, ekologické a environmentální výchovy</w:t>
      </w:r>
      <w:r w:rsidRPr="00961775">
        <w:t>.</w:t>
      </w:r>
      <w:r w:rsidRPr="0076154A">
        <w:t xml:space="preserve"> </w:t>
      </w:r>
      <w:r>
        <w:t xml:space="preserve">Dalším subjektem spadajícím organizačně pod SMZ je </w:t>
      </w:r>
      <w:r>
        <w:rPr>
          <w:b/>
        </w:rPr>
        <w:t>Středisko volného času – O</w:t>
      </w:r>
      <w:r w:rsidRPr="00476890">
        <w:rPr>
          <w:b/>
        </w:rPr>
        <w:t>strov</w:t>
      </w:r>
      <w:r w:rsidRPr="0076154A">
        <w:t xml:space="preserve"> </w:t>
      </w:r>
      <w:r w:rsidRPr="00476890">
        <w:rPr>
          <w:b/>
        </w:rPr>
        <w:t>radosti</w:t>
      </w:r>
      <w:r>
        <w:t>, jehož ú</w:t>
      </w:r>
      <w:r w:rsidRPr="0076154A">
        <w:t xml:space="preserve">čelem je </w:t>
      </w:r>
      <w:r>
        <w:t xml:space="preserve">poskytnutí </w:t>
      </w:r>
      <w:r w:rsidRPr="0076154A">
        <w:t>kvalitnější</w:t>
      </w:r>
      <w:r>
        <w:t>ho</w:t>
      </w:r>
      <w:r w:rsidRPr="0076154A">
        <w:t xml:space="preserve"> využití volného času </w:t>
      </w:r>
      <w:r>
        <w:t>pro (nejen) neorganizované děti</w:t>
      </w:r>
      <w:r w:rsidRPr="0076154A">
        <w:t xml:space="preserve"> a mládež, prioritně těch, kteří spadají do rizikových skupin.</w:t>
      </w:r>
      <w:r>
        <w:t xml:space="preserve"> Součástí střediska je také detašované </w:t>
      </w:r>
      <w:r w:rsidRPr="00BC3051">
        <w:t>pracoviště KLUB "Íčko"</w:t>
      </w:r>
      <w:r>
        <w:t xml:space="preserve"> </w:t>
      </w:r>
      <w:r w:rsidRPr="00BC3051">
        <w:t>umožňuj</w:t>
      </w:r>
      <w:r>
        <w:t>ící</w:t>
      </w:r>
      <w:r w:rsidRPr="00BC3051">
        <w:t xml:space="preserve"> aktivní využití volného času zdravotně postiženým dětem, mládeži i dospělým</w:t>
      </w:r>
      <w:r w:rsidR="002E0074">
        <w:t>.</w:t>
      </w:r>
    </w:p>
    <w:p w14:paraId="6A4F0F95" w14:textId="6BD3F645" w:rsidR="00047BE4" w:rsidRDefault="00047BE4" w:rsidP="00047BE4">
      <w:r>
        <w:t>Na území města se nachází také nízkoprahová zařízení</w:t>
      </w:r>
      <w:r w:rsidRPr="0076154A">
        <w:t xml:space="preserve"> </w:t>
      </w:r>
      <w:r>
        <w:t>pro děti a mládež</w:t>
      </w:r>
      <w:r w:rsidRPr="0076154A">
        <w:t xml:space="preserve"> </w:t>
      </w:r>
      <w:r w:rsidRPr="007F75BC">
        <w:rPr>
          <w:b/>
        </w:rPr>
        <w:t>T klub</w:t>
      </w:r>
      <w:r>
        <w:t xml:space="preserve"> a </w:t>
      </w:r>
      <w:r w:rsidRPr="007F75BC">
        <w:rPr>
          <w:b/>
        </w:rPr>
        <w:t xml:space="preserve">ŠLIKR </w:t>
      </w:r>
      <w:r>
        <w:t>(který je zaměřen také na</w:t>
      </w:r>
      <w:r w:rsidRPr="007F75BC">
        <w:t xml:space="preserve"> </w:t>
      </w:r>
      <w:r>
        <w:t xml:space="preserve">mladé dospělé do 26 let) fungující v rámci </w:t>
      </w:r>
      <w:r w:rsidRPr="007D5673">
        <w:rPr>
          <w:b/>
        </w:rPr>
        <w:t xml:space="preserve">Unie Kompas, z.s. </w:t>
      </w:r>
      <w:r>
        <w:t>(z</w:t>
      </w:r>
      <w:r w:rsidRPr="0076154A">
        <w:t xml:space="preserve">línská nezisková organizace provozující nízkoprahové kluby a terénní sociální práce pro děti a mládež, psychologickou poradnu a přednáškovou činnost </w:t>
      </w:r>
      <w:r>
        <w:t>atp.</w:t>
      </w:r>
      <w:r w:rsidR="002E0074">
        <w:t>).</w:t>
      </w:r>
    </w:p>
    <w:p w14:paraId="7615A4F0" w14:textId="77777777" w:rsidR="00047BE4" w:rsidRPr="002F26BB" w:rsidRDefault="00047BE4" w:rsidP="00047BE4">
      <w:pPr>
        <w:keepNext/>
        <w:rPr>
          <w:b/>
        </w:rPr>
      </w:pPr>
      <w:r w:rsidRPr="002F26BB">
        <w:rPr>
          <w:b/>
        </w:rPr>
        <w:t xml:space="preserve">Financování </w:t>
      </w:r>
      <w:r>
        <w:rPr>
          <w:b/>
        </w:rPr>
        <w:t>sportovních</w:t>
      </w:r>
      <w:r w:rsidRPr="002F26BB">
        <w:rPr>
          <w:b/>
        </w:rPr>
        <w:t xml:space="preserve"> a volnočasových aktivit</w:t>
      </w:r>
    </w:p>
    <w:p w14:paraId="376574EA" w14:textId="77777777" w:rsidR="00047BE4" w:rsidRPr="00215B2C" w:rsidRDefault="00047BE4" w:rsidP="00047BE4">
      <w:r w:rsidRPr="004E0433">
        <w:t xml:space="preserve">Pro podporu </w:t>
      </w:r>
      <w:r>
        <w:t xml:space="preserve">činností dětí a </w:t>
      </w:r>
      <w:r w:rsidRPr="00F51F73">
        <w:t>mládeže, tělovýchovy a</w:t>
      </w:r>
      <w:r>
        <w:t xml:space="preserve"> </w:t>
      </w:r>
      <w:r w:rsidRPr="00F51F73">
        <w:t>k</w:t>
      </w:r>
      <w:r>
        <w:t xml:space="preserve"> </w:t>
      </w:r>
      <w:r w:rsidRPr="00F51F73">
        <w:t>podpoře programů v oblasti sociálně patologických jevů</w:t>
      </w:r>
      <w:r>
        <w:t xml:space="preserve"> je zřízen</w:t>
      </w:r>
      <w:r w:rsidRPr="000A0F88">
        <w:t xml:space="preserve"> </w:t>
      </w:r>
      <w:r w:rsidRPr="00934A79">
        <w:rPr>
          <w:b/>
        </w:rPr>
        <w:t xml:space="preserve">Fond mládeže a tělovýchovy </w:t>
      </w:r>
      <w:r>
        <w:t xml:space="preserve">města Zlína, prostřednictvím něhož </w:t>
      </w:r>
      <w:r w:rsidRPr="00F51F73">
        <w:t>jsou podporovány zejména dětské, mládežnické a sportovní organizace a organizace zaměřené na primární prevenci sociálně patologických jevů.</w:t>
      </w:r>
      <w:r>
        <w:t xml:space="preserve"> Fond mládeže a tělovýchovy rozděluje prostředky na Program – činnost sportovních organizací, Program – sportovní akce, Program – táborové pobyty dětí a Program – mimořádné podpory.</w:t>
      </w:r>
      <w:r>
        <w:rPr>
          <w:rStyle w:val="Znakapoznpodarou"/>
        </w:rPr>
        <w:footnoteReference w:id="33"/>
      </w:r>
      <w:r>
        <w:t xml:space="preserve"> </w:t>
      </w:r>
    </w:p>
    <w:p w14:paraId="4A42F3DF" w14:textId="1E800947" w:rsidR="00047BE4" w:rsidRDefault="00047BE4" w:rsidP="00047BE4">
      <w:r w:rsidRPr="00625C9C">
        <w:lastRenderedPageBreak/>
        <w:t>Vývoj čerpání, resp. výdajů Fondu mládeže a tělovýchovy v letech 2014</w:t>
      </w:r>
      <w:r w:rsidR="00765D15">
        <w:t xml:space="preserve"> </w:t>
      </w:r>
      <w:r w:rsidR="00765D15">
        <w:sym w:font="Symbol" w:char="F02D"/>
      </w:r>
      <w:r w:rsidR="00765D15">
        <w:t xml:space="preserve"> </w:t>
      </w:r>
      <w:r w:rsidR="00E111E6">
        <w:t xml:space="preserve">2019 znázorňuje </w:t>
      </w:r>
      <w:r w:rsidRPr="00625C9C">
        <w:t>obrázek</w:t>
      </w:r>
      <w:r w:rsidR="00E111E6">
        <w:t xml:space="preserve"> 1.29</w:t>
      </w:r>
      <w:r w:rsidRPr="00625C9C">
        <w:t>. Největší finanční obnos byl z Fondu mládeže a tělovýchovy čerpán v roce 2014 (přesně 11 116</w:t>
      </w:r>
      <w:r w:rsidR="00765D15">
        <w:t> </w:t>
      </w:r>
      <w:r w:rsidRPr="00625C9C">
        <w:t>267</w:t>
      </w:r>
      <w:r w:rsidR="00765D15">
        <w:t> </w:t>
      </w:r>
      <w:r w:rsidRPr="00625C9C">
        <w:t>Kč, tj. 0,71 % celkových výdajů SMZ). Mezi léty 2014 a 2017 pak klesal rozpočet i celková výše čerpání Fondu mládeže a tělovýchovy, od roku 2018 dochází k meziročnímu nárůstu rozpočtu Fondu mládeže a tělovýchovy, z hlediska čerpání došlo k</w:t>
      </w:r>
      <w:r>
        <w:t> </w:t>
      </w:r>
      <w:r w:rsidRPr="00625C9C">
        <w:t>navýšení</w:t>
      </w:r>
      <w:r>
        <w:t xml:space="preserve"> finančního objemu</w:t>
      </w:r>
      <w:r w:rsidRPr="00625C9C">
        <w:t xml:space="preserve"> až v roce </w:t>
      </w:r>
      <w:r>
        <w:t xml:space="preserve">2019. </w:t>
      </w:r>
    </w:p>
    <w:p w14:paraId="05929B11" w14:textId="6DCE6869" w:rsidR="00047BE4" w:rsidRDefault="00047BE4" w:rsidP="00047BE4">
      <w:pPr>
        <w:pStyle w:val="Titulek"/>
        <w:keepNext/>
        <w:spacing w:after="60"/>
      </w:pPr>
      <w:bookmarkStart w:id="166" w:name="_Toc53037918"/>
      <w:bookmarkStart w:id="167" w:name="_Toc7707484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29</w:t>
      </w:r>
      <w:r w:rsidR="00804AF3">
        <w:rPr>
          <w:noProof/>
        </w:rPr>
        <w:fldChar w:fldCharType="end"/>
      </w:r>
      <w:r w:rsidR="00765D15">
        <w:rPr>
          <w:noProof/>
        </w:rPr>
        <w:t>:</w:t>
      </w:r>
      <w:r>
        <w:t xml:space="preserve"> </w:t>
      </w:r>
      <w:r w:rsidRPr="002F26BB">
        <w:t xml:space="preserve">Hospodaření </w:t>
      </w:r>
      <w:r>
        <w:t xml:space="preserve">Fondu mládeže a tělovýchovy </w:t>
      </w:r>
      <w:r w:rsidRPr="002F26BB">
        <w:t>v letech 2014</w:t>
      </w:r>
      <w:r w:rsidR="00765D15">
        <w:t xml:space="preserve"> </w:t>
      </w:r>
      <w:r w:rsidR="00765D15">
        <w:sym w:font="Symbol" w:char="F02D"/>
      </w:r>
      <w:r w:rsidR="00765D15">
        <w:t xml:space="preserve"> </w:t>
      </w:r>
      <w:r w:rsidRPr="002F26BB">
        <w:t>2019</w:t>
      </w:r>
      <w:bookmarkEnd w:id="166"/>
      <w:bookmarkEnd w:id="167"/>
    </w:p>
    <w:p w14:paraId="6453819D" w14:textId="2E5D0E3B" w:rsidR="00047BE4" w:rsidRDefault="00047BE4" w:rsidP="00047BE4">
      <w:pPr>
        <w:spacing w:before="60"/>
        <w:rPr>
          <w:i/>
          <w:sz w:val="18"/>
        </w:rPr>
      </w:pPr>
      <w:r>
        <w:rPr>
          <w:noProof/>
          <w:lang w:eastAsia="cs-CZ"/>
        </w:rPr>
        <w:drawing>
          <wp:inline distT="0" distB="0" distL="0" distR="0" wp14:anchorId="2651D076" wp14:editId="2BB70B98">
            <wp:extent cx="5773420" cy="2877820"/>
            <wp:effectExtent l="0" t="0" r="0" b="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3420" cy="2877820"/>
                    </a:xfrm>
                    <a:prstGeom prst="rect">
                      <a:avLst/>
                    </a:prstGeom>
                    <a:noFill/>
                  </pic:spPr>
                </pic:pic>
              </a:graphicData>
            </a:graphic>
          </wp:inline>
        </w:drawing>
      </w:r>
      <w:r w:rsidRPr="009D0DA6">
        <w:rPr>
          <w:i/>
          <w:sz w:val="18"/>
        </w:rPr>
        <w:t xml:space="preserve">Zdroj: </w:t>
      </w:r>
      <w:r>
        <w:rPr>
          <w:i/>
          <w:sz w:val="18"/>
        </w:rPr>
        <w:t xml:space="preserve">Rozpočet a závěrečný účet </w:t>
      </w:r>
      <w:r w:rsidR="005668E1">
        <w:rPr>
          <w:i/>
          <w:sz w:val="18"/>
        </w:rPr>
        <w:t>s</w:t>
      </w:r>
      <w:r w:rsidRPr="009D0DA6">
        <w:rPr>
          <w:i/>
          <w:sz w:val="18"/>
        </w:rPr>
        <w:t>tatutárního města Zlín</w:t>
      </w:r>
      <w:r>
        <w:rPr>
          <w:i/>
          <w:sz w:val="18"/>
        </w:rPr>
        <w:t>a</w:t>
      </w:r>
      <w:r w:rsidRPr="009D0DA6">
        <w:rPr>
          <w:i/>
          <w:sz w:val="18"/>
        </w:rPr>
        <w:t xml:space="preserve"> v jednotlivých letech</w:t>
      </w:r>
      <w:r w:rsidR="00765D15">
        <w:rPr>
          <w:i/>
          <w:sz w:val="18"/>
        </w:rPr>
        <w:t>.</w:t>
      </w:r>
    </w:p>
    <w:p w14:paraId="72A044D7" w14:textId="6E1851E3" w:rsidR="00047BE4" w:rsidRDefault="00047BE4" w:rsidP="00047BE4">
      <w:r>
        <w:t>Počet dotací na sportovní akce v roce 2020 udává tabulka</w:t>
      </w:r>
      <w:r w:rsidR="00CA267E">
        <w:t xml:space="preserve"> 1.29</w:t>
      </w:r>
      <w:r>
        <w:t>. Vliv na schvalování žádostí o </w:t>
      </w:r>
      <w:r w:rsidRPr="003F10F4">
        <w:t>dotaci a</w:t>
      </w:r>
      <w:r w:rsidR="0064598B">
        <w:t> </w:t>
      </w:r>
      <w:r w:rsidRPr="003F10F4">
        <w:t xml:space="preserve">čerpání </w:t>
      </w:r>
      <w:r>
        <w:t>Fondu mládeže a tělovýchovy</w:t>
      </w:r>
      <w:r w:rsidRPr="003F10F4">
        <w:t xml:space="preserve"> v roce 2020 </w:t>
      </w:r>
      <w:r>
        <w:t xml:space="preserve">a následnou realizaci aktivit </w:t>
      </w:r>
      <w:r w:rsidRPr="003F10F4">
        <w:t xml:space="preserve">bude mít také koronavorová krize, resp. zavedená opatření omezující pořádání </w:t>
      </w:r>
      <w:r>
        <w:t>hromadných</w:t>
      </w:r>
      <w:r w:rsidRPr="003F10F4">
        <w:t xml:space="preserve"> akcí od května 2020 (některé akce musely být přesunuty, omezeny nebo zrušeny).</w:t>
      </w:r>
    </w:p>
    <w:p w14:paraId="097DE006" w14:textId="0AAA719C" w:rsidR="00047BE4" w:rsidRDefault="00047BE4" w:rsidP="00047BE4">
      <w:pPr>
        <w:pStyle w:val="Titulek"/>
        <w:keepNext/>
        <w:spacing w:after="60"/>
      </w:pPr>
      <w:bookmarkStart w:id="168" w:name="_Toc53037889"/>
      <w:bookmarkStart w:id="169" w:name="_Toc7707470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29</w:t>
      </w:r>
      <w:r w:rsidR="00081B47">
        <w:rPr>
          <w:noProof/>
        </w:rPr>
        <w:fldChar w:fldCharType="end"/>
      </w:r>
      <w:r w:rsidR="00765D15">
        <w:rPr>
          <w:noProof/>
        </w:rPr>
        <w:t>:</w:t>
      </w:r>
      <w:r>
        <w:t xml:space="preserve"> Dotace na sportovní akce v roce 2020</w:t>
      </w:r>
      <w:bookmarkEnd w:id="168"/>
      <w:bookmarkEnd w:id="169"/>
    </w:p>
    <w:tbl>
      <w:tblPr>
        <w:tblStyle w:val="Tabulkasmkou31"/>
        <w:tblW w:w="5000" w:type="pct"/>
        <w:tblLook w:val="0420" w:firstRow="1" w:lastRow="0" w:firstColumn="0" w:lastColumn="0" w:noHBand="0" w:noVBand="1"/>
      </w:tblPr>
      <w:tblGrid>
        <w:gridCol w:w="4536"/>
        <w:gridCol w:w="4536"/>
      </w:tblGrid>
      <w:tr w:rsidR="00047BE4" w:rsidRPr="005F015B" w14:paraId="30C099C8" w14:textId="77777777" w:rsidTr="00047BE4">
        <w:trPr>
          <w:cnfStyle w:val="100000000000" w:firstRow="1" w:lastRow="0" w:firstColumn="0" w:lastColumn="0" w:oddVBand="0" w:evenVBand="0" w:oddHBand="0" w:evenHBand="0" w:firstRowFirstColumn="0" w:firstRowLastColumn="0" w:lastRowFirstColumn="0" w:lastRowLastColumn="0"/>
        </w:trPr>
        <w:tc>
          <w:tcPr>
            <w:tcW w:w="2500" w:type="pct"/>
            <w:vAlign w:val="center"/>
          </w:tcPr>
          <w:p w14:paraId="3D07F9A8" w14:textId="77777777" w:rsidR="00047BE4" w:rsidRPr="005F015B" w:rsidRDefault="00047BE4" w:rsidP="00047BE4">
            <w:pPr>
              <w:spacing w:before="0"/>
              <w:jc w:val="center"/>
              <w:rPr>
                <w:sz w:val="18"/>
              </w:rPr>
            </w:pPr>
            <w:r w:rsidRPr="005F015B">
              <w:rPr>
                <w:sz w:val="18"/>
              </w:rPr>
              <w:t>Období</w:t>
            </w:r>
          </w:p>
        </w:tc>
        <w:tc>
          <w:tcPr>
            <w:tcW w:w="2500" w:type="pct"/>
            <w:vAlign w:val="center"/>
          </w:tcPr>
          <w:p w14:paraId="760173B3" w14:textId="77777777" w:rsidR="00047BE4" w:rsidRPr="005F015B" w:rsidRDefault="00047BE4" w:rsidP="00047BE4">
            <w:pPr>
              <w:spacing w:before="0"/>
              <w:jc w:val="center"/>
              <w:rPr>
                <w:sz w:val="18"/>
              </w:rPr>
            </w:pPr>
            <w:r w:rsidRPr="005F015B">
              <w:rPr>
                <w:sz w:val="18"/>
              </w:rPr>
              <w:t>Počet dotací</w:t>
            </w:r>
          </w:p>
        </w:tc>
      </w:tr>
      <w:tr w:rsidR="00047BE4" w:rsidRPr="005F015B" w14:paraId="7F8BDF6C" w14:textId="77777777" w:rsidTr="00047BE4">
        <w:trPr>
          <w:cnfStyle w:val="000000100000" w:firstRow="0" w:lastRow="0" w:firstColumn="0" w:lastColumn="0" w:oddVBand="0" w:evenVBand="0" w:oddHBand="1" w:evenHBand="0" w:firstRowFirstColumn="0" w:firstRowLastColumn="0" w:lastRowFirstColumn="0" w:lastRowLastColumn="0"/>
        </w:trPr>
        <w:tc>
          <w:tcPr>
            <w:tcW w:w="2500" w:type="pct"/>
          </w:tcPr>
          <w:p w14:paraId="67D85BF4" w14:textId="77777777" w:rsidR="00047BE4" w:rsidRPr="005F015B" w:rsidRDefault="00047BE4" w:rsidP="00047BE4">
            <w:pPr>
              <w:spacing w:before="0"/>
              <w:rPr>
                <w:sz w:val="18"/>
              </w:rPr>
            </w:pPr>
            <w:r w:rsidRPr="005F015B">
              <w:rPr>
                <w:sz w:val="18"/>
              </w:rPr>
              <w:t>1. čtvrtletí 2020</w:t>
            </w:r>
          </w:p>
        </w:tc>
        <w:tc>
          <w:tcPr>
            <w:tcW w:w="2500" w:type="pct"/>
            <w:vAlign w:val="center"/>
          </w:tcPr>
          <w:p w14:paraId="724C98B9" w14:textId="77777777" w:rsidR="00047BE4" w:rsidRPr="005F015B" w:rsidRDefault="00047BE4" w:rsidP="00047BE4">
            <w:pPr>
              <w:spacing w:before="0"/>
              <w:jc w:val="right"/>
              <w:rPr>
                <w:sz w:val="18"/>
              </w:rPr>
            </w:pPr>
            <w:r w:rsidRPr="005F015B">
              <w:rPr>
                <w:sz w:val="18"/>
              </w:rPr>
              <w:t>9</w:t>
            </w:r>
          </w:p>
        </w:tc>
      </w:tr>
      <w:tr w:rsidR="00047BE4" w:rsidRPr="005F015B" w14:paraId="64CC13BF" w14:textId="77777777" w:rsidTr="00047BE4">
        <w:tc>
          <w:tcPr>
            <w:tcW w:w="2500" w:type="pct"/>
          </w:tcPr>
          <w:p w14:paraId="340739EE" w14:textId="77777777" w:rsidR="00047BE4" w:rsidRPr="005F015B" w:rsidRDefault="00047BE4" w:rsidP="00047BE4">
            <w:pPr>
              <w:spacing w:before="0"/>
              <w:rPr>
                <w:sz w:val="18"/>
              </w:rPr>
            </w:pPr>
            <w:r w:rsidRPr="005F015B">
              <w:rPr>
                <w:sz w:val="18"/>
              </w:rPr>
              <w:t>2. čtvrtletí 2020</w:t>
            </w:r>
          </w:p>
        </w:tc>
        <w:tc>
          <w:tcPr>
            <w:tcW w:w="2500" w:type="pct"/>
            <w:vAlign w:val="center"/>
          </w:tcPr>
          <w:p w14:paraId="14463781" w14:textId="77777777" w:rsidR="00047BE4" w:rsidRPr="005F015B" w:rsidRDefault="00047BE4" w:rsidP="00047BE4">
            <w:pPr>
              <w:spacing w:before="0"/>
              <w:jc w:val="right"/>
              <w:rPr>
                <w:sz w:val="18"/>
              </w:rPr>
            </w:pPr>
            <w:r w:rsidRPr="005F015B">
              <w:rPr>
                <w:sz w:val="18"/>
              </w:rPr>
              <w:t>27</w:t>
            </w:r>
          </w:p>
        </w:tc>
      </w:tr>
      <w:tr w:rsidR="00047BE4" w:rsidRPr="005F015B" w14:paraId="57C2E0B4" w14:textId="77777777" w:rsidTr="00047BE4">
        <w:trPr>
          <w:cnfStyle w:val="000000100000" w:firstRow="0" w:lastRow="0" w:firstColumn="0" w:lastColumn="0" w:oddVBand="0" w:evenVBand="0" w:oddHBand="1" w:evenHBand="0" w:firstRowFirstColumn="0" w:firstRowLastColumn="0" w:lastRowFirstColumn="0" w:lastRowLastColumn="0"/>
        </w:trPr>
        <w:tc>
          <w:tcPr>
            <w:tcW w:w="2500" w:type="pct"/>
          </w:tcPr>
          <w:p w14:paraId="041E75F5" w14:textId="77777777" w:rsidR="00047BE4" w:rsidRPr="005F015B" w:rsidRDefault="00047BE4" w:rsidP="00047BE4">
            <w:pPr>
              <w:spacing w:before="0"/>
              <w:rPr>
                <w:sz w:val="18"/>
              </w:rPr>
            </w:pPr>
            <w:r w:rsidRPr="005F015B">
              <w:rPr>
                <w:sz w:val="18"/>
              </w:rPr>
              <w:t>3. čtvrtletí 2020</w:t>
            </w:r>
          </w:p>
        </w:tc>
        <w:tc>
          <w:tcPr>
            <w:tcW w:w="2500" w:type="pct"/>
            <w:vAlign w:val="center"/>
          </w:tcPr>
          <w:p w14:paraId="1F9FFD3D" w14:textId="77777777" w:rsidR="00047BE4" w:rsidRPr="005F015B" w:rsidRDefault="00047BE4" w:rsidP="00047BE4">
            <w:pPr>
              <w:spacing w:before="0"/>
              <w:jc w:val="right"/>
              <w:rPr>
                <w:sz w:val="18"/>
              </w:rPr>
            </w:pPr>
            <w:r w:rsidRPr="005F015B">
              <w:rPr>
                <w:sz w:val="18"/>
              </w:rPr>
              <w:t>7</w:t>
            </w:r>
          </w:p>
        </w:tc>
      </w:tr>
      <w:tr w:rsidR="00047BE4" w:rsidRPr="005F015B" w14:paraId="21696D92" w14:textId="77777777" w:rsidTr="00047BE4">
        <w:tc>
          <w:tcPr>
            <w:tcW w:w="2500" w:type="pct"/>
          </w:tcPr>
          <w:p w14:paraId="6A334788" w14:textId="77777777" w:rsidR="00047BE4" w:rsidRPr="005F015B" w:rsidRDefault="00047BE4" w:rsidP="00047BE4">
            <w:pPr>
              <w:spacing w:before="0"/>
              <w:rPr>
                <w:sz w:val="18"/>
              </w:rPr>
            </w:pPr>
            <w:r w:rsidRPr="005F015B">
              <w:rPr>
                <w:sz w:val="18"/>
              </w:rPr>
              <w:t>4. čtvrtletí 2020</w:t>
            </w:r>
          </w:p>
        </w:tc>
        <w:tc>
          <w:tcPr>
            <w:tcW w:w="2500" w:type="pct"/>
            <w:vAlign w:val="center"/>
          </w:tcPr>
          <w:p w14:paraId="4C4C2D0F" w14:textId="77777777" w:rsidR="00047BE4" w:rsidRPr="005F015B" w:rsidRDefault="00047BE4" w:rsidP="00047BE4">
            <w:pPr>
              <w:spacing w:before="0"/>
              <w:jc w:val="right"/>
              <w:rPr>
                <w:sz w:val="18"/>
              </w:rPr>
            </w:pPr>
            <w:r w:rsidRPr="005F015B">
              <w:rPr>
                <w:sz w:val="18"/>
              </w:rPr>
              <w:t>18</w:t>
            </w:r>
          </w:p>
        </w:tc>
      </w:tr>
      <w:tr w:rsidR="00047BE4" w:rsidRPr="005F015B" w14:paraId="39BC8A46" w14:textId="77777777" w:rsidTr="00047BE4">
        <w:trPr>
          <w:cnfStyle w:val="000000100000" w:firstRow="0" w:lastRow="0" w:firstColumn="0" w:lastColumn="0" w:oddVBand="0" w:evenVBand="0" w:oddHBand="1" w:evenHBand="0" w:firstRowFirstColumn="0" w:firstRowLastColumn="0" w:lastRowFirstColumn="0" w:lastRowLastColumn="0"/>
        </w:trPr>
        <w:tc>
          <w:tcPr>
            <w:tcW w:w="2500" w:type="pct"/>
          </w:tcPr>
          <w:p w14:paraId="649D3AB3" w14:textId="77777777" w:rsidR="00047BE4" w:rsidRPr="005F015B" w:rsidRDefault="00047BE4" w:rsidP="00047BE4">
            <w:pPr>
              <w:spacing w:before="0"/>
              <w:rPr>
                <w:sz w:val="18"/>
              </w:rPr>
            </w:pPr>
            <w:r>
              <w:rPr>
                <w:sz w:val="18"/>
              </w:rPr>
              <w:t>Celkem 2020</w:t>
            </w:r>
          </w:p>
        </w:tc>
        <w:tc>
          <w:tcPr>
            <w:tcW w:w="2500" w:type="pct"/>
            <w:vAlign w:val="center"/>
          </w:tcPr>
          <w:p w14:paraId="7EE1DBDC" w14:textId="77777777" w:rsidR="00047BE4" w:rsidRPr="005F015B" w:rsidRDefault="00047BE4" w:rsidP="00047BE4">
            <w:pPr>
              <w:spacing w:before="0"/>
              <w:jc w:val="right"/>
              <w:rPr>
                <w:sz w:val="18"/>
              </w:rPr>
            </w:pPr>
            <w:r>
              <w:rPr>
                <w:sz w:val="18"/>
              </w:rPr>
              <w:t>61</w:t>
            </w:r>
          </w:p>
        </w:tc>
      </w:tr>
    </w:tbl>
    <w:p w14:paraId="111162F1" w14:textId="318B1556" w:rsidR="00047BE4" w:rsidRDefault="00047BE4" w:rsidP="00047BE4">
      <w:pPr>
        <w:spacing w:before="60"/>
        <w:rPr>
          <w:i/>
          <w:sz w:val="18"/>
        </w:rPr>
      </w:pPr>
      <w:r w:rsidRPr="009D0DA6">
        <w:rPr>
          <w:i/>
          <w:sz w:val="18"/>
        </w:rPr>
        <w:t xml:space="preserve">Zdroj: </w:t>
      </w:r>
      <w:r>
        <w:rPr>
          <w:i/>
          <w:sz w:val="18"/>
        </w:rPr>
        <w:t>SMZ, 2020</w:t>
      </w:r>
      <w:r w:rsidR="00765D15">
        <w:rPr>
          <w:i/>
          <w:sz w:val="18"/>
        </w:rPr>
        <w:t>.</w:t>
      </w:r>
    </w:p>
    <w:p w14:paraId="630D8447" w14:textId="77777777" w:rsidR="00047BE4" w:rsidRPr="00DA7C4A" w:rsidRDefault="00047BE4" w:rsidP="00047BE4">
      <w:pPr>
        <w:spacing w:before="60" w:after="120"/>
        <w:rPr>
          <w:b/>
        </w:rPr>
      </w:pPr>
      <w:r w:rsidRPr="00DA7C4A">
        <w:rPr>
          <w:b/>
        </w:rPr>
        <w:t xml:space="preserve">Výsledky anketního </w:t>
      </w:r>
      <w:r>
        <w:rPr>
          <w:b/>
        </w:rPr>
        <w:t>šetření týkající se</w:t>
      </w:r>
      <w:r w:rsidRPr="00DA7C4A">
        <w:rPr>
          <w:b/>
        </w:rPr>
        <w:t xml:space="preserve"> v oblasti sportu a </w:t>
      </w:r>
      <w:r>
        <w:rPr>
          <w:b/>
        </w:rPr>
        <w:t xml:space="preserve">volnočasového </w:t>
      </w:r>
      <w:r w:rsidRPr="00DA7C4A">
        <w:rPr>
          <w:b/>
        </w:rPr>
        <w:t>vyžití</w:t>
      </w:r>
    </w:p>
    <w:p w14:paraId="189871A2" w14:textId="77777777" w:rsidR="00047BE4" w:rsidRDefault="00047BE4" w:rsidP="00047BE4">
      <w:r>
        <w:t xml:space="preserve">V rámci anketního šetření v „žebříčku oblíbenosti“ byla oblast sportu na 15. místě a oblast volnočasových aktivit na 16. místě z 20 nejčastějších odpovědí (otázka zněla: Co se vám ve Zlíně nejvíce líbí?). </w:t>
      </w:r>
    </w:p>
    <w:p w14:paraId="2B4C2586" w14:textId="49E138C7" w:rsidR="00047BE4" w:rsidRDefault="00047BE4" w:rsidP="00047BE4">
      <w:r>
        <w:t>S nabídkou možností aktivního sportovního vyžití ve městě jsou respondenti s trvalým bydlištěm ve Zlíně spokojeni (hodnota průměrného postoje na škále 0</w:t>
      </w:r>
      <w:r w:rsidR="00E15816">
        <w:t xml:space="preserve"> </w:t>
      </w:r>
      <w:r>
        <w:noBreakHyphen/>
      </w:r>
      <w:r w:rsidR="00E15816">
        <w:t xml:space="preserve"> </w:t>
      </w:r>
      <w:r>
        <w:t xml:space="preserve">100 je 66,2), zejména respondenti ve věkové kategorii do 35 let (hodnota průměrného postoje je nad 71,1). Kladně hodnotili nabídku možností aktivního sportovního vyžití také respondenti žijící ve Zlíně bez trvalého bydliště (hodnota průměrného postoje je 72,8) i studenti UTB (hodnota průměrného postoje je 73,7). </w:t>
      </w:r>
    </w:p>
    <w:p w14:paraId="23485F12" w14:textId="5D927F51" w:rsidR="00047BE4" w:rsidRDefault="00047BE4" w:rsidP="00047BE4">
      <w:r>
        <w:t>Lidé se v anketním šetření</w:t>
      </w:r>
      <w:r w:rsidRPr="00DC4D67">
        <w:t xml:space="preserve"> </w:t>
      </w:r>
      <w:r>
        <w:t xml:space="preserve">vyjadřovali kladně také k otázce spokojenosti s nabídkou vyžití pro rodiny s dětmi, kdy v kategorii respondentů s trvalým pobytem ve Zlíně (průměrný postoj na škále 66,2) jsou nejspokojenější lidé do 35 let (průměrný postoj na škále je 72,3). Kladně hodnotili vyžití pro rodiny </w:t>
      </w:r>
      <w:r>
        <w:lastRenderedPageBreak/>
        <w:t>s dětmi také respondenti žijící ve Zlíně bez trvalého bydliště (hodnota průměrného postoje na škále je 64,0) i student</w:t>
      </w:r>
      <w:r w:rsidR="00E15816">
        <w:t>i</w:t>
      </w:r>
      <w:r>
        <w:t xml:space="preserve"> UTB (hodnota průměrného postoje je 69,9).</w:t>
      </w:r>
    </w:p>
    <w:p w14:paraId="2A7403C4" w14:textId="45AF8D39" w:rsidR="00047BE4" w:rsidRDefault="00047BE4" w:rsidP="00047BE4">
      <w:r>
        <w:t>Nabídku možností volnočasového vyžití ve městě hodnotili nejkladněji respondenti žijící ve Zlíně bez trvalého bydliště (hodnota podílu kladných odpovědí je 68,3). Naopak hodnocení respondentů s trvalým pobytem ve Zlíně byl nejnižší, přesto kladné (hodnota průměrného postoje e 61,8), více viz tabulka</w:t>
      </w:r>
      <w:r w:rsidR="00CA267E">
        <w:t xml:space="preserve"> 1.30</w:t>
      </w:r>
      <w:r>
        <w:t>.</w:t>
      </w:r>
    </w:p>
    <w:p w14:paraId="3FC141F5" w14:textId="36D93338" w:rsidR="00047BE4" w:rsidRDefault="00047BE4" w:rsidP="00047BE4">
      <w:pPr>
        <w:pStyle w:val="Titulek"/>
        <w:keepNext/>
        <w:spacing w:after="60"/>
      </w:pPr>
      <w:bookmarkStart w:id="170" w:name="_Toc53037890"/>
      <w:bookmarkStart w:id="171" w:name="_Toc7707471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30</w:t>
      </w:r>
      <w:r w:rsidR="00081B47">
        <w:rPr>
          <w:noProof/>
        </w:rPr>
        <w:fldChar w:fldCharType="end"/>
      </w:r>
      <w:r w:rsidR="00E15816">
        <w:rPr>
          <w:noProof/>
        </w:rPr>
        <w:t>:</w:t>
      </w:r>
      <w:r>
        <w:t xml:space="preserve"> </w:t>
      </w:r>
      <w:r w:rsidRPr="00223000">
        <w:t>Spokojenost s</w:t>
      </w:r>
      <w:r>
        <w:t> nabídkou možností aktivního sportovního vyžití</w:t>
      </w:r>
      <w:r w:rsidRPr="00223000">
        <w:t xml:space="preserve"> podle pohlaví, věku a u studentů UTB</w:t>
      </w:r>
      <w:bookmarkEnd w:id="170"/>
      <w:bookmarkEnd w:id="171"/>
    </w:p>
    <w:tbl>
      <w:tblPr>
        <w:tblW w:w="0" w:type="auto"/>
        <w:tblInd w:w="-5" w:type="dxa"/>
        <w:tblLayout w:type="fixed"/>
        <w:tblCellMar>
          <w:left w:w="70" w:type="dxa"/>
          <w:right w:w="70" w:type="dxa"/>
        </w:tblCellMar>
        <w:tblLook w:val="04A0" w:firstRow="1" w:lastRow="0" w:firstColumn="1" w:lastColumn="0" w:noHBand="0" w:noVBand="1"/>
      </w:tblPr>
      <w:tblGrid>
        <w:gridCol w:w="2268"/>
        <w:gridCol w:w="567"/>
        <w:gridCol w:w="567"/>
        <w:gridCol w:w="567"/>
        <w:gridCol w:w="1134"/>
        <w:gridCol w:w="709"/>
        <w:gridCol w:w="851"/>
        <w:gridCol w:w="1559"/>
        <w:gridCol w:w="845"/>
      </w:tblGrid>
      <w:tr w:rsidR="00047BE4" w:rsidRPr="001A228A" w14:paraId="4FC26AAB" w14:textId="77777777" w:rsidTr="00047BE4">
        <w:trPr>
          <w:trHeight w:val="240"/>
        </w:trPr>
        <w:tc>
          <w:tcPr>
            <w:tcW w:w="2268"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40C1FFA"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Oblast hodnocení</w:t>
            </w:r>
          </w:p>
        </w:tc>
        <w:tc>
          <w:tcPr>
            <w:tcW w:w="4395"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1033C112"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s trvalým bydlištěm ve Zlíně</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C827DC5"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žijící ve Zlíně (bez trvalého bydliště)</w:t>
            </w:r>
          </w:p>
        </w:tc>
        <w:tc>
          <w:tcPr>
            <w:tcW w:w="845"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51FCB2E"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Studenti UTB</w:t>
            </w:r>
          </w:p>
        </w:tc>
      </w:tr>
      <w:tr w:rsidR="00047BE4" w:rsidRPr="001A228A" w14:paraId="6BA1EBEB" w14:textId="77777777" w:rsidTr="00047BE4">
        <w:trPr>
          <w:trHeight w:val="24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7082FC7B"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567"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6C1CFD22" w14:textId="77777777" w:rsidR="00047BE4" w:rsidRPr="001A228A" w:rsidRDefault="00047BE4" w:rsidP="00047BE4">
            <w:pPr>
              <w:keepNext/>
              <w:ind w:left="-70" w:right="-70"/>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Celkem</w:t>
            </w:r>
          </w:p>
        </w:tc>
        <w:tc>
          <w:tcPr>
            <w:tcW w:w="1134"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2F27E455"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Pohlaví</w:t>
            </w:r>
          </w:p>
        </w:tc>
        <w:tc>
          <w:tcPr>
            <w:tcW w:w="2694"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286F68C6"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Věková kategorie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51329E1"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14:paraId="5B3A6E2F" w14:textId="77777777" w:rsidR="00047BE4" w:rsidRPr="001A228A" w:rsidRDefault="00047BE4" w:rsidP="00047BE4">
            <w:pPr>
              <w:keepNext/>
              <w:rPr>
                <w:rFonts w:ascii="Calibri" w:eastAsia="Times New Roman" w:hAnsi="Calibri" w:cs="Calibri"/>
                <w:b/>
                <w:bCs/>
                <w:color w:val="000000"/>
                <w:sz w:val="18"/>
                <w:szCs w:val="18"/>
                <w:lang w:eastAsia="cs-CZ"/>
              </w:rPr>
            </w:pPr>
          </w:p>
        </w:tc>
      </w:tr>
      <w:tr w:rsidR="00047BE4" w:rsidRPr="001A228A" w14:paraId="40A70501" w14:textId="77777777" w:rsidTr="00047BE4">
        <w:trPr>
          <w:trHeight w:val="24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3DE49753"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567" w:type="dxa"/>
            <w:vMerge/>
            <w:tcBorders>
              <w:top w:val="nil"/>
              <w:left w:val="single" w:sz="4" w:space="0" w:color="auto"/>
              <w:bottom w:val="single" w:sz="4" w:space="0" w:color="auto"/>
              <w:right w:val="single" w:sz="4" w:space="0" w:color="auto"/>
            </w:tcBorders>
            <w:vAlign w:val="center"/>
            <w:hideMark/>
          </w:tcPr>
          <w:p w14:paraId="058E15DC"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567" w:type="dxa"/>
            <w:tcBorders>
              <w:top w:val="nil"/>
              <w:left w:val="nil"/>
              <w:bottom w:val="single" w:sz="4" w:space="0" w:color="auto"/>
              <w:right w:val="single" w:sz="4" w:space="0" w:color="auto"/>
            </w:tcBorders>
            <w:shd w:val="clear" w:color="000000" w:fill="F2F2F2"/>
            <w:noWrap/>
            <w:vAlign w:val="center"/>
            <w:hideMark/>
          </w:tcPr>
          <w:p w14:paraId="36E95012"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Muž</w:t>
            </w:r>
          </w:p>
        </w:tc>
        <w:tc>
          <w:tcPr>
            <w:tcW w:w="567" w:type="dxa"/>
            <w:tcBorders>
              <w:top w:val="nil"/>
              <w:left w:val="nil"/>
              <w:bottom w:val="single" w:sz="4" w:space="0" w:color="auto"/>
              <w:right w:val="single" w:sz="4" w:space="0" w:color="auto"/>
            </w:tcBorders>
            <w:shd w:val="clear" w:color="000000" w:fill="F2F2F2"/>
            <w:noWrap/>
            <w:vAlign w:val="center"/>
            <w:hideMark/>
          </w:tcPr>
          <w:p w14:paraId="2FB19064"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Žena</w:t>
            </w:r>
          </w:p>
        </w:tc>
        <w:tc>
          <w:tcPr>
            <w:tcW w:w="1134" w:type="dxa"/>
            <w:tcBorders>
              <w:top w:val="nil"/>
              <w:left w:val="nil"/>
              <w:bottom w:val="single" w:sz="4" w:space="0" w:color="auto"/>
              <w:right w:val="single" w:sz="4" w:space="0" w:color="auto"/>
            </w:tcBorders>
            <w:shd w:val="clear" w:color="000000" w:fill="F2F2F2"/>
            <w:noWrap/>
            <w:vAlign w:val="center"/>
            <w:hideMark/>
          </w:tcPr>
          <w:p w14:paraId="49FD1B9A"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méně než 35</w:t>
            </w:r>
          </w:p>
        </w:tc>
        <w:tc>
          <w:tcPr>
            <w:tcW w:w="709" w:type="dxa"/>
            <w:tcBorders>
              <w:top w:val="nil"/>
              <w:left w:val="nil"/>
              <w:bottom w:val="single" w:sz="4" w:space="0" w:color="auto"/>
              <w:right w:val="single" w:sz="4" w:space="0" w:color="auto"/>
            </w:tcBorders>
            <w:shd w:val="clear" w:color="000000" w:fill="F2F2F2"/>
            <w:noWrap/>
            <w:vAlign w:val="center"/>
            <w:hideMark/>
          </w:tcPr>
          <w:p w14:paraId="0E18C388"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35 - 64</w:t>
            </w:r>
          </w:p>
        </w:tc>
        <w:tc>
          <w:tcPr>
            <w:tcW w:w="851" w:type="dxa"/>
            <w:tcBorders>
              <w:top w:val="nil"/>
              <w:left w:val="nil"/>
              <w:bottom w:val="single" w:sz="4" w:space="0" w:color="auto"/>
              <w:right w:val="single" w:sz="4" w:space="0" w:color="auto"/>
            </w:tcBorders>
            <w:shd w:val="clear" w:color="000000" w:fill="F2F2F2"/>
            <w:noWrap/>
            <w:vAlign w:val="center"/>
            <w:hideMark/>
          </w:tcPr>
          <w:p w14:paraId="6711F10D" w14:textId="77777777" w:rsidR="00047BE4" w:rsidRPr="001A228A" w:rsidRDefault="00047BE4" w:rsidP="00047BE4">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65 a více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65965DA" w14:textId="77777777" w:rsidR="00047BE4" w:rsidRPr="001A228A" w:rsidRDefault="00047BE4" w:rsidP="00047BE4">
            <w:pPr>
              <w:keepNext/>
              <w:rPr>
                <w:rFonts w:ascii="Calibri" w:eastAsia="Times New Roman" w:hAnsi="Calibri" w:cs="Calibri"/>
                <w:b/>
                <w:bCs/>
                <w:color w:val="000000"/>
                <w:sz w:val="18"/>
                <w:szCs w:val="18"/>
                <w:lang w:eastAsia="cs-CZ"/>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14:paraId="1EA525C7" w14:textId="77777777" w:rsidR="00047BE4" w:rsidRPr="001A228A" w:rsidRDefault="00047BE4" w:rsidP="00047BE4">
            <w:pPr>
              <w:keepNext/>
              <w:rPr>
                <w:rFonts w:ascii="Calibri" w:eastAsia="Times New Roman" w:hAnsi="Calibri" w:cs="Calibri"/>
                <w:b/>
                <w:bCs/>
                <w:color w:val="000000"/>
                <w:sz w:val="18"/>
                <w:szCs w:val="18"/>
                <w:lang w:eastAsia="cs-CZ"/>
              </w:rPr>
            </w:pPr>
          </w:p>
        </w:tc>
      </w:tr>
      <w:tr w:rsidR="00047BE4" w:rsidRPr="001A228A" w14:paraId="4D6F8FCE" w14:textId="77777777" w:rsidTr="00047BE4">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277DCAA" w14:textId="77777777" w:rsidR="00047BE4" w:rsidRPr="001A228A" w:rsidRDefault="00047BE4" w:rsidP="00047BE4">
            <w:pPr>
              <w:keepNext/>
              <w:rPr>
                <w:rFonts w:ascii="Calibri" w:eastAsia="Times New Roman" w:hAnsi="Calibri" w:cs="Calibri"/>
                <w:color w:val="000000"/>
                <w:sz w:val="18"/>
                <w:szCs w:val="18"/>
                <w:lang w:eastAsia="cs-CZ"/>
              </w:rPr>
            </w:pPr>
            <w:r>
              <w:rPr>
                <w:rFonts w:ascii="Calibri" w:hAnsi="Calibri" w:cs="Calibri"/>
                <w:color w:val="000000"/>
                <w:sz w:val="18"/>
                <w:szCs w:val="18"/>
              </w:rPr>
              <w:t>Nabídka možností aktivního sportovního vyžití</w:t>
            </w:r>
          </w:p>
        </w:tc>
        <w:tc>
          <w:tcPr>
            <w:tcW w:w="567" w:type="dxa"/>
            <w:tcBorders>
              <w:top w:val="single" w:sz="4" w:space="0" w:color="auto"/>
              <w:left w:val="single" w:sz="4" w:space="0" w:color="auto"/>
              <w:bottom w:val="single" w:sz="4" w:space="0" w:color="auto"/>
              <w:right w:val="single" w:sz="4" w:space="0" w:color="auto"/>
            </w:tcBorders>
            <w:shd w:val="clear" w:color="000000" w:fill="FCDADC"/>
            <w:noWrap/>
            <w:hideMark/>
          </w:tcPr>
          <w:p w14:paraId="2B5955C7"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66,2</w:t>
            </w:r>
          </w:p>
        </w:tc>
        <w:tc>
          <w:tcPr>
            <w:tcW w:w="567" w:type="dxa"/>
            <w:tcBorders>
              <w:top w:val="single" w:sz="4" w:space="0" w:color="auto"/>
              <w:left w:val="single" w:sz="4" w:space="0" w:color="auto"/>
              <w:bottom w:val="single" w:sz="4" w:space="0" w:color="auto"/>
              <w:right w:val="single" w:sz="4" w:space="0" w:color="auto"/>
            </w:tcBorders>
            <w:shd w:val="clear" w:color="000000" w:fill="FBCFD2"/>
            <w:noWrap/>
            <w:hideMark/>
          </w:tcPr>
          <w:p w14:paraId="1D3C7BFA"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67,4</w:t>
            </w:r>
          </w:p>
        </w:tc>
        <w:tc>
          <w:tcPr>
            <w:tcW w:w="567" w:type="dxa"/>
            <w:tcBorders>
              <w:top w:val="single" w:sz="4" w:space="0" w:color="auto"/>
              <w:left w:val="single" w:sz="4" w:space="0" w:color="auto"/>
              <w:bottom w:val="single" w:sz="4" w:space="0" w:color="auto"/>
              <w:right w:val="single" w:sz="4" w:space="0" w:color="auto"/>
            </w:tcBorders>
            <w:shd w:val="clear" w:color="000000" w:fill="FCE4E7"/>
            <w:noWrap/>
            <w:hideMark/>
          </w:tcPr>
          <w:p w14:paraId="346CE0A4"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65,2</w:t>
            </w:r>
          </w:p>
        </w:tc>
        <w:tc>
          <w:tcPr>
            <w:tcW w:w="1134" w:type="dxa"/>
            <w:tcBorders>
              <w:top w:val="single" w:sz="4" w:space="0" w:color="auto"/>
              <w:left w:val="single" w:sz="4" w:space="0" w:color="auto"/>
              <w:bottom w:val="single" w:sz="4" w:space="0" w:color="auto"/>
              <w:right w:val="single" w:sz="4" w:space="0" w:color="auto"/>
            </w:tcBorders>
            <w:shd w:val="clear" w:color="000000" w:fill="FAACAF"/>
            <w:noWrap/>
            <w:hideMark/>
          </w:tcPr>
          <w:p w14:paraId="4FF2BD9B"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71,1</w:t>
            </w:r>
          </w:p>
        </w:tc>
        <w:tc>
          <w:tcPr>
            <w:tcW w:w="709" w:type="dxa"/>
            <w:tcBorders>
              <w:top w:val="single" w:sz="4" w:space="0" w:color="auto"/>
              <w:left w:val="single" w:sz="4" w:space="0" w:color="auto"/>
              <w:bottom w:val="single" w:sz="4" w:space="0" w:color="auto"/>
              <w:right w:val="single" w:sz="4" w:space="0" w:color="auto"/>
            </w:tcBorders>
            <w:shd w:val="clear" w:color="000000" w:fill="FCE4E7"/>
            <w:noWrap/>
            <w:hideMark/>
          </w:tcPr>
          <w:p w14:paraId="2E60CED5"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65,1</w:t>
            </w:r>
          </w:p>
        </w:tc>
        <w:tc>
          <w:tcPr>
            <w:tcW w:w="851" w:type="dxa"/>
            <w:tcBorders>
              <w:top w:val="single" w:sz="4" w:space="0" w:color="auto"/>
              <w:left w:val="single" w:sz="4" w:space="0" w:color="auto"/>
              <w:bottom w:val="single" w:sz="4" w:space="0" w:color="auto"/>
              <w:right w:val="single" w:sz="4" w:space="0" w:color="auto"/>
            </w:tcBorders>
            <w:shd w:val="clear" w:color="000000" w:fill="FCF5F8"/>
            <w:noWrap/>
            <w:hideMark/>
          </w:tcPr>
          <w:p w14:paraId="52EB8DF4"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63,3</w:t>
            </w:r>
          </w:p>
        </w:tc>
        <w:tc>
          <w:tcPr>
            <w:tcW w:w="1559" w:type="dxa"/>
            <w:tcBorders>
              <w:top w:val="single" w:sz="4" w:space="0" w:color="auto"/>
              <w:left w:val="single" w:sz="4" w:space="0" w:color="auto"/>
              <w:bottom w:val="single" w:sz="4" w:space="0" w:color="auto"/>
              <w:right w:val="single" w:sz="4" w:space="0" w:color="auto"/>
            </w:tcBorders>
            <w:shd w:val="clear" w:color="000000" w:fill="FA9C9F"/>
            <w:noWrap/>
            <w:hideMark/>
          </w:tcPr>
          <w:p w14:paraId="31B1BBE8"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72,8</w:t>
            </w:r>
          </w:p>
        </w:tc>
        <w:tc>
          <w:tcPr>
            <w:tcW w:w="845" w:type="dxa"/>
            <w:tcBorders>
              <w:top w:val="single" w:sz="4" w:space="0" w:color="auto"/>
              <w:left w:val="single" w:sz="4" w:space="0" w:color="auto"/>
              <w:bottom w:val="single" w:sz="4" w:space="0" w:color="auto"/>
              <w:right w:val="single" w:sz="4" w:space="0" w:color="auto"/>
            </w:tcBorders>
            <w:shd w:val="clear" w:color="000000" w:fill="FA9396"/>
            <w:noWrap/>
            <w:hideMark/>
          </w:tcPr>
          <w:p w14:paraId="0A828D33"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73,7</w:t>
            </w:r>
          </w:p>
        </w:tc>
      </w:tr>
      <w:tr w:rsidR="00047BE4" w:rsidRPr="001A228A" w14:paraId="626C2726" w14:textId="77777777" w:rsidTr="00047BE4">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4BECA71B" w14:textId="020E8147" w:rsidR="00047BE4" w:rsidRPr="001A228A" w:rsidRDefault="00047BE4" w:rsidP="00E15816">
            <w:pPr>
              <w:keepNext/>
              <w:rPr>
                <w:rFonts w:ascii="Calibri" w:eastAsia="Times New Roman" w:hAnsi="Calibri" w:cs="Calibri"/>
                <w:color w:val="000000"/>
                <w:sz w:val="18"/>
                <w:szCs w:val="18"/>
                <w:lang w:eastAsia="cs-CZ"/>
              </w:rPr>
            </w:pPr>
            <w:r>
              <w:rPr>
                <w:rFonts w:ascii="Calibri" w:hAnsi="Calibri" w:cs="Calibri"/>
                <w:color w:val="000000"/>
                <w:sz w:val="18"/>
                <w:szCs w:val="18"/>
              </w:rPr>
              <w:t>Nabídka vyžití pro rodiny s</w:t>
            </w:r>
            <w:r w:rsidR="00E15816">
              <w:rPr>
                <w:rFonts w:ascii="Calibri" w:hAnsi="Calibri" w:cs="Calibri"/>
                <w:color w:val="000000"/>
                <w:sz w:val="18"/>
                <w:szCs w:val="18"/>
              </w:rPr>
              <w:t> </w:t>
            </w:r>
            <w:r>
              <w:rPr>
                <w:rFonts w:ascii="Calibri" w:hAnsi="Calibri" w:cs="Calibri"/>
                <w:color w:val="000000"/>
                <w:sz w:val="18"/>
                <w:szCs w:val="18"/>
              </w:rPr>
              <w:t>dětmi</w:t>
            </w:r>
          </w:p>
        </w:tc>
        <w:tc>
          <w:tcPr>
            <w:tcW w:w="567" w:type="dxa"/>
            <w:tcBorders>
              <w:top w:val="single" w:sz="4" w:space="0" w:color="auto"/>
              <w:left w:val="single" w:sz="4" w:space="0" w:color="auto"/>
              <w:bottom w:val="single" w:sz="4" w:space="0" w:color="auto"/>
              <w:right w:val="single" w:sz="4" w:space="0" w:color="auto"/>
            </w:tcBorders>
            <w:shd w:val="clear" w:color="000000" w:fill="FCF1F4"/>
            <w:noWrap/>
            <w:hideMark/>
          </w:tcPr>
          <w:p w14:paraId="50D38568"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63,7</w:t>
            </w:r>
          </w:p>
        </w:tc>
        <w:tc>
          <w:tcPr>
            <w:tcW w:w="567" w:type="dxa"/>
            <w:tcBorders>
              <w:top w:val="single" w:sz="4" w:space="0" w:color="auto"/>
              <w:left w:val="single" w:sz="4" w:space="0" w:color="auto"/>
              <w:bottom w:val="single" w:sz="4" w:space="0" w:color="auto"/>
              <w:right w:val="single" w:sz="4" w:space="0" w:color="auto"/>
            </w:tcBorders>
            <w:shd w:val="clear" w:color="000000" w:fill="FCF5F8"/>
            <w:noWrap/>
            <w:hideMark/>
          </w:tcPr>
          <w:p w14:paraId="5DB1D560"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63,3</w:t>
            </w:r>
          </w:p>
        </w:tc>
        <w:tc>
          <w:tcPr>
            <w:tcW w:w="567" w:type="dxa"/>
            <w:tcBorders>
              <w:top w:val="single" w:sz="4" w:space="0" w:color="auto"/>
              <w:left w:val="single" w:sz="4" w:space="0" w:color="auto"/>
              <w:bottom w:val="single" w:sz="4" w:space="0" w:color="auto"/>
              <w:right w:val="single" w:sz="4" w:space="0" w:color="auto"/>
            </w:tcBorders>
            <w:shd w:val="clear" w:color="000000" w:fill="FCEDF0"/>
            <w:noWrap/>
            <w:hideMark/>
          </w:tcPr>
          <w:p w14:paraId="0A53A19D"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64,1</w:t>
            </w:r>
          </w:p>
        </w:tc>
        <w:tc>
          <w:tcPr>
            <w:tcW w:w="1134" w:type="dxa"/>
            <w:tcBorders>
              <w:top w:val="single" w:sz="4" w:space="0" w:color="auto"/>
              <w:left w:val="single" w:sz="4" w:space="0" w:color="auto"/>
              <w:bottom w:val="single" w:sz="4" w:space="0" w:color="auto"/>
              <w:right w:val="single" w:sz="4" w:space="0" w:color="auto"/>
            </w:tcBorders>
            <w:shd w:val="clear" w:color="000000" w:fill="FAA1A4"/>
            <w:noWrap/>
            <w:hideMark/>
          </w:tcPr>
          <w:p w14:paraId="456BC06D"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72,3</w:t>
            </w:r>
          </w:p>
        </w:tc>
        <w:tc>
          <w:tcPr>
            <w:tcW w:w="709" w:type="dxa"/>
            <w:tcBorders>
              <w:top w:val="single" w:sz="4" w:space="0" w:color="auto"/>
              <w:left w:val="single" w:sz="4" w:space="0" w:color="auto"/>
              <w:bottom w:val="single" w:sz="4" w:space="0" w:color="auto"/>
              <w:right w:val="single" w:sz="4" w:space="0" w:color="auto"/>
            </w:tcBorders>
            <w:shd w:val="clear" w:color="000000" w:fill="F2F5FB"/>
            <w:noWrap/>
            <w:hideMark/>
          </w:tcPr>
          <w:p w14:paraId="51C1FEDF"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61,6</w:t>
            </w:r>
          </w:p>
        </w:tc>
        <w:tc>
          <w:tcPr>
            <w:tcW w:w="851" w:type="dxa"/>
            <w:tcBorders>
              <w:top w:val="single" w:sz="4" w:space="0" w:color="auto"/>
              <w:left w:val="single" w:sz="4" w:space="0" w:color="auto"/>
              <w:bottom w:val="single" w:sz="4" w:space="0" w:color="auto"/>
              <w:right w:val="single" w:sz="4" w:space="0" w:color="auto"/>
            </w:tcBorders>
            <w:shd w:val="clear" w:color="000000" w:fill="E8EEF8"/>
            <w:noWrap/>
            <w:hideMark/>
          </w:tcPr>
          <w:p w14:paraId="1A5B92B9"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60,6</w:t>
            </w:r>
          </w:p>
        </w:tc>
        <w:tc>
          <w:tcPr>
            <w:tcW w:w="1559" w:type="dxa"/>
            <w:tcBorders>
              <w:top w:val="single" w:sz="4" w:space="0" w:color="auto"/>
              <w:left w:val="single" w:sz="4" w:space="0" w:color="auto"/>
              <w:bottom w:val="single" w:sz="4" w:space="0" w:color="auto"/>
              <w:right w:val="single" w:sz="4" w:space="0" w:color="auto"/>
            </w:tcBorders>
            <w:shd w:val="clear" w:color="000000" w:fill="FCEFF1"/>
            <w:noWrap/>
            <w:hideMark/>
          </w:tcPr>
          <w:p w14:paraId="4618714A"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64,0</w:t>
            </w:r>
          </w:p>
        </w:tc>
        <w:tc>
          <w:tcPr>
            <w:tcW w:w="845" w:type="dxa"/>
            <w:tcBorders>
              <w:top w:val="single" w:sz="4" w:space="0" w:color="auto"/>
              <w:left w:val="single" w:sz="4" w:space="0" w:color="auto"/>
              <w:bottom w:val="single" w:sz="4" w:space="0" w:color="auto"/>
              <w:right w:val="single" w:sz="4" w:space="0" w:color="auto"/>
            </w:tcBorders>
            <w:shd w:val="clear" w:color="000000" w:fill="FBB7BA"/>
            <w:noWrap/>
            <w:hideMark/>
          </w:tcPr>
          <w:p w14:paraId="32BEF28F"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69,9</w:t>
            </w:r>
          </w:p>
        </w:tc>
      </w:tr>
      <w:tr w:rsidR="00047BE4" w:rsidRPr="001A228A" w14:paraId="6E2158B8" w14:textId="77777777" w:rsidTr="00047BE4">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A26B66B" w14:textId="77777777" w:rsidR="00047BE4" w:rsidRPr="001A228A" w:rsidRDefault="00047BE4" w:rsidP="00047BE4">
            <w:pPr>
              <w:keepNext/>
              <w:rPr>
                <w:rFonts w:ascii="Calibri" w:eastAsia="Times New Roman" w:hAnsi="Calibri" w:cs="Calibri"/>
                <w:color w:val="000000"/>
                <w:sz w:val="18"/>
                <w:szCs w:val="18"/>
                <w:lang w:eastAsia="cs-CZ"/>
              </w:rPr>
            </w:pPr>
            <w:r>
              <w:rPr>
                <w:rFonts w:ascii="Calibri" w:hAnsi="Calibri" w:cs="Calibri"/>
                <w:color w:val="000000"/>
                <w:sz w:val="18"/>
                <w:szCs w:val="18"/>
              </w:rPr>
              <w:t>Nabídka možností využití volného času</w:t>
            </w:r>
          </w:p>
        </w:tc>
        <w:tc>
          <w:tcPr>
            <w:tcW w:w="567" w:type="dxa"/>
            <w:tcBorders>
              <w:top w:val="single" w:sz="4" w:space="0" w:color="auto"/>
              <w:left w:val="single" w:sz="4" w:space="0" w:color="auto"/>
              <w:bottom w:val="single" w:sz="4" w:space="0" w:color="auto"/>
              <w:right w:val="single" w:sz="4" w:space="0" w:color="auto"/>
            </w:tcBorders>
            <w:shd w:val="clear" w:color="000000" w:fill="F5F7FC"/>
            <w:noWrap/>
            <w:hideMark/>
          </w:tcPr>
          <w:p w14:paraId="6A310A00"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61,8</w:t>
            </w:r>
          </w:p>
        </w:tc>
        <w:tc>
          <w:tcPr>
            <w:tcW w:w="567" w:type="dxa"/>
            <w:tcBorders>
              <w:top w:val="single" w:sz="4" w:space="0" w:color="auto"/>
              <w:left w:val="single" w:sz="4" w:space="0" w:color="auto"/>
              <w:bottom w:val="single" w:sz="4" w:space="0" w:color="auto"/>
              <w:right w:val="single" w:sz="4" w:space="0" w:color="auto"/>
            </w:tcBorders>
            <w:shd w:val="clear" w:color="000000" w:fill="E6EDF7"/>
            <w:noWrap/>
            <w:hideMark/>
          </w:tcPr>
          <w:p w14:paraId="765987C0"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60,4</w:t>
            </w:r>
          </w:p>
        </w:tc>
        <w:tc>
          <w:tcPr>
            <w:tcW w:w="567" w:type="dxa"/>
            <w:tcBorders>
              <w:top w:val="single" w:sz="4" w:space="0" w:color="auto"/>
              <w:left w:val="single" w:sz="4" w:space="0" w:color="auto"/>
              <w:bottom w:val="single" w:sz="4" w:space="0" w:color="auto"/>
              <w:right w:val="single" w:sz="4" w:space="0" w:color="auto"/>
            </w:tcBorders>
            <w:shd w:val="clear" w:color="000000" w:fill="FCF7FA"/>
            <w:noWrap/>
            <w:hideMark/>
          </w:tcPr>
          <w:p w14:paraId="63B9C436"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63,1</w:t>
            </w:r>
          </w:p>
        </w:tc>
        <w:tc>
          <w:tcPr>
            <w:tcW w:w="1134" w:type="dxa"/>
            <w:tcBorders>
              <w:top w:val="single" w:sz="4" w:space="0" w:color="auto"/>
              <w:left w:val="single" w:sz="4" w:space="0" w:color="auto"/>
              <w:bottom w:val="single" w:sz="4" w:space="0" w:color="auto"/>
              <w:right w:val="single" w:sz="4" w:space="0" w:color="auto"/>
            </w:tcBorders>
            <w:shd w:val="clear" w:color="000000" w:fill="FCFAFD"/>
            <w:noWrap/>
            <w:hideMark/>
          </w:tcPr>
          <w:p w14:paraId="68A9485F"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62,8</w:t>
            </w:r>
          </w:p>
        </w:tc>
        <w:tc>
          <w:tcPr>
            <w:tcW w:w="709" w:type="dxa"/>
            <w:tcBorders>
              <w:top w:val="single" w:sz="4" w:space="0" w:color="auto"/>
              <w:left w:val="single" w:sz="4" w:space="0" w:color="auto"/>
              <w:bottom w:val="single" w:sz="4" w:space="0" w:color="auto"/>
              <w:right w:val="single" w:sz="4" w:space="0" w:color="auto"/>
            </w:tcBorders>
            <w:shd w:val="clear" w:color="000000" w:fill="E9EEF8"/>
            <w:noWrap/>
            <w:hideMark/>
          </w:tcPr>
          <w:p w14:paraId="414A4EE9"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60,7</w:t>
            </w:r>
          </w:p>
        </w:tc>
        <w:tc>
          <w:tcPr>
            <w:tcW w:w="851" w:type="dxa"/>
            <w:tcBorders>
              <w:top w:val="single" w:sz="4" w:space="0" w:color="auto"/>
              <w:left w:val="single" w:sz="4" w:space="0" w:color="auto"/>
              <w:bottom w:val="single" w:sz="4" w:space="0" w:color="auto"/>
              <w:right w:val="single" w:sz="4" w:space="0" w:color="auto"/>
            </w:tcBorders>
            <w:shd w:val="clear" w:color="000000" w:fill="FCF5F8"/>
            <w:noWrap/>
            <w:hideMark/>
          </w:tcPr>
          <w:p w14:paraId="5AC217C9"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63,3</w:t>
            </w:r>
          </w:p>
        </w:tc>
        <w:tc>
          <w:tcPr>
            <w:tcW w:w="1559" w:type="dxa"/>
            <w:tcBorders>
              <w:top w:val="single" w:sz="4" w:space="0" w:color="auto"/>
              <w:left w:val="single" w:sz="4" w:space="0" w:color="auto"/>
              <w:bottom w:val="single" w:sz="4" w:space="0" w:color="auto"/>
              <w:right w:val="single" w:sz="4" w:space="0" w:color="auto"/>
            </w:tcBorders>
            <w:shd w:val="clear" w:color="000000" w:fill="FBC6C9"/>
            <w:noWrap/>
            <w:hideMark/>
          </w:tcPr>
          <w:p w14:paraId="63175D5F"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68,3</w:t>
            </w:r>
          </w:p>
        </w:tc>
        <w:tc>
          <w:tcPr>
            <w:tcW w:w="845" w:type="dxa"/>
            <w:tcBorders>
              <w:top w:val="single" w:sz="4" w:space="0" w:color="auto"/>
              <w:left w:val="single" w:sz="4" w:space="0" w:color="auto"/>
              <w:bottom w:val="single" w:sz="4" w:space="0" w:color="auto"/>
              <w:right w:val="single" w:sz="4" w:space="0" w:color="auto"/>
            </w:tcBorders>
            <w:shd w:val="clear" w:color="000000" w:fill="FCDEE1"/>
            <w:noWrap/>
            <w:hideMark/>
          </w:tcPr>
          <w:p w14:paraId="1266002C" w14:textId="7777777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65,7</w:t>
            </w:r>
          </w:p>
        </w:tc>
      </w:tr>
    </w:tbl>
    <w:p w14:paraId="105588A7" w14:textId="646B88FD" w:rsidR="00047BE4" w:rsidRDefault="00047BE4" w:rsidP="00047BE4">
      <w:pPr>
        <w:pStyle w:val="zdroj0"/>
        <w:keepNext/>
        <w:spacing w:after="0"/>
        <w:rPr>
          <w:rFonts w:asciiTheme="minorHAnsi" w:hAnsiTheme="minorHAnsi" w:cstheme="minorHAnsi"/>
        </w:rPr>
      </w:pPr>
      <w:r>
        <w:rPr>
          <w:rFonts w:asciiTheme="minorHAnsi" w:hAnsiTheme="minorHAnsi" w:cstheme="minorHAnsi"/>
        </w:rPr>
        <w:t>Zdroj: PROCES, Anketní šetření spokoj</w:t>
      </w:r>
      <w:r w:rsidR="005668E1">
        <w:rPr>
          <w:rFonts w:asciiTheme="minorHAnsi" w:hAnsiTheme="minorHAnsi" w:cstheme="minorHAnsi"/>
        </w:rPr>
        <w:t>enosti obyvatel města Zlín 2020;</w:t>
      </w:r>
      <w:r>
        <w:rPr>
          <w:rFonts w:asciiTheme="minorHAnsi" w:hAnsiTheme="minorHAnsi" w:cstheme="minorHAnsi"/>
        </w:rPr>
        <w:t xml:space="preserve"> Otázka 5.</w:t>
      </w:r>
      <w:r w:rsidR="005668E1">
        <w:rPr>
          <w:rFonts w:asciiTheme="minorHAnsi" w:hAnsiTheme="minorHAnsi" w:cstheme="minorHAnsi"/>
        </w:rPr>
        <w:t>:</w:t>
      </w:r>
      <w:r>
        <w:rPr>
          <w:rFonts w:asciiTheme="minorHAnsi" w:hAnsiTheme="minorHAnsi" w:cstheme="minorHAnsi"/>
        </w:rPr>
        <w:t xml:space="preserve"> Jak jste spokojeni s občanskou vybaveností ve Vašem městě?</w:t>
      </w:r>
      <w:r>
        <w:rPr>
          <w:rFonts w:asciiTheme="minorHAnsi" w:hAnsiTheme="minorHAnsi" w:cstheme="minorHAnsi"/>
        </w:rPr>
        <w:br/>
        <w:t>Pozn.: Průměrné hodnocení na škále 0</w:t>
      </w:r>
      <w:r w:rsidR="005668E1">
        <w:rPr>
          <w:rFonts w:asciiTheme="minorHAnsi" w:hAnsiTheme="minorHAnsi" w:cstheme="minorHAnsi"/>
        </w:rPr>
        <w:t xml:space="preserve"> </w:t>
      </w:r>
      <w:r w:rsidR="005668E1">
        <w:rPr>
          <w:rFonts w:asciiTheme="minorHAnsi" w:hAnsiTheme="minorHAnsi" w:cstheme="minorHAnsi"/>
        </w:rPr>
        <w:sym w:font="Symbol" w:char="F02D"/>
      </w:r>
      <w:r w:rsidR="005668E1">
        <w:rPr>
          <w:rFonts w:asciiTheme="minorHAnsi" w:hAnsiTheme="minorHAnsi" w:cstheme="minorHAnsi"/>
        </w:rPr>
        <w:t xml:space="preserve"> </w:t>
      </w:r>
      <w:r>
        <w:rPr>
          <w:rFonts w:asciiTheme="minorHAnsi" w:hAnsiTheme="minorHAnsi" w:cstheme="minorHAnsi"/>
        </w:rPr>
        <w:t>100 (0 velmi nespokojen</w:t>
      </w:r>
      <w:r w:rsidR="005668E1">
        <w:rPr>
          <w:rFonts w:asciiTheme="minorHAnsi" w:hAnsiTheme="minorHAnsi" w:cstheme="minorHAnsi"/>
        </w:rPr>
        <w:t>;</w:t>
      </w:r>
      <w:r>
        <w:rPr>
          <w:rFonts w:asciiTheme="minorHAnsi" w:hAnsiTheme="minorHAnsi" w:cstheme="minorHAnsi"/>
        </w:rPr>
        <w:t xml:space="preserve"> 100 velmi spokojen).</w:t>
      </w:r>
    </w:p>
    <w:p w14:paraId="3C68213F" w14:textId="27E508FE" w:rsidR="00047BE4" w:rsidRDefault="00047BE4" w:rsidP="00047BE4">
      <w:r w:rsidRPr="00DA7C4A">
        <w:t xml:space="preserve">U otázky, kde bylo zjišťováno, zda by respondenti </w:t>
      </w:r>
      <w:r>
        <w:t>uvítali ze strany města podporu rozvoje možností pro volný čas</w:t>
      </w:r>
      <w:r w:rsidR="00E15816">
        <w:t xml:space="preserve">, se kladně vyjádřilo </w:t>
      </w:r>
      <w:r>
        <w:t xml:space="preserve">24,1 % respondentů s trvalým bydlištěm ve Zlíně, zejména pak respondenti ve věkové kategorii do 35 let (32,2 %). Větší podporu rozvoje možností pro volný čas by uvítalo také 30,5 % respondentů žijících ve Zlíně bez trvalého bydliště a 31,3 % studentů UTB zapojených do anketního šetření. </w:t>
      </w:r>
    </w:p>
    <w:p w14:paraId="01D038AB" w14:textId="211B9326" w:rsidR="00047BE4" w:rsidRDefault="00047BE4" w:rsidP="00047BE4">
      <w:r>
        <w:t>Větší počet sportovních aktivit by podporovalo pouze 8,4 % respondentů s trvalým pobytem ve Zlíně, 12,1 % respondentů žijících ve Zlíně bez trvalého bydliště a 13,5 % studentů UTB. Členění odpovědí dle pohlaví věku a u studentů UTB uvádí tabulka</w:t>
      </w:r>
      <w:r w:rsidR="00CA267E">
        <w:t>1.31</w:t>
      </w:r>
      <w:r>
        <w:t xml:space="preserve">. </w:t>
      </w:r>
    </w:p>
    <w:p w14:paraId="2C1AB63D" w14:textId="6D7332F8" w:rsidR="00047BE4" w:rsidRDefault="00047BE4" w:rsidP="00047BE4">
      <w:pPr>
        <w:pStyle w:val="Titulek"/>
        <w:keepNext/>
        <w:spacing w:after="60"/>
      </w:pPr>
      <w:bookmarkStart w:id="172" w:name="_Toc53037891"/>
      <w:bookmarkStart w:id="173" w:name="_Toc77074711"/>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31</w:t>
      </w:r>
      <w:r w:rsidR="00081B47">
        <w:rPr>
          <w:noProof/>
        </w:rPr>
        <w:fldChar w:fldCharType="end"/>
      </w:r>
      <w:r w:rsidR="00E15816">
        <w:rPr>
          <w:noProof/>
        </w:rPr>
        <w:t>:</w:t>
      </w:r>
      <w:r>
        <w:t xml:space="preserve"> Vnímání respondentů ohledně potřeby podpory většího počtu kulturních aktivit ze strany města</w:t>
      </w:r>
      <w:bookmarkEnd w:id="172"/>
      <w:bookmarkEnd w:id="173"/>
      <w:r>
        <w:t xml:space="preserve"> </w:t>
      </w:r>
    </w:p>
    <w:tbl>
      <w:tblPr>
        <w:tblW w:w="0" w:type="auto"/>
        <w:tblCellMar>
          <w:left w:w="70" w:type="dxa"/>
          <w:right w:w="70" w:type="dxa"/>
        </w:tblCellMar>
        <w:tblLook w:val="04A0" w:firstRow="1" w:lastRow="0" w:firstColumn="1" w:lastColumn="0" w:noHBand="0" w:noVBand="1"/>
      </w:tblPr>
      <w:tblGrid>
        <w:gridCol w:w="2360"/>
        <w:gridCol w:w="694"/>
        <w:gridCol w:w="628"/>
        <w:gridCol w:w="628"/>
        <w:gridCol w:w="1087"/>
        <w:gridCol w:w="642"/>
        <w:gridCol w:w="789"/>
        <w:gridCol w:w="1416"/>
        <w:gridCol w:w="818"/>
      </w:tblGrid>
      <w:tr w:rsidR="00047BE4" w:rsidRPr="00FC11DE" w14:paraId="604C789D" w14:textId="77777777" w:rsidTr="00047BE4">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7CE0BE5"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Oblast podpory</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56AB107B"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BA412AD"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06D6870"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Studenti UTB</w:t>
            </w:r>
          </w:p>
        </w:tc>
      </w:tr>
      <w:tr w:rsidR="00047BE4" w:rsidRPr="00FC11DE" w14:paraId="4F4B227C" w14:textId="77777777" w:rsidTr="00047BE4">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BBF666"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75E89F50"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7834AE6E"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1814A13B"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7A243B"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CCD66E" w14:textId="77777777" w:rsidR="00047BE4" w:rsidRPr="00FC11DE" w:rsidRDefault="00047BE4" w:rsidP="00047BE4">
            <w:pPr>
              <w:keepNext/>
              <w:rPr>
                <w:rFonts w:ascii="Calibri" w:eastAsia="Times New Roman" w:hAnsi="Calibri" w:cs="Calibri"/>
                <w:b/>
                <w:bCs/>
                <w:color w:val="000000"/>
                <w:sz w:val="18"/>
                <w:szCs w:val="18"/>
                <w:lang w:eastAsia="cs-CZ"/>
              </w:rPr>
            </w:pPr>
          </w:p>
        </w:tc>
      </w:tr>
      <w:tr w:rsidR="00047BE4" w:rsidRPr="00FC11DE" w14:paraId="1A1DF29A" w14:textId="77777777" w:rsidTr="00047BE4">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76D7E0"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3A446446"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6CC7983C"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40282896"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5FA9E6D2"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1408E873"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34CA354E" w14:textId="77777777" w:rsidR="00047BE4" w:rsidRPr="00FC11DE" w:rsidRDefault="00047BE4" w:rsidP="00047BE4">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6BCDA6" w14:textId="77777777" w:rsidR="00047BE4" w:rsidRPr="00FC11DE" w:rsidRDefault="00047BE4" w:rsidP="00047BE4">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BD2AC0" w14:textId="77777777" w:rsidR="00047BE4" w:rsidRPr="00FC11DE" w:rsidRDefault="00047BE4" w:rsidP="00047BE4">
            <w:pPr>
              <w:keepNext/>
              <w:rPr>
                <w:rFonts w:ascii="Calibri" w:eastAsia="Times New Roman" w:hAnsi="Calibri" w:cs="Calibri"/>
                <w:b/>
                <w:bCs/>
                <w:color w:val="000000"/>
                <w:sz w:val="18"/>
                <w:szCs w:val="18"/>
                <w:lang w:eastAsia="cs-CZ"/>
              </w:rPr>
            </w:pPr>
          </w:p>
        </w:tc>
      </w:tr>
      <w:tr w:rsidR="00047BE4" w:rsidRPr="00FC11DE" w14:paraId="1D8D820F" w14:textId="77777777" w:rsidTr="00047BE4">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F0B22D" w14:textId="77777777" w:rsidR="00047BE4" w:rsidRPr="00FC11DE" w:rsidRDefault="00047BE4" w:rsidP="00047BE4">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Rozvoj možností pro volný čas</w:t>
            </w:r>
          </w:p>
        </w:tc>
        <w:tc>
          <w:tcPr>
            <w:tcW w:w="0" w:type="auto"/>
            <w:tcBorders>
              <w:top w:val="single" w:sz="4" w:space="0" w:color="auto"/>
              <w:left w:val="single" w:sz="4" w:space="0" w:color="auto"/>
              <w:bottom w:val="single" w:sz="4" w:space="0" w:color="auto"/>
              <w:right w:val="single" w:sz="4" w:space="0" w:color="auto"/>
            </w:tcBorders>
            <w:shd w:val="clear" w:color="000000" w:fill="FCFBFE"/>
            <w:noWrap/>
            <w:hideMark/>
          </w:tcPr>
          <w:p w14:paraId="71F00C9C" w14:textId="0D40B47D"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24,1</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6F8FD"/>
            <w:noWrap/>
            <w:hideMark/>
          </w:tcPr>
          <w:p w14:paraId="2120B994" w14:textId="1796AC0A"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23,0</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CF7FA"/>
            <w:noWrap/>
            <w:hideMark/>
          </w:tcPr>
          <w:p w14:paraId="7F7C34CF" w14:textId="2056DF62"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25,0</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CDDE0"/>
            <w:noWrap/>
            <w:hideMark/>
          </w:tcPr>
          <w:p w14:paraId="5B02E56E" w14:textId="6CFFD9C3"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32,2</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CF4F6"/>
            <w:noWrap/>
            <w:hideMark/>
          </w:tcPr>
          <w:p w14:paraId="19288D19" w14:textId="1B2B622E"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26,1</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A7C0E1"/>
            <w:noWrap/>
            <w:hideMark/>
          </w:tcPr>
          <w:p w14:paraId="43B9AD48" w14:textId="54FE03AB"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13,1</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CE3E6"/>
            <w:noWrap/>
            <w:hideMark/>
          </w:tcPr>
          <w:p w14:paraId="45397BA6" w14:textId="2FA0955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30,5</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FCE1E4"/>
            <w:noWrap/>
            <w:hideMark/>
          </w:tcPr>
          <w:p w14:paraId="494956A3" w14:textId="68E8BF9C"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31,3</w:t>
            </w:r>
            <w:r w:rsidR="00E15816">
              <w:rPr>
                <w:rFonts w:cstheme="minorHAnsi"/>
                <w:sz w:val="18"/>
                <w:szCs w:val="18"/>
              </w:rPr>
              <w:t xml:space="preserve"> </w:t>
            </w:r>
            <w:r w:rsidRPr="003D492B">
              <w:rPr>
                <w:rFonts w:cstheme="minorHAnsi"/>
                <w:sz w:val="18"/>
                <w:szCs w:val="18"/>
              </w:rPr>
              <w:t>%</w:t>
            </w:r>
          </w:p>
        </w:tc>
      </w:tr>
      <w:tr w:rsidR="00047BE4" w:rsidRPr="00FC11DE" w14:paraId="33481F34" w14:textId="77777777" w:rsidTr="00047BE4">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C340EE" w14:textId="77777777" w:rsidR="00047BE4" w:rsidRPr="00FC11DE" w:rsidRDefault="00047BE4" w:rsidP="00047BE4">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Větší počet sportovních aktivit</w:t>
            </w:r>
          </w:p>
        </w:tc>
        <w:tc>
          <w:tcPr>
            <w:tcW w:w="0" w:type="auto"/>
            <w:tcBorders>
              <w:top w:val="single" w:sz="4" w:space="0" w:color="auto"/>
              <w:left w:val="single" w:sz="4" w:space="0" w:color="auto"/>
              <w:bottom w:val="single" w:sz="4" w:space="0" w:color="auto"/>
              <w:right w:val="single" w:sz="4" w:space="0" w:color="auto"/>
            </w:tcBorders>
            <w:shd w:val="clear" w:color="000000" w:fill="82A6D4"/>
            <w:noWrap/>
            <w:hideMark/>
          </w:tcPr>
          <w:p w14:paraId="559ECF3D" w14:textId="0658CBFF"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8,4</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82A6D4"/>
            <w:noWrap/>
            <w:hideMark/>
          </w:tcPr>
          <w:p w14:paraId="48813CC3" w14:textId="0A52AA2B"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8,4</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82A6D4"/>
            <w:noWrap/>
            <w:hideMark/>
          </w:tcPr>
          <w:p w14:paraId="2104EA5F" w14:textId="3FC46913"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8,5</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A7C0E1"/>
            <w:noWrap/>
            <w:hideMark/>
          </w:tcPr>
          <w:p w14:paraId="549FF6B5" w14:textId="2E520234"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13,1</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86A9D5"/>
            <w:noWrap/>
            <w:hideMark/>
          </w:tcPr>
          <w:p w14:paraId="17C86070" w14:textId="6A6237A7"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9,0</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7D2864A0" w14:textId="2FDF9695"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3,4</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9FBBDE"/>
            <w:noWrap/>
            <w:hideMark/>
          </w:tcPr>
          <w:p w14:paraId="11A95A52" w14:textId="3E8E01D3"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12,1</w:t>
            </w:r>
            <w:r w:rsidR="00E15816">
              <w:rPr>
                <w:rFonts w:cstheme="minorHAnsi"/>
                <w:sz w:val="18"/>
                <w:szCs w:val="18"/>
              </w:rPr>
              <w:t xml:space="preserve"> </w:t>
            </w:r>
            <w:r w:rsidRPr="003D492B">
              <w:rPr>
                <w:rFonts w:cstheme="minorHAnsi"/>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000000" w:fill="ABC3E2"/>
            <w:noWrap/>
            <w:hideMark/>
          </w:tcPr>
          <w:p w14:paraId="28FAA992" w14:textId="440BBA35" w:rsidR="00047BE4" w:rsidRPr="003D492B" w:rsidRDefault="00047BE4" w:rsidP="00047BE4">
            <w:pPr>
              <w:keepNext/>
              <w:jc w:val="right"/>
              <w:rPr>
                <w:rFonts w:eastAsia="Times New Roman" w:cstheme="minorHAnsi"/>
                <w:color w:val="000000"/>
                <w:sz w:val="18"/>
                <w:szCs w:val="18"/>
                <w:lang w:eastAsia="cs-CZ"/>
              </w:rPr>
            </w:pPr>
            <w:r w:rsidRPr="003D492B">
              <w:rPr>
                <w:rFonts w:cstheme="minorHAnsi"/>
                <w:sz w:val="18"/>
                <w:szCs w:val="18"/>
              </w:rPr>
              <w:t>13,5</w:t>
            </w:r>
            <w:r w:rsidR="00E15816">
              <w:rPr>
                <w:rFonts w:cstheme="minorHAnsi"/>
                <w:sz w:val="18"/>
                <w:szCs w:val="18"/>
              </w:rPr>
              <w:t xml:space="preserve"> </w:t>
            </w:r>
            <w:r w:rsidRPr="003D492B">
              <w:rPr>
                <w:rFonts w:cstheme="minorHAnsi"/>
                <w:sz w:val="18"/>
                <w:szCs w:val="18"/>
              </w:rPr>
              <w:t>%</w:t>
            </w:r>
          </w:p>
        </w:tc>
      </w:tr>
    </w:tbl>
    <w:p w14:paraId="70E1ED92" w14:textId="1193D408" w:rsidR="00047BE4" w:rsidRPr="005E760B" w:rsidRDefault="00047BE4" w:rsidP="00047BE4">
      <w:pPr>
        <w:pStyle w:val="zdroj0"/>
        <w:keepNext/>
        <w:spacing w:after="0"/>
        <w:rPr>
          <w:rFonts w:asciiTheme="minorHAnsi" w:hAnsiTheme="minorHAnsi" w:cstheme="minorHAnsi"/>
        </w:rPr>
      </w:pPr>
      <w:r w:rsidRPr="005E760B">
        <w:rPr>
          <w:rFonts w:asciiTheme="minorHAnsi" w:hAnsiTheme="minorHAnsi" w:cstheme="minorHAnsi"/>
        </w:rPr>
        <w:t>Zdroj: PROCES, Anketní šetření spokoj</w:t>
      </w:r>
      <w:r w:rsidR="005668E1">
        <w:rPr>
          <w:rFonts w:asciiTheme="minorHAnsi" w:hAnsiTheme="minorHAnsi" w:cstheme="minorHAnsi"/>
        </w:rPr>
        <w:t>enosti obyvatel města Zlín 2020;</w:t>
      </w:r>
      <w:r w:rsidRPr="005E760B">
        <w:rPr>
          <w:rFonts w:asciiTheme="minorHAnsi" w:hAnsiTheme="minorHAnsi" w:cstheme="minorHAnsi"/>
        </w:rPr>
        <w:t xml:space="preserve"> Otázka 14.</w:t>
      </w:r>
      <w:r w:rsidR="005668E1">
        <w:rPr>
          <w:rFonts w:asciiTheme="minorHAnsi" w:hAnsiTheme="minorHAnsi" w:cstheme="minorHAnsi"/>
        </w:rPr>
        <w:t>:</w:t>
      </w:r>
      <w:r w:rsidRPr="005E760B">
        <w:rPr>
          <w:rFonts w:asciiTheme="minorHAnsi" w:hAnsiTheme="minorHAnsi" w:cstheme="minorHAnsi"/>
        </w:rPr>
        <w:t xml:space="preserve"> Co by mělo město přednostně podporovat (</w:t>
      </w:r>
      <w:r w:rsidR="00E15816">
        <w:rPr>
          <w:rFonts w:asciiTheme="minorHAnsi" w:hAnsiTheme="minorHAnsi" w:cstheme="minorHAnsi"/>
        </w:rPr>
        <w:t>z</w:t>
      </w:r>
      <w:r w:rsidRPr="005E760B">
        <w:rPr>
          <w:rFonts w:asciiTheme="minorHAnsi" w:hAnsiTheme="minorHAnsi" w:cstheme="minorHAnsi"/>
        </w:rPr>
        <w:t>aškrtněte maximálně 3 možnosti)</w:t>
      </w:r>
      <w:r w:rsidR="00E15816">
        <w:rPr>
          <w:rFonts w:asciiTheme="minorHAnsi" w:hAnsiTheme="minorHAnsi" w:cstheme="minorHAnsi"/>
        </w:rPr>
        <w:t>.</w:t>
      </w:r>
    </w:p>
    <w:p w14:paraId="2663F885" w14:textId="77777777" w:rsidR="00047BE4" w:rsidRDefault="00047BE4" w:rsidP="00047BE4">
      <w:pPr>
        <w:spacing w:before="60"/>
        <w:rPr>
          <w:i/>
          <w:sz w:val="18"/>
        </w:rPr>
      </w:pPr>
    </w:p>
    <w:p w14:paraId="6441D12B" w14:textId="77777777" w:rsidR="00047BE4" w:rsidRDefault="00047BE4" w:rsidP="00047BE4">
      <w:pPr>
        <w:pStyle w:val="Nadpis4"/>
        <w:ind w:left="864" w:hanging="864"/>
      </w:pPr>
      <w:bookmarkStart w:id="174" w:name="_Toc48222554"/>
      <w:r>
        <w:lastRenderedPageBreak/>
        <w:t>Dílčí shrnutí</w:t>
      </w:r>
      <w:bookmarkEnd w:id="174"/>
    </w:p>
    <w:p w14:paraId="4C024A11"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r>
        <w:rPr>
          <w:b/>
        </w:rPr>
        <w:t>Hlavní zjištění</w:t>
      </w:r>
      <w:r>
        <w:t>:</w:t>
      </w:r>
    </w:p>
    <w:p w14:paraId="0EE05A27" w14:textId="77777777" w:rsidR="00047BE4" w:rsidRDefault="00047BE4" w:rsidP="00047BE4">
      <w:pPr>
        <w:keepNext/>
        <w:keepLines/>
        <w:pBdr>
          <w:top w:val="single" w:sz="4" w:space="1" w:color="auto"/>
          <w:left w:val="single" w:sz="4" w:space="4" w:color="auto"/>
          <w:bottom w:val="single" w:sz="4" w:space="21" w:color="auto"/>
          <w:right w:val="single" w:sz="4" w:space="4" w:color="auto"/>
        </w:pBdr>
        <w:shd w:val="clear" w:color="auto" w:fill="D5DCE4" w:themeFill="text2" w:themeFillTint="33"/>
        <w:ind w:firstLine="708"/>
      </w:pPr>
    </w:p>
    <w:p w14:paraId="4FEF33D4"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 xml:space="preserve">Statutární město Zlín nemá v současné době vypracovanou žádnou dílčí koncepci nebo strategii pro rozvoj v oblasti kultury, sportu a volnočasových aktivit. </w:t>
      </w:r>
    </w:p>
    <w:p w14:paraId="26A4258F" w14:textId="77777777" w:rsidR="00047BE4" w:rsidRPr="00DC7815"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DC7815">
        <w:rPr>
          <w:i/>
        </w:rPr>
        <w:t xml:space="preserve">Statutární město Zlín má pro oblast kultury, sportu a volnočasových aktivit zřízen Kulturní fond, Filmový fond a Fond mládeže a tělovýchovy. </w:t>
      </w:r>
    </w:p>
    <w:p w14:paraId="024194C0" w14:textId="77777777" w:rsidR="00047BE4" w:rsidRPr="00A07917"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A07917">
        <w:rPr>
          <w:i/>
        </w:rPr>
        <w:t>Na území města Zlína působí několik významných kulturních a sportovních organizací s regionálním i nadregionálním významem (např. Městské divadlo Zlín, Filharmonie Bohuslava Martinů, PSG Berani Zlín aj.)</w:t>
      </w:r>
      <w:r>
        <w:rPr>
          <w:i/>
        </w:rPr>
        <w:t>.</w:t>
      </w:r>
      <w:r w:rsidRPr="00DC7815">
        <w:rPr>
          <w:i/>
        </w:rPr>
        <w:t xml:space="preserve"> </w:t>
      </w:r>
      <w:r w:rsidRPr="00A07917">
        <w:rPr>
          <w:i/>
        </w:rPr>
        <w:t xml:space="preserve">Významným kulturním a společenským centrem ve městě Zlín je také Kongresové centrum. </w:t>
      </w:r>
    </w:p>
    <w:p w14:paraId="28F44D43" w14:textId="77777777" w:rsidR="00047BE4" w:rsidRDefault="00047BE4" w:rsidP="00047BE4">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A07917">
        <w:rPr>
          <w:i/>
        </w:rPr>
        <w:t>Neopomenutelný význam má pro kulturní</w:t>
      </w:r>
      <w:r>
        <w:rPr>
          <w:i/>
        </w:rPr>
        <w:t xml:space="preserve"> život a aktivní trávení volného času obyvatel </w:t>
      </w:r>
      <w:r w:rsidRPr="00A07917">
        <w:rPr>
          <w:i/>
        </w:rPr>
        <w:t>města Zlín také spolková činnost (umělecké soubory</w:t>
      </w:r>
      <w:r>
        <w:rPr>
          <w:i/>
        </w:rPr>
        <w:t xml:space="preserve"> a sportovní oddíly</w:t>
      </w:r>
      <w:r w:rsidRPr="00A07917">
        <w:rPr>
          <w:i/>
        </w:rPr>
        <w:t>)</w:t>
      </w:r>
      <w:r>
        <w:rPr>
          <w:i/>
        </w:rPr>
        <w:t>.</w:t>
      </w:r>
    </w:p>
    <w:p w14:paraId="3F44D012" w14:textId="77777777" w:rsidR="00047BE4" w:rsidRDefault="00047BE4" w:rsidP="00047BE4">
      <w:pPr>
        <w:spacing w:before="0" w:after="160" w:line="259" w:lineRule="auto"/>
        <w:jc w:val="left"/>
        <w:rPr>
          <w:rFonts w:eastAsiaTheme="majorEastAsia" w:cstheme="majorBidi"/>
          <w:color w:val="5B9BD5" w:themeColor="accent1"/>
          <w:sz w:val="24"/>
          <w:szCs w:val="24"/>
        </w:rPr>
      </w:pPr>
      <w:bookmarkStart w:id="175" w:name="_Toc46988098"/>
      <w:bookmarkStart w:id="176" w:name="_Toc48652542"/>
      <w:r>
        <w:br w:type="page"/>
      </w:r>
    </w:p>
    <w:p w14:paraId="4DEF0D04" w14:textId="77777777" w:rsidR="00047BE4" w:rsidRDefault="00047BE4" w:rsidP="00047BE4">
      <w:pPr>
        <w:pStyle w:val="Nadpis3"/>
        <w:ind w:left="720"/>
      </w:pPr>
      <w:bookmarkStart w:id="177" w:name="_Toc53037936"/>
      <w:bookmarkStart w:id="178" w:name="_Toc77074580"/>
      <w:bookmarkEnd w:id="175"/>
      <w:bookmarkEnd w:id="176"/>
      <w:r w:rsidRPr="009E07FD">
        <w:lastRenderedPageBreak/>
        <w:t>Životní prostředí</w:t>
      </w:r>
      <w:bookmarkEnd w:id="177"/>
      <w:bookmarkEnd w:id="178"/>
    </w:p>
    <w:p w14:paraId="66D3416B" w14:textId="77777777" w:rsidR="00047BE4" w:rsidRDefault="00047BE4" w:rsidP="00047BE4">
      <w:pPr>
        <w:pStyle w:val="Nadpis4"/>
      </w:pPr>
      <w:r>
        <w:t>Charakteristika životního prostředí města Zlín a jeho okolí</w:t>
      </w:r>
    </w:p>
    <w:p w14:paraId="5181A673" w14:textId="77777777" w:rsidR="00047BE4" w:rsidRDefault="00047BE4" w:rsidP="00047BE4">
      <w:r>
        <w:t>Přírodní prostředí území města Zlín je předurčeno jeho polohou. Dominantní východo-západní osa urbanizovaného území města se rozprostírá v údolí podél řeky Dřevnice. Na severním a jižním okraji je pak město ohraničeno zalesněnými svahy pásů Vizovické vrchoviny. Geomorfologicky území náleží do celku Vnějších Západních Karpat. Půda v centru města je intenzivně ovlivněna stavební činností, vyšší kvalitu mají půdy v údolí řeky Dřevnice mimo urbanizované centrum patřící k nivním půdám, tvořené čtvrtohorními usazeninami (hlíny, spraše, štěrky, písky), nižší produkční potenciál mají půdy na svazích tvořené z pískovcových nebo břidlicových hornin.</w:t>
      </w:r>
    </w:p>
    <w:p w14:paraId="75DB57ED" w14:textId="77777777" w:rsidR="00047BE4" w:rsidRDefault="00047BE4" w:rsidP="00047BE4">
      <w:r>
        <w:t xml:space="preserve">Průměrná nadmořská výška Zlína je 223 m n. m., nejvyšší bod (Tlustá hora) leží ve výšce 458 m n. m. Zlín má příznivé podnebí odpovídající teplé klimatické oblasti. Na grafech znázorněných níže můžeme sledovat vývoj a porovnání ukazatelů úhrnu srážek a teploty vzduchu ve Zlínském kraji. Zlínský kraj jako srážkově i teplotně lehce nadprůměrný ve srovnání s údaji za Českou republiku. Průměrný roční úhrn srážek dosahoval mezi lety 2010 a 2019 hodnoty 744 mm, průměrná roční teplota vzduchu v tomto období byla 9 </w:t>
      </w:r>
      <w:r w:rsidRPr="0037162C">
        <w:t>°C</w:t>
      </w:r>
      <w:r>
        <w:t xml:space="preserve">. Data z posledního desetiletí tedy ukazují nižší hodnoty úhrnu srážek ve srovnání s dlouhodobým průměrem let 1981 - 2010 (775 mm), v případě průměrné teploty vzduchu ve Zlínském kraji se její hodnota za sledované období ve srovnání s dlouhodobým průměrem za roky 1981 - 2010 (8,2 </w:t>
      </w:r>
      <w:r w:rsidRPr="0037162C">
        <w:t>°C</w:t>
      </w:r>
      <w:r>
        <w:t>) naopak zvýšila.</w:t>
      </w:r>
    </w:p>
    <w:p w14:paraId="7AC90A3E" w14:textId="4FFE81CF" w:rsidR="00047BE4" w:rsidRDefault="00047BE4" w:rsidP="00047BE4">
      <w:pPr>
        <w:pStyle w:val="Titulek"/>
      </w:pPr>
      <w:bookmarkStart w:id="179" w:name="_Toc48653024"/>
      <w:bookmarkStart w:id="180" w:name="_Toc53037919"/>
      <w:bookmarkStart w:id="181" w:name="_Toc7707484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30</w:t>
      </w:r>
      <w:r w:rsidR="00804AF3">
        <w:rPr>
          <w:noProof/>
        </w:rPr>
        <w:fldChar w:fldCharType="end"/>
      </w:r>
      <w:r w:rsidR="00E86479">
        <w:rPr>
          <w:noProof/>
        </w:rPr>
        <w:t>:</w:t>
      </w:r>
      <w:r>
        <w:t xml:space="preserve"> Srovnání vývoje ukazatelů úhrnu srážek a teploty vzduchu s dlouhodobými průměry za Zlínský kraj a Č</w:t>
      </w:r>
      <w:bookmarkEnd w:id="179"/>
      <w:r>
        <w:t>R</w:t>
      </w:r>
      <w:bookmarkEnd w:id="180"/>
      <w:bookmarkEnd w:id="181"/>
    </w:p>
    <w:p w14:paraId="0D9AE323" w14:textId="77777777" w:rsidR="00047BE4" w:rsidRPr="0064598B" w:rsidRDefault="00047BE4" w:rsidP="00047BE4">
      <w:pPr>
        <w:pStyle w:val="Zdroj"/>
        <w:rPr>
          <w:rStyle w:val="zdrojChar0"/>
          <w:szCs w:val="18"/>
        </w:rPr>
      </w:pPr>
      <w:r w:rsidRPr="004B0F8B">
        <w:rPr>
          <w:noProof/>
          <w:szCs w:val="18"/>
        </w:rPr>
        <w:drawing>
          <wp:anchor distT="0" distB="0" distL="114300" distR="114300" simplePos="0" relativeHeight="251735040" behindDoc="1" locked="0" layoutInCell="1" allowOverlap="1" wp14:anchorId="2844A00F" wp14:editId="4A47BB8C">
            <wp:simplePos x="0" y="0"/>
            <wp:positionH relativeFrom="column">
              <wp:posOffset>2914650</wp:posOffset>
            </wp:positionH>
            <wp:positionV relativeFrom="paragraph">
              <wp:posOffset>0</wp:posOffset>
            </wp:positionV>
            <wp:extent cx="3000375" cy="2895600"/>
            <wp:effectExtent l="0" t="0" r="9525" b="0"/>
            <wp:wrapTight wrapText="bothSides">
              <wp:wrapPolygon edited="0">
                <wp:start x="0" y="0"/>
                <wp:lineTo x="0" y="21458"/>
                <wp:lineTo x="21531" y="21458"/>
                <wp:lineTo x="21531" y="0"/>
                <wp:lineTo x="0" y="0"/>
              </wp:wrapPolygon>
            </wp:wrapTight>
            <wp:docPr id="11" name="Graf 11">
              <a:extLst xmlns:a="http://schemas.openxmlformats.org/drawingml/2006/main">
                <a:ext uri="{FF2B5EF4-FFF2-40B4-BE49-F238E27FC236}">
                  <a16:creationId xmlns:a16="http://schemas.microsoft.com/office/drawing/2014/main" id="{1BD04093-8A4C-4B17-B6D7-C37F3513A9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V relativeFrom="margin">
              <wp14:pctHeight>0</wp14:pctHeight>
            </wp14:sizeRelV>
          </wp:anchor>
        </w:drawing>
      </w:r>
      <w:r w:rsidRPr="004B0F8B">
        <w:rPr>
          <w:noProof/>
          <w:szCs w:val="18"/>
        </w:rPr>
        <w:drawing>
          <wp:anchor distT="0" distB="0" distL="114300" distR="114300" simplePos="0" relativeHeight="251734016" behindDoc="1" locked="0" layoutInCell="1" allowOverlap="1" wp14:anchorId="54124BA6" wp14:editId="3CF2D156">
            <wp:simplePos x="0" y="0"/>
            <wp:positionH relativeFrom="column">
              <wp:posOffset>0</wp:posOffset>
            </wp:positionH>
            <wp:positionV relativeFrom="paragraph">
              <wp:posOffset>0</wp:posOffset>
            </wp:positionV>
            <wp:extent cx="2952750" cy="2895600"/>
            <wp:effectExtent l="0" t="0" r="0" b="0"/>
            <wp:wrapTight wrapText="bothSides">
              <wp:wrapPolygon edited="0">
                <wp:start x="0" y="0"/>
                <wp:lineTo x="0" y="21458"/>
                <wp:lineTo x="21461" y="21458"/>
                <wp:lineTo x="21461" y="0"/>
                <wp:lineTo x="0" y="0"/>
              </wp:wrapPolygon>
            </wp:wrapTight>
            <wp:docPr id="10" name="Graf 10">
              <a:extLst xmlns:a="http://schemas.openxmlformats.org/drawingml/2006/main">
                <a:ext uri="{FF2B5EF4-FFF2-40B4-BE49-F238E27FC236}">
                  <a16:creationId xmlns:a16="http://schemas.microsoft.com/office/drawing/2014/main" id="{FF0B0D83-AA6B-4B45-8D2F-717BD8A9E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Pr="004B0F8B">
        <w:rPr>
          <w:iCs/>
          <w:szCs w:val="18"/>
        </w:rPr>
        <w:t>Zdroj</w:t>
      </w:r>
      <w:r w:rsidRPr="000654E2">
        <w:rPr>
          <w:iCs/>
          <w:szCs w:val="18"/>
        </w:rPr>
        <w:t xml:space="preserve">: ČHMÚ, Územní srážky, Územní teploty, 2020, </w:t>
      </w:r>
      <w:hyperlink r:id="rId55" w:history="1">
        <w:r w:rsidRPr="0064598B">
          <w:rPr>
            <w:rStyle w:val="Hypertextovodkaz"/>
            <w:rFonts w:eastAsiaTheme="majorEastAsia"/>
            <w:color w:val="auto"/>
            <w:szCs w:val="18"/>
            <w:u w:val="none"/>
          </w:rPr>
          <w:t>http://portal.chmi.cz/historicka-data/pocasi/uzemni-srazky</w:t>
        </w:r>
      </w:hyperlink>
    </w:p>
    <w:p w14:paraId="0A087DE0" w14:textId="77777777" w:rsidR="00047BE4" w:rsidRPr="004B0F8B" w:rsidRDefault="00047BE4" w:rsidP="00047BE4">
      <w:pPr>
        <w:keepNext/>
        <w:rPr>
          <w:b/>
        </w:rPr>
      </w:pPr>
      <w:r w:rsidRPr="004B0F8B">
        <w:rPr>
          <w:b/>
        </w:rPr>
        <w:t>Krajinný ráz</w:t>
      </w:r>
    </w:p>
    <w:p w14:paraId="02D1AAC8" w14:textId="77777777" w:rsidR="00047BE4" w:rsidRPr="004621FC" w:rsidRDefault="00047BE4" w:rsidP="00047BE4">
      <w:bookmarkStart w:id="182" w:name="_Toc48653025"/>
      <w:r w:rsidRPr="000F4883">
        <w:t xml:space="preserve">Krajinný ráz spojuje přírodní, kulturní a historickou charakteristiku daného území. </w:t>
      </w:r>
      <w:r>
        <w:t xml:space="preserve">Intenzivní rozvoj </w:t>
      </w:r>
      <w:r w:rsidRPr="001E07D6">
        <w:t>průmyslu ve městě v průběhu 20. století zastínil charakteristický krajinný ráz Zlínska, pro který bylo typické roztroušené osídlení valašských kopců spojené s pastevectvím. Krajina s pasekářským osídlením je charakteristická střídáním zalesněných a bezlesých ploch s mozaikou sušších míst, mokřadů, drobných lesíků, křovin, starých sadů a menších políček. Pozůstatky tohoto typu krajiny můžeme nalézt v jihovýchodní části města v přírodním parku Želechovické paseky</w:t>
      </w:r>
      <w:r>
        <w:t xml:space="preserve"> (1047,9 ha), který leží částečně na území města. Zalesněné území zabírá více než třetinu území města Zlín – 37,8 %. Ve </w:t>
      </w:r>
      <w:r>
        <w:lastRenderedPageBreak/>
        <w:t>srovnání s ostatními krajskými městy je podíl zalesněných ploch vysoký</w:t>
      </w:r>
      <w:r>
        <w:rPr>
          <w:rStyle w:val="Znakapoznpodarou"/>
        </w:rPr>
        <w:footnoteReference w:id="34"/>
      </w:r>
      <w:r>
        <w:t>, za což vděčí jak specifické historii (plánovaný rozvoj v moderní éře s přihlédnutím k důležitosti ploch parků) i okolí města Zlín, které tvoří zalesněné oblasti. V této oblasti byly v minulosti vytvořeny rekreační zóny a naučné stezky – např. Stezka zdraví Tlustá hora, Stezka areál Lazy nebo Pasekářská stezka. Vlastníkem lesů ve Zlíně jsou převážně Lesy ČR a statutární město Zlín. V areálu městských lesů se nachází také tzv. bezzásahová zóna lesa (25 ha), kde se hospodaří s minimálním vlivem člověka.</w:t>
      </w:r>
    </w:p>
    <w:p w14:paraId="40917B2B" w14:textId="78BEDD91" w:rsidR="00047BE4" w:rsidRDefault="00047BE4" w:rsidP="00047BE4">
      <w:pPr>
        <w:pStyle w:val="Titulek"/>
      </w:pPr>
      <w:bookmarkStart w:id="183" w:name="_Toc53037920"/>
      <w:bookmarkStart w:id="184" w:name="_Toc7707484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31</w:t>
      </w:r>
      <w:r w:rsidR="00804AF3">
        <w:rPr>
          <w:noProof/>
        </w:rPr>
        <w:fldChar w:fldCharType="end"/>
      </w:r>
      <w:r w:rsidR="00E86479">
        <w:rPr>
          <w:noProof/>
        </w:rPr>
        <w:t>:</w:t>
      </w:r>
      <w:r>
        <w:t xml:space="preserve"> Struktura využití ploch města Zlína v roce 2019</w:t>
      </w:r>
      <w:bookmarkEnd w:id="182"/>
      <w:bookmarkEnd w:id="183"/>
      <w:bookmarkEnd w:id="184"/>
    </w:p>
    <w:p w14:paraId="282F0986" w14:textId="77777777" w:rsidR="00047BE4" w:rsidRDefault="00047BE4" w:rsidP="00047BE4">
      <w:r>
        <w:rPr>
          <w:noProof/>
          <w:lang w:eastAsia="cs-CZ"/>
        </w:rPr>
        <w:drawing>
          <wp:inline distT="0" distB="0" distL="0" distR="0" wp14:anchorId="0E23E3D1" wp14:editId="11E790C9">
            <wp:extent cx="5760000" cy="2280055"/>
            <wp:effectExtent l="0" t="0" r="0" b="6350"/>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00" cy="2280055"/>
                    </a:xfrm>
                    <a:prstGeom prst="rect">
                      <a:avLst/>
                    </a:prstGeom>
                    <a:noFill/>
                  </pic:spPr>
                </pic:pic>
              </a:graphicData>
            </a:graphic>
          </wp:inline>
        </w:drawing>
      </w:r>
    </w:p>
    <w:p w14:paraId="2F8D2F8D" w14:textId="4CC89EDD" w:rsidR="00047BE4" w:rsidRPr="009D6798" w:rsidRDefault="00047BE4" w:rsidP="00047BE4">
      <w:pPr>
        <w:pStyle w:val="Zdroj"/>
      </w:pPr>
      <w:r w:rsidRPr="009D6798">
        <w:t>Zdroj: ČSÚ, Územně analytické podklady, údaje za rok 2019</w:t>
      </w:r>
      <w:r w:rsidR="00E86479">
        <w:t>.</w:t>
      </w:r>
    </w:p>
    <w:p w14:paraId="5665EDD7" w14:textId="77777777" w:rsidR="00047BE4" w:rsidRPr="000654E2" w:rsidRDefault="00047BE4" w:rsidP="00047BE4">
      <w:pPr>
        <w:pStyle w:val="Zdroj"/>
        <w:rPr>
          <w:lang w:val="pl-PL"/>
        </w:rPr>
      </w:pPr>
    </w:p>
    <w:p w14:paraId="1F624519" w14:textId="00A91772" w:rsidR="00047BE4" w:rsidRPr="00BB5485" w:rsidRDefault="00047BE4" w:rsidP="00047BE4">
      <w:pPr>
        <w:pStyle w:val="Titulek"/>
        <w:rPr>
          <w:lang w:val="pl-PL"/>
        </w:rPr>
      </w:pPr>
      <w:bookmarkStart w:id="185" w:name="_Toc48653016"/>
      <w:bookmarkStart w:id="186" w:name="_Toc53037892"/>
      <w:bookmarkStart w:id="187" w:name="_Toc7707471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32</w:t>
      </w:r>
      <w:r w:rsidR="00081B47">
        <w:rPr>
          <w:noProof/>
        </w:rPr>
        <w:fldChar w:fldCharType="end"/>
      </w:r>
      <w:r w:rsidR="00E86479">
        <w:rPr>
          <w:noProof/>
        </w:rPr>
        <w:t>:</w:t>
      </w:r>
      <w:r>
        <w:t xml:space="preserve"> Struktura využití ploch města Zlína v letech 2009 a 2019</w:t>
      </w:r>
      <w:bookmarkEnd w:id="185"/>
      <w:bookmarkEnd w:id="186"/>
      <w:bookmarkEnd w:id="187"/>
    </w:p>
    <w:p w14:paraId="18018A74" w14:textId="77777777" w:rsidR="00047BE4" w:rsidRDefault="00047BE4" w:rsidP="00047BE4">
      <w:pPr>
        <w:pStyle w:val="Zdroj"/>
        <w:rPr>
          <w:lang w:val="en-US"/>
        </w:rPr>
      </w:pPr>
      <w:r w:rsidRPr="009D6798">
        <w:rPr>
          <w:noProof/>
        </w:rPr>
        <w:drawing>
          <wp:inline distT="0" distB="0" distL="0" distR="0" wp14:anchorId="7BAA29E9" wp14:editId="4A16C701">
            <wp:extent cx="5760000" cy="1944661"/>
            <wp:effectExtent l="0" t="0" r="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00" cy="1944661"/>
                    </a:xfrm>
                    <a:prstGeom prst="rect">
                      <a:avLst/>
                    </a:prstGeom>
                    <a:noFill/>
                    <a:ln>
                      <a:noFill/>
                    </a:ln>
                  </pic:spPr>
                </pic:pic>
              </a:graphicData>
            </a:graphic>
          </wp:inline>
        </w:drawing>
      </w:r>
    </w:p>
    <w:p w14:paraId="0E294ABA" w14:textId="151DCA8B" w:rsidR="00047BE4" w:rsidRPr="009D6798" w:rsidRDefault="00047BE4" w:rsidP="00047BE4">
      <w:pPr>
        <w:pStyle w:val="Zdroj"/>
      </w:pPr>
      <w:r w:rsidRPr="009D6798">
        <w:t>Zdroj: ČSÚ, Územně analyt</w:t>
      </w:r>
      <w:r>
        <w:t>ické podklady, údaje za rok 2009 a 2019</w:t>
      </w:r>
      <w:r w:rsidR="00E86479">
        <w:t>.</w:t>
      </w:r>
    </w:p>
    <w:p w14:paraId="61247917" w14:textId="3655D0C6" w:rsidR="00047BE4" w:rsidRDefault="00047BE4" w:rsidP="00047BE4">
      <w:r>
        <w:t xml:space="preserve">Na základě údajů z tabulky </w:t>
      </w:r>
      <w:r w:rsidR="00CA267E">
        <w:t>1.32</w:t>
      </w:r>
      <w:r>
        <w:t xml:space="preserve"> můžeme sledovat vývoj struktury využití území ve Zlíně mezi lety 2009 – 2019. Je patrné, že v území došlo k největšímu úbytku v kategorii orné půdy (-5,7 %), naopak došlo k nárůstu ploch trvalých travních porostů (4,2 %), ovocných sadů (4,8 %) a zastavěných ploch (4,4 %). Z poměru tzv. stabilních a nestabilních krajinotvorných prvků můžeme určit koeficient ekologické stability území (KES). Pro město Zlín dosahuje KES v současnosti hodnoty 1,33, což odpovídá vcelku vyvážené krajinné struktuře území. V roce 2009 byla hodnota KES města Zlína 1,29, můžeme tedy konstatovat mírné zvýšení ekologické stability města. Ve srovnání s vybranými městy Česka podobné velikosti je patrné, že hodnota KES je pro Zlín poměrně vysoká. Je to způsobeno především polohou </w:t>
      </w:r>
      <w:r>
        <w:lastRenderedPageBreak/>
        <w:t>Zlína, jehož okolí tvoří zalesněné svahy Vizovické vrchoviny. Města jako Olomouc nebo Pardubice leží v nížinné intenzivně zemědělsky využívané oblasti, podíl orné půdy na území měst je tedy vyšší, což snižuje výslednou hodnotu ekologické stability území.</w:t>
      </w:r>
    </w:p>
    <w:p w14:paraId="4F46580C" w14:textId="1353D637" w:rsidR="00047BE4" w:rsidRDefault="00047BE4" w:rsidP="00047BE4">
      <w:pPr>
        <w:pStyle w:val="Titulek"/>
      </w:pPr>
      <w:bookmarkStart w:id="188" w:name="_Toc48653026"/>
      <w:bookmarkStart w:id="189" w:name="_Toc53037921"/>
      <w:bookmarkStart w:id="190" w:name="_Toc7707485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32</w:t>
      </w:r>
      <w:r w:rsidR="00804AF3">
        <w:rPr>
          <w:noProof/>
        </w:rPr>
        <w:fldChar w:fldCharType="end"/>
      </w:r>
      <w:r w:rsidR="00E86479">
        <w:rPr>
          <w:noProof/>
        </w:rPr>
        <w:t>:</w:t>
      </w:r>
      <w:r>
        <w:t xml:space="preserve"> Srovnání hodnoty koeficientu ekologické stability vybraných měst Č</w:t>
      </w:r>
      <w:bookmarkEnd w:id="188"/>
      <w:r>
        <w:t>R</w:t>
      </w:r>
      <w:bookmarkEnd w:id="189"/>
      <w:bookmarkEnd w:id="190"/>
    </w:p>
    <w:p w14:paraId="58ACA564" w14:textId="77777777" w:rsidR="00047BE4" w:rsidRDefault="00047BE4" w:rsidP="00047BE4">
      <w:r>
        <w:rPr>
          <w:noProof/>
          <w:lang w:eastAsia="cs-CZ"/>
        </w:rPr>
        <w:drawing>
          <wp:inline distT="0" distB="0" distL="0" distR="0" wp14:anchorId="66DD58D6" wp14:editId="54A60406">
            <wp:extent cx="5760720" cy="2232818"/>
            <wp:effectExtent l="19050" t="19050" r="11430" b="1524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2232818"/>
                    </a:xfrm>
                    <a:prstGeom prst="rect">
                      <a:avLst/>
                    </a:prstGeom>
                    <a:noFill/>
                    <a:ln>
                      <a:solidFill>
                        <a:schemeClr val="bg1">
                          <a:lumMod val="75000"/>
                        </a:schemeClr>
                      </a:solidFill>
                    </a:ln>
                  </pic:spPr>
                </pic:pic>
              </a:graphicData>
            </a:graphic>
          </wp:inline>
        </w:drawing>
      </w:r>
    </w:p>
    <w:p w14:paraId="7251CFC8" w14:textId="4E7AF5DE" w:rsidR="00047BE4" w:rsidRPr="009D6798" w:rsidRDefault="00047BE4" w:rsidP="00047BE4">
      <w:pPr>
        <w:pStyle w:val="Zdroj"/>
      </w:pPr>
      <w:r w:rsidRPr="009D6798">
        <w:t>Zdroj: ČSÚ, Územně analyt</w:t>
      </w:r>
      <w:r>
        <w:t>ické podklady, údaje za rok 2009 a 2019</w:t>
      </w:r>
      <w:r w:rsidR="00E86479">
        <w:t>.</w:t>
      </w:r>
    </w:p>
    <w:p w14:paraId="479D1F6C" w14:textId="1ACD078D" w:rsidR="00047BE4" w:rsidRDefault="00047BE4" w:rsidP="00047BE4">
      <w:r>
        <w:t>Z výročních zpráv města Zlína</w:t>
      </w:r>
      <w:r>
        <w:rPr>
          <w:rStyle w:val="Znakapoznpodarou"/>
        </w:rPr>
        <w:footnoteReference w:id="35"/>
      </w:r>
      <w:r>
        <w:t xml:space="preserve"> a dalších zdrojů</w:t>
      </w:r>
      <w:r>
        <w:rPr>
          <w:rStyle w:val="Znakapoznpodarou"/>
        </w:rPr>
        <w:footnoteReference w:id="36"/>
      </w:r>
      <w:r>
        <w:t xml:space="preserve"> vyplývá, že dochází k údržbě chráněných přírodních území ve městě. Jedná se především o Územní systém ekologické stability (ÚSES), tvořený soustavou biocenter a biokoridorů nebo významných krajinných prvků. Významem sítě ÚSES je posilování ekologické stability území s cílem ochrany přírodně blízkých ekosystémů. Přehled regionálních a</w:t>
      </w:r>
      <w:r w:rsidR="00E86479">
        <w:t> </w:t>
      </w:r>
      <w:r>
        <w:t>nadregionálních prvků ÚSES ve</w:t>
      </w:r>
      <w:r w:rsidR="00E111E6">
        <w:t xml:space="preserve"> Zlíně znázorněn na obrázku 1.33</w:t>
      </w:r>
      <w:r>
        <w:t>. Lokální území ÚSES doplňují tyto lokality a jsou obsaženy v územním plánu města Zlína. Na území města se nachází také severní část maloplošné lokality NATURA 2000 Březnice u Zlína, předmětem ochrany je zde luční prameniště v aluviu potoka (celková rozloha 1 ha).</w:t>
      </w:r>
    </w:p>
    <w:p w14:paraId="71CB3E22" w14:textId="462E7628" w:rsidR="00047BE4" w:rsidRDefault="00047BE4" w:rsidP="00047BE4">
      <w:pPr>
        <w:pStyle w:val="Titulek"/>
        <w:keepNext/>
        <w:keepLines/>
      </w:pPr>
      <w:bookmarkStart w:id="191" w:name="_Toc48653027"/>
      <w:bookmarkStart w:id="192" w:name="_Toc53037922"/>
      <w:bookmarkStart w:id="193" w:name="_Toc77074851"/>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33</w:t>
      </w:r>
      <w:r w:rsidR="00804AF3">
        <w:rPr>
          <w:noProof/>
        </w:rPr>
        <w:fldChar w:fldCharType="end"/>
      </w:r>
      <w:r w:rsidR="00E86479">
        <w:rPr>
          <w:noProof/>
        </w:rPr>
        <w:t>:</w:t>
      </w:r>
      <w:r>
        <w:t xml:space="preserve"> Územní systém ekologické stability ve Zlíně</w:t>
      </w:r>
      <w:bookmarkEnd w:id="191"/>
      <w:bookmarkEnd w:id="192"/>
      <w:bookmarkEnd w:id="193"/>
    </w:p>
    <w:p w14:paraId="1D1B9EA2" w14:textId="77777777" w:rsidR="00047BE4" w:rsidRPr="00646AFC" w:rsidRDefault="00047BE4" w:rsidP="00047BE4">
      <w:r>
        <w:rPr>
          <w:noProof/>
          <w:lang w:eastAsia="cs-CZ"/>
        </w:rPr>
        <w:drawing>
          <wp:inline distT="0" distB="0" distL="0" distR="0" wp14:anchorId="7FF544CD" wp14:editId="7F5D5884">
            <wp:extent cx="5760720" cy="4072890"/>
            <wp:effectExtent l="19050" t="19050" r="11430" b="22860"/>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ses_mapa_rozprac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bg1">
                          <a:lumMod val="50000"/>
                        </a:schemeClr>
                      </a:solidFill>
                    </a:ln>
                  </pic:spPr>
                </pic:pic>
              </a:graphicData>
            </a:graphic>
          </wp:inline>
        </w:drawing>
      </w:r>
    </w:p>
    <w:p w14:paraId="47A15F21" w14:textId="04718FAF" w:rsidR="00047BE4" w:rsidRPr="00B5638F" w:rsidRDefault="00047BE4" w:rsidP="00047BE4">
      <w:pPr>
        <w:pStyle w:val="Zdroj"/>
      </w:pPr>
      <w:r w:rsidRPr="008B343B">
        <w:t>Zdroj: CENIA, ČÚZK</w:t>
      </w:r>
      <w:r>
        <w:t>, ArcČR, 2020</w:t>
      </w:r>
      <w:r w:rsidR="00E86479">
        <w:t>.</w:t>
      </w:r>
    </w:p>
    <w:p w14:paraId="14CB4A42" w14:textId="77777777" w:rsidR="00047BE4" w:rsidRDefault="00047BE4" w:rsidP="00047BE4">
      <w:pPr>
        <w:pStyle w:val="Nadpis4"/>
      </w:pPr>
      <w:r>
        <w:t>M</w:t>
      </w:r>
      <w:r w:rsidRPr="009E07FD">
        <w:t xml:space="preserve">ěstská zeleň a parky </w:t>
      </w:r>
    </w:p>
    <w:p w14:paraId="55EC9493" w14:textId="337676F7" w:rsidR="00047BE4" w:rsidRDefault="00047BE4" w:rsidP="00047BE4">
      <w:r>
        <w:t>Jedním z důležitých aspektů urbanistické struktury města Zlína je vysoký podíl zastoupení městské zeleně a veřejných parků. Na jejich důležitost bylo myšleno již ve fázi budování průmyslového Zlína v meziválečném období 20. stol., kdy byl Zlín koncipován jako tzv. zahradní město, a městská zeleň je do dnešní doby jedním z hlavních rysů udávajících charakter města. V nedávné době prošly parky v centru Zlína (park Komenského a Gahurův prospekt) rozsáhlou revitalizací a byly obohaceny o novou výsadbu stromů, doplněny novým městským mobiliářem a dalšími architektonicko-urbanistickými prvky (např. zapuštěnými chodníky v případě Gahurova prospektu). Rozsáhlý centrální park se nac</w:t>
      </w:r>
      <w:r w:rsidR="00053411">
        <w:t>hází v prostoru sídliště Jižní S</w:t>
      </w:r>
      <w:r>
        <w:t>vahy. Obnova parků v centru města je hodnocena pozitivně jak odbornou</w:t>
      </w:r>
      <w:r w:rsidR="00A14159">
        <w:t>, tak</w:t>
      </w:r>
      <w:r>
        <w:t xml:space="preserve"> i</w:t>
      </w:r>
      <w:r w:rsidR="00A14159">
        <w:t> </w:t>
      </w:r>
      <w:r>
        <w:t>laickou veřejností a přispěla ke zlepšení charakteru veřejného prostoru v centru Zlína i po funkční stránce. Pro obyvatele Zlína jsou parky a zeleň důležité – v provedeném šetření se v odpovědích na</w:t>
      </w:r>
      <w:r w:rsidR="00A14159">
        <w:t xml:space="preserve"> </w:t>
      </w:r>
      <w:r>
        <w:t>otázku „</w:t>
      </w:r>
      <w:r w:rsidR="00A14159">
        <w:t>C</w:t>
      </w:r>
      <w:r>
        <w:t>o se Vám ve městě nejvíce líbí?“ vyskytovala odpověď „parky a zeleň“ a „příroda“ na prvním respektive třetím místě. Také mnohé z významných osob, které byly v průběhu zpracování strategie rozvoje města dotazovány, se shodovaly na faktu, že provedená revitalizace parků významně přispěla ke zlepšení městského prostředí v centru Zlína.</w:t>
      </w:r>
    </w:p>
    <w:p w14:paraId="700CB9FE" w14:textId="56A5467A" w:rsidR="00047BE4" w:rsidRDefault="00047BE4" w:rsidP="00047BE4">
      <w:pPr>
        <w:pStyle w:val="Titulek"/>
        <w:keepNext/>
        <w:keepLines/>
      </w:pPr>
      <w:bookmarkStart w:id="194" w:name="_Toc50987097"/>
      <w:bookmarkStart w:id="195" w:name="_Toc53037923"/>
      <w:bookmarkStart w:id="196" w:name="_Toc77074852"/>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34</w:t>
      </w:r>
      <w:r w:rsidR="00804AF3">
        <w:rPr>
          <w:noProof/>
        </w:rPr>
        <w:fldChar w:fldCharType="end"/>
      </w:r>
      <w:r w:rsidR="00A14159">
        <w:rPr>
          <w:noProof/>
        </w:rPr>
        <w:t>:</w:t>
      </w:r>
      <w:r>
        <w:t xml:space="preserve"> Plochy veřejné zeleně se zvýšenou ochranou v centrální části města Zlín</w:t>
      </w:r>
      <w:bookmarkEnd w:id="194"/>
      <w:bookmarkEnd w:id="195"/>
      <w:bookmarkEnd w:id="196"/>
    </w:p>
    <w:p w14:paraId="33484960" w14:textId="77777777" w:rsidR="00047BE4" w:rsidRDefault="00047BE4" w:rsidP="00047BE4">
      <w:r>
        <w:rPr>
          <w:noProof/>
          <w:lang w:eastAsia="cs-CZ"/>
        </w:rPr>
        <w:drawing>
          <wp:inline distT="0" distB="0" distL="0" distR="0" wp14:anchorId="3B19BD75" wp14:editId="658614EF">
            <wp:extent cx="5760720" cy="3949065"/>
            <wp:effectExtent l="19050" t="19050" r="11430" b="13335"/>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verejna_zelen_4.jpg"/>
                    <pic:cNvPicPr/>
                  </pic:nvPicPr>
                  <pic:blipFill>
                    <a:blip r:embed="rId60">
                      <a:extLst>
                        <a:ext uri="{28A0092B-C50C-407E-A947-70E740481C1C}">
                          <a14:useLocalDpi xmlns:a14="http://schemas.microsoft.com/office/drawing/2010/main" val="0"/>
                        </a:ext>
                      </a:extLst>
                    </a:blip>
                    <a:stretch>
                      <a:fillRect/>
                    </a:stretch>
                  </pic:blipFill>
                  <pic:spPr>
                    <a:xfrm>
                      <a:off x="0" y="0"/>
                      <a:ext cx="5760720" cy="3949065"/>
                    </a:xfrm>
                    <a:prstGeom prst="rect">
                      <a:avLst/>
                    </a:prstGeom>
                    <a:ln>
                      <a:solidFill>
                        <a:schemeClr val="bg1">
                          <a:lumMod val="65000"/>
                        </a:schemeClr>
                      </a:solidFill>
                    </a:ln>
                  </pic:spPr>
                </pic:pic>
              </a:graphicData>
            </a:graphic>
          </wp:inline>
        </w:drawing>
      </w:r>
    </w:p>
    <w:p w14:paraId="7733A457" w14:textId="5BD82CED" w:rsidR="00047BE4" w:rsidRDefault="00047BE4" w:rsidP="00047BE4">
      <w:pPr>
        <w:pStyle w:val="zdroj0"/>
        <w:spacing w:before="120" w:after="120"/>
        <w:rPr>
          <w:rFonts w:asciiTheme="minorHAnsi" w:hAnsiTheme="minorHAnsi" w:cstheme="minorHAnsi"/>
        </w:rPr>
      </w:pPr>
      <w:r w:rsidRPr="00477D51">
        <w:rPr>
          <w:rFonts w:asciiTheme="minorHAnsi" w:hAnsiTheme="minorHAnsi" w:cstheme="minorHAnsi"/>
        </w:rPr>
        <w:t xml:space="preserve">Zdroj: </w:t>
      </w:r>
      <w:hyperlink r:id="rId61" w:tgtFrame="blank" w:history="1">
        <w:r w:rsidRPr="000654E2">
          <w:rPr>
            <w:rFonts w:eastAsiaTheme="minorHAnsi" w:cstheme="minorBidi"/>
            <w:lang w:eastAsia="en-US"/>
          </w:rPr>
          <w:t>Mapový portál města Zlína</w:t>
        </w:r>
      </w:hyperlink>
      <w:r w:rsidRPr="00627010">
        <w:rPr>
          <w:rFonts w:asciiTheme="minorHAnsi" w:hAnsiTheme="minorHAnsi" w:cstheme="minorHAnsi"/>
          <w:color w:val="000000" w:themeColor="text1"/>
        </w:rPr>
        <w:t xml:space="preserve"> </w:t>
      </w:r>
      <w:r w:rsidRPr="00477D51">
        <w:rPr>
          <w:rFonts w:asciiTheme="minorHAnsi" w:hAnsiTheme="minorHAnsi" w:cstheme="minorHAnsi"/>
        </w:rPr>
        <w:t xml:space="preserve">(2020); </w:t>
      </w:r>
      <w:r w:rsidRPr="00D1224B">
        <w:rPr>
          <w:rFonts w:asciiTheme="minorHAnsi" w:hAnsiTheme="minorHAnsi" w:cstheme="minorHAnsi"/>
        </w:rPr>
        <w:t>https://marushka.zlin.eu/</w:t>
      </w:r>
      <w:r>
        <w:rPr>
          <w:rFonts w:asciiTheme="minorHAnsi" w:hAnsiTheme="minorHAnsi" w:cstheme="minorHAnsi"/>
        </w:rPr>
        <w:t>, zpracování PROCES</w:t>
      </w:r>
      <w:r w:rsidR="00A14159">
        <w:rPr>
          <w:rFonts w:asciiTheme="minorHAnsi" w:hAnsiTheme="minorHAnsi" w:cstheme="minorHAnsi"/>
        </w:rPr>
        <w:t>.</w:t>
      </w:r>
    </w:p>
    <w:p w14:paraId="13348DDA" w14:textId="3527A270" w:rsidR="00047BE4" w:rsidRDefault="00047BE4" w:rsidP="00047BE4">
      <w:pPr>
        <w:pStyle w:val="zdroj0"/>
        <w:spacing w:before="120" w:after="120"/>
        <w:jc w:val="both"/>
        <w:rPr>
          <w:rFonts w:asciiTheme="minorHAnsi" w:hAnsiTheme="minorHAnsi" w:cstheme="minorHAnsi"/>
          <w:i w:val="0"/>
          <w:sz w:val="22"/>
          <w:szCs w:val="22"/>
        </w:rPr>
      </w:pPr>
      <w:r>
        <w:rPr>
          <w:rFonts w:asciiTheme="minorHAnsi" w:hAnsiTheme="minorHAnsi" w:cstheme="minorHAnsi"/>
          <w:i w:val="0"/>
          <w:sz w:val="22"/>
          <w:szCs w:val="22"/>
        </w:rPr>
        <w:t xml:space="preserve">Územní plán města Zlín uvádí výčet ploch zeleně se zvýšenou ochranou, které </w:t>
      </w:r>
      <w:r w:rsidRPr="00477D51">
        <w:rPr>
          <w:rFonts w:asciiTheme="minorHAnsi" w:hAnsiTheme="minorHAnsi" w:cstheme="minorHAnsi"/>
          <w:i w:val="0"/>
          <w:sz w:val="22"/>
          <w:szCs w:val="22"/>
        </w:rPr>
        <w:t>tvoří kostru zelených ploch na území města</w:t>
      </w:r>
      <w:r>
        <w:rPr>
          <w:rFonts w:asciiTheme="minorHAnsi" w:hAnsiTheme="minorHAnsi" w:cstheme="minorHAnsi"/>
          <w:i w:val="0"/>
          <w:sz w:val="22"/>
          <w:szCs w:val="22"/>
        </w:rPr>
        <w:t xml:space="preserve">. Jejich zobrazení je uvedeno v mapě </w:t>
      </w:r>
      <w:r w:rsidR="00BE6D54">
        <w:rPr>
          <w:rFonts w:asciiTheme="minorHAnsi" w:hAnsiTheme="minorHAnsi" w:cstheme="minorHAnsi"/>
          <w:i w:val="0"/>
          <w:sz w:val="22"/>
          <w:szCs w:val="22"/>
        </w:rPr>
        <w:t>na obrázku 1.34</w:t>
      </w:r>
      <w:r>
        <w:rPr>
          <w:rFonts w:asciiTheme="minorHAnsi" w:hAnsiTheme="minorHAnsi" w:cstheme="minorHAnsi"/>
          <w:i w:val="0"/>
          <w:sz w:val="22"/>
          <w:szCs w:val="22"/>
        </w:rPr>
        <w:t xml:space="preserve">, podrobný výčet zmíněných ploch se nachází v tabulce </w:t>
      </w:r>
      <w:r w:rsidR="00122205">
        <w:rPr>
          <w:rFonts w:asciiTheme="minorHAnsi" w:hAnsiTheme="minorHAnsi" w:cstheme="minorHAnsi"/>
          <w:i w:val="0"/>
          <w:sz w:val="22"/>
          <w:szCs w:val="22"/>
        </w:rPr>
        <w:t>1.34</w:t>
      </w:r>
      <w:r w:rsidR="00094895">
        <w:rPr>
          <w:rFonts w:asciiTheme="minorHAnsi" w:hAnsiTheme="minorHAnsi" w:cstheme="minorHAnsi"/>
          <w:i w:val="0"/>
          <w:sz w:val="22"/>
          <w:szCs w:val="22"/>
        </w:rPr>
        <w:t xml:space="preserve"> </w:t>
      </w:r>
      <w:r>
        <w:rPr>
          <w:rFonts w:asciiTheme="minorHAnsi" w:hAnsiTheme="minorHAnsi" w:cstheme="minorHAnsi"/>
          <w:i w:val="0"/>
          <w:sz w:val="22"/>
          <w:szCs w:val="22"/>
        </w:rPr>
        <w:t xml:space="preserve">na následující straně. Dalšími významnými zelenými plochami jsou tzv. zelené klíny, což jsou plochy, kde </w:t>
      </w:r>
      <w:r w:rsidRPr="00477D51">
        <w:rPr>
          <w:rFonts w:asciiTheme="minorHAnsi" w:hAnsiTheme="minorHAnsi" w:cstheme="minorHAnsi"/>
          <w:i w:val="0"/>
          <w:sz w:val="22"/>
          <w:szCs w:val="22"/>
        </w:rPr>
        <w:t>dochází k prolínání městské a krajinné zeleně a navazují na územní systém ekologické stability. Hlavní funkce uvedených území je oddychová a ekologická, jiné využití není přípustné</w:t>
      </w:r>
      <w:r>
        <w:rPr>
          <w:rFonts w:asciiTheme="minorHAnsi" w:hAnsiTheme="minorHAnsi" w:cstheme="minorHAnsi"/>
          <w:i w:val="0"/>
          <w:sz w:val="22"/>
          <w:szCs w:val="22"/>
        </w:rPr>
        <w:t>.</w:t>
      </w:r>
    </w:p>
    <w:p w14:paraId="62329B91" w14:textId="43E68488" w:rsidR="00047BE4" w:rsidRPr="00BB5485" w:rsidRDefault="00047BE4" w:rsidP="00047BE4">
      <w:pPr>
        <w:pStyle w:val="Titulek"/>
        <w:rPr>
          <w:i/>
        </w:rPr>
      </w:pPr>
      <w:bookmarkStart w:id="197" w:name="_Toc50972093"/>
      <w:bookmarkStart w:id="198" w:name="_Toc53037893"/>
      <w:bookmarkStart w:id="199" w:name="_Toc7707471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33</w:t>
      </w:r>
      <w:r w:rsidR="00081B47">
        <w:rPr>
          <w:noProof/>
        </w:rPr>
        <w:fldChar w:fldCharType="end"/>
      </w:r>
      <w:r w:rsidR="00A14159">
        <w:rPr>
          <w:noProof/>
        </w:rPr>
        <w:t>:</w:t>
      </w:r>
      <w:r>
        <w:t xml:space="preserve"> Významné plochy krajinné zeleně – zelené klíny</w:t>
      </w:r>
      <w:bookmarkEnd w:id="197"/>
      <w:bookmarkEnd w:id="198"/>
      <w:bookmarkEnd w:id="199"/>
    </w:p>
    <w:tbl>
      <w:tblPr>
        <w:tblW w:w="3580" w:type="dxa"/>
        <w:tblCellMar>
          <w:left w:w="70" w:type="dxa"/>
          <w:right w:w="70" w:type="dxa"/>
        </w:tblCellMar>
        <w:tblLook w:val="04A0" w:firstRow="1" w:lastRow="0" w:firstColumn="1" w:lastColumn="0" w:noHBand="0" w:noVBand="1"/>
      </w:tblPr>
      <w:tblGrid>
        <w:gridCol w:w="1840"/>
        <w:gridCol w:w="1740"/>
      </w:tblGrid>
      <w:tr w:rsidR="00047BE4" w:rsidRPr="00ED00E2" w14:paraId="05ECDC82" w14:textId="77777777" w:rsidTr="00047BE4">
        <w:trPr>
          <w:trHeight w:val="300"/>
        </w:trPr>
        <w:tc>
          <w:tcPr>
            <w:tcW w:w="18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A86EC6E" w14:textId="77777777" w:rsidR="00047BE4" w:rsidRPr="00ED00E2" w:rsidRDefault="00047BE4" w:rsidP="00047BE4">
            <w:pPr>
              <w:spacing w:before="0"/>
              <w:jc w:val="center"/>
              <w:rPr>
                <w:rFonts w:ascii="Calibri" w:eastAsia="Times New Roman" w:hAnsi="Calibri" w:cs="Calibri"/>
                <w:b/>
                <w:bCs/>
                <w:color w:val="000000"/>
                <w:sz w:val="18"/>
                <w:szCs w:val="18"/>
                <w:lang w:eastAsia="cs-CZ"/>
              </w:rPr>
            </w:pPr>
            <w:r w:rsidRPr="00ED00E2">
              <w:rPr>
                <w:rFonts w:ascii="Calibri" w:eastAsia="Times New Roman" w:hAnsi="Calibri" w:cs="Calibri"/>
                <w:b/>
                <w:bCs/>
                <w:color w:val="000000"/>
                <w:sz w:val="18"/>
                <w:szCs w:val="18"/>
                <w:lang w:eastAsia="cs-CZ"/>
              </w:rPr>
              <w:t>Katastrální území</w:t>
            </w:r>
          </w:p>
        </w:tc>
        <w:tc>
          <w:tcPr>
            <w:tcW w:w="1740" w:type="dxa"/>
            <w:tcBorders>
              <w:top w:val="single" w:sz="4" w:space="0" w:color="auto"/>
              <w:left w:val="nil"/>
              <w:bottom w:val="single" w:sz="4" w:space="0" w:color="auto"/>
              <w:right w:val="single" w:sz="4" w:space="0" w:color="auto"/>
            </w:tcBorders>
            <w:shd w:val="clear" w:color="000000" w:fill="F2F2F2"/>
            <w:noWrap/>
            <w:vAlign w:val="center"/>
            <w:hideMark/>
          </w:tcPr>
          <w:p w14:paraId="3529213C" w14:textId="77777777" w:rsidR="00047BE4" w:rsidRPr="00ED00E2" w:rsidRDefault="00047BE4" w:rsidP="00047BE4">
            <w:pPr>
              <w:spacing w:before="0"/>
              <w:jc w:val="center"/>
              <w:rPr>
                <w:rFonts w:ascii="Calibri" w:eastAsia="Times New Roman" w:hAnsi="Calibri" w:cs="Calibri"/>
                <w:b/>
                <w:bCs/>
                <w:color w:val="000000"/>
                <w:sz w:val="18"/>
                <w:szCs w:val="18"/>
                <w:lang w:eastAsia="cs-CZ"/>
              </w:rPr>
            </w:pPr>
            <w:r w:rsidRPr="00ED00E2">
              <w:rPr>
                <w:rFonts w:ascii="Calibri" w:eastAsia="Times New Roman" w:hAnsi="Calibri" w:cs="Calibri"/>
                <w:b/>
                <w:bCs/>
                <w:color w:val="000000"/>
                <w:sz w:val="18"/>
                <w:szCs w:val="18"/>
                <w:lang w:eastAsia="cs-CZ"/>
              </w:rPr>
              <w:t>Plocha zeleně</w:t>
            </w:r>
          </w:p>
        </w:tc>
      </w:tr>
      <w:tr w:rsidR="00047BE4" w:rsidRPr="00ED00E2" w14:paraId="3A92A03A" w14:textId="77777777" w:rsidTr="00047BE4">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6AD4154E"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Zlín</w:t>
            </w:r>
          </w:p>
        </w:tc>
        <w:tc>
          <w:tcPr>
            <w:tcW w:w="1740" w:type="dxa"/>
            <w:tcBorders>
              <w:top w:val="nil"/>
              <w:left w:val="nil"/>
              <w:bottom w:val="single" w:sz="4" w:space="0" w:color="auto"/>
              <w:right w:val="single" w:sz="4" w:space="0" w:color="auto"/>
            </w:tcBorders>
            <w:shd w:val="clear" w:color="auto" w:fill="auto"/>
            <w:noWrap/>
            <w:vAlign w:val="bottom"/>
            <w:hideMark/>
          </w:tcPr>
          <w:p w14:paraId="6542465F"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Baba</w:t>
            </w:r>
          </w:p>
        </w:tc>
      </w:tr>
      <w:tr w:rsidR="00047BE4" w:rsidRPr="00ED00E2" w14:paraId="0B82ACCA" w14:textId="77777777" w:rsidTr="00047BE4">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26199243"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Zlín</w:t>
            </w:r>
          </w:p>
        </w:tc>
        <w:tc>
          <w:tcPr>
            <w:tcW w:w="1740" w:type="dxa"/>
            <w:tcBorders>
              <w:top w:val="nil"/>
              <w:left w:val="nil"/>
              <w:bottom w:val="single" w:sz="4" w:space="0" w:color="auto"/>
              <w:right w:val="single" w:sz="4" w:space="0" w:color="auto"/>
            </w:tcBorders>
            <w:shd w:val="clear" w:color="auto" w:fill="auto"/>
            <w:noWrap/>
            <w:vAlign w:val="bottom"/>
            <w:hideMark/>
          </w:tcPr>
          <w:p w14:paraId="3E0CC8DD"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Ostrá Horka</w:t>
            </w:r>
          </w:p>
        </w:tc>
      </w:tr>
      <w:tr w:rsidR="00047BE4" w:rsidRPr="00ED00E2" w14:paraId="44944E7E" w14:textId="77777777" w:rsidTr="00047BE4">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2F2B8771"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Zlín</w:t>
            </w:r>
          </w:p>
        </w:tc>
        <w:tc>
          <w:tcPr>
            <w:tcW w:w="1740" w:type="dxa"/>
            <w:tcBorders>
              <w:top w:val="nil"/>
              <w:left w:val="nil"/>
              <w:bottom w:val="single" w:sz="4" w:space="0" w:color="auto"/>
              <w:right w:val="single" w:sz="4" w:space="0" w:color="auto"/>
            </w:tcBorders>
            <w:shd w:val="clear" w:color="auto" w:fill="auto"/>
            <w:noWrap/>
            <w:vAlign w:val="bottom"/>
            <w:hideMark/>
          </w:tcPr>
          <w:p w14:paraId="33F7CD86"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Nivy – Vršava</w:t>
            </w:r>
          </w:p>
        </w:tc>
      </w:tr>
      <w:tr w:rsidR="00047BE4" w:rsidRPr="00ED00E2" w14:paraId="5F018579" w14:textId="77777777" w:rsidTr="00047BE4">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08941630"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Příluky u Zlína</w:t>
            </w:r>
          </w:p>
        </w:tc>
        <w:tc>
          <w:tcPr>
            <w:tcW w:w="1740" w:type="dxa"/>
            <w:tcBorders>
              <w:top w:val="nil"/>
              <w:left w:val="nil"/>
              <w:bottom w:val="single" w:sz="4" w:space="0" w:color="auto"/>
              <w:right w:val="single" w:sz="4" w:space="0" w:color="auto"/>
            </w:tcBorders>
            <w:shd w:val="clear" w:color="auto" w:fill="auto"/>
            <w:noWrap/>
            <w:vAlign w:val="bottom"/>
            <w:hideMark/>
          </w:tcPr>
          <w:p w14:paraId="3423DDD2"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Přílucký hřbet</w:t>
            </w:r>
          </w:p>
        </w:tc>
      </w:tr>
      <w:tr w:rsidR="00047BE4" w:rsidRPr="00ED00E2" w14:paraId="217380A6" w14:textId="77777777" w:rsidTr="00047BE4">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586A5809"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Příluky u Zlína</w:t>
            </w:r>
          </w:p>
        </w:tc>
        <w:tc>
          <w:tcPr>
            <w:tcW w:w="1740" w:type="dxa"/>
            <w:tcBorders>
              <w:top w:val="nil"/>
              <w:left w:val="nil"/>
              <w:bottom w:val="single" w:sz="4" w:space="0" w:color="auto"/>
              <w:right w:val="single" w:sz="4" w:space="0" w:color="auto"/>
            </w:tcBorders>
            <w:shd w:val="clear" w:color="auto" w:fill="auto"/>
            <w:noWrap/>
            <w:vAlign w:val="bottom"/>
            <w:hideMark/>
          </w:tcPr>
          <w:p w14:paraId="02C02C63" w14:textId="77777777" w:rsidR="00047BE4" w:rsidRPr="00ED00E2" w:rsidRDefault="00047BE4" w:rsidP="00047BE4">
            <w:pPr>
              <w:spacing w:before="0"/>
              <w:jc w:val="left"/>
              <w:rPr>
                <w:rFonts w:ascii="Calibri" w:eastAsia="Times New Roman" w:hAnsi="Calibri" w:cs="Calibri"/>
                <w:color w:val="000000"/>
                <w:sz w:val="18"/>
                <w:szCs w:val="18"/>
                <w:lang w:eastAsia="cs-CZ"/>
              </w:rPr>
            </w:pPr>
            <w:r w:rsidRPr="00ED00E2">
              <w:rPr>
                <w:rFonts w:ascii="Calibri" w:eastAsia="Times New Roman" w:hAnsi="Calibri" w:cs="Calibri"/>
                <w:color w:val="000000"/>
                <w:sz w:val="18"/>
                <w:szCs w:val="18"/>
                <w:lang w:eastAsia="cs-CZ"/>
              </w:rPr>
              <w:t>Pančava</w:t>
            </w:r>
          </w:p>
        </w:tc>
      </w:tr>
    </w:tbl>
    <w:p w14:paraId="671B1A00" w14:textId="33EF308A" w:rsidR="00047BE4" w:rsidRPr="00627010" w:rsidRDefault="00047BE4" w:rsidP="00047BE4">
      <w:pPr>
        <w:pStyle w:val="zdroj0"/>
        <w:rPr>
          <w:rFonts w:asciiTheme="minorHAnsi" w:hAnsiTheme="minorHAnsi" w:cstheme="minorHAnsi"/>
        </w:rPr>
      </w:pPr>
      <w:r w:rsidRPr="00627010">
        <w:rPr>
          <w:rFonts w:asciiTheme="minorHAnsi" w:hAnsiTheme="minorHAnsi" w:cstheme="minorHAnsi"/>
        </w:rPr>
        <w:t>Zdroj: Územní plán města Zlín</w:t>
      </w:r>
      <w:r w:rsidR="00A14159">
        <w:rPr>
          <w:rFonts w:asciiTheme="minorHAnsi" w:hAnsiTheme="minorHAnsi" w:cstheme="minorHAnsi"/>
        </w:rPr>
        <w:t>.</w:t>
      </w:r>
    </w:p>
    <w:p w14:paraId="15C15D9A" w14:textId="1ADBE7F5" w:rsidR="00047BE4" w:rsidRDefault="00047BE4" w:rsidP="00047BE4">
      <w:pPr>
        <w:pStyle w:val="Titulek"/>
        <w:keepNext/>
        <w:keepLines/>
      </w:pPr>
      <w:bookmarkStart w:id="200" w:name="_Toc50972092"/>
      <w:bookmarkStart w:id="201" w:name="_Toc53037894"/>
      <w:bookmarkStart w:id="202" w:name="_Toc77074714"/>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34</w:t>
      </w:r>
      <w:r w:rsidR="00081B47">
        <w:rPr>
          <w:noProof/>
        </w:rPr>
        <w:fldChar w:fldCharType="end"/>
      </w:r>
      <w:r w:rsidR="00A14159">
        <w:rPr>
          <w:noProof/>
        </w:rPr>
        <w:t>:</w:t>
      </w:r>
      <w:r>
        <w:t xml:space="preserve"> Plochy zeleně se zvýšenou ochranou</w:t>
      </w:r>
      <w:bookmarkEnd w:id="200"/>
      <w:bookmarkEnd w:id="201"/>
      <w:bookmarkEnd w:id="202"/>
    </w:p>
    <w:p w14:paraId="36308A21" w14:textId="77777777" w:rsidR="00047BE4" w:rsidRDefault="00047BE4" w:rsidP="00047BE4">
      <w:pPr>
        <w:rPr>
          <w:lang w:val="en-US"/>
        </w:rPr>
      </w:pPr>
      <w:r w:rsidRPr="00113175">
        <w:rPr>
          <w:noProof/>
          <w:lang w:eastAsia="cs-CZ"/>
        </w:rPr>
        <w:drawing>
          <wp:inline distT="0" distB="0" distL="0" distR="0" wp14:anchorId="63DDF016" wp14:editId="54505EF9">
            <wp:extent cx="4143375" cy="4200525"/>
            <wp:effectExtent l="0" t="0" r="9525" b="9525"/>
            <wp:docPr id="213" name="Obráze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43375" cy="4200525"/>
                    </a:xfrm>
                    <a:prstGeom prst="rect">
                      <a:avLst/>
                    </a:prstGeom>
                    <a:noFill/>
                    <a:ln>
                      <a:noFill/>
                    </a:ln>
                  </pic:spPr>
                </pic:pic>
              </a:graphicData>
            </a:graphic>
          </wp:inline>
        </w:drawing>
      </w:r>
    </w:p>
    <w:p w14:paraId="7F2FDBC4" w14:textId="1D36C22D" w:rsidR="00047BE4" w:rsidRPr="00627010" w:rsidRDefault="00047BE4" w:rsidP="00047BE4">
      <w:pPr>
        <w:pStyle w:val="zdroj0"/>
        <w:rPr>
          <w:rFonts w:asciiTheme="minorHAnsi" w:hAnsiTheme="minorHAnsi" w:cstheme="minorHAnsi"/>
        </w:rPr>
      </w:pPr>
      <w:r w:rsidRPr="00627010">
        <w:rPr>
          <w:rFonts w:asciiTheme="minorHAnsi" w:hAnsiTheme="minorHAnsi" w:cstheme="minorHAnsi"/>
        </w:rPr>
        <w:t>Zdroj: Územní plán města Zlín</w:t>
      </w:r>
      <w:r w:rsidR="00A14159">
        <w:rPr>
          <w:rFonts w:asciiTheme="minorHAnsi" w:hAnsiTheme="minorHAnsi" w:cstheme="minorHAnsi"/>
        </w:rPr>
        <w:t>.</w:t>
      </w:r>
    </w:p>
    <w:p w14:paraId="6A0EEEDA" w14:textId="7043436C" w:rsidR="00047BE4" w:rsidRDefault="00047BE4" w:rsidP="00047BE4">
      <w:r>
        <w:t>Ve veřejném prostoru Zlína se také nachází řada letničkových a trvalkových záhonů, umístěných v závěsných nádobách nebo truhlících v prostorech veřejné zeleně nebo budov pracoviště města. Zajímavým prvkem veřejné zeleně jsou udržovaná „biopolíčka“, které slouží jako útočiště pro hmyz a</w:t>
      </w:r>
      <w:r w:rsidR="00A14159">
        <w:t> </w:t>
      </w:r>
      <w:r>
        <w:t xml:space="preserve">ptactvo v husté městské zástavbě. Vedle parků pečuje město také o několik ovocných sadů doplněných květnatými loukami, které pomáhají dotvářet charakteristický místní krajinný ráz. V sadech se nachází také řada hodnotných původních odrůd jabloní nebo hrušní (například genofondový sad Baba založený městem). Celková rozloha sadů na území Zlína činí 160 ha. Odbor městské zeleně MMZ také provozuje databázi městských stromů </w:t>
      </w:r>
      <w:r w:rsidRPr="000654E2">
        <w:t>“Stromy pod kontrolou”, v jej</w:t>
      </w:r>
      <w:r>
        <w:t>íž evidenci je více než 22 000 stromů. Databáze obsahuje informace o zdravotním stavu dřevin a předchozích zásazích.</w:t>
      </w:r>
    </w:p>
    <w:p w14:paraId="59EE1CC0" w14:textId="77777777" w:rsidR="00047BE4" w:rsidRDefault="00047BE4" w:rsidP="00047BE4">
      <w:pPr>
        <w:pStyle w:val="Nadpis4"/>
      </w:pPr>
      <w:r>
        <w:t>Z</w:t>
      </w:r>
      <w:r w:rsidRPr="009E07FD">
        <w:t xml:space="preserve">ákladní ukazatele kvality životního prostředí </w:t>
      </w:r>
    </w:p>
    <w:p w14:paraId="1ED1DFBF" w14:textId="77777777" w:rsidR="00047BE4" w:rsidRPr="00C82A4C" w:rsidRDefault="00047BE4" w:rsidP="00047BE4">
      <w:pPr>
        <w:keepNext/>
        <w:rPr>
          <w:b/>
        </w:rPr>
      </w:pPr>
      <w:r w:rsidRPr="00C82A4C">
        <w:rPr>
          <w:b/>
        </w:rPr>
        <w:t>Kvalita ovzduší</w:t>
      </w:r>
    </w:p>
    <w:p w14:paraId="74816EBC" w14:textId="77777777" w:rsidR="00047BE4" w:rsidRDefault="00047BE4" w:rsidP="00047BE4">
      <w:r>
        <w:t xml:space="preserve">Na znečištění ovzduší má vliv řada faktorů. Primární zdroje znečištění vznikají z velké části důsledkem vytápění domácností, v průmyslové výrobě, energetice a dopravě. Kvalitu ovzduší zásadně ovlivňuje proudění v atmosféře, proto zásadní roli hrají geomorfologické podmínky spolu s meteorologickou situací. Pro Zlín platí, že horší rozptylové podmínky jsou v údolní oblasti podél řeky Dřevnice, ve vyšších polohách jsou rozptylové podmínky </w:t>
      </w:r>
      <w:r w:rsidRPr="003C5CD6">
        <w:rPr>
          <w:color w:val="000000" w:themeColor="text1"/>
        </w:rPr>
        <w:t>lepší. Zároveň dochází k dálkovému přenosu znečištění na větší vzdálenosti od zdroje, při řešení problémů je tedy nutná nadregionální spolupráce.</w:t>
      </w:r>
      <w:r>
        <w:rPr>
          <w:color w:val="000000" w:themeColor="text1"/>
        </w:rPr>
        <w:t xml:space="preserve"> V případě Zlína dochází k ovlivnění kvality ovzduší škodlivinami ze sousedního Moravskoslezského kraje a Polska.</w:t>
      </w:r>
    </w:p>
    <w:p w14:paraId="24822606" w14:textId="4C8E7EE1" w:rsidR="00047BE4" w:rsidRPr="00822BE1" w:rsidRDefault="00047BE4" w:rsidP="00047BE4">
      <w:pPr>
        <w:rPr>
          <w:rFonts w:cstheme="minorHAnsi"/>
        </w:rPr>
      </w:pPr>
      <w:r>
        <w:rPr>
          <w:rFonts w:cstheme="minorHAnsi"/>
        </w:rPr>
        <w:lastRenderedPageBreak/>
        <w:t>Pro účely sledování kvality ovzduší v lokalitě rezidenční zóny v centru Zlína</w:t>
      </w:r>
      <w:r w:rsidRPr="00822BE1">
        <w:rPr>
          <w:rFonts w:cstheme="minorHAnsi"/>
        </w:rPr>
        <w:t xml:space="preserve"> </w:t>
      </w:r>
      <w:r>
        <w:rPr>
          <w:rFonts w:cstheme="minorHAnsi"/>
        </w:rPr>
        <w:t xml:space="preserve">byla zřízena v roce 2017 </w:t>
      </w:r>
      <w:r w:rsidRPr="00822BE1">
        <w:rPr>
          <w:rFonts w:cstheme="minorHAnsi"/>
        </w:rPr>
        <w:t>meteorologick</w:t>
      </w:r>
      <w:r>
        <w:rPr>
          <w:rFonts w:cstheme="minorHAnsi"/>
        </w:rPr>
        <w:t>á</w:t>
      </w:r>
      <w:r w:rsidRPr="00822BE1">
        <w:rPr>
          <w:rFonts w:cstheme="minorHAnsi"/>
        </w:rPr>
        <w:t xml:space="preserve"> stanice Zlín – Kvítková, patřící do státní sítě imisního monitoringu (ČHMÚ)</w:t>
      </w:r>
      <w:r w:rsidRPr="00822BE1">
        <w:rPr>
          <w:rStyle w:val="Znakapoznpodarou"/>
          <w:rFonts w:cstheme="minorHAnsi"/>
        </w:rPr>
        <w:footnoteReference w:id="37"/>
      </w:r>
      <w:r w:rsidRPr="00822BE1">
        <w:rPr>
          <w:rFonts w:cstheme="minorHAnsi"/>
        </w:rPr>
        <w:t>.</w:t>
      </w:r>
      <w:r>
        <w:rPr>
          <w:rFonts w:cstheme="minorHAnsi"/>
        </w:rPr>
        <w:t xml:space="preserve"> </w:t>
      </w:r>
      <w:r w:rsidRPr="00822BE1">
        <w:rPr>
          <w:rFonts w:cstheme="minorHAnsi"/>
        </w:rPr>
        <w:t>Meteorologická stanice sleduje znečištění polétavým prachem PM</w:t>
      </w:r>
      <w:r w:rsidRPr="00822BE1">
        <w:rPr>
          <w:rFonts w:cstheme="minorHAnsi"/>
          <w:vertAlign w:val="subscript"/>
        </w:rPr>
        <w:t>10</w:t>
      </w:r>
      <w:r w:rsidRPr="00822BE1">
        <w:rPr>
          <w:rFonts w:cstheme="minorHAnsi"/>
        </w:rPr>
        <w:t xml:space="preserve"> a PM</w:t>
      </w:r>
      <w:r w:rsidRPr="00822BE1">
        <w:rPr>
          <w:rFonts w:cstheme="minorHAnsi"/>
          <w:vertAlign w:val="subscript"/>
        </w:rPr>
        <w:t>2,5</w:t>
      </w:r>
      <w:r w:rsidRPr="00822BE1">
        <w:rPr>
          <w:rFonts w:cstheme="minorHAnsi"/>
        </w:rPr>
        <w:t xml:space="preserve"> </w:t>
      </w:r>
      <w:r>
        <w:rPr>
          <w:rFonts w:cstheme="minorHAnsi"/>
        </w:rPr>
        <w:t xml:space="preserve">, </w:t>
      </w:r>
      <w:r w:rsidRPr="00822BE1">
        <w:rPr>
          <w:rFonts w:cstheme="minorHAnsi"/>
        </w:rPr>
        <w:t>PM</w:t>
      </w:r>
      <w:r w:rsidRPr="00822BE1">
        <w:rPr>
          <w:rFonts w:cstheme="minorHAnsi"/>
          <w:vertAlign w:val="subscript"/>
        </w:rPr>
        <w:t>1</w:t>
      </w:r>
      <w:r>
        <w:rPr>
          <w:rFonts w:cstheme="minorHAnsi"/>
          <w:vertAlign w:val="subscript"/>
        </w:rPr>
        <w:t xml:space="preserve"> </w:t>
      </w:r>
      <w:r w:rsidRPr="00822BE1">
        <w:rPr>
          <w:rFonts w:cstheme="minorHAnsi"/>
        </w:rPr>
        <w:t>, oxidy dusíku NO</w:t>
      </w:r>
      <w:r w:rsidRPr="00822BE1">
        <w:rPr>
          <w:rFonts w:cstheme="minorHAnsi"/>
          <w:vertAlign w:val="subscript"/>
        </w:rPr>
        <w:t>X</w:t>
      </w:r>
      <w:r w:rsidRPr="00822BE1">
        <w:rPr>
          <w:rFonts w:cstheme="minorHAnsi"/>
        </w:rPr>
        <w:t xml:space="preserve"> , a</w:t>
      </w:r>
      <w:r w:rsidR="00A14159">
        <w:rPr>
          <w:rFonts w:cstheme="minorHAnsi"/>
        </w:rPr>
        <w:t> </w:t>
      </w:r>
      <w:r w:rsidRPr="00822BE1">
        <w:rPr>
          <w:rFonts w:cstheme="minorHAnsi"/>
        </w:rPr>
        <w:t>přízemního ozonu O</w:t>
      </w:r>
      <w:r w:rsidRPr="00822BE1">
        <w:rPr>
          <w:rFonts w:cstheme="minorHAnsi"/>
          <w:vertAlign w:val="subscript"/>
        </w:rPr>
        <w:t xml:space="preserve">3 </w:t>
      </w:r>
      <w:r w:rsidRPr="00822BE1">
        <w:rPr>
          <w:rFonts w:cstheme="minorHAnsi"/>
        </w:rPr>
        <w:t>.</w:t>
      </w:r>
    </w:p>
    <w:p w14:paraId="2FF9743F" w14:textId="7383F556" w:rsidR="00047BE4" w:rsidRDefault="00047BE4" w:rsidP="00047BE4">
      <w:pPr>
        <w:rPr>
          <w:rFonts w:cstheme="minorHAnsi"/>
        </w:rPr>
      </w:pPr>
      <w:r w:rsidRPr="00822BE1">
        <w:t>U polétavého prachu jsou nejvyšší hodnoty koncentrace v atmosféře v </w:t>
      </w:r>
      <w:r>
        <w:t>chladných</w:t>
      </w:r>
      <w:r w:rsidRPr="00822BE1">
        <w:t xml:space="preserve"> měsících topné sezóny </w:t>
      </w:r>
      <w:r>
        <w:t xml:space="preserve">– </w:t>
      </w:r>
      <w:r w:rsidRPr="00822BE1">
        <w:t>leden, únor</w:t>
      </w:r>
      <w:r>
        <w:t xml:space="preserve"> (v předchozím roce také březen, listopad</w:t>
      </w:r>
      <w:r w:rsidRPr="00822BE1">
        <w:t xml:space="preserve">), kdy za podmínek inverze </w:t>
      </w:r>
      <w:r>
        <w:t xml:space="preserve">a nízké rychlosti větru </w:t>
      </w:r>
      <w:r w:rsidRPr="00822BE1">
        <w:t>nedochází k rozptylu škodlivin</w:t>
      </w:r>
      <w:r>
        <w:t>, dochází ke vzniku smogových situací</w:t>
      </w:r>
      <w:r w:rsidRPr="00822BE1">
        <w:t xml:space="preserve">. Z naměřených hodnot za rok 2019 </w:t>
      </w:r>
      <w:r w:rsidR="00E111E6">
        <w:t>(znázorněno na obrázku 1.35</w:t>
      </w:r>
      <w:r>
        <w:t xml:space="preserve">) </w:t>
      </w:r>
      <w:r w:rsidRPr="00822BE1">
        <w:t>vyplývá, že průměrné roční koncentrace PM</w:t>
      </w:r>
      <w:r w:rsidRPr="00822BE1">
        <w:rPr>
          <w:vertAlign w:val="subscript"/>
        </w:rPr>
        <w:t>10</w:t>
      </w:r>
      <w:r w:rsidRPr="00822BE1">
        <w:t xml:space="preserve"> (24,7 μg∙m</w:t>
      </w:r>
      <w:r w:rsidRPr="00822BE1">
        <w:rPr>
          <w:vertAlign w:val="superscript"/>
        </w:rPr>
        <w:t>–3</w:t>
      </w:r>
      <w:r w:rsidRPr="00822BE1">
        <w:t>) ani PM</w:t>
      </w:r>
      <w:r w:rsidRPr="00822BE1">
        <w:rPr>
          <w:vertAlign w:val="subscript"/>
        </w:rPr>
        <w:t>2,5</w:t>
      </w:r>
      <w:r w:rsidRPr="00822BE1">
        <w:t xml:space="preserve"> (19 μg∙m</w:t>
      </w:r>
      <w:r w:rsidRPr="00822BE1">
        <w:rPr>
          <w:vertAlign w:val="superscript"/>
        </w:rPr>
        <w:t>–3</w:t>
      </w:r>
      <w:r w:rsidRPr="00822BE1">
        <w:t>) nepřekračují imisní limit pro průměrné roční koncen</w:t>
      </w:r>
      <w:r>
        <w:t>trace těchto škodlivin a</w:t>
      </w:r>
      <w:r w:rsidR="00A14159">
        <w:t> </w:t>
      </w:r>
      <w:r>
        <w:t>to</w:t>
      </w:r>
      <w:r w:rsidR="00A14159">
        <w:t> </w:t>
      </w:r>
      <w:r>
        <w:t>i</w:t>
      </w:r>
      <w:r w:rsidR="00A14159">
        <w:t> </w:t>
      </w:r>
      <w:r w:rsidRPr="00822BE1">
        <w:t>při zohlednění přísnějšího imisního limitu platného od roku 2020 (20 μg∙m</w:t>
      </w:r>
      <w:r w:rsidRPr="00822BE1">
        <w:rPr>
          <w:vertAlign w:val="superscript"/>
        </w:rPr>
        <w:t>–3</w:t>
      </w:r>
      <w:r w:rsidRPr="00822BE1">
        <w:t>).</w:t>
      </w:r>
      <w:r>
        <w:t xml:space="preserve"> Nicméně v předchozím sledovaném roce 2018 byl imisní limit pro</w:t>
      </w:r>
      <w:r w:rsidRPr="00822BE1">
        <w:t xml:space="preserve"> PM</w:t>
      </w:r>
      <w:r w:rsidRPr="00822BE1">
        <w:rPr>
          <w:vertAlign w:val="subscript"/>
        </w:rPr>
        <w:t>2,5</w:t>
      </w:r>
      <w:r w:rsidRPr="00822BE1">
        <w:t xml:space="preserve"> </w:t>
      </w:r>
      <w:r>
        <w:t xml:space="preserve">mírně překročen. </w:t>
      </w:r>
      <w:r w:rsidRPr="00822BE1">
        <w:t>Dále se sleduje 24hodinový imisní limit pro částice PM</w:t>
      </w:r>
      <w:r w:rsidRPr="00822BE1">
        <w:rPr>
          <w:vertAlign w:val="subscript"/>
        </w:rPr>
        <w:t xml:space="preserve">10 </w:t>
      </w:r>
      <w:r w:rsidRPr="00822BE1">
        <w:t>(50 μg∙m</w:t>
      </w:r>
      <w:r w:rsidRPr="00822BE1">
        <w:rPr>
          <w:vertAlign w:val="superscript"/>
        </w:rPr>
        <w:t>–3</w:t>
      </w:r>
      <w:r w:rsidRPr="00822BE1">
        <w:t>)</w:t>
      </w:r>
      <w:r>
        <w:t xml:space="preserve">, který byl v případě Zlína překročen 29x v roce 2019 (limit je 35). V roce 2018 byl tento imisní limit překročen 31x. Z dostupných dat také vyplývá, že podíl velmi jemných frakcí </w:t>
      </w:r>
      <w:r w:rsidRPr="00822BE1">
        <w:rPr>
          <w:rFonts w:cstheme="minorHAnsi"/>
        </w:rPr>
        <w:t>PM</w:t>
      </w:r>
      <w:r w:rsidRPr="00822BE1">
        <w:rPr>
          <w:rFonts w:cstheme="minorHAnsi"/>
          <w:vertAlign w:val="subscript"/>
        </w:rPr>
        <w:t>2,5</w:t>
      </w:r>
      <w:r w:rsidRPr="00822BE1">
        <w:rPr>
          <w:rFonts w:cstheme="minorHAnsi"/>
        </w:rPr>
        <w:t xml:space="preserve"> </w:t>
      </w:r>
      <w:r>
        <w:rPr>
          <w:rFonts w:cstheme="minorHAnsi"/>
        </w:rPr>
        <w:t xml:space="preserve">a </w:t>
      </w:r>
      <w:r w:rsidRPr="00822BE1">
        <w:rPr>
          <w:rFonts w:cstheme="minorHAnsi"/>
        </w:rPr>
        <w:t>PM</w:t>
      </w:r>
      <w:r w:rsidRPr="00822BE1">
        <w:rPr>
          <w:rFonts w:cstheme="minorHAnsi"/>
          <w:vertAlign w:val="subscript"/>
        </w:rPr>
        <w:t>1</w:t>
      </w:r>
      <w:r>
        <w:rPr>
          <w:rFonts w:cstheme="minorHAnsi"/>
        </w:rPr>
        <w:t xml:space="preserve"> , které jsou zároveň pro lidský organismus nejnebezpečnější, je nejvyšší právě v chladném období topné sezóny.</w:t>
      </w:r>
    </w:p>
    <w:p w14:paraId="0FED53FB" w14:textId="71790BF8" w:rsidR="00047BE4" w:rsidRDefault="00047BE4" w:rsidP="00047BE4">
      <w:pPr>
        <w:pStyle w:val="Titulek"/>
        <w:keepNext/>
        <w:keepLines/>
        <w:rPr>
          <w:rFonts w:cstheme="minorHAnsi"/>
        </w:rPr>
      </w:pPr>
      <w:bookmarkStart w:id="203" w:name="_Toc48653028"/>
      <w:bookmarkStart w:id="204" w:name="_Toc53037924"/>
      <w:bookmarkStart w:id="205" w:name="_Toc7707485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35</w:t>
      </w:r>
      <w:r w:rsidR="00804AF3">
        <w:rPr>
          <w:noProof/>
        </w:rPr>
        <w:fldChar w:fldCharType="end"/>
      </w:r>
      <w:r w:rsidR="00A14159">
        <w:rPr>
          <w:noProof/>
        </w:rPr>
        <w:t>:</w:t>
      </w:r>
      <w:r>
        <w:t xml:space="preserve"> </w:t>
      </w:r>
      <w:r>
        <w:rPr>
          <w:rFonts w:cstheme="minorHAnsi"/>
        </w:rPr>
        <w:t xml:space="preserve">Vývoj průměrných měsíčních koncentrací </w:t>
      </w:r>
      <w:r w:rsidRPr="00822BE1">
        <w:rPr>
          <w:rFonts w:cstheme="minorHAnsi"/>
        </w:rPr>
        <w:t>prachem PM</w:t>
      </w:r>
      <w:r w:rsidRPr="00822BE1">
        <w:rPr>
          <w:rFonts w:cstheme="minorHAnsi"/>
          <w:vertAlign w:val="subscript"/>
        </w:rPr>
        <w:t>10</w:t>
      </w:r>
      <w:r w:rsidRPr="00822BE1">
        <w:rPr>
          <w:rFonts w:cstheme="minorHAnsi"/>
        </w:rPr>
        <w:t xml:space="preserve"> a PM</w:t>
      </w:r>
      <w:r w:rsidRPr="00822BE1">
        <w:rPr>
          <w:rFonts w:cstheme="minorHAnsi"/>
          <w:vertAlign w:val="subscript"/>
        </w:rPr>
        <w:t>2,5</w:t>
      </w:r>
      <w:r w:rsidRPr="00822BE1">
        <w:rPr>
          <w:rFonts w:cstheme="minorHAnsi"/>
        </w:rPr>
        <w:t xml:space="preserve"> </w:t>
      </w:r>
      <w:r>
        <w:rPr>
          <w:rFonts w:cstheme="minorHAnsi"/>
        </w:rPr>
        <w:t xml:space="preserve">, </w:t>
      </w:r>
      <w:r w:rsidRPr="00822BE1">
        <w:rPr>
          <w:rFonts w:cstheme="minorHAnsi"/>
        </w:rPr>
        <w:t>PM</w:t>
      </w:r>
      <w:r w:rsidRPr="00822BE1">
        <w:rPr>
          <w:rFonts w:cstheme="minorHAnsi"/>
          <w:vertAlign w:val="subscript"/>
        </w:rPr>
        <w:t>1</w:t>
      </w:r>
      <w:r>
        <w:rPr>
          <w:rFonts w:cstheme="minorHAnsi"/>
          <w:vertAlign w:val="subscript"/>
        </w:rPr>
        <w:t xml:space="preserve"> </w:t>
      </w:r>
      <w:r>
        <w:rPr>
          <w:rFonts w:cstheme="minorHAnsi"/>
        </w:rPr>
        <w:t>v lokalitě Zlín – Kvítková v roce</w:t>
      </w:r>
      <w:r w:rsidRPr="00D84EA8">
        <w:rPr>
          <w:rFonts w:cstheme="minorHAnsi"/>
        </w:rPr>
        <w:t xml:space="preserve"> 2019</w:t>
      </w:r>
      <w:bookmarkEnd w:id="203"/>
      <w:bookmarkEnd w:id="204"/>
      <w:bookmarkEnd w:id="205"/>
    </w:p>
    <w:p w14:paraId="1EBB756A" w14:textId="77777777" w:rsidR="00047BE4" w:rsidRPr="00FC5690" w:rsidRDefault="00047BE4" w:rsidP="00047BE4">
      <w:r>
        <w:rPr>
          <w:noProof/>
          <w:lang w:eastAsia="cs-CZ"/>
        </w:rPr>
        <w:drawing>
          <wp:inline distT="0" distB="0" distL="0" distR="0" wp14:anchorId="2A584E46" wp14:editId="18BFA8C7">
            <wp:extent cx="5760000" cy="3086125"/>
            <wp:effectExtent l="19050" t="19050" r="12700" b="19050"/>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a:blip r:embed="rId63">
                      <a:extLst>
                        <a:ext uri="{28A0092B-C50C-407E-A947-70E740481C1C}">
                          <a14:useLocalDpi xmlns:a14="http://schemas.microsoft.com/office/drawing/2010/main" val="0"/>
                        </a:ext>
                      </a:extLst>
                    </a:blip>
                    <a:stretch>
                      <a:fillRect/>
                    </a:stretch>
                  </pic:blipFill>
                  <pic:spPr>
                    <a:xfrm>
                      <a:off x="0" y="0"/>
                      <a:ext cx="5760000" cy="3086125"/>
                    </a:xfrm>
                    <a:prstGeom prst="rect">
                      <a:avLst/>
                    </a:prstGeom>
                    <a:ln>
                      <a:solidFill>
                        <a:schemeClr val="bg1">
                          <a:lumMod val="50000"/>
                        </a:schemeClr>
                      </a:solidFill>
                    </a:ln>
                  </pic:spPr>
                </pic:pic>
              </a:graphicData>
            </a:graphic>
          </wp:inline>
        </w:drawing>
      </w:r>
    </w:p>
    <w:p w14:paraId="189423F3" w14:textId="77777777" w:rsidR="00047BE4" w:rsidRPr="000654E2" w:rsidRDefault="00047BE4" w:rsidP="00047BE4">
      <w:pPr>
        <w:pStyle w:val="Zdroj"/>
      </w:pPr>
      <w:r w:rsidRPr="00D84EA8">
        <w:t>Zdroj:</w:t>
      </w:r>
      <w:r>
        <w:t xml:space="preserve"> </w:t>
      </w:r>
      <w:r w:rsidRPr="00D84EA8">
        <w:t>ENVITECH BOHEMIA (2020): Vyhodnocení kvality ovzduší v lokalitě</w:t>
      </w:r>
      <w:r>
        <w:t xml:space="preserve"> Zlín – Kvítková Rok 2019</w:t>
      </w:r>
    </w:p>
    <w:p w14:paraId="0633DCD9" w14:textId="1186B082" w:rsidR="00047BE4" w:rsidRDefault="00047BE4" w:rsidP="00047BE4">
      <w:r>
        <w:t xml:space="preserve">V ovzduší jsou dále sledovány koncentrace </w:t>
      </w:r>
      <w:r w:rsidRPr="00822BE1">
        <w:t>oxid</w:t>
      </w:r>
      <w:r>
        <w:t>ů</w:t>
      </w:r>
      <w:r w:rsidRPr="00822BE1">
        <w:t xml:space="preserve"> dusíku</w:t>
      </w:r>
      <w:r>
        <w:t>, jejichž imise souvisí především se zatížení dopravou. Nejvyšší koncentrace v rámci denního chodu byly naměřeny během ranní a večerní špičky pracovních dnů. Průměrná roční koncentrace NO</w:t>
      </w:r>
      <w:r w:rsidRPr="0051098D">
        <w:rPr>
          <w:vertAlign w:val="subscript"/>
        </w:rPr>
        <w:t>2</w:t>
      </w:r>
      <w:r>
        <w:t xml:space="preserve"> (30 μg∙m</w:t>
      </w:r>
      <w:r w:rsidRPr="0051098D">
        <w:rPr>
          <w:sz w:val="14"/>
          <w:szCs w:val="14"/>
          <w:vertAlign w:val="superscript"/>
        </w:rPr>
        <w:t>–3</w:t>
      </w:r>
      <w:r w:rsidR="001620D7">
        <w:t xml:space="preserve">) </w:t>
      </w:r>
      <w:r>
        <w:t>nepřekračuje imisní limit pro průměrnou roční koncentraci NO</w:t>
      </w:r>
      <w:r w:rsidRPr="0051098D">
        <w:rPr>
          <w:vertAlign w:val="subscript"/>
        </w:rPr>
        <w:t>2</w:t>
      </w:r>
      <w:r>
        <w:rPr>
          <w:vertAlign w:val="subscript"/>
        </w:rPr>
        <w:t xml:space="preserve"> </w:t>
      </w:r>
      <w:r>
        <w:t>. V případě sledování koncentrace</w:t>
      </w:r>
      <w:r w:rsidRPr="0051098D">
        <w:rPr>
          <w:rFonts w:cstheme="minorHAnsi"/>
        </w:rPr>
        <w:t xml:space="preserve"> </w:t>
      </w:r>
      <w:r w:rsidRPr="00822BE1">
        <w:rPr>
          <w:rFonts w:cstheme="minorHAnsi"/>
        </w:rPr>
        <w:t>přízemního ozonu O</w:t>
      </w:r>
      <w:r w:rsidRPr="00822BE1">
        <w:rPr>
          <w:rFonts w:cstheme="minorHAnsi"/>
          <w:vertAlign w:val="subscript"/>
        </w:rPr>
        <w:t xml:space="preserve">3 </w:t>
      </w:r>
      <w:r>
        <w:rPr>
          <w:rFonts w:cstheme="minorHAnsi"/>
        </w:rPr>
        <w:t>jsou nejvyšší hodnoty dosahovány v letních dnech s vysokými teplotami a dlouhou dobou slunečního svitu. V letech 2018 a</w:t>
      </w:r>
      <w:r w:rsidR="00A14159">
        <w:rPr>
          <w:rFonts w:cstheme="minorHAnsi"/>
        </w:rPr>
        <w:t> </w:t>
      </w:r>
      <w:r>
        <w:rPr>
          <w:rFonts w:cstheme="minorHAnsi"/>
        </w:rPr>
        <w:t xml:space="preserve">2019 nebyl v případě přízemního ozonu překročen imisní limit. </w:t>
      </w:r>
      <w:r>
        <w:t xml:space="preserve">V ovzduší dochází také ke znečištění benzo[a]pyrenenm (BaP), jehož hlavním zdrojem jsou lokální topeniště. Jedná se o zástupce </w:t>
      </w:r>
      <w:r>
        <w:lastRenderedPageBreak/>
        <w:t>polyaromatických uhlovodíků, vznikajícího především spalováním fosilních paliv. BaP je látka škodlivá pro lidské zdraví s karcinogenními účinky. Z provedené studie</w:t>
      </w:r>
      <w:r>
        <w:rPr>
          <w:rStyle w:val="Znakapoznpodarou"/>
        </w:rPr>
        <w:footnoteReference w:id="38"/>
      </w:r>
      <w:r>
        <w:t xml:space="preserve"> vyplývá pravidelné překračování imisního limitu pro BaP ve sledovaných letech. Také z údajů průměrných hodnot z</w:t>
      </w:r>
      <w:r w:rsidR="001620D7">
        <w:t xml:space="preserve">nečištění ovzduší za roky 2014 </w:t>
      </w:r>
      <w:r w:rsidR="001620D7">
        <w:sym w:font="Symbol" w:char="F02D"/>
      </w:r>
      <w:r>
        <w:t xml:space="preserve"> 2018</w:t>
      </w:r>
      <w:r>
        <w:rPr>
          <w:rStyle w:val="Znakapoznpodarou"/>
        </w:rPr>
        <w:footnoteReference w:id="39"/>
      </w:r>
      <w:r>
        <w:t xml:space="preserve"> je patrné překročení imisního limitu v tomto období za celé území Zlína. Znečištění BaP ve Zlíně je srovnatelné se zbytkem Zlínského kraje, problém se dotýká i menších obcí v důsledku nevhodného vytápění v lokálních topeništích nebo spoluspalování odpadu.</w:t>
      </w:r>
    </w:p>
    <w:p w14:paraId="0EAC33D2" w14:textId="35A5304C" w:rsidR="00047BE4" w:rsidRPr="007C53BF" w:rsidRDefault="00047BE4" w:rsidP="00047BE4">
      <w:pPr>
        <w:rPr>
          <w:rFonts w:cstheme="minorHAnsi"/>
        </w:rPr>
      </w:pPr>
      <w:r>
        <w:rPr>
          <w:rFonts w:cstheme="minorHAnsi"/>
        </w:rPr>
        <w:t xml:space="preserve">Srovnání kvality ovzduší ve Zlíně s ostatními většími městy v Česku znázorňuje mapa na obrázku </w:t>
      </w:r>
      <w:r w:rsidR="00E111E6">
        <w:rPr>
          <w:rFonts w:cstheme="minorHAnsi"/>
        </w:rPr>
        <w:t>1.36</w:t>
      </w:r>
      <w:r>
        <w:rPr>
          <w:rFonts w:cstheme="minorHAnsi"/>
        </w:rPr>
        <w:t>, kde je uvedena hodnota indexu kvality ovzduší</w:t>
      </w:r>
      <w:r>
        <w:rPr>
          <w:rStyle w:val="Znakapoznpodarou"/>
          <w:rFonts w:cstheme="minorHAnsi"/>
        </w:rPr>
        <w:footnoteReference w:id="40"/>
      </w:r>
      <w:r>
        <w:rPr>
          <w:rFonts w:cstheme="minorHAnsi"/>
        </w:rPr>
        <w:t xml:space="preserve">. Jedná se o ukazatel stanovený ČHMÚ, jehož výpočet vychází z naměřených hodnot hodinových koncentrací </w:t>
      </w:r>
      <w:r w:rsidRPr="00822BE1">
        <w:t>PM</w:t>
      </w:r>
      <w:r w:rsidRPr="00822BE1">
        <w:rPr>
          <w:vertAlign w:val="subscript"/>
        </w:rPr>
        <w:t>10</w:t>
      </w:r>
      <w:r>
        <w:rPr>
          <w:vertAlign w:val="subscript"/>
        </w:rPr>
        <w:t xml:space="preserve">, </w:t>
      </w:r>
      <w:r>
        <w:t>NO</w:t>
      </w:r>
      <w:r w:rsidRPr="0051098D">
        <w:rPr>
          <w:vertAlign w:val="subscript"/>
        </w:rPr>
        <w:t>2</w:t>
      </w:r>
      <w:r>
        <w:rPr>
          <w:rFonts w:cstheme="minorHAnsi"/>
        </w:rPr>
        <w:t xml:space="preserve"> a </w:t>
      </w:r>
      <w:r w:rsidRPr="00822BE1">
        <w:rPr>
          <w:rFonts w:cstheme="minorHAnsi"/>
        </w:rPr>
        <w:t>O</w:t>
      </w:r>
      <w:r w:rsidRPr="00822BE1">
        <w:rPr>
          <w:rFonts w:cstheme="minorHAnsi"/>
          <w:vertAlign w:val="subscript"/>
        </w:rPr>
        <w:t>3</w:t>
      </w:r>
      <w:r>
        <w:rPr>
          <w:rFonts w:cstheme="minorHAnsi"/>
        </w:rPr>
        <w:t>. Ze srovnání je patrná převážně dobrá až uspokojivá kvalita ovzduší ve Zlíně.</w:t>
      </w:r>
    </w:p>
    <w:p w14:paraId="7F4CC199" w14:textId="4B8E667E" w:rsidR="00047BE4" w:rsidRDefault="00047BE4" w:rsidP="00047BE4">
      <w:pPr>
        <w:pStyle w:val="Titulek"/>
      </w:pPr>
      <w:bookmarkStart w:id="206" w:name="_Toc48653029"/>
      <w:bookmarkStart w:id="207" w:name="_Toc53037925"/>
      <w:bookmarkStart w:id="208" w:name="_Toc7707485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36</w:t>
      </w:r>
      <w:r w:rsidR="00804AF3">
        <w:rPr>
          <w:noProof/>
        </w:rPr>
        <w:fldChar w:fldCharType="end"/>
      </w:r>
      <w:r w:rsidR="001620D7">
        <w:rPr>
          <w:noProof/>
        </w:rPr>
        <w:t>:</w:t>
      </w:r>
      <w:r>
        <w:t xml:space="preserve"> Index kvality ovzduší vybraných měst Č</w:t>
      </w:r>
      <w:bookmarkEnd w:id="206"/>
      <w:r>
        <w:t>R</w:t>
      </w:r>
      <w:bookmarkEnd w:id="207"/>
      <w:bookmarkEnd w:id="208"/>
    </w:p>
    <w:p w14:paraId="3EAC0145" w14:textId="77777777" w:rsidR="00047BE4" w:rsidRDefault="00047BE4" w:rsidP="00047BE4">
      <w:r>
        <w:rPr>
          <w:noProof/>
          <w:lang w:eastAsia="cs-CZ"/>
        </w:rPr>
        <w:drawing>
          <wp:inline distT="0" distB="0" distL="0" distR="0" wp14:anchorId="0BBA8980" wp14:editId="0E39B79D">
            <wp:extent cx="5760000" cy="3398183"/>
            <wp:effectExtent l="0" t="0" r="0" b="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ndex kvality ovzduší mest.png"/>
                    <pic:cNvPicPr/>
                  </pic:nvPicPr>
                  <pic:blipFill>
                    <a:blip r:embed="rId64">
                      <a:extLst>
                        <a:ext uri="{28A0092B-C50C-407E-A947-70E740481C1C}">
                          <a14:useLocalDpi xmlns:a14="http://schemas.microsoft.com/office/drawing/2010/main" val="0"/>
                        </a:ext>
                      </a:extLst>
                    </a:blip>
                    <a:stretch>
                      <a:fillRect/>
                    </a:stretch>
                  </pic:blipFill>
                  <pic:spPr>
                    <a:xfrm>
                      <a:off x="0" y="0"/>
                      <a:ext cx="5760000" cy="3398183"/>
                    </a:xfrm>
                    <a:prstGeom prst="rect">
                      <a:avLst/>
                    </a:prstGeom>
                  </pic:spPr>
                </pic:pic>
              </a:graphicData>
            </a:graphic>
          </wp:inline>
        </w:drawing>
      </w:r>
    </w:p>
    <w:p w14:paraId="67B9831D" w14:textId="77777777" w:rsidR="00047BE4" w:rsidRPr="00361AF5" w:rsidRDefault="00047BE4" w:rsidP="00047BE4">
      <w:pPr>
        <w:pStyle w:val="Zdroj"/>
      </w:pPr>
      <w:r w:rsidRPr="00361AF5">
        <w:t>Zdroj: ČHMÚ</w:t>
      </w:r>
    </w:p>
    <w:p w14:paraId="52E7E193" w14:textId="17D78FFC" w:rsidR="00047BE4" w:rsidRDefault="00047BE4" w:rsidP="00047BE4">
      <w:r>
        <w:t xml:space="preserve">Přehled stacionárních zdrojů znečištění ve Zlíně – subjektů evidovaných v Integrovaném registru znečištění Ministerstva životního prostředí – shrnuje tabulka uvedená </w:t>
      </w:r>
      <w:r w:rsidR="004846A1">
        <w:t>1.3</w:t>
      </w:r>
      <w:r w:rsidR="00CA267E">
        <w:t>5</w:t>
      </w:r>
      <w:r>
        <w:t>. Vliv emisí Teplárny Zlín na znečištění ovzduší samotného města není výrazný, vzhledem k výšce komína dochází k rozptylu částic v širším území. V období topné sezóny dochází ke znečištění ovzduší vlivem nedokonalého spalování v lokálních topeništích, imisní limity BaP jsou pravidelně překračovány. Z dalších stacionárních zdrojů znečištění ovzduší na území města lze uvést Plynovou výtopnu Jižní Svahy – Kocanda nebo společnost D</w:t>
      </w:r>
      <w:r w:rsidR="001620D7">
        <w:t> </w:t>
      </w:r>
      <w:r>
        <w:t>Plast, a. s. (výroba plastových výrobků).</w:t>
      </w:r>
    </w:p>
    <w:p w14:paraId="24C5AFC7" w14:textId="77777777" w:rsidR="00047BE4" w:rsidRDefault="00047BE4" w:rsidP="00047BE4"/>
    <w:p w14:paraId="4EF523EF" w14:textId="0204363F" w:rsidR="00047BE4" w:rsidRDefault="00047BE4" w:rsidP="00047BE4">
      <w:pPr>
        <w:pStyle w:val="Titulek"/>
        <w:keepNext/>
        <w:keepLines/>
      </w:pPr>
      <w:bookmarkStart w:id="209" w:name="_Toc53037895"/>
      <w:bookmarkStart w:id="210" w:name="_Toc77074715"/>
      <w:bookmarkStart w:id="211" w:name="_Toc48653017"/>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35</w:t>
      </w:r>
      <w:r w:rsidR="00081B47">
        <w:rPr>
          <w:noProof/>
        </w:rPr>
        <w:fldChar w:fldCharType="end"/>
      </w:r>
      <w:r w:rsidR="001620D7">
        <w:rPr>
          <w:noProof/>
        </w:rPr>
        <w:t>:</w:t>
      </w:r>
      <w:r>
        <w:t xml:space="preserve"> Přehled subjektů a odpadních látek evidovaných v Integrovaném registru znečištění ve Zlíně v roce 2018</w:t>
      </w:r>
      <w:bookmarkEnd w:id="209"/>
      <w:bookmarkEnd w:id="210"/>
    </w:p>
    <w:tbl>
      <w:tblPr>
        <w:tblW w:w="9067" w:type="dxa"/>
        <w:tblCellMar>
          <w:left w:w="70" w:type="dxa"/>
          <w:right w:w="70" w:type="dxa"/>
        </w:tblCellMar>
        <w:tblLook w:val="04A0" w:firstRow="1" w:lastRow="0" w:firstColumn="1" w:lastColumn="0" w:noHBand="0" w:noVBand="1"/>
      </w:tblPr>
      <w:tblGrid>
        <w:gridCol w:w="2880"/>
        <w:gridCol w:w="3580"/>
        <w:gridCol w:w="1473"/>
        <w:gridCol w:w="1134"/>
      </w:tblGrid>
      <w:tr w:rsidR="00047BE4" w:rsidRPr="00CE7181" w14:paraId="72DF8071" w14:textId="77777777" w:rsidTr="00047BE4">
        <w:trPr>
          <w:trHeight w:val="300"/>
        </w:trPr>
        <w:tc>
          <w:tcPr>
            <w:tcW w:w="28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bookmarkEnd w:id="211"/>
          <w:p w14:paraId="2D705BF8" w14:textId="77777777" w:rsidR="00047BE4" w:rsidRPr="00193FA0" w:rsidRDefault="00047BE4" w:rsidP="00047BE4">
            <w:pPr>
              <w:spacing w:before="0"/>
              <w:jc w:val="center"/>
              <w:rPr>
                <w:rFonts w:ascii="Calibri" w:eastAsia="Times New Roman" w:hAnsi="Calibri" w:cs="Calibri"/>
                <w:b/>
                <w:bCs/>
                <w:color w:val="000000"/>
                <w:sz w:val="18"/>
                <w:szCs w:val="18"/>
                <w:lang w:eastAsia="cs-CZ"/>
              </w:rPr>
            </w:pPr>
            <w:r w:rsidRPr="00193FA0">
              <w:rPr>
                <w:rFonts w:ascii="Calibri" w:eastAsia="Times New Roman" w:hAnsi="Calibri" w:cs="Calibri"/>
                <w:b/>
                <w:bCs/>
                <w:color w:val="000000"/>
                <w:sz w:val="18"/>
                <w:szCs w:val="18"/>
                <w:lang w:eastAsia="cs-CZ"/>
              </w:rPr>
              <w:t>Podnik</w:t>
            </w:r>
          </w:p>
        </w:tc>
        <w:tc>
          <w:tcPr>
            <w:tcW w:w="3580" w:type="dxa"/>
            <w:tcBorders>
              <w:top w:val="single" w:sz="4" w:space="0" w:color="auto"/>
              <w:left w:val="nil"/>
              <w:bottom w:val="single" w:sz="4" w:space="0" w:color="auto"/>
              <w:right w:val="single" w:sz="4" w:space="0" w:color="auto"/>
            </w:tcBorders>
            <w:shd w:val="clear" w:color="000000" w:fill="D9D9D9"/>
            <w:noWrap/>
            <w:vAlign w:val="bottom"/>
            <w:hideMark/>
          </w:tcPr>
          <w:p w14:paraId="4A851242" w14:textId="77777777" w:rsidR="00047BE4" w:rsidRPr="00193FA0" w:rsidRDefault="00047BE4" w:rsidP="00047BE4">
            <w:pPr>
              <w:spacing w:before="0"/>
              <w:jc w:val="center"/>
              <w:rPr>
                <w:rFonts w:ascii="Calibri" w:eastAsia="Times New Roman" w:hAnsi="Calibri" w:cs="Calibri"/>
                <w:b/>
                <w:bCs/>
                <w:color w:val="000000"/>
                <w:sz w:val="18"/>
                <w:szCs w:val="18"/>
                <w:lang w:eastAsia="cs-CZ"/>
              </w:rPr>
            </w:pPr>
            <w:r w:rsidRPr="00193FA0">
              <w:rPr>
                <w:rFonts w:ascii="Calibri" w:eastAsia="Times New Roman" w:hAnsi="Calibri" w:cs="Calibri"/>
                <w:b/>
                <w:bCs/>
                <w:color w:val="000000"/>
                <w:sz w:val="18"/>
                <w:szCs w:val="18"/>
                <w:lang w:eastAsia="cs-CZ"/>
              </w:rPr>
              <w:t>Látka</w:t>
            </w:r>
          </w:p>
        </w:tc>
        <w:tc>
          <w:tcPr>
            <w:tcW w:w="1473" w:type="dxa"/>
            <w:tcBorders>
              <w:top w:val="single" w:sz="4" w:space="0" w:color="auto"/>
              <w:left w:val="nil"/>
              <w:bottom w:val="single" w:sz="4" w:space="0" w:color="auto"/>
              <w:right w:val="single" w:sz="4" w:space="0" w:color="auto"/>
            </w:tcBorders>
            <w:shd w:val="clear" w:color="000000" w:fill="D9D9D9"/>
            <w:noWrap/>
            <w:vAlign w:val="bottom"/>
            <w:hideMark/>
          </w:tcPr>
          <w:p w14:paraId="6E1A4DA8" w14:textId="77777777" w:rsidR="00047BE4" w:rsidRPr="00193FA0" w:rsidRDefault="00047BE4" w:rsidP="00047BE4">
            <w:pPr>
              <w:spacing w:before="0"/>
              <w:jc w:val="center"/>
              <w:rPr>
                <w:rFonts w:ascii="Calibri" w:eastAsia="Times New Roman" w:hAnsi="Calibri" w:cs="Calibri"/>
                <w:b/>
                <w:bCs/>
                <w:color w:val="000000"/>
                <w:sz w:val="18"/>
                <w:szCs w:val="18"/>
                <w:lang w:eastAsia="cs-CZ"/>
              </w:rPr>
            </w:pPr>
            <w:r w:rsidRPr="00193FA0">
              <w:rPr>
                <w:rFonts w:ascii="Calibri" w:eastAsia="Times New Roman" w:hAnsi="Calibri" w:cs="Calibri"/>
                <w:b/>
                <w:bCs/>
                <w:color w:val="000000"/>
                <w:sz w:val="18"/>
                <w:szCs w:val="18"/>
                <w:lang w:eastAsia="cs-CZ"/>
              </w:rPr>
              <w:t>Typ prostředí</w:t>
            </w:r>
          </w:p>
        </w:tc>
        <w:tc>
          <w:tcPr>
            <w:tcW w:w="1134" w:type="dxa"/>
            <w:tcBorders>
              <w:top w:val="single" w:sz="4" w:space="0" w:color="auto"/>
              <w:left w:val="nil"/>
              <w:bottom w:val="single" w:sz="4" w:space="0" w:color="auto"/>
              <w:right w:val="single" w:sz="4" w:space="0" w:color="auto"/>
            </w:tcBorders>
            <w:shd w:val="clear" w:color="000000" w:fill="D9D9D9"/>
            <w:noWrap/>
            <w:vAlign w:val="bottom"/>
            <w:hideMark/>
          </w:tcPr>
          <w:p w14:paraId="02222484" w14:textId="77777777" w:rsidR="00047BE4" w:rsidRPr="00193FA0" w:rsidRDefault="00047BE4" w:rsidP="00047BE4">
            <w:pPr>
              <w:spacing w:before="0"/>
              <w:jc w:val="center"/>
              <w:rPr>
                <w:rFonts w:ascii="Calibri" w:eastAsia="Times New Roman" w:hAnsi="Calibri" w:cs="Calibri"/>
                <w:b/>
                <w:bCs/>
                <w:color w:val="000000"/>
                <w:sz w:val="18"/>
                <w:szCs w:val="18"/>
                <w:lang w:eastAsia="cs-CZ"/>
              </w:rPr>
            </w:pPr>
            <w:r w:rsidRPr="00193FA0">
              <w:rPr>
                <w:rFonts w:ascii="Calibri" w:eastAsia="Times New Roman" w:hAnsi="Calibri" w:cs="Calibri"/>
                <w:b/>
                <w:bCs/>
                <w:color w:val="000000"/>
                <w:sz w:val="18"/>
                <w:szCs w:val="18"/>
                <w:lang w:eastAsia="cs-CZ"/>
              </w:rPr>
              <w:t>[kg/rok]</w:t>
            </w:r>
          </w:p>
        </w:tc>
      </w:tr>
      <w:tr w:rsidR="00047BE4" w:rsidRPr="00CE7181" w14:paraId="39CB374D" w14:textId="77777777" w:rsidTr="00047BE4">
        <w:trPr>
          <w:trHeight w:val="300"/>
        </w:trPr>
        <w:tc>
          <w:tcPr>
            <w:tcW w:w="2880" w:type="dxa"/>
            <w:vMerge w:val="restart"/>
            <w:tcBorders>
              <w:top w:val="nil"/>
              <w:left w:val="single" w:sz="4" w:space="0" w:color="auto"/>
              <w:bottom w:val="single" w:sz="4" w:space="0" w:color="auto"/>
              <w:right w:val="single" w:sz="4" w:space="0" w:color="auto"/>
            </w:tcBorders>
            <w:shd w:val="clear" w:color="auto" w:fill="auto"/>
            <w:vAlign w:val="center"/>
            <w:hideMark/>
          </w:tcPr>
          <w:p w14:paraId="034F5A81"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Teplárna Zlín</w:t>
            </w:r>
            <w:r>
              <w:rPr>
                <w:rFonts w:ascii="Calibri" w:eastAsia="Times New Roman" w:hAnsi="Calibri" w:cs="Calibri"/>
                <w:color w:val="000000"/>
                <w:sz w:val="18"/>
                <w:szCs w:val="18"/>
                <w:lang w:eastAsia="cs-CZ"/>
              </w:rPr>
              <w:t xml:space="preserve"> </w:t>
            </w:r>
            <w:r w:rsidRPr="00193FA0">
              <w:rPr>
                <w:rFonts w:ascii="Calibri" w:eastAsia="Times New Roman" w:hAnsi="Calibri" w:cs="Calibri"/>
                <w:color w:val="000000"/>
                <w:sz w:val="18"/>
                <w:szCs w:val="18"/>
                <w:lang w:eastAsia="cs-CZ"/>
              </w:rPr>
              <w:t>s.r.o.</w:t>
            </w:r>
          </w:p>
        </w:tc>
        <w:tc>
          <w:tcPr>
            <w:tcW w:w="3580" w:type="dxa"/>
            <w:tcBorders>
              <w:top w:val="nil"/>
              <w:left w:val="nil"/>
              <w:bottom w:val="single" w:sz="4" w:space="0" w:color="auto"/>
              <w:right w:val="single" w:sz="4" w:space="0" w:color="auto"/>
            </w:tcBorders>
            <w:shd w:val="clear" w:color="auto" w:fill="auto"/>
            <w:vAlign w:val="center"/>
            <w:hideMark/>
          </w:tcPr>
          <w:p w14:paraId="164FBD30"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Oxid uhličitý (CO</w:t>
            </w:r>
            <w:r w:rsidRPr="001314D1">
              <w:rPr>
                <w:rFonts w:ascii="Calibri" w:eastAsia="Times New Roman" w:hAnsi="Calibri" w:cs="Calibri"/>
                <w:color w:val="000000"/>
                <w:sz w:val="18"/>
                <w:szCs w:val="18"/>
                <w:vertAlign w:val="subscript"/>
                <w:lang w:eastAsia="cs-CZ"/>
              </w:rPr>
              <w:t>2</w:t>
            </w:r>
            <w:r w:rsidRPr="00193FA0">
              <w:rPr>
                <w:rFonts w:ascii="Calibri" w:eastAsia="Times New Roman" w:hAnsi="Calibri" w:cs="Calibri"/>
                <w:color w:val="000000"/>
                <w:sz w:val="18"/>
                <w:szCs w:val="18"/>
                <w:lang w:eastAsia="cs-CZ"/>
              </w:rPr>
              <w:t>)</w:t>
            </w:r>
          </w:p>
        </w:tc>
        <w:tc>
          <w:tcPr>
            <w:tcW w:w="1473" w:type="dxa"/>
            <w:tcBorders>
              <w:top w:val="nil"/>
              <w:left w:val="nil"/>
              <w:bottom w:val="single" w:sz="4" w:space="0" w:color="auto"/>
              <w:right w:val="single" w:sz="4" w:space="0" w:color="auto"/>
            </w:tcBorders>
            <w:shd w:val="clear" w:color="000000" w:fill="F8CBAD"/>
            <w:noWrap/>
            <w:vAlign w:val="center"/>
            <w:hideMark/>
          </w:tcPr>
          <w:p w14:paraId="0C19A85E"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4F5CE508"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275 777 000</w:t>
            </w:r>
          </w:p>
        </w:tc>
      </w:tr>
      <w:tr w:rsidR="00047BE4" w:rsidRPr="00CE7181" w14:paraId="4453E8F3" w14:textId="77777777" w:rsidTr="00047BE4">
        <w:trPr>
          <w:trHeight w:val="300"/>
        </w:trPr>
        <w:tc>
          <w:tcPr>
            <w:tcW w:w="2880" w:type="dxa"/>
            <w:vMerge/>
            <w:tcBorders>
              <w:top w:val="nil"/>
              <w:left w:val="single" w:sz="4" w:space="0" w:color="auto"/>
              <w:bottom w:val="single" w:sz="4" w:space="0" w:color="auto"/>
              <w:right w:val="single" w:sz="4" w:space="0" w:color="auto"/>
            </w:tcBorders>
            <w:vAlign w:val="center"/>
            <w:hideMark/>
          </w:tcPr>
          <w:p w14:paraId="4415652E" w14:textId="77777777" w:rsidR="00047BE4" w:rsidRPr="00193FA0" w:rsidRDefault="00047BE4" w:rsidP="00047BE4">
            <w:pPr>
              <w:spacing w:before="0"/>
              <w:jc w:val="left"/>
              <w:rPr>
                <w:rFonts w:ascii="Calibri" w:eastAsia="Times New Roman" w:hAnsi="Calibri" w:cs="Calibri"/>
                <w:color w:val="000000"/>
                <w:sz w:val="18"/>
                <w:szCs w:val="18"/>
                <w:lang w:eastAsia="cs-CZ"/>
              </w:rPr>
            </w:pPr>
          </w:p>
        </w:tc>
        <w:tc>
          <w:tcPr>
            <w:tcW w:w="3580" w:type="dxa"/>
            <w:tcBorders>
              <w:top w:val="nil"/>
              <w:left w:val="nil"/>
              <w:bottom w:val="single" w:sz="4" w:space="0" w:color="auto"/>
              <w:right w:val="single" w:sz="4" w:space="0" w:color="auto"/>
            </w:tcBorders>
            <w:shd w:val="clear" w:color="auto" w:fill="auto"/>
            <w:vAlign w:val="center"/>
            <w:hideMark/>
          </w:tcPr>
          <w:p w14:paraId="03D7783F"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Oxid uhličitý (CO</w:t>
            </w:r>
            <w:r w:rsidRPr="001314D1">
              <w:rPr>
                <w:rFonts w:ascii="Calibri" w:eastAsia="Times New Roman" w:hAnsi="Calibri" w:cs="Calibri"/>
                <w:color w:val="000000"/>
                <w:sz w:val="18"/>
                <w:szCs w:val="18"/>
                <w:vertAlign w:val="subscript"/>
                <w:lang w:eastAsia="cs-CZ"/>
              </w:rPr>
              <w:t>2</w:t>
            </w:r>
            <w:r w:rsidRPr="00193FA0">
              <w:rPr>
                <w:rFonts w:ascii="Calibri" w:eastAsia="Times New Roman" w:hAnsi="Calibri" w:cs="Calibri"/>
                <w:color w:val="000000"/>
                <w:sz w:val="18"/>
                <w:szCs w:val="18"/>
                <w:lang w:eastAsia="cs-CZ"/>
              </w:rPr>
              <w:t>) bez spalování biomasy</w:t>
            </w:r>
          </w:p>
        </w:tc>
        <w:tc>
          <w:tcPr>
            <w:tcW w:w="1473" w:type="dxa"/>
            <w:tcBorders>
              <w:top w:val="nil"/>
              <w:left w:val="nil"/>
              <w:bottom w:val="single" w:sz="4" w:space="0" w:color="auto"/>
              <w:right w:val="single" w:sz="4" w:space="0" w:color="auto"/>
            </w:tcBorders>
            <w:shd w:val="clear" w:color="000000" w:fill="F8CBAD"/>
            <w:noWrap/>
            <w:vAlign w:val="center"/>
            <w:hideMark/>
          </w:tcPr>
          <w:p w14:paraId="7C2CB6E4"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5A7136E6"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255 259 000</w:t>
            </w:r>
          </w:p>
        </w:tc>
      </w:tr>
      <w:tr w:rsidR="00047BE4" w:rsidRPr="00CE7181" w14:paraId="4C30074C" w14:textId="77777777" w:rsidTr="00047BE4">
        <w:trPr>
          <w:trHeight w:val="300"/>
        </w:trPr>
        <w:tc>
          <w:tcPr>
            <w:tcW w:w="2880" w:type="dxa"/>
            <w:vMerge/>
            <w:tcBorders>
              <w:top w:val="nil"/>
              <w:left w:val="single" w:sz="4" w:space="0" w:color="auto"/>
              <w:bottom w:val="single" w:sz="4" w:space="0" w:color="auto"/>
              <w:right w:val="single" w:sz="4" w:space="0" w:color="auto"/>
            </w:tcBorders>
            <w:vAlign w:val="center"/>
            <w:hideMark/>
          </w:tcPr>
          <w:p w14:paraId="621C927C" w14:textId="77777777" w:rsidR="00047BE4" w:rsidRPr="00193FA0" w:rsidRDefault="00047BE4" w:rsidP="00047BE4">
            <w:pPr>
              <w:spacing w:before="0"/>
              <w:jc w:val="left"/>
              <w:rPr>
                <w:rFonts w:ascii="Calibri" w:eastAsia="Times New Roman" w:hAnsi="Calibri" w:cs="Calibri"/>
                <w:color w:val="000000"/>
                <w:sz w:val="18"/>
                <w:szCs w:val="18"/>
                <w:lang w:eastAsia="cs-CZ"/>
              </w:rPr>
            </w:pPr>
          </w:p>
        </w:tc>
        <w:tc>
          <w:tcPr>
            <w:tcW w:w="3580" w:type="dxa"/>
            <w:tcBorders>
              <w:top w:val="nil"/>
              <w:left w:val="nil"/>
              <w:bottom w:val="single" w:sz="4" w:space="0" w:color="auto"/>
              <w:right w:val="single" w:sz="4" w:space="0" w:color="auto"/>
            </w:tcBorders>
            <w:shd w:val="clear" w:color="auto" w:fill="auto"/>
            <w:vAlign w:val="center"/>
            <w:hideMark/>
          </w:tcPr>
          <w:p w14:paraId="7D2C8193"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Oxidy dusíku (NO</w:t>
            </w:r>
            <w:r w:rsidRPr="001314D1">
              <w:rPr>
                <w:rFonts w:ascii="Calibri" w:eastAsia="Times New Roman" w:hAnsi="Calibri" w:cs="Calibri"/>
                <w:color w:val="000000"/>
                <w:sz w:val="18"/>
                <w:szCs w:val="18"/>
                <w:vertAlign w:val="subscript"/>
                <w:lang w:eastAsia="cs-CZ"/>
              </w:rPr>
              <w:t>x</w:t>
            </w:r>
            <w:r w:rsidRPr="00193FA0">
              <w:rPr>
                <w:rFonts w:ascii="Calibri" w:eastAsia="Times New Roman" w:hAnsi="Calibri" w:cs="Calibri"/>
                <w:color w:val="000000"/>
                <w:sz w:val="18"/>
                <w:szCs w:val="18"/>
                <w:lang w:eastAsia="cs-CZ"/>
              </w:rPr>
              <w:t>/NO</w:t>
            </w:r>
            <w:r w:rsidRPr="001314D1">
              <w:rPr>
                <w:rFonts w:ascii="Calibri" w:eastAsia="Times New Roman" w:hAnsi="Calibri" w:cs="Calibri"/>
                <w:color w:val="000000"/>
                <w:sz w:val="18"/>
                <w:szCs w:val="18"/>
                <w:vertAlign w:val="subscript"/>
                <w:lang w:eastAsia="cs-CZ"/>
              </w:rPr>
              <w:t>2</w:t>
            </w:r>
            <w:r w:rsidRPr="00193FA0">
              <w:rPr>
                <w:rFonts w:ascii="Calibri" w:eastAsia="Times New Roman" w:hAnsi="Calibri" w:cs="Calibri"/>
                <w:color w:val="000000"/>
                <w:sz w:val="18"/>
                <w:szCs w:val="18"/>
                <w:lang w:eastAsia="cs-CZ"/>
              </w:rPr>
              <w:t>)</w:t>
            </w:r>
          </w:p>
        </w:tc>
        <w:tc>
          <w:tcPr>
            <w:tcW w:w="1473" w:type="dxa"/>
            <w:tcBorders>
              <w:top w:val="nil"/>
              <w:left w:val="nil"/>
              <w:bottom w:val="single" w:sz="4" w:space="0" w:color="auto"/>
              <w:right w:val="single" w:sz="4" w:space="0" w:color="auto"/>
            </w:tcBorders>
            <w:shd w:val="clear" w:color="000000" w:fill="F8CBAD"/>
            <w:noWrap/>
            <w:vAlign w:val="center"/>
            <w:hideMark/>
          </w:tcPr>
          <w:p w14:paraId="2F73DF23"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0B440993"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180 433</w:t>
            </w:r>
          </w:p>
        </w:tc>
      </w:tr>
      <w:tr w:rsidR="00047BE4" w:rsidRPr="00CE7181" w14:paraId="312EF40B" w14:textId="77777777" w:rsidTr="00047BE4">
        <w:trPr>
          <w:trHeight w:val="300"/>
        </w:trPr>
        <w:tc>
          <w:tcPr>
            <w:tcW w:w="2880" w:type="dxa"/>
            <w:vMerge/>
            <w:tcBorders>
              <w:top w:val="nil"/>
              <w:left w:val="single" w:sz="4" w:space="0" w:color="auto"/>
              <w:bottom w:val="single" w:sz="4" w:space="0" w:color="auto"/>
              <w:right w:val="single" w:sz="4" w:space="0" w:color="auto"/>
            </w:tcBorders>
            <w:vAlign w:val="center"/>
            <w:hideMark/>
          </w:tcPr>
          <w:p w14:paraId="6994BF9B" w14:textId="77777777" w:rsidR="00047BE4" w:rsidRPr="00193FA0" w:rsidRDefault="00047BE4" w:rsidP="00047BE4">
            <w:pPr>
              <w:spacing w:before="0"/>
              <w:jc w:val="left"/>
              <w:rPr>
                <w:rFonts w:ascii="Calibri" w:eastAsia="Times New Roman" w:hAnsi="Calibri" w:cs="Calibri"/>
                <w:color w:val="000000"/>
                <w:sz w:val="18"/>
                <w:szCs w:val="18"/>
                <w:lang w:eastAsia="cs-CZ"/>
              </w:rPr>
            </w:pPr>
          </w:p>
        </w:tc>
        <w:tc>
          <w:tcPr>
            <w:tcW w:w="3580" w:type="dxa"/>
            <w:tcBorders>
              <w:top w:val="nil"/>
              <w:left w:val="nil"/>
              <w:bottom w:val="single" w:sz="4" w:space="0" w:color="auto"/>
              <w:right w:val="single" w:sz="4" w:space="0" w:color="auto"/>
            </w:tcBorders>
            <w:shd w:val="clear" w:color="auto" w:fill="auto"/>
            <w:vAlign w:val="center"/>
            <w:hideMark/>
          </w:tcPr>
          <w:p w14:paraId="0A8784B7"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Oxidy síry (SO</w:t>
            </w:r>
            <w:r w:rsidRPr="001314D1">
              <w:rPr>
                <w:rFonts w:ascii="Calibri" w:eastAsia="Times New Roman" w:hAnsi="Calibri" w:cs="Calibri"/>
                <w:color w:val="000000"/>
                <w:sz w:val="18"/>
                <w:szCs w:val="18"/>
                <w:vertAlign w:val="subscript"/>
                <w:lang w:eastAsia="cs-CZ"/>
              </w:rPr>
              <w:t>x</w:t>
            </w:r>
            <w:r w:rsidRPr="00193FA0">
              <w:rPr>
                <w:rFonts w:ascii="Calibri" w:eastAsia="Times New Roman" w:hAnsi="Calibri" w:cs="Calibri"/>
                <w:color w:val="000000"/>
                <w:sz w:val="18"/>
                <w:szCs w:val="18"/>
                <w:lang w:eastAsia="cs-CZ"/>
              </w:rPr>
              <w:t>/SO</w:t>
            </w:r>
            <w:r w:rsidRPr="001314D1">
              <w:rPr>
                <w:rFonts w:ascii="Calibri" w:eastAsia="Times New Roman" w:hAnsi="Calibri" w:cs="Calibri"/>
                <w:color w:val="000000"/>
                <w:sz w:val="18"/>
                <w:szCs w:val="18"/>
                <w:vertAlign w:val="subscript"/>
                <w:lang w:eastAsia="cs-CZ"/>
              </w:rPr>
              <w:t>2</w:t>
            </w:r>
            <w:r w:rsidRPr="00193FA0">
              <w:rPr>
                <w:rFonts w:ascii="Calibri" w:eastAsia="Times New Roman" w:hAnsi="Calibri" w:cs="Calibri"/>
                <w:color w:val="000000"/>
                <w:sz w:val="18"/>
                <w:szCs w:val="18"/>
                <w:lang w:eastAsia="cs-CZ"/>
              </w:rPr>
              <w:t>)</w:t>
            </w:r>
          </w:p>
        </w:tc>
        <w:tc>
          <w:tcPr>
            <w:tcW w:w="1473" w:type="dxa"/>
            <w:tcBorders>
              <w:top w:val="nil"/>
              <w:left w:val="nil"/>
              <w:bottom w:val="single" w:sz="4" w:space="0" w:color="auto"/>
              <w:right w:val="single" w:sz="4" w:space="0" w:color="auto"/>
            </w:tcBorders>
            <w:shd w:val="clear" w:color="000000" w:fill="F8CBAD"/>
            <w:noWrap/>
            <w:vAlign w:val="center"/>
            <w:hideMark/>
          </w:tcPr>
          <w:p w14:paraId="0BFB0712"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384B05EC"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347 446</w:t>
            </w:r>
          </w:p>
        </w:tc>
      </w:tr>
      <w:tr w:rsidR="00047BE4" w:rsidRPr="00CE7181" w14:paraId="07EFA6C6" w14:textId="77777777" w:rsidTr="00047BE4">
        <w:trPr>
          <w:trHeight w:val="300"/>
        </w:trPr>
        <w:tc>
          <w:tcPr>
            <w:tcW w:w="2880" w:type="dxa"/>
            <w:vMerge w:val="restart"/>
            <w:tcBorders>
              <w:top w:val="nil"/>
              <w:left w:val="single" w:sz="4" w:space="0" w:color="auto"/>
              <w:bottom w:val="single" w:sz="4" w:space="0" w:color="auto"/>
              <w:right w:val="single" w:sz="4" w:space="0" w:color="auto"/>
            </w:tcBorders>
            <w:shd w:val="clear" w:color="auto" w:fill="auto"/>
            <w:vAlign w:val="center"/>
            <w:hideMark/>
          </w:tcPr>
          <w:p w14:paraId="71552482"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BROLA, spol. s r.o. - Laminovna, výkrm brojlerů</w:t>
            </w:r>
          </w:p>
        </w:tc>
        <w:tc>
          <w:tcPr>
            <w:tcW w:w="3580" w:type="dxa"/>
            <w:tcBorders>
              <w:top w:val="nil"/>
              <w:left w:val="nil"/>
              <w:bottom w:val="single" w:sz="4" w:space="0" w:color="auto"/>
              <w:right w:val="single" w:sz="4" w:space="0" w:color="auto"/>
            </w:tcBorders>
            <w:shd w:val="clear" w:color="auto" w:fill="auto"/>
            <w:vAlign w:val="center"/>
            <w:hideMark/>
          </w:tcPr>
          <w:p w14:paraId="6A66793F"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Amoniak (NH</w:t>
            </w:r>
            <w:r w:rsidRPr="001314D1">
              <w:rPr>
                <w:rFonts w:ascii="Calibri" w:eastAsia="Times New Roman" w:hAnsi="Calibri" w:cs="Calibri"/>
                <w:color w:val="000000"/>
                <w:sz w:val="18"/>
                <w:szCs w:val="18"/>
                <w:vertAlign w:val="subscript"/>
                <w:lang w:eastAsia="cs-CZ"/>
              </w:rPr>
              <w:t>3</w:t>
            </w:r>
            <w:r w:rsidRPr="00193FA0">
              <w:rPr>
                <w:rFonts w:ascii="Calibri" w:eastAsia="Times New Roman" w:hAnsi="Calibri" w:cs="Calibri"/>
                <w:color w:val="000000"/>
                <w:sz w:val="18"/>
                <w:szCs w:val="18"/>
                <w:lang w:eastAsia="cs-CZ"/>
              </w:rPr>
              <w:t>)</w:t>
            </w:r>
          </w:p>
        </w:tc>
        <w:tc>
          <w:tcPr>
            <w:tcW w:w="1473" w:type="dxa"/>
            <w:tcBorders>
              <w:top w:val="nil"/>
              <w:left w:val="nil"/>
              <w:bottom w:val="single" w:sz="4" w:space="0" w:color="auto"/>
              <w:right w:val="single" w:sz="4" w:space="0" w:color="auto"/>
            </w:tcBorders>
            <w:shd w:val="clear" w:color="000000" w:fill="F8CBAD"/>
            <w:noWrap/>
            <w:vAlign w:val="center"/>
            <w:hideMark/>
          </w:tcPr>
          <w:p w14:paraId="784666FC"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3FE9D07A"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12 720</w:t>
            </w:r>
          </w:p>
        </w:tc>
      </w:tr>
      <w:tr w:rsidR="00047BE4" w:rsidRPr="00CE7181" w14:paraId="4140472F" w14:textId="77777777" w:rsidTr="00047BE4">
        <w:trPr>
          <w:trHeight w:val="300"/>
        </w:trPr>
        <w:tc>
          <w:tcPr>
            <w:tcW w:w="2880" w:type="dxa"/>
            <w:vMerge/>
            <w:tcBorders>
              <w:top w:val="nil"/>
              <w:left w:val="single" w:sz="4" w:space="0" w:color="auto"/>
              <w:bottom w:val="single" w:sz="4" w:space="0" w:color="auto"/>
              <w:right w:val="single" w:sz="4" w:space="0" w:color="auto"/>
            </w:tcBorders>
            <w:vAlign w:val="center"/>
            <w:hideMark/>
          </w:tcPr>
          <w:p w14:paraId="0FDDB43A" w14:textId="77777777" w:rsidR="00047BE4" w:rsidRPr="00193FA0" w:rsidRDefault="00047BE4" w:rsidP="00047BE4">
            <w:pPr>
              <w:spacing w:before="0"/>
              <w:jc w:val="left"/>
              <w:rPr>
                <w:rFonts w:ascii="Calibri" w:eastAsia="Times New Roman" w:hAnsi="Calibri" w:cs="Calibri"/>
                <w:color w:val="000000"/>
                <w:sz w:val="18"/>
                <w:szCs w:val="18"/>
                <w:lang w:eastAsia="cs-CZ"/>
              </w:rPr>
            </w:pPr>
          </w:p>
        </w:tc>
        <w:tc>
          <w:tcPr>
            <w:tcW w:w="3580" w:type="dxa"/>
            <w:tcBorders>
              <w:top w:val="nil"/>
              <w:left w:val="nil"/>
              <w:bottom w:val="single" w:sz="4" w:space="0" w:color="auto"/>
              <w:right w:val="single" w:sz="4" w:space="0" w:color="auto"/>
            </w:tcBorders>
            <w:shd w:val="clear" w:color="auto" w:fill="auto"/>
            <w:vAlign w:val="center"/>
            <w:hideMark/>
          </w:tcPr>
          <w:p w14:paraId="4757D4AF"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Styren</w:t>
            </w:r>
          </w:p>
        </w:tc>
        <w:tc>
          <w:tcPr>
            <w:tcW w:w="1473" w:type="dxa"/>
            <w:tcBorders>
              <w:top w:val="nil"/>
              <w:left w:val="nil"/>
              <w:bottom w:val="single" w:sz="4" w:space="0" w:color="auto"/>
              <w:right w:val="single" w:sz="4" w:space="0" w:color="auto"/>
            </w:tcBorders>
            <w:shd w:val="clear" w:color="000000" w:fill="F8CBAD"/>
            <w:noWrap/>
            <w:vAlign w:val="center"/>
            <w:hideMark/>
          </w:tcPr>
          <w:p w14:paraId="0F871F95"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4DD36115"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1 030</w:t>
            </w:r>
          </w:p>
        </w:tc>
      </w:tr>
      <w:tr w:rsidR="00047BE4" w:rsidRPr="00CE7181" w14:paraId="74EB6FB7" w14:textId="77777777" w:rsidTr="00047BE4">
        <w:trPr>
          <w:trHeight w:val="51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59F7A6C5" w14:textId="0D8D4E0F" w:rsidR="00047BE4" w:rsidRPr="00193FA0" w:rsidRDefault="00047BE4" w:rsidP="001620D7">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MÝVAL ZLÍN, spol. s r.o.</w:t>
            </w:r>
            <w:r>
              <w:rPr>
                <w:rFonts w:ascii="Calibri" w:eastAsia="Times New Roman" w:hAnsi="Calibri" w:cs="Calibri"/>
                <w:color w:val="000000"/>
                <w:sz w:val="18"/>
                <w:szCs w:val="18"/>
                <w:lang w:eastAsia="cs-CZ"/>
              </w:rPr>
              <w:t xml:space="preserve"> </w:t>
            </w:r>
            <w:r w:rsidRPr="00193FA0">
              <w:rPr>
                <w:rFonts w:ascii="Calibri" w:eastAsia="Times New Roman" w:hAnsi="Calibri" w:cs="Calibri"/>
                <w:color w:val="000000"/>
                <w:sz w:val="18"/>
                <w:szCs w:val="18"/>
                <w:lang w:eastAsia="cs-CZ"/>
              </w:rPr>
              <w:t>-</w:t>
            </w:r>
            <w:r>
              <w:rPr>
                <w:rFonts w:ascii="Calibri" w:eastAsia="Times New Roman" w:hAnsi="Calibri" w:cs="Calibri"/>
                <w:color w:val="000000"/>
                <w:sz w:val="18"/>
                <w:szCs w:val="18"/>
                <w:lang w:eastAsia="cs-CZ"/>
              </w:rPr>
              <w:t xml:space="preserve"> </w:t>
            </w:r>
            <w:r w:rsidRPr="00193FA0">
              <w:rPr>
                <w:rFonts w:ascii="Calibri" w:eastAsia="Times New Roman" w:hAnsi="Calibri" w:cs="Calibri"/>
                <w:color w:val="000000"/>
                <w:sz w:val="18"/>
                <w:szCs w:val="18"/>
                <w:lang w:eastAsia="cs-CZ"/>
              </w:rPr>
              <w:t>čištění a</w:t>
            </w:r>
            <w:r w:rsidR="001620D7">
              <w:rPr>
                <w:rFonts w:ascii="Calibri" w:eastAsia="Times New Roman" w:hAnsi="Calibri" w:cs="Calibri"/>
                <w:color w:val="000000"/>
                <w:sz w:val="18"/>
                <w:szCs w:val="18"/>
                <w:lang w:eastAsia="cs-CZ"/>
              </w:rPr>
              <w:t> </w:t>
            </w:r>
            <w:r w:rsidRPr="00193FA0">
              <w:rPr>
                <w:rFonts w:ascii="Calibri" w:eastAsia="Times New Roman" w:hAnsi="Calibri" w:cs="Calibri"/>
                <w:color w:val="000000"/>
                <w:sz w:val="18"/>
                <w:szCs w:val="18"/>
                <w:lang w:eastAsia="cs-CZ"/>
              </w:rPr>
              <w:t>praní textilu a oděvů</w:t>
            </w:r>
          </w:p>
        </w:tc>
        <w:tc>
          <w:tcPr>
            <w:tcW w:w="3580" w:type="dxa"/>
            <w:tcBorders>
              <w:top w:val="nil"/>
              <w:left w:val="nil"/>
              <w:bottom w:val="single" w:sz="4" w:space="0" w:color="auto"/>
              <w:right w:val="single" w:sz="4" w:space="0" w:color="auto"/>
            </w:tcBorders>
            <w:shd w:val="clear" w:color="auto" w:fill="auto"/>
            <w:vAlign w:val="center"/>
            <w:hideMark/>
          </w:tcPr>
          <w:p w14:paraId="0CC5C576"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Tetrachlorethylen (PER)</w:t>
            </w:r>
          </w:p>
        </w:tc>
        <w:tc>
          <w:tcPr>
            <w:tcW w:w="1473" w:type="dxa"/>
            <w:tcBorders>
              <w:top w:val="nil"/>
              <w:left w:val="nil"/>
              <w:bottom w:val="single" w:sz="4" w:space="0" w:color="auto"/>
              <w:right w:val="single" w:sz="4" w:space="0" w:color="auto"/>
            </w:tcBorders>
            <w:shd w:val="clear" w:color="000000" w:fill="F8CBAD"/>
            <w:noWrap/>
            <w:vAlign w:val="center"/>
            <w:hideMark/>
          </w:tcPr>
          <w:p w14:paraId="1A34F6F1"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7CF2426E"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634</w:t>
            </w:r>
          </w:p>
        </w:tc>
      </w:tr>
      <w:tr w:rsidR="00047BE4" w:rsidRPr="00CE7181" w14:paraId="383DDF82" w14:textId="77777777" w:rsidTr="00047BE4">
        <w:trPr>
          <w:trHeight w:val="51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729C621"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Laminátovna Lužkovice REFLEX Zlín</w:t>
            </w:r>
          </w:p>
        </w:tc>
        <w:tc>
          <w:tcPr>
            <w:tcW w:w="3580" w:type="dxa"/>
            <w:tcBorders>
              <w:top w:val="nil"/>
              <w:left w:val="nil"/>
              <w:bottom w:val="single" w:sz="4" w:space="0" w:color="auto"/>
              <w:right w:val="single" w:sz="4" w:space="0" w:color="auto"/>
            </w:tcBorders>
            <w:shd w:val="clear" w:color="auto" w:fill="auto"/>
            <w:vAlign w:val="center"/>
            <w:hideMark/>
          </w:tcPr>
          <w:p w14:paraId="68A2A332"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Styren</w:t>
            </w:r>
          </w:p>
        </w:tc>
        <w:tc>
          <w:tcPr>
            <w:tcW w:w="1473" w:type="dxa"/>
            <w:tcBorders>
              <w:top w:val="nil"/>
              <w:left w:val="nil"/>
              <w:bottom w:val="single" w:sz="4" w:space="0" w:color="auto"/>
              <w:right w:val="single" w:sz="4" w:space="0" w:color="auto"/>
            </w:tcBorders>
            <w:shd w:val="clear" w:color="000000" w:fill="F8CBAD"/>
            <w:noWrap/>
            <w:vAlign w:val="center"/>
            <w:hideMark/>
          </w:tcPr>
          <w:p w14:paraId="425BB2BE"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ovzduší</w:t>
            </w:r>
          </w:p>
        </w:tc>
        <w:tc>
          <w:tcPr>
            <w:tcW w:w="1134" w:type="dxa"/>
            <w:tcBorders>
              <w:top w:val="nil"/>
              <w:left w:val="nil"/>
              <w:bottom w:val="single" w:sz="4" w:space="0" w:color="auto"/>
              <w:right w:val="single" w:sz="4" w:space="0" w:color="auto"/>
            </w:tcBorders>
            <w:shd w:val="clear" w:color="000000" w:fill="F8CBAD"/>
            <w:noWrap/>
            <w:vAlign w:val="center"/>
            <w:hideMark/>
          </w:tcPr>
          <w:p w14:paraId="52E50D59"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919</w:t>
            </w:r>
          </w:p>
        </w:tc>
      </w:tr>
      <w:tr w:rsidR="00047BE4" w:rsidRPr="00CE7181" w14:paraId="124C4BAF" w14:textId="77777777" w:rsidTr="00047BE4">
        <w:trPr>
          <w:trHeight w:val="300"/>
        </w:trPr>
        <w:tc>
          <w:tcPr>
            <w:tcW w:w="2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B43F57"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ČOV Zlín-Malenovice*</w:t>
            </w:r>
          </w:p>
        </w:tc>
        <w:tc>
          <w:tcPr>
            <w:tcW w:w="3580" w:type="dxa"/>
            <w:tcBorders>
              <w:top w:val="nil"/>
              <w:left w:val="single" w:sz="4" w:space="0" w:color="auto"/>
              <w:bottom w:val="single" w:sz="4" w:space="0" w:color="auto"/>
              <w:right w:val="single" w:sz="4" w:space="0" w:color="auto"/>
            </w:tcBorders>
            <w:shd w:val="clear" w:color="auto" w:fill="auto"/>
            <w:vAlign w:val="center"/>
            <w:hideMark/>
          </w:tcPr>
          <w:p w14:paraId="75EEC086"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Celkový dusík</w:t>
            </w:r>
          </w:p>
        </w:tc>
        <w:tc>
          <w:tcPr>
            <w:tcW w:w="1473" w:type="dxa"/>
            <w:tcBorders>
              <w:top w:val="nil"/>
              <w:left w:val="nil"/>
              <w:bottom w:val="single" w:sz="4" w:space="0" w:color="auto"/>
              <w:right w:val="single" w:sz="4" w:space="0" w:color="auto"/>
            </w:tcBorders>
            <w:shd w:val="clear" w:color="000000" w:fill="BDD7EE"/>
            <w:noWrap/>
            <w:vAlign w:val="center"/>
            <w:hideMark/>
          </w:tcPr>
          <w:p w14:paraId="635CBF4D"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vody</w:t>
            </w:r>
          </w:p>
        </w:tc>
        <w:tc>
          <w:tcPr>
            <w:tcW w:w="1134" w:type="dxa"/>
            <w:tcBorders>
              <w:top w:val="nil"/>
              <w:left w:val="nil"/>
              <w:bottom w:val="single" w:sz="4" w:space="0" w:color="auto"/>
              <w:right w:val="single" w:sz="4" w:space="0" w:color="auto"/>
            </w:tcBorders>
            <w:shd w:val="clear" w:color="000000" w:fill="BDD7EE"/>
            <w:noWrap/>
            <w:vAlign w:val="center"/>
            <w:hideMark/>
          </w:tcPr>
          <w:p w14:paraId="7823D917"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105 415</w:t>
            </w:r>
          </w:p>
        </w:tc>
      </w:tr>
      <w:tr w:rsidR="00047BE4" w:rsidRPr="00CE7181" w14:paraId="5FF346FB" w14:textId="77777777" w:rsidTr="00047BE4">
        <w:trPr>
          <w:trHeight w:val="300"/>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140023A9" w14:textId="77777777" w:rsidR="00047BE4" w:rsidRPr="00193FA0" w:rsidRDefault="00047BE4" w:rsidP="00047BE4">
            <w:pPr>
              <w:spacing w:before="0"/>
              <w:jc w:val="left"/>
              <w:rPr>
                <w:rFonts w:ascii="Calibri" w:eastAsia="Times New Roman" w:hAnsi="Calibri" w:cs="Calibri"/>
                <w:color w:val="000000"/>
                <w:sz w:val="18"/>
                <w:szCs w:val="18"/>
                <w:lang w:eastAsia="cs-CZ"/>
              </w:rPr>
            </w:pPr>
          </w:p>
        </w:tc>
        <w:tc>
          <w:tcPr>
            <w:tcW w:w="3580" w:type="dxa"/>
            <w:tcBorders>
              <w:top w:val="nil"/>
              <w:left w:val="single" w:sz="4" w:space="0" w:color="auto"/>
              <w:bottom w:val="single" w:sz="4" w:space="0" w:color="auto"/>
              <w:right w:val="single" w:sz="4" w:space="0" w:color="auto"/>
            </w:tcBorders>
            <w:shd w:val="clear" w:color="auto" w:fill="auto"/>
            <w:vAlign w:val="center"/>
            <w:hideMark/>
          </w:tcPr>
          <w:p w14:paraId="6464CEE1"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Celkový fosfor</w:t>
            </w:r>
          </w:p>
        </w:tc>
        <w:tc>
          <w:tcPr>
            <w:tcW w:w="1473" w:type="dxa"/>
            <w:tcBorders>
              <w:top w:val="nil"/>
              <w:left w:val="nil"/>
              <w:bottom w:val="single" w:sz="4" w:space="0" w:color="auto"/>
              <w:right w:val="single" w:sz="4" w:space="0" w:color="auto"/>
            </w:tcBorders>
            <w:shd w:val="clear" w:color="000000" w:fill="BDD7EE"/>
            <w:noWrap/>
            <w:vAlign w:val="center"/>
            <w:hideMark/>
          </w:tcPr>
          <w:p w14:paraId="0A616855"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vody</w:t>
            </w:r>
          </w:p>
        </w:tc>
        <w:tc>
          <w:tcPr>
            <w:tcW w:w="1134" w:type="dxa"/>
            <w:tcBorders>
              <w:top w:val="nil"/>
              <w:left w:val="nil"/>
              <w:bottom w:val="single" w:sz="4" w:space="0" w:color="auto"/>
              <w:right w:val="single" w:sz="4" w:space="0" w:color="auto"/>
            </w:tcBorders>
            <w:shd w:val="clear" w:color="000000" w:fill="BDD7EE"/>
            <w:noWrap/>
            <w:vAlign w:val="center"/>
            <w:hideMark/>
          </w:tcPr>
          <w:p w14:paraId="55EC2925"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8 404</w:t>
            </w:r>
          </w:p>
        </w:tc>
      </w:tr>
      <w:tr w:rsidR="00047BE4" w:rsidRPr="00CE7181" w14:paraId="2F8119C7" w14:textId="77777777" w:rsidTr="00047BE4">
        <w:trPr>
          <w:trHeight w:val="300"/>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12F70386" w14:textId="77777777" w:rsidR="00047BE4" w:rsidRPr="00193FA0" w:rsidRDefault="00047BE4" w:rsidP="00047BE4">
            <w:pPr>
              <w:spacing w:before="0"/>
              <w:jc w:val="left"/>
              <w:rPr>
                <w:rFonts w:ascii="Calibri" w:eastAsia="Times New Roman" w:hAnsi="Calibri" w:cs="Calibri"/>
                <w:color w:val="000000"/>
                <w:sz w:val="18"/>
                <w:szCs w:val="18"/>
                <w:lang w:eastAsia="cs-CZ"/>
              </w:rPr>
            </w:pPr>
          </w:p>
        </w:tc>
        <w:tc>
          <w:tcPr>
            <w:tcW w:w="3580" w:type="dxa"/>
            <w:tcBorders>
              <w:top w:val="nil"/>
              <w:left w:val="single" w:sz="4" w:space="0" w:color="auto"/>
              <w:bottom w:val="single" w:sz="4" w:space="0" w:color="auto"/>
              <w:right w:val="single" w:sz="4" w:space="0" w:color="auto"/>
            </w:tcBorders>
            <w:shd w:val="clear" w:color="auto" w:fill="auto"/>
            <w:vAlign w:val="center"/>
            <w:hideMark/>
          </w:tcPr>
          <w:p w14:paraId="294ED438"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Celkový organický uhlík (TOC)</w:t>
            </w:r>
          </w:p>
        </w:tc>
        <w:tc>
          <w:tcPr>
            <w:tcW w:w="1473" w:type="dxa"/>
            <w:tcBorders>
              <w:top w:val="nil"/>
              <w:left w:val="nil"/>
              <w:bottom w:val="single" w:sz="4" w:space="0" w:color="auto"/>
              <w:right w:val="single" w:sz="4" w:space="0" w:color="auto"/>
            </w:tcBorders>
            <w:shd w:val="clear" w:color="000000" w:fill="BDD7EE"/>
            <w:noWrap/>
            <w:vAlign w:val="center"/>
            <w:hideMark/>
          </w:tcPr>
          <w:p w14:paraId="50302616" w14:textId="77777777" w:rsidR="00047BE4" w:rsidRPr="00193FA0" w:rsidRDefault="00047BE4" w:rsidP="00047BE4">
            <w:pPr>
              <w:spacing w:before="0"/>
              <w:jc w:val="left"/>
              <w:rPr>
                <w:rFonts w:ascii="Calibri" w:eastAsia="Times New Roman" w:hAnsi="Calibri" w:cs="Calibri"/>
                <w:color w:val="000000"/>
                <w:sz w:val="18"/>
                <w:szCs w:val="18"/>
                <w:lang w:eastAsia="cs-CZ"/>
              </w:rPr>
            </w:pPr>
            <w:r w:rsidRPr="00193FA0">
              <w:rPr>
                <w:rFonts w:ascii="Calibri" w:eastAsia="Times New Roman" w:hAnsi="Calibri" w:cs="Calibri"/>
                <w:color w:val="000000"/>
                <w:sz w:val="18"/>
                <w:szCs w:val="18"/>
                <w:lang w:eastAsia="cs-CZ"/>
              </w:rPr>
              <w:t>únik do vody</w:t>
            </w:r>
          </w:p>
        </w:tc>
        <w:tc>
          <w:tcPr>
            <w:tcW w:w="1134" w:type="dxa"/>
            <w:tcBorders>
              <w:top w:val="nil"/>
              <w:left w:val="nil"/>
              <w:bottom w:val="single" w:sz="4" w:space="0" w:color="auto"/>
              <w:right w:val="single" w:sz="4" w:space="0" w:color="auto"/>
            </w:tcBorders>
            <w:shd w:val="clear" w:color="000000" w:fill="BDD7EE"/>
            <w:noWrap/>
            <w:vAlign w:val="center"/>
            <w:hideMark/>
          </w:tcPr>
          <w:p w14:paraId="6231E73E" w14:textId="77777777" w:rsidR="00047BE4" w:rsidRPr="00193FA0" w:rsidRDefault="00047BE4" w:rsidP="00047BE4">
            <w:pPr>
              <w:spacing w:before="0"/>
              <w:jc w:val="right"/>
              <w:rPr>
                <w:rFonts w:ascii="Calibri" w:eastAsia="Times New Roman" w:hAnsi="Calibri" w:cs="Calibri"/>
                <w:color w:val="000000"/>
                <w:sz w:val="18"/>
                <w:szCs w:val="18"/>
                <w:lang w:eastAsia="cs-CZ"/>
              </w:rPr>
            </w:pPr>
            <w:r>
              <w:rPr>
                <w:rFonts w:ascii="Calibri" w:hAnsi="Calibri" w:cs="Calibri"/>
                <w:color w:val="000000"/>
                <w:sz w:val="18"/>
                <w:szCs w:val="18"/>
              </w:rPr>
              <w:t>64 864</w:t>
            </w:r>
          </w:p>
        </w:tc>
      </w:tr>
    </w:tbl>
    <w:p w14:paraId="06C6C27C" w14:textId="00F84555" w:rsidR="00047BE4" w:rsidRPr="00CE7181" w:rsidRDefault="00047BE4" w:rsidP="00047BE4">
      <w:pPr>
        <w:pStyle w:val="Zdroj"/>
      </w:pPr>
      <w:r w:rsidRPr="00CE7181">
        <w:t>Zdroj: IRZ (Integrovaný registr znečišťování)</w:t>
      </w:r>
      <w:r w:rsidR="001620D7">
        <w:t>.</w:t>
      </w:r>
    </w:p>
    <w:p w14:paraId="121FC4B3" w14:textId="4F8883FA" w:rsidR="00047BE4" w:rsidRPr="0077071F" w:rsidRDefault="00047BE4" w:rsidP="00047BE4">
      <w:pPr>
        <w:pStyle w:val="Zdroj"/>
      </w:pPr>
      <w:r w:rsidRPr="0077071F">
        <w:t>*Firma odpadní vody čistí, nicméně je zde ponechána, neboť vodu při tomto procesu nelze vyčistit dokonale a dle IRZ je i ČOV řazena mezi zdroje znečištění</w:t>
      </w:r>
      <w:r w:rsidR="001620D7">
        <w:t>.</w:t>
      </w:r>
    </w:p>
    <w:p w14:paraId="67C9BC99" w14:textId="77777777" w:rsidR="00047BE4" w:rsidRPr="001314D1" w:rsidRDefault="00047BE4" w:rsidP="00047BE4">
      <w:pPr>
        <w:keepNext/>
        <w:keepLines/>
        <w:rPr>
          <w:b/>
          <w:color w:val="000000" w:themeColor="text1"/>
        </w:rPr>
      </w:pPr>
      <w:r w:rsidRPr="001314D1">
        <w:rPr>
          <w:b/>
          <w:color w:val="000000" w:themeColor="text1"/>
        </w:rPr>
        <w:t>Kvalita vod</w:t>
      </w:r>
    </w:p>
    <w:p w14:paraId="415534EA" w14:textId="6D07D1F5" w:rsidR="00047BE4" w:rsidRPr="004563E4" w:rsidRDefault="00047BE4" w:rsidP="00047BE4">
      <w:pPr>
        <w:rPr>
          <w:color w:val="000000" w:themeColor="text1"/>
        </w:rPr>
      </w:pPr>
      <w:r w:rsidRPr="007871DF">
        <w:rPr>
          <w:color w:val="000000" w:themeColor="text1"/>
        </w:rPr>
        <w:t>Zlínem protéká řeka Dřevnice, levostranný přítok řeky Moravy.</w:t>
      </w:r>
      <w:r>
        <w:rPr>
          <w:color w:val="000000" w:themeColor="text1"/>
        </w:rPr>
        <w:t xml:space="preserve"> Mezi významné přítoky patří Březnice nebo Fryštácký potok.</w:t>
      </w:r>
      <w:r w:rsidRPr="007871DF">
        <w:rPr>
          <w:color w:val="000000" w:themeColor="text1"/>
        </w:rPr>
        <w:t xml:space="preserve"> </w:t>
      </w:r>
      <w:r>
        <w:rPr>
          <w:color w:val="000000" w:themeColor="text1"/>
        </w:rPr>
        <w:t xml:space="preserve">Vodní stav řeky ve Zlíně je 36 cm za </w:t>
      </w:r>
      <w:r w:rsidRPr="00756D4A">
        <w:t>průměrného průtoku 2,21 m³/s, jedná se o</w:t>
      </w:r>
      <w:r w:rsidR="001620D7">
        <w:t> </w:t>
      </w:r>
      <w:r w:rsidRPr="00756D4A">
        <w:t>vodní tok menšího rázu. Kvalita vody v řece Dřevnice je dlouhodobě nízká, odpovídající zátěži</w:t>
      </w:r>
      <w:r w:rsidRPr="007871DF">
        <w:rPr>
          <w:rFonts w:cstheme="minorHAnsi"/>
          <w:color w:val="000000" w:themeColor="text1"/>
        </w:rPr>
        <w:t xml:space="preserve"> průmyslového krajského města, nicméně díky průběžnému zpřísňování norem pro vypouštění odpadních vod se její kvalita</w:t>
      </w:r>
      <w:r w:rsidRPr="007871DF">
        <w:rPr>
          <w:color w:val="000000" w:themeColor="text1"/>
        </w:rPr>
        <w:t xml:space="preserve"> ve srovnání s minulostí zlepšila. Znečištění Dřevnice ve Zlíně je hodnoceno IV. stupněm jakosti</w:t>
      </w:r>
      <w:r w:rsidRPr="007871DF">
        <w:rPr>
          <w:rStyle w:val="Znakapoznpodarou"/>
          <w:color w:val="000000" w:themeColor="text1"/>
        </w:rPr>
        <w:footnoteReference w:id="41"/>
      </w:r>
      <w:r w:rsidRPr="007871DF">
        <w:rPr>
          <w:color w:val="000000" w:themeColor="text1"/>
        </w:rPr>
        <w:t xml:space="preserve"> (silně znečištěná). </w:t>
      </w:r>
      <w:r>
        <w:rPr>
          <w:color w:val="000000" w:themeColor="text1"/>
        </w:rPr>
        <w:t xml:space="preserve">Kvalitu vody negativně ovlivňuje znečištění z průmyslových zdrojů, zemědělství i znečištění z nečištěných komunálních odpadních vod. V suchých obdobích dochází ke snížení průtoku, koncentrace znečišťujících látek ve vodním toku se tak vlivem sucha zvyšují. Zvýšený obsah fosforu v řece pochází především ze zdroje </w:t>
      </w:r>
      <w:r w:rsidRPr="007871DF">
        <w:rPr>
          <w:color w:val="000000" w:themeColor="text1"/>
        </w:rPr>
        <w:t>ČOV Zlín-Malenovice</w:t>
      </w:r>
      <w:r>
        <w:rPr>
          <w:color w:val="000000" w:themeColor="text1"/>
        </w:rPr>
        <w:t xml:space="preserve">. </w:t>
      </w:r>
      <w:r>
        <w:t xml:space="preserve">Z větších vodních nádrží leží na území města část vodního díla Fryšták, kterou napájí Fryštácký potok. Jedná se o vodní dílo II. kategorie (významné vodní dílo) o celkovém ovladatelném objemu 2,25 mil </w:t>
      </w:r>
      <w:r w:rsidRPr="007871DF">
        <w:rPr>
          <w:rFonts w:cstheme="minorHAnsi"/>
          <w:shd w:val="clear" w:color="auto" w:fill="F8F9FA"/>
        </w:rPr>
        <w:t>m³</w:t>
      </w:r>
      <w:r>
        <w:rPr>
          <w:rFonts w:cstheme="minorHAnsi"/>
          <w:shd w:val="clear" w:color="auto" w:fill="F8F9FA"/>
        </w:rPr>
        <w:t>.</w:t>
      </w:r>
    </w:p>
    <w:p w14:paraId="7CDBCE18" w14:textId="77777777" w:rsidR="00047BE4" w:rsidRPr="00856878" w:rsidRDefault="00047BE4" w:rsidP="00047BE4">
      <w:pPr>
        <w:rPr>
          <w:rFonts w:eastAsia="Times New Roman" w:cstheme="minorHAnsi"/>
          <w:color w:val="000000"/>
          <w:lang w:eastAsia="cs-CZ"/>
        </w:rPr>
      </w:pPr>
      <w:r w:rsidRPr="00856878">
        <w:rPr>
          <w:rFonts w:eastAsia="Times New Roman" w:cstheme="minorHAnsi"/>
          <w:color w:val="000000"/>
          <w:lang w:eastAsia="cs-CZ"/>
        </w:rPr>
        <w:t xml:space="preserve">Ve městě Zlín funguje kombinovaná soustava kanalizace, nicméně převažuje jednotný centrální systém napojený centrálními stokami na levém a pravém břehu Dřevnice na ČOV ve Zlíně-Malenovicích. Některé okrajové části Zlína nejsou napojeny na centrální systém kanalizace, dochází však k jejich postupnému připojování. </w:t>
      </w:r>
      <w:r w:rsidRPr="00856878">
        <w:rPr>
          <w:rFonts w:cstheme="minorHAnsi"/>
        </w:rPr>
        <w:t>V roce 2018 došlo k </w:t>
      </w:r>
      <w:r>
        <w:rPr>
          <w:rFonts w:cstheme="minorHAnsi"/>
        </w:rPr>
        <w:t>napojení lokalit Klečůvka a Velí</w:t>
      </w:r>
      <w:r w:rsidRPr="00856878">
        <w:rPr>
          <w:rFonts w:cstheme="minorHAnsi"/>
        </w:rPr>
        <w:t>ková na centrální kanalizační systém spadající pod ČOV Zlín-Malenovice, což mělo pozitivní vliv na kvalitu vody v tocích.</w:t>
      </w:r>
      <w:r>
        <w:rPr>
          <w:rFonts w:cstheme="minorHAnsi"/>
        </w:rPr>
        <w:t xml:space="preserve"> V dřívější době byla napojena lokalita Lužkovic. Provozovatelem kanalizační infrastruktury je společnost Moravská vodárenská. Podrobné informace ohledně kanalizační sítě jsou obsaženy v kapitole „</w:t>
      </w:r>
      <w:r>
        <w:t>Město s udržitelnou dopravou a technickou</w:t>
      </w:r>
      <w:r w:rsidRPr="00452EAD">
        <w:t xml:space="preserve"> infrastruktur</w:t>
      </w:r>
      <w:r>
        <w:t>ou“, podkapitole „Technická infrastruktura“.</w:t>
      </w:r>
    </w:p>
    <w:p w14:paraId="177E6DCD" w14:textId="77777777" w:rsidR="00047BE4" w:rsidRPr="00756D4A" w:rsidRDefault="00047BE4" w:rsidP="00047BE4">
      <w:pPr>
        <w:keepNext/>
        <w:rPr>
          <w:b/>
        </w:rPr>
      </w:pPr>
      <w:r>
        <w:rPr>
          <w:b/>
        </w:rPr>
        <w:t>Hluková zátěž</w:t>
      </w:r>
    </w:p>
    <w:p w14:paraId="68470758" w14:textId="2F7D3497" w:rsidR="00047BE4" w:rsidRDefault="00047BE4" w:rsidP="00047BE4">
      <w:r>
        <w:t>Dalším hodnoceným ukazatelem kvality života ve Zlíně je úroveň hluku. Nejvýznamnějším zdrojem hlukové zátěže jsou doprava a průmysl. Hluk negativně působí na lidské zdraví a narušuje některé fyziologické funkce lidského organismu (např. spánek, odpočinek, narušuje soustředění). V blízkosti rušných silnic v centru Zlína je celková intenzita hluku L</w:t>
      </w:r>
      <w:r w:rsidRPr="001711E5">
        <w:rPr>
          <w:vertAlign w:val="subscript"/>
        </w:rPr>
        <w:t>dvn</w:t>
      </w:r>
      <w:r>
        <w:t xml:space="preserve"> (den-večer-noc) vyšší než 75 dB, dochází tedy </w:t>
      </w:r>
      <w:r>
        <w:lastRenderedPageBreak/>
        <w:t xml:space="preserve">k překročení limitu pro hlukovou zátěž na veřejných prostranstvích. V roce 2017 byly Ministerstvem zdravotnictví zveřejněny výsledky strategického mapování hluku v Česku. Na obrázku </w:t>
      </w:r>
      <w:r w:rsidR="00E111E6">
        <w:t>1.37</w:t>
      </w:r>
      <w:r>
        <w:t xml:space="preserve"> je zobrazeno hlukové znečištění Zlína v důsledku dopravy.</w:t>
      </w:r>
    </w:p>
    <w:p w14:paraId="07F1ABD1" w14:textId="73B9E498" w:rsidR="00047BE4" w:rsidRDefault="00047BE4" w:rsidP="00047BE4">
      <w:pPr>
        <w:pStyle w:val="Titulek"/>
      </w:pPr>
      <w:bookmarkStart w:id="212" w:name="_Toc48653030"/>
      <w:bookmarkStart w:id="213" w:name="_Toc53037926"/>
      <w:bookmarkStart w:id="214" w:name="_Toc7707485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37</w:t>
      </w:r>
      <w:r w:rsidR="00804AF3">
        <w:rPr>
          <w:noProof/>
        </w:rPr>
        <w:fldChar w:fldCharType="end"/>
      </w:r>
      <w:r w:rsidR="001620D7">
        <w:rPr>
          <w:noProof/>
        </w:rPr>
        <w:t>:</w:t>
      </w:r>
      <w:r>
        <w:t xml:space="preserve"> Intenzita hlukové zátěže v okolí hlavních silničních komunikací ve Zlíně</w:t>
      </w:r>
      <w:r>
        <w:rPr>
          <w:noProof/>
          <w:lang w:eastAsia="cs-CZ"/>
        </w:rPr>
        <w:drawing>
          <wp:anchor distT="0" distB="0" distL="114300" distR="114300" simplePos="0" relativeHeight="251738112" behindDoc="1" locked="0" layoutInCell="1" allowOverlap="1" wp14:anchorId="5745B9C8" wp14:editId="28F50CE4">
            <wp:simplePos x="0" y="0"/>
            <wp:positionH relativeFrom="column">
              <wp:posOffset>0</wp:posOffset>
            </wp:positionH>
            <wp:positionV relativeFrom="paragraph">
              <wp:posOffset>249555</wp:posOffset>
            </wp:positionV>
            <wp:extent cx="5760000" cy="2907441"/>
            <wp:effectExtent l="0" t="0" r="0" b="7620"/>
            <wp:wrapTight wrapText="bothSides">
              <wp:wrapPolygon edited="0">
                <wp:start x="0" y="0"/>
                <wp:lineTo x="0" y="21515"/>
                <wp:lineTo x="21505" y="21515"/>
                <wp:lineTo x="21505"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luk1.png"/>
                    <pic:cNvPicPr/>
                  </pic:nvPicPr>
                  <pic:blipFill>
                    <a:blip r:embed="rId65">
                      <a:extLst>
                        <a:ext uri="{28A0092B-C50C-407E-A947-70E740481C1C}">
                          <a14:useLocalDpi xmlns:a14="http://schemas.microsoft.com/office/drawing/2010/main" val="0"/>
                        </a:ext>
                      </a:extLst>
                    </a:blip>
                    <a:stretch>
                      <a:fillRect/>
                    </a:stretch>
                  </pic:blipFill>
                  <pic:spPr>
                    <a:xfrm>
                      <a:off x="0" y="0"/>
                      <a:ext cx="5760000" cy="2907441"/>
                    </a:xfrm>
                    <a:prstGeom prst="rect">
                      <a:avLst/>
                    </a:prstGeom>
                  </pic:spPr>
                </pic:pic>
              </a:graphicData>
            </a:graphic>
            <wp14:sizeRelH relativeFrom="margin">
              <wp14:pctWidth>0</wp14:pctWidth>
            </wp14:sizeRelH>
            <wp14:sizeRelV relativeFrom="margin">
              <wp14:pctHeight>0</wp14:pctHeight>
            </wp14:sizeRelV>
          </wp:anchor>
        </w:drawing>
      </w:r>
      <w:bookmarkEnd w:id="212"/>
      <w:bookmarkEnd w:id="213"/>
      <w:bookmarkEnd w:id="214"/>
    </w:p>
    <w:p w14:paraId="5D59132B" w14:textId="77777777" w:rsidR="00047BE4" w:rsidRPr="001620D7" w:rsidRDefault="00047BE4" w:rsidP="00047BE4">
      <w:pPr>
        <w:pStyle w:val="Zdroj"/>
      </w:pPr>
      <w:r>
        <w:t xml:space="preserve">Zdroj: MZČR: Hlukové mapy 2017, </w:t>
      </w:r>
      <w:hyperlink r:id="rId66" w:history="1">
        <w:r w:rsidRPr="001620D7">
          <w:rPr>
            <w:rStyle w:val="Hypertextovodkaz"/>
            <w:rFonts w:eastAsiaTheme="majorEastAsia"/>
            <w:color w:val="auto"/>
            <w:sz w:val="20"/>
            <w:szCs w:val="20"/>
            <w:u w:val="none"/>
          </w:rPr>
          <w:t>https://geoportal.mzcr.cz/shm/</w:t>
        </w:r>
      </w:hyperlink>
    </w:p>
    <w:p w14:paraId="3D4132D6" w14:textId="46E5562F" w:rsidR="00047BE4" w:rsidRDefault="00047BE4" w:rsidP="00047BE4">
      <w:r>
        <w:t>Snižováním hlukové zátěže v blízkosti komunikací I. třídy ve Zlínském kraji se zabývá „Akční hlukový plán pro hlavní pozemní komunikace ve správě ŘSD ČR – Zlínský kraj“</w:t>
      </w:r>
      <w:r>
        <w:rPr>
          <w:rStyle w:val="Znakapoznpodarou"/>
        </w:rPr>
        <w:footnoteReference w:id="42"/>
      </w:r>
      <w:r>
        <w:t>, který navazuje na akční plány zpracované již dříve. Obdobně se problematikou hlukové zátěže v okolí silnic ve vlastnictví Zlínského kraje zabývá „Akční plán protihlukových opatření pro hlavní pozemní komunikace ve vlastnictví Zlínského kraje“</w:t>
      </w:r>
      <w:r>
        <w:rPr>
          <w:rStyle w:val="Znakapoznpodarou"/>
        </w:rPr>
        <w:footnoteReference w:id="43"/>
      </w:r>
      <w:r>
        <w:t>. V případě Zlína byl</w:t>
      </w:r>
      <w:r w:rsidR="005D5CBF">
        <w:t>y</w:t>
      </w:r>
      <w:r>
        <w:t xml:space="preserve"> sledovány lokality v blízkosti frekventovaných komunikací I/49 (Otrokovice – Zlín – Vizovice) a II/490 (Fryšták – Zlín – Bohuslavice u Zlína). Studie určila kritická místa v regionu, kde dochází k překračování limitů pro hlukovou zátěž (L</w:t>
      </w:r>
      <w:r w:rsidRPr="001711E5">
        <w:rPr>
          <w:vertAlign w:val="subscript"/>
        </w:rPr>
        <w:t>n</w:t>
      </w:r>
      <w:r>
        <w:t xml:space="preserve"> &gt; 60 dB)</w:t>
      </w:r>
      <w:r>
        <w:rPr>
          <w:rStyle w:val="Znakapoznpodarou"/>
        </w:rPr>
        <w:footnoteReference w:id="44"/>
      </w:r>
      <w:r>
        <w:t>. Dle odhadů studie se v zóně hlukové zátěže překračující mezní hodnotu L</w:t>
      </w:r>
      <w:r w:rsidRPr="001711E5">
        <w:rPr>
          <w:vertAlign w:val="subscript"/>
        </w:rPr>
        <w:t>n</w:t>
      </w:r>
      <w:r>
        <w:t xml:space="preserve"> &gt; 60 dB nachází 131 obytných budov, kde žije 884 obyvatel v případě silnice I/49 a 42 obytných budov s 368 obyvateli v případě silnic II/490 a III/49018. Mezi kritická místa, kde by vzhledem k vysoké hustotě zalidnění měla být protihluková opatření realizována v co nejkratším časovém horizontu, byla zařazena lokalita nacházející se na </w:t>
      </w:r>
      <w:r w:rsidR="005D5CBF">
        <w:t>t</w:t>
      </w:r>
      <w:r>
        <w:t>řídě Tomáše Bati mezi ulicí Potoky a ulicí Díly II, kde se nacházejí především obytné domy o 4 NP. Další z problémových lokalit leží na ulici Sokolská (silnice II/490). Jako opatření snížení hlukové zátěže v blízkosti silnice I/49 se uvádí především výstavba plánovaného obchvatu Zlína komunikací D/49 v úseku Hulín – Lípa, který dle má být dle aktuálních informací zprovozněn roku 2028</w:t>
      </w:r>
      <w:r>
        <w:rPr>
          <w:rStyle w:val="Znakapoznpodarou"/>
        </w:rPr>
        <w:footnoteReference w:id="45"/>
      </w:r>
      <w:r>
        <w:t xml:space="preserve">. V minulosti již byla realizována některá opatření snižující hlukovou zátěž obyvatel jako výměna oken nebo instalace nízkohlučného povrchu na úsecích silnice I/49. V lokalitě ulice Sokolská je navrhovaná rekonstrukce </w:t>
      </w:r>
      <w:r>
        <w:lastRenderedPageBreak/>
        <w:t>a</w:t>
      </w:r>
      <w:r w:rsidR="005D5CBF">
        <w:t> </w:t>
      </w:r>
      <w:r>
        <w:t>instalace nízkohlučného povrchu silnice. Vzhledem ke skutečnosti, že městem Zlín neprochází hlavní železniční tratě, není hluková zátěž způsobená železniční dopravou ve Zlíně výrazná.</w:t>
      </w:r>
    </w:p>
    <w:p w14:paraId="094809E5" w14:textId="3C64B89E" w:rsidR="00047BE4" w:rsidRPr="00140EB7" w:rsidRDefault="00047BE4" w:rsidP="00047BE4">
      <w:pPr>
        <w:rPr>
          <w:rFonts w:ascii="Calibri" w:eastAsia="Times New Roman" w:hAnsi="Calibri" w:cs="Calibri"/>
          <w:color w:val="000000"/>
          <w:lang w:eastAsia="cs-CZ"/>
        </w:rPr>
      </w:pPr>
      <w:r>
        <w:t xml:space="preserve">Na grafech uvedených níže </w:t>
      </w:r>
      <w:r w:rsidR="003A743C">
        <w:t xml:space="preserve">(obrázek 1.38) </w:t>
      </w:r>
      <w:r>
        <w:t>je znázorněn rozsah hlukové zátěže (</w:t>
      </w:r>
      <w:r w:rsidRPr="00AE2DED">
        <w:t>L</w:t>
      </w:r>
      <w:r w:rsidRPr="0088795C">
        <w:rPr>
          <w:vertAlign w:val="subscript"/>
        </w:rPr>
        <w:t>dvn</w:t>
      </w:r>
      <w:r>
        <w:t xml:space="preserve">) ve vztahu k obyvatelstvu. Na její intenzitě se podílí rušná doprava procházející centrem Zlína. V provedeném šetření spokojenosti obyvatel Zlína byl často uváděn hluk spolu s rušnou dopravou jako jeden z důvodů nespokojenosti. Podle dat Ministerstva zdravotnictví se v oblasti nejvyšší hlukové zátěže </w:t>
      </w:r>
      <w:r w:rsidRPr="004D3D34">
        <w:rPr>
          <w:rFonts w:ascii="Calibri" w:eastAsia="Times New Roman" w:hAnsi="Calibri" w:cs="Calibri"/>
          <w:color w:val="000000"/>
          <w:lang w:eastAsia="cs-CZ"/>
        </w:rPr>
        <w:t>70-74 dB</w:t>
      </w:r>
      <w:r>
        <w:rPr>
          <w:rFonts w:ascii="Calibri" w:eastAsia="Times New Roman" w:hAnsi="Calibri" w:cs="Calibri"/>
          <w:color w:val="000000"/>
          <w:lang w:eastAsia="cs-CZ"/>
        </w:rPr>
        <w:t xml:space="preserve"> nachází ve Zlíně 119 obytných budov.</w:t>
      </w:r>
    </w:p>
    <w:p w14:paraId="2BB05AFA" w14:textId="122F25BD" w:rsidR="00047BE4" w:rsidRDefault="00047BE4" w:rsidP="00047BE4">
      <w:pPr>
        <w:pStyle w:val="Titulek"/>
      </w:pPr>
      <w:bookmarkStart w:id="215" w:name="_Toc48653031"/>
      <w:bookmarkStart w:id="216" w:name="_Toc53037927"/>
      <w:bookmarkStart w:id="217" w:name="_Toc77074856"/>
      <w:r>
        <w:rPr>
          <w:noProof/>
          <w:lang w:eastAsia="cs-CZ"/>
        </w:rPr>
        <w:drawing>
          <wp:anchor distT="0" distB="0" distL="114300" distR="114300" simplePos="0" relativeHeight="251740160" behindDoc="1" locked="0" layoutInCell="1" allowOverlap="1" wp14:anchorId="5BFC5B7F" wp14:editId="4A55A429">
            <wp:simplePos x="0" y="0"/>
            <wp:positionH relativeFrom="margin">
              <wp:posOffset>2880360</wp:posOffset>
            </wp:positionH>
            <wp:positionV relativeFrom="paragraph">
              <wp:posOffset>297180</wp:posOffset>
            </wp:positionV>
            <wp:extent cx="2879725" cy="2160000"/>
            <wp:effectExtent l="0" t="0" r="15875" b="12065"/>
            <wp:wrapTight wrapText="bothSides">
              <wp:wrapPolygon edited="0">
                <wp:start x="0" y="0"/>
                <wp:lineTo x="0" y="21530"/>
                <wp:lineTo x="21576" y="21530"/>
                <wp:lineTo x="21576" y="0"/>
                <wp:lineTo x="0" y="0"/>
              </wp:wrapPolygon>
            </wp:wrapTight>
            <wp:docPr id="203" name="Graf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39136" behindDoc="0" locked="0" layoutInCell="1" allowOverlap="1" wp14:anchorId="1FF527AF" wp14:editId="5287A384">
            <wp:simplePos x="0" y="0"/>
            <wp:positionH relativeFrom="margin">
              <wp:align>left</wp:align>
            </wp:positionH>
            <wp:positionV relativeFrom="paragraph">
              <wp:posOffset>295275</wp:posOffset>
            </wp:positionV>
            <wp:extent cx="2880000" cy="2160000"/>
            <wp:effectExtent l="0" t="0" r="15875" b="12065"/>
            <wp:wrapSquare wrapText="bothSides"/>
            <wp:docPr id="206" name="Graf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38</w:t>
      </w:r>
      <w:r w:rsidR="00804AF3">
        <w:rPr>
          <w:noProof/>
        </w:rPr>
        <w:fldChar w:fldCharType="end"/>
      </w:r>
      <w:r w:rsidR="005D5CBF">
        <w:rPr>
          <w:noProof/>
        </w:rPr>
        <w:t>:</w:t>
      </w:r>
      <w:r>
        <w:t xml:space="preserve"> Hluková zátěž obyvatel Zlína v roce 2017</w:t>
      </w:r>
      <w:bookmarkEnd w:id="215"/>
      <w:bookmarkEnd w:id="216"/>
      <w:bookmarkEnd w:id="217"/>
    </w:p>
    <w:p w14:paraId="279EF8EC" w14:textId="77777777" w:rsidR="00047BE4" w:rsidRPr="00AE2DED" w:rsidRDefault="00047BE4" w:rsidP="00047BE4">
      <w:pPr>
        <w:pStyle w:val="Zdroj"/>
      </w:pPr>
      <w:r>
        <w:t>Zdroj: MZČR: Hlukové mapy 2017,</w:t>
      </w:r>
      <w:r w:rsidRPr="00AE2DED">
        <w:t xml:space="preserve"> </w:t>
      </w:r>
      <w:hyperlink r:id="rId69" w:history="1">
        <w:r w:rsidRPr="005D5CBF">
          <w:rPr>
            <w:rStyle w:val="Hypertextovodkaz"/>
            <w:rFonts w:eastAsiaTheme="majorEastAsia"/>
            <w:color w:val="auto"/>
            <w:u w:val="none"/>
          </w:rPr>
          <w:t>https://geoportal.mzcr.cz/shm/</w:t>
        </w:r>
      </w:hyperlink>
    </w:p>
    <w:p w14:paraId="18C02FE2" w14:textId="5CAB80D2" w:rsidR="00047BE4" w:rsidRPr="00AE2DED" w:rsidRDefault="005D5CBF" w:rsidP="00047BE4">
      <w:pPr>
        <w:pStyle w:val="Zdroj"/>
      </w:pPr>
      <w:r>
        <w:t>*Z</w:t>
      </w:r>
      <w:r w:rsidR="00047BE4" w:rsidRPr="00AE2DED">
        <w:t>názorněn ukazatel L</w:t>
      </w:r>
      <w:r w:rsidR="00047BE4" w:rsidRPr="005D5CBF">
        <w:rPr>
          <w:vertAlign w:val="subscript"/>
        </w:rPr>
        <w:t>dvn</w:t>
      </w:r>
      <w:r w:rsidR="00047BE4" w:rsidRPr="00AE2DED">
        <w:t xml:space="preserve"> (den-večer-noc) používaný k vyjádření celkového obtěžování hlukem</w:t>
      </w:r>
      <w:r>
        <w:t>.</w:t>
      </w:r>
    </w:p>
    <w:p w14:paraId="1FF9A2C8" w14:textId="77777777" w:rsidR="00047BE4" w:rsidRPr="008677D1" w:rsidRDefault="00047BE4" w:rsidP="00047BE4">
      <w:pPr>
        <w:pStyle w:val="Nadpis4"/>
      </w:pPr>
      <w:r w:rsidRPr="008677D1">
        <w:t xml:space="preserve">Odpadové hospodářství </w:t>
      </w:r>
    </w:p>
    <w:p w14:paraId="46E6968B" w14:textId="3D2103A2" w:rsidR="00047BE4" w:rsidRDefault="00047BE4" w:rsidP="00047BE4">
      <w:r>
        <w:t xml:space="preserve">Nakládání s odpady ve Zlíně je řízeno Plánem </w:t>
      </w:r>
      <w:r w:rsidRPr="00A265F0">
        <w:t>odpadového hospodářství statutárního města Zlína (2017</w:t>
      </w:r>
      <w:r w:rsidR="005D5CBF">
        <w:t> </w:t>
      </w:r>
      <w:r w:rsidRPr="00A265F0">
        <w:t>–</w:t>
      </w:r>
      <w:r w:rsidR="005D5CBF">
        <w:t> </w:t>
      </w:r>
      <w:r w:rsidRPr="00A265F0">
        <w:t>2021)</w:t>
      </w:r>
      <w:r>
        <w:rPr>
          <w:rStyle w:val="Znakapoznpodarou"/>
        </w:rPr>
        <w:footnoteReference w:id="46"/>
      </w:r>
      <w:r>
        <w:t xml:space="preserve">. </w:t>
      </w:r>
      <w:r w:rsidRPr="00FB4D51">
        <w:t>Město za</w:t>
      </w:r>
      <w:r>
        <w:t xml:space="preserve">jišťuje sběr tříděného odpadu </w:t>
      </w:r>
      <w:r w:rsidRPr="00FB4D51">
        <w:t xml:space="preserve">odděleně </w:t>
      </w:r>
      <w:r>
        <w:t xml:space="preserve">– </w:t>
      </w:r>
      <w:r w:rsidRPr="00FB4D51">
        <w:t>papír, plasty s nápojovými kartony, sklo, kovové obaly.</w:t>
      </w:r>
      <w:r>
        <w:t xml:space="preserve"> Vývoj množství tříděného odpadu je znázorněn na obrázku </w:t>
      </w:r>
      <w:r w:rsidR="00E111E6">
        <w:t>1.39</w:t>
      </w:r>
      <w:r>
        <w:t>. Je patrné, že dochází k nárůstu objemu tříděného plastu a biologického odpadu, množství papíru a skla vykazuje spíše stagnující trend.</w:t>
      </w:r>
    </w:p>
    <w:p w14:paraId="172A1BB4" w14:textId="3B11D159" w:rsidR="00047BE4" w:rsidRPr="000654E2" w:rsidRDefault="00047BE4" w:rsidP="00047BE4">
      <w:pPr>
        <w:rPr>
          <w:lang w:eastAsia="cs-CZ"/>
        </w:rPr>
      </w:pPr>
      <w:r>
        <w:rPr>
          <w:lang w:eastAsia="cs-CZ"/>
        </w:rPr>
        <w:t xml:space="preserve">Téměř dvě třetiny odpadu vyprodukovaného ve Zlíně tvoří směsný komunální odpad, jak je patrné z níže uvedeného grafu </w:t>
      </w:r>
      <w:r w:rsidR="003A743C">
        <w:rPr>
          <w:lang w:eastAsia="cs-CZ"/>
        </w:rPr>
        <w:t xml:space="preserve">(obrázek 1.39) </w:t>
      </w:r>
      <w:r>
        <w:rPr>
          <w:lang w:eastAsia="cs-CZ"/>
        </w:rPr>
        <w:t>znázorňujícího strukturu složení odpadu ve Zlíně. Množství směsného komunálního odpadu se však ve srovnání s rokem 2014 (14 061 t) snížilo na 12 696 t v roce 2019. Celková produkce odpadů SMZ při započtení všech složek odpadů v roce 2019 činila 25 684 t. Směsný komunální odpad tak v roce 2019 činil 49 % z celkové produkce odpadů.</w:t>
      </w:r>
    </w:p>
    <w:p w14:paraId="45758DA0" w14:textId="4B62D87D" w:rsidR="00047BE4" w:rsidRPr="00B139A8" w:rsidRDefault="00047BE4" w:rsidP="00047BE4">
      <w:pPr>
        <w:pStyle w:val="Titulek"/>
      </w:pPr>
      <w:bookmarkStart w:id="218" w:name="_Toc48653032"/>
      <w:bookmarkStart w:id="219" w:name="_Toc53037928"/>
      <w:bookmarkStart w:id="220" w:name="_Toc77074857"/>
      <w:r>
        <w:rPr>
          <w:noProof/>
          <w:lang w:eastAsia="cs-CZ"/>
        </w:rPr>
        <w:lastRenderedPageBreak/>
        <w:drawing>
          <wp:anchor distT="0" distB="0" distL="114300" distR="114300" simplePos="0" relativeHeight="251737088" behindDoc="1" locked="0" layoutInCell="1" allowOverlap="1" wp14:anchorId="6DC9FAD7" wp14:editId="3898EB00">
            <wp:simplePos x="0" y="0"/>
            <wp:positionH relativeFrom="margin">
              <wp:align>left</wp:align>
            </wp:positionH>
            <wp:positionV relativeFrom="paragraph">
              <wp:posOffset>273685</wp:posOffset>
            </wp:positionV>
            <wp:extent cx="2520000" cy="2160000"/>
            <wp:effectExtent l="0" t="0" r="13970" b="12065"/>
            <wp:wrapTight wrapText="bothSides">
              <wp:wrapPolygon edited="0">
                <wp:start x="0" y="0"/>
                <wp:lineTo x="0" y="21530"/>
                <wp:lineTo x="21556" y="21530"/>
                <wp:lineTo x="21556" y="0"/>
                <wp:lineTo x="0" y="0"/>
              </wp:wrapPolygon>
            </wp:wrapTight>
            <wp:docPr id="208" name="Graf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736064" behindDoc="1" locked="0" layoutInCell="1" allowOverlap="1" wp14:anchorId="06429E5E" wp14:editId="5D7C35FE">
            <wp:simplePos x="0" y="0"/>
            <wp:positionH relativeFrom="margin">
              <wp:posOffset>2522220</wp:posOffset>
            </wp:positionH>
            <wp:positionV relativeFrom="paragraph">
              <wp:posOffset>279831</wp:posOffset>
            </wp:positionV>
            <wp:extent cx="3238500" cy="2159635"/>
            <wp:effectExtent l="0" t="0" r="0" b="12065"/>
            <wp:wrapTight wrapText="bothSides">
              <wp:wrapPolygon edited="0">
                <wp:start x="0" y="0"/>
                <wp:lineTo x="0" y="21530"/>
                <wp:lineTo x="21473" y="21530"/>
                <wp:lineTo x="21473" y="0"/>
                <wp:lineTo x="0" y="0"/>
              </wp:wrapPolygon>
            </wp:wrapTight>
            <wp:docPr id="207" name="Graf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39</w:t>
      </w:r>
      <w:r w:rsidR="00804AF3">
        <w:rPr>
          <w:noProof/>
        </w:rPr>
        <w:fldChar w:fldCharType="end"/>
      </w:r>
      <w:r w:rsidR="005D5CBF">
        <w:rPr>
          <w:noProof/>
        </w:rPr>
        <w:t>:</w:t>
      </w:r>
      <w:r>
        <w:t xml:space="preserve"> </w:t>
      </w:r>
      <w:r w:rsidRPr="008E1E6E">
        <w:t xml:space="preserve">Vývoj množství </w:t>
      </w:r>
      <w:r>
        <w:t xml:space="preserve">vybraných složek odpadu </w:t>
      </w:r>
      <w:r w:rsidRPr="008E1E6E">
        <w:t xml:space="preserve">ve Zlíně v letech 2014 </w:t>
      </w:r>
      <w:r w:rsidR="005D5CBF">
        <w:sym w:font="Symbol" w:char="F02D"/>
      </w:r>
      <w:r w:rsidRPr="008E1E6E">
        <w:t xml:space="preserve"> 2019</w:t>
      </w:r>
      <w:bookmarkEnd w:id="218"/>
      <w:bookmarkEnd w:id="219"/>
      <w:bookmarkEnd w:id="220"/>
    </w:p>
    <w:p w14:paraId="49C706AB" w14:textId="36F165B2" w:rsidR="00047BE4" w:rsidRPr="00AA5C62" w:rsidRDefault="00047BE4" w:rsidP="00047BE4">
      <w:pPr>
        <w:pStyle w:val="Bezmezer"/>
        <w:rPr>
          <w:i/>
          <w:sz w:val="20"/>
          <w:szCs w:val="20"/>
          <w:lang w:eastAsia="cs-CZ"/>
        </w:rPr>
      </w:pPr>
      <w:r>
        <w:rPr>
          <w:i/>
          <w:sz w:val="20"/>
          <w:szCs w:val="20"/>
          <w:lang w:eastAsia="cs-CZ"/>
        </w:rPr>
        <w:t xml:space="preserve">Zdroj: Magistrát města Zlína; </w:t>
      </w:r>
      <w:r w:rsidRPr="00AA5C62">
        <w:rPr>
          <w:i/>
          <w:sz w:val="20"/>
          <w:szCs w:val="20"/>
          <w:lang w:eastAsia="cs-CZ"/>
        </w:rPr>
        <w:t>Do produkce papíru jsou připočteny i tzv. školní sběry papíru</w:t>
      </w:r>
      <w:r w:rsidR="005D5CBF">
        <w:rPr>
          <w:i/>
          <w:sz w:val="20"/>
          <w:szCs w:val="20"/>
          <w:lang w:eastAsia="cs-CZ"/>
        </w:rPr>
        <w:t>.</w:t>
      </w:r>
    </w:p>
    <w:p w14:paraId="7357BC43" w14:textId="65D71F13" w:rsidR="00047BE4" w:rsidRPr="00AA5C62" w:rsidRDefault="00047BE4" w:rsidP="00047BE4">
      <w:pPr>
        <w:pStyle w:val="Bezmezer"/>
        <w:rPr>
          <w:i/>
          <w:sz w:val="20"/>
          <w:szCs w:val="20"/>
          <w:lang w:eastAsia="cs-CZ"/>
        </w:rPr>
      </w:pPr>
      <w:r w:rsidRPr="00AA5C62">
        <w:rPr>
          <w:i/>
          <w:sz w:val="20"/>
          <w:szCs w:val="20"/>
          <w:lang w:eastAsia="cs-CZ"/>
        </w:rPr>
        <w:t xml:space="preserve"> * Biologicky rozložitelný komunální odpad</w:t>
      </w:r>
      <w:r w:rsidR="005D5CBF">
        <w:rPr>
          <w:i/>
          <w:sz w:val="20"/>
          <w:szCs w:val="20"/>
          <w:lang w:eastAsia="cs-CZ"/>
        </w:rPr>
        <w:t>.</w:t>
      </w:r>
      <w:r w:rsidRPr="00AA5C62">
        <w:rPr>
          <w:i/>
          <w:sz w:val="20"/>
          <w:szCs w:val="20"/>
          <w:lang w:eastAsia="cs-CZ"/>
        </w:rPr>
        <w:t xml:space="preserve"> </w:t>
      </w:r>
    </w:p>
    <w:p w14:paraId="07DE56FF" w14:textId="0718E2C7" w:rsidR="00047BE4" w:rsidRDefault="00047BE4" w:rsidP="00047BE4">
      <w:pPr>
        <w:spacing w:before="100" w:beforeAutospacing="1" w:after="100" w:afterAutospacing="1"/>
        <w:rPr>
          <w:rFonts w:eastAsia="Times New Roman" w:cstheme="minorHAnsi"/>
          <w:iCs/>
          <w:lang w:eastAsia="cs-CZ"/>
        </w:rPr>
      </w:pPr>
      <w:r>
        <w:rPr>
          <w:rFonts w:eastAsia="Times New Roman" w:cstheme="minorHAnsi"/>
          <w:iCs/>
          <w:lang w:eastAsia="cs-CZ"/>
        </w:rPr>
        <w:t xml:space="preserve">Ve městě Zlín dochází k navyšování počtu sběrných nádob v prostorech města, jak udává srovnání v tabulce </w:t>
      </w:r>
      <w:r w:rsidR="00094895">
        <w:rPr>
          <w:rFonts w:eastAsia="Times New Roman" w:cstheme="minorHAnsi"/>
          <w:iCs/>
          <w:lang w:eastAsia="cs-CZ"/>
        </w:rPr>
        <w:t>1.3</w:t>
      </w:r>
      <w:r w:rsidR="00CA267E">
        <w:rPr>
          <w:rFonts w:eastAsia="Times New Roman" w:cstheme="minorHAnsi"/>
          <w:iCs/>
          <w:lang w:eastAsia="cs-CZ"/>
        </w:rPr>
        <w:t>6</w:t>
      </w:r>
      <w:r>
        <w:rPr>
          <w:rFonts w:eastAsia="Times New Roman" w:cstheme="minorHAnsi"/>
          <w:iCs/>
          <w:lang w:eastAsia="cs-CZ"/>
        </w:rPr>
        <w:t>. Nově v ulicích města přibyly např. kontejnery na kovy nebo oleje. Lepší dostupnost nádob podporuje separaci odpadů občany. Například u vytříděného textilu určeného k recyklaci došlo dle údajů města mezi lety 2014 – 2019 k nárůstu objemu z 93 t na 147 t.</w:t>
      </w:r>
    </w:p>
    <w:p w14:paraId="77BC2377" w14:textId="6F58AEEC" w:rsidR="00047BE4" w:rsidRPr="003F20AB" w:rsidRDefault="00047BE4" w:rsidP="00047BE4">
      <w:pPr>
        <w:pStyle w:val="Titulek"/>
        <w:keepNext/>
        <w:rPr>
          <w:rFonts w:eastAsia="Times New Roman" w:cstheme="minorHAnsi"/>
          <w:iCs w:val="0"/>
          <w:lang w:eastAsia="cs-CZ"/>
        </w:rPr>
      </w:pPr>
      <w:bookmarkStart w:id="221" w:name="_Toc48653018"/>
      <w:bookmarkStart w:id="222" w:name="_Toc53037896"/>
      <w:bookmarkStart w:id="223" w:name="_Toc77074716"/>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36</w:t>
      </w:r>
      <w:r w:rsidR="00081B47">
        <w:rPr>
          <w:noProof/>
        </w:rPr>
        <w:fldChar w:fldCharType="end"/>
      </w:r>
      <w:r w:rsidR="005D5CBF">
        <w:rPr>
          <w:noProof/>
        </w:rPr>
        <w:t>:</w:t>
      </w:r>
      <w:r>
        <w:t xml:space="preserve"> </w:t>
      </w:r>
      <w:r>
        <w:rPr>
          <w:rFonts w:eastAsia="Times New Roman" w:cstheme="minorHAnsi"/>
          <w:lang w:eastAsia="cs-CZ"/>
        </w:rPr>
        <w:t xml:space="preserve">Srovnání vybavenosti nádobami na tříděné složky komunálního </w:t>
      </w:r>
      <w:r w:rsidRPr="003F20AB">
        <w:rPr>
          <w:rFonts w:eastAsia="Times New Roman" w:cstheme="minorHAnsi"/>
          <w:lang w:eastAsia="cs-CZ"/>
        </w:rPr>
        <w:t>odpad</w:t>
      </w:r>
      <w:r>
        <w:rPr>
          <w:rFonts w:eastAsia="Times New Roman" w:cstheme="minorHAnsi"/>
          <w:lang w:eastAsia="cs-CZ"/>
        </w:rPr>
        <w:t>u</w:t>
      </w:r>
      <w:r w:rsidRPr="003F20AB">
        <w:rPr>
          <w:rFonts w:eastAsia="Times New Roman" w:cstheme="minorHAnsi"/>
          <w:lang w:eastAsia="cs-CZ"/>
        </w:rPr>
        <w:t xml:space="preserve"> mezi lety 2015 a</w:t>
      </w:r>
      <w:r>
        <w:rPr>
          <w:rFonts w:eastAsia="Times New Roman" w:cstheme="minorHAnsi"/>
          <w:lang w:eastAsia="cs-CZ"/>
        </w:rPr>
        <w:t> </w:t>
      </w:r>
      <w:r w:rsidRPr="003F20AB">
        <w:rPr>
          <w:rFonts w:eastAsia="Times New Roman" w:cstheme="minorHAnsi"/>
          <w:lang w:eastAsia="cs-CZ"/>
        </w:rPr>
        <w:t>2020</w:t>
      </w:r>
      <w:bookmarkEnd w:id="221"/>
      <w:bookmarkEnd w:id="222"/>
      <w:bookmarkEnd w:id="223"/>
    </w:p>
    <w:tbl>
      <w:tblPr>
        <w:tblpPr w:leftFromText="141" w:rightFromText="141" w:vertAnchor="text" w:tblpY="1"/>
        <w:tblOverlap w:val="never"/>
        <w:tblW w:w="6540" w:type="dxa"/>
        <w:tblCellMar>
          <w:left w:w="0" w:type="dxa"/>
          <w:right w:w="0" w:type="dxa"/>
        </w:tblCellMar>
        <w:tblLook w:val="04A0" w:firstRow="1" w:lastRow="0" w:firstColumn="1" w:lastColumn="0" w:noHBand="0" w:noVBand="1"/>
      </w:tblPr>
      <w:tblGrid>
        <w:gridCol w:w="4618"/>
        <w:gridCol w:w="961"/>
        <w:gridCol w:w="961"/>
      </w:tblGrid>
      <w:tr w:rsidR="00047BE4" w:rsidRPr="00995D38" w14:paraId="4440907F" w14:textId="77777777" w:rsidTr="00047BE4">
        <w:trPr>
          <w:trHeight w:val="300"/>
        </w:trPr>
        <w:tc>
          <w:tcPr>
            <w:tcW w:w="4618"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tcMar>
              <w:top w:w="0" w:type="dxa"/>
              <w:left w:w="70" w:type="dxa"/>
              <w:bottom w:w="0" w:type="dxa"/>
              <w:right w:w="70" w:type="dxa"/>
            </w:tcMar>
            <w:vAlign w:val="bottom"/>
            <w:hideMark/>
          </w:tcPr>
          <w:p w14:paraId="07A97A3B"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b/>
                <w:bCs/>
                <w:sz w:val="18"/>
                <w:szCs w:val="18"/>
                <w:lang w:eastAsia="cs-CZ"/>
              </w:rPr>
              <w:t>Druh odpadu</w:t>
            </w:r>
          </w:p>
        </w:tc>
        <w:tc>
          <w:tcPr>
            <w:tcW w:w="961" w:type="dxa"/>
            <w:tcBorders>
              <w:top w:val="single" w:sz="8" w:space="0" w:color="auto"/>
              <w:left w:val="nil"/>
              <w:bottom w:val="single" w:sz="8" w:space="0" w:color="auto"/>
              <w:right w:val="single" w:sz="8" w:space="0" w:color="auto"/>
            </w:tcBorders>
            <w:shd w:val="clear" w:color="auto" w:fill="F2F2F2" w:themeFill="background1" w:themeFillShade="F2"/>
            <w:noWrap/>
            <w:tcMar>
              <w:top w:w="0" w:type="dxa"/>
              <w:left w:w="70" w:type="dxa"/>
              <w:bottom w:w="0" w:type="dxa"/>
              <w:right w:w="70" w:type="dxa"/>
            </w:tcMar>
            <w:vAlign w:val="bottom"/>
            <w:hideMark/>
          </w:tcPr>
          <w:p w14:paraId="0BC2CF6D" w14:textId="77777777" w:rsidR="00047BE4" w:rsidRPr="004A29A7" w:rsidRDefault="00047BE4" w:rsidP="00047BE4">
            <w:pPr>
              <w:spacing w:before="100" w:beforeAutospacing="1" w:after="100" w:afterAutospacing="1"/>
              <w:jc w:val="center"/>
              <w:rPr>
                <w:rFonts w:eastAsia="Times New Roman" w:cstheme="minorHAnsi"/>
                <w:sz w:val="18"/>
                <w:szCs w:val="18"/>
                <w:lang w:eastAsia="cs-CZ"/>
              </w:rPr>
            </w:pPr>
            <w:r w:rsidRPr="004A29A7">
              <w:rPr>
                <w:rFonts w:eastAsia="Times New Roman" w:cstheme="minorHAnsi"/>
                <w:b/>
                <w:bCs/>
                <w:sz w:val="18"/>
                <w:szCs w:val="18"/>
                <w:lang w:eastAsia="cs-CZ"/>
              </w:rPr>
              <w:t>2015</w:t>
            </w:r>
          </w:p>
        </w:tc>
        <w:tc>
          <w:tcPr>
            <w:tcW w:w="961" w:type="dxa"/>
            <w:tcBorders>
              <w:top w:val="single" w:sz="8" w:space="0" w:color="auto"/>
              <w:left w:val="nil"/>
              <w:bottom w:val="single" w:sz="8" w:space="0" w:color="auto"/>
              <w:right w:val="single" w:sz="8" w:space="0" w:color="auto"/>
            </w:tcBorders>
            <w:shd w:val="clear" w:color="auto" w:fill="F2F2F2" w:themeFill="background1" w:themeFillShade="F2"/>
            <w:noWrap/>
            <w:tcMar>
              <w:top w:w="0" w:type="dxa"/>
              <w:left w:w="70" w:type="dxa"/>
              <w:bottom w:w="0" w:type="dxa"/>
              <w:right w:w="70" w:type="dxa"/>
            </w:tcMar>
            <w:vAlign w:val="bottom"/>
            <w:hideMark/>
          </w:tcPr>
          <w:p w14:paraId="4B9C3F98" w14:textId="77777777" w:rsidR="00047BE4" w:rsidRPr="004A29A7" w:rsidRDefault="00047BE4" w:rsidP="00047BE4">
            <w:pPr>
              <w:spacing w:before="100" w:beforeAutospacing="1" w:after="100" w:afterAutospacing="1"/>
              <w:jc w:val="center"/>
              <w:rPr>
                <w:rFonts w:eastAsia="Times New Roman" w:cstheme="minorHAnsi"/>
                <w:sz w:val="18"/>
                <w:szCs w:val="18"/>
                <w:lang w:eastAsia="cs-CZ"/>
              </w:rPr>
            </w:pPr>
            <w:r w:rsidRPr="004A29A7">
              <w:rPr>
                <w:rFonts w:eastAsia="Times New Roman" w:cstheme="minorHAnsi"/>
                <w:b/>
                <w:bCs/>
                <w:sz w:val="18"/>
                <w:szCs w:val="18"/>
                <w:lang w:eastAsia="cs-CZ"/>
              </w:rPr>
              <w:t>2020</w:t>
            </w:r>
          </w:p>
        </w:tc>
      </w:tr>
      <w:tr w:rsidR="00047BE4" w:rsidRPr="00995D38" w14:paraId="0BD0AF12"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7BF42FA6"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Papír</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1D4F980"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307</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27489A1"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331</w:t>
            </w:r>
          </w:p>
        </w:tc>
      </w:tr>
      <w:tr w:rsidR="00047BE4" w:rsidRPr="00995D38" w14:paraId="18E4BF35"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5FD90740"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Plasty</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3F8078E"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347</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D469C3D"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377</w:t>
            </w:r>
          </w:p>
        </w:tc>
      </w:tr>
      <w:tr w:rsidR="00047BE4" w:rsidRPr="00995D38" w14:paraId="0DCFCE9C"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1A880F3A"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 xml:space="preserve">Sklo </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0BCD5AC"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454</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75E0AC4"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467</w:t>
            </w:r>
          </w:p>
        </w:tc>
      </w:tr>
      <w:tr w:rsidR="00047BE4" w:rsidRPr="00995D38" w14:paraId="2ABEC84C"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7835DC22"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Kovy</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54AFDA9"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0</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8F2193A"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38</w:t>
            </w:r>
          </w:p>
        </w:tc>
      </w:tr>
      <w:tr w:rsidR="00047BE4" w:rsidRPr="00995D38" w14:paraId="76910ECE"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7416D99B"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BRKO*</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BA712E2"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6</w:t>
            </w:r>
            <w:r>
              <w:rPr>
                <w:rFonts w:eastAsia="Times New Roman" w:cstheme="minorHAnsi"/>
                <w:sz w:val="18"/>
                <w:szCs w:val="18"/>
                <w:lang w:eastAsia="cs-CZ"/>
              </w:rPr>
              <w:t xml:space="preserve"> </w:t>
            </w:r>
            <w:r w:rsidRPr="004A29A7">
              <w:rPr>
                <w:rFonts w:eastAsia="Times New Roman" w:cstheme="minorHAnsi"/>
                <w:sz w:val="18"/>
                <w:szCs w:val="18"/>
                <w:lang w:eastAsia="cs-CZ"/>
              </w:rPr>
              <w:t>232</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38C4071"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7</w:t>
            </w:r>
            <w:r>
              <w:rPr>
                <w:rFonts w:eastAsia="Times New Roman" w:cstheme="minorHAnsi"/>
                <w:sz w:val="18"/>
                <w:szCs w:val="18"/>
                <w:lang w:eastAsia="cs-CZ"/>
              </w:rPr>
              <w:t xml:space="preserve"> </w:t>
            </w:r>
            <w:r w:rsidRPr="004A29A7">
              <w:rPr>
                <w:rFonts w:eastAsia="Times New Roman" w:cstheme="minorHAnsi"/>
                <w:sz w:val="18"/>
                <w:szCs w:val="18"/>
                <w:lang w:eastAsia="cs-CZ"/>
              </w:rPr>
              <w:t>486</w:t>
            </w:r>
          </w:p>
        </w:tc>
      </w:tr>
      <w:tr w:rsidR="00047BE4" w:rsidRPr="00995D38" w14:paraId="2FB92CE2"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35F1FA49"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SKO**</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F1B8954"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12</w:t>
            </w:r>
            <w:r>
              <w:rPr>
                <w:rFonts w:eastAsia="Times New Roman" w:cstheme="minorHAnsi"/>
                <w:sz w:val="18"/>
                <w:szCs w:val="18"/>
                <w:lang w:eastAsia="cs-CZ"/>
              </w:rPr>
              <w:t xml:space="preserve"> </w:t>
            </w:r>
            <w:r w:rsidRPr="004A29A7">
              <w:rPr>
                <w:rFonts w:eastAsia="Times New Roman" w:cstheme="minorHAnsi"/>
                <w:sz w:val="18"/>
                <w:szCs w:val="18"/>
                <w:lang w:eastAsia="cs-CZ"/>
              </w:rPr>
              <w:t>073</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E7027F0"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13</w:t>
            </w:r>
            <w:r>
              <w:rPr>
                <w:rFonts w:eastAsia="Times New Roman" w:cstheme="minorHAnsi"/>
                <w:sz w:val="18"/>
                <w:szCs w:val="18"/>
                <w:lang w:eastAsia="cs-CZ"/>
              </w:rPr>
              <w:t xml:space="preserve"> </w:t>
            </w:r>
            <w:r w:rsidRPr="004A29A7">
              <w:rPr>
                <w:rFonts w:eastAsia="Times New Roman" w:cstheme="minorHAnsi"/>
                <w:sz w:val="18"/>
                <w:szCs w:val="18"/>
                <w:lang w:eastAsia="cs-CZ"/>
              </w:rPr>
              <w:t>472</w:t>
            </w:r>
          </w:p>
        </w:tc>
      </w:tr>
      <w:tr w:rsidR="00047BE4" w:rsidRPr="00995D38" w14:paraId="151775F2"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6DFB95F7"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Oleje</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7B529F3"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0</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C174DFC"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15</w:t>
            </w:r>
          </w:p>
        </w:tc>
      </w:tr>
      <w:tr w:rsidR="00047BE4" w:rsidRPr="00995D38" w14:paraId="65EBA3D2"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70" w:type="dxa"/>
              <w:bottom w:w="0" w:type="dxa"/>
              <w:right w:w="70" w:type="dxa"/>
            </w:tcMar>
            <w:vAlign w:val="bottom"/>
            <w:hideMark/>
          </w:tcPr>
          <w:p w14:paraId="40147DA3"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zajišťováno externě mimo TSZ:</w:t>
            </w:r>
          </w:p>
        </w:tc>
        <w:tc>
          <w:tcPr>
            <w:tcW w:w="961" w:type="dxa"/>
            <w:tcBorders>
              <w:top w:val="nil"/>
              <w:left w:val="nil"/>
              <w:bottom w:val="single" w:sz="8" w:space="0" w:color="auto"/>
              <w:right w:val="single" w:sz="8" w:space="0" w:color="auto"/>
            </w:tcBorders>
            <w:shd w:val="clear" w:color="auto" w:fill="F2F2F2" w:themeFill="background1" w:themeFillShade="F2"/>
            <w:noWrap/>
            <w:tcMar>
              <w:top w:w="0" w:type="dxa"/>
              <w:left w:w="70" w:type="dxa"/>
              <w:bottom w:w="0" w:type="dxa"/>
              <w:right w:w="70" w:type="dxa"/>
            </w:tcMar>
            <w:vAlign w:val="bottom"/>
            <w:hideMark/>
          </w:tcPr>
          <w:p w14:paraId="6D249CF2"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 </w:t>
            </w:r>
          </w:p>
        </w:tc>
        <w:tc>
          <w:tcPr>
            <w:tcW w:w="961" w:type="dxa"/>
            <w:tcBorders>
              <w:top w:val="nil"/>
              <w:left w:val="nil"/>
              <w:bottom w:val="single" w:sz="8" w:space="0" w:color="auto"/>
              <w:right w:val="single" w:sz="8" w:space="0" w:color="auto"/>
            </w:tcBorders>
            <w:shd w:val="clear" w:color="auto" w:fill="F2F2F2" w:themeFill="background1" w:themeFillShade="F2"/>
            <w:noWrap/>
            <w:tcMar>
              <w:top w:w="0" w:type="dxa"/>
              <w:left w:w="70" w:type="dxa"/>
              <w:bottom w:w="0" w:type="dxa"/>
              <w:right w:w="70" w:type="dxa"/>
            </w:tcMar>
            <w:vAlign w:val="bottom"/>
            <w:hideMark/>
          </w:tcPr>
          <w:p w14:paraId="30A5DBBD"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 </w:t>
            </w:r>
          </w:p>
        </w:tc>
      </w:tr>
      <w:tr w:rsidR="00047BE4" w:rsidRPr="00995D38" w14:paraId="2FAF0999"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1BF8980B"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Textil</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AED8EED"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14</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690E506"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31</w:t>
            </w:r>
          </w:p>
        </w:tc>
      </w:tr>
      <w:tr w:rsidR="00047BE4" w:rsidRPr="00995D38" w14:paraId="0DA05804" w14:textId="77777777" w:rsidTr="00047BE4">
        <w:trPr>
          <w:trHeight w:val="300"/>
        </w:trPr>
        <w:tc>
          <w:tcPr>
            <w:tcW w:w="4618" w:type="dxa"/>
            <w:tcBorders>
              <w:top w:val="nil"/>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bottom"/>
            <w:hideMark/>
          </w:tcPr>
          <w:p w14:paraId="690FF424" w14:textId="77777777" w:rsidR="00047BE4" w:rsidRPr="004A29A7" w:rsidRDefault="00047BE4" w:rsidP="00047BE4">
            <w:pPr>
              <w:spacing w:before="100" w:beforeAutospacing="1" w:after="100" w:afterAutospacing="1"/>
              <w:rPr>
                <w:rFonts w:eastAsia="Times New Roman" w:cstheme="minorHAnsi"/>
                <w:sz w:val="18"/>
                <w:szCs w:val="18"/>
                <w:lang w:eastAsia="cs-CZ"/>
              </w:rPr>
            </w:pPr>
            <w:r w:rsidRPr="004A29A7">
              <w:rPr>
                <w:rFonts w:eastAsia="Times New Roman" w:cstheme="minorHAnsi"/>
                <w:sz w:val="18"/>
                <w:szCs w:val="18"/>
                <w:lang w:eastAsia="cs-CZ"/>
              </w:rPr>
              <w:t>Elektroodpad</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41606CF"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16</w:t>
            </w:r>
          </w:p>
        </w:tc>
        <w:tc>
          <w:tcPr>
            <w:tcW w:w="9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C100518" w14:textId="77777777" w:rsidR="00047BE4" w:rsidRPr="004A29A7" w:rsidRDefault="00047BE4" w:rsidP="00047BE4">
            <w:pPr>
              <w:spacing w:before="100" w:beforeAutospacing="1" w:after="100" w:afterAutospacing="1"/>
              <w:jc w:val="right"/>
              <w:rPr>
                <w:rFonts w:eastAsia="Times New Roman" w:cstheme="minorHAnsi"/>
                <w:sz w:val="18"/>
                <w:szCs w:val="18"/>
                <w:lang w:eastAsia="cs-CZ"/>
              </w:rPr>
            </w:pPr>
            <w:r w:rsidRPr="004A29A7">
              <w:rPr>
                <w:rFonts w:eastAsia="Times New Roman" w:cstheme="minorHAnsi"/>
                <w:sz w:val="18"/>
                <w:szCs w:val="18"/>
                <w:lang w:eastAsia="cs-CZ"/>
              </w:rPr>
              <w:t>23</w:t>
            </w:r>
          </w:p>
        </w:tc>
      </w:tr>
    </w:tbl>
    <w:p w14:paraId="5B5D5350" w14:textId="77777777" w:rsidR="00047BE4" w:rsidRDefault="00047BE4" w:rsidP="00047BE4">
      <w:pPr>
        <w:spacing w:before="100" w:beforeAutospacing="1" w:after="100" w:afterAutospacing="1"/>
        <w:rPr>
          <w:rFonts w:eastAsia="Times New Roman" w:cstheme="minorHAnsi"/>
          <w:i/>
          <w:iCs/>
          <w:sz w:val="20"/>
          <w:szCs w:val="20"/>
          <w:lang w:eastAsia="cs-CZ"/>
        </w:rPr>
      </w:pPr>
    </w:p>
    <w:p w14:paraId="2652174E" w14:textId="77777777" w:rsidR="00047BE4" w:rsidRDefault="00047BE4" w:rsidP="00047BE4">
      <w:pPr>
        <w:spacing w:before="100" w:beforeAutospacing="1" w:after="100" w:afterAutospacing="1"/>
        <w:rPr>
          <w:rFonts w:eastAsia="Times New Roman" w:cstheme="minorHAnsi"/>
          <w:i/>
          <w:iCs/>
          <w:sz w:val="20"/>
          <w:szCs w:val="20"/>
          <w:lang w:eastAsia="cs-CZ"/>
        </w:rPr>
      </w:pPr>
    </w:p>
    <w:p w14:paraId="3654CCC0" w14:textId="77777777" w:rsidR="00047BE4" w:rsidRDefault="00047BE4" w:rsidP="00047BE4">
      <w:pPr>
        <w:spacing w:before="100" w:beforeAutospacing="1" w:after="100" w:afterAutospacing="1"/>
        <w:rPr>
          <w:rFonts w:eastAsia="Times New Roman" w:cstheme="minorHAnsi"/>
          <w:i/>
          <w:iCs/>
          <w:sz w:val="20"/>
          <w:szCs w:val="20"/>
          <w:lang w:eastAsia="cs-CZ"/>
        </w:rPr>
      </w:pPr>
    </w:p>
    <w:p w14:paraId="6E3FAB2D" w14:textId="77777777" w:rsidR="00047BE4" w:rsidRDefault="00047BE4" w:rsidP="00047BE4">
      <w:pPr>
        <w:spacing w:before="100" w:beforeAutospacing="1" w:after="100" w:afterAutospacing="1"/>
        <w:rPr>
          <w:rFonts w:eastAsia="Times New Roman" w:cstheme="minorHAnsi"/>
          <w:i/>
          <w:iCs/>
          <w:sz w:val="20"/>
          <w:szCs w:val="20"/>
          <w:lang w:eastAsia="cs-CZ"/>
        </w:rPr>
      </w:pPr>
    </w:p>
    <w:p w14:paraId="1B96DDDA" w14:textId="77777777" w:rsidR="00047BE4" w:rsidRDefault="00047BE4" w:rsidP="00047BE4">
      <w:pPr>
        <w:spacing w:before="100" w:beforeAutospacing="1" w:after="100" w:afterAutospacing="1"/>
        <w:rPr>
          <w:rFonts w:eastAsia="Times New Roman" w:cstheme="minorHAnsi"/>
          <w:i/>
          <w:iCs/>
          <w:sz w:val="20"/>
          <w:szCs w:val="20"/>
          <w:lang w:eastAsia="cs-CZ"/>
        </w:rPr>
      </w:pPr>
    </w:p>
    <w:p w14:paraId="05C9BB75" w14:textId="77777777" w:rsidR="00047BE4" w:rsidRDefault="00047BE4" w:rsidP="00047BE4">
      <w:pPr>
        <w:pStyle w:val="Zdroj"/>
      </w:pPr>
    </w:p>
    <w:p w14:paraId="27292104" w14:textId="77777777" w:rsidR="00047BE4" w:rsidRDefault="00047BE4" w:rsidP="00047BE4">
      <w:pPr>
        <w:pStyle w:val="Zdroj"/>
      </w:pPr>
    </w:p>
    <w:p w14:paraId="6FE4620E" w14:textId="77777777" w:rsidR="00047BE4" w:rsidRDefault="00047BE4" w:rsidP="00047BE4">
      <w:pPr>
        <w:pStyle w:val="Zdroj"/>
      </w:pPr>
    </w:p>
    <w:p w14:paraId="2792977E" w14:textId="47084D27" w:rsidR="00047BE4" w:rsidRPr="00AA5C62" w:rsidRDefault="00047BE4" w:rsidP="00047BE4">
      <w:pPr>
        <w:pStyle w:val="Zdroj"/>
      </w:pPr>
      <w:r>
        <w:t>Z</w:t>
      </w:r>
      <w:r w:rsidRPr="00AA5C62">
        <w:t>droj: Magistrát města Zlína</w:t>
      </w:r>
      <w:r w:rsidR="005D5CBF">
        <w:t>.</w:t>
      </w:r>
    </w:p>
    <w:p w14:paraId="3DCA7F89" w14:textId="76200FBA" w:rsidR="00047BE4" w:rsidRPr="00AA5C62" w:rsidRDefault="00047BE4" w:rsidP="00047BE4">
      <w:pPr>
        <w:pStyle w:val="Zdroj"/>
      </w:pPr>
      <w:r w:rsidRPr="00AA5C62">
        <w:t>* Biologicky rozložitelný komunální odpad, ** Směsný komunální odpad</w:t>
      </w:r>
      <w:r w:rsidR="005D5CBF">
        <w:t>.</w:t>
      </w:r>
    </w:p>
    <w:p w14:paraId="1C8B7E8B" w14:textId="5A92686A" w:rsidR="00047BE4" w:rsidRDefault="00047BE4" w:rsidP="00047BE4">
      <w:r>
        <w:t>Odpadové hospodářství ve Zlíně zajišťují Technické služby Zlín (TSZ). Pro nakládání s odpady jsou provozována následující zařízení: skládka odpadů Suchý Důl, kompostárna Suchý Důl, dotřiďovací linka směsného papíru a skla a čtyři sběrné dvory (Louky, Jiráskova, Malenovice, Zálešná). Skládka se nachází 5 km od centra Zlína (MČ Prštné) a jedná se o zabezpečenou skládku (nepropustné dno, oddělené jímání průsakových a povrchových vod, několikanásobná izolace). Kompost vzniklý na kompostárně je zčásti odprodáván zemědělcům, zčásti se jej odebírají občané</w:t>
      </w:r>
      <w:r>
        <w:rPr>
          <w:rStyle w:val="Znakapoznpodarou"/>
        </w:rPr>
        <w:footnoteReference w:id="47"/>
      </w:r>
      <w:r>
        <w:t xml:space="preserve">. Na území Zlínského kraje se nenachází žádná zařízení na energetické využití odpadu. Nejbližší zařízení na energetické využití odpadu se nachází v Brně. V souvislosti se zpřísňující se legislativou týkající se skládkování odpadů se uvažuje </w:t>
      </w:r>
      <w:r>
        <w:lastRenderedPageBreak/>
        <w:t>o</w:t>
      </w:r>
      <w:r w:rsidR="005D5CBF">
        <w:t> </w:t>
      </w:r>
      <w:r>
        <w:t>možnostech vybudování zařízení na energetické využití odpadu spíše charakteru menších technologických jednotek v řádu desítek tisíc tun odpadu za rok.</w:t>
      </w:r>
      <w:r>
        <w:rPr>
          <w:rStyle w:val="Znakapoznpodarou"/>
        </w:rPr>
        <w:footnoteReference w:id="48"/>
      </w:r>
      <w:r>
        <w:t xml:space="preserve"> V aktuálním plánu odpadového hospodářství města Zlín se uvádí záměr přetvořit současný areál skládky Suchý důl v „Integrované centrum nakládání s odpady“. Budování Integrovaného centra by mělo naplňovat hlavní požadované priority odpadového hospodářství, tj. dosažení kvalitní recyklace a maximálního využití vhodných odpadů především materiálové a biologické. Určitá zbytková část odpadů, která bude vhodná pro energetické využívání, bude dopravována do vybraného vhodného zařízení. S vlastní energetickou jednotkou v tomto Integrovaném centru je uvažováno na úrovni kogeneračních jednotek spíše v</w:t>
      </w:r>
      <w:r w:rsidR="005D5CBF">
        <w:t> </w:t>
      </w:r>
      <w:r>
        <w:t>budoucnu.</w:t>
      </w:r>
      <w:r>
        <w:rPr>
          <w:rStyle w:val="Znakapoznpodarou"/>
        </w:rPr>
        <w:footnoteReference w:id="49"/>
      </w:r>
    </w:p>
    <w:p w14:paraId="2E8250D2" w14:textId="05F167B4" w:rsidR="00047BE4" w:rsidRDefault="00047BE4" w:rsidP="00047BE4">
      <w:r>
        <w:t xml:space="preserve">Do systému svozu odpadů jsou zapojovány moderní „chytré“ technologie, které zvyšují efektivitu. Jedná se například o monitoring svozu odpadních košů pomocí RFID kódů – svozové automobily jsou vybaveny čtečkami. V provozu jsou zatím dva automatické lisovací koše napájené solární energií se signalizací naplněnosti. Podobně je sledována naplněnost i u tříděného odpadu, </w:t>
      </w:r>
      <w:r w:rsidRPr="00341A0B">
        <w:t>kde jsou pomocí čárových kódů na nádobách a záznamu o naplněnosti kontejneru získávány data pro vyhodnoco</w:t>
      </w:r>
      <w:r>
        <w:t>vání a</w:t>
      </w:r>
      <w:r w:rsidR="005D5CBF">
        <w:t> </w:t>
      </w:r>
      <w:r>
        <w:t>možnou následnou úpravu</w:t>
      </w:r>
      <w:r w:rsidRPr="00341A0B">
        <w:t xml:space="preserve"> frekvence svozů.</w:t>
      </w:r>
    </w:p>
    <w:p w14:paraId="58635637" w14:textId="4B439236" w:rsidR="00047BE4" w:rsidRPr="00AA5C62" w:rsidRDefault="00047BE4" w:rsidP="00047BE4">
      <w:r>
        <w:t xml:space="preserve">Níže uvedený graf </w:t>
      </w:r>
      <w:r w:rsidR="003A743C">
        <w:t xml:space="preserve">(obrázek 1.40) </w:t>
      </w:r>
      <w:r>
        <w:t xml:space="preserve">zobrazuje celkovou produkci komunálních odpadů přepočtenou na počet obyvatel ve vybraných SO ORP. Ze srovnání je patrné, že celková produkce komunálních odpadů je ve Zlíně relativně nízká. </w:t>
      </w:r>
    </w:p>
    <w:p w14:paraId="75EF5238" w14:textId="38386802" w:rsidR="00047BE4" w:rsidRDefault="00047BE4" w:rsidP="00047BE4">
      <w:pPr>
        <w:pStyle w:val="Titulek"/>
        <w:keepNext/>
        <w:keepLines/>
        <w:rPr>
          <w:lang w:eastAsia="cs-CZ"/>
        </w:rPr>
      </w:pPr>
      <w:bookmarkStart w:id="224" w:name="_Toc48653034"/>
      <w:bookmarkStart w:id="225" w:name="_Toc53037929"/>
      <w:bookmarkStart w:id="226" w:name="_Toc7707485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40</w:t>
      </w:r>
      <w:r w:rsidR="00804AF3">
        <w:rPr>
          <w:noProof/>
        </w:rPr>
        <w:fldChar w:fldCharType="end"/>
      </w:r>
      <w:r w:rsidR="00BA4693">
        <w:rPr>
          <w:noProof/>
        </w:rPr>
        <w:t>:</w:t>
      </w:r>
      <w:r>
        <w:t xml:space="preserve"> </w:t>
      </w:r>
      <w:r>
        <w:rPr>
          <w:lang w:eastAsia="cs-CZ"/>
        </w:rPr>
        <w:t>Srovnání celkové produkce komunálních odpadů v přepočtu na počet obyvatel vybraných SO ORP v roce 2018</w:t>
      </w:r>
      <w:bookmarkEnd w:id="224"/>
      <w:bookmarkEnd w:id="225"/>
      <w:bookmarkEnd w:id="226"/>
    </w:p>
    <w:p w14:paraId="7932312A" w14:textId="77777777" w:rsidR="00047BE4" w:rsidRDefault="00047BE4" w:rsidP="00047BE4">
      <w:pPr>
        <w:rPr>
          <w:lang w:eastAsia="cs-CZ"/>
        </w:rPr>
      </w:pPr>
      <w:r>
        <w:rPr>
          <w:noProof/>
          <w:lang w:eastAsia="cs-CZ"/>
        </w:rPr>
        <w:drawing>
          <wp:inline distT="0" distB="0" distL="0" distR="0" wp14:anchorId="670631AD" wp14:editId="73ACAD76">
            <wp:extent cx="5773420" cy="2304415"/>
            <wp:effectExtent l="0" t="0" r="0" b="635"/>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3420" cy="2304415"/>
                    </a:xfrm>
                    <a:prstGeom prst="rect">
                      <a:avLst/>
                    </a:prstGeom>
                    <a:noFill/>
                  </pic:spPr>
                </pic:pic>
              </a:graphicData>
            </a:graphic>
          </wp:inline>
        </w:drawing>
      </w:r>
    </w:p>
    <w:p w14:paraId="15951E28" w14:textId="77777777" w:rsidR="00047BE4" w:rsidRPr="00BA4693" w:rsidRDefault="00047BE4" w:rsidP="00047BE4">
      <w:pPr>
        <w:pStyle w:val="Zdroj"/>
      </w:pPr>
      <w:r>
        <w:t xml:space="preserve">Zdroj: MŽP (2020): </w:t>
      </w:r>
      <w:r w:rsidRPr="000F7B2D">
        <w:t xml:space="preserve">Veřejné informace pro nakládání s odpady </w:t>
      </w:r>
      <w:hyperlink r:id="rId73" w:history="1">
        <w:r w:rsidRPr="00BA4693">
          <w:rPr>
            <w:rStyle w:val="Hypertextovodkaz"/>
            <w:rFonts w:eastAsiaTheme="majorEastAsia"/>
            <w:color w:val="auto"/>
            <w:sz w:val="20"/>
            <w:szCs w:val="20"/>
            <w:u w:val="none"/>
          </w:rPr>
          <w:t>https://isoh.mzp.cz/visoh</w:t>
        </w:r>
      </w:hyperlink>
    </w:p>
    <w:p w14:paraId="14B2AECA" w14:textId="0CD6BC79" w:rsidR="00047BE4" w:rsidRDefault="00047BE4" w:rsidP="00047BE4">
      <w:pPr>
        <w:pStyle w:val="Zdroj"/>
      </w:pPr>
      <w:r w:rsidRPr="000F7B2D">
        <w:t xml:space="preserve">* </w:t>
      </w:r>
      <w:r w:rsidR="00BA4693">
        <w:t>D</w:t>
      </w:r>
      <w:r w:rsidRPr="000F7B2D">
        <w:t>ata za SO ORP</w:t>
      </w:r>
      <w:r w:rsidR="00BA4693">
        <w:t>.</w:t>
      </w:r>
    </w:p>
    <w:p w14:paraId="25E82F16" w14:textId="77777777" w:rsidR="00047BE4" w:rsidRDefault="00047BE4" w:rsidP="00047BE4">
      <w:pPr>
        <w:pStyle w:val="Nadpis4"/>
      </w:pPr>
      <w:r w:rsidRPr="009E07FD">
        <w:t xml:space="preserve">Protipovodňová ochrana města </w:t>
      </w:r>
    </w:p>
    <w:p w14:paraId="57631F34" w14:textId="58906A5B" w:rsidR="00047BE4" w:rsidRDefault="00047BE4" w:rsidP="00047BE4">
      <w:r>
        <w:t xml:space="preserve">Hlavním cílem protipovodňové ochrany je minimalizace škod způsobených záplavami a snaha hromadit vodu mimo zastavěná území. Naopak zastavěná území je v případě povodně potřeba co nejrychleji odvodnit. </w:t>
      </w:r>
      <w:r w:rsidRPr="004F79BE">
        <w:t>Podél řeky Dřevnice jsou záplavová území na levém i pravém břehu řeky od oblasti obce Lípa po oblast Malenovic (po proudu řeky). Při povodních v roce 1997 došlo k zatopení Bartošovy čtvrti i</w:t>
      </w:r>
      <w:r w:rsidR="00D42A51">
        <w:t> </w:t>
      </w:r>
      <w:r w:rsidRPr="004F79BE">
        <w:t xml:space="preserve">jiných části v blízkosti řeky. Jako prevence jsou v současnosti vybudována protipovodňová opatření jako například zemní hráze a sklápěcí jez v Lužkovicích, protipovodňová zeď a sklápěcí jez v Přílukách, </w:t>
      </w:r>
      <w:r w:rsidRPr="004F79BE">
        <w:lastRenderedPageBreak/>
        <w:t>hradítkové komory na kanalizaci v Lužkovicích, Přílukách a Bartošově čtvrti a zemní hráz v Loukách. V horní části záplavového území jsou nejvíce ohroženy objekty obytné zástavby, ve spodní části záplavového území se jedná především o průmyslové objekty.</w:t>
      </w:r>
      <w:r>
        <w:rPr>
          <w:rStyle w:val="Znakapoznpodarou"/>
          <w:rFonts w:cstheme="minorHAnsi"/>
          <w:color w:val="000000"/>
        </w:rPr>
        <w:footnoteReference w:id="50"/>
      </w:r>
      <w:r>
        <w:t xml:space="preserve"> Rozsah záplavových zón u vybraných intenzit povodní je znázorněn níže. V případě Zlína se jedná především o území v údolí podél řeky Dřevnice. Specifickým druhem povodní jsou tzv. přívalové povodně, které vznikají v důsledku velmi intenzivních srážek, vlivem bouřek a přívalových dešťů. Jejich následky dále umocňuje charakter terénu a</w:t>
      </w:r>
      <w:r w:rsidR="00FB0205">
        <w:t> </w:t>
      </w:r>
      <w:r>
        <w:t>povodí a propustnost hornin. Možnost regulace odtoku je v případě intenzivních srážek omezena kapacitou stokového systému, prudký odtok pak může způsobovat lokální povodně, škody na životním prostředí a majetku. Vzhledem ke geomorfologickému charakteru města Zlín a jeho okolí, je riziko obtížně předvídatelných přívalových povodní zvýšené, především v období horkého léta a silných bouřek.</w:t>
      </w:r>
    </w:p>
    <w:p w14:paraId="10B10149" w14:textId="77777777" w:rsidR="00047BE4" w:rsidRDefault="00047BE4" w:rsidP="00047BE4">
      <w:r>
        <w:t>Protipovodňová ochrana je aktivně řešena. Dochází k pravidelné údržbě protipovodňových opatření. V evidenci města je také pravidelně aktualizovaný seznam podniků hospodařících s nebezpečnými látkami s rizikem úniku do vod. Zároveň je zpracován seznam ohrožených nemovitostí a jejich vlastníků stejně jako seznam ohrožujících objektů, které mohou být zdrojem nebezpečných látek. V nedávné době byl zpracován digitální povodňový plán jak pro město Zlín tak pro ORP Zlín, který sdružuje organizace povodňové ochrany, informace týkající se povodňových rizik nebo podklady protipovodňových opatření. V povodňovém plánu je také ustanoven způsob komunikace mezi jednotlivými orgány a povodňovými komisemi obcí v případě krizové situace.</w:t>
      </w:r>
    </w:p>
    <w:p w14:paraId="718AF681" w14:textId="29B6C63C" w:rsidR="00047BE4" w:rsidRDefault="00047BE4" w:rsidP="00047BE4">
      <w:pPr>
        <w:pStyle w:val="Titulek"/>
        <w:keepNext/>
        <w:keepLines/>
      </w:pPr>
      <w:bookmarkStart w:id="227" w:name="_Toc48653035"/>
      <w:bookmarkStart w:id="228" w:name="_Toc53037930"/>
      <w:bookmarkStart w:id="229" w:name="_Toc7707485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41</w:t>
      </w:r>
      <w:r w:rsidR="00804AF3">
        <w:rPr>
          <w:noProof/>
        </w:rPr>
        <w:fldChar w:fldCharType="end"/>
      </w:r>
      <w:r w:rsidR="00FB0205">
        <w:rPr>
          <w:noProof/>
        </w:rPr>
        <w:t>:</w:t>
      </w:r>
      <w:r>
        <w:t xml:space="preserve"> Znázornění záplavových zón při pětileté (Q5), dvacetileté (Q20) a stoleté (Q100) povodni</w:t>
      </w:r>
      <w:bookmarkEnd w:id="227"/>
      <w:bookmarkEnd w:id="228"/>
      <w:bookmarkEnd w:id="229"/>
    </w:p>
    <w:p w14:paraId="7B1F9A69" w14:textId="77777777" w:rsidR="00047BE4" w:rsidRDefault="00047BE4" w:rsidP="00047BE4">
      <w:r>
        <w:rPr>
          <w:noProof/>
          <w:lang w:eastAsia="cs-CZ"/>
        </w:rPr>
        <w:drawing>
          <wp:inline distT="0" distB="0" distL="0" distR="0" wp14:anchorId="42876C1F" wp14:editId="604BBC99">
            <wp:extent cx="5731510" cy="2715895"/>
            <wp:effectExtent l="0" t="0" r="2540" b="8255"/>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ozliv2_bezsmer_okr.png"/>
                    <pic:cNvPicPr/>
                  </pic:nvPicPr>
                  <pic:blipFill>
                    <a:blip r:embed="rId74">
                      <a:extLst>
                        <a:ext uri="{28A0092B-C50C-407E-A947-70E740481C1C}">
                          <a14:useLocalDpi xmlns:a14="http://schemas.microsoft.com/office/drawing/2010/main" val="0"/>
                        </a:ext>
                      </a:extLst>
                    </a:blip>
                    <a:stretch>
                      <a:fillRect/>
                    </a:stretch>
                  </pic:blipFill>
                  <pic:spPr>
                    <a:xfrm>
                      <a:off x="0" y="0"/>
                      <a:ext cx="5731510" cy="2715895"/>
                    </a:xfrm>
                    <a:prstGeom prst="rect">
                      <a:avLst/>
                    </a:prstGeom>
                  </pic:spPr>
                </pic:pic>
              </a:graphicData>
            </a:graphic>
          </wp:inline>
        </w:drawing>
      </w:r>
    </w:p>
    <w:p w14:paraId="0673AF8D" w14:textId="77777777" w:rsidR="00047BE4" w:rsidRPr="006A2C65" w:rsidRDefault="00047BE4" w:rsidP="00047BE4">
      <w:pPr>
        <w:pStyle w:val="Zdroj"/>
      </w:pPr>
      <w:r w:rsidRPr="006A2C65">
        <w:t>Zdroj: MŽP (2020): Centrální datový sklad pro mapy povodňového nebezpečí a povodňových rizik</w:t>
      </w:r>
    </w:p>
    <w:p w14:paraId="1F225C03" w14:textId="77777777" w:rsidR="00047BE4" w:rsidRPr="00FB0205" w:rsidRDefault="00183F7E" w:rsidP="00047BE4">
      <w:pPr>
        <w:pStyle w:val="Zdroj"/>
        <w:rPr>
          <w:rStyle w:val="Hypertextovodkaz"/>
          <w:rFonts w:eastAsiaTheme="majorEastAsia"/>
          <w:color w:val="auto"/>
          <w:u w:val="none"/>
        </w:rPr>
      </w:pPr>
      <w:hyperlink r:id="rId75" w:history="1">
        <w:r w:rsidR="00047BE4" w:rsidRPr="00FB0205">
          <w:rPr>
            <w:rStyle w:val="Hypertextovodkaz"/>
            <w:rFonts w:eastAsiaTheme="majorEastAsia"/>
            <w:color w:val="auto"/>
            <w:u w:val="none"/>
          </w:rPr>
          <w:t>http://cds.chmi.cz/?lang=cs</w:t>
        </w:r>
      </w:hyperlink>
    </w:p>
    <w:p w14:paraId="0430A3E1" w14:textId="77777777" w:rsidR="00047BE4" w:rsidRDefault="00047BE4" w:rsidP="00047BE4">
      <w:pPr>
        <w:pStyle w:val="Nadpis4"/>
      </w:pPr>
      <w:r>
        <w:t>Adaptace na změnu klimatu a koncepce udržitelného města</w:t>
      </w:r>
    </w:p>
    <w:p w14:paraId="590B9879" w14:textId="7547EB58" w:rsidR="00047BE4" w:rsidRDefault="00047BE4" w:rsidP="00047BE4">
      <w:pPr>
        <w:rPr>
          <w:rFonts w:eastAsia="Times New Roman" w:cstheme="minorHAnsi"/>
          <w:color w:val="000000" w:themeColor="text1"/>
          <w:lang w:eastAsia="cs-CZ"/>
        </w:rPr>
      </w:pPr>
      <w:r>
        <w:t>V posledních letech lze i na území Česka pociťovat důsledky změn klimatu. Změna klimatu bude s</w:t>
      </w:r>
      <w:r w:rsidR="00FB0205">
        <w:t> </w:t>
      </w:r>
      <w:r>
        <w:t xml:space="preserve">vysokou pravděpodobností znamenat také zvýšení klimatické variability spojené s výskytem delších a intenzivnějších epizod sucha. Dlouhodobé sucho se v poslední době nevyhýbá ani Zlínskému kraji. V případě pokračujícího trendu zvyšování průměrné teploty vzduchu a snižování úhrnu srážek je nutná </w:t>
      </w:r>
      <w:r>
        <w:lastRenderedPageBreak/>
        <w:t>snaha zmírňovat dopady klimatické změny různými opatřeními. Vliv změny klimatu na urbanizovanou krajinu je podrobně popsán v dokumentu „Strategie přizpůsobení se změně klimatu v podmínkách ČR</w:t>
      </w:r>
      <w:r>
        <w:rPr>
          <w:rStyle w:val="Znakapoznpodarou"/>
        </w:rPr>
        <w:footnoteReference w:id="51"/>
      </w:r>
      <w:r>
        <w:t>“. V urbanizovaných oblastech dochází k efektu tzv. tepelného ostrova, tedy nadměrnému ohřívání teploty území a vzduchu vlivem vysoké koncentrace zastavěných ploch, intenzivní dopravy a ostatních lidských aktivit. Adaptační opatření měst, která mají za úkol snižovat negativní vlivy klimatické změny a</w:t>
      </w:r>
      <w:r w:rsidR="00FB0205">
        <w:t> </w:t>
      </w:r>
      <w:r>
        <w:t>zkvalitňovat životní prostředí města jsou pro budoucí rozvoj nezbytné. Důležitou roli</w:t>
      </w:r>
      <w:r w:rsidR="00FB0205">
        <w:t>,</w:t>
      </w:r>
      <w:r>
        <w:t xml:space="preserve"> vedle čistě technických opatření nebo naopak měkkých opatření (politická či společenská rovina)</w:t>
      </w:r>
      <w:r w:rsidR="00FB0205">
        <w:t>,</w:t>
      </w:r>
      <w:r>
        <w:t xml:space="preserve"> hrají ekosystémově založené přístupy, které jsou klíčové pro zvyšování odolnosti urbánních oblastí. Spolu s tím poskytují řadu </w:t>
      </w:r>
      <w:r w:rsidRPr="007F5DB9">
        <w:rPr>
          <w:rFonts w:cstheme="minorHAnsi"/>
          <w:color w:val="000000" w:themeColor="text1"/>
        </w:rPr>
        <w:t xml:space="preserve">přínosů </w:t>
      </w:r>
      <w:r w:rsidRPr="00C029AF">
        <w:rPr>
          <w:rFonts w:eastAsia="Times New Roman" w:cstheme="minorHAnsi"/>
          <w:color w:val="000000" w:themeColor="text1"/>
          <w:lang w:eastAsia="cs-CZ"/>
        </w:rPr>
        <w:t>jako je snížení povodňového rizika a eroze půdy, lepší kvalita vody a ovzduší, zvýšení biodiverzity, snižování hlučnosti nebo zmírňování efektu městského tepelného ostrova</w:t>
      </w:r>
      <w:r w:rsidRPr="007F5DB9">
        <w:rPr>
          <w:rFonts w:eastAsia="Times New Roman" w:cstheme="minorHAnsi"/>
          <w:color w:val="000000" w:themeColor="text1"/>
          <w:lang w:eastAsia="cs-CZ"/>
        </w:rPr>
        <w:t>. Přírodě blízké adaptační opatření lze rozdělit na podporu:</w:t>
      </w:r>
    </w:p>
    <w:p w14:paraId="2CE53A77" w14:textId="77777777" w:rsidR="00047BE4" w:rsidRPr="007F5DB9" w:rsidRDefault="00047BE4" w:rsidP="00047BE4">
      <w:pPr>
        <w:pStyle w:val="Odstavecseseznamem"/>
        <w:numPr>
          <w:ilvl w:val="0"/>
          <w:numId w:val="23"/>
        </w:numPr>
        <w:rPr>
          <w:rFonts w:cstheme="minorHAnsi"/>
          <w:color w:val="000000" w:themeColor="text1"/>
        </w:rPr>
      </w:pPr>
      <w:r w:rsidRPr="007F5DB9">
        <w:rPr>
          <w:rFonts w:eastAsia="Times New Roman" w:cstheme="minorHAnsi"/>
          <w:color w:val="000000" w:themeColor="text1"/>
          <w:lang w:eastAsia="cs-CZ"/>
        </w:rPr>
        <w:t xml:space="preserve">Zelené infrastruktury </w:t>
      </w:r>
    </w:p>
    <w:p w14:paraId="7100BF45" w14:textId="77777777" w:rsidR="00047BE4" w:rsidRPr="007F5DB9" w:rsidRDefault="00047BE4" w:rsidP="00047BE4">
      <w:pPr>
        <w:pStyle w:val="Odstavecseseznamem"/>
        <w:numPr>
          <w:ilvl w:val="1"/>
          <w:numId w:val="23"/>
        </w:numPr>
        <w:rPr>
          <w:rFonts w:cstheme="minorHAnsi"/>
          <w:color w:val="000000" w:themeColor="text1"/>
        </w:rPr>
      </w:pPr>
      <w:r>
        <w:rPr>
          <w:rFonts w:eastAsia="Times New Roman" w:cstheme="minorHAnsi"/>
          <w:color w:val="000000" w:themeColor="text1"/>
          <w:lang w:eastAsia="cs-CZ"/>
        </w:rPr>
        <w:t>zelené</w:t>
      </w:r>
      <w:r w:rsidRPr="00C029AF">
        <w:rPr>
          <w:rFonts w:eastAsia="Times New Roman" w:cstheme="minorHAnsi"/>
          <w:color w:val="000000" w:themeColor="text1"/>
          <w:lang w:eastAsia="cs-CZ"/>
        </w:rPr>
        <w:t xml:space="preserve"> střech</w:t>
      </w:r>
      <w:r w:rsidRPr="007F5DB9">
        <w:rPr>
          <w:rFonts w:eastAsia="Times New Roman" w:cstheme="minorHAnsi"/>
          <w:color w:val="000000" w:themeColor="text1"/>
          <w:lang w:eastAsia="cs-CZ"/>
        </w:rPr>
        <w:t>y</w:t>
      </w:r>
      <w:r w:rsidRPr="00C029AF">
        <w:rPr>
          <w:rFonts w:eastAsia="Times New Roman" w:cstheme="minorHAnsi"/>
          <w:color w:val="000000" w:themeColor="text1"/>
          <w:lang w:eastAsia="cs-CZ"/>
        </w:rPr>
        <w:t> (zvyšování energetick</w:t>
      </w:r>
      <w:r w:rsidRPr="007F5DB9">
        <w:rPr>
          <w:rFonts w:eastAsia="Times New Roman" w:cstheme="minorHAnsi"/>
          <w:color w:val="000000" w:themeColor="text1"/>
          <w:lang w:eastAsia="cs-CZ"/>
        </w:rPr>
        <w:t>é efektivnosti staveb), zelené</w:t>
      </w:r>
      <w:r w:rsidRPr="00C029AF">
        <w:rPr>
          <w:rFonts w:eastAsia="Times New Roman" w:cstheme="minorHAnsi"/>
          <w:color w:val="000000" w:themeColor="text1"/>
          <w:lang w:eastAsia="cs-CZ"/>
        </w:rPr>
        <w:t xml:space="preserve"> fasád</w:t>
      </w:r>
      <w:r w:rsidRPr="007F5DB9">
        <w:rPr>
          <w:rFonts w:eastAsia="Times New Roman" w:cstheme="minorHAnsi"/>
          <w:color w:val="000000" w:themeColor="text1"/>
          <w:lang w:eastAsia="cs-CZ"/>
        </w:rPr>
        <w:t>y budov, zeleň</w:t>
      </w:r>
      <w:r w:rsidRPr="00C029AF">
        <w:rPr>
          <w:rFonts w:eastAsia="Times New Roman" w:cstheme="minorHAnsi"/>
          <w:color w:val="000000" w:themeColor="text1"/>
          <w:lang w:eastAsia="cs-CZ"/>
        </w:rPr>
        <w:t xml:space="preserve"> na veřejných prostorech</w:t>
      </w:r>
    </w:p>
    <w:p w14:paraId="44B6A451" w14:textId="77777777" w:rsidR="00047BE4" w:rsidRPr="007F5DB9" w:rsidRDefault="00047BE4" w:rsidP="00047BE4">
      <w:pPr>
        <w:pStyle w:val="Odstavecseseznamem"/>
        <w:numPr>
          <w:ilvl w:val="0"/>
          <w:numId w:val="23"/>
        </w:numPr>
        <w:rPr>
          <w:rFonts w:cstheme="minorHAnsi"/>
          <w:color w:val="000000" w:themeColor="text1"/>
        </w:rPr>
      </w:pPr>
      <w:r w:rsidRPr="007F5DB9">
        <w:rPr>
          <w:rFonts w:eastAsia="Times New Roman" w:cstheme="minorHAnsi"/>
          <w:color w:val="000000" w:themeColor="text1"/>
          <w:lang w:eastAsia="cs-CZ"/>
        </w:rPr>
        <w:t>M</w:t>
      </w:r>
      <w:r w:rsidRPr="00C029AF">
        <w:rPr>
          <w:rFonts w:eastAsia="Times New Roman" w:cstheme="minorHAnsi"/>
          <w:color w:val="000000" w:themeColor="text1"/>
          <w:lang w:eastAsia="cs-CZ"/>
        </w:rPr>
        <w:t>odré infrastruktury</w:t>
      </w:r>
    </w:p>
    <w:p w14:paraId="2DCA80C8" w14:textId="77777777" w:rsidR="00047BE4" w:rsidRPr="007F5DB9" w:rsidRDefault="00047BE4" w:rsidP="00047BE4">
      <w:pPr>
        <w:pStyle w:val="Odstavecseseznamem"/>
        <w:numPr>
          <w:ilvl w:val="1"/>
          <w:numId w:val="23"/>
        </w:numPr>
        <w:rPr>
          <w:rFonts w:cstheme="minorHAnsi"/>
          <w:color w:val="000000" w:themeColor="text1"/>
        </w:rPr>
      </w:pPr>
      <w:r w:rsidRPr="00C029AF">
        <w:rPr>
          <w:rFonts w:eastAsia="Times New Roman" w:cstheme="minorHAnsi"/>
          <w:color w:val="000000" w:themeColor="text1"/>
          <w:lang w:eastAsia="cs-CZ"/>
        </w:rPr>
        <w:t>zvyšování zadržování vody, propustnosti terénu ve městech, využití sto</w:t>
      </w:r>
      <w:r w:rsidRPr="007F5DB9">
        <w:rPr>
          <w:rFonts w:eastAsia="Times New Roman" w:cstheme="minorHAnsi"/>
          <w:color w:val="000000" w:themeColor="text1"/>
          <w:lang w:eastAsia="cs-CZ"/>
        </w:rPr>
        <w:t>jatých a tekoucích vod ve městě</w:t>
      </w:r>
    </w:p>
    <w:p w14:paraId="4858CF52" w14:textId="77777777" w:rsidR="00047BE4" w:rsidRPr="009268EC" w:rsidRDefault="00047BE4" w:rsidP="00047BE4">
      <w:pPr>
        <w:rPr>
          <w:b/>
        </w:rPr>
      </w:pPr>
      <w:r>
        <w:rPr>
          <w:b/>
        </w:rPr>
        <w:t>K</w:t>
      </w:r>
      <w:r w:rsidRPr="009268EC">
        <w:rPr>
          <w:b/>
        </w:rPr>
        <w:t>oncepce chytrého města</w:t>
      </w:r>
    </w:p>
    <w:p w14:paraId="12164553" w14:textId="2D7F65DB" w:rsidR="00047BE4" w:rsidRDefault="00047BE4" w:rsidP="00183292">
      <w:pPr>
        <w:tabs>
          <w:tab w:val="left" w:pos="4253"/>
        </w:tabs>
      </w:pPr>
      <w:r w:rsidRPr="002F59EA">
        <w:t xml:space="preserve">Díky širokému rozvoji digitalizace a rozšíření informačních technologií do běžného života obyvatel je pro městské správy výhodné data z různých zdrojů využívat pro efektivní management měst. Maximální míra využití moderních technologií a snaha zefektivnit a propojit různá odvětví fungování dnešních měst je jádrem </w:t>
      </w:r>
      <w:r w:rsidRPr="002F59EA">
        <w:rPr>
          <w:b/>
        </w:rPr>
        <w:t>koncepce „chytrých měst“ (</w:t>
      </w:r>
      <w:r w:rsidR="00183292">
        <w:rPr>
          <w:b/>
        </w:rPr>
        <w:t>Smart C</w:t>
      </w:r>
      <w:r w:rsidRPr="002F59EA">
        <w:rPr>
          <w:b/>
        </w:rPr>
        <w:t>ities)</w:t>
      </w:r>
      <w:r w:rsidRPr="002F59EA">
        <w:t>. Město Zlín se v posledních letech snaží využívat moderní technologie v řízení města v různých sférách (v nejvyšší míře v dopravě a</w:t>
      </w:r>
      <w:r w:rsidR="00FB0205">
        <w:t> </w:t>
      </w:r>
      <w:r w:rsidRPr="002F59EA">
        <w:t>bezpečnosti</w:t>
      </w:r>
      <w:r w:rsidRPr="00BD7DC3">
        <w:rPr>
          <w:color w:val="000000" w:themeColor="text1"/>
        </w:rPr>
        <w:t xml:space="preserve">). Také v oblasti životního prostředí jsou aplikována „chytrá“ řešení například v odpadovém hospodářství, kdy jsou v případě některých velkokapacitních odpadních nádob instalovány senzory monitorující naplněnost, data se soustřeďují v centrálním systému, což zefektivňuje systém svozu odpadu. Dalším projektem je databáze městských stromů “Stromy pod kontrolou”, v jejíž evidenci je více než 22 000 stromů. Databáze obsahuje informace o zdravotním stavu dřevin a předchozích zásazích a zlepšuje tak systém údržby veřejné zeleně ve městě. </w:t>
      </w:r>
      <w:r>
        <w:rPr>
          <w:color w:val="000000" w:themeColor="text1"/>
        </w:rPr>
        <w:t xml:space="preserve">Město také plánuje širší využití chytrého veřejného osvětlení, které díky možnosti regulovat intenzitu světla v závislosti na denní době i intenzitě provozu snižuje světelný smog a snižuje náklady. </w:t>
      </w:r>
      <w:r w:rsidRPr="00BD7DC3">
        <w:rPr>
          <w:color w:val="000000" w:themeColor="text1"/>
        </w:rPr>
        <w:t xml:space="preserve">Využití „chytrých“ technologií </w:t>
      </w:r>
      <w:r>
        <w:rPr>
          <w:color w:val="000000" w:themeColor="text1"/>
        </w:rPr>
        <w:t>v dalších oblastech má pozitivní vliv na zlepšování</w:t>
      </w:r>
      <w:r w:rsidRPr="00BD7DC3">
        <w:rPr>
          <w:color w:val="000000" w:themeColor="text1"/>
        </w:rPr>
        <w:t xml:space="preserve"> kvalit</w:t>
      </w:r>
      <w:r w:rsidR="00FB0205">
        <w:rPr>
          <w:color w:val="000000" w:themeColor="text1"/>
        </w:rPr>
        <w:t>y</w:t>
      </w:r>
      <w:r w:rsidRPr="00BD7DC3">
        <w:rPr>
          <w:color w:val="000000" w:themeColor="text1"/>
        </w:rPr>
        <w:t xml:space="preserve"> životního prostředí města. </w:t>
      </w:r>
      <w:r>
        <w:rPr>
          <w:color w:val="000000" w:themeColor="text1"/>
        </w:rPr>
        <w:t>Podpora různých forem udržitelné mobility může přispívat ke sníž</w:t>
      </w:r>
      <w:r w:rsidR="00FB0205">
        <w:rPr>
          <w:color w:val="000000" w:themeColor="text1"/>
        </w:rPr>
        <w:t>ení počtu aut v ulicích města a </w:t>
      </w:r>
      <w:r>
        <w:rPr>
          <w:color w:val="000000" w:themeColor="text1"/>
        </w:rPr>
        <w:t xml:space="preserve">negativních vlivů dopravy. Využití obnovitelných zdrojů energie v provozu města může snižovat množství škodlivých emisí v ovzduší města. </w:t>
      </w:r>
      <w:r w:rsidRPr="00BD7DC3">
        <w:rPr>
          <w:color w:val="000000" w:themeColor="text1"/>
        </w:rPr>
        <w:t xml:space="preserve">Důležitá je participace veřejnosti, </w:t>
      </w:r>
      <w:r>
        <w:rPr>
          <w:color w:val="000000" w:themeColor="text1"/>
        </w:rPr>
        <w:t xml:space="preserve">pro níž je klíčová </w:t>
      </w:r>
      <w:r w:rsidRPr="00BD7DC3">
        <w:rPr>
          <w:color w:val="000000" w:themeColor="text1"/>
        </w:rPr>
        <w:t>info</w:t>
      </w:r>
      <w:r>
        <w:rPr>
          <w:color w:val="000000" w:themeColor="text1"/>
        </w:rPr>
        <w:t>rmovanost</w:t>
      </w:r>
      <w:r w:rsidRPr="00BD7DC3">
        <w:rPr>
          <w:color w:val="000000" w:themeColor="text1"/>
        </w:rPr>
        <w:t xml:space="preserve"> a volným přístupem k datům. Město Zlín</w:t>
      </w:r>
      <w:r>
        <w:rPr>
          <w:color w:val="000000" w:themeColor="text1"/>
        </w:rPr>
        <w:t xml:space="preserve"> tak dále</w:t>
      </w:r>
      <w:r w:rsidRPr="00BD7DC3">
        <w:rPr>
          <w:color w:val="000000" w:themeColor="text1"/>
        </w:rPr>
        <w:t xml:space="preserve"> plánuje</w:t>
      </w:r>
      <w:r>
        <w:rPr>
          <w:color w:val="000000" w:themeColor="text1"/>
        </w:rPr>
        <w:t xml:space="preserve"> </w:t>
      </w:r>
      <w:r w:rsidRPr="00BD7DC3">
        <w:rPr>
          <w:color w:val="000000" w:themeColor="text1"/>
        </w:rPr>
        <w:t>vybudovat systém pro sběr a</w:t>
      </w:r>
      <w:r w:rsidR="00FB0205">
        <w:rPr>
          <w:color w:val="000000" w:themeColor="text1"/>
        </w:rPr>
        <w:t> </w:t>
      </w:r>
      <w:r w:rsidRPr="00BD7DC3">
        <w:rPr>
          <w:color w:val="000000" w:themeColor="text1"/>
        </w:rPr>
        <w:t>další využití dat o kvalitě ovzduší, vody, světelného znečištění a dalších informací.</w:t>
      </w:r>
      <w:r>
        <w:rPr>
          <w:color w:val="000000" w:themeColor="text1"/>
        </w:rPr>
        <w:t xml:space="preserve"> Vzhledem k faktu, že se využívání moderních informačních technologií ve správě měst započalo před relativně krátkou dobou, je většina projektů z oblasti „chytrých měst“ ve Zlíně ve fázi plánování a testování pilotních projektů. Skutečnost, že město Zlín se staví k možnostem využití moderních technologií pozitivně a</w:t>
      </w:r>
      <w:r w:rsidR="00FB0205">
        <w:rPr>
          <w:color w:val="000000" w:themeColor="text1"/>
        </w:rPr>
        <w:t> </w:t>
      </w:r>
      <w:r>
        <w:rPr>
          <w:color w:val="000000" w:themeColor="text1"/>
        </w:rPr>
        <w:t xml:space="preserve">aktivně, je příznivá. Pro zkvalitnění životního prostoru města v budoucnu je rozvoj v souladu s koncepcí „chytrých měst“ žádoucí a nevyhnutelný. </w:t>
      </w:r>
    </w:p>
    <w:p w14:paraId="7B6E2E08" w14:textId="77777777" w:rsidR="00047BE4" w:rsidRDefault="00047BE4" w:rsidP="00047BE4">
      <w:pPr>
        <w:pStyle w:val="Nadpis3"/>
        <w:ind w:left="720"/>
      </w:pPr>
      <w:bookmarkStart w:id="230" w:name="_Toc48563235"/>
      <w:bookmarkStart w:id="231" w:name="_Toc48652543"/>
      <w:bookmarkStart w:id="232" w:name="_Toc53037937"/>
      <w:bookmarkStart w:id="233" w:name="_Toc77074581"/>
      <w:r>
        <w:lastRenderedPageBreak/>
        <w:t>Dílčí shrnutí</w:t>
      </w:r>
      <w:bookmarkEnd w:id="230"/>
      <w:bookmarkEnd w:id="231"/>
      <w:bookmarkEnd w:id="232"/>
      <w:bookmarkEnd w:id="233"/>
    </w:p>
    <w:p w14:paraId="4CE8E18A" w14:textId="77777777" w:rsidR="00047BE4" w:rsidRDefault="00047BE4" w:rsidP="00047BE4">
      <w:pPr>
        <w:keepNext/>
        <w:keepLines/>
        <w:pBdr>
          <w:top w:val="single" w:sz="4" w:space="3" w:color="auto"/>
          <w:left w:val="single" w:sz="4" w:space="4" w:color="auto"/>
          <w:bottom w:val="single" w:sz="4" w:space="4" w:color="auto"/>
          <w:right w:val="single" w:sz="4" w:space="4" w:color="auto"/>
        </w:pBdr>
        <w:shd w:val="clear" w:color="auto" w:fill="D5DCE4" w:themeFill="text2" w:themeFillTint="33"/>
      </w:pPr>
      <w:r w:rsidRPr="00F2584F">
        <w:rPr>
          <w:b/>
        </w:rPr>
        <w:t>Hlavní zjištění</w:t>
      </w:r>
      <w:r w:rsidRPr="00F2584F">
        <w:t>:</w:t>
      </w:r>
    </w:p>
    <w:p w14:paraId="1D21560F" w14:textId="77777777" w:rsidR="00047BE4" w:rsidRPr="003827FA" w:rsidRDefault="00047BE4" w:rsidP="00047BE4">
      <w:pPr>
        <w:keepNext/>
        <w:keepLines/>
        <w:pBdr>
          <w:top w:val="single" w:sz="4" w:space="3" w:color="auto"/>
          <w:left w:val="single" w:sz="4" w:space="4" w:color="auto"/>
          <w:bottom w:val="single" w:sz="4" w:space="4" w:color="auto"/>
          <w:right w:val="single" w:sz="4" w:space="4" w:color="auto"/>
        </w:pBdr>
        <w:shd w:val="clear" w:color="auto" w:fill="D5DCE4" w:themeFill="text2" w:themeFillTint="33"/>
        <w:rPr>
          <w:i/>
        </w:rPr>
      </w:pPr>
    </w:p>
    <w:p w14:paraId="22EF38A5" w14:textId="77777777" w:rsidR="00047BE4" w:rsidRDefault="00047BE4" w:rsidP="00047BE4">
      <w:pPr>
        <w:pStyle w:val="Odstavecseseznamem"/>
        <w:keepNext/>
        <w:keepLines/>
        <w:numPr>
          <w:ilvl w:val="0"/>
          <w:numId w:val="14"/>
        </w:numPr>
        <w:pBdr>
          <w:top w:val="single" w:sz="4" w:space="3" w:color="auto"/>
          <w:left w:val="single" w:sz="4" w:space="4" w:color="auto"/>
          <w:bottom w:val="single" w:sz="4" w:space="4" w:color="auto"/>
          <w:right w:val="single" w:sz="4" w:space="4" w:color="auto"/>
        </w:pBdr>
        <w:shd w:val="clear" w:color="auto" w:fill="D5DCE4" w:themeFill="text2" w:themeFillTint="33"/>
        <w:spacing w:before="0" w:after="200" w:line="276" w:lineRule="auto"/>
        <w:ind w:left="425" w:hanging="425"/>
        <w:contextualSpacing w:val="0"/>
        <w:rPr>
          <w:i/>
        </w:rPr>
      </w:pPr>
      <w:r w:rsidRPr="003827FA">
        <w:rPr>
          <w:i/>
        </w:rPr>
        <w:t>Životní prostředí Zlína je pozitivně ovlivněno jeho polohou, jeho okolí má zachovalý krajinný ráz s dobrou dostupností oblastí k rekreaci v přírodě.</w:t>
      </w:r>
    </w:p>
    <w:p w14:paraId="4E5CD873" w14:textId="77777777" w:rsidR="00047BE4" w:rsidRDefault="00047BE4" w:rsidP="00047BE4">
      <w:pPr>
        <w:pStyle w:val="Odstavecseseznamem"/>
        <w:keepNext/>
        <w:keepLines/>
        <w:numPr>
          <w:ilvl w:val="0"/>
          <w:numId w:val="14"/>
        </w:numPr>
        <w:pBdr>
          <w:top w:val="single" w:sz="4" w:space="3" w:color="auto"/>
          <w:left w:val="single" w:sz="4" w:space="4" w:color="auto"/>
          <w:bottom w:val="single" w:sz="4" w:space="4" w:color="auto"/>
          <w:right w:val="single" w:sz="4" w:space="4" w:color="auto"/>
        </w:pBdr>
        <w:shd w:val="clear" w:color="auto" w:fill="D5DCE4" w:themeFill="text2" w:themeFillTint="33"/>
        <w:spacing w:before="0" w:after="200" w:line="276" w:lineRule="auto"/>
        <w:ind w:left="425" w:hanging="425"/>
        <w:contextualSpacing w:val="0"/>
        <w:rPr>
          <w:i/>
        </w:rPr>
      </w:pPr>
      <w:r>
        <w:rPr>
          <w:i/>
        </w:rPr>
        <w:t>I přes bohatou průmyslovou minulost není životní prostředí města zatíženo výrazným poškozením.</w:t>
      </w:r>
    </w:p>
    <w:p w14:paraId="5AE88AB1" w14:textId="77777777" w:rsidR="00047BE4" w:rsidRDefault="00047BE4" w:rsidP="00047BE4">
      <w:pPr>
        <w:pStyle w:val="Odstavecseseznamem"/>
        <w:keepNext/>
        <w:keepLines/>
        <w:numPr>
          <w:ilvl w:val="0"/>
          <w:numId w:val="14"/>
        </w:numPr>
        <w:pBdr>
          <w:top w:val="single" w:sz="4" w:space="3" w:color="auto"/>
          <w:left w:val="single" w:sz="4" w:space="4" w:color="auto"/>
          <w:bottom w:val="single" w:sz="4" w:space="4" w:color="auto"/>
          <w:right w:val="single" w:sz="4" w:space="4" w:color="auto"/>
        </w:pBdr>
        <w:shd w:val="clear" w:color="auto" w:fill="D5DCE4" w:themeFill="text2" w:themeFillTint="33"/>
        <w:spacing w:before="0" w:after="200" w:line="276" w:lineRule="auto"/>
        <w:ind w:left="425" w:hanging="425"/>
        <w:contextualSpacing w:val="0"/>
        <w:rPr>
          <w:i/>
        </w:rPr>
      </w:pPr>
      <w:r>
        <w:rPr>
          <w:i/>
        </w:rPr>
        <w:t>Vysoké zastoupení zelených ploch a parků v prostoru města.</w:t>
      </w:r>
    </w:p>
    <w:p w14:paraId="261D9D1E" w14:textId="77777777" w:rsidR="00047BE4" w:rsidRDefault="00047BE4" w:rsidP="00047BE4">
      <w:pPr>
        <w:pStyle w:val="Odstavecseseznamem"/>
        <w:keepNext/>
        <w:keepLines/>
        <w:numPr>
          <w:ilvl w:val="0"/>
          <w:numId w:val="14"/>
        </w:numPr>
        <w:pBdr>
          <w:top w:val="single" w:sz="4" w:space="3" w:color="auto"/>
          <w:left w:val="single" w:sz="4" w:space="4" w:color="auto"/>
          <w:bottom w:val="single" w:sz="4" w:space="4" w:color="auto"/>
          <w:right w:val="single" w:sz="4" w:space="4" w:color="auto"/>
        </w:pBdr>
        <w:shd w:val="clear" w:color="auto" w:fill="D5DCE4" w:themeFill="text2" w:themeFillTint="33"/>
        <w:spacing w:before="0" w:after="200" w:line="276" w:lineRule="auto"/>
        <w:ind w:left="425" w:hanging="425"/>
        <w:contextualSpacing w:val="0"/>
        <w:rPr>
          <w:i/>
        </w:rPr>
      </w:pPr>
      <w:r>
        <w:rPr>
          <w:i/>
        </w:rPr>
        <w:t>Relativně vysoká ekologická stabilita území, v poslední dekádě se mírně zvyšuje.</w:t>
      </w:r>
    </w:p>
    <w:p w14:paraId="59214231" w14:textId="0C85248B" w:rsidR="00047BE4" w:rsidRDefault="00047BE4" w:rsidP="00047BE4">
      <w:pPr>
        <w:pStyle w:val="Odstavecseseznamem"/>
        <w:keepNext/>
        <w:keepLines/>
        <w:numPr>
          <w:ilvl w:val="0"/>
          <w:numId w:val="14"/>
        </w:numPr>
        <w:pBdr>
          <w:top w:val="single" w:sz="4" w:space="3" w:color="auto"/>
          <w:left w:val="single" w:sz="4" w:space="4" w:color="auto"/>
          <w:bottom w:val="single" w:sz="4" w:space="4" w:color="auto"/>
          <w:right w:val="single" w:sz="4" w:space="4" w:color="auto"/>
        </w:pBdr>
        <w:shd w:val="clear" w:color="auto" w:fill="D5DCE4" w:themeFill="text2" w:themeFillTint="33"/>
        <w:spacing w:before="0" w:after="200" w:line="276" w:lineRule="auto"/>
        <w:ind w:left="425" w:hanging="425"/>
        <w:contextualSpacing w:val="0"/>
        <w:rPr>
          <w:i/>
        </w:rPr>
      </w:pPr>
      <w:r w:rsidRPr="00465087">
        <w:rPr>
          <w:i/>
        </w:rPr>
        <w:t>Město má propracovaný systém údržby veřejných prostranství a snaží se posilovat ekologickou stabilitu území (péče o lokality ÚSES, volně žijící živočichy apod.)</w:t>
      </w:r>
      <w:r w:rsidR="00FB0205">
        <w:rPr>
          <w:i/>
        </w:rPr>
        <w:t>.</w:t>
      </w:r>
    </w:p>
    <w:p w14:paraId="6BF537C7" w14:textId="77777777" w:rsidR="00047BE4" w:rsidRDefault="00047BE4" w:rsidP="00047BE4">
      <w:pPr>
        <w:pStyle w:val="Odstavecseseznamem"/>
        <w:keepNext/>
        <w:keepLines/>
        <w:numPr>
          <w:ilvl w:val="0"/>
          <w:numId w:val="14"/>
        </w:numPr>
        <w:pBdr>
          <w:top w:val="single" w:sz="4" w:space="3" w:color="auto"/>
          <w:left w:val="single" w:sz="4" w:space="4" w:color="auto"/>
          <w:bottom w:val="single" w:sz="4" w:space="4" w:color="auto"/>
          <w:right w:val="single" w:sz="4" w:space="4" w:color="auto"/>
        </w:pBdr>
        <w:shd w:val="clear" w:color="auto" w:fill="D5DCE4" w:themeFill="text2" w:themeFillTint="33"/>
        <w:spacing w:before="0" w:after="200" w:line="276" w:lineRule="auto"/>
        <w:ind w:left="425" w:hanging="425"/>
        <w:contextualSpacing w:val="0"/>
        <w:rPr>
          <w:i/>
        </w:rPr>
      </w:pPr>
      <w:r>
        <w:rPr>
          <w:i/>
        </w:rPr>
        <w:t>Nejvyšší mírou se na znečištění ovzduší ve Zlíně podílí intenzivní doprava způsobující dále hlukovou zátěž a zdroje lokálních topenišť v chladné části roku.</w:t>
      </w:r>
    </w:p>
    <w:p w14:paraId="3969AF4D" w14:textId="77777777" w:rsidR="00047BE4" w:rsidRDefault="00047BE4" w:rsidP="00047BE4">
      <w:pPr>
        <w:spacing w:before="0" w:after="160" w:line="259" w:lineRule="auto"/>
        <w:jc w:val="left"/>
      </w:pPr>
      <w:r>
        <w:br w:type="page"/>
      </w:r>
    </w:p>
    <w:p w14:paraId="2676E6EE" w14:textId="77777777" w:rsidR="00047BE4" w:rsidRDefault="00047BE4" w:rsidP="00047BE4">
      <w:pPr>
        <w:pStyle w:val="Nadpis3"/>
        <w:ind w:left="720"/>
      </w:pPr>
      <w:bookmarkStart w:id="234" w:name="_Toc53037938"/>
      <w:bookmarkStart w:id="235" w:name="_Toc77074582"/>
      <w:r>
        <w:lastRenderedPageBreak/>
        <w:t>SWOT analýza</w:t>
      </w:r>
      <w:bookmarkEnd w:id="234"/>
      <w:bookmarkEnd w:id="2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4530"/>
      </w:tblGrid>
      <w:tr w:rsidR="00047BE4" w:rsidRPr="00BC1A35" w14:paraId="799022AC" w14:textId="77777777" w:rsidTr="00047BE4">
        <w:trPr>
          <w:cantSplit/>
          <w:tblHeader/>
        </w:trPr>
        <w:tc>
          <w:tcPr>
            <w:tcW w:w="4533" w:type="dxa"/>
            <w:shd w:val="clear" w:color="auto" w:fill="FF7C80"/>
          </w:tcPr>
          <w:p w14:paraId="3A85F6A7" w14:textId="77777777" w:rsidR="00047BE4" w:rsidRPr="00BC1A35" w:rsidRDefault="00047BE4" w:rsidP="00047BE4">
            <w:pPr>
              <w:spacing w:before="0"/>
              <w:jc w:val="center"/>
              <w:rPr>
                <w:szCs w:val="24"/>
              </w:rPr>
            </w:pPr>
            <w:r w:rsidRPr="00BC1A35">
              <w:rPr>
                <w:szCs w:val="24"/>
              </w:rPr>
              <w:t>SILNÉ STRÁNKY</w:t>
            </w:r>
          </w:p>
        </w:tc>
        <w:tc>
          <w:tcPr>
            <w:tcW w:w="4530" w:type="dxa"/>
            <w:shd w:val="clear" w:color="auto" w:fill="B8CCE4"/>
          </w:tcPr>
          <w:p w14:paraId="4054355E" w14:textId="77777777" w:rsidR="00047BE4" w:rsidRPr="00BC1A35" w:rsidRDefault="00047BE4" w:rsidP="00047BE4">
            <w:pPr>
              <w:spacing w:before="0"/>
              <w:jc w:val="center"/>
              <w:rPr>
                <w:szCs w:val="24"/>
              </w:rPr>
            </w:pPr>
            <w:r w:rsidRPr="00BC1A35">
              <w:rPr>
                <w:szCs w:val="24"/>
              </w:rPr>
              <w:t>SLABÉ STRÁNKY</w:t>
            </w:r>
          </w:p>
        </w:tc>
      </w:tr>
      <w:tr w:rsidR="00047BE4" w:rsidRPr="00BC1A35" w14:paraId="6C54883F" w14:textId="77777777" w:rsidTr="00047BE4">
        <w:trPr>
          <w:cantSplit/>
          <w:trHeight w:val="3177"/>
        </w:trPr>
        <w:tc>
          <w:tcPr>
            <w:tcW w:w="4533" w:type="dxa"/>
            <w:shd w:val="clear" w:color="auto" w:fill="FFDDDD"/>
          </w:tcPr>
          <w:p w14:paraId="298F2449" w14:textId="77777777" w:rsidR="00047BE4" w:rsidRPr="0045137D" w:rsidRDefault="00047BE4" w:rsidP="00047BE4">
            <w:pPr>
              <w:suppressAutoHyphens/>
              <w:spacing w:before="0"/>
              <w:ind w:left="171"/>
              <w:contextualSpacing/>
              <w:jc w:val="left"/>
              <w:rPr>
                <w:sz w:val="12"/>
                <w:szCs w:val="24"/>
              </w:rPr>
            </w:pPr>
          </w:p>
          <w:p w14:paraId="736FCB79" w14:textId="6AD7B033" w:rsidR="00047BE4" w:rsidRPr="00EB273D" w:rsidRDefault="00047BE4" w:rsidP="00047BE4">
            <w:pPr>
              <w:pStyle w:val="Odstavecseseznamem"/>
              <w:numPr>
                <w:ilvl w:val="0"/>
                <w:numId w:val="12"/>
              </w:numPr>
              <w:suppressAutoHyphens/>
              <w:spacing w:before="0" w:after="160"/>
              <w:ind w:left="171" w:hanging="142"/>
              <w:jc w:val="left"/>
              <w:rPr>
                <w:sz w:val="20"/>
              </w:rPr>
            </w:pPr>
            <w:r>
              <w:rPr>
                <w:sz w:val="20"/>
              </w:rPr>
              <w:t>Vysoká naděje dožití ve srovnání s vybranými městy</w:t>
            </w:r>
            <w:r w:rsidR="00FB0205">
              <w:rPr>
                <w:sz w:val="20"/>
              </w:rPr>
              <w:t>.</w:t>
            </w:r>
          </w:p>
          <w:p w14:paraId="22DDE1B0" w14:textId="6F8F8E35" w:rsidR="00047BE4" w:rsidRPr="00EB273D" w:rsidRDefault="00047BE4" w:rsidP="00047BE4">
            <w:pPr>
              <w:pStyle w:val="Odstavecseseznamem"/>
              <w:numPr>
                <w:ilvl w:val="0"/>
                <w:numId w:val="12"/>
              </w:numPr>
              <w:suppressAutoHyphens/>
              <w:spacing w:before="0" w:after="160"/>
              <w:ind w:left="171" w:hanging="142"/>
              <w:jc w:val="left"/>
              <w:rPr>
                <w:sz w:val="20"/>
              </w:rPr>
            </w:pPr>
            <w:r w:rsidRPr="00EB273D">
              <w:rPr>
                <w:sz w:val="20"/>
              </w:rPr>
              <w:t>Atraktivita bydlení ve Zlíně</w:t>
            </w:r>
            <w:r w:rsidR="00FB0205">
              <w:rPr>
                <w:sz w:val="20"/>
              </w:rPr>
              <w:t>.</w:t>
            </w:r>
          </w:p>
          <w:p w14:paraId="3527D2D0" w14:textId="714F86DB" w:rsidR="00047BE4" w:rsidRPr="00EB273D" w:rsidRDefault="00047BE4" w:rsidP="00047BE4">
            <w:pPr>
              <w:pStyle w:val="Odstavecseseznamem"/>
              <w:numPr>
                <w:ilvl w:val="0"/>
                <w:numId w:val="12"/>
              </w:numPr>
              <w:suppressAutoHyphens/>
              <w:spacing w:before="0" w:after="160"/>
              <w:ind w:left="171" w:hanging="142"/>
              <w:jc w:val="left"/>
              <w:rPr>
                <w:sz w:val="20"/>
              </w:rPr>
            </w:pPr>
            <w:r w:rsidRPr="00EB273D">
              <w:rPr>
                <w:sz w:val="20"/>
              </w:rPr>
              <w:t>Bytový fond ve vlastnictví města, který z</w:t>
            </w:r>
            <w:r>
              <w:rPr>
                <w:sz w:val="20"/>
              </w:rPr>
              <w:t xml:space="preserve"> </w:t>
            </w:r>
            <w:r w:rsidRPr="00EB273D">
              <w:rPr>
                <w:sz w:val="20"/>
              </w:rPr>
              <w:t>části slouží znevýhodněným skupinám obyvatel</w:t>
            </w:r>
            <w:r w:rsidR="00FB0205">
              <w:rPr>
                <w:sz w:val="20"/>
              </w:rPr>
              <w:t>.</w:t>
            </w:r>
          </w:p>
          <w:p w14:paraId="53CF400A" w14:textId="12F5664A" w:rsidR="00047BE4" w:rsidRPr="00EB273D" w:rsidRDefault="00047BE4" w:rsidP="00047BE4">
            <w:pPr>
              <w:pStyle w:val="Odstavecseseznamem"/>
              <w:numPr>
                <w:ilvl w:val="0"/>
                <w:numId w:val="12"/>
              </w:numPr>
              <w:suppressAutoHyphens/>
              <w:spacing w:before="0" w:after="160"/>
              <w:ind w:left="171" w:hanging="142"/>
              <w:jc w:val="left"/>
              <w:rPr>
                <w:sz w:val="20"/>
              </w:rPr>
            </w:pPr>
            <w:r w:rsidRPr="00EB273D">
              <w:rPr>
                <w:sz w:val="20"/>
              </w:rPr>
              <w:t>Ve Zlíně se nenachází sociálně vyloučené lokality</w:t>
            </w:r>
            <w:r w:rsidR="00FB0205">
              <w:rPr>
                <w:sz w:val="20"/>
              </w:rPr>
              <w:t>.</w:t>
            </w:r>
          </w:p>
          <w:p w14:paraId="50D8AE9A" w14:textId="6B61D98E" w:rsidR="00047BE4" w:rsidRPr="00EB273D" w:rsidRDefault="00047BE4" w:rsidP="00047BE4">
            <w:pPr>
              <w:pStyle w:val="Odstavecseseznamem"/>
              <w:numPr>
                <w:ilvl w:val="0"/>
                <w:numId w:val="12"/>
              </w:numPr>
              <w:suppressAutoHyphens/>
              <w:spacing w:before="0" w:after="160"/>
              <w:ind w:left="171" w:hanging="142"/>
              <w:jc w:val="left"/>
              <w:rPr>
                <w:sz w:val="20"/>
              </w:rPr>
            </w:pPr>
            <w:r w:rsidRPr="00EB273D">
              <w:rPr>
                <w:sz w:val="20"/>
              </w:rPr>
              <w:t xml:space="preserve">Široké spektrum </w:t>
            </w:r>
            <w:r>
              <w:rPr>
                <w:sz w:val="20"/>
              </w:rPr>
              <w:t xml:space="preserve">poskytovatelů </w:t>
            </w:r>
            <w:r w:rsidRPr="00EB273D">
              <w:rPr>
                <w:sz w:val="20"/>
              </w:rPr>
              <w:t>sociálních služeb</w:t>
            </w:r>
            <w:r w:rsidR="00FB0205">
              <w:rPr>
                <w:sz w:val="20"/>
              </w:rPr>
              <w:t>.</w:t>
            </w:r>
          </w:p>
          <w:p w14:paraId="23AF2429" w14:textId="38BD1862" w:rsidR="00047BE4" w:rsidRPr="00EB273D" w:rsidRDefault="00047BE4" w:rsidP="00047BE4">
            <w:pPr>
              <w:pStyle w:val="Odstavecseseznamem"/>
              <w:numPr>
                <w:ilvl w:val="0"/>
                <w:numId w:val="12"/>
              </w:numPr>
              <w:suppressAutoHyphens/>
              <w:spacing w:before="0" w:after="160"/>
              <w:ind w:left="171" w:hanging="142"/>
              <w:jc w:val="left"/>
              <w:rPr>
                <w:sz w:val="20"/>
              </w:rPr>
            </w:pPr>
            <w:r w:rsidRPr="00EB273D">
              <w:rPr>
                <w:sz w:val="20"/>
              </w:rPr>
              <w:t>Poměrně nízký počet osob v</w:t>
            </w:r>
            <w:r w:rsidR="00FB0205">
              <w:rPr>
                <w:sz w:val="20"/>
              </w:rPr>
              <w:t> </w:t>
            </w:r>
            <w:r w:rsidRPr="00EB273D">
              <w:rPr>
                <w:sz w:val="20"/>
              </w:rPr>
              <w:t>exekuci</w:t>
            </w:r>
            <w:r w:rsidR="00FB0205">
              <w:rPr>
                <w:sz w:val="20"/>
              </w:rPr>
              <w:t>.</w:t>
            </w:r>
          </w:p>
          <w:p w14:paraId="110B070C" w14:textId="495D3FA4" w:rsidR="00047BE4" w:rsidRPr="00143C0B" w:rsidRDefault="00047BE4" w:rsidP="00047BE4">
            <w:pPr>
              <w:pStyle w:val="Odstavecseseznamem"/>
              <w:numPr>
                <w:ilvl w:val="0"/>
                <w:numId w:val="12"/>
              </w:numPr>
              <w:suppressAutoHyphens/>
              <w:spacing w:before="0" w:after="160"/>
              <w:ind w:left="171" w:hanging="142"/>
              <w:jc w:val="left"/>
              <w:rPr>
                <w:szCs w:val="24"/>
              </w:rPr>
            </w:pPr>
            <w:r w:rsidRPr="00EB273D">
              <w:rPr>
                <w:sz w:val="20"/>
              </w:rPr>
              <w:t>Fungující systém zdravotní péče ve městě</w:t>
            </w:r>
            <w:r w:rsidR="00FB0205">
              <w:rPr>
                <w:sz w:val="20"/>
              </w:rPr>
              <w:t>.</w:t>
            </w:r>
          </w:p>
          <w:p w14:paraId="6F1A1C24" w14:textId="1A05AC3F" w:rsidR="00047BE4" w:rsidRPr="00143C0B" w:rsidRDefault="00047BE4" w:rsidP="00047BE4">
            <w:pPr>
              <w:pStyle w:val="Odstavecseseznamem"/>
              <w:numPr>
                <w:ilvl w:val="0"/>
                <w:numId w:val="12"/>
              </w:numPr>
              <w:suppressAutoHyphens/>
              <w:spacing w:before="0" w:after="160"/>
              <w:ind w:left="171" w:hanging="142"/>
              <w:jc w:val="left"/>
              <w:rPr>
                <w:sz w:val="20"/>
                <w:szCs w:val="24"/>
              </w:rPr>
            </w:pPr>
            <w:r w:rsidRPr="00143C0B">
              <w:rPr>
                <w:sz w:val="20"/>
                <w:szCs w:val="24"/>
              </w:rPr>
              <w:t>Zřízené fondy na po</w:t>
            </w:r>
            <w:r w:rsidR="00565376">
              <w:rPr>
                <w:sz w:val="20"/>
                <w:szCs w:val="24"/>
              </w:rPr>
              <w:t>dporu kulturních, sportovních a </w:t>
            </w:r>
            <w:r w:rsidRPr="00143C0B">
              <w:rPr>
                <w:sz w:val="20"/>
                <w:szCs w:val="24"/>
              </w:rPr>
              <w:t>volnočasových aktivit a organizací (Kulturní fond, Filmový fond</w:t>
            </w:r>
            <w:r>
              <w:rPr>
                <w:sz w:val="20"/>
                <w:szCs w:val="24"/>
              </w:rPr>
              <w:t>,</w:t>
            </w:r>
            <w:r w:rsidRPr="00143C0B">
              <w:rPr>
                <w:sz w:val="20"/>
                <w:szCs w:val="24"/>
              </w:rPr>
              <w:t xml:space="preserve"> Fond mládeže a tělovýchovy</w:t>
            </w:r>
            <w:r>
              <w:rPr>
                <w:sz w:val="20"/>
                <w:szCs w:val="24"/>
              </w:rPr>
              <w:t xml:space="preserve"> a Fond pro-rodinných aktivit</w:t>
            </w:r>
            <w:r w:rsidR="00FB0205">
              <w:rPr>
                <w:sz w:val="20"/>
                <w:szCs w:val="24"/>
              </w:rPr>
              <w:t>).</w:t>
            </w:r>
          </w:p>
          <w:p w14:paraId="57B6878A" w14:textId="0D1B45F2" w:rsidR="00047BE4" w:rsidRDefault="00047BE4" w:rsidP="00047BE4">
            <w:pPr>
              <w:pStyle w:val="Odstavecseseznamem"/>
              <w:numPr>
                <w:ilvl w:val="0"/>
                <w:numId w:val="12"/>
              </w:numPr>
              <w:suppressAutoHyphens/>
              <w:spacing w:before="0" w:after="160"/>
              <w:ind w:left="171" w:hanging="142"/>
              <w:jc w:val="left"/>
              <w:rPr>
                <w:sz w:val="20"/>
                <w:szCs w:val="24"/>
              </w:rPr>
            </w:pPr>
            <w:r>
              <w:rPr>
                <w:sz w:val="20"/>
                <w:szCs w:val="24"/>
              </w:rPr>
              <w:t>Široká síť sportovní</w:t>
            </w:r>
            <w:r w:rsidRPr="00143C0B">
              <w:rPr>
                <w:sz w:val="20"/>
                <w:szCs w:val="24"/>
              </w:rPr>
              <w:t xml:space="preserve"> infrastruktury ve městě Zlín</w:t>
            </w:r>
            <w:r w:rsidR="00FB0205">
              <w:rPr>
                <w:sz w:val="20"/>
                <w:szCs w:val="24"/>
              </w:rPr>
              <w:t>.</w:t>
            </w:r>
          </w:p>
          <w:p w14:paraId="107A99B8" w14:textId="6A570218" w:rsidR="00047BE4" w:rsidRPr="00143C0B" w:rsidRDefault="00047BE4" w:rsidP="00047BE4">
            <w:pPr>
              <w:pStyle w:val="Odstavecseseznamem"/>
              <w:numPr>
                <w:ilvl w:val="0"/>
                <w:numId w:val="12"/>
              </w:numPr>
              <w:suppressAutoHyphens/>
              <w:spacing w:before="0" w:after="160"/>
              <w:ind w:left="171" w:hanging="142"/>
              <w:jc w:val="left"/>
              <w:rPr>
                <w:sz w:val="20"/>
                <w:szCs w:val="24"/>
              </w:rPr>
            </w:pPr>
            <w:r>
              <w:rPr>
                <w:sz w:val="20"/>
                <w:szCs w:val="24"/>
              </w:rPr>
              <w:t>Existence tradičních kulturních institucí</w:t>
            </w:r>
            <w:r w:rsidR="00FB0205">
              <w:rPr>
                <w:sz w:val="20"/>
                <w:szCs w:val="24"/>
              </w:rPr>
              <w:t>.</w:t>
            </w:r>
          </w:p>
          <w:p w14:paraId="4A67E07D" w14:textId="26F840DD" w:rsidR="00047BE4" w:rsidRPr="005A2AFF" w:rsidRDefault="00047BE4" w:rsidP="00047BE4">
            <w:pPr>
              <w:pStyle w:val="Odstavecseseznamem"/>
              <w:numPr>
                <w:ilvl w:val="0"/>
                <w:numId w:val="12"/>
              </w:numPr>
              <w:suppressAutoHyphens/>
              <w:spacing w:before="0" w:after="160"/>
              <w:ind w:left="171" w:hanging="142"/>
              <w:jc w:val="left"/>
              <w:rPr>
                <w:szCs w:val="24"/>
              </w:rPr>
            </w:pPr>
            <w:r w:rsidRPr="005A2AFF">
              <w:rPr>
                <w:sz w:val="20"/>
                <w:szCs w:val="24"/>
              </w:rPr>
              <w:t>Kulturní a sportovní akce s</w:t>
            </w:r>
            <w:r>
              <w:rPr>
                <w:sz w:val="20"/>
                <w:szCs w:val="24"/>
              </w:rPr>
              <w:t xml:space="preserve"> mezinárodním </w:t>
            </w:r>
            <w:r w:rsidRPr="005A2AFF">
              <w:rPr>
                <w:sz w:val="20"/>
                <w:szCs w:val="24"/>
              </w:rPr>
              <w:t>významem (</w:t>
            </w:r>
            <w:r w:rsidRPr="000D6D2F">
              <w:rPr>
                <w:sz w:val="20"/>
                <w:szCs w:val="24"/>
              </w:rPr>
              <w:t>ZLÍN FILM FESTIVAL</w:t>
            </w:r>
            <w:r>
              <w:rPr>
                <w:sz w:val="20"/>
                <w:szCs w:val="24"/>
              </w:rPr>
              <w:t>, Barum Czech Rally Zlín</w:t>
            </w:r>
            <w:r w:rsidRPr="005A2AFF">
              <w:rPr>
                <w:sz w:val="20"/>
                <w:szCs w:val="24"/>
              </w:rPr>
              <w:t>)</w:t>
            </w:r>
            <w:r w:rsidR="00FB0205">
              <w:rPr>
                <w:sz w:val="20"/>
                <w:szCs w:val="24"/>
              </w:rPr>
              <w:t>.</w:t>
            </w:r>
          </w:p>
          <w:p w14:paraId="0E1C018A" w14:textId="2093AD0C" w:rsidR="00047BE4" w:rsidRPr="00A15A0E" w:rsidRDefault="00047BE4" w:rsidP="00047BE4">
            <w:pPr>
              <w:pStyle w:val="Odstavecseseznamem"/>
              <w:numPr>
                <w:ilvl w:val="0"/>
                <w:numId w:val="12"/>
              </w:numPr>
              <w:suppressAutoHyphens/>
              <w:spacing w:before="0" w:after="160"/>
              <w:ind w:left="171" w:hanging="171"/>
              <w:jc w:val="left"/>
              <w:rPr>
                <w:sz w:val="20"/>
              </w:rPr>
            </w:pPr>
            <w:r w:rsidRPr="00A15A0E">
              <w:rPr>
                <w:sz w:val="20"/>
              </w:rPr>
              <w:t>Vysoké zastoupení zeleně v prostoru města</w:t>
            </w:r>
            <w:r w:rsidR="00565376">
              <w:rPr>
                <w:sz w:val="20"/>
              </w:rPr>
              <w:t>.</w:t>
            </w:r>
          </w:p>
          <w:p w14:paraId="6373D4B6" w14:textId="46877EFA" w:rsidR="00047BE4" w:rsidRPr="00A15A0E" w:rsidRDefault="00047BE4" w:rsidP="00047BE4">
            <w:pPr>
              <w:pStyle w:val="Odstavecseseznamem"/>
              <w:numPr>
                <w:ilvl w:val="0"/>
                <w:numId w:val="12"/>
              </w:numPr>
              <w:suppressAutoHyphens/>
              <w:spacing w:before="0" w:after="160"/>
              <w:ind w:left="171" w:hanging="171"/>
              <w:jc w:val="left"/>
              <w:rPr>
                <w:sz w:val="20"/>
              </w:rPr>
            </w:pPr>
            <w:r w:rsidRPr="00A15A0E">
              <w:rPr>
                <w:sz w:val="20"/>
              </w:rPr>
              <w:t>Dobrá dostupnost zeleně a území k rekreaci v</w:t>
            </w:r>
            <w:r w:rsidR="00FB0205">
              <w:rPr>
                <w:sz w:val="20"/>
              </w:rPr>
              <w:t> </w:t>
            </w:r>
            <w:r w:rsidRPr="00A15A0E">
              <w:rPr>
                <w:sz w:val="20"/>
              </w:rPr>
              <w:t>blízkosti města</w:t>
            </w:r>
            <w:r w:rsidR="00FB0205">
              <w:rPr>
                <w:sz w:val="20"/>
              </w:rPr>
              <w:t>.</w:t>
            </w:r>
          </w:p>
          <w:p w14:paraId="6DB43231" w14:textId="10823585" w:rsidR="00047BE4" w:rsidRPr="00A15A0E" w:rsidRDefault="00047BE4" w:rsidP="00047BE4">
            <w:pPr>
              <w:pStyle w:val="Odstavecseseznamem"/>
              <w:numPr>
                <w:ilvl w:val="0"/>
                <w:numId w:val="12"/>
              </w:numPr>
              <w:suppressAutoHyphens/>
              <w:spacing w:before="0" w:after="160"/>
              <w:ind w:left="171" w:hanging="171"/>
              <w:jc w:val="left"/>
              <w:rPr>
                <w:sz w:val="20"/>
              </w:rPr>
            </w:pPr>
            <w:r w:rsidRPr="00A15A0E">
              <w:rPr>
                <w:sz w:val="20"/>
              </w:rPr>
              <w:t>Životní prostředí města nenese zátěž průmyslového znečištění z</w:t>
            </w:r>
            <w:r w:rsidR="00FB0205">
              <w:rPr>
                <w:sz w:val="20"/>
              </w:rPr>
              <w:t> </w:t>
            </w:r>
            <w:r w:rsidRPr="00A15A0E">
              <w:rPr>
                <w:sz w:val="20"/>
              </w:rPr>
              <w:t>minulosti</w:t>
            </w:r>
            <w:r w:rsidR="00FB0205">
              <w:rPr>
                <w:sz w:val="20"/>
              </w:rPr>
              <w:t>.</w:t>
            </w:r>
          </w:p>
          <w:p w14:paraId="34F6671B" w14:textId="6E4BECE8" w:rsidR="00047BE4" w:rsidRPr="00BC1A35" w:rsidRDefault="00047BE4" w:rsidP="00047BE4">
            <w:pPr>
              <w:pStyle w:val="Odstavecseseznamem"/>
              <w:numPr>
                <w:ilvl w:val="0"/>
                <w:numId w:val="12"/>
              </w:numPr>
              <w:suppressAutoHyphens/>
              <w:spacing w:before="0" w:after="160"/>
              <w:ind w:left="171" w:hanging="142"/>
              <w:jc w:val="left"/>
              <w:rPr>
                <w:szCs w:val="24"/>
              </w:rPr>
            </w:pPr>
            <w:r w:rsidRPr="00A15A0E">
              <w:rPr>
                <w:sz w:val="20"/>
              </w:rPr>
              <w:t xml:space="preserve">V prostoru města nejsou zdroje silného </w:t>
            </w:r>
            <w:r>
              <w:rPr>
                <w:sz w:val="20"/>
              </w:rPr>
              <w:t xml:space="preserve">průmyslového </w:t>
            </w:r>
            <w:r w:rsidRPr="00A15A0E">
              <w:rPr>
                <w:sz w:val="20"/>
              </w:rPr>
              <w:t>znečištění</w:t>
            </w:r>
            <w:r w:rsidR="00FB0205">
              <w:rPr>
                <w:sz w:val="20"/>
              </w:rPr>
              <w:t>.</w:t>
            </w:r>
          </w:p>
        </w:tc>
        <w:tc>
          <w:tcPr>
            <w:tcW w:w="4530" w:type="dxa"/>
            <w:shd w:val="clear" w:color="auto" w:fill="EEF3F8"/>
          </w:tcPr>
          <w:p w14:paraId="6BDE4076" w14:textId="77777777" w:rsidR="00047BE4" w:rsidRPr="0045137D" w:rsidRDefault="00047BE4" w:rsidP="00047BE4">
            <w:pPr>
              <w:suppressAutoHyphens/>
              <w:spacing w:before="0"/>
              <w:ind w:left="175"/>
              <w:contextualSpacing/>
              <w:jc w:val="left"/>
              <w:rPr>
                <w:sz w:val="12"/>
                <w:szCs w:val="12"/>
              </w:rPr>
            </w:pPr>
          </w:p>
          <w:p w14:paraId="485BDDE9" w14:textId="451EEE18" w:rsidR="00047BE4" w:rsidRPr="00C27CEA" w:rsidRDefault="00047BE4" w:rsidP="00047BE4">
            <w:pPr>
              <w:pStyle w:val="Odstavecseseznamem"/>
              <w:numPr>
                <w:ilvl w:val="0"/>
                <w:numId w:val="12"/>
              </w:numPr>
              <w:suppressAutoHyphens/>
              <w:spacing w:before="0" w:after="160"/>
              <w:ind w:left="175" w:hanging="142"/>
              <w:jc w:val="left"/>
              <w:rPr>
                <w:sz w:val="20"/>
              </w:rPr>
            </w:pPr>
            <w:r w:rsidRPr="00C27CEA">
              <w:rPr>
                <w:sz w:val="20"/>
              </w:rPr>
              <w:t>Stálý mírný pokles počtu obyvatel</w:t>
            </w:r>
            <w:r w:rsidR="00565376">
              <w:rPr>
                <w:sz w:val="20"/>
              </w:rPr>
              <w:t>.</w:t>
            </w:r>
            <w:r w:rsidRPr="00C27CEA">
              <w:rPr>
                <w:sz w:val="20"/>
              </w:rPr>
              <w:t xml:space="preserve"> </w:t>
            </w:r>
          </w:p>
          <w:p w14:paraId="075D14FB" w14:textId="49705493" w:rsidR="00047BE4" w:rsidRPr="00EB273D" w:rsidRDefault="00047BE4" w:rsidP="00047BE4">
            <w:pPr>
              <w:pStyle w:val="Odstavecseseznamem"/>
              <w:numPr>
                <w:ilvl w:val="0"/>
                <w:numId w:val="12"/>
              </w:numPr>
              <w:spacing w:before="0"/>
              <w:ind w:left="175" w:hanging="142"/>
              <w:jc w:val="left"/>
              <w:rPr>
                <w:sz w:val="20"/>
              </w:rPr>
            </w:pPr>
            <w:r w:rsidRPr="00EB273D">
              <w:rPr>
                <w:sz w:val="20"/>
              </w:rPr>
              <w:t>Relativně vysoké stáří bytového fondu města, nutnost dalších investic do modernizace</w:t>
            </w:r>
            <w:r w:rsidR="00FB0205">
              <w:rPr>
                <w:sz w:val="20"/>
              </w:rPr>
              <w:t>.</w:t>
            </w:r>
          </w:p>
          <w:p w14:paraId="18FA92CA" w14:textId="75696CE2" w:rsidR="00047BE4" w:rsidRPr="00EB273D" w:rsidRDefault="00047BE4" w:rsidP="00047BE4">
            <w:pPr>
              <w:pStyle w:val="Odstavecseseznamem"/>
              <w:numPr>
                <w:ilvl w:val="0"/>
                <w:numId w:val="12"/>
              </w:numPr>
              <w:spacing w:before="0"/>
              <w:ind w:left="175" w:hanging="142"/>
              <w:jc w:val="left"/>
              <w:rPr>
                <w:sz w:val="20"/>
              </w:rPr>
            </w:pPr>
            <w:r w:rsidRPr="00EB273D">
              <w:rPr>
                <w:sz w:val="20"/>
              </w:rPr>
              <w:t>Vyšší ceny nájmů a nemovitostí v porovnání s podprůměrnou úrovní mezd obyvatel Zlína</w:t>
            </w:r>
            <w:r w:rsidR="00FB0205">
              <w:rPr>
                <w:sz w:val="20"/>
              </w:rPr>
              <w:t>.</w:t>
            </w:r>
          </w:p>
          <w:p w14:paraId="5FDE0C4C" w14:textId="68830000" w:rsidR="00047BE4" w:rsidRPr="00EB273D" w:rsidRDefault="00047BE4" w:rsidP="00047BE4">
            <w:pPr>
              <w:pStyle w:val="Odstavecseseznamem"/>
              <w:numPr>
                <w:ilvl w:val="0"/>
                <w:numId w:val="12"/>
              </w:numPr>
              <w:spacing w:before="0"/>
              <w:ind w:left="175" w:hanging="142"/>
              <w:jc w:val="left"/>
              <w:rPr>
                <w:sz w:val="20"/>
              </w:rPr>
            </w:pPr>
            <w:r w:rsidRPr="00EB273D">
              <w:rPr>
                <w:sz w:val="20"/>
              </w:rPr>
              <w:t>Nedostatek větších bytů v bytovém fondu města</w:t>
            </w:r>
            <w:r w:rsidR="00FB0205">
              <w:rPr>
                <w:sz w:val="20"/>
              </w:rPr>
              <w:t>.</w:t>
            </w:r>
          </w:p>
          <w:p w14:paraId="648AB34C" w14:textId="04A40168" w:rsidR="00047BE4" w:rsidRDefault="00047BE4" w:rsidP="00047BE4">
            <w:pPr>
              <w:pStyle w:val="Odstavecseseznamem"/>
              <w:numPr>
                <w:ilvl w:val="0"/>
                <w:numId w:val="12"/>
              </w:numPr>
              <w:spacing w:before="0"/>
              <w:ind w:left="175" w:hanging="142"/>
              <w:jc w:val="left"/>
              <w:rPr>
                <w:sz w:val="20"/>
              </w:rPr>
            </w:pPr>
            <w:r>
              <w:rPr>
                <w:sz w:val="20"/>
              </w:rPr>
              <w:t>Město nemá příspěvkovou organizaci poskytující sociální služby</w:t>
            </w:r>
            <w:r w:rsidR="00FB0205">
              <w:rPr>
                <w:sz w:val="20"/>
              </w:rPr>
              <w:t>.</w:t>
            </w:r>
          </w:p>
          <w:p w14:paraId="380D55D5" w14:textId="1C514FCC" w:rsidR="00047BE4" w:rsidRPr="00EB273D" w:rsidRDefault="00047BE4" w:rsidP="00047BE4">
            <w:pPr>
              <w:pStyle w:val="Odstavecseseznamem"/>
              <w:numPr>
                <w:ilvl w:val="0"/>
                <w:numId w:val="12"/>
              </w:numPr>
              <w:spacing w:before="0"/>
              <w:ind w:left="175" w:hanging="142"/>
              <w:jc w:val="left"/>
              <w:rPr>
                <w:sz w:val="20"/>
              </w:rPr>
            </w:pPr>
            <w:r w:rsidRPr="00EB273D">
              <w:rPr>
                <w:sz w:val="20"/>
              </w:rPr>
              <w:t>Nedostatečné kapa</w:t>
            </w:r>
            <w:r>
              <w:rPr>
                <w:sz w:val="20"/>
              </w:rPr>
              <w:t xml:space="preserve">city některých druhů sociálních </w:t>
            </w:r>
            <w:r w:rsidRPr="00EB273D">
              <w:rPr>
                <w:sz w:val="20"/>
              </w:rPr>
              <w:t>služeb (domovy pro seniory)</w:t>
            </w:r>
            <w:r w:rsidR="00FB0205">
              <w:rPr>
                <w:sz w:val="20"/>
              </w:rPr>
              <w:t>.</w:t>
            </w:r>
          </w:p>
          <w:p w14:paraId="72A2A371" w14:textId="766F0C83" w:rsidR="00047BE4" w:rsidRPr="00EB273D" w:rsidRDefault="00047BE4" w:rsidP="00047BE4">
            <w:pPr>
              <w:pStyle w:val="Odstavecseseznamem"/>
              <w:numPr>
                <w:ilvl w:val="0"/>
                <w:numId w:val="12"/>
              </w:numPr>
              <w:suppressAutoHyphens/>
              <w:spacing w:before="0" w:after="160"/>
              <w:ind w:left="175" w:hanging="142"/>
              <w:jc w:val="left"/>
              <w:rPr>
                <w:sz w:val="20"/>
              </w:rPr>
            </w:pPr>
            <w:r w:rsidRPr="00EB273D">
              <w:rPr>
                <w:sz w:val="20"/>
              </w:rPr>
              <w:t>Nedostatek volných ploch pro novou výstavbu hromadného bydlení</w:t>
            </w:r>
            <w:r w:rsidR="00FB0205">
              <w:rPr>
                <w:sz w:val="20"/>
              </w:rPr>
              <w:t>.</w:t>
            </w:r>
          </w:p>
          <w:p w14:paraId="646528CC" w14:textId="1D4001C4" w:rsidR="00047BE4" w:rsidRPr="00EB273D" w:rsidRDefault="00047BE4" w:rsidP="00047BE4">
            <w:pPr>
              <w:pStyle w:val="Odstavecseseznamem"/>
              <w:numPr>
                <w:ilvl w:val="0"/>
                <w:numId w:val="12"/>
              </w:numPr>
              <w:spacing w:before="0"/>
              <w:ind w:left="175" w:hanging="142"/>
              <w:jc w:val="left"/>
              <w:rPr>
                <w:sz w:val="20"/>
              </w:rPr>
            </w:pPr>
            <w:r w:rsidRPr="00EB273D">
              <w:rPr>
                <w:sz w:val="20"/>
              </w:rPr>
              <w:t>Kvalita zdravotní péče hodnocena veřejností nepříznivě</w:t>
            </w:r>
            <w:r w:rsidR="00FB0205">
              <w:rPr>
                <w:sz w:val="20"/>
              </w:rPr>
              <w:t>.</w:t>
            </w:r>
          </w:p>
          <w:p w14:paraId="17DB18F7" w14:textId="3B907F90" w:rsidR="00047BE4" w:rsidRPr="00143C0B" w:rsidRDefault="00047BE4" w:rsidP="00047BE4">
            <w:pPr>
              <w:pStyle w:val="Odstavecseseznamem"/>
              <w:numPr>
                <w:ilvl w:val="0"/>
                <w:numId w:val="12"/>
              </w:numPr>
              <w:suppressAutoHyphens/>
              <w:spacing w:before="0" w:after="160"/>
              <w:ind w:left="175" w:hanging="142"/>
              <w:jc w:val="left"/>
              <w:rPr>
                <w:szCs w:val="24"/>
              </w:rPr>
            </w:pPr>
            <w:r w:rsidRPr="00EB273D">
              <w:rPr>
                <w:sz w:val="20"/>
              </w:rPr>
              <w:t>Některá zdravotnická centra nejsou plně bezbariérová</w:t>
            </w:r>
            <w:r w:rsidR="00FB0205">
              <w:rPr>
                <w:sz w:val="20"/>
              </w:rPr>
              <w:t>.</w:t>
            </w:r>
          </w:p>
          <w:p w14:paraId="4B598310" w14:textId="317A9C78" w:rsidR="00047BE4" w:rsidRPr="00143C0B" w:rsidRDefault="00047BE4" w:rsidP="00047BE4">
            <w:pPr>
              <w:pStyle w:val="Odstavecseseznamem"/>
              <w:numPr>
                <w:ilvl w:val="0"/>
                <w:numId w:val="12"/>
              </w:numPr>
              <w:spacing w:before="0"/>
              <w:ind w:left="175" w:hanging="142"/>
              <w:jc w:val="left"/>
              <w:rPr>
                <w:sz w:val="20"/>
                <w:szCs w:val="24"/>
              </w:rPr>
            </w:pPr>
            <w:r w:rsidRPr="00143C0B">
              <w:rPr>
                <w:sz w:val="20"/>
                <w:szCs w:val="24"/>
              </w:rPr>
              <w:t>Nedostatek pravidelných kulturních aktivit v letní sezóně (zejm. v měsíci červenec) v porovnání s jarní a podzimní sezónou</w:t>
            </w:r>
            <w:r w:rsidR="00FB0205">
              <w:rPr>
                <w:sz w:val="20"/>
                <w:szCs w:val="24"/>
              </w:rPr>
              <w:t>.</w:t>
            </w:r>
          </w:p>
          <w:p w14:paraId="4405D3A8" w14:textId="47D16350" w:rsidR="00047BE4" w:rsidRPr="00A15A0E" w:rsidRDefault="00047BE4" w:rsidP="00047BE4">
            <w:pPr>
              <w:pStyle w:val="Odstavecseseznamem"/>
              <w:numPr>
                <w:ilvl w:val="0"/>
                <w:numId w:val="12"/>
              </w:numPr>
              <w:suppressAutoHyphens/>
              <w:spacing w:before="0" w:after="160"/>
              <w:ind w:left="175" w:hanging="142"/>
              <w:jc w:val="left"/>
              <w:rPr>
                <w:szCs w:val="24"/>
              </w:rPr>
            </w:pPr>
            <w:r w:rsidRPr="00143C0B">
              <w:rPr>
                <w:sz w:val="20"/>
                <w:szCs w:val="24"/>
              </w:rPr>
              <w:t>Chybějící platné strategické dokumenty pro oblast rozvoje kultury, sportu a volnočasových aktivit na území města</w:t>
            </w:r>
            <w:r w:rsidR="00FB0205">
              <w:rPr>
                <w:sz w:val="20"/>
                <w:szCs w:val="24"/>
              </w:rPr>
              <w:t>.</w:t>
            </w:r>
          </w:p>
          <w:p w14:paraId="2E959B84" w14:textId="46DBC4FC" w:rsidR="00047BE4" w:rsidRPr="00D538B0" w:rsidRDefault="00047BE4" w:rsidP="00047BE4">
            <w:pPr>
              <w:pStyle w:val="Odstavecseseznamem"/>
              <w:numPr>
                <w:ilvl w:val="0"/>
                <w:numId w:val="12"/>
              </w:numPr>
              <w:spacing w:before="0"/>
              <w:ind w:left="175" w:hanging="142"/>
              <w:jc w:val="left"/>
              <w:rPr>
                <w:sz w:val="20"/>
                <w:szCs w:val="24"/>
              </w:rPr>
            </w:pPr>
            <w:r w:rsidRPr="00A15A0E">
              <w:rPr>
                <w:sz w:val="20"/>
              </w:rPr>
              <w:t>Intenzivní doprava procházející centrem města, která je zdrojem znečištění ovzduší a hlukové zátěže</w:t>
            </w:r>
            <w:r w:rsidR="00FB0205">
              <w:rPr>
                <w:sz w:val="20"/>
              </w:rPr>
              <w:t>.</w:t>
            </w:r>
          </w:p>
          <w:p w14:paraId="3C7BD55E" w14:textId="7820D7FA" w:rsidR="00047BE4" w:rsidRPr="00D538B0" w:rsidRDefault="00047BE4" w:rsidP="00047BE4">
            <w:pPr>
              <w:pStyle w:val="Odstavecseseznamem"/>
              <w:numPr>
                <w:ilvl w:val="0"/>
                <w:numId w:val="12"/>
              </w:numPr>
              <w:spacing w:before="0"/>
              <w:ind w:left="175" w:hanging="142"/>
              <w:jc w:val="left"/>
              <w:rPr>
                <w:sz w:val="20"/>
                <w:szCs w:val="24"/>
              </w:rPr>
            </w:pPr>
            <w:r>
              <w:rPr>
                <w:sz w:val="20"/>
                <w:szCs w:val="24"/>
              </w:rPr>
              <w:t>Snížená kvalita</w:t>
            </w:r>
            <w:r w:rsidRPr="00D538B0">
              <w:rPr>
                <w:sz w:val="20"/>
                <w:szCs w:val="24"/>
              </w:rPr>
              <w:t xml:space="preserve"> příměstské krajiny erozí půdy, dlouhodobým deficitem srážek</w:t>
            </w:r>
            <w:r w:rsidR="00FB0205">
              <w:rPr>
                <w:sz w:val="20"/>
                <w:szCs w:val="24"/>
              </w:rPr>
              <w:t>.</w:t>
            </w:r>
          </w:p>
          <w:p w14:paraId="75B55CC0" w14:textId="1F0A8942" w:rsidR="00047BE4" w:rsidRPr="00A15A0E" w:rsidRDefault="00047BE4" w:rsidP="00047BE4">
            <w:pPr>
              <w:pStyle w:val="Odstavecseseznamem"/>
              <w:numPr>
                <w:ilvl w:val="0"/>
                <w:numId w:val="12"/>
              </w:numPr>
              <w:spacing w:before="0"/>
              <w:ind w:left="175" w:hanging="142"/>
              <w:jc w:val="left"/>
              <w:rPr>
                <w:sz w:val="20"/>
                <w:szCs w:val="24"/>
              </w:rPr>
            </w:pPr>
            <w:r w:rsidRPr="00A15A0E">
              <w:rPr>
                <w:sz w:val="20"/>
              </w:rPr>
              <w:t xml:space="preserve">Znečištění ovzduší </w:t>
            </w:r>
            <w:r>
              <w:rPr>
                <w:sz w:val="20"/>
              </w:rPr>
              <w:t>lokálními topeništi</w:t>
            </w:r>
            <w:r w:rsidR="00FB0205">
              <w:rPr>
                <w:sz w:val="20"/>
              </w:rPr>
              <w:t>.</w:t>
            </w:r>
          </w:p>
          <w:p w14:paraId="49B41747" w14:textId="3114F1ED" w:rsidR="00047BE4" w:rsidRPr="00C72F5E" w:rsidRDefault="00047BE4" w:rsidP="00047BE4">
            <w:pPr>
              <w:pStyle w:val="Odstavecseseznamem"/>
              <w:numPr>
                <w:ilvl w:val="0"/>
                <w:numId w:val="12"/>
              </w:numPr>
              <w:spacing w:before="0"/>
              <w:ind w:left="175" w:hanging="142"/>
              <w:jc w:val="left"/>
              <w:rPr>
                <w:szCs w:val="24"/>
              </w:rPr>
            </w:pPr>
            <w:r>
              <w:rPr>
                <w:sz w:val="20"/>
              </w:rPr>
              <w:t>Nedostatečné technické vybavení pro nakládání s</w:t>
            </w:r>
            <w:r w:rsidR="00FB0205">
              <w:rPr>
                <w:sz w:val="20"/>
              </w:rPr>
              <w:t> </w:t>
            </w:r>
            <w:r>
              <w:rPr>
                <w:sz w:val="20"/>
              </w:rPr>
              <w:t>odpady</w:t>
            </w:r>
            <w:r w:rsidR="00FB0205">
              <w:rPr>
                <w:sz w:val="20"/>
              </w:rPr>
              <w:t>.</w:t>
            </w:r>
          </w:p>
          <w:p w14:paraId="1CEDDD6E" w14:textId="11842661" w:rsidR="00047BE4" w:rsidRPr="00750A78" w:rsidRDefault="00047BE4" w:rsidP="00FB0205">
            <w:pPr>
              <w:pStyle w:val="Odstavecseseznamem"/>
              <w:numPr>
                <w:ilvl w:val="0"/>
                <w:numId w:val="12"/>
              </w:numPr>
              <w:spacing w:before="0"/>
              <w:ind w:left="175" w:hanging="142"/>
              <w:jc w:val="left"/>
              <w:rPr>
                <w:szCs w:val="24"/>
              </w:rPr>
            </w:pPr>
            <w:r w:rsidRPr="000D6D2F">
              <w:rPr>
                <w:sz w:val="20"/>
              </w:rPr>
              <w:t>Nedostatečná připravenost na čerpání fondů EU a</w:t>
            </w:r>
            <w:r w:rsidR="00FB0205">
              <w:rPr>
                <w:sz w:val="20"/>
              </w:rPr>
              <w:t> </w:t>
            </w:r>
            <w:r w:rsidRPr="000D6D2F">
              <w:rPr>
                <w:sz w:val="20"/>
              </w:rPr>
              <w:t>národních fondů</w:t>
            </w:r>
            <w:r w:rsidR="00FB0205">
              <w:rPr>
                <w:sz w:val="20"/>
              </w:rPr>
              <w:t>.</w:t>
            </w:r>
          </w:p>
        </w:tc>
      </w:tr>
    </w:tbl>
    <w:p w14:paraId="01FBB713" w14:textId="77777777" w:rsidR="00047BE4" w:rsidRDefault="00047BE4" w:rsidP="00047BE4"/>
    <w:tbl>
      <w:tblPr>
        <w:tblStyle w:val="Mkatabulky2"/>
        <w:tblW w:w="0" w:type="auto"/>
        <w:tblLook w:val="04A0" w:firstRow="1" w:lastRow="0" w:firstColumn="1" w:lastColumn="0" w:noHBand="0" w:noVBand="1"/>
      </w:tblPr>
      <w:tblGrid>
        <w:gridCol w:w="4534"/>
        <w:gridCol w:w="4528"/>
      </w:tblGrid>
      <w:tr w:rsidR="00047BE4" w:rsidRPr="00BC1A35" w14:paraId="3897B5E3" w14:textId="77777777" w:rsidTr="00047BE4">
        <w:trPr>
          <w:cantSplit/>
          <w:tblHeader/>
        </w:trPr>
        <w:tc>
          <w:tcPr>
            <w:tcW w:w="4535" w:type="dxa"/>
            <w:shd w:val="clear" w:color="auto" w:fill="F79646"/>
          </w:tcPr>
          <w:p w14:paraId="30AB13D1" w14:textId="77777777" w:rsidR="00047BE4" w:rsidRPr="00BC1A35" w:rsidRDefault="00047BE4" w:rsidP="00047BE4">
            <w:pPr>
              <w:spacing w:before="0"/>
              <w:jc w:val="center"/>
              <w:rPr>
                <w:b/>
                <w:szCs w:val="24"/>
              </w:rPr>
            </w:pPr>
            <w:r w:rsidRPr="00BC1A35">
              <w:rPr>
                <w:b/>
                <w:szCs w:val="24"/>
              </w:rPr>
              <w:lastRenderedPageBreak/>
              <w:t>PŘÍLEŽITOSTI</w:t>
            </w:r>
          </w:p>
        </w:tc>
        <w:tc>
          <w:tcPr>
            <w:tcW w:w="4528" w:type="dxa"/>
            <w:shd w:val="clear" w:color="auto" w:fill="B2A1C7"/>
          </w:tcPr>
          <w:p w14:paraId="2E241072" w14:textId="77777777" w:rsidR="00047BE4" w:rsidRPr="00BC1A35" w:rsidRDefault="00047BE4" w:rsidP="00047BE4">
            <w:pPr>
              <w:spacing w:before="0"/>
              <w:jc w:val="center"/>
              <w:rPr>
                <w:b/>
                <w:szCs w:val="24"/>
              </w:rPr>
            </w:pPr>
            <w:r w:rsidRPr="00BC1A35">
              <w:rPr>
                <w:b/>
                <w:szCs w:val="24"/>
              </w:rPr>
              <w:t>HROZBY</w:t>
            </w:r>
          </w:p>
        </w:tc>
      </w:tr>
      <w:tr w:rsidR="00047BE4" w:rsidRPr="00BC1A35" w14:paraId="36ED0BF9" w14:textId="77777777" w:rsidTr="00047BE4">
        <w:trPr>
          <w:cantSplit/>
          <w:trHeight w:val="4484"/>
        </w:trPr>
        <w:tc>
          <w:tcPr>
            <w:tcW w:w="4535" w:type="dxa"/>
            <w:shd w:val="clear" w:color="auto" w:fill="FEF7CE"/>
          </w:tcPr>
          <w:p w14:paraId="2F29A274" w14:textId="77777777" w:rsidR="00047BE4" w:rsidRPr="00565376" w:rsidRDefault="00047BE4" w:rsidP="00047BE4">
            <w:pPr>
              <w:suppressAutoHyphens/>
              <w:spacing w:before="0"/>
              <w:ind w:left="171"/>
              <w:contextualSpacing/>
              <w:jc w:val="left"/>
              <w:rPr>
                <w:szCs w:val="24"/>
                <w:highlight w:val="yellow"/>
              </w:rPr>
            </w:pPr>
          </w:p>
          <w:p w14:paraId="6B49FF93" w14:textId="42A5A135"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Aktivní prorodinná politika, zatraktivnění města pro mladé</w:t>
            </w:r>
            <w:r w:rsidR="00565376" w:rsidRPr="00565376">
              <w:rPr>
                <w:szCs w:val="24"/>
              </w:rPr>
              <w:t>.</w:t>
            </w:r>
          </w:p>
          <w:p w14:paraId="10DE9687" w14:textId="5E633C0F"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Zajištění dostupného bydlení pro mladé rodiny s</w:t>
            </w:r>
            <w:r w:rsidR="00565376" w:rsidRPr="00565376">
              <w:rPr>
                <w:szCs w:val="24"/>
              </w:rPr>
              <w:t> </w:t>
            </w:r>
            <w:r w:rsidRPr="00565376">
              <w:rPr>
                <w:szCs w:val="24"/>
              </w:rPr>
              <w:t>dětmi</w:t>
            </w:r>
            <w:r w:rsidR="00565376" w:rsidRPr="00565376">
              <w:rPr>
                <w:szCs w:val="24"/>
              </w:rPr>
              <w:t>.</w:t>
            </w:r>
          </w:p>
          <w:p w14:paraId="464170B7" w14:textId="20040489"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Vytvoření podmínek pro dostatečné kapacity sociálních služeb</w:t>
            </w:r>
            <w:r w:rsidR="00565376" w:rsidRPr="00565376">
              <w:rPr>
                <w:szCs w:val="24"/>
              </w:rPr>
              <w:t>.</w:t>
            </w:r>
          </w:p>
          <w:p w14:paraId="578DF4BF" w14:textId="7E13B261"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Spolupráce města a neziskových organizací na zlepšování sociální situace znevýhodněných skupin obyvatel</w:t>
            </w:r>
            <w:r w:rsidR="00565376" w:rsidRPr="00565376">
              <w:rPr>
                <w:szCs w:val="24"/>
              </w:rPr>
              <w:t>.</w:t>
            </w:r>
          </w:p>
          <w:p w14:paraId="7BF31C2C" w14:textId="54AF2A99"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Modernizace zdravotní péče</w:t>
            </w:r>
            <w:r w:rsidR="00565376">
              <w:rPr>
                <w:szCs w:val="24"/>
              </w:rPr>
              <w:t>.</w:t>
            </w:r>
          </w:p>
          <w:p w14:paraId="388CCD8E" w14:textId="0D966CAB"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Nové trendy v chování lidí – zdravý životní styl a</w:t>
            </w:r>
            <w:r w:rsidR="00565376">
              <w:rPr>
                <w:szCs w:val="24"/>
              </w:rPr>
              <w:t> </w:t>
            </w:r>
            <w:r w:rsidRPr="00565376">
              <w:rPr>
                <w:szCs w:val="24"/>
              </w:rPr>
              <w:t>aktivní pohyb všeobecně</w:t>
            </w:r>
            <w:r w:rsidR="00565376">
              <w:rPr>
                <w:szCs w:val="24"/>
              </w:rPr>
              <w:t>.</w:t>
            </w:r>
          </w:p>
          <w:p w14:paraId="0CB686F2" w14:textId="6E3B6E5E"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Využití zkušeností jiných měst pro realizaci nových kulturních a sportovních akcí</w:t>
            </w:r>
            <w:r w:rsidR="00565376">
              <w:rPr>
                <w:szCs w:val="24"/>
              </w:rPr>
              <w:t>.</w:t>
            </w:r>
          </w:p>
          <w:p w14:paraId="5163BAE5" w14:textId="7905F6C5"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Pokračování v revitalizaci sídlišť</w:t>
            </w:r>
            <w:r w:rsidR="00565376">
              <w:t>.</w:t>
            </w:r>
          </w:p>
          <w:p w14:paraId="7A05B9E1" w14:textId="763E467B"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Pokračování v trendu rekultivace parků a</w:t>
            </w:r>
            <w:r w:rsidR="00565376">
              <w:rPr>
                <w:szCs w:val="24"/>
              </w:rPr>
              <w:t> </w:t>
            </w:r>
            <w:r w:rsidRPr="00565376">
              <w:rPr>
                <w:szCs w:val="24"/>
              </w:rPr>
              <w:t>veřejných prostranství i v okrajových částech města</w:t>
            </w:r>
            <w:r w:rsidR="00565376">
              <w:rPr>
                <w:szCs w:val="24"/>
              </w:rPr>
              <w:t>.</w:t>
            </w:r>
          </w:p>
          <w:p w14:paraId="48B8F302" w14:textId="3CA470F9"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Podpora výsadby stromů a zelených ploch v prostoru mezi zástavbou</w:t>
            </w:r>
            <w:r w:rsidR="00565376">
              <w:rPr>
                <w:szCs w:val="24"/>
              </w:rPr>
              <w:t>.</w:t>
            </w:r>
          </w:p>
          <w:p w14:paraId="7A4F80BE" w14:textId="0B8ED8CD"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Adaptační opatření reflektující klimatické změny (zachytávání a využití dešťové vody k ochlazování veřejného prostoru, zelené střechy a stěny)</w:t>
            </w:r>
            <w:r w:rsidR="00565376">
              <w:rPr>
                <w:szCs w:val="24"/>
              </w:rPr>
              <w:t>.</w:t>
            </w:r>
          </w:p>
          <w:p w14:paraId="570B043D" w14:textId="65309B08"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Zlepšení environmentální hodnoty příměstské krajiny, adaptace na klimatickou změnu, podpora realizace protierozních opatření a opatření pro retenci vody v</w:t>
            </w:r>
            <w:r w:rsidR="00565376">
              <w:rPr>
                <w:szCs w:val="24"/>
              </w:rPr>
              <w:t> </w:t>
            </w:r>
            <w:r w:rsidRPr="00565376">
              <w:rPr>
                <w:szCs w:val="24"/>
              </w:rPr>
              <w:t>krajině</w:t>
            </w:r>
            <w:r w:rsidR="00565376">
              <w:rPr>
                <w:szCs w:val="24"/>
              </w:rPr>
              <w:t>.</w:t>
            </w:r>
          </w:p>
          <w:p w14:paraId="5CAE84E1" w14:textId="14B85E5F"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rPr>
                <w:szCs w:val="24"/>
              </w:rPr>
              <w:t>Snížení intenzity dopravy v centru města</w:t>
            </w:r>
            <w:r w:rsidR="00565376">
              <w:rPr>
                <w:szCs w:val="24"/>
              </w:rPr>
              <w:t>.</w:t>
            </w:r>
          </w:p>
          <w:p w14:paraId="2E2C9B15" w14:textId="00091B89"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Snížení světelného znečištění</w:t>
            </w:r>
            <w:r w:rsidR="00565376">
              <w:t>.</w:t>
            </w:r>
            <w:r w:rsidRPr="00565376">
              <w:t xml:space="preserve"> </w:t>
            </w:r>
          </w:p>
          <w:p w14:paraId="00464B53" w14:textId="78721302"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Realizace projektů pro zvýšení atraktivity města</w:t>
            </w:r>
            <w:r w:rsidR="00565376">
              <w:t>.</w:t>
            </w:r>
          </w:p>
          <w:p w14:paraId="23C468B3" w14:textId="4B50356E"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Úspora energie ve veřejných městských budovách</w:t>
            </w:r>
            <w:r w:rsidR="00565376">
              <w:t>.</w:t>
            </w:r>
          </w:p>
          <w:p w14:paraId="40F161B0" w14:textId="5F1E8E42"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Podpora udržitelné mobility</w:t>
            </w:r>
            <w:r w:rsidR="00565376">
              <w:t>.</w:t>
            </w:r>
          </w:p>
          <w:p w14:paraId="073D69D1" w14:textId="324456E4"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Rozvoj SMART řešení v oblasti životního prostředí</w:t>
            </w:r>
            <w:r w:rsidR="00565376">
              <w:t>.</w:t>
            </w:r>
          </w:p>
          <w:p w14:paraId="5A113856" w14:textId="02C6254D"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Využití potenciálu studentů i absolventů UTB pro další rozvoj města</w:t>
            </w:r>
            <w:r w:rsidR="00565376">
              <w:t>.</w:t>
            </w:r>
          </w:p>
          <w:p w14:paraId="61AB2B09" w14:textId="06919E7E" w:rsidR="00047BE4" w:rsidRPr="00565376" w:rsidRDefault="00047BE4" w:rsidP="00047BE4">
            <w:pPr>
              <w:pStyle w:val="Odstavecseseznamem"/>
              <w:numPr>
                <w:ilvl w:val="0"/>
                <w:numId w:val="12"/>
              </w:numPr>
              <w:suppressAutoHyphens/>
              <w:spacing w:before="0" w:after="160"/>
              <w:ind w:left="171" w:hanging="142"/>
              <w:jc w:val="left"/>
              <w:rPr>
                <w:szCs w:val="24"/>
              </w:rPr>
            </w:pPr>
            <w:r w:rsidRPr="00565376">
              <w:t>Podpora infrastruktury přívětivé k rodinám s dětmi (snižování bariér)</w:t>
            </w:r>
            <w:r w:rsidR="00565376">
              <w:t>.</w:t>
            </w:r>
          </w:p>
        </w:tc>
        <w:tc>
          <w:tcPr>
            <w:tcW w:w="4528" w:type="dxa"/>
            <w:shd w:val="clear" w:color="auto" w:fill="E5DFEC"/>
          </w:tcPr>
          <w:p w14:paraId="7E9ED268" w14:textId="77777777" w:rsidR="00047BE4" w:rsidRPr="007C6AE7" w:rsidRDefault="00047BE4" w:rsidP="00047BE4">
            <w:pPr>
              <w:suppressAutoHyphens/>
              <w:spacing w:before="0"/>
              <w:ind w:left="173"/>
              <w:contextualSpacing/>
              <w:jc w:val="left"/>
              <w:rPr>
                <w:szCs w:val="24"/>
              </w:rPr>
            </w:pPr>
          </w:p>
          <w:p w14:paraId="2DFACD54" w14:textId="2E77DB40" w:rsidR="00047BE4" w:rsidRDefault="00047BE4" w:rsidP="00047BE4">
            <w:pPr>
              <w:numPr>
                <w:ilvl w:val="0"/>
                <w:numId w:val="13"/>
              </w:numPr>
              <w:suppressAutoHyphens/>
              <w:spacing w:before="0"/>
              <w:ind w:left="173" w:hanging="173"/>
              <w:contextualSpacing/>
              <w:jc w:val="left"/>
              <w:rPr>
                <w:szCs w:val="24"/>
              </w:rPr>
            </w:pPr>
            <w:r>
              <w:rPr>
                <w:szCs w:val="24"/>
              </w:rPr>
              <w:t>Zastarávání bytového fondu ve vlastnictví města vedoucí k nízké kvalitě bydlení</w:t>
            </w:r>
            <w:r>
              <w:t>, k haváriím rozvodů</w:t>
            </w:r>
            <w:r>
              <w:rPr>
                <w:szCs w:val="24"/>
              </w:rPr>
              <w:t xml:space="preserve"> a</w:t>
            </w:r>
            <w:r w:rsidR="00565376">
              <w:rPr>
                <w:szCs w:val="24"/>
              </w:rPr>
              <w:t> </w:t>
            </w:r>
            <w:r>
              <w:rPr>
                <w:szCs w:val="24"/>
              </w:rPr>
              <w:t>nízké atraktivitě</w:t>
            </w:r>
            <w:r w:rsidR="00565376">
              <w:rPr>
                <w:szCs w:val="24"/>
              </w:rPr>
              <w:t>.</w:t>
            </w:r>
          </w:p>
          <w:p w14:paraId="09A3D893" w14:textId="32386873" w:rsidR="00047BE4" w:rsidRDefault="00047BE4" w:rsidP="00047BE4">
            <w:pPr>
              <w:numPr>
                <w:ilvl w:val="0"/>
                <w:numId w:val="13"/>
              </w:numPr>
              <w:suppressAutoHyphens/>
              <w:spacing w:before="0"/>
              <w:ind w:left="173" w:hanging="173"/>
              <w:contextualSpacing/>
              <w:jc w:val="left"/>
              <w:rPr>
                <w:szCs w:val="24"/>
              </w:rPr>
            </w:pPr>
            <w:r>
              <w:rPr>
                <w:szCs w:val="24"/>
              </w:rPr>
              <w:t>Na trend stárnutí populace nebude reagováno odpovídajícím způsobem, nebudou zajištěny dostatečné kapacity sociálních služeb pro seniory</w:t>
            </w:r>
            <w:r w:rsidR="00565376">
              <w:rPr>
                <w:szCs w:val="24"/>
              </w:rPr>
              <w:t>.</w:t>
            </w:r>
          </w:p>
          <w:p w14:paraId="6DB836B2" w14:textId="1729592C" w:rsidR="00047BE4" w:rsidRDefault="00047BE4" w:rsidP="00047BE4">
            <w:pPr>
              <w:numPr>
                <w:ilvl w:val="0"/>
                <w:numId w:val="13"/>
              </w:numPr>
              <w:suppressAutoHyphens/>
              <w:spacing w:before="0"/>
              <w:ind w:left="173" w:hanging="173"/>
              <w:contextualSpacing/>
              <w:jc w:val="left"/>
              <w:rPr>
                <w:szCs w:val="24"/>
              </w:rPr>
            </w:pPr>
            <w:r>
              <w:rPr>
                <w:szCs w:val="24"/>
              </w:rPr>
              <w:t>Nízká úroveň podpory sociálně znevýhodněných obyvatel vedoucí k jejich sociálnímu vyloučení</w:t>
            </w:r>
            <w:r w:rsidR="00565376">
              <w:rPr>
                <w:szCs w:val="24"/>
              </w:rPr>
              <w:t>.</w:t>
            </w:r>
          </w:p>
          <w:p w14:paraId="4F174CD0" w14:textId="390BDCFB" w:rsidR="00047BE4" w:rsidRDefault="00047BE4" w:rsidP="00047BE4">
            <w:pPr>
              <w:numPr>
                <w:ilvl w:val="0"/>
                <w:numId w:val="13"/>
              </w:numPr>
              <w:suppressAutoHyphens/>
              <w:spacing w:before="0"/>
              <w:ind w:left="173" w:hanging="173"/>
              <w:contextualSpacing/>
              <w:jc w:val="left"/>
              <w:rPr>
                <w:szCs w:val="24"/>
              </w:rPr>
            </w:pPr>
            <w:r>
              <w:rPr>
                <w:szCs w:val="24"/>
              </w:rPr>
              <w:t>Nedostatek zdravotnického personálu vedoucí k omezení služeb</w:t>
            </w:r>
            <w:r w:rsidR="00565376">
              <w:rPr>
                <w:szCs w:val="24"/>
              </w:rPr>
              <w:t>.</w:t>
            </w:r>
          </w:p>
          <w:p w14:paraId="4BEAB508" w14:textId="284EAFD2" w:rsidR="00047BE4" w:rsidRDefault="00047BE4" w:rsidP="00047BE4">
            <w:pPr>
              <w:pStyle w:val="Odstavecseseznamem"/>
              <w:numPr>
                <w:ilvl w:val="0"/>
                <w:numId w:val="13"/>
              </w:numPr>
              <w:suppressAutoHyphens/>
              <w:spacing w:before="0" w:after="160"/>
              <w:ind w:left="173" w:hanging="173"/>
              <w:jc w:val="left"/>
              <w:rPr>
                <w:szCs w:val="24"/>
              </w:rPr>
            </w:pPr>
            <w:r>
              <w:rPr>
                <w:szCs w:val="24"/>
              </w:rPr>
              <w:t>Nedostatečná pohybová aktivita dětí</w:t>
            </w:r>
            <w:r w:rsidR="00565376">
              <w:rPr>
                <w:szCs w:val="24"/>
              </w:rPr>
              <w:t>.</w:t>
            </w:r>
          </w:p>
          <w:p w14:paraId="062FDC36" w14:textId="2BBA140B" w:rsidR="00047BE4" w:rsidRDefault="00047BE4" w:rsidP="00047BE4">
            <w:pPr>
              <w:pStyle w:val="Odstavecseseznamem"/>
              <w:numPr>
                <w:ilvl w:val="0"/>
                <w:numId w:val="13"/>
              </w:numPr>
              <w:suppressAutoHyphens/>
              <w:spacing w:before="0" w:after="160"/>
              <w:ind w:left="173" w:hanging="173"/>
              <w:jc w:val="left"/>
              <w:rPr>
                <w:szCs w:val="24"/>
              </w:rPr>
            </w:pPr>
            <w:r>
              <w:rPr>
                <w:szCs w:val="24"/>
              </w:rPr>
              <w:t>Krácení veřejných zdrojů pro kulturní, sportovní i</w:t>
            </w:r>
            <w:r w:rsidR="00565376">
              <w:rPr>
                <w:szCs w:val="24"/>
              </w:rPr>
              <w:t> </w:t>
            </w:r>
            <w:r>
              <w:rPr>
                <w:szCs w:val="24"/>
              </w:rPr>
              <w:t>volnočasové aktivity</w:t>
            </w:r>
            <w:r w:rsidR="00565376">
              <w:rPr>
                <w:szCs w:val="24"/>
              </w:rPr>
              <w:t>.</w:t>
            </w:r>
          </w:p>
          <w:p w14:paraId="751FB119" w14:textId="7A70C79E" w:rsidR="00047BE4" w:rsidRDefault="00047BE4" w:rsidP="00047BE4">
            <w:pPr>
              <w:pStyle w:val="Odstavecseseznamem"/>
              <w:numPr>
                <w:ilvl w:val="0"/>
                <w:numId w:val="13"/>
              </w:numPr>
              <w:suppressAutoHyphens/>
              <w:spacing w:before="0" w:after="160"/>
              <w:ind w:left="173" w:hanging="173"/>
              <w:jc w:val="left"/>
              <w:rPr>
                <w:szCs w:val="24"/>
              </w:rPr>
            </w:pPr>
            <w:r>
              <w:rPr>
                <w:szCs w:val="24"/>
              </w:rPr>
              <w:t>Nedostatečné kulturní a sportovní vyžití města ve srovnání s jinými městy</w:t>
            </w:r>
            <w:r w:rsidR="00565376">
              <w:rPr>
                <w:szCs w:val="24"/>
              </w:rPr>
              <w:t>.</w:t>
            </w:r>
          </w:p>
          <w:p w14:paraId="5BD9EFBC" w14:textId="53A6FF6B" w:rsidR="00047BE4" w:rsidRDefault="00047BE4" w:rsidP="00047BE4">
            <w:pPr>
              <w:pStyle w:val="Odstavecseseznamem"/>
              <w:numPr>
                <w:ilvl w:val="0"/>
                <w:numId w:val="13"/>
              </w:numPr>
              <w:suppressAutoHyphens/>
              <w:spacing w:before="0" w:after="160"/>
              <w:ind w:left="173" w:hanging="173"/>
              <w:jc w:val="left"/>
              <w:rPr>
                <w:szCs w:val="24"/>
              </w:rPr>
            </w:pPr>
            <w:r w:rsidRPr="00143C0B">
              <w:rPr>
                <w:szCs w:val="24"/>
              </w:rPr>
              <w:t>Zhoršení stavu památek a nedostatek finančních prostředků (např. z důvodu nezískání dotací a grantů od kraje, státu, popř. z EU) na jejich údržbu a provoz)</w:t>
            </w:r>
            <w:r w:rsidR="00565376">
              <w:rPr>
                <w:szCs w:val="24"/>
              </w:rPr>
              <w:t>.</w:t>
            </w:r>
          </w:p>
          <w:p w14:paraId="52CEEF9D" w14:textId="48A19200" w:rsidR="00047BE4" w:rsidRPr="00A15A0E" w:rsidRDefault="00047BE4" w:rsidP="00047BE4">
            <w:pPr>
              <w:pStyle w:val="Odstavecseseznamem"/>
              <w:numPr>
                <w:ilvl w:val="0"/>
                <w:numId w:val="13"/>
              </w:numPr>
              <w:suppressAutoHyphens/>
              <w:spacing w:before="0" w:after="160"/>
              <w:ind w:left="173" w:hanging="173"/>
              <w:jc w:val="left"/>
              <w:rPr>
                <w:szCs w:val="24"/>
              </w:rPr>
            </w:pPr>
            <w:r w:rsidRPr="00A15A0E">
              <w:rPr>
                <w:szCs w:val="24"/>
              </w:rPr>
              <w:t>Zhoršení péče o veřejnou zeleň</w:t>
            </w:r>
            <w:r w:rsidR="00565376">
              <w:rPr>
                <w:szCs w:val="24"/>
              </w:rPr>
              <w:t>.</w:t>
            </w:r>
          </w:p>
          <w:p w14:paraId="67CB3E96" w14:textId="4BB0697C" w:rsidR="00047BE4" w:rsidRDefault="00047BE4" w:rsidP="00047BE4">
            <w:pPr>
              <w:pStyle w:val="Odstavecseseznamem"/>
              <w:numPr>
                <w:ilvl w:val="0"/>
                <w:numId w:val="13"/>
              </w:numPr>
              <w:suppressAutoHyphens/>
              <w:spacing w:before="0" w:after="160"/>
              <w:ind w:left="173" w:hanging="173"/>
              <w:jc w:val="left"/>
              <w:rPr>
                <w:szCs w:val="24"/>
              </w:rPr>
            </w:pPr>
            <w:r w:rsidRPr="00A15A0E">
              <w:rPr>
                <w:szCs w:val="24"/>
              </w:rPr>
              <w:t>Zanedbání opatření zmírňujících vlivy klimatické změny, zhoršení kvality života v</w:t>
            </w:r>
            <w:r w:rsidR="00565376">
              <w:rPr>
                <w:szCs w:val="24"/>
              </w:rPr>
              <w:t> </w:t>
            </w:r>
            <w:r w:rsidRPr="00A15A0E">
              <w:rPr>
                <w:szCs w:val="24"/>
              </w:rPr>
              <w:t>sídlištích</w:t>
            </w:r>
            <w:r w:rsidR="00565376">
              <w:rPr>
                <w:szCs w:val="24"/>
              </w:rPr>
              <w:t>.</w:t>
            </w:r>
          </w:p>
          <w:p w14:paraId="7B2CF78D" w14:textId="49CB8AAB" w:rsidR="00047BE4" w:rsidRDefault="00047BE4" w:rsidP="00047BE4">
            <w:pPr>
              <w:pStyle w:val="Odstavecseseznamem"/>
              <w:numPr>
                <w:ilvl w:val="0"/>
                <w:numId w:val="13"/>
              </w:numPr>
              <w:suppressAutoHyphens/>
              <w:spacing w:before="0" w:after="160"/>
              <w:ind w:left="173" w:hanging="173"/>
              <w:jc w:val="left"/>
              <w:rPr>
                <w:szCs w:val="24"/>
              </w:rPr>
            </w:pPr>
            <w:r>
              <w:rPr>
                <w:szCs w:val="24"/>
              </w:rPr>
              <w:t>Nepřipravenost města na požadavky nové legislativy v odpadovém hospodářství</w:t>
            </w:r>
            <w:r w:rsidR="00565376">
              <w:rPr>
                <w:szCs w:val="24"/>
              </w:rPr>
              <w:t>.</w:t>
            </w:r>
          </w:p>
          <w:p w14:paraId="0721CE1E" w14:textId="77777777" w:rsidR="00047BE4" w:rsidRPr="00143C0B" w:rsidRDefault="00047BE4" w:rsidP="00047BE4">
            <w:pPr>
              <w:pStyle w:val="Odstavecseseznamem"/>
              <w:suppressAutoHyphens/>
              <w:spacing w:before="0" w:after="160"/>
              <w:ind w:left="173"/>
              <w:jc w:val="left"/>
              <w:rPr>
                <w:szCs w:val="24"/>
              </w:rPr>
            </w:pPr>
          </w:p>
        </w:tc>
      </w:tr>
    </w:tbl>
    <w:p w14:paraId="3EF11657" w14:textId="77777777" w:rsidR="00047BE4" w:rsidRPr="001A50BE" w:rsidRDefault="00047BE4" w:rsidP="00047BE4"/>
    <w:p w14:paraId="41F2DB00" w14:textId="2DCC57B1" w:rsidR="00047BE4" w:rsidRDefault="00047BE4">
      <w:pPr>
        <w:spacing w:before="0" w:after="160" w:line="259" w:lineRule="auto"/>
        <w:jc w:val="left"/>
      </w:pPr>
      <w:r>
        <w:br w:type="page"/>
      </w:r>
    </w:p>
    <w:p w14:paraId="4B931042" w14:textId="72BD9529" w:rsidR="00BB4766" w:rsidRDefault="00BB4766" w:rsidP="00BB4766">
      <w:pPr>
        <w:pStyle w:val="Nadpis2"/>
      </w:pPr>
      <w:bookmarkStart w:id="236" w:name="_Toc52885973"/>
      <w:bookmarkStart w:id="237" w:name="_Toc77074583"/>
      <w:bookmarkEnd w:id="56"/>
      <w:r w:rsidRPr="00712B21">
        <w:lastRenderedPageBreak/>
        <w:t>Město přívětivé pro vzdělá</w:t>
      </w:r>
      <w:r w:rsidR="00757ADA">
        <w:t>vá</w:t>
      </w:r>
      <w:r w:rsidRPr="00712B21">
        <w:t>ní a rozvoj znalostí</w:t>
      </w:r>
      <w:bookmarkEnd w:id="236"/>
      <w:bookmarkEnd w:id="237"/>
      <w:r>
        <w:t xml:space="preserve"> </w:t>
      </w:r>
    </w:p>
    <w:p w14:paraId="63E38E6A" w14:textId="77777777" w:rsidR="00BB4766" w:rsidRDefault="00BB4766" w:rsidP="00BB4766">
      <w:r>
        <w:t>Vzdělávání je klíčovým prvkem rozvoje města z pohledu posilování společenského a ekonomického rozvoje. Vzdělání a následné uplatnění mladých lidí na trhu práce se stále více dostává do popředí zájmu široké odborné veřejnosti ve všech evropských zemích. Vzdělávání, nové poznatky, vysoká kvalifikace jsou zdrojem růstu produktivity práce a konkurenceschopnosti.</w:t>
      </w:r>
    </w:p>
    <w:p w14:paraId="2BDB5B91" w14:textId="1D40429D" w:rsidR="00BB4766" w:rsidRDefault="00BB4766" w:rsidP="00BB4766">
      <w:pPr>
        <w:rPr>
          <w:color w:val="000000"/>
        </w:rPr>
      </w:pPr>
      <w:r>
        <w:rPr>
          <w:rFonts w:ascii="Calibri" w:hAnsi="Calibri"/>
          <w:color w:val="000000"/>
        </w:rPr>
        <w:t xml:space="preserve">Dle zákona </w:t>
      </w:r>
      <w:r>
        <w:t xml:space="preserve">č. 561/2004 Sb., o předškolním, základním, středním, vyšším odborném a jiném vzdělávání (školský zákon), ve znění pozdějších předpisů je úkolem </w:t>
      </w:r>
      <w:r w:rsidRPr="008460AF">
        <w:rPr>
          <w:rFonts w:ascii="Calibri" w:hAnsi="Calibri"/>
          <w:color w:val="000000"/>
        </w:rPr>
        <w:t>obc</w:t>
      </w:r>
      <w:r w:rsidR="00565376">
        <w:rPr>
          <w:rFonts w:ascii="Calibri" w:hAnsi="Calibri"/>
          <w:color w:val="000000"/>
        </w:rPr>
        <w:t>e</w:t>
      </w:r>
      <w:r w:rsidRPr="008460AF">
        <w:rPr>
          <w:rFonts w:ascii="Calibri" w:hAnsi="Calibri"/>
          <w:color w:val="000000"/>
        </w:rPr>
        <w:t xml:space="preserve"> a kraj</w:t>
      </w:r>
      <w:r>
        <w:rPr>
          <w:rFonts w:ascii="Calibri" w:hAnsi="Calibri"/>
          <w:color w:val="000000"/>
        </w:rPr>
        <w:t>e</w:t>
      </w:r>
      <w:r w:rsidRPr="008460AF">
        <w:rPr>
          <w:rFonts w:ascii="Calibri" w:hAnsi="Calibri"/>
          <w:color w:val="000000"/>
        </w:rPr>
        <w:t xml:space="preserve"> </w:t>
      </w:r>
      <w:r>
        <w:rPr>
          <w:rFonts w:ascii="Calibri" w:hAnsi="Calibri"/>
          <w:color w:val="000000"/>
        </w:rPr>
        <w:t xml:space="preserve">dbát </w:t>
      </w:r>
      <w:r w:rsidRPr="008460AF">
        <w:rPr>
          <w:rFonts w:ascii="Calibri" w:hAnsi="Calibri"/>
          <w:color w:val="000000"/>
        </w:rPr>
        <w:t>zejména</w:t>
      </w:r>
      <w:r>
        <w:rPr>
          <w:rFonts w:ascii="Calibri" w:hAnsi="Calibri"/>
          <w:color w:val="000000"/>
        </w:rPr>
        <w:t xml:space="preserve"> na </w:t>
      </w:r>
      <w:r w:rsidRPr="008460AF">
        <w:rPr>
          <w:rFonts w:ascii="Calibri" w:hAnsi="Calibri"/>
          <w:color w:val="000000"/>
        </w:rPr>
        <w:t>soulad rozvoje vzdělávání a školských služeb se zájmy občanů obce a kraje, s potřebami trhu práce, s demografickým</w:t>
      </w:r>
      <w:r>
        <w:rPr>
          <w:rFonts w:ascii="Calibri" w:hAnsi="Calibri"/>
          <w:color w:val="000000"/>
        </w:rPr>
        <w:t xml:space="preserve"> vývojem a rozvojem svého území, a o</w:t>
      </w:r>
      <w:r w:rsidRPr="008460AF">
        <w:rPr>
          <w:rFonts w:ascii="Calibri" w:hAnsi="Calibri"/>
          <w:color w:val="000000"/>
        </w:rPr>
        <w:t xml:space="preserve"> dostupnost vzdělávání a školských služeb podle místních podmínek</w:t>
      </w:r>
      <w:r>
        <w:rPr>
          <w:color w:val="000000"/>
        </w:rPr>
        <w:t>.</w:t>
      </w:r>
    </w:p>
    <w:p w14:paraId="19548219" w14:textId="6A3088EA" w:rsidR="00BB4766" w:rsidRPr="00FD1415" w:rsidRDefault="00BB4766" w:rsidP="00BB4766">
      <w:pPr>
        <w:rPr>
          <w:color w:val="000000"/>
        </w:rPr>
      </w:pPr>
      <w:r>
        <w:rPr>
          <w:color w:val="000000"/>
        </w:rPr>
        <w:t xml:space="preserve">Ve Zlíně je </w:t>
      </w:r>
      <w:r>
        <w:t xml:space="preserve">významným </w:t>
      </w:r>
      <w:r w:rsidRPr="00FD1415">
        <w:t>odkaz</w:t>
      </w:r>
      <w:r>
        <w:t>em vzdělávací systém</w:t>
      </w:r>
      <w:r w:rsidRPr="00FD1415">
        <w:t xml:space="preserve"> fy Baťa</w:t>
      </w:r>
      <w:r>
        <w:t>, na který se ve městě může navázat.</w:t>
      </w:r>
      <w:r w:rsidRPr="00FD1415">
        <w:t xml:space="preserve"> </w:t>
      </w:r>
      <w:r>
        <w:t>V</w:t>
      </w:r>
      <w:r w:rsidR="00565376">
        <w:t> </w:t>
      </w:r>
      <w:r>
        <w:t>Baťově systému, sociálním konceptu reformy života, výroby a podnikání, hrála otázka formování člověka významnou úlohu. Základním prvkem jeho filozofie se stalo „budování člověka“, člověka, který tvoří, přemýšlí nad prací a má radost z dosažených výsledků.</w:t>
      </w:r>
      <w:r>
        <w:rPr>
          <w:rStyle w:val="Znakapoznpodarou"/>
        </w:rPr>
        <w:footnoteReference w:id="52"/>
      </w:r>
      <w:r>
        <w:t xml:space="preserve"> Z tohoto důvodu kladl velký důraz na rozšiřování jeho znalostí a rozvoj jeho dovedností při profesním vzdělávání, ale podstatný pro něj byl i</w:t>
      </w:r>
      <w:r w:rsidR="00565376">
        <w:t> </w:t>
      </w:r>
      <w:r>
        <w:t>všeobecný rozhled.  Otázka přijetí norem, změn chování jedince a jeho postojů byla pro úspěšné prosazení batismu klíčová. Baťovo jednání vycházelo z pragmatismu. Z jeho pohledu byla žádoucí transformace didaktických přístupů ve vzdělávání, orientujících se do té doby spíše na teoretické vzdělávání, v přístupy praktické, orientované na kritické porozumění, dovednosti, individuální i</w:t>
      </w:r>
      <w:r w:rsidR="00565376">
        <w:t> </w:t>
      </w:r>
      <w:r>
        <w:t>týmovou seberealizaci a hlubší pochopení objektivních podmínek společenského a pracovního života.</w:t>
      </w:r>
      <w:r>
        <w:rPr>
          <w:rStyle w:val="Znakapoznpodarou"/>
        </w:rPr>
        <w:footnoteReference w:id="53"/>
      </w:r>
      <w:r>
        <w:t xml:space="preserve"> Baťův vzdělávací systém se vyznačoval jednoduchostí, přísnou praktičností a naprostou účelovostí, obsahoval motivaci a soutěživost.</w:t>
      </w:r>
    </w:p>
    <w:p w14:paraId="5A0FCA4E" w14:textId="77777777" w:rsidR="00BB4766" w:rsidRDefault="00BB4766" w:rsidP="00BB4766">
      <w:r>
        <w:t>Vybrané přístupy, na kterých bylo baťovské školství založeno:</w:t>
      </w:r>
    </w:p>
    <w:p w14:paraId="2AD0E848" w14:textId="77777777" w:rsidR="00BB4766" w:rsidRDefault="00BB4766" w:rsidP="00BB4766">
      <w:pPr>
        <w:pStyle w:val="Odstavecseseznamem"/>
        <w:numPr>
          <w:ilvl w:val="0"/>
          <w:numId w:val="32"/>
        </w:numPr>
      </w:pPr>
      <w:r>
        <w:t>stavět žáka do popředí pedagogického procesu – práce školy měla vycházet z výkonu žáka (individuální přístup),</w:t>
      </w:r>
    </w:p>
    <w:p w14:paraId="2B6BD2BF" w14:textId="77777777" w:rsidR="00BB4766" w:rsidRDefault="00BB4766" w:rsidP="00BB4766">
      <w:pPr>
        <w:pStyle w:val="Odstavecseseznamem"/>
        <w:numPr>
          <w:ilvl w:val="0"/>
          <w:numId w:val="32"/>
        </w:numPr>
      </w:pPr>
      <w:r>
        <w:t>diferencovat žáky na základě svých schopností a dovedností – poskytnout příležitost pro všechny děti podle nadání,</w:t>
      </w:r>
    </w:p>
    <w:p w14:paraId="6280B2E4" w14:textId="77777777" w:rsidR="00BB4766" w:rsidRDefault="00BB4766" w:rsidP="00BB4766">
      <w:pPr>
        <w:pStyle w:val="Odstavecseseznamem"/>
        <w:numPr>
          <w:ilvl w:val="0"/>
          <w:numId w:val="32"/>
        </w:numPr>
      </w:pPr>
      <w:r>
        <w:t>redukovat předimenzované učební plány podružnými informacemi, zatěžující jak žáka, tak učitele a orientovat se na podstatné základní informace, které mohou žáci uplatnit ve svém životě,</w:t>
      </w:r>
    </w:p>
    <w:p w14:paraId="7E5BB5EF" w14:textId="77777777" w:rsidR="00BB4766" w:rsidRDefault="00BB4766" w:rsidP="00BB4766">
      <w:pPr>
        <w:pStyle w:val="Odstavecseseznamem"/>
        <w:numPr>
          <w:ilvl w:val="0"/>
          <w:numId w:val="32"/>
        </w:numPr>
      </w:pPr>
      <w:r>
        <w:t>přiblížit vyučování co nejvíce životu a při výuce používat příkladů z praxe - praktická výuka doplněna mimoškolními, zejména sportovními a kulturními aktivitami,</w:t>
      </w:r>
    </w:p>
    <w:p w14:paraId="1F5F7B40" w14:textId="77777777" w:rsidR="00BB4766" w:rsidRDefault="00BB4766" w:rsidP="00BB4766">
      <w:pPr>
        <w:pStyle w:val="Odstavecseseznamem"/>
        <w:numPr>
          <w:ilvl w:val="0"/>
          <w:numId w:val="32"/>
        </w:numPr>
      </w:pPr>
      <w:r>
        <w:t>klást důraz na rozvoj kompetencí – samostatně se rozhodovat, nést zodpovědnost, spolupracovat, rozvíjet přirozenou zvídavost a podnikavost,</w:t>
      </w:r>
    </w:p>
    <w:p w14:paraId="2D080F9B" w14:textId="77777777" w:rsidR="00BB4766" w:rsidRDefault="00BB4766" w:rsidP="00BB4766">
      <w:pPr>
        <w:pStyle w:val="Odstavecseseznamem"/>
        <w:numPr>
          <w:ilvl w:val="0"/>
          <w:numId w:val="32"/>
        </w:numPr>
      </w:pPr>
      <w:r>
        <w:t>vytvářet podmínky pro výuku cizích jazyků.</w:t>
      </w:r>
    </w:p>
    <w:p w14:paraId="294B807B" w14:textId="77777777" w:rsidR="00BB4766" w:rsidRPr="00E842E1" w:rsidRDefault="00BB4766" w:rsidP="00BB4766">
      <w:r>
        <w:t>Pro naplnění této filozofie bylo zapotřebí vnitřní diferenciace činnosti a organizace školy – vytvoření nových osnov učiva, nastavení nových učebních postupů a metod, přizpůsobení materiálního vybavení, změna organizačního schématu školy apod.</w:t>
      </w:r>
    </w:p>
    <w:p w14:paraId="41C7E771" w14:textId="77777777" w:rsidR="00BB4766" w:rsidRDefault="00BB4766" w:rsidP="00BB4766">
      <w:pPr>
        <w:pStyle w:val="Nadpis3"/>
        <w:ind w:left="720"/>
      </w:pPr>
      <w:bookmarkStart w:id="238" w:name="_Toc52885974"/>
      <w:bookmarkStart w:id="239" w:name="_Toc77074584"/>
      <w:r>
        <w:t>Nabídka vzdělávacích služeb na území města Zlína</w:t>
      </w:r>
      <w:bookmarkEnd w:id="238"/>
      <w:bookmarkEnd w:id="239"/>
      <w:r>
        <w:t xml:space="preserve"> </w:t>
      </w:r>
    </w:p>
    <w:p w14:paraId="2D06AD4C" w14:textId="46FE9776" w:rsidR="00BB4766" w:rsidRDefault="00BB4766" w:rsidP="00BB4766">
      <w:r>
        <w:t>Následující podkapitoly nabízí základní charakteristiky jednotlivých úrovní vzdělávání a přehled nabízených služeb v oblasti vzdělá</w:t>
      </w:r>
      <w:r w:rsidR="00757ADA">
        <w:t>vá</w:t>
      </w:r>
      <w:r>
        <w:t xml:space="preserve">ní na území města Zlín. </w:t>
      </w:r>
      <w:r w:rsidRPr="00494EFD">
        <w:rPr>
          <w:shd w:val="clear" w:color="auto" w:fill="FFFFFF" w:themeFill="background1"/>
        </w:rPr>
        <w:t xml:space="preserve">Údaje vychází primárně z dat poskytnutých </w:t>
      </w:r>
      <w:r w:rsidRPr="005D300A">
        <w:rPr>
          <w:shd w:val="clear" w:color="auto" w:fill="FFFFFF" w:themeFill="background1"/>
        </w:rPr>
        <w:t>Odborem školství</w:t>
      </w:r>
      <w:r w:rsidRPr="00494EFD">
        <w:rPr>
          <w:shd w:val="clear" w:color="auto" w:fill="FFFFFF" w:themeFill="background1"/>
        </w:rPr>
        <w:t>, z informací uvedených v</w:t>
      </w:r>
      <w:r>
        <w:rPr>
          <w:shd w:val="clear" w:color="auto" w:fill="FFFFFF" w:themeFill="background1"/>
        </w:rPr>
        <w:t xml:space="preserve"> analytické části </w:t>
      </w:r>
      <w:r w:rsidRPr="00494EFD">
        <w:rPr>
          <w:shd w:val="clear" w:color="auto" w:fill="FFFFFF" w:themeFill="background1"/>
        </w:rPr>
        <w:t>Koncepc</w:t>
      </w:r>
      <w:r>
        <w:rPr>
          <w:shd w:val="clear" w:color="auto" w:fill="FFFFFF" w:themeFill="background1"/>
        </w:rPr>
        <w:t>e</w:t>
      </w:r>
      <w:r w:rsidRPr="00494EFD">
        <w:rPr>
          <w:shd w:val="clear" w:color="auto" w:fill="FFFFFF" w:themeFill="background1"/>
        </w:rPr>
        <w:t xml:space="preserve"> rozvoje školství statutárního města Zlína na období let 2021 – 2027 a na webových stránkách města Zlín</w:t>
      </w:r>
      <w:r>
        <w:rPr>
          <w:shd w:val="clear" w:color="auto" w:fill="FFFFFF" w:themeFill="background1"/>
        </w:rPr>
        <w:t>, následně z dalších zdrojů</w:t>
      </w:r>
      <w:r w:rsidRPr="00494EFD">
        <w:rPr>
          <w:shd w:val="clear" w:color="auto" w:fill="FFFFFF" w:themeFill="background1"/>
        </w:rPr>
        <w:t>.</w:t>
      </w:r>
    </w:p>
    <w:p w14:paraId="74330EE1" w14:textId="77777777" w:rsidR="00BB4766" w:rsidRDefault="00BB4766" w:rsidP="00BB4766">
      <w:r w:rsidRPr="00494EFD">
        <w:rPr>
          <w:b/>
        </w:rPr>
        <w:lastRenderedPageBreak/>
        <w:t>Koncepce rozvoje školství statutárního města Zlína na období let 2021 – 2027</w:t>
      </w:r>
      <w:r w:rsidRPr="00E06929">
        <w:t xml:space="preserve"> </w:t>
      </w:r>
      <w:r>
        <w:t>reaguje na důsledky demografického vývoje a snaží se přispět k dosažení vyšší efektivity a kvality zlínského školství.</w:t>
      </w:r>
    </w:p>
    <w:p w14:paraId="65CEB882" w14:textId="77777777" w:rsidR="00BB4766" w:rsidRDefault="00BB4766" w:rsidP="00BB4766">
      <w:pPr>
        <w:pStyle w:val="Nadpis4"/>
      </w:pPr>
      <w:r>
        <w:t xml:space="preserve">Předškolní vzdělávání </w:t>
      </w:r>
    </w:p>
    <w:p w14:paraId="46894D49" w14:textId="77777777" w:rsidR="00BB4766" w:rsidRDefault="00BB4766" w:rsidP="00BB4766">
      <w:r>
        <w:t xml:space="preserve">Na území města Zlín je předškolní vzdělávání zajišťováno celkem </w:t>
      </w:r>
      <w:r w:rsidRPr="007435AC">
        <w:t>22</w:t>
      </w:r>
      <w:r>
        <w:t xml:space="preserve"> mateřskými školami zřizovaných městem a 20 mateřskými školami zřizovaných jiným subjektem. </w:t>
      </w:r>
    </w:p>
    <w:p w14:paraId="1C66BF3D" w14:textId="37A358F9" w:rsidR="00BB4766" w:rsidRDefault="00BB4766" w:rsidP="00BB4766">
      <w:r>
        <w:t>Celková kapacita mateřských škol zřízených městem Zlín je ve školním roce 2019/2020 2 430 dětí a je naplněna ze 100 %</w:t>
      </w:r>
      <w:r>
        <w:rPr>
          <w:rStyle w:val="Znakapoznpodarou"/>
        </w:rPr>
        <w:footnoteReference w:id="54"/>
      </w:r>
      <w:r>
        <w:t>, mateřské školy navštěvuje 2 268 dětí celkem v 90 třídách (viz tabulka</w:t>
      </w:r>
      <w:r w:rsidR="00CA267E">
        <w:t xml:space="preserve"> 1.37</w:t>
      </w:r>
      <w:r>
        <w:t>). Kapacita a naplněnost jednotlivých mateřských škol zřizovaných městem od roku 2013/2014 je porovnána v</w:t>
      </w:r>
      <w:r w:rsidR="00094895">
        <w:t> </w:t>
      </w:r>
      <w:r>
        <w:t>tabulce</w:t>
      </w:r>
      <w:r w:rsidR="00094895">
        <w:t xml:space="preserve"> 1.7</w:t>
      </w:r>
      <w:r w:rsidR="00122205">
        <w:t>8</w:t>
      </w:r>
      <w:r>
        <w:t xml:space="preserve"> uvedené v příloze této kapitoly.</w:t>
      </w:r>
    </w:p>
    <w:p w14:paraId="2CC35935" w14:textId="1B63F4CB" w:rsidR="00BB4766" w:rsidRDefault="00BB4766" w:rsidP="00BB4766">
      <w:pPr>
        <w:pStyle w:val="Titulek"/>
      </w:pPr>
      <w:bookmarkStart w:id="240" w:name="_Toc52885948"/>
      <w:bookmarkStart w:id="241" w:name="_Toc7707471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37</w:t>
      </w:r>
      <w:r w:rsidR="00081B47">
        <w:rPr>
          <w:noProof/>
        </w:rPr>
        <w:fldChar w:fldCharType="end"/>
      </w:r>
      <w:r w:rsidR="00004A20">
        <w:rPr>
          <w:noProof/>
        </w:rPr>
        <w:t>:</w:t>
      </w:r>
      <w:r>
        <w:t xml:space="preserve"> Kapacita, počet tříd a počet dětí v mateřských školách zřizovaných městem Zlínem za školní roky 2013/2014 - 2019/2020</w:t>
      </w:r>
      <w:bookmarkEnd w:id="240"/>
      <w:bookmarkEnd w:id="241"/>
    </w:p>
    <w:tbl>
      <w:tblPr>
        <w:tblW w:w="9048" w:type="dxa"/>
        <w:tblInd w:w="-5" w:type="dxa"/>
        <w:tblCellMar>
          <w:left w:w="70" w:type="dxa"/>
          <w:right w:w="70" w:type="dxa"/>
        </w:tblCellMar>
        <w:tblLook w:val="04A0" w:firstRow="1" w:lastRow="0" w:firstColumn="1" w:lastColumn="0" w:noHBand="0" w:noVBand="1"/>
      </w:tblPr>
      <w:tblGrid>
        <w:gridCol w:w="2668"/>
        <w:gridCol w:w="1151"/>
        <w:gridCol w:w="1307"/>
        <w:gridCol w:w="1412"/>
        <w:gridCol w:w="1255"/>
        <w:gridCol w:w="1255"/>
      </w:tblGrid>
      <w:tr w:rsidR="00BB4766" w:rsidRPr="006627B2" w14:paraId="40CE4C4B" w14:textId="77777777" w:rsidTr="000C49A5">
        <w:trPr>
          <w:trHeight w:val="689"/>
        </w:trPr>
        <w:tc>
          <w:tcPr>
            <w:tcW w:w="2668"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D421C1F" w14:textId="77777777" w:rsidR="00BB4766" w:rsidRPr="006627B2" w:rsidRDefault="00BB4766" w:rsidP="000C49A5">
            <w:pPr>
              <w:spacing w:before="0"/>
              <w:jc w:val="center"/>
              <w:rPr>
                <w:rFonts w:ascii="Calibri" w:eastAsia="Times New Roman" w:hAnsi="Calibri" w:cs="Calibri"/>
                <w:b/>
                <w:bCs/>
                <w:sz w:val="18"/>
                <w:szCs w:val="18"/>
                <w:lang w:eastAsia="cs-CZ"/>
              </w:rPr>
            </w:pPr>
            <w:r w:rsidRPr="006627B2">
              <w:rPr>
                <w:rFonts w:ascii="Calibri" w:eastAsia="Times New Roman" w:hAnsi="Calibri" w:cs="Calibri"/>
                <w:b/>
                <w:bCs/>
                <w:sz w:val="18"/>
                <w:szCs w:val="18"/>
                <w:lang w:eastAsia="cs-CZ"/>
              </w:rPr>
              <w:t>Školní rok</w:t>
            </w:r>
          </w:p>
        </w:tc>
        <w:tc>
          <w:tcPr>
            <w:tcW w:w="1151" w:type="dxa"/>
            <w:tcBorders>
              <w:top w:val="single" w:sz="4" w:space="0" w:color="auto"/>
              <w:left w:val="nil"/>
              <w:bottom w:val="single" w:sz="4" w:space="0" w:color="auto"/>
              <w:right w:val="single" w:sz="4" w:space="0" w:color="auto"/>
            </w:tcBorders>
            <w:shd w:val="clear" w:color="000000" w:fill="F2F2F2"/>
            <w:vAlign w:val="center"/>
            <w:hideMark/>
          </w:tcPr>
          <w:p w14:paraId="4C3DB13F" w14:textId="77777777" w:rsidR="00BB4766" w:rsidRPr="006627B2" w:rsidRDefault="00BB4766" w:rsidP="000C49A5">
            <w:pPr>
              <w:spacing w:before="0"/>
              <w:jc w:val="center"/>
              <w:rPr>
                <w:rFonts w:ascii="Calibri" w:eastAsia="Times New Roman" w:hAnsi="Calibri" w:cs="Calibri"/>
                <w:b/>
                <w:bCs/>
                <w:sz w:val="18"/>
                <w:szCs w:val="18"/>
                <w:lang w:eastAsia="cs-CZ"/>
              </w:rPr>
            </w:pPr>
            <w:r w:rsidRPr="006627B2">
              <w:rPr>
                <w:rFonts w:ascii="Calibri" w:eastAsia="Times New Roman" w:hAnsi="Calibri" w:cs="Arial"/>
                <w:b/>
                <w:bCs/>
                <w:sz w:val="18"/>
                <w:szCs w:val="20"/>
                <w:lang w:eastAsia="cs-CZ"/>
              </w:rPr>
              <w:t>Kapacita</w:t>
            </w:r>
          </w:p>
        </w:tc>
        <w:tc>
          <w:tcPr>
            <w:tcW w:w="1307" w:type="dxa"/>
            <w:tcBorders>
              <w:top w:val="single" w:sz="4" w:space="0" w:color="auto"/>
              <w:left w:val="nil"/>
              <w:bottom w:val="single" w:sz="4" w:space="0" w:color="auto"/>
              <w:right w:val="single" w:sz="4" w:space="0" w:color="auto"/>
            </w:tcBorders>
            <w:shd w:val="clear" w:color="000000" w:fill="F2F2F2"/>
            <w:vAlign w:val="center"/>
            <w:hideMark/>
          </w:tcPr>
          <w:p w14:paraId="75C58B82" w14:textId="77777777" w:rsidR="00BB4766" w:rsidRPr="006627B2" w:rsidRDefault="00BB4766" w:rsidP="000C49A5">
            <w:pPr>
              <w:spacing w:before="0"/>
              <w:jc w:val="center"/>
              <w:rPr>
                <w:rFonts w:ascii="Calibri" w:eastAsia="Times New Roman" w:hAnsi="Calibri" w:cs="Calibri"/>
                <w:b/>
                <w:bCs/>
                <w:sz w:val="18"/>
                <w:szCs w:val="18"/>
                <w:lang w:eastAsia="cs-CZ"/>
              </w:rPr>
            </w:pPr>
            <w:r w:rsidRPr="006627B2">
              <w:rPr>
                <w:rFonts w:ascii="Calibri" w:eastAsia="Times New Roman" w:hAnsi="Calibri" w:cs="Arial"/>
                <w:b/>
                <w:bCs/>
                <w:sz w:val="18"/>
                <w:szCs w:val="20"/>
                <w:lang w:eastAsia="cs-CZ"/>
              </w:rPr>
              <w:t>Počet dětí v MŠ</w:t>
            </w:r>
          </w:p>
        </w:tc>
        <w:tc>
          <w:tcPr>
            <w:tcW w:w="1412" w:type="dxa"/>
            <w:tcBorders>
              <w:top w:val="single" w:sz="4" w:space="0" w:color="auto"/>
              <w:left w:val="nil"/>
              <w:bottom w:val="single" w:sz="4" w:space="0" w:color="auto"/>
              <w:right w:val="single" w:sz="4" w:space="0" w:color="auto"/>
            </w:tcBorders>
            <w:shd w:val="clear" w:color="000000" w:fill="F2F2F2"/>
            <w:vAlign w:val="center"/>
            <w:hideMark/>
          </w:tcPr>
          <w:p w14:paraId="36860153" w14:textId="77777777" w:rsidR="00BB4766" w:rsidRPr="006627B2" w:rsidRDefault="00BB4766" w:rsidP="000C49A5">
            <w:pPr>
              <w:spacing w:before="0"/>
              <w:jc w:val="center"/>
              <w:rPr>
                <w:rFonts w:ascii="Calibri" w:eastAsia="Times New Roman" w:hAnsi="Calibri" w:cs="Calibri"/>
                <w:b/>
                <w:bCs/>
                <w:sz w:val="18"/>
                <w:szCs w:val="18"/>
                <w:lang w:eastAsia="cs-CZ"/>
              </w:rPr>
            </w:pPr>
            <w:r w:rsidRPr="006627B2">
              <w:rPr>
                <w:rFonts w:ascii="Calibri" w:eastAsia="Times New Roman" w:hAnsi="Calibri" w:cs="Arial"/>
                <w:b/>
                <w:bCs/>
                <w:sz w:val="18"/>
                <w:szCs w:val="20"/>
                <w:lang w:eastAsia="cs-CZ"/>
              </w:rPr>
              <w:t>Počet tříd v MŠ</w:t>
            </w:r>
          </w:p>
        </w:tc>
        <w:tc>
          <w:tcPr>
            <w:tcW w:w="1255" w:type="dxa"/>
            <w:tcBorders>
              <w:top w:val="single" w:sz="4" w:space="0" w:color="auto"/>
              <w:left w:val="nil"/>
              <w:bottom w:val="single" w:sz="4" w:space="0" w:color="auto"/>
              <w:right w:val="single" w:sz="4" w:space="0" w:color="auto"/>
            </w:tcBorders>
            <w:shd w:val="clear" w:color="000000" w:fill="F2F2F2"/>
            <w:vAlign w:val="center"/>
            <w:hideMark/>
          </w:tcPr>
          <w:p w14:paraId="4DED93CF" w14:textId="77777777" w:rsidR="00BB4766" w:rsidRPr="006627B2" w:rsidRDefault="00BB4766" w:rsidP="000C49A5">
            <w:pPr>
              <w:spacing w:before="0"/>
              <w:jc w:val="center"/>
              <w:rPr>
                <w:rFonts w:ascii="Calibri" w:eastAsia="Times New Roman" w:hAnsi="Calibri" w:cs="Calibri"/>
                <w:b/>
                <w:bCs/>
                <w:sz w:val="18"/>
                <w:szCs w:val="18"/>
                <w:lang w:eastAsia="cs-CZ"/>
              </w:rPr>
            </w:pPr>
            <w:r w:rsidRPr="006627B2">
              <w:rPr>
                <w:rFonts w:ascii="Calibri" w:eastAsia="Times New Roman" w:hAnsi="Calibri" w:cs="Arial"/>
                <w:b/>
                <w:bCs/>
                <w:sz w:val="18"/>
                <w:szCs w:val="20"/>
                <w:lang w:eastAsia="cs-CZ"/>
              </w:rPr>
              <w:t>Průměrný počet dětí ve třídě</w:t>
            </w:r>
          </w:p>
        </w:tc>
        <w:tc>
          <w:tcPr>
            <w:tcW w:w="1255" w:type="dxa"/>
            <w:tcBorders>
              <w:top w:val="single" w:sz="4" w:space="0" w:color="auto"/>
              <w:left w:val="nil"/>
              <w:bottom w:val="single" w:sz="4" w:space="0" w:color="auto"/>
              <w:right w:val="single" w:sz="4" w:space="0" w:color="auto"/>
            </w:tcBorders>
            <w:shd w:val="clear" w:color="000000" w:fill="F2F2F2"/>
            <w:vAlign w:val="center"/>
            <w:hideMark/>
          </w:tcPr>
          <w:p w14:paraId="2E4C510E" w14:textId="77777777" w:rsidR="00BB4766" w:rsidRPr="006627B2" w:rsidRDefault="00BB4766" w:rsidP="000C49A5">
            <w:pPr>
              <w:spacing w:before="0"/>
              <w:jc w:val="center"/>
              <w:rPr>
                <w:rFonts w:ascii="Calibri" w:eastAsia="Times New Roman" w:hAnsi="Calibri" w:cs="Calibri"/>
                <w:b/>
                <w:bCs/>
                <w:sz w:val="18"/>
                <w:szCs w:val="18"/>
                <w:lang w:eastAsia="cs-CZ"/>
              </w:rPr>
            </w:pPr>
            <w:r w:rsidRPr="006627B2">
              <w:rPr>
                <w:rFonts w:ascii="Calibri" w:eastAsia="Times New Roman" w:hAnsi="Calibri" w:cs="Arial"/>
                <w:b/>
                <w:bCs/>
                <w:sz w:val="18"/>
                <w:szCs w:val="20"/>
                <w:lang w:eastAsia="cs-CZ"/>
              </w:rPr>
              <w:t>Celková vytíženost %</w:t>
            </w:r>
          </w:p>
        </w:tc>
      </w:tr>
      <w:tr w:rsidR="00BB4766" w:rsidRPr="006627B2" w14:paraId="7A8B9523"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4551BAA7" w14:textId="77777777" w:rsidR="00BB4766" w:rsidRPr="006627B2" w:rsidRDefault="00BB4766" w:rsidP="000C49A5">
            <w:pPr>
              <w:spacing w:before="0"/>
              <w:jc w:val="left"/>
              <w:rPr>
                <w:rFonts w:ascii="Calibri" w:eastAsia="Times New Roman" w:hAnsi="Calibri" w:cs="Calibri"/>
                <w:sz w:val="18"/>
                <w:szCs w:val="18"/>
                <w:lang w:eastAsia="cs-CZ"/>
              </w:rPr>
            </w:pPr>
            <w:r w:rsidRPr="006627B2">
              <w:rPr>
                <w:rFonts w:ascii="Calibri" w:eastAsia="Times New Roman" w:hAnsi="Calibri" w:cs="Arial"/>
                <w:sz w:val="18"/>
                <w:szCs w:val="20"/>
                <w:lang w:eastAsia="cs-CZ"/>
              </w:rPr>
              <w:t>2013/14</w:t>
            </w:r>
          </w:p>
        </w:tc>
        <w:tc>
          <w:tcPr>
            <w:tcW w:w="1151" w:type="dxa"/>
            <w:tcBorders>
              <w:top w:val="single" w:sz="4" w:space="0" w:color="auto"/>
              <w:left w:val="single" w:sz="4" w:space="0" w:color="auto"/>
              <w:bottom w:val="single" w:sz="4" w:space="0" w:color="auto"/>
              <w:right w:val="single" w:sz="4" w:space="0" w:color="auto"/>
            </w:tcBorders>
            <w:shd w:val="clear" w:color="000000" w:fill="FBBDBF"/>
            <w:noWrap/>
            <w:vAlign w:val="bottom"/>
            <w:hideMark/>
          </w:tcPr>
          <w:p w14:paraId="6B72779A"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2446</w:t>
            </w:r>
          </w:p>
        </w:tc>
        <w:tc>
          <w:tcPr>
            <w:tcW w:w="1307" w:type="dxa"/>
            <w:tcBorders>
              <w:top w:val="single" w:sz="4" w:space="0" w:color="auto"/>
              <w:left w:val="single" w:sz="4" w:space="0" w:color="auto"/>
              <w:bottom w:val="single" w:sz="4" w:space="0" w:color="auto"/>
              <w:right w:val="single" w:sz="4" w:space="0" w:color="auto"/>
            </w:tcBorders>
            <w:shd w:val="clear" w:color="000000" w:fill="FCE2E5"/>
            <w:noWrap/>
            <w:vAlign w:val="bottom"/>
            <w:hideMark/>
          </w:tcPr>
          <w:p w14:paraId="21632E1B"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2319</w:t>
            </w:r>
          </w:p>
        </w:tc>
        <w:tc>
          <w:tcPr>
            <w:tcW w:w="141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74EC8FA8"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87</w:t>
            </w:r>
          </w:p>
        </w:tc>
        <w:tc>
          <w:tcPr>
            <w:tcW w:w="1255"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25015AB"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26,7</w:t>
            </w:r>
          </w:p>
        </w:tc>
        <w:tc>
          <w:tcPr>
            <w:tcW w:w="1255"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55C21DB"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94,8</w:t>
            </w:r>
          </w:p>
        </w:tc>
      </w:tr>
      <w:tr w:rsidR="00BB4766" w:rsidRPr="006627B2" w14:paraId="770BE12E"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57E563F6" w14:textId="77777777" w:rsidR="00BB4766" w:rsidRPr="006627B2" w:rsidRDefault="00BB4766" w:rsidP="000C49A5">
            <w:pPr>
              <w:spacing w:before="0"/>
              <w:jc w:val="left"/>
              <w:rPr>
                <w:rFonts w:ascii="Calibri" w:eastAsia="Times New Roman" w:hAnsi="Calibri" w:cs="Calibri"/>
                <w:sz w:val="18"/>
                <w:szCs w:val="18"/>
                <w:lang w:eastAsia="cs-CZ"/>
              </w:rPr>
            </w:pPr>
            <w:r w:rsidRPr="006627B2">
              <w:rPr>
                <w:rFonts w:ascii="Calibri" w:eastAsia="Times New Roman" w:hAnsi="Calibri" w:cs="Arial"/>
                <w:sz w:val="18"/>
                <w:szCs w:val="20"/>
                <w:lang w:eastAsia="cs-CZ"/>
              </w:rPr>
              <w:t>2014/15</w:t>
            </w:r>
          </w:p>
        </w:tc>
        <w:tc>
          <w:tcPr>
            <w:tcW w:w="115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1638C523"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2467</w:t>
            </w:r>
          </w:p>
        </w:tc>
        <w:tc>
          <w:tcPr>
            <w:tcW w:w="130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1AEF915B"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2384</w:t>
            </w:r>
          </w:p>
        </w:tc>
        <w:tc>
          <w:tcPr>
            <w:tcW w:w="141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3A80807"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91</w:t>
            </w:r>
          </w:p>
        </w:tc>
        <w:tc>
          <w:tcPr>
            <w:tcW w:w="1255" w:type="dxa"/>
            <w:tcBorders>
              <w:top w:val="single" w:sz="4" w:space="0" w:color="auto"/>
              <w:left w:val="single" w:sz="4" w:space="0" w:color="auto"/>
              <w:bottom w:val="single" w:sz="4" w:space="0" w:color="auto"/>
              <w:right w:val="single" w:sz="4" w:space="0" w:color="auto"/>
            </w:tcBorders>
            <w:shd w:val="clear" w:color="000000" w:fill="FAAAAC"/>
            <w:noWrap/>
            <w:vAlign w:val="bottom"/>
            <w:hideMark/>
          </w:tcPr>
          <w:p w14:paraId="1048E8AF"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26,2</w:t>
            </w:r>
          </w:p>
        </w:tc>
        <w:tc>
          <w:tcPr>
            <w:tcW w:w="1255" w:type="dxa"/>
            <w:tcBorders>
              <w:top w:val="single" w:sz="4" w:space="0" w:color="auto"/>
              <w:left w:val="single" w:sz="4" w:space="0" w:color="auto"/>
              <w:bottom w:val="single" w:sz="4" w:space="0" w:color="auto"/>
              <w:right w:val="single" w:sz="4" w:space="0" w:color="auto"/>
            </w:tcBorders>
            <w:shd w:val="clear" w:color="000000" w:fill="F97577"/>
            <w:noWrap/>
            <w:vAlign w:val="bottom"/>
            <w:hideMark/>
          </w:tcPr>
          <w:p w14:paraId="58134A07"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96,6</w:t>
            </w:r>
          </w:p>
        </w:tc>
      </w:tr>
      <w:tr w:rsidR="00BB4766" w:rsidRPr="006627B2" w14:paraId="6180DD1D"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1DCA9E78" w14:textId="77777777" w:rsidR="00BB4766" w:rsidRPr="006627B2" w:rsidRDefault="00BB4766" w:rsidP="000C49A5">
            <w:pPr>
              <w:spacing w:before="0"/>
              <w:jc w:val="left"/>
              <w:rPr>
                <w:rFonts w:ascii="Calibri" w:eastAsia="Times New Roman" w:hAnsi="Calibri" w:cs="Calibri"/>
                <w:sz w:val="18"/>
                <w:szCs w:val="18"/>
                <w:lang w:eastAsia="cs-CZ"/>
              </w:rPr>
            </w:pPr>
            <w:r w:rsidRPr="006627B2">
              <w:rPr>
                <w:rFonts w:ascii="Calibri" w:eastAsia="Times New Roman" w:hAnsi="Calibri" w:cs="Arial"/>
                <w:sz w:val="18"/>
                <w:szCs w:val="20"/>
                <w:lang w:eastAsia="cs-CZ"/>
              </w:rPr>
              <w:t>2015/16</w:t>
            </w:r>
          </w:p>
        </w:tc>
        <w:tc>
          <w:tcPr>
            <w:tcW w:w="115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012E25B5"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2430</w:t>
            </w:r>
          </w:p>
        </w:tc>
        <w:tc>
          <w:tcPr>
            <w:tcW w:w="1307" w:type="dxa"/>
            <w:tcBorders>
              <w:top w:val="single" w:sz="4" w:space="0" w:color="auto"/>
              <w:left w:val="single" w:sz="4" w:space="0" w:color="auto"/>
              <w:bottom w:val="single" w:sz="4" w:space="0" w:color="auto"/>
              <w:right w:val="single" w:sz="4" w:space="0" w:color="auto"/>
            </w:tcBorders>
            <w:shd w:val="clear" w:color="000000" w:fill="FAA5A7"/>
            <w:noWrap/>
            <w:vAlign w:val="bottom"/>
            <w:hideMark/>
          </w:tcPr>
          <w:p w14:paraId="62694880"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2352</w:t>
            </w:r>
          </w:p>
        </w:tc>
        <w:tc>
          <w:tcPr>
            <w:tcW w:w="141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C0F35BB"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90</w:t>
            </w:r>
          </w:p>
        </w:tc>
        <w:tc>
          <w:tcPr>
            <w:tcW w:w="1255" w:type="dxa"/>
            <w:tcBorders>
              <w:top w:val="single" w:sz="4" w:space="0" w:color="auto"/>
              <w:left w:val="single" w:sz="4" w:space="0" w:color="auto"/>
              <w:bottom w:val="single" w:sz="4" w:space="0" w:color="auto"/>
              <w:right w:val="single" w:sz="4" w:space="0" w:color="auto"/>
            </w:tcBorders>
            <w:shd w:val="clear" w:color="000000" w:fill="FAB3B5"/>
            <w:noWrap/>
            <w:vAlign w:val="bottom"/>
            <w:hideMark/>
          </w:tcPr>
          <w:p w14:paraId="6E8D4D6D"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26,1</w:t>
            </w:r>
          </w:p>
        </w:tc>
        <w:tc>
          <w:tcPr>
            <w:tcW w:w="1255"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DE05099"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96,8</w:t>
            </w:r>
          </w:p>
        </w:tc>
      </w:tr>
      <w:tr w:rsidR="00BB4766" w:rsidRPr="006627B2" w14:paraId="54E9ED50"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27AF9214" w14:textId="77777777" w:rsidR="00BB4766" w:rsidRPr="006627B2" w:rsidRDefault="00BB4766" w:rsidP="000C49A5">
            <w:pPr>
              <w:spacing w:before="0"/>
              <w:jc w:val="left"/>
              <w:rPr>
                <w:rFonts w:ascii="Calibri" w:eastAsia="Times New Roman" w:hAnsi="Calibri" w:cs="Calibri"/>
                <w:sz w:val="18"/>
                <w:szCs w:val="18"/>
                <w:lang w:eastAsia="cs-CZ"/>
              </w:rPr>
            </w:pPr>
            <w:r w:rsidRPr="006627B2">
              <w:rPr>
                <w:rFonts w:ascii="Calibri" w:eastAsia="Times New Roman" w:hAnsi="Calibri" w:cs="Arial"/>
                <w:sz w:val="18"/>
                <w:szCs w:val="20"/>
                <w:lang w:eastAsia="cs-CZ"/>
              </w:rPr>
              <w:t>2016/17</w:t>
            </w:r>
          </w:p>
        </w:tc>
        <w:tc>
          <w:tcPr>
            <w:tcW w:w="115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1583DC5D"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2430</w:t>
            </w:r>
          </w:p>
        </w:tc>
        <w:tc>
          <w:tcPr>
            <w:tcW w:w="1307"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EA9A01E"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2305</w:t>
            </w:r>
          </w:p>
        </w:tc>
        <w:tc>
          <w:tcPr>
            <w:tcW w:w="141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C7091EA"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90</w:t>
            </w:r>
          </w:p>
        </w:tc>
        <w:tc>
          <w:tcPr>
            <w:tcW w:w="1255"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59A90F5"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25,6</w:t>
            </w:r>
          </w:p>
        </w:tc>
        <w:tc>
          <w:tcPr>
            <w:tcW w:w="1255" w:type="dxa"/>
            <w:tcBorders>
              <w:top w:val="single" w:sz="4" w:space="0" w:color="auto"/>
              <w:left w:val="single" w:sz="4" w:space="0" w:color="auto"/>
              <w:bottom w:val="single" w:sz="4" w:space="0" w:color="auto"/>
              <w:right w:val="single" w:sz="4" w:space="0" w:color="auto"/>
            </w:tcBorders>
            <w:shd w:val="clear" w:color="000000" w:fill="FCF9FC"/>
            <w:noWrap/>
            <w:vAlign w:val="bottom"/>
            <w:hideMark/>
          </w:tcPr>
          <w:p w14:paraId="65B7BD66"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94,9</w:t>
            </w:r>
          </w:p>
        </w:tc>
      </w:tr>
      <w:tr w:rsidR="00BB4766" w:rsidRPr="006627B2" w14:paraId="5BD8D5E5"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2D41E82F" w14:textId="77777777" w:rsidR="00BB4766" w:rsidRPr="006627B2" w:rsidRDefault="00BB4766" w:rsidP="000C49A5">
            <w:pPr>
              <w:spacing w:before="0"/>
              <w:jc w:val="left"/>
              <w:rPr>
                <w:rFonts w:ascii="Calibri" w:eastAsia="Times New Roman" w:hAnsi="Calibri" w:cs="Calibri"/>
                <w:sz w:val="18"/>
                <w:szCs w:val="18"/>
                <w:lang w:eastAsia="cs-CZ"/>
              </w:rPr>
            </w:pPr>
            <w:r w:rsidRPr="006627B2">
              <w:rPr>
                <w:rFonts w:ascii="Calibri" w:eastAsia="Times New Roman" w:hAnsi="Calibri" w:cs="Arial"/>
                <w:sz w:val="18"/>
                <w:szCs w:val="20"/>
                <w:lang w:eastAsia="cs-CZ"/>
              </w:rPr>
              <w:t>2017/18</w:t>
            </w:r>
          </w:p>
        </w:tc>
        <w:tc>
          <w:tcPr>
            <w:tcW w:w="115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54752FE9"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2430</w:t>
            </w:r>
          </w:p>
        </w:tc>
        <w:tc>
          <w:tcPr>
            <w:tcW w:w="1307" w:type="dxa"/>
            <w:tcBorders>
              <w:top w:val="single" w:sz="4" w:space="0" w:color="auto"/>
              <w:left w:val="single" w:sz="4" w:space="0" w:color="auto"/>
              <w:bottom w:val="single" w:sz="4" w:space="0" w:color="auto"/>
              <w:right w:val="single" w:sz="4" w:space="0" w:color="auto"/>
            </w:tcBorders>
            <w:shd w:val="clear" w:color="000000" w:fill="D0DDEF"/>
            <w:noWrap/>
            <w:vAlign w:val="bottom"/>
            <w:hideMark/>
          </w:tcPr>
          <w:p w14:paraId="2EBBD982"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2295</w:t>
            </w:r>
          </w:p>
        </w:tc>
        <w:tc>
          <w:tcPr>
            <w:tcW w:w="141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7941E39"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90</w:t>
            </w:r>
          </w:p>
        </w:tc>
        <w:tc>
          <w:tcPr>
            <w:tcW w:w="1255" w:type="dxa"/>
            <w:tcBorders>
              <w:top w:val="single" w:sz="4" w:space="0" w:color="auto"/>
              <w:left w:val="single" w:sz="4" w:space="0" w:color="auto"/>
              <w:bottom w:val="single" w:sz="4" w:space="0" w:color="auto"/>
              <w:right w:val="single" w:sz="4" w:space="0" w:color="auto"/>
            </w:tcBorders>
            <w:shd w:val="clear" w:color="000000" w:fill="D0DDEF"/>
            <w:noWrap/>
            <w:vAlign w:val="bottom"/>
            <w:hideMark/>
          </w:tcPr>
          <w:p w14:paraId="08587449"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25,5</w:t>
            </w:r>
          </w:p>
        </w:tc>
        <w:tc>
          <w:tcPr>
            <w:tcW w:w="1255" w:type="dxa"/>
            <w:tcBorders>
              <w:top w:val="single" w:sz="4" w:space="0" w:color="auto"/>
              <w:left w:val="single" w:sz="4" w:space="0" w:color="auto"/>
              <w:bottom w:val="single" w:sz="4" w:space="0" w:color="auto"/>
              <w:right w:val="single" w:sz="4" w:space="0" w:color="auto"/>
            </w:tcBorders>
            <w:shd w:val="clear" w:color="000000" w:fill="D4DFF0"/>
            <w:noWrap/>
            <w:vAlign w:val="bottom"/>
            <w:hideMark/>
          </w:tcPr>
          <w:p w14:paraId="4471C67F"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94,4</w:t>
            </w:r>
          </w:p>
        </w:tc>
      </w:tr>
      <w:tr w:rsidR="00BB4766" w:rsidRPr="006627B2" w14:paraId="7BBDBFD6"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28929147" w14:textId="77777777" w:rsidR="00BB4766" w:rsidRPr="006627B2" w:rsidRDefault="00BB4766" w:rsidP="000C49A5">
            <w:pPr>
              <w:spacing w:before="0"/>
              <w:jc w:val="left"/>
              <w:rPr>
                <w:rFonts w:ascii="Calibri" w:eastAsia="Times New Roman" w:hAnsi="Calibri" w:cs="Calibri"/>
                <w:sz w:val="18"/>
                <w:szCs w:val="18"/>
                <w:lang w:eastAsia="cs-CZ"/>
              </w:rPr>
            </w:pPr>
            <w:r w:rsidRPr="006627B2">
              <w:rPr>
                <w:rFonts w:ascii="Calibri" w:eastAsia="Times New Roman" w:hAnsi="Calibri" w:cs="Arial"/>
                <w:sz w:val="18"/>
                <w:szCs w:val="20"/>
                <w:lang w:eastAsia="cs-CZ"/>
              </w:rPr>
              <w:t>2018/19</w:t>
            </w:r>
          </w:p>
        </w:tc>
        <w:tc>
          <w:tcPr>
            <w:tcW w:w="115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19DC1787"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2430</w:t>
            </w:r>
          </w:p>
        </w:tc>
        <w:tc>
          <w:tcPr>
            <w:tcW w:w="1307" w:type="dxa"/>
            <w:tcBorders>
              <w:top w:val="single" w:sz="4" w:space="0" w:color="auto"/>
              <w:left w:val="single" w:sz="4" w:space="0" w:color="auto"/>
              <w:bottom w:val="single" w:sz="4" w:space="0" w:color="auto"/>
              <w:right w:val="single" w:sz="4" w:space="0" w:color="auto"/>
            </w:tcBorders>
            <w:shd w:val="clear" w:color="000000" w:fill="CBDAEE"/>
            <w:noWrap/>
            <w:vAlign w:val="bottom"/>
            <w:hideMark/>
          </w:tcPr>
          <w:p w14:paraId="2B7F5B81"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2294</w:t>
            </w:r>
          </w:p>
        </w:tc>
        <w:tc>
          <w:tcPr>
            <w:tcW w:w="141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FE625F3"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90</w:t>
            </w:r>
          </w:p>
        </w:tc>
        <w:tc>
          <w:tcPr>
            <w:tcW w:w="1255" w:type="dxa"/>
            <w:tcBorders>
              <w:top w:val="single" w:sz="4" w:space="0" w:color="auto"/>
              <w:left w:val="single" w:sz="4" w:space="0" w:color="auto"/>
              <w:bottom w:val="single" w:sz="4" w:space="0" w:color="auto"/>
              <w:right w:val="single" w:sz="4" w:space="0" w:color="auto"/>
            </w:tcBorders>
            <w:shd w:val="clear" w:color="000000" w:fill="CBDAEE"/>
            <w:noWrap/>
            <w:vAlign w:val="bottom"/>
            <w:hideMark/>
          </w:tcPr>
          <w:p w14:paraId="4B4ABD0F"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25,5</w:t>
            </w:r>
          </w:p>
        </w:tc>
        <w:tc>
          <w:tcPr>
            <w:tcW w:w="1255" w:type="dxa"/>
            <w:tcBorders>
              <w:top w:val="single" w:sz="4" w:space="0" w:color="auto"/>
              <w:left w:val="single" w:sz="4" w:space="0" w:color="auto"/>
              <w:bottom w:val="single" w:sz="4" w:space="0" w:color="auto"/>
              <w:right w:val="single" w:sz="4" w:space="0" w:color="auto"/>
            </w:tcBorders>
            <w:shd w:val="clear" w:color="000000" w:fill="CFDCEF"/>
            <w:noWrap/>
            <w:vAlign w:val="bottom"/>
            <w:hideMark/>
          </w:tcPr>
          <w:p w14:paraId="0D43C3DD"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94,4</w:t>
            </w:r>
          </w:p>
        </w:tc>
      </w:tr>
      <w:tr w:rsidR="00BB4766" w:rsidRPr="006627B2" w14:paraId="03BBC489"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39756AAE" w14:textId="77777777" w:rsidR="00BB4766" w:rsidRPr="006627B2" w:rsidRDefault="00BB4766" w:rsidP="000C49A5">
            <w:pPr>
              <w:spacing w:before="0"/>
              <w:jc w:val="left"/>
              <w:rPr>
                <w:rFonts w:ascii="Calibri" w:eastAsia="Times New Roman" w:hAnsi="Calibri" w:cs="Calibri"/>
                <w:sz w:val="18"/>
                <w:szCs w:val="18"/>
                <w:lang w:eastAsia="cs-CZ"/>
              </w:rPr>
            </w:pPr>
            <w:r w:rsidRPr="006627B2">
              <w:rPr>
                <w:rFonts w:ascii="Calibri" w:eastAsia="Times New Roman" w:hAnsi="Calibri" w:cs="Arial"/>
                <w:sz w:val="18"/>
                <w:szCs w:val="20"/>
                <w:lang w:eastAsia="cs-CZ"/>
              </w:rPr>
              <w:t>2019/20</w:t>
            </w:r>
          </w:p>
        </w:tc>
        <w:tc>
          <w:tcPr>
            <w:tcW w:w="115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688A6B74"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2430</w:t>
            </w:r>
          </w:p>
        </w:tc>
        <w:tc>
          <w:tcPr>
            <w:tcW w:w="1307"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1491D9B"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2268</w:t>
            </w:r>
          </w:p>
        </w:tc>
        <w:tc>
          <w:tcPr>
            <w:tcW w:w="141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0D017C55"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90</w:t>
            </w:r>
          </w:p>
        </w:tc>
        <w:tc>
          <w:tcPr>
            <w:tcW w:w="1255"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0D0B8520"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25,2</w:t>
            </w:r>
          </w:p>
        </w:tc>
        <w:tc>
          <w:tcPr>
            <w:tcW w:w="1255"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0DFED19A" w14:textId="77777777" w:rsidR="00BB4766" w:rsidRPr="006627B2" w:rsidRDefault="00BB4766" w:rsidP="000C49A5">
            <w:pPr>
              <w:spacing w:before="0"/>
              <w:jc w:val="right"/>
              <w:rPr>
                <w:rFonts w:ascii="Calibri" w:eastAsia="Times New Roman" w:hAnsi="Calibri" w:cs="Calibri"/>
                <w:sz w:val="18"/>
                <w:szCs w:val="18"/>
                <w:lang w:eastAsia="cs-CZ"/>
              </w:rPr>
            </w:pPr>
            <w:r w:rsidRPr="006627B2">
              <w:rPr>
                <w:rFonts w:ascii="Calibri" w:eastAsia="Times New Roman" w:hAnsi="Calibri" w:cs="Calibri"/>
                <w:sz w:val="18"/>
                <w:szCs w:val="18"/>
                <w:lang w:eastAsia="cs-CZ"/>
              </w:rPr>
              <w:t>93,3</w:t>
            </w:r>
          </w:p>
        </w:tc>
      </w:tr>
      <w:tr w:rsidR="00BB4766" w:rsidRPr="006627B2" w14:paraId="212D88BC" w14:textId="77777777" w:rsidTr="000C49A5">
        <w:trPr>
          <w:trHeight w:val="244"/>
        </w:trPr>
        <w:tc>
          <w:tcPr>
            <w:tcW w:w="2668" w:type="dxa"/>
            <w:tcBorders>
              <w:top w:val="nil"/>
              <w:left w:val="single" w:sz="4" w:space="0" w:color="auto"/>
              <w:bottom w:val="single" w:sz="4" w:space="0" w:color="auto"/>
              <w:right w:val="single" w:sz="4" w:space="0" w:color="auto"/>
            </w:tcBorders>
            <w:shd w:val="clear" w:color="auto" w:fill="auto"/>
            <w:noWrap/>
            <w:vAlign w:val="center"/>
            <w:hideMark/>
          </w:tcPr>
          <w:p w14:paraId="556F691A" w14:textId="77777777" w:rsidR="00BB4766" w:rsidRPr="00BE7BF5" w:rsidRDefault="00BB4766" w:rsidP="000C49A5">
            <w:pPr>
              <w:spacing w:before="0"/>
              <w:jc w:val="left"/>
              <w:rPr>
                <w:rFonts w:eastAsia="Times New Roman" w:cstheme="minorHAnsi"/>
                <w:b/>
                <w:sz w:val="18"/>
                <w:szCs w:val="18"/>
                <w:lang w:eastAsia="cs-CZ"/>
              </w:rPr>
            </w:pPr>
            <w:r w:rsidRPr="00BE7BF5">
              <w:rPr>
                <w:rFonts w:eastAsia="Times New Roman" w:cstheme="minorHAnsi"/>
                <w:b/>
                <w:sz w:val="18"/>
                <w:szCs w:val="18"/>
                <w:lang w:eastAsia="cs-CZ"/>
              </w:rPr>
              <w:t>Index změny 2019/2013</w:t>
            </w:r>
          </w:p>
        </w:tc>
        <w:tc>
          <w:tcPr>
            <w:tcW w:w="1151" w:type="dxa"/>
            <w:tcBorders>
              <w:top w:val="nil"/>
              <w:left w:val="nil"/>
              <w:bottom w:val="single" w:sz="4" w:space="0" w:color="auto"/>
              <w:right w:val="single" w:sz="4" w:space="0" w:color="auto"/>
            </w:tcBorders>
            <w:shd w:val="clear" w:color="auto" w:fill="auto"/>
            <w:noWrap/>
            <w:vAlign w:val="bottom"/>
            <w:hideMark/>
          </w:tcPr>
          <w:p w14:paraId="2E1FE02A" w14:textId="63765FBD" w:rsidR="00BB4766" w:rsidRPr="00BE7BF5" w:rsidRDefault="00BB4766" w:rsidP="000C49A5">
            <w:pPr>
              <w:spacing w:before="0"/>
              <w:jc w:val="right"/>
              <w:rPr>
                <w:rFonts w:eastAsia="Times New Roman" w:cstheme="minorHAnsi"/>
                <w:b/>
                <w:sz w:val="18"/>
                <w:szCs w:val="18"/>
                <w:lang w:eastAsia="cs-CZ"/>
              </w:rPr>
            </w:pPr>
            <w:r w:rsidRPr="00BE7BF5">
              <w:rPr>
                <w:rFonts w:eastAsia="Times New Roman" w:cstheme="minorHAnsi"/>
                <w:b/>
                <w:sz w:val="18"/>
                <w:szCs w:val="18"/>
                <w:lang w:eastAsia="cs-CZ"/>
              </w:rPr>
              <w:t>99,35</w:t>
            </w:r>
            <w:r w:rsidR="00004A20">
              <w:rPr>
                <w:rFonts w:eastAsia="Times New Roman" w:cstheme="minorHAnsi"/>
                <w:b/>
                <w:sz w:val="18"/>
                <w:szCs w:val="18"/>
                <w:lang w:eastAsia="cs-CZ"/>
              </w:rPr>
              <w:t xml:space="preserve"> </w:t>
            </w:r>
            <w:r w:rsidRPr="00BE7BF5">
              <w:rPr>
                <w:rFonts w:eastAsia="Times New Roman" w:cstheme="minorHAnsi"/>
                <w:b/>
                <w:sz w:val="18"/>
                <w:szCs w:val="18"/>
                <w:lang w:eastAsia="cs-CZ"/>
              </w:rPr>
              <w:t>%</w:t>
            </w:r>
          </w:p>
        </w:tc>
        <w:tc>
          <w:tcPr>
            <w:tcW w:w="1307" w:type="dxa"/>
            <w:tcBorders>
              <w:top w:val="nil"/>
              <w:left w:val="nil"/>
              <w:bottom w:val="single" w:sz="4" w:space="0" w:color="auto"/>
              <w:right w:val="single" w:sz="4" w:space="0" w:color="auto"/>
            </w:tcBorders>
            <w:shd w:val="clear" w:color="auto" w:fill="auto"/>
            <w:noWrap/>
            <w:vAlign w:val="bottom"/>
            <w:hideMark/>
          </w:tcPr>
          <w:p w14:paraId="17E77D4F" w14:textId="4F43B857" w:rsidR="00BB4766" w:rsidRPr="00BE7BF5" w:rsidRDefault="00BB4766" w:rsidP="000C49A5">
            <w:pPr>
              <w:spacing w:before="0"/>
              <w:jc w:val="right"/>
              <w:rPr>
                <w:rFonts w:eastAsia="Times New Roman" w:cstheme="minorHAnsi"/>
                <w:b/>
                <w:sz w:val="18"/>
                <w:szCs w:val="18"/>
                <w:lang w:eastAsia="cs-CZ"/>
              </w:rPr>
            </w:pPr>
            <w:r w:rsidRPr="00BE7BF5">
              <w:rPr>
                <w:rFonts w:eastAsia="Times New Roman" w:cstheme="minorHAnsi"/>
                <w:b/>
                <w:sz w:val="18"/>
                <w:szCs w:val="18"/>
                <w:lang w:eastAsia="cs-CZ"/>
              </w:rPr>
              <w:t>97,80</w:t>
            </w:r>
            <w:r w:rsidR="00004A20">
              <w:rPr>
                <w:rFonts w:eastAsia="Times New Roman" w:cstheme="minorHAnsi"/>
                <w:b/>
                <w:sz w:val="18"/>
                <w:szCs w:val="18"/>
                <w:lang w:eastAsia="cs-CZ"/>
              </w:rPr>
              <w:t xml:space="preserve"> </w:t>
            </w:r>
            <w:r w:rsidRPr="00BE7BF5">
              <w:rPr>
                <w:rFonts w:eastAsia="Times New Roman" w:cstheme="minorHAnsi"/>
                <w:b/>
                <w:sz w:val="18"/>
                <w:szCs w:val="18"/>
                <w:lang w:eastAsia="cs-CZ"/>
              </w:rPr>
              <w:t>%</w:t>
            </w:r>
          </w:p>
        </w:tc>
        <w:tc>
          <w:tcPr>
            <w:tcW w:w="1412" w:type="dxa"/>
            <w:tcBorders>
              <w:top w:val="nil"/>
              <w:left w:val="nil"/>
              <w:bottom w:val="single" w:sz="4" w:space="0" w:color="auto"/>
              <w:right w:val="single" w:sz="4" w:space="0" w:color="auto"/>
            </w:tcBorders>
            <w:shd w:val="clear" w:color="auto" w:fill="auto"/>
            <w:noWrap/>
            <w:vAlign w:val="bottom"/>
            <w:hideMark/>
          </w:tcPr>
          <w:p w14:paraId="26BEEF35" w14:textId="7403C3E9" w:rsidR="00BB4766" w:rsidRPr="00BE7BF5" w:rsidRDefault="00BB4766" w:rsidP="000C49A5">
            <w:pPr>
              <w:spacing w:before="0"/>
              <w:jc w:val="right"/>
              <w:rPr>
                <w:rFonts w:eastAsia="Times New Roman" w:cstheme="minorHAnsi"/>
                <w:b/>
                <w:sz w:val="18"/>
                <w:szCs w:val="18"/>
                <w:lang w:eastAsia="cs-CZ"/>
              </w:rPr>
            </w:pPr>
            <w:r w:rsidRPr="00BE7BF5">
              <w:rPr>
                <w:rFonts w:eastAsia="Times New Roman" w:cstheme="minorHAnsi"/>
                <w:b/>
                <w:sz w:val="18"/>
                <w:szCs w:val="18"/>
                <w:lang w:eastAsia="cs-CZ"/>
              </w:rPr>
              <w:t>103,45</w:t>
            </w:r>
            <w:r w:rsidR="00004A20">
              <w:rPr>
                <w:rFonts w:eastAsia="Times New Roman" w:cstheme="minorHAnsi"/>
                <w:b/>
                <w:sz w:val="18"/>
                <w:szCs w:val="18"/>
                <w:lang w:eastAsia="cs-CZ"/>
              </w:rPr>
              <w:t xml:space="preserve"> </w:t>
            </w:r>
            <w:r w:rsidRPr="00BE7BF5">
              <w:rPr>
                <w:rFonts w:eastAsia="Times New Roman" w:cstheme="minorHAnsi"/>
                <w:b/>
                <w:sz w:val="18"/>
                <w:szCs w:val="18"/>
                <w:lang w:eastAsia="cs-CZ"/>
              </w:rPr>
              <w:t>%</w:t>
            </w:r>
          </w:p>
        </w:tc>
        <w:tc>
          <w:tcPr>
            <w:tcW w:w="1255" w:type="dxa"/>
            <w:tcBorders>
              <w:top w:val="nil"/>
              <w:left w:val="nil"/>
              <w:bottom w:val="single" w:sz="4" w:space="0" w:color="auto"/>
              <w:right w:val="single" w:sz="4" w:space="0" w:color="auto"/>
            </w:tcBorders>
            <w:shd w:val="clear" w:color="auto" w:fill="auto"/>
            <w:noWrap/>
            <w:vAlign w:val="bottom"/>
            <w:hideMark/>
          </w:tcPr>
          <w:p w14:paraId="05EB7DE1" w14:textId="77777777" w:rsidR="00BB4766" w:rsidRPr="006627B2" w:rsidRDefault="00BB4766" w:rsidP="000C49A5">
            <w:pPr>
              <w:spacing w:before="0"/>
              <w:jc w:val="right"/>
              <w:rPr>
                <w:rFonts w:ascii="Arial CE" w:eastAsia="Times New Roman" w:hAnsi="Arial CE" w:cs="Times New Roman"/>
                <w:sz w:val="20"/>
                <w:szCs w:val="20"/>
                <w:lang w:eastAsia="cs-CZ"/>
              </w:rPr>
            </w:pPr>
            <w:r w:rsidRPr="006627B2">
              <w:rPr>
                <w:rFonts w:ascii="Arial CE" w:eastAsia="Times New Roman" w:hAnsi="Arial CE" w:cs="Times New Roman"/>
                <w:sz w:val="20"/>
                <w:szCs w:val="20"/>
                <w:lang w:eastAsia="cs-CZ"/>
              </w:rPr>
              <w:t>-</w:t>
            </w:r>
          </w:p>
        </w:tc>
        <w:tc>
          <w:tcPr>
            <w:tcW w:w="1255" w:type="dxa"/>
            <w:tcBorders>
              <w:top w:val="nil"/>
              <w:left w:val="nil"/>
              <w:bottom w:val="single" w:sz="4" w:space="0" w:color="auto"/>
              <w:right w:val="single" w:sz="4" w:space="0" w:color="auto"/>
            </w:tcBorders>
            <w:shd w:val="clear" w:color="auto" w:fill="auto"/>
            <w:noWrap/>
            <w:vAlign w:val="bottom"/>
            <w:hideMark/>
          </w:tcPr>
          <w:p w14:paraId="3648C800" w14:textId="77777777" w:rsidR="00BB4766" w:rsidRPr="006627B2" w:rsidRDefault="00BB4766" w:rsidP="000C49A5">
            <w:pPr>
              <w:spacing w:before="0"/>
              <w:jc w:val="right"/>
              <w:rPr>
                <w:rFonts w:ascii="Arial CE" w:eastAsia="Times New Roman" w:hAnsi="Arial CE" w:cs="Times New Roman"/>
                <w:sz w:val="20"/>
                <w:szCs w:val="20"/>
                <w:lang w:eastAsia="cs-CZ"/>
              </w:rPr>
            </w:pPr>
            <w:r w:rsidRPr="006627B2">
              <w:rPr>
                <w:rFonts w:ascii="Arial CE" w:eastAsia="Times New Roman" w:hAnsi="Arial CE" w:cs="Times New Roman"/>
                <w:sz w:val="20"/>
                <w:szCs w:val="20"/>
                <w:lang w:eastAsia="cs-CZ"/>
              </w:rPr>
              <w:t>-</w:t>
            </w:r>
          </w:p>
        </w:tc>
      </w:tr>
    </w:tbl>
    <w:p w14:paraId="6AE35AE1" w14:textId="6F48A119" w:rsidR="00BB4766" w:rsidRDefault="00BB4766" w:rsidP="00BB4766">
      <w:pPr>
        <w:pStyle w:val="Zdroj"/>
      </w:pPr>
      <w:r>
        <w:t xml:space="preserve">Zdroj: SMZ, </w:t>
      </w:r>
      <w:r w:rsidRPr="009E7B3A">
        <w:t>Odbor školství</w:t>
      </w:r>
      <w:r>
        <w:t xml:space="preserve">, </w:t>
      </w:r>
      <w:r w:rsidRPr="009E7B3A">
        <w:t>Magistrát města Zlína</w:t>
      </w:r>
      <w:r>
        <w:t>, k 1.</w:t>
      </w:r>
      <w:r w:rsidR="00004A20">
        <w:t xml:space="preserve"> </w:t>
      </w:r>
      <w:r>
        <w:t>7.</w:t>
      </w:r>
      <w:r w:rsidR="00004A20">
        <w:t xml:space="preserve"> </w:t>
      </w:r>
      <w:r>
        <w:t>2020</w:t>
      </w:r>
    </w:p>
    <w:p w14:paraId="2F2247A0" w14:textId="0A50AF82" w:rsidR="00BB4766" w:rsidRDefault="00BB4766" w:rsidP="00BB4766">
      <w:r>
        <w:t xml:space="preserve">Kapacita se ve sledovaném období u většiny mateřských škol, provozovaných městem Zlín, výrazně nezměnila. Od roku 2013/2014 došlo ke snížení kapacity všech škol zřizovaných městem o 16 míst. K navýšení kapacity došlo u mateřských škol Družstevní 4514 (o 14 míst) a Luční 4588 (o 28 míst), které se rozšířily o jednu třídu. A naopak ke snížení kapacity došlo u mateřských škol </w:t>
      </w:r>
      <w:r w:rsidRPr="00E62A2C">
        <w:t>Osvoboditelů 3778</w:t>
      </w:r>
      <w:r>
        <w:t xml:space="preserve"> (o</w:t>
      </w:r>
      <w:r w:rsidR="00004A20">
        <w:t> </w:t>
      </w:r>
      <w:r>
        <w:t xml:space="preserve">21 míst), </w:t>
      </w:r>
      <w:r w:rsidRPr="00E62A2C">
        <w:t>tř. Tomáše Bati 1285</w:t>
      </w:r>
      <w:r>
        <w:t xml:space="preserve"> (o 16 míst), </w:t>
      </w:r>
      <w:r w:rsidRPr="00E62A2C">
        <w:t>tř. Svobody 835</w:t>
      </w:r>
      <w:r>
        <w:t xml:space="preserve"> (o 21 míst). Kapacita je dlouhodobě naplňována nebo téměř naplňována u 7 mateřských škol.</w:t>
      </w:r>
      <w:r w:rsidRPr="00896FD2">
        <w:t xml:space="preserve"> </w:t>
      </w:r>
      <w:r>
        <w:t xml:space="preserve">Mezi mateřské školy s největší kapacitou od sledovaného roku patří Mateřská škola U Dřevnice 206 s kapacitou 222 dětí v 8 třídách, kde v roce 2019/2020 dochází nejvíce dětí (200 dětí), dále je to Mateřská škola </w:t>
      </w:r>
      <w:r w:rsidRPr="00E62A2C">
        <w:t>Luční 4588</w:t>
      </w:r>
      <w:r>
        <w:t xml:space="preserve"> s kapacitou 168 dětí a 6 třídami, kde dochází 161 dětí.</w:t>
      </w:r>
    </w:p>
    <w:p w14:paraId="51228F87" w14:textId="7100F361" w:rsidR="00BB4766" w:rsidRDefault="00BB4766" w:rsidP="00BB4766">
      <w:r>
        <w:t xml:space="preserve">V Koncepci rozvoje školství statutárního města Zlína na období let 2021 – 2027 je uvedena prognóza vývoje počtu dětí v </w:t>
      </w:r>
      <w:r w:rsidRPr="002D1F35">
        <w:t>mateřských školách zřizovaných městem Zlín</w:t>
      </w:r>
      <w:r>
        <w:t>em</w:t>
      </w:r>
      <w:r w:rsidRPr="002D1F35">
        <w:t xml:space="preserve"> do roku 2034</w:t>
      </w:r>
      <w:r>
        <w:t>, která</w:t>
      </w:r>
      <w:r w:rsidRPr="002D1F35">
        <w:t xml:space="preserve"> byla zpracována Ing. Jaroslavem Pacákem </w:t>
      </w:r>
      <w:r>
        <w:t>–</w:t>
      </w:r>
      <w:r w:rsidRPr="002D1F35">
        <w:t xml:space="preserve"> MARVIS</w:t>
      </w:r>
      <w:r>
        <w:t xml:space="preserve"> v roce 2013. Hlavním zjištěním prognózy pro statutární město Zlín bylo pokrytí poptávky po kapacitách v mateřských školách nabídkou míst v mateřských školách, které jsou na území města k dispozici, již v roce 2016, což se ukázalo jako reálné. V koncepci je dále hodnoceno, že je současná kapacita míst v mateřských školách celkem uspokojivá. Každoročně již od školního roku 2001/2002 statutární město Zlín reagovalo na demografický vývoj a na změny v</w:t>
      </w:r>
      <w:r w:rsidR="00004A20">
        <w:t> </w:t>
      </w:r>
      <w:r>
        <w:t>legislativě a zvyšovalo počet tříd v MŠ. Neuspokojeny ve svých žádostech zůstávaly v této době většinou děti, které dovrší tří let až v září příslušného roku a později.</w:t>
      </w:r>
      <w:r>
        <w:rPr>
          <w:rStyle w:val="Znakapoznpodarou"/>
        </w:rPr>
        <w:footnoteReference w:id="55"/>
      </w:r>
      <w:r>
        <w:t xml:space="preserve"> V koncepci je rovněž predikováno, na základě statistických údajů o počtu narozených dětí, že bude pravděpodobně v pozdějších letech kapacita mateřských škol nadbývat.</w:t>
      </w:r>
    </w:p>
    <w:p w14:paraId="35E9160B" w14:textId="254D3102" w:rsidR="00BB4766" w:rsidRDefault="00BB4766" w:rsidP="00BB4766">
      <w:r>
        <w:lastRenderedPageBreak/>
        <w:t>Některé mateřské školy se kromě svých školských vzdělávacích programů různě profilují. Nabídka činností v mateřských školách, které zřizuje město, je následující: preventivně logopedická péče, plavání, tanečně-pohybová průprava, individuální péče o děti nadané i o děti s odkladem školní docházky, škola v přírodě, hra na hudební nástroj – nejčastěji flétnu, dramatický kroužek, saunování, návštěvy kulturních představení, společné akce dětí a rodičů, výlety, exkurze, dopravní dny, sportovní dny, zubní prevence, jízda na koni, stravování dětí s celiakií a jinými dietami, keramická dílna, výtvarný kroužek, taneční souborek, ekologická výchova, seznamování s anglickým jazykem, výuka základů na počítači (v předškolní třídě).</w:t>
      </w:r>
      <w:r>
        <w:rPr>
          <w:rStyle w:val="Znakapoznpodarou"/>
        </w:rPr>
        <w:footnoteReference w:id="56"/>
      </w:r>
    </w:p>
    <w:p w14:paraId="49FF8255" w14:textId="463D7C04" w:rsidR="00BB4766" w:rsidRDefault="00BB4766" w:rsidP="00BB4766">
      <w:r>
        <w:t>Přehled mateřských škol, dětských skupin, center a klubů, zřizovaných jiným subjektem než městem Zlín, je uveden v </w:t>
      </w:r>
      <w:r w:rsidRPr="00CC239E">
        <w:t>následující tabulce</w:t>
      </w:r>
      <w:r w:rsidR="00094895">
        <w:t xml:space="preserve"> 1.3</w:t>
      </w:r>
      <w:r w:rsidR="00CA267E">
        <w:t>8</w:t>
      </w:r>
      <w:r w:rsidRPr="00CC239E">
        <w:t>.</w:t>
      </w:r>
      <w:r>
        <w:t xml:space="preserve"> Zlínský kraj zřizuje </w:t>
      </w:r>
      <w:r w:rsidRPr="00127F5F">
        <w:t>jedinou mateřskou školou pro děti se speciálními vzdělávacími potřebami ve Zlíně a okolí.</w:t>
      </w:r>
      <w:r>
        <w:t xml:space="preserve"> Jedná se o mateřskou školu, která je detašovaným</w:t>
      </w:r>
      <w:r w:rsidRPr="00127F5F">
        <w:t xml:space="preserve"> pracoviště</w:t>
      </w:r>
      <w:r>
        <w:t>m</w:t>
      </w:r>
      <w:r w:rsidRPr="00127F5F">
        <w:t xml:space="preserve"> zařízení Dětský domov, Mateřská škola, Základní škola a Praktická škola Zlín Lazy v</w:t>
      </w:r>
      <w:r w:rsidR="00004A20">
        <w:t> </w:t>
      </w:r>
      <w:r w:rsidRPr="00127F5F">
        <w:t>městské čtvrti Letn</w:t>
      </w:r>
      <w:r>
        <w:t xml:space="preserve">á ve Zlíně na ulici Mostní 2397 a která byla zřízena pro děti se zrakovým postižením, mentálním postižením, více vadami a poruchami autistického spektra. </w:t>
      </w:r>
    </w:p>
    <w:p w14:paraId="6A37C4A7" w14:textId="6572BC3D" w:rsidR="00BB4766" w:rsidRDefault="00BB4766" w:rsidP="00BB4766">
      <w:pPr>
        <w:pStyle w:val="Titulek"/>
      </w:pPr>
      <w:bookmarkStart w:id="242" w:name="_Toc52885949"/>
      <w:bookmarkStart w:id="243" w:name="_Toc7707471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38</w:t>
      </w:r>
      <w:r w:rsidR="00081B47">
        <w:rPr>
          <w:noProof/>
        </w:rPr>
        <w:fldChar w:fldCharType="end"/>
      </w:r>
      <w:r w:rsidR="00004A20">
        <w:rPr>
          <w:noProof/>
        </w:rPr>
        <w:t>:</w:t>
      </w:r>
      <w:r>
        <w:t xml:space="preserve"> Přehled školských zařízení zřizovaných jiným subjektem než městem Zlín</w:t>
      </w:r>
      <w:bookmarkEnd w:id="242"/>
      <w:bookmarkEnd w:id="243"/>
    </w:p>
    <w:tbl>
      <w:tblPr>
        <w:tblW w:w="9062" w:type="dxa"/>
        <w:tblCellMar>
          <w:left w:w="70" w:type="dxa"/>
          <w:right w:w="70" w:type="dxa"/>
        </w:tblCellMar>
        <w:tblLook w:val="04A0" w:firstRow="1" w:lastRow="0" w:firstColumn="1" w:lastColumn="0" w:noHBand="0" w:noVBand="1"/>
      </w:tblPr>
      <w:tblGrid>
        <w:gridCol w:w="3534"/>
        <w:gridCol w:w="4536"/>
        <w:gridCol w:w="992"/>
      </w:tblGrid>
      <w:tr w:rsidR="00BB4766" w:rsidRPr="00F150DB" w14:paraId="54B84A82" w14:textId="77777777" w:rsidTr="000C49A5">
        <w:trPr>
          <w:trHeight w:val="243"/>
        </w:trPr>
        <w:tc>
          <w:tcPr>
            <w:tcW w:w="3534" w:type="dxa"/>
            <w:tcBorders>
              <w:top w:val="single" w:sz="8" w:space="0" w:color="auto"/>
              <w:left w:val="single" w:sz="8" w:space="0" w:color="auto"/>
              <w:bottom w:val="nil"/>
              <w:right w:val="single" w:sz="4" w:space="0" w:color="auto"/>
            </w:tcBorders>
            <w:shd w:val="clear" w:color="000000" w:fill="D9D9D9"/>
            <w:vAlign w:val="bottom"/>
            <w:hideMark/>
          </w:tcPr>
          <w:p w14:paraId="78802955" w14:textId="77777777" w:rsidR="00BB4766" w:rsidRPr="00F150DB" w:rsidRDefault="00BB4766" w:rsidP="000C49A5">
            <w:pPr>
              <w:spacing w:before="0"/>
              <w:jc w:val="center"/>
              <w:rPr>
                <w:rFonts w:ascii="Calibri" w:eastAsia="Times New Roman" w:hAnsi="Calibri" w:cs="Calibri"/>
                <w:b/>
                <w:bCs/>
                <w:sz w:val="18"/>
                <w:szCs w:val="18"/>
                <w:lang w:eastAsia="cs-CZ"/>
              </w:rPr>
            </w:pPr>
            <w:r>
              <w:rPr>
                <w:rFonts w:ascii="Calibri" w:eastAsia="Times New Roman" w:hAnsi="Calibri" w:cs="Calibri"/>
                <w:b/>
                <w:bCs/>
                <w:sz w:val="18"/>
                <w:szCs w:val="18"/>
                <w:lang w:eastAsia="cs-CZ"/>
              </w:rPr>
              <w:t>Z</w:t>
            </w:r>
            <w:r w:rsidRPr="00F150DB">
              <w:rPr>
                <w:rFonts w:ascii="Calibri" w:eastAsia="Times New Roman" w:hAnsi="Calibri" w:cs="Calibri"/>
                <w:b/>
                <w:bCs/>
                <w:sz w:val="18"/>
                <w:szCs w:val="18"/>
                <w:lang w:eastAsia="cs-CZ"/>
              </w:rPr>
              <w:t>ařízení</w:t>
            </w:r>
          </w:p>
        </w:tc>
        <w:tc>
          <w:tcPr>
            <w:tcW w:w="4536" w:type="dxa"/>
            <w:tcBorders>
              <w:top w:val="single" w:sz="8" w:space="0" w:color="auto"/>
              <w:left w:val="nil"/>
              <w:bottom w:val="nil"/>
              <w:right w:val="single" w:sz="4" w:space="0" w:color="auto"/>
            </w:tcBorders>
            <w:shd w:val="clear" w:color="000000" w:fill="D9D9D9"/>
            <w:noWrap/>
            <w:vAlign w:val="bottom"/>
            <w:hideMark/>
          </w:tcPr>
          <w:p w14:paraId="67BEACF2" w14:textId="77777777" w:rsidR="00BB4766" w:rsidRPr="00F150DB" w:rsidRDefault="00BB4766" w:rsidP="000C49A5">
            <w:pPr>
              <w:spacing w:before="0"/>
              <w:jc w:val="center"/>
              <w:rPr>
                <w:rFonts w:ascii="Calibri" w:eastAsia="Times New Roman" w:hAnsi="Calibri" w:cs="Calibri"/>
                <w:b/>
                <w:bCs/>
                <w:sz w:val="18"/>
                <w:szCs w:val="18"/>
                <w:lang w:eastAsia="cs-CZ"/>
              </w:rPr>
            </w:pPr>
            <w:r>
              <w:rPr>
                <w:rFonts w:ascii="Calibri" w:eastAsia="Times New Roman" w:hAnsi="Calibri" w:cs="Calibri"/>
                <w:b/>
                <w:bCs/>
                <w:sz w:val="18"/>
                <w:szCs w:val="18"/>
                <w:lang w:eastAsia="cs-CZ"/>
              </w:rPr>
              <w:t>A</w:t>
            </w:r>
            <w:r w:rsidRPr="00F150DB">
              <w:rPr>
                <w:rFonts w:ascii="Calibri" w:eastAsia="Times New Roman" w:hAnsi="Calibri" w:cs="Calibri"/>
                <w:b/>
                <w:bCs/>
                <w:sz w:val="18"/>
                <w:szCs w:val="18"/>
                <w:lang w:eastAsia="cs-CZ"/>
              </w:rPr>
              <w:t>dresa</w:t>
            </w:r>
          </w:p>
        </w:tc>
        <w:tc>
          <w:tcPr>
            <w:tcW w:w="992" w:type="dxa"/>
            <w:tcBorders>
              <w:top w:val="single" w:sz="8" w:space="0" w:color="auto"/>
              <w:left w:val="nil"/>
              <w:bottom w:val="nil"/>
              <w:right w:val="single" w:sz="8" w:space="0" w:color="auto"/>
            </w:tcBorders>
            <w:shd w:val="clear" w:color="000000" w:fill="D9D9D9"/>
            <w:noWrap/>
            <w:vAlign w:val="bottom"/>
            <w:hideMark/>
          </w:tcPr>
          <w:p w14:paraId="18FD9E8D" w14:textId="77777777" w:rsidR="00BB4766" w:rsidRPr="00F150DB" w:rsidRDefault="00BB4766" w:rsidP="000C49A5">
            <w:pPr>
              <w:spacing w:before="0"/>
              <w:ind w:left="-70" w:right="-86"/>
              <w:rPr>
                <w:rFonts w:ascii="Calibri" w:eastAsia="Times New Roman" w:hAnsi="Calibri" w:cs="Calibri"/>
                <w:b/>
                <w:bCs/>
                <w:sz w:val="18"/>
                <w:szCs w:val="18"/>
                <w:lang w:eastAsia="cs-CZ"/>
              </w:rPr>
            </w:pPr>
            <w:r>
              <w:rPr>
                <w:rFonts w:ascii="Calibri" w:eastAsia="Times New Roman" w:hAnsi="Calibri" w:cs="Calibri"/>
                <w:b/>
                <w:bCs/>
                <w:sz w:val="18"/>
                <w:szCs w:val="18"/>
                <w:lang w:eastAsia="cs-CZ"/>
              </w:rPr>
              <w:t xml:space="preserve"> K</w:t>
            </w:r>
            <w:r w:rsidRPr="00F150DB">
              <w:rPr>
                <w:rFonts w:ascii="Calibri" w:eastAsia="Times New Roman" w:hAnsi="Calibri" w:cs="Calibri"/>
                <w:b/>
                <w:bCs/>
                <w:sz w:val="18"/>
                <w:szCs w:val="18"/>
                <w:lang w:eastAsia="cs-CZ"/>
              </w:rPr>
              <w:t>apacita</w:t>
            </w:r>
          </w:p>
        </w:tc>
      </w:tr>
      <w:tr w:rsidR="00BB4766" w:rsidRPr="00F150DB" w14:paraId="58CBC2B1" w14:textId="77777777" w:rsidTr="000C49A5">
        <w:trPr>
          <w:trHeight w:val="243"/>
        </w:trPr>
        <w:tc>
          <w:tcPr>
            <w:tcW w:w="3534" w:type="dxa"/>
            <w:tcBorders>
              <w:top w:val="single" w:sz="8" w:space="0" w:color="auto"/>
              <w:left w:val="single" w:sz="8" w:space="0" w:color="auto"/>
              <w:bottom w:val="nil"/>
              <w:right w:val="single" w:sz="4" w:space="0" w:color="auto"/>
            </w:tcBorders>
            <w:shd w:val="clear" w:color="auto" w:fill="FBE4D5" w:themeFill="accent2" w:themeFillTint="33"/>
            <w:vAlign w:val="bottom"/>
          </w:tcPr>
          <w:p w14:paraId="3D0F3B69"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Dětský domov, Mateřská škola, Základní škola a Praktická škola Zlín Lazy 3695, 760 01 Zlín</w:t>
            </w:r>
          </w:p>
        </w:tc>
        <w:tc>
          <w:tcPr>
            <w:tcW w:w="4536" w:type="dxa"/>
            <w:tcBorders>
              <w:top w:val="single" w:sz="8" w:space="0" w:color="auto"/>
              <w:left w:val="nil"/>
              <w:bottom w:val="nil"/>
              <w:right w:val="single" w:sz="4" w:space="0" w:color="auto"/>
            </w:tcBorders>
            <w:shd w:val="clear" w:color="auto" w:fill="FFFFFF" w:themeFill="background1"/>
            <w:noWrap/>
            <w:vAlign w:val="bottom"/>
          </w:tcPr>
          <w:p w14:paraId="0C67115A" w14:textId="77777777" w:rsidR="00BB4766" w:rsidRPr="00127F5F" w:rsidRDefault="00BB4766" w:rsidP="000C49A5">
            <w:pPr>
              <w:spacing w:before="0"/>
              <w:jc w:val="left"/>
              <w:rPr>
                <w:rFonts w:ascii="Calibri" w:eastAsia="Times New Roman" w:hAnsi="Calibri" w:cs="Calibri"/>
                <w:sz w:val="18"/>
                <w:szCs w:val="18"/>
                <w:lang w:eastAsia="cs-CZ"/>
              </w:rPr>
            </w:pPr>
            <w:r w:rsidRPr="00127F5F">
              <w:rPr>
                <w:rFonts w:ascii="Calibri" w:eastAsia="Times New Roman" w:hAnsi="Calibri" w:cs="Calibri"/>
                <w:sz w:val="18"/>
                <w:szCs w:val="18"/>
                <w:lang w:eastAsia="cs-CZ"/>
              </w:rPr>
              <w:t>Lazy 3695, 760 01 Zlín</w:t>
            </w:r>
          </w:p>
        </w:tc>
        <w:tc>
          <w:tcPr>
            <w:tcW w:w="992" w:type="dxa"/>
            <w:tcBorders>
              <w:top w:val="single" w:sz="8" w:space="0" w:color="auto"/>
              <w:left w:val="nil"/>
              <w:bottom w:val="nil"/>
              <w:right w:val="single" w:sz="8" w:space="0" w:color="auto"/>
            </w:tcBorders>
            <w:shd w:val="clear" w:color="auto" w:fill="FFFFFF" w:themeFill="background1"/>
            <w:noWrap/>
            <w:vAlign w:val="bottom"/>
          </w:tcPr>
          <w:p w14:paraId="691153E1" w14:textId="77777777" w:rsidR="00BB4766" w:rsidRPr="00127F5F" w:rsidRDefault="00BB4766" w:rsidP="000C49A5">
            <w:pPr>
              <w:spacing w:before="0"/>
              <w:jc w:val="right"/>
              <w:rPr>
                <w:rFonts w:ascii="Calibri" w:eastAsia="Times New Roman" w:hAnsi="Calibri" w:cs="Calibri"/>
                <w:sz w:val="18"/>
                <w:szCs w:val="18"/>
                <w:lang w:eastAsia="cs-CZ"/>
              </w:rPr>
            </w:pPr>
            <w:r>
              <w:rPr>
                <w:rFonts w:ascii="Calibri" w:eastAsia="Times New Roman" w:hAnsi="Calibri" w:cs="Calibri"/>
                <w:sz w:val="18"/>
                <w:szCs w:val="18"/>
                <w:lang w:eastAsia="cs-CZ"/>
              </w:rPr>
              <w:t>24</w:t>
            </w:r>
          </w:p>
        </w:tc>
      </w:tr>
      <w:tr w:rsidR="00BB4766" w:rsidRPr="00F150DB" w14:paraId="513B1E57" w14:textId="77777777" w:rsidTr="000C49A5">
        <w:trPr>
          <w:trHeight w:val="243"/>
        </w:trPr>
        <w:tc>
          <w:tcPr>
            <w:tcW w:w="3534" w:type="dxa"/>
            <w:tcBorders>
              <w:top w:val="single" w:sz="4" w:space="0" w:color="auto"/>
              <w:left w:val="single" w:sz="8" w:space="0" w:color="auto"/>
              <w:bottom w:val="single" w:sz="4" w:space="0" w:color="auto"/>
              <w:right w:val="single" w:sz="4" w:space="0" w:color="auto"/>
            </w:tcBorders>
            <w:shd w:val="clear" w:color="000000" w:fill="FCE4D6"/>
            <w:vAlign w:val="bottom"/>
            <w:hideMark/>
          </w:tcPr>
          <w:p w14:paraId="1BF8E5FB"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Mateřská škola "Sluníčko", s. r. o.</w:t>
            </w:r>
          </w:p>
        </w:tc>
        <w:tc>
          <w:tcPr>
            <w:tcW w:w="4536" w:type="dxa"/>
            <w:tcBorders>
              <w:top w:val="single" w:sz="4" w:space="0" w:color="auto"/>
              <w:left w:val="nil"/>
              <w:bottom w:val="single" w:sz="4" w:space="0" w:color="auto"/>
              <w:right w:val="single" w:sz="4" w:space="0" w:color="auto"/>
            </w:tcBorders>
            <w:shd w:val="clear" w:color="auto" w:fill="auto"/>
            <w:vAlign w:val="bottom"/>
            <w:hideMark/>
          </w:tcPr>
          <w:p w14:paraId="369B9451"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Ševcovská 2681/25, 760 01 Zlín</w:t>
            </w:r>
          </w:p>
        </w:tc>
        <w:tc>
          <w:tcPr>
            <w:tcW w:w="992" w:type="dxa"/>
            <w:tcBorders>
              <w:top w:val="single" w:sz="4" w:space="0" w:color="auto"/>
              <w:left w:val="nil"/>
              <w:bottom w:val="single" w:sz="4" w:space="0" w:color="auto"/>
              <w:right w:val="single" w:sz="8" w:space="0" w:color="auto"/>
            </w:tcBorders>
            <w:shd w:val="clear" w:color="auto" w:fill="auto"/>
            <w:noWrap/>
            <w:vAlign w:val="bottom"/>
            <w:hideMark/>
          </w:tcPr>
          <w:p w14:paraId="0995C1DE"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20</w:t>
            </w:r>
          </w:p>
        </w:tc>
      </w:tr>
      <w:tr w:rsidR="00BB4766" w:rsidRPr="00F150DB" w14:paraId="1A57E836" w14:textId="77777777" w:rsidTr="000C49A5">
        <w:trPr>
          <w:trHeight w:val="375"/>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6407CE63"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Montessori Zlín  s.r.o.</w:t>
            </w:r>
          </w:p>
        </w:tc>
        <w:tc>
          <w:tcPr>
            <w:tcW w:w="4536" w:type="dxa"/>
            <w:tcBorders>
              <w:top w:val="nil"/>
              <w:left w:val="nil"/>
              <w:bottom w:val="single" w:sz="4" w:space="0" w:color="auto"/>
              <w:right w:val="single" w:sz="4" w:space="0" w:color="auto"/>
            </w:tcBorders>
            <w:shd w:val="clear" w:color="auto" w:fill="auto"/>
            <w:vAlign w:val="bottom"/>
            <w:hideMark/>
          </w:tcPr>
          <w:p w14:paraId="1A85A38E"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Buková 1722, 760 01 Zlín - pošt. adr. Nám. T. G. M. 588, 760 01 Zlín - provoz.      Nad Ovčírnou 344, 760 01 Zlín - provoz.             </w:t>
            </w:r>
          </w:p>
        </w:tc>
        <w:tc>
          <w:tcPr>
            <w:tcW w:w="992" w:type="dxa"/>
            <w:tcBorders>
              <w:top w:val="nil"/>
              <w:left w:val="nil"/>
              <w:bottom w:val="single" w:sz="4" w:space="0" w:color="auto"/>
              <w:right w:val="single" w:sz="8" w:space="0" w:color="auto"/>
            </w:tcBorders>
            <w:shd w:val="clear" w:color="auto" w:fill="auto"/>
            <w:noWrap/>
            <w:vAlign w:val="bottom"/>
            <w:hideMark/>
          </w:tcPr>
          <w:p w14:paraId="13E02E2B"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25</w:t>
            </w:r>
          </w:p>
        </w:tc>
      </w:tr>
      <w:tr w:rsidR="00BB4766" w:rsidRPr="00F150DB" w14:paraId="4AC876AF" w14:textId="77777777" w:rsidTr="000C49A5">
        <w:trPr>
          <w:trHeight w:val="243"/>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3974291F"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Církevní mateřská škola ve Zlíně</w:t>
            </w:r>
          </w:p>
        </w:tc>
        <w:tc>
          <w:tcPr>
            <w:tcW w:w="4536" w:type="dxa"/>
            <w:tcBorders>
              <w:top w:val="nil"/>
              <w:left w:val="nil"/>
              <w:bottom w:val="single" w:sz="4" w:space="0" w:color="auto"/>
              <w:right w:val="single" w:sz="4" w:space="0" w:color="auto"/>
            </w:tcBorders>
            <w:shd w:val="clear" w:color="auto" w:fill="auto"/>
            <w:vAlign w:val="bottom"/>
            <w:hideMark/>
          </w:tcPr>
          <w:p w14:paraId="385A6B5F"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Česká 4787, 760 05 Zlín                                                </w:t>
            </w:r>
          </w:p>
        </w:tc>
        <w:tc>
          <w:tcPr>
            <w:tcW w:w="992" w:type="dxa"/>
            <w:tcBorders>
              <w:top w:val="nil"/>
              <w:left w:val="nil"/>
              <w:bottom w:val="single" w:sz="4" w:space="0" w:color="auto"/>
              <w:right w:val="single" w:sz="8" w:space="0" w:color="auto"/>
            </w:tcBorders>
            <w:shd w:val="clear" w:color="auto" w:fill="auto"/>
            <w:noWrap/>
            <w:vAlign w:val="bottom"/>
            <w:hideMark/>
          </w:tcPr>
          <w:p w14:paraId="7FD5DE92"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47</w:t>
            </w:r>
          </w:p>
        </w:tc>
      </w:tr>
      <w:tr w:rsidR="00BB4766" w:rsidRPr="00F150DB" w14:paraId="13709DD2" w14:textId="77777777" w:rsidTr="000C49A5">
        <w:trPr>
          <w:trHeight w:val="243"/>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077DE3EE"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Dětské centrum Beruška o.s. </w:t>
            </w:r>
          </w:p>
        </w:tc>
        <w:tc>
          <w:tcPr>
            <w:tcW w:w="4536" w:type="dxa"/>
            <w:tcBorders>
              <w:top w:val="nil"/>
              <w:left w:val="nil"/>
              <w:bottom w:val="single" w:sz="4" w:space="0" w:color="auto"/>
              <w:right w:val="single" w:sz="4" w:space="0" w:color="auto"/>
            </w:tcBorders>
            <w:shd w:val="clear" w:color="auto" w:fill="auto"/>
            <w:vAlign w:val="bottom"/>
            <w:hideMark/>
          </w:tcPr>
          <w:p w14:paraId="039DD876" w14:textId="77777777" w:rsidR="00BB4766"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Ševcovská 3350/8, 76001 Zlín                </w:t>
            </w:r>
          </w:p>
          <w:p w14:paraId="5985E6C8"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Podlesí IV/5315, 760 05 Zlín  </w:t>
            </w:r>
          </w:p>
        </w:tc>
        <w:tc>
          <w:tcPr>
            <w:tcW w:w="992" w:type="dxa"/>
            <w:tcBorders>
              <w:top w:val="nil"/>
              <w:left w:val="nil"/>
              <w:bottom w:val="single" w:sz="4" w:space="0" w:color="auto"/>
              <w:right w:val="single" w:sz="8" w:space="0" w:color="auto"/>
            </w:tcBorders>
            <w:shd w:val="clear" w:color="auto" w:fill="auto"/>
            <w:noWrap/>
            <w:vAlign w:val="bottom"/>
            <w:hideMark/>
          </w:tcPr>
          <w:p w14:paraId="00F35E2D"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30</w:t>
            </w:r>
          </w:p>
        </w:tc>
      </w:tr>
      <w:tr w:rsidR="00BB4766" w:rsidRPr="00F150DB" w14:paraId="29B362A2" w14:textId="77777777" w:rsidTr="000C49A5">
        <w:trPr>
          <w:trHeight w:val="243"/>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626340FA"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 xml:space="preserve">KAČKA s. r. o. </w:t>
            </w:r>
          </w:p>
        </w:tc>
        <w:tc>
          <w:tcPr>
            <w:tcW w:w="4536" w:type="dxa"/>
            <w:tcBorders>
              <w:top w:val="nil"/>
              <w:left w:val="nil"/>
              <w:bottom w:val="single" w:sz="4" w:space="0" w:color="auto"/>
              <w:right w:val="single" w:sz="4" w:space="0" w:color="auto"/>
            </w:tcBorders>
            <w:shd w:val="clear" w:color="auto" w:fill="auto"/>
            <w:vAlign w:val="bottom"/>
            <w:hideMark/>
          </w:tcPr>
          <w:p w14:paraId="14C0AB4D"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Hluboká 789, 760 01 Zlín    </w:t>
            </w:r>
          </w:p>
        </w:tc>
        <w:tc>
          <w:tcPr>
            <w:tcW w:w="992" w:type="dxa"/>
            <w:tcBorders>
              <w:top w:val="nil"/>
              <w:left w:val="nil"/>
              <w:bottom w:val="single" w:sz="4" w:space="0" w:color="auto"/>
              <w:right w:val="single" w:sz="8" w:space="0" w:color="auto"/>
            </w:tcBorders>
            <w:shd w:val="clear" w:color="auto" w:fill="auto"/>
            <w:noWrap/>
            <w:vAlign w:val="bottom"/>
            <w:hideMark/>
          </w:tcPr>
          <w:p w14:paraId="3E785721"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15</w:t>
            </w:r>
          </w:p>
        </w:tc>
      </w:tr>
      <w:tr w:rsidR="00BB4766" w:rsidRPr="00F150DB" w14:paraId="0B7B711E" w14:textId="77777777" w:rsidTr="000C49A5">
        <w:trPr>
          <w:trHeight w:val="243"/>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61DBABEE"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UMŠ Qočna</w:t>
            </w:r>
          </w:p>
        </w:tc>
        <w:tc>
          <w:tcPr>
            <w:tcW w:w="4536" w:type="dxa"/>
            <w:tcBorders>
              <w:top w:val="nil"/>
              <w:left w:val="nil"/>
              <w:bottom w:val="single" w:sz="4" w:space="0" w:color="auto"/>
              <w:right w:val="single" w:sz="4" w:space="0" w:color="auto"/>
            </w:tcBorders>
            <w:shd w:val="clear" w:color="auto" w:fill="auto"/>
            <w:vAlign w:val="bottom"/>
            <w:hideMark/>
          </w:tcPr>
          <w:p w14:paraId="435FA373"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nám. T. G. Masaryka 3050, 760 01 Zlín    </w:t>
            </w:r>
          </w:p>
        </w:tc>
        <w:tc>
          <w:tcPr>
            <w:tcW w:w="992" w:type="dxa"/>
            <w:tcBorders>
              <w:top w:val="nil"/>
              <w:left w:val="nil"/>
              <w:bottom w:val="single" w:sz="4" w:space="0" w:color="auto"/>
              <w:right w:val="single" w:sz="8" w:space="0" w:color="auto"/>
            </w:tcBorders>
            <w:shd w:val="clear" w:color="auto" w:fill="auto"/>
            <w:noWrap/>
            <w:vAlign w:val="bottom"/>
            <w:hideMark/>
          </w:tcPr>
          <w:p w14:paraId="470E5263"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24</w:t>
            </w:r>
          </w:p>
        </w:tc>
      </w:tr>
      <w:tr w:rsidR="00BB4766" w:rsidRPr="00F150DB" w14:paraId="1E030B14" w14:textId="77777777" w:rsidTr="000C49A5">
        <w:trPr>
          <w:trHeight w:val="162"/>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19AF3483"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DOMINO</w:t>
            </w:r>
          </w:p>
        </w:tc>
        <w:tc>
          <w:tcPr>
            <w:tcW w:w="4536" w:type="dxa"/>
            <w:tcBorders>
              <w:top w:val="nil"/>
              <w:left w:val="nil"/>
              <w:bottom w:val="single" w:sz="4" w:space="0" w:color="auto"/>
              <w:right w:val="single" w:sz="4" w:space="0" w:color="auto"/>
            </w:tcBorders>
            <w:shd w:val="clear" w:color="auto" w:fill="auto"/>
            <w:vAlign w:val="bottom"/>
            <w:hideMark/>
          </w:tcPr>
          <w:p w14:paraId="717E4A4C"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Santražiny 753, provozovna tř. T. Bati 3244</w:t>
            </w:r>
          </w:p>
        </w:tc>
        <w:tc>
          <w:tcPr>
            <w:tcW w:w="992" w:type="dxa"/>
            <w:tcBorders>
              <w:top w:val="nil"/>
              <w:left w:val="nil"/>
              <w:bottom w:val="single" w:sz="4" w:space="0" w:color="auto"/>
              <w:right w:val="single" w:sz="8" w:space="0" w:color="auto"/>
            </w:tcBorders>
            <w:shd w:val="clear" w:color="auto" w:fill="auto"/>
            <w:noWrap/>
            <w:vAlign w:val="bottom"/>
            <w:hideMark/>
          </w:tcPr>
          <w:p w14:paraId="14F5351B"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20</w:t>
            </w:r>
          </w:p>
        </w:tc>
      </w:tr>
      <w:tr w:rsidR="00BB4766" w:rsidRPr="00F150DB" w14:paraId="1600EE4E" w14:textId="77777777" w:rsidTr="000C49A5">
        <w:trPr>
          <w:trHeight w:val="207"/>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75CCAF91"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Miniškolička NEKKY</w:t>
            </w:r>
          </w:p>
        </w:tc>
        <w:tc>
          <w:tcPr>
            <w:tcW w:w="4536" w:type="dxa"/>
            <w:tcBorders>
              <w:top w:val="nil"/>
              <w:left w:val="nil"/>
              <w:bottom w:val="single" w:sz="4" w:space="0" w:color="auto"/>
              <w:right w:val="single" w:sz="4" w:space="0" w:color="auto"/>
            </w:tcBorders>
            <w:shd w:val="clear" w:color="auto" w:fill="auto"/>
            <w:vAlign w:val="bottom"/>
            <w:hideMark/>
          </w:tcPr>
          <w:p w14:paraId="48783B72"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Valachův žleb – Jižní Svahy, 760 05 Zlín          </w:t>
            </w:r>
          </w:p>
        </w:tc>
        <w:tc>
          <w:tcPr>
            <w:tcW w:w="992" w:type="dxa"/>
            <w:tcBorders>
              <w:top w:val="nil"/>
              <w:left w:val="nil"/>
              <w:bottom w:val="single" w:sz="4" w:space="0" w:color="auto"/>
              <w:right w:val="single" w:sz="8" w:space="0" w:color="auto"/>
            </w:tcBorders>
            <w:shd w:val="clear" w:color="auto" w:fill="auto"/>
            <w:noWrap/>
            <w:vAlign w:val="bottom"/>
            <w:hideMark/>
          </w:tcPr>
          <w:p w14:paraId="478D624D"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0</w:t>
            </w:r>
          </w:p>
        </w:tc>
      </w:tr>
      <w:tr w:rsidR="00BB4766" w:rsidRPr="00F150DB" w14:paraId="43341021" w14:textId="77777777" w:rsidTr="000C49A5">
        <w:trPr>
          <w:trHeight w:val="128"/>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3CC2E101"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Rodinný klub Na Pasece</w:t>
            </w:r>
          </w:p>
        </w:tc>
        <w:tc>
          <w:tcPr>
            <w:tcW w:w="4536" w:type="dxa"/>
            <w:tcBorders>
              <w:top w:val="nil"/>
              <w:left w:val="nil"/>
              <w:bottom w:val="single" w:sz="4" w:space="0" w:color="auto"/>
              <w:right w:val="single" w:sz="4" w:space="0" w:color="auto"/>
            </w:tcBorders>
            <w:shd w:val="clear" w:color="auto" w:fill="auto"/>
            <w:noWrap/>
            <w:vAlign w:val="bottom"/>
            <w:hideMark/>
          </w:tcPr>
          <w:p w14:paraId="1B3EC5D2"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Hrobická 75, 763 14 Zlín - Veliková</w:t>
            </w:r>
          </w:p>
        </w:tc>
        <w:tc>
          <w:tcPr>
            <w:tcW w:w="992" w:type="dxa"/>
            <w:tcBorders>
              <w:top w:val="nil"/>
              <w:left w:val="nil"/>
              <w:bottom w:val="single" w:sz="4" w:space="0" w:color="auto"/>
              <w:right w:val="single" w:sz="8" w:space="0" w:color="auto"/>
            </w:tcBorders>
            <w:shd w:val="clear" w:color="auto" w:fill="auto"/>
            <w:noWrap/>
            <w:vAlign w:val="bottom"/>
            <w:hideMark/>
          </w:tcPr>
          <w:p w14:paraId="5237D6B0"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12</w:t>
            </w:r>
          </w:p>
        </w:tc>
      </w:tr>
      <w:tr w:rsidR="00BB4766" w:rsidRPr="00F150DB" w14:paraId="55041416" w14:textId="77777777" w:rsidTr="000C49A5">
        <w:trPr>
          <w:trHeight w:val="172"/>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3F5B94EF"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Kamarád - Nenuda o.s.</w:t>
            </w:r>
          </w:p>
        </w:tc>
        <w:tc>
          <w:tcPr>
            <w:tcW w:w="4536" w:type="dxa"/>
            <w:tcBorders>
              <w:top w:val="nil"/>
              <w:left w:val="nil"/>
              <w:bottom w:val="single" w:sz="4" w:space="0" w:color="auto"/>
              <w:right w:val="single" w:sz="4" w:space="0" w:color="auto"/>
            </w:tcBorders>
            <w:shd w:val="clear" w:color="auto" w:fill="auto"/>
            <w:vAlign w:val="bottom"/>
            <w:hideMark/>
          </w:tcPr>
          <w:p w14:paraId="376D7196"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Gahurova 5265, 760 01 Zlín                                            </w:t>
            </w:r>
          </w:p>
        </w:tc>
        <w:tc>
          <w:tcPr>
            <w:tcW w:w="992" w:type="dxa"/>
            <w:tcBorders>
              <w:top w:val="nil"/>
              <w:left w:val="nil"/>
              <w:bottom w:val="single" w:sz="4" w:space="0" w:color="auto"/>
              <w:right w:val="single" w:sz="8" w:space="0" w:color="auto"/>
            </w:tcBorders>
            <w:shd w:val="clear" w:color="auto" w:fill="auto"/>
            <w:noWrap/>
            <w:vAlign w:val="bottom"/>
            <w:hideMark/>
          </w:tcPr>
          <w:p w14:paraId="7CAB5C62"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10</w:t>
            </w:r>
          </w:p>
        </w:tc>
      </w:tr>
      <w:tr w:rsidR="00BB4766" w:rsidRPr="00F150DB" w14:paraId="35E83CDF" w14:textId="77777777" w:rsidTr="000C49A5">
        <w:trPr>
          <w:trHeight w:val="229"/>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18836CD5"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Centrum šťastné dítě</w:t>
            </w:r>
          </w:p>
        </w:tc>
        <w:tc>
          <w:tcPr>
            <w:tcW w:w="4536" w:type="dxa"/>
            <w:tcBorders>
              <w:top w:val="nil"/>
              <w:left w:val="nil"/>
              <w:bottom w:val="single" w:sz="4" w:space="0" w:color="auto"/>
              <w:right w:val="single" w:sz="4" w:space="0" w:color="auto"/>
            </w:tcBorders>
            <w:shd w:val="clear" w:color="auto" w:fill="auto"/>
            <w:vAlign w:val="bottom"/>
            <w:hideMark/>
          </w:tcPr>
          <w:p w14:paraId="04F2DCE2"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Lorencova 5424, 760 01 Zlín                                        </w:t>
            </w:r>
          </w:p>
        </w:tc>
        <w:tc>
          <w:tcPr>
            <w:tcW w:w="992" w:type="dxa"/>
            <w:tcBorders>
              <w:top w:val="nil"/>
              <w:left w:val="nil"/>
              <w:bottom w:val="single" w:sz="4" w:space="0" w:color="auto"/>
              <w:right w:val="single" w:sz="8" w:space="0" w:color="auto"/>
            </w:tcBorders>
            <w:shd w:val="clear" w:color="auto" w:fill="auto"/>
            <w:noWrap/>
            <w:vAlign w:val="bottom"/>
            <w:hideMark/>
          </w:tcPr>
          <w:p w14:paraId="741071BC"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15</w:t>
            </w:r>
          </w:p>
        </w:tc>
      </w:tr>
      <w:tr w:rsidR="00BB4766" w:rsidRPr="00F150DB" w14:paraId="2C539BCE" w14:textId="77777777" w:rsidTr="000C49A5">
        <w:trPr>
          <w:trHeight w:val="124"/>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29740F5B"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Medvídkov - soukromé jesle</w:t>
            </w:r>
          </w:p>
        </w:tc>
        <w:tc>
          <w:tcPr>
            <w:tcW w:w="4536" w:type="dxa"/>
            <w:tcBorders>
              <w:top w:val="nil"/>
              <w:left w:val="nil"/>
              <w:bottom w:val="single" w:sz="4" w:space="0" w:color="auto"/>
              <w:right w:val="single" w:sz="4" w:space="0" w:color="auto"/>
            </w:tcBorders>
            <w:shd w:val="clear" w:color="auto" w:fill="auto"/>
            <w:vAlign w:val="bottom"/>
            <w:hideMark/>
          </w:tcPr>
          <w:p w14:paraId="647DCF74"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Zálešná V/5643, Zlín                                      </w:t>
            </w:r>
          </w:p>
        </w:tc>
        <w:tc>
          <w:tcPr>
            <w:tcW w:w="992" w:type="dxa"/>
            <w:tcBorders>
              <w:top w:val="nil"/>
              <w:left w:val="nil"/>
              <w:bottom w:val="single" w:sz="4" w:space="0" w:color="auto"/>
              <w:right w:val="single" w:sz="8" w:space="0" w:color="auto"/>
            </w:tcBorders>
            <w:shd w:val="clear" w:color="auto" w:fill="auto"/>
            <w:noWrap/>
            <w:vAlign w:val="bottom"/>
            <w:hideMark/>
          </w:tcPr>
          <w:p w14:paraId="498C7439"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8</w:t>
            </w:r>
          </w:p>
        </w:tc>
      </w:tr>
      <w:tr w:rsidR="00BB4766" w:rsidRPr="00F150DB" w14:paraId="0B6F52D5" w14:textId="77777777" w:rsidTr="000C49A5">
        <w:trPr>
          <w:trHeight w:val="243"/>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1E8CF34C"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KIKI klub s. r. o.</w:t>
            </w:r>
          </w:p>
        </w:tc>
        <w:tc>
          <w:tcPr>
            <w:tcW w:w="4536" w:type="dxa"/>
            <w:tcBorders>
              <w:top w:val="nil"/>
              <w:left w:val="nil"/>
              <w:bottom w:val="single" w:sz="4" w:space="0" w:color="auto"/>
              <w:right w:val="single" w:sz="4" w:space="0" w:color="auto"/>
            </w:tcBorders>
            <w:shd w:val="clear" w:color="auto" w:fill="auto"/>
            <w:vAlign w:val="bottom"/>
            <w:hideMark/>
          </w:tcPr>
          <w:p w14:paraId="205E6CB3"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Rašínova 467/13, 760 01 Zlín                      </w:t>
            </w:r>
          </w:p>
        </w:tc>
        <w:tc>
          <w:tcPr>
            <w:tcW w:w="992" w:type="dxa"/>
            <w:tcBorders>
              <w:top w:val="nil"/>
              <w:left w:val="nil"/>
              <w:bottom w:val="single" w:sz="4" w:space="0" w:color="auto"/>
              <w:right w:val="single" w:sz="8" w:space="0" w:color="auto"/>
            </w:tcBorders>
            <w:shd w:val="clear" w:color="auto" w:fill="auto"/>
            <w:noWrap/>
            <w:vAlign w:val="bottom"/>
            <w:hideMark/>
          </w:tcPr>
          <w:p w14:paraId="617CCA72"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12</w:t>
            </w:r>
          </w:p>
        </w:tc>
      </w:tr>
      <w:tr w:rsidR="00BB4766" w:rsidRPr="00F150DB" w14:paraId="2BB87697" w14:textId="77777777" w:rsidTr="000C49A5">
        <w:trPr>
          <w:trHeight w:val="243"/>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48C95992"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Mateřská škola Borůvkový kopec</w:t>
            </w:r>
          </w:p>
        </w:tc>
        <w:tc>
          <w:tcPr>
            <w:tcW w:w="4536" w:type="dxa"/>
            <w:tcBorders>
              <w:top w:val="nil"/>
              <w:left w:val="nil"/>
              <w:bottom w:val="single" w:sz="4" w:space="0" w:color="auto"/>
              <w:right w:val="single" w:sz="4" w:space="0" w:color="auto"/>
            </w:tcBorders>
            <w:shd w:val="clear" w:color="auto" w:fill="auto"/>
            <w:vAlign w:val="bottom"/>
            <w:hideMark/>
          </w:tcPr>
          <w:p w14:paraId="6F7E059C"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Náměstí T. G. M. 5144 , 760 01 Zlín      </w:t>
            </w:r>
          </w:p>
        </w:tc>
        <w:tc>
          <w:tcPr>
            <w:tcW w:w="992" w:type="dxa"/>
            <w:tcBorders>
              <w:top w:val="nil"/>
              <w:left w:val="nil"/>
              <w:bottom w:val="single" w:sz="4" w:space="0" w:color="auto"/>
              <w:right w:val="single" w:sz="8" w:space="0" w:color="auto"/>
            </w:tcBorders>
            <w:shd w:val="clear" w:color="auto" w:fill="auto"/>
            <w:noWrap/>
            <w:vAlign w:val="bottom"/>
            <w:hideMark/>
          </w:tcPr>
          <w:p w14:paraId="50AA2E21" w14:textId="77777777" w:rsidR="00BB4766" w:rsidRPr="00F150DB" w:rsidRDefault="00BB4766" w:rsidP="000C49A5">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27</w:t>
            </w:r>
          </w:p>
        </w:tc>
      </w:tr>
      <w:tr w:rsidR="00BB4766" w:rsidRPr="00F150DB" w14:paraId="3074676E" w14:textId="77777777" w:rsidTr="000C49A5">
        <w:trPr>
          <w:trHeight w:val="214"/>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5EAA4716"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Dětský klub Bimbo Belli</w:t>
            </w:r>
          </w:p>
        </w:tc>
        <w:tc>
          <w:tcPr>
            <w:tcW w:w="4536" w:type="dxa"/>
            <w:tcBorders>
              <w:top w:val="nil"/>
              <w:left w:val="nil"/>
              <w:bottom w:val="single" w:sz="4" w:space="0" w:color="auto"/>
              <w:right w:val="single" w:sz="4" w:space="0" w:color="auto"/>
            </w:tcBorders>
            <w:shd w:val="clear" w:color="auto" w:fill="auto"/>
            <w:vAlign w:val="bottom"/>
            <w:hideMark/>
          </w:tcPr>
          <w:p w14:paraId="4575F4BA"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xml:space="preserve">Budova OC Zlín Kvítková – 4np, Kvítková 435, 760 01 Zlín                        </w:t>
            </w:r>
          </w:p>
        </w:tc>
        <w:tc>
          <w:tcPr>
            <w:tcW w:w="992" w:type="dxa"/>
            <w:tcBorders>
              <w:top w:val="nil"/>
              <w:left w:val="nil"/>
              <w:bottom w:val="single" w:sz="4" w:space="0" w:color="auto"/>
              <w:right w:val="single" w:sz="8" w:space="0" w:color="auto"/>
            </w:tcBorders>
            <w:shd w:val="clear" w:color="auto" w:fill="auto"/>
            <w:noWrap/>
            <w:vAlign w:val="bottom"/>
            <w:hideMark/>
          </w:tcPr>
          <w:p w14:paraId="593A6653" w14:textId="5BDEA6C0" w:rsidR="00BB4766" w:rsidRPr="00F150DB" w:rsidRDefault="00BB4766" w:rsidP="00C02B6B">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w:t>
            </w:r>
            <w:r w:rsidR="00C02B6B">
              <w:rPr>
                <w:rFonts w:ascii="Calibri" w:eastAsia="Times New Roman" w:hAnsi="Calibri" w:cs="Calibri"/>
                <w:sz w:val="18"/>
                <w:szCs w:val="18"/>
                <w:lang w:eastAsia="cs-CZ"/>
              </w:rPr>
              <w:t>-</w:t>
            </w:r>
          </w:p>
        </w:tc>
      </w:tr>
      <w:tr w:rsidR="00BB4766" w:rsidRPr="00F150DB" w14:paraId="22E784F3" w14:textId="77777777" w:rsidTr="000C49A5">
        <w:trPr>
          <w:trHeight w:val="195"/>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7CB0A24D"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Aktivně životem - Aktiváček dětská skupina</w:t>
            </w:r>
          </w:p>
        </w:tc>
        <w:tc>
          <w:tcPr>
            <w:tcW w:w="4536" w:type="dxa"/>
            <w:tcBorders>
              <w:top w:val="nil"/>
              <w:left w:val="nil"/>
              <w:bottom w:val="single" w:sz="4" w:space="0" w:color="auto"/>
              <w:right w:val="single" w:sz="4" w:space="0" w:color="auto"/>
            </w:tcBorders>
            <w:shd w:val="clear" w:color="auto" w:fill="auto"/>
            <w:noWrap/>
            <w:vAlign w:val="bottom"/>
            <w:hideMark/>
          </w:tcPr>
          <w:p w14:paraId="1F4F5EC8" w14:textId="77777777" w:rsidR="00BB4766" w:rsidRPr="00127F5F" w:rsidRDefault="00BB4766" w:rsidP="000C49A5">
            <w:pPr>
              <w:spacing w:before="0"/>
              <w:jc w:val="left"/>
              <w:rPr>
                <w:rFonts w:ascii="Calibri" w:eastAsia="Times New Roman" w:hAnsi="Calibri" w:cs="Calibri"/>
                <w:sz w:val="18"/>
                <w:szCs w:val="18"/>
                <w:lang w:eastAsia="cs-CZ"/>
              </w:rPr>
            </w:pPr>
            <w:r w:rsidRPr="00127F5F">
              <w:rPr>
                <w:rFonts w:ascii="Calibri" w:eastAsia="Times New Roman" w:hAnsi="Calibri" w:cs="Calibri"/>
                <w:sz w:val="18"/>
                <w:szCs w:val="18"/>
                <w:lang w:eastAsia="cs-CZ"/>
              </w:rPr>
              <w:t>Smetanova 767, 760 01  Zlín</w:t>
            </w:r>
          </w:p>
        </w:tc>
        <w:tc>
          <w:tcPr>
            <w:tcW w:w="992" w:type="dxa"/>
            <w:tcBorders>
              <w:top w:val="nil"/>
              <w:left w:val="nil"/>
              <w:bottom w:val="single" w:sz="4" w:space="0" w:color="auto"/>
              <w:right w:val="single" w:sz="8" w:space="0" w:color="auto"/>
            </w:tcBorders>
            <w:shd w:val="clear" w:color="auto" w:fill="auto"/>
            <w:noWrap/>
            <w:vAlign w:val="bottom"/>
            <w:hideMark/>
          </w:tcPr>
          <w:p w14:paraId="42F3ED68" w14:textId="07AFEDAB" w:rsidR="00BB4766" w:rsidRPr="00F150DB" w:rsidRDefault="00BB4766" w:rsidP="00C02B6B">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w:t>
            </w:r>
            <w:r w:rsidR="00C02B6B">
              <w:rPr>
                <w:rFonts w:ascii="Calibri" w:eastAsia="Times New Roman" w:hAnsi="Calibri" w:cs="Calibri"/>
                <w:sz w:val="18"/>
                <w:szCs w:val="18"/>
                <w:lang w:eastAsia="cs-CZ"/>
              </w:rPr>
              <w:t>-</w:t>
            </w:r>
          </w:p>
        </w:tc>
      </w:tr>
      <w:tr w:rsidR="00BB4766" w:rsidRPr="00F150DB" w14:paraId="4DE9986D" w14:textId="77777777" w:rsidTr="000C49A5">
        <w:trPr>
          <w:trHeight w:val="239"/>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26E433C6"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Pidiškolka - Dětské centrum Vlnka</w:t>
            </w:r>
          </w:p>
        </w:tc>
        <w:tc>
          <w:tcPr>
            <w:tcW w:w="4536" w:type="dxa"/>
            <w:tcBorders>
              <w:top w:val="nil"/>
              <w:left w:val="nil"/>
              <w:bottom w:val="single" w:sz="4" w:space="0" w:color="auto"/>
              <w:right w:val="single" w:sz="4" w:space="0" w:color="auto"/>
            </w:tcBorders>
            <w:shd w:val="clear" w:color="auto" w:fill="auto"/>
            <w:noWrap/>
            <w:vAlign w:val="bottom"/>
            <w:hideMark/>
          </w:tcPr>
          <w:p w14:paraId="1BA2F013" w14:textId="77777777" w:rsidR="00BB4766" w:rsidRPr="00127F5F" w:rsidRDefault="00BB4766" w:rsidP="000C49A5">
            <w:pPr>
              <w:spacing w:before="0"/>
              <w:jc w:val="left"/>
              <w:rPr>
                <w:rFonts w:ascii="Calibri" w:eastAsia="Times New Roman" w:hAnsi="Calibri" w:cs="Calibri"/>
                <w:sz w:val="18"/>
                <w:szCs w:val="18"/>
                <w:lang w:eastAsia="cs-CZ"/>
              </w:rPr>
            </w:pPr>
            <w:r w:rsidRPr="00127F5F">
              <w:rPr>
                <w:rFonts w:ascii="Calibri" w:eastAsia="Times New Roman" w:hAnsi="Calibri" w:cs="Calibri"/>
                <w:sz w:val="18"/>
                <w:szCs w:val="18"/>
                <w:lang w:eastAsia="cs-CZ"/>
              </w:rPr>
              <w:t>Středová 5668, 760 05 Zlín</w:t>
            </w:r>
          </w:p>
        </w:tc>
        <w:tc>
          <w:tcPr>
            <w:tcW w:w="992" w:type="dxa"/>
            <w:tcBorders>
              <w:top w:val="nil"/>
              <w:left w:val="nil"/>
              <w:bottom w:val="single" w:sz="4" w:space="0" w:color="auto"/>
              <w:right w:val="single" w:sz="8" w:space="0" w:color="auto"/>
            </w:tcBorders>
            <w:shd w:val="clear" w:color="auto" w:fill="auto"/>
            <w:noWrap/>
            <w:vAlign w:val="bottom"/>
            <w:hideMark/>
          </w:tcPr>
          <w:p w14:paraId="54E0C4C5" w14:textId="033D6B67" w:rsidR="00BB4766" w:rsidRPr="00F150DB" w:rsidRDefault="00BB4766" w:rsidP="00C02B6B">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w:t>
            </w:r>
            <w:r w:rsidR="00C02B6B">
              <w:rPr>
                <w:rFonts w:ascii="Calibri" w:eastAsia="Times New Roman" w:hAnsi="Calibri" w:cs="Calibri"/>
                <w:sz w:val="18"/>
                <w:szCs w:val="18"/>
                <w:lang w:eastAsia="cs-CZ"/>
              </w:rPr>
              <w:t>-</w:t>
            </w:r>
          </w:p>
        </w:tc>
      </w:tr>
      <w:tr w:rsidR="00BB4766" w:rsidRPr="00F150DB" w14:paraId="536CDC53" w14:textId="77777777" w:rsidTr="000C49A5">
        <w:trPr>
          <w:trHeight w:val="260"/>
        </w:trPr>
        <w:tc>
          <w:tcPr>
            <w:tcW w:w="3534" w:type="dxa"/>
            <w:tcBorders>
              <w:top w:val="nil"/>
              <w:left w:val="single" w:sz="8" w:space="0" w:color="auto"/>
              <w:bottom w:val="single" w:sz="4" w:space="0" w:color="auto"/>
              <w:right w:val="single" w:sz="4" w:space="0" w:color="auto"/>
            </w:tcBorders>
            <w:shd w:val="clear" w:color="000000" w:fill="FCE4D6"/>
            <w:vAlign w:val="bottom"/>
            <w:hideMark/>
          </w:tcPr>
          <w:p w14:paraId="158965CB"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DOBRÁ Montessori základní škola a mateřská škola s.r.o.</w:t>
            </w:r>
          </w:p>
        </w:tc>
        <w:tc>
          <w:tcPr>
            <w:tcW w:w="4536" w:type="dxa"/>
            <w:vMerge w:val="restart"/>
            <w:tcBorders>
              <w:top w:val="nil"/>
              <w:left w:val="single" w:sz="4" w:space="0" w:color="auto"/>
              <w:bottom w:val="single" w:sz="8" w:space="0" w:color="000000"/>
              <w:right w:val="single" w:sz="4" w:space="0" w:color="auto"/>
            </w:tcBorders>
            <w:shd w:val="clear" w:color="auto" w:fill="auto"/>
            <w:vAlign w:val="bottom"/>
            <w:hideMark/>
          </w:tcPr>
          <w:p w14:paraId="5312C834" w14:textId="77777777" w:rsidR="00BB4766" w:rsidRPr="00F150DB" w:rsidRDefault="00BB4766" w:rsidP="000C49A5">
            <w:pPr>
              <w:spacing w:before="0"/>
              <w:jc w:val="lef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Náves 86, 760 01 Zlín - Prštné</w:t>
            </w:r>
          </w:p>
        </w:tc>
        <w:tc>
          <w:tcPr>
            <w:tcW w:w="992" w:type="dxa"/>
            <w:tcBorders>
              <w:top w:val="nil"/>
              <w:left w:val="nil"/>
              <w:bottom w:val="single" w:sz="4" w:space="0" w:color="auto"/>
              <w:right w:val="single" w:sz="8" w:space="0" w:color="auto"/>
            </w:tcBorders>
            <w:shd w:val="clear" w:color="auto" w:fill="auto"/>
            <w:noWrap/>
            <w:vAlign w:val="bottom"/>
            <w:hideMark/>
          </w:tcPr>
          <w:p w14:paraId="12975A38" w14:textId="664DFD52" w:rsidR="00BB4766" w:rsidRPr="00F150DB" w:rsidRDefault="00BB4766" w:rsidP="00C02B6B">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w:t>
            </w:r>
            <w:r w:rsidR="00C02B6B">
              <w:rPr>
                <w:rFonts w:ascii="Calibri" w:eastAsia="Times New Roman" w:hAnsi="Calibri" w:cs="Calibri"/>
                <w:sz w:val="18"/>
                <w:szCs w:val="18"/>
                <w:lang w:eastAsia="cs-CZ"/>
              </w:rPr>
              <w:t>-</w:t>
            </w:r>
          </w:p>
        </w:tc>
      </w:tr>
      <w:tr w:rsidR="00BB4766" w:rsidRPr="00F150DB" w14:paraId="39C85D49" w14:textId="77777777" w:rsidTr="000C49A5">
        <w:trPr>
          <w:trHeight w:val="258"/>
        </w:trPr>
        <w:tc>
          <w:tcPr>
            <w:tcW w:w="3534" w:type="dxa"/>
            <w:tcBorders>
              <w:top w:val="nil"/>
              <w:left w:val="single" w:sz="8" w:space="0" w:color="auto"/>
              <w:bottom w:val="single" w:sz="8" w:space="0" w:color="auto"/>
              <w:right w:val="single" w:sz="4" w:space="0" w:color="auto"/>
            </w:tcBorders>
            <w:shd w:val="clear" w:color="000000" w:fill="FCE4D6"/>
            <w:noWrap/>
            <w:vAlign w:val="bottom"/>
            <w:hideMark/>
          </w:tcPr>
          <w:p w14:paraId="124D4F05" w14:textId="77777777" w:rsidR="00BB4766" w:rsidRPr="00473DD5" w:rsidRDefault="00BB4766" w:rsidP="000C49A5">
            <w:pPr>
              <w:spacing w:before="0"/>
              <w:jc w:val="left"/>
              <w:rPr>
                <w:rFonts w:ascii="Calibri" w:eastAsia="Times New Roman" w:hAnsi="Calibri" w:cs="Calibri"/>
                <w:bCs/>
                <w:sz w:val="18"/>
                <w:szCs w:val="18"/>
                <w:lang w:eastAsia="cs-CZ"/>
              </w:rPr>
            </w:pPr>
            <w:r w:rsidRPr="00473DD5">
              <w:rPr>
                <w:rFonts w:ascii="Calibri" w:eastAsia="Times New Roman" w:hAnsi="Calibri" w:cs="Calibri"/>
                <w:bCs/>
                <w:sz w:val="18"/>
                <w:szCs w:val="18"/>
                <w:lang w:eastAsia="cs-CZ"/>
              </w:rPr>
              <w:t>DOBRÁ Montessori školička z.s.</w:t>
            </w:r>
          </w:p>
        </w:tc>
        <w:tc>
          <w:tcPr>
            <w:tcW w:w="4536" w:type="dxa"/>
            <w:vMerge/>
            <w:tcBorders>
              <w:top w:val="nil"/>
              <w:left w:val="single" w:sz="4" w:space="0" w:color="auto"/>
              <w:bottom w:val="single" w:sz="8" w:space="0" w:color="000000"/>
              <w:right w:val="single" w:sz="4" w:space="0" w:color="auto"/>
            </w:tcBorders>
            <w:vAlign w:val="center"/>
            <w:hideMark/>
          </w:tcPr>
          <w:p w14:paraId="3ADD37C0" w14:textId="77777777" w:rsidR="00BB4766" w:rsidRPr="00F150DB" w:rsidRDefault="00BB4766" w:rsidP="000C49A5">
            <w:pPr>
              <w:spacing w:before="0"/>
              <w:jc w:val="left"/>
              <w:rPr>
                <w:rFonts w:ascii="Calibri" w:eastAsia="Times New Roman" w:hAnsi="Calibri" w:cs="Calibri"/>
                <w:sz w:val="18"/>
                <w:szCs w:val="18"/>
                <w:lang w:eastAsia="cs-CZ"/>
              </w:rPr>
            </w:pPr>
          </w:p>
        </w:tc>
        <w:tc>
          <w:tcPr>
            <w:tcW w:w="992" w:type="dxa"/>
            <w:tcBorders>
              <w:top w:val="nil"/>
              <w:left w:val="nil"/>
              <w:bottom w:val="single" w:sz="8" w:space="0" w:color="auto"/>
              <w:right w:val="single" w:sz="8" w:space="0" w:color="auto"/>
            </w:tcBorders>
            <w:shd w:val="clear" w:color="auto" w:fill="auto"/>
            <w:noWrap/>
            <w:vAlign w:val="bottom"/>
            <w:hideMark/>
          </w:tcPr>
          <w:p w14:paraId="53B09EC9" w14:textId="58FC27C1" w:rsidR="00BB4766" w:rsidRPr="00F150DB" w:rsidRDefault="00BB4766" w:rsidP="00C02B6B">
            <w:pPr>
              <w:spacing w:before="0"/>
              <w:jc w:val="right"/>
              <w:rPr>
                <w:rFonts w:ascii="Calibri" w:eastAsia="Times New Roman" w:hAnsi="Calibri" w:cs="Calibri"/>
                <w:sz w:val="18"/>
                <w:szCs w:val="18"/>
                <w:lang w:eastAsia="cs-CZ"/>
              </w:rPr>
            </w:pPr>
            <w:r w:rsidRPr="00F150DB">
              <w:rPr>
                <w:rFonts w:ascii="Calibri" w:eastAsia="Times New Roman" w:hAnsi="Calibri" w:cs="Calibri"/>
                <w:sz w:val="18"/>
                <w:szCs w:val="18"/>
                <w:lang w:eastAsia="cs-CZ"/>
              </w:rPr>
              <w:t> </w:t>
            </w:r>
            <w:r w:rsidR="00C02B6B">
              <w:rPr>
                <w:rFonts w:ascii="Calibri" w:eastAsia="Times New Roman" w:hAnsi="Calibri" w:cs="Calibri"/>
                <w:sz w:val="18"/>
                <w:szCs w:val="18"/>
                <w:lang w:eastAsia="cs-CZ"/>
              </w:rPr>
              <w:t>-</w:t>
            </w:r>
          </w:p>
        </w:tc>
      </w:tr>
    </w:tbl>
    <w:p w14:paraId="56AF924F" w14:textId="7BDA3DF6" w:rsidR="00BB4766" w:rsidRDefault="00BB4766" w:rsidP="00BB4766">
      <w:pPr>
        <w:pStyle w:val="Zdroj"/>
      </w:pPr>
      <w:r>
        <w:t>Zdroj:</w:t>
      </w:r>
      <w:r w:rsidRPr="006D3F31">
        <w:t xml:space="preserve"> Informace z oddělení školství a správy zařízení</w:t>
      </w:r>
      <w:r>
        <w:t>, webové stránky města Zlín, k 1.</w:t>
      </w:r>
      <w:r w:rsidR="00004A20">
        <w:t xml:space="preserve"> </w:t>
      </w:r>
      <w:r>
        <w:t>7.</w:t>
      </w:r>
      <w:r w:rsidR="00004A20">
        <w:t xml:space="preserve"> </w:t>
      </w:r>
      <w:r>
        <w:t>2020</w:t>
      </w:r>
      <w:r w:rsidR="00004A20">
        <w:t>.</w:t>
      </w:r>
    </w:p>
    <w:p w14:paraId="5C8DF659" w14:textId="5F1965BD" w:rsidR="00C02B6B" w:rsidRDefault="00C02B6B" w:rsidP="00BB4766">
      <w:pPr>
        <w:pStyle w:val="Zdroj"/>
      </w:pPr>
      <w:r>
        <w:t>Pozn. - Údaj není k dispozici.</w:t>
      </w:r>
    </w:p>
    <w:p w14:paraId="288CC3E8" w14:textId="4359E1D2" w:rsidR="00BB4766" w:rsidRDefault="00BB4766" w:rsidP="00BB4766">
      <w:r>
        <w:t xml:space="preserve">V letech 2014 </w:t>
      </w:r>
      <w:r w:rsidR="00004A20">
        <w:sym w:font="Symbol" w:char="F02D"/>
      </w:r>
      <w:r>
        <w:t xml:space="preserve"> 2019 některá soukromá zařízení ukončila svou činnost. Dle Koncepce rozvoje školství statutárního města Zlína na období let 2021 – 2027 tento trend úbytku dětí </w:t>
      </w:r>
      <w:r>
        <w:br/>
        <w:t xml:space="preserve">v soukromých zařízeních je očekáván i v dalších letech, zejména poté, co skončí podpora dětských skupin či jiných forem dotací pro hlídání, výchovu a vzdělávání dětí předškolního věku. </w:t>
      </w:r>
    </w:p>
    <w:p w14:paraId="3B4461A4" w14:textId="1EB4F9FD" w:rsidR="00BB4766" w:rsidRPr="00F00F1F" w:rsidRDefault="00BB4766" w:rsidP="00BB4766">
      <w:pPr>
        <w:rPr>
          <w:b/>
        </w:rPr>
      </w:pPr>
      <w:r>
        <w:t>Statutární město Zlín zřizuje také neškolská zařízení</w:t>
      </w:r>
      <w:r w:rsidRPr="00F00F1F">
        <w:t>, poskytující péči o dět</w:t>
      </w:r>
      <w:r>
        <w:t>i. Jedná se o troje jesle a</w:t>
      </w:r>
      <w:r w:rsidR="00AF739C">
        <w:t> </w:t>
      </w:r>
      <w:r>
        <w:t>jeden rehabilitační stacionář.</w:t>
      </w:r>
      <w:r w:rsidRPr="00F00F1F">
        <w:t xml:space="preserve"> </w:t>
      </w:r>
      <w:r>
        <w:t>Blíže informací jek tomuto uvedeno v Koncepci rozvoje školství statutárního města Zlína na období let 2021 – 2027.</w:t>
      </w:r>
    </w:p>
    <w:p w14:paraId="4962998F" w14:textId="77777777" w:rsidR="00BB4766" w:rsidRDefault="00BB4766" w:rsidP="00BB4766">
      <w:pPr>
        <w:pStyle w:val="Nadpis4"/>
      </w:pPr>
      <w:r>
        <w:lastRenderedPageBreak/>
        <w:t>Základní vzdělávání</w:t>
      </w:r>
    </w:p>
    <w:p w14:paraId="66A9D9A4" w14:textId="7BCE1E33" w:rsidR="00BB4766" w:rsidRDefault="00BB4766" w:rsidP="00BB4766">
      <w:r>
        <w:t xml:space="preserve">Na území města se nachází 13 základních škol, které jsou zřizovány statutárním městem Zlínem. </w:t>
      </w:r>
      <w:r w:rsidRPr="00103462">
        <w:t>Všechny uvedené organizace vykonávají i činnost školského zařízení pro zájmové vzdělávání – školní družiny.</w:t>
      </w:r>
      <w:r>
        <w:t xml:space="preserve"> Celková kapacita škol zřízených městem je ve školním roce 2019/2020 8 128 míst a školy navštěvuje celkem 6 579 žáků (viz tabulka</w:t>
      </w:r>
      <w:r w:rsidR="00EB62B8">
        <w:t xml:space="preserve"> 1.</w:t>
      </w:r>
      <w:r w:rsidR="00CA267E">
        <w:t>39</w:t>
      </w:r>
      <w:r>
        <w:t>). Dle těchto údajů je kapacita škol naplněna téměř z 81 %</w:t>
      </w:r>
      <w:r>
        <w:rPr>
          <w:rStyle w:val="Znakapoznpodarou"/>
        </w:rPr>
        <w:footnoteReference w:id="57"/>
      </w:r>
      <w:r>
        <w:t>. Kapacita škol se od roku 2013/2014 zvýšila o 25 míst. Během uváděných let dochází i</w:t>
      </w:r>
      <w:r w:rsidR="00AF739C">
        <w:t> </w:t>
      </w:r>
      <w:r>
        <w:t xml:space="preserve">k nárůstu počtu žáků, kteří školy navštěvují.  Žáci jsou vyučováni v 294 třídách. Počet tříd rovněž vzrostl za sledované období, za posledních 6 let </w:t>
      </w:r>
      <w:r w:rsidRPr="00D7634F">
        <w:t>bylo zřízeno 25 tříd.</w:t>
      </w:r>
    </w:p>
    <w:p w14:paraId="1D0F487D" w14:textId="31AFDB23" w:rsidR="00BB4766" w:rsidRDefault="00BB4766" w:rsidP="00BB4766">
      <w:pPr>
        <w:pStyle w:val="Titulek"/>
      </w:pPr>
      <w:bookmarkStart w:id="244" w:name="_Toc52885950"/>
      <w:bookmarkStart w:id="245" w:name="_Toc7707471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39</w:t>
      </w:r>
      <w:r w:rsidR="00081B47">
        <w:rPr>
          <w:noProof/>
        </w:rPr>
        <w:fldChar w:fldCharType="end"/>
      </w:r>
      <w:r w:rsidR="00AF739C">
        <w:rPr>
          <w:noProof/>
        </w:rPr>
        <w:t>:</w:t>
      </w:r>
      <w:r>
        <w:t xml:space="preserve"> Kapacita, počet tříd a počet dětí v základních školách zřízených městem Zlínem za školní roky 2013/2014 - 2019/2020</w:t>
      </w:r>
      <w:bookmarkEnd w:id="244"/>
      <w:bookmarkEnd w:id="245"/>
    </w:p>
    <w:tbl>
      <w:tblPr>
        <w:tblW w:w="9071" w:type="dxa"/>
        <w:tblInd w:w="-5" w:type="dxa"/>
        <w:tblCellMar>
          <w:left w:w="70" w:type="dxa"/>
          <w:right w:w="70" w:type="dxa"/>
        </w:tblCellMar>
        <w:tblLook w:val="04A0" w:firstRow="1" w:lastRow="0" w:firstColumn="1" w:lastColumn="0" w:noHBand="0" w:noVBand="1"/>
      </w:tblPr>
      <w:tblGrid>
        <w:gridCol w:w="2761"/>
        <w:gridCol w:w="1262"/>
        <w:gridCol w:w="1262"/>
        <w:gridCol w:w="1262"/>
        <w:gridCol w:w="1262"/>
        <w:gridCol w:w="1262"/>
      </w:tblGrid>
      <w:tr w:rsidR="00BB4766" w:rsidRPr="00BE7BF5" w14:paraId="1AB35AE6" w14:textId="77777777" w:rsidTr="000C49A5">
        <w:trPr>
          <w:trHeight w:val="720"/>
        </w:trPr>
        <w:tc>
          <w:tcPr>
            <w:tcW w:w="2761"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E5CAA11" w14:textId="77777777" w:rsidR="00BB4766" w:rsidRPr="00BE7BF5" w:rsidRDefault="00BB4766" w:rsidP="000C49A5">
            <w:pPr>
              <w:spacing w:before="0"/>
              <w:jc w:val="center"/>
              <w:rPr>
                <w:rFonts w:ascii="Calibri" w:eastAsia="Times New Roman" w:hAnsi="Calibri" w:cs="Calibri"/>
                <w:b/>
                <w:bCs/>
                <w:sz w:val="18"/>
                <w:szCs w:val="18"/>
                <w:lang w:eastAsia="cs-CZ"/>
              </w:rPr>
            </w:pPr>
            <w:r w:rsidRPr="00BE7BF5">
              <w:rPr>
                <w:rFonts w:ascii="Calibri" w:eastAsia="Times New Roman" w:hAnsi="Calibri" w:cs="Calibri"/>
                <w:b/>
                <w:bCs/>
                <w:sz w:val="18"/>
                <w:szCs w:val="18"/>
                <w:lang w:eastAsia="cs-CZ"/>
              </w:rPr>
              <w:t>Školní rok</w:t>
            </w:r>
          </w:p>
        </w:tc>
        <w:tc>
          <w:tcPr>
            <w:tcW w:w="1262" w:type="dxa"/>
            <w:tcBorders>
              <w:top w:val="single" w:sz="4" w:space="0" w:color="auto"/>
              <w:left w:val="nil"/>
              <w:bottom w:val="single" w:sz="4" w:space="0" w:color="auto"/>
              <w:right w:val="single" w:sz="4" w:space="0" w:color="auto"/>
            </w:tcBorders>
            <w:shd w:val="clear" w:color="000000" w:fill="F2F2F2"/>
            <w:vAlign w:val="center"/>
            <w:hideMark/>
          </w:tcPr>
          <w:p w14:paraId="73F53307" w14:textId="77777777" w:rsidR="00BB4766" w:rsidRPr="00BE7BF5" w:rsidRDefault="00BB4766" w:rsidP="000C49A5">
            <w:pPr>
              <w:spacing w:before="0"/>
              <w:jc w:val="center"/>
              <w:rPr>
                <w:rFonts w:ascii="Calibri" w:eastAsia="Times New Roman" w:hAnsi="Calibri" w:cs="Calibri"/>
                <w:b/>
                <w:bCs/>
                <w:sz w:val="18"/>
                <w:szCs w:val="18"/>
                <w:lang w:eastAsia="cs-CZ"/>
              </w:rPr>
            </w:pPr>
            <w:r w:rsidRPr="00BE7BF5">
              <w:rPr>
                <w:rFonts w:ascii="Calibri" w:eastAsia="Times New Roman" w:hAnsi="Calibri" w:cs="Arial"/>
                <w:b/>
                <w:bCs/>
                <w:sz w:val="18"/>
                <w:szCs w:val="20"/>
                <w:lang w:eastAsia="cs-CZ"/>
              </w:rPr>
              <w:t>Kapacita</w:t>
            </w:r>
          </w:p>
        </w:tc>
        <w:tc>
          <w:tcPr>
            <w:tcW w:w="1262" w:type="dxa"/>
            <w:tcBorders>
              <w:top w:val="single" w:sz="4" w:space="0" w:color="auto"/>
              <w:left w:val="nil"/>
              <w:bottom w:val="single" w:sz="4" w:space="0" w:color="auto"/>
              <w:right w:val="single" w:sz="4" w:space="0" w:color="auto"/>
            </w:tcBorders>
            <w:shd w:val="clear" w:color="000000" w:fill="F2F2F2"/>
            <w:vAlign w:val="center"/>
            <w:hideMark/>
          </w:tcPr>
          <w:p w14:paraId="20B38044" w14:textId="77777777" w:rsidR="00BB4766" w:rsidRPr="00BE7BF5" w:rsidRDefault="00BB4766" w:rsidP="000C49A5">
            <w:pPr>
              <w:spacing w:before="0"/>
              <w:jc w:val="center"/>
              <w:rPr>
                <w:rFonts w:ascii="Calibri" w:eastAsia="Times New Roman" w:hAnsi="Calibri" w:cs="Calibri"/>
                <w:b/>
                <w:bCs/>
                <w:sz w:val="18"/>
                <w:szCs w:val="18"/>
                <w:lang w:eastAsia="cs-CZ"/>
              </w:rPr>
            </w:pPr>
            <w:r w:rsidRPr="00BE7BF5">
              <w:rPr>
                <w:rFonts w:ascii="Calibri" w:eastAsia="Times New Roman" w:hAnsi="Calibri" w:cs="Arial"/>
                <w:b/>
                <w:bCs/>
                <w:sz w:val="18"/>
                <w:szCs w:val="20"/>
                <w:lang w:eastAsia="cs-CZ"/>
              </w:rPr>
              <w:t>Počet dětí v ZŠ</w:t>
            </w:r>
          </w:p>
        </w:tc>
        <w:tc>
          <w:tcPr>
            <w:tcW w:w="1262" w:type="dxa"/>
            <w:tcBorders>
              <w:top w:val="single" w:sz="4" w:space="0" w:color="auto"/>
              <w:left w:val="nil"/>
              <w:bottom w:val="single" w:sz="4" w:space="0" w:color="auto"/>
              <w:right w:val="single" w:sz="4" w:space="0" w:color="auto"/>
            </w:tcBorders>
            <w:shd w:val="clear" w:color="000000" w:fill="F2F2F2"/>
            <w:vAlign w:val="center"/>
            <w:hideMark/>
          </w:tcPr>
          <w:p w14:paraId="214C79C3" w14:textId="77777777" w:rsidR="00BB4766" w:rsidRPr="00BE7BF5" w:rsidRDefault="00BB4766" w:rsidP="000C49A5">
            <w:pPr>
              <w:spacing w:before="0"/>
              <w:jc w:val="center"/>
              <w:rPr>
                <w:rFonts w:ascii="Calibri" w:eastAsia="Times New Roman" w:hAnsi="Calibri" w:cs="Calibri"/>
                <w:b/>
                <w:bCs/>
                <w:sz w:val="18"/>
                <w:szCs w:val="18"/>
                <w:lang w:eastAsia="cs-CZ"/>
              </w:rPr>
            </w:pPr>
            <w:r w:rsidRPr="00BE7BF5">
              <w:rPr>
                <w:rFonts w:ascii="Calibri" w:eastAsia="Times New Roman" w:hAnsi="Calibri" w:cs="Arial"/>
                <w:b/>
                <w:bCs/>
                <w:sz w:val="18"/>
                <w:szCs w:val="20"/>
                <w:lang w:eastAsia="cs-CZ"/>
              </w:rPr>
              <w:t>Počet tříd v ZŠ</w:t>
            </w:r>
          </w:p>
        </w:tc>
        <w:tc>
          <w:tcPr>
            <w:tcW w:w="1262" w:type="dxa"/>
            <w:tcBorders>
              <w:top w:val="single" w:sz="4" w:space="0" w:color="auto"/>
              <w:left w:val="nil"/>
              <w:bottom w:val="single" w:sz="4" w:space="0" w:color="auto"/>
              <w:right w:val="single" w:sz="4" w:space="0" w:color="auto"/>
            </w:tcBorders>
            <w:shd w:val="clear" w:color="000000" w:fill="F2F2F2"/>
            <w:vAlign w:val="center"/>
            <w:hideMark/>
          </w:tcPr>
          <w:p w14:paraId="0DE7E524" w14:textId="77777777" w:rsidR="00BB4766" w:rsidRPr="00BE7BF5" w:rsidRDefault="00BB4766" w:rsidP="000C49A5">
            <w:pPr>
              <w:spacing w:before="0"/>
              <w:jc w:val="center"/>
              <w:rPr>
                <w:rFonts w:ascii="Calibri" w:eastAsia="Times New Roman" w:hAnsi="Calibri" w:cs="Calibri"/>
                <w:b/>
                <w:bCs/>
                <w:sz w:val="18"/>
                <w:szCs w:val="18"/>
                <w:lang w:eastAsia="cs-CZ"/>
              </w:rPr>
            </w:pPr>
            <w:r w:rsidRPr="00BE7BF5">
              <w:rPr>
                <w:rFonts w:ascii="Calibri" w:eastAsia="Times New Roman" w:hAnsi="Calibri" w:cs="Arial"/>
                <w:b/>
                <w:bCs/>
                <w:sz w:val="18"/>
                <w:szCs w:val="20"/>
                <w:lang w:eastAsia="cs-CZ"/>
              </w:rPr>
              <w:t>Průměrný počet dětí ve třídě</w:t>
            </w:r>
          </w:p>
        </w:tc>
        <w:tc>
          <w:tcPr>
            <w:tcW w:w="1262" w:type="dxa"/>
            <w:tcBorders>
              <w:top w:val="single" w:sz="4" w:space="0" w:color="auto"/>
              <w:left w:val="nil"/>
              <w:bottom w:val="single" w:sz="4" w:space="0" w:color="auto"/>
              <w:right w:val="single" w:sz="4" w:space="0" w:color="auto"/>
            </w:tcBorders>
            <w:shd w:val="clear" w:color="000000" w:fill="F2F2F2"/>
            <w:vAlign w:val="center"/>
            <w:hideMark/>
          </w:tcPr>
          <w:p w14:paraId="144E4B81" w14:textId="77777777" w:rsidR="00BB4766" w:rsidRPr="00BE7BF5" w:rsidRDefault="00BB4766" w:rsidP="000C49A5">
            <w:pPr>
              <w:spacing w:before="0"/>
              <w:jc w:val="center"/>
              <w:rPr>
                <w:rFonts w:ascii="Calibri" w:eastAsia="Times New Roman" w:hAnsi="Calibri" w:cs="Calibri"/>
                <w:b/>
                <w:bCs/>
                <w:sz w:val="18"/>
                <w:szCs w:val="18"/>
                <w:lang w:eastAsia="cs-CZ"/>
              </w:rPr>
            </w:pPr>
            <w:r w:rsidRPr="00BE7BF5">
              <w:rPr>
                <w:rFonts w:ascii="Calibri" w:eastAsia="Times New Roman" w:hAnsi="Calibri" w:cs="Arial"/>
                <w:b/>
                <w:bCs/>
                <w:sz w:val="18"/>
                <w:szCs w:val="20"/>
                <w:lang w:eastAsia="cs-CZ"/>
              </w:rPr>
              <w:t>Celková vytíženost %</w:t>
            </w:r>
          </w:p>
        </w:tc>
      </w:tr>
      <w:tr w:rsidR="00BB4766" w:rsidRPr="00BE7BF5" w14:paraId="4AD6D8B8"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6DB2E485" w14:textId="77777777" w:rsidR="00BB4766" w:rsidRPr="00BE7BF5" w:rsidRDefault="00BB4766" w:rsidP="000C49A5">
            <w:pPr>
              <w:spacing w:before="0"/>
              <w:jc w:val="left"/>
              <w:rPr>
                <w:rFonts w:ascii="Calibri" w:eastAsia="Times New Roman" w:hAnsi="Calibri" w:cs="Calibri"/>
                <w:sz w:val="18"/>
                <w:szCs w:val="18"/>
                <w:lang w:eastAsia="cs-CZ"/>
              </w:rPr>
            </w:pPr>
            <w:r w:rsidRPr="00BE7BF5">
              <w:rPr>
                <w:rFonts w:ascii="Calibri" w:eastAsia="Times New Roman" w:hAnsi="Calibri" w:cs="Arial"/>
                <w:sz w:val="18"/>
                <w:szCs w:val="20"/>
                <w:lang w:eastAsia="cs-CZ"/>
              </w:rPr>
              <w:t>2013/14</w:t>
            </w:r>
          </w:p>
        </w:tc>
        <w:tc>
          <w:tcPr>
            <w:tcW w:w="126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02F5C0A6"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8018</w:t>
            </w:r>
          </w:p>
        </w:tc>
        <w:tc>
          <w:tcPr>
            <w:tcW w:w="126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8EC5D5F"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5960</w:t>
            </w:r>
          </w:p>
        </w:tc>
        <w:tc>
          <w:tcPr>
            <w:tcW w:w="126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0EC6E0C8"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269</w:t>
            </w:r>
          </w:p>
        </w:tc>
        <w:tc>
          <w:tcPr>
            <w:tcW w:w="126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7EAA05E9"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22,2</w:t>
            </w:r>
          </w:p>
        </w:tc>
        <w:tc>
          <w:tcPr>
            <w:tcW w:w="126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5BB1B0C2"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74,3</w:t>
            </w:r>
          </w:p>
        </w:tc>
      </w:tr>
      <w:tr w:rsidR="00BB4766" w:rsidRPr="00BE7BF5" w14:paraId="1EBEEFCC"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2F44E74E" w14:textId="77777777" w:rsidR="00BB4766" w:rsidRPr="00BE7BF5" w:rsidRDefault="00BB4766" w:rsidP="000C49A5">
            <w:pPr>
              <w:spacing w:before="0"/>
              <w:jc w:val="left"/>
              <w:rPr>
                <w:rFonts w:ascii="Calibri" w:eastAsia="Times New Roman" w:hAnsi="Calibri" w:cs="Calibri"/>
                <w:sz w:val="18"/>
                <w:szCs w:val="18"/>
                <w:lang w:eastAsia="cs-CZ"/>
              </w:rPr>
            </w:pPr>
            <w:r w:rsidRPr="00BE7BF5">
              <w:rPr>
                <w:rFonts w:ascii="Calibri" w:eastAsia="Times New Roman" w:hAnsi="Calibri" w:cs="Arial"/>
                <w:sz w:val="18"/>
                <w:szCs w:val="20"/>
                <w:lang w:eastAsia="cs-CZ"/>
              </w:rPr>
              <w:t>2014/15</w:t>
            </w:r>
          </w:p>
        </w:tc>
        <w:tc>
          <w:tcPr>
            <w:tcW w:w="1262" w:type="dxa"/>
            <w:tcBorders>
              <w:top w:val="single" w:sz="4" w:space="0" w:color="auto"/>
              <w:left w:val="single" w:sz="4" w:space="0" w:color="auto"/>
              <w:bottom w:val="single" w:sz="4" w:space="0" w:color="auto"/>
              <w:right w:val="single" w:sz="4" w:space="0" w:color="auto"/>
            </w:tcBorders>
            <w:shd w:val="clear" w:color="000000" w:fill="BBCEE8"/>
            <w:noWrap/>
            <w:vAlign w:val="bottom"/>
            <w:hideMark/>
          </w:tcPr>
          <w:p w14:paraId="016A7AB9"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8048</w:t>
            </w:r>
          </w:p>
        </w:tc>
        <w:tc>
          <w:tcPr>
            <w:tcW w:w="1262" w:type="dxa"/>
            <w:tcBorders>
              <w:top w:val="single" w:sz="4" w:space="0" w:color="auto"/>
              <w:left w:val="single" w:sz="4" w:space="0" w:color="auto"/>
              <w:bottom w:val="single" w:sz="4" w:space="0" w:color="auto"/>
              <w:right w:val="single" w:sz="4" w:space="0" w:color="auto"/>
            </w:tcBorders>
            <w:shd w:val="clear" w:color="000000" w:fill="B6CBE6"/>
            <w:noWrap/>
            <w:vAlign w:val="bottom"/>
            <w:hideMark/>
          </w:tcPr>
          <w:p w14:paraId="6CF2C772"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6228</w:t>
            </w:r>
          </w:p>
        </w:tc>
        <w:tc>
          <w:tcPr>
            <w:tcW w:w="1262" w:type="dxa"/>
            <w:tcBorders>
              <w:top w:val="single" w:sz="4" w:space="0" w:color="auto"/>
              <w:left w:val="single" w:sz="4" w:space="0" w:color="auto"/>
              <w:bottom w:val="single" w:sz="4" w:space="0" w:color="auto"/>
              <w:right w:val="single" w:sz="4" w:space="0" w:color="auto"/>
            </w:tcBorders>
            <w:shd w:val="clear" w:color="000000" w:fill="B2C8E5"/>
            <w:noWrap/>
            <w:vAlign w:val="bottom"/>
            <w:hideMark/>
          </w:tcPr>
          <w:p w14:paraId="38DA621E"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275</w:t>
            </w:r>
          </w:p>
        </w:tc>
        <w:tc>
          <w:tcPr>
            <w:tcW w:w="1262" w:type="dxa"/>
            <w:tcBorders>
              <w:top w:val="single" w:sz="4" w:space="0" w:color="auto"/>
              <w:left w:val="single" w:sz="4" w:space="0" w:color="auto"/>
              <w:bottom w:val="single" w:sz="4" w:space="0" w:color="auto"/>
              <w:right w:val="single" w:sz="4" w:space="0" w:color="auto"/>
            </w:tcBorders>
            <w:shd w:val="clear" w:color="000000" w:fill="FCFBFE"/>
            <w:noWrap/>
            <w:vAlign w:val="bottom"/>
            <w:hideMark/>
          </w:tcPr>
          <w:p w14:paraId="2CF2E819"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22,6</w:t>
            </w:r>
          </w:p>
        </w:tc>
        <w:tc>
          <w:tcPr>
            <w:tcW w:w="1262" w:type="dxa"/>
            <w:tcBorders>
              <w:top w:val="single" w:sz="4" w:space="0" w:color="auto"/>
              <w:left w:val="single" w:sz="4" w:space="0" w:color="auto"/>
              <w:bottom w:val="single" w:sz="4" w:space="0" w:color="auto"/>
              <w:right w:val="single" w:sz="4" w:space="0" w:color="auto"/>
            </w:tcBorders>
            <w:shd w:val="clear" w:color="000000" w:fill="B6CAE6"/>
            <w:noWrap/>
            <w:vAlign w:val="bottom"/>
            <w:hideMark/>
          </w:tcPr>
          <w:p w14:paraId="7DBEE0B1"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77,4</w:t>
            </w:r>
          </w:p>
        </w:tc>
      </w:tr>
      <w:tr w:rsidR="00BB4766" w:rsidRPr="00BE7BF5" w14:paraId="08E7679C"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1E022493" w14:textId="77777777" w:rsidR="00BB4766" w:rsidRPr="00BE7BF5" w:rsidRDefault="00BB4766" w:rsidP="000C49A5">
            <w:pPr>
              <w:spacing w:before="0"/>
              <w:jc w:val="left"/>
              <w:rPr>
                <w:rFonts w:ascii="Calibri" w:eastAsia="Times New Roman" w:hAnsi="Calibri" w:cs="Calibri"/>
                <w:sz w:val="18"/>
                <w:szCs w:val="18"/>
                <w:lang w:eastAsia="cs-CZ"/>
              </w:rPr>
            </w:pPr>
            <w:r w:rsidRPr="00BE7BF5">
              <w:rPr>
                <w:rFonts w:ascii="Calibri" w:eastAsia="Times New Roman" w:hAnsi="Calibri" w:cs="Arial"/>
                <w:sz w:val="18"/>
                <w:szCs w:val="20"/>
                <w:lang w:eastAsia="cs-CZ"/>
              </w:rPr>
              <w:t>2015/16</w:t>
            </w:r>
          </w:p>
        </w:tc>
        <w:tc>
          <w:tcPr>
            <w:tcW w:w="1262" w:type="dxa"/>
            <w:tcBorders>
              <w:top w:val="single" w:sz="4" w:space="0" w:color="auto"/>
              <w:left w:val="single" w:sz="4" w:space="0" w:color="auto"/>
              <w:bottom w:val="single" w:sz="4" w:space="0" w:color="auto"/>
              <w:right w:val="single" w:sz="4" w:space="0" w:color="auto"/>
            </w:tcBorders>
            <w:shd w:val="clear" w:color="000000" w:fill="BBCEE8"/>
            <w:noWrap/>
            <w:vAlign w:val="bottom"/>
            <w:hideMark/>
          </w:tcPr>
          <w:p w14:paraId="5341EF79"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8048</w:t>
            </w:r>
          </w:p>
        </w:tc>
        <w:tc>
          <w:tcPr>
            <w:tcW w:w="1262" w:type="dxa"/>
            <w:tcBorders>
              <w:top w:val="single" w:sz="4" w:space="0" w:color="auto"/>
              <w:left w:val="single" w:sz="4" w:space="0" w:color="auto"/>
              <w:bottom w:val="single" w:sz="4" w:space="0" w:color="auto"/>
              <w:right w:val="single" w:sz="4" w:space="0" w:color="auto"/>
            </w:tcBorders>
            <w:shd w:val="clear" w:color="000000" w:fill="EBF0F9"/>
            <w:noWrap/>
            <w:vAlign w:val="bottom"/>
            <w:hideMark/>
          </w:tcPr>
          <w:p w14:paraId="238CC728"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6383</w:t>
            </w:r>
          </w:p>
        </w:tc>
        <w:tc>
          <w:tcPr>
            <w:tcW w:w="126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AC106F8"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280</w:t>
            </w:r>
          </w:p>
        </w:tc>
        <w:tc>
          <w:tcPr>
            <w:tcW w:w="1262" w:type="dxa"/>
            <w:tcBorders>
              <w:top w:val="single" w:sz="4" w:space="0" w:color="auto"/>
              <w:left w:val="single" w:sz="4" w:space="0" w:color="auto"/>
              <w:bottom w:val="single" w:sz="4" w:space="0" w:color="auto"/>
              <w:right w:val="single" w:sz="4" w:space="0" w:color="auto"/>
            </w:tcBorders>
            <w:shd w:val="clear" w:color="000000" w:fill="FBB6B9"/>
            <w:noWrap/>
            <w:vAlign w:val="bottom"/>
            <w:hideMark/>
          </w:tcPr>
          <w:p w14:paraId="0A355634"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22,8</w:t>
            </w:r>
          </w:p>
        </w:tc>
        <w:tc>
          <w:tcPr>
            <w:tcW w:w="1262" w:type="dxa"/>
            <w:tcBorders>
              <w:top w:val="single" w:sz="4" w:space="0" w:color="auto"/>
              <w:left w:val="single" w:sz="4" w:space="0" w:color="auto"/>
              <w:bottom w:val="single" w:sz="4" w:space="0" w:color="auto"/>
              <w:right w:val="single" w:sz="4" w:space="0" w:color="auto"/>
            </w:tcBorders>
            <w:shd w:val="clear" w:color="000000" w:fill="F0F3FA"/>
            <w:noWrap/>
            <w:vAlign w:val="bottom"/>
            <w:hideMark/>
          </w:tcPr>
          <w:p w14:paraId="3B38B0E7"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79,3</w:t>
            </w:r>
          </w:p>
        </w:tc>
      </w:tr>
      <w:tr w:rsidR="00BB4766" w:rsidRPr="00BE7BF5" w14:paraId="194510C8"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307E8F69" w14:textId="77777777" w:rsidR="00BB4766" w:rsidRPr="00BE7BF5" w:rsidRDefault="00BB4766" w:rsidP="000C49A5">
            <w:pPr>
              <w:spacing w:before="0"/>
              <w:jc w:val="left"/>
              <w:rPr>
                <w:rFonts w:ascii="Calibri" w:eastAsia="Times New Roman" w:hAnsi="Calibri" w:cs="Calibri"/>
                <w:sz w:val="18"/>
                <w:szCs w:val="18"/>
                <w:lang w:eastAsia="cs-CZ"/>
              </w:rPr>
            </w:pPr>
            <w:r w:rsidRPr="00BE7BF5">
              <w:rPr>
                <w:rFonts w:ascii="Calibri" w:eastAsia="Times New Roman" w:hAnsi="Calibri" w:cs="Arial"/>
                <w:sz w:val="18"/>
                <w:szCs w:val="20"/>
                <w:lang w:eastAsia="cs-CZ"/>
              </w:rPr>
              <w:t>2016/17</w:t>
            </w:r>
          </w:p>
        </w:tc>
        <w:tc>
          <w:tcPr>
            <w:tcW w:w="126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02506A6B"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8068</w:t>
            </w:r>
          </w:p>
        </w:tc>
        <w:tc>
          <w:tcPr>
            <w:tcW w:w="126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20F31FB"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6430</w:t>
            </w:r>
          </w:p>
        </w:tc>
        <w:tc>
          <w:tcPr>
            <w:tcW w:w="126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BFD6357"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280</w:t>
            </w:r>
          </w:p>
        </w:tc>
        <w:tc>
          <w:tcPr>
            <w:tcW w:w="126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42D90CCC"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23,0</w:t>
            </w:r>
          </w:p>
        </w:tc>
        <w:tc>
          <w:tcPr>
            <w:tcW w:w="126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BCCC242"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79,7</w:t>
            </w:r>
          </w:p>
        </w:tc>
      </w:tr>
      <w:tr w:rsidR="00BB4766" w:rsidRPr="00BE7BF5" w14:paraId="43FD2765"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09A181FB" w14:textId="77777777" w:rsidR="00BB4766" w:rsidRPr="00BE7BF5" w:rsidRDefault="00BB4766" w:rsidP="000C49A5">
            <w:pPr>
              <w:spacing w:before="0"/>
              <w:jc w:val="left"/>
              <w:rPr>
                <w:rFonts w:ascii="Calibri" w:eastAsia="Times New Roman" w:hAnsi="Calibri" w:cs="Calibri"/>
                <w:sz w:val="18"/>
                <w:szCs w:val="18"/>
                <w:lang w:eastAsia="cs-CZ"/>
              </w:rPr>
            </w:pPr>
            <w:r w:rsidRPr="00BE7BF5">
              <w:rPr>
                <w:rFonts w:ascii="Calibri" w:eastAsia="Times New Roman" w:hAnsi="Calibri" w:cs="Arial"/>
                <w:sz w:val="18"/>
                <w:szCs w:val="20"/>
                <w:lang w:eastAsia="cs-CZ"/>
              </w:rPr>
              <w:t>2017/18</w:t>
            </w:r>
          </w:p>
        </w:tc>
        <w:tc>
          <w:tcPr>
            <w:tcW w:w="126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14042BF0"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8128</w:t>
            </w:r>
          </w:p>
        </w:tc>
        <w:tc>
          <w:tcPr>
            <w:tcW w:w="1262" w:type="dxa"/>
            <w:tcBorders>
              <w:top w:val="single" w:sz="4" w:space="0" w:color="auto"/>
              <w:left w:val="single" w:sz="4" w:space="0" w:color="auto"/>
              <w:bottom w:val="single" w:sz="4" w:space="0" w:color="auto"/>
              <w:right w:val="single" w:sz="4" w:space="0" w:color="auto"/>
            </w:tcBorders>
            <w:shd w:val="clear" w:color="000000" w:fill="F98C8E"/>
            <w:noWrap/>
            <w:vAlign w:val="bottom"/>
            <w:hideMark/>
          </w:tcPr>
          <w:p w14:paraId="7F16610A"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6544</w:t>
            </w:r>
          </w:p>
        </w:tc>
        <w:tc>
          <w:tcPr>
            <w:tcW w:w="1262" w:type="dxa"/>
            <w:tcBorders>
              <w:top w:val="single" w:sz="4" w:space="0" w:color="auto"/>
              <w:left w:val="single" w:sz="4" w:space="0" w:color="auto"/>
              <w:bottom w:val="single" w:sz="4" w:space="0" w:color="auto"/>
              <w:right w:val="single" w:sz="4" w:space="0" w:color="auto"/>
            </w:tcBorders>
            <w:shd w:val="clear" w:color="000000" w:fill="FA9EA0"/>
            <w:noWrap/>
            <w:vAlign w:val="bottom"/>
            <w:hideMark/>
          </w:tcPr>
          <w:p w14:paraId="1895A815"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289</w:t>
            </w:r>
          </w:p>
        </w:tc>
        <w:tc>
          <w:tcPr>
            <w:tcW w:w="126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05DF363"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22,6</w:t>
            </w:r>
          </w:p>
        </w:tc>
        <w:tc>
          <w:tcPr>
            <w:tcW w:w="1262" w:type="dxa"/>
            <w:tcBorders>
              <w:top w:val="single" w:sz="4" w:space="0" w:color="auto"/>
              <w:left w:val="single" w:sz="4" w:space="0" w:color="auto"/>
              <w:bottom w:val="single" w:sz="4" w:space="0" w:color="auto"/>
              <w:right w:val="single" w:sz="4" w:space="0" w:color="auto"/>
            </w:tcBorders>
            <w:shd w:val="clear" w:color="000000" w:fill="FA9C9F"/>
            <w:noWrap/>
            <w:vAlign w:val="bottom"/>
            <w:hideMark/>
          </w:tcPr>
          <w:p w14:paraId="6F4EFAEC"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80,5</w:t>
            </w:r>
          </w:p>
        </w:tc>
      </w:tr>
      <w:tr w:rsidR="00BB4766" w:rsidRPr="00BE7BF5" w14:paraId="08E63B38"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61DD2AAD" w14:textId="77777777" w:rsidR="00BB4766" w:rsidRPr="00BE7BF5" w:rsidRDefault="00BB4766" w:rsidP="000C49A5">
            <w:pPr>
              <w:spacing w:before="0"/>
              <w:jc w:val="left"/>
              <w:rPr>
                <w:rFonts w:ascii="Calibri" w:eastAsia="Times New Roman" w:hAnsi="Calibri" w:cs="Calibri"/>
                <w:sz w:val="18"/>
                <w:szCs w:val="18"/>
                <w:lang w:eastAsia="cs-CZ"/>
              </w:rPr>
            </w:pPr>
            <w:r w:rsidRPr="00BE7BF5">
              <w:rPr>
                <w:rFonts w:ascii="Calibri" w:eastAsia="Times New Roman" w:hAnsi="Calibri" w:cs="Arial"/>
                <w:sz w:val="18"/>
                <w:szCs w:val="20"/>
                <w:lang w:eastAsia="cs-CZ"/>
              </w:rPr>
              <w:t>2018/19</w:t>
            </w:r>
          </w:p>
        </w:tc>
        <w:tc>
          <w:tcPr>
            <w:tcW w:w="126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CBB18A5"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8128</w:t>
            </w:r>
          </w:p>
        </w:tc>
        <w:tc>
          <w:tcPr>
            <w:tcW w:w="1262" w:type="dxa"/>
            <w:tcBorders>
              <w:top w:val="single" w:sz="4" w:space="0" w:color="auto"/>
              <w:left w:val="single" w:sz="4" w:space="0" w:color="auto"/>
              <w:bottom w:val="single" w:sz="4" w:space="0" w:color="auto"/>
              <w:right w:val="single" w:sz="4" w:space="0" w:color="auto"/>
            </w:tcBorders>
            <w:shd w:val="clear" w:color="000000" w:fill="FAACAE"/>
            <w:noWrap/>
            <w:vAlign w:val="bottom"/>
            <w:hideMark/>
          </w:tcPr>
          <w:p w14:paraId="30AD5E10"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6512</w:t>
            </w:r>
          </w:p>
        </w:tc>
        <w:tc>
          <w:tcPr>
            <w:tcW w:w="1262" w:type="dxa"/>
            <w:tcBorders>
              <w:top w:val="single" w:sz="4" w:space="0" w:color="auto"/>
              <w:left w:val="single" w:sz="4" w:space="0" w:color="auto"/>
              <w:bottom w:val="single" w:sz="4" w:space="0" w:color="auto"/>
              <w:right w:val="single" w:sz="4" w:space="0" w:color="auto"/>
            </w:tcBorders>
            <w:shd w:val="clear" w:color="000000" w:fill="FA9EA0"/>
            <w:noWrap/>
            <w:vAlign w:val="bottom"/>
            <w:hideMark/>
          </w:tcPr>
          <w:p w14:paraId="05FE69DA"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289</w:t>
            </w:r>
          </w:p>
        </w:tc>
        <w:tc>
          <w:tcPr>
            <w:tcW w:w="1262" w:type="dxa"/>
            <w:tcBorders>
              <w:top w:val="single" w:sz="4" w:space="0" w:color="auto"/>
              <w:left w:val="single" w:sz="4" w:space="0" w:color="auto"/>
              <w:bottom w:val="single" w:sz="4" w:space="0" w:color="auto"/>
              <w:right w:val="single" w:sz="4" w:space="0" w:color="auto"/>
            </w:tcBorders>
            <w:shd w:val="clear" w:color="000000" w:fill="D7E2F2"/>
            <w:noWrap/>
            <w:vAlign w:val="bottom"/>
            <w:hideMark/>
          </w:tcPr>
          <w:p w14:paraId="0C2F821A"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22,5</w:t>
            </w:r>
          </w:p>
        </w:tc>
        <w:tc>
          <w:tcPr>
            <w:tcW w:w="1262" w:type="dxa"/>
            <w:tcBorders>
              <w:top w:val="single" w:sz="4" w:space="0" w:color="auto"/>
              <w:left w:val="single" w:sz="4" w:space="0" w:color="auto"/>
              <w:bottom w:val="single" w:sz="4" w:space="0" w:color="auto"/>
              <w:right w:val="single" w:sz="4" w:space="0" w:color="auto"/>
            </w:tcBorders>
            <w:shd w:val="clear" w:color="000000" w:fill="FBCBCE"/>
            <w:noWrap/>
            <w:vAlign w:val="bottom"/>
            <w:hideMark/>
          </w:tcPr>
          <w:p w14:paraId="159ED1E0"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80,1</w:t>
            </w:r>
          </w:p>
        </w:tc>
      </w:tr>
      <w:tr w:rsidR="00BB4766" w:rsidRPr="00BE7BF5" w14:paraId="1BDBF9AE"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037A99B5" w14:textId="77777777" w:rsidR="00BB4766" w:rsidRPr="00BE7BF5" w:rsidRDefault="00BB4766" w:rsidP="000C49A5">
            <w:pPr>
              <w:spacing w:before="0"/>
              <w:jc w:val="left"/>
              <w:rPr>
                <w:rFonts w:ascii="Calibri" w:eastAsia="Times New Roman" w:hAnsi="Calibri" w:cs="Calibri"/>
                <w:sz w:val="18"/>
                <w:szCs w:val="18"/>
                <w:lang w:eastAsia="cs-CZ"/>
              </w:rPr>
            </w:pPr>
            <w:r w:rsidRPr="00BE7BF5">
              <w:rPr>
                <w:rFonts w:ascii="Calibri" w:eastAsia="Times New Roman" w:hAnsi="Calibri" w:cs="Arial"/>
                <w:sz w:val="18"/>
                <w:szCs w:val="20"/>
                <w:lang w:eastAsia="cs-CZ"/>
              </w:rPr>
              <w:t>2019/20</w:t>
            </w:r>
          </w:p>
        </w:tc>
        <w:tc>
          <w:tcPr>
            <w:tcW w:w="126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11675760"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8128</w:t>
            </w:r>
          </w:p>
        </w:tc>
        <w:tc>
          <w:tcPr>
            <w:tcW w:w="126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448FAE34"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6579</w:t>
            </w:r>
          </w:p>
        </w:tc>
        <w:tc>
          <w:tcPr>
            <w:tcW w:w="126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71AE0CC"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294</w:t>
            </w:r>
          </w:p>
        </w:tc>
        <w:tc>
          <w:tcPr>
            <w:tcW w:w="1262" w:type="dxa"/>
            <w:tcBorders>
              <w:top w:val="single" w:sz="4" w:space="0" w:color="auto"/>
              <w:left w:val="single" w:sz="4" w:space="0" w:color="auto"/>
              <w:bottom w:val="single" w:sz="4" w:space="0" w:color="auto"/>
              <w:right w:val="single" w:sz="4" w:space="0" w:color="auto"/>
            </w:tcBorders>
            <w:shd w:val="clear" w:color="000000" w:fill="A3BDDF"/>
            <w:noWrap/>
            <w:vAlign w:val="bottom"/>
            <w:hideMark/>
          </w:tcPr>
          <w:p w14:paraId="3D2EDF21"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22,4</w:t>
            </w:r>
          </w:p>
        </w:tc>
        <w:tc>
          <w:tcPr>
            <w:tcW w:w="126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4A32D9D7" w14:textId="77777777" w:rsidR="00BB4766" w:rsidRPr="00BE7BF5" w:rsidRDefault="00BB4766" w:rsidP="000C49A5">
            <w:pPr>
              <w:spacing w:before="0"/>
              <w:jc w:val="right"/>
              <w:rPr>
                <w:rFonts w:ascii="Calibri" w:eastAsia="Times New Roman" w:hAnsi="Calibri" w:cs="Calibri"/>
                <w:sz w:val="18"/>
                <w:szCs w:val="18"/>
                <w:lang w:eastAsia="cs-CZ"/>
              </w:rPr>
            </w:pPr>
            <w:r w:rsidRPr="00BE7BF5">
              <w:rPr>
                <w:rFonts w:ascii="Calibri" w:eastAsia="Times New Roman" w:hAnsi="Calibri" w:cs="Calibri"/>
                <w:sz w:val="18"/>
                <w:szCs w:val="18"/>
                <w:lang w:eastAsia="cs-CZ"/>
              </w:rPr>
              <w:t>80,9</w:t>
            </w:r>
          </w:p>
        </w:tc>
      </w:tr>
      <w:tr w:rsidR="00BB4766" w:rsidRPr="00BE7BF5" w14:paraId="078DAC09" w14:textId="77777777" w:rsidTr="000C49A5">
        <w:trPr>
          <w:trHeight w:val="255"/>
        </w:trPr>
        <w:tc>
          <w:tcPr>
            <w:tcW w:w="2761" w:type="dxa"/>
            <w:tcBorders>
              <w:top w:val="nil"/>
              <w:left w:val="single" w:sz="4" w:space="0" w:color="auto"/>
              <w:bottom w:val="single" w:sz="4" w:space="0" w:color="auto"/>
              <w:right w:val="single" w:sz="4" w:space="0" w:color="auto"/>
            </w:tcBorders>
            <w:shd w:val="clear" w:color="auto" w:fill="auto"/>
            <w:noWrap/>
            <w:vAlign w:val="center"/>
            <w:hideMark/>
          </w:tcPr>
          <w:p w14:paraId="61064341" w14:textId="77777777" w:rsidR="00BB4766" w:rsidRPr="00BE7BF5" w:rsidRDefault="00BB4766" w:rsidP="000C49A5">
            <w:pPr>
              <w:spacing w:before="0"/>
              <w:jc w:val="left"/>
              <w:rPr>
                <w:rFonts w:ascii="Calibri" w:eastAsia="Times New Roman" w:hAnsi="Calibri" w:cs="Calibri"/>
                <w:b/>
                <w:sz w:val="18"/>
                <w:szCs w:val="18"/>
                <w:lang w:eastAsia="cs-CZ"/>
              </w:rPr>
            </w:pPr>
            <w:r w:rsidRPr="00BE7BF5">
              <w:rPr>
                <w:rFonts w:ascii="Calibri" w:eastAsia="Times New Roman" w:hAnsi="Calibri" w:cs="Calibri"/>
                <w:b/>
                <w:sz w:val="18"/>
                <w:szCs w:val="18"/>
                <w:lang w:eastAsia="cs-CZ"/>
              </w:rPr>
              <w:t>Index změny 2019/2013</w:t>
            </w:r>
          </w:p>
        </w:tc>
        <w:tc>
          <w:tcPr>
            <w:tcW w:w="1262" w:type="dxa"/>
            <w:tcBorders>
              <w:top w:val="nil"/>
              <w:left w:val="nil"/>
              <w:bottom w:val="single" w:sz="4" w:space="0" w:color="auto"/>
              <w:right w:val="single" w:sz="4" w:space="0" w:color="auto"/>
            </w:tcBorders>
            <w:shd w:val="clear" w:color="auto" w:fill="auto"/>
            <w:noWrap/>
            <w:vAlign w:val="bottom"/>
            <w:hideMark/>
          </w:tcPr>
          <w:p w14:paraId="484EF38C" w14:textId="38703A06" w:rsidR="00BB4766" w:rsidRPr="00BE7BF5" w:rsidRDefault="00BB4766" w:rsidP="000C49A5">
            <w:pPr>
              <w:spacing w:before="0"/>
              <w:jc w:val="right"/>
              <w:rPr>
                <w:rFonts w:ascii="Calibri" w:eastAsia="Times New Roman" w:hAnsi="Calibri" w:cs="Calibri"/>
                <w:b/>
                <w:sz w:val="18"/>
                <w:szCs w:val="18"/>
                <w:lang w:eastAsia="cs-CZ"/>
              </w:rPr>
            </w:pPr>
            <w:r w:rsidRPr="00BE7BF5">
              <w:rPr>
                <w:rFonts w:ascii="Calibri" w:eastAsia="Times New Roman" w:hAnsi="Calibri" w:cs="Calibri"/>
                <w:b/>
                <w:sz w:val="18"/>
                <w:szCs w:val="18"/>
                <w:lang w:eastAsia="cs-CZ"/>
              </w:rPr>
              <w:t>101,37</w:t>
            </w:r>
            <w:r w:rsidR="00AF739C">
              <w:rPr>
                <w:rFonts w:ascii="Calibri" w:eastAsia="Times New Roman" w:hAnsi="Calibri" w:cs="Calibri"/>
                <w:b/>
                <w:sz w:val="18"/>
                <w:szCs w:val="18"/>
                <w:lang w:eastAsia="cs-CZ"/>
              </w:rPr>
              <w:t xml:space="preserve"> </w:t>
            </w:r>
            <w:r w:rsidRPr="00BE7BF5">
              <w:rPr>
                <w:rFonts w:ascii="Calibri" w:eastAsia="Times New Roman" w:hAnsi="Calibri" w:cs="Calibri"/>
                <w:b/>
                <w:sz w:val="18"/>
                <w:szCs w:val="18"/>
                <w:lang w:eastAsia="cs-CZ"/>
              </w:rPr>
              <w:t>%</w:t>
            </w:r>
          </w:p>
        </w:tc>
        <w:tc>
          <w:tcPr>
            <w:tcW w:w="1262" w:type="dxa"/>
            <w:tcBorders>
              <w:top w:val="nil"/>
              <w:left w:val="nil"/>
              <w:bottom w:val="single" w:sz="4" w:space="0" w:color="auto"/>
              <w:right w:val="single" w:sz="4" w:space="0" w:color="auto"/>
            </w:tcBorders>
            <w:shd w:val="clear" w:color="auto" w:fill="auto"/>
            <w:noWrap/>
            <w:vAlign w:val="bottom"/>
            <w:hideMark/>
          </w:tcPr>
          <w:p w14:paraId="17E22105" w14:textId="446EC4D5" w:rsidR="00BB4766" w:rsidRPr="00BE7BF5" w:rsidRDefault="00BB4766" w:rsidP="000C49A5">
            <w:pPr>
              <w:spacing w:before="0"/>
              <w:jc w:val="right"/>
              <w:rPr>
                <w:rFonts w:ascii="Calibri" w:eastAsia="Times New Roman" w:hAnsi="Calibri" w:cs="Calibri"/>
                <w:b/>
                <w:sz w:val="18"/>
                <w:szCs w:val="18"/>
                <w:lang w:eastAsia="cs-CZ"/>
              </w:rPr>
            </w:pPr>
            <w:r w:rsidRPr="00BE7BF5">
              <w:rPr>
                <w:rFonts w:ascii="Calibri" w:eastAsia="Times New Roman" w:hAnsi="Calibri" w:cs="Calibri"/>
                <w:b/>
                <w:sz w:val="18"/>
                <w:szCs w:val="18"/>
                <w:lang w:eastAsia="cs-CZ"/>
              </w:rPr>
              <w:t>110,39</w:t>
            </w:r>
            <w:r w:rsidR="00AF739C">
              <w:rPr>
                <w:rFonts w:ascii="Calibri" w:eastAsia="Times New Roman" w:hAnsi="Calibri" w:cs="Calibri"/>
                <w:b/>
                <w:sz w:val="18"/>
                <w:szCs w:val="18"/>
                <w:lang w:eastAsia="cs-CZ"/>
              </w:rPr>
              <w:t xml:space="preserve"> </w:t>
            </w:r>
            <w:r w:rsidRPr="00BE7BF5">
              <w:rPr>
                <w:rFonts w:ascii="Calibri" w:eastAsia="Times New Roman" w:hAnsi="Calibri" w:cs="Calibri"/>
                <w:b/>
                <w:sz w:val="18"/>
                <w:szCs w:val="18"/>
                <w:lang w:eastAsia="cs-CZ"/>
              </w:rPr>
              <w:t>%</w:t>
            </w:r>
          </w:p>
        </w:tc>
        <w:tc>
          <w:tcPr>
            <w:tcW w:w="1262" w:type="dxa"/>
            <w:tcBorders>
              <w:top w:val="nil"/>
              <w:left w:val="nil"/>
              <w:bottom w:val="single" w:sz="4" w:space="0" w:color="auto"/>
              <w:right w:val="single" w:sz="4" w:space="0" w:color="auto"/>
            </w:tcBorders>
            <w:shd w:val="clear" w:color="auto" w:fill="auto"/>
            <w:noWrap/>
            <w:vAlign w:val="bottom"/>
            <w:hideMark/>
          </w:tcPr>
          <w:p w14:paraId="59198A84" w14:textId="7C78916F" w:rsidR="00BB4766" w:rsidRPr="00BE7BF5" w:rsidRDefault="00BB4766" w:rsidP="000C49A5">
            <w:pPr>
              <w:spacing w:before="0"/>
              <w:jc w:val="right"/>
              <w:rPr>
                <w:rFonts w:ascii="Calibri" w:eastAsia="Times New Roman" w:hAnsi="Calibri" w:cs="Calibri"/>
                <w:b/>
                <w:sz w:val="18"/>
                <w:szCs w:val="18"/>
                <w:lang w:eastAsia="cs-CZ"/>
              </w:rPr>
            </w:pPr>
            <w:r w:rsidRPr="00BE7BF5">
              <w:rPr>
                <w:rFonts w:ascii="Calibri" w:eastAsia="Times New Roman" w:hAnsi="Calibri" w:cs="Calibri"/>
                <w:b/>
                <w:sz w:val="18"/>
                <w:szCs w:val="18"/>
                <w:lang w:eastAsia="cs-CZ"/>
              </w:rPr>
              <w:t>109,29</w:t>
            </w:r>
            <w:r w:rsidR="00AF739C">
              <w:rPr>
                <w:rFonts w:ascii="Calibri" w:eastAsia="Times New Roman" w:hAnsi="Calibri" w:cs="Calibri"/>
                <w:b/>
                <w:sz w:val="18"/>
                <w:szCs w:val="18"/>
                <w:lang w:eastAsia="cs-CZ"/>
              </w:rPr>
              <w:t xml:space="preserve"> </w:t>
            </w:r>
            <w:r w:rsidRPr="00BE7BF5">
              <w:rPr>
                <w:rFonts w:ascii="Calibri" w:eastAsia="Times New Roman" w:hAnsi="Calibri" w:cs="Calibri"/>
                <w:b/>
                <w:sz w:val="18"/>
                <w:szCs w:val="18"/>
                <w:lang w:eastAsia="cs-CZ"/>
              </w:rPr>
              <w:t>%</w:t>
            </w:r>
          </w:p>
        </w:tc>
        <w:tc>
          <w:tcPr>
            <w:tcW w:w="1262" w:type="dxa"/>
            <w:tcBorders>
              <w:top w:val="nil"/>
              <w:left w:val="nil"/>
              <w:bottom w:val="single" w:sz="4" w:space="0" w:color="auto"/>
              <w:right w:val="single" w:sz="4" w:space="0" w:color="auto"/>
            </w:tcBorders>
            <w:shd w:val="clear" w:color="auto" w:fill="auto"/>
            <w:noWrap/>
            <w:vAlign w:val="bottom"/>
            <w:hideMark/>
          </w:tcPr>
          <w:p w14:paraId="43E3D1A7" w14:textId="77777777" w:rsidR="00BB4766" w:rsidRPr="00BE7BF5" w:rsidRDefault="00BB4766" w:rsidP="000C49A5">
            <w:pPr>
              <w:spacing w:before="0"/>
              <w:jc w:val="right"/>
              <w:rPr>
                <w:rFonts w:ascii="Arial CE" w:eastAsia="Times New Roman" w:hAnsi="Arial CE" w:cs="Times New Roman"/>
                <w:sz w:val="20"/>
                <w:szCs w:val="20"/>
                <w:lang w:eastAsia="cs-CZ"/>
              </w:rPr>
            </w:pPr>
            <w:r w:rsidRPr="00BE7BF5">
              <w:rPr>
                <w:rFonts w:ascii="Arial CE" w:eastAsia="Times New Roman" w:hAnsi="Arial CE" w:cs="Times New Roman"/>
                <w:sz w:val="20"/>
                <w:szCs w:val="20"/>
                <w:lang w:eastAsia="cs-CZ"/>
              </w:rPr>
              <w:t>-</w:t>
            </w:r>
          </w:p>
        </w:tc>
        <w:tc>
          <w:tcPr>
            <w:tcW w:w="1262" w:type="dxa"/>
            <w:tcBorders>
              <w:top w:val="nil"/>
              <w:left w:val="nil"/>
              <w:bottom w:val="single" w:sz="4" w:space="0" w:color="auto"/>
              <w:right w:val="single" w:sz="4" w:space="0" w:color="auto"/>
            </w:tcBorders>
            <w:shd w:val="clear" w:color="auto" w:fill="auto"/>
            <w:noWrap/>
            <w:vAlign w:val="bottom"/>
            <w:hideMark/>
          </w:tcPr>
          <w:p w14:paraId="15EEDC7F" w14:textId="77777777" w:rsidR="00BB4766" w:rsidRPr="00BE7BF5" w:rsidRDefault="00BB4766" w:rsidP="000C49A5">
            <w:pPr>
              <w:spacing w:before="0"/>
              <w:jc w:val="right"/>
              <w:rPr>
                <w:rFonts w:ascii="Arial CE" w:eastAsia="Times New Roman" w:hAnsi="Arial CE" w:cs="Times New Roman"/>
                <w:sz w:val="20"/>
                <w:szCs w:val="20"/>
                <w:lang w:eastAsia="cs-CZ"/>
              </w:rPr>
            </w:pPr>
            <w:r w:rsidRPr="00BE7BF5">
              <w:rPr>
                <w:rFonts w:ascii="Arial CE" w:eastAsia="Times New Roman" w:hAnsi="Arial CE" w:cs="Times New Roman"/>
                <w:sz w:val="20"/>
                <w:szCs w:val="20"/>
                <w:lang w:eastAsia="cs-CZ"/>
              </w:rPr>
              <w:t>-</w:t>
            </w:r>
          </w:p>
        </w:tc>
      </w:tr>
    </w:tbl>
    <w:p w14:paraId="610D9C13" w14:textId="5F709107" w:rsidR="00BB4766" w:rsidRDefault="00BB4766" w:rsidP="00BB4766">
      <w:pPr>
        <w:pStyle w:val="Zdroj"/>
      </w:pPr>
      <w:r>
        <w:t xml:space="preserve">Zdroj: SMZ, </w:t>
      </w:r>
      <w:r w:rsidRPr="009E7B3A">
        <w:t>Odbor školství</w:t>
      </w:r>
      <w:r>
        <w:t xml:space="preserve">, </w:t>
      </w:r>
      <w:r w:rsidRPr="009E7B3A">
        <w:t>Magistrát města Zlína</w:t>
      </w:r>
      <w:r>
        <w:t>, k 1.</w:t>
      </w:r>
      <w:r w:rsidR="00AF739C">
        <w:t xml:space="preserve"> </w:t>
      </w:r>
      <w:r>
        <w:t>7.</w:t>
      </w:r>
      <w:r w:rsidR="00AF739C">
        <w:t xml:space="preserve"> </w:t>
      </w:r>
      <w:r>
        <w:t>2020</w:t>
      </w:r>
      <w:r w:rsidR="00AF739C">
        <w:t>.</w:t>
      </w:r>
    </w:p>
    <w:p w14:paraId="622977B1" w14:textId="286D27DD" w:rsidR="00BB4766" w:rsidRDefault="00BB4766" w:rsidP="00BB4766">
      <w:r>
        <w:t xml:space="preserve">Kapacita a naplněnost jednotlivých základních škol zřizovaných městem od roku 2013/2014 je porovnána v tabulce </w:t>
      </w:r>
      <w:r w:rsidR="00602924">
        <w:t>1.79</w:t>
      </w:r>
      <w:r w:rsidR="00094895">
        <w:t xml:space="preserve"> </w:t>
      </w:r>
      <w:r>
        <w:t xml:space="preserve">uvedené v příloze této kapitoly. Kapacitně největší školou je </w:t>
      </w:r>
      <w:r w:rsidRPr="007E479D">
        <w:t>Základní škola Zlín, Dřevnická 1790</w:t>
      </w:r>
      <w:r>
        <w:t xml:space="preserve"> a </w:t>
      </w:r>
      <w:r w:rsidRPr="007E479D">
        <w:t>Základní škola Zlín, Okružní 4685</w:t>
      </w:r>
      <w:r>
        <w:t xml:space="preserve">. Každá škola umožňuje návštěvnost </w:t>
      </w:r>
      <w:r w:rsidRPr="00DB7E42">
        <w:t>pro 1 000 žáků</w:t>
      </w:r>
      <w:r>
        <w:t>. Na Základní škole</w:t>
      </w:r>
      <w:r w:rsidRPr="007E479D">
        <w:t xml:space="preserve"> Zlín, Okružní 4685</w:t>
      </w:r>
      <w:r>
        <w:t xml:space="preserve"> je naplněna kapacita ze 70,4 % (školu v roce 2019/2020 navštěvovalo 704 žáků) a na </w:t>
      </w:r>
      <w:r w:rsidRPr="007E479D">
        <w:t>Základní škol</w:t>
      </w:r>
      <w:r>
        <w:t>e</w:t>
      </w:r>
      <w:r w:rsidRPr="007E479D">
        <w:t xml:space="preserve"> Zlín, Dřevnická 1790</w:t>
      </w:r>
      <w:r>
        <w:t xml:space="preserve"> pouze z 35,7 % (školu v roce 2019/2020 navštěvovalo 357 žáků). Kapacita není úplně naplňována u žádné z uvedených škol (i vzhledem ke skutečnosti, že jsou do kapacity zahrnuty i odborné učebny). </w:t>
      </w:r>
    </w:p>
    <w:p w14:paraId="6BE1A5A1" w14:textId="721CFCCE" w:rsidR="00BB4766" w:rsidRPr="00AF39E7" w:rsidRDefault="00BB4766" w:rsidP="00BB4766">
      <w:r>
        <w:t>Nesoulad kapacity základních škol s územním rozložení</w:t>
      </w:r>
      <w:r w:rsidR="00AF739C">
        <w:t>m</w:t>
      </w:r>
      <w:r>
        <w:t xml:space="preserve"> poptávky se v posledních 6 letech projevoval v</w:t>
      </w:r>
      <w:r w:rsidR="00AF739C">
        <w:t> </w:t>
      </w:r>
      <w:r>
        <w:t>místních částech Štípa, Kostelec a Velíková, které spadají do obvodu Základní školy Zlín, Nová cesta 268, příspěvková organizace. Dostatečná nebyla ani kapacita školní družiny, jejíž některé prostory téměř nevyhovovaly hygienickým podmínkám. Díky dotaci z MŠMT došlo na této škole k rozšíření kapacity o 2 učebny, 1 odbornou učebnu pro výuku jazyků a kapacity školní družiny, která již vyhovuje hygienickým požadavkům. K rozšíření prostor o 4 odborné učebny došlo v roce 2018 – 2019 také v</w:t>
      </w:r>
      <w:r w:rsidR="00AF739C">
        <w:t> </w:t>
      </w:r>
      <w:r>
        <w:t>Základní škole Zlín, Kvítková 4338. V roce 2020 se objevil místní nedostatek míst pro spádové žáky u</w:t>
      </w:r>
      <w:r w:rsidR="00AF739C">
        <w:t> </w:t>
      </w:r>
      <w:r>
        <w:t>Základní školy Zlín, Křiby 4788. Jednalo se o mimořádnou situaci, která byla vyřešena novou</w:t>
      </w:r>
      <w:r w:rsidRPr="00AF39E7">
        <w:t xml:space="preserve"> Ob</w:t>
      </w:r>
      <w:r>
        <w:t>ecně závaznou vyhláškou</w:t>
      </w:r>
      <w:r w:rsidRPr="00AF39E7">
        <w:t xml:space="preserve"> o spádových obvodech schválen</w:t>
      </w:r>
      <w:r>
        <w:t>ou</w:t>
      </w:r>
      <w:r w:rsidRPr="00AF39E7">
        <w:t xml:space="preserve"> na Zastupitelstvu města Zlína dne 30. dubna 2020.</w:t>
      </w:r>
      <w:r w:rsidRPr="00342C31">
        <w:t xml:space="preserve"> </w:t>
      </w:r>
      <w:r>
        <w:t>V letech 2020 -2021 se vybuduje 10 odborných učeben z IROP. Celková hodnota této dotace je cca 68 mil. Kč.</w:t>
      </w:r>
      <w:r>
        <w:rPr>
          <w:rStyle w:val="Znakapoznpodarou"/>
        </w:rPr>
        <w:footnoteReference w:id="58"/>
      </w:r>
      <w:r w:rsidRPr="00AF39E7">
        <w:t xml:space="preserve"> </w:t>
      </w:r>
    </w:p>
    <w:p w14:paraId="4A9BF3A5" w14:textId="62CD9B8A" w:rsidR="00BB4766" w:rsidRDefault="00BB4766" w:rsidP="00BB4766">
      <w:r w:rsidRPr="00857270">
        <w:t xml:space="preserve">V Koncepci rozvoje školství statutárního města Zlína na období let 2021 – 2027 je uveden předpoklad vývoje počtu dětí, které budou navštěvovat základní školy, do roku 2041. Tuto predikci zpracovala </w:t>
      </w:r>
      <w:r>
        <w:t xml:space="preserve">společnost </w:t>
      </w:r>
      <w:r w:rsidRPr="00857270">
        <w:t>MARVIS v roce 2013.</w:t>
      </w:r>
      <w:r>
        <w:t xml:space="preserve"> Statutární město Zlín tedy sleduje demografický vývoj ve městě a</w:t>
      </w:r>
      <w:r w:rsidR="00AF739C">
        <w:t> </w:t>
      </w:r>
      <w:r>
        <w:t xml:space="preserve">optimalizaci kapacit jednotlivých škol na základě odborných predikcí. Prognóza ukazuje, že by mělo </w:t>
      </w:r>
      <w:r>
        <w:lastRenderedPageBreak/>
        <w:t>v následujících letech docházet k pozvolnému poklesu počtu osob ve věku 5 – 14 let. Plné využití kapacit základních škol, které město zřizuje, se odhaduje na cca pět dalších let.</w:t>
      </w:r>
    </w:p>
    <w:p w14:paraId="5BDED8FB" w14:textId="77777777" w:rsidR="00BB4766" w:rsidRDefault="00BB4766" w:rsidP="00BB4766">
      <w:r w:rsidRPr="00B43401">
        <w:t>Kromě dvou škol je přímo na školách zařízení školního stravování. Žáci Základní školy Emila Zátopka Zlín, Štefánikova 2701 se stravují ve školní jídelně Základní školy Zlín, Štefánikova 2514, příspěvkové organizaci. Žáci Základní školy Komenského II, Zlín, Havlíčkovo nábř. 2567, se stravují ve školní jídelně Základní školy Komenského I, Zlín, Havlíčkovo nábř. 3114, příspěvkové organizaci. Základní školy zřizované městem Zlín nezřizují školní kluby.</w:t>
      </w:r>
    </w:p>
    <w:p w14:paraId="0F36FF6F" w14:textId="3CACCFC2" w:rsidR="00BB4766" w:rsidRPr="00DB1CE5" w:rsidRDefault="00BB4766" w:rsidP="00BB4766">
      <w:r w:rsidRPr="00DB1CE5">
        <w:t>Provoz škol je zajištěn, provozní příspěvky z rozpočtu pokrývají chod škol a běžnou údržbu. Požadavky na provozní výdaje i na investice překračují finanční možnosti zřizovatele. Většina škol je desítky let stará, projevuje se na nich</w:t>
      </w:r>
      <w:r w:rsidR="00AF739C">
        <w:t xml:space="preserve"> omezená</w:t>
      </w:r>
      <w:r w:rsidRPr="00DB1CE5">
        <w:t xml:space="preserve"> možnost městského rozpočtu. V případě havár</w:t>
      </w:r>
      <w:r w:rsidR="00AF739C">
        <w:t>ií a zabezpečení hygienických a </w:t>
      </w:r>
      <w:r w:rsidRPr="00DB1CE5">
        <w:t xml:space="preserve">bezpečnostních předpisů bývá, dle vývoje příjmů města, provozní příspěvek během roku navyšován. </w:t>
      </w:r>
    </w:p>
    <w:p w14:paraId="4BF20E87" w14:textId="588D3E3F" w:rsidR="00BB4766" w:rsidRDefault="00BB4766" w:rsidP="00BB4766">
      <w:r w:rsidRPr="00DB1CE5">
        <w:t>Základní školy již nejméně 8 let dostávají ve schválených rozpočtech města přibližně stejné finance na svůj provoz, přestože energie a služby byly již několikanásobně zdraženy. Je nutno vzít v úvahu, že z</w:t>
      </w:r>
      <w:r w:rsidR="00AF739C">
        <w:t> </w:t>
      </w:r>
      <w:r w:rsidRPr="00DB1CE5">
        <w:t>provozních prostředků ředitelé hradí i opravy a běžnou údržbu majetku města.</w:t>
      </w:r>
      <w:r w:rsidRPr="00DB1CE5">
        <w:rPr>
          <w:rStyle w:val="Znakapoznpodarou"/>
        </w:rPr>
        <w:footnoteReference w:id="59"/>
      </w:r>
    </w:p>
    <w:p w14:paraId="20243CA4" w14:textId="77777777" w:rsidR="00BB4766" w:rsidRPr="00342C31" w:rsidRDefault="00BB4766" w:rsidP="00BB4766">
      <w:r>
        <w:t>Základní</w:t>
      </w:r>
      <w:r w:rsidRPr="00342C31">
        <w:t xml:space="preserve"> škol</w:t>
      </w:r>
      <w:r>
        <w:t>y</w:t>
      </w:r>
      <w:r w:rsidRPr="00342C31">
        <w:t xml:space="preserve"> zřizov</w:t>
      </w:r>
      <w:r>
        <w:t>ané</w:t>
      </w:r>
      <w:r w:rsidRPr="00342C31">
        <w:t xml:space="preserve"> statutárním městem Zlínem</w:t>
      </w:r>
      <w:r>
        <w:t xml:space="preserve"> nejsou oficiálně nijak specificky zaměřeny</w:t>
      </w:r>
      <w:r w:rsidRPr="00342C31">
        <w:t xml:space="preserve">. Profilují se </w:t>
      </w:r>
      <w:r>
        <w:t xml:space="preserve">pouze v rámci škol </w:t>
      </w:r>
      <w:r w:rsidRPr="00342C31">
        <w:t>určité třídy</w:t>
      </w:r>
      <w:r>
        <w:t>, popř. ročníky:</w:t>
      </w:r>
    </w:p>
    <w:p w14:paraId="29373320" w14:textId="77777777" w:rsidR="00BB4766" w:rsidRPr="00342C31" w:rsidRDefault="00BB4766" w:rsidP="00BB4766">
      <w:pPr>
        <w:pStyle w:val="Odstavecseseznamem"/>
        <w:numPr>
          <w:ilvl w:val="0"/>
          <w:numId w:val="26"/>
        </w:numPr>
      </w:pPr>
      <w:r w:rsidRPr="00342C31">
        <w:t>ZŠ Emila Zátopka (1. ZŠ) – sportovní třídy (hokej, plavání, atletika)</w:t>
      </w:r>
    </w:p>
    <w:p w14:paraId="45B11A68" w14:textId="77777777" w:rsidR="00BB4766" w:rsidRPr="00342C31" w:rsidRDefault="00BB4766" w:rsidP="00BB4766">
      <w:pPr>
        <w:pStyle w:val="Odstavecseseznamem"/>
        <w:numPr>
          <w:ilvl w:val="0"/>
          <w:numId w:val="26"/>
        </w:numPr>
      </w:pPr>
      <w:r w:rsidRPr="00342C31">
        <w:t>ZŠ Slovenská 3076 (3. ZŠ) – logopedické třídy, basketbal</w:t>
      </w:r>
    </w:p>
    <w:p w14:paraId="364EE212" w14:textId="77777777" w:rsidR="00BB4766" w:rsidRPr="00342C31" w:rsidRDefault="00BB4766" w:rsidP="00BB4766">
      <w:pPr>
        <w:pStyle w:val="Odstavecseseznamem"/>
        <w:numPr>
          <w:ilvl w:val="0"/>
          <w:numId w:val="26"/>
        </w:numPr>
      </w:pPr>
      <w:r w:rsidRPr="00342C31">
        <w:t>ZŠ Komenského I (4. ZŠ) – třídy Montessori, výtvarná výchova, Ekoškola</w:t>
      </w:r>
    </w:p>
    <w:p w14:paraId="0B43A1A9" w14:textId="77777777" w:rsidR="00BB4766" w:rsidRPr="00342C31" w:rsidRDefault="00BB4766" w:rsidP="00BB4766">
      <w:pPr>
        <w:pStyle w:val="Odstavecseseznamem"/>
        <w:numPr>
          <w:ilvl w:val="0"/>
          <w:numId w:val="26"/>
        </w:numPr>
      </w:pPr>
      <w:r w:rsidRPr="00342C31">
        <w:t>ZŠ Komenského II (5. ZŠ) – fotbal, aerobik</w:t>
      </w:r>
    </w:p>
    <w:p w14:paraId="3C9D910F" w14:textId="77777777" w:rsidR="00BB4766" w:rsidRPr="00342C31" w:rsidRDefault="00BB4766" w:rsidP="00BB4766">
      <w:pPr>
        <w:pStyle w:val="Odstavecseseznamem"/>
        <w:numPr>
          <w:ilvl w:val="0"/>
          <w:numId w:val="26"/>
        </w:numPr>
      </w:pPr>
      <w:r w:rsidRPr="00342C31">
        <w:t>ZŠ Kvítková (7. ZŠ) – „jazyková škola“ – škola s rozšířenou výukou jazyků</w:t>
      </w:r>
    </w:p>
    <w:p w14:paraId="03D2BCED" w14:textId="77777777" w:rsidR="00BB4766" w:rsidRPr="00342C31" w:rsidRDefault="00BB4766" w:rsidP="00BB4766">
      <w:pPr>
        <w:pStyle w:val="Odstavecseseznamem"/>
        <w:numPr>
          <w:ilvl w:val="0"/>
          <w:numId w:val="26"/>
        </w:numPr>
      </w:pPr>
      <w:r w:rsidRPr="00342C31">
        <w:t>ZŠ Dřevnická 1790 (10. ZŠ) – třídy s rozšířenou výukou matematiky</w:t>
      </w:r>
    </w:p>
    <w:p w14:paraId="46A686B8" w14:textId="77777777" w:rsidR="00BB4766" w:rsidRPr="00342C31" w:rsidRDefault="00BB4766" w:rsidP="00BB4766">
      <w:pPr>
        <w:pStyle w:val="Odstavecseseznamem"/>
        <w:numPr>
          <w:ilvl w:val="0"/>
          <w:numId w:val="26"/>
        </w:numPr>
      </w:pPr>
      <w:r w:rsidRPr="00342C31">
        <w:t>ZŠ tř. Svobody 868 (11. ZŠ) – třídy nadaných žáků, rozšířená výuka hudební výchovy</w:t>
      </w:r>
    </w:p>
    <w:p w14:paraId="7D8B2AA4" w14:textId="77777777" w:rsidR="00BB4766" w:rsidRPr="00342C31" w:rsidRDefault="00BB4766" w:rsidP="00BB4766">
      <w:pPr>
        <w:pStyle w:val="Odstavecseseznamem"/>
        <w:numPr>
          <w:ilvl w:val="0"/>
          <w:numId w:val="26"/>
        </w:numPr>
      </w:pPr>
      <w:r w:rsidRPr="00342C31">
        <w:t>ZŠ Mikoláše Alše 558 (12. ZŠ) – Ekoškola</w:t>
      </w:r>
    </w:p>
    <w:p w14:paraId="5EEFC1B3" w14:textId="77777777" w:rsidR="00BB4766" w:rsidRPr="00342C31" w:rsidRDefault="00BB4766" w:rsidP="00BB4766">
      <w:pPr>
        <w:pStyle w:val="Odstavecseseznamem"/>
        <w:numPr>
          <w:ilvl w:val="0"/>
          <w:numId w:val="26"/>
        </w:numPr>
      </w:pPr>
      <w:r w:rsidRPr="00342C31">
        <w:t>ZŠ Nová cesta 268 (14. ZŠ) – Ekoškola</w:t>
      </w:r>
    </w:p>
    <w:p w14:paraId="2EE6CE10" w14:textId="77777777" w:rsidR="00BB4766" w:rsidRPr="00342C31" w:rsidRDefault="00BB4766" w:rsidP="00BB4766">
      <w:pPr>
        <w:pStyle w:val="Odstavecseseznamem"/>
        <w:numPr>
          <w:ilvl w:val="0"/>
          <w:numId w:val="26"/>
        </w:numPr>
      </w:pPr>
      <w:r w:rsidRPr="00342C31">
        <w:t>ZŠ Okružní 4685 (16. ZŠ) – volejbal</w:t>
      </w:r>
    </w:p>
    <w:p w14:paraId="677C1413" w14:textId="77777777" w:rsidR="00BB4766" w:rsidRPr="00342C31" w:rsidRDefault="00BB4766" w:rsidP="00BB4766">
      <w:pPr>
        <w:pStyle w:val="Odstavecseseznamem"/>
        <w:numPr>
          <w:ilvl w:val="0"/>
          <w:numId w:val="26"/>
        </w:numPr>
      </w:pPr>
      <w:r w:rsidRPr="00342C31">
        <w:t>ZŠ Křiby 4788 (17. ZŠ) - házená</w:t>
      </w:r>
    </w:p>
    <w:p w14:paraId="1E1B1C0F" w14:textId="77777777" w:rsidR="00BB4766" w:rsidRDefault="00BB4766" w:rsidP="00BB4766">
      <w:r>
        <w:t xml:space="preserve">Na základních školách dochází k modernizaci vybavení a budování jazykových, počítačových a jiných odborných tříd díky prostředkům z dotačních titulů. </w:t>
      </w:r>
    </w:p>
    <w:p w14:paraId="1110284B" w14:textId="72C9163F" w:rsidR="00BB4766" w:rsidRDefault="00BB4766" w:rsidP="00BB4766">
      <w:r>
        <w:t>Na území města se nachází 8 základních škol, které jsou zřizovány jiným subjektem, než městem Zlín (viz tabulka</w:t>
      </w:r>
      <w:r w:rsidR="00EB62B8">
        <w:t xml:space="preserve"> 1.4</w:t>
      </w:r>
      <w:r w:rsidR="009D4735">
        <w:t>0</w:t>
      </w:r>
      <w:r>
        <w:t xml:space="preserve">). Školy ve školním roce 2019/2020 navštěvuje celkem 569 žáků. První 3 školy, uvedené v tabulce </w:t>
      </w:r>
      <w:r w:rsidR="00094895">
        <w:t>1.4</w:t>
      </w:r>
      <w:r w:rsidR="009D4735">
        <w:t>0</w:t>
      </w:r>
      <w:r>
        <w:t>, jsou zřizované Zlínským krajem a dalších 5 škol je zřizovaných jiným subjektem.</w:t>
      </w:r>
    </w:p>
    <w:p w14:paraId="33E68B9B" w14:textId="65B58A39" w:rsidR="00BB4766" w:rsidRPr="007B1D40" w:rsidRDefault="00BB4766" w:rsidP="00BB4766">
      <w:r w:rsidRPr="00294173">
        <w:rPr>
          <w:bCs/>
        </w:rPr>
        <w:t>Základní škola Zlín, Středová</w:t>
      </w:r>
      <w:r w:rsidRPr="00294173">
        <w:rPr>
          <w:b/>
          <w:bCs/>
        </w:rPr>
        <w:t> </w:t>
      </w:r>
      <w:r w:rsidRPr="00294173">
        <w:t> je jediným zařízením tohoto typu na Zlínsku. Žáky jsou děti s mentální retardací různého stupně a s dalším postižením, ať již těles</w:t>
      </w:r>
      <w:r>
        <w:t xml:space="preserve">ným či smyslovým. Většina dětí </w:t>
      </w:r>
      <w:r w:rsidRPr="00294173">
        <w:t>je imobilních, jsou zde i žáci nevidomí a žáci s poruchou autistického spektra.</w:t>
      </w:r>
      <w:r w:rsidRPr="007B1D40">
        <w:rPr>
          <w:color w:val="333333"/>
        </w:rPr>
        <w:t xml:space="preserve"> </w:t>
      </w:r>
      <w:r w:rsidRPr="007B1D40">
        <w:rPr>
          <w:bCs/>
        </w:rPr>
        <w:t>Základní škola Zlín, Mostní</w:t>
      </w:r>
      <w:r w:rsidRPr="007B1D40">
        <w:t xml:space="preserve"> zahrnuje třídy základní školy vzdělávající žáky se speciálními vzdělávacími potřebami podle §</w:t>
      </w:r>
      <w:r>
        <w:t xml:space="preserve"> </w:t>
      </w:r>
      <w:r w:rsidRPr="007B1D40">
        <w:t>16 odst.</w:t>
      </w:r>
      <w:r w:rsidR="00AF739C">
        <w:t> </w:t>
      </w:r>
      <w:r w:rsidRPr="007B1D40">
        <w:t>9, třídu základní školy speciální a základní školu při zdravotnickém zařízení.</w:t>
      </w:r>
      <w:r>
        <w:rPr>
          <w:color w:val="333333"/>
        </w:rPr>
        <w:t xml:space="preserve"> </w:t>
      </w:r>
      <w:r w:rsidRPr="007B1D40">
        <w:t>Škola na Havlíčkově nábřeží - ZŠ při zdravotnickém zařízení vzdělává žáky hospitalizované v Krajské nemocnici T. Bati ve Zlíně podle ŠVP „S naší pomocí proti nemoci“, pro základní školu, vytvořeného podle RVP pro ZV způsobem, jehož obsah, formy a metody odpovídají jejich vzdělávacím potřebám a možnostem.  </w:t>
      </w:r>
      <w:r>
        <w:t>Dětský domov, Mateřská škola, Základní škola a Praktická škola Zlín tvoří komplex škol a školských zařízení pro děti a</w:t>
      </w:r>
      <w:r w:rsidR="000C7BED">
        <w:t> </w:t>
      </w:r>
      <w:r>
        <w:t>žáky se zdravotním postižením ve věku od 3 do 19 let. V zařízení se vzdělávají děti a žáci s lehkým, středně těžkým a těžkým mentálním postižením, poruchou autistického spektra a kombinovaným postižením.</w:t>
      </w:r>
    </w:p>
    <w:p w14:paraId="2E86824A" w14:textId="26520DDF" w:rsidR="00BB4766" w:rsidRDefault="00BB4766" w:rsidP="00BB4766">
      <w:pPr>
        <w:pStyle w:val="Titulek"/>
      </w:pPr>
      <w:bookmarkStart w:id="246" w:name="_Toc52885951"/>
      <w:bookmarkStart w:id="247" w:name="_Toc77074720"/>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40</w:t>
      </w:r>
      <w:r w:rsidR="00081B47">
        <w:rPr>
          <w:noProof/>
        </w:rPr>
        <w:fldChar w:fldCharType="end"/>
      </w:r>
      <w:r w:rsidR="000C7BED">
        <w:rPr>
          <w:noProof/>
        </w:rPr>
        <w:t>:</w:t>
      </w:r>
      <w:r>
        <w:t xml:space="preserve"> Přehled základních škol zřizovaných jiným subjektem než městem Zlínem</w:t>
      </w:r>
      <w:bookmarkEnd w:id="246"/>
      <w:bookmarkEnd w:id="247"/>
    </w:p>
    <w:tbl>
      <w:tblPr>
        <w:tblW w:w="8957" w:type="dxa"/>
        <w:tblInd w:w="58" w:type="dxa"/>
        <w:tblLayout w:type="fixed"/>
        <w:tblCellMar>
          <w:left w:w="70" w:type="dxa"/>
          <w:right w:w="70" w:type="dxa"/>
        </w:tblCellMar>
        <w:tblLook w:val="0000" w:firstRow="0" w:lastRow="0" w:firstColumn="0" w:lastColumn="0" w:noHBand="0" w:noVBand="0"/>
      </w:tblPr>
      <w:tblGrid>
        <w:gridCol w:w="5024"/>
        <w:gridCol w:w="2947"/>
        <w:gridCol w:w="986"/>
      </w:tblGrid>
      <w:tr w:rsidR="00BB4766" w:rsidRPr="003E697C" w14:paraId="75C970B2" w14:textId="77777777" w:rsidTr="000C49A5">
        <w:trPr>
          <w:trHeight w:val="71"/>
        </w:trPr>
        <w:tc>
          <w:tcPr>
            <w:tcW w:w="5024" w:type="dxa"/>
            <w:tcBorders>
              <w:top w:val="single" w:sz="8" w:space="0" w:color="auto"/>
              <w:left w:val="single" w:sz="8" w:space="0" w:color="auto"/>
              <w:bottom w:val="single" w:sz="8" w:space="0" w:color="auto"/>
              <w:right w:val="single" w:sz="4" w:space="0" w:color="auto"/>
            </w:tcBorders>
            <w:shd w:val="clear" w:color="auto" w:fill="A6A6A6" w:themeFill="background1" w:themeFillShade="A6"/>
            <w:vAlign w:val="center"/>
          </w:tcPr>
          <w:p w14:paraId="79412792" w14:textId="77777777" w:rsidR="00BB4766" w:rsidRPr="003E697C" w:rsidRDefault="00BB4766" w:rsidP="000C49A5">
            <w:pPr>
              <w:jc w:val="center"/>
              <w:rPr>
                <w:b/>
                <w:bCs/>
                <w:sz w:val="16"/>
                <w:szCs w:val="16"/>
              </w:rPr>
            </w:pPr>
            <w:r w:rsidRPr="003E697C">
              <w:rPr>
                <w:b/>
                <w:bCs/>
                <w:sz w:val="16"/>
                <w:szCs w:val="16"/>
              </w:rPr>
              <w:t>Název školy</w:t>
            </w:r>
          </w:p>
        </w:tc>
        <w:tc>
          <w:tcPr>
            <w:tcW w:w="2946" w:type="dxa"/>
            <w:tcBorders>
              <w:top w:val="single" w:sz="8" w:space="0" w:color="auto"/>
              <w:left w:val="nil"/>
              <w:bottom w:val="single" w:sz="8" w:space="0" w:color="auto"/>
              <w:right w:val="single" w:sz="4" w:space="0" w:color="auto"/>
            </w:tcBorders>
            <w:shd w:val="clear" w:color="auto" w:fill="A6A6A6" w:themeFill="background1" w:themeFillShade="A6"/>
            <w:noWrap/>
            <w:vAlign w:val="center"/>
          </w:tcPr>
          <w:p w14:paraId="5398124F" w14:textId="77777777" w:rsidR="00BB4766" w:rsidRPr="003E697C" w:rsidRDefault="00BB4766" w:rsidP="000C49A5">
            <w:pPr>
              <w:jc w:val="center"/>
              <w:rPr>
                <w:b/>
                <w:bCs/>
                <w:sz w:val="16"/>
                <w:szCs w:val="16"/>
              </w:rPr>
            </w:pPr>
            <w:r>
              <w:rPr>
                <w:b/>
                <w:bCs/>
                <w:sz w:val="16"/>
                <w:szCs w:val="16"/>
              </w:rPr>
              <w:t>Adresa</w:t>
            </w:r>
          </w:p>
        </w:tc>
        <w:tc>
          <w:tcPr>
            <w:tcW w:w="986" w:type="dxa"/>
            <w:tcBorders>
              <w:top w:val="single" w:sz="8" w:space="0" w:color="auto"/>
              <w:left w:val="nil"/>
              <w:bottom w:val="single" w:sz="8" w:space="0" w:color="auto"/>
              <w:right w:val="single" w:sz="8" w:space="0" w:color="auto"/>
            </w:tcBorders>
            <w:shd w:val="clear" w:color="auto" w:fill="A6A6A6" w:themeFill="background1" w:themeFillShade="A6"/>
            <w:vAlign w:val="center"/>
          </w:tcPr>
          <w:p w14:paraId="0C034DB9" w14:textId="77777777" w:rsidR="00BB4766" w:rsidRPr="003E697C" w:rsidRDefault="00BB4766" w:rsidP="000C49A5">
            <w:pPr>
              <w:jc w:val="center"/>
              <w:rPr>
                <w:b/>
                <w:bCs/>
                <w:sz w:val="16"/>
                <w:szCs w:val="16"/>
              </w:rPr>
            </w:pPr>
            <w:r w:rsidRPr="003E697C">
              <w:rPr>
                <w:b/>
                <w:bCs/>
                <w:sz w:val="16"/>
                <w:szCs w:val="16"/>
              </w:rPr>
              <w:t>Počet žáků</w:t>
            </w:r>
          </w:p>
        </w:tc>
      </w:tr>
      <w:tr w:rsidR="00BB4766" w:rsidRPr="003E697C" w14:paraId="03ABD0B5" w14:textId="77777777" w:rsidTr="000C49A5">
        <w:trPr>
          <w:trHeight w:val="188"/>
        </w:trPr>
        <w:tc>
          <w:tcPr>
            <w:tcW w:w="5024" w:type="dxa"/>
            <w:tcBorders>
              <w:top w:val="single" w:sz="4" w:space="0" w:color="auto"/>
              <w:left w:val="single" w:sz="8" w:space="0" w:color="auto"/>
              <w:bottom w:val="single" w:sz="4" w:space="0" w:color="auto"/>
              <w:right w:val="single" w:sz="4" w:space="0" w:color="auto"/>
            </w:tcBorders>
            <w:shd w:val="clear" w:color="auto" w:fill="E2EFD9" w:themeFill="accent6" w:themeFillTint="33"/>
            <w:vAlign w:val="center"/>
          </w:tcPr>
          <w:p w14:paraId="4BF5493C" w14:textId="77777777" w:rsidR="00BB4766" w:rsidRPr="00CE3112" w:rsidRDefault="00BB4766" w:rsidP="000C49A5">
            <w:pPr>
              <w:spacing w:before="0"/>
              <w:rPr>
                <w:sz w:val="18"/>
                <w:szCs w:val="18"/>
              </w:rPr>
            </w:pPr>
            <w:r w:rsidRPr="00CE3112">
              <w:rPr>
                <w:sz w:val="18"/>
                <w:szCs w:val="18"/>
              </w:rPr>
              <w:t xml:space="preserve">Základní </w:t>
            </w:r>
            <w:r>
              <w:rPr>
                <w:sz w:val="18"/>
                <w:szCs w:val="18"/>
              </w:rPr>
              <w:t>škola</w:t>
            </w:r>
            <w:r w:rsidRPr="00CE3112">
              <w:rPr>
                <w:sz w:val="18"/>
                <w:szCs w:val="18"/>
              </w:rPr>
              <w:t xml:space="preserve"> Zlín, Středová 4694, Zlín – Jižní Svahy 760 05</w:t>
            </w:r>
          </w:p>
        </w:tc>
        <w:tc>
          <w:tcPr>
            <w:tcW w:w="2946" w:type="dxa"/>
            <w:tcBorders>
              <w:top w:val="single" w:sz="4" w:space="0" w:color="auto"/>
              <w:left w:val="nil"/>
              <w:bottom w:val="single" w:sz="4" w:space="0" w:color="auto"/>
              <w:right w:val="single" w:sz="4" w:space="0" w:color="auto"/>
            </w:tcBorders>
            <w:shd w:val="clear" w:color="auto" w:fill="FFFFFF" w:themeFill="background1"/>
            <w:noWrap/>
            <w:vAlign w:val="center"/>
          </w:tcPr>
          <w:p w14:paraId="1C076448" w14:textId="77777777" w:rsidR="00BB4766" w:rsidRPr="00CE3112" w:rsidRDefault="00BB4766" w:rsidP="000C49A5">
            <w:pPr>
              <w:spacing w:before="0"/>
              <w:jc w:val="left"/>
              <w:rPr>
                <w:sz w:val="18"/>
                <w:szCs w:val="18"/>
              </w:rPr>
            </w:pPr>
            <w:r w:rsidRPr="00CE3112">
              <w:rPr>
                <w:sz w:val="18"/>
                <w:szCs w:val="18"/>
                <w:shd w:val="clear" w:color="auto" w:fill="FFFFFF"/>
              </w:rPr>
              <w:t>Středová 4694, 760 05 Zlín</w:t>
            </w:r>
          </w:p>
        </w:tc>
        <w:tc>
          <w:tcPr>
            <w:tcW w:w="986" w:type="dxa"/>
            <w:tcBorders>
              <w:top w:val="single" w:sz="4" w:space="0" w:color="auto"/>
              <w:left w:val="nil"/>
              <w:bottom w:val="single" w:sz="4" w:space="0" w:color="auto"/>
              <w:right w:val="single" w:sz="8" w:space="0" w:color="auto"/>
            </w:tcBorders>
            <w:shd w:val="clear" w:color="auto" w:fill="auto"/>
            <w:noWrap/>
            <w:vAlign w:val="center"/>
          </w:tcPr>
          <w:p w14:paraId="629EDDB2" w14:textId="77777777" w:rsidR="00BB4766" w:rsidRPr="00CE3112" w:rsidRDefault="00BB4766" w:rsidP="000C49A5">
            <w:pPr>
              <w:spacing w:before="0"/>
              <w:jc w:val="right"/>
              <w:rPr>
                <w:b/>
                <w:bCs/>
                <w:sz w:val="18"/>
                <w:szCs w:val="18"/>
              </w:rPr>
            </w:pPr>
            <w:r w:rsidRPr="00CE3112">
              <w:rPr>
                <w:b/>
                <w:bCs/>
                <w:sz w:val="18"/>
                <w:szCs w:val="18"/>
              </w:rPr>
              <w:t>50</w:t>
            </w:r>
          </w:p>
        </w:tc>
      </w:tr>
      <w:tr w:rsidR="00BB4766" w:rsidRPr="003E697C" w14:paraId="6ED06E97" w14:textId="77777777" w:rsidTr="000C49A5">
        <w:trPr>
          <w:trHeight w:val="558"/>
        </w:trPr>
        <w:tc>
          <w:tcPr>
            <w:tcW w:w="5024" w:type="dxa"/>
            <w:tcBorders>
              <w:top w:val="nil"/>
              <w:left w:val="single" w:sz="8" w:space="0" w:color="auto"/>
              <w:bottom w:val="single" w:sz="4" w:space="0" w:color="auto"/>
              <w:right w:val="single" w:sz="4" w:space="0" w:color="auto"/>
            </w:tcBorders>
            <w:shd w:val="clear" w:color="auto" w:fill="E2EFD9" w:themeFill="accent6" w:themeFillTint="33"/>
            <w:vAlign w:val="center"/>
          </w:tcPr>
          <w:p w14:paraId="71725777" w14:textId="77777777" w:rsidR="00BB4766" w:rsidRPr="00CE3112" w:rsidRDefault="00BB4766" w:rsidP="000C49A5">
            <w:pPr>
              <w:spacing w:before="0"/>
              <w:rPr>
                <w:sz w:val="18"/>
                <w:szCs w:val="18"/>
              </w:rPr>
            </w:pPr>
            <w:r w:rsidRPr="00CE3112">
              <w:rPr>
                <w:sz w:val="18"/>
                <w:szCs w:val="18"/>
              </w:rPr>
              <w:t>Základní škola Zlín, Mostní 2397, 760 01 Zlín</w:t>
            </w:r>
          </w:p>
          <w:p w14:paraId="4A925469" w14:textId="77777777" w:rsidR="00BB4766" w:rsidRPr="00CE3112" w:rsidRDefault="00BB4766" w:rsidP="000C49A5">
            <w:pPr>
              <w:spacing w:before="0"/>
              <w:rPr>
                <w:sz w:val="18"/>
                <w:szCs w:val="18"/>
              </w:rPr>
            </w:pPr>
            <w:r w:rsidRPr="00CE3112">
              <w:rPr>
                <w:sz w:val="18"/>
                <w:szCs w:val="18"/>
              </w:rPr>
              <w:t>Odloučené pracoviště:</w:t>
            </w:r>
          </w:p>
          <w:p w14:paraId="6ABD1470" w14:textId="77777777" w:rsidR="00BB4766" w:rsidRPr="00CE3112" w:rsidRDefault="00BB4766" w:rsidP="000C49A5">
            <w:pPr>
              <w:spacing w:before="0"/>
              <w:rPr>
                <w:sz w:val="18"/>
                <w:szCs w:val="18"/>
              </w:rPr>
            </w:pPr>
            <w:r w:rsidRPr="00CE3112">
              <w:rPr>
                <w:rStyle w:val="ff0"/>
                <w:sz w:val="18"/>
                <w:szCs w:val="18"/>
              </w:rPr>
              <w:t>Krajská nemocnice T. Bati, a.s., Zlín</w:t>
            </w:r>
            <w:r w:rsidRPr="00CE3112">
              <w:rPr>
                <w:sz w:val="18"/>
                <w:szCs w:val="18"/>
              </w:rPr>
              <w:t xml:space="preserve"> </w:t>
            </w:r>
            <w:r w:rsidRPr="00CE3112">
              <w:rPr>
                <w:rStyle w:val="ff0"/>
                <w:sz w:val="18"/>
                <w:szCs w:val="18"/>
              </w:rPr>
              <w:t>Havlíčkovo nábřeží 600</w:t>
            </w:r>
          </w:p>
        </w:tc>
        <w:tc>
          <w:tcPr>
            <w:tcW w:w="2946" w:type="dxa"/>
            <w:tcBorders>
              <w:top w:val="nil"/>
              <w:left w:val="nil"/>
              <w:bottom w:val="single" w:sz="4" w:space="0" w:color="auto"/>
              <w:right w:val="single" w:sz="4" w:space="0" w:color="auto"/>
            </w:tcBorders>
            <w:shd w:val="clear" w:color="auto" w:fill="FFFFFF" w:themeFill="background1"/>
            <w:noWrap/>
            <w:vAlign w:val="center"/>
          </w:tcPr>
          <w:p w14:paraId="72C5F3C9" w14:textId="77777777" w:rsidR="00BB4766" w:rsidRPr="00CE3112" w:rsidRDefault="00BB4766" w:rsidP="000C49A5">
            <w:pPr>
              <w:spacing w:before="0"/>
              <w:jc w:val="left"/>
              <w:rPr>
                <w:sz w:val="18"/>
                <w:szCs w:val="18"/>
              </w:rPr>
            </w:pPr>
            <w:r w:rsidRPr="00CE3112">
              <w:rPr>
                <w:sz w:val="18"/>
                <w:szCs w:val="18"/>
                <w:shd w:val="clear" w:color="auto" w:fill="FFFFFF"/>
              </w:rPr>
              <w:t>Mostní 2397, 761 67 Zlín</w:t>
            </w:r>
          </w:p>
        </w:tc>
        <w:tc>
          <w:tcPr>
            <w:tcW w:w="986" w:type="dxa"/>
            <w:tcBorders>
              <w:top w:val="nil"/>
              <w:left w:val="nil"/>
              <w:bottom w:val="single" w:sz="4" w:space="0" w:color="auto"/>
              <w:right w:val="single" w:sz="8" w:space="0" w:color="auto"/>
            </w:tcBorders>
            <w:shd w:val="clear" w:color="auto" w:fill="auto"/>
            <w:noWrap/>
            <w:vAlign w:val="center"/>
          </w:tcPr>
          <w:p w14:paraId="2F2663D3" w14:textId="77777777" w:rsidR="00BB4766" w:rsidRPr="00CE3112" w:rsidRDefault="00BB4766" w:rsidP="000C49A5">
            <w:pPr>
              <w:spacing w:before="0"/>
              <w:jc w:val="right"/>
              <w:rPr>
                <w:b/>
                <w:bCs/>
                <w:sz w:val="18"/>
                <w:szCs w:val="18"/>
              </w:rPr>
            </w:pPr>
            <w:r w:rsidRPr="00CE3112">
              <w:rPr>
                <w:b/>
                <w:bCs/>
                <w:sz w:val="18"/>
                <w:szCs w:val="18"/>
              </w:rPr>
              <w:t>50</w:t>
            </w:r>
          </w:p>
        </w:tc>
      </w:tr>
      <w:tr w:rsidR="00BB4766" w:rsidRPr="003E697C" w14:paraId="011DC1EC" w14:textId="77777777" w:rsidTr="000C49A5">
        <w:trPr>
          <w:trHeight w:val="626"/>
        </w:trPr>
        <w:tc>
          <w:tcPr>
            <w:tcW w:w="5024" w:type="dxa"/>
            <w:tcBorders>
              <w:top w:val="nil"/>
              <w:left w:val="single" w:sz="8" w:space="0" w:color="auto"/>
              <w:bottom w:val="single" w:sz="4" w:space="0" w:color="auto"/>
              <w:right w:val="single" w:sz="4" w:space="0" w:color="auto"/>
            </w:tcBorders>
            <w:shd w:val="clear" w:color="auto" w:fill="E2EFD9" w:themeFill="accent6" w:themeFillTint="33"/>
            <w:vAlign w:val="center"/>
          </w:tcPr>
          <w:p w14:paraId="4D2F87FF" w14:textId="77777777" w:rsidR="00BB4766" w:rsidRPr="00CE3112" w:rsidRDefault="00BB4766" w:rsidP="000C49A5">
            <w:pPr>
              <w:spacing w:before="0"/>
              <w:rPr>
                <w:sz w:val="18"/>
                <w:szCs w:val="18"/>
              </w:rPr>
            </w:pPr>
            <w:r w:rsidRPr="00CE3112">
              <w:rPr>
                <w:sz w:val="18"/>
                <w:szCs w:val="18"/>
              </w:rPr>
              <w:t>Dětský domov, Mateřská škola, Základní škola a Praktická škola Zlín, Lazy 3695, 760 01 Zlín</w:t>
            </w:r>
          </w:p>
        </w:tc>
        <w:tc>
          <w:tcPr>
            <w:tcW w:w="2946" w:type="dxa"/>
            <w:tcBorders>
              <w:top w:val="nil"/>
              <w:left w:val="nil"/>
              <w:bottom w:val="single" w:sz="4" w:space="0" w:color="auto"/>
              <w:right w:val="single" w:sz="4" w:space="0" w:color="auto"/>
            </w:tcBorders>
            <w:shd w:val="clear" w:color="auto" w:fill="FFFFFF" w:themeFill="background1"/>
            <w:noWrap/>
            <w:vAlign w:val="center"/>
          </w:tcPr>
          <w:p w14:paraId="33812644" w14:textId="77777777" w:rsidR="00BB4766" w:rsidRPr="00CE3112" w:rsidRDefault="00BB4766" w:rsidP="000C49A5">
            <w:pPr>
              <w:spacing w:before="0"/>
              <w:jc w:val="left"/>
              <w:rPr>
                <w:sz w:val="18"/>
                <w:szCs w:val="18"/>
              </w:rPr>
            </w:pPr>
            <w:r w:rsidRPr="00CE3112">
              <w:rPr>
                <w:sz w:val="18"/>
                <w:szCs w:val="18"/>
              </w:rPr>
              <w:t>Lazy VI 3695, 760 01 Zlín</w:t>
            </w:r>
          </w:p>
        </w:tc>
        <w:tc>
          <w:tcPr>
            <w:tcW w:w="986" w:type="dxa"/>
            <w:tcBorders>
              <w:top w:val="nil"/>
              <w:left w:val="nil"/>
              <w:bottom w:val="single" w:sz="4" w:space="0" w:color="auto"/>
              <w:right w:val="single" w:sz="8" w:space="0" w:color="auto"/>
            </w:tcBorders>
            <w:shd w:val="clear" w:color="auto" w:fill="auto"/>
            <w:noWrap/>
            <w:vAlign w:val="center"/>
          </w:tcPr>
          <w:p w14:paraId="7CA5D65E" w14:textId="77777777" w:rsidR="00BB4766" w:rsidRPr="00CE3112" w:rsidRDefault="00BB4766" w:rsidP="000C49A5">
            <w:pPr>
              <w:spacing w:before="0"/>
              <w:jc w:val="right"/>
              <w:rPr>
                <w:b/>
                <w:bCs/>
                <w:sz w:val="18"/>
                <w:szCs w:val="18"/>
              </w:rPr>
            </w:pPr>
            <w:r w:rsidRPr="00CE3112">
              <w:rPr>
                <w:b/>
                <w:bCs/>
                <w:sz w:val="18"/>
                <w:szCs w:val="18"/>
              </w:rPr>
              <w:t>77</w:t>
            </w:r>
          </w:p>
        </w:tc>
      </w:tr>
      <w:tr w:rsidR="00BB4766" w:rsidRPr="003E697C" w14:paraId="58D6E9C3" w14:textId="77777777" w:rsidTr="000C49A5">
        <w:trPr>
          <w:trHeight w:val="112"/>
        </w:trPr>
        <w:tc>
          <w:tcPr>
            <w:tcW w:w="5024" w:type="dxa"/>
            <w:tcBorders>
              <w:top w:val="single" w:sz="4" w:space="0" w:color="auto"/>
              <w:left w:val="single" w:sz="8" w:space="0" w:color="auto"/>
              <w:bottom w:val="single" w:sz="4" w:space="0" w:color="auto"/>
              <w:right w:val="single" w:sz="4" w:space="0" w:color="auto"/>
            </w:tcBorders>
            <w:shd w:val="clear" w:color="auto" w:fill="E2EFD9" w:themeFill="accent6" w:themeFillTint="33"/>
            <w:vAlign w:val="center"/>
          </w:tcPr>
          <w:p w14:paraId="6DA53241" w14:textId="77777777" w:rsidR="00BB4766" w:rsidRPr="00CE3112" w:rsidRDefault="00BB4766" w:rsidP="000C49A5">
            <w:pPr>
              <w:spacing w:before="0"/>
              <w:rPr>
                <w:sz w:val="18"/>
                <w:szCs w:val="18"/>
              </w:rPr>
            </w:pPr>
            <w:r w:rsidRPr="00CE3112">
              <w:rPr>
                <w:sz w:val="18"/>
                <w:szCs w:val="18"/>
              </w:rPr>
              <w:t>Církevní základní škola a mateřská škola ve Zlíně</w:t>
            </w:r>
          </w:p>
        </w:tc>
        <w:tc>
          <w:tcPr>
            <w:tcW w:w="2946" w:type="dxa"/>
            <w:tcBorders>
              <w:top w:val="single" w:sz="4" w:space="0" w:color="auto"/>
              <w:left w:val="nil"/>
              <w:bottom w:val="single" w:sz="4" w:space="0" w:color="auto"/>
              <w:right w:val="single" w:sz="4" w:space="0" w:color="auto"/>
            </w:tcBorders>
            <w:shd w:val="clear" w:color="auto" w:fill="FFFFFF" w:themeFill="background1"/>
            <w:noWrap/>
            <w:vAlign w:val="center"/>
          </w:tcPr>
          <w:p w14:paraId="7585D84E" w14:textId="77777777" w:rsidR="00BB4766" w:rsidRPr="00CE3112" w:rsidRDefault="00BB4766" w:rsidP="000C49A5">
            <w:pPr>
              <w:spacing w:before="0"/>
              <w:jc w:val="left"/>
              <w:rPr>
                <w:sz w:val="18"/>
                <w:szCs w:val="18"/>
              </w:rPr>
            </w:pPr>
            <w:r w:rsidRPr="00CE3112">
              <w:rPr>
                <w:sz w:val="18"/>
                <w:szCs w:val="18"/>
              </w:rPr>
              <w:t>Česká 4787, 760 05 Zlín</w:t>
            </w:r>
          </w:p>
        </w:tc>
        <w:tc>
          <w:tcPr>
            <w:tcW w:w="986" w:type="dxa"/>
            <w:tcBorders>
              <w:top w:val="single" w:sz="4" w:space="0" w:color="auto"/>
              <w:left w:val="nil"/>
              <w:bottom w:val="single" w:sz="4" w:space="0" w:color="auto"/>
              <w:right w:val="single" w:sz="8" w:space="0" w:color="auto"/>
            </w:tcBorders>
            <w:shd w:val="clear" w:color="auto" w:fill="auto"/>
            <w:noWrap/>
            <w:vAlign w:val="bottom"/>
          </w:tcPr>
          <w:p w14:paraId="2AC814E9" w14:textId="77777777" w:rsidR="00BB4766" w:rsidRPr="00CE3112" w:rsidRDefault="00BB4766" w:rsidP="000C49A5">
            <w:pPr>
              <w:spacing w:before="0"/>
              <w:jc w:val="right"/>
              <w:rPr>
                <w:b/>
                <w:bCs/>
                <w:sz w:val="18"/>
                <w:szCs w:val="18"/>
              </w:rPr>
            </w:pPr>
            <w:r w:rsidRPr="00CE3112">
              <w:rPr>
                <w:b/>
                <w:bCs/>
                <w:sz w:val="18"/>
                <w:szCs w:val="18"/>
              </w:rPr>
              <w:t>295</w:t>
            </w:r>
          </w:p>
        </w:tc>
      </w:tr>
      <w:tr w:rsidR="00BB4766" w:rsidRPr="003E697C" w14:paraId="7C3332CA" w14:textId="77777777" w:rsidTr="000C49A5">
        <w:trPr>
          <w:trHeight w:val="112"/>
        </w:trPr>
        <w:tc>
          <w:tcPr>
            <w:tcW w:w="5024" w:type="dxa"/>
            <w:tcBorders>
              <w:top w:val="single" w:sz="4" w:space="0" w:color="auto"/>
              <w:left w:val="single" w:sz="8" w:space="0" w:color="auto"/>
              <w:bottom w:val="single" w:sz="4" w:space="0" w:color="auto"/>
              <w:right w:val="single" w:sz="4" w:space="0" w:color="auto"/>
            </w:tcBorders>
            <w:shd w:val="clear" w:color="auto" w:fill="E2EFD9" w:themeFill="accent6" w:themeFillTint="33"/>
            <w:vAlign w:val="center"/>
          </w:tcPr>
          <w:p w14:paraId="47D2C3BE" w14:textId="77777777" w:rsidR="00BB4766" w:rsidRPr="00CE3112" w:rsidRDefault="00BB4766" w:rsidP="000C49A5">
            <w:pPr>
              <w:spacing w:before="0"/>
              <w:rPr>
                <w:sz w:val="18"/>
                <w:szCs w:val="18"/>
              </w:rPr>
            </w:pPr>
            <w:r w:rsidRPr="00CE3112">
              <w:rPr>
                <w:sz w:val="18"/>
                <w:szCs w:val="18"/>
              </w:rPr>
              <w:t>Montessori Zlín – základní škola Motýlek</w:t>
            </w:r>
          </w:p>
        </w:tc>
        <w:tc>
          <w:tcPr>
            <w:tcW w:w="2946" w:type="dxa"/>
            <w:tcBorders>
              <w:top w:val="single" w:sz="4" w:space="0" w:color="auto"/>
              <w:left w:val="nil"/>
              <w:bottom w:val="single" w:sz="4" w:space="0" w:color="auto"/>
              <w:right w:val="single" w:sz="4" w:space="0" w:color="auto"/>
            </w:tcBorders>
            <w:shd w:val="clear" w:color="auto" w:fill="FFFFFF" w:themeFill="background1"/>
            <w:noWrap/>
            <w:vAlign w:val="center"/>
          </w:tcPr>
          <w:p w14:paraId="7BAC2B0F" w14:textId="77777777" w:rsidR="00BB4766" w:rsidRPr="00CE3112" w:rsidRDefault="00BB4766" w:rsidP="000C49A5">
            <w:pPr>
              <w:spacing w:before="0"/>
              <w:jc w:val="left"/>
              <w:rPr>
                <w:sz w:val="18"/>
                <w:szCs w:val="18"/>
              </w:rPr>
            </w:pPr>
            <w:r w:rsidRPr="00CE3112">
              <w:rPr>
                <w:sz w:val="18"/>
                <w:szCs w:val="18"/>
              </w:rPr>
              <w:t>Nám. T.G.M. 588, 760 01 Zlín</w:t>
            </w:r>
          </w:p>
        </w:tc>
        <w:tc>
          <w:tcPr>
            <w:tcW w:w="986" w:type="dxa"/>
            <w:tcBorders>
              <w:top w:val="single" w:sz="4" w:space="0" w:color="auto"/>
              <w:left w:val="nil"/>
              <w:bottom w:val="single" w:sz="4" w:space="0" w:color="auto"/>
              <w:right w:val="single" w:sz="8" w:space="0" w:color="auto"/>
            </w:tcBorders>
            <w:shd w:val="clear" w:color="auto" w:fill="auto"/>
            <w:noWrap/>
            <w:vAlign w:val="bottom"/>
          </w:tcPr>
          <w:p w14:paraId="16FCD2E4" w14:textId="77777777" w:rsidR="00BB4766" w:rsidRPr="00CE3112" w:rsidRDefault="00BB4766" w:rsidP="000C49A5">
            <w:pPr>
              <w:spacing w:before="0"/>
              <w:jc w:val="right"/>
              <w:rPr>
                <w:b/>
                <w:bCs/>
                <w:sz w:val="18"/>
                <w:szCs w:val="18"/>
              </w:rPr>
            </w:pPr>
            <w:r w:rsidRPr="00CE3112">
              <w:rPr>
                <w:b/>
                <w:bCs/>
                <w:sz w:val="18"/>
                <w:szCs w:val="18"/>
              </w:rPr>
              <w:t>35</w:t>
            </w:r>
          </w:p>
        </w:tc>
      </w:tr>
      <w:tr w:rsidR="00BB4766" w:rsidRPr="003E697C" w14:paraId="189233D2" w14:textId="77777777" w:rsidTr="000C49A5">
        <w:trPr>
          <w:trHeight w:val="112"/>
        </w:trPr>
        <w:tc>
          <w:tcPr>
            <w:tcW w:w="5024" w:type="dxa"/>
            <w:tcBorders>
              <w:top w:val="single" w:sz="4" w:space="0" w:color="auto"/>
              <w:left w:val="single" w:sz="8" w:space="0" w:color="auto"/>
              <w:bottom w:val="single" w:sz="4" w:space="0" w:color="auto"/>
              <w:right w:val="single" w:sz="4" w:space="0" w:color="auto"/>
            </w:tcBorders>
            <w:shd w:val="clear" w:color="auto" w:fill="E2EFD9" w:themeFill="accent6" w:themeFillTint="33"/>
            <w:vAlign w:val="center"/>
          </w:tcPr>
          <w:p w14:paraId="533077E7" w14:textId="77777777" w:rsidR="00BB4766" w:rsidRPr="00CE3112" w:rsidRDefault="00BB4766" w:rsidP="000C49A5">
            <w:pPr>
              <w:spacing w:before="0"/>
              <w:rPr>
                <w:sz w:val="18"/>
                <w:szCs w:val="18"/>
              </w:rPr>
            </w:pPr>
            <w:r w:rsidRPr="00CE3112">
              <w:rPr>
                <w:sz w:val="18"/>
                <w:szCs w:val="18"/>
              </w:rPr>
              <w:t>Academic school, Mateřská škola a základní škola, s.r.o.</w:t>
            </w:r>
          </w:p>
        </w:tc>
        <w:tc>
          <w:tcPr>
            <w:tcW w:w="2946" w:type="dxa"/>
            <w:tcBorders>
              <w:top w:val="single" w:sz="4" w:space="0" w:color="auto"/>
              <w:left w:val="nil"/>
              <w:bottom w:val="single" w:sz="4" w:space="0" w:color="auto"/>
              <w:right w:val="single" w:sz="4" w:space="0" w:color="auto"/>
            </w:tcBorders>
            <w:shd w:val="clear" w:color="auto" w:fill="FFFFFF" w:themeFill="background1"/>
            <w:noWrap/>
            <w:vAlign w:val="center"/>
          </w:tcPr>
          <w:p w14:paraId="0574B0F6" w14:textId="77777777" w:rsidR="00BB4766" w:rsidRPr="00CE3112" w:rsidRDefault="00BB4766" w:rsidP="000C49A5">
            <w:pPr>
              <w:spacing w:before="0"/>
              <w:jc w:val="left"/>
              <w:rPr>
                <w:sz w:val="18"/>
                <w:szCs w:val="18"/>
              </w:rPr>
            </w:pPr>
            <w:r w:rsidRPr="00CE3112">
              <w:rPr>
                <w:sz w:val="18"/>
                <w:szCs w:val="18"/>
              </w:rPr>
              <w:t>Nám. T.G.Masaryka 1279, 760 01 Zlín</w:t>
            </w:r>
          </w:p>
        </w:tc>
        <w:tc>
          <w:tcPr>
            <w:tcW w:w="986" w:type="dxa"/>
            <w:tcBorders>
              <w:top w:val="single" w:sz="4" w:space="0" w:color="auto"/>
              <w:left w:val="nil"/>
              <w:bottom w:val="single" w:sz="4" w:space="0" w:color="auto"/>
              <w:right w:val="single" w:sz="8" w:space="0" w:color="auto"/>
            </w:tcBorders>
            <w:shd w:val="clear" w:color="auto" w:fill="auto"/>
            <w:noWrap/>
            <w:vAlign w:val="bottom"/>
          </w:tcPr>
          <w:p w14:paraId="68B59140" w14:textId="77777777" w:rsidR="00BB4766" w:rsidRPr="00CE3112" w:rsidRDefault="00BB4766" w:rsidP="000C49A5">
            <w:pPr>
              <w:spacing w:before="0"/>
              <w:jc w:val="right"/>
              <w:rPr>
                <w:b/>
                <w:bCs/>
                <w:sz w:val="18"/>
                <w:szCs w:val="18"/>
              </w:rPr>
            </w:pPr>
            <w:r w:rsidRPr="00CE3112">
              <w:rPr>
                <w:b/>
                <w:bCs/>
                <w:sz w:val="18"/>
                <w:szCs w:val="18"/>
              </w:rPr>
              <w:t>43</w:t>
            </w:r>
          </w:p>
        </w:tc>
      </w:tr>
      <w:tr w:rsidR="00BB4766" w:rsidRPr="003E697C" w14:paraId="724E197B" w14:textId="77777777" w:rsidTr="000C49A5">
        <w:trPr>
          <w:trHeight w:val="112"/>
        </w:trPr>
        <w:tc>
          <w:tcPr>
            <w:tcW w:w="5024" w:type="dxa"/>
            <w:tcBorders>
              <w:top w:val="single" w:sz="4" w:space="0" w:color="auto"/>
              <w:left w:val="single" w:sz="8" w:space="0" w:color="auto"/>
              <w:bottom w:val="single" w:sz="4" w:space="0" w:color="auto"/>
              <w:right w:val="single" w:sz="4" w:space="0" w:color="auto"/>
            </w:tcBorders>
            <w:shd w:val="clear" w:color="auto" w:fill="E2EFD9" w:themeFill="accent6" w:themeFillTint="33"/>
            <w:vAlign w:val="center"/>
          </w:tcPr>
          <w:p w14:paraId="3BDAC486" w14:textId="77777777" w:rsidR="00BB4766" w:rsidRPr="00CE3112" w:rsidRDefault="00BB4766" w:rsidP="000C49A5">
            <w:pPr>
              <w:spacing w:before="0"/>
              <w:rPr>
                <w:sz w:val="18"/>
                <w:szCs w:val="18"/>
              </w:rPr>
            </w:pPr>
            <w:r w:rsidRPr="00CE3112">
              <w:rPr>
                <w:sz w:val="18"/>
                <w:szCs w:val="18"/>
              </w:rPr>
              <w:t>ScioŠkolaZlín – Základní škola s. r. o.</w:t>
            </w:r>
          </w:p>
        </w:tc>
        <w:tc>
          <w:tcPr>
            <w:tcW w:w="2946" w:type="dxa"/>
            <w:tcBorders>
              <w:top w:val="single" w:sz="4" w:space="0" w:color="auto"/>
              <w:left w:val="nil"/>
              <w:bottom w:val="single" w:sz="4" w:space="0" w:color="auto"/>
              <w:right w:val="single" w:sz="4" w:space="0" w:color="auto"/>
            </w:tcBorders>
            <w:shd w:val="clear" w:color="auto" w:fill="FFFFFF" w:themeFill="background1"/>
            <w:noWrap/>
            <w:vAlign w:val="center"/>
          </w:tcPr>
          <w:p w14:paraId="52B21C39" w14:textId="77777777" w:rsidR="00BB4766" w:rsidRPr="00CE3112" w:rsidRDefault="00BB4766" w:rsidP="000C49A5">
            <w:pPr>
              <w:spacing w:before="0"/>
              <w:jc w:val="left"/>
              <w:rPr>
                <w:sz w:val="18"/>
                <w:szCs w:val="18"/>
              </w:rPr>
            </w:pPr>
            <w:r w:rsidRPr="00CE3112">
              <w:rPr>
                <w:sz w:val="18"/>
                <w:szCs w:val="18"/>
              </w:rPr>
              <w:t>Mostní 2397 760 01 Zlín</w:t>
            </w:r>
          </w:p>
        </w:tc>
        <w:tc>
          <w:tcPr>
            <w:tcW w:w="986" w:type="dxa"/>
            <w:tcBorders>
              <w:top w:val="single" w:sz="4" w:space="0" w:color="auto"/>
              <w:left w:val="nil"/>
              <w:bottom w:val="single" w:sz="4" w:space="0" w:color="auto"/>
              <w:right w:val="single" w:sz="8" w:space="0" w:color="auto"/>
            </w:tcBorders>
            <w:shd w:val="clear" w:color="auto" w:fill="auto"/>
            <w:noWrap/>
            <w:vAlign w:val="bottom"/>
          </w:tcPr>
          <w:p w14:paraId="15F1A4DB" w14:textId="77777777" w:rsidR="00BB4766" w:rsidRPr="00CE3112" w:rsidRDefault="00BB4766" w:rsidP="000C49A5">
            <w:pPr>
              <w:spacing w:before="0"/>
              <w:jc w:val="right"/>
              <w:rPr>
                <w:b/>
                <w:bCs/>
                <w:sz w:val="18"/>
                <w:szCs w:val="18"/>
              </w:rPr>
            </w:pPr>
            <w:r w:rsidRPr="00CE3112">
              <w:rPr>
                <w:b/>
                <w:bCs/>
                <w:sz w:val="18"/>
                <w:szCs w:val="18"/>
              </w:rPr>
              <w:t>12</w:t>
            </w:r>
          </w:p>
        </w:tc>
      </w:tr>
      <w:tr w:rsidR="00BB4766" w:rsidRPr="003E697C" w14:paraId="038E6A43" w14:textId="77777777" w:rsidTr="000C49A5">
        <w:trPr>
          <w:trHeight w:val="288"/>
        </w:trPr>
        <w:tc>
          <w:tcPr>
            <w:tcW w:w="5024" w:type="dxa"/>
            <w:tcBorders>
              <w:top w:val="single" w:sz="4" w:space="0" w:color="auto"/>
              <w:left w:val="single" w:sz="8" w:space="0" w:color="auto"/>
              <w:bottom w:val="single" w:sz="4" w:space="0" w:color="auto"/>
              <w:right w:val="single" w:sz="4" w:space="0" w:color="auto"/>
            </w:tcBorders>
            <w:shd w:val="clear" w:color="auto" w:fill="E2EFD9" w:themeFill="accent6" w:themeFillTint="33"/>
            <w:vAlign w:val="center"/>
          </w:tcPr>
          <w:p w14:paraId="39347F2B" w14:textId="77777777" w:rsidR="00BB4766" w:rsidRPr="00CE3112" w:rsidRDefault="00BB4766" w:rsidP="000C49A5">
            <w:pPr>
              <w:spacing w:before="0"/>
              <w:rPr>
                <w:sz w:val="18"/>
                <w:szCs w:val="18"/>
              </w:rPr>
            </w:pPr>
            <w:r w:rsidRPr="00CE3112">
              <w:rPr>
                <w:sz w:val="18"/>
                <w:szCs w:val="18"/>
              </w:rPr>
              <w:t>Základní škola JINOTAJ Zlín, s.r.o.</w:t>
            </w:r>
          </w:p>
        </w:tc>
        <w:tc>
          <w:tcPr>
            <w:tcW w:w="2946" w:type="dxa"/>
            <w:tcBorders>
              <w:top w:val="single" w:sz="4" w:space="0" w:color="auto"/>
              <w:left w:val="nil"/>
              <w:bottom w:val="single" w:sz="4" w:space="0" w:color="auto"/>
              <w:right w:val="single" w:sz="4" w:space="0" w:color="auto"/>
            </w:tcBorders>
            <w:shd w:val="clear" w:color="auto" w:fill="FFFFFF" w:themeFill="background1"/>
            <w:noWrap/>
            <w:vAlign w:val="center"/>
          </w:tcPr>
          <w:p w14:paraId="2DFF5549" w14:textId="77777777" w:rsidR="00BB4766" w:rsidRPr="00CE3112" w:rsidRDefault="00BB4766" w:rsidP="000C49A5">
            <w:pPr>
              <w:spacing w:before="0"/>
              <w:jc w:val="left"/>
              <w:rPr>
                <w:sz w:val="18"/>
                <w:szCs w:val="18"/>
              </w:rPr>
            </w:pPr>
            <w:r w:rsidRPr="00CE3112">
              <w:rPr>
                <w:sz w:val="18"/>
                <w:szCs w:val="18"/>
              </w:rPr>
              <w:t>Mostní 2397, 760 01 Zlín</w:t>
            </w:r>
          </w:p>
        </w:tc>
        <w:tc>
          <w:tcPr>
            <w:tcW w:w="986" w:type="dxa"/>
            <w:tcBorders>
              <w:top w:val="single" w:sz="4" w:space="0" w:color="auto"/>
              <w:left w:val="nil"/>
              <w:bottom w:val="single" w:sz="4" w:space="0" w:color="auto"/>
              <w:right w:val="single" w:sz="8" w:space="0" w:color="auto"/>
            </w:tcBorders>
            <w:shd w:val="clear" w:color="auto" w:fill="auto"/>
            <w:noWrap/>
            <w:vAlign w:val="bottom"/>
          </w:tcPr>
          <w:p w14:paraId="3777A1FE" w14:textId="77777777" w:rsidR="00BB4766" w:rsidRPr="00CE3112" w:rsidRDefault="00BB4766" w:rsidP="000C49A5">
            <w:pPr>
              <w:spacing w:before="0"/>
              <w:jc w:val="right"/>
              <w:rPr>
                <w:b/>
                <w:bCs/>
                <w:sz w:val="18"/>
                <w:szCs w:val="18"/>
              </w:rPr>
            </w:pPr>
            <w:r w:rsidRPr="00CE3112">
              <w:rPr>
                <w:b/>
                <w:bCs/>
                <w:sz w:val="18"/>
                <w:szCs w:val="18"/>
              </w:rPr>
              <w:t>7</w:t>
            </w:r>
          </w:p>
        </w:tc>
      </w:tr>
      <w:tr w:rsidR="00BB4766" w:rsidRPr="003E697C" w14:paraId="0BF00FB0" w14:textId="77777777" w:rsidTr="000C49A5">
        <w:trPr>
          <w:trHeight w:val="86"/>
        </w:trPr>
        <w:tc>
          <w:tcPr>
            <w:tcW w:w="7971" w:type="dxa"/>
            <w:gridSpan w:val="2"/>
            <w:tcBorders>
              <w:top w:val="single" w:sz="4" w:space="0" w:color="auto"/>
              <w:left w:val="single" w:sz="8" w:space="0" w:color="auto"/>
              <w:bottom w:val="single" w:sz="4" w:space="0" w:color="auto"/>
              <w:right w:val="single" w:sz="4" w:space="0" w:color="auto"/>
            </w:tcBorders>
            <w:shd w:val="clear" w:color="auto" w:fill="A6A6A6" w:themeFill="background1" w:themeFillShade="A6"/>
            <w:vAlign w:val="center"/>
          </w:tcPr>
          <w:p w14:paraId="098F4FC7" w14:textId="77777777" w:rsidR="00BB4766" w:rsidRPr="004F6F56" w:rsidRDefault="00BB4766" w:rsidP="000C49A5">
            <w:pPr>
              <w:jc w:val="left"/>
              <w:rPr>
                <w:b/>
                <w:sz w:val="18"/>
                <w:szCs w:val="18"/>
              </w:rPr>
            </w:pPr>
            <w:r w:rsidRPr="004F6F56">
              <w:rPr>
                <w:b/>
                <w:sz w:val="18"/>
                <w:szCs w:val="18"/>
              </w:rPr>
              <w:t>Celkem</w:t>
            </w:r>
          </w:p>
        </w:tc>
        <w:tc>
          <w:tcPr>
            <w:tcW w:w="986" w:type="dxa"/>
            <w:tcBorders>
              <w:top w:val="single" w:sz="4" w:space="0" w:color="auto"/>
              <w:left w:val="nil"/>
              <w:bottom w:val="single" w:sz="4" w:space="0" w:color="auto"/>
              <w:right w:val="single" w:sz="8" w:space="0" w:color="auto"/>
            </w:tcBorders>
            <w:shd w:val="clear" w:color="auto" w:fill="A6A6A6" w:themeFill="background1" w:themeFillShade="A6"/>
            <w:noWrap/>
            <w:vAlign w:val="bottom"/>
          </w:tcPr>
          <w:p w14:paraId="59F44B0D" w14:textId="77777777" w:rsidR="00BB4766" w:rsidRPr="00CE3112" w:rsidRDefault="00BB4766" w:rsidP="000C49A5">
            <w:pPr>
              <w:jc w:val="right"/>
              <w:rPr>
                <w:b/>
                <w:bCs/>
                <w:sz w:val="18"/>
                <w:szCs w:val="18"/>
              </w:rPr>
            </w:pPr>
            <w:r>
              <w:rPr>
                <w:b/>
                <w:bCs/>
                <w:sz w:val="18"/>
                <w:szCs w:val="18"/>
              </w:rPr>
              <w:t>569</w:t>
            </w:r>
          </w:p>
        </w:tc>
      </w:tr>
    </w:tbl>
    <w:p w14:paraId="13967DE0" w14:textId="00C22FCD" w:rsidR="00BB4766" w:rsidRDefault="00BB4766" w:rsidP="00BB4766">
      <w:pPr>
        <w:pStyle w:val="Zdroj"/>
      </w:pPr>
      <w:r>
        <w:t xml:space="preserve">Zdroj: MMZ, </w:t>
      </w:r>
      <w:r w:rsidRPr="00857270">
        <w:t>Koncepc</w:t>
      </w:r>
      <w:r>
        <w:t>e</w:t>
      </w:r>
      <w:r w:rsidRPr="00857270">
        <w:t xml:space="preserve"> rozvoje školství statutárního města Zlína na období let 2021 – 2027</w:t>
      </w:r>
      <w:r w:rsidR="000C7BED">
        <w:t>;</w:t>
      </w:r>
      <w:r>
        <w:t xml:space="preserve"> 2020</w:t>
      </w:r>
      <w:r w:rsidR="000C7BED">
        <w:t>.</w:t>
      </w:r>
    </w:p>
    <w:p w14:paraId="0F67B0ED" w14:textId="43C7BD8B" w:rsidR="00BB4766" w:rsidRDefault="00BB4766" w:rsidP="00BB4766">
      <w:r w:rsidRPr="00EA1564">
        <w:rPr>
          <w:lang w:eastAsia="cs-CZ"/>
        </w:rPr>
        <w:t xml:space="preserve">Základní umělecké školy </w:t>
      </w:r>
      <w:r>
        <w:rPr>
          <w:lang w:eastAsia="cs-CZ"/>
        </w:rPr>
        <w:t xml:space="preserve">se na území města Zlín nachází 3 - </w:t>
      </w:r>
      <w:r w:rsidRPr="009F19AD">
        <w:rPr>
          <w:lang w:eastAsia="cs-CZ"/>
        </w:rPr>
        <w:t>Základní umělecká škola Zlín</w:t>
      </w:r>
      <w:r>
        <w:rPr>
          <w:lang w:eastAsia="cs-CZ"/>
        </w:rPr>
        <w:t>, Štefánikova 2987, 760 01 Zlín s</w:t>
      </w:r>
      <w:r w:rsidR="00D967D1">
        <w:rPr>
          <w:lang w:eastAsia="cs-CZ"/>
        </w:rPr>
        <w:t> celkovým počtem 1 400 studentů a</w:t>
      </w:r>
      <w:r>
        <w:rPr>
          <w:lang w:eastAsia="cs-CZ"/>
        </w:rPr>
        <w:t xml:space="preserve"> žáků, </w:t>
      </w:r>
      <w:r w:rsidRPr="009F19AD">
        <w:rPr>
          <w:lang w:eastAsia="cs-CZ"/>
        </w:rPr>
        <w:t>Základní umělecká škola Zlín - Jižní Svahy</w:t>
      </w:r>
      <w:r>
        <w:rPr>
          <w:lang w:eastAsia="cs-CZ"/>
        </w:rPr>
        <w:t xml:space="preserve">, </w:t>
      </w:r>
      <w:r w:rsidRPr="009F19AD">
        <w:rPr>
          <w:lang w:eastAsia="cs-CZ"/>
        </w:rPr>
        <w:t>Okružní 4699, 760 05 Zlín</w:t>
      </w:r>
      <w:r>
        <w:rPr>
          <w:lang w:eastAsia="cs-CZ"/>
        </w:rPr>
        <w:t xml:space="preserve"> s 512 studenty</w:t>
      </w:r>
      <w:r w:rsidR="00D967D1">
        <w:rPr>
          <w:lang w:eastAsia="cs-CZ"/>
        </w:rPr>
        <w:t xml:space="preserve"> a</w:t>
      </w:r>
      <w:r>
        <w:rPr>
          <w:lang w:eastAsia="cs-CZ"/>
        </w:rPr>
        <w:t xml:space="preserve"> žáky a</w:t>
      </w:r>
      <w:r w:rsidRPr="009F19AD">
        <w:rPr>
          <w:lang w:eastAsia="cs-CZ"/>
        </w:rPr>
        <w:t xml:space="preserve"> Základní umělecká škola Zlín -</w:t>
      </w:r>
      <w:r>
        <w:rPr>
          <w:lang w:eastAsia="cs-CZ"/>
        </w:rPr>
        <w:t xml:space="preserve"> Malenovice, tř. Svobody 868, </w:t>
      </w:r>
      <w:r w:rsidRPr="009F19AD">
        <w:rPr>
          <w:lang w:eastAsia="cs-CZ"/>
        </w:rPr>
        <w:t xml:space="preserve">763 02 Zlín </w:t>
      </w:r>
      <w:r>
        <w:rPr>
          <w:lang w:eastAsia="cs-CZ"/>
        </w:rPr>
        <w:t>–</w:t>
      </w:r>
      <w:r w:rsidRPr="009F19AD">
        <w:rPr>
          <w:lang w:eastAsia="cs-CZ"/>
        </w:rPr>
        <w:t xml:space="preserve"> Malenovice</w:t>
      </w:r>
      <w:r>
        <w:rPr>
          <w:lang w:eastAsia="cs-CZ"/>
        </w:rPr>
        <w:t xml:space="preserve"> s 793 studenty, žáky. Všechny tyto školy zřizuje Zlínský kraj, který</w:t>
      </w:r>
      <w:r w:rsidRPr="00CD0044">
        <w:t xml:space="preserve"> uvažuje o možnosti, v případě zájmu obcí, o převedení zřizovatelských kompetencí k základním uměleckým školám z kraje na obce.</w:t>
      </w:r>
      <w:r>
        <w:t xml:space="preserve"> Přehled kapacity a počtu žáků v těchto </w:t>
      </w:r>
      <w:r w:rsidR="00094895">
        <w:t>školách je uveden v </w:t>
      </w:r>
      <w:r>
        <w:t>tabulce</w:t>
      </w:r>
      <w:r w:rsidR="009D4735">
        <w:t xml:space="preserve"> 1.41</w:t>
      </w:r>
      <w:r>
        <w:t>. Nejvíce žáků navštěvuje Základní uměleckou</w:t>
      </w:r>
      <w:r w:rsidRPr="00AE7048">
        <w:t xml:space="preserve"> škol</w:t>
      </w:r>
      <w:r>
        <w:t>u</w:t>
      </w:r>
      <w:r w:rsidRPr="00AE7048">
        <w:t xml:space="preserve"> Zlín</w:t>
      </w:r>
      <w:r>
        <w:t>.</w:t>
      </w:r>
    </w:p>
    <w:p w14:paraId="17FB3091" w14:textId="18EA1FEE" w:rsidR="00BB4766" w:rsidRDefault="00BB4766" w:rsidP="00BB4766">
      <w:pPr>
        <w:pStyle w:val="Titulek"/>
      </w:pPr>
      <w:bookmarkStart w:id="248" w:name="_Toc52885952"/>
      <w:bookmarkStart w:id="249" w:name="_Toc77074721"/>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41</w:t>
      </w:r>
      <w:r w:rsidR="00081B47">
        <w:rPr>
          <w:noProof/>
        </w:rPr>
        <w:fldChar w:fldCharType="end"/>
      </w:r>
      <w:r w:rsidR="00D967D1">
        <w:rPr>
          <w:noProof/>
        </w:rPr>
        <w:t>:</w:t>
      </w:r>
      <w:r>
        <w:t xml:space="preserve"> Kapacita a počet žáků v základních uměleckých školách zřizovaných Zlínským krajem v letech 2013/2014</w:t>
      </w:r>
      <w:r w:rsidR="00D967D1">
        <w:t xml:space="preserve"> </w:t>
      </w:r>
      <w:r w:rsidR="00D967D1">
        <w:sym w:font="Symbol" w:char="F02D"/>
      </w:r>
      <w:r w:rsidR="00D967D1">
        <w:t xml:space="preserve"> </w:t>
      </w:r>
      <w:r>
        <w:t>2019/2020</w:t>
      </w:r>
      <w:bookmarkEnd w:id="248"/>
      <w:bookmarkEnd w:id="249"/>
      <w:r>
        <w:t xml:space="preserve"> </w:t>
      </w:r>
    </w:p>
    <w:tbl>
      <w:tblPr>
        <w:tblW w:w="9090" w:type="dxa"/>
        <w:tblCellMar>
          <w:left w:w="70" w:type="dxa"/>
          <w:right w:w="70" w:type="dxa"/>
        </w:tblCellMar>
        <w:tblLook w:val="04A0" w:firstRow="1" w:lastRow="0" w:firstColumn="1" w:lastColumn="0" w:noHBand="0" w:noVBand="1"/>
      </w:tblPr>
      <w:tblGrid>
        <w:gridCol w:w="989"/>
        <w:gridCol w:w="568"/>
        <w:gridCol w:w="580"/>
        <w:gridCol w:w="580"/>
        <w:gridCol w:w="580"/>
        <w:gridCol w:w="580"/>
        <w:gridCol w:w="580"/>
        <w:gridCol w:w="580"/>
        <w:gridCol w:w="580"/>
        <w:gridCol w:w="580"/>
        <w:gridCol w:w="580"/>
        <w:gridCol w:w="580"/>
        <w:gridCol w:w="580"/>
        <w:gridCol w:w="580"/>
        <w:gridCol w:w="580"/>
      </w:tblGrid>
      <w:tr w:rsidR="00BB4766" w:rsidRPr="00852F9B" w14:paraId="6ED8C880" w14:textId="77777777" w:rsidTr="000C49A5">
        <w:trPr>
          <w:trHeight w:val="300"/>
        </w:trPr>
        <w:tc>
          <w:tcPr>
            <w:tcW w:w="983" w:type="dxa"/>
            <w:vMerge w:val="restart"/>
            <w:tcBorders>
              <w:top w:val="single" w:sz="8" w:space="0" w:color="auto"/>
              <w:left w:val="single" w:sz="8" w:space="0" w:color="auto"/>
              <w:bottom w:val="single" w:sz="4" w:space="0" w:color="auto"/>
              <w:right w:val="nil"/>
            </w:tcBorders>
            <w:shd w:val="clear" w:color="000000" w:fill="D0CECE"/>
            <w:noWrap/>
            <w:vAlign w:val="center"/>
            <w:hideMark/>
          </w:tcPr>
          <w:p w14:paraId="1A82F48F"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Základní umělecká škola</w:t>
            </w:r>
          </w:p>
        </w:tc>
        <w:tc>
          <w:tcPr>
            <w:tcW w:w="1147" w:type="dxa"/>
            <w:gridSpan w:val="2"/>
            <w:tcBorders>
              <w:top w:val="single" w:sz="8" w:space="0" w:color="auto"/>
              <w:left w:val="single" w:sz="8" w:space="0" w:color="auto"/>
              <w:bottom w:val="single" w:sz="4" w:space="0" w:color="auto"/>
              <w:right w:val="single" w:sz="8" w:space="0" w:color="000000"/>
            </w:tcBorders>
            <w:shd w:val="clear" w:color="000000" w:fill="D0CECE"/>
            <w:noWrap/>
            <w:vAlign w:val="center"/>
            <w:hideMark/>
          </w:tcPr>
          <w:p w14:paraId="2CECC92C"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2013/2014</w:t>
            </w:r>
          </w:p>
        </w:tc>
        <w:tc>
          <w:tcPr>
            <w:tcW w:w="1160" w:type="dxa"/>
            <w:gridSpan w:val="2"/>
            <w:tcBorders>
              <w:top w:val="single" w:sz="8" w:space="0" w:color="auto"/>
              <w:left w:val="nil"/>
              <w:bottom w:val="single" w:sz="4" w:space="0" w:color="auto"/>
              <w:right w:val="single" w:sz="4" w:space="0" w:color="auto"/>
            </w:tcBorders>
            <w:shd w:val="clear" w:color="000000" w:fill="D0CECE"/>
            <w:noWrap/>
            <w:vAlign w:val="center"/>
            <w:hideMark/>
          </w:tcPr>
          <w:p w14:paraId="12EE71CE"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2014/2015</w:t>
            </w:r>
          </w:p>
        </w:tc>
        <w:tc>
          <w:tcPr>
            <w:tcW w:w="1160" w:type="dxa"/>
            <w:gridSpan w:val="2"/>
            <w:tcBorders>
              <w:top w:val="single" w:sz="8" w:space="0" w:color="auto"/>
              <w:left w:val="single" w:sz="8" w:space="0" w:color="auto"/>
              <w:bottom w:val="single" w:sz="4" w:space="0" w:color="auto"/>
              <w:right w:val="single" w:sz="8" w:space="0" w:color="000000"/>
            </w:tcBorders>
            <w:shd w:val="clear" w:color="000000" w:fill="D0CECE"/>
            <w:noWrap/>
            <w:vAlign w:val="center"/>
            <w:hideMark/>
          </w:tcPr>
          <w:p w14:paraId="6090B6FD"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2015/2016</w:t>
            </w:r>
          </w:p>
        </w:tc>
        <w:tc>
          <w:tcPr>
            <w:tcW w:w="1160" w:type="dxa"/>
            <w:gridSpan w:val="2"/>
            <w:tcBorders>
              <w:top w:val="single" w:sz="8" w:space="0" w:color="auto"/>
              <w:left w:val="nil"/>
              <w:bottom w:val="single" w:sz="4" w:space="0" w:color="auto"/>
              <w:right w:val="single" w:sz="4" w:space="0" w:color="auto"/>
            </w:tcBorders>
            <w:shd w:val="clear" w:color="000000" w:fill="D0CECE"/>
            <w:noWrap/>
            <w:vAlign w:val="center"/>
            <w:hideMark/>
          </w:tcPr>
          <w:p w14:paraId="2AC8E8DE"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2016/2017</w:t>
            </w:r>
          </w:p>
        </w:tc>
        <w:tc>
          <w:tcPr>
            <w:tcW w:w="1160" w:type="dxa"/>
            <w:gridSpan w:val="2"/>
            <w:tcBorders>
              <w:top w:val="single" w:sz="8" w:space="0" w:color="auto"/>
              <w:left w:val="single" w:sz="8" w:space="0" w:color="auto"/>
              <w:bottom w:val="single" w:sz="4" w:space="0" w:color="auto"/>
              <w:right w:val="single" w:sz="8" w:space="0" w:color="000000"/>
            </w:tcBorders>
            <w:shd w:val="clear" w:color="000000" w:fill="D0CECE"/>
            <w:noWrap/>
            <w:vAlign w:val="center"/>
            <w:hideMark/>
          </w:tcPr>
          <w:p w14:paraId="789A6822"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2017/2018</w:t>
            </w:r>
          </w:p>
        </w:tc>
        <w:tc>
          <w:tcPr>
            <w:tcW w:w="1160" w:type="dxa"/>
            <w:gridSpan w:val="2"/>
            <w:tcBorders>
              <w:top w:val="single" w:sz="8" w:space="0" w:color="auto"/>
              <w:left w:val="nil"/>
              <w:bottom w:val="single" w:sz="4" w:space="0" w:color="auto"/>
              <w:right w:val="single" w:sz="4" w:space="0" w:color="auto"/>
            </w:tcBorders>
            <w:shd w:val="clear" w:color="000000" w:fill="D0CECE"/>
            <w:noWrap/>
            <w:vAlign w:val="center"/>
            <w:hideMark/>
          </w:tcPr>
          <w:p w14:paraId="5699D83C"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2018/2019</w:t>
            </w:r>
          </w:p>
        </w:tc>
        <w:tc>
          <w:tcPr>
            <w:tcW w:w="1160" w:type="dxa"/>
            <w:gridSpan w:val="2"/>
            <w:tcBorders>
              <w:top w:val="single" w:sz="8" w:space="0" w:color="auto"/>
              <w:left w:val="single" w:sz="8" w:space="0" w:color="auto"/>
              <w:bottom w:val="single" w:sz="4" w:space="0" w:color="auto"/>
              <w:right w:val="single" w:sz="8" w:space="0" w:color="000000"/>
            </w:tcBorders>
            <w:shd w:val="clear" w:color="000000" w:fill="D0CECE"/>
            <w:noWrap/>
            <w:vAlign w:val="center"/>
            <w:hideMark/>
          </w:tcPr>
          <w:p w14:paraId="6709679C"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2019/2020</w:t>
            </w:r>
          </w:p>
        </w:tc>
      </w:tr>
      <w:tr w:rsidR="00BB4766" w:rsidRPr="00852F9B" w14:paraId="4ABA4DC8" w14:textId="77777777" w:rsidTr="000C49A5">
        <w:trPr>
          <w:trHeight w:val="597"/>
        </w:trPr>
        <w:tc>
          <w:tcPr>
            <w:tcW w:w="983" w:type="dxa"/>
            <w:vMerge/>
            <w:tcBorders>
              <w:top w:val="single" w:sz="8" w:space="0" w:color="auto"/>
              <w:left w:val="single" w:sz="8" w:space="0" w:color="auto"/>
              <w:bottom w:val="single" w:sz="4" w:space="0" w:color="auto"/>
              <w:right w:val="nil"/>
            </w:tcBorders>
            <w:vAlign w:val="center"/>
            <w:hideMark/>
          </w:tcPr>
          <w:p w14:paraId="0D90C7DF" w14:textId="77777777" w:rsidR="00BB4766" w:rsidRPr="00792AE3" w:rsidRDefault="00BB4766" w:rsidP="000C49A5">
            <w:pPr>
              <w:spacing w:before="0"/>
              <w:jc w:val="left"/>
              <w:rPr>
                <w:rFonts w:eastAsia="Times New Roman" w:cstheme="minorHAnsi"/>
                <w:b/>
                <w:color w:val="000000"/>
                <w:sz w:val="18"/>
                <w:szCs w:val="18"/>
                <w:lang w:eastAsia="cs-CZ"/>
              </w:rPr>
            </w:pPr>
          </w:p>
        </w:tc>
        <w:tc>
          <w:tcPr>
            <w:tcW w:w="567" w:type="dxa"/>
            <w:tcBorders>
              <w:top w:val="nil"/>
              <w:left w:val="single" w:sz="8" w:space="0" w:color="auto"/>
              <w:bottom w:val="single" w:sz="4" w:space="0" w:color="auto"/>
              <w:right w:val="single" w:sz="4" w:space="0" w:color="auto"/>
            </w:tcBorders>
            <w:shd w:val="clear" w:color="000000" w:fill="D0CECE"/>
            <w:vAlign w:val="center"/>
            <w:hideMark/>
          </w:tcPr>
          <w:p w14:paraId="065062BF"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80" w:type="dxa"/>
            <w:tcBorders>
              <w:top w:val="nil"/>
              <w:left w:val="nil"/>
              <w:bottom w:val="single" w:sz="4" w:space="0" w:color="auto"/>
              <w:right w:val="single" w:sz="8" w:space="0" w:color="auto"/>
            </w:tcBorders>
            <w:shd w:val="clear" w:color="000000" w:fill="D0CECE"/>
            <w:vAlign w:val="center"/>
            <w:hideMark/>
          </w:tcPr>
          <w:p w14:paraId="54E8FDB8"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80" w:type="dxa"/>
            <w:tcBorders>
              <w:top w:val="nil"/>
              <w:left w:val="nil"/>
              <w:bottom w:val="single" w:sz="4" w:space="0" w:color="auto"/>
              <w:right w:val="single" w:sz="4" w:space="0" w:color="auto"/>
            </w:tcBorders>
            <w:shd w:val="clear" w:color="000000" w:fill="D0CECE"/>
            <w:vAlign w:val="center"/>
            <w:hideMark/>
          </w:tcPr>
          <w:p w14:paraId="095A6EDD"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80" w:type="dxa"/>
            <w:tcBorders>
              <w:top w:val="nil"/>
              <w:left w:val="nil"/>
              <w:bottom w:val="single" w:sz="4" w:space="0" w:color="auto"/>
              <w:right w:val="nil"/>
            </w:tcBorders>
            <w:shd w:val="clear" w:color="000000" w:fill="D0CECE"/>
            <w:vAlign w:val="center"/>
            <w:hideMark/>
          </w:tcPr>
          <w:p w14:paraId="6D5BC0CA"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80" w:type="dxa"/>
            <w:tcBorders>
              <w:top w:val="nil"/>
              <w:left w:val="single" w:sz="8" w:space="0" w:color="auto"/>
              <w:bottom w:val="single" w:sz="4" w:space="0" w:color="auto"/>
              <w:right w:val="single" w:sz="4" w:space="0" w:color="auto"/>
            </w:tcBorders>
            <w:shd w:val="clear" w:color="000000" w:fill="D0CECE"/>
            <w:vAlign w:val="center"/>
            <w:hideMark/>
          </w:tcPr>
          <w:p w14:paraId="74000189"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80" w:type="dxa"/>
            <w:tcBorders>
              <w:top w:val="nil"/>
              <w:left w:val="nil"/>
              <w:bottom w:val="single" w:sz="4" w:space="0" w:color="auto"/>
              <w:right w:val="single" w:sz="8" w:space="0" w:color="auto"/>
            </w:tcBorders>
            <w:shd w:val="clear" w:color="000000" w:fill="D0CECE"/>
            <w:vAlign w:val="center"/>
            <w:hideMark/>
          </w:tcPr>
          <w:p w14:paraId="3F47E439"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80" w:type="dxa"/>
            <w:tcBorders>
              <w:top w:val="nil"/>
              <w:left w:val="nil"/>
              <w:bottom w:val="single" w:sz="4" w:space="0" w:color="auto"/>
              <w:right w:val="single" w:sz="4" w:space="0" w:color="auto"/>
            </w:tcBorders>
            <w:shd w:val="clear" w:color="000000" w:fill="D0CECE"/>
            <w:vAlign w:val="center"/>
            <w:hideMark/>
          </w:tcPr>
          <w:p w14:paraId="440B377F"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80" w:type="dxa"/>
            <w:tcBorders>
              <w:top w:val="nil"/>
              <w:left w:val="nil"/>
              <w:bottom w:val="single" w:sz="4" w:space="0" w:color="auto"/>
              <w:right w:val="nil"/>
            </w:tcBorders>
            <w:shd w:val="clear" w:color="000000" w:fill="D0CECE"/>
            <w:vAlign w:val="center"/>
            <w:hideMark/>
          </w:tcPr>
          <w:p w14:paraId="7D5CE657"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80" w:type="dxa"/>
            <w:tcBorders>
              <w:top w:val="nil"/>
              <w:left w:val="single" w:sz="8" w:space="0" w:color="auto"/>
              <w:bottom w:val="single" w:sz="4" w:space="0" w:color="auto"/>
              <w:right w:val="single" w:sz="4" w:space="0" w:color="auto"/>
            </w:tcBorders>
            <w:shd w:val="clear" w:color="000000" w:fill="D0CECE"/>
            <w:vAlign w:val="center"/>
            <w:hideMark/>
          </w:tcPr>
          <w:p w14:paraId="6FFD8453"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80" w:type="dxa"/>
            <w:tcBorders>
              <w:top w:val="nil"/>
              <w:left w:val="nil"/>
              <w:bottom w:val="single" w:sz="4" w:space="0" w:color="auto"/>
              <w:right w:val="single" w:sz="8" w:space="0" w:color="auto"/>
            </w:tcBorders>
            <w:shd w:val="clear" w:color="000000" w:fill="D0CECE"/>
            <w:vAlign w:val="center"/>
            <w:hideMark/>
          </w:tcPr>
          <w:p w14:paraId="6BCA5392"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80" w:type="dxa"/>
            <w:tcBorders>
              <w:top w:val="nil"/>
              <w:left w:val="nil"/>
              <w:bottom w:val="single" w:sz="4" w:space="0" w:color="auto"/>
              <w:right w:val="single" w:sz="4" w:space="0" w:color="auto"/>
            </w:tcBorders>
            <w:shd w:val="clear" w:color="000000" w:fill="D0CECE"/>
            <w:vAlign w:val="center"/>
            <w:hideMark/>
          </w:tcPr>
          <w:p w14:paraId="4BF4E5C6"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80" w:type="dxa"/>
            <w:tcBorders>
              <w:top w:val="nil"/>
              <w:left w:val="nil"/>
              <w:bottom w:val="single" w:sz="4" w:space="0" w:color="auto"/>
              <w:right w:val="nil"/>
            </w:tcBorders>
            <w:shd w:val="clear" w:color="000000" w:fill="D0CECE"/>
            <w:vAlign w:val="center"/>
            <w:hideMark/>
          </w:tcPr>
          <w:p w14:paraId="0D1FBFC3"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80" w:type="dxa"/>
            <w:tcBorders>
              <w:top w:val="nil"/>
              <w:left w:val="single" w:sz="8" w:space="0" w:color="auto"/>
              <w:bottom w:val="single" w:sz="4" w:space="0" w:color="auto"/>
              <w:right w:val="single" w:sz="4" w:space="0" w:color="auto"/>
            </w:tcBorders>
            <w:shd w:val="clear" w:color="000000" w:fill="D0CECE"/>
            <w:vAlign w:val="center"/>
            <w:hideMark/>
          </w:tcPr>
          <w:p w14:paraId="160C65B9"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80" w:type="dxa"/>
            <w:tcBorders>
              <w:top w:val="nil"/>
              <w:left w:val="nil"/>
              <w:bottom w:val="single" w:sz="4" w:space="0" w:color="auto"/>
              <w:right w:val="single" w:sz="8" w:space="0" w:color="auto"/>
            </w:tcBorders>
            <w:shd w:val="clear" w:color="000000" w:fill="D0CECE"/>
            <w:vAlign w:val="center"/>
            <w:hideMark/>
          </w:tcPr>
          <w:p w14:paraId="74A7216D" w14:textId="77777777" w:rsidR="00BB4766" w:rsidRPr="00792AE3" w:rsidRDefault="00BB4766" w:rsidP="000C49A5">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r>
      <w:tr w:rsidR="00BB4766" w:rsidRPr="00852F9B" w14:paraId="1B80284F" w14:textId="77777777" w:rsidTr="000C49A5">
        <w:trPr>
          <w:trHeight w:val="300"/>
        </w:trPr>
        <w:tc>
          <w:tcPr>
            <w:tcW w:w="983" w:type="dxa"/>
            <w:tcBorders>
              <w:top w:val="nil"/>
              <w:left w:val="single" w:sz="8" w:space="0" w:color="auto"/>
              <w:bottom w:val="single" w:sz="4" w:space="0" w:color="auto"/>
              <w:right w:val="nil"/>
            </w:tcBorders>
            <w:shd w:val="clear" w:color="auto" w:fill="E2EFD9" w:themeFill="accent6" w:themeFillTint="33"/>
            <w:noWrap/>
            <w:vAlign w:val="bottom"/>
            <w:hideMark/>
          </w:tcPr>
          <w:p w14:paraId="6846BCCF" w14:textId="77777777" w:rsidR="00BB4766" w:rsidRPr="00852F9B" w:rsidRDefault="00BB4766" w:rsidP="000C49A5">
            <w:pPr>
              <w:spacing w:before="0"/>
              <w:jc w:val="left"/>
              <w:rPr>
                <w:rFonts w:eastAsia="Times New Roman" w:cstheme="minorHAnsi"/>
                <w:color w:val="000000"/>
                <w:sz w:val="18"/>
                <w:szCs w:val="18"/>
                <w:lang w:eastAsia="cs-CZ"/>
              </w:rPr>
            </w:pPr>
            <w:r w:rsidRPr="00852F9B">
              <w:rPr>
                <w:rFonts w:eastAsia="Times New Roman" w:cstheme="minorHAnsi"/>
                <w:color w:val="000000"/>
                <w:sz w:val="18"/>
                <w:szCs w:val="18"/>
                <w:lang w:eastAsia="cs-CZ"/>
              </w:rPr>
              <w:t xml:space="preserve">Základní umělecká škola Zlín </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CC63227"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nil"/>
              <w:left w:val="nil"/>
              <w:bottom w:val="single" w:sz="4" w:space="0" w:color="auto"/>
              <w:right w:val="single" w:sz="8" w:space="0" w:color="auto"/>
            </w:tcBorders>
            <w:shd w:val="clear" w:color="auto" w:fill="auto"/>
            <w:noWrap/>
            <w:vAlign w:val="center"/>
            <w:hideMark/>
          </w:tcPr>
          <w:p w14:paraId="5A7F0404"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1330</w:t>
            </w:r>
          </w:p>
        </w:tc>
        <w:tc>
          <w:tcPr>
            <w:tcW w:w="580" w:type="dxa"/>
            <w:tcBorders>
              <w:top w:val="nil"/>
              <w:left w:val="nil"/>
              <w:bottom w:val="single" w:sz="4" w:space="0" w:color="auto"/>
              <w:right w:val="single" w:sz="4" w:space="0" w:color="auto"/>
            </w:tcBorders>
            <w:shd w:val="clear" w:color="auto" w:fill="auto"/>
            <w:noWrap/>
            <w:vAlign w:val="center"/>
            <w:hideMark/>
          </w:tcPr>
          <w:p w14:paraId="55CA056A"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nil"/>
              <w:left w:val="nil"/>
              <w:bottom w:val="single" w:sz="4" w:space="0" w:color="auto"/>
              <w:right w:val="nil"/>
            </w:tcBorders>
            <w:shd w:val="clear" w:color="auto" w:fill="auto"/>
            <w:noWrap/>
            <w:vAlign w:val="center"/>
            <w:hideMark/>
          </w:tcPr>
          <w:p w14:paraId="423E85EE"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1399</w:t>
            </w:r>
          </w:p>
        </w:tc>
        <w:tc>
          <w:tcPr>
            <w:tcW w:w="580" w:type="dxa"/>
            <w:tcBorders>
              <w:top w:val="nil"/>
              <w:left w:val="single" w:sz="8" w:space="0" w:color="auto"/>
              <w:bottom w:val="single" w:sz="4" w:space="0" w:color="auto"/>
              <w:right w:val="single" w:sz="4" w:space="0" w:color="auto"/>
            </w:tcBorders>
            <w:shd w:val="clear" w:color="auto" w:fill="auto"/>
            <w:noWrap/>
            <w:vAlign w:val="center"/>
            <w:hideMark/>
          </w:tcPr>
          <w:p w14:paraId="73A4CDCE"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nil"/>
              <w:left w:val="nil"/>
              <w:bottom w:val="single" w:sz="4" w:space="0" w:color="auto"/>
              <w:right w:val="single" w:sz="8" w:space="0" w:color="auto"/>
            </w:tcBorders>
            <w:shd w:val="clear" w:color="auto" w:fill="auto"/>
            <w:noWrap/>
            <w:vAlign w:val="center"/>
            <w:hideMark/>
          </w:tcPr>
          <w:p w14:paraId="14784995"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1369</w:t>
            </w:r>
          </w:p>
        </w:tc>
        <w:tc>
          <w:tcPr>
            <w:tcW w:w="580" w:type="dxa"/>
            <w:tcBorders>
              <w:top w:val="nil"/>
              <w:left w:val="nil"/>
              <w:bottom w:val="single" w:sz="4" w:space="0" w:color="auto"/>
              <w:right w:val="single" w:sz="4" w:space="0" w:color="auto"/>
            </w:tcBorders>
            <w:shd w:val="clear" w:color="auto" w:fill="auto"/>
            <w:noWrap/>
            <w:vAlign w:val="center"/>
            <w:hideMark/>
          </w:tcPr>
          <w:p w14:paraId="65AB826A"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nil"/>
              <w:left w:val="nil"/>
              <w:bottom w:val="single" w:sz="4" w:space="0" w:color="auto"/>
              <w:right w:val="nil"/>
            </w:tcBorders>
            <w:shd w:val="clear" w:color="auto" w:fill="auto"/>
            <w:noWrap/>
            <w:vAlign w:val="center"/>
            <w:hideMark/>
          </w:tcPr>
          <w:p w14:paraId="7FB6F991"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1397</w:t>
            </w:r>
          </w:p>
        </w:tc>
        <w:tc>
          <w:tcPr>
            <w:tcW w:w="580" w:type="dxa"/>
            <w:tcBorders>
              <w:top w:val="nil"/>
              <w:left w:val="single" w:sz="8" w:space="0" w:color="auto"/>
              <w:bottom w:val="single" w:sz="4" w:space="0" w:color="auto"/>
              <w:right w:val="single" w:sz="4" w:space="0" w:color="auto"/>
            </w:tcBorders>
            <w:shd w:val="clear" w:color="auto" w:fill="auto"/>
            <w:noWrap/>
            <w:vAlign w:val="center"/>
            <w:hideMark/>
          </w:tcPr>
          <w:p w14:paraId="29912072"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nil"/>
              <w:left w:val="nil"/>
              <w:bottom w:val="single" w:sz="4" w:space="0" w:color="auto"/>
              <w:right w:val="single" w:sz="8" w:space="0" w:color="auto"/>
            </w:tcBorders>
            <w:shd w:val="clear" w:color="auto" w:fill="auto"/>
            <w:noWrap/>
            <w:vAlign w:val="center"/>
            <w:hideMark/>
          </w:tcPr>
          <w:p w14:paraId="3F967720"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nil"/>
              <w:left w:val="nil"/>
              <w:bottom w:val="single" w:sz="4" w:space="0" w:color="auto"/>
              <w:right w:val="single" w:sz="4" w:space="0" w:color="auto"/>
            </w:tcBorders>
            <w:shd w:val="clear" w:color="auto" w:fill="auto"/>
            <w:noWrap/>
            <w:vAlign w:val="center"/>
            <w:hideMark/>
          </w:tcPr>
          <w:p w14:paraId="0A64EBEF"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nil"/>
              <w:left w:val="nil"/>
              <w:bottom w:val="single" w:sz="4" w:space="0" w:color="auto"/>
              <w:right w:val="nil"/>
            </w:tcBorders>
            <w:shd w:val="clear" w:color="auto" w:fill="auto"/>
            <w:noWrap/>
            <w:vAlign w:val="center"/>
            <w:hideMark/>
          </w:tcPr>
          <w:p w14:paraId="5CBBD31D"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1397</w:t>
            </w:r>
          </w:p>
        </w:tc>
        <w:tc>
          <w:tcPr>
            <w:tcW w:w="580" w:type="dxa"/>
            <w:tcBorders>
              <w:top w:val="single" w:sz="4" w:space="0" w:color="auto"/>
              <w:left w:val="single" w:sz="8" w:space="0" w:color="auto"/>
              <w:bottom w:val="single" w:sz="4" w:space="0" w:color="auto"/>
              <w:right w:val="single" w:sz="4" w:space="0" w:color="auto"/>
            </w:tcBorders>
            <w:shd w:val="clear" w:color="000000" w:fill="F8696B"/>
            <w:noWrap/>
            <w:vAlign w:val="center"/>
            <w:hideMark/>
          </w:tcPr>
          <w:p w14:paraId="2C9EEE95"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c>
          <w:tcPr>
            <w:tcW w:w="580" w:type="dxa"/>
            <w:tcBorders>
              <w:top w:val="single" w:sz="4" w:space="0" w:color="auto"/>
              <w:left w:val="single" w:sz="4" w:space="0" w:color="auto"/>
              <w:bottom w:val="single" w:sz="4" w:space="0" w:color="auto"/>
              <w:right w:val="single" w:sz="8" w:space="0" w:color="auto"/>
            </w:tcBorders>
            <w:shd w:val="clear" w:color="000000" w:fill="F8696B"/>
            <w:noWrap/>
            <w:vAlign w:val="center"/>
            <w:hideMark/>
          </w:tcPr>
          <w:p w14:paraId="683384F2"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1400</w:t>
            </w:r>
          </w:p>
        </w:tc>
      </w:tr>
      <w:tr w:rsidR="00BB4766" w:rsidRPr="00852F9B" w14:paraId="1F0A3D06" w14:textId="77777777" w:rsidTr="000C49A5">
        <w:trPr>
          <w:trHeight w:val="300"/>
        </w:trPr>
        <w:tc>
          <w:tcPr>
            <w:tcW w:w="983" w:type="dxa"/>
            <w:tcBorders>
              <w:top w:val="nil"/>
              <w:left w:val="single" w:sz="8" w:space="0" w:color="auto"/>
              <w:bottom w:val="single" w:sz="4" w:space="0" w:color="auto"/>
              <w:right w:val="nil"/>
            </w:tcBorders>
            <w:shd w:val="clear" w:color="auto" w:fill="E2EFD9" w:themeFill="accent6" w:themeFillTint="33"/>
            <w:noWrap/>
            <w:vAlign w:val="bottom"/>
            <w:hideMark/>
          </w:tcPr>
          <w:p w14:paraId="1E9723DC" w14:textId="77777777" w:rsidR="00BB4766" w:rsidRPr="00852F9B" w:rsidRDefault="00BB4766" w:rsidP="000C49A5">
            <w:pPr>
              <w:spacing w:before="0"/>
              <w:jc w:val="left"/>
              <w:rPr>
                <w:rFonts w:eastAsia="Times New Roman" w:cstheme="minorHAnsi"/>
                <w:color w:val="000000"/>
                <w:sz w:val="18"/>
                <w:szCs w:val="18"/>
                <w:lang w:eastAsia="cs-CZ"/>
              </w:rPr>
            </w:pPr>
            <w:r w:rsidRPr="00852F9B">
              <w:rPr>
                <w:rFonts w:eastAsia="Times New Roman" w:cstheme="minorHAnsi"/>
                <w:color w:val="000000"/>
                <w:sz w:val="18"/>
                <w:szCs w:val="18"/>
                <w:lang w:eastAsia="cs-CZ"/>
              </w:rPr>
              <w:t>Základní umělecká škola Zlín - Jižní Svahy</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7477B80"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520</w:t>
            </w:r>
          </w:p>
        </w:tc>
        <w:tc>
          <w:tcPr>
            <w:tcW w:w="580" w:type="dxa"/>
            <w:tcBorders>
              <w:top w:val="nil"/>
              <w:left w:val="nil"/>
              <w:bottom w:val="single" w:sz="4" w:space="0" w:color="auto"/>
              <w:right w:val="single" w:sz="8" w:space="0" w:color="auto"/>
            </w:tcBorders>
            <w:shd w:val="clear" w:color="auto" w:fill="auto"/>
            <w:noWrap/>
            <w:vAlign w:val="center"/>
            <w:hideMark/>
          </w:tcPr>
          <w:p w14:paraId="7C59A966"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437</w:t>
            </w:r>
          </w:p>
        </w:tc>
        <w:tc>
          <w:tcPr>
            <w:tcW w:w="580" w:type="dxa"/>
            <w:tcBorders>
              <w:top w:val="nil"/>
              <w:left w:val="nil"/>
              <w:bottom w:val="single" w:sz="4" w:space="0" w:color="auto"/>
              <w:right w:val="single" w:sz="4" w:space="0" w:color="auto"/>
            </w:tcBorders>
            <w:shd w:val="clear" w:color="auto" w:fill="auto"/>
            <w:noWrap/>
            <w:vAlign w:val="center"/>
            <w:hideMark/>
          </w:tcPr>
          <w:p w14:paraId="16C4AE56"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520</w:t>
            </w:r>
          </w:p>
        </w:tc>
        <w:tc>
          <w:tcPr>
            <w:tcW w:w="580" w:type="dxa"/>
            <w:tcBorders>
              <w:top w:val="nil"/>
              <w:left w:val="nil"/>
              <w:bottom w:val="single" w:sz="4" w:space="0" w:color="auto"/>
              <w:right w:val="nil"/>
            </w:tcBorders>
            <w:shd w:val="clear" w:color="auto" w:fill="auto"/>
            <w:noWrap/>
            <w:vAlign w:val="center"/>
            <w:hideMark/>
          </w:tcPr>
          <w:p w14:paraId="1260CB86"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462</w:t>
            </w:r>
          </w:p>
        </w:tc>
        <w:tc>
          <w:tcPr>
            <w:tcW w:w="580" w:type="dxa"/>
            <w:tcBorders>
              <w:top w:val="nil"/>
              <w:left w:val="single" w:sz="8" w:space="0" w:color="auto"/>
              <w:bottom w:val="single" w:sz="4" w:space="0" w:color="auto"/>
              <w:right w:val="single" w:sz="4" w:space="0" w:color="auto"/>
            </w:tcBorders>
            <w:shd w:val="clear" w:color="auto" w:fill="auto"/>
            <w:noWrap/>
            <w:vAlign w:val="center"/>
            <w:hideMark/>
          </w:tcPr>
          <w:p w14:paraId="266C8296"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520</w:t>
            </w:r>
          </w:p>
        </w:tc>
        <w:tc>
          <w:tcPr>
            <w:tcW w:w="580" w:type="dxa"/>
            <w:tcBorders>
              <w:top w:val="nil"/>
              <w:left w:val="nil"/>
              <w:bottom w:val="single" w:sz="4" w:space="0" w:color="auto"/>
              <w:right w:val="single" w:sz="8" w:space="0" w:color="auto"/>
            </w:tcBorders>
            <w:shd w:val="clear" w:color="auto" w:fill="auto"/>
            <w:noWrap/>
            <w:vAlign w:val="center"/>
            <w:hideMark/>
          </w:tcPr>
          <w:p w14:paraId="2BDA8318"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467</w:t>
            </w:r>
          </w:p>
        </w:tc>
        <w:tc>
          <w:tcPr>
            <w:tcW w:w="580" w:type="dxa"/>
            <w:tcBorders>
              <w:top w:val="nil"/>
              <w:left w:val="nil"/>
              <w:bottom w:val="single" w:sz="4" w:space="0" w:color="auto"/>
              <w:right w:val="single" w:sz="4" w:space="0" w:color="auto"/>
            </w:tcBorders>
            <w:shd w:val="clear" w:color="auto" w:fill="auto"/>
            <w:noWrap/>
            <w:vAlign w:val="center"/>
            <w:hideMark/>
          </w:tcPr>
          <w:p w14:paraId="78E3F7F2"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520</w:t>
            </w:r>
          </w:p>
        </w:tc>
        <w:tc>
          <w:tcPr>
            <w:tcW w:w="580" w:type="dxa"/>
            <w:tcBorders>
              <w:top w:val="nil"/>
              <w:left w:val="nil"/>
              <w:bottom w:val="single" w:sz="4" w:space="0" w:color="auto"/>
              <w:right w:val="nil"/>
            </w:tcBorders>
            <w:shd w:val="clear" w:color="auto" w:fill="auto"/>
            <w:noWrap/>
            <w:vAlign w:val="center"/>
            <w:hideMark/>
          </w:tcPr>
          <w:p w14:paraId="5CAC0303"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510</w:t>
            </w:r>
          </w:p>
        </w:tc>
        <w:tc>
          <w:tcPr>
            <w:tcW w:w="580" w:type="dxa"/>
            <w:tcBorders>
              <w:top w:val="nil"/>
              <w:left w:val="single" w:sz="8" w:space="0" w:color="auto"/>
              <w:bottom w:val="single" w:sz="4" w:space="0" w:color="auto"/>
              <w:right w:val="single" w:sz="4" w:space="0" w:color="auto"/>
            </w:tcBorders>
            <w:shd w:val="clear" w:color="auto" w:fill="auto"/>
            <w:noWrap/>
            <w:vAlign w:val="center"/>
            <w:hideMark/>
          </w:tcPr>
          <w:p w14:paraId="4DFC6CEB"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520</w:t>
            </w:r>
          </w:p>
        </w:tc>
        <w:tc>
          <w:tcPr>
            <w:tcW w:w="580" w:type="dxa"/>
            <w:tcBorders>
              <w:top w:val="nil"/>
              <w:left w:val="nil"/>
              <w:bottom w:val="single" w:sz="4" w:space="0" w:color="auto"/>
              <w:right w:val="single" w:sz="8" w:space="0" w:color="auto"/>
            </w:tcBorders>
            <w:shd w:val="clear" w:color="auto" w:fill="auto"/>
            <w:noWrap/>
            <w:vAlign w:val="center"/>
            <w:hideMark/>
          </w:tcPr>
          <w:p w14:paraId="67EB639D"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483</w:t>
            </w:r>
          </w:p>
        </w:tc>
        <w:tc>
          <w:tcPr>
            <w:tcW w:w="580" w:type="dxa"/>
            <w:tcBorders>
              <w:top w:val="nil"/>
              <w:left w:val="nil"/>
              <w:bottom w:val="single" w:sz="4" w:space="0" w:color="auto"/>
              <w:right w:val="single" w:sz="4" w:space="0" w:color="auto"/>
            </w:tcBorders>
            <w:shd w:val="clear" w:color="auto" w:fill="auto"/>
            <w:noWrap/>
            <w:vAlign w:val="center"/>
            <w:hideMark/>
          </w:tcPr>
          <w:p w14:paraId="4C595B9F"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520</w:t>
            </w:r>
          </w:p>
        </w:tc>
        <w:tc>
          <w:tcPr>
            <w:tcW w:w="580" w:type="dxa"/>
            <w:tcBorders>
              <w:top w:val="nil"/>
              <w:left w:val="nil"/>
              <w:bottom w:val="single" w:sz="4" w:space="0" w:color="auto"/>
              <w:right w:val="nil"/>
            </w:tcBorders>
            <w:shd w:val="clear" w:color="auto" w:fill="auto"/>
            <w:noWrap/>
            <w:vAlign w:val="center"/>
            <w:hideMark/>
          </w:tcPr>
          <w:p w14:paraId="1B1CB795"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477</w:t>
            </w:r>
          </w:p>
        </w:tc>
        <w:tc>
          <w:tcPr>
            <w:tcW w:w="580" w:type="dxa"/>
            <w:tcBorders>
              <w:top w:val="single" w:sz="4" w:space="0" w:color="auto"/>
              <w:left w:val="single" w:sz="8" w:space="0" w:color="auto"/>
              <w:bottom w:val="single" w:sz="4" w:space="0" w:color="auto"/>
              <w:right w:val="single" w:sz="4" w:space="0" w:color="auto"/>
            </w:tcBorders>
            <w:shd w:val="clear" w:color="000000" w:fill="5A8AC6"/>
            <w:noWrap/>
            <w:vAlign w:val="center"/>
            <w:hideMark/>
          </w:tcPr>
          <w:p w14:paraId="37BB9A48"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520</w:t>
            </w:r>
          </w:p>
        </w:tc>
        <w:tc>
          <w:tcPr>
            <w:tcW w:w="580" w:type="dxa"/>
            <w:tcBorders>
              <w:top w:val="single" w:sz="4" w:space="0" w:color="auto"/>
              <w:left w:val="single" w:sz="4" w:space="0" w:color="auto"/>
              <w:bottom w:val="single" w:sz="4" w:space="0" w:color="auto"/>
              <w:right w:val="single" w:sz="8" w:space="0" w:color="auto"/>
            </w:tcBorders>
            <w:shd w:val="clear" w:color="000000" w:fill="5A8AC6"/>
            <w:noWrap/>
            <w:vAlign w:val="center"/>
            <w:hideMark/>
          </w:tcPr>
          <w:p w14:paraId="331A9D1D"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512</w:t>
            </w:r>
          </w:p>
        </w:tc>
      </w:tr>
      <w:tr w:rsidR="00BB4766" w:rsidRPr="00852F9B" w14:paraId="1FE0E935" w14:textId="77777777" w:rsidTr="000C49A5">
        <w:trPr>
          <w:trHeight w:val="300"/>
        </w:trPr>
        <w:tc>
          <w:tcPr>
            <w:tcW w:w="983" w:type="dxa"/>
            <w:tcBorders>
              <w:top w:val="nil"/>
              <w:left w:val="single" w:sz="8" w:space="0" w:color="auto"/>
              <w:bottom w:val="single" w:sz="4" w:space="0" w:color="auto"/>
              <w:right w:val="nil"/>
            </w:tcBorders>
            <w:shd w:val="clear" w:color="auto" w:fill="E2EFD9" w:themeFill="accent6" w:themeFillTint="33"/>
            <w:noWrap/>
            <w:vAlign w:val="bottom"/>
            <w:hideMark/>
          </w:tcPr>
          <w:p w14:paraId="66D3E0B3" w14:textId="77777777" w:rsidR="00BB4766" w:rsidRPr="00852F9B" w:rsidRDefault="00BB4766" w:rsidP="000C49A5">
            <w:pPr>
              <w:spacing w:before="0"/>
              <w:jc w:val="left"/>
              <w:rPr>
                <w:rFonts w:eastAsia="Times New Roman" w:cstheme="minorHAnsi"/>
                <w:color w:val="000000"/>
                <w:sz w:val="18"/>
                <w:szCs w:val="18"/>
                <w:lang w:eastAsia="cs-CZ"/>
              </w:rPr>
            </w:pPr>
            <w:r w:rsidRPr="00852F9B">
              <w:rPr>
                <w:rFonts w:eastAsia="Times New Roman" w:cstheme="minorHAnsi"/>
                <w:color w:val="000000"/>
                <w:sz w:val="18"/>
                <w:szCs w:val="18"/>
                <w:lang w:eastAsia="cs-CZ"/>
              </w:rPr>
              <w:t>Základní umělecká škola Zlín - Malenovice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96024D7"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800</w:t>
            </w:r>
          </w:p>
        </w:tc>
        <w:tc>
          <w:tcPr>
            <w:tcW w:w="580" w:type="dxa"/>
            <w:tcBorders>
              <w:top w:val="nil"/>
              <w:left w:val="nil"/>
              <w:bottom w:val="single" w:sz="4" w:space="0" w:color="auto"/>
              <w:right w:val="single" w:sz="8" w:space="0" w:color="auto"/>
            </w:tcBorders>
            <w:shd w:val="clear" w:color="auto" w:fill="auto"/>
            <w:noWrap/>
            <w:vAlign w:val="center"/>
            <w:hideMark/>
          </w:tcPr>
          <w:p w14:paraId="287248F0"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795</w:t>
            </w:r>
          </w:p>
        </w:tc>
        <w:tc>
          <w:tcPr>
            <w:tcW w:w="580" w:type="dxa"/>
            <w:tcBorders>
              <w:top w:val="nil"/>
              <w:left w:val="nil"/>
              <w:bottom w:val="single" w:sz="4" w:space="0" w:color="auto"/>
              <w:right w:val="single" w:sz="4" w:space="0" w:color="auto"/>
            </w:tcBorders>
            <w:shd w:val="clear" w:color="auto" w:fill="auto"/>
            <w:noWrap/>
            <w:vAlign w:val="center"/>
            <w:hideMark/>
          </w:tcPr>
          <w:p w14:paraId="4364EA31"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800</w:t>
            </w:r>
          </w:p>
        </w:tc>
        <w:tc>
          <w:tcPr>
            <w:tcW w:w="580" w:type="dxa"/>
            <w:tcBorders>
              <w:top w:val="nil"/>
              <w:left w:val="nil"/>
              <w:bottom w:val="single" w:sz="4" w:space="0" w:color="auto"/>
              <w:right w:val="nil"/>
            </w:tcBorders>
            <w:shd w:val="clear" w:color="auto" w:fill="auto"/>
            <w:noWrap/>
            <w:vAlign w:val="center"/>
            <w:hideMark/>
          </w:tcPr>
          <w:p w14:paraId="11792CD3"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793</w:t>
            </w:r>
          </w:p>
        </w:tc>
        <w:tc>
          <w:tcPr>
            <w:tcW w:w="580" w:type="dxa"/>
            <w:tcBorders>
              <w:top w:val="nil"/>
              <w:left w:val="single" w:sz="8" w:space="0" w:color="auto"/>
              <w:bottom w:val="single" w:sz="4" w:space="0" w:color="auto"/>
              <w:right w:val="single" w:sz="4" w:space="0" w:color="auto"/>
            </w:tcBorders>
            <w:shd w:val="clear" w:color="auto" w:fill="auto"/>
            <w:noWrap/>
            <w:vAlign w:val="center"/>
            <w:hideMark/>
          </w:tcPr>
          <w:p w14:paraId="70B95804"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800</w:t>
            </w:r>
          </w:p>
        </w:tc>
        <w:tc>
          <w:tcPr>
            <w:tcW w:w="580" w:type="dxa"/>
            <w:tcBorders>
              <w:top w:val="nil"/>
              <w:left w:val="nil"/>
              <w:bottom w:val="single" w:sz="4" w:space="0" w:color="auto"/>
              <w:right w:val="single" w:sz="8" w:space="0" w:color="auto"/>
            </w:tcBorders>
            <w:shd w:val="clear" w:color="auto" w:fill="auto"/>
            <w:noWrap/>
            <w:vAlign w:val="center"/>
            <w:hideMark/>
          </w:tcPr>
          <w:p w14:paraId="11728898"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798</w:t>
            </w:r>
          </w:p>
        </w:tc>
        <w:tc>
          <w:tcPr>
            <w:tcW w:w="580" w:type="dxa"/>
            <w:tcBorders>
              <w:top w:val="nil"/>
              <w:left w:val="nil"/>
              <w:bottom w:val="single" w:sz="4" w:space="0" w:color="auto"/>
              <w:right w:val="single" w:sz="4" w:space="0" w:color="auto"/>
            </w:tcBorders>
            <w:shd w:val="clear" w:color="auto" w:fill="auto"/>
            <w:noWrap/>
            <w:vAlign w:val="center"/>
            <w:hideMark/>
          </w:tcPr>
          <w:p w14:paraId="71EEDB80"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800</w:t>
            </w:r>
          </w:p>
        </w:tc>
        <w:tc>
          <w:tcPr>
            <w:tcW w:w="580" w:type="dxa"/>
            <w:tcBorders>
              <w:top w:val="nil"/>
              <w:left w:val="nil"/>
              <w:bottom w:val="single" w:sz="4" w:space="0" w:color="auto"/>
              <w:right w:val="nil"/>
            </w:tcBorders>
            <w:shd w:val="clear" w:color="auto" w:fill="auto"/>
            <w:noWrap/>
            <w:vAlign w:val="center"/>
            <w:hideMark/>
          </w:tcPr>
          <w:p w14:paraId="7367A4C0"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784</w:t>
            </w:r>
          </w:p>
        </w:tc>
        <w:tc>
          <w:tcPr>
            <w:tcW w:w="580" w:type="dxa"/>
            <w:tcBorders>
              <w:top w:val="nil"/>
              <w:left w:val="single" w:sz="8" w:space="0" w:color="auto"/>
              <w:bottom w:val="single" w:sz="4" w:space="0" w:color="auto"/>
              <w:right w:val="single" w:sz="4" w:space="0" w:color="auto"/>
            </w:tcBorders>
            <w:shd w:val="clear" w:color="auto" w:fill="auto"/>
            <w:noWrap/>
            <w:vAlign w:val="center"/>
            <w:hideMark/>
          </w:tcPr>
          <w:p w14:paraId="6A283F47"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800</w:t>
            </w:r>
          </w:p>
        </w:tc>
        <w:tc>
          <w:tcPr>
            <w:tcW w:w="580" w:type="dxa"/>
            <w:tcBorders>
              <w:top w:val="nil"/>
              <w:left w:val="nil"/>
              <w:bottom w:val="single" w:sz="4" w:space="0" w:color="auto"/>
              <w:right w:val="single" w:sz="8" w:space="0" w:color="auto"/>
            </w:tcBorders>
            <w:shd w:val="clear" w:color="auto" w:fill="auto"/>
            <w:noWrap/>
            <w:vAlign w:val="center"/>
            <w:hideMark/>
          </w:tcPr>
          <w:p w14:paraId="2510656E"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799</w:t>
            </w:r>
          </w:p>
        </w:tc>
        <w:tc>
          <w:tcPr>
            <w:tcW w:w="580" w:type="dxa"/>
            <w:tcBorders>
              <w:top w:val="nil"/>
              <w:left w:val="nil"/>
              <w:bottom w:val="single" w:sz="4" w:space="0" w:color="auto"/>
              <w:right w:val="single" w:sz="4" w:space="0" w:color="auto"/>
            </w:tcBorders>
            <w:shd w:val="clear" w:color="auto" w:fill="auto"/>
            <w:noWrap/>
            <w:vAlign w:val="center"/>
            <w:hideMark/>
          </w:tcPr>
          <w:p w14:paraId="010FF040"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800</w:t>
            </w:r>
          </w:p>
        </w:tc>
        <w:tc>
          <w:tcPr>
            <w:tcW w:w="580" w:type="dxa"/>
            <w:tcBorders>
              <w:top w:val="nil"/>
              <w:left w:val="nil"/>
              <w:bottom w:val="single" w:sz="4" w:space="0" w:color="auto"/>
              <w:right w:val="nil"/>
            </w:tcBorders>
            <w:shd w:val="clear" w:color="auto" w:fill="auto"/>
            <w:noWrap/>
            <w:vAlign w:val="center"/>
            <w:hideMark/>
          </w:tcPr>
          <w:p w14:paraId="5B807F12"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790</w:t>
            </w:r>
          </w:p>
        </w:tc>
        <w:tc>
          <w:tcPr>
            <w:tcW w:w="580" w:type="dxa"/>
            <w:tcBorders>
              <w:top w:val="single" w:sz="4" w:space="0" w:color="auto"/>
              <w:left w:val="single" w:sz="8" w:space="0" w:color="auto"/>
              <w:bottom w:val="single" w:sz="4" w:space="0" w:color="auto"/>
              <w:right w:val="single" w:sz="4" w:space="0" w:color="auto"/>
            </w:tcBorders>
            <w:shd w:val="clear" w:color="000000" w:fill="FCFCFF"/>
            <w:noWrap/>
            <w:vAlign w:val="center"/>
            <w:hideMark/>
          </w:tcPr>
          <w:p w14:paraId="6B97BBBD"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800</w:t>
            </w:r>
          </w:p>
        </w:tc>
        <w:tc>
          <w:tcPr>
            <w:tcW w:w="580" w:type="dxa"/>
            <w:tcBorders>
              <w:top w:val="single" w:sz="4" w:space="0" w:color="auto"/>
              <w:left w:val="single" w:sz="4" w:space="0" w:color="auto"/>
              <w:bottom w:val="single" w:sz="4" w:space="0" w:color="auto"/>
              <w:right w:val="single" w:sz="8" w:space="0" w:color="auto"/>
            </w:tcBorders>
            <w:shd w:val="clear" w:color="000000" w:fill="FCFCFF"/>
            <w:noWrap/>
            <w:vAlign w:val="center"/>
            <w:hideMark/>
          </w:tcPr>
          <w:p w14:paraId="370A4409" w14:textId="77777777" w:rsidR="00BB4766" w:rsidRPr="00852F9B" w:rsidRDefault="00BB4766" w:rsidP="000C49A5">
            <w:pPr>
              <w:spacing w:before="0"/>
              <w:jc w:val="right"/>
              <w:rPr>
                <w:rFonts w:eastAsia="Times New Roman" w:cstheme="minorHAnsi"/>
                <w:color w:val="000000"/>
                <w:sz w:val="18"/>
                <w:szCs w:val="18"/>
                <w:lang w:eastAsia="cs-CZ"/>
              </w:rPr>
            </w:pPr>
            <w:r w:rsidRPr="00852F9B">
              <w:rPr>
                <w:rFonts w:eastAsia="Times New Roman" w:cstheme="minorHAnsi"/>
                <w:color w:val="000000"/>
                <w:sz w:val="18"/>
                <w:szCs w:val="18"/>
                <w:lang w:eastAsia="cs-CZ"/>
              </w:rPr>
              <w:t>793</w:t>
            </w:r>
          </w:p>
        </w:tc>
      </w:tr>
      <w:tr w:rsidR="00BB4766" w:rsidRPr="00852F9B" w14:paraId="7F707709" w14:textId="77777777" w:rsidTr="000C49A5">
        <w:trPr>
          <w:trHeight w:val="315"/>
        </w:trPr>
        <w:tc>
          <w:tcPr>
            <w:tcW w:w="983" w:type="dxa"/>
            <w:tcBorders>
              <w:top w:val="nil"/>
              <w:left w:val="single" w:sz="8" w:space="0" w:color="auto"/>
              <w:bottom w:val="single" w:sz="8" w:space="0" w:color="auto"/>
              <w:right w:val="nil"/>
            </w:tcBorders>
            <w:shd w:val="clear" w:color="000000" w:fill="D0CECE"/>
            <w:noWrap/>
            <w:vAlign w:val="bottom"/>
            <w:hideMark/>
          </w:tcPr>
          <w:p w14:paraId="125F6B3A" w14:textId="77777777" w:rsidR="00BB4766" w:rsidRPr="00852F9B" w:rsidRDefault="00BB4766" w:rsidP="000C49A5">
            <w:pPr>
              <w:spacing w:before="0"/>
              <w:jc w:val="lef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Celkem</w:t>
            </w:r>
          </w:p>
        </w:tc>
        <w:tc>
          <w:tcPr>
            <w:tcW w:w="567" w:type="dxa"/>
            <w:tcBorders>
              <w:top w:val="nil"/>
              <w:left w:val="single" w:sz="8" w:space="0" w:color="auto"/>
              <w:bottom w:val="single" w:sz="8" w:space="0" w:color="auto"/>
              <w:right w:val="single" w:sz="4" w:space="0" w:color="auto"/>
            </w:tcBorders>
            <w:shd w:val="clear" w:color="000000" w:fill="D0CECE"/>
            <w:noWrap/>
            <w:vAlign w:val="bottom"/>
            <w:hideMark/>
          </w:tcPr>
          <w:p w14:paraId="71A142CB"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2720</w:t>
            </w:r>
          </w:p>
        </w:tc>
        <w:tc>
          <w:tcPr>
            <w:tcW w:w="580" w:type="dxa"/>
            <w:tcBorders>
              <w:top w:val="nil"/>
              <w:left w:val="nil"/>
              <w:bottom w:val="single" w:sz="8" w:space="0" w:color="auto"/>
              <w:right w:val="single" w:sz="8" w:space="0" w:color="auto"/>
            </w:tcBorders>
            <w:shd w:val="clear" w:color="000000" w:fill="D0CECE"/>
            <w:noWrap/>
            <w:vAlign w:val="bottom"/>
            <w:hideMark/>
          </w:tcPr>
          <w:p w14:paraId="528C64D3"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2562</w:t>
            </w:r>
          </w:p>
        </w:tc>
        <w:tc>
          <w:tcPr>
            <w:tcW w:w="580" w:type="dxa"/>
            <w:tcBorders>
              <w:top w:val="nil"/>
              <w:left w:val="nil"/>
              <w:bottom w:val="single" w:sz="8" w:space="0" w:color="auto"/>
              <w:right w:val="single" w:sz="4" w:space="0" w:color="auto"/>
            </w:tcBorders>
            <w:shd w:val="clear" w:color="000000" w:fill="D0CECE"/>
            <w:noWrap/>
            <w:vAlign w:val="bottom"/>
            <w:hideMark/>
          </w:tcPr>
          <w:p w14:paraId="6F04CEE3"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2720</w:t>
            </w:r>
          </w:p>
        </w:tc>
        <w:tc>
          <w:tcPr>
            <w:tcW w:w="580" w:type="dxa"/>
            <w:tcBorders>
              <w:top w:val="nil"/>
              <w:left w:val="nil"/>
              <w:bottom w:val="single" w:sz="8" w:space="0" w:color="auto"/>
              <w:right w:val="nil"/>
            </w:tcBorders>
            <w:shd w:val="clear" w:color="000000" w:fill="D0CECE"/>
            <w:noWrap/>
            <w:vAlign w:val="bottom"/>
            <w:hideMark/>
          </w:tcPr>
          <w:p w14:paraId="2681CB4F"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2654</w:t>
            </w:r>
          </w:p>
        </w:tc>
        <w:tc>
          <w:tcPr>
            <w:tcW w:w="580" w:type="dxa"/>
            <w:tcBorders>
              <w:top w:val="nil"/>
              <w:left w:val="single" w:sz="8" w:space="0" w:color="auto"/>
              <w:bottom w:val="single" w:sz="8" w:space="0" w:color="auto"/>
              <w:right w:val="single" w:sz="4" w:space="0" w:color="auto"/>
            </w:tcBorders>
            <w:shd w:val="clear" w:color="000000" w:fill="D0CECE"/>
            <w:noWrap/>
            <w:vAlign w:val="bottom"/>
            <w:hideMark/>
          </w:tcPr>
          <w:p w14:paraId="5C615E74"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2720</w:t>
            </w:r>
          </w:p>
        </w:tc>
        <w:tc>
          <w:tcPr>
            <w:tcW w:w="580" w:type="dxa"/>
            <w:tcBorders>
              <w:top w:val="nil"/>
              <w:left w:val="nil"/>
              <w:bottom w:val="single" w:sz="8" w:space="0" w:color="auto"/>
              <w:right w:val="single" w:sz="8" w:space="0" w:color="auto"/>
            </w:tcBorders>
            <w:shd w:val="clear" w:color="000000" w:fill="D0CECE"/>
            <w:noWrap/>
            <w:vAlign w:val="bottom"/>
            <w:hideMark/>
          </w:tcPr>
          <w:p w14:paraId="1E71704B"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2634</w:t>
            </w:r>
          </w:p>
        </w:tc>
        <w:tc>
          <w:tcPr>
            <w:tcW w:w="580" w:type="dxa"/>
            <w:tcBorders>
              <w:top w:val="nil"/>
              <w:left w:val="nil"/>
              <w:bottom w:val="single" w:sz="8" w:space="0" w:color="auto"/>
              <w:right w:val="single" w:sz="4" w:space="0" w:color="auto"/>
            </w:tcBorders>
            <w:shd w:val="clear" w:color="000000" w:fill="D0CECE"/>
            <w:noWrap/>
            <w:vAlign w:val="bottom"/>
            <w:hideMark/>
          </w:tcPr>
          <w:p w14:paraId="00EDB329"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2720</w:t>
            </w:r>
          </w:p>
        </w:tc>
        <w:tc>
          <w:tcPr>
            <w:tcW w:w="580" w:type="dxa"/>
            <w:tcBorders>
              <w:top w:val="nil"/>
              <w:left w:val="nil"/>
              <w:bottom w:val="single" w:sz="8" w:space="0" w:color="auto"/>
              <w:right w:val="nil"/>
            </w:tcBorders>
            <w:shd w:val="clear" w:color="000000" w:fill="D0CECE"/>
            <w:noWrap/>
            <w:vAlign w:val="bottom"/>
            <w:hideMark/>
          </w:tcPr>
          <w:p w14:paraId="39FECB11"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2691</w:t>
            </w:r>
          </w:p>
        </w:tc>
        <w:tc>
          <w:tcPr>
            <w:tcW w:w="580" w:type="dxa"/>
            <w:tcBorders>
              <w:top w:val="nil"/>
              <w:left w:val="single" w:sz="8" w:space="0" w:color="auto"/>
              <w:bottom w:val="single" w:sz="8" w:space="0" w:color="auto"/>
              <w:right w:val="single" w:sz="4" w:space="0" w:color="auto"/>
            </w:tcBorders>
            <w:shd w:val="clear" w:color="000000" w:fill="D0CECE"/>
            <w:noWrap/>
            <w:vAlign w:val="bottom"/>
            <w:hideMark/>
          </w:tcPr>
          <w:p w14:paraId="7EC1143B"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2720</w:t>
            </w:r>
          </w:p>
        </w:tc>
        <w:tc>
          <w:tcPr>
            <w:tcW w:w="580" w:type="dxa"/>
            <w:tcBorders>
              <w:top w:val="nil"/>
              <w:left w:val="nil"/>
              <w:bottom w:val="single" w:sz="8" w:space="0" w:color="auto"/>
              <w:right w:val="single" w:sz="8" w:space="0" w:color="auto"/>
            </w:tcBorders>
            <w:shd w:val="clear" w:color="000000" w:fill="D0CECE"/>
            <w:noWrap/>
            <w:vAlign w:val="bottom"/>
            <w:hideMark/>
          </w:tcPr>
          <w:p w14:paraId="5032048F"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2682</w:t>
            </w:r>
          </w:p>
        </w:tc>
        <w:tc>
          <w:tcPr>
            <w:tcW w:w="580" w:type="dxa"/>
            <w:tcBorders>
              <w:top w:val="nil"/>
              <w:left w:val="nil"/>
              <w:bottom w:val="single" w:sz="8" w:space="0" w:color="auto"/>
              <w:right w:val="single" w:sz="4" w:space="0" w:color="auto"/>
            </w:tcBorders>
            <w:shd w:val="clear" w:color="000000" w:fill="D0CECE"/>
            <w:noWrap/>
            <w:vAlign w:val="bottom"/>
            <w:hideMark/>
          </w:tcPr>
          <w:p w14:paraId="29E5B5CC"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2720</w:t>
            </w:r>
          </w:p>
        </w:tc>
        <w:tc>
          <w:tcPr>
            <w:tcW w:w="580" w:type="dxa"/>
            <w:tcBorders>
              <w:top w:val="nil"/>
              <w:left w:val="nil"/>
              <w:bottom w:val="single" w:sz="8" w:space="0" w:color="auto"/>
              <w:right w:val="nil"/>
            </w:tcBorders>
            <w:shd w:val="clear" w:color="000000" w:fill="D0CECE"/>
            <w:noWrap/>
            <w:vAlign w:val="bottom"/>
            <w:hideMark/>
          </w:tcPr>
          <w:p w14:paraId="6C7C1066"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2664</w:t>
            </w:r>
          </w:p>
        </w:tc>
        <w:tc>
          <w:tcPr>
            <w:tcW w:w="580" w:type="dxa"/>
            <w:tcBorders>
              <w:top w:val="nil"/>
              <w:left w:val="single" w:sz="8" w:space="0" w:color="auto"/>
              <w:bottom w:val="single" w:sz="8" w:space="0" w:color="auto"/>
              <w:right w:val="single" w:sz="4" w:space="0" w:color="auto"/>
            </w:tcBorders>
            <w:shd w:val="clear" w:color="000000" w:fill="D0CECE"/>
            <w:noWrap/>
            <w:vAlign w:val="bottom"/>
            <w:hideMark/>
          </w:tcPr>
          <w:p w14:paraId="6E8E0938"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2720</w:t>
            </w:r>
          </w:p>
        </w:tc>
        <w:tc>
          <w:tcPr>
            <w:tcW w:w="580" w:type="dxa"/>
            <w:tcBorders>
              <w:top w:val="nil"/>
              <w:left w:val="nil"/>
              <w:bottom w:val="single" w:sz="8" w:space="0" w:color="auto"/>
              <w:right w:val="single" w:sz="8" w:space="0" w:color="auto"/>
            </w:tcBorders>
            <w:shd w:val="clear" w:color="000000" w:fill="D0CECE"/>
            <w:noWrap/>
            <w:vAlign w:val="bottom"/>
            <w:hideMark/>
          </w:tcPr>
          <w:p w14:paraId="5A04A666" w14:textId="77777777" w:rsidR="00BB4766" w:rsidRPr="00852F9B" w:rsidRDefault="00BB4766" w:rsidP="000C49A5">
            <w:pPr>
              <w:spacing w:before="0"/>
              <w:jc w:val="right"/>
              <w:rPr>
                <w:rFonts w:eastAsia="Times New Roman" w:cstheme="minorHAnsi"/>
                <w:b/>
                <w:bCs/>
                <w:color w:val="000000"/>
                <w:sz w:val="18"/>
                <w:szCs w:val="18"/>
                <w:lang w:eastAsia="cs-CZ"/>
              </w:rPr>
            </w:pPr>
            <w:r w:rsidRPr="00852F9B">
              <w:rPr>
                <w:rFonts w:eastAsia="Times New Roman" w:cstheme="minorHAnsi"/>
                <w:b/>
                <w:bCs/>
                <w:color w:val="000000"/>
                <w:sz w:val="18"/>
                <w:szCs w:val="18"/>
                <w:lang w:eastAsia="cs-CZ"/>
              </w:rPr>
              <w:t>2705</w:t>
            </w:r>
          </w:p>
        </w:tc>
      </w:tr>
    </w:tbl>
    <w:p w14:paraId="18938843" w14:textId="2E51B358" w:rsidR="00BB4766" w:rsidRPr="00CD0044" w:rsidRDefault="00BB4766" w:rsidP="00BB4766">
      <w:pPr>
        <w:pStyle w:val="Zdroj"/>
      </w:pPr>
      <w:r>
        <w:t>Zdroj: SMZ, Odbor školství, mládeže a sportu, Krajský úřad Zlínského kraje, k 1.</w:t>
      </w:r>
      <w:r w:rsidR="00D967D1">
        <w:t xml:space="preserve"> </w:t>
      </w:r>
      <w:r>
        <w:t>7.</w:t>
      </w:r>
      <w:r w:rsidR="00D967D1">
        <w:t xml:space="preserve"> </w:t>
      </w:r>
      <w:r>
        <w:t>2020</w:t>
      </w:r>
      <w:r w:rsidR="00D967D1">
        <w:t>.</w:t>
      </w:r>
    </w:p>
    <w:p w14:paraId="6EDF2CB5" w14:textId="77777777" w:rsidR="00BB4766" w:rsidRDefault="00BB4766" w:rsidP="00BB4766">
      <w:r>
        <w:t>Mezi další školy, které poskytují základní umělecké vzdělání na území města, patří např.:</w:t>
      </w:r>
    </w:p>
    <w:p w14:paraId="02C308B4" w14:textId="77777777" w:rsidR="00BB4766" w:rsidRDefault="00BB4766" w:rsidP="00BB4766">
      <w:pPr>
        <w:pStyle w:val="Odstavecseseznamem"/>
        <w:numPr>
          <w:ilvl w:val="0"/>
          <w:numId w:val="27"/>
        </w:numPr>
      </w:pPr>
      <w:r>
        <w:t>Základní umělecká škola Morava, spol. s r.o.,</w:t>
      </w:r>
    </w:p>
    <w:p w14:paraId="0F319911" w14:textId="77777777" w:rsidR="00BB4766" w:rsidRDefault="00BB4766" w:rsidP="00BB4766">
      <w:pPr>
        <w:pStyle w:val="Odstavecseseznamem"/>
        <w:numPr>
          <w:ilvl w:val="0"/>
          <w:numId w:val="27"/>
        </w:numPr>
      </w:pPr>
      <w:r>
        <w:t>ZUŠ Harmonie Zlín, s.r.o.,</w:t>
      </w:r>
    </w:p>
    <w:p w14:paraId="7CC9D314" w14:textId="77777777" w:rsidR="00BB4766" w:rsidRDefault="00BB4766" w:rsidP="00BB4766">
      <w:pPr>
        <w:pStyle w:val="Odstavecseseznamem"/>
        <w:numPr>
          <w:ilvl w:val="0"/>
          <w:numId w:val="27"/>
        </w:numPr>
      </w:pPr>
      <w:r>
        <w:t>Základní umělecká škola klávesových nástrojů,</w:t>
      </w:r>
    </w:p>
    <w:p w14:paraId="65B3960F" w14:textId="77777777" w:rsidR="00BB4766" w:rsidRDefault="00BB4766" w:rsidP="00BB4766">
      <w:pPr>
        <w:pStyle w:val="Odstavecseseznamem"/>
        <w:numPr>
          <w:ilvl w:val="0"/>
          <w:numId w:val="27"/>
        </w:numPr>
      </w:pPr>
      <w:r w:rsidRPr="002B56A4">
        <w:t>Hudební škola YAMAHA Zlín</w:t>
      </w:r>
      <w:r>
        <w:t>.</w:t>
      </w:r>
    </w:p>
    <w:p w14:paraId="35909797" w14:textId="77777777" w:rsidR="00BB4766" w:rsidRDefault="00BB4766" w:rsidP="00BB4766">
      <w:r w:rsidRPr="009018CB">
        <w:t xml:space="preserve">Zájmové vzdělávání se uskutečňuje zejména ve školních družinách, školních klubech, </w:t>
      </w:r>
      <w:r>
        <w:t xml:space="preserve">v rámci školních kroužků na školách, v </w:t>
      </w:r>
      <w:r w:rsidRPr="009018CB">
        <w:t xml:space="preserve">domech dětí a mládeže a střediscích volného času. </w:t>
      </w:r>
      <w:r>
        <w:t>V</w:t>
      </w:r>
      <w:r w:rsidRPr="009018CB">
        <w:t>ýznamnou funkci z hlediska využívání volného času dětí a mládeže</w:t>
      </w:r>
      <w:r>
        <w:t xml:space="preserve"> hraje ve městě Zlín </w:t>
      </w:r>
      <w:r w:rsidRPr="009018CB">
        <w:t>Dům dětí a mládeže ASTRA Zlín, příspěv</w:t>
      </w:r>
      <w:r>
        <w:t xml:space="preserve">ková organizace (dále DDM), </w:t>
      </w:r>
      <w:r w:rsidRPr="00B37375">
        <w:t>zřizov</w:t>
      </w:r>
      <w:r>
        <w:t>ané s</w:t>
      </w:r>
      <w:r w:rsidRPr="00B37375">
        <w:t>tatutárním městem Zlín</w:t>
      </w:r>
      <w:r>
        <w:t>em. Hlavní náplní</w:t>
      </w:r>
      <w:r w:rsidRPr="00B37375">
        <w:t xml:space="preserve"> </w:t>
      </w:r>
      <w:r>
        <w:t xml:space="preserve">zařízení </w:t>
      </w:r>
      <w:r w:rsidRPr="00B37375">
        <w:t xml:space="preserve">je poskytovat </w:t>
      </w:r>
      <w:r w:rsidRPr="00B37375">
        <w:lastRenderedPageBreak/>
        <w:t>zájmové vzdělávání ve volném čase dětem, mládeži i dospělým zájemcům z celého Zlína a okolí.</w:t>
      </w:r>
      <w:r>
        <w:t xml:space="preserve"> S</w:t>
      </w:r>
      <w:r w:rsidRPr="009018CB">
        <w:t>vou činností působí i v rámci primární prevence rizikového chování dětí a mládeže.</w:t>
      </w:r>
      <w:r>
        <w:t xml:space="preserve"> Na každý školní rok je připraveno více než 100 zájmových útvarů na budovách DDM a cca 60 kroužků v pronajatých zázemích partnerských škol a jiných subjektů. Do zájmových útvarů každoročně dochází okolo 1 500 účastníků – dětí, mládeže i dospělých.</w:t>
      </w:r>
    </w:p>
    <w:p w14:paraId="0714430B" w14:textId="77777777" w:rsidR="00BB4766" w:rsidRDefault="00BB4766" w:rsidP="00BB4766">
      <w:r w:rsidRPr="0085675D">
        <w:t>D</w:t>
      </w:r>
      <w:r>
        <w:t xml:space="preserve">alší </w:t>
      </w:r>
      <w:r w:rsidRPr="0085675D">
        <w:t>zařízení zřizovan</w:t>
      </w:r>
      <w:r>
        <w:t>é</w:t>
      </w:r>
      <w:r w:rsidRPr="0085675D">
        <w:t xml:space="preserve"> statutárním městem Zlínem, které nabízení zájmové vzdělávání j</w:t>
      </w:r>
      <w:r>
        <w:t xml:space="preserve">e </w:t>
      </w:r>
      <w:r w:rsidRPr="0085675D">
        <w:t xml:space="preserve">Středisko volného času – Ostrov radosti, Kotěrova 4395, Zlín </w:t>
      </w:r>
      <w:r>
        <w:t xml:space="preserve">s odloučeným pracovištěm </w:t>
      </w:r>
      <w:r w:rsidRPr="0085675D">
        <w:t>Klub „Íčko“ – integrace, inspirace, iniciativa</w:t>
      </w:r>
      <w:r>
        <w:t>.</w:t>
      </w:r>
      <w:r w:rsidRPr="0085675D">
        <w:t xml:space="preserve"> Středisko volného času – Ostrov radosti, Kotěrova 4395, Zlín </w:t>
      </w:r>
      <w:r>
        <w:t xml:space="preserve">je zřízeno za účelem zajištění výchovně vzdělávacích aktivit pro neorganizované děti a mládež z převážně sociálně znevýhodněného prostředí (rizikových skupin), s cílem nabídnout kvalitní formy trávení volného času, a tím působit především v oblasti nespecifické primární prevence rizikových projevů chování. </w:t>
      </w:r>
    </w:p>
    <w:p w14:paraId="2F5C9F8A" w14:textId="22D276D3" w:rsidR="00BB4766" w:rsidRDefault="00BB4766" w:rsidP="00BB4766">
      <w:pPr>
        <w:rPr>
          <w:rFonts w:ascii="Calibri" w:hAnsi="Calibri"/>
        </w:rPr>
      </w:pPr>
      <w:r w:rsidRPr="00EC613F">
        <w:t xml:space="preserve">Zlínský kraj </w:t>
      </w:r>
      <w:r>
        <w:t xml:space="preserve">ve svém </w:t>
      </w:r>
      <w:r w:rsidRPr="00EC613F">
        <w:t>Dlouhodobé</w:t>
      </w:r>
      <w:r>
        <w:t>m</w:t>
      </w:r>
      <w:r w:rsidRPr="00EC613F">
        <w:t xml:space="preserve"> záměru vzdělávání a rozvoje vzdělávací soustavy Zlínského kraje 20</w:t>
      </w:r>
      <w:r>
        <w:t>20</w:t>
      </w:r>
      <w:r w:rsidRPr="00EC613F">
        <w:t xml:space="preserve"> </w:t>
      </w:r>
      <w:r>
        <w:t xml:space="preserve">shledává rozmístění </w:t>
      </w:r>
      <w:r w:rsidRPr="00CD0044">
        <w:rPr>
          <w:rFonts w:ascii="Calibri" w:hAnsi="Calibri"/>
        </w:rPr>
        <w:t xml:space="preserve">středisek </w:t>
      </w:r>
      <w:r>
        <w:rPr>
          <w:rFonts w:ascii="Calibri" w:hAnsi="Calibri"/>
        </w:rPr>
        <w:t>volného času za rovnoměrné</w:t>
      </w:r>
      <w:r w:rsidRPr="00CD0044">
        <w:rPr>
          <w:rFonts w:ascii="Calibri" w:hAnsi="Calibri"/>
        </w:rPr>
        <w:t xml:space="preserve"> ve všech regionech kraje a jejich síť </w:t>
      </w:r>
      <w:r>
        <w:rPr>
          <w:rFonts w:ascii="Calibri" w:hAnsi="Calibri"/>
        </w:rPr>
        <w:t xml:space="preserve">považuje </w:t>
      </w:r>
      <w:r w:rsidRPr="00CD0044">
        <w:rPr>
          <w:rFonts w:ascii="Calibri" w:hAnsi="Calibri"/>
        </w:rPr>
        <w:t xml:space="preserve">pro následující období </w:t>
      </w:r>
      <w:r>
        <w:rPr>
          <w:rFonts w:ascii="Calibri" w:hAnsi="Calibri"/>
        </w:rPr>
        <w:t>za dostatečnou</w:t>
      </w:r>
      <w:r w:rsidRPr="00CD0044">
        <w:rPr>
          <w:rFonts w:ascii="Calibri" w:hAnsi="Calibri"/>
        </w:rPr>
        <w:t>, proto nebude vznik nových středi</w:t>
      </w:r>
      <w:r>
        <w:rPr>
          <w:rFonts w:ascii="Calibri" w:hAnsi="Calibri"/>
        </w:rPr>
        <w:t>sek</w:t>
      </w:r>
      <w:r w:rsidRPr="00905362">
        <w:rPr>
          <w:rFonts w:ascii="Calibri" w:hAnsi="Calibri"/>
        </w:rPr>
        <w:t xml:space="preserve"> </w:t>
      </w:r>
      <w:r>
        <w:rPr>
          <w:rFonts w:ascii="Calibri" w:hAnsi="Calibri"/>
        </w:rPr>
        <w:t xml:space="preserve">v souladu </w:t>
      </w:r>
      <w:r w:rsidRPr="00CD0044">
        <w:rPr>
          <w:rFonts w:ascii="Calibri" w:hAnsi="Calibri"/>
        </w:rPr>
        <w:t>s</w:t>
      </w:r>
      <w:r w:rsidR="00A76987">
        <w:rPr>
          <w:rFonts w:ascii="Calibri" w:hAnsi="Calibri"/>
        </w:rPr>
        <w:t> </w:t>
      </w:r>
      <w:r w:rsidRPr="00CD0044">
        <w:rPr>
          <w:rFonts w:ascii="Calibri" w:hAnsi="Calibri"/>
        </w:rPr>
        <w:t>demografickým vývojem cílové skupiny</w:t>
      </w:r>
      <w:r>
        <w:rPr>
          <w:rFonts w:ascii="Calibri" w:hAnsi="Calibri"/>
        </w:rPr>
        <w:t xml:space="preserve"> podporován</w:t>
      </w:r>
      <w:r w:rsidRPr="00CD0044">
        <w:rPr>
          <w:rFonts w:ascii="Calibri" w:hAnsi="Calibri"/>
        </w:rPr>
        <w:t xml:space="preserve">. </w:t>
      </w:r>
    </w:p>
    <w:p w14:paraId="0F6140DC" w14:textId="77777777" w:rsidR="00BB4766" w:rsidRPr="004C59FE" w:rsidRDefault="00BB4766" w:rsidP="00BB4766">
      <w:pPr>
        <w:rPr>
          <w:rFonts w:ascii="Calibri" w:hAnsi="Calibri"/>
        </w:rPr>
      </w:pPr>
      <w:r w:rsidRPr="009018CB">
        <w:t xml:space="preserve">Nedílnou součástí volnočasových aktivit jsou rovněž nestátní neziskové organizace, </w:t>
      </w:r>
      <w:r>
        <w:t>organizační složky</w:t>
      </w:r>
      <w:r w:rsidRPr="00072A05">
        <w:t xml:space="preserve"> statutárního města</w:t>
      </w:r>
      <w:r>
        <w:t>,</w:t>
      </w:r>
      <w:r w:rsidRPr="00072A05">
        <w:t xml:space="preserve"> </w:t>
      </w:r>
      <w:r w:rsidRPr="009018CB">
        <w:t>knihovny, muzea a hvězdárny</w:t>
      </w:r>
      <w:r>
        <w:t xml:space="preserve"> a další</w:t>
      </w:r>
      <w:r w:rsidRPr="009018CB">
        <w:t>.</w:t>
      </w:r>
      <w:r>
        <w:t xml:space="preserve"> </w:t>
      </w:r>
      <w:r>
        <w:rPr>
          <w:rFonts w:ascii="Calibri" w:hAnsi="Calibri"/>
        </w:rPr>
        <w:t>Mezi významné aktéry v této oblasti patří např.:</w:t>
      </w:r>
    </w:p>
    <w:p w14:paraId="2101F597" w14:textId="77777777" w:rsidR="00BB4766" w:rsidRDefault="00BB4766" w:rsidP="00BB4766">
      <w:pPr>
        <w:pStyle w:val="Odstavecseseznamem"/>
        <w:numPr>
          <w:ilvl w:val="0"/>
          <w:numId w:val="30"/>
        </w:numPr>
        <w:rPr>
          <w:rFonts w:ascii="Calibri" w:hAnsi="Calibri"/>
        </w:rPr>
      </w:pPr>
      <w:r w:rsidRPr="00DF241D">
        <w:rPr>
          <w:rFonts w:ascii="Calibri" w:hAnsi="Calibri"/>
        </w:rPr>
        <w:t xml:space="preserve">Krajská knihovna Františka Bartoše </w:t>
      </w:r>
    </w:p>
    <w:p w14:paraId="63376823" w14:textId="77777777" w:rsidR="00BB4766" w:rsidRPr="004C59FE" w:rsidRDefault="00BB4766" w:rsidP="00BB4766">
      <w:pPr>
        <w:pStyle w:val="Odstavecseseznamem"/>
        <w:numPr>
          <w:ilvl w:val="0"/>
          <w:numId w:val="30"/>
        </w:numPr>
        <w:rPr>
          <w:rFonts w:ascii="Calibri" w:hAnsi="Calibri"/>
        </w:rPr>
      </w:pPr>
      <w:r w:rsidRPr="004C59FE">
        <w:rPr>
          <w:rFonts w:ascii="Calibri" w:hAnsi="Calibri"/>
        </w:rPr>
        <w:t>ZOO a zámek Zlín – Lešná, p.o.</w:t>
      </w:r>
    </w:p>
    <w:p w14:paraId="5FA2EF17" w14:textId="77777777" w:rsidR="00BB4766" w:rsidRPr="004C59FE" w:rsidRDefault="00BB4766" w:rsidP="00BB4766">
      <w:pPr>
        <w:pStyle w:val="Odstavecseseznamem"/>
        <w:numPr>
          <w:ilvl w:val="0"/>
          <w:numId w:val="30"/>
        </w:numPr>
        <w:rPr>
          <w:rFonts w:ascii="Calibri" w:hAnsi="Calibri"/>
        </w:rPr>
      </w:pPr>
      <w:r w:rsidRPr="004C59FE">
        <w:rPr>
          <w:rFonts w:ascii="Calibri" w:hAnsi="Calibri"/>
        </w:rPr>
        <w:t>Muzeum jihovýchodní Moravy</w:t>
      </w:r>
    </w:p>
    <w:p w14:paraId="08BB202C" w14:textId="77777777" w:rsidR="00BB4766" w:rsidRPr="004C59FE" w:rsidRDefault="00BB4766" w:rsidP="00BB4766">
      <w:pPr>
        <w:pStyle w:val="Odstavecseseznamem"/>
        <w:numPr>
          <w:ilvl w:val="0"/>
          <w:numId w:val="30"/>
        </w:numPr>
        <w:rPr>
          <w:rFonts w:ascii="Calibri" w:hAnsi="Calibri"/>
        </w:rPr>
      </w:pPr>
      <w:r w:rsidRPr="004C59FE">
        <w:rPr>
          <w:rFonts w:ascii="Calibri" w:hAnsi="Calibri"/>
        </w:rPr>
        <w:t>ZO SOP Ekocentrum čtyřlístek</w:t>
      </w:r>
    </w:p>
    <w:p w14:paraId="0DCDF128" w14:textId="77777777" w:rsidR="00BB4766" w:rsidRPr="004C59FE" w:rsidRDefault="00BB4766" w:rsidP="00BB4766">
      <w:pPr>
        <w:pStyle w:val="Odstavecseseznamem"/>
        <w:numPr>
          <w:ilvl w:val="0"/>
          <w:numId w:val="30"/>
        </w:numPr>
        <w:rPr>
          <w:rFonts w:ascii="Calibri" w:hAnsi="Calibri"/>
        </w:rPr>
      </w:pPr>
      <w:r w:rsidRPr="004C59FE">
        <w:rPr>
          <w:rFonts w:ascii="Calibri" w:hAnsi="Calibri"/>
        </w:rPr>
        <w:t>Hvězdárna Zlín</w:t>
      </w:r>
    </w:p>
    <w:p w14:paraId="30A955B6" w14:textId="77777777" w:rsidR="00BB4766" w:rsidRDefault="00BB4766" w:rsidP="00BB4766">
      <w:pPr>
        <w:pStyle w:val="Odstavecseseznamem"/>
        <w:numPr>
          <w:ilvl w:val="0"/>
          <w:numId w:val="29"/>
        </w:numPr>
        <w:rPr>
          <w:rFonts w:ascii="Calibri" w:hAnsi="Calibri"/>
        </w:rPr>
      </w:pPr>
      <w:r w:rsidRPr="004C59FE">
        <w:rPr>
          <w:rFonts w:ascii="Calibri" w:hAnsi="Calibri"/>
        </w:rPr>
        <w:t>Rehabilitační stacionář Zlín</w:t>
      </w:r>
    </w:p>
    <w:p w14:paraId="6B49FA36" w14:textId="77777777" w:rsidR="00BB4766" w:rsidRDefault="00BB4766" w:rsidP="00BB4766">
      <w:pPr>
        <w:pStyle w:val="Odstavecseseznamem"/>
        <w:numPr>
          <w:ilvl w:val="0"/>
          <w:numId w:val="29"/>
        </w:numPr>
        <w:rPr>
          <w:rFonts w:ascii="Calibri" w:hAnsi="Calibri"/>
        </w:rPr>
      </w:pPr>
      <w:r w:rsidRPr="000818D2">
        <w:rPr>
          <w:szCs w:val="20"/>
        </w:rPr>
        <w:t>14|15 Baťův institut, příspěvková organizace</w:t>
      </w:r>
    </w:p>
    <w:p w14:paraId="1010D451" w14:textId="77777777" w:rsidR="00BB4766" w:rsidRDefault="00BB4766" w:rsidP="00BB4766">
      <w:pPr>
        <w:pStyle w:val="Odstavecseseznamem"/>
        <w:numPr>
          <w:ilvl w:val="0"/>
          <w:numId w:val="29"/>
        </w:numPr>
        <w:rPr>
          <w:rFonts w:ascii="Calibri" w:hAnsi="Calibri"/>
        </w:rPr>
      </w:pPr>
      <w:r w:rsidRPr="000818D2">
        <w:t>Plavecká škola Zlín, příspěvková organizace</w:t>
      </w:r>
    </w:p>
    <w:p w14:paraId="70ADF413" w14:textId="77777777" w:rsidR="00BB4766" w:rsidRPr="004C59FE" w:rsidRDefault="00BB4766" w:rsidP="00BB4766">
      <w:pPr>
        <w:pStyle w:val="Odstavecseseznamem"/>
        <w:numPr>
          <w:ilvl w:val="0"/>
          <w:numId w:val="29"/>
        </w:numPr>
        <w:rPr>
          <w:rFonts w:ascii="Calibri" w:hAnsi="Calibri"/>
        </w:rPr>
      </w:pPr>
      <w:r w:rsidRPr="004C59FE">
        <w:rPr>
          <w:rFonts w:ascii="Calibri" w:hAnsi="Calibri"/>
        </w:rPr>
        <w:t>Junák – český skaut, 6. středisko Zlín, z. s.</w:t>
      </w:r>
    </w:p>
    <w:p w14:paraId="5C797623" w14:textId="77777777" w:rsidR="00BB4766" w:rsidRDefault="00BB4766" w:rsidP="00BB4766">
      <w:pPr>
        <w:pStyle w:val="Nadpis4"/>
      </w:pPr>
      <w:r>
        <w:t>Střední vzdělávání</w:t>
      </w:r>
    </w:p>
    <w:p w14:paraId="3AB5F2A9" w14:textId="5EF081D4" w:rsidR="00BB4766" w:rsidRDefault="00BB4766" w:rsidP="00BB4766">
      <w:r>
        <w:t xml:space="preserve">Na území města Zlín se nachází 7 středních škol, které jsou zřizované Zlínským krajem (viz </w:t>
      </w:r>
      <w:r w:rsidRPr="00064A26">
        <w:t>tabulka</w:t>
      </w:r>
      <w:r>
        <w:t xml:space="preserve"> </w:t>
      </w:r>
      <w:r w:rsidR="009D4735">
        <w:t>1.80</w:t>
      </w:r>
      <w:r w:rsidR="00094895">
        <w:t xml:space="preserve"> </w:t>
      </w:r>
      <w:r>
        <w:t>uvedená v příloze této kapitoly). Tyto školy mají celkovou kapacitu 5 630 míst, která je naplněna ze 78,3 % (školy celkem navštěvuje 4 411 žáků), jak</w:t>
      </w:r>
      <w:r w:rsidR="00094895">
        <w:t xml:space="preserve"> je uvedeno v </w:t>
      </w:r>
      <w:r>
        <w:t>tabulce</w:t>
      </w:r>
      <w:r w:rsidR="00122205">
        <w:t xml:space="preserve"> 1.42</w:t>
      </w:r>
      <w:r>
        <w:t xml:space="preserve">. Největší kapacitu mají Střední průmyslová škola Zlín (1 200 míst) a navštěvuji ji </w:t>
      </w:r>
      <w:r w:rsidRPr="000B1BC9">
        <w:t>889</w:t>
      </w:r>
      <w:r>
        <w:t xml:space="preserve"> a Střední průmyslová škola polytechnická - Centrum odborné přípravy Zlín (1 110), kterou navštěvuje </w:t>
      </w:r>
      <w:r w:rsidRPr="000B1BC9">
        <w:t>840</w:t>
      </w:r>
      <w:r>
        <w:t xml:space="preserve"> žáků. Počet žáků na této škole vzrostl od roku 2013/2014 o 279 žáků. Nejvíce žáků (</w:t>
      </w:r>
      <w:r w:rsidRPr="000B1BC9">
        <w:t>921</w:t>
      </w:r>
      <w:r>
        <w:t xml:space="preserve">) dochází na </w:t>
      </w:r>
      <w:r w:rsidRPr="000B1BC9">
        <w:t>Gymnázium Zlín - Lesní čtvrť</w:t>
      </w:r>
      <w:r>
        <w:t xml:space="preserve">. </w:t>
      </w:r>
    </w:p>
    <w:p w14:paraId="712AFDFB" w14:textId="39C2D7EB" w:rsidR="00BB4766" w:rsidRDefault="00BB4766" w:rsidP="00BB4766">
      <w:r>
        <w:t>Kapacita se na většině uvedených škol v</w:t>
      </w:r>
      <w:r w:rsidR="00094895">
        <w:t> </w:t>
      </w:r>
      <w:r>
        <w:t>tabulce</w:t>
      </w:r>
      <w:r w:rsidR="00602924">
        <w:t xml:space="preserve"> 1.80</w:t>
      </w:r>
      <w:r>
        <w:t xml:space="preserve"> v příloze za posledních 7 let nezměnila. Pouze na Střední zdravotnické</w:t>
      </w:r>
      <w:r w:rsidRPr="00C621D9">
        <w:t xml:space="preserve"> škol</w:t>
      </w:r>
      <w:r>
        <w:t xml:space="preserve">e se kapacita navýšila o 160 míst a bylo zde vytvořeno 5 tříd. Počet tříd se snížil od roku 2013/2014 na </w:t>
      </w:r>
      <w:r w:rsidRPr="00A25025">
        <w:t>Střední škol</w:t>
      </w:r>
      <w:r>
        <w:t>e</w:t>
      </w:r>
      <w:r w:rsidRPr="00A25025">
        <w:t xml:space="preserve"> gastronomie a obchodu Zlín</w:t>
      </w:r>
      <w:r>
        <w:t xml:space="preserve">, která za toto období zaznamenává pokles počtu žáků o 129 osob. </w:t>
      </w:r>
    </w:p>
    <w:p w14:paraId="195E760E" w14:textId="1C44DE1E" w:rsidR="00BB4766" w:rsidRDefault="00BB4766" w:rsidP="00BB4766">
      <w:pPr>
        <w:pStyle w:val="Titulek"/>
        <w:keepNext/>
        <w:keepLines/>
      </w:pPr>
      <w:bookmarkStart w:id="250" w:name="_Toc52885953"/>
      <w:bookmarkStart w:id="251" w:name="_Toc77074722"/>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42</w:t>
      </w:r>
      <w:r w:rsidR="00081B47">
        <w:rPr>
          <w:noProof/>
        </w:rPr>
        <w:fldChar w:fldCharType="end"/>
      </w:r>
      <w:r w:rsidR="00A76987">
        <w:rPr>
          <w:noProof/>
        </w:rPr>
        <w:t>:</w:t>
      </w:r>
      <w:r>
        <w:t xml:space="preserve"> Kapacita, počet tříd a počet dětí ve středních školách zřizovaných Zlínským krajem na území města Zlína za školní roky 2013/2014 - 2019/2020</w:t>
      </w:r>
      <w:bookmarkEnd w:id="250"/>
      <w:bookmarkEnd w:id="251"/>
    </w:p>
    <w:tbl>
      <w:tblPr>
        <w:tblW w:w="9036" w:type="dxa"/>
        <w:tblInd w:w="-5" w:type="dxa"/>
        <w:tblCellMar>
          <w:left w:w="70" w:type="dxa"/>
          <w:right w:w="70" w:type="dxa"/>
        </w:tblCellMar>
        <w:tblLook w:val="04A0" w:firstRow="1" w:lastRow="0" w:firstColumn="1" w:lastColumn="0" w:noHBand="0" w:noVBand="1"/>
      </w:tblPr>
      <w:tblGrid>
        <w:gridCol w:w="2676"/>
        <w:gridCol w:w="1272"/>
        <w:gridCol w:w="1272"/>
        <w:gridCol w:w="1272"/>
        <w:gridCol w:w="1272"/>
        <w:gridCol w:w="1272"/>
      </w:tblGrid>
      <w:tr w:rsidR="00BB4766" w:rsidRPr="00064A26" w14:paraId="36655673" w14:textId="77777777" w:rsidTr="000C49A5">
        <w:trPr>
          <w:trHeight w:val="703"/>
        </w:trPr>
        <w:tc>
          <w:tcPr>
            <w:tcW w:w="26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7E3B1E7" w14:textId="77777777" w:rsidR="00BB4766" w:rsidRPr="00064A26" w:rsidRDefault="00BB4766" w:rsidP="00BB4766">
            <w:pPr>
              <w:keepNext/>
              <w:spacing w:before="0"/>
              <w:jc w:val="center"/>
              <w:rPr>
                <w:rFonts w:ascii="Calibri" w:eastAsia="Times New Roman" w:hAnsi="Calibri" w:cs="Calibri"/>
                <w:b/>
                <w:bCs/>
                <w:sz w:val="18"/>
                <w:szCs w:val="18"/>
                <w:lang w:eastAsia="cs-CZ"/>
              </w:rPr>
            </w:pPr>
            <w:r w:rsidRPr="00064A26">
              <w:rPr>
                <w:rFonts w:ascii="Calibri" w:eastAsia="Times New Roman" w:hAnsi="Calibri" w:cs="Calibri"/>
                <w:b/>
                <w:bCs/>
                <w:sz w:val="18"/>
                <w:szCs w:val="18"/>
                <w:lang w:eastAsia="cs-CZ"/>
              </w:rPr>
              <w:t>Školní rok</w:t>
            </w:r>
          </w:p>
        </w:tc>
        <w:tc>
          <w:tcPr>
            <w:tcW w:w="1272" w:type="dxa"/>
            <w:tcBorders>
              <w:top w:val="single" w:sz="4" w:space="0" w:color="auto"/>
              <w:left w:val="nil"/>
              <w:bottom w:val="single" w:sz="4" w:space="0" w:color="auto"/>
              <w:right w:val="single" w:sz="4" w:space="0" w:color="auto"/>
            </w:tcBorders>
            <w:shd w:val="clear" w:color="000000" w:fill="F2F2F2"/>
            <w:vAlign w:val="center"/>
            <w:hideMark/>
          </w:tcPr>
          <w:p w14:paraId="552CDB4F" w14:textId="77777777" w:rsidR="00BB4766" w:rsidRPr="00064A26" w:rsidRDefault="00BB4766" w:rsidP="00BB4766">
            <w:pPr>
              <w:keepNext/>
              <w:spacing w:before="0"/>
              <w:jc w:val="center"/>
              <w:rPr>
                <w:rFonts w:ascii="Calibri" w:eastAsia="Times New Roman" w:hAnsi="Calibri" w:cs="Calibri"/>
                <w:b/>
                <w:bCs/>
                <w:sz w:val="18"/>
                <w:szCs w:val="18"/>
                <w:lang w:eastAsia="cs-CZ"/>
              </w:rPr>
            </w:pPr>
            <w:r w:rsidRPr="00064A26">
              <w:rPr>
                <w:rFonts w:ascii="Calibri" w:eastAsia="Times New Roman" w:hAnsi="Calibri" w:cs="Arial"/>
                <w:b/>
                <w:bCs/>
                <w:sz w:val="18"/>
                <w:szCs w:val="20"/>
                <w:lang w:eastAsia="cs-CZ"/>
              </w:rPr>
              <w:t>Kapacita</w:t>
            </w:r>
          </w:p>
        </w:tc>
        <w:tc>
          <w:tcPr>
            <w:tcW w:w="1272" w:type="dxa"/>
            <w:tcBorders>
              <w:top w:val="single" w:sz="4" w:space="0" w:color="auto"/>
              <w:left w:val="nil"/>
              <w:bottom w:val="single" w:sz="4" w:space="0" w:color="auto"/>
              <w:right w:val="single" w:sz="4" w:space="0" w:color="auto"/>
            </w:tcBorders>
            <w:shd w:val="clear" w:color="000000" w:fill="F2F2F2"/>
            <w:vAlign w:val="center"/>
            <w:hideMark/>
          </w:tcPr>
          <w:p w14:paraId="34E65139" w14:textId="77777777" w:rsidR="00BB4766" w:rsidRPr="00064A26" w:rsidRDefault="00BB4766" w:rsidP="00BB4766">
            <w:pPr>
              <w:keepNext/>
              <w:spacing w:before="0"/>
              <w:jc w:val="center"/>
              <w:rPr>
                <w:rFonts w:ascii="Calibri" w:eastAsia="Times New Roman" w:hAnsi="Calibri" w:cs="Calibri"/>
                <w:b/>
                <w:bCs/>
                <w:sz w:val="18"/>
                <w:szCs w:val="18"/>
                <w:lang w:eastAsia="cs-CZ"/>
              </w:rPr>
            </w:pPr>
            <w:r w:rsidRPr="00064A26">
              <w:rPr>
                <w:rFonts w:ascii="Calibri" w:eastAsia="Times New Roman" w:hAnsi="Calibri" w:cs="Arial"/>
                <w:b/>
                <w:bCs/>
                <w:sz w:val="18"/>
                <w:szCs w:val="20"/>
                <w:lang w:eastAsia="cs-CZ"/>
              </w:rPr>
              <w:t>Počet žáků v SŠ</w:t>
            </w:r>
          </w:p>
        </w:tc>
        <w:tc>
          <w:tcPr>
            <w:tcW w:w="1272" w:type="dxa"/>
            <w:tcBorders>
              <w:top w:val="single" w:sz="4" w:space="0" w:color="auto"/>
              <w:left w:val="nil"/>
              <w:bottom w:val="single" w:sz="4" w:space="0" w:color="auto"/>
              <w:right w:val="single" w:sz="4" w:space="0" w:color="auto"/>
            </w:tcBorders>
            <w:shd w:val="clear" w:color="000000" w:fill="F2F2F2"/>
            <w:vAlign w:val="center"/>
            <w:hideMark/>
          </w:tcPr>
          <w:p w14:paraId="02C6C44A" w14:textId="77777777" w:rsidR="00BB4766" w:rsidRPr="00064A26" w:rsidRDefault="00BB4766" w:rsidP="00BB4766">
            <w:pPr>
              <w:keepNext/>
              <w:spacing w:before="0"/>
              <w:jc w:val="center"/>
              <w:rPr>
                <w:rFonts w:ascii="Calibri" w:eastAsia="Times New Roman" w:hAnsi="Calibri" w:cs="Calibri"/>
                <w:b/>
                <w:bCs/>
                <w:sz w:val="18"/>
                <w:szCs w:val="18"/>
                <w:lang w:eastAsia="cs-CZ"/>
              </w:rPr>
            </w:pPr>
            <w:r w:rsidRPr="00064A26">
              <w:rPr>
                <w:rFonts w:ascii="Calibri" w:eastAsia="Times New Roman" w:hAnsi="Calibri" w:cs="Arial"/>
                <w:b/>
                <w:bCs/>
                <w:sz w:val="18"/>
                <w:szCs w:val="20"/>
                <w:lang w:eastAsia="cs-CZ"/>
              </w:rPr>
              <w:t>Počet žáků v SŠ</w:t>
            </w:r>
          </w:p>
        </w:tc>
        <w:tc>
          <w:tcPr>
            <w:tcW w:w="1272" w:type="dxa"/>
            <w:tcBorders>
              <w:top w:val="single" w:sz="4" w:space="0" w:color="auto"/>
              <w:left w:val="nil"/>
              <w:bottom w:val="single" w:sz="4" w:space="0" w:color="auto"/>
              <w:right w:val="single" w:sz="4" w:space="0" w:color="auto"/>
            </w:tcBorders>
            <w:shd w:val="clear" w:color="000000" w:fill="F2F2F2"/>
            <w:vAlign w:val="center"/>
            <w:hideMark/>
          </w:tcPr>
          <w:p w14:paraId="1E64F06D" w14:textId="77777777" w:rsidR="00BB4766" w:rsidRPr="00064A26" w:rsidRDefault="00BB4766" w:rsidP="00BB4766">
            <w:pPr>
              <w:keepNext/>
              <w:spacing w:before="0"/>
              <w:jc w:val="center"/>
              <w:rPr>
                <w:rFonts w:ascii="Calibri" w:eastAsia="Times New Roman" w:hAnsi="Calibri" w:cs="Calibri"/>
                <w:b/>
                <w:bCs/>
                <w:sz w:val="18"/>
                <w:szCs w:val="18"/>
                <w:lang w:eastAsia="cs-CZ"/>
              </w:rPr>
            </w:pPr>
            <w:r>
              <w:rPr>
                <w:rFonts w:ascii="Calibri" w:eastAsia="Times New Roman" w:hAnsi="Calibri" w:cs="Arial"/>
                <w:b/>
                <w:bCs/>
                <w:sz w:val="18"/>
                <w:szCs w:val="20"/>
                <w:lang w:eastAsia="cs-CZ"/>
              </w:rPr>
              <w:t>Průměrný počet žáků</w:t>
            </w:r>
            <w:r w:rsidRPr="00064A26">
              <w:rPr>
                <w:rFonts w:ascii="Calibri" w:eastAsia="Times New Roman" w:hAnsi="Calibri" w:cs="Arial"/>
                <w:b/>
                <w:bCs/>
                <w:sz w:val="18"/>
                <w:szCs w:val="20"/>
                <w:lang w:eastAsia="cs-CZ"/>
              </w:rPr>
              <w:t xml:space="preserve"> ve třídě</w:t>
            </w:r>
          </w:p>
        </w:tc>
        <w:tc>
          <w:tcPr>
            <w:tcW w:w="1272" w:type="dxa"/>
            <w:tcBorders>
              <w:top w:val="single" w:sz="4" w:space="0" w:color="auto"/>
              <w:left w:val="nil"/>
              <w:bottom w:val="single" w:sz="4" w:space="0" w:color="auto"/>
              <w:right w:val="single" w:sz="4" w:space="0" w:color="auto"/>
            </w:tcBorders>
            <w:shd w:val="clear" w:color="000000" w:fill="F2F2F2"/>
            <w:vAlign w:val="center"/>
            <w:hideMark/>
          </w:tcPr>
          <w:p w14:paraId="21683927" w14:textId="77777777" w:rsidR="00BB4766" w:rsidRPr="00064A26" w:rsidRDefault="00BB4766" w:rsidP="00BB4766">
            <w:pPr>
              <w:keepNext/>
              <w:spacing w:before="0"/>
              <w:jc w:val="center"/>
              <w:rPr>
                <w:rFonts w:ascii="Calibri" w:eastAsia="Times New Roman" w:hAnsi="Calibri" w:cs="Calibri"/>
                <w:b/>
                <w:bCs/>
                <w:sz w:val="18"/>
                <w:szCs w:val="18"/>
                <w:lang w:eastAsia="cs-CZ"/>
              </w:rPr>
            </w:pPr>
            <w:r w:rsidRPr="00064A26">
              <w:rPr>
                <w:rFonts w:ascii="Calibri" w:eastAsia="Times New Roman" w:hAnsi="Calibri" w:cs="Arial"/>
                <w:b/>
                <w:bCs/>
                <w:sz w:val="18"/>
                <w:szCs w:val="20"/>
                <w:lang w:eastAsia="cs-CZ"/>
              </w:rPr>
              <w:t>Celková vytíženost %</w:t>
            </w:r>
          </w:p>
        </w:tc>
      </w:tr>
      <w:tr w:rsidR="00BB4766" w:rsidRPr="00064A26" w14:paraId="2182F691"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68B245FA"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Arial"/>
                <w:sz w:val="18"/>
                <w:szCs w:val="20"/>
                <w:lang w:eastAsia="cs-CZ"/>
              </w:rPr>
              <w:t>2013/14</w:t>
            </w:r>
          </w:p>
        </w:tc>
        <w:tc>
          <w:tcPr>
            <w:tcW w:w="127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1A337D9C"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5470</w:t>
            </w:r>
          </w:p>
        </w:tc>
        <w:tc>
          <w:tcPr>
            <w:tcW w:w="1272" w:type="dxa"/>
            <w:tcBorders>
              <w:top w:val="single" w:sz="4" w:space="0" w:color="auto"/>
              <w:left w:val="single" w:sz="4" w:space="0" w:color="auto"/>
              <w:bottom w:val="single" w:sz="4" w:space="0" w:color="auto"/>
              <w:right w:val="single" w:sz="4" w:space="0" w:color="auto"/>
            </w:tcBorders>
            <w:shd w:val="clear" w:color="000000" w:fill="8BADD7"/>
            <w:noWrap/>
            <w:vAlign w:val="bottom"/>
            <w:hideMark/>
          </w:tcPr>
          <w:p w14:paraId="446691D4"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4150</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DF548C9"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164</w:t>
            </w:r>
          </w:p>
        </w:tc>
        <w:tc>
          <w:tcPr>
            <w:tcW w:w="1272" w:type="dxa"/>
            <w:tcBorders>
              <w:top w:val="single" w:sz="4" w:space="0" w:color="auto"/>
              <w:left w:val="single" w:sz="4" w:space="0" w:color="auto"/>
              <w:bottom w:val="single" w:sz="4" w:space="0" w:color="auto"/>
              <w:right w:val="single" w:sz="4" w:space="0" w:color="auto"/>
            </w:tcBorders>
            <w:shd w:val="clear" w:color="000000" w:fill="6290C9"/>
            <w:noWrap/>
            <w:vAlign w:val="bottom"/>
            <w:hideMark/>
          </w:tcPr>
          <w:p w14:paraId="35F60789"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25,3</w:t>
            </w:r>
          </w:p>
        </w:tc>
        <w:tc>
          <w:tcPr>
            <w:tcW w:w="1272" w:type="dxa"/>
            <w:tcBorders>
              <w:top w:val="single" w:sz="4" w:space="0" w:color="auto"/>
              <w:left w:val="single" w:sz="4" w:space="0" w:color="auto"/>
              <w:bottom w:val="single" w:sz="4" w:space="0" w:color="auto"/>
              <w:right w:val="single" w:sz="4" w:space="0" w:color="auto"/>
            </w:tcBorders>
            <w:shd w:val="clear" w:color="000000" w:fill="EEF2FA"/>
            <w:noWrap/>
            <w:vAlign w:val="bottom"/>
            <w:hideMark/>
          </w:tcPr>
          <w:p w14:paraId="3A8BD54E"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75,9</w:t>
            </w:r>
          </w:p>
        </w:tc>
      </w:tr>
      <w:tr w:rsidR="00BB4766" w:rsidRPr="00064A26" w14:paraId="5D0F0768"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3839DB5D"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Arial"/>
                <w:sz w:val="18"/>
                <w:szCs w:val="20"/>
                <w:lang w:eastAsia="cs-CZ"/>
              </w:rPr>
              <w:t>2014/15</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EA14B97"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5545</w:t>
            </w:r>
          </w:p>
        </w:tc>
        <w:tc>
          <w:tcPr>
            <w:tcW w:w="127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CDD9A4D"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4121</w:t>
            </w:r>
          </w:p>
        </w:tc>
        <w:tc>
          <w:tcPr>
            <w:tcW w:w="127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4C754986"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163</w:t>
            </w:r>
          </w:p>
        </w:tc>
        <w:tc>
          <w:tcPr>
            <w:tcW w:w="127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4A927372"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25,3</w:t>
            </w:r>
          </w:p>
        </w:tc>
        <w:tc>
          <w:tcPr>
            <w:tcW w:w="127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6F63A71D"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74,3</w:t>
            </w:r>
          </w:p>
        </w:tc>
      </w:tr>
      <w:tr w:rsidR="00BB4766" w:rsidRPr="00064A26" w14:paraId="1FD5C817"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249C14FF"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Arial"/>
                <w:sz w:val="18"/>
                <w:szCs w:val="20"/>
                <w:lang w:eastAsia="cs-CZ"/>
              </w:rPr>
              <w:t>2015/16</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2DE49EA"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5545</w:t>
            </w:r>
          </w:p>
        </w:tc>
        <w:tc>
          <w:tcPr>
            <w:tcW w:w="1272" w:type="dxa"/>
            <w:tcBorders>
              <w:top w:val="single" w:sz="4" w:space="0" w:color="auto"/>
              <w:left w:val="single" w:sz="4" w:space="0" w:color="auto"/>
              <w:bottom w:val="single" w:sz="4" w:space="0" w:color="auto"/>
              <w:right w:val="single" w:sz="4" w:space="0" w:color="auto"/>
            </w:tcBorders>
            <w:shd w:val="clear" w:color="000000" w:fill="B5CAE6"/>
            <w:noWrap/>
            <w:vAlign w:val="bottom"/>
            <w:hideMark/>
          </w:tcPr>
          <w:p w14:paraId="74C65039"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4174</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700A014"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164</w:t>
            </w:r>
          </w:p>
        </w:tc>
        <w:tc>
          <w:tcPr>
            <w:tcW w:w="1272" w:type="dxa"/>
            <w:tcBorders>
              <w:top w:val="single" w:sz="4" w:space="0" w:color="auto"/>
              <w:left w:val="single" w:sz="4" w:space="0" w:color="auto"/>
              <w:bottom w:val="single" w:sz="4" w:space="0" w:color="auto"/>
              <w:right w:val="single" w:sz="4" w:space="0" w:color="auto"/>
            </w:tcBorders>
            <w:shd w:val="clear" w:color="000000" w:fill="9BB7DC"/>
            <w:noWrap/>
            <w:vAlign w:val="bottom"/>
            <w:hideMark/>
          </w:tcPr>
          <w:p w14:paraId="6E0A0564"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25,5</w:t>
            </w:r>
          </w:p>
        </w:tc>
        <w:tc>
          <w:tcPr>
            <w:tcW w:w="1272" w:type="dxa"/>
            <w:tcBorders>
              <w:top w:val="single" w:sz="4" w:space="0" w:color="auto"/>
              <w:left w:val="single" w:sz="4" w:space="0" w:color="auto"/>
              <w:bottom w:val="single" w:sz="4" w:space="0" w:color="auto"/>
              <w:right w:val="single" w:sz="4" w:space="0" w:color="auto"/>
            </w:tcBorders>
            <w:shd w:val="clear" w:color="000000" w:fill="B5CAE6"/>
            <w:noWrap/>
            <w:vAlign w:val="bottom"/>
            <w:hideMark/>
          </w:tcPr>
          <w:p w14:paraId="117DBD59"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75,3</w:t>
            </w:r>
          </w:p>
        </w:tc>
      </w:tr>
      <w:tr w:rsidR="00BB4766" w:rsidRPr="00064A26" w14:paraId="3C898F8C"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6769DC24"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Arial"/>
                <w:sz w:val="18"/>
                <w:szCs w:val="20"/>
                <w:lang w:eastAsia="cs-CZ"/>
              </w:rPr>
              <w:t>2016/17</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32F3D59"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5545</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6516B3B"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4215</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C8B7F7E"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164</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EA6BC12"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25,7</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D89DA53"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76,0</w:t>
            </w:r>
          </w:p>
        </w:tc>
      </w:tr>
      <w:tr w:rsidR="00BB4766" w:rsidRPr="00064A26" w14:paraId="7278E81D"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0454CF32"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Arial"/>
                <w:sz w:val="18"/>
                <w:szCs w:val="20"/>
                <w:lang w:eastAsia="cs-CZ"/>
              </w:rPr>
              <w:t>2017/18</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49D62C4"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5545</w:t>
            </w:r>
          </w:p>
        </w:tc>
        <w:tc>
          <w:tcPr>
            <w:tcW w:w="1272" w:type="dxa"/>
            <w:tcBorders>
              <w:top w:val="single" w:sz="4" w:space="0" w:color="auto"/>
              <w:left w:val="single" w:sz="4" w:space="0" w:color="auto"/>
              <w:bottom w:val="single" w:sz="4" w:space="0" w:color="auto"/>
              <w:right w:val="single" w:sz="4" w:space="0" w:color="auto"/>
            </w:tcBorders>
            <w:shd w:val="clear" w:color="000000" w:fill="FCE5E8"/>
            <w:noWrap/>
            <w:vAlign w:val="bottom"/>
            <w:hideMark/>
          </w:tcPr>
          <w:p w14:paraId="64E2DC7B"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4246</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E314E5F"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164</w:t>
            </w:r>
          </w:p>
        </w:tc>
        <w:tc>
          <w:tcPr>
            <w:tcW w:w="1272" w:type="dxa"/>
            <w:tcBorders>
              <w:top w:val="single" w:sz="4" w:space="0" w:color="auto"/>
              <w:left w:val="single" w:sz="4" w:space="0" w:color="auto"/>
              <w:bottom w:val="single" w:sz="4" w:space="0" w:color="auto"/>
              <w:right w:val="single" w:sz="4" w:space="0" w:color="auto"/>
            </w:tcBorders>
            <w:shd w:val="clear" w:color="000000" w:fill="FBD5D8"/>
            <w:noWrap/>
            <w:vAlign w:val="bottom"/>
            <w:hideMark/>
          </w:tcPr>
          <w:p w14:paraId="74987DBB"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25,9</w:t>
            </w:r>
          </w:p>
        </w:tc>
        <w:tc>
          <w:tcPr>
            <w:tcW w:w="1272" w:type="dxa"/>
            <w:tcBorders>
              <w:top w:val="single" w:sz="4" w:space="0" w:color="auto"/>
              <w:left w:val="single" w:sz="4" w:space="0" w:color="auto"/>
              <w:bottom w:val="single" w:sz="4" w:space="0" w:color="auto"/>
              <w:right w:val="single" w:sz="4" w:space="0" w:color="auto"/>
            </w:tcBorders>
            <w:shd w:val="clear" w:color="000000" w:fill="FCD9DC"/>
            <w:noWrap/>
            <w:vAlign w:val="bottom"/>
            <w:hideMark/>
          </w:tcPr>
          <w:p w14:paraId="191C6C71"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76,6</w:t>
            </w:r>
          </w:p>
        </w:tc>
      </w:tr>
      <w:tr w:rsidR="00BB4766" w:rsidRPr="00064A26" w14:paraId="05A91374"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236DA22A"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Arial"/>
                <w:sz w:val="18"/>
                <w:szCs w:val="20"/>
                <w:lang w:eastAsia="cs-CZ"/>
              </w:rPr>
              <w:t>2018/19</w:t>
            </w:r>
          </w:p>
        </w:tc>
        <w:tc>
          <w:tcPr>
            <w:tcW w:w="127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FF2E206"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5630</w:t>
            </w:r>
          </w:p>
        </w:tc>
        <w:tc>
          <w:tcPr>
            <w:tcW w:w="1272" w:type="dxa"/>
            <w:tcBorders>
              <w:top w:val="single" w:sz="4" w:space="0" w:color="auto"/>
              <w:left w:val="single" w:sz="4" w:space="0" w:color="auto"/>
              <w:bottom w:val="single" w:sz="4" w:space="0" w:color="auto"/>
              <w:right w:val="single" w:sz="4" w:space="0" w:color="auto"/>
            </w:tcBorders>
            <w:shd w:val="clear" w:color="000000" w:fill="FBB6B9"/>
            <w:noWrap/>
            <w:vAlign w:val="bottom"/>
            <w:hideMark/>
          </w:tcPr>
          <w:p w14:paraId="63D5E5EE"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4309</w:t>
            </w:r>
          </w:p>
        </w:tc>
        <w:tc>
          <w:tcPr>
            <w:tcW w:w="12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FE2CEED"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164</w:t>
            </w:r>
          </w:p>
        </w:tc>
        <w:tc>
          <w:tcPr>
            <w:tcW w:w="1272" w:type="dxa"/>
            <w:tcBorders>
              <w:top w:val="single" w:sz="4" w:space="0" w:color="auto"/>
              <w:left w:val="single" w:sz="4" w:space="0" w:color="auto"/>
              <w:bottom w:val="single" w:sz="4" w:space="0" w:color="auto"/>
              <w:right w:val="single" w:sz="4" w:space="0" w:color="auto"/>
            </w:tcBorders>
            <w:shd w:val="clear" w:color="000000" w:fill="F98688"/>
            <w:noWrap/>
            <w:vAlign w:val="bottom"/>
            <w:hideMark/>
          </w:tcPr>
          <w:p w14:paraId="5B29306A"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26,3</w:t>
            </w:r>
          </w:p>
        </w:tc>
        <w:tc>
          <w:tcPr>
            <w:tcW w:w="1272" w:type="dxa"/>
            <w:tcBorders>
              <w:top w:val="single" w:sz="4" w:space="0" w:color="auto"/>
              <w:left w:val="single" w:sz="4" w:space="0" w:color="auto"/>
              <w:bottom w:val="single" w:sz="4" w:space="0" w:color="auto"/>
              <w:right w:val="single" w:sz="4" w:space="0" w:color="auto"/>
            </w:tcBorders>
            <w:shd w:val="clear" w:color="000000" w:fill="FCDCDE"/>
            <w:noWrap/>
            <w:vAlign w:val="bottom"/>
            <w:hideMark/>
          </w:tcPr>
          <w:p w14:paraId="563335F0"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76,5</w:t>
            </w:r>
          </w:p>
        </w:tc>
      </w:tr>
      <w:tr w:rsidR="00BB4766" w:rsidRPr="00064A26" w14:paraId="0E957A4E"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425C05C2"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Arial"/>
                <w:sz w:val="18"/>
                <w:szCs w:val="20"/>
                <w:lang w:eastAsia="cs-CZ"/>
              </w:rPr>
              <w:t>2019/20</w:t>
            </w:r>
          </w:p>
        </w:tc>
        <w:tc>
          <w:tcPr>
            <w:tcW w:w="127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F55BB4A"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5630</w:t>
            </w:r>
          </w:p>
        </w:tc>
        <w:tc>
          <w:tcPr>
            <w:tcW w:w="127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6FF0196"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4411</w:t>
            </w:r>
          </w:p>
        </w:tc>
        <w:tc>
          <w:tcPr>
            <w:tcW w:w="127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FECD36D"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167</w:t>
            </w:r>
          </w:p>
        </w:tc>
        <w:tc>
          <w:tcPr>
            <w:tcW w:w="127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B77C0DC"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26,4</w:t>
            </w:r>
          </w:p>
        </w:tc>
        <w:tc>
          <w:tcPr>
            <w:tcW w:w="127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C2E7D9B" w14:textId="77777777"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78,3</w:t>
            </w:r>
          </w:p>
        </w:tc>
      </w:tr>
      <w:tr w:rsidR="00BB4766" w:rsidRPr="00064A26" w14:paraId="327E8072" w14:textId="77777777" w:rsidTr="000C49A5">
        <w:trPr>
          <w:trHeight w:val="293"/>
        </w:trPr>
        <w:tc>
          <w:tcPr>
            <w:tcW w:w="2676" w:type="dxa"/>
            <w:tcBorders>
              <w:top w:val="nil"/>
              <w:left w:val="single" w:sz="4" w:space="0" w:color="auto"/>
              <w:bottom w:val="single" w:sz="4" w:space="0" w:color="auto"/>
              <w:right w:val="single" w:sz="4" w:space="0" w:color="auto"/>
            </w:tcBorders>
            <w:shd w:val="clear" w:color="auto" w:fill="auto"/>
            <w:noWrap/>
            <w:vAlign w:val="center"/>
            <w:hideMark/>
          </w:tcPr>
          <w:p w14:paraId="1781B165" w14:textId="77777777" w:rsidR="00BB4766" w:rsidRPr="00064A26" w:rsidRDefault="00BB4766" w:rsidP="00BB4766">
            <w:pPr>
              <w:keepNext/>
              <w:spacing w:before="0"/>
              <w:jc w:val="lef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Index změny 2019/2013</w:t>
            </w:r>
          </w:p>
        </w:tc>
        <w:tc>
          <w:tcPr>
            <w:tcW w:w="1272" w:type="dxa"/>
            <w:tcBorders>
              <w:top w:val="nil"/>
              <w:left w:val="nil"/>
              <w:bottom w:val="single" w:sz="4" w:space="0" w:color="auto"/>
              <w:right w:val="single" w:sz="4" w:space="0" w:color="auto"/>
            </w:tcBorders>
            <w:shd w:val="clear" w:color="auto" w:fill="auto"/>
            <w:noWrap/>
            <w:vAlign w:val="bottom"/>
            <w:hideMark/>
          </w:tcPr>
          <w:p w14:paraId="657F25DD" w14:textId="562934CF"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102,93</w:t>
            </w:r>
            <w:r w:rsidR="00A76987">
              <w:rPr>
                <w:rFonts w:ascii="Calibri" w:eastAsia="Times New Roman" w:hAnsi="Calibri" w:cs="Calibri"/>
                <w:sz w:val="18"/>
                <w:szCs w:val="18"/>
                <w:lang w:eastAsia="cs-CZ"/>
              </w:rPr>
              <w:t xml:space="preserve"> </w:t>
            </w:r>
            <w:r w:rsidRPr="00064A26">
              <w:rPr>
                <w:rFonts w:ascii="Calibri" w:eastAsia="Times New Roman" w:hAnsi="Calibri" w:cs="Calibri"/>
                <w:sz w:val="18"/>
                <w:szCs w:val="18"/>
                <w:lang w:eastAsia="cs-CZ"/>
              </w:rPr>
              <w:t>%</w:t>
            </w:r>
          </w:p>
        </w:tc>
        <w:tc>
          <w:tcPr>
            <w:tcW w:w="1272" w:type="dxa"/>
            <w:tcBorders>
              <w:top w:val="nil"/>
              <w:left w:val="nil"/>
              <w:bottom w:val="single" w:sz="4" w:space="0" w:color="auto"/>
              <w:right w:val="single" w:sz="4" w:space="0" w:color="auto"/>
            </w:tcBorders>
            <w:shd w:val="clear" w:color="auto" w:fill="auto"/>
            <w:noWrap/>
            <w:vAlign w:val="bottom"/>
            <w:hideMark/>
          </w:tcPr>
          <w:p w14:paraId="59DC75A3" w14:textId="05DBBAA6"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106,29</w:t>
            </w:r>
            <w:r w:rsidR="00A76987">
              <w:rPr>
                <w:rFonts w:ascii="Calibri" w:eastAsia="Times New Roman" w:hAnsi="Calibri" w:cs="Calibri"/>
                <w:sz w:val="18"/>
                <w:szCs w:val="18"/>
                <w:lang w:eastAsia="cs-CZ"/>
              </w:rPr>
              <w:t xml:space="preserve"> </w:t>
            </w:r>
            <w:r w:rsidRPr="00064A26">
              <w:rPr>
                <w:rFonts w:ascii="Calibri" w:eastAsia="Times New Roman" w:hAnsi="Calibri" w:cs="Calibri"/>
                <w:sz w:val="18"/>
                <w:szCs w:val="18"/>
                <w:lang w:eastAsia="cs-CZ"/>
              </w:rPr>
              <w:t>%</w:t>
            </w:r>
          </w:p>
        </w:tc>
        <w:tc>
          <w:tcPr>
            <w:tcW w:w="1272" w:type="dxa"/>
            <w:tcBorders>
              <w:top w:val="nil"/>
              <w:left w:val="nil"/>
              <w:bottom w:val="single" w:sz="4" w:space="0" w:color="auto"/>
              <w:right w:val="single" w:sz="4" w:space="0" w:color="auto"/>
            </w:tcBorders>
            <w:shd w:val="clear" w:color="auto" w:fill="auto"/>
            <w:noWrap/>
            <w:vAlign w:val="bottom"/>
            <w:hideMark/>
          </w:tcPr>
          <w:p w14:paraId="7999CCB2" w14:textId="599436CA" w:rsidR="00BB4766" w:rsidRPr="00064A26" w:rsidRDefault="00BB4766" w:rsidP="00BB4766">
            <w:pPr>
              <w:keepNext/>
              <w:spacing w:before="0"/>
              <w:jc w:val="right"/>
              <w:rPr>
                <w:rFonts w:ascii="Calibri" w:eastAsia="Times New Roman" w:hAnsi="Calibri" w:cs="Calibri"/>
                <w:sz w:val="18"/>
                <w:szCs w:val="18"/>
                <w:lang w:eastAsia="cs-CZ"/>
              </w:rPr>
            </w:pPr>
            <w:r w:rsidRPr="00064A26">
              <w:rPr>
                <w:rFonts w:ascii="Calibri" w:eastAsia="Times New Roman" w:hAnsi="Calibri" w:cs="Calibri"/>
                <w:sz w:val="18"/>
                <w:szCs w:val="18"/>
                <w:lang w:eastAsia="cs-CZ"/>
              </w:rPr>
              <w:t>101,83</w:t>
            </w:r>
            <w:r w:rsidR="00A76987">
              <w:rPr>
                <w:rFonts w:ascii="Calibri" w:eastAsia="Times New Roman" w:hAnsi="Calibri" w:cs="Calibri"/>
                <w:sz w:val="18"/>
                <w:szCs w:val="18"/>
                <w:lang w:eastAsia="cs-CZ"/>
              </w:rPr>
              <w:t xml:space="preserve"> </w:t>
            </w:r>
            <w:r w:rsidRPr="00064A26">
              <w:rPr>
                <w:rFonts w:ascii="Calibri" w:eastAsia="Times New Roman" w:hAnsi="Calibri" w:cs="Calibri"/>
                <w:sz w:val="18"/>
                <w:szCs w:val="18"/>
                <w:lang w:eastAsia="cs-CZ"/>
              </w:rPr>
              <w:t>%</w:t>
            </w:r>
          </w:p>
        </w:tc>
        <w:tc>
          <w:tcPr>
            <w:tcW w:w="1272" w:type="dxa"/>
            <w:tcBorders>
              <w:top w:val="nil"/>
              <w:left w:val="nil"/>
              <w:bottom w:val="single" w:sz="4" w:space="0" w:color="auto"/>
              <w:right w:val="single" w:sz="4" w:space="0" w:color="auto"/>
            </w:tcBorders>
            <w:shd w:val="clear" w:color="auto" w:fill="auto"/>
            <w:noWrap/>
            <w:vAlign w:val="bottom"/>
            <w:hideMark/>
          </w:tcPr>
          <w:p w14:paraId="1C4ECABE" w14:textId="77777777" w:rsidR="00BB4766" w:rsidRPr="00064A26" w:rsidRDefault="00BB4766" w:rsidP="00BB4766">
            <w:pPr>
              <w:keepNext/>
              <w:spacing w:before="0"/>
              <w:jc w:val="right"/>
              <w:rPr>
                <w:rFonts w:ascii="Calibri" w:eastAsia="Times New Roman" w:hAnsi="Calibri" w:cs="Calibri"/>
                <w:color w:val="000000"/>
                <w:lang w:eastAsia="cs-CZ"/>
              </w:rPr>
            </w:pPr>
            <w:r w:rsidRPr="00064A26">
              <w:rPr>
                <w:rFonts w:ascii="Calibri" w:eastAsia="Times New Roman" w:hAnsi="Calibri" w:cs="Calibri"/>
                <w:color w:val="000000"/>
                <w:lang w:eastAsia="cs-CZ"/>
              </w:rPr>
              <w:t>-</w:t>
            </w:r>
          </w:p>
        </w:tc>
        <w:tc>
          <w:tcPr>
            <w:tcW w:w="1272" w:type="dxa"/>
            <w:tcBorders>
              <w:top w:val="nil"/>
              <w:left w:val="nil"/>
              <w:bottom w:val="single" w:sz="4" w:space="0" w:color="auto"/>
              <w:right w:val="single" w:sz="4" w:space="0" w:color="auto"/>
            </w:tcBorders>
            <w:shd w:val="clear" w:color="auto" w:fill="auto"/>
            <w:noWrap/>
            <w:vAlign w:val="bottom"/>
            <w:hideMark/>
          </w:tcPr>
          <w:p w14:paraId="15C49B17" w14:textId="77777777" w:rsidR="00BB4766" w:rsidRPr="00064A26" w:rsidRDefault="00BB4766" w:rsidP="00BB4766">
            <w:pPr>
              <w:keepNext/>
              <w:spacing w:before="0"/>
              <w:jc w:val="right"/>
              <w:rPr>
                <w:rFonts w:ascii="Calibri" w:eastAsia="Times New Roman" w:hAnsi="Calibri" w:cs="Calibri"/>
                <w:color w:val="000000"/>
                <w:lang w:eastAsia="cs-CZ"/>
              </w:rPr>
            </w:pPr>
            <w:r w:rsidRPr="00064A26">
              <w:rPr>
                <w:rFonts w:ascii="Calibri" w:eastAsia="Times New Roman" w:hAnsi="Calibri" w:cs="Calibri"/>
                <w:color w:val="000000"/>
                <w:lang w:eastAsia="cs-CZ"/>
              </w:rPr>
              <w:t>-</w:t>
            </w:r>
          </w:p>
        </w:tc>
      </w:tr>
    </w:tbl>
    <w:p w14:paraId="3A126D02" w14:textId="44195689" w:rsidR="00BB4766" w:rsidRPr="00817B9D" w:rsidRDefault="00BB4766" w:rsidP="00BB4766">
      <w:pPr>
        <w:rPr>
          <w:rFonts w:eastAsia="Times New Roman" w:cs="Times New Roman"/>
          <w:i/>
          <w:sz w:val="18"/>
          <w:szCs w:val="24"/>
          <w:lang w:eastAsia="cs-CZ"/>
        </w:rPr>
      </w:pPr>
      <w:r w:rsidRPr="00817B9D">
        <w:rPr>
          <w:rFonts w:eastAsia="Times New Roman" w:cs="Times New Roman"/>
          <w:i/>
          <w:sz w:val="18"/>
          <w:szCs w:val="24"/>
          <w:lang w:eastAsia="cs-CZ"/>
        </w:rPr>
        <w:t>Zdroj: SMZ, Odbor školství, mládeže a sportu, Krajský úřad Zlínského kraje, k 1.</w:t>
      </w:r>
      <w:r w:rsidR="00A76987">
        <w:rPr>
          <w:rFonts w:eastAsia="Times New Roman" w:cs="Times New Roman"/>
          <w:i/>
          <w:sz w:val="18"/>
          <w:szCs w:val="24"/>
          <w:lang w:eastAsia="cs-CZ"/>
        </w:rPr>
        <w:t xml:space="preserve"> </w:t>
      </w:r>
      <w:r w:rsidRPr="00817B9D">
        <w:rPr>
          <w:rFonts w:eastAsia="Times New Roman" w:cs="Times New Roman"/>
          <w:i/>
          <w:sz w:val="18"/>
          <w:szCs w:val="24"/>
          <w:lang w:eastAsia="cs-CZ"/>
        </w:rPr>
        <w:t>7.</w:t>
      </w:r>
      <w:r w:rsidR="00A76987">
        <w:rPr>
          <w:rFonts w:eastAsia="Times New Roman" w:cs="Times New Roman"/>
          <w:i/>
          <w:sz w:val="18"/>
          <w:szCs w:val="24"/>
          <w:lang w:eastAsia="cs-CZ"/>
        </w:rPr>
        <w:t xml:space="preserve"> </w:t>
      </w:r>
      <w:r w:rsidRPr="00817B9D">
        <w:rPr>
          <w:rFonts w:eastAsia="Times New Roman" w:cs="Times New Roman"/>
          <w:i/>
          <w:sz w:val="18"/>
          <w:szCs w:val="24"/>
          <w:lang w:eastAsia="cs-CZ"/>
        </w:rPr>
        <w:t>2020</w:t>
      </w:r>
      <w:r w:rsidR="00A76987">
        <w:rPr>
          <w:rFonts w:eastAsia="Times New Roman" w:cs="Times New Roman"/>
          <w:i/>
          <w:sz w:val="18"/>
          <w:szCs w:val="24"/>
          <w:lang w:eastAsia="cs-CZ"/>
        </w:rPr>
        <w:t>.</w:t>
      </w:r>
    </w:p>
    <w:p w14:paraId="6FECA62A" w14:textId="77777777" w:rsidR="00BB4766" w:rsidRDefault="00BB4766" w:rsidP="00BB4766">
      <w:r>
        <w:t xml:space="preserve">V Dlouhodobém záměru vzdělávání a rozvoje vzdělávací soustavy Zlínského kraje 2020 je uvedena prognóza </w:t>
      </w:r>
      <w:r w:rsidRPr="00F46431">
        <w:t>počtu obyvatel Zlínského kraje (bez migrace) ve věkové skupině 15 – 18 letých</w:t>
      </w:r>
      <w:r>
        <w:t xml:space="preserve">, která poukazuje na prudký nárůst počtu osob – potenciálních žáků středních škol do roku 2025. Je tedy v tomto období předpokládaný </w:t>
      </w:r>
      <w:r w:rsidRPr="00F46431">
        <w:t xml:space="preserve">nárůst počtu žádostí o přijetí do studia. Následně se předpokládá pokles počtu osob ve věkové skupině 15 – 18 let. </w:t>
      </w:r>
    </w:p>
    <w:p w14:paraId="64AF7B30" w14:textId="56A0BAF4" w:rsidR="00BB4766" w:rsidRDefault="00BB4766" w:rsidP="00BB4766">
      <w:r>
        <w:t>Přehled dalších škol jiných zřizovatelů, které ve městě Zlíně poskytují středoškolské vzdělání, je uveden v</w:t>
      </w:r>
      <w:r w:rsidR="00094895">
        <w:t> </w:t>
      </w:r>
      <w:r>
        <w:t>tabulce</w:t>
      </w:r>
      <w:r w:rsidR="009D4735">
        <w:t xml:space="preserve"> 1.43</w:t>
      </w:r>
      <w:r>
        <w:t>.</w:t>
      </w:r>
    </w:p>
    <w:p w14:paraId="3B15C9DD" w14:textId="12CC0AD7" w:rsidR="00BB4766" w:rsidRDefault="00BB4766" w:rsidP="00BB4766">
      <w:pPr>
        <w:pStyle w:val="Titulek"/>
      </w:pPr>
      <w:bookmarkStart w:id="252" w:name="_Toc52885954"/>
      <w:bookmarkStart w:id="253" w:name="_Toc7707472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43</w:t>
      </w:r>
      <w:r w:rsidR="00081B47">
        <w:rPr>
          <w:noProof/>
        </w:rPr>
        <w:fldChar w:fldCharType="end"/>
      </w:r>
      <w:r w:rsidR="00A76987">
        <w:rPr>
          <w:noProof/>
        </w:rPr>
        <w:t>:</w:t>
      </w:r>
      <w:r w:rsidRPr="00A9641D">
        <w:t xml:space="preserve"> </w:t>
      </w:r>
      <w:r>
        <w:t>Přehled středních škol jiných zřizovatelů, působících na území města Zlína</w:t>
      </w:r>
      <w:bookmarkEnd w:id="252"/>
      <w:bookmarkEnd w:id="253"/>
    </w:p>
    <w:tbl>
      <w:tblPr>
        <w:tblW w:w="9000" w:type="dxa"/>
        <w:jc w:val="center"/>
        <w:tblLayout w:type="fixed"/>
        <w:tblCellMar>
          <w:left w:w="70" w:type="dxa"/>
          <w:right w:w="70" w:type="dxa"/>
        </w:tblCellMar>
        <w:tblLook w:val="0000" w:firstRow="0" w:lastRow="0" w:firstColumn="0" w:lastColumn="0" w:noHBand="0" w:noVBand="0"/>
      </w:tblPr>
      <w:tblGrid>
        <w:gridCol w:w="4526"/>
        <w:gridCol w:w="3119"/>
        <w:gridCol w:w="1355"/>
      </w:tblGrid>
      <w:tr w:rsidR="00BB4766" w:rsidRPr="00A9641D" w14:paraId="1212F06B" w14:textId="77777777" w:rsidTr="000C49A5">
        <w:trPr>
          <w:trHeight w:val="162"/>
          <w:jc w:val="center"/>
        </w:trPr>
        <w:tc>
          <w:tcPr>
            <w:tcW w:w="4526" w:type="dxa"/>
            <w:tcBorders>
              <w:top w:val="single" w:sz="8" w:space="0" w:color="auto"/>
              <w:left w:val="single" w:sz="8" w:space="0" w:color="auto"/>
              <w:bottom w:val="single" w:sz="8" w:space="0" w:color="auto"/>
              <w:right w:val="single" w:sz="8" w:space="0" w:color="auto"/>
            </w:tcBorders>
            <w:shd w:val="clear" w:color="auto" w:fill="C0C0C0"/>
            <w:noWrap/>
            <w:vAlign w:val="bottom"/>
          </w:tcPr>
          <w:p w14:paraId="4DEDEC91" w14:textId="77777777" w:rsidR="00BB4766" w:rsidRPr="00A9641D" w:rsidRDefault="00BB4766" w:rsidP="000C49A5">
            <w:pPr>
              <w:jc w:val="center"/>
              <w:rPr>
                <w:rFonts w:cstheme="minorHAnsi"/>
                <w:b/>
                <w:bCs/>
                <w:sz w:val="18"/>
                <w:szCs w:val="18"/>
              </w:rPr>
            </w:pPr>
            <w:r w:rsidRPr="00A9641D">
              <w:rPr>
                <w:rFonts w:cstheme="minorHAnsi"/>
                <w:b/>
                <w:bCs/>
                <w:sz w:val="18"/>
                <w:szCs w:val="18"/>
              </w:rPr>
              <w:t>Název školy</w:t>
            </w:r>
          </w:p>
        </w:tc>
        <w:tc>
          <w:tcPr>
            <w:tcW w:w="3119" w:type="dxa"/>
            <w:tcBorders>
              <w:top w:val="single" w:sz="8" w:space="0" w:color="auto"/>
              <w:left w:val="nil"/>
              <w:bottom w:val="single" w:sz="8" w:space="0" w:color="auto"/>
              <w:right w:val="single" w:sz="8" w:space="0" w:color="auto"/>
            </w:tcBorders>
            <w:shd w:val="clear" w:color="auto" w:fill="C0C0C0"/>
            <w:noWrap/>
            <w:vAlign w:val="bottom"/>
          </w:tcPr>
          <w:p w14:paraId="3B9942E1" w14:textId="77777777" w:rsidR="00BB4766" w:rsidRPr="00A9641D" w:rsidRDefault="00BB4766" w:rsidP="000C49A5">
            <w:pPr>
              <w:jc w:val="center"/>
              <w:rPr>
                <w:rFonts w:cstheme="minorHAnsi"/>
                <w:b/>
                <w:bCs/>
                <w:sz w:val="18"/>
                <w:szCs w:val="18"/>
              </w:rPr>
            </w:pPr>
            <w:r w:rsidRPr="00A9641D">
              <w:rPr>
                <w:rFonts w:cstheme="minorHAnsi"/>
                <w:b/>
                <w:bCs/>
                <w:sz w:val="18"/>
                <w:szCs w:val="18"/>
              </w:rPr>
              <w:t>Adresa</w:t>
            </w:r>
          </w:p>
        </w:tc>
        <w:tc>
          <w:tcPr>
            <w:tcW w:w="1355" w:type="dxa"/>
            <w:tcBorders>
              <w:top w:val="single" w:sz="8" w:space="0" w:color="auto"/>
              <w:left w:val="nil"/>
              <w:bottom w:val="single" w:sz="8" w:space="0" w:color="auto"/>
              <w:right w:val="single" w:sz="8" w:space="0" w:color="auto"/>
            </w:tcBorders>
            <w:shd w:val="clear" w:color="auto" w:fill="C0C0C0"/>
            <w:vAlign w:val="center"/>
          </w:tcPr>
          <w:p w14:paraId="01A7812B" w14:textId="77777777" w:rsidR="00BB4766" w:rsidRPr="00A9641D" w:rsidRDefault="00BB4766" w:rsidP="000C49A5">
            <w:pPr>
              <w:jc w:val="center"/>
              <w:rPr>
                <w:rFonts w:cstheme="minorHAnsi"/>
                <w:b/>
                <w:bCs/>
                <w:sz w:val="18"/>
                <w:szCs w:val="18"/>
              </w:rPr>
            </w:pPr>
            <w:r w:rsidRPr="00A9641D">
              <w:rPr>
                <w:rFonts w:cstheme="minorHAnsi"/>
                <w:b/>
                <w:bCs/>
                <w:sz w:val="18"/>
                <w:szCs w:val="18"/>
              </w:rPr>
              <w:t>Počet studentů</w:t>
            </w:r>
          </w:p>
        </w:tc>
      </w:tr>
      <w:tr w:rsidR="00BB4766" w:rsidRPr="00A9641D" w14:paraId="32475720" w14:textId="77777777" w:rsidTr="000C49A5">
        <w:trPr>
          <w:trHeight w:val="214"/>
          <w:jc w:val="center"/>
        </w:trPr>
        <w:tc>
          <w:tcPr>
            <w:tcW w:w="4526" w:type="dxa"/>
            <w:tcBorders>
              <w:top w:val="nil"/>
              <w:left w:val="single" w:sz="8" w:space="0" w:color="auto"/>
              <w:bottom w:val="single" w:sz="4" w:space="0" w:color="auto"/>
              <w:right w:val="single" w:sz="4" w:space="0" w:color="auto"/>
            </w:tcBorders>
            <w:shd w:val="clear" w:color="auto" w:fill="DEEAF6" w:themeFill="accent1" w:themeFillTint="33"/>
            <w:vAlign w:val="bottom"/>
          </w:tcPr>
          <w:p w14:paraId="7B9DE946" w14:textId="77777777" w:rsidR="00BB4766" w:rsidRPr="00A9641D" w:rsidRDefault="00BB4766" w:rsidP="000C49A5">
            <w:pPr>
              <w:jc w:val="left"/>
              <w:rPr>
                <w:rFonts w:cstheme="minorHAnsi"/>
                <w:bCs/>
                <w:sz w:val="18"/>
                <w:szCs w:val="18"/>
              </w:rPr>
            </w:pPr>
            <w:r w:rsidRPr="00A9641D">
              <w:rPr>
                <w:rFonts w:cstheme="minorHAnsi"/>
                <w:bCs/>
                <w:sz w:val="18"/>
                <w:szCs w:val="18"/>
              </w:rPr>
              <w:t>Střední škola podnik</w:t>
            </w:r>
            <w:r>
              <w:rPr>
                <w:rFonts w:cstheme="minorHAnsi"/>
                <w:bCs/>
                <w:sz w:val="18"/>
                <w:szCs w:val="18"/>
              </w:rPr>
              <w:t>atelská a Vyšší odborná škola,</w:t>
            </w:r>
            <w:r w:rsidRPr="00A9641D">
              <w:rPr>
                <w:rFonts w:cstheme="minorHAnsi"/>
                <w:bCs/>
                <w:sz w:val="18"/>
                <w:szCs w:val="18"/>
              </w:rPr>
              <w:t xml:space="preserve"> s. r. o. </w:t>
            </w:r>
          </w:p>
        </w:tc>
        <w:tc>
          <w:tcPr>
            <w:tcW w:w="3119" w:type="dxa"/>
            <w:tcBorders>
              <w:top w:val="nil"/>
              <w:left w:val="nil"/>
              <w:bottom w:val="single" w:sz="4" w:space="0" w:color="auto"/>
              <w:right w:val="single" w:sz="4" w:space="0" w:color="auto"/>
            </w:tcBorders>
            <w:shd w:val="clear" w:color="auto" w:fill="auto"/>
            <w:vAlign w:val="bottom"/>
          </w:tcPr>
          <w:p w14:paraId="740B14CE" w14:textId="7F2E59F0" w:rsidR="00BB4766" w:rsidRPr="00A9641D" w:rsidRDefault="00BB4766" w:rsidP="00E254AB">
            <w:pPr>
              <w:rPr>
                <w:rFonts w:cstheme="minorHAnsi"/>
                <w:color w:val="000000"/>
                <w:sz w:val="18"/>
                <w:szCs w:val="18"/>
              </w:rPr>
            </w:pPr>
            <w:r>
              <w:rPr>
                <w:rFonts w:cstheme="minorHAnsi"/>
                <w:color w:val="000000"/>
                <w:sz w:val="18"/>
                <w:szCs w:val="18"/>
              </w:rPr>
              <w:t>nám. T. G. Masaryka 2433,</w:t>
            </w:r>
            <w:r w:rsidRPr="00A9641D">
              <w:rPr>
                <w:rFonts w:cstheme="minorHAnsi"/>
                <w:color w:val="000000"/>
                <w:sz w:val="18"/>
                <w:szCs w:val="18"/>
              </w:rPr>
              <w:t xml:space="preserve"> 760 01 Zlín </w:t>
            </w:r>
          </w:p>
        </w:tc>
        <w:tc>
          <w:tcPr>
            <w:tcW w:w="1355" w:type="dxa"/>
            <w:tcBorders>
              <w:top w:val="nil"/>
              <w:left w:val="nil"/>
              <w:bottom w:val="single" w:sz="4" w:space="0" w:color="auto"/>
              <w:right w:val="single" w:sz="8" w:space="0" w:color="auto"/>
            </w:tcBorders>
            <w:shd w:val="clear" w:color="auto" w:fill="auto"/>
            <w:noWrap/>
            <w:vAlign w:val="bottom"/>
          </w:tcPr>
          <w:p w14:paraId="682A1A7F" w14:textId="77777777" w:rsidR="00BB4766" w:rsidRPr="00A9641D" w:rsidRDefault="00BB4766" w:rsidP="000C49A5">
            <w:pPr>
              <w:jc w:val="right"/>
              <w:rPr>
                <w:rFonts w:cstheme="minorHAnsi"/>
                <w:b/>
                <w:bCs/>
                <w:sz w:val="18"/>
                <w:szCs w:val="18"/>
              </w:rPr>
            </w:pPr>
            <w:r w:rsidRPr="00A9641D">
              <w:rPr>
                <w:rFonts w:cstheme="minorHAnsi"/>
                <w:b/>
                <w:bCs/>
                <w:sz w:val="18"/>
                <w:szCs w:val="18"/>
              </w:rPr>
              <w:t>120</w:t>
            </w:r>
          </w:p>
        </w:tc>
      </w:tr>
      <w:tr w:rsidR="00BB4766" w:rsidRPr="00A9641D" w14:paraId="61FFA92B" w14:textId="77777777" w:rsidTr="000C49A5">
        <w:trPr>
          <w:trHeight w:val="135"/>
          <w:jc w:val="center"/>
        </w:trPr>
        <w:tc>
          <w:tcPr>
            <w:tcW w:w="4526" w:type="dxa"/>
            <w:tcBorders>
              <w:top w:val="nil"/>
              <w:left w:val="single" w:sz="8" w:space="0" w:color="auto"/>
              <w:bottom w:val="single" w:sz="4" w:space="0" w:color="auto"/>
              <w:right w:val="single" w:sz="4" w:space="0" w:color="auto"/>
            </w:tcBorders>
            <w:shd w:val="clear" w:color="auto" w:fill="DEEAF6" w:themeFill="accent1" w:themeFillTint="33"/>
            <w:vAlign w:val="bottom"/>
          </w:tcPr>
          <w:p w14:paraId="75E62A0F" w14:textId="77777777" w:rsidR="00BB4766" w:rsidRPr="00A9641D" w:rsidRDefault="00BB4766" w:rsidP="000C49A5">
            <w:pPr>
              <w:jc w:val="left"/>
              <w:rPr>
                <w:rFonts w:cstheme="minorHAnsi"/>
                <w:bCs/>
                <w:sz w:val="18"/>
                <w:szCs w:val="18"/>
              </w:rPr>
            </w:pPr>
            <w:r w:rsidRPr="00A9641D">
              <w:rPr>
                <w:rFonts w:cstheme="minorHAnsi"/>
                <w:bCs/>
                <w:sz w:val="18"/>
                <w:szCs w:val="18"/>
              </w:rPr>
              <w:t>Střední odborná škola ochrany osob a majetku</w:t>
            </w:r>
          </w:p>
        </w:tc>
        <w:tc>
          <w:tcPr>
            <w:tcW w:w="3119" w:type="dxa"/>
            <w:tcBorders>
              <w:top w:val="nil"/>
              <w:left w:val="nil"/>
              <w:bottom w:val="single" w:sz="4" w:space="0" w:color="auto"/>
              <w:right w:val="single" w:sz="4" w:space="0" w:color="auto"/>
            </w:tcBorders>
            <w:shd w:val="clear" w:color="auto" w:fill="auto"/>
            <w:vAlign w:val="bottom"/>
          </w:tcPr>
          <w:p w14:paraId="19E86D93" w14:textId="77777777" w:rsidR="00BB4766" w:rsidRPr="00A9641D" w:rsidRDefault="00BB4766" w:rsidP="000C49A5">
            <w:pPr>
              <w:rPr>
                <w:rFonts w:cstheme="minorHAnsi"/>
                <w:color w:val="000000"/>
                <w:sz w:val="18"/>
                <w:szCs w:val="18"/>
              </w:rPr>
            </w:pPr>
            <w:r>
              <w:rPr>
                <w:rFonts w:cstheme="minorHAnsi"/>
                <w:color w:val="000000"/>
                <w:sz w:val="18"/>
                <w:szCs w:val="18"/>
              </w:rPr>
              <w:t>Broučkova 372,</w:t>
            </w:r>
            <w:r w:rsidRPr="00A9641D">
              <w:rPr>
                <w:rFonts w:cstheme="minorHAnsi"/>
                <w:color w:val="000000"/>
                <w:sz w:val="18"/>
                <w:szCs w:val="18"/>
              </w:rPr>
              <w:t xml:space="preserve"> 760 01 Zlín</w:t>
            </w:r>
          </w:p>
        </w:tc>
        <w:tc>
          <w:tcPr>
            <w:tcW w:w="1355" w:type="dxa"/>
            <w:tcBorders>
              <w:top w:val="nil"/>
              <w:left w:val="nil"/>
              <w:bottom w:val="single" w:sz="4" w:space="0" w:color="auto"/>
              <w:right w:val="single" w:sz="8" w:space="0" w:color="auto"/>
            </w:tcBorders>
            <w:shd w:val="clear" w:color="auto" w:fill="auto"/>
            <w:noWrap/>
            <w:vAlign w:val="bottom"/>
          </w:tcPr>
          <w:p w14:paraId="04C05814" w14:textId="77777777" w:rsidR="00BB4766" w:rsidRPr="00A9641D" w:rsidRDefault="00BB4766" w:rsidP="000C49A5">
            <w:pPr>
              <w:jc w:val="right"/>
              <w:rPr>
                <w:rFonts w:cstheme="minorHAnsi"/>
                <w:b/>
                <w:bCs/>
                <w:sz w:val="18"/>
                <w:szCs w:val="18"/>
              </w:rPr>
            </w:pPr>
            <w:r w:rsidRPr="00A9641D">
              <w:rPr>
                <w:rFonts w:cstheme="minorHAnsi"/>
                <w:b/>
                <w:bCs/>
                <w:sz w:val="18"/>
                <w:szCs w:val="18"/>
              </w:rPr>
              <w:t>115</w:t>
            </w:r>
          </w:p>
        </w:tc>
      </w:tr>
      <w:tr w:rsidR="00BB4766" w:rsidRPr="00A9641D" w14:paraId="7B4F7B10" w14:textId="77777777" w:rsidTr="000C49A5">
        <w:trPr>
          <w:trHeight w:val="274"/>
          <w:jc w:val="center"/>
        </w:trPr>
        <w:tc>
          <w:tcPr>
            <w:tcW w:w="4526" w:type="dxa"/>
            <w:tcBorders>
              <w:top w:val="nil"/>
              <w:left w:val="single" w:sz="8" w:space="0" w:color="auto"/>
              <w:bottom w:val="single" w:sz="4" w:space="0" w:color="auto"/>
              <w:right w:val="single" w:sz="4" w:space="0" w:color="auto"/>
            </w:tcBorders>
            <w:shd w:val="clear" w:color="auto" w:fill="DEEAF6" w:themeFill="accent1" w:themeFillTint="33"/>
          </w:tcPr>
          <w:p w14:paraId="2809AF6A" w14:textId="77777777" w:rsidR="00BB4766" w:rsidRPr="00A9641D" w:rsidRDefault="00BB4766" w:rsidP="000C49A5">
            <w:pPr>
              <w:jc w:val="left"/>
              <w:rPr>
                <w:rFonts w:cstheme="minorHAnsi"/>
                <w:bCs/>
                <w:sz w:val="18"/>
                <w:szCs w:val="18"/>
              </w:rPr>
            </w:pPr>
            <w:r w:rsidRPr="00A9641D">
              <w:rPr>
                <w:rFonts w:cstheme="minorHAnsi"/>
                <w:bCs/>
                <w:sz w:val="18"/>
                <w:szCs w:val="18"/>
              </w:rPr>
              <w:t>Střední škola Baltaci, s.r.o.</w:t>
            </w:r>
          </w:p>
        </w:tc>
        <w:tc>
          <w:tcPr>
            <w:tcW w:w="3119" w:type="dxa"/>
            <w:tcBorders>
              <w:top w:val="nil"/>
              <w:left w:val="nil"/>
              <w:bottom w:val="single" w:sz="4" w:space="0" w:color="auto"/>
              <w:right w:val="single" w:sz="4" w:space="0" w:color="auto"/>
            </w:tcBorders>
            <w:shd w:val="clear" w:color="auto" w:fill="auto"/>
          </w:tcPr>
          <w:p w14:paraId="169B325A" w14:textId="00E2283D" w:rsidR="00BB4766" w:rsidRPr="00A9641D" w:rsidRDefault="00BB4766" w:rsidP="00E254AB">
            <w:pPr>
              <w:jc w:val="left"/>
              <w:rPr>
                <w:rFonts w:cstheme="minorHAnsi"/>
                <w:color w:val="000000"/>
                <w:sz w:val="18"/>
                <w:szCs w:val="18"/>
              </w:rPr>
            </w:pPr>
            <w:r w:rsidRPr="00A9641D">
              <w:rPr>
                <w:rFonts w:cstheme="minorHAnsi"/>
                <w:color w:val="000000"/>
                <w:sz w:val="18"/>
                <w:szCs w:val="18"/>
              </w:rPr>
              <w:t xml:space="preserve">Dřevnická 1788, 760 01 Zlín </w:t>
            </w:r>
          </w:p>
        </w:tc>
        <w:tc>
          <w:tcPr>
            <w:tcW w:w="1355" w:type="dxa"/>
            <w:tcBorders>
              <w:top w:val="nil"/>
              <w:left w:val="nil"/>
              <w:bottom w:val="single" w:sz="4" w:space="0" w:color="auto"/>
              <w:right w:val="single" w:sz="8" w:space="0" w:color="auto"/>
            </w:tcBorders>
            <w:shd w:val="clear" w:color="auto" w:fill="auto"/>
            <w:noWrap/>
            <w:vAlign w:val="center"/>
          </w:tcPr>
          <w:p w14:paraId="5AE76D0D" w14:textId="77777777" w:rsidR="00BB4766" w:rsidRPr="00A9641D" w:rsidRDefault="00BB4766" w:rsidP="000C49A5">
            <w:pPr>
              <w:jc w:val="right"/>
              <w:rPr>
                <w:rFonts w:cstheme="minorHAnsi"/>
                <w:b/>
                <w:bCs/>
                <w:sz w:val="18"/>
                <w:szCs w:val="18"/>
              </w:rPr>
            </w:pPr>
            <w:r w:rsidRPr="00A9641D">
              <w:rPr>
                <w:rFonts w:cstheme="minorHAnsi"/>
                <w:b/>
                <w:bCs/>
                <w:sz w:val="18"/>
                <w:szCs w:val="18"/>
              </w:rPr>
              <w:t>170</w:t>
            </w:r>
          </w:p>
        </w:tc>
      </w:tr>
      <w:tr w:rsidR="00BB4766" w:rsidRPr="00A9641D" w14:paraId="149B060E" w14:textId="77777777" w:rsidTr="000C49A5">
        <w:trPr>
          <w:trHeight w:val="176"/>
          <w:jc w:val="center"/>
        </w:trPr>
        <w:tc>
          <w:tcPr>
            <w:tcW w:w="4526" w:type="dxa"/>
            <w:tcBorders>
              <w:top w:val="nil"/>
              <w:left w:val="single" w:sz="8" w:space="0" w:color="auto"/>
              <w:bottom w:val="single" w:sz="4" w:space="0" w:color="auto"/>
              <w:right w:val="single" w:sz="4" w:space="0" w:color="auto"/>
            </w:tcBorders>
            <w:shd w:val="clear" w:color="auto" w:fill="DEEAF6" w:themeFill="accent1" w:themeFillTint="33"/>
            <w:vAlign w:val="bottom"/>
          </w:tcPr>
          <w:p w14:paraId="333111DE" w14:textId="77777777" w:rsidR="00BB4766" w:rsidRPr="00A9641D" w:rsidRDefault="00BB4766" w:rsidP="000C49A5">
            <w:pPr>
              <w:jc w:val="left"/>
              <w:rPr>
                <w:rFonts w:cstheme="minorHAnsi"/>
                <w:bCs/>
                <w:sz w:val="18"/>
                <w:szCs w:val="18"/>
              </w:rPr>
            </w:pPr>
            <w:r>
              <w:rPr>
                <w:rFonts w:cstheme="minorHAnsi"/>
                <w:bCs/>
                <w:sz w:val="18"/>
                <w:szCs w:val="18"/>
              </w:rPr>
              <w:t>Střední škola</w:t>
            </w:r>
            <w:r w:rsidRPr="00A9641D">
              <w:rPr>
                <w:rFonts w:cstheme="minorHAnsi"/>
                <w:bCs/>
                <w:sz w:val="18"/>
                <w:szCs w:val="18"/>
              </w:rPr>
              <w:t xml:space="preserve"> peda</w:t>
            </w:r>
            <w:r>
              <w:rPr>
                <w:rFonts w:cstheme="minorHAnsi"/>
                <w:bCs/>
                <w:sz w:val="18"/>
                <w:szCs w:val="18"/>
              </w:rPr>
              <w:t xml:space="preserve">gogická </w:t>
            </w:r>
            <w:r w:rsidRPr="00A9641D">
              <w:rPr>
                <w:rFonts w:cstheme="minorHAnsi"/>
                <w:bCs/>
                <w:sz w:val="18"/>
                <w:szCs w:val="18"/>
              </w:rPr>
              <w:t>a sociální Zlín, s.r.o.</w:t>
            </w:r>
          </w:p>
        </w:tc>
        <w:tc>
          <w:tcPr>
            <w:tcW w:w="3119" w:type="dxa"/>
            <w:tcBorders>
              <w:top w:val="nil"/>
              <w:left w:val="nil"/>
              <w:bottom w:val="single" w:sz="4" w:space="0" w:color="auto"/>
              <w:right w:val="single" w:sz="4" w:space="0" w:color="auto"/>
            </w:tcBorders>
            <w:shd w:val="clear" w:color="auto" w:fill="auto"/>
            <w:vAlign w:val="bottom"/>
          </w:tcPr>
          <w:p w14:paraId="7C8751A1" w14:textId="77777777" w:rsidR="00BB4766" w:rsidRPr="00A9641D" w:rsidRDefault="00BB4766" w:rsidP="000C49A5">
            <w:pPr>
              <w:rPr>
                <w:rFonts w:cstheme="minorHAnsi"/>
                <w:color w:val="000000"/>
                <w:sz w:val="18"/>
                <w:szCs w:val="18"/>
              </w:rPr>
            </w:pPr>
            <w:r>
              <w:rPr>
                <w:rFonts w:cstheme="minorHAnsi"/>
                <w:color w:val="000000"/>
                <w:sz w:val="18"/>
                <w:szCs w:val="18"/>
              </w:rPr>
              <w:t xml:space="preserve">Česká 4787, </w:t>
            </w:r>
            <w:r w:rsidRPr="00A9641D">
              <w:rPr>
                <w:rFonts w:cstheme="minorHAnsi"/>
                <w:color w:val="000000"/>
                <w:sz w:val="18"/>
                <w:szCs w:val="18"/>
              </w:rPr>
              <w:t>760 05 Zlín</w:t>
            </w:r>
          </w:p>
        </w:tc>
        <w:tc>
          <w:tcPr>
            <w:tcW w:w="1355" w:type="dxa"/>
            <w:tcBorders>
              <w:top w:val="nil"/>
              <w:left w:val="nil"/>
              <w:bottom w:val="single" w:sz="4" w:space="0" w:color="auto"/>
              <w:right w:val="single" w:sz="8" w:space="0" w:color="auto"/>
            </w:tcBorders>
            <w:shd w:val="clear" w:color="auto" w:fill="auto"/>
            <w:noWrap/>
            <w:vAlign w:val="bottom"/>
          </w:tcPr>
          <w:p w14:paraId="6E53817A" w14:textId="77777777" w:rsidR="00BB4766" w:rsidRPr="00A9641D" w:rsidRDefault="00BB4766" w:rsidP="000C49A5">
            <w:pPr>
              <w:jc w:val="right"/>
              <w:rPr>
                <w:rFonts w:cstheme="minorHAnsi"/>
                <w:b/>
                <w:bCs/>
                <w:sz w:val="18"/>
                <w:szCs w:val="18"/>
              </w:rPr>
            </w:pPr>
            <w:r w:rsidRPr="00A9641D">
              <w:rPr>
                <w:rFonts w:cstheme="minorHAnsi"/>
                <w:b/>
                <w:bCs/>
                <w:sz w:val="18"/>
                <w:szCs w:val="18"/>
              </w:rPr>
              <w:t>266</w:t>
            </w:r>
          </w:p>
        </w:tc>
      </w:tr>
      <w:tr w:rsidR="00BB4766" w:rsidRPr="00A9641D" w14:paraId="0641D453" w14:textId="77777777" w:rsidTr="000C49A5">
        <w:trPr>
          <w:trHeight w:val="334"/>
          <w:jc w:val="center"/>
        </w:trPr>
        <w:tc>
          <w:tcPr>
            <w:tcW w:w="4526" w:type="dxa"/>
            <w:tcBorders>
              <w:top w:val="nil"/>
              <w:left w:val="single" w:sz="8" w:space="0" w:color="auto"/>
              <w:bottom w:val="single" w:sz="4" w:space="0" w:color="auto"/>
              <w:right w:val="single" w:sz="4" w:space="0" w:color="auto"/>
            </w:tcBorders>
            <w:shd w:val="clear" w:color="auto" w:fill="DEEAF6" w:themeFill="accent1" w:themeFillTint="33"/>
            <w:vAlign w:val="bottom"/>
          </w:tcPr>
          <w:p w14:paraId="1A440DBF" w14:textId="77777777" w:rsidR="00BB4766" w:rsidRPr="00A9641D" w:rsidRDefault="00BB4766" w:rsidP="000C49A5">
            <w:pPr>
              <w:jc w:val="left"/>
              <w:rPr>
                <w:rFonts w:cstheme="minorHAnsi"/>
                <w:bCs/>
                <w:sz w:val="18"/>
                <w:szCs w:val="18"/>
              </w:rPr>
            </w:pPr>
            <w:r w:rsidRPr="00A9641D">
              <w:rPr>
                <w:rFonts w:cstheme="minorHAnsi"/>
                <w:bCs/>
                <w:sz w:val="18"/>
                <w:szCs w:val="18"/>
              </w:rPr>
              <w:t>Academic school střední škola s.r.o.</w:t>
            </w:r>
          </w:p>
        </w:tc>
        <w:tc>
          <w:tcPr>
            <w:tcW w:w="3119" w:type="dxa"/>
            <w:tcBorders>
              <w:top w:val="nil"/>
              <w:left w:val="nil"/>
              <w:bottom w:val="single" w:sz="4" w:space="0" w:color="auto"/>
              <w:right w:val="single" w:sz="4" w:space="0" w:color="auto"/>
            </w:tcBorders>
            <w:shd w:val="clear" w:color="auto" w:fill="auto"/>
            <w:vAlign w:val="bottom"/>
          </w:tcPr>
          <w:p w14:paraId="3FD016E1" w14:textId="77777777" w:rsidR="00BB4766" w:rsidRPr="00A9641D" w:rsidRDefault="00BB4766" w:rsidP="000C49A5">
            <w:pPr>
              <w:rPr>
                <w:rFonts w:cstheme="minorHAnsi"/>
                <w:color w:val="000000"/>
                <w:sz w:val="18"/>
                <w:szCs w:val="18"/>
              </w:rPr>
            </w:pPr>
            <w:r w:rsidRPr="00A9641D">
              <w:rPr>
                <w:rFonts w:cstheme="minorHAnsi"/>
                <w:color w:val="000000"/>
                <w:sz w:val="18"/>
                <w:szCs w:val="18"/>
              </w:rPr>
              <w:t>nám. T.G.Massaryka 1279, 760 01 Zlín</w:t>
            </w:r>
          </w:p>
        </w:tc>
        <w:tc>
          <w:tcPr>
            <w:tcW w:w="1355" w:type="dxa"/>
            <w:tcBorders>
              <w:top w:val="nil"/>
              <w:left w:val="nil"/>
              <w:bottom w:val="single" w:sz="4" w:space="0" w:color="auto"/>
              <w:right w:val="single" w:sz="8" w:space="0" w:color="auto"/>
            </w:tcBorders>
            <w:shd w:val="clear" w:color="auto" w:fill="auto"/>
            <w:noWrap/>
            <w:vAlign w:val="bottom"/>
          </w:tcPr>
          <w:p w14:paraId="2D0A7BF3" w14:textId="77777777" w:rsidR="00BB4766" w:rsidRPr="00A9641D" w:rsidRDefault="00BB4766" w:rsidP="000C49A5">
            <w:pPr>
              <w:jc w:val="right"/>
              <w:rPr>
                <w:rFonts w:cstheme="minorHAnsi"/>
                <w:b/>
                <w:bCs/>
                <w:sz w:val="18"/>
                <w:szCs w:val="18"/>
              </w:rPr>
            </w:pPr>
            <w:r w:rsidRPr="00A9641D">
              <w:rPr>
                <w:rFonts w:cstheme="minorHAnsi"/>
                <w:b/>
                <w:bCs/>
                <w:sz w:val="18"/>
                <w:szCs w:val="18"/>
              </w:rPr>
              <w:t>170</w:t>
            </w:r>
          </w:p>
        </w:tc>
      </w:tr>
      <w:tr w:rsidR="00BB4766" w:rsidRPr="00A9641D" w14:paraId="63831788" w14:textId="77777777" w:rsidTr="000C49A5">
        <w:trPr>
          <w:trHeight w:val="241"/>
          <w:jc w:val="center"/>
        </w:trPr>
        <w:tc>
          <w:tcPr>
            <w:tcW w:w="4526" w:type="dxa"/>
            <w:tcBorders>
              <w:top w:val="nil"/>
              <w:left w:val="single" w:sz="8" w:space="0" w:color="auto"/>
              <w:bottom w:val="single" w:sz="4" w:space="0" w:color="auto"/>
              <w:right w:val="single" w:sz="4" w:space="0" w:color="auto"/>
            </w:tcBorders>
            <w:shd w:val="clear" w:color="auto" w:fill="DEEAF6" w:themeFill="accent1" w:themeFillTint="33"/>
            <w:vAlign w:val="bottom"/>
          </w:tcPr>
          <w:p w14:paraId="267B2CBA" w14:textId="77777777" w:rsidR="00BB4766" w:rsidRPr="00A9641D" w:rsidRDefault="00BB4766" w:rsidP="000C49A5">
            <w:pPr>
              <w:jc w:val="left"/>
              <w:rPr>
                <w:rFonts w:cstheme="minorHAnsi"/>
                <w:bCs/>
                <w:sz w:val="18"/>
                <w:szCs w:val="18"/>
              </w:rPr>
            </w:pPr>
            <w:r w:rsidRPr="00A9641D">
              <w:rPr>
                <w:rFonts w:cstheme="minorHAnsi"/>
                <w:bCs/>
                <w:sz w:val="18"/>
                <w:szCs w:val="18"/>
              </w:rPr>
              <w:t xml:space="preserve">Střední </w:t>
            </w:r>
            <w:r>
              <w:rPr>
                <w:rFonts w:cstheme="minorHAnsi"/>
                <w:bCs/>
                <w:sz w:val="18"/>
                <w:szCs w:val="18"/>
              </w:rPr>
              <w:t>škola filmová, multimediální</w:t>
            </w:r>
            <w:r w:rsidRPr="00A9641D">
              <w:rPr>
                <w:rFonts w:cstheme="minorHAnsi"/>
                <w:bCs/>
                <w:sz w:val="18"/>
                <w:szCs w:val="18"/>
              </w:rPr>
              <w:t xml:space="preserve"> a počítačových technologií, s.r.o.</w:t>
            </w:r>
          </w:p>
        </w:tc>
        <w:tc>
          <w:tcPr>
            <w:tcW w:w="3119" w:type="dxa"/>
            <w:tcBorders>
              <w:top w:val="nil"/>
              <w:left w:val="nil"/>
              <w:bottom w:val="single" w:sz="4" w:space="0" w:color="auto"/>
              <w:right w:val="single" w:sz="4" w:space="0" w:color="auto"/>
            </w:tcBorders>
            <w:shd w:val="clear" w:color="auto" w:fill="auto"/>
            <w:vAlign w:val="bottom"/>
          </w:tcPr>
          <w:p w14:paraId="5E6F945D" w14:textId="47FE4677" w:rsidR="00BB4766" w:rsidRPr="00A9641D" w:rsidRDefault="00BB4766" w:rsidP="00E254AB">
            <w:pPr>
              <w:rPr>
                <w:rFonts w:cstheme="minorHAnsi"/>
                <w:color w:val="000000"/>
                <w:sz w:val="18"/>
                <w:szCs w:val="18"/>
              </w:rPr>
            </w:pPr>
            <w:r>
              <w:rPr>
                <w:rFonts w:cstheme="minorHAnsi"/>
                <w:color w:val="000000"/>
                <w:sz w:val="18"/>
                <w:szCs w:val="18"/>
              </w:rPr>
              <w:t xml:space="preserve">Filmová 174, </w:t>
            </w:r>
            <w:r w:rsidRPr="00A9641D">
              <w:rPr>
                <w:rFonts w:cstheme="minorHAnsi"/>
                <w:color w:val="000000"/>
                <w:sz w:val="18"/>
                <w:szCs w:val="18"/>
              </w:rPr>
              <w:t>760 01</w:t>
            </w:r>
            <w:r w:rsidR="00E254AB">
              <w:rPr>
                <w:rFonts w:cstheme="minorHAnsi"/>
                <w:color w:val="000000"/>
                <w:sz w:val="18"/>
                <w:szCs w:val="18"/>
              </w:rPr>
              <w:t xml:space="preserve"> </w:t>
            </w:r>
            <w:r w:rsidRPr="00A9641D">
              <w:rPr>
                <w:rFonts w:cstheme="minorHAnsi"/>
                <w:color w:val="000000"/>
                <w:sz w:val="18"/>
                <w:szCs w:val="18"/>
              </w:rPr>
              <w:t>Zlín</w:t>
            </w:r>
          </w:p>
        </w:tc>
        <w:tc>
          <w:tcPr>
            <w:tcW w:w="1355" w:type="dxa"/>
            <w:tcBorders>
              <w:top w:val="nil"/>
              <w:left w:val="nil"/>
              <w:bottom w:val="single" w:sz="4" w:space="0" w:color="auto"/>
              <w:right w:val="single" w:sz="8" w:space="0" w:color="auto"/>
            </w:tcBorders>
            <w:shd w:val="clear" w:color="auto" w:fill="auto"/>
            <w:noWrap/>
            <w:vAlign w:val="bottom"/>
          </w:tcPr>
          <w:p w14:paraId="799BA7D9" w14:textId="77777777" w:rsidR="00BB4766" w:rsidRPr="00A9641D" w:rsidRDefault="00BB4766" w:rsidP="000C49A5">
            <w:pPr>
              <w:jc w:val="right"/>
              <w:rPr>
                <w:rFonts w:cstheme="minorHAnsi"/>
                <w:b/>
                <w:bCs/>
                <w:sz w:val="18"/>
                <w:szCs w:val="18"/>
              </w:rPr>
            </w:pPr>
            <w:r w:rsidRPr="00A9641D">
              <w:rPr>
                <w:rFonts w:cstheme="minorHAnsi"/>
                <w:b/>
                <w:bCs/>
                <w:sz w:val="18"/>
                <w:szCs w:val="18"/>
              </w:rPr>
              <w:t>200</w:t>
            </w:r>
          </w:p>
        </w:tc>
      </w:tr>
      <w:tr w:rsidR="00BB4766" w:rsidRPr="00A9641D" w14:paraId="1234C179" w14:textId="77777777" w:rsidTr="000C49A5">
        <w:trPr>
          <w:trHeight w:val="241"/>
          <w:jc w:val="center"/>
        </w:trPr>
        <w:tc>
          <w:tcPr>
            <w:tcW w:w="764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372AA53B" w14:textId="77777777" w:rsidR="00BB4766" w:rsidRPr="00CE79C1" w:rsidRDefault="00BB4766" w:rsidP="000C49A5">
            <w:pPr>
              <w:rPr>
                <w:rFonts w:cstheme="minorHAnsi"/>
                <w:b/>
                <w:color w:val="000000"/>
                <w:sz w:val="18"/>
                <w:szCs w:val="18"/>
              </w:rPr>
            </w:pPr>
            <w:r w:rsidRPr="00CE79C1">
              <w:rPr>
                <w:rFonts w:cstheme="minorHAnsi"/>
                <w:b/>
                <w:bCs/>
                <w:sz w:val="18"/>
                <w:szCs w:val="18"/>
              </w:rPr>
              <w:t>Celkem</w:t>
            </w:r>
          </w:p>
        </w:tc>
        <w:tc>
          <w:tcPr>
            <w:tcW w:w="135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7A11A6B1" w14:textId="77777777" w:rsidR="00BB4766" w:rsidRPr="00A9641D" w:rsidRDefault="00BB4766" w:rsidP="000C49A5">
            <w:pPr>
              <w:jc w:val="right"/>
              <w:rPr>
                <w:rFonts w:cstheme="minorHAnsi"/>
                <w:b/>
                <w:bCs/>
                <w:sz w:val="18"/>
                <w:szCs w:val="18"/>
              </w:rPr>
            </w:pPr>
            <w:r>
              <w:rPr>
                <w:rFonts w:cstheme="minorHAnsi"/>
                <w:b/>
                <w:bCs/>
                <w:sz w:val="18"/>
                <w:szCs w:val="18"/>
              </w:rPr>
              <w:t>1 041</w:t>
            </w:r>
          </w:p>
        </w:tc>
      </w:tr>
    </w:tbl>
    <w:p w14:paraId="0CEF0B76" w14:textId="68F2A48F" w:rsidR="00BB4766" w:rsidRDefault="00BB4766" w:rsidP="00BB4766">
      <w:pPr>
        <w:pStyle w:val="Zdroj"/>
      </w:pPr>
      <w:r>
        <w:t xml:space="preserve">Zdroj: SMZ, </w:t>
      </w:r>
      <w:r w:rsidRPr="00857270">
        <w:t>Koncepc</w:t>
      </w:r>
      <w:r>
        <w:t>e</w:t>
      </w:r>
      <w:r w:rsidRPr="00857270">
        <w:t xml:space="preserve"> rozvoje školství statutárního města Zlína na období let 2021 – 2027</w:t>
      </w:r>
      <w:r w:rsidR="00A76987">
        <w:t>;</w:t>
      </w:r>
      <w:r>
        <w:t xml:space="preserve"> 2020</w:t>
      </w:r>
      <w:r w:rsidR="00A76987">
        <w:t>.</w:t>
      </w:r>
    </w:p>
    <w:p w14:paraId="499772CD" w14:textId="779ADC2B" w:rsidR="00BB4766" w:rsidRDefault="00BB4766" w:rsidP="00BB4766">
      <w:pPr>
        <w:pStyle w:val="Zdroj"/>
        <w:jc w:val="both"/>
        <w:rPr>
          <w:rFonts w:eastAsiaTheme="minorHAnsi" w:cstheme="minorBidi"/>
          <w:i w:val="0"/>
          <w:sz w:val="22"/>
          <w:szCs w:val="22"/>
          <w:lang w:eastAsia="en-US"/>
        </w:rPr>
      </w:pPr>
      <w:r w:rsidRPr="008558AD">
        <w:rPr>
          <w:rFonts w:eastAsiaTheme="minorHAnsi" w:cstheme="minorBidi"/>
          <w:i w:val="0"/>
          <w:sz w:val="22"/>
          <w:szCs w:val="22"/>
          <w:lang w:eastAsia="en-US"/>
        </w:rPr>
        <w:t>Jak je uvedeno v Krajském akčním plánu rozvoje vzdělávání na území Zlínského kraje</w:t>
      </w:r>
      <w:r w:rsidR="00A76987">
        <w:rPr>
          <w:rFonts w:eastAsiaTheme="minorHAnsi" w:cstheme="minorBidi"/>
          <w:i w:val="0"/>
          <w:sz w:val="22"/>
          <w:szCs w:val="22"/>
          <w:lang w:eastAsia="en-US"/>
        </w:rPr>
        <w:t>,</w:t>
      </w:r>
      <w:r w:rsidRPr="008558AD">
        <w:rPr>
          <w:rFonts w:eastAsiaTheme="minorHAnsi" w:cstheme="minorBidi"/>
          <w:i w:val="0"/>
          <w:sz w:val="22"/>
          <w:szCs w:val="22"/>
          <w:lang w:eastAsia="en-US"/>
        </w:rPr>
        <w:t xml:space="preserve"> je vzdělávací nabídka oborů na středních školách ve Zlínském kraji zastoupena všemi skupinami oborů, které mají návaznost na regionální trh práce. Zastoupeny nejsou pouze skupiny 21 – Hornictví, hornická geologie, hutnictví a slévárenství, 37 – Doprava a spoje, 61 – Filozofie a teologie, 74 – Tělesná kultura, tělovýchova a sport a 91 – Teorie vojenského umění. Přehled o oborech nabídky středních</w:t>
      </w:r>
      <w:r w:rsidR="00094895">
        <w:rPr>
          <w:rFonts w:eastAsiaTheme="minorHAnsi" w:cstheme="minorBidi"/>
          <w:i w:val="0"/>
          <w:sz w:val="22"/>
          <w:szCs w:val="22"/>
          <w:lang w:eastAsia="en-US"/>
        </w:rPr>
        <w:t xml:space="preserve"> škol ve městě Zlín je uveden v </w:t>
      </w:r>
      <w:r w:rsidRPr="008558AD">
        <w:rPr>
          <w:rFonts w:eastAsiaTheme="minorHAnsi" w:cstheme="minorBidi"/>
          <w:i w:val="0"/>
          <w:sz w:val="22"/>
          <w:szCs w:val="22"/>
          <w:lang w:eastAsia="en-US"/>
        </w:rPr>
        <w:t>tabulce</w:t>
      </w:r>
      <w:r w:rsidR="00122205">
        <w:rPr>
          <w:rFonts w:eastAsiaTheme="minorHAnsi" w:cstheme="minorBidi"/>
          <w:i w:val="0"/>
          <w:sz w:val="22"/>
          <w:szCs w:val="22"/>
          <w:lang w:eastAsia="en-US"/>
        </w:rPr>
        <w:t xml:space="preserve"> 1.44</w:t>
      </w:r>
      <w:r w:rsidRPr="008558AD">
        <w:rPr>
          <w:rFonts w:eastAsiaTheme="minorHAnsi" w:cstheme="minorBidi"/>
          <w:i w:val="0"/>
          <w:sz w:val="22"/>
          <w:szCs w:val="22"/>
          <w:lang w:eastAsia="en-US"/>
        </w:rPr>
        <w:t xml:space="preserve">. Ve městě jsou zastoupeny všechny úrovně učebních (obory vzdělání kategorie H, E s výučním listem) i studijních oborů (obory vzdělání M, L0 s maturitní zkouškou), včetně nástavbového studia (obory vzdělání kategorie L5 s maturitní zkouškou). </w:t>
      </w:r>
    </w:p>
    <w:p w14:paraId="521C0082" w14:textId="77777777" w:rsidR="00BB4766" w:rsidRDefault="00BB4766" w:rsidP="00BB4766">
      <w:pPr>
        <w:pStyle w:val="Zdroj"/>
        <w:jc w:val="both"/>
        <w:rPr>
          <w:rFonts w:eastAsiaTheme="minorHAnsi" w:cstheme="minorBidi"/>
          <w:i w:val="0"/>
          <w:sz w:val="22"/>
          <w:szCs w:val="22"/>
          <w:lang w:eastAsia="en-US"/>
        </w:rPr>
      </w:pPr>
    </w:p>
    <w:p w14:paraId="174C537F" w14:textId="77777777" w:rsidR="00BB4766" w:rsidRPr="008558AD" w:rsidRDefault="00BB4766" w:rsidP="00BB4766">
      <w:pPr>
        <w:pStyle w:val="Zdroj"/>
        <w:jc w:val="both"/>
        <w:rPr>
          <w:rFonts w:eastAsiaTheme="minorHAnsi" w:cstheme="minorBidi"/>
          <w:i w:val="0"/>
          <w:sz w:val="22"/>
          <w:szCs w:val="22"/>
          <w:lang w:eastAsia="en-US"/>
        </w:rPr>
      </w:pPr>
    </w:p>
    <w:p w14:paraId="662BE190" w14:textId="292ED60D" w:rsidR="00BB4766" w:rsidRDefault="00BB4766" w:rsidP="00BB4766">
      <w:pPr>
        <w:pStyle w:val="Titulek"/>
        <w:keepNext/>
        <w:keepLines/>
      </w:pPr>
      <w:bookmarkStart w:id="254" w:name="_Toc52885955"/>
      <w:bookmarkStart w:id="255" w:name="_Toc77074724"/>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44</w:t>
      </w:r>
      <w:r w:rsidR="00081B47">
        <w:rPr>
          <w:noProof/>
        </w:rPr>
        <w:fldChar w:fldCharType="end"/>
      </w:r>
      <w:r w:rsidR="00A76987">
        <w:rPr>
          <w:noProof/>
        </w:rPr>
        <w:t>:</w:t>
      </w:r>
      <w:r>
        <w:t xml:space="preserve"> Přehled oborů nabízených na středních školách ve městě Zlín</w:t>
      </w:r>
      <w:bookmarkEnd w:id="254"/>
      <w:bookmarkEnd w:id="255"/>
    </w:p>
    <w:tbl>
      <w:tblPr>
        <w:tblW w:w="9115" w:type="dxa"/>
        <w:tblInd w:w="-5" w:type="dxa"/>
        <w:tblCellMar>
          <w:left w:w="70" w:type="dxa"/>
          <w:right w:w="70" w:type="dxa"/>
        </w:tblCellMar>
        <w:tblLook w:val="04A0" w:firstRow="1" w:lastRow="0" w:firstColumn="1" w:lastColumn="0" w:noHBand="0" w:noVBand="1"/>
      </w:tblPr>
      <w:tblGrid>
        <w:gridCol w:w="3818"/>
        <w:gridCol w:w="992"/>
        <w:gridCol w:w="4305"/>
      </w:tblGrid>
      <w:tr w:rsidR="00BB4766" w:rsidRPr="0001489B" w14:paraId="2FA9B4B5" w14:textId="77777777" w:rsidTr="000C49A5">
        <w:trPr>
          <w:trHeight w:hRule="exact" w:val="227"/>
        </w:trPr>
        <w:tc>
          <w:tcPr>
            <w:tcW w:w="3818" w:type="dxa"/>
            <w:tcBorders>
              <w:top w:val="single" w:sz="12" w:space="0" w:color="auto"/>
              <w:left w:val="single" w:sz="12" w:space="0" w:color="auto"/>
              <w:bottom w:val="single" w:sz="12" w:space="0" w:color="auto"/>
              <w:right w:val="single" w:sz="4" w:space="0" w:color="auto"/>
            </w:tcBorders>
            <w:shd w:val="clear" w:color="000000" w:fill="D9D9D9"/>
            <w:noWrap/>
            <w:vAlign w:val="bottom"/>
            <w:hideMark/>
          </w:tcPr>
          <w:p w14:paraId="3C793485" w14:textId="77777777" w:rsidR="00BB4766" w:rsidRPr="0001489B" w:rsidRDefault="00BB4766" w:rsidP="000C49A5">
            <w:pPr>
              <w:spacing w:before="0"/>
              <w:jc w:val="left"/>
              <w:rPr>
                <w:rFonts w:eastAsia="Times New Roman" w:cstheme="minorHAnsi"/>
                <w:b/>
                <w:bCs/>
                <w:color w:val="000000"/>
                <w:sz w:val="18"/>
                <w:szCs w:val="18"/>
                <w:lang w:eastAsia="cs-CZ"/>
              </w:rPr>
            </w:pPr>
            <w:r w:rsidRPr="0001489B">
              <w:rPr>
                <w:rFonts w:eastAsia="Times New Roman" w:cstheme="minorHAnsi"/>
                <w:b/>
                <w:bCs/>
                <w:color w:val="000000"/>
                <w:sz w:val="18"/>
                <w:szCs w:val="18"/>
                <w:lang w:eastAsia="cs-CZ"/>
              </w:rPr>
              <w:t>Název školy</w:t>
            </w:r>
          </w:p>
        </w:tc>
        <w:tc>
          <w:tcPr>
            <w:tcW w:w="992" w:type="dxa"/>
            <w:tcBorders>
              <w:top w:val="single" w:sz="12" w:space="0" w:color="auto"/>
              <w:left w:val="nil"/>
              <w:bottom w:val="single" w:sz="12" w:space="0" w:color="auto"/>
              <w:right w:val="single" w:sz="4" w:space="0" w:color="auto"/>
            </w:tcBorders>
            <w:shd w:val="clear" w:color="000000" w:fill="D9D9D9"/>
            <w:noWrap/>
            <w:vAlign w:val="bottom"/>
            <w:hideMark/>
          </w:tcPr>
          <w:p w14:paraId="10E098AD" w14:textId="77777777" w:rsidR="00BB4766" w:rsidRPr="0001489B" w:rsidRDefault="00BB4766" w:rsidP="000C49A5">
            <w:pPr>
              <w:spacing w:before="0"/>
              <w:jc w:val="left"/>
              <w:rPr>
                <w:rFonts w:eastAsia="Times New Roman" w:cstheme="minorHAnsi"/>
                <w:b/>
                <w:bCs/>
                <w:color w:val="000000"/>
                <w:sz w:val="18"/>
                <w:szCs w:val="18"/>
                <w:lang w:eastAsia="cs-CZ"/>
              </w:rPr>
            </w:pPr>
            <w:r w:rsidRPr="0001489B">
              <w:rPr>
                <w:rFonts w:eastAsia="Times New Roman" w:cstheme="minorHAnsi"/>
                <w:b/>
                <w:bCs/>
                <w:color w:val="000000"/>
                <w:sz w:val="18"/>
                <w:szCs w:val="18"/>
                <w:lang w:eastAsia="cs-CZ"/>
              </w:rPr>
              <w:t>Kód oboru</w:t>
            </w:r>
          </w:p>
        </w:tc>
        <w:tc>
          <w:tcPr>
            <w:tcW w:w="4305" w:type="dxa"/>
            <w:tcBorders>
              <w:top w:val="single" w:sz="12" w:space="0" w:color="auto"/>
              <w:left w:val="nil"/>
              <w:bottom w:val="single" w:sz="12" w:space="0" w:color="auto"/>
              <w:right w:val="single" w:sz="12" w:space="0" w:color="auto"/>
            </w:tcBorders>
            <w:shd w:val="clear" w:color="000000" w:fill="D9D9D9"/>
            <w:noWrap/>
            <w:vAlign w:val="bottom"/>
            <w:hideMark/>
          </w:tcPr>
          <w:p w14:paraId="134DEDD5" w14:textId="77777777" w:rsidR="00BB4766" w:rsidRPr="0001489B" w:rsidRDefault="00BB4766" w:rsidP="000C49A5">
            <w:pPr>
              <w:spacing w:before="0"/>
              <w:jc w:val="left"/>
              <w:rPr>
                <w:rFonts w:eastAsia="Times New Roman" w:cstheme="minorHAnsi"/>
                <w:b/>
                <w:bCs/>
                <w:color w:val="000000"/>
                <w:sz w:val="18"/>
                <w:szCs w:val="18"/>
                <w:lang w:eastAsia="cs-CZ"/>
              </w:rPr>
            </w:pPr>
            <w:r w:rsidRPr="0001489B">
              <w:rPr>
                <w:rFonts w:eastAsia="Times New Roman" w:cstheme="minorHAnsi"/>
                <w:b/>
                <w:bCs/>
                <w:color w:val="000000"/>
                <w:sz w:val="18"/>
                <w:szCs w:val="18"/>
                <w:lang w:eastAsia="cs-CZ"/>
              </w:rPr>
              <w:t>Název oboru</w:t>
            </w:r>
          </w:p>
        </w:tc>
      </w:tr>
      <w:tr w:rsidR="00BB4766" w:rsidRPr="0001489B" w14:paraId="2D592FFF"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1C8663A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Academic School, Střední škola, Zlín</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6AAA376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3254H01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1F1CC25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Výrobce obuvi</w:t>
            </w:r>
          </w:p>
        </w:tc>
      </w:tr>
      <w:tr w:rsidR="00BB4766" w:rsidRPr="0001489B" w14:paraId="0BCD79A6"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519304AE"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10276626"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1820M01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5286789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Informační technologie</w:t>
            </w:r>
          </w:p>
        </w:tc>
      </w:tr>
      <w:tr w:rsidR="00BB4766" w:rsidRPr="0001489B" w14:paraId="37CA1D05"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64C096A4"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4B5FFA6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6641L0</w:t>
            </w:r>
            <w:r>
              <w:rPr>
                <w:rFonts w:eastAsia="Times New Roman" w:cstheme="minorHAnsi"/>
                <w:color w:val="000000"/>
                <w:sz w:val="18"/>
                <w:szCs w:val="18"/>
                <w:lang w:eastAsia="cs-CZ"/>
              </w:rPr>
              <w:t>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3C161FA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Obchodník</w:t>
            </w:r>
          </w:p>
        </w:tc>
      </w:tr>
      <w:tr w:rsidR="00BB4766" w:rsidRPr="0001489B" w14:paraId="32451496"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5FC8153E"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19E3CFDB"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6441L51</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53A9C05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Podnikání</w:t>
            </w:r>
          </w:p>
        </w:tc>
      </w:tr>
      <w:tr w:rsidR="00BB4766" w:rsidRPr="0001489B" w14:paraId="3816F3F4"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1F339AC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Gymnázium Zlín - Lesní čtvrť </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19C6A24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7941K41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744C8F0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Gymnázium</w:t>
            </w:r>
          </w:p>
        </w:tc>
      </w:tr>
      <w:tr w:rsidR="00BB4766" w:rsidRPr="0001489B" w14:paraId="4CFF820B"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6399A258"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17F5E77B"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7941K81</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4FBE278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Gymnázium</w:t>
            </w:r>
          </w:p>
        </w:tc>
      </w:tr>
      <w:tr w:rsidR="00BB4766" w:rsidRPr="0001489B" w14:paraId="29724A88"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012CC095"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Gymnázium a Jazyková škola s právem státní jazykové zkoušky Zlín </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2CE4CCC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7941K41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6090AE0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Gymnázium</w:t>
            </w:r>
          </w:p>
        </w:tc>
      </w:tr>
      <w:tr w:rsidR="00BB4766" w:rsidRPr="0001489B" w14:paraId="0C423C15"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20A213BB"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04DBBBF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7941K81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7CC77E3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Gymnázium</w:t>
            </w:r>
          </w:p>
        </w:tc>
      </w:tr>
      <w:tr w:rsidR="00BB4766" w:rsidRPr="0001489B" w14:paraId="0B488B8C"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6407B058"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1604FB16"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7942K41</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582129A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Gymnázium se sportovní přípravou</w:t>
            </w:r>
          </w:p>
        </w:tc>
      </w:tr>
      <w:tr w:rsidR="00BB4766" w:rsidRPr="0001489B" w14:paraId="46336016"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791E2816"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Obchodní akademie Tomáše Bati a Vyšší odborná škola ekonomická Zlín </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14F4D6F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7842M02</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0FE7AF0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Ekonomické lyceum</w:t>
            </w:r>
          </w:p>
        </w:tc>
      </w:tr>
      <w:tr w:rsidR="00BB4766" w:rsidRPr="0001489B" w14:paraId="041E26DA"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3BFA0814"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0214CA2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6341M02</w:t>
            </w:r>
          </w:p>
        </w:tc>
        <w:tc>
          <w:tcPr>
            <w:tcW w:w="4305" w:type="dxa"/>
            <w:tcBorders>
              <w:top w:val="nil"/>
              <w:left w:val="nil"/>
              <w:bottom w:val="single" w:sz="4" w:space="0" w:color="auto"/>
              <w:right w:val="single" w:sz="12" w:space="0" w:color="auto"/>
            </w:tcBorders>
            <w:shd w:val="clear" w:color="auto" w:fill="auto"/>
            <w:vAlign w:val="bottom"/>
            <w:hideMark/>
          </w:tcPr>
          <w:p w14:paraId="729CCAD4"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Obchodní akademie</w:t>
            </w:r>
          </w:p>
        </w:tc>
      </w:tr>
      <w:tr w:rsidR="00BB4766" w:rsidRPr="0001489B" w14:paraId="38662506"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13C518BE"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0B52F68F"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6341N07</w:t>
            </w:r>
          </w:p>
        </w:tc>
        <w:tc>
          <w:tcPr>
            <w:tcW w:w="4305" w:type="dxa"/>
            <w:tcBorders>
              <w:top w:val="nil"/>
              <w:left w:val="nil"/>
              <w:bottom w:val="single" w:sz="4" w:space="0" w:color="auto"/>
              <w:right w:val="single" w:sz="12" w:space="0" w:color="auto"/>
            </w:tcBorders>
            <w:shd w:val="clear" w:color="auto" w:fill="auto"/>
            <w:vAlign w:val="bottom"/>
            <w:hideMark/>
          </w:tcPr>
          <w:p w14:paraId="08C99502"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Marketing pro střední stupeň řízení</w:t>
            </w:r>
          </w:p>
        </w:tc>
      </w:tr>
      <w:tr w:rsidR="00BB4766" w:rsidRPr="0001489B" w14:paraId="359C3DF8" w14:textId="77777777" w:rsidTr="000C49A5">
        <w:trPr>
          <w:trHeight w:hRule="exact" w:val="227"/>
        </w:trPr>
        <w:tc>
          <w:tcPr>
            <w:tcW w:w="3818" w:type="dxa"/>
            <w:vMerge/>
            <w:tcBorders>
              <w:top w:val="nil"/>
              <w:left w:val="single" w:sz="12" w:space="0" w:color="auto"/>
              <w:bottom w:val="single" w:sz="12" w:space="0" w:color="auto"/>
              <w:right w:val="single" w:sz="4" w:space="0" w:color="auto"/>
            </w:tcBorders>
            <w:vAlign w:val="center"/>
            <w:hideMark/>
          </w:tcPr>
          <w:p w14:paraId="41A732F8"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12" w:space="0" w:color="auto"/>
              <w:right w:val="single" w:sz="4" w:space="0" w:color="auto"/>
            </w:tcBorders>
            <w:shd w:val="clear" w:color="auto" w:fill="auto"/>
            <w:vAlign w:val="bottom"/>
            <w:hideMark/>
          </w:tcPr>
          <w:p w14:paraId="465B1B2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6343N06</w:t>
            </w:r>
          </w:p>
        </w:tc>
        <w:tc>
          <w:tcPr>
            <w:tcW w:w="4305" w:type="dxa"/>
            <w:tcBorders>
              <w:top w:val="nil"/>
              <w:left w:val="nil"/>
              <w:bottom w:val="single" w:sz="12" w:space="0" w:color="auto"/>
              <w:right w:val="single" w:sz="12" w:space="0" w:color="auto"/>
            </w:tcBorders>
            <w:shd w:val="clear" w:color="auto" w:fill="auto"/>
            <w:vAlign w:val="bottom"/>
            <w:hideMark/>
          </w:tcPr>
          <w:p w14:paraId="302C7BF5"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Účetnictví a finanční řízení</w:t>
            </w:r>
          </w:p>
        </w:tc>
      </w:tr>
      <w:tr w:rsidR="00BB4766" w:rsidRPr="0001489B" w14:paraId="43DF4DD1"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4602366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Střední odborná škola ochrany osob a majetku, s.r.o.</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5DECCE33"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6842M01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60AF65C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Ochrana osob a majetku</w:t>
            </w:r>
          </w:p>
        </w:tc>
      </w:tr>
      <w:tr w:rsidR="00BB4766" w:rsidRPr="0001489B" w14:paraId="7432BA52"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68B9274F"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2226007B"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6843M01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26ED2F0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Právní administrativa</w:t>
            </w:r>
          </w:p>
        </w:tc>
      </w:tr>
      <w:tr w:rsidR="00BB4766" w:rsidRPr="0001489B" w14:paraId="3FD40EC3"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5922C942"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268FD15B"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6842L51</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765F4481"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Bezpečnostní služby</w:t>
            </w:r>
          </w:p>
        </w:tc>
      </w:tr>
      <w:tr w:rsidR="00BB4766" w:rsidRPr="0001489B" w14:paraId="49C1CCD3"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4547191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Střední škola Baltaci s. r. o.</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539A87C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6551H01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6A57EA3B"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Kuchař – číšník</w:t>
            </w:r>
          </w:p>
        </w:tc>
      </w:tr>
      <w:tr w:rsidR="00BB4766" w:rsidRPr="0001489B" w14:paraId="3697B5AD"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2ADB8A01"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434A098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6542M01</w:t>
            </w:r>
          </w:p>
        </w:tc>
        <w:tc>
          <w:tcPr>
            <w:tcW w:w="4305" w:type="dxa"/>
            <w:tcBorders>
              <w:top w:val="nil"/>
              <w:left w:val="nil"/>
              <w:bottom w:val="single" w:sz="4" w:space="0" w:color="auto"/>
              <w:right w:val="single" w:sz="12" w:space="0" w:color="auto"/>
            </w:tcBorders>
            <w:shd w:val="clear" w:color="auto" w:fill="auto"/>
            <w:vAlign w:val="bottom"/>
            <w:hideMark/>
          </w:tcPr>
          <w:p w14:paraId="0A5D411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Hotelnictví</w:t>
            </w:r>
          </w:p>
        </w:tc>
      </w:tr>
      <w:tr w:rsidR="00BB4766" w:rsidRPr="0001489B" w14:paraId="01396C41"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752173E7"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1F685EC1"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1820M01</w:t>
            </w:r>
          </w:p>
        </w:tc>
        <w:tc>
          <w:tcPr>
            <w:tcW w:w="4305" w:type="dxa"/>
            <w:tcBorders>
              <w:top w:val="nil"/>
              <w:left w:val="nil"/>
              <w:bottom w:val="single" w:sz="4" w:space="0" w:color="auto"/>
              <w:right w:val="single" w:sz="12" w:space="0" w:color="auto"/>
            </w:tcBorders>
            <w:shd w:val="clear" w:color="auto" w:fill="auto"/>
            <w:vAlign w:val="bottom"/>
            <w:hideMark/>
          </w:tcPr>
          <w:p w14:paraId="0207D315"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Informační technologie</w:t>
            </w:r>
          </w:p>
        </w:tc>
      </w:tr>
      <w:tr w:rsidR="00BB4766" w:rsidRPr="0001489B" w14:paraId="350558A3"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12FA9FC2"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33CF8B0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6541L51</w:t>
            </w:r>
          </w:p>
        </w:tc>
        <w:tc>
          <w:tcPr>
            <w:tcW w:w="4305" w:type="dxa"/>
            <w:tcBorders>
              <w:top w:val="nil"/>
              <w:left w:val="nil"/>
              <w:bottom w:val="single" w:sz="4" w:space="0" w:color="auto"/>
              <w:right w:val="single" w:sz="12" w:space="0" w:color="auto"/>
            </w:tcBorders>
            <w:shd w:val="clear" w:color="auto" w:fill="auto"/>
            <w:vAlign w:val="bottom"/>
            <w:hideMark/>
          </w:tcPr>
          <w:p w14:paraId="3C160D34"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Gastronomie</w:t>
            </w:r>
          </w:p>
        </w:tc>
      </w:tr>
      <w:tr w:rsidR="00BB4766" w:rsidRPr="0001489B" w14:paraId="6C92DC46" w14:textId="77777777" w:rsidTr="000C49A5">
        <w:trPr>
          <w:trHeight w:hRule="exact" w:val="227"/>
        </w:trPr>
        <w:tc>
          <w:tcPr>
            <w:tcW w:w="3818" w:type="dxa"/>
            <w:vMerge/>
            <w:tcBorders>
              <w:top w:val="nil"/>
              <w:left w:val="single" w:sz="12" w:space="0" w:color="auto"/>
              <w:bottom w:val="single" w:sz="12" w:space="0" w:color="auto"/>
              <w:right w:val="single" w:sz="4" w:space="0" w:color="auto"/>
            </w:tcBorders>
            <w:vAlign w:val="center"/>
            <w:hideMark/>
          </w:tcPr>
          <w:p w14:paraId="29262967"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12" w:space="0" w:color="auto"/>
              <w:right w:val="single" w:sz="4" w:space="0" w:color="auto"/>
            </w:tcBorders>
            <w:shd w:val="clear" w:color="auto" w:fill="auto"/>
            <w:vAlign w:val="bottom"/>
            <w:hideMark/>
          </w:tcPr>
          <w:p w14:paraId="380F1322"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6441L51</w:t>
            </w:r>
          </w:p>
        </w:tc>
        <w:tc>
          <w:tcPr>
            <w:tcW w:w="4305" w:type="dxa"/>
            <w:tcBorders>
              <w:top w:val="nil"/>
              <w:left w:val="nil"/>
              <w:bottom w:val="single" w:sz="12" w:space="0" w:color="auto"/>
              <w:right w:val="single" w:sz="12" w:space="0" w:color="auto"/>
            </w:tcBorders>
            <w:shd w:val="clear" w:color="auto" w:fill="auto"/>
            <w:vAlign w:val="bottom"/>
            <w:hideMark/>
          </w:tcPr>
          <w:p w14:paraId="355DDA7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Podnikání</w:t>
            </w:r>
          </w:p>
        </w:tc>
      </w:tr>
      <w:tr w:rsidR="00BB4766" w:rsidRPr="0001489B" w14:paraId="6C63488E"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5919497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Střední škola filmová, multimediální a počítačových technologií, s.r.o.</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3A25152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8241M17 </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3BA963B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Multimediální tvorba (Mediální tvorba)</w:t>
            </w:r>
          </w:p>
        </w:tc>
      </w:tr>
      <w:tr w:rsidR="00BB4766" w:rsidRPr="0001489B" w14:paraId="70838DFD"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37E37110"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2B7547D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8241M17</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4D527C9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Multimediální tvorba (Multimédia a digitální design)</w:t>
            </w:r>
          </w:p>
        </w:tc>
      </w:tr>
      <w:tr w:rsidR="00BB4766" w:rsidRPr="0001489B" w14:paraId="5A2241AC"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01EB25E4"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35193C6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8241M17</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242FD59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Multimediální tvorba (Vývoj počítačových her a multimediálních aplikací - programování)</w:t>
            </w:r>
          </w:p>
        </w:tc>
      </w:tr>
      <w:tr w:rsidR="00BB4766" w:rsidRPr="0001489B" w14:paraId="11BC05F7"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6F3E3D52"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Střední škola gastronomie a obchodu Zlín</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41C36AD3"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7862C02</w:t>
            </w:r>
          </w:p>
        </w:tc>
        <w:tc>
          <w:tcPr>
            <w:tcW w:w="4305" w:type="dxa"/>
            <w:tcBorders>
              <w:top w:val="single" w:sz="12" w:space="0" w:color="auto"/>
              <w:left w:val="nil"/>
              <w:bottom w:val="single" w:sz="4" w:space="0" w:color="auto"/>
              <w:right w:val="single" w:sz="12" w:space="0" w:color="auto"/>
            </w:tcBorders>
            <w:shd w:val="clear" w:color="auto" w:fill="auto"/>
            <w:vAlign w:val="center"/>
            <w:hideMark/>
          </w:tcPr>
          <w:p w14:paraId="00E5FA32"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Praktická škola dvouletá</w:t>
            </w:r>
          </w:p>
        </w:tc>
      </w:tr>
      <w:tr w:rsidR="00BB4766" w:rsidRPr="0001489B" w14:paraId="537E462E"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753D983D"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57065AC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6551H01</w:t>
            </w:r>
          </w:p>
        </w:tc>
        <w:tc>
          <w:tcPr>
            <w:tcW w:w="4305" w:type="dxa"/>
            <w:tcBorders>
              <w:top w:val="nil"/>
              <w:left w:val="nil"/>
              <w:bottom w:val="single" w:sz="4" w:space="0" w:color="auto"/>
              <w:right w:val="single" w:sz="12" w:space="0" w:color="auto"/>
            </w:tcBorders>
            <w:shd w:val="clear" w:color="auto" w:fill="auto"/>
            <w:vAlign w:val="bottom"/>
            <w:hideMark/>
          </w:tcPr>
          <w:p w14:paraId="29D4604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Kuchař – číšník</w:t>
            </w:r>
          </w:p>
        </w:tc>
      </w:tr>
      <w:tr w:rsidR="00BB4766" w:rsidRPr="0001489B" w14:paraId="3CC39B76"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2E572A01"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60F3334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3657E01</w:t>
            </w:r>
          </w:p>
        </w:tc>
        <w:tc>
          <w:tcPr>
            <w:tcW w:w="4305" w:type="dxa"/>
            <w:tcBorders>
              <w:top w:val="nil"/>
              <w:left w:val="nil"/>
              <w:bottom w:val="single" w:sz="4" w:space="0" w:color="auto"/>
              <w:right w:val="single" w:sz="12" w:space="0" w:color="auto"/>
            </w:tcBorders>
            <w:shd w:val="clear" w:color="auto" w:fill="auto"/>
            <w:vAlign w:val="center"/>
            <w:hideMark/>
          </w:tcPr>
          <w:p w14:paraId="6D03904C"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Malířské a natěračské práce</w:t>
            </w:r>
          </w:p>
        </w:tc>
      </w:tr>
      <w:tr w:rsidR="00BB4766" w:rsidRPr="0001489B" w14:paraId="77DA00FD"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372FCE6A"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400E9C76"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7541E01</w:t>
            </w:r>
          </w:p>
        </w:tc>
        <w:tc>
          <w:tcPr>
            <w:tcW w:w="4305" w:type="dxa"/>
            <w:tcBorders>
              <w:top w:val="nil"/>
              <w:left w:val="nil"/>
              <w:bottom w:val="single" w:sz="4" w:space="0" w:color="auto"/>
              <w:right w:val="single" w:sz="12" w:space="0" w:color="auto"/>
            </w:tcBorders>
            <w:shd w:val="clear" w:color="auto" w:fill="auto"/>
            <w:vAlign w:val="bottom"/>
            <w:hideMark/>
          </w:tcPr>
          <w:p w14:paraId="0B95408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Pečovatelské služby</w:t>
            </w:r>
          </w:p>
        </w:tc>
      </w:tr>
      <w:tr w:rsidR="00BB4766" w:rsidRPr="0001489B" w14:paraId="0E9C6D2F"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0164EAB7"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178D2B4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6651H01</w:t>
            </w:r>
          </w:p>
        </w:tc>
        <w:tc>
          <w:tcPr>
            <w:tcW w:w="4305" w:type="dxa"/>
            <w:tcBorders>
              <w:top w:val="nil"/>
              <w:left w:val="nil"/>
              <w:bottom w:val="single" w:sz="4" w:space="0" w:color="auto"/>
              <w:right w:val="single" w:sz="12" w:space="0" w:color="auto"/>
            </w:tcBorders>
            <w:shd w:val="clear" w:color="auto" w:fill="auto"/>
            <w:vAlign w:val="center"/>
            <w:hideMark/>
          </w:tcPr>
          <w:p w14:paraId="1DC0F5A5"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Prodavač</w:t>
            </w:r>
          </w:p>
        </w:tc>
      </w:tr>
      <w:tr w:rsidR="00BB4766" w:rsidRPr="0001489B" w14:paraId="1BF99F78"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221562AE"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29776AB1"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6651E01</w:t>
            </w:r>
          </w:p>
        </w:tc>
        <w:tc>
          <w:tcPr>
            <w:tcW w:w="4305" w:type="dxa"/>
            <w:tcBorders>
              <w:top w:val="nil"/>
              <w:left w:val="nil"/>
              <w:bottom w:val="single" w:sz="4" w:space="0" w:color="auto"/>
              <w:right w:val="single" w:sz="12" w:space="0" w:color="auto"/>
            </w:tcBorders>
            <w:shd w:val="clear" w:color="auto" w:fill="auto"/>
            <w:vAlign w:val="bottom"/>
            <w:hideMark/>
          </w:tcPr>
          <w:p w14:paraId="6544D05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Prodavačské práce</w:t>
            </w:r>
          </w:p>
        </w:tc>
      </w:tr>
      <w:tr w:rsidR="00BB4766" w:rsidRPr="0001489B" w14:paraId="2372D628"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52677225"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6592CE14"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6551E01 </w:t>
            </w:r>
          </w:p>
        </w:tc>
        <w:tc>
          <w:tcPr>
            <w:tcW w:w="4305" w:type="dxa"/>
            <w:tcBorders>
              <w:top w:val="nil"/>
              <w:left w:val="nil"/>
              <w:bottom w:val="single" w:sz="4" w:space="0" w:color="auto"/>
              <w:right w:val="single" w:sz="12" w:space="0" w:color="auto"/>
            </w:tcBorders>
            <w:shd w:val="clear" w:color="auto" w:fill="auto"/>
            <w:vAlign w:val="center"/>
            <w:hideMark/>
          </w:tcPr>
          <w:p w14:paraId="4BF8D0E6"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Stravovací a ubytovací služby</w:t>
            </w:r>
          </w:p>
        </w:tc>
      </w:tr>
      <w:tr w:rsidR="00BB4766" w:rsidRPr="0001489B" w14:paraId="3EAFC3CF"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078E84C4"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01880A94"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3664E01</w:t>
            </w:r>
          </w:p>
        </w:tc>
        <w:tc>
          <w:tcPr>
            <w:tcW w:w="4305" w:type="dxa"/>
            <w:tcBorders>
              <w:top w:val="nil"/>
              <w:left w:val="nil"/>
              <w:bottom w:val="single" w:sz="4" w:space="0" w:color="auto"/>
              <w:right w:val="single" w:sz="12" w:space="0" w:color="auto"/>
            </w:tcBorders>
            <w:shd w:val="clear" w:color="auto" w:fill="auto"/>
            <w:vAlign w:val="bottom"/>
            <w:hideMark/>
          </w:tcPr>
          <w:p w14:paraId="5B0A8C2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Tesařské práce</w:t>
            </w:r>
          </w:p>
        </w:tc>
      </w:tr>
      <w:tr w:rsidR="00BB4766" w:rsidRPr="0001489B" w14:paraId="70C2065D"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77F7A301"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7235502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3667E01</w:t>
            </w:r>
          </w:p>
        </w:tc>
        <w:tc>
          <w:tcPr>
            <w:tcW w:w="4305" w:type="dxa"/>
            <w:tcBorders>
              <w:top w:val="nil"/>
              <w:left w:val="nil"/>
              <w:bottom w:val="single" w:sz="4" w:space="0" w:color="auto"/>
              <w:right w:val="single" w:sz="12" w:space="0" w:color="auto"/>
            </w:tcBorders>
            <w:shd w:val="clear" w:color="auto" w:fill="auto"/>
            <w:vAlign w:val="center"/>
            <w:hideMark/>
          </w:tcPr>
          <w:p w14:paraId="0250CC80"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Zednické práce</w:t>
            </w:r>
          </w:p>
        </w:tc>
      </w:tr>
      <w:tr w:rsidR="00BB4766" w:rsidRPr="0001489B" w14:paraId="7B39DD73"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5E7B2302"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34FAF2FF"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6541L01</w:t>
            </w:r>
          </w:p>
        </w:tc>
        <w:tc>
          <w:tcPr>
            <w:tcW w:w="4305" w:type="dxa"/>
            <w:tcBorders>
              <w:top w:val="nil"/>
              <w:left w:val="nil"/>
              <w:bottom w:val="single" w:sz="4" w:space="0" w:color="auto"/>
              <w:right w:val="single" w:sz="12" w:space="0" w:color="auto"/>
            </w:tcBorders>
            <w:shd w:val="clear" w:color="auto" w:fill="auto"/>
            <w:vAlign w:val="bottom"/>
            <w:hideMark/>
          </w:tcPr>
          <w:p w14:paraId="1A48F05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Gastronomie</w:t>
            </w:r>
          </w:p>
        </w:tc>
      </w:tr>
      <w:tr w:rsidR="00BB4766" w:rsidRPr="0001489B" w14:paraId="326BDB3C" w14:textId="77777777" w:rsidTr="000C49A5">
        <w:trPr>
          <w:trHeight w:hRule="exact" w:val="227"/>
        </w:trPr>
        <w:tc>
          <w:tcPr>
            <w:tcW w:w="3818" w:type="dxa"/>
            <w:vMerge/>
            <w:tcBorders>
              <w:top w:val="nil"/>
              <w:left w:val="single" w:sz="12" w:space="0" w:color="auto"/>
              <w:bottom w:val="single" w:sz="12" w:space="0" w:color="auto"/>
              <w:right w:val="single" w:sz="4" w:space="0" w:color="auto"/>
            </w:tcBorders>
            <w:vAlign w:val="center"/>
            <w:hideMark/>
          </w:tcPr>
          <w:p w14:paraId="75F1716C"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12" w:space="0" w:color="auto"/>
              <w:right w:val="single" w:sz="4" w:space="0" w:color="auto"/>
            </w:tcBorders>
            <w:shd w:val="clear" w:color="auto" w:fill="auto"/>
            <w:vAlign w:val="bottom"/>
            <w:hideMark/>
          </w:tcPr>
          <w:p w14:paraId="4A9924C2"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6641L01</w:t>
            </w:r>
          </w:p>
        </w:tc>
        <w:tc>
          <w:tcPr>
            <w:tcW w:w="4305" w:type="dxa"/>
            <w:tcBorders>
              <w:top w:val="nil"/>
              <w:left w:val="nil"/>
              <w:bottom w:val="single" w:sz="12" w:space="0" w:color="auto"/>
              <w:right w:val="single" w:sz="12" w:space="0" w:color="auto"/>
            </w:tcBorders>
            <w:shd w:val="clear" w:color="auto" w:fill="auto"/>
            <w:vAlign w:val="center"/>
            <w:hideMark/>
          </w:tcPr>
          <w:p w14:paraId="70240F4C"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Obchodník</w:t>
            </w:r>
          </w:p>
        </w:tc>
      </w:tr>
      <w:tr w:rsidR="00BB4766" w:rsidRPr="0001489B" w14:paraId="7D7C616D"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6EC653C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Střední škola pedagogická a sociální Zlín, s. r. o.</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4987ED7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5341H01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7EAE3D8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Ošetřovatel</w:t>
            </w:r>
          </w:p>
        </w:tc>
      </w:tr>
      <w:tr w:rsidR="00BB4766" w:rsidRPr="0001489B" w14:paraId="38A03D44"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27B281B8"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062731B6"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7531M01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28AAB9A2"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Předškolní a mimoškolní pedagogika</w:t>
            </w:r>
          </w:p>
        </w:tc>
      </w:tr>
      <w:tr w:rsidR="00BB4766" w:rsidRPr="0001489B" w14:paraId="138518C8"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765B2321"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215FA97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7541M01</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6DF60E0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Sociální činnost</w:t>
            </w:r>
          </w:p>
        </w:tc>
      </w:tr>
      <w:tr w:rsidR="00BB4766" w:rsidRPr="0001489B" w14:paraId="556F01B3"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74147C6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Střední škola podnikatelská a Vyšší odborná škola, s.r.o.</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50F5941F"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6341M01 </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78404A4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Ekonomika a podnikání</w:t>
            </w:r>
          </w:p>
        </w:tc>
      </w:tr>
      <w:tr w:rsidR="00BB4766" w:rsidRPr="0001489B" w14:paraId="44BEE380" w14:textId="77777777" w:rsidTr="000C49A5">
        <w:trPr>
          <w:trHeight w:hRule="exact" w:val="227"/>
        </w:trPr>
        <w:tc>
          <w:tcPr>
            <w:tcW w:w="3818" w:type="dxa"/>
            <w:vMerge/>
            <w:tcBorders>
              <w:top w:val="nil"/>
              <w:left w:val="single" w:sz="12" w:space="0" w:color="auto"/>
              <w:bottom w:val="single" w:sz="12" w:space="0" w:color="auto"/>
              <w:right w:val="single" w:sz="4" w:space="0" w:color="auto"/>
            </w:tcBorders>
            <w:vAlign w:val="center"/>
            <w:hideMark/>
          </w:tcPr>
          <w:p w14:paraId="1EA123F2"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12" w:space="0" w:color="auto"/>
              <w:right w:val="single" w:sz="4" w:space="0" w:color="auto"/>
            </w:tcBorders>
            <w:shd w:val="clear" w:color="auto" w:fill="auto"/>
            <w:vAlign w:val="bottom"/>
            <w:hideMark/>
          </w:tcPr>
          <w:p w14:paraId="26ECAE51"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6441L51 </w:t>
            </w:r>
          </w:p>
        </w:tc>
        <w:tc>
          <w:tcPr>
            <w:tcW w:w="4305" w:type="dxa"/>
            <w:tcBorders>
              <w:top w:val="nil"/>
              <w:left w:val="nil"/>
              <w:bottom w:val="single" w:sz="12" w:space="0" w:color="auto"/>
              <w:right w:val="single" w:sz="12" w:space="0" w:color="auto"/>
            </w:tcBorders>
            <w:shd w:val="clear" w:color="auto" w:fill="auto"/>
            <w:vAlign w:val="bottom"/>
            <w:hideMark/>
          </w:tcPr>
          <w:p w14:paraId="60E82421"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Podnikání</w:t>
            </w:r>
          </w:p>
        </w:tc>
      </w:tr>
      <w:tr w:rsidR="00BB4766" w:rsidRPr="0001489B" w14:paraId="15808FEF"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6A2A735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Střední průmyslová škola polytechnická - Centrum odborné přípravy Zlín </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799812F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3457H01</w:t>
            </w:r>
          </w:p>
        </w:tc>
        <w:tc>
          <w:tcPr>
            <w:tcW w:w="4305" w:type="dxa"/>
            <w:tcBorders>
              <w:top w:val="single" w:sz="12" w:space="0" w:color="auto"/>
              <w:left w:val="nil"/>
              <w:bottom w:val="single" w:sz="4" w:space="0" w:color="auto"/>
              <w:right w:val="single" w:sz="12" w:space="0" w:color="auto"/>
            </w:tcBorders>
            <w:shd w:val="clear" w:color="auto" w:fill="auto"/>
            <w:vAlign w:val="center"/>
            <w:hideMark/>
          </w:tcPr>
          <w:p w14:paraId="5A1C94AD"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Knihař</w:t>
            </w:r>
          </w:p>
        </w:tc>
      </w:tr>
      <w:tr w:rsidR="00BB4766" w:rsidRPr="0001489B" w14:paraId="640D4A99"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001E8A90"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2EB6556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2356H01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23F75F3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Obráběč kovů</w:t>
            </w:r>
          </w:p>
        </w:tc>
      </w:tr>
      <w:tr w:rsidR="00BB4766" w:rsidRPr="0001489B" w14:paraId="1221B9AE"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6CF3CC8F"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5FFB894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2351H01</w:t>
            </w:r>
          </w:p>
        </w:tc>
        <w:tc>
          <w:tcPr>
            <w:tcW w:w="4305" w:type="dxa"/>
            <w:tcBorders>
              <w:top w:val="single" w:sz="4" w:space="0" w:color="auto"/>
              <w:left w:val="nil"/>
              <w:bottom w:val="single" w:sz="4" w:space="0" w:color="auto"/>
              <w:right w:val="single" w:sz="12" w:space="0" w:color="auto"/>
            </w:tcBorders>
            <w:shd w:val="clear" w:color="auto" w:fill="auto"/>
            <w:vAlign w:val="center"/>
            <w:hideMark/>
          </w:tcPr>
          <w:p w14:paraId="4FCD4D77"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Strojní mechanik</w:t>
            </w:r>
          </w:p>
        </w:tc>
      </w:tr>
      <w:tr w:rsidR="00BB4766" w:rsidRPr="0001489B" w14:paraId="4953771B"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32DD0DD2"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568014F"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3452H01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6207339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Tiskař na polygrafických strojích</w:t>
            </w:r>
          </w:p>
        </w:tc>
      </w:tr>
      <w:tr w:rsidR="00BB4766" w:rsidRPr="0001489B" w14:paraId="348D9A4F"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220D30AF"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F11764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6341M01</w:t>
            </w:r>
          </w:p>
        </w:tc>
        <w:tc>
          <w:tcPr>
            <w:tcW w:w="4305" w:type="dxa"/>
            <w:tcBorders>
              <w:top w:val="single" w:sz="4" w:space="0" w:color="auto"/>
              <w:left w:val="nil"/>
              <w:bottom w:val="single" w:sz="4" w:space="0" w:color="auto"/>
              <w:right w:val="single" w:sz="12" w:space="0" w:color="auto"/>
            </w:tcBorders>
            <w:shd w:val="clear" w:color="auto" w:fill="auto"/>
            <w:vAlign w:val="center"/>
            <w:hideMark/>
          </w:tcPr>
          <w:p w14:paraId="0BF441D1"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Ekonomika a podnikání</w:t>
            </w:r>
          </w:p>
        </w:tc>
      </w:tr>
      <w:tr w:rsidR="00BB4766" w:rsidRPr="0001489B" w14:paraId="60D279EF"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3765A90F"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52136E8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2641L01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4E8509B6"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Mechanik elektrotechnik</w:t>
            </w:r>
          </w:p>
        </w:tc>
      </w:tr>
      <w:tr w:rsidR="00BB4766" w:rsidRPr="0001489B" w14:paraId="23C2DD0A"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059CB878"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85D839F"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2345L01 </w:t>
            </w:r>
          </w:p>
        </w:tc>
        <w:tc>
          <w:tcPr>
            <w:tcW w:w="4305" w:type="dxa"/>
            <w:tcBorders>
              <w:top w:val="single" w:sz="4" w:space="0" w:color="auto"/>
              <w:left w:val="nil"/>
              <w:bottom w:val="single" w:sz="4" w:space="0" w:color="auto"/>
              <w:right w:val="single" w:sz="12" w:space="0" w:color="auto"/>
            </w:tcBorders>
            <w:shd w:val="clear" w:color="auto" w:fill="auto"/>
            <w:vAlign w:val="center"/>
            <w:hideMark/>
          </w:tcPr>
          <w:p w14:paraId="668F5528"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Mechanik seřizovač</w:t>
            </w:r>
          </w:p>
        </w:tc>
      </w:tr>
      <w:tr w:rsidR="00BB4766" w:rsidRPr="0001489B" w14:paraId="415351E6"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05A685A1"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60611F6B"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3453L01</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08FF32F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Reprodukční grafik pro média</w:t>
            </w:r>
          </w:p>
        </w:tc>
      </w:tr>
      <w:tr w:rsidR="00BB4766" w:rsidRPr="0001489B" w14:paraId="77ABC8EF"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3479BD6C"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3D649C0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3241M01</w:t>
            </w:r>
          </w:p>
        </w:tc>
        <w:tc>
          <w:tcPr>
            <w:tcW w:w="4305" w:type="dxa"/>
            <w:tcBorders>
              <w:top w:val="single" w:sz="4" w:space="0" w:color="auto"/>
              <w:left w:val="nil"/>
              <w:bottom w:val="single" w:sz="4" w:space="0" w:color="auto"/>
              <w:right w:val="single" w:sz="12" w:space="0" w:color="auto"/>
            </w:tcBorders>
            <w:shd w:val="clear" w:color="auto" w:fill="auto"/>
            <w:vAlign w:val="center"/>
            <w:hideMark/>
          </w:tcPr>
          <w:p w14:paraId="57C33A98"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Zpracování usní, plastů a pryže</w:t>
            </w:r>
          </w:p>
        </w:tc>
      </w:tr>
      <w:tr w:rsidR="00BB4766" w:rsidRPr="0001489B" w14:paraId="25EF0279"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1448725C"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3A57FEE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2343L51 </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5CD9ADD7"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Provozní technika</w:t>
            </w:r>
          </w:p>
        </w:tc>
      </w:tr>
      <w:tr w:rsidR="00BB4766" w:rsidRPr="0001489B" w14:paraId="6171A622"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5D3EAEFA"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Střední průmyslová škola Zlín</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48CB908D"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2641M01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447541FF"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Elektrotechnika</w:t>
            </w:r>
          </w:p>
        </w:tc>
      </w:tr>
      <w:tr w:rsidR="00BB4766" w:rsidRPr="0001489B" w14:paraId="3D9C9323"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5FFF3FAA"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5E3A4A60"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3647M01 </w:t>
            </w:r>
          </w:p>
        </w:tc>
        <w:tc>
          <w:tcPr>
            <w:tcW w:w="4305" w:type="dxa"/>
            <w:tcBorders>
              <w:top w:val="nil"/>
              <w:left w:val="nil"/>
              <w:bottom w:val="single" w:sz="4" w:space="0" w:color="auto"/>
              <w:right w:val="single" w:sz="12" w:space="0" w:color="auto"/>
            </w:tcBorders>
            <w:shd w:val="clear" w:color="auto" w:fill="auto"/>
            <w:vAlign w:val="bottom"/>
            <w:hideMark/>
          </w:tcPr>
          <w:p w14:paraId="7D443B1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Stavebnictví</w:t>
            </w:r>
          </w:p>
        </w:tc>
      </w:tr>
      <w:tr w:rsidR="00BB4766" w:rsidRPr="0001489B" w14:paraId="660E262A" w14:textId="77777777" w:rsidTr="000C49A5">
        <w:trPr>
          <w:trHeight w:hRule="exact" w:val="227"/>
        </w:trPr>
        <w:tc>
          <w:tcPr>
            <w:tcW w:w="3818" w:type="dxa"/>
            <w:vMerge/>
            <w:tcBorders>
              <w:top w:val="nil"/>
              <w:left w:val="single" w:sz="12" w:space="0" w:color="auto"/>
              <w:bottom w:val="single" w:sz="4" w:space="0" w:color="auto"/>
              <w:right w:val="single" w:sz="4" w:space="0" w:color="auto"/>
            </w:tcBorders>
            <w:vAlign w:val="center"/>
            <w:hideMark/>
          </w:tcPr>
          <w:p w14:paraId="3AC58A32"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4" w:space="0" w:color="auto"/>
              <w:right w:val="single" w:sz="4" w:space="0" w:color="auto"/>
            </w:tcBorders>
            <w:shd w:val="clear" w:color="auto" w:fill="auto"/>
            <w:vAlign w:val="bottom"/>
            <w:hideMark/>
          </w:tcPr>
          <w:p w14:paraId="475369E5"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2341M01</w:t>
            </w:r>
          </w:p>
        </w:tc>
        <w:tc>
          <w:tcPr>
            <w:tcW w:w="4305" w:type="dxa"/>
            <w:tcBorders>
              <w:top w:val="nil"/>
              <w:left w:val="nil"/>
              <w:bottom w:val="single" w:sz="4" w:space="0" w:color="auto"/>
              <w:right w:val="single" w:sz="12" w:space="0" w:color="auto"/>
            </w:tcBorders>
            <w:shd w:val="clear" w:color="auto" w:fill="auto"/>
            <w:vAlign w:val="center"/>
            <w:hideMark/>
          </w:tcPr>
          <w:p w14:paraId="661245D7" w14:textId="77777777" w:rsidR="00BB4766" w:rsidRPr="0001489B" w:rsidRDefault="00BB4766" w:rsidP="000C49A5">
            <w:pPr>
              <w:spacing w:before="0"/>
              <w:rPr>
                <w:rFonts w:eastAsia="Times New Roman" w:cstheme="minorHAnsi"/>
                <w:color w:val="000000"/>
                <w:sz w:val="18"/>
                <w:szCs w:val="18"/>
                <w:lang w:eastAsia="cs-CZ"/>
              </w:rPr>
            </w:pPr>
            <w:r w:rsidRPr="0001489B">
              <w:rPr>
                <w:rFonts w:eastAsia="Times New Roman" w:cstheme="minorHAnsi"/>
                <w:color w:val="000000"/>
                <w:sz w:val="18"/>
                <w:szCs w:val="18"/>
                <w:lang w:eastAsia="cs-CZ"/>
              </w:rPr>
              <w:t>Strojírenství</w:t>
            </w:r>
          </w:p>
        </w:tc>
      </w:tr>
      <w:tr w:rsidR="00BB4766" w:rsidRPr="0001489B" w14:paraId="46326123" w14:textId="77777777" w:rsidTr="000C49A5">
        <w:trPr>
          <w:trHeight w:hRule="exact" w:val="227"/>
        </w:trPr>
        <w:tc>
          <w:tcPr>
            <w:tcW w:w="3818" w:type="dxa"/>
            <w:vMerge/>
            <w:tcBorders>
              <w:top w:val="nil"/>
              <w:left w:val="single" w:sz="12" w:space="0" w:color="auto"/>
              <w:bottom w:val="single" w:sz="12" w:space="0" w:color="auto"/>
              <w:right w:val="single" w:sz="4" w:space="0" w:color="auto"/>
            </w:tcBorders>
            <w:vAlign w:val="center"/>
            <w:hideMark/>
          </w:tcPr>
          <w:p w14:paraId="47DB0A06"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nil"/>
              <w:left w:val="nil"/>
              <w:bottom w:val="single" w:sz="12" w:space="0" w:color="auto"/>
              <w:right w:val="single" w:sz="4" w:space="0" w:color="auto"/>
            </w:tcBorders>
            <w:shd w:val="clear" w:color="auto" w:fill="auto"/>
            <w:vAlign w:val="bottom"/>
            <w:hideMark/>
          </w:tcPr>
          <w:p w14:paraId="391C702E"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7842M01</w:t>
            </w:r>
          </w:p>
        </w:tc>
        <w:tc>
          <w:tcPr>
            <w:tcW w:w="4305" w:type="dxa"/>
            <w:tcBorders>
              <w:top w:val="nil"/>
              <w:left w:val="nil"/>
              <w:bottom w:val="single" w:sz="12" w:space="0" w:color="auto"/>
              <w:right w:val="single" w:sz="12" w:space="0" w:color="auto"/>
            </w:tcBorders>
            <w:shd w:val="clear" w:color="auto" w:fill="auto"/>
            <w:vAlign w:val="bottom"/>
            <w:hideMark/>
          </w:tcPr>
          <w:p w14:paraId="1308730C"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Technické lyceum</w:t>
            </w:r>
          </w:p>
        </w:tc>
      </w:tr>
      <w:tr w:rsidR="00BB4766" w:rsidRPr="0001489B" w14:paraId="162787EE" w14:textId="77777777" w:rsidTr="000C49A5">
        <w:trPr>
          <w:trHeight w:hRule="exact" w:val="227"/>
        </w:trPr>
        <w:tc>
          <w:tcPr>
            <w:tcW w:w="3818"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15C54406"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Střední zdravotnická škola a Vyšší odborná škola zdravotnická Zlín </w:t>
            </w:r>
          </w:p>
        </w:tc>
        <w:tc>
          <w:tcPr>
            <w:tcW w:w="992" w:type="dxa"/>
            <w:tcBorders>
              <w:top w:val="single" w:sz="12" w:space="0" w:color="auto"/>
              <w:left w:val="nil"/>
              <w:bottom w:val="single" w:sz="4" w:space="0" w:color="auto"/>
              <w:right w:val="single" w:sz="4" w:space="0" w:color="auto"/>
            </w:tcBorders>
            <w:shd w:val="clear" w:color="auto" w:fill="auto"/>
            <w:vAlign w:val="bottom"/>
            <w:hideMark/>
          </w:tcPr>
          <w:p w14:paraId="4BCF5885"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5341M01</w:t>
            </w:r>
          </w:p>
        </w:tc>
        <w:tc>
          <w:tcPr>
            <w:tcW w:w="4305" w:type="dxa"/>
            <w:tcBorders>
              <w:top w:val="single" w:sz="12" w:space="0" w:color="auto"/>
              <w:left w:val="nil"/>
              <w:bottom w:val="single" w:sz="4" w:space="0" w:color="auto"/>
              <w:right w:val="single" w:sz="12" w:space="0" w:color="auto"/>
            </w:tcBorders>
            <w:shd w:val="clear" w:color="auto" w:fill="auto"/>
            <w:vAlign w:val="bottom"/>
            <w:hideMark/>
          </w:tcPr>
          <w:p w14:paraId="6C83C4F3"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Zdravotnický asistent</w:t>
            </w:r>
          </w:p>
        </w:tc>
      </w:tr>
      <w:tr w:rsidR="00BB4766" w:rsidRPr="0001489B" w14:paraId="77CB9487" w14:textId="77777777" w:rsidTr="000C49A5">
        <w:trPr>
          <w:trHeight w:hRule="exact" w:val="227"/>
        </w:trPr>
        <w:tc>
          <w:tcPr>
            <w:tcW w:w="3818" w:type="dxa"/>
            <w:vMerge/>
            <w:tcBorders>
              <w:top w:val="single" w:sz="4" w:space="0" w:color="auto"/>
              <w:left w:val="single" w:sz="12" w:space="0" w:color="auto"/>
              <w:bottom w:val="single" w:sz="4" w:space="0" w:color="auto"/>
              <w:right w:val="single" w:sz="4" w:space="0" w:color="auto"/>
            </w:tcBorders>
            <w:vAlign w:val="center"/>
            <w:hideMark/>
          </w:tcPr>
          <w:p w14:paraId="05966D70"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4" w:space="0" w:color="auto"/>
              <w:right w:val="single" w:sz="4" w:space="0" w:color="auto"/>
            </w:tcBorders>
            <w:shd w:val="clear" w:color="auto" w:fill="auto"/>
            <w:vAlign w:val="bottom"/>
            <w:hideMark/>
          </w:tcPr>
          <w:p w14:paraId="76F1091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 xml:space="preserve">5341N11 </w:t>
            </w:r>
          </w:p>
        </w:tc>
        <w:tc>
          <w:tcPr>
            <w:tcW w:w="4305" w:type="dxa"/>
            <w:tcBorders>
              <w:top w:val="single" w:sz="4" w:space="0" w:color="auto"/>
              <w:left w:val="nil"/>
              <w:bottom w:val="single" w:sz="4" w:space="0" w:color="auto"/>
              <w:right w:val="single" w:sz="12" w:space="0" w:color="auto"/>
            </w:tcBorders>
            <w:shd w:val="clear" w:color="auto" w:fill="auto"/>
            <w:vAlign w:val="bottom"/>
            <w:hideMark/>
          </w:tcPr>
          <w:p w14:paraId="17F6F2C1"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Diplomovaná všeobecná sestra</w:t>
            </w:r>
          </w:p>
        </w:tc>
      </w:tr>
      <w:tr w:rsidR="00BB4766" w:rsidRPr="0001489B" w14:paraId="3FF637D9" w14:textId="77777777" w:rsidTr="000C49A5">
        <w:trPr>
          <w:trHeight w:hRule="exact" w:val="227"/>
        </w:trPr>
        <w:tc>
          <w:tcPr>
            <w:tcW w:w="3818" w:type="dxa"/>
            <w:vMerge/>
            <w:tcBorders>
              <w:top w:val="single" w:sz="4" w:space="0" w:color="auto"/>
              <w:left w:val="single" w:sz="12" w:space="0" w:color="auto"/>
              <w:bottom w:val="single" w:sz="12" w:space="0" w:color="auto"/>
              <w:right w:val="single" w:sz="4" w:space="0" w:color="auto"/>
            </w:tcBorders>
            <w:vAlign w:val="center"/>
            <w:hideMark/>
          </w:tcPr>
          <w:p w14:paraId="580DE4A5" w14:textId="77777777" w:rsidR="00BB4766" w:rsidRPr="0001489B" w:rsidRDefault="00BB4766" w:rsidP="000C49A5">
            <w:pPr>
              <w:spacing w:before="0"/>
              <w:jc w:val="left"/>
              <w:rPr>
                <w:rFonts w:eastAsia="Times New Roman" w:cstheme="minorHAnsi"/>
                <w:color w:val="000000"/>
                <w:sz w:val="18"/>
                <w:szCs w:val="18"/>
                <w:lang w:eastAsia="cs-CZ"/>
              </w:rPr>
            </w:pPr>
          </w:p>
        </w:tc>
        <w:tc>
          <w:tcPr>
            <w:tcW w:w="992" w:type="dxa"/>
            <w:tcBorders>
              <w:top w:val="single" w:sz="4" w:space="0" w:color="auto"/>
              <w:left w:val="nil"/>
              <w:bottom w:val="single" w:sz="12" w:space="0" w:color="auto"/>
              <w:right w:val="single" w:sz="4" w:space="0" w:color="auto"/>
            </w:tcBorders>
            <w:shd w:val="clear" w:color="auto" w:fill="auto"/>
            <w:vAlign w:val="bottom"/>
            <w:hideMark/>
          </w:tcPr>
          <w:p w14:paraId="28097379"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5341N21</w:t>
            </w:r>
          </w:p>
        </w:tc>
        <w:tc>
          <w:tcPr>
            <w:tcW w:w="4305" w:type="dxa"/>
            <w:tcBorders>
              <w:top w:val="single" w:sz="4" w:space="0" w:color="auto"/>
              <w:left w:val="nil"/>
              <w:bottom w:val="single" w:sz="12" w:space="0" w:color="auto"/>
              <w:right w:val="single" w:sz="12" w:space="0" w:color="auto"/>
            </w:tcBorders>
            <w:shd w:val="clear" w:color="auto" w:fill="auto"/>
            <w:vAlign w:val="bottom"/>
            <w:hideMark/>
          </w:tcPr>
          <w:p w14:paraId="0D9FA128" w14:textId="77777777" w:rsidR="00BB4766" w:rsidRPr="0001489B" w:rsidRDefault="00BB4766" w:rsidP="000C49A5">
            <w:pPr>
              <w:spacing w:before="0"/>
              <w:jc w:val="left"/>
              <w:rPr>
                <w:rFonts w:eastAsia="Times New Roman" w:cstheme="minorHAnsi"/>
                <w:color w:val="000000"/>
                <w:sz w:val="18"/>
                <w:szCs w:val="18"/>
                <w:lang w:eastAsia="cs-CZ"/>
              </w:rPr>
            </w:pPr>
            <w:r w:rsidRPr="0001489B">
              <w:rPr>
                <w:rFonts w:eastAsia="Times New Roman" w:cstheme="minorHAnsi"/>
                <w:color w:val="000000"/>
                <w:sz w:val="18"/>
                <w:szCs w:val="18"/>
                <w:lang w:eastAsia="cs-CZ"/>
              </w:rPr>
              <w:t>Diplomovaný zdravotnický záchranář</w:t>
            </w:r>
          </w:p>
        </w:tc>
      </w:tr>
    </w:tbl>
    <w:p w14:paraId="63C96223" w14:textId="13554A6F" w:rsidR="00BB4766" w:rsidRPr="0001489B" w:rsidRDefault="00BB4766" w:rsidP="00BB4766">
      <w:pPr>
        <w:pStyle w:val="Zdroj"/>
        <w:spacing w:before="0"/>
      </w:pPr>
      <w:r>
        <w:t>Zdroj: stredniskoly.cz, zpracování PROCES, k 1.</w:t>
      </w:r>
      <w:r w:rsidR="00A76987">
        <w:t xml:space="preserve"> </w:t>
      </w:r>
      <w:r>
        <w:t>7.</w:t>
      </w:r>
      <w:r w:rsidR="00A76987">
        <w:t xml:space="preserve"> </w:t>
      </w:r>
      <w:r>
        <w:t>2020</w:t>
      </w:r>
      <w:r w:rsidR="00A76987">
        <w:t>.</w:t>
      </w:r>
    </w:p>
    <w:p w14:paraId="3FC6BE8B" w14:textId="77777777" w:rsidR="00BB4766" w:rsidRDefault="00BB4766" w:rsidP="00BB4766">
      <w:pPr>
        <w:pStyle w:val="Nadpis4"/>
      </w:pPr>
      <w:r>
        <w:lastRenderedPageBreak/>
        <w:t>Vyšší odborné vzdělávání</w:t>
      </w:r>
    </w:p>
    <w:p w14:paraId="4688AE91" w14:textId="3583B3B6" w:rsidR="00BB4766" w:rsidRDefault="00BB4766" w:rsidP="00BB4766">
      <w:r>
        <w:t xml:space="preserve">Vyšší odborné vzdělání je na území města Zlín poskytováno 4 školami. Dvě školy, </w:t>
      </w:r>
      <w:r w:rsidRPr="00C47467">
        <w:t>Obchodní akademie Tomáše Bati a Vyšší odborná škola ekonomická Zlín</w:t>
      </w:r>
      <w:r>
        <w:t xml:space="preserve"> a </w:t>
      </w:r>
      <w:r w:rsidRPr="00C47467">
        <w:t>Střední zdravotnická škola a Vyšší odborná škola zdravotnická Zlín</w:t>
      </w:r>
      <w:r>
        <w:t>, jsou zřizovány Zlínským krajem. Vývoj kapacity, počtu skupin a počtu studentů je uveden v</w:t>
      </w:r>
      <w:r w:rsidR="00094895">
        <w:t> </w:t>
      </w:r>
      <w:r>
        <w:t>tabulce</w:t>
      </w:r>
      <w:r w:rsidR="00122205">
        <w:t xml:space="preserve"> 1.45</w:t>
      </w:r>
      <w:r>
        <w:t xml:space="preserve">. Počet studentů na obou školách dlouhodobě </w:t>
      </w:r>
      <w:r w:rsidR="00A76987">
        <w:t>k</w:t>
      </w:r>
      <w:r>
        <w:t xml:space="preserve">lesá, což potvrzuje trend </w:t>
      </w:r>
      <w:r w:rsidRPr="003C0600">
        <w:rPr>
          <w:rFonts w:ascii="Calibri" w:hAnsi="Calibri"/>
        </w:rPr>
        <w:t>snižující</w:t>
      </w:r>
      <w:r>
        <w:rPr>
          <w:rFonts w:ascii="Calibri" w:hAnsi="Calibri"/>
        </w:rPr>
        <w:t>ho se záj</w:t>
      </w:r>
      <w:r w:rsidRPr="003C0600">
        <w:rPr>
          <w:rFonts w:ascii="Calibri" w:hAnsi="Calibri"/>
        </w:rPr>
        <w:t>m</w:t>
      </w:r>
      <w:r>
        <w:rPr>
          <w:rFonts w:ascii="Calibri" w:hAnsi="Calibri"/>
        </w:rPr>
        <w:t>u</w:t>
      </w:r>
      <w:r w:rsidRPr="003C0600">
        <w:rPr>
          <w:rFonts w:ascii="Calibri" w:hAnsi="Calibri"/>
        </w:rPr>
        <w:t xml:space="preserve"> o tento typ studia</w:t>
      </w:r>
      <w:r>
        <w:rPr>
          <w:rFonts w:ascii="Calibri" w:hAnsi="Calibri"/>
        </w:rPr>
        <w:t xml:space="preserve">. Vzhledem ke snižujícímu se zájmu studentů o studium na vyšších odborných školách </w:t>
      </w:r>
      <w:r w:rsidRPr="00FD5477">
        <w:rPr>
          <w:rFonts w:ascii="Calibri" w:hAnsi="Calibri"/>
        </w:rPr>
        <w:t>lze očekávat redukci sítě vyšších odborných škol. Výjimku mohou tvořit obory technického a přírodovědného zaměření s provázaností na potřeby zaměstnavatelů v regionu.</w:t>
      </w:r>
    </w:p>
    <w:p w14:paraId="049DC2E0" w14:textId="17B29472" w:rsidR="00BB4766" w:rsidRDefault="00BB4766" w:rsidP="00BB4766">
      <w:pPr>
        <w:pStyle w:val="Titulek"/>
      </w:pPr>
      <w:bookmarkStart w:id="256" w:name="_Toc52885956"/>
      <w:bookmarkStart w:id="257" w:name="_Toc7707472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45</w:t>
      </w:r>
      <w:r w:rsidR="00081B47">
        <w:rPr>
          <w:noProof/>
        </w:rPr>
        <w:fldChar w:fldCharType="end"/>
      </w:r>
      <w:r w:rsidR="00A76987">
        <w:rPr>
          <w:noProof/>
        </w:rPr>
        <w:t>:</w:t>
      </w:r>
      <w:r>
        <w:t xml:space="preserve"> Kapacita, počet skupin a studentů v</w:t>
      </w:r>
      <w:r w:rsidRPr="005A5B8B">
        <w:t>yšší</w:t>
      </w:r>
      <w:r>
        <w:t>ch odborných škol</w:t>
      </w:r>
      <w:r w:rsidRPr="005A5B8B">
        <w:t xml:space="preserve"> na území města Zlína, zřizované Zlínským krajem</w:t>
      </w:r>
      <w:r>
        <w:t xml:space="preserve"> v letech 2013/2014 – 2019/2020</w:t>
      </w:r>
      <w:bookmarkEnd w:id="256"/>
      <w:bookmarkEnd w:id="257"/>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280"/>
        <w:gridCol w:w="1280"/>
        <w:gridCol w:w="1409"/>
        <w:gridCol w:w="1280"/>
        <w:gridCol w:w="1280"/>
        <w:gridCol w:w="1280"/>
      </w:tblGrid>
      <w:tr w:rsidR="00BB4766" w:rsidRPr="00F67072" w14:paraId="300BF0D4" w14:textId="77777777" w:rsidTr="000C49A5">
        <w:trPr>
          <w:trHeight w:val="525"/>
        </w:trPr>
        <w:tc>
          <w:tcPr>
            <w:tcW w:w="1271" w:type="dxa"/>
            <w:vMerge w:val="restart"/>
            <w:tcBorders>
              <w:top w:val="single" w:sz="12" w:space="0" w:color="auto"/>
              <w:left w:val="single" w:sz="12" w:space="0" w:color="auto"/>
              <w:right w:val="single" w:sz="12" w:space="0" w:color="auto"/>
            </w:tcBorders>
            <w:shd w:val="clear" w:color="000000" w:fill="D0CECE"/>
            <w:noWrap/>
            <w:vAlign w:val="center"/>
            <w:hideMark/>
          </w:tcPr>
          <w:p w14:paraId="3349C8D1"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Školní rok</w:t>
            </w:r>
          </w:p>
        </w:tc>
        <w:tc>
          <w:tcPr>
            <w:tcW w:w="3969" w:type="dxa"/>
            <w:gridSpan w:val="3"/>
            <w:tcBorders>
              <w:top w:val="single" w:sz="12" w:space="0" w:color="auto"/>
              <w:left w:val="single" w:sz="12" w:space="0" w:color="auto"/>
              <w:right w:val="single" w:sz="12" w:space="0" w:color="auto"/>
            </w:tcBorders>
            <w:shd w:val="clear" w:color="000000" w:fill="D0CECE"/>
            <w:vAlign w:val="center"/>
            <w:hideMark/>
          </w:tcPr>
          <w:p w14:paraId="30A9D1AB"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Obchodní akademie Tomáše Bati a Vyšší odborná škola ekonomická Zlín</w:t>
            </w:r>
          </w:p>
        </w:tc>
        <w:tc>
          <w:tcPr>
            <w:tcW w:w="3840" w:type="dxa"/>
            <w:gridSpan w:val="3"/>
            <w:tcBorders>
              <w:top w:val="single" w:sz="12" w:space="0" w:color="auto"/>
              <w:left w:val="single" w:sz="12" w:space="0" w:color="auto"/>
              <w:right w:val="single" w:sz="12" w:space="0" w:color="auto"/>
            </w:tcBorders>
            <w:shd w:val="clear" w:color="000000" w:fill="D0CECE"/>
            <w:vAlign w:val="center"/>
            <w:hideMark/>
          </w:tcPr>
          <w:p w14:paraId="7DDD5B7E"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Střední zdravotnická škola a Vyšší odborná škola zdravotnická Zlín</w:t>
            </w:r>
          </w:p>
        </w:tc>
      </w:tr>
      <w:tr w:rsidR="00BB4766" w:rsidRPr="00F67072" w14:paraId="602022FA" w14:textId="77777777" w:rsidTr="000C49A5">
        <w:trPr>
          <w:trHeight w:val="615"/>
        </w:trPr>
        <w:tc>
          <w:tcPr>
            <w:tcW w:w="1271" w:type="dxa"/>
            <w:vMerge/>
            <w:tcBorders>
              <w:left w:val="single" w:sz="12" w:space="0" w:color="auto"/>
              <w:right w:val="single" w:sz="12" w:space="0" w:color="auto"/>
            </w:tcBorders>
            <w:vAlign w:val="center"/>
            <w:hideMark/>
          </w:tcPr>
          <w:p w14:paraId="5522B8D3" w14:textId="77777777" w:rsidR="00BB4766" w:rsidRPr="00F67072" w:rsidRDefault="00BB4766" w:rsidP="000C49A5">
            <w:pPr>
              <w:spacing w:before="0"/>
              <w:jc w:val="left"/>
              <w:rPr>
                <w:rFonts w:ascii="Calibri" w:eastAsia="Times New Roman" w:hAnsi="Calibri" w:cs="Calibri"/>
                <w:b/>
                <w:color w:val="000000"/>
                <w:sz w:val="18"/>
                <w:szCs w:val="18"/>
                <w:lang w:eastAsia="cs-CZ"/>
              </w:rPr>
            </w:pPr>
          </w:p>
        </w:tc>
        <w:tc>
          <w:tcPr>
            <w:tcW w:w="1280" w:type="dxa"/>
            <w:tcBorders>
              <w:left w:val="single" w:sz="12" w:space="0" w:color="auto"/>
            </w:tcBorders>
            <w:shd w:val="clear" w:color="000000" w:fill="D0CECE"/>
            <w:vAlign w:val="center"/>
            <w:hideMark/>
          </w:tcPr>
          <w:p w14:paraId="30195F41"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Kapacita VOŠ</w:t>
            </w:r>
          </w:p>
        </w:tc>
        <w:tc>
          <w:tcPr>
            <w:tcW w:w="1280" w:type="dxa"/>
            <w:shd w:val="clear" w:color="000000" w:fill="D0CECE"/>
            <w:vAlign w:val="center"/>
            <w:hideMark/>
          </w:tcPr>
          <w:p w14:paraId="586809F8"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Počet skupin VOŠ</w:t>
            </w:r>
          </w:p>
        </w:tc>
        <w:tc>
          <w:tcPr>
            <w:tcW w:w="1409" w:type="dxa"/>
            <w:tcBorders>
              <w:right w:val="single" w:sz="12" w:space="0" w:color="auto"/>
            </w:tcBorders>
            <w:shd w:val="clear" w:color="000000" w:fill="D0CECE"/>
            <w:vAlign w:val="center"/>
            <w:hideMark/>
          </w:tcPr>
          <w:p w14:paraId="2A534244"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Počet studentů</w:t>
            </w:r>
          </w:p>
        </w:tc>
        <w:tc>
          <w:tcPr>
            <w:tcW w:w="1280" w:type="dxa"/>
            <w:tcBorders>
              <w:left w:val="single" w:sz="12" w:space="0" w:color="auto"/>
            </w:tcBorders>
            <w:shd w:val="clear" w:color="000000" w:fill="D0CECE"/>
            <w:vAlign w:val="center"/>
            <w:hideMark/>
          </w:tcPr>
          <w:p w14:paraId="5721F601"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Kapacita VOŠ</w:t>
            </w:r>
          </w:p>
        </w:tc>
        <w:tc>
          <w:tcPr>
            <w:tcW w:w="1280" w:type="dxa"/>
            <w:shd w:val="clear" w:color="000000" w:fill="D0CECE"/>
            <w:vAlign w:val="center"/>
            <w:hideMark/>
          </w:tcPr>
          <w:p w14:paraId="4CE77342"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Počet skupin VOŠ</w:t>
            </w:r>
          </w:p>
        </w:tc>
        <w:tc>
          <w:tcPr>
            <w:tcW w:w="1280" w:type="dxa"/>
            <w:tcBorders>
              <w:right w:val="single" w:sz="12" w:space="0" w:color="auto"/>
            </w:tcBorders>
            <w:shd w:val="clear" w:color="000000" w:fill="D0CECE"/>
            <w:vAlign w:val="center"/>
            <w:hideMark/>
          </w:tcPr>
          <w:p w14:paraId="663D7E38" w14:textId="77777777" w:rsidR="00BB4766" w:rsidRPr="00F67072" w:rsidRDefault="00BB4766" w:rsidP="000C49A5">
            <w:pPr>
              <w:spacing w:before="0"/>
              <w:jc w:val="center"/>
              <w:rPr>
                <w:rFonts w:ascii="Calibri" w:eastAsia="Times New Roman" w:hAnsi="Calibri" w:cs="Calibri"/>
                <w:b/>
                <w:color w:val="000000"/>
                <w:sz w:val="18"/>
                <w:szCs w:val="18"/>
                <w:lang w:eastAsia="cs-CZ"/>
              </w:rPr>
            </w:pPr>
            <w:r w:rsidRPr="00F67072">
              <w:rPr>
                <w:rFonts w:ascii="Calibri" w:eastAsia="Times New Roman" w:hAnsi="Calibri" w:cs="Calibri"/>
                <w:b/>
                <w:color w:val="000000"/>
                <w:sz w:val="18"/>
                <w:szCs w:val="18"/>
                <w:lang w:eastAsia="cs-CZ"/>
              </w:rPr>
              <w:t>Počet studentů</w:t>
            </w:r>
          </w:p>
        </w:tc>
      </w:tr>
      <w:tr w:rsidR="00BB4766" w:rsidRPr="00F67072" w14:paraId="2830FCE4" w14:textId="77777777" w:rsidTr="000C49A5">
        <w:trPr>
          <w:trHeight w:val="300"/>
        </w:trPr>
        <w:tc>
          <w:tcPr>
            <w:tcW w:w="1271" w:type="dxa"/>
            <w:tcBorders>
              <w:left w:val="single" w:sz="12" w:space="0" w:color="auto"/>
              <w:right w:val="single" w:sz="12" w:space="0" w:color="auto"/>
            </w:tcBorders>
            <w:shd w:val="clear" w:color="auto" w:fill="auto"/>
            <w:noWrap/>
            <w:vAlign w:val="center"/>
            <w:hideMark/>
          </w:tcPr>
          <w:p w14:paraId="4BEABB98" w14:textId="77777777" w:rsidR="00BB4766" w:rsidRPr="00F67072" w:rsidRDefault="00BB4766" w:rsidP="000C49A5">
            <w:pPr>
              <w:spacing w:before="0"/>
              <w:jc w:val="lef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2013/2014</w:t>
            </w:r>
          </w:p>
        </w:tc>
        <w:tc>
          <w:tcPr>
            <w:tcW w:w="1280" w:type="dxa"/>
            <w:tcBorders>
              <w:left w:val="single" w:sz="12" w:space="0" w:color="auto"/>
            </w:tcBorders>
            <w:shd w:val="clear" w:color="auto" w:fill="auto"/>
            <w:noWrap/>
            <w:vAlign w:val="bottom"/>
            <w:hideMark/>
          </w:tcPr>
          <w:p w14:paraId="072B89D8"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700</w:t>
            </w:r>
          </w:p>
        </w:tc>
        <w:tc>
          <w:tcPr>
            <w:tcW w:w="1280" w:type="dxa"/>
            <w:shd w:val="clear" w:color="auto" w:fill="auto"/>
            <w:noWrap/>
            <w:vAlign w:val="bottom"/>
            <w:hideMark/>
          </w:tcPr>
          <w:p w14:paraId="2C53CBDB"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409" w:type="dxa"/>
            <w:tcBorders>
              <w:right w:val="single" w:sz="12" w:space="0" w:color="auto"/>
            </w:tcBorders>
            <w:shd w:val="clear" w:color="auto" w:fill="auto"/>
            <w:noWrap/>
            <w:vAlign w:val="bottom"/>
            <w:hideMark/>
          </w:tcPr>
          <w:p w14:paraId="25C066BA"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103</w:t>
            </w:r>
          </w:p>
        </w:tc>
        <w:tc>
          <w:tcPr>
            <w:tcW w:w="1280" w:type="dxa"/>
            <w:tcBorders>
              <w:left w:val="single" w:sz="12" w:space="0" w:color="auto"/>
            </w:tcBorders>
            <w:shd w:val="clear" w:color="auto" w:fill="auto"/>
            <w:noWrap/>
            <w:vAlign w:val="bottom"/>
            <w:hideMark/>
          </w:tcPr>
          <w:p w14:paraId="6131C310"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270</w:t>
            </w:r>
          </w:p>
        </w:tc>
        <w:tc>
          <w:tcPr>
            <w:tcW w:w="1280" w:type="dxa"/>
            <w:shd w:val="clear" w:color="auto" w:fill="auto"/>
            <w:noWrap/>
            <w:vAlign w:val="bottom"/>
            <w:hideMark/>
          </w:tcPr>
          <w:p w14:paraId="4D152051"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280" w:type="dxa"/>
            <w:tcBorders>
              <w:right w:val="single" w:sz="12" w:space="0" w:color="auto"/>
            </w:tcBorders>
            <w:shd w:val="clear" w:color="auto" w:fill="auto"/>
            <w:noWrap/>
            <w:vAlign w:val="bottom"/>
            <w:hideMark/>
          </w:tcPr>
          <w:p w14:paraId="3E85A5A8"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171</w:t>
            </w:r>
          </w:p>
        </w:tc>
      </w:tr>
      <w:tr w:rsidR="00BB4766" w:rsidRPr="00F67072" w14:paraId="1A6A9488" w14:textId="77777777" w:rsidTr="000C49A5">
        <w:trPr>
          <w:trHeight w:val="300"/>
        </w:trPr>
        <w:tc>
          <w:tcPr>
            <w:tcW w:w="1271" w:type="dxa"/>
            <w:tcBorders>
              <w:left w:val="single" w:sz="12" w:space="0" w:color="auto"/>
              <w:right w:val="single" w:sz="12" w:space="0" w:color="auto"/>
            </w:tcBorders>
            <w:shd w:val="clear" w:color="auto" w:fill="auto"/>
            <w:noWrap/>
            <w:vAlign w:val="center"/>
            <w:hideMark/>
          </w:tcPr>
          <w:p w14:paraId="7A628F04" w14:textId="77777777" w:rsidR="00BB4766" w:rsidRPr="00F67072" w:rsidRDefault="00BB4766" w:rsidP="000C49A5">
            <w:pPr>
              <w:spacing w:before="0"/>
              <w:jc w:val="lef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2014/2015</w:t>
            </w:r>
          </w:p>
        </w:tc>
        <w:tc>
          <w:tcPr>
            <w:tcW w:w="1280" w:type="dxa"/>
            <w:tcBorders>
              <w:left w:val="single" w:sz="12" w:space="0" w:color="auto"/>
            </w:tcBorders>
            <w:shd w:val="clear" w:color="auto" w:fill="auto"/>
            <w:noWrap/>
            <w:vAlign w:val="bottom"/>
            <w:hideMark/>
          </w:tcPr>
          <w:p w14:paraId="321584A4"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700</w:t>
            </w:r>
          </w:p>
        </w:tc>
        <w:tc>
          <w:tcPr>
            <w:tcW w:w="1280" w:type="dxa"/>
            <w:shd w:val="clear" w:color="auto" w:fill="auto"/>
            <w:noWrap/>
            <w:vAlign w:val="bottom"/>
            <w:hideMark/>
          </w:tcPr>
          <w:p w14:paraId="7E8E488A"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409" w:type="dxa"/>
            <w:tcBorders>
              <w:right w:val="single" w:sz="12" w:space="0" w:color="auto"/>
            </w:tcBorders>
            <w:shd w:val="clear" w:color="auto" w:fill="auto"/>
            <w:noWrap/>
            <w:vAlign w:val="bottom"/>
            <w:hideMark/>
          </w:tcPr>
          <w:p w14:paraId="3381C27B"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77</w:t>
            </w:r>
          </w:p>
        </w:tc>
        <w:tc>
          <w:tcPr>
            <w:tcW w:w="1280" w:type="dxa"/>
            <w:tcBorders>
              <w:left w:val="single" w:sz="12" w:space="0" w:color="auto"/>
            </w:tcBorders>
            <w:shd w:val="clear" w:color="auto" w:fill="auto"/>
            <w:noWrap/>
            <w:vAlign w:val="bottom"/>
            <w:hideMark/>
          </w:tcPr>
          <w:p w14:paraId="140EB557"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190</w:t>
            </w:r>
          </w:p>
        </w:tc>
        <w:tc>
          <w:tcPr>
            <w:tcW w:w="1280" w:type="dxa"/>
            <w:shd w:val="clear" w:color="auto" w:fill="auto"/>
            <w:noWrap/>
            <w:vAlign w:val="bottom"/>
            <w:hideMark/>
          </w:tcPr>
          <w:p w14:paraId="134F771E"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280" w:type="dxa"/>
            <w:tcBorders>
              <w:right w:val="single" w:sz="12" w:space="0" w:color="auto"/>
            </w:tcBorders>
            <w:shd w:val="clear" w:color="auto" w:fill="auto"/>
            <w:noWrap/>
            <w:vAlign w:val="bottom"/>
            <w:hideMark/>
          </w:tcPr>
          <w:p w14:paraId="6A996953"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174</w:t>
            </w:r>
          </w:p>
        </w:tc>
      </w:tr>
      <w:tr w:rsidR="00BB4766" w:rsidRPr="00F67072" w14:paraId="5EBC9AE1" w14:textId="77777777" w:rsidTr="000C49A5">
        <w:trPr>
          <w:trHeight w:val="300"/>
        </w:trPr>
        <w:tc>
          <w:tcPr>
            <w:tcW w:w="1271" w:type="dxa"/>
            <w:tcBorders>
              <w:left w:val="single" w:sz="12" w:space="0" w:color="auto"/>
              <w:right w:val="single" w:sz="12" w:space="0" w:color="auto"/>
            </w:tcBorders>
            <w:shd w:val="clear" w:color="auto" w:fill="auto"/>
            <w:noWrap/>
            <w:vAlign w:val="center"/>
            <w:hideMark/>
          </w:tcPr>
          <w:p w14:paraId="05D0F728" w14:textId="77777777" w:rsidR="00BB4766" w:rsidRPr="00F67072" w:rsidRDefault="00BB4766" w:rsidP="000C49A5">
            <w:pPr>
              <w:spacing w:before="0"/>
              <w:jc w:val="lef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2015/2016</w:t>
            </w:r>
          </w:p>
        </w:tc>
        <w:tc>
          <w:tcPr>
            <w:tcW w:w="1280" w:type="dxa"/>
            <w:tcBorders>
              <w:left w:val="single" w:sz="12" w:space="0" w:color="auto"/>
            </w:tcBorders>
            <w:shd w:val="clear" w:color="auto" w:fill="auto"/>
            <w:noWrap/>
            <w:vAlign w:val="bottom"/>
            <w:hideMark/>
          </w:tcPr>
          <w:p w14:paraId="3CA67387"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700</w:t>
            </w:r>
          </w:p>
        </w:tc>
        <w:tc>
          <w:tcPr>
            <w:tcW w:w="1280" w:type="dxa"/>
            <w:shd w:val="clear" w:color="auto" w:fill="auto"/>
            <w:noWrap/>
            <w:vAlign w:val="bottom"/>
            <w:hideMark/>
          </w:tcPr>
          <w:p w14:paraId="58AACC25"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409" w:type="dxa"/>
            <w:tcBorders>
              <w:right w:val="single" w:sz="12" w:space="0" w:color="auto"/>
            </w:tcBorders>
            <w:shd w:val="clear" w:color="auto" w:fill="auto"/>
            <w:noWrap/>
            <w:vAlign w:val="bottom"/>
            <w:hideMark/>
          </w:tcPr>
          <w:p w14:paraId="2B6699EF"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82</w:t>
            </w:r>
          </w:p>
        </w:tc>
        <w:tc>
          <w:tcPr>
            <w:tcW w:w="1280" w:type="dxa"/>
            <w:tcBorders>
              <w:left w:val="single" w:sz="12" w:space="0" w:color="auto"/>
            </w:tcBorders>
            <w:shd w:val="clear" w:color="auto" w:fill="auto"/>
            <w:noWrap/>
            <w:vAlign w:val="bottom"/>
            <w:hideMark/>
          </w:tcPr>
          <w:p w14:paraId="1A2C2E48"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190</w:t>
            </w:r>
          </w:p>
        </w:tc>
        <w:tc>
          <w:tcPr>
            <w:tcW w:w="1280" w:type="dxa"/>
            <w:shd w:val="clear" w:color="auto" w:fill="auto"/>
            <w:noWrap/>
            <w:vAlign w:val="bottom"/>
            <w:hideMark/>
          </w:tcPr>
          <w:p w14:paraId="2BF84C6F"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280" w:type="dxa"/>
            <w:tcBorders>
              <w:right w:val="single" w:sz="12" w:space="0" w:color="auto"/>
            </w:tcBorders>
            <w:shd w:val="clear" w:color="auto" w:fill="auto"/>
            <w:noWrap/>
            <w:vAlign w:val="bottom"/>
            <w:hideMark/>
          </w:tcPr>
          <w:p w14:paraId="6F9914B7"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162</w:t>
            </w:r>
          </w:p>
        </w:tc>
      </w:tr>
      <w:tr w:rsidR="00BB4766" w:rsidRPr="00F67072" w14:paraId="24075351" w14:textId="77777777" w:rsidTr="000C49A5">
        <w:trPr>
          <w:trHeight w:val="300"/>
        </w:trPr>
        <w:tc>
          <w:tcPr>
            <w:tcW w:w="1271" w:type="dxa"/>
            <w:tcBorders>
              <w:left w:val="single" w:sz="12" w:space="0" w:color="auto"/>
              <w:right w:val="single" w:sz="12" w:space="0" w:color="auto"/>
            </w:tcBorders>
            <w:shd w:val="clear" w:color="auto" w:fill="auto"/>
            <w:noWrap/>
            <w:vAlign w:val="center"/>
            <w:hideMark/>
          </w:tcPr>
          <w:p w14:paraId="048E80E2" w14:textId="77777777" w:rsidR="00BB4766" w:rsidRPr="00F67072" w:rsidRDefault="00BB4766" w:rsidP="000C49A5">
            <w:pPr>
              <w:spacing w:before="0"/>
              <w:jc w:val="lef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2016/2017</w:t>
            </w:r>
          </w:p>
        </w:tc>
        <w:tc>
          <w:tcPr>
            <w:tcW w:w="1280" w:type="dxa"/>
            <w:tcBorders>
              <w:left w:val="single" w:sz="12" w:space="0" w:color="auto"/>
            </w:tcBorders>
            <w:shd w:val="clear" w:color="auto" w:fill="auto"/>
            <w:noWrap/>
            <w:vAlign w:val="bottom"/>
            <w:hideMark/>
          </w:tcPr>
          <w:p w14:paraId="69F31B17"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700</w:t>
            </w:r>
          </w:p>
        </w:tc>
        <w:tc>
          <w:tcPr>
            <w:tcW w:w="1280" w:type="dxa"/>
            <w:shd w:val="clear" w:color="auto" w:fill="auto"/>
            <w:noWrap/>
            <w:vAlign w:val="bottom"/>
            <w:hideMark/>
          </w:tcPr>
          <w:p w14:paraId="2E633C04"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409" w:type="dxa"/>
            <w:tcBorders>
              <w:right w:val="single" w:sz="12" w:space="0" w:color="auto"/>
            </w:tcBorders>
            <w:shd w:val="clear" w:color="auto" w:fill="auto"/>
            <w:noWrap/>
            <w:vAlign w:val="bottom"/>
            <w:hideMark/>
          </w:tcPr>
          <w:p w14:paraId="30022631"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88</w:t>
            </w:r>
          </w:p>
        </w:tc>
        <w:tc>
          <w:tcPr>
            <w:tcW w:w="1280" w:type="dxa"/>
            <w:tcBorders>
              <w:left w:val="single" w:sz="12" w:space="0" w:color="auto"/>
            </w:tcBorders>
            <w:shd w:val="clear" w:color="auto" w:fill="auto"/>
            <w:noWrap/>
            <w:vAlign w:val="bottom"/>
            <w:hideMark/>
          </w:tcPr>
          <w:p w14:paraId="5D7FFD3E"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190</w:t>
            </w:r>
          </w:p>
        </w:tc>
        <w:tc>
          <w:tcPr>
            <w:tcW w:w="1280" w:type="dxa"/>
            <w:shd w:val="clear" w:color="auto" w:fill="auto"/>
            <w:noWrap/>
            <w:vAlign w:val="bottom"/>
            <w:hideMark/>
          </w:tcPr>
          <w:p w14:paraId="12230C64"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280" w:type="dxa"/>
            <w:tcBorders>
              <w:right w:val="single" w:sz="12" w:space="0" w:color="auto"/>
            </w:tcBorders>
            <w:shd w:val="clear" w:color="auto" w:fill="auto"/>
            <w:noWrap/>
            <w:vAlign w:val="bottom"/>
            <w:hideMark/>
          </w:tcPr>
          <w:p w14:paraId="659F1C23"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159</w:t>
            </w:r>
          </w:p>
        </w:tc>
      </w:tr>
      <w:tr w:rsidR="00BB4766" w:rsidRPr="00F67072" w14:paraId="7F5547A4" w14:textId="77777777" w:rsidTr="000C49A5">
        <w:trPr>
          <w:trHeight w:val="300"/>
        </w:trPr>
        <w:tc>
          <w:tcPr>
            <w:tcW w:w="1271" w:type="dxa"/>
            <w:tcBorders>
              <w:left w:val="single" w:sz="12" w:space="0" w:color="auto"/>
              <w:right w:val="single" w:sz="12" w:space="0" w:color="auto"/>
            </w:tcBorders>
            <w:shd w:val="clear" w:color="auto" w:fill="auto"/>
            <w:noWrap/>
            <w:vAlign w:val="center"/>
            <w:hideMark/>
          </w:tcPr>
          <w:p w14:paraId="481413C8" w14:textId="77777777" w:rsidR="00BB4766" w:rsidRPr="00F67072" w:rsidRDefault="00BB4766" w:rsidP="000C49A5">
            <w:pPr>
              <w:spacing w:before="0"/>
              <w:jc w:val="lef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2017/2018</w:t>
            </w:r>
          </w:p>
        </w:tc>
        <w:tc>
          <w:tcPr>
            <w:tcW w:w="1280" w:type="dxa"/>
            <w:tcBorders>
              <w:left w:val="single" w:sz="12" w:space="0" w:color="auto"/>
            </w:tcBorders>
            <w:shd w:val="clear" w:color="auto" w:fill="auto"/>
            <w:noWrap/>
            <w:vAlign w:val="bottom"/>
            <w:hideMark/>
          </w:tcPr>
          <w:p w14:paraId="4547B2D4"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700</w:t>
            </w:r>
          </w:p>
        </w:tc>
        <w:tc>
          <w:tcPr>
            <w:tcW w:w="1280" w:type="dxa"/>
            <w:shd w:val="clear" w:color="auto" w:fill="auto"/>
            <w:noWrap/>
            <w:vAlign w:val="bottom"/>
            <w:hideMark/>
          </w:tcPr>
          <w:p w14:paraId="6AA43A51"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409" w:type="dxa"/>
            <w:tcBorders>
              <w:right w:val="single" w:sz="12" w:space="0" w:color="auto"/>
            </w:tcBorders>
            <w:shd w:val="clear" w:color="auto" w:fill="auto"/>
            <w:noWrap/>
            <w:vAlign w:val="bottom"/>
            <w:hideMark/>
          </w:tcPr>
          <w:p w14:paraId="395E2452"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69</w:t>
            </w:r>
          </w:p>
        </w:tc>
        <w:tc>
          <w:tcPr>
            <w:tcW w:w="1280" w:type="dxa"/>
            <w:tcBorders>
              <w:left w:val="single" w:sz="12" w:space="0" w:color="auto"/>
            </w:tcBorders>
            <w:shd w:val="clear" w:color="auto" w:fill="auto"/>
            <w:noWrap/>
            <w:vAlign w:val="bottom"/>
            <w:hideMark/>
          </w:tcPr>
          <w:p w14:paraId="6BA43108"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190</w:t>
            </w:r>
          </w:p>
        </w:tc>
        <w:tc>
          <w:tcPr>
            <w:tcW w:w="1280" w:type="dxa"/>
            <w:shd w:val="clear" w:color="auto" w:fill="auto"/>
            <w:noWrap/>
            <w:vAlign w:val="bottom"/>
            <w:hideMark/>
          </w:tcPr>
          <w:p w14:paraId="14F9F88B"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6</w:t>
            </w:r>
          </w:p>
        </w:tc>
        <w:tc>
          <w:tcPr>
            <w:tcW w:w="1280" w:type="dxa"/>
            <w:tcBorders>
              <w:right w:val="single" w:sz="12" w:space="0" w:color="auto"/>
            </w:tcBorders>
            <w:shd w:val="clear" w:color="auto" w:fill="auto"/>
            <w:noWrap/>
            <w:vAlign w:val="bottom"/>
            <w:hideMark/>
          </w:tcPr>
          <w:p w14:paraId="54C0B10E"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123</w:t>
            </w:r>
          </w:p>
        </w:tc>
      </w:tr>
      <w:tr w:rsidR="00BB4766" w:rsidRPr="00F67072" w14:paraId="257225CF" w14:textId="77777777" w:rsidTr="000C49A5">
        <w:trPr>
          <w:trHeight w:val="300"/>
        </w:trPr>
        <w:tc>
          <w:tcPr>
            <w:tcW w:w="1271" w:type="dxa"/>
            <w:tcBorders>
              <w:left w:val="single" w:sz="12" w:space="0" w:color="auto"/>
              <w:right w:val="single" w:sz="12" w:space="0" w:color="auto"/>
            </w:tcBorders>
            <w:shd w:val="clear" w:color="auto" w:fill="auto"/>
            <w:noWrap/>
            <w:vAlign w:val="center"/>
            <w:hideMark/>
          </w:tcPr>
          <w:p w14:paraId="05AA4B74" w14:textId="77777777" w:rsidR="00BB4766" w:rsidRPr="00F67072" w:rsidRDefault="00BB4766" w:rsidP="000C49A5">
            <w:pPr>
              <w:spacing w:before="0"/>
              <w:jc w:val="lef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2018/2019</w:t>
            </w:r>
          </w:p>
        </w:tc>
        <w:tc>
          <w:tcPr>
            <w:tcW w:w="1280" w:type="dxa"/>
            <w:tcBorders>
              <w:left w:val="single" w:sz="12" w:space="0" w:color="auto"/>
            </w:tcBorders>
            <w:shd w:val="clear" w:color="auto" w:fill="auto"/>
            <w:noWrap/>
            <w:vAlign w:val="bottom"/>
            <w:hideMark/>
          </w:tcPr>
          <w:p w14:paraId="711D51C4"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700</w:t>
            </w:r>
          </w:p>
        </w:tc>
        <w:tc>
          <w:tcPr>
            <w:tcW w:w="1280" w:type="dxa"/>
            <w:shd w:val="clear" w:color="auto" w:fill="auto"/>
            <w:noWrap/>
            <w:vAlign w:val="bottom"/>
            <w:hideMark/>
          </w:tcPr>
          <w:p w14:paraId="0CD6C7FD"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4</w:t>
            </w:r>
          </w:p>
        </w:tc>
        <w:tc>
          <w:tcPr>
            <w:tcW w:w="1409" w:type="dxa"/>
            <w:tcBorders>
              <w:right w:val="single" w:sz="12" w:space="0" w:color="auto"/>
            </w:tcBorders>
            <w:shd w:val="clear" w:color="auto" w:fill="auto"/>
            <w:noWrap/>
            <w:vAlign w:val="bottom"/>
            <w:hideMark/>
          </w:tcPr>
          <w:p w14:paraId="26C2EB16"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55</w:t>
            </w:r>
          </w:p>
        </w:tc>
        <w:tc>
          <w:tcPr>
            <w:tcW w:w="1280" w:type="dxa"/>
            <w:tcBorders>
              <w:left w:val="single" w:sz="12" w:space="0" w:color="auto"/>
            </w:tcBorders>
            <w:shd w:val="clear" w:color="auto" w:fill="auto"/>
            <w:noWrap/>
            <w:vAlign w:val="bottom"/>
            <w:hideMark/>
          </w:tcPr>
          <w:p w14:paraId="1EC16AFC"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170</w:t>
            </w:r>
          </w:p>
        </w:tc>
        <w:tc>
          <w:tcPr>
            <w:tcW w:w="1280" w:type="dxa"/>
            <w:shd w:val="clear" w:color="auto" w:fill="auto"/>
            <w:noWrap/>
            <w:vAlign w:val="bottom"/>
            <w:hideMark/>
          </w:tcPr>
          <w:p w14:paraId="7D31FDAA"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5</w:t>
            </w:r>
          </w:p>
        </w:tc>
        <w:tc>
          <w:tcPr>
            <w:tcW w:w="1280" w:type="dxa"/>
            <w:tcBorders>
              <w:right w:val="single" w:sz="12" w:space="0" w:color="auto"/>
            </w:tcBorders>
            <w:shd w:val="clear" w:color="auto" w:fill="auto"/>
            <w:noWrap/>
            <w:vAlign w:val="bottom"/>
            <w:hideMark/>
          </w:tcPr>
          <w:p w14:paraId="01DD64D6"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88</w:t>
            </w:r>
          </w:p>
        </w:tc>
      </w:tr>
      <w:tr w:rsidR="00BB4766" w:rsidRPr="00F67072" w14:paraId="63651E2B" w14:textId="77777777" w:rsidTr="000C49A5">
        <w:trPr>
          <w:trHeight w:val="300"/>
        </w:trPr>
        <w:tc>
          <w:tcPr>
            <w:tcW w:w="1271" w:type="dxa"/>
            <w:tcBorders>
              <w:left w:val="single" w:sz="12" w:space="0" w:color="auto"/>
              <w:right w:val="single" w:sz="12" w:space="0" w:color="auto"/>
            </w:tcBorders>
            <w:shd w:val="clear" w:color="auto" w:fill="auto"/>
            <w:noWrap/>
            <w:vAlign w:val="center"/>
            <w:hideMark/>
          </w:tcPr>
          <w:p w14:paraId="2721354B" w14:textId="77777777" w:rsidR="00BB4766" w:rsidRPr="00F67072" w:rsidRDefault="00BB4766" w:rsidP="000C49A5">
            <w:pPr>
              <w:spacing w:before="0"/>
              <w:jc w:val="lef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2019/2020</w:t>
            </w:r>
          </w:p>
        </w:tc>
        <w:tc>
          <w:tcPr>
            <w:tcW w:w="1280" w:type="dxa"/>
            <w:tcBorders>
              <w:left w:val="single" w:sz="12" w:space="0" w:color="auto"/>
            </w:tcBorders>
            <w:shd w:val="clear" w:color="auto" w:fill="auto"/>
            <w:noWrap/>
            <w:vAlign w:val="bottom"/>
            <w:hideMark/>
          </w:tcPr>
          <w:p w14:paraId="4006467A"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700</w:t>
            </w:r>
          </w:p>
        </w:tc>
        <w:tc>
          <w:tcPr>
            <w:tcW w:w="1280" w:type="dxa"/>
            <w:shd w:val="clear" w:color="auto" w:fill="auto"/>
            <w:noWrap/>
            <w:vAlign w:val="bottom"/>
            <w:hideMark/>
          </w:tcPr>
          <w:p w14:paraId="4BCA940E"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5</w:t>
            </w:r>
          </w:p>
        </w:tc>
        <w:tc>
          <w:tcPr>
            <w:tcW w:w="1409" w:type="dxa"/>
            <w:tcBorders>
              <w:right w:val="single" w:sz="12" w:space="0" w:color="auto"/>
            </w:tcBorders>
            <w:shd w:val="clear" w:color="auto" w:fill="auto"/>
            <w:noWrap/>
            <w:vAlign w:val="bottom"/>
            <w:hideMark/>
          </w:tcPr>
          <w:p w14:paraId="359EBFD8"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71</w:t>
            </w:r>
          </w:p>
        </w:tc>
        <w:tc>
          <w:tcPr>
            <w:tcW w:w="1280" w:type="dxa"/>
            <w:tcBorders>
              <w:left w:val="single" w:sz="12" w:space="0" w:color="auto"/>
            </w:tcBorders>
            <w:shd w:val="clear" w:color="auto" w:fill="auto"/>
            <w:noWrap/>
            <w:vAlign w:val="bottom"/>
            <w:hideMark/>
          </w:tcPr>
          <w:p w14:paraId="26328462"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170</w:t>
            </w:r>
          </w:p>
        </w:tc>
        <w:tc>
          <w:tcPr>
            <w:tcW w:w="1280" w:type="dxa"/>
            <w:shd w:val="clear" w:color="auto" w:fill="auto"/>
            <w:noWrap/>
            <w:vAlign w:val="bottom"/>
            <w:hideMark/>
          </w:tcPr>
          <w:p w14:paraId="7B0D5EF1"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5</w:t>
            </w:r>
          </w:p>
        </w:tc>
        <w:tc>
          <w:tcPr>
            <w:tcW w:w="1280" w:type="dxa"/>
            <w:tcBorders>
              <w:right w:val="single" w:sz="12" w:space="0" w:color="auto"/>
            </w:tcBorders>
            <w:shd w:val="clear" w:color="auto" w:fill="auto"/>
            <w:noWrap/>
            <w:vAlign w:val="bottom"/>
            <w:hideMark/>
          </w:tcPr>
          <w:p w14:paraId="4B003E5C" w14:textId="77777777" w:rsidR="00BB4766" w:rsidRPr="00F67072" w:rsidRDefault="00BB4766" w:rsidP="000C49A5">
            <w:pPr>
              <w:spacing w:before="0"/>
              <w:jc w:val="right"/>
              <w:rPr>
                <w:rFonts w:ascii="Calibri" w:eastAsia="Times New Roman" w:hAnsi="Calibri" w:cs="Calibri"/>
                <w:color w:val="000000"/>
                <w:sz w:val="18"/>
                <w:szCs w:val="18"/>
                <w:lang w:eastAsia="cs-CZ"/>
              </w:rPr>
            </w:pPr>
            <w:r w:rsidRPr="00F67072">
              <w:rPr>
                <w:rFonts w:ascii="Calibri" w:eastAsia="Times New Roman" w:hAnsi="Calibri" w:cs="Calibri"/>
                <w:color w:val="000000"/>
                <w:sz w:val="18"/>
                <w:szCs w:val="18"/>
                <w:lang w:eastAsia="cs-CZ"/>
              </w:rPr>
              <w:t>85</w:t>
            </w:r>
          </w:p>
        </w:tc>
      </w:tr>
      <w:tr w:rsidR="00BB4766" w:rsidRPr="00F67072" w14:paraId="2B10657C" w14:textId="77777777" w:rsidTr="000C49A5">
        <w:trPr>
          <w:trHeight w:val="315"/>
        </w:trPr>
        <w:tc>
          <w:tcPr>
            <w:tcW w:w="1271" w:type="dxa"/>
            <w:tcBorders>
              <w:left w:val="single" w:sz="12" w:space="0" w:color="auto"/>
              <w:bottom w:val="single" w:sz="12" w:space="0" w:color="auto"/>
              <w:right w:val="single" w:sz="12" w:space="0" w:color="auto"/>
            </w:tcBorders>
            <w:shd w:val="clear" w:color="auto" w:fill="auto"/>
            <w:noWrap/>
            <w:vAlign w:val="center"/>
            <w:hideMark/>
          </w:tcPr>
          <w:p w14:paraId="39435427" w14:textId="77777777" w:rsidR="00BB4766" w:rsidRPr="00F67072" w:rsidRDefault="00BB4766" w:rsidP="000C49A5">
            <w:pPr>
              <w:spacing w:before="0"/>
              <w:jc w:val="left"/>
              <w:rPr>
                <w:rFonts w:ascii="Calibri" w:eastAsia="Times New Roman" w:hAnsi="Calibri" w:cs="Calibri"/>
                <w:b/>
                <w:bCs/>
                <w:sz w:val="18"/>
                <w:szCs w:val="18"/>
                <w:lang w:eastAsia="cs-CZ"/>
              </w:rPr>
            </w:pPr>
            <w:r w:rsidRPr="00F67072">
              <w:rPr>
                <w:rFonts w:ascii="Calibri" w:eastAsia="Times New Roman" w:hAnsi="Calibri" w:cs="Calibri"/>
                <w:b/>
                <w:bCs/>
                <w:sz w:val="18"/>
                <w:szCs w:val="18"/>
                <w:lang w:eastAsia="cs-CZ"/>
              </w:rPr>
              <w:t>Index změny 2019/2013</w:t>
            </w:r>
          </w:p>
        </w:tc>
        <w:tc>
          <w:tcPr>
            <w:tcW w:w="1280" w:type="dxa"/>
            <w:tcBorders>
              <w:left w:val="single" w:sz="12" w:space="0" w:color="auto"/>
              <w:bottom w:val="single" w:sz="12" w:space="0" w:color="auto"/>
            </w:tcBorders>
            <w:shd w:val="clear" w:color="auto" w:fill="auto"/>
            <w:noWrap/>
            <w:vAlign w:val="bottom"/>
            <w:hideMark/>
          </w:tcPr>
          <w:p w14:paraId="670031A9" w14:textId="3C0946C5" w:rsidR="00BB4766" w:rsidRPr="00F67072" w:rsidRDefault="00BB4766" w:rsidP="000C49A5">
            <w:pPr>
              <w:spacing w:before="0"/>
              <w:jc w:val="right"/>
              <w:rPr>
                <w:rFonts w:ascii="Calibri" w:eastAsia="Times New Roman" w:hAnsi="Calibri" w:cs="Calibri"/>
                <w:b/>
                <w:bCs/>
                <w:sz w:val="18"/>
                <w:szCs w:val="18"/>
                <w:lang w:eastAsia="cs-CZ"/>
              </w:rPr>
            </w:pPr>
            <w:r w:rsidRPr="00F67072">
              <w:rPr>
                <w:rFonts w:ascii="Calibri" w:eastAsia="Times New Roman" w:hAnsi="Calibri" w:cs="Calibri"/>
                <w:b/>
                <w:bCs/>
                <w:sz w:val="18"/>
                <w:szCs w:val="18"/>
                <w:lang w:eastAsia="cs-CZ"/>
              </w:rPr>
              <w:t>100,00</w:t>
            </w:r>
            <w:r w:rsidR="00A76987">
              <w:rPr>
                <w:rFonts w:ascii="Calibri" w:eastAsia="Times New Roman" w:hAnsi="Calibri" w:cs="Calibri"/>
                <w:b/>
                <w:bCs/>
                <w:sz w:val="18"/>
                <w:szCs w:val="18"/>
                <w:lang w:eastAsia="cs-CZ"/>
              </w:rPr>
              <w:t xml:space="preserve"> </w:t>
            </w:r>
            <w:r w:rsidRPr="00F67072">
              <w:rPr>
                <w:rFonts w:ascii="Calibri" w:eastAsia="Times New Roman" w:hAnsi="Calibri" w:cs="Calibri"/>
                <w:b/>
                <w:bCs/>
                <w:sz w:val="18"/>
                <w:szCs w:val="18"/>
                <w:lang w:eastAsia="cs-CZ"/>
              </w:rPr>
              <w:t>%</w:t>
            </w:r>
          </w:p>
        </w:tc>
        <w:tc>
          <w:tcPr>
            <w:tcW w:w="1280" w:type="dxa"/>
            <w:tcBorders>
              <w:bottom w:val="single" w:sz="12" w:space="0" w:color="auto"/>
            </w:tcBorders>
            <w:shd w:val="clear" w:color="auto" w:fill="auto"/>
            <w:noWrap/>
            <w:vAlign w:val="bottom"/>
            <w:hideMark/>
          </w:tcPr>
          <w:p w14:paraId="0D7E03E7" w14:textId="4AECD233" w:rsidR="00BB4766" w:rsidRPr="00F67072" w:rsidRDefault="00BB4766" w:rsidP="000C49A5">
            <w:pPr>
              <w:spacing w:before="0"/>
              <w:jc w:val="right"/>
              <w:rPr>
                <w:rFonts w:ascii="Calibri" w:eastAsia="Times New Roman" w:hAnsi="Calibri" w:cs="Calibri"/>
                <w:b/>
                <w:bCs/>
                <w:sz w:val="18"/>
                <w:szCs w:val="18"/>
                <w:lang w:eastAsia="cs-CZ"/>
              </w:rPr>
            </w:pPr>
            <w:r w:rsidRPr="00F67072">
              <w:rPr>
                <w:rFonts w:ascii="Calibri" w:eastAsia="Times New Roman" w:hAnsi="Calibri" w:cs="Calibri"/>
                <w:b/>
                <w:bCs/>
                <w:sz w:val="18"/>
                <w:szCs w:val="18"/>
                <w:lang w:eastAsia="cs-CZ"/>
              </w:rPr>
              <w:t>83,33</w:t>
            </w:r>
            <w:r w:rsidR="00A76987">
              <w:rPr>
                <w:rFonts w:ascii="Calibri" w:eastAsia="Times New Roman" w:hAnsi="Calibri" w:cs="Calibri"/>
                <w:b/>
                <w:bCs/>
                <w:sz w:val="18"/>
                <w:szCs w:val="18"/>
                <w:lang w:eastAsia="cs-CZ"/>
              </w:rPr>
              <w:t xml:space="preserve"> </w:t>
            </w:r>
            <w:r w:rsidRPr="00F67072">
              <w:rPr>
                <w:rFonts w:ascii="Calibri" w:eastAsia="Times New Roman" w:hAnsi="Calibri" w:cs="Calibri"/>
                <w:b/>
                <w:bCs/>
                <w:sz w:val="18"/>
                <w:szCs w:val="18"/>
                <w:lang w:eastAsia="cs-CZ"/>
              </w:rPr>
              <w:t>%</w:t>
            </w:r>
          </w:p>
        </w:tc>
        <w:tc>
          <w:tcPr>
            <w:tcW w:w="1409" w:type="dxa"/>
            <w:tcBorders>
              <w:bottom w:val="single" w:sz="12" w:space="0" w:color="auto"/>
              <w:right w:val="single" w:sz="12" w:space="0" w:color="auto"/>
            </w:tcBorders>
            <w:shd w:val="clear" w:color="auto" w:fill="auto"/>
            <w:noWrap/>
            <w:vAlign w:val="bottom"/>
            <w:hideMark/>
          </w:tcPr>
          <w:p w14:paraId="366870C9" w14:textId="7A48D82C" w:rsidR="00BB4766" w:rsidRPr="00F67072" w:rsidRDefault="00BB4766" w:rsidP="000C49A5">
            <w:pPr>
              <w:spacing w:before="0"/>
              <w:jc w:val="right"/>
              <w:rPr>
                <w:rFonts w:ascii="Calibri" w:eastAsia="Times New Roman" w:hAnsi="Calibri" w:cs="Calibri"/>
                <w:b/>
                <w:bCs/>
                <w:sz w:val="18"/>
                <w:szCs w:val="18"/>
                <w:lang w:eastAsia="cs-CZ"/>
              </w:rPr>
            </w:pPr>
            <w:r w:rsidRPr="00F67072">
              <w:rPr>
                <w:rFonts w:ascii="Calibri" w:eastAsia="Times New Roman" w:hAnsi="Calibri" w:cs="Calibri"/>
                <w:b/>
                <w:bCs/>
                <w:sz w:val="18"/>
                <w:szCs w:val="18"/>
                <w:lang w:eastAsia="cs-CZ"/>
              </w:rPr>
              <w:t>68,93</w:t>
            </w:r>
            <w:r w:rsidR="00A76987">
              <w:rPr>
                <w:rFonts w:ascii="Calibri" w:eastAsia="Times New Roman" w:hAnsi="Calibri" w:cs="Calibri"/>
                <w:b/>
                <w:bCs/>
                <w:sz w:val="18"/>
                <w:szCs w:val="18"/>
                <w:lang w:eastAsia="cs-CZ"/>
              </w:rPr>
              <w:t xml:space="preserve"> </w:t>
            </w:r>
            <w:r w:rsidRPr="00F67072">
              <w:rPr>
                <w:rFonts w:ascii="Calibri" w:eastAsia="Times New Roman" w:hAnsi="Calibri" w:cs="Calibri"/>
                <w:b/>
                <w:bCs/>
                <w:sz w:val="18"/>
                <w:szCs w:val="18"/>
                <w:lang w:eastAsia="cs-CZ"/>
              </w:rPr>
              <w:t>%</w:t>
            </w:r>
          </w:p>
        </w:tc>
        <w:tc>
          <w:tcPr>
            <w:tcW w:w="1280" w:type="dxa"/>
            <w:tcBorders>
              <w:left w:val="single" w:sz="12" w:space="0" w:color="auto"/>
              <w:bottom w:val="single" w:sz="12" w:space="0" w:color="auto"/>
            </w:tcBorders>
            <w:shd w:val="clear" w:color="auto" w:fill="auto"/>
            <w:noWrap/>
            <w:vAlign w:val="bottom"/>
            <w:hideMark/>
          </w:tcPr>
          <w:p w14:paraId="5FBBADE1" w14:textId="579A1488" w:rsidR="00BB4766" w:rsidRPr="00F67072" w:rsidRDefault="00BB4766" w:rsidP="000C49A5">
            <w:pPr>
              <w:spacing w:before="0"/>
              <w:jc w:val="right"/>
              <w:rPr>
                <w:rFonts w:ascii="Calibri" w:eastAsia="Times New Roman" w:hAnsi="Calibri" w:cs="Calibri"/>
                <w:b/>
                <w:bCs/>
                <w:sz w:val="18"/>
                <w:szCs w:val="18"/>
                <w:lang w:eastAsia="cs-CZ"/>
              </w:rPr>
            </w:pPr>
            <w:r w:rsidRPr="00F67072">
              <w:rPr>
                <w:rFonts w:ascii="Calibri" w:eastAsia="Times New Roman" w:hAnsi="Calibri" w:cs="Calibri"/>
                <w:b/>
                <w:bCs/>
                <w:sz w:val="18"/>
                <w:szCs w:val="18"/>
                <w:lang w:eastAsia="cs-CZ"/>
              </w:rPr>
              <w:t>62,96</w:t>
            </w:r>
            <w:r w:rsidR="00A76987">
              <w:rPr>
                <w:rFonts w:ascii="Calibri" w:eastAsia="Times New Roman" w:hAnsi="Calibri" w:cs="Calibri"/>
                <w:b/>
                <w:bCs/>
                <w:sz w:val="18"/>
                <w:szCs w:val="18"/>
                <w:lang w:eastAsia="cs-CZ"/>
              </w:rPr>
              <w:t xml:space="preserve"> </w:t>
            </w:r>
            <w:r w:rsidRPr="00F67072">
              <w:rPr>
                <w:rFonts w:ascii="Calibri" w:eastAsia="Times New Roman" w:hAnsi="Calibri" w:cs="Calibri"/>
                <w:b/>
                <w:bCs/>
                <w:sz w:val="18"/>
                <w:szCs w:val="18"/>
                <w:lang w:eastAsia="cs-CZ"/>
              </w:rPr>
              <w:t>%</w:t>
            </w:r>
          </w:p>
        </w:tc>
        <w:tc>
          <w:tcPr>
            <w:tcW w:w="1280" w:type="dxa"/>
            <w:tcBorders>
              <w:bottom w:val="single" w:sz="12" w:space="0" w:color="auto"/>
            </w:tcBorders>
            <w:shd w:val="clear" w:color="auto" w:fill="auto"/>
            <w:noWrap/>
            <w:vAlign w:val="bottom"/>
            <w:hideMark/>
          </w:tcPr>
          <w:p w14:paraId="3E0A68EE" w14:textId="4D128BAF" w:rsidR="00BB4766" w:rsidRPr="00F67072" w:rsidRDefault="00BB4766" w:rsidP="000C49A5">
            <w:pPr>
              <w:spacing w:before="0"/>
              <w:jc w:val="right"/>
              <w:rPr>
                <w:rFonts w:ascii="Calibri" w:eastAsia="Times New Roman" w:hAnsi="Calibri" w:cs="Calibri"/>
                <w:b/>
                <w:bCs/>
                <w:sz w:val="18"/>
                <w:szCs w:val="18"/>
                <w:lang w:eastAsia="cs-CZ"/>
              </w:rPr>
            </w:pPr>
            <w:r w:rsidRPr="00F67072">
              <w:rPr>
                <w:rFonts w:ascii="Calibri" w:eastAsia="Times New Roman" w:hAnsi="Calibri" w:cs="Calibri"/>
                <w:b/>
                <w:bCs/>
                <w:sz w:val="18"/>
                <w:szCs w:val="18"/>
                <w:lang w:eastAsia="cs-CZ"/>
              </w:rPr>
              <w:t>83,33</w:t>
            </w:r>
            <w:r w:rsidR="00A76987">
              <w:rPr>
                <w:rFonts w:ascii="Calibri" w:eastAsia="Times New Roman" w:hAnsi="Calibri" w:cs="Calibri"/>
                <w:b/>
                <w:bCs/>
                <w:sz w:val="18"/>
                <w:szCs w:val="18"/>
                <w:lang w:eastAsia="cs-CZ"/>
              </w:rPr>
              <w:t xml:space="preserve"> </w:t>
            </w:r>
            <w:r w:rsidRPr="00F67072">
              <w:rPr>
                <w:rFonts w:ascii="Calibri" w:eastAsia="Times New Roman" w:hAnsi="Calibri" w:cs="Calibri"/>
                <w:b/>
                <w:bCs/>
                <w:sz w:val="18"/>
                <w:szCs w:val="18"/>
                <w:lang w:eastAsia="cs-CZ"/>
              </w:rPr>
              <w:t>%</w:t>
            </w:r>
          </w:p>
        </w:tc>
        <w:tc>
          <w:tcPr>
            <w:tcW w:w="1280" w:type="dxa"/>
            <w:tcBorders>
              <w:bottom w:val="single" w:sz="12" w:space="0" w:color="auto"/>
              <w:right w:val="single" w:sz="12" w:space="0" w:color="auto"/>
            </w:tcBorders>
            <w:shd w:val="clear" w:color="auto" w:fill="auto"/>
            <w:noWrap/>
            <w:vAlign w:val="bottom"/>
            <w:hideMark/>
          </w:tcPr>
          <w:p w14:paraId="30684449" w14:textId="5B859017" w:rsidR="00BB4766" w:rsidRPr="00F67072" w:rsidRDefault="00BB4766" w:rsidP="000C49A5">
            <w:pPr>
              <w:spacing w:before="0"/>
              <w:jc w:val="right"/>
              <w:rPr>
                <w:rFonts w:ascii="Calibri" w:eastAsia="Times New Roman" w:hAnsi="Calibri" w:cs="Calibri"/>
                <w:b/>
                <w:bCs/>
                <w:sz w:val="18"/>
                <w:szCs w:val="18"/>
                <w:lang w:eastAsia="cs-CZ"/>
              </w:rPr>
            </w:pPr>
            <w:r w:rsidRPr="00F67072">
              <w:rPr>
                <w:rFonts w:ascii="Calibri" w:eastAsia="Times New Roman" w:hAnsi="Calibri" w:cs="Calibri"/>
                <w:b/>
                <w:bCs/>
                <w:sz w:val="18"/>
                <w:szCs w:val="18"/>
                <w:lang w:eastAsia="cs-CZ"/>
              </w:rPr>
              <w:t>49,71</w:t>
            </w:r>
            <w:r w:rsidR="00A76987">
              <w:rPr>
                <w:rFonts w:ascii="Calibri" w:eastAsia="Times New Roman" w:hAnsi="Calibri" w:cs="Calibri"/>
                <w:b/>
                <w:bCs/>
                <w:sz w:val="18"/>
                <w:szCs w:val="18"/>
                <w:lang w:eastAsia="cs-CZ"/>
              </w:rPr>
              <w:t xml:space="preserve"> </w:t>
            </w:r>
            <w:r w:rsidRPr="00F67072">
              <w:rPr>
                <w:rFonts w:ascii="Calibri" w:eastAsia="Times New Roman" w:hAnsi="Calibri" w:cs="Calibri"/>
                <w:b/>
                <w:bCs/>
                <w:sz w:val="18"/>
                <w:szCs w:val="18"/>
                <w:lang w:eastAsia="cs-CZ"/>
              </w:rPr>
              <w:t>%</w:t>
            </w:r>
          </w:p>
        </w:tc>
      </w:tr>
    </w:tbl>
    <w:p w14:paraId="2F120C08" w14:textId="394C3163" w:rsidR="00BB4766" w:rsidRDefault="00BB4766" w:rsidP="00BB4766">
      <w:pPr>
        <w:pStyle w:val="Zdroj"/>
      </w:pPr>
      <w:r>
        <w:t>Zdroj: SMZ, Odbor školství, mládeže a sportu, Krajský úřad Zlínského kraje, k 1.</w:t>
      </w:r>
      <w:r w:rsidR="00A76987">
        <w:t xml:space="preserve"> </w:t>
      </w:r>
      <w:r>
        <w:t>7.</w:t>
      </w:r>
      <w:r w:rsidR="00A76987">
        <w:t xml:space="preserve"> </w:t>
      </w:r>
      <w:r>
        <w:t>2020</w:t>
      </w:r>
      <w:r w:rsidR="00A76987">
        <w:t>.</w:t>
      </w:r>
    </w:p>
    <w:p w14:paraId="62645B68" w14:textId="77777777" w:rsidR="00BB4766" w:rsidRDefault="00BB4766" w:rsidP="00BB4766">
      <w:r>
        <w:t>Další dvě školy jsou zřizovány jiným subjektem. Jedná se o Zlínskou soukromou VOŠ umění, o.p.s. a Střední školu podnikatelskou a Vyšší odbornou školu, s.r.o. Zlínská soukromá VOŠ umění, o.p.s. nabídkou svých oborů doplňuje nabídku</w:t>
      </w:r>
      <w:r w:rsidRPr="00C35131">
        <w:t xml:space="preserve"> </w:t>
      </w:r>
      <w:r>
        <w:t>převažujících</w:t>
      </w:r>
      <w:r w:rsidRPr="00C35131">
        <w:t xml:space="preserve"> technick</w:t>
      </w:r>
      <w:r>
        <w:t>ých a ekonomických oborů v zlínském regionu</w:t>
      </w:r>
      <w:r w:rsidRPr="00C35131">
        <w:t xml:space="preserve">. </w:t>
      </w:r>
      <w:r>
        <w:t xml:space="preserve">Škola nabízí možnost vyššího odborného vzdělání v oblasti </w:t>
      </w:r>
      <w:r w:rsidRPr="00C35131">
        <w:t>výtvarn</w:t>
      </w:r>
      <w:r>
        <w:t>é</w:t>
      </w:r>
      <w:r w:rsidRPr="00C35131">
        <w:t xml:space="preserve"> a dramatick</w:t>
      </w:r>
      <w:r>
        <w:t>é tvorby</w:t>
      </w:r>
      <w:r w:rsidRPr="00C35131">
        <w:t xml:space="preserve"> absolventům nedalekých střed</w:t>
      </w:r>
      <w:r>
        <w:t xml:space="preserve">ních uměleckoprůmyslových škol, např. z </w:t>
      </w:r>
      <w:r w:rsidRPr="00C35131">
        <w:t>Uherské</w:t>
      </w:r>
      <w:r>
        <w:t>ho</w:t>
      </w:r>
      <w:r w:rsidRPr="00C35131">
        <w:t xml:space="preserve"> Hradiště, Hodonín</w:t>
      </w:r>
      <w:r>
        <w:t xml:space="preserve">a, Brna, Ostravy, ale i </w:t>
      </w:r>
      <w:r w:rsidRPr="00C35131">
        <w:t>ze Slovenské republiky.</w:t>
      </w:r>
      <w:r>
        <w:t xml:space="preserve"> Tyto školy také zaznamenávají pokles studentů.</w:t>
      </w:r>
    </w:p>
    <w:p w14:paraId="3F139014" w14:textId="44083B3A" w:rsidR="00BB4766" w:rsidRDefault="00BB4766" w:rsidP="00BB4766">
      <w:r>
        <w:t>Přehled oborů, které jsou vyučovány na vyšších odborných školách ve městě Zlíně, je uveden v</w:t>
      </w:r>
      <w:r w:rsidR="00094895">
        <w:t> </w:t>
      </w:r>
      <w:r>
        <w:t>tabulce</w:t>
      </w:r>
      <w:r w:rsidR="009D4735">
        <w:t xml:space="preserve"> 1.46</w:t>
      </w:r>
      <w:r>
        <w:t>.</w:t>
      </w:r>
    </w:p>
    <w:p w14:paraId="6C8B2D4C" w14:textId="6C27B678" w:rsidR="00BB4766" w:rsidRDefault="00BB4766" w:rsidP="00BB4766">
      <w:pPr>
        <w:pStyle w:val="Titulek"/>
      </w:pPr>
      <w:bookmarkStart w:id="258" w:name="_Toc52885957"/>
      <w:bookmarkStart w:id="259" w:name="_Toc77074726"/>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46</w:t>
      </w:r>
      <w:r w:rsidR="00081B47">
        <w:rPr>
          <w:noProof/>
        </w:rPr>
        <w:fldChar w:fldCharType="end"/>
      </w:r>
      <w:r w:rsidR="00A76987">
        <w:rPr>
          <w:noProof/>
        </w:rPr>
        <w:t>:</w:t>
      </w:r>
      <w:r>
        <w:t xml:space="preserve"> Přehled oborů nabízených na vyšších odborných školách ve městě Zlín</w:t>
      </w:r>
      <w:bookmarkEnd w:id="258"/>
      <w:bookmarkEnd w:id="259"/>
    </w:p>
    <w:tbl>
      <w:tblPr>
        <w:tblW w:w="9203" w:type="dxa"/>
        <w:tblInd w:w="-5" w:type="dxa"/>
        <w:tblCellMar>
          <w:left w:w="70" w:type="dxa"/>
          <w:right w:w="70" w:type="dxa"/>
        </w:tblCellMar>
        <w:tblLook w:val="04A0" w:firstRow="1" w:lastRow="0" w:firstColumn="1" w:lastColumn="0" w:noHBand="0" w:noVBand="1"/>
      </w:tblPr>
      <w:tblGrid>
        <w:gridCol w:w="4459"/>
        <w:gridCol w:w="1437"/>
        <w:gridCol w:w="3307"/>
      </w:tblGrid>
      <w:tr w:rsidR="00BB4766" w:rsidRPr="00F95BE1" w14:paraId="4416AB30" w14:textId="77777777" w:rsidTr="000C49A5">
        <w:trPr>
          <w:trHeight w:val="137"/>
        </w:trPr>
        <w:tc>
          <w:tcPr>
            <w:tcW w:w="4459" w:type="dxa"/>
            <w:tcBorders>
              <w:top w:val="single" w:sz="12" w:space="0" w:color="auto"/>
              <w:left w:val="single" w:sz="12" w:space="0" w:color="auto"/>
              <w:bottom w:val="single" w:sz="12" w:space="0" w:color="auto"/>
              <w:right w:val="single" w:sz="4" w:space="0" w:color="auto"/>
            </w:tcBorders>
            <w:shd w:val="clear" w:color="000000" w:fill="D9D9D9"/>
            <w:noWrap/>
            <w:vAlign w:val="bottom"/>
            <w:hideMark/>
          </w:tcPr>
          <w:p w14:paraId="3255BB3D" w14:textId="77777777" w:rsidR="00BB4766" w:rsidRPr="00F95BE1" w:rsidRDefault="00BB4766" w:rsidP="000C49A5">
            <w:pPr>
              <w:spacing w:before="0"/>
              <w:jc w:val="left"/>
              <w:rPr>
                <w:rFonts w:eastAsia="Times New Roman" w:cstheme="minorHAnsi"/>
                <w:b/>
                <w:bCs/>
                <w:color w:val="000000"/>
                <w:sz w:val="18"/>
                <w:szCs w:val="18"/>
                <w:lang w:eastAsia="cs-CZ"/>
              </w:rPr>
            </w:pPr>
            <w:r w:rsidRPr="00F95BE1">
              <w:rPr>
                <w:rFonts w:eastAsia="Times New Roman" w:cstheme="minorHAnsi"/>
                <w:b/>
                <w:bCs/>
                <w:color w:val="000000"/>
                <w:sz w:val="18"/>
                <w:szCs w:val="18"/>
                <w:lang w:eastAsia="cs-CZ"/>
              </w:rPr>
              <w:t>Název školy</w:t>
            </w:r>
          </w:p>
        </w:tc>
        <w:tc>
          <w:tcPr>
            <w:tcW w:w="1437" w:type="dxa"/>
            <w:tcBorders>
              <w:top w:val="single" w:sz="12" w:space="0" w:color="auto"/>
              <w:left w:val="nil"/>
              <w:bottom w:val="single" w:sz="12" w:space="0" w:color="auto"/>
              <w:right w:val="single" w:sz="4" w:space="0" w:color="auto"/>
            </w:tcBorders>
            <w:shd w:val="clear" w:color="000000" w:fill="D9D9D9"/>
            <w:noWrap/>
            <w:vAlign w:val="bottom"/>
            <w:hideMark/>
          </w:tcPr>
          <w:p w14:paraId="1DFCEC1A" w14:textId="77777777" w:rsidR="00BB4766" w:rsidRPr="00F95BE1" w:rsidRDefault="00BB4766" w:rsidP="000C49A5">
            <w:pPr>
              <w:spacing w:before="0"/>
              <w:jc w:val="left"/>
              <w:rPr>
                <w:rFonts w:eastAsia="Times New Roman" w:cstheme="minorHAnsi"/>
                <w:b/>
                <w:bCs/>
                <w:color w:val="000000"/>
                <w:sz w:val="18"/>
                <w:szCs w:val="18"/>
                <w:lang w:eastAsia="cs-CZ"/>
              </w:rPr>
            </w:pPr>
            <w:r w:rsidRPr="00F95BE1">
              <w:rPr>
                <w:rFonts w:eastAsia="Times New Roman" w:cstheme="minorHAnsi"/>
                <w:b/>
                <w:bCs/>
                <w:color w:val="000000"/>
                <w:sz w:val="18"/>
                <w:szCs w:val="18"/>
                <w:lang w:eastAsia="cs-CZ"/>
              </w:rPr>
              <w:t>Kód oboru</w:t>
            </w:r>
          </w:p>
        </w:tc>
        <w:tc>
          <w:tcPr>
            <w:tcW w:w="3307" w:type="dxa"/>
            <w:tcBorders>
              <w:top w:val="single" w:sz="12" w:space="0" w:color="auto"/>
              <w:left w:val="nil"/>
              <w:bottom w:val="single" w:sz="12" w:space="0" w:color="auto"/>
              <w:right w:val="single" w:sz="12" w:space="0" w:color="auto"/>
            </w:tcBorders>
            <w:shd w:val="clear" w:color="000000" w:fill="D9D9D9"/>
            <w:noWrap/>
            <w:vAlign w:val="bottom"/>
            <w:hideMark/>
          </w:tcPr>
          <w:p w14:paraId="0AFA6C3A" w14:textId="77777777" w:rsidR="00BB4766" w:rsidRPr="00F95BE1" w:rsidRDefault="00BB4766" w:rsidP="000C49A5">
            <w:pPr>
              <w:spacing w:before="0"/>
              <w:jc w:val="left"/>
              <w:rPr>
                <w:rFonts w:eastAsia="Times New Roman" w:cstheme="minorHAnsi"/>
                <w:b/>
                <w:bCs/>
                <w:color w:val="000000"/>
                <w:sz w:val="18"/>
                <w:szCs w:val="18"/>
                <w:lang w:eastAsia="cs-CZ"/>
              </w:rPr>
            </w:pPr>
            <w:r w:rsidRPr="00F95BE1">
              <w:rPr>
                <w:rFonts w:eastAsia="Times New Roman" w:cstheme="minorHAnsi"/>
                <w:b/>
                <w:bCs/>
                <w:color w:val="000000"/>
                <w:sz w:val="18"/>
                <w:szCs w:val="18"/>
                <w:lang w:eastAsia="cs-CZ"/>
              </w:rPr>
              <w:t>Název oboru</w:t>
            </w:r>
          </w:p>
        </w:tc>
      </w:tr>
      <w:tr w:rsidR="00BB4766" w:rsidRPr="00F95BE1" w14:paraId="761D2B64" w14:textId="77777777" w:rsidTr="000C49A5">
        <w:trPr>
          <w:trHeight w:val="191"/>
        </w:trPr>
        <w:tc>
          <w:tcPr>
            <w:tcW w:w="4459" w:type="dxa"/>
            <w:vMerge w:val="restart"/>
            <w:tcBorders>
              <w:top w:val="single" w:sz="12" w:space="0" w:color="auto"/>
              <w:left w:val="single" w:sz="12" w:space="0" w:color="auto"/>
              <w:right w:val="single" w:sz="4" w:space="0" w:color="auto"/>
            </w:tcBorders>
            <w:shd w:val="clear" w:color="auto" w:fill="auto"/>
            <w:hideMark/>
          </w:tcPr>
          <w:p w14:paraId="34B21A2B"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Obchodní akademie Tomáše Bati a Vyšší odborná škola ekonomická Zlín</w:t>
            </w:r>
          </w:p>
        </w:tc>
        <w:tc>
          <w:tcPr>
            <w:tcW w:w="1437" w:type="dxa"/>
            <w:tcBorders>
              <w:top w:val="single" w:sz="12" w:space="0" w:color="auto"/>
              <w:left w:val="nil"/>
              <w:bottom w:val="single" w:sz="4" w:space="0" w:color="auto"/>
              <w:right w:val="single" w:sz="4" w:space="0" w:color="auto"/>
            </w:tcBorders>
            <w:shd w:val="clear" w:color="auto" w:fill="auto"/>
            <w:vAlign w:val="bottom"/>
            <w:hideMark/>
          </w:tcPr>
          <w:p w14:paraId="2FA2B345"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6341N07</w:t>
            </w:r>
          </w:p>
        </w:tc>
        <w:tc>
          <w:tcPr>
            <w:tcW w:w="3307" w:type="dxa"/>
            <w:tcBorders>
              <w:top w:val="single" w:sz="12" w:space="0" w:color="auto"/>
              <w:left w:val="nil"/>
              <w:bottom w:val="single" w:sz="4" w:space="0" w:color="auto"/>
              <w:right w:val="single" w:sz="12" w:space="0" w:color="auto"/>
            </w:tcBorders>
            <w:shd w:val="clear" w:color="auto" w:fill="auto"/>
            <w:vAlign w:val="bottom"/>
            <w:hideMark/>
          </w:tcPr>
          <w:p w14:paraId="0FC43B21"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Marketing pro střední stupeň řízení </w:t>
            </w:r>
          </w:p>
        </w:tc>
      </w:tr>
      <w:tr w:rsidR="00BB4766" w:rsidRPr="00F95BE1" w14:paraId="1FEF53EA" w14:textId="77777777" w:rsidTr="000C49A5">
        <w:trPr>
          <w:trHeight w:val="447"/>
        </w:trPr>
        <w:tc>
          <w:tcPr>
            <w:tcW w:w="4459" w:type="dxa"/>
            <w:vMerge/>
            <w:tcBorders>
              <w:left w:val="single" w:sz="12" w:space="0" w:color="auto"/>
              <w:bottom w:val="single" w:sz="12" w:space="0" w:color="auto"/>
              <w:right w:val="single" w:sz="4" w:space="0" w:color="auto"/>
            </w:tcBorders>
            <w:shd w:val="clear" w:color="auto" w:fill="auto"/>
          </w:tcPr>
          <w:p w14:paraId="58168354" w14:textId="77777777" w:rsidR="00BB4766" w:rsidRPr="00F95BE1" w:rsidRDefault="00BB4766" w:rsidP="000C49A5">
            <w:pPr>
              <w:spacing w:before="0"/>
              <w:jc w:val="left"/>
              <w:rPr>
                <w:rFonts w:eastAsia="Times New Roman" w:cstheme="minorHAnsi"/>
                <w:color w:val="000000"/>
                <w:sz w:val="18"/>
                <w:szCs w:val="18"/>
                <w:lang w:eastAsia="cs-CZ"/>
              </w:rPr>
            </w:pPr>
          </w:p>
        </w:tc>
        <w:tc>
          <w:tcPr>
            <w:tcW w:w="1437" w:type="dxa"/>
            <w:tcBorders>
              <w:top w:val="nil"/>
              <w:left w:val="nil"/>
              <w:bottom w:val="single" w:sz="12" w:space="0" w:color="auto"/>
              <w:right w:val="single" w:sz="4" w:space="0" w:color="auto"/>
            </w:tcBorders>
            <w:shd w:val="clear" w:color="auto" w:fill="auto"/>
            <w:vAlign w:val="bottom"/>
          </w:tcPr>
          <w:p w14:paraId="72B90BD9" w14:textId="77777777" w:rsidR="00BB4766" w:rsidRPr="00F95BE1" w:rsidRDefault="00BB4766" w:rsidP="000C49A5">
            <w:pPr>
              <w:spacing w:before="0"/>
              <w:jc w:val="left"/>
              <w:rPr>
                <w:rFonts w:eastAsia="Times New Roman" w:cstheme="minorHAnsi"/>
                <w:color w:val="000000"/>
                <w:sz w:val="18"/>
                <w:szCs w:val="18"/>
                <w:lang w:eastAsia="cs-CZ"/>
              </w:rPr>
            </w:pPr>
            <w:r>
              <w:rPr>
                <w:rFonts w:eastAsia="Times New Roman" w:cstheme="minorHAnsi"/>
                <w:color w:val="000000"/>
                <w:sz w:val="18"/>
                <w:szCs w:val="18"/>
                <w:lang w:eastAsia="cs-CZ"/>
              </w:rPr>
              <w:t>6343N</w:t>
            </w:r>
            <w:r w:rsidRPr="00C20A13">
              <w:rPr>
                <w:rFonts w:eastAsia="Times New Roman" w:cstheme="minorHAnsi"/>
                <w:color w:val="000000"/>
                <w:sz w:val="18"/>
                <w:szCs w:val="18"/>
                <w:lang w:eastAsia="cs-CZ"/>
              </w:rPr>
              <w:t>06</w:t>
            </w:r>
          </w:p>
        </w:tc>
        <w:tc>
          <w:tcPr>
            <w:tcW w:w="3307" w:type="dxa"/>
            <w:tcBorders>
              <w:top w:val="nil"/>
              <w:left w:val="nil"/>
              <w:bottom w:val="single" w:sz="12" w:space="0" w:color="auto"/>
              <w:right w:val="single" w:sz="12" w:space="0" w:color="auto"/>
            </w:tcBorders>
            <w:shd w:val="clear" w:color="auto" w:fill="auto"/>
            <w:vAlign w:val="bottom"/>
          </w:tcPr>
          <w:p w14:paraId="400877F9" w14:textId="77777777" w:rsidR="00BB4766" w:rsidRPr="00F95BE1" w:rsidRDefault="00BB4766" w:rsidP="000C49A5">
            <w:pPr>
              <w:spacing w:before="0"/>
              <w:jc w:val="left"/>
              <w:rPr>
                <w:rFonts w:eastAsia="Times New Roman" w:cstheme="minorHAnsi"/>
                <w:color w:val="000000"/>
                <w:sz w:val="18"/>
                <w:szCs w:val="18"/>
                <w:lang w:eastAsia="cs-CZ"/>
              </w:rPr>
            </w:pPr>
            <w:r w:rsidRPr="00C20A13">
              <w:rPr>
                <w:rFonts w:eastAsia="Times New Roman" w:cstheme="minorHAnsi"/>
                <w:color w:val="000000"/>
                <w:sz w:val="18"/>
                <w:szCs w:val="18"/>
                <w:lang w:eastAsia="cs-CZ"/>
              </w:rPr>
              <w:t>Účetnictví a finanční řízení</w:t>
            </w:r>
          </w:p>
        </w:tc>
      </w:tr>
      <w:tr w:rsidR="00BB4766" w:rsidRPr="00F95BE1" w14:paraId="72446823" w14:textId="77777777" w:rsidTr="000C49A5">
        <w:trPr>
          <w:trHeight w:val="271"/>
        </w:trPr>
        <w:tc>
          <w:tcPr>
            <w:tcW w:w="4459" w:type="dxa"/>
            <w:tcBorders>
              <w:top w:val="single" w:sz="12" w:space="0" w:color="auto"/>
              <w:left w:val="single" w:sz="12" w:space="0" w:color="auto"/>
              <w:bottom w:val="single" w:sz="12" w:space="0" w:color="auto"/>
              <w:right w:val="single" w:sz="4" w:space="0" w:color="auto"/>
            </w:tcBorders>
            <w:shd w:val="clear" w:color="auto" w:fill="auto"/>
            <w:hideMark/>
          </w:tcPr>
          <w:p w14:paraId="3B730449"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Střední školu podnikatelskou a Vyšší odbornou školu, s.r.o.</w:t>
            </w:r>
          </w:p>
        </w:tc>
        <w:tc>
          <w:tcPr>
            <w:tcW w:w="1437" w:type="dxa"/>
            <w:tcBorders>
              <w:top w:val="single" w:sz="12" w:space="0" w:color="auto"/>
              <w:left w:val="nil"/>
              <w:bottom w:val="single" w:sz="12" w:space="0" w:color="auto"/>
              <w:right w:val="single" w:sz="4" w:space="0" w:color="auto"/>
            </w:tcBorders>
            <w:shd w:val="clear" w:color="auto" w:fill="auto"/>
            <w:noWrap/>
            <w:vAlign w:val="bottom"/>
            <w:hideMark/>
          </w:tcPr>
          <w:p w14:paraId="46783AE9"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6543N01 </w:t>
            </w:r>
          </w:p>
        </w:tc>
        <w:tc>
          <w:tcPr>
            <w:tcW w:w="3307" w:type="dxa"/>
            <w:tcBorders>
              <w:top w:val="single" w:sz="12" w:space="0" w:color="auto"/>
              <w:left w:val="nil"/>
              <w:bottom w:val="single" w:sz="12" w:space="0" w:color="auto"/>
              <w:right w:val="single" w:sz="12" w:space="0" w:color="auto"/>
            </w:tcBorders>
            <w:shd w:val="clear" w:color="auto" w:fill="auto"/>
            <w:noWrap/>
            <w:vAlign w:val="bottom"/>
            <w:hideMark/>
          </w:tcPr>
          <w:p w14:paraId="0D78E70C"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Cestovní ruch</w:t>
            </w:r>
          </w:p>
        </w:tc>
      </w:tr>
      <w:tr w:rsidR="00BB4766" w:rsidRPr="00F95BE1" w14:paraId="34DA2C0F" w14:textId="77777777" w:rsidTr="000C49A5">
        <w:trPr>
          <w:trHeight w:val="137"/>
        </w:trPr>
        <w:tc>
          <w:tcPr>
            <w:tcW w:w="4459" w:type="dxa"/>
            <w:vMerge w:val="restart"/>
            <w:tcBorders>
              <w:top w:val="single" w:sz="12" w:space="0" w:color="auto"/>
              <w:left w:val="single" w:sz="12" w:space="0" w:color="auto"/>
              <w:right w:val="single" w:sz="4" w:space="0" w:color="auto"/>
            </w:tcBorders>
            <w:shd w:val="clear" w:color="auto" w:fill="auto"/>
            <w:hideMark/>
          </w:tcPr>
          <w:p w14:paraId="455BEA12"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Střední zdravotnická škola a Vyšší odborná škola zdravotnická Zlín</w:t>
            </w:r>
          </w:p>
        </w:tc>
        <w:tc>
          <w:tcPr>
            <w:tcW w:w="1437" w:type="dxa"/>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722F88FB"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5341N51</w:t>
            </w:r>
          </w:p>
        </w:tc>
        <w:tc>
          <w:tcPr>
            <w:tcW w:w="3307" w:type="dxa"/>
            <w:tcBorders>
              <w:top w:val="single" w:sz="12" w:space="0" w:color="auto"/>
              <w:left w:val="nil"/>
              <w:bottom w:val="single" w:sz="4" w:space="0" w:color="auto"/>
              <w:right w:val="single" w:sz="12" w:space="0" w:color="auto"/>
            </w:tcBorders>
            <w:shd w:val="clear" w:color="auto" w:fill="auto"/>
            <w:noWrap/>
            <w:vAlign w:val="bottom"/>
            <w:hideMark/>
          </w:tcPr>
          <w:p w14:paraId="24A6FA39"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Diplomovaná dětská sestra </w:t>
            </w:r>
          </w:p>
        </w:tc>
      </w:tr>
      <w:tr w:rsidR="00BB4766" w:rsidRPr="00F95BE1" w14:paraId="29F76356" w14:textId="77777777" w:rsidTr="000C49A5">
        <w:trPr>
          <w:trHeight w:val="137"/>
        </w:trPr>
        <w:tc>
          <w:tcPr>
            <w:tcW w:w="4459" w:type="dxa"/>
            <w:vMerge/>
            <w:tcBorders>
              <w:left w:val="single" w:sz="12" w:space="0" w:color="auto"/>
              <w:right w:val="single" w:sz="4" w:space="0" w:color="auto"/>
            </w:tcBorders>
            <w:shd w:val="clear" w:color="auto" w:fill="auto"/>
            <w:vAlign w:val="center"/>
            <w:hideMark/>
          </w:tcPr>
          <w:p w14:paraId="30D8FCA3" w14:textId="77777777" w:rsidR="00BB4766" w:rsidRPr="00F95BE1" w:rsidRDefault="00BB4766" w:rsidP="000C49A5">
            <w:pPr>
              <w:spacing w:before="0"/>
              <w:jc w:val="left"/>
              <w:rPr>
                <w:rFonts w:eastAsia="Times New Roman" w:cstheme="minorHAnsi"/>
                <w:color w:val="000000"/>
                <w:sz w:val="18"/>
                <w:szCs w:val="18"/>
                <w:lang w:eastAsia="cs-CZ"/>
              </w:rPr>
            </w:pP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0D41B"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5341N11</w:t>
            </w:r>
          </w:p>
        </w:tc>
        <w:tc>
          <w:tcPr>
            <w:tcW w:w="3307" w:type="dxa"/>
            <w:tcBorders>
              <w:top w:val="single" w:sz="4" w:space="0" w:color="auto"/>
              <w:left w:val="nil"/>
              <w:bottom w:val="single" w:sz="4" w:space="0" w:color="auto"/>
              <w:right w:val="single" w:sz="12" w:space="0" w:color="auto"/>
            </w:tcBorders>
            <w:shd w:val="clear" w:color="auto" w:fill="auto"/>
            <w:noWrap/>
            <w:vAlign w:val="bottom"/>
            <w:hideMark/>
          </w:tcPr>
          <w:p w14:paraId="10B5CFF3"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Diplomovaná všeobecná sestra</w:t>
            </w:r>
          </w:p>
        </w:tc>
      </w:tr>
      <w:tr w:rsidR="00BB4766" w:rsidRPr="00F95BE1" w14:paraId="612B86C6" w14:textId="77777777" w:rsidTr="000C49A5">
        <w:trPr>
          <w:trHeight w:val="137"/>
        </w:trPr>
        <w:tc>
          <w:tcPr>
            <w:tcW w:w="4459" w:type="dxa"/>
            <w:vMerge/>
            <w:tcBorders>
              <w:left w:val="single" w:sz="12" w:space="0" w:color="auto"/>
              <w:bottom w:val="single" w:sz="12" w:space="0" w:color="auto"/>
              <w:right w:val="single" w:sz="4" w:space="0" w:color="auto"/>
            </w:tcBorders>
            <w:shd w:val="clear" w:color="auto" w:fill="auto"/>
            <w:vAlign w:val="center"/>
            <w:hideMark/>
          </w:tcPr>
          <w:p w14:paraId="12AAADB7" w14:textId="77777777" w:rsidR="00BB4766" w:rsidRPr="00F95BE1" w:rsidRDefault="00BB4766" w:rsidP="000C49A5">
            <w:pPr>
              <w:spacing w:before="0"/>
              <w:jc w:val="left"/>
              <w:rPr>
                <w:rFonts w:eastAsia="Times New Roman" w:cstheme="minorHAnsi"/>
                <w:color w:val="000000"/>
                <w:sz w:val="18"/>
                <w:szCs w:val="18"/>
                <w:lang w:eastAsia="cs-CZ"/>
              </w:rPr>
            </w:pPr>
          </w:p>
        </w:tc>
        <w:tc>
          <w:tcPr>
            <w:tcW w:w="1437" w:type="dxa"/>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38D7064B"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5341N21</w:t>
            </w:r>
          </w:p>
        </w:tc>
        <w:tc>
          <w:tcPr>
            <w:tcW w:w="3307" w:type="dxa"/>
            <w:tcBorders>
              <w:top w:val="single" w:sz="4" w:space="0" w:color="auto"/>
              <w:left w:val="nil"/>
              <w:bottom w:val="single" w:sz="12" w:space="0" w:color="auto"/>
              <w:right w:val="single" w:sz="12" w:space="0" w:color="auto"/>
            </w:tcBorders>
            <w:shd w:val="clear" w:color="auto" w:fill="auto"/>
            <w:noWrap/>
            <w:vAlign w:val="bottom"/>
            <w:hideMark/>
          </w:tcPr>
          <w:p w14:paraId="2C1949A8"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Diplomovaný zdravotnický záchranář </w:t>
            </w:r>
          </w:p>
        </w:tc>
      </w:tr>
      <w:tr w:rsidR="00BB4766" w:rsidRPr="00F95BE1" w14:paraId="0ACF03AB" w14:textId="77777777" w:rsidTr="000C49A5">
        <w:trPr>
          <w:trHeight w:val="137"/>
        </w:trPr>
        <w:tc>
          <w:tcPr>
            <w:tcW w:w="4459" w:type="dxa"/>
            <w:vMerge w:val="restart"/>
            <w:tcBorders>
              <w:top w:val="single" w:sz="12" w:space="0" w:color="auto"/>
              <w:left w:val="single" w:sz="12" w:space="0" w:color="auto"/>
              <w:right w:val="single" w:sz="4" w:space="0" w:color="auto"/>
            </w:tcBorders>
            <w:shd w:val="clear" w:color="auto" w:fill="auto"/>
            <w:hideMark/>
          </w:tcPr>
          <w:p w14:paraId="5DDE447A"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Zlínská soukromá VOŠ umění, o.p.s.</w:t>
            </w:r>
          </w:p>
        </w:tc>
        <w:tc>
          <w:tcPr>
            <w:tcW w:w="1437" w:type="dxa"/>
            <w:tcBorders>
              <w:top w:val="single" w:sz="12" w:space="0" w:color="auto"/>
              <w:left w:val="nil"/>
              <w:bottom w:val="single" w:sz="4" w:space="0" w:color="auto"/>
              <w:right w:val="single" w:sz="4" w:space="0" w:color="auto"/>
            </w:tcBorders>
            <w:shd w:val="clear" w:color="auto" w:fill="auto"/>
            <w:noWrap/>
            <w:vAlign w:val="bottom"/>
            <w:hideMark/>
          </w:tcPr>
          <w:p w14:paraId="32F5E166"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8241N16</w:t>
            </w:r>
          </w:p>
        </w:tc>
        <w:tc>
          <w:tcPr>
            <w:tcW w:w="3307" w:type="dxa"/>
            <w:tcBorders>
              <w:top w:val="single" w:sz="12" w:space="0" w:color="auto"/>
              <w:left w:val="nil"/>
              <w:bottom w:val="single" w:sz="4" w:space="0" w:color="auto"/>
              <w:right w:val="single" w:sz="12" w:space="0" w:color="auto"/>
            </w:tcBorders>
            <w:shd w:val="clear" w:color="auto" w:fill="auto"/>
            <w:noWrap/>
            <w:vAlign w:val="bottom"/>
            <w:hideMark/>
          </w:tcPr>
          <w:p w14:paraId="1DD4E12B"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Grafická tvorba </w:t>
            </w:r>
          </w:p>
        </w:tc>
      </w:tr>
      <w:tr w:rsidR="00BB4766" w:rsidRPr="00F95BE1" w14:paraId="714BD96A" w14:textId="77777777" w:rsidTr="000C49A5">
        <w:trPr>
          <w:trHeight w:val="137"/>
        </w:trPr>
        <w:tc>
          <w:tcPr>
            <w:tcW w:w="4459" w:type="dxa"/>
            <w:vMerge/>
            <w:tcBorders>
              <w:left w:val="single" w:sz="12" w:space="0" w:color="auto"/>
              <w:right w:val="single" w:sz="4" w:space="0" w:color="auto"/>
            </w:tcBorders>
            <w:shd w:val="clear" w:color="auto" w:fill="auto"/>
            <w:vAlign w:val="center"/>
            <w:hideMark/>
          </w:tcPr>
          <w:p w14:paraId="42CC70D1" w14:textId="77777777" w:rsidR="00BB4766" w:rsidRPr="00F95BE1" w:rsidRDefault="00BB4766" w:rsidP="000C49A5">
            <w:pPr>
              <w:spacing w:before="0"/>
              <w:jc w:val="left"/>
              <w:rPr>
                <w:rFonts w:eastAsia="Times New Roman" w:cstheme="minorHAnsi"/>
                <w:color w:val="000000"/>
                <w:sz w:val="18"/>
                <w:szCs w:val="18"/>
                <w:lang w:eastAsia="cs-CZ"/>
              </w:rPr>
            </w:pPr>
          </w:p>
        </w:tc>
        <w:tc>
          <w:tcPr>
            <w:tcW w:w="1437" w:type="dxa"/>
            <w:tcBorders>
              <w:top w:val="nil"/>
              <w:left w:val="nil"/>
              <w:bottom w:val="single" w:sz="4" w:space="0" w:color="auto"/>
              <w:right w:val="single" w:sz="4" w:space="0" w:color="auto"/>
            </w:tcBorders>
            <w:shd w:val="clear" w:color="auto" w:fill="auto"/>
            <w:noWrap/>
            <w:vAlign w:val="bottom"/>
            <w:hideMark/>
          </w:tcPr>
          <w:p w14:paraId="3810D685"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8247N04</w:t>
            </w:r>
          </w:p>
        </w:tc>
        <w:tc>
          <w:tcPr>
            <w:tcW w:w="3307" w:type="dxa"/>
            <w:tcBorders>
              <w:top w:val="nil"/>
              <w:left w:val="nil"/>
              <w:bottom w:val="single" w:sz="4" w:space="0" w:color="auto"/>
              <w:right w:val="single" w:sz="12" w:space="0" w:color="auto"/>
            </w:tcBorders>
            <w:shd w:val="clear" w:color="auto" w:fill="auto"/>
            <w:noWrap/>
            <w:vAlign w:val="bottom"/>
            <w:hideMark/>
          </w:tcPr>
          <w:p w14:paraId="790288ED"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Hudebně dramatické umění </w:t>
            </w:r>
          </w:p>
        </w:tc>
      </w:tr>
      <w:tr w:rsidR="00BB4766" w:rsidRPr="00F95BE1" w14:paraId="7EC1EDAA" w14:textId="77777777" w:rsidTr="000C49A5">
        <w:trPr>
          <w:trHeight w:val="137"/>
        </w:trPr>
        <w:tc>
          <w:tcPr>
            <w:tcW w:w="4459" w:type="dxa"/>
            <w:vMerge/>
            <w:tcBorders>
              <w:left w:val="single" w:sz="12" w:space="0" w:color="auto"/>
              <w:right w:val="single" w:sz="4" w:space="0" w:color="auto"/>
            </w:tcBorders>
            <w:shd w:val="clear" w:color="auto" w:fill="auto"/>
            <w:vAlign w:val="center"/>
            <w:hideMark/>
          </w:tcPr>
          <w:p w14:paraId="05E0B850" w14:textId="77777777" w:rsidR="00BB4766" w:rsidRPr="00F95BE1" w:rsidRDefault="00BB4766" w:rsidP="000C49A5">
            <w:pPr>
              <w:spacing w:before="0"/>
              <w:jc w:val="left"/>
              <w:rPr>
                <w:rFonts w:eastAsia="Times New Roman" w:cstheme="minorHAnsi"/>
                <w:color w:val="000000"/>
                <w:sz w:val="18"/>
                <w:szCs w:val="18"/>
                <w:lang w:eastAsia="cs-CZ"/>
              </w:rPr>
            </w:pPr>
          </w:p>
        </w:tc>
        <w:tc>
          <w:tcPr>
            <w:tcW w:w="1437" w:type="dxa"/>
            <w:tcBorders>
              <w:top w:val="nil"/>
              <w:left w:val="nil"/>
              <w:bottom w:val="single" w:sz="4" w:space="0" w:color="auto"/>
              <w:right w:val="single" w:sz="4" w:space="0" w:color="auto"/>
            </w:tcBorders>
            <w:shd w:val="clear" w:color="auto" w:fill="auto"/>
            <w:noWrap/>
            <w:vAlign w:val="bottom"/>
            <w:hideMark/>
          </w:tcPr>
          <w:p w14:paraId="190B91D5"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8241N15</w:t>
            </w:r>
          </w:p>
        </w:tc>
        <w:tc>
          <w:tcPr>
            <w:tcW w:w="3307" w:type="dxa"/>
            <w:tcBorders>
              <w:top w:val="nil"/>
              <w:left w:val="nil"/>
              <w:bottom w:val="single" w:sz="4" w:space="0" w:color="auto"/>
              <w:right w:val="single" w:sz="12" w:space="0" w:color="auto"/>
            </w:tcBorders>
            <w:shd w:val="clear" w:color="auto" w:fill="auto"/>
            <w:noWrap/>
            <w:vAlign w:val="bottom"/>
            <w:hideMark/>
          </w:tcPr>
          <w:p w14:paraId="6BE657C4"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Sochařská tvorba </w:t>
            </w:r>
          </w:p>
        </w:tc>
      </w:tr>
      <w:tr w:rsidR="00BB4766" w:rsidRPr="00F95BE1" w14:paraId="74382AD6" w14:textId="77777777" w:rsidTr="000C49A5">
        <w:trPr>
          <w:trHeight w:val="137"/>
        </w:trPr>
        <w:tc>
          <w:tcPr>
            <w:tcW w:w="4459" w:type="dxa"/>
            <w:vMerge/>
            <w:tcBorders>
              <w:left w:val="single" w:sz="12" w:space="0" w:color="auto"/>
              <w:bottom w:val="single" w:sz="12" w:space="0" w:color="auto"/>
              <w:right w:val="single" w:sz="4" w:space="0" w:color="auto"/>
            </w:tcBorders>
            <w:shd w:val="clear" w:color="auto" w:fill="auto"/>
            <w:vAlign w:val="center"/>
            <w:hideMark/>
          </w:tcPr>
          <w:p w14:paraId="70C78F83" w14:textId="77777777" w:rsidR="00BB4766" w:rsidRPr="00F95BE1" w:rsidRDefault="00BB4766" w:rsidP="000C49A5">
            <w:pPr>
              <w:spacing w:before="0"/>
              <w:jc w:val="left"/>
              <w:rPr>
                <w:rFonts w:eastAsia="Times New Roman" w:cstheme="minorHAnsi"/>
                <w:color w:val="000000"/>
                <w:sz w:val="18"/>
                <w:szCs w:val="18"/>
                <w:lang w:eastAsia="cs-CZ"/>
              </w:rPr>
            </w:pPr>
          </w:p>
        </w:tc>
        <w:tc>
          <w:tcPr>
            <w:tcW w:w="1437" w:type="dxa"/>
            <w:tcBorders>
              <w:top w:val="nil"/>
              <w:left w:val="nil"/>
              <w:bottom w:val="single" w:sz="12" w:space="0" w:color="auto"/>
              <w:right w:val="single" w:sz="4" w:space="0" w:color="auto"/>
            </w:tcBorders>
            <w:shd w:val="clear" w:color="auto" w:fill="auto"/>
            <w:noWrap/>
            <w:vAlign w:val="bottom"/>
            <w:hideMark/>
          </w:tcPr>
          <w:p w14:paraId="32D97F10"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8241N14</w:t>
            </w:r>
          </w:p>
        </w:tc>
        <w:tc>
          <w:tcPr>
            <w:tcW w:w="3307" w:type="dxa"/>
            <w:tcBorders>
              <w:top w:val="nil"/>
              <w:left w:val="nil"/>
              <w:bottom w:val="single" w:sz="12" w:space="0" w:color="auto"/>
              <w:right w:val="single" w:sz="12" w:space="0" w:color="auto"/>
            </w:tcBorders>
            <w:shd w:val="clear" w:color="auto" w:fill="auto"/>
            <w:noWrap/>
            <w:vAlign w:val="bottom"/>
            <w:hideMark/>
          </w:tcPr>
          <w:p w14:paraId="5CEC66FF" w14:textId="77777777" w:rsidR="00BB4766" w:rsidRPr="00F95BE1" w:rsidRDefault="00BB4766" w:rsidP="000C49A5">
            <w:pPr>
              <w:spacing w:before="0"/>
              <w:jc w:val="left"/>
              <w:rPr>
                <w:rFonts w:eastAsia="Times New Roman" w:cstheme="minorHAnsi"/>
                <w:color w:val="000000"/>
                <w:sz w:val="18"/>
                <w:szCs w:val="18"/>
                <w:lang w:eastAsia="cs-CZ"/>
              </w:rPr>
            </w:pPr>
            <w:r w:rsidRPr="00F95BE1">
              <w:rPr>
                <w:rFonts w:eastAsia="Times New Roman" w:cstheme="minorHAnsi"/>
                <w:color w:val="000000"/>
                <w:sz w:val="18"/>
                <w:szCs w:val="18"/>
                <w:lang w:eastAsia="cs-CZ"/>
              </w:rPr>
              <w:t xml:space="preserve">Užitá malba </w:t>
            </w:r>
          </w:p>
        </w:tc>
      </w:tr>
    </w:tbl>
    <w:p w14:paraId="29D04AA8" w14:textId="2C2DF57D" w:rsidR="00BB4766" w:rsidRDefault="00BB4766" w:rsidP="00BB4766">
      <w:pPr>
        <w:pStyle w:val="Zdroj"/>
      </w:pPr>
      <w:r>
        <w:t>Zdroj: webové stránky jednotlivých škol, zpracování PROCES, k 1.</w:t>
      </w:r>
      <w:r w:rsidR="00A76987">
        <w:t xml:space="preserve"> </w:t>
      </w:r>
      <w:r>
        <w:t>7.</w:t>
      </w:r>
      <w:r w:rsidR="00A76987">
        <w:t xml:space="preserve"> </w:t>
      </w:r>
      <w:r>
        <w:t>2020</w:t>
      </w:r>
      <w:r w:rsidR="00A76987">
        <w:t>.</w:t>
      </w:r>
    </w:p>
    <w:p w14:paraId="36CCCCB3" w14:textId="77777777" w:rsidR="00BB4766" w:rsidRDefault="00BB4766" w:rsidP="00BB4766">
      <w:pPr>
        <w:pStyle w:val="Nadpis4"/>
      </w:pPr>
      <w:r>
        <w:lastRenderedPageBreak/>
        <w:t>Univerzita Tomáše Bati ve Zlíně</w:t>
      </w:r>
    </w:p>
    <w:p w14:paraId="69D5B54F" w14:textId="19DE42A6" w:rsidR="00BB4766" w:rsidRDefault="00BB4766" w:rsidP="00BB4766">
      <w:r>
        <w:t>Vysoké školství je ve městě Zlín zajišťováno veřejnou vysokou školou</w:t>
      </w:r>
      <w:r w:rsidRPr="0034728B">
        <w:t xml:space="preserve"> </w:t>
      </w:r>
      <w:r>
        <w:t xml:space="preserve">Univerzitou </w:t>
      </w:r>
      <w:r w:rsidRPr="0034728B">
        <w:t>Tomáše Bati ve Zlíně</w:t>
      </w:r>
      <w:r>
        <w:t xml:space="preserve"> (UTB). </w:t>
      </w:r>
      <w:r w:rsidRPr="00626E1E">
        <w:t>Samostatná Univerzita Tomáše Bati byla zřízena k 1. lednu 2001.</w:t>
      </w:r>
      <w:r>
        <w:t xml:space="preserve"> Historie školy sahá do 60. let 20. století</w:t>
      </w:r>
      <w:r w:rsidRPr="00626E1E">
        <w:t>, kdy ve Zlíně vzniklo detašované pracoviště Slovenské vysoké školy technické, na němž se vyučovala zejména chemick</w:t>
      </w:r>
      <w:r>
        <w:t xml:space="preserve">á a strojírenská technologie. Od roku 1969 </w:t>
      </w:r>
      <w:r w:rsidRPr="00626E1E">
        <w:t>zdejší vysokoškolské pracoviště fungovalo už jako samostatná Fakulta technologická Vysokého učení technického.</w:t>
      </w:r>
      <w:r>
        <w:t xml:space="preserve"> Fakulta nabízela</w:t>
      </w:r>
      <w:r w:rsidRPr="003B69B2">
        <w:t xml:space="preserve"> studijní obory Mechanická technologie kůže, gumy a plastů a Konstrukce kožedělných, gumárenských a</w:t>
      </w:r>
      <w:r w:rsidR="000512C1">
        <w:t> </w:t>
      </w:r>
      <w:r w:rsidRPr="003B69B2">
        <w:t>plastikářských strojů</w:t>
      </w:r>
      <w:r>
        <w:t>.</w:t>
      </w:r>
    </w:p>
    <w:p w14:paraId="46998013" w14:textId="2FA865C9" w:rsidR="00BB4766" w:rsidRDefault="00BB4766" w:rsidP="00BB4766">
      <w:r w:rsidRPr="00F03134">
        <w:t>Nový impuls k rozvoji vysokoškolského vzdělávání ve Zlín</w:t>
      </w:r>
      <w:r>
        <w:t>ě přinesla 90. léta 20. století, kdy začaly vznikat nové fakulty.</w:t>
      </w:r>
      <w:r w:rsidRPr="00F03134">
        <w:t xml:space="preserve"> Vznik fakult byl doprovázen budováním výzkumných kapacit a samozřejmě také výstavbou nových objektů. Díky tomu, že univerzita spolupracuje s renomovanými architekty, například s architektkou světového jména Evou Jiřičnou, nabízí svým posluchačům skutečně moderní a</w:t>
      </w:r>
      <w:r w:rsidR="000512C1">
        <w:t> </w:t>
      </w:r>
      <w:r w:rsidRPr="00F03134">
        <w:t>špičkově vybavené objekty s ideálními podmínkami ke studiu, které zároveň patří k ozdobám centra města.</w:t>
      </w:r>
      <w:r>
        <w:rPr>
          <w:rStyle w:val="Znakapoznpodarou"/>
        </w:rPr>
        <w:footnoteReference w:id="60"/>
      </w:r>
    </w:p>
    <w:p w14:paraId="09D333B8" w14:textId="78CC27D4" w:rsidR="00BB4766" w:rsidRDefault="00BB4766" w:rsidP="00BB4766">
      <w:pPr>
        <w:rPr>
          <w:color w:val="FF0000"/>
        </w:rPr>
      </w:pPr>
      <w:r w:rsidRPr="00C37E60">
        <w:t>Univerzita Tomáše Bati patří mezi 5</w:t>
      </w:r>
      <w:r>
        <w:t xml:space="preserve"> </w:t>
      </w:r>
      <w:r w:rsidRPr="00C37E60">
        <w:t xml:space="preserve">% nejlepších univerzit na světě (podle žebříčku QS a </w:t>
      </w:r>
      <w:r>
        <w:t>THE). UTB měla v roce 2019 celkem 9 397 studentů</w:t>
      </w:r>
      <w:r w:rsidRPr="00C37E60">
        <w:t>, z čehož více než 10</w:t>
      </w:r>
      <w:r>
        <w:t xml:space="preserve"> </w:t>
      </w:r>
      <w:r w:rsidRPr="00C37E60">
        <w:t xml:space="preserve">% studentů pochází ze zahraničí. </w:t>
      </w:r>
      <w:r>
        <w:t>Řadí se mezi středně velké univerzity v České republice. Počet studentů na</w:t>
      </w:r>
      <w:r w:rsidR="00672730">
        <w:t xml:space="preserve"> Univerzitě Tomáše</w:t>
      </w:r>
      <w:r>
        <w:t xml:space="preserve"> Bati za posledních 6 let snížil z 10 990 studentů z 31. 10. 2014 na 9 397 studentů k 31. 10. 2019.</w:t>
      </w:r>
      <w:r>
        <w:rPr>
          <w:color w:val="FF0000"/>
        </w:rPr>
        <w:t xml:space="preserve"> </w:t>
      </w:r>
    </w:p>
    <w:p w14:paraId="0673D305" w14:textId="77777777" w:rsidR="00BB4766" w:rsidRDefault="00BB4766" w:rsidP="00BB4766">
      <w:r>
        <w:t>Studium je v současné době nabízeno na 6 fakultách:</w:t>
      </w:r>
    </w:p>
    <w:p w14:paraId="24730AA2" w14:textId="77777777" w:rsidR="00BB4766" w:rsidRDefault="00BB4766" w:rsidP="00BB4766">
      <w:pPr>
        <w:pStyle w:val="Odstavecseseznamem"/>
        <w:numPr>
          <w:ilvl w:val="0"/>
          <w:numId w:val="28"/>
        </w:numPr>
      </w:pPr>
      <w:r>
        <w:t xml:space="preserve">Fakulta technologická  </w:t>
      </w:r>
    </w:p>
    <w:p w14:paraId="6C6BBBF2" w14:textId="77777777" w:rsidR="00BB4766" w:rsidRDefault="00BB4766" w:rsidP="00BB4766">
      <w:pPr>
        <w:pStyle w:val="Odstavecseseznamem"/>
        <w:numPr>
          <w:ilvl w:val="0"/>
          <w:numId w:val="28"/>
        </w:numPr>
      </w:pPr>
      <w:r>
        <w:t xml:space="preserve">Fakulta managementu a ekonomiky  </w:t>
      </w:r>
    </w:p>
    <w:p w14:paraId="7C161D9C" w14:textId="77777777" w:rsidR="00BB4766" w:rsidRDefault="00BB4766" w:rsidP="00BB4766">
      <w:pPr>
        <w:pStyle w:val="Odstavecseseznamem"/>
        <w:numPr>
          <w:ilvl w:val="0"/>
          <w:numId w:val="28"/>
        </w:numPr>
      </w:pPr>
      <w:r>
        <w:t xml:space="preserve">Fakulta multimediálních komunikací  </w:t>
      </w:r>
    </w:p>
    <w:p w14:paraId="777ADCAF" w14:textId="77777777" w:rsidR="00BB4766" w:rsidRDefault="00BB4766" w:rsidP="00BB4766">
      <w:pPr>
        <w:pStyle w:val="Odstavecseseznamem"/>
        <w:numPr>
          <w:ilvl w:val="0"/>
          <w:numId w:val="28"/>
        </w:numPr>
      </w:pPr>
      <w:r>
        <w:t xml:space="preserve">Fakulta aplikované informatiky  </w:t>
      </w:r>
    </w:p>
    <w:p w14:paraId="3F711EE2" w14:textId="77777777" w:rsidR="00BB4766" w:rsidRDefault="00BB4766" w:rsidP="00BB4766">
      <w:pPr>
        <w:pStyle w:val="Odstavecseseznamem"/>
        <w:numPr>
          <w:ilvl w:val="0"/>
          <w:numId w:val="28"/>
        </w:numPr>
      </w:pPr>
      <w:r>
        <w:t xml:space="preserve">Fakulta humanitních studií  </w:t>
      </w:r>
    </w:p>
    <w:p w14:paraId="71BAA0EF" w14:textId="77777777" w:rsidR="00BB4766" w:rsidRDefault="00BB4766" w:rsidP="00BB4766">
      <w:pPr>
        <w:pStyle w:val="Odstavecseseznamem"/>
        <w:numPr>
          <w:ilvl w:val="0"/>
          <w:numId w:val="28"/>
        </w:numPr>
      </w:pPr>
      <w:r>
        <w:t xml:space="preserve">Fakulta logistiky a krizového řízení  </w:t>
      </w:r>
    </w:p>
    <w:p w14:paraId="1FBCF30D" w14:textId="4AD32B49" w:rsidR="00BB4766" w:rsidRDefault="00BB4766" w:rsidP="00BB4766">
      <w:r w:rsidRPr="00693C9C">
        <w:t>Na realizaci akredit</w:t>
      </w:r>
      <w:r>
        <w:t xml:space="preserve">ovaných studijních programů se podílí </w:t>
      </w:r>
      <w:r w:rsidRPr="00693C9C">
        <w:t>také Univerzitní institut, který má právní postavení</w:t>
      </w:r>
      <w:r>
        <w:t xml:space="preserve"> vysokoškolského ú</w:t>
      </w:r>
      <w:r w:rsidRPr="00693C9C">
        <w:t>stavu a je součástí UTB.</w:t>
      </w:r>
    </w:p>
    <w:p w14:paraId="2EC507E0" w14:textId="2A0DACED" w:rsidR="00BB4766" w:rsidRDefault="00BB4766" w:rsidP="00BB4766">
      <w:r>
        <w:t>V roce 2019 byly na UTB uskutečňovány v prezenční a kombinované formě studia bakalářské, navazující magisterské, souvislý magisterský a doktorské studijní programy v oblasti technických a společenských věd, ekonomie, pedagogiky, výtvarných umění a zdravotnictví. Ke dni 31. 12. 2019 bylo akreditováno celkem 220 studijních programů (v součtu prezenční i kombinované formy studia). Bakalářských studijních programů bylo akreditováno 70, souvislý magisterský studijní program 1, navazujících magisterských studijních programů 75 a doktorských studijních programů 74.</w:t>
      </w:r>
      <w:r>
        <w:rPr>
          <w:rStyle w:val="Znakapoznpodarou"/>
        </w:rPr>
        <w:footnoteReference w:id="61"/>
      </w:r>
      <w:r>
        <w:t xml:space="preserve"> Nejvíce programů nabízí Fakulta technologická. Univerzita</w:t>
      </w:r>
      <w:r w:rsidRPr="00C37E60">
        <w:t xml:space="preserve"> nabízí řadu studijních programů vyučovaných v</w:t>
      </w:r>
      <w:r w:rsidR="000512C1">
        <w:t> </w:t>
      </w:r>
      <w:r w:rsidRPr="00C37E60">
        <w:t>češtině i angličtině</w:t>
      </w:r>
      <w:r>
        <w:t xml:space="preserve"> a m</w:t>
      </w:r>
      <w:r w:rsidRPr="00C37E60">
        <w:t>á navíc dlouhodobé zkušenosti s výměnnými programy.</w:t>
      </w:r>
      <w:r>
        <w:t xml:space="preserve"> </w:t>
      </w:r>
    </w:p>
    <w:p w14:paraId="57CBE128" w14:textId="77777777" w:rsidR="00BB4766" w:rsidRDefault="00BB4766" w:rsidP="00BB4766">
      <w:r w:rsidRPr="00800C76">
        <w:t>Nejvíce studentů navštěvuje</w:t>
      </w:r>
      <w:r>
        <w:t xml:space="preserve"> programy </w:t>
      </w:r>
      <w:r w:rsidRPr="00800C76">
        <w:t>Fakult</w:t>
      </w:r>
      <w:r>
        <w:t>y</w:t>
      </w:r>
      <w:r w:rsidRPr="00800C76">
        <w:t xml:space="preserve"> managementu a ekonomiky</w:t>
      </w:r>
      <w:r>
        <w:t xml:space="preserve"> (2 092 studentů v roce 2019), dále Fakulty humanitních studií (1 955 studentů v roce 2019) a Fakulty technologické (1 662 studentů v roce 2019). Počty studentů na těchto fakultách od roku 2014 klesají. Zájem o programy se za sledované období zvýšil na Fakultě</w:t>
      </w:r>
      <w:r w:rsidRPr="00E842E1">
        <w:t xml:space="preserve"> logistiky a krizového řízení</w:t>
      </w:r>
      <w:r>
        <w:t xml:space="preserve"> a mírný nárůst studentů zaznamenala </w:t>
      </w:r>
      <w:r w:rsidRPr="00E842E1">
        <w:t>Fakulta multimediálních komunikací</w:t>
      </w:r>
      <w:r>
        <w:t>.</w:t>
      </w:r>
    </w:p>
    <w:p w14:paraId="4389B1FE" w14:textId="0282689F" w:rsidR="00BB4766" w:rsidRPr="00693C9C" w:rsidRDefault="00BB4766" w:rsidP="00BB4766">
      <w:r>
        <w:t>Přehled vývoje počtu studentů na jednotlivých fakultách je uveden v</w:t>
      </w:r>
      <w:r w:rsidR="00E111E6">
        <w:t> </w:t>
      </w:r>
      <w:r>
        <w:t>obrázku</w:t>
      </w:r>
      <w:r w:rsidR="00E111E6">
        <w:t xml:space="preserve"> 1.42</w:t>
      </w:r>
      <w:r>
        <w:t>.</w:t>
      </w:r>
    </w:p>
    <w:p w14:paraId="147E3DC9" w14:textId="77C5649A" w:rsidR="00BB4766" w:rsidRDefault="00BB4766" w:rsidP="00BB4766">
      <w:pPr>
        <w:pStyle w:val="Titulek"/>
        <w:keepNext/>
        <w:keepLines/>
      </w:pPr>
      <w:bookmarkStart w:id="260" w:name="_Toc52885963"/>
      <w:bookmarkStart w:id="261" w:name="_Toc77074860"/>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42</w:t>
      </w:r>
      <w:r w:rsidR="00804AF3">
        <w:rPr>
          <w:noProof/>
        </w:rPr>
        <w:fldChar w:fldCharType="end"/>
      </w:r>
      <w:r w:rsidR="000512C1">
        <w:rPr>
          <w:noProof/>
        </w:rPr>
        <w:t>:</w:t>
      </w:r>
      <w:r>
        <w:t xml:space="preserve"> Vývoj počtu studentů na UTB v letech 2014 – 2019</w:t>
      </w:r>
      <w:bookmarkEnd w:id="260"/>
      <w:bookmarkEnd w:id="261"/>
    </w:p>
    <w:p w14:paraId="4A14F9B2" w14:textId="77777777" w:rsidR="00BB4766" w:rsidRPr="00DA1CF8" w:rsidRDefault="00BB4766" w:rsidP="00BB4766">
      <w:r>
        <w:rPr>
          <w:noProof/>
          <w:lang w:eastAsia="cs-CZ"/>
        </w:rPr>
        <w:drawing>
          <wp:inline distT="0" distB="0" distL="0" distR="0" wp14:anchorId="371C0B90" wp14:editId="25E36819">
            <wp:extent cx="5760000" cy="3733800"/>
            <wp:effectExtent l="0" t="0" r="0" b="0"/>
            <wp:docPr id="214" name="Graf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1BC0BEA" w14:textId="5BA67037" w:rsidR="00BB4766" w:rsidRDefault="00BB4766" w:rsidP="00BB4766">
      <w:pPr>
        <w:pStyle w:val="Zdroj"/>
      </w:pPr>
      <w:r>
        <w:t>Zdroj: Univerzita Tomáše Bati, zpracování PROCES</w:t>
      </w:r>
      <w:r w:rsidR="000512C1">
        <w:t>, 2020.</w:t>
      </w:r>
    </w:p>
    <w:p w14:paraId="4621D936" w14:textId="77777777" w:rsidR="00BB4766" w:rsidRDefault="00BB4766" w:rsidP="00BB4766">
      <w:r>
        <w:t>Nejvíce</w:t>
      </w:r>
      <w:r w:rsidRPr="00545840">
        <w:t xml:space="preserve"> student</w:t>
      </w:r>
      <w:r>
        <w:t xml:space="preserve">ů v roce 2019/2020 studovalo </w:t>
      </w:r>
      <w:r w:rsidRPr="00545840">
        <w:t>na Fakultě humanitních studií</w:t>
      </w:r>
      <w:r>
        <w:t xml:space="preserve"> na bakalářském programu ve Specializaci </w:t>
      </w:r>
      <w:r w:rsidRPr="009E734E">
        <w:t>Anglický jazyk pro manažerskou praxi</w:t>
      </w:r>
      <w:r w:rsidRPr="00545840">
        <w:t xml:space="preserve"> </w:t>
      </w:r>
      <w:r>
        <w:t xml:space="preserve">(333 studentů), na </w:t>
      </w:r>
      <w:r w:rsidRPr="00A64E8E">
        <w:t>Fakult</w:t>
      </w:r>
      <w:r>
        <w:t xml:space="preserve">ě technologické ve Specializaci </w:t>
      </w:r>
      <w:r w:rsidRPr="00A64E8E">
        <w:t>Technologická zařízení</w:t>
      </w:r>
      <w:r>
        <w:t xml:space="preserve"> (283 studentů), na Fakultě aplikované informatiky </w:t>
      </w:r>
      <w:r w:rsidRPr="001A530C">
        <w:t>Softwarové inženýrství</w:t>
      </w:r>
      <w:r>
        <w:t xml:space="preserve"> (258 studentů), dále na Fakultě</w:t>
      </w:r>
      <w:r w:rsidRPr="00A64E8E">
        <w:t xml:space="preserve"> managementu a ekonomiky</w:t>
      </w:r>
      <w:r>
        <w:t xml:space="preserve"> Management a ekonomika (251 studentů), na Fakultě</w:t>
      </w:r>
      <w:r w:rsidRPr="001A530C">
        <w:t xml:space="preserve"> logistiky a krizového řízení</w:t>
      </w:r>
      <w:r>
        <w:t xml:space="preserve"> Ochrana obyvatel (225 studentů) a na Fakultě </w:t>
      </w:r>
      <w:r w:rsidRPr="001A530C">
        <w:t>multimediálních komunikací</w:t>
      </w:r>
      <w:r>
        <w:t xml:space="preserve"> ve specializaci </w:t>
      </w:r>
      <w:r w:rsidRPr="0065278D">
        <w:t>Marketingov</w:t>
      </w:r>
      <w:r>
        <w:t>á</w:t>
      </w:r>
      <w:r w:rsidRPr="0065278D">
        <w:t xml:space="preserve"> komunikace</w:t>
      </w:r>
      <w:r>
        <w:t xml:space="preserve"> (202 studentů). Mezi navazujícími magisterskými programy nejvíce studentů studovali ve Specializaci Marketingová</w:t>
      </w:r>
      <w:r w:rsidRPr="0065278D">
        <w:t xml:space="preserve"> komunikace</w:t>
      </w:r>
      <w:r>
        <w:t xml:space="preserve">, kterou v roce 2019/2020 navštěvovalo 94 studentů (Fakultě </w:t>
      </w:r>
      <w:r w:rsidRPr="001A530C">
        <w:t>multimediálních komunikací</w:t>
      </w:r>
      <w:r>
        <w:t>) a Management a marketing (Fakulta</w:t>
      </w:r>
      <w:r w:rsidRPr="00A64E8E">
        <w:t xml:space="preserve"> managementu a ekonomiky</w:t>
      </w:r>
      <w:r>
        <w:t>) s 66 studenty.</w:t>
      </w:r>
    </w:p>
    <w:p w14:paraId="1B96D837" w14:textId="77777777" w:rsidR="00BB4766" w:rsidRPr="00F67072" w:rsidRDefault="00BB4766" w:rsidP="00BB4766">
      <w:pPr>
        <w:rPr>
          <w:rFonts w:cstheme="minorHAnsi"/>
        </w:rPr>
      </w:pPr>
      <w:r w:rsidRPr="00545840">
        <w:t>Kromě</w:t>
      </w:r>
      <w:r>
        <w:t xml:space="preserve"> akreditovaných studijních programů nabízí univerzita další vzdělávací aktivity jako přednášky, </w:t>
      </w:r>
      <w:r w:rsidRPr="00F67072">
        <w:rPr>
          <w:rFonts w:cstheme="minorHAnsi"/>
        </w:rPr>
        <w:t>vzdělávací kurzy (přípravné kurzy, kurzy celoživotního vzdělávání apod.), letní školy, pohybové aktivity, konzultace, odborné workshopy, semináře, konference, projekty, soutěže apod.</w:t>
      </w:r>
    </w:p>
    <w:p w14:paraId="04F18988" w14:textId="77777777" w:rsidR="00BB4766" w:rsidRPr="00F67072" w:rsidRDefault="00BB4766" w:rsidP="00BB4766">
      <w:pPr>
        <w:rPr>
          <w:rFonts w:cstheme="minorHAnsi"/>
        </w:rPr>
      </w:pPr>
      <w:r w:rsidRPr="00F67072">
        <w:rPr>
          <w:rFonts w:cstheme="minorHAnsi"/>
        </w:rPr>
        <w:t xml:space="preserve">Dále je součástí univerzity: </w:t>
      </w:r>
    </w:p>
    <w:p w14:paraId="4135C7D3" w14:textId="22306025" w:rsidR="00BB4766" w:rsidRPr="00F67072" w:rsidRDefault="00BB4766" w:rsidP="00BB4766">
      <w:pPr>
        <w:rPr>
          <w:rFonts w:cstheme="minorHAnsi"/>
        </w:rPr>
      </w:pPr>
      <w:r w:rsidRPr="00F67072">
        <w:rPr>
          <w:rFonts w:cstheme="minorHAnsi"/>
          <w:b/>
        </w:rPr>
        <w:t>Univerzitní institut (UNI)</w:t>
      </w:r>
      <w:r w:rsidRPr="00F67072">
        <w:rPr>
          <w:rFonts w:cstheme="minorHAnsi"/>
        </w:rPr>
        <w:t xml:space="preserve"> byl zřízen v roce 2003 a má právní postavení Vysokoškolský ústav – součást univerzitní veřejné vysoké školy UTB. Součástí institutu je Centrum polymerních systémů, Centrum transferu technologií, Centrum výzkumu obouvání a Vědeckotechnický park. UNI uskutečňuje transfer technologií, vzdělávací, vědeckou, výzkumnou, vývojovou a další tvůrčí činnost, která je více popsána v kapitole Vstřícné město.</w:t>
      </w:r>
    </w:p>
    <w:p w14:paraId="473FC3F1" w14:textId="59B87350" w:rsidR="00BB4766" w:rsidRPr="00F67072" w:rsidRDefault="00BB4766" w:rsidP="00BB4766">
      <w:pPr>
        <w:rPr>
          <w:rFonts w:cstheme="minorHAnsi"/>
        </w:rPr>
      </w:pPr>
      <w:r w:rsidRPr="00F67072">
        <w:rPr>
          <w:rFonts w:cstheme="minorHAnsi"/>
          <w:b/>
        </w:rPr>
        <w:t>Knihovna UTB</w:t>
      </w:r>
      <w:r w:rsidRPr="00F67072">
        <w:rPr>
          <w:rFonts w:cstheme="minorHAnsi"/>
        </w:rPr>
        <w:t xml:space="preserve"> je největší odbornou knihovnou ve Zlínském kraji. </w:t>
      </w:r>
      <w:r w:rsidRPr="008570A3">
        <w:rPr>
          <w:rFonts w:cstheme="minorHAnsi"/>
        </w:rPr>
        <w:t>Ve fondu se nachází zhruba 137 tisíc knih, na dvě stovky titulů tištěných novin a časopisů, nebo veškerá produkce elektronických kvalifikačních prací studentů univerzity. Zpřístupňuje také téměř stovku vědeckých databází, jejichž obsah tvoří tisíce článků z prestižních vědeckých časopisů a e-knihy. Poskytuje řadu školení a</w:t>
      </w:r>
      <w:r w:rsidR="000512C1">
        <w:rPr>
          <w:rFonts w:cstheme="minorHAnsi"/>
        </w:rPr>
        <w:t> </w:t>
      </w:r>
      <w:r w:rsidRPr="008570A3">
        <w:rPr>
          <w:rFonts w:cstheme="minorHAnsi"/>
        </w:rPr>
        <w:t xml:space="preserve">konzultací, meziknihovní výpůjčky dokumentů z jiných knihoven z ČR či zahraničí a širokou paletu dalších služeb. </w:t>
      </w:r>
      <w:r w:rsidRPr="00F67072">
        <w:rPr>
          <w:rFonts w:cstheme="minorHAnsi"/>
        </w:rPr>
        <w:t xml:space="preserve">Součástí Knihovny Univerzity Tomáše Bati ve Zlíně je v Informační centrum Baťa, které </w:t>
      </w:r>
      <w:r w:rsidRPr="00F67072">
        <w:rPr>
          <w:rFonts w:cstheme="minorHAnsi"/>
        </w:rPr>
        <w:lastRenderedPageBreak/>
        <w:t>bylo založeno z iniciativy vedení univerzity v prosinci 2008. Přibližuje veřejnosti osobnost Tomáše Bati a</w:t>
      </w:r>
      <w:r w:rsidR="000512C1">
        <w:rPr>
          <w:rFonts w:cstheme="minorHAnsi"/>
        </w:rPr>
        <w:t> </w:t>
      </w:r>
      <w:r w:rsidRPr="00F67072">
        <w:rPr>
          <w:rFonts w:cstheme="minorHAnsi"/>
        </w:rPr>
        <w:t>všechny aspekty působení firmy Baťa ve Zlíně, v Československu a ve světě od roku 1894 do současnosti.</w:t>
      </w:r>
      <w:r w:rsidRPr="00F67072">
        <w:rPr>
          <w:rStyle w:val="Znakapoznpodarou"/>
          <w:rFonts w:cstheme="minorHAnsi"/>
        </w:rPr>
        <w:footnoteReference w:id="62"/>
      </w:r>
    </w:p>
    <w:p w14:paraId="744CC9AB" w14:textId="109282FF" w:rsidR="00BB4766" w:rsidRPr="006C7C21" w:rsidRDefault="00BB4766" w:rsidP="00BB4766">
      <w:r w:rsidRPr="006C7C21">
        <w:rPr>
          <w:b/>
        </w:rPr>
        <w:t>Koleje a menza</w:t>
      </w:r>
      <w:r>
        <w:rPr>
          <w:b/>
        </w:rPr>
        <w:t xml:space="preserve"> </w:t>
      </w:r>
      <w:r w:rsidRPr="006C7C21">
        <w:t>nabízí ubyto</w:t>
      </w:r>
      <w:r>
        <w:t>vací a stravovac</w:t>
      </w:r>
      <w:r w:rsidRPr="006C7C21">
        <w:t xml:space="preserve">í </w:t>
      </w:r>
      <w:r>
        <w:t xml:space="preserve">služby </w:t>
      </w:r>
      <w:r w:rsidRPr="006C7C21">
        <w:t>pro studenty univerzity.</w:t>
      </w:r>
      <w:r>
        <w:t xml:space="preserve"> Bydlení je nabízeno na třech kolejích v jednolůžkových, dvoulůžkových a třílůžkových pokojích poblíž centra města nebo v</w:t>
      </w:r>
      <w:r w:rsidR="000512C1">
        <w:t> </w:t>
      </w:r>
      <w:r>
        <w:t>rámci</w:t>
      </w:r>
      <w:r w:rsidRPr="006C7C21">
        <w:t xml:space="preserve"> hotelové ubytování. </w:t>
      </w:r>
      <w:r>
        <w:rPr>
          <w:shd w:val="clear" w:color="auto" w:fill="FFFFFF"/>
        </w:rPr>
        <w:t>Možnost stravování je zajišťována ve</w:t>
      </w:r>
      <w:r w:rsidRPr="006C7C21">
        <w:rPr>
          <w:shd w:val="clear" w:color="auto" w:fill="FFFFFF"/>
        </w:rPr>
        <w:t xml:space="preserve"> dvou menz</w:t>
      </w:r>
      <w:r>
        <w:rPr>
          <w:shd w:val="clear" w:color="auto" w:fill="FFFFFF"/>
        </w:rPr>
        <w:t>ách</w:t>
      </w:r>
      <w:r w:rsidRPr="006C7C21">
        <w:rPr>
          <w:shd w:val="clear" w:color="auto" w:fill="FFFFFF"/>
        </w:rPr>
        <w:t>, bufetu a restaurac</w:t>
      </w:r>
      <w:r>
        <w:rPr>
          <w:shd w:val="clear" w:color="auto" w:fill="FFFFFF"/>
        </w:rPr>
        <w:t xml:space="preserve">i. </w:t>
      </w:r>
    </w:p>
    <w:p w14:paraId="40E18C26" w14:textId="297E1A8F" w:rsidR="00BB4766" w:rsidRDefault="00BB4766" w:rsidP="00BB4766">
      <w:r>
        <w:t xml:space="preserve">V roce 2019/2020 se o studium na univerzitě hlásilo 6 087 uchazečů, ze kterých bylo 3 169 studentů zapsaných ke studiu. V počtu zapsaných studentů je </w:t>
      </w:r>
      <w:r w:rsidRPr="00C6041F">
        <w:t>Univerzita Tomáše B</w:t>
      </w:r>
      <w:r>
        <w:t>ati</w:t>
      </w:r>
      <w:r w:rsidRPr="00C6041F">
        <w:t xml:space="preserve"> na</w:t>
      </w:r>
      <w:r>
        <w:t xml:space="preserve"> 9 místě</w:t>
      </w:r>
      <w:r w:rsidR="00E254AB">
        <w:t>,</w:t>
      </w:r>
      <w:r>
        <w:t xml:space="preserve"> viz obrázek</w:t>
      </w:r>
      <w:r w:rsidR="00E111E6">
        <w:t xml:space="preserve"> 1.43</w:t>
      </w:r>
      <w:r>
        <w:t>. Úspěšnost uchazečů (p</w:t>
      </w:r>
      <w:r w:rsidRPr="00D23A9F">
        <w:t>očet přijatých / počet uchazečů, kteří se dostavili k přijímacímu řízení x</w:t>
      </w:r>
      <w:r w:rsidR="000512C1">
        <w:t> </w:t>
      </w:r>
      <w:r w:rsidRPr="00D23A9F">
        <w:t>100</w:t>
      </w:r>
      <w:r>
        <w:t xml:space="preserve">) byla v roce 2019/2020 61,5 % (viz tabulka </w:t>
      </w:r>
      <w:r w:rsidR="009D4735">
        <w:t>1.81</w:t>
      </w:r>
      <w:r w:rsidR="002B3618">
        <w:t xml:space="preserve"> </w:t>
      </w:r>
      <w:r>
        <w:t>uvedená v příloze kapitoly).</w:t>
      </w:r>
    </w:p>
    <w:p w14:paraId="27CA5E5B" w14:textId="1292B2E6" w:rsidR="00BB4766" w:rsidRDefault="00BB4766" w:rsidP="00BB4766">
      <w:pPr>
        <w:pStyle w:val="Titulek"/>
        <w:keepNext/>
        <w:keepLines/>
      </w:pPr>
      <w:bookmarkStart w:id="262" w:name="_Toc52885964"/>
      <w:bookmarkStart w:id="263" w:name="_Toc7707486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43</w:t>
      </w:r>
      <w:r w:rsidR="00804AF3">
        <w:rPr>
          <w:noProof/>
        </w:rPr>
        <w:fldChar w:fldCharType="end"/>
      </w:r>
      <w:r w:rsidR="00AE70A0">
        <w:rPr>
          <w:noProof/>
        </w:rPr>
        <w:t>:</w:t>
      </w:r>
      <w:r>
        <w:t xml:space="preserve"> Přehled zapsaných studentů v rámci přijímacího řízení na vysokých školách v České republice v roce 2019/2020</w:t>
      </w:r>
      <w:bookmarkEnd w:id="262"/>
      <w:bookmarkEnd w:id="263"/>
    </w:p>
    <w:p w14:paraId="199286A7" w14:textId="77777777" w:rsidR="00BB4766" w:rsidRDefault="00BB4766" w:rsidP="00BB4766">
      <w:r>
        <w:rPr>
          <w:noProof/>
          <w:lang w:eastAsia="cs-CZ"/>
        </w:rPr>
        <w:drawing>
          <wp:inline distT="0" distB="0" distL="0" distR="0" wp14:anchorId="41AA5BBA" wp14:editId="3F8DCB7B">
            <wp:extent cx="5695950" cy="3571875"/>
            <wp:effectExtent l="0" t="0" r="0" b="9525"/>
            <wp:docPr id="215" name="Obráze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95950" cy="3571875"/>
                    </a:xfrm>
                    <a:prstGeom prst="rect">
                      <a:avLst/>
                    </a:prstGeom>
                  </pic:spPr>
                </pic:pic>
              </a:graphicData>
            </a:graphic>
          </wp:inline>
        </w:drawing>
      </w:r>
    </w:p>
    <w:p w14:paraId="254473FC" w14:textId="028C6127" w:rsidR="00BB4766" w:rsidRDefault="00BB4766" w:rsidP="00BB4766">
      <w:pPr>
        <w:pStyle w:val="Zdroj"/>
      </w:pPr>
      <w:r>
        <w:t>Zdroj: MŠMT, statistika školství, zpracování PROCES, 2020</w:t>
      </w:r>
      <w:r w:rsidR="00AE70A0">
        <w:t>.</w:t>
      </w:r>
    </w:p>
    <w:p w14:paraId="4E2250AE" w14:textId="77777777" w:rsidR="00BB4766" w:rsidRDefault="00BB4766" w:rsidP="00BB4766">
      <w:pPr>
        <w:rPr>
          <w:lang w:eastAsia="cs-CZ"/>
        </w:rPr>
      </w:pPr>
      <w:r>
        <w:t>Univerzita zavádí opatření pro snižování studijní neúspěšnosti, zejména v prvních ročnících bakalářského studia. V rámci fakult jsou nabízeny semináře ke studijním předmětům s vysokou mírou neúspěšnosti,  individuální doučování staršími studenty, konzultace a další. Studenti i uchazeči mají možnost využít služeb Akademické poradny UTB, která nabízí bezplatné odborné psychologické a pedagogické poradenství. Univerzita se věnuje rovněž podpoře a identifikaci studentů se specifickými potřebami, studentům se socioekonomickým znevýhodněním a mimořádně nadaným studentům.</w:t>
      </w:r>
    </w:p>
    <w:p w14:paraId="157DFDA7" w14:textId="30055F36" w:rsidR="00BB4766" w:rsidRDefault="00BB4766" w:rsidP="00BB4766">
      <w:pPr>
        <w:pStyle w:val="Nadpis3"/>
        <w:ind w:left="720"/>
      </w:pPr>
      <w:bookmarkStart w:id="264" w:name="_Toc52885975"/>
      <w:bookmarkStart w:id="265" w:name="_Toc77074585"/>
      <w:r>
        <w:t>Síťování a spolupráce aktérů v oblasti vzdělá</w:t>
      </w:r>
      <w:r w:rsidR="00757ADA">
        <w:t>vá</w:t>
      </w:r>
      <w:r>
        <w:t>ní</w:t>
      </w:r>
      <w:bookmarkEnd w:id="264"/>
      <w:bookmarkEnd w:id="265"/>
    </w:p>
    <w:p w14:paraId="1D78AC5D" w14:textId="08E7698C" w:rsidR="00BB4766" w:rsidRDefault="00BB4766" w:rsidP="00BB4766">
      <w:r w:rsidRPr="00DD42BC">
        <w:t xml:space="preserve">Pro </w:t>
      </w:r>
      <w:r>
        <w:t xml:space="preserve">zajištění kvalitního vzdělávání, dosažení </w:t>
      </w:r>
      <w:r w:rsidRPr="00FB3FBB">
        <w:t xml:space="preserve">maximálního úspěchu každého žáka </w:t>
      </w:r>
      <w:r w:rsidRPr="00DD42BC">
        <w:t>a připravenosti absolventů uspět na trh</w:t>
      </w:r>
      <w:r w:rsidR="00AE70A0">
        <w:t>u</w:t>
      </w:r>
      <w:r w:rsidRPr="00DD42BC">
        <w:t xml:space="preserve"> práce je nezbytné dobře fungující propojení mezi všemi aktéry ve sféře vzdělávání a světem</w:t>
      </w:r>
      <w:r>
        <w:t xml:space="preserve"> práce. </w:t>
      </w:r>
      <w:r w:rsidRPr="00FB3FBB">
        <w:t xml:space="preserve">Spolupráce škol s organizacemi poskytujícími neformální a zájmové vzdělávání vede k využití místního potenciálu pro rozšíření příležitostí pro učení se žáků nebo </w:t>
      </w:r>
      <w:r w:rsidRPr="00FB3FBB">
        <w:lastRenderedPageBreak/>
        <w:t>pro sdílení a výměnu dobrých zkušeností mezi pedagogickými a dalšími pracovníky j</w:t>
      </w:r>
      <w:r>
        <w:t>ednotlivých sektorů vzdělávání. Propojení s aktéry ze světa práce umožňuje</w:t>
      </w:r>
      <w:r w:rsidRPr="00DD42BC">
        <w:t xml:space="preserve"> školskému systému reagovat na měnící se požadavky a potřeby trhu práce. </w:t>
      </w:r>
      <w:r>
        <w:t>Je podstatné, aby v</w:t>
      </w:r>
      <w:r w:rsidRPr="00DD42BC">
        <w:t>azba</w:t>
      </w:r>
      <w:r>
        <w:t xml:space="preserve"> mezi aktéry byla</w:t>
      </w:r>
      <w:r w:rsidRPr="00DD42BC">
        <w:t xml:space="preserve"> oboustranná a</w:t>
      </w:r>
      <w:r w:rsidR="00AE70A0">
        <w:t> </w:t>
      </w:r>
      <w:r w:rsidRPr="00DD42BC">
        <w:t>komunikace mezi sférou práce a sférou vzdělávání funkční a efektivní.</w:t>
      </w:r>
      <w:r>
        <w:t xml:space="preserve"> </w:t>
      </w:r>
    </w:p>
    <w:p w14:paraId="39792435" w14:textId="2399D954" w:rsidR="00BB4766" w:rsidRDefault="00BB4766" w:rsidP="00BB4766">
      <w:r>
        <w:t xml:space="preserve">Na území města Zlín probíhá spolupráce napříč školami všech stupňů vzdělávání (MŠ, ZŠ, SŠ, ZUŠ, UTB). Forma spolupráce je hlavně v gesci ředitelů škol, jedná se např. o návštěvy, společné projekty, soutěže, </w:t>
      </w:r>
      <w:r w:rsidRPr="00B67BDA">
        <w:t>kroužky, stáže studentů SŠ a UTB apod. Dům dětí a mládeže ASTRA Zlín, příspěvková organizace spolupracuje se školami a dalšími institucemi při vyhledávání nadaných dětí, žáků a studentů a</w:t>
      </w:r>
      <w:r w:rsidR="00AE70A0">
        <w:t> </w:t>
      </w:r>
      <w:r w:rsidRPr="00B67BDA">
        <w:t>podporují je v jejich rozvoji.</w:t>
      </w:r>
    </w:p>
    <w:p w14:paraId="776ED679" w14:textId="290CD056" w:rsidR="00BB4766" w:rsidRPr="001B1CC4" w:rsidRDefault="00BB4766" w:rsidP="00BB4766">
      <w:pPr>
        <w:rPr>
          <w:shd w:val="clear" w:color="auto" w:fill="FFFFFF" w:themeFill="background1"/>
        </w:rPr>
      </w:pPr>
      <w:r>
        <w:t>N</w:t>
      </w:r>
      <w:r w:rsidRPr="001B1CC4">
        <w:t xml:space="preserve">a spolupráci aktérů vzdělávání </w:t>
      </w:r>
      <w:r>
        <w:t>ve správním obvodu</w:t>
      </w:r>
      <w:r w:rsidRPr="001B1CC4">
        <w:t xml:space="preserve"> obce s r</w:t>
      </w:r>
      <w:r>
        <w:t xml:space="preserve">ozšířenou působností (SO ORP) Zlín je zaměřený projekt </w:t>
      </w:r>
      <w:r w:rsidRPr="001B1CC4">
        <w:t>Místní akční plán rozvoje vzdělávání v ORP Zlín</w:t>
      </w:r>
      <w:r>
        <w:t xml:space="preserve">. </w:t>
      </w:r>
      <w:r w:rsidRPr="001B1CC4">
        <w:t>Hlavním cílem projektu je zlepšit úroveň a kvalitu vzdělávání v mateřských a</w:t>
      </w:r>
      <w:r>
        <w:t xml:space="preserve"> základních školách tím, že je</w:t>
      </w:r>
      <w:r w:rsidRPr="001B1CC4">
        <w:t xml:space="preserve"> podpořena spolupráce zřizovatelů, škol a ostatních aktérů ve vzdělávání. To znamená společné informování, vzdělávání a</w:t>
      </w:r>
      <w:r w:rsidR="00AE70A0">
        <w:t> </w:t>
      </w:r>
      <w:r w:rsidRPr="001B1CC4">
        <w:t xml:space="preserve">plánování partnerských aktivit pro řešení místně specifických problémů a potřeb. Projekt </w:t>
      </w:r>
      <w:r>
        <w:t>z</w:t>
      </w:r>
      <w:r w:rsidRPr="001B1CC4">
        <w:t>ahrnuje oblasti včasné péče, předškolního a základního, zájmového a neformálního vzdělávání</w:t>
      </w:r>
      <w:r w:rsidRPr="001B1CC4">
        <w:rPr>
          <w:shd w:val="clear" w:color="auto" w:fill="FFFFFF" w:themeFill="background1"/>
        </w:rPr>
        <w:t>. Tomuto zaměření odpovídá území realizace i výběr partnerů pro realizaci MAP a zaměření sběru dat.</w:t>
      </w:r>
      <w:r w:rsidRPr="001B1CC4">
        <w:t xml:space="preserve"> </w:t>
      </w:r>
      <w:r w:rsidRPr="001B1CC4">
        <w:rPr>
          <w:shd w:val="clear" w:color="auto" w:fill="FFFFFF" w:themeFill="background1"/>
        </w:rPr>
        <w:t>Na realizaci výstupů se podílejí aktéři z oblasti vzdělávání:</w:t>
      </w:r>
    </w:p>
    <w:p w14:paraId="7226DC43" w14:textId="77777777" w:rsidR="00BB4766" w:rsidRPr="00FB3FBB"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pedagogičtí pracovníci</w:t>
      </w:r>
    </w:p>
    <w:p w14:paraId="57DCDD5D" w14:textId="77777777" w:rsidR="00BB4766" w:rsidRPr="00FB3FBB"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vedoucí pracovníci škol a školských zařízení</w:t>
      </w:r>
    </w:p>
    <w:p w14:paraId="4F252FB2" w14:textId="77777777" w:rsidR="00BB4766" w:rsidRPr="00FB3FBB"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pracovníci organizací působících v oblasti vzdělávání, výzkumu a poradenství</w:t>
      </w:r>
    </w:p>
    <w:p w14:paraId="60A3A39E" w14:textId="77777777" w:rsidR="00BB4766" w:rsidRPr="00FB3FBB"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pracovníci a dobrovolní pracovníci organizací působících v oblasti vzdělávání nebo asistenčních služeb a v oblasti neformálního a zájmového vzdělávání dětí a mládeže</w:t>
      </w:r>
    </w:p>
    <w:p w14:paraId="00C8CA15" w14:textId="77777777" w:rsidR="00BB4766" w:rsidRPr="00FB3FBB"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děti a žáci</w:t>
      </w:r>
    </w:p>
    <w:p w14:paraId="31FD2766" w14:textId="77777777" w:rsidR="00BB4766" w:rsidRPr="00FB3FBB"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rodiče dětí a žáků</w:t>
      </w:r>
    </w:p>
    <w:p w14:paraId="57DD4E7E" w14:textId="77777777" w:rsidR="00BB4766" w:rsidRPr="00FB3FBB"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starostové obcí</w:t>
      </w:r>
    </w:p>
    <w:p w14:paraId="60192654" w14:textId="77777777" w:rsidR="00BB4766" w:rsidRDefault="00BB4766" w:rsidP="00BB4766">
      <w:pPr>
        <w:pStyle w:val="Odstavecseseznamem"/>
        <w:numPr>
          <w:ilvl w:val="0"/>
          <w:numId w:val="31"/>
        </w:numPr>
        <w:rPr>
          <w:shd w:val="clear" w:color="auto" w:fill="FFFFFF" w:themeFill="background1"/>
        </w:rPr>
      </w:pPr>
      <w:r w:rsidRPr="00FB3FBB">
        <w:rPr>
          <w:shd w:val="clear" w:color="auto" w:fill="FFFFFF" w:themeFill="background1"/>
        </w:rPr>
        <w:t>zaměstnanci veřejné správy a zřizovatelů škol působící ve vzdělávací politice</w:t>
      </w:r>
    </w:p>
    <w:p w14:paraId="3FE051E9" w14:textId="77777777" w:rsidR="00BB4766" w:rsidRDefault="00BB4766" w:rsidP="00BB4766">
      <w:pPr>
        <w:pStyle w:val="Odstavecseseznamem"/>
        <w:numPr>
          <w:ilvl w:val="0"/>
          <w:numId w:val="31"/>
        </w:numPr>
        <w:rPr>
          <w:shd w:val="clear" w:color="auto" w:fill="FFFFFF" w:themeFill="background1"/>
        </w:rPr>
      </w:pPr>
      <w:r w:rsidRPr="004D4BC2">
        <w:rPr>
          <w:shd w:val="clear" w:color="auto" w:fill="FFFFFF" w:themeFill="background1"/>
        </w:rPr>
        <w:t>veřejnost</w:t>
      </w:r>
      <w:r>
        <w:rPr>
          <w:rStyle w:val="Znakapoznpodarou"/>
          <w:shd w:val="clear" w:color="auto" w:fill="FFFFFF" w:themeFill="background1"/>
        </w:rPr>
        <w:footnoteReference w:id="63"/>
      </w:r>
    </w:p>
    <w:p w14:paraId="1BB338FB" w14:textId="21E04FAB" w:rsidR="00BB4766" w:rsidRDefault="00BB4766" w:rsidP="00BB4766">
      <w:pPr>
        <w:rPr>
          <w:color w:val="FF0000"/>
        </w:rPr>
      </w:pPr>
      <w:r>
        <w:t xml:space="preserve">Jak uvádí </w:t>
      </w:r>
      <w:r w:rsidRPr="00857270">
        <w:t>Koncepc</w:t>
      </w:r>
      <w:r>
        <w:t>e</w:t>
      </w:r>
      <w:r w:rsidRPr="00857270">
        <w:t xml:space="preserve"> rozvoje školství statutárního města Zlína na období let 2021 – 2027</w:t>
      </w:r>
      <w:r w:rsidR="00AE70A0">
        <w:t>,</w:t>
      </w:r>
      <w:r>
        <w:t xml:space="preserve"> byly v</w:t>
      </w:r>
      <w:r w:rsidRPr="00577365">
        <w:rPr>
          <w:color w:val="FF0000"/>
        </w:rPr>
        <w:t> </w:t>
      </w:r>
      <w:r w:rsidRPr="004F6C88">
        <w:t>rámci projektu MAP II školy podporovány při poskytování on</w:t>
      </w:r>
      <w:r w:rsidR="00AE70A0">
        <w:t>-</w:t>
      </w:r>
      <w:r w:rsidRPr="004F6C88">
        <w:t>line výuky během nouzového stavu, kterým vláda zakázala osobní přítomnost žáků a studentů při vzdělávání nebo studiu. Školám byla nabídnuta</w:t>
      </w:r>
      <w:r>
        <w:t xml:space="preserve"> on-line výuka</w:t>
      </w:r>
      <w:r w:rsidRPr="004F6C88">
        <w:t xml:space="preserve"> rodilého mluvčího, on-line kulatý stůl se specialistou podpory školských poradenských pracovišť, dále byla stále v nabídce možnost telefonického poradenství po telefonu, </w:t>
      </w:r>
      <w:r w:rsidR="00AE70A0">
        <w:t>S</w:t>
      </w:r>
      <w:r w:rsidRPr="004F6C88">
        <w:t>kypu nebo mailu (komunikace s žáky, rodiči, učiteli, detekce ohroženého dítěte a rodiny, rizikových projevů chování, individuální konzultace, podpora a spolupráce s dítětem a rodinou neúspěšného žáka, příprava do školy, motivace a demotivace dětí, rizika internetu atd.).</w:t>
      </w:r>
      <w:r w:rsidRPr="00577365">
        <w:rPr>
          <w:color w:val="FF0000"/>
        </w:rPr>
        <w:t xml:space="preserve"> </w:t>
      </w:r>
      <w:r>
        <w:t>Ze škol byly sesbírány</w:t>
      </w:r>
      <w:r w:rsidRPr="004F6C88">
        <w:t xml:space="preserve"> dotazy, na jaké by chtěly slyšet odpovědi v pořadu se specialistou podpory školských poradenských pracovišť.</w:t>
      </w:r>
      <w:r w:rsidRPr="00577365">
        <w:rPr>
          <w:color w:val="FF0000"/>
        </w:rPr>
        <w:t xml:space="preserve"> </w:t>
      </w:r>
      <w:r w:rsidRPr="004F6C88">
        <w:t xml:space="preserve">Od Národního institutu dalšího vzdělávání, z projektu </w:t>
      </w:r>
      <w:r w:rsidRPr="004F6C88">
        <w:rPr>
          <w:rFonts w:cs="Arial"/>
          <w:bCs/>
        </w:rPr>
        <w:t>Systémové</w:t>
      </w:r>
      <w:r w:rsidRPr="004F6C88">
        <w:rPr>
          <w:rFonts w:cs="Arial"/>
        </w:rPr>
        <w:t xml:space="preserve"> </w:t>
      </w:r>
      <w:r w:rsidRPr="004F6C88">
        <w:rPr>
          <w:rFonts w:cs="Arial"/>
          <w:bCs/>
        </w:rPr>
        <w:t>podpory</w:t>
      </w:r>
      <w:r w:rsidRPr="004F6C88">
        <w:rPr>
          <w:rFonts w:cs="Arial"/>
        </w:rPr>
        <w:t xml:space="preserve"> </w:t>
      </w:r>
      <w:r w:rsidRPr="004F6C88">
        <w:rPr>
          <w:rFonts w:cs="Arial"/>
          <w:bCs/>
        </w:rPr>
        <w:t>profesního</w:t>
      </w:r>
      <w:r w:rsidRPr="004F6C88">
        <w:rPr>
          <w:rFonts w:cs="Arial"/>
        </w:rPr>
        <w:t xml:space="preserve"> </w:t>
      </w:r>
      <w:r w:rsidRPr="004F6C88">
        <w:rPr>
          <w:rFonts w:cs="Arial"/>
          <w:bCs/>
        </w:rPr>
        <w:t>rozvoje</w:t>
      </w:r>
      <w:r w:rsidRPr="004F6C88">
        <w:rPr>
          <w:rFonts w:cs="Arial"/>
        </w:rPr>
        <w:t xml:space="preserve"> </w:t>
      </w:r>
      <w:r w:rsidRPr="004F6C88">
        <w:rPr>
          <w:rFonts w:cs="Arial"/>
          <w:bCs/>
        </w:rPr>
        <w:t>učitelů</w:t>
      </w:r>
      <w:r w:rsidRPr="004F6C88">
        <w:rPr>
          <w:rFonts w:cs="Arial"/>
        </w:rPr>
        <w:t xml:space="preserve"> </w:t>
      </w:r>
      <w:r w:rsidRPr="004F6C88">
        <w:rPr>
          <w:rFonts w:cs="Arial"/>
          <w:bCs/>
        </w:rPr>
        <w:t>a</w:t>
      </w:r>
      <w:r w:rsidRPr="004F6C88">
        <w:rPr>
          <w:rFonts w:cs="Arial"/>
        </w:rPr>
        <w:t xml:space="preserve"> </w:t>
      </w:r>
      <w:r w:rsidRPr="004F6C88">
        <w:rPr>
          <w:rFonts w:cs="Arial"/>
          <w:bCs/>
        </w:rPr>
        <w:t>ředitelů</w:t>
      </w:r>
      <w:r w:rsidRPr="004F6C88">
        <w:rPr>
          <w:rFonts w:cs="Arial"/>
        </w:rPr>
        <w:t xml:space="preserve"> (</w:t>
      </w:r>
      <w:r w:rsidRPr="004F6C88">
        <w:t>SYPO) a od organizací, které se zabývají on-</w:t>
      </w:r>
      <w:r>
        <w:t xml:space="preserve">line výukou, byly ředitelům </w:t>
      </w:r>
      <w:r w:rsidRPr="004F6C88">
        <w:t>předávány potřebné informace.</w:t>
      </w:r>
      <w:r>
        <w:rPr>
          <w:rStyle w:val="Znakapoznpodarou"/>
        </w:rPr>
        <w:footnoteReference w:id="64"/>
      </w:r>
    </w:p>
    <w:p w14:paraId="459DA6C9" w14:textId="77777777" w:rsidR="00BB4766" w:rsidRPr="00B323B3" w:rsidRDefault="00BB4766" w:rsidP="00BB4766">
      <w:pPr>
        <w:shd w:val="clear" w:color="auto" w:fill="FFFFFF"/>
      </w:pPr>
      <w:r w:rsidRPr="00B323B3">
        <w:t>V rámci projektu MAP II. došlo po skončení mimořádných opatření k mapování situace formou dotazníku</w:t>
      </w:r>
      <w:r>
        <w:t>. Na</w:t>
      </w:r>
      <w:r w:rsidRPr="00B323B3">
        <w:t xml:space="preserve"> základě další výměny zkušeností, rozboru kladů a nedostatků a doporučení pro práci v případě další podobné situace budou nastavena potřebná opatření.</w:t>
      </w:r>
    </w:p>
    <w:p w14:paraId="4C14504D" w14:textId="77777777" w:rsidR="00BB4766" w:rsidRDefault="00BB4766" w:rsidP="00BB4766">
      <w:pPr>
        <w:shd w:val="clear" w:color="auto" w:fill="FFFFFF"/>
      </w:pPr>
      <w:r>
        <w:t xml:space="preserve">Na podporu odborného vzdělávání včetně spolupráce škol a zaměstnavatelů ve Zlínském kraji se zaměřuje </w:t>
      </w:r>
      <w:r w:rsidRPr="00002EC5">
        <w:t>Krajský akční plán</w:t>
      </w:r>
      <w:r>
        <w:t xml:space="preserve">. Cílem je nastavení účinné participace subjektů hospodářské sféry na směřování a působnost středních a vyšších škol, zaměřených na odborné vzdělávání. </w:t>
      </w:r>
      <w:r w:rsidRPr="00CC4EB9">
        <w:t>Jak je uvedeno v Krajském akčnímu plánu, důležitým prvkem</w:t>
      </w:r>
      <w:r>
        <w:t xml:space="preserve"> v podpoře odborného vzdělávání </w:t>
      </w:r>
      <w:r w:rsidRPr="00CC4EB9">
        <w:t xml:space="preserve">je navázání užších </w:t>
      </w:r>
      <w:r w:rsidRPr="00CC4EB9">
        <w:lastRenderedPageBreak/>
        <w:t>kontaktů se sociálními partnery (zaměstnavateli, úřady práce, hospodářskými komorami, vysokými škol</w:t>
      </w:r>
      <w:r>
        <w:t>ami a dalšími) a jejich vzájemná</w:t>
      </w:r>
      <w:r w:rsidRPr="00CC4EB9">
        <w:t xml:space="preserve"> spolupráce se školami.</w:t>
      </w:r>
      <w:r>
        <w:t xml:space="preserve"> Příklady spolupráce výše zmíněných subjektů:</w:t>
      </w:r>
    </w:p>
    <w:p w14:paraId="4259674D" w14:textId="77777777" w:rsidR="00BB4766" w:rsidRDefault="00BB4766" w:rsidP="00BB4766">
      <w:pPr>
        <w:pStyle w:val="Odstavecseseznamem"/>
        <w:numPr>
          <w:ilvl w:val="0"/>
          <w:numId w:val="25"/>
        </w:numPr>
      </w:pPr>
      <w:r>
        <w:t>zástupci firem se podílí na tvorbě či upřesnění obsahu vzdělávání a ŠVP,</w:t>
      </w:r>
    </w:p>
    <w:p w14:paraId="7ADCB9D4" w14:textId="77777777" w:rsidR="00BB4766" w:rsidRDefault="00BB4766" w:rsidP="00BB4766">
      <w:pPr>
        <w:pStyle w:val="Odstavecseseznamem"/>
        <w:numPr>
          <w:ilvl w:val="0"/>
          <w:numId w:val="25"/>
        </w:numPr>
      </w:pPr>
      <w:r>
        <w:t>realizují se praktická vyučování prostřednictvím zaměstnanců firem (lektorů) ve výrobních prostorách firem a na vlastních výrobních zařízeních a technologiích,</w:t>
      </w:r>
    </w:p>
    <w:p w14:paraId="00D1F773" w14:textId="77777777" w:rsidR="00BB4766" w:rsidRDefault="00BB4766" w:rsidP="00BB4766">
      <w:pPr>
        <w:pStyle w:val="Odstavecseseznamem"/>
        <w:numPr>
          <w:ilvl w:val="0"/>
          <w:numId w:val="25"/>
        </w:numPr>
      </w:pPr>
      <w:r>
        <w:t>firmy se účastní závěrečných a maturitních zkoušek,</w:t>
      </w:r>
    </w:p>
    <w:p w14:paraId="120EACF4" w14:textId="77777777" w:rsidR="00BB4766" w:rsidRDefault="00BB4766" w:rsidP="00BB4766">
      <w:pPr>
        <w:pStyle w:val="Odstavecseseznamem"/>
        <w:numPr>
          <w:ilvl w:val="0"/>
          <w:numId w:val="25"/>
        </w:numPr>
      </w:pPr>
      <w:r>
        <w:t>snaží se nalézat další formy spolupráce a způsoby zapojení do života školy s cílem zvýšení kvality absolventů daných oborů nebo zvýšení zájmu o studium těchto oborů.</w:t>
      </w:r>
      <w:r>
        <w:rPr>
          <w:rStyle w:val="Znakapoznpodarou"/>
        </w:rPr>
        <w:footnoteReference w:id="65"/>
      </w:r>
    </w:p>
    <w:p w14:paraId="580DCCA1" w14:textId="77777777" w:rsidR="00BB4766" w:rsidRDefault="00BB4766" w:rsidP="00BB4766">
      <w:pPr>
        <w:ind w:left="360"/>
      </w:pPr>
      <w:r>
        <w:t xml:space="preserve">Portály, které zveřejňují informace o aktuální nabídce středních a vyšších odborných škol ve Zlínském kraji: </w:t>
      </w:r>
    </w:p>
    <w:p w14:paraId="2470267A" w14:textId="1F3F1BF8" w:rsidR="00BB4766" w:rsidRDefault="00183F7E" w:rsidP="00BB4766">
      <w:pPr>
        <w:pStyle w:val="Odstavecseseznamem"/>
        <w:numPr>
          <w:ilvl w:val="0"/>
          <w:numId w:val="25"/>
        </w:numPr>
      </w:pPr>
      <w:hyperlink r:id="rId78" w:history="1">
        <w:r w:rsidR="00BB4766" w:rsidRPr="003B6362">
          <w:rPr>
            <w:rStyle w:val="Hypertextovodkaz"/>
          </w:rPr>
          <w:t>www.zkola.cz-</w:t>
        </w:r>
      </w:hyperlink>
      <w:r w:rsidR="00BB4766">
        <w:t xml:space="preserve"> informační a vzdělávací </w:t>
      </w:r>
      <w:r w:rsidR="00AE70A0">
        <w:t>portál školství Zlínského kraje;</w:t>
      </w:r>
    </w:p>
    <w:p w14:paraId="7D80DA5A" w14:textId="11F13DF9" w:rsidR="00BB4766" w:rsidRDefault="00183F7E" w:rsidP="00BB4766">
      <w:pPr>
        <w:pStyle w:val="Odstavecseseznamem"/>
        <w:numPr>
          <w:ilvl w:val="0"/>
          <w:numId w:val="25"/>
        </w:numPr>
      </w:pPr>
      <w:hyperlink r:id="rId79" w:history="1">
        <w:r w:rsidR="00BB4766" w:rsidRPr="003B6362">
          <w:rPr>
            <w:rStyle w:val="Hypertextovodkaz"/>
          </w:rPr>
          <w:t>www.burzaskol.cz</w:t>
        </w:r>
      </w:hyperlink>
      <w:r w:rsidR="00BB4766">
        <w:t xml:space="preserve"> -</w:t>
      </w:r>
      <w:r w:rsidR="00AE70A0">
        <w:t xml:space="preserve"> virtuální burza středních škol;</w:t>
      </w:r>
    </w:p>
    <w:p w14:paraId="5345AC33" w14:textId="77777777" w:rsidR="00BB4766" w:rsidRDefault="00183F7E" w:rsidP="00BB4766">
      <w:pPr>
        <w:pStyle w:val="Odstavecseseznamem"/>
        <w:numPr>
          <w:ilvl w:val="0"/>
          <w:numId w:val="25"/>
        </w:numPr>
      </w:pPr>
      <w:hyperlink r:id="rId80" w:history="1">
        <w:r w:rsidR="00BB4766" w:rsidRPr="003B6362">
          <w:rPr>
            <w:rStyle w:val="Hypertextovodkaz"/>
          </w:rPr>
          <w:t>www.monitorzk.cz</w:t>
        </w:r>
      </w:hyperlink>
      <w:r w:rsidR="00BB4766">
        <w:t xml:space="preserve"> - datová platforma zaměstnanosti, </w:t>
      </w:r>
      <w:r w:rsidR="00BB4766" w:rsidRPr="00CC4EB9">
        <w:t>mapuje rozsah a formy spolupráce</w:t>
      </w:r>
      <w:r w:rsidR="00BB4766">
        <w:t xml:space="preserve"> škol a firem</w:t>
      </w:r>
      <w:r w:rsidR="00BB4766" w:rsidRPr="00583BA7">
        <w:t xml:space="preserve"> </w:t>
      </w:r>
      <w:r w:rsidR="00BB4766">
        <w:t>formou kvantifikovaného výstupu</w:t>
      </w:r>
      <w:r w:rsidR="00BB4766" w:rsidRPr="00CC4EB9">
        <w:t xml:space="preserve">, </w:t>
      </w:r>
      <w:r w:rsidR="00BB4766">
        <w:t>i řadu dalších informací, jako je např. spokojenost zaměstnavatelů s úrovní školní přípravy absolventů či sledování počtu absolventů jednotlivých studijních oborů s vazbou na jejich míru nezaměstnanosti.</w:t>
      </w:r>
    </w:p>
    <w:p w14:paraId="32EC03F5" w14:textId="086C2F94" w:rsidR="00BB4766" w:rsidRDefault="00BB4766" w:rsidP="00BB4766">
      <w:r>
        <w:t>Na projektu Implementace krajského akčního plánu rozvoje vzdělávání pro Zlínský kraj (IKAP), jehož nositelem je Zlínský kraj, se podílí kromě škol jako partner s finančním příspěvkem</w:t>
      </w:r>
      <w:r w:rsidRPr="00583BA7">
        <w:t xml:space="preserve"> </w:t>
      </w:r>
      <w:r>
        <w:t>Krajská hospodářská komora Zlínského kraje</w:t>
      </w:r>
      <w:r w:rsidRPr="00583BA7">
        <w:t xml:space="preserve"> </w:t>
      </w:r>
      <w:r>
        <w:t>(KHK ZK). Úkolem KHK ZK je především organizovat akce pro žáky, rodiče a</w:t>
      </w:r>
      <w:r w:rsidR="00AE70A0">
        <w:t> </w:t>
      </w:r>
      <w:r>
        <w:t>veřejnost, které mají za cíl podpořit orientaci žáků na studium technických oborů, informovat o</w:t>
      </w:r>
      <w:r w:rsidR="00AE70A0">
        <w:t> </w:t>
      </w:r>
      <w:r>
        <w:t>nabídce vzdělávání a o možnostech uplatnění absolventů na trhu práce. Kromě tradičních akcí, jako jsou technické jarmarky nebo dny řemesel, však jsou připravovány i další akce jako např. Veletrhy práce a</w:t>
      </w:r>
      <w:r w:rsidR="00712C99">
        <w:t> </w:t>
      </w:r>
      <w:r>
        <w:t xml:space="preserve">vzdělávání, Girl’s Day (akce na podporu uplatňování dívek v technických 27 profesích) nebo Inspirace středoškolákům (inspirativní příběhy zajímavých profesí spojené s prohlídkou technologicky vyspělých pracovišť ve firmách). KHK ZK rovněž zajišťuje tzv. síťování škol a zaměstnavatelů, především v oblasti klíčových profesí Zlínského kraje. Aktivity jsou realizované </w:t>
      </w:r>
      <w:r w:rsidR="00AE70A0">
        <w:t xml:space="preserve">v </w:t>
      </w:r>
      <w:r>
        <w:t xml:space="preserve">celém Zlínském </w:t>
      </w:r>
      <w:r w:rsidR="00AE70A0">
        <w:t>k</w:t>
      </w:r>
      <w:r>
        <w:t xml:space="preserve">raji. </w:t>
      </w:r>
    </w:p>
    <w:p w14:paraId="2360A945" w14:textId="4DBBB8CB" w:rsidR="00BB4766" w:rsidRDefault="00BB4766" w:rsidP="00BB4766">
      <w:r>
        <w:t>Dohoda o spolupráci v oblasti zaměstnanosti - Pakt zaměstnanosti Zlínského kraje</w:t>
      </w:r>
      <w:r w:rsidR="00712C99">
        <w:t xml:space="preserve"> -</w:t>
      </w:r>
      <w:r>
        <w:t xml:space="preserve"> byla uzavřena 30.</w:t>
      </w:r>
      <w:r w:rsidR="00712C99">
        <w:t> </w:t>
      </w:r>
      <w:r>
        <w:t>3.</w:t>
      </w:r>
      <w:r w:rsidR="00712C99">
        <w:t> </w:t>
      </w:r>
      <w:r>
        <w:t>2016 mezi Zlínským Krajem, Krajskou hospodářskou komorou Zlínského kraje, Úřadem práce ČR, Krajskou pobočkou ÚP Zlín, Okresní hospodářskou komorou Kroměříž a Regionální radou odborových svazů ČMKOS Zlínského kraje, Institutem KHK ZK. Pakt plní úlohu koordinátora akcí, které naplňují priority a cíle v oblasti pracovního trhu ve Zlínském kraji. Hlavní priority Paktu jsou: 1. Struktura a</w:t>
      </w:r>
      <w:r w:rsidR="00AE70A0">
        <w:t> </w:t>
      </w:r>
      <w:r>
        <w:t xml:space="preserve">kvalita odborného vzdělávání odpovídající potřebám Zlínského kraje, 2. Lidé pro profese, které region potřebuje, 3. Adekvátní, dostupná a dospělou populací využívaná nabídka dalšího vzdělávání, 4. Data pro efektivní rozhodování o zaměstnanosti a vzdělávání pro trh práce, 5. Rozvoj služeb. </w:t>
      </w:r>
      <w:r>
        <w:rPr>
          <w:rStyle w:val="Znakapoznpodarou"/>
        </w:rPr>
        <w:footnoteReference w:id="66"/>
      </w:r>
    </w:p>
    <w:p w14:paraId="4E4A78AF" w14:textId="35AD2EE5" w:rsidR="00BB4766" w:rsidRDefault="00BB4766" w:rsidP="00BB4766">
      <w:r w:rsidRPr="00E36DF3">
        <w:rPr>
          <w:shd w:val="clear" w:color="auto" w:fill="FFFFFF"/>
        </w:rPr>
        <w:t>Mimo výše uvedený projekt probíhá spolupráce některých firem se školami, např. Plastikářský klastr</w:t>
      </w:r>
      <w:r w:rsidR="00712C99">
        <w:rPr>
          <w:shd w:val="clear" w:color="auto" w:fill="FFFFFF"/>
        </w:rPr>
        <w:t>,</w:t>
      </w:r>
      <w:r w:rsidRPr="00E36DF3">
        <w:rPr>
          <w:shd w:val="clear" w:color="auto" w:fill="FFFFFF"/>
        </w:rPr>
        <w:t xml:space="preserve"> se ve spolupráci s členskými středními školami aktivně podílí na modifikaci studijních plánů odborných předmětů a propagujeme obor zpracování plastů cílovým skupinám (děti – rodiče – výchovní poradci).</w:t>
      </w:r>
    </w:p>
    <w:p w14:paraId="1A04A965" w14:textId="77777777" w:rsidR="00BB4766" w:rsidRDefault="00BB4766" w:rsidP="00BB4766">
      <w:r w:rsidRPr="00BF0069">
        <w:t>Statutární město Zlín spolupracuje s organizacemi, které se zabývají nabídkou činností pro vyplnění volného času dětí a mládeže na území města. Město v tomto směru zřizuje několik účelových fondů. Mezi nejvýznamnější lze zařadit Fond mládeže a tělovýchovy, který je zřízen k podpoře dětí a mládeže v oblasti tělovýchovy na činnost sportovních organizací, sportovní akce či táborové pobyty dětí. Dalším fondem je Kulturní fond města Zlína, který přispívá organizacím</w:t>
      </w:r>
      <w:r>
        <w:t xml:space="preserve"> pořádající</w:t>
      </w:r>
      <w:r w:rsidRPr="00BF0069">
        <w:t xml:space="preserve"> např. akce v muzeu, knihovně a některé vybrané dětské jednorázové akce a soutěže.</w:t>
      </w:r>
    </w:p>
    <w:p w14:paraId="3FE336AC" w14:textId="34E53000" w:rsidR="00BB4766" w:rsidRDefault="00BB4766" w:rsidP="00BB4766">
      <w:r w:rsidRPr="009F1469">
        <w:lastRenderedPageBreak/>
        <w:t>Statutární město Zlín spolupracuje s Univerzitou Tomáše Bati ve Zlíně na některých projektech, v řadě případů se přihlásilo k partnerství či vyjádřilo podporu několika realizovaným aktivitám. V oblasti vzdělávání bylo umožněno posluchačům univerzity řešení technických, technologických, ekonomických a dalších problémů praxe v rámci bakalářských a diplomových prací. Posluchači UTB na Magistrátu města Zlína a v organizacích zřízených statutárním městem Zlínem realizují odborné praxe. Někteří odborníci z praxe byli zapojeni do výuky na UTB. Zaměstnanci Magistrátu města Zlína se účastnili výměny zkušeností a poznatků na odborných seminářích a konferencích.</w:t>
      </w:r>
      <w:r w:rsidRPr="009F1469">
        <w:rPr>
          <w:rStyle w:val="Znakapoznpodarou"/>
        </w:rPr>
        <w:footnoteReference w:id="67"/>
      </w:r>
      <w:r>
        <w:t xml:space="preserve"> </w:t>
      </w:r>
    </w:p>
    <w:p w14:paraId="0AB53A0E" w14:textId="096C84FD" w:rsidR="00BB4766" w:rsidRDefault="00BB4766" w:rsidP="00BB4766">
      <w:r>
        <w:t>Univerzita Tomáše Bati rozvíjí spolupráci se středními školami. Aktivně komunikuje se studenty nejvyšších ročníků středních škol i s výchovnými poradci na středních školách v České republice a na Slovensku. Pro studenty středních škol jsou na univerzitě organizovány praktické stáže a odborné workshopy. Job centrum UTB ve spolupráci se studenty organizuje Veletrh pracovních příležitostí – Business Day. Společně s  personalisty ze spolupracujících podniků pořádalo Job Centrum různé aktivity pro lepší připravenost studentů na vstup do praxe, jako např. kurzy anglického jazyka pro studenty technických oborů, odborné workshopy a přednášky, spoluorganizovalo exkurze do spolupracujících podniků či zajišťovalo návštěvy zástupců firem ve výuce s hlavním cílem pomoci zlepšit propojení studia s praxí. Další veletrh pracovních příležitostí byl zorganizován i studentskou organizací IAESTE UTB Zlín. UTB navázalo v roce 2019 nově spolupráci s 8 firmami v ČR. Zaměstnavatelé s využitím portálu www.jobcentrum.utb.cz nabízeli volná pracovní místa, stáže, praxe či brigády pro studenty a absolventy UTB.</w:t>
      </w:r>
      <w:r>
        <w:rPr>
          <w:rStyle w:val="Znakapoznpodarou"/>
        </w:rPr>
        <w:footnoteReference w:id="68"/>
      </w:r>
      <w:r>
        <w:t xml:space="preserve"> Pro učitele středních škol a další odborníky z praxe na univerzitě probíhají odborné workshopy, semináře, kurzy a přednášky. </w:t>
      </w:r>
      <w:r w:rsidRPr="00FB30A3">
        <w:t>Řada aktivit na univerzitě je</w:t>
      </w:r>
      <w:r>
        <w:t xml:space="preserve"> také</w:t>
      </w:r>
      <w:r w:rsidRPr="00FB30A3">
        <w:t xml:space="preserve"> určena dětem ze základních, a</w:t>
      </w:r>
      <w:r w:rsidR="00F959D7">
        <w:t> </w:t>
      </w:r>
      <w:r w:rsidRPr="00FB30A3">
        <w:t>dokonce i z mateřských škol. Jde například o pokusy v laboratořích, zájmové kroužky, workshopy nebo i divadelní představení.</w:t>
      </w:r>
    </w:p>
    <w:p w14:paraId="6580EF32" w14:textId="59BBBBE8" w:rsidR="00BB4766" w:rsidRDefault="00BB4766" w:rsidP="00BB4766">
      <w:r>
        <w:t xml:space="preserve">Univerzita Tomáše Bati spolupracuje s regionálními samosprávami a institucemi v regionu. </w:t>
      </w:r>
      <w:r w:rsidRPr="00161CF0">
        <w:t>Je 50% majitelem Technologického inovačního centra s. r. o.</w:t>
      </w:r>
      <w:r>
        <w:t xml:space="preserve"> (TIC). Posláním TIC je, mimo jiné, vytvářet podmínky pro vznik a rozvoj inovačních firem. UTB se aktivně podílela na formování strategie rozvoje regionu. Zástupci UTB byli stálými členy Regionální stálé konference, Řídícího výboru Integrovaného plánu rozvoje území Zlín pro období 2014</w:t>
      </w:r>
      <w:r w:rsidR="009D6843">
        <w:t xml:space="preserve"> </w:t>
      </w:r>
      <w:r>
        <w:t>–</w:t>
      </w:r>
      <w:r w:rsidR="009D6843">
        <w:t xml:space="preserve"> </w:t>
      </w:r>
      <w:r>
        <w:t>2020 a Rady hospodářské a sociální dohody Zlínského kraje. Intenzivní spolupráce probíhala s organizacemi státní správy, veřejné správy a samosprávy např. v podobě účastí zástupců UTB v poradních komisích Zlínského kraje podílejících se na přípravě strategie a plánu rozvoje regionu v  oblasti ekonomického rozvoje, trhu práce, vzdělávacích potřeb kraje apod. UTB se podílela na mapování potenciálu vzniku a rozvoje strojírenského klastru v regionu, dále na zakládání Plastikářského</w:t>
      </w:r>
      <w:r w:rsidRPr="000C26FC">
        <w:t xml:space="preserve"> klastr</w:t>
      </w:r>
      <w:r>
        <w:t>u a</w:t>
      </w:r>
      <w:r w:rsidRPr="000C26FC">
        <w:t xml:space="preserve"> je spoluza</w:t>
      </w:r>
      <w:r>
        <w:t>kladatelem Kreativního klastru. P</w:t>
      </w:r>
      <w:r w:rsidRPr="000C26FC">
        <w:t>rostřednictvím své servisní org</w:t>
      </w:r>
      <w:r>
        <w:t xml:space="preserve">anizace TIC </w:t>
      </w:r>
      <w:r w:rsidRPr="000C26FC">
        <w:t>se podílela na reinkarnaci Moravského leteckého klastru.</w:t>
      </w:r>
      <w:r>
        <w:t xml:space="preserve"> V rámci institucí regionálních samospráv probíhala intenzivní spolupráce v oblasti studentských projektů, stáží a praxí. UTB se také aktivně podílela na Paktu zaměstnanosti ve Zlínském kraji, který byl základem pro rozvoj spolupráce v oblasti trhu práce, zaměstnanosti a vzdělávání pro pracovní trh ve Zlínském kraji. </w:t>
      </w:r>
      <w:r w:rsidRPr="00013066">
        <w:t xml:space="preserve">UTB </w:t>
      </w:r>
      <w:r>
        <w:t xml:space="preserve">je </w:t>
      </w:r>
      <w:r w:rsidRPr="00013066">
        <w:t>zapojena jako významný partner s finanční účastí</w:t>
      </w:r>
      <w:r>
        <w:t xml:space="preserve"> v rámci </w:t>
      </w:r>
      <w:r w:rsidRPr="00013066">
        <w:t>projekt</w:t>
      </w:r>
      <w:r>
        <w:t>u</w:t>
      </w:r>
      <w:r w:rsidRPr="00013066">
        <w:t xml:space="preserve"> </w:t>
      </w:r>
      <w:r>
        <w:t>Implementace krajského akčního plánu rozvoje vzdělávání pro Zlínský kraj (IKAP II).</w:t>
      </w:r>
    </w:p>
    <w:p w14:paraId="1E652F47" w14:textId="5922702F" w:rsidR="00BB4766" w:rsidRDefault="00BB4766" w:rsidP="00BB4766">
      <w:pPr>
        <w:pStyle w:val="Nadpis3"/>
        <w:ind w:left="720"/>
      </w:pPr>
      <w:bookmarkStart w:id="266" w:name="_Toc52885976"/>
      <w:bookmarkStart w:id="267" w:name="_Toc77074586"/>
      <w:r>
        <w:t>Hodnocení oblasti vzdělá</w:t>
      </w:r>
      <w:r w:rsidR="00757ADA">
        <w:t>vá</w:t>
      </w:r>
      <w:r>
        <w:t>ní občany města Zlín</w:t>
      </w:r>
      <w:bookmarkEnd w:id="266"/>
      <w:bookmarkEnd w:id="267"/>
    </w:p>
    <w:p w14:paraId="2AD36FAA" w14:textId="0DE4088F" w:rsidR="00BB4766" w:rsidRPr="00DA7ABE" w:rsidRDefault="00BB4766" w:rsidP="00BB4766">
      <w:pPr>
        <w:rPr>
          <w:rFonts w:cstheme="minorHAnsi"/>
        </w:rPr>
      </w:pPr>
      <w:r>
        <w:rPr>
          <w:rFonts w:cstheme="minorHAnsi"/>
        </w:rPr>
        <w:t>Z anketního šetření mezi občany v roce 2020 vyplynulo, že jsou respondenti v oblasti vzdělá</w:t>
      </w:r>
      <w:r w:rsidR="00757ADA">
        <w:rPr>
          <w:rFonts w:cstheme="minorHAnsi"/>
        </w:rPr>
        <w:t>vá</w:t>
      </w:r>
      <w:r>
        <w:rPr>
          <w:rFonts w:cstheme="minorHAnsi"/>
        </w:rPr>
        <w:t xml:space="preserve">ní s ukazateli uvedenými v obrázku </w:t>
      </w:r>
      <w:r w:rsidR="00E111E6">
        <w:rPr>
          <w:rFonts w:cstheme="minorHAnsi"/>
        </w:rPr>
        <w:t xml:space="preserve">1.44 </w:t>
      </w:r>
      <w:r>
        <w:rPr>
          <w:rFonts w:cstheme="minorHAnsi"/>
        </w:rPr>
        <w:t xml:space="preserve">spíše spokojeni. </w:t>
      </w:r>
      <w:r w:rsidRPr="00DA7ABE">
        <w:rPr>
          <w:rFonts w:cstheme="minorHAnsi"/>
        </w:rPr>
        <w:t>Na škále od 0 do 100, kde 0 je nejmenší spokojenost a 100 největší spokojenost, je spokojenost</w:t>
      </w:r>
      <w:r>
        <w:rPr>
          <w:rFonts w:cstheme="minorHAnsi"/>
        </w:rPr>
        <w:t xml:space="preserve"> respondentů s trvalým bydlištěm ve Zlíně</w:t>
      </w:r>
      <w:r w:rsidRPr="00DA7ABE">
        <w:rPr>
          <w:rFonts w:cstheme="minorHAnsi"/>
        </w:rPr>
        <w:t xml:space="preserve"> </w:t>
      </w:r>
      <w:r>
        <w:rPr>
          <w:rFonts w:cstheme="minorHAnsi"/>
        </w:rPr>
        <w:t>s dostupností mateřských škol 66</w:t>
      </w:r>
      <w:r w:rsidRPr="00DA7ABE">
        <w:rPr>
          <w:rFonts w:cstheme="minorHAnsi"/>
        </w:rPr>
        <w:t>,0, spokojenost s kvalitou výuky na základn</w:t>
      </w:r>
      <w:r>
        <w:rPr>
          <w:rFonts w:cstheme="minorHAnsi"/>
        </w:rPr>
        <w:t xml:space="preserve">ích školách </w:t>
      </w:r>
      <w:r w:rsidRPr="003D492B">
        <w:rPr>
          <w:rFonts w:cstheme="minorHAnsi"/>
        </w:rPr>
        <w:t xml:space="preserve">59,5 </w:t>
      </w:r>
      <w:r>
        <w:rPr>
          <w:rFonts w:cstheme="minorHAnsi"/>
        </w:rPr>
        <w:t>a</w:t>
      </w:r>
      <w:r w:rsidR="00F959D7">
        <w:rPr>
          <w:rFonts w:cstheme="minorHAnsi"/>
        </w:rPr>
        <w:t> </w:t>
      </w:r>
      <w:r>
        <w:rPr>
          <w:rFonts w:cstheme="minorHAnsi"/>
        </w:rPr>
        <w:t>spokojenost s</w:t>
      </w:r>
      <w:r w:rsidRPr="00DA7ABE">
        <w:rPr>
          <w:rFonts w:cstheme="minorHAnsi"/>
        </w:rPr>
        <w:t xml:space="preserve"> nabídkou oborů na středních školách </w:t>
      </w:r>
      <w:r>
        <w:rPr>
          <w:rFonts w:cstheme="minorHAnsi"/>
        </w:rPr>
        <w:t>63,6</w:t>
      </w:r>
      <w:r w:rsidRPr="00DA7ABE">
        <w:rPr>
          <w:rFonts w:cstheme="minorHAnsi"/>
        </w:rPr>
        <w:t>.</w:t>
      </w:r>
      <w:r>
        <w:rPr>
          <w:rFonts w:cstheme="minorHAnsi"/>
        </w:rPr>
        <w:t xml:space="preserve"> U respondentů, kteří nemají ve Zlíně trvalé bydliště, je mírně vyšší spokojenost s dostupností mateřských škol a s nabídkou oborů na středních </w:t>
      </w:r>
      <w:r>
        <w:rPr>
          <w:rFonts w:cstheme="minorHAnsi"/>
        </w:rPr>
        <w:lastRenderedPageBreak/>
        <w:t>školách. Studenti UTB jsou ze všech kategorií respondentů nejvíce spokojeni, a to ve všech třech hodnocených oblastech vzdělávání.</w:t>
      </w:r>
    </w:p>
    <w:p w14:paraId="0C6FA16E" w14:textId="006A9A58" w:rsidR="00BB4766" w:rsidRPr="00DA7ABE" w:rsidRDefault="00BB4766" w:rsidP="00BB4766">
      <w:pPr>
        <w:pStyle w:val="Titulek"/>
        <w:keepNext/>
        <w:keepLines/>
        <w:rPr>
          <w:rFonts w:cstheme="minorHAnsi"/>
        </w:rPr>
      </w:pPr>
      <w:bookmarkStart w:id="268" w:name="_Toc52885965"/>
      <w:bookmarkStart w:id="269" w:name="_Toc7707486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44</w:t>
      </w:r>
      <w:r w:rsidR="00804AF3">
        <w:rPr>
          <w:noProof/>
        </w:rPr>
        <w:fldChar w:fldCharType="end"/>
      </w:r>
      <w:r w:rsidR="00F959D7">
        <w:rPr>
          <w:noProof/>
        </w:rPr>
        <w:t>:</w:t>
      </w:r>
      <w:r w:rsidRPr="00DA7ABE">
        <w:rPr>
          <w:rFonts w:cstheme="minorHAnsi"/>
        </w:rPr>
        <w:t xml:space="preserve"> Spokojenost s oblastí vzdělávání</w:t>
      </w:r>
      <w:bookmarkEnd w:id="268"/>
      <w:bookmarkEnd w:id="269"/>
    </w:p>
    <w:p w14:paraId="3190B62E" w14:textId="77777777" w:rsidR="00BB4766" w:rsidRPr="00DA7ABE" w:rsidRDefault="00BB4766" w:rsidP="00BB4766">
      <w:pPr>
        <w:keepNext/>
        <w:rPr>
          <w:rFonts w:cstheme="minorHAnsi"/>
        </w:rPr>
      </w:pPr>
      <w:r>
        <w:rPr>
          <w:rFonts w:cstheme="minorHAnsi"/>
          <w:noProof/>
          <w:lang w:eastAsia="cs-CZ"/>
        </w:rPr>
        <w:drawing>
          <wp:inline distT="0" distB="0" distL="0" distR="0" wp14:anchorId="3DC41084" wp14:editId="25BA61D6">
            <wp:extent cx="5760720" cy="3142326"/>
            <wp:effectExtent l="0" t="0" r="0" b="127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3142326"/>
                    </a:xfrm>
                    <a:prstGeom prst="rect">
                      <a:avLst/>
                    </a:prstGeom>
                    <a:noFill/>
                  </pic:spPr>
                </pic:pic>
              </a:graphicData>
            </a:graphic>
          </wp:inline>
        </w:drawing>
      </w:r>
    </w:p>
    <w:p w14:paraId="17A9C58D" w14:textId="002D16A2" w:rsidR="00BB4766" w:rsidRPr="00DA7ABE" w:rsidRDefault="00BB4766" w:rsidP="00BB4766">
      <w:pPr>
        <w:pStyle w:val="zdroj0"/>
        <w:jc w:val="both"/>
        <w:rPr>
          <w:rFonts w:asciiTheme="minorHAnsi" w:hAnsiTheme="minorHAnsi" w:cstheme="minorHAnsi"/>
        </w:rPr>
      </w:pPr>
      <w:r w:rsidRPr="00DA7ABE">
        <w:rPr>
          <w:rFonts w:asciiTheme="minorHAnsi" w:hAnsiTheme="minorHAnsi" w:cstheme="minorHAnsi"/>
        </w:rPr>
        <w:t>Zdroj: PROCES, Anketní šetření spokoj</w:t>
      </w:r>
      <w:r w:rsidR="005668E1">
        <w:rPr>
          <w:rFonts w:asciiTheme="minorHAnsi" w:hAnsiTheme="minorHAnsi" w:cstheme="minorHAnsi"/>
        </w:rPr>
        <w:t>enosti obyvatel města Zlín 2020;</w:t>
      </w:r>
      <w:r w:rsidRPr="00DA7ABE">
        <w:rPr>
          <w:rFonts w:asciiTheme="minorHAnsi" w:hAnsiTheme="minorHAnsi" w:cstheme="minorHAnsi"/>
        </w:rPr>
        <w:t xml:space="preserve"> Otázka 6.</w:t>
      </w:r>
      <w:r w:rsidR="005668E1">
        <w:rPr>
          <w:rFonts w:asciiTheme="minorHAnsi" w:hAnsiTheme="minorHAnsi" w:cstheme="minorHAnsi"/>
        </w:rPr>
        <w:t>:</w:t>
      </w:r>
      <w:r w:rsidRPr="00DA7ABE">
        <w:rPr>
          <w:rFonts w:asciiTheme="minorHAnsi" w:hAnsiTheme="minorHAnsi" w:cstheme="minorHAnsi"/>
        </w:rPr>
        <w:t xml:space="preserve"> Jak jste spokojeni s oblastí vzdělávání ve Vašem městě?</w:t>
      </w:r>
    </w:p>
    <w:p w14:paraId="670C6698" w14:textId="6F3DDF16" w:rsidR="00BB4766" w:rsidRPr="003D492B" w:rsidRDefault="00BB4766" w:rsidP="00BB4766">
      <w:pPr>
        <w:rPr>
          <w:rFonts w:cstheme="minorHAnsi"/>
        </w:rPr>
      </w:pPr>
      <w:r w:rsidRPr="003D492B">
        <w:rPr>
          <w:rFonts w:cstheme="minorHAnsi"/>
        </w:rPr>
        <w:t>Nejhůře hodnotí dostupnost MŠ respondenti ve věkové kategorii od 65 let, tedy prarodiče školáků, u ostatních věkových kategorií je v této oblasti spokojenost poměrně vysoká: hodnoty nad 67,7 a 68,1. Spokojenější jsou muži, než ženy. Kvalitu výuky na ZŠ hodnotí nejlépe mladší věkové kategorie do 35 let, nejhůře starší občané od 65</w:t>
      </w:r>
      <w:r w:rsidR="00F959D7">
        <w:rPr>
          <w:rFonts w:cstheme="minorHAnsi"/>
        </w:rPr>
        <w:t xml:space="preserve"> </w:t>
      </w:r>
      <w:r w:rsidRPr="003D492B">
        <w:rPr>
          <w:rFonts w:cstheme="minorHAnsi"/>
        </w:rPr>
        <w:t xml:space="preserve">let. Velký rozdíl mezi spokojeností podle věku je také u nabídky oborů na SŠ, kde jsou nejspokojenější občané do 35 let (spokojenost 68,9), spokojenost zde opět s rostoucím věkem klesá. </w:t>
      </w:r>
    </w:p>
    <w:p w14:paraId="61C8D425" w14:textId="14ACBC9F" w:rsidR="00BB4766" w:rsidRDefault="00BB4766" w:rsidP="00BB4766">
      <w:pPr>
        <w:pStyle w:val="Titulek"/>
        <w:rPr>
          <w:rFonts w:cstheme="minorHAnsi"/>
        </w:rPr>
      </w:pPr>
      <w:bookmarkStart w:id="270" w:name="_Toc52885958"/>
      <w:bookmarkStart w:id="271" w:name="_Toc7707472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47</w:t>
      </w:r>
      <w:r w:rsidR="00081B47">
        <w:rPr>
          <w:noProof/>
        </w:rPr>
        <w:fldChar w:fldCharType="end"/>
      </w:r>
      <w:r w:rsidR="00F959D7">
        <w:rPr>
          <w:noProof/>
        </w:rPr>
        <w:t>:</w:t>
      </w:r>
      <w:r>
        <w:t xml:space="preserve"> </w:t>
      </w:r>
      <w:r w:rsidRPr="00DA7ABE">
        <w:rPr>
          <w:rFonts w:cstheme="minorHAnsi"/>
        </w:rPr>
        <w:t>Spokojenost s oblastí vzdělávání podle pohlaví, věku a u studentů UTB</w:t>
      </w:r>
      <w:bookmarkEnd w:id="270"/>
      <w:bookmarkEnd w:id="271"/>
    </w:p>
    <w:tbl>
      <w:tblPr>
        <w:tblW w:w="0" w:type="auto"/>
        <w:tblInd w:w="-5" w:type="dxa"/>
        <w:tblCellMar>
          <w:left w:w="70" w:type="dxa"/>
          <w:right w:w="70" w:type="dxa"/>
        </w:tblCellMar>
        <w:tblLook w:val="04A0" w:firstRow="1" w:lastRow="0" w:firstColumn="1" w:lastColumn="0" w:noHBand="0" w:noVBand="1"/>
      </w:tblPr>
      <w:tblGrid>
        <w:gridCol w:w="2756"/>
        <w:gridCol w:w="694"/>
        <w:gridCol w:w="466"/>
        <w:gridCol w:w="503"/>
        <w:gridCol w:w="1087"/>
        <w:gridCol w:w="642"/>
        <w:gridCol w:w="789"/>
        <w:gridCol w:w="1324"/>
        <w:gridCol w:w="806"/>
      </w:tblGrid>
      <w:tr w:rsidR="00BB4766" w:rsidRPr="001A228A" w14:paraId="0DA26895" w14:textId="77777777" w:rsidTr="000C49A5">
        <w:trPr>
          <w:trHeight w:val="240"/>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F841A"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Oblast 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66FBD287"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5C87343"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5FAB299"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Studenti UTB</w:t>
            </w:r>
          </w:p>
        </w:tc>
      </w:tr>
      <w:tr w:rsidR="00BB4766" w:rsidRPr="001A228A" w14:paraId="020A1A6B" w14:textId="77777777" w:rsidTr="000C49A5">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92DD2B" w14:textId="77777777" w:rsidR="00BB4766" w:rsidRPr="001A228A" w:rsidRDefault="00BB4766" w:rsidP="000C49A5">
            <w:pPr>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5F3B8792"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09CCDAC9"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12F21655"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4F6F07" w14:textId="77777777" w:rsidR="00BB4766" w:rsidRPr="001A228A" w:rsidRDefault="00BB4766" w:rsidP="000C49A5">
            <w:pPr>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634991" w14:textId="77777777" w:rsidR="00BB4766" w:rsidRPr="001A228A" w:rsidRDefault="00BB4766" w:rsidP="000C49A5">
            <w:pPr>
              <w:rPr>
                <w:rFonts w:ascii="Calibri" w:eastAsia="Times New Roman" w:hAnsi="Calibri" w:cs="Calibri"/>
                <w:b/>
                <w:bCs/>
                <w:color w:val="000000"/>
                <w:sz w:val="18"/>
                <w:szCs w:val="18"/>
                <w:lang w:eastAsia="cs-CZ"/>
              </w:rPr>
            </w:pPr>
          </w:p>
        </w:tc>
      </w:tr>
      <w:tr w:rsidR="00BB4766" w:rsidRPr="001A228A" w14:paraId="1ED0CEBF" w14:textId="77777777" w:rsidTr="000C49A5">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A42D12" w14:textId="77777777" w:rsidR="00BB4766" w:rsidRPr="001A228A" w:rsidRDefault="00BB4766" w:rsidP="000C49A5">
            <w:pPr>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2D620035" w14:textId="77777777" w:rsidR="00BB4766" w:rsidRPr="001A228A" w:rsidRDefault="00BB4766" w:rsidP="000C49A5">
            <w:pPr>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23AEB49E"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0053D031"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2A66A385"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3E9BF63E"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004270FC" w14:textId="77777777" w:rsidR="00BB4766" w:rsidRPr="001A228A" w:rsidRDefault="00BB4766"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F51977" w14:textId="77777777" w:rsidR="00BB4766" w:rsidRPr="001A228A" w:rsidRDefault="00BB4766" w:rsidP="000C49A5">
            <w:pPr>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DE9A43" w14:textId="77777777" w:rsidR="00BB4766" w:rsidRPr="001A228A" w:rsidRDefault="00BB4766" w:rsidP="000C49A5">
            <w:pPr>
              <w:rPr>
                <w:rFonts w:ascii="Calibri" w:eastAsia="Times New Roman" w:hAnsi="Calibri" w:cs="Calibri"/>
                <w:b/>
                <w:bCs/>
                <w:color w:val="000000"/>
                <w:sz w:val="18"/>
                <w:szCs w:val="18"/>
                <w:lang w:eastAsia="cs-CZ"/>
              </w:rPr>
            </w:pPr>
          </w:p>
        </w:tc>
      </w:tr>
      <w:tr w:rsidR="00BB4766" w:rsidRPr="001A228A" w14:paraId="079DC1E0"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98293D" w14:textId="77777777" w:rsidR="00BB4766" w:rsidRPr="001A228A" w:rsidRDefault="00BB4766" w:rsidP="000C49A5">
            <w:pPr>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Dostupnost mateřských škol</w:t>
            </w:r>
          </w:p>
        </w:tc>
        <w:tc>
          <w:tcPr>
            <w:tcW w:w="0" w:type="auto"/>
            <w:tcBorders>
              <w:top w:val="single" w:sz="4" w:space="0" w:color="auto"/>
              <w:left w:val="single" w:sz="4" w:space="0" w:color="auto"/>
              <w:bottom w:val="single" w:sz="4" w:space="0" w:color="auto"/>
              <w:right w:val="single" w:sz="4" w:space="0" w:color="auto"/>
            </w:tcBorders>
            <w:shd w:val="clear" w:color="000000" w:fill="FCE2E5"/>
            <w:noWrap/>
            <w:hideMark/>
          </w:tcPr>
          <w:p w14:paraId="2772D750"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66,0</w:t>
            </w:r>
          </w:p>
        </w:tc>
        <w:tc>
          <w:tcPr>
            <w:tcW w:w="0" w:type="auto"/>
            <w:tcBorders>
              <w:top w:val="single" w:sz="4" w:space="0" w:color="auto"/>
              <w:left w:val="single" w:sz="4" w:space="0" w:color="auto"/>
              <w:bottom w:val="single" w:sz="4" w:space="0" w:color="auto"/>
              <w:right w:val="single" w:sz="4" w:space="0" w:color="auto"/>
            </w:tcBorders>
            <w:shd w:val="clear" w:color="000000" w:fill="FBC9CC"/>
            <w:noWrap/>
            <w:hideMark/>
          </w:tcPr>
          <w:p w14:paraId="7BBADCD8"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67,2</w:t>
            </w:r>
          </w:p>
        </w:tc>
        <w:tc>
          <w:tcPr>
            <w:tcW w:w="0" w:type="auto"/>
            <w:tcBorders>
              <w:top w:val="single" w:sz="4" w:space="0" w:color="auto"/>
              <w:left w:val="single" w:sz="4" w:space="0" w:color="auto"/>
              <w:bottom w:val="single" w:sz="4" w:space="0" w:color="auto"/>
              <w:right w:val="single" w:sz="4" w:space="0" w:color="auto"/>
            </w:tcBorders>
            <w:shd w:val="clear" w:color="000000" w:fill="FCF7FA"/>
            <w:noWrap/>
            <w:hideMark/>
          </w:tcPr>
          <w:p w14:paraId="4AB740EE"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64,9</w:t>
            </w:r>
          </w:p>
        </w:tc>
        <w:tc>
          <w:tcPr>
            <w:tcW w:w="0" w:type="auto"/>
            <w:tcBorders>
              <w:top w:val="single" w:sz="4" w:space="0" w:color="auto"/>
              <w:left w:val="single" w:sz="4" w:space="0" w:color="auto"/>
              <w:bottom w:val="single" w:sz="4" w:space="0" w:color="auto"/>
              <w:right w:val="single" w:sz="4" w:space="0" w:color="auto"/>
            </w:tcBorders>
            <w:shd w:val="clear" w:color="000000" w:fill="FBBEC1"/>
            <w:noWrap/>
            <w:hideMark/>
          </w:tcPr>
          <w:p w14:paraId="7342CB0A"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67,7</w:t>
            </w:r>
          </w:p>
        </w:tc>
        <w:tc>
          <w:tcPr>
            <w:tcW w:w="0" w:type="auto"/>
            <w:tcBorders>
              <w:top w:val="single" w:sz="4" w:space="0" w:color="auto"/>
              <w:left w:val="single" w:sz="4" w:space="0" w:color="auto"/>
              <w:bottom w:val="single" w:sz="4" w:space="0" w:color="auto"/>
              <w:right w:val="single" w:sz="4" w:space="0" w:color="auto"/>
            </w:tcBorders>
            <w:shd w:val="clear" w:color="000000" w:fill="FBB6B9"/>
            <w:noWrap/>
            <w:hideMark/>
          </w:tcPr>
          <w:p w14:paraId="64744401"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68,1</w:t>
            </w:r>
          </w:p>
        </w:tc>
        <w:tc>
          <w:tcPr>
            <w:tcW w:w="0" w:type="auto"/>
            <w:tcBorders>
              <w:top w:val="single" w:sz="4" w:space="0" w:color="auto"/>
              <w:left w:val="single" w:sz="4" w:space="0" w:color="auto"/>
              <w:bottom w:val="single" w:sz="4" w:space="0" w:color="auto"/>
              <w:right w:val="single" w:sz="4" w:space="0" w:color="auto"/>
            </w:tcBorders>
            <w:shd w:val="clear" w:color="000000" w:fill="B8CCE7"/>
            <w:noWrap/>
            <w:hideMark/>
          </w:tcPr>
          <w:p w14:paraId="5B61C07D"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58,7</w:t>
            </w:r>
          </w:p>
        </w:tc>
        <w:tc>
          <w:tcPr>
            <w:tcW w:w="0" w:type="auto"/>
            <w:tcBorders>
              <w:top w:val="single" w:sz="4" w:space="0" w:color="auto"/>
              <w:left w:val="single" w:sz="4" w:space="0" w:color="auto"/>
              <w:bottom w:val="single" w:sz="4" w:space="0" w:color="auto"/>
              <w:right w:val="single" w:sz="4" w:space="0" w:color="auto"/>
            </w:tcBorders>
            <w:shd w:val="clear" w:color="000000" w:fill="FBC1C3"/>
            <w:noWrap/>
            <w:vAlign w:val="bottom"/>
            <w:hideMark/>
          </w:tcPr>
          <w:p w14:paraId="50226B5A" w14:textId="77777777" w:rsidR="00BB4766" w:rsidRPr="001A228A" w:rsidRDefault="00BB4766"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67,6</w:t>
            </w:r>
          </w:p>
        </w:tc>
        <w:tc>
          <w:tcPr>
            <w:tcW w:w="0" w:type="auto"/>
            <w:tcBorders>
              <w:top w:val="single" w:sz="4" w:space="0" w:color="auto"/>
              <w:left w:val="single" w:sz="4" w:space="0" w:color="auto"/>
              <w:bottom w:val="single" w:sz="4" w:space="0" w:color="auto"/>
              <w:right w:val="single" w:sz="4" w:space="0" w:color="auto"/>
            </w:tcBorders>
            <w:shd w:val="clear" w:color="000000" w:fill="F96B6D"/>
            <w:noWrap/>
            <w:vAlign w:val="bottom"/>
            <w:hideMark/>
          </w:tcPr>
          <w:p w14:paraId="537D43C5" w14:textId="77777777" w:rsidR="00BB4766" w:rsidRPr="001A228A" w:rsidRDefault="00BB4766"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71,8</w:t>
            </w:r>
          </w:p>
        </w:tc>
      </w:tr>
      <w:tr w:rsidR="00BB4766" w:rsidRPr="001A228A" w14:paraId="43E8056F"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2351AA" w14:textId="77777777" w:rsidR="00BB4766" w:rsidRPr="001A228A" w:rsidRDefault="00BB4766" w:rsidP="000C49A5">
            <w:pPr>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Kvalita výuky na základních školách</w:t>
            </w:r>
          </w:p>
        </w:tc>
        <w:tc>
          <w:tcPr>
            <w:tcW w:w="0" w:type="auto"/>
            <w:tcBorders>
              <w:top w:val="single" w:sz="4" w:space="0" w:color="auto"/>
              <w:left w:val="single" w:sz="4" w:space="0" w:color="auto"/>
              <w:bottom w:val="single" w:sz="4" w:space="0" w:color="auto"/>
              <w:right w:val="single" w:sz="4" w:space="0" w:color="auto"/>
            </w:tcBorders>
            <w:shd w:val="clear" w:color="000000" w:fill="C1D2EA"/>
            <w:noWrap/>
            <w:hideMark/>
          </w:tcPr>
          <w:p w14:paraId="4800D5CD"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59,5</w:t>
            </w:r>
          </w:p>
        </w:tc>
        <w:tc>
          <w:tcPr>
            <w:tcW w:w="0" w:type="auto"/>
            <w:tcBorders>
              <w:top w:val="single" w:sz="4" w:space="0" w:color="auto"/>
              <w:left w:val="single" w:sz="4" w:space="0" w:color="auto"/>
              <w:bottom w:val="single" w:sz="4" w:space="0" w:color="auto"/>
              <w:right w:val="single" w:sz="4" w:space="0" w:color="auto"/>
            </w:tcBorders>
            <w:shd w:val="clear" w:color="000000" w:fill="C8D7EC"/>
            <w:noWrap/>
            <w:hideMark/>
          </w:tcPr>
          <w:p w14:paraId="6316FAA7"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60,2</w:t>
            </w:r>
          </w:p>
        </w:tc>
        <w:tc>
          <w:tcPr>
            <w:tcW w:w="0" w:type="auto"/>
            <w:tcBorders>
              <w:top w:val="single" w:sz="4" w:space="0" w:color="auto"/>
              <w:left w:val="single" w:sz="4" w:space="0" w:color="auto"/>
              <w:bottom w:val="single" w:sz="4" w:space="0" w:color="auto"/>
              <w:right w:val="single" w:sz="4" w:space="0" w:color="auto"/>
            </w:tcBorders>
            <w:shd w:val="clear" w:color="000000" w:fill="BACDE7"/>
            <w:noWrap/>
            <w:hideMark/>
          </w:tcPr>
          <w:p w14:paraId="039AC910"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58,9</w:t>
            </w:r>
          </w:p>
        </w:tc>
        <w:tc>
          <w:tcPr>
            <w:tcW w:w="0" w:type="auto"/>
            <w:tcBorders>
              <w:top w:val="single" w:sz="4" w:space="0" w:color="auto"/>
              <w:left w:val="single" w:sz="4" w:space="0" w:color="auto"/>
              <w:bottom w:val="single" w:sz="4" w:space="0" w:color="auto"/>
              <w:right w:val="single" w:sz="4" w:space="0" w:color="auto"/>
            </w:tcBorders>
            <w:shd w:val="clear" w:color="000000" w:fill="F9FAFE"/>
            <w:noWrap/>
            <w:hideMark/>
          </w:tcPr>
          <w:p w14:paraId="64202FF8"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64,5</w:t>
            </w:r>
          </w:p>
        </w:tc>
        <w:tc>
          <w:tcPr>
            <w:tcW w:w="0" w:type="auto"/>
            <w:tcBorders>
              <w:top w:val="single" w:sz="4" w:space="0" w:color="auto"/>
              <w:left w:val="single" w:sz="4" w:space="0" w:color="auto"/>
              <w:bottom w:val="single" w:sz="4" w:space="0" w:color="auto"/>
              <w:right w:val="single" w:sz="4" w:space="0" w:color="auto"/>
            </w:tcBorders>
            <w:shd w:val="clear" w:color="000000" w:fill="D0DDEF"/>
            <w:noWrap/>
            <w:hideMark/>
          </w:tcPr>
          <w:p w14:paraId="41DD3009"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60,9</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5D88952C"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50,5</w:t>
            </w:r>
          </w:p>
        </w:tc>
        <w:tc>
          <w:tcPr>
            <w:tcW w:w="0" w:type="auto"/>
            <w:tcBorders>
              <w:top w:val="single" w:sz="4" w:space="0" w:color="auto"/>
              <w:left w:val="single" w:sz="4" w:space="0" w:color="auto"/>
              <w:bottom w:val="single" w:sz="4" w:space="0" w:color="auto"/>
              <w:right w:val="single" w:sz="4" w:space="0" w:color="auto"/>
            </w:tcBorders>
            <w:shd w:val="clear" w:color="000000" w:fill="BDD0E9"/>
            <w:noWrap/>
            <w:vAlign w:val="bottom"/>
            <w:hideMark/>
          </w:tcPr>
          <w:p w14:paraId="5BCF92E6" w14:textId="77777777" w:rsidR="00BB4766" w:rsidRPr="001A228A" w:rsidRDefault="00BB4766"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59,2</w:t>
            </w:r>
          </w:p>
        </w:tc>
        <w:tc>
          <w:tcPr>
            <w:tcW w:w="0" w:type="auto"/>
            <w:tcBorders>
              <w:top w:val="single" w:sz="4" w:space="0" w:color="auto"/>
              <w:left w:val="single" w:sz="4" w:space="0" w:color="auto"/>
              <w:bottom w:val="single" w:sz="4" w:space="0" w:color="auto"/>
              <w:right w:val="single" w:sz="4" w:space="0" w:color="auto"/>
            </w:tcBorders>
            <w:shd w:val="clear" w:color="000000" w:fill="FCF5F8"/>
            <w:noWrap/>
            <w:vAlign w:val="bottom"/>
            <w:hideMark/>
          </w:tcPr>
          <w:p w14:paraId="45435A32" w14:textId="77777777" w:rsidR="00BB4766" w:rsidRPr="001A228A" w:rsidRDefault="00BB4766"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65,1</w:t>
            </w:r>
          </w:p>
        </w:tc>
      </w:tr>
      <w:tr w:rsidR="00BB4766" w:rsidRPr="001A228A" w14:paraId="62373042"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2541ED" w14:textId="77777777" w:rsidR="00BB4766" w:rsidRPr="001A228A" w:rsidRDefault="00BB4766" w:rsidP="000C49A5">
            <w:pPr>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Nabídka oborů na středních školách</w:t>
            </w:r>
          </w:p>
        </w:tc>
        <w:tc>
          <w:tcPr>
            <w:tcW w:w="0" w:type="auto"/>
            <w:tcBorders>
              <w:top w:val="single" w:sz="4" w:space="0" w:color="auto"/>
              <w:left w:val="single" w:sz="4" w:space="0" w:color="auto"/>
              <w:bottom w:val="single" w:sz="4" w:space="0" w:color="auto"/>
              <w:right w:val="single" w:sz="4" w:space="0" w:color="auto"/>
            </w:tcBorders>
            <w:shd w:val="clear" w:color="000000" w:fill="F0F3FA"/>
            <w:noWrap/>
            <w:hideMark/>
          </w:tcPr>
          <w:p w14:paraId="2B5EE955"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63,6</w:t>
            </w:r>
          </w:p>
        </w:tc>
        <w:tc>
          <w:tcPr>
            <w:tcW w:w="0" w:type="auto"/>
            <w:tcBorders>
              <w:top w:val="single" w:sz="4" w:space="0" w:color="auto"/>
              <w:left w:val="single" w:sz="4" w:space="0" w:color="auto"/>
              <w:bottom w:val="single" w:sz="4" w:space="0" w:color="auto"/>
              <w:right w:val="single" w:sz="4" w:space="0" w:color="auto"/>
            </w:tcBorders>
            <w:shd w:val="clear" w:color="000000" w:fill="FCF8FB"/>
            <w:noWrap/>
            <w:hideMark/>
          </w:tcPr>
          <w:p w14:paraId="732A1940"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64,9</w:t>
            </w:r>
          </w:p>
        </w:tc>
        <w:tc>
          <w:tcPr>
            <w:tcW w:w="0" w:type="auto"/>
            <w:tcBorders>
              <w:top w:val="single" w:sz="4" w:space="0" w:color="auto"/>
              <w:left w:val="single" w:sz="4" w:space="0" w:color="auto"/>
              <w:bottom w:val="single" w:sz="4" w:space="0" w:color="auto"/>
              <w:right w:val="single" w:sz="4" w:space="0" w:color="auto"/>
            </w:tcBorders>
            <w:shd w:val="clear" w:color="000000" w:fill="E3EAF6"/>
            <w:noWrap/>
            <w:hideMark/>
          </w:tcPr>
          <w:p w14:paraId="31178F02"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62,5</w:t>
            </w:r>
          </w:p>
        </w:tc>
        <w:tc>
          <w:tcPr>
            <w:tcW w:w="0" w:type="auto"/>
            <w:tcBorders>
              <w:top w:val="single" w:sz="4" w:space="0" w:color="auto"/>
              <w:left w:val="single" w:sz="4" w:space="0" w:color="auto"/>
              <w:bottom w:val="single" w:sz="4" w:space="0" w:color="auto"/>
              <w:right w:val="single" w:sz="4" w:space="0" w:color="auto"/>
            </w:tcBorders>
            <w:shd w:val="clear" w:color="000000" w:fill="FAA5A7"/>
            <w:noWrap/>
            <w:hideMark/>
          </w:tcPr>
          <w:p w14:paraId="6FD602C9"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68,9</w:t>
            </w:r>
          </w:p>
        </w:tc>
        <w:tc>
          <w:tcPr>
            <w:tcW w:w="0" w:type="auto"/>
            <w:tcBorders>
              <w:top w:val="single" w:sz="4" w:space="0" w:color="auto"/>
              <w:left w:val="single" w:sz="4" w:space="0" w:color="auto"/>
              <w:bottom w:val="single" w:sz="4" w:space="0" w:color="auto"/>
              <w:right w:val="single" w:sz="4" w:space="0" w:color="auto"/>
            </w:tcBorders>
            <w:shd w:val="clear" w:color="000000" w:fill="EFF3FA"/>
            <w:noWrap/>
            <w:hideMark/>
          </w:tcPr>
          <w:p w14:paraId="0035C8AB"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63,6</w:t>
            </w:r>
          </w:p>
        </w:tc>
        <w:tc>
          <w:tcPr>
            <w:tcW w:w="0" w:type="auto"/>
            <w:tcBorders>
              <w:top w:val="single" w:sz="4" w:space="0" w:color="auto"/>
              <w:left w:val="single" w:sz="4" w:space="0" w:color="auto"/>
              <w:bottom w:val="single" w:sz="4" w:space="0" w:color="auto"/>
              <w:right w:val="single" w:sz="4" w:space="0" w:color="auto"/>
            </w:tcBorders>
            <w:shd w:val="clear" w:color="000000" w:fill="A1BCDF"/>
            <w:noWrap/>
            <w:hideMark/>
          </w:tcPr>
          <w:p w14:paraId="2A5FEE1D" w14:textId="77777777" w:rsidR="00BB4766" w:rsidRPr="00346E56" w:rsidRDefault="00BB4766" w:rsidP="000C49A5">
            <w:pPr>
              <w:jc w:val="right"/>
              <w:rPr>
                <w:rFonts w:ascii="Calibri" w:eastAsia="Times New Roman" w:hAnsi="Calibri" w:cs="Calibri"/>
                <w:color w:val="000000"/>
                <w:sz w:val="18"/>
                <w:szCs w:val="18"/>
                <w:lang w:eastAsia="cs-CZ"/>
              </w:rPr>
            </w:pPr>
            <w:r w:rsidRPr="003D492B">
              <w:rPr>
                <w:sz w:val="18"/>
              </w:rPr>
              <w:t>56,7</w:t>
            </w:r>
          </w:p>
        </w:tc>
        <w:tc>
          <w:tcPr>
            <w:tcW w:w="0" w:type="auto"/>
            <w:tcBorders>
              <w:top w:val="single" w:sz="4" w:space="0" w:color="auto"/>
              <w:left w:val="single" w:sz="4" w:space="0" w:color="auto"/>
              <w:bottom w:val="single" w:sz="4" w:space="0" w:color="auto"/>
              <w:right w:val="single" w:sz="4" w:space="0" w:color="auto"/>
            </w:tcBorders>
            <w:shd w:val="clear" w:color="000000" w:fill="FBD4D7"/>
            <w:noWrap/>
            <w:vAlign w:val="bottom"/>
            <w:hideMark/>
          </w:tcPr>
          <w:p w14:paraId="3D3E8589" w14:textId="77777777" w:rsidR="00BB4766" w:rsidRPr="001A228A" w:rsidRDefault="00BB4766"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66,7</w:t>
            </w:r>
          </w:p>
        </w:tc>
        <w:tc>
          <w:tcPr>
            <w:tcW w:w="0" w:type="auto"/>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295A712" w14:textId="77777777" w:rsidR="00BB4766" w:rsidRPr="001A228A" w:rsidRDefault="00BB4766"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71,8</w:t>
            </w:r>
          </w:p>
        </w:tc>
      </w:tr>
    </w:tbl>
    <w:p w14:paraId="7A434231" w14:textId="1A8E9C95" w:rsidR="00BB4766" w:rsidRPr="00DA7ABE" w:rsidRDefault="00BB4766" w:rsidP="00BB4766">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5668E1">
        <w:rPr>
          <w:rFonts w:asciiTheme="minorHAnsi" w:hAnsiTheme="minorHAnsi" w:cstheme="minorHAnsi"/>
        </w:rPr>
        <w:t>;</w:t>
      </w:r>
      <w:r w:rsidRPr="00DA7ABE">
        <w:rPr>
          <w:rFonts w:asciiTheme="minorHAnsi" w:hAnsiTheme="minorHAnsi" w:cstheme="minorHAnsi"/>
        </w:rPr>
        <w:t xml:space="preserve"> Otázka 6.</w:t>
      </w:r>
      <w:r w:rsidR="005668E1">
        <w:rPr>
          <w:rFonts w:asciiTheme="minorHAnsi" w:hAnsiTheme="minorHAnsi" w:cstheme="minorHAnsi"/>
        </w:rPr>
        <w:t>:</w:t>
      </w:r>
      <w:r w:rsidRPr="00DA7ABE">
        <w:rPr>
          <w:rFonts w:asciiTheme="minorHAnsi" w:hAnsiTheme="minorHAnsi" w:cstheme="minorHAnsi"/>
        </w:rPr>
        <w:t xml:space="preserve"> Jak jste spokojeni s oblastí vzdělávání ve Vašem městě?</w:t>
      </w:r>
      <w:r w:rsidRPr="00DA7ABE">
        <w:rPr>
          <w:rFonts w:asciiTheme="minorHAnsi" w:hAnsiTheme="minorHAnsi" w:cstheme="minorHAnsi"/>
        </w:rPr>
        <w:br/>
        <w:t>Pozn.: Průměrné hodnocení na škále 0</w:t>
      </w:r>
      <w:r w:rsidR="00F959D7">
        <w:rPr>
          <w:rFonts w:asciiTheme="minorHAnsi" w:hAnsiTheme="minorHAnsi" w:cstheme="minorHAnsi"/>
        </w:rPr>
        <w:t xml:space="preserve"> </w:t>
      </w:r>
      <w:r w:rsidR="005668E1">
        <w:rPr>
          <w:rFonts w:asciiTheme="minorHAnsi" w:hAnsiTheme="minorHAnsi" w:cstheme="minorHAnsi"/>
        </w:rPr>
        <w:sym w:font="Symbol" w:char="F02D"/>
      </w:r>
      <w:r w:rsidR="00F959D7">
        <w:rPr>
          <w:rFonts w:asciiTheme="minorHAnsi" w:hAnsiTheme="minorHAnsi" w:cstheme="minorHAnsi"/>
        </w:rPr>
        <w:t xml:space="preserve"> </w:t>
      </w:r>
      <w:r w:rsidRPr="00DA7ABE">
        <w:rPr>
          <w:rFonts w:asciiTheme="minorHAnsi" w:hAnsiTheme="minorHAnsi" w:cstheme="minorHAnsi"/>
        </w:rPr>
        <w:t>100 (0 velmi nespokojen</w:t>
      </w:r>
      <w:r w:rsidR="005668E1">
        <w:rPr>
          <w:rFonts w:asciiTheme="minorHAnsi" w:hAnsiTheme="minorHAnsi" w:cstheme="minorHAnsi"/>
        </w:rPr>
        <w:t>;</w:t>
      </w:r>
      <w:r w:rsidRPr="00DA7ABE">
        <w:rPr>
          <w:rFonts w:asciiTheme="minorHAnsi" w:hAnsiTheme="minorHAnsi" w:cstheme="minorHAnsi"/>
        </w:rPr>
        <w:t xml:space="preserve"> 100 velmi spokojen).</w:t>
      </w:r>
    </w:p>
    <w:p w14:paraId="014F596D" w14:textId="77777777" w:rsidR="00BB4766" w:rsidRPr="009F1469" w:rsidRDefault="00BB4766" w:rsidP="00BB4766"/>
    <w:p w14:paraId="5C265561" w14:textId="77777777" w:rsidR="00BB4766" w:rsidRDefault="00BB4766" w:rsidP="00BB4766">
      <w:pPr>
        <w:spacing w:before="0" w:after="160" w:line="259" w:lineRule="auto"/>
        <w:jc w:val="left"/>
        <w:rPr>
          <w:highlight w:val="yellow"/>
        </w:rPr>
      </w:pPr>
      <w:r>
        <w:rPr>
          <w:highlight w:val="yellow"/>
        </w:rPr>
        <w:br w:type="page"/>
      </w:r>
    </w:p>
    <w:p w14:paraId="45A65F94" w14:textId="77777777" w:rsidR="00BB4766" w:rsidRDefault="00BB4766" w:rsidP="00BB4766">
      <w:pPr>
        <w:pStyle w:val="Nadpis3"/>
        <w:ind w:left="720"/>
      </w:pPr>
      <w:bookmarkStart w:id="272" w:name="_Toc52885977"/>
      <w:bookmarkStart w:id="273" w:name="_Toc77074587"/>
      <w:r>
        <w:lastRenderedPageBreak/>
        <w:t>Dílčí shrnutí</w:t>
      </w:r>
      <w:bookmarkEnd w:id="272"/>
      <w:bookmarkEnd w:id="273"/>
    </w:p>
    <w:p w14:paraId="1AAD80F1" w14:textId="77777777" w:rsidR="00BB4766" w:rsidRDefault="00BB4766" w:rsidP="00BB4766">
      <w:pPr>
        <w:keepNext/>
        <w:pBdr>
          <w:top w:val="single" w:sz="4" w:space="1" w:color="auto"/>
          <w:left w:val="single" w:sz="4" w:space="4" w:color="auto"/>
          <w:bottom w:val="single" w:sz="4" w:space="21" w:color="auto"/>
          <w:right w:val="single" w:sz="4" w:space="4" w:color="auto"/>
        </w:pBdr>
        <w:shd w:val="clear" w:color="auto" w:fill="D5DCE4" w:themeFill="text2" w:themeFillTint="33"/>
      </w:pPr>
      <w:r w:rsidRPr="00F2584F">
        <w:rPr>
          <w:b/>
        </w:rPr>
        <w:t>Hlavní zjištění</w:t>
      </w:r>
      <w:r w:rsidRPr="00F2584F">
        <w:t>:</w:t>
      </w:r>
    </w:p>
    <w:p w14:paraId="0D385EAB" w14:textId="77777777" w:rsidR="00BB4766" w:rsidRPr="00F2584F" w:rsidRDefault="00BB4766" w:rsidP="00BB4766">
      <w:pPr>
        <w:keepNext/>
        <w:pBdr>
          <w:top w:val="single" w:sz="4" w:space="1" w:color="auto"/>
          <w:left w:val="single" w:sz="4" w:space="4" w:color="auto"/>
          <w:bottom w:val="single" w:sz="4" w:space="21" w:color="auto"/>
          <w:right w:val="single" w:sz="4" w:space="4" w:color="auto"/>
        </w:pBdr>
        <w:shd w:val="clear" w:color="auto" w:fill="D5DCE4" w:themeFill="text2" w:themeFillTint="33"/>
      </w:pPr>
    </w:p>
    <w:p w14:paraId="469473AD" w14:textId="77777777" w:rsidR="00BB4766" w:rsidRPr="00573D3D" w:rsidRDefault="00BB4766" w:rsidP="00BB4766">
      <w:pPr>
        <w:pStyle w:val="Odstavecseseznamem"/>
        <w:keepNext/>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573D3D">
        <w:rPr>
          <w:i/>
        </w:rPr>
        <w:t>Nabídka možností předškolního vzdělávání je dostatečná</w:t>
      </w:r>
      <w:r w:rsidRPr="009D35B4">
        <w:rPr>
          <w:i/>
        </w:rPr>
        <w:t xml:space="preserve">. </w:t>
      </w:r>
      <w:r>
        <w:rPr>
          <w:i/>
        </w:rPr>
        <w:t>P</w:t>
      </w:r>
      <w:r w:rsidRPr="00573D3D">
        <w:rPr>
          <w:i/>
        </w:rPr>
        <w:t xml:space="preserve">růměrná vytíženost </w:t>
      </w:r>
      <w:r>
        <w:rPr>
          <w:i/>
        </w:rPr>
        <w:t xml:space="preserve">mateřských škol zřizovaných městem Zlín </w:t>
      </w:r>
      <w:r w:rsidRPr="00573D3D">
        <w:rPr>
          <w:i/>
        </w:rPr>
        <w:t xml:space="preserve">se pohybuje okolo necelých </w:t>
      </w:r>
      <w:r>
        <w:rPr>
          <w:i/>
        </w:rPr>
        <w:t>93,3</w:t>
      </w:r>
      <w:r w:rsidRPr="00573D3D">
        <w:rPr>
          <w:i/>
        </w:rPr>
        <w:t xml:space="preserve"> %. Nejvyšší zájem mají mateřské školy pravděpodobně již za sebou a</w:t>
      </w:r>
      <w:r>
        <w:rPr>
          <w:i/>
        </w:rPr>
        <w:t> </w:t>
      </w:r>
      <w:r w:rsidRPr="00573D3D">
        <w:rPr>
          <w:i/>
        </w:rPr>
        <w:t>v následujících letech se poptávka po předškolním vzdě</w:t>
      </w:r>
      <w:r>
        <w:rPr>
          <w:i/>
        </w:rPr>
        <w:t xml:space="preserve">lávání nebude příliš měnit, </w:t>
      </w:r>
      <w:r w:rsidRPr="00573D3D">
        <w:rPr>
          <w:i/>
        </w:rPr>
        <w:t xml:space="preserve">lze očekávat postupný pokles. </w:t>
      </w:r>
    </w:p>
    <w:p w14:paraId="48269E78" w14:textId="77777777" w:rsidR="00BB4766" w:rsidRDefault="00BB4766" w:rsidP="00BB4766">
      <w:pPr>
        <w:pStyle w:val="Odstavecseseznamem"/>
        <w:keepNext/>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573D3D">
        <w:rPr>
          <w:i/>
        </w:rPr>
        <w:t>Nabídka možností základního vzdělávání je z kapacitního hlediska dostatečná a</w:t>
      </w:r>
      <w:r>
        <w:rPr>
          <w:i/>
        </w:rPr>
        <w:t> </w:t>
      </w:r>
      <w:r w:rsidRPr="00573D3D">
        <w:rPr>
          <w:i/>
        </w:rPr>
        <w:t>to i</w:t>
      </w:r>
      <w:r>
        <w:rPr>
          <w:i/>
        </w:rPr>
        <w:t> </w:t>
      </w:r>
      <w:r w:rsidRPr="00573D3D">
        <w:rPr>
          <w:i/>
        </w:rPr>
        <w:t xml:space="preserve">pro následující roky. Stávající průměrná vytíženost základních škol </w:t>
      </w:r>
      <w:r>
        <w:rPr>
          <w:i/>
        </w:rPr>
        <w:t xml:space="preserve">zřizovaných městem Zlín </w:t>
      </w:r>
      <w:r w:rsidRPr="00573D3D">
        <w:rPr>
          <w:i/>
        </w:rPr>
        <w:t xml:space="preserve">se pohybuje okolo necelých </w:t>
      </w:r>
      <w:r>
        <w:rPr>
          <w:i/>
        </w:rPr>
        <w:t>80,9</w:t>
      </w:r>
      <w:r w:rsidRPr="00573D3D">
        <w:rPr>
          <w:i/>
        </w:rPr>
        <w:t xml:space="preserve"> %. V následujících letech se počet dětí n</w:t>
      </w:r>
      <w:r>
        <w:rPr>
          <w:i/>
        </w:rPr>
        <w:t xml:space="preserve">astupujících do prvních tříd </w:t>
      </w:r>
      <w:r w:rsidRPr="00573D3D">
        <w:rPr>
          <w:i/>
        </w:rPr>
        <w:t xml:space="preserve">dramaticky zvyšovat již nebude. </w:t>
      </w:r>
    </w:p>
    <w:p w14:paraId="0C9A4DA5" w14:textId="77777777" w:rsidR="00BB4766" w:rsidRDefault="00BB4766" w:rsidP="00BB4766">
      <w:pPr>
        <w:pStyle w:val="Odstavecseseznamem"/>
        <w:keepNext/>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Ve městě je pestrá nabídka oborů středního vzdělávání (gymnázia s možností 4letého a 8letého studia, 11 středních škol s výběrem oborů ukončených maturitní zkouškou či závěrečnou zkouškou a výučním listem).</w:t>
      </w:r>
    </w:p>
    <w:p w14:paraId="16A16393" w14:textId="5F670ACB" w:rsidR="00BB4766" w:rsidRPr="00573D3D" w:rsidRDefault="00BB4766" w:rsidP="00BB4766">
      <w:pPr>
        <w:pStyle w:val="Odstavecseseznamem"/>
        <w:keepNext/>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Ve městě se nachází dvě vyšší odborné školy, které nabíze</w:t>
      </w:r>
      <w:r w:rsidR="00F959D7">
        <w:rPr>
          <w:i/>
        </w:rPr>
        <w:t>j</w:t>
      </w:r>
      <w:r>
        <w:rPr>
          <w:i/>
        </w:rPr>
        <w:t>í možnost vyššího odborného studia zakončeného absolutoriem. Zájem o tento typ vzdělání klesá.</w:t>
      </w:r>
    </w:p>
    <w:p w14:paraId="4875AD75" w14:textId="48AC91AD" w:rsidR="00BB4766" w:rsidRDefault="00BB4766" w:rsidP="00BB4766">
      <w:pPr>
        <w:pStyle w:val="Odstavecseseznamem"/>
        <w:keepNext/>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F2584F">
        <w:rPr>
          <w:i/>
        </w:rPr>
        <w:t>Ve m</w:t>
      </w:r>
      <w:r>
        <w:rPr>
          <w:i/>
        </w:rPr>
        <w:t>ěstě působí jedna vysoká škola</w:t>
      </w:r>
      <w:r w:rsidR="00E254AB">
        <w:rPr>
          <w:i/>
        </w:rPr>
        <w:t>,</w:t>
      </w:r>
      <w:r w:rsidR="00672730">
        <w:rPr>
          <w:i/>
        </w:rPr>
        <w:t xml:space="preserve"> Univerzita Tomáše</w:t>
      </w:r>
      <w:r>
        <w:rPr>
          <w:i/>
        </w:rPr>
        <w:t xml:space="preserve"> Bati ve Zlíně</w:t>
      </w:r>
      <w:r w:rsidRPr="00F2584F">
        <w:rPr>
          <w:i/>
        </w:rPr>
        <w:t xml:space="preserve">, která nabízí </w:t>
      </w:r>
      <w:r>
        <w:rPr>
          <w:i/>
        </w:rPr>
        <w:t>prezenční i</w:t>
      </w:r>
      <w:r w:rsidR="00F959D7">
        <w:rPr>
          <w:i/>
        </w:rPr>
        <w:t> </w:t>
      </w:r>
      <w:r w:rsidRPr="00F2584F">
        <w:rPr>
          <w:i/>
        </w:rPr>
        <w:t>kombinovanou formu studia ukončenou titulem bakalář</w:t>
      </w:r>
      <w:r>
        <w:rPr>
          <w:i/>
        </w:rPr>
        <w:t>, magistr a doktor</w:t>
      </w:r>
      <w:r w:rsidRPr="00F2584F">
        <w:rPr>
          <w:i/>
        </w:rPr>
        <w:t xml:space="preserve">. </w:t>
      </w:r>
    </w:p>
    <w:p w14:paraId="658C3E0A" w14:textId="6079C9F8" w:rsidR="00BB4766" w:rsidRPr="008B48C9" w:rsidRDefault="00BB4766" w:rsidP="00BB4766">
      <w:pPr>
        <w:pStyle w:val="Odstavecseseznamem"/>
        <w:keepNext/>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Existuje vzájemná spolupráce mezi jednotlivými aktéry v oblasti vzdělá</w:t>
      </w:r>
      <w:r w:rsidR="00757ADA">
        <w:rPr>
          <w:i/>
        </w:rPr>
        <w:t>vá</w:t>
      </w:r>
      <w:r>
        <w:rPr>
          <w:i/>
        </w:rPr>
        <w:t xml:space="preserve">ní, kteří působí na území města. </w:t>
      </w:r>
    </w:p>
    <w:p w14:paraId="5034EBFC" w14:textId="77777777" w:rsidR="00BB4766" w:rsidRPr="00217C73" w:rsidRDefault="00BB4766" w:rsidP="00BB4766"/>
    <w:p w14:paraId="194E0109" w14:textId="77777777" w:rsidR="00BB4766" w:rsidRPr="00EF4C6A" w:rsidRDefault="00BB4766" w:rsidP="00BB4766">
      <w:pPr>
        <w:pStyle w:val="Nadpis3"/>
        <w:keepLines w:val="0"/>
        <w:ind w:left="720"/>
      </w:pPr>
      <w:bookmarkStart w:id="274" w:name="_Toc52885978"/>
      <w:bookmarkStart w:id="275" w:name="_Toc77074588"/>
      <w:r>
        <w:lastRenderedPageBreak/>
        <w:t>SWOT analýza</w:t>
      </w:r>
      <w:bookmarkEnd w:id="274"/>
      <w:bookmarkEnd w:id="275"/>
    </w:p>
    <w:tbl>
      <w:tblPr>
        <w:tblStyle w:val="Mkatabulky2"/>
        <w:tblW w:w="0" w:type="auto"/>
        <w:tblLook w:val="04A0" w:firstRow="1" w:lastRow="0" w:firstColumn="1" w:lastColumn="0" w:noHBand="0" w:noVBand="1"/>
      </w:tblPr>
      <w:tblGrid>
        <w:gridCol w:w="4533"/>
        <w:gridCol w:w="4529"/>
      </w:tblGrid>
      <w:tr w:rsidR="00BB4766" w:rsidRPr="00BC1A35" w14:paraId="37F4EE1B" w14:textId="77777777" w:rsidTr="000C49A5">
        <w:trPr>
          <w:cantSplit/>
          <w:tblHeader/>
        </w:trPr>
        <w:tc>
          <w:tcPr>
            <w:tcW w:w="4533" w:type="dxa"/>
            <w:shd w:val="clear" w:color="auto" w:fill="FF7C80"/>
          </w:tcPr>
          <w:p w14:paraId="608A6B9E" w14:textId="77777777" w:rsidR="00BB4766" w:rsidRPr="00BC1A35" w:rsidRDefault="00BB4766" w:rsidP="000C49A5">
            <w:pPr>
              <w:keepNext/>
              <w:spacing w:before="0"/>
              <w:jc w:val="center"/>
              <w:rPr>
                <w:b/>
                <w:szCs w:val="24"/>
              </w:rPr>
            </w:pPr>
            <w:r w:rsidRPr="00BC1A35">
              <w:rPr>
                <w:b/>
                <w:szCs w:val="24"/>
              </w:rPr>
              <w:t>SILNÉ STRÁNKY</w:t>
            </w:r>
          </w:p>
        </w:tc>
        <w:tc>
          <w:tcPr>
            <w:tcW w:w="4529" w:type="dxa"/>
            <w:shd w:val="clear" w:color="auto" w:fill="B8CCE4"/>
          </w:tcPr>
          <w:p w14:paraId="394F72D3" w14:textId="77777777" w:rsidR="00BB4766" w:rsidRPr="00BC1A35" w:rsidRDefault="00BB4766" w:rsidP="000C49A5">
            <w:pPr>
              <w:keepNext/>
              <w:spacing w:before="0"/>
              <w:jc w:val="center"/>
              <w:rPr>
                <w:b/>
                <w:szCs w:val="24"/>
              </w:rPr>
            </w:pPr>
            <w:r w:rsidRPr="00BC1A35">
              <w:rPr>
                <w:b/>
                <w:szCs w:val="24"/>
              </w:rPr>
              <w:t>SLABÉ STRÁNKY</w:t>
            </w:r>
          </w:p>
        </w:tc>
      </w:tr>
      <w:tr w:rsidR="00BB4766" w:rsidRPr="00BC1A35" w14:paraId="2D2128F5" w14:textId="77777777" w:rsidTr="000C49A5">
        <w:trPr>
          <w:cantSplit/>
          <w:trHeight w:val="3177"/>
        </w:trPr>
        <w:tc>
          <w:tcPr>
            <w:tcW w:w="4533" w:type="dxa"/>
            <w:shd w:val="clear" w:color="auto" w:fill="FFDDDD"/>
          </w:tcPr>
          <w:p w14:paraId="4A5F5966" w14:textId="77777777" w:rsidR="00BB4766" w:rsidRPr="0045137D" w:rsidRDefault="00BB4766" w:rsidP="000C49A5">
            <w:pPr>
              <w:keepNext/>
              <w:suppressAutoHyphens/>
              <w:spacing w:before="0"/>
              <w:ind w:left="171"/>
              <w:contextualSpacing/>
              <w:jc w:val="left"/>
              <w:rPr>
                <w:sz w:val="12"/>
                <w:szCs w:val="24"/>
              </w:rPr>
            </w:pPr>
          </w:p>
          <w:p w14:paraId="46F584DB" w14:textId="53681E6C" w:rsidR="00BB4766" w:rsidRPr="007C6AE7" w:rsidRDefault="00BB4766" w:rsidP="00BB4766">
            <w:pPr>
              <w:pStyle w:val="Odstavecseseznamem"/>
              <w:keepNext/>
              <w:numPr>
                <w:ilvl w:val="0"/>
                <w:numId w:val="12"/>
              </w:numPr>
              <w:suppressAutoHyphens/>
              <w:spacing w:before="0" w:after="160"/>
              <w:ind w:left="171" w:hanging="142"/>
              <w:jc w:val="left"/>
              <w:rPr>
                <w:szCs w:val="24"/>
              </w:rPr>
            </w:pPr>
            <w:r>
              <w:t>Existence strategického plánování v oblasti školství</w:t>
            </w:r>
            <w:r w:rsidR="00F959D7">
              <w:t>.</w:t>
            </w:r>
          </w:p>
          <w:p w14:paraId="53F6A77D" w14:textId="5C63F404" w:rsidR="00BB4766" w:rsidRPr="007C6AE7" w:rsidRDefault="00BB4766" w:rsidP="00BB4766">
            <w:pPr>
              <w:pStyle w:val="Odstavecseseznamem"/>
              <w:keepNext/>
              <w:numPr>
                <w:ilvl w:val="0"/>
                <w:numId w:val="12"/>
              </w:numPr>
              <w:suppressAutoHyphens/>
              <w:spacing w:before="0" w:after="160"/>
              <w:ind w:left="171" w:hanging="142"/>
              <w:jc w:val="left"/>
              <w:rPr>
                <w:szCs w:val="24"/>
              </w:rPr>
            </w:pPr>
            <w:r>
              <w:t>Dostatečná kapacita míst v mateřských školách na území města</w:t>
            </w:r>
            <w:r w:rsidR="00F959D7">
              <w:t>.</w:t>
            </w:r>
          </w:p>
          <w:p w14:paraId="38844FC3" w14:textId="0195350B" w:rsidR="00BB4766" w:rsidRPr="00A0286F" w:rsidRDefault="00BB4766" w:rsidP="00BB4766">
            <w:pPr>
              <w:pStyle w:val="Odstavecseseznamem"/>
              <w:keepNext/>
              <w:numPr>
                <w:ilvl w:val="0"/>
                <w:numId w:val="12"/>
              </w:numPr>
              <w:suppressAutoHyphens/>
              <w:spacing w:before="0" w:after="160"/>
              <w:ind w:left="171" w:hanging="142"/>
              <w:jc w:val="left"/>
              <w:rPr>
                <w:szCs w:val="24"/>
              </w:rPr>
            </w:pPr>
            <w:r w:rsidRPr="00A0286F">
              <w:rPr>
                <w:szCs w:val="24"/>
              </w:rPr>
              <w:t>Dostatečná kapacita péče o děti do 3 let v denním režimu v jeslích zřizovaných městem</w:t>
            </w:r>
            <w:r w:rsidR="00F959D7">
              <w:rPr>
                <w:szCs w:val="24"/>
              </w:rPr>
              <w:t>.</w:t>
            </w:r>
          </w:p>
          <w:p w14:paraId="46F4AE27" w14:textId="574098B4" w:rsidR="00BB4766" w:rsidRPr="007C6AE7" w:rsidRDefault="00BB4766" w:rsidP="00BB4766">
            <w:pPr>
              <w:pStyle w:val="Odstavecseseznamem"/>
              <w:keepNext/>
              <w:numPr>
                <w:ilvl w:val="0"/>
                <w:numId w:val="12"/>
              </w:numPr>
              <w:suppressAutoHyphens/>
              <w:spacing w:before="0" w:after="160"/>
              <w:ind w:left="171" w:hanging="142"/>
              <w:jc w:val="left"/>
              <w:rPr>
                <w:szCs w:val="24"/>
              </w:rPr>
            </w:pPr>
            <w:r w:rsidRPr="00D4594B">
              <w:t>Bohatá nabídka činností v mateřských školách</w:t>
            </w:r>
            <w:r w:rsidR="001B38F7">
              <w:t xml:space="preserve"> </w:t>
            </w:r>
            <w:r w:rsidR="001B38F7" w:rsidRPr="002659A5">
              <w:t>(zaměření</w:t>
            </w:r>
            <w:r w:rsidRPr="002659A5">
              <w:t>)</w:t>
            </w:r>
            <w:r w:rsidR="00F959D7" w:rsidRPr="002659A5">
              <w:t>.</w:t>
            </w:r>
          </w:p>
          <w:p w14:paraId="33C9DE7E" w14:textId="2C72B407" w:rsidR="00BB4766" w:rsidRPr="000C7893" w:rsidRDefault="00BB4766" w:rsidP="00BB4766">
            <w:pPr>
              <w:pStyle w:val="Odstavecseseznamem"/>
              <w:keepNext/>
              <w:numPr>
                <w:ilvl w:val="0"/>
                <w:numId w:val="12"/>
              </w:numPr>
              <w:suppressAutoHyphens/>
              <w:spacing w:before="0" w:after="160"/>
              <w:ind w:left="171" w:hanging="142"/>
              <w:jc w:val="left"/>
              <w:rPr>
                <w:szCs w:val="24"/>
              </w:rPr>
            </w:pPr>
            <w:r>
              <w:t xml:space="preserve">Existence </w:t>
            </w:r>
            <w:r w:rsidRPr="00127F5F">
              <w:t>mateřsk</w:t>
            </w:r>
            <w:r>
              <w:t>é školy</w:t>
            </w:r>
            <w:r w:rsidRPr="00127F5F">
              <w:t xml:space="preserve"> pro děti se speciálními vzdělávacími potřebami</w:t>
            </w:r>
            <w:r w:rsidR="00F959D7">
              <w:t>.</w:t>
            </w:r>
          </w:p>
          <w:p w14:paraId="626956D2" w14:textId="477149A2" w:rsidR="00BB4766" w:rsidRDefault="00BB4766" w:rsidP="00BB4766">
            <w:pPr>
              <w:pStyle w:val="Odstavecseseznamem"/>
              <w:keepNext/>
              <w:numPr>
                <w:ilvl w:val="0"/>
                <w:numId w:val="12"/>
              </w:numPr>
              <w:suppressAutoHyphens/>
              <w:spacing w:before="0" w:after="160"/>
              <w:ind w:left="171" w:hanging="142"/>
              <w:jc w:val="left"/>
              <w:rPr>
                <w:szCs w:val="24"/>
              </w:rPr>
            </w:pPr>
            <w:r w:rsidRPr="0018322E">
              <w:rPr>
                <w:szCs w:val="24"/>
              </w:rPr>
              <w:t>Dostatečná kapacita sítě základních škol včetně školních družin a školního stravování</w:t>
            </w:r>
            <w:r w:rsidR="00F959D7">
              <w:rPr>
                <w:szCs w:val="24"/>
              </w:rPr>
              <w:t>.</w:t>
            </w:r>
          </w:p>
          <w:p w14:paraId="7E34A854" w14:textId="6022B011" w:rsidR="00BB4766" w:rsidRPr="00577195" w:rsidRDefault="00BB4766" w:rsidP="00BB4766">
            <w:pPr>
              <w:pStyle w:val="Odstavecseseznamem"/>
              <w:keepNext/>
              <w:numPr>
                <w:ilvl w:val="0"/>
                <w:numId w:val="12"/>
              </w:numPr>
              <w:suppressAutoHyphens/>
              <w:spacing w:before="0" w:after="160"/>
              <w:ind w:left="171" w:hanging="142"/>
              <w:jc w:val="left"/>
              <w:rPr>
                <w:szCs w:val="24"/>
              </w:rPr>
            </w:pPr>
            <w:r>
              <w:t>Specificky zaměřené třídy některých škol (Ekoškola, Montessori, třída nadaných apod.)</w:t>
            </w:r>
            <w:r w:rsidR="00F959D7">
              <w:t>.</w:t>
            </w:r>
          </w:p>
          <w:p w14:paraId="452A89E3" w14:textId="2DC96706" w:rsidR="00BB4766" w:rsidRDefault="00BB4766" w:rsidP="00BB4766">
            <w:pPr>
              <w:pStyle w:val="Odstavecseseznamem"/>
              <w:keepNext/>
              <w:numPr>
                <w:ilvl w:val="0"/>
                <w:numId w:val="12"/>
              </w:numPr>
              <w:suppressAutoHyphens/>
              <w:spacing w:before="0" w:after="160"/>
              <w:ind w:left="171" w:hanging="142"/>
              <w:jc w:val="left"/>
              <w:rPr>
                <w:szCs w:val="24"/>
              </w:rPr>
            </w:pPr>
            <w:r>
              <w:t>Existence základních škol pro žáky s různými formami postižení</w:t>
            </w:r>
            <w:r w:rsidR="00F959D7">
              <w:t>.</w:t>
            </w:r>
            <w:r>
              <w:rPr>
                <w:szCs w:val="24"/>
              </w:rPr>
              <w:t xml:space="preserve"> </w:t>
            </w:r>
          </w:p>
          <w:p w14:paraId="0BF8AE8C" w14:textId="22822BC5" w:rsidR="00BB4766" w:rsidRPr="000C7893" w:rsidRDefault="00BB4766" w:rsidP="00BB4766">
            <w:pPr>
              <w:pStyle w:val="Odstavecseseznamem"/>
              <w:keepNext/>
              <w:numPr>
                <w:ilvl w:val="0"/>
                <w:numId w:val="12"/>
              </w:numPr>
              <w:suppressAutoHyphens/>
              <w:spacing w:before="0" w:after="160"/>
              <w:ind w:left="171" w:hanging="142"/>
              <w:jc w:val="left"/>
              <w:rPr>
                <w:szCs w:val="24"/>
              </w:rPr>
            </w:pPr>
            <w:r>
              <w:t>Poměrně bohatá a vysoce kvalitní nabídka základního uměleckého vzdělávání</w:t>
            </w:r>
            <w:r w:rsidR="00F959D7">
              <w:t>.</w:t>
            </w:r>
          </w:p>
          <w:p w14:paraId="5E4CE59B" w14:textId="76D5EF31" w:rsidR="00BB4766" w:rsidRPr="000C7893" w:rsidRDefault="00BB4766" w:rsidP="00BB4766">
            <w:pPr>
              <w:pStyle w:val="Odstavecseseznamem"/>
              <w:keepNext/>
              <w:numPr>
                <w:ilvl w:val="0"/>
                <w:numId w:val="12"/>
              </w:numPr>
              <w:suppressAutoHyphens/>
              <w:spacing w:before="0" w:after="160"/>
              <w:ind w:left="171" w:hanging="142"/>
              <w:jc w:val="left"/>
              <w:rPr>
                <w:szCs w:val="24"/>
              </w:rPr>
            </w:pPr>
            <w:r>
              <w:rPr>
                <w:szCs w:val="24"/>
              </w:rPr>
              <w:t>Existence zařízení poskytující zájmové vzdělávání (</w:t>
            </w:r>
            <w:r w:rsidRPr="009018CB">
              <w:t>Dům dětí a mládeže ASTRA Zlín, příspěv</w:t>
            </w:r>
            <w:r>
              <w:t>ková organizace a další) a jejich spolupráce se základními školami</w:t>
            </w:r>
            <w:r w:rsidR="00F959D7">
              <w:t>.</w:t>
            </w:r>
          </w:p>
          <w:p w14:paraId="471166B7" w14:textId="1475B34E" w:rsidR="00BB4766" w:rsidRPr="00A0286F" w:rsidRDefault="00BB4766" w:rsidP="00BB4766">
            <w:pPr>
              <w:pStyle w:val="Odstavecseseznamem"/>
              <w:keepNext/>
              <w:numPr>
                <w:ilvl w:val="0"/>
                <w:numId w:val="12"/>
              </w:numPr>
              <w:suppressAutoHyphens/>
              <w:spacing w:before="0" w:after="160"/>
              <w:ind w:left="171" w:hanging="142"/>
              <w:jc w:val="left"/>
              <w:rPr>
                <w:szCs w:val="24"/>
              </w:rPr>
            </w:pPr>
            <w:r w:rsidRPr="00A0286F">
              <w:rPr>
                <w:szCs w:val="24"/>
              </w:rPr>
              <w:t>Rehabilitační stacionář Nivy pro děti s denní i</w:t>
            </w:r>
            <w:r w:rsidR="00F959D7">
              <w:rPr>
                <w:szCs w:val="24"/>
              </w:rPr>
              <w:t> </w:t>
            </w:r>
            <w:r w:rsidRPr="00A0286F">
              <w:rPr>
                <w:szCs w:val="24"/>
              </w:rPr>
              <w:t>týdenní docházkou, s možností péče přes noc - pro Zlín a široké okolí</w:t>
            </w:r>
            <w:r w:rsidR="00F959D7">
              <w:rPr>
                <w:szCs w:val="24"/>
              </w:rPr>
              <w:t>.</w:t>
            </w:r>
          </w:p>
          <w:p w14:paraId="019E5A8B" w14:textId="066E1CCE" w:rsidR="00BB4766" w:rsidRPr="0065278D" w:rsidRDefault="00BB4766" w:rsidP="00BB4766">
            <w:pPr>
              <w:pStyle w:val="Odstavecseseznamem"/>
              <w:keepNext/>
              <w:numPr>
                <w:ilvl w:val="0"/>
                <w:numId w:val="12"/>
              </w:numPr>
              <w:suppressAutoHyphens/>
              <w:spacing w:before="0" w:after="160"/>
              <w:ind w:left="171" w:hanging="142"/>
              <w:jc w:val="left"/>
              <w:rPr>
                <w:szCs w:val="24"/>
              </w:rPr>
            </w:pPr>
            <w:r>
              <w:t>Zastoupení všech skupin oborů, které mají návaznost na regionální trh práce, na středních školách ve Zlínském kraji</w:t>
            </w:r>
            <w:r w:rsidR="00F959D7">
              <w:t>.</w:t>
            </w:r>
            <w:r>
              <w:t xml:space="preserve"> </w:t>
            </w:r>
          </w:p>
          <w:p w14:paraId="330434BA" w14:textId="4953BA57" w:rsidR="00BB4766" w:rsidRPr="00EE6C9D" w:rsidRDefault="00BB4766" w:rsidP="00BB4766">
            <w:pPr>
              <w:pStyle w:val="Odstavecseseznamem"/>
              <w:keepNext/>
              <w:numPr>
                <w:ilvl w:val="0"/>
                <w:numId w:val="12"/>
              </w:numPr>
              <w:suppressAutoHyphens/>
              <w:spacing w:before="0" w:after="160"/>
              <w:ind w:left="171" w:hanging="142"/>
              <w:jc w:val="left"/>
              <w:rPr>
                <w:szCs w:val="24"/>
              </w:rPr>
            </w:pPr>
            <w:r>
              <w:t>Úspěšná realizace projektů MAP, KAP</w:t>
            </w:r>
            <w:r w:rsidR="00F959D7">
              <w:t>.</w:t>
            </w:r>
          </w:p>
          <w:p w14:paraId="4367A02F" w14:textId="2C207B97" w:rsidR="00BB4766" w:rsidRPr="0065278D" w:rsidRDefault="00BB4766" w:rsidP="00BB4766">
            <w:pPr>
              <w:pStyle w:val="Odstavecseseznamem"/>
              <w:keepNext/>
              <w:numPr>
                <w:ilvl w:val="0"/>
                <w:numId w:val="12"/>
              </w:numPr>
              <w:suppressAutoHyphens/>
              <w:spacing w:before="0" w:after="160"/>
              <w:ind w:left="171" w:hanging="142"/>
              <w:jc w:val="left"/>
              <w:rPr>
                <w:szCs w:val="24"/>
              </w:rPr>
            </w:pPr>
            <w:r w:rsidRPr="00772A8C">
              <w:t>Působení Univerzity Tomáše Bati</w:t>
            </w:r>
            <w:r>
              <w:t xml:space="preserve"> ve městě a její</w:t>
            </w:r>
            <w:r w:rsidRPr="00772A8C">
              <w:t xml:space="preserve">ch </w:t>
            </w:r>
            <w:r>
              <w:t>sou</w:t>
            </w:r>
            <w:r w:rsidRPr="00772A8C">
              <w:t>č</w:t>
            </w:r>
            <w:r>
              <w:t>ástí</w:t>
            </w:r>
            <w:r w:rsidR="00F959D7">
              <w:t>.</w:t>
            </w:r>
          </w:p>
          <w:p w14:paraId="7978FD88" w14:textId="75321D7A" w:rsidR="00BB4766" w:rsidRPr="0065278D" w:rsidRDefault="00BB4766" w:rsidP="00BB4766">
            <w:pPr>
              <w:pStyle w:val="Odstavecseseznamem"/>
              <w:keepNext/>
              <w:numPr>
                <w:ilvl w:val="0"/>
                <w:numId w:val="12"/>
              </w:numPr>
              <w:suppressAutoHyphens/>
              <w:spacing w:before="0" w:after="160"/>
              <w:ind w:left="171" w:hanging="142"/>
              <w:jc w:val="left"/>
              <w:rPr>
                <w:szCs w:val="24"/>
              </w:rPr>
            </w:pPr>
            <w:r>
              <w:t>R</w:t>
            </w:r>
            <w:r w:rsidRPr="00772A8C">
              <w:t xml:space="preserve">ozšiřující </w:t>
            </w:r>
            <w:r>
              <w:t>se nabídka</w:t>
            </w:r>
            <w:r w:rsidRPr="00772A8C">
              <w:t xml:space="preserve"> </w:t>
            </w:r>
            <w:r>
              <w:t>studijních programů na UTB</w:t>
            </w:r>
            <w:r w:rsidR="00F959D7">
              <w:t>.</w:t>
            </w:r>
          </w:p>
          <w:p w14:paraId="31A33375" w14:textId="576F518E" w:rsidR="00BB4766" w:rsidRPr="0019690C" w:rsidRDefault="00BB4766" w:rsidP="00BB4766">
            <w:pPr>
              <w:pStyle w:val="Odstavecseseznamem"/>
              <w:keepNext/>
              <w:numPr>
                <w:ilvl w:val="0"/>
                <w:numId w:val="12"/>
              </w:numPr>
              <w:suppressAutoHyphens/>
              <w:spacing w:before="0" w:after="160"/>
              <w:ind w:left="171" w:hanging="142"/>
              <w:jc w:val="left"/>
            </w:pPr>
            <w:r w:rsidRPr="0019690C">
              <w:t>Existence silných výzkumných jednotek UTB v oblasti polymerního inženýrství, plastikářské nebo gumárenské chemie, automatizace a řízení technologických procesů, aplikované informatiky, bezpečnostních technologií a alternativních zdrojů energie, potravinářství nebo obouvání</w:t>
            </w:r>
            <w:r w:rsidR="00F959D7">
              <w:t>.</w:t>
            </w:r>
            <w:r w:rsidRPr="0019690C">
              <w:t xml:space="preserve"> </w:t>
            </w:r>
          </w:p>
          <w:p w14:paraId="5CF9DC74" w14:textId="722C3FC3" w:rsidR="00BB4766" w:rsidRDefault="00BB4766" w:rsidP="00BB4766">
            <w:pPr>
              <w:pStyle w:val="Odstavecseseznamem"/>
              <w:keepNext/>
              <w:numPr>
                <w:ilvl w:val="0"/>
                <w:numId w:val="12"/>
              </w:numPr>
              <w:suppressAutoHyphens/>
              <w:spacing w:before="0" w:after="160"/>
              <w:ind w:left="171" w:hanging="142"/>
              <w:jc w:val="left"/>
              <w:rPr>
                <w:szCs w:val="24"/>
              </w:rPr>
            </w:pPr>
            <w:r>
              <w:rPr>
                <w:szCs w:val="24"/>
              </w:rPr>
              <w:t>Spolupráce mezi středními školami a podniky v</w:t>
            </w:r>
            <w:r w:rsidR="00F959D7">
              <w:rPr>
                <w:szCs w:val="24"/>
              </w:rPr>
              <w:t> </w:t>
            </w:r>
            <w:r>
              <w:rPr>
                <w:szCs w:val="24"/>
              </w:rPr>
              <w:t>regionu</w:t>
            </w:r>
            <w:r w:rsidR="00F959D7">
              <w:rPr>
                <w:szCs w:val="24"/>
              </w:rPr>
              <w:t>.</w:t>
            </w:r>
          </w:p>
          <w:p w14:paraId="788B3CE2" w14:textId="2696FD53" w:rsidR="00BB4766" w:rsidRPr="00845003" w:rsidRDefault="00BB4766" w:rsidP="00BB4766">
            <w:pPr>
              <w:pStyle w:val="Odstavecseseznamem"/>
              <w:keepNext/>
              <w:numPr>
                <w:ilvl w:val="0"/>
                <w:numId w:val="12"/>
              </w:numPr>
              <w:suppressAutoHyphens/>
              <w:spacing w:before="0" w:after="160"/>
              <w:ind w:left="171" w:hanging="142"/>
              <w:jc w:val="left"/>
              <w:rPr>
                <w:szCs w:val="24"/>
              </w:rPr>
            </w:pPr>
            <w:r>
              <w:t>Existence informačních a vzdělávacích portálů v oblasti školství</w:t>
            </w:r>
            <w:r w:rsidR="00F959D7">
              <w:t>.</w:t>
            </w:r>
          </w:p>
          <w:p w14:paraId="10AB95C7" w14:textId="098118C5" w:rsidR="00BB4766" w:rsidRPr="00BC1A35" w:rsidRDefault="00BB4766" w:rsidP="00BB4766">
            <w:pPr>
              <w:pStyle w:val="Odstavecseseznamem"/>
              <w:keepNext/>
              <w:numPr>
                <w:ilvl w:val="0"/>
                <w:numId w:val="12"/>
              </w:numPr>
              <w:suppressAutoHyphens/>
              <w:spacing w:before="0" w:after="160"/>
              <w:ind w:left="171" w:hanging="142"/>
              <w:jc w:val="left"/>
              <w:rPr>
                <w:szCs w:val="24"/>
              </w:rPr>
            </w:pPr>
            <w:r>
              <w:t>Existence Univerzity třetího věku na UTB</w:t>
            </w:r>
            <w:r w:rsidR="00F959D7">
              <w:t>.</w:t>
            </w:r>
          </w:p>
        </w:tc>
        <w:tc>
          <w:tcPr>
            <w:tcW w:w="4529" w:type="dxa"/>
            <w:shd w:val="clear" w:color="auto" w:fill="EEF3F8"/>
          </w:tcPr>
          <w:p w14:paraId="219DA785" w14:textId="77777777" w:rsidR="00BB4766" w:rsidRPr="0045137D" w:rsidRDefault="00BB4766" w:rsidP="000C49A5">
            <w:pPr>
              <w:keepNext/>
              <w:suppressAutoHyphens/>
              <w:spacing w:before="0"/>
              <w:ind w:left="175"/>
              <w:contextualSpacing/>
              <w:jc w:val="left"/>
              <w:rPr>
                <w:sz w:val="12"/>
                <w:szCs w:val="12"/>
              </w:rPr>
            </w:pPr>
          </w:p>
          <w:p w14:paraId="383063F2" w14:textId="389FF936" w:rsidR="00BB4766" w:rsidRPr="00DB1CE5" w:rsidRDefault="00BB4766" w:rsidP="00BB4766">
            <w:pPr>
              <w:keepNext/>
              <w:numPr>
                <w:ilvl w:val="0"/>
                <w:numId w:val="12"/>
              </w:numPr>
              <w:suppressAutoHyphens/>
              <w:spacing w:before="0"/>
              <w:ind w:left="171" w:hanging="141"/>
              <w:contextualSpacing/>
              <w:jc w:val="left"/>
              <w:rPr>
                <w:szCs w:val="24"/>
              </w:rPr>
            </w:pPr>
            <w:r>
              <w:rPr>
                <w:szCs w:val="24"/>
              </w:rPr>
              <w:t xml:space="preserve">Zastaralé části některých škol a </w:t>
            </w:r>
            <w:r>
              <w:t>vybavenost odborných učeben</w:t>
            </w:r>
            <w:r w:rsidR="00F959D7">
              <w:t>.</w:t>
            </w:r>
          </w:p>
          <w:p w14:paraId="33771175" w14:textId="6C285692" w:rsidR="00BB4766" w:rsidRDefault="00BB4766" w:rsidP="00BB4766">
            <w:pPr>
              <w:keepNext/>
              <w:numPr>
                <w:ilvl w:val="0"/>
                <w:numId w:val="12"/>
              </w:numPr>
              <w:suppressAutoHyphens/>
              <w:spacing w:before="0"/>
              <w:ind w:left="171" w:hanging="141"/>
              <w:contextualSpacing/>
              <w:jc w:val="left"/>
              <w:rPr>
                <w:szCs w:val="24"/>
              </w:rPr>
            </w:pPr>
            <w:r>
              <w:rPr>
                <w:szCs w:val="24"/>
              </w:rPr>
              <w:t>Nerealizované investiční požadavky některých škol</w:t>
            </w:r>
            <w:r w:rsidR="00F959D7">
              <w:rPr>
                <w:szCs w:val="24"/>
              </w:rPr>
              <w:t>.</w:t>
            </w:r>
            <w:r>
              <w:rPr>
                <w:szCs w:val="24"/>
              </w:rPr>
              <w:t xml:space="preserve"> </w:t>
            </w:r>
          </w:p>
          <w:p w14:paraId="79E58779" w14:textId="628E0397" w:rsidR="00BB4766" w:rsidRDefault="00BB4766" w:rsidP="00BB4766">
            <w:pPr>
              <w:keepNext/>
              <w:numPr>
                <w:ilvl w:val="0"/>
                <w:numId w:val="12"/>
              </w:numPr>
              <w:suppressAutoHyphens/>
              <w:spacing w:before="0"/>
              <w:ind w:left="171" w:hanging="141"/>
              <w:contextualSpacing/>
              <w:jc w:val="left"/>
              <w:rPr>
                <w:szCs w:val="24"/>
              </w:rPr>
            </w:pPr>
            <w:r w:rsidRPr="00985455">
              <w:t>Překračující finanční možnosti zřizovatele na provozní výdaje základních škol</w:t>
            </w:r>
            <w:r w:rsidR="00F959D7">
              <w:t>.</w:t>
            </w:r>
          </w:p>
          <w:p w14:paraId="758B2238" w14:textId="0A26BAE5" w:rsidR="00BB4766" w:rsidRDefault="00BB4766" w:rsidP="00BB4766">
            <w:pPr>
              <w:keepNext/>
              <w:numPr>
                <w:ilvl w:val="0"/>
                <w:numId w:val="12"/>
              </w:numPr>
              <w:suppressAutoHyphens/>
              <w:spacing w:before="0"/>
              <w:ind w:left="171" w:hanging="141"/>
              <w:contextualSpacing/>
              <w:jc w:val="left"/>
              <w:rPr>
                <w:szCs w:val="24"/>
              </w:rPr>
            </w:pPr>
            <w:r w:rsidRPr="00914918">
              <w:rPr>
                <w:szCs w:val="24"/>
              </w:rPr>
              <w:t>Nedostatečná prezentace úspěchů vzdělávacího a</w:t>
            </w:r>
            <w:r w:rsidR="00E254AB">
              <w:rPr>
                <w:szCs w:val="24"/>
              </w:rPr>
              <w:t> </w:t>
            </w:r>
            <w:r w:rsidRPr="00914918">
              <w:rPr>
                <w:szCs w:val="24"/>
              </w:rPr>
              <w:t>výchovného systému</w:t>
            </w:r>
            <w:r w:rsidR="00F959D7">
              <w:rPr>
                <w:szCs w:val="24"/>
              </w:rPr>
              <w:t>.</w:t>
            </w:r>
            <w:r w:rsidRPr="00914918">
              <w:rPr>
                <w:szCs w:val="24"/>
              </w:rPr>
              <w:t xml:space="preserve"> </w:t>
            </w:r>
          </w:p>
          <w:p w14:paraId="75ACA285" w14:textId="4B565240" w:rsidR="00BB4766" w:rsidRDefault="00BB4766" w:rsidP="00BB4766">
            <w:pPr>
              <w:keepNext/>
              <w:numPr>
                <w:ilvl w:val="0"/>
                <w:numId w:val="12"/>
              </w:numPr>
              <w:suppressAutoHyphens/>
              <w:spacing w:before="0"/>
              <w:ind w:left="171" w:hanging="141"/>
              <w:contextualSpacing/>
              <w:jc w:val="left"/>
              <w:rPr>
                <w:szCs w:val="24"/>
              </w:rPr>
            </w:pPr>
            <w:r>
              <w:rPr>
                <w:szCs w:val="24"/>
              </w:rPr>
              <w:t>Nedostatečná atraktivita Zlína pro studenty z ČR i</w:t>
            </w:r>
            <w:r w:rsidR="00E254AB">
              <w:rPr>
                <w:szCs w:val="24"/>
              </w:rPr>
              <w:t> </w:t>
            </w:r>
            <w:r>
              <w:rPr>
                <w:szCs w:val="24"/>
              </w:rPr>
              <w:t>ze zahraničí</w:t>
            </w:r>
            <w:r w:rsidR="00F959D7">
              <w:rPr>
                <w:szCs w:val="24"/>
              </w:rPr>
              <w:t>.</w:t>
            </w:r>
          </w:p>
          <w:p w14:paraId="7AE3C2F9" w14:textId="77777777" w:rsidR="00BB4766" w:rsidRDefault="00BB4766" w:rsidP="000C49A5">
            <w:pPr>
              <w:keepNext/>
              <w:suppressAutoHyphens/>
              <w:spacing w:before="0"/>
              <w:ind w:left="30"/>
              <w:contextualSpacing/>
              <w:jc w:val="left"/>
              <w:rPr>
                <w:szCs w:val="24"/>
              </w:rPr>
            </w:pPr>
          </w:p>
          <w:p w14:paraId="0EBBB1A3" w14:textId="77777777" w:rsidR="00BB4766" w:rsidRPr="00914918" w:rsidRDefault="00BB4766" w:rsidP="000C49A5">
            <w:pPr>
              <w:keepNext/>
              <w:suppressAutoHyphens/>
              <w:spacing w:before="0"/>
              <w:ind w:left="171"/>
              <w:contextualSpacing/>
              <w:jc w:val="left"/>
              <w:rPr>
                <w:szCs w:val="24"/>
              </w:rPr>
            </w:pPr>
          </w:p>
          <w:p w14:paraId="519A7256" w14:textId="77777777" w:rsidR="00BB4766" w:rsidRPr="00E2660B" w:rsidRDefault="00BB4766" w:rsidP="000C49A5">
            <w:pPr>
              <w:keepNext/>
              <w:suppressAutoHyphens/>
              <w:spacing w:before="0"/>
              <w:contextualSpacing/>
              <w:jc w:val="left"/>
              <w:rPr>
                <w:szCs w:val="24"/>
              </w:rPr>
            </w:pPr>
          </w:p>
        </w:tc>
      </w:tr>
    </w:tbl>
    <w:p w14:paraId="6C2CFF11" w14:textId="77777777" w:rsidR="00BB4766" w:rsidRDefault="00BB4766" w:rsidP="00BB4766"/>
    <w:p w14:paraId="154214A2" w14:textId="77777777" w:rsidR="00BB4766" w:rsidRDefault="00BB4766" w:rsidP="00BB4766"/>
    <w:tbl>
      <w:tblPr>
        <w:tblStyle w:val="Mkatabulky1"/>
        <w:tblW w:w="0" w:type="auto"/>
        <w:tblLook w:val="04A0" w:firstRow="1" w:lastRow="0" w:firstColumn="1" w:lastColumn="0" w:noHBand="0" w:noVBand="1"/>
      </w:tblPr>
      <w:tblGrid>
        <w:gridCol w:w="4535"/>
        <w:gridCol w:w="4527"/>
      </w:tblGrid>
      <w:tr w:rsidR="00BB4766" w:rsidRPr="00BC1A35" w14:paraId="518FEBE3" w14:textId="77777777" w:rsidTr="000C49A5">
        <w:trPr>
          <w:cantSplit/>
          <w:tblHeader/>
        </w:trPr>
        <w:tc>
          <w:tcPr>
            <w:tcW w:w="4535" w:type="dxa"/>
            <w:shd w:val="clear" w:color="auto" w:fill="F79646"/>
          </w:tcPr>
          <w:p w14:paraId="231E3C3B" w14:textId="77777777" w:rsidR="00BB4766" w:rsidRPr="00BC1A35" w:rsidRDefault="00BB4766" w:rsidP="000C49A5">
            <w:pPr>
              <w:spacing w:before="0"/>
              <w:jc w:val="center"/>
              <w:rPr>
                <w:b/>
                <w:szCs w:val="24"/>
              </w:rPr>
            </w:pPr>
            <w:r w:rsidRPr="00BC1A35">
              <w:rPr>
                <w:b/>
                <w:szCs w:val="24"/>
              </w:rPr>
              <w:lastRenderedPageBreak/>
              <w:t>PŘÍLEŽITOSTI</w:t>
            </w:r>
          </w:p>
        </w:tc>
        <w:tc>
          <w:tcPr>
            <w:tcW w:w="4528" w:type="dxa"/>
            <w:shd w:val="clear" w:color="auto" w:fill="B2A1C7"/>
          </w:tcPr>
          <w:p w14:paraId="59F971CF" w14:textId="77777777" w:rsidR="00BB4766" w:rsidRPr="00BC1A35" w:rsidRDefault="00BB4766" w:rsidP="000C49A5">
            <w:pPr>
              <w:spacing w:before="0"/>
              <w:jc w:val="center"/>
              <w:rPr>
                <w:b/>
                <w:szCs w:val="24"/>
              </w:rPr>
            </w:pPr>
            <w:r w:rsidRPr="00BC1A35">
              <w:rPr>
                <w:b/>
                <w:szCs w:val="24"/>
              </w:rPr>
              <w:t>HROZBY</w:t>
            </w:r>
          </w:p>
        </w:tc>
      </w:tr>
      <w:tr w:rsidR="00BB4766" w:rsidRPr="00BC1A35" w14:paraId="7E681124" w14:textId="77777777" w:rsidTr="000C49A5">
        <w:trPr>
          <w:cantSplit/>
          <w:trHeight w:val="4484"/>
        </w:trPr>
        <w:tc>
          <w:tcPr>
            <w:tcW w:w="4535" w:type="dxa"/>
            <w:shd w:val="clear" w:color="auto" w:fill="FEF7CE"/>
          </w:tcPr>
          <w:p w14:paraId="19594D91" w14:textId="77777777" w:rsidR="00BB4766" w:rsidRDefault="00BB4766" w:rsidP="000C49A5">
            <w:pPr>
              <w:suppressAutoHyphens/>
              <w:spacing w:before="0"/>
              <w:ind w:left="171"/>
              <w:contextualSpacing/>
              <w:jc w:val="left"/>
              <w:rPr>
                <w:szCs w:val="24"/>
                <w:highlight w:val="yellow"/>
              </w:rPr>
            </w:pPr>
          </w:p>
          <w:p w14:paraId="12016EF2" w14:textId="026C7B73" w:rsidR="00BB4766" w:rsidRPr="0024210E" w:rsidRDefault="00BB4766" w:rsidP="00BB4766">
            <w:pPr>
              <w:numPr>
                <w:ilvl w:val="0"/>
                <w:numId w:val="12"/>
              </w:numPr>
              <w:suppressAutoHyphens/>
              <w:spacing w:before="0"/>
              <w:ind w:left="171" w:hanging="141"/>
              <w:contextualSpacing/>
              <w:jc w:val="left"/>
              <w:rPr>
                <w:szCs w:val="24"/>
              </w:rPr>
            </w:pPr>
            <w:r>
              <w:t>Spolupráce aktérů v oblasti vzdělávání na strategických projektech</w:t>
            </w:r>
            <w:r w:rsidR="00F959D7">
              <w:t>.</w:t>
            </w:r>
            <w:r w:rsidRPr="00E2660B">
              <w:t xml:space="preserve"> </w:t>
            </w:r>
          </w:p>
          <w:p w14:paraId="5C0A0763" w14:textId="16C8A287" w:rsidR="00BB4766" w:rsidRDefault="00BB4766" w:rsidP="00BB4766">
            <w:pPr>
              <w:numPr>
                <w:ilvl w:val="0"/>
                <w:numId w:val="12"/>
              </w:numPr>
              <w:suppressAutoHyphens/>
              <w:spacing w:before="0"/>
              <w:ind w:left="171" w:hanging="141"/>
              <w:contextualSpacing/>
              <w:jc w:val="left"/>
              <w:rPr>
                <w:szCs w:val="24"/>
              </w:rPr>
            </w:pPr>
            <w:r w:rsidRPr="00985455">
              <w:rPr>
                <w:szCs w:val="24"/>
              </w:rPr>
              <w:t>Zvyšování kvality vzdělávání na všech stupních</w:t>
            </w:r>
            <w:r w:rsidR="00F959D7">
              <w:rPr>
                <w:szCs w:val="24"/>
              </w:rPr>
              <w:t>.</w:t>
            </w:r>
          </w:p>
          <w:p w14:paraId="07CA5A21" w14:textId="2A0FCDEB" w:rsidR="00BB4766" w:rsidRPr="00F01577" w:rsidRDefault="00BB4766" w:rsidP="00BB4766">
            <w:pPr>
              <w:numPr>
                <w:ilvl w:val="0"/>
                <w:numId w:val="12"/>
              </w:numPr>
              <w:suppressAutoHyphens/>
              <w:spacing w:before="0"/>
              <w:ind w:left="171" w:hanging="141"/>
              <w:contextualSpacing/>
              <w:jc w:val="left"/>
              <w:rPr>
                <w:szCs w:val="24"/>
              </w:rPr>
            </w:pPr>
            <w:r w:rsidRPr="00985455">
              <w:t>Modernizace vybavení škol</w:t>
            </w:r>
            <w:r w:rsidR="00F959D7">
              <w:t>.</w:t>
            </w:r>
          </w:p>
          <w:p w14:paraId="78F04C72" w14:textId="3B5B75AE" w:rsidR="00BB4766" w:rsidRPr="00985455" w:rsidRDefault="00BB4766" w:rsidP="00BB4766">
            <w:pPr>
              <w:numPr>
                <w:ilvl w:val="0"/>
                <w:numId w:val="12"/>
              </w:numPr>
              <w:suppressAutoHyphens/>
              <w:spacing w:before="0"/>
              <w:ind w:left="171" w:hanging="141"/>
              <w:contextualSpacing/>
              <w:jc w:val="left"/>
              <w:rPr>
                <w:szCs w:val="24"/>
              </w:rPr>
            </w:pPr>
            <w:r w:rsidRPr="00985455">
              <w:rPr>
                <w:szCs w:val="24"/>
              </w:rPr>
              <w:t>Zlepšování podmínek pro výuku mimořádně nadaných žáků na školách</w:t>
            </w:r>
            <w:r w:rsidR="00F959D7">
              <w:rPr>
                <w:szCs w:val="24"/>
              </w:rPr>
              <w:t>.</w:t>
            </w:r>
          </w:p>
          <w:p w14:paraId="35B1B4EA" w14:textId="3EBE6EBA" w:rsidR="00BB4766" w:rsidRPr="00985455" w:rsidRDefault="00BB4766" w:rsidP="00BB4766">
            <w:pPr>
              <w:numPr>
                <w:ilvl w:val="0"/>
                <w:numId w:val="12"/>
              </w:numPr>
              <w:suppressAutoHyphens/>
              <w:spacing w:before="0"/>
              <w:ind w:left="171" w:hanging="141"/>
              <w:contextualSpacing/>
              <w:jc w:val="left"/>
              <w:rPr>
                <w:szCs w:val="24"/>
              </w:rPr>
            </w:pPr>
            <w:r>
              <w:rPr>
                <w:szCs w:val="24"/>
              </w:rPr>
              <w:t>Optimalizace</w:t>
            </w:r>
            <w:r w:rsidRPr="00985455">
              <w:rPr>
                <w:szCs w:val="24"/>
              </w:rPr>
              <w:t xml:space="preserve"> počtu žáků ve třídách </w:t>
            </w:r>
            <w:r>
              <w:rPr>
                <w:szCs w:val="24"/>
              </w:rPr>
              <w:t>i ve skupinách</w:t>
            </w:r>
            <w:r w:rsidR="00F959D7">
              <w:rPr>
                <w:szCs w:val="24"/>
              </w:rPr>
              <w:t>.</w:t>
            </w:r>
          </w:p>
          <w:p w14:paraId="7D764674" w14:textId="2AAA993B" w:rsidR="00BB4766" w:rsidRPr="00985455" w:rsidRDefault="00BB4766" w:rsidP="00BB4766">
            <w:pPr>
              <w:numPr>
                <w:ilvl w:val="0"/>
                <w:numId w:val="12"/>
              </w:numPr>
              <w:suppressAutoHyphens/>
              <w:spacing w:before="0"/>
              <w:ind w:left="171" w:hanging="141"/>
              <w:contextualSpacing/>
              <w:jc w:val="left"/>
              <w:rPr>
                <w:szCs w:val="24"/>
              </w:rPr>
            </w:pPr>
            <w:r w:rsidRPr="00985455">
              <w:rPr>
                <w:szCs w:val="24"/>
              </w:rPr>
              <w:t>Podpora řemeslných oborů na školách</w:t>
            </w:r>
            <w:r w:rsidR="00F959D7">
              <w:rPr>
                <w:szCs w:val="24"/>
              </w:rPr>
              <w:t>.</w:t>
            </w:r>
          </w:p>
          <w:p w14:paraId="3D79BAFD" w14:textId="33DAF4B5" w:rsidR="00BB4766" w:rsidRDefault="00BB4766" w:rsidP="00BB4766">
            <w:pPr>
              <w:numPr>
                <w:ilvl w:val="0"/>
                <w:numId w:val="12"/>
              </w:numPr>
              <w:suppressAutoHyphens/>
              <w:spacing w:before="0"/>
              <w:ind w:left="171" w:hanging="141"/>
              <w:contextualSpacing/>
              <w:jc w:val="left"/>
              <w:rPr>
                <w:szCs w:val="24"/>
              </w:rPr>
            </w:pPr>
            <w:r w:rsidRPr="00985455">
              <w:rPr>
                <w:szCs w:val="24"/>
              </w:rPr>
              <w:t>Podpora praxí studentů v</w:t>
            </w:r>
            <w:r w:rsidR="00F959D7">
              <w:rPr>
                <w:szCs w:val="24"/>
              </w:rPr>
              <w:t> </w:t>
            </w:r>
            <w:r w:rsidRPr="00985455">
              <w:rPr>
                <w:szCs w:val="24"/>
              </w:rPr>
              <w:t>podnicích</w:t>
            </w:r>
            <w:r w:rsidR="00F959D7">
              <w:rPr>
                <w:szCs w:val="24"/>
              </w:rPr>
              <w:t>.</w:t>
            </w:r>
          </w:p>
          <w:p w14:paraId="020756A7" w14:textId="71EA9D11" w:rsidR="00BB4766" w:rsidRPr="00985455" w:rsidRDefault="00BB4766" w:rsidP="00BB4766">
            <w:pPr>
              <w:numPr>
                <w:ilvl w:val="0"/>
                <w:numId w:val="12"/>
              </w:numPr>
              <w:suppressAutoHyphens/>
              <w:spacing w:before="0"/>
              <w:ind w:left="171" w:hanging="141"/>
              <w:contextualSpacing/>
              <w:jc w:val="left"/>
              <w:rPr>
                <w:szCs w:val="24"/>
              </w:rPr>
            </w:pPr>
            <w:r w:rsidRPr="00F16D9A">
              <w:t>Zvýšení úrovně přípravy budoucích pedagogů</w:t>
            </w:r>
            <w:r w:rsidR="00F959D7">
              <w:t>.</w:t>
            </w:r>
          </w:p>
          <w:p w14:paraId="6E93F6DE" w14:textId="4815BE05" w:rsidR="00BB4766" w:rsidRPr="00772ED9" w:rsidRDefault="00BB4766" w:rsidP="00BB4766">
            <w:pPr>
              <w:numPr>
                <w:ilvl w:val="0"/>
                <w:numId w:val="12"/>
              </w:numPr>
              <w:suppressAutoHyphens/>
              <w:spacing w:before="0"/>
              <w:ind w:left="171" w:hanging="141"/>
              <w:contextualSpacing/>
              <w:jc w:val="left"/>
              <w:rPr>
                <w:szCs w:val="24"/>
              </w:rPr>
            </w:pPr>
            <w:r>
              <w:rPr>
                <w:szCs w:val="24"/>
              </w:rPr>
              <w:t>Udržení t</w:t>
            </w:r>
            <w:r w:rsidRPr="00772ED9">
              <w:rPr>
                <w:szCs w:val="24"/>
              </w:rPr>
              <w:t>radice technického vzdělávání v</w:t>
            </w:r>
            <w:r w:rsidR="00F959D7">
              <w:rPr>
                <w:szCs w:val="24"/>
              </w:rPr>
              <w:t> </w:t>
            </w:r>
            <w:r w:rsidRPr="00772ED9">
              <w:rPr>
                <w:szCs w:val="24"/>
              </w:rPr>
              <w:t>regionu</w:t>
            </w:r>
            <w:r w:rsidR="00F959D7">
              <w:rPr>
                <w:szCs w:val="24"/>
              </w:rPr>
              <w:t>.</w:t>
            </w:r>
          </w:p>
          <w:p w14:paraId="3D729751" w14:textId="0527A61A" w:rsidR="00BB4766" w:rsidRDefault="00BB4766" w:rsidP="00BB4766">
            <w:pPr>
              <w:pStyle w:val="Odstavecseseznamem"/>
              <w:numPr>
                <w:ilvl w:val="0"/>
                <w:numId w:val="12"/>
              </w:numPr>
              <w:suppressAutoHyphens/>
              <w:spacing w:before="0" w:after="160"/>
              <w:ind w:left="171" w:hanging="142"/>
              <w:jc w:val="left"/>
              <w:rPr>
                <w:szCs w:val="24"/>
              </w:rPr>
            </w:pPr>
            <w:r>
              <w:rPr>
                <w:szCs w:val="24"/>
              </w:rPr>
              <w:t>Vycházet ze vzdělávacího systému fy Baťa včetně podpory experimentálního vzdělávání</w:t>
            </w:r>
            <w:r w:rsidR="00F959D7">
              <w:rPr>
                <w:szCs w:val="24"/>
              </w:rPr>
              <w:t>.</w:t>
            </w:r>
          </w:p>
          <w:p w14:paraId="7023C1C9" w14:textId="5D1BF694" w:rsidR="00BB4766" w:rsidRPr="00772A8C" w:rsidRDefault="00BB4766" w:rsidP="00BB4766">
            <w:pPr>
              <w:pStyle w:val="Odstavecseseznamem"/>
              <w:numPr>
                <w:ilvl w:val="0"/>
                <w:numId w:val="12"/>
              </w:numPr>
              <w:suppressAutoHyphens/>
              <w:spacing w:before="0" w:after="160"/>
              <w:ind w:left="171" w:hanging="142"/>
              <w:jc w:val="left"/>
              <w:rPr>
                <w:szCs w:val="24"/>
              </w:rPr>
            </w:pPr>
            <w:r>
              <w:t>Rozvoj on-line výuky na školách</w:t>
            </w:r>
            <w:r w:rsidR="00F959D7">
              <w:t>.</w:t>
            </w:r>
          </w:p>
          <w:p w14:paraId="26CE212D" w14:textId="540ABB11" w:rsidR="00BB4766" w:rsidRPr="006457F2" w:rsidRDefault="0023746C" w:rsidP="00BB4766">
            <w:pPr>
              <w:pStyle w:val="Odstavecseseznamem"/>
              <w:numPr>
                <w:ilvl w:val="0"/>
                <w:numId w:val="12"/>
              </w:numPr>
              <w:suppressAutoHyphens/>
              <w:spacing w:before="0" w:after="160"/>
              <w:ind w:left="171" w:hanging="142"/>
              <w:jc w:val="left"/>
              <w:rPr>
                <w:szCs w:val="24"/>
              </w:rPr>
            </w:pPr>
            <w:r w:rsidRPr="0023746C">
              <w:t>Rozvoj oborů směřujících do tradičních i moderních odvětví s vysokou přidanou hodnotou</w:t>
            </w:r>
            <w:r w:rsidR="00F959D7">
              <w:t>.</w:t>
            </w:r>
          </w:p>
          <w:p w14:paraId="4CDB7737" w14:textId="77C98B51" w:rsidR="00BB4766" w:rsidRPr="00845003" w:rsidRDefault="00BB4766" w:rsidP="00BB4766">
            <w:pPr>
              <w:pStyle w:val="Odstavecseseznamem"/>
              <w:numPr>
                <w:ilvl w:val="0"/>
                <w:numId w:val="12"/>
              </w:numPr>
              <w:suppressAutoHyphens/>
              <w:spacing w:before="0" w:after="160"/>
              <w:ind w:left="171" w:hanging="142"/>
              <w:jc w:val="left"/>
              <w:rPr>
                <w:szCs w:val="24"/>
              </w:rPr>
            </w:pPr>
            <w:r>
              <w:t xml:space="preserve">Pokračování v realizaci projektu MAP, </w:t>
            </w:r>
            <w:r w:rsidRPr="00845003">
              <w:t>KAP</w:t>
            </w:r>
            <w:r w:rsidR="00F959D7">
              <w:t>.</w:t>
            </w:r>
          </w:p>
          <w:p w14:paraId="1A7957D8" w14:textId="755AC158" w:rsidR="00BB4766" w:rsidRPr="00845003" w:rsidRDefault="00BB4766" w:rsidP="00BB4766">
            <w:pPr>
              <w:pStyle w:val="Odstavecseseznamem"/>
              <w:numPr>
                <w:ilvl w:val="0"/>
                <w:numId w:val="12"/>
              </w:numPr>
              <w:suppressAutoHyphens/>
              <w:spacing w:before="0" w:after="160"/>
              <w:ind w:left="171" w:hanging="142"/>
              <w:jc w:val="left"/>
              <w:rPr>
                <w:szCs w:val="24"/>
              </w:rPr>
            </w:pPr>
            <w:r>
              <w:t xml:space="preserve">Založení Centra podpory </w:t>
            </w:r>
            <w:r w:rsidR="001468D7">
              <w:t>vzdělávání</w:t>
            </w:r>
            <w:r>
              <w:t xml:space="preserve"> na Fakultě humanitních studií</w:t>
            </w:r>
            <w:r w:rsidR="00F959D7">
              <w:t>.</w:t>
            </w:r>
          </w:p>
          <w:p w14:paraId="3C2BAB4C" w14:textId="3AD49D91" w:rsidR="00BB4766" w:rsidRPr="00845003" w:rsidRDefault="00BB4766" w:rsidP="00BB4766">
            <w:pPr>
              <w:pStyle w:val="Odstavecseseznamem"/>
              <w:numPr>
                <w:ilvl w:val="0"/>
                <w:numId w:val="12"/>
              </w:numPr>
              <w:suppressAutoHyphens/>
              <w:spacing w:before="0" w:after="160"/>
              <w:ind w:left="171" w:hanging="142"/>
              <w:jc w:val="left"/>
              <w:rPr>
                <w:szCs w:val="24"/>
              </w:rPr>
            </w:pPr>
            <w:r>
              <w:t>Strategie celoživotního vzdělávání na UTB s dopadem na celé území kraje</w:t>
            </w:r>
            <w:r w:rsidR="00F959D7">
              <w:t>.</w:t>
            </w:r>
          </w:p>
          <w:p w14:paraId="7257546E" w14:textId="77777777" w:rsidR="00BB4766" w:rsidRPr="00845003" w:rsidRDefault="00BB4766" w:rsidP="000C49A5">
            <w:pPr>
              <w:suppressAutoHyphens/>
              <w:spacing w:before="0" w:after="160"/>
              <w:jc w:val="left"/>
              <w:rPr>
                <w:szCs w:val="24"/>
              </w:rPr>
            </w:pPr>
          </w:p>
        </w:tc>
        <w:tc>
          <w:tcPr>
            <w:tcW w:w="4528" w:type="dxa"/>
            <w:shd w:val="clear" w:color="auto" w:fill="E5DFEC"/>
          </w:tcPr>
          <w:p w14:paraId="1B4EE74A" w14:textId="77777777" w:rsidR="00BB4766" w:rsidRPr="007C6AE7" w:rsidRDefault="00BB4766" w:rsidP="000C49A5">
            <w:pPr>
              <w:suppressAutoHyphens/>
              <w:spacing w:before="0"/>
              <w:ind w:left="173"/>
              <w:contextualSpacing/>
              <w:jc w:val="left"/>
              <w:rPr>
                <w:szCs w:val="24"/>
              </w:rPr>
            </w:pPr>
          </w:p>
          <w:p w14:paraId="3D0BC7F1" w14:textId="514C8B59" w:rsidR="00BB4766" w:rsidRPr="00914918" w:rsidRDefault="00BB4766" w:rsidP="00BB4766">
            <w:pPr>
              <w:numPr>
                <w:ilvl w:val="0"/>
                <w:numId w:val="13"/>
              </w:numPr>
              <w:suppressAutoHyphens/>
              <w:spacing w:before="0"/>
              <w:ind w:left="172" w:hanging="172"/>
              <w:contextualSpacing/>
              <w:jc w:val="left"/>
              <w:rPr>
                <w:szCs w:val="24"/>
              </w:rPr>
            </w:pPr>
            <w:r>
              <w:t>Nedostatek pedagogických pracovníků s potřebnou aprobací a nepedagogických pracovníků</w:t>
            </w:r>
            <w:r w:rsidR="000513CC">
              <w:t>.</w:t>
            </w:r>
          </w:p>
          <w:p w14:paraId="08023C06" w14:textId="6CECBE47" w:rsidR="00BB4766" w:rsidRPr="00B95064" w:rsidRDefault="00BB4766" w:rsidP="00BB4766">
            <w:pPr>
              <w:numPr>
                <w:ilvl w:val="0"/>
                <w:numId w:val="13"/>
              </w:numPr>
              <w:suppressAutoHyphens/>
              <w:spacing w:before="0"/>
              <w:ind w:left="172" w:hanging="172"/>
              <w:contextualSpacing/>
              <w:jc w:val="left"/>
              <w:rPr>
                <w:szCs w:val="24"/>
              </w:rPr>
            </w:pPr>
            <w:r w:rsidRPr="00B95064">
              <w:t>Nepříznivý demografický vývoj</w:t>
            </w:r>
            <w:r w:rsidR="000513CC">
              <w:t>.</w:t>
            </w:r>
            <w:r w:rsidRPr="00B95064">
              <w:t xml:space="preserve"> </w:t>
            </w:r>
          </w:p>
          <w:p w14:paraId="58C572FE" w14:textId="3C251341" w:rsidR="00BB4766" w:rsidRPr="00C6673D" w:rsidRDefault="00BB4766" w:rsidP="00BB4766">
            <w:pPr>
              <w:numPr>
                <w:ilvl w:val="0"/>
                <w:numId w:val="13"/>
              </w:numPr>
              <w:suppressAutoHyphens/>
              <w:spacing w:before="0"/>
              <w:ind w:left="173" w:hanging="173"/>
              <w:contextualSpacing/>
              <w:jc w:val="left"/>
              <w:rPr>
                <w:szCs w:val="24"/>
              </w:rPr>
            </w:pPr>
            <w:r>
              <w:t>Úbytek dětí v soukromých zařízeních a s tím spojena vyšší poptávka po mateřských školách zřizovaných statutárním městem Zlín</w:t>
            </w:r>
            <w:r w:rsidR="00F959D7">
              <w:t>.</w:t>
            </w:r>
          </w:p>
          <w:p w14:paraId="29D958AF" w14:textId="7C4347C4" w:rsidR="00BB4766" w:rsidRPr="00A13A9A" w:rsidRDefault="00BB4766" w:rsidP="00BB4766">
            <w:pPr>
              <w:numPr>
                <w:ilvl w:val="0"/>
                <w:numId w:val="13"/>
              </w:numPr>
              <w:suppressAutoHyphens/>
              <w:spacing w:before="0"/>
              <w:ind w:left="173" w:hanging="173"/>
              <w:contextualSpacing/>
              <w:jc w:val="left"/>
              <w:rPr>
                <w:szCs w:val="24"/>
              </w:rPr>
            </w:pPr>
            <w:r>
              <w:t>Možný nesoulad kapacity mateřských a základních škol s územním rozložením poptávky</w:t>
            </w:r>
            <w:r w:rsidR="00F959D7">
              <w:t>.</w:t>
            </w:r>
          </w:p>
          <w:p w14:paraId="122C0652" w14:textId="55677012" w:rsidR="00BB4766" w:rsidRPr="00C02868" w:rsidRDefault="00BB4766" w:rsidP="00BB4766">
            <w:pPr>
              <w:numPr>
                <w:ilvl w:val="0"/>
                <w:numId w:val="13"/>
              </w:numPr>
              <w:suppressAutoHyphens/>
              <w:spacing w:before="0"/>
              <w:ind w:left="173" w:hanging="173"/>
              <w:contextualSpacing/>
              <w:jc w:val="left"/>
              <w:rPr>
                <w:szCs w:val="24"/>
              </w:rPr>
            </w:pPr>
            <w:r>
              <w:t>Změna legislativy (požadavky na přijímání dětí do MŠ, změny hygienických předpisů apod</w:t>
            </w:r>
            <w:r w:rsidR="00F959D7">
              <w:t>.</w:t>
            </w:r>
            <w:r>
              <w:t>)</w:t>
            </w:r>
            <w:r w:rsidR="00F959D7">
              <w:t>.</w:t>
            </w:r>
          </w:p>
          <w:p w14:paraId="3DFB3BF9" w14:textId="664EDB8C" w:rsidR="00BB4766" w:rsidRPr="00CD7CCB" w:rsidRDefault="00BB4766" w:rsidP="00BB4766">
            <w:pPr>
              <w:numPr>
                <w:ilvl w:val="0"/>
                <w:numId w:val="13"/>
              </w:numPr>
              <w:suppressAutoHyphens/>
              <w:spacing w:before="0"/>
              <w:ind w:left="173" w:hanging="173"/>
              <w:contextualSpacing/>
              <w:jc w:val="left"/>
              <w:rPr>
                <w:szCs w:val="24"/>
              </w:rPr>
            </w:pPr>
            <w:r>
              <w:t>Snížení rozpočtu škol v následujících lete</w:t>
            </w:r>
            <w:r w:rsidR="000513CC">
              <w:t>ch</w:t>
            </w:r>
            <w:r>
              <w:t xml:space="preserve"> vlivem dopadů epidemie koronaviru</w:t>
            </w:r>
            <w:r w:rsidR="00F959D7">
              <w:t>.</w:t>
            </w:r>
          </w:p>
          <w:p w14:paraId="6A38A488" w14:textId="61FF9F76" w:rsidR="00BB4766" w:rsidRPr="00CD7CCB" w:rsidRDefault="00BB4766" w:rsidP="00BB4766">
            <w:pPr>
              <w:numPr>
                <w:ilvl w:val="0"/>
                <w:numId w:val="13"/>
              </w:numPr>
              <w:suppressAutoHyphens/>
              <w:spacing w:before="0"/>
              <w:ind w:left="173" w:hanging="173"/>
              <w:contextualSpacing/>
              <w:jc w:val="left"/>
              <w:rPr>
                <w:szCs w:val="24"/>
              </w:rPr>
            </w:pPr>
            <w:r>
              <w:t>Nenaplnění potenciálů Univerzity Tomáše Bati v oblasti rozvoje s dopadem na město Zlín</w:t>
            </w:r>
            <w:r w:rsidR="00F959D7">
              <w:t>.</w:t>
            </w:r>
          </w:p>
          <w:p w14:paraId="1A0CF6E3" w14:textId="6F5146D4" w:rsidR="00BB4766" w:rsidRPr="00BC1A35" w:rsidRDefault="00BB4766" w:rsidP="000513CC">
            <w:pPr>
              <w:numPr>
                <w:ilvl w:val="0"/>
                <w:numId w:val="13"/>
              </w:numPr>
              <w:suppressAutoHyphens/>
              <w:spacing w:before="0"/>
              <w:ind w:left="173" w:hanging="173"/>
              <w:contextualSpacing/>
              <w:jc w:val="left"/>
              <w:rPr>
                <w:szCs w:val="24"/>
              </w:rPr>
            </w:pPr>
            <w:r>
              <w:t xml:space="preserve">Pokles zájmu žáků a studentů o polytechnické </w:t>
            </w:r>
            <w:r w:rsidRPr="000513CC">
              <w:t>a</w:t>
            </w:r>
            <w:r w:rsidR="000513CC">
              <w:t> </w:t>
            </w:r>
            <w:r w:rsidRPr="000513CC">
              <w:t>technické</w:t>
            </w:r>
            <w:r>
              <w:t xml:space="preserve"> vzdělávání</w:t>
            </w:r>
            <w:r w:rsidR="00F959D7">
              <w:t>.</w:t>
            </w:r>
          </w:p>
        </w:tc>
      </w:tr>
    </w:tbl>
    <w:p w14:paraId="7966987F" w14:textId="77777777" w:rsidR="00BB4766" w:rsidRDefault="00BB4766" w:rsidP="00BB4766"/>
    <w:p w14:paraId="6FF53B3E" w14:textId="77777777" w:rsidR="00BB4766" w:rsidRDefault="00BB4766" w:rsidP="00BB4766"/>
    <w:p w14:paraId="2DEEA426" w14:textId="77777777" w:rsidR="00BB4766" w:rsidRPr="00E75092" w:rsidRDefault="00BB4766" w:rsidP="00BB4766">
      <w:pPr>
        <w:sectPr w:rsidR="00BB4766" w:rsidRPr="00E75092" w:rsidSect="009C13FE">
          <w:headerReference w:type="default" r:id="rId82"/>
          <w:pgSz w:w="11906" w:h="16838"/>
          <w:pgMar w:top="1417" w:right="1417" w:bottom="1417" w:left="1417" w:header="708" w:footer="708" w:gutter="0"/>
          <w:cols w:space="708"/>
          <w:docGrid w:linePitch="360"/>
        </w:sectPr>
      </w:pPr>
    </w:p>
    <w:p w14:paraId="45BB2C4C" w14:textId="77777777" w:rsidR="00216E8B" w:rsidRPr="00452EAD" w:rsidRDefault="00216E8B" w:rsidP="00216E8B">
      <w:pPr>
        <w:pStyle w:val="Nadpis2"/>
      </w:pPr>
      <w:bookmarkStart w:id="276" w:name="_Toc77074589"/>
      <w:bookmarkStart w:id="277" w:name="_Toc50379397"/>
      <w:bookmarkStart w:id="278" w:name="_Toc50034513"/>
      <w:r>
        <w:lastRenderedPageBreak/>
        <w:t>Město s udržitelnou dopravou a technickou</w:t>
      </w:r>
      <w:r w:rsidRPr="00452EAD">
        <w:t xml:space="preserve"> infrastruktur</w:t>
      </w:r>
      <w:r>
        <w:t>ou</w:t>
      </w:r>
      <w:bookmarkEnd w:id="276"/>
      <w:r w:rsidRPr="00452EAD">
        <w:t xml:space="preserve"> </w:t>
      </w:r>
      <w:bookmarkEnd w:id="277"/>
    </w:p>
    <w:p w14:paraId="389F46F0" w14:textId="77777777" w:rsidR="00216E8B" w:rsidRDefault="00216E8B" w:rsidP="00216E8B">
      <w:pPr>
        <w:pStyle w:val="Nadpis3"/>
        <w:ind w:left="720"/>
      </w:pPr>
      <w:bookmarkStart w:id="279" w:name="_Toc50379398"/>
      <w:bookmarkStart w:id="280" w:name="_Toc77074590"/>
      <w:r w:rsidRPr="0092656A">
        <w:t>Dopravní infrastruktura</w:t>
      </w:r>
      <w:bookmarkEnd w:id="279"/>
      <w:bookmarkEnd w:id="280"/>
    </w:p>
    <w:p w14:paraId="51712B2B" w14:textId="30FE2328" w:rsidR="00216E8B" w:rsidRDefault="00216E8B" w:rsidP="00216E8B">
      <w:r w:rsidRPr="00B641A3">
        <w:t xml:space="preserve">Zlín leží </w:t>
      </w:r>
      <w:r>
        <w:t>poměrně</w:t>
      </w:r>
      <w:r w:rsidRPr="00B641A3">
        <w:t xml:space="preserve"> daleko od hlavních dopravních tras. Důvodem je jeho umístění v relativně </w:t>
      </w:r>
      <w:r>
        <w:t>úzkém</w:t>
      </w:r>
      <w:r w:rsidRPr="00B641A3">
        <w:t xml:space="preserve"> údolí, ale zejména skutečnost, že k rozvoji města došlo až ve 20. století, kdy již existovala hlavní silniční a</w:t>
      </w:r>
      <w:r w:rsidR="00B24C4B">
        <w:t> </w:t>
      </w:r>
      <w:r w:rsidRPr="00B641A3">
        <w:t xml:space="preserve">železniční síť. </w:t>
      </w:r>
      <w:r>
        <w:t>Po dostavbě</w:t>
      </w:r>
      <w:r w:rsidRPr="00B641A3">
        <w:t xml:space="preserve"> úseku dálnice D55 z křižovatky s dálnicí D1 u Hulína </w:t>
      </w:r>
      <w:r>
        <w:t>k Otrokovicím v roce 2010 došlo k napojení Zlína</w:t>
      </w:r>
      <w:r w:rsidRPr="00B641A3">
        <w:t xml:space="preserve"> na národní dálniční síť a spojení </w:t>
      </w:r>
      <w:r>
        <w:t xml:space="preserve">města </w:t>
      </w:r>
      <w:r w:rsidRPr="00B641A3">
        <w:t>s Brnem je</w:t>
      </w:r>
      <w:r>
        <w:t xml:space="preserve"> tak výrazně urychleno (cca 1 hod.), časově dostupnější jsou rovněž Praha, Ostrava a Olomouc (rychlost spojení do posledních dvou jmenovaných měst se zvýší po dostavbě posledních etap výstavby dálnice D1 v Přerově a mezi Přerovem a </w:t>
      </w:r>
      <w:r w:rsidRPr="00CA0F79">
        <w:t>Říkovicemi</w:t>
      </w:r>
      <w:r>
        <w:t xml:space="preserve">, které by měla být podle harmonogramu ŘSD uvedeny do provozu v roce 2024). </w:t>
      </w:r>
      <w:r w:rsidR="00C34E41">
        <w:rPr>
          <w:b/>
        </w:rPr>
        <w:t>Důležitou dopravní stavbou pro město Zlín je dálnice D49 v úseku z Hulína na Slovensko, která společně s dálničním přivaděčem z Fryštáku napojí město na mezinárodní dálniční síť.</w:t>
      </w:r>
      <w:r>
        <w:rPr>
          <w:b/>
        </w:rPr>
        <w:t xml:space="preserve"> Důležitá je rovněž stavba Prštenské příčky, která </w:t>
      </w:r>
      <w:r w:rsidRPr="008A6C55">
        <w:rPr>
          <w:b/>
        </w:rPr>
        <w:t>zle</w:t>
      </w:r>
      <w:r>
        <w:rPr>
          <w:b/>
        </w:rPr>
        <w:t>pší průjezd na silnici ze Zlína a o</w:t>
      </w:r>
      <w:r w:rsidRPr="008A6C55">
        <w:rPr>
          <w:b/>
        </w:rPr>
        <w:t>dlehčí tak centru města od automobilové dopravy</w:t>
      </w:r>
      <w:r>
        <w:rPr>
          <w:b/>
        </w:rPr>
        <w:t xml:space="preserve">. Dalším důležitým projektem je </w:t>
      </w:r>
      <w:r w:rsidRPr="005473B2">
        <w:rPr>
          <w:b/>
        </w:rPr>
        <w:t>rekonstrukce železniční trati včetně nového dopravního terminálu (vlakové a autobusové nádraží).</w:t>
      </w:r>
      <w:r>
        <w:rPr>
          <w:b/>
        </w:rPr>
        <w:t xml:space="preserve"> </w:t>
      </w:r>
      <w:r>
        <w:t>Nízkokapacitní</w:t>
      </w:r>
      <w:r w:rsidRPr="008905F0">
        <w:t xml:space="preserve"> je rovněž spoje</w:t>
      </w:r>
      <w:r>
        <w:t>ní směrem na Vsetín a do severní části částí Zlínského kraje.</w:t>
      </w:r>
    </w:p>
    <w:p w14:paraId="7D92037C" w14:textId="77777777" w:rsidR="00216E8B" w:rsidRDefault="00216E8B" w:rsidP="00216E8B">
      <w:r>
        <w:t>Město Zlín má zpracovány nebo zpracovává následující strategické dokumenty pro oblast dopravy, kde podrobně analyzují jednotlivé dopravní módy dopravy ve městě:</w:t>
      </w:r>
    </w:p>
    <w:p w14:paraId="659C9758" w14:textId="77777777" w:rsidR="00216E8B" w:rsidRDefault="00216E8B" w:rsidP="00216E8B">
      <w:r w:rsidRPr="00DD61B1">
        <w:rPr>
          <w:b/>
        </w:rPr>
        <w:t>Generel dopravy (2016)</w:t>
      </w:r>
      <w:r w:rsidRPr="00DD61B1">
        <w:t xml:space="preserve"> – </w:t>
      </w:r>
      <w:r>
        <w:t>základní dopravně-inženýrský dokument v oblasti rozvoje dopravních sítí a rozvoje dopravy, identifikuje hlavní problémy dopravy, mobilitu a dopravní potřeby uživatelů a navrhuje opatření na jejich řešení</w:t>
      </w:r>
      <w:r>
        <w:rPr>
          <w:rStyle w:val="Znakapoznpodarou"/>
        </w:rPr>
        <w:footnoteReference w:id="69"/>
      </w:r>
      <w:r>
        <w:t xml:space="preserve">. </w:t>
      </w:r>
    </w:p>
    <w:p w14:paraId="4366E901" w14:textId="77777777" w:rsidR="00216E8B" w:rsidRDefault="00216E8B" w:rsidP="00216E8B">
      <w:r w:rsidRPr="00DD61B1">
        <w:rPr>
          <w:b/>
        </w:rPr>
        <w:t>SUMF –</w:t>
      </w:r>
      <w:r>
        <w:rPr>
          <w:b/>
        </w:rPr>
        <w:t xml:space="preserve"> </w:t>
      </w:r>
      <w:r w:rsidRPr="00E52477">
        <w:rPr>
          <w:b/>
        </w:rPr>
        <w:t xml:space="preserve">Strategický rámec udržitelné městské mobility </w:t>
      </w:r>
      <w:r>
        <w:rPr>
          <w:b/>
        </w:rPr>
        <w:t xml:space="preserve">(2018) </w:t>
      </w:r>
      <w:r w:rsidRPr="00DD61B1">
        <w:t xml:space="preserve">– podmiňující dokument pro čerpání finančních prostředků z evropských fondů ESIF pro města </w:t>
      </w:r>
      <w:r>
        <w:t>nad 50 tis. obyvatel, jehož cílem je nastavení principů udržitelné mobility všech obyvatel města Zlína a Otrokovic a jejich návštěvníků.</w:t>
      </w:r>
      <w:r>
        <w:rPr>
          <w:rStyle w:val="Znakapoznpodarou"/>
        </w:rPr>
        <w:footnoteReference w:id="70"/>
      </w:r>
    </w:p>
    <w:p w14:paraId="5E05A3A1" w14:textId="209794C4" w:rsidR="00216E8B" w:rsidRDefault="00C34E41" w:rsidP="00216E8B">
      <w:r>
        <w:rPr>
          <w:b/>
        </w:rPr>
        <w:t xml:space="preserve">SUMP </w:t>
      </w:r>
      <w:r w:rsidR="00216E8B">
        <w:rPr>
          <w:b/>
        </w:rPr>
        <w:t xml:space="preserve">– </w:t>
      </w:r>
      <w:r w:rsidR="00216E8B" w:rsidRPr="00E52477">
        <w:rPr>
          <w:b/>
        </w:rPr>
        <w:t>Plán udržitelné městské mobility města Zlín</w:t>
      </w:r>
      <w:r w:rsidR="00216E8B">
        <w:t xml:space="preserve"> – v roce 2020 Zlín </w:t>
      </w:r>
      <w:r w:rsidR="00216E8B" w:rsidRPr="00E52477">
        <w:t>zahájil zpracování strategického dokumentu, který řeší, jak uspokojit dopravní potřeb</w:t>
      </w:r>
      <w:r w:rsidR="00216E8B">
        <w:t>y obyvatel a firem ve městech a </w:t>
      </w:r>
      <w:r w:rsidR="00216E8B" w:rsidRPr="00E52477">
        <w:t>okolí a zlepšit kvalitu jejich životů</w:t>
      </w:r>
      <w:r w:rsidR="00216E8B">
        <w:t xml:space="preserve"> s důrazem na podporu dlouhodobě udržitelných forem dopravy.</w:t>
      </w:r>
    </w:p>
    <w:p w14:paraId="19633048" w14:textId="77777777" w:rsidR="00216E8B" w:rsidRDefault="00216E8B" w:rsidP="00216E8B">
      <w:pPr>
        <w:pStyle w:val="Nadpis4"/>
      </w:pPr>
      <w:r>
        <w:t>I</w:t>
      </w:r>
      <w:r w:rsidRPr="0092656A">
        <w:t xml:space="preserve">ndividuální motorová doprava </w:t>
      </w:r>
    </w:p>
    <w:p w14:paraId="0D3FF700" w14:textId="5000A20A" w:rsidR="00216E8B" w:rsidRDefault="00216E8B" w:rsidP="00216E8B">
      <w:r>
        <w:t>Hlavní s</w:t>
      </w:r>
      <w:r w:rsidRPr="006428D0">
        <w:t xml:space="preserve">ilniční osa města je tvořena </w:t>
      </w:r>
      <w:r>
        <w:t>silnicí I. třídy</w:t>
      </w:r>
      <w:r w:rsidRPr="006428D0">
        <w:t xml:space="preserve"> I/49 ve směru zá</w:t>
      </w:r>
      <w:r>
        <w:t>pad-východ. Tato silnice vede z </w:t>
      </w:r>
      <w:r w:rsidRPr="006428D0">
        <w:t>Otrokovic (nap</w:t>
      </w:r>
      <w:r>
        <w:t>ojena na D55 v severním směru na Hulín a na I</w:t>
      </w:r>
      <w:r w:rsidRPr="006428D0">
        <w:t>/</w:t>
      </w:r>
      <w:r>
        <w:t>55 v</w:t>
      </w:r>
      <w:r w:rsidRPr="006428D0">
        <w:t xml:space="preserve"> </w:t>
      </w:r>
      <w:r>
        <w:t>jižním směru</w:t>
      </w:r>
      <w:r w:rsidRPr="006428D0">
        <w:t xml:space="preserve"> na Uherské Hradi</w:t>
      </w:r>
      <w:r>
        <w:t xml:space="preserve">ště) </w:t>
      </w:r>
      <w:r w:rsidRPr="006428D0">
        <w:t>a</w:t>
      </w:r>
      <w:r w:rsidR="00B24C4B">
        <w:t> </w:t>
      </w:r>
      <w:r w:rsidRPr="006428D0">
        <w:t>pokračuje přes Vizovice</w:t>
      </w:r>
      <w:r>
        <w:t>, kde se rozdvojuje na 2 směry: Horní Lideč a Vsetín</w:t>
      </w:r>
      <w:r w:rsidRPr="006428D0">
        <w:t xml:space="preserve">. Přímo ve Zlíně </w:t>
      </w:r>
      <w:r>
        <w:t xml:space="preserve">křižuje průtah města silnice II. třídy č. 490, která tvoří severo-jižní dopravní osu města </w:t>
      </w:r>
      <w:r w:rsidRPr="006428D0">
        <w:t>(jižní směr Uherský Brod a</w:t>
      </w:r>
      <w:r w:rsidR="00B24C4B">
        <w:t> </w:t>
      </w:r>
      <w:r w:rsidRPr="006428D0">
        <w:t>severní Fryšták a Hole</w:t>
      </w:r>
      <w:r>
        <w:t xml:space="preserve">šov) a několik silnic III. </w:t>
      </w:r>
      <w:r w:rsidRPr="00F24BD8">
        <w:t>třídy. Hluková zátěž dopravy je analyzována v kapitole životní prostředí.</w:t>
      </w:r>
    </w:p>
    <w:p w14:paraId="69F3815B" w14:textId="77777777" w:rsidR="00216E8B" w:rsidRDefault="00216E8B" w:rsidP="00216E8B">
      <w:r>
        <w:t>Základní dopravní systém je rozvíjen ve dvou rovinách:</w:t>
      </w:r>
    </w:p>
    <w:p w14:paraId="3DB66F67" w14:textId="77777777" w:rsidR="00216E8B" w:rsidRDefault="00216E8B" w:rsidP="00216E8B">
      <w:r>
        <w:t xml:space="preserve">1) Přednostně se jedná o aktivity spojené s rozvojem nadřazené komunikační sítě D49, včetně přivaděče Fryšták a aktivity navázané na modernizaci železniční tratě 331 Otrokovice-Vizovice. Důležitými stavbami jsou například: </w:t>
      </w:r>
    </w:p>
    <w:p w14:paraId="1ADC991D" w14:textId="77777777" w:rsidR="00216E8B" w:rsidRDefault="00216E8B" w:rsidP="00216E8B">
      <w:pPr>
        <w:pStyle w:val="Odstavecseseznamem"/>
        <w:numPr>
          <w:ilvl w:val="0"/>
          <w:numId w:val="35"/>
        </w:numPr>
      </w:pPr>
      <w:r>
        <w:t xml:space="preserve">Obchvat Zálešné; vliv na zklidněním ulic Padělky, </w:t>
      </w:r>
    </w:p>
    <w:p w14:paraId="1BEAA715" w14:textId="77777777" w:rsidR="00216E8B" w:rsidRDefault="00216E8B" w:rsidP="00216E8B">
      <w:pPr>
        <w:pStyle w:val="Odstavecseseznamem"/>
        <w:numPr>
          <w:ilvl w:val="0"/>
          <w:numId w:val="35"/>
        </w:numPr>
      </w:pPr>
      <w:r>
        <w:t xml:space="preserve">Prštenská příčka (pravobřežní komunikace); vliv na zklidnění ulice Gahurova, </w:t>
      </w:r>
    </w:p>
    <w:p w14:paraId="1418974A" w14:textId="77777777" w:rsidR="00216E8B" w:rsidRDefault="00216E8B" w:rsidP="00216E8B">
      <w:pPr>
        <w:pStyle w:val="Odstavecseseznamem"/>
        <w:numPr>
          <w:ilvl w:val="0"/>
          <w:numId w:val="35"/>
        </w:numPr>
      </w:pPr>
      <w:r>
        <w:lastRenderedPageBreak/>
        <w:t>Propojení ulic Vizovická, Cecilka; vliv na křižovatku Pekárenská-Pančava (</w:t>
      </w:r>
      <w:r w:rsidRPr="00B77B9A">
        <w:t>silniční napojení průmyslové zóny Zlín – východ</w:t>
      </w:r>
      <w:r>
        <w:t xml:space="preserve">), </w:t>
      </w:r>
    </w:p>
    <w:p w14:paraId="0E70B060" w14:textId="77777777" w:rsidR="00216E8B" w:rsidRDefault="00216E8B" w:rsidP="00216E8B">
      <w:pPr>
        <w:pStyle w:val="Odstavecseseznamem"/>
        <w:numPr>
          <w:ilvl w:val="0"/>
          <w:numId w:val="35"/>
        </w:numPr>
      </w:pPr>
      <w:r>
        <w:t xml:space="preserve">Most Podvesná XVII a napojení ulice Broučkova na I/49, </w:t>
      </w:r>
    </w:p>
    <w:p w14:paraId="142B1916" w14:textId="77777777" w:rsidR="00216E8B" w:rsidRDefault="00216E8B" w:rsidP="00216E8B">
      <w:pPr>
        <w:pStyle w:val="Odstavecseseznamem"/>
        <w:numPr>
          <w:ilvl w:val="0"/>
          <w:numId w:val="35"/>
        </w:numPr>
      </w:pPr>
      <w:r>
        <w:t>Přeložka I/49 (budoucí I/69), přivaděč D49 východ, MUK Lípa (ŘSD).</w:t>
      </w:r>
    </w:p>
    <w:p w14:paraId="546E1C09" w14:textId="77777777" w:rsidR="00216E8B" w:rsidRDefault="00216E8B" w:rsidP="00216E8B">
      <w:r>
        <w:t>2) Druhou rovinu představují stavby, které výrazněji přispívají ke zklidnění území centra města, případně dalších lokalit. Zde je rozhodující stavbou krátký silniční tunel v délce zhruba 1 km v ose silnice I/49 (Tř. T. Bati). MMZ vypsal v roce 2020 veřejnou zakázku na studii proveditelnosti tunelu, který by měl být realizován v</w:t>
      </w:r>
      <w:r w:rsidRPr="00101F01">
        <w:t xml:space="preserve"> horizontu roku 2035</w:t>
      </w:r>
      <w:r>
        <w:t>. Stavba zajistí možnost zklidnění centra města a vyloučení IAD z ulice tř. T. Bati v úseku Gahurova-Dlouhá. Součástí řešení jsou také náměty na přestavbu křižovatek v centru města.</w:t>
      </w:r>
    </w:p>
    <w:p w14:paraId="1F366435" w14:textId="30795F08" w:rsidR="00216E8B" w:rsidRDefault="00216E8B" w:rsidP="00216E8B">
      <w:pPr>
        <w:pStyle w:val="Titulek"/>
      </w:pPr>
      <w:bookmarkStart w:id="281" w:name="_Toc51933191"/>
      <w:bookmarkStart w:id="282" w:name="_Toc7707486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45</w:t>
      </w:r>
      <w:r w:rsidR="00804AF3">
        <w:rPr>
          <w:noProof/>
        </w:rPr>
        <w:fldChar w:fldCharType="end"/>
      </w:r>
      <w:r w:rsidR="00B24C4B">
        <w:rPr>
          <w:noProof/>
        </w:rPr>
        <w:t>:</w:t>
      </w:r>
      <w:r>
        <w:t xml:space="preserve"> Základní silniční síť</w:t>
      </w:r>
      <w:bookmarkEnd w:id="281"/>
      <w:bookmarkEnd w:id="282"/>
    </w:p>
    <w:p w14:paraId="04AEFE0E" w14:textId="77777777" w:rsidR="00216E8B" w:rsidRDefault="00216E8B" w:rsidP="00216E8B">
      <w:r>
        <w:rPr>
          <w:noProof/>
          <w:lang w:eastAsia="cs-CZ"/>
        </w:rPr>
        <w:drawing>
          <wp:inline distT="0" distB="0" distL="0" distR="0" wp14:anchorId="69F6B290" wp14:editId="382D1CCC">
            <wp:extent cx="5798820" cy="4099827"/>
            <wp:effectExtent l="19050" t="19050" r="11430" b="1524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prava_Zlin_2020.png"/>
                    <pic:cNvPicPr/>
                  </pic:nvPicPr>
                  <pic:blipFill>
                    <a:blip r:embed="rId83" cstate="print">
                      <a:extLst>
                        <a:ext uri="{28A0092B-C50C-407E-A947-70E740481C1C}">
                          <a14:useLocalDpi xmlns:a14="http://schemas.microsoft.com/office/drawing/2010/main"/>
                        </a:ext>
                      </a:extLst>
                    </a:blip>
                    <a:stretch>
                      <a:fillRect/>
                    </a:stretch>
                  </pic:blipFill>
                  <pic:spPr>
                    <a:xfrm>
                      <a:off x="0" y="0"/>
                      <a:ext cx="5822712" cy="4116719"/>
                    </a:xfrm>
                    <a:prstGeom prst="rect">
                      <a:avLst/>
                    </a:prstGeom>
                    <a:ln>
                      <a:solidFill>
                        <a:schemeClr val="tx1"/>
                      </a:solidFill>
                    </a:ln>
                  </pic:spPr>
                </pic:pic>
              </a:graphicData>
            </a:graphic>
          </wp:inline>
        </w:drawing>
      </w:r>
    </w:p>
    <w:p w14:paraId="4855066C" w14:textId="294A39AF" w:rsidR="00216E8B" w:rsidRPr="002A1C47" w:rsidRDefault="00216E8B" w:rsidP="00216E8B">
      <w:r>
        <w:t>Zdroj: OSM, MVČR, ČÚZK</w:t>
      </w:r>
      <w:r w:rsidR="00B24C4B">
        <w:t>.</w:t>
      </w:r>
    </w:p>
    <w:p w14:paraId="00E444F0" w14:textId="77777777" w:rsidR="00216E8B" w:rsidRDefault="00216E8B" w:rsidP="00216E8B">
      <w:pPr>
        <w:keepNext/>
        <w:rPr>
          <w:b/>
        </w:rPr>
      </w:pPr>
      <w:r w:rsidRPr="00DD61B1">
        <w:rPr>
          <w:b/>
        </w:rPr>
        <w:lastRenderedPageBreak/>
        <w:t>Intenzita dopravy</w:t>
      </w:r>
    </w:p>
    <w:p w14:paraId="50356DA6" w14:textId="7C09892F" w:rsidR="00216E8B" w:rsidRPr="00C61B86" w:rsidRDefault="00216E8B" w:rsidP="00216E8B">
      <w:pPr>
        <w:keepLines/>
      </w:pPr>
      <w:r w:rsidRPr="00C61B86">
        <w:t xml:space="preserve">Největší </w:t>
      </w:r>
      <w:r>
        <w:t xml:space="preserve">intenzita dopravy je ve Zlíně podle sčítání dopravy z roku 2016 na silnici I/49, na úseku od Malenovic do centra města, kde denně projede 33,6 tis. vozidel, směrem od Otrokovic přijíždí do Zlína 24,1 tis. vozidel denně, z centra Zlína proudí směrem na Vizovice 19,9 </w:t>
      </w:r>
      <w:r w:rsidR="00B24C4B">
        <w:t xml:space="preserve">tis. </w:t>
      </w:r>
      <w:r>
        <w:t>vozidel denně. Okružní ulicí projede denně 23,2 tis. vozidel, směrem na Fryšták, ulicí Sokolskou pak 16,9 tis. vozidel. Mezi lety 2010 a</w:t>
      </w:r>
      <w:r w:rsidR="00B24C4B">
        <w:t> </w:t>
      </w:r>
      <w:r>
        <w:t>2016, kdy probíhal</w:t>
      </w:r>
      <w:r w:rsidR="00B24C4B">
        <w:t>o</w:t>
      </w:r>
      <w:r>
        <w:t xml:space="preserve"> celostátní sčítání dopravy, se zvýšila intenzita téměř na všech komunikacích ve městě, nejvíce pak v centru města, kde narostla o 6 tis. vozidel denně, ze středu města směrem na Vizovice o 4,5 tis. vozidel, na ulici Okružní o 3,8 tis. vozidel, naopak výrazný pokles o 3 tis. vozidel denně byl zaznamenán v místní části Kostelec (Štípská a Lešenská ul.), více viz následující mapy</w:t>
      </w:r>
      <w:r w:rsidR="00BE6D54">
        <w:t xml:space="preserve"> na obrázku 1.46</w:t>
      </w:r>
      <w:r>
        <w:t>. Mapa rozdílu mezi sčítáními 2010 a 2016 je uvedena v</w:t>
      </w:r>
      <w:r w:rsidR="00BE6D54">
        <w:t> </w:t>
      </w:r>
      <w:r>
        <w:t>příloze</w:t>
      </w:r>
      <w:r w:rsidR="00BE6D54">
        <w:t xml:space="preserve"> (obrázek 1.103)</w:t>
      </w:r>
      <w:r>
        <w:t>.</w:t>
      </w:r>
      <w:r>
        <w:rPr>
          <w:rStyle w:val="Znakapoznpodarou"/>
        </w:rPr>
        <w:footnoteReference w:id="71"/>
      </w:r>
    </w:p>
    <w:p w14:paraId="2CBC5791" w14:textId="32EBF226" w:rsidR="00216E8B" w:rsidRDefault="00216E8B" w:rsidP="00216E8B">
      <w:pPr>
        <w:pStyle w:val="Titulek"/>
        <w:keepNext/>
      </w:pPr>
      <w:bookmarkStart w:id="283" w:name="_Toc51933192"/>
      <w:bookmarkStart w:id="284" w:name="_Toc7707486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46</w:t>
      </w:r>
      <w:r w:rsidR="00804AF3">
        <w:rPr>
          <w:noProof/>
        </w:rPr>
        <w:fldChar w:fldCharType="end"/>
      </w:r>
      <w:r w:rsidR="00B24C4B">
        <w:rPr>
          <w:noProof/>
        </w:rPr>
        <w:t>:</w:t>
      </w:r>
      <w:r>
        <w:t xml:space="preserve"> Změna intenzity dopravy mezi sčítáními z let 2010 a 2016</w:t>
      </w:r>
      <w:bookmarkEnd w:id="283"/>
      <w:bookmarkEnd w:id="284"/>
    </w:p>
    <w:p w14:paraId="507827F2" w14:textId="77777777" w:rsidR="00216E8B" w:rsidRDefault="00216E8B" w:rsidP="00216E8B">
      <w:pPr>
        <w:pStyle w:val="Zdroj"/>
        <w:spacing w:after="0"/>
      </w:pPr>
      <w:r w:rsidRPr="0070290B">
        <w:rPr>
          <w:noProof/>
        </w:rPr>
        <w:drawing>
          <wp:inline distT="0" distB="0" distL="0" distR="0" wp14:anchorId="35B699D3" wp14:editId="3937F3B7">
            <wp:extent cx="5759999" cy="4072544"/>
            <wp:effectExtent l="19050" t="19050" r="12700" b="23495"/>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CES\04_Projekty\2020_SP_Zlin\Zlin_doprava_2010-2016.pn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759999" cy="4072544"/>
                    </a:xfrm>
                    <a:prstGeom prst="rect">
                      <a:avLst/>
                    </a:prstGeom>
                    <a:noFill/>
                    <a:ln w="9525">
                      <a:solidFill>
                        <a:schemeClr val="tx1"/>
                      </a:solidFill>
                    </a:ln>
                  </pic:spPr>
                </pic:pic>
              </a:graphicData>
            </a:graphic>
          </wp:inline>
        </w:drawing>
      </w:r>
    </w:p>
    <w:p w14:paraId="2CA159B0" w14:textId="274B751B" w:rsidR="00216E8B" w:rsidRDefault="00216E8B" w:rsidP="00216E8B">
      <w:pPr>
        <w:pStyle w:val="Zdroj"/>
        <w:spacing w:before="0"/>
      </w:pPr>
      <w:r>
        <w:t>Zdroj: ŘSD, OSM, MVČR, ČÚZK</w:t>
      </w:r>
      <w:r w:rsidR="00B24C4B">
        <w:t>.</w:t>
      </w:r>
    </w:p>
    <w:p w14:paraId="44FA888F" w14:textId="77777777" w:rsidR="00216E8B" w:rsidRDefault="00216E8B" w:rsidP="00216E8B">
      <w:pPr>
        <w:keepNext/>
        <w:rPr>
          <w:b/>
        </w:rPr>
      </w:pPr>
      <w:r>
        <w:rPr>
          <w:b/>
        </w:rPr>
        <w:t>Parkování</w:t>
      </w:r>
    </w:p>
    <w:p w14:paraId="5A55A4B3" w14:textId="77777777" w:rsidR="00216E8B" w:rsidRPr="00A268D4" w:rsidRDefault="00216E8B" w:rsidP="00216E8B">
      <w:pPr>
        <w:keepNext/>
        <w:rPr>
          <w:u w:val="single"/>
        </w:rPr>
      </w:pPr>
      <w:r w:rsidRPr="00A268D4">
        <w:rPr>
          <w:u w:val="single"/>
        </w:rPr>
        <w:t>Oblast centra města a přilehlého okolí</w:t>
      </w:r>
    </w:p>
    <w:p w14:paraId="229C3D32" w14:textId="77777777" w:rsidR="00216E8B" w:rsidRDefault="00216E8B" w:rsidP="00216E8B">
      <w:r>
        <w:t>Podle generelu dopravy</w:t>
      </w:r>
      <w:r>
        <w:rPr>
          <w:rStyle w:val="Znakapoznpodarou"/>
        </w:rPr>
        <w:footnoteReference w:id="72"/>
      </w:r>
      <w:r>
        <w:t xml:space="preserve"> je pro </w:t>
      </w:r>
      <w:r w:rsidRPr="00DC3D7A">
        <w:rPr>
          <w:b/>
        </w:rPr>
        <w:t>zákazníky krátkodobého, případně i dlouhodobého parkování</w:t>
      </w:r>
      <w:r>
        <w:t xml:space="preserve"> s odhadovanou poptávkou 1 501 vozidel/hod. zabezpečena rozsáhlá nabídka z hlediska dostatečného počtu parkovacích míst (souhrnná nabídka je 2 438 zpoplatněných stání) a územní lokalizace. Významnou a současně komplikovanou skupinou zákazníků jsou </w:t>
      </w:r>
      <w:r w:rsidRPr="00DC3D7A">
        <w:rPr>
          <w:b/>
        </w:rPr>
        <w:t>obyvatelé sledovaného území</w:t>
      </w:r>
      <w:r>
        <w:t xml:space="preserve">. </w:t>
      </w:r>
      <w:r>
        <w:lastRenderedPageBreak/>
        <w:t xml:space="preserve">V maximální hodině byla zjištěna v úhrnu poptávka 959 vozidel, přičemž po 18 hodině se poptávka zvyšuje na 1 585 vozidel. Nejrozsáhlejší zákaznickou skupinou jsou </w:t>
      </w:r>
      <w:r w:rsidRPr="00DC3D7A">
        <w:rPr>
          <w:b/>
        </w:rPr>
        <w:t>zaměstnanci</w:t>
      </w:r>
      <w:r>
        <w:t xml:space="preserve"> s poptávkou 1 422 vozidel/hod. Vzhledem k délce parkování upřednostňují tito zákazníci bezplatné parkování a jsou ochotni realizovat i delší docházku ke svým cílům. Placené parkoviště Březnická se sazbou 50,- Kč/den mělo částečně tento problém řešit, podle výsledku průzkumu se průměrná doba parkování v této lokalitě pohybuje v rozmezí 2,5-3 hodiny. Velká část poptávky je tak nucena k parkování využívat další veřejné prostory, včetně komunikací uvnitř i kolem celé zpoplatněné oblasti. Dochází tak ke kolizi v území, skupina obyvatel je kapacitně omezována a jakákoli jejich „ochrana“ vyžaduje další parkovací kapacity v území nebo za hranicemi zpoplatnění a regulace. Problematické mohou být např. lokality Lorencová, Lešetín, Santražiny, případně až U Náhonu a Hornomlýnská. </w:t>
      </w:r>
    </w:p>
    <w:p w14:paraId="5EE47CA8" w14:textId="77777777" w:rsidR="00216E8B" w:rsidRPr="00A268D4" w:rsidRDefault="00216E8B" w:rsidP="00216E8B">
      <w:pPr>
        <w:keepNext/>
        <w:rPr>
          <w:u w:val="single"/>
        </w:rPr>
      </w:pPr>
      <w:r w:rsidRPr="00A268D4">
        <w:rPr>
          <w:u w:val="single"/>
        </w:rPr>
        <w:t>Parkování ve vícepodlažní bytové zástavbě</w:t>
      </w:r>
    </w:p>
    <w:p w14:paraId="7E8F1C88" w14:textId="14D8447C" w:rsidR="00216E8B" w:rsidRDefault="00216E8B" w:rsidP="00216E8B">
      <w:pPr>
        <w:keepNext/>
      </w:pPr>
      <w:r>
        <w:t>Podle generelu dopravy</w:t>
      </w:r>
      <w:r>
        <w:rPr>
          <w:rStyle w:val="Znakapoznpodarou"/>
        </w:rPr>
        <w:footnoteReference w:id="73"/>
      </w:r>
      <w:r>
        <w:t xml:space="preserve"> byla ve všech sledovaných oblastech souhrnná poptávka 8 764 vozidel, vedle toho existovala souhrnná vyhovující nabídka 7 890 odstavných stání. Bilance představuje nedostatek nabídky 874 odstavných stání ve všech sledovaných oblastech. V rámci sledování poptávky bylo zaznamenáno celkem 1 954 nevyhovujícím způsobem odstavených vozidel. Protože se jedná především o odstavování vozidel na komunikacích („volná“ šířka komunikace nedosahuje alespoň 5 m)</w:t>
      </w:r>
      <w:r w:rsidR="00B24C4B">
        <w:t>,</w:t>
      </w:r>
      <w:r>
        <w:t xml:space="preserve"> mělo by se řešení stavu orientovat zejména na tato stání. Možnými přístupy jsou dopravně organizační opatření nebo přestavba uličních profilů, případně výstavba nových kapacit. </w:t>
      </w:r>
    </w:p>
    <w:p w14:paraId="53469600" w14:textId="20C1AAAC" w:rsidR="00216E8B" w:rsidRDefault="00216E8B" w:rsidP="00216E8B">
      <w:pPr>
        <w:pStyle w:val="Titulek"/>
      </w:pPr>
      <w:bookmarkStart w:id="285" w:name="_Toc51933186"/>
      <w:bookmarkStart w:id="286" w:name="_Toc7707472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48</w:t>
      </w:r>
      <w:r w:rsidR="00081B47">
        <w:rPr>
          <w:noProof/>
        </w:rPr>
        <w:fldChar w:fldCharType="end"/>
      </w:r>
      <w:r w:rsidR="00B24C4B">
        <w:rPr>
          <w:noProof/>
        </w:rPr>
        <w:t>:</w:t>
      </w:r>
      <w:r>
        <w:t xml:space="preserve"> Nabídka a poptávka po parkovacích místech</w:t>
      </w:r>
      <w:bookmarkEnd w:id="285"/>
      <w:bookmarkEnd w:id="286"/>
    </w:p>
    <w:tbl>
      <w:tblPr>
        <w:tblW w:w="5317" w:type="dxa"/>
        <w:tblCellMar>
          <w:left w:w="70" w:type="dxa"/>
          <w:right w:w="70" w:type="dxa"/>
        </w:tblCellMar>
        <w:tblLook w:val="04A0" w:firstRow="1" w:lastRow="0" w:firstColumn="1" w:lastColumn="0" w:noHBand="0" w:noVBand="1"/>
      </w:tblPr>
      <w:tblGrid>
        <w:gridCol w:w="294"/>
        <w:gridCol w:w="2443"/>
        <w:gridCol w:w="838"/>
        <w:gridCol w:w="966"/>
        <w:gridCol w:w="776"/>
      </w:tblGrid>
      <w:tr w:rsidR="00216E8B" w:rsidRPr="00FD0486" w14:paraId="5511BB51" w14:textId="77777777" w:rsidTr="000C49A5">
        <w:trPr>
          <w:trHeight w:val="20"/>
        </w:trPr>
        <w:tc>
          <w:tcPr>
            <w:tcW w:w="2737"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5F55CEF" w14:textId="77777777" w:rsidR="00216E8B" w:rsidRPr="00FD0486" w:rsidRDefault="00216E8B" w:rsidP="000C49A5">
            <w:pPr>
              <w:spacing w:before="0"/>
              <w:jc w:val="center"/>
              <w:rPr>
                <w:rFonts w:eastAsia="Times New Roman" w:cstheme="minorHAnsi"/>
                <w:b/>
                <w:bCs/>
                <w:color w:val="000000"/>
                <w:sz w:val="18"/>
                <w:szCs w:val="18"/>
                <w:lang w:eastAsia="cs-CZ"/>
              </w:rPr>
            </w:pPr>
            <w:r w:rsidRPr="00FD0486">
              <w:rPr>
                <w:rFonts w:eastAsia="Times New Roman" w:cstheme="minorHAnsi"/>
                <w:b/>
                <w:bCs/>
                <w:color w:val="000000"/>
                <w:sz w:val="18"/>
                <w:szCs w:val="18"/>
                <w:lang w:eastAsia="cs-CZ"/>
              </w:rPr>
              <w:t>OBLAST</w:t>
            </w:r>
          </w:p>
        </w:tc>
        <w:tc>
          <w:tcPr>
            <w:tcW w:w="838" w:type="dxa"/>
            <w:tcBorders>
              <w:top w:val="single" w:sz="4" w:space="0" w:color="auto"/>
              <w:left w:val="nil"/>
              <w:bottom w:val="single" w:sz="4" w:space="0" w:color="auto"/>
              <w:right w:val="single" w:sz="4" w:space="0" w:color="auto"/>
            </w:tcBorders>
            <w:shd w:val="clear" w:color="000000" w:fill="F2F2F2"/>
            <w:noWrap/>
            <w:vAlign w:val="center"/>
            <w:hideMark/>
          </w:tcPr>
          <w:p w14:paraId="40FB1BFC" w14:textId="77777777" w:rsidR="00216E8B" w:rsidRPr="00FD0486" w:rsidRDefault="00216E8B" w:rsidP="000C49A5">
            <w:pPr>
              <w:spacing w:before="0"/>
              <w:jc w:val="center"/>
              <w:rPr>
                <w:rFonts w:eastAsia="Times New Roman" w:cstheme="minorHAnsi"/>
                <w:b/>
                <w:bCs/>
                <w:color w:val="000000"/>
                <w:sz w:val="18"/>
                <w:szCs w:val="18"/>
                <w:lang w:eastAsia="cs-CZ"/>
              </w:rPr>
            </w:pPr>
            <w:r w:rsidRPr="00FD0486">
              <w:rPr>
                <w:rFonts w:eastAsia="Times New Roman" w:cstheme="minorHAnsi"/>
                <w:b/>
                <w:bCs/>
                <w:color w:val="000000"/>
                <w:sz w:val="18"/>
                <w:szCs w:val="18"/>
                <w:lang w:eastAsia="cs-CZ"/>
              </w:rPr>
              <w:t>NABÍDKA</w:t>
            </w:r>
          </w:p>
        </w:tc>
        <w:tc>
          <w:tcPr>
            <w:tcW w:w="966" w:type="dxa"/>
            <w:tcBorders>
              <w:top w:val="single" w:sz="4" w:space="0" w:color="auto"/>
              <w:left w:val="nil"/>
              <w:bottom w:val="single" w:sz="4" w:space="0" w:color="auto"/>
              <w:right w:val="single" w:sz="4" w:space="0" w:color="auto"/>
            </w:tcBorders>
            <w:shd w:val="clear" w:color="000000" w:fill="F2F2F2"/>
            <w:noWrap/>
            <w:vAlign w:val="center"/>
            <w:hideMark/>
          </w:tcPr>
          <w:p w14:paraId="7C6D603F" w14:textId="77777777" w:rsidR="00216E8B" w:rsidRPr="00FD0486" w:rsidRDefault="00216E8B" w:rsidP="000C49A5">
            <w:pPr>
              <w:spacing w:before="0"/>
              <w:jc w:val="center"/>
              <w:rPr>
                <w:rFonts w:eastAsia="Times New Roman" w:cstheme="minorHAnsi"/>
                <w:b/>
                <w:bCs/>
                <w:color w:val="000000"/>
                <w:sz w:val="18"/>
                <w:szCs w:val="18"/>
                <w:lang w:eastAsia="cs-CZ"/>
              </w:rPr>
            </w:pPr>
            <w:r w:rsidRPr="00FD0486">
              <w:rPr>
                <w:rFonts w:eastAsia="Times New Roman" w:cstheme="minorHAnsi"/>
                <w:b/>
                <w:bCs/>
                <w:color w:val="000000"/>
                <w:sz w:val="18"/>
                <w:szCs w:val="18"/>
                <w:lang w:eastAsia="cs-CZ"/>
              </w:rPr>
              <w:t>POPTÁVKA</w:t>
            </w:r>
          </w:p>
        </w:tc>
        <w:tc>
          <w:tcPr>
            <w:tcW w:w="776" w:type="dxa"/>
            <w:tcBorders>
              <w:top w:val="single" w:sz="4" w:space="0" w:color="auto"/>
              <w:left w:val="nil"/>
              <w:bottom w:val="single" w:sz="4" w:space="0" w:color="auto"/>
              <w:right w:val="single" w:sz="4" w:space="0" w:color="auto"/>
            </w:tcBorders>
            <w:shd w:val="clear" w:color="000000" w:fill="F2F2F2"/>
            <w:noWrap/>
            <w:vAlign w:val="center"/>
            <w:hideMark/>
          </w:tcPr>
          <w:p w14:paraId="0B123897" w14:textId="77777777" w:rsidR="00216E8B" w:rsidRPr="00FD0486" w:rsidRDefault="00216E8B" w:rsidP="000C49A5">
            <w:pPr>
              <w:spacing w:before="0"/>
              <w:jc w:val="center"/>
              <w:rPr>
                <w:rFonts w:eastAsia="Times New Roman" w:cstheme="minorHAnsi"/>
                <w:b/>
                <w:bCs/>
                <w:color w:val="000000"/>
                <w:sz w:val="18"/>
                <w:szCs w:val="18"/>
                <w:lang w:eastAsia="cs-CZ"/>
              </w:rPr>
            </w:pPr>
            <w:r w:rsidRPr="00FD0486">
              <w:rPr>
                <w:rFonts w:eastAsia="Times New Roman" w:cstheme="minorHAnsi"/>
                <w:b/>
                <w:bCs/>
                <w:color w:val="000000"/>
                <w:sz w:val="18"/>
                <w:szCs w:val="18"/>
                <w:lang w:eastAsia="cs-CZ"/>
              </w:rPr>
              <w:t>BILANCE</w:t>
            </w:r>
          </w:p>
        </w:tc>
      </w:tr>
      <w:tr w:rsidR="00216E8B" w:rsidRPr="00FD0486" w14:paraId="42F10B70"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244BF0B0"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A</w:t>
            </w:r>
          </w:p>
        </w:tc>
        <w:tc>
          <w:tcPr>
            <w:tcW w:w="2443" w:type="dxa"/>
            <w:tcBorders>
              <w:top w:val="nil"/>
              <w:left w:val="nil"/>
              <w:bottom w:val="single" w:sz="4" w:space="0" w:color="auto"/>
              <w:right w:val="single" w:sz="4" w:space="0" w:color="auto"/>
            </w:tcBorders>
            <w:shd w:val="clear" w:color="auto" w:fill="auto"/>
            <w:noWrap/>
            <w:vAlign w:val="bottom"/>
            <w:hideMark/>
          </w:tcPr>
          <w:p w14:paraId="105D56BF"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Nad Stráněmi, Družstevní</w:t>
            </w:r>
          </w:p>
        </w:tc>
        <w:tc>
          <w:tcPr>
            <w:tcW w:w="838" w:type="dxa"/>
            <w:tcBorders>
              <w:top w:val="nil"/>
              <w:left w:val="nil"/>
              <w:bottom w:val="single" w:sz="4" w:space="0" w:color="auto"/>
              <w:right w:val="single" w:sz="4" w:space="0" w:color="auto"/>
            </w:tcBorders>
            <w:shd w:val="clear" w:color="auto" w:fill="auto"/>
            <w:noWrap/>
            <w:vAlign w:val="bottom"/>
            <w:hideMark/>
          </w:tcPr>
          <w:p w14:paraId="67D5A9D0"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484</w:t>
            </w:r>
          </w:p>
        </w:tc>
        <w:tc>
          <w:tcPr>
            <w:tcW w:w="966" w:type="dxa"/>
            <w:tcBorders>
              <w:top w:val="nil"/>
              <w:left w:val="nil"/>
              <w:bottom w:val="single" w:sz="4" w:space="0" w:color="auto"/>
              <w:right w:val="single" w:sz="4" w:space="0" w:color="auto"/>
            </w:tcBorders>
            <w:shd w:val="clear" w:color="auto" w:fill="auto"/>
            <w:noWrap/>
            <w:vAlign w:val="bottom"/>
            <w:hideMark/>
          </w:tcPr>
          <w:p w14:paraId="0AE074E5"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584</w:t>
            </w:r>
          </w:p>
        </w:tc>
        <w:tc>
          <w:tcPr>
            <w:tcW w:w="776" w:type="dxa"/>
            <w:tcBorders>
              <w:top w:val="single" w:sz="4" w:space="0" w:color="auto"/>
              <w:left w:val="single" w:sz="4" w:space="0" w:color="auto"/>
              <w:bottom w:val="single" w:sz="4" w:space="0" w:color="auto"/>
              <w:right w:val="single" w:sz="4" w:space="0" w:color="auto"/>
            </w:tcBorders>
            <w:shd w:val="clear" w:color="000000" w:fill="F7F8FD"/>
            <w:noWrap/>
            <w:vAlign w:val="bottom"/>
            <w:hideMark/>
          </w:tcPr>
          <w:p w14:paraId="5FF130FC"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-100</w:t>
            </w:r>
          </w:p>
        </w:tc>
      </w:tr>
      <w:tr w:rsidR="00216E8B" w:rsidRPr="00FD0486" w14:paraId="689142E5"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3450A400"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B</w:t>
            </w:r>
          </w:p>
        </w:tc>
        <w:tc>
          <w:tcPr>
            <w:tcW w:w="2443" w:type="dxa"/>
            <w:tcBorders>
              <w:top w:val="nil"/>
              <w:left w:val="nil"/>
              <w:bottom w:val="single" w:sz="4" w:space="0" w:color="auto"/>
              <w:right w:val="single" w:sz="4" w:space="0" w:color="auto"/>
            </w:tcBorders>
            <w:shd w:val="clear" w:color="auto" w:fill="auto"/>
            <w:noWrap/>
            <w:vAlign w:val="bottom"/>
            <w:hideMark/>
          </w:tcPr>
          <w:p w14:paraId="14B06573"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Luční, Středová</w:t>
            </w:r>
          </w:p>
        </w:tc>
        <w:tc>
          <w:tcPr>
            <w:tcW w:w="838" w:type="dxa"/>
            <w:tcBorders>
              <w:top w:val="nil"/>
              <w:left w:val="nil"/>
              <w:bottom w:val="single" w:sz="4" w:space="0" w:color="auto"/>
              <w:right w:val="single" w:sz="4" w:space="0" w:color="auto"/>
            </w:tcBorders>
            <w:shd w:val="clear" w:color="auto" w:fill="auto"/>
            <w:noWrap/>
            <w:vAlign w:val="bottom"/>
            <w:hideMark/>
          </w:tcPr>
          <w:p w14:paraId="4E30B143"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789</w:t>
            </w:r>
          </w:p>
        </w:tc>
        <w:tc>
          <w:tcPr>
            <w:tcW w:w="966" w:type="dxa"/>
            <w:tcBorders>
              <w:top w:val="nil"/>
              <w:left w:val="nil"/>
              <w:bottom w:val="single" w:sz="4" w:space="0" w:color="auto"/>
              <w:right w:val="single" w:sz="4" w:space="0" w:color="auto"/>
            </w:tcBorders>
            <w:shd w:val="clear" w:color="auto" w:fill="auto"/>
            <w:noWrap/>
            <w:vAlign w:val="bottom"/>
            <w:hideMark/>
          </w:tcPr>
          <w:p w14:paraId="3D0D31EE"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964</w:t>
            </w:r>
          </w:p>
        </w:tc>
        <w:tc>
          <w:tcPr>
            <w:tcW w:w="776" w:type="dxa"/>
            <w:tcBorders>
              <w:top w:val="single" w:sz="4" w:space="0" w:color="auto"/>
              <w:left w:val="single" w:sz="4" w:space="0" w:color="auto"/>
              <w:bottom w:val="single" w:sz="4" w:space="0" w:color="auto"/>
              <w:right w:val="single" w:sz="4" w:space="0" w:color="auto"/>
            </w:tcBorders>
            <w:shd w:val="clear" w:color="000000" w:fill="F7F8FD"/>
            <w:noWrap/>
            <w:vAlign w:val="bottom"/>
            <w:hideMark/>
          </w:tcPr>
          <w:p w14:paraId="3E414217"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-100</w:t>
            </w:r>
          </w:p>
        </w:tc>
      </w:tr>
      <w:tr w:rsidR="00216E8B" w:rsidRPr="00FD0486" w14:paraId="13749357"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27C04387"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C</w:t>
            </w:r>
          </w:p>
        </w:tc>
        <w:tc>
          <w:tcPr>
            <w:tcW w:w="2443" w:type="dxa"/>
            <w:tcBorders>
              <w:top w:val="nil"/>
              <w:left w:val="nil"/>
              <w:bottom w:val="single" w:sz="4" w:space="0" w:color="auto"/>
              <w:right w:val="single" w:sz="4" w:space="0" w:color="auto"/>
            </w:tcBorders>
            <w:shd w:val="clear" w:color="auto" w:fill="auto"/>
            <w:noWrap/>
            <w:vAlign w:val="bottom"/>
            <w:hideMark/>
          </w:tcPr>
          <w:p w14:paraId="15EB60F2"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Česká</w:t>
            </w:r>
          </w:p>
        </w:tc>
        <w:tc>
          <w:tcPr>
            <w:tcW w:w="838" w:type="dxa"/>
            <w:tcBorders>
              <w:top w:val="nil"/>
              <w:left w:val="nil"/>
              <w:bottom w:val="single" w:sz="4" w:space="0" w:color="auto"/>
              <w:right w:val="single" w:sz="4" w:space="0" w:color="auto"/>
            </w:tcBorders>
            <w:shd w:val="clear" w:color="auto" w:fill="auto"/>
            <w:noWrap/>
            <w:vAlign w:val="bottom"/>
            <w:hideMark/>
          </w:tcPr>
          <w:p w14:paraId="01F2E1A9"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883</w:t>
            </w:r>
          </w:p>
        </w:tc>
        <w:tc>
          <w:tcPr>
            <w:tcW w:w="966" w:type="dxa"/>
            <w:tcBorders>
              <w:top w:val="nil"/>
              <w:left w:val="nil"/>
              <w:bottom w:val="single" w:sz="4" w:space="0" w:color="auto"/>
              <w:right w:val="single" w:sz="4" w:space="0" w:color="auto"/>
            </w:tcBorders>
            <w:shd w:val="clear" w:color="auto" w:fill="auto"/>
            <w:noWrap/>
            <w:vAlign w:val="bottom"/>
            <w:hideMark/>
          </w:tcPr>
          <w:p w14:paraId="5DC7B748"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1 126</w:t>
            </w:r>
          </w:p>
        </w:tc>
        <w:tc>
          <w:tcPr>
            <w:tcW w:w="776"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51CF2969"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-243</w:t>
            </w:r>
          </w:p>
        </w:tc>
      </w:tr>
      <w:tr w:rsidR="00216E8B" w:rsidRPr="00FD0486" w14:paraId="32FC5D76"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7A451D2F"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D</w:t>
            </w:r>
          </w:p>
        </w:tc>
        <w:tc>
          <w:tcPr>
            <w:tcW w:w="2443" w:type="dxa"/>
            <w:tcBorders>
              <w:top w:val="nil"/>
              <w:left w:val="nil"/>
              <w:bottom w:val="single" w:sz="4" w:space="0" w:color="auto"/>
              <w:right w:val="single" w:sz="4" w:space="0" w:color="auto"/>
            </w:tcBorders>
            <w:shd w:val="clear" w:color="auto" w:fill="auto"/>
            <w:noWrap/>
            <w:vAlign w:val="bottom"/>
            <w:hideMark/>
          </w:tcPr>
          <w:p w14:paraId="487D9733"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Podlesí, Valachův žleb</w:t>
            </w:r>
          </w:p>
        </w:tc>
        <w:tc>
          <w:tcPr>
            <w:tcW w:w="838" w:type="dxa"/>
            <w:tcBorders>
              <w:top w:val="nil"/>
              <w:left w:val="nil"/>
              <w:bottom w:val="single" w:sz="4" w:space="0" w:color="auto"/>
              <w:right w:val="single" w:sz="4" w:space="0" w:color="auto"/>
            </w:tcBorders>
            <w:shd w:val="clear" w:color="auto" w:fill="auto"/>
            <w:noWrap/>
            <w:vAlign w:val="bottom"/>
            <w:hideMark/>
          </w:tcPr>
          <w:p w14:paraId="151E5493"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1 003</w:t>
            </w:r>
          </w:p>
        </w:tc>
        <w:tc>
          <w:tcPr>
            <w:tcW w:w="966" w:type="dxa"/>
            <w:tcBorders>
              <w:top w:val="nil"/>
              <w:left w:val="nil"/>
              <w:bottom w:val="single" w:sz="4" w:space="0" w:color="auto"/>
              <w:right w:val="single" w:sz="4" w:space="0" w:color="auto"/>
            </w:tcBorders>
            <w:shd w:val="clear" w:color="auto" w:fill="auto"/>
            <w:noWrap/>
            <w:vAlign w:val="bottom"/>
            <w:hideMark/>
          </w:tcPr>
          <w:p w14:paraId="479F4519"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1 050</w:t>
            </w:r>
          </w:p>
        </w:tc>
        <w:tc>
          <w:tcPr>
            <w:tcW w:w="776" w:type="dxa"/>
            <w:tcBorders>
              <w:top w:val="single" w:sz="4" w:space="0" w:color="auto"/>
              <w:left w:val="single" w:sz="4" w:space="0" w:color="auto"/>
              <w:bottom w:val="single" w:sz="4" w:space="0" w:color="auto"/>
              <w:right w:val="single" w:sz="4" w:space="0" w:color="auto"/>
            </w:tcBorders>
            <w:shd w:val="clear" w:color="000000" w:fill="FCD9DC"/>
            <w:noWrap/>
            <w:vAlign w:val="bottom"/>
            <w:hideMark/>
          </w:tcPr>
          <w:p w14:paraId="442AA4AD"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-47</w:t>
            </w:r>
          </w:p>
        </w:tc>
      </w:tr>
      <w:tr w:rsidR="00216E8B" w:rsidRPr="00FD0486" w14:paraId="5796A939"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169A3ED4"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E</w:t>
            </w:r>
          </w:p>
        </w:tc>
        <w:tc>
          <w:tcPr>
            <w:tcW w:w="2443" w:type="dxa"/>
            <w:tcBorders>
              <w:top w:val="nil"/>
              <w:left w:val="nil"/>
              <w:bottom w:val="single" w:sz="4" w:space="0" w:color="auto"/>
              <w:right w:val="single" w:sz="4" w:space="0" w:color="auto"/>
            </w:tcBorders>
            <w:shd w:val="clear" w:color="auto" w:fill="auto"/>
            <w:noWrap/>
            <w:vAlign w:val="bottom"/>
            <w:hideMark/>
          </w:tcPr>
          <w:p w14:paraId="3668FF04"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Na Honech, Budovatelská</w:t>
            </w:r>
          </w:p>
        </w:tc>
        <w:tc>
          <w:tcPr>
            <w:tcW w:w="838" w:type="dxa"/>
            <w:tcBorders>
              <w:top w:val="nil"/>
              <w:left w:val="nil"/>
              <w:bottom w:val="single" w:sz="4" w:space="0" w:color="auto"/>
              <w:right w:val="single" w:sz="4" w:space="0" w:color="auto"/>
            </w:tcBorders>
            <w:shd w:val="clear" w:color="auto" w:fill="auto"/>
            <w:noWrap/>
            <w:vAlign w:val="bottom"/>
            <w:hideMark/>
          </w:tcPr>
          <w:p w14:paraId="750C1889"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932</w:t>
            </w:r>
          </w:p>
        </w:tc>
        <w:tc>
          <w:tcPr>
            <w:tcW w:w="966" w:type="dxa"/>
            <w:tcBorders>
              <w:top w:val="nil"/>
              <w:left w:val="nil"/>
              <w:bottom w:val="single" w:sz="4" w:space="0" w:color="auto"/>
              <w:right w:val="single" w:sz="4" w:space="0" w:color="auto"/>
            </w:tcBorders>
            <w:shd w:val="clear" w:color="auto" w:fill="auto"/>
            <w:noWrap/>
            <w:vAlign w:val="bottom"/>
            <w:hideMark/>
          </w:tcPr>
          <w:p w14:paraId="6C164909"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1 058</w:t>
            </w:r>
          </w:p>
        </w:tc>
        <w:tc>
          <w:tcPr>
            <w:tcW w:w="776" w:type="dxa"/>
            <w:tcBorders>
              <w:top w:val="single" w:sz="4" w:space="0" w:color="auto"/>
              <w:left w:val="single" w:sz="4" w:space="0" w:color="auto"/>
              <w:bottom w:val="single" w:sz="4" w:space="0" w:color="auto"/>
              <w:right w:val="single" w:sz="4" w:space="0" w:color="auto"/>
            </w:tcBorders>
            <w:shd w:val="clear" w:color="000000" w:fill="DAE4F3"/>
            <w:noWrap/>
            <w:vAlign w:val="bottom"/>
            <w:hideMark/>
          </w:tcPr>
          <w:p w14:paraId="2DFCD57B"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-126</w:t>
            </w:r>
          </w:p>
        </w:tc>
      </w:tr>
      <w:tr w:rsidR="00216E8B" w:rsidRPr="00FD0486" w14:paraId="119175B8"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49E6CBDE"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F</w:t>
            </w:r>
          </w:p>
        </w:tc>
        <w:tc>
          <w:tcPr>
            <w:tcW w:w="2443" w:type="dxa"/>
            <w:tcBorders>
              <w:top w:val="nil"/>
              <w:left w:val="nil"/>
              <w:bottom w:val="single" w:sz="4" w:space="0" w:color="auto"/>
              <w:right w:val="single" w:sz="4" w:space="0" w:color="auto"/>
            </w:tcBorders>
            <w:shd w:val="clear" w:color="auto" w:fill="auto"/>
            <w:noWrap/>
            <w:vAlign w:val="bottom"/>
            <w:hideMark/>
          </w:tcPr>
          <w:p w14:paraId="3627ED86"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Padělky</w:t>
            </w:r>
          </w:p>
        </w:tc>
        <w:tc>
          <w:tcPr>
            <w:tcW w:w="838" w:type="dxa"/>
            <w:tcBorders>
              <w:top w:val="nil"/>
              <w:left w:val="nil"/>
              <w:bottom w:val="single" w:sz="4" w:space="0" w:color="auto"/>
              <w:right w:val="single" w:sz="4" w:space="0" w:color="auto"/>
            </w:tcBorders>
            <w:shd w:val="clear" w:color="auto" w:fill="auto"/>
            <w:noWrap/>
            <w:vAlign w:val="bottom"/>
            <w:hideMark/>
          </w:tcPr>
          <w:p w14:paraId="34CFFA68"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547</w:t>
            </w:r>
          </w:p>
        </w:tc>
        <w:tc>
          <w:tcPr>
            <w:tcW w:w="966" w:type="dxa"/>
            <w:tcBorders>
              <w:top w:val="nil"/>
              <w:left w:val="nil"/>
              <w:bottom w:val="single" w:sz="4" w:space="0" w:color="auto"/>
              <w:right w:val="single" w:sz="4" w:space="0" w:color="auto"/>
            </w:tcBorders>
            <w:shd w:val="clear" w:color="auto" w:fill="auto"/>
            <w:noWrap/>
            <w:vAlign w:val="bottom"/>
            <w:hideMark/>
          </w:tcPr>
          <w:p w14:paraId="29C6419F"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643</w:t>
            </w:r>
          </w:p>
        </w:tc>
        <w:tc>
          <w:tcPr>
            <w:tcW w:w="776"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35D0426F"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-96</w:t>
            </w:r>
          </w:p>
        </w:tc>
      </w:tr>
      <w:tr w:rsidR="00216E8B" w:rsidRPr="00FD0486" w14:paraId="68EC0533"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145DBBB5"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G</w:t>
            </w:r>
          </w:p>
        </w:tc>
        <w:tc>
          <w:tcPr>
            <w:tcW w:w="2443" w:type="dxa"/>
            <w:tcBorders>
              <w:top w:val="nil"/>
              <w:left w:val="nil"/>
              <w:bottom w:val="single" w:sz="4" w:space="0" w:color="auto"/>
              <w:right w:val="single" w:sz="4" w:space="0" w:color="auto"/>
            </w:tcBorders>
            <w:shd w:val="clear" w:color="auto" w:fill="auto"/>
            <w:noWrap/>
            <w:vAlign w:val="bottom"/>
            <w:hideMark/>
          </w:tcPr>
          <w:p w14:paraId="6AF6DA81"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Benešovo nábřeží</w:t>
            </w:r>
          </w:p>
        </w:tc>
        <w:tc>
          <w:tcPr>
            <w:tcW w:w="838" w:type="dxa"/>
            <w:tcBorders>
              <w:top w:val="nil"/>
              <w:left w:val="nil"/>
              <w:bottom w:val="single" w:sz="4" w:space="0" w:color="auto"/>
              <w:right w:val="single" w:sz="4" w:space="0" w:color="auto"/>
            </w:tcBorders>
            <w:shd w:val="clear" w:color="auto" w:fill="auto"/>
            <w:noWrap/>
            <w:vAlign w:val="bottom"/>
            <w:hideMark/>
          </w:tcPr>
          <w:p w14:paraId="1B297935"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283</w:t>
            </w:r>
          </w:p>
        </w:tc>
        <w:tc>
          <w:tcPr>
            <w:tcW w:w="966" w:type="dxa"/>
            <w:tcBorders>
              <w:top w:val="nil"/>
              <w:left w:val="nil"/>
              <w:bottom w:val="single" w:sz="4" w:space="0" w:color="auto"/>
              <w:right w:val="single" w:sz="4" w:space="0" w:color="auto"/>
            </w:tcBorders>
            <w:shd w:val="clear" w:color="auto" w:fill="auto"/>
            <w:noWrap/>
            <w:vAlign w:val="bottom"/>
            <w:hideMark/>
          </w:tcPr>
          <w:p w14:paraId="211BA0ED"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365</w:t>
            </w:r>
          </w:p>
        </w:tc>
        <w:tc>
          <w:tcPr>
            <w:tcW w:w="776" w:type="dxa"/>
            <w:tcBorders>
              <w:top w:val="single" w:sz="4" w:space="0" w:color="auto"/>
              <w:left w:val="single" w:sz="4" w:space="0" w:color="auto"/>
              <w:bottom w:val="single" w:sz="4" w:space="0" w:color="auto"/>
              <w:right w:val="single" w:sz="4" w:space="0" w:color="auto"/>
            </w:tcBorders>
            <w:shd w:val="clear" w:color="000000" w:fill="FCF2F5"/>
            <w:noWrap/>
            <w:vAlign w:val="bottom"/>
            <w:hideMark/>
          </w:tcPr>
          <w:p w14:paraId="3BF96031"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-82</w:t>
            </w:r>
          </w:p>
        </w:tc>
      </w:tr>
      <w:tr w:rsidR="00216E8B" w:rsidRPr="00FD0486" w14:paraId="43F5679F"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419067B8"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H</w:t>
            </w:r>
          </w:p>
        </w:tc>
        <w:tc>
          <w:tcPr>
            <w:tcW w:w="2443" w:type="dxa"/>
            <w:tcBorders>
              <w:top w:val="nil"/>
              <w:left w:val="nil"/>
              <w:bottom w:val="single" w:sz="4" w:space="0" w:color="auto"/>
              <w:right w:val="single" w:sz="4" w:space="0" w:color="auto"/>
            </w:tcBorders>
            <w:shd w:val="clear" w:color="auto" w:fill="auto"/>
            <w:noWrap/>
            <w:vAlign w:val="bottom"/>
            <w:hideMark/>
          </w:tcPr>
          <w:p w14:paraId="5BE7D0CA"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Ševcovská, Díly</w:t>
            </w:r>
          </w:p>
        </w:tc>
        <w:tc>
          <w:tcPr>
            <w:tcW w:w="838" w:type="dxa"/>
            <w:tcBorders>
              <w:top w:val="nil"/>
              <w:left w:val="nil"/>
              <w:bottom w:val="single" w:sz="4" w:space="0" w:color="auto"/>
              <w:right w:val="single" w:sz="4" w:space="0" w:color="auto"/>
            </w:tcBorders>
            <w:shd w:val="clear" w:color="auto" w:fill="auto"/>
            <w:noWrap/>
            <w:vAlign w:val="bottom"/>
            <w:hideMark/>
          </w:tcPr>
          <w:p w14:paraId="6741B224"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810</w:t>
            </w:r>
          </w:p>
        </w:tc>
        <w:tc>
          <w:tcPr>
            <w:tcW w:w="966" w:type="dxa"/>
            <w:tcBorders>
              <w:top w:val="nil"/>
              <w:left w:val="nil"/>
              <w:bottom w:val="single" w:sz="4" w:space="0" w:color="auto"/>
              <w:right w:val="single" w:sz="4" w:space="0" w:color="auto"/>
            </w:tcBorders>
            <w:shd w:val="clear" w:color="auto" w:fill="auto"/>
            <w:noWrap/>
            <w:vAlign w:val="bottom"/>
            <w:hideMark/>
          </w:tcPr>
          <w:p w14:paraId="5E5C0A55"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703</w:t>
            </w:r>
          </w:p>
        </w:tc>
        <w:tc>
          <w:tcPr>
            <w:tcW w:w="77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C05575E"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107</w:t>
            </w:r>
          </w:p>
        </w:tc>
      </w:tr>
      <w:tr w:rsidR="00216E8B" w:rsidRPr="00FD0486" w14:paraId="32E9E20D"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38951AA0"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I</w:t>
            </w:r>
          </w:p>
        </w:tc>
        <w:tc>
          <w:tcPr>
            <w:tcW w:w="2443" w:type="dxa"/>
            <w:tcBorders>
              <w:top w:val="nil"/>
              <w:left w:val="nil"/>
              <w:bottom w:val="single" w:sz="4" w:space="0" w:color="auto"/>
              <w:right w:val="single" w:sz="4" w:space="0" w:color="auto"/>
            </w:tcBorders>
            <w:shd w:val="clear" w:color="auto" w:fill="auto"/>
            <w:noWrap/>
            <w:vAlign w:val="bottom"/>
            <w:hideMark/>
          </w:tcPr>
          <w:p w14:paraId="4B2B3A20"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Bartošova čtvrt</w:t>
            </w:r>
          </w:p>
        </w:tc>
        <w:tc>
          <w:tcPr>
            <w:tcW w:w="838" w:type="dxa"/>
            <w:tcBorders>
              <w:top w:val="nil"/>
              <w:left w:val="nil"/>
              <w:bottom w:val="single" w:sz="4" w:space="0" w:color="auto"/>
              <w:right w:val="single" w:sz="4" w:space="0" w:color="auto"/>
            </w:tcBorders>
            <w:shd w:val="clear" w:color="auto" w:fill="auto"/>
            <w:noWrap/>
            <w:vAlign w:val="bottom"/>
            <w:hideMark/>
          </w:tcPr>
          <w:p w14:paraId="5461BAD6"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535</w:t>
            </w:r>
          </w:p>
        </w:tc>
        <w:tc>
          <w:tcPr>
            <w:tcW w:w="966" w:type="dxa"/>
            <w:tcBorders>
              <w:top w:val="nil"/>
              <w:left w:val="nil"/>
              <w:bottom w:val="single" w:sz="4" w:space="0" w:color="auto"/>
              <w:right w:val="single" w:sz="4" w:space="0" w:color="auto"/>
            </w:tcBorders>
            <w:shd w:val="clear" w:color="auto" w:fill="auto"/>
            <w:noWrap/>
            <w:vAlign w:val="bottom"/>
            <w:hideMark/>
          </w:tcPr>
          <w:p w14:paraId="44497C15"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472</w:t>
            </w:r>
          </w:p>
        </w:tc>
        <w:tc>
          <w:tcPr>
            <w:tcW w:w="776" w:type="dxa"/>
            <w:tcBorders>
              <w:top w:val="single" w:sz="4" w:space="0" w:color="auto"/>
              <w:left w:val="single" w:sz="4" w:space="0" w:color="auto"/>
              <w:bottom w:val="single" w:sz="4" w:space="0" w:color="auto"/>
              <w:right w:val="single" w:sz="4" w:space="0" w:color="auto"/>
            </w:tcBorders>
            <w:shd w:val="clear" w:color="000000" w:fill="F9898C"/>
            <w:noWrap/>
            <w:vAlign w:val="bottom"/>
            <w:hideMark/>
          </w:tcPr>
          <w:p w14:paraId="522A1163"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63</w:t>
            </w:r>
          </w:p>
        </w:tc>
      </w:tr>
      <w:tr w:rsidR="00216E8B" w:rsidRPr="00FD0486" w14:paraId="2EC3832D"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5191D374"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J</w:t>
            </w:r>
          </w:p>
        </w:tc>
        <w:tc>
          <w:tcPr>
            <w:tcW w:w="2443" w:type="dxa"/>
            <w:tcBorders>
              <w:top w:val="nil"/>
              <w:left w:val="nil"/>
              <w:bottom w:val="single" w:sz="4" w:space="0" w:color="auto"/>
              <w:right w:val="single" w:sz="4" w:space="0" w:color="auto"/>
            </w:tcBorders>
            <w:shd w:val="clear" w:color="auto" w:fill="auto"/>
            <w:noWrap/>
            <w:vAlign w:val="bottom"/>
            <w:hideMark/>
          </w:tcPr>
          <w:p w14:paraId="6269F4F6"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Obeciny</w:t>
            </w:r>
          </w:p>
        </w:tc>
        <w:tc>
          <w:tcPr>
            <w:tcW w:w="838" w:type="dxa"/>
            <w:tcBorders>
              <w:top w:val="nil"/>
              <w:left w:val="nil"/>
              <w:bottom w:val="single" w:sz="4" w:space="0" w:color="auto"/>
              <w:right w:val="single" w:sz="4" w:space="0" w:color="auto"/>
            </w:tcBorders>
            <w:shd w:val="clear" w:color="auto" w:fill="auto"/>
            <w:noWrap/>
            <w:vAlign w:val="bottom"/>
            <w:hideMark/>
          </w:tcPr>
          <w:p w14:paraId="15E769D2"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341</w:t>
            </w:r>
          </w:p>
        </w:tc>
        <w:tc>
          <w:tcPr>
            <w:tcW w:w="966" w:type="dxa"/>
            <w:tcBorders>
              <w:top w:val="nil"/>
              <w:left w:val="nil"/>
              <w:bottom w:val="single" w:sz="4" w:space="0" w:color="auto"/>
              <w:right w:val="single" w:sz="4" w:space="0" w:color="auto"/>
            </w:tcBorders>
            <w:shd w:val="clear" w:color="auto" w:fill="auto"/>
            <w:noWrap/>
            <w:vAlign w:val="bottom"/>
            <w:hideMark/>
          </w:tcPr>
          <w:p w14:paraId="69D358B4"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450</w:t>
            </w:r>
          </w:p>
        </w:tc>
        <w:tc>
          <w:tcPr>
            <w:tcW w:w="776" w:type="dxa"/>
            <w:tcBorders>
              <w:top w:val="single" w:sz="4" w:space="0" w:color="auto"/>
              <w:left w:val="single" w:sz="4" w:space="0" w:color="auto"/>
              <w:bottom w:val="single" w:sz="4" w:space="0" w:color="auto"/>
              <w:right w:val="single" w:sz="4" w:space="0" w:color="auto"/>
            </w:tcBorders>
            <w:shd w:val="clear" w:color="000000" w:fill="EDF1F9"/>
            <w:noWrap/>
            <w:vAlign w:val="bottom"/>
            <w:hideMark/>
          </w:tcPr>
          <w:p w14:paraId="6BFEF32A"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-109</w:t>
            </w:r>
          </w:p>
        </w:tc>
      </w:tr>
      <w:tr w:rsidR="00216E8B" w:rsidRPr="00FD0486" w14:paraId="7717592A"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1D8C2500"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K</w:t>
            </w:r>
          </w:p>
        </w:tc>
        <w:tc>
          <w:tcPr>
            <w:tcW w:w="2443" w:type="dxa"/>
            <w:tcBorders>
              <w:top w:val="nil"/>
              <w:left w:val="nil"/>
              <w:bottom w:val="single" w:sz="4" w:space="0" w:color="auto"/>
              <w:right w:val="single" w:sz="4" w:space="0" w:color="auto"/>
            </w:tcBorders>
            <w:shd w:val="clear" w:color="auto" w:fill="auto"/>
            <w:noWrap/>
            <w:vAlign w:val="bottom"/>
            <w:hideMark/>
          </w:tcPr>
          <w:p w14:paraId="247427B3"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Podhoří</w:t>
            </w:r>
          </w:p>
        </w:tc>
        <w:tc>
          <w:tcPr>
            <w:tcW w:w="838" w:type="dxa"/>
            <w:tcBorders>
              <w:top w:val="nil"/>
              <w:left w:val="nil"/>
              <w:bottom w:val="single" w:sz="4" w:space="0" w:color="auto"/>
              <w:right w:val="single" w:sz="4" w:space="0" w:color="auto"/>
            </w:tcBorders>
            <w:shd w:val="clear" w:color="auto" w:fill="auto"/>
            <w:noWrap/>
            <w:vAlign w:val="bottom"/>
            <w:hideMark/>
          </w:tcPr>
          <w:p w14:paraId="1723C86F"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158</w:t>
            </w:r>
          </w:p>
        </w:tc>
        <w:tc>
          <w:tcPr>
            <w:tcW w:w="966" w:type="dxa"/>
            <w:tcBorders>
              <w:top w:val="nil"/>
              <w:left w:val="nil"/>
              <w:bottom w:val="single" w:sz="4" w:space="0" w:color="auto"/>
              <w:right w:val="single" w:sz="4" w:space="0" w:color="auto"/>
            </w:tcBorders>
            <w:shd w:val="clear" w:color="auto" w:fill="auto"/>
            <w:noWrap/>
            <w:vAlign w:val="bottom"/>
            <w:hideMark/>
          </w:tcPr>
          <w:p w14:paraId="52CD0BF6"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265</w:t>
            </w:r>
          </w:p>
        </w:tc>
        <w:tc>
          <w:tcPr>
            <w:tcW w:w="776" w:type="dxa"/>
            <w:tcBorders>
              <w:top w:val="single" w:sz="4" w:space="0" w:color="auto"/>
              <w:left w:val="single" w:sz="4" w:space="0" w:color="auto"/>
              <w:bottom w:val="single" w:sz="4" w:space="0" w:color="auto"/>
              <w:right w:val="single" w:sz="4" w:space="0" w:color="auto"/>
            </w:tcBorders>
            <w:shd w:val="clear" w:color="000000" w:fill="EFF3FA"/>
            <w:noWrap/>
            <w:vAlign w:val="bottom"/>
            <w:hideMark/>
          </w:tcPr>
          <w:p w14:paraId="1F50BAB4"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-107</w:t>
            </w:r>
          </w:p>
        </w:tc>
      </w:tr>
      <w:tr w:rsidR="00216E8B" w:rsidRPr="00FD0486" w14:paraId="0996D983"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55C48EED"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L</w:t>
            </w:r>
          </w:p>
        </w:tc>
        <w:tc>
          <w:tcPr>
            <w:tcW w:w="2443" w:type="dxa"/>
            <w:tcBorders>
              <w:top w:val="nil"/>
              <w:left w:val="nil"/>
              <w:bottom w:val="single" w:sz="4" w:space="0" w:color="auto"/>
              <w:right w:val="single" w:sz="4" w:space="0" w:color="auto"/>
            </w:tcBorders>
            <w:shd w:val="clear" w:color="auto" w:fill="auto"/>
            <w:noWrap/>
            <w:vAlign w:val="bottom"/>
            <w:hideMark/>
          </w:tcPr>
          <w:p w14:paraId="70ABFEE0"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Husova, Mlýnská</w:t>
            </w:r>
          </w:p>
        </w:tc>
        <w:tc>
          <w:tcPr>
            <w:tcW w:w="838" w:type="dxa"/>
            <w:tcBorders>
              <w:top w:val="nil"/>
              <w:left w:val="nil"/>
              <w:bottom w:val="single" w:sz="4" w:space="0" w:color="auto"/>
              <w:right w:val="single" w:sz="4" w:space="0" w:color="auto"/>
            </w:tcBorders>
            <w:shd w:val="clear" w:color="auto" w:fill="auto"/>
            <w:noWrap/>
            <w:vAlign w:val="bottom"/>
            <w:hideMark/>
          </w:tcPr>
          <w:p w14:paraId="115DBCFB"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382</w:t>
            </w:r>
          </w:p>
        </w:tc>
        <w:tc>
          <w:tcPr>
            <w:tcW w:w="966" w:type="dxa"/>
            <w:tcBorders>
              <w:top w:val="nil"/>
              <w:left w:val="nil"/>
              <w:bottom w:val="single" w:sz="4" w:space="0" w:color="auto"/>
              <w:right w:val="single" w:sz="4" w:space="0" w:color="auto"/>
            </w:tcBorders>
            <w:shd w:val="clear" w:color="auto" w:fill="auto"/>
            <w:noWrap/>
            <w:vAlign w:val="bottom"/>
            <w:hideMark/>
          </w:tcPr>
          <w:p w14:paraId="5427A859"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330</w:t>
            </w:r>
          </w:p>
        </w:tc>
        <w:tc>
          <w:tcPr>
            <w:tcW w:w="776" w:type="dxa"/>
            <w:tcBorders>
              <w:top w:val="single" w:sz="4" w:space="0" w:color="auto"/>
              <w:left w:val="single" w:sz="4" w:space="0" w:color="auto"/>
              <w:bottom w:val="single" w:sz="4" w:space="0" w:color="auto"/>
              <w:right w:val="single" w:sz="4" w:space="0" w:color="auto"/>
            </w:tcBorders>
            <w:shd w:val="clear" w:color="000000" w:fill="FA9194"/>
            <w:noWrap/>
            <w:vAlign w:val="bottom"/>
            <w:hideMark/>
          </w:tcPr>
          <w:p w14:paraId="10723CE5"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52</w:t>
            </w:r>
          </w:p>
        </w:tc>
      </w:tr>
      <w:tr w:rsidR="00216E8B" w:rsidRPr="00FD0486" w14:paraId="10CC3B60" w14:textId="77777777" w:rsidTr="000C49A5">
        <w:trPr>
          <w:trHeight w:val="20"/>
        </w:trPr>
        <w:tc>
          <w:tcPr>
            <w:tcW w:w="294" w:type="dxa"/>
            <w:tcBorders>
              <w:top w:val="nil"/>
              <w:left w:val="single" w:sz="4" w:space="0" w:color="auto"/>
              <w:bottom w:val="single" w:sz="4" w:space="0" w:color="auto"/>
              <w:right w:val="single" w:sz="4" w:space="0" w:color="auto"/>
            </w:tcBorders>
            <w:shd w:val="clear" w:color="auto" w:fill="auto"/>
            <w:noWrap/>
            <w:vAlign w:val="bottom"/>
            <w:hideMark/>
          </w:tcPr>
          <w:p w14:paraId="7B233287"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M</w:t>
            </w:r>
          </w:p>
        </w:tc>
        <w:tc>
          <w:tcPr>
            <w:tcW w:w="2443" w:type="dxa"/>
            <w:tcBorders>
              <w:top w:val="nil"/>
              <w:left w:val="nil"/>
              <w:bottom w:val="single" w:sz="4" w:space="0" w:color="auto"/>
              <w:right w:val="single" w:sz="4" w:space="0" w:color="auto"/>
            </w:tcBorders>
            <w:shd w:val="clear" w:color="auto" w:fill="auto"/>
            <w:noWrap/>
            <w:vAlign w:val="bottom"/>
            <w:hideMark/>
          </w:tcPr>
          <w:p w14:paraId="1056713D"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Chelčického, Zahradní</w:t>
            </w:r>
          </w:p>
        </w:tc>
        <w:tc>
          <w:tcPr>
            <w:tcW w:w="838" w:type="dxa"/>
            <w:tcBorders>
              <w:top w:val="nil"/>
              <w:left w:val="nil"/>
              <w:bottom w:val="single" w:sz="4" w:space="0" w:color="auto"/>
              <w:right w:val="single" w:sz="4" w:space="0" w:color="auto"/>
            </w:tcBorders>
            <w:shd w:val="clear" w:color="auto" w:fill="auto"/>
            <w:noWrap/>
            <w:vAlign w:val="bottom"/>
            <w:hideMark/>
          </w:tcPr>
          <w:p w14:paraId="5F42DEF1"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743</w:t>
            </w:r>
          </w:p>
        </w:tc>
        <w:tc>
          <w:tcPr>
            <w:tcW w:w="966" w:type="dxa"/>
            <w:tcBorders>
              <w:top w:val="nil"/>
              <w:left w:val="nil"/>
              <w:bottom w:val="single" w:sz="4" w:space="0" w:color="auto"/>
              <w:right w:val="single" w:sz="4" w:space="0" w:color="auto"/>
            </w:tcBorders>
            <w:shd w:val="clear" w:color="auto" w:fill="auto"/>
            <w:noWrap/>
            <w:vAlign w:val="bottom"/>
            <w:hideMark/>
          </w:tcPr>
          <w:p w14:paraId="236F9CB8"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754</w:t>
            </w:r>
          </w:p>
        </w:tc>
        <w:tc>
          <w:tcPr>
            <w:tcW w:w="776" w:type="dxa"/>
            <w:tcBorders>
              <w:top w:val="single" w:sz="4" w:space="0" w:color="auto"/>
              <w:left w:val="single" w:sz="4" w:space="0" w:color="auto"/>
              <w:bottom w:val="single" w:sz="4" w:space="0" w:color="auto"/>
              <w:right w:val="single" w:sz="4" w:space="0" w:color="auto"/>
            </w:tcBorders>
            <w:shd w:val="clear" w:color="000000" w:fill="FBBFC2"/>
            <w:noWrap/>
            <w:vAlign w:val="bottom"/>
            <w:hideMark/>
          </w:tcPr>
          <w:p w14:paraId="0BDBF82B"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-11</w:t>
            </w:r>
          </w:p>
        </w:tc>
      </w:tr>
      <w:tr w:rsidR="00216E8B" w:rsidRPr="00FD0486" w14:paraId="461FBE3F" w14:textId="77777777" w:rsidTr="000C49A5">
        <w:trPr>
          <w:trHeight w:val="20"/>
        </w:trPr>
        <w:tc>
          <w:tcPr>
            <w:tcW w:w="273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60E9CBB" w14:textId="77777777" w:rsidR="00216E8B" w:rsidRPr="00FD0486" w:rsidRDefault="00216E8B" w:rsidP="000C49A5">
            <w:pPr>
              <w:spacing w:before="0"/>
              <w:jc w:val="left"/>
              <w:rPr>
                <w:rFonts w:eastAsia="Times New Roman" w:cstheme="minorHAnsi"/>
                <w:color w:val="000000"/>
                <w:sz w:val="18"/>
                <w:szCs w:val="18"/>
                <w:lang w:eastAsia="cs-CZ"/>
              </w:rPr>
            </w:pPr>
            <w:r w:rsidRPr="00FD0486">
              <w:rPr>
                <w:rFonts w:eastAsia="Times New Roman" w:cstheme="minorHAnsi"/>
                <w:color w:val="000000"/>
                <w:sz w:val="18"/>
                <w:szCs w:val="18"/>
                <w:lang w:eastAsia="cs-CZ"/>
              </w:rPr>
              <w:t>Celkem</w:t>
            </w:r>
          </w:p>
        </w:tc>
        <w:tc>
          <w:tcPr>
            <w:tcW w:w="838" w:type="dxa"/>
            <w:tcBorders>
              <w:top w:val="nil"/>
              <w:left w:val="nil"/>
              <w:bottom w:val="single" w:sz="4" w:space="0" w:color="auto"/>
              <w:right w:val="single" w:sz="4" w:space="0" w:color="auto"/>
            </w:tcBorders>
            <w:shd w:val="clear" w:color="auto" w:fill="auto"/>
            <w:noWrap/>
            <w:vAlign w:val="bottom"/>
            <w:hideMark/>
          </w:tcPr>
          <w:p w14:paraId="799F7704"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7 890</w:t>
            </w:r>
          </w:p>
        </w:tc>
        <w:tc>
          <w:tcPr>
            <w:tcW w:w="966" w:type="dxa"/>
            <w:tcBorders>
              <w:top w:val="nil"/>
              <w:left w:val="nil"/>
              <w:bottom w:val="single" w:sz="4" w:space="0" w:color="auto"/>
              <w:right w:val="single" w:sz="4" w:space="0" w:color="auto"/>
            </w:tcBorders>
            <w:shd w:val="clear" w:color="auto" w:fill="auto"/>
            <w:noWrap/>
            <w:vAlign w:val="bottom"/>
            <w:hideMark/>
          </w:tcPr>
          <w:p w14:paraId="75A5C06C"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8 764</w:t>
            </w:r>
          </w:p>
        </w:tc>
        <w:tc>
          <w:tcPr>
            <w:tcW w:w="776" w:type="dxa"/>
            <w:tcBorders>
              <w:top w:val="nil"/>
              <w:left w:val="nil"/>
              <w:bottom w:val="single" w:sz="4" w:space="0" w:color="auto"/>
              <w:right w:val="single" w:sz="4" w:space="0" w:color="auto"/>
            </w:tcBorders>
            <w:shd w:val="clear" w:color="auto" w:fill="auto"/>
            <w:noWrap/>
            <w:vAlign w:val="bottom"/>
            <w:hideMark/>
          </w:tcPr>
          <w:p w14:paraId="72D3E5B1" w14:textId="77777777" w:rsidR="00216E8B" w:rsidRPr="00FD0486" w:rsidRDefault="00216E8B" w:rsidP="000C49A5">
            <w:pPr>
              <w:spacing w:before="0"/>
              <w:jc w:val="right"/>
              <w:rPr>
                <w:rFonts w:eastAsia="Times New Roman" w:cstheme="minorHAnsi"/>
                <w:color w:val="000000"/>
                <w:sz w:val="18"/>
                <w:szCs w:val="18"/>
                <w:lang w:eastAsia="cs-CZ"/>
              </w:rPr>
            </w:pPr>
            <w:r w:rsidRPr="00FD0486">
              <w:rPr>
                <w:rFonts w:eastAsia="Times New Roman" w:cstheme="minorHAnsi"/>
                <w:color w:val="000000"/>
                <w:sz w:val="18"/>
                <w:szCs w:val="18"/>
                <w:lang w:eastAsia="cs-CZ"/>
              </w:rPr>
              <w:t>-874</w:t>
            </w:r>
          </w:p>
        </w:tc>
      </w:tr>
    </w:tbl>
    <w:p w14:paraId="4AD255F8" w14:textId="5DF31511" w:rsidR="00216E8B" w:rsidRDefault="00216E8B" w:rsidP="00216E8B">
      <w:pPr>
        <w:pStyle w:val="Zdroj"/>
        <w:spacing w:before="0"/>
      </w:pPr>
      <w:r>
        <w:t>Zdroj: Generel dopravy pro město Zlín (2015)</w:t>
      </w:r>
      <w:r w:rsidR="00B24C4B">
        <w:t>.</w:t>
      </w:r>
    </w:p>
    <w:p w14:paraId="0238F832" w14:textId="77777777" w:rsidR="00216E8B" w:rsidRPr="00A268D4" w:rsidRDefault="00216E8B" w:rsidP="00216E8B">
      <w:pPr>
        <w:rPr>
          <w:u w:val="single"/>
        </w:rPr>
      </w:pPr>
      <w:r w:rsidRPr="00A268D4">
        <w:rPr>
          <w:u w:val="single"/>
        </w:rPr>
        <w:t>Zástavba baťovských obytných čtvrtích</w:t>
      </w:r>
    </w:p>
    <w:p w14:paraId="5E963542" w14:textId="1F8D45F6" w:rsidR="00216E8B" w:rsidRDefault="00216E8B" w:rsidP="00216E8B">
      <w:r>
        <w:t>Samostatným problémem je podle generelu dopravy parkování a odstavování vozidel v „baťovských“ obytných čtvrtích se zástavbou rodinných domků. Jedná se například o oblasti Zálešná nebo Podvesná a</w:t>
      </w:r>
      <w:r w:rsidR="00B24C4B">
        <w:t> </w:t>
      </w:r>
      <w:r>
        <w:t xml:space="preserve">další. Nedostatečný uliční prostor, kde jsou odstavována nebo zaparkována vozidla v kombinaci s dovoleným obousměrným provozem vytvářejí zcela nevyhovující dopravní situaci s problematickou dopravní obsluhou území. Tato území bude nutné řešit např. soustavou jednosměrných komunikací, nebo formou jednopruhových obousměrných komunikací s místy pro míjení vozidel, případně obytnými zónami s regulací provozu. </w:t>
      </w:r>
    </w:p>
    <w:p w14:paraId="43860D6E" w14:textId="77777777" w:rsidR="00216E8B" w:rsidRDefault="00216E8B" w:rsidP="00216E8B">
      <w:r>
        <w:t xml:space="preserve">V rámci anketního šetření zpracovaného v rámci realizace Strategie ZLÍN 2030 </w:t>
      </w:r>
      <w:r w:rsidRPr="003C3742">
        <w:t>si respondenti</w:t>
      </w:r>
      <w:r>
        <w:t xml:space="preserve"> velmi často stěžovali na </w:t>
      </w:r>
      <w:r w:rsidRPr="00F30727">
        <w:rPr>
          <w:b/>
        </w:rPr>
        <w:t>nedostatečné kapacity</w:t>
      </w:r>
      <w:r>
        <w:t xml:space="preserve"> parkování a na příliš </w:t>
      </w:r>
      <w:r w:rsidRPr="00F30727">
        <w:rPr>
          <w:b/>
        </w:rPr>
        <w:t>vysokou cenovou hladinu</w:t>
      </w:r>
      <w:r>
        <w:t xml:space="preserve"> jeho zpoplatnění. </w:t>
      </w:r>
      <w:r w:rsidRPr="00DA7ABE">
        <w:rPr>
          <w:rFonts w:cstheme="minorHAnsi"/>
        </w:rPr>
        <w:t xml:space="preserve">Kromě parkovišť u obytných domů a v centru byla </w:t>
      </w:r>
      <w:r>
        <w:rPr>
          <w:rFonts w:cstheme="minorHAnsi"/>
        </w:rPr>
        <w:t>rovněž zmiňována</w:t>
      </w:r>
      <w:r w:rsidRPr="00DA7ABE">
        <w:rPr>
          <w:rFonts w:cstheme="minorHAnsi"/>
        </w:rPr>
        <w:t xml:space="preserve"> žádost o záchytná </w:t>
      </w:r>
      <w:r w:rsidRPr="00DA7ABE">
        <w:rPr>
          <w:rFonts w:cstheme="minorHAnsi"/>
        </w:rPr>
        <w:lastRenderedPageBreak/>
        <w:t>parkoviště (P+R, K+R).</w:t>
      </w:r>
      <w:r>
        <w:rPr>
          <w:rFonts w:cstheme="minorHAnsi"/>
        </w:rPr>
        <w:t xml:space="preserve"> </w:t>
      </w:r>
      <w:r w:rsidRPr="00DA7ABE">
        <w:rPr>
          <w:rFonts w:cstheme="minorHAnsi"/>
        </w:rPr>
        <w:t xml:space="preserve">Řešení </w:t>
      </w:r>
      <w:r>
        <w:rPr>
          <w:rFonts w:cstheme="minorHAnsi"/>
        </w:rPr>
        <w:t>problematiky parkování navržená respondenty ankety jsou</w:t>
      </w:r>
      <w:r w:rsidRPr="00DA7ABE">
        <w:rPr>
          <w:rFonts w:cstheme="minorHAnsi"/>
        </w:rPr>
        <w:t xml:space="preserve"> různorodá, nejčastěji jsou navrhována odstavná parkoviště, zdražení nebo naopak zlevnění parkování, vymezení parkovacích míst pro obyvatele domů, podzemní či vícepatrová parkoviště, zvýšení parkovací kapacity na úkor chodníku jedné strany silnice apod</w:t>
      </w:r>
      <w:r>
        <w:rPr>
          <w:rFonts w:cstheme="minorHAnsi"/>
        </w:rPr>
        <w:t xml:space="preserve">. Nedostatečná nabídka a cena parkování byl jedním z nejčastějších problémů, na které respondenti ankety upozorňovali. </w:t>
      </w:r>
    </w:p>
    <w:p w14:paraId="08BE0763" w14:textId="77777777" w:rsidR="00216E8B" w:rsidRDefault="00216E8B" w:rsidP="00216E8B">
      <w:pPr>
        <w:pStyle w:val="Nadpis4"/>
      </w:pPr>
      <w:r>
        <w:t>H</w:t>
      </w:r>
      <w:r w:rsidRPr="0092656A">
        <w:t xml:space="preserve">romadná osobní doprava </w:t>
      </w:r>
    </w:p>
    <w:p w14:paraId="7D2E0CF2" w14:textId="77777777" w:rsidR="00216E8B" w:rsidRDefault="00216E8B" w:rsidP="00216E8B">
      <w:pPr>
        <w:keepNext/>
        <w:rPr>
          <w:b/>
        </w:rPr>
      </w:pPr>
      <w:r w:rsidRPr="00615A08">
        <w:rPr>
          <w:b/>
        </w:rPr>
        <w:t>Železniční doprava</w:t>
      </w:r>
    </w:p>
    <w:tbl>
      <w:tblPr>
        <w:tblStyle w:val="Mkatabulky"/>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819"/>
      </w:tblGrid>
      <w:tr w:rsidR="00216E8B" w14:paraId="79CA7692" w14:textId="77777777" w:rsidTr="000C49A5">
        <w:tc>
          <w:tcPr>
            <w:tcW w:w="4395" w:type="dxa"/>
          </w:tcPr>
          <w:p w14:paraId="6AB391A7" w14:textId="191D4B7B" w:rsidR="00216E8B" w:rsidRDefault="00216E8B" w:rsidP="00C42DC4">
            <w:pPr>
              <w:ind w:left="-108"/>
            </w:pPr>
            <w:r w:rsidRPr="003B5F7C">
              <w:t>Zlín neleží na žádné významné železniční trati, jedinou spojnicí, která prochází městem (rovnoběžně s hlavní silnicí), je neelektrizovaná železniční trať Otrokovice-Vizovice (trať 331). Roli hlavního terminálu pro Zlínskou aglomeraci tak tvoří železniční st</w:t>
            </w:r>
            <w:r>
              <w:t xml:space="preserve">anice v Otrokovicích (trať 330), </w:t>
            </w:r>
            <w:r w:rsidRPr="003B5F7C">
              <w:t xml:space="preserve">kde zastavují národní a mezinárodní expresní vlaky (trasa z Polska do Rakouska nebo Bratislavy). </w:t>
            </w:r>
            <w:r w:rsidRPr="00A52D54">
              <w:t>Do Zlína je napojena nejen místní železnic</w:t>
            </w:r>
            <w:r>
              <w:t>e</w:t>
            </w:r>
            <w:r w:rsidRPr="00A52D54">
              <w:t>, ale také trolejbusov</w:t>
            </w:r>
            <w:r>
              <w:t>á doprava</w:t>
            </w:r>
            <w:r w:rsidRPr="00A52D54">
              <w:t>.</w:t>
            </w:r>
            <w:r>
              <w:t xml:space="preserve"> Je plánováno</w:t>
            </w:r>
            <w:r w:rsidRPr="003B5F7C">
              <w:t xml:space="preserve"> zahájen</w:t>
            </w:r>
            <w:r>
              <w:t>í</w:t>
            </w:r>
            <w:r w:rsidRPr="003B5F7C">
              <w:t xml:space="preserve"> modernizace trati, která zahrnuje i výstavbu nového dopravního terminálu v</w:t>
            </w:r>
            <w:r>
              <w:t> </w:t>
            </w:r>
            <w:r w:rsidRPr="003B5F7C">
              <w:t>ž</w:t>
            </w:r>
            <w:r>
              <w:t>elezniční stanici</w:t>
            </w:r>
            <w:r w:rsidRPr="003B5F7C">
              <w:t xml:space="preserve"> Zlín střed, který propojí železniční stanici s autobusovým nádražím. Podrobně je modernizace popsána v</w:t>
            </w:r>
            <w:r w:rsidR="00C42DC4">
              <w:t> </w:t>
            </w:r>
            <w:r w:rsidRPr="003B5F7C">
              <w:t xml:space="preserve">kapitole „Plánované klíčové stavby celostátní dopravní infrastruktury v regionu a jejich vliv na dopravní systém města“. Absenci dostatečného napojení na celostátní železniční koridor, resp. další krajská města </w:t>
            </w:r>
            <w:r>
              <w:t>částečně rovněž doplňují</w:t>
            </w:r>
            <w:r w:rsidRPr="003B5F7C">
              <w:t xml:space="preserve"> soukromí vlakoví dopravci prostřednictvím svozu cestujících vlastními autobusy např. do Brna (zhruba 1:40 hod.), Přerova (zhruba 45</w:t>
            </w:r>
            <w:r>
              <w:t> </w:t>
            </w:r>
            <w:r w:rsidRPr="003B5F7C">
              <w:t>min.) a Olomouce (zhruba 1:10 hod.).</w:t>
            </w:r>
            <w:r>
              <w:t xml:space="preserve"> Přímo ze Zlína vyjíždí 1 expresní vlak denně (Zlínský expres odjezd 5:30</w:t>
            </w:r>
            <w:r w:rsidR="00C42DC4">
              <w:t xml:space="preserve"> h</w:t>
            </w:r>
            <w:r>
              <w:t xml:space="preserve"> – směr Praha), expresní vlak se pak do Zlína vrací ve večerních hodinách (příjezd 22:27</w:t>
            </w:r>
            <w:r w:rsidR="00C42DC4">
              <w:t xml:space="preserve"> h</w:t>
            </w:r>
            <w:r>
              <w:t>).</w:t>
            </w:r>
          </w:p>
        </w:tc>
        <w:tc>
          <w:tcPr>
            <w:tcW w:w="4819" w:type="dxa"/>
          </w:tcPr>
          <w:p w14:paraId="05E7A9AF" w14:textId="2425B463" w:rsidR="00216E8B" w:rsidRDefault="00216E8B" w:rsidP="000C49A5">
            <w:pPr>
              <w:pStyle w:val="Titulek"/>
              <w:keepNext/>
              <w:jc w:val="left"/>
            </w:pPr>
            <w:bookmarkStart w:id="287" w:name="_Toc51933193"/>
            <w:bookmarkStart w:id="288" w:name="_Toc7707486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47</w:t>
            </w:r>
            <w:r w:rsidR="00804AF3">
              <w:rPr>
                <w:noProof/>
              </w:rPr>
              <w:fldChar w:fldCharType="end"/>
            </w:r>
            <w:r w:rsidR="00C42DC4">
              <w:rPr>
                <w:noProof/>
              </w:rPr>
              <w:t>:</w:t>
            </w:r>
            <w:r>
              <w:t xml:space="preserve"> Schéma železničních tratí</w:t>
            </w:r>
            <w:r>
              <w:br/>
              <w:t>(počet kolejí a elektrifikace)</w:t>
            </w:r>
            <w:bookmarkEnd w:id="287"/>
            <w:bookmarkEnd w:id="288"/>
          </w:p>
          <w:p w14:paraId="23655546" w14:textId="77777777" w:rsidR="00216E8B" w:rsidRDefault="00216E8B" w:rsidP="000C49A5">
            <w:pPr>
              <w:rPr>
                <w:noProof/>
                <w:lang w:eastAsia="cs-CZ"/>
              </w:rPr>
            </w:pPr>
            <w:r>
              <w:rPr>
                <w:noProof/>
                <w:lang w:eastAsia="cs-CZ"/>
              </w:rPr>
              <w:drawing>
                <wp:inline distT="0" distB="0" distL="0" distR="0" wp14:anchorId="328D98EF" wp14:editId="7D30E069">
                  <wp:extent cx="2647950" cy="3005846"/>
                  <wp:effectExtent l="0" t="0" r="0" b="4445"/>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a:ext>
                            </a:extLst>
                          </a:blip>
                          <a:srcRect l="7119" r="20101"/>
                          <a:stretch/>
                        </pic:blipFill>
                        <pic:spPr bwMode="auto">
                          <a:xfrm>
                            <a:off x="0" y="0"/>
                            <a:ext cx="2665541" cy="3025815"/>
                          </a:xfrm>
                          <a:prstGeom prst="rect">
                            <a:avLst/>
                          </a:prstGeom>
                          <a:ln>
                            <a:noFill/>
                          </a:ln>
                          <a:extLst>
                            <a:ext uri="{53640926-AAD7-44D8-BBD7-CCE9431645EC}">
                              <a14:shadowObscured xmlns:a14="http://schemas.microsoft.com/office/drawing/2010/main"/>
                            </a:ext>
                          </a:extLst>
                        </pic:spPr>
                      </pic:pic>
                    </a:graphicData>
                  </a:graphic>
                </wp:inline>
              </w:drawing>
            </w:r>
          </w:p>
          <w:p w14:paraId="018528D6" w14:textId="77777777" w:rsidR="00216E8B" w:rsidRDefault="00216E8B" w:rsidP="000C49A5">
            <w:pPr>
              <w:pStyle w:val="Zdroj"/>
              <w:spacing w:before="0"/>
            </w:pPr>
            <w:r w:rsidRPr="00715CF9">
              <w:rPr>
                <w:noProof/>
              </w:rPr>
              <w:drawing>
                <wp:inline distT="0" distB="0" distL="0" distR="0" wp14:anchorId="571E294F" wp14:editId="3B239DA2">
                  <wp:extent cx="2124665" cy="1051560"/>
                  <wp:effectExtent l="0" t="0" r="9525" b="0"/>
                  <wp:docPr id="32" name="Obrázek 32" descr="C:\Users\david\Pictures\2020-08\firefox_CZTICH7r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Pictures\2020-08\firefox_CZTICH7rmp.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40732"/>
                          <a:stretch/>
                        </pic:blipFill>
                        <pic:spPr bwMode="auto">
                          <a:xfrm>
                            <a:off x="0" y="0"/>
                            <a:ext cx="2133225" cy="1055797"/>
                          </a:xfrm>
                          <a:prstGeom prst="rect">
                            <a:avLst/>
                          </a:prstGeom>
                          <a:noFill/>
                          <a:ln>
                            <a:noFill/>
                          </a:ln>
                          <a:extLst>
                            <a:ext uri="{53640926-AAD7-44D8-BBD7-CCE9431645EC}">
                              <a14:shadowObscured xmlns:a14="http://schemas.microsoft.com/office/drawing/2010/main"/>
                            </a:ext>
                          </a:extLst>
                        </pic:spPr>
                      </pic:pic>
                    </a:graphicData>
                  </a:graphic>
                </wp:inline>
              </w:drawing>
            </w:r>
          </w:p>
          <w:p w14:paraId="6C7C5B61" w14:textId="77777777" w:rsidR="00216E8B" w:rsidRPr="00A52D54" w:rsidRDefault="00216E8B" w:rsidP="000C49A5">
            <w:pPr>
              <w:pStyle w:val="Zdroj"/>
              <w:spacing w:before="0"/>
            </w:pPr>
            <w:r>
              <w:t>Zdroj: IODA.cz</w:t>
            </w:r>
          </w:p>
        </w:tc>
      </w:tr>
    </w:tbl>
    <w:p w14:paraId="6733BECA" w14:textId="37925BBA" w:rsidR="00216E8B" w:rsidRDefault="00216E8B" w:rsidP="00216E8B">
      <w:r>
        <w:t>Průměrný roční počet přepravených osob na trati 331 měl od roku 2015 až 2018 klesající trend, přičemž klesl o hodnotu 630 z 3,2 tis. na 2,5 tis., v roce 2019 pak vzrostl o 508 na hodnotu 3,1 tis., za nárůst v roce 2019 může podle KOVED posílení víkendových s</w:t>
      </w:r>
      <w:r w:rsidR="003A743C">
        <w:t>pojů na trati, více viz graf na obrázku 1.48</w:t>
      </w:r>
      <w:r>
        <w:t>.</w:t>
      </w:r>
    </w:p>
    <w:p w14:paraId="472B400C" w14:textId="501BA2E6" w:rsidR="00216E8B" w:rsidRDefault="00216E8B" w:rsidP="00216E8B">
      <w:pPr>
        <w:pStyle w:val="Titulek"/>
        <w:keepNext/>
        <w:jc w:val="left"/>
      </w:pPr>
      <w:bookmarkStart w:id="289" w:name="_Toc77074866"/>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48</w:t>
      </w:r>
      <w:r w:rsidR="00804AF3">
        <w:rPr>
          <w:noProof/>
        </w:rPr>
        <w:fldChar w:fldCharType="end"/>
      </w:r>
      <w:r w:rsidR="00C42DC4">
        <w:rPr>
          <w:noProof/>
        </w:rPr>
        <w:t>:</w:t>
      </w:r>
      <w:r>
        <w:t xml:space="preserve"> Průměrný počet přepravených osob a denní maximum na trati 331 v letech 2015 – 2019</w:t>
      </w:r>
      <w:bookmarkEnd w:id="289"/>
    </w:p>
    <w:p w14:paraId="6144DF14" w14:textId="6716CB2A" w:rsidR="00216E8B" w:rsidRDefault="00216E8B" w:rsidP="00216E8B">
      <w:pPr>
        <w:pStyle w:val="Zdroj"/>
      </w:pPr>
      <w:r>
        <w:rPr>
          <w:noProof/>
        </w:rPr>
        <w:drawing>
          <wp:inline distT="0" distB="0" distL="0" distR="0" wp14:anchorId="606312D6" wp14:editId="76452C33">
            <wp:extent cx="5773420" cy="1685925"/>
            <wp:effectExtent l="0" t="0" r="0" b="9525"/>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73420" cy="1685925"/>
                    </a:xfrm>
                    <a:prstGeom prst="rect">
                      <a:avLst/>
                    </a:prstGeom>
                    <a:noFill/>
                  </pic:spPr>
                </pic:pic>
              </a:graphicData>
            </a:graphic>
          </wp:inline>
        </w:drawing>
      </w:r>
      <w:r>
        <w:t>Zdroj: KOVED</w:t>
      </w:r>
      <w:r w:rsidR="00C42DC4">
        <w:t>,</w:t>
      </w:r>
      <w:r>
        <w:t xml:space="preserve"> 2020</w:t>
      </w:r>
      <w:r w:rsidR="00C42DC4">
        <w:t>.</w:t>
      </w:r>
    </w:p>
    <w:p w14:paraId="2A2EF07D" w14:textId="206F9460" w:rsidR="00216E8B" w:rsidRPr="00BE6F73" w:rsidRDefault="00216E8B" w:rsidP="00216E8B">
      <w:r>
        <w:t xml:space="preserve">V rámci anketního šetření zpracovaného v rámci realizace Strategie ZLÍN 2030 </w:t>
      </w:r>
      <w:r w:rsidRPr="00DA7ABE">
        <w:rPr>
          <w:rFonts w:cstheme="minorHAnsi"/>
        </w:rPr>
        <w:t xml:space="preserve">byl </w:t>
      </w:r>
      <w:r>
        <w:rPr>
          <w:rFonts w:cstheme="minorHAnsi"/>
        </w:rPr>
        <w:t xml:space="preserve">respondenty často </w:t>
      </w:r>
      <w:r w:rsidRPr="00DA7ABE">
        <w:rPr>
          <w:rFonts w:cstheme="minorHAnsi"/>
        </w:rPr>
        <w:t>zmiňován neuspokojivý stav autobu</w:t>
      </w:r>
      <w:r>
        <w:rPr>
          <w:rFonts w:cstheme="minorHAnsi"/>
        </w:rPr>
        <w:t>sového a vlakového nádraží,</w:t>
      </w:r>
      <w:r w:rsidRPr="00DA7ABE">
        <w:rPr>
          <w:rFonts w:cstheme="minorHAnsi"/>
        </w:rPr>
        <w:t xml:space="preserve"> špína v těchto místech a velký počet osob bez domova.</w:t>
      </w:r>
      <w:r w:rsidRPr="004B241E">
        <w:rPr>
          <w:rFonts w:cstheme="minorHAnsi"/>
        </w:rPr>
        <w:t xml:space="preserve"> </w:t>
      </w:r>
      <w:r w:rsidRPr="00DA7ABE">
        <w:rPr>
          <w:rFonts w:cstheme="minorHAnsi"/>
        </w:rPr>
        <w:t>Další podstatná část odpovědí byla zaměřena na chybějící železniční propojení</w:t>
      </w:r>
      <w:r>
        <w:rPr>
          <w:rFonts w:cstheme="minorHAnsi"/>
        </w:rPr>
        <w:t xml:space="preserve"> na celostátní tratě. </w:t>
      </w:r>
      <w:r w:rsidRPr="00BE6F73">
        <w:rPr>
          <w:rFonts w:cstheme="minorHAnsi"/>
          <w:b/>
        </w:rPr>
        <w:t>Dostupnost vlakové dopravy</w:t>
      </w:r>
      <w:r>
        <w:rPr>
          <w:rFonts w:cstheme="minorHAnsi"/>
          <w:b/>
        </w:rPr>
        <w:t xml:space="preserve"> </w:t>
      </w:r>
      <w:r>
        <w:rPr>
          <w:rFonts w:cstheme="minorHAnsi"/>
        </w:rPr>
        <w:t>byla respondenty ankety hodnocena podprůměrně,</w:t>
      </w:r>
      <w:r w:rsidRPr="002971E8">
        <w:rPr>
          <w:rFonts w:cstheme="minorHAnsi"/>
        </w:rPr>
        <w:t xml:space="preserve"> </w:t>
      </w:r>
      <w:r w:rsidR="00C42DC4">
        <w:rPr>
          <w:rFonts w:cstheme="minorHAnsi"/>
        </w:rPr>
        <w:t xml:space="preserve">na škále 0 </w:t>
      </w:r>
      <w:r w:rsidR="00C42DC4">
        <w:rPr>
          <w:rFonts w:cstheme="minorHAnsi"/>
        </w:rPr>
        <w:sym w:font="Symbol" w:char="F02D"/>
      </w:r>
      <w:r w:rsidR="00C42DC4">
        <w:rPr>
          <w:rFonts w:cstheme="minorHAnsi"/>
        </w:rPr>
        <w:t xml:space="preserve"> </w:t>
      </w:r>
      <w:r>
        <w:rPr>
          <w:rFonts w:cstheme="minorHAnsi"/>
        </w:rPr>
        <w:t>100 ji obyvatelé Zlína přiřadili průměrné hodnocení 46,2, respondenti žijící ve Zlíně bez trvalého bydliště 42,6 a studenti UTB 43,0. Z hlediska pohlaví občanů Zlína vnímají dostupnost železnicí negativněji muži (40,6), než ženy (51,5). Obyvatel</w:t>
      </w:r>
      <w:r w:rsidR="00C42DC4">
        <w:rPr>
          <w:rFonts w:cstheme="minorHAnsi"/>
        </w:rPr>
        <w:t>é</w:t>
      </w:r>
      <w:r>
        <w:rPr>
          <w:rFonts w:cstheme="minorHAnsi"/>
        </w:rPr>
        <w:t xml:space="preserve"> ve věku 65 let a více ji pak hodnotí pozitivněji (57,6), než mladší věkové skupiny (zhruba 42,5).</w:t>
      </w:r>
    </w:p>
    <w:p w14:paraId="65CCA64D" w14:textId="77777777" w:rsidR="00216E8B" w:rsidRPr="00615A08" w:rsidRDefault="00216E8B" w:rsidP="00216E8B">
      <w:pPr>
        <w:rPr>
          <w:b/>
        </w:rPr>
      </w:pPr>
      <w:r w:rsidRPr="00615A08">
        <w:rPr>
          <w:b/>
        </w:rPr>
        <w:t>Městská hromadná doprava</w:t>
      </w:r>
    </w:p>
    <w:p w14:paraId="7714CF55" w14:textId="77777777" w:rsidR="00216E8B" w:rsidRDefault="00216E8B" w:rsidP="00216E8B">
      <w:r w:rsidRPr="004854E4">
        <w:t xml:space="preserve">Zlín provozuje veřejnou dopravu společně s Otrokovicemi. Dopravní společnost Zlín-Otrokovice (DSZO) provozuje </w:t>
      </w:r>
      <w:r>
        <w:t>16 autobusových</w:t>
      </w:r>
      <w:r w:rsidRPr="004854E4">
        <w:t xml:space="preserve"> a </w:t>
      </w:r>
      <w:r>
        <w:t xml:space="preserve">16 </w:t>
      </w:r>
      <w:r w:rsidRPr="004854E4">
        <w:t>trolejbusov</w:t>
      </w:r>
      <w:r>
        <w:t>ých</w:t>
      </w:r>
      <w:r w:rsidRPr="004854E4">
        <w:t xml:space="preserve"> lin</w:t>
      </w:r>
      <w:r>
        <w:t>e</w:t>
      </w:r>
      <w:r w:rsidRPr="004854E4">
        <w:t xml:space="preserve">k. Zapojení osobních vlaků do železniční tratě Otrokovice-Vizovice do tarifu veřejné dopravy vedlo ke vzniku Zlínské integrované dopravy, která zahrnuje i některé tratě dalších regionálních autobusových dopravců. Koordinátor veřejné dopravy Zlínského kraje (KOVED), zřízený krajem v roce 2005, připravuje </w:t>
      </w:r>
      <w:r>
        <w:t>celokrajský</w:t>
      </w:r>
      <w:r w:rsidRPr="004854E4">
        <w:t xml:space="preserve"> integrovaný dopravní systém KORIS.</w:t>
      </w:r>
    </w:p>
    <w:p w14:paraId="7462D747" w14:textId="3DD7F793" w:rsidR="00216E8B" w:rsidRDefault="00216E8B" w:rsidP="00216E8B">
      <w:r>
        <w:t>Počet přepravených osob prostřednictvím MHD má rostoucí trend, který byl ne</w:t>
      </w:r>
      <w:r w:rsidR="00C42DC4">
        <w:t>j</w:t>
      </w:r>
      <w:r>
        <w:t>výraznější mezi lety 2018 a 2019, kdy přibylo 1,39 mil. přepravených osob, stoupá rovněž podíl časových jízdenek (denní, týdenní), ve stejném období stoupl na 66 %, podíl ostatních typů jízdenek je téměř stejný (jednotlivé jízdenky 17 %, důchodci 14 %, děti do 6 let 4 %, z</w:t>
      </w:r>
      <w:r w:rsidRPr="003A26CA">
        <w:t>aměstnanci a rodinní přísl.</w:t>
      </w:r>
      <w:r>
        <w:t xml:space="preserve"> 2 %</w:t>
      </w:r>
      <w:r w:rsidR="00C42DC4">
        <w:t>,</w:t>
      </w:r>
      <w:r>
        <w:t xml:space="preserve"> ZTP 4%, studenti pak zaujímají méně než 1 %).</w:t>
      </w:r>
    </w:p>
    <w:p w14:paraId="0EE9B21C" w14:textId="35CA7FA9" w:rsidR="00216E8B" w:rsidRDefault="00216E8B" w:rsidP="00216E8B">
      <w:pPr>
        <w:pStyle w:val="Titulek"/>
        <w:keepNext/>
      </w:pPr>
      <w:bookmarkStart w:id="290" w:name="_Toc51933194"/>
      <w:bookmarkStart w:id="291" w:name="_Toc7707486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49</w:t>
      </w:r>
      <w:r w:rsidR="00804AF3">
        <w:rPr>
          <w:noProof/>
        </w:rPr>
        <w:fldChar w:fldCharType="end"/>
      </w:r>
      <w:r w:rsidR="00C42DC4">
        <w:rPr>
          <w:noProof/>
        </w:rPr>
        <w:t>:</w:t>
      </w:r>
      <w:r>
        <w:t xml:space="preserve"> Počet přepravených osob zlínské MHD a podíl skupin cestujících (2015</w:t>
      </w:r>
      <w:r w:rsidR="00C42DC4">
        <w:t xml:space="preserve"> </w:t>
      </w:r>
      <w:r w:rsidR="00C42DC4">
        <w:sym w:font="Symbol" w:char="F02D"/>
      </w:r>
      <w:r w:rsidR="00C42DC4">
        <w:t xml:space="preserve"> </w:t>
      </w:r>
      <w:r>
        <w:t>2019)</w:t>
      </w:r>
      <w:bookmarkEnd w:id="290"/>
      <w:bookmarkEnd w:id="291"/>
    </w:p>
    <w:p w14:paraId="3662A4A1" w14:textId="235D2368" w:rsidR="00216E8B" w:rsidRDefault="00216E8B" w:rsidP="00216E8B">
      <w:r>
        <w:rPr>
          <w:noProof/>
          <w:lang w:eastAsia="cs-CZ"/>
        </w:rPr>
        <w:drawing>
          <wp:inline distT="0" distB="0" distL="0" distR="0" wp14:anchorId="67A2CD31" wp14:editId="53A19AF5">
            <wp:extent cx="5773420" cy="2314575"/>
            <wp:effectExtent l="0" t="0" r="0" b="952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773420" cy="2314575"/>
                    </a:xfrm>
                    <a:prstGeom prst="rect">
                      <a:avLst/>
                    </a:prstGeom>
                    <a:noFill/>
                  </pic:spPr>
                </pic:pic>
              </a:graphicData>
            </a:graphic>
          </wp:inline>
        </w:drawing>
      </w:r>
    </w:p>
    <w:p w14:paraId="015280C5" w14:textId="09D2752A" w:rsidR="00216E8B" w:rsidRDefault="00216E8B" w:rsidP="00216E8B">
      <w:pPr>
        <w:pStyle w:val="Zdroj"/>
      </w:pPr>
      <w:r>
        <w:t>Zdroj: MMZ</w:t>
      </w:r>
      <w:r w:rsidR="00E9706D">
        <w:t>,</w:t>
      </w:r>
      <w:r>
        <w:t xml:space="preserve"> 2020</w:t>
      </w:r>
      <w:r w:rsidR="00E9706D">
        <w:t>.</w:t>
      </w:r>
    </w:p>
    <w:p w14:paraId="5522B598" w14:textId="77777777" w:rsidR="00216E8B" w:rsidRDefault="00216E8B" w:rsidP="00216E8B">
      <w:pPr>
        <w:rPr>
          <w:b/>
        </w:rPr>
      </w:pPr>
      <w:r w:rsidRPr="00BE6F73">
        <w:rPr>
          <w:b/>
        </w:rPr>
        <w:lastRenderedPageBreak/>
        <w:t>Regionální a celostátní autobusová doprava</w:t>
      </w:r>
    </w:p>
    <w:p w14:paraId="2F9D729F" w14:textId="499E3C36" w:rsidR="00216E8B" w:rsidRDefault="00216E8B" w:rsidP="00216E8B">
      <w:r>
        <w:t>Ve městě Zlín funguje integrovaný dopravní systém – zlínská integrovaná doprava (ZID), jehož provozovatelem je Zlínský kraj, respektive společnost KOVED, která je koordinátorem veřejné dopravy ve Zlínském kraji. ZID označuje společný systém městské hromadné dopravy, železniční dopravy na trase Otrokovice – Vizovice a některých autobusových spojů. Cestujícím je tak umožněno využívat spoje různých dopravců v rámci jedné jízdenky (aktuálně nelze využít jednorázové jízdenky, pouze časově předplatní jízdenku). V současné době jsou do ZID zapojeny následující společnosti</w:t>
      </w:r>
      <w:r w:rsidR="00C42DC4">
        <w:t xml:space="preserve">: </w:t>
      </w:r>
      <w:r>
        <w:t>Dopravní společnost Zlín – Otrokovice s.r.o</w:t>
      </w:r>
      <w:r w:rsidR="00E254AB">
        <w:t>.</w:t>
      </w:r>
      <w:r>
        <w:t xml:space="preserve">, České dráhy a.s., ČSAD Vsetín a Housacar. </w:t>
      </w:r>
    </w:p>
    <w:p w14:paraId="4642FA01" w14:textId="77777777" w:rsidR="00216E8B" w:rsidRDefault="00216E8B" w:rsidP="00216E8B">
      <w:r>
        <w:t>Veřejná linková autobusová doprava pak zajišťuje především dopravu v rámci Zlínského kraje. V souhrnu ve Zlínském kraji funguje 240 linek (od 1. 1. 2021 pak 205 linek) provozovaných následujícími dopravci</w:t>
      </w:r>
      <w:r>
        <w:rPr>
          <w:rStyle w:val="Znakapoznpodarou"/>
        </w:rPr>
        <w:footnoteReference w:id="74"/>
      </w:r>
      <w:r>
        <w:t>:</w:t>
      </w:r>
    </w:p>
    <w:p w14:paraId="127DD3B4" w14:textId="77777777" w:rsidR="00216E8B" w:rsidRDefault="00216E8B" w:rsidP="00216E8B">
      <w:pPr>
        <w:pStyle w:val="Odstavecseseznamem"/>
        <w:numPr>
          <w:ilvl w:val="0"/>
          <w:numId w:val="38"/>
        </w:numPr>
      </w:pPr>
      <w:r>
        <w:t>ČSAD Vsetín a.s. (48 linek)</w:t>
      </w:r>
    </w:p>
    <w:p w14:paraId="002F63FB" w14:textId="77777777" w:rsidR="00216E8B" w:rsidRDefault="00216E8B" w:rsidP="00216E8B">
      <w:pPr>
        <w:pStyle w:val="Odstavecseseznamem"/>
        <w:numPr>
          <w:ilvl w:val="0"/>
          <w:numId w:val="38"/>
        </w:numPr>
      </w:pPr>
      <w:r>
        <w:t>ČSAD BUS Uherské Hradiště a.s. (7 linek)</w:t>
      </w:r>
    </w:p>
    <w:p w14:paraId="351B4184" w14:textId="77777777" w:rsidR="00216E8B" w:rsidRDefault="00216E8B" w:rsidP="00216E8B">
      <w:pPr>
        <w:pStyle w:val="Odstavecseseznamem"/>
        <w:numPr>
          <w:ilvl w:val="0"/>
          <w:numId w:val="38"/>
        </w:numPr>
      </w:pPr>
      <w:r>
        <w:t xml:space="preserve">KRODOS BUS a.s. (4 linky) </w:t>
      </w:r>
    </w:p>
    <w:p w14:paraId="71AD3AAB" w14:textId="77777777" w:rsidR="00216E8B" w:rsidRDefault="00216E8B" w:rsidP="00216E8B">
      <w:pPr>
        <w:pStyle w:val="Odstavecseseznamem"/>
        <w:numPr>
          <w:ilvl w:val="0"/>
          <w:numId w:val="38"/>
        </w:numPr>
      </w:pPr>
      <w:r>
        <w:t xml:space="preserve">HOUSACAR (8 linek) </w:t>
      </w:r>
    </w:p>
    <w:p w14:paraId="1DB0B8EB" w14:textId="77777777" w:rsidR="00216E8B" w:rsidRDefault="00216E8B" w:rsidP="00216E8B">
      <w:pPr>
        <w:pStyle w:val="Odstavecseseznamem"/>
        <w:numPr>
          <w:ilvl w:val="0"/>
          <w:numId w:val="38"/>
        </w:numPr>
      </w:pPr>
      <w:r>
        <w:t xml:space="preserve">ARRIVA MORAVA a.s. (2 linky) </w:t>
      </w:r>
    </w:p>
    <w:p w14:paraId="1FB2E085" w14:textId="77777777" w:rsidR="00216E8B" w:rsidRDefault="00216E8B" w:rsidP="00216E8B">
      <w:pPr>
        <w:pStyle w:val="Odstavecseseznamem"/>
        <w:numPr>
          <w:ilvl w:val="0"/>
          <w:numId w:val="38"/>
        </w:numPr>
      </w:pPr>
      <w:r>
        <w:t>FTL - First Transport Lines (1 mezikrajská linka)</w:t>
      </w:r>
    </w:p>
    <w:p w14:paraId="2C5C1D4B" w14:textId="77777777" w:rsidR="00216E8B" w:rsidRDefault="00216E8B" w:rsidP="00216E8B">
      <w:pPr>
        <w:pStyle w:val="Odstavecseseznamem"/>
      </w:pPr>
    </w:p>
    <w:p w14:paraId="64DC8AF4" w14:textId="511249C9" w:rsidR="00216E8B" w:rsidRDefault="00216E8B" w:rsidP="00216E8B">
      <w:pPr>
        <w:pStyle w:val="Odstavecseseznamem"/>
        <w:ind w:hanging="294"/>
        <w:jc w:val="left"/>
      </w:pPr>
      <w:r>
        <w:t>Od 15.</w:t>
      </w:r>
      <w:r w:rsidR="00C42DC4">
        <w:t xml:space="preserve"> </w:t>
      </w:r>
      <w:r>
        <w:t>12.</w:t>
      </w:r>
      <w:r w:rsidR="00C42DC4">
        <w:t xml:space="preserve"> </w:t>
      </w:r>
      <w:r>
        <w:t>2019 je Zlínský kraj objednatelem linkové dopravy na základě JŘBU u těchto dopravců:</w:t>
      </w:r>
    </w:p>
    <w:p w14:paraId="7BCBA221" w14:textId="77777777" w:rsidR="00216E8B" w:rsidRDefault="00216E8B" w:rsidP="00216E8B">
      <w:pPr>
        <w:pStyle w:val="Odstavecseseznamem"/>
        <w:numPr>
          <w:ilvl w:val="0"/>
          <w:numId w:val="38"/>
        </w:numPr>
      </w:pPr>
      <w:r>
        <w:t>ČSAD Vsetín a.s. v kooperaci s HOUSACAR (oblasti Zlínsko, Vsetínsko, Valašské Meziříčí)</w:t>
      </w:r>
    </w:p>
    <w:p w14:paraId="4E17D6FB" w14:textId="79614C83" w:rsidR="00216E8B" w:rsidRDefault="00216E8B" w:rsidP="00216E8B">
      <w:pPr>
        <w:pStyle w:val="Odstavecseseznamem"/>
        <w:numPr>
          <w:ilvl w:val="0"/>
          <w:numId w:val="38"/>
        </w:numPr>
      </w:pPr>
      <w:r>
        <w:t>ČSAD BUS Uherské</w:t>
      </w:r>
      <w:r w:rsidR="00C42DC4">
        <w:t xml:space="preserve"> Hradiště a.s. </w:t>
      </w:r>
      <w:r>
        <w:t>(oblast Uherské Hradiště)</w:t>
      </w:r>
    </w:p>
    <w:p w14:paraId="039F32EE" w14:textId="24C13B79" w:rsidR="00216E8B" w:rsidRDefault="00216E8B" w:rsidP="00216E8B">
      <w:pPr>
        <w:pStyle w:val="Odstavecseseznamem"/>
        <w:numPr>
          <w:ilvl w:val="0"/>
          <w:numId w:val="38"/>
        </w:numPr>
      </w:pPr>
      <w:r>
        <w:t>KRODOS BUS a.s. (oblast Kroměříž)</w:t>
      </w:r>
    </w:p>
    <w:p w14:paraId="0D717C7A" w14:textId="77777777" w:rsidR="00216E8B" w:rsidRDefault="00216E8B" w:rsidP="00216E8B">
      <w:pPr>
        <w:pStyle w:val="Odstavecseseznamem"/>
        <w:numPr>
          <w:ilvl w:val="0"/>
          <w:numId w:val="38"/>
        </w:numPr>
      </w:pPr>
      <w:r>
        <w:t>ARRIVA MORAVA a.s. (oblast Valašské Klobouky)</w:t>
      </w:r>
    </w:p>
    <w:p w14:paraId="55C107A5" w14:textId="77777777" w:rsidR="00216E8B" w:rsidRDefault="00216E8B" w:rsidP="00216E8B">
      <w:pPr>
        <w:pStyle w:val="Odstavecseseznamem"/>
      </w:pPr>
    </w:p>
    <w:p w14:paraId="694F2F0A" w14:textId="77777777" w:rsidR="00216E8B" w:rsidRDefault="00216E8B" w:rsidP="00216E8B">
      <w:pPr>
        <w:pStyle w:val="Odstavecseseznamem"/>
      </w:pPr>
      <w:r>
        <w:t>Další linky jsou v objednávce sousedních krajů, u kterých Zlínský kraj hradí kompenzaci na svém území.</w:t>
      </w:r>
    </w:p>
    <w:p w14:paraId="1DCC7444" w14:textId="131B1DA7" w:rsidR="00216E8B" w:rsidRDefault="00216E8B" w:rsidP="00216E8B">
      <w:r>
        <w:t>Počátkem roku 2020 uzavřel Zlínský kraj dle výsledků Veřejné zakázky obsluhy linkovou dopravou nové smlouvy s autobusovými dopravci obsluhujícími zázemí kraje na období od 1.</w:t>
      </w:r>
      <w:r w:rsidR="00C42DC4">
        <w:t xml:space="preserve"> </w:t>
      </w:r>
      <w:r>
        <w:t>1.</w:t>
      </w:r>
      <w:r w:rsidR="00C42DC4">
        <w:t xml:space="preserve"> </w:t>
      </w:r>
      <w:r>
        <w:t xml:space="preserve">2021 na 10 let. Součástí připravovaného integrovaného dopravního systému tak budou dopravní firmy TQM Holding s.r.o. ve sdružení s Transdev Morava s.r.o., Arriva Morava a.s., ČSAD BUS Uherské Hradiště a.s. a KRODOS BUS, a.s. </w:t>
      </w:r>
    </w:p>
    <w:p w14:paraId="4795222E" w14:textId="77777777" w:rsidR="00216E8B" w:rsidRDefault="00216E8B" w:rsidP="00216E8B">
      <w:pPr>
        <w:keepNext/>
      </w:pPr>
      <w:r>
        <w:t>Nejvíce vytíženou zastávkou v rámci veřejné linkové dopravy je autobusové nádraží ve Zlíně. Hlavní relace spojení krajského centra se v rámci regionu uskutečňují na následujících trasách:</w:t>
      </w:r>
    </w:p>
    <w:p w14:paraId="3F4D1182" w14:textId="77777777" w:rsidR="00216E8B" w:rsidRDefault="00216E8B" w:rsidP="00216E8B">
      <w:pPr>
        <w:pStyle w:val="Odstavecseseznamem"/>
        <w:numPr>
          <w:ilvl w:val="0"/>
          <w:numId w:val="37"/>
        </w:numPr>
      </w:pPr>
      <w:r>
        <w:t>Zlín - Vizovice - Vsetín</w:t>
      </w:r>
    </w:p>
    <w:p w14:paraId="0AA5770E" w14:textId="77777777" w:rsidR="00216E8B" w:rsidRDefault="00216E8B" w:rsidP="00216E8B">
      <w:pPr>
        <w:pStyle w:val="Odstavecseseznamem"/>
        <w:numPr>
          <w:ilvl w:val="0"/>
          <w:numId w:val="37"/>
        </w:numPr>
      </w:pPr>
      <w:r>
        <w:t>Zlín - Holešov - Hulín - Kroměříž</w:t>
      </w:r>
    </w:p>
    <w:p w14:paraId="08D50ADD" w14:textId="77777777" w:rsidR="00216E8B" w:rsidRDefault="00216E8B" w:rsidP="00216E8B">
      <w:pPr>
        <w:pStyle w:val="Odstavecseseznamem"/>
        <w:numPr>
          <w:ilvl w:val="0"/>
          <w:numId w:val="37"/>
        </w:numPr>
      </w:pPr>
      <w:r>
        <w:t>Zlín - Březolupy - Uherské Hradiště</w:t>
      </w:r>
    </w:p>
    <w:p w14:paraId="700E6B4B" w14:textId="77777777" w:rsidR="00216E8B" w:rsidRDefault="00216E8B" w:rsidP="00216E8B">
      <w:pPr>
        <w:pStyle w:val="Odstavecseseznamem"/>
        <w:numPr>
          <w:ilvl w:val="0"/>
          <w:numId w:val="37"/>
        </w:numPr>
      </w:pPr>
      <w:r>
        <w:t>Zlín - Luhačovice</w:t>
      </w:r>
    </w:p>
    <w:p w14:paraId="7437001F" w14:textId="77777777" w:rsidR="00216E8B" w:rsidRDefault="00216E8B" w:rsidP="00216E8B">
      <w:pPr>
        <w:pStyle w:val="Odstavecseseznamem"/>
        <w:numPr>
          <w:ilvl w:val="0"/>
          <w:numId w:val="37"/>
        </w:numPr>
      </w:pPr>
      <w:r>
        <w:t xml:space="preserve">Zlín - Otrokovice - Staré Město - Uherské Hradiště </w:t>
      </w:r>
    </w:p>
    <w:p w14:paraId="7D0CAA68" w14:textId="77777777" w:rsidR="00216E8B" w:rsidRDefault="00216E8B" w:rsidP="00216E8B">
      <w:r>
        <w:t xml:space="preserve">Nadregionální autobusové dopravní spojení je zastoupeno přímými spoji s centry sousedních krajů (Brno, Olomouc, Ostrava). Autobusovou dopravu mezi vzdálenějšími centry Česka umožňují v komerčním sektoru například společnosti Student Agency (spoj Zlín – Praha 4x denně, navazující </w:t>
      </w:r>
      <w:r>
        <w:lastRenderedPageBreak/>
        <w:t>vlakové spojení; spoj Zlín – Brno 4x denně) nebo Flixbus (trasa Zlín – Brno – České Budějovice – Mnichov; spojení Zlín - Žilina).</w:t>
      </w:r>
    </w:p>
    <w:p w14:paraId="69F24F71" w14:textId="77777777" w:rsidR="00216E8B" w:rsidRDefault="00216E8B" w:rsidP="00216E8B">
      <w:r>
        <w:t>Modernizace vozového parku Dopravního podniku Zlín – Otrokovice je jedním z prioritních opatření v rámci Integrovaného operačního programu udržitelné dopravy. Dochází tak k obnově vozového parku, nově je v provozu například 7 bateriových trolejbusů, což má příznivý vliv na ovzduší města. V testování je také prototyp nového elektrobusu firmy Škoda Transportation. V prvním čtvrtletí roku 2021 bude také nakoupeno 8 nových nízkopodlažních autobusů.</w:t>
      </w:r>
    </w:p>
    <w:p w14:paraId="0FDE7F0A" w14:textId="438C4597" w:rsidR="00216E8B" w:rsidRPr="00DA7ABE" w:rsidRDefault="00216E8B" w:rsidP="00216E8B">
      <w:pPr>
        <w:rPr>
          <w:rFonts w:cstheme="minorHAnsi"/>
        </w:rPr>
      </w:pPr>
      <w:r>
        <w:t xml:space="preserve">V rámci </w:t>
      </w:r>
      <w:r w:rsidRPr="008E75CA">
        <w:rPr>
          <w:b/>
        </w:rPr>
        <w:t>anketního šetření</w:t>
      </w:r>
      <w:r>
        <w:t xml:space="preserve"> zpracovaného v rámci realizace Strategie ZLÍN 2030 </w:t>
      </w:r>
      <w:r w:rsidRPr="00DA7ABE">
        <w:rPr>
          <w:rFonts w:cstheme="minorHAnsi"/>
        </w:rPr>
        <w:t>byl</w:t>
      </w:r>
      <w:r>
        <w:rPr>
          <w:rFonts w:cstheme="minorHAnsi"/>
        </w:rPr>
        <w:t>a</w:t>
      </w:r>
      <w:r w:rsidRPr="00DA7ABE">
        <w:rPr>
          <w:rFonts w:cstheme="minorHAnsi"/>
        </w:rPr>
        <w:t xml:space="preserve"> </w:t>
      </w:r>
      <w:r w:rsidRPr="003D492B">
        <w:t>spokojenost s </w:t>
      </w:r>
      <w:r w:rsidRPr="007126C8">
        <w:rPr>
          <w:b/>
        </w:rPr>
        <w:t>dostupností MHD</w:t>
      </w:r>
      <w:r w:rsidRPr="003D492B">
        <w:t xml:space="preserve"> </w:t>
      </w:r>
      <w:r>
        <w:t>respondenty hodnocena kladně. Na bodové stupnici 0</w:t>
      </w:r>
      <w:r w:rsidR="00E9706D">
        <w:t xml:space="preserve"> </w:t>
      </w:r>
      <w:r w:rsidR="00E9706D">
        <w:sym w:font="Symbol" w:char="F02D"/>
      </w:r>
      <w:r w:rsidR="00E9706D">
        <w:t xml:space="preserve"> </w:t>
      </w:r>
      <w:r>
        <w:t>100 bylo průměrné hodnocení respondentů z řad</w:t>
      </w:r>
      <w:r w:rsidRPr="003D492B">
        <w:t> občan</w:t>
      </w:r>
      <w:r>
        <w:t xml:space="preserve">ů </w:t>
      </w:r>
      <w:r w:rsidRPr="007126C8">
        <w:t>Zlína 75,7, u respondentů</w:t>
      </w:r>
      <w:r w:rsidRPr="003D492B">
        <w:t>, kteří ve Zlíně žijí, ale nemají zde trvalé bydliště</w:t>
      </w:r>
      <w:r>
        <w:t>, bylo průměrné hodnocení 76,0, nejlépe pak dostupnost MHD hodnotili studenti</w:t>
      </w:r>
      <w:r w:rsidRPr="003D492B">
        <w:t xml:space="preserve"> UTB</w:t>
      </w:r>
      <w:r>
        <w:t xml:space="preserve"> (</w:t>
      </w:r>
      <w:r w:rsidRPr="003D492B">
        <w:t>80,1</w:t>
      </w:r>
      <w:r>
        <w:t>)</w:t>
      </w:r>
      <w:r w:rsidRPr="003D492B">
        <w:t>.</w:t>
      </w:r>
      <w:r>
        <w:t xml:space="preserve"> Z hlediska věku byla dostupnost MHD nejlépe hodnocena respondenty do 35 let (79,4). </w:t>
      </w:r>
      <w:r w:rsidRPr="007126C8">
        <w:rPr>
          <w:b/>
        </w:rPr>
        <w:t>K</w:t>
      </w:r>
      <w:r w:rsidRPr="007126C8">
        <w:rPr>
          <w:rFonts w:cstheme="minorHAnsi"/>
          <w:b/>
        </w:rPr>
        <w:t>valit</w:t>
      </w:r>
      <w:r>
        <w:rPr>
          <w:rFonts w:cstheme="minorHAnsi"/>
          <w:b/>
        </w:rPr>
        <w:t>a</w:t>
      </w:r>
      <w:r w:rsidRPr="007126C8">
        <w:rPr>
          <w:rFonts w:cstheme="minorHAnsi"/>
          <w:b/>
        </w:rPr>
        <w:t xml:space="preserve"> MHD</w:t>
      </w:r>
      <w:r w:rsidRPr="003D492B">
        <w:rPr>
          <w:rFonts w:cstheme="minorHAnsi"/>
        </w:rPr>
        <w:t xml:space="preserve"> </w:t>
      </w:r>
      <w:r>
        <w:rPr>
          <w:rFonts w:cstheme="minorHAnsi"/>
        </w:rPr>
        <w:t xml:space="preserve">byla hodnocena rovněž pozitivně, i když mírně negativněji, než dostupnost </w:t>
      </w:r>
      <w:r w:rsidRPr="003D492B">
        <w:rPr>
          <w:rFonts w:cstheme="minorHAnsi"/>
        </w:rPr>
        <w:t xml:space="preserve">(u </w:t>
      </w:r>
      <w:r w:rsidRPr="007126C8">
        <w:rPr>
          <w:rFonts w:cstheme="minorHAnsi"/>
        </w:rPr>
        <w:t>občanů 72,2;</w:t>
      </w:r>
      <w:r>
        <w:rPr>
          <w:rFonts w:cstheme="minorHAnsi"/>
        </w:rPr>
        <w:t xml:space="preserve"> u</w:t>
      </w:r>
      <w:r w:rsidR="00E9706D">
        <w:rPr>
          <w:rFonts w:cstheme="minorHAnsi"/>
        </w:rPr>
        <w:t> </w:t>
      </w:r>
      <w:r>
        <w:rPr>
          <w:rFonts w:cstheme="minorHAnsi"/>
        </w:rPr>
        <w:t>respondentů žijících ve Zlíně bez trvalého bydliště 70,4; u studentů UTB 72,8). Z hlediska věku hodnotili kvalitu MHD nejlépe respondenti do 35 let věku (75,0). MHD byla v anketě rovněž respondenty identifikována, jako jedno z</w:t>
      </w:r>
      <w:r w:rsidR="00E9706D">
        <w:rPr>
          <w:rFonts w:cstheme="minorHAnsi"/>
        </w:rPr>
        <w:t> </w:t>
      </w:r>
      <w:r>
        <w:rPr>
          <w:rFonts w:cstheme="minorHAnsi"/>
        </w:rPr>
        <w:t>míst</w:t>
      </w:r>
      <w:r w:rsidR="00E9706D">
        <w:rPr>
          <w:rFonts w:cstheme="minorHAnsi"/>
        </w:rPr>
        <w:t>,</w:t>
      </w:r>
      <w:r>
        <w:rPr>
          <w:rFonts w:cstheme="minorHAnsi"/>
        </w:rPr>
        <w:t xml:space="preserve"> kde se respondenti necítí bezpečně z důvodu výskytu lidí bez domova. </w:t>
      </w:r>
      <w:r w:rsidRPr="00DA7ABE">
        <w:rPr>
          <w:rFonts w:cstheme="minorHAnsi"/>
        </w:rPr>
        <w:t>V</w:t>
      </w:r>
      <w:r>
        <w:rPr>
          <w:rFonts w:cstheme="minorHAnsi"/>
        </w:rPr>
        <w:t> rámci otázky „Jak rozvíjet Zlín“ pak ve více případech respondenti navrhovali</w:t>
      </w:r>
      <w:r w:rsidRPr="00DA7ABE">
        <w:rPr>
          <w:rFonts w:cstheme="minorHAnsi"/>
        </w:rPr>
        <w:t xml:space="preserve"> rozšíření spojů MHD do vzdálenějších lokal</w:t>
      </w:r>
      <w:r>
        <w:rPr>
          <w:rFonts w:cstheme="minorHAnsi"/>
        </w:rPr>
        <w:t>it, celkové zlevnění a propagaci</w:t>
      </w:r>
      <w:r w:rsidRPr="00DA7ABE">
        <w:rPr>
          <w:rFonts w:cstheme="minorHAnsi"/>
        </w:rPr>
        <w:t xml:space="preserve"> MHD, případně zvýhodněné jízdné pro obyvatele Zlína. Navrhovaná byla také in</w:t>
      </w:r>
      <w:r>
        <w:rPr>
          <w:rFonts w:cstheme="minorHAnsi"/>
        </w:rPr>
        <w:t>tegrace MHD a vlakové dopravy a </w:t>
      </w:r>
      <w:r w:rsidRPr="00DA7ABE">
        <w:rPr>
          <w:rFonts w:cstheme="minorHAnsi"/>
        </w:rPr>
        <w:t>chytrá řešení typu elektronického nákupu jízdenek.</w:t>
      </w:r>
    </w:p>
    <w:p w14:paraId="65BC6611" w14:textId="77777777" w:rsidR="00216E8B" w:rsidRPr="008E75CA" w:rsidRDefault="00216E8B" w:rsidP="00216E8B">
      <w:pPr>
        <w:keepNext/>
        <w:rPr>
          <w:b/>
        </w:rPr>
      </w:pPr>
      <w:r w:rsidRPr="008E75CA">
        <w:rPr>
          <w:b/>
        </w:rPr>
        <w:t>Přestupní terminály</w:t>
      </w:r>
    </w:p>
    <w:p w14:paraId="07A4864D" w14:textId="778C731C" w:rsidR="00216E8B" w:rsidRDefault="00216E8B" w:rsidP="00216E8B">
      <w:r>
        <w:t>Přestupní terminál Gahurova, resp. Zlín střed</w:t>
      </w:r>
      <w:r w:rsidR="00E9706D">
        <w:t>,</w:t>
      </w:r>
      <w:r>
        <w:t xml:space="preserve"> slučuje stávající železniční stanici Zlín střed a autobusové nádraží. Terminál je dlouhodobě v nevyhovujícím stavu, bez blízké vzájemné provázanosti autobusového a vlakového nádraží. Prostor terminálu nebyl v posledních čtyřiceti letech významně rekonstruován. Důsledkem je tak charakter dlouhodobého provizoria před generální rekonstrukcí v</w:t>
      </w:r>
      <w:r w:rsidR="00E9706D">
        <w:t> </w:t>
      </w:r>
      <w:r>
        <w:t>případě autobusového nádraží, u vlakového je stav dán stavbou trati a výpravní budovy na konci 19. století, čemuž více méně odpovídá charakter objektu i v současnosti. Návrh na modernizaci terminálu počítá s realizací multimodálního přestupního terminálu. Nový dopravní terminál Zlín střed je popsán v</w:t>
      </w:r>
      <w:r w:rsidR="00E9706D">
        <w:t> </w:t>
      </w:r>
      <w:r>
        <w:t>kapitole Klíčové dopravní stavby s celostátním dopadem.</w:t>
      </w:r>
    </w:p>
    <w:p w14:paraId="4DC0EF92" w14:textId="77777777" w:rsidR="00216E8B" w:rsidRDefault="00216E8B" w:rsidP="00216E8B">
      <w:r>
        <w:t>V rámci vnějšího spádového území doporučuje generel dopravy podporovat spíše koncept dopravní obsluhy, kdy železniční zastávky a stanice budou tvořit multimodální přestupní místa mezi veřejnou dopravou a individuální automobilovou nebo cyklistickou dopravou (systémy P+R, B+R).</w:t>
      </w:r>
    </w:p>
    <w:p w14:paraId="7DB38555" w14:textId="77777777" w:rsidR="00216E8B" w:rsidRPr="00DD3E2D" w:rsidRDefault="00216E8B" w:rsidP="00216E8B">
      <w:r>
        <w:t xml:space="preserve">Jak již bylo uvedeno výše, v rámci </w:t>
      </w:r>
      <w:r w:rsidRPr="008E75CA">
        <w:rPr>
          <w:b/>
        </w:rPr>
        <w:t>anketního šetření</w:t>
      </w:r>
      <w:r>
        <w:t xml:space="preserve"> respondenti zmiňovali špatný stav současného dopravního terminálu jako jeden z nejvýznamnějších nedostatků města.</w:t>
      </w:r>
    </w:p>
    <w:p w14:paraId="6B0F1127" w14:textId="77777777" w:rsidR="00216E8B" w:rsidRDefault="00216E8B" w:rsidP="00216E8B">
      <w:pPr>
        <w:pStyle w:val="Nadpis4"/>
      </w:pPr>
      <w:r>
        <w:t>C</w:t>
      </w:r>
      <w:r w:rsidRPr="0092656A">
        <w:t xml:space="preserve">yklistická a pěší doprava </w:t>
      </w:r>
    </w:p>
    <w:p w14:paraId="3C11E800" w14:textId="77777777" w:rsidR="00216E8B" w:rsidRPr="009E7652" w:rsidRDefault="00216E8B" w:rsidP="00216E8B">
      <w:pPr>
        <w:keepNext/>
        <w:rPr>
          <w:b/>
        </w:rPr>
      </w:pPr>
      <w:r w:rsidRPr="009E7652">
        <w:rPr>
          <w:b/>
        </w:rPr>
        <w:t>Cyklistická doprava</w:t>
      </w:r>
    </w:p>
    <w:p w14:paraId="15FE11F5" w14:textId="3B22B7EF" w:rsidR="00216E8B" w:rsidRDefault="00216E8B" w:rsidP="00216E8B">
      <w:r>
        <w:t>Na území města Zlína je cyklistická doprava zastoupena podílem necelých 2 % dělby přepravní práce. Toto velmi nízké číslo je zapříčiněno zejména nevhodnými podmínkami pro provozování tohoto dopravního módu. Zvláště nedostatečně rozvinutá cyklistická infrastruktura, nízké bezpečnostní podmínky u stávajících tras, nepříznivé výškové poměry území a rozvoj individuální automobilové dopravy, která postupně cyklisty vytlačila z komunikací, způsobily stagnaci cyklistické dopravy. I přes kopcovité rozložení města lze však poměrně snadným způsobem docílit zvýšení podílu cyklistické dopravy na dělbě přepravní práce a zvýšit tak počet cyklistů, kteří pro své každodenní cesty použijí jízdní kolo. Z pohledu denní dojížďky může být vhodné jízdní kolo použ</w:t>
      </w:r>
      <w:r w:rsidR="00E9706D">
        <w:t>í</w:t>
      </w:r>
      <w:r>
        <w:t>t v kombinaci s hromadnou dopravou, kdy cyklista kolo bezpečně zaparkuje na přestupním místě a pokračuje do cíle své cesty na prostředky VH</w:t>
      </w:r>
      <w:r w:rsidR="00E9706D">
        <w:t>D</w:t>
      </w:r>
      <w:r>
        <w:t>. Cyklistická doprava má v území vysoký potenciál i v rámci cykloturistiky.</w:t>
      </w:r>
    </w:p>
    <w:p w14:paraId="4F03A232" w14:textId="77777777" w:rsidR="00216E8B" w:rsidRPr="00A967F9" w:rsidRDefault="00216E8B" w:rsidP="00216E8B">
      <w:pPr>
        <w:rPr>
          <w:u w:val="single"/>
        </w:rPr>
      </w:pPr>
      <w:r w:rsidRPr="00A967F9">
        <w:rPr>
          <w:u w:val="single"/>
        </w:rPr>
        <w:lastRenderedPageBreak/>
        <w:t>Základní kostra cyklotras:</w:t>
      </w:r>
    </w:p>
    <w:p w14:paraId="597228DC" w14:textId="77777777" w:rsidR="00216E8B" w:rsidRDefault="00216E8B" w:rsidP="00216E8B">
      <w:r w:rsidRPr="009E7652">
        <w:rPr>
          <w:b/>
        </w:rPr>
        <w:t>č.471 Otrokovice-Malenovice-Zlín-Příluky-Vizovice</w:t>
      </w:r>
      <w:r>
        <w:rPr>
          <w:b/>
        </w:rPr>
        <w:t xml:space="preserve"> </w:t>
      </w:r>
      <w:r w:rsidRPr="009C1B2F">
        <w:t>–</w:t>
      </w:r>
      <w:r>
        <w:rPr>
          <w:b/>
        </w:rPr>
        <w:t xml:space="preserve"> </w:t>
      </w:r>
      <w:r w:rsidRPr="009E7652">
        <w:t xml:space="preserve">trasa protíná město v západovýchodním </w:t>
      </w:r>
      <w:r>
        <w:t>směru, většinou podél řeky Dřevnice, je vedena převážně po smíšených stezkách se společným provozem pěších a cyklistů. Na několika místech není infrastruktura dobudována a cyklisté sdílejí místní komunikaci s motorovou dopravou. Na této cyklotrase byly nově vybudovány 2 podjezdy pro cyklisty pod mosty v části Cigánov a u nákupního centra Čepkov.</w:t>
      </w:r>
    </w:p>
    <w:p w14:paraId="0B9671D1" w14:textId="77777777" w:rsidR="00216E8B" w:rsidRDefault="00216E8B" w:rsidP="00216E8B">
      <w:r w:rsidRPr="009C1B2F">
        <w:rPr>
          <w:b/>
        </w:rPr>
        <w:t>č. 5036 Fryšták-Štípa-Slušovice</w:t>
      </w:r>
      <w:r>
        <w:rPr>
          <w:b/>
        </w:rPr>
        <w:t xml:space="preserve"> </w:t>
      </w:r>
      <w:r w:rsidRPr="009C1B2F">
        <w:t>– trasa protíná severní okraj Zlína v místní části Lešná a Štípa</w:t>
      </w:r>
      <w:r>
        <w:t>, na území města je vedena společně s motorovou dopravou po komunikaci III. třídy.</w:t>
      </w:r>
    </w:p>
    <w:p w14:paraId="25991600" w14:textId="77777777" w:rsidR="00216E8B" w:rsidRDefault="00216E8B" w:rsidP="00216E8B">
      <w:r w:rsidRPr="009C1B2F">
        <w:rPr>
          <w:b/>
        </w:rPr>
        <w:t xml:space="preserve">č. </w:t>
      </w:r>
      <w:r>
        <w:rPr>
          <w:b/>
        </w:rPr>
        <w:t>5054, 5055, 5060 Zlín-Jaroslavice-Kudlov-Uherské Hradiště/Luhačovice/</w:t>
      </w:r>
      <w:r w:rsidRPr="009C1B2F">
        <w:rPr>
          <w:b/>
        </w:rPr>
        <w:t>Napajedla</w:t>
      </w:r>
      <w:r>
        <w:t xml:space="preserve"> – tyto 3 trasy jsou vedeny ve stejné stopě, na Havlíčkově nábřeží u Baťovy nemocnice se odpojují od páteřní trasy 471 a pokračují po frekventovaných komunikacích. Cyklotrasy jsou v celé své délce vedeny ve společném uličním prostoru s motorovou dopravou.</w:t>
      </w:r>
    </w:p>
    <w:p w14:paraId="7CEDC4E1" w14:textId="4D6F9C4D" w:rsidR="00216E8B" w:rsidRDefault="00216E8B" w:rsidP="00216E8B">
      <w:r w:rsidRPr="00A80D21">
        <w:rPr>
          <w:b/>
        </w:rPr>
        <w:t>č. 5067 Zlín-Lázně Kostelec-ZOO Lešná-Lukov</w:t>
      </w:r>
      <w:r>
        <w:t xml:space="preserve"> – trasa se odděluje od páteřní 471 u soutoku Dřevnice a</w:t>
      </w:r>
      <w:r w:rsidR="00E9706D">
        <w:t> </w:t>
      </w:r>
      <w:r>
        <w:t>Fryštáckého potoka a pokračuje severní směrem kolem Lázní Kostelec, přes místní část Štípa k ZOO Lešná a dále severním směrem do obce Lukov. Cyklotrasa vede v celé své délce 7,6 km na území Zlína (mimo 100 m úsek v ulici Obilná) po separované stezce určené pro smíšený provoz pěších a cyklistů.</w:t>
      </w:r>
    </w:p>
    <w:p w14:paraId="48A6E57F" w14:textId="77777777" w:rsidR="00216E8B" w:rsidRDefault="00216E8B" w:rsidP="00216E8B">
      <w:r>
        <w:t>Tato základní síť cyklistické infrastruktury je doplněna o lokální úseky pro cyklisty, ty však většinou nemají návaznost na výše uvedenou základní síť. Převážná většina těchto míst je ve formě smíšených stezek s provozem pěších a cyklistů. Délka dosud vybudovaných cyklostezek (jak se smíšeným provozem s pěší dopravou, tak čistě pro cyklisty) na území města Zlína je zhruba 28 km. Cyklistické trasy jsou tedy situovány převážně na komunikace s motorovou dopravou. Převažují sice komunikace s nízkou intenzitou motorové dopravy, lokálně jsou však trasy vedené i po nevhodných komunikacích s vysokou intenzitou dopravy. Bezpečnému cyklistickému provozu tak v současné době (rok 2020) vyhovuje jen malý podíl stávající infrastruktury.</w:t>
      </w:r>
    </w:p>
    <w:p w14:paraId="45BF196B" w14:textId="27D81820" w:rsidR="00216E8B" w:rsidRDefault="00216E8B" w:rsidP="00216E8B">
      <w:r w:rsidRPr="00A80D21">
        <w:rPr>
          <w:b/>
        </w:rPr>
        <w:t>Kritická místa</w:t>
      </w:r>
      <w:r>
        <w:rPr>
          <w:b/>
        </w:rPr>
        <w:t xml:space="preserve"> </w:t>
      </w:r>
      <w:r>
        <w:t>jsou v úsecích, kdy cyklistická doprava využívá společný prostor s motorovou dopravou (např. Podvesná XVII, Štefánikova, Dlouhá), místa, kde je potřebné převedení cyklodopravy přes zatížené komunikace (např. Gahurova-tř. T. Bati, Výletní-Tyršovo náb., Sokolská-Fügnerovo náb.), místa, kde je cyklostezka ukončena a nepokračuje dále (např. ul. Jateční, Havlíčkovo náb.) a částečně i</w:t>
      </w:r>
      <w:r w:rsidR="00E9706D">
        <w:t> </w:t>
      </w:r>
      <w:r>
        <w:t>kolizních místech s pěší dopravou.</w:t>
      </w:r>
    </w:p>
    <w:p w14:paraId="4F3F075F" w14:textId="77777777" w:rsidR="00216E8B" w:rsidRDefault="00216E8B" w:rsidP="00216E8B">
      <w:pPr>
        <w:rPr>
          <w:rFonts w:cstheme="minorHAnsi"/>
        </w:rPr>
      </w:pPr>
      <w:r>
        <w:t xml:space="preserve">V rámci </w:t>
      </w:r>
      <w:r w:rsidRPr="008E75CA">
        <w:rPr>
          <w:b/>
        </w:rPr>
        <w:t>anketního šetření</w:t>
      </w:r>
      <w:r>
        <w:t xml:space="preserve"> zpracovaného v rámci realizace Strategie ZLÍN 2030 </w:t>
      </w:r>
      <w:r>
        <w:rPr>
          <w:rFonts w:cstheme="minorHAnsi"/>
        </w:rPr>
        <w:t xml:space="preserve">respondenti pozitivně vnímali rozšiřování sítě cyklostezek, na druhou stranu negativně hodnotili jejich vzájemnou nepropojenost. </w:t>
      </w:r>
    </w:p>
    <w:p w14:paraId="400A97C3" w14:textId="77777777" w:rsidR="00216E8B" w:rsidRDefault="00216E8B" w:rsidP="00216E8B">
      <w:pPr>
        <w:rPr>
          <w:rFonts w:cstheme="minorHAnsi"/>
        </w:rPr>
      </w:pPr>
    </w:p>
    <w:p w14:paraId="716CDBEB" w14:textId="6196B823" w:rsidR="00216E8B" w:rsidRDefault="00216E8B" w:rsidP="00216E8B">
      <w:pPr>
        <w:pStyle w:val="Titulek"/>
        <w:keepNext/>
      </w:pPr>
      <w:bookmarkStart w:id="292" w:name="_Toc77074868"/>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50</w:t>
      </w:r>
      <w:r w:rsidR="00804AF3">
        <w:rPr>
          <w:noProof/>
        </w:rPr>
        <w:fldChar w:fldCharType="end"/>
      </w:r>
      <w:r w:rsidR="00E9706D">
        <w:rPr>
          <w:noProof/>
        </w:rPr>
        <w:t>:</w:t>
      </w:r>
      <w:r>
        <w:t xml:space="preserve"> Základní síť cyklotras a cyklostezek ve Zlíně a okolí</w:t>
      </w:r>
      <w:bookmarkEnd w:id="292"/>
    </w:p>
    <w:p w14:paraId="783DBC88" w14:textId="70B6021E" w:rsidR="00216E8B" w:rsidRDefault="00216E8B" w:rsidP="00216E8B">
      <w:pPr>
        <w:rPr>
          <w:rFonts w:cstheme="minorHAnsi"/>
        </w:rPr>
      </w:pPr>
      <w:r>
        <w:rPr>
          <w:rFonts w:cstheme="minorHAnsi"/>
          <w:noProof/>
          <w:lang w:eastAsia="cs-CZ"/>
        </w:rPr>
        <w:drawing>
          <wp:inline distT="0" distB="0" distL="0" distR="0" wp14:anchorId="7031E8C1" wp14:editId="0FE8CABA">
            <wp:extent cx="5762625" cy="4324350"/>
            <wp:effectExtent l="0" t="0" r="9525" b="0"/>
            <wp:docPr id="219" name="Obrázek 219" descr="Cyklo_Z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yklo_Zli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14:paraId="46C4EE4B" w14:textId="77777777" w:rsidR="00E9706D" w:rsidRDefault="00E9706D" w:rsidP="00216E8B">
      <w:pPr>
        <w:keepNext/>
        <w:rPr>
          <w:b/>
        </w:rPr>
      </w:pPr>
    </w:p>
    <w:p w14:paraId="7376987A" w14:textId="77777777" w:rsidR="00216E8B" w:rsidRPr="00E8084B" w:rsidRDefault="00216E8B" w:rsidP="00216E8B">
      <w:pPr>
        <w:keepNext/>
        <w:rPr>
          <w:b/>
        </w:rPr>
      </w:pPr>
      <w:r w:rsidRPr="00E8084B">
        <w:rPr>
          <w:b/>
        </w:rPr>
        <w:t>Pěší doprava</w:t>
      </w:r>
    </w:p>
    <w:p w14:paraId="27C46FE4" w14:textId="77777777" w:rsidR="00216E8B" w:rsidRDefault="00216E8B" w:rsidP="00216E8B">
      <w:r>
        <w:t xml:space="preserve">Na území města Zlína je pěší doprava zastoupena podílem 25 % dělby přepravní práce, což představuje významný podíl na celkovém dopravním chování. Problematiku pěší dopravy je vhodné řešit z pohledu zásadních zdrojů a cílů cest a jejich vzájemného propojení s důrazem na bezpečnostní rizika chodců na těchto trasách. Důležitou součástí je rovněž možnost snadného pěšího přesunu na zastávky hromadné dopravy. Zásadní je pak problematika střetů pěší a motorové dopravy a problematika bezbariérových tras. </w:t>
      </w:r>
    </w:p>
    <w:p w14:paraId="36054323" w14:textId="5CD3E736" w:rsidR="00216E8B" w:rsidRDefault="00216E8B" w:rsidP="00216E8B">
      <w:r w:rsidRPr="0008046A">
        <w:t>Podle Generelu bezmotorové dopravy pro město Zlín</w:t>
      </w:r>
      <w:r>
        <w:rPr>
          <w:rStyle w:val="Znakapoznpodarou"/>
        </w:rPr>
        <w:footnoteReference w:id="75"/>
      </w:r>
      <w:r w:rsidRPr="0008046A">
        <w:t xml:space="preserve"> </w:t>
      </w:r>
      <w:r w:rsidRPr="0008046A">
        <w:rPr>
          <w:b/>
        </w:rPr>
        <w:t>je z</w:t>
      </w:r>
      <w:r w:rsidRPr="00A52F90">
        <w:rPr>
          <w:b/>
        </w:rPr>
        <w:t> </w:t>
      </w:r>
      <w:r>
        <w:rPr>
          <w:b/>
        </w:rPr>
        <w:t>minulosti</w:t>
      </w:r>
      <w:r w:rsidRPr="00A52F90">
        <w:rPr>
          <w:b/>
        </w:rPr>
        <w:t xml:space="preserve"> stav komunikační infrastruktury často zanedbaný a neumožňuje bezbariérový pohyb.</w:t>
      </w:r>
      <w:r>
        <w:t xml:space="preserve"> Město si nechal</w:t>
      </w:r>
      <w:r w:rsidR="004F6B08">
        <w:t>o vypracovat podrobný přehled o </w:t>
      </w:r>
      <w:r>
        <w:t>stavu všech chodníkových ploch, v rámci projektu „Chodníky 300“ byly také sestaveny metodické pokyny, které jsou závazné pro projektování a realizaci nových chodníků, modernizaci a údržbu stávajících chodníků.</w:t>
      </w:r>
    </w:p>
    <w:p w14:paraId="02ED703B" w14:textId="474FFBF0" w:rsidR="00216E8B" w:rsidRDefault="00216E8B" w:rsidP="00216E8B">
      <w:r w:rsidRPr="00CF6C04">
        <w:rPr>
          <w:b/>
        </w:rPr>
        <w:t>Nebezpečná místa</w:t>
      </w:r>
      <w:r>
        <w:t xml:space="preserve"> jsou zejména stávající nevyhovující přechody pro chodce, místa pro přecházení, místa s nedostatečnými rozhledovými poměry, úseky s nedostatečným množstvím míst umožňujících bezpečné překonání komunikace, nedostatečně nasvětlené dopravní lokality, nevhodně situované zastávky hromadné dopravy, řada fyzických bariér, či absentující bezbariérové prvky. Největší podíl </w:t>
      </w:r>
      <w:r>
        <w:lastRenderedPageBreak/>
        <w:t>dopravních nehod s účastí chodců se stal na komunikacích I/49, II/490, Gahurova-K Pasekám</w:t>
      </w:r>
      <w:r w:rsidR="004F6B08">
        <w:t>-</w:t>
      </w:r>
      <w:r>
        <w:t>Okružní a</w:t>
      </w:r>
      <w:r w:rsidR="004F6B08">
        <w:t> </w:t>
      </w:r>
      <w:r>
        <w:t>na ul. Štefánikova, řešení problematiky bezpečnosti je potřeba směřovat v první řadě do těchto míst.</w:t>
      </w:r>
    </w:p>
    <w:p w14:paraId="69F74B17" w14:textId="77777777" w:rsidR="00216E8B" w:rsidRDefault="00216E8B" w:rsidP="00216E8B">
      <w:pPr>
        <w:pStyle w:val="Nadpis4"/>
      </w:pPr>
      <w:r>
        <w:t>L</w:t>
      </w:r>
      <w:r w:rsidRPr="0092656A">
        <w:t xml:space="preserve">etecká doprava </w:t>
      </w:r>
    </w:p>
    <w:p w14:paraId="4F08B262" w14:textId="4A456AC7" w:rsidR="00216E8B" w:rsidRDefault="00216E8B" w:rsidP="00216E8B">
      <w:pPr>
        <w:keepNext/>
        <w:keepLines/>
      </w:pPr>
      <w:r>
        <w:t>Nejbližším mezinárodním letištěm je Brno-Tuřany, které je od Zlína vzdáleno 1:01 hod., následuje Letiště Leoše Janáčka u Ostravy, vzdálené 1:25 hod., dalšími letišti jsou Bratislava (2:11</w:t>
      </w:r>
      <w:r w:rsidR="004F6B08">
        <w:t xml:space="preserve"> hod.</w:t>
      </w:r>
      <w:r>
        <w:t>), Katowice (2:23</w:t>
      </w:r>
      <w:r w:rsidR="004F6B08">
        <w:t xml:space="preserve"> hod.</w:t>
      </w:r>
      <w:r>
        <w:t>), Vídeň (2:47</w:t>
      </w:r>
      <w:r w:rsidR="004F6B08">
        <w:t xml:space="preserve"> hod.</w:t>
      </w:r>
      <w:r>
        <w:t>) a Praha (3:28</w:t>
      </w:r>
      <w:r w:rsidR="004F6B08">
        <w:t xml:space="preserve"> hod.</w:t>
      </w:r>
      <w:r>
        <w:t>). Z hlediska ekonomické náročnosti provozu letiště vztažené k velikosti přepravovaného carga a osob je nutné zhodnotit uvedenou časovou dostupnost jako dostatečnou, tj. bez potřeby vzniku nového letiště.</w:t>
      </w:r>
    </w:p>
    <w:p w14:paraId="1BB04234" w14:textId="1BC4858A" w:rsidR="00216E8B" w:rsidRDefault="00216E8B" w:rsidP="00216E8B">
      <w:pPr>
        <w:pStyle w:val="Titulek"/>
        <w:keepNext/>
      </w:pPr>
      <w:bookmarkStart w:id="293" w:name="_Toc51933195"/>
      <w:bookmarkStart w:id="294" w:name="_Toc7707486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51</w:t>
      </w:r>
      <w:r w:rsidR="00804AF3">
        <w:rPr>
          <w:noProof/>
        </w:rPr>
        <w:fldChar w:fldCharType="end"/>
      </w:r>
      <w:r w:rsidR="004F6B08">
        <w:rPr>
          <w:noProof/>
        </w:rPr>
        <w:t>:</w:t>
      </w:r>
      <w:r>
        <w:t xml:space="preserve"> Vzdálenosti letišť ze Zlína automobilovou dopravou</w:t>
      </w:r>
      <w:bookmarkEnd w:id="293"/>
      <w:bookmarkEnd w:id="294"/>
    </w:p>
    <w:p w14:paraId="53E88E3F" w14:textId="77777777" w:rsidR="00216E8B" w:rsidRDefault="00216E8B" w:rsidP="00216E8B">
      <w:r>
        <w:rPr>
          <w:noProof/>
          <w:lang w:eastAsia="cs-CZ"/>
        </w:rPr>
        <w:drawing>
          <wp:inline distT="0" distB="0" distL="0" distR="0" wp14:anchorId="780EF7A8" wp14:editId="713FD38D">
            <wp:extent cx="5760732" cy="2880366"/>
            <wp:effectExtent l="0" t="0" r="0" b="0"/>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etiste_Zlin.png"/>
                    <pic:cNvPicPr/>
                  </pic:nvPicPr>
                  <pic:blipFill>
                    <a:blip r:embed="rId90" cstate="print">
                      <a:extLst>
                        <a:ext uri="{28A0092B-C50C-407E-A947-70E740481C1C}">
                          <a14:useLocalDpi xmlns:a14="http://schemas.microsoft.com/office/drawing/2010/main"/>
                        </a:ext>
                      </a:extLst>
                    </a:blip>
                    <a:stretch>
                      <a:fillRect/>
                    </a:stretch>
                  </pic:blipFill>
                  <pic:spPr>
                    <a:xfrm>
                      <a:off x="0" y="0"/>
                      <a:ext cx="5760732" cy="2880366"/>
                    </a:xfrm>
                    <a:prstGeom prst="rect">
                      <a:avLst/>
                    </a:prstGeom>
                  </pic:spPr>
                </pic:pic>
              </a:graphicData>
            </a:graphic>
          </wp:inline>
        </w:drawing>
      </w:r>
    </w:p>
    <w:p w14:paraId="1BA5DA0F" w14:textId="168391F4" w:rsidR="00216E8B" w:rsidRDefault="00216E8B" w:rsidP="00216E8B">
      <w:pPr>
        <w:pStyle w:val="Zdroj"/>
      </w:pPr>
      <w:r>
        <w:t>Zdroj: mapy.cz, úprava PROCES,</w:t>
      </w:r>
      <w:r w:rsidR="004F6B08">
        <w:t xml:space="preserve"> 2020.</w:t>
      </w:r>
      <w:r>
        <w:t xml:space="preserve"> Pozn.: Uvedené časy jsou orientační, vychází z plánovače tras pro automobilovou dopravu, který poskytuje portál mapy.cz</w:t>
      </w:r>
      <w:r w:rsidR="004F6B08">
        <w:t>.</w:t>
      </w:r>
    </w:p>
    <w:p w14:paraId="44AB3CC1" w14:textId="77777777" w:rsidR="00216E8B" w:rsidRDefault="00216E8B" w:rsidP="00216E8B">
      <w:pPr>
        <w:pStyle w:val="Nadpis4"/>
      </w:pPr>
      <w:r>
        <w:t>Smart řešení v dopravě</w:t>
      </w:r>
    </w:p>
    <w:p w14:paraId="784680A4" w14:textId="77777777" w:rsidR="00216E8B" w:rsidRDefault="00216E8B" w:rsidP="00216E8B">
      <w:r>
        <w:t>Moderní městská mobilita by měla zajistit bezproblémovou, pohodlnou a ekologickou dopravu po městě. Jejím cílem je poskytnout mnohostranné a efektivní dopravní systémy, které jsou propojeny infrastrukturou informačních a komunikačních technologií a otevřených dat. Náležitosti chytré mobility jsou</w:t>
      </w:r>
      <w:r>
        <w:rPr>
          <w:rStyle w:val="Znakapoznpodarou"/>
        </w:rPr>
        <w:footnoteReference w:id="76"/>
      </w:r>
      <w:r>
        <w:t>:</w:t>
      </w:r>
    </w:p>
    <w:p w14:paraId="43C20D30" w14:textId="77777777" w:rsidR="00216E8B" w:rsidRDefault="00216E8B" w:rsidP="00216E8B">
      <w:r>
        <w:t>• Zaměření inteligentního města na mobilitu, nikoli však pouze automobily.</w:t>
      </w:r>
    </w:p>
    <w:p w14:paraId="0680BCCA" w14:textId="77777777" w:rsidR="00216E8B" w:rsidRDefault="00216E8B" w:rsidP="00216E8B">
      <w:r>
        <w:t xml:space="preserve">• Podpora pěší a cyklistické dopravy. </w:t>
      </w:r>
    </w:p>
    <w:p w14:paraId="13D73667" w14:textId="77777777" w:rsidR="00216E8B" w:rsidRDefault="00216E8B" w:rsidP="00216E8B">
      <w:r>
        <w:t>• Efektivní řízení dopravy vozidel, chodců a řešení dopravních omezení.</w:t>
      </w:r>
    </w:p>
    <w:p w14:paraId="424EB68E" w14:textId="77777777" w:rsidR="00216E8B" w:rsidRDefault="00216E8B" w:rsidP="00216E8B">
      <w:r>
        <w:t>• Kvalitní komunikace a cyklistické trasy.</w:t>
      </w:r>
    </w:p>
    <w:p w14:paraId="60BE34B5" w14:textId="77777777" w:rsidR="00216E8B" w:rsidRDefault="00216E8B" w:rsidP="00216E8B">
      <w:r>
        <w:t>• Vyvážené možnosti dopravy.</w:t>
      </w:r>
    </w:p>
    <w:p w14:paraId="7BF8FCC2" w14:textId="77777777" w:rsidR="00216E8B" w:rsidRDefault="00216E8B" w:rsidP="00216E8B">
      <w:r>
        <w:t xml:space="preserve">• Integrované dopravní systémy mezi centrálními oblastmi, jakými jsou obydlené oblasti, pracovní oblasti, rekreační oblasti, dále železniční nebo autobusová nádraží. </w:t>
      </w:r>
    </w:p>
    <w:p w14:paraId="1A05AC18" w14:textId="77777777" w:rsidR="00216E8B" w:rsidRDefault="00216E8B" w:rsidP="00216E8B">
      <w:r>
        <w:lastRenderedPageBreak/>
        <w:t>• Bezbariérový pohyb pro osoby s pohybovým nebo tělesným omezením.</w:t>
      </w:r>
    </w:p>
    <w:p w14:paraId="66A7D3E2" w14:textId="77777777" w:rsidR="00216E8B" w:rsidRDefault="00216E8B" w:rsidP="00216E8B">
      <w:pPr>
        <w:keepNext/>
        <w:rPr>
          <w:b/>
        </w:rPr>
      </w:pPr>
      <w:r>
        <w:rPr>
          <w:b/>
        </w:rPr>
        <w:t>Online s</w:t>
      </w:r>
      <w:r w:rsidRPr="002642CE">
        <w:rPr>
          <w:b/>
        </w:rPr>
        <w:t>ledování spojů MHD</w:t>
      </w:r>
    </w:p>
    <w:p w14:paraId="4F7863A9" w14:textId="5CD38484" w:rsidR="00216E8B" w:rsidRDefault="00216E8B" w:rsidP="00216E8B">
      <w:r w:rsidRPr="002642CE">
        <w:t>V roce 2015 město představilo systém online sledování spojů MHD. Každý, kdo má u sebe chytré zařízení s</w:t>
      </w:r>
      <w:r w:rsidR="004F6B08">
        <w:t> </w:t>
      </w:r>
      <w:r w:rsidRPr="002642CE">
        <w:t>internetem</w:t>
      </w:r>
      <w:r w:rsidR="004F6B08">
        <w:t>,</w:t>
      </w:r>
      <w:r w:rsidRPr="002642CE">
        <w:t xml:space="preserve"> může zjistit, kolik mu do odjezdu jednotlivých spojů zbývá času, zdali je jeho spoj nízkopodlažní, jestli je vybaven Wi-Fi nebo klimatizací. Systém byl zpracován také jako aplikace do mobilního telefonu.</w:t>
      </w:r>
      <w:r>
        <w:t xml:space="preserve"> Vozidla mění barvu podle zpoždění. Systém se aktualizuje v časovém intervalu 20 sekund. Cestující ve Zlíně a Otrokovicích mohou od poloviny roku 2015 sledovat skutečné časy odjezdů na elektronických</w:t>
      </w:r>
      <w:r w:rsidRPr="00D02116">
        <w:t xml:space="preserve"> </w:t>
      </w:r>
      <w:r>
        <w:t>informačních panelech, které jsou instalovány na nejvýznamnějších zastávkách. Skutečné příjezdy vozidel se zobrazují v reálném čase.</w:t>
      </w:r>
    </w:p>
    <w:p w14:paraId="58942D13" w14:textId="77777777" w:rsidR="00216E8B" w:rsidRPr="002642CE" w:rsidRDefault="00216E8B" w:rsidP="00216E8B">
      <w:pPr>
        <w:rPr>
          <w:b/>
        </w:rPr>
      </w:pPr>
      <w:r w:rsidRPr="002642CE">
        <w:rPr>
          <w:b/>
        </w:rPr>
        <w:t>Kontinuální sledování dopravy</w:t>
      </w:r>
    </w:p>
    <w:p w14:paraId="47921435" w14:textId="5080E2AB" w:rsidR="00216E8B" w:rsidRDefault="00216E8B" w:rsidP="00216E8B">
      <w:r>
        <w:t>K plynulejšímu provozu a hledání alternativních tras slouží 21 detektorů, které jsou rozmístěny po městě a snímají intenzitu dopravy.</w:t>
      </w:r>
      <w:r w:rsidRPr="007008A8">
        <w:t xml:space="preserve"> </w:t>
      </w:r>
      <w:r>
        <w:t>Tato data, distribuovaná na webu</w:t>
      </w:r>
      <w:r w:rsidR="004F6B08">
        <w:t>, s</w:t>
      </w:r>
      <w:r>
        <w:t>louží jako zastřešující systém pro monitorování a řízení dopravy ve městě, pro potřeby dopravního podniku, složkám záchranného systému, vybraným odborům magistrátu města a občanům. Informace jsou rovněž zobrazeny na 8 informačních tabulích, které informují řidiče o dojezdových časech do různých částí města a doporučují alternativní trasy.</w:t>
      </w:r>
    </w:p>
    <w:p w14:paraId="4A1E1B15" w14:textId="7B8488B8" w:rsidR="00216E8B" w:rsidRDefault="00216E8B" w:rsidP="00216E8B">
      <w:r>
        <w:t>Sledování dopravy funguje na platformě INVIPO, která monitoruje stav</w:t>
      </w:r>
      <w:r w:rsidR="004F6B08">
        <w:t xml:space="preserve"> </w:t>
      </w:r>
      <w:r>
        <w:t>4 systémů:</w:t>
      </w:r>
    </w:p>
    <w:p w14:paraId="0001C8B4" w14:textId="77777777" w:rsidR="00216E8B" w:rsidRDefault="00216E8B" w:rsidP="00216E8B">
      <w:pPr>
        <w:pStyle w:val="Odstavecseseznamem"/>
        <w:numPr>
          <w:ilvl w:val="0"/>
          <w:numId w:val="39"/>
        </w:numPr>
      </w:pPr>
      <w:r>
        <w:t>Řadiče světelné signalizace (možnost preference MHD)</w:t>
      </w:r>
    </w:p>
    <w:p w14:paraId="5F7D4D39" w14:textId="77777777" w:rsidR="00216E8B" w:rsidRDefault="00216E8B" w:rsidP="00216E8B">
      <w:pPr>
        <w:pStyle w:val="Odstavecseseznamem"/>
        <w:numPr>
          <w:ilvl w:val="0"/>
          <w:numId w:val="39"/>
        </w:numPr>
      </w:pPr>
      <w:r>
        <w:t>Časová dojezdnost</w:t>
      </w:r>
    </w:p>
    <w:p w14:paraId="65086783" w14:textId="77777777" w:rsidR="00216E8B" w:rsidRDefault="00216E8B" w:rsidP="00216E8B">
      <w:pPr>
        <w:pStyle w:val="Odstavecseseznamem"/>
        <w:numPr>
          <w:ilvl w:val="0"/>
          <w:numId w:val="39"/>
        </w:numPr>
      </w:pPr>
      <w:r>
        <w:t>Zařízení pro provozní informace</w:t>
      </w:r>
    </w:p>
    <w:p w14:paraId="0E77F232" w14:textId="77777777" w:rsidR="00216E8B" w:rsidRDefault="00216E8B" w:rsidP="00216E8B">
      <w:pPr>
        <w:pStyle w:val="Odstavecseseznamem"/>
        <w:numPr>
          <w:ilvl w:val="0"/>
          <w:numId w:val="39"/>
        </w:numPr>
      </w:pPr>
      <w:r>
        <w:t>Monitoring MHD</w:t>
      </w:r>
    </w:p>
    <w:p w14:paraId="2A932755" w14:textId="77777777" w:rsidR="00216E8B" w:rsidRPr="00BE6F73" w:rsidRDefault="00216E8B" w:rsidP="00216E8B">
      <w:pPr>
        <w:rPr>
          <w:b/>
        </w:rPr>
      </w:pPr>
      <w:r w:rsidRPr="00BE6F73">
        <w:rPr>
          <w:b/>
        </w:rPr>
        <w:t>Elektronický odbavovací systém v MHD</w:t>
      </w:r>
    </w:p>
    <w:p w14:paraId="6A58A013" w14:textId="769AE32E" w:rsidR="00216E8B" w:rsidRDefault="00216E8B" w:rsidP="00216E8B">
      <w:r>
        <w:t>Jízdenky do MHD je možné zakoupit formou SMS. V roce 2020 plánuje Dopravní společnost Zlín-Otrokovice zavedení elektronického odbavovacího systému umožňující nákup jízdenek prostřednictvím bezkontaktních platebních karet</w:t>
      </w:r>
      <w:r w:rsidR="004F6B08">
        <w:t>.</w:t>
      </w:r>
    </w:p>
    <w:p w14:paraId="6501DB95" w14:textId="77777777" w:rsidR="00216E8B" w:rsidRPr="00BE6F73" w:rsidRDefault="00216E8B" w:rsidP="00216E8B">
      <w:pPr>
        <w:rPr>
          <w:b/>
        </w:rPr>
      </w:pPr>
      <w:r w:rsidRPr="00BE6F73">
        <w:rPr>
          <w:b/>
        </w:rPr>
        <w:t>Navigační parkovací systém</w:t>
      </w:r>
    </w:p>
    <w:p w14:paraId="1351C570" w14:textId="4CFCD47B" w:rsidR="00216E8B" w:rsidRDefault="00216E8B" w:rsidP="00216E8B">
      <w:r w:rsidRPr="0014085D">
        <w:t>Ke snadnějšímu hledání volného místa</w:t>
      </w:r>
      <w:r>
        <w:t xml:space="preserve"> k parkování</w:t>
      </w:r>
      <w:r w:rsidRPr="0014085D">
        <w:t xml:space="preserve"> pomůže tzv. chytrý navigační systém, </w:t>
      </w:r>
      <w:r>
        <w:t>který plánuje město zavést</w:t>
      </w:r>
      <w:r w:rsidRPr="0014085D">
        <w:t>. Jedná se o navigaci na parkoviště a zobrazení obsazenosti na jednotlivých parkovištích.</w:t>
      </w:r>
      <w:r>
        <w:t xml:space="preserve"> </w:t>
      </w:r>
      <w:r w:rsidRPr="0014085D">
        <w:t>Navigační tabule budou směřovat řidiče na městská parkoviště v</w:t>
      </w:r>
      <w:r>
        <w:t>e Zlíně. V budoucnu se počítá s </w:t>
      </w:r>
      <w:r w:rsidRPr="0014085D">
        <w:t xml:space="preserve">rozšířením tohoto navigačního systému i na soukromá parkoviště. Mimo navigačního parkovacího systému budou digitální tabule sloužit například </w:t>
      </w:r>
      <w:r w:rsidR="004F6B08">
        <w:t xml:space="preserve">i </w:t>
      </w:r>
      <w:r w:rsidRPr="0014085D">
        <w:t>k předávání akt</w:t>
      </w:r>
      <w:r>
        <w:t>uálních mimořádných informací o </w:t>
      </w:r>
      <w:r w:rsidRPr="0014085D">
        <w:t>dopravě ve městě.</w:t>
      </w:r>
      <w:r>
        <w:t xml:space="preserve"> </w:t>
      </w:r>
      <w:r w:rsidRPr="0014085D">
        <w:t>Celkem bude umístěno 20 ks navigačních cedulí, kdy v první fázi budou rozmístěny 4</w:t>
      </w:r>
      <w:r w:rsidR="004F6B08">
        <w:t> </w:t>
      </w:r>
      <w:r w:rsidRPr="0014085D">
        <w:t>nové tabule. Následovat bude výměna 8 stávajících tabulí, které nyní zobrazují jen dojezdové časy, ve třetím kroku bude doplněno dalších 8 tabulí.</w:t>
      </w:r>
      <w:r>
        <w:t xml:space="preserve"> P</w:t>
      </w:r>
      <w:r w:rsidRPr="0014085D">
        <w:t>ředplatitel</w:t>
      </w:r>
      <w:r>
        <w:t>ům</w:t>
      </w:r>
      <w:r w:rsidRPr="0014085D">
        <w:t xml:space="preserve"> parkování</w:t>
      </w:r>
      <w:r>
        <w:t xml:space="preserve"> se budou při příjezdu na parkoviště </w:t>
      </w:r>
      <w:r w:rsidRPr="0014085D">
        <w:t>otevírat</w:t>
      </w:r>
      <w:r w:rsidRPr="005E6BDE">
        <w:t xml:space="preserve"> </w:t>
      </w:r>
      <w:r w:rsidRPr="0014085D">
        <w:t>závor</w:t>
      </w:r>
      <w:r>
        <w:t>y, a to pravděpodobně na základě systému automatického rozpoznávání registračních značek vozidel</w:t>
      </w:r>
      <w:r w:rsidRPr="0014085D">
        <w:t>.</w:t>
      </w:r>
      <w:r>
        <w:t xml:space="preserve"> Dále město plánuje vytvoření nových webových stránek, které by měly taktéž rozšířit informovanost o volných parkovacích plochách a nabídnout ceníky parkovišť a další informace pro řidiče.</w:t>
      </w:r>
    </w:p>
    <w:p w14:paraId="43101927" w14:textId="77777777" w:rsidR="00216E8B" w:rsidRDefault="00216E8B" w:rsidP="00216E8B">
      <w:pPr>
        <w:pStyle w:val="Nadpis4"/>
      </w:pPr>
      <w:r>
        <w:lastRenderedPageBreak/>
        <w:t>Stav komunikací</w:t>
      </w:r>
    </w:p>
    <w:p w14:paraId="5BA1C13C" w14:textId="77777777" w:rsidR="00216E8B" w:rsidRDefault="00216E8B" w:rsidP="00216E8B">
      <w:pPr>
        <w:keepNext/>
        <w:keepLines/>
      </w:pPr>
      <w:r>
        <w:t>Povrch vozovek ve Zlínském kraji je každoročně vyhodnocován. Známka průměrného celokrajského hodnocení pro rok 2019 na pětibodové stupnici činí 3,39. V porovnání s předchozím rokem (3,38) se téměř nezměnil</w:t>
      </w:r>
      <w:r>
        <w:rPr>
          <w:rStyle w:val="Znakapoznpodarou"/>
        </w:rPr>
        <w:footnoteReference w:id="77"/>
      </w:r>
      <w:r>
        <w:t>. Nejlepší vozovky II. a III. třídy měly k 30. 9. 2019 okresy Kroměříž (3,23) a Zlín (hodnocení 3,38). V kraji je evidováno 288 kilometrů silnic II. a III. třídy ve výborném stavu (1), 310 kilometrů ve stavu dobrém (2) a 232 kilometrů ve stavu vyhovujícím (3). Celkem mají silnice II. a III. třídy ve Zlínském kraji délku 1 764 km.</w:t>
      </w:r>
    </w:p>
    <w:p w14:paraId="677F135B" w14:textId="280606DC" w:rsidR="00216E8B" w:rsidRDefault="00216E8B" w:rsidP="00216E8B">
      <w:pPr>
        <w:pStyle w:val="Titulek"/>
        <w:keepNext/>
      </w:pPr>
      <w:bookmarkStart w:id="295" w:name="_Toc51933196"/>
      <w:bookmarkStart w:id="296" w:name="_Toc7707487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52</w:t>
      </w:r>
      <w:r w:rsidR="00804AF3">
        <w:rPr>
          <w:noProof/>
        </w:rPr>
        <w:fldChar w:fldCharType="end"/>
      </w:r>
      <w:r w:rsidR="00FA427E">
        <w:rPr>
          <w:noProof/>
        </w:rPr>
        <w:t>:</w:t>
      </w:r>
      <w:r>
        <w:t xml:space="preserve"> Vývoj průměrného hodnocení stavu silnic v okresech Zlínského kraje 2011</w:t>
      </w:r>
      <w:r w:rsidR="00FA427E">
        <w:t xml:space="preserve"> </w:t>
      </w:r>
      <w:r w:rsidR="00FA427E">
        <w:sym w:font="Symbol" w:char="F02D"/>
      </w:r>
      <w:r w:rsidR="00FA427E">
        <w:t xml:space="preserve"> </w:t>
      </w:r>
      <w:r>
        <w:t>2019</w:t>
      </w:r>
      <w:bookmarkEnd w:id="295"/>
      <w:bookmarkEnd w:id="296"/>
    </w:p>
    <w:p w14:paraId="11166DDE" w14:textId="77777777" w:rsidR="00216E8B" w:rsidRDefault="00216E8B" w:rsidP="00216E8B">
      <w:r>
        <w:rPr>
          <w:noProof/>
          <w:lang w:eastAsia="cs-CZ"/>
        </w:rPr>
        <w:drawing>
          <wp:inline distT="0" distB="0" distL="0" distR="0" wp14:anchorId="38A3BB3D" wp14:editId="7C52E61A">
            <wp:extent cx="5308169" cy="2744194"/>
            <wp:effectExtent l="0" t="0" r="6985" b="0"/>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33468" cy="2757273"/>
                    </a:xfrm>
                    <a:prstGeom prst="rect">
                      <a:avLst/>
                    </a:prstGeom>
                  </pic:spPr>
                </pic:pic>
              </a:graphicData>
            </a:graphic>
          </wp:inline>
        </w:drawing>
      </w:r>
    </w:p>
    <w:p w14:paraId="24818F07" w14:textId="46BD56FC" w:rsidR="00216E8B" w:rsidRDefault="00216E8B" w:rsidP="00216E8B">
      <w:pPr>
        <w:pStyle w:val="Zdroj"/>
        <w:spacing w:before="0"/>
      </w:pPr>
      <w:r>
        <w:t>Zdroj: Ředitelství silnic Zlínského kraje</w:t>
      </w:r>
      <w:r w:rsidR="00FA427E">
        <w:t>.</w:t>
      </w:r>
    </w:p>
    <w:p w14:paraId="1958CDEC" w14:textId="36BA1B89" w:rsidR="00216E8B" w:rsidRDefault="00216E8B" w:rsidP="00216E8B">
      <w:r>
        <w:t>V rámci údržby místních komunikací je v samotném městě v současnosti plánováno 954 oprav zjištěných závad, ke kterým je přiřazena priorita, podle závažnosti. Nejvíce prioritní jsou pak opravy s prioritou „1“. Priorita se k opravám začala přiřazovat v březnu 2017. Celkové finanční náklady na opravy jsou 30,5 mil. Kč, z toho 7,1 mil. na opravy s prioritou „1“, 17,3 mil. Kč na opravy s prioritou „2“ a</w:t>
      </w:r>
      <w:r w:rsidR="00FA427E">
        <w:t> </w:t>
      </w:r>
      <w:r>
        <w:t>6</w:t>
      </w:r>
      <w:r w:rsidR="00FA427E">
        <w:t> </w:t>
      </w:r>
      <w:r>
        <w:t>mil.</w:t>
      </w:r>
      <w:r w:rsidR="00FA427E">
        <w:t> </w:t>
      </w:r>
      <w:r>
        <w:t xml:space="preserve">Kč na opravy s prioritou „3“. V tabulce </w:t>
      </w:r>
      <w:r w:rsidR="00122205">
        <w:t>1.49</w:t>
      </w:r>
      <w:r>
        <w:t xml:space="preserve"> jsou opravy zobrazeny rovněž podle roku zjištění závady. Opravy se většinou týkají oprav chodníků a komunikací, jako jsou výtluky, propady apod. </w:t>
      </w:r>
    </w:p>
    <w:p w14:paraId="7EE08A0F" w14:textId="102F9866" w:rsidR="00216E8B" w:rsidRDefault="00216E8B" w:rsidP="00216E8B">
      <w:pPr>
        <w:pStyle w:val="Titulek"/>
        <w:keepNext/>
      </w:pPr>
      <w:bookmarkStart w:id="297" w:name="_Toc51933187"/>
      <w:bookmarkStart w:id="298" w:name="_Toc7707472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49</w:t>
      </w:r>
      <w:r w:rsidR="00081B47">
        <w:rPr>
          <w:noProof/>
        </w:rPr>
        <w:fldChar w:fldCharType="end"/>
      </w:r>
      <w:r w:rsidR="00FA427E">
        <w:rPr>
          <w:noProof/>
        </w:rPr>
        <w:t>:</w:t>
      </w:r>
      <w:r>
        <w:t xml:space="preserve"> Přehled plánovaných oprav komunikací</w:t>
      </w:r>
      <w:bookmarkEnd w:id="297"/>
      <w:bookmarkEnd w:id="298"/>
    </w:p>
    <w:tbl>
      <w:tblPr>
        <w:tblW w:w="10080" w:type="dxa"/>
        <w:tblCellMar>
          <w:left w:w="70" w:type="dxa"/>
          <w:right w:w="70" w:type="dxa"/>
        </w:tblCellMar>
        <w:tblLook w:val="04A0" w:firstRow="1" w:lastRow="0" w:firstColumn="1" w:lastColumn="0" w:noHBand="0" w:noVBand="1"/>
      </w:tblPr>
      <w:tblGrid>
        <w:gridCol w:w="1200"/>
        <w:gridCol w:w="1200"/>
        <w:gridCol w:w="1234"/>
        <w:gridCol w:w="772"/>
        <w:gridCol w:w="639"/>
        <w:gridCol w:w="639"/>
        <w:gridCol w:w="1099"/>
        <w:gridCol w:w="1099"/>
        <w:gridCol w:w="1099"/>
        <w:gridCol w:w="1099"/>
      </w:tblGrid>
      <w:tr w:rsidR="00216E8B" w:rsidRPr="00396E4A" w14:paraId="71BF300B" w14:textId="77777777" w:rsidTr="000C49A5">
        <w:trPr>
          <w:trHeight w:val="288"/>
        </w:trPr>
        <w:tc>
          <w:tcPr>
            <w:tcW w:w="120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1D4B8D"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Priorita opravy</w:t>
            </w:r>
          </w:p>
        </w:tc>
        <w:tc>
          <w:tcPr>
            <w:tcW w:w="1200" w:type="dxa"/>
            <w:vMerge w:val="restart"/>
            <w:tcBorders>
              <w:top w:val="single" w:sz="4" w:space="0" w:color="auto"/>
              <w:left w:val="single" w:sz="4" w:space="0" w:color="auto"/>
              <w:bottom w:val="single" w:sz="4" w:space="0" w:color="000000"/>
              <w:right w:val="single" w:sz="4" w:space="0" w:color="auto"/>
            </w:tcBorders>
            <w:shd w:val="clear" w:color="000000" w:fill="F2F2F2"/>
            <w:noWrap/>
            <w:vAlign w:val="center"/>
            <w:hideMark/>
          </w:tcPr>
          <w:p w14:paraId="09E81B7F"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Počet oprav</w:t>
            </w:r>
          </w:p>
        </w:tc>
        <w:tc>
          <w:tcPr>
            <w:tcW w:w="7680" w:type="dxa"/>
            <w:gridSpan w:val="8"/>
            <w:tcBorders>
              <w:top w:val="single" w:sz="4" w:space="0" w:color="auto"/>
              <w:left w:val="nil"/>
              <w:bottom w:val="single" w:sz="4" w:space="0" w:color="auto"/>
              <w:right w:val="single" w:sz="4" w:space="0" w:color="auto"/>
            </w:tcBorders>
            <w:shd w:val="clear" w:color="000000" w:fill="F2F2F2"/>
            <w:noWrap/>
            <w:vAlign w:val="center"/>
            <w:hideMark/>
          </w:tcPr>
          <w:p w14:paraId="28737E40"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Cena aktuálních oprav dle roku zjištění (Kč)</w:t>
            </w:r>
          </w:p>
        </w:tc>
      </w:tr>
      <w:tr w:rsidR="00216E8B" w:rsidRPr="00396E4A" w14:paraId="0C65B2DB" w14:textId="77777777" w:rsidTr="000C49A5">
        <w:trPr>
          <w:trHeight w:val="24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EA30B2F" w14:textId="77777777" w:rsidR="00216E8B" w:rsidRPr="00396E4A" w:rsidRDefault="00216E8B" w:rsidP="000C49A5">
            <w:pPr>
              <w:keepNext/>
              <w:spacing w:before="0"/>
              <w:jc w:val="left"/>
              <w:rPr>
                <w:rFonts w:ascii="Calibri" w:eastAsia="Times New Roman" w:hAnsi="Calibri" w:cs="Calibri"/>
                <w:b/>
                <w:bCs/>
                <w:color w:val="000000"/>
                <w:sz w:val="18"/>
                <w:szCs w:val="18"/>
                <w:lang w:eastAsia="cs-CZ"/>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5FF0E735" w14:textId="77777777" w:rsidR="00216E8B" w:rsidRPr="00396E4A" w:rsidRDefault="00216E8B" w:rsidP="000C49A5">
            <w:pPr>
              <w:keepNext/>
              <w:spacing w:before="0"/>
              <w:jc w:val="left"/>
              <w:rPr>
                <w:rFonts w:ascii="Calibri" w:eastAsia="Times New Roman" w:hAnsi="Calibri" w:cs="Calibri"/>
                <w:b/>
                <w:bCs/>
                <w:color w:val="000000"/>
                <w:sz w:val="18"/>
                <w:szCs w:val="18"/>
                <w:lang w:eastAsia="cs-CZ"/>
              </w:rPr>
            </w:pPr>
          </w:p>
        </w:tc>
        <w:tc>
          <w:tcPr>
            <w:tcW w:w="1234" w:type="dxa"/>
            <w:tcBorders>
              <w:top w:val="nil"/>
              <w:left w:val="nil"/>
              <w:bottom w:val="single" w:sz="4" w:space="0" w:color="auto"/>
              <w:right w:val="single" w:sz="4" w:space="0" w:color="auto"/>
            </w:tcBorders>
            <w:shd w:val="clear" w:color="000000" w:fill="F2F2F2"/>
            <w:noWrap/>
            <w:vAlign w:val="center"/>
            <w:hideMark/>
          </w:tcPr>
          <w:p w14:paraId="37E2D3FD"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Celkem</w:t>
            </w:r>
          </w:p>
        </w:tc>
        <w:tc>
          <w:tcPr>
            <w:tcW w:w="772" w:type="dxa"/>
            <w:tcBorders>
              <w:top w:val="nil"/>
              <w:left w:val="nil"/>
              <w:bottom w:val="single" w:sz="4" w:space="0" w:color="auto"/>
              <w:right w:val="single" w:sz="4" w:space="0" w:color="auto"/>
            </w:tcBorders>
            <w:shd w:val="clear" w:color="000000" w:fill="F2F2F2"/>
            <w:noWrap/>
            <w:vAlign w:val="center"/>
            <w:hideMark/>
          </w:tcPr>
          <w:p w14:paraId="13EB74CB"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2014</w:t>
            </w:r>
          </w:p>
        </w:tc>
        <w:tc>
          <w:tcPr>
            <w:tcW w:w="639" w:type="dxa"/>
            <w:tcBorders>
              <w:top w:val="nil"/>
              <w:left w:val="nil"/>
              <w:bottom w:val="single" w:sz="4" w:space="0" w:color="auto"/>
              <w:right w:val="single" w:sz="4" w:space="0" w:color="auto"/>
            </w:tcBorders>
            <w:shd w:val="clear" w:color="000000" w:fill="F2F2F2"/>
            <w:noWrap/>
            <w:vAlign w:val="center"/>
            <w:hideMark/>
          </w:tcPr>
          <w:p w14:paraId="4AEC4818"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2015</w:t>
            </w:r>
          </w:p>
        </w:tc>
        <w:tc>
          <w:tcPr>
            <w:tcW w:w="639" w:type="dxa"/>
            <w:tcBorders>
              <w:top w:val="nil"/>
              <w:left w:val="nil"/>
              <w:bottom w:val="single" w:sz="4" w:space="0" w:color="auto"/>
              <w:right w:val="single" w:sz="4" w:space="0" w:color="auto"/>
            </w:tcBorders>
            <w:shd w:val="clear" w:color="000000" w:fill="F2F2F2"/>
            <w:noWrap/>
            <w:vAlign w:val="center"/>
            <w:hideMark/>
          </w:tcPr>
          <w:p w14:paraId="65968AF9"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2016</w:t>
            </w:r>
          </w:p>
        </w:tc>
        <w:tc>
          <w:tcPr>
            <w:tcW w:w="1099" w:type="dxa"/>
            <w:tcBorders>
              <w:top w:val="nil"/>
              <w:left w:val="nil"/>
              <w:bottom w:val="single" w:sz="4" w:space="0" w:color="auto"/>
              <w:right w:val="single" w:sz="4" w:space="0" w:color="auto"/>
            </w:tcBorders>
            <w:shd w:val="clear" w:color="000000" w:fill="F2F2F2"/>
            <w:noWrap/>
            <w:vAlign w:val="center"/>
            <w:hideMark/>
          </w:tcPr>
          <w:p w14:paraId="5B5E4C85"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2017</w:t>
            </w:r>
          </w:p>
        </w:tc>
        <w:tc>
          <w:tcPr>
            <w:tcW w:w="1099" w:type="dxa"/>
            <w:tcBorders>
              <w:top w:val="nil"/>
              <w:left w:val="nil"/>
              <w:bottom w:val="single" w:sz="4" w:space="0" w:color="auto"/>
              <w:right w:val="single" w:sz="4" w:space="0" w:color="auto"/>
            </w:tcBorders>
            <w:shd w:val="clear" w:color="000000" w:fill="F2F2F2"/>
            <w:noWrap/>
            <w:vAlign w:val="center"/>
            <w:hideMark/>
          </w:tcPr>
          <w:p w14:paraId="4BAA70E5"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2018</w:t>
            </w:r>
          </w:p>
        </w:tc>
        <w:tc>
          <w:tcPr>
            <w:tcW w:w="1099" w:type="dxa"/>
            <w:tcBorders>
              <w:top w:val="nil"/>
              <w:left w:val="nil"/>
              <w:bottom w:val="single" w:sz="4" w:space="0" w:color="auto"/>
              <w:right w:val="single" w:sz="4" w:space="0" w:color="auto"/>
            </w:tcBorders>
            <w:shd w:val="clear" w:color="000000" w:fill="F2F2F2"/>
            <w:noWrap/>
            <w:vAlign w:val="center"/>
            <w:hideMark/>
          </w:tcPr>
          <w:p w14:paraId="64B9CE37"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2019</w:t>
            </w:r>
          </w:p>
        </w:tc>
        <w:tc>
          <w:tcPr>
            <w:tcW w:w="1099" w:type="dxa"/>
            <w:tcBorders>
              <w:top w:val="nil"/>
              <w:left w:val="nil"/>
              <w:bottom w:val="single" w:sz="4" w:space="0" w:color="auto"/>
              <w:right w:val="single" w:sz="4" w:space="0" w:color="auto"/>
            </w:tcBorders>
            <w:shd w:val="clear" w:color="000000" w:fill="F2F2F2"/>
            <w:noWrap/>
            <w:vAlign w:val="center"/>
            <w:hideMark/>
          </w:tcPr>
          <w:p w14:paraId="472909B1" w14:textId="77777777" w:rsidR="00216E8B" w:rsidRPr="00396E4A" w:rsidRDefault="00216E8B" w:rsidP="000C49A5">
            <w:pPr>
              <w:keepNext/>
              <w:spacing w:before="0"/>
              <w:jc w:val="center"/>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2020</w:t>
            </w:r>
          </w:p>
        </w:tc>
      </w:tr>
      <w:tr w:rsidR="00216E8B" w:rsidRPr="00396E4A" w14:paraId="50EC4185" w14:textId="77777777" w:rsidTr="000C49A5">
        <w:trPr>
          <w:trHeight w:val="240"/>
        </w:trPr>
        <w:tc>
          <w:tcPr>
            <w:tcW w:w="1200" w:type="dxa"/>
            <w:tcBorders>
              <w:top w:val="nil"/>
              <w:left w:val="single" w:sz="4" w:space="0" w:color="auto"/>
              <w:bottom w:val="single" w:sz="4" w:space="0" w:color="auto"/>
              <w:right w:val="single" w:sz="4" w:space="0" w:color="auto"/>
            </w:tcBorders>
            <w:shd w:val="clear" w:color="000000" w:fill="FF0000"/>
            <w:noWrap/>
            <w:vAlign w:val="bottom"/>
            <w:hideMark/>
          </w:tcPr>
          <w:p w14:paraId="348B3016" w14:textId="77777777" w:rsidR="00216E8B" w:rsidRPr="00396E4A" w:rsidRDefault="00216E8B" w:rsidP="000C49A5">
            <w:pPr>
              <w:keepNext/>
              <w:spacing w:before="0"/>
              <w:jc w:val="center"/>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1</w:t>
            </w:r>
          </w:p>
        </w:tc>
        <w:tc>
          <w:tcPr>
            <w:tcW w:w="1200" w:type="dxa"/>
            <w:tcBorders>
              <w:top w:val="single" w:sz="4" w:space="0" w:color="auto"/>
              <w:left w:val="single" w:sz="4" w:space="0" w:color="auto"/>
              <w:bottom w:val="single" w:sz="4" w:space="0" w:color="auto"/>
              <w:right w:val="single" w:sz="4" w:space="0" w:color="auto"/>
            </w:tcBorders>
            <w:shd w:val="clear" w:color="000000" w:fill="FCE5E8"/>
            <w:noWrap/>
            <w:vAlign w:val="bottom"/>
            <w:hideMark/>
          </w:tcPr>
          <w:p w14:paraId="5AC07C21"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197</w:t>
            </w:r>
          </w:p>
        </w:tc>
        <w:tc>
          <w:tcPr>
            <w:tcW w:w="1234" w:type="dxa"/>
            <w:tcBorders>
              <w:top w:val="single" w:sz="4" w:space="0" w:color="auto"/>
              <w:left w:val="single" w:sz="4" w:space="0" w:color="auto"/>
              <w:bottom w:val="single" w:sz="4" w:space="0" w:color="auto"/>
              <w:right w:val="single" w:sz="4" w:space="0" w:color="auto"/>
            </w:tcBorders>
            <w:shd w:val="clear" w:color="000000" w:fill="EAE0EC"/>
            <w:noWrap/>
            <w:vAlign w:val="bottom"/>
            <w:hideMark/>
          </w:tcPr>
          <w:p w14:paraId="2566EA69"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7 095 950</w:t>
            </w:r>
          </w:p>
        </w:tc>
        <w:tc>
          <w:tcPr>
            <w:tcW w:w="772" w:type="dxa"/>
            <w:tcBorders>
              <w:top w:val="nil"/>
              <w:left w:val="nil"/>
              <w:bottom w:val="single" w:sz="4" w:space="0" w:color="auto"/>
              <w:right w:val="single" w:sz="4" w:space="0" w:color="auto"/>
            </w:tcBorders>
            <w:shd w:val="clear" w:color="auto" w:fill="auto"/>
            <w:noWrap/>
            <w:vAlign w:val="bottom"/>
            <w:hideMark/>
          </w:tcPr>
          <w:p w14:paraId="783B919D"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639" w:type="dxa"/>
            <w:tcBorders>
              <w:top w:val="nil"/>
              <w:left w:val="nil"/>
              <w:bottom w:val="single" w:sz="4" w:space="0" w:color="auto"/>
              <w:right w:val="single" w:sz="4" w:space="0" w:color="auto"/>
            </w:tcBorders>
            <w:shd w:val="clear" w:color="auto" w:fill="auto"/>
            <w:noWrap/>
            <w:vAlign w:val="bottom"/>
            <w:hideMark/>
          </w:tcPr>
          <w:p w14:paraId="204E1B37"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639" w:type="dxa"/>
            <w:tcBorders>
              <w:top w:val="nil"/>
              <w:left w:val="nil"/>
              <w:bottom w:val="single" w:sz="4" w:space="0" w:color="auto"/>
              <w:right w:val="single" w:sz="4" w:space="0" w:color="auto"/>
            </w:tcBorders>
            <w:shd w:val="clear" w:color="auto" w:fill="auto"/>
            <w:noWrap/>
            <w:vAlign w:val="bottom"/>
            <w:hideMark/>
          </w:tcPr>
          <w:p w14:paraId="6F76C519"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1099" w:type="dxa"/>
            <w:tcBorders>
              <w:top w:val="single" w:sz="4" w:space="0" w:color="auto"/>
              <w:left w:val="single" w:sz="4" w:space="0" w:color="auto"/>
              <w:bottom w:val="single" w:sz="4" w:space="0" w:color="auto"/>
              <w:right w:val="single" w:sz="4" w:space="0" w:color="auto"/>
            </w:tcBorders>
            <w:shd w:val="clear" w:color="000000" w:fill="FCDEE1"/>
            <w:noWrap/>
            <w:vAlign w:val="bottom"/>
            <w:hideMark/>
          </w:tcPr>
          <w:p w14:paraId="3A745229"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1 478 400</w:t>
            </w:r>
          </w:p>
        </w:tc>
        <w:tc>
          <w:tcPr>
            <w:tcW w:w="1099" w:type="dxa"/>
            <w:tcBorders>
              <w:top w:val="single" w:sz="4" w:space="0" w:color="auto"/>
              <w:left w:val="single" w:sz="4" w:space="0" w:color="auto"/>
              <w:bottom w:val="single" w:sz="4" w:space="0" w:color="auto"/>
              <w:right w:val="single" w:sz="4" w:space="0" w:color="auto"/>
            </w:tcBorders>
            <w:shd w:val="clear" w:color="000000" w:fill="FBC7CA"/>
            <w:noWrap/>
            <w:vAlign w:val="bottom"/>
            <w:hideMark/>
          </w:tcPr>
          <w:p w14:paraId="1B80AEF6"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2 598 000</w:t>
            </w:r>
          </w:p>
        </w:tc>
        <w:tc>
          <w:tcPr>
            <w:tcW w:w="1099"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32C4D275"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653 000</w:t>
            </w:r>
          </w:p>
        </w:tc>
        <w:tc>
          <w:tcPr>
            <w:tcW w:w="1099" w:type="dxa"/>
            <w:tcBorders>
              <w:top w:val="single" w:sz="4" w:space="0" w:color="auto"/>
              <w:left w:val="single" w:sz="4" w:space="0" w:color="auto"/>
              <w:bottom w:val="single" w:sz="4" w:space="0" w:color="auto"/>
              <w:right w:val="single" w:sz="4" w:space="0" w:color="auto"/>
            </w:tcBorders>
            <w:shd w:val="clear" w:color="000000" w:fill="FBCCCF"/>
            <w:noWrap/>
            <w:vAlign w:val="bottom"/>
            <w:hideMark/>
          </w:tcPr>
          <w:p w14:paraId="43CAAA18"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2 366 550</w:t>
            </w:r>
          </w:p>
        </w:tc>
      </w:tr>
      <w:tr w:rsidR="00216E8B" w:rsidRPr="00396E4A" w14:paraId="0C643039" w14:textId="77777777" w:rsidTr="000C49A5">
        <w:trPr>
          <w:trHeight w:val="240"/>
        </w:trPr>
        <w:tc>
          <w:tcPr>
            <w:tcW w:w="1200" w:type="dxa"/>
            <w:tcBorders>
              <w:top w:val="nil"/>
              <w:left w:val="single" w:sz="4" w:space="0" w:color="auto"/>
              <w:bottom w:val="single" w:sz="4" w:space="0" w:color="auto"/>
              <w:right w:val="single" w:sz="4" w:space="0" w:color="auto"/>
            </w:tcBorders>
            <w:shd w:val="clear" w:color="000000" w:fill="FFC000"/>
            <w:noWrap/>
            <w:vAlign w:val="bottom"/>
            <w:hideMark/>
          </w:tcPr>
          <w:p w14:paraId="129A6D40" w14:textId="77777777" w:rsidR="00216E8B" w:rsidRPr="00396E4A" w:rsidRDefault="00216E8B" w:rsidP="000C49A5">
            <w:pPr>
              <w:keepNext/>
              <w:spacing w:before="0"/>
              <w:jc w:val="center"/>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2</w:t>
            </w:r>
          </w:p>
        </w:tc>
        <w:tc>
          <w:tcPr>
            <w:tcW w:w="1200" w:type="dxa"/>
            <w:tcBorders>
              <w:top w:val="single" w:sz="4" w:space="0" w:color="auto"/>
              <w:left w:val="single" w:sz="4" w:space="0" w:color="auto"/>
              <w:bottom w:val="single" w:sz="4" w:space="0" w:color="auto"/>
              <w:right w:val="single" w:sz="4" w:space="0" w:color="auto"/>
            </w:tcBorders>
            <w:shd w:val="clear" w:color="000000" w:fill="FBD7D9"/>
            <w:noWrap/>
            <w:vAlign w:val="bottom"/>
            <w:hideMark/>
          </w:tcPr>
          <w:p w14:paraId="495DF33C"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218</w:t>
            </w:r>
          </w:p>
        </w:tc>
        <w:tc>
          <w:tcPr>
            <w:tcW w:w="1234" w:type="dxa"/>
            <w:tcBorders>
              <w:top w:val="single" w:sz="4" w:space="0" w:color="auto"/>
              <w:left w:val="single" w:sz="4" w:space="0" w:color="auto"/>
              <w:bottom w:val="single" w:sz="4" w:space="0" w:color="auto"/>
              <w:right w:val="single" w:sz="4" w:space="0" w:color="auto"/>
            </w:tcBorders>
            <w:shd w:val="clear" w:color="000000" w:fill="CAB1CF"/>
            <w:noWrap/>
            <w:vAlign w:val="bottom"/>
            <w:hideMark/>
          </w:tcPr>
          <w:p w14:paraId="34492D79"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17 291 677</w:t>
            </w:r>
          </w:p>
        </w:tc>
        <w:tc>
          <w:tcPr>
            <w:tcW w:w="772" w:type="dxa"/>
            <w:tcBorders>
              <w:top w:val="nil"/>
              <w:left w:val="nil"/>
              <w:bottom w:val="single" w:sz="4" w:space="0" w:color="auto"/>
              <w:right w:val="single" w:sz="4" w:space="0" w:color="auto"/>
            </w:tcBorders>
            <w:shd w:val="clear" w:color="auto" w:fill="auto"/>
            <w:noWrap/>
            <w:vAlign w:val="bottom"/>
            <w:hideMark/>
          </w:tcPr>
          <w:p w14:paraId="76624B47"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639" w:type="dxa"/>
            <w:tcBorders>
              <w:top w:val="nil"/>
              <w:left w:val="nil"/>
              <w:bottom w:val="single" w:sz="4" w:space="0" w:color="auto"/>
              <w:right w:val="single" w:sz="4" w:space="0" w:color="auto"/>
            </w:tcBorders>
            <w:shd w:val="clear" w:color="auto" w:fill="auto"/>
            <w:noWrap/>
            <w:vAlign w:val="bottom"/>
            <w:hideMark/>
          </w:tcPr>
          <w:p w14:paraId="33EED835"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639" w:type="dxa"/>
            <w:tcBorders>
              <w:top w:val="nil"/>
              <w:left w:val="nil"/>
              <w:bottom w:val="single" w:sz="4" w:space="0" w:color="auto"/>
              <w:right w:val="single" w:sz="4" w:space="0" w:color="auto"/>
            </w:tcBorders>
            <w:shd w:val="clear" w:color="auto" w:fill="auto"/>
            <w:noWrap/>
            <w:vAlign w:val="bottom"/>
            <w:hideMark/>
          </w:tcPr>
          <w:p w14:paraId="6CE93501"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1099" w:type="dxa"/>
            <w:tcBorders>
              <w:top w:val="single" w:sz="4" w:space="0" w:color="auto"/>
              <w:left w:val="single" w:sz="4" w:space="0" w:color="auto"/>
              <w:bottom w:val="single" w:sz="4" w:space="0" w:color="auto"/>
              <w:right w:val="single" w:sz="4" w:space="0" w:color="auto"/>
            </w:tcBorders>
            <w:shd w:val="clear" w:color="000000" w:fill="FBC7CA"/>
            <w:noWrap/>
            <w:vAlign w:val="bottom"/>
            <w:hideMark/>
          </w:tcPr>
          <w:p w14:paraId="49A359B4"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2 582 800</w:t>
            </w:r>
          </w:p>
        </w:tc>
        <w:tc>
          <w:tcPr>
            <w:tcW w:w="1099" w:type="dxa"/>
            <w:tcBorders>
              <w:top w:val="single" w:sz="4" w:space="0" w:color="auto"/>
              <w:left w:val="single" w:sz="4" w:space="0" w:color="auto"/>
              <w:bottom w:val="single" w:sz="4" w:space="0" w:color="auto"/>
              <w:right w:val="single" w:sz="4" w:space="0" w:color="auto"/>
            </w:tcBorders>
            <w:shd w:val="clear" w:color="000000" w:fill="FBBCBF"/>
            <w:noWrap/>
            <w:vAlign w:val="bottom"/>
            <w:hideMark/>
          </w:tcPr>
          <w:p w14:paraId="1AB52F6D"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3 127 725</w:t>
            </w:r>
          </w:p>
        </w:tc>
        <w:tc>
          <w:tcPr>
            <w:tcW w:w="109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3E924B1"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7 142 500</w:t>
            </w:r>
          </w:p>
        </w:tc>
        <w:tc>
          <w:tcPr>
            <w:tcW w:w="1099" w:type="dxa"/>
            <w:tcBorders>
              <w:top w:val="single" w:sz="4" w:space="0" w:color="auto"/>
              <w:left w:val="single" w:sz="4" w:space="0" w:color="auto"/>
              <w:bottom w:val="single" w:sz="4" w:space="0" w:color="auto"/>
              <w:right w:val="single" w:sz="4" w:space="0" w:color="auto"/>
            </w:tcBorders>
            <w:shd w:val="clear" w:color="000000" w:fill="FAA1A4"/>
            <w:noWrap/>
            <w:vAlign w:val="bottom"/>
            <w:hideMark/>
          </w:tcPr>
          <w:p w14:paraId="123167B4"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4 438 652</w:t>
            </w:r>
          </w:p>
        </w:tc>
      </w:tr>
      <w:tr w:rsidR="00216E8B" w:rsidRPr="00396E4A" w14:paraId="18992826" w14:textId="77777777" w:rsidTr="000C49A5">
        <w:trPr>
          <w:trHeight w:val="240"/>
        </w:trPr>
        <w:tc>
          <w:tcPr>
            <w:tcW w:w="1200" w:type="dxa"/>
            <w:tcBorders>
              <w:top w:val="nil"/>
              <w:left w:val="single" w:sz="4" w:space="0" w:color="auto"/>
              <w:bottom w:val="single" w:sz="4" w:space="0" w:color="auto"/>
              <w:right w:val="single" w:sz="4" w:space="0" w:color="auto"/>
            </w:tcBorders>
            <w:shd w:val="clear" w:color="000000" w:fill="92D050"/>
            <w:noWrap/>
            <w:vAlign w:val="bottom"/>
            <w:hideMark/>
          </w:tcPr>
          <w:p w14:paraId="7A9AA749" w14:textId="77777777" w:rsidR="00216E8B" w:rsidRPr="00396E4A" w:rsidRDefault="00216E8B" w:rsidP="000C49A5">
            <w:pPr>
              <w:keepNext/>
              <w:spacing w:before="0"/>
              <w:jc w:val="center"/>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3</w:t>
            </w:r>
          </w:p>
        </w:tc>
        <w:tc>
          <w:tcPr>
            <w:tcW w:w="1200"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A109EA6"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163</w:t>
            </w:r>
          </w:p>
        </w:tc>
        <w:tc>
          <w:tcPr>
            <w:tcW w:w="1234" w:type="dxa"/>
            <w:tcBorders>
              <w:top w:val="single" w:sz="4" w:space="0" w:color="auto"/>
              <w:left w:val="single" w:sz="4" w:space="0" w:color="auto"/>
              <w:bottom w:val="single" w:sz="4" w:space="0" w:color="auto"/>
              <w:right w:val="single" w:sz="4" w:space="0" w:color="auto"/>
            </w:tcBorders>
            <w:shd w:val="clear" w:color="000000" w:fill="EDE4EF"/>
            <w:noWrap/>
            <w:vAlign w:val="bottom"/>
            <w:hideMark/>
          </w:tcPr>
          <w:p w14:paraId="0AA2F4FD"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6 055 870</w:t>
            </w:r>
          </w:p>
        </w:tc>
        <w:tc>
          <w:tcPr>
            <w:tcW w:w="772" w:type="dxa"/>
            <w:tcBorders>
              <w:top w:val="nil"/>
              <w:left w:val="nil"/>
              <w:bottom w:val="single" w:sz="4" w:space="0" w:color="auto"/>
              <w:right w:val="single" w:sz="4" w:space="0" w:color="auto"/>
            </w:tcBorders>
            <w:shd w:val="clear" w:color="auto" w:fill="auto"/>
            <w:noWrap/>
            <w:vAlign w:val="bottom"/>
            <w:hideMark/>
          </w:tcPr>
          <w:p w14:paraId="289D479B"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639" w:type="dxa"/>
            <w:tcBorders>
              <w:top w:val="nil"/>
              <w:left w:val="nil"/>
              <w:bottom w:val="single" w:sz="4" w:space="0" w:color="auto"/>
              <w:right w:val="single" w:sz="4" w:space="0" w:color="auto"/>
            </w:tcBorders>
            <w:shd w:val="clear" w:color="auto" w:fill="auto"/>
            <w:noWrap/>
            <w:vAlign w:val="bottom"/>
            <w:hideMark/>
          </w:tcPr>
          <w:p w14:paraId="34D0D9E7"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639" w:type="dxa"/>
            <w:tcBorders>
              <w:top w:val="nil"/>
              <w:left w:val="nil"/>
              <w:bottom w:val="single" w:sz="4" w:space="0" w:color="auto"/>
              <w:right w:val="single" w:sz="4" w:space="0" w:color="auto"/>
            </w:tcBorders>
            <w:shd w:val="clear" w:color="auto" w:fill="auto"/>
            <w:noWrap/>
            <w:vAlign w:val="bottom"/>
            <w:hideMark/>
          </w:tcPr>
          <w:p w14:paraId="4B444F87"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1099" w:type="dxa"/>
            <w:tcBorders>
              <w:top w:val="single" w:sz="4" w:space="0" w:color="auto"/>
              <w:left w:val="single" w:sz="4" w:space="0" w:color="auto"/>
              <w:bottom w:val="single" w:sz="4" w:space="0" w:color="auto"/>
              <w:right w:val="single" w:sz="4" w:space="0" w:color="auto"/>
            </w:tcBorders>
            <w:shd w:val="clear" w:color="000000" w:fill="FCDCDF"/>
            <w:noWrap/>
            <w:vAlign w:val="bottom"/>
            <w:hideMark/>
          </w:tcPr>
          <w:p w14:paraId="16ABDB5E"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1 578 100</w:t>
            </w:r>
          </w:p>
        </w:tc>
        <w:tc>
          <w:tcPr>
            <w:tcW w:w="1099" w:type="dxa"/>
            <w:tcBorders>
              <w:top w:val="single" w:sz="4" w:space="0" w:color="auto"/>
              <w:left w:val="single" w:sz="4" w:space="0" w:color="auto"/>
              <w:bottom w:val="single" w:sz="4" w:space="0" w:color="auto"/>
              <w:right w:val="single" w:sz="4" w:space="0" w:color="auto"/>
            </w:tcBorders>
            <w:shd w:val="clear" w:color="000000" w:fill="FBB3B6"/>
            <w:noWrap/>
            <w:vAlign w:val="bottom"/>
            <w:hideMark/>
          </w:tcPr>
          <w:p w14:paraId="5A0B5926"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3 561 770</w:t>
            </w:r>
          </w:p>
        </w:tc>
        <w:tc>
          <w:tcPr>
            <w:tcW w:w="1099" w:type="dxa"/>
            <w:tcBorders>
              <w:top w:val="single" w:sz="4" w:space="0" w:color="auto"/>
              <w:left w:val="single" w:sz="4" w:space="0" w:color="auto"/>
              <w:bottom w:val="single" w:sz="4" w:space="0" w:color="auto"/>
              <w:right w:val="single" w:sz="4" w:space="0" w:color="auto"/>
            </w:tcBorders>
            <w:shd w:val="clear" w:color="000000" w:fill="FCF3F6"/>
            <w:noWrap/>
            <w:vAlign w:val="bottom"/>
            <w:hideMark/>
          </w:tcPr>
          <w:p w14:paraId="0067E2E5"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458 000</w:t>
            </w:r>
          </w:p>
        </w:tc>
        <w:tc>
          <w:tcPr>
            <w:tcW w:w="1099" w:type="dxa"/>
            <w:tcBorders>
              <w:top w:val="single" w:sz="4" w:space="0" w:color="auto"/>
              <w:left w:val="single" w:sz="4" w:space="0" w:color="auto"/>
              <w:bottom w:val="single" w:sz="4" w:space="0" w:color="auto"/>
              <w:right w:val="single" w:sz="4" w:space="0" w:color="auto"/>
            </w:tcBorders>
            <w:shd w:val="clear" w:color="000000" w:fill="FCF3F6"/>
            <w:noWrap/>
            <w:vAlign w:val="bottom"/>
            <w:hideMark/>
          </w:tcPr>
          <w:p w14:paraId="2C7827BC"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458 000</w:t>
            </w:r>
          </w:p>
        </w:tc>
      </w:tr>
      <w:tr w:rsidR="00216E8B" w:rsidRPr="00396E4A" w14:paraId="5ACFD0E2" w14:textId="77777777" w:rsidTr="000C49A5">
        <w:trPr>
          <w:trHeight w:val="240"/>
        </w:trPr>
        <w:tc>
          <w:tcPr>
            <w:tcW w:w="1200" w:type="dxa"/>
            <w:tcBorders>
              <w:top w:val="nil"/>
              <w:left w:val="single" w:sz="4" w:space="0" w:color="auto"/>
              <w:bottom w:val="single" w:sz="4" w:space="0" w:color="auto"/>
              <w:right w:val="single" w:sz="4" w:space="0" w:color="auto"/>
            </w:tcBorders>
            <w:shd w:val="clear" w:color="000000" w:fill="F2F2F2"/>
            <w:noWrap/>
            <w:vAlign w:val="bottom"/>
            <w:hideMark/>
          </w:tcPr>
          <w:p w14:paraId="46A5FB4B" w14:textId="77777777" w:rsidR="00216E8B" w:rsidRPr="00396E4A" w:rsidRDefault="00216E8B" w:rsidP="000C49A5">
            <w:pPr>
              <w:keepNext/>
              <w:spacing w:before="0"/>
              <w:jc w:val="center"/>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bez priority*</w:t>
            </w:r>
          </w:p>
        </w:tc>
        <w:tc>
          <w:tcPr>
            <w:tcW w:w="120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8A63CA4"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376</w:t>
            </w:r>
          </w:p>
        </w:tc>
        <w:tc>
          <w:tcPr>
            <w:tcW w:w="12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715BF5"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63 000</w:t>
            </w:r>
          </w:p>
        </w:tc>
        <w:tc>
          <w:tcPr>
            <w:tcW w:w="772" w:type="dxa"/>
            <w:tcBorders>
              <w:top w:val="single" w:sz="4" w:space="0" w:color="auto"/>
              <w:left w:val="single" w:sz="4" w:space="0" w:color="auto"/>
              <w:bottom w:val="single" w:sz="4" w:space="0" w:color="auto"/>
              <w:right w:val="single" w:sz="4" w:space="0" w:color="auto"/>
            </w:tcBorders>
            <w:shd w:val="clear" w:color="000000" w:fill="FCFBFE"/>
            <w:noWrap/>
            <w:vAlign w:val="bottom"/>
            <w:hideMark/>
          </w:tcPr>
          <w:p w14:paraId="33E1B3ED"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54 500</w:t>
            </w:r>
          </w:p>
        </w:tc>
        <w:tc>
          <w:tcPr>
            <w:tcW w:w="63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4C0507A"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3 500</w:t>
            </w:r>
          </w:p>
        </w:tc>
        <w:tc>
          <w:tcPr>
            <w:tcW w:w="63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0DC602B" w14:textId="77777777" w:rsidR="00216E8B" w:rsidRPr="00396E4A" w:rsidRDefault="00216E8B" w:rsidP="000C49A5">
            <w:pPr>
              <w:keepNext/>
              <w:spacing w:before="0"/>
              <w:jc w:val="righ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5 000</w:t>
            </w:r>
          </w:p>
        </w:tc>
        <w:tc>
          <w:tcPr>
            <w:tcW w:w="1099" w:type="dxa"/>
            <w:tcBorders>
              <w:top w:val="nil"/>
              <w:left w:val="nil"/>
              <w:bottom w:val="single" w:sz="4" w:space="0" w:color="auto"/>
              <w:right w:val="single" w:sz="4" w:space="0" w:color="auto"/>
            </w:tcBorders>
            <w:shd w:val="clear" w:color="auto" w:fill="auto"/>
            <w:noWrap/>
            <w:vAlign w:val="bottom"/>
            <w:hideMark/>
          </w:tcPr>
          <w:p w14:paraId="7162113C"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1099" w:type="dxa"/>
            <w:tcBorders>
              <w:top w:val="nil"/>
              <w:left w:val="nil"/>
              <w:bottom w:val="single" w:sz="4" w:space="0" w:color="auto"/>
              <w:right w:val="single" w:sz="4" w:space="0" w:color="auto"/>
            </w:tcBorders>
            <w:shd w:val="clear" w:color="auto" w:fill="auto"/>
            <w:noWrap/>
            <w:vAlign w:val="bottom"/>
            <w:hideMark/>
          </w:tcPr>
          <w:p w14:paraId="5A3C0CCD"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1099" w:type="dxa"/>
            <w:tcBorders>
              <w:top w:val="nil"/>
              <w:left w:val="nil"/>
              <w:bottom w:val="single" w:sz="4" w:space="0" w:color="auto"/>
              <w:right w:val="single" w:sz="4" w:space="0" w:color="auto"/>
            </w:tcBorders>
            <w:shd w:val="clear" w:color="auto" w:fill="auto"/>
            <w:noWrap/>
            <w:vAlign w:val="bottom"/>
            <w:hideMark/>
          </w:tcPr>
          <w:p w14:paraId="4CC404CA"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c>
          <w:tcPr>
            <w:tcW w:w="1099" w:type="dxa"/>
            <w:tcBorders>
              <w:top w:val="nil"/>
              <w:left w:val="nil"/>
              <w:bottom w:val="single" w:sz="4" w:space="0" w:color="auto"/>
              <w:right w:val="single" w:sz="4" w:space="0" w:color="auto"/>
            </w:tcBorders>
            <w:shd w:val="clear" w:color="auto" w:fill="auto"/>
            <w:noWrap/>
            <w:vAlign w:val="bottom"/>
            <w:hideMark/>
          </w:tcPr>
          <w:p w14:paraId="16F89DF0" w14:textId="77777777" w:rsidR="00216E8B" w:rsidRPr="00396E4A" w:rsidRDefault="00216E8B" w:rsidP="000C49A5">
            <w:pPr>
              <w:keepNext/>
              <w:spacing w:before="0"/>
              <w:jc w:val="left"/>
              <w:rPr>
                <w:rFonts w:ascii="Calibri" w:eastAsia="Times New Roman" w:hAnsi="Calibri" w:cs="Calibri"/>
                <w:color w:val="000000"/>
                <w:sz w:val="18"/>
                <w:szCs w:val="18"/>
                <w:lang w:eastAsia="cs-CZ"/>
              </w:rPr>
            </w:pPr>
            <w:r w:rsidRPr="00396E4A">
              <w:rPr>
                <w:rFonts w:ascii="Calibri" w:eastAsia="Times New Roman" w:hAnsi="Calibri" w:cs="Calibri"/>
                <w:color w:val="000000"/>
                <w:sz w:val="18"/>
                <w:szCs w:val="18"/>
                <w:lang w:eastAsia="cs-CZ"/>
              </w:rPr>
              <w:t> </w:t>
            </w:r>
          </w:p>
        </w:tc>
      </w:tr>
      <w:tr w:rsidR="00216E8B" w:rsidRPr="00396E4A" w14:paraId="4C223F80" w14:textId="77777777" w:rsidTr="000C49A5">
        <w:trPr>
          <w:trHeight w:val="24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18D5FFD" w14:textId="77777777" w:rsidR="00216E8B" w:rsidRPr="00396E4A" w:rsidRDefault="00216E8B" w:rsidP="000C49A5">
            <w:pPr>
              <w:keepNext/>
              <w:spacing w:before="0"/>
              <w:jc w:val="lef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Celkem</w:t>
            </w:r>
          </w:p>
        </w:tc>
        <w:tc>
          <w:tcPr>
            <w:tcW w:w="1200" w:type="dxa"/>
            <w:tcBorders>
              <w:top w:val="nil"/>
              <w:left w:val="nil"/>
              <w:bottom w:val="single" w:sz="4" w:space="0" w:color="auto"/>
              <w:right w:val="single" w:sz="4" w:space="0" w:color="auto"/>
            </w:tcBorders>
            <w:shd w:val="clear" w:color="auto" w:fill="auto"/>
            <w:noWrap/>
            <w:vAlign w:val="bottom"/>
            <w:hideMark/>
          </w:tcPr>
          <w:p w14:paraId="57A870B5"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954</w:t>
            </w:r>
          </w:p>
        </w:tc>
        <w:tc>
          <w:tcPr>
            <w:tcW w:w="1234" w:type="dxa"/>
            <w:tcBorders>
              <w:top w:val="nil"/>
              <w:left w:val="nil"/>
              <w:bottom w:val="single" w:sz="4" w:space="0" w:color="auto"/>
              <w:right w:val="single" w:sz="4" w:space="0" w:color="auto"/>
            </w:tcBorders>
            <w:shd w:val="clear" w:color="auto" w:fill="auto"/>
            <w:noWrap/>
            <w:vAlign w:val="bottom"/>
            <w:hideMark/>
          </w:tcPr>
          <w:p w14:paraId="73F8BD12"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30 506 497</w:t>
            </w:r>
          </w:p>
        </w:tc>
        <w:tc>
          <w:tcPr>
            <w:tcW w:w="77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7A5C45"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54 500</w:t>
            </w:r>
          </w:p>
        </w:tc>
        <w:tc>
          <w:tcPr>
            <w:tcW w:w="63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3278F0"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3 500</w:t>
            </w:r>
          </w:p>
        </w:tc>
        <w:tc>
          <w:tcPr>
            <w:tcW w:w="63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568008"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5 000</w:t>
            </w:r>
          </w:p>
        </w:tc>
        <w:tc>
          <w:tcPr>
            <w:tcW w:w="1099" w:type="dxa"/>
            <w:tcBorders>
              <w:top w:val="single" w:sz="4" w:space="0" w:color="auto"/>
              <w:left w:val="single" w:sz="4" w:space="0" w:color="auto"/>
              <w:bottom w:val="single" w:sz="4" w:space="0" w:color="auto"/>
              <w:right w:val="single" w:sz="4" w:space="0" w:color="auto"/>
            </w:tcBorders>
            <w:shd w:val="clear" w:color="000000" w:fill="DFD0E2"/>
            <w:noWrap/>
            <w:vAlign w:val="bottom"/>
            <w:hideMark/>
          </w:tcPr>
          <w:p w14:paraId="317A7BAA"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5 639 300</w:t>
            </w:r>
          </w:p>
        </w:tc>
        <w:tc>
          <w:tcPr>
            <w:tcW w:w="1099" w:type="dxa"/>
            <w:tcBorders>
              <w:top w:val="single" w:sz="4" w:space="0" w:color="auto"/>
              <w:left w:val="single" w:sz="4" w:space="0" w:color="auto"/>
              <w:bottom w:val="single" w:sz="4" w:space="0" w:color="auto"/>
              <w:right w:val="single" w:sz="4" w:space="0" w:color="auto"/>
            </w:tcBorders>
            <w:shd w:val="clear" w:color="000000" w:fill="CAB1CF"/>
            <w:noWrap/>
            <w:vAlign w:val="bottom"/>
            <w:hideMark/>
          </w:tcPr>
          <w:p w14:paraId="42E6EA8C"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9 287 495</w:t>
            </w:r>
          </w:p>
        </w:tc>
        <w:tc>
          <w:tcPr>
            <w:tcW w:w="1099" w:type="dxa"/>
            <w:tcBorders>
              <w:top w:val="single" w:sz="4" w:space="0" w:color="auto"/>
              <w:left w:val="single" w:sz="4" w:space="0" w:color="auto"/>
              <w:bottom w:val="single" w:sz="4" w:space="0" w:color="auto"/>
              <w:right w:val="single" w:sz="4" w:space="0" w:color="auto"/>
            </w:tcBorders>
            <w:shd w:val="clear" w:color="000000" w:fill="D0BAD5"/>
            <w:noWrap/>
            <w:vAlign w:val="bottom"/>
            <w:hideMark/>
          </w:tcPr>
          <w:p w14:paraId="2FC0C2C5"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8 253 500</w:t>
            </w:r>
          </w:p>
        </w:tc>
        <w:tc>
          <w:tcPr>
            <w:tcW w:w="1099" w:type="dxa"/>
            <w:tcBorders>
              <w:top w:val="single" w:sz="4" w:space="0" w:color="auto"/>
              <w:left w:val="single" w:sz="4" w:space="0" w:color="auto"/>
              <w:bottom w:val="single" w:sz="4" w:space="0" w:color="auto"/>
              <w:right w:val="single" w:sz="4" w:space="0" w:color="auto"/>
            </w:tcBorders>
            <w:shd w:val="clear" w:color="000000" w:fill="D6C3DA"/>
            <w:noWrap/>
            <w:vAlign w:val="bottom"/>
            <w:hideMark/>
          </w:tcPr>
          <w:p w14:paraId="10FCC51A" w14:textId="77777777" w:rsidR="00216E8B" w:rsidRPr="00396E4A" w:rsidRDefault="00216E8B" w:rsidP="000C49A5">
            <w:pPr>
              <w:keepNext/>
              <w:spacing w:before="0"/>
              <w:jc w:val="right"/>
              <w:rPr>
                <w:rFonts w:ascii="Calibri" w:eastAsia="Times New Roman" w:hAnsi="Calibri" w:cs="Calibri"/>
                <w:b/>
                <w:bCs/>
                <w:color w:val="000000"/>
                <w:sz w:val="18"/>
                <w:szCs w:val="18"/>
                <w:lang w:eastAsia="cs-CZ"/>
              </w:rPr>
            </w:pPr>
            <w:r w:rsidRPr="00396E4A">
              <w:rPr>
                <w:rFonts w:ascii="Calibri" w:eastAsia="Times New Roman" w:hAnsi="Calibri" w:cs="Calibri"/>
                <w:b/>
                <w:bCs/>
                <w:color w:val="000000"/>
                <w:sz w:val="18"/>
                <w:szCs w:val="18"/>
                <w:lang w:eastAsia="cs-CZ"/>
              </w:rPr>
              <w:t>7 263 202</w:t>
            </w:r>
          </w:p>
        </w:tc>
      </w:tr>
    </w:tbl>
    <w:p w14:paraId="58EAEF29" w14:textId="54FB8517" w:rsidR="00216E8B" w:rsidRDefault="00216E8B" w:rsidP="00216E8B">
      <w:pPr>
        <w:pStyle w:val="Zdroj"/>
        <w:spacing w:before="0"/>
      </w:pPr>
      <w:r>
        <w:t>Zdroj: Statutární město Zlín</w:t>
      </w:r>
      <w:r w:rsidR="00FA427E">
        <w:t xml:space="preserve">, </w:t>
      </w:r>
      <w:r>
        <w:t>2020.</w:t>
      </w:r>
    </w:p>
    <w:p w14:paraId="47E5D3AE" w14:textId="6BB868CB" w:rsidR="00216E8B" w:rsidRPr="00DD3E2D" w:rsidRDefault="00216E8B" w:rsidP="00216E8B">
      <w:r>
        <w:t xml:space="preserve">V rámci </w:t>
      </w:r>
      <w:r w:rsidRPr="007126C8">
        <w:rPr>
          <w:b/>
        </w:rPr>
        <w:t>anketního šetření</w:t>
      </w:r>
      <w:r>
        <w:t xml:space="preserve"> zpracovaného v rámci realizace Strategie ZLÍN 2030 </w:t>
      </w:r>
      <w:r>
        <w:rPr>
          <w:rFonts w:cstheme="minorHAnsi"/>
        </w:rPr>
        <w:t>zhodnotili stav místních komunikací na škále 0</w:t>
      </w:r>
      <w:r w:rsidR="00FA427E">
        <w:rPr>
          <w:rFonts w:cstheme="minorHAnsi"/>
        </w:rPr>
        <w:t xml:space="preserve"> </w:t>
      </w:r>
      <w:r w:rsidR="00FA427E">
        <w:rPr>
          <w:rFonts w:cstheme="minorHAnsi"/>
        </w:rPr>
        <w:sym w:font="Symbol" w:char="F02D"/>
      </w:r>
      <w:r w:rsidR="00FA427E">
        <w:rPr>
          <w:rFonts w:cstheme="minorHAnsi"/>
        </w:rPr>
        <w:t xml:space="preserve"> </w:t>
      </w:r>
      <w:r>
        <w:rPr>
          <w:rFonts w:cstheme="minorHAnsi"/>
        </w:rPr>
        <w:t xml:space="preserve">100 respondenti z řad obyvatel Zlína průměrně 69,1, negativněji stav místních komunikací vnímají respondenti, kteří ve Zlíně bydlí bez trvalého bydliště (42,6) a studenti UTB (43,0). Z hlediska pohlaví občanů Zlína hodnotili stav místních komunikací negativněji muži (66,4), než ženy </w:t>
      </w:r>
      <w:r>
        <w:rPr>
          <w:rFonts w:cstheme="minorHAnsi"/>
        </w:rPr>
        <w:lastRenderedPageBreak/>
        <w:t>(71,5). Pozitivněji jej hodnotili občané ve věku 65 let a více (72,2), u obyvatel ve věku 35</w:t>
      </w:r>
      <w:r w:rsidR="00FA427E">
        <w:rPr>
          <w:rFonts w:cstheme="minorHAnsi"/>
        </w:rPr>
        <w:t xml:space="preserve"> </w:t>
      </w:r>
      <w:r w:rsidR="00FA427E">
        <w:rPr>
          <w:rFonts w:cstheme="minorHAnsi"/>
        </w:rPr>
        <w:sym w:font="Symbol" w:char="F02D"/>
      </w:r>
      <w:r w:rsidR="00FA427E">
        <w:rPr>
          <w:rFonts w:cstheme="minorHAnsi"/>
        </w:rPr>
        <w:t xml:space="preserve"> </w:t>
      </w:r>
      <w:r>
        <w:rPr>
          <w:rFonts w:cstheme="minorHAnsi"/>
        </w:rPr>
        <w:t>64 let bylo hodnocení 69,2, nejhůře hodnotili stav občané mladší 35 let.</w:t>
      </w:r>
    </w:p>
    <w:p w14:paraId="56F6A79B" w14:textId="77777777" w:rsidR="00216E8B" w:rsidRDefault="00216E8B" w:rsidP="00216E8B">
      <w:pPr>
        <w:pStyle w:val="Nadpis4"/>
      </w:pPr>
      <w:r>
        <w:t>P</w:t>
      </w:r>
      <w:r w:rsidRPr="0092656A">
        <w:t xml:space="preserve">lánované klíčové stavby celostátní dopravní infrastruktury v regionu a jejich vliv na dopravní systém města </w:t>
      </w:r>
    </w:p>
    <w:p w14:paraId="4F88C6A4" w14:textId="77777777" w:rsidR="00216E8B" w:rsidRPr="00715CF9" w:rsidRDefault="00216E8B" w:rsidP="00216E8B">
      <w:pPr>
        <w:rPr>
          <w:b/>
        </w:rPr>
      </w:pPr>
      <w:r w:rsidRPr="00715CF9">
        <w:rPr>
          <w:b/>
        </w:rPr>
        <w:t>Modernizace železniční trati</w:t>
      </w:r>
      <w:r>
        <w:rPr>
          <w:b/>
        </w:rPr>
        <w:t xml:space="preserve"> 331 a stavba nového dopravního terminálu</w:t>
      </w:r>
    </w:p>
    <w:p w14:paraId="4D39598B" w14:textId="76450607" w:rsidR="00216E8B" w:rsidRDefault="00216E8B" w:rsidP="00216E8B">
      <w:r w:rsidRPr="00CC1BC7">
        <w:t xml:space="preserve">Státní investice za 12 miliard korun </w:t>
      </w:r>
      <w:r>
        <w:t xml:space="preserve">řeší elektrizaci celé trati z Otrokovic do Vizovic včetně vybudování druhé koleje v úseku Otrokovice – Zlín. Maximální traťová rychlost bude zvýšena na 100 km/h. Zásadních změn dozná i stanice Zlín střed, kdy poloha nádraží bude přesunuta blíže ke Gahurově ulici. </w:t>
      </w:r>
      <w:r w:rsidRPr="00F53B90">
        <w:t>V</w:t>
      </w:r>
      <w:r w:rsidR="00FA427E">
        <w:t> </w:t>
      </w:r>
      <w:r w:rsidRPr="00F53B90">
        <w:t xml:space="preserve">rámci stavby budou zrušeny </w:t>
      </w:r>
      <w:r>
        <w:t xml:space="preserve">3 </w:t>
      </w:r>
      <w:r w:rsidRPr="00F53B90">
        <w:t>zastávky Otrokovice-Trávníky, Zlín-U mlýna, Zlín-Malenovice a Zlín-Louky</w:t>
      </w:r>
      <w:r>
        <w:t xml:space="preserve"> a zastávka Zlín-Malenovice bude přesunuta.</w:t>
      </w:r>
      <w:r w:rsidRPr="00F53B90">
        <w:t xml:space="preserve"> </w:t>
      </w:r>
      <w:r>
        <w:t>SŽDC prozatím počítá s termínem zahájení prací v</w:t>
      </w:r>
      <w:r w:rsidR="00FA427E">
        <w:t> </w:t>
      </w:r>
      <w:r>
        <w:t>roce 2023, uvedení do provozu je předpokládáno v roce 2027.</w:t>
      </w:r>
    </w:p>
    <w:p w14:paraId="2C2D0CC7" w14:textId="3FC24F33" w:rsidR="00216E8B" w:rsidRDefault="00216E8B" w:rsidP="00216E8B">
      <w:pPr>
        <w:pStyle w:val="Titulek"/>
        <w:keepNext/>
      </w:pPr>
      <w:bookmarkStart w:id="299" w:name="_Toc51933197"/>
      <w:bookmarkStart w:id="300" w:name="_Toc7707487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53</w:t>
      </w:r>
      <w:r w:rsidR="00804AF3">
        <w:rPr>
          <w:noProof/>
        </w:rPr>
        <w:fldChar w:fldCharType="end"/>
      </w:r>
      <w:r w:rsidR="00FA427E">
        <w:rPr>
          <w:noProof/>
        </w:rPr>
        <w:t>:</w:t>
      </w:r>
      <w:r>
        <w:t xml:space="preserve"> Modernizace trati 331</w:t>
      </w:r>
      <w:bookmarkEnd w:id="299"/>
      <w:bookmarkEnd w:id="300"/>
    </w:p>
    <w:p w14:paraId="574FFB9E" w14:textId="77777777" w:rsidR="00216E8B" w:rsidRDefault="00216E8B" w:rsidP="00216E8B">
      <w:r>
        <w:rPr>
          <w:noProof/>
          <w:lang w:eastAsia="cs-CZ"/>
        </w:rPr>
        <w:drawing>
          <wp:inline distT="0" distB="0" distL="0" distR="0" wp14:anchorId="13527693" wp14:editId="798DF0BA">
            <wp:extent cx="5760720" cy="144780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1447800"/>
                    </a:xfrm>
                    <a:prstGeom prst="rect">
                      <a:avLst/>
                    </a:prstGeom>
                  </pic:spPr>
                </pic:pic>
              </a:graphicData>
            </a:graphic>
          </wp:inline>
        </w:drawing>
      </w:r>
    </w:p>
    <w:p w14:paraId="3274C79F" w14:textId="77777777" w:rsidR="00216E8B" w:rsidRDefault="00216E8B" w:rsidP="00216E8B">
      <w:pPr>
        <w:pStyle w:val="Zdroj"/>
      </w:pPr>
      <w:r>
        <w:t>Zdroj: SŽDC</w:t>
      </w:r>
    </w:p>
    <w:p w14:paraId="451AF5D4" w14:textId="77777777" w:rsidR="00216E8B" w:rsidRDefault="00216E8B" w:rsidP="00216E8B">
      <w:r>
        <w:t>Modernizace přinese rychlejší provoz, zvýšenou kapacitu přepravy a celkově kvalitnější a pohodlnější cestování po železnici, díky zvýšení traťové rychlosti se zkrátí doba cesty ze Zlína do Otrokovic ze 17 min. na 11 min, cesta do Vizovic se pak zkrátí na 18 min.</w:t>
      </w:r>
    </w:p>
    <w:p w14:paraId="3655A267" w14:textId="43E43CEF" w:rsidR="00216E8B" w:rsidRDefault="00216E8B" w:rsidP="00216E8B">
      <w:pPr>
        <w:pStyle w:val="Titulek"/>
        <w:keepNext/>
      </w:pPr>
      <w:bookmarkStart w:id="301" w:name="_Toc51933188"/>
      <w:bookmarkStart w:id="302" w:name="_Toc7707473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50</w:t>
      </w:r>
      <w:r w:rsidR="00081B47">
        <w:rPr>
          <w:noProof/>
        </w:rPr>
        <w:fldChar w:fldCharType="end"/>
      </w:r>
      <w:r w:rsidR="00FA427E">
        <w:rPr>
          <w:noProof/>
        </w:rPr>
        <w:t>:</w:t>
      </w:r>
      <w:r>
        <w:t xml:space="preserve"> Zkrácení cestovních časů po modernizaci trati 331</w:t>
      </w:r>
      <w:bookmarkEnd w:id="301"/>
      <w:bookmarkEnd w:id="302"/>
    </w:p>
    <w:tbl>
      <w:tblPr>
        <w:tblStyle w:val="Mkatabulky"/>
        <w:tblW w:w="0" w:type="auto"/>
        <w:tblLook w:val="04A0" w:firstRow="1" w:lastRow="0" w:firstColumn="1" w:lastColumn="0" w:noHBand="0" w:noVBand="1"/>
      </w:tblPr>
      <w:tblGrid>
        <w:gridCol w:w="2265"/>
        <w:gridCol w:w="2265"/>
        <w:gridCol w:w="2266"/>
        <w:gridCol w:w="2266"/>
      </w:tblGrid>
      <w:tr w:rsidR="00216E8B" w:rsidRPr="00C27E21" w14:paraId="6B74A991" w14:textId="77777777" w:rsidTr="000C49A5">
        <w:tc>
          <w:tcPr>
            <w:tcW w:w="2265" w:type="dxa"/>
            <w:shd w:val="clear" w:color="auto" w:fill="F2F2F2" w:themeFill="background1" w:themeFillShade="F2"/>
            <w:vAlign w:val="center"/>
          </w:tcPr>
          <w:p w14:paraId="0E4421D6" w14:textId="77777777" w:rsidR="00216E8B" w:rsidRPr="00C27E21" w:rsidRDefault="00216E8B" w:rsidP="000C49A5">
            <w:pPr>
              <w:keepNext/>
              <w:spacing w:before="0"/>
              <w:jc w:val="center"/>
              <w:rPr>
                <w:b/>
                <w:sz w:val="18"/>
                <w:szCs w:val="18"/>
              </w:rPr>
            </w:pPr>
            <w:r w:rsidRPr="00C27E21">
              <w:rPr>
                <w:b/>
                <w:sz w:val="18"/>
                <w:szCs w:val="18"/>
              </w:rPr>
              <w:t>Úsek</w:t>
            </w:r>
          </w:p>
        </w:tc>
        <w:tc>
          <w:tcPr>
            <w:tcW w:w="2265" w:type="dxa"/>
            <w:shd w:val="clear" w:color="auto" w:fill="F2F2F2" w:themeFill="background1" w:themeFillShade="F2"/>
            <w:vAlign w:val="center"/>
          </w:tcPr>
          <w:p w14:paraId="66D2CF1B" w14:textId="77777777" w:rsidR="00216E8B" w:rsidRPr="00C27E21" w:rsidRDefault="00216E8B" w:rsidP="000C49A5">
            <w:pPr>
              <w:keepNext/>
              <w:spacing w:before="0"/>
              <w:jc w:val="center"/>
              <w:rPr>
                <w:b/>
                <w:sz w:val="18"/>
                <w:szCs w:val="18"/>
              </w:rPr>
            </w:pPr>
            <w:r>
              <w:rPr>
                <w:b/>
                <w:sz w:val="18"/>
                <w:szCs w:val="18"/>
              </w:rPr>
              <w:t>Před rekonstrukcí</w:t>
            </w:r>
          </w:p>
        </w:tc>
        <w:tc>
          <w:tcPr>
            <w:tcW w:w="2266" w:type="dxa"/>
            <w:shd w:val="clear" w:color="auto" w:fill="F2F2F2" w:themeFill="background1" w:themeFillShade="F2"/>
            <w:vAlign w:val="center"/>
          </w:tcPr>
          <w:p w14:paraId="406019C6" w14:textId="77777777" w:rsidR="00216E8B" w:rsidRPr="00C27E21" w:rsidRDefault="00216E8B" w:rsidP="000C49A5">
            <w:pPr>
              <w:keepNext/>
              <w:spacing w:before="0"/>
              <w:jc w:val="center"/>
              <w:rPr>
                <w:b/>
                <w:sz w:val="18"/>
                <w:szCs w:val="18"/>
              </w:rPr>
            </w:pPr>
            <w:r>
              <w:rPr>
                <w:b/>
                <w:sz w:val="18"/>
                <w:szCs w:val="18"/>
              </w:rPr>
              <w:t>Po rekonstrukci</w:t>
            </w:r>
          </w:p>
        </w:tc>
        <w:tc>
          <w:tcPr>
            <w:tcW w:w="2266" w:type="dxa"/>
            <w:shd w:val="clear" w:color="auto" w:fill="F2F2F2" w:themeFill="background1" w:themeFillShade="F2"/>
            <w:vAlign w:val="center"/>
          </w:tcPr>
          <w:p w14:paraId="41C98809" w14:textId="77777777" w:rsidR="00216E8B" w:rsidRPr="00C27E21" w:rsidRDefault="00216E8B" w:rsidP="000C49A5">
            <w:pPr>
              <w:keepNext/>
              <w:spacing w:before="0"/>
              <w:jc w:val="center"/>
              <w:rPr>
                <w:b/>
                <w:sz w:val="18"/>
                <w:szCs w:val="18"/>
              </w:rPr>
            </w:pPr>
            <w:r>
              <w:rPr>
                <w:b/>
                <w:sz w:val="18"/>
                <w:szCs w:val="18"/>
              </w:rPr>
              <w:t>Časová úspora</w:t>
            </w:r>
          </w:p>
        </w:tc>
      </w:tr>
      <w:tr w:rsidR="00216E8B" w:rsidRPr="00C27E21" w14:paraId="09EB48F7" w14:textId="77777777" w:rsidTr="000C49A5">
        <w:tc>
          <w:tcPr>
            <w:tcW w:w="2265" w:type="dxa"/>
          </w:tcPr>
          <w:p w14:paraId="759A19E2" w14:textId="77777777" w:rsidR="00216E8B" w:rsidRPr="00C27E21" w:rsidRDefault="00216E8B" w:rsidP="000C49A5">
            <w:pPr>
              <w:keepNext/>
              <w:spacing w:before="0"/>
              <w:rPr>
                <w:sz w:val="18"/>
                <w:szCs w:val="18"/>
              </w:rPr>
            </w:pPr>
            <w:r>
              <w:rPr>
                <w:sz w:val="18"/>
                <w:szCs w:val="18"/>
              </w:rPr>
              <w:t>Zlín-Otrokovice</w:t>
            </w:r>
          </w:p>
        </w:tc>
        <w:tc>
          <w:tcPr>
            <w:tcW w:w="2265" w:type="dxa"/>
          </w:tcPr>
          <w:p w14:paraId="33DFD6D5" w14:textId="77777777" w:rsidR="00216E8B" w:rsidRPr="00C27E21" w:rsidRDefault="00216E8B" w:rsidP="000C49A5">
            <w:pPr>
              <w:keepNext/>
              <w:spacing w:before="0"/>
              <w:jc w:val="right"/>
              <w:rPr>
                <w:sz w:val="18"/>
                <w:szCs w:val="18"/>
              </w:rPr>
            </w:pPr>
            <w:r>
              <w:rPr>
                <w:sz w:val="18"/>
                <w:szCs w:val="18"/>
              </w:rPr>
              <w:t>17 min.</w:t>
            </w:r>
          </w:p>
        </w:tc>
        <w:tc>
          <w:tcPr>
            <w:tcW w:w="2266" w:type="dxa"/>
          </w:tcPr>
          <w:p w14:paraId="2D417A3A" w14:textId="77777777" w:rsidR="00216E8B" w:rsidRPr="00C27E21" w:rsidRDefault="00216E8B" w:rsidP="000C49A5">
            <w:pPr>
              <w:keepNext/>
              <w:spacing w:before="0"/>
              <w:jc w:val="right"/>
              <w:rPr>
                <w:sz w:val="18"/>
                <w:szCs w:val="18"/>
              </w:rPr>
            </w:pPr>
            <w:r>
              <w:rPr>
                <w:sz w:val="18"/>
                <w:szCs w:val="18"/>
              </w:rPr>
              <w:t>11 min.</w:t>
            </w:r>
          </w:p>
        </w:tc>
        <w:tc>
          <w:tcPr>
            <w:tcW w:w="2266" w:type="dxa"/>
          </w:tcPr>
          <w:p w14:paraId="43FADC89" w14:textId="77777777" w:rsidR="00216E8B" w:rsidRPr="00C27E21" w:rsidRDefault="00216E8B" w:rsidP="000C49A5">
            <w:pPr>
              <w:keepNext/>
              <w:spacing w:before="0"/>
              <w:jc w:val="right"/>
              <w:rPr>
                <w:sz w:val="18"/>
                <w:szCs w:val="18"/>
              </w:rPr>
            </w:pPr>
            <w:r>
              <w:rPr>
                <w:sz w:val="18"/>
                <w:szCs w:val="18"/>
              </w:rPr>
              <w:t>6 min.</w:t>
            </w:r>
          </w:p>
        </w:tc>
      </w:tr>
      <w:tr w:rsidR="00216E8B" w:rsidRPr="00C27E21" w14:paraId="2C752A3B" w14:textId="77777777" w:rsidTr="000C49A5">
        <w:tc>
          <w:tcPr>
            <w:tcW w:w="2265" w:type="dxa"/>
          </w:tcPr>
          <w:p w14:paraId="225AF35D" w14:textId="77777777" w:rsidR="00216E8B" w:rsidRPr="00C27E21" w:rsidRDefault="00216E8B" w:rsidP="000C49A5">
            <w:pPr>
              <w:keepNext/>
              <w:spacing w:before="0"/>
              <w:rPr>
                <w:sz w:val="18"/>
                <w:szCs w:val="18"/>
              </w:rPr>
            </w:pPr>
            <w:r>
              <w:rPr>
                <w:sz w:val="18"/>
                <w:szCs w:val="18"/>
              </w:rPr>
              <w:t>Zlín-Vizovice</w:t>
            </w:r>
          </w:p>
        </w:tc>
        <w:tc>
          <w:tcPr>
            <w:tcW w:w="2265" w:type="dxa"/>
          </w:tcPr>
          <w:p w14:paraId="16370324" w14:textId="77777777" w:rsidR="00216E8B" w:rsidRPr="00C27E21" w:rsidRDefault="00216E8B" w:rsidP="000C49A5">
            <w:pPr>
              <w:keepNext/>
              <w:spacing w:before="0"/>
              <w:jc w:val="right"/>
              <w:rPr>
                <w:sz w:val="18"/>
                <w:szCs w:val="18"/>
              </w:rPr>
            </w:pPr>
            <w:r>
              <w:rPr>
                <w:sz w:val="18"/>
                <w:szCs w:val="18"/>
              </w:rPr>
              <w:t>23 min.</w:t>
            </w:r>
          </w:p>
        </w:tc>
        <w:tc>
          <w:tcPr>
            <w:tcW w:w="2266" w:type="dxa"/>
          </w:tcPr>
          <w:p w14:paraId="57803313" w14:textId="77777777" w:rsidR="00216E8B" w:rsidRPr="00C27E21" w:rsidRDefault="00216E8B" w:rsidP="000C49A5">
            <w:pPr>
              <w:keepNext/>
              <w:spacing w:before="0"/>
              <w:jc w:val="right"/>
              <w:rPr>
                <w:sz w:val="18"/>
                <w:szCs w:val="18"/>
              </w:rPr>
            </w:pPr>
            <w:r>
              <w:rPr>
                <w:sz w:val="18"/>
                <w:szCs w:val="18"/>
              </w:rPr>
              <w:t>18 min.</w:t>
            </w:r>
          </w:p>
        </w:tc>
        <w:tc>
          <w:tcPr>
            <w:tcW w:w="2266" w:type="dxa"/>
          </w:tcPr>
          <w:p w14:paraId="6C34462D" w14:textId="77777777" w:rsidR="00216E8B" w:rsidRPr="00C27E21" w:rsidRDefault="00216E8B" w:rsidP="000C49A5">
            <w:pPr>
              <w:keepNext/>
              <w:spacing w:before="0"/>
              <w:jc w:val="right"/>
              <w:rPr>
                <w:sz w:val="18"/>
                <w:szCs w:val="18"/>
              </w:rPr>
            </w:pPr>
            <w:r>
              <w:rPr>
                <w:sz w:val="18"/>
                <w:szCs w:val="18"/>
              </w:rPr>
              <w:t>5 min.</w:t>
            </w:r>
          </w:p>
        </w:tc>
      </w:tr>
    </w:tbl>
    <w:p w14:paraId="25E1D2E8" w14:textId="77777777" w:rsidR="00216E8B" w:rsidRDefault="00216E8B" w:rsidP="00216E8B">
      <w:pPr>
        <w:pStyle w:val="Zdroj"/>
      </w:pPr>
      <w:r>
        <w:t>Zdroj: SŽDC</w:t>
      </w:r>
    </w:p>
    <w:p w14:paraId="6364CDF8" w14:textId="77777777" w:rsidR="00216E8B" w:rsidRDefault="00216E8B" w:rsidP="00216E8B">
      <w:r>
        <w:t>Zcela nová výpravní budova se postaví ve Zlíně střed. Naváže na ni komerční objekt, jehož plánovaná obchodní pasáž bude komunikačně propojena se suterénem výpravní budovy. Objekt bude mít celkem osm nadzemních podlaží a jedno podzemní komunikačně propojené s navazujícím podchodem. Část budovy bude sloužit jako parkovací stání pro osobní automobily či pronajímatelný administrativní prostor. Součástí nového dopravního terminálu bude i nové autobusové nádraží.</w:t>
      </w:r>
    </w:p>
    <w:p w14:paraId="2D3E8C12" w14:textId="59185340" w:rsidR="00216E8B" w:rsidRDefault="00216E8B" w:rsidP="00216E8B">
      <w:pPr>
        <w:pStyle w:val="Titulek"/>
        <w:keepNext/>
        <w:spacing w:after="0"/>
      </w:pPr>
      <w:bookmarkStart w:id="303" w:name="_Toc51933198"/>
      <w:bookmarkStart w:id="304" w:name="_Toc7707487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54</w:t>
      </w:r>
      <w:r w:rsidR="00804AF3">
        <w:rPr>
          <w:noProof/>
        </w:rPr>
        <w:fldChar w:fldCharType="end"/>
      </w:r>
      <w:r w:rsidR="00FA427E">
        <w:rPr>
          <w:noProof/>
        </w:rPr>
        <w:t>:</w:t>
      </w:r>
      <w:r>
        <w:t xml:space="preserve"> Fotografie vlakového nádraží a vizualizace nového terminálu</w:t>
      </w:r>
      <w:bookmarkEnd w:id="303"/>
      <w:bookmarkEnd w:id="304"/>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7"/>
      </w:tblGrid>
      <w:tr w:rsidR="00216E8B" w14:paraId="5134AD3A" w14:textId="77777777" w:rsidTr="00216E8B">
        <w:trPr>
          <w:trHeight w:val="1746"/>
        </w:trPr>
        <w:tc>
          <w:tcPr>
            <w:tcW w:w="4347" w:type="dxa"/>
          </w:tcPr>
          <w:p w14:paraId="5390545F" w14:textId="77777777" w:rsidR="00216E8B" w:rsidRDefault="00216E8B" w:rsidP="000C49A5">
            <w:r>
              <w:rPr>
                <w:noProof/>
                <w:lang w:eastAsia="cs-CZ"/>
              </w:rPr>
              <w:drawing>
                <wp:inline distT="0" distB="0" distL="0" distR="0" wp14:anchorId="348CC9B0" wp14:editId="18223989">
                  <wp:extent cx="2878440" cy="1463040"/>
                  <wp:effectExtent l="0" t="0" r="0" b="3810"/>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00px-Zlín_střed,železniční_stanice.JPG"/>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2880001" cy="1463833"/>
                          </a:xfrm>
                          <a:prstGeom prst="rect">
                            <a:avLst/>
                          </a:prstGeom>
                          <a:ln>
                            <a:noFill/>
                          </a:ln>
                          <a:extLst>
                            <a:ext uri="{53640926-AAD7-44D8-BBD7-CCE9431645EC}">
                              <a14:shadowObscured xmlns:a14="http://schemas.microsoft.com/office/drawing/2010/main"/>
                            </a:ext>
                          </a:extLst>
                        </pic:spPr>
                      </pic:pic>
                    </a:graphicData>
                  </a:graphic>
                </wp:inline>
              </w:drawing>
            </w:r>
          </w:p>
        </w:tc>
        <w:tc>
          <w:tcPr>
            <w:tcW w:w="4349" w:type="dxa"/>
          </w:tcPr>
          <w:p w14:paraId="6301A570" w14:textId="77777777" w:rsidR="00216E8B" w:rsidRDefault="00216E8B" w:rsidP="000C49A5">
            <w:r>
              <w:rPr>
                <w:noProof/>
                <w:lang w:eastAsia="cs-CZ"/>
              </w:rPr>
              <w:drawing>
                <wp:inline distT="0" distB="0" distL="0" distR="0" wp14:anchorId="7405F304" wp14:editId="2348CDC7">
                  <wp:extent cx="2880000" cy="1463492"/>
                  <wp:effectExtent l="0" t="0" r="0" b="381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5c5bdc2996000ceea7c1ee935104714.JPG"/>
                          <pic:cNvPicPr/>
                        </pic:nvPicPr>
                        <pic:blipFill>
                          <a:blip r:embed="rId94" cstate="print">
                            <a:extLst>
                              <a:ext uri="{28A0092B-C50C-407E-A947-70E740481C1C}">
                                <a14:useLocalDpi xmlns:a14="http://schemas.microsoft.com/office/drawing/2010/main"/>
                              </a:ext>
                            </a:extLst>
                          </a:blip>
                          <a:stretch>
                            <a:fillRect/>
                          </a:stretch>
                        </pic:blipFill>
                        <pic:spPr>
                          <a:xfrm>
                            <a:off x="0" y="0"/>
                            <a:ext cx="2880000" cy="1463492"/>
                          </a:xfrm>
                          <a:prstGeom prst="rect">
                            <a:avLst/>
                          </a:prstGeom>
                        </pic:spPr>
                      </pic:pic>
                    </a:graphicData>
                  </a:graphic>
                </wp:inline>
              </w:drawing>
            </w:r>
          </w:p>
        </w:tc>
      </w:tr>
    </w:tbl>
    <w:p w14:paraId="6CE6675B" w14:textId="713BAD47" w:rsidR="00216E8B" w:rsidRDefault="00216E8B" w:rsidP="00216E8B">
      <w:pPr>
        <w:pStyle w:val="Zdroj"/>
      </w:pPr>
      <w:r>
        <w:t>Zdroj: Vojtěch Dočkal, MMZ</w:t>
      </w:r>
      <w:r w:rsidR="00FA427E">
        <w:t xml:space="preserve">, </w:t>
      </w:r>
      <w:r>
        <w:t>2020</w:t>
      </w:r>
      <w:r w:rsidR="00FA427E">
        <w:t>.</w:t>
      </w:r>
    </w:p>
    <w:p w14:paraId="5E17ED5E" w14:textId="77777777" w:rsidR="00216E8B" w:rsidRDefault="00216E8B" w:rsidP="00216E8B">
      <w:pPr>
        <w:keepNext/>
        <w:rPr>
          <w:b/>
        </w:rPr>
      </w:pPr>
      <w:r w:rsidRPr="00715CF9">
        <w:rPr>
          <w:b/>
        </w:rPr>
        <w:lastRenderedPageBreak/>
        <w:t>Dálnice D49</w:t>
      </w:r>
    </w:p>
    <w:tbl>
      <w:tblPr>
        <w:tblStyle w:val="Mkatabulky"/>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5323"/>
        <w:gridCol w:w="3739"/>
      </w:tblGrid>
      <w:tr w:rsidR="00216E8B" w14:paraId="3147A11B" w14:textId="77777777" w:rsidTr="000C49A5">
        <w:tc>
          <w:tcPr>
            <w:tcW w:w="5323" w:type="dxa"/>
            <w:shd w:val="clear" w:color="auto" w:fill="DEEAF6" w:themeFill="accent1" w:themeFillTint="33"/>
          </w:tcPr>
          <w:p w14:paraId="56FA0AC9" w14:textId="77777777" w:rsidR="00216E8B" w:rsidRPr="00E60C9C" w:rsidRDefault="00216E8B" w:rsidP="000C49A5">
            <w:pPr>
              <w:rPr>
                <w:i/>
              </w:rPr>
            </w:pPr>
            <w:r w:rsidRPr="00E60C9C">
              <w:rPr>
                <w:i/>
              </w:rPr>
              <w:t>Hulín-Fryšták – zprovoznění 2023</w:t>
            </w:r>
          </w:p>
          <w:p w14:paraId="517CA07A" w14:textId="77777777" w:rsidR="00216E8B" w:rsidRDefault="00216E8B" w:rsidP="000C49A5">
            <w:pPr>
              <w:rPr>
                <w:b/>
              </w:rPr>
            </w:pPr>
            <w:r>
              <w:t>Účelem stavby je vybudování kapacitní komunikace, která umožní převést vysoké intenzity silniční dopravy z komunikací vedených zástavbou Zlína, Otrokovic, Holešova i Hulína na nově navrhovanou kapacitní komunikaci D49. To se příznivě dotkne i všech obcí na stávající trase silnice I/49, I/55, II/490 a II/432 v okresech Kroměříž a Zlín.</w:t>
            </w:r>
          </w:p>
        </w:tc>
        <w:tc>
          <w:tcPr>
            <w:tcW w:w="3739" w:type="dxa"/>
            <w:shd w:val="clear" w:color="auto" w:fill="DEEAF6" w:themeFill="accent1" w:themeFillTint="33"/>
          </w:tcPr>
          <w:p w14:paraId="352551E5" w14:textId="2D76D7E6" w:rsidR="00216E8B" w:rsidRDefault="00216E8B" w:rsidP="000C49A5">
            <w:pPr>
              <w:pStyle w:val="Titulek"/>
              <w:keepNext/>
            </w:pPr>
            <w:bookmarkStart w:id="305" w:name="_Toc51933199"/>
            <w:bookmarkStart w:id="306" w:name="_Toc7707487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55</w:t>
            </w:r>
            <w:r w:rsidR="00804AF3">
              <w:rPr>
                <w:noProof/>
              </w:rPr>
              <w:fldChar w:fldCharType="end"/>
            </w:r>
            <w:r>
              <w:t>: Etapa Hulín Fryšták</w:t>
            </w:r>
            <w:bookmarkEnd w:id="305"/>
            <w:bookmarkEnd w:id="306"/>
          </w:p>
          <w:p w14:paraId="73C39568" w14:textId="77777777" w:rsidR="00216E8B" w:rsidRDefault="00216E8B" w:rsidP="000C49A5">
            <w:pPr>
              <w:pStyle w:val="Zdroj"/>
            </w:pPr>
            <w:r>
              <w:rPr>
                <w:noProof/>
              </w:rPr>
              <w:drawing>
                <wp:inline distT="0" distB="0" distL="0" distR="0" wp14:anchorId="3B0AFF5E" wp14:editId="2FF39C34">
                  <wp:extent cx="2160000" cy="1203614"/>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60000" cy="1203614"/>
                          </a:xfrm>
                          <a:prstGeom prst="rect">
                            <a:avLst/>
                          </a:prstGeom>
                        </pic:spPr>
                      </pic:pic>
                    </a:graphicData>
                  </a:graphic>
                </wp:inline>
              </w:drawing>
            </w:r>
            <w:r>
              <w:t>Zdroj: ŘSD (2020)</w:t>
            </w:r>
          </w:p>
        </w:tc>
      </w:tr>
      <w:tr w:rsidR="00216E8B" w14:paraId="0627BCAA" w14:textId="77777777" w:rsidTr="000C49A5">
        <w:tc>
          <w:tcPr>
            <w:tcW w:w="5323" w:type="dxa"/>
          </w:tcPr>
          <w:p w14:paraId="23FC590F" w14:textId="77777777" w:rsidR="00216E8B" w:rsidRPr="00E60C9C" w:rsidRDefault="00216E8B" w:rsidP="000C49A5">
            <w:pPr>
              <w:rPr>
                <w:i/>
              </w:rPr>
            </w:pPr>
            <w:r w:rsidRPr="00E60C9C">
              <w:rPr>
                <w:i/>
              </w:rPr>
              <w:t>Fryšták – Lípa, 1. etapa – zprovoznění 2028</w:t>
            </w:r>
          </w:p>
          <w:p w14:paraId="22F15C88" w14:textId="77777777" w:rsidR="00216E8B" w:rsidRPr="00E60C9C" w:rsidRDefault="00216E8B" w:rsidP="000C49A5">
            <w:pPr>
              <w:rPr>
                <w:i/>
              </w:rPr>
            </w:pPr>
            <w:r w:rsidRPr="00E60C9C">
              <w:rPr>
                <w:i/>
              </w:rPr>
              <w:t>(dálniční přivaděč od Fryštáku)</w:t>
            </w:r>
          </w:p>
          <w:p w14:paraId="20779D35" w14:textId="77777777" w:rsidR="00216E8B" w:rsidRPr="00E60C9C" w:rsidRDefault="00216E8B" w:rsidP="000C49A5">
            <w:pPr>
              <w:rPr>
                <w:u w:val="single"/>
              </w:rPr>
            </w:pPr>
            <w:r>
              <w:t>Stavba je součástí dálničního obchvatu Zlína, který po dokončení odvede tranzitní dopravu ze silnice I/49 procházející středem města. Skrze plánovanou přeložku silnice II/490 se na budoucí D49 napojí od severu město Fryšták a od jihu Zlín.</w:t>
            </w:r>
          </w:p>
        </w:tc>
        <w:tc>
          <w:tcPr>
            <w:tcW w:w="3739" w:type="dxa"/>
          </w:tcPr>
          <w:p w14:paraId="27D6BEE4" w14:textId="498043B2" w:rsidR="00216E8B" w:rsidRDefault="00216E8B" w:rsidP="000C49A5">
            <w:pPr>
              <w:pStyle w:val="Titulek"/>
              <w:keepNext/>
            </w:pPr>
            <w:bookmarkStart w:id="307" w:name="_Toc51933200"/>
            <w:bookmarkStart w:id="308" w:name="_Toc7707487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56</w:t>
            </w:r>
            <w:r w:rsidR="00804AF3">
              <w:rPr>
                <w:noProof/>
              </w:rPr>
              <w:fldChar w:fldCharType="end"/>
            </w:r>
            <w:r>
              <w:t>: 1. Etapa Fryšták-Lípa</w:t>
            </w:r>
            <w:bookmarkEnd w:id="307"/>
            <w:bookmarkEnd w:id="308"/>
          </w:p>
          <w:p w14:paraId="7465F2FD" w14:textId="77777777" w:rsidR="00216E8B" w:rsidRDefault="00216E8B" w:rsidP="000C49A5">
            <w:pPr>
              <w:pStyle w:val="Zdroj"/>
              <w:rPr>
                <w:noProof/>
              </w:rPr>
            </w:pPr>
            <w:r>
              <w:rPr>
                <w:noProof/>
              </w:rPr>
              <w:drawing>
                <wp:inline distT="0" distB="0" distL="0" distR="0" wp14:anchorId="2FBC55AD" wp14:editId="672F9F11">
                  <wp:extent cx="2160000" cy="788148"/>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2160000" cy="788148"/>
                          </a:xfrm>
                          <a:prstGeom prst="rect">
                            <a:avLst/>
                          </a:prstGeom>
                          <a:ln>
                            <a:noFill/>
                          </a:ln>
                          <a:extLst>
                            <a:ext uri="{53640926-AAD7-44D8-BBD7-CCE9431645EC}">
                              <a14:shadowObscured xmlns:a14="http://schemas.microsoft.com/office/drawing/2010/main"/>
                            </a:ext>
                          </a:extLst>
                        </pic:spPr>
                      </pic:pic>
                    </a:graphicData>
                  </a:graphic>
                </wp:inline>
              </w:drawing>
            </w:r>
            <w:r>
              <w:t xml:space="preserve"> Zdroj: ŘSD (2020)</w:t>
            </w:r>
          </w:p>
        </w:tc>
      </w:tr>
      <w:tr w:rsidR="00216E8B" w14:paraId="60F080DF" w14:textId="77777777" w:rsidTr="000C49A5">
        <w:tc>
          <w:tcPr>
            <w:tcW w:w="5323" w:type="dxa"/>
            <w:shd w:val="clear" w:color="auto" w:fill="DEEAF6" w:themeFill="accent1" w:themeFillTint="33"/>
          </w:tcPr>
          <w:p w14:paraId="3D7D76D6" w14:textId="77777777" w:rsidR="00216E8B" w:rsidRPr="00E60C9C" w:rsidRDefault="00216E8B" w:rsidP="000C49A5">
            <w:pPr>
              <w:rPr>
                <w:i/>
              </w:rPr>
            </w:pPr>
            <w:r w:rsidRPr="00E60C9C">
              <w:rPr>
                <w:i/>
              </w:rPr>
              <w:t>Fryšták – Lípa, 2. etapa – zprovoznění 2028</w:t>
            </w:r>
          </w:p>
          <w:p w14:paraId="1144C89C" w14:textId="77777777" w:rsidR="00216E8B" w:rsidRDefault="00216E8B" w:rsidP="000C49A5">
            <w:pPr>
              <w:rPr>
                <w:b/>
              </w:rPr>
            </w:pPr>
            <w:r>
              <w:t>Výstavba dálnice v úseku Fryšták – Slušovice.</w:t>
            </w:r>
          </w:p>
        </w:tc>
        <w:tc>
          <w:tcPr>
            <w:tcW w:w="3739" w:type="dxa"/>
            <w:shd w:val="clear" w:color="auto" w:fill="DEEAF6" w:themeFill="accent1" w:themeFillTint="33"/>
          </w:tcPr>
          <w:p w14:paraId="16D0CC7C" w14:textId="53190EAF" w:rsidR="00216E8B" w:rsidRDefault="00216E8B" w:rsidP="000C49A5">
            <w:pPr>
              <w:pStyle w:val="Titulek"/>
              <w:keepNext/>
            </w:pPr>
            <w:bookmarkStart w:id="309" w:name="_Toc51933201"/>
            <w:bookmarkStart w:id="310" w:name="_Toc7707487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57</w:t>
            </w:r>
            <w:r w:rsidR="00804AF3">
              <w:rPr>
                <w:noProof/>
              </w:rPr>
              <w:fldChar w:fldCharType="end"/>
            </w:r>
            <w:r>
              <w:t>: 2</w:t>
            </w:r>
            <w:r w:rsidRPr="00D9338C">
              <w:t>. Etapa Fryšták-Lípa</w:t>
            </w:r>
            <w:bookmarkEnd w:id="309"/>
            <w:bookmarkEnd w:id="310"/>
          </w:p>
          <w:p w14:paraId="63417348" w14:textId="77777777" w:rsidR="00216E8B" w:rsidRDefault="00216E8B" w:rsidP="000C49A5">
            <w:pPr>
              <w:pStyle w:val="Zdroj"/>
              <w:rPr>
                <w:noProof/>
              </w:rPr>
            </w:pPr>
            <w:r>
              <w:rPr>
                <w:noProof/>
              </w:rPr>
              <w:drawing>
                <wp:inline distT="0" distB="0" distL="0" distR="0" wp14:anchorId="28F64B7C" wp14:editId="0BBA94A3">
                  <wp:extent cx="2160000" cy="747449"/>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160000" cy="747449"/>
                          </a:xfrm>
                          <a:prstGeom prst="rect">
                            <a:avLst/>
                          </a:prstGeom>
                        </pic:spPr>
                      </pic:pic>
                    </a:graphicData>
                  </a:graphic>
                </wp:inline>
              </w:drawing>
            </w:r>
            <w:r>
              <w:t xml:space="preserve"> Zdroj: ŘSD (2020)</w:t>
            </w:r>
          </w:p>
        </w:tc>
      </w:tr>
      <w:tr w:rsidR="00216E8B" w14:paraId="377897D6" w14:textId="77777777" w:rsidTr="000C49A5">
        <w:tc>
          <w:tcPr>
            <w:tcW w:w="5323" w:type="dxa"/>
            <w:shd w:val="clear" w:color="auto" w:fill="auto"/>
          </w:tcPr>
          <w:p w14:paraId="058CE48D" w14:textId="77777777" w:rsidR="00216E8B" w:rsidRDefault="00216E8B" w:rsidP="000C49A5">
            <w:pPr>
              <w:rPr>
                <w:i/>
              </w:rPr>
            </w:pPr>
            <w:r w:rsidRPr="0056185F">
              <w:rPr>
                <w:i/>
              </w:rPr>
              <w:t>Fryšták-Lípa, 3. etapa</w:t>
            </w:r>
            <w:r>
              <w:rPr>
                <w:i/>
              </w:rPr>
              <w:t xml:space="preserve"> </w:t>
            </w:r>
            <w:r w:rsidRPr="00E60C9C">
              <w:rPr>
                <w:i/>
              </w:rPr>
              <w:t>– zprovoznění 20</w:t>
            </w:r>
            <w:r>
              <w:rPr>
                <w:i/>
              </w:rPr>
              <w:t>31</w:t>
            </w:r>
          </w:p>
          <w:p w14:paraId="09289A2A" w14:textId="77777777" w:rsidR="00216E8B" w:rsidRPr="0056185F" w:rsidRDefault="00216E8B" w:rsidP="000C49A5">
            <w:r w:rsidRPr="0056185F">
              <w:t>Stavba dokončuje dálniční obchvat Zlína a odvádí tranzitní dopravu ze silnice I/49. Zároveň nahrazuje dočasné propojení dálnice D49 ze Slušovic do Lípy na silnici I/49 pomocí silnice II/490.</w:t>
            </w:r>
          </w:p>
        </w:tc>
        <w:tc>
          <w:tcPr>
            <w:tcW w:w="3739" w:type="dxa"/>
          </w:tcPr>
          <w:p w14:paraId="75AF05C9" w14:textId="4C8863D6" w:rsidR="00216E8B" w:rsidRDefault="00216E8B" w:rsidP="000C49A5">
            <w:pPr>
              <w:pStyle w:val="Titulek"/>
              <w:keepNext/>
            </w:pPr>
            <w:bookmarkStart w:id="311" w:name="_Toc51933202"/>
            <w:bookmarkStart w:id="312" w:name="_Toc77074876"/>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58</w:t>
            </w:r>
            <w:r w:rsidR="00804AF3">
              <w:rPr>
                <w:noProof/>
              </w:rPr>
              <w:fldChar w:fldCharType="end"/>
            </w:r>
            <w:r>
              <w:t>: 3</w:t>
            </w:r>
            <w:r w:rsidRPr="00F61D23">
              <w:t>. Etapa Fryšták-Lípa</w:t>
            </w:r>
            <w:bookmarkEnd w:id="311"/>
            <w:bookmarkEnd w:id="312"/>
          </w:p>
          <w:p w14:paraId="567DE9A1" w14:textId="77777777" w:rsidR="00216E8B" w:rsidRDefault="00216E8B" w:rsidP="000C49A5">
            <w:pPr>
              <w:pStyle w:val="Zdroj"/>
              <w:rPr>
                <w:noProof/>
              </w:rPr>
            </w:pPr>
            <w:r>
              <w:rPr>
                <w:noProof/>
              </w:rPr>
              <w:drawing>
                <wp:inline distT="0" distB="0" distL="0" distR="0" wp14:anchorId="0FE4FAB9" wp14:editId="5E7345F3">
                  <wp:extent cx="2160000" cy="816429"/>
                  <wp:effectExtent l="0" t="0" r="0" b="317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60000" cy="816429"/>
                          </a:xfrm>
                          <a:prstGeom prst="rect">
                            <a:avLst/>
                          </a:prstGeom>
                        </pic:spPr>
                      </pic:pic>
                    </a:graphicData>
                  </a:graphic>
                </wp:inline>
              </w:drawing>
            </w:r>
            <w:r>
              <w:t xml:space="preserve"> Zdroj: ŘSD (2020)</w:t>
            </w:r>
          </w:p>
        </w:tc>
      </w:tr>
    </w:tbl>
    <w:p w14:paraId="2865B81F" w14:textId="77777777" w:rsidR="00216E8B" w:rsidRPr="00715CF9" w:rsidRDefault="00216E8B" w:rsidP="00216E8B">
      <w:pPr>
        <w:rPr>
          <w:b/>
        </w:rPr>
      </w:pPr>
      <w:r>
        <w:t xml:space="preserve">Další etapy </w:t>
      </w:r>
      <w:r w:rsidRPr="0056185F">
        <w:t>Vizovice-Pozděchov-Horní Lideč–hranice ČR/SR</w:t>
      </w:r>
      <w:r>
        <w:t xml:space="preserve"> budou zprovozněny v roce 2031.</w:t>
      </w:r>
    </w:p>
    <w:p w14:paraId="61554CC2" w14:textId="77777777" w:rsidR="00216E8B" w:rsidRPr="00715CF9" w:rsidRDefault="00216E8B" w:rsidP="00216E8B">
      <w:pPr>
        <w:rPr>
          <w:b/>
        </w:rPr>
      </w:pPr>
      <w:r w:rsidRPr="00715CF9">
        <w:rPr>
          <w:b/>
        </w:rPr>
        <w:t>Dálnice D1</w:t>
      </w:r>
    </w:p>
    <w:p w14:paraId="206EA3F7" w14:textId="77777777" w:rsidR="00216E8B" w:rsidRDefault="00216E8B" w:rsidP="00216E8B">
      <w:r w:rsidRPr="004C2D2E">
        <w:t xml:space="preserve">Poslední </w:t>
      </w:r>
      <w:r>
        <w:t xml:space="preserve">úseky: MÚK Přerov – zprovoznění 2021; </w:t>
      </w:r>
      <w:r w:rsidRPr="00C42040">
        <w:t>Říkovice-Přerov</w:t>
      </w:r>
      <w:r>
        <w:t xml:space="preserve"> – zprovoznění 2024.</w:t>
      </w:r>
    </w:p>
    <w:p w14:paraId="4F950D60" w14:textId="77777777" w:rsidR="00216E8B" w:rsidRPr="00715CF9" w:rsidRDefault="00216E8B" w:rsidP="00216E8B">
      <w:pPr>
        <w:rPr>
          <w:b/>
        </w:rPr>
      </w:pPr>
      <w:r w:rsidRPr="00715CF9">
        <w:rPr>
          <w:b/>
        </w:rPr>
        <w:t>Dálnice D55</w:t>
      </w:r>
    </w:p>
    <w:p w14:paraId="242F0321" w14:textId="77777777" w:rsidR="00216E8B" w:rsidRDefault="00216E8B" w:rsidP="00216E8B">
      <w:r>
        <w:t xml:space="preserve">Dopravní osa po dostavbě </w:t>
      </w:r>
      <w:r w:rsidRPr="00B9793D">
        <w:t>povede z Olomouce přes Přerov, Hulín, Otrokovice, Uherské Hradiště a</w:t>
      </w:r>
      <w:r>
        <w:t> </w:t>
      </w:r>
      <w:r w:rsidRPr="00B9793D">
        <w:t xml:space="preserve">Hodonín do Břeclavi (v úseku Přerov – Hulín </w:t>
      </w:r>
      <w:r>
        <w:t>bude shodná s dálnicí D1). V současnosti (2020), je uvedena do provozu na trase Hulín-Otrokovice. Kompletní dokončení všech úseků je plánováno do roku 2031.</w:t>
      </w:r>
    </w:p>
    <w:p w14:paraId="3A97C801" w14:textId="1973640C" w:rsidR="00216E8B" w:rsidRPr="004C2D2E" w:rsidRDefault="00216E8B" w:rsidP="00216E8B">
      <w:r w:rsidRPr="00892213">
        <w:rPr>
          <w:b/>
        </w:rPr>
        <w:t>Průtah Přerovem</w:t>
      </w:r>
      <w:r>
        <w:rPr>
          <w:b/>
        </w:rPr>
        <w:t xml:space="preserve"> </w:t>
      </w:r>
      <w:r w:rsidRPr="00892213">
        <w:t>–</w:t>
      </w:r>
      <w:r>
        <w:rPr>
          <w:b/>
        </w:rPr>
        <w:t xml:space="preserve"> </w:t>
      </w:r>
      <w:r>
        <w:t>zprovoznění v roce 2022</w:t>
      </w:r>
      <w:r w:rsidR="00FA427E">
        <w:t>.</w:t>
      </w:r>
    </w:p>
    <w:p w14:paraId="6BE09EFC" w14:textId="77777777" w:rsidR="00216E8B" w:rsidRDefault="00216E8B" w:rsidP="00216E8B"/>
    <w:p w14:paraId="23401479" w14:textId="77777777" w:rsidR="00216E8B" w:rsidRPr="00AF52F2" w:rsidRDefault="00216E8B" w:rsidP="00216E8B">
      <w:pPr>
        <w:pStyle w:val="Nadpis3"/>
        <w:ind w:left="720"/>
      </w:pPr>
      <w:bookmarkStart w:id="313" w:name="_Toc50379399"/>
      <w:bookmarkStart w:id="314" w:name="_Toc77074591"/>
      <w:r w:rsidRPr="00AF52F2">
        <w:lastRenderedPageBreak/>
        <w:t xml:space="preserve">Technická infrastruktura </w:t>
      </w:r>
      <w:r>
        <w:t xml:space="preserve">– </w:t>
      </w:r>
      <w:r w:rsidRPr="00AF52F2">
        <w:t>stávající stav a problémy</w:t>
      </w:r>
      <w:bookmarkEnd w:id="313"/>
      <w:bookmarkEnd w:id="314"/>
    </w:p>
    <w:p w14:paraId="6C5E2139" w14:textId="77777777" w:rsidR="00216E8B" w:rsidRDefault="00216E8B" w:rsidP="00216E8B">
      <w:pPr>
        <w:pStyle w:val="Nadpis4"/>
      </w:pPr>
      <w:r>
        <w:t xml:space="preserve"> Vodohospodářská infrastruktura</w:t>
      </w:r>
    </w:p>
    <w:p w14:paraId="722D7B8B" w14:textId="77777777" w:rsidR="00216E8B" w:rsidRDefault="00216E8B" w:rsidP="00216E8B">
      <w:pPr>
        <w:pStyle w:val="podnadpis0"/>
      </w:pPr>
      <w:r w:rsidRPr="004E53A0">
        <w:t>Zásobování vodou</w:t>
      </w:r>
    </w:p>
    <w:p w14:paraId="55E97CCE" w14:textId="77777777" w:rsidR="00216E8B" w:rsidRDefault="00216E8B" w:rsidP="00216E8B">
      <w:pPr>
        <w:keepNext/>
        <w:keepLines/>
        <w:spacing w:after="240"/>
      </w:pPr>
      <w:r>
        <w:t xml:space="preserve">Ve Zlíně a jeho místních částech je vybudován veřejný vodovod, který je v majetku VaK Zlín a.s. Zásobování pitnou vodou je řešeno ze skupinového vodovodu Zlín, který je v současnosti zdrojově zabezpečen z jímacích území (barvy níže korespondují s barvami v následujícím kartogramu, zobrazujícím území zásobovaná z jednotlivých vodních zdrojů): </w:t>
      </w:r>
    </w:p>
    <w:p w14:paraId="7965C7AB" w14:textId="1B8B64FE" w:rsidR="00216E8B" w:rsidRDefault="00216E8B" w:rsidP="00216E8B">
      <w:pPr>
        <w:keepNext/>
        <w:shd w:val="clear" w:color="auto" w:fill="FFCCCC"/>
        <w:spacing w:after="240"/>
        <w:jc w:val="left"/>
        <w:rPr>
          <w:b/>
        </w:rPr>
      </w:pPr>
      <w:r w:rsidRPr="007A7E86">
        <w:rPr>
          <w:b/>
        </w:rPr>
        <w:t>1. Tlumačov - Kvasice (Tlumačovský les a Štěrkoviště Kvasice)</w:t>
      </w:r>
    </w:p>
    <w:p w14:paraId="50A9ED59" w14:textId="4DAE2E27" w:rsidR="00216E8B" w:rsidRDefault="00216E8B" w:rsidP="00216E8B">
      <w:pPr>
        <w:shd w:val="clear" w:color="auto" w:fill="FFCCCC"/>
        <w:spacing w:after="240"/>
      </w:pPr>
      <w:r w:rsidRPr="00AF52F2">
        <w:t xml:space="preserve">Jímací území Tlumačov se nachází v lužním lese na levém břehu řeky Moravy. Štěrkoviště Kvasice je otevřená vodní nádrž severně od JÚ Tlumačov, ze které je odebírána povrchová voda. Z vrtů (mezi štěrkovištěm a řekou Moravou) a studní (při JV okraji štěrkoviště) je odebírána podzemní voda. </w:t>
      </w:r>
      <w:r w:rsidRPr="00AF52F2">
        <w:rPr>
          <w:b/>
        </w:rPr>
        <w:t>Surová voda z obou lokalit je upravována v ÚV Tlumačov</w:t>
      </w:r>
      <w:r w:rsidRPr="00AF52F2">
        <w:t xml:space="preserve"> (po rekonstrukci a rozšíření 400 l/s). Vydatnost tohoto jímacího území je 290 l/s</w:t>
      </w:r>
      <w:r w:rsidR="00D06078">
        <w:t>.</w:t>
      </w:r>
    </w:p>
    <w:p w14:paraId="22033D7C" w14:textId="77777777" w:rsidR="00216E8B" w:rsidRDefault="00216E8B" w:rsidP="00216E8B">
      <w:pPr>
        <w:keepNext/>
        <w:shd w:val="clear" w:color="auto" w:fill="DEEAF6" w:themeFill="accent1" w:themeFillTint="33"/>
        <w:spacing w:after="240"/>
        <w:jc w:val="left"/>
        <w:rPr>
          <w:b/>
        </w:rPr>
      </w:pPr>
      <w:r w:rsidRPr="007A7E86">
        <w:rPr>
          <w:b/>
        </w:rPr>
        <w:t>2. Vodárenská nádrž Slušovice</w:t>
      </w:r>
    </w:p>
    <w:p w14:paraId="715A82D4" w14:textId="77777777" w:rsidR="00216E8B" w:rsidRPr="000937C8" w:rsidRDefault="00216E8B" w:rsidP="00216E8B">
      <w:pPr>
        <w:shd w:val="clear" w:color="auto" w:fill="DEEAF6" w:themeFill="accent1" w:themeFillTint="33"/>
        <w:spacing w:after="240"/>
        <w:rPr>
          <w:i/>
        </w:rPr>
      </w:pPr>
      <w:r w:rsidRPr="007A7E86">
        <w:t>Surová</w:t>
      </w:r>
      <w:r>
        <w:t xml:space="preserve"> voda z nádrže je dopravována do </w:t>
      </w:r>
      <w:r w:rsidRPr="000937C8">
        <w:rPr>
          <w:b/>
        </w:rPr>
        <w:t>úpravny vody</w:t>
      </w:r>
      <w:r w:rsidRPr="007A7E86">
        <w:rPr>
          <w:b/>
        </w:rPr>
        <w:t xml:space="preserve"> Klečůvka</w:t>
      </w:r>
      <w:r>
        <w:t xml:space="preserve">. Současná kapacita ÚV je 250 l/s. Výhledově je možno uvažovat s intenzifikací, rekonstrukcí a rozšířením akumulačních nádrží – kapacita po rozšíření – 380 l/s . </w:t>
      </w:r>
    </w:p>
    <w:p w14:paraId="3859F57A" w14:textId="2E2D6BC1" w:rsidR="00216E8B" w:rsidRPr="007A7E86" w:rsidRDefault="00216E8B" w:rsidP="00216E8B">
      <w:pPr>
        <w:keepNext/>
        <w:shd w:val="clear" w:color="auto" w:fill="F2F2F2" w:themeFill="background1" w:themeFillShade="F2"/>
        <w:rPr>
          <w:b/>
        </w:rPr>
      </w:pPr>
      <w:r w:rsidRPr="007A7E86">
        <w:rPr>
          <w:b/>
        </w:rPr>
        <w:t>3. Vodárenská nádrž Fryšták + ÚV Kostelec</w:t>
      </w:r>
    </w:p>
    <w:p w14:paraId="6E2B29E6" w14:textId="4A835EFA" w:rsidR="00216E8B" w:rsidRDefault="00216E8B" w:rsidP="00216E8B">
      <w:pPr>
        <w:shd w:val="clear" w:color="auto" w:fill="F2F2F2" w:themeFill="background1" w:themeFillShade="F2"/>
      </w:pPr>
      <w:r>
        <w:t>V současné době je uvedena do klidu (funguje pouze čerpací stanice). Kapacita úpravny vody činila 75</w:t>
      </w:r>
      <w:r w:rsidR="00D06078">
        <w:t> </w:t>
      </w:r>
      <w:r>
        <w:t xml:space="preserve">l/s. Neuvažuje se s obnovením činnosti ÚV, je však ponechána jako případná rezerva. </w:t>
      </w:r>
    </w:p>
    <w:p w14:paraId="08F361EE" w14:textId="77777777" w:rsidR="00216E8B" w:rsidRDefault="00216E8B" w:rsidP="00216E8B">
      <w:pPr>
        <w:keepNext/>
        <w:shd w:val="clear" w:color="auto" w:fill="DED1E1"/>
        <w:rPr>
          <w:b/>
        </w:rPr>
      </w:pPr>
      <w:r w:rsidRPr="00FE490B">
        <w:rPr>
          <w:b/>
        </w:rPr>
        <w:t xml:space="preserve">4. </w:t>
      </w:r>
      <w:r>
        <w:rPr>
          <w:b/>
        </w:rPr>
        <w:t>Místní vodní zdroje:</w:t>
      </w:r>
    </w:p>
    <w:p w14:paraId="7C00A739" w14:textId="4D1BC82E" w:rsidR="00216E8B" w:rsidRPr="00FE490B" w:rsidRDefault="00216E8B" w:rsidP="00216E8B">
      <w:pPr>
        <w:keepNext/>
        <w:shd w:val="clear" w:color="auto" w:fill="DED1E1"/>
        <w:rPr>
          <w:b/>
        </w:rPr>
      </w:pPr>
      <w:r>
        <w:rPr>
          <w:b/>
        </w:rPr>
        <w:t xml:space="preserve">4.1 </w:t>
      </w:r>
      <w:r w:rsidRPr="00FE490B">
        <w:rPr>
          <w:b/>
        </w:rPr>
        <w:t xml:space="preserve">Jímací území Otrokovice – Kaplička </w:t>
      </w:r>
    </w:p>
    <w:p w14:paraId="401C25A6" w14:textId="77777777" w:rsidR="00216E8B" w:rsidRDefault="00216E8B" w:rsidP="00216E8B">
      <w:pPr>
        <w:shd w:val="clear" w:color="auto" w:fill="DED1E1"/>
      </w:pPr>
      <w:r>
        <w:t xml:space="preserve">Podzemní voda je jímána třemi studnami. Ze sběrné studny je čerpána do přívodního řadu z VDJ Hrabůvka do Otrokovic. Vydatnost prameniště je 10 – 15 l/s, voda vyhovuje vyhlášce 252/2004 Sb. a je používána bez úpravy. </w:t>
      </w:r>
    </w:p>
    <w:p w14:paraId="12DD3988" w14:textId="77777777" w:rsidR="00216E8B" w:rsidRPr="00FE490B" w:rsidRDefault="00216E8B" w:rsidP="00216E8B">
      <w:pPr>
        <w:keepNext/>
        <w:shd w:val="clear" w:color="auto" w:fill="DED1E1"/>
        <w:rPr>
          <w:b/>
        </w:rPr>
      </w:pPr>
      <w:r>
        <w:rPr>
          <w:b/>
        </w:rPr>
        <w:t xml:space="preserve">4.2 </w:t>
      </w:r>
      <w:r w:rsidRPr="00FE490B">
        <w:rPr>
          <w:b/>
        </w:rPr>
        <w:t>J</w:t>
      </w:r>
      <w:r>
        <w:rPr>
          <w:b/>
        </w:rPr>
        <w:t>ímací území</w:t>
      </w:r>
      <w:r w:rsidRPr="00FE490B">
        <w:rPr>
          <w:b/>
        </w:rPr>
        <w:t xml:space="preserve"> Vizovice – Kosmata </w:t>
      </w:r>
    </w:p>
    <w:p w14:paraId="4BF4E348" w14:textId="14E916C9" w:rsidR="00216E8B" w:rsidRDefault="00216E8B" w:rsidP="00216E8B">
      <w:pPr>
        <w:shd w:val="clear" w:color="auto" w:fill="DED1E1"/>
      </w:pPr>
      <w:r>
        <w:t>Pramen je jímán zářezem svedeným do sběrné studny. Gravitačně je voda přivedena do VDJ Vizovice-Garažika. Vydatno</w:t>
      </w:r>
      <w:r w:rsidR="00D06078">
        <w:t>st tohoto zdroje je 3 – 6,5 l/s</w:t>
      </w:r>
      <w:r>
        <w:t>.</w:t>
      </w:r>
    </w:p>
    <w:p w14:paraId="0CC028EF" w14:textId="77777777" w:rsidR="00216E8B" w:rsidRPr="00FE490B" w:rsidRDefault="00216E8B" w:rsidP="00216E8B">
      <w:pPr>
        <w:keepNext/>
        <w:shd w:val="clear" w:color="auto" w:fill="DED1E1"/>
        <w:rPr>
          <w:b/>
        </w:rPr>
      </w:pPr>
      <w:r>
        <w:rPr>
          <w:b/>
        </w:rPr>
        <w:t>4.3 Jímací území</w:t>
      </w:r>
      <w:r w:rsidRPr="00FE490B">
        <w:rPr>
          <w:b/>
        </w:rPr>
        <w:t xml:space="preserve"> Kašava </w:t>
      </w:r>
    </w:p>
    <w:p w14:paraId="42EF2241" w14:textId="7131BF92" w:rsidR="00216E8B" w:rsidRDefault="00216E8B" w:rsidP="00216E8B">
      <w:pPr>
        <w:shd w:val="clear" w:color="auto" w:fill="DED1E1"/>
      </w:pPr>
      <w:r>
        <w:t>Prameniště se skládá z 9 studní o celkové vydatnosti 0,6 l/s. Voda dopravena do zemního vodojemu 44</w:t>
      </w:r>
      <w:r w:rsidR="00D06078">
        <w:t> </w:t>
      </w:r>
      <w:r>
        <w:t>+ 40 m</w:t>
      </w:r>
      <w:r w:rsidRPr="00FE490B">
        <w:rPr>
          <w:vertAlign w:val="superscript"/>
        </w:rPr>
        <w:t>3</w:t>
      </w:r>
      <w:r>
        <w:t>.</w:t>
      </w:r>
    </w:p>
    <w:p w14:paraId="6B01F1C0" w14:textId="4154DAD1" w:rsidR="00216E8B" w:rsidRDefault="00216E8B" w:rsidP="00216E8B">
      <w:pPr>
        <w:pStyle w:val="Titulek"/>
        <w:keepNext/>
      </w:pPr>
      <w:bookmarkStart w:id="315" w:name="_Toc51933203"/>
      <w:bookmarkStart w:id="316" w:name="_Toc77074877"/>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59</w:t>
      </w:r>
      <w:r w:rsidR="00804AF3">
        <w:rPr>
          <w:noProof/>
        </w:rPr>
        <w:fldChar w:fldCharType="end"/>
      </w:r>
      <w:r w:rsidR="00D06078">
        <w:rPr>
          <w:noProof/>
        </w:rPr>
        <w:t>:</w:t>
      </w:r>
      <w:r>
        <w:t xml:space="preserve"> Oblasti zásobované z jednotlivých zdrojů</w:t>
      </w:r>
      <w:bookmarkEnd w:id="315"/>
      <w:bookmarkEnd w:id="316"/>
    </w:p>
    <w:p w14:paraId="44A4404C" w14:textId="77777777" w:rsidR="00216E8B" w:rsidRDefault="00216E8B" w:rsidP="00216E8B">
      <w:pPr>
        <w:keepNext/>
        <w:keepLines/>
        <w:spacing w:before="0"/>
      </w:pPr>
      <w:r>
        <w:rPr>
          <w:noProof/>
          <w:lang w:eastAsia="cs-CZ"/>
        </w:rPr>
        <w:drawing>
          <wp:inline distT="0" distB="0" distL="0" distR="0" wp14:anchorId="074F64B5" wp14:editId="0BD716AD">
            <wp:extent cx="5760720" cy="4322824"/>
            <wp:effectExtent l="0" t="0" r="0" b="190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lin_voda.png"/>
                    <pic:cNvPicPr/>
                  </pic:nvPicPr>
                  <pic:blipFill>
                    <a:blip r:embed="rId99" cstate="print">
                      <a:extLst>
                        <a:ext uri="{28A0092B-C50C-407E-A947-70E740481C1C}">
                          <a14:useLocalDpi xmlns:a14="http://schemas.microsoft.com/office/drawing/2010/main"/>
                        </a:ext>
                      </a:extLst>
                    </a:blip>
                    <a:stretch>
                      <a:fillRect/>
                    </a:stretch>
                  </pic:blipFill>
                  <pic:spPr>
                    <a:xfrm>
                      <a:off x="0" y="0"/>
                      <a:ext cx="5760720" cy="4322824"/>
                    </a:xfrm>
                    <a:prstGeom prst="rect">
                      <a:avLst/>
                    </a:prstGeom>
                  </pic:spPr>
                </pic:pic>
              </a:graphicData>
            </a:graphic>
          </wp:inline>
        </w:drawing>
      </w:r>
    </w:p>
    <w:p w14:paraId="6C436CA9" w14:textId="3E343BF7" w:rsidR="00216E8B" w:rsidRDefault="00216E8B" w:rsidP="00216E8B">
      <w:pPr>
        <w:pStyle w:val="Zdroj"/>
      </w:pPr>
      <w:r>
        <w:t>Zdroj: PRVAK, zpracování PROCES</w:t>
      </w:r>
      <w:r w:rsidR="00D06078">
        <w:t>, 2020.</w:t>
      </w:r>
    </w:p>
    <w:p w14:paraId="71AC936A" w14:textId="77777777" w:rsidR="00216E8B" w:rsidRPr="0060761D" w:rsidRDefault="00216E8B" w:rsidP="00216E8B">
      <w:pPr>
        <w:keepNext/>
        <w:rPr>
          <w:b/>
        </w:rPr>
      </w:pPr>
      <w:r w:rsidRPr="0060761D">
        <w:rPr>
          <w:b/>
        </w:rPr>
        <w:t>Rozvoj vodovodů</w:t>
      </w:r>
    </w:p>
    <w:p w14:paraId="04A04BD0" w14:textId="25060A98" w:rsidR="00216E8B" w:rsidRDefault="00216E8B" w:rsidP="00216E8B">
      <w:r>
        <w:t>Stávající systém zásobování města Zlína a jeho místních částí pitnou vodou je vyhovující a zůstane zachován i do budoucna. I nadále bude zdrojem vody skupinový vodovod Zlín (úpravny vody Tlumačov a</w:t>
      </w:r>
      <w:r w:rsidR="00D06078">
        <w:t> </w:t>
      </w:r>
      <w:r>
        <w:t>Klečůvka). Kapacita přívodních řadů z hlavních zdrojů z ÚV Tlumačov do ČS Malenovice je vyhovující. Výtlačný z ÚV Tlumačov do ČS Malenovice bude vyžadovat postupnou rekonstrukci v letech 2021</w:t>
      </w:r>
      <w:r w:rsidR="00D06078">
        <w:t xml:space="preserve"> </w:t>
      </w:r>
      <w:r w:rsidR="00D06078">
        <w:sym w:font="Symbol" w:char="F02D"/>
      </w:r>
      <w:r w:rsidR="00D06078">
        <w:t xml:space="preserve"> </w:t>
      </w:r>
      <w:r>
        <w:t>2022. Významnou rekonstrukci si vyžádá přivaděč ČS Malenovice – VDJ Díly v délce 7 300m. Vlastní rozvodná vodovodní síť ve Zlíně je vyhovující, uvažuje se jen s drobným rozšířením vodovodních sítí a</w:t>
      </w:r>
      <w:r w:rsidR="00D06078">
        <w:t> </w:t>
      </w:r>
      <w:r>
        <w:t xml:space="preserve">dílčími rekonstrukcemi některých vodovodních řadů popřípadě výtlaků z důvodů poruch či použitého materiálu. V oblasti Příluky a Boněcké Paseky je navržena změna tlakových pásem v souvislosti s novou výstavbou. </w:t>
      </w:r>
      <w:r w:rsidRPr="0060761D">
        <w:t xml:space="preserve">V rámci města Zlín není uvažován žádný </w:t>
      </w:r>
      <w:r>
        <w:t xml:space="preserve">nový </w:t>
      </w:r>
      <w:r w:rsidRPr="0060761D">
        <w:t>zdroj vhodný pro účely úpravy na pitnou vodu.</w:t>
      </w:r>
    </w:p>
    <w:p w14:paraId="1489193F" w14:textId="77777777" w:rsidR="00216E8B" w:rsidRDefault="00216E8B" w:rsidP="00216E8B">
      <w:r>
        <w:t>Navrhované rozšíření vodovodní sítě pro jednotlivé místní části města Zlína:</w:t>
      </w:r>
    </w:p>
    <w:p w14:paraId="6A9A3F94" w14:textId="110A31DD" w:rsidR="00216E8B" w:rsidRDefault="00216E8B" w:rsidP="00216E8B">
      <w:r w:rsidRPr="0060761D">
        <w:rPr>
          <w:b/>
        </w:rPr>
        <w:t>Střed Zlína</w:t>
      </w:r>
      <w:r>
        <w:t xml:space="preserve"> – </w:t>
      </w:r>
      <w:r w:rsidRPr="0060761D">
        <w:t xml:space="preserve">prodloužení stávajících rozvodných řadů, popřípadě zokruhování vodovodní sítě. Malé lokality určené pro novou zástavbu, které není možno zásobit ze stávajících vodojemů, budou zásobovány pomocí </w:t>
      </w:r>
      <w:r>
        <w:t>automatických tlakových</w:t>
      </w:r>
      <w:r w:rsidRPr="0060761D">
        <w:t xml:space="preserve"> stanic. Celková délka nově navržených ř</w:t>
      </w:r>
      <w:r w:rsidR="00DD74B4">
        <w:t>a</w:t>
      </w:r>
      <w:r w:rsidRPr="0060761D">
        <w:t>dů v samotném městě Zlíně je asi 2</w:t>
      </w:r>
      <w:r>
        <w:t> </w:t>
      </w:r>
      <w:r w:rsidRPr="0060761D">
        <w:t>500 m.</w:t>
      </w:r>
    </w:p>
    <w:p w14:paraId="3A860BB9" w14:textId="77777777" w:rsidR="00216E8B" w:rsidRPr="00237B4E" w:rsidRDefault="00216E8B" w:rsidP="00216E8B">
      <w:pPr>
        <w:rPr>
          <w:b/>
        </w:rPr>
      </w:pPr>
      <w:r w:rsidRPr="00237B4E">
        <w:rPr>
          <w:b/>
        </w:rPr>
        <w:t>Jaroslavice</w:t>
      </w:r>
      <w:r>
        <w:t xml:space="preserve"> – stávající systém zásobování sídla pitnou vodu zůstane zachován. S rozšířením stávající sítě se uvažuje do lokality situované nad VDJ Jaroslavice. Zástavbu bude nutné zásobovat přes automatickou tlakovou stanici (ATS). Jako vhodné se jeví posouzení, zda ATS neumístit do VDJ Jaroslavice a horní část obce nepřepojit také na ATS. Rozšíření řadu bude realizováno v délce cca 500 m.</w:t>
      </w:r>
    </w:p>
    <w:p w14:paraId="437C94D2" w14:textId="77777777" w:rsidR="00216E8B" w:rsidRPr="00237B4E" w:rsidRDefault="00216E8B" w:rsidP="00216E8B">
      <w:pPr>
        <w:rPr>
          <w:b/>
        </w:rPr>
      </w:pPr>
      <w:r w:rsidRPr="00237B4E">
        <w:rPr>
          <w:b/>
        </w:rPr>
        <w:lastRenderedPageBreak/>
        <w:t>Klečůvka</w:t>
      </w:r>
      <w:r>
        <w:t xml:space="preserve"> – stávající systém zásobování pitnou vodou je vyhovující a zůstane zachován i do budoucna. V lokalitách plánovaných pro zástavbu se předpokládá s rozšířením vodovodní sítě v celkové délce cca 1 000 m. V návrhovém období se uvažuje s další etapou rekonstrukce úpravny vody Klečůvka.</w:t>
      </w:r>
    </w:p>
    <w:p w14:paraId="1D660340" w14:textId="3ED726F1" w:rsidR="00216E8B" w:rsidRPr="00237B4E" w:rsidRDefault="00216E8B" w:rsidP="00216E8B">
      <w:pPr>
        <w:rPr>
          <w:b/>
        </w:rPr>
      </w:pPr>
      <w:r w:rsidRPr="00237B4E">
        <w:rPr>
          <w:b/>
        </w:rPr>
        <w:t>Kostelec</w:t>
      </w:r>
      <w:r>
        <w:t xml:space="preserve"> – stávající systém zásobování pitnou vodou bude zachován i do budoucna. Zásobení obce bude i nadále řešeno ve dvou tlakových pásmech (I. tl</w:t>
      </w:r>
      <w:r w:rsidR="00D06078">
        <w:t>akové</w:t>
      </w:r>
      <w:r>
        <w:t xml:space="preserve"> pásmo z vodojemu Nad přehradou 2</w:t>
      </w:r>
      <w:r w:rsidR="00D06078">
        <w:t> </w:t>
      </w:r>
      <w:r>
        <w:t>x</w:t>
      </w:r>
      <w:r w:rsidR="00D06078">
        <w:t> </w:t>
      </w:r>
      <w:r>
        <w:t>1</w:t>
      </w:r>
      <w:r w:rsidR="00D06078">
        <w:t> </w:t>
      </w:r>
      <w:r>
        <w:t>000 m</w:t>
      </w:r>
      <w:r w:rsidRPr="00D06078">
        <w:rPr>
          <w:vertAlign w:val="superscript"/>
        </w:rPr>
        <w:t>3</w:t>
      </w:r>
      <w:r>
        <w:t>, II. tlakové pásmo z VDJ Hvozdná 2 x 250 m</w:t>
      </w:r>
      <w:r w:rsidRPr="00D06078">
        <w:rPr>
          <w:vertAlign w:val="superscript"/>
        </w:rPr>
        <w:t>3</w:t>
      </w:r>
      <w:r>
        <w:t>).</w:t>
      </w:r>
      <w:r w:rsidR="00D06078">
        <w:t xml:space="preserve"> </w:t>
      </w:r>
      <w:r>
        <w:t>Vodovodní systém I. i II. t</w:t>
      </w:r>
      <w:r w:rsidR="00D06078">
        <w:t>l</w:t>
      </w:r>
      <w:r>
        <w:t>akového pásma bude rozšířen výstavbou nových vodovodních řadů, které budou zásobovat jednak stávající zástavbu a jednak nově navržené lokality určené k zástavbě. Lokalita Malý Kostelec ležící v blízkosti vodárenské nádrže Fryšták bude napojena na přívodní ř</w:t>
      </w:r>
      <w:r w:rsidR="00DD74B4">
        <w:t>a</w:t>
      </w:r>
      <w:r>
        <w:t>d vedoucí z vodojemu Nad přehradou do čerpací stanice Fryšták. Celková délka rozšíření vodovodů je cca 800 m. Jedná se hl</w:t>
      </w:r>
      <w:r w:rsidR="00DD74B4">
        <w:t>avně o lokalitu Malý Kostelec a </w:t>
      </w:r>
      <w:r>
        <w:t xml:space="preserve">Za Humny. </w:t>
      </w:r>
    </w:p>
    <w:p w14:paraId="6D97623F" w14:textId="77777777" w:rsidR="00216E8B" w:rsidRPr="00237B4E" w:rsidRDefault="00216E8B" w:rsidP="00216E8B">
      <w:pPr>
        <w:rPr>
          <w:b/>
        </w:rPr>
      </w:pPr>
      <w:r w:rsidRPr="00237B4E">
        <w:rPr>
          <w:b/>
        </w:rPr>
        <w:t>Kudlov</w:t>
      </w:r>
      <w:r>
        <w:t xml:space="preserve"> – na východním svahu je realizována větší rozvojová plocha pro bydlení. Tato oblast je již zásobována novými řady pitnou vodou ze stávajícího VDJ 1 000 m</w:t>
      </w:r>
      <w:r w:rsidRPr="006B4D80">
        <w:rPr>
          <w:vertAlign w:val="superscript"/>
        </w:rPr>
        <w:t>3</w:t>
      </w:r>
      <w:r>
        <w:t>, u kterého je navržen nový VDJ 1 000 m</w:t>
      </w:r>
      <w:r w:rsidRPr="006B4D80">
        <w:rPr>
          <w:vertAlign w:val="superscript"/>
        </w:rPr>
        <w:t>3</w:t>
      </w:r>
      <w:r>
        <w:t>. Tento bude rovněž sloužit pro další návrhové plochy v lokalitách Dolní Paseky a Filmové ateliery. Pro zástavbu v okolí VDJ 1 000 m</w:t>
      </w:r>
      <w:r w:rsidRPr="006B4D80">
        <w:rPr>
          <w:vertAlign w:val="superscript"/>
        </w:rPr>
        <w:t>3</w:t>
      </w:r>
      <w:r>
        <w:t xml:space="preserve"> je navržena AT stanice. Celková délka vodovodních řadů k dobudování je asi 1 000 m.</w:t>
      </w:r>
    </w:p>
    <w:p w14:paraId="63A10D56" w14:textId="77777777" w:rsidR="00216E8B" w:rsidRPr="00237B4E" w:rsidRDefault="00216E8B" w:rsidP="00216E8B">
      <w:pPr>
        <w:rPr>
          <w:b/>
        </w:rPr>
      </w:pPr>
      <w:r w:rsidRPr="00237B4E">
        <w:rPr>
          <w:b/>
        </w:rPr>
        <w:t>Lhotka</w:t>
      </w:r>
      <w:r>
        <w:t xml:space="preserve"> – Stávající systém zásobování pitnou vodou ze skupinového vodovodu Zlín je vyhovující a zůstane zachován i do budoucna. Dle územního plánu je navrženo rozšíření vodovodní sítě v celkové délce asi 200 m.</w:t>
      </w:r>
    </w:p>
    <w:p w14:paraId="34897F39" w14:textId="77777777" w:rsidR="00216E8B" w:rsidRPr="00237B4E" w:rsidRDefault="00216E8B" w:rsidP="00216E8B">
      <w:pPr>
        <w:rPr>
          <w:b/>
        </w:rPr>
      </w:pPr>
      <w:r w:rsidRPr="00237B4E">
        <w:rPr>
          <w:b/>
        </w:rPr>
        <w:t>Louky</w:t>
      </w:r>
      <w:r>
        <w:t xml:space="preserve"> – Rozvojové plochy určené k bydlení budou napojeny na stávající rozvodnou síť. Celková délka rozvojových řadů je asi 1 000 m.</w:t>
      </w:r>
    </w:p>
    <w:p w14:paraId="19E28587" w14:textId="77777777" w:rsidR="00216E8B" w:rsidRPr="00237B4E" w:rsidRDefault="00216E8B" w:rsidP="00216E8B">
      <w:pPr>
        <w:tabs>
          <w:tab w:val="left" w:pos="1800"/>
        </w:tabs>
        <w:rPr>
          <w:b/>
        </w:rPr>
      </w:pPr>
      <w:r w:rsidRPr="00237B4E">
        <w:rPr>
          <w:b/>
        </w:rPr>
        <w:t>Lužkovice</w:t>
      </w:r>
      <w:r>
        <w:t xml:space="preserve"> – Stávající způsob zásobování pitnou vodou je vyhovující a zůstane zachován do budoucna. Zdrojem vody bude i nadále SV Zlín. V okrajových lokalitách se předpokládá s rozšířením vodovodních řadů v celkové délce cca 500 m.</w:t>
      </w:r>
    </w:p>
    <w:p w14:paraId="22293B06" w14:textId="77777777" w:rsidR="00216E8B" w:rsidRDefault="00216E8B" w:rsidP="00216E8B">
      <w:r w:rsidRPr="0060761D">
        <w:rPr>
          <w:b/>
        </w:rPr>
        <w:t>Malenovice</w:t>
      </w:r>
      <w:r>
        <w:t xml:space="preserve"> – </w:t>
      </w:r>
      <w:r w:rsidRPr="0060761D">
        <w:t>vzhledem k uvažovanému rozvoji na jihozápadním okraji sídla je nad zástavbou navržen VDJ Mezicestí 500 m</w:t>
      </w:r>
      <w:r w:rsidRPr="0060761D">
        <w:rPr>
          <w:vertAlign w:val="superscript"/>
        </w:rPr>
        <w:t>3</w:t>
      </w:r>
      <w:r w:rsidRPr="0060761D">
        <w:t xml:space="preserve">, který bude plněn </w:t>
      </w:r>
      <w:r>
        <w:t>z ÚV Tlumačov</w:t>
      </w:r>
      <w:r w:rsidRPr="0060761D">
        <w:t>. Z důvodů návaznosti na rozvoj sídla Louky (výrobní aktivity) jsou v Malenovicích navrženy rekonstrukce stávajících vodovodních řadů a rozšíření akum</w:t>
      </w:r>
      <w:r>
        <w:t>ulace u ČS Malenovice o 2 000 m</w:t>
      </w:r>
      <w:r w:rsidRPr="0060761D">
        <w:rPr>
          <w:vertAlign w:val="superscript"/>
        </w:rPr>
        <w:t>3</w:t>
      </w:r>
      <w:r w:rsidRPr="0060761D">
        <w:t>. Celková délka nově navržených řadů</w:t>
      </w:r>
      <w:r>
        <w:t>, bude asi 5 </w:t>
      </w:r>
      <w:r w:rsidRPr="0060761D">
        <w:t>800 m.</w:t>
      </w:r>
    </w:p>
    <w:p w14:paraId="22CA2AC0" w14:textId="48C3DC6A" w:rsidR="00216E8B" w:rsidRDefault="00216E8B" w:rsidP="00216E8B">
      <w:r w:rsidRPr="0060761D">
        <w:rPr>
          <w:b/>
        </w:rPr>
        <w:t>Mladcová</w:t>
      </w:r>
      <w:r w:rsidRPr="0060761D">
        <w:t xml:space="preserve"> </w:t>
      </w:r>
      <w:r>
        <w:t xml:space="preserve">– </w:t>
      </w:r>
      <w:r w:rsidRPr="0060761D">
        <w:t>na západním svahu je navržena nová výstavba, která bude zásobována pitnou vodou z</w:t>
      </w:r>
      <w:r w:rsidR="00DD74B4">
        <w:t> </w:t>
      </w:r>
      <w:r w:rsidRPr="0060761D">
        <w:t>nově navrženého zemního vodojemu Mladcová I 2 x 75 m</w:t>
      </w:r>
      <w:r>
        <w:rPr>
          <w:vertAlign w:val="superscript"/>
        </w:rPr>
        <w:t>3</w:t>
      </w:r>
      <w:r w:rsidRPr="0060761D">
        <w:t xml:space="preserve">, který je plněn ze </w:t>
      </w:r>
      <w:r>
        <w:t>stávajícího VDJ Mladcová 650 m</w:t>
      </w:r>
      <w:r w:rsidRPr="0060761D">
        <w:rPr>
          <w:vertAlign w:val="superscript"/>
        </w:rPr>
        <w:t>3</w:t>
      </w:r>
      <w:r w:rsidRPr="0060761D">
        <w:t>. Celková délka nově navržených rozvodných vodovodních řadů bude asi 2</w:t>
      </w:r>
      <w:r>
        <w:t> 300 m.</w:t>
      </w:r>
    </w:p>
    <w:p w14:paraId="40D6CBDC" w14:textId="6D363C45" w:rsidR="00216E8B" w:rsidRDefault="00216E8B" w:rsidP="00216E8B">
      <w:r w:rsidRPr="0060761D">
        <w:rPr>
          <w:b/>
        </w:rPr>
        <w:t>Prštné</w:t>
      </w:r>
      <w:r w:rsidRPr="0060761D">
        <w:t xml:space="preserve"> </w:t>
      </w:r>
      <w:r>
        <w:t xml:space="preserve">– </w:t>
      </w:r>
      <w:r w:rsidRPr="0060761D">
        <w:t xml:space="preserve">v tomto sídle </w:t>
      </w:r>
      <w:r w:rsidRPr="005C4FA0">
        <w:t>začíná výstavba nové lokality RD mezi Pr</w:t>
      </w:r>
      <w:r>
        <w:t>štným a Loukami v k.ú. Prštné a </w:t>
      </w:r>
      <w:r w:rsidRPr="005C4FA0">
        <w:t>probíhá příprava výstavby nového bytového domu na Slanici v k.ú. Prštné, kde je nutné posílit vodovod</w:t>
      </w:r>
      <w:r>
        <w:t>.</w:t>
      </w:r>
      <w:r w:rsidRPr="0060761D">
        <w:t xml:space="preserve"> Na pravém břehu Dřevnice dojde z provozních důvodů k dílčím rekonstrukcím </w:t>
      </w:r>
      <w:r>
        <w:t>stávajících řadů v </w:t>
      </w:r>
      <w:r w:rsidRPr="0060761D">
        <w:t xml:space="preserve">celkové délce asi 500 m. </w:t>
      </w:r>
    </w:p>
    <w:p w14:paraId="0B579509" w14:textId="77777777" w:rsidR="00216E8B" w:rsidRDefault="00216E8B" w:rsidP="00216E8B">
      <w:r w:rsidRPr="0060761D">
        <w:rPr>
          <w:b/>
        </w:rPr>
        <w:t>Příluky</w:t>
      </w:r>
      <w:r w:rsidRPr="0060761D">
        <w:t xml:space="preserve"> </w:t>
      </w:r>
      <w:r>
        <w:t>–</w:t>
      </w:r>
      <w:r w:rsidRPr="0060761D">
        <w:t xml:space="preserve"> v jihovýchodní části sídla je již vybudována nová zástavba, která je vodou zásobována přes redukční ventil. Navržený vodojem Příluky II o objemu 2 x 50 m</w:t>
      </w:r>
      <w:r w:rsidRPr="0060761D">
        <w:rPr>
          <w:vertAlign w:val="superscript"/>
        </w:rPr>
        <w:t>3</w:t>
      </w:r>
      <w:r>
        <w:t xml:space="preserve"> </w:t>
      </w:r>
      <w:r w:rsidRPr="0060761D">
        <w:t>nebyl zatím realizován. Vybudováním vodojemu dojde k rozdělení zásobení ve dvou tlakových pásmech vždy z příslušného vodojemu. Celková délka nově navržen</w:t>
      </w:r>
      <w:r>
        <w:t>ých vodovodních řadů bude asi 1 500 m.</w:t>
      </w:r>
    </w:p>
    <w:p w14:paraId="39FD3324" w14:textId="77777777" w:rsidR="00216E8B" w:rsidRPr="00237B4E" w:rsidRDefault="00216E8B" w:rsidP="00216E8B">
      <w:pPr>
        <w:rPr>
          <w:b/>
        </w:rPr>
      </w:pPr>
      <w:r w:rsidRPr="00237B4E">
        <w:rPr>
          <w:b/>
        </w:rPr>
        <w:t>Salaš</w:t>
      </w:r>
      <w:r>
        <w:t xml:space="preserve"> –</w:t>
      </w:r>
      <w:r w:rsidRPr="00516DDB">
        <w:t xml:space="preserve"> </w:t>
      </w:r>
      <w:r>
        <w:t>s</w:t>
      </w:r>
      <w:r w:rsidRPr="006B4D80">
        <w:t>távající systém zásobování pitnou vodou je vyhovující a zůstane zachován i do budoucna.</w:t>
      </w:r>
    </w:p>
    <w:p w14:paraId="419FC0BF" w14:textId="77777777" w:rsidR="00216E8B" w:rsidRPr="00237B4E" w:rsidRDefault="00216E8B" w:rsidP="00216E8B">
      <w:pPr>
        <w:rPr>
          <w:b/>
        </w:rPr>
      </w:pPr>
      <w:r w:rsidRPr="00237B4E">
        <w:rPr>
          <w:b/>
        </w:rPr>
        <w:t>Štípa</w:t>
      </w:r>
      <w:r>
        <w:t xml:space="preserve"> – zásobování pitnou vodou bude i v budoucnu řešeno ve dvou tlakových pásmech ze skupinového vodovodu Zlín. Dále je navrženo, rozšíření a zokruhování stávající vodovodní sítě v celkové délce asi 1 500 m.</w:t>
      </w:r>
    </w:p>
    <w:p w14:paraId="28B242F8" w14:textId="77777777" w:rsidR="00216E8B" w:rsidRPr="00237B4E" w:rsidRDefault="00216E8B" w:rsidP="00216E8B">
      <w:pPr>
        <w:rPr>
          <w:b/>
        </w:rPr>
      </w:pPr>
      <w:r w:rsidRPr="00237B4E">
        <w:rPr>
          <w:b/>
        </w:rPr>
        <w:t>Velíkova</w:t>
      </w:r>
      <w:r>
        <w:t xml:space="preserve"> – v</w:t>
      </w:r>
      <w:r w:rsidRPr="006B4D80">
        <w:t>e výhledovém období je plánováno rozšíření vodovodní sítě v délce cca 600 m.</w:t>
      </w:r>
    </w:p>
    <w:p w14:paraId="59BFE6EE" w14:textId="77777777" w:rsidR="00216E8B" w:rsidRDefault="00216E8B" w:rsidP="00216E8B"/>
    <w:p w14:paraId="320B1333" w14:textId="77777777" w:rsidR="00216E8B" w:rsidRPr="001B5123" w:rsidRDefault="00216E8B" w:rsidP="00216E8B">
      <w:pPr>
        <w:keepNext/>
        <w:rPr>
          <w:b/>
        </w:rPr>
      </w:pPr>
      <w:r w:rsidRPr="001B5123">
        <w:rPr>
          <w:b/>
        </w:rPr>
        <w:lastRenderedPageBreak/>
        <w:t>Varianty nouzového zásobování pitnou vodou</w:t>
      </w:r>
    </w:p>
    <w:p w14:paraId="6DEC6417" w14:textId="77777777" w:rsidR="00216E8B" w:rsidRDefault="00216E8B" w:rsidP="00216E8B">
      <w:r>
        <w:t xml:space="preserve">Vodovod je zdrojově napojen na SV Zlín se zdroji ÚV Tlumačov, ÚV Klečůvka a místními zdroji Otrokovice – Kaplička, Vizovice – Kosmatá a Kašava. </w:t>
      </w:r>
    </w:p>
    <w:p w14:paraId="20C8BB05" w14:textId="77777777" w:rsidR="00216E8B" w:rsidRDefault="00216E8B" w:rsidP="00216E8B">
      <w:r>
        <w:t xml:space="preserve">V případě </w:t>
      </w:r>
      <w:r w:rsidRPr="005D1859">
        <w:t>omezení, anebo při úplném zastavení dodávky vody z</w:t>
      </w:r>
      <w:r>
        <w:t xml:space="preserve"> </w:t>
      </w:r>
      <w:r w:rsidRPr="005D1859">
        <w:t>Ú</w:t>
      </w:r>
      <w:r>
        <w:t xml:space="preserve">V Tlumačov, bude dodávka vody </w:t>
      </w:r>
      <w:r w:rsidRPr="005D1859">
        <w:t>závislá pouze na přívodu vody z ÚV Klečůvka. V</w:t>
      </w:r>
      <w:r>
        <w:t xml:space="preserve"> </w:t>
      </w:r>
      <w:r w:rsidRPr="005D1859">
        <w:t>tomto případě budou</w:t>
      </w:r>
      <w:r>
        <w:t xml:space="preserve"> </w:t>
      </w:r>
      <w:r w:rsidRPr="005D1859">
        <w:t>platit</w:t>
      </w:r>
      <w:r>
        <w:t xml:space="preserve"> </w:t>
      </w:r>
      <w:r w:rsidRPr="005D1859">
        <w:t xml:space="preserve">mimořádná opatření pro celý </w:t>
      </w:r>
      <w:r>
        <w:t>skupinový vodovod</w:t>
      </w:r>
      <w:r w:rsidRPr="005D1859">
        <w:t xml:space="preserve"> Zlín, neboť z vodovodu Malenovice – Zlín bude muset být navíc přivedeno alespoň minimální množství vody do ÚV Tlumačov pro provizorní zásobování Otrokovic a Napajedel, za podpory zdroje Kaplička.</w:t>
      </w:r>
      <w:r>
        <w:rPr>
          <w:rStyle w:val="Znakapoznpodarou"/>
        </w:rPr>
        <w:footnoteReference w:id="78"/>
      </w:r>
    </w:p>
    <w:p w14:paraId="4FBB819D" w14:textId="77777777" w:rsidR="00216E8B" w:rsidRDefault="00216E8B" w:rsidP="00216E8B">
      <w:r>
        <w:t xml:space="preserve">V případě </w:t>
      </w:r>
      <w:r w:rsidRPr="005D1859">
        <w:t>úplné</w:t>
      </w:r>
      <w:r>
        <w:t>ho</w:t>
      </w:r>
      <w:r w:rsidRPr="005D1859">
        <w:t xml:space="preserve"> zastavení dodávky vody z</w:t>
      </w:r>
      <w:r>
        <w:t xml:space="preserve"> </w:t>
      </w:r>
      <w:r w:rsidRPr="005D1859">
        <w:t>Ú</w:t>
      </w:r>
      <w:r>
        <w:t>V Klečůvka musí být dopravena voda do Zlína z ÚV Tlumačov. Vzhledem k tomu, že ÚV Tlumačov byl technicky již od samého začátku koncipován jako hlavní zdroj pro město Zlín, byla vybudována potřebná zařízení (čerpací stanice, přivaděče a vodojemy) pro dopravu vody ve směru do Malenovic a Zlína již v počáteční fázi budování SV Zlín.</w:t>
      </w:r>
    </w:p>
    <w:p w14:paraId="676832DC" w14:textId="77777777" w:rsidR="00216E8B" w:rsidRDefault="00216E8B" w:rsidP="00216E8B">
      <w:r>
        <w:t>Při výpadku kteréhokoliv ze zbývajících tří místních zdrojů bude jejich kapacita nahrazena zvýšenou dodávkou vody z hlavních úpraven vody (ÚV Tlumačov, ÚV Klečůvka). V případě úplného přerušení dodávky pitné vody bude nutné nouzově zásobovat obyvatelstvo pitnou vodou z mobilních cisteren nebo vodou balenou. Společnost Moravská vodárenská, a.s. disponuje 8 cisternami s průměrným objemem 2,5 m</w:t>
      </w:r>
      <w:r w:rsidRPr="007126C8">
        <w:rPr>
          <w:vertAlign w:val="superscript"/>
        </w:rPr>
        <w:t>3</w:t>
      </w:r>
      <w:r>
        <w:t xml:space="preserve"> a 1 mobilní cisternou s objemem 8 m</w:t>
      </w:r>
      <w:r w:rsidRPr="007126C8">
        <w:rPr>
          <w:vertAlign w:val="superscript"/>
        </w:rPr>
        <w:t>3</w:t>
      </w:r>
      <w:r>
        <w:t xml:space="preserve">. Cisterny jsou rovněž vybaveny GPS lokátorem, přičemž jejich polohu je možné zobrazit v mapovém portálu na adrese </w:t>
      </w:r>
      <w:hyperlink r:id="rId100" w:history="1">
        <w:r w:rsidRPr="005668E1">
          <w:rPr>
            <w:rStyle w:val="Hypertextovodkaz"/>
            <w:color w:val="auto"/>
            <w:u w:val="none"/>
          </w:rPr>
          <w:t>http://mapy.smv.cz/udalosti/smv.html</w:t>
        </w:r>
      </w:hyperlink>
      <w:r w:rsidRPr="005668E1">
        <w:t>.</w:t>
      </w:r>
      <w:r>
        <w:t xml:space="preserve"> Při nouzovém zásobování bude třeba zajistit dodávku 15 l na osobu a den, což činí 1 124 m</w:t>
      </w:r>
      <w:r w:rsidRPr="001B5123">
        <w:rPr>
          <w:vertAlign w:val="superscript"/>
        </w:rPr>
        <w:t>3</w:t>
      </w:r>
      <w:r>
        <w:t xml:space="preserve"> na den.</w:t>
      </w:r>
    </w:p>
    <w:p w14:paraId="2373FF0F" w14:textId="77777777" w:rsidR="00216E8B" w:rsidRDefault="00216E8B" w:rsidP="00216E8B">
      <w:pPr>
        <w:pStyle w:val="Nadpis4"/>
      </w:pPr>
      <w:r w:rsidRPr="00F6454E">
        <w:t>Kanalizace</w:t>
      </w:r>
    </w:p>
    <w:p w14:paraId="340CB3D3" w14:textId="0C55A0E5" w:rsidR="00216E8B" w:rsidRDefault="00216E8B" w:rsidP="00216E8B">
      <w:r w:rsidRPr="00A33AC7">
        <w:t>Kanalizace</w:t>
      </w:r>
      <w:r>
        <w:t xml:space="preserve"> </w:t>
      </w:r>
      <w:r w:rsidRPr="00A33AC7">
        <w:t>města</w:t>
      </w:r>
      <w:r>
        <w:t xml:space="preserve"> </w:t>
      </w:r>
      <w:r w:rsidRPr="00A33AC7">
        <w:t>tvoří</w:t>
      </w:r>
      <w:r>
        <w:t xml:space="preserve"> </w:t>
      </w:r>
      <w:r w:rsidRPr="00A33AC7">
        <w:t>jednotný</w:t>
      </w:r>
      <w:r>
        <w:t xml:space="preserve"> </w:t>
      </w:r>
      <w:r w:rsidRPr="00A33AC7">
        <w:t>celek</w:t>
      </w:r>
      <w:r>
        <w:t xml:space="preserve"> </w:t>
      </w:r>
      <w:r w:rsidRPr="00A33AC7">
        <w:t>spolu</w:t>
      </w:r>
      <w:r>
        <w:t xml:space="preserve"> </w:t>
      </w:r>
      <w:r w:rsidRPr="00A33AC7">
        <w:t>s dalšími</w:t>
      </w:r>
      <w:r>
        <w:t xml:space="preserve"> </w:t>
      </w:r>
      <w:r w:rsidRPr="00A33AC7">
        <w:t>místními</w:t>
      </w:r>
      <w:r>
        <w:t xml:space="preserve"> </w:t>
      </w:r>
      <w:r w:rsidRPr="00A33AC7">
        <w:t>částmi</w:t>
      </w:r>
      <w:r>
        <w:t xml:space="preserve"> </w:t>
      </w:r>
      <w:r w:rsidRPr="00A33AC7">
        <w:t>- Louky,</w:t>
      </w:r>
      <w:r>
        <w:t xml:space="preserve"> </w:t>
      </w:r>
      <w:r w:rsidRPr="00A33AC7">
        <w:t>Malenovice, Mladcová, Prštné, Příluky.</w:t>
      </w:r>
      <w:r>
        <w:t xml:space="preserve"> </w:t>
      </w:r>
      <w:r w:rsidRPr="00A33AC7">
        <w:t>Kanalizace</w:t>
      </w:r>
      <w:r>
        <w:t xml:space="preserve"> </w:t>
      </w:r>
      <w:r w:rsidRPr="00A33AC7">
        <w:t>ve</w:t>
      </w:r>
      <w:r>
        <w:t xml:space="preserve"> </w:t>
      </w:r>
      <w:r w:rsidRPr="00A33AC7">
        <w:t>městě</w:t>
      </w:r>
      <w:r>
        <w:t xml:space="preserve"> </w:t>
      </w:r>
      <w:r w:rsidRPr="00A33AC7">
        <w:t>byla</w:t>
      </w:r>
      <w:r>
        <w:t xml:space="preserve"> </w:t>
      </w:r>
      <w:r w:rsidRPr="00A33AC7">
        <w:t>budována</w:t>
      </w:r>
      <w:r>
        <w:t xml:space="preserve"> </w:t>
      </w:r>
      <w:r w:rsidRPr="00A33AC7">
        <w:t>podle</w:t>
      </w:r>
      <w:r>
        <w:t xml:space="preserve"> </w:t>
      </w:r>
      <w:r w:rsidRPr="00A33AC7">
        <w:t>projektu</w:t>
      </w:r>
      <w:r>
        <w:t xml:space="preserve"> </w:t>
      </w:r>
      <w:r w:rsidRPr="00A33AC7">
        <w:t>Ing.</w:t>
      </w:r>
      <w:r>
        <w:t xml:space="preserve"> </w:t>
      </w:r>
      <w:r w:rsidRPr="00A33AC7">
        <w:t>Zavadila</w:t>
      </w:r>
      <w:r>
        <w:t xml:space="preserve"> </w:t>
      </w:r>
      <w:r w:rsidRPr="00A33AC7">
        <w:t>od</w:t>
      </w:r>
      <w:r>
        <w:t xml:space="preserve"> </w:t>
      </w:r>
      <w:r w:rsidRPr="00A33AC7">
        <w:t>třicátých</w:t>
      </w:r>
      <w:r>
        <w:t xml:space="preserve"> </w:t>
      </w:r>
      <w:r w:rsidRPr="00A33AC7">
        <w:t>let.</w:t>
      </w:r>
      <w:r>
        <w:t xml:space="preserve"> </w:t>
      </w:r>
      <w:r w:rsidRPr="00A33AC7">
        <w:t>Systém</w:t>
      </w:r>
      <w:r>
        <w:t xml:space="preserve"> </w:t>
      </w:r>
      <w:r w:rsidRPr="00A33AC7">
        <w:t>jednotné</w:t>
      </w:r>
      <w:r>
        <w:t xml:space="preserve"> </w:t>
      </w:r>
      <w:r w:rsidRPr="00A33AC7">
        <w:t>kanalizace</w:t>
      </w:r>
      <w:r>
        <w:t xml:space="preserve"> </w:t>
      </w:r>
      <w:r w:rsidRPr="00A33AC7">
        <w:t>byl</w:t>
      </w:r>
      <w:r>
        <w:t xml:space="preserve"> </w:t>
      </w:r>
      <w:r w:rsidRPr="00A33AC7">
        <w:t>doplňován</w:t>
      </w:r>
      <w:r>
        <w:t xml:space="preserve"> </w:t>
      </w:r>
      <w:r w:rsidRPr="00A33AC7">
        <w:t>podle</w:t>
      </w:r>
      <w:r>
        <w:t xml:space="preserve"> </w:t>
      </w:r>
      <w:r w:rsidRPr="00A33AC7">
        <w:t>požadavků</w:t>
      </w:r>
      <w:r>
        <w:t xml:space="preserve"> </w:t>
      </w:r>
      <w:r w:rsidRPr="00A33AC7">
        <w:t>výstavby</w:t>
      </w:r>
      <w:r>
        <w:t xml:space="preserve"> </w:t>
      </w:r>
      <w:r w:rsidRPr="00A33AC7">
        <w:t>nových</w:t>
      </w:r>
      <w:r>
        <w:t xml:space="preserve"> </w:t>
      </w:r>
      <w:r w:rsidRPr="00A33AC7">
        <w:t>průmyslových</w:t>
      </w:r>
      <w:r>
        <w:t xml:space="preserve"> </w:t>
      </w:r>
      <w:r w:rsidRPr="00A33AC7">
        <w:t>a</w:t>
      </w:r>
      <w:r>
        <w:t xml:space="preserve"> </w:t>
      </w:r>
      <w:r w:rsidRPr="00A33AC7">
        <w:t>obytných</w:t>
      </w:r>
      <w:r>
        <w:t xml:space="preserve"> </w:t>
      </w:r>
      <w:r w:rsidRPr="00A33AC7">
        <w:t>lokalit.</w:t>
      </w:r>
      <w:r>
        <w:t xml:space="preserve"> </w:t>
      </w:r>
      <w:r w:rsidRPr="00A33AC7">
        <w:t>V současnosti</w:t>
      </w:r>
      <w:r>
        <w:t xml:space="preserve"> </w:t>
      </w:r>
      <w:r w:rsidRPr="00A33AC7">
        <w:t>je</w:t>
      </w:r>
      <w:r>
        <w:t xml:space="preserve"> </w:t>
      </w:r>
      <w:r w:rsidRPr="00A33AC7">
        <w:t>95 % obyvatel</w:t>
      </w:r>
      <w:r>
        <w:t xml:space="preserve"> města Zlín</w:t>
      </w:r>
      <w:r w:rsidRPr="00A33AC7">
        <w:t xml:space="preserve"> napojeno na veřejnou kanalizaci</w:t>
      </w:r>
      <w:r>
        <w:t xml:space="preserve">. </w:t>
      </w:r>
    </w:p>
    <w:p w14:paraId="665B632B" w14:textId="77777777" w:rsidR="00216E8B" w:rsidRDefault="00216E8B" w:rsidP="00216E8B">
      <w:r w:rsidRPr="00A33AC7">
        <w:t>Kanalizace</w:t>
      </w:r>
      <w:r>
        <w:t xml:space="preserve"> </w:t>
      </w:r>
      <w:r w:rsidRPr="00A33AC7">
        <w:t>je</w:t>
      </w:r>
      <w:r>
        <w:t xml:space="preserve"> </w:t>
      </w:r>
      <w:r w:rsidRPr="00A33AC7">
        <w:t>ve</w:t>
      </w:r>
      <w:r>
        <w:t xml:space="preserve"> vlastnictví společnosti </w:t>
      </w:r>
      <w:r w:rsidRPr="009A53A8">
        <w:t>Vodovody a kanalizace Zlín, a.s.,</w:t>
      </w:r>
      <w:r>
        <w:t xml:space="preserve"> provozovatelem je pak společnost</w:t>
      </w:r>
      <w:r w:rsidRPr="009A53A8">
        <w:t xml:space="preserve"> </w:t>
      </w:r>
      <w:r>
        <w:t>MORAVSKÁ VODÁRENSKÁ, a.s (dále „</w:t>
      </w:r>
      <w:r w:rsidRPr="00EA3794">
        <w:t>MOVO, a.s.</w:t>
      </w:r>
      <w:r>
        <w:t>“).</w:t>
      </w:r>
    </w:p>
    <w:p w14:paraId="5AF84754" w14:textId="77777777" w:rsidR="00216E8B" w:rsidRDefault="00216E8B" w:rsidP="00216E8B">
      <w:r w:rsidRPr="00A33AC7">
        <w:t>Odpadní</w:t>
      </w:r>
      <w:r>
        <w:t xml:space="preserve"> </w:t>
      </w:r>
      <w:r w:rsidRPr="00A33AC7">
        <w:t>vody</w:t>
      </w:r>
      <w:r>
        <w:t xml:space="preserve"> </w:t>
      </w:r>
      <w:r w:rsidRPr="00A33AC7">
        <w:t>od</w:t>
      </w:r>
      <w:r>
        <w:t xml:space="preserve"> </w:t>
      </w:r>
      <w:r w:rsidRPr="00A33AC7">
        <w:t>obyvatelstva,</w:t>
      </w:r>
      <w:r>
        <w:t xml:space="preserve"> </w:t>
      </w:r>
      <w:r w:rsidRPr="00A33AC7">
        <w:t>občanské</w:t>
      </w:r>
      <w:r>
        <w:t xml:space="preserve"> </w:t>
      </w:r>
      <w:r w:rsidRPr="00A33AC7">
        <w:t>vybavenosti</w:t>
      </w:r>
      <w:r>
        <w:t xml:space="preserve"> </w:t>
      </w:r>
      <w:r w:rsidRPr="00A33AC7">
        <w:t>a</w:t>
      </w:r>
      <w:r>
        <w:t xml:space="preserve"> </w:t>
      </w:r>
      <w:r w:rsidRPr="00A33AC7">
        <w:t>průmyslu</w:t>
      </w:r>
      <w:r>
        <w:t xml:space="preserve"> </w:t>
      </w:r>
      <w:r w:rsidRPr="00A33AC7">
        <w:t>jsou</w:t>
      </w:r>
      <w:r>
        <w:t xml:space="preserve"> </w:t>
      </w:r>
      <w:r w:rsidRPr="00A33AC7">
        <w:t>odváděny</w:t>
      </w:r>
      <w:r>
        <w:t xml:space="preserve"> </w:t>
      </w:r>
      <w:r w:rsidRPr="00A33AC7">
        <w:t>kanalizačními</w:t>
      </w:r>
      <w:r>
        <w:t xml:space="preserve"> </w:t>
      </w:r>
      <w:r w:rsidRPr="00A33AC7">
        <w:t>sběrači,</w:t>
      </w:r>
      <w:r>
        <w:t xml:space="preserve"> </w:t>
      </w:r>
      <w:r w:rsidRPr="00A33AC7">
        <w:t>které</w:t>
      </w:r>
      <w:r>
        <w:t xml:space="preserve"> </w:t>
      </w:r>
      <w:r w:rsidRPr="00A33AC7">
        <w:t>jsou</w:t>
      </w:r>
      <w:r>
        <w:t xml:space="preserve"> </w:t>
      </w:r>
      <w:r w:rsidRPr="00A33AC7">
        <w:t>zaústěny</w:t>
      </w:r>
      <w:r>
        <w:t xml:space="preserve"> </w:t>
      </w:r>
      <w:r w:rsidRPr="00A33AC7">
        <w:t>do</w:t>
      </w:r>
      <w:r>
        <w:t xml:space="preserve"> </w:t>
      </w:r>
      <w:r w:rsidRPr="00A33AC7">
        <w:t>hlavních</w:t>
      </w:r>
      <w:r>
        <w:t xml:space="preserve"> </w:t>
      </w:r>
      <w:r w:rsidRPr="00A33AC7">
        <w:t>kmenových</w:t>
      </w:r>
      <w:r>
        <w:t xml:space="preserve"> </w:t>
      </w:r>
      <w:r w:rsidRPr="00A33AC7">
        <w:t>stok.</w:t>
      </w:r>
      <w:r>
        <w:t xml:space="preserve"> V </w:t>
      </w:r>
      <w:r w:rsidRPr="00A33AC7">
        <w:t>případě</w:t>
      </w:r>
      <w:r>
        <w:t xml:space="preserve"> </w:t>
      </w:r>
      <w:r w:rsidRPr="00A33AC7">
        <w:t>oddílné</w:t>
      </w:r>
      <w:r>
        <w:t xml:space="preserve"> </w:t>
      </w:r>
      <w:r w:rsidRPr="00A33AC7">
        <w:t>kanalizace</w:t>
      </w:r>
      <w:r>
        <w:t xml:space="preserve"> </w:t>
      </w:r>
      <w:r w:rsidRPr="00A33AC7">
        <w:t>jsou</w:t>
      </w:r>
      <w:r>
        <w:t xml:space="preserve"> </w:t>
      </w:r>
      <w:r w:rsidRPr="00A33AC7">
        <w:t>dešťové</w:t>
      </w:r>
      <w:r>
        <w:t xml:space="preserve"> </w:t>
      </w:r>
      <w:r w:rsidRPr="00A33AC7">
        <w:t>odpadní</w:t>
      </w:r>
      <w:r>
        <w:t xml:space="preserve"> </w:t>
      </w:r>
      <w:r w:rsidRPr="00A33AC7">
        <w:t>vody</w:t>
      </w:r>
      <w:r>
        <w:t xml:space="preserve"> </w:t>
      </w:r>
      <w:r w:rsidRPr="00A33AC7">
        <w:t>svedeny</w:t>
      </w:r>
      <w:r>
        <w:t xml:space="preserve"> </w:t>
      </w:r>
      <w:r w:rsidRPr="00A33AC7">
        <w:t>samostatnými</w:t>
      </w:r>
      <w:r>
        <w:t xml:space="preserve"> </w:t>
      </w:r>
      <w:r w:rsidRPr="00A33AC7">
        <w:t>sběrači do nejbližších místních recipientů a následně do hlavního recipientu – řeky Dřevnice.</w:t>
      </w:r>
      <w:r>
        <w:t xml:space="preserve"> </w:t>
      </w:r>
      <w:r w:rsidRPr="00A33AC7">
        <w:t>Hlavní kmenové stoky, které tvoří páteř stokové sítě, jsou vedeny podél řeky Dřevnice (levobřežní a</w:t>
      </w:r>
      <w:r>
        <w:t xml:space="preserve"> </w:t>
      </w:r>
      <w:r w:rsidRPr="00A33AC7">
        <w:t>pravobřežní kmenová stoka), pod místní částí Louky se spojují do levobřežní stoky, která je zaústěna</w:t>
      </w:r>
      <w:r>
        <w:t xml:space="preserve"> </w:t>
      </w:r>
      <w:r w:rsidRPr="00A33AC7">
        <w:t xml:space="preserve">do čistírny </w:t>
      </w:r>
      <w:r>
        <w:t>odpadních vod Zlín - Malenovice</w:t>
      </w:r>
      <w:r w:rsidRPr="00A33AC7">
        <w:t xml:space="preserve"> (ČOV je situována na pravém břehu Dřevnice v k.ú. obce</w:t>
      </w:r>
      <w:r>
        <w:t xml:space="preserve"> </w:t>
      </w:r>
      <w:r w:rsidRPr="00A33AC7">
        <w:t xml:space="preserve">Tečovice). </w:t>
      </w:r>
    </w:p>
    <w:p w14:paraId="01D55223" w14:textId="77777777" w:rsidR="00216E8B" w:rsidRDefault="00216E8B" w:rsidP="00216E8B">
      <w:pPr>
        <w:rPr>
          <w:color w:val="FF0000"/>
        </w:rPr>
      </w:pPr>
      <w:r w:rsidRPr="00A14E00">
        <w:t>Zlín má 16 místních částí. Ve 14 z nich je kanalizace napojena</w:t>
      </w:r>
      <w:r>
        <w:t xml:space="preserve"> na městskou ČOV </w:t>
      </w:r>
      <w:r w:rsidRPr="00A14E00">
        <w:t>Zlín – Malenovice (Zlín, Malenovice, Louky, Prštné, Mladcová, Kudlov, Jaroslavice, Kostelec, Štípa, Příluky, Lužkovice, Chlum, Klečůvka, Veliková</w:t>
      </w:r>
      <w:r w:rsidRPr="009E1BB9">
        <w:t>). V místní části Salaš je kanalizace napojena na místní ČOV v majetku města Zlína (provozování zajišťuje MOVO, a.s.). Místní část Lhotka dosud není napojena na centrální ČOV.</w:t>
      </w:r>
    </w:p>
    <w:p w14:paraId="6FBCBC6A" w14:textId="77777777" w:rsidR="00216E8B" w:rsidRDefault="00216E8B" w:rsidP="00216E8B">
      <w:r w:rsidRPr="00A14E00">
        <w:t>V současné době má MMZ zpracovanou projektovou dokumentaci napojení Lho</w:t>
      </w:r>
      <w:r w:rsidRPr="00676C1E">
        <w:t xml:space="preserve">tky (v místní části bydlí 227 osob) </w:t>
      </w:r>
      <w:r w:rsidRPr="00A14E00">
        <w:t xml:space="preserve">na kanalizační systém </w:t>
      </w:r>
      <w:r w:rsidRPr="00676C1E">
        <w:t>Zlín, přičemž náklady na stavbu jsou cca 20 mil. Kč</w:t>
      </w:r>
      <w:r>
        <w:t xml:space="preserve">, pro stejné území byla vypracována rovněž alternativní </w:t>
      </w:r>
      <w:r w:rsidRPr="00676C1E">
        <w:t xml:space="preserve">studie </w:t>
      </w:r>
      <w:r>
        <w:t>levnější</w:t>
      </w:r>
      <w:r w:rsidRPr="00676C1E">
        <w:t xml:space="preserve"> variant</w:t>
      </w:r>
      <w:r>
        <w:t>y</w:t>
      </w:r>
      <w:r w:rsidRPr="00676C1E">
        <w:t xml:space="preserve"> odkanalizování obce (únor 2020), kde se uvažuje mj. s návrhem jednotné sítě se začleněním stávajících stok nebo s decentrálním čištěním OV (domovní ČOV u každého domu). </w:t>
      </w:r>
      <w:r>
        <w:t>O</w:t>
      </w:r>
      <w:r w:rsidRPr="00676C1E">
        <w:t xml:space="preserve"> definitivním způsobu likvidace OV místní části Lhotka zatím nebylo </w:t>
      </w:r>
      <w:r w:rsidRPr="00676C1E">
        <w:lastRenderedPageBreak/>
        <w:t>rozhodnuto a bude předmětem jednání</w:t>
      </w:r>
      <w:r>
        <w:t xml:space="preserve"> mezi vlastníky kanalizace (SMZ</w:t>
      </w:r>
      <w:r w:rsidRPr="00676C1E">
        <w:t>, VAK Zlín a.s.) a provozovatelem (MOVO a.s.).</w:t>
      </w:r>
    </w:p>
    <w:p w14:paraId="36951516" w14:textId="5E156C15" w:rsidR="00216E8B" w:rsidRPr="00710229" w:rsidRDefault="00216E8B" w:rsidP="00216E8B">
      <w:r w:rsidRPr="009E1BB9">
        <w:t xml:space="preserve">Ve městě Zlín se nacházejí ještě </w:t>
      </w:r>
      <w:r w:rsidRPr="009E1BB9">
        <w:rPr>
          <w:bCs/>
        </w:rPr>
        <w:t>i další</w:t>
      </w:r>
      <w:r w:rsidRPr="009E1BB9">
        <w:t xml:space="preserve"> dílčí části kanalizace, které nejsou zaústěny na ČOV, ale volně do recipientu. Jedná se </w:t>
      </w:r>
      <w:r w:rsidRPr="009E1BB9">
        <w:rPr>
          <w:bCs/>
        </w:rPr>
        <w:t>např.</w:t>
      </w:r>
      <w:r w:rsidRPr="009E1BB9">
        <w:t xml:space="preserve"> o výpusť kanalizace města Zlína v místní části Kudlov - ul. Zelená cesta.</w:t>
      </w:r>
      <w:r>
        <w:t xml:space="preserve"> </w:t>
      </w:r>
      <w:r w:rsidRPr="00A14E00">
        <w:t>Vlastník kanalizace Kudlov</w:t>
      </w:r>
      <w:r w:rsidR="00E254AB">
        <w:t xml:space="preserve"> </w:t>
      </w:r>
      <w:r w:rsidR="00E254AB">
        <w:sym w:font="Symbol" w:char="F02D"/>
      </w:r>
      <w:r w:rsidR="00E254AB">
        <w:t xml:space="preserve"> </w:t>
      </w:r>
      <w:r w:rsidRPr="00A14E00">
        <w:t xml:space="preserve">Zelená cesta </w:t>
      </w:r>
      <w:r>
        <w:t xml:space="preserve">(VAK Zlín a.s.) </w:t>
      </w:r>
      <w:r w:rsidRPr="00A14E00">
        <w:t>připravuje rovněž přepojen</w:t>
      </w:r>
      <w:r>
        <w:t>í na kanalizační systém města a </w:t>
      </w:r>
      <w:r w:rsidRPr="00A14E00">
        <w:t xml:space="preserve">jedná </w:t>
      </w:r>
      <w:r>
        <w:t>s vlastníky dotčených pozemků o </w:t>
      </w:r>
      <w:r w:rsidRPr="00A14E00">
        <w:t>umístění čerpací stanice odpadních vod.</w:t>
      </w:r>
      <w:r>
        <w:t xml:space="preserve"> </w:t>
      </w:r>
      <w:r w:rsidRPr="0029122B">
        <w:t>Napojení na centrální ČOV chybí i v dalších 8 místních částech včetně samotného Zlína. Jedná se o</w:t>
      </w:r>
      <w:r w:rsidR="00DF2BED">
        <w:t> </w:t>
      </w:r>
      <w:r w:rsidRPr="0029122B">
        <w:t>menší lokality, resp. ulice.</w:t>
      </w:r>
    </w:p>
    <w:p w14:paraId="1056D106" w14:textId="77777777" w:rsidR="00216E8B" w:rsidRDefault="00216E8B" w:rsidP="00216E8B">
      <w:r w:rsidRPr="00710229">
        <w:t xml:space="preserve">Na kanalizační systém města Zlín a centrální ČOV Zlín-Malenovice jsou dále napojeny odpadní vody z města </w:t>
      </w:r>
      <w:r w:rsidRPr="009D09C1">
        <w:t>Fryšták, Fryšták-Vítová, a obcí Lukov, Tečovice, Želechovice</w:t>
      </w:r>
      <w:r>
        <w:t xml:space="preserve"> nad Dřevnicí</w:t>
      </w:r>
      <w:r w:rsidRPr="009D09C1">
        <w:t>, Lípa, Zádveřice</w:t>
      </w:r>
      <w:r>
        <w:t>,</w:t>
      </w:r>
      <w:r w:rsidRPr="009D09C1">
        <w:t xml:space="preserve"> Sazovice</w:t>
      </w:r>
      <w:r>
        <w:t xml:space="preserve"> a připravuje se Hvozdná</w:t>
      </w:r>
      <w:r w:rsidRPr="009D09C1">
        <w:t>.</w:t>
      </w:r>
    </w:p>
    <w:p w14:paraId="6D9D9976" w14:textId="047D841A" w:rsidR="00216E8B" w:rsidRDefault="00216E8B" w:rsidP="00216E8B">
      <w:pPr>
        <w:rPr>
          <w:rFonts w:cs="Arial"/>
        </w:rPr>
      </w:pPr>
      <w:r w:rsidRPr="006934C0">
        <w:rPr>
          <w:rFonts w:cs="Arial"/>
        </w:rPr>
        <w:t xml:space="preserve">Systém </w:t>
      </w:r>
      <w:r w:rsidRPr="009D09C1">
        <w:rPr>
          <w:rFonts w:cs="Arial"/>
        </w:rPr>
        <w:t xml:space="preserve">odvádění odpadních vod je ve většině odkanalizovaných lokalit </w:t>
      </w:r>
      <w:r w:rsidRPr="009D09C1">
        <w:rPr>
          <w:rFonts w:cs="Arial"/>
          <w:b/>
        </w:rPr>
        <w:t>gravitační,</w:t>
      </w:r>
      <w:r w:rsidRPr="009D09C1">
        <w:rPr>
          <w:rFonts w:cs="Arial"/>
        </w:rPr>
        <w:t xml:space="preserve"> </w:t>
      </w:r>
      <w:r>
        <w:rPr>
          <w:rFonts w:cs="Arial"/>
        </w:rPr>
        <w:t xml:space="preserve">v některých </w:t>
      </w:r>
      <w:r w:rsidRPr="009D09C1">
        <w:rPr>
          <w:rFonts w:cs="Arial"/>
        </w:rPr>
        <w:t>místních částech Zlína</w:t>
      </w:r>
      <w:r>
        <w:rPr>
          <w:rFonts w:cs="Arial"/>
        </w:rPr>
        <w:t>,</w:t>
      </w:r>
      <w:r w:rsidRPr="009D09C1">
        <w:rPr>
          <w:rFonts w:cs="Arial"/>
        </w:rPr>
        <w:t xml:space="preserve"> je použit pro přečerpávání odpadních vod samostatný </w:t>
      </w:r>
      <w:r w:rsidRPr="009D09C1">
        <w:rPr>
          <w:rFonts w:cs="Arial"/>
          <w:b/>
        </w:rPr>
        <w:t>tlakový sytém</w:t>
      </w:r>
      <w:r w:rsidRPr="009D09C1">
        <w:rPr>
          <w:rFonts w:cs="Arial"/>
        </w:rPr>
        <w:t xml:space="preserve"> (např. Zlín – Velíková, Klečůvka, </w:t>
      </w:r>
      <w:r>
        <w:rPr>
          <w:rFonts w:cs="Arial"/>
        </w:rPr>
        <w:t>čtvrť U majáku</w:t>
      </w:r>
      <w:r w:rsidRPr="009D09C1">
        <w:rPr>
          <w:rFonts w:cs="Arial"/>
        </w:rPr>
        <w:t xml:space="preserve">, </w:t>
      </w:r>
      <w:r>
        <w:rPr>
          <w:rFonts w:cs="Arial"/>
        </w:rPr>
        <w:t>Filmové a</w:t>
      </w:r>
      <w:r w:rsidRPr="009D09C1">
        <w:rPr>
          <w:rFonts w:cs="Arial"/>
        </w:rPr>
        <w:t>teliéry, Klabalská cesta, Mladcová-západ, příp. Kudlov</w:t>
      </w:r>
      <w:r w:rsidR="00E254AB">
        <w:rPr>
          <w:rFonts w:cs="Arial"/>
        </w:rPr>
        <w:t xml:space="preserve"> </w:t>
      </w:r>
      <w:r w:rsidR="00E254AB">
        <w:rPr>
          <w:rFonts w:cs="Arial"/>
        </w:rPr>
        <w:sym w:font="Symbol" w:char="F02D"/>
      </w:r>
      <w:r w:rsidR="00E254AB">
        <w:rPr>
          <w:rFonts w:cs="Arial"/>
        </w:rPr>
        <w:t xml:space="preserve"> </w:t>
      </w:r>
      <w:r>
        <w:rPr>
          <w:rFonts w:cs="Arial"/>
        </w:rPr>
        <w:t xml:space="preserve">Švambovce </w:t>
      </w:r>
      <w:r w:rsidRPr="009D09C1">
        <w:rPr>
          <w:rFonts w:cs="Arial"/>
        </w:rPr>
        <w:t>nebo Rybníčky).</w:t>
      </w:r>
      <w:r w:rsidRPr="006934C0">
        <w:rPr>
          <w:rFonts w:cs="Arial"/>
        </w:rPr>
        <w:t xml:space="preserve"> </w:t>
      </w:r>
    </w:p>
    <w:p w14:paraId="52152C3E" w14:textId="6B711C98" w:rsidR="00216E8B" w:rsidRDefault="00216E8B" w:rsidP="00216E8B">
      <w:pPr>
        <w:rPr>
          <w:rFonts w:cs="Arial"/>
        </w:rPr>
      </w:pPr>
      <w:r>
        <w:rPr>
          <w:rFonts w:cs="Arial"/>
        </w:rPr>
        <w:t>Na obrázku</w:t>
      </w:r>
      <w:r w:rsidRPr="005C675A">
        <w:rPr>
          <w:rFonts w:cs="Arial"/>
        </w:rPr>
        <w:t xml:space="preserve"> </w:t>
      </w:r>
      <w:r w:rsidR="00E111E6">
        <w:rPr>
          <w:rFonts w:cs="Arial"/>
        </w:rPr>
        <w:t xml:space="preserve">1.60 </w:t>
      </w:r>
      <w:r>
        <w:rPr>
          <w:rFonts w:cs="Arial"/>
        </w:rPr>
        <w:t>je zobrazena mapa kanalizační sítě s rozlišením na gravitační a tlakovou kanalizaci, vč. ČOV a septiků. Počty a podíly osob napojených na ČOV, jsou pak uvedeny v</w:t>
      </w:r>
      <w:r w:rsidR="00094895">
        <w:rPr>
          <w:rFonts w:cs="Arial"/>
        </w:rPr>
        <w:t> </w:t>
      </w:r>
      <w:r>
        <w:rPr>
          <w:rFonts w:cs="Arial"/>
        </w:rPr>
        <w:t>tabulce</w:t>
      </w:r>
      <w:r w:rsidR="00122205">
        <w:rPr>
          <w:rFonts w:cs="Arial"/>
        </w:rPr>
        <w:t xml:space="preserve"> 1.51</w:t>
      </w:r>
      <w:r>
        <w:rPr>
          <w:rFonts w:cs="Arial"/>
        </w:rPr>
        <w:t>.</w:t>
      </w:r>
    </w:p>
    <w:p w14:paraId="114F216A" w14:textId="45996D6C" w:rsidR="00216E8B" w:rsidRDefault="00216E8B" w:rsidP="00216E8B">
      <w:pPr>
        <w:pStyle w:val="Titulek"/>
        <w:keepNext/>
      </w:pPr>
      <w:bookmarkStart w:id="317" w:name="_Toc51933204"/>
      <w:bookmarkStart w:id="318" w:name="_Toc7707487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60</w:t>
      </w:r>
      <w:r w:rsidR="00804AF3">
        <w:rPr>
          <w:noProof/>
        </w:rPr>
        <w:fldChar w:fldCharType="end"/>
      </w:r>
      <w:r w:rsidR="00DF2BED">
        <w:rPr>
          <w:noProof/>
        </w:rPr>
        <w:t>:</w:t>
      </w:r>
      <w:r>
        <w:t xml:space="preserve"> Kanalizační síť</w:t>
      </w:r>
      <w:bookmarkEnd w:id="317"/>
      <w:bookmarkEnd w:id="318"/>
    </w:p>
    <w:p w14:paraId="23C19FA6" w14:textId="77777777" w:rsidR="00216E8B" w:rsidRDefault="00216E8B" w:rsidP="00216E8B">
      <w:r>
        <w:rPr>
          <w:noProof/>
          <w:lang w:eastAsia="cs-CZ"/>
        </w:rPr>
        <w:drawing>
          <wp:inline distT="0" distB="0" distL="0" distR="0" wp14:anchorId="558D90AF" wp14:editId="32F47F5D">
            <wp:extent cx="5760718" cy="4322824"/>
            <wp:effectExtent l="0" t="0" r="0" b="190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lin_kanal.png"/>
                    <pic:cNvPicPr/>
                  </pic:nvPicPr>
                  <pic:blipFill>
                    <a:blip r:embed="rId101" cstate="print">
                      <a:extLst>
                        <a:ext uri="{28A0092B-C50C-407E-A947-70E740481C1C}">
                          <a14:useLocalDpi xmlns:a14="http://schemas.microsoft.com/office/drawing/2010/main"/>
                        </a:ext>
                      </a:extLst>
                    </a:blip>
                    <a:stretch>
                      <a:fillRect/>
                    </a:stretch>
                  </pic:blipFill>
                  <pic:spPr>
                    <a:xfrm>
                      <a:off x="0" y="0"/>
                      <a:ext cx="5760718" cy="4322824"/>
                    </a:xfrm>
                    <a:prstGeom prst="rect">
                      <a:avLst/>
                    </a:prstGeom>
                  </pic:spPr>
                </pic:pic>
              </a:graphicData>
            </a:graphic>
          </wp:inline>
        </w:drawing>
      </w:r>
    </w:p>
    <w:p w14:paraId="5616695D" w14:textId="4E892ABA" w:rsidR="00216E8B" w:rsidRDefault="00216E8B" w:rsidP="00216E8B">
      <w:pPr>
        <w:pStyle w:val="Zdroj"/>
      </w:pPr>
      <w:r>
        <w:t>Zdroj: PRVK, MVČR, ÚAP SO ORP Zlín</w:t>
      </w:r>
      <w:r w:rsidR="00DF2BED">
        <w:t>.</w:t>
      </w:r>
    </w:p>
    <w:p w14:paraId="34D4E842" w14:textId="524A9960" w:rsidR="00216E8B" w:rsidRDefault="00216E8B" w:rsidP="00216E8B">
      <w:pPr>
        <w:pStyle w:val="Titulek"/>
        <w:keepNext/>
      </w:pPr>
      <w:bookmarkStart w:id="319" w:name="_Toc51933189"/>
      <w:bookmarkStart w:id="320" w:name="_Toc77074731"/>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51</w:t>
      </w:r>
      <w:r w:rsidR="00081B47">
        <w:rPr>
          <w:noProof/>
        </w:rPr>
        <w:fldChar w:fldCharType="end"/>
      </w:r>
      <w:r w:rsidR="00DF2BED">
        <w:rPr>
          <w:noProof/>
        </w:rPr>
        <w:t>:</w:t>
      </w:r>
      <w:r>
        <w:t xml:space="preserve"> Počet a podíl občanů napojených na kanalizaci</w:t>
      </w:r>
      <w:bookmarkEnd w:id="319"/>
      <w:bookmarkEnd w:id="320"/>
    </w:p>
    <w:tbl>
      <w:tblPr>
        <w:tblW w:w="5000" w:type="pct"/>
        <w:tblCellMar>
          <w:left w:w="70" w:type="dxa"/>
          <w:right w:w="70" w:type="dxa"/>
        </w:tblCellMar>
        <w:tblLook w:val="04A0" w:firstRow="1" w:lastRow="0" w:firstColumn="1" w:lastColumn="0" w:noHBand="0" w:noVBand="1"/>
      </w:tblPr>
      <w:tblGrid>
        <w:gridCol w:w="1575"/>
        <w:gridCol w:w="790"/>
        <w:gridCol w:w="1174"/>
        <w:gridCol w:w="1292"/>
        <w:gridCol w:w="1118"/>
        <w:gridCol w:w="991"/>
        <w:gridCol w:w="1086"/>
        <w:gridCol w:w="1036"/>
      </w:tblGrid>
      <w:tr w:rsidR="00216E8B" w:rsidRPr="00BF23C9" w14:paraId="5EC5FCF5" w14:textId="77777777" w:rsidTr="000C49A5">
        <w:trPr>
          <w:trHeight w:val="227"/>
        </w:trPr>
        <w:tc>
          <w:tcPr>
            <w:tcW w:w="86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6DEECCA"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Místní část</w:t>
            </w:r>
          </w:p>
        </w:tc>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12EDFCC"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Počet obyvatel</w:t>
            </w:r>
          </w:p>
        </w:tc>
        <w:tc>
          <w:tcPr>
            <w:tcW w:w="3695" w:type="pct"/>
            <w:gridSpan w:val="6"/>
            <w:tcBorders>
              <w:top w:val="single" w:sz="4" w:space="0" w:color="auto"/>
              <w:left w:val="nil"/>
              <w:bottom w:val="single" w:sz="4" w:space="0" w:color="auto"/>
              <w:right w:val="single" w:sz="4" w:space="0" w:color="auto"/>
            </w:tcBorders>
            <w:shd w:val="clear" w:color="000000" w:fill="F2F2F2"/>
            <w:vAlign w:val="center"/>
            <w:hideMark/>
          </w:tcPr>
          <w:p w14:paraId="4E4C437D"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z toho</w:t>
            </w:r>
          </w:p>
        </w:tc>
      </w:tr>
      <w:tr w:rsidR="00216E8B" w:rsidRPr="00BF23C9" w14:paraId="7A0840B5" w14:textId="77777777" w:rsidTr="000C49A5">
        <w:trPr>
          <w:trHeight w:val="227"/>
        </w:trPr>
        <w:tc>
          <w:tcPr>
            <w:tcW w:w="869" w:type="pct"/>
            <w:vMerge/>
            <w:tcBorders>
              <w:top w:val="single" w:sz="4" w:space="0" w:color="auto"/>
              <w:left w:val="single" w:sz="4" w:space="0" w:color="auto"/>
              <w:bottom w:val="single" w:sz="4" w:space="0" w:color="auto"/>
              <w:right w:val="single" w:sz="4" w:space="0" w:color="auto"/>
            </w:tcBorders>
            <w:vAlign w:val="center"/>
            <w:hideMark/>
          </w:tcPr>
          <w:p w14:paraId="6C862814" w14:textId="77777777" w:rsidR="00216E8B" w:rsidRPr="00BF23C9" w:rsidRDefault="00216E8B" w:rsidP="000C49A5">
            <w:pPr>
              <w:keepNext/>
              <w:spacing w:before="0"/>
              <w:jc w:val="left"/>
              <w:rPr>
                <w:rFonts w:ascii="Calibri" w:eastAsia="Times New Roman" w:hAnsi="Calibri" w:cs="Calibri"/>
                <w:b/>
                <w:bCs/>
                <w:sz w:val="18"/>
                <w:szCs w:val="18"/>
                <w:lang w:eastAsia="cs-CZ"/>
              </w:rPr>
            </w:pPr>
          </w:p>
        </w:tc>
        <w:tc>
          <w:tcPr>
            <w:tcW w:w="436" w:type="pct"/>
            <w:vMerge/>
            <w:tcBorders>
              <w:top w:val="single" w:sz="4" w:space="0" w:color="auto"/>
              <w:left w:val="single" w:sz="4" w:space="0" w:color="auto"/>
              <w:bottom w:val="single" w:sz="4" w:space="0" w:color="auto"/>
              <w:right w:val="single" w:sz="4" w:space="0" w:color="auto"/>
            </w:tcBorders>
            <w:vAlign w:val="center"/>
            <w:hideMark/>
          </w:tcPr>
          <w:p w14:paraId="71BC88BD" w14:textId="77777777" w:rsidR="00216E8B" w:rsidRPr="00BF23C9" w:rsidRDefault="00216E8B" w:rsidP="000C49A5">
            <w:pPr>
              <w:keepNext/>
              <w:spacing w:before="0"/>
              <w:jc w:val="left"/>
              <w:rPr>
                <w:rFonts w:ascii="Calibri" w:eastAsia="Times New Roman" w:hAnsi="Calibri" w:cs="Calibri"/>
                <w:b/>
                <w:bCs/>
                <w:sz w:val="18"/>
                <w:szCs w:val="18"/>
                <w:lang w:eastAsia="cs-CZ"/>
              </w:rPr>
            </w:pPr>
          </w:p>
        </w:tc>
        <w:tc>
          <w:tcPr>
            <w:tcW w:w="1361" w:type="pct"/>
            <w:gridSpan w:val="2"/>
            <w:tcBorders>
              <w:top w:val="single" w:sz="4" w:space="0" w:color="auto"/>
              <w:left w:val="nil"/>
              <w:bottom w:val="single" w:sz="4" w:space="0" w:color="auto"/>
              <w:right w:val="single" w:sz="4" w:space="0" w:color="auto"/>
            </w:tcBorders>
            <w:shd w:val="clear" w:color="000000" w:fill="F2F2F2"/>
            <w:vAlign w:val="center"/>
            <w:hideMark/>
          </w:tcPr>
          <w:p w14:paraId="68D6B611"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počet napojených</w:t>
            </w:r>
          </w:p>
        </w:tc>
        <w:tc>
          <w:tcPr>
            <w:tcW w:w="617" w:type="pct"/>
            <w:vMerge w:val="restart"/>
            <w:tcBorders>
              <w:top w:val="nil"/>
              <w:left w:val="single" w:sz="4" w:space="0" w:color="auto"/>
              <w:bottom w:val="single" w:sz="4" w:space="0" w:color="auto"/>
              <w:right w:val="single" w:sz="4" w:space="0" w:color="auto"/>
            </w:tcBorders>
            <w:shd w:val="clear" w:color="000000" w:fill="F2F2F2"/>
            <w:vAlign w:val="center"/>
            <w:hideMark/>
          </w:tcPr>
          <w:p w14:paraId="10138A50"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nenapojeno</w:t>
            </w:r>
          </w:p>
        </w:tc>
        <w:tc>
          <w:tcPr>
            <w:tcW w:w="1146" w:type="pct"/>
            <w:gridSpan w:val="2"/>
            <w:tcBorders>
              <w:top w:val="single" w:sz="4" w:space="0" w:color="auto"/>
              <w:left w:val="nil"/>
              <w:bottom w:val="single" w:sz="4" w:space="0" w:color="auto"/>
              <w:right w:val="single" w:sz="4" w:space="0" w:color="auto"/>
            </w:tcBorders>
            <w:shd w:val="clear" w:color="000000" w:fill="F2F2F2"/>
            <w:vAlign w:val="center"/>
            <w:hideMark/>
          </w:tcPr>
          <w:p w14:paraId="58ADD443"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podíl napojených</w:t>
            </w:r>
          </w:p>
        </w:tc>
        <w:tc>
          <w:tcPr>
            <w:tcW w:w="572" w:type="pct"/>
            <w:vMerge w:val="restart"/>
            <w:tcBorders>
              <w:top w:val="nil"/>
              <w:left w:val="single" w:sz="4" w:space="0" w:color="auto"/>
              <w:bottom w:val="single" w:sz="4" w:space="0" w:color="auto"/>
              <w:right w:val="single" w:sz="4" w:space="0" w:color="auto"/>
            </w:tcBorders>
            <w:shd w:val="clear" w:color="000000" w:fill="F2F2F2"/>
            <w:vAlign w:val="center"/>
            <w:hideMark/>
          </w:tcPr>
          <w:p w14:paraId="1FB4E6D5"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nenapojeno</w:t>
            </w:r>
          </w:p>
        </w:tc>
      </w:tr>
      <w:tr w:rsidR="00216E8B" w:rsidRPr="00BF23C9" w14:paraId="5D035A42" w14:textId="77777777" w:rsidTr="000C49A5">
        <w:trPr>
          <w:trHeight w:val="227"/>
        </w:trPr>
        <w:tc>
          <w:tcPr>
            <w:tcW w:w="869" w:type="pct"/>
            <w:vMerge/>
            <w:tcBorders>
              <w:top w:val="single" w:sz="4" w:space="0" w:color="auto"/>
              <w:left w:val="single" w:sz="4" w:space="0" w:color="auto"/>
              <w:bottom w:val="single" w:sz="4" w:space="0" w:color="auto"/>
              <w:right w:val="single" w:sz="4" w:space="0" w:color="auto"/>
            </w:tcBorders>
            <w:vAlign w:val="center"/>
            <w:hideMark/>
          </w:tcPr>
          <w:p w14:paraId="29A75CF6" w14:textId="77777777" w:rsidR="00216E8B" w:rsidRPr="00BF23C9" w:rsidRDefault="00216E8B" w:rsidP="000C49A5">
            <w:pPr>
              <w:keepNext/>
              <w:spacing w:before="0"/>
              <w:jc w:val="left"/>
              <w:rPr>
                <w:rFonts w:ascii="Calibri" w:eastAsia="Times New Roman" w:hAnsi="Calibri" w:cs="Calibri"/>
                <w:b/>
                <w:bCs/>
                <w:sz w:val="18"/>
                <w:szCs w:val="18"/>
                <w:lang w:eastAsia="cs-CZ"/>
              </w:rPr>
            </w:pPr>
          </w:p>
        </w:tc>
        <w:tc>
          <w:tcPr>
            <w:tcW w:w="436" w:type="pct"/>
            <w:vMerge/>
            <w:tcBorders>
              <w:top w:val="single" w:sz="4" w:space="0" w:color="auto"/>
              <w:left w:val="single" w:sz="4" w:space="0" w:color="auto"/>
              <w:bottom w:val="single" w:sz="4" w:space="0" w:color="auto"/>
              <w:right w:val="single" w:sz="4" w:space="0" w:color="auto"/>
            </w:tcBorders>
            <w:vAlign w:val="center"/>
            <w:hideMark/>
          </w:tcPr>
          <w:p w14:paraId="14A610ED" w14:textId="77777777" w:rsidR="00216E8B" w:rsidRPr="00BF23C9" w:rsidRDefault="00216E8B" w:rsidP="000C49A5">
            <w:pPr>
              <w:keepNext/>
              <w:spacing w:before="0"/>
              <w:jc w:val="left"/>
              <w:rPr>
                <w:rFonts w:ascii="Calibri" w:eastAsia="Times New Roman" w:hAnsi="Calibri" w:cs="Calibri"/>
                <w:b/>
                <w:bCs/>
                <w:sz w:val="18"/>
                <w:szCs w:val="18"/>
                <w:lang w:eastAsia="cs-CZ"/>
              </w:rPr>
            </w:pPr>
          </w:p>
        </w:tc>
        <w:tc>
          <w:tcPr>
            <w:tcW w:w="648" w:type="pct"/>
            <w:tcBorders>
              <w:top w:val="nil"/>
              <w:left w:val="nil"/>
              <w:bottom w:val="single" w:sz="4" w:space="0" w:color="auto"/>
              <w:right w:val="single" w:sz="4" w:space="0" w:color="auto"/>
            </w:tcBorders>
            <w:shd w:val="clear" w:color="000000" w:fill="F2F2F2"/>
            <w:vAlign w:val="center"/>
            <w:hideMark/>
          </w:tcPr>
          <w:p w14:paraId="41E4197B"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na ČOV</w:t>
            </w:r>
          </w:p>
        </w:tc>
        <w:tc>
          <w:tcPr>
            <w:tcW w:w="713" w:type="pct"/>
            <w:tcBorders>
              <w:top w:val="nil"/>
              <w:left w:val="nil"/>
              <w:bottom w:val="single" w:sz="4" w:space="0" w:color="auto"/>
              <w:right w:val="single" w:sz="4" w:space="0" w:color="auto"/>
            </w:tcBorders>
            <w:shd w:val="clear" w:color="000000" w:fill="F2F2F2"/>
            <w:vAlign w:val="center"/>
            <w:hideMark/>
          </w:tcPr>
          <w:p w14:paraId="66B2652A"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do vodoteče</w:t>
            </w:r>
          </w:p>
        </w:tc>
        <w:tc>
          <w:tcPr>
            <w:tcW w:w="617" w:type="pct"/>
            <w:vMerge/>
            <w:tcBorders>
              <w:top w:val="nil"/>
              <w:left w:val="single" w:sz="4" w:space="0" w:color="auto"/>
              <w:bottom w:val="single" w:sz="4" w:space="0" w:color="auto"/>
              <w:right w:val="single" w:sz="4" w:space="0" w:color="auto"/>
            </w:tcBorders>
            <w:vAlign w:val="center"/>
            <w:hideMark/>
          </w:tcPr>
          <w:p w14:paraId="64DFE229" w14:textId="77777777" w:rsidR="00216E8B" w:rsidRPr="00BF23C9" w:rsidRDefault="00216E8B" w:rsidP="000C49A5">
            <w:pPr>
              <w:keepNext/>
              <w:spacing w:before="0"/>
              <w:jc w:val="left"/>
              <w:rPr>
                <w:rFonts w:ascii="Calibri" w:eastAsia="Times New Roman" w:hAnsi="Calibri" w:cs="Calibri"/>
                <w:b/>
                <w:bCs/>
                <w:sz w:val="18"/>
                <w:szCs w:val="18"/>
                <w:lang w:eastAsia="cs-CZ"/>
              </w:rPr>
            </w:pPr>
          </w:p>
        </w:tc>
        <w:tc>
          <w:tcPr>
            <w:tcW w:w="547" w:type="pct"/>
            <w:tcBorders>
              <w:top w:val="nil"/>
              <w:left w:val="nil"/>
              <w:bottom w:val="single" w:sz="4" w:space="0" w:color="auto"/>
              <w:right w:val="single" w:sz="4" w:space="0" w:color="auto"/>
            </w:tcBorders>
            <w:shd w:val="clear" w:color="000000" w:fill="F2F2F2"/>
            <w:vAlign w:val="center"/>
            <w:hideMark/>
          </w:tcPr>
          <w:p w14:paraId="7BF419EE"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na ČOV</w:t>
            </w:r>
          </w:p>
        </w:tc>
        <w:tc>
          <w:tcPr>
            <w:tcW w:w="599" w:type="pct"/>
            <w:tcBorders>
              <w:top w:val="nil"/>
              <w:left w:val="nil"/>
              <w:bottom w:val="single" w:sz="4" w:space="0" w:color="auto"/>
              <w:right w:val="single" w:sz="4" w:space="0" w:color="auto"/>
            </w:tcBorders>
            <w:shd w:val="clear" w:color="000000" w:fill="F2F2F2"/>
            <w:vAlign w:val="center"/>
            <w:hideMark/>
          </w:tcPr>
          <w:p w14:paraId="5E93B3E6" w14:textId="77777777" w:rsidR="00216E8B" w:rsidRPr="00BF23C9" w:rsidRDefault="00216E8B" w:rsidP="000C49A5">
            <w:pPr>
              <w:keepNext/>
              <w:spacing w:before="0"/>
              <w:jc w:val="center"/>
              <w:rPr>
                <w:rFonts w:ascii="Calibri" w:eastAsia="Times New Roman" w:hAnsi="Calibri" w:cs="Calibri"/>
                <w:b/>
                <w:bCs/>
                <w:sz w:val="18"/>
                <w:szCs w:val="18"/>
                <w:lang w:eastAsia="cs-CZ"/>
              </w:rPr>
            </w:pPr>
            <w:r w:rsidRPr="00BF23C9">
              <w:rPr>
                <w:rFonts w:ascii="Calibri" w:eastAsia="Times New Roman" w:hAnsi="Calibri" w:cs="Calibri"/>
                <w:b/>
                <w:bCs/>
                <w:sz w:val="18"/>
                <w:szCs w:val="18"/>
                <w:lang w:eastAsia="cs-CZ"/>
              </w:rPr>
              <w:t>do vodoteče</w:t>
            </w:r>
          </w:p>
        </w:tc>
        <w:tc>
          <w:tcPr>
            <w:tcW w:w="572" w:type="pct"/>
            <w:vMerge/>
            <w:tcBorders>
              <w:top w:val="nil"/>
              <w:left w:val="single" w:sz="4" w:space="0" w:color="auto"/>
              <w:bottom w:val="single" w:sz="4" w:space="0" w:color="auto"/>
              <w:right w:val="single" w:sz="4" w:space="0" w:color="auto"/>
            </w:tcBorders>
            <w:vAlign w:val="center"/>
            <w:hideMark/>
          </w:tcPr>
          <w:p w14:paraId="636962E2" w14:textId="77777777" w:rsidR="00216E8B" w:rsidRPr="00BF23C9" w:rsidRDefault="00216E8B" w:rsidP="000C49A5">
            <w:pPr>
              <w:keepNext/>
              <w:spacing w:before="0"/>
              <w:jc w:val="left"/>
              <w:rPr>
                <w:rFonts w:ascii="Calibri" w:eastAsia="Times New Roman" w:hAnsi="Calibri" w:cs="Calibri"/>
                <w:b/>
                <w:bCs/>
                <w:sz w:val="18"/>
                <w:szCs w:val="18"/>
                <w:lang w:eastAsia="cs-CZ"/>
              </w:rPr>
            </w:pPr>
          </w:p>
        </w:tc>
      </w:tr>
      <w:tr w:rsidR="00216E8B" w:rsidRPr="00BF23C9" w14:paraId="7DB78946"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64AA6DDE"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Zlín</w:t>
            </w:r>
          </w:p>
        </w:tc>
        <w:tc>
          <w:tcPr>
            <w:tcW w:w="436" w:type="pct"/>
            <w:tcBorders>
              <w:top w:val="nil"/>
              <w:left w:val="nil"/>
              <w:bottom w:val="single" w:sz="4" w:space="0" w:color="auto"/>
              <w:right w:val="single" w:sz="4" w:space="0" w:color="auto"/>
            </w:tcBorders>
            <w:shd w:val="clear" w:color="auto" w:fill="auto"/>
            <w:noWrap/>
            <w:vAlign w:val="center"/>
            <w:hideMark/>
          </w:tcPr>
          <w:p w14:paraId="7945B9F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52 990</w:t>
            </w:r>
          </w:p>
        </w:tc>
        <w:tc>
          <w:tcPr>
            <w:tcW w:w="648" w:type="pct"/>
            <w:tcBorders>
              <w:top w:val="nil"/>
              <w:left w:val="nil"/>
              <w:bottom w:val="single" w:sz="4" w:space="0" w:color="auto"/>
              <w:right w:val="single" w:sz="4" w:space="0" w:color="auto"/>
            </w:tcBorders>
            <w:shd w:val="clear" w:color="auto" w:fill="auto"/>
            <w:noWrap/>
            <w:vAlign w:val="center"/>
            <w:hideMark/>
          </w:tcPr>
          <w:p w14:paraId="02FBE3D1"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52 975</w:t>
            </w:r>
          </w:p>
        </w:tc>
        <w:tc>
          <w:tcPr>
            <w:tcW w:w="713" w:type="pct"/>
            <w:tcBorders>
              <w:top w:val="nil"/>
              <w:left w:val="nil"/>
              <w:bottom w:val="single" w:sz="4" w:space="0" w:color="auto"/>
              <w:right w:val="single" w:sz="4" w:space="0" w:color="auto"/>
            </w:tcBorders>
            <w:shd w:val="clear" w:color="auto" w:fill="auto"/>
            <w:noWrap/>
            <w:vAlign w:val="center"/>
            <w:hideMark/>
          </w:tcPr>
          <w:p w14:paraId="145F8D7D"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DDDF"/>
            <w:noWrap/>
            <w:vAlign w:val="center"/>
            <w:hideMark/>
          </w:tcPr>
          <w:p w14:paraId="30C3AF9B"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15</w:t>
            </w:r>
          </w:p>
        </w:tc>
        <w:tc>
          <w:tcPr>
            <w:tcW w:w="547" w:type="pct"/>
            <w:tcBorders>
              <w:top w:val="single" w:sz="4" w:space="0" w:color="auto"/>
              <w:left w:val="single" w:sz="4" w:space="0" w:color="auto"/>
              <w:bottom w:val="single" w:sz="4" w:space="0" w:color="auto"/>
              <w:right w:val="single" w:sz="4" w:space="0" w:color="auto"/>
            </w:tcBorders>
            <w:shd w:val="clear" w:color="000000" w:fill="64BF7C"/>
            <w:noWrap/>
            <w:vAlign w:val="bottom"/>
            <w:hideMark/>
          </w:tcPr>
          <w:p w14:paraId="5E34AAD1"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99,97%</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58A082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3B671C5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0,03%</w:t>
            </w:r>
          </w:p>
        </w:tc>
      </w:tr>
      <w:tr w:rsidR="00216E8B" w:rsidRPr="00BF23C9" w14:paraId="1369B640"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051A47CE"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Malenovice</w:t>
            </w:r>
          </w:p>
        </w:tc>
        <w:tc>
          <w:tcPr>
            <w:tcW w:w="436" w:type="pct"/>
            <w:tcBorders>
              <w:top w:val="nil"/>
              <w:left w:val="nil"/>
              <w:bottom w:val="single" w:sz="4" w:space="0" w:color="auto"/>
              <w:right w:val="single" w:sz="4" w:space="0" w:color="auto"/>
            </w:tcBorders>
            <w:shd w:val="clear" w:color="auto" w:fill="auto"/>
            <w:noWrap/>
            <w:vAlign w:val="center"/>
            <w:hideMark/>
          </w:tcPr>
          <w:p w14:paraId="5C416999"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7 260</w:t>
            </w:r>
          </w:p>
        </w:tc>
        <w:tc>
          <w:tcPr>
            <w:tcW w:w="648" w:type="pct"/>
            <w:tcBorders>
              <w:top w:val="nil"/>
              <w:left w:val="nil"/>
              <w:bottom w:val="single" w:sz="4" w:space="0" w:color="auto"/>
              <w:right w:val="single" w:sz="4" w:space="0" w:color="auto"/>
            </w:tcBorders>
            <w:shd w:val="clear" w:color="auto" w:fill="auto"/>
            <w:noWrap/>
            <w:vAlign w:val="center"/>
            <w:hideMark/>
          </w:tcPr>
          <w:p w14:paraId="547D028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7 260</w:t>
            </w:r>
          </w:p>
        </w:tc>
        <w:tc>
          <w:tcPr>
            <w:tcW w:w="713" w:type="pct"/>
            <w:tcBorders>
              <w:top w:val="nil"/>
              <w:left w:val="nil"/>
              <w:bottom w:val="single" w:sz="4" w:space="0" w:color="auto"/>
              <w:right w:val="single" w:sz="4" w:space="0" w:color="auto"/>
            </w:tcBorders>
            <w:shd w:val="clear" w:color="auto" w:fill="auto"/>
            <w:noWrap/>
            <w:vAlign w:val="center"/>
            <w:hideMark/>
          </w:tcPr>
          <w:p w14:paraId="5AD6B6C1"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7A2DEF6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5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4F46A58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100,00%</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448F4CC"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5DE41E42"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r>
      <w:tr w:rsidR="00216E8B" w:rsidRPr="00BF23C9" w14:paraId="46E8E6AD"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59817AC8"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Prštné</w:t>
            </w:r>
          </w:p>
        </w:tc>
        <w:tc>
          <w:tcPr>
            <w:tcW w:w="436" w:type="pct"/>
            <w:tcBorders>
              <w:top w:val="nil"/>
              <w:left w:val="nil"/>
              <w:bottom w:val="single" w:sz="4" w:space="0" w:color="auto"/>
              <w:right w:val="single" w:sz="4" w:space="0" w:color="auto"/>
            </w:tcBorders>
            <w:shd w:val="clear" w:color="auto" w:fill="auto"/>
            <w:noWrap/>
            <w:vAlign w:val="center"/>
            <w:hideMark/>
          </w:tcPr>
          <w:p w14:paraId="57503A13"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3 331</w:t>
            </w:r>
          </w:p>
        </w:tc>
        <w:tc>
          <w:tcPr>
            <w:tcW w:w="648" w:type="pct"/>
            <w:tcBorders>
              <w:top w:val="nil"/>
              <w:left w:val="nil"/>
              <w:bottom w:val="single" w:sz="4" w:space="0" w:color="auto"/>
              <w:right w:val="single" w:sz="4" w:space="0" w:color="auto"/>
            </w:tcBorders>
            <w:shd w:val="clear" w:color="auto" w:fill="auto"/>
            <w:noWrap/>
            <w:vAlign w:val="center"/>
            <w:hideMark/>
          </w:tcPr>
          <w:p w14:paraId="3BD0C890"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3 331</w:t>
            </w:r>
          </w:p>
        </w:tc>
        <w:tc>
          <w:tcPr>
            <w:tcW w:w="713" w:type="pct"/>
            <w:tcBorders>
              <w:top w:val="nil"/>
              <w:left w:val="nil"/>
              <w:bottom w:val="single" w:sz="4" w:space="0" w:color="auto"/>
              <w:right w:val="single" w:sz="4" w:space="0" w:color="auto"/>
            </w:tcBorders>
            <w:shd w:val="clear" w:color="auto" w:fill="auto"/>
            <w:noWrap/>
            <w:vAlign w:val="center"/>
            <w:hideMark/>
          </w:tcPr>
          <w:p w14:paraId="53AB1819"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65C8647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5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3C37DA7"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100,00%</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0DB847A3"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1A0F521"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r>
      <w:tr w:rsidR="00216E8B" w:rsidRPr="00BF23C9" w14:paraId="77BE67B9"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6FE66611"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Mladcová</w:t>
            </w:r>
          </w:p>
        </w:tc>
        <w:tc>
          <w:tcPr>
            <w:tcW w:w="436" w:type="pct"/>
            <w:tcBorders>
              <w:top w:val="nil"/>
              <w:left w:val="nil"/>
              <w:bottom w:val="single" w:sz="4" w:space="0" w:color="auto"/>
              <w:right w:val="single" w:sz="4" w:space="0" w:color="auto"/>
            </w:tcBorders>
            <w:shd w:val="clear" w:color="auto" w:fill="auto"/>
            <w:noWrap/>
            <w:vAlign w:val="center"/>
            <w:hideMark/>
          </w:tcPr>
          <w:p w14:paraId="74E6979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2 082</w:t>
            </w:r>
          </w:p>
        </w:tc>
        <w:tc>
          <w:tcPr>
            <w:tcW w:w="648" w:type="pct"/>
            <w:tcBorders>
              <w:top w:val="nil"/>
              <w:left w:val="nil"/>
              <w:bottom w:val="single" w:sz="4" w:space="0" w:color="auto"/>
              <w:right w:val="single" w:sz="4" w:space="0" w:color="auto"/>
            </w:tcBorders>
            <w:shd w:val="clear" w:color="auto" w:fill="auto"/>
            <w:noWrap/>
            <w:vAlign w:val="center"/>
            <w:hideMark/>
          </w:tcPr>
          <w:p w14:paraId="4D52F1D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2 081</w:t>
            </w:r>
          </w:p>
        </w:tc>
        <w:tc>
          <w:tcPr>
            <w:tcW w:w="713" w:type="pct"/>
            <w:tcBorders>
              <w:top w:val="nil"/>
              <w:left w:val="nil"/>
              <w:bottom w:val="single" w:sz="4" w:space="0" w:color="auto"/>
              <w:right w:val="single" w:sz="4" w:space="0" w:color="auto"/>
            </w:tcBorders>
            <w:shd w:val="clear" w:color="auto" w:fill="auto"/>
            <w:noWrap/>
            <w:vAlign w:val="center"/>
            <w:hideMark/>
          </w:tcPr>
          <w:p w14:paraId="0214D1E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AFD"/>
            <w:noWrap/>
            <w:vAlign w:val="center"/>
            <w:hideMark/>
          </w:tcPr>
          <w:p w14:paraId="73C523A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w:t>
            </w:r>
          </w:p>
        </w:tc>
        <w:tc>
          <w:tcPr>
            <w:tcW w:w="547" w:type="pct"/>
            <w:tcBorders>
              <w:top w:val="single" w:sz="4" w:space="0" w:color="auto"/>
              <w:left w:val="single" w:sz="4" w:space="0" w:color="auto"/>
              <w:bottom w:val="single" w:sz="4" w:space="0" w:color="auto"/>
              <w:right w:val="single" w:sz="4" w:space="0" w:color="auto"/>
            </w:tcBorders>
            <w:shd w:val="clear" w:color="000000" w:fill="64BF7C"/>
            <w:noWrap/>
            <w:vAlign w:val="bottom"/>
            <w:hideMark/>
          </w:tcPr>
          <w:p w14:paraId="6CF5488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99,95%</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8EC8737"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50BFB8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0,05%</w:t>
            </w:r>
          </w:p>
        </w:tc>
      </w:tr>
      <w:tr w:rsidR="00216E8B" w:rsidRPr="00BF23C9" w14:paraId="12E90715"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5E9E2F0C"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Štípa</w:t>
            </w:r>
          </w:p>
        </w:tc>
        <w:tc>
          <w:tcPr>
            <w:tcW w:w="436" w:type="pct"/>
            <w:tcBorders>
              <w:top w:val="nil"/>
              <w:left w:val="nil"/>
              <w:bottom w:val="single" w:sz="4" w:space="0" w:color="auto"/>
              <w:right w:val="single" w:sz="4" w:space="0" w:color="auto"/>
            </w:tcBorders>
            <w:shd w:val="clear" w:color="auto" w:fill="auto"/>
            <w:noWrap/>
            <w:vAlign w:val="center"/>
            <w:hideMark/>
          </w:tcPr>
          <w:p w14:paraId="757FCF8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1 601</w:t>
            </w:r>
          </w:p>
        </w:tc>
        <w:tc>
          <w:tcPr>
            <w:tcW w:w="648" w:type="pct"/>
            <w:tcBorders>
              <w:top w:val="nil"/>
              <w:left w:val="nil"/>
              <w:bottom w:val="single" w:sz="4" w:space="0" w:color="auto"/>
              <w:right w:val="single" w:sz="4" w:space="0" w:color="auto"/>
            </w:tcBorders>
            <w:shd w:val="clear" w:color="auto" w:fill="auto"/>
            <w:noWrap/>
            <w:vAlign w:val="center"/>
            <w:hideMark/>
          </w:tcPr>
          <w:p w14:paraId="434944A9"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1 601</w:t>
            </w:r>
          </w:p>
        </w:tc>
        <w:tc>
          <w:tcPr>
            <w:tcW w:w="713" w:type="pct"/>
            <w:tcBorders>
              <w:top w:val="nil"/>
              <w:left w:val="nil"/>
              <w:bottom w:val="single" w:sz="4" w:space="0" w:color="auto"/>
              <w:right w:val="single" w:sz="4" w:space="0" w:color="auto"/>
            </w:tcBorders>
            <w:shd w:val="clear" w:color="auto" w:fill="auto"/>
            <w:noWrap/>
            <w:vAlign w:val="center"/>
            <w:hideMark/>
          </w:tcPr>
          <w:p w14:paraId="6CDBE05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4A3A0E0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5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038BA72"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100,00%</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0B557F1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9F91009"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r>
      <w:tr w:rsidR="00216E8B" w:rsidRPr="00BF23C9" w14:paraId="6372CE8B"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10C173FE"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Kostelec</w:t>
            </w:r>
          </w:p>
        </w:tc>
        <w:tc>
          <w:tcPr>
            <w:tcW w:w="436" w:type="pct"/>
            <w:tcBorders>
              <w:top w:val="nil"/>
              <w:left w:val="nil"/>
              <w:bottom w:val="single" w:sz="4" w:space="0" w:color="auto"/>
              <w:right w:val="single" w:sz="4" w:space="0" w:color="auto"/>
            </w:tcBorders>
            <w:shd w:val="clear" w:color="auto" w:fill="auto"/>
            <w:noWrap/>
            <w:vAlign w:val="center"/>
            <w:hideMark/>
          </w:tcPr>
          <w:p w14:paraId="688B9610"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1 488</w:t>
            </w:r>
          </w:p>
        </w:tc>
        <w:tc>
          <w:tcPr>
            <w:tcW w:w="648" w:type="pct"/>
            <w:tcBorders>
              <w:top w:val="nil"/>
              <w:left w:val="nil"/>
              <w:bottom w:val="single" w:sz="4" w:space="0" w:color="auto"/>
              <w:right w:val="single" w:sz="4" w:space="0" w:color="auto"/>
            </w:tcBorders>
            <w:shd w:val="clear" w:color="auto" w:fill="auto"/>
            <w:noWrap/>
            <w:vAlign w:val="center"/>
            <w:hideMark/>
          </w:tcPr>
          <w:p w14:paraId="4E08C5E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1 487</w:t>
            </w:r>
          </w:p>
        </w:tc>
        <w:tc>
          <w:tcPr>
            <w:tcW w:w="713" w:type="pct"/>
            <w:tcBorders>
              <w:top w:val="nil"/>
              <w:left w:val="nil"/>
              <w:bottom w:val="single" w:sz="4" w:space="0" w:color="auto"/>
              <w:right w:val="single" w:sz="4" w:space="0" w:color="auto"/>
            </w:tcBorders>
            <w:shd w:val="clear" w:color="auto" w:fill="auto"/>
            <w:noWrap/>
            <w:vAlign w:val="center"/>
            <w:hideMark/>
          </w:tcPr>
          <w:p w14:paraId="419CB31D"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AFD"/>
            <w:noWrap/>
            <w:vAlign w:val="center"/>
            <w:hideMark/>
          </w:tcPr>
          <w:p w14:paraId="33903FF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w:t>
            </w:r>
          </w:p>
        </w:tc>
        <w:tc>
          <w:tcPr>
            <w:tcW w:w="547" w:type="pct"/>
            <w:tcBorders>
              <w:top w:val="single" w:sz="4" w:space="0" w:color="auto"/>
              <w:left w:val="single" w:sz="4" w:space="0" w:color="auto"/>
              <w:bottom w:val="single" w:sz="4" w:space="0" w:color="auto"/>
              <w:right w:val="single" w:sz="4" w:space="0" w:color="auto"/>
            </w:tcBorders>
            <w:shd w:val="clear" w:color="000000" w:fill="64BF7C"/>
            <w:noWrap/>
            <w:vAlign w:val="bottom"/>
            <w:hideMark/>
          </w:tcPr>
          <w:p w14:paraId="3FF2DE2B"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99,93%</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341DFA0"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12CEC51"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0,07%</w:t>
            </w:r>
          </w:p>
        </w:tc>
      </w:tr>
      <w:tr w:rsidR="00216E8B" w:rsidRPr="00BF23C9" w14:paraId="7CD49B94"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466A92B9"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Kudlov</w:t>
            </w:r>
          </w:p>
        </w:tc>
        <w:tc>
          <w:tcPr>
            <w:tcW w:w="436" w:type="pct"/>
            <w:tcBorders>
              <w:top w:val="nil"/>
              <w:left w:val="nil"/>
              <w:bottom w:val="single" w:sz="4" w:space="0" w:color="auto"/>
              <w:right w:val="single" w:sz="4" w:space="0" w:color="auto"/>
            </w:tcBorders>
            <w:shd w:val="clear" w:color="auto" w:fill="auto"/>
            <w:noWrap/>
            <w:vAlign w:val="center"/>
            <w:hideMark/>
          </w:tcPr>
          <w:p w14:paraId="018B901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1 404</w:t>
            </w:r>
          </w:p>
        </w:tc>
        <w:tc>
          <w:tcPr>
            <w:tcW w:w="648" w:type="pct"/>
            <w:tcBorders>
              <w:top w:val="nil"/>
              <w:left w:val="nil"/>
              <w:bottom w:val="single" w:sz="4" w:space="0" w:color="auto"/>
              <w:right w:val="single" w:sz="4" w:space="0" w:color="auto"/>
            </w:tcBorders>
            <w:shd w:val="clear" w:color="auto" w:fill="auto"/>
            <w:noWrap/>
            <w:vAlign w:val="center"/>
            <w:hideMark/>
          </w:tcPr>
          <w:p w14:paraId="62235D67"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1 281</w:t>
            </w:r>
          </w:p>
        </w:tc>
        <w:tc>
          <w:tcPr>
            <w:tcW w:w="713" w:type="pct"/>
            <w:tcBorders>
              <w:top w:val="nil"/>
              <w:left w:val="nil"/>
              <w:bottom w:val="single" w:sz="4" w:space="0" w:color="auto"/>
              <w:right w:val="single" w:sz="4" w:space="0" w:color="auto"/>
            </w:tcBorders>
            <w:shd w:val="clear" w:color="auto" w:fill="auto"/>
            <w:noWrap/>
            <w:vAlign w:val="center"/>
            <w:hideMark/>
          </w:tcPr>
          <w:p w14:paraId="01C32837"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123</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36EA8539"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547" w:type="pct"/>
            <w:tcBorders>
              <w:top w:val="single" w:sz="4" w:space="0" w:color="auto"/>
              <w:left w:val="single" w:sz="4" w:space="0" w:color="auto"/>
              <w:bottom w:val="single" w:sz="4" w:space="0" w:color="auto"/>
              <w:right w:val="single" w:sz="4" w:space="0" w:color="auto"/>
            </w:tcBorders>
            <w:shd w:val="clear" w:color="000000" w:fill="71C487"/>
            <w:noWrap/>
            <w:vAlign w:val="bottom"/>
            <w:hideMark/>
          </w:tcPr>
          <w:p w14:paraId="5E059AD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91,24%</w:t>
            </w:r>
          </w:p>
        </w:tc>
        <w:tc>
          <w:tcPr>
            <w:tcW w:w="599" w:type="pct"/>
            <w:tcBorders>
              <w:top w:val="single" w:sz="4" w:space="0" w:color="auto"/>
              <w:left w:val="single" w:sz="4" w:space="0" w:color="auto"/>
              <w:bottom w:val="single" w:sz="4" w:space="0" w:color="auto"/>
              <w:right w:val="single" w:sz="4" w:space="0" w:color="auto"/>
            </w:tcBorders>
            <w:shd w:val="clear" w:color="000000" w:fill="EFF7F4"/>
            <w:noWrap/>
            <w:vAlign w:val="bottom"/>
            <w:hideMark/>
          </w:tcPr>
          <w:p w14:paraId="1813529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8,76%</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3853AB0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r>
      <w:tr w:rsidR="00216E8B" w:rsidRPr="00BF23C9" w14:paraId="01D5B019"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036188E3"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Příluky</w:t>
            </w:r>
          </w:p>
        </w:tc>
        <w:tc>
          <w:tcPr>
            <w:tcW w:w="436" w:type="pct"/>
            <w:tcBorders>
              <w:top w:val="nil"/>
              <w:left w:val="nil"/>
              <w:bottom w:val="single" w:sz="4" w:space="0" w:color="auto"/>
              <w:right w:val="single" w:sz="4" w:space="0" w:color="auto"/>
            </w:tcBorders>
            <w:shd w:val="clear" w:color="auto" w:fill="auto"/>
            <w:noWrap/>
            <w:vAlign w:val="center"/>
            <w:hideMark/>
          </w:tcPr>
          <w:p w14:paraId="4FCD135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1 312</w:t>
            </w:r>
          </w:p>
        </w:tc>
        <w:tc>
          <w:tcPr>
            <w:tcW w:w="648" w:type="pct"/>
            <w:tcBorders>
              <w:top w:val="nil"/>
              <w:left w:val="nil"/>
              <w:bottom w:val="single" w:sz="4" w:space="0" w:color="auto"/>
              <w:right w:val="single" w:sz="4" w:space="0" w:color="auto"/>
            </w:tcBorders>
            <w:shd w:val="clear" w:color="auto" w:fill="auto"/>
            <w:noWrap/>
            <w:vAlign w:val="center"/>
            <w:hideMark/>
          </w:tcPr>
          <w:p w14:paraId="096C47F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1 312</w:t>
            </w:r>
          </w:p>
        </w:tc>
        <w:tc>
          <w:tcPr>
            <w:tcW w:w="713" w:type="pct"/>
            <w:tcBorders>
              <w:top w:val="nil"/>
              <w:left w:val="nil"/>
              <w:bottom w:val="single" w:sz="4" w:space="0" w:color="auto"/>
              <w:right w:val="single" w:sz="4" w:space="0" w:color="auto"/>
            </w:tcBorders>
            <w:shd w:val="clear" w:color="auto" w:fill="auto"/>
            <w:noWrap/>
            <w:vAlign w:val="center"/>
            <w:hideMark/>
          </w:tcPr>
          <w:p w14:paraId="1A11107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1BB1813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5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3B80377"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100,00%</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5699AD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F65DCD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r>
      <w:tr w:rsidR="00216E8B" w:rsidRPr="00BF23C9" w14:paraId="6F303154"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7DD164F4"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Louky</w:t>
            </w:r>
          </w:p>
        </w:tc>
        <w:tc>
          <w:tcPr>
            <w:tcW w:w="436" w:type="pct"/>
            <w:tcBorders>
              <w:top w:val="nil"/>
              <w:left w:val="nil"/>
              <w:bottom w:val="single" w:sz="4" w:space="0" w:color="auto"/>
              <w:right w:val="single" w:sz="4" w:space="0" w:color="auto"/>
            </w:tcBorders>
            <w:shd w:val="clear" w:color="auto" w:fill="auto"/>
            <w:noWrap/>
            <w:vAlign w:val="center"/>
            <w:hideMark/>
          </w:tcPr>
          <w:p w14:paraId="651AD57C"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993</w:t>
            </w:r>
          </w:p>
        </w:tc>
        <w:tc>
          <w:tcPr>
            <w:tcW w:w="648" w:type="pct"/>
            <w:tcBorders>
              <w:top w:val="nil"/>
              <w:left w:val="nil"/>
              <w:bottom w:val="single" w:sz="4" w:space="0" w:color="auto"/>
              <w:right w:val="single" w:sz="4" w:space="0" w:color="auto"/>
            </w:tcBorders>
            <w:shd w:val="clear" w:color="auto" w:fill="auto"/>
            <w:noWrap/>
            <w:vAlign w:val="center"/>
            <w:hideMark/>
          </w:tcPr>
          <w:p w14:paraId="517CD5BB"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992</w:t>
            </w:r>
          </w:p>
        </w:tc>
        <w:tc>
          <w:tcPr>
            <w:tcW w:w="713" w:type="pct"/>
            <w:tcBorders>
              <w:top w:val="nil"/>
              <w:left w:val="nil"/>
              <w:bottom w:val="single" w:sz="4" w:space="0" w:color="auto"/>
              <w:right w:val="single" w:sz="4" w:space="0" w:color="auto"/>
            </w:tcBorders>
            <w:shd w:val="clear" w:color="auto" w:fill="auto"/>
            <w:noWrap/>
            <w:vAlign w:val="center"/>
            <w:hideMark/>
          </w:tcPr>
          <w:p w14:paraId="3D203F0D"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AFD"/>
            <w:noWrap/>
            <w:vAlign w:val="center"/>
            <w:hideMark/>
          </w:tcPr>
          <w:p w14:paraId="191FA09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w:t>
            </w:r>
          </w:p>
        </w:tc>
        <w:tc>
          <w:tcPr>
            <w:tcW w:w="547" w:type="pct"/>
            <w:tcBorders>
              <w:top w:val="single" w:sz="4" w:space="0" w:color="auto"/>
              <w:left w:val="single" w:sz="4" w:space="0" w:color="auto"/>
              <w:bottom w:val="single" w:sz="4" w:space="0" w:color="auto"/>
              <w:right w:val="single" w:sz="4" w:space="0" w:color="auto"/>
            </w:tcBorders>
            <w:shd w:val="clear" w:color="000000" w:fill="64BF7C"/>
            <w:noWrap/>
            <w:vAlign w:val="bottom"/>
            <w:hideMark/>
          </w:tcPr>
          <w:p w14:paraId="6D6012D9"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99,90%</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9BFFAC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50580E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0,10%</w:t>
            </w:r>
          </w:p>
        </w:tc>
      </w:tr>
      <w:tr w:rsidR="00216E8B" w:rsidRPr="00BF23C9" w14:paraId="09E0B44A"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26E161EC"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Jaroslavice</w:t>
            </w:r>
          </w:p>
        </w:tc>
        <w:tc>
          <w:tcPr>
            <w:tcW w:w="436" w:type="pct"/>
            <w:tcBorders>
              <w:top w:val="nil"/>
              <w:left w:val="nil"/>
              <w:bottom w:val="single" w:sz="4" w:space="0" w:color="auto"/>
              <w:right w:val="single" w:sz="4" w:space="0" w:color="auto"/>
            </w:tcBorders>
            <w:shd w:val="clear" w:color="auto" w:fill="auto"/>
            <w:noWrap/>
            <w:vAlign w:val="center"/>
            <w:hideMark/>
          </w:tcPr>
          <w:p w14:paraId="2F765EB2"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679</w:t>
            </w:r>
          </w:p>
        </w:tc>
        <w:tc>
          <w:tcPr>
            <w:tcW w:w="648" w:type="pct"/>
            <w:tcBorders>
              <w:top w:val="nil"/>
              <w:left w:val="nil"/>
              <w:bottom w:val="single" w:sz="4" w:space="0" w:color="auto"/>
              <w:right w:val="single" w:sz="4" w:space="0" w:color="auto"/>
            </w:tcBorders>
            <w:shd w:val="clear" w:color="auto" w:fill="auto"/>
            <w:noWrap/>
            <w:vAlign w:val="center"/>
            <w:hideMark/>
          </w:tcPr>
          <w:p w14:paraId="6B1BA2D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679</w:t>
            </w:r>
          </w:p>
        </w:tc>
        <w:tc>
          <w:tcPr>
            <w:tcW w:w="713" w:type="pct"/>
            <w:tcBorders>
              <w:top w:val="nil"/>
              <w:left w:val="nil"/>
              <w:bottom w:val="single" w:sz="4" w:space="0" w:color="auto"/>
              <w:right w:val="single" w:sz="4" w:space="0" w:color="auto"/>
            </w:tcBorders>
            <w:shd w:val="clear" w:color="auto" w:fill="auto"/>
            <w:noWrap/>
            <w:vAlign w:val="center"/>
            <w:hideMark/>
          </w:tcPr>
          <w:p w14:paraId="1E42D33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04ADDF5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5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D5DD7D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100,00%</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342DEE4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11BFDB3"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r>
      <w:tr w:rsidR="00216E8B" w:rsidRPr="00BF23C9" w14:paraId="7C796AA9"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0C7142D1"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Lužkovice</w:t>
            </w:r>
          </w:p>
        </w:tc>
        <w:tc>
          <w:tcPr>
            <w:tcW w:w="436" w:type="pct"/>
            <w:tcBorders>
              <w:top w:val="nil"/>
              <w:left w:val="nil"/>
              <w:bottom w:val="single" w:sz="4" w:space="0" w:color="auto"/>
              <w:right w:val="single" w:sz="4" w:space="0" w:color="auto"/>
            </w:tcBorders>
            <w:shd w:val="clear" w:color="auto" w:fill="auto"/>
            <w:noWrap/>
            <w:vAlign w:val="center"/>
            <w:hideMark/>
          </w:tcPr>
          <w:p w14:paraId="701D0DC9"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583</w:t>
            </w:r>
          </w:p>
        </w:tc>
        <w:tc>
          <w:tcPr>
            <w:tcW w:w="648" w:type="pct"/>
            <w:tcBorders>
              <w:top w:val="nil"/>
              <w:left w:val="nil"/>
              <w:bottom w:val="single" w:sz="4" w:space="0" w:color="auto"/>
              <w:right w:val="single" w:sz="4" w:space="0" w:color="auto"/>
            </w:tcBorders>
            <w:shd w:val="clear" w:color="auto" w:fill="auto"/>
            <w:noWrap/>
            <w:vAlign w:val="center"/>
            <w:hideMark/>
          </w:tcPr>
          <w:p w14:paraId="25A6CB43"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532</w:t>
            </w:r>
          </w:p>
        </w:tc>
        <w:tc>
          <w:tcPr>
            <w:tcW w:w="713" w:type="pct"/>
            <w:tcBorders>
              <w:top w:val="nil"/>
              <w:left w:val="nil"/>
              <w:bottom w:val="single" w:sz="4" w:space="0" w:color="auto"/>
              <w:right w:val="single" w:sz="4" w:space="0" w:color="auto"/>
            </w:tcBorders>
            <w:shd w:val="clear" w:color="auto" w:fill="auto"/>
            <w:noWrap/>
            <w:vAlign w:val="center"/>
            <w:hideMark/>
          </w:tcPr>
          <w:p w14:paraId="0AD08AE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A9092"/>
            <w:noWrap/>
            <w:vAlign w:val="center"/>
            <w:hideMark/>
          </w:tcPr>
          <w:p w14:paraId="7D6D974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51</w:t>
            </w:r>
          </w:p>
        </w:tc>
        <w:tc>
          <w:tcPr>
            <w:tcW w:w="547" w:type="pct"/>
            <w:tcBorders>
              <w:top w:val="single" w:sz="4" w:space="0" w:color="auto"/>
              <w:left w:val="single" w:sz="4" w:space="0" w:color="auto"/>
              <w:bottom w:val="single" w:sz="4" w:space="0" w:color="auto"/>
              <w:right w:val="single" w:sz="4" w:space="0" w:color="auto"/>
            </w:tcBorders>
            <w:shd w:val="clear" w:color="000000" w:fill="71C487"/>
            <w:noWrap/>
            <w:vAlign w:val="bottom"/>
            <w:hideMark/>
          </w:tcPr>
          <w:p w14:paraId="70519D6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91,25%</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0610D9E2"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EFF7F4"/>
            <w:noWrap/>
            <w:vAlign w:val="bottom"/>
            <w:hideMark/>
          </w:tcPr>
          <w:p w14:paraId="4F8355A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8,75%</w:t>
            </w:r>
          </w:p>
        </w:tc>
      </w:tr>
      <w:tr w:rsidR="00216E8B" w:rsidRPr="00BF23C9" w14:paraId="1781F314"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58FDDFC9"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Velíková</w:t>
            </w:r>
          </w:p>
        </w:tc>
        <w:tc>
          <w:tcPr>
            <w:tcW w:w="436" w:type="pct"/>
            <w:tcBorders>
              <w:top w:val="nil"/>
              <w:left w:val="nil"/>
              <w:bottom w:val="single" w:sz="4" w:space="0" w:color="auto"/>
              <w:right w:val="single" w:sz="4" w:space="0" w:color="auto"/>
            </w:tcBorders>
            <w:shd w:val="clear" w:color="auto" w:fill="auto"/>
            <w:noWrap/>
            <w:vAlign w:val="center"/>
            <w:hideMark/>
          </w:tcPr>
          <w:p w14:paraId="1E7F0EB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457</w:t>
            </w:r>
          </w:p>
        </w:tc>
        <w:tc>
          <w:tcPr>
            <w:tcW w:w="648" w:type="pct"/>
            <w:tcBorders>
              <w:top w:val="nil"/>
              <w:left w:val="nil"/>
              <w:bottom w:val="single" w:sz="4" w:space="0" w:color="auto"/>
              <w:right w:val="single" w:sz="4" w:space="0" w:color="auto"/>
            </w:tcBorders>
            <w:shd w:val="clear" w:color="auto" w:fill="auto"/>
            <w:noWrap/>
            <w:vAlign w:val="center"/>
            <w:hideMark/>
          </w:tcPr>
          <w:p w14:paraId="0B655802"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438</w:t>
            </w:r>
          </w:p>
        </w:tc>
        <w:tc>
          <w:tcPr>
            <w:tcW w:w="713" w:type="pct"/>
            <w:tcBorders>
              <w:top w:val="nil"/>
              <w:left w:val="nil"/>
              <w:bottom w:val="single" w:sz="4" w:space="0" w:color="auto"/>
              <w:right w:val="single" w:sz="4" w:space="0" w:color="auto"/>
            </w:tcBorders>
            <w:shd w:val="clear" w:color="auto" w:fill="auto"/>
            <w:noWrap/>
            <w:vAlign w:val="center"/>
            <w:hideMark/>
          </w:tcPr>
          <w:p w14:paraId="49EDF50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48DEF9F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19</w:t>
            </w:r>
          </w:p>
        </w:tc>
        <w:tc>
          <w:tcPr>
            <w:tcW w:w="547" w:type="pct"/>
            <w:tcBorders>
              <w:top w:val="single" w:sz="4" w:space="0" w:color="auto"/>
              <w:left w:val="single" w:sz="4" w:space="0" w:color="auto"/>
              <w:bottom w:val="single" w:sz="4" w:space="0" w:color="auto"/>
              <w:right w:val="single" w:sz="4" w:space="0" w:color="auto"/>
            </w:tcBorders>
            <w:shd w:val="clear" w:color="000000" w:fill="6AC181"/>
            <w:noWrap/>
            <w:vAlign w:val="bottom"/>
            <w:hideMark/>
          </w:tcPr>
          <w:p w14:paraId="2D29724C"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95,84%</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A128C1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6FAFA"/>
            <w:noWrap/>
            <w:vAlign w:val="bottom"/>
            <w:hideMark/>
          </w:tcPr>
          <w:p w14:paraId="249587A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4,16%</w:t>
            </w:r>
          </w:p>
        </w:tc>
      </w:tr>
      <w:tr w:rsidR="00216E8B" w:rsidRPr="00BF23C9" w14:paraId="62C0F262"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6F56FED5"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Klečůvka</w:t>
            </w:r>
          </w:p>
        </w:tc>
        <w:tc>
          <w:tcPr>
            <w:tcW w:w="436" w:type="pct"/>
            <w:tcBorders>
              <w:top w:val="nil"/>
              <w:left w:val="nil"/>
              <w:bottom w:val="single" w:sz="4" w:space="0" w:color="auto"/>
              <w:right w:val="single" w:sz="4" w:space="0" w:color="auto"/>
            </w:tcBorders>
            <w:shd w:val="clear" w:color="auto" w:fill="auto"/>
            <w:noWrap/>
            <w:vAlign w:val="center"/>
            <w:hideMark/>
          </w:tcPr>
          <w:p w14:paraId="777B36E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295</w:t>
            </w:r>
          </w:p>
        </w:tc>
        <w:tc>
          <w:tcPr>
            <w:tcW w:w="648" w:type="pct"/>
            <w:tcBorders>
              <w:top w:val="nil"/>
              <w:left w:val="nil"/>
              <w:bottom w:val="single" w:sz="4" w:space="0" w:color="auto"/>
              <w:right w:val="single" w:sz="4" w:space="0" w:color="auto"/>
            </w:tcBorders>
            <w:shd w:val="clear" w:color="auto" w:fill="auto"/>
            <w:noWrap/>
            <w:vAlign w:val="center"/>
            <w:hideMark/>
          </w:tcPr>
          <w:p w14:paraId="4CF609C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248</w:t>
            </w:r>
          </w:p>
        </w:tc>
        <w:tc>
          <w:tcPr>
            <w:tcW w:w="713" w:type="pct"/>
            <w:tcBorders>
              <w:top w:val="nil"/>
              <w:left w:val="nil"/>
              <w:bottom w:val="single" w:sz="4" w:space="0" w:color="auto"/>
              <w:right w:val="single" w:sz="4" w:space="0" w:color="auto"/>
            </w:tcBorders>
            <w:shd w:val="clear" w:color="auto" w:fill="auto"/>
            <w:noWrap/>
            <w:vAlign w:val="center"/>
            <w:hideMark/>
          </w:tcPr>
          <w:p w14:paraId="15E199EB"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A989B"/>
            <w:noWrap/>
            <w:vAlign w:val="center"/>
            <w:hideMark/>
          </w:tcPr>
          <w:p w14:paraId="0ADA8D90"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47</w:t>
            </w:r>
          </w:p>
        </w:tc>
        <w:tc>
          <w:tcPr>
            <w:tcW w:w="547" w:type="pct"/>
            <w:tcBorders>
              <w:top w:val="single" w:sz="4" w:space="0" w:color="auto"/>
              <w:left w:val="single" w:sz="4" w:space="0" w:color="auto"/>
              <w:bottom w:val="single" w:sz="4" w:space="0" w:color="auto"/>
              <w:right w:val="single" w:sz="4" w:space="0" w:color="auto"/>
            </w:tcBorders>
            <w:shd w:val="clear" w:color="000000" w:fill="7CC891"/>
            <w:noWrap/>
            <w:vAlign w:val="bottom"/>
            <w:hideMark/>
          </w:tcPr>
          <w:p w14:paraId="7D7581D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84,07%</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002D53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E4F3EA"/>
            <w:noWrap/>
            <w:vAlign w:val="bottom"/>
            <w:hideMark/>
          </w:tcPr>
          <w:p w14:paraId="27BB97F2"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15,93%</w:t>
            </w:r>
          </w:p>
        </w:tc>
      </w:tr>
      <w:tr w:rsidR="00216E8B" w:rsidRPr="00BF23C9" w14:paraId="44B66D87"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1F1F80C8"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Lhotka</w:t>
            </w:r>
          </w:p>
        </w:tc>
        <w:tc>
          <w:tcPr>
            <w:tcW w:w="436" w:type="pct"/>
            <w:tcBorders>
              <w:top w:val="nil"/>
              <w:left w:val="nil"/>
              <w:bottom w:val="single" w:sz="4" w:space="0" w:color="auto"/>
              <w:right w:val="single" w:sz="4" w:space="0" w:color="auto"/>
            </w:tcBorders>
            <w:shd w:val="clear" w:color="auto" w:fill="auto"/>
            <w:noWrap/>
            <w:vAlign w:val="center"/>
            <w:hideMark/>
          </w:tcPr>
          <w:p w14:paraId="169C30B5"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227</w:t>
            </w:r>
          </w:p>
        </w:tc>
        <w:tc>
          <w:tcPr>
            <w:tcW w:w="648" w:type="pct"/>
            <w:tcBorders>
              <w:top w:val="nil"/>
              <w:left w:val="nil"/>
              <w:bottom w:val="single" w:sz="4" w:space="0" w:color="auto"/>
              <w:right w:val="single" w:sz="4" w:space="0" w:color="auto"/>
            </w:tcBorders>
            <w:shd w:val="clear" w:color="auto" w:fill="auto"/>
            <w:noWrap/>
            <w:vAlign w:val="center"/>
            <w:hideMark/>
          </w:tcPr>
          <w:p w14:paraId="01053E2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713" w:type="pct"/>
            <w:tcBorders>
              <w:top w:val="nil"/>
              <w:left w:val="nil"/>
              <w:bottom w:val="single" w:sz="4" w:space="0" w:color="auto"/>
              <w:right w:val="single" w:sz="4" w:space="0" w:color="auto"/>
            </w:tcBorders>
            <w:shd w:val="clear" w:color="auto" w:fill="auto"/>
            <w:noWrap/>
            <w:vAlign w:val="center"/>
            <w:hideMark/>
          </w:tcPr>
          <w:p w14:paraId="412D88E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158</w:t>
            </w:r>
          </w:p>
        </w:tc>
        <w:tc>
          <w:tcPr>
            <w:tcW w:w="617"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AE9C4A3"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69</w:t>
            </w:r>
          </w:p>
        </w:tc>
        <w:tc>
          <w:tcPr>
            <w:tcW w:w="547"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529616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99" w:type="pct"/>
            <w:tcBorders>
              <w:top w:val="single" w:sz="4" w:space="0" w:color="auto"/>
              <w:left w:val="single" w:sz="4" w:space="0" w:color="auto"/>
              <w:bottom w:val="single" w:sz="4" w:space="0" w:color="auto"/>
              <w:right w:val="single" w:sz="4" w:space="0" w:color="auto"/>
            </w:tcBorders>
            <w:shd w:val="clear" w:color="000000" w:fill="92D1A4"/>
            <w:noWrap/>
            <w:vAlign w:val="bottom"/>
            <w:hideMark/>
          </w:tcPr>
          <w:p w14:paraId="5F8B85FC"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69,60%</w:t>
            </w:r>
          </w:p>
        </w:tc>
        <w:tc>
          <w:tcPr>
            <w:tcW w:w="572" w:type="pct"/>
            <w:tcBorders>
              <w:top w:val="single" w:sz="4" w:space="0" w:color="auto"/>
              <w:left w:val="single" w:sz="4" w:space="0" w:color="auto"/>
              <w:bottom w:val="single" w:sz="4" w:space="0" w:color="auto"/>
              <w:right w:val="single" w:sz="4" w:space="0" w:color="auto"/>
            </w:tcBorders>
            <w:shd w:val="clear" w:color="000000" w:fill="CEEAD7"/>
            <w:noWrap/>
            <w:vAlign w:val="bottom"/>
            <w:hideMark/>
          </w:tcPr>
          <w:p w14:paraId="06A00A43"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30,40%</w:t>
            </w:r>
          </w:p>
        </w:tc>
      </w:tr>
      <w:tr w:rsidR="00216E8B" w:rsidRPr="00BF23C9" w14:paraId="29E960BA"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2594AEEF"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Salaš</w:t>
            </w:r>
          </w:p>
        </w:tc>
        <w:tc>
          <w:tcPr>
            <w:tcW w:w="436" w:type="pct"/>
            <w:tcBorders>
              <w:top w:val="nil"/>
              <w:left w:val="nil"/>
              <w:bottom w:val="single" w:sz="4" w:space="0" w:color="auto"/>
              <w:right w:val="single" w:sz="4" w:space="0" w:color="auto"/>
            </w:tcBorders>
            <w:shd w:val="clear" w:color="auto" w:fill="auto"/>
            <w:noWrap/>
            <w:vAlign w:val="center"/>
            <w:hideMark/>
          </w:tcPr>
          <w:p w14:paraId="5407C6F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206</w:t>
            </w:r>
          </w:p>
        </w:tc>
        <w:tc>
          <w:tcPr>
            <w:tcW w:w="648" w:type="pct"/>
            <w:tcBorders>
              <w:top w:val="nil"/>
              <w:left w:val="nil"/>
              <w:bottom w:val="single" w:sz="4" w:space="0" w:color="auto"/>
              <w:right w:val="single" w:sz="4" w:space="0" w:color="auto"/>
            </w:tcBorders>
            <w:shd w:val="clear" w:color="auto" w:fill="auto"/>
            <w:noWrap/>
            <w:vAlign w:val="bottom"/>
            <w:hideMark/>
          </w:tcPr>
          <w:p w14:paraId="4968B7C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174</w:t>
            </w:r>
          </w:p>
        </w:tc>
        <w:tc>
          <w:tcPr>
            <w:tcW w:w="713" w:type="pct"/>
            <w:tcBorders>
              <w:top w:val="nil"/>
              <w:left w:val="nil"/>
              <w:bottom w:val="single" w:sz="4" w:space="0" w:color="auto"/>
              <w:right w:val="single" w:sz="4" w:space="0" w:color="auto"/>
            </w:tcBorders>
            <w:shd w:val="clear" w:color="auto" w:fill="auto"/>
            <w:noWrap/>
            <w:vAlign w:val="bottom"/>
            <w:hideMark/>
          </w:tcPr>
          <w:p w14:paraId="515F93D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BB8BB"/>
            <w:noWrap/>
            <w:vAlign w:val="center"/>
            <w:hideMark/>
          </w:tcPr>
          <w:p w14:paraId="5AB7F95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32</w:t>
            </w:r>
          </w:p>
        </w:tc>
        <w:tc>
          <w:tcPr>
            <w:tcW w:w="547" w:type="pct"/>
            <w:tcBorders>
              <w:top w:val="single" w:sz="4" w:space="0" w:color="auto"/>
              <w:left w:val="single" w:sz="4" w:space="0" w:color="auto"/>
              <w:bottom w:val="single" w:sz="4" w:space="0" w:color="auto"/>
              <w:right w:val="single" w:sz="4" w:space="0" w:color="auto"/>
            </w:tcBorders>
            <w:shd w:val="clear" w:color="000000" w:fill="7BC890"/>
            <w:noWrap/>
            <w:vAlign w:val="bottom"/>
            <w:hideMark/>
          </w:tcPr>
          <w:p w14:paraId="5EE68FEB"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84,47%</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E2C257A"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E5F3EB"/>
            <w:noWrap/>
            <w:vAlign w:val="bottom"/>
            <w:hideMark/>
          </w:tcPr>
          <w:p w14:paraId="0EA6A3D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15,53%</w:t>
            </w:r>
          </w:p>
        </w:tc>
      </w:tr>
      <w:tr w:rsidR="00216E8B" w:rsidRPr="00BF23C9" w14:paraId="4CCCE5AE" w14:textId="77777777" w:rsidTr="000C49A5">
        <w:trPr>
          <w:trHeight w:val="227"/>
        </w:trPr>
        <w:tc>
          <w:tcPr>
            <w:tcW w:w="869" w:type="pct"/>
            <w:tcBorders>
              <w:top w:val="nil"/>
              <w:left w:val="single" w:sz="4" w:space="0" w:color="auto"/>
              <w:bottom w:val="single" w:sz="4" w:space="0" w:color="auto"/>
              <w:right w:val="single" w:sz="4" w:space="0" w:color="auto"/>
            </w:tcBorders>
            <w:shd w:val="clear" w:color="auto" w:fill="auto"/>
            <w:noWrap/>
            <w:vAlign w:val="bottom"/>
            <w:hideMark/>
          </w:tcPr>
          <w:p w14:paraId="79309AAE" w14:textId="77777777" w:rsidR="00216E8B" w:rsidRPr="00BF23C9" w:rsidRDefault="00216E8B" w:rsidP="000C49A5">
            <w:pPr>
              <w:keepNext/>
              <w:spacing w:before="0"/>
              <w:jc w:val="lef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Chlum</w:t>
            </w:r>
          </w:p>
        </w:tc>
        <w:tc>
          <w:tcPr>
            <w:tcW w:w="436" w:type="pct"/>
            <w:tcBorders>
              <w:top w:val="nil"/>
              <w:left w:val="nil"/>
              <w:bottom w:val="single" w:sz="4" w:space="0" w:color="auto"/>
              <w:right w:val="single" w:sz="4" w:space="0" w:color="auto"/>
            </w:tcBorders>
            <w:shd w:val="clear" w:color="auto" w:fill="auto"/>
            <w:noWrap/>
            <w:vAlign w:val="center"/>
            <w:hideMark/>
          </w:tcPr>
          <w:p w14:paraId="58AB009E"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89</w:t>
            </w:r>
          </w:p>
        </w:tc>
        <w:tc>
          <w:tcPr>
            <w:tcW w:w="648" w:type="pct"/>
            <w:tcBorders>
              <w:top w:val="nil"/>
              <w:left w:val="nil"/>
              <w:bottom w:val="single" w:sz="4" w:space="0" w:color="auto"/>
              <w:right w:val="single" w:sz="4" w:space="0" w:color="auto"/>
            </w:tcBorders>
            <w:shd w:val="clear" w:color="auto" w:fill="auto"/>
            <w:noWrap/>
            <w:vAlign w:val="center"/>
            <w:hideMark/>
          </w:tcPr>
          <w:p w14:paraId="33438D8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89</w:t>
            </w:r>
          </w:p>
        </w:tc>
        <w:tc>
          <w:tcPr>
            <w:tcW w:w="713" w:type="pct"/>
            <w:tcBorders>
              <w:top w:val="nil"/>
              <w:left w:val="nil"/>
              <w:bottom w:val="single" w:sz="4" w:space="0" w:color="auto"/>
              <w:right w:val="single" w:sz="4" w:space="0" w:color="auto"/>
            </w:tcBorders>
            <w:shd w:val="clear" w:color="auto" w:fill="auto"/>
            <w:noWrap/>
            <w:vAlign w:val="center"/>
            <w:hideMark/>
          </w:tcPr>
          <w:p w14:paraId="419975F8"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 </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374F8396"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w:t>
            </w:r>
          </w:p>
        </w:tc>
        <w:tc>
          <w:tcPr>
            <w:tcW w:w="5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077D8D4"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100,00%</w:t>
            </w:r>
          </w:p>
        </w:tc>
        <w:tc>
          <w:tcPr>
            <w:tcW w:w="599"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0C5ED7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c>
          <w:tcPr>
            <w:tcW w:w="57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434E89F" w14:textId="77777777" w:rsidR="00216E8B" w:rsidRPr="00BF23C9" w:rsidRDefault="00216E8B" w:rsidP="000C49A5">
            <w:pPr>
              <w:keepNext/>
              <w:spacing w:before="0"/>
              <w:jc w:val="right"/>
              <w:rPr>
                <w:rFonts w:ascii="Calibri" w:eastAsia="Times New Roman" w:hAnsi="Calibri" w:cs="Calibri"/>
                <w:sz w:val="18"/>
                <w:szCs w:val="18"/>
                <w:lang w:eastAsia="cs-CZ"/>
              </w:rPr>
            </w:pPr>
            <w:r w:rsidRPr="00BF23C9">
              <w:rPr>
                <w:rFonts w:ascii="Calibri" w:eastAsia="Times New Roman" w:hAnsi="Calibri" w:cs="Calibri"/>
                <w:sz w:val="18"/>
                <w:szCs w:val="18"/>
                <w:lang w:eastAsia="cs-CZ"/>
              </w:rPr>
              <w:t>0,00%</w:t>
            </w:r>
          </w:p>
        </w:tc>
      </w:tr>
    </w:tbl>
    <w:p w14:paraId="6B941219" w14:textId="2B3B181B" w:rsidR="00216E8B" w:rsidRDefault="00216E8B" w:rsidP="00216E8B">
      <w:pPr>
        <w:pStyle w:val="Zdroj"/>
      </w:pPr>
      <w:r>
        <w:t>Zdroj: MOVO,a.s.</w:t>
      </w:r>
      <w:r w:rsidR="00DF2BED">
        <w:t>,</w:t>
      </w:r>
      <w:r>
        <w:t xml:space="preserve"> 2020, zpracování PROCES</w:t>
      </w:r>
      <w:r w:rsidR="00DF2BED">
        <w:t>.</w:t>
      </w:r>
      <w:r>
        <w:br/>
      </w:r>
    </w:p>
    <w:p w14:paraId="2A872EFC" w14:textId="777B4360" w:rsidR="00216E8B" w:rsidRDefault="00216E8B" w:rsidP="00216E8B">
      <w:pPr>
        <w:keepNext/>
        <w:keepLines/>
      </w:pPr>
      <w:r>
        <w:t xml:space="preserve">Největším </w:t>
      </w:r>
      <w:r w:rsidRPr="002163F4">
        <w:t>zdrojem odpadních vod jsou domácnosti (34%), následují balastní vody – jedná se o</w:t>
      </w:r>
      <w:r w:rsidR="00DF2BED">
        <w:t> </w:t>
      </w:r>
      <w:r w:rsidRPr="002163F4">
        <w:t xml:space="preserve">podzemní i povrchové z extravilánu, spodní průsakové vody (24 %), průmyslové odpadní vody tvoří 22 %, srážkové vody, </w:t>
      </w:r>
      <w:r>
        <w:t>včetně vod z tání sněhu a ledu (15 %), zemědělské odpadní vody tvoří 3 %, infekční vody z nemocnic pak zbylá 2 %.</w:t>
      </w:r>
    </w:p>
    <w:p w14:paraId="1F225496" w14:textId="500A272A" w:rsidR="00216E8B" w:rsidRDefault="00216E8B" w:rsidP="00216E8B">
      <w:pPr>
        <w:pStyle w:val="Titulek"/>
        <w:keepNext/>
        <w:jc w:val="left"/>
      </w:pPr>
      <w:bookmarkStart w:id="321" w:name="_Toc51933205"/>
      <w:bookmarkStart w:id="322" w:name="_Toc7707487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61</w:t>
      </w:r>
      <w:r w:rsidR="00804AF3">
        <w:rPr>
          <w:noProof/>
        </w:rPr>
        <w:fldChar w:fldCharType="end"/>
      </w:r>
      <w:r w:rsidR="00DF2BED">
        <w:rPr>
          <w:noProof/>
        </w:rPr>
        <w:t>:</w:t>
      </w:r>
      <w:r>
        <w:t xml:space="preserve"> Podíl jednotlivých zdrojů odpadních vod</w:t>
      </w:r>
      <w:bookmarkEnd w:id="321"/>
      <w:bookmarkEnd w:id="322"/>
    </w:p>
    <w:p w14:paraId="0313CC92" w14:textId="77777777" w:rsidR="00216E8B" w:rsidRDefault="00216E8B" w:rsidP="00216E8B">
      <w:pPr>
        <w:pStyle w:val="Zdroj"/>
      </w:pPr>
      <w:r>
        <w:rPr>
          <w:noProof/>
        </w:rPr>
        <w:drawing>
          <wp:inline distT="0" distB="0" distL="0" distR="0" wp14:anchorId="68C6DAF0" wp14:editId="2FCA2652">
            <wp:extent cx="5773420" cy="1591310"/>
            <wp:effectExtent l="0" t="0" r="0" b="889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5773420" cy="1591310"/>
                    </a:xfrm>
                    <a:prstGeom prst="rect">
                      <a:avLst/>
                    </a:prstGeom>
                    <a:noFill/>
                  </pic:spPr>
                </pic:pic>
              </a:graphicData>
            </a:graphic>
          </wp:inline>
        </w:drawing>
      </w:r>
    </w:p>
    <w:p w14:paraId="299BBADB" w14:textId="49AE58F9" w:rsidR="00216E8B" w:rsidRDefault="00216E8B" w:rsidP="00216E8B">
      <w:pPr>
        <w:pStyle w:val="Zdroj"/>
      </w:pPr>
      <w:r>
        <w:t>Zdroj: Kanalizační řád města Zlín (2019), zpracování PROCES</w:t>
      </w:r>
      <w:r w:rsidR="00DF2BED">
        <w:t>.</w:t>
      </w:r>
      <w:r>
        <w:br/>
        <w:t>*</w:t>
      </w:r>
      <w:r w:rsidR="00DF2BED">
        <w:t>P</w:t>
      </w:r>
      <w:r>
        <w:t>odzemní i povrchové z extravilánu, spodní průsakové vody</w:t>
      </w:r>
      <w:r w:rsidR="00DF2BED">
        <w:t>.</w:t>
      </w:r>
    </w:p>
    <w:p w14:paraId="565C37C8" w14:textId="77777777" w:rsidR="00216E8B" w:rsidRDefault="00216E8B" w:rsidP="00216E8B"/>
    <w:p w14:paraId="2AD4C46E" w14:textId="77777777" w:rsidR="00216E8B" w:rsidRDefault="00216E8B" w:rsidP="00216E8B">
      <w:pPr>
        <w:pStyle w:val="Nadpis4"/>
      </w:pPr>
      <w:r>
        <w:t>Zásobování zemním plynem</w:t>
      </w:r>
    </w:p>
    <w:p w14:paraId="3F808275" w14:textId="5225E7D7" w:rsidR="00216E8B" w:rsidRDefault="00216E8B" w:rsidP="00216E8B">
      <w:r w:rsidRPr="00076BC2">
        <w:t xml:space="preserve">Město Zlín je zásobováno zemním plynem Jihomoravskou plynárenskou a.s. prostřednictvím </w:t>
      </w:r>
      <w:r>
        <w:t>vysokotlakých (</w:t>
      </w:r>
      <w:r w:rsidRPr="00076BC2">
        <w:t>VTL</w:t>
      </w:r>
      <w:r>
        <w:t>)</w:t>
      </w:r>
      <w:r w:rsidRPr="00076BC2">
        <w:t xml:space="preserve"> plynovodů vedených ze tří směrů</w:t>
      </w:r>
      <w:r w:rsidR="00AB4741">
        <w:t>,</w:t>
      </w:r>
      <w:r w:rsidRPr="00076BC2">
        <w:t xml:space="preserve"> a to od Otrokovic</w:t>
      </w:r>
      <w:r>
        <w:t>, od Fryštáku a od Luhačovic. S </w:t>
      </w:r>
      <w:r w:rsidRPr="00076BC2">
        <w:t>ohledem na zaokruhování plynovodů je zajištěna spolehlivost dodávek zemního plynu. Jednotlivá odběrná místa jsou napojena na místní rozvody STL a NTL plynovodů. K některým velkoodběratelů je přiveden přímo VTL plynovod.</w:t>
      </w:r>
    </w:p>
    <w:p w14:paraId="40199BD2" w14:textId="02044354" w:rsidR="00216E8B" w:rsidRDefault="00216E8B" w:rsidP="00216E8B">
      <w:r>
        <w:t>V řešeném území je většina sídel plynofikována, kapacita stávajících plynovodů je dostatečná a</w:t>
      </w:r>
      <w:r w:rsidR="00AB4741">
        <w:t> </w:t>
      </w:r>
      <w:r>
        <w:t xml:space="preserve">umožňuje napojení dalších odběratelů a zahuštění odběrů na stávající síti. Plynofikovány dosud nejsou následující sídelní jednotky: </w:t>
      </w:r>
      <w:r w:rsidRPr="00CF6C04">
        <w:t>Salaš (částečně), Chlum</w:t>
      </w:r>
      <w:r>
        <w:t>, Lhotka a Jaroslavice.</w:t>
      </w:r>
    </w:p>
    <w:p w14:paraId="317B8E8C" w14:textId="77777777" w:rsidR="00216E8B" w:rsidRPr="00076BC2" w:rsidRDefault="00216E8B" w:rsidP="00216E8B">
      <w:pPr>
        <w:keepNext/>
        <w:rPr>
          <w:b/>
        </w:rPr>
      </w:pPr>
      <w:r>
        <w:rPr>
          <w:b/>
        </w:rPr>
        <w:lastRenderedPageBreak/>
        <w:t xml:space="preserve">Vysokotlaký </w:t>
      </w:r>
      <w:r w:rsidRPr="00076BC2">
        <w:rPr>
          <w:b/>
        </w:rPr>
        <w:t>plynovod</w:t>
      </w:r>
      <w:r>
        <w:rPr>
          <w:b/>
        </w:rPr>
        <w:t xml:space="preserve"> (VTL)</w:t>
      </w:r>
    </w:p>
    <w:p w14:paraId="6C1860BB" w14:textId="6B2D8BC6" w:rsidR="00216E8B" w:rsidRDefault="00216E8B" w:rsidP="00216E8B">
      <w:r>
        <w:t>VTL plynovod, který je veden od Otrokovic, prochází severní částí města a pokračuje údolím řeky Dřevnice směrem na Vizovice. Z tohoto VTL plynovodu je vysazena odbočka která vede přes Vršavu, podél Kostelce a ZOO Lešná, kde se rozděluje a pokračuje směrem na Lukov a na Fryšták. V Klečůvce je pak vyvedena jižní větev procházející přes obce Lípa a Želechovice na</w:t>
      </w:r>
      <w:r w:rsidR="00AB4741">
        <w:t>d</w:t>
      </w:r>
      <w:r>
        <w:t xml:space="preserve"> Dřevnicí, která následně prochází k.ú. Jaroslavice u Zlína a k.ú. Kudlov a dále na jih, směrem na Luhačovice.</w:t>
      </w:r>
    </w:p>
    <w:p w14:paraId="7E43D7E5" w14:textId="77777777" w:rsidR="00216E8B" w:rsidRPr="00076BC2" w:rsidRDefault="00216E8B" w:rsidP="00216E8B">
      <w:pPr>
        <w:rPr>
          <w:b/>
        </w:rPr>
      </w:pPr>
      <w:r>
        <w:rPr>
          <w:b/>
        </w:rPr>
        <w:t>Středotlaký p</w:t>
      </w:r>
      <w:r w:rsidRPr="00076BC2">
        <w:rPr>
          <w:b/>
        </w:rPr>
        <w:t>lynovod</w:t>
      </w:r>
      <w:r>
        <w:rPr>
          <w:b/>
        </w:rPr>
        <w:t xml:space="preserve"> (STL)</w:t>
      </w:r>
    </w:p>
    <w:p w14:paraId="0BBE7709" w14:textId="77777777" w:rsidR="00216E8B" w:rsidRDefault="00216E8B" w:rsidP="00216E8B">
      <w:r>
        <w:t>V nověji plynofikovaných částech města je k jednotlivým odběratelům doveden rozvod středotlakého plynu a regulační ventily jsou umístěny před plynoměrem (u běžných maloodběratelů a domácností). Rozvod STL plynu je proveden převážně v těchto okrajových částech města: Příluky, Želechovice, obůrky, Klečůvka, Kudlov, Louky a Velíková.</w:t>
      </w:r>
    </w:p>
    <w:p w14:paraId="24E95E13" w14:textId="77777777" w:rsidR="00216E8B" w:rsidRDefault="00216E8B" w:rsidP="00216E8B">
      <w:r>
        <w:t>Je proveden rozvod středotlakého plynu v průmyslové zóně Příluky a plynovod je protažen do míst další plánované průmyslové výstavby.</w:t>
      </w:r>
    </w:p>
    <w:p w14:paraId="27CAD585" w14:textId="77777777" w:rsidR="00216E8B" w:rsidRPr="00076BC2" w:rsidRDefault="00216E8B" w:rsidP="00216E8B">
      <w:pPr>
        <w:rPr>
          <w:b/>
        </w:rPr>
      </w:pPr>
      <w:r w:rsidRPr="00076BC2">
        <w:rPr>
          <w:b/>
        </w:rPr>
        <w:t>Nízkotlaký plynovod (NTL)</w:t>
      </w:r>
    </w:p>
    <w:p w14:paraId="3C0B36C1" w14:textId="0A240A1E" w:rsidR="00216E8B" w:rsidRDefault="00216E8B" w:rsidP="00216E8B">
      <w:r>
        <w:t xml:space="preserve">Nízkotlaký rozvod plynu je proveden převážně ve starší zástavbě města a v části Štípa a Kostelec. V nedávné době proběhla částečná rekonstrukce potrubí nízkotlakého rozvodu plynu ve městě. </w:t>
      </w:r>
    </w:p>
    <w:p w14:paraId="15406E98" w14:textId="00BD4368" w:rsidR="00216E8B" w:rsidRDefault="00216E8B" w:rsidP="00216E8B">
      <w:pPr>
        <w:pStyle w:val="Titulek"/>
        <w:keepNext/>
      </w:pPr>
      <w:bookmarkStart w:id="323" w:name="_Toc51933206"/>
      <w:bookmarkStart w:id="324" w:name="_Toc7707488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62</w:t>
      </w:r>
      <w:r w:rsidR="00804AF3">
        <w:rPr>
          <w:noProof/>
        </w:rPr>
        <w:fldChar w:fldCharType="end"/>
      </w:r>
      <w:r w:rsidR="00AB4741">
        <w:rPr>
          <w:noProof/>
        </w:rPr>
        <w:t>:</w:t>
      </w:r>
      <w:r>
        <w:t xml:space="preserve"> Vedení plynovodu</w:t>
      </w:r>
      <w:bookmarkEnd w:id="323"/>
      <w:bookmarkEnd w:id="324"/>
    </w:p>
    <w:p w14:paraId="63DF86F2" w14:textId="77777777" w:rsidR="00216E8B" w:rsidRDefault="00216E8B" w:rsidP="00216E8B">
      <w:r>
        <w:rPr>
          <w:noProof/>
          <w:lang w:eastAsia="cs-CZ"/>
        </w:rPr>
        <w:drawing>
          <wp:inline distT="0" distB="0" distL="0" distR="0" wp14:anchorId="792CD84D" wp14:editId="4872EADF">
            <wp:extent cx="5760720" cy="4322824"/>
            <wp:effectExtent l="0" t="0" r="0" b="1905"/>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yn_Zlin.png"/>
                    <pic:cNvPicPr/>
                  </pic:nvPicPr>
                  <pic:blipFill>
                    <a:blip r:embed="rId103" cstate="print">
                      <a:extLst>
                        <a:ext uri="{28A0092B-C50C-407E-A947-70E740481C1C}">
                          <a14:useLocalDpi xmlns:a14="http://schemas.microsoft.com/office/drawing/2010/main"/>
                        </a:ext>
                      </a:extLst>
                    </a:blip>
                    <a:stretch>
                      <a:fillRect/>
                    </a:stretch>
                  </pic:blipFill>
                  <pic:spPr>
                    <a:xfrm>
                      <a:off x="0" y="0"/>
                      <a:ext cx="5760720" cy="4322824"/>
                    </a:xfrm>
                    <a:prstGeom prst="rect">
                      <a:avLst/>
                    </a:prstGeom>
                  </pic:spPr>
                </pic:pic>
              </a:graphicData>
            </a:graphic>
          </wp:inline>
        </w:drawing>
      </w:r>
    </w:p>
    <w:p w14:paraId="1148E7EE" w14:textId="11548E04" w:rsidR="00216E8B" w:rsidRDefault="00216E8B" w:rsidP="00216E8B">
      <w:pPr>
        <w:pStyle w:val="Zdroj"/>
      </w:pPr>
      <w:r>
        <w:t>Zdroj: MVČR, ÚAP SO ORP Zlín</w:t>
      </w:r>
      <w:r w:rsidR="00AB4741">
        <w:t>, zpracování PROCES, 2020.</w:t>
      </w:r>
    </w:p>
    <w:p w14:paraId="34F64C29" w14:textId="73D8D909" w:rsidR="00216E8B" w:rsidRDefault="00216E8B" w:rsidP="00216E8B">
      <w:r>
        <w:t>Mezi lety 2014 až 2017 celková spotřeba plynu vzrostla z 27,7 mil. m</w:t>
      </w:r>
      <w:r w:rsidRPr="00A82A88">
        <w:rPr>
          <w:vertAlign w:val="superscript"/>
        </w:rPr>
        <w:t>3</w:t>
      </w:r>
      <w:r>
        <w:t xml:space="preserve"> na 33,6</w:t>
      </w:r>
      <w:r w:rsidR="00AB4741">
        <w:t xml:space="preserve"> mil.</w:t>
      </w:r>
      <w:r>
        <w:t xml:space="preserve"> m</w:t>
      </w:r>
      <w:r w:rsidRPr="00A82A88">
        <w:rPr>
          <w:vertAlign w:val="superscript"/>
        </w:rPr>
        <w:t>3</w:t>
      </w:r>
      <w:r>
        <w:t>, v následujících dvou letech měla klesající trend, v roce 2019 byla na hodnotě 30,3 mil. m</w:t>
      </w:r>
      <w:r w:rsidRPr="00A82A88">
        <w:rPr>
          <w:vertAlign w:val="superscript"/>
        </w:rPr>
        <w:t>3</w:t>
      </w:r>
      <w:r>
        <w:t xml:space="preserve">. Největší podíl odběratelů </w:t>
      </w:r>
      <w:r>
        <w:lastRenderedPageBreak/>
        <w:t>představují domácnosti, které spotřebují zhruba 55 % plynu, následují maloodběratelé (23 %) a střední odběratelé (13 %), velkoodběratelé pak spotřebují zhruba 7 % celkové spotřeby Zlína.</w:t>
      </w:r>
    </w:p>
    <w:p w14:paraId="67D48B4C" w14:textId="07D6C05D" w:rsidR="00216E8B" w:rsidRDefault="00216E8B" w:rsidP="00216E8B">
      <w:pPr>
        <w:pStyle w:val="Titulek"/>
        <w:keepNext/>
        <w:jc w:val="left"/>
      </w:pPr>
      <w:bookmarkStart w:id="325" w:name="_Toc51933207"/>
      <w:bookmarkStart w:id="326" w:name="_Toc7707488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63</w:t>
      </w:r>
      <w:r w:rsidR="00804AF3">
        <w:rPr>
          <w:noProof/>
        </w:rPr>
        <w:fldChar w:fldCharType="end"/>
      </w:r>
      <w:r w:rsidR="00AB4741">
        <w:rPr>
          <w:noProof/>
        </w:rPr>
        <w:t>:</w:t>
      </w:r>
      <w:r>
        <w:t xml:space="preserve"> Spotřeba plynu a podíl spotřeby na druhu odběratele (2014</w:t>
      </w:r>
      <w:r w:rsidR="00AB4741">
        <w:t xml:space="preserve"> </w:t>
      </w:r>
      <w:r w:rsidR="00AB4741">
        <w:sym w:font="Symbol" w:char="F02D"/>
      </w:r>
      <w:r w:rsidR="00AB4741">
        <w:t xml:space="preserve"> </w:t>
      </w:r>
      <w:r>
        <w:t>2019)</w:t>
      </w:r>
      <w:bookmarkEnd w:id="325"/>
      <w:bookmarkEnd w:id="326"/>
    </w:p>
    <w:p w14:paraId="5FF0CA9C" w14:textId="77777777" w:rsidR="00216E8B" w:rsidRDefault="00216E8B" w:rsidP="003B5ADB">
      <w:r>
        <w:rPr>
          <w:noProof/>
          <w:lang w:eastAsia="cs-CZ"/>
        </w:rPr>
        <w:drawing>
          <wp:inline distT="0" distB="0" distL="0" distR="0" wp14:anchorId="7BA9523D" wp14:editId="29C4D736">
            <wp:extent cx="5773420" cy="2243455"/>
            <wp:effectExtent l="0" t="0" r="0" b="4445"/>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5773420" cy="2243455"/>
                    </a:xfrm>
                    <a:prstGeom prst="rect">
                      <a:avLst/>
                    </a:prstGeom>
                    <a:noFill/>
                  </pic:spPr>
                </pic:pic>
              </a:graphicData>
            </a:graphic>
          </wp:inline>
        </w:drawing>
      </w:r>
    </w:p>
    <w:p w14:paraId="3399A102" w14:textId="58972BD6" w:rsidR="00216E8B" w:rsidRPr="00D639E1" w:rsidRDefault="00216E8B" w:rsidP="003B5ADB">
      <w:pPr>
        <w:pStyle w:val="Zdroj"/>
      </w:pPr>
      <w:r w:rsidRPr="00D639E1">
        <w:t>Zdroj: GasNet, s.r.o., zpracování PROCES</w:t>
      </w:r>
      <w:r w:rsidR="00AB4741">
        <w:t>, 2020.</w:t>
      </w:r>
    </w:p>
    <w:p w14:paraId="27C29781" w14:textId="77777777" w:rsidR="00216E8B" w:rsidRDefault="00216E8B" w:rsidP="00216E8B">
      <w:pPr>
        <w:keepNext/>
        <w:keepLines/>
      </w:pPr>
      <w:r>
        <w:t>Průměrná roční spotřeba plynu velkoodběratelů v roce 2015 vzrostla meziročně o 72 tis. m</w:t>
      </w:r>
      <w:r w:rsidRPr="00C4446B">
        <w:rPr>
          <w:vertAlign w:val="superscript"/>
        </w:rPr>
        <w:t>3</w:t>
      </w:r>
      <w:r>
        <w:t>, následně do roku 2017 spíše stagnovala, v roce 2018 byl zaznamenán výrazný pokles o 94 tis. m</w:t>
      </w:r>
      <w:r w:rsidRPr="00C4446B">
        <w:rPr>
          <w:vertAlign w:val="superscript"/>
        </w:rPr>
        <w:t>3</w:t>
      </w:r>
      <w:r>
        <w:t>, v následujícím roce pak mírný nárůst o 25 tis. m</w:t>
      </w:r>
      <w:r w:rsidRPr="00C4446B">
        <w:rPr>
          <w:vertAlign w:val="superscript"/>
        </w:rPr>
        <w:t>3</w:t>
      </w:r>
      <w:r>
        <w:t>. Průměrná roční spotřeba u středních odběratelů mezi lety 2014 až 2017 rostla meziročně v průměru o zhruba 8 tis. m</w:t>
      </w:r>
      <w:r w:rsidRPr="00C4446B">
        <w:rPr>
          <w:vertAlign w:val="superscript"/>
        </w:rPr>
        <w:t>3</w:t>
      </w:r>
      <w:r>
        <w:t>, v roce 2018 se trend růstu začal zpomalovat, v roce následujícím pak došlo k mírnému poklesu. Průměrná roční spotřeba plynu u maloodběratelů zaznamenala mezi lety 2014 až 2017 průměrný meziroční růst o zhruba 540 m</w:t>
      </w:r>
      <w:r w:rsidRPr="00580F2E">
        <w:rPr>
          <w:vertAlign w:val="superscript"/>
        </w:rPr>
        <w:t>3</w:t>
      </w:r>
      <w:r>
        <w:t>, v následujících 2 letech byl zaznamenán mírný pokles. Průměrná roční spotřeba plynu u domácností mezi lety 2014 až 2017 rostla meziročně v průměru o 173 m</w:t>
      </w:r>
      <w:r w:rsidRPr="00580F2E">
        <w:rPr>
          <w:vertAlign w:val="superscript"/>
        </w:rPr>
        <w:t>3</w:t>
      </w:r>
      <w:r>
        <w:t>, v následujících dvou letech byl zaznamenán pokles průměrné spotřeby.</w:t>
      </w:r>
    </w:p>
    <w:p w14:paraId="526CEFE4" w14:textId="77777777" w:rsidR="008A733D" w:rsidRDefault="00216E8B" w:rsidP="00AB4741">
      <w:pPr>
        <w:pStyle w:val="Titulek"/>
        <w:keepNext/>
        <w:jc w:val="left"/>
      </w:pPr>
      <w:bookmarkStart w:id="327" w:name="_Toc51933190"/>
      <w:bookmarkStart w:id="328" w:name="_Toc7707473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52</w:t>
      </w:r>
      <w:r w:rsidR="00081B47">
        <w:rPr>
          <w:noProof/>
        </w:rPr>
        <w:fldChar w:fldCharType="end"/>
      </w:r>
      <w:r w:rsidR="00AB4741">
        <w:rPr>
          <w:noProof/>
        </w:rPr>
        <w:t>:</w:t>
      </w:r>
      <w:r>
        <w:t xml:space="preserve"> Průměrná spotřeba plynu podle druhu odběratele v m</w:t>
      </w:r>
      <w:r w:rsidRPr="00580F2E">
        <w:rPr>
          <w:vertAlign w:val="superscript"/>
        </w:rPr>
        <w:t>3</w:t>
      </w:r>
      <w:r>
        <w:t xml:space="preserve"> za rok (2014</w:t>
      </w:r>
      <w:r w:rsidR="00AB4741">
        <w:t xml:space="preserve"> </w:t>
      </w:r>
      <w:r w:rsidR="00AB4741">
        <w:sym w:font="Symbol" w:char="F02D"/>
      </w:r>
      <w:r w:rsidR="00AB4741">
        <w:t xml:space="preserve"> </w:t>
      </w:r>
      <w:r>
        <w:t>2019)</w:t>
      </w:r>
      <w:bookmarkEnd w:id="327"/>
      <w:bookmarkEnd w:id="328"/>
    </w:p>
    <w:p w14:paraId="444F6E53" w14:textId="383BDC3D" w:rsidR="00216E8B" w:rsidRPr="00AB4741" w:rsidRDefault="00216E8B" w:rsidP="00AB4741">
      <w:pPr>
        <w:pStyle w:val="Titulek"/>
        <w:keepNext/>
        <w:jc w:val="left"/>
        <w:rPr>
          <w:b w:val="0"/>
          <w:i/>
        </w:rPr>
      </w:pPr>
      <w:r w:rsidRPr="00C4446B">
        <w:rPr>
          <w:noProof/>
          <w:lang w:eastAsia="cs-CZ"/>
        </w:rPr>
        <w:drawing>
          <wp:inline distT="0" distB="0" distL="0" distR="0" wp14:anchorId="7F80FF91" wp14:editId="12D94C6C">
            <wp:extent cx="5760720" cy="1282326"/>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5760720" cy="1282326"/>
                    </a:xfrm>
                    <a:prstGeom prst="rect">
                      <a:avLst/>
                    </a:prstGeom>
                    <a:noFill/>
                    <a:ln>
                      <a:noFill/>
                    </a:ln>
                  </pic:spPr>
                </pic:pic>
              </a:graphicData>
            </a:graphic>
          </wp:inline>
        </w:drawing>
      </w:r>
      <w:r w:rsidRPr="00AB4741">
        <w:rPr>
          <w:b w:val="0"/>
          <w:i/>
        </w:rPr>
        <w:t>Zdroj: GasNet, s.r.o., zpracování PROCES</w:t>
      </w:r>
      <w:r w:rsidR="00AB4741" w:rsidRPr="00AB4741">
        <w:rPr>
          <w:b w:val="0"/>
          <w:i/>
        </w:rPr>
        <w:t>, 2020.</w:t>
      </w:r>
    </w:p>
    <w:p w14:paraId="364844CA" w14:textId="77777777" w:rsidR="00216E8B" w:rsidRDefault="00216E8B" w:rsidP="00216E8B">
      <w:pPr>
        <w:pStyle w:val="Nadpis4"/>
      </w:pPr>
      <w:r>
        <w:t xml:space="preserve">Elektrická energie </w:t>
      </w:r>
    </w:p>
    <w:p w14:paraId="0D83BCAC" w14:textId="77777777" w:rsidR="00216E8B" w:rsidRDefault="00216E8B" w:rsidP="00216E8B">
      <w:r>
        <w:t>Město Zlín je v současné době převážně zásobováno el. energií z transformovny 110/22 kV Mladcová, která se nachází na severním okraji města a je v majetku Jihomoravské energetiky a.s., která zajišťuje zásobování elektrickou energií. Rozvodna 110 kV je zapojena do distribučního systému 110 kV čtyřmi vedeními VVN z rozvodny Otrokovice dále jsou odtud vyvedena vedení VVN 110 kV pro napájení transformoven Slušovice a Vsetín - v majetku SME, a.s. Transformovna Mladcová je osazena třemi transformátory 110/22 kV o celkovém instalovaném výkonu 105 MVA. Rozvodna je v klasickém venkovního provedení a je v dobrém technickém stavu.</w:t>
      </w:r>
    </w:p>
    <w:p w14:paraId="11E9CA4F" w14:textId="77777777" w:rsidR="00216E8B" w:rsidRDefault="00216E8B" w:rsidP="00216E8B">
      <w:r>
        <w:t>Rozložení zátěže distribuční sítě VN 22 kV na jednotlivé transformátory VVN/VN je průběžně upravováno dle provozních stavů dle výpočtu pro optimální přenosové podmínky.</w:t>
      </w:r>
    </w:p>
    <w:p w14:paraId="5102F88A" w14:textId="77777777" w:rsidR="00216E8B" w:rsidRDefault="00216E8B" w:rsidP="00216E8B">
      <w:r>
        <w:lastRenderedPageBreak/>
        <w:t>Stávající rozvody VN jsou v provedení jako okružní venkovní síť, ovšem v samotném městě Zlín převážně jako kabelové vedení VN. Tato vedení jsou provozována v dobrém stavu z hlediska bezpečnosti a provozuschopnosti. Elektrorozvodný systém, který se v oblasti města Zlína v průběhu dosavadního vývoje vytvořil, zajistí požadované odběry el. energie i v dalším období bez výraznějších zásahů do jeho rozšíření.</w:t>
      </w:r>
    </w:p>
    <w:p w14:paraId="7A0596AD" w14:textId="77777777" w:rsidR="00216E8B" w:rsidRDefault="00216E8B" w:rsidP="00216E8B">
      <w:r>
        <w:t>Maximální odběr elektrického výkonu na území statutárního města Zlín dosahuje 57 MW. Elektrická energie vyrobená na území města pokrývá cca 58 % spotřeby, zbytek je dodáván ze zdrojů mimo území Zlína.</w:t>
      </w:r>
    </w:p>
    <w:p w14:paraId="4372752A" w14:textId="7C990765" w:rsidR="00216E8B" w:rsidRDefault="00216E8B" w:rsidP="00216E8B">
      <w:pPr>
        <w:pStyle w:val="Titulek"/>
        <w:keepNext/>
      </w:pPr>
      <w:bookmarkStart w:id="329" w:name="_Toc51933208"/>
      <w:bookmarkStart w:id="330" w:name="_Toc7707488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64</w:t>
      </w:r>
      <w:r w:rsidR="00804AF3">
        <w:rPr>
          <w:noProof/>
        </w:rPr>
        <w:fldChar w:fldCharType="end"/>
      </w:r>
      <w:r w:rsidR="00C16DA5">
        <w:rPr>
          <w:noProof/>
        </w:rPr>
        <w:t>:</w:t>
      </w:r>
      <w:r>
        <w:t xml:space="preserve"> Síť elektrického vedení</w:t>
      </w:r>
      <w:bookmarkEnd w:id="329"/>
      <w:bookmarkEnd w:id="330"/>
    </w:p>
    <w:p w14:paraId="1905B217" w14:textId="77777777" w:rsidR="00216E8B" w:rsidRDefault="00216E8B" w:rsidP="00216E8B">
      <w:r>
        <w:rPr>
          <w:noProof/>
          <w:lang w:eastAsia="cs-CZ"/>
        </w:rPr>
        <w:drawing>
          <wp:inline distT="0" distB="0" distL="0" distR="0" wp14:anchorId="355590B2" wp14:editId="2E9CBEC1">
            <wp:extent cx="5760720" cy="4322824"/>
            <wp:effectExtent l="0" t="0" r="0" b="1905"/>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lin_Elektrina.png"/>
                    <pic:cNvPicPr/>
                  </pic:nvPicPr>
                  <pic:blipFill>
                    <a:blip r:embed="rId106" cstate="print">
                      <a:extLst>
                        <a:ext uri="{28A0092B-C50C-407E-A947-70E740481C1C}">
                          <a14:useLocalDpi xmlns:a14="http://schemas.microsoft.com/office/drawing/2010/main"/>
                        </a:ext>
                      </a:extLst>
                    </a:blip>
                    <a:stretch>
                      <a:fillRect/>
                    </a:stretch>
                  </pic:blipFill>
                  <pic:spPr>
                    <a:xfrm>
                      <a:off x="0" y="0"/>
                      <a:ext cx="5760720" cy="4322824"/>
                    </a:xfrm>
                    <a:prstGeom prst="rect">
                      <a:avLst/>
                    </a:prstGeom>
                  </pic:spPr>
                </pic:pic>
              </a:graphicData>
            </a:graphic>
          </wp:inline>
        </w:drawing>
      </w:r>
    </w:p>
    <w:p w14:paraId="0A8DCA11" w14:textId="29CC20F9" w:rsidR="00216E8B" w:rsidRDefault="00216E8B" w:rsidP="00216E8B">
      <w:pPr>
        <w:pStyle w:val="Zdroj"/>
      </w:pPr>
      <w:r>
        <w:t>Zdroj: MVČR, ÚAP SO ORP Zlín</w:t>
      </w:r>
      <w:r w:rsidR="00C16DA5">
        <w:t>.</w:t>
      </w:r>
    </w:p>
    <w:p w14:paraId="7C8D9A01" w14:textId="77777777" w:rsidR="00216E8B" w:rsidRDefault="00216E8B" w:rsidP="00216E8B">
      <w:pPr>
        <w:pStyle w:val="Nadpis4"/>
      </w:pPr>
      <w:r>
        <w:t>Zásobování teplem</w:t>
      </w:r>
    </w:p>
    <w:p w14:paraId="5F5A2288" w14:textId="77777777" w:rsidR="00216E8B" w:rsidRDefault="00216E8B" w:rsidP="00216E8B">
      <w:r>
        <w:t xml:space="preserve">Moravské teplárny a.s. provozují rozsáhlé tepelné sítě parní i horkovodní. V zimním období je dodávaný výkon parních sítí až 128 MW, dodávaný výkon horkovodních sítí je až 105 MW. Z parních sítí je zásobován především průmysl (MITAS a.s., Masný průmysl - Krásno, IGTT, Zlínská dopravní a další), terciální sektor (školy, Krajský soud Zlín, městské lázně, zimní stadion, Krajská nemocnice T. Bati a další) a rovněž značný počet odběratelů sektoru bydlení. Horkovodní síť zásobuje především sektor bydlení prostřednictvím a.s. Teplo Zlín, ale z horkovodní sítě odebírá teplo rovněž mnoho odběratelů terciálního sektoru i menších průmyslových provozoven. </w:t>
      </w:r>
    </w:p>
    <w:p w14:paraId="1FEB9326" w14:textId="1CE3E49F" w:rsidR="00216E8B" w:rsidRDefault="00216E8B" w:rsidP="00216E8B">
      <w:r>
        <w:t>Velká část rozvodů páry i horké vody v centru města a v areálu SVIT je více než 40 let stará a proto je nezbytně nutná rekonstrukce některých úseků, která může být spojená i se zvýšením dimenzí, což by umožnilo potřebné zvýšení tepelných výkonů. Například páteřní rozvod horké vody na tř. T.</w:t>
      </w:r>
      <w:r w:rsidR="00C16DA5">
        <w:t xml:space="preserve"> </w:t>
      </w:r>
      <w:r>
        <w:t xml:space="preserve">Bati v úseku od ulice Díly III po novou výměníkovou stanici u nové prodejny LIDL (kolem hotelu SOLE) nebo </w:t>
      </w:r>
      <w:r>
        <w:lastRenderedPageBreak/>
        <w:t>parovod v Loukách kolem IGTT</w:t>
      </w:r>
      <w:r w:rsidR="00C16DA5">
        <w:t>, a.s.</w:t>
      </w:r>
      <w:r>
        <w:t xml:space="preserve"> a krajského soudu. Dostupnost tepelné energie je omezena rozsahem soustavy centrálního zásobování teplem. Pokrývá území největších sídlišť i vnitřního města. Spotřeba tepla dodávaného CZT v posledních letech mírně roste. U systému CZT lze předpokládat další rozvoj. </w:t>
      </w:r>
    </w:p>
    <w:p w14:paraId="2B78E72E" w14:textId="77777777" w:rsidR="00216E8B" w:rsidRDefault="00216E8B" w:rsidP="00216E8B">
      <w:r>
        <w:rPr>
          <w:b/>
        </w:rPr>
        <w:t>Teplárna Otrokovice a.s</w:t>
      </w:r>
      <w:r>
        <w:t xml:space="preserve">. zásobuje teplem západní část Zlína, tzn. Malenovice. V roce 1999 byl vybudován horkovod 2 x DN 350 s teplotním spádem horké vody 125/70°C. Z tohoto horkovodu je zásobováno teplem sídliště Malenovice, základní škola, areál Hespo, Pozemní stavitelství a nákupní centrum Centro Zlín. V roce 2002 bylo provedeno napojení horkovodního řádu z teplárny na rozvod Energetiky Malenovice tak, aby mohl být z teplárny zásobován celý areál TAJMAC – ZPS a.s. a stávající výtopna Energetiky Malenovice zároveň slouží jako záložní zdroj pro horkovod. </w:t>
      </w:r>
    </w:p>
    <w:p w14:paraId="5849A966" w14:textId="09AFF883" w:rsidR="00216E8B" w:rsidRDefault="00216E8B" w:rsidP="00216E8B">
      <w:pPr>
        <w:pStyle w:val="Titulek"/>
        <w:keepNext/>
      </w:pPr>
      <w:bookmarkStart w:id="331" w:name="_Toc51933209"/>
      <w:bookmarkStart w:id="332" w:name="_Toc7707488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65</w:t>
      </w:r>
      <w:r w:rsidR="00804AF3">
        <w:rPr>
          <w:noProof/>
        </w:rPr>
        <w:fldChar w:fldCharType="end"/>
      </w:r>
      <w:r w:rsidR="00C16DA5">
        <w:rPr>
          <w:noProof/>
        </w:rPr>
        <w:t>:</w:t>
      </w:r>
      <w:r>
        <w:t xml:space="preserve"> Teplovodní tepelná síť</w:t>
      </w:r>
      <w:bookmarkEnd w:id="331"/>
      <w:bookmarkEnd w:id="332"/>
    </w:p>
    <w:p w14:paraId="1CF49828" w14:textId="77777777" w:rsidR="00216E8B" w:rsidRDefault="00216E8B" w:rsidP="00216E8B">
      <w:r>
        <w:rPr>
          <w:noProof/>
          <w:lang w:eastAsia="cs-CZ"/>
        </w:rPr>
        <w:drawing>
          <wp:inline distT="0" distB="0" distL="0" distR="0" wp14:anchorId="4E4EAD88" wp14:editId="3B6415D2">
            <wp:extent cx="5760720" cy="4323080"/>
            <wp:effectExtent l="0" t="0" r="0" b="1270"/>
            <wp:docPr id="217" name="Obráze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plo_Zlin.png"/>
                    <pic:cNvPicPr/>
                  </pic:nvPicPr>
                  <pic:blipFill>
                    <a:blip r:embed="rId107" cstate="print">
                      <a:extLst>
                        <a:ext uri="{28A0092B-C50C-407E-A947-70E740481C1C}">
                          <a14:useLocalDpi xmlns:a14="http://schemas.microsoft.com/office/drawing/2010/main"/>
                        </a:ext>
                      </a:extLst>
                    </a:blip>
                    <a:stretch>
                      <a:fillRect/>
                    </a:stretch>
                  </pic:blipFill>
                  <pic:spPr>
                    <a:xfrm>
                      <a:off x="0" y="0"/>
                      <a:ext cx="5760720" cy="4323080"/>
                    </a:xfrm>
                    <a:prstGeom prst="rect">
                      <a:avLst/>
                    </a:prstGeom>
                  </pic:spPr>
                </pic:pic>
              </a:graphicData>
            </a:graphic>
          </wp:inline>
        </w:drawing>
      </w:r>
    </w:p>
    <w:p w14:paraId="6E7DF1CC" w14:textId="436A206B" w:rsidR="00216E8B" w:rsidRDefault="00216E8B" w:rsidP="00216E8B">
      <w:pPr>
        <w:pStyle w:val="Zdroj"/>
      </w:pPr>
      <w:r>
        <w:t>Zdroj: MVČR, ÚAP SO ORP Zlín</w:t>
      </w:r>
      <w:r w:rsidR="00C16DA5">
        <w:t>.</w:t>
      </w:r>
    </w:p>
    <w:p w14:paraId="70B212F2" w14:textId="77777777" w:rsidR="00216E8B" w:rsidRDefault="00216E8B" w:rsidP="00216E8B"/>
    <w:p w14:paraId="7A8DC738" w14:textId="77777777" w:rsidR="00216E8B" w:rsidRDefault="00216E8B" w:rsidP="00216E8B">
      <w:pPr>
        <w:pStyle w:val="Nadpis4"/>
      </w:pPr>
      <w:r>
        <w:t xml:space="preserve"> Datová infrastruktura</w:t>
      </w:r>
    </w:p>
    <w:p w14:paraId="2C20B28B" w14:textId="6858B870" w:rsidR="00216E8B" w:rsidRDefault="00216E8B" w:rsidP="00216E8B">
      <w:pPr>
        <w:keepNext/>
      </w:pPr>
      <w:r>
        <w:t>Datové sítě ve Zlíně pokrývají celé území města, čímž je zajištěna vysoká dostupnost internetového připojení pro jeho obyvatele. Směrem z Otrokovic do města vede optická datová síť, která jednak zasahuje do východní části Malenovic (areál slévárny), další větev pak prochází místní částí Louky a</w:t>
      </w:r>
      <w:r w:rsidR="00C16DA5">
        <w:t> </w:t>
      </w:r>
      <w:r>
        <w:t xml:space="preserve">Prštným, na území k.ú. Zlín, v oblasti Nad Stráněmi se dělí na 3 další větve, a to severní (směřující ve směru ulice Okružní směrem ke Kocandě), severovýchodní (směřující po severním okraji </w:t>
      </w:r>
      <w:r w:rsidRPr="00584358">
        <w:t>baťovské zástavby v části Zálešná</w:t>
      </w:r>
      <w:r>
        <w:t xml:space="preserve">, končící v budově </w:t>
      </w:r>
      <w:r w:rsidRPr="00584358">
        <w:t>Zdravotnick</w:t>
      </w:r>
      <w:r>
        <w:t>é záchranné služby</w:t>
      </w:r>
      <w:r w:rsidRPr="00584358">
        <w:t xml:space="preserve"> Zlínského kraje</w:t>
      </w:r>
      <w:r>
        <w:t xml:space="preserve">) a jihovýchodní (vedoucí do lokalit Lazy a Lesní čtvrť). V budoucnu je plánováno další rozšiřování optických sítí na území města. Možnosti města v rozvoji datových sítí jsou omezené. Statutární město </w:t>
      </w:r>
      <w:r>
        <w:lastRenderedPageBreak/>
        <w:t xml:space="preserve">Zlín poskytuje </w:t>
      </w:r>
      <w:r w:rsidRPr="0023318A">
        <w:t>WIFI</w:t>
      </w:r>
      <w:r>
        <w:t xml:space="preserve"> připojení lokalitách v Komenského park</w:t>
      </w:r>
      <w:r w:rsidRPr="0023318A">
        <w:t>, Gahurův prospekt, Sad svobody a centrální park na Jižních svazích</w:t>
      </w:r>
      <w:r>
        <w:t>.</w:t>
      </w:r>
    </w:p>
    <w:p w14:paraId="7D6E5A6E" w14:textId="086962A6" w:rsidR="00216E8B" w:rsidRDefault="00216E8B" w:rsidP="00216E8B">
      <w:pPr>
        <w:pStyle w:val="Titulek"/>
        <w:keepNext/>
      </w:pPr>
      <w:bookmarkStart w:id="333" w:name="_Toc51933210"/>
      <w:bookmarkStart w:id="334" w:name="_Toc7707488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66</w:t>
      </w:r>
      <w:r w:rsidR="00804AF3">
        <w:rPr>
          <w:noProof/>
        </w:rPr>
        <w:fldChar w:fldCharType="end"/>
      </w:r>
      <w:r w:rsidR="00C16DA5">
        <w:rPr>
          <w:noProof/>
        </w:rPr>
        <w:t>:</w:t>
      </w:r>
      <w:r>
        <w:t xml:space="preserve"> Datové sítě</w:t>
      </w:r>
      <w:bookmarkEnd w:id="333"/>
      <w:bookmarkEnd w:id="334"/>
    </w:p>
    <w:p w14:paraId="0D90294C" w14:textId="77777777" w:rsidR="00216E8B" w:rsidRDefault="00216E8B" w:rsidP="00216E8B">
      <w:r>
        <w:rPr>
          <w:noProof/>
          <w:lang w:eastAsia="cs-CZ"/>
        </w:rPr>
        <w:drawing>
          <wp:inline distT="0" distB="0" distL="0" distR="0" wp14:anchorId="09A5E3D9" wp14:editId="3C22A50B">
            <wp:extent cx="5760720" cy="4323080"/>
            <wp:effectExtent l="0" t="0" r="0" b="1270"/>
            <wp:docPr id="218" name="Obráze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tove_site_Zlin.png"/>
                    <pic:cNvPicPr/>
                  </pic:nvPicPr>
                  <pic:blipFill>
                    <a:blip r:embed="rId108" cstate="print">
                      <a:extLst>
                        <a:ext uri="{28A0092B-C50C-407E-A947-70E740481C1C}">
                          <a14:useLocalDpi xmlns:a14="http://schemas.microsoft.com/office/drawing/2010/main"/>
                        </a:ext>
                      </a:extLst>
                    </a:blip>
                    <a:stretch>
                      <a:fillRect/>
                    </a:stretch>
                  </pic:blipFill>
                  <pic:spPr>
                    <a:xfrm>
                      <a:off x="0" y="0"/>
                      <a:ext cx="5760720" cy="4323080"/>
                    </a:xfrm>
                    <a:prstGeom prst="rect">
                      <a:avLst/>
                    </a:prstGeom>
                  </pic:spPr>
                </pic:pic>
              </a:graphicData>
            </a:graphic>
          </wp:inline>
        </w:drawing>
      </w:r>
    </w:p>
    <w:p w14:paraId="6E8CFB7C" w14:textId="15CF60E6" w:rsidR="00216E8B" w:rsidRDefault="00216E8B" w:rsidP="00216E8B">
      <w:pPr>
        <w:pStyle w:val="Zdroj"/>
      </w:pPr>
      <w:r>
        <w:t>Zdroj: MVČR, ÚAP SO ORP Zlín</w:t>
      </w:r>
      <w:r w:rsidR="00C16DA5">
        <w:t>.</w:t>
      </w:r>
    </w:p>
    <w:p w14:paraId="3198AAB3" w14:textId="77777777" w:rsidR="00216E8B" w:rsidRDefault="00216E8B" w:rsidP="00216E8B">
      <w:pPr>
        <w:pStyle w:val="Nadpis4"/>
      </w:pPr>
      <w:r>
        <w:t>Využití obnovitelných zdrojů a tepelných čerpadel</w:t>
      </w:r>
    </w:p>
    <w:p w14:paraId="48D9692C" w14:textId="77777777" w:rsidR="00216E8B" w:rsidRPr="008F2FFE" w:rsidRDefault="00216E8B" w:rsidP="00216E8B">
      <w:pPr>
        <w:keepNext/>
        <w:rPr>
          <w:b/>
        </w:rPr>
      </w:pPr>
      <w:r w:rsidRPr="008F2FFE">
        <w:rPr>
          <w:b/>
        </w:rPr>
        <w:t>VYUŽITÍ BIOMASY</w:t>
      </w:r>
    </w:p>
    <w:p w14:paraId="57A49626" w14:textId="77777777" w:rsidR="00216E8B" w:rsidRDefault="00216E8B" w:rsidP="00216E8B">
      <w:r>
        <w:t xml:space="preserve">Energetické využití biomasy, tedy převážně palivového dřeva a dřevního odpadu, eventuálně upravených biopaliv jako jsou dřevní štěpky, pelety či brikety, je v podmínkách městské aglomerace problematické z důvodu přepravy, sušení a skladování velkého objemu a také z důvodu zvyšování obsahu pevných částic v ovzduší při spalování dřeva. V současné době je dřevní hmota spalována v okrajových částech města. Dostupný potenciál, který se dá získat spalováním v dřevní hmotě, stanovuje energetická koncepce města na 80 480 GJ, potenciál energetických rostlin na nevyužité zemědělské půdě stanovuje jako nulový, u obilní a řepkové slámy zanedbatelný, u směsí vytříděných odpadů stanovuje potenciál na </w:t>
      </w:r>
      <w:r w:rsidRPr="00181476">
        <w:t>300</w:t>
      </w:r>
      <w:r>
        <w:t xml:space="preserve"> 300 </w:t>
      </w:r>
      <w:r w:rsidRPr="00181476">
        <w:t>GJ/rok</w:t>
      </w:r>
      <w:r>
        <w:t>, p</w:t>
      </w:r>
      <w:r w:rsidRPr="00181476">
        <w:t>otenciál energie skládkového plynu ze skládky Suchý důl</w:t>
      </w:r>
      <w:r>
        <w:t xml:space="preserve"> pak na </w:t>
      </w:r>
      <w:r w:rsidRPr="00181476">
        <w:t>15 300 GJ</w:t>
      </w:r>
      <w:r>
        <w:t>/rok, p</w:t>
      </w:r>
      <w:r w:rsidRPr="00181476">
        <w:t xml:space="preserve">otenciál energie bioplynu z ČOV Malenovice </w:t>
      </w:r>
      <w:r>
        <w:t>9 900 až 13 700 GJ/rok.</w:t>
      </w:r>
      <w:r w:rsidRPr="00181476">
        <w:t xml:space="preserve"> </w:t>
      </w:r>
    </w:p>
    <w:p w14:paraId="60210F7D" w14:textId="77777777" w:rsidR="00216E8B" w:rsidRPr="008F2FFE" w:rsidRDefault="00216E8B" w:rsidP="00216E8B">
      <w:pPr>
        <w:keepNext/>
        <w:rPr>
          <w:b/>
        </w:rPr>
      </w:pPr>
      <w:r w:rsidRPr="008F2FFE">
        <w:rPr>
          <w:b/>
        </w:rPr>
        <w:t>ENERGIE VODNÍCH TOKŮ</w:t>
      </w:r>
    </w:p>
    <w:p w14:paraId="6F5C0686" w14:textId="4FC5239B" w:rsidR="00216E8B" w:rsidRDefault="00216E8B" w:rsidP="00216E8B">
      <w:r>
        <w:t>Na základě dostupných informací a podkladů lze konstatovat, že na území města Zlína je v provozu jediná malá vodní elektrárna o výkonu 14 kW. Je umístěna u jezu Klečůvka v základní sídelní jednotce Želechovice na řece Dřevnici. Vzhledem k velmi malým průtokům vody je její provoz velmi složitý. Roční výroba elektrické energie je odhadována na 56 MWh</w:t>
      </w:r>
      <w:r w:rsidR="00C16DA5">
        <w:t>,</w:t>
      </w:r>
      <w:r>
        <w:t xml:space="preserve"> to je cca 200 GJ za rok. </w:t>
      </w:r>
      <w:r w:rsidRPr="00181476">
        <w:t xml:space="preserve">Dle odhadů lze uvažovat </w:t>
      </w:r>
      <w:r w:rsidRPr="00181476">
        <w:lastRenderedPageBreak/>
        <w:t>se zvýšením stávajícího instalovaného výkonu na max. 45 kW, což odpovídá roční výrobě elektrické energie 170 MWh</w:t>
      </w:r>
      <w:r>
        <w:t>,</w:t>
      </w:r>
      <w:r w:rsidRPr="00181476">
        <w:t xml:space="preserve"> to znamená dostupný potenciál energie vodních toků 612 GJ za rok.</w:t>
      </w:r>
      <w:r>
        <w:t xml:space="preserve"> </w:t>
      </w:r>
    </w:p>
    <w:p w14:paraId="387333E6" w14:textId="77777777" w:rsidR="00216E8B" w:rsidRPr="008F2FFE" w:rsidRDefault="00216E8B" w:rsidP="00216E8B">
      <w:pPr>
        <w:keepNext/>
        <w:rPr>
          <w:b/>
        </w:rPr>
      </w:pPr>
      <w:r w:rsidRPr="008F2FFE">
        <w:rPr>
          <w:b/>
        </w:rPr>
        <w:t>ENERGIE VĚTRU</w:t>
      </w:r>
    </w:p>
    <w:p w14:paraId="369AC3B7" w14:textId="77777777" w:rsidR="00216E8B" w:rsidRDefault="00216E8B" w:rsidP="00216E8B">
      <w:r>
        <w:t>Využívání energie větru je v současné době v ČR omezeno na poměrně malý počet lokalit. Území vhodná pro výstavbu větrných elektráren jsou tam, kde střední rychlost převyšuje 5 m.s</w:t>
      </w:r>
      <w:r>
        <w:rPr>
          <w:vertAlign w:val="superscript"/>
        </w:rPr>
        <w:t>-1</w:t>
      </w:r>
      <w:r>
        <w:t>. Na základě dostupných informací není na území Zlína v provozu žádná větrná elektrárna a vzhledem k malým středním rychlostem větru nelze předpokládat využití větrné energie na území města. Dle Ernergetické koncepce města Zlína je potenciál využití energie větru hodnocen jako nulový.</w:t>
      </w:r>
    </w:p>
    <w:p w14:paraId="6A53100E" w14:textId="58F3D928" w:rsidR="00216E8B" w:rsidRPr="008F2FFE" w:rsidRDefault="00216E8B" w:rsidP="00216E8B">
      <w:pPr>
        <w:keepNext/>
        <w:rPr>
          <w:b/>
        </w:rPr>
      </w:pPr>
      <w:r w:rsidRPr="008F2FFE">
        <w:rPr>
          <w:b/>
        </w:rPr>
        <w:t>ENERGIE SLUNEČNÍHO ZÁŘENÍ</w:t>
      </w:r>
    </w:p>
    <w:p w14:paraId="0F9BDB5B" w14:textId="77777777" w:rsidR="00216E8B" w:rsidRDefault="00216E8B" w:rsidP="00216E8B">
      <w:r>
        <w:t>Je v současné době využívána zejména v kapalinových solárních systémech zejména k ohřevu TUV v rodinných domech a vody v bazénech. Na základě dostupných informací je na území Zlína instalováno asi 400m</w:t>
      </w:r>
      <w:r>
        <w:rPr>
          <w:vertAlign w:val="superscript"/>
        </w:rPr>
        <w:t>2</w:t>
      </w:r>
      <w:r>
        <w:t xml:space="preserve"> plochy kapalinových solárních kolektorů, ze kterých by bylo možné získat až 570 GJ tepelné energie za rok. Pro odhad výroby tepelné energie v průměrných solárních zařízeních v podmínkách ČR lze použít údaj cca 350 – 420 kWh na m</w:t>
      </w:r>
      <w:r>
        <w:rPr>
          <w:vertAlign w:val="superscript"/>
        </w:rPr>
        <w:t xml:space="preserve">2 </w:t>
      </w:r>
      <w:r>
        <w:t>kolektorové plochy za rok. Například na střeše budovy SPŠ Zlín se nachází 105 m</w:t>
      </w:r>
      <w:r>
        <w:rPr>
          <w:vertAlign w:val="superscript"/>
        </w:rPr>
        <w:t>2</w:t>
      </w:r>
      <w:r>
        <w:t xml:space="preserve"> kolektorů k ohřevu teplé vody.</w:t>
      </w:r>
    </w:p>
    <w:p w14:paraId="693AE59B" w14:textId="77777777" w:rsidR="00216E8B" w:rsidRDefault="00216E8B" w:rsidP="00216E8B">
      <w:r>
        <w:t>Další možností využití sluneční energie je její přímá přeměna na elektrickou energii ve fotovoltaických systémech. Sluneční energie je vzhledem k nepříznivému rozložení výkonu v jednotlivých měsících vhodnější na výrobu elektrické energie než na vytápění. Vzhledem k vysokým investičním nákladům je však zatím v současné době využívání solárních fotovoltaických systémů jen velmi ojedinělé (např. pro napájení dopravního značení nebo demonstrační panely ve školách).</w:t>
      </w:r>
      <w:r w:rsidRPr="006068C2">
        <w:t xml:space="preserve"> </w:t>
      </w:r>
      <w:r>
        <w:t>Technické služby Zlín provozují fotovoltaickou elektrárnu</w:t>
      </w:r>
      <w:r w:rsidRPr="00E36D84">
        <w:t xml:space="preserve"> jak ve svém areálu v Loukách, tak na skládce na Suchém dole.</w:t>
      </w:r>
      <w:r>
        <w:t xml:space="preserve"> Na základě analýzy dostupného potenciálu sluneční energie je možno konstatovat, že dostupný potenciál sluneční energie ve Zlíně činí ca 18 000 GJ ročně. </w:t>
      </w:r>
    </w:p>
    <w:p w14:paraId="13876A51" w14:textId="77777777" w:rsidR="00216E8B" w:rsidRPr="008F2FFE" w:rsidRDefault="00216E8B" w:rsidP="00216E8B">
      <w:pPr>
        <w:keepNext/>
        <w:rPr>
          <w:b/>
        </w:rPr>
      </w:pPr>
      <w:r w:rsidRPr="008F2FFE">
        <w:rPr>
          <w:b/>
        </w:rPr>
        <w:t>GEOTERMÁLNÍ ENERGIE A ENERGIE PROSTŘEDÍ</w:t>
      </w:r>
    </w:p>
    <w:p w14:paraId="4D065455" w14:textId="77777777" w:rsidR="00216E8B" w:rsidRDefault="00216E8B" w:rsidP="00216E8B">
      <w:r>
        <w:t>Tepelná čerpadla jsou progresivní zařízení pro zužitkování nízkoteplotních zdrojů, jejichž teplo je možné efektivně využít pro vytápění a ohřev teplé užitkové vody. Primárním zdrojem tepla pro tepelná čerpadla jsou:</w:t>
      </w:r>
    </w:p>
    <w:p w14:paraId="06DE0F7C" w14:textId="77777777" w:rsidR="00216E8B" w:rsidRDefault="00216E8B" w:rsidP="00216E8B">
      <w:pPr>
        <w:numPr>
          <w:ilvl w:val="0"/>
          <w:numId w:val="34"/>
        </w:numPr>
        <w:spacing w:before="0"/>
        <w:jc w:val="left"/>
      </w:pPr>
      <w:r>
        <w:rPr>
          <w:u w:val="single"/>
        </w:rPr>
        <w:t>voda</w:t>
      </w:r>
      <w:r>
        <w:t xml:space="preserve"> podzemní (je vhodná vzhledem ke své stálé teplotní úrovni), povrchová i odpadní </w:t>
      </w:r>
    </w:p>
    <w:p w14:paraId="1004A9EB" w14:textId="77777777" w:rsidR="00216E8B" w:rsidRDefault="00216E8B" w:rsidP="00216E8B">
      <w:pPr>
        <w:numPr>
          <w:ilvl w:val="0"/>
          <w:numId w:val="34"/>
        </w:numPr>
        <w:spacing w:before="0"/>
        <w:jc w:val="left"/>
      </w:pPr>
      <w:r>
        <w:rPr>
          <w:u w:val="single"/>
        </w:rPr>
        <w:t xml:space="preserve">vzduch </w:t>
      </w:r>
      <w:r>
        <w:t>venkovní i odpadní</w:t>
      </w:r>
    </w:p>
    <w:p w14:paraId="1DF753BF" w14:textId="77777777" w:rsidR="00216E8B" w:rsidRDefault="00216E8B" w:rsidP="00216E8B">
      <w:pPr>
        <w:numPr>
          <w:ilvl w:val="0"/>
          <w:numId w:val="34"/>
        </w:numPr>
        <w:spacing w:before="0"/>
        <w:jc w:val="left"/>
      </w:pPr>
      <w:r>
        <w:rPr>
          <w:u w:val="single"/>
        </w:rPr>
        <w:t xml:space="preserve">země </w:t>
      </w:r>
      <w:r>
        <w:t>tzn. teplo z půdní vrstvy nebo z vrtů</w:t>
      </w:r>
    </w:p>
    <w:p w14:paraId="345482C8" w14:textId="77777777" w:rsidR="00216E8B" w:rsidRDefault="00216E8B" w:rsidP="00216E8B">
      <w:r>
        <w:t>Celkový dostupný potenciál využití geotermální energie s využitím tepelných čerpadel činí po odečtení vlastní spotřeby elektřiny v tepelných čerpadlech celkem 22 860 GJ ročně. Tento potenciál odpovídá 246 instalacím tepelných čerpadel v rodinných domech a 21 instalacím v bytových domech. Předpokládané investiční náklady by dosáhly 84,5 milionů Kč. Výše dostupného potenciálu odpovídá 0,4 % současné spotřeby primárních energetických zdrojů.</w:t>
      </w:r>
    </w:p>
    <w:p w14:paraId="0DD04576" w14:textId="77777777" w:rsidR="003B5ADB" w:rsidRPr="001A5EF5" w:rsidRDefault="003B5ADB" w:rsidP="003B5ADB">
      <w:pPr>
        <w:pStyle w:val="Nadpis4"/>
      </w:pPr>
      <w:r w:rsidRPr="001A5EF5">
        <w:t>Veřejné osvětlení</w:t>
      </w:r>
    </w:p>
    <w:p w14:paraId="0A057FDC" w14:textId="77777777" w:rsidR="003B5ADB" w:rsidRDefault="003B5ADB" w:rsidP="003B5ADB">
      <w:r w:rsidRPr="001A5EF5">
        <w:t xml:space="preserve">Veřejné osvětlení (VO) je venkovní osvětlení veřejných prostorů měst a obcí zahrnující zejména osvětlení pozemních komunikací, architekturní osvětlení a dekorativní osvětlení. Úkolem veřejného osvětlení je především zajištění bezpečnosti dopravy, osob a majetku (osvětlení pozemních komunikací), ale i zkrášlení měst a obcí osvětlením významných objektů (architekturní osvětlení) nebo dekorativní světelnou výzdobou (dekorativní osvětlení). </w:t>
      </w:r>
    </w:p>
    <w:p w14:paraId="1006D30C" w14:textId="77777777" w:rsidR="003B5ADB" w:rsidRDefault="003B5ADB" w:rsidP="003B5ADB">
      <w:r>
        <w:t xml:space="preserve">Celkově je ve městě 11 864 světelných bodů (dále </w:t>
      </w:r>
      <w:r w:rsidRPr="0059203F">
        <w:t>S</w:t>
      </w:r>
      <w:r>
        <w:t>B), přičemž v majetku Technických služeb Zlín (dále TSZ) je 10 092 (85,1 %), v majetku MMZ pak 1 619 SB (13,6 %) a 153 SB pro nasvětlení přechodů (1,3 %).</w:t>
      </w:r>
    </w:p>
    <w:p w14:paraId="70DB28B5" w14:textId="77777777" w:rsidR="003B5ADB" w:rsidRDefault="003B5ADB" w:rsidP="003B5ADB">
      <w:pPr>
        <w:pStyle w:val="Titulek"/>
        <w:keepNext/>
        <w:rPr>
          <w:b w:val="0"/>
          <w:color w:val="000000" w:themeColor="text1"/>
          <w:sz w:val="22"/>
          <w:szCs w:val="22"/>
          <w:u w:val="single"/>
        </w:rPr>
      </w:pPr>
      <w:r w:rsidRPr="001A5EF5">
        <w:rPr>
          <w:b w:val="0"/>
          <w:color w:val="000000" w:themeColor="text1"/>
          <w:sz w:val="22"/>
          <w:szCs w:val="22"/>
          <w:u w:val="single"/>
        </w:rPr>
        <w:lastRenderedPageBreak/>
        <w:t>Technický stav VO</w:t>
      </w:r>
      <w:r>
        <w:rPr>
          <w:b w:val="0"/>
          <w:color w:val="000000" w:themeColor="text1"/>
          <w:sz w:val="22"/>
          <w:szCs w:val="22"/>
          <w:u w:val="single"/>
        </w:rPr>
        <w:t xml:space="preserve"> a investice</w:t>
      </w:r>
    </w:p>
    <w:p w14:paraId="22B58E2F" w14:textId="77777777" w:rsidR="003B5ADB" w:rsidRDefault="003B5ADB" w:rsidP="003B5ADB">
      <w:r>
        <w:t>Stávající VO je průběžně revidováno a závady, které jsou odhaleny při běžné údržbě, jsou ihned odstraňovány. Stejně tak závady zjištěné při provádění pravidelných revizí. Stejně tak probíhá okamžitá výměna stožárů, u kterých byl zjištěn havarijní stav, nebo byly jinak poškozeny.</w:t>
      </w:r>
    </w:p>
    <w:p w14:paraId="2A1C603E" w14:textId="77777777" w:rsidR="003B5ADB" w:rsidRDefault="003B5ADB" w:rsidP="003B5ADB">
      <w:r>
        <w:t>V letech 2004 – 2009 proběhla ze strany TSZ výrazná investice, která byla zaměřena primárně na snížení energetické náročnosti VO. Postupně v několika etapách bylo vyměněno 6 714 ks svítidel (náhrada původních rtuťových s příkonem nad 150 W za sodíkové s příkonem 100 W). Vyměněno a instalováno bylo 60 % nových napájecích rozváděčů a byly instalovány další regulátory VO. Odběrná místa byla optimalizována a došlo k jejich redukci. Stejně tak byly optimalizovány hodnoty hlavních jističů. V lokalitě Malenovice a částečně Zlín Jižní svahy proběhla výměna stožárů v počtu 120 ks a 100 ks bylo zrenovováno nátěrem.</w:t>
      </w:r>
      <w:r w:rsidRPr="00C2237D">
        <w:t xml:space="preserve"> </w:t>
      </w:r>
      <w:r w:rsidRPr="00903A51">
        <w:t>Současný příkon na jeden světelný je 94 W</w:t>
      </w:r>
      <w:r>
        <w:t>.</w:t>
      </w:r>
    </w:p>
    <w:p w14:paraId="1DA4E2B9" w14:textId="77777777" w:rsidR="003B5ADB" w:rsidRDefault="003B5ADB" w:rsidP="003B5ADB">
      <w:r>
        <w:t>Tyto investice přinesly pokles nákladů na energie o 43 %, bez započítané úspory na regulaci. Ta se průměrně pohybuje kolem 30 %.  Celková výše investic se pohybovala kolem 40 mil. Kč.</w:t>
      </w:r>
    </w:p>
    <w:p w14:paraId="599A8F86" w14:textId="77777777" w:rsidR="003B5ADB" w:rsidRPr="009F1A93" w:rsidRDefault="003B5ADB" w:rsidP="003B5ADB">
      <w:pPr>
        <w:rPr>
          <w:u w:val="single"/>
        </w:rPr>
      </w:pPr>
      <w:r w:rsidRPr="009F1A93">
        <w:rPr>
          <w:u w:val="single"/>
        </w:rPr>
        <w:t>Náklady na veřejné osvětlení</w:t>
      </w:r>
    </w:p>
    <w:p w14:paraId="1980E9FD" w14:textId="77777777" w:rsidR="003B5ADB" w:rsidRPr="00C2237D" w:rsidRDefault="003B5ADB" w:rsidP="003B5ADB">
      <w:pPr>
        <w:rPr>
          <w:color w:val="FF0000"/>
        </w:rPr>
      </w:pPr>
      <w:r w:rsidRPr="009F1A93">
        <w:t xml:space="preserve">Náklady na </w:t>
      </w:r>
      <w:r>
        <w:t xml:space="preserve">spotřebu elektrické energie </w:t>
      </w:r>
      <w:r w:rsidRPr="009F1A93">
        <w:t>veřejného osvětlení od roku 2015 do roku 2017 klesly z 6,96 mil. Kč na 5,82 mil. Kč. V následujících letech pak vzrostly až na hodnotu 7,46 mil. Kč v roce 2019.</w:t>
      </w:r>
      <w:r w:rsidRPr="00C2237D">
        <w:rPr>
          <w:color w:val="FF0000"/>
        </w:rPr>
        <w:t xml:space="preserve"> </w:t>
      </w:r>
      <w:r w:rsidRPr="00903A51">
        <w:t>Stoupající náklady na energie l</w:t>
      </w:r>
      <w:r>
        <w:t>ze připsat mimo stoupající ceny</w:t>
      </w:r>
      <w:r w:rsidRPr="00903A51">
        <w:t xml:space="preserve"> především postupným každoročním navyšováním počtu nových světelných bodů, ale také postupným připojováním nových městských zařízení jako jsou kamery, wifi, radary a podobně. </w:t>
      </w:r>
      <w:r>
        <w:t>Náklady na opravování a udržování majetku zaznamenaly od roku 2015 do roku 2017 klesající trend, po mírném nárůstu v roce 2018 následovalo v roce 2019 zvýšení nákladů na 2,79 mil. Kč (obdobná úroveň jako v roce 2015). Náklady na služby spojené s provozem VO se v letech 2015-2017 pohybovaly kolem 1 mil. Kč, v roce 2018 vzrostly na 1,9 mil. Kč, v roce pak na 2,07 mil. Kč.</w:t>
      </w:r>
    </w:p>
    <w:p w14:paraId="019D4E61" w14:textId="1E998713" w:rsidR="003B5ADB" w:rsidRDefault="003B5ADB" w:rsidP="003B5ADB">
      <w:pPr>
        <w:pStyle w:val="Titulek"/>
      </w:pPr>
      <w:bookmarkStart w:id="335" w:name="_Toc7707488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67</w:t>
      </w:r>
      <w:r w:rsidR="00804AF3">
        <w:rPr>
          <w:noProof/>
        </w:rPr>
        <w:fldChar w:fldCharType="end"/>
      </w:r>
      <w:r>
        <w:t>: Náklady na provoz a údržbu světelného osvětlení v letech 2015-2019</w:t>
      </w:r>
      <w:bookmarkEnd w:id="335"/>
    </w:p>
    <w:p w14:paraId="0AD48CF3" w14:textId="77777777" w:rsidR="003B5ADB" w:rsidRDefault="003B5ADB" w:rsidP="003B5ADB">
      <w:r>
        <w:rPr>
          <w:noProof/>
          <w:lang w:eastAsia="cs-CZ"/>
        </w:rPr>
        <w:drawing>
          <wp:inline distT="0" distB="0" distL="0" distR="0" wp14:anchorId="014A2678" wp14:editId="14B27BCC">
            <wp:extent cx="5773420" cy="158496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73420" cy="1584960"/>
                    </a:xfrm>
                    <a:prstGeom prst="rect">
                      <a:avLst/>
                    </a:prstGeom>
                    <a:noFill/>
                  </pic:spPr>
                </pic:pic>
              </a:graphicData>
            </a:graphic>
          </wp:inline>
        </w:drawing>
      </w:r>
    </w:p>
    <w:p w14:paraId="172FF21D" w14:textId="77777777" w:rsidR="003B5ADB" w:rsidRPr="00903A51" w:rsidRDefault="003B5ADB" w:rsidP="003B5ADB">
      <w:pPr>
        <w:pStyle w:val="Zdroj"/>
      </w:pPr>
      <w:r>
        <w:t>Zdroj: Technické služby Zlín, s.r.o.</w:t>
      </w:r>
    </w:p>
    <w:p w14:paraId="25680B7B" w14:textId="77777777" w:rsidR="003B5ADB" w:rsidRPr="009F1A93" w:rsidRDefault="003B5ADB" w:rsidP="003B5ADB">
      <w:pPr>
        <w:keepNext/>
        <w:rPr>
          <w:u w:val="single"/>
        </w:rPr>
      </w:pPr>
      <w:r>
        <w:rPr>
          <w:u w:val="single"/>
        </w:rPr>
        <w:t>Budoucí rozvoj</w:t>
      </w:r>
      <w:r w:rsidRPr="009F1A93">
        <w:rPr>
          <w:u w:val="single"/>
        </w:rPr>
        <w:t xml:space="preserve"> veřejného osvětlení</w:t>
      </w:r>
    </w:p>
    <w:p w14:paraId="238D2DB6" w14:textId="77777777" w:rsidR="003B5ADB" w:rsidRPr="009F1A93" w:rsidRDefault="003B5ADB" w:rsidP="003B5ADB">
      <w:pPr>
        <w:keepNext/>
      </w:pPr>
      <w:r>
        <w:t xml:space="preserve">V následujícím období </w:t>
      </w:r>
      <w:r w:rsidRPr="009F1A93">
        <w:t>je pro přesný obraz o stávajícím stavu VO</w:t>
      </w:r>
      <w:r>
        <w:t xml:space="preserve"> nutné</w:t>
      </w:r>
      <w:r w:rsidRPr="009F1A93">
        <w:t xml:space="preserve"> </w:t>
      </w:r>
      <w:r>
        <w:t>vyhotovit:</w:t>
      </w:r>
    </w:p>
    <w:p w14:paraId="7A1F6DE7" w14:textId="77777777" w:rsidR="003B5ADB" w:rsidRPr="003B5ADB" w:rsidRDefault="003B5ADB" w:rsidP="003B5ADB">
      <w:pPr>
        <w:pStyle w:val="Odstavecseseznamem"/>
        <w:numPr>
          <w:ilvl w:val="0"/>
          <w:numId w:val="141"/>
        </w:numPr>
      </w:pPr>
      <w:r w:rsidRPr="003B5ADB">
        <w:t>Nový pasport VO</w:t>
      </w:r>
    </w:p>
    <w:p w14:paraId="22C823C1" w14:textId="77777777" w:rsidR="003B5ADB" w:rsidRPr="003B5ADB" w:rsidRDefault="003B5ADB" w:rsidP="003B5ADB">
      <w:pPr>
        <w:pStyle w:val="Odstavecseseznamem"/>
        <w:numPr>
          <w:ilvl w:val="0"/>
          <w:numId w:val="141"/>
        </w:numPr>
      </w:pPr>
      <w:r w:rsidRPr="003B5ADB">
        <w:t>Generel VO</w:t>
      </w:r>
    </w:p>
    <w:p w14:paraId="73106379" w14:textId="77777777" w:rsidR="003B5ADB" w:rsidRPr="003B5ADB" w:rsidRDefault="003B5ADB" w:rsidP="003B5ADB">
      <w:pPr>
        <w:pStyle w:val="Odstavecseseznamem"/>
        <w:numPr>
          <w:ilvl w:val="0"/>
          <w:numId w:val="141"/>
        </w:numPr>
      </w:pPr>
      <w:r w:rsidRPr="003B5ADB">
        <w:t>Standardy pro VO Zlín (nové nebo aktualizace stávajících)</w:t>
      </w:r>
    </w:p>
    <w:p w14:paraId="56C51A48" w14:textId="77777777" w:rsidR="003B5ADB" w:rsidRPr="009F1A93" w:rsidRDefault="003B5ADB" w:rsidP="003B5ADB">
      <w:bookmarkStart w:id="336" w:name="OLE_LINK2"/>
      <w:bookmarkStart w:id="337" w:name="OLE_LINK3"/>
      <w:bookmarkStart w:id="338" w:name="OLE_LINK4"/>
      <w:r w:rsidRPr="009F1A93">
        <w:t>Následn</w:t>
      </w:r>
      <w:r>
        <w:t>ě je potřeba</w:t>
      </w:r>
      <w:r w:rsidRPr="009F1A93">
        <w:t xml:space="preserve"> </w:t>
      </w:r>
      <w:r>
        <w:t xml:space="preserve">provést </w:t>
      </w:r>
      <w:r w:rsidRPr="009F1A93">
        <w:t>modernizac</w:t>
      </w:r>
      <w:r>
        <w:t>i a obnovu sítě VO</w:t>
      </w:r>
      <w:r w:rsidRPr="009F1A93">
        <w:t xml:space="preserve"> </w:t>
      </w:r>
      <w:r>
        <w:t>(i</w:t>
      </w:r>
      <w:r w:rsidRPr="009F1A93">
        <w:t>nvestice v časovém úseku cca 10 let</w:t>
      </w:r>
      <w:r>
        <w:t>):</w:t>
      </w:r>
    </w:p>
    <w:bookmarkEnd w:id="336"/>
    <w:bookmarkEnd w:id="337"/>
    <w:bookmarkEnd w:id="338"/>
    <w:p w14:paraId="628E29C6" w14:textId="77777777" w:rsidR="003B5ADB" w:rsidRDefault="003B5ADB" w:rsidP="003B5ADB">
      <w:pPr>
        <w:pStyle w:val="Odstavecseseznamem"/>
        <w:numPr>
          <w:ilvl w:val="0"/>
          <w:numId w:val="143"/>
        </w:numPr>
        <w:ind w:left="426"/>
      </w:pPr>
      <w:r>
        <w:t>Výměna svítidel</w:t>
      </w:r>
    </w:p>
    <w:p w14:paraId="02E5872C" w14:textId="77777777" w:rsidR="003B5ADB" w:rsidRPr="00EA0EE3" w:rsidRDefault="003B5ADB" w:rsidP="003B5ADB">
      <w:pPr>
        <w:numPr>
          <w:ilvl w:val="0"/>
          <w:numId w:val="142"/>
        </w:numPr>
      </w:pPr>
      <w:r w:rsidRPr="00EA0EE3">
        <w:t xml:space="preserve">Postupná výměna sadových svítidel typu „koule“ (cca 2000 ks) náhrada Sadové EP70 W, částečně LED 30 W. Tyto svítidla již nevyhojí dnešním standardům, některé </w:t>
      </w:r>
      <w:r>
        <w:t xml:space="preserve">jsou </w:t>
      </w:r>
      <w:r w:rsidRPr="00EA0EE3">
        <w:t xml:space="preserve">již na konci životnosti. </w:t>
      </w:r>
      <w:r>
        <w:t>Rušivé světlo s v</w:t>
      </w:r>
      <w:r w:rsidRPr="00EA0EE3">
        <w:t>elký podíl</w:t>
      </w:r>
      <w:r>
        <w:t>em</w:t>
      </w:r>
      <w:r w:rsidRPr="00EA0EE3">
        <w:t xml:space="preserve"> </w:t>
      </w:r>
      <w:r>
        <w:t>vyzařování</w:t>
      </w:r>
      <w:r w:rsidRPr="00EA0EE3">
        <w:t xml:space="preserve"> do horního poloprostoru a </w:t>
      </w:r>
      <w:r>
        <w:t xml:space="preserve">s tím spojené </w:t>
      </w:r>
      <w:r>
        <w:lastRenderedPageBreak/>
        <w:t>časté</w:t>
      </w:r>
      <w:r w:rsidRPr="00EA0EE3">
        <w:t xml:space="preserve"> stížnosti občanů</w:t>
      </w:r>
      <w:r>
        <w:t xml:space="preserve"> na obtěžující osvit v obydlích</w:t>
      </w:r>
      <w:r w:rsidRPr="00EA0EE3">
        <w:t>.</w:t>
      </w:r>
      <w:r>
        <w:t xml:space="preserve"> Jedná se zejména o </w:t>
      </w:r>
      <w:r w:rsidRPr="00EA0EE3">
        <w:t xml:space="preserve"> Lokality -</w:t>
      </w:r>
      <w:r>
        <w:t xml:space="preserve"> Jižní Svahy, Boněcko, L</w:t>
      </w:r>
      <w:r w:rsidRPr="00EA0EE3">
        <w:t>esní čtvrť,</w:t>
      </w:r>
      <w:r>
        <w:t xml:space="preserve"> Díly, Podvesná, Obeciny, Letná, kde byly v minulosti tyto svítidla hromadně instalována.</w:t>
      </w:r>
      <w:r w:rsidRPr="00EA0EE3">
        <w:t xml:space="preserve">   </w:t>
      </w:r>
    </w:p>
    <w:p w14:paraId="3A7F4839" w14:textId="77777777" w:rsidR="003B5ADB" w:rsidRPr="00EA0EE3" w:rsidRDefault="003B5ADB" w:rsidP="003B5ADB">
      <w:pPr>
        <w:numPr>
          <w:ilvl w:val="0"/>
          <w:numId w:val="142"/>
        </w:numPr>
      </w:pPr>
      <w:r w:rsidRPr="00EA0EE3">
        <w:t xml:space="preserve">Výměna svítidel </w:t>
      </w:r>
      <w:r>
        <w:t>podél chodníků v lokalitách</w:t>
      </w:r>
      <w:r w:rsidRPr="00EA0EE3">
        <w:t xml:space="preserve"> Díly, Lesní čtvrť (na domech staré Svatobořické 110 W) cca 100 ks za LED 30 W</w:t>
      </w:r>
      <w:r>
        <w:t>.</w:t>
      </w:r>
      <w:r w:rsidRPr="00EA0EE3">
        <w:t xml:space="preserve"> </w:t>
      </w:r>
    </w:p>
    <w:p w14:paraId="4002971D" w14:textId="77777777" w:rsidR="003B5ADB" w:rsidRPr="009F1A93" w:rsidRDefault="003B5ADB" w:rsidP="003B5ADB">
      <w:pPr>
        <w:pStyle w:val="Odstavecseseznamem"/>
        <w:numPr>
          <w:ilvl w:val="0"/>
          <w:numId w:val="143"/>
        </w:numPr>
        <w:ind w:left="426"/>
      </w:pPr>
      <w:r w:rsidRPr="009F1A93">
        <w:t xml:space="preserve">Stožáry </w:t>
      </w:r>
    </w:p>
    <w:p w14:paraId="3E6C0D4D" w14:textId="77777777" w:rsidR="003B5ADB" w:rsidRPr="00EA0EE3" w:rsidRDefault="003B5ADB" w:rsidP="003B5ADB">
      <w:pPr>
        <w:numPr>
          <w:ilvl w:val="0"/>
          <w:numId w:val="142"/>
        </w:numPr>
      </w:pPr>
      <w:bookmarkStart w:id="339" w:name="OLE_LINK1"/>
      <w:r w:rsidRPr="00EA0EE3">
        <w:t>Postupná výměna starých sadových stožárů – lokalita Budovatelská cca 90 ks</w:t>
      </w:r>
      <w:r>
        <w:t>.</w:t>
      </w:r>
      <w:r w:rsidRPr="00EA0EE3">
        <w:t xml:space="preserve"> </w:t>
      </w:r>
    </w:p>
    <w:p w14:paraId="52470DAD" w14:textId="77777777" w:rsidR="003B5ADB" w:rsidRPr="00EA0EE3" w:rsidRDefault="003B5ADB" w:rsidP="003B5ADB">
      <w:pPr>
        <w:numPr>
          <w:ilvl w:val="0"/>
          <w:numId w:val="142"/>
        </w:numPr>
      </w:pPr>
      <w:r w:rsidRPr="00EA0EE3">
        <w:t>Postupná výměna stožáru silničních paticových Štefánikova, Slovenská, Sokolská cca 120 ks</w:t>
      </w:r>
      <w:r>
        <w:t>.</w:t>
      </w:r>
    </w:p>
    <w:p w14:paraId="0AE4835D" w14:textId="77777777" w:rsidR="003B5ADB" w:rsidRPr="00EA0EE3" w:rsidRDefault="003B5ADB" w:rsidP="003B5ADB">
      <w:pPr>
        <w:numPr>
          <w:ilvl w:val="0"/>
          <w:numId w:val="142"/>
        </w:numPr>
      </w:pPr>
      <w:r w:rsidRPr="00EA0EE3">
        <w:t>Mimo tyto počty je potřeba počítat s výměnou, částečně ošetřením nátěr</w:t>
      </w:r>
      <w:r>
        <w:t>em</w:t>
      </w:r>
      <w:r w:rsidRPr="00EA0EE3">
        <w:t xml:space="preserve"> sadových stožárů, mimo uvedené v počtu cca 250 ks a silničních asi v počtu 200 ks.</w:t>
      </w:r>
    </w:p>
    <w:p w14:paraId="7B902E45" w14:textId="77777777" w:rsidR="003B5ADB" w:rsidRDefault="003B5ADB" w:rsidP="003B5ADB">
      <w:pPr>
        <w:numPr>
          <w:ilvl w:val="0"/>
          <w:numId w:val="142"/>
        </w:numPr>
      </w:pPr>
      <w:r w:rsidRPr="00EA0EE3">
        <w:t>Výměna starých stožárových svorkovnic cca 1</w:t>
      </w:r>
      <w:r>
        <w:t> </w:t>
      </w:r>
      <w:r w:rsidRPr="00EA0EE3">
        <w:t>000 – při por</w:t>
      </w:r>
      <w:r>
        <w:t>uchách se mění průběžně za nové (</w:t>
      </w:r>
      <w:r w:rsidRPr="00EA0EE3">
        <w:t>počet se</w:t>
      </w:r>
      <w:r>
        <w:t xml:space="preserve"> tedy</w:t>
      </w:r>
      <w:r w:rsidRPr="00EA0EE3">
        <w:t xml:space="preserve"> bude měnit</w:t>
      </w:r>
      <w:r>
        <w:t>).</w:t>
      </w:r>
    </w:p>
    <w:bookmarkEnd w:id="339"/>
    <w:p w14:paraId="654C02B4" w14:textId="77777777" w:rsidR="003B5ADB" w:rsidRPr="009F1A93" w:rsidRDefault="003B5ADB" w:rsidP="003B5ADB">
      <w:pPr>
        <w:pStyle w:val="Odstavecseseznamem"/>
        <w:numPr>
          <w:ilvl w:val="0"/>
          <w:numId w:val="143"/>
        </w:numPr>
        <w:ind w:left="426"/>
      </w:pPr>
      <w:r w:rsidRPr="009F1A93">
        <w:t>Rozváděče VO</w:t>
      </w:r>
    </w:p>
    <w:p w14:paraId="30109420" w14:textId="77777777" w:rsidR="003B5ADB" w:rsidRPr="00EA0EE3" w:rsidRDefault="003B5ADB" w:rsidP="003B5ADB">
      <w:pPr>
        <w:numPr>
          <w:ilvl w:val="0"/>
          <w:numId w:val="142"/>
        </w:numPr>
      </w:pPr>
      <w:r w:rsidRPr="00EA0EE3">
        <w:t>Obnova nejstarších RVO (výměna) hlavní cca 30 ks, podružné 30 ks</w:t>
      </w:r>
      <w:r>
        <w:t>.</w:t>
      </w:r>
    </w:p>
    <w:p w14:paraId="070F5636" w14:textId="77777777" w:rsidR="003B5ADB" w:rsidRPr="00EA0EE3" w:rsidRDefault="003B5ADB" w:rsidP="003B5ADB">
      <w:pPr>
        <w:numPr>
          <w:ilvl w:val="0"/>
          <w:numId w:val="142"/>
        </w:numPr>
      </w:pPr>
      <w:r w:rsidRPr="00EA0EE3">
        <w:t>Obnova Regulátorů 10 ks</w:t>
      </w:r>
      <w:r>
        <w:t>.</w:t>
      </w:r>
    </w:p>
    <w:p w14:paraId="726B0D23" w14:textId="77777777" w:rsidR="003B5ADB" w:rsidRPr="00EA0EE3" w:rsidRDefault="003B5ADB" w:rsidP="003B5ADB">
      <w:pPr>
        <w:numPr>
          <w:ilvl w:val="0"/>
          <w:numId w:val="142"/>
        </w:numPr>
      </w:pPr>
      <w:r w:rsidRPr="00EA0EE3">
        <w:t>Postupná obměna skříní na trakčních stožárech (většinou poškozené) odhad 200 ks</w:t>
      </w:r>
      <w:r>
        <w:t>.</w:t>
      </w:r>
    </w:p>
    <w:p w14:paraId="0FE3E869" w14:textId="77777777" w:rsidR="003B5ADB" w:rsidRPr="009F1A93" w:rsidRDefault="003B5ADB" w:rsidP="003B5ADB">
      <w:pPr>
        <w:pStyle w:val="Odstavecseseznamem"/>
        <w:numPr>
          <w:ilvl w:val="0"/>
          <w:numId w:val="143"/>
        </w:numPr>
        <w:ind w:left="426"/>
      </w:pPr>
      <w:r w:rsidRPr="009F1A93">
        <w:t>Sítě</w:t>
      </w:r>
    </w:p>
    <w:p w14:paraId="3557BED0" w14:textId="77777777" w:rsidR="003B5ADB" w:rsidRPr="00EA0EE3" w:rsidRDefault="003B5ADB" w:rsidP="003B5ADB">
      <w:pPr>
        <w:numPr>
          <w:ilvl w:val="0"/>
          <w:numId w:val="142"/>
        </w:numPr>
      </w:pPr>
      <w:r w:rsidRPr="00EA0EE3">
        <w:t>Výměna nejstarších (problematických, poruchových) ka</w:t>
      </w:r>
      <w:r>
        <w:t xml:space="preserve">belových zemních vedení (cca </w:t>
      </w:r>
      <w:r w:rsidRPr="00EA0EE3">
        <w:t>8 km</w:t>
      </w:r>
      <w:r>
        <w:t>).</w:t>
      </w:r>
    </w:p>
    <w:p w14:paraId="02401406" w14:textId="77777777" w:rsidR="003B5ADB" w:rsidRPr="00EA0EE3" w:rsidRDefault="003B5ADB" w:rsidP="003B5ADB">
      <w:pPr>
        <w:numPr>
          <w:ilvl w:val="0"/>
          <w:numId w:val="142"/>
        </w:numPr>
      </w:pPr>
      <w:r w:rsidRPr="00EA0EE3">
        <w:t>Postupná výměna vrchních vedení AlFe za závěsné vedení izolované vedení AES – řešení častých výpadků v lokalitách</w:t>
      </w:r>
      <w:r>
        <w:t xml:space="preserve"> vlivem povětrnostních podmínek</w:t>
      </w:r>
      <w:r w:rsidRPr="00EA0EE3">
        <w:t xml:space="preserve"> </w:t>
      </w:r>
      <w:r>
        <w:t>(cca</w:t>
      </w:r>
      <w:r w:rsidRPr="00EA0EE3">
        <w:t xml:space="preserve"> 6 km</w:t>
      </w:r>
      <w:r>
        <w:t>)</w:t>
      </w:r>
      <w:r w:rsidRPr="00EA0EE3">
        <w:t>.</w:t>
      </w:r>
    </w:p>
    <w:p w14:paraId="6F4CD137" w14:textId="77777777" w:rsidR="003B5ADB" w:rsidRPr="00235506" w:rsidRDefault="003B5ADB" w:rsidP="003B5ADB">
      <w:pPr>
        <w:pStyle w:val="Odstavecseseznamem"/>
        <w:numPr>
          <w:ilvl w:val="0"/>
          <w:numId w:val="143"/>
        </w:numPr>
        <w:ind w:left="426"/>
      </w:pPr>
      <w:r w:rsidRPr="00235506">
        <w:t xml:space="preserve">Výstavba nového VO </w:t>
      </w:r>
    </w:p>
    <w:p w14:paraId="71031D2C" w14:textId="77777777" w:rsidR="003B5ADB" w:rsidRDefault="003B5ADB" w:rsidP="003B5ADB">
      <w:pPr>
        <w:numPr>
          <w:ilvl w:val="0"/>
          <w:numId w:val="142"/>
        </w:numPr>
      </w:pPr>
      <w:r>
        <w:t xml:space="preserve">Výstavbu nového VO většinou řeší investičně přímo město Zlín. Nicméně přibývá projektu zejména společnosti EON, která v některých lokalitách postupně překládá vrchní vedení do země a ruší podpěrné body na kterých je i VO. TSZ musí souběžně projekčně a stavebně řešit nové VO. Těchto případů bude v následujících letech přibývat. To bude vyžadovat rovněž nemalé investice do VO. Vzhledem k tomu, že TSZ neznají, v jakém rozsahu bude EON výše uvedené rušení podpěrných bodů v následujících letech realizovat (informace o rušení se k TSZ většinou dostává, až když vyžaduje naše vyjádření k projektu), je problematické odhadnout výši investic. </w:t>
      </w:r>
    </w:p>
    <w:p w14:paraId="1F830B03" w14:textId="77777777" w:rsidR="003B5ADB" w:rsidRPr="00E57F69" w:rsidRDefault="003B5ADB" w:rsidP="003B5ADB"/>
    <w:p w14:paraId="3D5D2ADF" w14:textId="77777777" w:rsidR="003B5ADB" w:rsidRDefault="003B5ADB" w:rsidP="00216E8B"/>
    <w:p w14:paraId="2929F592" w14:textId="77777777" w:rsidR="00216E8B" w:rsidRDefault="00216E8B" w:rsidP="00216E8B">
      <w:pPr>
        <w:pStyle w:val="Nadpis3"/>
        <w:ind w:left="720"/>
      </w:pPr>
      <w:bookmarkStart w:id="340" w:name="_Toc50379400"/>
      <w:bookmarkStart w:id="341" w:name="_Toc77074592"/>
      <w:r>
        <w:lastRenderedPageBreak/>
        <w:t>Dílčí shrnutí</w:t>
      </w:r>
      <w:bookmarkEnd w:id="340"/>
      <w:bookmarkEnd w:id="341"/>
    </w:p>
    <w:p w14:paraId="49BE9D62" w14:textId="77777777" w:rsidR="00216E8B" w:rsidRDefault="00216E8B" w:rsidP="00216E8B">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r w:rsidRPr="00F2584F">
        <w:rPr>
          <w:b/>
        </w:rPr>
        <w:t>Hlavní zjištění</w:t>
      </w:r>
      <w:r w:rsidRPr="00F2584F">
        <w:t>:</w:t>
      </w:r>
    </w:p>
    <w:p w14:paraId="30A88D0C" w14:textId="77777777" w:rsidR="00216E8B" w:rsidRDefault="00216E8B" w:rsidP="00216E8B">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p>
    <w:p w14:paraId="4D37D409" w14:textId="77777777" w:rsidR="00216E8B" w:rsidRPr="008E2431" w:rsidRDefault="00216E8B" w:rsidP="00216E8B">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Ve Zlíně je vysoká intenzita dopravy, která má navíc rostoucí trend</w:t>
      </w:r>
      <w:r w:rsidRPr="008E2431">
        <w:rPr>
          <w:i/>
        </w:rPr>
        <w:t>.</w:t>
      </w:r>
      <w:r w:rsidRPr="00B824CB">
        <w:rPr>
          <w:i/>
        </w:rPr>
        <w:t xml:space="preserve"> </w:t>
      </w:r>
      <w:r>
        <w:rPr>
          <w:i/>
        </w:rPr>
        <w:t>Situace se zlepší po vybudování obchvatu, napojení na D49, výstavbou Prštenské příčky, realizací tunelu v centru města.</w:t>
      </w:r>
    </w:p>
    <w:p w14:paraId="71CE2C77" w14:textId="1F26D7C4" w:rsidR="00216E8B" w:rsidRDefault="00216E8B" w:rsidP="00216E8B">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8E2431">
        <w:rPr>
          <w:i/>
        </w:rPr>
        <w:t>Hlavní nádraží potřebuje nezbytnou modernizaci (vlakové i autobusové nádraží), stejně jako železnič</w:t>
      </w:r>
      <w:r w:rsidR="00D64BC5">
        <w:rPr>
          <w:i/>
        </w:rPr>
        <w:t>ní trať 331 (elektrizace a zdvou</w:t>
      </w:r>
      <w:r w:rsidRPr="008E2431">
        <w:rPr>
          <w:i/>
        </w:rPr>
        <w:t>kolejnění). SŽDC počítá se zahájením prací v roce 2023 a</w:t>
      </w:r>
      <w:r w:rsidR="004343BD">
        <w:rPr>
          <w:i/>
        </w:rPr>
        <w:t> </w:t>
      </w:r>
      <w:r w:rsidRPr="008E2431">
        <w:rPr>
          <w:i/>
        </w:rPr>
        <w:t>uvedením do provozu v roce 2027.</w:t>
      </w:r>
    </w:p>
    <w:p w14:paraId="0D8CD136" w14:textId="77777777" w:rsidR="00216E8B" w:rsidRDefault="00216E8B" w:rsidP="00216E8B">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 posledním roce došlo k nárůstů osob využívajících MHD.</w:t>
      </w:r>
    </w:p>
    <w:p w14:paraId="6E42C162" w14:textId="507B7792" w:rsidR="00216E8B" w:rsidRPr="008E2431" w:rsidRDefault="00216E8B" w:rsidP="00216E8B">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Poptávka po parkovacích místech ve městě převažuje nabídku parkovacích míst (jak u</w:t>
      </w:r>
      <w:r w:rsidR="004343BD">
        <w:rPr>
          <w:i/>
        </w:rPr>
        <w:t> </w:t>
      </w:r>
      <w:r>
        <w:rPr>
          <w:i/>
        </w:rPr>
        <w:t>zaměstnanců/návštěvníků především v centru města, tak u rezidentů v obytných částech města)</w:t>
      </w:r>
      <w:r w:rsidRPr="008E2431">
        <w:rPr>
          <w:i/>
        </w:rPr>
        <w:t>.</w:t>
      </w:r>
    </w:p>
    <w:p w14:paraId="1201B25B" w14:textId="77777777" w:rsidR="00216E8B" w:rsidRPr="008E2431" w:rsidRDefault="00216E8B" w:rsidP="00216E8B">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8E2431">
        <w:rPr>
          <w:i/>
        </w:rPr>
        <w:t xml:space="preserve"> Ve městě je špatný technick</w:t>
      </w:r>
      <w:r>
        <w:rPr>
          <w:i/>
        </w:rPr>
        <w:t>ý</w:t>
      </w:r>
      <w:r w:rsidRPr="008E2431">
        <w:rPr>
          <w:i/>
        </w:rPr>
        <w:t xml:space="preserve"> stav </w:t>
      </w:r>
      <w:r>
        <w:rPr>
          <w:i/>
        </w:rPr>
        <w:t xml:space="preserve">části </w:t>
      </w:r>
      <w:r w:rsidRPr="008E2431">
        <w:rPr>
          <w:i/>
        </w:rPr>
        <w:t>chodníků pro pěší.</w:t>
      </w:r>
    </w:p>
    <w:p w14:paraId="66241A4F" w14:textId="77777777" w:rsidR="00216E8B" w:rsidRPr="00B824CB" w:rsidRDefault="00216E8B" w:rsidP="00216E8B">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8E2431">
        <w:rPr>
          <w:i/>
        </w:rPr>
        <w:t>Ve</w:t>
      </w:r>
      <w:r>
        <w:rPr>
          <w:i/>
        </w:rPr>
        <w:t xml:space="preserve"> městě je nedostatečně rozvinutá </w:t>
      </w:r>
      <w:r w:rsidRPr="008E2431">
        <w:rPr>
          <w:i/>
        </w:rPr>
        <w:t>cyklistická infrastruktura</w:t>
      </w:r>
      <w:r>
        <w:rPr>
          <w:i/>
        </w:rPr>
        <w:t xml:space="preserve"> (časté vedení </w:t>
      </w:r>
      <w:r w:rsidRPr="008E2431">
        <w:rPr>
          <w:i/>
        </w:rPr>
        <w:t xml:space="preserve">cyklotras </w:t>
      </w:r>
      <w:r w:rsidRPr="008E2431">
        <w:rPr>
          <w:i/>
          <w:szCs w:val="24"/>
        </w:rPr>
        <w:t>ve společném uličním prostoru s motorovou dopravou</w:t>
      </w:r>
      <w:r>
        <w:rPr>
          <w:i/>
          <w:szCs w:val="24"/>
        </w:rPr>
        <w:t xml:space="preserve"> a nepropojenost cyklostezek).</w:t>
      </w:r>
    </w:p>
    <w:p w14:paraId="12122CF5" w14:textId="77777777" w:rsidR="00216E8B" w:rsidRPr="008E2431" w:rsidRDefault="00216E8B" w:rsidP="00216E8B">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szCs w:val="24"/>
        </w:rPr>
        <w:t>Ve Zlíně jsou zajištěny dostatečné dodávky pitné vody ze dvou hlavních zdrojů, na kanalizaci je napojeno 95 % obyvatel.</w:t>
      </w:r>
    </w:p>
    <w:p w14:paraId="5E5367D4" w14:textId="77777777" w:rsidR="00216E8B" w:rsidRPr="008E2431" w:rsidRDefault="00216E8B" w:rsidP="00216E8B"/>
    <w:p w14:paraId="40C30C07" w14:textId="77777777" w:rsidR="00216E8B" w:rsidRDefault="00216E8B" w:rsidP="00216E8B"/>
    <w:p w14:paraId="15B1447C" w14:textId="77777777" w:rsidR="00216E8B" w:rsidRPr="00EF4C6A" w:rsidRDefault="00216E8B" w:rsidP="00216E8B">
      <w:pPr>
        <w:pStyle w:val="Nadpis3"/>
        <w:ind w:left="720"/>
      </w:pPr>
      <w:bookmarkStart w:id="342" w:name="_Toc50379401"/>
      <w:bookmarkStart w:id="343" w:name="_Toc77074593"/>
      <w:r>
        <w:lastRenderedPageBreak/>
        <w:t>SWOT analýza</w:t>
      </w:r>
      <w:bookmarkEnd w:id="342"/>
      <w:bookmarkEnd w:id="343"/>
    </w:p>
    <w:tbl>
      <w:tblPr>
        <w:tblStyle w:val="Mkatabulky21"/>
        <w:tblW w:w="0" w:type="auto"/>
        <w:tblLook w:val="04A0" w:firstRow="1" w:lastRow="0" w:firstColumn="1" w:lastColumn="0" w:noHBand="0" w:noVBand="1"/>
      </w:tblPr>
      <w:tblGrid>
        <w:gridCol w:w="4532"/>
        <w:gridCol w:w="4530"/>
      </w:tblGrid>
      <w:tr w:rsidR="00216E8B" w:rsidRPr="00216E8B" w14:paraId="699EDD30" w14:textId="77777777" w:rsidTr="000C49A5">
        <w:trPr>
          <w:cantSplit/>
          <w:tblHeader/>
        </w:trPr>
        <w:tc>
          <w:tcPr>
            <w:tcW w:w="4532" w:type="dxa"/>
            <w:shd w:val="clear" w:color="auto" w:fill="FF7C80"/>
          </w:tcPr>
          <w:p w14:paraId="4C9CF7A7" w14:textId="77777777" w:rsidR="00216E8B" w:rsidRPr="00216E8B" w:rsidRDefault="00216E8B" w:rsidP="000C49A5">
            <w:pPr>
              <w:spacing w:before="0"/>
              <w:jc w:val="center"/>
              <w:rPr>
                <w:rFonts w:asciiTheme="minorHAnsi" w:hAnsiTheme="minorHAnsi" w:cstheme="minorHAnsi"/>
                <w:b/>
                <w:szCs w:val="24"/>
              </w:rPr>
            </w:pPr>
            <w:r w:rsidRPr="00216E8B">
              <w:rPr>
                <w:rFonts w:asciiTheme="minorHAnsi" w:hAnsiTheme="minorHAnsi" w:cstheme="minorHAnsi"/>
                <w:b/>
                <w:szCs w:val="24"/>
              </w:rPr>
              <w:t>SILNÉ STRÁNKY</w:t>
            </w:r>
          </w:p>
        </w:tc>
        <w:tc>
          <w:tcPr>
            <w:tcW w:w="4530" w:type="dxa"/>
            <w:shd w:val="clear" w:color="auto" w:fill="B8CCE4"/>
          </w:tcPr>
          <w:p w14:paraId="3CD59AC2" w14:textId="77777777" w:rsidR="00216E8B" w:rsidRPr="00216E8B" w:rsidRDefault="00216E8B" w:rsidP="000C49A5">
            <w:pPr>
              <w:spacing w:before="0"/>
              <w:jc w:val="center"/>
              <w:rPr>
                <w:rFonts w:asciiTheme="minorHAnsi" w:hAnsiTheme="minorHAnsi" w:cstheme="minorHAnsi"/>
                <w:b/>
                <w:szCs w:val="24"/>
              </w:rPr>
            </w:pPr>
            <w:r w:rsidRPr="00216E8B">
              <w:rPr>
                <w:rFonts w:asciiTheme="minorHAnsi" w:hAnsiTheme="minorHAnsi" w:cstheme="minorHAnsi"/>
                <w:b/>
                <w:szCs w:val="24"/>
              </w:rPr>
              <w:t>SLABÉ STRÁNKY</w:t>
            </w:r>
          </w:p>
        </w:tc>
      </w:tr>
      <w:tr w:rsidR="00216E8B" w:rsidRPr="00216E8B" w14:paraId="1D047347" w14:textId="77777777" w:rsidTr="000C49A5">
        <w:trPr>
          <w:cantSplit/>
          <w:trHeight w:val="3177"/>
        </w:trPr>
        <w:tc>
          <w:tcPr>
            <w:tcW w:w="4532" w:type="dxa"/>
            <w:shd w:val="clear" w:color="auto" w:fill="FFDDDD"/>
          </w:tcPr>
          <w:p w14:paraId="0E987D0A" w14:textId="77777777" w:rsidR="00216E8B" w:rsidRPr="00216E8B" w:rsidRDefault="00216E8B" w:rsidP="000C49A5">
            <w:pPr>
              <w:suppressAutoHyphens/>
              <w:spacing w:before="0"/>
              <w:ind w:left="171"/>
              <w:contextualSpacing/>
              <w:jc w:val="left"/>
              <w:rPr>
                <w:rFonts w:asciiTheme="minorHAnsi" w:hAnsiTheme="minorHAnsi" w:cstheme="minorHAnsi"/>
                <w:sz w:val="12"/>
                <w:szCs w:val="24"/>
              </w:rPr>
            </w:pPr>
          </w:p>
          <w:p w14:paraId="0B01B31D" w14:textId="2BA6EF96" w:rsidR="00216E8B" w:rsidRPr="00216E8B" w:rsidRDefault="00216E8B" w:rsidP="00216E8B">
            <w:pPr>
              <w:pStyle w:val="Odstavecseseznamem"/>
              <w:numPr>
                <w:ilvl w:val="0"/>
                <w:numId w:val="12"/>
              </w:numPr>
              <w:suppressAutoHyphens/>
              <w:spacing w:before="0" w:after="160"/>
              <w:ind w:left="171" w:hanging="171"/>
              <w:jc w:val="left"/>
              <w:rPr>
                <w:rFonts w:asciiTheme="minorHAnsi" w:hAnsiTheme="minorHAnsi" w:cstheme="minorHAnsi"/>
              </w:rPr>
            </w:pPr>
            <w:r w:rsidRPr="00216E8B">
              <w:rPr>
                <w:rFonts w:asciiTheme="minorHAnsi" w:hAnsiTheme="minorHAnsi" w:cstheme="minorHAnsi"/>
              </w:rPr>
              <w:t>Existence strategických dokumentů v oblasti dopravy (generel dopravy, Strategický rámec rozvoje veřejné dopravy, Plán udržitelné městské mobility</w:t>
            </w:r>
            <w:r>
              <w:rPr>
                <w:rFonts w:asciiTheme="minorHAnsi" w:hAnsiTheme="minorHAnsi" w:cstheme="minorHAnsi"/>
              </w:rPr>
              <w:t xml:space="preserve"> – v přípravě)</w:t>
            </w:r>
            <w:r w:rsidR="004343BD">
              <w:rPr>
                <w:rFonts w:asciiTheme="minorHAnsi" w:hAnsiTheme="minorHAnsi" w:cstheme="minorHAnsi"/>
              </w:rPr>
              <w:t>.</w:t>
            </w:r>
          </w:p>
          <w:p w14:paraId="5B412824" w14:textId="77777777" w:rsidR="00216E8B" w:rsidRPr="00216E8B" w:rsidRDefault="00216E8B" w:rsidP="00216E8B">
            <w:pPr>
              <w:pStyle w:val="Odstavecseseznamem"/>
              <w:numPr>
                <w:ilvl w:val="0"/>
                <w:numId w:val="12"/>
              </w:numPr>
              <w:suppressAutoHyphens/>
              <w:spacing w:before="0" w:after="160"/>
              <w:ind w:left="171" w:hanging="142"/>
              <w:jc w:val="left"/>
              <w:rPr>
                <w:rFonts w:asciiTheme="minorHAnsi" w:hAnsiTheme="minorHAnsi" w:cstheme="minorHAnsi"/>
                <w:szCs w:val="24"/>
              </w:rPr>
            </w:pPr>
            <w:r w:rsidRPr="00216E8B">
              <w:rPr>
                <w:rFonts w:asciiTheme="minorHAnsi" w:hAnsiTheme="minorHAnsi" w:cstheme="minorHAnsi"/>
                <w:szCs w:val="24"/>
              </w:rPr>
              <w:t>Společný dopravní podnik Dopravní společnost Zlín-Otrokovice, s.r.o.</w:t>
            </w:r>
          </w:p>
          <w:p w14:paraId="6DADC74A" w14:textId="77777777" w:rsidR="00216E8B" w:rsidRPr="00216E8B" w:rsidRDefault="00216E8B" w:rsidP="00216E8B">
            <w:pPr>
              <w:pStyle w:val="Odstavecseseznamem"/>
              <w:numPr>
                <w:ilvl w:val="0"/>
                <w:numId w:val="12"/>
              </w:numPr>
              <w:suppressAutoHyphens/>
              <w:spacing w:before="0" w:after="160"/>
              <w:ind w:left="171" w:hanging="142"/>
              <w:jc w:val="left"/>
              <w:rPr>
                <w:rFonts w:asciiTheme="minorHAnsi" w:hAnsiTheme="minorHAnsi" w:cstheme="minorHAnsi"/>
                <w:szCs w:val="24"/>
              </w:rPr>
            </w:pPr>
            <w:r w:rsidRPr="00216E8B">
              <w:rPr>
                <w:rFonts w:asciiTheme="minorHAnsi" w:hAnsiTheme="minorHAnsi" w:cstheme="minorHAnsi"/>
                <w:szCs w:val="24"/>
              </w:rPr>
              <w:t>Zvyšování podílu osob přepravovaných MHD.</w:t>
            </w:r>
          </w:p>
          <w:p w14:paraId="3EC35666" w14:textId="3E421546" w:rsidR="00216E8B" w:rsidRPr="00216E8B" w:rsidRDefault="00216E8B" w:rsidP="00216E8B">
            <w:pPr>
              <w:pStyle w:val="Odstavecseseznamem"/>
              <w:numPr>
                <w:ilvl w:val="0"/>
                <w:numId w:val="12"/>
              </w:numPr>
              <w:suppressAutoHyphens/>
              <w:spacing w:before="0" w:after="160"/>
              <w:ind w:left="171" w:hanging="142"/>
              <w:jc w:val="left"/>
              <w:rPr>
                <w:rFonts w:asciiTheme="minorHAnsi" w:hAnsiTheme="minorHAnsi" w:cstheme="minorHAnsi"/>
                <w:szCs w:val="24"/>
              </w:rPr>
            </w:pPr>
            <w:r w:rsidRPr="00216E8B">
              <w:rPr>
                <w:rFonts w:asciiTheme="minorHAnsi" w:hAnsiTheme="minorHAnsi" w:cstheme="minorHAnsi"/>
                <w:szCs w:val="24"/>
              </w:rPr>
              <w:t xml:space="preserve">Dostatečná dopravní </w:t>
            </w:r>
            <w:r>
              <w:rPr>
                <w:rFonts w:asciiTheme="minorHAnsi" w:hAnsiTheme="minorHAnsi" w:cstheme="minorHAnsi"/>
                <w:szCs w:val="24"/>
              </w:rPr>
              <w:t>dostupnost mezinárodních letišť</w:t>
            </w:r>
            <w:r w:rsidR="004343BD">
              <w:rPr>
                <w:rFonts w:asciiTheme="minorHAnsi" w:hAnsiTheme="minorHAnsi" w:cstheme="minorHAnsi"/>
                <w:szCs w:val="24"/>
              </w:rPr>
              <w:t>.</w:t>
            </w:r>
          </w:p>
          <w:p w14:paraId="66D64BE9" w14:textId="77777777" w:rsidR="00216E8B" w:rsidRPr="00216E8B" w:rsidRDefault="00216E8B" w:rsidP="00216E8B">
            <w:pPr>
              <w:pStyle w:val="Odstavecseseznamem"/>
              <w:numPr>
                <w:ilvl w:val="0"/>
                <w:numId w:val="12"/>
              </w:numPr>
              <w:suppressAutoHyphens/>
              <w:spacing w:before="0" w:after="160"/>
              <w:ind w:left="171" w:hanging="142"/>
              <w:jc w:val="left"/>
              <w:rPr>
                <w:rFonts w:asciiTheme="minorHAnsi" w:hAnsiTheme="minorHAnsi" w:cstheme="minorHAnsi"/>
                <w:szCs w:val="24"/>
              </w:rPr>
            </w:pPr>
            <w:r w:rsidRPr="00216E8B">
              <w:rPr>
                <w:rFonts w:asciiTheme="minorHAnsi" w:hAnsiTheme="minorHAnsi" w:cstheme="minorHAnsi"/>
                <w:szCs w:val="24"/>
              </w:rPr>
              <w:t>Dostatečné zdroje pro zásobování pitnou vodou.</w:t>
            </w:r>
          </w:p>
          <w:p w14:paraId="462B2713" w14:textId="0836F8B9" w:rsidR="00216E8B" w:rsidRPr="00216E8B" w:rsidRDefault="00216E8B" w:rsidP="00216E8B">
            <w:pPr>
              <w:pStyle w:val="Odstavecseseznamem"/>
              <w:numPr>
                <w:ilvl w:val="0"/>
                <w:numId w:val="12"/>
              </w:numPr>
              <w:suppressAutoHyphens/>
              <w:spacing w:before="0" w:after="160"/>
              <w:ind w:left="171" w:hanging="142"/>
              <w:jc w:val="left"/>
              <w:rPr>
                <w:rFonts w:asciiTheme="minorHAnsi" w:hAnsiTheme="minorHAnsi" w:cstheme="minorHAnsi"/>
                <w:szCs w:val="24"/>
              </w:rPr>
            </w:pPr>
            <w:r w:rsidRPr="00216E8B">
              <w:rPr>
                <w:rFonts w:asciiTheme="minorHAnsi" w:hAnsiTheme="minorHAnsi" w:cstheme="minorHAnsi"/>
                <w:szCs w:val="24"/>
              </w:rPr>
              <w:t>Odkana</w:t>
            </w:r>
            <w:r>
              <w:rPr>
                <w:rFonts w:asciiTheme="minorHAnsi" w:hAnsiTheme="minorHAnsi" w:cstheme="minorHAnsi"/>
                <w:szCs w:val="24"/>
              </w:rPr>
              <w:t>lizováno je 95 % obyvatel Zlína</w:t>
            </w:r>
            <w:r w:rsidR="004343BD">
              <w:rPr>
                <w:rFonts w:asciiTheme="minorHAnsi" w:hAnsiTheme="minorHAnsi" w:cstheme="minorHAnsi"/>
                <w:szCs w:val="24"/>
              </w:rPr>
              <w:t>.</w:t>
            </w:r>
          </w:p>
          <w:p w14:paraId="0086E04B" w14:textId="77777777" w:rsidR="00216E8B" w:rsidRPr="00216E8B" w:rsidRDefault="00216E8B" w:rsidP="000C49A5">
            <w:pPr>
              <w:pStyle w:val="Odstavecseseznamem"/>
              <w:suppressAutoHyphens/>
              <w:spacing w:before="0" w:after="160"/>
              <w:ind w:left="171"/>
              <w:jc w:val="left"/>
              <w:rPr>
                <w:rFonts w:asciiTheme="minorHAnsi" w:hAnsiTheme="minorHAnsi" w:cstheme="minorHAnsi"/>
                <w:szCs w:val="24"/>
              </w:rPr>
            </w:pPr>
          </w:p>
        </w:tc>
        <w:tc>
          <w:tcPr>
            <w:tcW w:w="4530" w:type="dxa"/>
            <w:shd w:val="clear" w:color="auto" w:fill="EEF3F8"/>
          </w:tcPr>
          <w:p w14:paraId="51574F4C" w14:textId="77777777" w:rsidR="00216E8B" w:rsidRPr="00216E8B" w:rsidRDefault="00216E8B" w:rsidP="000C49A5">
            <w:pPr>
              <w:suppressAutoHyphens/>
              <w:spacing w:before="0"/>
              <w:ind w:left="175"/>
              <w:contextualSpacing/>
              <w:jc w:val="left"/>
              <w:rPr>
                <w:rFonts w:asciiTheme="minorHAnsi" w:hAnsiTheme="minorHAnsi" w:cstheme="minorHAnsi"/>
                <w:sz w:val="12"/>
                <w:szCs w:val="12"/>
              </w:rPr>
            </w:pPr>
          </w:p>
          <w:p w14:paraId="1D89FD57" w14:textId="3FF07FF6"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rPr>
              <w:t xml:space="preserve">Poloha Zlína poměrně daleko od hlavních dopravních </w:t>
            </w:r>
            <w:r>
              <w:rPr>
                <w:rFonts w:asciiTheme="minorHAnsi" w:hAnsiTheme="minorHAnsi" w:cstheme="minorHAnsi"/>
              </w:rPr>
              <w:t>transevropských koridorů TEN-T</w:t>
            </w:r>
            <w:r w:rsidR="004343BD">
              <w:rPr>
                <w:rFonts w:asciiTheme="minorHAnsi" w:hAnsiTheme="minorHAnsi" w:cstheme="minorHAnsi"/>
              </w:rPr>
              <w:t>.</w:t>
            </w:r>
          </w:p>
          <w:p w14:paraId="51C8B2AB" w14:textId="0869E766"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szCs w:val="24"/>
              </w:rPr>
              <w:t xml:space="preserve">Vysoká intenzita dopravy na silnici I/49 na trase Otrokovice-Zlín, včetně </w:t>
            </w:r>
            <w:r w:rsidRPr="00216E8B">
              <w:rPr>
                <w:rFonts w:asciiTheme="minorHAnsi" w:hAnsiTheme="minorHAnsi" w:cstheme="minorHAnsi"/>
              </w:rPr>
              <w:t>tranzitní nákladní dop</w:t>
            </w:r>
            <w:r>
              <w:rPr>
                <w:rFonts w:asciiTheme="minorHAnsi" w:hAnsiTheme="minorHAnsi" w:cstheme="minorHAnsi"/>
              </w:rPr>
              <w:t>ravy projíždějící centrem města</w:t>
            </w:r>
            <w:r w:rsidR="004343BD">
              <w:rPr>
                <w:rFonts w:asciiTheme="minorHAnsi" w:hAnsiTheme="minorHAnsi" w:cstheme="minorHAnsi"/>
              </w:rPr>
              <w:t>.</w:t>
            </w:r>
          </w:p>
          <w:p w14:paraId="1B7B2F94" w14:textId="61DEDE2A"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szCs w:val="24"/>
              </w:rPr>
              <w:t xml:space="preserve">Absence moderního dopravního terminálu </w:t>
            </w:r>
            <w:r>
              <w:rPr>
                <w:rFonts w:asciiTheme="minorHAnsi" w:hAnsiTheme="minorHAnsi" w:cstheme="minorHAnsi"/>
                <w:szCs w:val="24"/>
              </w:rPr>
              <w:t>železniční a autobusové dopravy</w:t>
            </w:r>
            <w:r w:rsidR="004343BD">
              <w:rPr>
                <w:rFonts w:asciiTheme="minorHAnsi" w:hAnsiTheme="minorHAnsi" w:cstheme="minorHAnsi"/>
                <w:szCs w:val="24"/>
              </w:rPr>
              <w:t>.</w:t>
            </w:r>
          </w:p>
          <w:p w14:paraId="5FDCF1FE" w14:textId="3DFDCE3F"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szCs w:val="24"/>
              </w:rPr>
              <w:t xml:space="preserve">Neelektrizovaná, jednokolejná železniční trať 331 </w:t>
            </w:r>
            <w:r>
              <w:rPr>
                <w:rFonts w:asciiTheme="minorHAnsi" w:hAnsiTheme="minorHAnsi" w:cstheme="minorHAnsi"/>
                <w:szCs w:val="24"/>
              </w:rPr>
              <w:t>Otrokovice-Vizovice</w:t>
            </w:r>
            <w:r w:rsidR="004343BD">
              <w:rPr>
                <w:rFonts w:asciiTheme="minorHAnsi" w:hAnsiTheme="minorHAnsi" w:cstheme="minorHAnsi"/>
                <w:szCs w:val="24"/>
              </w:rPr>
              <w:t>.</w:t>
            </w:r>
          </w:p>
          <w:p w14:paraId="3A3C8413" w14:textId="4CDE0A52"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szCs w:val="24"/>
              </w:rPr>
              <w:t xml:space="preserve">Nepropojenost cyklostezek v rámci města </w:t>
            </w:r>
            <w:r>
              <w:rPr>
                <w:rFonts w:asciiTheme="minorHAnsi" w:hAnsiTheme="minorHAnsi" w:cstheme="minorHAnsi"/>
                <w:szCs w:val="24"/>
              </w:rPr>
              <w:t>i v rámci nadregionálních tras</w:t>
            </w:r>
            <w:r w:rsidR="004343BD">
              <w:rPr>
                <w:rFonts w:asciiTheme="minorHAnsi" w:hAnsiTheme="minorHAnsi" w:cstheme="minorHAnsi"/>
                <w:szCs w:val="24"/>
              </w:rPr>
              <w:t>.</w:t>
            </w:r>
          </w:p>
          <w:p w14:paraId="3EA3AED6" w14:textId="7D3ED7E8"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szCs w:val="24"/>
              </w:rPr>
              <w:t>Časté vedení cyklotras ve společném uliční</w:t>
            </w:r>
            <w:r>
              <w:rPr>
                <w:rFonts w:asciiTheme="minorHAnsi" w:hAnsiTheme="minorHAnsi" w:cstheme="minorHAnsi"/>
                <w:szCs w:val="24"/>
              </w:rPr>
              <w:t>m prostoru s motorovou dopravou</w:t>
            </w:r>
            <w:r w:rsidR="004343BD">
              <w:rPr>
                <w:rFonts w:asciiTheme="minorHAnsi" w:hAnsiTheme="minorHAnsi" w:cstheme="minorHAnsi"/>
                <w:szCs w:val="24"/>
              </w:rPr>
              <w:t>.</w:t>
            </w:r>
          </w:p>
          <w:p w14:paraId="28770ABB" w14:textId="77777777"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rPr>
              <w:t>Nízký podíl cyklistů na dělbě přepravní práce.</w:t>
            </w:r>
          </w:p>
          <w:p w14:paraId="79E36A3E" w14:textId="6EEDE39A"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rPr>
              <w:t>Vysoká poptávka po parkovacích místech v</w:t>
            </w:r>
            <w:r>
              <w:rPr>
                <w:rFonts w:asciiTheme="minorHAnsi" w:hAnsiTheme="minorHAnsi" w:cstheme="minorHAnsi"/>
              </w:rPr>
              <w:t>e městě</w:t>
            </w:r>
            <w:r w:rsidR="004343BD">
              <w:rPr>
                <w:rFonts w:asciiTheme="minorHAnsi" w:hAnsiTheme="minorHAnsi" w:cstheme="minorHAnsi"/>
              </w:rPr>
              <w:t>.</w:t>
            </w:r>
          </w:p>
          <w:p w14:paraId="246FC336" w14:textId="374182C2"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rPr>
              <w:t>Úzké ulice v obytné zástavbě (špatná dopravní obslužnost např. vozidly int</w:t>
            </w:r>
            <w:r>
              <w:rPr>
                <w:rFonts w:asciiTheme="minorHAnsi" w:hAnsiTheme="minorHAnsi" w:cstheme="minorHAnsi"/>
              </w:rPr>
              <w:t>egrovaného záchranného systému)</w:t>
            </w:r>
            <w:r w:rsidR="004343BD">
              <w:rPr>
                <w:rFonts w:asciiTheme="minorHAnsi" w:hAnsiTheme="minorHAnsi" w:cstheme="minorHAnsi"/>
              </w:rPr>
              <w:t>.</w:t>
            </w:r>
          </w:p>
          <w:p w14:paraId="6EA0BDAA" w14:textId="77777777"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rPr>
              <w:t>Rostoucí trend počtu dopravních nehod.</w:t>
            </w:r>
          </w:p>
          <w:p w14:paraId="279914CD" w14:textId="67421109" w:rsidR="00216E8B" w:rsidRPr="00216E8B" w:rsidRDefault="00216E8B" w:rsidP="00216E8B">
            <w:pPr>
              <w:numPr>
                <w:ilvl w:val="0"/>
                <w:numId w:val="33"/>
              </w:numPr>
              <w:spacing w:before="0"/>
              <w:jc w:val="left"/>
              <w:rPr>
                <w:rFonts w:asciiTheme="minorHAnsi" w:hAnsiTheme="minorHAnsi" w:cstheme="minorHAnsi"/>
              </w:rPr>
            </w:pPr>
            <w:r w:rsidRPr="00216E8B">
              <w:rPr>
                <w:rFonts w:asciiTheme="minorHAnsi" w:hAnsiTheme="minorHAnsi" w:cstheme="minorHAnsi"/>
              </w:rPr>
              <w:t xml:space="preserve">Špatný technický stav některých </w:t>
            </w:r>
            <w:r>
              <w:rPr>
                <w:rFonts w:asciiTheme="minorHAnsi" w:hAnsiTheme="minorHAnsi" w:cstheme="minorHAnsi"/>
              </w:rPr>
              <w:t>komunikací včetně chodníků</w:t>
            </w:r>
            <w:r w:rsidR="004343BD">
              <w:rPr>
                <w:rFonts w:asciiTheme="minorHAnsi" w:hAnsiTheme="minorHAnsi" w:cstheme="minorHAnsi"/>
              </w:rPr>
              <w:t>.</w:t>
            </w:r>
          </w:p>
          <w:p w14:paraId="36BFC1A2" w14:textId="77777777" w:rsidR="00216E8B" w:rsidRPr="00216E8B" w:rsidRDefault="00216E8B" w:rsidP="00216E8B">
            <w:pPr>
              <w:numPr>
                <w:ilvl w:val="0"/>
                <w:numId w:val="33"/>
              </w:numPr>
              <w:spacing w:before="0"/>
              <w:jc w:val="left"/>
              <w:rPr>
                <w:rFonts w:asciiTheme="minorHAnsi" w:hAnsiTheme="minorHAnsi" w:cstheme="minorHAnsi"/>
                <w:szCs w:val="24"/>
              </w:rPr>
            </w:pPr>
            <w:r w:rsidRPr="00216E8B">
              <w:rPr>
                <w:rFonts w:asciiTheme="minorHAnsi" w:hAnsiTheme="minorHAnsi" w:cstheme="minorHAnsi"/>
              </w:rPr>
              <w:t>Existence nevyhovujících přechodů pro chodce.</w:t>
            </w:r>
          </w:p>
          <w:p w14:paraId="7574306D" w14:textId="408149AC" w:rsidR="00216E8B" w:rsidRPr="00216E8B" w:rsidRDefault="00216E8B" w:rsidP="00216E8B">
            <w:pPr>
              <w:numPr>
                <w:ilvl w:val="0"/>
                <w:numId w:val="33"/>
              </w:numPr>
              <w:spacing w:before="0"/>
              <w:jc w:val="left"/>
              <w:rPr>
                <w:rFonts w:asciiTheme="minorHAnsi" w:hAnsiTheme="minorHAnsi" w:cstheme="minorHAnsi"/>
                <w:szCs w:val="24"/>
              </w:rPr>
            </w:pPr>
            <w:r w:rsidRPr="00216E8B">
              <w:rPr>
                <w:rFonts w:asciiTheme="minorHAnsi" w:hAnsiTheme="minorHAnsi" w:cstheme="minorHAnsi"/>
              </w:rPr>
              <w:t>Chybějící vyhrazené pruhy pro veřejnou dopravu</w:t>
            </w:r>
            <w:r>
              <w:rPr>
                <w:rFonts w:asciiTheme="minorHAnsi" w:hAnsiTheme="minorHAnsi" w:cstheme="minorHAnsi"/>
              </w:rPr>
              <w:t xml:space="preserve"> a</w:t>
            </w:r>
            <w:r w:rsidR="004343BD">
              <w:rPr>
                <w:rFonts w:asciiTheme="minorHAnsi" w:hAnsiTheme="minorHAnsi" w:cstheme="minorHAnsi"/>
              </w:rPr>
              <w:t> </w:t>
            </w:r>
            <w:r>
              <w:rPr>
                <w:rFonts w:asciiTheme="minorHAnsi" w:hAnsiTheme="minorHAnsi" w:cstheme="minorHAnsi"/>
              </w:rPr>
              <w:t>integrovaný záchranný systém</w:t>
            </w:r>
            <w:r w:rsidR="004343BD">
              <w:rPr>
                <w:rFonts w:asciiTheme="minorHAnsi" w:hAnsiTheme="minorHAnsi" w:cstheme="minorHAnsi"/>
              </w:rPr>
              <w:t>.</w:t>
            </w:r>
          </w:p>
          <w:p w14:paraId="0572B7DE" w14:textId="77777777" w:rsidR="00216E8B" w:rsidRPr="00216E8B" w:rsidRDefault="00216E8B" w:rsidP="000C49A5">
            <w:pPr>
              <w:spacing w:before="0"/>
              <w:jc w:val="left"/>
              <w:rPr>
                <w:rFonts w:asciiTheme="minorHAnsi" w:hAnsiTheme="minorHAnsi" w:cstheme="minorHAnsi"/>
                <w:szCs w:val="24"/>
              </w:rPr>
            </w:pPr>
          </w:p>
        </w:tc>
      </w:tr>
    </w:tbl>
    <w:p w14:paraId="4EC7240A" w14:textId="77777777" w:rsidR="00216E8B" w:rsidRDefault="00216E8B" w:rsidP="00216E8B"/>
    <w:p w14:paraId="48BE64C8" w14:textId="77777777" w:rsidR="00216E8B" w:rsidRDefault="00216E8B" w:rsidP="00216E8B"/>
    <w:p w14:paraId="4B2D1BA1" w14:textId="77777777" w:rsidR="00216E8B" w:rsidRDefault="00216E8B" w:rsidP="00216E8B"/>
    <w:tbl>
      <w:tblPr>
        <w:tblStyle w:val="Mkatabulky1"/>
        <w:tblW w:w="0" w:type="auto"/>
        <w:tblLook w:val="04A0" w:firstRow="1" w:lastRow="0" w:firstColumn="1" w:lastColumn="0" w:noHBand="0" w:noVBand="1"/>
      </w:tblPr>
      <w:tblGrid>
        <w:gridCol w:w="4534"/>
        <w:gridCol w:w="4528"/>
      </w:tblGrid>
      <w:tr w:rsidR="00216E8B" w:rsidRPr="00BC1A35" w14:paraId="6495C6AD" w14:textId="77777777" w:rsidTr="000C49A5">
        <w:trPr>
          <w:cantSplit/>
          <w:tblHeader/>
        </w:trPr>
        <w:tc>
          <w:tcPr>
            <w:tcW w:w="4535" w:type="dxa"/>
            <w:shd w:val="clear" w:color="auto" w:fill="F79646"/>
          </w:tcPr>
          <w:p w14:paraId="1C89DA90" w14:textId="77777777" w:rsidR="00216E8B" w:rsidRPr="00BC1A35" w:rsidRDefault="00216E8B" w:rsidP="000C49A5">
            <w:pPr>
              <w:spacing w:before="0"/>
              <w:jc w:val="center"/>
              <w:rPr>
                <w:b/>
                <w:szCs w:val="24"/>
              </w:rPr>
            </w:pPr>
            <w:r w:rsidRPr="00BC1A35">
              <w:rPr>
                <w:b/>
                <w:szCs w:val="24"/>
              </w:rPr>
              <w:lastRenderedPageBreak/>
              <w:t>PŘÍLEŽITOSTI</w:t>
            </w:r>
          </w:p>
        </w:tc>
        <w:tc>
          <w:tcPr>
            <w:tcW w:w="4528" w:type="dxa"/>
            <w:shd w:val="clear" w:color="auto" w:fill="B2A1C7"/>
          </w:tcPr>
          <w:p w14:paraId="6F928F71" w14:textId="77777777" w:rsidR="00216E8B" w:rsidRPr="00BC1A35" w:rsidRDefault="00216E8B" w:rsidP="000C49A5">
            <w:pPr>
              <w:spacing w:before="0"/>
              <w:jc w:val="center"/>
              <w:rPr>
                <w:b/>
                <w:szCs w:val="24"/>
              </w:rPr>
            </w:pPr>
            <w:r w:rsidRPr="00BC1A35">
              <w:rPr>
                <w:b/>
                <w:szCs w:val="24"/>
              </w:rPr>
              <w:t>HROZBY</w:t>
            </w:r>
          </w:p>
        </w:tc>
      </w:tr>
      <w:tr w:rsidR="00216E8B" w:rsidRPr="00BC1A35" w14:paraId="4F24F969" w14:textId="77777777" w:rsidTr="000C49A5">
        <w:trPr>
          <w:cantSplit/>
          <w:trHeight w:val="4484"/>
        </w:trPr>
        <w:tc>
          <w:tcPr>
            <w:tcW w:w="4535" w:type="dxa"/>
            <w:shd w:val="clear" w:color="auto" w:fill="FEF7CE"/>
          </w:tcPr>
          <w:p w14:paraId="60F3D8F3" w14:textId="77777777" w:rsidR="00216E8B" w:rsidRDefault="00216E8B" w:rsidP="000C49A5">
            <w:pPr>
              <w:suppressAutoHyphens/>
              <w:spacing w:before="0"/>
              <w:ind w:left="171"/>
              <w:contextualSpacing/>
              <w:jc w:val="left"/>
              <w:rPr>
                <w:szCs w:val="24"/>
                <w:highlight w:val="yellow"/>
              </w:rPr>
            </w:pPr>
          </w:p>
          <w:p w14:paraId="05D6D705" w14:textId="3AF420E7" w:rsidR="00216E8B" w:rsidRDefault="00216E8B" w:rsidP="00216E8B">
            <w:pPr>
              <w:pStyle w:val="Odstavecseseznamem"/>
              <w:numPr>
                <w:ilvl w:val="0"/>
                <w:numId w:val="12"/>
              </w:numPr>
              <w:suppressAutoHyphens/>
              <w:spacing w:before="0" w:after="160"/>
              <w:ind w:left="171" w:hanging="142"/>
              <w:jc w:val="left"/>
              <w:rPr>
                <w:szCs w:val="24"/>
              </w:rPr>
            </w:pPr>
            <w:r>
              <w:rPr>
                <w:szCs w:val="24"/>
              </w:rPr>
              <w:t>Posílení udržitelných forem dopravy prostřednictvím realizace „Plánu udržitelné městské mobility“</w:t>
            </w:r>
            <w:r w:rsidR="004343BD">
              <w:rPr>
                <w:szCs w:val="24"/>
              </w:rPr>
              <w:t>.</w:t>
            </w:r>
          </w:p>
          <w:p w14:paraId="1E038E25" w14:textId="429F1A74" w:rsidR="00216E8B" w:rsidRDefault="00216E8B" w:rsidP="00216E8B">
            <w:pPr>
              <w:pStyle w:val="Odstavecseseznamem"/>
              <w:numPr>
                <w:ilvl w:val="0"/>
                <w:numId w:val="12"/>
              </w:numPr>
              <w:suppressAutoHyphens/>
              <w:spacing w:before="0" w:after="160"/>
              <w:ind w:left="171" w:hanging="142"/>
              <w:jc w:val="left"/>
              <w:rPr>
                <w:szCs w:val="24"/>
              </w:rPr>
            </w:pPr>
            <w:r>
              <w:rPr>
                <w:szCs w:val="24"/>
              </w:rPr>
              <w:t>Další napojení na celostátní a mezinárodní dálniční síť prostřednictvím dálnice D49</w:t>
            </w:r>
            <w:r w:rsidR="004343BD">
              <w:rPr>
                <w:szCs w:val="24"/>
              </w:rPr>
              <w:t>.</w:t>
            </w:r>
          </w:p>
          <w:p w14:paraId="0970E52E" w14:textId="6CC6BA7E" w:rsidR="00216E8B" w:rsidRDefault="00216E8B" w:rsidP="00216E8B">
            <w:pPr>
              <w:pStyle w:val="Odstavecseseznamem"/>
              <w:numPr>
                <w:ilvl w:val="0"/>
                <w:numId w:val="12"/>
              </w:numPr>
              <w:suppressAutoHyphens/>
              <w:spacing w:before="0" w:after="160"/>
              <w:ind w:left="171" w:hanging="142"/>
              <w:jc w:val="left"/>
              <w:rPr>
                <w:szCs w:val="24"/>
              </w:rPr>
            </w:pPr>
            <w:r>
              <w:rPr>
                <w:szCs w:val="24"/>
              </w:rPr>
              <w:t>Vybudování Prštenské příčky</w:t>
            </w:r>
            <w:r w:rsidR="004343BD">
              <w:rPr>
                <w:szCs w:val="24"/>
              </w:rPr>
              <w:t>.</w:t>
            </w:r>
          </w:p>
          <w:p w14:paraId="4B14D0FB" w14:textId="1EED5243" w:rsidR="00216E8B" w:rsidRDefault="00216E8B" w:rsidP="00216E8B">
            <w:pPr>
              <w:pStyle w:val="Odstavecseseznamem"/>
              <w:numPr>
                <w:ilvl w:val="0"/>
                <w:numId w:val="12"/>
              </w:numPr>
              <w:suppressAutoHyphens/>
              <w:spacing w:before="0" w:after="160"/>
              <w:ind w:left="171" w:hanging="142"/>
              <w:jc w:val="left"/>
              <w:rPr>
                <w:szCs w:val="24"/>
              </w:rPr>
            </w:pPr>
            <w:r>
              <w:rPr>
                <w:szCs w:val="24"/>
              </w:rPr>
              <w:t>Vybudování obchvatu Zálešné</w:t>
            </w:r>
            <w:r w:rsidR="004343BD">
              <w:rPr>
                <w:szCs w:val="24"/>
              </w:rPr>
              <w:t>.</w:t>
            </w:r>
          </w:p>
          <w:p w14:paraId="78A1FAA8" w14:textId="117989C4" w:rsidR="00216E8B" w:rsidRDefault="00216E8B" w:rsidP="00216E8B">
            <w:pPr>
              <w:pStyle w:val="Odstavecseseznamem"/>
              <w:numPr>
                <w:ilvl w:val="0"/>
                <w:numId w:val="12"/>
              </w:numPr>
              <w:suppressAutoHyphens/>
              <w:spacing w:before="0" w:after="160"/>
              <w:ind w:left="171" w:hanging="142"/>
              <w:jc w:val="left"/>
              <w:rPr>
                <w:szCs w:val="24"/>
              </w:rPr>
            </w:pPr>
            <w:r>
              <w:rPr>
                <w:szCs w:val="24"/>
              </w:rPr>
              <w:t>Zklidnění dopravy v centru města</w:t>
            </w:r>
            <w:r w:rsidR="004343BD">
              <w:rPr>
                <w:szCs w:val="24"/>
              </w:rPr>
              <w:t>.</w:t>
            </w:r>
          </w:p>
          <w:p w14:paraId="7919F830" w14:textId="7EA6EB3B" w:rsidR="00216E8B" w:rsidRDefault="00216E8B" w:rsidP="00216E8B">
            <w:pPr>
              <w:pStyle w:val="Odstavecseseznamem"/>
              <w:numPr>
                <w:ilvl w:val="0"/>
                <w:numId w:val="12"/>
              </w:numPr>
              <w:suppressAutoHyphens/>
              <w:spacing w:before="0" w:after="160"/>
              <w:ind w:left="171" w:hanging="142"/>
              <w:jc w:val="left"/>
              <w:rPr>
                <w:szCs w:val="24"/>
              </w:rPr>
            </w:pPr>
            <w:r>
              <w:rPr>
                <w:szCs w:val="24"/>
              </w:rPr>
              <w:t>Zlepšení dopravního napojení obytných zón</w:t>
            </w:r>
            <w:r w:rsidR="004343BD">
              <w:rPr>
                <w:szCs w:val="24"/>
              </w:rPr>
              <w:t>.</w:t>
            </w:r>
          </w:p>
          <w:p w14:paraId="74533EB3" w14:textId="649B3E20" w:rsidR="00216E8B" w:rsidRDefault="00216E8B" w:rsidP="00216E8B">
            <w:pPr>
              <w:pStyle w:val="Odstavecseseznamem"/>
              <w:numPr>
                <w:ilvl w:val="0"/>
                <w:numId w:val="12"/>
              </w:numPr>
              <w:suppressAutoHyphens/>
              <w:spacing w:before="0" w:after="160"/>
              <w:ind w:left="171" w:hanging="142"/>
              <w:jc w:val="left"/>
              <w:rPr>
                <w:szCs w:val="24"/>
              </w:rPr>
            </w:pPr>
            <w:r>
              <w:rPr>
                <w:szCs w:val="24"/>
              </w:rPr>
              <w:t xml:space="preserve">Zlepšení dopravního napojení </w:t>
            </w:r>
            <w:r w:rsidRPr="00A268D4">
              <w:rPr>
                <w:szCs w:val="24"/>
              </w:rPr>
              <w:t>průmyslové zóny Zlín – východ Příluky</w:t>
            </w:r>
            <w:r w:rsidR="004343BD">
              <w:rPr>
                <w:szCs w:val="24"/>
              </w:rPr>
              <w:t>.</w:t>
            </w:r>
          </w:p>
          <w:p w14:paraId="38993D35" w14:textId="745362F3" w:rsidR="00216E8B" w:rsidRPr="00AC2549" w:rsidRDefault="00216E8B" w:rsidP="00216E8B">
            <w:pPr>
              <w:pStyle w:val="Odstavecseseznamem"/>
              <w:numPr>
                <w:ilvl w:val="0"/>
                <w:numId w:val="12"/>
              </w:numPr>
              <w:suppressAutoHyphens/>
              <w:spacing w:before="0" w:after="160"/>
              <w:ind w:left="171" w:hanging="142"/>
              <w:jc w:val="left"/>
              <w:rPr>
                <w:szCs w:val="24"/>
              </w:rPr>
            </w:pPr>
            <w:r>
              <w:rPr>
                <w:szCs w:val="24"/>
              </w:rPr>
              <w:t xml:space="preserve">Modernizace železniční trati 331 Otrokovice – Zlín </w:t>
            </w:r>
            <w:r w:rsidR="004343BD">
              <w:rPr>
                <w:szCs w:val="24"/>
              </w:rPr>
              <w:t>–</w:t>
            </w:r>
            <w:r>
              <w:rPr>
                <w:szCs w:val="24"/>
              </w:rPr>
              <w:t xml:space="preserve"> Vizovice</w:t>
            </w:r>
            <w:r w:rsidR="004343BD">
              <w:rPr>
                <w:szCs w:val="24"/>
              </w:rPr>
              <w:t>.</w:t>
            </w:r>
          </w:p>
          <w:p w14:paraId="69CDEE8C" w14:textId="2CD96A47" w:rsidR="00216E8B" w:rsidRDefault="00216E8B" w:rsidP="00216E8B">
            <w:pPr>
              <w:pStyle w:val="Odstavecseseznamem"/>
              <w:numPr>
                <w:ilvl w:val="0"/>
                <w:numId w:val="12"/>
              </w:numPr>
              <w:suppressAutoHyphens/>
              <w:spacing w:before="0" w:after="160"/>
              <w:ind w:left="171" w:hanging="142"/>
              <w:jc w:val="left"/>
              <w:rPr>
                <w:szCs w:val="24"/>
              </w:rPr>
            </w:pPr>
            <w:r>
              <w:rPr>
                <w:szCs w:val="24"/>
              </w:rPr>
              <w:t>Vyřešení čistění odpadních vod v místních částech, které nejsou napojeny na kanalizační síť s</w:t>
            </w:r>
            <w:r w:rsidR="004343BD">
              <w:rPr>
                <w:szCs w:val="24"/>
              </w:rPr>
              <w:t> </w:t>
            </w:r>
            <w:r>
              <w:rPr>
                <w:szCs w:val="24"/>
              </w:rPr>
              <w:t>ČOV</w:t>
            </w:r>
            <w:r w:rsidR="004343BD">
              <w:rPr>
                <w:szCs w:val="24"/>
              </w:rPr>
              <w:t>.</w:t>
            </w:r>
          </w:p>
          <w:p w14:paraId="1C4557F7" w14:textId="2BCEFC56" w:rsidR="00216E8B" w:rsidRDefault="00216E8B" w:rsidP="00216E8B">
            <w:pPr>
              <w:pStyle w:val="Odstavecseseznamem"/>
              <w:numPr>
                <w:ilvl w:val="0"/>
                <w:numId w:val="12"/>
              </w:numPr>
              <w:suppressAutoHyphens/>
              <w:spacing w:before="0" w:after="160"/>
              <w:ind w:left="171" w:hanging="142"/>
              <w:jc w:val="left"/>
              <w:rPr>
                <w:szCs w:val="24"/>
              </w:rPr>
            </w:pPr>
            <w:r>
              <w:rPr>
                <w:szCs w:val="24"/>
              </w:rPr>
              <w:t>Rozvoj a podpora bezpečnosti silničního provozu prostřednictvím výchovných a osvětových akcí, zaměřených především na děti a mládež</w:t>
            </w:r>
            <w:r w:rsidR="004343BD">
              <w:rPr>
                <w:szCs w:val="24"/>
              </w:rPr>
              <w:t>.</w:t>
            </w:r>
          </w:p>
          <w:p w14:paraId="2B4C4FCF" w14:textId="3EB34137" w:rsidR="00216E8B" w:rsidRPr="00526ABA" w:rsidRDefault="00216E8B" w:rsidP="00216E8B">
            <w:pPr>
              <w:pStyle w:val="Odstavecseseznamem"/>
              <w:numPr>
                <w:ilvl w:val="0"/>
                <w:numId w:val="12"/>
              </w:numPr>
              <w:suppressAutoHyphens/>
              <w:spacing w:before="0" w:after="160"/>
              <w:ind w:left="171" w:hanging="142"/>
              <w:jc w:val="left"/>
              <w:rPr>
                <w:szCs w:val="24"/>
              </w:rPr>
            </w:pPr>
            <w:r>
              <w:rPr>
                <w:szCs w:val="24"/>
              </w:rPr>
              <w:t>Podpora i</w:t>
            </w:r>
            <w:r w:rsidRPr="00526ABA">
              <w:rPr>
                <w:szCs w:val="24"/>
              </w:rPr>
              <w:t>nfrastruktur</w:t>
            </w:r>
            <w:r>
              <w:rPr>
                <w:szCs w:val="24"/>
              </w:rPr>
              <w:t>y</w:t>
            </w:r>
            <w:r w:rsidRPr="00526ABA">
              <w:rPr>
                <w:szCs w:val="24"/>
              </w:rPr>
              <w:t xml:space="preserve"> pro sdílenou mobilitu</w:t>
            </w:r>
            <w:r w:rsidR="004343BD">
              <w:rPr>
                <w:szCs w:val="24"/>
              </w:rPr>
              <w:t>.</w:t>
            </w:r>
          </w:p>
          <w:p w14:paraId="299E9111" w14:textId="7EC82BB7" w:rsidR="00216E8B" w:rsidRPr="00814790" w:rsidRDefault="00216E8B" w:rsidP="00216E8B">
            <w:pPr>
              <w:pStyle w:val="Odstavecseseznamem"/>
              <w:numPr>
                <w:ilvl w:val="0"/>
                <w:numId w:val="12"/>
              </w:numPr>
              <w:suppressAutoHyphens/>
              <w:spacing w:before="0" w:after="160"/>
              <w:ind w:left="171" w:hanging="142"/>
              <w:jc w:val="left"/>
              <w:rPr>
                <w:szCs w:val="24"/>
              </w:rPr>
            </w:pPr>
            <w:r>
              <w:rPr>
                <w:szCs w:val="24"/>
              </w:rPr>
              <w:t>Rozvoj elektromobility a dalších bezemisních druhů dopravy</w:t>
            </w:r>
            <w:r w:rsidR="004343BD">
              <w:rPr>
                <w:szCs w:val="24"/>
              </w:rPr>
              <w:t>.</w:t>
            </w:r>
          </w:p>
          <w:p w14:paraId="432FFCFC" w14:textId="60421619" w:rsidR="00216E8B" w:rsidRDefault="00216E8B" w:rsidP="00216E8B">
            <w:pPr>
              <w:pStyle w:val="Odstavecseseznamem"/>
              <w:numPr>
                <w:ilvl w:val="0"/>
                <w:numId w:val="12"/>
              </w:numPr>
              <w:suppressAutoHyphens/>
              <w:spacing w:before="0" w:after="160"/>
              <w:ind w:left="171" w:hanging="142"/>
              <w:jc w:val="left"/>
              <w:rPr>
                <w:szCs w:val="24"/>
              </w:rPr>
            </w:pPr>
            <w:r>
              <w:rPr>
                <w:szCs w:val="24"/>
              </w:rPr>
              <w:t>Vybudování záchytných parkovišť</w:t>
            </w:r>
            <w:r w:rsidR="004343BD">
              <w:rPr>
                <w:szCs w:val="24"/>
              </w:rPr>
              <w:t>.</w:t>
            </w:r>
          </w:p>
          <w:p w14:paraId="23093826" w14:textId="6256986B" w:rsidR="00216E8B" w:rsidRDefault="00216E8B" w:rsidP="00216E8B">
            <w:pPr>
              <w:pStyle w:val="Odstavecseseznamem"/>
              <w:numPr>
                <w:ilvl w:val="0"/>
                <w:numId w:val="12"/>
              </w:numPr>
              <w:suppressAutoHyphens/>
              <w:spacing w:before="0" w:after="160"/>
              <w:ind w:left="171" w:hanging="142"/>
              <w:jc w:val="left"/>
              <w:rPr>
                <w:szCs w:val="24"/>
              </w:rPr>
            </w:pPr>
            <w:r>
              <w:rPr>
                <w:szCs w:val="24"/>
              </w:rPr>
              <w:t>Vyřešení dopravy v klidu na území celého města</w:t>
            </w:r>
            <w:r w:rsidR="004343BD">
              <w:rPr>
                <w:szCs w:val="24"/>
              </w:rPr>
              <w:t>.</w:t>
            </w:r>
          </w:p>
          <w:p w14:paraId="33BBD329" w14:textId="2F222AD2" w:rsidR="00216E8B" w:rsidRDefault="00216E8B" w:rsidP="00216E8B">
            <w:pPr>
              <w:pStyle w:val="Odstavecseseznamem"/>
              <w:numPr>
                <w:ilvl w:val="0"/>
                <w:numId w:val="12"/>
              </w:numPr>
              <w:suppressAutoHyphens/>
              <w:spacing w:before="0" w:after="160"/>
              <w:ind w:left="171" w:hanging="142"/>
              <w:jc w:val="left"/>
              <w:rPr>
                <w:szCs w:val="24"/>
              </w:rPr>
            </w:pPr>
            <w:r>
              <w:rPr>
                <w:szCs w:val="24"/>
              </w:rPr>
              <w:t>Podpora multimodality dopravy</w:t>
            </w:r>
            <w:r w:rsidR="004343BD">
              <w:rPr>
                <w:szCs w:val="24"/>
              </w:rPr>
              <w:t>.</w:t>
            </w:r>
          </w:p>
          <w:p w14:paraId="30303E17" w14:textId="77777777" w:rsidR="00216E8B" w:rsidRPr="00D64BC5" w:rsidRDefault="00216E8B" w:rsidP="004343BD">
            <w:pPr>
              <w:pStyle w:val="Odstavecseseznamem"/>
              <w:numPr>
                <w:ilvl w:val="0"/>
                <w:numId w:val="12"/>
              </w:numPr>
              <w:suppressAutoHyphens/>
              <w:spacing w:before="0" w:after="160"/>
              <w:ind w:left="171" w:hanging="142"/>
              <w:jc w:val="left"/>
              <w:rPr>
                <w:szCs w:val="24"/>
              </w:rPr>
            </w:pPr>
            <w:r>
              <w:rPr>
                <w:szCs w:val="24"/>
              </w:rPr>
              <w:t>Rozvoj preference veřejné dopravy a</w:t>
            </w:r>
            <w:r w:rsidR="004343BD">
              <w:rPr>
                <w:szCs w:val="24"/>
              </w:rPr>
              <w:t> </w:t>
            </w:r>
            <w:r>
              <w:t>integrovaného záchranného systému na světelných křižovatkách</w:t>
            </w:r>
            <w:r w:rsidR="004343BD">
              <w:t>.</w:t>
            </w:r>
          </w:p>
          <w:p w14:paraId="40DF9958" w14:textId="645B0030" w:rsidR="00D64BC5" w:rsidRPr="00D64BC5" w:rsidRDefault="00D64BC5" w:rsidP="00D64BC5">
            <w:pPr>
              <w:pStyle w:val="Odstavecseseznamem"/>
              <w:numPr>
                <w:ilvl w:val="0"/>
                <w:numId w:val="12"/>
              </w:numPr>
              <w:suppressAutoHyphens/>
              <w:spacing w:before="0" w:after="160"/>
              <w:ind w:left="171" w:hanging="142"/>
              <w:jc w:val="left"/>
              <w:rPr>
                <w:szCs w:val="24"/>
              </w:rPr>
            </w:pPr>
            <w:r>
              <w:rPr>
                <w:szCs w:val="24"/>
              </w:rPr>
              <w:t>Vyhotovení nového</w:t>
            </w:r>
            <w:r w:rsidRPr="00D64BC5">
              <w:rPr>
                <w:szCs w:val="24"/>
              </w:rPr>
              <w:t xml:space="preserve"> pasport</w:t>
            </w:r>
            <w:r>
              <w:rPr>
                <w:szCs w:val="24"/>
              </w:rPr>
              <w:t xml:space="preserve">u, </w:t>
            </w:r>
            <w:r w:rsidRPr="00D64BC5">
              <w:rPr>
                <w:szCs w:val="24"/>
              </w:rPr>
              <w:t>Generel</w:t>
            </w:r>
            <w:r>
              <w:rPr>
                <w:szCs w:val="24"/>
              </w:rPr>
              <w:t>u</w:t>
            </w:r>
            <w:r w:rsidRPr="00D64BC5">
              <w:rPr>
                <w:szCs w:val="24"/>
              </w:rPr>
              <w:t xml:space="preserve"> </w:t>
            </w:r>
            <w:r>
              <w:rPr>
                <w:szCs w:val="24"/>
              </w:rPr>
              <w:t>veřejného osvětlení, standardů</w:t>
            </w:r>
            <w:r w:rsidRPr="00D64BC5">
              <w:rPr>
                <w:szCs w:val="24"/>
              </w:rPr>
              <w:t xml:space="preserve"> pro </w:t>
            </w:r>
            <w:r>
              <w:rPr>
                <w:szCs w:val="24"/>
              </w:rPr>
              <w:t>veřejné osvětlení</w:t>
            </w:r>
            <w:r w:rsidRPr="00D64BC5">
              <w:rPr>
                <w:szCs w:val="24"/>
              </w:rPr>
              <w:t xml:space="preserve"> </w:t>
            </w:r>
            <w:r>
              <w:rPr>
                <w:szCs w:val="24"/>
              </w:rPr>
              <w:t>(nových</w:t>
            </w:r>
            <w:r w:rsidRPr="00D64BC5">
              <w:rPr>
                <w:szCs w:val="24"/>
              </w:rPr>
              <w:t xml:space="preserve"> nebo aktualizace stávajících)</w:t>
            </w:r>
            <w:r>
              <w:rPr>
                <w:szCs w:val="24"/>
              </w:rPr>
              <w:t>.</w:t>
            </w:r>
          </w:p>
          <w:p w14:paraId="47A09F11" w14:textId="12231013" w:rsidR="00D64BC5" w:rsidRPr="006457F2" w:rsidRDefault="00D64BC5" w:rsidP="00D64BC5">
            <w:pPr>
              <w:pStyle w:val="Odstavecseseznamem"/>
              <w:numPr>
                <w:ilvl w:val="0"/>
                <w:numId w:val="12"/>
              </w:numPr>
              <w:suppressAutoHyphens/>
              <w:spacing w:before="0" w:after="160"/>
              <w:ind w:left="171" w:hanging="142"/>
              <w:jc w:val="left"/>
              <w:rPr>
                <w:szCs w:val="24"/>
              </w:rPr>
            </w:pPr>
            <w:r>
              <w:rPr>
                <w:szCs w:val="24"/>
              </w:rPr>
              <w:t xml:space="preserve"> M</w:t>
            </w:r>
            <w:r w:rsidRPr="00D64BC5">
              <w:rPr>
                <w:szCs w:val="24"/>
              </w:rPr>
              <w:t>odernizac</w:t>
            </w:r>
            <w:r>
              <w:rPr>
                <w:szCs w:val="24"/>
              </w:rPr>
              <w:t>e</w:t>
            </w:r>
            <w:r w:rsidRPr="00D64BC5">
              <w:rPr>
                <w:szCs w:val="24"/>
              </w:rPr>
              <w:t xml:space="preserve"> a obnov</w:t>
            </w:r>
            <w:r>
              <w:rPr>
                <w:szCs w:val="24"/>
              </w:rPr>
              <w:t>a</w:t>
            </w:r>
            <w:r w:rsidRPr="00D64BC5">
              <w:rPr>
                <w:szCs w:val="24"/>
              </w:rPr>
              <w:t xml:space="preserve"> sítě </w:t>
            </w:r>
            <w:r>
              <w:rPr>
                <w:szCs w:val="24"/>
              </w:rPr>
              <w:t>veřejného osvětlení.</w:t>
            </w:r>
          </w:p>
        </w:tc>
        <w:tc>
          <w:tcPr>
            <w:tcW w:w="4528" w:type="dxa"/>
            <w:shd w:val="clear" w:color="auto" w:fill="E5DFEC"/>
          </w:tcPr>
          <w:p w14:paraId="78031A7A" w14:textId="77777777" w:rsidR="00216E8B" w:rsidRPr="007C6AE7" w:rsidRDefault="00216E8B" w:rsidP="000C49A5">
            <w:pPr>
              <w:suppressAutoHyphens/>
              <w:spacing w:before="0"/>
              <w:ind w:left="173"/>
              <w:contextualSpacing/>
              <w:jc w:val="left"/>
              <w:rPr>
                <w:szCs w:val="24"/>
              </w:rPr>
            </w:pPr>
          </w:p>
          <w:p w14:paraId="2A1BA937" w14:textId="26C0379F" w:rsidR="00216E8B" w:rsidRDefault="00216E8B" w:rsidP="00216E8B">
            <w:pPr>
              <w:numPr>
                <w:ilvl w:val="0"/>
                <w:numId w:val="13"/>
              </w:numPr>
              <w:spacing w:before="0"/>
              <w:ind w:left="173" w:hanging="173"/>
              <w:jc w:val="left"/>
            </w:pPr>
            <w:r>
              <w:t>Další nárůst dopravní intenzity</w:t>
            </w:r>
            <w:r w:rsidR="004343BD">
              <w:t>.</w:t>
            </w:r>
          </w:p>
          <w:p w14:paraId="0237763B" w14:textId="37228862" w:rsidR="00216E8B" w:rsidRPr="00E949A5" w:rsidRDefault="00216E8B" w:rsidP="00216E8B">
            <w:pPr>
              <w:numPr>
                <w:ilvl w:val="0"/>
                <w:numId w:val="13"/>
              </w:numPr>
              <w:spacing w:before="0"/>
              <w:ind w:left="173" w:hanging="173"/>
              <w:jc w:val="left"/>
            </w:pPr>
            <w:r>
              <w:t>Ovlivnění využití veřejné hromadné dopravy např. pandemií</w:t>
            </w:r>
            <w:r w:rsidR="004343BD">
              <w:t>.</w:t>
            </w:r>
          </w:p>
          <w:p w14:paraId="24BF6158" w14:textId="42D6E53A" w:rsidR="00216E8B" w:rsidRDefault="00216E8B" w:rsidP="00216E8B">
            <w:pPr>
              <w:numPr>
                <w:ilvl w:val="0"/>
                <w:numId w:val="13"/>
              </w:numPr>
              <w:suppressAutoHyphens/>
              <w:spacing w:before="0"/>
              <w:ind w:left="173" w:hanging="173"/>
              <w:contextualSpacing/>
              <w:jc w:val="left"/>
              <w:rPr>
                <w:szCs w:val="24"/>
              </w:rPr>
            </w:pPr>
            <w:r>
              <w:rPr>
                <w:szCs w:val="24"/>
              </w:rPr>
              <w:t>Zpoždění ve výstavbě důležitých dopravních staveb</w:t>
            </w:r>
            <w:r w:rsidR="004343BD">
              <w:rPr>
                <w:szCs w:val="24"/>
              </w:rPr>
              <w:t>.</w:t>
            </w:r>
          </w:p>
          <w:p w14:paraId="5D063161" w14:textId="4924C2CD" w:rsidR="00216E8B" w:rsidRDefault="00216E8B" w:rsidP="00216E8B">
            <w:pPr>
              <w:numPr>
                <w:ilvl w:val="0"/>
                <w:numId w:val="13"/>
              </w:numPr>
              <w:suppressAutoHyphens/>
              <w:spacing w:before="0"/>
              <w:ind w:left="173" w:hanging="173"/>
              <w:contextualSpacing/>
              <w:jc w:val="left"/>
              <w:rPr>
                <w:szCs w:val="24"/>
              </w:rPr>
            </w:pPr>
            <w:r>
              <w:rPr>
                <w:szCs w:val="24"/>
              </w:rPr>
              <w:t>Růst další automobilizace obyvatelstva</w:t>
            </w:r>
            <w:r w:rsidR="004343BD">
              <w:rPr>
                <w:szCs w:val="24"/>
              </w:rPr>
              <w:t>.</w:t>
            </w:r>
          </w:p>
          <w:p w14:paraId="51A140DC" w14:textId="22521F6C" w:rsidR="00216E8B" w:rsidRDefault="00216E8B" w:rsidP="00216E8B">
            <w:pPr>
              <w:numPr>
                <w:ilvl w:val="0"/>
                <w:numId w:val="13"/>
              </w:numPr>
              <w:suppressAutoHyphens/>
              <w:spacing w:before="0"/>
              <w:ind w:left="173" w:hanging="173"/>
              <w:contextualSpacing/>
              <w:jc w:val="left"/>
              <w:rPr>
                <w:szCs w:val="24"/>
              </w:rPr>
            </w:pPr>
            <w:r>
              <w:rPr>
                <w:szCs w:val="24"/>
              </w:rPr>
              <w:t>Přetížení dopravního systému z důvodu developerské výstavby, změn v občanské vybavenosti a dalších veřejných služeb</w:t>
            </w:r>
            <w:r w:rsidR="004343BD">
              <w:rPr>
                <w:szCs w:val="24"/>
              </w:rPr>
              <w:t>.</w:t>
            </w:r>
          </w:p>
          <w:p w14:paraId="324223F8" w14:textId="438C29C2" w:rsidR="00216E8B" w:rsidRDefault="00216E8B" w:rsidP="00216E8B">
            <w:pPr>
              <w:numPr>
                <w:ilvl w:val="0"/>
                <w:numId w:val="13"/>
              </w:numPr>
              <w:suppressAutoHyphens/>
              <w:spacing w:before="0"/>
              <w:ind w:left="173" w:hanging="173"/>
              <w:contextualSpacing/>
              <w:jc w:val="left"/>
              <w:rPr>
                <w:szCs w:val="24"/>
              </w:rPr>
            </w:pPr>
            <w:r>
              <w:rPr>
                <w:szCs w:val="24"/>
              </w:rPr>
              <w:t>V rámci modernizace sportovišť může dojít k nedostatečnému řešení systému parkování při pořádání velkých sportovních akcí (již v současné době jsou na hranici své kapacity)</w:t>
            </w:r>
            <w:r w:rsidR="004343BD">
              <w:rPr>
                <w:szCs w:val="24"/>
              </w:rPr>
              <w:t>.</w:t>
            </w:r>
          </w:p>
          <w:p w14:paraId="2E6AB816" w14:textId="77777777" w:rsidR="00216E8B" w:rsidRPr="00BC1A35" w:rsidRDefault="00216E8B" w:rsidP="000C49A5">
            <w:pPr>
              <w:suppressAutoHyphens/>
              <w:spacing w:before="0"/>
              <w:ind w:left="360"/>
              <w:contextualSpacing/>
              <w:jc w:val="left"/>
              <w:rPr>
                <w:szCs w:val="24"/>
              </w:rPr>
            </w:pPr>
          </w:p>
        </w:tc>
      </w:tr>
    </w:tbl>
    <w:p w14:paraId="58810DAE" w14:textId="39996006" w:rsidR="00216E8B" w:rsidRDefault="00216E8B" w:rsidP="00216E8B"/>
    <w:p w14:paraId="4C059E38" w14:textId="77777777" w:rsidR="00216E8B" w:rsidRDefault="00216E8B">
      <w:pPr>
        <w:spacing w:before="0" w:after="160" w:line="259" w:lineRule="auto"/>
        <w:jc w:val="left"/>
      </w:pPr>
      <w:r>
        <w:br w:type="page"/>
      </w:r>
    </w:p>
    <w:p w14:paraId="0625D21A" w14:textId="77777777" w:rsidR="006704AF" w:rsidRDefault="006704AF" w:rsidP="006704AF">
      <w:pPr>
        <w:pStyle w:val="Nadpis2"/>
      </w:pPr>
      <w:bookmarkStart w:id="344" w:name="_Toc52963403"/>
      <w:bookmarkStart w:id="345" w:name="_Toc77074594"/>
      <w:bookmarkStart w:id="346" w:name="_Toc50466289"/>
      <w:bookmarkStart w:id="347" w:name="_Toc50468121"/>
      <w:bookmarkEnd w:id="278"/>
      <w:r w:rsidRPr="00D37AC0">
        <w:lastRenderedPageBreak/>
        <w:t>Bezpečné město</w:t>
      </w:r>
      <w:bookmarkEnd w:id="344"/>
      <w:bookmarkEnd w:id="345"/>
      <w:r w:rsidRPr="00D37AC0">
        <w:t xml:space="preserve"> </w:t>
      </w:r>
    </w:p>
    <w:p w14:paraId="73F9D967" w14:textId="77777777" w:rsidR="006704AF" w:rsidRDefault="006704AF" w:rsidP="006704AF">
      <w:r w:rsidRPr="00546891">
        <w:t>Město Zlín má zpracovánu „Koncepci prevence kriminal</w:t>
      </w:r>
      <w:r>
        <w:t>ity na období 2012 – 2015</w:t>
      </w:r>
      <w:r>
        <w:rPr>
          <w:rStyle w:val="Znakapoznpodarou"/>
        </w:rPr>
        <w:footnoteReference w:id="79"/>
      </w:r>
      <w:r>
        <w:t>“</w:t>
      </w:r>
      <w:r w:rsidRPr="00546891">
        <w:t>. V současném období je koncepce aktualizována „Plánem preventivních aktivit města Zlína na léta 2020 – 2022“, který je zároveň v souladu se „Strategií prevence kriminality</w:t>
      </w:r>
      <w:r>
        <w:t xml:space="preserve"> v České republice na léta 2016 – </w:t>
      </w:r>
      <w:r w:rsidRPr="00546891">
        <w:t>2020</w:t>
      </w:r>
      <w:r>
        <w:rPr>
          <w:rFonts w:ascii="Arial" w:eastAsia="Times New Roman" w:hAnsi="Arial" w:cs="Arial"/>
          <w:lang w:eastAsia="cs-CZ"/>
        </w:rPr>
        <w:t xml:space="preserve">“. </w:t>
      </w:r>
      <w:r>
        <w:t xml:space="preserve">V koncepci prevence kriminality města Zlína je stanovena </w:t>
      </w:r>
      <w:r w:rsidRPr="00546891">
        <w:rPr>
          <w:b/>
        </w:rPr>
        <w:t>strategie</w:t>
      </w:r>
      <w:r>
        <w:t xml:space="preserve"> působení na cílové skupiny, která je rozdělena do tří úrovní: </w:t>
      </w:r>
    </w:p>
    <w:p w14:paraId="531639D4" w14:textId="77777777" w:rsidR="006704AF" w:rsidRDefault="006704AF" w:rsidP="006704AF">
      <w:pPr>
        <w:pStyle w:val="Odstavecseseznamem"/>
        <w:numPr>
          <w:ilvl w:val="0"/>
          <w:numId w:val="40"/>
        </w:numPr>
        <w:spacing w:before="0" w:after="160" w:line="259" w:lineRule="auto"/>
        <w:jc w:val="left"/>
      </w:pPr>
      <w:r>
        <w:t>Primární prevence (občané města)</w:t>
      </w:r>
    </w:p>
    <w:p w14:paraId="16B56C22" w14:textId="77777777" w:rsidR="006704AF" w:rsidRDefault="006704AF" w:rsidP="006704AF">
      <w:pPr>
        <w:pStyle w:val="Odstavecseseznamem"/>
        <w:numPr>
          <w:ilvl w:val="0"/>
          <w:numId w:val="40"/>
        </w:numPr>
        <w:spacing w:before="0" w:after="160" w:line="259" w:lineRule="auto"/>
        <w:jc w:val="left"/>
      </w:pPr>
      <w:r>
        <w:t>Sekundární prevence (rizikové skupiny)</w:t>
      </w:r>
    </w:p>
    <w:p w14:paraId="49022054" w14:textId="77777777" w:rsidR="006704AF" w:rsidRDefault="006704AF" w:rsidP="006704AF">
      <w:pPr>
        <w:pStyle w:val="Odstavecseseznamem"/>
        <w:numPr>
          <w:ilvl w:val="0"/>
          <w:numId w:val="40"/>
        </w:numPr>
        <w:spacing w:before="0" w:after="160" w:line="259" w:lineRule="auto"/>
        <w:jc w:val="left"/>
      </w:pPr>
      <w:r>
        <w:t>Terciální prevence (kriminálně narušení jedinci)</w:t>
      </w:r>
    </w:p>
    <w:p w14:paraId="719F1765" w14:textId="77777777" w:rsidR="006704AF" w:rsidRDefault="006704AF" w:rsidP="006704AF">
      <w:r>
        <w:t xml:space="preserve">Dle </w:t>
      </w:r>
      <w:r w:rsidRPr="00546891">
        <w:rPr>
          <w:b/>
        </w:rPr>
        <w:t>charakteristik preventivních opatření</w:t>
      </w:r>
      <w:r>
        <w:t xml:space="preserve"> a aktivit můžeme strategii rozdělit na oblasti:</w:t>
      </w:r>
    </w:p>
    <w:p w14:paraId="7F517892" w14:textId="77777777" w:rsidR="006704AF" w:rsidRDefault="006704AF" w:rsidP="006704AF">
      <w:pPr>
        <w:pStyle w:val="Odstavecseseznamem"/>
        <w:numPr>
          <w:ilvl w:val="0"/>
          <w:numId w:val="41"/>
        </w:numPr>
        <w:spacing w:before="0" w:after="160" w:line="259" w:lineRule="auto"/>
        <w:jc w:val="left"/>
      </w:pPr>
      <w:r>
        <w:t>Situační prevence (opatření znesnadňující páchání trestné činnosti)</w:t>
      </w:r>
    </w:p>
    <w:p w14:paraId="738B750B" w14:textId="77777777" w:rsidR="006704AF" w:rsidRDefault="006704AF" w:rsidP="006704AF">
      <w:pPr>
        <w:pStyle w:val="Odstavecseseznamem"/>
        <w:numPr>
          <w:ilvl w:val="0"/>
          <w:numId w:val="41"/>
        </w:numPr>
        <w:spacing w:before="0" w:after="160" w:line="259" w:lineRule="auto"/>
        <w:jc w:val="left"/>
      </w:pPr>
      <w:r>
        <w:t>Sociální prevence (aktivity zaměřené na rizikové skupiny obyvatel)</w:t>
      </w:r>
    </w:p>
    <w:p w14:paraId="48161883" w14:textId="77777777" w:rsidR="006704AF" w:rsidRDefault="006704AF" w:rsidP="006704AF">
      <w:pPr>
        <w:pStyle w:val="Odstavecseseznamem"/>
        <w:numPr>
          <w:ilvl w:val="0"/>
          <w:numId w:val="41"/>
        </w:numPr>
        <w:spacing w:before="0" w:after="160" w:line="259" w:lineRule="auto"/>
        <w:jc w:val="left"/>
      </w:pPr>
      <w:r>
        <w:t>Informování občanů (informování o možnostech a způsobech ochrany před trestnou činností)</w:t>
      </w:r>
    </w:p>
    <w:p w14:paraId="12B73AA0" w14:textId="77777777" w:rsidR="006704AF" w:rsidRDefault="006704AF" w:rsidP="006704AF">
      <w:r>
        <w:t>Záměrem preventivní politiky města Zlína je především podpora aktivit v oblasti situační a sociální prevence, zejména na úrovni primární a sekundární prevence.</w:t>
      </w:r>
    </w:p>
    <w:p w14:paraId="1A50C838" w14:textId="77777777" w:rsidR="006704AF" w:rsidRDefault="006704AF" w:rsidP="006704AF">
      <w:r>
        <w:t>Z dalších koncepčních dokumentů a studií zaměřených na bezpečnost a kriminalitu ve městě Zlín můžeme uvést dokument Zlínského kraje „Koncepce prevence kriminality ve Zlínském kraji na léta 2012 – 2016“. Dále byla v roce 2017 ve Zlíně provedena studie „Vnímání pocitu bezpečí obyvatel města Zlína“.</w:t>
      </w:r>
    </w:p>
    <w:p w14:paraId="281DD9BF" w14:textId="77777777" w:rsidR="006704AF" w:rsidRDefault="006704AF" w:rsidP="006704AF">
      <w:r w:rsidRPr="00546891">
        <w:rPr>
          <w:b/>
        </w:rPr>
        <w:t>Hlavní priority</w:t>
      </w:r>
      <w:r>
        <w:t xml:space="preserve"> města v oblasti bezpečnosti a kriminality jsou:</w:t>
      </w:r>
    </w:p>
    <w:p w14:paraId="1C374037" w14:textId="77777777" w:rsidR="006704AF" w:rsidRPr="00704C45" w:rsidRDefault="006704AF" w:rsidP="006704AF">
      <w:pPr>
        <w:pStyle w:val="Bezmezer"/>
        <w:numPr>
          <w:ilvl w:val="0"/>
          <w:numId w:val="42"/>
        </w:numPr>
        <w:jc w:val="left"/>
      </w:pPr>
      <w:r>
        <w:t>Zvýšení pocitu bezpečí občanů města</w:t>
      </w:r>
    </w:p>
    <w:p w14:paraId="0EA750EE" w14:textId="77777777" w:rsidR="006704AF" w:rsidRDefault="006704AF" w:rsidP="006704AF">
      <w:pPr>
        <w:pStyle w:val="Bezmezer"/>
        <w:numPr>
          <w:ilvl w:val="0"/>
          <w:numId w:val="42"/>
        </w:numPr>
      </w:pPr>
      <w:r>
        <w:t>Snížení majetkové kriminality</w:t>
      </w:r>
    </w:p>
    <w:p w14:paraId="43D870DC" w14:textId="77777777" w:rsidR="006704AF" w:rsidRDefault="006704AF" w:rsidP="006704AF">
      <w:pPr>
        <w:pStyle w:val="Bezmezer"/>
        <w:numPr>
          <w:ilvl w:val="0"/>
          <w:numId w:val="42"/>
        </w:numPr>
        <w:jc w:val="left"/>
      </w:pPr>
      <w:r>
        <w:t>Prevence výskytu rizikových projevů chování dětí a mládeže</w:t>
      </w:r>
    </w:p>
    <w:p w14:paraId="616E7CD0" w14:textId="77777777" w:rsidR="006704AF" w:rsidRDefault="006704AF" w:rsidP="006704AF">
      <w:pPr>
        <w:pStyle w:val="Bezmezer"/>
        <w:numPr>
          <w:ilvl w:val="0"/>
          <w:numId w:val="42"/>
        </w:numPr>
        <w:jc w:val="left"/>
      </w:pPr>
      <w:r>
        <w:t>Podpora skupin a komunit</w:t>
      </w:r>
    </w:p>
    <w:p w14:paraId="66B7300C" w14:textId="77777777" w:rsidR="006704AF" w:rsidRDefault="006704AF" w:rsidP="006704AF">
      <w:r>
        <w:t xml:space="preserve">Koncepce prevence kriminality uvádí jako hlavní problémy města Zlína majetkovou trestnou činnost, vysoký počet přestupků, rizikové projevy chování u dětí a mládeže a násilnou trestnou činnost. Z hlavních faktorů ovlivňujících kriminální chování v populaci můžeme uvést například anonymitu velkých sídlišť, vysokou koncentraci obyvatel, konzumní způsob života, rostoucí životní náklady a snižování koupěschopnosti obyvatelstva nebo stárnutí populace. </w:t>
      </w:r>
      <w:r w:rsidRPr="00546891">
        <w:rPr>
          <w:b/>
        </w:rPr>
        <w:t>Cílové skupiny obyvatel</w:t>
      </w:r>
      <w:r>
        <w:t>, na něž se prevence kriminality zaměřuje, jsou děti a mládež, rodiny, senioři a osoby se zdravotním postižením, lidé s nízkým sociálním statusem a skupiny a komunity ohrožené sociálním vyloučením.</w:t>
      </w:r>
    </w:p>
    <w:p w14:paraId="1CBB1933" w14:textId="77777777" w:rsidR="006704AF" w:rsidRDefault="006704AF" w:rsidP="006704AF">
      <w:pPr>
        <w:pStyle w:val="Nadpis3"/>
        <w:ind w:left="720"/>
      </w:pPr>
      <w:bookmarkStart w:id="348" w:name="_Toc52963404"/>
      <w:bookmarkStart w:id="349" w:name="_Toc77074595"/>
      <w:r>
        <w:t>B</w:t>
      </w:r>
      <w:r w:rsidRPr="003274A5">
        <w:t>e</w:t>
      </w:r>
      <w:r>
        <w:t>zpečnost a kriminalita</w:t>
      </w:r>
      <w:bookmarkEnd w:id="348"/>
      <w:bookmarkEnd w:id="349"/>
    </w:p>
    <w:p w14:paraId="50C26F07" w14:textId="137ED507" w:rsidR="006704AF" w:rsidRDefault="006704AF" w:rsidP="006704AF">
      <w:r>
        <w:t xml:space="preserve">Z dostupných dat lze konstatovat, že úroveň kriminality je v celorepublikovém srovnání ve Zlíně nízká. Ve srovnání úrovně indexu kriminality (trestné činy na 10 000 obyvatel) ve Zlíně s hodnotami vybraných měst je míra kriminality ve Zlíně dlouhodobě nejnižší. Zároveň v souladu s vývojem kriminality v České republice vykazuje klesající trend. Ve sledovaném období byla hodnota indexu kriminality ve Zlíně nejnižší v roce 2017 (136), následovaná mírným vzrůstem v roce 2018 (154) a opět poklesem v roce 2019 (138). Srovnání vývoje s vybranými městy znázorňuje graf na obrázku </w:t>
      </w:r>
      <w:r w:rsidR="00E111E6">
        <w:t>1.68</w:t>
      </w:r>
      <w:r>
        <w:t>.</w:t>
      </w:r>
    </w:p>
    <w:p w14:paraId="4E2A2D8B" w14:textId="344F89F8" w:rsidR="006704AF" w:rsidRDefault="006704AF" w:rsidP="006704AF">
      <w:pPr>
        <w:pStyle w:val="Titulek"/>
        <w:keepNext/>
      </w:pPr>
      <w:bookmarkStart w:id="350" w:name="_Toc52963369"/>
      <w:bookmarkStart w:id="351" w:name="_Toc77074886"/>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68</w:t>
      </w:r>
      <w:r w:rsidR="00804AF3">
        <w:rPr>
          <w:noProof/>
        </w:rPr>
        <w:fldChar w:fldCharType="end"/>
      </w:r>
      <w:r w:rsidR="00312DCB">
        <w:rPr>
          <w:noProof/>
        </w:rPr>
        <w:t>:</w:t>
      </w:r>
      <w:r>
        <w:t xml:space="preserve"> Index kriminality obvodních oddělení PČR vybraných měst v letech 2014 až 2018</w:t>
      </w:r>
      <w:bookmarkEnd w:id="350"/>
      <w:bookmarkEnd w:id="351"/>
    </w:p>
    <w:p w14:paraId="43220AB5" w14:textId="77777777" w:rsidR="006704AF" w:rsidRDefault="006704AF" w:rsidP="006704AF">
      <w:r>
        <w:rPr>
          <w:noProof/>
          <w:lang w:eastAsia="cs-CZ"/>
        </w:rPr>
        <w:drawing>
          <wp:inline distT="0" distB="0" distL="0" distR="0" wp14:anchorId="3344CA15" wp14:editId="7109692F">
            <wp:extent cx="5773420" cy="2712720"/>
            <wp:effectExtent l="0" t="0" r="0" b="0"/>
            <wp:docPr id="221"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73420" cy="2712720"/>
                    </a:xfrm>
                    <a:prstGeom prst="rect">
                      <a:avLst/>
                    </a:prstGeom>
                    <a:noFill/>
                  </pic:spPr>
                </pic:pic>
              </a:graphicData>
            </a:graphic>
          </wp:inline>
        </w:drawing>
      </w:r>
    </w:p>
    <w:p w14:paraId="0C019A19" w14:textId="6EC001DE" w:rsidR="006704AF" w:rsidRDefault="006704AF" w:rsidP="006704AF">
      <w:pPr>
        <w:pStyle w:val="Zdroj"/>
      </w:pPr>
      <w:r>
        <w:t>Zdroj: mapakriminality.cz, zpracování PROCES</w:t>
      </w:r>
      <w:r w:rsidR="00312DCB">
        <w:t>, 2020.</w:t>
      </w:r>
    </w:p>
    <w:p w14:paraId="34816A7A" w14:textId="77777777" w:rsidR="006704AF" w:rsidRDefault="006704AF" w:rsidP="006704AF">
      <w:r>
        <w:t xml:space="preserve">Mezi lety 2013 a 2019 došlo ve Zlíně k poklesu kriminality ve všech kategoriích trestných činů s výjimkou mravnostní kriminality, jejíž podíl je však v celkovém součtu trestných činů marginální. Nejvýraznější pokles byl zaznamenán u krádeží vloupáním (pokles o 65 %) a krádeží prostých (pokles o 46 %). </w:t>
      </w:r>
      <w:r w:rsidRPr="003F6731">
        <w:t>K významnému poklesu trestných činů došlo také</w:t>
      </w:r>
      <w:r>
        <w:t xml:space="preserve"> v kategorii zbývající kriminality, která zahrnuje</w:t>
      </w:r>
      <w:r w:rsidRPr="00872184">
        <w:t xml:space="preserve"> </w:t>
      </w:r>
      <w:r>
        <w:t>trestné činy jako zavinění dopravní nehody z nedbalosti nebo zanedbání povinné výživy dítěte (pokles o 24 %). Naopak počet trestných činů v kategorii ostatní majetkové kriminality, násilné kriminality a ostatní kriminality se příliš nemění a vykazuje stagnující trend. Nárůst zaznamenala kategorie mravnostní kriminality, počet trestných činů se mezi lety 2013 a 2019 zvýšil z 16 na 27. Celkový počet trestných činů ve Zlíně poklesl o 30,5 % na 1 044 trestných činů v roce 2019. Průměrná hodnota v období 2013 – 2019 byla 1 265 trestných činů ročně.</w:t>
      </w:r>
    </w:p>
    <w:p w14:paraId="63DEA967" w14:textId="0A92E328" w:rsidR="006704AF" w:rsidRDefault="006704AF" w:rsidP="006704AF">
      <w:pPr>
        <w:pStyle w:val="Titulek"/>
      </w:pPr>
      <w:bookmarkStart w:id="352" w:name="_Toc52963380"/>
      <w:bookmarkStart w:id="353" w:name="_Toc7707473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53</w:t>
      </w:r>
      <w:r w:rsidR="00081B47">
        <w:rPr>
          <w:noProof/>
        </w:rPr>
        <w:fldChar w:fldCharType="end"/>
      </w:r>
      <w:r w:rsidR="00312DCB">
        <w:rPr>
          <w:noProof/>
        </w:rPr>
        <w:t>:</w:t>
      </w:r>
      <w:r>
        <w:t xml:space="preserve"> Počet trestných činů podle klasifikace v rámci OOP Zlín 2013</w:t>
      </w:r>
      <w:r w:rsidR="00312DCB">
        <w:t xml:space="preserve"> </w:t>
      </w:r>
      <w:r w:rsidR="00312DCB">
        <w:sym w:font="Symbol" w:char="F02D"/>
      </w:r>
      <w:r w:rsidR="00312DCB">
        <w:t xml:space="preserve"> 2</w:t>
      </w:r>
      <w:r>
        <w:t>019</w:t>
      </w:r>
      <w:bookmarkEnd w:id="352"/>
      <w:bookmarkEnd w:id="353"/>
    </w:p>
    <w:p w14:paraId="7015C183" w14:textId="77777777" w:rsidR="006704AF" w:rsidRDefault="006704AF" w:rsidP="006704AF">
      <w:pPr>
        <w:keepNext/>
      </w:pPr>
      <w:r w:rsidRPr="003F6731">
        <w:rPr>
          <w:noProof/>
          <w:lang w:eastAsia="cs-CZ"/>
        </w:rPr>
        <w:drawing>
          <wp:inline distT="0" distB="0" distL="0" distR="0" wp14:anchorId="11151CF3" wp14:editId="720446E7">
            <wp:extent cx="5760000" cy="2693918"/>
            <wp:effectExtent l="0" t="0" r="0" b="0"/>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000" cy="2693918"/>
                    </a:xfrm>
                    <a:prstGeom prst="rect">
                      <a:avLst/>
                    </a:prstGeom>
                    <a:noFill/>
                    <a:ln>
                      <a:noFill/>
                    </a:ln>
                  </pic:spPr>
                </pic:pic>
              </a:graphicData>
            </a:graphic>
          </wp:inline>
        </w:drawing>
      </w:r>
    </w:p>
    <w:p w14:paraId="0DADAA6A" w14:textId="4A3C1A93" w:rsidR="006704AF" w:rsidRDefault="006704AF" w:rsidP="006704AF">
      <w:pPr>
        <w:pStyle w:val="Zdroj"/>
      </w:pPr>
      <w:r>
        <w:t>Zdroj: Policie České republiky, zpracování PROCES</w:t>
      </w:r>
      <w:r w:rsidR="00312DCB">
        <w:t>, 2020.</w:t>
      </w:r>
      <w:r>
        <w:br/>
      </w:r>
      <w:r w:rsidRPr="00411D28">
        <w:t xml:space="preserve">Pozn.: Tmavě červená barva značí nejvyšší hodnoty, </w:t>
      </w:r>
      <w:r>
        <w:t>tmavě modrá</w:t>
      </w:r>
      <w:r w:rsidRPr="00411D28">
        <w:t xml:space="preserve"> hodnoty nejnižší.</w:t>
      </w:r>
      <w:r>
        <w:t xml:space="preserve"> Ve vývojových grafech je maximum označeno červenou barvou, minimum pak barvou modrou, jednotlivé sloupcové grafy jsou ve stejném měřítku a jsou tak vzájemně porovnatelné napříč jednotlivými klasifikacemi trestných činů.</w:t>
      </w:r>
    </w:p>
    <w:p w14:paraId="5A6F66AB" w14:textId="77777777" w:rsidR="006704AF" w:rsidRDefault="006704AF" w:rsidP="006704AF">
      <w:pPr>
        <w:pStyle w:val="Zdroj"/>
      </w:pPr>
    </w:p>
    <w:p w14:paraId="7EC296DE" w14:textId="77777777" w:rsidR="006704AF" w:rsidRDefault="006704AF" w:rsidP="006704AF">
      <w:r>
        <w:t>V oblasti nelegálních drog a zneužívání návykových látek nepatří Zlínský kraj v celostátním srovnání mezi exponované kraje.</w:t>
      </w:r>
      <w:r>
        <w:rPr>
          <w:rStyle w:val="Znakapoznpodarou"/>
        </w:rPr>
        <w:footnoteReference w:id="80"/>
      </w:r>
      <w:r>
        <w:t xml:space="preserve"> Nejčastěji užívanou návykovou látkou, jejíž konzumace může podporovat kriminální jednání je alkohol – vzhledem vysoké míře tolerance k užívání, snadné dostupnosti i nízké ceně. Další běžně dostupnou a rozšířenou drogou je marihuana. Mezi klienty drogových služeb převažují uživatelé pervitinu, jehož dostupnost je poměrně snadná, dlouhodobé následky užívání pervitinu jsou však devastující. Pomoc osobám ohroženým závislostí ve Zlíně nabízí několik organizací (například Terapeutické centrum nebo Kontaktní centrum pro drogově závislé). V posledních letech se zvyšuje podíl mladých osob bez domova. </w:t>
      </w:r>
      <w:r w:rsidRPr="007300E4">
        <w:t>Podle výzkumů na ulici končívají mladí lidé, kteří nemají rodinné zázemí a mívají nižší vzdělání. Nedokážou žít samostatně a převzít za sebe odpovědnost.</w:t>
      </w:r>
      <w:r>
        <w:t xml:space="preserve"> </w:t>
      </w:r>
    </w:p>
    <w:p w14:paraId="0A22C04F" w14:textId="77777777" w:rsidR="006704AF" w:rsidRPr="00DA7ABE" w:rsidRDefault="006704AF" w:rsidP="006704AF">
      <w:pPr>
        <w:rPr>
          <w:rFonts w:cstheme="minorHAnsi"/>
        </w:rPr>
      </w:pPr>
      <w:r>
        <w:rPr>
          <w:rFonts w:cstheme="minorHAnsi"/>
        </w:rPr>
        <w:t>Z</w:t>
      </w:r>
      <w:r w:rsidRPr="001115F3">
        <w:rPr>
          <w:rFonts w:cstheme="minorHAnsi"/>
        </w:rPr>
        <w:t xml:space="preserve"> výsledků anketního šetření</w:t>
      </w:r>
      <w:r>
        <w:rPr>
          <w:rStyle w:val="Znakapoznpodarou"/>
          <w:rFonts w:cstheme="minorHAnsi"/>
        </w:rPr>
        <w:footnoteReference w:id="81"/>
      </w:r>
      <w:r w:rsidRPr="001115F3">
        <w:rPr>
          <w:rFonts w:cstheme="minorHAnsi"/>
        </w:rPr>
        <w:t xml:space="preserve"> obyvatel města z roku 2020, vyplývá skutečnost, že většina </w:t>
      </w:r>
      <w:r>
        <w:rPr>
          <w:rFonts w:cstheme="minorHAnsi"/>
        </w:rPr>
        <w:t xml:space="preserve">z 993 oslovených </w:t>
      </w:r>
      <w:r w:rsidRPr="001115F3">
        <w:rPr>
          <w:rFonts w:cstheme="minorHAnsi"/>
        </w:rPr>
        <w:t xml:space="preserve">respondentů se v místě svého bydliště cítí bezpečně. </w:t>
      </w:r>
      <w:r w:rsidRPr="003D492B">
        <w:rPr>
          <w:rFonts w:cstheme="minorHAnsi"/>
        </w:rPr>
        <w:t>Pocit b</w:t>
      </w:r>
      <w:r>
        <w:rPr>
          <w:rFonts w:cstheme="minorHAnsi"/>
        </w:rPr>
        <w:t>ezpečí v místě bydliště má 80,1 </w:t>
      </w:r>
      <w:r w:rsidRPr="003D492B">
        <w:rPr>
          <w:rFonts w:cstheme="minorHAnsi"/>
        </w:rPr>
        <w:t xml:space="preserve">% </w:t>
      </w:r>
      <w:r>
        <w:rPr>
          <w:rFonts w:cstheme="minorHAnsi"/>
        </w:rPr>
        <w:t>občanů Zlína</w:t>
      </w:r>
      <w:r w:rsidRPr="003D492B">
        <w:rPr>
          <w:rFonts w:cstheme="minorHAnsi"/>
        </w:rPr>
        <w:t>.</w:t>
      </w:r>
      <w:r w:rsidRPr="000B2BC6">
        <w:rPr>
          <w:rFonts w:cstheme="minorHAnsi"/>
        </w:rPr>
        <w:t xml:space="preserve"> </w:t>
      </w:r>
      <w:r w:rsidRPr="003D492B">
        <w:rPr>
          <w:rFonts w:cstheme="minorHAnsi"/>
        </w:rPr>
        <w:t xml:space="preserve">Pocit bezpečí v místě bydliště nemá 9,6 % občanů, dalších 9,0 % občanů se necítí v místě bydliště ani bezpečně ani nebezpečně. </w:t>
      </w:r>
      <w:r w:rsidRPr="000B2BC6">
        <w:rPr>
          <w:rFonts w:cstheme="minorHAnsi"/>
        </w:rPr>
        <w:t>Pocit bezpečí u respondentů s trvalým bydlištěm mimo Zlín a u studentů UTB je mírně vyšší (80,8 % a 84,4 %).</w:t>
      </w:r>
    </w:p>
    <w:p w14:paraId="72383B56" w14:textId="5420C564" w:rsidR="006704AF" w:rsidRPr="00DA7ABE" w:rsidRDefault="006704AF" w:rsidP="006704AF">
      <w:pPr>
        <w:pStyle w:val="Titulek"/>
        <w:rPr>
          <w:rFonts w:cstheme="minorHAnsi"/>
        </w:rPr>
      </w:pPr>
      <w:bookmarkStart w:id="354" w:name="_Toc52963370"/>
      <w:bookmarkStart w:id="355" w:name="_Toc7707488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69</w:t>
      </w:r>
      <w:r w:rsidR="00804AF3">
        <w:rPr>
          <w:noProof/>
        </w:rPr>
        <w:fldChar w:fldCharType="end"/>
      </w:r>
      <w:r w:rsidR="00312DCB">
        <w:rPr>
          <w:noProof/>
        </w:rPr>
        <w:t>:</w:t>
      </w:r>
      <w:r>
        <w:t xml:space="preserve"> </w:t>
      </w:r>
      <w:r w:rsidRPr="00DA7ABE">
        <w:rPr>
          <w:rFonts w:cstheme="minorHAnsi"/>
        </w:rPr>
        <w:t>Pocit bezpečí v místě bydliště</w:t>
      </w:r>
      <w:bookmarkEnd w:id="354"/>
      <w:bookmarkEnd w:id="355"/>
    </w:p>
    <w:p w14:paraId="72494BA0" w14:textId="77777777" w:rsidR="006704AF" w:rsidRPr="00DA7ABE" w:rsidRDefault="006704AF" w:rsidP="006704AF">
      <w:pPr>
        <w:rPr>
          <w:rFonts w:cstheme="minorHAnsi"/>
        </w:rPr>
      </w:pPr>
      <w:r>
        <w:rPr>
          <w:rFonts w:cstheme="minorHAnsi"/>
          <w:noProof/>
          <w:lang w:eastAsia="cs-CZ"/>
        </w:rPr>
        <w:drawing>
          <wp:inline distT="0" distB="0" distL="0" distR="0" wp14:anchorId="292107B4" wp14:editId="73313A90">
            <wp:extent cx="5773420" cy="21456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3420" cy="2145665"/>
                    </a:xfrm>
                    <a:prstGeom prst="rect">
                      <a:avLst/>
                    </a:prstGeom>
                    <a:noFill/>
                  </pic:spPr>
                </pic:pic>
              </a:graphicData>
            </a:graphic>
          </wp:inline>
        </w:drawing>
      </w:r>
    </w:p>
    <w:p w14:paraId="00E71CDC" w14:textId="1B2A94BC" w:rsidR="006704AF" w:rsidRPr="00DA7ABE" w:rsidRDefault="006704AF" w:rsidP="006704AF">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312DCB">
        <w:rPr>
          <w:rFonts w:asciiTheme="minorHAnsi" w:hAnsiTheme="minorHAnsi" w:cstheme="minorHAnsi"/>
        </w:rPr>
        <w:t>;</w:t>
      </w:r>
      <w:r w:rsidRPr="00DA7ABE">
        <w:rPr>
          <w:rFonts w:asciiTheme="minorHAnsi" w:hAnsiTheme="minorHAnsi" w:cstheme="minorHAnsi"/>
        </w:rPr>
        <w:t xml:space="preserve"> Otázka 10</w:t>
      </w:r>
      <w:r w:rsidR="00312DCB">
        <w:rPr>
          <w:rFonts w:asciiTheme="minorHAnsi" w:hAnsiTheme="minorHAnsi" w:cstheme="minorHAnsi"/>
        </w:rPr>
        <w:t>:</w:t>
      </w:r>
      <w:r w:rsidRPr="00DA7ABE">
        <w:rPr>
          <w:rFonts w:asciiTheme="minorHAnsi" w:hAnsiTheme="minorHAnsi" w:cstheme="minorHAnsi"/>
        </w:rPr>
        <w:t xml:space="preserve"> Cítíte se v OKOLÍ SVÉHO bydliště bezpečně?</w:t>
      </w:r>
    </w:p>
    <w:p w14:paraId="3D4ACE68" w14:textId="3BDDBCEF" w:rsidR="006704AF" w:rsidRDefault="006704AF" w:rsidP="006704AF">
      <w:pPr>
        <w:rPr>
          <w:rFonts w:cstheme="minorHAnsi"/>
        </w:rPr>
      </w:pPr>
      <w:r w:rsidRPr="001115F3">
        <w:rPr>
          <w:rFonts w:cstheme="minorHAnsi"/>
        </w:rPr>
        <w:t>Zároveň je patrné, že se s přibývajícím věkem ob</w:t>
      </w:r>
      <w:r>
        <w:rPr>
          <w:rFonts w:cstheme="minorHAnsi"/>
        </w:rPr>
        <w:t>yvatel pocit bezpečí snižuje (15</w:t>
      </w:r>
      <w:r w:rsidRPr="001115F3">
        <w:rPr>
          <w:rFonts w:cstheme="minorHAnsi"/>
        </w:rPr>
        <w:t>,2 % obyvatel ve věkové skupině nad 65 let necítí pocit bezpečí v místě svého bydliště). Naopak nejbezpečněji se cít</w:t>
      </w:r>
      <w:r>
        <w:rPr>
          <w:rFonts w:cstheme="minorHAnsi"/>
        </w:rPr>
        <w:t>í nejmladší část populace (do 35</w:t>
      </w:r>
      <w:r w:rsidRPr="001115F3">
        <w:rPr>
          <w:rFonts w:cstheme="minorHAnsi"/>
        </w:rPr>
        <w:t xml:space="preserve"> let), v této skupině nemělo pocit bezpečí v souhrnu </w:t>
      </w:r>
      <w:r>
        <w:rPr>
          <w:rFonts w:cstheme="minorHAnsi"/>
        </w:rPr>
        <w:t>6,6</w:t>
      </w:r>
      <w:r w:rsidRPr="001115F3">
        <w:rPr>
          <w:rFonts w:cstheme="minorHAnsi"/>
        </w:rPr>
        <w:t xml:space="preserve"> % obyvatel. Hlavními důvody uváděnými v souvislosti s nízkým pocitem bezpečí byla přítomnost lidí bez domova a dalších rizikových skupin, především </w:t>
      </w:r>
      <w:r>
        <w:rPr>
          <w:rFonts w:cstheme="minorHAnsi"/>
        </w:rPr>
        <w:t>uživatelů alkoholu</w:t>
      </w:r>
      <w:r w:rsidRPr="001115F3">
        <w:rPr>
          <w:rFonts w:cstheme="minorHAnsi"/>
        </w:rPr>
        <w:t xml:space="preserve"> a dalších návykových látek, což odpovídá výsledkům </w:t>
      </w:r>
      <w:r>
        <w:rPr>
          <w:rFonts w:cstheme="minorHAnsi"/>
        </w:rPr>
        <w:t>s</w:t>
      </w:r>
      <w:r w:rsidRPr="001115F3">
        <w:rPr>
          <w:rFonts w:cstheme="minorHAnsi"/>
        </w:rPr>
        <w:t>tudie provedené v roce 2017. Častými odpověďmi bylo také nedodržování dopravních předpisů a</w:t>
      </w:r>
      <w:r w:rsidR="00312DCB">
        <w:rPr>
          <w:rFonts w:cstheme="minorHAnsi"/>
        </w:rPr>
        <w:t> </w:t>
      </w:r>
      <w:r w:rsidRPr="001115F3">
        <w:rPr>
          <w:rFonts w:cstheme="minorHAnsi"/>
        </w:rPr>
        <w:t>krádeže.</w:t>
      </w:r>
    </w:p>
    <w:p w14:paraId="79DD453E" w14:textId="21DEF8E9" w:rsidR="006704AF" w:rsidRPr="00DA7ABE" w:rsidRDefault="006704AF" w:rsidP="006704AF">
      <w:pPr>
        <w:pStyle w:val="Titulek"/>
        <w:keepNext/>
        <w:rPr>
          <w:rFonts w:cstheme="minorHAnsi"/>
        </w:rPr>
      </w:pPr>
      <w:bookmarkStart w:id="356" w:name="_Toc52963371"/>
      <w:bookmarkStart w:id="357" w:name="_Toc77074888"/>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70</w:t>
      </w:r>
      <w:r w:rsidR="00804AF3">
        <w:rPr>
          <w:noProof/>
        </w:rPr>
        <w:fldChar w:fldCharType="end"/>
      </w:r>
      <w:r w:rsidR="00312DCB">
        <w:rPr>
          <w:noProof/>
        </w:rPr>
        <w:t>:</w:t>
      </w:r>
      <w:r>
        <w:t xml:space="preserve"> </w:t>
      </w:r>
      <w:r w:rsidRPr="00DA7ABE">
        <w:rPr>
          <w:rFonts w:cstheme="minorHAnsi"/>
        </w:rPr>
        <w:t>Důvody, proč se respondenti necítí bezpečně</w:t>
      </w:r>
      <w:bookmarkEnd w:id="356"/>
      <w:bookmarkEnd w:id="357"/>
    </w:p>
    <w:p w14:paraId="38B6628C" w14:textId="77777777" w:rsidR="006704AF" w:rsidRDefault="006704AF" w:rsidP="006704AF">
      <w:pPr>
        <w:pStyle w:val="zdroj0"/>
        <w:jc w:val="both"/>
        <w:rPr>
          <w:rFonts w:asciiTheme="minorHAnsi" w:hAnsiTheme="minorHAnsi" w:cstheme="minorHAnsi"/>
        </w:rPr>
      </w:pPr>
      <w:r w:rsidRPr="00DA7ABE">
        <w:rPr>
          <w:rFonts w:asciiTheme="minorHAnsi" w:hAnsiTheme="minorHAnsi" w:cstheme="minorHAnsi"/>
          <w:noProof/>
        </w:rPr>
        <w:drawing>
          <wp:inline distT="0" distB="0" distL="0" distR="0" wp14:anchorId="42A08CAA" wp14:editId="24413465">
            <wp:extent cx="5760000" cy="4133158"/>
            <wp:effectExtent l="114300" t="114300" r="165100" b="172720"/>
            <wp:docPr id="223" name="Obrázek 223" descr="C:\Users\Linda Vyvialová\Desktop\Zlin_pruzkum\10a\10a_Z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a Vyvialová\Desktop\Zlin_pruzkum\10a\10a_Zlin.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2367" t="10341" r="11211" b="16528"/>
                    <a:stretch/>
                  </pic:blipFill>
                  <pic:spPr bwMode="auto">
                    <a:xfrm>
                      <a:off x="0" y="0"/>
                      <a:ext cx="5760000" cy="4133158"/>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A7ABE">
        <w:rPr>
          <w:rFonts w:asciiTheme="minorHAnsi" w:hAnsiTheme="minorHAnsi" w:cstheme="minorHAnsi"/>
        </w:rPr>
        <w:t xml:space="preserve"> </w:t>
      </w:r>
    </w:p>
    <w:p w14:paraId="47EF54A0" w14:textId="4F07E73A" w:rsidR="006704AF" w:rsidRPr="00DA7ABE" w:rsidRDefault="006704AF" w:rsidP="006704AF">
      <w:pPr>
        <w:pStyle w:val="zdroj0"/>
        <w:jc w:val="both"/>
        <w:rPr>
          <w:rFonts w:asciiTheme="minorHAnsi" w:hAnsiTheme="minorHAnsi" w:cstheme="minorHAnsi"/>
        </w:rPr>
      </w:pPr>
      <w:r w:rsidRPr="00DA7ABE">
        <w:rPr>
          <w:rFonts w:asciiTheme="minorHAnsi" w:hAnsiTheme="minorHAnsi" w:cstheme="minorHAnsi"/>
        </w:rPr>
        <w:t>Zdroj: PROCES, Anketní šetření spokoj</w:t>
      </w:r>
      <w:r w:rsidR="00312DCB">
        <w:rPr>
          <w:rFonts w:asciiTheme="minorHAnsi" w:hAnsiTheme="minorHAnsi" w:cstheme="minorHAnsi"/>
        </w:rPr>
        <w:t xml:space="preserve">enosti obyvatel města Zlín 2020; </w:t>
      </w:r>
      <w:r w:rsidRPr="00DA7ABE">
        <w:rPr>
          <w:rFonts w:asciiTheme="minorHAnsi" w:hAnsiTheme="minorHAnsi" w:cstheme="minorHAnsi"/>
        </w:rPr>
        <w:t>Otázka 10</w:t>
      </w:r>
      <w:r w:rsidR="00312DCB">
        <w:rPr>
          <w:rFonts w:asciiTheme="minorHAnsi" w:hAnsiTheme="minorHAnsi" w:cstheme="minorHAnsi"/>
        </w:rPr>
        <w:t>:</w:t>
      </w:r>
      <w:r w:rsidRPr="00DA7ABE">
        <w:rPr>
          <w:rFonts w:asciiTheme="minorHAnsi" w:hAnsiTheme="minorHAnsi" w:cstheme="minorHAnsi"/>
        </w:rPr>
        <w:t xml:space="preserve"> Cítíte se v OKOLÍ SVÉHO bydliště bezpečně?</w:t>
      </w:r>
      <w:r w:rsidRPr="00DA7ABE">
        <w:rPr>
          <w:rFonts w:asciiTheme="minorHAnsi" w:hAnsiTheme="minorHAnsi" w:cstheme="minorHAnsi"/>
        </w:rPr>
        <w:b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w:t>
      </w:r>
    </w:p>
    <w:p w14:paraId="438E47B4" w14:textId="77777777" w:rsidR="006704AF" w:rsidRPr="00957F4F" w:rsidRDefault="006704AF" w:rsidP="006704AF">
      <w:pPr>
        <w:keepNext/>
        <w:rPr>
          <w:rFonts w:cstheme="minorHAnsi"/>
          <w:b/>
        </w:rPr>
      </w:pPr>
      <w:r w:rsidRPr="00957F4F">
        <w:rPr>
          <w:rFonts w:cstheme="minorHAnsi"/>
          <w:b/>
        </w:rPr>
        <w:t>Nízkoprahová zařízení pro děti a</w:t>
      </w:r>
      <w:r>
        <w:rPr>
          <w:rFonts w:cstheme="minorHAnsi"/>
          <w:b/>
        </w:rPr>
        <w:t> </w:t>
      </w:r>
      <w:r w:rsidRPr="00957F4F">
        <w:rPr>
          <w:rFonts w:cstheme="minorHAnsi"/>
          <w:b/>
        </w:rPr>
        <w:t>mládež</w:t>
      </w:r>
    </w:p>
    <w:p w14:paraId="4461AC77" w14:textId="323AA972" w:rsidR="006704AF" w:rsidRDefault="006704AF" w:rsidP="006704AF">
      <w:pPr>
        <w:rPr>
          <w:rFonts w:cstheme="minorHAnsi"/>
        </w:rPr>
      </w:pPr>
      <w:r>
        <w:rPr>
          <w:rFonts w:cstheme="minorHAnsi"/>
        </w:rPr>
        <w:t>Neorganizovaný volný čas je u mládeže jeden z rizikových faktorů, který může vést k problémovému chování. Za účelem zvyšování sociálních kompetencí mládeže funguje ve Zlíně několik nízkoprahových zařízení zaměřujících se na problematické sociální skupiny mládež. Prostor pro volnočasové aktivity nabízí komunitní centra T klub a Klub dětí a mládeže, v terénu působí organizace Klíč, která se snaží formou terénních pracovníků s mládeží komunikovat a pozitivně ovlivňovat její aktivity. Na základě průzkumu z roku 2017 chápe veřejnost větší podporu volnočasových aktivit zaměřených na mládež jako jednu z hlavních metod zvýšení bezpečnosti ve městě.</w:t>
      </w:r>
    </w:p>
    <w:p w14:paraId="72223688" w14:textId="77777777" w:rsidR="006704AF" w:rsidRDefault="006704AF" w:rsidP="006704AF">
      <w:pPr>
        <w:keepNext/>
        <w:rPr>
          <w:b/>
        </w:rPr>
      </w:pPr>
      <w:r w:rsidRPr="00336077">
        <w:rPr>
          <w:b/>
        </w:rPr>
        <w:t>Kybernetická bezpečnost</w:t>
      </w:r>
    </w:p>
    <w:p w14:paraId="2592EF6D" w14:textId="50FD9878" w:rsidR="006704AF" w:rsidRDefault="006704AF" w:rsidP="006704AF">
      <w:r w:rsidRPr="00521C67">
        <w:rPr>
          <w:rFonts w:cstheme="minorHAnsi"/>
          <w:color w:val="000000" w:themeColor="text1"/>
        </w:rPr>
        <w:t>S rozvíjející se digitalizací ekonomiky a společnosti roste potřeba kvalitního zaji</w:t>
      </w:r>
      <w:r>
        <w:rPr>
          <w:rFonts w:cstheme="minorHAnsi"/>
          <w:color w:val="000000" w:themeColor="text1"/>
        </w:rPr>
        <w:t xml:space="preserve">štění kybernetické bezpečnosti. </w:t>
      </w:r>
      <w:r w:rsidRPr="00521C67">
        <w:rPr>
          <w:rFonts w:cstheme="minorHAnsi"/>
          <w:color w:val="000000" w:themeColor="text1"/>
          <w:shd w:val="clear" w:color="auto" w:fill="FFFFFF"/>
        </w:rPr>
        <w:t>Kybernetické hrozby a informační kriminalita zahrnují širokou škálu negativních fenoménů různého stupně závažnosti. Příkladem hrozeb v digitálním prostředí je například riziko kybernetické špionáže</w:t>
      </w:r>
      <w:r>
        <w:rPr>
          <w:rFonts w:cstheme="minorHAnsi"/>
          <w:color w:val="000000" w:themeColor="text1"/>
          <w:shd w:val="clear" w:color="auto" w:fill="FFFFFF"/>
        </w:rPr>
        <w:t xml:space="preserve"> (průmyslové, vojenské, politické či jiné)</w:t>
      </w:r>
      <w:r w:rsidRPr="00521C67">
        <w:rPr>
          <w:rFonts w:cstheme="minorHAnsi"/>
          <w:color w:val="000000" w:themeColor="text1"/>
          <w:shd w:val="clear" w:color="auto" w:fill="FFFFFF"/>
        </w:rPr>
        <w:t xml:space="preserve">, hackerství a DDoS útoků, internetové podvody a krádeže (ohrožení internetového bankovnictví, krádeže dat z kreditních karet, falešné e-shopy, zneužívání osobních údajů atd.) a další formy kriminálních či nežádoucích aktivit (šíření dětské pornografie, prodej drog na internetových tržištích a praní špinavých peněz s pomocí virtuálních měn, stalking, internetová šikana, spam atd.) až po projevy extremismu a zneužívání internetu </w:t>
      </w:r>
      <w:r w:rsidRPr="00521C67">
        <w:rPr>
          <w:rFonts w:cstheme="minorHAnsi"/>
          <w:color w:val="000000" w:themeColor="text1"/>
          <w:shd w:val="clear" w:color="auto" w:fill="FFFFFF"/>
        </w:rPr>
        <w:lastRenderedPageBreak/>
        <w:t>k</w:t>
      </w:r>
      <w:r w:rsidR="000C3A76">
        <w:rPr>
          <w:rFonts w:cstheme="minorHAnsi"/>
          <w:color w:val="000000" w:themeColor="text1"/>
          <w:shd w:val="clear" w:color="auto" w:fill="FFFFFF"/>
        </w:rPr>
        <w:t> </w:t>
      </w:r>
      <w:r w:rsidRPr="00521C67">
        <w:rPr>
          <w:rFonts w:cstheme="minorHAnsi"/>
          <w:color w:val="000000" w:themeColor="text1"/>
          <w:shd w:val="clear" w:color="auto" w:fill="FFFFFF"/>
        </w:rPr>
        <w:t>teroristickým aktivitám a propagandě.</w:t>
      </w:r>
      <w:r>
        <w:rPr>
          <w:rStyle w:val="Znakapoznpodarou"/>
          <w:rFonts w:cstheme="minorHAnsi"/>
          <w:color w:val="000000" w:themeColor="text1"/>
          <w:shd w:val="clear" w:color="auto" w:fill="FFFFFF"/>
        </w:rPr>
        <w:footnoteReference w:id="82"/>
      </w:r>
      <w:r>
        <w:rPr>
          <w:rFonts w:cstheme="minorHAnsi"/>
          <w:color w:val="000000" w:themeColor="text1"/>
        </w:rPr>
        <w:t xml:space="preserve"> </w:t>
      </w:r>
      <w:r>
        <w:t>Vedle plánovaných kybernetických útoků jsou rizikem také případy narušení bezpečnosti a integrity sítí způsobené nezáměrně, např. selháním lidského faktoru, živelnou pohromou apod.</w:t>
      </w:r>
    </w:p>
    <w:p w14:paraId="10F7F15B" w14:textId="77777777" w:rsidR="006704AF" w:rsidRDefault="006704AF" w:rsidP="006704AF">
      <w:r>
        <w:t>Opatření zvyšování kybernetické bezpečnosti definuje Zákon o kybernetické bezpečnosti. Hlavním gestorem problematiky kybernetické bezpečnosti a zároveň národní autoritou a koordinátorem pro tuto oblast je Národní bezpečnostní úřad (NBÚ). Definice základních principů kybernetické bezpečnosti, hrozeb a možností ochrany obsahuje dokument „Národní strategie kybernetické bezpečnosti České republiky na období let 2015 až 2020“.</w:t>
      </w:r>
      <w:r>
        <w:rPr>
          <w:rStyle w:val="Znakapoznpodarou"/>
        </w:rPr>
        <w:footnoteReference w:id="83"/>
      </w:r>
    </w:p>
    <w:p w14:paraId="12F2F1D9" w14:textId="4337567E" w:rsidR="006704AF" w:rsidRPr="0093397B" w:rsidRDefault="006704AF" w:rsidP="006704AF">
      <w:pPr>
        <w:rPr>
          <w:rFonts w:cstheme="minorHAnsi"/>
          <w:color w:val="000000" w:themeColor="text1"/>
        </w:rPr>
      </w:pPr>
      <w:r>
        <w:t>Velké riziko představují cílené útoky na zranitelné prvky informačních systémů kritické infrastruktury (například energetické systémy nebo informační systémy ve zdravotnictví), jejichž selhání může mít fatální následky. V souvislosti s trendem digitalizace veřejné správy vzrůstají bezpečnostní rizika spojená s narušením funkčnosti těchto systémů nebo únikem a zneužitím informací. Z dalších obecných trendů vývoje kybernetické kriminality lze uvést nízkou míru zabezpečení malých a středních podniků, potřebu kvalitního zabezpečení dat na cloudových úložištích, závislost obraných a</w:t>
      </w:r>
      <w:r w:rsidR="000C3A76">
        <w:t> </w:t>
      </w:r>
      <w:r>
        <w:t>bezpečnostních složek na informačních a komunikačních technologiích, rizika spjatá s užíváním sociálních sítí nebo nízkou digitální gramotnost veřejnosti spolu s nedostatkem odborníků na kybernetickou bezpečnost.</w:t>
      </w:r>
    </w:p>
    <w:p w14:paraId="0D34D7BE" w14:textId="01785187" w:rsidR="006704AF" w:rsidRDefault="006704AF" w:rsidP="006704AF">
      <w:r w:rsidRPr="00714BE2">
        <w:t>V dokumentu „Informační strategie statutárního města Zlín na období let 2019 – 2024</w:t>
      </w:r>
      <w:r w:rsidRPr="00714BE2">
        <w:rPr>
          <w:rStyle w:val="Znakapoznpodarou"/>
        </w:rPr>
        <w:footnoteReference w:id="84"/>
      </w:r>
      <w:r w:rsidRPr="00714BE2">
        <w:t xml:space="preserve">“ jsou mj. stanoveny zásady kybernetické bezpečnosti a ochrany osobních údajů v systémech veřejné správy. Účelem těchto opatření je koordinovaný a systematický přístup k řešení hrozeb v digitální oblasti, který zvyšuje schopnost reakce správy města v krizových situacích. Vzhledem k faktu, že se jedná o relativně nový druh hrozeb, je v první řadě nutná analýza rizik v této oblasti a zpracování bezpečnostní dokumentace. Město Zlín plánuje v souladu se Zákonem o kybernetické bezpečnosti </w:t>
      </w:r>
      <w:r>
        <w:t>zavést</w:t>
      </w:r>
      <w:r w:rsidRPr="00714BE2">
        <w:t xml:space="preserve"> centralizovaný systém informačního zabezpečení, jednotlivé </w:t>
      </w:r>
      <w:r>
        <w:t>kybernetické</w:t>
      </w:r>
      <w:r w:rsidRPr="00714BE2">
        <w:t xml:space="preserve"> bezpečnostní incidenty budou monitorovány a vyhodnocovány. Pro všechny uživatele informačních systémů SMZ budou definovány jednotné standardy bezpečnostní politiky. Také se plánuje zavedení a zprovoznění centrální profesionálně udržované a aktualizované databáze spamu a posílení antivirových a antispamových ochranných opatření. Zabezpečení kritické infrastruktury a veřejných zařízení (například </w:t>
      </w:r>
      <w:r>
        <w:t>zdravotnická zařízení nebo</w:t>
      </w:r>
      <w:r w:rsidRPr="00714BE2">
        <w:t xml:space="preserve"> školy) </w:t>
      </w:r>
      <w:r>
        <w:t>spolu s úrovní</w:t>
      </w:r>
      <w:r w:rsidRPr="00714BE2">
        <w:t xml:space="preserve"> technického zabezpečení internetu </w:t>
      </w:r>
      <w:r>
        <w:t>není v současnosti dostatečná</w:t>
      </w:r>
      <w:r w:rsidRPr="00714BE2">
        <w:t>, je proto nutné kontinuálně posilovat jeho ochranu. Počítá se také se zavedením systémů informační bezpečnosti dětí na školách, včetně systému ochrany proti nevhodnému obsahu</w:t>
      </w:r>
      <w:r>
        <w:t xml:space="preserve"> a zavedení prvků podporujících boj proti kyberšikaně</w:t>
      </w:r>
      <w:r w:rsidRPr="00714BE2">
        <w:t>. Neméně důležité je vzdělávání a osvěta v oblasti kybernetické bezpečnosti jak u dětí a mládeže ve školách</w:t>
      </w:r>
      <w:r w:rsidR="000C3A76">
        <w:t>,</w:t>
      </w:r>
      <w:r w:rsidRPr="00714BE2">
        <w:t xml:space="preserve"> tak u odborníků působících ve veřejné správě.</w:t>
      </w:r>
      <w:r>
        <w:t xml:space="preserve"> Koncepce „Smart City“ (chytré město) je založená na maximalizaci využití potenciálu informačních a</w:t>
      </w:r>
      <w:r w:rsidR="000C3A76">
        <w:t> </w:t>
      </w:r>
      <w:r>
        <w:t>komunikačních technologií pro zlepšení kvality života ve městě v různých sférách (doprava, životní prostředí, komunikace s veřejnou správou, apod.). Koncepce chytrých měst je založena na volném přístupu k datům a sdílení informací, které napomáhá zvyšovat informovanost veřejnosti a její aktivní participaci. Pro tyto účely je zamýšleno zřízení mobilní aplikace. Zajištění kvalitního zabezpečení projektu Smart City je nezbytné.</w:t>
      </w:r>
    </w:p>
    <w:p w14:paraId="3F45598F" w14:textId="77777777" w:rsidR="006704AF" w:rsidRDefault="006704AF" w:rsidP="006704AF">
      <w:pPr>
        <w:spacing w:before="0" w:after="160" w:line="259" w:lineRule="auto"/>
        <w:jc w:val="left"/>
      </w:pPr>
      <w:r>
        <w:br w:type="page"/>
      </w:r>
    </w:p>
    <w:p w14:paraId="62898C01" w14:textId="77777777" w:rsidR="006704AF" w:rsidRPr="005D4FB4" w:rsidRDefault="006704AF" w:rsidP="006704AF">
      <w:pPr>
        <w:pStyle w:val="Nadpis3"/>
        <w:ind w:left="720"/>
      </w:pPr>
      <w:bookmarkStart w:id="358" w:name="_Toc52963405"/>
      <w:bookmarkStart w:id="359" w:name="_Toc77074596"/>
      <w:r w:rsidRPr="005D4FB4">
        <w:lastRenderedPageBreak/>
        <w:t>Městská policie</w:t>
      </w:r>
      <w:bookmarkEnd w:id="358"/>
      <w:bookmarkEnd w:id="359"/>
    </w:p>
    <w:p w14:paraId="51CCE006" w14:textId="03F1F99A" w:rsidR="006704AF" w:rsidRPr="00371546" w:rsidRDefault="006704AF" w:rsidP="006704AF">
      <w:pPr>
        <w:rPr>
          <w:rFonts w:cstheme="minorHAnsi"/>
        </w:rPr>
      </w:pPr>
      <w:r w:rsidRPr="00371546">
        <w:rPr>
          <w:rFonts w:cstheme="minorHAnsi"/>
        </w:rPr>
        <w:t>Obecní policie je samostatným bezpečnostním orgánem obce. Jejím hlavním úkolem je zabezpečování místních záležitostí veřejného pořádku v rámci působnosti obce. Těžištěm přímé činnosti Městské policie (MP) Zlín je dohled nad dodržováním zákonů a obecně závazných právních předpisů, odhalování a</w:t>
      </w:r>
      <w:r w:rsidR="000C3A76">
        <w:rPr>
          <w:rFonts w:cstheme="minorHAnsi"/>
        </w:rPr>
        <w:t> </w:t>
      </w:r>
      <w:r w:rsidRPr="00371546">
        <w:rPr>
          <w:rFonts w:cstheme="minorHAnsi"/>
        </w:rPr>
        <w:t>řešení protiprávního jednání na území Zlína, ale nelze opomenout ani nesporné preventivní působení. MP Zlín má důležitý vliv na pořádkovou a bezpečnostní situaci ve městě.</w:t>
      </w:r>
    </w:p>
    <w:p w14:paraId="3BBB21F8" w14:textId="08BF0B16" w:rsidR="006704AF" w:rsidRPr="00371546" w:rsidRDefault="006704AF" w:rsidP="006704AF">
      <w:pPr>
        <w:rPr>
          <w:rFonts w:cstheme="minorHAnsi"/>
        </w:rPr>
      </w:pPr>
      <w:r w:rsidRPr="00371546">
        <w:rPr>
          <w:rFonts w:cstheme="minorHAnsi"/>
        </w:rPr>
        <w:t>MP Zlín při zabezpečování místních záležitostí veřejného pořádku a plnění dalších úkolů podl</w:t>
      </w:r>
      <w:r w:rsidR="000C3A76">
        <w:rPr>
          <w:rFonts w:cstheme="minorHAnsi"/>
        </w:rPr>
        <w:t>e zákona o </w:t>
      </w:r>
      <w:r w:rsidRPr="00371546">
        <w:rPr>
          <w:rFonts w:cstheme="minorHAnsi"/>
        </w:rPr>
        <w:t>obecní policii nebo zvláštního zákona:</w:t>
      </w:r>
    </w:p>
    <w:p w14:paraId="1512EE21" w14:textId="24190C2F" w:rsidR="006704AF" w:rsidRPr="00371546" w:rsidRDefault="006704AF" w:rsidP="006704AF">
      <w:pPr>
        <w:pStyle w:val="Odstavecseseznamem"/>
        <w:numPr>
          <w:ilvl w:val="0"/>
          <w:numId w:val="44"/>
        </w:numPr>
        <w:rPr>
          <w:rFonts w:cstheme="minorHAnsi"/>
        </w:rPr>
      </w:pPr>
      <w:r w:rsidRPr="00371546">
        <w:rPr>
          <w:rFonts w:cstheme="minorHAnsi"/>
        </w:rPr>
        <w:t>přispívá k ochraně a bezpečnosti osob a majetku</w:t>
      </w:r>
      <w:r w:rsidR="000C3A76">
        <w:rPr>
          <w:rFonts w:cstheme="minorHAnsi"/>
        </w:rPr>
        <w:t>,</w:t>
      </w:r>
    </w:p>
    <w:p w14:paraId="124622F6" w14:textId="6FF51B99" w:rsidR="006704AF" w:rsidRPr="00371546" w:rsidRDefault="006704AF" w:rsidP="006704AF">
      <w:pPr>
        <w:pStyle w:val="Odstavecseseznamem"/>
        <w:numPr>
          <w:ilvl w:val="0"/>
          <w:numId w:val="44"/>
        </w:numPr>
        <w:rPr>
          <w:rFonts w:cstheme="minorHAnsi"/>
        </w:rPr>
      </w:pPr>
      <w:r w:rsidRPr="00371546">
        <w:rPr>
          <w:rFonts w:cstheme="minorHAnsi"/>
        </w:rPr>
        <w:t>dohlíží na dodržování pravidel občanského soužití</w:t>
      </w:r>
      <w:r w:rsidR="000C3A76">
        <w:rPr>
          <w:rFonts w:cstheme="minorHAnsi"/>
        </w:rPr>
        <w:t>,</w:t>
      </w:r>
    </w:p>
    <w:p w14:paraId="27B7E8F9" w14:textId="2930A316" w:rsidR="006704AF" w:rsidRPr="00371546" w:rsidRDefault="006704AF" w:rsidP="006704AF">
      <w:pPr>
        <w:pStyle w:val="Odstavecseseznamem"/>
        <w:numPr>
          <w:ilvl w:val="0"/>
          <w:numId w:val="44"/>
        </w:numPr>
        <w:rPr>
          <w:rFonts w:cstheme="minorHAnsi"/>
        </w:rPr>
      </w:pPr>
      <w:r w:rsidRPr="00371546">
        <w:rPr>
          <w:rFonts w:cstheme="minorHAnsi"/>
        </w:rPr>
        <w:t>dohlíží na dodržování obecně závazných vyhlášek a nařízení obce</w:t>
      </w:r>
      <w:r w:rsidR="000C3A76">
        <w:rPr>
          <w:rFonts w:cstheme="minorHAnsi"/>
        </w:rPr>
        <w:t>,</w:t>
      </w:r>
    </w:p>
    <w:p w14:paraId="5571555F" w14:textId="49ED490D" w:rsidR="006704AF" w:rsidRPr="00371546" w:rsidRDefault="006704AF" w:rsidP="006704AF">
      <w:pPr>
        <w:pStyle w:val="Odstavecseseznamem"/>
        <w:numPr>
          <w:ilvl w:val="0"/>
          <w:numId w:val="44"/>
        </w:numPr>
        <w:rPr>
          <w:rFonts w:cstheme="minorHAnsi"/>
        </w:rPr>
      </w:pPr>
      <w:r w:rsidRPr="00371546">
        <w:rPr>
          <w:rFonts w:cstheme="minorHAnsi"/>
        </w:rPr>
        <w:t>podílí se na dohledu na bezpečnost a plynulost provozu na pozemních komunikacích</w:t>
      </w:r>
      <w:r w:rsidR="000C3A76">
        <w:rPr>
          <w:rFonts w:cstheme="minorHAnsi"/>
        </w:rPr>
        <w:t>,</w:t>
      </w:r>
    </w:p>
    <w:p w14:paraId="77E51133" w14:textId="2F184B32" w:rsidR="006704AF" w:rsidRPr="00371546" w:rsidRDefault="006704AF" w:rsidP="006704AF">
      <w:pPr>
        <w:pStyle w:val="Odstavecseseznamem"/>
        <w:numPr>
          <w:ilvl w:val="0"/>
          <w:numId w:val="44"/>
        </w:numPr>
        <w:rPr>
          <w:rFonts w:cstheme="minorHAnsi"/>
        </w:rPr>
      </w:pPr>
      <w:r w:rsidRPr="00371546">
        <w:rPr>
          <w:rFonts w:cstheme="minorHAnsi"/>
        </w:rPr>
        <w:t>podílí se na dodržování právních předpisů o ochraně veřejného pořádku a činí opatření k jeho obnovení</w:t>
      </w:r>
      <w:r w:rsidR="000C3A76">
        <w:rPr>
          <w:rFonts w:cstheme="minorHAnsi"/>
        </w:rPr>
        <w:t>,</w:t>
      </w:r>
    </w:p>
    <w:p w14:paraId="29D1BCC0" w14:textId="22B8B22E" w:rsidR="006704AF" w:rsidRPr="00371546" w:rsidRDefault="006704AF" w:rsidP="006704AF">
      <w:pPr>
        <w:pStyle w:val="Odstavecseseznamem"/>
        <w:numPr>
          <w:ilvl w:val="0"/>
          <w:numId w:val="44"/>
        </w:numPr>
        <w:rPr>
          <w:rFonts w:cstheme="minorHAnsi"/>
        </w:rPr>
      </w:pPr>
      <w:r w:rsidRPr="00371546">
        <w:rPr>
          <w:rFonts w:cstheme="minorHAnsi"/>
        </w:rPr>
        <w:t>podílí se na prevenci kriminality v</w:t>
      </w:r>
      <w:r w:rsidR="000C3A76">
        <w:rPr>
          <w:rFonts w:cstheme="minorHAnsi"/>
        </w:rPr>
        <w:t> </w:t>
      </w:r>
      <w:r w:rsidRPr="00371546">
        <w:rPr>
          <w:rFonts w:cstheme="minorHAnsi"/>
        </w:rPr>
        <w:t>obci</w:t>
      </w:r>
      <w:r w:rsidR="000C3A76">
        <w:rPr>
          <w:rFonts w:cstheme="minorHAnsi"/>
        </w:rPr>
        <w:t>,</w:t>
      </w:r>
    </w:p>
    <w:p w14:paraId="6E42E8E4" w14:textId="4964322E" w:rsidR="006704AF" w:rsidRPr="00371546" w:rsidRDefault="006704AF" w:rsidP="006704AF">
      <w:pPr>
        <w:pStyle w:val="Odstavecseseznamem"/>
        <w:numPr>
          <w:ilvl w:val="0"/>
          <w:numId w:val="44"/>
        </w:numPr>
        <w:rPr>
          <w:rFonts w:cstheme="minorHAnsi"/>
        </w:rPr>
      </w:pPr>
      <w:r w:rsidRPr="00371546">
        <w:rPr>
          <w:rFonts w:cstheme="minorHAnsi"/>
        </w:rPr>
        <w:t>provádí dohled nad dodržováním čistoty na veřejných prostranstvích v</w:t>
      </w:r>
      <w:r w:rsidR="000C3A76">
        <w:rPr>
          <w:rFonts w:cstheme="minorHAnsi"/>
        </w:rPr>
        <w:t> </w:t>
      </w:r>
      <w:r w:rsidRPr="00371546">
        <w:rPr>
          <w:rFonts w:cstheme="minorHAnsi"/>
        </w:rPr>
        <w:t>obci</w:t>
      </w:r>
      <w:r w:rsidR="000C3A76">
        <w:rPr>
          <w:rFonts w:cstheme="minorHAnsi"/>
        </w:rPr>
        <w:t>,</w:t>
      </w:r>
    </w:p>
    <w:p w14:paraId="17ED5630" w14:textId="23E5E3C2" w:rsidR="006704AF" w:rsidRPr="00371546" w:rsidRDefault="006704AF" w:rsidP="006704AF">
      <w:pPr>
        <w:pStyle w:val="Odstavecseseznamem"/>
        <w:numPr>
          <w:ilvl w:val="0"/>
          <w:numId w:val="44"/>
        </w:numPr>
        <w:rPr>
          <w:rFonts w:cstheme="minorHAnsi"/>
        </w:rPr>
      </w:pPr>
      <w:r w:rsidRPr="00371546">
        <w:rPr>
          <w:rFonts w:cstheme="minorHAnsi"/>
        </w:rPr>
        <w:t>odhaluje přestupky, jejichž projednávání je v působnosti obce</w:t>
      </w:r>
      <w:r w:rsidR="000C3A76">
        <w:rPr>
          <w:rFonts w:cstheme="minorHAnsi"/>
        </w:rPr>
        <w:t>,</w:t>
      </w:r>
    </w:p>
    <w:p w14:paraId="07101D86" w14:textId="1C7BE161" w:rsidR="006704AF" w:rsidRPr="00371546" w:rsidRDefault="006704AF" w:rsidP="006704AF">
      <w:pPr>
        <w:pStyle w:val="Odstavecseseznamem"/>
        <w:numPr>
          <w:ilvl w:val="0"/>
          <w:numId w:val="44"/>
        </w:numPr>
        <w:rPr>
          <w:rFonts w:cstheme="minorHAnsi"/>
        </w:rPr>
      </w:pPr>
      <w:r w:rsidRPr="00371546">
        <w:rPr>
          <w:rFonts w:cstheme="minorHAnsi"/>
        </w:rPr>
        <w:t>poskytuje za účelem zpracování statistických údajů Ministerstvu vnitra na požádání údaje o</w:t>
      </w:r>
      <w:r w:rsidR="000C3A76">
        <w:rPr>
          <w:rFonts w:cstheme="minorHAnsi"/>
        </w:rPr>
        <w:t> </w:t>
      </w:r>
      <w:r w:rsidRPr="00371546">
        <w:rPr>
          <w:rFonts w:cstheme="minorHAnsi"/>
        </w:rPr>
        <w:t>obecní policii</w:t>
      </w:r>
      <w:r w:rsidR="000C3A76">
        <w:rPr>
          <w:rFonts w:cstheme="minorHAnsi"/>
        </w:rPr>
        <w:t>.</w:t>
      </w:r>
    </w:p>
    <w:p w14:paraId="104945FF" w14:textId="566E0DF8" w:rsidR="006704AF" w:rsidRPr="009E5EAF" w:rsidRDefault="006704AF" w:rsidP="006704AF">
      <w:r w:rsidRPr="00371546">
        <w:t xml:space="preserve">K 1. 8. 2020 pracuje u městské policie ve Zlíně 98 zaměstnanců, z toho 91 je strážníků. Optimální počet strážníků je dle informací městské policie 110, v září 2020 bude proto navýšen stav o 8 kadetů. Věkovou strukturu strážníků městské policie znázorňuje graf na obrázku </w:t>
      </w:r>
      <w:r w:rsidR="00E111E6">
        <w:t>1.71</w:t>
      </w:r>
      <w:r w:rsidRPr="00371546">
        <w:t>. Od roku 2015 dochází ke snižování poměru mladších strážníků, situaci má zlepšit zaměstnání nových kadetů. Největší část strážníků měla v roce 2019 středoškolské vzdělání s maturitou (67), dále vysokoškolské (14) a vyšší odborné (9).</w:t>
      </w:r>
    </w:p>
    <w:p w14:paraId="660EF078" w14:textId="221AC8D5" w:rsidR="006704AF" w:rsidRDefault="006704AF" w:rsidP="006704AF">
      <w:pPr>
        <w:pStyle w:val="Titulek"/>
      </w:pPr>
      <w:bookmarkStart w:id="360" w:name="_Toc52963372"/>
      <w:bookmarkStart w:id="361" w:name="_Toc7707488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71</w:t>
      </w:r>
      <w:r w:rsidR="00804AF3">
        <w:rPr>
          <w:noProof/>
        </w:rPr>
        <w:fldChar w:fldCharType="end"/>
      </w:r>
      <w:r w:rsidR="00813340">
        <w:rPr>
          <w:noProof/>
        </w:rPr>
        <w:t>:</w:t>
      </w:r>
      <w:r>
        <w:t xml:space="preserve"> Vývoj věkové struktury strážníků městské policie Zlín</w:t>
      </w:r>
      <w:bookmarkEnd w:id="360"/>
      <w:bookmarkEnd w:id="361"/>
    </w:p>
    <w:p w14:paraId="662C2B92" w14:textId="77777777" w:rsidR="006704AF" w:rsidRDefault="006704AF" w:rsidP="006704AF">
      <w:r>
        <w:rPr>
          <w:noProof/>
          <w:lang w:eastAsia="cs-CZ"/>
        </w:rPr>
        <w:drawing>
          <wp:inline distT="0" distB="0" distL="0" distR="0" wp14:anchorId="7483C9F9" wp14:editId="7EE85A00">
            <wp:extent cx="5760000" cy="2645304"/>
            <wp:effectExtent l="0" t="0" r="0" b="3175"/>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60000" cy="2645304"/>
                    </a:xfrm>
                    <a:prstGeom prst="rect">
                      <a:avLst/>
                    </a:prstGeom>
                    <a:noFill/>
                  </pic:spPr>
                </pic:pic>
              </a:graphicData>
            </a:graphic>
          </wp:inline>
        </w:drawing>
      </w:r>
    </w:p>
    <w:p w14:paraId="4790632B" w14:textId="433296A3" w:rsidR="006704AF" w:rsidRDefault="006704AF" w:rsidP="006704AF">
      <w:pPr>
        <w:pStyle w:val="Zdroj"/>
      </w:pPr>
      <w:r>
        <w:t>Zdroj: Městská policie Zlín, zpracování PROCES</w:t>
      </w:r>
      <w:r w:rsidR="00813340">
        <w:t>, 2020.</w:t>
      </w:r>
    </w:p>
    <w:p w14:paraId="09394E61" w14:textId="3B050982" w:rsidR="006704AF" w:rsidRDefault="006704AF" w:rsidP="006704AF">
      <w:r w:rsidRPr="009E5EAF">
        <w:t xml:space="preserve">V roce 2019 bylo městskou policií ve Zlíně uděleno 9 203 pokut za přestupky. Velká většina pokut je v oblasti přestupků v rámci silničního provozu, v menší míře pak přestupky proti pořádku v územní samosprávě, přestupy proti majetku a přestupky proti veřejnému pořádku. Počet udělených pokut městskou policií ve Zlíně v letech 2012 až 2019 znázorňuje graf na obrázku </w:t>
      </w:r>
      <w:r w:rsidR="00E111E6">
        <w:t>1.72</w:t>
      </w:r>
      <w:r w:rsidRPr="009E5EAF">
        <w:t>. Celková výše pokut udělených strážníky v roce 2018 činila 2 155 437 Kč.</w:t>
      </w:r>
    </w:p>
    <w:p w14:paraId="768085F9" w14:textId="448784AA" w:rsidR="006704AF" w:rsidRDefault="006704AF" w:rsidP="006704AF">
      <w:pPr>
        <w:pStyle w:val="Titulek"/>
      </w:pPr>
      <w:bookmarkStart w:id="362" w:name="_Toc52963373"/>
      <w:bookmarkStart w:id="363" w:name="_Toc77074890"/>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72</w:t>
      </w:r>
      <w:r w:rsidR="00804AF3">
        <w:rPr>
          <w:noProof/>
        </w:rPr>
        <w:fldChar w:fldCharType="end"/>
      </w:r>
      <w:r w:rsidR="00813340">
        <w:rPr>
          <w:noProof/>
        </w:rPr>
        <w:t>:</w:t>
      </w:r>
      <w:r>
        <w:t xml:space="preserve"> Vývoj celkového počtu přestupků s pokutou ve Zlíně mezi lety 2012 a 2019</w:t>
      </w:r>
      <w:bookmarkEnd w:id="362"/>
      <w:bookmarkEnd w:id="363"/>
    </w:p>
    <w:p w14:paraId="3BA09E23" w14:textId="77777777" w:rsidR="006704AF" w:rsidRDefault="006704AF" w:rsidP="006704AF">
      <w:r>
        <w:rPr>
          <w:noProof/>
          <w:lang w:eastAsia="cs-CZ"/>
        </w:rPr>
        <w:drawing>
          <wp:inline distT="0" distB="0" distL="0" distR="0" wp14:anchorId="32D1BEA4" wp14:editId="201D4AB5">
            <wp:extent cx="5760000" cy="2743200"/>
            <wp:effectExtent l="0" t="0" r="12700" b="0"/>
            <wp:docPr id="321" name="Graf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BDF8826" w14:textId="0776A64B" w:rsidR="006704AF" w:rsidRDefault="006704AF" w:rsidP="006704AF">
      <w:pPr>
        <w:pStyle w:val="Zdroj"/>
      </w:pPr>
      <w:r>
        <w:t>Zdroj: Městská policie Zlín, zpracování PROCES</w:t>
      </w:r>
      <w:r w:rsidR="00813340">
        <w:t>, 2020.</w:t>
      </w:r>
    </w:p>
    <w:p w14:paraId="6976CEB4" w14:textId="240F6B32" w:rsidR="006704AF" w:rsidRPr="00371546" w:rsidRDefault="006704AF" w:rsidP="006704AF">
      <w:pPr>
        <w:rPr>
          <w:rFonts w:cstheme="minorHAnsi"/>
        </w:rPr>
      </w:pPr>
      <w:r w:rsidRPr="00371546">
        <w:rPr>
          <w:rFonts w:cstheme="minorHAnsi"/>
        </w:rPr>
        <w:t>Městská policie Zlín v rámci přestupkové činnosti spolupracuje s jednotlivými odbory Magistrátu města Zlína a postupuje jim jednotlivá přestupková jednání</w:t>
      </w:r>
      <w:r w:rsidR="00813340">
        <w:rPr>
          <w:rFonts w:cstheme="minorHAnsi"/>
        </w:rPr>
        <w:t>,</w:t>
      </w:r>
      <w:r w:rsidRPr="00371546">
        <w:rPr>
          <w:rFonts w:cstheme="minorHAnsi"/>
        </w:rPr>
        <w:t xml:space="preserve"> a to podle určených kompetencí. </w:t>
      </w:r>
      <w:r w:rsidRPr="00371546">
        <w:rPr>
          <w:rFonts w:cstheme="minorHAnsi"/>
        </w:rPr>
        <w:br/>
        <w:t>Za období let 2012 až 2019 postoupila na tyto odbory více jak 32 tisíc oznámení na různá protiprávní jednání, které strážníci nemohli vyřídit na místě</w:t>
      </w:r>
      <w:r w:rsidR="00813340">
        <w:rPr>
          <w:rFonts w:cstheme="minorHAnsi"/>
        </w:rPr>
        <w:t>,</w:t>
      </w:r>
      <w:r w:rsidRPr="00371546">
        <w:rPr>
          <w:rFonts w:cstheme="minorHAnsi"/>
        </w:rPr>
        <w:t xml:space="preserve"> a to buď z důvodů, že pro projednání nemají zmocnění</w:t>
      </w:r>
      <w:r w:rsidR="00813340">
        <w:rPr>
          <w:rFonts w:cstheme="minorHAnsi"/>
        </w:rPr>
        <w:t>,</w:t>
      </w:r>
      <w:r w:rsidRPr="00371546">
        <w:rPr>
          <w:rFonts w:cstheme="minorHAnsi"/>
        </w:rPr>
        <w:t xml:space="preserve"> anebo pro nesouhlas s projednáním. Spolupráce s jednotlivými odbory Magistrátu </w:t>
      </w:r>
      <w:r w:rsidRPr="00371546">
        <w:rPr>
          <w:rFonts w:cstheme="minorHAnsi"/>
        </w:rPr>
        <w:br/>
        <w:t>je i v oblasti pomoci při doručování písemností potřebných pro pr</w:t>
      </w:r>
      <w:r w:rsidR="00813340">
        <w:rPr>
          <w:rFonts w:cstheme="minorHAnsi"/>
        </w:rPr>
        <w:t xml:space="preserve">ůběh správního řízení, jakož </w:t>
      </w:r>
      <w:r w:rsidR="00813340">
        <w:rPr>
          <w:rFonts w:cstheme="minorHAnsi"/>
        </w:rPr>
        <w:br/>
        <w:t>i </w:t>
      </w:r>
      <w:r w:rsidRPr="00371546">
        <w:rPr>
          <w:rFonts w:cstheme="minorHAnsi"/>
        </w:rPr>
        <w:t>předvedení osob, které se na předvolání nedostavují k projednání.  Jednotliví strážníci Městské policie Zlín přispívají svými odbornými poznatky při řešení dopravních a jiných bezpečnostních problematik na území města Zlína.</w:t>
      </w:r>
    </w:p>
    <w:p w14:paraId="0DE4B260" w14:textId="339C1114" w:rsidR="006704AF" w:rsidRPr="00843A95" w:rsidRDefault="006704AF" w:rsidP="006704AF">
      <w:pPr>
        <w:pStyle w:val="Titulek"/>
        <w:rPr>
          <w:rFonts w:cstheme="minorHAnsi"/>
        </w:rPr>
      </w:pPr>
      <w:bookmarkStart w:id="364" w:name="_Toc52963374"/>
      <w:bookmarkStart w:id="365" w:name="_Toc7707489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73</w:t>
      </w:r>
      <w:r w:rsidR="00804AF3">
        <w:rPr>
          <w:noProof/>
        </w:rPr>
        <w:fldChar w:fldCharType="end"/>
      </w:r>
      <w:r w:rsidR="00813340">
        <w:rPr>
          <w:noProof/>
        </w:rPr>
        <w:t>:</w:t>
      </w:r>
      <w:r>
        <w:t xml:space="preserve"> </w:t>
      </w:r>
      <w:r w:rsidRPr="00843A95">
        <w:t>Vývoj celkového počtu postoupených přestupků mezi lety 2012 a 2019</w:t>
      </w:r>
      <w:bookmarkEnd w:id="364"/>
      <w:bookmarkEnd w:id="365"/>
    </w:p>
    <w:p w14:paraId="199BBE55" w14:textId="7D10F93D" w:rsidR="006704AF" w:rsidRDefault="006704AF" w:rsidP="006704AF">
      <w:pPr>
        <w:rPr>
          <w:i/>
          <w:sz w:val="18"/>
          <w:szCs w:val="18"/>
        </w:rPr>
      </w:pPr>
      <w:r w:rsidRPr="00C33076">
        <w:rPr>
          <w:i/>
          <w:noProof/>
          <w:sz w:val="18"/>
          <w:szCs w:val="18"/>
          <w:lang w:eastAsia="cs-CZ"/>
        </w:rPr>
        <w:drawing>
          <wp:anchor distT="0" distB="0" distL="114300" distR="114300" simplePos="0" relativeHeight="251742208" behindDoc="0" locked="0" layoutInCell="1" allowOverlap="1" wp14:anchorId="0781656D" wp14:editId="0A1CC22B">
            <wp:simplePos x="0" y="0"/>
            <wp:positionH relativeFrom="column">
              <wp:align>left</wp:align>
            </wp:positionH>
            <wp:positionV relativeFrom="paragraph">
              <wp:align>top</wp:align>
            </wp:positionV>
            <wp:extent cx="5759450" cy="2743200"/>
            <wp:effectExtent l="0" t="0" r="12700" b="19050"/>
            <wp:wrapSquare wrapText="bothSides"/>
            <wp:docPr id="322" name="Graf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anchor>
        </w:drawing>
      </w:r>
      <w:r w:rsidRPr="00C33076">
        <w:rPr>
          <w:i/>
          <w:sz w:val="18"/>
          <w:szCs w:val="18"/>
        </w:rPr>
        <w:t>Zdroj: Městská policie Zlín, zpracování PROCE</w:t>
      </w:r>
      <w:r>
        <w:rPr>
          <w:i/>
          <w:sz w:val="18"/>
          <w:szCs w:val="18"/>
        </w:rPr>
        <w:t>S</w:t>
      </w:r>
      <w:r w:rsidR="00813340">
        <w:rPr>
          <w:i/>
          <w:sz w:val="18"/>
          <w:szCs w:val="18"/>
        </w:rPr>
        <w:t>, 2020.</w:t>
      </w:r>
    </w:p>
    <w:p w14:paraId="06E171DD" w14:textId="77777777" w:rsidR="006704AF" w:rsidRDefault="006704AF" w:rsidP="006704AF"/>
    <w:p w14:paraId="11D9DA7E" w14:textId="77777777" w:rsidR="006704AF" w:rsidRPr="00843A95" w:rsidRDefault="006704AF" w:rsidP="006704AF">
      <w:pPr>
        <w:keepNext/>
        <w:rPr>
          <w:b/>
        </w:rPr>
      </w:pPr>
      <w:r w:rsidRPr="00843A95">
        <w:rPr>
          <w:b/>
        </w:rPr>
        <w:lastRenderedPageBreak/>
        <w:t>Prevence kriminality</w:t>
      </w:r>
    </w:p>
    <w:p w14:paraId="6D9FD7E1" w14:textId="77777777" w:rsidR="006704AF" w:rsidRPr="00843A95" w:rsidRDefault="006704AF" w:rsidP="006704AF">
      <w:pPr>
        <w:keepNext/>
        <w:rPr>
          <w:highlight w:val="yellow"/>
        </w:rPr>
      </w:pPr>
      <w:r w:rsidRPr="00843A95">
        <w:t>Městská policie Zlín se podílí na akcích pro veřejnost zaměřených na prevenci kriminality a sociálně-patologických jevů. Na děti a mládež základních a středních škol se zaměřuje dlouhodobý projekt „PAPA – policejní akademie preventivních aktivit“. Probíhá formou přednášek v budově MP Zlín včetně doprovodného programu pro třídy. Náplní jsou témata bezpečnosti silničního provozu, právního vědomí, kriminality mládeže, ukázky práce městské policie apod. Dalším preventivním projektem je „Bezpečí pro naše nejmenší“, který cílí na děti předškolního věku a informuje je o pravidlech bezpečného chování na veřejných místech. Na starší občany se zaměřuje projekt „Senior akademie“, který se snaží varovat tuto skupinu obyvatel před specifickými riziky, kterým čelí starší osoby. Z dalších projektů můžeme uvést projekt „Řetízek“, v jehož rámci se instalují bezpečnostní řetízky na dveře zájemců. Projekt „Nechci být obětí“ se zaměřuje na ženy, které mohou být obětmi domácího násilí nebo terčem útoku. V rámci dlouhodobého projektu „Jehla“ se provádí kontrola dětských hřišť s cílem eliminovat rizika plynoucí z možného výskytu infekčního materiálu.</w:t>
      </w:r>
    </w:p>
    <w:p w14:paraId="2829D737" w14:textId="77777777" w:rsidR="006704AF" w:rsidRPr="00843A95" w:rsidRDefault="006704AF" w:rsidP="006704AF">
      <w:pPr>
        <w:keepNext/>
        <w:rPr>
          <w:b/>
        </w:rPr>
      </w:pPr>
      <w:r w:rsidRPr="00843A95">
        <w:rPr>
          <w:b/>
        </w:rPr>
        <w:t>Kamerový systém</w:t>
      </w:r>
    </w:p>
    <w:p w14:paraId="683211D9" w14:textId="77777777" w:rsidR="006704AF" w:rsidRPr="00843A95" w:rsidRDefault="006704AF" w:rsidP="006704AF">
      <w:r w:rsidRPr="00843A95">
        <w:t xml:space="preserve">Městský kamerový dohlížecí systém (MKDS) funguje ve Zlíně již od roku 1998. MKDS se vedle zvyšování bezpečnosti v ulicích města podílí na zefektivnění práce integrovaného záchranného systému nasazením sil a prostředků při řešení krizových situací. Momentálně je ve městě v provozu 34 kamerových bodů MKDS a plánuje se další rozšíření pro sledování nejen dopravní situace ve Zlíně, ale i sledování veřejného pořádku. Zájmem je získat obrazové informace z dopravních uzlů, sportovišť, lokalit parků a případně i z lokalit s výskytem většího počtu osob. V průběhu posledních let docházelo k postupné modernizaci kamerových bodů – náhradě analogové techniky za techniku s vysokým rozlišením obrazu. Další modernizace a rozšíření je jednou z priorit současného plánu prevence kriminality města. Nová platforma MKDS bude umožňovat zapojit prvky inteligentního rozpoznání objektů v obraze a zefektivnit tak čas pro vyhledávání zájmových objektů v dlouhých časových úsecích záznamu. </w:t>
      </w:r>
    </w:p>
    <w:p w14:paraId="63E3ACDD" w14:textId="3D80CCB4" w:rsidR="006704AF" w:rsidRPr="00843A95" w:rsidRDefault="006704AF" w:rsidP="006704AF">
      <w:r w:rsidRPr="00843A95">
        <w:t>Součástí MKDS je také mobilní služebna, která je vybavena technikou s vysokým rozlišením obrazu a</w:t>
      </w:r>
      <w:r w:rsidR="00813340">
        <w:t> </w:t>
      </w:r>
      <w:r w:rsidRPr="00843A95">
        <w:t>technikou pro snímání obrazu za snížené viditelnosti.</w:t>
      </w:r>
    </w:p>
    <w:p w14:paraId="306B7DDE" w14:textId="77777777" w:rsidR="006704AF" w:rsidRPr="00843A95" w:rsidRDefault="006704AF" w:rsidP="006704AF">
      <w:pPr>
        <w:pStyle w:val="Odstavecseseznamem"/>
        <w:numPr>
          <w:ilvl w:val="0"/>
          <w:numId w:val="43"/>
        </w:numPr>
      </w:pPr>
      <w:r w:rsidRPr="00843A95">
        <w:t>Mobilní služebna slouží jako technické zázemí pro členy Bezpečnostní rady města, při mimořádných situacích.</w:t>
      </w:r>
    </w:p>
    <w:p w14:paraId="26C8707D" w14:textId="77777777" w:rsidR="006704AF" w:rsidRPr="00843A95" w:rsidRDefault="006704AF" w:rsidP="006704AF">
      <w:pPr>
        <w:pStyle w:val="Odstavecseseznamem"/>
        <w:numPr>
          <w:ilvl w:val="0"/>
          <w:numId w:val="43"/>
        </w:numPr>
      </w:pPr>
      <w:r w:rsidRPr="00843A95">
        <w:t>Mobilní služebna slouží rovněž jako stanoviště pro velitele zásahu při mimořádných bezpečnostních opatřeních. Nasazení mobilní služebny je velmi efektivní a stalo se nedílnou součástí mimořádných bezpečnostních opatření.</w:t>
      </w:r>
    </w:p>
    <w:p w14:paraId="72901FC8" w14:textId="77777777" w:rsidR="006704AF" w:rsidRPr="00843A95" w:rsidRDefault="006704AF" w:rsidP="006704AF">
      <w:pPr>
        <w:pStyle w:val="Odstavecseseznamem"/>
        <w:numPr>
          <w:ilvl w:val="0"/>
          <w:numId w:val="43"/>
        </w:numPr>
      </w:pPr>
      <w:r w:rsidRPr="00843A95">
        <w:t xml:space="preserve">Mobilní služebna se při významných sportovních, kulturních a společenských akcích stává dalším kamerovým bodem, který slouží stálému operačnímu centru pro vyhodnocování situace a následnému nasazení sil a prostředků. </w:t>
      </w:r>
    </w:p>
    <w:p w14:paraId="1E203A96" w14:textId="77777777" w:rsidR="006704AF" w:rsidRPr="00843A95" w:rsidRDefault="006704AF" w:rsidP="006704AF">
      <w:pPr>
        <w:pStyle w:val="Odstavecseseznamem"/>
        <w:numPr>
          <w:ilvl w:val="0"/>
          <w:numId w:val="43"/>
        </w:numPr>
      </w:pPr>
      <w:r w:rsidRPr="00843A95">
        <w:t>Mobilní služebna bývá využívána také pro aktivity MP Zlín, které souvisí s oblastí prevence kriminality.</w:t>
      </w:r>
    </w:p>
    <w:p w14:paraId="55745AF1" w14:textId="77777777" w:rsidR="006704AF" w:rsidRPr="00843A95" w:rsidRDefault="006704AF" w:rsidP="006704AF">
      <w:pPr>
        <w:pStyle w:val="Odstavecseseznamem"/>
        <w:numPr>
          <w:ilvl w:val="0"/>
          <w:numId w:val="43"/>
        </w:numPr>
      </w:pPr>
      <w:r w:rsidRPr="00843A95">
        <w:t>Současně je mobilní služebna využívána rovněž jako mobilní kancelář pro potřeby občanů bydlících v okrajových (místních) částech Zlína.</w:t>
      </w:r>
    </w:p>
    <w:p w14:paraId="6BD1B035" w14:textId="77777777" w:rsidR="006704AF" w:rsidRPr="001974F1" w:rsidRDefault="006704AF" w:rsidP="006704AF">
      <w:r w:rsidRPr="00843A95">
        <w:t>Do MKDS jsou také zapojeny kamery z jeslí, mateřských a základních škol. Přenos z těchto kamer slouží pro potřeby ředitelů organizací, případně jiným bezpečnostním složkám k zabezpeč</w:t>
      </w:r>
      <w:r>
        <w:t>ení bezpečnosti dětí a majetku.</w:t>
      </w:r>
    </w:p>
    <w:p w14:paraId="6661C73B" w14:textId="77777777" w:rsidR="006704AF" w:rsidRPr="00843A95" w:rsidRDefault="006704AF" w:rsidP="006704AF">
      <w:r w:rsidRPr="00843A95">
        <w:t xml:space="preserve">Ke zklidnění dopravní situace v katastru města Zlína slouží Dopravně bezpečnostní kamerový informační systém (DBKIS). Skládá se ze 7 úseků měření průměrné rychlosti a ze 43 stanovišť měření okamžité rychlosti, která byla konzultována s policií ČR a která jsou součástí koordinační dohody s policií ČR. Městská policie Zlín disponuje laserovým zařízením pro měření okamžité rychlosti LIDAR, které slouží převážně pro preventivní účely a měření okamžité rychlosti v oblastech s výskytem dětí </w:t>
      </w:r>
      <w:r w:rsidRPr="00843A95">
        <w:lastRenderedPageBreak/>
        <w:t>u škol, v úsecích místních částí a úsecích, kde hrozí vyšší dopravní riziko překročením povolené rychlosti.</w:t>
      </w:r>
      <w:r>
        <w:t xml:space="preserve"> Pro případ nutnosti varování obyvatel v krizové situaci je Městské policii Zlín k dispozici Varovný informační systém obyvatel.</w:t>
      </w:r>
    </w:p>
    <w:p w14:paraId="50250484" w14:textId="77777777" w:rsidR="006704AF" w:rsidRDefault="006704AF" w:rsidP="006704AF">
      <w:pPr>
        <w:pStyle w:val="Nadpis3"/>
        <w:ind w:left="720"/>
      </w:pPr>
      <w:bookmarkStart w:id="366" w:name="_Toc49779874"/>
      <w:bookmarkStart w:id="367" w:name="_Toc52963406"/>
      <w:bookmarkStart w:id="368" w:name="_Toc77074597"/>
      <w:r>
        <w:t>Krizové řízení a ochrana obyvatelstva</w:t>
      </w:r>
      <w:bookmarkEnd w:id="366"/>
      <w:bookmarkEnd w:id="367"/>
      <w:bookmarkEnd w:id="368"/>
    </w:p>
    <w:p w14:paraId="372B0CE0" w14:textId="20A3E0FA" w:rsidR="006704AF" w:rsidRDefault="006704AF" w:rsidP="006704AF">
      <w:pPr>
        <w:rPr>
          <w:rFonts w:cstheme="minorHAnsi"/>
          <w:color w:val="000000" w:themeColor="text1"/>
        </w:rPr>
      </w:pPr>
      <w:r w:rsidRPr="009C01E0">
        <w:rPr>
          <w:rFonts w:cstheme="minorHAnsi"/>
          <w:color w:val="000000" w:themeColor="text1"/>
        </w:rPr>
        <w:t xml:space="preserve">Krizovým řízením a ochranou obyvatelstva se ve Zlíně v rámci městské správy zabývá oddělení krizového řízení a obrany Magistrátu města Zlína. </w:t>
      </w:r>
      <w:r>
        <w:rPr>
          <w:rFonts w:cstheme="minorHAnsi"/>
          <w:color w:val="000000" w:themeColor="text1"/>
        </w:rPr>
        <w:t>Krizové řízení označuje souhrn řídících činností zaměřených na bezpečnostní rizika, plánování, organizování, realizaci a kontrolu činností prováděných v</w:t>
      </w:r>
      <w:r w:rsidR="00813340">
        <w:rPr>
          <w:rFonts w:cstheme="minorHAnsi"/>
          <w:color w:val="000000" w:themeColor="text1"/>
        </w:rPr>
        <w:t> </w:t>
      </w:r>
      <w:r>
        <w:rPr>
          <w:rFonts w:cstheme="minorHAnsi"/>
          <w:color w:val="000000" w:themeColor="text1"/>
        </w:rPr>
        <w:t xml:space="preserve">souvislosti s řešením krizových situací. </w:t>
      </w:r>
      <w:r w:rsidRPr="002A5F58">
        <w:rPr>
          <w:shd w:val="clear" w:color="auto" w:fill="FFFFFF"/>
        </w:rPr>
        <w:t>Ochranou obyvatelstva se rozumí plnění úkolů civilní ochrany jako varování, evakuace, ukrytí, nouzové přežití obyvatelstva a další opatření k zabezpečení ochrany jeho života, zdraví a majetku.</w:t>
      </w:r>
      <w:r>
        <w:rPr>
          <w:rFonts w:cstheme="minorHAnsi"/>
          <w:color w:val="000000" w:themeColor="text1"/>
        </w:rPr>
        <w:t xml:space="preserve"> </w:t>
      </w:r>
      <w:r>
        <w:rPr>
          <w:shd w:val="clear" w:color="auto" w:fill="FFFFFF"/>
        </w:rPr>
        <w:t>Nad rámec výše uvedeného oddělení zabezpečuje pro správní obvod ORP Zlín také oblast obrany a oblast požární ochrany.</w:t>
      </w:r>
    </w:p>
    <w:p w14:paraId="0999CDD0" w14:textId="77777777" w:rsidR="006704AF" w:rsidRDefault="006704AF" w:rsidP="006704AF">
      <w:r w:rsidRPr="00D971D0">
        <w:rPr>
          <w:rFonts w:eastAsia="Times New Roman" w:cstheme="minorHAnsi"/>
          <w:b/>
          <w:color w:val="000000" w:themeColor="text1"/>
        </w:rPr>
        <w:t>Oblast krizové připravenosti</w:t>
      </w:r>
    </w:p>
    <w:p w14:paraId="6C794F45" w14:textId="77777777" w:rsidR="006704AF" w:rsidRDefault="006704AF" w:rsidP="006704AF">
      <w:r>
        <w:rPr>
          <w:rFonts w:eastAsia="Times New Roman" w:cstheme="minorHAnsi"/>
          <w:color w:val="000000" w:themeColor="text1"/>
        </w:rPr>
        <w:t xml:space="preserve">Základními dokumenty, které představují souhrn opatření v případě řešení rozsáhlých mimořádných událostí v situaci krizového stavu, jsou </w:t>
      </w:r>
      <w:r>
        <w:rPr>
          <w:b/>
        </w:rPr>
        <w:t>Krizový plán a H</w:t>
      </w:r>
      <w:r w:rsidRPr="004719BA">
        <w:rPr>
          <w:b/>
        </w:rPr>
        <w:t>avarijní plán</w:t>
      </w:r>
      <w:r>
        <w:t xml:space="preserve"> ORP Zlín a Zlínského kraje. Krizový plán ORP Zlín sestává z řady dílčích témat věnujících se konkrétním opatřením (například plán krizové připravenosti magistrátu města Zlína, p</w:t>
      </w:r>
      <w:r w:rsidRPr="00D13C51">
        <w:t>lány krizové připravenosti vzdělávacích zařízení</w:t>
      </w:r>
      <w:r>
        <w:t>, plán nezbytných dodávek, p</w:t>
      </w:r>
      <w:r w:rsidRPr="00D13C51">
        <w:t>lány regulačních opatření (ropná nouze, stav nouze v</w:t>
      </w:r>
      <w:r>
        <w:t> </w:t>
      </w:r>
      <w:r w:rsidRPr="00D13C51">
        <w:t>energetice, regulace v dopravě, dodávká</w:t>
      </w:r>
      <w:r>
        <w:t xml:space="preserve">ch potravin, pitné vody, léky), </w:t>
      </w:r>
      <w:r w:rsidRPr="00D13C51">
        <w:t>výpis z havarijního plánu Zlínského kraje (součástí plány konkrétních činností varování, ukrytí, nouzové přežití, e</w:t>
      </w:r>
      <w:r>
        <w:t>vakuace, individuální ochrany) nebo d</w:t>
      </w:r>
      <w:r w:rsidRPr="00D13C51">
        <w:t>ílčí plán obrany ORP Zlín</w:t>
      </w:r>
      <w:r>
        <w:t>. Do oblasti krizové připravenosti lze zařadit také povodňové plány nebo plán kalamitních opatření, který Magistrát města Zlína každoročně aktualizuje před zimní sezónou. Stěžejní částí Krizového plánu ORP Zlín je analýza rizik vztažená konkrétní na podmínky správního obvodu ORP Zlín.</w:t>
      </w:r>
    </w:p>
    <w:p w14:paraId="04E2F871" w14:textId="77777777" w:rsidR="006704AF" w:rsidRDefault="006704AF" w:rsidP="006704AF">
      <w:r>
        <w:t>Na základě provedené analýzy možného ohrožení obyvatelstva obsažené v Krizovém a havarijním plánu vyplývá, že obyvatelé Zlína mohou být ohroženi živelními pohromami (povodeň, sněhová kalamita, vysoká a nízká teplota, vichřice), haváriemi na technologických zařízeních, únikem nebezpečných látek při havárii přepravní cisterny na silnici, narušením dodávek elektrické energie a plynu, atd. Mimo těchto ohrožení může být běžný život obyvatel SO ORP Zlín i města Zlín ohrožen šířením epidemie (onemocnění lidí) nebo epizootie (onemocnění zvířat). Pro tyto krizové situace je zpracován Plán hygienických a protiepidemických opatření a Pohotovostní plán veterinárních opatření. V nedávné době byla funkčnost krizových opatření prověřena v souvislosti s vyhlášením nouzového stavu z důvodu pandemie onemocnění způsobené virem COVID-19. V ORP Zlín existují možná rizika vedoucí ke krizovým situacím zejména v důsledku úniku chemických toxických látek, vedoucí k nutnosti evakuace obyvatelstva. Rizikem v oblasti živelních katastrof jsou povodně. Podrobnosti k povodňovému plánu města jsou blíže uvedeny v kapitole „Kvalita života, podkapitole Životní prostředí“.</w:t>
      </w:r>
    </w:p>
    <w:p w14:paraId="1261A999" w14:textId="535C260E" w:rsidR="006704AF" w:rsidRDefault="006704AF" w:rsidP="006704AF">
      <w:pPr>
        <w:pStyle w:val="Titulek"/>
      </w:pPr>
      <w:bookmarkStart w:id="369" w:name="_Toc52963381"/>
      <w:bookmarkStart w:id="370" w:name="_Toc77074734"/>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54</w:t>
      </w:r>
      <w:r w:rsidR="00081B47">
        <w:rPr>
          <w:noProof/>
        </w:rPr>
        <w:fldChar w:fldCharType="end"/>
      </w:r>
      <w:r w:rsidR="00813340">
        <w:rPr>
          <w:noProof/>
        </w:rPr>
        <w:t>:</w:t>
      </w:r>
      <w:r>
        <w:t xml:space="preserve"> Příklady mimořádných událostí velkého rozsahu a krizových situací ve Zlíně od roku 2012</w:t>
      </w:r>
      <w:bookmarkEnd w:id="369"/>
      <w:bookmarkEnd w:id="370"/>
    </w:p>
    <w:tbl>
      <w:tblPr>
        <w:tblW w:w="9115" w:type="dxa"/>
        <w:tblCellMar>
          <w:left w:w="70" w:type="dxa"/>
          <w:right w:w="70" w:type="dxa"/>
        </w:tblCellMar>
        <w:tblLook w:val="04A0" w:firstRow="1" w:lastRow="0" w:firstColumn="1" w:lastColumn="0" w:noHBand="0" w:noVBand="1"/>
      </w:tblPr>
      <w:tblGrid>
        <w:gridCol w:w="1139"/>
        <w:gridCol w:w="7976"/>
      </w:tblGrid>
      <w:tr w:rsidR="006704AF" w:rsidRPr="00DE31ED" w14:paraId="33B58A6A" w14:textId="77777777" w:rsidTr="006704AF">
        <w:trPr>
          <w:trHeight w:val="269"/>
        </w:trPr>
        <w:tc>
          <w:tcPr>
            <w:tcW w:w="113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7B3FBF1" w14:textId="77777777" w:rsidR="006704AF" w:rsidRPr="00DE31ED" w:rsidRDefault="006704AF" w:rsidP="000C49A5">
            <w:pPr>
              <w:spacing w:before="0"/>
              <w:jc w:val="center"/>
              <w:rPr>
                <w:rFonts w:ascii="Calibri" w:eastAsia="Times New Roman" w:hAnsi="Calibri" w:cs="Calibri"/>
                <w:b/>
                <w:bCs/>
                <w:color w:val="000000"/>
                <w:sz w:val="18"/>
                <w:szCs w:val="18"/>
                <w:lang w:eastAsia="cs-CZ"/>
              </w:rPr>
            </w:pPr>
            <w:r w:rsidRPr="00DE31ED">
              <w:rPr>
                <w:rFonts w:ascii="Calibri" w:eastAsia="Times New Roman" w:hAnsi="Calibri" w:cs="Calibri"/>
                <w:b/>
                <w:bCs/>
                <w:color w:val="000000"/>
                <w:sz w:val="18"/>
                <w:szCs w:val="18"/>
                <w:lang w:eastAsia="cs-CZ"/>
              </w:rPr>
              <w:t>Rok</w:t>
            </w:r>
          </w:p>
        </w:tc>
        <w:tc>
          <w:tcPr>
            <w:tcW w:w="7976" w:type="dxa"/>
            <w:tcBorders>
              <w:top w:val="single" w:sz="4" w:space="0" w:color="auto"/>
              <w:left w:val="nil"/>
              <w:bottom w:val="single" w:sz="4" w:space="0" w:color="auto"/>
              <w:right w:val="single" w:sz="4" w:space="0" w:color="auto"/>
            </w:tcBorders>
            <w:shd w:val="clear" w:color="000000" w:fill="F2F2F2"/>
            <w:noWrap/>
            <w:vAlign w:val="center"/>
            <w:hideMark/>
          </w:tcPr>
          <w:p w14:paraId="5ED53094" w14:textId="77777777" w:rsidR="006704AF" w:rsidRPr="00DE31ED" w:rsidRDefault="006704AF" w:rsidP="000C49A5">
            <w:pPr>
              <w:spacing w:before="0"/>
              <w:jc w:val="center"/>
              <w:rPr>
                <w:rFonts w:ascii="Calibri" w:eastAsia="Times New Roman" w:hAnsi="Calibri" w:cs="Calibri"/>
                <w:b/>
                <w:bCs/>
                <w:color w:val="000000"/>
                <w:sz w:val="18"/>
                <w:szCs w:val="18"/>
                <w:lang w:eastAsia="cs-CZ"/>
              </w:rPr>
            </w:pPr>
            <w:r w:rsidRPr="00DE31ED">
              <w:rPr>
                <w:rFonts w:ascii="Calibri" w:eastAsia="Times New Roman" w:hAnsi="Calibri" w:cs="Calibri"/>
                <w:b/>
                <w:bCs/>
                <w:color w:val="000000"/>
                <w:sz w:val="18"/>
                <w:szCs w:val="18"/>
                <w:lang w:eastAsia="cs-CZ"/>
              </w:rPr>
              <w:t>Mimořádné události</w:t>
            </w:r>
          </w:p>
        </w:tc>
      </w:tr>
      <w:tr w:rsidR="006704AF" w:rsidRPr="00DE31ED" w14:paraId="32BD4C86" w14:textId="77777777" w:rsidTr="006704AF">
        <w:trPr>
          <w:trHeight w:val="254"/>
        </w:trPr>
        <w:tc>
          <w:tcPr>
            <w:tcW w:w="1139" w:type="dxa"/>
            <w:tcBorders>
              <w:top w:val="nil"/>
              <w:left w:val="single" w:sz="4" w:space="0" w:color="auto"/>
              <w:bottom w:val="single" w:sz="4" w:space="0" w:color="auto"/>
              <w:right w:val="single" w:sz="4" w:space="0" w:color="auto"/>
            </w:tcBorders>
            <w:shd w:val="clear" w:color="auto" w:fill="auto"/>
            <w:noWrap/>
            <w:vAlign w:val="center"/>
            <w:hideMark/>
          </w:tcPr>
          <w:p w14:paraId="568BC685" w14:textId="77777777" w:rsidR="006704AF" w:rsidRPr="00DE31ED" w:rsidRDefault="006704AF" w:rsidP="000C49A5">
            <w:pPr>
              <w:spacing w:before="0"/>
              <w:jc w:val="center"/>
              <w:rPr>
                <w:rFonts w:ascii="Calibri" w:eastAsia="Times New Roman" w:hAnsi="Calibri" w:cs="Calibri"/>
                <w:color w:val="000000"/>
                <w:sz w:val="18"/>
                <w:szCs w:val="18"/>
                <w:lang w:eastAsia="cs-CZ"/>
              </w:rPr>
            </w:pPr>
            <w:r w:rsidRPr="00DE31ED">
              <w:rPr>
                <w:rFonts w:ascii="Calibri" w:eastAsia="Times New Roman" w:hAnsi="Calibri" w:cs="Calibri"/>
                <w:color w:val="000000"/>
                <w:sz w:val="18"/>
                <w:szCs w:val="18"/>
                <w:lang w:eastAsia="cs-CZ"/>
              </w:rPr>
              <w:t>2012</w:t>
            </w:r>
          </w:p>
        </w:tc>
        <w:tc>
          <w:tcPr>
            <w:tcW w:w="7976" w:type="dxa"/>
            <w:tcBorders>
              <w:top w:val="nil"/>
              <w:left w:val="nil"/>
              <w:bottom w:val="single" w:sz="4" w:space="0" w:color="auto"/>
              <w:right w:val="single" w:sz="4" w:space="0" w:color="auto"/>
            </w:tcBorders>
            <w:shd w:val="clear" w:color="auto" w:fill="auto"/>
            <w:vAlign w:val="center"/>
            <w:hideMark/>
          </w:tcPr>
          <w:p w14:paraId="4B4BB721" w14:textId="77777777" w:rsidR="006704AF" w:rsidRPr="00DE31ED" w:rsidRDefault="006704AF" w:rsidP="000C49A5">
            <w:pPr>
              <w:spacing w:before="0" w:after="160" w:line="259" w:lineRule="auto"/>
              <w:contextualSpacing/>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M</w:t>
            </w:r>
            <w:r w:rsidRPr="00DE31ED">
              <w:rPr>
                <w:rFonts w:ascii="Calibri" w:eastAsia="Times New Roman" w:hAnsi="Calibri" w:cs="Calibri"/>
                <w:color w:val="000000"/>
                <w:sz w:val="18"/>
                <w:szCs w:val="18"/>
                <w:lang w:eastAsia="cs-CZ"/>
              </w:rPr>
              <w:t>etanolová aféra</w:t>
            </w:r>
          </w:p>
        </w:tc>
      </w:tr>
      <w:tr w:rsidR="006704AF" w:rsidRPr="00DE31ED" w14:paraId="7E990D26" w14:textId="77777777" w:rsidTr="006704AF">
        <w:trPr>
          <w:trHeight w:val="254"/>
        </w:trPr>
        <w:tc>
          <w:tcPr>
            <w:tcW w:w="1139" w:type="dxa"/>
            <w:tcBorders>
              <w:top w:val="nil"/>
              <w:left w:val="single" w:sz="4" w:space="0" w:color="auto"/>
              <w:bottom w:val="single" w:sz="4" w:space="0" w:color="auto"/>
              <w:right w:val="single" w:sz="4" w:space="0" w:color="auto"/>
            </w:tcBorders>
            <w:shd w:val="clear" w:color="auto" w:fill="auto"/>
            <w:noWrap/>
            <w:vAlign w:val="center"/>
            <w:hideMark/>
          </w:tcPr>
          <w:p w14:paraId="232D7ADC" w14:textId="77777777" w:rsidR="006704AF" w:rsidRPr="00DE31ED" w:rsidRDefault="006704AF" w:rsidP="000C49A5">
            <w:pPr>
              <w:spacing w:before="0"/>
              <w:jc w:val="center"/>
              <w:rPr>
                <w:rFonts w:ascii="Calibri" w:eastAsia="Times New Roman" w:hAnsi="Calibri" w:cs="Calibri"/>
                <w:color w:val="000000"/>
                <w:sz w:val="18"/>
                <w:szCs w:val="18"/>
                <w:lang w:eastAsia="cs-CZ"/>
              </w:rPr>
            </w:pPr>
            <w:r w:rsidRPr="00DE31ED">
              <w:rPr>
                <w:rFonts w:ascii="Calibri" w:eastAsia="Times New Roman" w:hAnsi="Calibri" w:cs="Calibri"/>
                <w:color w:val="000000"/>
                <w:sz w:val="18"/>
                <w:szCs w:val="18"/>
                <w:lang w:eastAsia="cs-CZ"/>
              </w:rPr>
              <w:t>2013</w:t>
            </w:r>
          </w:p>
        </w:tc>
        <w:tc>
          <w:tcPr>
            <w:tcW w:w="7976" w:type="dxa"/>
            <w:tcBorders>
              <w:top w:val="nil"/>
              <w:left w:val="nil"/>
              <w:bottom w:val="single" w:sz="4" w:space="0" w:color="auto"/>
              <w:right w:val="single" w:sz="4" w:space="0" w:color="auto"/>
            </w:tcBorders>
            <w:shd w:val="clear" w:color="auto" w:fill="auto"/>
            <w:vAlign w:val="center"/>
            <w:hideMark/>
          </w:tcPr>
          <w:p w14:paraId="22CF1D05" w14:textId="77777777" w:rsidR="006704AF" w:rsidRPr="00DE31ED" w:rsidRDefault="006704AF" w:rsidP="000C49A5">
            <w:pPr>
              <w:spacing w:before="0" w:after="160" w:line="259" w:lineRule="auto"/>
              <w:contextualSpacing/>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P</w:t>
            </w:r>
            <w:r w:rsidRPr="00DE31ED">
              <w:rPr>
                <w:rFonts w:ascii="Calibri" w:eastAsia="Times New Roman" w:hAnsi="Calibri" w:cs="Calibri"/>
                <w:color w:val="000000"/>
                <w:sz w:val="18"/>
                <w:szCs w:val="18"/>
                <w:lang w:eastAsia="cs-CZ"/>
              </w:rPr>
              <w:t>ožár budovy č. 103 v Baťově areálu</w:t>
            </w:r>
          </w:p>
        </w:tc>
      </w:tr>
      <w:tr w:rsidR="006704AF" w:rsidRPr="00DE31ED" w14:paraId="302B1E8F" w14:textId="77777777" w:rsidTr="006704AF">
        <w:trPr>
          <w:trHeight w:val="254"/>
        </w:trPr>
        <w:tc>
          <w:tcPr>
            <w:tcW w:w="1139" w:type="dxa"/>
            <w:tcBorders>
              <w:top w:val="nil"/>
              <w:left w:val="single" w:sz="4" w:space="0" w:color="auto"/>
              <w:bottom w:val="single" w:sz="4" w:space="0" w:color="auto"/>
              <w:right w:val="single" w:sz="4" w:space="0" w:color="auto"/>
            </w:tcBorders>
            <w:shd w:val="clear" w:color="auto" w:fill="auto"/>
            <w:noWrap/>
            <w:vAlign w:val="center"/>
            <w:hideMark/>
          </w:tcPr>
          <w:p w14:paraId="509A5DD2" w14:textId="77777777" w:rsidR="006704AF" w:rsidRPr="00DE31ED" w:rsidRDefault="006704AF" w:rsidP="000C49A5">
            <w:pPr>
              <w:spacing w:before="0"/>
              <w:jc w:val="center"/>
              <w:rPr>
                <w:rFonts w:ascii="Calibri" w:eastAsia="Times New Roman" w:hAnsi="Calibri" w:cs="Calibri"/>
                <w:color w:val="000000"/>
                <w:sz w:val="18"/>
                <w:szCs w:val="18"/>
                <w:lang w:eastAsia="cs-CZ"/>
              </w:rPr>
            </w:pPr>
            <w:r w:rsidRPr="00DE31ED">
              <w:rPr>
                <w:rFonts w:ascii="Calibri" w:eastAsia="Times New Roman" w:hAnsi="Calibri" w:cs="Calibri"/>
                <w:color w:val="000000"/>
                <w:sz w:val="18"/>
                <w:szCs w:val="18"/>
                <w:lang w:eastAsia="cs-CZ"/>
              </w:rPr>
              <w:t>2014</w:t>
            </w:r>
          </w:p>
        </w:tc>
        <w:tc>
          <w:tcPr>
            <w:tcW w:w="7976" w:type="dxa"/>
            <w:tcBorders>
              <w:top w:val="nil"/>
              <w:left w:val="nil"/>
              <w:bottom w:val="single" w:sz="4" w:space="0" w:color="auto"/>
              <w:right w:val="single" w:sz="4" w:space="0" w:color="auto"/>
            </w:tcBorders>
            <w:shd w:val="clear" w:color="auto" w:fill="auto"/>
            <w:vAlign w:val="center"/>
            <w:hideMark/>
          </w:tcPr>
          <w:p w14:paraId="4D0E143C" w14:textId="77777777" w:rsidR="006704AF" w:rsidRPr="00DE31ED" w:rsidRDefault="006704AF" w:rsidP="000C49A5">
            <w:pPr>
              <w:spacing w:before="0" w:after="160" w:line="259" w:lineRule="auto"/>
              <w:contextualSpacing/>
              <w:jc w:val="left"/>
              <w:rPr>
                <w:rFonts w:ascii="Calibri" w:eastAsia="Times New Roman" w:hAnsi="Calibri" w:cs="Calibri"/>
                <w:color w:val="000000"/>
                <w:sz w:val="18"/>
                <w:szCs w:val="18"/>
                <w:lang w:eastAsia="cs-CZ"/>
              </w:rPr>
            </w:pPr>
            <w:r w:rsidRPr="002713DD">
              <w:rPr>
                <w:rFonts w:ascii="Calibri" w:eastAsia="Times New Roman" w:hAnsi="Calibri" w:cs="Calibri"/>
                <w:color w:val="000000"/>
                <w:sz w:val="18"/>
                <w:szCs w:val="18"/>
                <w:lang w:eastAsia="cs-CZ"/>
              </w:rPr>
              <w:t xml:space="preserve">Ohlášení umístění nástražného výbušného systému </w:t>
            </w:r>
            <w:r w:rsidRPr="00DE31ED">
              <w:rPr>
                <w:rFonts w:ascii="Calibri" w:eastAsia="Times New Roman" w:hAnsi="Calibri" w:cs="Calibri"/>
                <w:color w:val="000000"/>
                <w:sz w:val="18"/>
                <w:szCs w:val="18"/>
                <w:lang w:eastAsia="cs-CZ"/>
              </w:rPr>
              <w:t>na základní a střední škole</w:t>
            </w:r>
          </w:p>
        </w:tc>
      </w:tr>
      <w:tr w:rsidR="006704AF" w:rsidRPr="00DE31ED" w14:paraId="609555B1" w14:textId="77777777" w:rsidTr="006704AF">
        <w:trPr>
          <w:trHeight w:val="509"/>
        </w:trPr>
        <w:tc>
          <w:tcPr>
            <w:tcW w:w="1139" w:type="dxa"/>
            <w:tcBorders>
              <w:top w:val="nil"/>
              <w:left w:val="single" w:sz="4" w:space="0" w:color="auto"/>
              <w:bottom w:val="single" w:sz="4" w:space="0" w:color="auto"/>
              <w:right w:val="single" w:sz="4" w:space="0" w:color="auto"/>
            </w:tcBorders>
            <w:shd w:val="clear" w:color="auto" w:fill="auto"/>
            <w:noWrap/>
            <w:vAlign w:val="center"/>
            <w:hideMark/>
          </w:tcPr>
          <w:p w14:paraId="014028D9" w14:textId="77777777" w:rsidR="006704AF" w:rsidRPr="00DE31ED" w:rsidRDefault="006704AF" w:rsidP="000C49A5">
            <w:pPr>
              <w:spacing w:before="0"/>
              <w:jc w:val="center"/>
              <w:rPr>
                <w:rFonts w:ascii="Calibri" w:eastAsia="Times New Roman" w:hAnsi="Calibri" w:cs="Calibri"/>
                <w:color w:val="000000"/>
                <w:sz w:val="18"/>
                <w:szCs w:val="18"/>
                <w:lang w:eastAsia="cs-CZ"/>
              </w:rPr>
            </w:pPr>
            <w:r w:rsidRPr="00DE31ED">
              <w:rPr>
                <w:rFonts w:ascii="Calibri" w:eastAsia="Times New Roman" w:hAnsi="Calibri" w:cs="Calibri"/>
                <w:color w:val="000000"/>
                <w:sz w:val="18"/>
                <w:szCs w:val="18"/>
                <w:lang w:eastAsia="cs-CZ"/>
              </w:rPr>
              <w:t>2015</w:t>
            </w:r>
          </w:p>
        </w:tc>
        <w:tc>
          <w:tcPr>
            <w:tcW w:w="7976" w:type="dxa"/>
            <w:tcBorders>
              <w:top w:val="nil"/>
              <w:left w:val="nil"/>
              <w:bottom w:val="single" w:sz="4" w:space="0" w:color="auto"/>
              <w:right w:val="single" w:sz="4" w:space="0" w:color="auto"/>
            </w:tcBorders>
            <w:shd w:val="clear" w:color="auto" w:fill="auto"/>
            <w:vAlign w:val="center"/>
            <w:hideMark/>
          </w:tcPr>
          <w:p w14:paraId="156BB898" w14:textId="2BC09579" w:rsidR="006704AF" w:rsidRPr="00DE31ED" w:rsidRDefault="006704AF" w:rsidP="00813340">
            <w:pPr>
              <w:spacing w:before="0" w:after="160" w:line="259" w:lineRule="auto"/>
              <w:contextualSpacing/>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Ohlášení umístění </w:t>
            </w:r>
            <w:r w:rsidRPr="00DE31ED">
              <w:rPr>
                <w:rFonts w:ascii="Calibri" w:eastAsia="Times New Roman" w:hAnsi="Calibri" w:cs="Calibri"/>
                <w:color w:val="000000"/>
                <w:sz w:val="18"/>
                <w:szCs w:val="18"/>
                <w:lang w:eastAsia="cs-CZ"/>
              </w:rPr>
              <w:t>nástražn</w:t>
            </w:r>
            <w:r>
              <w:rPr>
                <w:rFonts w:ascii="Calibri" w:eastAsia="Times New Roman" w:hAnsi="Calibri" w:cs="Calibri"/>
                <w:color w:val="000000"/>
                <w:sz w:val="18"/>
                <w:szCs w:val="18"/>
                <w:lang w:eastAsia="cs-CZ"/>
              </w:rPr>
              <w:t>ého</w:t>
            </w:r>
            <w:r w:rsidRPr="00DE31ED">
              <w:rPr>
                <w:rFonts w:ascii="Calibri" w:eastAsia="Times New Roman" w:hAnsi="Calibri" w:cs="Calibri"/>
                <w:color w:val="000000"/>
                <w:sz w:val="18"/>
                <w:szCs w:val="18"/>
                <w:lang w:eastAsia="cs-CZ"/>
              </w:rPr>
              <w:t xml:space="preserve"> výbušn</w:t>
            </w:r>
            <w:r>
              <w:rPr>
                <w:rFonts w:ascii="Calibri" w:eastAsia="Times New Roman" w:hAnsi="Calibri" w:cs="Calibri"/>
                <w:color w:val="000000"/>
                <w:sz w:val="18"/>
                <w:szCs w:val="18"/>
                <w:lang w:eastAsia="cs-CZ"/>
              </w:rPr>
              <w:t>ého</w:t>
            </w:r>
            <w:r w:rsidRPr="00DE31ED">
              <w:rPr>
                <w:rFonts w:ascii="Calibri" w:eastAsia="Times New Roman" w:hAnsi="Calibri" w:cs="Calibri"/>
                <w:color w:val="000000"/>
                <w:sz w:val="18"/>
                <w:szCs w:val="18"/>
                <w:lang w:eastAsia="cs-CZ"/>
              </w:rPr>
              <w:t xml:space="preserve"> systém</w:t>
            </w:r>
            <w:r>
              <w:rPr>
                <w:rFonts w:ascii="Calibri" w:eastAsia="Times New Roman" w:hAnsi="Calibri" w:cs="Calibri"/>
                <w:color w:val="000000"/>
                <w:sz w:val="18"/>
                <w:szCs w:val="18"/>
                <w:lang w:eastAsia="cs-CZ"/>
              </w:rPr>
              <w:t>u</w:t>
            </w:r>
            <w:r w:rsidRPr="00DE31ED">
              <w:rPr>
                <w:rFonts w:ascii="Calibri" w:eastAsia="Times New Roman" w:hAnsi="Calibri" w:cs="Calibri"/>
                <w:color w:val="000000"/>
                <w:sz w:val="18"/>
                <w:szCs w:val="18"/>
                <w:lang w:eastAsia="cs-CZ"/>
              </w:rPr>
              <w:t xml:space="preserve"> v prostorech Městského divadla, bytovém domě v</w:t>
            </w:r>
            <w:r w:rsidR="00813340">
              <w:rPr>
                <w:rFonts w:ascii="Calibri" w:eastAsia="Times New Roman" w:hAnsi="Calibri" w:cs="Calibri"/>
                <w:color w:val="000000"/>
                <w:sz w:val="18"/>
                <w:szCs w:val="18"/>
                <w:lang w:eastAsia="cs-CZ"/>
              </w:rPr>
              <w:t> </w:t>
            </w:r>
            <w:r w:rsidRPr="00DE31ED">
              <w:rPr>
                <w:rFonts w:ascii="Calibri" w:eastAsia="Times New Roman" w:hAnsi="Calibri" w:cs="Calibri"/>
                <w:color w:val="000000"/>
                <w:sz w:val="18"/>
                <w:szCs w:val="18"/>
                <w:lang w:eastAsia="cs-CZ"/>
              </w:rPr>
              <w:t>Malenovicích a základní škole</w:t>
            </w:r>
          </w:p>
        </w:tc>
      </w:tr>
      <w:tr w:rsidR="006704AF" w:rsidRPr="00DE31ED" w14:paraId="058C7F79" w14:textId="77777777" w:rsidTr="006704AF">
        <w:trPr>
          <w:trHeight w:val="254"/>
        </w:trPr>
        <w:tc>
          <w:tcPr>
            <w:tcW w:w="1139" w:type="dxa"/>
            <w:tcBorders>
              <w:top w:val="nil"/>
              <w:left w:val="single" w:sz="4" w:space="0" w:color="auto"/>
              <w:bottom w:val="single" w:sz="4" w:space="0" w:color="auto"/>
              <w:right w:val="single" w:sz="4" w:space="0" w:color="auto"/>
            </w:tcBorders>
            <w:shd w:val="clear" w:color="auto" w:fill="auto"/>
            <w:noWrap/>
            <w:vAlign w:val="center"/>
            <w:hideMark/>
          </w:tcPr>
          <w:p w14:paraId="5C054EAA" w14:textId="77777777" w:rsidR="006704AF" w:rsidRPr="00DE31ED" w:rsidRDefault="006704AF" w:rsidP="000C49A5">
            <w:pPr>
              <w:spacing w:before="0"/>
              <w:jc w:val="center"/>
              <w:rPr>
                <w:rFonts w:ascii="Calibri" w:eastAsia="Times New Roman" w:hAnsi="Calibri" w:cs="Calibri"/>
                <w:color w:val="000000"/>
                <w:sz w:val="18"/>
                <w:szCs w:val="18"/>
                <w:lang w:eastAsia="cs-CZ"/>
              </w:rPr>
            </w:pPr>
            <w:r w:rsidRPr="00DE31ED">
              <w:rPr>
                <w:rFonts w:ascii="Calibri" w:eastAsia="Times New Roman" w:hAnsi="Calibri" w:cs="Calibri"/>
                <w:color w:val="000000"/>
                <w:sz w:val="18"/>
                <w:szCs w:val="18"/>
                <w:lang w:eastAsia="cs-CZ"/>
              </w:rPr>
              <w:t>2016</w:t>
            </w:r>
          </w:p>
        </w:tc>
        <w:tc>
          <w:tcPr>
            <w:tcW w:w="7976" w:type="dxa"/>
            <w:tcBorders>
              <w:top w:val="nil"/>
              <w:left w:val="nil"/>
              <w:bottom w:val="single" w:sz="4" w:space="0" w:color="auto"/>
              <w:right w:val="single" w:sz="4" w:space="0" w:color="auto"/>
            </w:tcBorders>
            <w:shd w:val="clear" w:color="auto" w:fill="auto"/>
            <w:vAlign w:val="center"/>
            <w:hideMark/>
          </w:tcPr>
          <w:p w14:paraId="52A7AC5E" w14:textId="77777777" w:rsidR="006704AF" w:rsidRPr="00DE31ED" w:rsidRDefault="006704AF" w:rsidP="000C49A5">
            <w:pPr>
              <w:spacing w:before="0" w:after="160" w:line="259" w:lineRule="auto"/>
              <w:contextualSpacing/>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Z</w:t>
            </w:r>
            <w:r w:rsidRPr="00DE31ED">
              <w:rPr>
                <w:rFonts w:ascii="Calibri" w:eastAsia="Times New Roman" w:hAnsi="Calibri" w:cs="Calibri"/>
                <w:color w:val="000000"/>
                <w:sz w:val="18"/>
                <w:szCs w:val="18"/>
                <w:lang w:eastAsia="cs-CZ"/>
              </w:rPr>
              <w:t>řícení domu na ulici Sokolská (Zlín - Cigánov)</w:t>
            </w:r>
          </w:p>
        </w:tc>
      </w:tr>
      <w:tr w:rsidR="006704AF" w:rsidRPr="00DE31ED" w14:paraId="5D517456" w14:textId="77777777" w:rsidTr="006704AF">
        <w:trPr>
          <w:trHeight w:val="254"/>
        </w:trPr>
        <w:tc>
          <w:tcPr>
            <w:tcW w:w="1139" w:type="dxa"/>
            <w:tcBorders>
              <w:top w:val="nil"/>
              <w:left w:val="single" w:sz="4" w:space="0" w:color="auto"/>
              <w:bottom w:val="single" w:sz="4" w:space="0" w:color="auto"/>
              <w:right w:val="single" w:sz="4" w:space="0" w:color="auto"/>
            </w:tcBorders>
            <w:shd w:val="clear" w:color="auto" w:fill="auto"/>
            <w:noWrap/>
            <w:vAlign w:val="center"/>
            <w:hideMark/>
          </w:tcPr>
          <w:p w14:paraId="7A02F8F4" w14:textId="77777777" w:rsidR="006704AF" w:rsidRPr="00DE31ED" w:rsidRDefault="006704AF" w:rsidP="000C49A5">
            <w:pPr>
              <w:spacing w:before="0"/>
              <w:jc w:val="center"/>
              <w:rPr>
                <w:rFonts w:ascii="Calibri" w:eastAsia="Times New Roman" w:hAnsi="Calibri" w:cs="Calibri"/>
                <w:color w:val="000000"/>
                <w:sz w:val="18"/>
                <w:szCs w:val="18"/>
                <w:lang w:eastAsia="cs-CZ"/>
              </w:rPr>
            </w:pPr>
            <w:r w:rsidRPr="00DE31ED">
              <w:rPr>
                <w:rFonts w:ascii="Calibri" w:eastAsia="Times New Roman" w:hAnsi="Calibri" w:cs="Calibri"/>
                <w:color w:val="000000"/>
                <w:sz w:val="18"/>
                <w:szCs w:val="18"/>
                <w:lang w:eastAsia="cs-CZ"/>
              </w:rPr>
              <w:t>2017</w:t>
            </w:r>
          </w:p>
        </w:tc>
        <w:tc>
          <w:tcPr>
            <w:tcW w:w="7976" w:type="dxa"/>
            <w:tcBorders>
              <w:top w:val="nil"/>
              <w:left w:val="nil"/>
              <w:bottom w:val="single" w:sz="4" w:space="0" w:color="auto"/>
              <w:right w:val="single" w:sz="4" w:space="0" w:color="auto"/>
            </w:tcBorders>
            <w:shd w:val="clear" w:color="auto" w:fill="auto"/>
            <w:vAlign w:val="center"/>
            <w:hideMark/>
          </w:tcPr>
          <w:p w14:paraId="5F15AB17" w14:textId="77777777" w:rsidR="006704AF" w:rsidRPr="00DE31ED" w:rsidRDefault="006704AF" w:rsidP="000C49A5">
            <w:pPr>
              <w:spacing w:before="0" w:after="160" w:line="259" w:lineRule="auto"/>
              <w:contextualSpacing/>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S</w:t>
            </w:r>
            <w:r w:rsidRPr="00DE31ED">
              <w:rPr>
                <w:rFonts w:ascii="Calibri" w:eastAsia="Times New Roman" w:hAnsi="Calibri" w:cs="Calibri"/>
                <w:color w:val="000000"/>
                <w:sz w:val="18"/>
                <w:szCs w:val="18"/>
                <w:lang w:eastAsia="cs-CZ"/>
              </w:rPr>
              <w:t>tav</w:t>
            </w:r>
            <w:r>
              <w:rPr>
                <w:rFonts w:ascii="Calibri" w:eastAsia="Times New Roman" w:hAnsi="Calibri" w:cs="Calibri"/>
                <w:color w:val="000000"/>
                <w:sz w:val="18"/>
                <w:szCs w:val="18"/>
                <w:lang w:eastAsia="cs-CZ"/>
              </w:rPr>
              <w:t xml:space="preserve"> nebezpečí vyhlášený hejtmanem Zlínského kraje v souvislosti s výskytem a</w:t>
            </w:r>
            <w:r w:rsidRPr="00DE31ED">
              <w:rPr>
                <w:rFonts w:ascii="Calibri" w:eastAsia="Times New Roman" w:hAnsi="Calibri" w:cs="Calibri"/>
                <w:color w:val="000000"/>
                <w:sz w:val="18"/>
                <w:szCs w:val="18"/>
                <w:lang w:eastAsia="cs-CZ"/>
              </w:rPr>
              <w:t>frick</w:t>
            </w:r>
            <w:r>
              <w:rPr>
                <w:rFonts w:ascii="Calibri" w:eastAsia="Times New Roman" w:hAnsi="Calibri" w:cs="Calibri"/>
                <w:color w:val="000000"/>
                <w:sz w:val="18"/>
                <w:szCs w:val="18"/>
                <w:lang w:eastAsia="cs-CZ"/>
              </w:rPr>
              <w:t>ého</w:t>
            </w:r>
            <w:r w:rsidRPr="00DE31ED">
              <w:rPr>
                <w:rFonts w:ascii="Calibri" w:eastAsia="Times New Roman" w:hAnsi="Calibri" w:cs="Calibri"/>
                <w:color w:val="000000"/>
                <w:sz w:val="18"/>
                <w:szCs w:val="18"/>
                <w:lang w:eastAsia="cs-CZ"/>
              </w:rPr>
              <w:t xml:space="preserve"> mor</w:t>
            </w:r>
            <w:r>
              <w:rPr>
                <w:rFonts w:ascii="Calibri" w:eastAsia="Times New Roman" w:hAnsi="Calibri" w:cs="Calibri"/>
                <w:color w:val="000000"/>
                <w:sz w:val="18"/>
                <w:szCs w:val="18"/>
                <w:lang w:eastAsia="cs-CZ"/>
              </w:rPr>
              <w:t>u</w:t>
            </w:r>
            <w:r w:rsidRPr="00DE31ED">
              <w:rPr>
                <w:rFonts w:ascii="Calibri" w:eastAsia="Times New Roman" w:hAnsi="Calibri" w:cs="Calibri"/>
                <w:color w:val="000000"/>
                <w:sz w:val="18"/>
                <w:szCs w:val="18"/>
                <w:lang w:eastAsia="cs-CZ"/>
              </w:rPr>
              <w:t xml:space="preserve"> prasat</w:t>
            </w:r>
          </w:p>
        </w:tc>
      </w:tr>
      <w:tr w:rsidR="006704AF" w:rsidRPr="00DE31ED" w14:paraId="09179C51" w14:textId="77777777" w:rsidTr="006704AF">
        <w:trPr>
          <w:trHeight w:val="254"/>
        </w:trPr>
        <w:tc>
          <w:tcPr>
            <w:tcW w:w="1139" w:type="dxa"/>
            <w:tcBorders>
              <w:top w:val="nil"/>
              <w:left w:val="single" w:sz="4" w:space="0" w:color="auto"/>
              <w:bottom w:val="single" w:sz="4" w:space="0" w:color="auto"/>
              <w:right w:val="single" w:sz="4" w:space="0" w:color="auto"/>
            </w:tcBorders>
            <w:shd w:val="clear" w:color="auto" w:fill="auto"/>
            <w:noWrap/>
            <w:vAlign w:val="center"/>
            <w:hideMark/>
          </w:tcPr>
          <w:p w14:paraId="18E8DF10" w14:textId="77777777" w:rsidR="006704AF" w:rsidRPr="00DE31ED" w:rsidRDefault="006704AF" w:rsidP="000C49A5">
            <w:pPr>
              <w:spacing w:before="0"/>
              <w:jc w:val="center"/>
              <w:rPr>
                <w:rFonts w:ascii="Calibri" w:eastAsia="Times New Roman" w:hAnsi="Calibri" w:cs="Calibri"/>
                <w:color w:val="000000"/>
                <w:sz w:val="18"/>
                <w:szCs w:val="18"/>
                <w:lang w:eastAsia="cs-CZ"/>
              </w:rPr>
            </w:pPr>
            <w:r w:rsidRPr="00DE31ED">
              <w:rPr>
                <w:rFonts w:ascii="Calibri" w:eastAsia="Times New Roman" w:hAnsi="Calibri" w:cs="Calibri"/>
                <w:color w:val="000000"/>
                <w:sz w:val="18"/>
                <w:szCs w:val="18"/>
                <w:lang w:eastAsia="cs-CZ"/>
              </w:rPr>
              <w:t>2020</w:t>
            </w:r>
          </w:p>
        </w:tc>
        <w:tc>
          <w:tcPr>
            <w:tcW w:w="7976" w:type="dxa"/>
            <w:tcBorders>
              <w:top w:val="nil"/>
              <w:left w:val="nil"/>
              <w:bottom w:val="single" w:sz="4" w:space="0" w:color="auto"/>
              <w:right w:val="single" w:sz="4" w:space="0" w:color="auto"/>
            </w:tcBorders>
            <w:shd w:val="clear" w:color="auto" w:fill="auto"/>
            <w:vAlign w:val="center"/>
            <w:hideMark/>
          </w:tcPr>
          <w:p w14:paraId="38C217CB" w14:textId="77777777" w:rsidR="006704AF" w:rsidRPr="00DE31ED" w:rsidRDefault="006704AF" w:rsidP="000C49A5">
            <w:pPr>
              <w:spacing w:before="0" w:after="160" w:line="259" w:lineRule="auto"/>
              <w:contextualSpacing/>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Nouzový</w:t>
            </w:r>
            <w:r w:rsidRPr="00DE31ED">
              <w:rPr>
                <w:rFonts w:ascii="Calibri" w:eastAsia="Times New Roman" w:hAnsi="Calibri" w:cs="Calibri"/>
                <w:color w:val="000000"/>
                <w:sz w:val="18"/>
                <w:szCs w:val="18"/>
                <w:lang w:eastAsia="cs-CZ"/>
              </w:rPr>
              <w:t xml:space="preserve"> stav </w:t>
            </w:r>
            <w:r>
              <w:rPr>
                <w:rFonts w:ascii="Calibri" w:eastAsia="Times New Roman" w:hAnsi="Calibri" w:cs="Calibri"/>
                <w:color w:val="000000"/>
                <w:sz w:val="18"/>
                <w:szCs w:val="18"/>
                <w:lang w:eastAsia="cs-CZ"/>
              </w:rPr>
              <w:t>vyhlášený vládou ČR v souvislosti s výskytem onemocnění</w:t>
            </w:r>
            <w:r w:rsidRPr="00DE31ED">
              <w:rPr>
                <w:rFonts w:ascii="Calibri" w:eastAsia="Times New Roman" w:hAnsi="Calibri" w:cs="Calibri"/>
                <w:color w:val="000000"/>
                <w:sz w:val="18"/>
                <w:szCs w:val="18"/>
                <w:lang w:eastAsia="cs-CZ"/>
              </w:rPr>
              <w:t xml:space="preserve"> COVID-19</w:t>
            </w:r>
          </w:p>
        </w:tc>
      </w:tr>
    </w:tbl>
    <w:p w14:paraId="69D49389" w14:textId="16330905" w:rsidR="006704AF" w:rsidRDefault="006704AF" w:rsidP="006704AF">
      <w:pPr>
        <w:pStyle w:val="Zdroj"/>
      </w:pPr>
      <w:r>
        <w:t>Zdroj: MMZ, Oddělení krizového řízení a obrany</w:t>
      </w:r>
      <w:r w:rsidR="00813340">
        <w:t>.</w:t>
      </w:r>
    </w:p>
    <w:p w14:paraId="1B2CCCE2" w14:textId="77777777" w:rsidR="006704AF" w:rsidRDefault="006704AF" w:rsidP="006704AF">
      <w:pPr>
        <w:rPr>
          <w:rFonts w:cstheme="minorHAnsi"/>
        </w:rPr>
      </w:pPr>
      <w:r>
        <w:rPr>
          <w:rFonts w:cstheme="minorHAnsi"/>
        </w:rPr>
        <w:lastRenderedPageBreak/>
        <w:t>Orgány krizového řízení jsou v podmínkách ORP Zlín primátor a Magistrát města Zlína. MMZ zajišťuje připravenost správního obvodu jako celku. Primátor jako svůj poradní orgán zřizuje</w:t>
      </w:r>
      <w:r w:rsidRPr="00D26A10">
        <w:rPr>
          <w:rFonts w:cstheme="minorHAnsi"/>
        </w:rPr>
        <w:t xml:space="preserve"> </w:t>
      </w:r>
      <w:r w:rsidRPr="00D26A10">
        <w:rPr>
          <w:rFonts w:cstheme="minorHAnsi"/>
          <w:b/>
        </w:rPr>
        <w:t>Bezpečnostní rad</w:t>
      </w:r>
      <w:r>
        <w:rPr>
          <w:rFonts w:cstheme="minorHAnsi"/>
          <w:b/>
        </w:rPr>
        <w:t xml:space="preserve">u ORP Zlín. </w:t>
      </w:r>
      <w:r w:rsidRPr="00D26A10">
        <w:rPr>
          <w:rFonts w:cstheme="minorHAnsi"/>
        </w:rPr>
        <w:t>Bezpečnostní rada jedná pravidelně dvakrát ročně a</w:t>
      </w:r>
      <w:r>
        <w:rPr>
          <w:rFonts w:cstheme="minorHAnsi"/>
        </w:rPr>
        <w:t> </w:t>
      </w:r>
      <w:r w:rsidRPr="00D26A10">
        <w:rPr>
          <w:rFonts w:cstheme="minorHAnsi"/>
        </w:rPr>
        <w:t xml:space="preserve">projednává možné zdroje rizik, analyzuje ohrožení, krizový plán </w:t>
      </w:r>
      <w:r>
        <w:rPr>
          <w:rFonts w:cstheme="minorHAnsi"/>
        </w:rPr>
        <w:t xml:space="preserve">SO </w:t>
      </w:r>
      <w:r w:rsidRPr="00D26A10">
        <w:rPr>
          <w:rFonts w:cstheme="minorHAnsi"/>
        </w:rPr>
        <w:t>ORP, finanční zabezpečení, připravuje závěrečnou zprávu o</w:t>
      </w:r>
      <w:r>
        <w:rPr>
          <w:rFonts w:cstheme="minorHAnsi"/>
        </w:rPr>
        <w:t> </w:t>
      </w:r>
      <w:r w:rsidRPr="00D26A10">
        <w:rPr>
          <w:rFonts w:cstheme="minorHAnsi"/>
        </w:rPr>
        <w:t>hodnocení krizové situace, hodnotí stav připravenosti složek IZS. Řeší také způsob seznámení obcí, právnických a</w:t>
      </w:r>
      <w:r>
        <w:rPr>
          <w:rFonts w:cstheme="minorHAnsi"/>
        </w:rPr>
        <w:t> </w:t>
      </w:r>
      <w:r w:rsidRPr="00D26A10">
        <w:rPr>
          <w:rFonts w:cstheme="minorHAnsi"/>
        </w:rPr>
        <w:t xml:space="preserve">fyzických osob s charakterem </w:t>
      </w:r>
      <w:r w:rsidRPr="00B8360A">
        <w:rPr>
          <w:rFonts w:cstheme="minorHAnsi"/>
        </w:rPr>
        <w:t xml:space="preserve">možného ohrožení ve správním obvodu </w:t>
      </w:r>
      <w:r>
        <w:rPr>
          <w:rFonts w:cstheme="minorHAnsi"/>
        </w:rPr>
        <w:t xml:space="preserve">SO </w:t>
      </w:r>
      <w:r w:rsidRPr="00B8360A">
        <w:rPr>
          <w:rFonts w:cstheme="minorHAnsi"/>
        </w:rPr>
        <w:t>ORP, s připravenými krizovými opatřeními a</w:t>
      </w:r>
      <w:r>
        <w:rPr>
          <w:rFonts w:cstheme="minorHAnsi"/>
        </w:rPr>
        <w:t> </w:t>
      </w:r>
      <w:r w:rsidRPr="00B8360A">
        <w:rPr>
          <w:rFonts w:cstheme="minorHAnsi"/>
        </w:rPr>
        <w:t>způsobem jejich provedení. Bezpečnostní rada může být svolána i</w:t>
      </w:r>
      <w:r>
        <w:rPr>
          <w:rFonts w:cstheme="minorHAnsi"/>
        </w:rPr>
        <w:t> </w:t>
      </w:r>
      <w:r w:rsidRPr="00B8360A">
        <w:rPr>
          <w:rFonts w:cstheme="minorHAnsi"/>
        </w:rPr>
        <w:t xml:space="preserve">mimořádně primátorem města v případě závažných situací. </w:t>
      </w:r>
    </w:p>
    <w:p w14:paraId="20BCB2F9" w14:textId="69805BD7" w:rsidR="006704AF" w:rsidRDefault="006704AF" w:rsidP="006704AF">
      <w:pPr>
        <w:rPr>
          <w:rFonts w:eastAsia="Times New Roman" w:cstheme="minorHAnsi"/>
        </w:rPr>
      </w:pPr>
      <w:r w:rsidRPr="00B8360A">
        <w:rPr>
          <w:rFonts w:cstheme="minorHAnsi"/>
        </w:rPr>
        <w:t xml:space="preserve">Pro účel </w:t>
      </w:r>
      <w:r w:rsidRPr="00B8360A">
        <w:rPr>
          <w:rFonts w:eastAsia="Times New Roman" w:cstheme="minorHAnsi"/>
        </w:rPr>
        <w:t>řešení mimořádných</w:t>
      </w:r>
      <w:r>
        <w:rPr>
          <w:rFonts w:eastAsia="Times New Roman" w:cstheme="minorHAnsi"/>
        </w:rPr>
        <w:t xml:space="preserve"> událostí velkého rozsahu nebo</w:t>
      </w:r>
      <w:r w:rsidRPr="00B8360A">
        <w:rPr>
          <w:rFonts w:eastAsia="Times New Roman" w:cstheme="minorHAnsi"/>
        </w:rPr>
        <w:t xml:space="preserve"> krizových </w:t>
      </w:r>
      <w:r>
        <w:rPr>
          <w:rFonts w:eastAsia="Times New Roman" w:cstheme="minorHAnsi"/>
        </w:rPr>
        <w:t xml:space="preserve">situací zřizuje primátor </w:t>
      </w:r>
      <w:r w:rsidRPr="00D26A10">
        <w:rPr>
          <w:rFonts w:cstheme="minorHAnsi"/>
          <w:b/>
        </w:rPr>
        <w:t>Krizový štáb</w:t>
      </w:r>
      <w:r w:rsidRPr="00D26A10">
        <w:rPr>
          <w:rFonts w:cstheme="minorHAnsi"/>
        </w:rPr>
        <w:t xml:space="preserve"> ORP Zlín</w:t>
      </w:r>
      <w:r w:rsidRPr="00B8360A">
        <w:rPr>
          <w:rFonts w:eastAsia="Times New Roman" w:cstheme="minorHAnsi"/>
        </w:rPr>
        <w:t xml:space="preserve">, který zabezpečuje provedení přijatých krizových opatření. </w:t>
      </w:r>
      <w:r>
        <w:rPr>
          <w:rFonts w:eastAsia="Times New Roman" w:cstheme="minorHAnsi"/>
        </w:rPr>
        <w:t>Členové K</w:t>
      </w:r>
      <w:r w:rsidR="00D63448">
        <w:rPr>
          <w:rFonts w:eastAsia="Times New Roman" w:cstheme="minorHAnsi"/>
        </w:rPr>
        <w:t>rizového štábu</w:t>
      </w:r>
      <w:r>
        <w:rPr>
          <w:rFonts w:eastAsia="Times New Roman" w:cstheme="minorHAnsi"/>
        </w:rPr>
        <w:t xml:space="preserve"> jsou pravidelně </w:t>
      </w:r>
      <w:r w:rsidRPr="00B8360A">
        <w:rPr>
          <w:rFonts w:eastAsia="Times New Roman" w:cstheme="minorHAnsi"/>
        </w:rPr>
        <w:t>proškolován</w:t>
      </w:r>
      <w:r>
        <w:rPr>
          <w:rFonts w:eastAsia="Times New Roman" w:cstheme="minorHAnsi"/>
        </w:rPr>
        <w:t>i, probíhají pravidelné</w:t>
      </w:r>
      <w:r w:rsidRPr="00B8360A">
        <w:rPr>
          <w:rFonts w:eastAsia="Times New Roman" w:cstheme="minorHAnsi"/>
        </w:rPr>
        <w:t xml:space="preserve"> </w:t>
      </w:r>
      <w:r>
        <w:rPr>
          <w:rFonts w:eastAsia="Times New Roman" w:cstheme="minorHAnsi"/>
        </w:rPr>
        <w:t>kontroly</w:t>
      </w:r>
      <w:r w:rsidRPr="00B8360A">
        <w:rPr>
          <w:rFonts w:eastAsia="Times New Roman" w:cstheme="minorHAnsi"/>
        </w:rPr>
        <w:t xml:space="preserve"> dosažitelnosti (prověření formou </w:t>
      </w:r>
      <w:r w:rsidR="00D63448">
        <w:rPr>
          <w:rFonts w:eastAsia="Times New Roman" w:cstheme="minorHAnsi"/>
        </w:rPr>
        <w:t>SMS</w:t>
      </w:r>
      <w:r w:rsidRPr="00B8360A">
        <w:rPr>
          <w:rFonts w:eastAsia="Times New Roman" w:cstheme="minorHAnsi"/>
        </w:rPr>
        <w:t xml:space="preserve">) členů Krizového štábu </w:t>
      </w:r>
      <w:r>
        <w:rPr>
          <w:rFonts w:eastAsia="Times New Roman" w:cstheme="minorHAnsi"/>
        </w:rPr>
        <w:t xml:space="preserve">SO </w:t>
      </w:r>
      <w:r w:rsidRPr="00B8360A">
        <w:rPr>
          <w:rFonts w:eastAsia="Times New Roman" w:cstheme="minorHAnsi"/>
        </w:rPr>
        <w:t>ORP Zlín.</w:t>
      </w:r>
      <w:r>
        <w:rPr>
          <w:rFonts w:eastAsia="Times New Roman" w:cstheme="minorHAnsi"/>
        </w:rPr>
        <w:t xml:space="preserve"> V případě vyhlášení jednoho z krizových stavů (stav nebezpečí, nouzový stav, stav ohrožení státu a válečný stav) se přechází k direktivnímu řízení. Krizový štáb ORP Zlín se řídí pokyny Krizového štábu kraje (v čele hejtman) a dále vydává pokyny jednotlivým obcím v ORP.</w:t>
      </w:r>
    </w:p>
    <w:p w14:paraId="022ACF21" w14:textId="77777777" w:rsidR="006704AF" w:rsidRDefault="006704AF" w:rsidP="006704AF">
      <w:pPr>
        <w:keepNext/>
        <w:rPr>
          <w:rFonts w:eastAsia="Times New Roman" w:cstheme="minorHAnsi"/>
          <w:b/>
        </w:rPr>
      </w:pPr>
      <w:r w:rsidRPr="00DE31ED">
        <w:rPr>
          <w:rFonts w:eastAsia="Times New Roman" w:cstheme="minorHAnsi"/>
          <w:b/>
        </w:rPr>
        <w:t>Oblast ochrany</w:t>
      </w:r>
      <w:r>
        <w:rPr>
          <w:rFonts w:eastAsia="Times New Roman" w:cstheme="minorHAnsi"/>
          <w:b/>
        </w:rPr>
        <w:t xml:space="preserve"> obyvatelstva</w:t>
      </w:r>
    </w:p>
    <w:p w14:paraId="3F58E234" w14:textId="77777777" w:rsidR="006704AF" w:rsidRDefault="006704AF" w:rsidP="006704AF">
      <w:pPr>
        <w:rPr>
          <w:rFonts w:cstheme="minorHAnsi"/>
          <w:color w:val="000000" w:themeColor="text1"/>
        </w:rPr>
      </w:pPr>
      <w:r w:rsidRPr="00B8360A">
        <w:rPr>
          <w:rFonts w:cstheme="minorHAnsi"/>
          <w:color w:val="000000" w:themeColor="text1"/>
        </w:rPr>
        <w:t>Priority ochrany obyvatelstva jsou soustředěny do oblastí provozních havárií nebo živelných pohrom. Oddělení krizového řízení a</w:t>
      </w:r>
      <w:r>
        <w:rPr>
          <w:rFonts w:cstheme="minorHAnsi"/>
          <w:color w:val="000000" w:themeColor="text1"/>
        </w:rPr>
        <w:t> </w:t>
      </w:r>
      <w:r w:rsidRPr="00B8360A">
        <w:rPr>
          <w:rFonts w:cstheme="minorHAnsi"/>
          <w:color w:val="000000" w:themeColor="text1"/>
        </w:rPr>
        <w:t>obrany</w:t>
      </w:r>
      <w:r>
        <w:rPr>
          <w:rFonts w:cstheme="minorHAnsi"/>
          <w:color w:val="000000" w:themeColor="text1"/>
        </w:rPr>
        <w:t xml:space="preserve"> MMZ spolupracuje v oblasti krizové připravenosti s Krajským úřadem Zlínského kraje, oddělením pro zvláštní úkoly, Hasičským záchranným sborem (HZS) Zlínského kraje, Státní správou hmotných rezerv, starosty a obcemi v působnosti ORP Zlín a dalšími subjekty působícími v oblasti krizového řízení, krizové připravenosti, obrany, požární ochrany a prevence. V dané působnosti zajišťuje pořádání odborných školení, nácviků, cvičení a soutěží.</w:t>
      </w:r>
    </w:p>
    <w:p w14:paraId="4FEACE17" w14:textId="77777777" w:rsidR="006704AF" w:rsidRDefault="006704AF" w:rsidP="006704AF">
      <w:pPr>
        <w:rPr>
          <w:rFonts w:eastAsia="Times New Roman" w:cstheme="minorHAnsi"/>
        </w:rPr>
      </w:pPr>
      <w:r w:rsidRPr="009F22EA">
        <w:rPr>
          <w:rFonts w:eastAsia="Times New Roman" w:cstheme="minorHAnsi"/>
        </w:rPr>
        <w:t xml:space="preserve">Pro účely varování obyvatel v případě nebezpečí existuje ve Zlíně </w:t>
      </w:r>
      <w:r w:rsidRPr="000C108B">
        <w:rPr>
          <w:rFonts w:eastAsia="Times New Roman" w:cstheme="minorHAnsi"/>
          <w:b/>
        </w:rPr>
        <w:t>Varovný a informační systém obyvatelstva</w:t>
      </w:r>
      <w:r w:rsidRPr="009F22EA">
        <w:rPr>
          <w:rFonts w:eastAsia="Times New Roman" w:cstheme="minorHAnsi"/>
        </w:rPr>
        <w:t xml:space="preserve"> (VISO) a </w:t>
      </w:r>
      <w:r w:rsidRPr="000C108B">
        <w:rPr>
          <w:rFonts w:eastAsia="Times New Roman" w:cstheme="minorHAnsi"/>
          <w:b/>
        </w:rPr>
        <w:t>Protipovodňový varovný a informační systém</w:t>
      </w:r>
      <w:r w:rsidRPr="009F22EA">
        <w:rPr>
          <w:rFonts w:eastAsia="Times New Roman" w:cstheme="minorHAnsi"/>
        </w:rPr>
        <w:t xml:space="preserve"> (POVIS), které dohromady ve městě Zlín</w:t>
      </w:r>
      <w:r>
        <w:rPr>
          <w:rFonts w:eastAsia="Times New Roman" w:cstheme="minorHAnsi"/>
        </w:rPr>
        <w:t xml:space="preserve"> </w:t>
      </w:r>
      <w:r w:rsidRPr="009F22EA">
        <w:rPr>
          <w:rFonts w:eastAsia="Times New Roman" w:cstheme="minorHAnsi"/>
        </w:rPr>
        <w:t xml:space="preserve">a jeho místních částech čítají 1 059 </w:t>
      </w:r>
      <w:r>
        <w:rPr>
          <w:rFonts w:eastAsia="Times New Roman" w:cstheme="minorHAnsi"/>
        </w:rPr>
        <w:t>kusů varovných jednotek, jejichž akceschopnost je průběžně kontrolována. Varovné systémy VISO a POVIS sestávají z bezdrátových hlásičů, elektronických sirén, digitálních převaděčů signálu, hladinoměrů na vodních tocích a srážkoměrů. V případech mimořádných událostí se pro účely varování obyvatel Zlína využívají i běžné komunikační prostředky, webové stránky města a nově bude využívána i mobilní aplikace „Mobilní rozhlas“.</w:t>
      </w:r>
    </w:p>
    <w:p w14:paraId="7DF13A18" w14:textId="77777777" w:rsidR="006704AF" w:rsidRPr="002E7F56" w:rsidRDefault="006704AF" w:rsidP="006704AF">
      <w:pPr>
        <w:rPr>
          <w:rStyle w:val="Siln"/>
          <w:rFonts w:eastAsia="Times New Roman" w:cstheme="minorHAnsi"/>
          <w:b w:val="0"/>
          <w:bCs w:val="0"/>
        </w:rPr>
      </w:pPr>
      <w:r>
        <w:rPr>
          <w:rFonts w:eastAsia="Times New Roman" w:cstheme="minorHAnsi"/>
        </w:rPr>
        <w:t>Evakuaci obyvatel zajišťují v případě nutnosti orgány obce ve spolupráci s HZS kraje. Pro případ vyhlášení evakuace jsou předurčeny evakuační střediska (shromaždiště). Pro účely ukrytí obyvatel je ve Zlíně určeno 5 stálých tlakově odolných velkokapacitních úkrytů a 68 improvizovaných úkrytů s celkovou kapacitou přibližně 26 tisíc osob. Materiál a zásoby pro nouzové přežití a evakuaci jsou pravidelně kontrolovány a doplňovány.</w:t>
      </w:r>
    </w:p>
    <w:p w14:paraId="2A4EA095" w14:textId="77777777" w:rsidR="006704AF" w:rsidRPr="009434FA" w:rsidRDefault="006704AF" w:rsidP="006704AF">
      <w:pPr>
        <w:keepNext/>
        <w:rPr>
          <w:rStyle w:val="Siln"/>
          <w:rFonts w:cstheme="minorHAnsi"/>
          <w:bdr w:val="none" w:sz="0" w:space="0" w:color="auto" w:frame="1"/>
          <w:shd w:val="clear" w:color="auto" w:fill="FFFFFF"/>
        </w:rPr>
      </w:pPr>
      <w:r>
        <w:rPr>
          <w:rStyle w:val="Siln"/>
          <w:rFonts w:cstheme="minorHAnsi"/>
          <w:bdr w:val="none" w:sz="0" w:space="0" w:color="auto" w:frame="1"/>
          <w:shd w:val="clear" w:color="auto" w:fill="FFFFFF"/>
        </w:rPr>
        <w:t>Oblast p</w:t>
      </w:r>
      <w:r w:rsidRPr="009434FA">
        <w:rPr>
          <w:rStyle w:val="Siln"/>
          <w:rFonts w:cstheme="minorHAnsi"/>
          <w:bdr w:val="none" w:sz="0" w:space="0" w:color="auto" w:frame="1"/>
          <w:shd w:val="clear" w:color="auto" w:fill="FFFFFF"/>
        </w:rPr>
        <w:t>ožární ochran</w:t>
      </w:r>
      <w:r>
        <w:rPr>
          <w:rStyle w:val="Siln"/>
          <w:rFonts w:cstheme="minorHAnsi"/>
          <w:bdr w:val="none" w:sz="0" w:space="0" w:color="auto" w:frame="1"/>
          <w:shd w:val="clear" w:color="auto" w:fill="FFFFFF"/>
        </w:rPr>
        <w:t>y</w:t>
      </w:r>
      <w:r w:rsidRPr="009434FA">
        <w:rPr>
          <w:rStyle w:val="Siln"/>
          <w:rFonts w:cstheme="minorHAnsi"/>
          <w:bdr w:val="none" w:sz="0" w:space="0" w:color="auto" w:frame="1"/>
          <w:shd w:val="clear" w:color="auto" w:fill="FFFFFF"/>
        </w:rPr>
        <w:t>, hasičský záchranný sbor a jednotky dobrovolných hasičů</w:t>
      </w:r>
    </w:p>
    <w:p w14:paraId="25734354" w14:textId="77777777" w:rsidR="006704AF" w:rsidRPr="006704AF" w:rsidRDefault="006704AF" w:rsidP="006704AF">
      <w:p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Hasičský záchranný sbor (HZS) je jednou ze základních složek integrovaného záchranného systému a je tak vedle role požární ochrany obyvatel důležitou složkou zajišťující civilní ochranu obyvatelstva. Ve Zlíně sídlí krajské ředitelství územního odboru Hasičského záchranného sboru České republiky. Činností jednotek HZS je zasahování při mimořádných událostech, které lze rozdělit do následujících kategorií:</w:t>
      </w:r>
    </w:p>
    <w:p w14:paraId="51EAC721" w14:textId="77777777" w:rsidR="006704AF" w:rsidRPr="006704AF" w:rsidRDefault="006704AF" w:rsidP="006704AF">
      <w:pPr>
        <w:pStyle w:val="Odstavecseseznamem"/>
        <w:numPr>
          <w:ilvl w:val="0"/>
          <w:numId w:val="45"/>
        </w:num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Požár</w:t>
      </w:r>
    </w:p>
    <w:p w14:paraId="36E6201F" w14:textId="77777777" w:rsidR="006704AF" w:rsidRPr="006704AF" w:rsidRDefault="006704AF" w:rsidP="006704AF">
      <w:pPr>
        <w:pStyle w:val="Odstavecseseznamem"/>
        <w:numPr>
          <w:ilvl w:val="0"/>
          <w:numId w:val="45"/>
        </w:num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Dopravní nehoda</w:t>
      </w:r>
    </w:p>
    <w:p w14:paraId="356B04A7" w14:textId="77777777" w:rsidR="006704AF" w:rsidRPr="006704AF" w:rsidRDefault="006704AF" w:rsidP="006704AF">
      <w:pPr>
        <w:pStyle w:val="Odstavecseseznamem"/>
        <w:numPr>
          <w:ilvl w:val="0"/>
          <w:numId w:val="45"/>
        </w:num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Únik nebezpečné chemické látky</w:t>
      </w:r>
    </w:p>
    <w:p w14:paraId="659E47C4" w14:textId="77777777" w:rsidR="006704AF" w:rsidRPr="006704AF" w:rsidRDefault="006704AF" w:rsidP="006704AF">
      <w:pPr>
        <w:pStyle w:val="Odstavecseseznamem"/>
        <w:numPr>
          <w:ilvl w:val="0"/>
          <w:numId w:val="45"/>
        </w:num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Technická havárie</w:t>
      </w:r>
    </w:p>
    <w:p w14:paraId="043426E3" w14:textId="77777777" w:rsidR="006704AF" w:rsidRPr="006704AF" w:rsidRDefault="006704AF" w:rsidP="006704AF">
      <w:pPr>
        <w:pStyle w:val="Odstavecseseznamem"/>
        <w:numPr>
          <w:ilvl w:val="0"/>
          <w:numId w:val="45"/>
        </w:num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Radiační havárie a nehoda</w:t>
      </w:r>
    </w:p>
    <w:p w14:paraId="5FC48F88" w14:textId="77777777" w:rsidR="006704AF" w:rsidRPr="006704AF" w:rsidRDefault="006704AF" w:rsidP="006704AF">
      <w:pPr>
        <w:pStyle w:val="Odstavecseseznamem"/>
        <w:numPr>
          <w:ilvl w:val="0"/>
          <w:numId w:val="45"/>
        </w:num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Ostatní mimořádné události</w:t>
      </w:r>
    </w:p>
    <w:p w14:paraId="12C32FAC" w14:textId="77777777" w:rsidR="006704AF" w:rsidRPr="006704AF" w:rsidRDefault="006704AF" w:rsidP="006704AF">
      <w:pPr>
        <w:pStyle w:val="Odstavecseseznamem"/>
        <w:numPr>
          <w:ilvl w:val="0"/>
          <w:numId w:val="45"/>
        </w:numPr>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Planý poplach</w:t>
      </w:r>
    </w:p>
    <w:p w14:paraId="65089619" w14:textId="5FB37C30" w:rsidR="006704AF" w:rsidRPr="006704AF" w:rsidRDefault="006704AF" w:rsidP="006704AF">
      <w:pPr>
        <w:rPr>
          <w:bCs/>
          <w:color w:val="000000" w:themeColor="text1"/>
        </w:rPr>
      </w:pPr>
      <w:r w:rsidRPr="006704AF">
        <w:rPr>
          <w:bCs/>
          <w:color w:val="000000" w:themeColor="text1"/>
        </w:rPr>
        <w:lastRenderedPageBreak/>
        <w:t>Jednotky HZS Zlínského kraje evidovaly ve Zlíně v roce 2019 celkem 725 zásahů. Bližší rozdělení počtu zásahů dle jednotlivých kategorií mimořád</w:t>
      </w:r>
      <w:r w:rsidR="003A743C">
        <w:rPr>
          <w:bCs/>
          <w:color w:val="000000" w:themeColor="text1"/>
        </w:rPr>
        <w:t>ných událostí zobrazuje graf na obrázku 1.74</w:t>
      </w:r>
      <w:r w:rsidRPr="006704AF">
        <w:rPr>
          <w:bCs/>
          <w:color w:val="000000" w:themeColor="text1"/>
        </w:rPr>
        <w:t>.</w:t>
      </w:r>
    </w:p>
    <w:p w14:paraId="15733B44" w14:textId="2F8AAA0A" w:rsidR="006704AF" w:rsidRDefault="006704AF" w:rsidP="006704AF">
      <w:pPr>
        <w:pStyle w:val="Titulek"/>
        <w:rPr>
          <w:rStyle w:val="Siln"/>
          <w:rFonts w:cstheme="minorHAnsi"/>
          <w:b/>
          <w:bdr w:val="none" w:sz="0" w:space="0" w:color="auto" w:frame="1"/>
          <w:shd w:val="clear" w:color="auto" w:fill="FFFFFF"/>
        </w:rPr>
      </w:pPr>
      <w:bookmarkStart w:id="371" w:name="_Toc49779855"/>
      <w:bookmarkStart w:id="372" w:name="_Toc52963375"/>
      <w:bookmarkStart w:id="373" w:name="_Toc7707489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74</w:t>
      </w:r>
      <w:r w:rsidR="00804AF3">
        <w:rPr>
          <w:noProof/>
        </w:rPr>
        <w:fldChar w:fldCharType="end"/>
      </w:r>
      <w:r w:rsidR="00D63448">
        <w:rPr>
          <w:noProof/>
        </w:rPr>
        <w:t>:</w:t>
      </w:r>
      <w:r>
        <w:t xml:space="preserve"> Počet a podíl zásahů HZS Zlínského kraje v obci Zlín podle typu události v roce 2019</w:t>
      </w:r>
      <w:bookmarkEnd w:id="371"/>
      <w:bookmarkEnd w:id="372"/>
      <w:bookmarkEnd w:id="373"/>
    </w:p>
    <w:p w14:paraId="00B54EB0" w14:textId="77777777" w:rsidR="006704AF" w:rsidRDefault="006704AF" w:rsidP="006704AF">
      <w:pPr>
        <w:rPr>
          <w:rStyle w:val="Siln"/>
          <w:rFonts w:cstheme="minorHAnsi"/>
          <w:b w:val="0"/>
          <w:bdr w:val="none" w:sz="0" w:space="0" w:color="auto" w:frame="1"/>
          <w:shd w:val="clear" w:color="auto" w:fill="FFFFFF"/>
        </w:rPr>
      </w:pPr>
      <w:r>
        <w:rPr>
          <w:noProof/>
          <w:lang w:eastAsia="cs-CZ"/>
        </w:rPr>
        <w:drawing>
          <wp:inline distT="0" distB="0" distL="0" distR="0" wp14:anchorId="0C51AE9C" wp14:editId="1EC7C5C1">
            <wp:extent cx="5760000" cy="2600325"/>
            <wp:effectExtent l="0" t="0" r="12700" b="9525"/>
            <wp:docPr id="323" name="Graf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6986524" w14:textId="2E8D3638" w:rsidR="006704AF" w:rsidRPr="006704AF" w:rsidRDefault="006704AF" w:rsidP="00D63448">
      <w:pPr>
        <w:pStyle w:val="Zdroj"/>
        <w:spacing w:before="0" w:after="0"/>
        <w:contextualSpacing/>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Zdroj: Statistická ročenka Hasičského záchranného sboru Zlínského kraje, rok 2019</w:t>
      </w:r>
      <w:r w:rsidR="00D63448">
        <w:rPr>
          <w:rStyle w:val="Siln"/>
          <w:rFonts w:cstheme="minorHAnsi"/>
          <w:b w:val="0"/>
          <w:bdr w:val="none" w:sz="0" w:space="0" w:color="auto" w:frame="1"/>
          <w:shd w:val="clear" w:color="auto" w:fill="FFFFFF"/>
        </w:rPr>
        <w:t>.</w:t>
      </w:r>
    </w:p>
    <w:p w14:paraId="5F6D008D" w14:textId="77777777" w:rsidR="006704AF" w:rsidRPr="00D63448" w:rsidRDefault="00183F7E" w:rsidP="00D63448">
      <w:pPr>
        <w:pStyle w:val="Zdroj"/>
        <w:spacing w:before="0" w:after="0"/>
        <w:contextualSpacing/>
      </w:pPr>
      <w:hyperlink r:id="rId118" w:history="1">
        <w:r w:rsidR="006704AF" w:rsidRPr="00D63448">
          <w:rPr>
            <w:rStyle w:val="Hypertextovodkaz"/>
            <w:rFonts w:eastAsiaTheme="majorEastAsia"/>
            <w:color w:val="auto"/>
            <w:u w:val="none"/>
          </w:rPr>
          <w:t>https://www.hzscr.cz/clanek/statisticka-rocenka-hzs-zlinskeho-kraje.aspx</w:t>
        </w:r>
      </w:hyperlink>
    </w:p>
    <w:p w14:paraId="73BB0ACB" w14:textId="28E9D2B9" w:rsidR="006704AF" w:rsidRDefault="006704AF" w:rsidP="006704AF">
      <w:r>
        <w:t>V okrese Zlín je celkový počet zásahů HZS Zlínského kraje v posledních letech poměrně stabilní. Nejvyšší počet zásahů byl zaznamenán v roce 2017 (2</w:t>
      </w:r>
      <w:r w:rsidR="004F6B03">
        <w:t xml:space="preserve"> </w:t>
      </w:r>
      <w:r>
        <w:t>011), v roce 2019 činil celkový počet zásahů 1 886.</w:t>
      </w:r>
    </w:p>
    <w:p w14:paraId="699A0B53" w14:textId="576C90B0" w:rsidR="006704AF" w:rsidRPr="009434FA" w:rsidRDefault="006704AF" w:rsidP="006704AF">
      <w:pPr>
        <w:pStyle w:val="Titulek"/>
      </w:pPr>
      <w:bookmarkStart w:id="374" w:name="_Toc49779856"/>
      <w:bookmarkStart w:id="375" w:name="_Toc52963376"/>
      <w:bookmarkStart w:id="376" w:name="_Toc7707489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75</w:t>
      </w:r>
      <w:r w:rsidR="00804AF3">
        <w:rPr>
          <w:noProof/>
        </w:rPr>
        <w:fldChar w:fldCharType="end"/>
      </w:r>
      <w:r w:rsidR="00D63448">
        <w:rPr>
          <w:noProof/>
        </w:rPr>
        <w:t>:</w:t>
      </w:r>
      <w:r>
        <w:t xml:space="preserve"> Počet mimořádných událostí řešených HZS Zlínského kraje v okrese Zlín v letech 2015 – 2019</w:t>
      </w:r>
      <w:bookmarkEnd w:id="374"/>
      <w:bookmarkEnd w:id="375"/>
      <w:bookmarkEnd w:id="376"/>
    </w:p>
    <w:p w14:paraId="55B15979" w14:textId="77777777" w:rsidR="006704AF" w:rsidRDefault="006704AF" w:rsidP="006704AF">
      <w:pPr>
        <w:pStyle w:val="Zdroj"/>
      </w:pPr>
      <w:r>
        <w:rPr>
          <w:noProof/>
        </w:rPr>
        <w:drawing>
          <wp:inline distT="0" distB="0" distL="0" distR="0" wp14:anchorId="1FF68BDF" wp14:editId="70FA3D96">
            <wp:extent cx="5760000" cy="1890713"/>
            <wp:effectExtent l="0" t="0" r="12700" b="14605"/>
            <wp:docPr id="324" name="Graf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FC26D7F" w14:textId="34472BFC" w:rsidR="006704AF" w:rsidRPr="006704AF" w:rsidRDefault="006704AF" w:rsidP="00D63448">
      <w:pPr>
        <w:pStyle w:val="Zdroj"/>
        <w:spacing w:before="0" w:after="0"/>
        <w:contextualSpacing/>
        <w:rPr>
          <w:rStyle w:val="Siln"/>
          <w:rFonts w:cstheme="minorHAnsi"/>
          <w:b w:val="0"/>
          <w:bdr w:val="none" w:sz="0" w:space="0" w:color="auto" w:frame="1"/>
          <w:shd w:val="clear" w:color="auto" w:fill="FFFFFF"/>
        </w:rPr>
      </w:pPr>
      <w:r w:rsidRPr="006704AF">
        <w:rPr>
          <w:rStyle w:val="Siln"/>
          <w:rFonts w:cstheme="minorHAnsi"/>
          <w:b w:val="0"/>
          <w:bdr w:val="none" w:sz="0" w:space="0" w:color="auto" w:frame="1"/>
          <w:shd w:val="clear" w:color="auto" w:fill="FFFFFF"/>
        </w:rPr>
        <w:t>Zdroj: Statistická ročenka Hasičského záchranného sboru Zlínského kraje, rok 2019</w:t>
      </w:r>
      <w:r w:rsidR="00D63448">
        <w:rPr>
          <w:rStyle w:val="Siln"/>
          <w:rFonts w:cstheme="minorHAnsi"/>
          <w:b w:val="0"/>
          <w:bdr w:val="none" w:sz="0" w:space="0" w:color="auto" w:frame="1"/>
          <w:shd w:val="clear" w:color="auto" w:fill="FFFFFF"/>
        </w:rPr>
        <w:t>.</w:t>
      </w:r>
    </w:p>
    <w:p w14:paraId="30EF6240" w14:textId="77777777" w:rsidR="006704AF" w:rsidRPr="00D63448" w:rsidRDefault="00183F7E" w:rsidP="00D63448">
      <w:pPr>
        <w:pStyle w:val="Zdroj"/>
        <w:spacing w:before="0" w:after="0"/>
        <w:contextualSpacing/>
      </w:pPr>
      <w:hyperlink r:id="rId120" w:history="1">
        <w:r w:rsidR="006704AF" w:rsidRPr="00D63448">
          <w:rPr>
            <w:rStyle w:val="Hypertextovodkaz"/>
            <w:rFonts w:eastAsiaTheme="majorEastAsia"/>
            <w:color w:val="auto"/>
            <w:u w:val="none"/>
          </w:rPr>
          <w:t>https://www.hzscr.cz/clanek/statisticka-rocenka-hzs-zlinskeho-kraje.aspx</w:t>
        </w:r>
      </w:hyperlink>
    </w:p>
    <w:p w14:paraId="6A99052B" w14:textId="77777777" w:rsidR="006704AF" w:rsidRPr="00656A9F" w:rsidRDefault="006704AF" w:rsidP="006704AF">
      <w:r>
        <w:t>Vedle jednotek HZS Zlínského kraje se v případě potřeby na řešení mimořádných událostí podílí jednotky sboru dobrovolných hasičů (JSDH), jejichž zřizovatelem jsou obce. Statutární město Zlín provozuje Jednotku požární ochrany (JPO) Zlín – Prštné, kterou v roce 2019 tvořilo 17 členů. V roce 2019 JPO Zlín - Prštné zaznamenala celkem 148 výjezdů a uspořádala 88 preventivních akcí. V místních částech Zlína dále působí celkem 12 akceschopných JSDH. V roce 2019 byly jednotky SDH povolány celkem k 30 zásahům. Dalšími jednotkami požární ochrany jsou hasičské útvary průmyslových provozů s rizikem vzniku požárů (Tajmac – ZPS a.s., Mitas a.s.)</w:t>
      </w:r>
    </w:p>
    <w:p w14:paraId="0B682D3F" w14:textId="77777777" w:rsidR="006704AF" w:rsidRDefault="006704AF" w:rsidP="006704AF">
      <w:pPr>
        <w:pStyle w:val="Nadpis3"/>
        <w:ind w:left="720"/>
      </w:pPr>
      <w:bookmarkStart w:id="377" w:name="_Toc52963407"/>
      <w:bookmarkStart w:id="378" w:name="_Toc77074598"/>
      <w:r w:rsidRPr="00EF2FC1">
        <w:lastRenderedPageBreak/>
        <w:t>Bezpečnost silničního provozu</w:t>
      </w:r>
      <w:bookmarkEnd w:id="377"/>
      <w:bookmarkEnd w:id="378"/>
    </w:p>
    <w:p w14:paraId="369C8F92" w14:textId="77777777" w:rsidR="006704AF" w:rsidRDefault="006704AF" w:rsidP="006704AF">
      <w:r>
        <w:t>Bezpečnost silničního provozu se snaží zlepšovat BESIP (bezpečnost silničního provozu) Zlínského kraje. V návaznosti na dokument „Národní strategie bezpečnosti silničního provozu“ je pro Zlínský kraj zpracována samostatná „Strategie bezpečnosti silničního provozu ve Zlínském kraji na období 2012 – 2020</w:t>
      </w:r>
      <w:r>
        <w:rPr>
          <w:rStyle w:val="Znakapoznpodarou"/>
        </w:rPr>
        <w:footnoteReference w:id="85"/>
      </w:r>
      <w:r>
        <w:t>“ (strategie byla aktualizována v roce 2018). Organizace spolupracuje se všemi zainteresovanými aktéry bezpečnosti silničního provozu (například Policie ČR, Městská policie, Červený kříž nebo magistrát města Zlína). V roce 2018 uspořádal BESIP ve Zlínském kraji 155 osvětových akcí. BESIP se podílí na dopravní výchově a spolupracuje se školami a vzdělává děti na dopravních hřištích. V minulosti se aktivity BESIP Zlínského kraje zaměřily také na zvýšení bezpečnosti a přehlednosti přechodů pro chodce. Rozpočet BESIP ve Zlínském kraji činil v roce 2019 částku 5,93 mil. Kč.</w:t>
      </w:r>
    </w:p>
    <w:p w14:paraId="2F3CAB08" w14:textId="77777777" w:rsidR="006704AF" w:rsidRPr="00F268E4" w:rsidRDefault="006704AF" w:rsidP="006704AF">
      <w:pPr>
        <w:keepNext/>
        <w:rPr>
          <w:b/>
        </w:rPr>
      </w:pPr>
      <w:r w:rsidRPr="00F268E4">
        <w:rPr>
          <w:b/>
        </w:rPr>
        <w:t>Dopravní nehody</w:t>
      </w:r>
    </w:p>
    <w:p w14:paraId="457A2753" w14:textId="6F7594AB" w:rsidR="006704AF" w:rsidRDefault="006704AF" w:rsidP="006704AF">
      <w:pPr>
        <w:rPr>
          <w:bCs/>
        </w:rPr>
      </w:pPr>
      <w:r>
        <w:t>Počet dopravních nehod se mezi lety 2018 a 2019 meziročně zvýšil o 88 na hodnotu 608 dopravních nehod, meziročně byl tedy zaznamenán poměrně intenzivní nárůst, při srovnání s předešlými lety počet dopravních nehod stagnoval. Nejčastěji se dopravní nehody se stávají v pátek, kdy se v uvedeném období stalo 17,8 % všech dopravních nehod, druhým kritickým dnem je pondělí, kdy se odehraje 16,5 %, oproti tomu nejméně kritickými jsou víkendové dny, v neděli se odehraje pouze 8,4 % nehod, v sobotu pak 10,2 %. Ačkoliv se celkový počet nehod zvětšil, došlo ke snížení podílu nehod s následky na zdraví, což odpovídá i údajům za okres Zlín (viz níže). S</w:t>
      </w:r>
      <w:r w:rsidRPr="00170F1D">
        <w:t>polečným cílem strategií BESIP je eliminace tragických následků dopravních nehod a</w:t>
      </w:r>
      <w:r>
        <w:t> </w:t>
      </w:r>
      <w:r w:rsidRPr="00170F1D">
        <w:t xml:space="preserve">snížení počtu těžce zraněných na polovinu do roku 2025. Dle akčního plánu strategie je nutné preventivní opatření zaměřit na rizikové skupiny s nejvyšším podílem vážných následků, tedy na </w:t>
      </w:r>
      <w:r w:rsidRPr="00170F1D">
        <w:rPr>
          <w:bCs/>
        </w:rPr>
        <w:t>stárnoucí populaci</w:t>
      </w:r>
      <w:r w:rsidRPr="00170F1D">
        <w:t xml:space="preserve">, </w:t>
      </w:r>
      <w:r w:rsidRPr="00170F1D">
        <w:rPr>
          <w:bCs/>
        </w:rPr>
        <w:t>motocyklisty</w:t>
      </w:r>
      <w:r w:rsidRPr="00170F1D">
        <w:t xml:space="preserve">, </w:t>
      </w:r>
      <w:r w:rsidRPr="00170F1D">
        <w:rPr>
          <w:bCs/>
        </w:rPr>
        <w:t>chodce</w:t>
      </w:r>
      <w:r w:rsidRPr="00170F1D">
        <w:t xml:space="preserve">, </w:t>
      </w:r>
      <w:r w:rsidRPr="00170F1D">
        <w:rPr>
          <w:bCs/>
        </w:rPr>
        <w:t>cyklisty a</w:t>
      </w:r>
      <w:r>
        <w:rPr>
          <w:bCs/>
        </w:rPr>
        <w:t> </w:t>
      </w:r>
      <w:r w:rsidRPr="00170F1D">
        <w:rPr>
          <w:bCs/>
        </w:rPr>
        <w:t>nebezpečné chování řidičů jako</w:t>
      </w:r>
      <w:r w:rsidRPr="00170F1D">
        <w:t xml:space="preserve"> </w:t>
      </w:r>
      <w:r w:rsidRPr="00170F1D">
        <w:rPr>
          <w:bCs/>
        </w:rPr>
        <w:t>nesprávné předjíždění</w:t>
      </w:r>
      <w:r w:rsidRPr="00170F1D">
        <w:t xml:space="preserve"> a</w:t>
      </w:r>
      <w:r>
        <w:t> </w:t>
      </w:r>
      <w:r w:rsidRPr="00170F1D">
        <w:rPr>
          <w:bCs/>
        </w:rPr>
        <w:t>nepřiměřená rychlost</w:t>
      </w:r>
      <w:r>
        <w:rPr>
          <w:bCs/>
        </w:rPr>
        <w:t>. Zvýšení bezpečnosti cyklistické dopravy a snížení rizika u nebezpečných dopravních úseků obecně zároveň uvádí respondenti provedeného anketního šetření</w:t>
      </w:r>
      <w:r>
        <w:rPr>
          <w:rStyle w:val="Znakapoznpodarou"/>
          <w:bCs/>
        </w:rPr>
        <w:footnoteReference w:id="86"/>
      </w:r>
      <w:r>
        <w:rPr>
          <w:bCs/>
        </w:rPr>
        <w:t xml:space="preserve"> jako jedny z podnětů pro rozvoj města.</w:t>
      </w:r>
    </w:p>
    <w:p w14:paraId="7A4377B0" w14:textId="14B33C83" w:rsidR="006704AF" w:rsidRDefault="006704AF" w:rsidP="006704AF">
      <w:pPr>
        <w:pStyle w:val="Titulek"/>
      </w:pPr>
      <w:bookmarkStart w:id="379" w:name="_Toc48222561"/>
      <w:bookmarkStart w:id="380" w:name="_Toc52963382"/>
      <w:bookmarkStart w:id="381" w:name="_Toc7707473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55</w:t>
      </w:r>
      <w:r w:rsidR="00081B47">
        <w:rPr>
          <w:noProof/>
        </w:rPr>
        <w:fldChar w:fldCharType="end"/>
      </w:r>
      <w:r w:rsidR="00D63448">
        <w:rPr>
          <w:noProof/>
        </w:rPr>
        <w:t>:</w:t>
      </w:r>
      <w:r>
        <w:t xml:space="preserve"> Počet a podíl nehod ve Zlíně podle dní v týdnu (2016</w:t>
      </w:r>
      <w:r w:rsidR="00D63448">
        <w:t xml:space="preserve"> </w:t>
      </w:r>
      <w:r w:rsidR="00D63448">
        <w:sym w:font="Symbol" w:char="F02D"/>
      </w:r>
      <w:r w:rsidR="00D63448">
        <w:t xml:space="preserve"> </w:t>
      </w:r>
      <w:r>
        <w:t>2019)</w:t>
      </w:r>
      <w:bookmarkEnd w:id="379"/>
      <w:bookmarkEnd w:id="380"/>
      <w:bookmarkEnd w:id="3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4"/>
        <w:gridCol w:w="825"/>
        <w:gridCol w:w="823"/>
        <w:gridCol w:w="823"/>
        <w:gridCol w:w="826"/>
        <w:gridCol w:w="823"/>
        <w:gridCol w:w="823"/>
        <w:gridCol w:w="823"/>
        <w:gridCol w:w="823"/>
        <w:gridCol w:w="826"/>
        <w:gridCol w:w="823"/>
      </w:tblGrid>
      <w:tr w:rsidR="006704AF" w:rsidRPr="00F511ED" w14:paraId="779A8958" w14:textId="77777777" w:rsidTr="000C49A5">
        <w:trPr>
          <w:trHeight w:val="57"/>
        </w:trPr>
        <w:tc>
          <w:tcPr>
            <w:tcW w:w="455" w:type="pct"/>
            <w:vMerge w:val="restart"/>
            <w:shd w:val="clear" w:color="000000" w:fill="F2F2F2"/>
            <w:vAlign w:val="center"/>
            <w:hideMark/>
          </w:tcPr>
          <w:p w14:paraId="0953814B" w14:textId="114BF882" w:rsidR="006704AF" w:rsidRPr="00F511ED" w:rsidRDefault="006704AF" w:rsidP="00D63448">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Den v</w:t>
            </w:r>
            <w:r w:rsidR="00D63448">
              <w:rPr>
                <w:rFonts w:eastAsia="Times New Roman" w:cstheme="minorHAnsi"/>
                <w:b/>
                <w:bCs/>
                <w:color w:val="000000"/>
                <w:sz w:val="18"/>
                <w:szCs w:val="18"/>
                <w:lang w:eastAsia="cs-CZ"/>
              </w:rPr>
              <w:t> </w:t>
            </w:r>
            <w:r w:rsidRPr="00F511ED">
              <w:rPr>
                <w:rFonts w:eastAsia="Times New Roman" w:cstheme="minorHAnsi"/>
                <w:b/>
                <w:bCs/>
                <w:color w:val="000000"/>
                <w:sz w:val="18"/>
                <w:szCs w:val="18"/>
                <w:lang w:eastAsia="cs-CZ"/>
              </w:rPr>
              <w:t>týdnu</w:t>
            </w:r>
          </w:p>
        </w:tc>
        <w:tc>
          <w:tcPr>
            <w:tcW w:w="1819" w:type="pct"/>
            <w:gridSpan w:val="4"/>
            <w:shd w:val="clear" w:color="000000" w:fill="F2F2F2"/>
            <w:vAlign w:val="center"/>
            <w:hideMark/>
          </w:tcPr>
          <w:p w14:paraId="6393D284"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Počet nehod</w:t>
            </w:r>
          </w:p>
        </w:tc>
        <w:tc>
          <w:tcPr>
            <w:tcW w:w="454" w:type="pct"/>
            <w:vMerge w:val="restart"/>
            <w:shd w:val="clear" w:color="000000" w:fill="F2F2F2"/>
            <w:vAlign w:val="center"/>
          </w:tcPr>
          <w:p w14:paraId="38FFFB9A" w14:textId="77777777" w:rsidR="006704AF" w:rsidRPr="00F511ED" w:rsidRDefault="006704AF" w:rsidP="000C49A5">
            <w:pPr>
              <w:keepNext/>
              <w:spacing w:before="0"/>
              <w:jc w:val="center"/>
              <w:rPr>
                <w:rFonts w:eastAsia="Times New Roman" w:cstheme="minorHAnsi"/>
                <w:b/>
                <w:bCs/>
                <w:color w:val="000000"/>
                <w:sz w:val="18"/>
                <w:szCs w:val="18"/>
                <w:lang w:eastAsia="cs-CZ"/>
              </w:rPr>
            </w:pPr>
            <w:r>
              <w:rPr>
                <w:rFonts w:eastAsia="Times New Roman" w:cstheme="minorHAnsi"/>
                <w:b/>
                <w:bCs/>
                <w:color w:val="000000"/>
                <w:sz w:val="18"/>
                <w:szCs w:val="18"/>
                <w:lang w:eastAsia="cs-CZ"/>
              </w:rPr>
              <w:t>Celkem</w:t>
            </w:r>
          </w:p>
        </w:tc>
        <w:tc>
          <w:tcPr>
            <w:tcW w:w="1818" w:type="pct"/>
            <w:gridSpan w:val="4"/>
            <w:shd w:val="clear" w:color="000000" w:fill="F2F2F2"/>
            <w:vAlign w:val="center"/>
            <w:hideMark/>
          </w:tcPr>
          <w:p w14:paraId="4F642121" w14:textId="6EA1021D" w:rsidR="006704AF" w:rsidRPr="00F511ED" w:rsidRDefault="006704AF" w:rsidP="00D63448">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 xml:space="preserve">Podíl </w:t>
            </w:r>
            <w:r w:rsidR="00D63448">
              <w:rPr>
                <w:rFonts w:eastAsia="Times New Roman" w:cstheme="minorHAnsi"/>
                <w:b/>
                <w:bCs/>
                <w:color w:val="000000"/>
                <w:sz w:val="18"/>
                <w:szCs w:val="18"/>
                <w:lang w:eastAsia="cs-CZ"/>
              </w:rPr>
              <w:t>na</w:t>
            </w:r>
            <w:r w:rsidRPr="00F511ED">
              <w:rPr>
                <w:rFonts w:eastAsia="Times New Roman" w:cstheme="minorHAnsi"/>
                <w:b/>
                <w:bCs/>
                <w:color w:val="000000"/>
                <w:sz w:val="18"/>
                <w:szCs w:val="18"/>
                <w:lang w:eastAsia="cs-CZ"/>
              </w:rPr>
              <w:t xml:space="preserve"> den v týdnu</w:t>
            </w:r>
          </w:p>
        </w:tc>
        <w:tc>
          <w:tcPr>
            <w:tcW w:w="454" w:type="pct"/>
            <w:vMerge w:val="restart"/>
            <w:shd w:val="clear" w:color="000000" w:fill="F2F2F2"/>
            <w:noWrap/>
            <w:vAlign w:val="center"/>
            <w:hideMark/>
          </w:tcPr>
          <w:p w14:paraId="4F57D531"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Celkem</w:t>
            </w:r>
          </w:p>
        </w:tc>
      </w:tr>
      <w:tr w:rsidR="006704AF" w:rsidRPr="00F511ED" w14:paraId="726EE71A" w14:textId="77777777" w:rsidTr="000C49A5">
        <w:trPr>
          <w:trHeight w:val="57"/>
        </w:trPr>
        <w:tc>
          <w:tcPr>
            <w:tcW w:w="455" w:type="pct"/>
            <w:vMerge/>
            <w:vAlign w:val="center"/>
            <w:hideMark/>
          </w:tcPr>
          <w:p w14:paraId="7E93FF48" w14:textId="77777777" w:rsidR="006704AF" w:rsidRPr="00F511ED" w:rsidRDefault="006704AF" w:rsidP="000C49A5">
            <w:pPr>
              <w:keepNext/>
              <w:spacing w:before="0"/>
              <w:jc w:val="left"/>
              <w:rPr>
                <w:rFonts w:eastAsia="Times New Roman" w:cstheme="minorHAnsi"/>
                <w:b/>
                <w:bCs/>
                <w:color w:val="000000"/>
                <w:sz w:val="18"/>
                <w:szCs w:val="18"/>
                <w:lang w:eastAsia="cs-CZ"/>
              </w:rPr>
            </w:pPr>
          </w:p>
        </w:tc>
        <w:tc>
          <w:tcPr>
            <w:tcW w:w="455" w:type="pct"/>
            <w:shd w:val="clear" w:color="000000" w:fill="F2F2F2"/>
            <w:noWrap/>
            <w:vAlign w:val="center"/>
            <w:hideMark/>
          </w:tcPr>
          <w:p w14:paraId="0EB5795A"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2016</w:t>
            </w:r>
          </w:p>
        </w:tc>
        <w:tc>
          <w:tcPr>
            <w:tcW w:w="454" w:type="pct"/>
            <w:shd w:val="clear" w:color="000000" w:fill="F2F2F2"/>
            <w:noWrap/>
            <w:vAlign w:val="center"/>
            <w:hideMark/>
          </w:tcPr>
          <w:p w14:paraId="62FD1F7A"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2017</w:t>
            </w:r>
          </w:p>
        </w:tc>
        <w:tc>
          <w:tcPr>
            <w:tcW w:w="454" w:type="pct"/>
            <w:shd w:val="clear" w:color="000000" w:fill="F2F2F2"/>
            <w:noWrap/>
            <w:vAlign w:val="center"/>
            <w:hideMark/>
          </w:tcPr>
          <w:p w14:paraId="23AD647D"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2018</w:t>
            </w:r>
          </w:p>
        </w:tc>
        <w:tc>
          <w:tcPr>
            <w:tcW w:w="456" w:type="pct"/>
            <w:shd w:val="clear" w:color="000000" w:fill="F2F2F2"/>
            <w:noWrap/>
            <w:vAlign w:val="center"/>
            <w:hideMark/>
          </w:tcPr>
          <w:p w14:paraId="4DF4C8BB"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2019</w:t>
            </w:r>
          </w:p>
        </w:tc>
        <w:tc>
          <w:tcPr>
            <w:tcW w:w="454" w:type="pct"/>
            <w:vMerge/>
            <w:shd w:val="clear" w:color="000000" w:fill="F2F2F2"/>
          </w:tcPr>
          <w:p w14:paraId="42C5860D" w14:textId="77777777" w:rsidR="006704AF" w:rsidRPr="00F511ED" w:rsidRDefault="006704AF" w:rsidP="000C49A5">
            <w:pPr>
              <w:keepNext/>
              <w:spacing w:before="0"/>
              <w:jc w:val="center"/>
              <w:rPr>
                <w:rFonts w:eastAsia="Times New Roman" w:cstheme="minorHAnsi"/>
                <w:b/>
                <w:bCs/>
                <w:color w:val="000000"/>
                <w:sz w:val="18"/>
                <w:szCs w:val="18"/>
                <w:lang w:eastAsia="cs-CZ"/>
              </w:rPr>
            </w:pPr>
          </w:p>
        </w:tc>
        <w:tc>
          <w:tcPr>
            <w:tcW w:w="454" w:type="pct"/>
            <w:shd w:val="clear" w:color="000000" w:fill="F2F2F2"/>
            <w:noWrap/>
            <w:vAlign w:val="center"/>
            <w:hideMark/>
          </w:tcPr>
          <w:p w14:paraId="2EB46B94"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2016</w:t>
            </w:r>
          </w:p>
        </w:tc>
        <w:tc>
          <w:tcPr>
            <w:tcW w:w="454" w:type="pct"/>
            <w:shd w:val="clear" w:color="000000" w:fill="F2F2F2"/>
            <w:noWrap/>
            <w:vAlign w:val="center"/>
            <w:hideMark/>
          </w:tcPr>
          <w:p w14:paraId="5A8FD1D9"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2017</w:t>
            </w:r>
          </w:p>
        </w:tc>
        <w:tc>
          <w:tcPr>
            <w:tcW w:w="454" w:type="pct"/>
            <w:shd w:val="clear" w:color="000000" w:fill="F2F2F2"/>
            <w:noWrap/>
            <w:vAlign w:val="center"/>
            <w:hideMark/>
          </w:tcPr>
          <w:p w14:paraId="5A725DCD"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2018</w:t>
            </w:r>
          </w:p>
        </w:tc>
        <w:tc>
          <w:tcPr>
            <w:tcW w:w="456" w:type="pct"/>
            <w:shd w:val="clear" w:color="000000" w:fill="F2F2F2"/>
            <w:noWrap/>
            <w:vAlign w:val="center"/>
            <w:hideMark/>
          </w:tcPr>
          <w:p w14:paraId="708577DB" w14:textId="77777777" w:rsidR="006704AF" w:rsidRPr="00F511ED" w:rsidRDefault="006704AF" w:rsidP="000C49A5">
            <w:pPr>
              <w:keepNext/>
              <w:spacing w:before="0"/>
              <w:jc w:val="center"/>
              <w:rPr>
                <w:rFonts w:eastAsia="Times New Roman" w:cstheme="minorHAnsi"/>
                <w:b/>
                <w:bCs/>
                <w:color w:val="000000"/>
                <w:sz w:val="18"/>
                <w:szCs w:val="18"/>
                <w:lang w:eastAsia="cs-CZ"/>
              </w:rPr>
            </w:pPr>
            <w:r w:rsidRPr="00F511ED">
              <w:rPr>
                <w:rFonts w:eastAsia="Times New Roman" w:cstheme="minorHAnsi"/>
                <w:b/>
                <w:bCs/>
                <w:color w:val="000000"/>
                <w:sz w:val="18"/>
                <w:szCs w:val="18"/>
                <w:lang w:eastAsia="cs-CZ"/>
              </w:rPr>
              <w:t>2019</w:t>
            </w:r>
          </w:p>
        </w:tc>
        <w:tc>
          <w:tcPr>
            <w:tcW w:w="454" w:type="pct"/>
            <w:vMerge/>
            <w:vAlign w:val="center"/>
            <w:hideMark/>
          </w:tcPr>
          <w:p w14:paraId="4B540C76" w14:textId="77777777" w:rsidR="006704AF" w:rsidRPr="00F511ED" w:rsidRDefault="006704AF" w:rsidP="000C49A5">
            <w:pPr>
              <w:keepNext/>
              <w:spacing w:before="0"/>
              <w:jc w:val="left"/>
              <w:rPr>
                <w:rFonts w:eastAsia="Times New Roman" w:cstheme="minorHAnsi"/>
                <w:b/>
                <w:bCs/>
                <w:color w:val="000000"/>
                <w:sz w:val="18"/>
                <w:szCs w:val="18"/>
                <w:lang w:eastAsia="cs-CZ"/>
              </w:rPr>
            </w:pPr>
          </w:p>
        </w:tc>
      </w:tr>
      <w:tr w:rsidR="006704AF" w:rsidRPr="00F511ED" w14:paraId="4ADDC847" w14:textId="77777777" w:rsidTr="000C49A5">
        <w:trPr>
          <w:trHeight w:val="57"/>
        </w:trPr>
        <w:tc>
          <w:tcPr>
            <w:tcW w:w="455" w:type="pct"/>
            <w:shd w:val="clear" w:color="auto" w:fill="auto"/>
            <w:vAlign w:val="bottom"/>
            <w:hideMark/>
          </w:tcPr>
          <w:p w14:paraId="23A4C14A"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Pondělí</w:t>
            </w:r>
          </w:p>
        </w:tc>
        <w:tc>
          <w:tcPr>
            <w:tcW w:w="455" w:type="pct"/>
            <w:shd w:val="clear" w:color="000000" w:fill="FBB4B7"/>
            <w:noWrap/>
            <w:hideMark/>
          </w:tcPr>
          <w:p w14:paraId="0297FCA4"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95</w:t>
            </w:r>
          </w:p>
        </w:tc>
        <w:tc>
          <w:tcPr>
            <w:tcW w:w="454" w:type="pct"/>
            <w:shd w:val="clear" w:color="000000" w:fill="FCFAFD"/>
            <w:noWrap/>
            <w:hideMark/>
          </w:tcPr>
          <w:p w14:paraId="1BC3E15E"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83</w:t>
            </w:r>
          </w:p>
        </w:tc>
        <w:tc>
          <w:tcPr>
            <w:tcW w:w="454" w:type="pct"/>
            <w:shd w:val="clear" w:color="000000" w:fill="FBCCCE"/>
            <w:noWrap/>
            <w:hideMark/>
          </w:tcPr>
          <w:p w14:paraId="44A9990F"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91</w:t>
            </w:r>
          </w:p>
        </w:tc>
        <w:tc>
          <w:tcPr>
            <w:tcW w:w="456" w:type="pct"/>
            <w:shd w:val="clear" w:color="000000" w:fill="FBBABD"/>
            <w:noWrap/>
            <w:hideMark/>
          </w:tcPr>
          <w:p w14:paraId="3961B0FD"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94</w:t>
            </w:r>
          </w:p>
        </w:tc>
        <w:tc>
          <w:tcPr>
            <w:tcW w:w="454" w:type="pct"/>
            <w:tcBorders>
              <w:top w:val="single" w:sz="4" w:space="0" w:color="auto"/>
              <w:left w:val="single" w:sz="4" w:space="0" w:color="auto"/>
              <w:bottom w:val="single" w:sz="4" w:space="0" w:color="auto"/>
              <w:right w:val="single" w:sz="4" w:space="0" w:color="auto"/>
            </w:tcBorders>
            <w:shd w:val="clear" w:color="auto" w:fill="auto"/>
          </w:tcPr>
          <w:p w14:paraId="73CF99E5"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363</w:t>
            </w:r>
          </w:p>
        </w:tc>
        <w:tc>
          <w:tcPr>
            <w:tcW w:w="454" w:type="pct"/>
            <w:shd w:val="clear" w:color="000000" w:fill="FBBBBE"/>
            <w:noWrap/>
            <w:hideMark/>
          </w:tcPr>
          <w:p w14:paraId="7E4FEB09" w14:textId="31DAFFDB"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17,4</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CE7EA"/>
            <w:noWrap/>
            <w:vAlign w:val="bottom"/>
            <w:hideMark/>
          </w:tcPr>
          <w:p w14:paraId="5AF8BA6B" w14:textId="0C875C80"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15,9</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A999C"/>
            <w:noWrap/>
            <w:vAlign w:val="bottom"/>
            <w:hideMark/>
          </w:tcPr>
          <w:p w14:paraId="13148858" w14:textId="6397FFAF"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17,5</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000000" w:fill="FBFBFE"/>
            <w:noWrap/>
            <w:vAlign w:val="bottom"/>
            <w:hideMark/>
          </w:tcPr>
          <w:p w14:paraId="15BF59E9" w14:textId="7CB89BF4"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15,5</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tcBorders>
              <w:top w:val="single" w:sz="4" w:space="0" w:color="auto"/>
              <w:left w:val="single" w:sz="4" w:space="0" w:color="auto"/>
              <w:bottom w:val="single" w:sz="4" w:space="0" w:color="auto"/>
              <w:right w:val="single" w:sz="4" w:space="0" w:color="auto"/>
            </w:tcBorders>
            <w:shd w:val="clear" w:color="000000" w:fill="FBC9CC"/>
            <w:noWrap/>
            <w:vAlign w:val="bottom"/>
            <w:hideMark/>
          </w:tcPr>
          <w:p w14:paraId="68E8ED20" w14:textId="75D31731"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16,5</w:t>
            </w:r>
            <w:r w:rsidR="00D63448">
              <w:rPr>
                <w:rFonts w:ascii="Calibri" w:hAnsi="Calibri" w:cs="Calibri"/>
                <w:color w:val="000000"/>
                <w:sz w:val="18"/>
                <w:szCs w:val="18"/>
              </w:rPr>
              <w:t xml:space="preserve"> </w:t>
            </w:r>
            <w:r>
              <w:rPr>
                <w:rFonts w:ascii="Calibri" w:hAnsi="Calibri" w:cs="Calibri"/>
                <w:color w:val="000000"/>
                <w:sz w:val="18"/>
                <w:szCs w:val="18"/>
              </w:rPr>
              <w:t>%</w:t>
            </w:r>
          </w:p>
        </w:tc>
      </w:tr>
      <w:tr w:rsidR="006704AF" w:rsidRPr="00F511ED" w14:paraId="255D5250" w14:textId="77777777" w:rsidTr="000C49A5">
        <w:trPr>
          <w:trHeight w:val="57"/>
        </w:trPr>
        <w:tc>
          <w:tcPr>
            <w:tcW w:w="455" w:type="pct"/>
            <w:shd w:val="clear" w:color="auto" w:fill="auto"/>
            <w:vAlign w:val="bottom"/>
            <w:hideMark/>
          </w:tcPr>
          <w:p w14:paraId="39593BF6"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Úterý</w:t>
            </w:r>
          </w:p>
        </w:tc>
        <w:tc>
          <w:tcPr>
            <w:tcW w:w="455" w:type="pct"/>
            <w:shd w:val="clear" w:color="000000" w:fill="EFF3FA"/>
            <w:noWrap/>
            <w:hideMark/>
          </w:tcPr>
          <w:p w14:paraId="2F5E22FC"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79</w:t>
            </w:r>
          </w:p>
        </w:tc>
        <w:tc>
          <w:tcPr>
            <w:tcW w:w="454" w:type="pct"/>
            <w:shd w:val="clear" w:color="000000" w:fill="F6F8FD"/>
            <w:noWrap/>
            <w:hideMark/>
          </w:tcPr>
          <w:p w14:paraId="4970F67D"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81</w:t>
            </w:r>
          </w:p>
        </w:tc>
        <w:tc>
          <w:tcPr>
            <w:tcW w:w="454" w:type="pct"/>
            <w:shd w:val="clear" w:color="000000" w:fill="E5ECF7"/>
            <w:noWrap/>
            <w:hideMark/>
          </w:tcPr>
          <w:p w14:paraId="0DACE431"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76</w:t>
            </w:r>
          </w:p>
        </w:tc>
        <w:tc>
          <w:tcPr>
            <w:tcW w:w="456" w:type="pct"/>
            <w:shd w:val="clear" w:color="000000" w:fill="F98689"/>
            <w:noWrap/>
            <w:hideMark/>
          </w:tcPr>
          <w:p w14:paraId="3CBAE9EB"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103</w:t>
            </w:r>
          </w:p>
        </w:tc>
        <w:tc>
          <w:tcPr>
            <w:tcW w:w="454" w:type="pct"/>
            <w:tcBorders>
              <w:top w:val="nil"/>
              <w:left w:val="single" w:sz="4" w:space="0" w:color="auto"/>
              <w:bottom w:val="single" w:sz="4" w:space="0" w:color="auto"/>
              <w:right w:val="single" w:sz="4" w:space="0" w:color="auto"/>
            </w:tcBorders>
            <w:shd w:val="clear" w:color="auto" w:fill="auto"/>
          </w:tcPr>
          <w:p w14:paraId="69ACA619"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339</w:t>
            </w:r>
          </w:p>
        </w:tc>
        <w:tc>
          <w:tcPr>
            <w:tcW w:w="454" w:type="pct"/>
            <w:shd w:val="clear" w:color="000000" w:fill="E8EEF8"/>
            <w:noWrap/>
            <w:hideMark/>
          </w:tcPr>
          <w:p w14:paraId="1F6D0319" w14:textId="39964EFF"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14,4</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CFAFD"/>
            <w:noWrap/>
            <w:vAlign w:val="bottom"/>
            <w:hideMark/>
          </w:tcPr>
          <w:p w14:paraId="341C8CC8" w14:textId="3FF455FE"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15,5</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EBF0F9"/>
            <w:noWrap/>
            <w:vAlign w:val="bottom"/>
            <w:hideMark/>
          </w:tcPr>
          <w:p w14:paraId="46519F0F" w14:textId="5938CB04"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14,6</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000000" w:fill="FBB5B8"/>
            <w:noWrap/>
            <w:vAlign w:val="bottom"/>
            <w:hideMark/>
          </w:tcPr>
          <w:p w14:paraId="444FEA73" w14:textId="5143C791"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16,9</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tcBorders>
              <w:top w:val="single" w:sz="4" w:space="0" w:color="auto"/>
              <w:left w:val="single" w:sz="4" w:space="0" w:color="auto"/>
              <w:bottom w:val="single" w:sz="4" w:space="0" w:color="auto"/>
              <w:right w:val="single" w:sz="4" w:space="0" w:color="auto"/>
            </w:tcBorders>
            <w:shd w:val="clear" w:color="000000" w:fill="FAFBFE"/>
            <w:noWrap/>
            <w:vAlign w:val="bottom"/>
            <w:hideMark/>
          </w:tcPr>
          <w:p w14:paraId="48E21C1D" w14:textId="3E2DA1B2"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15,4</w:t>
            </w:r>
            <w:r w:rsidR="00D63448">
              <w:rPr>
                <w:rFonts w:ascii="Calibri" w:hAnsi="Calibri" w:cs="Calibri"/>
                <w:color w:val="000000"/>
                <w:sz w:val="18"/>
                <w:szCs w:val="18"/>
              </w:rPr>
              <w:t xml:space="preserve"> </w:t>
            </w:r>
            <w:r>
              <w:rPr>
                <w:rFonts w:ascii="Calibri" w:hAnsi="Calibri" w:cs="Calibri"/>
                <w:color w:val="000000"/>
                <w:sz w:val="18"/>
                <w:szCs w:val="18"/>
              </w:rPr>
              <w:t>%</w:t>
            </w:r>
          </w:p>
        </w:tc>
      </w:tr>
      <w:tr w:rsidR="006704AF" w:rsidRPr="00F511ED" w14:paraId="2BA53BC8" w14:textId="77777777" w:rsidTr="000C49A5">
        <w:trPr>
          <w:trHeight w:val="57"/>
        </w:trPr>
        <w:tc>
          <w:tcPr>
            <w:tcW w:w="455" w:type="pct"/>
            <w:shd w:val="clear" w:color="auto" w:fill="auto"/>
            <w:vAlign w:val="bottom"/>
            <w:hideMark/>
          </w:tcPr>
          <w:p w14:paraId="082B8F5F"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Středa</w:t>
            </w:r>
          </w:p>
        </w:tc>
        <w:tc>
          <w:tcPr>
            <w:tcW w:w="455" w:type="pct"/>
            <w:shd w:val="clear" w:color="000000" w:fill="FBCCCE"/>
            <w:noWrap/>
            <w:hideMark/>
          </w:tcPr>
          <w:p w14:paraId="0A27EDDB"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91</w:t>
            </w:r>
          </w:p>
        </w:tc>
        <w:tc>
          <w:tcPr>
            <w:tcW w:w="454" w:type="pct"/>
            <w:shd w:val="clear" w:color="000000" w:fill="FCE3E5"/>
            <w:noWrap/>
            <w:hideMark/>
          </w:tcPr>
          <w:p w14:paraId="38DCA2D5"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87</w:t>
            </w:r>
          </w:p>
        </w:tc>
        <w:tc>
          <w:tcPr>
            <w:tcW w:w="454" w:type="pct"/>
            <w:shd w:val="clear" w:color="000000" w:fill="FAFAFE"/>
            <w:noWrap/>
            <w:hideMark/>
          </w:tcPr>
          <w:p w14:paraId="035F88AB"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82</w:t>
            </w:r>
          </w:p>
        </w:tc>
        <w:tc>
          <w:tcPr>
            <w:tcW w:w="456" w:type="pct"/>
            <w:shd w:val="clear" w:color="000000" w:fill="FBD7DA"/>
            <w:noWrap/>
            <w:hideMark/>
          </w:tcPr>
          <w:p w14:paraId="030ABFF2"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89</w:t>
            </w:r>
          </w:p>
        </w:tc>
        <w:tc>
          <w:tcPr>
            <w:tcW w:w="454" w:type="pct"/>
            <w:tcBorders>
              <w:top w:val="nil"/>
              <w:left w:val="single" w:sz="4" w:space="0" w:color="auto"/>
              <w:bottom w:val="single" w:sz="4" w:space="0" w:color="auto"/>
              <w:right w:val="single" w:sz="4" w:space="0" w:color="auto"/>
            </w:tcBorders>
            <w:shd w:val="clear" w:color="auto" w:fill="auto"/>
          </w:tcPr>
          <w:p w14:paraId="4E7266C1"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349</w:t>
            </w:r>
          </w:p>
        </w:tc>
        <w:tc>
          <w:tcPr>
            <w:tcW w:w="454" w:type="pct"/>
            <w:shd w:val="clear" w:color="000000" w:fill="FBD4D7"/>
            <w:noWrap/>
            <w:hideMark/>
          </w:tcPr>
          <w:p w14:paraId="15DCCAAB" w14:textId="56616FB1"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16,6</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BC1C4"/>
            <w:noWrap/>
            <w:vAlign w:val="bottom"/>
            <w:hideMark/>
          </w:tcPr>
          <w:p w14:paraId="5257B05A" w14:textId="1B93D3A8"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16,7</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CEFF2"/>
            <w:noWrap/>
            <w:vAlign w:val="bottom"/>
            <w:hideMark/>
          </w:tcPr>
          <w:p w14:paraId="0915494F" w14:textId="72D14E9D"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15,8</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000000" w:fill="EBF0F9"/>
            <w:noWrap/>
            <w:vAlign w:val="bottom"/>
            <w:hideMark/>
          </w:tcPr>
          <w:p w14:paraId="10AA22A9" w14:textId="304BDD1E"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14,6</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tcBorders>
              <w:top w:val="single" w:sz="4" w:space="0" w:color="auto"/>
              <w:left w:val="single" w:sz="4" w:space="0" w:color="auto"/>
              <w:bottom w:val="single" w:sz="4" w:space="0" w:color="auto"/>
              <w:right w:val="single" w:sz="4" w:space="0" w:color="auto"/>
            </w:tcBorders>
            <w:shd w:val="clear" w:color="000000" w:fill="FCE9EC"/>
            <w:noWrap/>
            <w:vAlign w:val="bottom"/>
            <w:hideMark/>
          </w:tcPr>
          <w:p w14:paraId="6A006164" w14:textId="77A0FCE8"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15,9</w:t>
            </w:r>
            <w:r w:rsidR="00D63448">
              <w:rPr>
                <w:rFonts w:ascii="Calibri" w:hAnsi="Calibri" w:cs="Calibri"/>
                <w:color w:val="000000"/>
                <w:sz w:val="18"/>
                <w:szCs w:val="18"/>
              </w:rPr>
              <w:t xml:space="preserve"> </w:t>
            </w:r>
            <w:r>
              <w:rPr>
                <w:rFonts w:ascii="Calibri" w:hAnsi="Calibri" w:cs="Calibri"/>
                <w:color w:val="000000"/>
                <w:sz w:val="18"/>
                <w:szCs w:val="18"/>
              </w:rPr>
              <w:t>%</w:t>
            </w:r>
          </w:p>
        </w:tc>
      </w:tr>
      <w:tr w:rsidR="006704AF" w:rsidRPr="00F511ED" w14:paraId="5E8E6504" w14:textId="77777777" w:rsidTr="000C49A5">
        <w:trPr>
          <w:trHeight w:val="57"/>
        </w:trPr>
        <w:tc>
          <w:tcPr>
            <w:tcW w:w="455" w:type="pct"/>
            <w:shd w:val="clear" w:color="auto" w:fill="auto"/>
            <w:vAlign w:val="bottom"/>
            <w:hideMark/>
          </w:tcPr>
          <w:p w14:paraId="7CF32432"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Čtvrtek</w:t>
            </w:r>
          </w:p>
        </w:tc>
        <w:tc>
          <w:tcPr>
            <w:tcW w:w="455" w:type="pct"/>
            <w:shd w:val="clear" w:color="000000" w:fill="ECF0F9"/>
            <w:noWrap/>
            <w:hideMark/>
          </w:tcPr>
          <w:p w14:paraId="16C08961"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78</w:t>
            </w:r>
          </w:p>
        </w:tc>
        <w:tc>
          <w:tcPr>
            <w:tcW w:w="454" w:type="pct"/>
            <w:shd w:val="clear" w:color="000000" w:fill="FBD7DA"/>
            <w:noWrap/>
            <w:hideMark/>
          </w:tcPr>
          <w:p w14:paraId="73630169"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89</w:t>
            </w:r>
          </w:p>
        </w:tc>
        <w:tc>
          <w:tcPr>
            <w:tcW w:w="454" w:type="pct"/>
            <w:shd w:val="clear" w:color="000000" w:fill="FCF4F7"/>
            <w:noWrap/>
            <w:hideMark/>
          </w:tcPr>
          <w:p w14:paraId="383A1BAC"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84</w:t>
            </w:r>
          </w:p>
        </w:tc>
        <w:tc>
          <w:tcPr>
            <w:tcW w:w="456" w:type="pct"/>
            <w:shd w:val="clear" w:color="000000" w:fill="FBBABD"/>
            <w:noWrap/>
            <w:hideMark/>
          </w:tcPr>
          <w:p w14:paraId="28445925"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94</w:t>
            </w:r>
          </w:p>
        </w:tc>
        <w:tc>
          <w:tcPr>
            <w:tcW w:w="454" w:type="pct"/>
            <w:tcBorders>
              <w:top w:val="nil"/>
              <w:left w:val="single" w:sz="4" w:space="0" w:color="auto"/>
              <w:bottom w:val="single" w:sz="4" w:space="0" w:color="auto"/>
              <w:right w:val="single" w:sz="4" w:space="0" w:color="auto"/>
            </w:tcBorders>
            <w:shd w:val="clear" w:color="auto" w:fill="auto"/>
          </w:tcPr>
          <w:p w14:paraId="611CBB1A"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345</w:t>
            </w:r>
          </w:p>
        </w:tc>
        <w:tc>
          <w:tcPr>
            <w:tcW w:w="454" w:type="pct"/>
            <w:shd w:val="clear" w:color="000000" w:fill="E5EBF6"/>
            <w:noWrap/>
            <w:hideMark/>
          </w:tcPr>
          <w:p w14:paraId="2642CC68" w14:textId="7306B815"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14,3</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AAEB1"/>
            <w:noWrap/>
            <w:vAlign w:val="bottom"/>
            <w:hideMark/>
          </w:tcPr>
          <w:p w14:paraId="6BA88433" w14:textId="112B9A78"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17,1</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CDCDF"/>
            <w:noWrap/>
            <w:vAlign w:val="bottom"/>
            <w:hideMark/>
          </w:tcPr>
          <w:p w14:paraId="3AE4913D" w14:textId="62C1C808"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16,2</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000000" w:fill="FBFBFE"/>
            <w:noWrap/>
            <w:vAlign w:val="bottom"/>
            <w:hideMark/>
          </w:tcPr>
          <w:p w14:paraId="6DA49C9C" w14:textId="696EA0C3"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15,5</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tcBorders>
              <w:top w:val="single" w:sz="4" w:space="0" w:color="auto"/>
              <w:left w:val="single" w:sz="4" w:space="0" w:color="auto"/>
              <w:bottom w:val="single" w:sz="4" w:space="0" w:color="auto"/>
              <w:right w:val="single" w:sz="4" w:space="0" w:color="auto"/>
            </w:tcBorders>
            <w:shd w:val="clear" w:color="000000" w:fill="FCF2F5"/>
            <w:noWrap/>
            <w:vAlign w:val="bottom"/>
            <w:hideMark/>
          </w:tcPr>
          <w:p w14:paraId="5F190980" w14:textId="761348EA"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15,7</w:t>
            </w:r>
            <w:r w:rsidR="00D63448">
              <w:rPr>
                <w:rFonts w:ascii="Calibri" w:hAnsi="Calibri" w:cs="Calibri"/>
                <w:color w:val="000000"/>
                <w:sz w:val="18"/>
                <w:szCs w:val="18"/>
              </w:rPr>
              <w:t xml:space="preserve"> </w:t>
            </w:r>
            <w:r>
              <w:rPr>
                <w:rFonts w:ascii="Calibri" w:hAnsi="Calibri" w:cs="Calibri"/>
                <w:color w:val="000000"/>
                <w:sz w:val="18"/>
                <w:szCs w:val="18"/>
              </w:rPr>
              <w:t>%</w:t>
            </w:r>
          </w:p>
        </w:tc>
      </w:tr>
      <w:tr w:rsidR="006704AF" w:rsidRPr="00F511ED" w14:paraId="24F0FA9C" w14:textId="77777777" w:rsidTr="000C49A5">
        <w:trPr>
          <w:trHeight w:val="57"/>
        </w:trPr>
        <w:tc>
          <w:tcPr>
            <w:tcW w:w="455" w:type="pct"/>
            <w:shd w:val="clear" w:color="auto" w:fill="auto"/>
            <w:vAlign w:val="bottom"/>
            <w:hideMark/>
          </w:tcPr>
          <w:p w14:paraId="17C62B6A"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Pátek</w:t>
            </w:r>
          </w:p>
        </w:tc>
        <w:tc>
          <w:tcPr>
            <w:tcW w:w="455" w:type="pct"/>
            <w:shd w:val="clear" w:color="000000" w:fill="F8696B"/>
            <w:noWrap/>
            <w:hideMark/>
          </w:tcPr>
          <w:p w14:paraId="287C36A2"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108</w:t>
            </w:r>
          </w:p>
        </w:tc>
        <w:tc>
          <w:tcPr>
            <w:tcW w:w="454" w:type="pct"/>
            <w:shd w:val="clear" w:color="000000" w:fill="EFF3FA"/>
            <w:noWrap/>
            <w:hideMark/>
          </w:tcPr>
          <w:p w14:paraId="4048B660"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79</w:t>
            </w:r>
          </w:p>
        </w:tc>
        <w:tc>
          <w:tcPr>
            <w:tcW w:w="454" w:type="pct"/>
            <w:shd w:val="clear" w:color="000000" w:fill="FAAFB1"/>
            <w:noWrap/>
            <w:hideMark/>
          </w:tcPr>
          <w:p w14:paraId="40894C54"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96</w:t>
            </w:r>
          </w:p>
        </w:tc>
        <w:tc>
          <w:tcPr>
            <w:tcW w:w="456" w:type="pct"/>
            <w:shd w:val="clear" w:color="000000" w:fill="F96F71"/>
            <w:noWrap/>
            <w:hideMark/>
          </w:tcPr>
          <w:p w14:paraId="6E4208FB"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107</w:t>
            </w:r>
          </w:p>
        </w:tc>
        <w:tc>
          <w:tcPr>
            <w:tcW w:w="454" w:type="pct"/>
            <w:tcBorders>
              <w:top w:val="nil"/>
              <w:left w:val="single" w:sz="4" w:space="0" w:color="auto"/>
              <w:bottom w:val="single" w:sz="4" w:space="0" w:color="auto"/>
              <w:right w:val="single" w:sz="4" w:space="0" w:color="auto"/>
            </w:tcBorders>
            <w:shd w:val="clear" w:color="auto" w:fill="auto"/>
          </w:tcPr>
          <w:p w14:paraId="765F768C"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390</w:t>
            </w:r>
          </w:p>
        </w:tc>
        <w:tc>
          <w:tcPr>
            <w:tcW w:w="454" w:type="pct"/>
            <w:shd w:val="clear" w:color="000000" w:fill="F8696B"/>
            <w:noWrap/>
            <w:hideMark/>
          </w:tcPr>
          <w:p w14:paraId="4753D251" w14:textId="63D0F536"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19,7</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5F7FC"/>
            <w:noWrap/>
            <w:vAlign w:val="bottom"/>
            <w:hideMark/>
          </w:tcPr>
          <w:p w14:paraId="75B85832" w14:textId="50D1972E"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15,2</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F8696B"/>
            <w:noWrap/>
            <w:vAlign w:val="bottom"/>
            <w:hideMark/>
          </w:tcPr>
          <w:p w14:paraId="3C1C7026" w14:textId="3F23C36E"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18,5</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000000" w:fill="FA9497"/>
            <w:noWrap/>
            <w:vAlign w:val="bottom"/>
            <w:hideMark/>
          </w:tcPr>
          <w:p w14:paraId="2A07308E" w14:textId="541A4303"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17,6</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tcBorders>
              <w:top w:val="single" w:sz="4" w:space="0" w:color="auto"/>
              <w:left w:val="single" w:sz="4" w:space="0" w:color="auto"/>
              <w:bottom w:val="single" w:sz="4" w:space="0" w:color="auto"/>
              <w:right w:val="single" w:sz="4" w:space="0" w:color="auto"/>
            </w:tcBorders>
            <w:shd w:val="clear" w:color="000000" w:fill="F98C8F"/>
            <w:noWrap/>
            <w:vAlign w:val="bottom"/>
            <w:hideMark/>
          </w:tcPr>
          <w:p w14:paraId="70DE8DC0" w14:textId="5CE123EE"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17,8</w:t>
            </w:r>
            <w:r w:rsidR="00D63448">
              <w:rPr>
                <w:rFonts w:ascii="Calibri" w:hAnsi="Calibri" w:cs="Calibri"/>
                <w:color w:val="000000"/>
                <w:sz w:val="18"/>
                <w:szCs w:val="18"/>
              </w:rPr>
              <w:t xml:space="preserve"> </w:t>
            </w:r>
            <w:r>
              <w:rPr>
                <w:rFonts w:ascii="Calibri" w:hAnsi="Calibri" w:cs="Calibri"/>
                <w:color w:val="000000"/>
                <w:sz w:val="18"/>
                <w:szCs w:val="18"/>
              </w:rPr>
              <w:t>%</w:t>
            </w:r>
          </w:p>
        </w:tc>
      </w:tr>
      <w:tr w:rsidR="006704AF" w:rsidRPr="00F511ED" w14:paraId="2285143F" w14:textId="77777777" w:rsidTr="000C49A5">
        <w:trPr>
          <w:trHeight w:val="57"/>
        </w:trPr>
        <w:tc>
          <w:tcPr>
            <w:tcW w:w="455" w:type="pct"/>
            <w:shd w:val="clear" w:color="auto" w:fill="auto"/>
            <w:vAlign w:val="bottom"/>
            <w:hideMark/>
          </w:tcPr>
          <w:p w14:paraId="4BCAEFE3"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Sobota</w:t>
            </w:r>
          </w:p>
        </w:tc>
        <w:tc>
          <w:tcPr>
            <w:tcW w:w="455" w:type="pct"/>
            <w:shd w:val="clear" w:color="000000" w:fill="9FBBDE"/>
            <w:noWrap/>
            <w:hideMark/>
          </w:tcPr>
          <w:p w14:paraId="4361C0AA"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56</w:t>
            </w:r>
          </w:p>
        </w:tc>
        <w:tc>
          <w:tcPr>
            <w:tcW w:w="454" w:type="pct"/>
            <w:shd w:val="clear" w:color="000000" w:fill="98B6DC"/>
            <w:noWrap/>
            <w:hideMark/>
          </w:tcPr>
          <w:p w14:paraId="18291480"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54</w:t>
            </w:r>
          </w:p>
        </w:tc>
        <w:tc>
          <w:tcPr>
            <w:tcW w:w="454" w:type="pct"/>
            <w:shd w:val="clear" w:color="000000" w:fill="9CB8DD"/>
            <w:noWrap/>
            <w:hideMark/>
          </w:tcPr>
          <w:p w14:paraId="7B0424B3"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55</w:t>
            </w:r>
          </w:p>
        </w:tc>
        <w:tc>
          <w:tcPr>
            <w:tcW w:w="456" w:type="pct"/>
            <w:shd w:val="clear" w:color="000000" w:fill="ADC4E3"/>
            <w:noWrap/>
            <w:hideMark/>
          </w:tcPr>
          <w:p w14:paraId="6900DBB0"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60</w:t>
            </w:r>
          </w:p>
        </w:tc>
        <w:tc>
          <w:tcPr>
            <w:tcW w:w="454" w:type="pct"/>
            <w:tcBorders>
              <w:top w:val="nil"/>
              <w:left w:val="single" w:sz="4" w:space="0" w:color="auto"/>
              <w:bottom w:val="single" w:sz="4" w:space="0" w:color="auto"/>
              <w:right w:val="single" w:sz="4" w:space="0" w:color="auto"/>
            </w:tcBorders>
            <w:shd w:val="clear" w:color="auto" w:fill="auto"/>
          </w:tcPr>
          <w:p w14:paraId="60F8E818"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225</w:t>
            </w:r>
          </w:p>
        </w:tc>
        <w:tc>
          <w:tcPr>
            <w:tcW w:w="454" w:type="pct"/>
            <w:shd w:val="clear" w:color="000000" w:fill="98B6DC"/>
            <w:noWrap/>
            <w:hideMark/>
          </w:tcPr>
          <w:p w14:paraId="47ECD5E8" w14:textId="625C14EC"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10,2</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9AB7DC"/>
            <w:noWrap/>
            <w:vAlign w:val="bottom"/>
            <w:hideMark/>
          </w:tcPr>
          <w:p w14:paraId="63D7026A" w14:textId="13A19249"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10,4</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9EBADE"/>
            <w:noWrap/>
            <w:vAlign w:val="bottom"/>
            <w:hideMark/>
          </w:tcPr>
          <w:p w14:paraId="4A84943E" w14:textId="5A0D3BB6"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10,6</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000000" w:fill="91B1D9"/>
            <w:noWrap/>
            <w:vAlign w:val="bottom"/>
            <w:hideMark/>
          </w:tcPr>
          <w:p w14:paraId="5B37F267" w14:textId="0E89B2B1"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9,9</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tcBorders>
              <w:top w:val="single" w:sz="4" w:space="0" w:color="auto"/>
              <w:left w:val="single" w:sz="4" w:space="0" w:color="auto"/>
              <w:bottom w:val="single" w:sz="4" w:space="0" w:color="auto"/>
              <w:right w:val="single" w:sz="4" w:space="0" w:color="auto"/>
            </w:tcBorders>
            <w:shd w:val="clear" w:color="000000" w:fill="98B6DC"/>
            <w:noWrap/>
            <w:vAlign w:val="bottom"/>
            <w:hideMark/>
          </w:tcPr>
          <w:p w14:paraId="0C5B3821" w14:textId="442C4318"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10,2</w:t>
            </w:r>
            <w:r w:rsidR="00D63448">
              <w:rPr>
                <w:rFonts w:ascii="Calibri" w:hAnsi="Calibri" w:cs="Calibri"/>
                <w:color w:val="000000"/>
                <w:sz w:val="18"/>
                <w:szCs w:val="18"/>
              </w:rPr>
              <w:t xml:space="preserve"> </w:t>
            </w:r>
            <w:r>
              <w:rPr>
                <w:rFonts w:ascii="Calibri" w:hAnsi="Calibri" w:cs="Calibri"/>
                <w:color w:val="000000"/>
                <w:sz w:val="18"/>
                <w:szCs w:val="18"/>
              </w:rPr>
              <w:t>%</w:t>
            </w:r>
          </w:p>
        </w:tc>
      </w:tr>
      <w:tr w:rsidR="006704AF" w:rsidRPr="00F511ED" w14:paraId="38901323" w14:textId="77777777" w:rsidTr="000C49A5">
        <w:trPr>
          <w:trHeight w:val="57"/>
        </w:trPr>
        <w:tc>
          <w:tcPr>
            <w:tcW w:w="455" w:type="pct"/>
            <w:shd w:val="clear" w:color="auto" w:fill="auto"/>
            <w:vAlign w:val="bottom"/>
            <w:hideMark/>
          </w:tcPr>
          <w:p w14:paraId="66666896"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Neděle</w:t>
            </w:r>
          </w:p>
        </w:tc>
        <w:tc>
          <w:tcPr>
            <w:tcW w:w="455" w:type="pct"/>
            <w:shd w:val="clear" w:color="000000" w:fill="6793CA"/>
            <w:noWrap/>
            <w:hideMark/>
          </w:tcPr>
          <w:p w14:paraId="01C72913"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40</w:t>
            </w:r>
          </w:p>
        </w:tc>
        <w:tc>
          <w:tcPr>
            <w:tcW w:w="454" w:type="pct"/>
            <w:shd w:val="clear" w:color="000000" w:fill="83A7D4"/>
            <w:noWrap/>
            <w:hideMark/>
          </w:tcPr>
          <w:p w14:paraId="507F6491"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48</w:t>
            </w:r>
          </w:p>
        </w:tc>
        <w:tc>
          <w:tcPr>
            <w:tcW w:w="454" w:type="pct"/>
            <w:shd w:val="clear" w:color="000000" w:fill="5A8AC6"/>
            <w:noWrap/>
            <w:hideMark/>
          </w:tcPr>
          <w:p w14:paraId="4241DE07"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36</w:t>
            </w:r>
          </w:p>
        </w:tc>
        <w:tc>
          <w:tcPr>
            <w:tcW w:w="456" w:type="pct"/>
            <w:shd w:val="clear" w:color="000000" w:fill="B1C7E4"/>
            <w:noWrap/>
            <w:hideMark/>
          </w:tcPr>
          <w:p w14:paraId="73EF8ABB"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61</w:t>
            </w:r>
          </w:p>
        </w:tc>
        <w:tc>
          <w:tcPr>
            <w:tcW w:w="454" w:type="pct"/>
            <w:tcBorders>
              <w:top w:val="nil"/>
              <w:left w:val="single" w:sz="4" w:space="0" w:color="auto"/>
              <w:bottom w:val="single" w:sz="4" w:space="0" w:color="auto"/>
              <w:right w:val="single" w:sz="4" w:space="0" w:color="auto"/>
            </w:tcBorders>
            <w:shd w:val="clear" w:color="auto" w:fill="auto"/>
          </w:tcPr>
          <w:p w14:paraId="47AA201E"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185</w:t>
            </w:r>
          </w:p>
        </w:tc>
        <w:tc>
          <w:tcPr>
            <w:tcW w:w="454" w:type="pct"/>
            <w:shd w:val="clear" w:color="000000" w:fill="618FC8"/>
            <w:noWrap/>
            <w:hideMark/>
          </w:tcPr>
          <w:p w14:paraId="649F0639" w14:textId="019B88B1"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7,3</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85A8D5"/>
            <w:noWrap/>
            <w:vAlign w:val="bottom"/>
            <w:hideMark/>
          </w:tcPr>
          <w:p w14:paraId="43BEA50E" w14:textId="3875B471"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9,2</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000000" w:fill="5A8AC6"/>
            <w:noWrap/>
            <w:vAlign w:val="bottom"/>
            <w:hideMark/>
          </w:tcPr>
          <w:p w14:paraId="03CED697" w14:textId="48B88C69"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6,9</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000000" w:fill="94B3DA"/>
            <w:noWrap/>
            <w:vAlign w:val="bottom"/>
            <w:hideMark/>
          </w:tcPr>
          <w:p w14:paraId="310B23CA" w14:textId="5398F9A8"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10,0</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tcBorders>
              <w:top w:val="single" w:sz="4" w:space="0" w:color="auto"/>
              <w:left w:val="single" w:sz="4" w:space="0" w:color="auto"/>
              <w:bottom w:val="single" w:sz="4" w:space="0" w:color="auto"/>
              <w:right w:val="single" w:sz="4" w:space="0" w:color="auto"/>
            </w:tcBorders>
            <w:shd w:val="clear" w:color="000000" w:fill="769DCF"/>
            <w:noWrap/>
            <w:vAlign w:val="bottom"/>
            <w:hideMark/>
          </w:tcPr>
          <w:p w14:paraId="1368DA6C" w14:textId="7116BD31"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8,4</w:t>
            </w:r>
            <w:r w:rsidR="00D63448">
              <w:rPr>
                <w:rFonts w:ascii="Calibri" w:hAnsi="Calibri" w:cs="Calibri"/>
                <w:color w:val="000000"/>
                <w:sz w:val="18"/>
                <w:szCs w:val="18"/>
              </w:rPr>
              <w:t xml:space="preserve"> </w:t>
            </w:r>
            <w:r>
              <w:rPr>
                <w:rFonts w:ascii="Calibri" w:hAnsi="Calibri" w:cs="Calibri"/>
                <w:color w:val="000000"/>
                <w:sz w:val="18"/>
                <w:szCs w:val="18"/>
              </w:rPr>
              <w:t>%</w:t>
            </w:r>
          </w:p>
        </w:tc>
      </w:tr>
      <w:tr w:rsidR="006704AF" w:rsidRPr="00F511ED" w14:paraId="623F51CD" w14:textId="77777777" w:rsidTr="000C49A5">
        <w:trPr>
          <w:trHeight w:val="57"/>
        </w:trPr>
        <w:tc>
          <w:tcPr>
            <w:tcW w:w="455" w:type="pct"/>
            <w:shd w:val="clear" w:color="auto" w:fill="auto"/>
            <w:vAlign w:val="bottom"/>
            <w:hideMark/>
          </w:tcPr>
          <w:p w14:paraId="0A3AFE82" w14:textId="77777777" w:rsidR="006704AF" w:rsidRPr="00F511ED" w:rsidRDefault="006704AF" w:rsidP="000C49A5">
            <w:pPr>
              <w:keepNext/>
              <w:spacing w:before="0"/>
              <w:jc w:val="left"/>
              <w:rPr>
                <w:rFonts w:eastAsia="Times New Roman" w:cstheme="minorHAnsi"/>
                <w:color w:val="000000"/>
                <w:sz w:val="18"/>
                <w:szCs w:val="18"/>
                <w:lang w:eastAsia="cs-CZ"/>
              </w:rPr>
            </w:pPr>
            <w:r w:rsidRPr="00F511ED">
              <w:rPr>
                <w:rFonts w:eastAsia="Times New Roman" w:cstheme="minorHAnsi"/>
                <w:color w:val="000000"/>
                <w:sz w:val="18"/>
                <w:szCs w:val="18"/>
                <w:lang w:eastAsia="cs-CZ"/>
              </w:rPr>
              <w:t>Celkem</w:t>
            </w:r>
          </w:p>
        </w:tc>
        <w:tc>
          <w:tcPr>
            <w:tcW w:w="455" w:type="pct"/>
            <w:shd w:val="clear" w:color="000000" w:fill="CEE9D7"/>
            <w:noWrap/>
            <w:hideMark/>
          </w:tcPr>
          <w:p w14:paraId="14427E12"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547</w:t>
            </w:r>
          </w:p>
        </w:tc>
        <w:tc>
          <w:tcPr>
            <w:tcW w:w="454" w:type="pct"/>
            <w:shd w:val="clear" w:color="000000" w:fill="FBFCFE"/>
            <w:noWrap/>
            <w:hideMark/>
          </w:tcPr>
          <w:p w14:paraId="55EB3EE5"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521</w:t>
            </w:r>
          </w:p>
        </w:tc>
        <w:tc>
          <w:tcPr>
            <w:tcW w:w="454" w:type="pct"/>
            <w:shd w:val="clear" w:color="000000" w:fill="FCFCFF"/>
            <w:noWrap/>
            <w:hideMark/>
          </w:tcPr>
          <w:p w14:paraId="3CD8C689"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520</w:t>
            </w:r>
          </w:p>
        </w:tc>
        <w:tc>
          <w:tcPr>
            <w:tcW w:w="456" w:type="pct"/>
            <w:shd w:val="clear" w:color="000000" w:fill="63BE7B"/>
            <w:noWrap/>
            <w:hideMark/>
          </w:tcPr>
          <w:p w14:paraId="63454C76" w14:textId="7777777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608</w:t>
            </w:r>
          </w:p>
        </w:tc>
        <w:tc>
          <w:tcPr>
            <w:tcW w:w="454" w:type="pct"/>
            <w:tcBorders>
              <w:top w:val="nil"/>
              <w:left w:val="single" w:sz="4" w:space="0" w:color="auto"/>
              <w:bottom w:val="single" w:sz="4" w:space="0" w:color="auto"/>
              <w:right w:val="single" w:sz="4" w:space="0" w:color="auto"/>
            </w:tcBorders>
            <w:shd w:val="clear" w:color="auto" w:fill="auto"/>
          </w:tcPr>
          <w:p w14:paraId="74932AC6" w14:textId="77777777" w:rsidR="006704AF" w:rsidRPr="00F511ED" w:rsidRDefault="006704AF" w:rsidP="000C49A5">
            <w:pPr>
              <w:keepNext/>
              <w:spacing w:before="0"/>
              <w:jc w:val="right"/>
              <w:rPr>
                <w:rFonts w:eastAsia="Times New Roman" w:cstheme="minorHAnsi"/>
                <w:color w:val="000000"/>
                <w:sz w:val="18"/>
                <w:szCs w:val="18"/>
                <w:lang w:eastAsia="cs-CZ"/>
              </w:rPr>
            </w:pPr>
            <w:r>
              <w:rPr>
                <w:rFonts w:ascii="Calibri" w:hAnsi="Calibri" w:cs="Calibri"/>
                <w:color w:val="000000"/>
                <w:sz w:val="18"/>
                <w:szCs w:val="18"/>
              </w:rPr>
              <w:t>2 196</w:t>
            </w:r>
          </w:p>
        </w:tc>
        <w:tc>
          <w:tcPr>
            <w:tcW w:w="454" w:type="pct"/>
            <w:shd w:val="clear" w:color="auto" w:fill="auto"/>
            <w:noWrap/>
            <w:hideMark/>
          </w:tcPr>
          <w:p w14:paraId="4CDCDAF3" w14:textId="56155C6B"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100</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auto" w:fill="auto"/>
            <w:noWrap/>
            <w:hideMark/>
          </w:tcPr>
          <w:p w14:paraId="4FC88135" w14:textId="16981630"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100</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auto" w:fill="auto"/>
            <w:noWrap/>
            <w:hideMark/>
          </w:tcPr>
          <w:p w14:paraId="5A119B6E" w14:textId="6AEF6312"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100</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6" w:type="pct"/>
            <w:shd w:val="clear" w:color="auto" w:fill="auto"/>
            <w:noWrap/>
            <w:hideMark/>
          </w:tcPr>
          <w:p w14:paraId="7084A83E" w14:textId="2EAE7534"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100</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c>
          <w:tcPr>
            <w:tcW w:w="454" w:type="pct"/>
            <w:shd w:val="clear" w:color="auto" w:fill="auto"/>
            <w:noWrap/>
            <w:vAlign w:val="bottom"/>
            <w:hideMark/>
          </w:tcPr>
          <w:p w14:paraId="2C375832" w14:textId="1064F9F7" w:rsidR="006704AF" w:rsidRPr="00F511ED" w:rsidRDefault="006704AF" w:rsidP="000C49A5">
            <w:pPr>
              <w:keepNext/>
              <w:spacing w:before="0"/>
              <w:jc w:val="right"/>
              <w:rPr>
                <w:rFonts w:eastAsia="Times New Roman" w:cstheme="minorHAnsi"/>
                <w:color w:val="000000"/>
                <w:sz w:val="18"/>
                <w:szCs w:val="18"/>
                <w:lang w:eastAsia="cs-CZ"/>
              </w:rPr>
            </w:pPr>
            <w:r w:rsidRPr="00F511ED">
              <w:rPr>
                <w:rFonts w:eastAsia="Times New Roman" w:cstheme="minorHAnsi"/>
                <w:color w:val="000000"/>
                <w:sz w:val="18"/>
                <w:szCs w:val="18"/>
                <w:lang w:eastAsia="cs-CZ"/>
              </w:rPr>
              <w:t>100</w:t>
            </w:r>
            <w:r w:rsidR="00D63448">
              <w:rPr>
                <w:rFonts w:eastAsia="Times New Roman" w:cstheme="minorHAnsi"/>
                <w:color w:val="000000"/>
                <w:sz w:val="18"/>
                <w:szCs w:val="18"/>
                <w:lang w:eastAsia="cs-CZ"/>
              </w:rPr>
              <w:t xml:space="preserve"> </w:t>
            </w:r>
            <w:r w:rsidRPr="00F511ED">
              <w:rPr>
                <w:rFonts w:eastAsia="Times New Roman" w:cstheme="minorHAnsi"/>
                <w:color w:val="000000"/>
                <w:sz w:val="18"/>
                <w:szCs w:val="18"/>
                <w:lang w:eastAsia="cs-CZ"/>
              </w:rPr>
              <w:t>%</w:t>
            </w:r>
          </w:p>
        </w:tc>
      </w:tr>
    </w:tbl>
    <w:p w14:paraId="323204EF" w14:textId="56F37D28" w:rsidR="006704AF" w:rsidRDefault="006704AF" w:rsidP="006704AF">
      <w:pPr>
        <w:pStyle w:val="Zdroj"/>
      </w:pPr>
      <w:r>
        <w:t>Zdroj: Policie ČR</w:t>
      </w:r>
      <w:r w:rsidR="00D63448">
        <w:t>.</w:t>
      </w:r>
    </w:p>
    <w:p w14:paraId="43F40809" w14:textId="730EC307" w:rsidR="006704AF" w:rsidRDefault="006704AF" w:rsidP="006704AF">
      <w:pPr>
        <w:keepLines/>
      </w:pPr>
      <w:r>
        <w:t>Při dopravních nehodách ve Zlíně zemřel mezi lety 2016</w:t>
      </w:r>
      <w:r w:rsidR="00D63448">
        <w:t xml:space="preserve"> </w:t>
      </w:r>
      <w:r w:rsidR="00D63448">
        <w:sym w:font="Symbol" w:char="F02D"/>
      </w:r>
      <w:r w:rsidR="00D63448">
        <w:t xml:space="preserve"> </w:t>
      </w:r>
      <w:r>
        <w:t xml:space="preserve">2019 jeden člověk, 55 bylo těžce zraněno, 620 lehce zraněno a celková hmotná škoda byla 649 mil. Kč. </w:t>
      </w:r>
    </w:p>
    <w:p w14:paraId="03E5187D" w14:textId="0A6C2161" w:rsidR="006704AF" w:rsidRDefault="006704AF" w:rsidP="006704AF">
      <w:pPr>
        <w:pStyle w:val="Titulek"/>
        <w:keepNext/>
      </w:pPr>
      <w:bookmarkStart w:id="382" w:name="_Toc48222562"/>
      <w:bookmarkStart w:id="383" w:name="_Toc52963383"/>
      <w:bookmarkStart w:id="384" w:name="_Toc77074736"/>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56</w:t>
      </w:r>
      <w:r w:rsidR="00081B47">
        <w:rPr>
          <w:noProof/>
        </w:rPr>
        <w:fldChar w:fldCharType="end"/>
      </w:r>
      <w:r w:rsidR="00FF4A0A">
        <w:rPr>
          <w:noProof/>
        </w:rPr>
        <w:t>:</w:t>
      </w:r>
      <w:r>
        <w:t xml:space="preserve"> Následky nehod ve Zlíně (2016</w:t>
      </w:r>
      <w:r w:rsidR="00FF4A0A">
        <w:t xml:space="preserve"> </w:t>
      </w:r>
      <w:r w:rsidR="00FF4A0A">
        <w:sym w:font="Symbol" w:char="F02D"/>
      </w:r>
      <w:r w:rsidR="00FF4A0A">
        <w:t xml:space="preserve"> </w:t>
      </w:r>
      <w:r>
        <w:t>2019)</w:t>
      </w:r>
      <w:bookmarkEnd w:id="382"/>
      <w:bookmarkEnd w:id="383"/>
      <w:bookmarkEnd w:id="384"/>
    </w:p>
    <w:tbl>
      <w:tblPr>
        <w:tblW w:w="0" w:type="auto"/>
        <w:tblLayout w:type="fixed"/>
        <w:tblCellMar>
          <w:left w:w="70" w:type="dxa"/>
          <w:right w:w="70" w:type="dxa"/>
        </w:tblCellMar>
        <w:tblLook w:val="04A0" w:firstRow="1" w:lastRow="0" w:firstColumn="1" w:lastColumn="0" w:noHBand="0" w:noVBand="1"/>
      </w:tblPr>
      <w:tblGrid>
        <w:gridCol w:w="2473"/>
        <w:gridCol w:w="865"/>
        <w:gridCol w:w="865"/>
        <w:gridCol w:w="865"/>
        <w:gridCol w:w="865"/>
        <w:gridCol w:w="866"/>
      </w:tblGrid>
      <w:tr w:rsidR="006704AF" w:rsidRPr="00D34DE1" w14:paraId="25F46665" w14:textId="77777777" w:rsidTr="000C49A5">
        <w:trPr>
          <w:trHeight w:val="240"/>
        </w:trPr>
        <w:tc>
          <w:tcPr>
            <w:tcW w:w="247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6E93760" w14:textId="77777777" w:rsidR="006704AF" w:rsidRPr="00D34DE1" w:rsidRDefault="006704AF" w:rsidP="000C49A5">
            <w:pPr>
              <w:keepNext/>
              <w:spacing w:before="0"/>
              <w:jc w:val="center"/>
              <w:rPr>
                <w:rFonts w:ascii="Calibri" w:eastAsia="Times New Roman" w:hAnsi="Calibri" w:cs="Calibri"/>
                <w:b/>
                <w:bCs/>
                <w:color w:val="000000"/>
                <w:sz w:val="18"/>
                <w:szCs w:val="18"/>
                <w:lang w:eastAsia="cs-CZ"/>
              </w:rPr>
            </w:pPr>
            <w:r w:rsidRPr="00D34DE1">
              <w:rPr>
                <w:rFonts w:ascii="Calibri" w:eastAsia="Times New Roman" w:hAnsi="Calibri" w:cs="Calibri"/>
                <w:b/>
                <w:bCs/>
                <w:color w:val="000000"/>
                <w:sz w:val="18"/>
                <w:szCs w:val="18"/>
                <w:lang w:eastAsia="cs-CZ"/>
              </w:rPr>
              <w:t>Následky nehod</w:t>
            </w:r>
          </w:p>
        </w:tc>
        <w:tc>
          <w:tcPr>
            <w:tcW w:w="865" w:type="dxa"/>
            <w:tcBorders>
              <w:top w:val="single" w:sz="4" w:space="0" w:color="auto"/>
              <w:left w:val="nil"/>
              <w:bottom w:val="single" w:sz="4" w:space="0" w:color="auto"/>
              <w:right w:val="single" w:sz="4" w:space="0" w:color="auto"/>
            </w:tcBorders>
            <w:shd w:val="clear" w:color="000000" w:fill="F2F2F2"/>
            <w:noWrap/>
            <w:vAlign w:val="center"/>
            <w:hideMark/>
          </w:tcPr>
          <w:p w14:paraId="3BFE07B0" w14:textId="77777777" w:rsidR="006704AF" w:rsidRPr="00D34DE1" w:rsidRDefault="006704AF" w:rsidP="000C49A5">
            <w:pPr>
              <w:keepNext/>
              <w:spacing w:before="0"/>
              <w:jc w:val="center"/>
              <w:rPr>
                <w:rFonts w:ascii="Calibri" w:eastAsia="Times New Roman" w:hAnsi="Calibri" w:cs="Calibri"/>
                <w:b/>
                <w:bCs/>
                <w:color w:val="000000"/>
                <w:sz w:val="18"/>
                <w:szCs w:val="18"/>
                <w:lang w:eastAsia="cs-CZ"/>
              </w:rPr>
            </w:pPr>
            <w:r w:rsidRPr="00D34DE1">
              <w:rPr>
                <w:rFonts w:ascii="Calibri" w:eastAsia="Times New Roman" w:hAnsi="Calibri" w:cs="Calibri"/>
                <w:b/>
                <w:bCs/>
                <w:color w:val="000000"/>
                <w:sz w:val="18"/>
                <w:szCs w:val="18"/>
                <w:lang w:eastAsia="cs-CZ"/>
              </w:rPr>
              <w:t>2016</w:t>
            </w:r>
          </w:p>
        </w:tc>
        <w:tc>
          <w:tcPr>
            <w:tcW w:w="865" w:type="dxa"/>
            <w:tcBorders>
              <w:top w:val="single" w:sz="4" w:space="0" w:color="auto"/>
              <w:left w:val="nil"/>
              <w:bottom w:val="single" w:sz="4" w:space="0" w:color="auto"/>
              <w:right w:val="single" w:sz="4" w:space="0" w:color="auto"/>
            </w:tcBorders>
            <w:shd w:val="clear" w:color="000000" w:fill="F2F2F2"/>
            <w:noWrap/>
            <w:vAlign w:val="center"/>
            <w:hideMark/>
          </w:tcPr>
          <w:p w14:paraId="1B79AC0E" w14:textId="77777777" w:rsidR="006704AF" w:rsidRPr="00D34DE1" w:rsidRDefault="006704AF" w:rsidP="000C49A5">
            <w:pPr>
              <w:keepNext/>
              <w:spacing w:before="0"/>
              <w:jc w:val="center"/>
              <w:rPr>
                <w:rFonts w:ascii="Calibri" w:eastAsia="Times New Roman" w:hAnsi="Calibri" w:cs="Calibri"/>
                <w:b/>
                <w:bCs/>
                <w:color w:val="000000"/>
                <w:sz w:val="18"/>
                <w:szCs w:val="18"/>
                <w:lang w:eastAsia="cs-CZ"/>
              </w:rPr>
            </w:pPr>
            <w:r w:rsidRPr="00D34DE1">
              <w:rPr>
                <w:rFonts w:ascii="Calibri" w:eastAsia="Times New Roman" w:hAnsi="Calibri" w:cs="Calibri"/>
                <w:b/>
                <w:bCs/>
                <w:color w:val="000000"/>
                <w:sz w:val="18"/>
                <w:szCs w:val="18"/>
                <w:lang w:eastAsia="cs-CZ"/>
              </w:rPr>
              <w:t>2017</w:t>
            </w:r>
          </w:p>
        </w:tc>
        <w:tc>
          <w:tcPr>
            <w:tcW w:w="865" w:type="dxa"/>
            <w:tcBorders>
              <w:top w:val="single" w:sz="4" w:space="0" w:color="auto"/>
              <w:left w:val="nil"/>
              <w:bottom w:val="single" w:sz="4" w:space="0" w:color="auto"/>
              <w:right w:val="single" w:sz="4" w:space="0" w:color="auto"/>
            </w:tcBorders>
            <w:shd w:val="clear" w:color="000000" w:fill="F2F2F2"/>
            <w:noWrap/>
            <w:vAlign w:val="center"/>
            <w:hideMark/>
          </w:tcPr>
          <w:p w14:paraId="25CA42A5" w14:textId="77777777" w:rsidR="006704AF" w:rsidRPr="00D34DE1" w:rsidRDefault="006704AF" w:rsidP="000C49A5">
            <w:pPr>
              <w:keepNext/>
              <w:spacing w:before="0"/>
              <w:jc w:val="center"/>
              <w:rPr>
                <w:rFonts w:ascii="Calibri" w:eastAsia="Times New Roman" w:hAnsi="Calibri" w:cs="Calibri"/>
                <w:b/>
                <w:bCs/>
                <w:color w:val="000000"/>
                <w:sz w:val="18"/>
                <w:szCs w:val="18"/>
                <w:lang w:eastAsia="cs-CZ"/>
              </w:rPr>
            </w:pPr>
            <w:r w:rsidRPr="00D34DE1">
              <w:rPr>
                <w:rFonts w:ascii="Calibri" w:eastAsia="Times New Roman" w:hAnsi="Calibri" w:cs="Calibri"/>
                <w:b/>
                <w:bCs/>
                <w:color w:val="000000"/>
                <w:sz w:val="18"/>
                <w:szCs w:val="18"/>
                <w:lang w:eastAsia="cs-CZ"/>
              </w:rPr>
              <w:t>2018</w:t>
            </w:r>
          </w:p>
        </w:tc>
        <w:tc>
          <w:tcPr>
            <w:tcW w:w="865" w:type="dxa"/>
            <w:tcBorders>
              <w:top w:val="single" w:sz="4" w:space="0" w:color="auto"/>
              <w:left w:val="nil"/>
              <w:bottom w:val="single" w:sz="4" w:space="0" w:color="auto"/>
              <w:right w:val="single" w:sz="4" w:space="0" w:color="auto"/>
            </w:tcBorders>
            <w:shd w:val="clear" w:color="000000" w:fill="F2F2F2"/>
            <w:noWrap/>
            <w:vAlign w:val="center"/>
            <w:hideMark/>
          </w:tcPr>
          <w:p w14:paraId="5B6B7833" w14:textId="77777777" w:rsidR="006704AF" w:rsidRPr="00D34DE1" w:rsidRDefault="006704AF" w:rsidP="000C49A5">
            <w:pPr>
              <w:keepNext/>
              <w:spacing w:before="0"/>
              <w:jc w:val="center"/>
              <w:rPr>
                <w:rFonts w:ascii="Calibri" w:eastAsia="Times New Roman" w:hAnsi="Calibri" w:cs="Calibri"/>
                <w:b/>
                <w:bCs/>
                <w:color w:val="000000"/>
                <w:sz w:val="18"/>
                <w:szCs w:val="18"/>
                <w:lang w:eastAsia="cs-CZ"/>
              </w:rPr>
            </w:pPr>
            <w:r w:rsidRPr="00D34DE1">
              <w:rPr>
                <w:rFonts w:ascii="Calibri" w:eastAsia="Times New Roman" w:hAnsi="Calibri" w:cs="Calibri"/>
                <w:b/>
                <w:bCs/>
                <w:color w:val="000000"/>
                <w:sz w:val="18"/>
                <w:szCs w:val="18"/>
                <w:lang w:eastAsia="cs-CZ"/>
              </w:rPr>
              <w:t>2019</w:t>
            </w:r>
          </w:p>
        </w:tc>
        <w:tc>
          <w:tcPr>
            <w:tcW w:w="866" w:type="dxa"/>
            <w:tcBorders>
              <w:top w:val="single" w:sz="4" w:space="0" w:color="auto"/>
              <w:left w:val="nil"/>
              <w:bottom w:val="single" w:sz="4" w:space="0" w:color="auto"/>
              <w:right w:val="single" w:sz="4" w:space="0" w:color="auto"/>
            </w:tcBorders>
            <w:shd w:val="clear" w:color="000000" w:fill="F2F2F2"/>
            <w:noWrap/>
            <w:vAlign w:val="center"/>
            <w:hideMark/>
          </w:tcPr>
          <w:p w14:paraId="44EF2893" w14:textId="77777777" w:rsidR="006704AF" w:rsidRPr="00D34DE1" w:rsidRDefault="006704AF" w:rsidP="000C49A5">
            <w:pPr>
              <w:keepNext/>
              <w:spacing w:before="0"/>
              <w:jc w:val="center"/>
              <w:rPr>
                <w:rFonts w:ascii="Calibri" w:eastAsia="Times New Roman" w:hAnsi="Calibri" w:cs="Calibri"/>
                <w:b/>
                <w:bCs/>
                <w:color w:val="000000"/>
                <w:sz w:val="18"/>
                <w:szCs w:val="18"/>
                <w:lang w:eastAsia="cs-CZ"/>
              </w:rPr>
            </w:pPr>
            <w:r w:rsidRPr="00D34DE1">
              <w:rPr>
                <w:rFonts w:ascii="Calibri" w:eastAsia="Times New Roman" w:hAnsi="Calibri" w:cs="Calibri"/>
                <w:b/>
                <w:bCs/>
                <w:color w:val="000000"/>
                <w:sz w:val="18"/>
                <w:szCs w:val="18"/>
                <w:lang w:eastAsia="cs-CZ"/>
              </w:rPr>
              <w:t>Celkem</w:t>
            </w:r>
          </w:p>
        </w:tc>
      </w:tr>
      <w:tr w:rsidR="006704AF" w:rsidRPr="00D34DE1" w14:paraId="52BBE6D2" w14:textId="77777777" w:rsidTr="000C49A5">
        <w:trPr>
          <w:trHeight w:val="240"/>
        </w:trPr>
        <w:tc>
          <w:tcPr>
            <w:tcW w:w="2473" w:type="dxa"/>
            <w:tcBorders>
              <w:top w:val="nil"/>
              <w:left w:val="single" w:sz="4" w:space="0" w:color="auto"/>
              <w:bottom w:val="single" w:sz="4" w:space="0" w:color="auto"/>
              <w:right w:val="single" w:sz="4" w:space="0" w:color="auto"/>
            </w:tcBorders>
            <w:shd w:val="clear" w:color="auto" w:fill="auto"/>
            <w:noWrap/>
            <w:vAlign w:val="bottom"/>
            <w:hideMark/>
          </w:tcPr>
          <w:p w14:paraId="2C09061C" w14:textId="77777777" w:rsidR="006704AF" w:rsidRPr="00D34DE1" w:rsidRDefault="006704AF" w:rsidP="000C49A5">
            <w:pPr>
              <w:keepNext/>
              <w:spacing w:before="0"/>
              <w:jc w:val="lef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Usmrceno osob</w:t>
            </w:r>
          </w:p>
        </w:tc>
        <w:tc>
          <w:tcPr>
            <w:tcW w:w="865" w:type="dxa"/>
            <w:tcBorders>
              <w:top w:val="nil"/>
              <w:left w:val="nil"/>
              <w:bottom w:val="single" w:sz="4" w:space="0" w:color="auto"/>
              <w:right w:val="single" w:sz="4" w:space="0" w:color="auto"/>
            </w:tcBorders>
            <w:shd w:val="clear" w:color="auto" w:fill="auto"/>
            <w:noWrap/>
            <w:vAlign w:val="bottom"/>
            <w:hideMark/>
          </w:tcPr>
          <w:p w14:paraId="713C3CB5"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0</w:t>
            </w:r>
          </w:p>
        </w:tc>
        <w:tc>
          <w:tcPr>
            <w:tcW w:w="865" w:type="dxa"/>
            <w:tcBorders>
              <w:top w:val="nil"/>
              <w:left w:val="nil"/>
              <w:bottom w:val="single" w:sz="4" w:space="0" w:color="auto"/>
              <w:right w:val="single" w:sz="4" w:space="0" w:color="auto"/>
            </w:tcBorders>
            <w:shd w:val="clear" w:color="auto" w:fill="auto"/>
            <w:noWrap/>
            <w:vAlign w:val="bottom"/>
            <w:hideMark/>
          </w:tcPr>
          <w:p w14:paraId="2EF1D21B"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w:t>
            </w:r>
          </w:p>
        </w:tc>
        <w:tc>
          <w:tcPr>
            <w:tcW w:w="865" w:type="dxa"/>
            <w:tcBorders>
              <w:top w:val="nil"/>
              <w:left w:val="nil"/>
              <w:bottom w:val="single" w:sz="4" w:space="0" w:color="auto"/>
              <w:right w:val="single" w:sz="4" w:space="0" w:color="auto"/>
            </w:tcBorders>
            <w:shd w:val="clear" w:color="auto" w:fill="auto"/>
            <w:noWrap/>
            <w:vAlign w:val="bottom"/>
            <w:hideMark/>
          </w:tcPr>
          <w:p w14:paraId="0E163472"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0</w:t>
            </w:r>
          </w:p>
        </w:tc>
        <w:tc>
          <w:tcPr>
            <w:tcW w:w="865" w:type="dxa"/>
            <w:tcBorders>
              <w:top w:val="nil"/>
              <w:left w:val="nil"/>
              <w:bottom w:val="single" w:sz="4" w:space="0" w:color="auto"/>
              <w:right w:val="single" w:sz="4" w:space="0" w:color="auto"/>
            </w:tcBorders>
            <w:shd w:val="clear" w:color="auto" w:fill="auto"/>
            <w:noWrap/>
            <w:vAlign w:val="bottom"/>
            <w:hideMark/>
          </w:tcPr>
          <w:p w14:paraId="04E6BCB4"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0</w:t>
            </w:r>
          </w:p>
        </w:tc>
        <w:tc>
          <w:tcPr>
            <w:tcW w:w="866" w:type="dxa"/>
            <w:tcBorders>
              <w:top w:val="nil"/>
              <w:left w:val="nil"/>
              <w:bottom w:val="single" w:sz="4" w:space="0" w:color="auto"/>
              <w:right w:val="single" w:sz="4" w:space="0" w:color="auto"/>
            </w:tcBorders>
            <w:shd w:val="clear" w:color="auto" w:fill="auto"/>
            <w:noWrap/>
            <w:vAlign w:val="bottom"/>
            <w:hideMark/>
          </w:tcPr>
          <w:p w14:paraId="22E1FD37"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w:t>
            </w:r>
          </w:p>
        </w:tc>
      </w:tr>
      <w:tr w:rsidR="006704AF" w:rsidRPr="00D34DE1" w14:paraId="745DA850" w14:textId="77777777" w:rsidTr="000C49A5">
        <w:trPr>
          <w:trHeight w:val="240"/>
        </w:trPr>
        <w:tc>
          <w:tcPr>
            <w:tcW w:w="2473" w:type="dxa"/>
            <w:tcBorders>
              <w:top w:val="nil"/>
              <w:left w:val="single" w:sz="4" w:space="0" w:color="auto"/>
              <w:bottom w:val="single" w:sz="4" w:space="0" w:color="auto"/>
              <w:right w:val="single" w:sz="4" w:space="0" w:color="auto"/>
            </w:tcBorders>
            <w:shd w:val="clear" w:color="auto" w:fill="auto"/>
            <w:noWrap/>
            <w:vAlign w:val="bottom"/>
            <w:hideMark/>
          </w:tcPr>
          <w:p w14:paraId="0D92D6D7" w14:textId="77777777" w:rsidR="006704AF" w:rsidRPr="00D34DE1" w:rsidRDefault="006704AF" w:rsidP="000C49A5">
            <w:pPr>
              <w:keepNext/>
              <w:spacing w:before="0"/>
              <w:jc w:val="lef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Těžce zraněno osob</w:t>
            </w:r>
          </w:p>
        </w:tc>
        <w:tc>
          <w:tcPr>
            <w:tcW w:w="865" w:type="dxa"/>
            <w:tcBorders>
              <w:top w:val="nil"/>
              <w:left w:val="nil"/>
              <w:bottom w:val="single" w:sz="4" w:space="0" w:color="auto"/>
              <w:right w:val="single" w:sz="4" w:space="0" w:color="auto"/>
            </w:tcBorders>
            <w:shd w:val="clear" w:color="auto" w:fill="auto"/>
            <w:noWrap/>
            <w:vAlign w:val="bottom"/>
            <w:hideMark/>
          </w:tcPr>
          <w:p w14:paraId="5548B3B2"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14</w:t>
            </w:r>
          </w:p>
        </w:tc>
        <w:tc>
          <w:tcPr>
            <w:tcW w:w="865" w:type="dxa"/>
            <w:tcBorders>
              <w:top w:val="nil"/>
              <w:left w:val="nil"/>
              <w:bottom w:val="single" w:sz="4" w:space="0" w:color="auto"/>
              <w:right w:val="single" w:sz="4" w:space="0" w:color="auto"/>
            </w:tcBorders>
            <w:shd w:val="clear" w:color="auto" w:fill="auto"/>
            <w:noWrap/>
            <w:vAlign w:val="bottom"/>
            <w:hideMark/>
          </w:tcPr>
          <w:p w14:paraId="61229957"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20</w:t>
            </w:r>
          </w:p>
        </w:tc>
        <w:tc>
          <w:tcPr>
            <w:tcW w:w="865" w:type="dxa"/>
            <w:tcBorders>
              <w:top w:val="nil"/>
              <w:left w:val="nil"/>
              <w:bottom w:val="single" w:sz="4" w:space="0" w:color="auto"/>
              <w:right w:val="single" w:sz="4" w:space="0" w:color="auto"/>
            </w:tcBorders>
            <w:shd w:val="clear" w:color="auto" w:fill="auto"/>
            <w:noWrap/>
            <w:vAlign w:val="bottom"/>
            <w:hideMark/>
          </w:tcPr>
          <w:p w14:paraId="07618B1B"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11</w:t>
            </w:r>
          </w:p>
        </w:tc>
        <w:tc>
          <w:tcPr>
            <w:tcW w:w="865" w:type="dxa"/>
            <w:tcBorders>
              <w:top w:val="nil"/>
              <w:left w:val="nil"/>
              <w:bottom w:val="single" w:sz="4" w:space="0" w:color="auto"/>
              <w:right w:val="single" w:sz="4" w:space="0" w:color="auto"/>
            </w:tcBorders>
            <w:shd w:val="clear" w:color="auto" w:fill="auto"/>
            <w:noWrap/>
            <w:vAlign w:val="bottom"/>
            <w:hideMark/>
          </w:tcPr>
          <w:p w14:paraId="44223EE2"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10</w:t>
            </w:r>
          </w:p>
        </w:tc>
        <w:tc>
          <w:tcPr>
            <w:tcW w:w="866" w:type="dxa"/>
            <w:tcBorders>
              <w:top w:val="nil"/>
              <w:left w:val="nil"/>
              <w:bottom w:val="single" w:sz="4" w:space="0" w:color="auto"/>
              <w:right w:val="single" w:sz="4" w:space="0" w:color="auto"/>
            </w:tcBorders>
            <w:shd w:val="clear" w:color="auto" w:fill="auto"/>
            <w:noWrap/>
            <w:vAlign w:val="bottom"/>
            <w:hideMark/>
          </w:tcPr>
          <w:p w14:paraId="70D34727"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55</w:t>
            </w:r>
          </w:p>
        </w:tc>
      </w:tr>
      <w:tr w:rsidR="006704AF" w:rsidRPr="00D34DE1" w14:paraId="0D82597E" w14:textId="77777777" w:rsidTr="000C49A5">
        <w:trPr>
          <w:trHeight w:val="240"/>
        </w:trPr>
        <w:tc>
          <w:tcPr>
            <w:tcW w:w="2473" w:type="dxa"/>
            <w:tcBorders>
              <w:top w:val="nil"/>
              <w:left w:val="single" w:sz="4" w:space="0" w:color="auto"/>
              <w:bottom w:val="single" w:sz="4" w:space="0" w:color="auto"/>
              <w:right w:val="single" w:sz="4" w:space="0" w:color="auto"/>
            </w:tcBorders>
            <w:shd w:val="clear" w:color="auto" w:fill="auto"/>
            <w:noWrap/>
            <w:vAlign w:val="bottom"/>
            <w:hideMark/>
          </w:tcPr>
          <w:p w14:paraId="480EFCB9" w14:textId="77777777" w:rsidR="006704AF" w:rsidRPr="00D34DE1" w:rsidRDefault="006704AF" w:rsidP="000C49A5">
            <w:pPr>
              <w:keepNext/>
              <w:spacing w:before="0"/>
              <w:jc w:val="lef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Lehce zraněno osob</w:t>
            </w:r>
          </w:p>
        </w:tc>
        <w:tc>
          <w:tcPr>
            <w:tcW w:w="865" w:type="dxa"/>
            <w:tcBorders>
              <w:top w:val="nil"/>
              <w:left w:val="nil"/>
              <w:bottom w:val="single" w:sz="4" w:space="0" w:color="auto"/>
              <w:right w:val="single" w:sz="4" w:space="0" w:color="auto"/>
            </w:tcBorders>
            <w:shd w:val="clear" w:color="auto" w:fill="auto"/>
            <w:noWrap/>
            <w:vAlign w:val="bottom"/>
            <w:hideMark/>
          </w:tcPr>
          <w:p w14:paraId="02022232"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161</w:t>
            </w:r>
          </w:p>
        </w:tc>
        <w:tc>
          <w:tcPr>
            <w:tcW w:w="865" w:type="dxa"/>
            <w:tcBorders>
              <w:top w:val="nil"/>
              <w:left w:val="nil"/>
              <w:bottom w:val="single" w:sz="4" w:space="0" w:color="auto"/>
              <w:right w:val="single" w:sz="4" w:space="0" w:color="auto"/>
            </w:tcBorders>
            <w:shd w:val="clear" w:color="auto" w:fill="auto"/>
            <w:noWrap/>
            <w:vAlign w:val="bottom"/>
            <w:hideMark/>
          </w:tcPr>
          <w:p w14:paraId="26E69B9A"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175</w:t>
            </w:r>
          </w:p>
        </w:tc>
        <w:tc>
          <w:tcPr>
            <w:tcW w:w="865" w:type="dxa"/>
            <w:tcBorders>
              <w:top w:val="nil"/>
              <w:left w:val="nil"/>
              <w:bottom w:val="single" w:sz="4" w:space="0" w:color="auto"/>
              <w:right w:val="single" w:sz="4" w:space="0" w:color="auto"/>
            </w:tcBorders>
            <w:shd w:val="clear" w:color="auto" w:fill="auto"/>
            <w:noWrap/>
            <w:vAlign w:val="bottom"/>
            <w:hideMark/>
          </w:tcPr>
          <w:p w14:paraId="77EC28B4"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137</w:t>
            </w:r>
          </w:p>
        </w:tc>
        <w:tc>
          <w:tcPr>
            <w:tcW w:w="865" w:type="dxa"/>
            <w:tcBorders>
              <w:top w:val="nil"/>
              <w:left w:val="nil"/>
              <w:bottom w:val="single" w:sz="4" w:space="0" w:color="auto"/>
              <w:right w:val="single" w:sz="4" w:space="0" w:color="auto"/>
            </w:tcBorders>
            <w:shd w:val="clear" w:color="auto" w:fill="auto"/>
            <w:noWrap/>
            <w:vAlign w:val="bottom"/>
            <w:hideMark/>
          </w:tcPr>
          <w:p w14:paraId="39E2765B"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147</w:t>
            </w:r>
          </w:p>
        </w:tc>
        <w:tc>
          <w:tcPr>
            <w:tcW w:w="866" w:type="dxa"/>
            <w:tcBorders>
              <w:top w:val="nil"/>
              <w:left w:val="nil"/>
              <w:bottom w:val="single" w:sz="4" w:space="0" w:color="auto"/>
              <w:right w:val="single" w:sz="4" w:space="0" w:color="auto"/>
            </w:tcBorders>
            <w:shd w:val="clear" w:color="auto" w:fill="auto"/>
            <w:noWrap/>
            <w:vAlign w:val="bottom"/>
            <w:hideMark/>
          </w:tcPr>
          <w:p w14:paraId="3FE3495D"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620</w:t>
            </w:r>
          </w:p>
        </w:tc>
      </w:tr>
      <w:tr w:rsidR="006704AF" w:rsidRPr="00D34DE1" w14:paraId="1FC7D241" w14:textId="77777777" w:rsidTr="000C49A5">
        <w:trPr>
          <w:trHeight w:val="240"/>
        </w:trPr>
        <w:tc>
          <w:tcPr>
            <w:tcW w:w="2473" w:type="dxa"/>
            <w:tcBorders>
              <w:top w:val="nil"/>
              <w:left w:val="single" w:sz="4" w:space="0" w:color="auto"/>
              <w:bottom w:val="single" w:sz="4" w:space="0" w:color="auto"/>
              <w:right w:val="single" w:sz="4" w:space="0" w:color="auto"/>
            </w:tcBorders>
            <w:shd w:val="clear" w:color="auto" w:fill="auto"/>
            <w:noWrap/>
            <w:vAlign w:val="bottom"/>
            <w:hideMark/>
          </w:tcPr>
          <w:p w14:paraId="5CAFEF0B" w14:textId="6409DA82" w:rsidR="006704AF" w:rsidRPr="00D34DE1" w:rsidRDefault="006704AF" w:rsidP="00FF4A0A">
            <w:pPr>
              <w:keepNext/>
              <w:spacing w:before="0"/>
              <w:jc w:val="lef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Celková hmotná škoda (mil. Kč)</w:t>
            </w:r>
          </w:p>
        </w:tc>
        <w:tc>
          <w:tcPr>
            <w:tcW w:w="865" w:type="dxa"/>
            <w:tcBorders>
              <w:top w:val="nil"/>
              <w:left w:val="nil"/>
              <w:bottom w:val="single" w:sz="4" w:space="0" w:color="auto"/>
              <w:right w:val="single" w:sz="4" w:space="0" w:color="auto"/>
            </w:tcBorders>
            <w:shd w:val="clear" w:color="auto" w:fill="auto"/>
            <w:noWrap/>
            <w:vAlign w:val="bottom"/>
            <w:hideMark/>
          </w:tcPr>
          <w:p w14:paraId="647262A5"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143,1</w:t>
            </w:r>
          </w:p>
        </w:tc>
        <w:tc>
          <w:tcPr>
            <w:tcW w:w="865" w:type="dxa"/>
            <w:tcBorders>
              <w:top w:val="nil"/>
              <w:left w:val="nil"/>
              <w:bottom w:val="single" w:sz="4" w:space="0" w:color="auto"/>
              <w:right w:val="single" w:sz="4" w:space="0" w:color="auto"/>
            </w:tcBorders>
            <w:shd w:val="clear" w:color="auto" w:fill="auto"/>
            <w:noWrap/>
            <w:vAlign w:val="bottom"/>
            <w:hideMark/>
          </w:tcPr>
          <w:p w14:paraId="133F3221"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154,4</w:t>
            </w:r>
          </w:p>
        </w:tc>
        <w:tc>
          <w:tcPr>
            <w:tcW w:w="865" w:type="dxa"/>
            <w:tcBorders>
              <w:top w:val="nil"/>
              <w:left w:val="nil"/>
              <w:bottom w:val="single" w:sz="4" w:space="0" w:color="auto"/>
              <w:right w:val="single" w:sz="4" w:space="0" w:color="auto"/>
            </w:tcBorders>
            <w:shd w:val="clear" w:color="auto" w:fill="auto"/>
            <w:noWrap/>
            <w:vAlign w:val="bottom"/>
            <w:hideMark/>
          </w:tcPr>
          <w:p w14:paraId="7A72DBD3"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154,7</w:t>
            </w:r>
          </w:p>
        </w:tc>
        <w:tc>
          <w:tcPr>
            <w:tcW w:w="865" w:type="dxa"/>
            <w:tcBorders>
              <w:top w:val="nil"/>
              <w:left w:val="nil"/>
              <w:bottom w:val="single" w:sz="4" w:space="0" w:color="auto"/>
              <w:right w:val="single" w:sz="4" w:space="0" w:color="auto"/>
            </w:tcBorders>
            <w:shd w:val="clear" w:color="auto" w:fill="auto"/>
            <w:noWrap/>
            <w:vAlign w:val="bottom"/>
            <w:hideMark/>
          </w:tcPr>
          <w:p w14:paraId="23682491"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196,8</w:t>
            </w:r>
          </w:p>
        </w:tc>
        <w:tc>
          <w:tcPr>
            <w:tcW w:w="866" w:type="dxa"/>
            <w:tcBorders>
              <w:top w:val="nil"/>
              <w:left w:val="nil"/>
              <w:bottom w:val="single" w:sz="4" w:space="0" w:color="auto"/>
              <w:right w:val="single" w:sz="4" w:space="0" w:color="auto"/>
            </w:tcBorders>
            <w:shd w:val="clear" w:color="auto" w:fill="auto"/>
            <w:noWrap/>
            <w:vAlign w:val="bottom"/>
            <w:hideMark/>
          </w:tcPr>
          <w:p w14:paraId="6D4F8C57" w14:textId="77777777" w:rsidR="006704AF" w:rsidRPr="00D34DE1" w:rsidRDefault="006704AF" w:rsidP="000C49A5">
            <w:pPr>
              <w:keepNext/>
              <w:spacing w:before="0"/>
              <w:jc w:val="right"/>
              <w:rPr>
                <w:rFonts w:ascii="Calibri" w:eastAsia="Times New Roman" w:hAnsi="Calibri" w:cs="Calibri"/>
                <w:color w:val="000000"/>
                <w:sz w:val="18"/>
                <w:szCs w:val="18"/>
                <w:lang w:eastAsia="cs-CZ"/>
              </w:rPr>
            </w:pPr>
            <w:r w:rsidRPr="00D34DE1">
              <w:rPr>
                <w:rFonts w:ascii="Calibri" w:eastAsia="Times New Roman" w:hAnsi="Calibri" w:cs="Calibri"/>
                <w:color w:val="000000"/>
                <w:sz w:val="18"/>
                <w:szCs w:val="18"/>
                <w:lang w:eastAsia="cs-CZ"/>
              </w:rPr>
              <w:t>649,0</w:t>
            </w:r>
          </w:p>
        </w:tc>
      </w:tr>
    </w:tbl>
    <w:p w14:paraId="4FD9C9C6" w14:textId="69109753" w:rsidR="006704AF" w:rsidRDefault="006704AF" w:rsidP="006704AF">
      <w:pPr>
        <w:pStyle w:val="Zdroj"/>
      </w:pPr>
      <w:r>
        <w:t>Zdroj: Policie ČR</w:t>
      </w:r>
      <w:r w:rsidR="00FF4A0A">
        <w:t>.</w:t>
      </w:r>
    </w:p>
    <w:p w14:paraId="711E99AD" w14:textId="098C3E43" w:rsidR="006704AF" w:rsidRDefault="006704AF" w:rsidP="006704AF">
      <w:r>
        <w:t>Z celkového počtu dopravních nehod v roce 2019 bylo přes 40 % v důsledku srážky se zaparkovaným nebo odstaveným vozidlem, 21 % v důsledku srážky s pevnou překážkou a 19 % v důsledku srážky s jiným vozidlem. V roce 2019 se událo 43 dopravních nehod s chodci, 2 nehody byly v důsledku srážky s vlakem. Prostorové znázornění dopravních nehod ve Zlíně v r</w:t>
      </w:r>
      <w:r w:rsidR="00E111E6">
        <w:t>oce 2019 znázorňuje obrázek 1.76</w:t>
      </w:r>
      <w:r>
        <w:t>.</w:t>
      </w:r>
    </w:p>
    <w:p w14:paraId="3DFA7F81" w14:textId="0E4F2596" w:rsidR="006704AF" w:rsidRDefault="006704AF" w:rsidP="006704AF">
      <w:pPr>
        <w:pStyle w:val="Titulek"/>
      </w:pPr>
      <w:bookmarkStart w:id="385" w:name="_Toc48222568"/>
      <w:bookmarkStart w:id="386" w:name="_Toc52963377"/>
      <w:bookmarkStart w:id="387" w:name="_Toc7707489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76</w:t>
      </w:r>
      <w:r w:rsidR="00804AF3">
        <w:rPr>
          <w:noProof/>
        </w:rPr>
        <w:fldChar w:fldCharType="end"/>
      </w:r>
      <w:r w:rsidR="00FF4A0A">
        <w:rPr>
          <w:noProof/>
        </w:rPr>
        <w:t>:</w:t>
      </w:r>
      <w:r>
        <w:t xml:space="preserve"> Intenzita dopravn</w:t>
      </w:r>
      <w:r w:rsidR="00FF4A0A">
        <w:t xml:space="preserve">ích nehod v letech 2016 </w:t>
      </w:r>
      <w:r w:rsidR="00FF4A0A">
        <w:sym w:font="Symbol" w:char="F02D"/>
      </w:r>
      <w:r w:rsidR="00FF4A0A">
        <w:t xml:space="preserve"> </w:t>
      </w:r>
      <w:r>
        <w:t>2019</w:t>
      </w:r>
      <w:bookmarkEnd w:id="385"/>
      <w:bookmarkEnd w:id="386"/>
      <w:bookmarkEnd w:id="387"/>
    </w:p>
    <w:p w14:paraId="4DFA42DE" w14:textId="77777777" w:rsidR="006704AF" w:rsidRDefault="006704AF" w:rsidP="006704AF">
      <w:r w:rsidRPr="00BF1B42">
        <w:rPr>
          <w:noProof/>
          <w:lang w:eastAsia="cs-CZ"/>
        </w:rPr>
        <w:drawing>
          <wp:inline distT="0" distB="0" distL="0" distR="0" wp14:anchorId="29A8667E" wp14:editId="3C70B4C8">
            <wp:extent cx="5699760" cy="4027741"/>
            <wp:effectExtent l="19050" t="19050" r="15240" b="11430"/>
            <wp:docPr id="325" name="Obrázek 325" descr="D:\PROCES\04_Projekty\2020_SP_Zlin\Doprava_Zlin_nehody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CES\04_Projekty\2020_SP_Zlin\Doprava_Zlin_nehody_v3.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45407" cy="4059998"/>
                    </a:xfrm>
                    <a:prstGeom prst="rect">
                      <a:avLst/>
                    </a:prstGeom>
                    <a:noFill/>
                    <a:ln>
                      <a:solidFill>
                        <a:schemeClr val="bg1">
                          <a:lumMod val="75000"/>
                        </a:schemeClr>
                      </a:solidFill>
                    </a:ln>
                  </pic:spPr>
                </pic:pic>
              </a:graphicData>
            </a:graphic>
          </wp:inline>
        </w:drawing>
      </w:r>
    </w:p>
    <w:p w14:paraId="14E411AC" w14:textId="6899EA6C" w:rsidR="006704AF" w:rsidRDefault="006704AF" w:rsidP="006704AF">
      <w:pPr>
        <w:pStyle w:val="Zdroj"/>
      </w:pPr>
      <w:r>
        <w:t>Zdroj: Policie ČR (2020), MVČR (2020), OSM (2020), ČÚZK (2020)</w:t>
      </w:r>
      <w:r w:rsidR="00FF4A0A">
        <w:t>.</w:t>
      </w:r>
    </w:p>
    <w:p w14:paraId="0C86B0DB" w14:textId="680F76A8" w:rsidR="006704AF" w:rsidRDefault="006704AF" w:rsidP="006704AF">
      <w:pPr>
        <w:keepLines/>
      </w:pPr>
      <w:r>
        <w:t>Nejvíce dopravních nehod ve v letech 2016</w:t>
      </w:r>
      <w:r w:rsidR="00FF4A0A">
        <w:t xml:space="preserve"> </w:t>
      </w:r>
      <w:r w:rsidR="00FF4A0A">
        <w:sym w:font="Symbol" w:char="F02D"/>
      </w:r>
      <w:r w:rsidR="00FF4A0A">
        <w:t xml:space="preserve"> </w:t>
      </w:r>
      <w:r>
        <w:t xml:space="preserve">2019 se odehrálo v centru města s největší intenzitou dopravy, konkrétně pak na křížení ulic tř. </w:t>
      </w:r>
      <w:r w:rsidRPr="0090518C">
        <w:rPr>
          <w:b/>
        </w:rPr>
        <w:t>T. Bati, Štefánikova a Gahurova, na přilehlém parkovišti u domu kultury a ul. J.</w:t>
      </w:r>
      <w:r w:rsidR="00FF4A0A">
        <w:rPr>
          <w:b/>
        </w:rPr>
        <w:t xml:space="preserve"> </w:t>
      </w:r>
      <w:r w:rsidRPr="0090518C">
        <w:rPr>
          <w:b/>
        </w:rPr>
        <w:t>A. Bati</w:t>
      </w:r>
      <w:r>
        <w:t>. Dalším</w:t>
      </w:r>
      <w:r w:rsidR="00FF4A0A">
        <w:t>i</w:t>
      </w:r>
      <w:r>
        <w:t xml:space="preserve"> místy s výskytem velkého počtu nehod jsou:</w:t>
      </w:r>
    </w:p>
    <w:p w14:paraId="263B6BF8" w14:textId="77777777" w:rsidR="006704AF" w:rsidRDefault="006704AF" w:rsidP="006704AF">
      <w:pPr>
        <w:pStyle w:val="Odstavecseseznamem"/>
        <w:keepLines/>
        <w:numPr>
          <w:ilvl w:val="0"/>
          <w:numId w:val="36"/>
        </w:numPr>
      </w:pPr>
      <w:r>
        <w:t>ul. Dlouhá, a to konkrétně u OC Zlaté jablko a na křížení s ul. Zarámí/Kvítková</w:t>
      </w:r>
    </w:p>
    <w:p w14:paraId="50A9DB97" w14:textId="77777777" w:rsidR="006704AF" w:rsidRDefault="006704AF" w:rsidP="006704AF">
      <w:pPr>
        <w:pStyle w:val="Odstavecseseznamem"/>
        <w:keepLines/>
        <w:numPr>
          <w:ilvl w:val="0"/>
          <w:numId w:val="36"/>
        </w:numPr>
      </w:pPr>
      <w:r>
        <w:t>parkoviště u obchodního centra Centro Zlín</w:t>
      </w:r>
    </w:p>
    <w:p w14:paraId="1F5A092C" w14:textId="77777777" w:rsidR="006704AF" w:rsidRDefault="006704AF" w:rsidP="006704AF">
      <w:pPr>
        <w:pStyle w:val="Odstavecseseznamem"/>
        <w:keepLines/>
        <w:numPr>
          <w:ilvl w:val="0"/>
          <w:numId w:val="36"/>
        </w:numPr>
      </w:pPr>
      <w:r>
        <w:t>křížení ul. T. Bati a Díly IV</w:t>
      </w:r>
    </w:p>
    <w:p w14:paraId="5C1EA43D" w14:textId="449A21CC" w:rsidR="006704AF" w:rsidRDefault="006704AF" w:rsidP="006704AF">
      <w:pPr>
        <w:pStyle w:val="Odstavecseseznamem"/>
        <w:keepLines/>
        <w:numPr>
          <w:ilvl w:val="0"/>
          <w:numId w:val="36"/>
        </w:numPr>
      </w:pPr>
      <w:r>
        <w:t>křížení ul. tř. T.</w:t>
      </w:r>
      <w:r w:rsidR="00FF4A0A">
        <w:t xml:space="preserve"> </w:t>
      </w:r>
      <w:r>
        <w:t>Bati a Přímá</w:t>
      </w:r>
    </w:p>
    <w:p w14:paraId="1E8FAE66" w14:textId="1F8D2183" w:rsidR="006704AF" w:rsidRDefault="006704AF" w:rsidP="006704AF">
      <w:r>
        <w:t xml:space="preserve">Pro doplnění jsou uvedena data za okres Zlín. </w:t>
      </w:r>
      <w:r w:rsidRPr="00170F1D">
        <w:t xml:space="preserve">V posledních letech dochází k pozvolnému nárůstu počtu dopravních nehod v okrese Zlín, jak ilustruje graf na obrázku </w:t>
      </w:r>
      <w:r w:rsidR="00E111E6">
        <w:t>1.77</w:t>
      </w:r>
      <w:r w:rsidRPr="00170F1D">
        <w:t>. Pozitivním faktem je skutečnost, že zatímco se absolutní počet nehod v okrese zvýšil, poměr usmrcených a</w:t>
      </w:r>
      <w:r>
        <w:t> </w:t>
      </w:r>
      <w:r w:rsidRPr="00170F1D">
        <w:t xml:space="preserve">zraněných k celkovému počtu </w:t>
      </w:r>
      <w:r w:rsidRPr="00170F1D">
        <w:lastRenderedPageBreak/>
        <w:t>nehod na silnicích okresu Zlín se mírně snížil. V roce 2018 zemřelo na následky dopravních nehod 7</w:t>
      </w:r>
      <w:r>
        <w:t> </w:t>
      </w:r>
      <w:r w:rsidRPr="00170F1D">
        <w:t>osob. Podíl nehod se zjištěným vlivem alkoholu mírně klesnul na 5,43 % v roce 2018.</w:t>
      </w:r>
      <w:r>
        <w:t xml:space="preserve"> </w:t>
      </w:r>
    </w:p>
    <w:p w14:paraId="0396F370" w14:textId="1E1329E0" w:rsidR="006704AF" w:rsidRDefault="006704AF" w:rsidP="006704AF">
      <w:pPr>
        <w:pStyle w:val="Titulek"/>
      </w:pPr>
      <w:bookmarkStart w:id="388" w:name="_Toc52963378"/>
      <w:bookmarkStart w:id="389" w:name="_Toc7707489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77</w:t>
      </w:r>
      <w:r w:rsidR="00804AF3">
        <w:rPr>
          <w:noProof/>
        </w:rPr>
        <w:fldChar w:fldCharType="end"/>
      </w:r>
      <w:r w:rsidR="00FF4A0A">
        <w:rPr>
          <w:noProof/>
        </w:rPr>
        <w:t>:</w:t>
      </w:r>
      <w:r>
        <w:t xml:space="preserve"> Vývoj celkového počtu dopravních nehod v okrese Zlín v letech 2012 </w:t>
      </w:r>
      <w:r w:rsidR="00FF4A0A">
        <w:sym w:font="Symbol" w:char="F02D"/>
      </w:r>
      <w:r>
        <w:t xml:space="preserve"> 2018</w:t>
      </w:r>
      <w:bookmarkEnd w:id="388"/>
      <w:bookmarkEnd w:id="389"/>
    </w:p>
    <w:p w14:paraId="5105D273" w14:textId="77777777" w:rsidR="006704AF" w:rsidRDefault="006704AF" w:rsidP="006704AF">
      <w:pPr>
        <w:jc w:val="left"/>
      </w:pPr>
      <w:r>
        <w:rPr>
          <w:noProof/>
          <w:lang w:eastAsia="cs-CZ"/>
        </w:rPr>
        <w:drawing>
          <wp:inline distT="0" distB="0" distL="0" distR="0" wp14:anchorId="4AD441A9" wp14:editId="4B199C17">
            <wp:extent cx="5760000" cy="2743200"/>
            <wp:effectExtent l="0" t="0" r="12700" b="0"/>
            <wp:docPr id="326" name="Graf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6767598C" w14:textId="77777777" w:rsidR="006704AF" w:rsidRPr="00FF4A0A" w:rsidRDefault="006704AF" w:rsidP="006704AF">
      <w:pPr>
        <w:pStyle w:val="Zdroj"/>
      </w:pPr>
      <w:r>
        <w:t xml:space="preserve">Zdroj: ČSÚ (2020): Kriminalita, nehody. </w:t>
      </w:r>
      <w:hyperlink r:id="rId123" w:history="1">
        <w:r w:rsidRPr="00FF4A0A">
          <w:rPr>
            <w:rStyle w:val="Hypertextovodkaz"/>
            <w:rFonts w:eastAsiaTheme="majorEastAsia"/>
            <w:color w:val="auto"/>
            <w:u w:val="none"/>
          </w:rPr>
          <w:t>https://vdb.czso.cz/</w:t>
        </w:r>
      </w:hyperlink>
    </w:p>
    <w:p w14:paraId="02E32C8D" w14:textId="1D979EF1" w:rsidR="006704AF" w:rsidRDefault="006704AF" w:rsidP="006704AF">
      <w:pPr>
        <w:pStyle w:val="Titulek"/>
      </w:pPr>
      <w:bookmarkStart w:id="390" w:name="_Toc52963379"/>
      <w:bookmarkStart w:id="391" w:name="_Toc77074896"/>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78</w:t>
      </w:r>
      <w:r w:rsidR="00804AF3">
        <w:rPr>
          <w:noProof/>
        </w:rPr>
        <w:fldChar w:fldCharType="end"/>
      </w:r>
      <w:r w:rsidR="00FF4A0A">
        <w:rPr>
          <w:noProof/>
        </w:rPr>
        <w:t>:</w:t>
      </w:r>
      <w:r>
        <w:t xml:space="preserve"> Srovnání vybraných ukazatelů dopravních nehod v okrese Zlín v letech 2012 </w:t>
      </w:r>
      <w:r w:rsidR="00FF4A0A">
        <w:sym w:font="Symbol" w:char="F02D"/>
      </w:r>
      <w:r>
        <w:t xml:space="preserve"> 2018</w:t>
      </w:r>
      <w:bookmarkEnd w:id="390"/>
      <w:bookmarkEnd w:id="391"/>
    </w:p>
    <w:p w14:paraId="6030C4C8" w14:textId="77777777" w:rsidR="006704AF" w:rsidRDefault="006704AF" w:rsidP="006704AF">
      <w:pPr>
        <w:jc w:val="left"/>
      </w:pPr>
      <w:r>
        <w:rPr>
          <w:noProof/>
          <w:lang w:eastAsia="cs-CZ"/>
        </w:rPr>
        <w:drawing>
          <wp:inline distT="0" distB="0" distL="0" distR="0" wp14:anchorId="156BBB4D" wp14:editId="60FD324B">
            <wp:extent cx="4543425" cy="3328940"/>
            <wp:effectExtent l="0" t="0" r="0" b="5080"/>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ehody_grafy3.png"/>
                    <pic:cNvPicPr/>
                  </pic:nvPicPr>
                  <pic:blipFill>
                    <a:blip r:embed="rId124">
                      <a:extLst>
                        <a:ext uri="{28A0092B-C50C-407E-A947-70E740481C1C}">
                          <a14:useLocalDpi xmlns:a14="http://schemas.microsoft.com/office/drawing/2010/main" val="0"/>
                        </a:ext>
                      </a:extLst>
                    </a:blip>
                    <a:stretch>
                      <a:fillRect/>
                    </a:stretch>
                  </pic:blipFill>
                  <pic:spPr>
                    <a:xfrm>
                      <a:off x="0" y="0"/>
                      <a:ext cx="4543425" cy="3328940"/>
                    </a:xfrm>
                    <a:prstGeom prst="rect">
                      <a:avLst/>
                    </a:prstGeom>
                  </pic:spPr>
                </pic:pic>
              </a:graphicData>
            </a:graphic>
          </wp:inline>
        </w:drawing>
      </w:r>
    </w:p>
    <w:p w14:paraId="49FA2944" w14:textId="3849DBC7" w:rsidR="006704AF" w:rsidRPr="00FF4A0A" w:rsidRDefault="006704AF" w:rsidP="006704AF">
      <w:pPr>
        <w:pStyle w:val="Zdroj"/>
        <w:rPr>
          <w:rStyle w:val="Hypertextovodkaz"/>
          <w:rFonts w:eastAsiaTheme="majorEastAsia"/>
          <w:color w:val="auto"/>
          <w:u w:val="none"/>
        </w:rPr>
      </w:pPr>
      <w:r>
        <w:t>Zdroj: ČSÚ</w:t>
      </w:r>
      <w:r w:rsidR="00FF4A0A">
        <w:t xml:space="preserve">, </w:t>
      </w:r>
      <w:r>
        <w:t xml:space="preserve">2020: Kriminalita, nehody. </w:t>
      </w:r>
      <w:hyperlink r:id="rId125" w:history="1">
        <w:r w:rsidRPr="00FF4A0A">
          <w:rPr>
            <w:rStyle w:val="Hypertextovodkaz"/>
            <w:rFonts w:eastAsiaTheme="majorEastAsia"/>
            <w:color w:val="auto"/>
            <w:u w:val="none"/>
          </w:rPr>
          <w:t>https://vdb.czso.cz/</w:t>
        </w:r>
      </w:hyperlink>
    </w:p>
    <w:p w14:paraId="1D0DE2CF" w14:textId="77777777" w:rsidR="006704AF" w:rsidRDefault="006704AF" w:rsidP="006704AF">
      <w:pPr>
        <w:pStyle w:val="Nadpis3"/>
        <w:ind w:left="720"/>
      </w:pPr>
      <w:bookmarkStart w:id="392" w:name="_Toc52963408"/>
      <w:bookmarkStart w:id="393" w:name="_Toc77074599"/>
      <w:r>
        <w:lastRenderedPageBreak/>
        <w:t>Dílčí shrnutí</w:t>
      </w:r>
      <w:bookmarkEnd w:id="392"/>
      <w:bookmarkEnd w:id="393"/>
    </w:p>
    <w:p w14:paraId="38C2CF27" w14:textId="77777777" w:rsidR="006704AF" w:rsidRDefault="006704AF" w:rsidP="006704AF">
      <w:pPr>
        <w:keepNext/>
        <w:keepLines/>
        <w:pBdr>
          <w:top w:val="single" w:sz="4" w:space="3" w:color="auto"/>
          <w:left w:val="single" w:sz="4" w:space="4" w:color="auto"/>
          <w:bottom w:val="single" w:sz="4" w:space="21" w:color="auto"/>
          <w:right w:val="single" w:sz="4" w:space="4" w:color="auto"/>
        </w:pBdr>
        <w:shd w:val="clear" w:color="auto" w:fill="D5DCE4" w:themeFill="text2" w:themeFillTint="33"/>
      </w:pPr>
      <w:r w:rsidRPr="00F2584F">
        <w:rPr>
          <w:b/>
        </w:rPr>
        <w:t>Hlavní zjištění</w:t>
      </w:r>
      <w:r w:rsidRPr="00F2584F">
        <w:t>:</w:t>
      </w:r>
    </w:p>
    <w:p w14:paraId="2491EE9A" w14:textId="77777777" w:rsidR="006704AF" w:rsidRDefault="006704AF" w:rsidP="006704AF">
      <w:pPr>
        <w:keepNext/>
        <w:keepLines/>
        <w:pBdr>
          <w:top w:val="single" w:sz="4" w:space="3" w:color="auto"/>
          <w:left w:val="single" w:sz="4" w:space="4" w:color="auto"/>
          <w:bottom w:val="single" w:sz="4" w:space="21" w:color="auto"/>
          <w:right w:val="single" w:sz="4" w:space="4" w:color="auto"/>
        </w:pBdr>
        <w:shd w:val="clear" w:color="auto" w:fill="D5DCE4" w:themeFill="text2" w:themeFillTint="33"/>
      </w:pPr>
    </w:p>
    <w:p w14:paraId="0D7B3ED9" w14:textId="048136C1" w:rsidR="006704AF" w:rsidRPr="00843A95"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Úroveň kriminality ve Zlíně je dlouhodobě nízká, celkový počet trestných činů poklesl mezi lety 2013 a 2019 o 30,5 % na 1</w:t>
      </w:r>
      <w:r w:rsidR="00FF4A0A">
        <w:rPr>
          <w:i/>
        </w:rPr>
        <w:t xml:space="preserve"> </w:t>
      </w:r>
      <w:r>
        <w:rPr>
          <w:i/>
        </w:rPr>
        <w:t>044 trestných činů v roce 2019. Klesá především počet krádeží a vloupání, naopak násilná kriminalita nebo ostatní majetková kriminalita stagnuje.</w:t>
      </w:r>
    </w:p>
    <w:p w14:paraId="4C26C773" w14:textId="5D3C51E6" w:rsidR="006704AF" w:rsidRPr="00843A95"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843A95">
        <w:rPr>
          <w:i/>
        </w:rPr>
        <w:t>Výrazná spolupráce a aktivní činnost k zajištění veřejného pořádku Městské policie Zlín spolu s</w:t>
      </w:r>
      <w:r w:rsidR="00FF4A0A">
        <w:rPr>
          <w:i/>
        </w:rPr>
        <w:t> </w:t>
      </w:r>
      <w:r w:rsidRPr="00843A95">
        <w:rPr>
          <w:i/>
        </w:rPr>
        <w:t>Územním odborem Policie ČR ve Zlíně.</w:t>
      </w:r>
    </w:p>
    <w:p w14:paraId="06BE5E99" w14:textId="77777777" w:rsidR="006704AF"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 xml:space="preserve">Většina obyvatel se cítí v místě svého bydliště bezpečně (uvedlo </w:t>
      </w:r>
      <w:r>
        <w:rPr>
          <w:rFonts w:cstheme="minorHAnsi"/>
          <w:i/>
        </w:rPr>
        <w:t>80,1</w:t>
      </w:r>
      <w:r w:rsidRPr="00D952EC">
        <w:rPr>
          <w:rFonts w:cstheme="minorHAnsi"/>
          <w:i/>
        </w:rPr>
        <w:t xml:space="preserve"> </w:t>
      </w:r>
      <w:r w:rsidRPr="00D952EC">
        <w:rPr>
          <w:i/>
        </w:rPr>
        <w:t>%</w:t>
      </w:r>
      <w:r>
        <w:rPr>
          <w:i/>
        </w:rPr>
        <w:t xml:space="preserve"> respondentů s trvalým pobytem ve městě v roce 2020).</w:t>
      </w:r>
    </w:p>
    <w:p w14:paraId="503FC290" w14:textId="77777777" w:rsidR="006704AF"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Největší obavy převládají z výskytu problémových osob v okolí.</w:t>
      </w:r>
    </w:p>
    <w:p w14:paraId="3917E3E2" w14:textId="77777777" w:rsidR="006704AF"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Nejnižší pocit bezpečí obyvatel je sledován v lokalitách s vyšší  koncentrací problémových osob (např. na autobusovém a vlakovém nádraží).</w:t>
      </w:r>
    </w:p>
    <w:p w14:paraId="648E1936" w14:textId="56A69C04" w:rsidR="006704AF"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Město Zlín je připraveno zvládat krizové situace. Postup vypořádávání se s krizovou situací definuje Krizový plán a Havarijní plán</w:t>
      </w:r>
      <w:r w:rsidR="004F6B03">
        <w:rPr>
          <w:i/>
        </w:rPr>
        <w:t>. N</w:t>
      </w:r>
      <w:r>
        <w:rPr>
          <w:i/>
        </w:rPr>
        <w:t xml:space="preserve">a civilní ochraně obyvatelstva a řešení mimořádných situací se podílí jednotky IZS. </w:t>
      </w:r>
    </w:p>
    <w:p w14:paraId="3A6A0ABA" w14:textId="6E1ED46C" w:rsidR="006704AF"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Zvyšující se potřeba zabezpečení kritické informační infrastruktury (zajištění kybernetické bezpečnosti – úřady, nemocnice, školy apod.)</w:t>
      </w:r>
      <w:r w:rsidR="00FF4A0A">
        <w:rPr>
          <w:i/>
        </w:rPr>
        <w:t>.</w:t>
      </w:r>
    </w:p>
    <w:p w14:paraId="112A60CF" w14:textId="77777777" w:rsidR="006704AF"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EC26F9">
        <w:rPr>
          <w:i/>
        </w:rPr>
        <w:t xml:space="preserve">Městská policie Zlín </w:t>
      </w:r>
      <w:r>
        <w:rPr>
          <w:i/>
        </w:rPr>
        <w:t>provádí osvětu a </w:t>
      </w:r>
      <w:r w:rsidRPr="00EC26F9">
        <w:rPr>
          <w:i/>
        </w:rPr>
        <w:t>podílí</w:t>
      </w:r>
      <w:r>
        <w:rPr>
          <w:i/>
        </w:rPr>
        <w:t xml:space="preserve"> se</w:t>
      </w:r>
      <w:r w:rsidRPr="00EC26F9">
        <w:rPr>
          <w:i/>
        </w:rPr>
        <w:t xml:space="preserve"> na</w:t>
      </w:r>
      <w:r>
        <w:rPr>
          <w:i/>
        </w:rPr>
        <w:t xml:space="preserve"> realizaci projektů a pořádání akcí</w:t>
      </w:r>
      <w:r w:rsidRPr="00EC26F9">
        <w:rPr>
          <w:i/>
        </w:rPr>
        <w:t xml:space="preserve"> pro veřejnost zaměřených na prevenci kriminality a</w:t>
      </w:r>
      <w:r>
        <w:rPr>
          <w:i/>
        </w:rPr>
        <w:t> </w:t>
      </w:r>
      <w:r w:rsidRPr="00EC26F9">
        <w:rPr>
          <w:i/>
        </w:rPr>
        <w:t>sociálně-patologických jevů</w:t>
      </w:r>
      <w:r>
        <w:t>.</w:t>
      </w:r>
    </w:p>
    <w:p w14:paraId="21D09382" w14:textId="77777777" w:rsidR="006704AF" w:rsidRDefault="006704AF" w:rsidP="006704AF">
      <w:pPr>
        <w:pStyle w:val="Odstavecseseznamem"/>
        <w:keepNext/>
        <w:keepLines/>
        <w:numPr>
          <w:ilvl w:val="0"/>
          <w:numId w:val="14"/>
        </w:numPr>
        <w:pBdr>
          <w:top w:val="single" w:sz="4" w:space="3"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pPr>
      <w:r>
        <w:rPr>
          <w:i/>
        </w:rPr>
        <w:t>I přes aktivní snahu zvyšovat bezpečnost silniční dopravy dochází k mírnému nárůstu dopravních nehod, což je také důsledkem zvyšování intenzity dopravy.</w:t>
      </w:r>
    </w:p>
    <w:p w14:paraId="59B79F71" w14:textId="77777777" w:rsidR="006704AF" w:rsidRDefault="006704AF" w:rsidP="006704AF"/>
    <w:p w14:paraId="746C9B3F" w14:textId="77777777" w:rsidR="006704AF" w:rsidRDefault="006704AF" w:rsidP="006704AF">
      <w:pPr>
        <w:pStyle w:val="Nadpis3"/>
        <w:ind w:left="720"/>
      </w:pPr>
      <w:bookmarkStart w:id="394" w:name="_Toc52963409"/>
      <w:bookmarkStart w:id="395" w:name="_Toc77074600"/>
      <w:r>
        <w:lastRenderedPageBreak/>
        <w:t>SWOT analýza</w:t>
      </w:r>
      <w:bookmarkEnd w:id="394"/>
      <w:bookmarkEnd w:id="395"/>
    </w:p>
    <w:p w14:paraId="058CC0FE" w14:textId="77777777" w:rsidR="006704AF" w:rsidRDefault="006704AF" w:rsidP="006704AF">
      <w:pPr>
        <w:keepNext/>
        <w:keepLines/>
      </w:pPr>
      <w:r>
        <w:t xml:space="preserve">Výroky ve SWOT analýzy vychází z analytických podkladů a ze SWOT analýzy Plánu preventivních aktivit města Zlína na léta 2020 – 2022. </w:t>
      </w:r>
    </w:p>
    <w:tbl>
      <w:tblPr>
        <w:tblStyle w:val="Mkatabulky2"/>
        <w:tblW w:w="0" w:type="auto"/>
        <w:tblLook w:val="04A0" w:firstRow="1" w:lastRow="0" w:firstColumn="1" w:lastColumn="0" w:noHBand="0" w:noVBand="1"/>
      </w:tblPr>
      <w:tblGrid>
        <w:gridCol w:w="4533"/>
        <w:gridCol w:w="4529"/>
      </w:tblGrid>
      <w:tr w:rsidR="006704AF" w:rsidRPr="00BC1A35" w14:paraId="64CE205F" w14:textId="77777777" w:rsidTr="000C49A5">
        <w:trPr>
          <w:cantSplit/>
          <w:tblHeader/>
        </w:trPr>
        <w:tc>
          <w:tcPr>
            <w:tcW w:w="4533" w:type="dxa"/>
            <w:shd w:val="clear" w:color="auto" w:fill="FF7C80"/>
          </w:tcPr>
          <w:p w14:paraId="03D4828E" w14:textId="77777777" w:rsidR="006704AF" w:rsidRPr="00BC1A35" w:rsidRDefault="006704AF" w:rsidP="000C49A5">
            <w:pPr>
              <w:spacing w:before="0"/>
              <w:jc w:val="center"/>
              <w:rPr>
                <w:b/>
                <w:szCs w:val="24"/>
              </w:rPr>
            </w:pPr>
            <w:r w:rsidRPr="00BC1A35">
              <w:rPr>
                <w:b/>
                <w:szCs w:val="24"/>
              </w:rPr>
              <w:t>SILNÉ STRÁNKY</w:t>
            </w:r>
          </w:p>
        </w:tc>
        <w:tc>
          <w:tcPr>
            <w:tcW w:w="4530" w:type="dxa"/>
            <w:shd w:val="clear" w:color="auto" w:fill="B8CCE4"/>
          </w:tcPr>
          <w:p w14:paraId="0AA1307F" w14:textId="77777777" w:rsidR="006704AF" w:rsidRPr="00BC1A35" w:rsidRDefault="006704AF" w:rsidP="000C49A5">
            <w:pPr>
              <w:spacing w:before="0"/>
              <w:jc w:val="center"/>
              <w:rPr>
                <w:b/>
                <w:szCs w:val="24"/>
              </w:rPr>
            </w:pPr>
            <w:r w:rsidRPr="00BC1A35">
              <w:rPr>
                <w:b/>
                <w:szCs w:val="24"/>
              </w:rPr>
              <w:t>SLABÉ STRÁNKY</w:t>
            </w:r>
          </w:p>
        </w:tc>
      </w:tr>
      <w:tr w:rsidR="006704AF" w:rsidRPr="00BC1A35" w14:paraId="7119B0A6" w14:textId="77777777" w:rsidTr="000C49A5">
        <w:trPr>
          <w:cantSplit/>
          <w:trHeight w:val="3177"/>
        </w:trPr>
        <w:tc>
          <w:tcPr>
            <w:tcW w:w="4533" w:type="dxa"/>
            <w:shd w:val="clear" w:color="auto" w:fill="FFDDDD"/>
          </w:tcPr>
          <w:p w14:paraId="52BCCB1B" w14:textId="77777777" w:rsidR="006704AF" w:rsidRPr="0045137D" w:rsidRDefault="006704AF" w:rsidP="000C49A5">
            <w:pPr>
              <w:suppressAutoHyphens/>
              <w:spacing w:before="0"/>
              <w:ind w:left="171"/>
              <w:contextualSpacing/>
              <w:jc w:val="left"/>
              <w:rPr>
                <w:sz w:val="12"/>
                <w:szCs w:val="24"/>
              </w:rPr>
            </w:pPr>
          </w:p>
          <w:p w14:paraId="2FC8A88C" w14:textId="0C3325E6" w:rsidR="006704AF" w:rsidRPr="00F12BA3" w:rsidRDefault="006704AF" w:rsidP="006704AF">
            <w:pPr>
              <w:pStyle w:val="Odstavecseseznamem"/>
              <w:numPr>
                <w:ilvl w:val="0"/>
                <w:numId w:val="12"/>
              </w:numPr>
              <w:suppressAutoHyphens/>
              <w:spacing w:before="0" w:after="160"/>
              <w:ind w:left="171" w:hanging="171"/>
              <w:jc w:val="left"/>
              <w:rPr>
                <w:szCs w:val="24"/>
              </w:rPr>
            </w:pPr>
            <w:r>
              <w:t>Nízká úroveň kriminality s klesajícím trendem v rámci srovnání se stejně velkými krajskými městy</w:t>
            </w:r>
            <w:r w:rsidR="00FF4A0A">
              <w:t>.</w:t>
            </w:r>
          </w:p>
          <w:p w14:paraId="3FF6BF40" w14:textId="2FC81458" w:rsidR="006704AF" w:rsidRDefault="006704AF" w:rsidP="006704AF">
            <w:pPr>
              <w:pStyle w:val="Odstavecseseznamem"/>
              <w:numPr>
                <w:ilvl w:val="0"/>
                <w:numId w:val="12"/>
              </w:numPr>
              <w:suppressAutoHyphens/>
              <w:spacing w:before="0" w:after="160"/>
              <w:ind w:left="171" w:hanging="171"/>
              <w:jc w:val="left"/>
            </w:pPr>
            <w:r>
              <w:t>Občané se ve městě cítí bezpečně</w:t>
            </w:r>
            <w:r w:rsidR="00FF4A0A">
              <w:t>.</w:t>
            </w:r>
          </w:p>
          <w:p w14:paraId="7813E385" w14:textId="6B87A209" w:rsidR="006704AF" w:rsidRDefault="006704AF" w:rsidP="006704AF">
            <w:pPr>
              <w:pStyle w:val="Odstavecseseznamem"/>
              <w:numPr>
                <w:ilvl w:val="0"/>
                <w:numId w:val="12"/>
              </w:numPr>
              <w:suppressAutoHyphens/>
              <w:spacing w:before="0" w:after="160"/>
              <w:ind w:left="171" w:hanging="171"/>
              <w:jc w:val="left"/>
            </w:pPr>
            <w:r>
              <w:t xml:space="preserve">Plán preventivních aktivit města Zlína na léta 2020 </w:t>
            </w:r>
            <w:r w:rsidR="00FF4A0A">
              <w:sym w:font="Symbol" w:char="F02D"/>
            </w:r>
            <w:r>
              <w:t xml:space="preserve"> 2022</w:t>
            </w:r>
          </w:p>
          <w:p w14:paraId="2E0C6D63" w14:textId="29C13708" w:rsidR="006704AF" w:rsidRPr="00F15AAD" w:rsidRDefault="006704AF" w:rsidP="006704AF">
            <w:pPr>
              <w:pStyle w:val="Odstavecseseznamem"/>
              <w:numPr>
                <w:ilvl w:val="0"/>
                <w:numId w:val="12"/>
              </w:numPr>
              <w:suppressAutoHyphens/>
              <w:spacing w:before="0" w:after="160"/>
              <w:ind w:left="171" w:hanging="171"/>
              <w:jc w:val="left"/>
              <w:rPr>
                <w:szCs w:val="24"/>
              </w:rPr>
            </w:pPr>
            <w:r>
              <w:t>Kvalitně zpracovaný a funkční Krizový plán a Havarijní plán ORP Zlín</w:t>
            </w:r>
            <w:r w:rsidR="00FF4A0A">
              <w:t>.</w:t>
            </w:r>
          </w:p>
          <w:p w14:paraId="2DCD4369" w14:textId="7468F72F" w:rsidR="006704AF" w:rsidRPr="00F15AAD" w:rsidRDefault="006704AF" w:rsidP="006704AF">
            <w:pPr>
              <w:pStyle w:val="Odstavecseseznamem"/>
              <w:numPr>
                <w:ilvl w:val="0"/>
                <w:numId w:val="12"/>
              </w:numPr>
              <w:suppressAutoHyphens/>
              <w:spacing w:before="0" w:after="160"/>
              <w:ind w:left="171" w:hanging="171"/>
              <w:jc w:val="left"/>
              <w:rPr>
                <w:szCs w:val="24"/>
              </w:rPr>
            </w:pPr>
            <w:r>
              <w:t>Digitální povodňový plán města s provázaností na výstražný informační systém ochrany (VISO)</w:t>
            </w:r>
            <w:r w:rsidR="00FF4A0A">
              <w:t>.</w:t>
            </w:r>
          </w:p>
          <w:p w14:paraId="369FE1D2" w14:textId="79DFB8A3" w:rsidR="006704AF" w:rsidRPr="000E4D63" w:rsidRDefault="006704AF" w:rsidP="006704AF">
            <w:pPr>
              <w:pStyle w:val="Odstavecseseznamem"/>
              <w:numPr>
                <w:ilvl w:val="0"/>
                <w:numId w:val="12"/>
              </w:numPr>
              <w:suppressAutoHyphens/>
              <w:spacing w:before="0" w:after="160"/>
              <w:ind w:left="171" w:hanging="171"/>
              <w:jc w:val="left"/>
              <w:rPr>
                <w:szCs w:val="24"/>
              </w:rPr>
            </w:pPr>
            <w:r>
              <w:rPr>
                <w:bCs/>
              </w:rPr>
              <w:t>Velmi dobrá spolupráce s</w:t>
            </w:r>
            <w:r w:rsidRPr="000E4D63">
              <w:rPr>
                <w:bCs/>
              </w:rPr>
              <w:t>lož</w:t>
            </w:r>
            <w:r>
              <w:rPr>
                <w:bCs/>
              </w:rPr>
              <w:t>ek integrovaného záchranného</w:t>
            </w:r>
            <w:r w:rsidRPr="000E4D63">
              <w:rPr>
                <w:bCs/>
              </w:rPr>
              <w:t xml:space="preserve"> systém</w:t>
            </w:r>
            <w:r>
              <w:rPr>
                <w:bCs/>
              </w:rPr>
              <w:t>u</w:t>
            </w:r>
            <w:r w:rsidR="00FF4A0A">
              <w:rPr>
                <w:bCs/>
              </w:rPr>
              <w:t>.</w:t>
            </w:r>
          </w:p>
          <w:p w14:paraId="2EA7047D" w14:textId="27D63D77" w:rsidR="006704AF" w:rsidRDefault="006704AF" w:rsidP="006704AF">
            <w:pPr>
              <w:pStyle w:val="Odstavecseseznamem"/>
              <w:numPr>
                <w:ilvl w:val="0"/>
                <w:numId w:val="12"/>
              </w:numPr>
              <w:suppressAutoHyphens/>
              <w:spacing w:before="0" w:after="160"/>
              <w:ind w:left="171" w:hanging="171"/>
              <w:jc w:val="left"/>
            </w:pPr>
            <w:r>
              <w:t>Městská policie Zlín využívající mod</w:t>
            </w:r>
            <w:r w:rsidR="00FF4A0A">
              <w:t>erní trendy policejní práce.</w:t>
            </w:r>
          </w:p>
          <w:p w14:paraId="58640906" w14:textId="6100D7D8" w:rsidR="006704AF" w:rsidRDefault="006704AF" w:rsidP="006704AF">
            <w:pPr>
              <w:pStyle w:val="Odstavecseseznamem"/>
              <w:numPr>
                <w:ilvl w:val="0"/>
                <w:numId w:val="12"/>
              </w:numPr>
              <w:suppressAutoHyphens/>
              <w:spacing w:before="0" w:after="160"/>
              <w:ind w:left="171" w:hanging="171"/>
              <w:jc w:val="left"/>
            </w:pPr>
            <w:r>
              <w:t>Digitální městský kamerový dohlížecí systém</w:t>
            </w:r>
            <w:r w:rsidR="00FF4A0A">
              <w:t>.</w:t>
            </w:r>
            <w:r>
              <w:t xml:space="preserve"> </w:t>
            </w:r>
          </w:p>
          <w:p w14:paraId="10BB0E50" w14:textId="78655C99" w:rsidR="006704AF" w:rsidRDefault="006704AF" w:rsidP="006704AF">
            <w:pPr>
              <w:pStyle w:val="Odstavecseseznamem"/>
              <w:numPr>
                <w:ilvl w:val="0"/>
                <w:numId w:val="12"/>
              </w:numPr>
              <w:suppressAutoHyphens/>
              <w:spacing w:before="0" w:after="160"/>
              <w:ind w:left="171" w:hanging="171"/>
              <w:jc w:val="left"/>
            </w:pPr>
            <w:r>
              <w:t>Preventivní akce a projekty v oblasti rizikových projevů chování pro děti, mládež, veřejnost</w:t>
            </w:r>
            <w:r w:rsidR="00FF4A0A">
              <w:t>.</w:t>
            </w:r>
            <w:r>
              <w:t xml:space="preserve">  </w:t>
            </w:r>
          </w:p>
          <w:p w14:paraId="7320D273" w14:textId="72E01627" w:rsidR="006704AF" w:rsidRDefault="006704AF" w:rsidP="006704AF">
            <w:pPr>
              <w:pStyle w:val="Odstavecseseznamem"/>
              <w:numPr>
                <w:ilvl w:val="0"/>
                <w:numId w:val="12"/>
              </w:numPr>
              <w:suppressAutoHyphens/>
              <w:spacing w:before="0" w:after="160"/>
              <w:ind w:left="171" w:hanging="171"/>
              <w:jc w:val="left"/>
            </w:pPr>
            <w:r>
              <w:t>Preventivní aktivity v</w:t>
            </w:r>
            <w:r w:rsidR="00FF4A0A">
              <w:t> oblasti dopravní bezpečnosti u </w:t>
            </w:r>
            <w:r>
              <w:t>dětí a mládeže</w:t>
            </w:r>
            <w:r w:rsidR="00FF4A0A">
              <w:t>.</w:t>
            </w:r>
          </w:p>
          <w:p w14:paraId="4D36793E" w14:textId="41FBBF3B" w:rsidR="006704AF" w:rsidRDefault="006704AF" w:rsidP="006704AF">
            <w:pPr>
              <w:pStyle w:val="Odstavecseseznamem"/>
              <w:numPr>
                <w:ilvl w:val="0"/>
                <w:numId w:val="12"/>
              </w:numPr>
              <w:suppressAutoHyphens/>
              <w:spacing w:before="0" w:after="160"/>
              <w:ind w:left="171" w:hanging="171"/>
              <w:jc w:val="left"/>
            </w:pPr>
            <w:r>
              <w:t xml:space="preserve">Dobrá spolupráce aktérů v oblasti bezpečnosti (např. spolupráce UTB – samospráva, UTB </w:t>
            </w:r>
            <w:r w:rsidR="0023746C">
              <w:t>–</w:t>
            </w:r>
            <w:r>
              <w:t xml:space="preserve"> soukromý sektor)</w:t>
            </w:r>
            <w:r w:rsidR="00FF4A0A">
              <w:t>.</w:t>
            </w:r>
          </w:p>
          <w:p w14:paraId="3DD615EB" w14:textId="28C21CDA" w:rsidR="006704AF" w:rsidRPr="00101C8B" w:rsidRDefault="006704AF" w:rsidP="00FF4A0A">
            <w:pPr>
              <w:pStyle w:val="Odstavecseseznamem"/>
              <w:numPr>
                <w:ilvl w:val="0"/>
                <w:numId w:val="12"/>
              </w:numPr>
              <w:suppressAutoHyphens/>
              <w:spacing w:before="0" w:after="160"/>
              <w:ind w:left="171" w:hanging="171"/>
              <w:jc w:val="left"/>
            </w:pPr>
            <w:r>
              <w:t>Široká možnost vzdělávání v oblasti bezpečnostních programů na střed</w:t>
            </w:r>
            <w:r w:rsidR="00FF4A0A">
              <w:t>oškolské a vysokoškolské úrovni.</w:t>
            </w:r>
          </w:p>
        </w:tc>
        <w:tc>
          <w:tcPr>
            <w:tcW w:w="4530" w:type="dxa"/>
            <w:shd w:val="clear" w:color="auto" w:fill="EEF3F8"/>
          </w:tcPr>
          <w:p w14:paraId="59139C68" w14:textId="77777777" w:rsidR="006704AF" w:rsidRPr="0045137D" w:rsidRDefault="006704AF" w:rsidP="000C49A5">
            <w:pPr>
              <w:suppressAutoHyphens/>
              <w:spacing w:before="0"/>
              <w:ind w:left="175"/>
              <w:contextualSpacing/>
              <w:jc w:val="left"/>
              <w:rPr>
                <w:sz w:val="12"/>
                <w:szCs w:val="12"/>
              </w:rPr>
            </w:pPr>
          </w:p>
          <w:p w14:paraId="606418EC" w14:textId="39D9AC2B" w:rsidR="006704AF" w:rsidRPr="00944DC5" w:rsidRDefault="006704AF" w:rsidP="006704AF">
            <w:pPr>
              <w:numPr>
                <w:ilvl w:val="0"/>
                <w:numId w:val="33"/>
              </w:numPr>
              <w:spacing w:before="0"/>
              <w:jc w:val="left"/>
            </w:pPr>
            <w:r w:rsidRPr="00944DC5">
              <w:t xml:space="preserve">Koncentrace rizikových osob na vybraných </w:t>
            </w:r>
            <w:r>
              <w:t>místech ve městě</w:t>
            </w:r>
            <w:r w:rsidR="00FF4A0A">
              <w:t>.</w:t>
            </w:r>
          </w:p>
          <w:p w14:paraId="7B1CF916" w14:textId="6EAEB759" w:rsidR="006704AF" w:rsidRDefault="006704AF" w:rsidP="006704AF">
            <w:pPr>
              <w:numPr>
                <w:ilvl w:val="0"/>
                <w:numId w:val="33"/>
              </w:numPr>
              <w:spacing w:before="0"/>
              <w:jc w:val="left"/>
            </w:pPr>
            <w:r w:rsidRPr="00540857">
              <w:t>Dochází k</w:t>
            </w:r>
            <w:r>
              <w:t> </w:t>
            </w:r>
            <w:r w:rsidRPr="00540857">
              <w:t>mírnému nárůstu dopravních nehod, což je také důsledkem zvyšování intenzity dopravy</w:t>
            </w:r>
            <w:r w:rsidR="00FF4A0A">
              <w:t>.</w:t>
            </w:r>
          </w:p>
          <w:p w14:paraId="218CBBA7" w14:textId="3FBCC758" w:rsidR="006704AF" w:rsidRDefault="006704AF" w:rsidP="006704AF">
            <w:pPr>
              <w:numPr>
                <w:ilvl w:val="0"/>
                <w:numId w:val="33"/>
              </w:numPr>
              <w:spacing w:before="0"/>
              <w:jc w:val="left"/>
            </w:pPr>
            <w:r>
              <w:t>Omezená průjezdnost vozidel IZS v obytných zónách</w:t>
            </w:r>
            <w:r w:rsidR="00FF4A0A">
              <w:t>.</w:t>
            </w:r>
          </w:p>
          <w:p w14:paraId="2F07B67B" w14:textId="66372997" w:rsidR="006704AF" w:rsidRDefault="006704AF" w:rsidP="006704AF">
            <w:pPr>
              <w:numPr>
                <w:ilvl w:val="0"/>
                <w:numId w:val="33"/>
              </w:numPr>
              <w:spacing w:before="0"/>
              <w:jc w:val="left"/>
            </w:pPr>
            <w:r>
              <w:t>Nízká úroveň zabezpečení veřejných institucí a</w:t>
            </w:r>
            <w:r w:rsidR="00FF4A0A">
              <w:t> </w:t>
            </w:r>
            <w:r>
              <w:t>orgánů veřejné správy v oblasti kybernetické bezpečnosti</w:t>
            </w:r>
            <w:r w:rsidR="00FF4A0A">
              <w:t>.</w:t>
            </w:r>
          </w:p>
          <w:p w14:paraId="55F06B18" w14:textId="6D436490" w:rsidR="006704AF" w:rsidRDefault="006704AF" w:rsidP="006704AF">
            <w:pPr>
              <w:numPr>
                <w:ilvl w:val="0"/>
                <w:numId w:val="33"/>
              </w:numPr>
              <w:spacing w:before="0"/>
              <w:jc w:val="left"/>
            </w:pPr>
            <w:r>
              <w:t>Absence pracovní skupiny prevence kriminality ve struktuře samosprávy města</w:t>
            </w:r>
            <w:r w:rsidR="00FF4A0A">
              <w:t>.</w:t>
            </w:r>
          </w:p>
          <w:p w14:paraId="03494C77" w14:textId="4D75D8EE" w:rsidR="006704AF" w:rsidRDefault="006704AF" w:rsidP="006704AF">
            <w:pPr>
              <w:numPr>
                <w:ilvl w:val="0"/>
                <w:numId w:val="33"/>
              </w:numPr>
              <w:spacing w:before="0"/>
              <w:jc w:val="left"/>
              <w:rPr>
                <w:szCs w:val="24"/>
              </w:rPr>
            </w:pPr>
            <w:r>
              <w:rPr>
                <w:szCs w:val="24"/>
              </w:rPr>
              <w:t>Nevhodně legislativně nastavený systém výměny informací mezi Krizovým štábem ORP Zlín a Krajskou hygienou stanicí</w:t>
            </w:r>
            <w:r w:rsidR="00FF4A0A">
              <w:rPr>
                <w:szCs w:val="24"/>
              </w:rPr>
              <w:t>.</w:t>
            </w:r>
          </w:p>
          <w:p w14:paraId="2E07356B" w14:textId="3D0FFC9A" w:rsidR="006704AF" w:rsidRDefault="006704AF" w:rsidP="006704AF">
            <w:pPr>
              <w:numPr>
                <w:ilvl w:val="0"/>
                <w:numId w:val="33"/>
              </w:numPr>
              <w:spacing w:before="0"/>
              <w:jc w:val="left"/>
              <w:rPr>
                <w:szCs w:val="24"/>
              </w:rPr>
            </w:pPr>
            <w:r>
              <w:rPr>
                <w:szCs w:val="24"/>
              </w:rPr>
              <w:t>Potenciální bezpečností riziko vyplývající z blízkosti státní hranice</w:t>
            </w:r>
            <w:r w:rsidR="00FF4A0A">
              <w:rPr>
                <w:szCs w:val="24"/>
              </w:rPr>
              <w:t>.</w:t>
            </w:r>
          </w:p>
          <w:p w14:paraId="65990896" w14:textId="295A6721" w:rsidR="006704AF" w:rsidRPr="007B138E" w:rsidRDefault="006704AF" w:rsidP="006704AF">
            <w:pPr>
              <w:pStyle w:val="Odstavecseseznamem"/>
              <w:numPr>
                <w:ilvl w:val="0"/>
                <w:numId w:val="33"/>
              </w:numPr>
              <w:suppressAutoHyphens/>
              <w:spacing w:before="0" w:after="160"/>
              <w:jc w:val="left"/>
              <w:rPr>
                <w:szCs w:val="24"/>
              </w:rPr>
            </w:pPr>
            <w:r>
              <w:rPr>
                <w:szCs w:val="24"/>
              </w:rPr>
              <w:t xml:space="preserve">Nedostatečný počet </w:t>
            </w:r>
            <w:r w:rsidRPr="007B138E">
              <w:rPr>
                <w:szCs w:val="24"/>
              </w:rPr>
              <w:t>strážníků</w:t>
            </w:r>
            <w:r>
              <w:rPr>
                <w:szCs w:val="24"/>
              </w:rPr>
              <w:t xml:space="preserve"> i policistů na okrskových </w:t>
            </w:r>
            <w:r w:rsidRPr="007B138E">
              <w:rPr>
                <w:szCs w:val="24"/>
              </w:rPr>
              <w:t>pracovišt</w:t>
            </w:r>
            <w:r>
              <w:rPr>
                <w:szCs w:val="24"/>
              </w:rPr>
              <w:t>ích</w:t>
            </w:r>
            <w:r w:rsidRPr="007B138E">
              <w:rPr>
                <w:szCs w:val="24"/>
              </w:rPr>
              <w:t xml:space="preserve"> a místní</w:t>
            </w:r>
            <w:r>
              <w:rPr>
                <w:szCs w:val="24"/>
              </w:rPr>
              <w:t>ch částech města</w:t>
            </w:r>
            <w:r w:rsidRPr="007B138E">
              <w:rPr>
                <w:szCs w:val="24"/>
              </w:rPr>
              <w:t xml:space="preserve"> Zlína</w:t>
            </w:r>
            <w:r w:rsidR="00FF4A0A">
              <w:rPr>
                <w:szCs w:val="24"/>
              </w:rPr>
              <w:t>.</w:t>
            </w:r>
          </w:p>
          <w:p w14:paraId="3AEB549C" w14:textId="77777777" w:rsidR="006704AF" w:rsidRPr="00846EEE" w:rsidRDefault="006704AF" w:rsidP="000C49A5">
            <w:pPr>
              <w:spacing w:before="0"/>
              <w:ind w:left="170"/>
              <w:jc w:val="left"/>
              <w:rPr>
                <w:szCs w:val="24"/>
              </w:rPr>
            </w:pPr>
          </w:p>
        </w:tc>
      </w:tr>
    </w:tbl>
    <w:p w14:paraId="019AB131" w14:textId="77777777" w:rsidR="006704AF" w:rsidRPr="00540857" w:rsidRDefault="006704AF" w:rsidP="006704AF">
      <w:pPr>
        <w:keepNext/>
        <w:keepLines/>
      </w:pPr>
    </w:p>
    <w:p w14:paraId="268C5309" w14:textId="77777777" w:rsidR="006704AF" w:rsidRDefault="006704AF" w:rsidP="006704AF"/>
    <w:tbl>
      <w:tblPr>
        <w:tblStyle w:val="Mkatabulky1"/>
        <w:tblW w:w="0" w:type="auto"/>
        <w:tblLook w:val="04A0" w:firstRow="1" w:lastRow="0" w:firstColumn="1" w:lastColumn="0" w:noHBand="0" w:noVBand="1"/>
      </w:tblPr>
      <w:tblGrid>
        <w:gridCol w:w="4534"/>
        <w:gridCol w:w="4528"/>
      </w:tblGrid>
      <w:tr w:rsidR="006704AF" w:rsidRPr="00BC1A35" w14:paraId="6D42BB0D" w14:textId="77777777" w:rsidTr="000C49A5">
        <w:trPr>
          <w:cantSplit/>
          <w:tblHeader/>
        </w:trPr>
        <w:tc>
          <w:tcPr>
            <w:tcW w:w="4534" w:type="dxa"/>
            <w:shd w:val="clear" w:color="auto" w:fill="F79646"/>
          </w:tcPr>
          <w:p w14:paraId="705A3684" w14:textId="77777777" w:rsidR="006704AF" w:rsidRPr="00BC1A35" w:rsidRDefault="006704AF" w:rsidP="000C49A5">
            <w:pPr>
              <w:spacing w:before="0"/>
              <w:jc w:val="center"/>
              <w:rPr>
                <w:b/>
                <w:szCs w:val="24"/>
              </w:rPr>
            </w:pPr>
            <w:r w:rsidRPr="00BC1A35">
              <w:rPr>
                <w:b/>
                <w:szCs w:val="24"/>
              </w:rPr>
              <w:lastRenderedPageBreak/>
              <w:t>PŘÍLEŽITOSTI</w:t>
            </w:r>
          </w:p>
        </w:tc>
        <w:tc>
          <w:tcPr>
            <w:tcW w:w="4528" w:type="dxa"/>
            <w:shd w:val="clear" w:color="auto" w:fill="B2A1C7"/>
          </w:tcPr>
          <w:p w14:paraId="4FEA5EC6" w14:textId="77777777" w:rsidR="006704AF" w:rsidRPr="00BC1A35" w:rsidRDefault="006704AF" w:rsidP="000C49A5">
            <w:pPr>
              <w:spacing w:before="0"/>
              <w:jc w:val="center"/>
              <w:rPr>
                <w:b/>
                <w:szCs w:val="24"/>
              </w:rPr>
            </w:pPr>
            <w:r w:rsidRPr="00BC1A35">
              <w:rPr>
                <w:b/>
                <w:szCs w:val="24"/>
              </w:rPr>
              <w:t>HROZBY</w:t>
            </w:r>
          </w:p>
        </w:tc>
      </w:tr>
      <w:tr w:rsidR="006704AF" w:rsidRPr="00BC1A35" w14:paraId="7E066A46" w14:textId="77777777" w:rsidTr="000C49A5">
        <w:trPr>
          <w:cantSplit/>
          <w:trHeight w:val="4484"/>
        </w:trPr>
        <w:tc>
          <w:tcPr>
            <w:tcW w:w="4534" w:type="dxa"/>
            <w:shd w:val="clear" w:color="auto" w:fill="FEF7CE"/>
          </w:tcPr>
          <w:p w14:paraId="340EDBDB" w14:textId="77777777" w:rsidR="006704AF" w:rsidRDefault="006704AF" w:rsidP="000C49A5">
            <w:pPr>
              <w:suppressAutoHyphens/>
              <w:spacing w:before="0"/>
              <w:ind w:left="171"/>
              <w:contextualSpacing/>
              <w:jc w:val="left"/>
              <w:rPr>
                <w:szCs w:val="24"/>
                <w:highlight w:val="yellow"/>
              </w:rPr>
            </w:pPr>
          </w:p>
          <w:p w14:paraId="39153D65" w14:textId="7FF2EFB9" w:rsidR="006704AF" w:rsidRDefault="006704AF" w:rsidP="006704AF">
            <w:pPr>
              <w:numPr>
                <w:ilvl w:val="0"/>
                <w:numId w:val="12"/>
              </w:numPr>
              <w:spacing w:before="0"/>
              <w:ind w:left="313" w:hanging="284"/>
              <w:jc w:val="left"/>
            </w:pPr>
            <w:r>
              <w:t>Nastavení vhodných komunikačních kanálů s ústředními správními orgány a městem a</w:t>
            </w:r>
            <w:r w:rsidR="00FF4A0A">
              <w:t> </w:t>
            </w:r>
            <w:r>
              <w:t>dalšími aktéry v oblasti prevence kriminality a</w:t>
            </w:r>
            <w:r w:rsidR="00FF4A0A">
              <w:t> </w:t>
            </w:r>
            <w:r>
              <w:t>krizového řízení</w:t>
            </w:r>
            <w:r w:rsidR="00FF4A0A">
              <w:t>.</w:t>
            </w:r>
          </w:p>
          <w:p w14:paraId="7EE1278D" w14:textId="25E38930" w:rsidR="006704AF" w:rsidRPr="007B138E" w:rsidRDefault="006704AF" w:rsidP="006704AF">
            <w:pPr>
              <w:pStyle w:val="Odstavecseseznamem"/>
              <w:numPr>
                <w:ilvl w:val="0"/>
                <w:numId w:val="12"/>
              </w:numPr>
              <w:suppressAutoHyphens/>
              <w:spacing w:before="0" w:after="160"/>
              <w:ind w:left="313" w:hanging="284"/>
              <w:jc w:val="left"/>
              <w:rPr>
                <w:szCs w:val="24"/>
              </w:rPr>
            </w:pPr>
            <w:r>
              <w:rPr>
                <w:szCs w:val="24"/>
              </w:rPr>
              <w:t xml:space="preserve">Rozšiřování a modernizace informačních technologií pro podporu práce bezpečnostních orgánů a IZS (např. kamerový </w:t>
            </w:r>
            <w:r w:rsidRPr="007B138E">
              <w:rPr>
                <w:szCs w:val="24"/>
              </w:rPr>
              <w:t>systém, drony, Událostní informační systém</w:t>
            </w:r>
            <w:r>
              <w:rPr>
                <w:szCs w:val="24"/>
              </w:rPr>
              <w:t>, informační dopravní systém</w:t>
            </w:r>
            <w:r w:rsidRPr="007B138E">
              <w:rPr>
                <w:szCs w:val="24"/>
              </w:rPr>
              <w:t>)</w:t>
            </w:r>
            <w:r w:rsidR="00FF4A0A">
              <w:rPr>
                <w:szCs w:val="24"/>
              </w:rPr>
              <w:t>.</w:t>
            </w:r>
          </w:p>
          <w:p w14:paraId="1EB74097" w14:textId="720A88EE" w:rsidR="006704AF" w:rsidRDefault="006704AF" w:rsidP="006704AF">
            <w:pPr>
              <w:pStyle w:val="Odstavecseseznamem"/>
              <w:numPr>
                <w:ilvl w:val="0"/>
                <w:numId w:val="12"/>
              </w:numPr>
              <w:suppressAutoHyphens/>
              <w:spacing w:before="0" w:after="160"/>
              <w:ind w:left="313" w:hanging="284"/>
              <w:jc w:val="left"/>
              <w:rPr>
                <w:szCs w:val="24"/>
              </w:rPr>
            </w:pPr>
            <w:r>
              <w:rPr>
                <w:szCs w:val="24"/>
              </w:rPr>
              <w:t>Posilování důvěry občanů v policejní orgány a</w:t>
            </w:r>
            <w:r w:rsidR="00FF4A0A">
              <w:rPr>
                <w:szCs w:val="24"/>
              </w:rPr>
              <w:t> </w:t>
            </w:r>
            <w:r>
              <w:rPr>
                <w:szCs w:val="24"/>
              </w:rPr>
              <w:t>zvyšování pocitu bezpečí</w:t>
            </w:r>
            <w:r w:rsidR="00FF4A0A">
              <w:rPr>
                <w:szCs w:val="24"/>
              </w:rPr>
              <w:t>.</w:t>
            </w:r>
          </w:p>
          <w:p w14:paraId="773597C6" w14:textId="1934028E" w:rsidR="006704AF" w:rsidRPr="007B138E" w:rsidRDefault="006704AF" w:rsidP="006704AF">
            <w:pPr>
              <w:pStyle w:val="Odstavecseseznamem"/>
              <w:numPr>
                <w:ilvl w:val="0"/>
                <w:numId w:val="12"/>
              </w:numPr>
              <w:suppressAutoHyphens/>
              <w:spacing w:before="0" w:after="160"/>
              <w:ind w:left="313" w:hanging="284"/>
              <w:jc w:val="left"/>
              <w:rPr>
                <w:szCs w:val="24"/>
              </w:rPr>
            </w:pPr>
            <w:r>
              <w:rPr>
                <w:szCs w:val="24"/>
              </w:rPr>
              <w:t>Posílení terénní</w:t>
            </w:r>
            <w:r w:rsidRPr="007B138E">
              <w:rPr>
                <w:szCs w:val="24"/>
              </w:rPr>
              <w:t xml:space="preserve"> práce sociálních pracovníků s osobami bez přístřeší</w:t>
            </w:r>
            <w:r w:rsidR="00FF4A0A">
              <w:rPr>
                <w:szCs w:val="24"/>
              </w:rPr>
              <w:t>.</w:t>
            </w:r>
          </w:p>
          <w:p w14:paraId="5E0C8C9A" w14:textId="7B52D13B" w:rsidR="006704AF" w:rsidRDefault="006704AF" w:rsidP="006704AF">
            <w:pPr>
              <w:pStyle w:val="Odstavecseseznamem"/>
              <w:numPr>
                <w:ilvl w:val="0"/>
                <w:numId w:val="12"/>
              </w:numPr>
              <w:suppressAutoHyphens/>
              <w:spacing w:before="0" w:after="160"/>
              <w:ind w:left="313" w:hanging="284"/>
              <w:jc w:val="left"/>
              <w:rPr>
                <w:szCs w:val="24"/>
              </w:rPr>
            </w:pPr>
            <w:r>
              <w:rPr>
                <w:szCs w:val="24"/>
              </w:rPr>
              <w:t>Zajištění kvalitní úrovně kybernetické bezpečnosti veřejných institucí</w:t>
            </w:r>
            <w:r w:rsidR="00FF4A0A">
              <w:rPr>
                <w:szCs w:val="24"/>
              </w:rPr>
              <w:t>.</w:t>
            </w:r>
          </w:p>
          <w:p w14:paraId="227ACB96" w14:textId="3331C7DC" w:rsidR="006704AF" w:rsidRDefault="006704AF" w:rsidP="006704AF">
            <w:pPr>
              <w:pStyle w:val="Odstavecseseznamem"/>
              <w:numPr>
                <w:ilvl w:val="0"/>
                <w:numId w:val="12"/>
              </w:numPr>
              <w:suppressAutoHyphens/>
              <w:spacing w:before="0" w:after="160"/>
              <w:ind w:left="313" w:hanging="284"/>
              <w:jc w:val="left"/>
              <w:rPr>
                <w:szCs w:val="24"/>
              </w:rPr>
            </w:pPr>
            <w:r>
              <w:rPr>
                <w:szCs w:val="24"/>
              </w:rPr>
              <w:t>Zlepšení bezpečnosti dopravy na cyklostezkách a přechodech pro chodce</w:t>
            </w:r>
            <w:r w:rsidR="00FF4A0A">
              <w:rPr>
                <w:szCs w:val="24"/>
              </w:rPr>
              <w:t>.</w:t>
            </w:r>
          </w:p>
          <w:p w14:paraId="5BE0F296" w14:textId="17CD0D7A" w:rsidR="006704AF" w:rsidRPr="00A176C4" w:rsidRDefault="006704AF" w:rsidP="006704AF">
            <w:pPr>
              <w:pStyle w:val="Odstavecseseznamem"/>
              <w:numPr>
                <w:ilvl w:val="0"/>
                <w:numId w:val="12"/>
              </w:numPr>
              <w:suppressAutoHyphens/>
              <w:spacing w:before="0" w:after="160"/>
              <w:ind w:left="313" w:hanging="284"/>
              <w:jc w:val="left"/>
              <w:rPr>
                <w:szCs w:val="24"/>
              </w:rPr>
            </w:pPr>
            <w:r w:rsidRPr="00A176C4">
              <w:rPr>
                <w:szCs w:val="24"/>
              </w:rPr>
              <w:t>Posílení programů civilní ochrany na MŠ, ZŠ, SŠ</w:t>
            </w:r>
            <w:r w:rsidR="00FF4A0A">
              <w:rPr>
                <w:szCs w:val="24"/>
              </w:rPr>
              <w:t>.</w:t>
            </w:r>
            <w:r w:rsidRPr="00A176C4">
              <w:rPr>
                <w:szCs w:val="24"/>
              </w:rPr>
              <w:t xml:space="preserve"> </w:t>
            </w:r>
          </w:p>
          <w:p w14:paraId="5FC74E11" w14:textId="308AD0E5" w:rsidR="006704AF" w:rsidRDefault="006704AF" w:rsidP="006704AF">
            <w:pPr>
              <w:pStyle w:val="Odstavecseseznamem"/>
              <w:numPr>
                <w:ilvl w:val="0"/>
                <w:numId w:val="12"/>
              </w:numPr>
              <w:suppressAutoHyphens/>
              <w:spacing w:before="0" w:after="160"/>
              <w:ind w:left="313" w:hanging="284"/>
              <w:jc w:val="left"/>
              <w:rPr>
                <w:szCs w:val="24"/>
              </w:rPr>
            </w:pPr>
            <w:r>
              <w:rPr>
                <w:szCs w:val="24"/>
              </w:rPr>
              <w:t>Větší míra informovanosti veřejnosti a zapojení zájmových skupin obyvatel do preventivních aktivit, vyšší míra připravenosti na krizové situace</w:t>
            </w:r>
            <w:r w:rsidR="00FF4A0A">
              <w:rPr>
                <w:szCs w:val="24"/>
              </w:rPr>
              <w:t>.</w:t>
            </w:r>
          </w:p>
          <w:p w14:paraId="7C0AB964" w14:textId="587CB748" w:rsidR="006704AF" w:rsidRPr="0017322B" w:rsidRDefault="006704AF" w:rsidP="006704AF">
            <w:pPr>
              <w:pStyle w:val="Odstavecseseznamem"/>
              <w:numPr>
                <w:ilvl w:val="0"/>
                <w:numId w:val="12"/>
              </w:numPr>
              <w:suppressAutoHyphens/>
              <w:spacing w:before="0" w:after="160"/>
              <w:ind w:left="313" w:hanging="284"/>
              <w:jc w:val="left"/>
              <w:rPr>
                <w:szCs w:val="24"/>
              </w:rPr>
            </w:pPr>
            <w:r w:rsidRPr="0017322B">
              <w:rPr>
                <w:szCs w:val="24"/>
              </w:rPr>
              <w:t>Efektivní sys</w:t>
            </w:r>
            <w:r>
              <w:rPr>
                <w:szCs w:val="24"/>
              </w:rPr>
              <w:t xml:space="preserve">tém monitorování, vyhodnocování, spolupráce </w:t>
            </w:r>
            <w:r w:rsidRPr="0017322B">
              <w:rPr>
                <w:szCs w:val="24"/>
              </w:rPr>
              <w:t xml:space="preserve">a reakce </w:t>
            </w:r>
            <w:r>
              <w:rPr>
                <w:szCs w:val="24"/>
              </w:rPr>
              <w:t>na globální bezpečnostní rizika</w:t>
            </w:r>
            <w:r w:rsidR="00FF4A0A">
              <w:rPr>
                <w:szCs w:val="24"/>
              </w:rPr>
              <w:t>.</w:t>
            </w:r>
          </w:p>
          <w:p w14:paraId="42771BA7" w14:textId="0A94EE8A" w:rsidR="006704AF" w:rsidRDefault="006704AF" w:rsidP="006704AF">
            <w:pPr>
              <w:pStyle w:val="Odstavecseseznamem"/>
              <w:numPr>
                <w:ilvl w:val="0"/>
                <w:numId w:val="12"/>
              </w:numPr>
              <w:suppressAutoHyphens/>
              <w:spacing w:before="0" w:after="160"/>
              <w:ind w:left="313" w:hanging="284"/>
              <w:jc w:val="left"/>
              <w:rPr>
                <w:szCs w:val="24"/>
              </w:rPr>
            </w:pPr>
            <w:r>
              <w:rPr>
                <w:szCs w:val="24"/>
              </w:rPr>
              <w:t>Spolupráce města v oblasti bezpečnosti a</w:t>
            </w:r>
            <w:r w:rsidR="00FF4A0A">
              <w:rPr>
                <w:szCs w:val="24"/>
              </w:rPr>
              <w:t> </w:t>
            </w:r>
            <w:r>
              <w:rPr>
                <w:szCs w:val="24"/>
              </w:rPr>
              <w:t>krizového řízení s Univerzitou Tomáše</w:t>
            </w:r>
            <w:r w:rsidRPr="00B27286">
              <w:rPr>
                <w:szCs w:val="24"/>
              </w:rPr>
              <w:t xml:space="preserve"> Bati</w:t>
            </w:r>
            <w:r w:rsidR="00FF4A0A">
              <w:rPr>
                <w:szCs w:val="24"/>
              </w:rPr>
              <w:t>.</w:t>
            </w:r>
            <w:r w:rsidRPr="00B27286">
              <w:rPr>
                <w:szCs w:val="24"/>
              </w:rPr>
              <w:t xml:space="preserve"> </w:t>
            </w:r>
          </w:p>
          <w:p w14:paraId="6E6CA5EA" w14:textId="656B789E" w:rsidR="006704AF" w:rsidRDefault="006704AF" w:rsidP="006704AF">
            <w:pPr>
              <w:pStyle w:val="Odstavecseseznamem"/>
              <w:numPr>
                <w:ilvl w:val="0"/>
                <w:numId w:val="12"/>
              </w:numPr>
              <w:suppressAutoHyphens/>
              <w:spacing w:before="0" w:after="160"/>
              <w:ind w:left="313" w:hanging="284"/>
              <w:jc w:val="left"/>
              <w:rPr>
                <w:szCs w:val="24"/>
              </w:rPr>
            </w:pPr>
            <w:r>
              <w:rPr>
                <w:szCs w:val="24"/>
              </w:rPr>
              <w:t>Využití d</w:t>
            </w:r>
            <w:r w:rsidRPr="00B27286">
              <w:rPr>
                <w:szCs w:val="24"/>
              </w:rPr>
              <w:t>otační</w:t>
            </w:r>
            <w:r>
              <w:rPr>
                <w:szCs w:val="24"/>
              </w:rPr>
              <w:t>ch titulů</w:t>
            </w:r>
            <w:r w:rsidR="00FF4A0A">
              <w:rPr>
                <w:szCs w:val="24"/>
              </w:rPr>
              <w:t>.</w:t>
            </w:r>
          </w:p>
          <w:p w14:paraId="5925F073" w14:textId="66FF27C7" w:rsidR="006704AF" w:rsidRPr="000A720B" w:rsidRDefault="006704AF" w:rsidP="006704AF">
            <w:pPr>
              <w:pStyle w:val="Odstavecseseznamem"/>
              <w:numPr>
                <w:ilvl w:val="0"/>
                <w:numId w:val="12"/>
              </w:numPr>
              <w:suppressAutoHyphens/>
              <w:spacing w:before="0" w:after="160"/>
              <w:ind w:left="313" w:hanging="284"/>
              <w:jc w:val="left"/>
              <w:rPr>
                <w:szCs w:val="24"/>
              </w:rPr>
            </w:pPr>
            <w:r>
              <w:rPr>
                <w:szCs w:val="24"/>
              </w:rPr>
              <w:t>Věnovat pozornost ochraně obyvatelstva ukrytím</w:t>
            </w:r>
            <w:r w:rsidR="00FF4A0A">
              <w:rPr>
                <w:szCs w:val="24"/>
              </w:rPr>
              <w:t>.</w:t>
            </w:r>
          </w:p>
        </w:tc>
        <w:tc>
          <w:tcPr>
            <w:tcW w:w="4528" w:type="dxa"/>
            <w:shd w:val="clear" w:color="auto" w:fill="E5DFEC"/>
          </w:tcPr>
          <w:p w14:paraId="1F866217" w14:textId="77777777" w:rsidR="006704AF" w:rsidRPr="007C6AE7" w:rsidRDefault="006704AF" w:rsidP="000C49A5">
            <w:pPr>
              <w:suppressAutoHyphens/>
              <w:spacing w:before="0"/>
              <w:ind w:left="173"/>
              <w:contextualSpacing/>
              <w:jc w:val="left"/>
              <w:rPr>
                <w:szCs w:val="24"/>
              </w:rPr>
            </w:pPr>
          </w:p>
          <w:p w14:paraId="016DDEEE" w14:textId="65A5EA16" w:rsidR="006704AF" w:rsidRDefault="006704AF" w:rsidP="006704AF">
            <w:pPr>
              <w:numPr>
                <w:ilvl w:val="0"/>
                <w:numId w:val="13"/>
              </w:numPr>
              <w:spacing w:before="0"/>
              <w:jc w:val="left"/>
            </w:pPr>
            <w:r>
              <w:t>Nelegální migrace osob</w:t>
            </w:r>
            <w:r w:rsidR="00FF4A0A">
              <w:t>.</w:t>
            </w:r>
          </w:p>
          <w:p w14:paraId="6F0E0A61" w14:textId="2912444E" w:rsidR="006704AF" w:rsidRDefault="006704AF" w:rsidP="006704AF">
            <w:pPr>
              <w:numPr>
                <w:ilvl w:val="0"/>
                <w:numId w:val="13"/>
              </w:numPr>
              <w:spacing w:before="0"/>
              <w:jc w:val="left"/>
            </w:pPr>
            <w:r>
              <w:t>Omezení finančních zdrojů na aktivity zaměřené na prevenci kriminality a ochranu obyvatelstva</w:t>
            </w:r>
            <w:r w:rsidR="00FF4A0A">
              <w:t>.</w:t>
            </w:r>
          </w:p>
          <w:p w14:paraId="08B114BE" w14:textId="3CD336E8" w:rsidR="006704AF" w:rsidRDefault="006704AF" w:rsidP="006704AF">
            <w:pPr>
              <w:numPr>
                <w:ilvl w:val="0"/>
                <w:numId w:val="13"/>
              </w:numPr>
              <w:spacing w:before="0"/>
              <w:jc w:val="left"/>
            </w:pPr>
            <w:r>
              <w:t>Zvýšené negativní reakce obyvatel na sociálně vyloučené skupiny</w:t>
            </w:r>
            <w:r w:rsidR="00FF4A0A">
              <w:t>.</w:t>
            </w:r>
            <w:r>
              <w:t xml:space="preserve"> </w:t>
            </w:r>
          </w:p>
          <w:p w14:paraId="0C757273" w14:textId="0DEE4291" w:rsidR="006704AF" w:rsidRPr="007B138E" w:rsidRDefault="006704AF" w:rsidP="006704AF">
            <w:pPr>
              <w:numPr>
                <w:ilvl w:val="0"/>
                <w:numId w:val="13"/>
              </w:numPr>
              <w:spacing w:before="0"/>
              <w:jc w:val="left"/>
            </w:pPr>
            <w:r w:rsidRPr="007B138E">
              <w:t>Nárůst počtu sociálně vyloučených osob, větší počet osob bez domova</w:t>
            </w:r>
            <w:r>
              <w:t>, snižování věkové hranice</w:t>
            </w:r>
            <w:r w:rsidRPr="007B138E">
              <w:t>, zvýšená agresivita jedinců</w:t>
            </w:r>
            <w:r w:rsidR="00FF4A0A">
              <w:t>.</w:t>
            </w:r>
          </w:p>
          <w:p w14:paraId="10B46CD0" w14:textId="087C77D1" w:rsidR="006704AF" w:rsidRPr="007B138E" w:rsidRDefault="006704AF" w:rsidP="006704AF">
            <w:pPr>
              <w:numPr>
                <w:ilvl w:val="0"/>
                <w:numId w:val="13"/>
              </w:numPr>
              <w:spacing w:before="0"/>
              <w:jc w:val="left"/>
            </w:pPr>
            <w:r>
              <w:t>Omezená legislativa</w:t>
            </w:r>
            <w:r w:rsidRPr="007B138E">
              <w:t xml:space="preserve"> </w:t>
            </w:r>
            <w:r>
              <w:t>ne</w:t>
            </w:r>
            <w:r w:rsidRPr="007B138E">
              <w:t>umožňující bezpečnostním složkám efektivně zajišťovat veřejný pořádek</w:t>
            </w:r>
            <w:r w:rsidR="00FF4A0A">
              <w:t>.</w:t>
            </w:r>
          </w:p>
          <w:p w14:paraId="74BF2287" w14:textId="2A0D36D0" w:rsidR="006704AF" w:rsidRPr="00E855DB" w:rsidRDefault="006704AF" w:rsidP="006704AF">
            <w:pPr>
              <w:numPr>
                <w:ilvl w:val="0"/>
                <w:numId w:val="13"/>
              </w:numPr>
              <w:spacing w:before="0"/>
              <w:jc w:val="left"/>
            </w:pPr>
            <w:r>
              <w:t xml:space="preserve">Nárůst rizikových projevů chování u dětí a mladistvých včetně </w:t>
            </w:r>
            <w:r w:rsidRPr="00E855DB">
              <w:t>zneužívání alkoholu a </w:t>
            </w:r>
            <w:r>
              <w:t>návykových látek</w:t>
            </w:r>
            <w:r w:rsidR="00FF4A0A">
              <w:t>.</w:t>
            </w:r>
          </w:p>
          <w:p w14:paraId="639C935F" w14:textId="57FC91A4" w:rsidR="006704AF" w:rsidRDefault="006704AF" w:rsidP="006704AF">
            <w:pPr>
              <w:numPr>
                <w:ilvl w:val="0"/>
                <w:numId w:val="13"/>
              </w:numPr>
              <w:spacing w:before="0"/>
              <w:jc w:val="left"/>
            </w:pPr>
            <w:r>
              <w:t>Nedostatek nízkoprahových volnočasových aktivit pro rizikové skupiny</w:t>
            </w:r>
            <w:r w:rsidRPr="003E7884">
              <w:t xml:space="preserve"> mládež</w:t>
            </w:r>
            <w:r>
              <w:t>e</w:t>
            </w:r>
            <w:r w:rsidR="00FF4A0A">
              <w:t>.</w:t>
            </w:r>
            <w:r w:rsidRPr="003E7884">
              <w:t xml:space="preserve"> </w:t>
            </w:r>
          </w:p>
          <w:p w14:paraId="08CE86F2" w14:textId="0F6C36BE" w:rsidR="006704AF" w:rsidRDefault="006704AF" w:rsidP="006704AF">
            <w:pPr>
              <w:numPr>
                <w:ilvl w:val="0"/>
                <w:numId w:val="13"/>
              </w:numPr>
              <w:spacing w:before="0"/>
              <w:jc w:val="left"/>
            </w:pPr>
            <w:r>
              <w:t>Zadlužování obyvatel</w:t>
            </w:r>
            <w:r w:rsidR="00FF4A0A">
              <w:t>.</w:t>
            </w:r>
          </w:p>
          <w:p w14:paraId="761BA6CF" w14:textId="457CDBA8" w:rsidR="006704AF" w:rsidRPr="00EA7A95" w:rsidRDefault="006704AF" w:rsidP="006704AF">
            <w:pPr>
              <w:numPr>
                <w:ilvl w:val="0"/>
                <w:numId w:val="13"/>
              </w:numPr>
              <w:spacing w:before="0"/>
              <w:jc w:val="left"/>
              <w:rPr>
                <w:szCs w:val="24"/>
              </w:rPr>
            </w:pPr>
            <w:r>
              <w:t>Zvyšující se počet dopravních nehod</w:t>
            </w:r>
            <w:r w:rsidR="00FF4A0A">
              <w:t>.</w:t>
            </w:r>
          </w:p>
          <w:p w14:paraId="1DDB5C8C" w14:textId="6203A48E" w:rsidR="006704AF" w:rsidRPr="00450E3B" w:rsidRDefault="006704AF" w:rsidP="006704AF">
            <w:pPr>
              <w:numPr>
                <w:ilvl w:val="0"/>
                <w:numId w:val="13"/>
              </w:numPr>
              <w:spacing w:before="0"/>
              <w:jc w:val="left"/>
              <w:rPr>
                <w:szCs w:val="24"/>
              </w:rPr>
            </w:pPr>
            <w:r>
              <w:t>Nedostatečné zajištění kybernetické bezpečnosti, ohrožení fungování kritických infrastruktur</w:t>
            </w:r>
            <w:r w:rsidR="00FF4A0A">
              <w:t>.</w:t>
            </w:r>
          </w:p>
          <w:p w14:paraId="037A1864" w14:textId="4B3F0A96" w:rsidR="006704AF" w:rsidRPr="00BC1A35" w:rsidRDefault="006704AF" w:rsidP="00492D32">
            <w:pPr>
              <w:numPr>
                <w:ilvl w:val="0"/>
                <w:numId w:val="13"/>
              </w:numPr>
              <w:spacing w:before="0"/>
              <w:jc w:val="left"/>
              <w:rPr>
                <w:szCs w:val="24"/>
              </w:rPr>
            </w:pPr>
            <w:r>
              <w:t>Nedostatečné zohlednění bezpečnostních rizik při pořádání hromadných akcí a budování nových objektů pro tyto akce (sportovní i</w:t>
            </w:r>
            <w:r w:rsidR="00492D32">
              <w:t> </w:t>
            </w:r>
            <w:r>
              <w:t>kulturní)</w:t>
            </w:r>
            <w:r w:rsidR="00FF4A0A">
              <w:t>.</w:t>
            </w:r>
            <w:r>
              <w:t xml:space="preserve"> </w:t>
            </w:r>
          </w:p>
        </w:tc>
      </w:tr>
    </w:tbl>
    <w:p w14:paraId="5727F73D" w14:textId="429A4F04" w:rsidR="006704AF" w:rsidRDefault="006704AF" w:rsidP="006704AF"/>
    <w:p w14:paraId="34D62E89" w14:textId="77777777" w:rsidR="006704AF" w:rsidRDefault="006704AF">
      <w:pPr>
        <w:spacing w:before="0" w:after="160" w:line="259" w:lineRule="auto"/>
        <w:jc w:val="left"/>
      </w:pPr>
      <w:r>
        <w:br w:type="page"/>
      </w:r>
    </w:p>
    <w:p w14:paraId="44E57250" w14:textId="77777777" w:rsidR="00954688" w:rsidRDefault="00954688" w:rsidP="00954688">
      <w:pPr>
        <w:pStyle w:val="Nadpis2"/>
      </w:pPr>
      <w:bookmarkStart w:id="396" w:name="_Toc53066238"/>
      <w:bookmarkStart w:id="397" w:name="_Toc77074601"/>
      <w:bookmarkEnd w:id="346"/>
      <w:r w:rsidRPr="003B6339">
        <w:lastRenderedPageBreak/>
        <w:t>Vstřícné město</w:t>
      </w:r>
      <w:bookmarkEnd w:id="396"/>
      <w:bookmarkEnd w:id="397"/>
      <w:r>
        <w:t xml:space="preserve"> </w:t>
      </w:r>
    </w:p>
    <w:p w14:paraId="315F4ACB" w14:textId="77777777" w:rsidR="00954688" w:rsidRPr="00233605" w:rsidRDefault="00954688" w:rsidP="00954688">
      <w:pPr>
        <w:pStyle w:val="Nadpis3"/>
        <w:ind w:left="720"/>
      </w:pPr>
      <w:bookmarkStart w:id="398" w:name="_Toc53066239"/>
      <w:bookmarkStart w:id="399" w:name="_Toc77074602"/>
      <w:r w:rsidRPr="00233605">
        <w:t>Ekonomický rozvoj a trh práce</w:t>
      </w:r>
      <w:bookmarkEnd w:id="398"/>
      <w:bookmarkEnd w:id="399"/>
      <w:r w:rsidRPr="00233605">
        <w:t xml:space="preserve"> </w:t>
      </w:r>
    </w:p>
    <w:p w14:paraId="2FC51E85" w14:textId="77777777" w:rsidR="00954688" w:rsidRDefault="00954688" w:rsidP="00954688">
      <w:pPr>
        <w:pStyle w:val="Nadpis4"/>
      </w:pPr>
      <w:r>
        <w:t xml:space="preserve">Vývoj na trhu práce </w:t>
      </w:r>
    </w:p>
    <w:p w14:paraId="3830A6D0" w14:textId="41D5EDC5" w:rsidR="00954688" w:rsidRDefault="00954688" w:rsidP="00954688">
      <w:pPr>
        <w:tabs>
          <w:tab w:val="left" w:pos="142"/>
        </w:tabs>
        <w:spacing w:before="0"/>
        <w:rPr>
          <w:rFonts w:cs="Times New Roman"/>
          <w:szCs w:val="18"/>
        </w:rPr>
      </w:pPr>
      <w:r>
        <w:rPr>
          <w:rFonts w:cs="Times New Roman"/>
          <w:szCs w:val="18"/>
        </w:rPr>
        <w:t>Vývoj podílu nezaměstnaných osob ve městě Zlín (</w:t>
      </w:r>
      <w:r w:rsidRPr="00BC6158">
        <w:rPr>
          <w:rFonts w:cs="Times New Roman"/>
          <w:i/>
          <w:szCs w:val="18"/>
        </w:rPr>
        <w:t>podíl dosažitelných uchazečů ve věku 15</w:t>
      </w:r>
      <w:r w:rsidR="000647A3">
        <w:rPr>
          <w:rFonts w:cs="Times New Roman"/>
          <w:i/>
          <w:szCs w:val="18"/>
        </w:rPr>
        <w:t xml:space="preserve"> </w:t>
      </w:r>
      <w:r w:rsidR="000647A3">
        <w:rPr>
          <w:rFonts w:cs="Times New Roman"/>
          <w:i/>
          <w:szCs w:val="18"/>
        </w:rPr>
        <w:sym w:font="Symbol" w:char="F02D"/>
      </w:r>
      <w:r w:rsidR="000647A3">
        <w:rPr>
          <w:rFonts w:cs="Times New Roman"/>
          <w:i/>
          <w:szCs w:val="18"/>
        </w:rPr>
        <w:t xml:space="preserve"> </w:t>
      </w:r>
      <w:r w:rsidRPr="00BC6158">
        <w:rPr>
          <w:rFonts w:cs="Times New Roman"/>
          <w:i/>
          <w:szCs w:val="18"/>
        </w:rPr>
        <w:t>64 let k</w:t>
      </w:r>
      <w:r>
        <w:rPr>
          <w:rFonts w:cs="Times New Roman"/>
          <w:i/>
          <w:szCs w:val="18"/>
        </w:rPr>
        <w:t> </w:t>
      </w:r>
      <w:r w:rsidRPr="00BC6158">
        <w:rPr>
          <w:rFonts w:cs="Times New Roman"/>
          <w:i/>
          <w:szCs w:val="18"/>
        </w:rPr>
        <w:t xml:space="preserve">počtu obyvatelstva ve věku </w:t>
      </w:r>
      <w:r w:rsidR="000647A3" w:rsidRPr="00BC6158">
        <w:rPr>
          <w:rFonts w:cs="Times New Roman"/>
          <w:i/>
          <w:szCs w:val="18"/>
        </w:rPr>
        <w:t>15</w:t>
      </w:r>
      <w:r w:rsidR="000647A3">
        <w:rPr>
          <w:rFonts w:cs="Times New Roman"/>
          <w:i/>
          <w:szCs w:val="18"/>
        </w:rPr>
        <w:t xml:space="preserve"> </w:t>
      </w:r>
      <w:r w:rsidR="000647A3">
        <w:rPr>
          <w:rFonts w:cs="Times New Roman"/>
          <w:i/>
          <w:szCs w:val="18"/>
        </w:rPr>
        <w:sym w:font="Symbol" w:char="F02D"/>
      </w:r>
      <w:r w:rsidR="000647A3">
        <w:rPr>
          <w:rFonts w:cs="Times New Roman"/>
          <w:i/>
          <w:szCs w:val="18"/>
        </w:rPr>
        <w:t xml:space="preserve"> </w:t>
      </w:r>
      <w:r w:rsidR="000647A3" w:rsidRPr="00BC6158">
        <w:rPr>
          <w:rFonts w:cs="Times New Roman"/>
          <w:i/>
          <w:szCs w:val="18"/>
        </w:rPr>
        <w:t xml:space="preserve">64 </w:t>
      </w:r>
      <w:r w:rsidRPr="00BC6158">
        <w:rPr>
          <w:rFonts w:cs="Times New Roman"/>
          <w:i/>
          <w:szCs w:val="18"/>
        </w:rPr>
        <w:t>let</w:t>
      </w:r>
      <w:r>
        <w:rPr>
          <w:rFonts w:cs="Times New Roman"/>
          <w:szCs w:val="18"/>
        </w:rPr>
        <w:t xml:space="preserve">) má od roku 2014 klesající tendenci. </w:t>
      </w:r>
    </w:p>
    <w:p w14:paraId="3D7C52E1" w14:textId="357177A3" w:rsidR="00954688" w:rsidRDefault="00954688" w:rsidP="00954688">
      <w:pPr>
        <w:tabs>
          <w:tab w:val="left" w:pos="142"/>
        </w:tabs>
        <w:spacing w:before="0"/>
      </w:pPr>
      <w:r w:rsidRPr="00173C5E">
        <w:rPr>
          <w:rFonts w:cs="Times New Roman"/>
          <w:szCs w:val="18"/>
        </w:rPr>
        <w:t>K 31. 12. 201</w:t>
      </w:r>
      <w:r>
        <w:rPr>
          <w:rFonts w:cs="Times New Roman"/>
          <w:szCs w:val="18"/>
        </w:rPr>
        <w:t>9 činil</w:t>
      </w:r>
      <w:r w:rsidRPr="00173C5E">
        <w:rPr>
          <w:rFonts w:cs="Times New Roman"/>
          <w:szCs w:val="18"/>
        </w:rPr>
        <w:t xml:space="preserve"> podíl nezaměstnaných osob na území </w:t>
      </w:r>
      <w:r>
        <w:rPr>
          <w:rFonts w:cs="Times New Roman"/>
          <w:szCs w:val="18"/>
        </w:rPr>
        <w:t>města Zlín 2,22</w:t>
      </w:r>
      <w:r w:rsidRPr="00173C5E">
        <w:rPr>
          <w:rFonts w:cs="Times New Roman"/>
          <w:szCs w:val="18"/>
        </w:rPr>
        <w:t xml:space="preserve"> %, žilo zde k tomuto datu </w:t>
      </w:r>
      <w:r>
        <w:rPr>
          <w:rFonts w:cs="Times New Roman"/>
          <w:szCs w:val="18"/>
        </w:rPr>
        <w:t xml:space="preserve">1 041 </w:t>
      </w:r>
      <w:r w:rsidRPr="00173C5E">
        <w:rPr>
          <w:rFonts w:cs="Times New Roman"/>
          <w:szCs w:val="18"/>
        </w:rPr>
        <w:t>dosažitelných uchazečů o</w:t>
      </w:r>
      <w:r>
        <w:rPr>
          <w:rFonts w:cs="Times New Roman"/>
          <w:szCs w:val="18"/>
        </w:rPr>
        <w:t> </w:t>
      </w:r>
      <w:r w:rsidRPr="00173C5E">
        <w:rPr>
          <w:rFonts w:cs="Times New Roman"/>
          <w:szCs w:val="18"/>
        </w:rPr>
        <w:t xml:space="preserve">zaměstnání </w:t>
      </w:r>
      <w:r w:rsidRPr="00173C5E">
        <w:rPr>
          <w:rFonts w:cs="Times New Roman"/>
          <w:i/>
          <w:szCs w:val="18"/>
        </w:rPr>
        <w:t xml:space="preserve">(osoby ve věku </w:t>
      </w:r>
      <w:r w:rsidR="000647A3" w:rsidRPr="00BC6158">
        <w:rPr>
          <w:rFonts w:cs="Times New Roman"/>
          <w:i/>
          <w:szCs w:val="18"/>
        </w:rPr>
        <w:t>15</w:t>
      </w:r>
      <w:r w:rsidR="000647A3">
        <w:rPr>
          <w:rFonts w:cs="Times New Roman"/>
          <w:i/>
          <w:szCs w:val="18"/>
        </w:rPr>
        <w:t xml:space="preserve"> </w:t>
      </w:r>
      <w:r w:rsidR="000647A3">
        <w:rPr>
          <w:rFonts w:cs="Times New Roman"/>
          <w:i/>
          <w:szCs w:val="18"/>
        </w:rPr>
        <w:sym w:font="Symbol" w:char="F02D"/>
      </w:r>
      <w:r w:rsidR="000647A3">
        <w:rPr>
          <w:rFonts w:cs="Times New Roman"/>
          <w:i/>
          <w:szCs w:val="18"/>
        </w:rPr>
        <w:t xml:space="preserve"> </w:t>
      </w:r>
      <w:r w:rsidR="000647A3" w:rsidRPr="00BC6158">
        <w:rPr>
          <w:rFonts w:cs="Times New Roman"/>
          <w:i/>
          <w:szCs w:val="18"/>
        </w:rPr>
        <w:t xml:space="preserve">64 </w:t>
      </w:r>
      <w:r w:rsidRPr="00173C5E">
        <w:rPr>
          <w:rFonts w:cs="Times New Roman"/>
          <w:i/>
          <w:szCs w:val="18"/>
        </w:rPr>
        <w:t>let, které mohou bezprostředně nastoupit do zaměstnání při nabídce vhodného pracovního místa – evidovaní nezaměstnaní, kteří nemají žádnou objektivní překážku pro přijetí zaměstnání)</w:t>
      </w:r>
      <w:r w:rsidRPr="00173C5E">
        <w:rPr>
          <w:rFonts w:cs="Times New Roman"/>
          <w:szCs w:val="18"/>
        </w:rPr>
        <w:t>.</w:t>
      </w:r>
      <w:r w:rsidRPr="00EE67AF">
        <w:t xml:space="preserve"> </w:t>
      </w:r>
      <w:r>
        <w:t>Může se jednat o tzv. přirozenou</w:t>
      </w:r>
      <w:r w:rsidRPr="009B255F">
        <w:t xml:space="preserve"> hodnot</w:t>
      </w:r>
      <w:r>
        <w:t>u</w:t>
      </w:r>
      <w:r w:rsidRPr="009B255F">
        <w:t xml:space="preserve"> nezaměstnanosti</w:t>
      </w:r>
      <w:r>
        <w:t>, tedy r</w:t>
      </w:r>
      <w:r w:rsidRPr="00C4245D">
        <w:t xml:space="preserve">eziduum lidí, kteří </w:t>
      </w:r>
      <w:r>
        <w:t xml:space="preserve">práci </w:t>
      </w:r>
      <w:r w:rsidRPr="00C4245D">
        <w:t>nechtějí</w:t>
      </w:r>
      <w:r>
        <w:t xml:space="preserve"> a skupinu lidí, kteří jsou </w:t>
      </w:r>
      <w:r w:rsidRPr="00C4245D">
        <w:t>ve fázi přesunu z</w:t>
      </w:r>
      <w:r>
        <w:t> </w:t>
      </w:r>
      <w:r w:rsidRPr="00C4245D">
        <w:t>předchozí práce na nové místo</w:t>
      </w:r>
      <w:r>
        <w:t xml:space="preserve"> (tzv. f</w:t>
      </w:r>
      <w:r w:rsidRPr="00C4245D">
        <w:t>rikční nezaměstnanost</w:t>
      </w:r>
      <w:r>
        <w:t>).</w:t>
      </w:r>
    </w:p>
    <w:p w14:paraId="658448FE" w14:textId="06F375A4" w:rsidR="00954688" w:rsidRDefault="00954688" w:rsidP="00954688">
      <w:pPr>
        <w:tabs>
          <w:tab w:val="left" w:pos="142"/>
        </w:tabs>
        <w:spacing w:before="0"/>
        <w:rPr>
          <w:rFonts w:cs="Times New Roman"/>
          <w:szCs w:val="18"/>
        </w:rPr>
      </w:pPr>
      <w:r>
        <w:t xml:space="preserve">Na region ovšem začíná dopadat ekonomická recese. Na začátku roku bývá podíl nezaměstnaných osob nejvyšší (nejsou sezónní práce, ke konci roku končí smlouvy) a následně se hodnota snižuje. Vlivem recese podíl nezaměstnaných osob od března roku </w:t>
      </w:r>
      <w:r>
        <w:rPr>
          <w:rFonts w:cs="Times New Roman"/>
          <w:szCs w:val="18"/>
        </w:rPr>
        <w:t xml:space="preserve">2020 ale začal narůstat. K 31. 5. 2020 činil podíl nezaměstnaných 2,94 % a počet dosažitelných uchazečů se zvýšil na 1 365 osob. Porovnání vývoje podílu nezaměstnaných osob ve městě Zlín, SO ORP Zlín a ve Zlínském kraji je zobrazen v grafu na obrázku </w:t>
      </w:r>
      <w:r w:rsidR="00E111E6">
        <w:rPr>
          <w:rFonts w:cs="Times New Roman"/>
          <w:szCs w:val="18"/>
        </w:rPr>
        <w:t xml:space="preserve">1.79 </w:t>
      </w:r>
      <w:r>
        <w:rPr>
          <w:rFonts w:cs="Times New Roman"/>
          <w:szCs w:val="18"/>
        </w:rPr>
        <w:t xml:space="preserve">a v tabulce </w:t>
      </w:r>
      <w:r w:rsidR="00122205">
        <w:rPr>
          <w:rFonts w:cs="Times New Roman"/>
          <w:szCs w:val="18"/>
        </w:rPr>
        <w:t>1.57</w:t>
      </w:r>
      <w:r>
        <w:rPr>
          <w:rFonts w:cs="Times New Roman"/>
          <w:szCs w:val="18"/>
        </w:rPr>
        <w:t xml:space="preserve">. </w:t>
      </w:r>
    </w:p>
    <w:p w14:paraId="1EF12E83" w14:textId="1646BFBE" w:rsidR="00954688" w:rsidRDefault="00954688" w:rsidP="00954688">
      <w:pPr>
        <w:pStyle w:val="Titulek"/>
      </w:pPr>
      <w:bookmarkStart w:id="400" w:name="_Toc53066191"/>
      <w:bookmarkStart w:id="401" w:name="_Toc7707489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79</w:t>
      </w:r>
      <w:r w:rsidR="00804AF3">
        <w:rPr>
          <w:noProof/>
        </w:rPr>
        <w:fldChar w:fldCharType="end"/>
      </w:r>
      <w:r w:rsidR="000647A3">
        <w:rPr>
          <w:noProof/>
        </w:rPr>
        <w:t>:</w:t>
      </w:r>
      <w:r w:rsidR="00CC4E09">
        <w:t xml:space="preserve"> </w:t>
      </w:r>
      <w:r>
        <w:t>Vývoj podílu nezaměstnaných osob ve městě Zlíně, SO ORP Zlín a Zlínském kraji za jednotlivé měsíce od roku 2014</w:t>
      </w:r>
      <w:bookmarkEnd w:id="400"/>
      <w:bookmarkEnd w:id="401"/>
    </w:p>
    <w:p w14:paraId="25922332" w14:textId="0113828F" w:rsidR="00954688" w:rsidRDefault="00954688" w:rsidP="00954688">
      <w:pPr>
        <w:pStyle w:val="Zdroj"/>
      </w:pPr>
      <w:r>
        <w:rPr>
          <w:noProof/>
        </w:rPr>
        <w:drawing>
          <wp:inline distT="0" distB="0" distL="0" distR="0" wp14:anchorId="21A88078" wp14:editId="58552D32">
            <wp:extent cx="5773420" cy="3096895"/>
            <wp:effectExtent l="0" t="0" r="0" b="8255"/>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73420" cy="3096895"/>
                    </a:xfrm>
                    <a:prstGeom prst="rect">
                      <a:avLst/>
                    </a:prstGeom>
                    <a:noFill/>
                  </pic:spPr>
                </pic:pic>
              </a:graphicData>
            </a:graphic>
          </wp:inline>
        </w:drawing>
      </w:r>
      <w:r w:rsidRPr="00343A2A">
        <w:t>Zdroj: ČSÚ, veřejná databáze, zpracování PROCES</w:t>
      </w:r>
      <w:r w:rsidR="000647A3">
        <w:t>, 2020.</w:t>
      </w:r>
    </w:p>
    <w:p w14:paraId="725CF334" w14:textId="77777777" w:rsidR="00954688" w:rsidRDefault="00954688" w:rsidP="00954688">
      <w:pPr>
        <w:tabs>
          <w:tab w:val="left" w:pos="142"/>
        </w:tabs>
        <w:spacing w:before="0"/>
        <w:rPr>
          <w:rFonts w:cs="Times New Roman"/>
          <w:szCs w:val="18"/>
        </w:rPr>
      </w:pPr>
      <w:r w:rsidRPr="00330FF8">
        <w:t xml:space="preserve">Město Zlín </w:t>
      </w:r>
      <w:r>
        <w:t>kopíruje trend vývoje podílu nezaměstnaných osob v SO ORP Zlín i ve Zlínském kraji. D</w:t>
      </w:r>
      <w:r w:rsidRPr="00330FF8">
        <w:t xml:space="preserve">louhodobě vykazuje nižší podíl nezaměstnaných osob oproti Zlínskému kraji </w:t>
      </w:r>
      <w:r>
        <w:t xml:space="preserve">a </w:t>
      </w:r>
      <w:r>
        <w:rPr>
          <w:rFonts w:cs="Times New Roman"/>
          <w:szCs w:val="18"/>
        </w:rPr>
        <w:t xml:space="preserve">v porovnání s podílem nezaměstnaných osob v </w:t>
      </w:r>
      <w:r>
        <w:t xml:space="preserve">SO ORP Zlín zase </w:t>
      </w:r>
      <w:r>
        <w:rPr>
          <w:rFonts w:cs="Times New Roman"/>
          <w:szCs w:val="18"/>
        </w:rPr>
        <w:t>zaznamenává město Zlín mírně vyšší hodnoty. Nejnižší podíl nezaměstnaných osob v meziročním rovnání byl zaznamenán v roce 2019.</w:t>
      </w:r>
    </w:p>
    <w:p w14:paraId="72EAFB03" w14:textId="77777777" w:rsidR="00954688" w:rsidRDefault="00954688" w:rsidP="00954688">
      <w:pPr>
        <w:spacing w:before="0" w:after="160" w:line="259" w:lineRule="auto"/>
        <w:jc w:val="left"/>
        <w:rPr>
          <w:rFonts w:cs="Times New Roman"/>
          <w:szCs w:val="18"/>
        </w:rPr>
      </w:pPr>
      <w:r>
        <w:rPr>
          <w:rFonts w:cs="Times New Roman"/>
          <w:szCs w:val="18"/>
        </w:rPr>
        <w:br w:type="page"/>
      </w:r>
    </w:p>
    <w:p w14:paraId="3BAC9C4C" w14:textId="3DE52F2E" w:rsidR="00954688" w:rsidRDefault="00954688" w:rsidP="00954688">
      <w:pPr>
        <w:pStyle w:val="Titulek"/>
      </w:pPr>
      <w:bookmarkStart w:id="402" w:name="_Toc53066215"/>
      <w:bookmarkStart w:id="403" w:name="_Toc77074737"/>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57</w:t>
      </w:r>
      <w:r w:rsidR="00081B47">
        <w:rPr>
          <w:noProof/>
        </w:rPr>
        <w:fldChar w:fldCharType="end"/>
      </w:r>
      <w:r w:rsidR="000647A3">
        <w:rPr>
          <w:noProof/>
        </w:rPr>
        <w:t>:</w:t>
      </w:r>
      <w:r>
        <w:t xml:space="preserve"> Vývoj podílu nezaměstnaných osob ve městě Zlín, SO ORP Zlín a Zlínském kraji vždy k 31. 12. daného roku a 31. 5. 2020</w:t>
      </w:r>
      <w:bookmarkEnd w:id="402"/>
      <w:bookmarkEnd w:id="403"/>
    </w:p>
    <w:tbl>
      <w:tblPr>
        <w:tblW w:w="8620" w:type="dxa"/>
        <w:tblCellMar>
          <w:left w:w="70" w:type="dxa"/>
          <w:right w:w="70" w:type="dxa"/>
        </w:tblCellMar>
        <w:tblLook w:val="04A0" w:firstRow="1" w:lastRow="0" w:firstColumn="1" w:lastColumn="0" w:noHBand="0" w:noVBand="1"/>
      </w:tblPr>
      <w:tblGrid>
        <w:gridCol w:w="2560"/>
        <w:gridCol w:w="1020"/>
        <w:gridCol w:w="840"/>
        <w:gridCol w:w="840"/>
        <w:gridCol w:w="840"/>
        <w:gridCol w:w="840"/>
        <w:gridCol w:w="840"/>
        <w:gridCol w:w="840"/>
      </w:tblGrid>
      <w:tr w:rsidR="00954688" w:rsidRPr="006D6D96" w14:paraId="19EC1B11" w14:textId="77777777" w:rsidTr="000C49A5">
        <w:trPr>
          <w:trHeight w:val="240"/>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F4F356" w14:textId="77777777" w:rsidR="00954688" w:rsidRPr="006D6D96" w:rsidRDefault="00954688" w:rsidP="000C49A5">
            <w:pPr>
              <w:spacing w:before="0"/>
              <w:jc w:val="lef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 </w:t>
            </w:r>
          </w:p>
        </w:tc>
        <w:tc>
          <w:tcPr>
            <w:tcW w:w="1020" w:type="dxa"/>
            <w:tcBorders>
              <w:top w:val="single" w:sz="4" w:space="0" w:color="auto"/>
              <w:left w:val="nil"/>
              <w:bottom w:val="single" w:sz="4" w:space="0" w:color="auto"/>
              <w:right w:val="single" w:sz="4" w:space="0" w:color="auto"/>
            </w:tcBorders>
            <w:shd w:val="clear" w:color="DDEBF7" w:fill="E7E6E6"/>
            <w:noWrap/>
            <w:vAlign w:val="bottom"/>
            <w:hideMark/>
          </w:tcPr>
          <w:p w14:paraId="3B282161" w14:textId="77777777" w:rsidR="00954688" w:rsidRPr="006D6D96" w:rsidRDefault="00954688" w:rsidP="000C49A5">
            <w:pPr>
              <w:spacing w:before="0"/>
              <w:jc w:val="right"/>
              <w:rPr>
                <w:rFonts w:ascii="Calibri" w:eastAsia="Times New Roman" w:hAnsi="Calibri" w:cs="Calibri"/>
                <w:b/>
                <w:bCs/>
                <w:color w:val="000000"/>
                <w:sz w:val="18"/>
                <w:szCs w:val="18"/>
                <w:lang w:eastAsia="cs-CZ"/>
              </w:rPr>
            </w:pPr>
            <w:r w:rsidRPr="006D6D96">
              <w:rPr>
                <w:rFonts w:ascii="Calibri" w:eastAsia="Times New Roman" w:hAnsi="Calibri" w:cs="Calibri"/>
                <w:b/>
                <w:bCs/>
                <w:color w:val="000000"/>
                <w:sz w:val="18"/>
                <w:szCs w:val="18"/>
                <w:lang w:eastAsia="cs-CZ"/>
              </w:rPr>
              <w:t>2014/12</w:t>
            </w:r>
          </w:p>
        </w:tc>
        <w:tc>
          <w:tcPr>
            <w:tcW w:w="840" w:type="dxa"/>
            <w:tcBorders>
              <w:top w:val="single" w:sz="4" w:space="0" w:color="auto"/>
              <w:left w:val="nil"/>
              <w:bottom w:val="single" w:sz="4" w:space="0" w:color="auto"/>
              <w:right w:val="single" w:sz="4" w:space="0" w:color="auto"/>
            </w:tcBorders>
            <w:shd w:val="clear" w:color="DDEBF7" w:fill="E7E6E6"/>
            <w:noWrap/>
            <w:vAlign w:val="bottom"/>
            <w:hideMark/>
          </w:tcPr>
          <w:p w14:paraId="0D9558BD" w14:textId="77777777" w:rsidR="00954688" w:rsidRPr="006D6D96" w:rsidRDefault="00954688" w:rsidP="000C49A5">
            <w:pPr>
              <w:spacing w:before="0"/>
              <w:jc w:val="right"/>
              <w:rPr>
                <w:rFonts w:ascii="Calibri" w:eastAsia="Times New Roman" w:hAnsi="Calibri" w:cs="Calibri"/>
                <w:b/>
                <w:bCs/>
                <w:color w:val="000000"/>
                <w:sz w:val="18"/>
                <w:szCs w:val="18"/>
                <w:lang w:eastAsia="cs-CZ"/>
              </w:rPr>
            </w:pPr>
            <w:r w:rsidRPr="006D6D96">
              <w:rPr>
                <w:rFonts w:ascii="Calibri" w:eastAsia="Times New Roman" w:hAnsi="Calibri" w:cs="Calibri"/>
                <w:b/>
                <w:bCs/>
                <w:color w:val="000000"/>
                <w:sz w:val="18"/>
                <w:szCs w:val="18"/>
                <w:lang w:eastAsia="cs-CZ"/>
              </w:rPr>
              <w:t>2015/12</w:t>
            </w:r>
          </w:p>
        </w:tc>
        <w:tc>
          <w:tcPr>
            <w:tcW w:w="840" w:type="dxa"/>
            <w:tcBorders>
              <w:top w:val="single" w:sz="4" w:space="0" w:color="auto"/>
              <w:left w:val="nil"/>
              <w:bottom w:val="single" w:sz="4" w:space="0" w:color="auto"/>
              <w:right w:val="single" w:sz="4" w:space="0" w:color="auto"/>
            </w:tcBorders>
            <w:shd w:val="clear" w:color="DDEBF7" w:fill="E7E6E6"/>
            <w:noWrap/>
            <w:vAlign w:val="bottom"/>
            <w:hideMark/>
          </w:tcPr>
          <w:p w14:paraId="3579FD9D" w14:textId="77777777" w:rsidR="00954688" w:rsidRPr="006D6D96" w:rsidRDefault="00954688" w:rsidP="000C49A5">
            <w:pPr>
              <w:spacing w:before="0"/>
              <w:jc w:val="right"/>
              <w:rPr>
                <w:rFonts w:ascii="Calibri" w:eastAsia="Times New Roman" w:hAnsi="Calibri" w:cs="Calibri"/>
                <w:b/>
                <w:bCs/>
                <w:color w:val="000000"/>
                <w:sz w:val="18"/>
                <w:szCs w:val="18"/>
                <w:lang w:eastAsia="cs-CZ"/>
              </w:rPr>
            </w:pPr>
            <w:r w:rsidRPr="006D6D96">
              <w:rPr>
                <w:rFonts w:ascii="Calibri" w:eastAsia="Times New Roman" w:hAnsi="Calibri" w:cs="Calibri"/>
                <w:b/>
                <w:bCs/>
                <w:color w:val="000000"/>
                <w:sz w:val="18"/>
                <w:szCs w:val="18"/>
                <w:lang w:eastAsia="cs-CZ"/>
              </w:rPr>
              <w:t>2016/12</w:t>
            </w:r>
          </w:p>
        </w:tc>
        <w:tc>
          <w:tcPr>
            <w:tcW w:w="840" w:type="dxa"/>
            <w:tcBorders>
              <w:top w:val="single" w:sz="4" w:space="0" w:color="auto"/>
              <w:left w:val="nil"/>
              <w:bottom w:val="single" w:sz="4" w:space="0" w:color="auto"/>
              <w:right w:val="single" w:sz="4" w:space="0" w:color="auto"/>
            </w:tcBorders>
            <w:shd w:val="clear" w:color="DDEBF7" w:fill="E7E6E6"/>
            <w:noWrap/>
            <w:vAlign w:val="bottom"/>
            <w:hideMark/>
          </w:tcPr>
          <w:p w14:paraId="2403374B" w14:textId="77777777" w:rsidR="00954688" w:rsidRPr="006D6D96" w:rsidRDefault="00954688" w:rsidP="000C49A5">
            <w:pPr>
              <w:spacing w:before="0"/>
              <w:jc w:val="right"/>
              <w:rPr>
                <w:rFonts w:ascii="Calibri" w:eastAsia="Times New Roman" w:hAnsi="Calibri" w:cs="Calibri"/>
                <w:b/>
                <w:bCs/>
                <w:color w:val="000000"/>
                <w:sz w:val="18"/>
                <w:szCs w:val="18"/>
                <w:lang w:eastAsia="cs-CZ"/>
              </w:rPr>
            </w:pPr>
            <w:r w:rsidRPr="006D6D96">
              <w:rPr>
                <w:rFonts w:ascii="Calibri" w:eastAsia="Times New Roman" w:hAnsi="Calibri" w:cs="Calibri"/>
                <w:b/>
                <w:bCs/>
                <w:color w:val="000000"/>
                <w:sz w:val="18"/>
                <w:szCs w:val="18"/>
                <w:lang w:eastAsia="cs-CZ"/>
              </w:rPr>
              <w:t>2017/12</w:t>
            </w:r>
          </w:p>
        </w:tc>
        <w:tc>
          <w:tcPr>
            <w:tcW w:w="840" w:type="dxa"/>
            <w:tcBorders>
              <w:top w:val="single" w:sz="4" w:space="0" w:color="auto"/>
              <w:left w:val="nil"/>
              <w:bottom w:val="single" w:sz="4" w:space="0" w:color="auto"/>
              <w:right w:val="single" w:sz="4" w:space="0" w:color="auto"/>
            </w:tcBorders>
            <w:shd w:val="clear" w:color="DDEBF7" w:fill="E7E6E6"/>
            <w:noWrap/>
            <w:vAlign w:val="bottom"/>
            <w:hideMark/>
          </w:tcPr>
          <w:p w14:paraId="2A6D081F" w14:textId="77777777" w:rsidR="00954688" w:rsidRPr="006D6D96" w:rsidRDefault="00954688" w:rsidP="000C49A5">
            <w:pPr>
              <w:spacing w:before="0"/>
              <w:jc w:val="right"/>
              <w:rPr>
                <w:rFonts w:ascii="Calibri" w:eastAsia="Times New Roman" w:hAnsi="Calibri" w:cs="Calibri"/>
                <w:b/>
                <w:bCs/>
                <w:color w:val="000000"/>
                <w:sz w:val="18"/>
                <w:szCs w:val="18"/>
                <w:lang w:eastAsia="cs-CZ"/>
              </w:rPr>
            </w:pPr>
            <w:r w:rsidRPr="006D6D96">
              <w:rPr>
                <w:rFonts w:ascii="Calibri" w:eastAsia="Times New Roman" w:hAnsi="Calibri" w:cs="Calibri"/>
                <w:b/>
                <w:bCs/>
                <w:color w:val="000000"/>
                <w:sz w:val="18"/>
                <w:szCs w:val="18"/>
                <w:lang w:eastAsia="cs-CZ"/>
              </w:rPr>
              <w:t>2018/12</w:t>
            </w:r>
          </w:p>
        </w:tc>
        <w:tc>
          <w:tcPr>
            <w:tcW w:w="840" w:type="dxa"/>
            <w:tcBorders>
              <w:top w:val="single" w:sz="4" w:space="0" w:color="auto"/>
              <w:left w:val="nil"/>
              <w:bottom w:val="single" w:sz="4" w:space="0" w:color="auto"/>
              <w:right w:val="single" w:sz="4" w:space="0" w:color="auto"/>
            </w:tcBorders>
            <w:shd w:val="clear" w:color="DDEBF7" w:fill="E7E6E6"/>
            <w:noWrap/>
            <w:vAlign w:val="bottom"/>
            <w:hideMark/>
          </w:tcPr>
          <w:p w14:paraId="33DD58DE" w14:textId="77777777" w:rsidR="00954688" w:rsidRPr="006D6D96" w:rsidRDefault="00954688" w:rsidP="000C49A5">
            <w:pPr>
              <w:spacing w:before="0"/>
              <w:jc w:val="right"/>
              <w:rPr>
                <w:rFonts w:ascii="Calibri" w:eastAsia="Times New Roman" w:hAnsi="Calibri" w:cs="Calibri"/>
                <w:b/>
                <w:bCs/>
                <w:color w:val="000000"/>
                <w:sz w:val="18"/>
                <w:szCs w:val="18"/>
                <w:lang w:eastAsia="cs-CZ"/>
              </w:rPr>
            </w:pPr>
            <w:r w:rsidRPr="006D6D96">
              <w:rPr>
                <w:rFonts w:ascii="Calibri" w:eastAsia="Times New Roman" w:hAnsi="Calibri" w:cs="Calibri"/>
                <w:b/>
                <w:bCs/>
                <w:color w:val="000000"/>
                <w:sz w:val="18"/>
                <w:szCs w:val="18"/>
                <w:lang w:eastAsia="cs-CZ"/>
              </w:rPr>
              <w:t>2019/12</w:t>
            </w:r>
          </w:p>
        </w:tc>
        <w:tc>
          <w:tcPr>
            <w:tcW w:w="840" w:type="dxa"/>
            <w:tcBorders>
              <w:top w:val="single" w:sz="4" w:space="0" w:color="auto"/>
              <w:left w:val="nil"/>
              <w:bottom w:val="single" w:sz="4" w:space="0" w:color="auto"/>
              <w:right w:val="single" w:sz="4" w:space="0" w:color="auto"/>
            </w:tcBorders>
            <w:shd w:val="clear" w:color="DDEBF7" w:fill="E7E6E6"/>
            <w:noWrap/>
            <w:vAlign w:val="bottom"/>
            <w:hideMark/>
          </w:tcPr>
          <w:p w14:paraId="4DA6FAB0" w14:textId="77777777" w:rsidR="00954688" w:rsidRPr="006D6D96" w:rsidRDefault="00954688" w:rsidP="000C49A5">
            <w:pPr>
              <w:spacing w:before="0"/>
              <w:jc w:val="right"/>
              <w:rPr>
                <w:rFonts w:ascii="Calibri" w:eastAsia="Times New Roman" w:hAnsi="Calibri" w:cs="Calibri"/>
                <w:b/>
                <w:bCs/>
                <w:color w:val="000000"/>
                <w:sz w:val="18"/>
                <w:szCs w:val="18"/>
                <w:lang w:eastAsia="cs-CZ"/>
              </w:rPr>
            </w:pPr>
            <w:r w:rsidRPr="006D6D96">
              <w:rPr>
                <w:rFonts w:ascii="Calibri" w:eastAsia="Times New Roman" w:hAnsi="Calibri" w:cs="Calibri"/>
                <w:b/>
                <w:bCs/>
                <w:color w:val="000000"/>
                <w:sz w:val="18"/>
                <w:szCs w:val="18"/>
                <w:lang w:eastAsia="cs-CZ"/>
              </w:rPr>
              <w:t>2020/05</w:t>
            </w:r>
          </w:p>
        </w:tc>
      </w:tr>
      <w:tr w:rsidR="00954688" w:rsidRPr="006D6D96" w14:paraId="39B49406" w14:textId="77777777" w:rsidTr="000C49A5">
        <w:trPr>
          <w:trHeight w:val="24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11D70896" w14:textId="77777777" w:rsidR="00954688" w:rsidRPr="006D6D96" w:rsidRDefault="00954688"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Zlín</w:t>
            </w:r>
          </w:p>
        </w:tc>
        <w:tc>
          <w:tcPr>
            <w:tcW w:w="1020" w:type="dxa"/>
            <w:tcBorders>
              <w:top w:val="single" w:sz="4" w:space="0" w:color="auto"/>
              <w:left w:val="single" w:sz="4" w:space="0" w:color="auto"/>
              <w:bottom w:val="single" w:sz="4" w:space="0" w:color="auto"/>
              <w:right w:val="single" w:sz="4" w:space="0" w:color="auto"/>
            </w:tcBorders>
            <w:shd w:val="clear" w:color="000000" w:fill="F98385"/>
            <w:noWrap/>
            <w:vAlign w:val="bottom"/>
            <w:hideMark/>
          </w:tcPr>
          <w:p w14:paraId="017118D2" w14:textId="784A4033"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6,53</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AB0B3"/>
            <w:noWrap/>
            <w:vAlign w:val="bottom"/>
            <w:hideMark/>
          </w:tcPr>
          <w:p w14:paraId="6AD1D7D9" w14:textId="538DDC1D"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5,21</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CDEE1"/>
            <w:noWrap/>
            <w:vAlign w:val="bottom"/>
            <w:hideMark/>
          </w:tcPr>
          <w:p w14:paraId="0F529C71" w14:textId="217DC3F0"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3,86</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F485CC3" w14:textId="1BA166A3"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2,99</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81A6D4"/>
            <w:noWrap/>
            <w:vAlign w:val="bottom"/>
            <w:hideMark/>
          </w:tcPr>
          <w:p w14:paraId="461B8A25" w14:textId="6A287437"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2,41</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98F7719" w14:textId="7D7FB886"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2,22</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2F5FB"/>
            <w:noWrap/>
            <w:vAlign w:val="bottom"/>
            <w:hideMark/>
          </w:tcPr>
          <w:p w14:paraId="7FD8C2C2" w14:textId="36723004"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2,94</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r>
      <w:tr w:rsidR="00954688" w:rsidRPr="006D6D96" w14:paraId="0E72325A" w14:textId="77777777" w:rsidTr="000C49A5">
        <w:trPr>
          <w:trHeight w:val="24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F9F7448" w14:textId="77777777" w:rsidR="00954688" w:rsidRPr="006D6D96" w:rsidRDefault="00954688"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SO </w:t>
            </w:r>
            <w:r w:rsidRPr="006D6D96">
              <w:rPr>
                <w:rFonts w:ascii="Calibri" w:eastAsia="Times New Roman" w:hAnsi="Calibri" w:cs="Calibri"/>
                <w:color w:val="000000"/>
                <w:sz w:val="18"/>
                <w:szCs w:val="18"/>
                <w:lang w:eastAsia="cs-CZ"/>
              </w:rPr>
              <w:t xml:space="preserve">ORP </w:t>
            </w:r>
            <w:r>
              <w:rPr>
                <w:rFonts w:ascii="Calibri" w:eastAsia="Times New Roman" w:hAnsi="Calibri" w:cs="Calibri"/>
                <w:color w:val="000000"/>
                <w:sz w:val="18"/>
                <w:szCs w:val="18"/>
                <w:lang w:eastAsia="cs-CZ"/>
              </w:rPr>
              <w:t>Zlín</w:t>
            </w:r>
          </w:p>
        </w:tc>
        <w:tc>
          <w:tcPr>
            <w:tcW w:w="1020" w:type="dxa"/>
            <w:tcBorders>
              <w:top w:val="single" w:sz="4" w:space="0" w:color="auto"/>
              <w:left w:val="single" w:sz="4" w:space="0" w:color="auto"/>
              <w:bottom w:val="single" w:sz="4" w:space="0" w:color="auto"/>
              <w:right w:val="single" w:sz="4" w:space="0" w:color="auto"/>
            </w:tcBorders>
            <w:shd w:val="clear" w:color="000000" w:fill="F9888A"/>
            <w:noWrap/>
            <w:vAlign w:val="bottom"/>
            <w:hideMark/>
          </w:tcPr>
          <w:p w14:paraId="033CE0A7" w14:textId="45974C0E"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6,38</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BB7B9"/>
            <w:noWrap/>
            <w:vAlign w:val="bottom"/>
            <w:hideMark/>
          </w:tcPr>
          <w:p w14:paraId="518308C2" w14:textId="04421A7B"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5,02</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CDFE2"/>
            <w:noWrap/>
            <w:vAlign w:val="bottom"/>
            <w:hideMark/>
          </w:tcPr>
          <w:p w14:paraId="2AF3ED1F" w14:textId="70D28901"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3,84</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EEF2FA"/>
            <w:noWrap/>
            <w:vAlign w:val="bottom"/>
            <w:hideMark/>
          </w:tcPr>
          <w:p w14:paraId="6ADC854B" w14:textId="19EB47CB"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2,92</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6B96CC"/>
            <w:noWrap/>
            <w:vAlign w:val="bottom"/>
            <w:hideMark/>
          </w:tcPr>
          <w:p w14:paraId="28F26F94" w14:textId="2CFF60FC"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2,30</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77AF58CE" w14:textId="27D6DB47"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2,22</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E0E8F5"/>
            <w:noWrap/>
            <w:vAlign w:val="bottom"/>
            <w:hideMark/>
          </w:tcPr>
          <w:p w14:paraId="1CEEC116" w14:textId="55A8CC83"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2,85</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r>
      <w:tr w:rsidR="00954688" w:rsidRPr="006D6D96" w14:paraId="2379C063" w14:textId="77777777" w:rsidTr="000C49A5">
        <w:trPr>
          <w:trHeight w:val="24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4E025380" w14:textId="77777777" w:rsidR="00954688" w:rsidRPr="006D6D96" w:rsidRDefault="00954688" w:rsidP="000C49A5">
            <w:pPr>
              <w:spacing w:before="0"/>
              <w:jc w:val="lef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Zlínský kraj</w:t>
            </w:r>
          </w:p>
        </w:tc>
        <w:tc>
          <w:tcPr>
            <w:tcW w:w="102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4A4A472A" w14:textId="584D8748"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7,26</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A989B"/>
            <w:noWrap/>
            <w:vAlign w:val="bottom"/>
            <w:hideMark/>
          </w:tcPr>
          <w:p w14:paraId="1E990527" w14:textId="76FEA145"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5,90</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BBCBF"/>
            <w:noWrap/>
            <w:vAlign w:val="bottom"/>
            <w:hideMark/>
          </w:tcPr>
          <w:p w14:paraId="6F677C69" w14:textId="57DEDBC1"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4,86</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701CC0C7" w14:textId="722E02A5"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3,38</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A5BFE0"/>
            <w:noWrap/>
            <w:vAlign w:val="bottom"/>
            <w:hideMark/>
          </w:tcPr>
          <w:p w14:paraId="1A1C7D38" w14:textId="5C3878D0"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2,58</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7DA3D2"/>
            <w:noWrap/>
            <w:vAlign w:val="bottom"/>
            <w:hideMark/>
          </w:tcPr>
          <w:p w14:paraId="51FC889C" w14:textId="78A6EA29"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2,39</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c>
          <w:tcPr>
            <w:tcW w:w="840" w:type="dxa"/>
            <w:tcBorders>
              <w:top w:val="single" w:sz="4" w:space="0" w:color="auto"/>
              <w:left w:val="single" w:sz="4" w:space="0" w:color="auto"/>
              <w:bottom w:val="single" w:sz="4" w:space="0" w:color="auto"/>
              <w:right w:val="single" w:sz="4" w:space="0" w:color="auto"/>
            </w:tcBorders>
            <w:shd w:val="clear" w:color="000000" w:fill="EBF0F9"/>
            <w:noWrap/>
            <w:vAlign w:val="bottom"/>
            <w:hideMark/>
          </w:tcPr>
          <w:p w14:paraId="6011BC82" w14:textId="47BAAD3C" w:rsidR="00954688" w:rsidRPr="006D6D96" w:rsidRDefault="00954688" w:rsidP="000C49A5">
            <w:pPr>
              <w:spacing w:before="0"/>
              <w:jc w:val="right"/>
              <w:rPr>
                <w:rFonts w:ascii="Calibri" w:eastAsia="Times New Roman" w:hAnsi="Calibri" w:cs="Calibri"/>
                <w:color w:val="000000"/>
                <w:sz w:val="18"/>
                <w:szCs w:val="18"/>
                <w:lang w:eastAsia="cs-CZ"/>
              </w:rPr>
            </w:pPr>
            <w:r w:rsidRPr="006D6D96">
              <w:rPr>
                <w:rFonts w:ascii="Calibri" w:eastAsia="Times New Roman" w:hAnsi="Calibri" w:cs="Calibri"/>
                <w:color w:val="000000"/>
                <w:sz w:val="18"/>
                <w:szCs w:val="18"/>
                <w:lang w:eastAsia="cs-CZ"/>
              </w:rPr>
              <w:t>2,91</w:t>
            </w:r>
            <w:r w:rsidR="000647A3">
              <w:rPr>
                <w:rFonts w:ascii="Calibri" w:eastAsia="Times New Roman" w:hAnsi="Calibri" w:cs="Calibri"/>
                <w:color w:val="000000"/>
                <w:sz w:val="18"/>
                <w:szCs w:val="18"/>
                <w:lang w:eastAsia="cs-CZ"/>
              </w:rPr>
              <w:t xml:space="preserve"> </w:t>
            </w:r>
            <w:r w:rsidRPr="006D6D96">
              <w:rPr>
                <w:rFonts w:ascii="Calibri" w:eastAsia="Times New Roman" w:hAnsi="Calibri" w:cs="Calibri"/>
                <w:color w:val="000000"/>
                <w:sz w:val="18"/>
                <w:szCs w:val="18"/>
                <w:lang w:eastAsia="cs-CZ"/>
              </w:rPr>
              <w:t>%</w:t>
            </w:r>
          </w:p>
        </w:tc>
      </w:tr>
    </w:tbl>
    <w:p w14:paraId="10D664CB" w14:textId="08E29A68" w:rsidR="00954688" w:rsidRPr="000647A3" w:rsidRDefault="00954688" w:rsidP="00954688">
      <w:pPr>
        <w:spacing w:before="0" w:after="120"/>
        <w:rPr>
          <w:i/>
          <w:iCs/>
          <w:sz w:val="20"/>
        </w:rPr>
      </w:pPr>
      <w:r w:rsidRPr="00F54AB6">
        <w:rPr>
          <w:i/>
          <w:iCs/>
          <w:sz w:val="20"/>
        </w:rPr>
        <w:t>Zdroj: ČSÚ, veřejná databáze, zpracování PROCES</w:t>
      </w:r>
      <w:r w:rsidR="000647A3">
        <w:rPr>
          <w:i/>
          <w:iCs/>
          <w:sz w:val="20"/>
        </w:rPr>
        <w:t>, 2020.</w:t>
      </w:r>
    </w:p>
    <w:p w14:paraId="0BE57686" w14:textId="02D9E7A6" w:rsidR="00954688" w:rsidRDefault="00954688" w:rsidP="00954688">
      <w:r w:rsidRPr="00530623">
        <w:t xml:space="preserve">K nárůstu podílu nezaměstnaných osob dochází </w:t>
      </w:r>
      <w:r>
        <w:t xml:space="preserve">vlivem dopadu začínající ekonomické recese </w:t>
      </w:r>
      <w:r w:rsidRPr="00530623">
        <w:t>ve všech porovnávaných měste</w:t>
      </w:r>
      <w:r>
        <w:t>ch</w:t>
      </w:r>
      <w:r>
        <w:rPr>
          <w:rStyle w:val="Znakapoznpodarou"/>
        </w:rPr>
        <w:footnoteReference w:id="87"/>
      </w:r>
      <w:r w:rsidRPr="00530623">
        <w:t>, jak je znázorněno v</w:t>
      </w:r>
      <w:r>
        <w:t xml:space="preserve"> grafu </w:t>
      </w:r>
      <w:r w:rsidR="00E111E6">
        <w:t xml:space="preserve">na </w:t>
      </w:r>
      <w:r>
        <w:t>obrázku</w:t>
      </w:r>
      <w:r w:rsidR="00E111E6">
        <w:t xml:space="preserve"> 1.80</w:t>
      </w:r>
      <w:r w:rsidRPr="00530623">
        <w:t>.</w:t>
      </w:r>
      <w:r>
        <w:t xml:space="preserve"> Vyšší dopad je evidentní ve městě Olomouc, které spolu s Opavou vykazuje ve srovnání s vybranými městy dlouhodobě vyšší podíle nezaměstnaných osob. Naopak Pardubice mají podobný trend jako České Budějovic, kde jsou hodnoty z porovnávaných měst nejnižší. Město Zlín se po celé sledované období pohybuje mezi sledovanými městy na třetí pozici.</w:t>
      </w:r>
    </w:p>
    <w:p w14:paraId="7D009DAF" w14:textId="42DF47B2" w:rsidR="00954688" w:rsidRDefault="00954688" w:rsidP="00954688">
      <w:pPr>
        <w:pStyle w:val="Titulek"/>
        <w:keepLines/>
      </w:pPr>
      <w:bookmarkStart w:id="404" w:name="_Toc53066192"/>
      <w:bookmarkStart w:id="405" w:name="_Toc77074898"/>
      <w:r>
        <w:rPr>
          <w:noProof/>
          <w:lang w:eastAsia="cs-CZ"/>
        </w:rPr>
        <w:drawing>
          <wp:anchor distT="0" distB="0" distL="114300" distR="114300" simplePos="0" relativeHeight="251744256" behindDoc="0" locked="0" layoutInCell="1" allowOverlap="1" wp14:anchorId="56B3BA71" wp14:editId="480474BD">
            <wp:simplePos x="0" y="0"/>
            <wp:positionH relativeFrom="margin">
              <wp:align>left</wp:align>
            </wp:positionH>
            <wp:positionV relativeFrom="paragraph">
              <wp:posOffset>264795</wp:posOffset>
            </wp:positionV>
            <wp:extent cx="5773420" cy="3554095"/>
            <wp:effectExtent l="0" t="0" r="0" b="8255"/>
            <wp:wrapTopAndBottom/>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73420" cy="3554095"/>
                    </a:xfrm>
                    <a:prstGeom prst="rect">
                      <a:avLst/>
                    </a:prstGeom>
                    <a:noFill/>
                  </pic:spPr>
                </pic:pic>
              </a:graphicData>
            </a:graphic>
            <wp14:sizeRelH relativeFrom="page">
              <wp14:pctWidth>0</wp14:pctWidth>
            </wp14:sizeRelH>
            <wp14:sizeRelV relativeFrom="page">
              <wp14:pctHeight>0</wp14:pctHeight>
            </wp14:sizeRelV>
          </wp:anchor>
        </w:drawing>
      </w:r>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80</w:t>
      </w:r>
      <w:r w:rsidR="00804AF3">
        <w:rPr>
          <w:noProof/>
        </w:rPr>
        <w:fldChar w:fldCharType="end"/>
      </w:r>
      <w:r w:rsidR="000647A3">
        <w:rPr>
          <w:noProof/>
        </w:rPr>
        <w:t>:</w:t>
      </w:r>
      <w:r>
        <w:t xml:space="preserve"> Vývoj podílu nezaměstnaných osob města Zlína v porovnání s vybranými městy od roku 2014</w:t>
      </w:r>
      <w:bookmarkEnd w:id="404"/>
      <w:bookmarkEnd w:id="405"/>
    </w:p>
    <w:p w14:paraId="1BAE4CD2" w14:textId="230007C6" w:rsidR="00954688" w:rsidRPr="00F54AB6" w:rsidRDefault="00954688" w:rsidP="00954688">
      <w:pPr>
        <w:spacing w:before="0" w:after="120"/>
        <w:rPr>
          <w:sz w:val="20"/>
        </w:rPr>
      </w:pPr>
      <w:r w:rsidRPr="00F54AB6">
        <w:rPr>
          <w:i/>
          <w:iCs/>
          <w:sz w:val="20"/>
        </w:rPr>
        <w:t>Zdroj: ČSÚ, veřejná databáze, zpracování PROCES</w:t>
      </w:r>
      <w:r w:rsidR="000647A3">
        <w:rPr>
          <w:i/>
          <w:iCs/>
          <w:sz w:val="20"/>
        </w:rPr>
        <w:t>, 2020.</w:t>
      </w:r>
    </w:p>
    <w:p w14:paraId="08C5CCB7" w14:textId="015B4A1D" w:rsidR="00954688" w:rsidRDefault="00954688" w:rsidP="00954688">
      <w:pPr>
        <w:rPr>
          <w:rFonts w:cstheme="minorHAnsi"/>
        </w:rPr>
      </w:pPr>
      <w:r>
        <w:rPr>
          <w:rFonts w:cstheme="minorHAnsi"/>
        </w:rPr>
        <w:t xml:space="preserve">K 31. 12. </w:t>
      </w:r>
      <w:r w:rsidRPr="005C4721">
        <w:rPr>
          <w:rFonts w:cstheme="minorHAnsi"/>
        </w:rPr>
        <w:t xml:space="preserve">2019 bylo ve městě </w:t>
      </w:r>
      <w:r>
        <w:t xml:space="preserve">Zlín evidováno </w:t>
      </w:r>
      <w:r>
        <w:rPr>
          <w:rFonts w:cstheme="minorHAnsi"/>
        </w:rPr>
        <w:t>1 570</w:t>
      </w:r>
      <w:r w:rsidRPr="005C4721">
        <w:rPr>
          <w:rFonts w:cstheme="minorHAnsi"/>
        </w:rPr>
        <w:t xml:space="preserve"> volných pracovních míst</w:t>
      </w:r>
      <w:r>
        <w:rPr>
          <w:rFonts w:cstheme="minorHAnsi"/>
        </w:rPr>
        <w:t xml:space="preserve"> (VPM). Podrobnější měsíční vývoj VPM od roku 2014 je znázorněn na obrázku</w:t>
      </w:r>
      <w:r w:rsidR="00E111E6">
        <w:rPr>
          <w:rFonts w:cstheme="minorHAnsi"/>
        </w:rPr>
        <w:t xml:space="preserve"> 1.81</w:t>
      </w:r>
      <w:r w:rsidRPr="005C4721">
        <w:rPr>
          <w:rFonts w:cstheme="minorHAnsi"/>
        </w:rPr>
        <w:t xml:space="preserve">. </w:t>
      </w:r>
      <w:r>
        <w:rPr>
          <w:rFonts w:cstheme="minorHAnsi"/>
        </w:rPr>
        <w:t>Začátkem roku 2020 došlo k navýšení jejich počtu a od března se počet volných pracovních míst ve městě mírně začíná snižovat.</w:t>
      </w:r>
    </w:p>
    <w:p w14:paraId="274B3357" w14:textId="77777777" w:rsidR="00954688" w:rsidRDefault="00954688" w:rsidP="00954688"/>
    <w:p w14:paraId="0AFD668D" w14:textId="2A24FEE9" w:rsidR="00954688" w:rsidRDefault="00954688" w:rsidP="00954688">
      <w:pPr>
        <w:pStyle w:val="Titulek"/>
        <w:keepNext/>
        <w:keepLines/>
      </w:pPr>
      <w:bookmarkStart w:id="406" w:name="_Toc53066193"/>
      <w:bookmarkStart w:id="407" w:name="_Toc77074899"/>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81</w:t>
      </w:r>
      <w:r w:rsidR="00804AF3">
        <w:rPr>
          <w:noProof/>
        </w:rPr>
        <w:fldChar w:fldCharType="end"/>
      </w:r>
      <w:r w:rsidR="000647A3">
        <w:rPr>
          <w:noProof/>
        </w:rPr>
        <w:t>:</w:t>
      </w:r>
      <w:r>
        <w:t xml:space="preserve"> Vývoj volných pracovních míst na území města Zlína</w:t>
      </w:r>
      <w:bookmarkEnd w:id="406"/>
      <w:bookmarkEnd w:id="407"/>
    </w:p>
    <w:p w14:paraId="3653EFD0" w14:textId="1DFE75DD" w:rsidR="00954688" w:rsidRDefault="00954688" w:rsidP="00954688">
      <w:pPr>
        <w:rPr>
          <w:i/>
          <w:iCs/>
          <w:sz w:val="20"/>
        </w:rPr>
      </w:pPr>
      <w:r>
        <w:rPr>
          <w:i/>
          <w:iCs/>
          <w:noProof/>
          <w:sz w:val="20"/>
          <w:lang w:eastAsia="cs-CZ"/>
        </w:rPr>
        <w:drawing>
          <wp:inline distT="0" distB="0" distL="0" distR="0" wp14:anchorId="6DFF61E1" wp14:editId="795AF22A">
            <wp:extent cx="5773420" cy="2950845"/>
            <wp:effectExtent l="0" t="0" r="0" b="1905"/>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73420" cy="2950845"/>
                    </a:xfrm>
                    <a:prstGeom prst="rect">
                      <a:avLst/>
                    </a:prstGeom>
                    <a:noFill/>
                  </pic:spPr>
                </pic:pic>
              </a:graphicData>
            </a:graphic>
          </wp:inline>
        </w:drawing>
      </w:r>
      <w:r w:rsidRPr="00F54AB6">
        <w:rPr>
          <w:i/>
          <w:iCs/>
          <w:sz w:val="20"/>
        </w:rPr>
        <w:t>Zdroj: ČSÚ, veřejná databáze, zpracování PROCES</w:t>
      </w:r>
      <w:r w:rsidR="000647A3">
        <w:rPr>
          <w:i/>
          <w:iCs/>
          <w:sz w:val="20"/>
        </w:rPr>
        <w:t>, 2020.</w:t>
      </w:r>
    </w:p>
    <w:p w14:paraId="4D23C811" w14:textId="7F972431" w:rsidR="00954688" w:rsidRDefault="00954688" w:rsidP="00954688">
      <w:r>
        <w:t>V rámci SO ORP Zlín jsou pracovní místa koncentrována z 84,66 % ve městě Zlín (5/2020). Z celkového počtu 2 230 volných pracovních míst v SO ORP Zlín se v květnu roku 2020</w:t>
      </w:r>
      <w:r w:rsidR="000647A3">
        <w:t xml:space="preserve"> nacházelo</w:t>
      </w:r>
      <w:r>
        <w:t xml:space="preserve"> 1</w:t>
      </w:r>
      <w:r w:rsidR="000647A3">
        <w:t xml:space="preserve"> </w:t>
      </w:r>
      <w:r>
        <w:t xml:space="preserve"> 888 právě ve městě Zlín.  Podíl těchto míst se za posledních 6 let mírně snížil (o 5,89 %). </w:t>
      </w:r>
      <w:r w:rsidR="000647A3">
        <w:t xml:space="preserve">Mezi lety 2014 </w:t>
      </w:r>
      <w:r w:rsidR="000647A3">
        <w:sym w:font="Symbol" w:char="F02D"/>
      </w:r>
      <w:r w:rsidR="000647A3">
        <w:t xml:space="preserve"> 2020 vzniklo v</w:t>
      </w:r>
      <w:r>
        <w:t> rámci SO ORP Zlín 1 790 pracovních míst a z nich 1 492 ve městě Zlíně.</w:t>
      </w:r>
    </w:p>
    <w:p w14:paraId="70BF1548" w14:textId="251E5D07" w:rsidR="00954688" w:rsidRDefault="00954688" w:rsidP="00954688">
      <w:pPr>
        <w:pStyle w:val="Titulek"/>
        <w:shd w:val="clear" w:color="auto" w:fill="FFFFFF" w:themeFill="background1"/>
      </w:pPr>
      <w:bookmarkStart w:id="408" w:name="_Toc53066216"/>
      <w:bookmarkStart w:id="409" w:name="_Toc7707473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58</w:t>
      </w:r>
      <w:r w:rsidR="00081B47">
        <w:rPr>
          <w:noProof/>
        </w:rPr>
        <w:fldChar w:fldCharType="end"/>
      </w:r>
      <w:r w:rsidR="000647A3">
        <w:rPr>
          <w:noProof/>
        </w:rPr>
        <w:t>:</w:t>
      </w:r>
      <w:r>
        <w:t xml:space="preserve"> Podíl volných pracovním míst města na VPM ORP Zlín v období 12/2014 – 05/2020</w:t>
      </w:r>
      <w:bookmarkEnd w:id="408"/>
      <w:bookmarkEnd w:id="409"/>
    </w:p>
    <w:tbl>
      <w:tblPr>
        <w:tblW w:w="9155" w:type="dxa"/>
        <w:tblCellMar>
          <w:left w:w="70" w:type="dxa"/>
          <w:right w:w="70" w:type="dxa"/>
        </w:tblCellMar>
        <w:tblLook w:val="04A0" w:firstRow="1" w:lastRow="0" w:firstColumn="1" w:lastColumn="0" w:noHBand="0" w:noVBand="1"/>
      </w:tblPr>
      <w:tblGrid>
        <w:gridCol w:w="2720"/>
        <w:gridCol w:w="1083"/>
        <w:gridCol w:w="892"/>
        <w:gridCol w:w="892"/>
        <w:gridCol w:w="892"/>
        <w:gridCol w:w="892"/>
        <w:gridCol w:w="892"/>
        <w:gridCol w:w="892"/>
      </w:tblGrid>
      <w:tr w:rsidR="00954688" w:rsidRPr="001203B3" w14:paraId="095373FA" w14:textId="77777777" w:rsidTr="000C49A5">
        <w:trPr>
          <w:trHeight w:val="261"/>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05494" w14:textId="77777777" w:rsidR="00954688" w:rsidRPr="001203B3" w:rsidRDefault="00954688" w:rsidP="000C49A5">
            <w:pPr>
              <w:spacing w:before="0"/>
              <w:jc w:val="lef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 </w:t>
            </w:r>
          </w:p>
        </w:tc>
        <w:tc>
          <w:tcPr>
            <w:tcW w:w="1083" w:type="dxa"/>
            <w:tcBorders>
              <w:top w:val="single" w:sz="4" w:space="0" w:color="auto"/>
              <w:left w:val="nil"/>
              <w:bottom w:val="single" w:sz="4" w:space="0" w:color="auto"/>
              <w:right w:val="single" w:sz="4" w:space="0" w:color="auto"/>
            </w:tcBorders>
            <w:shd w:val="clear" w:color="DDEBF7" w:fill="DDEBF7"/>
            <w:noWrap/>
            <w:vAlign w:val="bottom"/>
            <w:hideMark/>
          </w:tcPr>
          <w:p w14:paraId="3AD9A17C" w14:textId="77777777" w:rsidR="00954688" w:rsidRPr="001203B3" w:rsidRDefault="00954688" w:rsidP="000C49A5">
            <w:pPr>
              <w:spacing w:before="0"/>
              <w:jc w:val="left"/>
              <w:rPr>
                <w:rFonts w:ascii="Calibri" w:eastAsia="Times New Roman" w:hAnsi="Calibri" w:cs="Calibri"/>
                <w:b/>
                <w:bCs/>
                <w:color w:val="000000"/>
                <w:sz w:val="18"/>
                <w:szCs w:val="18"/>
                <w:lang w:eastAsia="cs-CZ"/>
              </w:rPr>
            </w:pPr>
            <w:r w:rsidRPr="001203B3">
              <w:rPr>
                <w:rFonts w:ascii="Calibri" w:eastAsia="Times New Roman" w:hAnsi="Calibri" w:cs="Calibri"/>
                <w:b/>
                <w:bCs/>
                <w:color w:val="000000"/>
                <w:sz w:val="18"/>
                <w:szCs w:val="18"/>
                <w:lang w:eastAsia="cs-CZ"/>
              </w:rPr>
              <w:t>2014/12</w:t>
            </w:r>
          </w:p>
        </w:tc>
        <w:tc>
          <w:tcPr>
            <w:tcW w:w="892" w:type="dxa"/>
            <w:tcBorders>
              <w:top w:val="single" w:sz="4" w:space="0" w:color="auto"/>
              <w:left w:val="nil"/>
              <w:bottom w:val="single" w:sz="4" w:space="0" w:color="auto"/>
              <w:right w:val="single" w:sz="4" w:space="0" w:color="auto"/>
            </w:tcBorders>
            <w:shd w:val="clear" w:color="DDEBF7" w:fill="DDEBF7"/>
            <w:noWrap/>
            <w:vAlign w:val="bottom"/>
            <w:hideMark/>
          </w:tcPr>
          <w:p w14:paraId="4A14E54B" w14:textId="77777777" w:rsidR="00954688" w:rsidRPr="001203B3" w:rsidRDefault="00954688" w:rsidP="000C49A5">
            <w:pPr>
              <w:spacing w:before="0"/>
              <w:jc w:val="left"/>
              <w:rPr>
                <w:rFonts w:ascii="Calibri" w:eastAsia="Times New Roman" w:hAnsi="Calibri" w:cs="Calibri"/>
                <w:b/>
                <w:bCs/>
                <w:color w:val="000000"/>
                <w:sz w:val="18"/>
                <w:szCs w:val="18"/>
                <w:lang w:eastAsia="cs-CZ"/>
              </w:rPr>
            </w:pPr>
            <w:r w:rsidRPr="001203B3">
              <w:rPr>
                <w:rFonts w:ascii="Calibri" w:eastAsia="Times New Roman" w:hAnsi="Calibri" w:cs="Calibri"/>
                <w:b/>
                <w:bCs/>
                <w:color w:val="000000"/>
                <w:sz w:val="18"/>
                <w:szCs w:val="18"/>
                <w:lang w:eastAsia="cs-CZ"/>
              </w:rPr>
              <w:t>2015/12</w:t>
            </w:r>
          </w:p>
        </w:tc>
        <w:tc>
          <w:tcPr>
            <w:tcW w:w="892" w:type="dxa"/>
            <w:tcBorders>
              <w:top w:val="single" w:sz="4" w:space="0" w:color="auto"/>
              <w:left w:val="nil"/>
              <w:bottom w:val="single" w:sz="4" w:space="0" w:color="auto"/>
              <w:right w:val="single" w:sz="4" w:space="0" w:color="auto"/>
            </w:tcBorders>
            <w:shd w:val="clear" w:color="DDEBF7" w:fill="DDEBF7"/>
            <w:noWrap/>
            <w:vAlign w:val="bottom"/>
            <w:hideMark/>
          </w:tcPr>
          <w:p w14:paraId="1EAD4085" w14:textId="77777777" w:rsidR="00954688" w:rsidRPr="001203B3" w:rsidRDefault="00954688" w:rsidP="000C49A5">
            <w:pPr>
              <w:spacing w:before="0"/>
              <w:jc w:val="left"/>
              <w:rPr>
                <w:rFonts w:ascii="Calibri" w:eastAsia="Times New Roman" w:hAnsi="Calibri" w:cs="Calibri"/>
                <w:b/>
                <w:bCs/>
                <w:color w:val="000000"/>
                <w:sz w:val="18"/>
                <w:szCs w:val="18"/>
                <w:lang w:eastAsia="cs-CZ"/>
              </w:rPr>
            </w:pPr>
            <w:r w:rsidRPr="001203B3">
              <w:rPr>
                <w:rFonts w:ascii="Calibri" w:eastAsia="Times New Roman" w:hAnsi="Calibri" w:cs="Calibri"/>
                <w:b/>
                <w:bCs/>
                <w:color w:val="000000"/>
                <w:sz w:val="18"/>
                <w:szCs w:val="18"/>
                <w:lang w:eastAsia="cs-CZ"/>
              </w:rPr>
              <w:t>2016/12</w:t>
            </w:r>
          </w:p>
        </w:tc>
        <w:tc>
          <w:tcPr>
            <w:tcW w:w="892" w:type="dxa"/>
            <w:tcBorders>
              <w:top w:val="single" w:sz="4" w:space="0" w:color="auto"/>
              <w:left w:val="nil"/>
              <w:bottom w:val="single" w:sz="4" w:space="0" w:color="auto"/>
              <w:right w:val="single" w:sz="4" w:space="0" w:color="auto"/>
            </w:tcBorders>
            <w:shd w:val="clear" w:color="DDEBF7" w:fill="DDEBF7"/>
            <w:noWrap/>
            <w:vAlign w:val="bottom"/>
            <w:hideMark/>
          </w:tcPr>
          <w:p w14:paraId="7790F2B9" w14:textId="77777777" w:rsidR="00954688" w:rsidRPr="001203B3" w:rsidRDefault="00954688" w:rsidP="000C49A5">
            <w:pPr>
              <w:spacing w:before="0"/>
              <w:jc w:val="left"/>
              <w:rPr>
                <w:rFonts w:ascii="Calibri" w:eastAsia="Times New Roman" w:hAnsi="Calibri" w:cs="Calibri"/>
                <w:b/>
                <w:bCs/>
                <w:color w:val="000000"/>
                <w:sz w:val="18"/>
                <w:szCs w:val="18"/>
                <w:lang w:eastAsia="cs-CZ"/>
              </w:rPr>
            </w:pPr>
            <w:r w:rsidRPr="001203B3">
              <w:rPr>
                <w:rFonts w:ascii="Calibri" w:eastAsia="Times New Roman" w:hAnsi="Calibri" w:cs="Calibri"/>
                <w:b/>
                <w:bCs/>
                <w:color w:val="000000"/>
                <w:sz w:val="18"/>
                <w:szCs w:val="18"/>
                <w:lang w:eastAsia="cs-CZ"/>
              </w:rPr>
              <w:t>2017/12</w:t>
            </w:r>
          </w:p>
        </w:tc>
        <w:tc>
          <w:tcPr>
            <w:tcW w:w="892" w:type="dxa"/>
            <w:tcBorders>
              <w:top w:val="single" w:sz="4" w:space="0" w:color="auto"/>
              <w:left w:val="nil"/>
              <w:bottom w:val="single" w:sz="4" w:space="0" w:color="auto"/>
              <w:right w:val="single" w:sz="4" w:space="0" w:color="auto"/>
            </w:tcBorders>
            <w:shd w:val="clear" w:color="DDEBF7" w:fill="DDEBF7"/>
            <w:noWrap/>
            <w:vAlign w:val="bottom"/>
            <w:hideMark/>
          </w:tcPr>
          <w:p w14:paraId="0EBC9D32" w14:textId="77777777" w:rsidR="00954688" w:rsidRPr="001203B3" w:rsidRDefault="00954688" w:rsidP="000C49A5">
            <w:pPr>
              <w:spacing w:before="0"/>
              <w:jc w:val="left"/>
              <w:rPr>
                <w:rFonts w:ascii="Calibri" w:eastAsia="Times New Roman" w:hAnsi="Calibri" w:cs="Calibri"/>
                <w:b/>
                <w:bCs/>
                <w:color w:val="000000"/>
                <w:sz w:val="18"/>
                <w:szCs w:val="18"/>
                <w:lang w:eastAsia="cs-CZ"/>
              </w:rPr>
            </w:pPr>
            <w:r w:rsidRPr="001203B3">
              <w:rPr>
                <w:rFonts w:ascii="Calibri" w:eastAsia="Times New Roman" w:hAnsi="Calibri" w:cs="Calibri"/>
                <w:b/>
                <w:bCs/>
                <w:color w:val="000000"/>
                <w:sz w:val="18"/>
                <w:szCs w:val="18"/>
                <w:lang w:eastAsia="cs-CZ"/>
              </w:rPr>
              <w:t>2018/12</w:t>
            </w:r>
          </w:p>
        </w:tc>
        <w:tc>
          <w:tcPr>
            <w:tcW w:w="892" w:type="dxa"/>
            <w:tcBorders>
              <w:top w:val="single" w:sz="4" w:space="0" w:color="auto"/>
              <w:left w:val="nil"/>
              <w:bottom w:val="single" w:sz="4" w:space="0" w:color="auto"/>
              <w:right w:val="single" w:sz="4" w:space="0" w:color="auto"/>
            </w:tcBorders>
            <w:shd w:val="clear" w:color="DDEBF7" w:fill="DDEBF7"/>
            <w:noWrap/>
            <w:vAlign w:val="bottom"/>
            <w:hideMark/>
          </w:tcPr>
          <w:p w14:paraId="74E72F8C" w14:textId="77777777" w:rsidR="00954688" w:rsidRPr="001203B3" w:rsidRDefault="00954688" w:rsidP="000C49A5">
            <w:pPr>
              <w:spacing w:before="0"/>
              <w:jc w:val="left"/>
              <w:rPr>
                <w:rFonts w:ascii="Calibri" w:eastAsia="Times New Roman" w:hAnsi="Calibri" w:cs="Calibri"/>
                <w:b/>
                <w:bCs/>
                <w:color w:val="000000"/>
                <w:sz w:val="18"/>
                <w:szCs w:val="18"/>
                <w:lang w:eastAsia="cs-CZ"/>
              </w:rPr>
            </w:pPr>
            <w:r w:rsidRPr="001203B3">
              <w:rPr>
                <w:rFonts w:ascii="Calibri" w:eastAsia="Times New Roman" w:hAnsi="Calibri" w:cs="Calibri"/>
                <w:b/>
                <w:bCs/>
                <w:color w:val="000000"/>
                <w:sz w:val="18"/>
                <w:szCs w:val="18"/>
                <w:lang w:eastAsia="cs-CZ"/>
              </w:rPr>
              <w:t>2019/12</w:t>
            </w:r>
          </w:p>
        </w:tc>
        <w:tc>
          <w:tcPr>
            <w:tcW w:w="892" w:type="dxa"/>
            <w:tcBorders>
              <w:top w:val="single" w:sz="4" w:space="0" w:color="auto"/>
              <w:left w:val="nil"/>
              <w:bottom w:val="single" w:sz="4" w:space="0" w:color="auto"/>
              <w:right w:val="single" w:sz="4" w:space="0" w:color="auto"/>
            </w:tcBorders>
            <w:shd w:val="clear" w:color="DDEBF7" w:fill="DDEBF7"/>
            <w:noWrap/>
            <w:vAlign w:val="bottom"/>
            <w:hideMark/>
          </w:tcPr>
          <w:p w14:paraId="64180A63" w14:textId="77777777" w:rsidR="00954688" w:rsidRPr="001203B3" w:rsidRDefault="00954688" w:rsidP="000C49A5">
            <w:pPr>
              <w:spacing w:before="0"/>
              <w:jc w:val="left"/>
              <w:rPr>
                <w:rFonts w:ascii="Calibri" w:eastAsia="Times New Roman" w:hAnsi="Calibri" w:cs="Calibri"/>
                <w:b/>
                <w:bCs/>
                <w:color w:val="000000"/>
                <w:sz w:val="18"/>
                <w:szCs w:val="18"/>
                <w:lang w:eastAsia="cs-CZ"/>
              </w:rPr>
            </w:pPr>
            <w:r w:rsidRPr="001203B3">
              <w:rPr>
                <w:rFonts w:ascii="Calibri" w:eastAsia="Times New Roman" w:hAnsi="Calibri" w:cs="Calibri"/>
                <w:b/>
                <w:bCs/>
                <w:color w:val="000000"/>
                <w:sz w:val="18"/>
                <w:szCs w:val="18"/>
                <w:lang w:eastAsia="cs-CZ"/>
              </w:rPr>
              <w:t>2020/05</w:t>
            </w:r>
          </w:p>
        </w:tc>
      </w:tr>
      <w:tr w:rsidR="00954688" w:rsidRPr="001203B3" w14:paraId="0EAECBA3" w14:textId="77777777" w:rsidTr="000C49A5">
        <w:trPr>
          <w:trHeight w:val="261"/>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6194E289" w14:textId="77777777" w:rsidR="00954688" w:rsidRPr="001203B3" w:rsidRDefault="00954688" w:rsidP="000C49A5">
            <w:pPr>
              <w:spacing w:before="0"/>
              <w:jc w:val="lef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Podíl VPM města na SO ORP</w:t>
            </w:r>
          </w:p>
        </w:tc>
        <w:tc>
          <w:tcPr>
            <w:tcW w:w="1083"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7C37BC3" w14:textId="77777777" w:rsidR="00954688" w:rsidRPr="001203B3" w:rsidRDefault="00954688" w:rsidP="000C49A5">
            <w:pPr>
              <w:spacing w:before="0"/>
              <w:jc w:val="righ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90,55%</w:t>
            </w:r>
          </w:p>
        </w:tc>
        <w:tc>
          <w:tcPr>
            <w:tcW w:w="892" w:type="dxa"/>
            <w:tcBorders>
              <w:top w:val="single" w:sz="4" w:space="0" w:color="auto"/>
              <w:left w:val="single" w:sz="4" w:space="0" w:color="auto"/>
              <w:bottom w:val="single" w:sz="4" w:space="0" w:color="auto"/>
              <w:right w:val="single" w:sz="4" w:space="0" w:color="auto"/>
            </w:tcBorders>
            <w:shd w:val="clear" w:color="000000" w:fill="FA9698"/>
            <w:noWrap/>
            <w:vAlign w:val="bottom"/>
            <w:hideMark/>
          </w:tcPr>
          <w:p w14:paraId="116FA117" w14:textId="77777777" w:rsidR="00954688" w:rsidRPr="001203B3" w:rsidRDefault="00954688" w:rsidP="000C49A5">
            <w:pPr>
              <w:spacing w:before="0"/>
              <w:jc w:val="righ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88,90%</w:t>
            </w:r>
          </w:p>
        </w:tc>
        <w:tc>
          <w:tcPr>
            <w:tcW w:w="892" w:type="dxa"/>
            <w:tcBorders>
              <w:top w:val="single" w:sz="4" w:space="0" w:color="auto"/>
              <w:left w:val="single" w:sz="4" w:space="0" w:color="auto"/>
              <w:bottom w:val="single" w:sz="4" w:space="0" w:color="auto"/>
              <w:right w:val="single" w:sz="4" w:space="0" w:color="auto"/>
            </w:tcBorders>
            <w:shd w:val="clear" w:color="000000" w:fill="FBC6C8"/>
            <w:noWrap/>
            <w:vAlign w:val="bottom"/>
            <w:hideMark/>
          </w:tcPr>
          <w:p w14:paraId="02839A25" w14:textId="77777777" w:rsidR="00954688" w:rsidRPr="001203B3" w:rsidRDefault="00954688" w:rsidP="000C49A5">
            <w:pPr>
              <w:spacing w:before="0"/>
              <w:jc w:val="righ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87,10%</w:t>
            </w:r>
          </w:p>
        </w:tc>
        <w:tc>
          <w:tcPr>
            <w:tcW w:w="892" w:type="dxa"/>
            <w:tcBorders>
              <w:top w:val="single" w:sz="4" w:space="0" w:color="auto"/>
              <w:left w:val="single" w:sz="4" w:space="0" w:color="auto"/>
              <w:bottom w:val="single" w:sz="4" w:space="0" w:color="auto"/>
              <w:right w:val="single" w:sz="4" w:space="0" w:color="auto"/>
            </w:tcBorders>
            <w:shd w:val="clear" w:color="000000" w:fill="97B5DB"/>
            <w:noWrap/>
            <w:vAlign w:val="bottom"/>
            <w:hideMark/>
          </w:tcPr>
          <w:p w14:paraId="0DBD260E" w14:textId="77777777" w:rsidR="00954688" w:rsidRPr="001203B3" w:rsidRDefault="00954688" w:rsidP="000C49A5">
            <w:pPr>
              <w:spacing w:before="0"/>
              <w:jc w:val="righ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84,64%</w:t>
            </w:r>
          </w:p>
        </w:tc>
        <w:tc>
          <w:tcPr>
            <w:tcW w:w="892"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C69ABCD" w14:textId="77777777" w:rsidR="00954688" w:rsidRPr="001203B3" w:rsidRDefault="00954688" w:rsidP="000C49A5">
            <w:pPr>
              <w:spacing w:before="0"/>
              <w:jc w:val="righ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84,40%</w:t>
            </w:r>
          </w:p>
        </w:tc>
        <w:tc>
          <w:tcPr>
            <w:tcW w:w="89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CF0913D" w14:textId="77777777" w:rsidR="00954688" w:rsidRPr="001203B3" w:rsidRDefault="00954688" w:rsidP="000C49A5">
            <w:pPr>
              <w:spacing w:before="0"/>
              <w:jc w:val="righ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85,05%</w:t>
            </w:r>
          </w:p>
        </w:tc>
        <w:tc>
          <w:tcPr>
            <w:tcW w:w="892" w:type="dxa"/>
            <w:tcBorders>
              <w:top w:val="single" w:sz="4" w:space="0" w:color="auto"/>
              <w:left w:val="single" w:sz="4" w:space="0" w:color="auto"/>
              <w:bottom w:val="single" w:sz="4" w:space="0" w:color="auto"/>
              <w:right w:val="single" w:sz="4" w:space="0" w:color="auto"/>
            </w:tcBorders>
            <w:shd w:val="clear" w:color="000000" w:fill="9CB8DD"/>
            <w:noWrap/>
            <w:vAlign w:val="bottom"/>
            <w:hideMark/>
          </w:tcPr>
          <w:p w14:paraId="6400D315" w14:textId="77777777" w:rsidR="00954688" w:rsidRPr="001203B3" w:rsidRDefault="00954688" w:rsidP="000C49A5">
            <w:pPr>
              <w:spacing w:before="0"/>
              <w:jc w:val="right"/>
              <w:rPr>
                <w:rFonts w:ascii="Calibri" w:eastAsia="Times New Roman" w:hAnsi="Calibri" w:cs="Calibri"/>
                <w:color w:val="000000"/>
                <w:sz w:val="18"/>
                <w:szCs w:val="18"/>
                <w:lang w:eastAsia="cs-CZ"/>
              </w:rPr>
            </w:pPr>
            <w:r w:rsidRPr="001203B3">
              <w:rPr>
                <w:rFonts w:ascii="Calibri" w:eastAsia="Times New Roman" w:hAnsi="Calibri" w:cs="Calibri"/>
                <w:color w:val="000000"/>
                <w:sz w:val="18"/>
                <w:szCs w:val="18"/>
                <w:lang w:eastAsia="cs-CZ"/>
              </w:rPr>
              <w:t>84,66%</w:t>
            </w:r>
          </w:p>
        </w:tc>
      </w:tr>
    </w:tbl>
    <w:p w14:paraId="62C6DB1E" w14:textId="53577E79" w:rsidR="00954688" w:rsidRDefault="00954688" w:rsidP="00954688">
      <w:pPr>
        <w:shd w:val="clear" w:color="auto" w:fill="FFFFFF" w:themeFill="background1"/>
        <w:tabs>
          <w:tab w:val="left" w:pos="5730"/>
        </w:tabs>
        <w:spacing w:before="0" w:after="120"/>
        <w:rPr>
          <w:i/>
          <w:iCs/>
          <w:sz w:val="20"/>
        </w:rPr>
      </w:pPr>
      <w:r w:rsidRPr="00F54AB6">
        <w:rPr>
          <w:i/>
          <w:iCs/>
          <w:sz w:val="20"/>
        </w:rPr>
        <w:t>Zdroj: ČSÚ, veřejná databáze,</w:t>
      </w:r>
      <w:r>
        <w:rPr>
          <w:i/>
          <w:iCs/>
          <w:sz w:val="20"/>
        </w:rPr>
        <w:t xml:space="preserve"> </w:t>
      </w:r>
      <w:r w:rsidRPr="00F54AB6">
        <w:rPr>
          <w:i/>
          <w:iCs/>
          <w:sz w:val="20"/>
        </w:rPr>
        <w:t>zpracování PROCES</w:t>
      </w:r>
      <w:r w:rsidR="000647A3">
        <w:rPr>
          <w:i/>
          <w:iCs/>
          <w:sz w:val="20"/>
        </w:rPr>
        <w:t>, 2020.</w:t>
      </w:r>
      <w:r>
        <w:rPr>
          <w:i/>
          <w:iCs/>
          <w:sz w:val="20"/>
        </w:rPr>
        <w:tab/>
      </w:r>
    </w:p>
    <w:p w14:paraId="01D102DE" w14:textId="265E0EDB" w:rsidR="00954688" w:rsidRPr="00C052CE" w:rsidRDefault="00954688" w:rsidP="00954688">
      <w:pPr>
        <w:shd w:val="clear" w:color="auto" w:fill="FFFFFF" w:themeFill="background1"/>
      </w:pPr>
      <w:r w:rsidRPr="00C052CE">
        <w:t xml:space="preserve">Počet obsazených pracovních míst (OPM) na území města </w:t>
      </w:r>
      <w:r>
        <w:t>Zlína</w:t>
      </w:r>
      <w:r w:rsidRPr="00C052CE">
        <w:t xml:space="preserve"> od roku 20</w:t>
      </w:r>
      <w:r>
        <w:t>10</w:t>
      </w:r>
      <w:r w:rsidRPr="00C052CE">
        <w:t xml:space="preserve"> roste. Mezi lety 20</w:t>
      </w:r>
      <w:r>
        <w:t>10</w:t>
      </w:r>
      <w:r w:rsidRPr="00C052CE">
        <w:t xml:space="preserve"> – 2018 se počet OPM zvýšil o</w:t>
      </w:r>
      <w:r>
        <w:t xml:space="preserve"> 11 686 </w:t>
      </w:r>
      <w:r w:rsidRPr="00C052CE">
        <w:t xml:space="preserve">míst. </w:t>
      </w:r>
      <w:r>
        <w:t>Celkem 90,31</w:t>
      </w:r>
      <w:r w:rsidRPr="00C052CE">
        <w:t xml:space="preserve"> % obsazených pracovní míst </w:t>
      </w:r>
      <w:r>
        <w:t xml:space="preserve">SO </w:t>
      </w:r>
      <w:r w:rsidRPr="00C052CE">
        <w:t xml:space="preserve">ORP </w:t>
      </w:r>
      <w:r>
        <w:t>Zlína</w:t>
      </w:r>
      <w:r w:rsidRPr="00C052CE">
        <w:t xml:space="preserve"> </w:t>
      </w:r>
      <w:r w:rsidR="000647A3">
        <w:t>k</w:t>
      </w:r>
      <w:r>
        <w:t> 31.</w:t>
      </w:r>
      <w:r w:rsidR="00EA1422">
        <w:t> </w:t>
      </w:r>
      <w:r>
        <w:t>12.</w:t>
      </w:r>
      <w:r w:rsidR="00EA1422">
        <w:t> </w:t>
      </w:r>
      <w:r>
        <w:t>2018</w:t>
      </w:r>
      <w:r w:rsidRPr="00C052CE">
        <w:t xml:space="preserve"> tvoř</w:t>
      </w:r>
      <w:r>
        <w:t xml:space="preserve">ilo </w:t>
      </w:r>
      <w:r w:rsidRPr="00C052CE">
        <w:t xml:space="preserve">OPM ve městě </w:t>
      </w:r>
      <w:r>
        <w:t>Zlín</w:t>
      </w:r>
      <w:r w:rsidRPr="00C052CE">
        <w:t xml:space="preserve">. Vývoj je znázorněn </w:t>
      </w:r>
      <w:r>
        <w:t xml:space="preserve">v grafu na obrázku </w:t>
      </w:r>
      <w:r w:rsidR="00E111E6">
        <w:t>1.82</w:t>
      </w:r>
      <w:r w:rsidRPr="00C052CE">
        <w:t>.</w:t>
      </w:r>
    </w:p>
    <w:p w14:paraId="4A67A084" w14:textId="77777777" w:rsidR="00954688" w:rsidRDefault="00954688" w:rsidP="00954688">
      <w:pPr>
        <w:shd w:val="clear" w:color="auto" w:fill="FFFFFF" w:themeFill="background1"/>
        <w:spacing w:before="0" w:after="120"/>
        <w:rPr>
          <w:i/>
          <w:iCs/>
          <w:sz w:val="20"/>
        </w:rPr>
      </w:pPr>
    </w:p>
    <w:p w14:paraId="0485C5B2" w14:textId="2EE465D8" w:rsidR="00954688" w:rsidRPr="005C4721" w:rsidRDefault="00954688" w:rsidP="00954688">
      <w:pPr>
        <w:pStyle w:val="Titulek"/>
        <w:keepNext/>
        <w:keepLines/>
        <w:shd w:val="clear" w:color="auto" w:fill="FFFFFF" w:themeFill="background1"/>
        <w:rPr>
          <w:rFonts w:cstheme="minorHAnsi"/>
        </w:rPr>
      </w:pPr>
      <w:bookmarkStart w:id="410" w:name="_Toc53066194"/>
      <w:bookmarkStart w:id="411" w:name="_Toc77074900"/>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82</w:t>
      </w:r>
      <w:r w:rsidR="00804AF3">
        <w:rPr>
          <w:noProof/>
        </w:rPr>
        <w:fldChar w:fldCharType="end"/>
      </w:r>
      <w:r w:rsidR="00EA1422">
        <w:rPr>
          <w:noProof/>
        </w:rPr>
        <w:t>:</w:t>
      </w:r>
      <w:r>
        <w:t xml:space="preserve"> Vývoj obsazených pracovních míst na území města Zlína a SO ORP Zlína a podíl OPM města na </w:t>
      </w:r>
      <w:r w:rsidR="00EA1422">
        <w:t xml:space="preserve">OPM SO ORP Zlína v období 2014 </w:t>
      </w:r>
      <w:r w:rsidR="00EA1422">
        <w:sym w:font="Symbol" w:char="F02D"/>
      </w:r>
      <w:r>
        <w:t xml:space="preserve"> 2018</w:t>
      </w:r>
      <w:bookmarkEnd w:id="410"/>
      <w:bookmarkEnd w:id="411"/>
      <w:r>
        <w:t xml:space="preserve"> </w:t>
      </w:r>
    </w:p>
    <w:p w14:paraId="1AFDEAB3" w14:textId="77777777" w:rsidR="00954688" w:rsidRDefault="00954688" w:rsidP="00954688">
      <w:pPr>
        <w:shd w:val="clear" w:color="auto" w:fill="FFFFFF" w:themeFill="background1"/>
      </w:pPr>
      <w:r>
        <w:rPr>
          <w:noProof/>
          <w:lang w:eastAsia="cs-CZ"/>
        </w:rPr>
        <w:drawing>
          <wp:inline distT="0" distB="0" distL="0" distR="0" wp14:anchorId="31093829" wp14:editId="49BC3CF5">
            <wp:extent cx="5760000" cy="2949688"/>
            <wp:effectExtent l="0" t="0" r="0" b="3175"/>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000" cy="2949688"/>
                    </a:xfrm>
                    <a:prstGeom prst="rect">
                      <a:avLst/>
                    </a:prstGeom>
                    <a:noFill/>
                  </pic:spPr>
                </pic:pic>
              </a:graphicData>
            </a:graphic>
          </wp:inline>
        </w:drawing>
      </w:r>
    </w:p>
    <w:p w14:paraId="39B84D60" w14:textId="77777777" w:rsidR="00EA1422" w:rsidRDefault="00954688" w:rsidP="00954688">
      <w:pPr>
        <w:shd w:val="clear" w:color="auto" w:fill="FFFFFF" w:themeFill="background1"/>
        <w:rPr>
          <w:i/>
          <w:iCs/>
          <w:sz w:val="20"/>
        </w:rPr>
      </w:pPr>
      <w:r w:rsidRPr="00F54AB6">
        <w:rPr>
          <w:i/>
          <w:iCs/>
          <w:sz w:val="20"/>
        </w:rPr>
        <w:t>Zdroj: ČSÚ, veřejná databáze, zpracování PROCES</w:t>
      </w:r>
      <w:r w:rsidR="00EA1422">
        <w:rPr>
          <w:i/>
          <w:iCs/>
          <w:sz w:val="20"/>
        </w:rPr>
        <w:t>, 2020.</w:t>
      </w:r>
    </w:p>
    <w:p w14:paraId="1472E38C" w14:textId="18DE2FF2" w:rsidR="00954688" w:rsidRPr="00B605A0" w:rsidRDefault="00EA1422" w:rsidP="00954688">
      <w:pPr>
        <w:shd w:val="clear" w:color="auto" w:fill="FFFFFF" w:themeFill="background1"/>
      </w:pPr>
      <w:r>
        <w:t>V </w:t>
      </w:r>
      <w:r w:rsidR="00954688">
        <w:t xml:space="preserve">rámci Sčítání  lidu, domů a bytů v roce 2011 bylo zjištěno, že </w:t>
      </w:r>
      <w:r>
        <w:t>n</w:t>
      </w:r>
      <w:r w:rsidR="00954688">
        <w:t xml:space="preserve">ejvíce zaměstnaných osob </w:t>
      </w:r>
      <w:r>
        <w:t xml:space="preserve">je </w:t>
      </w:r>
      <w:r w:rsidR="00954688">
        <w:t xml:space="preserve">zaměstnáno v odvětví průmyslu (8 463 osob), následně v odvětví </w:t>
      </w:r>
      <w:r w:rsidR="00954688" w:rsidRPr="00B605A0">
        <w:t>velkoobchod a maloobchod,</w:t>
      </w:r>
      <w:r w:rsidR="00954688">
        <w:t xml:space="preserve"> </w:t>
      </w:r>
      <w:r w:rsidR="00954688" w:rsidRPr="00B605A0">
        <w:t>opravy a</w:t>
      </w:r>
      <w:r>
        <w:t> </w:t>
      </w:r>
      <w:r w:rsidR="00954688" w:rsidRPr="00B605A0">
        <w:t>údržba motorových vozidel</w:t>
      </w:r>
      <w:r w:rsidR="00954688">
        <w:t xml:space="preserve"> (4 649 osob) a v činnostech</w:t>
      </w:r>
      <w:r w:rsidR="00954688" w:rsidRPr="00B605A0">
        <w:t xml:space="preserve"> v oblasti nemovitostí,</w:t>
      </w:r>
      <w:r w:rsidR="00954688">
        <w:t xml:space="preserve"> profesní, věd</w:t>
      </w:r>
      <w:r w:rsidR="004F6B03">
        <w:t>eckých</w:t>
      </w:r>
      <w:r w:rsidR="00954688">
        <w:t xml:space="preserve"> a</w:t>
      </w:r>
      <w:r w:rsidR="004F6B03">
        <w:t> technických</w:t>
      </w:r>
      <w:r w:rsidR="00954688">
        <w:t xml:space="preserve"> činnostech</w:t>
      </w:r>
      <w:r w:rsidR="00954688" w:rsidRPr="00B605A0">
        <w:t xml:space="preserve"> </w:t>
      </w:r>
      <w:r w:rsidR="00954688">
        <w:t>a administr</w:t>
      </w:r>
      <w:r>
        <w:t>ativních</w:t>
      </w:r>
      <w:r w:rsidR="00954688">
        <w:t xml:space="preserve"> a podpůrn</w:t>
      </w:r>
      <w:r>
        <w:t>ých</w:t>
      </w:r>
      <w:r w:rsidR="00954688">
        <w:t xml:space="preserve"> činnostech (3 058 osob)</w:t>
      </w:r>
      <w:r>
        <w:t>,</w:t>
      </w:r>
      <w:r w:rsidR="00954688">
        <w:t xml:space="preserve"> viz přehled struktury zaměstnanosti dle odvětví v</w:t>
      </w:r>
      <w:r w:rsidR="00E111E6">
        <w:t> </w:t>
      </w:r>
      <w:r w:rsidR="00954688">
        <w:t>obrázku</w:t>
      </w:r>
      <w:r w:rsidR="00E111E6">
        <w:t xml:space="preserve"> 1.83</w:t>
      </w:r>
      <w:r w:rsidR="00954688">
        <w:t>.</w:t>
      </w:r>
    </w:p>
    <w:p w14:paraId="16901FDE" w14:textId="111E9F81" w:rsidR="00954688" w:rsidRDefault="00954688" w:rsidP="00954688">
      <w:pPr>
        <w:pStyle w:val="Titulek"/>
        <w:shd w:val="clear" w:color="auto" w:fill="FFFFFF" w:themeFill="background1"/>
        <w:rPr>
          <w:i/>
          <w:iCs w:val="0"/>
          <w:sz w:val="20"/>
        </w:rPr>
      </w:pPr>
      <w:bookmarkStart w:id="412" w:name="_Toc53066195"/>
      <w:bookmarkStart w:id="413" w:name="_Toc7707490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83</w:t>
      </w:r>
      <w:r w:rsidR="00804AF3">
        <w:rPr>
          <w:noProof/>
        </w:rPr>
        <w:fldChar w:fldCharType="end"/>
      </w:r>
      <w:r w:rsidR="00EA1422">
        <w:rPr>
          <w:noProof/>
        </w:rPr>
        <w:t>:</w:t>
      </w:r>
      <w:r>
        <w:t xml:space="preserve"> Odvětvová struktura zaměstnanosti ve městě Zlín v roce 2011</w:t>
      </w:r>
      <w:bookmarkEnd w:id="412"/>
      <w:bookmarkEnd w:id="413"/>
    </w:p>
    <w:p w14:paraId="32234F5B" w14:textId="77777777" w:rsidR="00954688" w:rsidRDefault="00954688" w:rsidP="00954688">
      <w:pPr>
        <w:shd w:val="clear" w:color="auto" w:fill="FFFFFF" w:themeFill="background1"/>
        <w:rPr>
          <w:highlight w:val="yellow"/>
        </w:rPr>
      </w:pPr>
      <w:r>
        <w:rPr>
          <w:noProof/>
          <w:highlight w:val="yellow"/>
          <w:lang w:eastAsia="cs-CZ"/>
        </w:rPr>
        <w:drawing>
          <wp:inline distT="0" distB="0" distL="0" distR="0" wp14:anchorId="557B6875" wp14:editId="7A632818">
            <wp:extent cx="5773420" cy="3139440"/>
            <wp:effectExtent l="0" t="0" r="0" b="3810"/>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73420" cy="3139440"/>
                    </a:xfrm>
                    <a:prstGeom prst="rect">
                      <a:avLst/>
                    </a:prstGeom>
                    <a:noFill/>
                  </pic:spPr>
                </pic:pic>
              </a:graphicData>
            </a:graphic>
          </wp:inline>
        </w:drawing>
      </w:r>
    </w:p>
    <w:p w14:paraId="0FA82962" w14:textId="213EB588" w:rsidR="00954688" w:rsidRDefault="00954688" w:rsidP="00954688">
      <w:pPr>
        <w:pStyle w:val="Zdroj"/>
        <w:shd w:val="clear" w:color="auto" w:fill="FFFFFF" w:themeFill="background1"/>
      </w:pPr>
      <w:r>
        <w:t>Zdroj: ČSÚ,</w:t>
      </w:r>
      <w:r w:rsidRPr="006E55BA">
        <w:t xml:space="preserve"> SLDB 2011</w:t>
      </w:r>
      <w:r>
        <w:t>, zpracování PROCES</w:t>
      </w:r>
      <w:r w:rsidR="00EA1422">
        <w:t>.</w:t>
      </w:r>
    </w:p>
    <w:p w14:paraId="4148477A" w14:textId="7B8F2B11" w:rsidR="00954688" w:rsidRDefault="00954688" w:rsidP="00954688">
      <w:pPr>
        <w:shd w:val="clear" w:color="auto" w:fill="FFFFFF" w:themeFill="background1"/>
      </w:pPr>
      <w:r>
        <w:t xml:space="preserve">V tabulce </w:t>
      </w:r>
      <w:r w:rsidR="00094895">
        <w:t>1.</w:t>
      </w:r>
      <w:r w:rsidR="00122205">
        <w:t>59</w:t>
      </w:r>
      <w:r>
        <w:t xml:space="preserve"> je uveden vývoj distribuce mezd v podnikatelské sféře dle krajů. Úroveň mezd ve Zlínském kraji patří dlouhodobě k nižším mezi kraji ČR. V roce 2019 činil medián mezd v podnikatelské </w:t>
      </w:r>
      <w:r>
        <w:lastRenderedPageBreak/>
        <w:t xml:space="preserve">sféře ve Zlínském kraji 28 309 Kč, což řadí kraj na 11 místo. Mzdová diferenciace byla v roce 2019 ve Zlínském kraji 32 293 Kč. K růstu mzdové diferenciace dochází nejvýrazněji v Praze, za kterou s velkým odstupem následuje Středočeský a Jihomoravský kraj. Naopak nejnižší mzdová diferenciace je v Karlovarském a Pardubickém kraji. </w:t>
      </w:r>
    </w:p>
    <w:p w14:paraId="0CEAF9FA" w14:textId="2454E59E" w:rsidR="00954688" w:rsidRDefault="00954688" w:rsidP="00954688">
      <w:pPr>
        <w:pStyle w:val="Titulek"/>
      </w:pPr>
      <w:bookmarkStart w:id="414" w:name="_Toc53066217"/>
      <w:bookmarkStart w:id="415" w:name="_Toc7707473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59</w:t>
      </w:r>
      <w:r w:rsidR="00081B47">
        <w:rPr>
          <w:noProof/>
        </w:rPr>
        <w:fldChar w:fldCharType="end"/>
      </w:r>
      <w:r w:rsidR="00EA1422">
        <w:rPr>
          <w:noProof/>
        </w:rPr>
        <w:t>:</w:t>
      </w:r>
      <w:r>
        <w:t xml:space="preserve"> Vývoj distribuce mezd dle krajů v období 2011 až 2019</w:t>
      </w:r>
      <w:bookmarkEnd w:id="414"/>
      <w:bookmarkEnd w:id="415"/>
    </w:p>
    <w:tbl>
      <w:tblPr>
        <w:tblW w:w="9209" w:type="dxa"/>
        <w:tblCellMar>
          <w:left w:w="70" w:type="dxa"/>
          <w:right w:w="70" w:type="dxa"/>
        </w:tblCellMar>
        <w:tblLook w:val="04A0" w:firstRow="1" w:lastRow="0" w:firstColumn="1" w:lastColumn="0" w:noHBand="0" w:noVBand="1"/>
      </w:tblPr>
      <w:tblGrid>
        <w:gridCol w:w="704"/>
        <w:gridCol w:w="709"/>
        <w:gridCol w:w="709"/>
        <w:gridCol w:w="708"/>
        <w:gridCol w:w="709"/>
        <w:gridCol w:w="709"/>
        <w:gridCol w:w="709"/>
        <w:gridCol w:w="708"/>
        <w:gridCol w:w="709"/>
        <w:gridCol w:w="709"/>
        <w:gridCol w:w="709"/>
        <w:gridCol w:w="708"/>
        <w:gridCol w:w="709"/>
      </w:tblGrid>
      <w:tr w:rsidR="00954688" w:rsidRPr="00825F8A" w14:paraId="763302A3" w14:textId="77777777" w:rsidTr="000C49A5">
        <w:trPr>
          <w:trHeight w:val="147"/>
        </w:trPr>
        <w:tc>
          <w:tcPr>
            <w:tcW w:w="704"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noWrap/>
            <w:vAlign w:val="bottom"/>
            <w:hideMark/>
          </w:tcPr>
          <w:p w14:paraId="2D849974" w14:textId="77777777" w:rsidR="00954688" w:rsidRPr="00825F8A" w:rsidRDefault="00954688" w:rsidP="000C49A5">
            <w:pPr>
              <w:spacing w:before="0"/>
              <w:jc w:val="center"/>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Kraje</w:t>
            </w:r>
          </w:p>
        </w:tc>
        <w:tc>
          <w:tcPr>
            <w:tcW w:w="1418" w:type="dxa"/>
            <w:gridSpan w:val="2"/>
            <w:tcBorders>
              <w:top w:val="single" w:sz="4" w:space="0" w:color="auto"/>
              <w:left w:val="nil"/>
              <w:bottom w:val="single" w:sz="4" w:space="0" w:color="auto"/>
              <w:right w:val="single" w:sz="4" w:space="0" w:color="auto"/>
            </w:tcBorders>
            <w:shd w:val="clear" w:color="auto" w:fill="EDEDED" w:themeFill="accent3" w:themeFillTint="33"/>
            <w:noWrap/>
            <w:vAlign w:val="bottom"/>
            <w:hideMark/>
          </w:tcPr>
          <w:p w14:paraId="52FFC25E" w14:textId="77777777" w:rsidR="00954688" w:rsidRPr="00825F8A" w:rsidRDefault="00954688" w:rsidP="000C49A5">
            <w:pPr>
              <w:spacing w:before="0"/>
              <w:jc w:val="center"/>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Průměr</w:t>
            </w:r>
          </w:p>
        </w:tc>
        <w:tc>
          <w:tcPr>
            <w:tcW w:w="1417" w:type="dxa"/>
            <w:gridSpan w:val="2"/>
            <w:tcBorders>
              <w:top w:val="single" w:sz="4" w:space="0" w:color="auto"/>
              <w:left w:val="nil"/>
              <w:bottom w:val="single" w:sz="4" w:space="0" w:color="auto"/>
              <w:right w:val="single" w:sz="4" w:space="0" w:color="auto"/>
            </w:tcBorders>
            <w:shd w:val="clear" w:color="auto" w:fill="EDEDED" w:themeFill="accent3" w:themeFillTint="33"/>
            <w:noWrap/>
            <w:vAlign w:val="bottom"/>
            <w:hideMark/>
          </w:tcPr>
          <w:p w14:paraId="38D07813" w14:textId="77777777" w:rsidR="00954688" w:rsidRPr="00825F8A" w:rsidRDefault="00954688" w:rsidP="000C49A5">
            <w:pPr>
              <w:spacing w:before="0"/>
              <w:jc w:val="center"/>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Medián</w:t>
            </w:r>
          </w:p>
        </w:tc>
        <w:tc>
          <w:tcPr>
            <w:tcW w:w="1418" w:type="dxa"/>
            <w:gridSpan w:val="2"/>
            <w:tcBorders>
              <w:top w:val="single" w:sz="4" w:space="0" w:color="auto"/>
              <w:left w:val="nil"/>
              <w:bottom w:val="single" w:sz="4" w:space="0" w:color="auto"/>
              <w:right w:val="single" w:sz="4" w:space="0" w:color="auto"/>
            </w:tcBorders>
            <w:shd w:val="clear" w:color="auto" w:fill="EDEDED" w:themeFill="accent3" w:themeFillTint="33"/>
            <w:noWrap/>
            <w:vAlign w:val="bottom"/>
            <w:hideMark/>
          </w:tcPr>
          <w:p w14:paraId="309B4845" w14:textId="77777777" w:rsidR="00954688" w:rsidRPr="00825F8A" w:rsidRDefault="00954688" w:rsidP="000C49A5">
            <w:pPr>
              <w:spacing w:before="0"/>
              <w:jc w:val="center"/>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1. decil</w:t>
            </w:r>
          </w:p>
        </w:tc>
        <w:tc>
          <w:tcPr>
            <w:tcW w:w="1417" w:type="dxa"/>
            <w:gridSpan w:val="2"/>
            <w:tcBorders>
              <w:top w:val="single" w:sz="4" w:space="0" w:color="auto"/>
              <w:left w:val="nil"/>
              <w:bottom w:val="single" w:sz="4" w:space="0" w:color="auto"/>
              <w:right w:val="single" w:sz="4" w:space="0" w:color="auto"/>
            </w:tcBorders>
            <w:shd w:val="clear" w:color="auto" w:fill="EDEDED" w:themeFill="accent3" w:themeFillTint="33"/>
            <w:noWrap/>
            <w:vAlign w:val="bottom"/>
            <w:hideMark/>
          </w:tcPr>
          <w:p w14:paraId="503050F6" w14:textId="77777777" w:rsidR="00954688" w:rsidRPr="00825F8A" w:rsidRDefault="00954688" w:rsidP="000C49A5">
            <w:pPr>
              <w:spacing w:before="0"/>
              <w:jc w:val="center"/>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9. decil</w:t>
            </w:r>
          </w:p>
        </w:tc>
        <w:tc>
          <w:tcPr>
            <w:tcW w:w="1418" w:type="dxa"/>
            <w:gridSpan w:val="2"/>
            <w:tcBorders>
              <w:top w:val="single" w:sz="4" w:space="0" w:color="auto"/>
              <w:left w:val="nil"/>
              <w:bottom w:val="single" w:sz="4" w:space="0" w:color="auto"/>
              <w:right w:val="single" w:sz="4" w:space="0" w:color="auto"/>
            </w:tcBorders>
            <w:shd w:val="clear" w:color="auto" w:fill="EDEDED" w:themeFill="accent3" w:themeFillTint="33"/>
            <w:noWrap/>
            <w:vAlign w:val="bottom"/>
            <w:hideMark/>
          </w:tcPr>
          <w:p w14:paraId="689EDBA9" w14:textId="77777777" w:rsidR="00954688" w:rsidRPr="00825F8A" w:rsidRDefault="00954688" w:rsidP="000C49A5">
            <w:pPr>
              <w:spacing w:before="0"/>
              <w:jc w:val="center"/>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Rozdíl</w:t>
            </w:r>
          </w:p>
        </w:tc>
        <w:tc>
          <w:tcPr>
            <w:tcW w:w="1417" w:type="dxa"/>
            <w:gridSpan w:val="2"/>
            <w:tcBorders>
              <w:top w:val="single" w:sz="4" w:space="0" w:color="auto"/>
              <w:left w:val="nil"/>
              <w:bottom w:val="single" w:sz="4" w:space="0" w:color="auto"/>
              <w:right w:val="single" w:sz="4" w:space="0" w:color="auto"/>
            </w:tcBorders>
            <w:shd w:val="clear" w:color="auto" w:fill="EDEDED" w:themeFill="accent3" w:themeFillTint="33"/>
            <w:noWrap/>
            <w:vAlign w:val="bottom"/>
            <w:hideMark/>
          </w:tcPr>
          <w:p w14:paraId="315DCA9F" w14:textId="77777777" w:rsidR="00954688" w:rsidRPr="00825F8A" w:rsidRDefault="00954688" w:rsidP="000C49A5">
            <w:pPr>
              <w:spacing w:before="0"/>
              <w:jc w:val="center"/>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Asymetrie</w:t>
            </w:r>
          </w:p>
        </w:tc>
      </w:tr>
      <w:tr w:rsidR="00954688" w:rsidRPr="00825F8A" w14:paraId="2937A7FB" w14:textId="77777777" w:rsidTr="000C49A5">
        <w:trPr>
          <w:trHeight w:val="207"/>
        </w:trPr>
        <w:tc>
          <w:tcPr>
            <w:tcW w:w="704" w:type="dxa"/>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DF90EFE" w14:textId="77777777" w:rsidR="00954688" w:rsidRPr="00825F8A" w:rsidRDefault="00954688" w:rsidP="000C49A5">
            <w:pPr>
              <w:spacing w:before="0"/>
              <w:jc w:val="left"/>
              <w:rPr>
                <w:rFonts w:eastAsia="Times New Roman" w:cstheme="minorHAnsi"/>
                <w:b/>
                <w:bCs/>
                <w:color w:val="000000"/>
                <w:sz w:val="18"/>
                <w:szCs w:val="18"/>
                <w:lang w:eastAsia="cs-CZ"/>
              </w:rPr>
            </w:pP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76C0EFC6"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2011</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62BB8666"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2019</w:t>
            </w:r>
          </w:p>
        </w:tc>
        <w:tc>
          <w:tcPr>
            <w:tcW w:w="708" w:type="dxa"/>
            <w:tcBorders>
              <w:top w:val="nil"/>
              <w:left w:val="nil"/>
              <w:bottom w:val="single" w:sz="4" w:space="0" w:color="auto"/>
              <w:right w:val="single" w:sz="4" w:space="0" w:color="auto"/>
            </w:tcBorders>
            <w:shd w:val="clear" w:color="auto" w:fill="EDEDED" w:themeFill="accent3" w:themeFillTint="33"/>
            <w:noWrap/>
            <w:vAlign w:val="bottom"/>
            <w:hideMark/>
          </w:tcPr>
          <w:p w14:paraId="4F1FE07A"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2011</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14F397F7"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2019</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6019AAEE"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2011</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53BF623F"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2019</w:t>
            </w:r>
          </w:p>
        </w:tc>
        <w:tc>
          <w:tcPr>
            <w:tcW w:w="708" w:type="dxa"/>
            <w:tcBorders>
              <w:top w:val="nil"/>
              <w:left w:val="nil"/>
              <w:bottom w:val="single" w:sz="4" w:space="0" w:color="auto"/>
              <w:right w:val="single" w:sz="4" w:space="0" w:color="auto"/>
            </w:tcBorders>
            <w:shd w:val="clear" w:color="auto" w:fill="EDEDED" w:themeFill="accent3" w:themeFillTint="33"/>
            <w:noWrap/>
            <w:vAlign w:val="bottom"/>
            <w:hideMark/>
          </w:tcPr>
          <w:p w14:paraId="7028F967"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2011</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6EF4E18C"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2019</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437D9EE3"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2011</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45453B03"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2019</w:t>
            </w:r>
          </w:p>
        </w:tc>
        <w:tc>
          <w:tcPr>
            <w:tcW w:w="708" w:type="dxa"/>
            <w:tcBorders>
              <w:top w:val="nil"/>
              <w:left w:val="nil"/>
              <w:bottom w:val="single" w:sz="4" w:space="0" w:color="auto"/>
              <w:right w:val="single" w:sz="4" w:space="0" w:color="auto"/>
            </w:tcBorders>
            <w:shd w:val="clear" w:color="auto" w:fill="EDEDED" w:themeFill="accent3" w:themeFillTint="33"/>
            <w:noWrap/>
            <w:vAlign w:val="bottom"/>
            <w:hideMark/>
          </w:tcPr>
          <w:p w14:paraId="0BF5C60C"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2011</w:t>
            </w:r>
          </w:p>
        </w:tc>
        <w:tc>
          <w:tcPr>
            <w:tcW w:w="709" w:type="dxa"/>
            <w:tcBorders>
              <w:top w:val="nil"/>
              <w:left w:val="nil"/>
              <w:bottom w:val="single" w:sz="4" w:space="0" w:color="auto"/>
              <w:right w:val="single" w:sz="4" w:space="0" w:color="auto"/>
            </w:tcBorders>
            <w:shd w:val="clear" w:color="auto" w:fill="EDEDED" w:themeFill="accent3" w:themeFillTint="33"/>
            <w:noWrap/>
            <w:vAlign w:val="bottom"/>
            <w:hideMark/>
          </w:tcPr>
          <w:p w14:paraId="6EBB79AC"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2019</w:t>
            </w:r>
          </w:p>
        </w:tc>
      </w:tr>
      <w:tr w:rsidR="00954688" w:rsidRPr="00825F8A" w14:paraId="297FF99F"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734229F"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PHA</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62110D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35 415</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D8F00B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45 947</w:t>
            </w:r>
          </w:p>
        </w:tc>
        <w:tc>
          <w:tcPr>
            <w:tcW w:w="70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21B175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27 103</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45B3A8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36 054</w:t>
            </w:r>
          </w:p>
        </w:tc>
        <w:tc>
          <w:tcPr>
            <w:tcW w:w="709" w:type="dxa"/>
            <w:tcBorders>
              <w:top w:val="single" w:sz="4" w:space="0" w:color="auto"/>
              <w:left w:val="single" w:sz="4" w:space="0" w:color="auto"/>
              <w:bottom w:val="single" w:sz="4" w:space="0" w:color="auto"/>
              <w:right w:val="single" w:sz="4" w:space="0" w:color="auto"/>
            </w:tcBorders>
            <w:shd w:val="clear" w:color="000000" w:fill="FAACAE"/>
            <w:noWrap/>
            <w:vAlign w:val="bottom"/>
            <w:hideMark/>
          </w:tcPr>
          <w:p w14:paraId="4AE1F3C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11 578</w:t>
            </w:r>
          </w:p>
        </w:tc>
        <w:tc>
          <w:tcPr>
            <w:tcW w:w="709"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59533C1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17 162</w:t>
            </w:r>
          </w:p>
        </w:tc>
        <w:tc>
          <w:tcPr>
            <w:tcW w:w="70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9343948"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62 264</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1386689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80 382</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666E569"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50 685</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47BB958"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63 220</w:t>
            </w:r>
          </w:p>
        </w:tc>
        <w:tc>
          <w:tcPr>
            <w:tcW w:w="70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9825AC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2,26</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8E08CA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2,35</w:t>
            </w:r>
          </w:p>
        </w:tc>
      </w:tr>
      <w:tr w:rsidR="00954688" w:rsidRPr="00825F8A" w14:paraId="5B52ADD6"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D980947"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JMK</w:t>
            </w:r>
          </w:p>
        </w:tc>
        <w:tc>
          <w:tcPr>
            <w:tcW w:w="709" w:type="dxa"/>
            <w:tcBorders>
              <w:top w:val="single" w:sz="4" w:space="0" w:color="auto"/>
              <w:left w:val="single" w:sz="4" w:space="0" w:color="auto"/>
              <w:bottom w:val="single" w:sz="4" w:space="0" w:color="auto"/>
              <w:right w:val="single" w:sz="4" w:space="0" w:color="auto"/>
            </w:tcBorders>
            <w:shd w:val="clear" w:color="000000" w:fill="FCEBEE"/>
            <w:noWrap/>
            <w:vAlign w:val="bottom"/>
            <w:hideMark/>
          </w:tcPr>
          <w:p w14:paraId="3CA8AB5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24 429</w:t>
            </w:r>
          </w:p>
        </w:tc>
        <w:tc>
          <w:tcPr>
            <w:tcW w:w="709" w:type="dxa"/>
            <w:tcBorders>
              <w:top w:val="single" w:sz="4" w:space="0" w:color="auto"/>
              <w:left w:val="single" w:sz="4" w:space="0" w:color="auto"/>
              <w:bottom w:val="single" w:sz="4" w:space="0" w:color="auto"/>
              <w:right w:val="single" w:sz="4" w:space="0" w:color="auto"/>
            </w:tcBorders>
            <w:shd w:val="clear" w:color="000000" w:fill="FCE5E8"/>
            <w:noWrap/>
            <w:vAlign w:val="bottom"/>
            <w:hideMark/>
          </w:tcPr>
          <w:p w14:paraId="2DC19AB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34 728</w:t>
            </w:r>
          </w:p>
        </w:tc>
        <w:tc>
          <w:tcPr>
            <w:tcW w:w="708" w:type="dxa"/>
            <w:tcBorders>
              <w:top w:val="single" w:sz="4" w:space="0" w:color="auto"/>
              <w:left w:val="single" w:sz="4" w:space="0" w:color="auto"/>
              <w:bottom w:val="single" w:sz="4" w:space="0" w:color="auto"/>
              <w:right w:val="single" w:sz="4" w:space="0" w:color="auto"/>
            </w:tcBorders>
            <w:shd w:val="clear" w:color="000000" w:fill="FCF4F7"/>
            <w:noWrap/>
            <w:vAlign w:val="bottom"/>
            <w:hideMark/>
          </w:tcPr>
          <w:p w14:paraId="775A541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20 409</w:t>
            </w:r>
          </w:p>
        </w:tc>
        <w:tc>
          <w:tcPr>
            <w:tcW w:w="709" w:type="dxa"/>
            <w:tcBorders>
              <w:top w:val="single" w:sz="4" w:space="0" w:color="auto"/>
              <w:left w:val="single" w:sz="4" w:space="0" w:color="auto"/>
              <w:bottom w:val="single" w:sz="4" w:space="0" w:color="auto"/>
              <w:right w:val="single" w:sz="4" w:space="0" w:color="auto"/>
            </w:tcBorders>
            <w:shd w:val="clear" w:color="000000" w:fill="FCF2F5"/>
            <w:noWrap/>
            <w:vAlign w:val="bottom"/>
            <w:hideMark/>
          </w:tcPr>
          <w:p w14:paraId="5F5829B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29 674</w:t>
            </w:r>
          </w:p>
        </w:tc>
        <w:tc>
          <w:tcPr>
            <w:tcW w:w="709" w:type="dxa"/>
            <w:tcBorders>
              <w:top w:val="single" w:sz="4" w:space="0" w:color="auto"/>
              <w:left w:val="single" w:sz="4" w:space="0" w:color="auto"/>
              <w:bottom w:val="single" w:sz="4" w:space="0" w:color="auto"/>
              <w:right w:val="single" w:sz="4" w:space="0" w:color="auto"/>
            </w:tcBorders>
            <w:shd w:val="clear" w:color="000000" w:fill="A5BEE0"/>
            <w:noWrap/>
            <w:vAlign w:val="bottom"/>
            <w:hideMark/>
          </w:tcPr>
          <w:p w14:paraId="5444BF4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10 783</w:t>
            </w:r>
          </w:p>
        </w:tc>
        <w:tc>
          <w:tcPr>
            <w:tcW w:w="709" w:type="dxa"/>
            <w:tcBorders>
              <w:top w:val="single" w:sz="4" w:space="0" w:color="auto"/>
              <w:left w:val="single" w:sz="4" w:space="0" w:color="auto"/>
              <w:bottom w:val="single" w:sz="4" w:space="0" w:color="auto"/>
              <w:right w:val="single" w:sz="4" w:space="0" w:color="auto"/>
            </w:tcBorders>
            <w:shd w:val="clear" w:color="000000" w:fill="EBF0F9"/>
            <w:noWrap/>
            <w:vAlign w:val="bottom"/>
            <w:hideMark/>
          </w:tcPr>
          <w:p w14:paraId="6C6AB4F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16 989</w:t>
            </w:r>
          </w:p>
        </w:tc>
        <w:tc>
          <w:tcPr>
            <w:tcW w:w="708" w:type="dxa"/>
            <w:tcBorders>
              <w:top w:val="single" w:sz="4" w:space="0" w:color="auto"/>
              <w:left w:val="single" w:sz="4" w:space="0" w:color="auto"/>
              <w:bottom w:val="single" w:sz="4" w:space="0" w:color="auto"/>
              <w:right w:val="single" w:sz="4" w:space="0" w:color="auto"/>
            </w:tcBorders>
            <w:shd w:val="clear" w:color="000000" w:fill="FCE6E9"/>
            <w:noWrap/>
            <w:vAlign w:val="bottom"/>
            <w:hideMark/>
          </w:tcPr>
          <w:p w14:paraId="54ACA3E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39 775</w:t>
            </w:r>
          </w:p>
        </w:tc>
        <w:tc>
          <w:tcPr>
            <w:tcW w:w="709" w:type="dxa"/>
            <w:tcBorders>
              <w:top w:val="single" w:sz="4" w:space="0" w:color="auto"/>
              <w:left w:val="single" w:sz="4" w:space="0" w:color="auto"/>
              <w:bottom w:val="single" w:sz="4" w:space="0" w:color="auto"/>
              <w:right w:val="single" w:sz="4" w:space="0" w:color="auto"/>
            </w:tcBorders>
            <w:shd w:val="clear" w:color="000000" w:fill="FCE3E5"/>
            <w:noWrap/>
            <w:vAlign w:val="bottom"/>
            <w:hideMark/>
          </w:tcPr>
          <w:p w14:paraId="7E195FE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54 697</w:t>
            </w:r>
          </w:p>
        </w:tc>
        <w:tc>
          <w:tcPr>
            <w:tcW w:w="709" w:type="dxa"/>
            <w:tcBorders>
              <w:top w:val="single" w:sz="4" w:space="0" w:color="auto"/>
              <w:left w:val="single" w:sz="4" w:space="0" w:color="auto"/>
              <w:bottom w:val="single" w:sz="4" w:space="0" w:color="auto"/>
              <w:right w:val="single" w:sz="4" w:space="0" w:color="auto"/>
            </w:tcBorders>
            <w:shd w:val="clear" w:color="000000" w:fill="FCE4E6"/>
            <w:noWrap/>
            <w:vAlign w:val="bottom"/>
            <w:hideMark/>
          </w:tcPr>
          <w:p w14:paraId="2E80686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28 992</w:t>
            </w:r>
          </w:p>
        </w:tc>
        <w:tc>
          <w:tcPr>
            <w:tcW w:w="709" w:type="dxa"/>
            <w:tcBorders>
              <w:top w:val="single" w:sz="4" w:space="0" w:color="auto"/>
              <w:left w:val="single" w:sz="4" w:space="0" w:color="auto"/>
              <w:bottom w:val="single" w:sz="4" w:space="0" w:color="auto"/>
              <w:right w:val="single" w:sz="4" w:space="0" w:color="auto"/>
            </w:tcBorders>
            <w:shd w:val="clear" w:color="000000" w:fill="FCE5E8"/>
            <w:noWrap/>
            <w:vAlign w:val="bottom"/>
            <w:hideMark/>
          </w:tcPr>
          <w:p w14:paraId="0F32D2E0"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37 708</w:t>
            </w:r>
          </w:p>
        </w:tc>
        <w:tc>
          <w:tcPr>
            <w:tcW w:w="708" w:type="dxa"/>
            <w:tcBorders>
              <w:top w:val="single" w:sz="4" w:space="0" w:color="auto"/>
              <w:left w:val="single" w:sz="4" w:space="0" w:color="auto"/>
              <w:bottom w:val="single" w:sz="4" w:space="0" w:color="auto"/>
              <w:right w:val="single" w:sz="4" w:space="0" w:color="auto"/>
            </w:tcBorders>
            <w:shd w:val="clear" w:color="000000" w:fill="FAADAF"/>
            <w:noWrap/>
            <w:vAlign w:val="bottom"/>
            <w:hideMark/>
          </w:tcPr>
          <w:p w14:paraId="2BD09479"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2,01</w:t>
            </w:r>
          </w:p>
        </w:tc>
        <w:tc>
          <w:tcPr>
            <w:tcW w:w="709" w:type="dxa"/>
            <w:tcBorders>
              <w:top w:val="single" w:sz="4" w:space="0" w:color="auto"/>
              <w:left w:val="single" w:sz="4" w:space="0" w:color="auto"/>
              <w:bottom w:val="single" w:sz="4" w:space="0" w:color="auto"/>
              <w:right w:val="single" w:sz="4" w:space="0" w:color="auto"/>
            </w:tcBorders>
            <w:shd w:val="clear" w:color="000000" w:fill="FBBFC1"/>
            <w:noWrap/>
            <w:vAlign w:val="bottom"/>
            <w:hideMark/>
          </w:tcPr>
          <w:p w14:paraId="7BDCA92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1,97</w:t>
            </w:r>
          </w:p>
        </w:tc>
      </w:tr>
      <w:tr w:rsidR="00954688" w:rsidRPr="00825F8A" w14:paraId="2D457368"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DE3D512"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SCK</w:t>
            </w:r>
          </w:p>
        </w:tc>
        <w:tc>
          <w:tcPr>
            <w:tcW w:w="709" w:type="dxa"/>
            <w:tcBorders>
              <w:top w:val="single" w:sz="4" w:space="0" w:color="auto"/>
              <w:left w:val="single" w:sz="4" w:space="0" w:color="auto"/>
              <w:bottom w:val="single" w:sz="4" w:space="0" w:color="auto"/>
              <w:right w:val="single" w:sz="4" w:space="0" w:color="auto"/>
            </w:tcBorders>
            <w:shd w:val="clear" w:color="000000" w:fill="FCD9DC"/>
            <w:noWrap/>
            <w:vAlign w:val="bottom"/>
            <w:hideMark/>
          </w:tcPr>
          <w:p w14:paraId="7871BD59"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25 943</w:t>
            </w:r>
          </w:p>
        </w:tc>
        <w:tc>
          <w:tcPr>
            <w:tcW w:w="709" w:type="dxa"/>
            <w:tcBorders>
              <w:top w:val="single" w:sz="4" w:space="0" w:color="auto"/>
              <w:left w:val="single" w:sz="4" w:space="0" w:color="auto"/>
              <w:bottom w:val="single" w:sz="4" w:space="0" w:color="auto"/>
              <w:right w:val="single" w:sz="4" w:space="0" w:color="auto"/>
            </w:tcBorders>
            <w:shd w:val="clear" w:color="000000" w:fill="FBCCCE"/>
            <w:noWrap/>
            <w:vAlign w:val="bottom"/>
            <w:hideMark/>
          </w:tcPr>
          <w:p w14:paraId="3E79E6C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37 057</w:t>
            </w:r>
          </w:p>
        </w:tc>
        <w:tc>
          <w:tcPr>
            <w:tcW w:w="708" w:type="dxa"/>
            <w:tcBorders>
              <w:top w:val="single" w:sz="4" w:space="0" w:color="auto"/>
              <w:left w:val="single" w:sz="4" w:space="0" w:color="auto"/>
              <w:bottom w:val="single" w:sz="4" w:space="0" w:color="auto"/>
              <w:right w:val="single" w:sz="4" w:space="0" w:color="auto"/>
            </w:tcBorders>
            <w:shd w:val="clear" w:color="000000" w:fill="FBCDD0"/>
            <w:noWrap/>
            <w:vAlign w:val="bottom"/>
            <w:hideMark/>
          </w:tcPr>
          <w:p w14:paraId="6598673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22 300</w:t>
            </w:r>
          </w:p>
        </w:tc>
        <w:tc>
          <w:tcPr>
            <w:tcW w:w="709" w:type="dxa"/>
            <w:tcBorders>
              <w:top w:val="single" w:sz="4" w:space="0" w:color="auto"/>
              <w:left w:val="single" w:sz="4" w:space="0" w:color="auto"/>
              <w:bottom w:val="single" w:sz="4" w:space="0" w:color="auto"/>
              <w:right w:val="single" w:sz="4" w:space="0" w:color="auto"/>
            </w:tcBorders>
            <w:shd w:val="clear" w:color="000000" w:fill="FBC1C4"/>
            <w:noWrap/>
            <w:vAlign w:val="bottom"/>
            <w:hideMark/>
          </w:tcPr>
          <w:p w14:paraId="22BBB46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31 950</w:t>
            </w:r>
          </w:p>
        </w:tc>
        <w:tc>
          <w:tcPr>
            <w:tcW w:w="709" w:type="dxa"/>
            <w:tcBorders>
              <w:top w:val="single" w:sz="4" w:space="0" w:color="auto"/>
              <w:left w:val="single" w:sz="4" w:space="0" w:color="auto"/>
              <w:bottom w:val="single" w:sz="4" w:space="0" w:color="auto"/>
              <w:right w:val="single" w:sz="4" w:space="0" w:color="auto"/>
            </w:tcBorders>
            <w:shd w:val="clear" w:color="000000" w:fill="FBC0C3"/>
            <w:noWrap/>
            <w:vAlign w:val="bottom"/>
            <w:hideMark/>
          </w:tcPr>
          <w:p w14:paraId="1604484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11 479</w:t>
            </w:r>
          </w:p>
        </w:tc>
        <w:tc>
          <w:tcPr>
            <w:tcW w:w="709" w:type="dxa"/>
            <w:tcBorders>
              <w:top w:val="single" w:sz="4" w:space="0" w:color="auto"/>
              <w:left w:val="single" w:sz="4" w:space="0" w:color="auto"/>
              <w:bottom w:val="single" w:sz="4" w:space="0" w:color="auto"/>
              <w:right w:val="single" w:sz="4" w:space="0" w:color="auto"/>
            </w:tcBorders>
            <w:shd w:val="clear" w:color="000000" w:fill="FCF9FC"/>
            <w:noWrap/>
            <w:vAlign w:val="bottom"/>
            <w:hideMark/>
          </w:tcPr>
          <w:p w14:paraId="3D54BCF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17 132</w:t>
            </w:r>
          </w:p>
        </w:tc>
        <w:tc>
          <w:tcPr>
            <w:tcW w:w="708" w:type="dxa"/>
            <w:tcBorders>
              <w:top w:val="single" w:sz="4" w:space="0" w:color="auto"/>
              <w:left w:val="single" w:sz="4" w:space="0" w:color="auto"/>
              <w:bottom w:val="single" w:sz="4" w:space="0" w:color="auto"/>
              <w:right w:val="single" w:sz="4" w:space="0" w:color="auto"/>
            </w:tcBorders>
            <w:shd w:val="clear" w:color="000000" w:fill="FCE4E7"/>
            <w:noWrap/>
            <w:vAlign w:val="bottom"/>
            <w:hideMark/>
          </w:tcPr>
          <w:p w14:paraId="76E2BB1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40 167</w:t>
            </w:r>
          </w:p>
        </w:tc>
        <w:tc>
          <w:tcPr>
            <w:tcW w:w="709" w:type="dxa"/>
            <w:tcBorders>
              <w:top w:val="single" w:sz="4" w:space="0" w:color="auto"/>
              <w:left w:val="single" w:sz="4" w:space="0" w:color="auto"/>
              <w:bottom w:val="single" w:sz="4" w:space="0" w:color="auto"/>
              <w:right w:val="single" w:sz="4" w:space="0" w:color="auto"/>
            </w:tcBorders>
            <w:shd w:val="clear" w:color="000000" w:fill="FBD0D3"/>
            <w:noWrap/>
            <w:vAlign w:val="bottom"/>
            <w:hideMark/>
          </w:tcPr>
          <w:p w14:paraId="732FDC8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58 570</w:t>
            </w:r>
          </w:p>
        </w:tc>
        <w:tc>
          <w:tcPr>
            <w:tcW w:w="709" w:type="dxa"/>
            <w:tcBorders>
              <w:top w:val="single" w:sz="4" w:space="0" w:color="auto"/>
              <w:left w:val="single" w:sz="4" w:space="0" w:color="auto"/>
              <w:bottom w:val="single" w:sz="4" w:space="0" w:color="auto"/>
              <w:right w:val="single" w:sz="4" w:space="0" w:color="auto"/>
            </w:tcBorders>
            <w:shd w:val="clear" w:color="000000" w:fill="FCE5E8"/>
            <w:noWrap/>
            <w:vAlign w:val="bottom"/>
            <w:hideMark/>
          </w:tcPr>
          <w:p w14:paraId="0E2D422E"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28 688</w:t>
            </w:r>
          </w:p>
        </w:tc>
        <w:tc>
          <w:tcPr>
            <w:tcW w:w="709" w:type="dxa"/>
            <w:tcBorders>
              <w:top w:val="single" w:sz="4" w:space="0" w:color="auto"/>
              <w:left w:val="single" w:sz="4" w:space="0" w:color="auto"/>
              <w:bottom w:val="single" w:sz="4" w:space="0" w:color="auto"/>
              <w:right w:val="single" w:sz="4" w:space="0" w:color="auto"/>
            </w:tcBorders>
            <w:shd w:val="clear" w:color="000000" w:fill="FBD3D6"/>
            <w:noWrap/>
            <w:vAlign w:val="bottom"/>
            <w:hideMark/>
          </w:tcPr>
          <w:p w14:paraId="7950854C"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41 438</w:t>
            </w:r>
          </w:p>
        </w:tc>
        <w:tc>
          <w:tcPr>
            <w:tcW w:w="708" w:type="dxa"/>
            <w:tcBorders>
              <w:top w:val="single" w:sz="4" w:space="0" w:color="auto"/>
              <w:left w:val="single" w:sz="4" w:space="0" w:color="auto"/>
              <w:bottom w:val="single" w:sz="4" w:space="0" w:color="auto"/>
              <w:right w:val="single" w:sz="4" w:space="0" w:color="auto"/>
            </w:tcBorders>
            <w:shd w:val="clear" w:color="000000" w:fill="D7E2F2"/>
            <w:noWrap/>
            <w:vAlign w:val="bottom"/>
            <w:hideMark/>
          </w:tcPr>
          <w:p w14:paraId="2116A35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1,65</w:t>
            </w:r>
          </w:p>
        </w:tc>
        <w:tc>
          <w:tcPr>
            <w:tcW w:w="709" w:type="dxa"/>
            <w:tcBorders>
              <w:top w:val="single" w:sz="4" w:space="0" w:color="auto"/>
              <w:left w:val="single" w:sz="4" w:space="0" w:color="auto"/>
              <w:bottom w:val="single" w:sz="4" w:space="0" w:color="auto"/>
              <w:right w:val="single" w:sz="4" w:space="0" w:color="auto"/>
            </w:tcBorders>
            <w:shd w:val="clear" w:color="000000" w:fill="FCE7EA"/>
            <w:noWrap/>
            <w:vAlign w:val="bottom"/>
            <w:hideMark/>
          </w:tcPr>
          <w:p w14:paraId="7C859F8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1,80</w:t>
            </w:r>
          </w:p>
        </w:tc>
      </w:tr>
      <w:tr w:rsidR="00954688" w:rsidRPr="00825F8A" w14:paraId="076D1355"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C691859"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LBK</w:t>
            </w:r>
          </w:p>
        </w:tc>
        <w:tc>
          <w:tcPr>
            <w:tcW w:w="709" w:type="dxa"/>
            <w:tcBorders>
              <w:top w:val="single" w:sz="4" w:space="0" w:color="auto"/>
              <w:left w:val="single" w:sz="4" w:space="0" w:color="auto"/>
              <w:bottom w:val="single" w:sz="4" w:space="0" w:color="auto"/>
              <w:right w:val="single" w:sz="4" w:space="0" w:color="auto"/>
            </w:tcBorders>
            <w:shd w:val="clear" w:color="000000" w:fill="FCFAFD"/>
            <w:noWrap/>
            <w:vAlign w:val="bottom"/>
            <w:hideMark/>
          </w:tcPr>
          <w:p w14:paraId="46D7F7AE"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23 170</w:t>
            </w:r>
          </w:p>
        </w:tc>
        <w:tc>
          <w:tcPr>
            <w:tcW w:w="709"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6645B6E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33 830</w:t>
            </w:r>
          </w:p>
        </w:tc>
        <w:tc>
          <w:tcPr>
            <w:tcW w:w="708" w:type="dxa"/>
            <w:tcBorders>
              <w:top w:val="single" w:sz="4" w:space="0" w:color="auto"/>
              <w:left w:val="single" w:sz="4" w:space="0" w:color="auto"/>
              <w:bottom w:val="single" w:sz="4" w:space="0" w:color="auto"/>
              <w:right w:val="single" w:sz="4" w:space="0" w:color="auto"/>
            </w:tcBorders>
            <w:shd w:val="clear" w:color="000000" w:fill="FCF1F4"/>
            <w:noWrap/>
            <w:vAlign w:val="bottom"/>
            <w:hideMark/>
          </w:tcPr>
          <w:p w14:paraId="1B85F2C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20 539</w:t>
            </w:r>
          </w:p>
        </w:tc>
        <w:tc>
          <w:tcPr>
            <w:tcW w:w="709" w:type="dxa"/>
            <w:tcBorders>
              <w:top w:val="single" w:sz="4" w:space="0" w:color="auto"/>
              <w:left w:val="single" w:sz="4" w:space="0" w:color="auto"/>
              <w:bottom w:val="single" w:sz="4" w:space="0" w:color="auto"/>
              <w:right w:val="single" w:sz="4" w:space="0" w:color="auto"/>
            </w:tcBorders>
            <w:shd w:val="clear" w:color="000000" w:fill="FCEAED"/>
            <w:noWrap/>
            <w:vAlign w:val="bottom"/>
            <w:hideMark/>
          </w:tcPr>
          <w:p w14:paraId="7CBFFE6E"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30 057</w:t>
            </w:r>
          </w:p>
        </w:tc>
        <w:tc>
          <w:tcPr>
            <w:tcW w:w="709" w:type="dxa"/>
            <w:tcBorders>
              <w:top w:val="single" w:sz="4" w:space="0" w:color="auto"/>
              <w:left w:val="single" w:sz="4" w:space="0" w:color="auto"/>
              <w:bottom w:val="single" w:sz="4" w:space="0" w:color="auto"/>
              <w:right w:val="single" w:sz="4" w:space="0" w:color="auto"/>
            </w:tcBorders>
            <w:shd w:val="clear" w:color="000000" w:fill="FBFBFE"/>
            <w:noWrap/>
            <w:vAlign w:val="bottom"/>
            <w:hideMark/>
          </w:tcPr>
          <w:p w14:paraId="6C90B40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11 179</w:t>
            </w:r>
          </w:p>
        </w:tc>
        <w:tc>
          <w:tcPr>
            <w:tcW w:w="709" w:type="dxa"/>
            <w:tcBorders>
              <w:top w:val="single" w:sz="4" w:space="0" w:color="auto"/>
              <w:left w:val="single" w:sz="4" w:space="0" w:color="auto"/>
              <w:bottom w:val="single" w:sz="4" w:space="0" w:color="auto"/>
              <w:right w:val="single" w:sz="4" w:space="0" w:color="auto"/>
            </w:tcBorders>
            <w:shd w:val="clear" w:color="000000" w:fill="FBBBBE"/>
            <w:noWrap/>
            <w:vAlign w:val="bottom"/>
            <w:hideMark/>
          </w:tcPr>
          <w:p w14:paraId="06564F8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17 706</w:t>
            </w:r>
          </w:p>
        </w:tc>
        <w:tc>
          <w:tcPr>
            <w:tcW w:w="708" w:type="dxa"/>
            <w:tcBorders>
              <w:top w:val="single" w:sz="4" w:space="0" w:color="auto"/>
              <w:left w:val="single" w:sz="4" w:space="0" w:color="auto"/>
              <w:bottom w:val="single" w:sz="4" w:space="0" w:color="auto"/>
              <w:right w:val="single" w:sz="4" w:space="0" w:color="auto"/>
            </w:tcBorders>
            <w:shd w:val="clear" w:color="000000" w:fill="FAFAFE"/>
            <w:noWrap/>
            <w:vAlign w:val="bottom"/>
            <w:hideMark/>
          </w:tcPr>
          <w:p w14:paraId="3835945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35 784</w:t>
            </w:r>
          </w:p>
        </w:tc>
        <w:tc>
          <w:tcPr>
            <w:tcW w:w="709"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14:paraId="7A8853B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51 776</w:t>
            </w:r>
          </w:p>
        </w:tc>
        <w:tc>
          <w:tcPr>
            <w:tcW w:w="70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5B01C28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24 604</w:t>
            </w:r>
          </w:p>
        </w:tc>
        <w:tc>
          <w:tcPr>
            <w:tcW w:w="709" w:type="dxa"/>
            <w:tcBorders>
              <w:top w:val="single" w:sz="4" w:space="0" w:color="auto"/>
              <w:left w:val="single" w:sz="4" w:space="0" w:color="auto"/>
              <w:bottom w:val="single" w:sz="4" w:space="0" w:color="auto"/>
              <w:right w:val="single" w:sz="4" w:space="0" w:color="auto"/>
            </w:tcBorders>
            <w:shd w:val="clear" w:color="000000" w:fill="FCF7FA"/>
            <w:noWrap/>
            <w:vAlign w:val="bottom"/>
            <w:hideMark/>
          </w:tcPr>
          <w:p w14:paraId="6D912795"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34 070</w:t>
            </w:r>
          </w:p>
        </w:tc>
        <w:tc>
          <w:tcPr>
            <w:tcW w:w="708" w:type="dxa"/>
            <w:tcBorders>
              <w:top w:val="single" w:sz="4" w:space="0" w:color="auto"/>
              <w:left w:val="single" w:sz="4" w:space="0" w:color="auto"/>
              <w:bottom w:val="single" w:sz="4" w:space="0" w:color="auto"/>
              <w:right w:val="single" w:sz="4" w:space="0" w:color="auto"/>
            </w:tcBorders>
            <w:shd w:val="clear" w:color="000000" w:fill="C9D8ED"/>
            <w:noWrap/>
            <w:vAlign w:val="bottom"/>
            <w:hideMark/>
          </w:tcPr>
          <w:p w14:paraId="74A87E3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1,63</w:t>
            </w:r>
          </w:p>
        </w:tc>
        <w:tc>
          <w:tcPr>
            <w:tcW w:w="709"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14:paraId="7EFE937D"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1,76</w:t>
            </w:r>
          </w:p>
        </w:tc>
      </w:tr>
      <w:tr w:rsidR="00954688" w:rsidRPr="00825F8A" w14:paraId="6B0D93B1"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E8B4D29"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MSK</w:t>
            </w:r>
          </w:p>
        </w:tc>
        <w:tc>
          <w:tcPr>
            <w:tcW w:w="709" w:type="dxa"/>
            <w:tcBorders>
              <w:top w:val="single" w:sz="4" w:space="0" w:color="auto"/>
              <w:left w:val="single" w:sz="4" w:space="0" w:color="auto"/>
              <w:bottom w:val="single" w:sz="4" w:space="0" w:color="auto"/>
              <w:right w:val="single" w:sz="4" w:space="0" w:color="auto"/>
            </w:tcBorders>
            <w:shd w:val="clear" w:color="000000" w:fill="FCF3F6"/>
            <w:noWrap/>
            <w:vAlign w:val="bottom"/>
            <w:hideMark/>
          </w:tcPr>
          <w:p w14:paraId="411C215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23 746</w:t>
            </w:r>
          </w:p>
        </w:tc>
        <w:tc>
          <w:tcPr>
            <w:tcW w:w="709" w:type="dxa"/>
            <w:tcBorders>
              <w:top w:val="single" w:sz="4" w:space="0" w:color="auto"/>
              <w:left w:val="single" w:sz="4" w:space="0" w:color="auto"/>
              <w:bottom w:val="single" w:sz="4" w:space="0" w:color="auto"/>
              <w:right w:val="single" w:sz="4" w:space="0" w:color="auto"/>
            </w:tcBorders>
            <w:shd w:val="clear" w:color="000000" w:fill="C0D1E9"/>
            <w:noWrap/>
            <w:vAlign w:val="bottom"/>
            <w:hideMark/>
          </w:tcPr>
          <w:p w14:paraId="6F37115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31 864</w:t>
            </w:r>
          </w:p>
        </w:tc>
        <w:tc>
          <w:tcPr>
            <w:tcW w:w="708" w:type="dxa"/>
            <w:tcBorders>
              <w:top w:val="single" w:sz="4" w:space="0" w:color="auto"/>
              <w:left w:val="single" w:sz="4" w:space="0" w:color="auto"/>
              <w:bottom w:val="single" w:sz="4" w:space="0" w:color="auto"/>
              <w:right w:val="single" w:sz="4" w:space="0" w:color="auto"/>
            </w:tcBorders>
            <w:shd w:val="clear" w:color="000000" w:fill="FCEAED"/>
            <w:noWrap/>
            <w:vAlign w:val="bottom"/>
            <w:hideMark/>
          </w:tcPr>
          <w:p w14:paraId="2EA12C8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20 901</w:t>
            </w:r>
          </w:p>
        </w:tc>
        <w:tc>
          <w:tcPr>
            <w:tcW w:w="709" w:type="dxa"/>
            <w:tcBorders>
              <w:top w:val="single" w:sz="4" w:space="0" w:color="auto"/>
              <w:left w:val="single" w:sz="4" w:space="0" w:color="auto"/>
              <w:bottom w:val="single" w:sz="4" w:space="0" w:color="auto"/>
              <w:right w:val="single" w:sz="4" w:space="0" w:color="auto"/>
            </w:tcBorders>
            <w:shd w:val="clear" w:color="000000" w:fill="CBD9ED"/>
            <w:noWrap/>
            <w:vAlign w:val="bottom"/>
            <w:hideMark/>
          </w:tcPr>
          <w:p w14:paraId="7836A6B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28 646</w:t>
            </w:r>
          </w:p>
        </w:tc>
        <w:tc>
          <w:tcPr>
            <w:tcW w:w="709" w:type="dxa"/>
            <w:tcBorders>
              <w:top w:val="single" w:sz="4" w:space="0" w:color="auto"/>
              <w:left w:val="single" w:sz="4" w:space="0" w:color="auto"/>
              <w:bottom w:val="single" w:sz="4" w:space="0" w:color="auto"/>
              <w:right w:val="single" w:sz="4" w:space="0" w:color="auto"/>
            </w:tcBorders>
            <w:shd w:val="clear" w:color="000000" w:fill="8AABD6"/>
            <w:noWrap/>
            <w:vAlign w:val="bottom"/>
            <w:hideMark/>
          </w:tcPr>
          <w:p w14:paraId="63A77D1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10 659</w:t>
            </w:r>
          </w:p>
        </w:tc>
        <w:tc>
          <w:tcPr>
            <w:tcW w:w="709" w:type="dxa"/>
            <w:tcBorders>
              <w:top w:val="single" w:sz="4" w:space="0" w:color="auto"/>
              <w:left w:val="single" w:sz="4" w:space="0" w:color="auto"/>
              <w:bottom w:val="single" w:sz="4" w:space="0" w:color="auto"/>
              <w:right w:val="single" w:sz="4" w:space="0" w:color="auto"/>
            </w:tcBorders>
            <w:shd w:val="clear" w:color="000000" w:fill="789FD0"/>
            <w:noWrap/>
            <w:vAlign w:val="bottom"/>
            <w:hideMark/>
          </w:tcPr>
          <w:p w14:paraId="2B77EDC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16 214</w:t>
            </w:r>
          </w:p>
        </w:tc>
        <w:tc>
          <w:tcPr>
            <w:tcW w:w="708" w:type="dxa"/>
            <w:tcBorders>
              <w:top w:val="single" w:sz="4" w:space="0" w:color="auto"/>
              <w:left w:val="single" w:sz="4" w:space="0" w:color="auto"/>
              <w:bottom w:val="single" w:sz="4" w:space="0" w:color="auto"/>
              <w:right w:val="single" w:sz="4" w:space="0" w:color="auto"/>
            </w:tcBorders>
            <w:shd w:val="clear" w:color="000000" w:fill="FCF3F6"/>
            <w:noWrap/>
            <w:vAlign w:val="bottom"/>
            <w:hideMark/>
          </w:tcPr>
          <w:p w14:paraId="32EA754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37 528</w:t>
            </w:r>
          </w:p>
        </w:tc>
        <w:tc>
          <w:tcPr>
            <w:tcW w:w="709" w:type="dxa"/>
            <w:tcBorders>
              <w:top w:val="single" w:sz="4" w:space="0" w:color="auto"/>
              <w:left w:val="single" w:sz="4" w:space="0" w:color="auto"/>
              <w:bottom w:val="single" w:sz="4" w:space="0" w:color="auto"/>
              <w:right w:val="single" w:sz="4" w:space="0" w:color="auto"/>
            </w:tcBorders>
            <w:shd w:val="clear" w:color="000000" w:fill="CEDCEF"/>
            <w:noWrap/>
            <w:vAlign w:val="bottom"/>
            <w:hideMark/>
          </w:tcPr>
          <w:p w14:paraId="67A26AF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48 256</w:t>
            </w:r>
          </w:p>
        </w:tc>
        <w:tc>
          <w:tcPr>
            <w:tcW w:w="709"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5CEEE38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26 869</w:t>
            </w:r>
          </w:p>
        </w:tc>
        <w:tc>
          <w:tcPr>
            <w:tcW w:w="709" w:type="dxa"/>
            <w:tcBorders>
              <w:top w:val="single" w:sz="4" w:space="0" w:color="auto"/>
              <w:left w:val="single" w:sz="4" w:space="0" w:color="auto"/>
              <w:bottom w:val="single" w:sz="4" w:space="0" w:color="auto"/>
              <w:right w:val="single" w:sz="4" w:space="0" w:color="auto"/>
            </w:tcBorders>
            <w:shd w:val="clear" w:color="000000" w:fill="D4DFF0"/>
            <w:noWrap/>
            <w:vAlign w:val="bottom"/>
            <w:hideMark/>
          </w:tcPr>
          <w:p w14:paraId="539B31F8"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32 042</w:t>
            </w:r>
          </w:p>
        </w:tc>
        <w:tc>
          <w:tcPr>
            <w:tcW w:w="708" w:type="dxa"/>
            <w:tcBorders>
              <w:top w:val="single" w:sz="4" w:space="0" w:color="auto"/>
              <w:left w:val="single" w:sz="4" w:space="0" w:color="auto"/>
              <w:bottom w:val="single" w:sz="4" w:space="0" w:color="auto"/>
              <w:right w:val="single" w:sz="4" w:space="0" w:color="auto"/>
            </w:tcBorders>
            <w:shd w:val="clear" w:color="000000" w:fill="C5D5EB"/>
            <w:noWrap/>
            <w:vAlign w:val="bottom"/>
            <w:hideMark/>
          </w:tcPr>
          <w:p w14:paraId="03D8C9F8"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1,62</w:t>
            </w:r>
          </w:p>
        </w:tc>
        <w:tc>
          <w:tcPr>
            <w:tcW w:w="709" w:type="dxa"/>
            <w:tcBorders>
              <w:top w:val="single" w:sz="4" w:space="0" w:color="auto"/>
              <w:left w:val="single" w:sz="4" w:space="0" w:color="auto"/>
              <w:bottom w:val="single" w:sz="4" w:space="0" w:color="auto"/>
              <w:right w:val="single" w:sz="4" w:space="0" w:color="auto"/>
            </w:tcBorders>
            <w:shd w:val="clear" w:color="000000" w:fill="779ED0"/>
            <w:noWrap/>
            <w:vAlign w:val="bottom"/>
            <w:hideMark/>
          </w:tcPr>
          <w:p w14:paraId="2EC8DE8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1,58</w:t>
            </w:r>
          </w:p>
        </w:tc>
      </w:tr>
      <w:tr w:rsidR="00954688" w:rsidRPr="00825F8A" w14:paraId="53942D69"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2E7E56A"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PLK</w:t>
            </w:r>
          </w:p>
        </w:tc>
        <w:tc>
          <w:tcPr>
            <w:tcW w:w="709" w:type="dxa"/>
            <w:tcBorders>
              <w:top w:val="single" w:sz="4" w:space="0" w:color="auto"/>
              <w:left w:val="single" w:sz="4" w:space="0" w:color="auto"/>
              <w:bottom w:val="single" w:sz="4" w:space="0" w:color="auto"/>
              <w:right w:val="single" w:sz="4" w:space="0" w:color="auto"/>
            </w:tcBorders>
            <w:shd w:val="clear" w:color="000000" w:fill="FCF4F7"/>
            <w:noWrap/>
            <w:vAlign w:val="bottom"/>
            <w:hideMark/>
          </w:tcPr>
          <w:p w14:paraId="1558CD9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23 691</w:t>
            </w:r>
          </w:p>
        </w:tc>
        <w:tc>
          <w:tcPr>
            <w:tcW w:w="709" w:type="dxa"/>
            <w:tcBorders>
              <w:top w:val="single" w:sz="4" w:space="0" w:color="auto"/>
              <w:left w:val="single" w:sz="4" w:space="0" w:color="auto"/>
              <w:bottom w:val="single" w:sz="4" w:space="0" w:color="auto"/>
              <w:right w:val="single" w:sz="4" w:space="0" w:color="auto"/>
            </w:tcBorders>
            <w:shd w:val="clear" w:color="000000" w:fill="FCE9EC"/>
            <w:noWrap/>
            <w:vAlign w:val="bottom"/>
            <w:hideMark/>
          </w:tcPr>
          <w:p w14:paraId="0AD377D8"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34 380</w:t>
            </w:r>
          </w:p>
        </w:tc>
        <w:tc>
          <w:tcPr>
            <w:tcW w:w="708" w:type="dxa"/>
            <w:tcBorders>
              <w:top w:val="single" w:sz="4" w:space="0" w:color="auto"/>
              <w:left w:val="single" w:sz="4" w:space="0" w:color="auto"/>
              <w:bottom w:val="single" w:sz="4" w:space="0" w:color="auto"/>
              <w:right w:val="single" w:sz="4" w:space="0" w:color="auto"/>
            </w:tcBorders>
            <w:shd w:val="clear" w:color="000000" w:fill="FCE8EB"/>
            <w:noWrap/>
            <w:vAlign w:val="bottom"/>
            <w:hideMark/>
          </w:tcPr>
          <w:p w14:paraId="6DA9521D"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20 993</w:t>
            </w:r>
          </w:p>
        </w:tc>
        <w:tc>
          <w:tcPr>
            <w:tcW w:w="709" w:type="dxa"/>
            <w:tcBorders>
              <w:top w:val="single" w:sz="4" w:space="0" w:color="auto"/>
              <w:left w:val="single" w:sz="4" w:space="0" w:color="auto"/>
              <w:bottom w:val="single" w:sz="4" w:space="0" w:color="auto"/>
              <w:right w:val="single" w:sz="4" w:space="0" w:color="auto"/>
            </w:tcBorders>
            <w:shd w:val="clear" w:color="000000" w:fill="FCD9DB"/>
            <w:noWrap/>
            <w:vAlign w:val="bottom"/>
            <w:hideMark/>
          </w:tcPr>
          <w:p w14:paraId="13C008A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30 864</w:t>
            </w:r>
          </w:p>
        </w:tc>
        <w:tc>
          <w:tcPr>
            <w:tcW w:w="709" w:type="dxa"/>
            <w:tcBorders>
              <w:top w:val="single" w:sz="4" w:space="0" w:color="auto"/>
              <w:left w:val="single" w:sz="4" w:space="0" w:color="auto"/>
              <w:bottom w:val="single" w:sz="4" w:space="0" w:color="auto"/>
              <w:right w:val="single" w:sz="4" w:space="0" w:color="auto"/>
            </w:tcBorders>
            <w:shd w:val="clear" w:color="000000" w:fill="FAFAFE"/>
            <w:noWrap/>
            <w:vAlign w:val="bottom"/>
            <w:hideMark/>
          </w:tcPr>
          <w:p w14:paraId="49192B69"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11 177</w:t>
            </w:r>
          </w:p>
        </w:tc>
        <w:tc>
          <w:tcPr>
            <w:tcW w:w="709" w:type="dxa"/>
            <w:tcBorders>
              <w:top w:val="single" w:sz="4" w:space="0" w:color="auto"/>
              <w:left w:val="single" w:sz="4" w:space="0" w:color="auto"/>
              <w:bottom w:val="single" w:sz="4" w:space="0" w:color="auto"/>
              <w:right w:val="single" w:sz="4" w:space="0" w:color="auto"/>
            </w:tcBorders>
            <w:shd w:val="clear" w:color="000000" w:fill="FBB6B9"/>
            <w:noWrap/>
            <w:vAlign w:val="bottom"/>
            <w:hideMark/>
          </w:tcPr>
          <w:p w14:paraId="65A34A3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17 751</w:t>
            </w:r>
          </w:p>
        </w:tc>
        <w:tc>
          <w:tcPr>
            <w:tcW w:w="708"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4461F49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36 932</w:t>
            </w:r>
          </w:p>
        </w:tc>
        <w:tc>
          <w:tcPr>
            <w:tcW w:w="709" w:type="dxa"/>
            <w:tcBorders>
              <w:top w:val="single" w:sz="4" w:space="0" w:color="auto"/>
              <w:left w:val="single" w:sz="4" w:space="0" w:color="auto"/>
              <w:bottom w:val="single" w:sz="4" w:space="0" w:color="auto"/>
              <w:right w:val="single" w:sz="4" w:space="0" w:color="auto"/>
            </w:tcBorders>
            <w:shd w:val="clear" w:color="000000" w:fill="FCF1F3"/>
            <w:noWrap/>
            <w:vAlign w:val="bottom"/>
            <w:hideMark/>
          </w:tcPr>
          <w:p w14:paraId="7CF241C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51 746</w:t>
            </w:r>
          </w:p>
        </w:tc>
        <w:tc>
          <w:tcPr>
            <w:tcW w:w="709"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74D2CDE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25 755</w:t>
            </w:r>
          </w:p>
        </w:tc>
        <w:tc>
          <w:tcPr>
            <w:tcW w:w="709" w:type="dxa"/>
            <w:tcBorders>
              <w:top w:val="single" w:sz="4" w:space="0" w:color="auto"/>
              <w:left w:val="single" w:sz="4" w:space="0" w:color="auto"/>
              <w:bottom w:val="single" w:sz="4" w:space="0" w:color="auto"/>
              <w:right w:val="single" w:sz="4" w:space="0" w:color="auto"/>
            </w:tcBorders>
            <w:shd w:val="clear" w:color="000000" w:fill="FCF7FA"/>
            <w:noWrap/>
            <w:vAlign w:val="bottom"/>
            <w:hideMark/>
          </w:tcPr>
          <w:p w14:paraId="563209EF"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33 994</w:t>
            </w:r>
          </w:p>
        </w:tc>
        <w:tc>
          <w:tcPr>
            <w:tcW w:w="708" w:type="dxa"/>
            <w:tcBorders>
              <w:top w:val="single" w:sz="4" w:space="0" w:color="auto"/>
              <w:left w:val="single" w:sz="4" w:space="0" w:color="auto"/>
              <w:bottom w:val="single" w:sz="4" w:space="0" w:color="auto"/>
              <w:right w:val="single" w:sz="4" w:space="0" w:color="auto"/>
            </w:tcBorders>
            <w:shd w:val="clear" w:color="000000" w:fill="C6D6EC"/>
            <w:noWrap/>
            <w:vAlign w:val="bottom"/>
            <w:hideMark/>
          </w:tcPr>
          <w:p w14:paraId="58B3E8C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1,62</w:t>
            </w:r>
          </w:p>
        </w:tc>
        <w:tc>
          <w:tcPr>
            <w:tcW w:w="709" w:type="dxa"/>
            <w:tcBorders>
              <w:top w:val="single" w:sz="4" w:space="0" w:color="auto"/>
              <w:left w:val="single" w:sz="4" w:space="0" w:color="auto"/>
              <w:bottom w:val="single" w:sz="4" w:space="0" w:color="auto"/>
              <w:right w:val="single" w:sz="4" w:space="0" w:color="auto"/>
            </w:tcBorders>
            <w:shd w:val="clear" w:color="000000" w:fill="87AAD6"/>
            <w:noWrap/>
            <w:vAlign w:val="bottom"/>
            <w:hideMark/>
          </w:tcPr>
          <w:p w14:paraId="08F5AA5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1,59</w:t>
            </w:r>
          </w:p>
        </w:tc>
      </w:tr>
      <w:tr w:rsidR="00954688" w:rsidRPr="00825F8A" w14:paraId="6D672C1C"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69EE743"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KVK</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491AF88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21 055</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ABDA21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30 533</w:t>
            </w:r>
          </w:p>
        </w:tc>
        <w:tc>
          <w:tcPr>
            <w:tcW w:w="708"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47FF618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18 263</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B4C915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27 379</w:t>
            </w:r>
          </w:p>
        </w:tc>
        <w:tc>
          <w:tcPr>
            <w:tcW w:w="709" w:type="dxa"/>
            <w:tcBorders>
              <w:top w:val="single" w:sz="4" w:space="0" w:color="auto"/>
              <w:left w:val="single" w:sz="4" w:space="0" w:color="auto"/>
              <w:bottom w:val="single" w:sz="4" w:space="0" w:color="auto"/>
              <w:right w:val="single" w:sz="4" w:space="0" w:color="auto"/>
            </w:tcBorders>
            <w:shd w:val="clear" w:color="000000" w:fill="F2F5FB"/>
            <w:noWrap/>
            <w:vAlign w:val="bottom"/>
            <w:hideMark/>
          </w:tcPr>
          <w:p w14:paraId="336FA92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11 140</w:t>
            </w:r>
          </w:p>
        </w:tc>
        <w:tc>
          <w:tcPr>
            <w:tcW w:w="709" w:type="dxa"/>
            <w:tcBorders>
              <w:top w:val="single" w:sz="4" w:space="0" w:color="auto"/>
              <w:left w:val="single" w:sz="4" w:space="0" w:color="auto"/>
              <w:bottom w:val="single" w:sz="4" w:space="0" w:color="auto"/>
              <w:right w:val="single" w:sz="4" w:space="0" w:color="auto"/>
            </w:tcBorders>
            <w:shd w:val="clear" w:color="000000" w:fill="A6BFE0"/>
            <w:noWrap/>
            <w:vAlign w:val="bottom"/>
            <w:hideMark/>
          </w:tcPr>
          <w:p w14:paraId="5DB8A65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16 522</w:t>
            </w:r>
          </w:p>
        </w:tc>
        <w:tc>
          <w:tcPr>
            <w:tcW w:w="708"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0FD13BE8"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32 304</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68F3FBE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45 823</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73130DAD"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21 164</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3D009A5D"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29 301</w:t>
            </w:r>
          </w:p>
        </w:tc>
        <w:tc>
          <w:tcPr>
            <w:tcW w:w="708" w:type="dxa"/>
            <w:tcBorders>
              <w:top w:val="single" w:sz="4" w:space="0" w:color="auto"/>
              <w:left w:val="single" w:sz="4" w:space="0" w:color="auto"/>
              <w:bottom w:val="single" w:sz="4" w:space="0" w:color="auto"/>
              <w:right w:val="single" w:sz="4" w:space="0" w:color="auto"/>
            </w:tcBorders>
            <w:shd w:val="clear" w:color="000000" w:fill="FBB7BA"/>
            <w:noWrap/>
            <w:vAlign w:val="bottom"/>
            <w:hideMark/>
          </w:tcPr>
          <w:p w14:paraId="5B2EA6A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1,97</w:t>
            </w:r>
          </w:p>
        </w:tc>
        <w:tc>
          <w:tcPr>
            <w:tcW w:w="709" w:type="dxa"/>
            <w:tcBorders>
              <w:top w:val="single" w:sz="4" w:space="0" w:color="auto"/>
              <w:left w:val="single" w:sz="4" w:space="0" w:color="auto"/>
              <w:bottom w:val="single" w:sz="4" w:space="0" w:color="auto"/>
              <w:right w:val="single" w:sz="4" w:space="0" w:color="auto"/>
            </w:tcBorders>
            <w:shd w:val="clear" w:color="000000" w:fill="F8F9FD"/>
            <w:noWrap/>
            <w:vAlign w:val="bottom"/>
            <w:hideMark/>
          </w:tcPr>
          <w:p w14:paraId="27BBDF0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1,70</w:t>
            </w:r>
          </w:p>
        </w:tc>
      </w:tr>
      <w:tr w:rsidR="00954688" w:rsidRPr="00825F8A" w14:paraId="3A18F7A0"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A142CF4"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ULH</w:t>
            </w:r>
          </w:p>
        </w:tc>
        <w:tc>
          <w:tcPr>
            <w:tcW w:w="70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30D4D0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23 003</w:t>
            </w:r>
          </w:p>
        </w:tc>
        <w:tc>
          <w:tcPr>
            <w:tcW w:w="709" w:type="dxa"/>
            <w:tcBorders>
              <w:top w:val="single" w:sz="4" w:space="0" w:color="auto"/>
              <w:left w:val="single" w:sz="4" w:space="0" w:color="auto"/>
              <w:bottom w:val="single" w:sz="4" w:space="0" w:color="auto"/>
              <w:right w:val="single" w:sz="4" w:space="0" w:color="auto"/>
            </w:tcBorders>
            <w:shd w:val="clear" w:color="000000" w:fill="FAFAFE"/>
            <w:noWrap/>
            <w:vAlign w:val="bottom"/>
            <w:hideMark/>
          </w:tcPr>
          <w:p w14:paraId="104FFA5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32 623</w:t>
            </w:r>
          </w:p>
        </w:tc>
        <w:tc>
          <w:tcPr>
            <w:tcW w:w="708" w:type="dxa"/>
            <w:tcBorders>
              <w:top w:val="single" w:sz="4" w:space="0" w:color="auto"/>
              <w:left w:val="single" w:sz="4" w:space="0" w:color="auto"/>
              <w:bottom w:val="single" w:sz="4" w:space="0" w:color="auto"/>
              <w:right w:val="single" w:sz="4" w:space="0" w:color="auto"/>
            </w:tcBorders>
            <w:shd w:val="clear" w:color="000000" w:fill="FAFAFE"/>
            <w:noWrap/>
            <w:vAlign w:val="bottom"/>
            <w:hideMark/>
          </w:tcPr>
          <w:p w14:paraId="67432F9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19 980</w:t>
            </w:r>
          </w:p>
        </w:tc>
        <w:tc>
          <w:tcPr>
            <w:tcW w:w="709" w:type="dxa"/>
            <w:tcBorders>
              <w:top w:val="single" w:sz="4" w:space="0" w:color="auto"/>
              <w:left w:val="single" w:sz="4" w:space="0" w:color="auto"/>
              <w:bottom w:val="single" w:sz="4" w:space="0" w:color="auto"/>
              <w:right w:val="single" w:sz="4" w:space="0" w:color="auto"/>
            </w:tcBorders>
            <w:shd w:val="clear" w:color="000000" w:fill="FBFBFE"/>
            <w:noWrap/>
            <w:vAlign w:val="bottom"/>
            <w:hideMark/>
          </w:tcPr>
          <w:p w14:paraId="1786CF1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29 177</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9C26CA9"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10 437</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2CF4CB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16 004</w:t>
            </w:r>
          </w:p>
        </w:tc>
        <w:tc>
          <w:tcPr>
            <w:tcW w:w="708" w:type="dxa"/>
            <w:tcBorders>
              <w:top w:val="single" w:sz="4" w:space="0" w:color="auto"/>
              <w:left w:val="single" w:sz="4" w:space="0" w:color="auto"/>
              <w:bottom w:val="single" w:sz="4" w:space="0" w:color="auto"/>
              <w:right w:val="single" w:sz="4" w:space="0" w:color="auto"/>
            </w:tcBorders>
            <w:shd w:val="clear" w:color="000000" w:fill="FCF9FC"/>
            <w:noWrap/>
            <w:vAlign w:val="bottom"/>
            <w:hideMark/>
          </w:tcPr>
          <w:p w14:paraId="05BDC5B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36 402</w:t>
            </w:r>
          </w:p>
        </w:tc>
        <w:tc>
          <w:tcPr>
            <w:tcW w:w="709" w:type="dxa"/>
            <w:tcBorders>
              <w:top w:val="single" w:sz="4" w:space="0" w:color="auto"/>
              <w:left w:val="single" w:sz="4" w:space="0" w:color="auto"/>
              <w:bottom w:val="single" w:sz="4" w:space="0" w:color="auto"/>
              <w:right w:val="single" w:sz="4" w:space="0" w:color="auto"/>
            </w:tcBorders>
            <w:shd w:val="clear" w:color="000000" w:fill="FCFBFE"/>
            <w:noWrap/>
            <w:vAlign w:val="bottom"/>
            <w:hideMark/>
          </w:tcPr>
          <w:p w14:paraId="5C57E0A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49 589</w:t>
            </w:r>
          </w:p>
        </w:tc>
        <w:tc>
          <w:tcPr>
            <w:tcW w:w="709" w:type="dxa"/>
            <w:tcBorders>
              <w:top w:val="single" w:sz="4" w:space="0" w:color="auto"/>
              <w:left w:val="single" w:sz="4" w:space="0" w:color="auto"/>
              <w:bottom w:val="single" w:sz="4" w:space="0" w:color="auto"/>
              <w:right w:val="single" w:sz="4" w:space="0" w:color="auto"/>
            </w:tcBorders>
            <w:shd w:val="clear" w:color="000000" w:fill="FCF5F7"/>
            <w:noWrap/>
            <w:vAlign w:val="bottom"/>
            <w:hideMark/>
          </w:tcPr>
          <w:p w14:paraId="3251CC8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25 965</w:t>
            </w:r>
          </w:p>
        </w:tc>
        <w:tc>
          <w:tcPr>
            <w:tcW w:w="709" w:type="dxa"/>
            <w:tcBorders>
              <w:top w:val="single" w:sz="4" w:space="0" w:color="auto"/>
              <w:left w:val="single" w:sz="4" w:space="0" w:color="auto"/>
              <w:bottom w:val="single" w:sz="4" w:space="0" w:color="auto"/>
              <w:right w:val="single" w:sz="4" w:space="0" w:color="auto"/>
            </w:tcBorders>
            <w:shd w:val="clear" w:color="000000" w:fill="FCF9FC"/>
            <w:noWrap/>
            <w:vAlign w:val="bottom"/>
            <w:hideMark/>
          </w:tcPr>
          <w:p w14:paraId="071FD519"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33 585</w:t>
            </w:r>
          </w:p>
        </w:tc>
        <w:tc>
          <w:tcPr>
            <w:tcW w:w="708" w:type="dxa"/>
            <w:tcBorders>
              <w:top w:val="single" w:sz="4" w:space="0" w:color="auto"/>
              <w:left w:val="single" w:sz="4" w:space="0" w:color="auto"/>
              <w:bottom w:val="single" w:sz="4" w:space="0" w:color="auto"/>
              <w:right w:val="single" w:sz="4" w:space="0" w:color="auto"/>
            </w:tcBorders>
            <w:shd w:val="clear" w:color="000000" w:fill="FCFAFD"/>
            <w:noWrap/>
            <w:vAlign w:val="bottom"/>
            <w:hideMark/>
          </w:tcPr>
          <w:p w14:paraId="6B3EDE3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1,72</w:t>
            </w:r>
          </w:p>
        </w:tc>
        <w:tc>
          <w:tcPr>
            <w:tcW w:w="709"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65DF144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1,55</w:t>
            </w:r>
          </w:p>
        </w:tc>
      </w:tr>
      <w:tr w:rsidR="00954688" w:rsidRPr="00825F8A" w14:paraId="679B509B" w14:textId="77777777" w:rsidTr="000C49A5">
        <w:trPr>
          <w:trHeight w:val="300"/>
        </w:trPr>
        <w:tc>
          <w:tcPr>
            <w:tcW w:w="704" w:type="dxa"/>
            <w:tcBorders>
              <w:top w:val="nil"/>
              <w:left w:val="single" w:sz="4" w:space="0" w:color="auto"/>
              <w:bottom w:val="single" w:sz="4" w:space="0" w:color="auto"/>
              <w:right w:val="single" w:sz="4" w:space="0" w:color="auto"/>
            </w:tcBorders>
            <w:shd w:val="clear" w:color="000000" w:fill="F8CBAD"/>
            <w:noWrap/>
            <w:vAlign w:val="bottom"/>
            <w:hideMark/>
          </w:tcPr>
          <w:p w14:paraId="6AE0922F"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ZLK</w:t>
            </w:r>
          </w:p>
        </w:tc>
        <w:tc>
          <w:tcPr>
            <w:tcW w:w="709" w:type="dxa"/>
            <w:tcBorders>
              <w:top w:val="single" w:sz="4" w:space="0" w:color="auto"/>
              <w:left w:val="single" w:sz="4" w:space="0" w:color="auto"/>
              <w:bottom w:val="single" w:sz="4" w:space="0" w:color="auto"/>
              <w:right w:val="single" w:sz="4" w:space="0" w:color="auto"/>
            </w:tcBorders>
            <w:shd w:val="clear" w:color="000000" w:fill="CAD9ED"/>
            <w:noWrap/>
            <w:vAlign w:val="bottom"/>
            <w:hideMark/>
          </w:tcPr>
          <w:p w14:paraId="445505D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22 367</w:t>
            </w:r>
          </w:p>
        </w:tc>
        <w:tc>
          <w:tcPr>
            <w:tcW w:w="709" w:type="dxa"/>
            <w:tcBorders>
              <w:top w:val="single" w:sz="4" w:space="0" w:color="auto"/>
              <w:left w:val="single" w:sz="4" w:space="0" w:color="auto"/>
              <w:bottom w:val="single" w:sz="4" w:space="0" w:color="auto"/>
              <w:right w:val="single" w:sz="4" w:space="0" w:color="auto"/>
            </w:tcBorders>
            <w:shd w:val="clear" w:color="000000" w:fill="DEE7F4"/>
            <w:noWrap/>
            <w:vAlign w:val="bottom"/>
            <w:hideMark/>
          </w:tcPr>
          <w:p w14:paraId="0CCDF12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32 260</w:t>
            </w:r>
          </w:p>
        </w:tc>
        <w:tc>
          <w:tcPr>
            <w:tcW w:w="708" w:type="dxa"/>
            <w:tcBorders>
              <w:top w:val="single" w:sz="4" w:space="0" w:color="auto"/>
              <w:left w:val="single" w:sz="4" w:space="0" w:color="auto"/>
              <w:bottom w:val="single" w:sz="4" w:space="0" w:color="auto"/>
              <w:right w:val="single" w:sz="4" w:space="0" w:color="auto"/>
            </w:tcBorders>
            <w:shd w:val="clear" w:color="000000" w:fill="E7EDF7"/>
            <w:noWrap/>
            <w:vAlign w:val="bottom"/>
            <w:hideMark/>
          </w:tcPr>
          <w:p w14:paraId="53AA570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19 775</w:t>
            </w:r>
          </w:p>
        </w:tc>
        <w:tc>
          <w:tcPr>
            <w:tcW w:w="709" w:type="dxa"/>
            <w:tcBorders>
              <w:top w:val="single" w:sz="4" w:space="0" w:color="auto"/>
              <w:left w:val="single" w:sz="4" w:space="0" w:color="auto"/>
              <w:bottom w:val="single" w:sz="4" w:space="0" w:color="auto"/>
              <w:right w:val="single" w:sz="4" w:space="0" w:color="auto"/>
            </w:tcBorders>
            <w:shd w:val="clear" w:color="000000" w:fill="ADC4E3"/>
            <w:noWrap/>
            <w:vAlign w:val="bottom"/>
            <w:hideMark/>
          </w:tcPr>
          <w:p w14:paraId="48D8FE1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28 309</w:t>
            </w:r>
          </w:p>
        </w:tc>
        <w:tc>
          <w:tcPr>
            <w:tcW w:w="70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79940D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11 188</w:t>
            </w:r>
          </w:p>
        </w:tc>
        <w:tc>
          <w:tcPr>
            <w:tcW w:w="709" w:type="dxa"/>
            <w:tcBorders>
              <w:top w:val="single" w:sz="4" w:space="0" w:color="auto"/>
              <w:left w:val="single" w:sz="4" w:space="0" w:color="auto"/>
              <w:bottom w:val="single" w:sz="4" w:space="0" w:color="auto"/>
              <w:right w:val="single" w:sz="4" w:space="0" w:color="auto"/>
            </w:tcBorders>
            <w:shd w:val="clear" w:color="000000" w:fill="8FAFD8"/>
            <w:noWrap/>
            <w:vAlign w:val="bottom"/>
            <w:hideMark/>
          </w:tcPr>
          <w:p w14:paraId="5D59CC6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16 370</w:t>
            </w:r>
          </w:p>
        </w:tc>
        <w:tc>
          <w:tcPr>
            <w:tcW w:w="708" w:type="dxa"/>
            <w:tcBorders>
              <w:top w:val="single" w:sz="4" w:space="0" w:color="auto"/>
              <w:left w:val="single" w:sz="4" w:space="0" w:color="auto"/>
              <w:bottom w:val="single" w:sz="4" w:space="0" w:color="auto"/>
              <w:right w:val="single" w:sz="4" w:space="0" w:color="auto"/>
            </w:tcBorders>
            <w:shd w:val="clear" w:color="000000" w:fill="B8CCE7"/>
            <w:noWrap/>
            <w:vAlign w:val="bottom"/>
            <w:hideMark/>
          </w:tcPr>
          <w:p w14:paraId="59026F4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34 363</w:t>
            </w:r>
          </w:p>
        </w:tc>
        <w:tc>
          <w:tcPr>
            <w:tcW w:w="709" w:type="dxa"/>
            <w:tcBorders>
              <w:top w:val="single" w:sz="4" w:space="0" w:color="auto"/>
              <w:left w:val="single" w:sz="4" w:space="0" w:color="auto"/>
              <w:bottom w:val="single" w:sz="4" w:space="0" w:color="auto"/>
              <w:right w:val="single" w:sz="4" w:space="0" w:color="auto"/>
            </w:tcBorders>
            <w:shd w:val="clear" w:color="000000" w:fill="E2E9F5"/>
            <w:noWrap/>
            <w:vAlign w:val="bottom"/>
            <w:hideMark/>
          </w:tcPr>
          <w:p w14:paraId="4D736F3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48 663</w:t>
            </w:r>
          </w:p>
        </w:tc>
        <w:tc>
          <w:tcPr>
            <w:tcW w:w="709" w:type="dxa"/>
            <w:tcBorders>
              <w:top w:val="single" w:sz="4" w:space="0" w:color="auto"/>
              <w:left w:val="single" w:sz="4" w:space="0" w:color="auto"/>
              <w:bottom w:val="single" w:sz="4" w:space="0" w:color="auto"/>
              <w:right w:val="single" w:sz="4" w:space="0" w:color="auto"/>
            </w:tcBorders>
            <w:shd w:val="clear" w:color="000000" w:fill="BACDE7"/>
            <w:noWrap/>
            <w:vAlign w:val="bottom"/>
            <w:hideMark/>
          </w:tcPr>
          <w:p w14:paraId="607ED0A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23 174</w:t>
            </w:r>
          </w:p>
        </w:tc>
        <w:tc>
          <w:tcPr>
            <w:tcW w:w="709" w:type="dxa"/>
            <w:tcBorders>
              <w:top w:val="single" w:sz="4" w:space="0" w:color="auto"/>
              <w:left w:val="single" w:sz="4" w:space="0" w:color="auto"/>
              <w:bottom w:val="single" w:sz="4" w:space="0" w:color="auto"/>
              <w:right w:val="single" w:sz="4" w:space="0" w:color="auto"/>
            </w:tcBorders>
            <w:shd w:val="clear" w:color="000000" w:fill="DFE7F4"/>
            <w:noWrap/>
            <w:vAlign w:val="bottom"/>
            <w:hideMark/>
          </w:tcPr>
          <w:p w14:paraId="7C173C34"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32 293</w:t>
            </w:r>
          </w:p>
        </w:tc>
        <w:tc>
          <w:tcPr>
            <w:tcW w:w="708" w:type="dxa"/>
            <w:tcBorders>
              <w:top w:val="single" w:sz="4" w:space="0" w:color="auto"/>
              <w:left w:val="single" w:sz="4" w:space="0" w:color="auto"/>
              <w:bottom w:val="single" w:sz="4" w:space="0" w:color="auto"/>
              <w:right w:val="single" w:sz="4" w:space="0" w:color="auto"/>
            </w:tcBorders>
            <w:shd w:val="clear" w:color="000000" w:fill="F5F7FC"/>
            <w:noWrap/>
            <w:vAlign w:val="bottom"/>
            <w:hideMark/>
          </w:tcPr>
          <w:p w14:paraId="226D972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1,70</w:t>
            </w:r>
          </w:p>
        </w:tc>
        <w:tc>
          <w:tcPr>
            <w:tcW w:w="70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14D254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1,70</w:t>
            </w:r>
          </w:p>
        </w:tc>
      </w:tr>
      <w:tr w:rsidR="00954688" w:rsidRPr="00825F8A" w14:paraId="70A0A78F"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C703F45"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OLK</w:t>
            </w:r>
          </w:p>
        </w:tc>
        <w:tc>
          <w:tcPr>
            <w:tcW w:w="709" w:type="dxa"/>
            <w:tcBorders>
              <w:top w:val="single" w:sz="4" w:space="0" w:color="auto"/>
              <w:left w:val="single" w:sz="4" w:space="0" w:color="auto"/>
              <w:bottom w:val="single" w:sz="4" w:space="0" w:color="auto"/>
              <w:right w:val="single" w:sz="4" w:space="0" w:color="auto"/>
            </w:tcBorders>
            <w:shd w:val="clear" w:color="000000" w:fill="BBCEE8"/>
            <w:noWrap/>
            <w:vAlign w:val="bottom"/>
            <w:hideMark/>
          </w:tcPr>
          <w:p w14:paraId="093828A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22 192</w:t>
            </w:r>
          </w:p>
        </w:tc>
        <w:tc>
          <w:tcPr>
            <w:tcW w:w="709" w:type="dxa"/>
            <w:tcBorders>
              <w:top w:val="single" w:sz="4" w:space="0" w:color="auto"/>
              <w:left w:val="single" w:sz="4" w:space="0" w:color="auto"/>
              <w:bottom w:val="single" w:sz="4" w:space="0" w:color="auto"/>
              <w:right w:val="single" w:sz="4" w:space="0" w:color="auto"/>
            </w:tcBorders>
            <w:shd w:val="clear" w:color="000000" w:fill="A3BDDF"/>
            <w:noWrap/>
            <w:vAlign w:val="bottom"/>
            <w:hideMark/>
          </w:tcPr>
          <w:p w14:paraId="4A7CB92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31 488</w:t>
            </w:r>
          </w:p>
        </w:tc>
        <w:tc>
          <w:tcPr>
            <w:tcW w:w="708" w:type="dxa"/>
            <w:tcBorders>
              <w:top w:val="single" w:sz="4" w:space="0" w:color="auto"/>
              <w:left w:val="single" w:sz="4" w:space="0" w:color="auto"/>
              <w:bottom w:val="single" w:sz="4" w:space="0" w:color="auto"/>
              <w:right w:val="single" w:sz="4" w:space="0" w:color="auto"/>
            </w:tcBorders>
            <w:shd w:val="clear" w:color="000000" w:fill="F9FAFE"/>
            <w:noWrap/>
            <w:vAlign w:val="bottom"/>
            <w:hideMark/>
          </w:tcPr>
          <w:p w14:paraId="2DD709B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19 968</w:t>
            </w:r>
          </w:p>
        </w:tc>
        <w:tc>
          <w:tcPr>
            <w:tcW w:w="709" w:type="dxa"/>
            <w:tcBorders>
              <w:top w:val="single" w:sz="4" w:space="0" w:color="auto"/>
              <w:left w:val="single" w:sz="4" w:space="0" w:color="auto"/>
              <w:bottom w:val="single" w:sz="4" w:space="0" w:color="auto"/>
              <w:right w:val="single" w:sz="4" w:space="0" w:color="auto"/>
            </w:tcBorders>
            <w:shd w:val="clear" w:color="000000" w:fill="97B5DB"/>
            <w:noWrap/>
            <w:vAlign w:val="bottom"/>
            <w:hideMark/>
          </w:tcPr>
          <w:p w14:paraId="2D9DA74D"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28 071</w:t>
            </w:r>
          </w:p>
        </w:tc>
        <w:tc>
          <w:tcPr>
            <w:tcW w:w="709" w:type="dxa"/>
            <w:tcBorders>
              <w:top w:val="single" w:sz="4" w:space="0" w:color="auto"/>
              <w:left w:val="single" w:sz="4" w:space="0" w:color="auto"/>
              <w:bottom w:val="single" w:sz="4" w:space="0" w:color="auto"/>
              <w:right w:val="single" w:sz="4" w:space="0" w:color="auto"/>
            </w:tcBorders>
            <w:shd w:val="clear" w:color="000000" w:fill="A9C1E1"/>
            <w:noWrap/>
            <w:vAlign w:val="bottom"/>
            <w:hideMark/>
          </w:tcPr>
          <w:p w14:paraId="1427F05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10 802</w:t>
            </w:r>
          </w:p>
        </w:tc>
        <w:tc>
          <w:tcPr>
            <w:tcW w:w="709" w:type="dxa"/>
            <w:tcBorders>
              <w:top w:val="single" w:sz="4" w:space="0" w:color="auto"/>
              <w:left w:val="single" w:sz="4" w:space="0" w:color="auto"/>
              <w:bottom w:val="single" w:sz="4" w:space="0" w:color="auto"/>
              <w:right w:val="single" w:sz="4" w:space="0" w:color="auto"/>
            </w:tcBorders>
            <w:shd w:val="clear" w:color="000000" w:fill="AFC6E4"/>
            <w:noWrap/>
            <w:vAlign w:val="bottom"/>
            <w:hideMark/>
          </w:tcPr>
          <w:p w14:paraId="5B3B27DE"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16 582</w:t>
            </w:r>
          </w:p>
        </w:tc>
        <w:tc>
          <w:tcPr>
            <w:tcW w:w="708" w:type="dxa"/>
            <w:tcBorders>
              <w:top w:val="single" w:sz="4" w:space="0" w:color="auto"/>
              <w:left w:val="single" w:sz="4" w:space="0" w:color="auto"/>
              <w:bottom w:val="single" w:sz="4" w:space="0" w:color="auto"/>
              <w:right w:val="single" w:sz="4" w:space="0" w:color="auto"/>
            </w:tcBorders>
            <w:shd w:val="clear" w:color="000000" w:fill="86A9D5"/>
            <w:noWrap/>
            <w:vAlign w:val="bottom"/>
            <w:hideMark/>
          </w:tcPr>
          <w:p w14:paraId="077564B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33 270</w:t>
            </w:r>
          </w:p>
        </w:tc>
        <w:tc>
          <w:tcPr>
            <w:tcW w:w="709" w:type="dxa"/>
            <w:tcBorders>
              <w:top w:val="single" w:sz="4" w:space="0" w:color="auto"/>
              <w:left w:val="single" w:sz="4" w:space="0" w:color="auto"/>
              <w:bottom w:val="single" w:sz="4" w:space="0" w:color="auto"/>
              <w:right w:val="single" w:sz="4" w:space="0" w:color="auto"/>
            </w:tcBorders>
            <w:shd w:val="clear" w:color="000000" w:fill="A3BDDF"/>
            <w:noWrap/>
            <w:vAlign w:val="bottom"/>
            <w:hideMark/>
          </w:tcPr>
          <w:p w14:paraId="3DA4832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47 356</w:t>
            </w:r>
          </w:p>
        </w:tc>
        <w:tc>
          <w:tcPr>
            <w:tcW w:w="709" w:type="dxa"/>
            <w:tcBorders>
              <w:top w:val="single" w:sz="4" w:space="0" w:color="auto"/>
              <w:left w:val="single" w:sz="4" w:space="0" w:color="auto"/>
              <w:bottom w:val="single" w:sz="4" w:space="0" w:color="auto"/>
              <w:right w:val="single" w:sz="4" w:space="0" w:color="auto"/>
            </w:tcBorders>
            <w:shd w:val="clear" w:color="000000" w:fill="98B5DB"/>
            <w:noWrap/>
            <w:vAlign w:val="bottom"/>
            <w:hideMark/>
          </w:tcPr>
          <w:p w14:paraId="6B47AF5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22 467</w:t>
            </w:r>
          </w:p>
        </w:tc>
        <w:tc>
          <w:tcPr>
            <w:tcW w:w="709" w:type="dxa"/>
            <w:tcBorders>
              <w:top w:val="single" w:sz="4" w:space="0" w:color="auto"/>
              <w:left w:val="single" w:sz="4" w:space="0" w:color="auto"/>
              <w:bottom w:val="single" w:sz="4" w:space="0" w:color="auto"/>
              <w:right w:val="single" w:sz="4" w:space="0" w:color="auto"/>
            </w:tcBorders>
            <w:shd w:val="clear" w:color="000000" w:fill="9BB8DD"/>
            <w:noWrap/>
            <w:vAlign w:val="bottom"/>
            <w:hideMark/>
          </w:tcPr>
          <w:p w14:paraId="381E0CA6"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30 774</w:t>
            </w:r>
          </w:p>
        </w:tc>
        <w:tc>
          <w:tcPr>
            <w:tcW w:w="708"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73D7FBC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1,45</w:t>
            </w:r>
          </w:p>
        </w:tc>
        <w:tc>
          <w:tcPr>
            <w:tcW w:w="709" w:type="dxa"/>
            <w:tcBorders>
              <w:top w:val="single" w:sz="4" w:space="0" w:color="auto"/>
              <w:left w:val="single" w:sz="4" w:space="0" w:color="auto"/>
              <w:bottom w:val="single" w:sz="4" w:space="0" w:color="auto"/>
              <w:right w:val="single" w:sz="4" w:space="0" w:color="auto"/>
            </w:tcBorders>
            <w:shd w:val="clear" w:color="000000" w:fill="E3EAF6"/>
            <w:noWrap/>
            <w:vAlign w:val="bottom"/>
            <w:hideMark/>
          </w:tcPr>
          <w:p w14:paraId="3FE288A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1,68</w:t>
            </w:r>
          </w:p>
        </w:tc>
      </w:tr>
      <w:tr w:rsidR="00954688" w:rsidRPr="00825F8A" w14:paraId="5B886C03"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E490AB0"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PAK</w:t>
            </w:r>
          </w:p>
        </w:tc>
        <w:tc>
          <w:tcPr>
            <w:tcW w:w="709" w:type="dxa"/>
            <w:tcBorders>
              <w:top w:val="single" w:sz="4" w:space="0" w:color="auto"/>
              <w:left w:val="single" w:sz="4" w:space="0" w:color="auto"/>
              <w:bottom w:val="single" w:sz="4" w:space="0" w:color="auto"/>
              <w:right w:val="single" w:sz="4" w:space="0" w:color="auto"/>
            </w:tcBorders>
            <w:shd w:val="clear" w:color="000000" w:fill="ECF1F9"/>
            <w:noWrap/>
            <w:vAlign w:val="bottom"/>
            <w:hideMark/>
          </w:tcPr>
          <w:p w14:paraId="332BF7F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22 758</w:t>
            </w:r>
          </w:p>
        </w:tc>
        <w:tc>
          <w:tcPr>
            <w:tcW w:w="709" w:type="dxa"/>
            <w:tcBorders>
              <w:top w:val="single" w:sz="4" w:space="0" w:color="auto"/>
              <w:left w:val="single" w:sz="4" w:space="0" w:color="auto"/>
              <w:bottom w:val="single" w:sz="4" w:space="0" w:color="auto"/>
              <w:right w:val="single" w:sz="4" w:space="0" w:color="auto"/>
            </w:tcBorders>
            <w:shd w:val="clear" w:color="000000" w:fill="D0DDEF"/>
            <w:noWrap/>
            <w:vAlign w:val="bottom"/>
            <w:hideMark/>
          </w:tcPr>
          <w:p w14:paraId="38D4025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32 071</w:t>
            </w:r>
          </w:p>
        </w:tc>
        <w:tc>
          <w:tcPr>
            <w:tcW w:w="708"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386A8E0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20 013</w:t>
            </w:r>
          </w:p>
        </w:tc>
        <w:tc>
          <w:tcPr>
            <w:tcW w:w="709" w:type="dxa"/>
            <w:tcBorders>
              <w:top w:val="single" w:sz="4" w:space="0" w:color="auto"/>
              <w:left w:val="single" w:sz="4" w:space="0" w:color="auto"/>
              <w:bottom w:val="single" w:sz="4" w:space="0" w:color="auto"/>
              <w:right w:val="single" w:sz="4" w:space="0" w:color="auto"/>
            </w:tcBorders>
            <w:shd w:val="clear" w:color="000000" w:fill="D4DFF0"/>
            <w:noWrap/>
            <w:vAlign w:val="bottom"/>
            <w:hideMark/>
          </w:tcPr>
          <w:p w14:paraId="6AD6CAB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28 742</w:t>
            </w:r>
          </w:p>
        </w:tc>
        <w:tc>
          <w:tcPr>
            <w:tcW w:w="709" w:type="dxa"/>
            <w:tcBorders>
              <w:top w:val="single" w:sz="4" w:space="0" w:color="auto"/>
              <w:left w:val="single" w:sz="4" w:space="0" w:color="auto"/>
              <w:bottom w:val="single" w:sz="4" w:space="0" w:color="auto"/>
              <w:right w:val="single" w:sz="4" w:space="0" w:color="auto"/>
            </w:tcBorders>
            <w:shd w:val="clear" w:color="000000" w:fill="FBC1C3"/>
            <w:noWrap/>
            <w:vAlign w:val="bottom"/>
            <w:hideMark/>
          </w:tcPr>
          <w:p w14:paraId="4D2C1FE8"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11 477</w:t>
            </w:r>
          </w:p>
        </w:tc>
        <w:tc>
          <w:tcPr>
            <w:tcW w:w="709" w:type="dxa"/>
            <w:tcBorders>
              <w:top w:val="single" w:sz="4" w:space="0" w:color="auto"/>
              <w:left w:val="single" w:sz="4" w:space="0" w:color="auto"/>
              <w:bottom w:val="single" w:sz="4" w:space="0" w:color="auto"/>
              <w:right w:val="single" w:sz="4" w:space="0" w:color="auto"/>
            </w:tcBorders>
            <w:shd w:val="clear" w:color="000000" w:fill="FBC0C3"/>
            <w:noWrap/>
            <w:vAlign w:val="bottom"/>
            <w:hideMark/>
          </w:tcPr>
          <w:p w14:paraId="30D0D52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17 657</w:t>
            </w:r>
          </w:p>
        </w:tc>
        <w:tc>
          <w:tcPr>
            <w:tcW w:w="708" w:type="dxa"/>
            <w:tcBorders>
              <w:top w:val="single" w:sz="4" w:space="0" w:color="auto"/>
              <w:left w:val="single" w:sz="4" w:space="0" w:color="auto"/>
              <w:bottom w:val="single" w:sz="4" w:space="0" w:color="auto"/>
              <w:right w:val="single" w:sz="4" w:space="0" w:color="auto"/>
            </w:tcBorders>
            <w:shd w:val="clear" w:color="000000" w:fill="BCCFE8"/>
            <w:noWrap/>
            <w:vAlign w:val="bottom"/>
            <w:hideMark/>
          </w:tcPr>
          <w:p w14:paraId="568D48A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34 443</w:t>
            </w:r>
          </w:p>
        </w:tc>
        <w:tc>
          <w:tcPr>
            <w:tcW w:w="709" w:type="dxa"/>
            <w:tcBorders>
              <w:top w:val="single" w:sz="4" w:space="0" w:color="auto"/>
              <w:left w:val="single" w:sz="4" w:space="0" w:color="auto"/>
              <w:bottom w:val="single" w:sz="4" w:space="0" w:color="auto"/>
              <w:right w:val="single" w:sz="4" w:space="0" w:color="auto"/>
            </w:tcBorders>
            <w:shd w:val="clear" w:color="000000" w:fill="ADC4E3"/>
            <w:noWrap/>
            <w:vAlign w:val="bottom"/>
            <w:hideMark/>
          </w:tcPr>
          <w:p w14:paraId="052802B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47 569</w:t>
            </w:r>
          </w:p>
        </w:tc>
        <w:tc>
          <w:tcPr>
            <w:tcW w:w="709" w:type="dxa"/>
            <w:tcBorders>
              <w:top w:val="single" w:sz="4" w:space="0" w:color="auto"/>
              <w:left w:val="single" w:sz="4" w:space="0" w:color="auto"/>
              <w:bottom w:val="single" w:sz="4" w:space="0" w:color="auto"/>
              <w:right w:val="single" w:sz="4" w:space="0" w:color="auto"/>
            </w:tcBorders>
            <w:shd w:val="clear" w:color="000000" w:fill="B0C6E4"/>
            <w:noWrap/>
            <w:vAlign w:val="bottom"/>
            <w:hideMark/>
          </w:tcPr>
          <w:p w14:paraId="6AFCB8C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22 966</w:t>
            </w:r>
          </w:p>
        </w:tc>
        <w:tc>
          <w:tcPr>
            <w:tcW w:w="709" w:type="dxa"/>
            <w:tcBorders>
              <w:top w:val="single" w:sz="4" w:space="0" w:color="auto"/>
              <w:left w:val="single" w:sz="4" w:space="0" w:color="auto"/>
              <w:bottom w:val="single" w:sz="4" w:space="0" w:color="auto"/>
              <w:right w:val="single" w:sz="4" w:space="0" w:color="auto"/>
            </w:tcBorders>
            <w:shd w:val="clear" w:color="000000" w:fill="759DCF"/>
            <w:noWrap/>
            <w:vAlign w:val="bottom"/>
            <w:hideMark/>
          </w:tcPr>
          <w:p w14:paraId="7C48F6F7"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29 913</w:t>
            </w:r>
          </w:p>
        </w:tc>
        <w:tc>
          <w:tcPr>
            <w:tcW w:w="708" w:type="dxa"/>
            <w:tcBorders>
              <w:top w:val="single" w:sz="4" w:space="0" w:color="auto"/>
              <w:left w:val="single" w:sz="4" w:space="0" w:color="auto"/>
              <w:bottom w:val="single" w:sz="4" w:space="0" w:color="auto"/>
              <w:right w:val="single" w:sz="4" w:space="0" w:color="auto"/>
            </w:tcBorders>
            <w:shd w:val="clear" w:color="000000" w:fill="EFF3FA"/>
            <w:noWrap/>
            <w:vAlign w:val="bottom"/>
            <w:hideMark/>
          </w:tcPr>
          <w:p w14:paraId="163751C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1,69</w:t>
            </w:r>
          </w:p>
        </w:tc>
        <w:tc>
          <w:tcPr>
            <w:tcW w:w="709" w:type="dxa"/>
            <w:tcBorders>
              <w:top w:val="single" w:sz="4" w:space="0" w:color="auto"/>
              <w:left w:val="single" w:sz="4" w:space="0" w:color="auto"/>
              <w:bottom w:val="single" w:sz="4" w:space="0" w:color="auto"/>
              <w:right w:val="single" w:sz="4" w:space="0" w:color="auto"/>
            </w:tcBorders>
            <w:shd w:val="clear" w:color="000000" w:fill="F8F9FD"/>
            <w:noWrap/>
            <w:vAlign w:val="bottom"/>
            <w:hideMark/>
          </w:tcPr>
          <w:p w14:paraId="6347FB8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1,70</w:t>
            </w:r>
          </w:p>
        </w:tc>
      </w:tr>
      <w:tr w:rsidR="00954688" w:rsidRPr="00825F8A" w14:paraId="1703394C"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1BA49B5D"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JCK</w:t>
            </w:r>
          </w:p>
        </w:tc>
        <w:tc>
          <w:tcPr>
            <w:tcW w:w="709" w:type="dxa"/>
            <w:tcBorders>
              <w:top w:val="single" w:sz="4" w:space="0" w:color="auto"/>
              <w:left w:val="single" w:sz="4" w:space="0" w:color="auto"/>
              <w:bottom w:val="single" w:sz="4" w:space="0" w:color="auto"/>
              <w:right w:val="single" w:sz="4" w:space="0" w:color="auto"/>
            </w:tcBorders>
            <w:shd w:val="clear" w:color="000000" w:fill="F6F8FD"/>
            <w:noWrap/>
            <w:vAlign w:val="bottom"/>
            <w:hideMark/>
          </w:tcPr>
          <w:p w14:paraId="14E9045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22 873</w:t>
            </w:r>
          </w:p>
        </w:tc>
        <w:tc>
          <w:tcPr>
            <w:tcW w:w="709" w:type="dxa"/>
            <w:tcBorders>
              <w:top w:val="single" w:sz="4" w:space="0" w:color="auto"/>
              <w:left w:val="single" w:sz="4" w:space="0" w:color="auto"/>
              <w:bottom w:val="single" w:sz="4" w:space="0" w:color="auto"/>
              <w:right w:val="single" w:sz="4" w:space="0" w:color="auto"/>
            </w:tcBorders>
            <w:shd w:val="clear" w:color="000000" w:fill="C9D8ED"/>
            <w:noWrap/>
            <w:vAlign w:val="bottom"/>
            <w:hideMark/>
          </w:tcPr>
          <w:p w14:paraId="4A5786D8"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31 984</w:t>
            </w:r>
          </w:p>
        </w:tc>
        <w:tc>
          <w:tcPr>
            <w:tcW w:w="708" w:type="dxa"/>
            <w:tcBorders>
              <w:top w:val="single" w:sz="4" w:space="0" w:color="auto"/>
              <w:left w:val="single" w:sz="4" w:space="0" w:color="auto"/>
              <w:bottom w:val="single" w:sz="4" w:space="0" w:color="auto"/>
              <w:right w:val="single" w:sz="4" w:space="0" w:color="auto"/>
            </w:tcBorders>
            <w:shd w:val="clear" w:color="000000" w:fill="D9E3F2"/>
            <w:noWrap/>
            <w:vAlign w:val="bottom"/>
            <w:hideMark/>
          </w:tcPr>
          <w:p w14:paraId="1ADCEA22"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19 623</w:t>
            </w:r>
          </w:p>
        </w:tc>
        <w:tc>
          <w:tcPr>
            <w:tcW w:w="709" w:type="dxa"/>
            <w:tcBorders>
              <w:top w:val="single" w:sz="4" w:space="0" w:color="auto"/>
              <w:left w:val="single" w:sz="4" w:space="0" w:color="auto"/>
              <w:bottom w:val="single" w:sz="4" w:space="0" w:color="auto"/>
              <w:right w:val="single" w:sz="4" w:space="0" w:color="auto"/>
            </w:tcBorders>
            <w:shd w:val="clear" w:color="000000" w:fill="A8C1E1"/>
            <w:noWrap/>
            <w:vAlign w:val="bottom"/>
            <w:hideMark/>
          </w:tcPr>
          <w:p w14:paraId="280ECFC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28 255</w:t>
            </w:r>
          </w:p>
        </w:tc>
        <w:tc>
          <w:tcPr>
            <w:tcW w:w="709" w:type="dxa"/>
            <w:tcBorders>
              <w:top w:val="single" w:sz="4" w:space="0" w:color="auto"/>
              <w:left w:val="single" w:sz="4" w:space="0" w:color="auto"/>
              <w:bottom w:val="single" w:sz="4" w:space="0" w:color="auto"/>
              <w:right w:val="single" w:sz="4" w:space="0" w:color="auto"/>
            </w:tcBorders>
            <w:shd w:val="clear" w:color="000000" w:fill="FCD9DC"/>
            <w:noWrap/>
            <w:vAlign w:val="bottom"/>
            <w:hideMark/>
          </w:tcPr>
          <w:p w14:paraId="5B45CC53"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11 357</w:t>
            </w:r>
          </w:p>
        </w:tc>
        <w:tc>
          <w:tcPr>
            <w:tcW w:w="709" w:type="dxa"/>
            <w:tcBorders>
              <w:top w:val="single" w:sz="4" w:space="0" w:color="auto"/>
              <w:left w:val="single" w:sz="4" w:space="0" w:color="auto"/>
              <w:bottom w:val="single" w:sz="4" w:space="0" w:color="auto"/>
              <w:right w:val="single" w:sz="4" w:space="0" w:color="auto"/>
            </w:tcBorders>
            <w:shd w:val="clear" w:color="000000" w:fill="F7F8FD"/>
            <w:noWrap/>
            <w:vAlign w:val="bottom"/>
            <w:hideMark/>
          </w:tcPr>
          <w:p w14:paraId="1FBC6D7D"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17 071</w:t>
            </w:r>
          </w:p>
        </w:tc>
        <w:tc>
          <w:tcPr>
            <w:tcW w:w="708"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AC10604"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35 848</w:t>
            </w:r>
          </w:p>
        </w:tc>
        <w:tc>
          <w:tcPr>
            <w:tcW w:w="709" w:type="dxa"/>
            <w:tcBorders>
              <w:top w:val="single" w:sz="4" w:space="0" w:color="auto"/>
              <w:left w:val="single" w:sz="4" w:space="0" w:color="auto"/>
              <w:bottom w:val="single" w:sz="4" w:space="0" w:color="auto"/>
              <w:right w:val="single" w:sz="4" w:space="0" w:color="auto"/>
            </w:tcBorders>
            <w:shd w:val="clear" w:color="000000" w:fill="E9EEF8"/>
            <w:noWrap/>
            <w:vAlign w:val="bottom"/>
            <w:hideMark/>
          </w:tcPr>
          <w:p w14:paraId="7A10845E"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48 812</w:t>
            </w:r>
          </w:p>
        </w:tc>
        <w:tc>
          <w:tcPr>
            <w:tcW w:w="709" w:type="dxa"/>
            <w:tcBorders>
              <w:top w:val="single" w:sz="4" w:space="0" w:color="auto"/>
              <w:left w:val="single" w:sz="4" w:space="0" w:color="auto"/>
              <w:bottom w:val="single" w:sz="4" w:space="0" w:color="auto"/>
              <w:right w:val="single" w:sz="4" w:space="0" w:color="auto"/>
            </w:tcBorders>
            <w:shd w:val="clear" w:color="000000" w:fill="F9FAFE"/>
            <w:noWrap/>
            <w:vAlign w:val="bottom"/>
            <w:hideMark/>
          </w:tcPr>
          <w:p w14:paraId="66B2FDD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24 490</w:t>
            </w:r>
          </w:p>
        </w:tc>
        <w:tc>
          <w:tcPr>
            <w:tcW w:w="709" w:type="dxa"/>
            <w:tcBorders>
              <w:top w:val="single" w:sz="4" w:space="0" w:color="auto"/>
              <w:left w:val="single" w:sz="4" w:space="0" w:color="auto"/>
              <w:bottom w:val="single" w:sz="4" w:space="0" w:color="auto"/>
              <w:right w:val="single" w:sz="4" w:space="0" w:color="auto"/>
            </w:tcBorders>
            <w:shd w:val="clear" w:color="000000" w:fill="C6D6EC"/>
            <w:noWrap/>
            <w:vAlign w:val="bottom"/>
            <w:hideMark/>
          </w:tcPr>
          <w:p w14:paraId="7BC0E5F6"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31 742</w:t>
            </w:r>
          </w:p>
        </w:tc>
        <w:tc>
          <w:tcPr>
            <w:tcW w:w="708" w:type="dxa"/>
            <w:tcBorders>
              <w:top w:val="single" w:sz="4" w:space="0" w:color="auto"/>
              <w:left w:val="single" w:sz="4" w:space="0" w:color="auto"/>
              <w:bottom w:val="single" w:sz="4" w:space="0" w:color="auto"/>
              <w:right w:val="single" w:sz="4" w:space="0" w:color="auto"/>
            </w:tcBorders>
            <w:shd w:val="clear" w:color="000000" w:fill="FBBABC"/>
            <w:noWrap/>
            <w:vAlign w:val="bottom"/>
            <w:hideMark/>
          </w:tcPr>
          <w:p w14:paraId="32430BC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1,96</w:t>
            </w:r>
          </w:p>
        </w:tc>
        <w:tc>
          <w:tcPr>
            <w:tcW w:w="709" w:type="dxa"/>
            <w:tcBorders>
              <w:top w:val="single" w:sz="4" w:space="0" w:color="auto"/>
              <w:left w:val="single" w:sz="4" w:space="0" w:color="auto"/>
              <w:bottom w:val="single" w:sz="4" w:space="0" w:color="auto"/>
              <w:right w:val="single" w:sz="4" w:space="0" w:color="auto"/>
            </w:tcBorders>
            <w:shd w:val="clear" w:color="000000" w:fill="FCDDE0"/>
            <w:noWrap/>
            <w:vAlign w:val="bottom"/>
            <w:hideMark/>
          </w:tcPr>
          <w:p w14:paraId="51286DA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1,84</w:t>
            </w:r>
          </w:p>
        </w:tc>
      </w:tr>
      <w:tr w:rsidR="00954688" w:rsidRPr="00825F8A" w14:paraId="422363CA"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1B9D0BA"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VYS</w:t>
            </w:r>
          </w:p>
        </w:tc>
        <w:tc>
          <w:tcPr>
            <w:tcW w:w="709" w:type="dxa"/>
            <w:tcBorders>
              <w:top w:val="single" w:sz="4" w:space="0" w:color="auto"/>
              <w:left w:val="single" w:sz="4" w:space="0" w:color="auto"/>
              <w:bottom w:val="single" w:sz="4" w:space="0" w:color="auto"/>
              <w:right w:val="single" w:sz="4" w:space="0" w:color="auto"/>
            </w:tcBorders>
            <w:shd w:val="clear" w:color="000000" w:fill="CBD9ED"/>
            <w:noWrap/>
            <w:vAlign w:val="bottom"/>
            <w:hideMark/>
          </w:tcPr>
          <w:p w14:paraId="008971A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22 369</w:t>
            </w:r>
          </w:p>
        </w:tc>
        <w:tc>
          <w:tcPr>
            <w:tcW w:w="70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33D9AD5F"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32 660</w:t>
            </w:r>
          </w:p>
        </w:tc>
        <w:tc>
          <w:tcPr>
            <w:tcW w:w="708" w:type="dxa"/>
            <w:tcBorders>
              <w:top w:val="single" w:sz="4" w:space="0" w:color="auto"/>
              <w:left w:val="single" w:sz="4" w:space="0" w:color="auto"/>
              <w:bottom w:val="single" w:sz="4" w:space="0" w:color="auto"/>
              <w:right w:val="single" w:sz="4" w:space="0" w:color="auto"/>
            </w:tcBorders>
            <w:shd w:val="clear" w:color="000000" w:fill="E0E8F5"/>
            <w:noWrap/>
            <w:vAlign w:val="bottom"/>
            <w:hideMark/>
          </w:tcPr>
          <w:p w14:paraId="40DCD49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19 706</w:t>
            </w:r>
          </w:p>
        </w:tc>
        <w:tc>
          <w:tcPr>
            <w:tcW w:w="709"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2D4FB09"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29 198</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FAF7DC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11 904</w:t>
            </w:r>
          </w:p>
        </w:tc>
        <w:tc>
          <w:tcPr>
            <w:tcW w:w="709" w:type="dxa"/>
            <w:tcBorders>
              <w:top w:val="single" w:sz="4" w:space="0" w:color="auto"/>
              <w:left w:val="single" w:sz="4" w:space="0" w:color="auto"/>
              <w:bottom w:val="single" w:sz="4" w:space="0" w:color="auto"/>
              <w:right w:val="single" w:sz="4" w:space="0" w:color="auto"/>
            </w:tcBorders>
            <w:shd w:val="clear" w:color="000000" w:fill="FAA6A8"/>
            <w:noWrap/>
            <w:vAlign w:val="bottom"/>
            <w:hideMark/>
          </w:tcPr>
          <w:p w14:paraId="3A784E2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17 901</w:t>
            </w:r>
          </w:p>
        </w:tc>
        <w:tc>
          <w:tcPr>
            <w:tcW w:w="708" w:type="dxa"/>
            <w:tcBorders>
              <w:top w:val="single" w:sz="4" w:space="0" w:color="auto"/>
              <w:left w:val="single" w:sz="4" w:space="0" w:color="auto"/>
              <w:bottom w:val="single" w:sz="4" w:space="0" w:color="auto"/>
              <w:right w:val="single" w:sz="4" w:space="0" w:color="auto"/>
            </w:tcBorders>
            <w:shd w:val="clear" w:color="000000" w:fill="8BACD7"/>
            <w:noWrap/>
            <w:vAlign w:val="bottom"/>
            <w:hideMark/>
          </w:tcPr>
          <w:p w14:paraId="3459E29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33 367</w:t>
            </w:r>
          </w:p>
        </w:tc>
        <w:tc>
          <w:tcPr>
            <w:tcW w:w="709" w:type="dxa"/>
            <w:tcBorders>
              <w:top w:val="single" w:sz="4" w:space="0" w:color="auto"/>
              <w:left w:val="single" w:sz="4" w:space="0" w:color="auto"/>
              <w:bottom w:val="single" w:sz="4" w:space="0" w:color="auto"/>
              <w:right w:val="single" w:sz="4" w:space="0" w:color="auto"/>
            </w:tcBorders>
            <w:shd w:val="clear" w:color="000000" w:fill="D3DFF0"/>
            <w:noWrap/>
            <w:vAlign w:val="bottom"/>
            <w:hideMark/>
          </w:tcPr>
          <w:p w14:paraId="775680D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48 364</w:t>
            </w:r>
          </w:p>
        </w:tc>
        <w:tc>
          <w:tcPr>
            <w:tcW w:w="709" w:type="dxa"/>
            <w:tcBorders>
              <w:top w:val="single" w:sz="4" w:space="0" w:color="auto"/>
              <w:left w:val="single" w:sz="4" w:space="0" w:color="auto"/>
              <w:bottom w:val="single" w:sz="4" w:space="0" w:color="auto"/>
              <w:right w:val="single" w:sz="4" w:space="0" w:color="auto"/>
            </w:tcBorders>
            <w:shd w:val="clear" w:color="000000" w:fill="6894CB"/>
            <w:noWrap/>
            <w:vAlign w:val="bottom"/>
            <w:hideMark/>
          </w:tcPr>
          <w:p w14:paraId="4C99849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21 463</w:t>
            </w:r>
          </w:p>
        </w:tc>
        <w:tc>
          <w:tcPr>
            <w:tcW w:w="709" w:type="dxa"/>
            <w:tcBorders>
              <w:top w:val="single" w:sz="4" w:space="0" w:color="auto"/>
              <w:left w:val="single" w:sz="4" w:space="0" w:color="auto"/>
              <w:bottom w:val="single" w:sz="4" w:space="0" w:color="auto"/>
              <w:right w:val="single" w:sz="4" w:space="0" w:color="auto"/>
            </w:tcBorders>
            <w:shd w:val="clear" w:color="000000" w:fill="8DAED8"/>
            <w:noWrap/>
            <w:vAlign w:val="bottom"/>
            <w:hideMark/>
          </w:tcPr>
          <w:p w14:paraId="388119AE"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30 463</w:t>
            </w:r>
          </w:p>
        </w:tc>
        <w:tc>
          <w:tcPr>
            <w:tcW w:w="708" w:type="dxa"/>
            <w:tcBorders>
              <w:top w:val="single" w:sz="4" w:space="0" w:color="auto"/>
              <w:left w:val="single" w:sz="4" w:space="0" w:color="auto"/>
              <w:bottom w:val="single" w:sz="4" w:space="0" w:color="auto"/>
              <w:right w:val="single" w:sz="4" w:space="0" w:color="auto"/>
            </w:tcBorders>
            <w:shd w:val="clear" w:color="000000" w:fill="FCF2F5"/>
            <w:noWrap/>
            <w:vAlign w:val="bottom"/>
            <w:hideMark/>
          </w:tcPr>
          <w:p w14:paraId="4BC30D37"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1,75</w:t>
            </w:r>
          </w:p>
        </w:tc>
        <w:tc>
          <w:tcPr>
            <w:tcW w:w="709" w:type="dxa"/>
            <w:tcBorders>
              <w:top w:val="single" w:sz="4" w:space="0" w:color="auto"/>
              <w:left w:val="single" w:sz="4" w:space="0" w:color="auto"/>
              <w:bottom w:val="single" w:sz="4" w:space="0" w:color="auto"/>
              <w:right w:val="single" w:sz="4" w:space="0" w:color="auto"/>
            </w:tcBorders>
            <w:shd w:val="clear" w:color="000000" w:fill="F6F8FD"/>
            <w:noWrap/>
            <w:vAlign w:val="bottom"/>
            <w:hideMark/>
          </w:tcPr>
          <w:p w14:paraId="14DECB21"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1,70</w:t>
            </w:r>
          </w:p>
        </w:tc>
      </w:tr>
      <w:tr w:rsidR="00954688" w:rsidRPr="00825F8A" w14:paraId="491FBDD6" w14:textId="77777777" w:rsidTr="000C49A5">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2B81C10" w14:textId="77777777" w:rsidR="00954688" w:rsidRPr="00825F8A" w:rsidRDefault="00954688" w:rsidP="000C49A5">
            <w:pPr>
              <w:spacing w:before="0"/>
              <w:jc w:val="left"/>
              <w:rPr>
                <w:rFonts w:eastAsia="Times New Roman" w:cstheme="minorHAnsi"/>
                <w:color w:val="000000"/>
                <w:sz w:val="18"/>
                <w:szCs w:val="18"/>
                <w:lang w:eastAsia="cs-CZ"/>
              </w:rPr>
            </w:pPr>
            <w:r w:rsidRPr="00825F8A">
              <w:rPr>
                <w:rFonts w:eastAsia="Times New Roman" w:cstheme="minorHAnsi"/>
                <w:color w:val="000000"/>
                <w:sz w:val="18"/>
                <w:szCs w:val="18"/>
                <w:lang w:eastAsia="cs-CZ"/>
              </w:rPr>
              <w:t>KHK</w:t>
            </w:r>
          </w:p>
        </w:tc>
        <w:tc>
          <w:tcPr>
            <w:tcW w:w="709" w:type="dxa"/>
            <w:tcBorders>
              <w:top w:val="single" w:sz="4" w:space="0" w:color="auto"/>
              <w:left w:val="single" w:sz="4" w:space="0" w:color="auto"/>
              <w:bottom w:val="single" w:sz="4" w:space="0" w:color="auto"/>
              <w:right w:val="single" w:sz="4" w:space="0" w:color="auto"/>
            </w:tcBorders>
            <w:shd w:val="clear" w:color="000000" w:fill="C0D2EA"/>
            <w:noWrap/>
            <w:vAlign w:val="bottom"/>
            <w:hideMark/>
          </w:tcPr>
          <w:p w14:paraId="4C19904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22 252</w:t>
            </w:r>
          </w:p>
        </w:tc>
        <w:tc>
          <w:tcPr>
            <w:tcW w:w="709" w:type="dxa"/>
            <w:tcBorders>
              <w:top w:val="single" w:sz="4" w:space="0" w:color="auto"/>
              <w:left w:val="single" w:sz="4" w:space="0" w:color="auto"/>
              <w:bottom w:val="single" w:sz="4" w:space="0" w:color="auto"/>
              <w:right w:val="single" w:sz="4" w:space="0" w:color="auto"/>
            </w:tcBorders>
            <w:shd w:val="clear" w:color="000000" w:fill="FCF1F4"/>
            <w:noWrap/>
            <w:vAlign w:val="bottom"/>
            <w:hideMark/>
          </w:tcPr>
          <w:p w14:paraId="0BC1581A"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33 639</w:t>
            </w:r>
          </w:p>
        </w:tc>
        <w:tc>
          <w:tcPr>
            <w:tcW w:w="708" w:type="dxa"/>
            <w:tcBorders>
              <w:top w:val="single" w:sz="4" w:space="0" w:color="auto"/>
              <w:left w:val="single" w:sz="4" w:space="0" w:color="auto"/>
              <w:bottom w:val="single" w:sz="4" w:space="0" w:color="auto"/>
              <w:right w:val="single" w:sz="4" w:space="0" w:color="auto"/>
            </w:tcBorders>
            <w:shd w:val="clear" w:color="000000" w:fill="CDDBEE"/>
            <w:noWrap/>
            <w:vAlign w:val="bottom"/>
            <w:hideMark/>
          </w:tcPr>
          <w:p w14:paraId="135DA288"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19 498</w:t>
            </w:r>
          </w:p>
        </w:tc>
        <w:tc>
          <w:tcPr>
            <w:tcW w:w="709"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0A31010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29 816</w:t>
            </w:r>
          </w:p>
        </w:tc>
        <w:tc>
          <w:tcPr>
            <w:tcW w:w="709" w:type="dxa"/>
            <w:tcBorders>
              <w:top w:val="single" w:sz="4" w:space="0" w:color="auto"/>
              <w:left w:val="single" w:sz="4" w:space="0" w:color="auto"/>
              <w:bottom w:val="single" w:sz="4" w:space="0" w:color="auto"/>
              <w:right w:val="single" w:sz="4" w:space="0" w:color="auto"/>
            </w:tcBorders>
            <w:shd w:val="clear" w:color="000000" w:fill="FBC1C4"/>
            <w:noWrap/>
            <w:vAlign w:val="bottom"/>
            <w:hideMark/>
          </w:tcPr>
          <w:p w14:paraId="1500C67B"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11 473</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9CB0FDC"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18 460</w:t>
            </w:r>
          </w:p>
        </w:tc>
        <w:tc>
          <w:tcPr>
            <w:tcW w:w="708" w:type="dxa"/>
            <w:tcBorders>
              <w:top w:val="single" w:sz="4" w:space="0" w:color="auto"/>
              <w:left w:val="single" w:sz="4" w:space="0" w:color="auto"/>
              <w:bottom w:val="single" w:sz="4" w:space="0" w:color="auto"/>
              <w:right w:val="single" w:sz="4" w:space="0" w:color="auto"/>
            </w:tcBorders>
            <w:shd w:val="clear" w:color="000000" w:fill="ADC4E3"/>
            <w:noWrap/>
            <w:vAlign w:val="bottom"/>
            <w:hideMark/>
          </w:tcPr>
          <w:p w14:paraId="5E2C471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34 116</w:t>
            </w:r>
          </w:p>
        </w:tc>
        <w:tc>
          <w:tcPr>
            <w:tcW w:w="709" w:type="dxa"/>
            <w:tcBorders>
              <w:top w:val="single" w:sz="4" w:space="0" w:color="auto"/>
              <w:left w:val="single" w:sz="4" w:space="0" w:color="auto"/>
              <w:bottom w:val="single" w:sz="4" w:space="0" w:color="auto"/>
              <w:right w:val="single" w:sz="4" w:space="0" w:color="auto"/>
            </w:tcBorders>
            <w:shd w:val="clear" w:color="000000" w:fill="FCEAED"/>
            <w:noWrap/>
            <w:vAlign w:val="bottom"/>
            <w:hideMark/>
          </w:tcPr>
          <w:p w14:paraId="63AFDA80"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53 088</w:t>
            </w:r>
          </w:p>
        </w:tc>
        <w:tc>
          <w:tcPr>
            <w:tcW w:w="709" w:type="dxa"/>
            <w:tcBorders>
              <w:top w:val="single" w:sz="4" w:space="0" w:color="auto"/>
              <w:left w:val="single" w:sz="4" w:space="0" w:color="auto"/>
              <w:bottom w:val="single" w:sz="4" w:space="0" w:color="auto"/>
              <w:right w:val="single" w:sz="4" w:space="0" w:color="auto"/>
            </w:tcBorders>
            <w:shd w:val="clear" w:color="000000" w:fill="A0BBDE"/>
            <w:noWrap/>
            <w:vAlign w:val="bottom"/>
            <w:hideMark/>
          </w:tcPr>
          <w:p w14:paraId="6C5E5396"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22 643</w:t>
            </w:r>
          </w:p>
        </w:tc>
        <w:tc>
          <w:tcPr>
            <w:tcW w:w="709" w:type="dxa"/>
            <w:tcBorders>
              <w:top w:val="single" w:sz="4" w:space="0" w:color="auto"/>
              <w:left w:val="single" w:sz="4" w:space="0" w:color="auto"/>
              <w:bottom w:val="single" w:sz="4" w:space="0" w:color="auto"/>
              <w:right w:val="single" w:sz="4" w:space="0" w:color="auto"/>
            </w:tcBorders>
            <w:shd w:val="clear" w:color="000000" w:fill="FCF4F7"/>
            <w:noWrap/>
            <w:vAlign w:val="bottom"/>
            <w:hideMark/>
          </w:tcPr>
          <w:p w14:paraId="79B9A1B1" w14:textId="77777777" w:rsidR="00954688" w:rsidRPr="00825F8A" w:rsidRDefault="00954688" w:rsidP="000C49A5">
            <w:pPr>
              <w:spacing w:before="0"/>
              <w:jc w:val="right"/>
              <w:rPr>
                <w:rFonts w:eastAsia="Times New Roman" w:cstheme="minorHAnsi"/>
                <w:b/>
                <w:bCs/>
                <w:color w:val="000000"/>
                <w:sz w:val="18"/>
                <w:szCs w:val="18"/>
                <w:lang w:eastAsia="cs-CZ"/>
              </w:rPr>
            </w:pPr>
            <w:r w:rsidRPr="00825F8A">
              <w:rPr>
                <w:rFonts w:eastAsia="Times New Roman" w:cstheme="minorHAnsi"/>
                <w:b/>
                <w:bCs/>
                <w:color w:val="000000"/>
                <w:sz w:val="18"/>
                <w:szCs w:val="18"/>
                <w:lang w:eastAsia="cs-CZ"/>
              </w:rPr>
              <w:t>34 628</w:t>
            </w:r>
          </w:p>
        </w:tc>
        <w:tc>
          <w:tcPr>
            <w:tcW w:w="708" w:type="dxa"/>
            <w:tcBorders>
              <w:top w:val="single" w:sz="4" w:space="0" w:color="auto"/>
              <w:left w:val="single" w:sz="4" w:space="0" w:color="auto"/>
              <w:bottom w:val="single" w:sz="4" w:space="0" w:color="auto"/>
              <w:right w:val="single" w:sz="4" w:space="0" w:color="auto"/>
            </w:tcBorders>
            <w:shd w:val="clear" w:color="000000" w:fill="FCDFE2"/>
            <w:noWrap/>
            <w:vAlign w:val="bottom"/>
            <w:hideMark/>
          </w:tcPr>
          <w:p w14:paraId="617CFB69"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1,82</w:t>
            </w:r>
          </w:p>
        </w:tc>
        <w:tc>
          <w:tcPr>
            <w:tcW w:w="709" w:type="dxa"/>
            <w:tcBorders>
              <w:top w:val="single" w:sz="4" w:space="0" w:color="auto"/>
              <w:left w:val="single" w:sz="4" w:space="0" w:color="auto"/>
              <w:bottom w:val="single" w:sz="4" w:space="0" w:color="auto"/>
              <w:right w:val="single" w:sz="4" w:space="0" w:color="auto"/>
            </w:tcBorders>
            <w:shd w:val="clear" w:color="000000" w:fill="FAADB0"/>
            <w:noWrap/>
            <w:vAlign w:val="bottom"/>
            <w:hideMark/>
          </w:tcPr>
          <w:p w14:paraId="12C5CB95" w14:textId="77777777" w:rsidR="00954688" w:rsidRPr="00825F8A" w:rsidRDefault="00954688" w:rsidP="000C49A5">
            <w:pPr>
              <w:spacing w:before="0"/>
              <w:jc w:val="right"/>
              <w:rPr>
                <w:rFonts w:eastAsia="Times New Roman" w:cstheme="minorHAnsi"/>
                <w:color w:val="000000"/>
                <w:sz w:val="18"/>
                <w:szCs w:val="18"/>
                <w:lang w:eastAsia="cs-CZ"/>
              </w:rPr>
            </w:pPr>
            <w:r w:rsidRPr="00825F8A">
              <w:rPr>
                <w:rFonts w:eastAsia="Times New Roman" w:cstheme="minorHAnsi"/>
                <w:color w:val="000000"/>
                <w:sz w:val="18"/>
                <w:szCs w:val="18"/>
                <w:lang w:eastAsia="cs-CZ"/>
              </w:rPr>
              <w:t>2,05</w:t>
            </w:r>
          </w:p>
        </w:tc>
      </w:tr>
    </w:tbl>
    <w:p w14:paraId="61C2A91C" w14:textId="1C971E21" w:rsidR="00954688" w:rsidRDefault="00954688" w:rsidP="00954688">
      <w:pPr>
        <w:pStyle w:val="Zdroj"/>
      </w:pPr>
      <w:r>
        <w:t>Zdroj: MPSV, Regionální statistika ceny práce, zpracování PROCES,</w:t>
      </w:r>
      <w:r w:rsidR="00EA1422">
        <w:t xml:space="preserve"> 2020,</w:t>
      </w:r>
      <w:r>
        <w:t xml:space="preserve"> podnikatelská sféra</w:t>
      </w:r>
      <w:r w:rsidR="00EA1422">
        <w:t>.</w:t>
      </w:r>
    </w:p>
    <w:p w14:paraId="03DE865F" w14:textId="77A9652E" w:rsidR="00954688" w:rsidRDefault="00954688" w:rsidP="00954688">
      <w:pPr>
        <w:pStyle w:val="Zdroj"/>
      </w:pPr>
      <w:r>
        <w:t>Pozn.</w:t>
      </w:r>
      <w:r w:rsidR="00EA1422">
        <w:t>:</w:t>
      </w:r>
      <w:r>
        <w:t xml:space="preserve"> Rozdíl = 9 decil - 1 decil, Asymetrie = (9 decil - Medián)/(Medián – 1 decil)</w:t>
      </w:r>
      <w:r w:rsidR="00EA1422">
        <w:t>.</w:t>
      </w:r>
    </w:p>
    <w:p w14:paraId="0AD58CE8" w14:textId="42BF102C" w:rsidR="00954688" w:rsidRDefault="00954688" w:rsidP="00954688">
      <w:pPr>
        <w:pStyle w:val="Zdroj"/>
      </w:pPr>
      <w:r>
        <w:t xml:space="preserve">Označení krajů: PHA- Praha, SCK Středočeský kraj, JHC – Jihočeský kraj, PLK </w:t>
      </w:r>
      <w:r w:rsidR="00EA1422">
        <w:sym w:font="Symbol" w:char="F02D"/>
      </w:r>
      <w:r>
        <w:t xml:space="preserve">  Plzeňský kraj, KVK -  Karlovarský kraj, ULK –Ústecký kraj, LBK -  Liberecký kraj, KHK – Královehradecký kraj, PAK – Pardubický kraj, VYS – Vysočina, JMK – Jihomoravský kraj, OLK – Olomoucký kraj, ZLK – Zlínský kraj, MSK – Moravskoslezský kraj </w:t>
      </w:r>
    </w:p>
    <w:p w14:paraId="3D8B6212" w14:textId="0ABF2DD5" w:rsidR="00954688" w:rsidRPr="004F3993" w:rsidRDefault="00954688" w:rsidP="00954688">
      <w:r w:rsidRPr="006C59BA">
        <w:t>Trh práce ve městě Zlín nefunguje zcela autonomně, ale má mnohem širší vazby na okolí. Především díky tomu, že ve měst</w:t>
      </w:r>
      <w:r w:rsidR="00EA1422">
        <w:t>ě</w:t>
      </w:r>
      <w:r w:rsidRPr="006C59BA">
        <w:t xml:space="preserve"> Zlíně sídlí řada velkých zaměstnavatelů z regionu, je město přirozeným centrem pracovních příležitostí v regionální ekonomice, což se projevuje na intenzivní dojížďce za prací</w:t>
      </w:r>
      <w:r>
        <w:t xml:space="preserve">. Dle Sčítání lidu, domů a bytů dojíždělo za zaměstnáním do města Zlína v roce 2011 celkem </w:t>
      </w:r>
      <w:r w:rsidRPr="006839C9">
        <w:t>10 684 osob</w:t>
      </w:r>
      <w:r>
        <w:t xml:space="preserve">, z nichž 62 % dojíždělo do města z ostatních obcí okresu Zlín. </w:t>
      </w:r>
      <w:r w:rsidRPr="005F5E5B">
        <w:t>Nejvyšší počet osob dojížděl v roce 2011 do města Zlína za zaměstnáním z Otrokovic (1 597 osob), Fryštáku (588 osob) a Napajedel (527) osob. Tato skutečnost potvrzuje úzký vztah sídel ke Zlínu vzhled</w:t>
      </w:r>
      <w:r>
        <w:t>em k jejich blízkosti ke městu. Proudy vyjížďky z města Zlína do okolních měst, okresů, krajů a do zahraničí jsou uvedeny v</w:t>
      </w:r>
      <w:r w:rsidR="00094895">
        <w:t> </w:t>
      </w:r>
      <w:r>
        <w:t>tabulce</w:t>
      </w:r>
      <w:r w:rsidR="00122205">
        <w:t xml:space="preserve"> 1.60</w:t>
      </w:r>
      <w:r>
        <w:t>. Z města Zlína vyjíždí nejvíce osob za prací do města Otrokovice (</w:t>
      </w:r>
      <w:r w:rsidRPr="00F6146B">
        <w:t>1 </w:t>
      </w:r>
      <w:r>
        <w:t xml:space="preserve">320 osob) a to hlavně z důvodu výskytu velkých zaměstnavatelů v regionu (např. </w:t>
      </w:r>
      <w:r w:rsidRPr="009E1B3C">
        <w:t>Continental Barum s.r.o.</w:t>
      </w:r>
      <w:r>
        <w:t>).  Další obce, kde lidé nejčastěji dojíždí ze Zlína do zaměstnání, jsou uvedeny v grafu na obrázku</w:t>
      </w:r>
      <w:r w:rsidR="00E111E6">
        <w:t xml:space="preserve"> 1.84</w:t>
      </w:r>
      <w:r>
        <w:t>.</w:t>
      </w:r>
    </w:p>
    <w:p w14:paraId="273E1273" w14:textId="173B75DE" w:rsidR="00954688" w:rsidRPr="006E55BA" w:rsidRDefault="00954688" w:rsidP="00954688">
      <w:pPr>
        <w:pStyle w:val="Titulek"/>
        <w:rPr>
          <w:iCs w:val="0"/>
          <w:sz w:val="20"/>
        </w:rPr>
      </w:pPr>
      <w:bookmarkStart w:id="416" w:name="_Toc53066218"/>
      <w:bookmarkStart w:id="417" w:name="_Toc7707474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60</w:t>
      </w:r>
      <w:r w:rsidR="00081B47">
        <w:rPr>
          <w:noProof/>
        </w:rPr>
        <w:fldChar w:fldCharType="end"/>
      </w:r>
      <w:r w:rsidR="00EA1422">
        <w:rPr>
          <w:noProof/>
        </w:rPr>
        <w:t>:</w:t>
      </w:r>
      <w:r>
        <w:t xml:space="preserve"> </w:t>
      </w:r>
      <w:r>
        <w:rPr>
          <w:sz w:val="20"/>
        </w:rPr>
        <w:t>Vyjíždějící do zaměstnání z města Zlín</w:t>
      </w:r>
      <w:bookmarkEnd w:id="416"/>
      <w:bookmarkEnd w:id="417"/>
    </w:p>
    <w:tbl>
      <w:tblPr>
        <w:tblW w:w="4995" w:type="dxa"/>
        <w:tblCellMar>
          <w:left w:w="70" w:type="dxa"/>
          <w:right w:w="70" w:type="dxa"/>
        </w:tblCellMar>
        <w:tblLook w:val="04A0" w:firstRow="1" w:lastRow="0" w:firstColumn="1" w:lastColumn="0" w:noHBand="0" w:noVBand="1"/>
      </w:tblPr>
      <w:tblGrid>
        <w:gridCol w:w="714"/>
        <w:gridCol w:w="2788"/>
        <w:gridCol w:w="1493"/>
      </w:tblGrid>
      <w:tr w:rsidR="00954688" w:rsidRPr="006E55BA" w14:paraId="69076D8E" w14:textId="77777777" w:rsidTr="000C49A5">
        <w:trPr>
          <w:trHeight w:val="132"/>
        </w:trPr>
        <w:tc>
          <w:tcPr>
            <w:tcW w:w="3502"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3568B50" w14:textId="77777777" w:rsidR="00954688" w:rsidRPr="006E55BA" w:rsidRDefault="00954688" w:rsidP="000C49A5">
            <w:pPr>
              <w:spacing w:before="0"/>
              <w:jc w:val="left"/>
              <w:rPr>
                <w:rFonts w:eastAsia="Times New Roman" w:cstheme="minorHAnsi"/>
                <w:color w:val="000000"/>
                <w:sz w:val="18"/>
                <w:szCs w:val="20"/>
                <w:lang w:eastAsia="cs-CZ"/>
              </w:rPr>
            </w:pPr>
            <w:r w:rsidRPr="006E55BA">
              <w:rPr>
                <w:rFonts w:eastAsia="Times New Roman" w:cstheme="minorHAnsi"/>
                <w:color w:val="000000"/>
                <w:sz w:val="18"/>
                <w:szCs w:val="20"/>
                <w:lang w:eastAsia="cs-CZ"/>
              </w:rPr>
              <w:t>vyjíždějící do zaměstnání</w:t>
            </w:r>
          </w:p>
        </w:tc>
        <w:tc>
          <w:tcPr>
            <w:tcW w:w="1493" w:type="dxa"/>
            <w:tcBorders>
              <w:top w:val="single" w:sz="4" w:space="0" w:color="auto"/>
              <w:left w:val="single" w:sz="4" w:space="0" w:color="auto"/>
              <w:bottom w:val="single" w:sz="4" w:space="0" w:color="auto"/>
              <w:right w:val="single" w:sz="4" w:space="0" w:color="auto"/>
            </w:tcBorders>
            <w:shd w:val="clear" w:color="auto" w:fill="auto"/>
            <w:vAlign w:val="center"/>
          </w:tcPr>
          <w:p w14:paraId="7A2B451D" w14:textId="77777777" w:rsidR="00954688" w:rsidRPr="006E55BA" w:rsidRDefault="00954688" w:rsidP="000C49A5">
            <w:pPr>
              <w:spacing w:before="0"/>
              <w:jc w:val="right"/>
              <w:rPr>
                <w:rFonts w:eastAsia="Times New Roman" w:cstheme="minorHAnsi"/>
                <w:color w:val="000000"/>
                <w:sz w:val="18"/>
                <w:szCs w:val="20"/>
                <w:lang w:eastAsia="cs-CZ"/>
              </w:rPr>
            </w:pPr>
            <w:r>
              <w:rPr>
                <w:rFonts w:eastAsia="Times New Roman" w:cstheme="minorHAnsi"/>
                <w:color w:val="000000"/>
                <w:sz w:val="18"/>
                <w:szCs w:val="20"/>
                <w:lang w:eastAsia="cs-CZ"/>
              </w:rPr>
              <w:t>4 477</w:t>
            </w:r>
          </w:p>
        </w:tc>
      </w:tr>
      <w:tr w:rsidR="00954688" w:rsidRPr="006E55BA" w14:paraId="01B0353A" w14:textId="77777777" w:rsidTr="000C49A5">
        <w:trPr>
          <w:trHeight w:val="250"/>
        </w:trPr>
        <w:tc>
          <w:tcPr>
            <w:tcW w:w="714"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D02E2E3" w14:textId="77777777" w:rsidR="00954688" w:rsidRPr="006E55BA" w:rsidRDefault="00954688" w:rsidP="000C49A5">
            <w:pPr>
              <w:spacing w:before="0"/>
              <w:jc w:val="left"/>
              <w:rPr>
                <w:rFonts w:eastAsia="Times New Roman" w:cstheme="minorHAnsi"/>
                <w:color w:val="000000"/>
                <w:sz w:val="18"/>
                <w:szCs w:val="20"/>
                <w:lang w:eastAsia="cs-CZ"/>
              </w:rPr>
            </w:pPr>
            <w:r>
              <w:rPr>
                <w:rFonts w:eastAsia="Times New Roman" w:cstheme="minorHAnsi"/>
                <w:color w:val="000000"/>
                <w:sz w:val="18"/>
                <w:szCs w:val="20"/>
                <w:lang w:eastAsia="cs-CZ"/>
              </w:rPr>
              <w:t>z toho</w:t>
            </w:r>
          </w:p>
        </w:tc>
        <w:tc>
          <w:tcPr>
            <w:tcW w:w="278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2C6F36F" w14:textId="77777777" w:rsidR="00954688" w:rsidRPr="006E55BA" w:rsidRDefault="00954688" w:rsidP="000C49A5">
            <w:pPr>
              <w:spacing w:before="0"/>
              <w:jc w:val="left"/>
              <w:rPr>
                <w:rFonts w:eastAsia="Times New Roman" w:cstheme="minorHAnsi"/>
                <w:color w:val="000000"/>
                <w:sz w:val="18"/>
                <w:szCs w:val="20"/>
                <w:lang w:eastAsia="cs-CZ"/>
              </w:rPr>
            </w:pPr>
            <w:r w:rsidRPr="006E55BA">
              <w:rPr>
                <w:rFonts w:eastAsia="Times New Roman" w:cstheme="minorHAnsi"/>
                <w:color w:val="000000"/>
                <w:sz w:val="18"/>
                <w:szCs w:val="20"/>
                <w:lang w:eastAsia="cs-CZ"/>
              </w:rPr>
              <w:t>do jiné obce okresu</w:t>
            </w:r>
          </w:p>
        </w:tc>
        <w:tc>
          <w:tcPr>
            <w:tcW w:w="1493" w:type="dxa"/>
            <w:tcBorders>
              <w:top w:val="single" w:sz="4" w:space="0" w:color="auto"/>
              <w:left w:val="nil"/>
              <w:bottom w:val="single" w:sz="4" w:space="0" w:color="auto"/>
              <w:right w:val="single" w:sz="4" w:space="0" w:color="auto"/>
            </w:tcBorders>
            <w:shd w:val="clear" w:color="auto" w:fill="auto"/>
            <w:vAlign w:val="center"/>
          </w:tcPr>
          <w:p w14:paraId="3575C26A" w14:textId="77777777" w:rsidR="00954688" w:rsidRPr="006E55BA" w:rsidRDefault="00954688" w:rsidP="000C49A5">
            <w:pPr>
              <w:spacing w:before="0"/>
              <w:jc w:val="right"/>
              <w:rPr>
                <w:rFonts w:eastAsia="Times New Roman" w:cstheme="minorHAnsi"/>
                <w:color w:val="000000"/>
                <w:sz w:val="18"/>
                <w:szCs w:val="20"/>
                <w:lang w:eastAsia="cs-CZ"/>
              </w:rPr>
            </w:pPr>
            <w:r>
              <w:rPr>
                <w:rFonts w:eastAsia="Times New Roman" w:cstheme="minorHAnsi"/>
                <w:color w:val="000000"/>
                <w:sz w:val="18"/>
                <w:szCs w:val="20"/>
                <w:lang w:eastAsia="cs-CZ"/>
              </w:rPr>
              <w:t xml:space="preserve">2 776 </w:t>
            </w:r>
          </w:p>
        </w:tc>
      </w:tr>
      <w:tr w:rsidR="00954688" w:rsidRPr="006E55BA" w14:paraId="56B4561E" w14:textId="77777777" w:rsidTr="000C49A5">
        <w:trPr>
          <w:trHeight w:val="254"/>
        </w:trPr>
        <w:tc>
          <w:tcPr>
            <w:tcW w:w="714"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FF6A7F1" w14:textId="77777777" w:rsidR="00954688" w:rsidRPr="006E55BA" w:rsidRDefault="00954688" w:rsidP="000C49A5">
            <w:pPr>
              <w:spacing w:before="0"/>
              <w:jc w:val="left"/>
              <w:rPr>
                <w:rFonts w:eastAsia="Times New Roman" w:cstheme="minorHAnsi"/>
                <w:color w:val="000000"/>
                <w:sz w:val="18"/>
                <w:szCs w:val="20"/>
                <w:lang w:eastAsia="cs-CZ"/>
              </w:rPr>
            </w:pPr>
          </w:p>
        </w:tc>
        <w:tc>
          <w:tcPr>
            <w:tcW w:w="278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495B966" w14:textId="77777777" w:rsidR="00954688" w:rsidRPr="006E55BA" w:rsidRDefault="00954688" w:rsidP="000C49A5">
            <w:pPr>
              <w:spacing w:before="0"/>
              <w:jc w:val="left"/>
              <w:rPr>
                <w:rFonts w:eastAsia="Times New Roman" w:cstheme="minorHAnsi"/>
                <w:color w:val="000000"/>
                <w:sz w:val="18"/>
                <w:szCs w:val="20"/>
                <w:lang w:eastAsia="cs-CZ"/>
              </w:rPr>
            </w:pPr>
            <w:r w:rsidRPr="006E55BA">
              <w:rPr>
                <w:rFonts w:eastAsia="Times New Roman" w:cstheme="minorHAnsi"/>
                <w:color w:val="000000"/>
                <w:sz w:val="18"/>
                <w:szCs w:val="20"/>
                <w:lang w:eastAsia="cs-CZ"/>
              </w:rPr>
              <w:t>do jiného okresu kraje</w:t>
            </w:r>
          </w:p>
        </w:tc>
        <w:tc>
          <w:tcPr>
            <w:tcW w:w="1493" w:type="dxa"/>
            <w:tcBorders>
              <w:top w:val="single" w:sz="4" w:space="0" w:color="auto"/>
              <w:left w:val="nil"/>
              <w:bottom w:val="single" w:sz="4" w:space="0" w:color="auto"/>
              <w:right w:val="single" w:sz="4" w:space="0" w:color="auto"/>
            </w:tcBorders>
            <w:shd w:val="clear" w:color="auto" w:fill="auto"/>
            <w:vAlign w:val="center"/>
          </w:tcPr>
          <w:p w14:paraId="4EF6374D" w14:textId="77777777" w:rsidR="00954688" w:rsidRPr="006E55BA" w:rsidRDefault="00954688" w:rsidP="000C49A5">
            <w:pPr>
              <w:spacing w:before="0"/>
              <w:jc w:val="right"/>
              <w:rPr>
                <w:rFonts w:eastAsia="Times New Roman" w:cstheme="minorHAnsi"/>
                <w:color w:val="000000"/>
                <w:sz w:val="18"/>
                <w:szCs w:val="20"/>
                <w:lang w:eastAsia="cs-CZ"/>
              </w:rPr>
            </w:pPr>
            <w:r>
              <w:rPr>
                <w:rFonts w:eastAsia="Times New Roman" w:cstheme="minorHAnsi"/>
                <w:color w:val="000000"/>
                <w:sz w:val="18"/>
                <w:szCs w:val="20"/>
                <w:lang w:eastAsia="cs-CZ"/>
              </w:rPr>
              <w:t>631</w:t>
            </w:r>
          </w:p>
        </w:tc>
      </w:tr>
      <w:tr w:rsidR="00954688" w:rsidRPr="006E55BA" w14:paraId="3CD9CFB5" w14:textId="77777777" w:rsidTr="000C49A5">
        <w:trPr>
          <w:trHeight w:val="265"/>
        </w:trPr>
        <w:tc>
          <w:tcPr>
            <w:tcW w:w="714"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F58B23C" w14:textId="77777777" w:rsidR="00954688" w:rsidRPr="006E55BA" w:rsidRDefault="00954688" w:rsidP="000C49A5">
            <w:pPr>
              <w:spacing w:before="0"/>
              <w:jc w:val="left"/>
              <w:rPr>
                <w:rFonts w:eastAsia="Times New Roman" w:cstheme="minorHAnsi"/>
                <w:color w:val="000000"/>
                <w:sz w:val="18"/>
                <w:szCs w:val="20"/>
                <w:lang w:eastAsia="cs-CZ"/>
              </w:rPr>
            </w:pPr>
          </w:p>
        </w:tc>
        <w:tc>
          <w:tcPr>
            <w:tcW w:w="278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8BA92DE" w14:textId="77777777" w:rsidR="00954688" w:rsidRPr="006E55BA" w:rsidRDefault="00954688" w:rsidP="000C49A5">
            <w:pPr>
              <w:spacing w:before="0"/>
              <w:jc w:val="left"/>
              <w:rPr>
                <w:rFonts w:eastAsia="Times New Roman" w:cstheme="minorHAnsi"/>
                <w:color w:val="000000"/>
                <w:sz w:val="18"/>
                <w:szCs w:val="20"/>
                <w:lang w:eastAsia="cs-CZ"/>
              </w:rPr>
            </w:pPr>
            <w:r w:rsidRPr="006E55BA">
              <w:rPr>
                <w:rFonts w:eastAsia="Times New Roman" w:cstheme="minorHAnsi"/>
                <w:color w:val="000000"/>
                <w:sz w:val="18"/>
                <w:szCs w:val="20"/>
                <w:lang w:eastAsia="cs-CZ"/>
              </w:rPr>
              <w:t>do jiného kraje</w:t>
            </w:r>
          </w:p>
        </w:tc>
        <w:tc>
          <w:tcPr>
            <w:tcW w:w="1493" w:type="dxa"/>
            <w:tcBorders>
              <w:top w:val="single" w:sz="4" w:space="0" w:color="auto"/>
              <w:left w:val="nil"/>
              <w:bottom w:val="single" w:sz="4" w:space="0" w:color="auto"/>
              <w:right w:val="single" w:sz="4" w:space="0" w:color="auto"/>
            </w:tcBorders>
            <w:shd w:val="clear" w:color="auto" w:fill="auto"/>
            <w:vAlign w:val="center"/>
          </w:tcPr>
          <w:p w14:paraId="58A13E24" w14:textId="77777777" w:rsidR="00954688" w:rsidRPr="006E55BA" w:rsidRDefault="00954688" w:rsidP="000C49A5">
            <w:pPr>
              <w:spacing w:before="0"/>
              <w:jc w:val="right"/>
              <w:rPr>
                <w:rFonts w:eastAsia="Times New Roman" w:cstheme="minorHAnsi"/>
                <w:color w:val="000000"/>
                <w:sz w:val="18"/>
                <w:szCs w:val="20"/>
                <w:lang w:eastAsia="cs-CZ"/>
              </w:rPr>
            </w:pPr>
            <w:r>
              <w:rPr>
                <w:rFonts w:eastAsia="Times New Roman" w:cstheme="minorHAnsi"/>
                <w:color w:val="000000"/>
                <w:sz w:val="18"/>
                <w:szCs w:val="20"/>
                <w:lang w:eastAsia="cs-CZ"/>
              </w:rPr>
              <w:t>759</w:t>
            </w:r>
          </w:p>
        </w:tc>
      </w:tr>
      <w:tr w:rsidR="00954688" w:rsidRPr="006E55BA" w14:paraId="41B1C4B0" w14:textId="77777777" w:rsidTr="000C49A5">
        <w:trPr>
          <w:trHeight w:val="265"/>
        </w:trPr>
        <w:tc>
          <w:tcPr>
            <w:tcW w:w="714"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B022A6C" w14:textId="77777777" w:rsidR="00954688" w:rsidRPr="006E55BA" w:rsidRDefault="00954688" w:rsidP="000C49A5">
            <w:pPr>
              <w:spacing w:before="0"/>
              <w:jc w:val="left"/>
              <w:rPr>
                <w:rFonts w:eastAsia="Times New Roman" w:cstheme="minorHAnsi"/>
                <w:color w:val="000000"/>
                <w:sz w:val="18"/>
                <w:szCs w:val="20"/>
                <w:lang w:eastAsia="cs-CZ"/>
              </w:rPr>
            </w:pPr>
          </w:p>
        </w:tc>
        <w:tc>
          <w:tcPr>
            <w:tcW w:w="278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D2238A3" w14:textId="77777777" w:rsidR="00954688" w:rsidRPr="006E55BA" w:rsidRDefault="00954688" w:rsidP="000C49A5">
            <w:pPr>
              <w:spacing w:before="0"/>
              <w:jc w:val="left"/>
              <w:rPr>
                <w:rFonts w:eastAsia="Times New Roman" w:cstheme="minorHAnsi"/>
                <w:color w:val="000000"/>
                <w:sz w:val="18"/>
                <w:szCs w:val="20"/>
                <w:lang w:eastAsia="cs-CZ"/>
              </w:rPr>
            </w:pPr>
            <w:r w:rsidRPr="006E55BA">
              <w:rPr>
                <w:rFonts w:eastAsia="Times New Roman" w:cstheme="minorHAnsi"/>
                <w:color w:val="000000"/>
                <w:sz w:val="18"/>
                <w:szCs w:val="20"/>
                <w:lang w:eastAsia="cs-CZ"/>
              </w:rPr>
              <w:t>do zahraničí</w:t>
            </w:r>
          </w:p>
        </w:tc>
        <w:tc>
          <w:tcPr>
            <w:tcW w:w="1493" w:type="dxa"/>
            <w:tcBorders>
              <w:top w:val="single" w:sz="4" w:space="0" w:color="auto"/>
              <w:left w:val="nil"/>
              <w:bottom w:val="single" w:sz="4" w:space="0" w:color="auto"/>
              <w:right w:val="single" w:sz="4" w:space="0" w:color="auto"/>
            </w:tcBorders>
            <w:shd w:val="clear" w:color="auto" w:fill="auto"/>
            <w:vAlign w:val="center"/>
          </w:tcPr>
          <w:p w14:paraId="54E3C963" w14:textId="77777777" w:rsidR="00954688" w:rsidRPr="006E55BA" w:rsidRDefault="00954688" w:rsidP="000C49A5">
            <w:pPr>
              <w:spacing w:before="0"/>
              <w:jc w:val="right"/>
              <w:rPr>
                <w:rFonts w:eastAsia="Times New Roman" w:cstheme="minorHAnsi"/>
                <w:color w:val="000000"/>
                <w:sz w:val="18"/>
                <w:szCs w:val="20"/>
                <w:lang w:eastAsia="cs-CZ"/>
              </w:rPr>
            </w:pPr>
            <w:r>
              <w:rPr>
                <w:rFonts w:eastAsia="Times New Roman" w:cstheme="minorHAnsi"/>
                <w:color w:val="000000"/>
                <w:sz w:val="18"/>
                <w:szCs w:val="20"/>
                <w:lang w:eastAsia="cs-CZ"/>
              </w:rPr>
              <w:t>311</w:t>
            </w:r>
          </w:p>
        </w:tc>
      </w:tr>
    </w:tbl>
    <w:p w14:paraId="5BD37917" w14:textId="37DC4F99" w:rsidR="00954688" w:rsidRDefault="00954688" w:rsidP="00954688">
      <w:pPr>
        <w:pStyle w:val="Zdroj"/>
      </w:pPr>
      <w:r>
        <w:t>Zdroj: ČSÚ,</w:t>
      </w:r>
      <w:r w:rsidRPr="006E55BA">
        <w:t xml:space="preserve"> SLDB 2011</w:t>
      </w:r>
      <w:r w:rsidR="00EA1422">
        <w:t>.</w:t>
      </w:r>
    </w:p>
    <w:p w14:paraId="5AD9496F" w14:textId="290E4052" w:rsidR="00954688" w:rsidRDefault="00954688" w:rsidP="00954688">
      <w:pPr>
        <w:pStyle w:val="Titulek"/>
        <w:keepNext/>
        <w:keepLines/>
      </w:pPr>
      <w:bookmarkStart w:id="418" w:name="_Toc53066196"/>
      <w:bookmarkStart w:id="419" w:name="_Toc77074902"/>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84</w:t>
      </w:r>
      <w:r w:rsidR="00804AF3">
        <w:rPr>
          <w:noProof/>
        </w:rPr>
        <w:fldChar w:fldCharType="end"/>
      </w:r>
      <w:r w:rsidR="00EA1422">
        <w:rPr>
          <w:noProof/>
        </w:rPr>
        <w:t>:</w:t>
      </w:r>
      <w:r>
        <w:t xml:space="preserve"> Obce dojížďky osob vyjíždějících ze Zlína do zaměstnání v roce 2011</w:t>
      </w:r>
      <w:bookmarkEnd w:id="418"/>
      <w:bookmarkEnd w:id="419"/>
    </w:p>
    <w:p w14:paraId="5CE31E9C" w14:textId="77777777" w:rsidR="00954688" w:rsidRDefault="00954688" w:rsidP="00954688">
      <w:pPr>
        <w:pStyle w:val="Zdroj"/>
      </w:pPr>
      <w:r>
        <w:rPr>
          <w:noProof/>
        </w:rPr>
        <w:drawing>
          <wp:inline distT="0" distB="0" distL="0" distR="0" wp14:anchorId="49060785" wp14:editId="3085F280">
            <wp:extent cx="5760000" cy="2743200"/>
            <wp:effectExtent l="0" t="0" r="12700" b="0"/>
            <wp:docPr id="333" name="Graf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101A271C" w14:textId="5397B017" w:rsidR="00954688" w:rsidRDefault="00954688" w:rsidP="00954688">
      <w:pPr>
        <w:pStyle w:val="Zdroj"/>
      </w:pPr>
      <w:r>
        <w:t>Zdroj: ČSÚ,</w:t>
      </w:r>
      <w:r w:rsidRPr="006E55BA">
        <w:t xml:space="preserve"> SLDB 2011</w:t>
      </w:r>
      <w:r w:rsidR="00EA1422">
        <w:t>.</w:t>
      </w:r>
    </w:p>
    <w:p w14:paraId="565B07E1" w14:textId="77777777" w:rsidR="00954688" w:rsidRDefault="00954688" w:rsidP="00CC4E09">
      <w:r>
        <w:t xml:space="preserve">V anketním </w:t>
      </w:r>
      <w:r w:rsidRPr="00DA7ABE">
        <w:t>šetření spokojenosti obyvatel města Zlín 2020</w:t>
      </w:r>
      <w:r>
        <w:t xml:space="preserve"> respondenti hodnotili n</w:t>
      </w:r>
      <w:r w:rsidRPr="00DA7ABE">
        <w:t xml:space="preserve">abídku pracovních příležitostí </w:t>
      </w:r>
      <w:r>
        <w:t xml:space="preserve">ve městě. </w:t>
      </w:r>
      <w:r w:rsidRPr="003D492B">
        <w:t xml:space="preserve">S nabídkou pracovních příležitostí jsou nejvíce spokojeni studenti UTB </w:t>
      </w:r>
      <w:r>
        <w:t>(</w:t>
      </w:r>
      <w:r w:rsidRPr="003D492B">
        <w:t>možnosti velmi spokojen/a a</w:t>
      </w:r>
      <w:r>
        <w:t> </w:t>
      </w:r>
      <w:r w:rsidRPr="003D492B">
        <w:t xml:space="preserve">spíše spokojen/a zvolilo </w:t>
      </w:r>
      <w:r>
        <w:t xml:space="preserve">celkem </w:t>
      </w:r>
      <w:r w:rsidRPr="003D492B">
        <w:t>35,6 %), následováni respondenty, kteří nemají ve Zlíně trvalé bydliště (32,9 %). Spokojenost občanů s nabídkou pracovních příležitostí je 25,3 %. Naopak nespokojenost (možnosti velmi nespokojen/a a spíše nespokojen/a) je nejvyšší u respondentů, kteří nemají ve Zlíně trvalé bydliště (25,4 %), poté u studentů UTB (24,5 %) a následují občané Zlína (21,2 %).</w:t>
      </w:r>
    </w:p>
    <w:p w14:paraId="7D4A311B" w14:textId="511988C2" w:rsidR="00954688" w:rsidRPr="00DA7ABE" w:rsidRDefault="00954688" w:rsidP="00954688">
      <w:pPr>
        <w:pStyle w:val="Titulek"/>
        <w:rPr>
          <w:rFonts w:cstheme="minorHAnsi"/>
        </w:rPr>
      </w:pPr>
      <w:r w:rsidRPr="003D492B">
        <w:rPr>
          <w:rFonts w:cstheme="minorHAnsi"/>
        </w:rPr>
        <w:t xml:space="preserve"> </w:t>
      </w:r>
      <w:bookmarkStart w:id="420" w:name="_Toc53066197"/>
      <w:bookmarkStart w:id="421" w:name="_Toc7707490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85</w:t>
      </w:r>
      <w:r w:rsidR="00804AF3">
        <w:rPr>
          <w:noProof/>
        </w:rPr>
        <w:fldChar w:fldCharType="end"/>
      </w:r>
      <w:r w:rsidR="00EA1422">
        <w:rPr>
          <w:noProof/>
        </w:rPr>
        <w:t>:</w:t>
      </w:r>
      <w:r>
        <w:t xml:space="preserve"> </w:t>
      </w:r>
      <w:r w:rsidRPr="0041708F">
        <w:rPr>
          <w:iCs w:val="0"/>
        </w:rPr>
        <w:t>Spokojenost s nabídkou pracovních příležitostí</w:t>
      </w:r>
      <w:bookmarkEnd w:id="420"/>
      <w:bookmarkEnd w:id="421"/>
    </w:p>
    <w:p w14:paraId="224AC801" w14:textId="77777777" w:rsidR="00954688" w:rsidRPr="00DA7ABE" w:rsidRDefault="00954688" w:rsidP="00954688">
      <w:pPr>
        <w:rPr>
          <w:rFonts w:cstheme="minorHAnsi"/>
        </w:rPr>
      </w:pPr>
      <w:r>
        <w:rPr>
          <w:rFonts w:cstheme="minorHAnsi"/>
          <w:noProof/>
          <w:lang w:eastAsia="cs-CZ"/>
        </w:rPr>
        <w:drawing>
          <wp:inline distT="0" distB="0" distL="0" distR="0" wp14:anchorId="56C8693C" wp14:editId="617A0B78">
            <wp:extent cx="5760720" cy="2143302"/>
            <wp:effectExtent l="0" t="0" r="0" b="952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720" cy="2143302"/>
                    </a:xfrm>
                    <a:prstGeom prst="rect">
                      <a:avLst/>
                    </a:prstGeom>
                    <a:noFill/>
                  </pic:spPr>
                </pic:pic>
              </a:graphicData>
            </a:graphic>
          </wp:inline>
        </w:drawing>
      </w:r>
    </w:p>
    <w:p w14:paraId="29E7971F" w14:textId="33DCDACB" w:rsidR="00954688" w:rsidRPr="00DA7ABE" w:rsidRDefault="00954688" w:rsidP="00954688">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 Otázka 9</w:t>
      </w:r>
      <w:r w:rsidR="00EA1422">
        <w:rPr>
          <w:rFonts w:asciiTheme="minorHAnsi" w:hAnsiTheme="minorHAnsi" w:cstheme="minorHAnsi"/>
        </w:rPr>
        <w:t>:</w:t>
      </w:r>
      <w:r w:rsidRPr="00DA7ABE">
        <w:rPr>
          <w:rFonts w:asciiTheme="minorHAnsi" w:hAnsiTheme="minorHAnsi" w:cstheme="minorHAnsi"/>
        </w:rPr>
        <w:t xml:space="preserve"> Jak jste s pokojeni s nabídkou pracovních příležitostí ve Zlíně?</w:t>
      </w:r>
    </w:p>
    <w:p w14:paraId="349D420D" w14:textId="77777777" w:rsidR="00954688" w:rsidRDefault="00954688" w:rsidP="00954688">
      <w:pPr>
        <w:rPr>
          <w:rFonts w:cstheme="minorHAnsi"/>
        </w:rPr>
      </w:pPr>
      <w:r>
        <w:rPr>
          <w:rFonts w:cstheme="minorHAnsi"/>
        </w:rPr>
        <w:t>Hlavním důvodem nespokojenosti respondentů s nabídkou pracovních příležitostí ve Zlíně jsou nízké mzdy a málo pracovních příležitostí v jimi zvoleném oboru, především také v oborech, které je ve Zlíně přímo možnost vystudovat. Také psali, že lepší nabídky jsou k nalezení v jiných městech. Chyběly jim větší firmy, uváděli špatné podmínky pro podnikatele a nedostupná zaměstnání pro různé skupiny obyvatel (zmiňovány téměř všechny skupiny obyvatel: vysokoškolsky vzdělaní, občané středního věku, studenti a mladí bez praxe, matky s dětmi, ZTP, ženy, středoškolsky vzdělaní, brigády pro penzisty).</w:t>
      </w:r>
    </w:p>
    <w:p w14:paraId="0FFBB2A2" w14:textId="77777777" w:rsidR="00954688" w:rsidRDefault="00954688" w:rsidP="00954688">
      <w:pPr>
        <w:rPr>
          <w:rFonts w:cstheme="minorHAnsi"/>
        </w:rPr>
      </w:pPr>
      <w:r>
        <w:rPr>
          <w:rFonts w:cstheme="minorHAnsi"/>
        </w:rPr>
        <w:t xml:space="preserve">Konkrétně studenti UTB jsou nejvíce nespokojeni s nedostatkem pracovních příležitostí v oboru a s nízkými mzdami. </w:t>
      </w:r>
    </w:p>
    <w:p w14:paraId="4600B663" w14:textId="77777777" w:rsidR="00954688" w:rsidRDefault="00954688" w:rsidP="00954688">
      <w:pPr>
        <w:keepNext/>
      </w:pPr>
      <w:r>
        <w:lastRenderedPageBreak/>
        <w:t>Seznam oborů, které respondentům ve Zlíně chybí (pokud byly v rámci odpovědi zmíněny):</w:t>
      </w:r>
    </w:p>
    <w:tbl>
      <w:tblPr>
        <w:tblW w:w="5000" w:type="pct"/>
        <w:tblCellMar>
          <w:left w:w="70" w:type="dxa"/>
          <w:right w:w="70" w:type="dxa"/>
        </w:tblCellMar>
        <w:tblLook w:val="04A0" w:firstRow="1" w:lastRow="0" w:firstColumn="1" w:lastColumn="0" w:noHBand="0" w:noVBand="1"/>
      </w:tblPr>
      <w:tblGrid>
        <w:gridCol w:w="2586"/>
        <w:gridCol w:w="12"/>
        <w:gridCol w:w="3889"/>
        <w:gridCol w:w="2585"/>
      </w:tblGrid>
      <w:tr w:rsidR="00954688" w14:paraId="5AE30334" w14:textId="77777777" w:rsidTr="000C49A5">
        <w:trPr>
          <w:trHeight w:val="240"/>
        </w:trPr>
        <w:tc>
          <w:tcPr>
            <w:tcW w:w="1667" w:type="pct"/>
            <w:noWrap/>
            <w:vAlign w:val="bottom"/>
            <w:hideMark/>
          </w:tcPr>
          <w:p w14:paraId="2461BD06"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administrativa (4x)</w:t>
            </w:r>
          </w:p>
        </w:tc>
        <w:tc>
          <w:tcPr>
            <w:tcW w:w="1667" w:type="pct"/>
            <w:gridSpan w:val="2"/>
            <w:noWrap/>
            <w:vAlign w:val="bottom"/>
            <w:hideMark/>
          </w:tcPr>
          <w:p w14:paraId="549D467A"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cestovní ruch</w:t>
            </w:r>
          </w:p>
        </w:tc>
        <w:tc>
          <w:tcPr>
            <w:tcW w:w="1667" w:type="pct"/>
            <w:noWrap/>
            <w:vAlign w:val="bottom"/>
            <w:hideMark/>
          </w:tcPr>
          <w:p w14:paraId="30A5921C"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průmysl</w:t>
            </w:r>
          </w:p>
        </w:tc>
      </w:tr>
      <w:tr w:rsidR="00954688" w14:paraId="3BC15288" w14:textId="77777777" w:rsidTr="000C49A5">
        <w:trPr>
          <w:trHeight w:val="240"/>
        </w:trPr>
        <w:tc>
          <w:tcPr>
            <w:tcW w:w="1667" w:type="pct"/>
            <w:noWrap/>
            <w:vAlign w:val="bottom"/>
            <w:hideMark/>
          </w:tcPr>
          <w:p w14:paraId="51FEC339"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IT (4x)</w:t>
            </w:r>
          </w:p>
        </w:tc>
        <w:tc>
          <w:tcPr>
            <w:tcW w:w="1667" w:type="pct"/>
            <w:gridSpan w:val="2"/>
            <w:noWrap/>
            <w:vAlign w:val="bottom"/>
            <w:hideMark/>
          </w:tcPr>
          <w:p w14:paraId="359439AC"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fotograf</w:t>
            </w:r>
          </w:p>
        </w:tc>
        <w:tc>
          <w:tcPr>
            <w:tcW w:w="1667" w:type="pct"/>
            <w:noWrap/>
            <w:vAlign w:val="bottom"/>
            <w:hideMark/>
          </w:tcPr>
          <w:p w14:paraId="12755EC4"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recepční</w:t>
            </w:r>
          </w:p>
        </w:tc>
      </w:tr>
      <w:tr w:rsidR="00954688" w14:paraId="5263EC0F" w14:textId="77777777" w:rsidTr="000C49A5">
        <w:trPr>
          <w:trHeight w:val="240"/>
        </w:trPr>
        <w:tc>
          <w:tcPr>
            <w:tcW w:w="1667" w:type="pct"/>
            <w:noWrap/>
            <w:vAlign w:val="bottom"/>
            <w:hideMark/>
          </w:tcPr>
          <w:p w14:paraId="0287F045"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jazyky (3x)</w:t>
            </w:r>
          </w:p>
        </w:tc>
        <w:tc>
          <w:tcPr>
            <w:tcW w:w="1667" w:type="pct"/>
            <w:gridSpan w:val="2"/>
            <w:noWrap/>
            <w:vAlign w:val="bottom"/>
            <w:hideMark/>
          </w:tcPr>
          <w:p w14:paraId="341937C5"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inovativní obory</w:t>
            </w:r>
          </w:p>
        </w:tc>
        <w:tc>
          <w:tcPr>
            <w:tcW w:w="1667" w:type="pct"/>
            <w:noWrap/>
            <w:vAlign w:val="bottom"/>
            <w:hideMark/>
          </w:tcPr>
          <w:p w14:paraId="467D5CF5"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řízení</w:t>
            </w:r>
          </w:p>
        </w:tc>
      </w:tr>
      <w:tr w:rsidR="00954688" w14:paraId="18F43064" w14:textId="77777777" w:rsidTr="000C49A5">
        <w:trPr>
          <w:trHeight w:val="240"/>
        </w:trPr>
        <w:tc>
          <w:tcPr>
            <w:tcW w:w="1667" w:type="pct"/>
            <w:noWrap/>
            <w:vAlign w:val="bottom"/>
            <w:hideMark/>
          </w:tcPr>
          <w:p w14:paraId="5E63D91C"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účetnictví (3x)</w:t>
            </w:r>
          </w:p>
        </w:tc>
        <w:tc>
          <w:tcPr>
            <w:tcW w:w="1667" w:type="pct"/>
            <w:gridSpan w:val="2"/>
            <w:noWrap/>
            <w:vAlign w:val="bottom"/>
            <w:hideMark/>
          </w:tcPr>
          <w:p w14:paraId="378CE2F6"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kancelářská práce</w:t>
            </w:r>
          </w:p>
        </w:tc>
        <w:tc>
          <w:tcPr>
            <w:tcW w:w="1667" w:type="pct"/>
            <w:noWrap/>
            <w:vAlign w:val="bottom"/>
            <w:hideMark/>
          </w:tcPr>
          <w:p w14:paraId="32EBBE66"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startupy</w:t>
            </w:r>
          </w:p>
        </w:tc>
      </w:tr>
      <w:tr w:rsidR="00954688" w14:paraId="5A14D56C" w14:textId="77777777" w:rsidTr="000C49A5">
        <w:trPr>
          <w:trHeight w:val="240"/>
        </w:trPr>
        <w:tc>
          <w:tcPr>
            <w:tcW w:w="1667" w:type="pct"/>
            <w:noWrap/>
            <w:vAlign w:val="bottom"/>
            <w:hideMark/>
          </w:tcPr>
          <w:p w14:paraId="6AF11DEE"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kreativní obory (2x)</w:t>
            </w:r>
          </w:p>
        </w:tc>
        <w:tc>
          <w:tcPr>
            <w:tcW w:w="1667" w:type="pct"/>
            <w:gridSpan w:val="2"/>
            <w:noWrap/>
            <w:vAlign w:val="bottom"/>
            <w:hideMark/>
          </w:tcPr>
          <w:p w14:paraId="3F1616BE"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manažerské zdravotnické pozice</w:t>
            </w:r>
          </w:p>
        </w:tc>
        <w:tc>
          <w:tcPr>
            <w:tcW w:w="1667" w:type="pct"/>
            <w:noWrap/>
            <w:vAlign w:val="bottom"/>
            <w:hideMark/>
          </w:tcPr>
          <w:p w14:paraId="4D73446D"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strojírenství</w:t>
            </w:r>
          </w:p>
        </w:tc>
      </w:tr>
      <w:tr w:rsidR="00954688" w14:paraId="616C7ADF" w14:textId="77777777" w:rsidTr="000C49A5">
        <w:trPr>
          <w:trHeight w:val="240"/>
        </w:trPr>
        <w:tc>
          <w:tcPr>
            <w:tcW w:w="1667" w:type="pct"/>
            <w:noWrap/>
            <w:vAlign w:val="bottom"/>
            <w:hideMark/>
          </w:tcPr>
          <w:p w14:paraId="6C4C898A"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kreativní průmysl (2x)</w:t>
            </w:r>
          </w:p>
        </w:tc>
        <w:tc>
          <w:tcPr>
            <w:tcW w:w="1667" w:type="pct"/>
            <w:gridSpan w:val="2"/>
            <w:noWrap/>
            <w:vAlign w:val="bottom"/>
            <w:hideMark/>
          </w:tcPr>
          <w:p w14:paraId="4F457642"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molekulární biologie, genetika, biochemie</w:t>
            </w:r>
          </w:p>
        </w:tc>
        <w:tc>
          <w:tcPr>
            <w:tcW w:w="1667" w:type="pct"/>
            <w:noWrap/>
            <w:vAlign w:val="bottom"/>
            <w:hideMark/>
          </w:tcPr>
          <w:p w14:paraId="36D69705"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střední management</w:t>
            </w:r>
          </w:p>
        </w:tc>
      </w:tr>
      <w:tr w:rsidR="00954688" w14:paraId="1BF4F78F" w14:textId="77777777" w:rsidTr="000C49A5">
        <w:trPr>
          <w:trHeight w:val="240"/>
        </w:trPr>
        <w:tc>
          <w:tcPr>
            <w:tcW w:w="1667" w:type="pct"/>
            <w:noWrap/>
            <w:vAlign w:val="bottom"/>
            <w:hideMark/>
          </w:tcPr>
          <w:p w14:paraId="19B2B7F9"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technologické firmy (2x)</w:t>
            </w:r>
          </w:p>
        </w:tc>
        <w:tc>
          <w:tcPr>
            <w:tcW w:w="1667" w:type="pct"/>
            <w:gridSpan w:val="2"/>
            <w:noWrap/>
            <w:vAlign w:val="bottom"/>
            <w:hideMark/>
          </w:tcPr>
          <w:p w14:paraId="784881B4"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pokojská</w:t>
            </w:r>
          </w:p>
        </w:tc>
        <w:tc>
          <w:tcPr>
            <w:tcW w:w="1667" w:type="pct"/>
            <w:noWrap/>
            <w:vAlign w:val="bottom"/>
            <w:hideMark/>
          </w:tcPr>
          <w:p w14:paraId="10A4C3B7"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umělecké obory</w:t>
            </w:r>
          </w:p>
        </w:tc>
      </w:tr>
      <w:tr w:rsidR="00954688" w14:paraId="6536F801" w14:textId="77777777" w:rsidTr="000C49A5">
        <w:trPr>
          <w:trHeight w:val="240"/>
        </w:trPr>
        <w:tc>
          <w:tcPr>
            <w:tcW w:w="1672" w:type="pct"/>
            <w:gridSpan w:val="2"/>
            <w:noWrap/>
            <w:vAlign w:val="bottom"/>
            <w:hideMark/>
          </w:tcPr>
          <w:p w14:paraId="1FC9E5A5"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výroba (2x)</w:t>
            </w:r>
          </w:p>
        </w:tc>
        <w:tc>
          <w:tcPr>
            <w:tcW w:w="3328" w:type="pct"/>
            <w:gridSpan w:val="2"/>
            <w:noWrap/>
            <w:vAlign w:val="bottom"/>
            <w:hideMark/>
          </w:tcPr>
          <w:p w14:paraId="1F7BA35D"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pozice v psychiatrické nemocnici</w:t>
            </w:r>
          </w:p>
        </w:tc>
      </w:tr>
      <w:tr w:rsidR="00954688" w14:paraId="51553768" w14:textId="77777777" w:rsidTr="000C49A5">
        <w:trPr>
          <w:trHeight w:val="240"/>
        </w:trPr>
        <w:tc>
          <w:tcPr>
            <w:tcW w:w="1672" w:type="pct"/>
            <w:gridSpan w:val="2"/>
            <w:noWrap/>
            <w:vAlign w:val="bottom"/>
            <w:hideMark/>
          </w:tcPr>
          <w:p w14:paraId="08D53AAC"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 xml:space="preserve">automatizace </w:t>
            </w:r>
          </w:p>
        </w:tc>
        <w:tc>
          <w:tcPr>
            <w:tcW w:w="3328" w:type="pct"/>
            <w:gridSpan w:val="2"/>
            <w:noWrap/>
            <w:vAlign w:val="bottom"/>
            <w:hideMark/>
          </w:tcPr>
          <w:p w14:paraId="77389912" w14:textId="77777777" w:rsidR="00954688" w:rsidRPr="0041708F" w:rsidRDefault="00954688" w:rsidP="00A55F7D">
            <w:pPr>
              <w:pStyle w:val="Odstavecseseznamem"/>
              <w:keepNext/>
              <w:numPr>
                <w:ilvl w:val="0"/>
                <w:numId w:val="75"/>
              </w:numPr>
              <w:spacing w:before="0"/>
              <w:jc w:val="left"/>
              <w:rPr>
                <w:rFonts w:eastAsia="Times New Roman" w:cstheme="minorHAnsi"/>
                <w:sz w:val="20"/>
                <w:szCs w:val="18"/>
                <w:lang w:eastAsia="cs-CZ"/>
              </w:rPr>
            </w:pPr>
            <w:r w:rsidRPr="0041708F">
              <w:rPr>
                <w:rFonts w:eastAsia="Times New Roman" w:cstheme="minorHAnsi"/>
                <w:sz w:val="20"/>
                <w:szCs w:val="18"/>
                <w:lang w:eastAsia="cs-CZ"/>
              </w:rPr>
              <w:t>práce mimo výrobní linky</w:t>
            </w:r>
          </w:p>
        </w:tc>
      </w:tr>
      <w:tr w:rsidR="00954688" w14:paraId="35C83000" w14:textId="77777777" w:rsidTr="000C49A5">
        <w:trPr>
          <w:trHeight w:val="240"/>
        </w:trPr>
        <w:tc>
          <w:tcPr>
            <w:tcW w:w="1672" w:type="pct"/>
            <w:gridSpan w:val="2"/>
            <w:noWrap/>
            <w:vAlign w:val="bottom"/>
          </w:tcPr>
          <w:p w14:paraId="4D3B71F6" w14:textId="77777777" w:rsidR="00954688" w:rsidRPr="0041708F" w:rsidRDefault="00954688" w:rsidP="000C49A5">
            <w:pPr>
              <w:pStyle w:val="Odstavecseseznamem"/>
              <w:keepNext/>
              <w:spacing w:before="0"/>
              <w:ind w:left="360"/>
              <w:jc w:val="left"/>
              <w:rPr>
                <w:rFonts w:eastAsia="Times New Roman" w:cstheme="minorHAnsi"/>
                <w:sz w:val="20"/>
                <w:szCs w:val="18"/>
                <w:lang w:eastAsia="cs-CZ"/>
              </w:rPr>
            </w:pPr>
          </w:p>
        </w:tc>
        <w:tc>
          <w:tcPr>
            <w:tcW w:w="3328" w:type="pct"/>
            <w:gridSpan w:val="2"/>
            <w:noWrap/>
            <w:vAlign w:val="bottom"/>
          </w:tcPr>
          <w:p w14:paraId="7C8FDAC2" w14:textId="77777777" w:rsidR="00954688" w:rsidRPr="0041708F" w:rsidRDefault="00954688" w:rsidP="000C49A5">
            <w:pPr>
              <w:pStyle w:val="Odstavecseseznamem"/>
              <w:keepNext/>
              <w:spacing w:before="0"/>
              <w:ind w:left="360"/>
              <w:jc w:val="left"/>
              <w:rPr>
                <w:rFonts w:eastAsia="Times New Roman" w:cstheme="minorHAnsi"/>
                <w:sz w:val="20"/>
                <w:szCs w:val="18"/>
                <w:lang w:eastAsia="cs-CZ"/>
              </w:rPr>
            </w:pPr>
          </w:p>
        </w:tc>
      </w:tr>
    </w:tbl>
    <w:p w14:paraId="5BE63CA6" w14:textId="77777777" w:rsidR="00954688" w:rsidRDefault="00954688" w:rsidP="00954688">
      <w:pPr>
        <w:pStyle w:val="Nadpis3"/>
        <w:spacing w:before="40" w:line="259" w:lineRule="auto"/>
        <w:ind w:left="720"/>
      </w:pPr>
      <w:bookmarkStart w:id="422" w:name="_Toc47967094"/>
      <w:bookmarkStart w:id="423" w:name="_Toc53066240"/>
      <w:bookmarkStart w:id="424" w:name="_Toc77074603"/>
      <w:r>
        <w:t>Ekonomická aktivita</w:t>
      </w:r>
      <w:bookmarkEnd w:id="422"/>
      <w:bookmarkEnd w:id="423"/>
      <w:bookmarkEnd w:id="424"/>
    </w:p>
    <w:p w14:paraId="2AB1A58A" w14:textId="77777777" w:rsidR="00954688" w:rsidRDefault="00954688" w:rsidP="00954688">
      <w:pPr>
        <w:rPr>
          <w:rFonts w:cs="Times New Roman"/>
          <w:szCs w:val="18"/>
        </w:rPr>
      </w:pPr>
      <w:r w:rsidRPr="000B0B0D">
        <w:rPr>
          <w:rFonts w:cstheme="minorHAnsi"/>
        </w:rPr>
        <w:t>Ekonomicky aktivní obyvatelstvo tvoří hlavní zdroj pracovní síly, která je nezbytná pro zajištění funkcí a</w:t>
      </w:r>
      <w:r>
        <w:rPr>
          <w:rFonts w:cstheme="minorHAnsi"/>
        </w:rPr>
        <w:t> </w:t>
      </w:r>
      <w:r w:rsidRPr="0089322F">
        <w:rPr>
          <w:rFonts w:cstheme="minorHAnsi"/>
        </w:rPr>
        <w:t xml:space="preserve">rozvoje města. </w:t>
      </w:r>
      <w:r w:rsidRPr="005C0739">
        <w:rPr>
          <w:rFonts w:cs="Times New Roman"/>
          <w:szCs w:val="18"/>
        </w:rPr>
        <w:t>Ekonomicky aktivní obyvatelstvo tvoří zaměstnaní a</w:t>
      </w:r>
      <w:r>
        <w:rPr>
          <w:rFonts w:cs="Times New Roman"/>
          <w:szCs w:val="18"/>
        </w:rPr>
        <w:t> </w:t>
      </w:r>
      <w:r w:rsidRPr="005C0739">
        <w:rPr>
          <w:rFonts w:cs="Times New Roman"/>
          <w:szCs w:val="18"/>
        </w:rPr>
        <w:t xml:space="preserve">nezaměstnaní. Do zaměstnaných náleží zaměstnané osoby, které zahrnují zaměstnance, </w:t>
      </w:r>
      <w:r>
        <w:rPr>
          <w:rFonts w:cs="Times New Roman"/>
          <w:szCs w:val="18"/>
        </w:rPr>
        <w:t>zaměstnavatele a pracující na vlastní účet</w:t>
      </w:r>
      <w:r w:rsidRPr="005C0739">
        <w:rPr>
          <w:rFonts w:cs="Times New Roman"/>
          <w:szCs w:val="18"/>
        </w:rPr>
        <w:t>. Dále do zaměstnaných pracující důchodci a</w:t>
      </w:r>
      <w:r>
        <w:rPr>
          <w:rFonts w:cs="Times New Roman"/>
          <w:szCs w:val="18"/>
        </w:rPr>
        <w:t xml:space="preserve"> ženy </w:t>
      </w:r>
      <w:r w:rsidRPr="005C0739">
        <w:rPr>
          <w:rFonts w:cs="Times New Roman"/>
          <w:szCs w:val="18"/>
        </w:rPr>
        <w:t>na mateřské dovolené.</w:t>
      </w:r>
      <w:r>
        <w:rPr>
          <w:rFonts w:cs="Times New Roman"/>
          <w:szCs w:val="18"/>
        </w:rPr>
        <w:t xml:space="preserve"> </w:t>
      </w:r>
    </w:p>
    <w:p w14:paraId="7C2874EC" w14:textId="203B0B74" w:rsidR="00954688" w:rsidRPr="000B0B0D" w:rsidRDefault="00954688" w:rsidP="00954688">
      <w:pPr>
        <w:rPr>
          <w:rFonts w:cstheme="minorHAnsi"/>
        </w:rPr>
      </w:pPr>
      <w:r>
        <w:rPr>
          <w:rFonts w:cstheme="minorHAnsi"/>
        </w:rPr>
        <w:t>Nejaktuálnější data</w:t>
      </w:r>
      <w:r w:rsidRPr="0089322F">
        <w:rPr>
          <w:rFonts w:cstheme="minorHAnsi"/>
        </w:rPr>
        <w:t xml:space="preserve"> týkaj</w:t>
      </w:r>
      <w:r>
        <w:rPr>
          <w:rFonts w:cstheme="minorHAnsi"/>
        </w:rPr>
        <w:t xml:space="preserve">ící </w:t>
      </w:r>
      <w:r w:rsidRPr="0089322F">
        <w:rPr>
          <w:rFonts w:cstheme="minorHAnsi"/>
        </w:rPr>
        <w:t xml:space="preserve">se </w:t>
      </w:r>
      <w:r>
        <w:rPr>
          <w:rFonts w:cstheme="minorHAnsi"/>
        </w:rPr>
        <w:t>ekonomické aktivity</w:t>
      </w:r>
      <w:r w:rsidRPr="0089322F">
        <w:rPr>
          <w:rFonts w:cstheme="minorHAnsi"/>
        </w:rPr>
        <w:t xml:space="preserve"> </w:t>
      </w:r>
      <w:r>
        <w:rPr>
          <w:rFonts w:cstheme="minorHAnsi"/>
        </w:rPr>
        <w:t>jsou dostupná z</w:t>
      </w:r>
      <w:r w:rsidR="008D7DFD">
        <w:rPr>
          <w:rFonts w:cstheme="minorHAnsi"/>
        </w:rPr>
        <w:t>e</w:t>
      </w:r>
      <w:r w:rsidRPr="0089322F">
        <w:rPr>
          <w:rFonts w:cstheme="minorHAnsi"/>
        </w:rPr>
        <w:t xml:space="preserve"> SLDB </w:t>
      </w:r>
      <w:r>
        <w:rPr>
          <w:rFonts w:cstheme="minorHAnsi"/>
        </w:rPr>
        <w:t xml:space="preserve">z roku </w:t>
      </w:r>
      <w:r w:rsidRPr="0089322F">
        <w:rPr>
          <w:rFonts w:cstheme="minorHAnsi"/>
        </w:rPr>
        <w:t>2011</w:t>
      </w:r>
      <w:r>
        <w:rPr>
          <w:rFonts w:cstheme="minorHAnsi"/>
        </w:rPr>
        <w:t>, kdy ve městě Zlín žilo 37 639 ekonomicky aktivních osob (</w:t>
      </w:r>
      <w:r w:rsidRPr="006F2700">
        <w:rPr>
          <w:rFonts w:cstheme="minorHAnsi"/>
        </w:rPr>
        <w:t>49,9 % obyvatel města</w:t>
      </w:r>
      <w:r>
        <w:rPr>
          <w:rFonts w:cstheme="minorHAnsi"/>
        </w:rPr>
        <w:t xml:space="preserve">) a z toho bylo </w:t>
      </w:r>
      <w:r w:rsidRPr="00570B9E">
        <w:rPr>
          <w:rFonts w:cstheme="minorHAnsi"/>
        </w:rPr>
        <w:t>34</w:t>
      </w:r>
      <w:r w:rsidRPr="006F2700">
        <w:rPr>
          <w:rFonts w:cstheme="minorHAnsi"/>
        </w:rPr>
        <w:t> </w:t>
      </w:r>
      <w:r w:rsidRPr="00570B9E">
        <w:rPr>
          <w:rFonts w:cstheme="minorHAnsi"/>
        </w:rPr>
        <w:t>513</w:t>
      </w:r>
      <w:r>
        <w:rPr>
          <w:rFonts w:eastAsia="Times New Roman" w:cstheme="minorHAnsi"/>
          <w:color w:val="000000"/>
          <w:sz w:val="18"/>
          <w:szCs w:val="18"/>
          <w:lang w:eastAsia="cs-CZ"/>
        </w:rPr>
        <w:t xml:space="preserve"> </w:t>
      </w:r>
      <w:r>
        <w:rPr>
          <w:rFonts w:cstheme="minorHAnsi"/>
        </w:rPr>
        <w:t xml:space="preserve">zaměstnaných (91,7 % ekonomicky aktivního obyvatelstva města). Většina </w:t>
      </w:r>
      <w:r w:rsidRPr="0089322F">
        <w:rPr>
          <w:rFonts w:cstheme="minorHAnsi"/>
        </w:rPr>
        <w:t>zaměstnaných osob (</w:t>
      </w:r>
      <w:r>
        <w:rPr>
          <w:rFonts w:cstheme="minorHAnsi"/>
        </w:rPr>
        <w:t>92,1</w:t>
      </w:r>
      <w:r w:rsidRPr="0089322F">
        <w:rPr>
          <w:rFonts w:cstheme="minorHAnsi"/>
        </w:rPr>
        <w:t> %)</w:t>
      </w:r>
      <w:r>
        <w:rPr>
          <w:rFonts w:cstheme="minorHAnsi"/>
        </w:rPr>
        <w:t xml:space="preserve"> byli</w:t>
      </w:r>
      <w:r w:rsidRPr="0089322F">
        <w:rPr>
          <w:rFonts w:cstheme="minorHAnsi"/>
        </w:rPr>
        <w:t xml:space="preserve"> zaměstnanci, zaměstnavatelé, </w:t>
      </w:r>
      <w:r>
        <w:rPr>
          <w:rFonts w:cstheme="minorHAnsi"/>
        </w:rPr>
        <w:t>pracující na vlastní účet</w:t>
      </w:r>
      <w:r w:rsidRPr="0089322F">
        <w:rPr>
          <w:rFonts w:cstheme="minorHAnsi"/>
        </w:rPr>
        <w:t xml:space="preserve"> (celkem </w:t>
      </w:r>
      <w:r>
        <w:rPr>
          <w:rFonts w:cstheme="minorHAnsi"/>
        </w:rPr>
        <w:t>32 699</w:t>
      </w:r>
      <w:r w:rsidRPr="0089322F">
        <w:rPr>
          <w:rFonts w:cstheme="minorHAnsi"/>
        </w:rPr>
        <w:t xml:space="preserve"> osob). </w:t>
      </w:r>
      <w:r>
        <w:rPr>
          <w:rFonts w:cstheme="minorHAnsi"/>
        </w:rPr>
        <w:t>Důchodci tvořili 5,88</w:t>
      </w:r>
      <w:r w:rsidRPr="0089322F">
        <w:rPr>
          <w:rFonts w:cstheme="minorHAnsi"/>
        </w:rPr>
        <w:t> %</w:t>
      </w:r>
      <w:r>
        <w:rPr>
          <w:rFonts w:cstheme="minorHAnsi"/>
        </w:rPr>
        <w:t xml:space="preserve"> zaměstnaných osob (2 029 </w:t>
      </w:r>
      <w:r w:rsidRPr="0089322F">
        <w:rPr>
          <w:rFonts w:cstheme="minorHAnsi"/>
        </w:rPr>
        <w:t>osob) a</w:t>
      </w:r>
      <w:r>
        <w:rPr>
          <w:rFonts w:cstheme="minorHAnsi"/>
        </w:rPr>
        <w:t> ženy</w:t>
      </w:r>
      <w:r w:rsidRPr="0089322F">
        <w:rPr>
          <w:rFonts w:cstheme="minorHAnsi"/>
        </w:rPr>
        <w:t xml:space="preserve"> na mateřské dovolené </w:t>
      </w:r>
      <w:r>
        <w:rPr>
          <w:rFonts w:cstheme="minorHAnsi"/>
        </w:rPr>
        <w:t xml:space="preserve">2,05 % </w:t>
      </w:r>
      <w:r w:rsidRPr="0089322F">
        <w:rPr>
          <w:rFonts w:cstheme="minorHAnsi"/>
        </w:rPr>
        <w:t>(</w:t>
      </w:r>
      <w:r>
        <w:rPr>
          <w:rFonts w:cstheme="minorHAnsi"/>
        </w:rPr>
        <w:t>708 osob</w:t>
      </w:r>
      <w:r w:rsidRPr="0089322F">
        <w:rPr>
          <w:rFonts w:cstheme="minorHAnsi"/>
        </w:rPr>
        <w:t>).</w:t>
      </w:r>
    </w:p>
    <w:p w14:paraId="371A811D" w14:textId="6FAC44F5" w:rsidR="00954688" w:rsidRDefault="00954688" w:rsidP="00954688">
      <w:pPr>
        <w:pStyle w:val="Titulek"/>
        <w:keepNext/>
        <w:keepLines/>
      </w:pPr>
      <w:bookmarkStart w:id="425" w:name="_Toc53066219"/>
      <w:bookmarkStart w:id="426" w:name="_Toc77074741"/>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61</w:t>
      </w:r>
      <w:r w:rsidR="00081B47">
        <w:rPr>
          <w:noProof/>
        </w:rPr>
        <w:fldChar w:fldCharType="end"/>
      </w:r>
      <w:r w:rsidR="008D7DFD">
        <w:rPr>
          <w:noProof/>
        </w:rPr>
        <w:t>:</w:t>
      </w:r>
      <w:r>
        <w:t xml:space="preserve"> </w:t>
      </w:r>
      <w:r w:rsidRPr="00501133">
        <w:t xml:space="preserve">Ekonomická charakteristika obyvatel </w:t>
      </w:r>
      <w:r>
        <w:t xml:space="preserve">města Zlín </w:t>
      </w:r>
      <w:r w:rsidRPr="00501133">
        <w:t>v roce 2011</w:t>
      </w:r>
      <w:bookmarkEnd w:id="425"/>
      <w:bookmarkEnd w:id="426"/>
    </w:p>
    <w:tbl>
      <w:tblPr>
        <w:tblW w:w="8971" w:type="dxa"/>
        <w:tblCellMar>
          <w:left w:w="70" w:type="dxa"/>
          <w:right w:w="70" w:type="dxa"/>
        </w:tblCellMar>
        <w:tblLook w:val="04A0" w:firstRow="1" w:lastRow="0" w:firstColumn="1" w:lastColumn="0" w:noHBand="0" w:noVBand="1"/>
      </w:tblPr>
      <w:tblGrid>
        <w:gridCol w:w="683"/>
        <w:gridCol w:w="1859"/>
        <w:gridCol w:w="2410"/>
        <w:gridCol w:w="1275"/>
        <w:gridCol w:w="1326"/>
        <w:gridCol w:w="1418"/>
      </w:tblGrid>
      <w:tr w:rsidR="00954688" w:rsidRPr="00570B9E" w14:paraId="7D0DA038" w14:textId="77777777" w:rsidTr="000C49A5">
        <w:trPr>
          <w:trHeight w:val="199"/>
        </w:trPr>
        <w:tc>
          <w:tcPr>
            <w:tcW w:w="4952" w:type="dxa"/>
            <w:gridSpan w:val="3"/>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0ED80749" w14:textId="77777777" w:rsidR="00954688" w:rsidRPr="00570B9E" w:rsidRDefault="00954688" w:rsidP="000C49A5">
            <w:pPr>
              <w:spacing w:before="0"/>
              <w:jc w:val="center"/>
              <w:rPr>
                <w:rFonts w:eastAsia="Times New Roman" w:cstheme="minorHAnsi"/>
                <w:color w:val="000000"/>
                <w:sz w:val="18"/>
                <w:szCs w:val="18"/>
                <w:lang w:eastAsia="cs-CZ"/>
              </w:rPr>
            </w:pPr>
          </w:p>
        </w:tc>
        <w:tc>
          <w:tcPr>
            <w:tcW w:w="1275" w:type="dxa"/>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9C3584" w14:textId="77777777" w:rsidR="00954688" w:rsidRPr="00570B9E" w:rsidRDefault="00954688" w:rsidP="000C49A5">
            <w:pPr>
              <w:spacing w:before="0"/>
              <w:jc w:val="center"/>
              <w:rPr>
                <w:rFonts w:eastAsia="Times New Roman" w:cstheme="minorHAnsi"/>
                <w:color w:val="000000"/>
                <w:sz w:val="18"/>
                <w:szCs w:val="18"/>
                <w:lang w:eastAsia="cs-CZ"/>
              </w:rPr>
            </w:pPr>
            <w:r w:rsidRPr="00570B9E">
              <w:rPr>
                <w:rFonts w:eastAsia="Times New Roman" w:cstheme="minorHAnsi"/>
                <w:color w:val="000000"/>
                <w:sz w:val="18"/>
                <w:szCs w:val="18"/>
                <w:lang w:eastAsia="cs-CZ"/>
              </w:rPr>
              <w:t>Celkem</w:t>
            </w:r>
          </w:p>
        </w:tc>
        <w:tc>
          <w:tcPr>
            <w:tcW w:w="1326" w:type="dxa"/>
            <w:tcBorders>
              <w:top w:val="single" w:sz="8" w:space="0" w:color="auto"/>
              <w:left w:val="nil"/>
              <w:bottom w:val="single" w:sz="4" w:space="0" w:color="auto"/>
              <w:right w:val="single" w:sz="4" w:space="0" w:color="auto"/>
            </w:tcBorders>
            <w:shd w:val="clear" w:color="auto" w:fill="F2F2F2" w:themeFill="background1" w:themeFillShade="F2"/>
            <w:vAlign w:val="center"/>
            <w:hideMark/>
          </w:tcPr>
          <w:p w14:paraId="53BDD30E" w14:textId="77777777" w:rsidR="00954688" w:rsidRPr="00570B9E" w:rsidRDefault="00954688" w:rsidP="000C49A5">
            <w:pPr>
              <w:spacing w:before="0"/>
              <w:jc w:val="center"/>
              <w:rPr>
                <w:rFonts w:eastAsia="Times New Roman" w:cstheme="minorHAnsi"/>
                <w:color w:val="000000"/>
                <w:sz w:val="18"/>
                <w:szCs w:val="18"/>
                <w:lang w:eastAsia="cs-CZ"/>
              </w:rPr>
            </w:pPr>
            <w:r>
              <w:rPr>
                <w:rFonts w:eastAsia="Times New Roman" w:cstheme="minorHAnsi"/>
                <w:color w:val="000000"/>
                <w:sz w:val="18"/>
                <w:szCs w:val="18"/>
                <w:lang w:eastAsia="cs-CZ"/>
              </w:rPr>
              <w:t>M</w:t>
            </w:r>
            <w:r w:rsidRPr="00570B9E">
              <w:rPr>
                <w:rFonts w:eastAsia="Times New Roman" w:cstheme="minorHAnsi"/>
                <w:color w:val="000000"/>
                <w:sz w:val="18"/>
                <w:szCs w:val="18"/>
                <w:lang w:eastAsia="cs-CZ"/>
              </w:rPr>
              <w:t>uži</w:t>
            </w:r>
          </w:p>
        </w:tc>
        <w:tc>
          <w:tcPr>
            <w:tcW w:w="1418" w:type="dxa"/>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3456B294" w14:textId="77777777" w:rsidR="00954688" w:rsidRPr="00570B9E" w:rsidRDefault="00954688" w:rsidP="000C49A5">
            <w:pPr>
              <w:spacing w:before="0"/>
              <w:jc w:val="center"/>
              <w:rPr>
                <w:rFonts w:eastAsia="Times New Roman" w:cstheme="minorHAnsi"/>
                <w:color w:val="000000"/>
                <w:sz w:val="18"/>
                <w:szCs w:val="18"/>
                <w:lang w:eastAsia="cs-CZ"/>
              </w:rPr>
            </w:pPr>
            <w:r>
              <w:rPr>
                <w:rFonts w:eastAsia="Times New Roman" w:cstheme="minorHAnsi"/>
                <w:color w:val="000000"/>
                <w:sz w:val="18"/>
                <w:szCs w:val="18"/>
                <w:lang w:eastAsia="cs-CZ"/>
              </w:rPr>
              <w:t>Ž</w:t>
            </w:r>
            <w:r w:rsidRPr="00570B9E">
              <w:rPr>
                <w:rFonts w:eastAsia="Times New Roman" w:cstheme="minorHAnsi"/>
                <w:color w:val="000000"/>
                <w:sz w:val="18"/>
                <w:szCs w:val="18"/>
                <w:lang w:eastAsia="cs-CZ"/>
              </w:rPr>
              <w:t>eny</w:t>
            </w:r>
          </w:p>
        </w:tc>
      </w:tr>
      <w:tr w:rsidR="00954688" w:rsidRPr="00570B9E" w14:paraId="2DBD339D" w14:textId="77777777" w:rsidTr="000C49A5">
        <w:trPr>
          <w:trHeight w:val="199"/>
        </w:trPr>
        <w:tc>
          <w:tcPr>
            <w:tcW w:w="4952" w:type="dxa"/>
            <w:gridSpan w:val="3"/>
            <w:tcBorders>
              <w:top w:val="single" w:sz="4" w:space="0" w:color="auto"/>
              <w:left w:val="single" w:sz="8" w:space="0" w:color="auto"/>
              <w:bottom w:val="single" w:sz="4" w:space="0" w:color="auto"/>
              <w:right w:val="single" w:sz="4" w:space="0" w:color="auto"/>
            </w:tcBorders>
            <w:shd w:val="clear" w:color="auto" w:fill="auto"/>
            <w:vAlign w:val="center"/>
            <w:hideMark/>
          </w:tcPr>
          <w:p w14:paraId="0EC876FD"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Ekonomicky aktivní celkem</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3B897817"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37 639</w:t>
            </w:r>
          </w:p>
        </w:tc>
        <w:tc>
          <w:tcPr>
            <w:tcW w:w="1326" w:type="dxa"/>
            <w:tcBorders>
              <w:top w:val="nil"/>
              <w:left w:val="nil"/>
              <w:bottom w:val="single" w:sz="4" w:space="0" w:color="auto"/>
              <w:right w:val="single" w:sz="4" w:space="0" w:color="auto"/>
            </w:tcBorders>
            <w:shd w:val="clear" w:color="auto" w:fill="auto"/>
            <w:vAlign w:val="center"/>
            <w:hideMark/>
          </w:tcPr>
          <w:p w14:paraId="23D0DC54"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20 032</w:t>
            </w:r>
          </w:p>
        </w:tc>
        <w:tc>
          <w:tcPr>
            <w:tcW w:w="1418" w:type="dxa"/>
            <w:tcBorders>
              <w:top w:val="nil"/>
              <w:left w:val="nil"/>
              <w:bottom w:val="single" w:sz="4" w:space="0" w:color="auto"/>
              <w:right w:val="single" w:sz="8" w:space="0" w:color="auto"/>
            </w:tcBorders>
            <w:shd w:val="clear" w:color="auto" w:fill="auto"/>
            <w:vAlign w:val="center"/>
            <w:hideMark/>
          </w:tcPr>
          <w:p w14:paraId="1EA1516B"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17 607</w:t>
            </w:r>
          </w:p>
        </w:tc>
      </w:tr>
      <w:tr w:rsidR="00954688" w:rsidRPr="00570B9E" w14:paraId="1BF57349" w14:textId="77777777" w:rsidTr="000C49A5">
        <w:trPr>
          <w:trHeight w:val="199"/>
        </w:trPr>
        <w:tc>
          <w:tcPr>
            <w:tcW w:w="683"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4E71DB49"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v tom</w:t>
            </w:r>
          </w:p>
        </w:tc>
        <w:tc>
          <w:tcPr>
            <w:tcW w:w="42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F663C7"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zaměstnaní</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075E7E1F"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34 513</w:t>
            </w:r>
          </w:p>
        </w:tc>
        <w:tc>
          <w:tcPr>
            <w:tcW w:w="1326" w:type="dxa"/>
            <w:tcBorders>
              <w:top w:val="nil"/>
              <w:left w:val="nil"/>
              <w:bottom w:val="single" w:sz="4" w:space="0" w:color="auto"/>
              <w:right w:val="single" w:sz="4" w:space="0" w:color="auto"/>
            </w:tcBorders>
            <w:shd w:val="clear" w:color="auto" w:fill="auto"/>
            <w:vAlign w:val="center"/>
            <w:hideMark/>
          </w:tcPr>
          <w:p w14:paraId="4F1920E9"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18 443</w:t>
            </w:r>
          </w:p>
        </w:tc>
        <w:tc>
          <w:tcPr>
            <w:tcW w:w="1418" w:type="dxa"/>
            <w:tcBorders>
              <w:top w:val="nil"/>
              <w:left w:val="nil"/>
              <w:bottom w:val="single" w:sz="4" w:space="0" w:color="auto"/>
              <w:right w:val="single" w:sz="8" w:space="0" w:color="auto"/>
            </w:tcBorders>
            <w:shd w:val="clear" w:color="auto" w:fill="auto"/>
            <w:vAlign w:val="center"/>
            <w:hideMark/>
          </w:tcPr>
          <w:p w14:paraId="12107216"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16 070</w:t>
            </w:r>
          </w:p>
        </w:tc>
      </w:tr>
      <w:tr w:rsidR="00954688" w:rsidRPr="00570B9E" w14:paraId="40EFA961" w14:textId="77777777" w:rsidTr="000C49A5">
        <w:trPr>
          <w:trHeight w:val="199"/>
        </w:trPr>
        <w:tc>
          <w:tcPr>
            <w:tcW w:w="683" w:type="dxa"/>
            <w:vMerge/>
            <w:tcBorders>
              <w:top w:val="single" w:sz="4" w:space="0" w:color="auto"/>
              <w:left w:val="single" w:sz="8" w:space="0" w:color="auto"/>
              <w:bottom w:val="single" w:sz="4" w:space="0" w:color="auto"/>
              <w:right w:val="single" w:sz="4" w:space="0" w:color="auto"/>
            </w:tcBorders>
            <w:vAlign w:val="center"/>
            <w:hideMark/>
          </w:tcPr>
          <w:p w14:paraId="32548153" w14:textId="77777777" w:rsidR="00954688" w:rsidRPr="00570B9E" w:rsidRDefault="00954688" w:rsidP="000C49A5">
            <w:pPr>
              <w:spacing w:before="0"/>
              <w:jc w:val="left"/>
              <w:rPr>
                <w:rFonts w:eastAsia="Times New Roman" w:cstheme="minorHAnsi"/>
                <w:color w:val="000000"/>
                <w:sz w:val="18"/>
                <w:szCs w:val="18"/>
                <w:lang w:eastAsia="cs-CZ"/>
              </w:rPr>
            </w:pPr>
          </w:p>
        </w:tc>
        <w:tc>
          <w:tcPr>
            <w:tcW w:w="18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F223C4"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z toho podle postavení v zaměstnání</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31581"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zaměstnanci</w:t>
            </w:r>
          </w:p>
        </w:tc>
        <w:tc>
          <w:tcPr>
            <w:tcW w:w="1275" w:type="dxa"/>
            <w:tcBorders>
              <w:top w:val="nil"/>
              <w:left w:val="nil"/>
              <w:bottom w:val="single" w:sz="4" w:space="0" w:color="auto"/>
              <w:right w:val="single" w:sz="4" w:space="0" w:color="auto"/>
            </w:tcBorders>
            <w:shd w:val="clear" w:color="auto" w:fill="auto"/>
            <w:vAlign w:val="center"/>
            <w:hideMark/>
          </w:tcPr>
          <w:p w14:paraId="406CE715"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26 186</w:t>
            </w:r>
          </w:p>
        </w:tc>
        <w:tc>
          <w:tcPr>
            <w:tcW w:w="1326" w:type="dxa"/>
            <w:tcBorders>
              <w:top w:val="nil"/>
              <w:left w:val="nil"/>
              <w:bottom w:val="single" w:sz="4" w:space="0" w:color="auto"/>
              <w:right w:val="single" w:sz="4" w:space="0" w:color="auto"/>
            </w:tcBorders>
            <w:shd w:val="clear" w:color="auto" w:fill="auto"/>
            <w:vAlign w:val="center"/>
            <w:hideMark/>
          </w:tcPr>
          <w:p w14:paraId="2CE9D5B7"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13 057</w:t>
            </w:r>
          </w:p>
        </w:tc>
        <w:tc>
          <w:tcPr>
            <w:tcW w:w="1418" w:type="dxa"/>
            <w:tcBorders>
              <w:top w:val="nil"/>
              <w:left w:val="nil"/>
              <w:bottom w:val="single" w:sz="4" w:space="0" w:color="auto"/>
              <w:right w:val="single" w:sz="8" w:space="0" w:color="auto"/>
            </w:tcBorders>
            <w:shd w:val="clear" w:color="auto" w:fill="auto"/>
            <w:vAlign w:val="center"/>
            <w:hideMark/>
          </w:tcPr>
          <w:p w14:paraId="21B89317"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13 129</w:t>
            </w:r>
          </w:p>
        </w:tc>
      </w:tr>
      <w:tr w:rsidR="00954688" w:rsidRPr="00570B9E" w14:paraId="57E0D1BB" w14:textId="77777777" w:rsidTr="000C49A5">
        <w:trPr>
          <w:trHeight w:val="199"/>
        </w:trPr>
        <w:tc>
          <w:tcPr>
            <w:tcW w:w="683" w:type="dxa"/>
            <w:vMerge/>
            <w:tcBorders>
              <w:top w:val="single" w:sz="4" w:space="0" w:color="auto"/>
              <w:left w:val="single" w:sz="8" w:space="0" w:color="auto"/>
              <w:bottom w:val="single" w:sz="4" w:space="0" w:color="auto"/>
              <w:right w:val="single" w:sz="4" w:space="0" w:color="auto"/>
            </w:tcBorders>
            <w:vAlign w:val="center"/>
            <w:hideMark/>
          </w:tcPr>
          <w:p w14:paraId="4541C7C7" w14:textId="77777777" w:rsidR="00954688" w:rsidRPr="00570B9E" w:rsidRDefault="00954688" w:rsidP="000C49A5">
            <w:pPr>
              <w:spacing w:before="0"/>
              <w:jc w:val="left"/>
              <w:rPr>
                <w:rFonts w:eastAsia="Times New Roman" w:cstheme="minorHAnsi"/>
                <w:color w:val="000000"/>
                <w:sz w:val="18"/>
                <w:szCs w:val="18"/>
                <w:lang w:eastAsia="cs-CZ"/>
              </w:rPr>
            </w:pPr>
          </w:p>
        </w:tc>
        <w:tc>
          <w:tcPr>
            <w:tcW w:w="1859" w:type="dxa"/>
            <w:vMerge/>
            <w:tcBorders>
              <w:top w:val="single" w:sz="4" w:space="0" w:color="auto"/>
              <w:left w:val="single" w:sz="4" w:space="0" w:color="auto"/>
              <w:bottom w:val="single" w:sz="4" w:space="0" w:color="auto"/>
              <w:right w:val="single" w:sz="4" w:space="0" w:color="auto"/>
            </w:tcBorders>
            <w:vAlign w:val="center"/>
            <w:hideMark/>
          </w:tcPr>
          <w:p w14:paraId="0799F975" w14:textId="77777777" w:rsidR="00954688" w:rsidRPr="00570B9E" w:rsidRDefault="00954688" w:rsidP="000C49A5">
            <w:pPr>
              <w:spacing w:before="0"/>
              <w:jc w:val="left"/>
              <w:rPr>
                <w:rFonts w:eastAsia="Times New Roman" w:cstheme="minorHAnsi"/>
                <w:color w:val="000000"/>
                <w:sz w:val="18"/>
                <w:szCs w:val="18"/>
                <w:lang w:eastAsia="cs-CZ"/>
              </w:rPr>
            </w:pP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3903C104"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zaměstnavatelé</w:t>
            </w:r>
          </w:p>
        </w:tc>
        <w:tc>
          <w:tcPr>
            <w:tcW w:w="1275" w:type="dxa"/>
            <w:tcBorders>
              <w:top w:val="nil"/>
              <w:left w:val="nil"/>
              <w:bottom w:val="single" w:sz="4" w:space="0" w:color="auto"/>
              <w:right w:val="single" w:sz="4" w:space="0" w:color="auto"/>
            </w:tcBorders>
            <w:shd w:val="clear" w:color="auto" w:fill="auto"/>
            <w:vAlign w:val="center"/>
            <w:hideMark/>
          </w:tcPr>
          <w:p w14:paraId="6010832E"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1 792</w:t>
            </w:r>
          </w:p>
        </w:tc>
        <w:tc>
          <w:tcPr>
            <w:tcW w:w="1326" w:type="dxa"/>
            <w:tcBorders>
              <w:top w:val="nil"/>
              <w:left w:val="nil"/>
              <w:bottom w:val="single" w:sz="4" w:space="0" w:color="auto"/>
              <w:right w:val="single" w:sz="4" w:space="0" w:color="auto"/>
            </w:tcBorders>
            <w:shd w:val="clear" w:color="auto" w:fill="auto"/>
            <w:vAlign w:val="center"/>
            <w:hideMark/>
          </w:tcPr>
          <w:p w14:paraId="7485558C"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1 337</w:t>
            </w:r>
          </w:p>
        </w:tc>
        <w:tc>
          <w:tcPr>
            <w:tcW w:w="1418" w:type="dxa"/>
            <w:tcBorders>
              <w:top w:val="nil"/>
              <w:left w:val="nil"/>
              <w:bottom w:val="single" w:sz="4" w:space="0" w:color="auto"/>
              <w:right w:val="single" w:sz="8" w:space="0" w:color="auto"/>
            </w:tcBorders>
            <w:shd w:val="clear" w:color="auto" w:fill="auto"/>
            <w:vAlign w:val="center"/>
            <w:hideMark/>
          </w:tcPr>
          <w:p w14:paraId="3A2FD3E5"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455</w:t>
            </w:r>
          </w:p>
        </w:tc>
      </w:tr>
      <w:tr w:rsidR="00954688" w:rsidRPr="00570B9E" w14:paraId="0FF32C73" w14:textId="77777777" w:rsidTr="000C49A5">
        <w:trPr>
          <w:trHeight w:val="246"/>
        </w:trPr>
        <w:tc>
          <w:tcPr>
            <w:tcW w:w="683" w:type="dxa"/>
            <w:vMerge/>
            <w:tcBorders>
              <w:top w:val="single" w:sz="4" w:space="0" w:color="auto"/>
              <w:left w:val="single" w:sz="8" w:space="0" w:color="auto"/>
              <w:bottom w:val="single" w:sz="4" w:space="0" w:color="auto"/>
              <w:right w:val="single" w:sz="4" w:space="0" w:color="auto"/>
            </w:tcBorders>
            <w:vAlign w:val="center"/>
            <w:hideMark/>
          </w:tcPr>
          <w:p w14:paraId="66DACF18" w14:textId="77777777" w:rsidR="00954688" w:rsidRPr="00570B9E" w:rsidRDefault="00954688" w:rsidP="000C49A5">
            <w:pPr>
              <w:spacing w:before="0"/>
              <w:jc w:val="left"/>
              <w:rPr>
                <w:rFonts w:eastAsia="Times New Roman" w:cstheme="minorHAnsi"/>
                <w:color w:val="000000"/>
                <w:sz w:val="18"/>
                <w:szCs w:val="18"/>
                <w:lang w:eastAsia="cs-CZ"/>
              </w:rPr>
            </w:pPr>
          </w:p>
        </w:tc>
        <w:tc>
          <w:tcPr>
            <w:tcW w:w="1859" w:type="dxa"/>
            <w:vMerge/>
            <w:tcBorders>
              <w:top w:val="single" w:sz="4" w:space="0" w:color="auto"/>
              <w:left w:val="single" w:sz="4" w:space="0" w:color="auto"/>
              <w:bottom w:val="single" w:sz="4" w:space="0" w:color="auto"/>
              <w:right w:val="single" w:sz="4" w:space="0" w:color="auto"/>
            </w:tcBorders>
            <w:vAlign w:val="center"/>
            <w:hideMark/>
          </w:tcPr>
          <w:p w14:paraId="7347B597" w14:textId="77777777" w:rsidR="00954688" w:rsidRPr="00570B9E" w:rsidRDefault="00954688" w:rsidP="000C49A5">
            <w:pPr>
              <w:spacing w:before="0"/>
              <w:jc w:val="left"/>
              <w:rPr>
                <w:rFonts w:eastAsia="Times New Roman" w:cstheme="minorHAnsi"/>
                <w:color w:val="000000"/>
                <w:sz w:val="18"/>
                <w:szCs w:val="18"/>
                <w:lang w:eastAsia="cs-CZ"/>
              </w:rPr>
            </w:pP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210E54F3"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pracující na vlastní účet</w:t>
            </w:r>
          </w:p>
        </w:tc>
        <w:tc>
          <w:tcPr>
            <w:tcW w:w="1275" w:type="dxa"/>
            <w:tcBorders>
              <w:top w:val="nil"/>
              <w:left w:val="nil"/>
              <w:bottom w:val="single" w:sz="4" w:space="0" w:color="auto"/>
              <w:right w:val="single" w:sz="4" w:space="0" w:color="auto"/>
            </w:tcBorders>
            <w:shd w:val="clear" w:color="auto" w:fill="auto"/>
            <w:vAlign w:val="center"/>
            <w:hideMark/>
          </w:tcPr>
          <w:p w14:paraId="3DDDA1C1"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4 721</w:t>
            </w:r>
          </w:p>
        </w:tc>
        <w:tc>
          <w:tcPr>
            <w:tcW w:w="1326" w:type="dxa"/>
            <w:tcBorders>
              <w:top w:val="nil"/>
              <w:left w:val="nil"/>
              <w:bottom w:val="single" w:sz="4" w:space="0" w:color="auto"/>
              <w:right w:val="single" w:sz="4" w:space="0" w:color="auto"/>
            </w:tcBorders>
            <w:shd w:val="clear" w:color="auto" w:fill="auto"/>
            <w:vAlign w:val="center"/>
            <w:hideMark/>
          </w:tcPr>
          <w:p w14:paraId="7A933AC8"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3 205</w:t>
            </w:r>
          </w:p>
        </w:tc>
        <w:tc>
          <w:tcPr>
            <w:tcW w:w="1418" w:type="dxa"/>
            <w:tcBorders>
              <w:top w:val="nil"/>
              <w:left w:val="nil"/>
              <w:bottom w:val="single" w:sz="4" w:space="0" w:color="auto"/>
              <w:right w:val="single" w:sz="8" w:space="0" w:color="auto"/>
            </w:tcBorders>
            <w:shd w:val="clear" w:color="auto" w:fill="auto"/>
            <w:vAlign w:val="center"/>
            <w:hideMark/>
          </w:tcPr>
          <w:p w14:paraId="7D430A68"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1 516</w:t>
            </w:r>
          </w:p>
        </w:tc>
      </w:tr>
      <w:tr w:rsidR="00954688" w:rsidRPr="00570B9E" w14:paraId="64D14313" w14:textId="77777777" w:rsidTr="000C49A5">
        <w:trPr>
          <w:trHeight w:val="136"/>
        </w:trPr>
        <w:tc>
          <w:tcPr>
            <w:tcW w:w="683" w:type="dxa"/>
            <w:vMerge/>
            <w:tcBorders>
              <w:top w:val="single" w:sz="4" w:space="0" w:color="auto"/>
              <w:left w:val="single" w:sz="8" w:space="0" w:color="auto"/>
              <w:bottom w:val="single" w:sz="4" w:space="0" w:color="auto"/>
              <w:right w:val="single" w:sz="4" w:space="0" w:color="auto"/>
            </w:tcBorders>
            <w:vAlign w:val="center"/>
            <w:hideMark/>
          </w:tcPr>
          <w:p w14:paraId="7EFCE435" w14:textId="77777777" w:rsidR="00954688" w:rsidRPr="00570B9E" w:rsidRDefault="00954688" w:rsidP="000C49A5">
            <w:pPr>
              <w:spacing w:before="0"/>
              <w:jc w:val="left"/>
              <w:rPr>
                <w:rFonts w:eastAsia="Times New Roman" w:cstheme="minorHAnsi"/>
                <w:color w:val="000000"/>
                <w:sz w:val="18"/>
                <w:szCs w:val="18"/>
                <w:lang w:eastAsia="cs-CZ"/>
              </w:rPr>
            </w:pPr>
          </w:p>
        </w:tc>
        <w:tc>
          <w:tcPr>
            <w:tcW w:w="18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CBBA71"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ze zaměstnaných</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10BC5E31"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pracující důchodci</w:t>
            </w:r>
          </w:p>
        </w:tc>
        <w:tc>
          <w:tcPr>
            <w:tcW w:w="1275" w:type="dxa"/>
            <w:tcBorders>
              <w:top w:val="nil"/>
              <w:left w:val="nil"/>
              <w:bottom w:val="single" w:sz="4" w:space="0" w:color="auto"/>
              <w:right w:val="single" w:sz="4" w:space="0" w:color="auto"/>
            </w:tcBorders>
            <w:shd w:val="clear" w:color="auto" w:fill="auto"/>
            <w:vAlign w:val="center"/>
            <w:hideMark/>
          </w:tcPr>
          <w:p w14:paraId="257628D0"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2 029</w:t>
            </w:r>
          </w:p>
        </w:tc>
        <w:tc>
          <w:tcPr>
            <w:tcW w:w="1326" w:type="dxa"/>
            <w:tcBorders>
              <w:top w:val="nil"/>
              <w:left w:val="nil"/>
              <w:bottom w:val="single" w:sz="4" w:space="0" w:color="auto"/>
              <w:right w:val="single" w:sz="4" w:space="0" w:color="auto"/>
            </w:tcBorders>
            <w:shd w:val="clear" w:color="auto" w:fill="auto"/>
            <w:vAlign w:val="center"/>
            <w:hideMark/>
          </w:tcPr>
          <w:p w14:paraId="41087114"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978</w:t>
            </w:r>
          </w:p>
        </w:tc>
        <w:tc>
          <w:tcPr>
            <w:tcW w:w="1418" w:type="dxa"/>
            <w:tcBorders>
              <w:top w:val="nil"/>
              <w:left w:val="nil"/>
              <w:bottom w:val="single" w:sz="4" w:space="0" w:color="auto"/>
              <w:right w:val="single" w:sz="8" w:space="0" w:color="auto"/>
            </w:tcBorders>
            <w:shd w:val="clear" w:color="auto" w:fill="auto"/>
            <w:vAlign w:val="center"/>
            <w:hideMark/>
          </w:tcPr>
          <w:p w14:paraId="7BE6EAF9"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1 051</w:t>
            </w:r>
          </w:p>
        </w:tc>
      </w:tr>
      <w:tr w:rsidR="00954688" w:rsidRPr="00570B9E" w14:paraId="1B765C6C" w14:textId="77777777" w:rsidTr="000C49A5">
        <w:trPr>
          <w:trHeight w:val="254"/>
        </w:trPr>
        <w:tc>
          <w:tcPr>
            <w:tcW w:w="683" w:type="dxa"/>
            <w:vMerge/>
            <w:tcBorders>
              <w:top w:val="single" w:sz="4" w:space="0" w:color="auto"/>
              <w:left w:val="single" w:sz="8" w:space="0" w:color="auto"/>
              <w:bottom w:val="single" w:sz="4" w:space="0" w:color="auto"/>
              <w:right w:val="single" w:sz="4" w:space="0" w:color="auto"/>
            </w:tcBorders>
            <w:vAlign w:val="center"/>
            <w:hideMark/>
          </w:tcPr>
          <w:p w14:paraId="4B070A0A" w14:textId="77777777" w:rsidR="00954688" w:rsidRPr="00570B9E" w:rsidRDefault="00954688" w:rsidP="000C49A5">
            <w:pPr>
              <w:spacing w:before="0"/>
              <w:jc w:val="left"/>
              <w:rPr>
                <w:rFonts w:eastAsia="Times New Roman" w:cstheme="minorHAnsi"/>
                <w:color w:val="000000"/>
                <w:sz w:val="18"/>
                <w:szCs w:val="18"/>
                <w:lang w:eastAsia="cs-CZ"/>
              </w:rPr>
            </w:pPr>
          </w:p>
        </w:tc>
        <w:tc>
          <w:tcPr>
            <w:tcW w:w="1859" w:type="dxa"/>
            <w:vMerge/>
            <w:tcBorders>
              <w:top w:val="single" w:sz="4" w:space="0" w:color="auto"/>
              <w:left w:val="single" w:sz="4" w:space="0" w:color="auto"/>
              <w:bottom w:val="single" w:sz="4" w:space="0" w:color="auto"/>
              <w:right w:val="single" w:sz="4" w:space="0" w:color="auto"/>
            </w:tcBorders>
            <w:vAlign w:val="center"/>
            <w:hideMark/>
          </w:tcPr>
          <w:p w14:paraId="68190F2D" w14:textId="77777777" w:rsidR="00954688" w:rsidRPr="00570B9E" w:rsidRDefault="00954688" w:rsidP="000C49A5">
            <w:pPr>
              <w:spacing w:before="0"/>
              <w:jc w:val="left"/>
              <w:rPr>
                <w:rFonts w:eastAsia="Times New Roman" w:cstheme="minorHAnsi"/>
                <w:color w:val="000000"/>
                <w:sz w:val="18"/>
                <w:szCs w:val="18"/>
                <w:lang w:eastAsia="cs-CZ"/>
              </w:rPr>
            </w:pP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2468209E"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ženy na mateřské dovolené</w:t>
            </w:r>
          </w:p>
        </w:tc>
        <w:tc>
          <w:tcPr>
            <w:tcW w:w="1275" w:type="dxa"/>
            <w:tcBorders>
              <w:top w:val="nil"/>
              <w:left w:val="nil"/>
              <w:bottom w:val="single" w:sz="4" w:space="0" w:color="auto"/>
              <w:right w:val="single" w:sz="4" w:space="0" w:color="auto"/>
            </w:tcBorders>
            <w:shd w:val="clear" w:color="auto" w:fill="auto"/>
            <w:vAlign w:val="center"/>
            <w:hideMark/>
          </w:tcPr>
          <w:p w14:paraId="49B81D1F"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709</w:t>
            </w:r>
          </w:p>
        </w:tc>
        <w:tc>
          <w:tcPr>
            <w:tcW w:w="1326" w:type="dxa"/>
            <w:tcBorders>
              <w:top w:val="nil"/>
              <w:left w:val="nil"/>
              <w:bottom w:val="single" w:sz="4" w:space="0" w:color="auto"/>
              <w:right w:val="single" w:sz="4" w:space="0" w:color="auto"/>
            </w:tcBorders>
            <w:shd w:val="clear" w:color="auto" w:fill="auto"/>
            <w:vAlign w:val="center"/>
            <w:hideMark/>
          </w:tcPr>
          <w:p w14:paraId="3742124B"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w:t>
            </w:r>
          </w:p>
        </w:tc>
        <w:tc>
          <w:tcPr>
            <w:tcW w:w="1418" w:type="dxa"/>
            <w:tcBorders>
              <w:top w:val="nil"/>
              <w:left w:val="nil"/>
              <w:bottom w:val="single" w:sz="4" w:space="0" w:color="auto"/>
              <w:right w:val="single" w:sz="8" w:space="0" w:color="auto"/>
            </w:tcBorders>
            <w:shd w:val="clear" w:color="auto" w:fill="auto"/>
            <w:vAlign w:val="center"/>
            <w:hideMark/>
          </w:tcPr>
          <w:p w14:paraId="7CC48D87"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709</w:t>
            </w:r>
          </w:p>
        </w:tc>
      </w:tr>
      <w:tr w:rsidR="00954688" w:rsidRPr="00570B9E" w14:paraId="16322431" w14:textId="77777777" w:rsidTr="000C49A5">
        <w:trPr>
          <w:trHeight w:val="199"/>
        </w:trPr>
        <w:tc>
          <w:tcPr>
            <w:tcW w:w="683" w:type="dxa"/>
            <w:vMerge/>
            <w:tcBorders>
              <w:top w:val="single" w:sz="4" w:space="0" w:color="auto"/>
              <w:left w:val="single" w:sz="8" w:space="0" w:color="auto"/>
              <w:bottom w:val="single" w:sz="4" w:space="0" w:color="auto"/>
              <w:right w:val="single" w:sz="4" w:space="0" w:color="auto"/>
            </w:tcBorders>
            <w:vAlign w:val="center"/>
            <w:hideMark/>
          </w:tcPr>
          <w:p w14:paraId="26C44FC3" w14:textId="77777777" w:rsidR="00954688" w:rsidRPr="00570B9E" w:rsidRDefault="00954688" w:rsidP="000C49A5">
            <w:pPr>
              <w:spacing w:before="0"/>
              <w:jc w:val="left"/>
              <w:rPr>
                <w:rFonts w:eastAsia="Times New Roman" w:cstheme="minorHAnsi"/>
                <w:color w:val="000000"/>
                <w:sz w:val="18"/>
                <w:szCs w:val="18"/>
                <w:lang w:eastAsia="cs-CZ"/>
              </w:rPr>
            </w:pPr>
          </w:p>
        </w:tc>
        <w:tc>
          <w:tcPr>
            <w:tcW w:w="42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34ABFA"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nezaměstnaní</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03B6823F"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3 126</w:t>
            </w:r>
          </w:p>
        </w:tc>
        <w:tc>
          <w:tcPr>
            <w:tcW w:w="1326" w:type="dxa"/>
            <w:tcBorders>
              <w:top w:val="nil"/>
              <w:left w:val="nil"/>
              <w:bottom w:val="single" w:sz="4" w:space="0" w:color="auto"/>
              <w:right w:val="single" w:sz="4" w:space="0" w:color="auto"/>
            </w:tcBorders>
            <w:shd w:val="clear" w:color="auto" w:fill="auto"/>
            <w:vAlign w:val="center"/>
            <w:hideMark/>
          </w:tcPr>
          <w:p w14:paraId="0BAF57FF"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1 589</w:t>
            </w:r>
          </w:p>
        </w:tc>
        <w:tc>
          <w:tcPr>
            <w:tcW w:w="1418" w:type="dxa"/>
            <w:tcBorders>
              <w:top w:val="nil"/>
              <w:left w:val="nil"/>
              <w:bottom w:val="single" w:sz="4" w:space="0" w:color="auto"/>
              <w:right w:val="single" w:sz="8" w:space="0" w:color="auto"/>
            </w:tcBorders>
            <w:shd w:val="clear" w:color="auto" w:fill="auto"/>
            <w:vAlign w:val="center"/>
            <w:hideMark/>
          </w:tcPr>
          <w:p w14:paraId="60CF9273"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1 537</w:t>
            </w:r>
          </w:p>
        </w:tc>
      </w:tr>
      <w:tr w:rsidR="00954688" w:rsidRPr="00570B9E" w14:paraId="14BD3393" w14:textId="77777777" w:rsidTr="000C49A5">
        <w:trPr>
          <w:trHeight w:val="199"/>
        </w:trPr>
        <w:tc>
          <w:tcPr>
            <w:tcW w:w="4952" w:type="dxa"/>
            <w:gridSpan w:val="3"/>
            <w:tcBorders>
              <w:top w:val="single" w:sz="4" w:space="0" w:color="auto"/>
              <w:left w:val="single" w:sz="8" w:space="0" w:color="auto"/>
              <w:bottom w:val="single" w:sz="4" w:space="0" w:color="auto"/>
              <w:right w:val="single" w:sz="4" w:space="0" w:color="auto"/>
            </w:tcBorders>
            <w:shd w:val="clear" w:color="auto" w:fill="auto"/>
            <w:vAlign w:val="center"/>
            <w:hideMark/>
          </w:tcPr>
          <w:p w14:paraId="1CA31A2F"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Ekonomicky neaktivní celkem</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38304143"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34 921</w:t>
            </w:r>
          </w:p>
        </w:tc>
        <w:tc>
          <w:tcPr>
            <w:tcW w:w="1326" w:type="dxa"/>
            <w:tcBorders>
              <w:top w:val="nil"/>
              <w:left w:val="nil"/>
              <w:bottom w:val="single" w:sz="4" w:space="0" w:color="auto"/>
              <w:right w:val="single" w:sz="4" w:space="0" w:color="auto"/>
            </w:tcBorders>
            <w:shd w:val="clear" w:color="auto" w:fill="auto"/>
            <w:vAlign w:val="center"/>
            <w:hideMark/>
          </w:tcPr>
          <w:p w14:paraId="2E44660E"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14 233</w:t>
            </w:r>
          </w:p>
        </w:tc>
        <w:tc>
          <w:tcPr>
            <w:tcW w:w="1418" w:type="dxa"/>
            <w:tcBorders>
              <w:top w:val="nil"/>
              <w:left w:val="nil"/>
              <w:bottom w:val="single" w:sz="4" w:space="0" w:color="auto"/>
              <w:right w:val="single" w:sz="8" w:space="0" w:color="auto"/>
            </w:tcBorders>
            <w:shd w:val="clear" w:color="auto" w:fill="auto"/>
            <w:vAlign w:val="center"/>
            <w:hideMark/>
          </w:tcPr>
          <w:p w14:paraId="110C0234"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20 688</w:t>
            </w:r>
          </w:p>
        </w:tc>
      </w:tr>
      <w:tr w:rsidR="00954688" w:rsidRPr="00570B9E" w14:paraId="5BBFDF8A" w14:textId="77777777" w:rsidTr="000C49A5">
        <w:trPr>
          <w:trHeight w:val="199"/>
        </w:trPr>
        <w:tc>
          <w:tcPr>
            <w:tcW w:w="683"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39704819"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z toho</w:t>
            </w:r>
          </w:p>
        </w:tc>
        <w:tc>
          <w:tcPr>
            <w:tcW w:w="42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8ABBAE"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nepracující důchodci</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1C4EB876"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17 659</w:t>
            </w:r>
          </w:p>
        </w:tc>
        <w:tc>
          <w:tcPr>
            <w:tcW w:w="1326" w:type="dxa"/>
            <w:tcBorders>
              <w:top w:val="nil"/>
              <w:left w:val="nil"/>
              <w:bottom w:val="single" w:sz="4" w:space="0" w:color="auto"/>
              <w:right w:val="single" w:sz="4" w:space="0" w:color="auto"/>
            </w:tcBorders>
            <w:shd w:val="clear" w:color="auto" w:fill="auto"/>
            <w:vAlign w:val="center"/>
            <w:hideMark/>
          </w:tcPr>
          <w:p w14:paraId="13074DD4"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6 320</w:t>
            </w:r>
          </w:p>
        </w:tc>
        <w:tc>
          <w:tcPr>
            <w:tcW w:w="1418" w:type="dxa"/>
            <w:tcBorders>
              <w:top w:val="nil"/>
              <w:left w:val="nil"/>
              <w:bottom w:val="single" w:sz="4" w:space="0" w:color="auto"/>
              <w:right w:val="single" w:sz="8" w:space="0" w:color="auto"/>
            </w:tcBorders>
            <w:shd w:val="clear" w:color="auto" w:fill="auto"/>
            <w:vAlign w:val="center"/>
            <w:hideMark/>
          </w:tcPr>
          <w:p w14:paraId="1A417205"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11 339</w:t>
            </w:r>
          </w:p>
        </w:tc>
      </w:tr>
      <w:tr w:rsidR="00954688" w:rsidRPr="00570B9E" w14:paraId="310E6968" w14:textId="77777777" w:rsidTr="000C49A5">
        <w:trPr>
          <w:trHeight w:val="199"/>
        </w:trPr>
        <w:tc>
          <w:tcPr>
            <w:tcW w:w="683" w:type="dxa"/>
            <w:vMerge/>
            <w:tcBorders>
              <w:top w:val="single" w:sz="4" w:space="0" w:color="auto"/>
              <w:left w:val="single" w:sz="8" w:space="0" w:color="auto"/>
              <w:bottom w:val="single" w:sz="4" w:space="0" w:color="auto"/>
              <w:right w:val="single" w:sz="4" w:space="0" w:color="auto"/>
            </w:tcBorders>
            <w:vAlign w:val="center"/>
            <w:hideMark/>
          </w:tcPr>
          <w:p w14:paraId="6AEF9409" w14:textId="77777777" w:rsidR="00954688" w:rsidRPr="00570B9E" w:rsidRDefault="00954688" w:rsidP="000C49A5">
            <w:pPr>
              <w:spacing w:before="0"/>
              <w:jc w:val="left"/>
              <w:rPr>
                <w:rFonts w:eastAsia="Times New Roman" w:cstheme="minorHAnsi"/>
                <w:color w:val="000000"/>
                <w:sz w:val="18"/>
                <w:szCs w:val="18"/>
                <w:lang w:eastAsia="cs-CZ"/>
              </w:rPr>
            </w:pPr>
          </w:p>
        </w:tc>
        <w:tc>
          <w:tcPr>
            <w:tcW w:w="42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40F147C"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žáci, studenti, učni</w:t>
            </w: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51918C39"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10 089</w:t>
            </w:r>
          </w:p>
        </w:tc>
        <w:tc>
          <w:tcPr>
            <w:tcW w:w="1326" w:type="dxa"/>
            <w:tcBorders>
              <w:top w:val="nil"/>
              <w:left w:val="nil"/>
              <w:bottom w:val="single" w:sz="4" w:space="0" w:color="auto"/>
              <w:right w:val="single" w:sz="4" w:space="0" w:color="auto"/>
            </w:tcBorders>
            <w:shd w:val="clear" w:color="auto" w:fill="auto"/>
            <w:vAlign w:val="center"/>
            <w:hideMark/>
          </w:tcPr>
          <w:p w14:paraId="57BD42DE"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5 037</w:t>
            </w:r>
          </w:p>
        </w:tc>
        <w:tc>
          <w:tcPr>
            <w:tcW w:w="1418" w:type="dxa"/>
            <w:tcBorders>
              <w:top w:val="nil"/>
              <w:left w:val="nil"/>
              <w:bottom w:val="single" w:sz="4" w:space="0" w:color="auto"/>
              <w:right w:val="single" w:sz="8" w:space="0" w:color="auto"/>
            </w:tcBorders>
            <w:shd w:val="clear" w:color="auto" w:fill="auto"/>
            <w:vAlign w:val="center"/>
            <w:hideMark/>
          </w:tcPr>
          <w:p w14:paraId="12BB2886"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5 052</w:t>
            </w:r>
          </w:p>
        </w:tc>
      </w:tr>
      <w:tr w:rsidR="00954688" w:rsidRPr="00570B9E" w14:paraId="3C479D82" w14:textId="77777777" w:rsidTr="000C49A5">
        <w:trPr>
          <w:trHeight w:val="199"/>
        </w:trPr>
        <w:tc>
          <w:tcPr>
            <w:tcW w:w="4952" w:type="dxa"/>
            <w:gridSpan w:val="3"/>
            <w:tcBorders>
              <w:top w:val="single" w:sz="4" w:space="0" w:color="auto"/>
              <w:left w:val="single" w:sz="8" w:space="0" w:color="auto"/>
              <w:bottom w:val="single" w:sz="8" w:space="0" w:color="auto"/>
              <w:right w:val="single" w:sz="4" w:space="0" w:color="auto"/>
            </w:tcBorders>
            <w:shd w:val="clear" w:color="auto" w:fill="auto"/>
            <w:vAlign w:val="center"/>
            <w:hideMark/>
          </w:tcPr>
          <w:p w14:paraId="10EE94A0" w14:textId="77777777" w:rsidR="00954688" w:rsidRPr="00570B9E" w:rsidRDefault="00954688" w:rsidP="000C49A5">
            <w:pPr>
              <w:spacing w:before="0"/>
              <w:jc w:val="left"/>
              <w:rPr>
                <w:rFonts w:eastAsia="Times New Roman" w:cstheme="minorHAnsi"/>
                <w:color w:val="000000"/>
                <w:sz w:val="18"/>
                <w:szCs w:val="18"/>
                <w:lang w:eastAsia="cs-CZ"/>
              </w:rPr>
            </w:pPr>
            <w:r w:rsidRPr="00570B9E">
              <w:rPr>
                <w:rFonts w:eastAsia="Times New Roman" w:cstheme="minorHAnsi"/>
                <w:color w:val="000000"/>
                <w:sz w:val="18"/>
                <w:szCs w:val="18"/>
                <w:lang w:eastAsia="cs-CZ"/>
              </w:rPr>
              <w:t>Osoby s nezjištěnou ekonomickou aktivitou</w:t>
            </w:r>
          </w:p>
        </w:tc>
        <w:tc>
          <w:tcPr>
            <w:tcW w:w="1275" w:type="dxa"/>
            <w:tcBorders>
              <w:top w:val="nil"/>
              <w:left w:val="single" w:sz="4" w:space="0" w:color="auto"/>
              <w:bottom w:val="single" w:sz="8" w:space="0" w:color="auto"/>
              <w:right w:val="single" w:sz="4" w:space="0" w:color="auto"/>
            </w:tcBorders>
            <w:shd w:val="clear" w:color="auto" w:fill="auto"/>
            <w:vAlign w:val="center"/>
            <w:hideMark/>
          </w:tcPr>
          <w:p w14:paraId="2BC8696F"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2 758</w:t>
            </w:r>
          </w:p>
        </w:tc>
        <w:tc>
          <w:tcPr>
            <w:tcW w:w="1326" w:type="dxa"/>
            <w:tcBorders>
              <w:top w:val="nil"/>
              <w:left w:val="nil"/>
              <w:bottom w:val="single" w:sz="8" w:space="0" w:color="auto"/>
              <w:right w:val="single" w:sz="4" w:space="0" w:color="auto"/>
            </w:tcBorders>
            <w:shd w:val="clear" w:color="auto" w:fill="auto"/>
            <w:vAlign w:val="center"/>
            <w:hideMark/>
          </w:tcPr>
          <w:p w14:paraId="4281A0B7"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1 549</w:t>
            </w:r>
          </w:p>
        </w:tc>
        <w:tc>
          <w:tcPr>
            <w:tcW w:w="1418" w:type="dxa"/>
            <w:tcBorders>
              <w:top w:val="nil"/>
              <w:left w:val="nil"/>
              <w:bottom w:val="single" w:sz="8" w:space="0" w:color="auto"/>
              <w:right w:val="single" w:sz="8" w:space="0" w:color="auto"/>
            </w:tcBorders>
            <w:shd w:val="clear" w:color="auto" w:fill="auto"/>
            <w:vAlign w:val="center"/>
            <w:hideMark/>
          </w:tcPr>
          <w:p w14:paraId="01FF5AB6" w14:textId="77777777" w:rsidR="00954688" w:rsidRPr="00570B9E" w:rsidRDefault="00954688" w:rsidP="000C49A5">
            <w:pPr>
              <w:spacing w:before="0"/>
              <w:jc w:val="right"/>
              <w:rPr>
                <w:rFonts w:eastAsia="Times New Roman" w:cstheme="minorHAnsi"/>
                <w:color w:val="000000"/>
                <w:sz w:val="18"/>
                <w:szCs w:val="18"/>
                <w:lang w:eastAsia="cs-CZ"/>
              </w:rPr>
            </w:pPr>
            <w:r w:rsidRPr="00570B9E">
              <w:rPr>
                <w:rFonts w:eastAsia="Times New Roman" w:cstheme="minorHAnsi"/>
                <w:color w:val="000000"/>
                <w:sz w:val="18"/>
                <w:szCs w:val="18"/>
                <w:lang w:eastAsia="cs-CZ"/>
              </w:rPr>
              <w:t>1 209</w:t>
            </w:r>
          </w:p>
        </w:tc>
      </w:tr>
    </w:tbl>
    <w:p w14:paraId="22725035" w14:textId="0B568D46" w:rsidR="00954688" w:rsidRDefault="00954688" w:rsidP="00954688">
      <w:pPr>
        <w:pStyle w:val="Zdroj"/>
      </w:pPr>
      <w:r>
        <w:t>Zdroj: ČSÚ,</w:t>
      </w:r>
      <w:r w:rsidRPr="006E55BA">
        <w:t xml:space="preserve"> SLDB 2011</w:t>
      </w:r>
      <w:r w:rsidR="008D7DFD">
        <w:t>.</w:t>
      </w:r>
    </w:p>
    <w:p w14:paraId="167BD2C7" w14:textId="77777777" w:rsidR="00954688" w:rsidRPr="00BC6DCE" w:rsidRDefault="00954688" w:rsidP="00954688">
      <w:r w:rsidRPr="00BC6DCE">
        <w:t xml:space="preserve">Význam </w:t>
      </w:r>
      <w:r>
        <w:t>odvětví v ekonomice je vyjádřen</w:t>
      </w:r>
      <w:r w:rsidRPr="00BC6DCE">
        <w:t xml:space="preserve"> regionální hrubou přidanou hodnotou (HDH), která je součástí regionálního hrubého domácího produktu a</w:t>
      </w:r>
      <w:r>
        <w:t> </w:t>
      </w:r>
      <w:r w:rsidRPr="00BC6DCE">
        <w:t>je čistým ukazatelem výkonnosti ekonomiky, jelikož na ni nemají vliv čisté daně z</w:t>
      </w:r>
      <w:r>
        <w:t> </w:t>
      </w:r>
      <w:r w:rsidRPr="00BC6DCE">
        <w:t>produktů. Tento ukazatel se sleduje pouze za kraje, je tedy uveden za Zlínský kraj. HPH představuje rozdíl mezi celkovou produkcí v</w:t>
      </w:r>
      <w:r>
        <w:t> </w:t>
      </w:r>
      <w:r w:rsidRPr="00BC6DCE">
        <w:t>základních cenách a</w:t>
      </w:r>
      <w:r>
        <w:t> </w:t>
      </w:r>
      <w:r w:rsidRPr="00BC6DCE">
        <w:t>mezi</w:t>
      </w:r>
      <w:r>
        <w:t xml:space="preserve"> </w:t>
      </w:r>
      <w:r w:rsidRPr="00BC6DCE">
        <w:t>spotřebou v</w:t>
      </w:r>
      <w:r>
        <w:t> </w:t>
      </w:r>
      <w:r w:rsidRPr="00BC6DCE">
        <w:t>kupních cenách a</w:t>
      </w:r>
      <w:r>
        <w:t> </w:t>
      </w:r>
      <w:r w:rsidRPr="00BC6DCE">
        <w:t xml:space="preserve">je dána součtem odvětvových hrubých přidaných hodnot, reflektuje tak souhrnnou výkonnost odvětví. </w:t>
      </w:r>
    </w:p>
    <w:p w14:paraId="2751E7BF" w14:textId="65846709" w:rsidR="00954688" w:rsidRDefault="00954688" w:rsidP="00954688">
      <w:pPr>
        <w:spacing w:after="120"/>
      </w:pPr>
      <w:r w:rsidRPr="00BC6DCE">
        <w:t xml:space="preserve">V porovnávaném období 2013 </w:t>
      </w:r>
      <w:r w:rsidR="008D7DFD">
        <w:sym w:font="Symbol" w:char="F02D"/>
      </w:r>
      <w:r w:rsidRPr="00BC6DCE">
        <w:t xml:space="preserve"> 2018 vykazuje regionální hrubá přidaná hodnota ve Zlínském kraji rostoucí trend a</w:t>
      </w:r>
      <w:r>
        <w:t> </w:t>
      </w:r>
      <w:r w:rsidRPr="00BC6DCE">
        <w:t>v</w:t>
      </w:r>
      <w:r>
        <w:t> </w:t>
      </w:r>
      <w:r w:rsidRPr="00BC6DCE">
        <w:t>roce 2018 dosáhla v</w:t>
      </w:r>
      <w:r>
        <w:t> </w:t>
      </w:r>
      <w:r w:rsidRPr="00BC6DCE">
        <w:t>běžných cenách objemu 222 777 mil. Kč. V</w:t>
      </w:r>
      <w:r>
        <w:t> </w:t>
      </w:r>
      <w:r w:rsidRPr="00BC6DCE">
        <w:t>roce 2018 se nejvýrazněji na HPH podílí z 50,5 % odvětví průmyslu (Průmysl a</w:t>
      </w:r>
      <w:r>
        <w:t> </w:t>
      </w:r>
      <w:r w:rsidRPr="00BC6DCE">
        <w:t>stavebnictví) a</w:t>
      </w:r>
      <w:r>
        <w:t> </w:t>
      </w:r>
      <w:r w:rsidRPr="00BC6DCE">
        <w:t>ze 46,9 % odvětví služeb. Primární sektor představoval 2,6 % HPH. Od roku 2015 dochází k poklesu podílu odvětví průmyslu na HPH a</w:t>
      </w:r>
      <w:r>
        <w:t> </w:t>
      </w:r>
      <w:r w:rsidRPr="00BC6DCE">
        <w:t>naopak roste podíl odvětví služeb na HPH, což odpovídá trendu</w:t>
      </w:r>
      <w:r>
        <w:t>.</w:t>
      </w:r>
    </w:p>
    <w:p w14:paraId="0C3460DC" w14:textId="50995B85" w:rsidR="00954688" w:rsidRDefault="00954688" w:rsidP="00954688">
      <w:pPr>
        <w:pStyle w:val="Titulek"/>
        <w:keepNext/>
        <w:keepLines/>
      </w:pPr>
      <w:bookmarkStart w:id="427" w:name="_Toc47967064"/>
      <w:bookmarkStart w:id="428" w:name="_Toc53066198"/>
      <w:bookmarkStart w:id="429" w:name="_Toc77074904"/>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86</w:t>
      </w:r>
      <w:r w:rsidR="00804AF3">
        <w:rPr>
          <w:noProof/>
        </w:rPr>
        <w:fldChar w:fldCharType="end"/>
      </w:r>
      <w:r w:rsidR="008D7DFD">
        <w:rPr>
          <w:noProof/>
        </w:rPr>
        <w:t>:</w:t>
      </w:r>
      <w:r>
        <w:t xml:space="preserve"> Odvětvová struktura HPH ve Zlínském kraji v % letech 2013 a 2018</w:t>
      </w:r>
      <w:bookmarkEnd w:id="427"/>
      <w:bookmarkEnd w:id="428"/>
      <w:bookmarkEnd w:id="429"/>
    </w:p>
    <w:p w14:paraId="50747C90" w14:textId="77777777" w:rsidR="00954688" w:rsidRDefault="00954688" w:rsidP="00954688">
      <w:r>
        <w:rPr>
          <w:noProof/>
          <w:lang w:eastAsia="cs-CZ"/>
        </w:rPr>
        <w:drawing>
          <wp:inline distT="0" distB="0" distL="0" distR="0" wp14:anchorId="2216F148" wp14:editId="1DB4F1AB">
            <wp:extent cx="5760000" cy="2576513"/>
            <wp:effectExtent l="0" t="0" r="0" b="0"/>
            <wp:docPr id="334" name="Graf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1FDB7356" w14:textId="2BC37B99" w:rsidR="00954688" w:rsidRDefault="00954688" w:rsidP="00954688">
      <w:pPr>
        <w:spacing w:before="0" w:after="120"/>
        <w:rPr>
          <w:i/>
          <w:iCs/>
          <w:sz w:val="20"/>
        </w:rPr>
      </w:pPr>
      <w:r w:rsidRPr="00844263">
        <w:rPr>
          <w:rFonts w:cs="Times New Roman"/>
          <w:i/>
          <w:sz w:val="18"/>
          <w:szCs w:val="18"/>
        </w:rPr>
        <w:t xml:space="preserve">Zdroj dat: ČSÚ, </w:t>
      </w:r>
      <w:r w:rsidRPr="0032626B">
        <w:rPr>
          <w:i/>
          <w:sz w:val="20"/>
        </w:rPr>
        <w:t>Databáze regionálních účtů</w:t>
      </w:r>
      <w:r>
        <w:rPr>
          <w:i/>
          <w:sz w:val="20"/>
        </w:rPr>
        <w:t xml:space="preserve"> 2013</w:t>
      </w:r>
      <w:r w:rsidR="008D7DFD">
        <w:rPr>
          <w:i/>
          <w:sz w:val="20"/>
        </w:rPr>
        <w:t xml:space="preserve"> </w:t>
      </w:r>
      <w:r w:rsidR="008D7DFD">
        <w:rPr>
          <w:i/>
          <w:sz w:val="20"/>
        </w:rPr>
        <w:sym w:font="Symbol" w:char="F02D"/>
      </w:r>
      <w:r>
        <w:rPr>
          <w:i/>
          <w:sz w:val="20"/>
        </w:rPr>
        <w:t>2</w:t>
      </w:r>
      <w:r w:rsidR="008D7DFD">
        <w:rPr>
          <w:i/>
          <w:sz w:val="20"/>
        </w:rPr>
        <w:t xml:space="preserve"> </w:t>
      </w:r>
      <w:r>
        <w:rPr>
          <w:i/>
          <w:sz w:val="20"/>
        </w:rPr>
        <w:t>018</w:t>
      </w:r>
      <w:r>
        <w:rPr>
          <w:rFonts w:cs="Times New Roman"/>
          <w:i/>
          <w:sz w:val="18"/>
          <w:szCs w:val="18"/>
        </w:rPr>
        <w:t xml:space="preserve">, </w:t>
      </w:r>
      <w:r w:rsidRPr="00F54AB6">
        <w:rPr>
          <w:i/>
          <w:iCs/>
          <w:sz w:val="20"/>
        </w:rPr>
        <w:t>zpracování PROCES</w:t>
      </w:r>
      <w:r>
        <w:rPr>
          <w:i/>
          <w:iCs/>
          <w:sz w:val="20"/>
        </w:rPr>
        <w:t>, 2020</w:t>
      </w:r>
      <w:r w:rsidR="008D7DFD">
        <w:rPr>
          <w:i/>
          <w:iCs/>
          <w:sz w:val="20"/>
        </w:rPr>
        <w:t>.</w:t>
      </w:r>
    </w:p>
    <w:p w14:paraId="40E4679C" w14:textId="77777777" w:rsidR="00954688" w:rsidRDefault="00954688" w:rsidP="00954688">
      <w:pPr>
        <w:pStyle w:val="Nadpis4"/>
      </w:pPr>
      <w:r>
        <w:t xml:space="preserve">Ekonomické subjekty na území města </w:t>
      </w:r>
    </w:p>
    <w:p w14:paraId="15679C73" w14:textId="4194B972" w:rsidR="00954688" w:rsidRDefault="00954688" w:rsidP="00954688">
      <w:r>
        <w:t>Analýza ekonomických subjektů se sídlem v regionu podává zevrubnou představu o podnikatelské aktivitě v regionu. Celkový počet ekonomických subjektů v rámci SO ROP Zlín se dlouhodobě zvyšuje. Na konci roku 2018 bylo v SO ORP Zlín evidováno 30 248 ekonomických subjektů. Přehled ekonomických subjektů dle velikosti podle počtu zaměstnanců je uveden v</w:t>
      </w:r>
      <w:r w:rsidR="00094895">
        <w:t> </w:t>
      </w:r>
      <w:r>
        <w:t>tabulce</w:t>
      </w:r>
      <w:r w:rsidR="00122205">
        <w:t xml:space="preserve"> 1.62</w:t>
      </w:r>
      <w:r>
        <w:t>. Velikostní kategorii (počet zaměstnanců) neuvádí velký počet ekonomických subjektů, což je nutno brát v úvahu. Dle uvedených údajů v SO ORP Zlín převažují z hlediska ekonomické struktury</w:t>
      </w:r>
      <w:r w:rsidRPr="0098432F">
        <w:t xml:space="preserve"> </w:t>
      </w:r>
      <w:r>
        <w:t>podniky bez zaměstnanců, podobně jako v jiných regionech. Velkých podniků s 250 a více zaměstnanci bylo identifikováno v roce 2018 celkem 23. Středních podniků s 50 – 249 zaměstnanci bylo v ORP Zlín 137.</w:t>
      </w:r>
    </w:p>
    <w:p w14:paraId="42E993E9" w14:textId="20D6D80F" w:rsidR="00954688" w:rsidRDefault="00954688" w:rsidP="00954688">
      <w:pPr>
        <w:pStyle w:val="Titulek"/>
      </w:pPr>
      <w:bookmarkStart w:id="430" w:name="_Toc53066220"/>
      <w:bookmarkStart w:id="431" w:name="_Toc7707474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62</w:t>
      </w:r>
      <w:r w:rsidR="00081B47">
        <w:rPr>
          <w:noProof/>
        </w:rPr>
        <w:fldChar w:fldCharType="end"/>
      </w:r>
      <w:r w:rsidR="008D7DFD">
        <w:rPr>
          <w:noProof/>
        </w:rPr>
        <w:t>:</w:t>
      </w:r>
      <w:r>
        <w:t xml:space="preserve"> Velikostní kategorie ekonomických subjektů podle počtu zaměstnanců v SO ORP Zlín v období 2014 </w:t>
      </w:r>
      <w:r w:rsidR="008D7DFD">
        <w:sym w:font="Symbol" w:char="F02D"/>
      </w:r>
      <w:r>
        <w:t xml:space="preserve"> 2018</w:t>
      </w:r>
      <w:bookmarkEnd w:id="430"/>
      <w:bookmarkEnd w:id="431"/>
    </w:p>
    <w:tbl>
      <w:tblPr>
        <w:tblW w:w="8939" w:type="dxa"/>
        <w:tblCellMar>
          <w:left w:w="70" w:type="dxa"/>
          <w:right w:w="70" w:type="dxa"/>
        </w:tblCellMar>
        <w:tblLook w:val="04A0" w:firstRow="1" w:lastRow="0" w:firstColumn="1" w:lastColumn="0" w:noHBand="0" w:noVBand="1"/>
      </w:tblPr>
      <w:tblGrid>
        <w:gridCol w:w="4700"/>
        <w:gridCol w:w="847"/>
        <w:gridCol w:w="847"/>
        <w:gridCol w:w="847"/>
        <w:gridCol w:w="847"/>
        <w:gridCol w:w="851"/>
      </w:tblGrid>
      <w:tr w:rsidR="00954688" w:rsidRPr="009C7FAD" w14:paraId="656457FF" w14:textId="77777777" w:rsidTr="000C49A5">
        <w:trPr>
          <w:trHeight w:val="276"/>
        </w:trPr>
        <w:tc>
          <w:tcPr>
            <w:tcW w:w="470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DC2AF6" w14:textId="77777777" w:rsidR="00954688" w:rsidRPr="009C7FAD" w:rsidRDefault="00954688" w:rsidP="000C49A5">
            <w:pPr>
              <w:spacing w:before="0"/>
              <w:jc w:val="center"/>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UKAZATEL</w:t>
            </w:r>
          </w:p>
        </w:tc>
        <w:tc>
          <w:tcPr>
            <w:tcW w:w="4239" w:type="dxa"/>
            <w:gridSpan w:val="5"/>
            <w:tcBorders>
              <w:top w:val="single" w:sz="4" w:space="0" w:color="auto"/>
              <w:left w:val="nil"/>
              <w:bottom w:val="single" w:sz="4" w:space="0" w:color="auto"/>
              <w:right w:val="single" w:sz="4" w:space="0" w:color="auto"/>
            </w:tcBorders>
            <w:shd w:val="clear" w:color="000000" w:fill="F2F2F2"/>
            <w:noWrap/>
            <w:vAlign w:val="center"/>
            <w:hideMark/>
          </w:tcPr>
          <w:p w14:paraId="3A68E6A0" w14:textId="77777777" w:rsidR="00954688" w:rsidRPr="009C7FAD" w:rsidRDefault="00954688" w:rsidP="000C49A5">
            <w:pPr>
              <w:spacing w:before="0"/>
              <w:jc w:val="center"/>
              <w:rPr>
                <w:rFonts w:ascii="Calibri" w:eastAsia="Times New Roman" w:hAnsi="Calibri" w:cs="Calibri"/>
                <w:b/>
                <w:bCs/>
                <w:sz w:val="18"/>
                <w:szCs w:val="18"/>
                <w:lang w:eastAsia="cs-CZ"/>
              </w:rPr>
            </w:pPr>
            <w:r w:rsidRPr="009C7FAD">
              <w:rPr>
                <w:rFonts w:ascii="Calibri" w:eastAsia="Times New Roman" w:hAnsi="Calibri" w:cs="Calibri"/>
                <w:b/>
                <w:bCs/>
                <w:sz w:val="18"/>
                <w:szCs w:val="18"/>
                <w:lang w:eastAsia="cs-CZ"/>
              </w:rPr>
              <w:t>SO ORP Zlín</w:t>
            </w:r>
          </w:p>
        </w:tc>
      </w:tr>
      <w:tr w:rsidR="00954688" w:rsidRPr="009C7FAD" w14:paraId="30C298E5" w14:textId="77777777" w:rsidTr="000C49A5">
        <w:trPr>
          <w:trHeight w:val="260"/>
        </w:trPr>
        <w:tc>
          <w:tcPr>
            <w:tcW w:w="4700" w:type="dxa"/>
            <w:vMerge/>
            <w:tcBorders>
              <w:top w:val="single" w:sz="4" w:space="0" w:color="auto"/>
              <w:left w:val="single" w:sz="4" w:space="0" w:color="auto"/>
              <w:bottom w:val="single" w:sz="4" w:space="0" w:color="auto"/>
              <w:right w:val="single" w:sz="4" w:space="0" w:color="auto"/>
            </w:tcBorders>
            <w:vAlign w:val="center"/>
            <w:hideMark/>
          </w:tcPr>
          <w:p w14:paraId="5590C39A" w14:textId="77777777" w:rsidR="00954688" w:rsidRPr="009C7FAD" w:rsidRDefault="00954688" w:rsidP="000C49A5">
            <w:pPr>
              <w:spacing w:before="0"/>
              <w:jc w:val="left"/>
              <w:rPr>
                <w:rFonts w:ascii="Calibri" w:eastAsia="Times New Roman" w:hAnsi="Calibri" w:cs="Calibri"/>
                <w:sz w:val="18"/>
                <w:szCs w:val="18"/>
                <w:lang w:eastAsia="cs-CZ"/>
              </w:rPr>
            </w:pPr>
          </w:p>
        </w:tc>
        <w:tc>
          <w:tcPr>
            <w:tcW w:w="847" w:type="dxa"/>
            <w:tcBorders>
              <w:top w:val="nil"/>
              <w:left w:val="nil"/>
              <w:bottom w:val="single" w:sz="4" w:space="0" w:color="auto"/>
              <w:right w:val="single" w:sz="4" w:space="0" w:color="auto"/>
            </w:tcBorders>
            <w:shd w:val="clear" w:color="000000" w:fill="F2F2F2"/>
            <w:vAlign w:val="center"/>
            <w:hideMark/>
          </w:tcPr>
          <w:p w14:paraId="2DACCF5A" w14:textId="77777777" w:rsidR="00954688" w:rsidRPr="009C7FAD" w:rsidRDefault="00954688" w:rsidP="000C49A5">
            <w:pPr>
              <w:spacing w:before="0"/>
              <w:jc w:val="center"/>
              <w:rPr>
                <w:rFonts w:ascii="Calibri" w:eastAsia="Times New Roman" w:hAnsi="Calibri" w:cs="Calibri"/>
                <w:b/>
                <w:bCs/>
                <w:sz w:val="18"/>
                <w:szCs w:val="18"/>
                <w:lang w:eastAsia="cs-CZ"/>
              </w:rPr>
            </w:pPr>
            <w:r w:rsidRPr="009C7FAD">
              <w:rPr>
                <w:rFonts w:ascii="Calibri" w:eastAsia="Times New Roman" w:hAnsi="Calibri" w:cs="Calibri"/>
                <w:b/>
                <w:bCs/>
                <w:sz w:val="18"/>
                <w:szCs w:val="18"/>
                <w:lang w:eastAsia="cs-CZ"/>
              </w:rPr>
              <w:t>2014</w:t>
            </w:r>
          </w:p>
        </w:tc>
        <w:tc>
          <w:tcPr>
            <w:tcW w:w="847" w:type="dxa"/>
            <w:tcBorders>
              <w:top w:val="nil"/>
              <w:left w:val="nil"/>
              <w:bottom w:val="single" w:sz="4" w:space="0" w:color="auto"/>
              <w:right w:val="single" w:sz="4" w:space="0" w:color="auto"/>
            </w:tcBorders>
            <w:shd w:val="clear" w:color="000000" w:fill="F2F2F2"/>
            <w:vAlign w:val="center"/>
            <w:hideMark/>
          </w:tcPr>
          <w:p w14:paraId="599B7275" w14:textId="77777777" w:rsidR="00954688" w:rsidRPr="009C7FAD" w:rsidRDefault="00954688" w:rsidP="000C49A5">
            <w:pPr>
              <w:spacing w:before="0"/>
              <w:jc w:val="center"/>
              <w:rPr>
                <w:rFonts w:ascii="Calibri" w:eastAsia="Times New Roman" w:hAnsi="Calibri" w:cs="Calibri"/>
                <w:b/>
                <w:bCs/>
                <w:sz w:val="18"/>
                <w:szCs w:val="18"/>
                <w:lang w:eastAsia="cs-CZ"/>
              </w:rPr>
            </w:pPr>
            <w:r w:rsidRPr="009C7FAD">
              <w:rPr>
                <w:rFonts w:ascii="Calibri" w:eastAsia="Times New Roman" w:hAnsi="Calibri" w:cs="Calibri"/>
                <w:b/>
                <w:bCs/>
                <w:sz w:val="18"/>
                <w:szCs w:val="18"/>
                <w:lang w:eastAsia="cs-CZ"/>
              </w:rPr>
              <w:t>2015</w:t>
            </w:r>
          </w:p>
        </w:tc>
        <w:tc>
          <w:tcPr>
            <w:tcW w:w="847" w:type="dxa"/>
            <w:tcBorders>
              <w:top w:val="nil"/>
              <w:left w:val="nil"/>
              <w:bottom w:val="single" w:sz="4" w:space="0" w:color="auto"/>
              <w:right w:val="single" w:sz="4" w:space="0" w:color="auto"/>
            </w:tcBorders>
            <w:shd w:val="clear" w:color="000000" w:fill="F2F2F2"/>
            <w:vAlign w:val="center"/>
            <w:hideMark/>
          </w:tcPr>
          <w:p w14:paraId="3B82C646" w14:textId="77777777" w:rsidR="00954688" w:rsidRPr="009C7FAD" w:rsidRDefault="00954688" w:rsidP="000C49A5">
            <w:pPr>
              <w:spacing w:before="0"/>
              <w:jc w:val="center"/>
              <w:rPr>
                <w:rFonts w:ascii="Calibri" w:eastAsia="Times New Roman" w:hAnsi="Calibri" w:cs="Calibri"/>
                <w:b/>
                <w:bCs/>
                <w:sz w:val="18"/>
                <w:szCs w:val="18"/>
                <w:lang w:eastAsia="cs-CZ"/>
              </w:rPr>
            </w:pPr>
            <w:r w:rsidRPr="009C7FAD">
              <w:rPr>
                <w:rFonts w:ascii="Calibri" w:eastAsia="Times New Roman" w:hAnsi="Calibri" w:cs="Calibri"/>
                <w:b/>
                <w:bCs/>
                <w:sz w:val="18"/>
                <w:szCs w:val="18"/>
                <w:lang w:eastAsia="cs-CZ"/>
              </w:rPr>
              <w:t>2016</w:t>
            </w:r>
          </w:p>
        </w:tc>
        <w:tc>
          <w:tcPr>
            <w:tcW w:w="847" w:type="dxa"/>
            <w:tcBorders>
              <w:top w:val="nil"/>
              <w:left w:val="nil"/>
              <w:bottom w:val="single" w:sz="4" w:space="0" w:color="auto"/>
              <w:right w:val="single" w:sz="4" w:space="0" w:color="auto"/>
            </w:tcBorders>
            <w:shd w:val="clear" w:color="000000" w:fill="F2F2F2"/>
            <w:vAlign w:val="center"/>
            <w:hideMark/>
          </w:tcPr>
          <w:p w14:paraId="22FD481E" w14:textId="77777777" w:rsidR="00954688" w:rsidRPr="009C7FAD" w:rsidRDefault="00954688" w:rsidP="000C49A5">
            <w:pPr>
              <w:spacing w:before="0"/>
              <w:jc w:val="center"/>
              <w:rPr>
                <w:rFonts w:ascii="Calibri" w:eastAsia="Times New Roman" w:hAnsi="Calibri" w:cs="Calibri"/>
                <w:b/>
                <w:bCs/>
                <w:sz w:val="18"/>
                <w:szCs w:val="18"/>
                <w:lang w:eastAsia="cs-CZ"/>
              </w:rPr>
            </w:pPr>
            <w:r w:rsidRPr="009C7FAD">
              <w:rPr>
                <w:rFonts w:ascii="Calibri" w:eastAsia="Times New Roman" w:hAnsi="Calibri" w:cs="Calibri"/>
                <w:b/>
                <w:bCs/>
                <w:sz w:val="18"/>
                <w:szCs w:val="18"/>
                <w:lang w:eastAsia="cs-CZ"/>
              </w:rPr>
              <w:t>2017</w:t>
            </w:r>
          </w:p>
        </w:tc>
        <w:tc>
          <w:tcPr>
            <w:tcW w:w="851" w:type="dxa"/>
            <w:tcBorders>
              <w:top w:val="nil"/>
              <w:left w:val="nil"/>
              <w:bottom w:val="single" w:sz="4" w:space="0" w:color="auto"/>
              <w:right w:val="single" w:sz="4" w:space="0" w:color="auto"/>
            </w:tcBorders>
            <w:shd w:val="clear" w:color="000000" w:fill="F2F2F2"/>
            <w:vAlign w:val="center"/>
            <w:hideMark/>
          </w:tcPr>
          <w:p w14:paraId="69C474D2" w14:textId="77777777" w:rsidR="00954688" w:rsidRPr="009C7FAD" w:rsidRDefault="00954688" w:rsidP="000C49A5">
            <w:pPr>
              <w:spacing w:before="0"/>
              <w:jc w:val="center"/>
              <w:rPr>
                <w:rFonts w:ascii="Calibri" w:eastAsia="Times New Roman" w:hAnsi="Calibri" w:cs="Calibri"/>
                <w:b/>
                <w:bCs/>
                <w:sz w:val="18"/>
                <w:szCs w:val="18"/>
                <w:lang w:eastAsia="cs-CZ"/>
              </w:rPr>
            </w:pPr>
            <w:r w:rsidRPr="009C7FAD">
              <w:rPr>
                <w:rFonts w:ascii="Calibri" w:eastAsia="Times New Roman" w:hAnsi="Calibri" w:cs="Calibri"/>
                <w:b/>
                <w:bCs/>
                <w:sz w:val="18"/>
                <w:szCs w:val="18"/>
                <w:lang w:eastAsia="cs-CZ"/>
              </w:rPr>
              <w:t>2018</w:t>
            </w:r>
          </w:p>
        </w:tc>
      </w:tr>
      <w:tr w:rsidR="00954688" w:rsidRPr="009C7FAD" w14:paraId="4241796F" w14:textId="77777777" w:rsidTr="000C49A5">
        <w:trPr>
          <w:trHeight w:val="243"/>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347065A7" w14:textId="77777777" w:rsidR="00954688" w:rsidRPr="009C7FAD" w:rsidRDefault="00954688" w:rsidP="000C49A5">
            <w:pPr>
              <w:spacing w:before="0"/>
              <w:jc w:val="lef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Ekonomické subjekty celkem (podle RES)</w:t>
            </w:r>
          </w:p>
        </w:tc>
        <w:tc>
          <w:tcPr>
            <w:tcW w:w="847" w:type="dxa"/>
            <w:tcBorders>
              <w:top w:val="nil"/>
              <w:left w:val="nil"/>
              <w:bottom w:val="single" w:sz="4" w:space="0" w:color="auto"/>
              <w:right w:val="single" w:sz="4" w:space="0" w:color="auto"/>
            </w:tcBorders>
            <w:shd w:val="clear" w:color="auto" w:fill="auto"/>
            <w:noWrap/>
            <w:vAlign w:val="bottom"/>
            <w:hideMark/>
          </w:tcPr>
          <w:p w14:paraId="56F8970D"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29 626</w:t>
            </w:r>
          </w:p>
        </w:tc>
        <w:tc>
          <w:tcPr>
            <w:tcW w:w="847" w:type="dxa"/>
            <w:tcBorders>
              <w:top w:val="nil"/>
              <w:left w:val="nil"/>
              <w:bottom w:val="single" w:sz="4" w:space="0" w:color="auto"/>
              <w:right w:val="single" w:sz="4" w:space="0" w:color="auto"/>
            </w:tcBorders>
            <w:shd w:val="clear" w:color="auto" w:fill="auto"/>
            <w:noWrap/>
            <w:vAlign w:val="bottom"/>
            <w:hideMark/>
          </w:tcPr>
          <w:p w14:paraId="19C7B055"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29 734</w:t>
            </w:r>
          </w:p>
        </w:tc>
        <w:tc>
          <w:tcPr>
            <w:tcW w:w="847" w:type="dxa"/>
            <w:tcBorders>
              <w:top w:val="nil"/>
              <w:left w:val="nil"/>
              <w:bottom w:val="single" w:sz="4" w:space="0" w:color="auto"/>
              <w:right w:val="single" w:sz="4" w:space="0" w:color="auto"/>
            </w:tcBorders>
            <w:shd w:val="clear" w:color="auto" w:fill="auto"/>
            <w:noWrap/>
            <w:vAlign w:val="bottom"/>
            <w:hideMark/>
          </w:tcPr>
          <w:p w14:paraId="1CC461DB"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29 739</w:t>
            </w:r>
          </w:p>
        </w:tc>
        <w:tc>
          <w:tcPr>
            <w:tcW w:w="847" w:type="dxa"/>
            <w:tcBorders>
              <w:top w:val="nil"/>
              <w:left w:val="nil"/>
              <w:bottom w:val="single" w:sz="4" w:space="0" w:color="auto"/>
              <w:right w:val="single" w:sz="4" w:space="0" w:color="auto"/>
            </w:tcBorders>
            <w:shd w:val="clear" w:color="auto" w:fill="auto"/>
            <w:noWrap/>
            <w:vAlign w:val="bottom"/>
            <w:hideMark/>
          </w:tcPr>
          <w:p w14:paraId="34EAD225"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29 949</w:t>
            </w:r>
          </w:p>
        </w:tc>
        <w:tc>
          <w:tcPr>
            <w:tcW w:w="851" w:type="dxa"/>
            <w:tcBorders>
              <w:top w:val="nil"/>
              <w:left w:val="nil"/>
              <w:bottom w:val="single" w:sz="4" w:space="0" w:color="auto"/>
              <w:right w:val="single" w:sz="4" w:space="0" w:color="auto"/>
            </w:tcBorders>
            <w:shd w:val="clear" w:color="auto" w:fill="auto"/>
            <w:noWrap/>
            <w:vAlign w:val="bottom"/>
            <w:hideMark/>
          </w:tcPr>
          <w:p w14:paraId="2F8CA923"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30 248</w:t>
            </w:r>
          </w:p>
        </w:tc>
      </w:tr>
      <w:tr w:rsidR="00954688" w:rsidRPr="009C7FAD" w14:paraId="66FC757C" w14:textId="77777777" w:rsidTr="000C49A5">
        <w:trPr>
          <w:trHeight w:val="26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64DC695E" w14:textId="77777777" w:rsidR="00954688" w:rsidRPr="009C7FAD" w:rsidRDefault="00954688" w:rsidP="000C49A5">
            <w:pPr>
              <w:spacing w:before="0"/>
              <w:jc w:val="left"/>
              <w:rPr>
                <w:rFonts w:ascii="Calibri" w:eastAsia="Times New Roman" w:hAnsi="Calibri" w:cs="Calibri"/>
                <w:sz w:val="18"/>
                <w:szCs w:val="18"/>
                <w:lang w:eastAsia="cs-CZ"/>
              </w:rPr>
            </w:pPr>
            <w:r>
              <w:rPr>
                <w:rFonts w:ascii="Calibri" w:eastAsia="Times New Roman" w:hAnsi="Calibri" w:cs="Calibri"/>
                <w:sz w:val="18"/>
                <w:szCs w:val="18"/>
                <w:lang w:eastAsia="cs-CZ"/>
              </w:rPr>
              <w:t>Počet subjektů</w:t>
            </w:r>
            <w:r w:rsidRPr="009C7FAD">
              <w:rPr>
                <w:rFonts w:ascii="Calibri" w:eastAsia="Times New Roman" w:hAnsi="Calibri" w:cs="Calibri"/>
                <w:sz w:val="18"/>
                <w:szCs w:val="18"/>
                <w:lang w:eastAsia="cs-CZ"/>
              </w:rPr>
              <w:t xml:space="preserve"> podle počtu zaměstnanců</w:t>
            </w:r>
          </w:p>
        </w:tc>
        <w:tc>
          <w:tcPr>
            <w:tcW w:w="847" w:type="dxa"/>
            <w:tcBorders>
              <w:top w:val="nil"/>
              <w:left w:val="nil"/>
              <w:bottom w:val="single" w:sz="4" w:space="0" w:color="auto"/>
              <w:right w:val="single" w:sz="4" w:space="0" w:color="auto"/>
            </w:tcBorders>
            <w:shd w:val="clear" w:color="auto" w:fill="auto"/>
            <w:noWrap/>
            <w:vAlign w:val="bottom"/>
            <w:hideMark/>
          </w:tcPr>
          <w:p w14:paraId="76C33760"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 </w:t>
            </w:r>
          </w:p>
        </w:tc>
        <w:tc>
          <w:tcPr>
            <w:tcW w:w="847" w:type="dxa"/>
            <w:tcBorders>
              <w:top w:val="nil"/>
              <w:left w:val="nil"/>
              <w:bottom w:val="single" w:sz="4" w:space="0" w:color="auto"/>
              <w:right w:val="single" w:sz="4" w:space="0" w:color="auto"/>
            </w:tcBorders>
            <w:shd w:val="clear" w:color="auto" w:fill="auto"/>
            <w:noWrap/>
            <w:vAlign w:val="bottom"/>
            <w:hideMark/>
          </w:tcPr>
          <w:p w14:paraId="3A306439"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 </w:t>
            </w:r>
          </w:p>
        </w:tc>
        <w:tc>
          <w:tcPr>
            <w:tcW w:w="847" w:type="dxa"/>
            <w:tcBorders>
              <w:top w:val="nil"/>
              <w:left w:val="nil"/>
              <w:bottom w:val="single" w:sz="4" w:space="0" w:color="auto"/>
              <w:right w:val="single" w:sz="4" w:space="0" w:color="auto"/>
            </w:tcBorders>
            <w:shd w:val="clear" w:color="auto" w:fill="auto"/>
            <w:noWrap/>
            <w:vAlign w:val="bottom"/>
            <w:hideMark/>
          </w:tcPr>
          <w:p w14:paraId="6D81AC68"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 </w:t>
            </w:r>
          </w:p>
        </w:tc>
        <w:tc>
          <w:tcPr>
            <w:tcW w:w="847" w:type="dxa"/>
            <w:tcBorders>
              <w:top w:val="nil"/>
              <w:left w:val="nil"/>
              <w:bottom w:val="single" w:sz="4" w:space="0" w:color="auto"/>
              <w:right w:val="single" w:sz="4" w:space="0" w:color="auto"/>
            </w:tcBorders>
            <w:shd w:val="clear" w:color="auto" w:fill="auto"/>
            <w:noWrap/>
            <w:vAlign w:val="bottom"/>
            <w:hideMark/>
          </w:tcPr>
          <w:p w14:paraId="22BFF97C"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 </w:t>
            </w:r>
          </w:p>
        </w:tc>
        <w:tc>
          <w:tcPr>
            <w:tcW w:w="851" w:type="dxa"/>
            <w:tcBorders>
              <w:top w:val="nil"/>
              <w:left w:val="nil"/>
              <w:bottom w:val="single" w:sz="4" w:space="0" w:color="auto"/>
              <w:right w:val="single" w:sz="4" w:space="0" w:color="auto"/>
            </w:tcBorders>
            <w:shd w:val="clear" w:color="auto" w:fill="auto"/>
            <w:noWrap/>
            <w:vAlign w:val="bottom"/>
            <w:hideMark/>
          </w:tcPr>
          <w:p w14:paraId="39D2CC82"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 </w:t>
            </w:r>
          </w:p>
        </w:tc>
      </w:tr>
      <w:tr w:rsidR="00954688" w:rsidRPr="009C7FAD" w14:paraId="41A68D44" w14:textId="77777777" w:rsidTr="000C49A5">
        <w:trPr>
          <w:trHeight w:val="26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7E340337" w14:textId="77777777" w:rsidR="00954688" w:rsidRPr="009C7FAD" w:rsidRDefault="00954688" w:rsidP="000C49A5">
            <w:pPr>
              <w:spacing w:before="0"/>
              <w:ind w:firstLineChars="100" w:firstLine="180"/>
              <w:jc w:val="lef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bez zaměstnanců</w:t>
            </w:r>
          </w:p>
        </w:tc>
        <w:tc>
          <w:tcPr>
            <w:tcW w:w="847" w:type="dxa"/>
            <w:tcBorders>
              <w:top w:val="nil"/>
              <w:left w:val="nil"/>
              <w:bottom w:val="single" w:sz="4" w:space="0" w:color="auto"/>
              <w:right w:val="single" w:sz="4" w:space="0" w:color="auto"/>
            </w:tcBorders>
            <w:shd w:val="clear" w:color="auto" w:fill="auto"/>
            <w:noWrap/>
            <w:vAlign w:val="bottom"/>
            <w:hideMark/>
          </w:tcPr>
          <w:p w14:paraId="2C6C47C6"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8 955</w:t>
            </w:r>
          </w:p>
        </w:tc>
        <w:tc>
          <w:tcPr>
            <w:tcW w:w="847" w:type="dxa"/>
            <w:tcBorders>
              <w:top w:val="nil"/>
              <w:left w:val="nil"/>
              <w:bottom w:val="single" w:sz="4" w:space="0" w:color="auto"/>
              <w:right w:val="single" w:sz="4" w:space="0" w:color="auto"/>
            </w:tcBorders>
            <w:shd w:val="clear" w:color="auto" w:fill="auto"/>
            <w:noWrap/>
            <w:vAlign w:val="bottom"/>
            <w:hideMark/>
          </w:tcPr>
          <w:p w14:paraId="510A34E5"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8 898</w:t>
            </w:r>
          </w:p>
        </w:tc>
        <w:tc>
          <w:tcPr>
            <w:tcW w:w="847" w:type="dxa"/>
            <w:tcBorders>
              <w:top w:val="nil"/>
              <w:left w:val="nil"/>
              <w:bottom w:val="single" w:sz="4" w:space="0" w:color="auto"/>
              <w:right w:val="single" w:sz="4" w:space="0" w:color="auto"/>
            </w:tcBorders>
            <w:shd w:val="clear" w:color="auto" w:fill="auto"/>
            <w:noWrap/>
            <w:vAlign w:val="bottom"/>
            <w:hideMark/>
          </w:tcPr>
          <w:p w14:paraId="0F9C175A"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8 881</w:t>
            </w:r>
          </w:p>
        </w:tc>
        <w:tc>
          <w:tcPr>
            <w:tcW w:w="847" w:type="dxa"/>
            <w:tcBorders>
              <w:top w:val="nil"/>
              <w:left w:val="nil"/>
              <w:bottom w:val="single" w:sz="4" w:space="0" w:color="auto"/>
              <w:right w:val="single" w:sz="4" w:space="0" w:color="auto"/>
            </w:tcBorders>
            <w:shd w:val="clear" w:color="auto" w:fill="auto"/>
            <w:noWrap/>
            <w:vAlign w:val="bottom"/>
            <w:hideMark/>
          </w:tcPr>
          <w:p w14:paraId="72388938"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8 933</w:t>
            </w:r>
          </w:p>
        </w:tc>
        <w:tc>
          <w:tcPr>
            <w:tcW w:w="851" w:type="dxa"/>
            <w:tcBorders>
              <w:top w:val="nil"/>
              <w:left w:val="nil"/>
              <w:bottom w:val="single" w:sz="4" w:space="0" w:color="auto"/>
              <w:right w:val="single" w:sz="4" w:space="0" w:color="auto"/>
            </w:tcBorders>
            <w:shd w:val="clear" w:color="auto" w:fill="auto"/>
            <w:noWrap/>
            <w:vAlign w:val="bottom"/>
            <w:hideMark/>
          </w:tcPr>
          <w:p w14:paraId="7DF52C04"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9 133</w:t>
            </w:r>
          </w:p>
        </w:tc>
      </w:tr>
      <w:tr w:rsidR="00954688" w:rsidRPr="009C7FAD" w14:paraId="050264F5" w14:textId="77777777" w:rsidTr="000C49A5">
        <w:trPr>
          <w:trHeight w:val="260"/>
        </w:trPr>
        <w:tc>
          <w:tcPr>
            <w:tcW w:w="4700" w:type="dxa"/>
            <w:tcBorders>
              <w:top w:val="nil"/>
              <w:left w:val="single" w:sz="4" w:space="0" w:color="auto"/>
              <w:bottom w:val="single" w:sz="4" w:space="0" w:color="auto"/>
              <w:right w:val="single" w:sz="4" w:space="0" w:color="auto"/>
            </w:tcBorders>
            <w:shd w:val="clear" w:color="auto" w:fill="auto"/>
            <w:noWrap/>
            <w:vAlign w:val="bottom"/>
            <w:hideMark/>
          </w:tcPr>
          <w:p w14:paraId="2D862E44" w14:textId="5A45B700" w:rsidR="00954688" w:rsidRPr="009C7FAD" w:rsidRDefault="008D7DFD" w:rsidP="000C49A5">
            <w:pPr>
              <w:spacing w:before="0"/>
              <w:ind w:firstLineChars="100" w:firstLine="180"/>
              <w:jc w:val="left"/>
              <w:rPr>
                <w:rFonts w:ascii="Calibri" w:eastAsia="Times New Roman" w:hAnsi="Calibri" w:cs="Calibri"/>
                <w:sz w:val="18"/>
                <w:szCs w:val="18"/>
                <w:lang w:eastAsia="cs-CZ"/>
              </w:rPr>
            </w:pPr>
            <w:r>
              <w:rPr>
                <w:rFonts w:ascii="Calibri" w:eastAsia="Times New Roman" w:hAnsi="Calibri" w:cs="Calibri"/>
                <w:sz w:val="18"/>
                <w:szCs w:val="18"/>
                <w:lang w:eastAsia="cs-CZ"/>
              </w:rPr>
              <w:t xml:space="preserve">1 </w:t>
            </w:r>
            <w:r>
              <w:rPr>
                <w:rFonts w:ascii="Calibri" w:eastAsia="Times New Roman" w:hAnsi="Calibri" w:cs="Calibri"/>
                <w:sz w:val="18"/>
                <w:szCs w:val="18"/>
                <w:lang w:eastAsia="cs-CZ"/>
              </w:rPr>
              <w:sym w:font="Symbol" w:char="F02D"/>
            </w:r>
            <w:r>
              <w:rPr>
                <w:rFonts w:ascii="Calibri" w:eastAsia="Times New Roman" w:hAnsi="Calibri" w:cs="Calibri"/>
                <w:sz w:val="18"/>
                <w:szCs w:val="18"/>
                <w:lang w:eastAsia="cs-CZ"/>
              </w:rPr>
              <w:t xml:space="preserve"> </w:t>
            </w:r>
            <w:r w:rsidR="00954688" w:rsidRPr="009C7FAD">
              <w:rPr>
                <w:rFonts w:ascii="Calibri" w:eastAsia="Times New Roman" w:hAnsi="Calibri" w:cs="Calibri"/>
                <w:sz w:val="18"/>
                <w:szCs w:val="18"/>
                <w:lang w:eastAsia="cs-CZ"/>
              </w:rPr>
              <w:t>9 zaměstnanci (mikropodniky)</w:t>
            </w:r>
          </w:p>
        </w:tc>
        <w:tc>
          <w:tcPr>
            <w:tcW w:w="847" w:type="dxa"/>
            <w:tcBorders>
              <w:top w:val="nil"/>
              <w:left w:val="nil"/>
              <w:bottom w:val="single" w:sz="4" w:space="0" w:color="auto"/>
              <w:right w:val="single" w:sz="4" w:space="0" w:color="auto"/>
            </w:tcBorders>
            <w:shd w:val="clear" w:color="auto" w:fill="auto"/>
            <w:noWrap/>
            <w:vAlign w:val="bottom"/>
            <w:hideMark/>
          </w:tcPr>
          <w:p w14:paraId="0FA9A1E6"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2 353</w:t>
            </w:r>
          </w:p>
        </w:tc>
        <w:tc>
          <w:tcPr>
            <w:tcW w:w="847" w:type="dxa"/>
            <w:tcBorders>
              <w:top w:val="nil"/>
              <w:left w:val="nil"/>
              <w:bottom w:val="single" w:sz="4" w:space="0" w:color="auto"/>
              <w:right w:val="single" w:sz="4" w:space="0" w:color="auto"/>
            </w:tcBorders>
            <w:shd w:val="clear" w:color="auto" w:fill="auto"/>
            <w:noWrap/>
            <w:vAlign w:val="bottom"/>
            <w:hideMark/>
          </w:tcPr>
          <w:p w14:paraId="79B4BB0F"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2 326</w:t>
            </w:r>
          </w:p>
        </w:tc>
        <w:tc>
          <w:tcPr>
            <w:tcW w:w="847" w:type="dxa"/>
            <w:tcBorders>
              <w:top w:val="nil"/>
              <w:left w:val="nil"/>
              <w:bottom w:val="single" w:sz="4" w:space="0" w:color="auto"/>
              <w:right w:val="single" w:sz="4" w:space="0" w:color="auto"/>
            </w:tcBorders>
            <w:shd w:val="clear" w:color="auto" w:fill="auto"/>
            <w:noWrap/>
            <w:vAlign w:val="bottom"/>
            <w:hideMark/>
          </w:tcPr>
          <w:p w14:paraId="25792BBB"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2 425</w:t>
            </w:r>
          </w:p>
        </w:tc>
        <w:tc>
          <w:tcPr>
            <w:tcW w:w="847" w:type="dxa"/>
            <w:tcBorders>
              <w:top w:val="nil"/>
              <w:left w:val="nil"/>
              <w:bottom w:val="single" w:sz="4" w:space="0" w:color="auto"/>
              <w:right w:val="single" w:sz="4" w:space="0" w:color="auto"/>
            </w:tcBorders>
            <w:shd w:val="clear" w:color="auto" w:fill="auto"/>
            <w:noWrap/>
            <w:vAlign w:val="bottom"/>
            <w:hideMark/>
          </w:tcPr>
          <w:p w14:paraId="348F7362"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2 427</w:t>
            </w:r>
          </w:p>
        </w:tc>
        <w:tc>
          <w:tcPr>
            <w:tcW w:w="851" w:type="dxa"/>
            <w:tcBorders>
              <w:top w:val="nil"/>
              <w:left w:val="nil"/>
              <w:bottom w:val="single" w:sz="4" w:space="0" w:color="auto"/>
              <w:right w:val="single" w:sz="4" w:space="0" w:color="auto"/>
            </w:tcBorders>
            <w:shd w:val="clear" w:color="auto" w:fill="auto"/>
            <w:noWrap/>
            <w:vAlign w:val="bottom"/>
            <w:hideMark/>
          </w:tcPr>
          <w:p w14:paraId="7E4A5741"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2 416</w:t>
            </w:r>
          </w:p>
        </w:tc>
      </w:tr>
      <w:tr w:rsidR="00954688" w:rsidRPr="009C7FAD" w14:paraId="590D031E" w14:textId="77777777" w:rsidTr="000C49A5">
        <w:trPr>
          <w:trHeight w:val="260"/>
        </w:trPr>
        <w:tc>
          <w:tcPr>
            <w:tcW w:w="4700" w:type="dxa"/>
            <w:tcBorders>
              <w:top w:val="nil"/>
              <w:left w:val="single" w:sz="4" w:space="0" w:color="auto"/>
              <w:bottom w:val="single" w:sz="4" w:space="0" w:color="auto"/>
              <w:right w:val="single" w:sz="4" w:space="0" w:color="auto"/>
            </w:tcBorders>
            <w:shd w:val="clear" w:color="auto" w:fill="auto"/>
            <w:noWrap/>
            <w:vAlign w:val="bottom"/>
            <w:hideMark/>
          </w:tcPr>
          <w:p w14:paraId="47E7C6B9" w14:textId="39BA4435" w:rsidR="00954688" w:rsidRPr="009C7FAD" w:rsidRDefault="00954688" w:rsidP="000C49A5">
            <w:pPr>
              <w:spacing w:before="0"/>
              <w:ind w:firstLineChars="100" w:firstLine="180"/>
              <w:jc w:val="lef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10</w:t>
            </w:r>
            <w:r w:rsidR="008D7DFD">
              <w:rPr>
                <w:rFonts w:ascii="Calibri" w:eastAsia="Times New Roman" w:hAnsi="Calibri" w:cs="Calibri"/>
                <w:sz w:val="18"/>
                <w:szCs w:val="18"/>
                <w:lang w:eastAsia="cs-CZ"/>
              </w:rPr>
              <w:t xml:space="preserve"> </w:t>
            </w:r>
            <w:r w:rsidRPr="009C7FAD">
              <w:rPr>
                <w:rFonts w:ascii="Calibri" w:eastAsia="Times New Roman" w:hAnsi="Calibri" w:cs="Calibri"/>
                <w:sz w:val="18"/>
                <w:szCs w:val="18"/>
                <w:lang w:eastAsia="cs-CZ"/>
              </w:rPr>
              <w:t>–</w:t>
            </w:r>
            <w:r w:rsidR="008D7DFD">
              <w:rPr>
                <w:rFonts w:ascii="Calibri" w:eastAsia="Times New Roman" w:hAnsi="Calibri" w:cs="Calibri"/>
                <w:sz w:val="18"/>
                <w:szCs w:val="18"/>
                <w:lang w:eastAsia="cs-CZ"/>
              </w:rPr>
              <w:t xml:space="preserve"> </w:t>
            </w:r>
            <w:r w:rsidRPr="009C7FAD">
              <w:rPr>
                <w:rFonts w:ascii="Calibri" w:eastAsia="Times New Roman" w:hAnsi="Calibri" w:cs="Calibri"/>
                <w:sz w:val="18"/>
                <w:szCs w:val="18"/>
                <w:lang w:eastAsia="cs-CZ"/>
              </w:rPr>
              <w:t>49 zaměstnanci (malé podniky)</w:t>
            </w:r>
          </w:p>
        </w:tc>
        <w:tc>
          <w:tcPr>
            <w:tcW w:w="847" w:type="dxa"/>
            <w:tcBorders>
              <w:top w:val="nil"/>
              <w:left w:val="nil"/>
              <w:bottom w:val="single" w:sz="4" w:space="0" w:color="auto"/>
              <w:right w:val="single" w:sz="4" w:space="0" w:color="auto"/>
            </w:tcBorders>
            <w:shd w:val="clear" w:color="auto" w:fill="auto"/>
            <w:noWrap/>
            <w:vAlign w:val="bottom"/>
            <w:hideMark/>
          </w:tcPr>
          <w:p w14:paraId="21BF7822"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485</w:t>
            </w:r>
          </w:p>
        </w:tc>
        <w:tc>
          <w:tcPr>
            <w:tcW w:w="847" w:type="dxa"/>
            <w:tcBorders>
              <w:top w:val="nil"/>
              <w:left w:val="nil"/>
              <w:bottom w:val="single" w:sz="4" w:space="0" w:color="auto"/>
              <w:right w:val="single" w:sz="4" w:space="0" w:color="auto"/>
            </w:tcBorders>
            <w:shd w:val="clear" w:color="auto" w:fill="auto"/>
            <w:noWrap/>
            <w:vAlign w:val="bottom"/>
            <w:hideMark/>
          </w:tcPr>
          <w:p w14:paraId="49706A6C"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482</w:t>
            </w:r>
          </w:p>
        </w:tc>
        <w:tc>
          <w:tcPr>
            <w:tcW w:w="847" w:type="dxa"/>
            <w:tcBorders>
              <w:top w:val="nil"/>
              <w:left w:val="nil"/>
              <w:bottom w:val="single" w:sz="4" w:space="0" w:color="auto"/>
              <w:right w:val="single" w:sz="4" w:space="0" w:color="auto"/>
            </w:tcBorders>
            <w:shd w:val="clear" w:color="auto" w:fill="auto"/>
            <w:noWrap/>
            <w:vAlign w:val="bottom"/>
            <w:hideMark/>
          </w:tcPr>
          <w:p w14:paraId="78AF824E"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476</w:t>
            </w:r>
          </w:p>
        </w:tc>
        <w:tc>
          <w:tcPr>
            <w:tcW w:w="847" w:type="dxa"/>
            <w:tcBorders>
              <w:top w:val="nil"/>
              <w:left w:val="nil"/>
              <w:bottom w:val="single" w:sz="4" w:space="0" w:color="auto"/>
              <w:right w:val="single" w:sz="4" w:space="0" w:color="auto"/>
            </w:tcBorders>
            <w:shd w:val="clear" w:color="auto" w:fill="auto"/>
            <w:noWrap/>
            <w:vAlign w:val="bottom"/>
            <w:hideMark/>
          </w:tcPr>
          <w:p w14:paraId="0026D8B6"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503</w:t>
            </w:r>
          </w:p>
        </w:tc>
        <w:tc>
          <w:tcPr>
            <w:tcW w:w="851" w:type="dxa"/>
            <w:tcBorders>
              <w:top w:val="nil"/>
              <w:left w:val="nil"/>
              <w:bottom w:val="single" w:sz="4" w:space="0" w:color="auto"/>
              <w:right w:val="single" w:sz="4" w:space="0" w:color="auto"/>
            </w:tcBorders>
            <w:shd w:val="clear" w:color="auto" w:fill="auto"/>
            <w:noWrap/>
            <w:vAlign w:val="bottom"/>
            <w:hideMark/>
          </w:tcPr>
          <w:p w14:paraId="6D5460A8"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506</w:t>
            </w:r>
          </w:p>
        </w:tc>
      </w:tr>
      <w:tr w:rsidR="00954688" w:rsidRPr="009C7FAD" w14:paraId="2366943D" w14:textId="77777777" w:rsidTr="000C49A5">
        <w:trPr>
          <w:trHeight w:val="260"/>
        </w:trPr>
        <w:tc>
          <w:tcPr>
            <w:tcW w:w="4700" w:type="dxa"/>
            <w:tcBorders>
              <w:top w:val="nil"/>
              <w:left w:val="single" w:sz="4" w:space="0" w:color="auto"/>
              <w:bottom w:val="single" w:sz="4" w:space="0" w:color="auto"/>
              <w:right w:val="single" w:sz="4" w:space="0" w:color="auto"/>
            </w:tcBorders>
            <w:shd w:val="clear" w:color="auto" w:fill="auto"/>
            <w:noWrap/>
            <w:vAlign w:val="bottom"/>
            <w:hideMark/>
          </w:tcPr>
          <w:p w14:paraId="633D8850" w14:textId="1B6D0ACE" w:rsidR="00954688" w:rsidRPr="009C7FAD" w:rsidRDefault="00954688" w:rsidP="000C49A5">
            <w:pPr>
              <w:spacing w:before="0"/>
              <w:ind w:firstLineChars="100" w:firstLine="180"/>
              <w:jc w:val="lef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50</w:t>
            </w:r>
            <w:r w:rsidR="008D7DFD">
              <w:rPr>
                <w:rFonts w:ascii="Calibri" w:eastAsia="Times New Roman" w:hAnsi="Calibri" w:cs="Calibri"/>
                <w:sz w:val="18"/>
                <w:szCs w:val="18"/>
                <w:lang w:eastAsia="cs-CZ"/>
              </w:rPr>
              <w:t xml:space="preserve"> </w:t>
            </w:r>
            <w:r w:rsidRPr="009C7FAD">
              <w:rPr>
                <w:rFonts w:ascii="Calibri" w:eastAsia="Times New Roman" w:hAnsi="Calibri" w:cs="Calibri"/>
                <w:sz w:val="18"/>
                <w:szCs w:val="18"/>
                <w:lang w:eastAsia="cs-CZ"/>
              </w:rPr>
              <w:t>–</w:t>
            </w:r>
            <w:r w:rsidR="008D7DFD">
              <w:rPr>
                <w:rFonts w:ascii="Calibri" w:eastAsia="Times New Roman" w:hAnsi="Calibri" w:cs="Calibri"/>
                <w:sz w:val="18"/>
                <w:szCs w:val="18"/>
                <w:lang w:eastAsia="cs-CZ"/>
              </w:rPr>
              <w:t xml:space="preserve"> </w:t>
            </w:r>
            <w:r w:rsidRPr="009C7FAD">
              <w:rPr>
                <w:rFonts w:ascii="Calibri" w:eastAsia="Times New Roman" w:hAnsi="Calibri" w:cs="Calibri"/>
                <w:sz w:val="18"/>
                <w:szCs w:val="18"/>
                <w:lang w:eastAsia="cs-CZ"/>
              </w:rPr>
              <w:t>249 zaměstnanci (střední podniky)</w:t>
            </w:r>
          </w:p>
        </w:tc>
        <w:tc>
          <w:tcPr>
            <w:tcW w:w="847" w:type="dxa"/>
            <w:tcBorders>
              <w:top w:val="nil"/>
              <w:left w:val="nil"/>
              <w:bottom w:val="single" w:sz="4" w:space="0" w:color="auto"/>
              <w:right w:val="single" w:sz="4" w:space="0" w:color="auto"/>
            </w:tcBorders>
            <w:shd w:val="clear" w:color="auto" w:fill="auto"/>
            <w:noWrap/>
            <w:vAlign w:val="bottom"/>
            <w:hideMark/>
          </w:tcPr>
          <w:p w14:paraId="4AA34CEA"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133</w:t>
            </w:r>
          </w:p>
        </w:tc>
        <w:tc>
          <w:tcPr>
            <w:tcW w:w="847" w:type="dxa"/>
            <w:tcBorders>
              <w:top w:val="nil"/>
              <w:left w:val="nil"/>
              <w:bottom w:val="single" w:sz="4" w:space="0" w:color="auto"/>
              <w:right w:val="single" w:sz="4" w:space="0" w:color="auto"/>
            </w:tcBorders>
            <w:shd w:val="clear" w:color="auto" w:fill="auto"/>
            <w:noWrap/>
            <w:vAlign w:val="bottom"/>
            <w:hideMark/>
          </w:tcPr>
          <w:p w14:paraId="75CA7D67"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138</w:t>
            </w:r>
          </w:p>
        </w:tc>
        <w:tc>
          <w:tcPr>
            <w:tcW w:w="847" w:type="dxa"/>
            <w:tcBorders>
              <w:top w:val="nil"/>
              <w:left w:val="nil"/>
              <w:bottom w:val="single" w:sz="4" w:space="0" w:color="auto"/>
              <w:right w:val="single" w:sz="4" w:space="0" w:color="auto"/>
            </w:tcBorders>
            <w:shd w:val="clear" w:color="auto" w:fill="auto"/>
            <w:noWrap/>
            <w:vAlign w:val="bottom"/>
            <w:hideMark/>
          </w:tcPr>
          <w:p w14:paraId="7439D4CC"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141</w:t>
            </w:r>
          </w:p>
        </w:tc>
        <w:tc>
          <w:tcPr>
            <w:tcW w:w="847" w:type="dxa"/>
            <w:tcBorders>
              <w:top w:val="nil"/>
              <w:left w:val="nil"/>
              <w:bottom w:val="single" w:sz="4" w:space="0" w:color="auto"/>
              <w:right w:val="single" w:sz="4" w:space="0" w:color="auto"/>
            </w:tcBorders>
            <w:shd w:val="clear" w:color="auto" w:fill="auto"/>
            <w:noWrap/>
            <w:vAlign w:val="bottom"/>
            <w:hideMark/>
          </w:tcPr>
          <w:p w14:paraId="69A58407"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136</w:t>
            </w:r>
          </w:p>
        </w:tc>
        <w:tc>
          <w:tcPr>
            <w:tcW w:w="851" w:type="dxa"/>
            <w:tcBorders>
              <w:top w:val="nil"/>
              <w:left w:val="nil"/>
              <w:bottom w:val="single" w:sz="4" w:space="0" w:color="auto"/>
              <w:right w:val="single" w:sz="4" w:space="0" w:color="auto"/>
            </w:tcBorders>
            <w:shd w:val="clear" w:color="auto" w:fill="auto"/>
            <w:noWrap/>
            <w:vAlign w:val="bottom"/>
            <w:hideMark/>
          </w:tcPr>
          <w:p w14:paraId="0DC6EC5E"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137</w:t>
            </w:r>
          </w:p>
        </w:tc>
      </w:tr>
      <w:tr w:rsidR="00954688" w:rsidRPr="009C7FAD" w14:paraId="01863B8A" w14:textId="77777777" w:rsidTr="000C49A5">
        <w:trPr>
          <w:trHeight w:val="260"/>
        </w:trPr>
        <w:tc>
          <w:tcPr>
            <w:tcW w:w="4700" w:type="dxa"/>
            <w:tcBorders>
              <w:top w:val="nil"/>
              <w:left w:val="single" w:sz="4" w:space="0" w:color="auto"/>
              <w:bottom w:val="single" w:sz="4" w:space="0" w:color="auto"/>
              <w:right w:val="single" w:sz="4" w:space="0" w:color="auto"/>
            </w:tcBorders>
            <w:shd w:val="clear" w:color="auto" w:fill="auto"/>
            <w:noWrap/>
            <w:vAlign w:val="bottom"/>
            <w:hideMark/>
          </w:tcPr>
          <w:p w14:paraId="3151A394" w14:textId="77777777" w:rsidR="00954688" w:rsidRPr="009C7FAD" w:rsidRDefault="00954688" w:rsidP="000C49A5">
            <w:pPr>
              <w:spacing w:before="0"/>
              <w:ind w:firstLineChars="100" w:firstLine="180"/>
              <w:jc w:val="lef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250 a více zaměstnanci (velké podniky)</w:t>
            </w:r>
          </w:p>
        </w:tc>
        <w:tc>
          <w:tcPr>
            <w:tcW w:w="847" w:type="dxa"/>
            <w:tcBorders>
              <w:top w:val="nil"/>
              <w:left w:val="nil"/>
              <w:bottom w:val="single" w:sz="4" w:space="0" w:color="auto"/>
              <w:right w:val="single" w:sz="4" w:space="0" w:color="auto"/>
            </w:tcBorders>
            <w:shd w:val="clear" w:color="auto" w:fill="auto"/>
            <w:noWrap/>
            <w:vAlign w:val="bottom"/>
            <w:hideMark/>
          </w:tcPr>
          <w:p w14:paraId="23FD402E"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24</w:t>
            </w:r>
          </w:p>
        </w:tc>
        <w:tc>
          <w:tcPr>
            <w:tcW w:w="847" w:type="dxa"/>
            <w:tcBorders>
              <w:top w:val="nil"/>
              <w:left w:val="nil"/>
              <w:bottom w:val="single" w:sz="4" w:space="0" w:color="auto"/>
              <w:right w:val="single" w:sz="4" w:space="0" w:color="auto"/>
            </w:tcBorders>
            <w:shd w:val="clear" w:color="auto" w:fill="auto"/>
            <w:noWrap/>
            <w:vAlign w:val="bottom"/>
            <w:hideMark/>
          </w:tcPr>
          <w:p w14:paraId="4593EF44"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24</w:t>
            </w:r>
          </w:p>
        </w:tc>
        <w:tc>
          <w:tcPr>
            <w:tcW w:w="847" w:type="dxa"/>
            <w:tcBorders>
              <w:top w:val="nil"/>
              <w:left w:val="nil"/>
              <w:bottom w:val="single" w:sz="4" w:space="0" w:color="auto"/>
              <w:right w:val="single" w:sz="4" w:space="0" w:color="auto"/>
            </w:tcBorders>
            <w:shd w:val="clear" w:color="auto" w:fill="auto"/>
            <w:noWrap/>
            <w:vAlign w:val="bottom"/>
            <w:hideMark/>
          </w:tcPr>
          <w:p w14:paraId="574ED347"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21</w:t>
            </w:r>
          </w:p>
        </w:tc>
        <w:tc>
          <w:tcPr>
            <w:tcW w:w="847" w:type="dxa"/>
            <w:tcBorders>
              <w:top w:val="nil"/>
              <w:left w:val="nil"/>
              <w:bottom w:val="single" w:sz="4" w:space="0" w:color="auto"/>
              <w:right w:val="single" w:sz="4" w:space="0" w:color="auto"/>
            </w:tcBorders>
            <w:shd w:val="clear" w:color="auto" w:fill="auto"/>
            <w:noWrap/>
            <w:vAlign w:val="bottom"/>
            <w:hideMark/>
          </w:tcPr>
          <w:p w14:paraId="060C20E4"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21</w:t>
            </w:r>
          </w:p>
        </w:tc>
        <w:tc>
          <w:tcPr>
            <w:tcW w:w="851" w:type="dxa"/>
            <w:tcBorders>
              <w:top w:val="nil"/>
              <w:left w:val="nil"/>
              <w:bottom w:val="single" w:sz="4" w:space="0" w:color="auto"/>
              <w:right w:val="single" w:sz="4" w:space="0" w:color="auto"/>
            </w:tcBorders>
            <w:shd w:val="clear" w:color="auto" w:fill="auto"/>
            <w:noWrap/>
            <w:vAlign w:val="bottom"/>
            <w:hideMark/>
          </w:tcPr>
          <w:p w14:paraId="1A5672FE"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23</w:t>
            </w:r>
          </w:p>
        </w:tc>
      </w:tr>
      <w:tr w:rsidR="00954688" w:rsidRPr="009C7FAD" w14:paraId="2D1F730C" w14:textId="77777777" w:rsidTr="000C49A5">
        <w:trPr>
          <w:trHeight w:val="260"/>
        </w:trPr>
        <w:tc>
          <w:tcPr>
            <w:tcW w:w="4700" w:type="dxa"/>
            <w:tcBorders>
              <w:top w:val="nil"/>
              <w:left w:val="single" w:sz="4" w:space="0" w:color="auto"/>
              <w:bottom w:val="single" w:sz="4" w:space="0" w:color="auto"/>
              <w:right w:val="single" w:sz="4" w:space="0" w:color="auto"/>
            </w:tcBorders>
            <w:shd w:val="clear" w:color="auto" w:fill="auto"/>
            <w:noWrap/>
            <w:vAlign w:val="bottom"/>
            <w:hideMark/>
          </w:tcPr>
          <w:p w14:paraId="15A6D8A1" w14:textId="77777777" w:rsidR="00954688" w:rsidRPr="009C7FAD" w:rsidRDefault="00954688" w:rsidP="000C49A5">
            <w:pPr>
              <w:spacing w:before="0"/>
              <w:ind w:firstLineChars="100" w:firstLine="180"/>
              <w:jc w:val="lef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nezjištěno</w:t>
            </w:r>
          </w:p>
        </w:tc>
        <w:tc>
          <w:tcPr>
            <w:tcW w:w="847" w:type="dxa"/>
            <w:tcBorders>
              <w:top w:val="nil"/>
              <w:left w:val="nil"/>
              <w:bottom w:val="single" w:sz="4" w:space="0" w:color="auto"/>
              <w:right w:val="single" w:sz="4" w:space="0" w:color="auto"/>
            </w:tcBorders>
            <w:shd w:val="clear" w:color="auto" w:fill="auto"/>
            <w:noWrap/>
            <w:vAlign w:val="bottom"/>
            <w:hideMark/>
          </w:tcPr>
          <w:p w14:paraId="3CD15482"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17 676</w:t>
            </w:r>
          </w:p>
        </w:tc>
        <w:tc>
          <w:tcPr>
            <w:tcW w:w="847" w:type="dxa"/>
            <w:tcBorders>
              <w:top w:val="nil"/>
              <w:left w:val="nil"/>
              <w:bottom w:val="single" w:sz="4" w:space="0" w:color="auto"/>
              <w:right w:val="single" w:sz="4" w:space="0" w:color="auto"/>
            </w:tcBorders>
            <w:shd w:val="clear" w:color="auto" w:fill="auto"/>
            <w:noWrap/>
            <w:vAlign w:val="bottom"/>
            <w:hideMark/>
          </w:tcPr>
          <w:p w14:paraId="45A3D129"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17 866</w:t>
            </w:r>
          </w:p>
        </w:tc>
        <w:tc>
          <w:tcPr>
            <w:tcW w:w="847" w:type="dxa"/>
            <w:tcBorders>
              <w:top w:val="nil"/>
              <w:left w:val="nil"/>
              <w:bottom w:val="single" w:sz="4" w:space="0" w:color="auto"/>
              <w:right w:val="single" w:sz="4" w:space="0" w:color="auto"/>
            </w:tcBorders>
            <w:shd w:val="clear" w:color="auto" w:fill="auto"/>
            <w:noWrap/>
            <w:vAlign w:val="bottom"/>
            <w:hideMark/>
          </w:tcPr>
          <w:p w14:paraId="389BF074"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17 795</w:t>
            </w:r>
          </w:p>
        </w:tc>
        <w:tc>
          <w:tcPr>
            <w:tcW w:w="847" w:type="dxa"/>
            <w:tcBorders>
              <w:top w:val="nil"/>
              <w:left w:val="nil"/>
              <w:bottom w:val="single" w:sz="4" w:space="0" w:color="auto"/>
              <w:right w:val="single" w:sz="4" w:space="0" w:color="auto"/>
            </w:tcBorders>
            <w:shd w:val="clear" w:color="auto" w:fill="auto"/>
            <w:noWrap/>
            <w:vAlign w:val="bottom"/>
            <w:hideMark/>
          </w:tcPr>
          <w:p w14:paraId="516474D2"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17 929</w:t>
            </w:r>
          </w:p>
        </w:tc>
        <w:tc>
          <w:tcPr>
            <w:tcW w:w="851" w:type="dxa"/>
            <w:tcBorders>
              <w:top w:val="nil"/>
              <w:left w:val="nil"/>
              <w:bottom w:val="single" w:sz="4" w:space="0" w:color="auto"/>
              <w:right w:val="single" w:sz="4" w:space="0" w:color="auto"/>
            </w:tcBorders>
            <w:shd w:val="clear" w:color="auto" w:fill="auto"/>
            <w:noWrap/>
            <w:vAlign w:val="bottom"/>
            <w:hideMark/>
          </w:tcPr>
          <w:p w14:paraId="15E27E99" w14:textId="77777777" w:rsidR="00954688" w:rsidRPr="009C7FAD" w:rsidRDefault="00954688" w:rsidP="000C49A5">
            <w:pPr>
              <w:spacing w:before="0"/>
              <w:jc w:val="right"/>
              <w:rPr>
                <w:rFonts w:ascii="Calibri" w:eastAsia="Times New Roman" w:hAnsi="Calibri" w:cs="Calibri"/>
                <w:sz w:val="18"/>
                <w:szCs w:val="18"/>
                <w:lang w:eastAsia="cs-CZ"/>
              </w:rPr>
            </w:pPr>
            <w:r w:rsidRPr="009C7FAD">
              <w:rPr>
                <w:rFonts w:ascii="Calibri" w:eastAsia="Times New Roman" w:hAnsi="Calibri" w:cs="Calibri"/>
                <w:sz w:val="18"/>
                <w:szCs w:val="18"/>
                <w:lang w:eastAsia="cs-CZ"/>
              </w:rPr>
              <w:t>18 033</w:t>
            </w:r>
          </w:p>
        </w:tc>
      </w:tr>
    </w:tbl>
    <w:p w14:paraId="2A8D676E" w14:textId="1A536AB6" w:rsidR="00954688" w:rsidRDefault="00954688" w:rsidP="00954688">
      <w:pPr>
        <w:spacing w:before="0" w:after="120"/>
        <w:rPr>
          <w:i/>
          <w:iCs/>
          <w:sz w:val="20"/>
        </w:rPr>
      </w:pPr>
      <w:r w:rsidRPr="00F54AB6">
        <w:rPr>
          <w:i/>
          <w:iCs/>
          <w:sz w:val="20"/>
        </w:rPr>
        <w:t xml:space="preserve">Zdroj: ČSÚ, </w:t>
      </w:r>
      <w:r>
        <w:rPr>
          <w:i/>
          <w:iCs/>
          <w:sz w:val="20"/>
        </w:rPr>
        <w:t>vybrané ukazatele za SO ORP</w:t>
      </w:r>
      <w:r w:rsidRPr="00F54AB6">
        <w:rPr>
          <w:i/>
          <w:iCs/>
          <w:sz w:val="20"/>
        </w:rPr>
        <w:t>, zpracování PROCES</w:t>
      </w:r>
      <w:r w:rsidR="008D7DFD">
        <w:rPr>
          <w:i/>
          <w:iCs/>
          <w:sz w:val="20"/>
        </w:rPr>
        <w:t>, 2020.</w:t>
      </w:r>
    </w:p>
    <w:p w14:paraId="0DC5B929" w14:textId="2719BA15" w:rsidR="00954688" w:rsidRPr="009C7FAD" w:rsidRDefault="00954688" w:rsidP="00954688">
      <w:r>
        <w:t>Na území města Zlína bylo v roce 2019 evidováno 23 582 ekonomických subjektů. Vývoj počtu ekonomických subjektů ve městě Zlín za posledních 12 let je znázorněn v grafu v</w:t>
      </w:r>
      <w:r w:rsidR="00E111E6">
        <w:t> </w:t>
      </w:r>
      <w:r>
        <w:t>obrázku</w:t>
      </w:r>
      <w:r w:rsidR="00E111E6">
        <w:t xml:space="preserve"> 1.87</w:t>
      </w:r>
      <w:r>
        <w:t>. Od roku 2008 se jejich počet snížil o 329 subjektů.</w:t>
      </w:r>
    </w:p>
    <w:p w14:paraId="755D1755" w14:textId="3BF4B70B" w:rsidR="00954688" w:rsidRDefault="00954688" w:rsidP="00954688">
      <w:pPr>
        <w:pStyle w:val="Titulek"/>
        <w:keepNext/>
        <w:keepLines/>
      </w:pPr>
      <w:bookmarkStart w:id="432" w:name="_Toc53066199"/>
      <w:bookmarkStart w:id="433" w:name="_Toc77074905"/>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87</w:t>
      </w:r>
      <w:r w:rsidR="00804AF3">
        <w:rPr>
          <w:noProof/>
        </w:rPr>
        <w:fldChar w:fldCharType="end"/>
      </w:r>
      <w:r w:rsidR="008D7DFD">
        <w:rPr>
          <w:noProof/>
        </w:rPr>
        <w:t>:</w:t>
      </w:r>
      <w:r>
        <w:t xml:space="preserve"> Vývoj počtu ekonomických subjektů na území města Zlína v období 2004 – 2019</w:t>
      </w:r>
      <w:bookmarkEnd w:id="432"/>
      <w:bookmarkEnd w:id="433"/>
    </w:p>
    <w:p w14:paraId="0F5515FD" w14:textId="77777777" w:rsidR="00954688" w:rsidRPr="00183BCA" w:rsidRDefault="00954688" w:rsidP="00954688">
      <w:r>
        <w:rPr>
          <w:noProof/>
          <w:lang w:eastAsia="cs-CZ"/>
        </w:rPr>
        <w:drawing>
          <wp:inline distT="0" distB="0" distL="0" distR="0" wp14:anchorId="764D8AEE" wp14:editId="17D7B7D6">
            <wp:extent cx="5773420" cy="2755900"/>
            <wp:effectExtent l="0" t="0" r="0" b="6350"/>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4E3932FF" w14:textId="53A27445" w:rsidR="00954688" w:rsidRDefault="00954688" w:rsidP="00954688">
      <w:pPr>
        <w:spacing w:before="0" w:after="120"/>
        <w:rPr>
          <w:i/>
          <w:iCs/>
          <w:sz w:val="20"/>
        </w:rPr>
      </w:pPr>
      <w:r w:rsidRPr="00F54AB6">
        <w:rPr>
          <w:i/>
          <w:iCs/>
          <w:sz w:val="20"/>
        </w:rPr>
        <w:t>Zdroj: ČSÚ, veřejná databáze,</w:t>
      </w:r>
      <w:r>
        <w:rPr>
          <w:i/>
          <w:iCs/>
          <w:sz w:val="20"/>
        </w:rPr>
        <w:t xml:space="preserve"> </w:t>
      </w:r>
      <w:r w:rsidRPr="00F54AB6">
        <w:rPr>
          <w:i/>
          <w:iCs/>
          <w:sz w:val="20"/>
        </w:rPr>
        <w:t>zpracování PROCES</w:t>
      </w:r>
      <w:r w:rsidR="008D7DFD">
        <w:rPr>
          <w:i/>
          <w:iCs/>
          <w:sz w:val="20"/>
        </w:rPr>
        <w:t>, 2020.</w:t>
      </w:r>
    </w:p>
    <w:p w14:paraId="0366414C" w14:textId="4539B231" w:rsidR="00954688" w:rsidRDefault="00954688" w:rsidP="00954688">
      <w:r>
        <w:t>U nejvíce registrovaných subjektů převažuje činnost V</w:t>
      </w:r>
      <w:r w:rsidRPr="00B605A0">
        <w:t>elkoobchod a maloobchod,</w:t>
      </w:r>
      <w:r>
        <w:t xml:space="preserve"> </w:t>
      </w:r>
      <w:r w:rsidRPr="00B605A0">
        <w:t>opravy a údržba motorových vozidel</w:t>
      </w:r>
      <w:r>
        <w:t xml:space="preserve"> (5 175 subjektů), dále Profesní, vědecké a technické činnosti (4 093 subjektů) a</w:t>
      </w:r>
      <w:r w:rsidR="008D7DFD">
        <w:t> </w:t>
      </w:r>
      <w:r w:rsidRPr="001E4ED6">
        <w:t>Průmysl</w:t>
      </w:r>
      <w:r>
        <w:t xml:space="preserve"> (2 983 subjektů)</w:t>
      </w:r>
      <w:r w:rsidR="008D7DFD">
        <w:t>,</w:t>
      </w:r>
      <w:r>
        <w:t xml:space="preserve"> viz přehled podnikatelských subjektů podle převažující činnosti v obrázku </w:t>
      </w:r>
      <w:r w:rsidR="00E111E6">
        <w:t>1.88</w:t>
      </w:r>
      <w:r>
        <w:t>.</w:t>
      </w:r>
    </w:p>
    <w:p w14:paraId="04E3C03A" w14:textId="631A29BC" w:rsidR="00954688" w:rsidRDefault="00954688" w:rsidP="00954688">
      <w:pPr>
        <w:pStyle w:val="Titulek"/>
        <w:keepNext/>
        <w:keepLines/>
      </w:pPr>
      <w:bookmarkStart w:id="434" w:name="_Toc53066200"/>
      <w:bookmarkStart w:id="435" w:name="_Toc77074906"/>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88</w:t>
      </w:r>
      <w:r w:rsidR="00804AF3">
        <w:rPr>
          <w:noProof/>
        </w:rPr>
        <w:fldChar w:fldCharType="end"/>
      </w:r>
      <w:r w:rsidR="008D7DFD">
        <w:rPr>
          <w:noProof/>
        </w:rPr>
        <w:t>:</w:t>
      </w:r>
      <w:r>
        <w:t xml:space="preserve"> </w:t>
      </w:r>
      <w:r w:rsidRPr="00B05B26">
        <w:t>Podnikatelské subjekty podle převažující činnosti</w:t>
      </w:r>
      <w:r>
        <w:t xml:space="preserve"> ve městě Zlín k 31.</w:t>
      </w:r>
      <w:r w:rsidR="008D7DFD">
        <w:t xml:space="preserve"> </w:t>
      </w:r>
      <w:r>
        <w:t>12.</w:t>
      </w:r>
      <w:r w:rsidR="008D7DFD">
        <w:t xml:space="preserve"> </w:t>
      </w:r>
      <w:r>
        <w:t>2019</w:t>
      </w:r>
      <w:bookmarkEnd w:id="434"/>
      <w:bookmarkEnd w:id="435"/>
    </w:p>
    <w:p w14:paraId="30522CB7" w14:textId="77777777" w:rsidR="00954688" w:rsidRDefault="00954688" w:rsidP="00954688">
      <w:r w:rsidRPr="00B05B26">
        <w:rPr>
          <w:noProof/>
          <w:lang w:eastAsia="cs-CZ"/>
        </w:rPr>
        <w:drawing>
          <wp:inline distT="0" distB="0" distL="0" distR="0" wp14:anchorId="49B44B75" wp14:editId="24BFA29E">
            <wp:extent cx="5760720" cy="2560320"/>
            <wp:effectExtent l="0" t="0" r="0" b="0"/>
            <wp:docPr id="336" name="Obrázek 336" descr="Z:\02_PROCES\02_Zpracovavane_projekty\2020\2020_06_SP_Zlín\06_podkladove_materialy\B_Podklady_vlastni\04_analytická_část\Podklady\Vstřícné město\Data\Ekonomika a trh práce\stažený soub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2_PROCES\02_Zpracovavane_projekty\2020\2020_06_SP_Zlín\06_podkladove_materialy\B_Podklady_vlastni\04_analytická_část\Podklady\Vstřícné město\Data\Ekonomika a trh práce\stažený soubor.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2560320"/>
                    </a:xfrm>
                    <a:prstGeom prst="rect">
                      <a:avLst/>
                    </a:prstGeom>
                    <a:noFill/>
                    <a:ln>
                      <a:noFill/>
                    </a:ln>
                  </pic:spPr>
                </pic:pic>
              </a:graphicData>
            </a:graphic>
          </wp:inline>
        </w:drawing>
      </w:r>
    </w:p>
    <w:p w14:paraId="5B8A326F" w14:textId="28CE2CEF" w:rsidR="00954688" w:rsidRDefault="00954688" w:rsidP="00954688">
      <w:pPr>
        <w:pStyle w:val="Zdroj"/>
      </w:pPr>
      <w:r>
        <w:t xml:space="preserve">Zdroj: </w:t>
      </w:r>
      <w:r w:rsidRPr="00443A6C">
        <w:t>Český statistický úřad, Veřejná databáze</w:t>
      </w:r>
      <w:r>
        <w:t>, 2020</w:t>
      </w:r>
      <w:r w:rsidR="008D7DFD">
        <w:t>.</w:t>
      </w:r>
    </w:p>
    <w:p w14:paraId="5FBDB0E0" w14:textId="77777777" w:rsidR="00954688" w:rsidRDefault="00954688" w:rsidP="00954688">
      <w:r>
        <w:t>Ve městě Zlín je z celkového počtu 23 582 registrovaných ekonomických subjektů 26,4 % právnických osob a 73,6 % fyzických osob.</w:t>
      </w:r>
    </w:p>
    <w:p w14:paraId="0B377871" w14:textId="276BD57D" w:rsidR="00954688" w:rsidRDefault="00954688" w:rsidP="00954688">
      <w:pPr>
        <w:pStyle w:val="Titulek"/>
        <w:keepNext/>
        <w:keepLines/>
      </w:pPr>
      <w:bookmarkStart w:id="436" w:name="_Toc53066221"/>
      <w:bookmarkStart w:id="437" w:name="_Toc77074743"/>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63</w:t>
      </w:r>
      <w:r w:rsidR="00081B47">
        <w:rPr>
          <w:noProof/>
        </w:rPr>
        <w:fldChar w:fldCharType="end"/>
      </w:r>
      <w:r w:rsidR="008D7DFD">
        <w:rPr>
          <w:noProof/>
        </w:rPr>
        <w:t>:</w:t>
      </w:r>
      <w:r>
        <w:t xml:space="preserve"> </w:t>
      </w:r>
      <w:r w:rsidRPr="00443A6C">
        <w:t>Podnikatelské subjekty podle právní formy</w:t>
      </w:r>
      <w:r>
        <w:t xml:space="preserve"> ve městě Zlín k 31.</w:t>
      </w:r>
      <w:r w:rsidR="008D7DFD">
        <w:t xml:space="preserve"> </w:t>
      </w:r>
      <w:r>
        <w:t>12.</w:t>
      </w:r>
      <w:r w:rsidR="008D7DFD">
        <w:t xml:space="preserve"> </w:t>
      </w:r>
      <w:r>
        <w:t>2019</w:t>
      </w:r>
      <w:bookmarkEnd w:id="436"/>
      <w:bookmarkEnd w:id="437"/>
    </w:p>
    <w:tbl>
      <w:tblPr>
        <w:tblW w:w="9063" w:type="dxa"/>
        <w:tblCellMar>
          <w:left w:w="70" w:type="dxa"/>
          <w:right w:w="70" w:type="dxa"/>
        </w:tblCellMar>
        <w:tblLook w:val="04A0" w:firstRow="1" w:lastRow="0" w:firstColumn="1" w:lastColumn="0" w:noHBand="0" w:noVBand="1"/>
      </w:tblPr>
      <w:tblGrid>
        <w:gridCol w:w="4816"/>
        <w:gridCol w:w="1837"/>
        <w:gridCol w:w="2410"/>
      </w:tblGrid>
      <w:tr w:rsidR="00954688" w:rsidRPr="00B05B26" w14:paraId="51A10182" w14:textId="77777777" w:rsidTr="000C49A5">
        <w:trPr>
          <w:trHeight w:val="153"/>
        </w:trPr>
        <w:tc>
          <w:tcPr>
            <w:tcW w:w="4816" w:type="dxa"/>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6A142C37" w14:textId="77777777" w:rsidR="00954688" w:rsidRPr="00B05B26" w:rsidRDefault="00954688" w:rsidP="000C49A5">
            <w:pPr>
              <w:keepNext/>
              <w:keepLines/>
              <w:spacing w:before="0"/>
              <w:jc w:val="center"/>
              <w:rPr>
                <w:rFonts w:eastAsia="Times New Roman" w:cstheme="minorHAnsi"/>
                <w:color w:val="000000"/>
                <w:sz w:val="18"/>
                <w:szCs w:val="20"/>
                <w:lang w:eastAsia="cs-CZ"/>
              </w:rPr>
            </w:pPr>
          </w:p>
        </w:tc>
        <w:tc>
          <w:tcPr>
            <w:tcW w:w="1837" w:type="dxa"/>
            <w:tcBorders>
              <w:top w:val="single" w:sz="8" w:space="0" w:color="auto"/>
              <w:left w:val="nil"/>
              <w:bottom w:val="single" w:sz="4" w:space="0" w:color="auto"/>
              <w:right w:val="single" w:sz="4" w:space="0" w:color="auto"/>
            </w:tcBorders>
            <w:shd w:val="clear" w:color="auto" w:fill="F2F2F2" w:themeFill="background1" w:themeFillShade="F2"/>
            <w:vAlign w:val="center"/>
            <w:hideMark/>
          </w:tcPr>
          <w:p w14:paraId="22F1176B" w14:textId="77777777" w:rsidR="00954688" w:rsidRPr="00B05B26" w:rsidRDefault="00954688" w:rsidP="000C49A5">
            <w:pPr>
              <w:keepNext/>
              <w:keepLines/>
              <w:spacing w:before="0"/>
              <w:jc w:val="center"/>
              <w:rPr>
                <w:rFonts w:eastAsia="Times New Roman" w:cstheme="minorHAnsi"/>
                <w:color w:val="000000"/>
                <w:sz w:val="18"/>
                <w:szCs w:val="20"/>
                <w:lang w:eastAsia="cs-CZ"/>
              </w:rPr>
            </w:pPr>
            <w:r>
              <w:rPr>
                <w:rFonts w:eastAsia="Times New Roman" w:cstheme="minorHAnsi"/>
                <w:color w:val="000000"/>
                <w:sz w:val="18"/>
                <w:szCs w:val="20"/>
                <w:lang w:eastAsia="cs-CZ"/>
              </w:rPr>
              <w:t xml:space="preserve">Registrované </w:t>
            </w:r>
            <w:r w:rsidRPr="00B05B26">
              <w:rPr>
                <w:rFonts w:eastAsia="Times New Roman" w:cstheme="minorHAnsi"/>
                <w:color w:val="000000"/>
                <w:sz w:val="18"/>
                <w:szCs w:val="20"/>
                <w:lang w:eastAsia="cs-CZ"/>
              </w:rPr>
              <w:t>podniky</w:t>
            </w:r>
          </w:p>
        </w:tc>
        <w:tc>
          <w:tcPr>
            <w:tcW w:w="2410" w:type="dxa"/>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161C2AC2" w14:textId="77777777" w:rsidR="00954688" w:rsidRPr="00B05B26" w:rsidRDefault="00954688" w:rsidP="000C49A5">
            <w:pPr>
              <w:keepNext/>
              <w:keepLines/>
              <w:spacing w:before="0"/>
              <w:jc w:val="center"/>
              <w:rPr>
                <w:rFonts w:eastAsia="Times New Roman" w:cstheme="minorHAnsi"/>
                <w:color w:val="000000"/>
                <w:sz w:val="18"/>
                <w:szCs w:val="20"/>
                <w:lang w:eastAsia="cs-CZ"/>
              </w:rPr>
            </w:pPr>
            <w:r w:rsidRPr="00B05B26">
              <w:rPr>
                <w:rFonts w:eastAsia="Times New Roman" w:cstheme="minorHAnsi"/>
                <w:color w:val="000000"/>
                <w:sz w:val="18"/>
                <w:szCs w:val="20"/>
                <w:lang w:eastAsia="cs-CZ"/>
              </w:rPr>
              <w:t>Podniky s</w:t>
            </w:r>
            <w:r>
              <w:rPr>
                <w:rFonts w:eastAsia="Times New Roman" w:cstheme="minorHAnsi"/>
                <w:color w:val="000000"/>
                <w:sz w:val="18"/>
                <w:szCs w:val="20"/>
                <w:lang w:eastAsia="cs-CZ"/>
              </w:rPr>
              <w:t xml:space="preserve">e </w:t>
            </w:r>
            <w:r w:rsidRPr="00B05B26">
              <w:rPr>
                <w:rFonts w:eastAsia="Times New Roman" w:cstheme="minorHAnsi"/>
                <w:color w:val="000000"/>
                <w:sz w:val="18"/>
                <w:szCs w:val="20"/>
                <w:lang w:eastAsia="cs-CZ"/>
              </w:rPr>
              <w:t>zjištěnou aktivitou</w:t>
            </w:r>
          </w:p>
        </w:tc>
      </w:tr>
      <w:tr w:rsidR="00954688" w:rsidRPr="00B05B26" w14:paraId="2D769F52" w14:textId="77777777" w:rsidTr="000C49A5">
        <w:trPr>
          <w:trHeight w:val="103"/>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28C3B870" w14:textId="77777777" w:rsidR="00954688" w:rsidRPr="00B05B26" w:rsidRDefault="00954688" w:rsidP="000C49A5">
            <w:pPr>
              <w:keepNext/>
              <w:keepLines/>
              <w:spacing w:before="0"/>
              <w:jc w:val="left"/>
              <w:rPr>
                <w:rFonts w:eastAsia="Times New Roman" w:cstheme="minorHAnsi"/>
                <w:b/>
                <w:bCs/>
                <w:sz w:val="18"/>
                <w:szCs w:val="20"/>
                <w:lang w:eastAsia="cs-CZ"/>
              </w:rPr>
            </w:pPr>
            <w:r w:rsidRPr="00B05B26">
              <w:rPr>
                <w:rFonts w:eastAsia="Times New Roman" w:cstheme="minorHAnsi"/>
                <w:b/>
                <w:bCs/>
                <w:sz w:val="18"/>
                <w:szCs w:val="20"/>
                <w:lang w:eastAsia="cs-CZ"/>
              </w:rPr>
              <w:t>Celkem</w:t>
            </w:r>
          </w:p>
        </w:tc>
        <w:tc>
          <w:tcPr>
            <w:tcW w:w="1837" w:type="dxa"/>
            <w:tcBorders>
              <w:top w:val="nil"/>
              <w:left w:val="nil"/>
              <w:bottom w:val="single" w:sz="4" w:space="0" w:color="auto"/>
              <w:right w:val="single" w:sz="4" w:space="0" w:color="auto"/>
            </w:tcBorders>
            <w:shd w:val="clear" w:color="auto" w:fill="auto"/>
            <w:vAlign w:val="center"/>
            <w:hideMark/>
          </w:tcPr>
          <w:p w14:paraId="77875CDA"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23 582</w:t>
            </w:r>
          </w:p>
        </w:tc>
        <w:tc>
          <w:tcPr>
            <w:tcW w:w="2410" w:type="dxa"/>
            <w:tcBorders>
              <w:top w:val="nil"/>
              <w:left w:val="nil"/>
              <w:bottom w:val="single" w:sz="4" w:space="0" w:color="auto"/>
              <w:right w:val="single" w:sz="8" w:space="0" w:color="auto"/>
            </w:tcBorders>
            <w:shd w:val="clear" w:color="auto" w:fill="auto"/>
            <w:vAlign w:val="center"/>
            <w:hideMark/>
          </w:tcPr>
          <w:p w14:paraId="1F0211EE"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11 810</w:t>
            </w:r>
          </w:p>
        </w:tc>
      </w:tr>
      <w:tr w:rsidR="00954688" w:rsidRPr="00B05B26" w14:paraId="50E72100" w14:textId="77777777" w:rsidTr="000C49A5">
        <w:trPr>
          <w:trHeight w:val="103"/>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3ACAC7AF" w14:textId="77777777" w:rsidR="00954688" w:rsidRPr="00B05B26" w:rsidRDefault="00954688" w:rsidP="000C49A5">
            <w:pPr>
              <w:keepNext/>
              <w:keepLines/>
              <w:spacing w:before="0"/>
              <w:jc w:val="left"/>
              <w:rPr>
                <w:rFonts w:eastAsia="Times New Roman" w:cstheme="minorHAnsi"/>
                <w:b/>
                <w:bCs/>
                <w:sz w:val="18"/>
                <w:szCs w:val="20"/>
                <w:lang w:eastAsia="cs-CZ"/>
              </w:rPr>
            </w:pPr>
            <w:r w:rsidRPr="00B05B26">
              <w:rPr>
                <w:rFonts w:eastAsia="Times New Roman" w:cstheme="minorHAnsi"/>
                <w:b/>
                <w:bCs/>
                <w:sz w:val="18"/>
                <w:szCs w:val="20"/>
                <w:lang w:eastAsia="cs-CZ"/>
              </w:rPr>
              <w:t>Fyzické osoby</w:t>
            </w:r>
          </w:p>
        </w:tc>
        <w:tc>
          <w:tcPr>
            <w:tcW w:w="1837" w:type="dxa"/>
            <w:tcBorders>
              <w:top w:val="nil"/>
              <w:left w:val="nil"/>
              <w:bottom w:val="single" w:sz="4" w:space="0" w:color="auto"/>
              <w:right w:val="single" w:sz="4" w:space="0" w:color="auto"/>
            </w:tcBorders>
            <w:shd w:val="clear" w:color="auto" w:fill="auto"/>
            <w:vAlign w:val="center"/>
            <w:hideMark/>
          </w:tcPr>
          <w:p w14:paraId="105B5593"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17 357</w:t>
            </w:r>
          </w:p>
        </w:tc>
        <w:tc>
          <w:tcPr>
            <w:tcW w:w="2410" w:type="dxa"/>
            <w:tcBorders>
              <w:top w:val="nil"/>
              <w:left w:val="nil"/>
              <w:bottom w:val="single" w:sz="4" w:space="0" w:color="auto"/>
              <w:right w:val="single" w:sz="8" w:space="0" w:color="auto"/>
            </w:tcBorders>
            <w:shd w:val="clear" w:color="auto" w:fill="auto"/>
            <w:vAlign w:val="center"/>
            <w:hideMark/>
          </w:tcPr>
          <w:p w14:paraId="1AEEA971"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8 054</w:t>
            </w:r>
          </w:p>
        </w:tc>
      </w:tr>
      <w:tr w:rsidR="00954688" w:rsidRPr="00B05B26" w14:paraId="4AF6CE5F" w14:textId="77777777" w:rsidTr="000C49A5">
        <w:trPr>
          <w:trHeight w:val="141"/>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4DE9EBBE" w14:textId="77777777" w:rsidR="00954688" w:rsidRPr="00B05B26" w:rsidRDefault="00954688" w:rsidP="000C49A5">
            <w:pPr>
              <w:keepNext/>
              <w:keepLines/>
              <w:spacing w:before="0"/>
              <w:jc w:val="left"/>
              <w:rPr>
                <w:rFonts w:eastAsia="Times New Roman" w:cstheme="minorHAnsi"/>
                <w:color w:val="000000"/>
                <w:sz w:val="18"/>
                <w:szCs w:val="20"/>
                <w:lang w:eastAsia="cs-CZ"/>
              </w:rPr>
            </w:pPr>
            <w:r>
              <w:rPr>
                <w:rFonts w:eastAsia="Times New Roman" w:cstheme="minorHAnsi"/>
                <w:color w:val="000000"/>
                <w:sz w:val="18"/>
                <w:szCs w:val="20"/>
                <w:lang w:eastAsia="cs-CZ"/>
              </w:rPr>
              <w:t xml:space="preserve">Fyzické osoby podnikající dle </w:t>
            </w:r>
            <w:r w:rsidRPr="00B05B26">
              <w:rPr>
                <w:rFonts w:eastAsia="Times New Roman" w:cstheme="minorHAnsi"/>
                <w:color w:val="000000"/>
                <w:sz w:val="18"/>
                <w:szCs w:val="20"/>
                <w:lang w:eastAsia="cs-CZ"/>
              </w:rPr>
              <w:t>živnostenského zákona</w:t>
            </w:r>
          </w:p>
        </w:tc>
        <w:tc>
          <w:tcPr>
            <w:tcW w:w="1837" w:type="dxa"/>
            <w:tcBorders>
              <w:top w:val="nil"/>
              <w:left w:val="nil"/>
              <w:bottom w:val="single" w:sz="4" w:space="0" w:color="auto"/>
              <w:right w:val="single" w:sz="4" w:space="0" w:color="auto"/>
            </w:tcBorders>
            <w:shd w:val="clear" w:color="auto" w:fill="auto"/>
            <w:vAlign w:val="center"/>
            <w:hideMark/>
          </w:tcPr>
          <w:p w14:paraId="2205C3B3"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16 201</w:t>
            </w:r>
          </w:p>
        </w:tc>
        <w:tc>
          <w:tcPr>
            <w:tcW w:w="2410" w:type="dxa"/>
            <w:tcBorders>
              <w:top w:val="nil"/>
              <w:left w:val="nil"/>
              <w:bottom w:val="single" w:sz="4" w:space="0" w:color="auto"/>
              <w:right w:val="single" w:sz="8" w:space="0" w:color="auto"/>
            </w:tcBorders>
            <w:shd w:val="clear" w:color="auto" w:fill="auto"/>
            <w:vAlign w:val="center"/>
            <w:hideMark/>
          </w:tcPr>
          <w:p w14:paraId="52315E2D"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7 202</w:t>
            </w:r>
          </w:p>
        </w:tc>
      </w:tr>
      <w:tr w:rsidR="00954688" w:rsidRPr="00B05B26" w14:paraId="10037B76" w14:textId="77777777" w:rsidTr="000C49A5">
        <w:trPr>
          <w:trHeight w:val="141"/>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7957ED2C" w14:textId="77777777" w:rsidR="00954688" w:rsidRPr="00B05B26" w:rsidRDefault="00954688" w:rsidP="000C49A5">
            <w:pPr>
              <w:keepNext/>
              <w:keepLines/>
              <w:spacing w:before="0"/>
              <w:jc w:val="left"/>
              <w:rPr>
                <w:rFonts w:eastAsia="Times New Roman" w:cstheme="minorHAnsi"/>
                <w:color w:val="000000"/>
                <w:sz w:val="18"/>
                <w:szCs w:val="20"/>
                <w:lang w:eastAsia="cs-CZ"/>
              </w:rPr>
            </w:pPr>
            <w:r>
              <w:rPr>
                <w:rFonts w:eastAsia="Times New Roman" w:cstheme="minorHAnsi"/>
                <w:color w:val="000000"/>
                <w:sz w:val="18"/>
                <w:szCs w:val="20"/>
                <w:lang w:eastAsia="cs-CZ"/>
              </w:rPr>
              <w:t xml:space="preserve">Fyzické osoby podnikající dle jiného </w:t>
            </w:r>
            <w:r w:rsidRPr="00B05B26">
              <w:rPr>
                <w:rFonts w:eastAsia="Times New Roman" w:cstheme="minorHAnsi"/>
                <w:color w:val="000000"/>
                <w:sz w:val="18"/>
                <w:szCs w:val="20"/>
                <w:lang w:eastAsia="cs-CZ"/>
              </w:rPr>
              <w:t>než živnostenského zákona</w:t>
            </w:r>
          </w:p>
        </w:tc>
        <w:tc>
          <w:tcPr>
            <w:tcW w:w="1837" w:type="dxa"/>
            <w:tcBorders>
              <w:top w:val="nil"/>
              <w:left w:val="nil"/>
              <w:bottom w:val="single" w:sz="4" w:space="0" w:color="auto"/>
              <w:right w:val="single" w:sz="4" w:space="0" w:color="auto"/>
            </w:tcBorders>
            <w:shd w:val="clear" w:color="auto" w:fill="auto"/>
            <w:vAlign w:val="center"/>
            <w:hideMark/>
          </w:tcPr>
          <w:p w14:paraId="3D32A8F2"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813</w:t>
            </w:r>
          </w:p>
        </w:tc>
        <w:tc>
          <w:tcPr>
            <w:tcW w:w="2410" w:type="dxa"/>
            <w:tcBorders>
              <w:top w:val="nil"/>
              <w:left w:val="nil"/>
              <w:bottom w:val="single" w:sz="4" w:space="0" w:color="auto"/>
              <w:right w:val="single" w:sz="8" w:space="0" w:color="auto"/>
            </w:tcBorders>
            <w:shd w:val="clear" w:color="auto" w:fill="auto"/>
            <w:vAlign w:val="center"/>
            <w:hideMark/>
          </w:tcPr>
          <w:p w14:paraId="5B881E69"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649</w:t>
            </w:r>
          </w:p>
        </w:tc>
      </w:tr>
      <w:tr w:rsidR="00954688" w:rsidRPr="00B05B26" w14:paraId="092EC798" w14:textId="77777777" w:rsidTr="000C49A5">
        <w:trPr>
          <w:trHeight w:val="103"/>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70A4251F" w14:textId="77777777" w:rsidR="00954688" w:rsidRPr="00B05B26" w:rsidRDefault="00954688" w:rsidP="000C49A5">
            <w:pPr>
              <w:keepNext/>
              <w:keepLines/>
              <w:spacing w:before="0"/>
              <w:ind w:firstLineChars="100" w:firstLine="180"/>
              <w:jc w:val="left"/>
              <w:rPr>
                <w:rFonts w:eastAsia="Times New Roman" w:cstheme="minorHAnsi"/>
                <w:color w:val="000000"/>
                <w:sz w:val="18"/>
                <w:szCs w:val="20"/>
                <w:lang w:eastAsia="cs-CZ"/>
              </w:rPr>
            </w:pPr>
            <w:r w:rsidRPr="00B05B26">
              <w:rPr>
                <w:rFonts w:eastAsia="Times New Roman" w:cstheme="minorHAnsi"/>
                <w:color w:val="000000"/>
                <w:sz w:val="18"/>
                <w:szCs w:val="20"/>
                <w:lang w:eastAsia="cs-CZ"/>
              </w:rPr>
              <w:t>Zemědělští podnikatelé</w:t>
            </w:r>
          </w:p>
        </w:tc>
        <w:tc>
          <w:tcPr>
            <w:tcW w:w="1837" w:type="dxa"/>
            <w:tcBorders>
              <w:top w:val="nil"/>
              <w:left w:val="nil"/>
              <w:bottom w:val="single" w:sz="4" w:space="0" w:color="auto"/>
              <w:right w:val="single" w:sz="4" w:space="0" w:color="auto"/>
            </w:tcBorders>
            <w:shd w:val="clear" w:color="auto" w:fill="auto"/>
            <w:vAlign w:val="center"/>
            <w:hideMark/>
          </w:tcPr>
          <w:p w14:paraId="64310C7F"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110</w:t>
            </w:r>
          </w:p>
        </w:tc>
        <w:tc>
          <w:tcPr>
            <w:tcW w:w="2410" w:type="dxa"/>
            <w:tcBorders>
              <w:top w:val="nil"/>
              <w:left w:val="nil"/>
              <w:bottom w:val="single" w:sz="4" w:space="0" w:color="auto"/>
              <w:right w:val="single" w:sz="8" w:space="0" w:color="auto"/>
            </w:tcBorders>
            <w:shd w:val="clear" w:color="auto" w:fill="auto"/>
            <w:vAlign w:val="center"/>
            <w:hideMark/>
          </w:tcPr>
          <w:p w14:paraId="48B95641"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74</w:t>
            </w:r>
          </w:p>
        </w:tc>
      </w:tr>
      <w:tr w:rsidR="00954688" w:rsidRPr="00B05B26" w14:paraId="75B69B35" w14:textId="77777777" w:rsidTr="000C49A5">
        <w:trPr>
          <w:trHeight w:val="103"/>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62ABCCBC" w14:textId="77777777" w:rsidR="00954688" w:rsidRPr="00B05B26" w:rsidRDefault="00954688" w:rsidP="000C49A5">
            <w:pPr>
              <w:keepNext/>
              <w:keepLines/>
              <w:spacing w:before="0"/>
              <w:jc w:val="left"/>
              <w:rPr>
                <w:rFonts w:eastAsia="Times New Roman" w:cstheme="minorHAnsi"/>
                <w:b/>
                <w:bCs/>
                <w:sz w:val="18"/>
                <w:szCs w:val="20"/>
                <w:lang w:eastAsia="cs-CZ"/>
              </w:rPr>
            </w:pPr>
            <w:r w:rsidRPr="00B05B26">
              <w:rPr>
                <w:rFonts w:eastAsia="Times New Roman" w:cstheme="minorHAnsi"/>
                <w:b/>
                <w:bCs/>
                <w:sz w:val="18"/>
                <w:szCs w:val="20"/>
                <w:lang w:eastAsia="cs-CZ"/>
              </w:rPr>
              <w:t>Právnické osoby</w:t>
            </w:r>
          </w:p>
        </w:tc>
        <w:tc>
          <w:tcPr>
            <w:tcW w:w="1837" w:type="dxa"/>
            <w:tcBorders>
              <w:top w:val="nil"/>
              <w:left w:val="nil"/>
              <w:bottom w:val="single" w:sz="4" w:space="0" w:color="auto"/>
              <w:right w:val="single" w:sz="4" w:space="0" w:color="auto"/>
            </w:tcBorders>
            <w:shd w:val="clear" w:color="auto" w:fill="auto"/>
            <w:vAlign w:val="center"/>
            <w:hideMark/>
          </w:tcPr>
          <w:p w14:paraId="73DA432D"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6 225</w:t>
            </w:r>
          </w:p>
        </w:tc>
        <w:tc>
          <w:tcPr>
            <w:tcW w:w="2410" w:type="dxa"/>
            <w:tcBorders>
              <w:top w:val="nil"/>
              <w:left w:val="nil"/>
              <w:bottom w:val="single" w:sz="4" w:space="0" w:color="auto"/>
              <w:right w:val="single" w:sz="8" w:space="0" w:color="auto"/>
            </w:tcBorders>
            <w:shd w:val="clear" w:color="auto" w:fill="auto"/>
            <w:vAlign w:val="center"/>
            <w:hideMark/>
          </w:tcPr>
          <w:p w14:paraId="1750115B"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3 756</w:t>
            </w:r>
          </w:p>
        </w:tc>
      </w:tr>
      <w:tr w:rsidR="00954688" w:rsidRPr="00B05B26" w14:paraId="41FB5CE0" w14:textId="77777777" w:rsidTr="000C49A5">
        <w:trPr>
          <w:trHeight w:val="103"/>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796D4792" w14:textId="77777777" w:rsidR="00954688" w:rsidRPr="00B05B26" w:rsidRDefault="00954688" w:rsidP="000C49A5">
            <w:pPr>
              <w:keepNext/>
              <w:keepLines/>
              <w:spacing w:before="0"/>
              <w:jc w:val="left"/>
              <w:rPr>
                <w:rFonts w:eastAsia="Times New Roman" w:cstheme="minorHAnsi"/>
                <w:color w:val="000000"/>
                <w:sz w:val="18"/>
                <w:szCs w:val="20"/>
                <w:lang w:eastAsia="cs-CZ"/>
              </w:rPr>
            </w:pPr>
            <w:r w:rsidRPr="00B05B26">
              <w:rPr>
                <w:rFonts w:eastAsia="Times New Roman" w:cstheme="minorHAnsi"/>
                <w:color w:val="000000"/>
                <w:sz w:val="18"/>
                <w:szCs w:val="20"/>
                <w:lang w:eastAsia="cs-CZ"/>
              </w:rPr>
              <w:t>Obchodní společnosti</w:t>
            </w:r>
          </w:p>
        </w:tc>
        <w:tc>
          <w:tcPr>
            <w:tcW w:w="1837" w:type="dxa"/>
            <w:tcBorders>
              <w:top w:val="nil"/>
              <w:left w:val="nil"/>
              <w:bottom w:val="single" w:sz="4" w:space="0" w:color="auto"/>
              <w:right w:val="single" w:sz="4" w:space="0" w:color="auto"/>
            </w:tcBorders>
            <w:shd w:val="clear" w:color="auto" w:fill="auto"/>
            <w:vAlign w:val="center"/>
            <w:hideMark/>
          </w:tcPr>
          <w:p w14:paraId="705FAE09"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4 212</w:t>
            </w:r>
          </w:p>
        </w:tc>
        <w:tc>
          <w:tcPr>
            <w:tcW w:w="2410" w:type="dxa"/>
            <w:tcBorders>
              <w:top w:val="nil"/>
              <w:left w:val="nil"/>
              <w:bottom w:val="single" w:sz="4" w:space="0" w:color="auto"/>
              <w:right w:val="single" w:sz="8" w:space="0" w:color="auto"/>
            </w:tcBorders>
            <w:shd w:val="clear" w:color="auto" w:fill="auto"/>
            <w:vAlign w:val="center"/>
            <w:hideMark/>
          </w:tcPr>
          <w:p w14:paraId="21A4952B"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3 357</w:t>
            </w:r>
          </w:p>
        </w:tc>
      </w:tr>
      <w:tr w:rsidR="00954688" w:rsidRPr="00B05B26" w14:paraId="1E4C5849" w14:textId="77777777" w:rsidTr="000C49A5">
        <w:trPr>
          <w:trHeight w:val="103"/>
        </w:trPr>
        <w:tc>
          <w:tcPr>
            <w:tcW w:w="4816" w:type="dxa"/>
            <w:tcBorders>
              <w:top w:val="nil"/>
              <w:left w:val="single" w:sz="8" w:space="0" w:color="auto"/>
              <w:bottom w:val="single" w:sz="4" w:space="0" w:color="auto"/>
              <w:right w:val="single" w:sz="4" w:space="0" w:color="auto"/>
            </w:tcBorders>
            <w:shd w:val="clear" w:color="auto" w:fill="auto"/>
            <w:vAlign w:val="center"/>
            <w:hideMark/>
          </w:tcPr>
          <w:p w14:paraId="6326D770" w14:textId="77777777" w:rsidR="00954688" w:rsidRPr="00B05B26" w:rsidRDefault="00954688" w:rsidP="000C49A5">
            <w:pPr>
              <w:keepNext/>
              <w:keepLines/>
              <w:spacing w:before="0"/>
              <w:ind w:firstLineChars="100" w:firstLine="180"/>
              <w:jc w:val="left"/>
              <w:rPr>
                <w:rFonts w:eastAsia="Times New Roman" w:cstheme="minorHAnsi"/>
                <w:color w:val="000000"/>
                <w:sz w:val="18"/>
                <w:szCs w:val="20"/>
                <w:lang w:eastAsia="cs-CZ"/>
              </w:rPr>
            </w:pPr>
            <w:r w:rsidRPr="00B05B26">
              <w:rPr>
                <w:rFonts w:eastAsia="Times New Roman" w:cstheme="minorHAnsi"/>
                <w:color w:val="000000"/>
                <w:sz w:val="18"/>
                <w:szCs w:val="20"/>
                <w:lang w:eastAsia="cs-CZ"/>
              </w:rPr>
              <w:t>akciové společnosti</w:t>
            </w:r>
          </w:p>
        </w:tc>
        <w:tc>
          <w:tcPr>
            <w:tcW w:w="1837" w:type="dxa"/>
            <w:tcBorders>
              <w:top w:val="nil"/>
              <w:left w:val="nil"/>
              <w:bottom w:val="single" w:sz="4" w:space="0" w:color="auto"/>
              <w:right w:val="single" w:sz="4" w:space="0" w:color="auto"/>
            </w:tcBorders>
            <w:shd w:val="clear" w:color="auto" w:fill="auto"/>
            <w:vAlign w:val="center"/>
            <w:hideMark/>
          </w:tcPr>
          <w:p w14:paraId="6423CA43"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194</w:t>
            </w:r>
          </w:p>
        </w:tc>
        <w:tc>
          <w:tcPr>
            <w:tcW w:w="2410" w:type="dxa"/>
            <w:tcBorders>
              <w:top w:val="nil"/>
              <w:left w:val="nil"/>
              <w:bottom w:val="single" w:sz="4" w:space="0" w:color="auto"/>
              <w:right w:val="single" w:sz="8" w:space="0" w:color="auto"/>
            </w:tcBorders>
            <w:shd w:val="clear" w:color="auto" w:fill="auto"/>
            <w:vAlign w:val="center"/>
            <w:hideMark/>
          </w:tcPr>
          <w:p w14:paraId="4C135FBB"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176</w:t>
            </w:r>
          </w:p>
        </w:tc>
      </w:tr>
      <w:tr w:rsidR="00954688" w:rsidRPr="00B05B26" w14:paraId="443BB48F" w14:textId="77777777" w:rsidTr="000C49A5">
        <w:trPr>
          <w:trHeight w:val="103"/>
        </w:trPr>
        <w:tc>
          <w:tcPr>
            <w:tcW w:w="4816" w:type="dxa"/>
            <w:tcBorders>
              <w:top w:val="nil"/>
              <w:left w:val="single" w:sz="8" w:space="0" w:color="auto"/>
              <w:bottom w:val="single" w:sz="8" w:space="0" w:color="auto"/>
              <w:right w:val="single" w:sz="4" w:space="0" w:color="auto"/>
            </w:tcBorders>
            <w:shd w:val="clear" w:color="auto" w:fill="auto"/>
            <w:vAlign w:val="center"/>
            <w:hideMark/>
          </w:tcPr>
          <w:p w14:paraId="71E3A9B4" w14:textId="77777777" w:rsidR="00954688" w:rsidRPr="00B05B26" w:rsidRDefault="00954688" w:rsidP="000C49A5">
            <w:pPr>
              <w:keepNext/>
              <w:keepLines/>
              <w:spacing w:before="0"/>
              <w:jc w:val="left"/>
              <w:rPr>
                <w:rFonts w:eastAsia="Times New Roman" w:cstheme="minorHAnsi"/>
                <w:color w:val="000000"/>
                <w:sz w:val="18"/>
                <w:szCs w:val="20"/>
                <w:lang w:eastAsia="cs-CZ"/>
              </w:rPr>
            </w:pPr>
            <w:r w:rsidRPr="00B05B26">
              <w:rPr>
                <w:rFonts w:eastAsia="Times New Roman" w:cstheme="minorHAnsi"/>
                <w:color w:val="000000"/>
                <w:sz w:val="18"/>
                <w:szCs w:val="20"/>
                <w:lang w:eastAsia="cs-CZ"/>
              </w:rPr>
              <w:t>Družstva</w:t>
            </w:r>
          </w:p>
        </w:tc>
        <w:tc>
          <w:tcPr>
            <w:tcW w:w="1837" w:type="dxa"/>
            <w:tcBorders>
              <w:top w:val="nil"/>
              <w:left w:val="nil"/>
              <w:bottom w:val="single" w:sz="8" w:space="0" w:color="auto"/>
              <w:right w:val="single" w:sz="4" w:space="0" w:color="auto"/>
            </w:tcBorders>
            <w:shd w:val="clear" w:color="auto" w:fill="auto"/>
            <w:vAlign w:val="center"/>
            <w:hideMark/>
          </w:tcPr>
          <w:p w14:paraId="45F25FA4"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38</w:t>
            </w:r>
          </w:p>
        </w:tc>
        <w:tc>
          <w:tcPr>
            <w:tcW w:w="2410" w:type="dxa"/>
            <w:tcBorders>
              <w:top w:val="nil"/>
              <w:left w:val="nil"/>
              <w:bottom w:val="single" w:sz="8" w:space="0" w:color="auto"/>
              <w:right w:val="single" w:sz="8" w:space="0" w:color="auto"/>
            </w:tcBorders>
            <w:shd w:val="clear" w:color="auto" w:fill="auto"/>
            <w:vAlign w:val="center"/>
            <w:hideMark/>
          </w:tcPr>
          <w:p w14:paraId="7E4BFD27" w14:textId="77777777" w:rsidR="00954688" w:rsidRPr="00B05B26" w:rsidRDefault="00954688" w:rsidP="000C49A5">
            <w:pPr>
              <w:keepNext/>
              <w:keepLines/>
              <w:spacing w:before="0"/>
              <w:jc w:val="right"/>
              <w:rPr>
                <w:rFonts w:eastAsia="Times New Roman" w:cstheme="minorHAnsi"/>
                <w:color w:val="000000"/>
                <w:sz w:val="18"/>
                <w:szCs w:val="20"/>
                <w:lang w:eastAsia="cs-CZ"/>
              </w:rPr>
            </w:pPr>
            <w:r w:rsidRPr="00B05B26">
              <w:rPr>
                <w:rFonts w:eastAsia="Times New Roman" w:cstheme="minorHAnsi"/>
                <w:color w:val="000000"/>
                <w:sz w:val="18"/>
                <w:szCs w:val="20"/>
                <w:lang w:eastAsia="cs-CZ"/>
              </w:rPr>
              <w:t>25</w:t>
            </w:r>
          </w:p>
        </w:tc>
      </w:tr>
    </w:tbl>
    <w:p w14:paraId="418AA14C" w14:textId="1917431E" w:rsidR="00954688" w:rsidRDefault="00954688" w:rsidP="00954688">
      <w:pPr>
        <w:pStyle w:val="Zdroj"/>
      </w:pPr>
      <w:r>
        <w:t xml:space="preserve">Zdroj: </w:t>
      </w:r>
      <w:r w:rsidRPr="00443A6C">
        <w:t>Český statistický úřad, Veřejná databáze</w:t>
      </w:r>
      <w:r>
        <w:t>, 2020</w:t>
      </w:r>
      <w:r w:rsidR="008D7DFD">
        <w:t>.</w:t>
      </w:r>
    </w:p>
    <w:p w14:paraId="7E5AC828" w14:textId="37DEC261" w:rsidR="00954688" w:rsidRDefault="00954688" w:rsidP="00954688">
      <w:pPr>
        <w:keepNext/>
      </w:pPr>
      <w:r>
        <w:t>V grafu n</w:t>
      </w:r>
      <w:r w:rsidRPr="00504140">
        <w:t xml:space="preserve">a obrázku </w:t>
      </w:r>
      <w:r w:rsidR="00E111E6">
        <w:t>1.89</w:t>
      </w:r>
      <w:r w:rsidRPr="00504140">
        <w:t xml:space="preserve"> a </w:t>
      </w:r>
      <w:r w:rsidR="00E111E6">
        <w:t>v </w:t>
      </w:r>
      <w:r w:rsidRPr="00504140">
        <w:t>tabulce</w:t>
      </w:r>
      <w:r w:rsidR="00E111E6">
        <w:t xml:space="preserve"> 1.6</w:t>
      </w:r>
      <w:r w:rsidR="00122205">
        <w:t>4</w:t>
      </w:r>
      <w:r w:rsidRPr="00504140">
        <w:t xml:space="preserve"> je znázorněn vývoj míry podnikatelské aktivity města </w:t>
      </w:r>
      <w:r>
        <w:t>Zlína</w:t>
      </w:r>
      <w:r w:rsidRPr="00504140">
        <w:t xml:space="preserve"> v</w:t>
      </w:r>
      <w:r w:rsidR="004F6B03">
        <w:t> </w:t>
      </w:r>
      <w:r w:rsidRPr="00504140">
        <w:t>porovnání s vybranými městy v letech 2008 – 2019. Míra podnikatelské aktivity je ukazatel, který udává počet podnikajících fyzických osob (živnostníků a zemědělských podnikatelů) přepočtený na 1</w:t>
      </w:r>
      <w:r w:rsidR="004F6B03">
        <w:t> </w:t>
      </w:r>
      <w:r w:rsidRPr="00504140">
        <w:t xml:space="preserve">000 obyvatel. Je proto jedním z možných indikátorů úspěšnosti podpory drobného podnikání. </w:t>
      </w:r>
      <w:r>
        <w:t xml:space="preserve">Mezi vybranými městy patří město Zlín </w:t>
      </w:r>
      <w:r w:rsidRPr="00504140">
        <w:t xml:space="preserve">mezi města s vysokou mírou podnikatelské aktivity. </w:t>
      </w:r>
      <w:r>
        <w:t xml:space="preserve">Míra ekonomické aktivity zde byla v roce 2019 nejvyšší v porovnání se sledovanými městy. </w:t>
      </w:r>
    </w:p>
    <w:p w14:paraId="7BBDA7C7" w14:textId="077849A3" w:rsidR="00954688" w:rsidRPr="000D0B9D" w:rsidRDefault="00954688" w:rsidP="00954688">
      <w:pPr>
        <w:pStyle w:val="Titulek"/>
        <w:keepNext/>
        <w:keepLines/>
        <w:rPr>
          <w:b w:val="0"/>
        </w:rPr>
      </w:pPr>
      <w:bookmarkStart w:id="438" w:name="_Toc53066201"/>
      <w:bookmarkStart w:id="439" w:name="_Toc7707490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89</w:t>
      </w:r>
      <w:r w:rsidR="00804AF3">
        <w:rPr>
          <w:noProof/>
        </w:rPr>
        <w:fldChar w:fldCharType="end"/>
      </w:r>
      <w:r w:rsidR="008D7DFD">
        <w:rPr>
          <w:noProof/>
        </w:rPr>
        <w:t>:</w:t>
      </w:r>
      <w:r>
        <w:t xml:space="preserve"> Vývoj míry podnikatelské aktivity ve vybraných městech v letech 2008 – 2019 (v %)</w:t>
      </w:r>
      <w:bookmarkEnd w:id="438"/>
      <w:bookmarkEnd w:id="439"/>
    </w:p>
    <w:p w14:paraId="35DA8A3C" w14:textId="77777777" w:rsidR="00954688" w:rsidRDefault="00954688" w:rsidP="00954688">
      <w:pPr>
        <w:pStyle w:val="Zdroj"/>
      </w:pPr>
      <w:r>
        <w:rPr>
          <w:noProof/>
        </w:rPr>
        <w:drawing>
          <wp:inline distT="0" distB="0" distL="0" distR="0" wp14:anchorId="66CE5C71" wp14:editId="15BD3B1D">
            <wp:extent cx="5773420" cy="2517775"/>
            <wp:effectExtent l="0" t="0" r="0" b="0"/>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73420" cy="2517775"/>
                    </a:xfrm>
                    <a:prstGeom prst="rect">
                      <a:avLst/>
                    </a:prstGeom>
                    <a:noFill/>
                  </pic:spPr>
                </pic:pic>
              </a:graphicData>
            </a:graphic>
          </wp:inline>
        </w:drawing>
      </w:r>
    </w:p>
    <w:p w14:paraId="1BF5ECE7" w14:textId="2D864870" w:rsidR="00954688" w:rsidRDefault="00954688" w:rsidP="00954688">
      <w:pPr>
        <w:pStyle w:val="Zdroj"/>
        <w:rPr>
          <w:i w:val="0"/>
          <w:iCs/>
          <w:sz w:val="20"/>
        </w:rPr>
      </w:pPr>
      <w:r w:rsidRPr="00F54AB6">
        <w:rPr>
          <w:i w:val="0"/>
          <w:iCs/>
          <w:sz w:val="20"/>
        </w:rPr>
        <w:t>Zdroj: ČSÚ, veřejná databáze, zpracování PROCES</w:t>
      </w:r>
      <w:r w:rsidR="008D7DFD">
        <w:rPr>
          <w:i w:val="0"/>
          <w:iCs/>
          <w:sz w:val="20"/>
        </w:rPr>
        <w:t>, 2020.</w:t>
      </w:r>
    </w:p>
    <w:p w14:paraId="448E09DF" w14:textId="13591C1A" w:rsidR="00954688" w:rsidRDefault="00954688" w:rsidP="00954688">
      <w:pPr>
        <w:pStyle w:val="Titulek"/>
        <w:rPr>
          <w:i/>
          <w:iCs w:val="0"/>
          <w:sz w:val="20"/>
        </w:rPr>
      </w:pPr>
      <w:bookmarkStart w:id="440" w:name="_Toc53066222"/>
      <w:bookmarkStart w:id="441" w:name="_Toc77074744"/>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64</w:t>
      </w:r>
      <w:r w:rsidR="00081B47">
        <w:rPr>
          <w:noProof/>
        </w:rPr>
        <w:fldChar w:fldCharType="end"/>
      </w:r>
      <w:r w:rsidR="008D7DFD">
        <w:rPr>
          <w:noProof/>
        </w:rPr>
        <w:t>:</w:t>
      </w:r>
      <w:r>
        <w:t xml:space="preserve"> Vývoj míry podnikatelské aktivity ve vybraných městech v letech 2008 – 2019 (v %)</w:t>
      </w:r>
      <w:bookmarkEnd w:id="440"/>
      <w:bookmarkEnd w:id="441"/>
    </w:p>
    <w:tbl>
      <w:tblPr>
        <w:tblW w:w="9115" w:type="dxa"/>
        <w:tblCellMar>
          <w:left w:w="70" w:type="dxa"/>
          <w:right w:w="70" w:type="dxa"/>
        </w:tblCellMar>
        <w:tblLook w:val="04A0" w:firstRow="1" w:lastRow="0" w:firstColumn="1" w:lastColumn="0" w:noHBand="0" w:noVBand="1"/>
      </w:tblPr>
      <w:tblGrid>
        <w:gridCol w:w="2281"/>
        <w:gridCol w:w="554"/>
        <w:gridCol w:w="571"/>
        <w:gridCol w:w="571"/>
        <w:gridCol w:w="571"/>
        <w:gridCol w:w="571"/>
        <w:gridCol w:w="571"/>
        <w:gridCol w:w="571"/>
        <w:gridCol w:w="571"/>
        <w:gridCol w:w="571"/>
        <w:gridCol w:w="571"/>
        <w:gridCol w:w="571"/>
        <w:gridCol w:w="570"/>
      </w:tblGrid>
      <w:tr w:rsidR="00954688" w:rsidRPr="0052501C" w14:paraId="27B17985" w14:textId="77777777" w:rsidTr="000C49A5">
        <w:trPr>
          <w:trHeight w:val="262"/>
        </w:trPr>
        <w:tc>
          <w:tcPr>
            <w:tcW w:w="228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81D9372"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Město</w:t>
            </w:r>
          </w:p>
        </w:tc>
        <w:tc>
          <w:tcPr>
            <w:tcW w:w="554" w:type="dxa"/>
            <w:tcBorders>
              <w:top w:val="single" w:sz="4" w:space="0" w:color="auto"/>
              <w:left w:val="nil"/>
              <w:bottom w:val="single" w:sz="4" w:space="0" w:color="auto"/>
              <w:right w:val="single" w:sz="4" w:space="0" w:color="auto"/>
            </w:tcBorders>
            <w:shd w:val="clear" w:color="000000" w:fill="F2F2F2"/>
            <w:noWrap/>
            <w:vAlign w:val="center"/>
            <w:hideMark/>
          </w:tcPr>
          <w:p w14:paraId="41AE3150"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2008</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52A6AD0B"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2009</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5F4956CF"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2010</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1B943EE9"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2011</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213E1FDA"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2012</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6758B24E"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2013</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50BD3872"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2014</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062B4CA7"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2015</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462850F9"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2016</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13B7440A"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2017</w:t>
            </w:r>
          </w:p>
        </w:tc>
        <w:tc>
          <w:tcPr>
            <w:tcW w:w="571" w:type="dxa"/>
            <w:tcBorders>
              <w:top w:val="single" w:sz="4" w:space="0" w:color="auto"/>
              <w:left w:val="nil"/>
              <w:bottom w:val="single" w:sz="4" w:space="0" w:color="auto"/>
              <w:right w:val="single" w:sz="4" w:space="0" w:color="auto"/>
            </w:tcBorders>
            <w:shd w:val="clear" w:color="000000" w:fill="F2F2F2"/>
            <w:noWrap/>
            <w:vAlign w:val="center"/>
            <w:hideMark/>
          </w:tcPr>
          <w:p w14:paraId="78B9F677"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2018</w:t>
            </w:r>
          </w:p>
        </w:tc>
        <w:tc>
          <w:tcPr>
            <w:tcW w:w="570" w:type="dxa"/>
            <w:tcBorders>
              <w:top w:val="single" w:sz="4" w:space="0" w:color="auto"/>
              <w:left w:val="nil"/>
              <w:bottom w:val="single" w:sz="4" w:space="0" w:color="auto"/>
              <w:right w:val="single" w:sz="4" w:space="0" w:color="auto"/>
            </w:tcBorders>
            <w:shd w:val="clear" w:color="000000" w:fill="F2F2F2"/>
            <w:noWrap/>
            <w:vAlign w:val="center"/>
            <w:hideMark/>
          </w:tcPr>
          <w:p w14:paraId="11313456" w14:textId="77777777" w:rsidR="00954688" w:rsidRPr="0052501C" w:rsidRDefault="00954688" w:rsidP="000C49A5">
            <w:pPr>
              <w:spacing w:before="0"/>
              <w:jc w:val="center"/>
              <w:rPr>
                <w:rFonts w:ascii="Calibri" w:eastAsia="Times New Roman" w:hAnsi="Calibri" w:cs="Calibri"/>
                <w:b/>
                <w:bCs/>
                <w:color w:val="000000"/>
                <w:sz w:val="18"/>
                <w:szCs w:val="18"/>
                <w:lang w:eastAsia="cs-CZ"/>
              </w:rPr>
            </w:pPr>
            <w:r w:rsidRPr="0052501C">
              <w:rPr>
                <w:rFonts w:ascii="Calibri" w:eastAsia="Times New Roman" w:hAnsi="Calibri" w:cs="Calibri"/>
                <w:b/>
                <w:bCs/>
                <w:color w:val="000000"/>
                <w:sz w:val="18"/>
                <w:szCs w:val="18"/>
                <w:lang w:eastAsia="cs-CZ"/>
              </w:rPr>
              <w:t>2019</w:t>
            </w:r>
          </w:p>
        </w:tc>
      </w:tr>
      <w:tr w:rsidR="00954688" w:rsidRPr="0052501C" w14:paraId="6446E843" w14:textId="77777777" w:rsidTr="000C49A5">
        <w:trPr>
          <w:trHeight w:val="262"/>
        </w:trPr>
        <w:tc>
          <w:tcPr>
            <w:tcW w:w="2281" w:type="dxa"/>
            <w:tcBorders>
              <w:top w:val="nil"/>
              <w:left w:val="single" w:sz="4" w:space="0" w:color="auto"/>
              <w:bottom w:val="single" w:sz="4" w:space="0" w:color="auto"/>
              <w:right w:val="single" w:sz="4" w:space="0" w:color="auto"/>
            </w:tcBorders>
            <w:shd w:val="clear" w:color="auto" w:fill="auto"/>
            <w:noWrap/>
            <w:vAlign w:val="bottom"/>
            <w:hideMark/>
          </w:tcPr>
          <w:p w14:paraId="5E8FB895" w14:textId="77777777" w:rsidR="00954688" w:rsidRPr="0052501C" w:rsidRDefault="00954688" w:rsidP="000C49A5">
            <w:pPr>
              <w:spacing w:before="0"/>
              <w:jc w:val="lef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Zlín</w:t>
            </w:r>
          </w:p>
        </w:tc>
        <w:tc>
          <w:tcPr>
            <w:tcW w:w="554" w:type="dxa"/>
            <w:tcBorders>
              <w:top w:val="single" w:sz="4" w:space="0" w:color="auto"/>
              <w:left w:val="single" w:sz="4" w:space="0" w:color="auto"/>
              <w:bottom w:val="single" w:sz="4" w:space="0" w:color="auto"/>
              <w:right w:val="single" w:sz="4" w:space="0" w:color="auto"/>
            </w:tcBorders>
            <w:shd w:val="clear" w:color="000000" w:fill="FBB7BA"/>
            <w:noWrap/>
            <w:vAlign w:val="bottom"/>
            <w:hideMark/>
          </w:tcPr>
          <w:p w14:paraId="4AA92117"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231,1</w:t>
            </w:r>
          </w:p>
        </w:tc>
        <w:tc>
          <w:tcPr>
            <w:tcW w:w="571" w:type="dxa"/>
            <w:tcBorders>
              <w:top w:val="single" w:sz="4" w:space="0" w:color="auto"/>
              <w:left w:val="single" w:sz="4" w:space="0" w:color="auto"/>
              <w:bottom w:val="single" w:sz="4" w:space="0" w:color="auto"/>
              <w:right w:val="single" w:sz="4" w:space="0" w:color="auto"/>
            </w:tcBorders>
            <w:shd w:val="clear" w:color="000000" w:fill="FAA9AB"/>
            <w:noWrap/>
            <w:vAlign w:val="bottom"/>
            <w:hideMark/>
          </w:tcPr>
          <w:p w14:paraId="55675DF3"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235,8</w:t>
            </w:r>
          </w:p>
        </w:tc>
        <w:tc>
          <w:tcPr>
            <w:tcW w:w="571" w:type="dxa"/>
            <w:tcBorders>
              <w:top w:val="single" w:sz="4" w:space="0" w:color="auto"/>
              <w:left w:val="single" w:sz="4" w:space="0" w:color="auto"/>
              <w:bottom w:val="single" w:sz="4" w:space="0" w:color="auto"/>
              <w:right w:val="single" w:sz="4" w:space="0" w:color="auto"/>
            </w:tcBorders>
            <w:shd w:val="clear" w:color="000000" w:fill="FAA3A5"/>
            <w:noWrap/>
            <w:vAlign w:val="bottom"/>
            <w:hideMark/>
          </w:tcPr>
          <w:p w14:paraId="798C1102"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237,6</w:t>
            </w:r>
          </w:p>
        </w:tc>
        <w:tc>
          <w:tcPr>
            <w:tcW w:w="571" w:type="dxa"/>
            <w:tcBorders>
              <w:top w:val="single" w:sz="4" w:space="0" w:color="auto"/>
              <w:left w:val="single" w:sz="4" w:space="0" w:color="auto"/>
              <w:bottom w:val="single" w:sz="4" w:space="0" w:color="auto"/>
              <w:right w:val="single" w:sz="4" w:space="0" w:color="auto"/>
            </w:tcBorders>
            <w:shd w:val="clear" w:color="000000" w:fill="FAA1A4"/>
            <w:noWrap/>
            <w:vAlign w:val="bottom"/>
            <w:hideMark/>
          </w:tcPr>
          <w:p w14:paraId="0D7582D9"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238,3</w:t>
            </w:r>
          </w:p>
        </w:tc>
        <w:tc>
          <w:tcPr>
            <w:tcW w:w="571" w:type="dxa"/>
            <w:tcBorders>
              <w:top w:val="single" w:sz="4" w:space="0" w:color="auto"/>
              <w:left w:val="single" w:sz="4" w:space="0" w:color="auto"/>
              <w:bottom w:val="single" w:sz="4" w:space="0" w:color="auto"/>
              <w:right w:val="single" w:sz="4" w:space="0" w:color="auto"/>
            </w:tcBorders>
            <w:shd w:val="clear" w:color="000000" w:fill="FA9EA0"/>
            <w:noWrap/>
            <w:vAlign w:val="bottom"/>
            <w:hideMark/>
          </w:tcPr>
          <w:p w14:paraId="702981E4"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239,4</w:t>
            </w:r>
          </w:p>
        </w:tc>
        <w:tc>
          <w:tcPr>
            <w:tcW w:w="571" w:type="dxa"/>
            <w:tcBorders>
              <w:top w:val="single" w:sz="4" w:space="0" w:color="auto"/>
              <w:left w:val="single" w:sz="4" w:space="0" w:color="auto"/>
              <w:bottom w:val="single" w:sz="4" w:space="0" w:color="auto"/>
              <w:right w:val="single" w:sz="4" w:space="0" w:color="auto"/>
            </w:tcBorders>
            <w:shd w:val="clear" w:color="000000" w:fill="FAA6A8"/>
            <w:noWrap/>
            <w:vAlign w:val="bottom"/>
            <w:hideMark/>
          </w:tcPr>
          <w:p w14:paraId="0368F77A"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236,7</w:t>
            </w:r>
          </w:p>
        </w:tc>
        <w:tc>
          <w:tcPr>
            <w:tcW w:w="571" w:type="dxa"/>
            <w:tcBorders>
              <w:top w:val="single" w:sz="4" w:space="0" w:color="auto"/>
              <w:left w:val="single" w:sz="4" w:space="0" w:color="auto"/>
              <w:bottom w:val="single" w:sz="4" w:space="0" w:color="auto"/>
              <w:right w:val="single" w:sz="4" w:space="0" w:color="auto"/>
            </w:tcBorders>
            <w:shd w:val="clear" w:color="000000" w:fill="FAA7A9"/>
            <w:noWrap/>
            <w:vAlign w:val="bottom"/>
            <w:hideMark/>
          </w:tcPr>
          <w:p w14:paraId="6CEAA94E"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236,4</w:t>
            </w:r>
          </w:p>
        </w:tc>
        <w:tc>
          <w:tcPr>
            <w:tcW w:w="571" w:type="dxa"/>
            <w:tcBorders>
              <w:top w:val="single" w:sz="4" w:space="0" w:color="auto"/>
              <w:left w:val="single" w:sz="4" w:space="0" w:color="auto"/>
              <w:bottom w:val="single" w:sz="4" w:space="0" w:color="auto"/>
              <w:right w:val="single" w:sz="4" w:space="0" w:color="auto"/>
            </w:tcBorders>
            <w:shd w:val="clear" w:color="000000" w:fill="FAAAAC"/>
            <w:noWrap/>
            <w:vAlign w:val="bottom"/>
            <w:hideMark/>
          </w:tcPr>
          <w:p w14:paraId="016E191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235,5</w:t>
            </w:r>
          </w:p>
        </w:tc>
        <w:tc>
          <w:tcPr>
            <w:tcW w:w="571" w:type="dxa"/>
            <w:tcBorders>
              <w:top w:val="single" w:sz="4" w:space="0" w:color="auto"/>
              <w:left w:val="single" w:sz="4" w:space="0" w:color="auto"/>
              <w:bottom w:val="single" w:sz="4" w:space="0" w:color="auto"/>
              <w:right w:val="single" w:sz="4" w:space="0" w:color="auto"/>
            </w:tcBorders>
            <w:shd w:val="clear" w:color="000000" w:fill="FBB4B6"/>
            <w:noWrap/>
            <w:vAlign w:val="bottom"/>
            <w:hideMark/>
          </w:tcPr>
          <w:p w14:paraId="77C43AE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232,2</w:t>
            </w:r>
          </w:p>
        </w:tc>
        <w:tc>
          <w:tcPr>
            <w:tcW w:w="571" w:type="dxa"/>
            <w:tcBorders>
              <w:top w:val="single" w:sz="4" w:space="0" w:color="auto"/>
              <w:left w:val="single" w:sz="4" w:space="0" w:color="auto"/>
              <w:bottom w:val="single" w:sz="4" w:space="0" w:color="auto"/>
              <w:right w:val="single" w:sz="4" w:space="0" w:color="auto"/>
            </w:tcBorders>
            <w:shd w:val="clear" w:color="000000" w:fill="FBB8BB"/>
            <w:noWrap/>
            <w:vAlign w:val="bottom"/>
            <w:hideMark/>
          </w:tcPr>
          <w:p w14:paraId="3E1388D4"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230,7</w:t>
            </w:r>
          </w:p>
        </w:tc>
        <w:tc>
          <w:tcPr>
            <w:tcW w:w="571" w:type="dxa"/>
            <w:tcBorders>
              <w:top w:val="single" w:sz="4" w:space="0" w:color="auto"/>
              <w:left w:val="single" w:sz="4" w:space="0" w:color="auto"/>
              <w:bottom w:val="single" w:sz="4" w:space="0" w:color="auto"/>
              <w:right w:val="single" w:sz="4" w:space="0" w:color="auto"/>
            </w:tcBorders>
            <w:shd w:val="clear" w:color="000000" w:fill="FBB9BC"/>
            <w:noWrap/>
            <w:vAlign w:val="bottom"/>
            <w:hideMark/>
          </w:tcPr>
          <w:p w14:paraId="0E751026"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230,5</w:t>
            </w:r>
          </w:p>
        </w:tc>
        <w:tc>
          <w:tcPr>
            <w:tcW w:w="570" w:type="dxa"/>
            <w:tcBorders>
              <w:top w:val="single" w:sz="4" w:space="0" w:color="auto"/>
              <w:left w:val="single" w:sz="4" w:space="0" w:color="auto"/>
              <w:bottom w:val="single" w:sz="4" w:space="0" w:color="auto"/>
              <w:right w:val="single" w:sz="4" w:space="0" w:color="auto"/>
            </w:tcBorders>
            <w:shd w:val="clear" w:color="000000" w:fill="FBBFC2"/>
            <w:noWrap/>
            <w:vAlign w:val="bottom"/>
            <w:hideMark/>
          </w:tcPr>
          <w:p w14:paraId="3BF94132"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228,5</w:t>
            </w:r>
          </w:p>
        </w:tc>
      </w:tr>
      <w:tr w:rsidR="00954688" w:rsidRPr="0052501C" w14:paraId="67880D09" w14:textId="77777777" w:rsidTr="000C49A5">
        <w:trPr>
          <w:trHeight w:val="262"/>
        </w:trPr>
        <w:tc>
          <w:tcPr>
            <w:tcW w:w="2281" w:type="dxa"/>
            <w:tcBorders>
              <w:top w:val="nil"/>
              <w:left w:val="single" w:sz="4" w:space="0" w:color="auto"/>
              <w:bottom w:val="single" w:sz="4" w:space="0" w:color="auto"/>
              <w:right w:val="single" w:sz="4" w:space="0" w:color="auto"/>
            </w:tcBorders>
            <w:shd w:val="clear" w:color="auto" w:fill="auto"/>
            <w:noWrap/>
            <w:vAlign w:val="bottom"/>
            <w:hideMark/>
          </w:tcPr>
          <w:p w14:paraId="0F494F06" w14:textId="77777777" w:rsidR="00954688" w:rsidRPr="0052501C" w:rsidRDefault="00954688" w:rsidP="000C49A5">
            <w:pPr>
              <w:spacing w:before="0"/>
              <w:jc w:val="lef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Olomouc</w:t>
            </w:r>
          </w:p>
        </w:tc>
        <w:tc>
          <w:tcPr>
            <w:tcW w:w="554" w:type="dxa"/>
            <w:tcBorders>
              <w:top w:val="single" w:sz="4" w:space="0" w:color="auto"/>
              <w:left w:val="single" w:sz="4" w:space="0" w:color="auto"/>
              <w:bottom w:val="single" w:sz="4" w:space="0" w:color="auto"/>
              <w:right w:val="single" w:sz="4" w:space="0" w:color="auto"/>
            </w:tcBorders>
            <w:shd w:val="clear" w:color="000000" w:fill="BACDE7"/>
            <w:noWrap/>
            <w:vAlign w:val="bottom"/>
            <w:hideMark/>
          </w:tcPr>
          <w:p w14:paraId="0A69564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191,8</w:t>
            </w:r>
          </w:p>
        </w:tc>
        <w:tc>
          <w:tcPr>
            <w:tcW w:w="571" w:type="dxa"/>
            <w:tcBorders>
              <w:top w:val="single" w:sz="4" w:space="0" w:color="auto"/>
              <w:left w:val="single" w:sz="4" w:space="0" w:color="auto"/>
              <w:bottom w:val="single" w:sz="4" w:space="0" w:color="auto"/>
              <w:right w:val="single" w:sz="4" w:space="0" w:color="auto"/>
            </w:tcBorders>
            <w:shd w:val="clear" w:color="000000" w:fill="C2D3EA"/>
            <w:noWrap/>
            <w:vAlign w:val="bottom"/>
            <w:hideMark/>
          </w:tcPr>
          <w:p w14:paraId="061E8A27"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193,9</w:t>
            </w:r>
          </w:p>
        </w:tc>
        <w:tc>
          <w:tcPr>
            <w:tcW w:w="571" w:type="dxa"/>
            <w:tcBorders>
              <w:top w:val="single" w:sz="4" w:space="0" w:color="auto"/>
              <w:left w:val="single" w:sz="4" w:space="0" w:color="auto"/>
              <w:bottom w:val="single" w:sz="4" w:space="0" w:color="auto"/>
              <w:right w:val="single" w:sz="4" w:space="0" w:color="auto"/>
            </w:tcBorders>
            <w:shd w:val="clear" w:color="000000" w:fill="CFDCEF"/>
            <w:noWrap/>
            <w:vAlign w:val="bottom"/>
            <w:hideMark/>
          </w:tcPr>
          <w:p w14:paraId="5CA6B6C9"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197,2</w:t>
            </w:r>
          </w:p>
        </w:tc>
        <w:tc>
          <w:tcPr>
            <w:tcW w:w="571" w:type="dxa"/>
            <w:tcBorders>
              <w:top w:val="single" w:sz="4" w:space="0" w:color="auto"/>
              <w:left w:val="single" w:sz="4" w:space="0" w:color="auto"/>
              <w:bottom w:val="single" w:sz="4" w:space="0" w:color="auto"/>
              <w:right w:val="single" w:sz="4" w:space="0" w:color="auto"/>
            </w:tcBorders>
            <w:shd w:val="clear" w:color="000000" w:fill="E3EAF6"/>
            <w:noWrap/>
            <w:vAlign w:val="bottom"/>
            <w:hideMark/>
          </w:tcPr>
          <w:p w14:paraId="02BF14D7"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202,4</w:t>
            </w:r>
          </w:p>
        </w:tc>
        <w:tc>
          <w:tcPr>
            <w:tcW w:w="571" w:type="dxa"/>
            <w:tcBorders>
              <w:top w:val="single" w:sz="4" w:space="0" w:color="auto"/>
              <w:left w:val="single" w:sz="4" w:space="0" w:color="auto"/>
              <w:bottom w:val="single" w:sz="4" w:space="0" w:color="auto"/>
              <w:right w:val="single" w:sz="4" w:space="0" w:color="auto"/>
            </w:tcBorders>
            <w:shd w:val="clear" w:color="000000" w:fill="D2DEF0"/>
            <w:noWrap/>
            <w:vAlign w:val="bottom"/>
            <w:hideMark/>
          </w:tcPr>
          <w:p w14:paraId="778F2B15"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197,9</w:t>
            </w:r>
          </w:p>
        </w:tc>
        <w:tc>
          <w:tcPr>
            <w:tcW w:w="571" w:type="dxa"/>
            <w:tcBorders>
              <w:top w:val="single" w:sz="4" w:space="0" w:color="auto"/>
              <w:left w:val="single" w:sz="4" w:space="0" w:color="auto"/>
              <w:bottom w:val="single" w:sz="4" w:space="0" w:color="auto"/>
              <w:right w:val="single" w:sz="4" w:space="0" w:color="auto"/>
            </w:tcBorders>
            <w:shd w:val="clear" w:color="000000" w:fill="EBF0F9"/>
            <w:noWrap/>
            <w:vAlign w:val="bottom"/>
            <w:hideMark/>
          </w:tcPr>
          <w:p w14:paraId="4A74C09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204,3</w:t>
            </w:r>
          </w:p>
        </w:tc>
        <w:tc>
          <w:tcPr>
            <w:tcW w:w="571" w:type="dxa"/>
            <w:tcBorders>
              <w:top w:val="single" w:sz="4" w:space="0" w:color="auto"/>
              <w:left w:val="single" w:sz="4" w:space="0" w:color="auto"/>
              <w:bottom w:val="single" w:sz="4" w:space="0" w:color="auto"/>
              <w:right w:val="single" w:sz="4" w:space="0" w:color="auto"/>
            </w:tcBorders>
            <w:shd w:val="clear" w:color="000000" w:fill="F3F5FB"/>
            <w:noWrap/>
            <w:vAlign w:val="bottom"/>
            <w:hideMark/>
          </w:tcPr>
          <w:p w14:paraId="7C0C2F7F"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206,3</w:t>
            </w:r>
          </w:p>
        </w:tc>
        <w:tc>
          <w:tcPr>
            <w:tcW w:w="571" w:type="dxa"/>
            <w:tcBorders>
              <w:top w:val="single" w:sz="4" w:space="0" w:color="auto"/>
              <w:left w:val="single" w:sz="4" w:space="0" w:color="auto"/>
              <w:bottom w:val="single" w:sz="4" w:space="0" w:color="auto"/>
              <w:right w:val="single" w:sz="4" w:space="0" w:color="auto"/>
            </w:tcBorders>
            <w:shd w:val="clear" w:color="000000" w:fill="EEF2FA"/>
            <w:noWrap/>
            <w:vAlign w:val="bottom"/>
            <w:hideMark/>
          </w:tcPr>
          <w:p w14:paraId="7A871D82"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205,1</w:t>
            </w:r>
          </w:p>
        </w:tc>
        <w:tc>
          <w:tcPr>
            <w:tcW w:w="571" w:type="dxa"/>
            <w:tcBorders>
              <w:top w:val="single" w:sz="4" w:space="0" w:color="auto"/>
              <w:left w:val="single" w:sz="4" w:space="0" w:color="auto"/>
              <w:bottom w:val="single" w:sz="4" w:space="0" w:color="auto"/>
              <w:right w:val="single" w:sz="4" w:space="0" w:color="auto"/>
            </w:tcBorders>
            <w:shd w:val="clear" w:color="000000" w:fill="F4F6FC"/>
            <w:noWrap/>
            <w:vAlign w:val="bottom"/>
            <w:hideMark/>
          </w:tcPr>
          <w:p w14:paraId="2C840687"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206,6</w:t>
            </w:r>
          </w:p>
        </w:tc>
        <w:tc>
          <w:tcPr>
            <w:tcW w:w="571" w:type="dxa"/>
            <w:tcBorders>
              <w:top w:val="single" w:sz="4" w:space="0" w:color="auto"/>
              <w:left w:val="single" w:sz="4" w:space="0" w:color="auto"/>
              <w:bottom w:val="single" w:sz="4" w:space="0" w:color="auto"/>
              <w:right w:val="single" w:sz="4" w:space="0" w:color="auto"/>
            </w:tcBorders>
            <w:shd w:val="clear" w:color="000000" w:fill="FCFAFD"/>
            <w:noWrap/>
            <w:vAlign w:val="bottom"/>
            <w:hideMark/>
          </w:tcPr>
          <w:p w14:paraId="5FFB3E16"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209,3</w:t>
            </w:r>
          </w:p>
        </w:tc>
        <w:tc>
          <w:tcPr>
            <w:tcW w:w="571" w:type="dxa"/>
            <w:tcBorders>
              <w:top w:val="single" w:sz="4" w:space="0" w:color="auto"/>
              <w:left w:val="single" w:sz="4" w:space="0" w:color="auto"/>
              <w:bottom w:val="single" w:sz="4" w:space="0" w:color="auto"/>
              <w:right w:val="single" w:sz="4" w:space="0" w:color="auto"/>
            </w:tcBorders>
            <w:shd w:val="clear" w:color="000000" w:fill="FCF3F6"/>
            <w:noWrap/>
            <w:vAlign w:val="bottom"/>
            <w:hideMark/>
          </w:tcPr>
          <w:p w14:paraId="4489B20D"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211,7</w:t>
            </w:r>
          </w:p>
        </w:tc>
        <w:tc>
          <w:tcPr>
            <w:tcW w:w="570" w:type="dxa"/>
            <w:tcBorders>
              <w:top w:val="single" w:sz="4" w:space="0" w:color="auto"/>
              <w:left w:val="single" w:sz="4" w:space="0" w:color="auto"/>
              <w:bottom w:val="single" w:sz="4" w:space="0" w:color="auto"/>
              <w:right w:val="single" w:sz="4" w:space="0" w:color="auto"/>
            </w:tcBorders>
            <w:shd w:val="clear" w:color="000000" w:fill="FCF9FC"/>
            <w:noWrap/>
            <w:vAlign w:val="bottom"/>
            <w:hideMark/>
          </w:tcPr>
          <w:p w14:paraId="7180715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209,6</w:t>
            </w:r>
          </w:p>
        </w:tc>
      </w:tr>
      <w:tr w:rsidR="00954688" w:rsidRPr="0052501C" w14:paraId="072B072C" w14:textId="77777777" w:rsidTr="000C49A5">
        <w:trPr>
          <w:trHeight w:val="262"/>
        </w:trPr>
        <w:tc>
          <w:tcPr>
            <w:tcW w:w="2281" w:type="dxa"/>
            <w:tcBorders>
              <w:top w:val="nil"/>
              <w:left w:val="single" w:sz="4" w:space="0" w:color="auto"/>
              <w:bottom w:val="single" w:sz="4" w:space="0" w:color="auto"/>
              <w:right w:val="single" w:sz="4" w:space="0" w:color="auto"/>
            </w:tcBorders>
            <w:shd w:val="clear" w:color="auto" w:fill="auto"/>
            <w:noWrap/>
            <w:vAlign w:val="bottom"/>
            <w:hideMark/>
          </w:tcPr>
          <w:p w14:paraId="6968FF96" w14:textId="77777777" w:rsidR="00954688" w:rsidRPr="0052501C" w:rsidRDefault="00954688" w:rsidP="000C49A5">
            <w:pPr>
              <w:spacing w:before="0"/>
              <w:jc w:val="lef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České Budějovice</w:t>
            </w:r>
          </w:p>
        </w:tc>
        <w:tc>
          <w:tcPr>
            <w:tcW w:w="554" w:type="dxa"/>
            <w:tcBorders>
              <w:top w:val="single" w:sz="4" w:space="0" w:color="auto"/>
              <w:left w:val="single" w:sz="4" w:space="0" w:color="auto"/>
              <w:bottom w:val="single" w:sz="4" w:space="0" w:color="auto"/>
              <w:right w:val="single" w:sz="4" w:space="0" w:color="auto"/>
            </w:tcBorders>
            <w:shd w:val="clear" w:color="000000" w:fill="DDE6F4"/>
            <w:noWrap/>
            <w:vAlign w:val="bottom"/>
            <w:hideMark/>
          </w:tcPr>
          <w:p w14:paraId="7C221E37"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200,7</w:t>
            </w:r>
          </w:p>
        </w:tc>
        <w:tc>
          <w:tcPr>
            <w:tcW w:w="571" w:type="dxa"/>
            <w:tcBorders>
              <w:top w:val="single" w:sz="4" w:space="0" w:color="auto"/>
              <w:left w:val="single" w:sz="4" w:space="0" w:color="auto"/>
              <w:bottom w:val="single" w:sz="4" w:space="0" w:color="auto"/>
              <w:right w:val="single" w:sz="4" w:space="0" w:color="auto"/>
            </w:tcBorders>
            <w:shd w:val="clear" w:color="000000" w:fill="E8EEF8"/>
            <w:noWrap/>
            <w:vAlign w:val="bottom"/>
            <w:hideMark/>
          </w:tcPr>
          <w:p w14:paraId="43EE266E"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203,6</w:t>
            </w:r>
          </w:p>
        </w:tc>
        <w:tc>
          <w:tcPr>
            <w:tcW w:w="571" w:type="dxa"/>
            <w:tcBorders>
              <w:top w:val="single" w:sz="4" w:space="0" w:color="auto"/>
              <w:left w:val="single" w:sz="4" w:space="0" w:color="auto"/>
              <w:bottom w:val="single" w:sz="4" w:space="0" w:color="auto"/>
              <w:right w:val="single" w:sz="4" w:space="0" w:color="auto"/>
            </w:tcBorders>
            <w:shd w:val="clear" w:color="000000" w:fill="F9FAFE"/>
            <w:noWrap/>
            <w:vAlign w:val="bottom"/>
            <w:hideMark/>
          </w:tcPr>
          <w:p w14:paraId="22452CF1"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207,8</w:t>
            </w:r>
          </w:p>
        </w:tc>
        <w:tc>
          <w:tcPr>
            <w:tcW w:w="571" w:type="dxa"/>
            <w:tcBorders>
              <w:top w:val="single" w:sz="4" w:space="0" w:color="auto"/>
              <w:left w:val="single" w:sz="4" w:space="0" w:color="auto"/>
              <w:bottom w:val="single" w:sz="4" w:space="0" w:color="auto"/>
              <w:right w:val="single" w:sz="4" w:space="0" w:color="auto"/>
            </w:tcBorders>
            <w:shd w:val="clear" w:color="000000" w:fill="FCEDF0"/>
            <w:noWrap/>
            <w:vAlign w:val="bottom"/>
            <w:hideMark/>
          </w:tcPr>
          <w:p w14:paraId="52D9F15E"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213,6</w:t>
            </w:r>
          </w:p>
        </w:tc>
        <w:tc>
          <w:tcPr>
            <w:tcW w:w="571" w:type="dxa"/>
            <w:tcBorders>
              <w:top w:val="single" w:sz="4" w:space="0" w:color="auto"/>
              <w:left w:val="single" w:sz="4" w:space="0" w:color="auto"/>
              <w:bottom w:val="single" w:sz="4" w:space="0" w:color="auto"/>
              <w:right w:val="single" w:sz="4" w:space="0" w:color="auto"/>
            </w:tcBorders>
            <w:shd w:val="clear" w:color="000000" w:fill="FCECEF"/>
            <w:noWrap/>
            <w:vAlign w:val="bottom"/>
            <w:hideMark/>
          </w:tcPr>
          <w:p w14:paraId="0E0D787F"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213,8</w:t>
            </w:r>
          </w:p>
        </w:tc>
        <w:tc>
          <w:tcPr>
            <w:tcW w:w="571" w:type="dxa"/>
            <w:tcBorders>
              <w:top w:val="single" w:sz="4" w:space="0" w:color="auto"/>
              <w:left w:val="single" w:sz="4" w:space="0" w:color="auto"/>
              <w:bottom w:val="single" w:sz="4" w:space="0" w:color="auto"/>
              <w:right w:val="single" w:sz="4" w:space="0" w:color="auto"/>
            </w:tcBorders>
            <w:shd w:val="clear" w:color="000000" w:fill="FCDEE1"/>
            <w:noWrap/>
            <w:vAlign w:val="bottom"/>
            <w:hideMark/>
          </w:tcPr>
          <w:p w14:paraId="35D44F58"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218,5</w:t>
            </w:r>
          </w:p>
        </w:tc>
        <w:tc>
          <w:tcPr>
            <w:tcW w:w="571" w:type="dxa"/>
            <w:tcBorders>
              <w:top w:val="single" w:sz="4" w:space="0" w:color="auto"/>
              <w:left w:val="single" w:sz="4" w:space="0" w:color="auto"/>
              <w:bottom w:val="single" w:sz="4" w:space="0" w:color="auto"/>
              <w:right w:val="single" w:sz="4" w:space="0" w:color="auto"/>
            </w:tcBorders>
            <w:shd w:val="clear" w:color="000000" w:fill="FCDFE1"/>
            <w:noWrap/>
            <w:vAlign w:val="bottom"/>
            <w:hideMark/>
          </w:tcPr>
          <w:p w14:paraId="2CF4A714"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218,3</w:t>
            </w:r>
          </w:p>
        </w:tc>
        <w:tc>
          <w:tcPr>
            <w:tcW w:w="571" w:type="dxa"/>
            <w:tcBorders>
              <w:top w:val="single" w:sz="4" w:space="0" w:color="auto"/>
              <w:left w:val="single" w:sz="4" w:space="0" w:color="auto"/>
              <w:bottom w:val="single" w:sz="4" w:space="0" w:color="auto"/>
              <w:right w:val="single" w:sz="4" w:space="0" w:color="auto"/>
            </w:tcBorders>
            <w:shd w:val="clear" w:color="000000" w:fill="FCE6E8"/>
            <w:noWrap/>
            <w:vAlign w:val="bottom"/>
            <w:hideMark/>
          </w:tcPr>
          <w:p w14:paraId="40BA886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216,0</w:t>
            </w:r>
          </w:p>
        </w:tc>
        <w:tc>
          <w:tcPr>
            <w:tcW w:w="571" w:type="dxa"/>
            <w:tcBorders>
              <w:top w:val="single" w:sz="4" w:space="0" w:color="auto"/>
              <w:left w:val="single" w:sz="4" w:space="0" w:color="auto"/>
              <w:bottom w:val="single" w:sz="4" w:space="0" w:color="auto"/>
              <w:right w:val="single" w:sz="4" w:space="0" w:color="auto"/>
            </w:tcBorders>
            <w:shd w:val="clear" w:color="000000" w:fill="FCE7EA"/>
            <w:noWrap/>
            <w:vAlign w:val="bottom"/>
            <w:hideMark/>
          </w:tcPr>
          <w:p w14:paraId="4F0EAA1C"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215,5</w:t>
            </w:r>
          </w:p>
        </w:tc>
        <w:tc>
          <w:tcPr>
            <w:tcW w:w="571" w:type="dxa"/>
            <w:tcBorders>
              <w:top w:val="single" w:sz="4" w:space="0" w:color="auto"/>
              <w:left w:val="single" w:sz="4" w:space="0" w:color="auto"/>
              <w:bottom w:val="single" w:sz="4" w:space="0" w:color="auto"/>
              <w:right w:val="single" w:sz="4" w:space="0" w:color="auto"/>
            </w:tcBorders>
            <w:shd w:val="clear" w:color="000000" w:fill="FCE7EA"/>
            <w:noWrap/>
            <w:vAlign w:val="bottom"/>
            <w:hideMark/>
          </w:tcPr>
          <w:p w14:paraId="00A0C8D8"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215,5</w:t>
            </w:r>
          </w:p>
        </w:tc>
        <w:tc>
          <w:tcPr>
            <w:tcW w:w="571" w:type="dxa"/>
            <w:tcBorders>
              <w:top w:val="single" w:sz="4" w:space="0" w:color="auto"/>
              <w:left w:val="single" w:sz="4" w:space="0" w:color="auto"/>
              <w:bottom w:val="single" w:sz="4" w:space="0" w:color="auto"/>
              <w:right w:val="single" w:sz="4" w:space="0" w:color="auto"/>
            </w:tcBorders>
            <w:shd w:val="clear" w:color="000000" w:fill="FCE7EA"/>
            <w:noWrap/>
            <w:vAlign w:val="bottom"/>
            <w:hideMark/>
          </w:tcPr>
          <w:p w14:paraId="3345C3B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215,4</w:t>
            </w:r>
          </w:p>
        </w:tc>
        <w:tc>
          <w:tcPr>
            <w:tcW w:w="570" w:type="dxa"/>
            <w:tcBorders>
              <w:top w:val="single" w:sz="4" w:space="0" w:color="auto"/>
              <w:left w:val="single" w:sz="4" w:space="0" w:color="auto"/>
              <w:bottom w:val="single" w:sz="4" w:space="0" w:color="auto"/>
              <w:right w:val="single" w:sz="4" w:space="0" w:color="auto"/>
            </w:tcBorders>
            <w:shd w:val="clear" w:color="000000" w:fill="FCFAFD"/>
            <w:noWrap/>
            <w:vAlign w:val="bottom"/>
            <w:hideMark/>
          </w:tcPr>
          <w:p w14:paraId="1670F9C7"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209,2</w:t>
            </w:r>
          </w:p>
        </w:tc>
      </w:tr>
      <w:tr w:rsidR="00954688" w:rsidRPr="0052501C" w14:paraId="4146ADFC" w14:textId="77777777" w:rsidTr="000C49A5">
        <w:trPr>
          <w:trHeight w:val="262"/>
        </w:trPr>
        <w:tc>
          <w:tcPr>
            <w:tcW w:w="2281" w:type="dxa"/>
            <w:tcBorders>
              <w:top w:val="nil"/>
              <w:left w:val="single" w:sz="4" w:space="0" w:color="auto"/>
              <w:bottom w:val="single" w:sz="4" w:space="0" w:color="auto"/>
              <w:right w:val="single" w:sz="4" w:space="0" w:color="auto"/>
            </w:tcBorders>
            <w:shd w:val="clear" w:color="auto" w:fill="auto"/>
            <w:noWrap/>
            <w:vAlign w:val="bottom"/>
            <w:hideMark/>
          </w:tcPr>
          <w:p w14:paraId="18BEE3D6" w14:textId="77777777" w:rsidR="00954688" w:rsidRPr="0052501C" w:rsidRDefault="00954688" w:rsidP="000C49A5">
            <w:pPr>
              <w:spacing w:before="0"/>
              <w:jc w:val="lef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Pardubice</w:t>
            </w:r>
          </w:p>
        </w:tc>
        <w:tc>
          <w:tcPr>
            <w:tcW w:w="554" w:type="dxa"/>
            <w:tcBorders>
              <w:top w:val="single" w:sz="4" w:space="0" w:color="auto"/>
              <w:left w:val="single" w:sz="4" w:space="0" w:color="auto"/>
              <w:bottom w:val="single" w:sz="4" w:space="0" w:color="auto"/>
              <w:right w:val="single" w:sz="4" w:space="0" w:color="auto"/>
            </w:tcBorders>
            <w:shd w:val="clear" w:color="000000" w:fill="BCCFE8"/>
            <w:noWrap/>
            <w:vAlign w:val="bottom"/>
            <w:hideMark/>
          </w:tcPr>
          <w:p w14:paraId="6E375774"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192,5</w:t>
            </w:r>
          </w:p>
        </w:tc>
        <w:tc>
          <w:tcPr>
            <w:tcW w:w="571" w:type="dxa"/>
            <w:tcBorders>
              <w:top w:val="single" w:sz="4" w:space="0" w:color="auto"/>
              <w:left w:val="single" w:sz="4" w:space="0" w:color="auto"/>
              <w:bottom w:val="single" w:sz="4" w:space="0" w:color="auto"/>
              <w:right w:val="single" w:sz="4" w:space="0" w:color="auto"/>
            </w:tcBorders>
            <w:shd w:val="clear" w:color="000000" w:fill="C2D3EA"/>
            <w:noWrap/>
            <w:vAlign w:val="bottom"/>
            <w:hideMark/>
          </w:tcPr>
          <w:p w14:paraId="5C22E301"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193,9</w:t>
            </w:r>
          </w:p>
        </w:tc>
        <w:tc>
          <w:tcPr>
            <w:tcW w:w="571" w:type="dxa"/>
            <w:tcBorders>
              <w:top w:val="single" w:sz="4" w:space="0" w:color="auto"/>
              <w:left w:val="single" w:sz="4" w:space="0" w:color="auto"/>
              <w:bottom w:val="single" w:sz="4" w:space="0" w:color="auto"/>
              <w:right w:val="single" w:sz="4" w:space="0" w:color="auto"/>
            </w:tcBorders>
            <w:shd w:val="clear" w:color="000000" w:fill="C4D4EB"/>
            <w:noWrap/>
            <w:vAlign w:val="bottom"/>
            <w:hideMark/>
          </w:tcPr>
          <w:p w14:paraId="416B8823"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194,4</w:t>
            </w:r>
          </w:p>
        </w:tc>
        <w:tc>
          <w:tcPr>
            <w:tcW w:w="571" w:type="dxa"/>
            <w:tcBorders>
              <w:top w:val="single" w:sz="4" w:space="0" w:color="auto"/>
              <w:left w:val="single" w:sz="4" w:space="0" w:color="auto"/>
              <w:bottom w:val="single" w:sz="4" w:space="0" w:color="auto"/>
              <w:right w:val="single" w:sz="4" w:space="0" w:color="auto"/>
            </w:tcBorders>
            <w:shd w:val="clear" w:color="000000" w:fill="CFDCEF"/>
            <w:noWrap/>
            <w:vAlign w:val="bottom"/>
            <w:hideMark/>
          </w:tcPr>
          <w:p w14:paraId="55527A55"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197,3</w:t>
            </w:r>
          </w:p>
        </w:tc>
        <w:tc>
          <w:tcPr>
            <w:tcW w:w="571" w:type="dxa"/>
            <w:tcBorders>
              <w:top w:val="single" w:sz="4" w:space="0" w:color="auto"/>
              <w:left w:val="single" w:sz="4" w:space="0" w:color="auto"/>
              <w:bottom w:val="single" w:sz="4" w:space="0" w:color="auto"/>
              <w:right w:val="single" w:sz="4" w:space="0" w:color="auto"/>
            </w:tcBorders>
            <w:shd w:val="clear" w:color="000000" w:fill="CBD9ED"/>
            <w:noWrap/>
            <w:vAlign w:val="bottom"/>
            <w:hideMark/>
          </w:tcPr>
          <w:p w14:paraId="582C03FE"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196,2</w:t>
            </w:r>
          </w:p>
        </w:tc>
        <w:tc>
          <w:tcPr>
            <w:tcW w:w="571" w:type="dxa"/>
            <w:tcBorders>
              <w:top w:val="single" w:sz="4" w:space="0" w:color="auto"/>
              <w:left w:val="single" w:sz="4" w:space="0" w:color="auto"/>
              <w:bottom w:val="single" w:sz="4" w:space="0" w:color="auto"/>
              <w:right w:val="single" w:sz="4" w:space="0" w:color="auto"/>
            </w:tcBorders>
            <w:shd w:val="clear" w:color="000000" w:fill="D7E2F2"/>
            <w:noWrap/>
            <w:vAlign w:val="bottom"/>
            <w:hideMark/>
          </w:tcPr>
          <w:p w14:paraId="2BA1FD71"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199,3</w:t>
            </w:r>
          </w:p>
        </w:tc>
        <w:tc>
          <w:tcPr>
            <w:tcW w:w="571" w:type="dxa"/>
            <w:tcBorders>
              <w:top w:val="single" w:sz="4" w:space="0" w:color="auto"/>
              <w:left w:val="single" w:sz="4" w:space="0" w:color="auto"/>
              <w:bottom w:val="single" w:sz="4" w:space="0" w:color="auto"/>
              <w:right w:val="single" w:sz="4" w:space="0" w:color="auto"/>
            </w:tcBorders>
            <w:shd w:val="clear" w:color="000000" w:fill="D6E1F1"/>
            <w:noWrap/>
            <w:vAlign w:val="bottom"/>
            <w:hideMark/>
          </w:tcPr>
          <w:p w14:paraId="0084AD8C"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199,1</w:t>
            </w:r>
          </w:p>
        </w:tc>
        <w:tc>
          <w:tcPr>
            <w:tcW w:w="571" w:type="dxa"/>
            <w:tcBorders>
              <w:top w:val="single" w:sz="4" w:space="0" w:color="auto"/>
              <w:left w:val="single" w:sz="4" w:space="0" w:color="auto"/>
              <w:bottom w:val="single" w:sz="4" w:space="0" w:color="auto"/>
              <w:right w:val="single" w:sz="4" w:space="0" w:color="auto"/>
            </w:tcBorders>
            <w:shd w:val="clear" w:color="000000" w:fill="CCDAEE"/>
            <w:noWrap/>
            <w:vAlign w:val="bottom"/>
            <w:hideMark/>
          </w:tcPr>
          <w:p w14:paraId="7D0290FF"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196,6</w:t>
            </w:r>
          </w:p>
        </w:tc>
        <w:tc>
          <w:tcPr>
            <w:tcW w:w="571" w:type="dxa"/>
            <w:tcBorders>
              <w:top w:val="single" w:sz="4" w:space="0" w:color="auto"/>
              <w:left w:val="single" w:sz="4" w:space="0" w:color="auto"/>
              <w:bottom w:val="single" w:sz="4" w:space="0" w:color="auto"/>
              <w:right w:val="single" w:sz="4" w:space="0" w:color="auto"/>
            </w:tcBorders>
            <w:shd w:val="clear" w:color="000000" w:fill="C2D3EA"/>
            <w:noWrap/>
            <w:vAlign w:val="bottom"/>
            <w:hideMark/>
          </w:tcPr>
          <w:p w14:paraId="66818F3B"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194,0</w:t>
            </w:r>
          </w:p>
        </w:tc>
        <w:tc>
          <w:tcPr>
            <w:tcW w:w="571" w:type="dxa"/>
            <w:tcBorders>
              <w:top w:val="single" w:sz="4" w:space="0" w:color="auto"/>
              <w:left w:val="single" w:sz="4" w:space="0" w:color="auto"/>
              <w:bottom w:val="single" w:sz="4" w:space="0" w:color="auto"/>
              <w:right w:val="single" w:sz="4" w:space="0" w:color="auto"/>
            </w:tcBorders>
            <w:shd w:val="clear" w:color="000000" w:fill="C2D3EA"/>
            <w:noWrap/>
            <w:vAlign w:val="bottom"/>
            <w:hideMark/>
          </w:tcPr>
          <w:p w14:paraId="1360B4E9"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193,9</w:t>
            </w:r>
          </w:p>
        </w:tc>
        <w:tc>
          <w:tcPr>
            <w:tcW w:w="571" w:type="dxa"/>
            <w:tcBorders>
              <w:top w:val="single" w:sz="4" w:space="0" w:color="auto"/>
              <w:left w:val="single" w:sz="4" w:space="0" w:color="auto"/>
              <w:bottom w:val="single" w:sz="4" w:space="0" w:color="auto"/>
              <w:right w:val="single" w:sz="4" w:space="0" w:color="auto"/>
            </w:tcBorders>
            <w:shd w:val="clear" w:color="000000" w:fill="C1D3EA"/>
            <w:noWrap/>
            <w:vAlign w:val="bottom"/>
            <w:hideMark/>
          </w:tcPr>
          <w:p w14:paraId="00090665"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193,8</w:t>
            </w:r>
          </w:p>
        </w:tc>
        <w:tc>
          <w:tcPr>
            <w:tcW w:w="570" w:type="dxa"/>
            <w:tcBorders>
              <w:top w:val="single" w:sz="4" w:space="0" w:color="auto"/>
              <w:left w:val="single" w:sz="4" w:space="0" w:color="auto"/>
              <w:bottom w:val="single" w:sz="4" w:space="0" w:color="auto"/>
              <w:right w:val="single" w:sz="4" w:space="0" w:color="auto"/>
            </w:tcBorders>
            <w:shd w:val="clear" w:color="000000" w:fill="ABC3E2"/>
            <w:noWrap/>
            <w:vAlign w:val="bottom"/>
            <w:hideMark/>
          </w:tcPr>
          <w:p w14:paraId="7547098F"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188,1</w:t>
            </w:r>
          </w:p>
        </w:tc>
      </w:tr>
      <w:tr w:rsidR="00954688" w:rsidRPr="0052501C" w14:paraId="31A961AE" w14:textId="77777777" w:rsidTr="000C49A5">
        <w:trPr>
          <w:trHeight w:val="262"/>
        </w:trPr>
        <w:tc>
          <w:tcPr>
            <w:tcW w:w="2281" w:type="dxa"/>
            <w:tcBorders>
              <w:top w:val="nil"/>
              <w:left w:val="single" w:sz="4" w:space="0" w:color="auto"/>
              <w:bottom w:val="single" w:sz="4" w:space="0" w:color="auto"/>
              <w:right w:val="single" w:sz="4" w:space="0" w:color="auto"/>
            </w:tcBorders>
            <w:shd w:val="clear" w:color="auto" w:fill="auto"/>
            <w:noWrap/>
            <w:vAlign w:val="bottom"/>
            <w:hideMark/>
          </w:tcPr>
          <w:p w14:paraId="4F8D678D" w14:textId="77777777" w:rsidR="00954688" w:rsidRPr="0052501C" w:rsidRDefault="00954688" w:rsidP="000C49A5">
            <w:pPr>
              <w:spacing w:before="0"/>
              <w:jc w:val="lef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Liberec</w:t>
            </w:r>
          </w:p>
        </w:tc>
        <w:tc>
          <w:tcPr>
            <w:tcW w:w="554" w:type="dxa"/>
            <w:tcBorders>
              <w:top w:val="single" w:sz="4" w:space="0" w:color="auto"/>
              <w:left w:val="single" w:sz="4" w:space="0" w:color="auto"/>
              <w:bottom w:val="single" w:sz="4" w:space="0" w:color="auto"/>
              <w:right w:val="single" w:sz="4" w:space="0" w:color="auto"/>
            </w:tcBorders>
            <w:shd w:val="clear" w:color="000000" w:fill="F98D8F"/>
            <w:noWrap/>
            <w:vAlign w:val="bottom"/>
            <w:hideMark/>
          </w:tcPr>
          <w:p w14:paraId="7ECA5F3D"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245,0</w:t>
            </w:r>
          </w:p>
        </w:tc>
        <w:tc>
          <w:tcPr>
            <w:tcW w:w="571" w:type="dxa"/>
            <w:tcBorders>
              <w:top w:val="single" w:sz="4" w:space="0" w:color="auto"/>
              <w:left w:val="single" w:sz="4" w:space="0" w:color="auto"/>
              <w:bottom w:val="single" w:sz="4" w:space="0" w:color="auto"/>
              <w:right w:val="single" w:sz="4" w:space="0" w:color="auto"/>
            </w:tcBorders>
            <w:shd w:val="clear" w:color="000000" w:fill="F98385"/>
            <w:noWrap/>
            <w:vAlign w:val="bottom"/>
            <w:hideMark/>
          </w:tcPr>
          <w:p w14:paraId="34B4B141"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248,2</w:t>
            </w:r>
          </w:p>
        </w:tc>
        <w:tc>
          <w:tcPr>
            <w:tcW w:w="571" w:type="dxa"/>
            <w:tcBorders>
              <w:top w:val="single" w:sz="4" w:space="0" w:color="auto"/>
              <w:left w:val="single" w:sz="4" w:space="0" w:color="auto"/>
              <w:bottom w:val="single" w:sz="4" w:space="0" w:color="auto"/>
              <w:right w:val="single" w:sz="4" w:space="0" w:color="auto"/>
            </w:tcBorders>
            <w:shd w:val="clear" w:color="000000" w:fill="F97B7D"/>
            <w:noWrap/>
            <w:vAlign w:val="bottom"/>
            <w:hideMark/>
          </w:tcPr>
          <w:p w14:paraId="1300DB77"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250,7</w:t>
            </w:r>
          </w:p>
        </w:tc>
        <w:tc>
          <w:tcPr>
            <w:tcW w:w="571" w:type="dxa"/>
            <w:tcBorders>
              <w:top w:val="single" w:sz="4" w:space="0" w:color="auto"/>
              <w:left w:val="single" w:sz="4" w:space="0" w:color="auto"/>
              <w:bottom w:val="single" w:sz="4" w:space="0" w:color="auto"/>
              <w:right w:val="single" w:sz="4" w:space="0" w:color="auto"/>
            </w:tcBorders>
            <w:shd w:val="clear" w:color="000000" w:fill="F97072"/>
            <w:noWrap/>
            <w:vAlign w:val="bottom"/>
            <w:hideMark/>
          </w:tcPr>
          <w:p w14:paraId="22F01755"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254,4</w:t>
            </w:r>
          </w:p>
        </w:tc>
        <w:tc>
          <w:tcPr>
            <w:tcW w:w="57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FBBED12"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256,4</w:t>
            </w:r>
          </w:p>
        </w:tc>
        <w:tc>
          <w:tcPr>
            <w:tcW w:w="571" w:type="dxa"/>
            <w:tcBorders>
              <w:top w:val="single" w:sz="4" w:space="0" w:color="auto"/>
              <w:left w:val="single" w:sz="4" w:space="0" w:color="auto"/>
              <w:bottom w:val="single" w:sz="4" w:space="0" w:color="auto"/>
              <w:right w:val="single" w:sz="4" w:space="0" w:color="auto"/>
            </w:tcBorders>
            <w:shd w:val="clear" w:color="000000" w:fill="FA979A"/>
            <w:noWrap/>
            <w:vAlign w:val="bottom"/>
            <w:hideMark/>
          </w:tcPr>
          <w:p w14:paraId="1782B989"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241,5</w:t>
            </w:r>
          </w:p>
        </w:tc>
        <w:tc>
          <w:tcPr>
            <w:tcW w:w="571" w:type="dxa"/>
            <w:tcBorders>
              <w:top w:val="single" w:sz="4" w:space="0" w:color="auto"/>
              <w:left w:val="single" w:sz="4" w:space="0" w:color="auto"/>
              <w:bottom w:val="single" w:sz="4" w:space="0" w:color="auto"/>
              <w:right w:val="single" w:sz="4" w:space="0" w:color="auto"/>
            </w:tcBorders>
            <w:shd w:val="clear" w:color="000000" w:fill="FA9295"/>
            <w:noWrap/>
            <w:vAlign w:val="bottom"/>
            <w:hideMark/>
          </w:tcPr>
          <w:p w14:paraId="0D148920"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243,1</w:t>
            </w:r>
          </w:p>
        </w:tc>
        <w:tc>
          <w:tcPr>
            <w:tcW w:w="571" w:type="dxa"/>
            <w:tcBorders>
              <w:top w:val="single" w:sz="4" w:space="0" w:color="auto"/>
              <w:left w:val="single" w:sz="4" w:space="0" w:color="auto"/>
              <w:bottom w:val="single" w:sz="4" w:space="0" w:color="auto"/>
              <w:right w:val="single" w:sz="4" w:space="0" w:color="auto"/>
            </w:tcBorders>
            <w:shd w:val="clear" w:color="000000" w:fill="FA979A"/>
            <w:noWrap/>
            <w:vAlign w:val="bottom"/>
            <w:hideMark/>
          </w:tcPr>
          <w:p w14:paraId="67DD479F"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241,5</w:t>
            </w:r>
          </w:p>
        </w:tc>
        <w:tc>
          <w:tcPr>
            <w:tcW w:w="571" w:type="dxa"/>
            <w:tcBorders>
              <w:top w:val="single" w:sz="4" w:space="0" w:color="auto"/>
              <w:left w:val="single" w:sz="4" w:space="0" w:color="auto"/>
              <w:bottom w:val="single" w:sz="4" w:space="0" w:color="auto"/>
              <w:right w:val="single" w:sz="4" w:space="0" w:color="auto"/>
            </w:tcBorders>
            <w:shd w:val="clear" w:color="000000" w:fill="FA999B"/>
            <w:noWrap/>
            <w:vAlign w:val="bottom"/>
            <w:hideMark/>
          </w:tcPr>
          <w:p w14:paraId="2F11850A"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240,9</w:t>
            </w:r>
          </w:p>
        </w:tc>
        <w:tc>
          <w:tcPr>
            <w:tcW w:w="571" w:type="dxa"/>
            <w:tcBorders>
              <w:top w:val="single" w:sz="4" w:space="0" w:color="auto"/>
              <w:left w:val="single" w:sz="4" w:space="0" w:color="auto"/>
              <w:bottom w:val="single" w:sz="4" w:space="0" w:color="auto"/>
              <w:right w:val="single" w:sz="4" w:space="0" w:color="auto"/>
            </w:tcBorders>
            <w:shd w:val="clear" w:color="000000" w:fill="FA999C"/>
            <w:noWrap/>
            <w:vAlign w:val="bottom"/>
            <w:hideMark/>
          </w:tcPr>
          <w:p w14:paraId="4E29A826"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240,8</w:t>
            </w:r>
          </w:p>
        </w:tc>
        <w:tc>
          <w:tcPr>
            <w:tcW w:w="571" w:type="dxa"/>
            <w:tcBorders>
              <w:top w:val="single" w:sz="4" w:space="0" w:color="auto"/>
              <w:left w:val="single" w:sz="4" w:space="0" w:color="auto"/>
              <w:bottom w:val="single" w:sz="4" w:space="0" w:color="auto"/>
              <w:right w:val="single" w:sz="4" w:space="0" w:color="auto"/>
            </w:tcBorders>
            <w:shd w:val="clear" w:color="000000" w:fill="FAA7A9"/>
            <w:noWrap/>
            <w:vAlign w:val="bottom"/>
            <w:hideMark/>
          </w:tcPr>
          <w:p w14:paraId="2F2499A4"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236,5</w:t>
            </w:r>
          </w:p>
        </w:tc>
        <w:tc>
          <w:tcPr>
            <w:tcW w:w="570" w:type="dxa"/>
            <w:tcBorders>
              <w:top w:val="single" w:sz="4" w:space="0" w:color="auto"/>
              <w:left w:val="single" w:sz="4" w:space="0" w:color="auto"/>
              <w:bottom w:val="single" w:sz="4" w:space="0" w:color="auto"/>
              <w:right w:val="single" w:sz="4" w:space="0" w:color="auto"/>
            </w:tcBorders>
            <w:shd w:val="clear" w:color="000000" w:fill="FBC8CB"/>
            <w:noWrap/>
            <w:vAlign w:val="bottom"/>
            <w:hideMark/>
          </w:tcPr>
          <w:p w14:paraId="2A26E845"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225,6</w:t>
            </w:r>
          </w:p>
        </w:tc>
      </w:tr>
      <w:tr w:rsidR="00954688" w:rsidRPr="0052501C" w14:paraId="69AA9353" w14:textId="77777777" w:rsidTr="000C49A5">
        <w:trPr>
          <w:trHeight w:val="262"/>
        </w:trPr>
        <w:tc>
          <w:tcPr>
            <w:tcW w:w="2281" w:type="dxa"/>
            <w:tcBorders>
              <w:top w:val="nil"/>
              <w:left w:val="single" w:sz="4" w:space="0" w:color="auto"/>
              <w:bottom w:val="single" w:sz="4" w:space="0" w:color="auto"/>
              <w:right w:val="single" w:sz="4" w:space="0" w:color="auto"/>
            </w:tcBorders>
            <w:shd w:val="clear" w:color="auto" w:fill="auto"/>
            <w:noWrap/>
            <w:vAlign w:val="bottom"/>
            <w:hideMark/>
          </w:tcPr>
          <w:p w14:paraId="4A15160B" w14:textId="77777777" w:rsidR="00954688" w:rsidRPr="0052501C" w:rsidRDefault="00954688" w:rsidP="000C49A5">
            <w:pPr>
              <w:spacing w:before="0"/>
              <w:jc w:val="lef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Opava</w:t>
            </w:r>
          </w:p>
        </w:tc>
        <w:tc>
          <w:tcPr>
            <w:tcW w:w="554" w:type="dxa"/>
            <w:tcBorders>
              <w:top w:val="single" w:sz="4" w:space="0" w:color="auto"/>
              <w:left w:val="single" w:sz="4" w:space="0" w:color="auto"/>
              <w:bottom w:val="single" w:sz="4" w:space="0" w:color="auto"/>
              <w:right w:val="single" w:sz="4" w:space="0" w:color="auto"/>
            </w:tcBorders>
            <w:shd w:val="clear" w:color="000000" w:fill="A9C1E1"/>
            <w:noWrap/>
            <w:vAlign w:val="bottom"/>
            <w:hideMark/>
          </w:tcPr>
          <w:p w14:paraId="25FB88ED"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187,6</w:t>
            </w:r>
          </w:p>
        </w:tc>
        <w:tc>
          <w:tcPr>
            <w:tcW w:w="571" w:type="dxa"/>
            <w:tcBorders>
              <w:top w:val="single" w:sz="4" w:space="0" w:color="auto"/>
              <w:left w:val="single" w:sz="4" w:space="0" w:color="auto"/>
              <w:bottom w:val="single" w:sz="4" w:space="0" w:color="auto"/>
              <w:right w:val="single" w:sz="4" w:space="0" w:color="auto"/>
            </w:tcBorders>
            <w:shd w:val="clear" w:color="000000" w:fill="BDCFE8"/>
            <w:noWrap/>
            <w:vAlign w:val="bottom"/>
            <w:hideMark/>
          </w:tcPr>
          <w:p w14:paraId="3DC0B946"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192,6</w:t>
            </w:r>
          </w:p>
        </w:tc>
        <w:tc>
          <w:tcPr>
            <w:tcW w:w="571" w:type="dxa"/>
            <w:tcBorders>
              <w:top w:val="single" w:sz="4" w:space="0" w:color="auto"/>
              <w:left w:val="single" w:sz="4" w:space="0" w:color="auto"/>
              <w:bottom w:val="single" w:sz="4" w:space="0" w:color="auto"/>
              <w:right w:val="single" w:sz="4" w:space="0" w:color="auto"/>
            </w:tcBorders>
            <w:shd w:val="clear" w:color="000000" w:fill="C1D3EA"/>
            <w:noWrap/>
            <w:vAlign w:val="bottom"/>
            <w:hideMark/>
          </w:tcPr>
          <w:p w14:paraId="25908FB8"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193,8</w:t>
            </w:r>
          </w:p>
        </w:tc>
        <w:tc>
          <w:tcPr>
            <w:tcW w:w="571" w:type="dxa"/>
            <w:tcBorders>
              <w:top w:val="single" w:sz="4" w:space="0" w:color="auto"/>
              <w:left w:val="single" w:sz="4" w:space="0" w:color="auto"/>
              <w:bottom w:val="single" w:sz="4" w:space="0" w:color="auto"/>
              <w:right w:val="single" w:sz="4" w:space="0" w:color="auto"/>
            </w:tcBorders>
            <w:shd w:val="clear" w:color="000000" w:fill="C3D4EB"/>
            <w:noWrap/>
            <w:vAlign w:val="bottom"/>
            <w:hideMark/>
          </w:tcPr>
          <w:p w14:paraId="35E63ECA"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194,2</w:t>
            </w:r>
          </w:p>
        </w:tc>
        <w:tc>
          <w:tcPr>
            <w:tcW w:w="571" w:type="dxa"/>
            <w:tcBorders>
              <w:top w:val="single" w:sz="4" w:space="0" w:color="auto"/>
              <w:left w:val="single" w:sz="4" w:space="0" w:color="auto"/>
              <w:bottom w:val="single" w:sz="4" w:space="0" w:color="auto"/>
              <w:right w:val="single" w:sz="4" w:space="0" w:color="auto"/>
            </w:tcBorders>
            <w:shd w:val="clear" w:color="000000" w:fill="A8C1E1"/>
            <w:noWrap/>
            <w:vAlign w:val="bottom"/>
            <w:hideMark/>
          </w:tcPr>
          <w:p w14:paraId="5D03A705"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187,4</w:t>
            </w:r>
          </w:p>
        </w:tc>
        <w:tc>
          <w:tcPr>
            <w:tcW w:w="571" w:type="dxa"/>
            <w:tcBorders>
              <w:top w:val="single" w:sz="4" w:space="0" w:color="auto"/>
              <w:left w:val="single" w:sz="4" w:space="0" w:color="auto"/>
              <w:bottom w:val="single" w:sz="4" w:space="0" w:color="auto"/>
              <w:right w:val="single" w:sz="4" w:space="0" w:color="auto"/>
            </w:tcBorders>
            <w:shd w:val="clear" w:color="000000" w:fill="BBCEE8"/>
            <w:noWrap/>
            <w:vAlign w:val="bottom"/>
            <w:hideMark/>
          </w:tcPr>
          <w:p w14:paraId="702B4A46"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192,2</w:t>
            </w:r>
          </w:p>
        </w:tc>
        <w:tc>
          <w:tcPr>
            <w:tcW w:w="571" w:type="dxa"/>
            <w:tcBorders>
              <w:top w:val="single" w:sz="4" w:space="0" w:color="auto"/>
              <w:left w:val="single" w:sz="4" w:space="0" w:color="auto"/>
              <w:bottom w:val="single" w:sz="4" w:space="0" w:color="auto"/>
              <w:right w:val="single" w:sz="4" w:space="0" w:color="auto"/>
            </w:tcBorders>
            <w:shd w:val="clear" w:color="000000" w:fill="B8CCE7"/>
            <w:noWrap/>
            <w:vAlign w:val="bottom"/>
            <w:hideMark/>
          </w:tcPr>
          <w:p w14:paraId="47CD4901"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191,4</w:t>
            </w:r>
          </w:p>
        </w:tc>
        <w:tc>
          <w:tcPr>
            <w:tcW w:w="571" w:type="dxa"/>
            <w:tcBorders>
              <w:top w:val="single" w:sz="4" w:space="0" w:color="auto"/>
              <w:left w:val="single" w:sz="4" w:space="0" w:color="auto"/>
              <w:bottom w:val="single" w:sz="4" w:space="0" w:color="auto"/>
              <w:right w:val="single" w:sz="4" w:space="0" w:color="auto"/>
            </w:tcBorders>
            <w:shd w:val="clear" w:color="000000" w:fill="ADC4E3"/>
            <w:noWrap/>
            <w:vAlign w:val="bottom"/>
            <w:hideMark/>
          </w:tcPr>
          <w:p w14:paraId="297682A8"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188,6</w:t>
            </w:r>
          </w:p>
        </w:tc>
        <w:tc>
          <w:tcPr>
            <w:tcW w:w="571" w:type="dxa"/>
            <w:tcBorders>
              <w:top w:val="single" w:sz="4" w:space="0" w:color="auto"/>
              <w:left w:val="single" w:sz="4" w:space="0" w:color="auto"/>
              <w:bottom w:val="single" w:sz="4" w:space="0" w:color="auto"/>
              <w:right w:val="single" w:sz="4" w:space="0" w:color="auto"/>
            </w:tcBorders>
            <w:shd w:val="clear" w:color="000000" w:fill="A4BEE0"/>
            <w:noWrap/>
            <w:vAlign w:val="bottom"/>
            <w:hideMark/>
          </w:tcPr>
          <w:p w14:paraId="427F31F6"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186,3</w:t>
            </w:r>
          </w:p>
        </w:tc>
        <w:tc>
          <w:tcPr>
            <w:tcW w:w="571" w:type="dxa"/>
            <w:tcBorders>
              <w:top w:val="single" w:sz="4" w:space="0" w:color="auto"/>
              <w:left w:val="single" w:sz="4" w:space="0" w:color="auto"/>
              <w:bottom w:val="single" w:sz="4" w:space="0" w:color="auto"/>
              <w:right w:val="single" w:sz="4" w:space="0" w:color="auto"/>
            </w:tcBorders>
            <w:shd w:val="clear" w:color="000000" w:fill="94B2DA"/>
            <w:noWrap/>
            <w:vAlign w:val="bottom"/>
            <w:hideMark/>
          </w:tcPr>
          <w:p w14:paraId="24AC766C"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182,2</w:t>
            </w:r>
          </w:p>
        </w:tc>
        <w:tc>
          <w:tcPr>
            <w:tcW w:w="571" w:type="dxa"/>
            <w:tcBorders>
              <w:top w:val="single" w:sz="4" w:space="0" w:color="auto"/>
              <w:left w:val="single" w:sz="4" w:space="0" w:color="auto"/>
              <w:bottom w:val="single" w:sz="4" w:space="0" w:color="auto"/>
              <w:right w:val="single" w:sz="4" w:space="0" w:color="auto"/>
            </w:tcBorders>
            <w:shd w:val="clear" w:color="000000" w:fill="739CCF"/>
            <w:noWrap/>
            <w:vAlign w:val="bottom"/>
            <w:hideMark/>
          </w:tcPr>
          <w:p w14:paraId="0747CEBA"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174,0</w:t>
            </w:r>
          </w:p>
        </w:tc>
        <w:tc>
          <w:tcPr>
            <w:tcW w:w="570"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68D25F9A" w14:textId="77777777" w:rsidR="00954688" w:rsidRPr="0052501C" w:rsidRDefault="00954688" w:rsidP="000C49A5">
            <w:pPr>
              <w:spacing w:before="0"/>
              <w:jc w:val="right"/>
              <w:rPr>
                <w:rFonts w:ascii="Calibri" w:eastAsia="Times New Roman" w:hAnsi="Calibri" w:cs="Calibri"/>
                <w:color w:val="000000"/>
                <w:sz w:val="18"/>
                <w:szCs w:val="18"/>
                <w:lang w:eastAsia="cs-CZ"/>
              </w:rPr>
            </w:pPr>
            <w:r w:rsidRPr="0052501C">
              <w:rPr>
                <w:rFonts w:ascii="Calibri" w:eastAsia="Times New Roman" w:hAnsi="Calibri" w:cs="Calibri"/>
                <w:color w:val="000000"/>
                <w:sz w:val="18"/>
                <w:szCs w:val="18"/>
                <w:lang w:eastAsia="cs-CZ"/>
              </w:rPr>
              <w:t>167,5</w:t>
            </w:r>
          </w:p>
        </w:tc>
      </w:tr>
    </w:tbl>
    <w:p w14:paraId="4FE2C512" w14:textId="29841133" w:rsidR="00954688" w:rsidRDefault="00954688" w:rsidP="00954688">
      <w:pPr>
        <w:spacing w:before="0" w:after="120"/>
        <w:rPr>
          <w:i/>
          <w:iCs/>
          <w:sz w:val="20"/>
        </w:rPr>
      </w:pPr>
      <w:r w:rsidRPr="00F54AB6">
        <w:rPr>
          <w:i/>
          <w:iCs/>
          <w:sz w:val="20"/>
        </w:rPr>
        <w:t>Zdroj: ČSÚ, veřejná databáze, zpracování PROCES</w:t>
      </w:r>
      <w:r w:rsidR="008D7DFD">
        <w:rPr>
          <w:i/>
          <w:iCs/>
          <w:sz w:val="20"/>
        </w:rPr>
        <w:t>, 2020.</w:t>
      </w:r>
    </w:p>
    <w:p w14:paraId="49AF2F49" w14:textId="77777777" w:rsidR="00954688" w:rsidRDefault="00954688" w:rsidP="00954688">
      <w:pPr>
        <w:pStyle w:val="Nadpis4"/>
        <w:spacing w:before="40" w:line="259" w:lineRule="auto"/>
        <w:ind w:left="864" w:hanging="864"/>
      </w:pPr>
      <w:r>
        <w:t>Současné podnikatelské subjekty ve městě</w:t>
      </w:r>
    </w:p>
    <w:p w14:paraId="60B5E500" w14:textId="42A5799E" w:rsidR="00954688" w:rsidRDefault="00954688" w:rsidP="00954688">
      <w:r>
        <w:t>Současný průmyslový potenciál kraje je založen na existenci původních klíčových výrobních podniků. Silnou pozici má plastikářský a gumárenský</w:t>
      </w:r>
      <w:r w:rsidRPr="00626517">
        <w:t xml:space="preserve"> průmysl</w:t>
      </w:r>
      <w:r>
        <w:t xml:space="preserve">, který je </w:t>
      </w:r>
      <w:r w:rsidRPr="00626517">
        <w:t>nejvýkonn</w:t>
      </w:r>
      <w:r>
        <w:t xml:space="preserve">ějším průmyslovým segmentem regionu, dále chemický a obuvnický průmysl. Podstatný význam mají subjekty podnikající v elektronice </w:t>
      </w:r>
      <w:r>
        <w:lastRenderedPageBreak/>
        <w:t>a</w:t>
      </w:r>
      <w:r w:rsidR="008D7DFD">
        <w:t> </w:t>
      </w:r>
      <w:r>
        <w:t>elektrotechnice, potravinářství, ve strojírenství, stavebnictví či ve výrobě nábytku. Dle Analýzy přidané hodnoty a osobních nákladů na mikroekonomické úrovni, kterou v roce 2019 zpracovala společnost Trexima, patří mezi lídry z hlediska produktivity práce ve Zlínském kraji subjekty podnikající v odvětví informačních a komunikačních činností, následně subjekty podnikající v průmyslu a</w:t>
      </w:r>
      <w:r w:rsidR="008D7DFD">
        <w:t> </w:t>
      </w:r>
      <w:r>
        <w:t>v peněžnictví a pojišťovnictví. Průmyslový potenciál Zlínského kraje tvoří podniky zpracovatelského průmyslu.</w:t>
      </w:r>
    </w:p>
    <w:p w14:paraId="3D1F16E7" w14:textId="1730F5C2" w:rsidR="00954688" w:rsidRDefault="00954688" w:rsidP="00954688">
      <w:r w:rsidRPr="005C4721">
        <w:rPr>
          <w:rFonts w:cstheme="minorHAnsi"/>
        </w:rPr>
        <w:t xml:space="preserve">Mezi nejvýznamnější zaměstnavatele ve městě </w:t>
      </w:r>
      <w:r>
        <w:rPr>
          <w:rFonts w:cstheme="minorHAnsi"/>
        </w:rPr>
        <w:t>Zlín</w:t>
      </w:r>
      <w:r w:rsidRPr="005C4721">
        <w:rPr>
          <w:rFonts w:cstheme="minorHAnsi"/>
        </w:rPr>
        <w:t xml:space="preserve"> patří</w:t>
      </w:r>
      <w:r>
        <w:rPr>
          <w:rFonts w:cstheme="minorHAnsi"/>
        </w:rPr>
        <w:t xml:space="preserve"> </w:t>
      </w:r>
      <w:r w:rsidRPr="00D852AD">
        <w:rPr>
          <w:rFonts w:ascii="Calibri" w:eastAsia="Times New Roman" w:hAnsi="Calibri" w:cs="Calibri"/>
          <w:lang w:eastAsia="cs-CZ"/>
        </w:rPr>
        <w:t>HP TRONIC Zlín, spol. s.r.o.</w:t>
      </w:r>
      <w:r>
        <w:rPr>
          <w:rFonts w:ascii="Calibri" w:eastAsia="Times New Roman" w:hAnsi="Calibri" w:cs="Calibri"/>
          <w:lang w:eastAsia="cs-CZ"/>
        </w:rPr>
        <w:t xml:space="preserve">, </w:t>
      </w:r>
      <w:r w:rsidRPr="00D852AD">
        <w:rPr>
          <w:rFonts w:ascii="Calibri" w:eastAsia="Times New Roman" w:hAnsi="Calibri" w:cs="Calibri"/>
          <w:lang w:eastAsia="cs-CZ"/>
        </w:rPr>
        <w:t>Trelleborg Wh</w:t>
      </w:r>
      <w:r>
        <w:rPr>
          <w:rFonts w:ascii="Calibri" w:eastAsia="Times New Roman" w:hAnsi="Calibri" w:cs="Calibri"/>
          <w:lang w:eastAsia="cs-CZ"/>
        </w:rPr>
        <w:t xml:space="preserve">eel Systems Czech Republic a.s., </w:t>
      </w:r>
      <w:r w:rsidRPr="00D852AD">
        <w:rPr>
          <w:rFonts w:ascii="Calibri" w:eastAsia="Times New Roman" w:hAnsi="Calibri" w:cs="Calibri"/>
          <w:lang w:eastAsia="cs-CZ"/>
        </w:rPr>
        <w:t>Krajská nemocnice T. Bati, a. s.</w:t>
      </w:r>
      <w:r>
        <w:rPr>
          <w:rFonts w:ascii="Calibri" w:eastAsia="Times New Roman" w:hAnsi="Calibri" w:cs="Calibri"/>
          <w:lang w:eastAsia="cs-CZ"/>
        </w:rPr>
        <w:t xml:space="preserve">, </w:t>
      </w:r>
      <w:r w:rsidRPr="00D852AD">
        <w:rPr>
          <w:rFonts w:ascii="Calibri" w:eastAsia="Times New Roman" w:hAnsi="Calibri" w:cs="Calibri"/>
          <w:lang w:eastAsia="cs-CZ"/>
        </w:rPr>
        <w:t>BAŤA, akciová společnost</w:t>
      </w:r>
      <w:r>
        <w:rPr>
          <w:rFonts w:ascii="Calibri" w:eastAsia="Times New Roman" w:hAnsi="Calibri" w:cs="Calibri"/>
          <w:lang w:eastAsia="cs-CZ"/>
        </w:rPr>
        <w:t xml:space="preserve">, </w:t>
      </w:r>
      <w:r w:rsidRPr="00D852AD">
        <w:rPr>
          <w:rFonts w:ascii="Calibri" w:eastAsia="Times New Roman" w:hAnsi="Calibri" w:cs="Calibri"/>
          <w:lang w:eastAsia="cs-CZ"/>
        </w:rPr>
        <w:t>ELKOV elektro a.s. Zlín</w:t>
      </w:r>
      <w:r>
        <w:rPr>
          <w:rFonts w:ascii="Calibri" w:eastAsia="Times New Roman" w:hAnsi="Calibri" w:cs="Calibri"/>
          <w:lang w:eastAsia="cs-CZ"/>
        </w:rPr>
        <w:t xml:space="preserve">, </w:t>
      </w:r>
      <w:r w:rsidRPr="00D852AD">
        <w:rPr>
          <w:rFonts w:ascii="Calibri" w:eastAsia="Times New Roman" w:hAnsi="Calibri" w:cs="Calibri"/>
          <w:lang w:eastAsia="cs-CZ"/>
        </w:rPr>
        <w:t>TAJMAC-ZPS, a. s.</w:t>
      </w:r>
      <w:r>
        <w:rPr>
          <w:rFonts w:ascii="Calibri" w:eastAsia="Times New Roman" w:hAnsi="Calibri" w:cs="Calibri"/>
          <w:lang w:eastAsia="cs-CZ"/>
        </w:rPr>
        <w:t xml:space="preserve"> </w:t>
      </w:r>
      <w:r>
        <w:rPr>
          <w:rFonts w:cstheme="minorHAnsi"/>
        </w:rPr>
        <w:t xml:space="preserve"> Přehled nejvýznamnějších zaměstnavatelů je uveden v</w:t>
      </w:r>
      <w:r w:rsidR="00094895">
        <w:rPr>
          <w:rFonts w:cstheme="minorHAnsi"/>
        </w:rPr>
        <w:t> </w:t>
      </w:r>
      <w:r>
        <w:rPr>
          <w:rFonts w:cstheme="minorHAnsi"/>
        </w:rPr>
        <w:t>tabulce</w:t>
      </w:r>
      <w:r w:rsidR="00122205">
        <w:rPr>
          <w:rFonts w:cstheme="minorHAnsi"/>
        </w:rPr>
        <w:t xml:space="preserve"> 1.65</w:t>
      </w:r>
      <w:r>
        <w:rPr>
          <w:rFonts w:cstheme="minorHAnsi"/>
        </w:rPr>
        <w:t xml:space="preserve"> a</w:t>
      </w:r>
      <w:r w:rsidR="008D7DFD">
        <w:rPr>
          <w:rFonts w:cstheme="minorHAnsi"/>
        </w:rPr>
        <w:t> </w:t>
      </w:r>
      <w:r>
        <w:rPr>
          <w:rFonts w:cstheme="minorHAnsi"/>
        </w:rPr>
        <w:t xml:space="preserve">stručný popis některých z nich pod tabulkou. </w:t>
      </w:r>
      <w:r>
        <w:t>Většina z níže uvedených firem provozuje svou činnost více než 20 let.</w:t>
      </w:r>
    </w:p>
    <w:p w14:paraId="6CBE76F4" w14:textId="66685F6B" w:rsidR="00954688" w:rsidRPr="00754814" w:rsidRDefault="00954688" w:rsidP="00954688">
      <w:pPr>
        <w:pStyle w:val="Titulek"/>
        <w:keepNext/>
        <w:keepLines/>
        <w:rPr>
          <w:b w:val="0"/>
        </w:rPr>
      </w:pPr>
      <w:bookmarkStart w:id="442" w:name="_Toc53066223"/>
      <w:bookmarkStart w:id="443" w:name="_Toc7707474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65</w:t>
      </w:r>
      <w:r w:rsidR="00081B47">
        <w:rPr>
          <w:noProof/>
        </w:rPr>
        <w:fldChar w:fldCharType="end"/>
      </w:r>
      <w:r w:rsidR="008D7DFD">
        <w:rPr>
          <w:noProof/>
        </w:rPr>
        <w:t>:</w:t>
      </w:r>
      <w:r>
        <w:t xml:space="preserve"> </w:t>
      </w:r>
      <w:r w:rsidRPr="008115E5">
        <w:t xml:space="preserve">Největší zaměstnavatelé ve městě </w:t>
      </w:r>
      <w:r>
        <w:t>Zlíně</w:t>
      </w:r>
      <w:bookmarkEnd w:id="442"/>
      <w:bookmarkEnd w:id="443"/>
    </w:p>
    <w:tbl>
      <w:tblPr>
        <w:tblW w:w="9064" w:type="dxa"/>
        <w:tblCellMar>
          <w:left w:w="0" w:type="dxa"/>
          <w:right w:w="0" w:type="dxa"/>
        </w:tblCellMar>
        <w:tblLook w:val="04A0" w:firstRow="1" w:lastRow="0" w:firstColumn="1" w:lastColumn="0" w:noHBand="0" w:noVBand="1"/>
      </w:tblPr>
      <w:tblGrid>
        <w:gridCol w:w="1963"/>
        <w:gridCol w:w="1688"/>
        <w:gridCol w:w="3086"/>
        <w:gridCol w:w="1129"/>
        <w:gridCol w:w="1198"/>
      </w:tblGrid>
      <w:tr w:rsidR="00954688" w:rsidRPr="00A00FD2" w14:paraId="0E71D967" w14:textId="77777777" w:rsidTr="000C49A5">
        <w:trPr>
          <w:cantSplit/>
          <w:trHeight w:val="425"/>
          <w:tblHeader/>
        </w:trPr>
        <w:tc>
          <w:tcPr>
            <w:tcW w:w="1977"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30" w:type="dxa"/>
              <w:left w:w="45" w:type="dxa"/>
              <w:bottom w:w="30" w:type="dxa"/>
              <w:right w:w="45" w:type="dxa"/>
            </w:tcMar>
            <w:vAlign w:val="bottom"/>
          </w:tcPr>
          <w:p w14:paraId="61E66314" w14:textId="77777777" w:rsidR="00954688" w:rsidRPr="00A00FD2" w:rsidRDefault="00954688" w:rsidP="000C49A5">
            <w:pPr>
              <w:spacing w:before="0"/>
              <w:jc w:val="left"/>
              <w:rPr>
                <w:rFonts w:eastAsia="Times New Roman" w:cstheme="minorHAnsi"/>
                <w:b/>
                <w:sz w:val="18"/>
                <w:szCs w:val="18"/>
                <w:lang w:eastAsia="cs-CZ"/>
              </w:rPr>
            </w:pPr>
            <w:r w:rsidRPr="00A00FD2">
              <w:rPr>
                <w:rFonts w:eastAsia="Times New Roman" w:cstheme="minorHAnsi"/>
                <w:b/>
                <w:sz w:val="18"/>
                <w:szCs w:val="18"/>
                <w:lang w:eastAsia="cs-CZ"/>
              </w:rPr>
              <w:t>Název</w:t>
            </w:r>
          </w:p>
        </w:tc>
        <w:tc>
          <w:tcPr>
            <w:tcW w:w="1701" w:type="dxa"/>
            <w:tcBorders>
              <w:top w:val="single" w:sz="6" w:space="0" w:color="000000"/>
              <w:left w:val="single" w:sz="6" w:space="0" w:color="CCCCCC"/>
              <w:bottom w:val="single" w:sz="6" w:space="0" w:color="000000"/>
              <w:right w:val="single" w:sz="6" w:space="0" w:color="000000"/>
            </w:tcBorders>
            <w:shd w:val="clear" w:color="auto" w:fill="E7E6E6" w:themeFill="background2"/>
            <w:tcMar>
              <w:top w:w="30" w:type="dxa"/>
              <w:left w:w="45" w:type="dxa"/>
              <w:bottom w:w="30" w:type="dxa"/>
              <w:right w:w="45" w:type="dxa"/>
            </w:tcMar>
            <w:vAlign w:val="bottom"/>
          </w:tcPr>
          <w:p w14:paraId="5E73DA98" w14:textId="77777777" w:rsidR="00954688" w:rsidRPr="00A00FD2" w:rsidRDefault="00954688" w:rsidP="000C49A5">
            <w:pPr>
              <w:spacing w:before="0"/>
              <w:jc w:val="left"/>
              <w:rPr>
                <w:rFonts w:eastAsia="Times New Roman" w:cstheme="minorHAnsi"/>
                <w:b/>
                <w:sz w:val="18"/>
                <w:szCs w:val="18"/>
                <w:lang w:eastAsia="cs-CZ"/>
              </w:rPr>
            </w:pPr>
            <w:r w:rsidRPr="00A00FD2">
              <w:rPr>
                <w:rFonts w:eastAsia="Times New Roman" w:cstheme="minorHAnsi"/>
                <w:b/>
                <w:sz w:val="18"/>
                <w:szCs w:val="18"/>
                <w:lang w:eastAsia="cs-CZ"/>
              </w:rPr>
              <w:t>Adresa</w:t>
            </w:r>
          </w:p>
        </w:tc>
        <w:tc>
          <w:tcPr>
            <w:tcW w:w="3115" w:type="dxa"/>
            <w:tcBorders>
              <w:top w:val="single" w:sz="6" w:space="0" w:color="000000"/>
              <w:left w:val="single" w:sz="6" w:space="0" w:color="CCCCCC"/>
              <w:bottom w:val="single" w:sz="6" w:space="0" w:color="000000"/>
              <w:right w:val="single" w:sz="6" w:space="0" w:color="000000"/>
            </w:tcBorders>
            <w:shd w:val="clear" w:color="auto" w:fill="E7E6E6" w:themeFill="background2"/>
            <w:tcMar>
              <w:top w:w="30" w:type="dxa"/>
              <w:left w:w="45" w:type="dxa"/>
              <w:bottom w:w="30" w:type="dxa"/>
              <w:right w:w="45" w:type="dxa"/>
            </w:tcMar>
            <w:vAlign w:val="bottom"/>
          </w:tcPr>
          <w:p w14:paraId="1D95DB61" w14:textId="77777777" w:rsidR="00954688" w:rsidRPr="00A00FD2" w:rsidRDefault="00954688" w:rsidP="000C49A5">
            <w:pPr>
              <w:spacing w:before="0"/>
              <w:jc w:val="left"/>
              <w:rPr>
                <w:rFonts w:eastAsia="Times New Roman" w:cstheme="minorHAnsi"/>
                <w:b/>
                <w:sz w:val="18"/>
                <w:szCs w:val="18"/>
                <w:lang w:eastAsia="cs-CZ"/>
              </w:rPr>
            </w:pPr>
            <w:r w:rsidRPr="00A00FD2">
              <w:rPr>
                <w:rFonts w:eastAsia="Times New Roman" w:cstheme="minorHAnsi"/>
                <w:b/>
                <w:sz w:val="18"/>
                <w:szCs w:val="18"/>
                <w:lang w:eastAsia="cs-CZ"/>
              </w:rPr>
              <w:t>Převažující činnost</w:t>
            </w:r>
          </w:p>
        </w:tc>
        <w:tc>
          <w:tcPr>
            <w:tcW w:w="1134" w:type="dxa"/>
            <w:tcBorders>
              <w:top w:val="single" w:sz="6" w:space="0" w:color="000000"/>
              <w:left w:val="single" w:sz="6" w:space="0" w:color="CCCCCC"/>
              <w:bottom w:val="single" w:sz="6" w:space="0" w:color="000000"/>
              <w:right w:val="single" w:sz="6" w:space="0" w:color="000000"/>
            </w:tcBorders>
            <w:shd w:val="clear" w:color="auto" w:fill="E7E6E6" w:themeFill="background2"/>
            <w:tcMar>
              <w:top w:w="30" w:type="dxa"/>
              <w:left w:w="45" w:type="dxa"/>
              <w:bottom w:w="30" w:type="dxa"/>
              <w:right w:w="45" w:type="dxa"/>
            </w:tcMar>
            <w:vAlign w:val="bottom"/>
          </w:tcPr>
          <w:p w14:paraId="190DC9C5" w14:textId="77777777" w:rsidR="00954688" w:rsidRPr="00A00FD2" w:rsidRDefault="00954688" w:rsidP="000C49A5">
            <w:pPr>
              <w:spacing w:before="0"/>
              <w:jc w:val="left"/>
              <w:rPr>
                <w:rFonts w:eastAsia="Times New Roman" w:cstheme="minorHAnsi"/>
                <w:b/>
                <w:sz w:val="18"/>
                <w:szCs w:val="18"/>
                <w:lang w:eastAsia="cs-CZ"/>
              </w:rPr>
            </w:pPr>
            <w:r w:rsidRPr="00A00FD2">
              <w:rPr>
                <w:rFonts w:eastAsia="Times New Roman" w:cstheme="minorHAnsi"/>
                <w:b/>
                <w:sz w:val="18"/>
                <w:szCs w:val="18"/>
                <w:lang w:eastAsia="cs-CZ"/>
              </w:rPr>
              <w:t>Právní forma</w:t>
            </w:r>
          </w:p>
        </w:tc>
        <w:tc>
          <w:tcPr>
            <w:tcW w:w="1137" w:type="dxa"/>
            <w:tcBorders>
              <w:top w:val="single" w:sz="6" w:space="0" w:color="000000"/>
              <w:left w:val="single" w:sz="6" w:space="0" w:color="CCCCCC"/>
              <w:bottom w:val="single" w:sz="6" w:space="0" w:color="000000"/>
              <w:right w:val="single" w:sz="6" w:space="0" w:color="000000"/>
            </w:tcBorders>
            <w:shd w:val="clear" w:color="auto" w:fill="E7E6E6" w:themeFill="background2"/>
            <w:tcMar>
              <w:top w:w="30" w:type="dxa"/>
              <w:left w:w="45" w:type="dxa"/>
              <w:bottom w:w="30" w:type="dxa"/>
              <w:right w:w="45" w:type="dxa"/>
            </w:tcMar>
            <w:vAlign w:val="bottom"/>
          </w:tcPr>
          <w:p w14:paraId="41024084" w14:textId="77777777" w:rsidR="00954688" w:rsidRPr="00A00FD2" w:rsidRDefault="00954688" w:rsidP="000C49A5">
            <w:pPr>
              <w:spacing w:before="0"/>
              <w:jc w:val="left"/>
              <w:rPr>
                <w:rFonts w:eastAsia="Times New Roman" w:cstheme="minorHAnsi"/>
                <w:b/>
                <w:sz w:val="18"/>
                <w:szCs w:val="18"/>
                <w:lang w:eastAsia="cs-CZ"/>
              </w:rPr>
            </w:pPr>
            <w:r w:rsidRPr="00A00FD2">
              <w:rPr>
                <w:rFonts w:eastAsia="Times New Roman" w:cstheme="minorHAnsi"/>
                <w:b/>
                <w:sz w:val="18"/>
                <w:szCs w:val="18"/>
                <w:lang w:eastAsia="cs-CZ"/>
              </w:rPr>
              <w:t>Počet zaměstnanců</w:t>
            </w:r>
            <w:r>
              <w:rPr>
                <w:rStyle w:val="Znakapoznpodarou"/>
                <w:rFonts w:eastAsia="Times New Roman" w:cstheme="minorHAnsi"/>
                <w:b/>
                <w:sz w:val="18"/>
                <w:szCs w:val="18"/>
                <w:lang w:eastAsia="cs-CZ"/>
              </w:rPr>
              <w:footnoteReference w:id="88"/>
            </w:r>
          </w:p>
        </w:tc>
      </w:tr>
      <w:tr w:rsidR="00954688" w:rsidRPr="00A00FD2" w14:paraId="55C9F3EB" w14:textId="77777777" w:rsidTr="000C49A5">
        <w:trPr>
          <w:trHeight w:val="552"/>
        </w:trPr>
        <w:tc>
          <w:tcPr>
            <w:tcW w:w="197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0AE08E7"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HP TRONIC Zlín, spol. s.r.o.</w:t>
            </w:r>
          </w:p>
        </w:tc>
        <w:tc>
          <w:tcPr>
            <w:tcW w:w="1701" w:type="dxa"/>
            <w:tcBorders>
              <w:top w:val="single" w:sz="6" w:space="0" w:color="000000"/>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F986081"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náměstí Práce 2523, 760 01 Zlín</w:t>
            </w:r>
          </w:p>
        </w:tc>
        <w:tc>
          <w:tcPr>
            <w:tcW w:w="3115" w:type="dxa"/>
            <w:tcBorders>
              <w:top w:val="single" w:sz="6" w:space="0" w:color="000000"/>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43BB25DB" w14:textId="0871CBEE" w:rsidR="00954688" w:rsidRPr="00D852AD" w:rsidRDefault="00954688" w:rsidP="008D7DFD">
            <w:pPr>
              <w:spacing w:before="0"/>
              <w:jc w:val="left"/>
              <w:rPr>
                <w:rFonts w:eastAsia="Times New Roman" w:cstheme="minorHAnsi"/>
                <w:sz w:val="18"/>
                <w:szCs w:val="18"/>
                <w:lang w:eastAsia="cs-CZ"/>
              </w:rPr>
            </w:pPr>
            <w:r>
              <w:rPr>
                <w:rFonts w:eastAsia="Times New Roman" w:cstheme="minorHAnsi"/>
                <w:sz w:val="18"/>
                <w:szCs w:val="18"/>
                <w:lang w:eastAsia="cs-CZ"/>
              </w:rPr>
              <w:t>V</w:t>
            </w:r>
            <w:r w:rsidRPr="00A00FD2">
              <w:rPr>
                <w:rFonts w:eastAsia="Times New Roman" w:cstheme="minorHAnsi"/>
                <w:sz w:val="18"/>
                <w:szCs w:val="18"/>
                <w:lang w:eastAsia="cs-CZ"/>
              </w:rPr>
              <w:t>ýroba, instalace, opravy elektrických strojů a přístrojů, elektronických a</w:t>
            </w:r>
            <w:r w:rsidR="008D7DFD">
              <w:rPr>
                <w:rFonts w:eastAsia="Times New Roman" w:cstheme="minorHAnsi"/>
                <w:sz w:val="18"/>
                <w:szCs w:val="18"/>
                <w:lang w:eastAsia="cs-CZ"/>
              </w:rPr>
              <w:t> </w:t>
            </w:r>
            <w:r w:rsidRPr="00A00FD2">
              <w:rPr>
                <w:rFonts w:eastAsia="Times New Roman" w:cstheme="minorHAnsi"/>
                <w:sz w:val="18"/>
                <w:szCs w:val="18"/>
                <w:lang w:eastAsia="cs-CZ"/>
              </w:rPr>
              <w:t>telekomunikačních zařízení</w:t>
            </w:r>
          </w:p>
        </w:tc>
        <w:tc>
          <w:tcPr>
            <w:tcW w:w="1134" w:type="dxa"/>
            <w:tcBorders>
              <w:top w:val="single" w:sz="6" w:space="0" w:color="000000"/>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7DA81919" w14:textId="77777777" w:rsidR="00954688" w:rsidRPr="00D852AD" w:rsidRDefault="00954688" w:rsidP="000C49A5">
            <w:pPr>
              <w:spacing w:before="0"/>
              <w:jc w:val="left"/>
              <w:rPr>
                <w:rFonts w:eastAsia="Times New Roman" w:cstheme="minorHAnsi"/>
                <w:sz w:val="18"/>
                <w:szCs w:val="18"/>
                <w:lang w:eastAsia="cs-CZ"/>
              </w:rPr>
            </w:pPr>
            <w:r w:rsidRPr="00A00FD2">
              <w:rPr>
                <w:rFonts w:cstheme="minorHAnsi"/>
                <w:color w:val="000000"/>
                <w:sz w:val="18"/>
                <w:szCs w:val="18"/>
              </w:rPr>
              <w:t>Společnost s ručením omezeným</w:t>
            </w:r>
          </w:p>
        </w:tc>
        <w:tc>
          <w:tcPr>
            <w:tcW w:w="1137" w:type="dxa"/>
            <w:tcBorders>
              <w:top w:val="single" w:sz="6" w:space="0" w:color="000000"/>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4D7CC6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2000 - 2499 zaměstnanců</w:t>
            </w:r>
          </w:p>
        </w:tc>
      </w:tr>
      <w:tr w:rsidR="00954688" w:rsidRPr="00A00FD2" w14:paraId="4C6591B9"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F9F706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Trelleborg Wheel Systems Czech Republic a.s. - Výrobní závod Zlín</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2A85784"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Ulice Šedesátá 5638, 762 02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6F3247F4" w14:textId="77777777" w:rsidR="00954688" w:rsidRPr="00D852AD" w:rsidRDefault="00954688" w:rsidP="000C49A5">
            <w:pPr>
              <w:spacing w:before="0"/>
              <w:jc w:val="left"/>
              <w:rPr>
                <w:rFonts w:eastAsia="Times New Roman" w:cstheme="minorHAnsi"/>
                <w:sz w:val="18"/>
                <w:szCs w:val="18"/>
                <w:lang w:eastAsia="cs-CZ"/>
              </w:rPr>
            </w:pPr>
            <w:r w:rsidRPr="00A00FD2">
              <w:rPr>
                <w:rFonts w:eastAsia="Times New Roman" w:cstheme="minorHAnsi"/>
                <w:sz w:val="18"/>
                <w:szCs w:val="18"/>
                <w:lang w:eastAsia="cs-CZ"/>
              </w:rPr>
              <w:t>Výroba pryžových výrobků</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76FF5625"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C98C90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2000 - 2499 zaměstnanců</w:t>
            </w:r>
          </w:p>
        </w:tc>
      </w:tr>
      <w:tr w:rsidR="00954688" w:rsidRPr="00A00FD2" w14:paraId="5E164BE9"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F94412B" w14:textId="5810DDED" w:rsidR="00954688" w:rsidRPr="00D852AD" w:rsidRDefault="00954688" w:rsidP="004254BD">
            <w:pPr>
              <w:spacing w:before="0"/>
              <w:jc w:val="left"/>
              <w:rPr>
                <w:rFonts w:eastAsia="Times New Roman" w:cstheme="minorHAnsi"/>
                <w:sz w:val="18"/>
                <w:szCs w:val="18"/>
                <w:lang w:eastAsia="cs-CZ"/>
              </w:rPr>
            </w:pPr>
            <w:r w:rsidRPr="00D852AD">
              <w:rPr>
                <w:rFonts w:eastAsia="Times New Roman" w:cstheme="minorHAnsi"/>
                <w:sz w:val="18"/>
                <w:szCs w:val="18"/>
                <w:lang w:eastAsia="cs-CZ"/>
              </w:rPr>
              <w:t>Krajská nemocnice T.</w:t>
            </w:r>
            <w:r w:rsidR="004254BD">
              <w:rPr>
                <w:rFonts w:eastAsia="Times New Roman" w:cstheme="minorHAnsi"/>
                <w:sz w:val="18"/>
                <w:szCs w:val="18"/>
                <w:lang w:eastAsia="cs-CZ"/>
              </w:rPr>
              <w:t> </w:t>
            </w:r>
            <w:r w:rsidRPr="00D852AD">
              <w:rPr>
                <w:rFonts w:eastAsia="Times New Roman" w:cstheme="minorHAnsi"/>
                <w:sz w:val="18"/>
                <w:szCs w:val="18"/>
                <w:lang w:eastAsia="cs-CZ"/>
              </w:rPr>
              <w:t>Bati, a. 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594FC18"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Havlíčkovo nábřeží 600</w:t>
            </w:r>
            <w:r w:rsidRPr="00A00FD2">
              <w:rPr>
                <w:rFonts w:eastAsia="Times New Roman" w:cstheme="minorHAnsi"/>
                <w:sz w:val="18"/>
                <w:szCs w:val="18"/>
                <w:lang w:eastAsia="cs-CZ"/>
              </w:rPr>
              <w:t xml:space="preserve">, </w:t>
            </w:r>
            <w:r w:rsidRPr="00D852AD">
              <w:rPr>
                <w:rFonts w:eastAsia="Times New Roman" w:cstheme="minorHAnsi"/>
                <w:sz w:val="18"/>
                <w:szCs w:val="18"/>
                <w:lang w:eastAsia="cs-CZ"/>
              </w:rPr>
              <w:t>76</w:t>
            </w:r>
            <w:r w:rsidRPr="00A00FD2">
              <w:rPr>
                <w:rFonts w:eastAsia="Times New Roman" w:cstheme="minorHAnsi"/>
                <w:sz w:val="18"/>
                <w:szCs w:val="18"/>
                <w:lang w:eastAsia="cs-CZ"/>
              </w:rPr>
              <w:t xml:space="preserve">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5F97E6BB" w14:textId="41D67FB9" w:rsidR="00954688" w:rsidRPr="00D852AD" w:rsidRDefault="00954688" w:rsidP="008D7DFD">
            <w:pPr>
              <w:spacing w:before="0"/>
              <w:jc w:val="left"/>
              <w:rPr>
                <w:rFonts w:eastAsia="Times New Roman" w:cstheme="minorHAnsi"/>
                <w:sz w:val="18"/>
                <w:szCs w:val="18"/>
                <w:lang w:eastAsia="cs-CZ"/>
              </w:rPr>
            </w:pPr>
            <w:r w:rsidRPr="00A00FD2">
              <w:rPr>
                <w:rFonts w:eastAsia="Times New Roman" w:cstheme="minorHAnsi"/>
                <w:sz w:val="18"/>
                <w:szCs w:val="18"/>
                <w:lang w:eastAsia="cs-CZ"/>
              </w:rPr>
              <w:t>Poskytování ambulantní a lůžkové, základní a specializované, diagnostické, léčebné, preventivní a lékárenské péče a</w:t>
            </w:r>
            <w:r w:rsidR="008D7DFD">
              <w:rPr>
                <w:rFonts w:eastAsia="Times New Roman" w:cstheme="minorHAnsi"/>
                <w:sz w:val="18"/>
                <w:szCs w:val="18"/>
                <w:lang w:eastAsia="cs-CZ"/>
              </w:rPr>
              <w:t> </w:t>
            </w:r>
            <w:r w:rsidRPr="00A00FD2">
              <w:rPr>
                <w:rFonts w:eastAsia="Times New Roman" w:cstheme="minorHAnsi"/>
                <w:sz w:val="18"/>
                <w:szCs w:val="18"/>
                <w:lang w:eastAsia="cs-CZ"/>
              </w:rPr>
              <w:t>dalších služeb</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17B6EBF"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575474E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2500 - 2999 zaměstnanců</w:t>
            </w:r>
          </w:p>
        </w:tc>
      </w:tr>
      <w:tr w:rsidR="00954688" w:rsidRPr="00A00FD2" w14:paraId="41D78952"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186B231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BAŤA, akciová společnost</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12E8724"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Dlouhá ul. 130, 762 22</w:t>
            </w:r>
            <w:r w:rsidRPr="00A00FD2">
              <w:rPr>
                <w:rFonts w:eastAsia="Times New Roman" w:cstheme="minorHAnsi"/>
                <w:sz w:val="18"/>
                <w:szCs w:val="18"/>
                <w:lang w:eastAsia="cs-CZ"/>
              </w:rPr>
              <w:t xml:space="preserve">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51036318" w14:textId="4CDBFB41" w:rsidR="00954688" w:rsidRPr="00D852AD" w:rsidRDefault="00954688" w:rsidP="008D7DFD">
            <w:pPr>
              <w:spacing w:before="0"/>
              <w:jc w:val="left"/>
              <w:rPr>
                <w:rFonts w:eastAsia="Times New Roman" w:cstheme="minorHAnsi"/>
                <w:sz w:val="18"/>
                <w:szCs w:val="18"/>
                <w:lang w:eastAsia="cs-CZ"/>
              </w:rPr>
            </w:pPr>
            <w:r w:rsidRPr="00A00FD2">
              <w:rPr>
                <w:rFonts w:eastAsia="Times New Roman" w:cstheme="minorHAnsi"/>
                <w:sz w:val="18"/>
                <w:szCs w:val="18"/>
                <w:lang w:eastAsia="cs-CZ"/>
              </w:rPr>
              <w:t>Výroba a maloobchod s obuví a</w:t>
            </w:r>
            <w:r w:rsidR="008D7DFD">
              <w:rPr>
                <w:rFonts w:eastAsia="Times New Roman" w:cstheme="minorHAnsi"/>
                <w:sz w:val="18"/>
                <w:szCs w:val="18"/>
                <w:lang w:eastAsia="cs-CZ"/>
              </w:rPr>
              <w:t> </w:t>
            </w:r>
            <w:r w:rsidRPr="00A00FD2">
              <w:rPr>
                <w:rFonts w:eastAsia="Times New Roman" w:cstheme="minorHAnsi"/>
                <w:sz w:val="18"/>
                <w:szCs w:val="18"/>
                <w:lang w:eastAsia="cs-CZ"/>
              </w:rPr>
              <w:t>koženými výrobky</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9FD6298" w14:textId="77777777" w:rsidR="00954688" w:rsidRPr="00D852AD" w:rsidRDefault="00954688" w:rsidP="000C49A5">
            <w:pPr>
              <w:spacing w:before="0"/>
              <w:jc w:val="left"/>
              <w:rPr>
                <w:rFonts w:eastAsia="Times New Roman" w:cstheme="minorHAnsi"/>
                <w:sz w:val="18"/>
                <w:szCs w:val="18"/>
                <w:lang w:eastAsia="cs-CZ"/>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58BC10A6"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500 - 999 zaměstnanců</w:t>
            </w:r>
          </w:p>
        </w:tc>
      </w:tr>
      <w:tr w:rsidR="00954688" w:rsidRPr="00A00FD2" w14:paraId="31725429"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4BBE08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ELKOV elektro a.s. Zlín</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6A1C821"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Chmelník 1296, Malenovice, 763 02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77876417" w14:textId="77777777" w:rsidR="00954688" w:rsidRPr="00D852AD" w:rsidRDefault="00954688" w:rsidP="000C49A5">
            <w:pPr>
              <w:spacing w:before="0"/>
              <w:jc w:val="left"/>
              <w:rPr>
                <w:rFonts w:eastAsia="Times New Roman" w:cstheme="minorHAnsi"/>
                <w:sz w:val="18"/>
                <w:szCs w:val="18"/>
                <w:lang w:eastAsia="cs-CZ"/>
              </w:rPr>
            </w:pPr>
            <w:r w:rsidRPr="00A00FD2">
              <w:rPr>
                <w:rFonts w:eastAsia="Times New Roman" w:cstheme="minorHAnsi"/>
                <w:sz w:val="18"/>
                <w:szCs w:val="18"/>
                <w:lang w:eastAsia="cs-CZ"/>
              </w:rPr>
              <w:t>Velkoobchodní a maloobchodní prodej svítidel a osvětlení</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017B8D9"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91B254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500 - 999 zaměstnanců</w:t>
            </w:r>
          </w:p>
        </w:tc>
      </w:tr>
      <w:tr w:rsidR="00954688" w:rsidRPr="00A00FD2" w14:paraId="1AD6075C"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A137F4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TAJMAC-ZPS, a. 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906FDE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třída 3. května 1180</w:t>
            </w:r>
            <w:r w:rsidRPr="00A00FD2">
              <w:rPr>
                <w:rFonts w:eastAsia="Times New Roman" w:cstheme="minorHAnsi"/>
                <w:sz w:val="18"/>
                <w:szCs w:val="18"/>
                <w:lang w:eastAsia="cs-CZ"/>
              </w:rPr>
              <w:t xml:space="preserve">, </w:t>
            </w:r>
            <w:r w:rsidRPr="00D852AD">
              <w:rPr>
                <w:rFonts w:eastAsia="Times New Roman" w:cstheme="minorHAnsi"/>
                <w:sz w:val="18"/>
                <w:szCs w:val="18"/>
                <w:lang w:eastAsia="cs-CZ"/>
              </w:rPr>
              <w:t>Malenovice</w:t>
            </w:r>
            <w:r w:rsidRPr="00A00FD2">
              <w:rPr>
                <w:rFonts w:eastAsia="Times New Roman" w:cstheme="minorHAnsi"/>
                <w:sz w:val="18"/>
                <w:szCs w:val="18"/>
                <w:lang w:eastAsia="cs-CZ"/>
              </w:rPr>
              <w:t>,</w:t>
            </w:r>
            <w:r w:rsidRPr="00D852AD">
              <w:rPr>
                <w:rFonts w:eastAsia="Times New Roman" w:cstheme="minorHAnsi"/>
                <w:sz w:val="18"/>
                <w:szCs w:val="18"/>
                <w:lang w:eastAsia="cs-CZ"/>
              </w:rPr>
              <w:t xml:space="preserve"> 763 02 Zlín,</w:t>
            </w:r>
            <w:r w:rsidRPr="00A00FD2">
              <w:rPr>
                <w:rFonts w:eastAsia="Times New Roman" w:cstheme="minorHAnsi"/>
                <w:sz w:val="18"/>
                <w:szCs w:val="18"/>
                <w:lang w:eastAsia="cs-CZ"/>
              </w:rPr>
              <w:t xml:space="preserve"> </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0C47F784" w14:textId="77777777" w:rsidR="00954688" w:rsidRPr="00D852AD" w:rsidRDefault="00183F7E" w:rsidP="000C49A5">
            <w:pPr>
              <w:shd w:val="clear" w:color="auto" w:fill="FFFFFF"/>
              <w:rPr>
                <w:rFonts w:cstheme="minorHAnsi"/>
                <w:color w:val="222222"/>
                <w:sz w:val="18"/>
                <w:szCs w:val="18"/>
              </w:rPr>
            </w:pPr>
            <w:hyperlink r:id="rId137" w:history="1">
              <w:r w:rsidR="00954688" w:rsidRPr="00A00FD2">
                <w:rPr>
                  <w:rFonts w:eastAsia="Times New Roman" w:cstheme="minorHAnsi"/>
                  <w:sz w:val="18"/>
                  <w:szCs w:val="18"/>
                  <w:lang w:eastAsia="cs-CZ"/>
                </w:rPr>
                <w:t>Vývoj, výroba a prodej obráběcích strojů</w:t>
              </w:r>
            </w:hyperlink>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FEF3FF2"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5874FB35"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500 - 999 zaměstnanců</w:t>
            </w:r>
          </w:p>
        </w:tc>
      </w:tr>
      <w:tr w:rsidR="00954688" w:rsidRPr="00A00FD2" w14:paraId="4DBCCFED"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1FE50581"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OBZOR, výrobní družstvo Zlín</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010D85E"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Na Slanici 378</w:t>
            </w:r>
            <w:r w:rsidRPr="00A00FD2">
              <w:rPr>
                <w:rFonts w:eastAsia="Times New Roman" w:cstheme="minorHAnsi"/>
                <w:sz w:val="18"/>
                <w:szCs w:val="18"/>
                <w:lang w:eastAsia="cs-CZ"/>
              </w:rPr>
              <w:t xml:space="preserve">, </w:t>
            </w:r>
            <w:r w:rsidRPr="00D852AD">
              <w:rPr>
                <w:rFonts w:eastAsia="Times New Roman" w:cstheme="minorHAnsi"/>
                <w:sz w:val="18"/>
                <w:szCs w:val="18"/>
                <w:lang w:eastAsia="cs-CZ"/>
              </w:rPr>
              <w:t xml:space="preserve">Louky, </w:t>
            </w:r>
            <w:r w:rsidRPr="00A00FD2">
              <w:rPr>
                <w:rFonts w:eastAsia="Times New Roman" w:cstheme="minorHAnsi"/>
                <w:sz w:val="18"/>
                <w:szCs w:val="18"/>
                <w:lang w:eastAsia="cs-CZ"/>
              </w:rPr>
              <w:t>763 02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114951F6" w14:textId="77777777" w:rsidR="00954688" w:rsidRPr="00D852AD" w:rsidRDefault="00954688" w:rsidP="000C49A5">
            <w:pPr>
              <w:spacing w:before="0"/>
              <w:jc w:val="left"/>
              <w:rPr>
                <w:rFonts w:eastAsia="Times New Roman" w:cstheme="minorHAnsi"/>
                <w:sz w:val="18"/>
                <w:szCs w:val="18"/>
                <w:lang w:eastAsia="cs-CZ"/>
              </w:rPr>
            </w:pPr>
            <w:r w:rsidRPr="00A00FD2">
              <w:rPr>
                <w:rFonts w:eastAsia="Times New Roman" w:cstheme="minorHAnsi"/>
                <w:sz w:val="18"/>
                <w:szCs w:val="18"/>
                <w:lang w:eastAsia="cs-CZ"/>
              </w:rPr>
              <w:t>Výroba a distribuce drobných elektromechanických výrobků, kovových dílů, vstřikování plastů a výsek těsnění</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4DA0C9B" w14:textId="77777777" w:rsidR="00954688" w:rsidRPr="00D852AD" w:rsidRDefault="00954688" w:rsidP="000C49A5">
            <w:pPr>
              <w:spacing w:before="0"/>
              <w:jc w:val="left"/>
              <w:rPr>
                <w:rFonts w:eastAsia="Times New Roman" w:cstheme="minorHAnsi"/>
                <w:sz w:val="18"/>
                <w:szCs w:val="18"/>
                <w:lang w:eastAsia="cs-CZ"/>
              </w:rPr>
            </w:pPr>
            <w:r w:rsidRPr="00A00FD2">
              <w:rPr>
                <w:rFonts w:eastAsia="Times New Roman" w:cstheme="minorHAnsi"/>
                <w:sz w:val="18"/>
                <w:szCs w:val="18"/>
                <w:lang w:eastAsia="cs-CZ"/>
              </w:rPr>
              <w:t>Družstvo</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7C225FA9"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61B30540"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5F81A8E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Dopravní společnost Zlín-Otrokovice, s.r.o.</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C39EF7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Podvesná XVII 3833, 760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25A4E653"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Zajišťování d</w:t>
            </w:r>
            <w:r w:rsidRPr="00A00FD2">
              <w:rPr>
                <w:rFonts w:eastAsia="Times New Roman" w:cstheme="minorHAnsi"/>
                <w:sz w:val="18"/>
                <w:szCs w:val="18"/>
                <w:lang w:eastAsia="cs-CZ"/>
              </w:rPr>
              <w:t>opravní obslužnost</w:t>
            </w:r>
            <w:r>
              <w:rPr>
                <w:rFonts w:eastAsia="Times New Roman" w:cstheme="minorHAnsi"/>
                <w:sz w:val="18"/>
                <w:szCs w:val="18"/>
                <w:lang w:eastAsia="cs-CZ"/>
              </w:rPr>
              <w:t>i</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224D12C" w14:textId="77777777" w:rsidR="00954688" w:rsidRPr="00D852AD" w:rsidRDefault="00954688" w:rsidP="000C49A5">
            <w:pPr>
              <w:spacing w:before="0"/>
              <w:jc w:val="left"/>
              <w:rPr>
                <w:rFonts w:eastAsia="Times New Roman" w:cstheme="minorHAnsi"/>
                <w:sz w:val="18"/>
                <w:szCs w:val="18"/>
                <w:lang w:eastAsia="cs-CZ"/>
              </w:rPr>
            </w:pPr>
            <w:r w:rsidRPr="00A00FD2">
              <w:rPr>
                <w:rFonts w:cstheme="minorHAnsi"/>
                <w:sz w:val="18"/>
                <w:szCs w:val="18"/>
              </w:rPr>
              <w:t>Společnost s ručením omezeným</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197968B7"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4DBD3BA3"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BDD611C"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GRASPO CZ, a.s.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6E3487C"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Pod Šternberkem 324</w:t>
            </w:r>
            <w:r w:rsidRPr="00A00FD2">
              <w:rPr>
                <w:rFonts w:eastAsia="Times New Roman" w:cstheme="minorHAnsi"/>
                <w:sz w:val="18"/>
                <w:szCs w:val="18"/>
                <w:lang w:eastAsia="cs-CZ"/>
              </w:rPr>
              <w:t>,</w:t>
            </w:r>
            <w:r w:rsidRPr="00D852AD">
              <w:rPr>
                <w:rFonts w:eastAsia="Times New Roman" w:cstheme="minorHAnsi"/>
                <w:sz w:val="18"/>
                <w:szCs w:val="18"/>
                <w:lang w:eastAsia="cs-CZ"/>
              </w:rPr>
              <w:t xml:space="preserve"> 763 02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3860AAAB"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K</w:t>
            </w:r>
            <w:r w:rsidRPr="00A00FD2">
              <w:rPr>
                <w:rFonts w:eastAsia="Times New Roman" w:cstheme="minorHAnsi"/>
                <w:sz w:val="18"/>
                <w:szCs w:val="18"/>
                <w:lang w:eastAsia="cs-CZ"/>
              </w:rPr>
              <w:t>ompletní polygrafická výroba, knihařské a grafické zpracování</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F8031FE"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40ACF3E"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38EBB762"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FA5CC4E"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Jednota, spotřební družstvo ve Zlíně</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69BC259"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Kvítková 4323, 760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607BAD77"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M</w:t>
            </w:r>
            <w:r w:rsidRPr="00A00FD2">
              <w:rPr>
                <w:rFonts w:eastAsia="Times New Roman" w:cstheme="minorHAnsi"/>
                <w:sz w:val="18"/>
                <w:szCs w:val="18"/>
                <w:lang w:eastAsia="cs-CZ"/>
              </w:rPr>
              <w:t>aloobchod se smíšeným zbožím</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3BAA5F8" w14:textId="77777777" w:rsidR="00954688" w:rsidRPr="00D852AD" w:rsidRDefault="00954688" w:rsidP="000C49A5">
            <w:pPr>
              <w:spacing w:before="0"/>
              <w:jc w:val="left"/>
              <w:rPr>
                <w:rFonts w:eastAsia="Times New Roman" w:cstheme="minorHAnsi"/>
                <w:sz w:val="18"/>
                <w:szCs w:val="18"/>
                <w:lang w:eastAsia="cs-CZ"/>
              </w:rPr>
            </w:pPr>
            <w:r w:rsidRPr="00A00FD2">
              <w:rPr>
                <w:rFonts w:eastAsia="Times New Roman" w:cstheme="minorHAnsi"/>
                <w:sz w:val="18"/>
                <w:szCs w:val="18"/>
                <w:lang w:eastAsia="cs-CZ"/>
              </w:rPr>
              <w:t>Družstvo</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A7DD89D"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1E35B128"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5E6F4D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Promens a.s.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84C4F9F"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Cecilka 38, Příluky, 760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32976D57" w14:textId="2E98DF8E" w:rsidR="00954688" w:rsidRPr="00D852AD" w:rsidRDefault="00954688" w:rsidP="004254BD">
            <w:pPr>
              <w:spacing w:before="0"/>
              <w:jc w:val="left"/>
              <w:rPr>
                <w:rFonts w:eastAsia="Times New Roman" w:cstheme="minorHAnsi"/>
                <w:sz w:val="18"/>
                <w:szCs w:val="18"/>
                <w:lang w:eastAsia="cs-CZ"/>
              </w:rPr>
            </w:pPr>
            <w:r>
              <w:rPr>
                <w:rFonts w:eastAsia="Times New Roman" w:cstheme="minorHAnsi"/>
                <w:sz w:val="18"/>
                <w:szCs w:val="18"/>
                <w:lang w:eastAsia="cs-CZ"/>
              </w:rPr>
              <w:t xml:space="preserve">Výroba </w:t>
            </w:r>
            <w:r w:rsidRPr="00F959BB">
              <w:rPr>
                <w:rFonts w:eastAsia="Times New Roman" w:cstheme="minorHAnsi"/>
                <w:sz w:val="18"/>
                <w:szCs w:val="18"/>
                <w:lang w:eastAsia="cs-CZ"/>
              </w:rPr>
              <w:t>velkoplošné, převážně exteriérové plastové díly v nižších a</w:t>
            </w:r>
            <w:r w:rsidR="004254BD">
              <w:rPr>
                <w:rFonts w:eastAsia="Times New Roman" w:cstheme="minorHAnsi"/>
                <w:sz w:val="18"/>
                <w:szCs w:val="18"/>
                <w:lang w:eastAsia="cs-CZ"/>
              </w:rPr>
              <w:t> </w:t>
            </w:r>
            <w:r w:rsidRPr="00F959BB">
              <w:rPr>
                <w:rFonts w:eastAsia="Times New Roman" w:cstheme="minorHAnsi"/>
                <w:sz w:val="18"/>
                <w:szCs w:val="18"/>
                <w:lang w:eastAsia="cs-CZ"/>
              </w:rPr>
              <w:t>středních sériích</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764A6FA1"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0A96934"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728C78D8"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CDA0707" w14:textId="296F2364" w:rsidR="00954688" w:rsidRPr="00D852AD" w:rsidRDefault="00954688" w:rsidP="004254BD">
            <w:pPr>
              <w:spacing w:before="0"/>
              <w:jc w:val="left"/>
              <w:rPr>
                <w:rFonts w:eastAsia="Times New Roman" w:cstheme="minorHAnsi"/>
                <w:sz w:val="18"/>
                <w:szCs w:val="18"/>
                <w:lang w:eastAsia="cs-CZ"/>
              </w:rPr>
            </w:pPr>
            <w:r w:rsidRPr="00D852AD">
              <w:rPr>
                <w:rFonts w:eastAsia="Times New Roman" w:cstheme="minorHAnsi"/>
                <w:sz w:val="18"/>
                <w:szCs w:val="18"/>
                <w:lang w:eastAsia="cs-CZ"/>
              </w:rPr>
              <w:lastRenderedPageBreak/>
              <w:t>Institut pro testování a</w:t>
            </w:r>
            <w:r w:rsidR="004254BD">
              <w:rPr>
                <w:rFonts w:eastAsia="Times New Roman" w:cstheme="minorHAnsi"/>
                <w:sz w:val="18"/>
                <w:szCs w:val="18"/>
                <w:lang w:eastAsia="cs-CZ"/>
              </w:rPr>
              <w:t> </w:t>
            </w:r>
            <w:r w:rsidRPr="00D852AD">
              <w:rPr>
                <w:rFonts w:eastAsia="Times New Roman" w:cstheme="minorHAnsi"/>
                <w:sz w:val="18"/>
                <w:szCs w:val="18"/>
                <w:lang w:eastAsia="cs-CZ"/>
              </w:rPr>
              <w:t>certifikaci, a.s.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34C5390"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třída Tomáše Bati 299, Louky</w:t>
            </w:r>
            <w:r w:rsidRPr="00A00FD2">
              <w:rPr>
                <w:rFonts w:eastAsia="Times New Roman" w:cstheme="minorHAnsi"/>
                <w:sz w:val="18"/>
                <w:szCs w:val="18"/>
                <w:lang w:eastAsia="cs-CZ"/>
              </w:rPr>
              <w:t>,</w:t>
            </w:r>
            <w:r w:rsidRPr="00D852AD">
              <w:rPr>
                <w:rFonts w:eastAsia="Times New Roman" w:cstheme="minorHAnsi"/>
                <w:sz w:val="18"/>
                <w:szCs w:val="18"/>
                <w:lang w:eastAsia="cs-CZ"/>
              </w:rPr>
              <w:t xml:space="preserve"> 763 02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422E81BF" w14:textId="74FB66CD" w:rsidR="00954688" w:rsidRPr="00D852AD" w:rsidRDefault="00954688" w:rsidP="004254BD">
            <w:pPr>
              <w:spacing w:before="0"/>
              <w:jc w:val="left"/>
              <w:rPr>
                <w:rFonts w:eastAsia="Times New Roman" w:cstheme="minorHAnsi"/>
                <w:sz w:val="18"/>
                <w:szCs w:val="18"/>
                <w:lang w:eastAsia="cs-CZ"/>
              </w:rPr>
            </w:pPr>
            <w:r>
              <w:rPr>
                <w:rFonts w:eastAsia="Times New Roman" w:cstheme="minorHAnsi"/>
                <w:sz w:val="18"/>
                <w:szCs w:val="18"/>
                <w:lang w:eastAsia="cs-CZ"/>
              </w:rPr>
              <w:t>S</w:t>
            </w:r>
            <w:r w:rsidRPr="0066599E">
              <w:rPr>
                <w:rFonts w:eastAsia="Times New Roman" w:cstheme="minorHAnsi"/>
                <w:sz w:val="18"/>
                <w:szCs w:val="18"/>
                <w:lang w:eastAsia="cs-CZ"/>
              </w:rPr>
              <w:t>lužby v oblastech testování, certifikace, technické insp</w:t>
            </w:r>
            <w:r>
              <w:rPr>
                <w:rFonts w:eastAsia="Times New Roman" w:cstheme="minorHAnsi"/>
                <w:sz w:val="18"/>
                <w:szCs w:val="18"/>
                <w:lang w:eastAsia="cs-CZ"/>
              </w:rPr>
              <w:t>ekce, kalibrace a</w:t>
            </w:r>
            <w:r w:rsidR="004254BD">
              <w:rPr>
                <w:rFonts w:eastAsia="Times New Roman" w:cstheme="minorHAnsi"/>
                <w:sz w:val="18"/>
                <w:szCs w:val="18"/>
                <w:lang w:eastAsia="cs-CZ"/>
              </w:rPr>
              <w:t> </w:t>
            </w:r>
            <w:r>
              <w:rPr>
                <w:rFonts w:eastAsia="Times New Roman" w:cstheme="minorHAnsi"/>
                <w:sz w:val="18"/>
                <w:szCs w:val="18"/>
                <w:lang w:eastAsia="cs-CZ"/>
              </w:rPr>
              <w:t>standardizace</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D344C57"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A6151D1"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54F97196"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1204DFF9"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Kovárna VIVA a.s.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010FD57"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Vavrečkova 5333, 760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06D3E10E" w14:textId="288CC780" w:rsidR="00954688" w:rsidRPr="00D852AD" w:rsidRDefault="00954688" w:rsidP="004254BD">
            <w:pPr>
              <w:spacing w:before="0"/>
              <w:jc w:val="left"/>
              <w:rPr>
                <w:rFonts w:eastAsia="Times New Roman" w:cstheme="minorHAnsi"/>
                <w:sz w:val="18"/>
                <w:szCs w:val="18"/>
                <w:lang w:eastAsia="cs-CZ"/>
              </w:rPr>
            </w:pPr>
            <w:r>
              <w:rPr>
                <w:rFonts w:eastAsia="Times New Roman" w:cstheme="minorHAnsi"/>
                <w:sz w:val="18"/>
                <w:szCs w:val="18"/>
                <w:lang w:eastAsia="cs-CZ"/>
              </w:rPr>
              <w:t>Výroba</w:t>
            </w:r>
            <w:r w:rsidRPr="0066599E">
              <w:rPr>
                <w:rFonts w:eastAsia="Times New Roman" w:cstheme="minorHAnsi"/>
                <w:sz w:val="18"/>
                <w:szCs w:val="18"/>
                <w:lang w:eastAsia="cs-CZ"/>
              </w:rPr>
              <w:t xml:space="preserve"> zápustkových výkovků z</w:t>
            </w:r>
            <w:r w:rsidR="004254BD">
              <w:rPr>
                <w:rFonts w:eastAsia="Times New Roman" w:cstheme="minorHAnsi"/>
                <w:sz w:val="18"/>
                <w:szCs w:val="18"/>
                <w:lang w:eastAsia="cs-CZ"/>
              </w:rPr>
              <w:t> </w:t>
            </w:r>
            <w:r w:rsidRPr="0066599E">
              <w:rPr>
                <w:rFonts w:eastAsia="Times New Roman" w:cstheme="minorHAnsi"/>
                <w:sz w:val="18"/>
                <w:szCs w:val="18"/>
                <w:lang w:eastAsia="cs-CZ"/>
              </w:rPr>
              <w:t>legovaných, mikrolegovaných, uhlíkových a konstrukčních ocelí</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96D7F86"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8C1FC50"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3284C85A"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0087703F"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TESCOMA s.r.o.</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6E9D1D0"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U Tescomy 241, Lužkovice, 760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332309DB"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Výroba a prodej</w:t>
            </w:r>
            <w:r w:rsidRPr="0066599E">
              <w:rPr>
                <w:rFonts w:eastAsia="Times New Roman" w:cstheme="minorHAnsi"/>
                <w:sz w:val="18"/>
                <w:szCs w:val="18"/>
                <w:lang w:eastAsia="cs-CZ"/>
              </w:rPr>
              <w:t xml:space="preserve"> kuchyňských potřeb</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23DEE13" w14:textId="77777777" w:rsidR="00954688" w:rsidRPr="00D852AD" w:rsidRDefault="00954688" w:rsidP="000C49A5">
            <w:pPr>
              <w:spacing w:before="0"/>
              <w:jc w:val="left"/>
              <w:rPr>
                <w:rFonts w:eastAsia="Times New Roman" w:cstheme="minorHAnsi"/>
                <w:sz w:val="18"/>
                <w:szCs w:val="18"/>
                <w:lang w:eastAsia="cs-CZ"/>
              </w:rPr>
            </w:pPr>
            <w:r w:rsidRPr="00A00FD2">
              <w:rPr>
                <w:rFonts w:cstheme="minorHAnsi"/>
                <w:sz w:val="18"/>
                <w:szCs w:val="18"/>
              </w:rPr>
              <w:t>Společnost s ručením omezeným</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7CE32EB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04D7B6A8" w14:textId="77777777" w:rsidTr="000C49A5">
        <w:trPr>
          <w:trHeight w:val="328"/>
        </w:trPr>
        <w:tc>
          <w:tcPr>
            <w:tcW w:w="1977" w:type="dxa"/>
            <w:tcBorders>
              <w:top w:val="single" w:sz="6" w:space="0" w:color="CCCCCC"/>
              <w:left w:val="single" w:sz="6" w:space="0" w:color="000000"/>
              <w:bottom w:val="single" w:sz="4" w:space="0" w:color="auto"/>
              <w:right w:val="single" w:sz="6" w:space="0" w:color="000000"/>
            </w:tcBorders>
            <w:shd w:val="clear" w:color="auto" w:fill="FFFFFF" w:themeFill="background1"/>
            <w:tcMar>
              <w:top w:w="30" w:type="dxa"/>
              <w:left w:w="45" w:type="dxa"/>
              <w:bottom w:w="30" w:type="dxa"/>
              <w:right w:w="45" w:type="dxa"/>
            </w:tcMar>
            <w:vAlign w:val="bottom"/>
            <w:hideMark/>
          </w:tcPr>
          <w:p w14:paraId="2B06E775"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ZPS - SLÉVÁRNA, a.s.</w:t>
            </w:r>
          </w:p>
        </w:tc>
        <w:tc>
          <w:tcPr>
            <w:tcW w:w="1701" w:type="dxa"/>
            <w:tcBorders>
              <w:top w:val="single" w:sz="6" w:space="0" w:color="CCCCCC"/>
              <w:left w:val="single" w:sz="6" w:space="0" w:color="CCCCCC"/>
              <w:bottom w:val="single" w:sz="4" w:space="0" w:color="auto"/>
              <w:right w:val="single" w:sz="6" w:space="0" w:color="000000"/>
            </w:tcBorders>
            <w:shd w:val="clear" w:color="auto" w:fill="FFFFFF" w:themeFill="background1"/>
            <w:tcMar>
              <w:top w:w="30" w:type="dxa"/>
              <w:left w:w="45" w:type="dxa"/>
              <w:bottom w:w="30" w:type="dxa"/>
              <w:right w:w="45" w:type="dxa"/>
            </w:tcMar>
            <w:vAlign w:val="bottom"/>
            <w:hideMark/>
          </w:tcPr>
          <w:p w14:paraId="42EA4746"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třída 3. května 1172, Malenovice, 763 02 Zlín</w:t>
            </w:r>
          </w:p>
        </w:tc>
        <w:tc>
          <w:tcPr>
            <w:tcW w:w="3115" w:type="dxa"/>
            <w:tcBorders>
              <w:top w:val="single" w:sz="6" w:space="0" w:color="CCCCCC"/>
              <w:left w:val="single" w:sz="6" w:space="0" w:color="CCCCCC"/>
              <w:bottom w:val="single" w:sz="4" w:space="0" w:color="auto"/>
              <w:right w:val="single" w:sz="6" w:space="0" w:color="000000"/>
            </w:tcBorders>
            <w:shd w:val="clear" w:color="auto" w:fill="FFFFFF" w:themeFill="background1"/>
            <w:tcMar>
              <w:top w:w="30" w:type="dxa"/>
              <w:left w:w="45" w:type="dxa"/>
              <w:bottom w:w="30" w:type="dxa"/>
              <w:right w:w="45" w:type="dxa"/>
            </w:tcMar>
            <w:vAlign w:val="bottom"/>
          </w:tcPr>
          <w:p w14:paraId="30BD251E"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Výroba odlitků</w:t>
            </w:r>
            <w:r w:rsidRPr="0066599E">
              <w:rPr>
                <w:rFonts w:eastAsia="Times New Roman" w:cstheme="minorHAnsi"/>
                <w:sz w:val="18"/>
                <w:szCs w:val="18"/>
                <w:lang w:eastAsia="cs-CZ"/>
              </w:rPr>
              <w:t xml:space="preserve"> ze šedé a tvárné litiny</w:t>
            </w:r>
          </w:p>
        </w:tc>
        <w:tc>
          <w:tcPr>
            <w:tcW w:w="1134" w:type="dxa"/>
            <w:tcBorders>
              <w:top w:val="single" w:sz="6" w:space="0" w:color="CCCCCC"/>
              <w:left w:val="single" w:sz="6" w:space="0" w:color="CCCCCC"/>
              <w:bottom w:val="single" w:sz="4" w:space="0" w:color="auto"/>
              <w:right w:val="single" w:sz="6" w:space="0" w:color="000000"/>
            </w:tcBorders>
            <w:shd w:val="clear" w:color="auto" w:fill="FFFFFF" w:themeFill="background1"/>
            <w:tcMar>
              <w:top w:w="30" w:type="dxa"/>
              <w:left w:w="45" w:type="dxa"/>
              <w:bottom w:w="30" w:type="dxa"/>
              <w:right w:w="45" w:type="dxa"/>
            </w:tcMar>
            <w:vAlign w:val="bottom"/>
            <w:hideMark/>
          </w:tcPr>
          <w:p w14:paraId="6345BDD2"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4" w:space="0" w:color="auto"/>
              <w:right w:val="single" w:sz="6" w:space="0" w:color="000000"/>
            </w:tcBorders>
            <w:shd w:val="clear" w:color="auto" w:fill="FFFFFF" w:themeFill="background1"/>
            <w:tcMar>
              <w:top w:w="30" w:type="dxa"/>
              <w:left w:w="45" w:type="dxa"/>
              <w:bottom w:w="30" w:type="dxa"/>
              <w:right w:w="45" w:type="dxa"/>
            </w:tcMar>
            <w:vAlign w:val="bottom"/>
            <w:hideMark/>
          </w:tcPr>
          <w:p w14:paraId="05901DE6"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116ECC54" w14:textId="77777777" w:rsidTr="000C49A5">
        <w:trPr>
          <w:trHeight w:val="328"/>
        </w:trPr>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6287040D" w14:textId="43A6AEFD" w:rsidR="00954688" w:rsidRPr="00D852AD" w:rsidRDefault="00954688" w:rsidP="004254BD">
            <w:pPr>
              <w:spacing w:before="0"/>
              <w:jc w:val="left"/>
              <w:rPr>
                <w:rFonts w:eastAsia="Times New Roman" w:cstheme="minorHAnsi"/>
                <w:sz w:val="18"/>
                <w:szCs w:val="18"/>
                <w:lang w:eastAsia="cs-CZ"/>
              </w:rPr>
            </w:pPr>
            <w:r w:rsidRPr="00D852AD">
              <w:rPr>
                <w:rFonts w:eastAsia="Times New Roman" w:cstheme="minorHAnsi"/>
                <w:sz w:val="18"/>
                <w:szCs w:val="18"/>
                <w:lang w:eastAsia="cs-CZ"/>
              </w:rPr>
              <w:t>AGC Fenestra a.s., člen</w:t>
            </w:r>
            <w:r w:rsidR="004254BD">
              <w:rPr>
                <w:rFonts w:eastAsia="Times New Roman" w:cstheme="minorHAnsi"/>
                <w:sz w:val="18"/>
                <w:szCs w:val="18"/>
                <w:lang w:eastAsia="cs-CZ"/>
              </w:rPr>
              <w:t> </w:t>
            </w:r>
            <w:r w:rsidRPr="00D852AD">
              <w:rPr>
                <w:rFonts w:eastAsia="Times New Roman" w:cstheme="minorHAnsi"/>
                <w:sz w:val="18"/>
                <w:szCs w:val="18"/>
                <w:lang w:eastAsia="cs-CZ"/>
              </w:rPr>
              <w:t>AGC Group</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70B34953"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Salaš 86</w:t>
            </w:r>
            <w:r w:rsidRPr="00A00FD2">
              <w:rPr>
                <w:rFonts w:eastAsia="Times New Roman" w:cstheme="minorHAnsi"/>
                <w:sz w:val="18"/>
                <w:szCs w:val="18"/>
                <w:lang w:eastAsia="cs-CZ"/>
              </w:rPr>
              <w:t xml:space="preserve">, </w:t>
            </w:r>
            <w:r w:rsidRPr="00D852AD">
              <w:rPr>
                <w:rFonts w:eastAsia="Times New Roman" w:cstheme="minorHAnsi"/>
                <w:sz w:val="18"/>
                <w:szCs w:val="18"/>
                <w:lang w:eastAsia="cs-CZ"/>
              </w:rPr>
              <w:t xml:space="preserve">Salaš, </w:t>
            </w:r>
            <w:r w:rsidRPr="00A00FD2">
              <w:rPr>
                <w:rFonts w:eastAsia="Times New Roman" w:cstheme="minorHAnsi"/>
                <w:sz w:val="18"/>
                <w:szCs w:val="18"/>
                <w:lang w:eastAsia="cs-CZ"/>
              </w:rPr>
              <w:t>763 51 Zlín</w:t>
            </w:r>
          </w:p>
        </w:tc>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tcPr>
          <w:p w14:paraId="2910F6DB" w14:textId="77777777" w:rsidR="00954688" w:rsidRPr="00D852AD" w:rsidRDefault="00954688" w:rsidP="000C49A5">
            <w:pPr>
              <w:spacing w:before="0"/>
              <w:jc w:val="left"/>
              <w:rPr>
                <w:rFonts w:eastAsia="Times New Roman" w:cstheme="minorHAnsi"/>
                <w:sz w:val="18"/>
                <w:szCs w:val="18"/>
                <w:lang w:eastAsia="cs-CZ"/>
              </w:rPr>
            </w:pPr>
            <w:r w:rsidRPr="00534481">
              <w:rPr>
                <w:rFonts w:eastAsia="Times New Roman" w:cstheme="minorHAnsi"/>
                <w:sz w:val="18"/>
                <w:szCs w:val="18"/>
                <w:lang w:eastAsia="cs-CZ"/>
              </w:rPr>
              <w:t>Výroba izolačních skel</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0ADAF339" w14:textId="77777777" w:rsidR="00954688" w:rsidRPr="00D852AD" w:rsidRDefault="00954688" w:rsidP="000C49A5">
            <w:pPr>
              <w:spacing w:before="0"/>
              <w:jc w:val="left"/>
              <w:rPr>
                <w:rFonts w:eastAsia="Times New Roman" w:cstheme="minorHAnsi"/>
                <w:sz w:val="18"/>
                <w:szCs w:val="18"/>
                <w:lang w:eastAsia="cs-CZ"/>
              </w:rPr>
            </w:pPr>
            <w:r w:rsidRPr="00A00FD2">
              <w:rPr>
                <w:rFonts w:cstheme="minorHAnsi"/>
                <w:sz w:val="18"/>
                <w:szCs w:val="18"/>
              </w:rPr>
              <w:t>Akciová společnost</w:t>
            </w:r>
          </w:p>
        </w:tc>
        <w:tc>
          <w:tcPr>
            <w:tcW w:w="1137"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0CB18603"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04C6096B" w14:textId="77777777" w:rsidTr="000C49A5">
        <w:trPr>
          <w:trHeight w:val="328"/>
        </w:trPr>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62A15E92"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NWT a.s.</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63B5FFBF"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tř. Tomáše Bati 269, 760 01 Zlín</w:t>
            </w:r>
          </w:p>
        </w:tc>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tcPr>
          <w:p w14:paraId="58213420"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V</w:t>
            </w:r>
            <w:r w:rsidRPr="00534481">
              <w:rPr>
                <w:rFonts w:eastAsia="Times New Roman" w:cstheme="minorHAnsi"/>
                <w:sz w:val="18"/>
                <w:szCs w:val="18"/>
                <w:lang w:eastAsia="cs-CZ"/>
              </w:rPr>
              <w:t>ýstavb</w:t>
            </w:r>
            <w:r>
              <w:rPr>
                <w:rFonts w:eastAsia="Times New Roman" w:cstheme="minorHAnsi"/>
                <w:sz w:val="18"/>
                <w:szCs w:val="18"/>
                <w:lang w:eastAsia="cs-CZ"/>
              </w:rPr>
              <w:t>a</w:t>
            </w:r>
            <w:r w:rsidRPr="00534481">
              <w:rPr>
                <w:rFonts w:eastAsia="Times New Roman" w:cstheme="minorHAnsi"/>
                <w:sz w:val="18"/>
                <w:szCs w:val="18"/>
                <w:lang w:eastAsia="cs-CZ"/>
              </w:rPr>
              <w:t>, celkové zařizování a provoz hydroponických produkčních skleníků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0CD9A57E"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4" w:space="0" w:color="auto"/>
              <w:left w:val="single" w:sz="4" w:space="0" w:color="auto"/>
              <w:bottom w:val="single" w:sz="4" w:space="0" w:color="auto"/>
              <w:right w:val="single" w:sz="4" w:space="0" w:color="auto"/>
            </w:tcBorders>
            <w:shd w:val="clear" w:color="auto" w:fill="FFFFFF" w:themeFill="background1"/>
            <w:tcMar>
              <w:top w:w="30" w:type="dxa"/>
              <w:left w:w="45" w:type="dxa"/>
              <w:bottom w:w="30" w:type="dxa"/>
              <w:right w:w="45" w:type="dxa"/>
            </w:tcMar>
            <w:vAlign w:val="bottom"/>
            <w:hideMark/>
          </w:tcPr>
          <w:p w14:paraId="14AE7B8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250 - 499 zaměstnanců</w:t>
            </w:r>
          </w:p>
        </w:tc>
      </w:tr>
      <w:tr w:rsidR="00954688" w:rsidRPr="00A00FD2" w14:paraId="59F03886" w14:textId="77777777" w:rsidTr="000C49A5">
        <w:trPr>
          <w:trHeight w:val="328"/>
        </w:trPr>
        <w:tc>
          <w:tcPr>
            <w:tcW w:w="1977" w:type="dxa"/>
            <w:tcBorders>
              <w:top w:val="single" w:sz="4" w:space="0" w:color="auto"/>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C640EC2"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KOMPONENTY, a.s. ZLÍN</w:t>
            </w:r>
          </w:p>
        </w:tc>
        <w:tc>
          <w:tcPr>
            <w:tcW w:w="1701" w:type="dxa"/>
            <w:tcBorders>
              <w:top w:val="single" w:sz="4" w:space="0" w:color="auto"/>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5970DD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Hlavničkovo nábřeží 5655, Zlín</w:t>
            </w:r>
          </w:p>
        </w:tc>
        <w:tc>
          <w:tcPr>
            <w:tcW w:w="3115" w:type="dxa"/>
            <w:tcBorders>
              <w:top w:val="single" w:sz="4" w:space="0" w:color="auto"/>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6EFB5B2E"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Vývoj, výroba a prodej</w:t>
            </w:r>
            <w:r w:rsidRPr="00534481">
              <w:rPr>
                <w:rFonts w:eastAsia="Times New Roman" w:cstheme="minorHAnsi"/>
                <w:sz w:val="18"/>
                <w:szCs w:val="18"/>
                <w:lang w:eastAsia="cs-CZ"/>
              </w:rPr>
              <w:t xml:space="preserve"> komponentů</w:t>
            </w:r>
            <w:r>
              <w:rPr>
                <w:rFonts w:eastAsia="Times New Roman" w:cstheme="minorHAnsi"/>
                <w:sz w:val="18"/>
                <w:szCs w:val="18"/>
                <w:lang w:eastAsia="cs-CZ"/>
              </w:rPr>
              <w:t xml:space="preserve"> nejen </w:t>
            </w:r>
            <w:r w:rsidRPr="00534481">
              <w:rPr>
                <w:rFonts w:eastAsia="Times New Roman" w:cstheme="minorHAnsi"/>
                <w:sz w:val="18"/>
                <w:szCs w:val="18"/>
                <w:lang w:eastAsia="cs-CZ"/>
              </w:rPr>
              <w:t>pro obuvnickou výrobu</w:t>
            </w:r>
          </w:p>
        </w:tc>
        <w:tc>
          <w:tcPr>
            <w:tcW w:w="1134" w:type="dxa"/>
            <w:tcBorders>
              <w:top w:val="single" w:sz="4" w:space="0" w:color="auto"/>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3BE5DEA2"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4" w:space="0" w:color="auto"/>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7C9ACE7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200 - 249 zaměstnanců</w:t>
            </w:r>
          </w:p>
        </w:tc>
      </w:tr>
      <w:tr w:rsidR="00954688" w:rsidRPr="00A00FD2" w14:paraId="1D3C3EE4"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FB53F9F"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SPUR a.s.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1756B9E4"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třída Tomáše Bati 299, Louky, 763 02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75260E81"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Výroba</w:t>
            </w:r>
            <w:r w:rsidRPr="00534481">
              <w:rPr>
                <w:rFonts w:eastAsia="Times New Roman" w:cstheme="minorHAnsi"/>
                <w:sz w:val="18"/>
                <w:szCs w:val="18"/>
                <w:lang w:eastAsia="cs-CZ"/>
              </w:rPr>
              <w:t xml:space="preserve"> plastových výrobků</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50077149" w14:textId="77777777" w:rsidR="00954688" w:rsidRPr="00D852AD" w:rsidRDefault="00954688" w:rsidP="000C49A5">
            <w:pPr>
              <w:rPr>
                <w:rFonts w:cstheme="minorHAnsi"/>
                <w:sz w:val="18"/>
                <w:szCs w:val="18"/>
              </w:rPr>
            </w:pPr>
            <w:r w:rsidRPr="00A00FD2">
              <w:rPr>
                <w:rFonts w:cstheme="minorHAnsi"/>
                <w:sz w:val="18"/>
                <w:szCs w:val="18"/>
              </w:rPr>
              <w:t>Akciová společnost</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891D243"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200 - 249 zaměstnanců</w:t>
            </w:r>
          </w:p>
        </w:tc>
      </w:tr>
      <w:tr w:rsidR="00954688" w:rsidRPr="00A00FD2" w14:paraId="49324D2E"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B456F8B"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Navláčil stavební firma, s.r.o.</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1D5029C"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Bartošova 5532, 760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03D1EFB8"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Stavební práce</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7E61F8A" w14:textId="77777777" w:rsidR="00954688" w:rsidRPr="00D852AD" w:rsidRDefault="00954688" w:rsidP="000C49A5">
            <w:pPr>
              <w:spacing w:before="0"/>
              <w:jc w:val="left"/>
              <w:rPr>
                <w:rFonts w:eastAsia="Times New Roman" w:cstheme="minorHAnsi"/>
                <w:sz w:val="18"/>
                <w:szCs w:val="18"/>
                <w:lang w:eastAsia="cs-CZ"/>
              </w:rPr>
            </w:pPr>
            <w:r w:rsidRPr="00A00FD2">
              <w:rPr>
                <w:rFonts w:cstheme="minorHAnsi"/>
                <w:sz w:val="18"/>
                <w:szCs w:val="18"/>
              </w:rPr>
              <w:t>Společnost s ručením omezeným</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254C5BA"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200 - 249 zaměstnanců</w:t>
            </w:r>
          </w:p>
        </w:tc>
      </w:tr>
      <w:tr w:rsidR="00954688" w:rsidRPr="00A00FD2" w14:paraId="3B04CC1B" w14:textId="77777777" w:rsidTr="000C49A5">
        <w:trPr>
          <w:trHeight w:val="328"/>
        </w:trPr>
        <w:tc>
          <w:tcPr>
            <w:tcW w:w="1977" w:type="dxa"/>
            <w:tcBorders>
              <w:top w:val="single" w:sz="6" w:space="0" w:color="CCCCCC"/>
              <w:left w:val="single" w:sz="6" w:space="0" w:color="000000"/>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29C7CB08"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ELKOPLAST CZ, s.r.o.</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70C4CC44"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Štefánikova 2664</w:t>
            </w:r>
            <w:r w:rsidRPr="00A00FD2">
              <w:rPr>
                <w:rFonts w:eastAsia="Times New Roman" w:cstheme="minorHAnsi"/>
                <w:sz w:val="18"/>
                <w:szCs w:val="18"/>
                <w:lang w:eastAsia="cs-CZ"/>
              </w:rPr>
              <w:t>, 760 01 Zlín</w:t>
            </w:r>
          </w:p>
        </w:tc>
        <w:tc>
          <w:tcPr>
            <w:tcW w:w="3115"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tcPr>
          <w:p w14:paraId="48DD4F27" w14:textId="77777777" w:rsidR="00954688" w:rsidRPr="00D852AD" w:rsidRDefault="00954688" w:rsidP="000C49A5">
            <w:pPr>
              <w:spacing w:before="0"/>
              <w:jc w:val="left"/>
              <w:rPr>
                <w:rFonts w:eastAsia="Times New Roman" w:cstheme="minorHAnsi"/>
                <w:sz w:val="18"/>
                <w:szCs w:val="18"/>
                <w:lang w:eastAsia="cs-CZ"/>
              </w:rPr>
            </w:pPr>
            <w:r>
              <w:rPr>
                <w:rFonts w:eastAsia="Times New Roman" w:cstheme="minorHAnsi"/>
                <w:sz w:val="18"/>
                <w:szCs w:val="18"/>
                <w:lang w:eastAsia="cs-CZ"/>
              </w:rPr>
              <w:t>V</w:t>
            </w:r>
            <w:r w:rsidRPr="00534481">
              <w:rPr>
                <w:rFonts w:eastAsia="Times New Roman" w:cstheme="minorHAnsi"/>
                <w:sz w:val="18"/>
                <w:szCs w:val="18"/>
                <w:lang w:eastAsia="cs-CZ"/>
              </w:rPr>
              <w:t>ýroba kontejnerů na odpad</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6D326E25" w14:textId="77777777" w:rsidR="00954688" w:rsidRPr="00D852AD" w:rsidRDefault="00954688" w:rsidP="000C49A5">
            <w:pPr>
              <w:spacing w:before="0"/>
              <w:jc w:val="left"/>
              <w:rPr>
                <w:rFonts w:eastAsia="Times New Roman" w:cstheme="minorHAnsi"/>
                <w:sz w:val="18"/>
                <w:szCs w:val="18"/>
                <w:lang w:eastAsia="cs-CZ"/>
              </w:rPr>
            </w:pPr>
            <w:r w:rsidRPr="00A00FD2">
              <w:rPr>
                <w:rFonts w:cstheme="minorHAnsi"/>
                <w:sz w:val="18"/>
                <w:szCs w:val="18"/>
              </w:rPr>
              <w:t>Společnost s ručením omezeným</w:t>
            </w:r>
          </w:p>
        </w:tc>
        <w:tc>
          <w:tcPr>
            <w:tcW w:w="1137" w:type="dxa"/>
            <w:tcBorders>
              <w:top w:val="single" w:sz="6" w:space="0" w:color="CCCCCC"/>
              <w:left w:val="single" w:sz="6" w:space="0" w:color="CCCCCC"/>
              <w:bottom w:val="single" w:sz="6" w:space="0" w:color="000000"/>
              <w:right w:val="single" w:sz="6" w:space="0" w:color="000000"/>
            </w:tcBorders>
            <w:shd w:val="clear" w:color="auto" w:fill="FFFFFF" w:themeFill="background1"/>
            <w:tcMar>
              <w:top w:w="30" w:type="dxa"/>
              <w:left w:w="45" w:type="dxa"/>
              <w:bottom w:w="30" w:type="dxa"/>
              <w:right w:w="45" w:type="dxa"/>
            </w:tcMar>
            <w:vAlign w:val="bottom"/>
            <w:hideMark/>
          </w:tcPr>
          <w:p w14:paraId="42B87F9F" w14:textId="77777777" w:rsidR="00954688" w:rsidRPr="00D852AD" w:rsidRDefault="00954688" w:rsidP="000C49A5">
            <w:pPr>
              <w:spacing w:before="0"/>
              <w:jc w:val="left"/>
              <w:rPr>
                <w:rFonts w:eastAsia="Times New Roman" w:cstheme="minorHAnsi"/>
                <w:sz w:val="18"/>
                <w:szCs w:val="18"/>
                <w:lang w:eastAsia="cs-CZ"/>
              </w:rPr>
            </w:pPr>
            <w:r w:rsidRPr="00D852AD">
              <w:rPr>
                <w:rFonts w:eastAsia="Times New Roman" w:cstheme="minorHAnsi"/>
                <w:sz w:val="18"/>
                <w:szCs w:val="18"/>
                <w:lang w:eastAsia="cs-CZ"/>
              </w:rPr>
              <w:t>200 - 249 zaměstnanců</w:t>
            </w:r>
          </w:p>
        </w:tc>
      </w:tr>
    </w:tbl>
    <w:p w14:paraId="4216FD60" w14:textId="3209850C" w:rsidR="00954688" w:rsidRDefault="00954688" w:rsidP="00954688">
      <w:pPr>
        <w:spacing w:before="0" w:after="120"/>
        <w:rPr>
          <w:i/>
          <w:iCs/>
          <w:sz w:val="20"/>
        </w:rPr>
      </w:pPr>
      <w:r w:rsidRPr="00F54AB6">
        <w:rPr>
          <w:i/>
          <w:iCs/>
          <w:sz w:val="20"/>
        </w:rPr>
        <w:t xml:space="preserve">Zdroj: </w:t>
      </w:r>
      <w:r>
        <w:rPr>
          <w:i/>
          <w:iCs/>
          <w:sz w:val="20"/>
        </w:rPr>
        <w:t xml:space="preserve">Registr ekonomických subjektů, </w:t>
      </w:r>
      <w:r w:rsidRPr="00F54AB6">
        <w:rPr>
          <w:i/>
          <w:iCs/>
          <w:sz w:val="20"/>
        </w:rPr>
        <w:t>zpracování PROCES</w:t>
      </w:r>
      <w:r w:rsidR="004254BD">
        <w:rPr>
          <w:i/>
          <w:iCs/>
          <w:sz w:val="20"/>
        </w:rPr>
        <w:t>, 1. 7. 2020.</w:t>
      </w:r>
    </w:p>
    <w:p w14:paraId="0703365A" w14:textId="4DB6A7A0" w:rsidR="00954688" w:rsidRDefault="00954688" w:rsidP="00954688">
      <w:r w:rsidRPr="00754814">
        <w:rPr>
          <w:b/>
        </w:rPr>
        <w:t>HP TRONIC</w:t>
      </w:r>
      <w:r w:rsidRPr="00754814">
        <w:t xml:space="preserve"> je česká společnost s více jak 30letou historií, která zaujímá místo předního retailera na trhu domácích spotřebičů, spotřební elektroniky, počítačů a mobilních telefonů v České republice a</w:t>
      </w:r>
      <w:r w:rsidR="004254BD">
        <w:t> </w:t>
      </w:r>
      <w:r w:rsidRPr="00754814">
        <w:t>rovněž na Slovensku. Do portfolia výrobků, které sama uvádí na trhy v Česku, na Slovensku a v řadě dalších evropských zemí patří výrobky značek ETA, GoGen, JVC a Hyundai. Mimoto nabízí vlastní splátkový program a provozuje Resort Valachy s hotely Lanterna, Horal, Galik, vlastním golfovým hřištěm a sjezdovkou Razula.</w:t>
      </w:r>
      <w:r>
        <w:rPr>
          <w:rStyle w:val="Znakapoznpodarou"/>
        </w:rPr>
        <w:footnoteReference w:id="89"/>
      </w:r>
    </w:p>
    <w:p w14:paraId="2148D272" w14:textId="77777777" w:rsidR="00954688" w:rsidRDefault="00954688" w:rsidP="00954688">
      <w:r>
        <w:t xml:space="preserve">Společnost </w:t>
      </w:r>
      <w:r w:rsidRPr="000550C3">
        <w:rPr>
          <w:b/>
        </w:rPr>
        <w:t xml:space="preserve">Trelleborg Wheel Systems </w:t>
      </w:r>
      <w:r>
        <w:t>j</w:t>
      </w:r>
      <w:r w:rsidRPr="000550C3">
        <w:t>e předním dodavatelem pneumatik a kompletních kol pro zemědělské a lesnické stroje, vysokozdvižné vozíky, stavební stroje, motocykly a další speciální segmenty. Nabízí vysoce specializovaná řešení vytvářející přidanou hodnotu pro zákazníky a je partnerem vedoucích výrobců strojů a zařízení. Jeho výrobní závody se nacházejí v Itálii, Lotyšsku, Brazílii, České republice, Srbsku, Slovinsku, Číně, Srí Lance a Spojených státech amerických.</w:t>
      </w:r>
      <w:r>
        <w:rPr>
          <w:rStyle w:val="Znakapoznpodarou"/>
        </w:rPr>
        <w:footnoteReference w:id="90"/>
      </w:r>
    </w:p>
    <w:p w14:paraId="01BE184A" w14:textId="67EBA0A1" w:rsidR="00954688" w:rsidRDefault="00954688" w:rsidP="00954688">
      <w:r w:rsidRPr="00BE5909">
        <w:rPr>
          <w:b/>
        </w:rPr>
        <w:t>Krajská nemocnice T. Bati</w:t>
      </w:r>
      <w:r w:rsidRPr="00BE5909">
        <w:t xml:space="preserve"> je od ledna 2006 akciovou společností s širokou škálou odborných pracovišť. Jediným akcionářem společnosti je Zlínský kraj. Hlavním cílem krajské nemocnice je poskytování kvalitní péče pacientům ve všech specializovaných odděleních</w:t>
      </w:r>
      <w:r>
        <w:t>.</w:t>
      </w:r>
      <w:r>
        <w:rPr>
          <w:rStyle w:val="Znakapoznpodarou"/>
        </w:rPr>
        <w:footnoteReference w:id="91"/>
      </w:r>
      <w:r>
        <w:t xml:space="preserve"> Více informací o Krajské nemocnici T.</w:t>
      </w:r>
      <w:r w:rsidR="004254BD">
        <w:t> </w:t>
      </w:r>
      <w:r>
        <w:t>Bati je uvedeno v kapitole Kvalita života.</w:t>
      </w:r>
    </w:p>
    <w:p w14:paraId="74B67D30" w14:textId="661A6844" w:rsidR="00954688" w:rsidRDefault="00954688" w:rsidP="00954688">
      <w:r w:rsidRPr="00B65811">
        <w:rPr>
          <w:b/>
        </w:rPr>
        <w:lastRenderedPageBreak/>
        <w:t>Společnost BAŤA, akciová společnost</w:t>
      </w:r>
      <w:r>
        <w:t xml:space="preserve"> se řadí mezi významné české firmy s dlouholetou tradicí. Její úspěch je v České republice i ve světě spojovaný zejména s výrobou a prodejem obuvi. Baťa, jehož síť tvoří v současnosti sedm desítek prodejen, patří mezi největší české prodejce obuvi. Mnoho prodejen, které jsou součástí naší maloobchodní sítě, byly baťovskými obchody již ve 20. a 30. letech.</w:t>
      </w:r>
      <w:r>
        <w:rPr>
          <w:rStyle w:val="Znakapoznpodarou"/>
        </w:rPr>
        <w:footnoteReference w:id="92"/>
      </w:r>
    </w:p>
    <w:p w14:paraId="17ED7E06" w14:textId="75CBD77E" w:rsidR="00954688" w:rsidRDefault="00954688" w:rsidP="00954688">
      <w:r w:rsidRPr="00B65811">
        <w:rPr>
          <w:b/>
        </w:rPr>
        <w:t>ELKOV elektro a.s.</w:t>
      </w:r>
      <w:r>
        <w:t xml:space="preserve"> je specializovaným velkoobchodem elektromateriálem a svítidly se sítí 29</w:t>
      </w:r>
      <w:r w:rsidR="004254BD">
        <w:t> </w:t>
      </w:r>
      <w:r>
        <w:t>prodejních skladů na území České republiky. S konsolidovaným ročním obratem přesahujícím 3</w:t>
      </w:r>
      <w:r w:rsidR="004254BD">
        <w:t> </w:t>
      </w:r>
      <w:r>
        <w:t>miliardy korun a téměř 500 pracovníky patří k nejvýznamnějším hráčům na trhu elektroinstalačním materiálem. Nabízí kompletní sortiment elektromateriálu a široký výběr svítidel a světelných zdrojů různých typů od více než 1 500 domácích i zahraničních dodavatelů.</w:t>
      </w:r>
      <w:r>
        <w:rPr>
          <w:rStyle w:val="Znakapoznpodarou"/>
        </w:rPr>
        <w:footnoteReference w:id="93"/>
      </w:r>
    </w:p>
    <w:p w14:paraId="0D085FA9" w14:textId="77777777" w:rsidR="00954688" w:rsidRDefault="00954688" w:rsidP="00954688">
      <w:r w:rsidRPr="00A67D61">
        <w:t xml:space="preserve">Výrobní program společnosti </w:t>
      </w:r>
      <w:r w:rsidRPr="00A67D61">
        <w:rPr>
          <w:b/>
        </w:rPr>
        <w:t>TAJMAC-ZPS, a. s.</w:t>
      </w:r>
      <w:r w:rsidRPr="00A67D61">
        <w:t xml:space="preserve"> se skládá z vysoce výkonných obráběcích center, dlouhotočných automatů a vícevřetenových automatů. Stroje se uplatňují v nejnáročnějších průmyslových odvětvích na všech světových trzích a získaly si velmi dobrou pověst pro svoje vysoké technické parametry, přesnost a spolehlivost.</w:t>
      </w:r>
      <w:r>
        <w:rPr>
          <w:rStyle w:val="Znakapoznpodarou"/>
        </w:rPr>
        <w:footnoteReference w:id="94"/>
      </w:r>
    </w:p>
    <w:p w14:paraId="154A81B5" w14:textId="77777777" w:rsidR="00954688" w:rsidRDefault="00954688" w:rsidP="00954688">
      <w:pPr>
        <w:pStyle w:val="Nadpis4"/>
      </w:pPr>
      <w:r>
        <w:t>Maloobchodní síť</w:t>
      </w:r>
    </w:p>
    <w:p w14:paraId="665EAFC7" w14:textId="1295BAFF" w:rsidR="00954688" w:rsidRDefault="00954688" w:rsidP="00954688">
      <w:pPr>
        <w:rPr>
          <w:shd w:val="clear" w:color="auto" w:fill="FFFFFF"/>
        </w:rPr>
      </w:pPr>
      <w:r>
        <w:t>Obchod je dnes klíčovou složkou české ekonomiky a hybatelem změn. Maloobchodní síť se neustále vyvíjí. Vývojové trendy ovlivňují podobu současné maloobchodní sítě. Hlavním současným vývojovým trendem v maloobchodě je dynamický rozvoj internetových obchodů a digitalizace obchodní činnosti, což se mj. odráží v uzavírání „kamenných“ obchodů.  Dochází také ke zvýšení prodeje v internetových a</w:t>
      </w:r>
      <w:r w:rsidR="004254BD">
        <w:t> </w:t>
      </w:r>
      <w:r>
        <w:t>zásilkových obchodech. Specifikem českého maloobchodního trhu je vztah kupujících k cenám zboží a</w:t>
      </w:r>
      <w:r w:rsidR="004254BD">
        <w:t> </w:t>
      </w:r>
      <w:r>
        <w:t>služeb. Celých 51 % výdajů, které české domácnosti utratí za balené potraviny, je za zboží ve slevových akcích. Stále ale roste počet kupujících, kteří upřednostňují kvalitu před cenou.</w:t>
      </w:r>
      <w:r>
        <w:rPr>
          <w:rStyle w:val="Znakapoznpodarou"/>
        </w:rPr>
        <w:footnoteReference w:id="95"/>
      </w:r>
      <w:r>
        <w:t xml:space="preserve"> </w:t>
      </w:r>
      <w:r>
        <w:rPr>
          <w:shd w:val="clear" w:color="auto" w:fill="FFFFFF"/>
        </w:rPr>
        <w:t>Rozdíly v</w:t>
      </w:r>
      <w:r w:rsidR="004F6B03">
        <w:rPr>
          <w:shd w:val="clear" w:color="auto" w:fill="FFFFFF"/>
        </w:rPr>
        <w:t> </w:t>
      </w:r>
      <w:r>
        <w:rPr>
          <w:shd w:val="clear" w:color="auto" w:fill="FFFFFF"/>
        </w:rPr>
        <w:t xml:space="preserve">kupní síle obyvatel českých regionů se mírně snižovaly a nejsou tak vysoké jako ve většině evropských zemí. </w:t>
      </w:r>
      <w:r>
        <w:t xml:space="preserve">Jak je vidět z  grafu </w:t>
      </w:r>
      <w:r w:rsidR="00E111E6">
        <w:t>na</w:t>
      </w:r>
      <w:r>
        <w:t xml:space="preserve"> obrázku</w:t>
      </w:r>
      <w:r w:rsidR="00E111E6">
        <w:t xml:space="preserve"> 1.90</w:t>
      </w:r>
      <w:r>
        <w:t>, byl u převážné většiny obcí Zlínského kraje mezi lety 2018 a</w:t>
      </w:r>
      <w:r w:rsidR="004F6B03">
        <w:t> </w:t>
      </w:r>
      <w:r>
        <w:t>2019 zjištěn absolutní nárůst nebo alespoň setrvalý stav kupní síly. Město Zlín vykazuje jedno z nejvýraznějších navýšení kupní síly v rámci sledovaného území.</w:t>
      </w:r>
    </w:p>
    <w:p w14:paraId="598A59E1" w14:textId="69CBFFFD" w:rsidR="00954688" w:rsidRDefault="00954688" w:rsidP="0039045B">
      <w:pPr>
        <w:pStyle w:val="Titulek"/>
        <w:spacing w:after="0"/>
      </w:pPr>
      <w:bookmarkStart w:id="444" w:name="_Toc53066202"/>
      <w:bookmarkStart w:id="445" w:name="_Toc7707490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90</w:t>
      </w:r>
      <w:r w:rsidR="00804AF3">
        <w:rPr>
          <w:noProof/>
        </w:rPr>
        <w:fldChar w:fldCharType="end"/>
      </w:r>
      <w:r>
        <w:t xml:space="preserve"> Meziroční změny (2018</w:t>
      </w:r>
      <w:r w:rsidR="00853380">
        <w:t xml:space="preserve"> </w:t>
      </w:r>
      <w:r w:rsidR="00853380">
        <w:sym w:font="Symbol" w:char="F02D"/>
      </w:r>
      <w:r w:rsidR="00853380">
        <w:t xml:space="preserve"> </w:t>
      </w:r>
      <w:r>
        <w:t>2019) v úrovni kupní síly na obyvatele v obcích v % (2018</w:t>
      </w:r>
      <w:r w:rsidR="004F6B03">
        <w:t xml:space="preserve"> </w:t>
      </w:r>
      <w:r>
        <w:t>=</w:t>
      </w:r>
      <w:r w:rsidR="004F6B03">
        <w:t xml:space="preserve"> </w:t>
      </w:r>
      <w:r>
        <w:t>100)</w:t>
      </w:r>
      <w:bookmarkEnd w:id="444"/>
      <w:bookmarkEnd w:id="445"/>
    </w:p>
    <w:p w14:paraId="2BA6FEDB" w14:textId="77777777" w:rsidR="00954688" w:rsidRDefault="00954688" w:rsidP="0039045B">
      <w:pPr>
        <w:spacing w:before="0"/>
      </w:pPr>
      <w:r w:rsidRPr="00892962">
        <w:rPr>
          <w:noProof/>
          <w:lang w:eastAsia="cs-CZ"/>
        </w:rPr>
        <w:drawing>
          <wp:inline distT="0" distB="0" distL="0" distR="0" wp14:anchorId="179175C5" wp14:editId="425FBCD1">
            <wp:extent cx="5248275" cy="2619573"/>
            <wp:effectExtent l="0" t="0" r="0" b="9525"/>
            <wp:docPr id="338" name="Obrázek 338" descr="Z:\02_PROCES\02_Zpracovavane_projekty\2020\2020_06_SP_Zlín\06_podkladove_materialy\B_Podklady_vlastni\04_analytická_část\Podklady\Vstřícné město\Data\Kupní sí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2_PROCES\02_Zpracovavane_projekty\2020\2020_06_SP_Zlín\06_podkladove_materialy\B_Podklady_vlastni\04_analytická_část\Podklady\Vstřícné město\Data\Kupní síla.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67245" cy="2629042"/>
                    </a:xfrm>
                    <a:prstGeom prst="rect">
                      <a:avLst/>
                    </a:prstGeom>
                    <a:noFill/>
                    <a:ln>
                      <a:noFill/>
                    </a:ln>
                  </pic:spPr>
                </pic:pic>
              </a:graphicData>
            </a:graphic>
          </wp:inline>
        </w:drawing>
      </w:r>
    </w:p>
    <w:p w14:paraId="408BE389" w14:textId="52287609" w:rsidR="00954688" w:rsidRPr="00317302" w:rsidRDefault="00954688" w:rsidP="00954688">
      <w:pPr>
        <w:pStyle w:val="Zdroj"/>
      </w:pPr>
      <w:r>
        <w:t xml:space="preserve">Zdroj: </w:t>
      </w:r>
      <w:r w:rsidRPr="005B7853">
        <w:t>GfK</w:t>
      </w:r>
      <w:r>
        <w:t>, Diviš, Dvorský, Tisková zpráva Kupní síla průměrného Čecha se meziročně zvýšila o 1</w:t>
      </w:r>
      <w:r w:rsidR="00853380">
        <w:t xml:space="preserve"> </w:t>
      </w:r>
      <w:r>
        <w:t>000 Kč měsíčně. 2019</w:t>
      </w:r>
      <w:r w:rsidR="004254BD">
        <w:t>.</w:t>
      </w:r>
    </w:p>
    <w:p w14:paraId="51A4DFA7" w14:textId="77777777" w:rsidR="00954688" w:rsidRDefault="00954688" w:rsidP="00954688">
      <w:r>
        <w:lastRenderedPageBreak/>
        <w:t>Příznivý vývoj v sektoru maloobchodu a mírný růst tržeb byl v březnu roku 2020 přerušen ekonomickou recesí způsobenou koronavirovou situací. Nejvíce byly situací ovlivněni prodejci sídlící</w:t>
      </w:r>
      <w:r w:rsidRPr="00075754">
        <w:t xml:space="preserve"> </w:t>
      </w:r>
      <w:r>
        <w:t>v</w:t>
      </w:r>
      <w:r w:rsidRPr="00075754">
        <w:t xml:space="preserve"> nák</w:t>
      </w:r>
      <w:r>
        <w:t>upních</w:t>
      </w:r>
      <w:r w:rsidRPr="00075754">
        <w:t xml:space="preserve"> centr</w:t>
      </w:r>
      <w:r>
        <w:t xml:space="preserve">ech. </w:t>
      </w:r>
      <w:r w:rsidRPr="00075754">
        <w:t xml:space="preserve">Existenční problémy </w:t>
      </w:r>
      <w:r>
        <w:t>mohou</w:t>
      </w:r>
      <w:r w:rsidRPr="00075754">
        <w:t xml:space="preserve"> mít </w:t>
      </w:r>
      <w:r>
        <w:t xml:space="preserve">hlavně </w:t>
      </w:r>
      <w:r w:rsidRPr="00075754">
        <w:t>menší tuzemští obchodníci závislí na kontaktním prodeji</w:t>
      </w:r>
      <w:r>
        <w:t xml:space="preserve">. Je pravděpodobné, že dojde k </w:t>
      </w:r>
      <w:r w:rsidRPr="00075754">
        <w:t>př</w:t>
      </w:r>
      <w:r>
        <w:t xml:space="preserve">eskupení, selekci a určitému </w:t>
      </w:r>
      <w:r w:rsidRPr="00075754">
        <w:t>pročištění trhu</w:t>
      </w:r>
      <w:r>
        <w:t>.</w:t>
      </w:r>
    </w:p>
    <w:p w14:paraId="3D24DE30" w14:textId="50AB5ECC" w:rsidR="00954688" w:rsidRDefault="00954688" w:rsidP="00954688">
      <w:r>
        <w:t>Největší stavební akcí posledních let ve Zlíně se stala rozsáhlá rekonstrukce Obchodního domu Prior. O</w:t>
      </w:r>
      <w:r w:rsidRPr="00416AC5">
        <w:t xml:space="preserve">bchodní prostory </w:t>
      </w:r>
      <w:r>
        <w:t xml:space="preserve">byly </w:t>
      </w:r>
      <w:r w:rsidRPr="00416AC5">
        <w:t>soustředěny do dvou nejnižších poschodí</w:t>
      </w:r>
      <w:r>
        <w:t xml:space="preserve"> (</w:t>
      </w:r>
      <w:r w:rsidRPr="00416AC5">
        <w:t>restaurace a kavárny, potraviny, drogerie, lékárna, květiny a další služby</w:t>
      </w:r>
      <w:r>
        <w:t xml:space="preserve">) a ve vyšších poschodích vznikly kancelářské prostory, čtyřhvězdičkový hotel </w:t>
      </w:r>
      <w:r w:rsidR="004254BD">
        <w:t>a</w:t>
      </w:r>
      <w:r>
        <w:t xml:space="preserve"> wellness centr</w:t>
      </w:r>
      <w:r w:rsidR="004254BD">
        <w:t>u</w:t>
      </w:r>
      <w:r>
        <w:t>m klubového typu. Přehled největších nákupních centrem je uveden v</w:t>
      </w:r>
      <w:r w:rsidR="00094895">
        <w:t> </w:t>
      </w:r>
      <w:r>
        <w:t>tabulce</w:t>
      </w:r>
      <w:r w:rsidR="00122205">
        <w:t xml:space="preserve"> 1.66</w:t>
      </w:r>
      <w:r>
        <w:t>. Kromě prodejních jednotek v rámci těchto center se ve Zlíně nachází řada větších a menších prodejců. Poslední údaje o maloobchodní síti ve městě Zlín jsou dostupné S</w:t>
      </w:r>
      <w:r w:rsidRPr="00B42074">
        <w:t>trate</w:t>
      </w:r>
      <w:r>
        <w:t>gie rozvoje statutárního města Zlína do roku 2020, které byly zjištěny z terénního šetření. Dle tohoto šetření se na území města Zlína k dubnu 2012 nacházelo 562 prodejních jednotek a prodejní plocha dosahovala hodnoty 171 128 m</w:t>
      </w:r>
      <w:r>
        <w:rPr>
          <w:vertAlign w:val="superscript"/>
        </w:rPr>
        <w:t>2</w:t>
      </w:r>
      <w:r>
        <w:t>.</w:t>
      </w:r>
    </w:p>
    <w:p w14:paraId="4A6CAD15" w14:textId="1B750DD7" w:rsidR="00954688" w:rsidRDefault="00954688" w:rsidP="00954688">
      <w:pPr>
        <w:pStyle w:val="Titulek"/>
      </w:pPr>
      <w:bookmarkStart w:id="446" w:name="_Toc53066224"/>
      <w:bookmarkStart w:id="447" w:name="_Toc77074746"/>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66</w:t>
      </w:r>
      <w:r w:rsidR="00081B47">
        <w:rPr>
          <w:noProof/>
        </w:rPr>
        <w:fldChar w:fldCharType="end"/>
      </w:r>
      <w:r w:rsidR="004254BD">
        <w:rPr>
          <w:noProof/>
        </w:rPr>
        <w:t>:</w:t>
      </w:r>
      <w:r>
        <w:t xml:space="preserve"> Přehled největších nákupních center ve městě Zlín</w:t>
      </w:r>
      <w:bookmarkEnd w:id="446"/>
      <w:bookmarkEnd w:id="447"/>
    </w:p>
    <w:tbl>
      <w:tblPr>
        <w:tblStyle w:val="Mkatabulky"/>
        <w:tblW w:w="9122" w:type="dxa"/>
        <w:tblLook w:val="04A0" w:firstRow="1" w:lastRow="0" w:firstColumn="1" w:lastColumn="0" w:noHBand="0" w:noVBand="1"/>
      </w:tblPr>
      <w:tblGrid>
        <w:gridCol w:w="4561"/>
        <w:gridCol w:w="4561"/>
      </w:tblGrid>
      <w:tr w:rsidR="00954688" w:rsidRPr="00E97370" w14:paraId="6D9F9EA1" w14:textId="77777777" w:rsidTr="000C49A5">
        <w:trPr>
          <w:trHeight w:val="254"/>
        </w:trPr>
        <w:tc>
          <w:tcPr>
            <w:tcW w:w="4561" w:type="dxa"/>
            <w:shd w:val="clear" w:color="auto" w:fill="D9D9D9" w:themeFill="background1" w:themeFillShade="D9"/>
          </w:tcPr>
          <w:p w14:paraId="4638C9B5" w14:textId="77777777" w:rsidR="00954688" w:rsidRPr="00E97370" w:rsidRDefault="00954688" w:rsidP="000C49A5">
            <w:pPr>
              <w:rPr>
                <w:b/>
                <w:sz w:val="18"/>
              </w:rPr>
            </w:pPr>
            <w:r>
              <w:rPr>
                <w:b/>
                <w:sz w:val="18"/>
              </w:rPr>
              <w:t>Nákupní</w:t>
            </w:r>
            <w:r w:rsidRPr="00E97370">
              <w:rPr>
                <w:b/>
                <w:sz w:val="18"/>
              </w:rPr>
              <w:t xml:space="preserve"> centrum</w:t>
            </w:r>
          </w:p>
        </w:tc>
        <w:tc>
          <w:tcPr>
            <w:tcW w:w="4561" w:type="dxa"/>
            <w:shd w:val="clear" w:color="auto" w:fill="D9D9D9" w:themeFill="background1" w:themeFillShade="D9"/>
          </w:tcPr>
          <w:p w14:paraId="0B9EFEBF" w14:textId="77777777" w:rsidR="00954688" w:rsidRPr="00E97370" w:rsidRDefault="00954688" w:rsidP="000C49A5">
            <w:pPr>
              <w:rPr>
                <w:b/>
                <w:sz w:val="18"/>
              </w:rPr>
            </w:pPr>
            <w:r w:rsidRPr="00E97370">
              <w:rPr>
                <w:b/>
                <w:sz w:val="18"/>
              </w:rPr>
              <w:t>Adresa</w:t>
            </w:r>
          </w:p>
        </w:tc>
      </w:tr>
      <w:tr w:rsidR="00954688" w:rsidRPr="00E97370" w14:paraId="01D5DF68" w14:textId="77777777" w:rsidTr="000C49A5">
        <w:trPr>
          <w:trHeight w:val="265"/>
        </w:trPr>
        <w:tc>
          <w:tcPr>
            <w:tcW w:w="4561" w:type="dxa"/>
          </w:tcPr>
          <w:p w14:paraId="1F957E00" w14:textId="77777777" w:rsidR="00954688" w:rsidRPr="00E97370" w:rsidRDefault="00954688" w:rsidP="000C49A5">
            <w:pPr>
              <w:rPr>
                <w:sz w:val="18"/>
              </w:rPr>
            </w:pPr>
            <w:r w:rsidRPr="00CA375C">
              <w:rPr>
                <w:sz w:val="18"/>
              </w:rPr>
              <w:t>Nákupní centrum Čepkov</w:t>
            </w:r>
          </w:p>
        </w:tc>
        <w:tc>
          <w:tcPr>
            <w:tcW w:w="4561" w:type="dxa"/>
          </w:tcPr>
          <w:p w14:paraId="450F950D" w14:textId="77777777" w:rsidR="00954688" w:rsidRPr="00E97370" w:rsidRDefault="00954688" w:rsidP="000C49A5">
            <w:pPr>
              <w:rPr>
                <w:sz w:val="18"/>
              </w:rPr>
            </w:pPr>
            <w:r>
              <w:rPr>
                <w:sz w:val="18"/>
              </w:rPr>
              <w:t xml:space="preserve">Tyršovo nábřeží 5496, </w:t>
            </w:r>
            <w:r w:rsidRPr="00CA375C">
              <w:rPr>
                <w:sz w:val="18"/>
              </w:rPr>
              <w:t>760 01 Zlín</w:t>
            </w:r>
          </w:p>
        </w:tc>
      </w:tr>
      <w:tr w:rsidR="00954688" w:rsidRPr="00E97370" w14:paraId="1F4C4016" w14:textId="77777777" w:rsidTr="000C49A5">
        <w:trPr>
          <w:trHeight w:val="265"/>
        </w:trPr>
        <w:tc>
          <w:tcPr>
            <w:tcW w:w="4561" w:type="dxa"/>
          </w:tcPr>
          <w:p w14:paraId="04E8376E" w14:textId="77777777" w:rsidR="00954688" w:rsidRPr="00CA375C" w:rsidRDefault="00954688" w:rsidP="000C49A5">
            <w:pPr>
              <w:rPr>
                <w:sz w:val="18"/>
              </w:rPr>
            </w:pPr>
            <w:r w:rsidRPr="00CC0614">
              <w:rPr>
                <w:sz w:val="18"/>
              </w:rPr>
              <w:t xml:space="preserve">Prodejní pasáž ve Zlíně - </w:t>
            </w:r>
            <w:r>
              <w:rPr>
                <w:sz w:val="18"/>
              </w:rPr>
              <w:t>Louky</w:t>
            </w:r>
          </w:p>
        </w:tc>
        <w:tc>
          <w:tcPr>
            <w:tcW w:w="4561" w:type="dxa"/>
          </w:tcPr>
          <w:p w14:paraId="5BA3359A" w14:textId="77777777" w:rsidR="00954688" w:rsidRDefault="00954688" w:rsidP="000C49A5">
            <w:pPr>
              <w:rPr>
                <w:sz w:val="18"/>
              </w:rPr>
            </w:pPr>
            <w:r w:rsidRPr="00CC0614">
              <w:rPr>
                <w:sz w:val="18"/>
              </w:rPr>
              <w:t>třída Tomáše Bati 398, Zlín-</w:t>
            </w:r>
            <w:r>
              <w:rPr>
                <w:sz w:val="18"/>
              </w:rPr>
              <w:t>Louky</w:t>
            </w:r>
          </w:p>
        </w:tc>
      </w:tr>
      <w:tr w:rsidR="00954688" w:rsidRPr="00E97370" w14:paraId="72FA9AA1" w14:textId="77777777" w:rsidTr="000C49A5">
        <w:trPr>
          <w:trHeight w:val="265"/>
        </w:trPr>
        <w:tc>
          <w:tcPr>
            <w:tcW w:w="4561" w:type="dxa"/>
          </w:tcPr>
          <w:p w14:paraId="4B434CCE" w14:textId="77777777" w:rsidR="00954688" w:rsidRDefault="00954688" w:rsidP="000C49A5">
            <w:pPr>
              <w:rPr>
                <w:sz w:val="18"/>
              </w:rPr>
            </w:pPr>
            <w:r w:rsidRPr="00CC0614">
              <w:rPr>
                <w:sz w:val="18"/>
              </w:rPr>
              <w:t>Obchodní dům 13</w:t>
            </w:r>
          </w:p>
        </w:tc>
        <w:tc>
          <w:tcPr>
            <w:tcW w:w="4561" w:type="dxa"/>
          </w:tcPr>
          <w:p w14:paraId="6FE6593E" w14:textId="77777777" w:rsidR="00954688" w:rsidRPr="00CE7D7B" w:rsidRDefault="00954688" w:rsidP="000C49A5">
            <w:pPr>
              <w:rPr>
                <w:sz w:val="18"/>
              </w:rPr>
            </w:pPr>
            <w:r w:rsidRPr="00CC0614">
              <w:rPr>
                <w:sz w:val="18"/>
              </w:rPr>
              <w:t>Vavrečkova 7074,</w:t>
            </w:r>
            <w:r>
              <w:rPr>
                <w:sz w:val="18"/>
              </w:rPr>
              <w:t xml:space="preserve"> </w:t>
            </w:r>
            <w:r w:rsidRPr="00CC0614">
              <w:rPr>
                <w:sz w:val="18"/>
              </w:rPr>
              <w:t>760 01 Zlín</w:t>
            </w:r>
          </w:p>
        </w:tc>
      </w:tr>
      <w:tr w:rsidR="00954688" w:rsidRPr="00E97370" w14:paraId="4E2DA635" w14:textId="77777777" w:rsidTr="000C49A5">
        <w:trPr>
          <w:trHeight w:val="254"/>
        </w:trPr>
        <w:tc>
          <w:tcPr>
            <w:tcW w:w="4561" w:type="dxa"/>
          </w:tcPr>
          <w:p w14:paraId="130AFD1D" w14:textId="77777777" w:rsidR="00954688" w:rsidRPr="00E97370" w:rsidRDefault="00954688" w:rsidP="000C49A5">
            <w:pPr>
              <w:rPr>
                <w:sz w:val="18"/>
              </w:rPr>
            </w:pPr>
            <w:r w:rsidRPr="00E97370">
              <w:rPr>
                <w:sz w:val="18"/>
              </w:rPr>
              <w:t>Obchodní dům Zlín</w:t>
            </w:r>
          </w:p>
        </w:tc>
        <w:tc>
          <w:tcPr>
            <w:tcW w:w="4561" w:type="dxa"/>
          </w:tcPr>
          <w:p w14:paraId="279D074C" w14:textId="77777777" w:rsidR="00954688" w:rsidRPr="00E97370" w:rsidRDefault="00954688" w:rsidP="000C49A5">
            <w:pPr>
              <w:rPr>
                <w:sz w:val="18"/>
              </w:rPr>
            </w:pPr>
            <w:r w:rsidRPr="00E97370">
              <w:rPr>
                <w:sz w:val="18"/>
              </w:rPr>
              <w:t>náměstí Práce 2523, 760 01 Zlín</w:t>
            </w:r>
          </w:p>
        </w:tc>
      </w:tr>
      <w:tr w:rsidR="00954688" w:rsidRPr="00E97370" w14:paraId="5939D12E" w14:textId="77777777" w:rsidTr="000C49A5">
        <w:trPr>
          <w:trHeight w:val="254"/>
        </w:trPr>
        <w:tc>
          <w:tcPr>
            <w:tcW w:w="4561" w:type="dxa"/>
          </w:tcPr>
          <w:p w14:paraId="484E108D" w14:textId="77777777" w:rsidR="00954688" w:rsidRPr="00E97370" w:rsidRDefault="00954688" w:rsidP="000C49A5">
            <w:pPr>
              <w:rPr>
                <w:sz w:val="18"/>
              </w:rPr>
            </w:pPr>
            <w:r>
              <w:rPr>
                <w:sz w:val="18"/>
              </w:rPr>
              <w:t xml:space="preserve">OC </w:t>
            </w:r>
            <w:r w:rsidRPr="00E97370">
              <w:rPr>
                <w:sz w:val="18"/>
              </w:rPr>
              <w:t>CENTRO ZLÍN</w:t>
            </w:r>
          </w:p>
        </w:tc>
        <w:tc>
          <w:tcPr>
            <w:tcW w:w="4561" w:type="dxa"/>
          </w:tcPr>
          <w:p w14:paraId="75DDCE21" w14:textId="77777777" w:rsidR="00954688" w:rsidRPr="00E97370" w:rsidRDefault="00954688" w:rsidP="000C49A5">
            <w:pPr>
              <w:rPr>
                <w:sz w:val="18"/>
              </w:rPr>
            </w:pPr>
            <w:r w:rsidRPr="00E97370">
              <w:rPr>
                <w:sz w:val="18"/>
              </w:rPr>
              <w:t>3. května 1170, 763 02 Zlín 4 – Malenovice</w:t>
            </w:r>
          </w:p>
        </w:tc>
      </w:tr>
      <w:tr w:rsidR="00954688" w:rsidRPr="00E97370" w14:paraId="7F236EC7" w14:textId="77777777" w:rsidTr="000C49A5">
        <w:trPr>
          <w:trHeight w:val="254"/>
        </w:trPr>
        <w:tc>
          <w:tcPr>
            <w:tcW w:w="4561" w:type="dxa"/>
          </w:tcPr>
          <w:p w14:paraId="1A1AC208" w14:textId="77777777" w:rsidR="00954688" w:rsidRDefault="00954688" w:rsidP="000C49A5">
            <w:pPr>
              <w:rPr>
                <w:sz w:val="18"/>
              </w:rPr>
            </w:pPr>
            <w:r w:rsidRPr="00CC0614">
              <w:rPr>
                <w:sz w:val="18"/>
              </w:rPr>
              <w:t>Obchodní centrum Kvítková</w:t>
            </w:r>
          </w:p>
        </w:tc>
        <w:tc>
          <w:tcPr>
            <w:tcW w:w="4561" w:type="dxa"/>
          </w:tcPr>
          <w:p w14:paraId="0F926B1A" w14:textId="77777777" w:rsidR="00954688" w:rsidRPr="00E97370" w:rsidRDefault="00954688" w:rsidP="000C49A5">
            <w:pPr>
              <w:rPr>
                <w:sz w:val="18"/>
              </w:rPr>
            </w:pPr>
            <w:r w:rsidRPr="00CC0614">
              <w:rPr>
                <w:sz w:val="18"/>
              </w:rPr>
              <w:t>Kvítková 4352, 760 01 Zlín</w:t>
            </w:r>
          </w:p>
        </w:tc>
      </w:tr>
      <w:tr w:rsidR="00954688" w:rsidRPr="00E97370" w14:paraId="5CB4BA78" w14:textId="77777777" w:rsidTr="000C49A5">
        <w:trPr>
          <w:trHeight w:val="254"/>
        </w:trPr>
        <w:tc>
          <w:tcPr>
            <w:tcW w:w="4561" w:type="dxa"/>
          </w:tcPr>
          <w:p w14:paraId="0D5DBA30" w14:textId="77777777" w:rsidR="00954688" w:rsidRPr="00E97370" w:rsidRDefault="00954688" w:rsidP="000C49A5">
            <w:pPr>
              <w:rPr>
                <w:sz w:val="18"/>
              </w:rPr>
            </w:pPr>
            <w:r>
              <w:rPr>
                <w:sz w:val="18"/>
              </w:rPr>
              <w:t>OZ</w:t>
            </w:r>
            <w:r w:rsidRPr="008051A7">
              <w:rPr>
                <w:sz w:val="18"/>
              </w:rPr>
              <w:t>C ZLATÉ JABLKO</w:t>
            </w:r>
          </w:p>
        </w:tc>
        <w:tc>
          <w:tcPr>
            <w:tcW w:w="4561" w:type="dxa"/>
          </w:tcPr>
          <w:p w14:paraId="5FBC7A82" w14:textId="77777777" w:rsidR="00954688" w:rsidRPr="00E97370" w:rsidRDefault="00954688" w:rsidP="000C49A5">
            <w:pPr>
              <w:rPr>
                <w:sz w:val="18"/>
              </w:rPr>
            </w:pPr>
            <w:r w:rsidRPr="008051A7">
              <w:rPr>
                <w:sz w:val="18"/>
              </w:rPr>
              <w:t>nám. Míru 174, 760 01</w:t>
            </w:r>
            <w:r>
              <w:rPr>
                <w:sz w:val="18"/>
              </w:rPr>
              <w:t xml:space="preserve"> </w:t>
            </w:r>
            <w:r w:rsidRPr="00E97370">
              <w:rPr>
                <w:sz w:val="18"/>
              </w:rPr>
              <w:t>Zlín</w:t>
            </w:r>
          </w:p>
        </w:tc>
      </w:tr>
    </w:tbl>
    <w:p w14:paraId="1C62875B" w14:textId="5637F0A3" w:rsidR="00954688" w:rsidRDefault="00954688" w:rsidP="00954688">
      <w:pPr>
        <w:pStyle w:val="zdroj0"/>
      </w:pPr>
      <w:r>
        <w:t>Zdroj: ic-zlin.cz, zpracování PROCES</w:t>
      </w:r>
      <w:r w:rsidR="004254BD">
        <w:t>, 2020.</w:t>
      </w:r>
    </w:p>
    <w:p w14:paraId="0AEF67E8" w14:textId="589902E9" w:rsidR="00954688" w:rsidRPr="007521F3" w:rsidRDefault="00954688" w:rsidP="00954688">
      <w:pPr>
        <w:rPr>
          <w:shd w:val="clear" w:color="auto" w:fill="FFFFFF"/>
        </w:rPr>
      </w:pPr>
      <w:r w:rsidRPr="007521F3">
        <w:rPr>
          <w:shd w:val="clear" w:color="auto" w:fill="FFFFFF"/>
        </w:rPr>
        <w:t xml:space="preserve">V bývalém zlínském svitovském areálu má vzniknout </w:t>
      </w:r>
      <w:r>
        <w:rPr>
          <w:shd w:val="clear" w:color="auto" w:fill="FFFFFF"/>
        </w:rPr>
        <w:t>n</w:t>
      </w:r>
      <w:r w:rsidRPr="007521F3">
        <w:rPr>
          <w:shd w:val="clear" w:color="auto" w:fill="FFFFFF"/>
        </w:rPr>
        <w:t>ové zlínské ob</w:t>
      </w:r>
      <w:r>
        <w:rPr>
          <w:shd w:val="clear" w:color="auto" w:fill="FFFFFF"/>
        </w:rPr>
        <w:t>chodní centrum 24-25-26 FABRIKA. N</w:t>
      </w:r>
      <w:r w:rsidRPr="007521F3">
        <w:rPr>
          <w:shd w:val="clear" w:color="auto" w:fill="FFFFFF"/>
        </w:rPr>
        <w:t>ákupn</w:t>
      </w:r>
      <w:r>
        <w:rPr>
          <w:shd w:val="clear" w:color="auto" w:fill="FFFFFF"/>
        </w:rPr>
        <w:t>í a zábavní komplex m</w:t>
      </w:r>
      <w:r w:rsidRPr="007521F3">
        <w:rPr>
          <w:shd w:val="clear" w:color="auto" w:fill="FFFFFF"/>
        </w:rPr>
        <w:t>á nabídnout přes 3 kilometry obchodních pasáží, zábavní část nejen pro rodiny s</w:t>
      </w:r>
      <w:r>
        <w:rPr>
          <w:shd w:val="clear" w:color="auto" w:fill="FFFFFF"/>
        </w:rPr>
        <w:t> </w:t>
      </w:r>
      <w:r w:rsidRPr="007521F3">
        <w:rPr>
          <w:shd w:val="clear" w:color="auto" w:fill="FFFFFF"/>
        </w:rPr>
        <w:t>dětmi</w:t>
      </w:r>
      <w:r>
        <w:rPr>
          <w:shd w:val="clear" w:color="auto" w:fill="FFFFFF"/>
        </w:rPr>
        <w:t xml:space="preserve">, </w:t>
      </w:r>
      <w:r w:rsidRPr="007521F3">
        <w:rPr>
          <w:shd w:val="clear" w:color="auto" w:fill="FFFFFF"/>
        </w:rPr>
        <w:t>prestižní kancelářské pro</w:t>
      </w:r>
      <w:r>
        <w:rPr>
          <w:shd w:val="clear" w:color="auto" w:fill="FFFFFF"/>
        </w:rPr>
        <w:t>story, byty nejvyšší kategorie,</w:t>
      </w:r>
      <w:r w:rsidRPr="007521F3">
        <w:rPr>
          <w:shd w:val="clear" w:color="auto" w:fill="FFFFFF"/>
        </w:rPr>
        <w:t xml:space="preserve"> ale i možné prostory pro vzdělávací instituce</w:t>
      </w:r>
      <w:r>
        <w:rPr>
          <w:shd w:val="clear" w:color="auto" w:fill="FFFFFF"/>
        </w:rPr>
        <w:t>.</w:t>
      </w:r>
      <w:r w:rsidRPr="007521F3">
        <w:rPr>
          <w:shd w:val="clear" w:color="auto" w:fill="FFFFFF"/>
        </w:rPr>
        <w:t xml:space="preserve"> </w:t>
      </w:r>
    </w:p>
    <w:p w14:paraId="1D71EB73" w14:textId="77777777" w:rsidR="00954688" w:rsidRPr="00183196" w:rsidRDefault="00954688" w:rsidP="00954688">
      <w:pPr>
        <w:pStyle w:val="Nadpis4"/>
      </w:pPr>
      <w:r>
        <w:t>N</w:t>
      </w:r>
      <w:r w:rsidRPr="00183196">
        <w:t xml:space="preserve">emovitosti pro rozvoj podnikání </w:t>
      </w:r>
    </w:p>
    <w:p w14:paraId="36626F26" w14:textId="1C4F80BC" w:rsidR="00954688" w:rsidRDefault="00954688" w:rsidP="00954688">
      <w:pPr>
        <w:rPr>
          <w:shd w:val="clear" w:color="auto" w:fill="FFFFFF"/>
        </w:rPr>
      </w:pPr>
      <w:r>
        <w:rPr>
          <w:shd w:val="clear" w:color="auto" w:fill="FFFFFF"/>
        </w:rPr>
        <w:t xml:space="preserve">Plochy pro podnikání jsou ve městě Zlín výrazně ovlivněny reliéfem města se svažitými částmi. Dalším faktorem je vysoký stupeň zastavěnosti potenciálně vhodného území. Koncentrace ekonomických aktivit je tím situována podél toku řeky Dřevnice. Potenciální plochy pro rozvoj podnikání vymezuje územní plán města Zlín (viz kapitola Územní plánování a urbanismus). Jak je uvedeno v Integrovaném plánu rozvoje území města Zlín pro období 2014 – 2020 činí rozsah rozvojových </w:t>
      </w:r>
      <w:r w:rsidR="00856C35">
        <w:rPr>
          <w:shd w:val="clear" w:color="auto" w:fill="FFFFFF"/>
        </w:rPr>
        <w:t>ploch smíšené</w:t>
      </w:r>
      <w:r>
        <w:rPr>
          <w:shd w:val="clear" w:color="auto" w:fill="FFFFFF"/>
        </w:rPr>
        <w:t xml:space="preserve"> výroby na území města cca 60 ha a jsou koncentrovány v západní části města. Tyto plochy jsou omezeny jejich plošnou velikostí a dalšími faktory, např. řešení dopravního napojení nebo řešení protipovodňové ochrany. Plochy pro podnikání jsou blíže popsány v kapitole </w:t>
      </w:r>
      <w:r w:rsidRPr="00017A0A">
        <w:rPr>
          <w:shd w:val="clear" w:color="auto" w:fill="FFFFFF"/>
        </w:rPr>
        <w:t>Město s příhodnými podmínkami pro budoucnost</w:t>
      </w:r>
      <w:r>
        <w:rPr>
          <w:shd w:val="clear" w:color="auto" w:fill="FFFFFF"/>
        </w:rPr>
        <w:t>.</w:t>
      </w:r>
    </w:p>
    <w:p w14:paraId="794ECC82" w14:textId="54EFBF33" w:rsidR="00954688" w:rsidRDefault="00954688" w:rsidP="00954688">
      <w:r>
        <w:t>Následující mapa</w:t>
      </w:r>
      <w:r w:rsidR="00BE6D54">
        <w:t xml:space="preserve"> (obrázek 1.91)</w:t>
      </w:r>
      <w:r>
        <w:t xml:space="preserve"> zobrazuje počet objektů v hexagonové sítí pokrývající město Zlín. Barva jednotlivých ploch označuje počet budov sloužících k podnikání podle SLDB 2011, přičemž 1 plocha sítě má 10 hektarů. Nejvíce budov k podnikání se nachází v centru Zlína, další významnější klastr budov k podnikání je v Malenovicích.</w:t>
      </w:r>
    </w:p>
    <w:p w14:paraId="5F0890E9" w14:textId="40AF2ACD" w:rsidR="00954688" w:rsidRDefault="00954688" w:rsidP="00954688">
      <w:pPr>
        <w:pStyle w:val="Titulek"/>
        <w:keepNext/>
        <w:keepLines/>
      </w:pPr>
      <w:bookmarkStart w:id="448" w:name="_Toc53066203"/>
      <w:bookmarkStart w:id="449" w:name="_Toc77074909"/>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91</w:t>
      </w:r>
      <w:r w:rsidR="00804AF3">
        <w:rPr>
          <w:noProof/>
        </w:rPr>
        <w:fldChar w:fldCharType="end"/>
      </w:r>
      <w:r w:rsidR="00856C35">
        <w:rPr>
          <w:noProof/>
        </w:rPr>
        <w:t>:</w:t>
      </w:r>
      <w:r>
        <w:t xml:space="preserve"> Počet budov pro podnikání</w:t>
      </w:r>
      <w:bookmarkEnd w:id="448"/>
      <w:bookmarkEnd w:id="449"/>
    </w:p>
    <w:p w14:paraId="66AC13E2" w14:textId="73BAB29D" w:rsidR="00954688" w:rsidRDefault="00954688" w:rsidP="00954688">
      <w:pPr>
        <w:pStyle w:val="Zdroj"/>
      </w:pPr>
      <w:r>
        <w:rPr>
          <w:noProof/>
        </w:rPr>
        <w:drawing>
          <wp:inline distT="0" distB="0" distL="0" distR="0" wp14:anchorId="6DDB64E1" wp14:editId="14BA0C78">
            <wp:extent cx="5760085" cy="3944816"/>
            <wp:effectExtent l="0" t="0" r="0" b="0"/>
            <wp:docPr id="339" name="Obrázek 339" descr="C:\Users\david\AppData\Local\Microsoft\Windows\INetCache\Content.Word\Zlin_podni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Zlin_podniky.pn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6371" b="2402"/>
                    <a:stretch/>
                  </pic:blipFill>
                  <pic:spPr bwMode="auto">
                    <a:xfrm>
                      <a:off x="0" y="0"/>
                      <a:ext cx="5760720" cy="3945251"/>
                    </a:xfrm>
                    <a:prstGeom prst="rect">
                      <a:avLst/>
                    </a:prstGeom>
                    <a:noFill/>
                    <a:ln>
                      <a:noFill/>
                    </a:ln>
                    <a:extLst>
                      <a:ext uri="{53640926-AAD7-44D8-BBD7-CCE9431645EC}">
                        <a14:shadowObscured xmlns:a14="http://schemas.microsoft.com/office/drawing/2010/main"/>
                      </a:ext>
                    </a:extLst>
                  </pic:spPr>
                </pic:pic>
              </a:graphicData>
            </a:graphic>
          </wp:inline>
        </w:drawing>
      </w:r>
      <w:r w:rsidRPr="009D4B18">
        <w:t xml:space="preserve"> </w:t>
      </w:r>
      <w:r>
        <w:t>Zdroj: SLDB 2011, ČÚZK</w:t>
      </w:r>
      <w:r w:rsidR="00856C35">
        <w:t>,</w:t>
      </w:r>
      <w:r>
        <w:t xml:space="preserve"> 2020</w:t>
      </w:r>
      <w:r w:rsidR="00856C35">
        <w:t>.</w:t>
      </w:r>
    </w:p>
    <w:p w14:paraId="7283ABC0" w14:textId="77777777" w:rsidR="00954688" w:rsidRDefault="00954688" w:rsidP="00954688">
      <w:r>
        <w:t>Ve městě Zlín se nachází následující průmyslové zóny či areály:</w:t>
      </w:r>
    </w:p>
    <w:p w14:paraId="4060DF1C" w14:textId="77777777" w:rsidR="00954688" w:rsidRPr="00183196" w:rsidRDefault="00954688" w:rsidP="00954688">
      <w:pPr>
        <w:pStyle w:val="Odstavecseseznamem"/>
        <w:numPr>
          <w:ilvl w:val="0"/>
          <w:numId w:val="47"/>
        </w:numPr>
      </w:pPr>
      <w:r w:rsidRPr="0050398A">
        <w:rPr>
          <w:b/>
        </w:rPr>
        <w:t>Průmyslová zóna Příluky Zlín</w:t>
      </w:r>
      <w:r>
        <w:rPr>
          <w:b/>
        </w:rPr>
        <w:t>, Cecilka</w:t>
      </w:r>
      <w:r w:rsidRPr="00183196">
        <w:t xml:space="preserve"> </w:t>
      </w:r>
    </w:p>
    <w:p w14:paraId="5F5C0079" w14:textId="77777777" w:rsidR="00954688" w:rsidRDefault="00954688" w:rsidP="00954688">
      <w:pPr>
        <w:pStyle w:val="Odstavecseseznamem"/>
        <w:numPr>
          <w:ilvl w:val="0"/>
          <w:numId w:val="47"/>
        </w:numPr>
      </w:pPr>
      <w:r>
        <w:rPr>
          <w:b/>
        </w:rPr>
        <w:t>Průmyslová z</w:t>
      </w:r>
      <w:r w:rsidRPr="0050398A">
        <w:rPr>
          <w:b/>
        </w:rPr>
        <w:t>óna Chmelník Zlín</w:t>
      </w:r>
      <w:r>
        <w:t xml:space="preserve"> </w:t>
      </w:r>
    </w:p>
    <w:p w14:paraId="678B10D9" w14:textId="77777777" w:rsidR="00954688" w:rsidRPr="00A337DF" w:rsidRDefault="00954688" w:rsidP="00954688">
      <w:pPr>
        <w:pStyle w:val="Odstavecseseznamem"/>
        <w:numPr>
          <w:ilvl w:val="0"/>
          <w:numId w:val="47"/>
        </w:numPr>
        <w:rPr>
          <w:b/>
        </w:rPr>
      </w:pPr>
      <w:r w:rsidRPr="00A337DF">
        <w:rPr>
          <w:b/>
        </w:rPr>
        <w:t>Průmyslová zóna Zlína - Štípa</w:t>
      </w:r>
    </w:p>
    <w:p w14:paraId="5D124E70" w14:textId="77777777" w:rsidR="00954688" w:rsidRDefault="00954688" w:rsidP="00954688">
      <w:pPr>
        <w:pStyle w:val="Odstavecseseznamem"/>
        <w:numPr>
          <w:ilvl w:val="0"/>
          <w:numId w:val="47"/>
        </w:numPr>
        <w:rPr>
          <w:b/>
        </w:rPr>
      </w:pPr>
      <w:r w:rsidRPr="0050398A">
        <w:rPr>
          <w:b/>
        </w:rPr>
        <w:t>Areal Svit Zlín, Cream</w:t>
      </w:r>
    </w:p>
    <w:p w14:paraId="22581753" w14:textId="77777777" w:rsidR="00954688" w:rsidRPr="00244BBB" w:rsidRDefault="00954688" w:rsidP="00954688">
      <w:r w:rsidRPr="0050398A">
        <w:rPr>
          <w:b/>
        </w:rPr>
        <w:t>Průmyslová zóna Příluky Zlín</w:t>
      </w:r>
      <w:r>
        <w:rPr>
          <w:b/>
        </w:rPr>
        <w:t xml:space="preserve">, Cecilka </w:t>
      </w:r>
      <w:r w:rsidRPr="00ED2187">
        <w:t>je situována ve východní části města Zlín.</w:t>
      </w:r>
      <w:r>
        <w:rPr>
          <w:b/>
        </w:rPr>
        <w:t xml:space="preserve"> </w:t>
      </w:r>
      <w:r>
        <w:t>D</w:t>
      </w:r>
      <w:r w:rsidRPr="0050398A">
        <w:t>le vlastního šetření Krajské hospodářské komory Zlínského kraje se v</w:t>
      </w:r>
      <w:r>
        <w:t xml:space="preserve"> této </w:t>
      </w:r>
      <w:r w:rsidRPr="00ED2187">
        <w:t>průmyslové zóně</w:t>
      </w:r>
      <w:r w:rsidRPr="0050398A">
        <w:rPr>
          <w:b/>
        </w:rPr>
        <w:t xml:space="preserve"> </w:t>
      </w:r>
      <w:r w:rsidRPr="00244BBB">
        <w:t>nachází 28 firem</w:t>
      </w:r>
      <w:r>
        <w:t xml:space="preserve">. Mezi firmy, které zaměstnávají nejvíce osob, patří v této zóně podniky </w:t>
      </w:r>
      <w:r w:rsidRPr="006A35B0">
        <w:t>TESCOMA, s.r.o.</w:t>
      </w:r>
      <w:r>
        <w:t xml:space="preserve">, Promens a.s., D plast, a.s., </w:t>
      </w:r>
      <w:r w:rsidRPr="00244BBB">
        <w:t>EFTEC (Czech Republic) a.s.</w:t>
      </w:r>
      <w:r>
        <w:t xml:space="preserve">, </w:t>
      </w:r>
      <w:r w:rsidRPr="00244BBB">
        <w:t>MPL TRADING, spol. s r.o.</w:t>
      </w:r>
      <w:r>
        <w:t xml:space="preserve">, </w:t>
      </w:r>
      <w:r w:rsidRPr="006A35B0">
        <w:t>Zlín Precision, s.r.o.</w:t>
      </w:r>
      <w:r>
        <w:t xml:space="preserve">, </w:t>
      </w:r>
      <w:r w:rsidRPr="006A35B0">
        <w:t>Svoboda a Březík – pečivo,s.r.o. (Provozovna)</w:t>
      </w:r>
      <w:r>
        <w:t xml:space="preserve">, </w:t>
      </w:r>
      <w:r w:rsidRPr="006A35B0">
        <w:t>MPL TRADING, spol. s r.o.</w:t>
      </w:r>
      <w:r>
        <w:t xml:space="preserve">, </w:t>
      </w:r>
      <w:r w:rsidRPr="006A35B0">
        <w:t>EFTEC (Czech Republic) a.s.</w:t>
      </w:r>
    </w:p>
    <w:p w14:paraId="28838F90" w14:textId="77777777" w:rsidR="00954688" w:rsidRDefault="00954688" w:rsidP="00954688">
      <w:r>
        <w:t>V</w:t>
      </w:r>
      <w:r w:rsidRPr="0050398A">
        <w:t> </w:t>
      </w:r>
      <w:r>
        <w:rPr>
          <w:b/>
        </w:rPr>
        <w:t>Průmyslové</w:t>
      </w:r>
      <w:r w:rsidRPr="00244BBB">
        <w:rPr>
          <w:b/>
        </w:rPr>
        <w:t xml:space="preserve"> Zón</w:t>
      </w:r>
      <w:r>
        <w:rPr>
          <w:b/>
        </w:rPr>
        <w:t>ě</w:t>
      </w:r>
      <w:r w:rsidRPr="00244BBB">
        <w:rPr>
          <w:b/>
        </w:rPr>
        <w:t xml:space="preserve"> Chmelník Zlín</w:t>
      </w:r>
      <w:r w:rsidRPr="0050398A">
        <w:t xml:space="preserve"> se nachází 23 firem</w:t>
      </w:r>
      <w:r>
        <w:rPr>
          <w:rStyle w:val="Znakapoznpodarou"/>
        </w:rPr>
        <w:footnoteReference w:id="96"/>
      </w:r>
      <w:r w:rsidRPr="0050398A">
        <w:t>.</w:t>
      </w:r>
      <w:r>
        <w:t xml:space="preserve"> Mezi největší zaměstnavatele v této průmyslové zóně patří </w:t>
      </w:r>
      <w:r w:rsidRPr="00244BBB">
        <w:t>CZECH STYLE, spol. s r.o.,</w:t>
      </w:r>
      <w:r>
        <w:rPr>
          <w:b/>
        </w:rPr>
        <w:t xml:space="preserve"> </w:t>
      </w:r>
      <w:r w:rsidRPr="00244BBB">
        <w:t>UNICARS CZ s.r.o.,</w:t>
      </w:r>
      <w:r>
        <w:rPr>
          <w:b/>
        </w:rPr>
        <w:t xml:space="preserve"> </w:t>
      </w:r>
      <w:r w:rsidRPr="00244BBB">
        <w:t>DENCOP LIGHTING spol. s r.o., Brilas Group s.r.o.</w:t>
      </w:r>
    </w:p>
    <w:p w14:paraId="5A275AEE" w14:textId="77777777" w:rsidR="00954688" w:rsidRPr="00244BBB" w:rsidRDefault="00954688" w:rsidP="00954688">
      <w:r w:rsidRPr="00A337DF">
        <w:rPr>
          <w:b/>
        </w:rPr>
        <w:t xml:space="preserve">Průmyslová zóna Zlína </w:t>
      </w:r>
      <w:r>
        <w:rPr>
          <w:b/>
        </w:rPr>
        <w:t>–</w:t>
      </w:r>
      <w:r w:rsidRPr="00A337DF">
        <w:rPr>
          <w:b/>
        </w:rPr>
        <w:t xml:space="preserve"> Štípa</w:t>
      </w:r>
      <w:r>
        <w:rPr>
          <w:b/>
        </w:rPr>
        <w:t xml:space="preserve"> </w:t>
      </w:r>
      <w:r w:rsidRPr="00A337DF">
        <w:t>sídlí cca 10 firem</w:t>
      </w:r>
      <w:r>
        <w:t>, jako n</w:t>
      </w:r>
      <w:r w:rsidRPr="00A337DF">
        <w:t>apř. EGO Zlín</w:t>
      </w:r>
      <w:r>
        <w:t xml:space="preserve"> spol. s.r.o.</w:t>
      </w:r>
      <w:r w:rsidRPr="00A337DF">
        <w:t>, Holík International</w:t>
      </w:r>
      <w:r>
        <w:t xml:space="preserve"> s.r.o.</w:t>
      </w:r>
      <w:r w:rsidRPr="00A337DF">
        <w:t xml:space="preserve">, </w:t>
      </w:r>
      <w:r>
        <w:t>Betonmix Zlín - Štípa s</w:t>
      </w:r>
      <w:r w:rsidRPr="00645B2F">
        <w:t>.r.o.</w:t>
      </w:r>
      <w:r>
        <w:t>, Ozontech, H + M Zlín a.s.</w:t>
      </w:r>
    </w:p>
    <w:p w14:paraId="32D85193" w14:textId="759EDCDD" w:rsidR="00954688" w:rsidRPr="003F783F" w:rsidRDefault="00954688" w:rsidP="00954688">
      <w:pPr>
        <w:rPr>
          <w:shd w:val="clear" w:color="auto" w:fill="FFFFFF"/>
        </w:rPr>
      </w:pPr>
      <w:r>
        <w:rPr>
          <w:b/>
          <w:shd w:val="clear" w:color="auto" w:fill="FFFFFF"/>
        </w:rPr>
        <w:t>Areál Svit Zlín</w:t>
      </w:r>
      <w:r>
        <w:rPr>
          <w:shd w:val="clear" w:color="auto" w:fill="FFFFFF"/>
        </w:rPr>
        <w:t xml:space="preserve"> se nachází v centru města (viz mapka na obrázku</w:t>
      </w:r>
      <w:r w:rsidR="00E111E6">
        <w:rPr>
          <w:shd w:val="clear" w:color="auto" w:fill="FFFFFF"/>
        </w:rPr>
        <w:t xml:space="preserve"> 1.92</w:t>
      </w:r>
      <w:r>
        <w:rPr>
          <w:shd w:val="clear" w:color="auto" w:fill="FFFFFF"/>
        </w:rPr>
        <w:t xml:space="preserve">), </w:t>
      </w:r>
      <w:r w:rsidRPr="00475A0A">
        <w:rPr>
          <w:shd w:val="clear" w:color="auto" w:fill="FFFFFF"/>
        </w:rPr>
        <w:t>západně od centra Zlína mezi řekou Dřevnicí a třídou Tomáše Bati, asi 300 od náměstí Míru.</w:t>
      </w:r>
      <w:r>
        <w:rPr>
          <w:shd w:val="clear" w:color="auto" w:fill="FFFFFF"/>
        </w:rPr>
        <w:t xml:space="preserve"> Jedná se o Areál bývalých Baťových závodů.</w:t>
      </w:r>
      <w:r w:rsidRPr="00475A0A">
        <w:rPr>
          <w:shd w:val="clear" w:color="auto" w:fill="FFFFFF"/>
        </w:rPr>
        <w:t xml:space="preserve"> </w:t>
      </w:r>
      <w:r>
        <w:rPr>
          <w:shd w:val="clear" w:color="auto" w:fill="FFFFFF"/>
        </w:rPr>
        <w:t xml:space="preserve">Západní část areálu je stále průmyslová. Sídlí zde podnikatelské subjekty jako </w:t>
      </w:r>
      <w:r w:rsidRPr="00487C46">
        <w:rPr>
          <w:shd w:val="clear" w:color="auto" w:fill="FFFFFF"/>
        </w:rPr>
        <w:t>Trelleborg Wheel Systems Czech Republic a.s.</w:t>
      </w:r>
      <w:r>
        <w:rPr>
          <w:shd w:val="clear" w:color="auto" w:fill="FFFFFF"/>
        </w:rPr>
        <w:t xml:space="preserve">, </w:t>
      </w:r>
      <w:r w:rsidRPr="00487C46">
        <w:rPr>
          <w:shd w:val="clear" w:color="auto" w:fill="FFFFFF"/>
        </w:rPr>
        <w:t xml:space="preserve">ZPS – frézovací stroje, </w:t>
      </w:r>
      <w:r w:rsidRPr="00C45460">
        <w:rPr>
          <w:shd w:val="clear" w:color="auto" w:fill="FFFFFF"/>
        </w:rPr>
        <w:t>Kovárna VIVA, a.s.</w:t>
      </w:r>
      <w:r>
        <w:rPr>
          <w:shd w:val="clear" w:color="auto" w:fill="FFFFFF"/>
        </w:rPr>
        <w:t xml:space="preserve">, </w:t>
      </w:r>
      <w:r w:rsidRPr="00487C46">
        <w:rPr>
          <w:shd w:val="clear" w:color="auto" w:fill="FFFFFF"/>
        </w:rPr>
        <w:t xml:space="preserve">FLOW TECH, s.r.o. </w:t>
      </w:r>
      <w:r>
        <w:rPr>
          <w:shd w:val="clear" w:color="auto" w:fill="FFFFFF"/>
        </w:rPr>
        <w:t xml:space="preserve">a další. </w:t>
      </w:r>
      <w:r w:rsidRPr="00487C46">
        <w:rPr>
          <w:shd w:val="clear" w:color="auto" w:fill="FFFFFF"/>
        </w:rPr>
        <w:t xml:space="preserve">Své místo si v areálu našly i spediční firmy a velkosklady. </w:t>
      </w:r>
      <w:r>
        <w:rPr>
          <w:shd w:val="clear" w:color="auto" w:fill="FFFFFF"/>
        </w:rPr>
        <w:t xml:space="preserve">Ve východní části sídlí spíše subjekty veřejné </w:t>
      </w:r>
      <w:r>
        <w:rPr>
          <w:shd w:val="clear" w:color="auto" w:fill="FFFFFF"/>
        </w:rPr>
        <w:lastRenderedPageBreak/>
        <w:t xml:space="preserve">správy a vzdělávání, např. Krajský úřad Zlínského kraje, Technické inovační centrum, Krajská hospodářská komora Zlínského kraje, </w:t>
      </w:r>
      <w:r w:rsidRPr="003F783F">
        <w:rPr>
          <w:shd w:val="clear" w:color="auto" w:fill="FFFFFF"/>
        </w:rPr>
        <w:t>Muzeu</w:t>
      </w:r>
      <w:r w:rsidR="00856C35">
        <w:rPr>
          <w:shd w:val="clear" w:color="auto" w:fill="FFFFFF"/>
        </w:rPr>
        <w:t>m</w:t>
      </w:r>
      <w:r w:rsidRPr="003F783F">
        <w:rPr>
          <w:shd w:val="clear" w:color="auto" w:fill="FFFFFF"/>
        </w:rPr>
        <w:t xml:space="preserve"> jihovýchodní Moravy</w:t>
      </w:r>
      <w:r>
        <w:rPr>
          <w:shd w:val="clear" w:color="auto" w:fill="FFFFFF"/>
        </w:rPr>
        <w:t xml:space="preserve">, </w:t>
      </w:r>
      <w:r w:rsidRPr="003F783F">
        <w:rPr>
          <w:shd w:val="clear" w:color="auto" w:fill="FFFFFF"/>
        </w:rPr>
        <w:t>Krajská knihovna, Krajská galerie výtvarného umění</w:t>
      </w:r>
      <w:r>
        <w:rPr>
          <w:shd w:val="clear" w:color="auto" w:fill="FFFFFF"/>
        </w:rPr>
        <w:t xml:space="preserve"> apod. Č</w:t>
      </w:r>
      <w:r w:rsidRPr="00475A0A">
        <w:rPr>
          <w:shd w:val="clear" w:color="auto" w:fill="FFFFFF"/>
        </w:rPr>
        <w:t xml:space="preserve">ást bývalých továrních budov </w:t>
      </w:r>
      <w:r>
        <w:rPr>
          <w:shd w:val="clear" w:color="auto" w:fill="FFFFFF"/>
        </w:rPr>
        <w:t>je nevyužitá a</w:t>
      </w:r>
      <w:r w:rsidRPr="00475A0A">
        <w:rPr>
          <w:shd w:val="clear" w:color="auto" w:fill="FFFFFF"/>
        </w:rPr>
        <w:t xml:space="preserve"> čeká na revitalizaci.</w:t>
      </w:r>
      <w:r>
        <w:rPr>
          <w:shd w:val="clear" w:color="auto" w:fill="FFFFFF"/>
        </w:rPr>
        <w:t xml:space="preserve"> Před rekonstrukcí je také </w:t>
      </w:r>
      <w:r w:rsidRPr="003F783F">
        <w:rPr>
          <w:shd w:val="clear" w:color="auto" w:fill="FFFFFF"/>
        </w:rPr>
        <w:t>zlínské autobusové nádraží</w:t>
      </w:r>
      <w:r>
        <w:rPr>
          <w:shd w:val="clear" w:color="auto" w:fill="FFFFFF"/>
        </w:rPr>
        <w:t xml:space="preserve"> a vlakové s napojením na MHD linku. </w:t>
      </w:r>
      <w:r w:rsidRPr="003F783F">
        <w:rPr>
          <w:shd w:val="clear" w:color="auto" w:fill="FFFFFF"/>
        </w:rPr>
        <w:t xml:space="preserve">Průmyslový areál </w:t>
      </w:r>
      <w:r>
        <w:rPr>
          <w:shd w:val="clear" w:color="auto" w:fill="FFFFFF"/>
        </w:rPr>
        <w:t>stále prochází</w:t>
      </w:r>
      <w:r w:rsidRPr="003F783F">
        <w:rPr>
          <w:shd w:val="clear" w:color="auto" w:fill="FFFFFF"/>
        </w:rPr>
        <w:t xml:space="preserve"> rozsáhlou rekonstrukcí. Obnovený Svit by měl v budoucnu plnit funkci živého Zlína. Cílem rekonstrukce průmyslového areálu je </w:t>
      </w:r>
      <w:r>
        <w:rPr>
          <w:shd w:val="clear" w:color="auto" w:fill="FFFFFF"/>
        </w:rPr>
        <w:t>na jednom místě spojit prá</w:t>
      </w:r>
      <w:r w:rsidRPr="003F783F">
        <w:rPr>
          <w:shd w:val="clear" w:color="auto" w:fill="FFFFFF"/>
        </w:rPr>
        <w:t>c</w:t>
      </w:r>
      <w:r>
        <w:rPr>
          <w:shd w:val="clear" w:color="auto" w:fill="FFFFFF"/>
        </w:rPr>
        <w:t>i</w:t>
      </w:r>
      <w:r w:rsidRPr="003F783F">
        <w:rPr>
          <w:shd w:val="clear" w:color="auto" w:fill="FFFFFF"/>
        </w:rPr>
        <w:t xml:space="preserve">, </w:t>
      </w:r>
      <w:r>
        <w:rPr>
          <w:shd w:val="clear" w:color="auto" w:fill="FFFFFF"/>
        </w:rPr>
        <w:t>zábav</w:t>
      </w:r>
      <w:r w:rsidRPr="003F783F">
        <w:rPr>
          <w:shd w:val="clear" w:color="auto" w:fill="FFFFFF"/>
        </w:rPr>
        <w:t xml:space="preserve">u a </w:t>
      </w:r>
      <w:r>
        <w:rPr>
          <w:shd w:val="clear" w:color="auto" w:fill="FFFFFF"/>
        </w:rPr>
        <w:t>bydlení</w:t>
      </w:r>
      <w:r w:rsidRPr="003F783F">
        <w:rPr>
          <w:shd w:val="clear" w:color="auto" w:fill="FFFFFF"/>
        </w:rPr>
        <w:t xml:space="preserve"> a dát Zlínu živé centrum dění.</w:t>
      </w:r>
    </w:p>
    <w:p w14:paraId="2FBE4A92" w14:textId="6C83EA8C" w:rsidR="00954688" w:rsidRDefault="00954688" w:rsidP="00954688">
      <w:pPr>
        <w:pStyle w:val="Titulek"/>
        <w:keepNext/>
        <w:keepLines/>
        <w:rPr>
          <w:shd w:val="clear" w:color="auto" w:fill="FFFFFF"/>
        </w:rPr>
      </w:pPr>
      <w:bookmarkStart w:id="450" w:name="_Toc53066204"/>
      <w:bookmarkStart w:id="451" w:name="_Toc7707491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92</w:t>
      </w:r>
      <w:r w:rsidR="00804AF3">
        <w:rPr>
          <w:noProof/>
        </w:rPr>
        <w:fldChar w:fldCharType="end"/>
      </w:r>
      <w:r w:rsidR="00856C35">
        <w:rPr>
          <w:noProof/>
        </w:rPr>
        <w:t>:</w:t>
      </w:r>
      <w:r>
        <w:t xml:space="preserve"> Areál Svit Zlín</w:t>
      </w:r>
      <w:bookmarkEnd w:id="450"/>
      <w:bookmarkEnd w:id="451"/>
    </w:p>
    <w:p w14:paraId="323F9889" w14:textId="77777777" w:rsidR="00954688" w:rsidRDefault="00954688" w:rsidP="00954688">
      <w:r>
        <w:rPr>
          <w:noProof/>
          <w:lang w:eastAsia="cs-CZ"/>
        </w:rPr>
        <w:drawing>
          <wp:inline distT="0" distB="0" distL="0" distR="0" wp14:anchorId="407D0D78" wp14:editId="187A7F13">
            <wp:extent cx="5100528" cy="3095625"/>
            <wp:effectExtent l="0" t="0" r="5080" b="0"/>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10048"/>
                    <a:stretch/>
                  </pic:blipFill>
                  <pic:spPr bwMode="auto">
                    <a:xfrm>
                      <a:off x="0" y="0"/>
                      <a:ext cx="5110549" cy="3101707"/>
                    </a:xfrm>
                    <a:prstGeom prst="rect">
                      <a:avLst/>
                    </a:prstGeom>
                    <a:ln>
                      <a:noFill/>
                    </a:ln>
                    <a:extLst>
                      <a:ext uri="{53640926-AAD7-44D8-BBD7-CCE9431645EC}">
                        <a14:shadowObscured xmlns:a14="http://schemas.microsoft.com/office/drawing/2010/main"/>
                      </a:ext>
                    </a:extLst>
                  </pic:spPr>
                </pic:pic>
              </a:graphicData>
            </a:graphic>
          </wp:inline>
        </w:drawing>
      </w:r>
    </w:p>
    <w:p w14:paraId="4CCB7CE9" w14:textId="6116F014" w:rsidR="00954688" w:rsidRDefault="00954688" w:rsidP="00954688">
      <w:pPr>
        <w:pStyle w:val="Zdroj"/>
      </w:pPr>
      <w:r>
        <w:t xml:space="preserve">Zdroj: </w:t>
      </w:r>
      <w:r>
        <w:rPr>
          <w:rStyle w:val="Hypertextovodkaz"/>
          <w:rFonts w:eastAsiaTheme="majorEastAsia"/>
        </w:rPr>
        <w:t>mapy.cz</w:t>
      </w:r>
      <w:r>
        <w:t>, 2020</w:t>
      </w:r>
      <w:r w:rsidR="00856C35">
        <w:t>.</w:t>
      </w:r>
    </w:p>
    <w:p w14:paraId="3583D8E0" w14:textId="77777777" w:rsidR="00954688" w:rsidRPr="006523DE" w:rsidRDefault="00954688" w:rsidP="00954688">
      <w:r w:rsidRPr="006523DE">
        <w:t>V okolí města Zlína se nachází významn</w:t>
      </w:r>
      <w:r>
        <w:t>é i menší</w:t>
      </w:r>
      <w:r w:rsidRPr="006523DE">
        <w:t xml:space="preserve"> průmyslov</w:t>
      </w:r>
      <w:r>
        <w:t xml:space="preserve">é </w:t>
      </w:r>
      <w:r w:rsidRPr="006523DE">
        <w:t>zón</w:t>
      </w:r>
      <w:r>
        <w:t>y. P</w:t>
      </w:r>
      <w:r w:rsidRPr="006523DE">
        <w:t xml:space="preserve">atří </w:t>
      </w:r>
      <w:r>
        <w:t xml:space="preserve">mezi </w:t>
      </w:r>
      <w:r w:rsidRPr="006523DE">
        <w:t>např.:</w:t>
      </w:r>
    </w:p>
    <w:p w14:paraId="1E23E83D" w14:textId="77777777" w:rsidR="00954688" w:rsidRPr="00824E93" w:rsidRDefault="00954688" w:rsidP="00954688">
      <w:pPr>
        <w:pStyle w:val="Odstavecseseznamem"/>
        <w:numPr>
          <w:ilvl w:val="0"/>
          <w:numId w:val="46"/>
        </w:numPr>
      </w:pPr>
      <w:r w:rsidRPr="00824E93">
        <w:t xml:space="preserve">Průmyslová zóna Holešov </w:t>
      </w:r>
    </w:p>
    <w:p w14:paraId="62911DFC" w14:textId="77777777" w:rsidR="00954688" w:rsidRDefault="00954688" w:rsidP="00954688">
      <w:pPr>
        <w:pStyle w:val="Odstavecseseznamem"/>
        <w:numPr>
          <w:ilvl w:val="0"/>
          <w:numId w:val="46"/>
        </w:numPr>
      </w:pPr>
      <w:r w:rsidRPr="00824E93">
        <w:t>Průmyslová zóna Toma Otrokovice</w:t>
      </w:r>
    </w:p>
    <w:p w14:paraId="743844BB" w14:textId="77777777" w:rsidR="00954688" w:rsidRPr="00824E93" w:rsidRDefault="00954688" w:rsidP="00954688">
      <w:pPr>
        <w:pStyle w:val="Odstavecseseznamem"/>
        <w:numPr>
          <w:ilvl w:val="0"/>
          <w:numId w:val="46"/>
        </w:numPr>
      </w:pPr>
      <w:r w:rsidRPr="00824E93">
        <w:t>Průmyslová zóna Napajedla</w:t>
      </w:r>
    </w:p>
    <w:p w14:paraId="2DB1A143" w14:textId="77777777" w:rsidR="00954688" w:rsidRDefault="00954688" w:rsidP="00954688">
      <w:pPr>
        <w:pStyle w:val="Odstavecseseznamem"/>
        <w:numPr>
          <w:ilvl w:val="0"/>
          <w:numId w:val="46"/>
        </w:numPr>
      </w:pPr>
      <w:r w:rsidRPr="00824E93">
        <w:t xml:space="preserve">Průmyslová zóna Lešná </w:t>
      </w:r>
    </w:p>
    <w:p w14:paraId="12844D67" w14:textId="77777777" w:rsidR="00954688" w:rsidRPr="00824E93" w:rsidRDefault="00954688" w:rsidP="00954688">
      <w:pPr>
        <w:pStyle w:val="Odstavecseseznamem"/>
        <w:numPr>
          <w:ilvl w:val="0"/>
          <w:numId w:val="46"/>
        </w:numPr>
      </w:pPr>
      <w:r w:rsidRPr="00824E93">
        <w:t xml:space="preserve">Průmyslová zóna Vsetín Bobrky </w:t>
      </w:r>
    </w:p>
    <w:p w14:paraId="789A1586" w14:textId="77777777" w:rsidR="00954688" w:rsidRPr="00824E93" w:rsidRDefault="00954688" w:rsidP="00954688">
      <w:pPr>
        <w:pStyle w:val="Odstavecseseznamem"/>
        <w:numPr>
          <w:ilvl w:val="0"/>
          <w:numId w:val="46"/>
        </w:numPr>
      </w:pPr>
      <w:r w:rsidRPr="00824E93">
        <w:t xml:space="preserve">Průmyslový areál Hulín </w:t>
      </w:r>
    </w:p>
    <w:p w14:paraId="4A389CDB" w14:textId="77777777" w:rsidR="00954688" w:rsidRDefault="00954688" w:rsidP="00954688">
      <w:pPr>
        <w:pStyle w:val="Odstavecseseznamem"/>
        <w:numPr>
          <w:ilvl w:val="0"/>
          <w:numId w:val="46"/>
        </w:numPr>
      </w:pPr>
      <w:r w:rsidRPr="00824E93">
        <w:t>Průmyslová</w:t>
      </w:r>
      <w:r>
        <w:t xml:space="preserve"> zóna Razov Vizovice</w:t>
      </w:r>
    </w:p>
    <w:p w14:paraId="78E65C0A" w14:textId="77777777" w:rsidR="00954688" w:rsidRDefault="00954688" w:rsidP="00954688">
      <w:pPr>
        <w:pStyle w:val="Odstavecseseznamem"/>
        <w:numPr>
          <w:ilvl w:val="0"/>
          <w:numId w:val="46"/>
        </w:numPr>
      </w:pPr>
      <w:r>
        <w:t>Průmyslová zóna Kocůrek Vizovice</w:t>
      </w:r>
    </w:p>
    <w:p w14:paraId="3865EDB6" w14:textId="77777777" w:rsidR="00954688" w:rsidRDefault="00954688" w:rsidP="00954688">
      <w:r>
        <w:t xml:space="preserve">Nemovitosti pro komerční využití (pozemky, objekty, kancelářské prostory) ve městě Zlíně a jeho okolí hodnotily podnikatelské subjekty v rámci průzkumu podnikatelského prostředí ve městě Zlíně, které bylo realizováno v červenci a srpnu roku 2020 (více viz podkapitola </w:t>
      </w:r>
      <w:r w:rsidRPr="002A57A3">
        <w:t>Průzkum podnikatelského prostředí</w:t>
      </w:r>
      <w:r>
        <w:t xml:space="preserve"> nebo kompletní zpráva o realizaci průzkumu v příloze analytické části). Podnikatelé hodnotili nemovitosti</w:t>
      </w:r>
      <w:r w:rsidRPr="001A3416">
        <w:t xml:space="preserve"> </w:t>
      </w:r>
      <w:r>
        <w:t>z hlediska</w:t>
      </w:r>
      <w:r w:rsidRPr="001A3416">
        <w:t xml:space="preserve"> jednotlivých kritérií – množství, lokalizace, cena, </w:t>
      </w:r>
      <w:r>
        <w:t xml:space="preserve">kvalita, </w:t>
      </w:r>
      <w:r w:rsidRPr="001A3416">
        <w:t xml:space="preserve">celkové hodnocení pozemků, objektů a </w:t>
      </w:r>
      <w:r w:rsidRPr="001A3416">
        <w:rPr>
          <w:rFonts w:cstheme="minorHAnsi"/>
        </w:rPr>
        <w:t xml:space="preserve">kancelářských prostor. Většina podnikatelských subjektů, které </w:t>
      </w:r>
      <w:r>
        <w:rPr>
          <w:rFonts w:cstheme="minorHAnsi"/>
        </w:rPr>
        <w:t>se průzkumu účastnily</w:t>
      </w:r>
      <w:r w:rsidRPr="001A3416">
        <w:rPr>
          <w:rFonts w:cstheme="minorHAnsi"/>
        </w:rPr>
        <w:t>, hodnotí pozemky ve městě nebo v jeho okolí převážně za nevyhovující. Hodnotí, že jsou velmi drahé, je jich spíše nedostatek, jsou nevhodně lokalizované a nejsou dostatečně vybaveny infrastrukturou. Podobně respondenti hodnotili i objekty, které se ve městě nebo jeho okolí nachází.</w:t>
      </w:r>
      <w:r>
        <w:rPr>
          <w:rFonts w:cstheme="minorHAnsi"/>
        </w:rPr>
        <w:t xml:space="preserve"> Kancelářské</w:t>
      </w:r>
      <w:r w:rsidRPr="001A3416">
        <w:rPr>
          <w:rFonts w:cstheme="minorHAnsi"/>
        </w:rPr>
        <w:t xml:space="preserve"> prostor</w:t>
      </w:r>
      <w:r>
        <w:rPr>
          <w:rFonts w:cstheme="minorHAnsi"/>
        </w:rPr>
        <w:t>y podnikatelé hodnotili</w:t>
      </w:r>
      <w:r w:rsidRPr="001A3416">
        <w:rPr>
          <w:rFonts w:cstheme="minorHAnsi"/>
        </w:rPr>
        <w:t xml:space="preserve"> spíše pozitivn</w:t>
      </w:r>
      <w:r>
        <w:rPr>
          <w:rFonts w:cstheme="minorHAnsi"/>
        </w:rPr>
        <w:t xml:space="preserve">ě nebo neutrálně než negativně – jejich kvalitu a dostatečné množství. </w:t>
      </w:r>
      <w:r w:rsidRPr="001A3416">
        <w:rPr>
          <w:rFonts w:cstheme="minorHAnsi"/>
        </w:rPr>
        <w:t>Nejhůře b</w:t>
      </w:r>
      <w:r>
        <w:rPr>
          <w:rFonts w:cstheme="minorHAnsi"/>
        </w:rPr>
        <w:t>yla opět hodnocena jejich cena (respondenti</w:t>
      </w:r>
      <w:r w:rsidRPr="001A3416">
        <w:rPr>
          <w:rFonts w:cstheme="minorHAnsi"/>
        </w:rPr>
        <w:t xml:space="preserve"> </w:t>
      </w:r>
      <w:r>
        <w:rPr>
          <w:rFonts w:cstheme="minorHAnsi"/>
        </w:rPr>
        <w:t>hodnotili</w:t>
      </w:r>
      <w:r w:rsidRPr="001A3416">
        <w:rPr>
          <w:rFonts w:cstheme="minorHAnsi"/>
        </w:rPr>
        <w:t xml:space="preserve">, </w:t>
      </w:r>
      <w:r>
        <w:rPr>
          <w:rFonts w:cstheme="minorHAnsi"/>
        </w:rPr>
        <w:t xml:space="preserve">že </w:t>
      </w:r>
      <w:r w:rsidRPr="001A3416">
        <w:rPr>
          <w:rFonts w:cstheme="minorHAnsi"/>
        </w:rPr>
        <w:t>jsou kancelářské prostory velmi drahé nebo drahé</w:t>
      </w:r>
      <w:r>
        <w:rPr>
          <w:rFonts w:cstheme="minorHAnsi"/>
        </w:rPr>
        <w:t>)</w:t>
      </w:r>
      <w:r w:rsidRPr="001A3416">
        <w:rPr>
          <w:rFonts w:cstheme="minorHAnsi"/>
        </w:rPr>
        <w:t>.</w:t>
      </w:r>
    </w:p>
    <w:p w14:paraId="395D1F2E" w14:textId="77777777" w:rsidR="00954688" w:rsidRDefault="00954688" w:rsidP="00954688">
      <w:pPr>
        <w:pStyle w:val="Nadpis4"/>
      </w:pPr>
      <w:r>
        <w:lastRenderedPageBreak/>
        <w:t xml:space="preserve">Inovační prostředí </w:t>
      </w:r>
    </w:p>
    <w:p w14:paraId="44820D2A" w14:textId="77777777" w:rsidR="00954688" w:rsidRDefault="00954688" w:rsidP="00954688">
      <w:r>
        <w:t xml:space="preserve">Z Analýzy inovačního potenciálu Zlínského kraje vyplývá, že v mezikrajském srovnání vykazuje Zlínský kraj dobré postavení vzhledem k počtu pracovišť výzkumu a vývoje a pozitivně lze hodnotit i dynamické ukazatele změny počtu těchto pracovišť. Mírně lepší hodnoty dosahuje Zlínský kraj v hodnocení podnikatelské části výzkumu a vývoje. </w:t>
      </w:r>
    </w:p>
    <w:p w14:paraId="4C3FDBD9" w14:textId="053DD6D8" w:rsidR="00954688" w:rsidRPr="00FF1F1F" w:rsidRDefault="00954688" w:rsidP="00954688">
      <w:r>
        <w:t>Město Zlín a jeho okolí je přirozeným centrem výzkumu a vývoje Zlínského kraje. Historicky se výzkum a vývoj města Zlína orientuje zejména na gumárenský, plastikářský, chemický a obuvnický průmysl. Největší potenciál ekonomického přínosu VaV je v týmech formovaných v rámci Centra polymerních systémů (CPS) a Centra bezpečnostních, informačních a pokročilých technologií (CEBIA-TECH) na UTB, které se snaží rozvíjet stávající a navazovat nové spolupráce s firmami v regionu. CPS se zároveň s</w:t>
      </w:r>
      <w:r w:rsidR="00856C35">
        <w:t> </w:t>
      </w:r>
      <w:r>
        <w:t xml:space="preserve">významnými plastikářskými firmami v regionu zapojuje do programu Centra kompetence (projekt „Centrum pokročilých polymerních a kompozitních materiálů“). </w:t>
      </w:r>
      <w:r w:rsidRPr="00FF1F1F">
        <w:t xml:space="preserve">Potenciál rozvoje nových odvětví je možné spatřovat zejména v odvětvích výpočetní techniky v návaznosti na zaměření výzkumu a vývoje Fakulty aplikované informatiky Univerzity Tomáše Bati ve Zlíně a případně ve vybraných odvětvích kreativního průmyslu (design, film) v návaznosti na aktivity zlínských škol včetně Univerzity Tomáše Bati ve Zlíně a přítomnost filmových ateliérů ve městě Zlíně nebo zdravotnictví. Naopak rozvojové perspektivy obuvnického průmyslu jsou hodnoceny jako nejasné. </w:t>
      </w:r>
    </w:p>
    <w:p w14:paraId="48E1FAA2" w14:textId="70A64608" w:rsidR="00954688" w:rsidRDefault="00EA4CBD" w:rsidP="00954688">
      <w:r>
        <w:t>V tabulkách 1.68 a 1.69</w:t>
      </w:r>
      <w:r w:rsidR="00954688">
        <w:t xml:space="preserve"> jsou uvedeny klíčové pracoviště výzkumy a vědy a podpůrné instituce </w:t>
      </w:r>
      <w:r w:rsidR="00954688" w:rsidRPr="002C656F">
        <w:t xml:space="preserve">v oblasti inovací a podnikání </w:t>
      </w:r>
      <w:r w:rsidR="00954688">
        <w:t>ve městě Zlín.</w:t>
      </w:r>
    </w:p>
    <w:p w14:paraId="2058FAC9" w14:textId="2AEE963A" w:rsidR="00954688" w:rsidRDefault="00954688" w:rsidP="00954688">
      <w:pPr>
        <w:pStyle w:val="Titulek"/>
      </w:pPr>
      <w:bookmarkStart w:id="452" w:name="_Toc53066225"/>
      <w:bookmarkStart w:id="453" w:name="_Toc7707474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67</w:t>
      </w:r>
      <w:r w:rsidR="00081B47">
        <w:rPr>
          <w:noProof/>
        </w:rPr>
        <w:fldChar w:fldCharType="end"/>
      </w:r>
      <w:r w:rsidR="00856C35">
        <w:rPr>
          <w:noProof/>
        </w:rPr>
        <w:t>:</w:t>
      </w:r>
      <w:r>
        <w:t xml:space="preserve"> </w:t>
      </w:r>
      <w:r w:rsidRPr="002A5EC3">
        <w:t>Klíčová pracoviště výzkumu a vývoje ve městě Zlíně</w:t>
      </w:r>
      <w:bookmarkEnd w:id="452"/>
      <w:bookmarkEnd w:id="453"/>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946"/>
      </w:tblGrid>
      <w:tr w:rsidR="00954688" w:rsidRPr="002A5EC3" w14:paraId="2D9916F5" w14:textId="77777777" w:rsidTr="000C49A5">
        <w:trPr>
          <w:trHeight w:val="99"/>
        </w:trPr>
        <w:tc>
          <w:tcPr>
            <w:tcW w:w="2268" w:type="dxa"/>
            <w:shd w:val="clear" w:color="auto" w:fill="EDEDED" w:themeFill="accent3" w:themeFillTint="33"/>
          </w:tcPr>
          <w:p w14:paraId="1099B402"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b/>
                <w:bCs/>
                <w:color w:val="000000"/>
                <w:sz w:val="18"/>
                <w:szCs w:val="18"/>
              </w:rPr>
              <w:t xml:space="preserve">Název </w:t>
            </w:r>
          </w:p>
        </w:tc>
        <w:tc>
          <w:tcPr>
            <w:tcW w:w="6946" w:type="dxa"/>
            <w:shd w:val="clear" w:color="auto" w:fill="EDEDED" w:themeFill="accent3" w:themeFillTint="33"/>
          </w:tcPr>
          <w:p w14:paraId="739B7309"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b/>
                <w:bCs/>
                <w:color w:val="000000"/>
                <w:sz w:val="18"/>
                <w:szCs w:val="18"/>
              </w:rPr>
              <w:t xml:space="preserve">Základní charakteristika </w:t>
            </w:r>
          </w:p>
        </w:tc>
      </w:tr>
      <w:tr w:rsidR="00954688" w:rsidRPr="002A5EC3" w14:paraId="28689C37" w14:textId="77777777" w:rsidTr="000C49A5">
        <w:trPr>
          <w:trHeight w:val="240"/>
        </w:trPr>
        <w:tc>
          <w:tcPr>
            <w:tcW w:w="2268" w:type="dxa"/>
          </w:tcPr>
          <w:p w14:paraId="6512840D"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Asociace gumárenské technologie Zlín, s.r.o. </w:t>
            </w:r>
          </w:p>
        </w:tc>
        <w:tc>
          <w:tcPr>
            <w:tcW w:w="6946" w:type="dxa"/>
          </w:tcPr>
          <w:p w14:paraId="1260D8C4"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Společnost se zaměřuje na aktivity výzkumu a vývoje v gumárenském průmyslu (např. konstrukce pneumatik, vulkanizační formy a další). </w:t>
            </w:r>
          </w:p>
        </w:tc>
      </w:tr>
      <w:tr w:rsidR="00954688" w:rsidRPr="002A5EC3" w14:paraId="45BB3072" w14:textId="77777777" w:rsidTr="000C49A5">
        <w:trPr>
          <w:trHeight w:val="240"/>
        </w:trPr>
        <w:tc>
          <w:tcPr>
            <w:tcW w:w="2268" w:type="dxa"/>
          </w:tcPr>
          <w:p w14:paraId="503DA89F"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Centrum stavebního inženýrství, a.s., pracoviště Zlín </w:t>
            </w:r>
          </w:p>
        </w:tc>
        <w:tc>
          <w:tcPr>
            <w:tcW w:w="6946" w:type="dxa"/>
          </w:tcPr>
          <w:p w14:paraId="687AAFE7"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Společnost se zaměřuje na aktivity výzkumu a vývoje v oblasti stavebních hmot včetně zkušebnictví a certifikace. </w:t>
            </w:r>
            <w:r w:rsidRPr="00F54EEC">
              <w:rPr>
                <w:rFonts w:ascii="Calibri" w:hAnsi="Calibri" w:cs="Calibri"/>
                <w:color w:val="000000"/>
                <w:sz w:val="18"/>
                <w:szCs w:val="18"/>
              </w:rPr>
              <w:t>Na zlínském pracovišti působí akreditovaná zkušební laboratoř číslo 1007.1 - Zkušebna fyzikálních vlastností materiálů, konstrukcí a budov, která se skládá z dílčích laboratoří (laboratoř akustiky, laboratoř tepelné techniky, laboratoř otvorových výplní, laboratoř statiky a laboratoř dokončovacích prací).</w:t>
            </w:r>
          </w:p>
        </w:tc>
      </w:tr>
      <w:tr w:rsidR="00954688" w:rsidRPr="002A5EC3" w14:paraId="44139761" w14:textId="77777777" w:rsidTr="000C49A5">
        <w:trPr>
          <w:trHeight w:val="380"/>
        </w:trPr>
        <w:tc>
          <w:tcPr>
            <w:tcW w:w="2268" w:type="dxa"/>
          </w:tcPr>
          <w:p w14:paraId="393E6519"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ECOPROTECT, spol. s.r.o. </w:t>
            </w:r>
          </w:p>
        </w:tc>
        <w:tc>
          <w:tcPr>
            <w:tcW w:w="6946" w:type="dxa"/>
          </w:tcPr>
          <w:p w14:paraId="29B94833" w14:textId="6949360E" w:rsidR="00954688" w:rsidRPr="002A5EC3" w:rsidRDefault="00954688" w:rsidP="000C49A5">
            <w:pPr>
              <w:autoSpaceDE w:val="0"/>
              <w:autoSpaceDN w:val="0"/>
              <w:adjustRightInd w:val="0"/>
              <w:spacing w:before="0"/>
              <w:jc w:val="left"/>
              <w:rPr>
                <w:rFonts w:ascii="Calibri" w:hAnsi="Calibri" w:cs="Calibri"/>
                <w:color w:val="000000"/>
                <w:sz w:val="18"/>
                <w:szCs w:val="18"/>
              </w:rPr>
            </w:pPr>
            <w:r>
              <w:rPr>
                <w:rFonts w:ascii="Calibri" w:hAnsi="Calibri" w:cs="Calibri"/>
                <w:color w:val="000000"/>
                <w:sz w:val="18"/>
                <w:szCs w:val="18"/>
              </w:rPr>
              <w:t>Společnost</w:t>
            </w:r>
            <w:r w:rsidRPr="002A5EC3">
              <w:rPr>
                <w:rFonts w:ascii="Calibri" w:hAnsi="Calibri" w:cs="Calibri"/>
                <w:color w:val="000000"/>
                <w:sz w:val="18"/>
                <w:szCs w:val="18"/>
              </w:rPr>
              <w:t xml:space="preserve"> </w:t>
            </w:r>
            <w:r w:rsidRPr="00F54EEC">
              <w:rPr>
                <w:rFonts w:ascii="Calibri" w:hAnsi="Calibri" w:cs="Calibri"/>
                <w:color w:val="000000"/>
                <w:sz w:val="18"/>
                <w:szCs w:val="18"/>
              </w:rPr>
              <w:t>je specializovaná na vývoj, výzkum a výrobu speciálních ochranných oděvů</w:t>
            </w:r>
            <w:r>
              <w:rPr>
                <w:rFonts w:ascii="Calibri" w:hAnsi="Calibri" w:cs="Calibri"/>
                <w:color w:val="000000"/>
                <w:sz w:val="18"/>
                <w:szCs w:val="18"/>
              </w:rPr>
              <w:t xml:space="preserve"> (</w:t>
            </w:r>
            <w:r w:rsidRPr="00F54EEC">
              <w:rPr>
                <w:rFonts w:ascii="Calibri" w:hAnsi="Calibri" w:cs="Calibri"/>
                <w:color w:val="000000"/>
                <w:sz w:val="18"/>
                <w:szCs w:val="18"/>
              </w:rPr>
              <w:t xml:space="preserve">chemických ochranných oděvů civilního </w:t>
            </w:r>
            <w:r>
              <w:rPr>
                <w:rFonts w:ascii="Calibri" w:hAnsi="Calibri" w:cs="Calibri"/>
                <w:color w:val="000000"/>
                <w:sz w:val="18"/>
                <w:szCs w:val="18"/>
              </w:rPr>
              <w:t>- proti průmyslovým chemikáliím</w:t>
            </w:r>
            <w:r w:rsidR="00856C35">
              <w:rPr>
                <w:rFonts w:ascii="Calibri" w:hAnsi="Calibri" w:cs="Calibri"/>
                <w:color w:val="000000"/>
                <w:sz w:val="18"/>
                <w:szCs w:val="18"/>
              </w:rPr>
              <w:t xml:space="preserve"> -</w:t>
            </w:r>
            <w:r>
              <w:rPr>
                <w:rFonts w:ascii="Calibri" w:hAnsi="Calibri" w:cs="Calibri"/>
                <w:color w:val="000000"/>
                <w:sz w:val="18"/>
                <w:szCs w:val="18"/>
              </w:rPr>
              <w:t xml:space="preserve"> i armádního - proti bojovým chemickým látkám sektoru)</w:t>
            </w:r>
            <w:r w:rsidRPr="00F54EEC">
              <w:rPr>
                <w:rFonts w:ascii="Calibri" w:hAnsi="Calibri" w:cs="Calibri"/>
                <w:color w:val="000000"/>
                <w:sz w:val="18"/>
                <w:szCs w:val="18"/>
              </w:rPr>
              <w:t>, prostředků, pomůcek a zařízení pro ochranu životního prostředí</w:t>
            </w:r>
            <w:r>
              <w:rPr>
                <w:rFonts w:ascii="Calibri" w:hAnsi="Calibri" w:cs="Calibri"/>
                <w:color w:val="000000"/>
                <w:sz w:val="18"/>
                <w:szCs w:val="18"/>
              </w:rPr>
              <w:t>.</w:t>
            </w:r>
          </w:p>
        </w:tc>
      </w:tr>
      <w:tr w:rsidR="00954688" w:rsidRPr="002A5EC3" w14:paraId="786442E1" w14:textId="77777777" w:rsidTr="000C49A5">
        <w:trPr>
          <w:trHeight w:val="240"/>
        </w:trPr>
        <w:tc>
          <w:tcPr>
            <w:tcW w:w="2268" w:type="dxa"/>
          </w:tcPr>
          <w:p w14:paraId="3EA34FB0"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Institut gumárenské technologie a testování a.s. </w:t>
            </w:r>
          </w:p>
        </w:tc>
        <w:tc>
          <w:tcPr>
            <w:tcW w:w="6946" w:type="dxa"/>
          </w:tcPr>
          <w:p w14:paraId="1A34D88C"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Společnost se zaměřuje na aktivity výzkumu a vývoje v gumárenském průmyslu (např. výroba vulkanizačních tvárnic pneumatik a další). </w:t>
            </w:r>
          </w:p>
        </w:tc>
      </w:tr>
      <w:tr w:rsidR="00954688" w:rsidRPr="002A5EC3" w14:paraId="778D6867" w14:textId="77777777" w:rsidTr="000C49A5">
        <w:trPr>
          <w:trHeight w:val="519"/>
        </w:trPr>
        <w:tc>
          <w:tcPr>
            <w:tcW w:w="2268" w:type="dxa"/>
          </w:tcPr>
          <w:p w14:paraId="3966B1A4" w14:textId="008651F4" w:rsidR="00954688" w:rsidRPr="002A5EC3" w:rsidRDefault="00954688" w:rsidP="00856C3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Institut pro testování a</w:t>
            </w:r>
            <w:r w:rsidR="00856C35">
              <w:rPr>
                <w:rFonts w:ascii="Calibri" w:hAnsi="Calibri" w:cs="Calibri"/>
                <w:color w:val="000000"/>
                <w:sz w:val="18"/>
                <w:szCs w:val="18"/>
              </w:rPr>
              <w:t> </w:t>
            </w:r>
            <w:r w:rsidRPr="002A5EC3">
              <w:rPr>
                <w:rFonts w:ascii="Calibri" w:hAnsi="Calibri" w:cs="Calibri"/>
                <w:color w:val="000000"/>
                <w:sz w:val="18"/>
                <w:szCs w:val="18"/>
              </w:rPr>
              <w:t xml:space="preserve">certifikaci, a.s. </w:t>
            </w:r>
          </w:p>
        </w:tc>
        <w:tc>
          <w:tcPr>
            <w:tcW w:w="6946" w:type="dxa"/>
          </w:tcPr>
          <w:p w14:paraId="33B9BCD1" w14:textId="42C8C396" w:rsidR="00954688" w:rsidRPr="002A5EC3" w:rsidRDefault="00954688" w:rsidP="00856C35">
            <w:pPr>
              <w:autoSpaceDE w:val="0"/>
              <w:autoSpaceDN w:val="0"/>
              <w:adjustRightInd w:val="0"/>
              <w:spacing w:before="0"/>
              <w:jc w:val="left"/>
              <w:rPr>
                <w:rFonts w:ascii="Calibri" w:hAnsi="Calibri" w:cs="Calibri"/>
                <w:color w:val="000000"/>
                <w:sz w:val="18"/>
                <w:szCs w:val="18"/>
              </w:rPr>
            </w:pPr>
            <w:r>
              <w:rPr>
                <w:rFonts w:ascii="Calibri" w:hAnsi="Calibri" w:cs="Calibri"/>
                <w:color w:val="000000"/>
                <w:sz w:val="18"/>
                <w:szCs w:val="18"/>
              </w:rPr>
              <w:t>Společnost je</w:t>
            </w:r>
            <w:r w:rsidRPr="002A5EC3">
              <w:rPr>
                <w:rFonts w:ascii="Calibri" w:hAnsi="Calibri" w:cs="Calibri"/>
                <w:color w:val="000000"/>
                <w:sz w:val="18"/>
                <w:szCs w:val="18"/>
              </w:rPr>
              <w:t xml:space="preserve"> </w:t>
            </w:r>
            <w:r w:rsidRPr="004A2883">
              <w:rPr>
                <w:rFonts w:ascii="Calibri" w:hAnsi="Calibri" w:cs="Calibri"/>
                <w:color w:val="000000"/>
                <w:sz w:val="18"/>
                <w:szCs w:val="18"/>
              </w:rPr>
              <w:t>nezávislá zkušební, certifikační, kalibrační a inspekční společnost s</w:t>
            </w:r>
            <w:r w:rsidR="00856C35">
              <w:rPr>
                <w:rFonts w:ascii="Calibri" w:hAnsi="Calibri" w:cs="Calibri"/>
                <w:color w:val="000000"/>
                <w:sz w:val="18"/>
                <w:szCs w:val="18"/>
              </w:rPr>
              <w:t> </w:t>
            </w:r>
            <w:r w:rsidRPr="004A2883">
              <w:rPr>
                <w:rFonts w:ascii="Calibri" w:hAnsi="Calibri" w:cs="Calibri"/>
                <w:color w:val="000000"/>
                <w:sz w:val="18"/>
                <w:szCs w:val="18"/>
              </w:rPr>
              <w:t>mezinárodní působností poskytující odborné služby v oblasti hodnocení kvality a</w:t>
            </w:r>
            <w:r w:rsidR="00856C35">
              <w:rPr>
                <w:rFonts w:ascii="Calibri" w:hAnsi="Calibri" w:cs="Calibri"/>
                <w:color w:val="000000"/>
                <w:sz w:val="18"/>
                <w:szCs w:val="18"/>
              </w:rPr>
              <w:t> </w:t>
            </w:r>
            <w:r w:rsidRPr="004A2883">
              <w:rPr>
                <w:rFonts w:ascii="Calibri" w:hAnsi="Calibri" w:cs="Calibri"/>
                <w:color w:val="000000"/>
                <w:sz w:val="18"/>
                <w:szCs w:val="18"/>
              </w:rPr>
              <w:t>bezpečnosti produktů, certifikace produktů a systémů managementu a služby v oblasti technické normalizace.</w:t>
            </w:r>
          </w:p>
        </w:tc>
      </w:tr>
      <w:tr w:rsidR="00954688" w:rsidRPr="002A5EC3" w14:paraId="73F458BB" w14:textId="77777777" w:rsidTr="000C49A5">
        <w:trPr>
          <w:trHeight w:val="380"/>
        </w:trPr>
        <w:tc>
          <w:tcPr>
            <w:tcW w:w="2268" w:type="dxa"/>
          </w:tcPr>
          <w:p w14:paraId="06EB2664" w14:textId="500969C9" w:rsidR="00954688" w:rsidRPr="002A5EC3" w:rsidRDefault="00954688" w:rsidP="00856C3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Mend</w:t>
            </w:r>
            <w:r>
              <w:rPr>
                <w:rFonts w:ascii="Calibri" w:hAnsi="Calibri" w:cs="Calibri"/>
                <w:color w:val="000000"/>
                <w:sz w:val="18"/>
                <w:szCs w:val="18"/>
              </w:rPr>
              <w:t>e</w:t>
            </w:r>
            <w:r w:rsidRPr="002A5EC3">
              <w:rPr>
                <w:rFonts w:ascii="Calibri" w:hAnsi="Calibri" w:cs="Calibri"/>
                <w:color w:val="000000"/>
                <w:sz w:val="18"/>
                <w:szCs w:val="18"/>
              </w:rPr>
              <w:t>lova zemědělská a</w:t>
            </w:r>
            <w:r w:rsidR="00856C35">
              <w:rPr>
                <w:rFonts w:ascii="Calibri" w:hAnsi="Calibri" w:cs="Calibri"/>
                <w:color w:val="000000"/>
                <w:sz w:val="18"/>
                <w:szCs w:val="18"/>
              </w:rPr>
              <w:t> </w:t>
            </w:r>
            <w:r w:rsidRPr="002A5EC3">
              <w:rPr>
                <w:rFonts w:ascii="Calibri" w:hAnsi="Calibri" w:cs="Calibri"/>
                <w:color w:val="000000"/>
                <w:sz w:val="18"/>
                <w:szCs w:val="18"/>
              </w:rPr>
              <w:t xml:space="preserve">lesnická univerzita v Brně - Zkušebna stavebně truhlářských výrobků Zlín </w:t>
            </w:r>
          </w:p>
        </w:tc>
        <w:tc>
          <w:tcPr>
            <w:tcW w:w="6946" w:type="dxa"/>
          </w:tcPr>
          <w:p w14:paraId="062C7E42"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Pr>
                <w:rFonts w:ascii="Calibri" w:hAnsi="Calibri" w:cs="Calibri"/>
                <w:color w:val="000000"/>
                <w:sz w:val="18"/>
                <w:szCs w:val="18"/>
              </w:rPr>
              <w:t>Z</w:t>
            </w:r>
            <w:r w:rsidRPr="004A2883">
              <w:rPr>
                <w:rFonts w:ascii="Calibri" w:hAnsi="Calibri" w:cs="Calibri"/>
                <w:color w:val="000000"/>
                <w:sz w:val="18"/>
                <w:szCs w:val="18"/>
              </w:rPr>
              <w:t>kušební laboratoř je akreditována Českým institutem pro akreditaci, o.p.s.</w:t>
            </w:r>
            <w:r>
              <w:rPr>
                <w:rFonts w:ascii="Calibri" w:hAnsi="Calibri" w:cs="Calibri"/>
                <w:color w:val="000000"/>
                <w:sz w:val="18"/>
                <w:szCs w:val="18"/>
              </w:rPr>
              <w:t xml:space="preserve"> </w:t>
            </w:r>
            <w:r w:rsidRPr="004A2883">
              <w:rPr>
                <w:rFonts w:ascii="Calibri" w:hAnsi="Calibri" w:cs="Calibri"/>
                <w:color w:val="000000"/>
                <w:sz w:val="18"/>
                <w:szCs w:val="18"/>
              </w:rPr>
              <w:t xml:space="preserve">Předmětem akreditace zkušební laboratoře </w:t>
            </w:r>
            <w:r>
              <w:rPr>
                <w:rFonts w:ascii="Calibri" w:hAnsi="Calibri" w:cs="Calibri"/>
                <w:color w:val="000000"/>
                <w:sz w:val="18"/>
                <w:szCs w:val="18"/>
              </w:rPr>
              <w:t xml:space="preserve">je zkoušení otvorových stavebních výplní, podlahovin na bázi dřeva, desek ze dřeva, dřeva na stavební konstrukce, nábytku, </w:t>
            </w:r>
            <w:r w:rsidRPr="004A2883">
              <w:rPr>
                <w:rFonts w:ascii="Calibri" w:hAnsi="Calibri" w:cs="Calibri"/>
                <w:color w:val="000000"/>
                <w:sz w:val="18"/>
                <w:szCs w:val="18"/>
              </w:rPr>
              <w:t>budov</w:t>
            </w:r>
            <w:r>
              <w:rPr>
                <w:rFonts w:ascii="Calibri" w:hAnsi="Calibri" w:cs="Calibri"/>
                <w:color w:val="000000"/>
                <w:sz w:val="18"/>
                <w:szCs w:val="18"/>
              </w:rPr>
              <w:t>.</w:t>
            </w:r>
          </w:p>
        </w:tc>
      </w:tr>
      <w:tr w:rsidR="00954688" w:rsidRPr="002A5EC3" w14:paraId="29CCD20A" w14:textId="77777777" w:rsidTr="000C49A5">
        <w:trPr>
          <w:trHeight w:val="380"/>
        </w:trPr>
        <w:tc>
          <w:tcPr>
            <w:tcW w:w="2268" w:type="dxa"/>
          </w:tcPr>
          <w:p w14:paraId="7FFCE4F5"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Plastservis, a.s. - laboratoř analýz životního prostředí </w:t>
            </w:r>
          </w:p>
        </w:tc>
        <w:tc>
          <w:tcPr>
            <w:tcW w:w="6946" w:type="dxa"/>
          </w:tcPr>
          <w:p w14:paraId="23E881EB" w14:textId="5713CF2D" w:rsidR="00954688" w:rsidRPr="002A5EC3" w:rsidRDefault="00954688" w:rsidP="00856C35">
            <w:pPr>
              <w:autoSpaceDE w:val="0"/>
              <w:autoSpaceDN w:val="0"/>
              <w:adjustRightInd w:val="0"/>
              <w:spacing w:before="0"/>
              <w:jc w:val="left"/>
              <w:rPr>
                <w:rFonts w:ascii="Calibri" w:hAnsi="Calibri" w:cs="Calibri"/>
                <w:color w:val="000000"/>
                <w:sz w:val="18"/>
                <w:szCs w:val="18"/>
              </w:rPr>
            </w:pPr>
            <w:r>
              <w:rPr>
                <w:rFonts w:ascii="Calibri" w:hAnsi="Calibri" w:cs="Calibri"/>
                <w:color w:val="000000"/>
                <w:sz w:val="18"/>
                <w:szCs w:val="18"/>
              </w:rPr>
              <w:t>L</w:t>
            </w:r>
            <w:r w:rsidRPr="004A2883">
              <w:rPr>
                <w:rFonts w:ascii="Calibri" w:hAnsi="Calibri" w:cs="Calibri"/>
                <w:color w:val="000000"/>
                <w:sz w:val="18"/>
                <w:szCs w:val="18"/>
              </w:rPr>
              <w:t>aboratoř má dlouholeté zkušen</w:t>
            </w:r>
            <w:r>
              <w:rPr>
                <w:rFonts w:ascii="Calibri" w:hAnsi="Calibri" w:cs="Calibri"/>
                <w:color w:val="000000"/>
                <w:sz w:val="18"/>
                <w:szCs w:val="18"/>
              </w:rPr>
              <w:t>osti s měřením a vyhodnocováním</w:t>
            </w:r>
            <w:r w:rsidRPr="004A2883">
              <w:rPr>
                <w:rFonts w:ascii="Calibri" w:hAnsi="Calibri" w:cs="Calibri"/>
                <w:color w:val="000000"/>
                <w:sz w:val="18"/>
                <w:szCs w:val="18"/>
              </w:rPr>
              <w:t xml:space="preserve"> kvality pracovního prostředí a emisí v různých typech výrob a technologií (kovovýroba a kovoobrábění, zpracování plastů a pryže, výroba obuvi a kožené galanterie, povrchové úpravy kovů a</w:t>
            </w:r>
            <w:r w:rsidR="00856C35">
              <w:rPr>
                <w:rFonts w:ascii="Calibri" w:hAnsi="Calibri" w:cs="Calibri"/>
                <w:color w:val="000000"/>
                <w:sz w:val="18"/>
                <w:szCs w:val="18"/>
              </w:rPr>
              <w:t> </w:t>
            </w:r>
            <w:r w:rsidRPr="004A2883">
              <w:rPr>
                <w:rFonts w:ascii="Calibri" w:hAnsi="Calibri" w:cs="Calibri"/>
                <w:color w:val="000000"/>
                <w:sz w:val="18"/>
                <w:szCs w:val="18"/>
              </w:rPr>
              <w:t>nekovových materiálů, zpracování dřeva a výroba nábytku, potravinářské procesy, výroba barev, zemědělská výroba, lakovny aj.).</w:t>
            </w:r>
          </w:p>
        </w:tc>
      </w:tr>
      <w:tr w:rsidR="00954688" w:rsidRPr="002A5EC3" w14:paraId="455F2154" w14:textId="77777777" w:rsidTr="000C49A5">
        <w:trPr>
          <w:trHeight w:val="566"/>
        </w:trPr>
        <w:tc>
          <w:tcPr>
            <w:tcW w:w="2268" w:type="dxa"/>
          </w:tcPr>
          <w:p w14:paraId="31A28FEB" w14:textId="77777777" w:rsidR="00954688" w:rsidRPr="002A5EC3" w:rsidRDefault="00954688" w:rsidP="000C49A5">
            <w:pPr>
              <w:autoSpaceDE w:val="0"/>
              <w:autoSpaceDN w:val="0"/>
              <w:adjustRightInd w:val="0"/>
              <w:spacing w:before="0"/>
              <w:jc w:val="left"/>
              <w:rPr>
                <w:rFonts w:ascii="Calibri" w:hAnsi="Calibri" w:cs="Calibri"/>
                <w:color w:val="000000"/>
                <w:sz w:val="18"/>
                <w:szCs w:val="18"/>
              </w:rPr>
            </w:pPr>
            <w:r w:rsidRPr="002A5EC3">
              <w:rPr>
                <w:rFonts w:ascii="Calibri" w:hAnsi="Calibri" w:cs="Calibri"/>
                <w:color w:val="000000"/>
                <w:sz w:val="18"/>
                <w:szCs w:val="18"/>
              </w:rPr>
              <w:t xml:space="preserve">Univerzita Tomáše Bati ve Zlíně </w:t>
            </w:r>
          </w:p>
        </w:tc>
        <w:tc>
          <w:tcPr>
            <w:tcW w:w="6946" w:type="dxa"/>
          </w:tcPr>
          <w:p w14:paraId="4477EC62" w14:textId="48AA078A" w:rsidR="00954688" w:rsidRDefault="00954688" w:rsidP="000C49A5">
            <w:pPr>
              <w:autoSpaceDE w:val="0"/>
              <w:autoSpaceDN w:val="0"/>
              <w:adjustRightInd w:val="0"/>
              <w:spacing w:before="0"/>
              <w:jc w:val="left"/>
              <w:rPr>
                <w:rFonts w:ascii="Calibri" w:hAnsi="Calibri" w:cs="Calibri"/>
                <w:color w:val="000000"/>
                <w:sz w:val="18"/>
                <w:szCs w:val="18"/>
              </w:rPr>
            </w:pPr>
            <w:r>
              <w:rPr>
                <w:rFonts w:ascii="Calibri" w:hAnsi="Calibri" w:cs="Calibri"/>
                <w:color w:val="000000"/>
                <w:sz w:val="18"/>
                <w:szCs w:val="18"/>
              </w:rPr>
              <w:t>N</w:t>
            </w:r>
            <w:r w:rsidRPr="004A2883">
              <w:rPr>
                <w:rFonts w:ascii="Calibri" w:hAnsi="Calibri" w:cs="Calibri"/>
                <w:color w:val="000000"/>
                <w:sz w:val="18"/>
                <w:szCs w:val="18"/>
              </w:rPr>
              <w:t>a UTB ně</w:t>
            </w:r>
            <w:r>
              <w:rPr>
                <w:rFonts w:ascii="Calibri" w:hAnsi="Calibri" w:cs="Calibri"/>
                <w:color w:val="000000"/>
                <w:sz w:val="18"/>
                <w:szCs w:val="18"/>
              </w:rPr>
              <w:t>kolik výzkumných pracovišť. Výzkum je prováděn v rámci jednotlivých fakult a</w:t>
            </w:r>
            <w:r w:rsidR="00856C35">
              <w:rPr>
                <w:rFonts w:ascii="Calibri" w:hAnsi="Calibri" w:cs="Calibri"/>
                <w:color w:val="000000"/>
                <w:sz w:val="18"/>
                <w:szCs w:val="18"/>
              </w:rPr>
              <w:t> </w:t>
            </w:r>
            <w:r>
              <w:rPr>
                <w:rFonts w:ascii="Calibri" w:hAnsi="Calibri" w:cs="Calibri"/>
                <w:color w:val="000000"/>
                <w:sz w:val="18"/>
                <w:szCs w:val="18"/>
              </w:rPr>
              <w:t xml:space="preserve">v rámci </w:t>
            </w:r>
            <w:r w:rsidRPr="00BD00E4">
              <w:rPr>
                <w:rFonts w:ascii="Calibri" w:hAnsi="Calibri" w:cs="Calibri"/>
                <w:color w:val="000000"/>
                <w:sz w:val="18"/>
                <w:szCs w:val="18"/>
              </w:rPr>
              <w:t>Univerzitní</w:t>
            </w:r>
            <w:r>
              <w:rPr>
                <w:rFonts w:ascii="Calibri" w:hAnsi="Calibri" w:cs="Calibri"/>
                <w:color w:val="000000"/>
                <w:sz w:val="18"/>
                <w:szCs w:val="18"/>
              </w:rPr>
              <w:t>ho</w:t>
            </w:r>
            <w:r w:rsidRPr="00BD00E4">
              <w:rPr>
                <w:rFonts w:ascii="Calibri" w:hAnsi="Calibri" w:cs="Calibri"/>
                <w:color w:val="000000"/>
                <w:sz w:val="18"/>
                <w:szCs w:val="18"/>
              </w:rPr>
              <w:t xml:space="preserve"> institut</w:t>
            </w:r>
            <w:r>
              <w:rPr>
                <w:rFonts w:ascii="Calibri" w:hAnsi="Calibri" w:cs="Calibri"/>
                <w:color w:val="000000"/>
                <w:sz w:val="18"/>
                <w:szCs w:val="18"/>
              </w:rPr>
              <w:t>u</w:t>
            </w:r>
            <w:r w:rsidRPr="00BD00E4">
              <w:rPr>
                <w:rFonts w:ascii="Calibri" w:hAnsi="Calibri" w:cs="Calibri"/>
                <w:color w:val="000000"/>
                <w:sz w:val="18"/>
                <w:szCs w:val="18"/>
              </w:rPr>
              <w:t xml:space="preserve"> (UNI)</w:t>
            </w:r>
            <w:r>
              <w:rPr>
                <w:rFonts w:ascii="Calibri" w:hAnsi="Calibri" w:cs="Calibri"/>
                <w:color w:val="000000"/>
                <w:sz w:val="18"/>
                <w:szCs w:val="18"/>
              </w:rPr>
              <w:t xml:space="preserve">. </w:t>
            </w:r>
            <w:r w:rsidRPr="00BD00E4">
              <w:rPr>
                <w:rFonts w:ascii="Calibri" w:hAnsi="Calibri" w:cs="Calibri"/>
                <w:color w:val="000000"/>
                <w:sz w:val="18"/>
                <w:szCs w:val="18"/>
              </w:rPr>
              <w:t>UNI uskutečňuje transfer technologií, vzdělávací, vědeckou, výzkumnou, vývojovou a další tvůrčí činnost</w:t>
            </w:r>
          </w:p>
          <w:p w14:paraId="47B4466A" w14:textId="77777777" w:rsidR="00954688" w:rsidRDefault="00954688" w:rsidP="000C49A5">
            <w:pPr>
              <w:autoSpaceDE w:val="0"/>
              <w:autoSpaceDN w:val="0"/>
              <w:adjustRightInd w:val="0"/>
              <w:spacing w:before="0"/>
              <w:jc w:val="left"/>
              <w:rPr>
                <w:rFonts w:ascii="Calibri" w:hAnsi="Calibri" w:cs="Calibri"/>
                <w:color w:val="000000"/>
                <w:sz w:val="18"/>
                <w:szCs w:val="18"/>
              </w:rPr>
            </w:pPr>
            <w:r>
              <w:rPr>
                <w:rFonts w:ascii="Calibri" w:hAnsi="Calibri" w:cs="Calibri"/>
                <w:color w:val="000000"/>
                <w:sz w:val="18"/>
                <w:szCs w:val="18"/>
              </w:rPr>
              <w:t>Součást</w:t>
            </w:r>
            <w:r w:rsidRPr="00BD00E4">
              <w:rPr>
                <w:rFonts w:ascii="Calibri" w:hAnsi="Calibri" w:cs="Calibri"/>
                <w:color w:val="000000"/>
                <w:sz w:val="18"/>
                <w:szCs w:val="18"/>
              </w:rPr>
              <w:t>i Univerzitního institutu</w:t>
            </w:r>
            <w:r>
              <w:rPr>
                <w:rFonts w:ascii="Calibri" w:hAnsi="Calibri" w:cs="Calibri"/>
                <w:color w:val="000000"/>
                <w:sz w:val="18"/>
                <w:szCs w:val="18"/>
              </w:rPr>
              <w:t>:</w:t>
            </w:r>
          </w:p>
          <w:p w14:paraId="69FE300A" w14:textId="77777777" w:rsidR="00954688" w:rsidRPr="00F4674F" w:rsidRDefault="00954688" w:rsidP="00A55F7D">
            <w:pPr>
              <w:pStyle w:val="Odstavecseseznamem"/>
              <w:numPr>
                <w:ilvl w:val="1"/>
                <w:numId w:val="130"/>
              </w:numPr>
              <w:autoSpaceDE w:val="0"/>
              <w:autoSpaceDN w:val="0"/>
              <w:adjustRightInd w:val="0"/>
              <w:spacing w:before="0"/>
              <w:ind w:left="317" w:hanging="284"/>
              <w:jc w:val="left"/>
              <w:rPr>
                <w:rFonts w:ascii="Calibri" w:hAnsi="Calibri" w:cs="Calibri"/>
                <w:color w:val="000000"/>
                <w:sz w:val="18"/>
                <w:szCs w:val="18"/>
              </w:rPr>
            </w:pPr>
            <w:r w:rsidRPr="00F4674F">
              <w:rPr>
                <w:rFonts w:ascii="Calibri" w:hAnsi="Calibri" w:cs="Calibri"/>
                <w:color w:val="000000"/>
                <w:sz w:val="18"/>
                <w:szCs w:val="18"/>
              </w:rPr>
              <w:t>Centrum polymerních systémů (CPS) - aplikovaný výzkum polymerů</w:t>
            </w:r>
          </w:p>
          <w:p w14:paraId="5785E02D" w14:textId="3DF02627" w:rsidR="00954688" w:rsidRPr="00F4674F" w:rsidRDefault="00954688" w:rsidP="00A55F7D">
            <w:pPr>
              <w:pStyle w:val="Odstavecseseznamem"/>
              <w:numPr>
                <w:ilvl w:val="1"/>
                <w:numId w:val="130"/>
              </w:numPr>
              <w:autoSpaceDE w:val="0"/>
              <w:autoSpaceDN w:val="0"/>
              <w:adjustRightInd w:val="0"/>
              <w:spacing w:before="0"/>
              <w:ind w:left="317" w:hanging="284"/>
              <w:jc w:val="left"/>
              <w:rPr>
                <w:rFonts w:ascii="Calibri" w:hAnsi="Calibri" w:cs="Calibri"/>
                <w:color w:val="000000"/>
                <w:sz w:val="18"/>
                <w:szCs w:val="18"/>
              </w:rPr>
            </w:pPr>
            <w:r w:rsidRPr="00F4674F">
              <w:rPr>
                <w:rFonts w:ascii="Calibri" w:hAnsi="Calibri" w:cs="Calibri"/>
                <w:color w:val="000000"/>
                <w:sz w:val="18"/>
                <w:szCs w:val="18"/>
              </w:rPr>
              <w:lastRenderedPageBreak/>
              <w:t>Centrum transferu technologií - zabezpečování průmyslově právní ochrany výsledků výzkumu a vývoje (VaV) a provádění potřebných kroků vedoucích k jejich komercializaci</w:t>
            </w:r>
            <w:r w:rsidR="00856C35">
              <w:rPr>
                <w:rFonts w:ascii="Calibri" w:hAnsi="Calibri" w:cs="Calibri"/>
                <w:color w:val="000000"/>
                <w:sz w:val="18"/>
                <w:szCs w:val="18"/>
              </w:rPr>
              <w:t>.</w:t>
            </w:r>
          </w:p>
          <w:p w14:paraId="45F5F171" w14:textId="17EBBA57" w:rsidR="00954688" w:rsidRPr="00F4674F" w:rsidRDefault="00954688" w:rsidP="00A55F7D">
            <w:pPr>
              <w:pStyle w:val="Odstavecseseznamem"/>
              <w:numPr>
                <w:ilvl w:val="1"/>
                <w:numId w:val="130"/>
              </w:numPr>
              <w:autoSpaceDE w:val="0"/>
              <w:autoSpaceDN w:val="0"/>
              <w:adjustRightInd w:val="0"/>
              <w:spacing w:before="0"/>
              <w:ind w:left="317" w:hanging="284"/>
              <w:jc w:val="left"/>
              <w:rPr>
                <w:rFonts w:ascii="Calibri" w:hAnsi="Calibri" w:cs="Calibri"/>
                <w:color w:val="000000"/>
                <w:sz w:val="18"/>
                <w:szCs w:val="18"/>
              </w:rPr>
            </w:pPr>
            <w:r w:rsidRPr="00F4674F">
              <w:rPr>
                <w:rFonts w:ascii="Calibri" w:hAnsi="Calibri" w:cs="Calibri"/>
                <w:color w:val="000000"/>
                <w:sz w:val="18"/>
                <w:szCs w:val="18"/>
              </w:rPr>
              <w:t>Centrum výzkumu obouvání - výzkum a testování obuvnických materiálů, technologií a</w:t>
            </w:r>
            <w:r w:rsidR="003810F1">
              <w:rPr>
                <w:rFonts w:ascii="Calibri" w:hAnsi="Calibri" w:cs="Calibri"/>
                <w:color w:val="000000"/>
                <w:sz w:val="18"/>
                <w:szCs w:val="18"/>
              </w:rPr>
              <w:t> </w:t>
            </w:r>
            <w:r w:rsidRPr="00F4674F">
              <w:rPr>
                <w:rFonts w:ascii="Calibri" w:hAnsi="Calibri" w:cs="Calibri"/>
                <w:color w:val="000000"/>
                <w:sz w:val="18"/>
                <w:szCs w:val="18"/>
              </w:rPr>
              <w:t>designu</w:t>
            </w:r>
            <w:r w:rsidR="003810F1">
              <w:rPr>
                <w:rFonts w:ascii="Calibri" w:hAnsi="Calibri" w:cs="Calibri"/>
                <w:color w:val="000000"/>
                <w:sz w:val="18"/>
                <w:szCs w:val="18"/>
              </w:rPr>
              <w:t>.</w:t>
            </w:r>
          </w:p>
          <w:p w14:paraId="073C66C1" w14:textId="77777777" w:rsidR="00954688" w:rsidRPr="00F4674F" w:rsidRDefault="00954688" w:rsidP="00A55F7D">
            <w:pPr>
              <w:pStyle w:val="Odstavecseseznamem"/>
              <w:numPr>
                <w:ilvl w:val="1"/>
                <w:numId w:val="130"/>
              </w:numPr>
              <w:autoSpaceDE w:val="0"/>
              <w:autoSpaceDN w:val="0"/>
              <w:adjustRightInd w:val="0"/>
              <w:spacing w:before="0"/>
              <w:ind w:left="317" w:hanging="284"/>
              <w:jc w:val="left"/>
              <w:rPr>
                <w:rFonts w:ascii="Calibri" w:hAnsi="Calibri" w:cs="Calibri"/>
                <w:color w:val="000000"/>
                <w:sz w:val="18"/>
                <w:szCs w:val="18"/>
              </w:rPr>
            </w:pPr>
            <w:r w:rsidRPr="00F4674F">
              <w:rPr>
                <w:rFonts w:ascii="Calibri" w:hAnsi="Calibri" w:cs="Calibri"/>
                <w:color w:val="000000"/>
                <w:sz w:val="18"/>
                <w:szCs w:val="18"/>
              </w:rPr>
              <w:t>Vědeckotechnický park - přispívá k zajišťování funkčního transferu výsledků činností aplikovaného výzkumu do praxe.</w:t>
            </w:r>
            <w:r>
              <w:rPr>
                <w:rFonts w:ascii="Calibri" w:hAnsi="Calibri" w:cs="Calibri"/>
                <w:color w:val="000000"/>
                <w:sz w:val="18"/>
                <w:szCs w:val="18"/>
              </w:rPr>
              <w:t xml:space="preserve"> </w:t>
            </w:r>
            <w:r w:rsidRPr="00AC1D99">
              <w:rPr>
                <w:rFonts w:ascii="Calibri" w:hAnsi="Calibri" w:cs="Calibri"/>
                <w:color w:val="000000"/>
                <w:sz w:val="18"/>
                <w:szCs w:val="20"/>
              </w:rPr>
              <w:t>V části parku sídlí Centrum bezpečnostních, informačních a pokročilých technologií (CEBIA-Tech)</w:t>
            </w:r>
            <w:r>
              <w:rPr>
                <w:rFonts w:ascii="Calibri" w:hAnsi="Calibri" w:cs="Calibri"/>
                <w:color w:val="000000"/>
                <w:sz w:val="18"/>
                <w:szCs w:val="20"/>
              </w:rPr>
              <w:t>.</w:t>
            </w:r>
          </w:p>
          <w:p w14:paraId="333EA067" w14:textId="77777777" w:rsidR="00954688" w:rsidRDefault="00954688" w:rsidP="000C49A5">
            <w:pPr>
              <w:autoSpaceDE w:val="0"/>
              <w:autoSpaceDN w:val="0"/>
              <w:adjustRightInd w:val="0"/>
              <w:spacing w:before="0"/>
              <w:jc w:val="left"/>
              <w:rPr>
                <w:rFonts w:ascii="Calibri" w:hAnsi="Calibri" w:cs="Calibri"/>
                <w:color w:val="000000"/>
                <w:sz w:val="18"/>
                <w:szCs w:val="18"/>
              </w:rPr>
            </w:pPr>
            <w:r w:rsidRPr="00BD00E4">
              <w:rPr>
                <w:rFonts w:ascii="Calibri" w:hAnsi="Calibri" w:cs="Calibri"/>
                <w:color w:val="000000"/>
                <w:sz w:val="18"/>
                <w:szCs w:val="18"/>
              </w:rPr>
              <w:t>Tvůrčí činnost na UTB je orientována do oblastí zá</w:t>
            </w:r>
            <w:r>
              <w:rPr>
                <w:rFonts w:ascii="Calibri" w:hAnsi="Calibri" w:cs="Calibri"/>
                <w:color w:val="000000"/>
                <w:sz w:val="18"/>
                <w:szCs w:val="18"/>
              </w:rPr>
              <w:t>kladního a aplikovaného výzkumu:</w:t>
            </w:r>
            <w:r>
              <w:rPr>
                <w:rStyle w:val="Znakapoznpodarou"/>
                <w:rFonts w:ascii="Calibri" w:hAnsi="Calibri" w:cs="Calibri"/>
                <w:color w:val="000000"/>
                <w:sz w:val="18"/>
                <w:szCs w:val="18"/>
              </w:rPr>
              <w:footnoteReference w:id="97"/>
            </w:r>
          </w:p>
          <w:p w14:paraId="049C624B" w14:textId="77777777" w:rsidR="00954688" w:rsidRDefault="00954688" w:rsidP="00A55F7D">
            <w:pPr>
              <w:pStyle w:val="Odstavecseseznamem"/>
              <w:numPr>
                <w:ilvl w:val="0"/>
                <w:numId w:val="129"/>
              </w:numPr>
              <w:autoSpaceDE w:val="0"/>
              <w:autoSpaceDN w:val="0"/>
              <w:adjustRightInd w:val="0"/>
              <w:spacing w:before="0"/>
              <w:jc w:val="left"/>
              <w:rPr>
                <w:rFonts w:ascii="Calibri" w:hAnsi="Calibri" w:cs="Calibri"/>
                <w:color w:val="000000"/>
                <w:sz w:val="18"/>
                <w:szCs w:val="18"/>
              </w:rPr>
            </w:pPr>
            <w:r w:rsidRPr="00F4674F">
              <w:rPr>
                <w:rFonts w:ascii="Calibri" w:hAnsi="Calibri" w:cs="Calibri"/>
                <w:color w:val="000000"/>
                <w:sz w:val="18"/>
                <w:szCs w:val="18"/>
              </w:rPr>
              <w:t xml:space="preserve">Fakulta technologická - výzkum v oblastech reologie polymerů, enzymatická hydrolýza kožedělného odpadu, know-how ve výrobě profylaktické obuvi a vynikající výsledky ve výzkumu historické obuvi. </w:t>
            </w:r>
          </w:p>
          <w:p w14:paraId="7E7386AC" w14:textId="5E290FEB" w:rsidR="00954688" w:rsidRDefault="00954688" w:rsidP="00A55F7D">
            <w:pPr>
              <w:pStyle w:val="Odstavecseseznamem"/>
              <w:numPr>
                <w:ilvl w:val="0"/>
                <w:numId w:val="129"/>
              </w:numPr>
              <w:autoSpaceDE w:val="0"/>
              <w:autoSpaceDN w:val="0"/>
              <w:adjustRightInd w:val="0"/>
              <w:spacing w:before="0"/>
              <w:jc w:val="left"/>
              <w:rPr>
                <w:rFonts w:ascii="Calibri" w:hAnsi="Calibri" w:cs="Calibri"/>
                <w:color w:val="000000"/>
                <w:sz w:val="18"/>
                <w:szCs w:val="18"/>
              </w:rPr>
            </w:pPr>
            <w:r w:rsidRPr="00F4674F">
              <w:rPr>
                <w:rFonts w:ascii="Calibri" w:hAnsi="Calibri" w:cs="Calibri"/>
                <w:color w:val="000000"/>
                <w:sz w:val="18"/>
                <w:szCs w:val="18"/>
              </w:rPr>
              <w:t xml:space="preserve">Fakulta managementu a ekonomiky </w:t>
            </w:r>
            <w:r>
              <w:rPr>
                <w:rFonts w:ascii="Calibri" w:hAnsi="Calibri" w:cs="Calibri"/>
                <w:color w:val="000000"/>
                <w:sz w:val="18"/>
                <w:szCs w:val="18"/>
              </w:rPr>
              <w:t>-</w:t>
            </w:r>
            <w:r w:rsidRPr="00F4674F">
              <w:rPr>
                <w:rFonts w:ascii="Calibri" w:hAnsi="Calibri" w:cs="Calibri"/>
                <w:color w:val="000000"/>
                <w:sz w:val="18"/>
                <w:szCs w:val="18"/>
              </w:rPr>
              <w:t xml:space="preserve"> koncipování průmyslové politiky regionu a</w:t>
            </w:r>
            <w:r w:rsidR="003810F1">
              <w:rPr>
                <w:rFonts w:ascii="Calibri" w:hAnsi="Calibri" w:cs="Calibri"/>
                <w:color w:val="000000"/>
                <w:sz w:val="18"/>
                <w:szCs w:val="18"/>
              </w:rPr>
              <w:t> </w:t>
            </w:r>
            <w:r w:rsidRPr="00F4674F">
              <w:rPr>
                <w:rFonts w:ascii="Calibri" w:hAnsi="Calibri" w:cs="Calibri"/>
                <w:color w:val="000000"/>
                <w:sz w:val="18"/>
                <w:szCs w:val="18"/>
              </w:rPr>
              <w:t>vypracovávání metodických materiálů pro firmy, sloužících k modernizaci podnikových procesů pro zvýšení jejich konkurenceschopnosti.</w:t>
            </w:r>
          </w:p>
          <w:p w14:paraId="310273DD" w14:textId="77777777" w:rsidR="00954688" w:rsidRDefault="00954688" w:rsidP="00A55F7D">
            <w:pPr>
              <w:pStyle w:val="Odstavecseseznamem"/>
              <w:numPr>
                <w:ilvl w:val="0"/>
                <w:numId w:val="129"/>
              </w:numPr>
              <w:autoSpaceDE w:val="0"/>
              <w:autoSpaceDN w:val="0"/>
              <w:adjustRightInd w:val="0"/>
              <w:spacing w:before="0"/>
              <w:jc w:val="left"/>
              <w:rPr>
                <w:rFonts w:ascii="Calibri" w:hAnsi="Calibri" w:cs="Calibri"/>
                <w:color w:val="000000"/>
                <w:sz w:val="18"/>
                <w:szCs w:val="18"/>
              </w:rPr>
            </w:pPr>
            <w:r w:rsidRPr="00F4674F">
              <w:rPr>
                <w:rFonts w:ascii="Calibri" w:hAnsi="Calibri" w:cs="Calibri"/>
                <w:color w:val="000000"/>
                <w:sz w:val="18"/>
                <w:szCs w:val="18"/>
              </w:rPr>
              <w:t xml:space="preserve">Fakulta multimediálních komunikací </w:t>
            </w:r>
            <w:r>
              <w:rPr>
                <w:rFonts w:ascii="Calibri" w:hAnsi="Calibri" w:cs="Calibri"/>
                <w:color w:val="000000"/>
                <w:sz w:val="18"/>
                <w:szCs w:val="18"/>
              </w:rPr>
              <w:t>- oblast</w:t>
            </w:r>
            <w:r w:rsidRPr="00F4674F">
              <w:rPr>
                <w:rFonts w:ascii="Calibri" w:hAnsi="Calibri" w:cs="Calibri"/>
                <w:color w:val="000000"/>
                <w:sz w:val="18"/>
                <w:szCs w:val="18"/>
              </w:rPr>
              <w:t xml:space="preserve"> praktického designu, propagace a výzkum marketingové a interkulturní komunikace.</w:t>
            </w:r>
          </w:p>
          <w:p w14:paraId="4623B708" w14:textId="77777777" w:rsidR="00954688" w:rsidRDefault="00954688" w:rsidP="00A55F7D">
            <w:pPr>
              <w:pStyle w:val="Odstavecseseznamem"/>
              <w:numPr>
                <w:ilvl w:val="0"/>
                <w:numId w:val="129"/>
              </w:numPr>
              <w:autoSpaceDE w:val="0"/>
              <w:autoSpaceDN w:val="0"/>
              <w:adjustRightInd w:val="0"/>
              <w:spacing w:before="0"/>
              <w:jc w:val="left"/>
              <w:rPr>
                <w:rFonts w:ascii="Calibri" w:hAnsi="Calibri" w:cs="Calibri"/>
                <w:color w:val="000000"/>
                <w:sz w:val="18"/>
                <w:szCs w:val="18"/>
              </w:rPr>
            </w:pPr>
            <w:r w:rsidRPr="00F4674F">
              <w:rPr>
                <w:rFonts w:ascii="Calibri" w:hAnsi="Calibri" w:cs="Calibri"/>
                <w:color w:val="000000"/>
                <w:sz w:val="18"/>
                <w:szCs w:val="18"/>
              </w:rPr>
              <w:t>Fakult</w:t>
            </w:r>
            <w:r>
              <w:rPr>
                <w:rFonts w:ascii="Calibri" w:hAnsi="Calibri" w:cs="Calibri"/>
                <w:color w:val="000000"/>
                <w:sz w:val="18"/>
                <w:szCs w:val="18"/>
              </w:rPr>
              <w:t>a</w:t>
            </w:r>
            <w:r w:rsidRPr="00F4674F">
              <w:rPr>
                <w:rFonts w:ascii="Calibri" w:hAnsi="Calibri" w:cs="Calibri"/>
                <w:color w:val="000000"/>
                <w:sz w:val="18"/>
                <w:szCs w:val="18"/>
              </w:rPr>
              <w:t xml:space="preserve"> aplikované informatiky </w:t>
            </w:r>
            <w:r>
              <w:rPr>
                <w:rFonts w:ascii="Calibri" w:hAnsi="Calibri" w:cs="Calibri"/>
                <w:color w:val="000000"/>
                <w:sz w:val="18"/>
                <w:szCs w:val="18"/>
              </w:rPr>
              <w:t>-</w:t>
            </w:r>
            <w:r w:rsidRPr="00F4674F">
              <w:rPr>
                <w:rFonts w:ascii="Calibri" w:hAnsi="Calibri" w:cs="Calibri"/>
                <w:color w:val="000000"/>
                <w:sz w:val="18"/>
                <w:szCs w:val="18"/>
              </w:rPr>
              <w:t xml:space="preserve"> moderní metody teorie automatického řízení, monitorování a řízení technologických procesů, měřící technika, metody umělé inteligence, informační technologie, softwarové inženýrství, matematické modelování technologických procesů s ohledem na jejich automatické řízení a v neposlední řadě řešení automatického řízení v teplárenství. </w:t>
            </w:r>
          </w:p>
          <w:p w14:paraId="63318E43" w14:textId="77777777" w:rsidR="00954688" w:rsidRPr="00F4674F" w:rsidRDefault="00954688" w:rsidP="00A55F7D">
            <w:pPr>
              <w:pStyle w:val="Odstavecseseznamem"/>
              <w:numPr>
                <w:ilvl w:val="0"/>
                <w:numId w:val="129"/>
              </w:numPr>
              <w:autoSpaceDE w:val="0"/>
              <w:autoSpaceDN w:val="0"/>
              <w:adjustRightInd w:val="0"/>
              <w:spacing w:before="0"/>
              <w:jc w:val="left"/>
              <w:rPr>
                <w:rFonts w:ascii="Calibri" w:hAnsi="Calibri" w:cs="Calibri"/>
                <w:color w:val="000000"/>
                <w:sz w:val="18"/>
                <w:szCs w:val="18"/>
              </w:rPr>
            </w:pPr>
            <w:r w:rsidRPr="00F4674F">
              <w:rPr>
                <w:rFonts w:ascii="Calibri" w:hAnsi="Calibri" w:cs="Calibri"/>
                <w:color w:val="000000"/>
                <w:sz w:val="18"/>
                <w:szCs w:val="18"/>
              </w:rPr>
              <w:t xml:space="preserve">Fakulta humanitních studií </w:t>
            </w:r>
            <w:r>
              <w:rPr>
                <w:rFonts w:ascii="Calibri" w:hAnsi="Calibri" w:cs="Calibri"/>
                <w:color w:val="000000"/>
                <w:sz w:val="18"/>
                <w:szCs w:val="18"/>
              </w:rPr>
              <w:t>- vědecká</w:t>
            </w:r>
            <w:r w:rsidRPr="00F4674F">
              <w:rPr>
                <w:rFonts w:ascii="Calibri" w:hAnsi="Calibri" w:cs="Calibri"/>
                <w:color w:val="000000"/>
                <w:sz w:val="18"/>
                <w:szCs w:val="18"/>
              </w:rPr>
              <w:t>, výzkumn</w:t>
            </w:r>
            <w:r>
              <w:rPr>
                <w:rFonts w:ascii="Calibri" w:hAnsi="Calibri" w:cs="Calibri"/>
                <w:color w:val="000000"/>
                <w:sz w:val="18"/>
                <w:szCs w:val="18"/>
              </w:rPr>
              <w:t>á</w:t>
            </w:r>
            <w:r w:rsidRPr="00F4674F">
              <w:rPr>
                <w:rFonts w:ascii="Calibri" w:hAnsi="Calibri" w:cs="Calibri"/>
                <w:color w:val="000000"/>
                <w:sz w:val="18"/>
                <w:szCs w:val="18"/>
              </w:rPr>
              <w:t xml:space="preserve"> a další tvůrčí činnost v oblasti humanitních věd (zejména pedagogiky a dalších společenských věd, vybraných zdravotnických věd a cizích jazyků).</w:t>
            </w:r>
          </w:p>
          <w:p w14:paraId="7F2B90CE" w14:textId="77777777" w:rsidR="00954688" w:rsidRPr="00F4674F" w:rsidRDefault="00954688" w:rsidP="00A55F7D">
            <w:pPr>
              <w:pStyle w:val="Odstavecseseznamem"/>
              <w:numPr>
                <w:ilvl w:val="0"/>
                <w:numId w:val="129"/>
              </w:numPr>
              <w:autoSpaceDE w:val="0"/>
              <w:autoSpaceDN w:val="0"/>
              <w:adjustRightInd w:val="0"/>
              <w:spacing w:before="0"/>
              <w:jc w:val="left"/>
              <w:rPr>
                <w:rFonts w:ascii="Calibri" w:hAnsi="Calibri" w:cs="Calibri"/>
                <w:color w:val="000000"/>
                <w:sz w:val="18"/>
                <w:szCs w:val="18"/>
              </w:rPr>
            </w:pPr>
            <w:r w:rsidRPr="00F4674F">
              <w:rPr>
                <w:rFonts w:ascii="Calibri" w:hAnsi="Calibri" w:cs="Calibri"/>
                <w:color w:val="000000"/>
                <w:sz w:val="18"/>
                <w:szCs w:val="18"/>
              </w:rPr>
              <w:t xml:space="preserve">Fakulty logistiky a krizového řízení </w:t>
            </w:r>
            <w:r>
              <w:rPr>
                <w:rFonts w:ascii="Calibri" w:hAnsi="Calibri" w:cs="Calibri"/>
                <w:color w:val="000000"/>
                <w:sz w:val="18"/>
                <w:szCs w:val="18"/>
              </w:rPr>
              <w:t>-</w:t>
            </w:r>
            <w:r w:rsidRPr="00F4674F">
              <w:rPr>
                <w:rFonts w:ascii="Calibri" w:hAnsi="Calibri" w:cs="Calibri"/>
                <w:color w:val="000000"/>
                <w:sz w:val="18"/>
                <w:szCs w:val="18"/>
              </w:rPr>
              <w:t xml:space="preserve"> </w:t>
            </w:r>
            <w:r>
              <w:rPr>
                <w:rFonts w:ascii="Calibri" w:hAnsi="Calibri" w:cs="Calibri"/>
                <w:color w:val="000000"/>
                <w:sz w:val="18"/>
                <w:szCs w:val="18"/>
              </w:rPr>
              <w:t>vědeckovýzkumná</w:t>
            </w:r>
            <w:r w:rsidRPr="00F4674F">
              <w:rPr>
                <w:rFonts w:ascii="Calibri" w:hAnsi="Calibri" w:cs="Calibri"/>
                <w:color w:val="000000"/>
                <w:sz w:val="18"/>
                <w:szCs w:val="18"/>
              </w:rPr>
              <w:t xml:space="preserve"> činnost</w:t>
            </w:r>
            <w:r>
              <w:rPr>
                <w:rFonts w:ascii="Calibri" w:hAnsi="Calibri" w:cs="Calibri"/>
                <w:color w:val="000000"/>
                <w:sz w:val="18"/>
                <w:szCs w:val="18"/>
              </w:rPr>
              <w:t xml:space="preserve"> v oblasti logistiky, krizového </w:t>
            </w:r>
            <w:r w:rsidRPr="00F4674F">
              <w:rPr>
                <w:rFonts w:ascii="Calibri" w:hAnsi="Calibri" w:cs="Calibri"/>
                <w:color w:val="000000"/>
                <w:sz w:val="18"/>
                <w:szCs w:val="18"/>
              </w:rPr>
              <w:t>řízení a environmentální bezpečnost</w:t>
            </w:r>
            <w:r>
              <w:rPr>
                <w:rFonts w:ascii="Calibri" w:hAnsi="Calibri" w:cs="Calibri"/>
                <w:color w:val="000000"/>
                <w:sz w:val="18"/>
                <w:szCs w:val="18"/>
              </w:rPr>
              <w:t>i</w:t>
            </w:r>
            <w:r w:rsidRPr="00F4674F">
              <w:rPr>
                <w:rFonts w:ascii="Calibri" w:hAnsi="Calibri" w:cs="Calibri"/>
                <w:color w:val="000000"/>
                <w:sz w:val="18"/>
                <w:szCs w:val="18"/>
              </w:rPr>
              <w:t>.</w:t>
            </w:r>
          </w:p>
        </w:tc>
      </w:tr>
    </w:tbl>
    <w:p w14:paraId="6D8E5BF8" w14:textId="06BF05AB" w:rsidR="00954688" w:rsidRDefault="00954688" w:rsidP="00954688">
      <w:pPr>
        <w:pStyle w:val="Zdroj"/>
        <w:spacing w:before="0"/>
      </w:pPr>
      <w:r>
        <w:lastRenderedPageBreak/>
        <w:t>Zdroj: Integrovaný plán rozvoje území Zlín pro období 2014 – 2020, doplněno a aktualizováno P</w:t>
      </w:r>
      <w:r w:rsidR="00856C35">
        <w:t>ROCES,</w:t>
      </w:r>
      <w:r>
        <w:t xml:space="preserve"> 2020</w:t>
      </w:r>
      <w:r w:rsidR="00856C35">
        <w:t>.</w:t>
      </w:r>
    </w:p>
    <w:p w14:paraId="096B2BBD" w14:textId="49BA0E63" w:rsidR="00954688" w:rsidRPr="00AC1D99" w:rsidRDefault="00954688" w:rsidP="00954688">
      <w:pPr>
        <w:pStyle w:val="Titulek"/>
        <w:rPr>
          <w:b w:val="0"/>
          <w:i/>
        </w:rPr>
      </w:pPr>
      <w:bookmarkStart w:id="454" w:name="_Toc53066226"/>
      <w:bookmarkStart w:id="455" w:name="_Toc7707474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68</w:t>
      </w:r>
      <w:r w:rsidR="00081B47">
        <w:rPr>
          <w:noProof/>
        </w:rPr>
        <w:fldChar w:fldCharType="end"/>
      </w:r>
      <w:r w:rsidR="003810F1">
        <w:rPr>
          <w:noProof/>
        </w:rPr>
        <w:t>:</w:t>
      </w:r>
      <w:r>
        <w:t xml:space="preserve"> </w:t>
      </w:r>
      <w:r w:rsidRPr="00AC1D99">
        <w:rPr>
          <w:rFonts w:ascii="Calibri" w:hAnsi="Calibri" w:cs="Calibri"/>
          <w:bCs/>
          <w:color w:val="000000"/>
        </w:rPr>
        <w:t>Klíčové podpůrné instituce v oblasti inovací a podnikání v území</w:t>
      </w:r>
      <w:bookmarkEnd w:id="454"/>
      <w:bookmarkEnd w:id="455"/>
    </w:p>
    <w:tbl>
      <w:tblPr>
        <w:tblW w:w="9214" w:type="dxa"/>
        <w:tblInd w:w="-5" w:type="dxa"/>
        <w:tblBorders>
          <w:top w:val="nil"/>
          <w:left w:val="nil"/>
          <w:bottom w:val="nil"/>
          <w:right w:val="nil"/>
        </w:tblBorders>
        <w:tblLayout w:type="fixed"/>
        <w:tblLook w:val="0000" w:firstRow="0" w:lastRow="0" w:firstColumn="0" w:lastColumn="0" w:noHBand="0" w:noVBand="0"/>
      </w:tblPr>
      <w:tblGrid>
        <w:gridCol w:w="2268"/>
        <w:gridCol w:w="6946"/>
      </w:tblGrid>
      <w:tr w:rsidR="00954688" w:rsidRPr="00AC1D99" w14:paraId="1B44D951" w14:textId="77777777" w:rsidTr="000C49A5">
        <w:trPr>
          <w:cantSplit/>
          <w:trHeight w:val="99"/>
          <w:tblHeader/>
        </w:trPr>
        <w:tc>
          <w:tcPr>
            <w:tcW w:w="2268"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6F79A1D6"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AC1D99">
              <w:rPr>
                <w:rFonts w:ascii="Calibri" w:hAnsi="Calibri" w:cs="Calibri"/>
                <w:b/>
                <w:bCs/>
                <w:color w:val="000000"/>
                <w:sz w:val="18"/>
                <w:szCs w:val="20"/>
              </w:rPr>
              <w:t xml:space="preserve">Název </w:t>
            </w:r>
          </w:p>
        </w:tc>
        <w:tc>
          <w:tcPr>
            <w:tcW w:w="6946"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8428714"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AC1D99">
              <w:rPr>
                <w:rFonts w:ascii="Calibri" w:hAnsi="Calibri" w:cs="Calibri"/>
                <w:b/>
                <w:bCs/>
                <w:color w:val="000000"/>
                <w:sz w:val="18"/>
                <w:szCs w:val="20"/>
              </w:rPr>
              <w:t xml:space="preserve">Základní charakteristika </w:t>
            </w:r>
          </w:p>
        </w:tc>
      </w:tr>
      <w:tr w:rsidR="00954688" w:rsidRPr="00AC1D99" w14:paraId="1C0EAAEE" w14:textId="77777777" w:rsidTr="000C49A5">
        <w:trPr>
          <w:trHeight w:val="1503"/>
        </w:trPr>
        <w:tc>
          <w:tcPr>
            <w:tcW w:w="2268" w:type="dxa"/>
            <w:tcBorders>
              <w:top w:val="single" w:sz="4" w:space="0" w:color="auto"/>
              <w:left w:val="single" w:sz="4" w:space="0" w:color="auto"/>
              <w:bottom w:val="single" w:sz="4" w:space="0" w:color="auto"/>
              <w:right w:val="single" w:sz="4" w:space="0" w:color="auto"/>
            </w:tcBorders>
          </w:tcPr>
          <w:p w14:paraId="3B51C41B"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AC1D99">
              <w:rPr>
                <w:rFonts w:ascii="Calibri" w:hAnsi="Calibri" w:cs="Calibri"/>
                <w:color w:val="000000"/>
                <w:sz w:val="18"/>
                <w:szCs w:val="20"/>
              </w:rPr>
              <w:t xml:space="preserve">Technologické inovační centrum s.r.o. </w:t>
            </w:r>
          </w:p>
        </w:tc>
        <w:tc>
          <w:tcPr>
            <w:tcW w:w="6946" w:type="dxa"/>
            <w:tcBorders>
              <w:top w:val="single" w:sz="4" w:space="0" w:color="auto"/>
              <w:left w:val="single" w:sz="4" w:space="0" w:color="auto"/>
              <w:bottom w:val="single" w:sz="4" w:space="0" w:color="auto"/>
              <w:right w:val="single" w:sz="4" w:space="0" w:color="auto"/>
            </w:tcBorders>
          </w:tcPr>
          <w:p w14:paraId="4ADD04D1" w14:textId="62FF5AE9" w:rsidR="00954688" w:rsidRPr="00AC1D99" w:rsidRDefault="00954688" w:rsidP="003810F1">
            <w:pPr>
              <w:autoSpaceDE w:val="0"/>
              <w:autoSpaceDN w:val="0"/>
              <w:adjustRightInd w:val="0"/>
              <w:spacing w:before="0"/>
              <w:jc w:val="left"/>
              <w:rPr>
                <w:rFonts w:ascii="Calibri" w:hAnsi="Calibri" w:cs="Calibri"/>
                <w:color w:val="000000"/>
                <w:sz w:val="18"/>
                <w:szCs w:val="20"/>
              </w:rPr>
            </w:pPr>
            <w:r w:rsidRPr="00AC1D99">
              <w:rPr>
                <w:rFonts w:ascii="Calibri" w:hAnsi="Calibri" w:cs="Calibri"/>
                <w:color w:val="000000"/>
                <w:sz w:val="18"/>
                <w:szCs w:val="20"/>
              </w:rPr>
              <w:t>Cílem společnosti založené Zlínským krajem a Univerzitou Tomáše Bati ve Zlíně je vytvářet podmínky pro vznik a rozvoj inovačních firem, pro využívání výsledků výzkumu a vývoje v</w:t>
            </w:r>
            <w:r w:rsidR="003810F1">
              <w:rPr>
                <w:rFonts w:ascii="Calibri" w:hAnsi="Calibri" w:cs="Calibri"/>
                <w:color w:val="000000"/>
                <w:sz w:val="18"/>
                <w:szCs w:val="20"/>
              </w:rPr>
              <w:t> </w:t>
            </w:r>
            <w:r w:rsidRPr="00AC1D99">
              <w:rPr>
                <w:rFonts w:ascii="Calibri" w:hAnsi="Calibri" w:cs="Calibri"/>
                <w:color w:val="000000"/>
                <w:sz w:val="18"/>
                <w:szCs w:val="20"/>
              </w:rPr>
              <w:t>podnikatelské praxi a pro rozvíjení nových oborů, technologií a služeb. Společnost provozuje budovu Po</w:t>
            </w:r>
            <w:r>
              <w:rPr>
                <w:rFonts w:ascii="Calibri" w:hAnsi="Calibri" w:cs="Calibri"/>
                <w:color w:val="000000"/>
                <w:sz w:val="18"/>
                <w:szCs w:val="20"/>
              </w:rPr>
              <w:t>dnikatelského inovačního centra</w:t>
            </w:r>
            <w:r w:rsidRPr="00AC1D99">
              <w:rPr>
                <w:rFonts w:ascii="Calibri" w:hAnsi="Calibri" w:cs="Calibri"/>
                <w:color w:val="000000"/>
                <w:sz w:val="18"/>
                <w:szCs w:val="20"/>
              </w:rPr>
              <w:t xml:space="preserve">. </w:t>
            </w:r>
            <w:r>
              <w:rPr>
                <w:rFonts w:ascii="Calibri" w:hAnsi="Calibri" w:cs="Calibri"/>
                <w:color w:val="000000"/>
                <w:sz w:val="18"/>
                <w:szCs w:val="20"/>
              </w:rPr>
              <w:t>Společnost</w:t>
            </w:r>
            <w:r w:rsidRPr="00AC1D99">
              <w:rPr>
                <w:rFonts w:ascii="Calibri" w:hAnsi="Calibri" w:cs="Calibri"/>
                <w:color w:val="000000"/>
                <w:sz w:val="18"/>
                <w:szCs w:val="20"/>
              </w:rPr>
              <w:t xml:space="preserve"> dále </w:t>
            </w:r>
            <w:r w:rsidRPr="00C64111">
              <w:rPr>
                <w:rFonts w:ascii="Calibri" w:hAnsi="Calibri" w:cs="Calibri"/>
                <w:color w:val="000000"/>
                <w:sz w:val="18"/>
                <w:szCs w:val="20"/>
              </w:rPr>
              <w:t>podporujeme transfer znalostí mezi u</w:t>
            </w:r>
            <w:r>
              <w:rPr>
                <w:rFonts w:ascii="Calibri" w:hAnsi="Calibri" w:cs="Calibri"/>
                <w:color w:val="000000"/>
                <w:sz w:val="18"/>
                <w:szCs w:val="20"/>
              </w:rPr>
              <w:t xml:space="preserve">niverzitami a průmyslovou praxí, </w:t>
            </w:r>
            <w:r w:rsidRPr="00C64111">
              <w:rPr>
                <w:rFonts w:ascii="Calibri" w:hAnsi="Calibri" w:cs="Calibri"/>
                <w:color w:val="000000"/>
                <w:sz w:val="18"/>
                <w:szCs w:val="20"/>
              </w:rPr>
              <w:t>provozuje unikátní platformu pro hledání řešení inovačních problémů na principu otevřených inovací</w:t>
            </w:r>
            <w:r>
              <w:rPr>
                <w:rFonts w:ascii="Calibri" w:hAnsi="Calibri" w:cs="Calibri"/>
                <w:color w:val="000000"/>
                <w:sz w:val="18"/>
                <w:szCs w:val="20"/>
              </w:rPr>
              <w:t xml:space="preserve"> apod.</w:t>
            </w:r>
          </w:p>
        </w:tc>
      </w:tr>
      <w:tr w:rsidR="00954688" w:rsidRPr="00AC1D99" w14:paraId="193E28CB" w14:textId="77777777" w:rsidTr="000C49A5">
        <w:trPr>
          <w:trHeight w:val="521"/>
        </w:trPr>
        <w:tc>
          <w:tcPr>
            <w:tcW w:w="2268" w:type="dxa"/>
            <w:tcBorders>
              <w:top w:val="single" w:sz="4" w:space="0" w:color="auto"/>
              <w:left w:val="single" w:sz="4" w:space="0" w:color="auto"/>
              <w:bottom w:val="single" w:sz="4" w:space="0" w:color="auto"/>
              <w:right w:val="single" w:sz="4" w:space="0" w:color="auto"/>
            </w:tcBorders>
          </w:tcPr>
          <w:p w14:paraId="79C0409A"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AC1D99">
              <w:rPr>
                <w:rFonts w:ascii="Calibri" w:hAnsi="Calibri" w:cs="Calibri"/>
                <w:color w:val="000000"/>
                <w:sz w:val="18"/>
                <w:szCs w:val="20"/>
              </w:rPr>
              <w:t xml:space="preserve">Agentura pro podporu podnikání a investic CzechInvest, státní příspěvková organizace MPO ČR </w:t>
            </w:r>
          </w:p>
        </w:tc>
        <w:tc>
          <w:tcPr>
            <w:tcW w:w="6946" w:type="dxa"/>
            <w:tcBorders>
              <w:top w:val="single" w:sz="4" w:space="0" w:color="auto"/>
              <w:left w:val="single" w:sz="4" w:space="0" w:color="auto"/>
              <w:bottom w:val="single" w:sz="4" w:space="0" w:color="auto"/>
              <w:right w:val="single" w:sz="4" w:space="0" w:color="auto"/>
            </w:tcBorders>
          </w:tcPr>
          <w:p w14:paraId="5F7B5379" w14:textId="7D554D1B" w:rsidR="00954688" w:rsidRPr="00AC1D99" w:rsidRDefault="00954688" w:rsidP="003810F1">
            <w:pPr>
              <w:autoSpaceDE w:val="0"/>
              <w:autoSpaceDN w:val="0"/>
              <w:adjustRightInd w:val="0"/>
              <w:spacing w:before="0"/>
              <w:jc w:val="left"/>
              <w:rPr>
                <w:rFonts w:ascii="Calibri" w:hAnsi="Calibri" w:cs="Calibri"/>
                <w:color w:val="000000"/>
                <w:sz w:val="18"/>
                <w:szCs w:val="20"/>
              </w:rPr>
            </w:pPr>
            <w:r w:rsidRPr="00AC1D99">
              <w:rPr>
                <w:rFonts w:ascii="Calibri" w:hAnsi="Calibri" w:cs="Calibri"/>
                <w:color w:val="000000"/>
                <w:sz w:val="18"/>
                <w:szCs w:val="20"/>
              </w:rPr>
              <w:t>Regionální pobočka agentury CzechInvest zaměřuje své aktivity na podporu malých a</w:t>
            </w:r>
            <w:r w:rsidR="003810F1">
              <w:rPr>
                <w:rFonts w:ascii="Calibri" w:hAnsi="Calibri" w:cs="Calibri"/>
                <w:color w:val="000000"/>
                <w:sz w:val="18"/>
                <w:szCs w:val="20"/>
              </w:rPr>
              <w:t> </w:t>
            </w:r>
            <w:r w:rsidRPr="00AC1D99">
              <w:rPr>
                <w:rFonts w:ascii="Calibri" w:hAnsi="Calibri" w:cs="Calibri"/>
                <w:color w:val="000000"/>
                <w:sz w:val="18"/>
                <w:szCs w:val="20"/>
              </w:rPr>
              <w:t xml:space="preserve">středně velkých podniků v oblasti poradenství (dotační tituly, podnikatelské nemovitosti, subdodavatelé), zprostředkování státní podpory a zajištění služeb pro zahraniční investory působící v České republice. </w:t>
            </w:r>
          </w:p>
        </w:tc>
      </w:tr>
      <w:tr w:rsidR="00954688" w:rsidRPr="00AC1D99" w14:paraId="259059CF" w14:textId="77777777" w:rsidTr="000C49A5">
        <w:trPr>
          <w:trHeight w:val="380"/>
        </w:trPr>
        <w:tc>
          <w:tcPr>
            <w:tcW w:w="2268" w:type="dxa"/>
            <w:tcBorders>
              <w:top w:val="single" w:sz="4" w:space="0" w:color="auto"/>
              <w:left w:val="single" w:sz="4" w:space="0" w:color="auto"/>
              <w:bottom w:val="single" w:sz="4" w:space="0" w:color="auto"/>
              <w:right w:val="single" w:sz="4" w:space="0" w:color="auto"/>
            </w:tcBorders>
          </w:tcPr>
          <w:p w14:paraId="00AFB370"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AC1D99">
              <w:rPr>
                <w:rFonts w:ascii="Calibri" w:hAnsi="Calibri" w:cs="Calibri"/>
                <w:color w:val="000000"/>
                <w:sz w:val="18"/>
                <w:szCs w:val="20"/>
              </w:rPr>
              <w:t xml:space="preserve">Plastikářský klastr </w:t>
            </w:r>
          </w:p>
        </w:tc>
        <w:tc>
          <w:tcPr>
            <w:tcW w:w="6946" w:type="dxa"/>
            <w:tcBorders>
              <w:top w:val="single" w:sz="4" w:space="0" w:color="auto"/>
              <w:left w:val="single" w:sz="4" w:space="0" w:color="auto"/>
              <w:bottom w:val="single" w:sz="4" w:space="0" w:color="auto"/>
              <w:right w:val="single" w:sz="4" w:space="0" w:color="auto"/>
            </w:tcBorders>
          </w:tcPr>
          <w:p w14:paraId="6F83924C" w14:textId="336D6D0D"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AC1D99">
              <w:rPr>
                <w:rFonts w:ascii="Calibri" w:hAnsi="Calibri" w:cs="Calibri"/>
                <w:color w:val="000000"/>
                <w:sz w:val="18"/>
                <w:szCs w:val="20"/>
              </w:rPr>
              <w:t>Plastikářský klastr - založen v roce 2006 a v současnosti sdružuje přes 48 ekonomických subjektů zabývajících se aktivitami v plastikářském průmyslu, z nichž 14 subjektů má své sídlo na území města Zlína</w:t>
            </w:r>
            <w:r w:rsidR="003810F1">
              <w:rPr>
                <w:rFonts w:ascii="Calibri" w:hAnsi="Calibri" w:cs="Calibri"/>
                <w:color w:val="000000"/>
                <w:sz w:val="18"/>
                <w:szCs w:val="20"/>
              </w:rPr>
              <w:t>.</w:t>
            </w:r>
            <w:r w:rsidRPr="00AC1D99">
              <w:rPr>
                <w:rFonts w:ascii="Calibri" w:hAnsi="Calibri" w:cs="Calibri"/>
                <w:color w:val="000000"/>
                <w:sz w:val="18"/>
                <w:szCs w:val="20"/>
              </w:rPr>
              <w:t xml:space="preserve"> </w:t>
            </w:r>
          </w:p>
        </w:tc>
      </w:tr>
      <w:tr w:rsidR="00954688" w:rsidRPr="00AC1D99" w14:paraId="0FFDEDB0" w14:textId="77777777" w:rsidTr="000C49A5">
        <w:trPr>
          <w:trHeight w:val="380"/>
        </w:trPr>
        <w:tc>
          <w:tcPr>
            <w:tcW w:w="2268" w:type="dxa"/>
            <w:tcBorders>
              <w:top w:val="single" w:sz="4" w:space="0" w:color="auto"/>
              <w:left w:val="single" w:sz="4" w:space="0" w:color="auto"/>
              <w:bottom w:val="single" w:sz="4" w:space="0" w:color="auto"/>
              <w:right w:val="single" w:sz="4" w:space="0" w:color="auto"/>
            </w:tcBorders>
          </w:tcPr>
          <w:p w14:paraId="2DD2244E"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11272E">
              <w:rPr>
                <w:rFonts w:ascii="Calibri" w:hAnsi="Calibri" w:cs="Calibri"/>
                <w:color w:val="000000"/>
                <w:sz w:val="18"/>
                <w:szCs w:val="20"/>
              </w:rPr>
              <w:t>Zlínský kreativní klastr</w:t>
            </w:r>
          </w:p>
        </w:tc>
        <w:tc>
          <w:tcPr>
            <w:tcW w:w="6946" w:type="dxa"/>
            <w:tcBorders>
              <w:top w:val="single" w:sz="4" w:space="0" w:color="auto"/>
              <w:left w:val="single" w:sz="4" w:space="0" w:color="auto"/>
              <w:bottom w:val="single" w:sz="4" w:space="0" w:color="auto"/>
              <w:right w:val="single" w:sz="4" w:space="0" w:color="auto"/>
            </w:tcBorders>
          </w:tcPr>
          <w:p w14:paraId="71C79076" w14:textId="1CCF9246" w:rsidR="00954688" w:rsidRPr="00AC1D99" w:rsidRDefault="00954688" w:rsidP="003810F1">
            <w:pPr>
              <w:autoSpaceDE w:val="0"/>
              <w:autoSpaceDN w:val="0"/>
              <w:adjustRightInd w:val="0"/>
              <w:spacing w:before="0"/>
              <w:jc w:val="left"/>
              <w:rPr>
                <w:rFonts w:ascii="Calibri" w:hAnsi="Calibri" w:cs="Calibri"/>
                <w:color w:val="000000"/>
                <w:sz w:val="18"/>
                <w:szCs w:val="20"/>
              </w:rPr>
            </w:pPr>
            <w:r w:rsidRPr="0011272E">
              <w:rPr>
                <w:rFonts w:ascii="Calibri" w:hAnsi="Calibri" w:cs="Calibri"/>
                <w:color w:val="000000"/>
                <w:sz w:val="18"/>
                <w:szCs w:val="20"/>
              </w:rPr>
              <w:t>Zlínský kreativní klastr je první klastr v České republice zaměřený na kreativní průmysly. Je tvořen zástupci veřejného, soukromého, neziskového a vzdělávacího sektoru z kreativních a</w:t>
            </w:r>
            <w:r w:rsidR="003810F1">
              <w:rPr>
                <w:rFonts w:ascii="Calibri" w:hAnsi="Calibri" w:cs="Calibri"/>
                <w:color w:val="000000"/>
                <w:sz w:val="18"/>
                <w:szCs w:val="20"/>
              </w:rPr>
              <w:t> </w:t>
            </w:r>
            <w:r w:rsidRPr="0011272E">
              <w:rPr>
                <w:rFonts w:ascii="Calibri" w:hAnsi="Calibri" w:cs="Calibri"/>
                <w:color w:val="000000"/>
                <w:sz w:val="18"/>
                <w:szCs w:val="20"/>
              </w:rPr>
              <w:t>návazných odvětví ve zlínské aglomeraci.  Klastr navazujeme na jeho kreativní odkaz baťovského dědictví v oblasti reklamy, designu a architektury.</w:t>
            </w:r>
            <w:r>
              <w:rPr>
                <w:rFonts w:ascii="Calibri" w:hAnsi="Calibri" w:cs="Calibri"/>
                <w:color w:val="000000"/>
                <w:sz w:val="18"/>
                <w:szCs w:val="20"/>
              </w:rPr>
              <w:t xml:space="preserve"> </w:t>
            </w:r>
          </w:p>
        </w:tc>
      </w:tr>
      <w:tr w:rsidR="00954688" w:rsidRPr="00AC1D99" w14:paraId="1A5D01CE" w14:textId="77777777" w:rsidTr="000C49A5">
        <w:trPr>
          <w:trHeight w:val="520"/>
        </w:trPr>
        <w:tc>
          <w:tcPr>
            <w:tcW w:w="2268" w:type="dxa"/>
            <w:tcBorders>
              <w:top w:val="single" w:sz="4" w:space="0" w:color="auto"/>
              <w:left w:val="single" w:sz="4" w:space="0" w:color="auto"/>
              <w:bottom w:val="single" w:sz="4" w:space="0" w:color="auto"/>
              <w:right w:val="single" w:sz="4" w:space="0" w:color="auto"/>
            </w:tcBorders>
          </w:tcPr>
          <w:p w14:paraId="1B94454B"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sidRPr="00AC1D99">
              <w:rPr>
                <w:rFonts w:ascii="Calibri" w:hAnsi="Calibri" w:cs="Calibri"/>
                <w:color w:val="000000"/>
                <w:sz w:val="18"/>
                <w:szCs w:val="20"/>
              </w:rPr>
              <w:t xml:space="preserve">Krajská hospodářská komora Zlínského kraje </w:t>
            </w:r>
          </w:p>
        </w:tc>
        <w:tc>
          <w:tcPr>
            <w:tcW w:w="6946" w:type="dxa"/>
            <w:tcBorders>
              <w:top w:val="single" w:sz="4" w:space="0" w:color="auto"/>
              <w:left w:val="single" w:sz="4" w:space="0" w:color="auto"/>
              <w:bottom w:val="single" w:sz="4" w:space="0" w:color="auto"/>
              <w:right w:val="single" w:sz="4" w:space="0" w:color="auto"/>
            </w:tcBorders>
          </w:tcPr>
          <w:p w14:paraId="2233053F" w14:textId="77777777" w:rsidR="00954688" w:rsidRPr="00AC1D99" w:rsidRDefault="00954688" w:rsidP="000C49A5">
            <w:pPr>
              <w:autoSpaceDE w:val="0"/>
              <w:autoSpaceDN w:val="0"/>
              <w:adjustRightInd w:val="0"/>
              <w:spacing w:before="0"/>
              <w:jc w:val="left"/>
              <w:rPr>
                <w:rFonts w:ascii="Calibri" w:hAnsi="Calibri" w:cs="Calibri"/>
                <w:color w:val="000000"/>
                <w:sz w:val="18"/>
                <w:szCs w:val="20"/>
              </w:rPr>
            </w:pPr>
            <w:r>
              <w:rPr>
                <w:rFonts w:ascii="Calibri" w:hAnsi="Calibri" w:cs="Calibri"/>
                <w:color w:val="000000"/>
                <w:sz w:val="18"/>
                <w:szCs w:val="20"/>
              </w:rPr>
              <w:t xml:space="preserve">KHK sdružuje téměř 300 členů z řad </w:t>
            </w:r>
            <w:r w:rsidRPr="001104B4">
              <w:rPr>
                <w:rFonts w:ascii="Calibri" w:hAnsi="Calibri" w:cs="Calibri"/>
                <w:color w:val="000000"/>
                <w:sz w:val="18"/>
                <w:szCs w:val="20"/>
              </w:rPr>
              <w:t>fir</w:t>
            </w:r>
            <w:r>
              <w:rPr>
                <w:rFonts w:ascii="Calibri" w:hAnsi="Calibri" w:cs="Calibri"/>
                <w:color w:val="000000"/>
                <w:sz w:val="18"/>
                <w:szCs w:val="20"/>
              </w:rPr>
              <w:t>em a živnostníků</w:t>
            </w:r>
            <w:r w:rsidRPr="001104B4">
              <w:rPr>
                <w:rFonts w:ascii="Calibri" w:hAnsi="Calibri" w:cs="Calibri"/>
                <w:color w:val="000000"/>
                <w:sz w:val="18"/>
                <w:szCs w:val="20"/>
              </w:rPr>
              <w:t xml:space="preserve"> především ze Zlínska, Uherskohradišťska a Vsetínska. </w:t>
            </w:r>
            <w:r>
              <w:rPr>
                <w:rFonts w:ascii="Calibri" w:hAnsi="Calibri" w:cs="Calibri"/>
                <w:color w:val="000000"/>
                <w:sz w:val="18"/>
                <w:szCs w:val="20"/>
              </w:rPr>
              <w:t>Vytváří</w:t>
            </w:r>
            <w:r w:rsidRPr="001104B4">
              <w:rPr>
                <w:rFonts w:ascii="Calibri" w:hAnsi="Calibri" w:cs="Calibri"/>
                <w:color w:val="000000"/>
                <w:sz w:val="18"/>
                <w:szCs w:val="20"/>
              </w:rPr>
              <w:t xml:space="preserve"> platformu pro setkávání a spolupráci</w:t>
            </w:r>
            <w:r>
              <w:rPr>
                <w:rFonts w:ascii="Calibri" w:hAnsi="Calibri" w:cs="Calibri"/>
                <w:color w:val="000000"/>
                <w:sz w:val="18"/>
                <w:szCs w:val="20"/>
              </w:rPr>
              <w:t xml:space="preserve"> podnikatelů v regionu, je u</w:t>
            </w:r>
            <w:r w:rsidRPr="001104B4">
              <w:rPr>
                <w:rFonts w:ascii="Calibri" w:hAnsi="Calibri" w:cs="Calibri"/>
                <w:color w:val="000000"/>
                <w:sz w:val="18"/>
                <w:szCs w:val="20"/>
              </w:rPr>
              <w:t>žitečnou spojnicí mezi firmami a školami, zejména t</w:t>
            </w:r>
            <w:r>
              <w:rPr>
                <w:rFonts w:ascii="Calibri" w:hAnsi="Calibri" w:cs="Calibri"/>
                <w:color w:val="000000"/>
                <w:sz w:val="18"/>
                <w:szCs w:val="20"/>
              </w:rPr>
              <w:t>echnického zaměření, podporuje</w:t>
            </w:r>
            <w:r w:rsidRPr="001104B4">
              <w:rPr>
                <w:rFonts w:ascii="Calibri" w:hAnsi="Calibri" w:cs="Calibri"/>
                <w:color w:val="000000"/>
                <w:sz w:val="18"/>
                <w:szCs w:val="20"/>
              </w:rPr>
              <w:t xml:space="preserve"> technické vzdělávání konkrétními aktivitami</w:t>
            </w:r>
            <w:r>
              <w:rPr>
                <w:rFonts w:ascii="Calibri" w:hAnsi="Calibri" w:cs="Calibri"/>
                <w:color w:val="000000"/>
                <w:sz w:val="18"/>
                <w:szCs w:val="20"/>
              </w:rPr>
              <w:t xml:space="preserve"> a realizuje další aktivity a projekty, které p</w:t>
            </w:r>
            <w:r w:rsidRPr="0032372F">
              <w:rPr>
                <w:rFonts w:ascii="Calibri" w:hAnsi="Calibri" w:cs="Calibri"/>
                <w:color w:val="000000"/>
                <w:sz w:val="18"/>
                <w:szCs w:val="20"/>
              </w:rPr>
              <w:t>odporuj</w:t>
            </w:r>
            <w:r>
              <w:rPr>
                <w:rFonts w:ascii="Calibri" w:hAnsi="Calibri" w:cs="Calibri"/>
                <w:color w:val="000000"/>
                <w:sz w:val="18"/>
                <w:szCs w:val="20"/>
              </w:rPr>
              <w:t>í</w:t>
            </w:r>
            <w:r w:rsidRPr="0032372F">
              <w:rPr>
                <w:rFonts w:ascii="Calibri" w:hAnsi="Calibri" w:cs="Calibri"/>
                <w:color w:val="000000"/>
                <w:sz w:val="18"/>
                <w:szCs w:val="20"/>
              </w:rPr>
              <w:t xml:space="preserve"> zaměstnanost</w:t>
            </w:r>
            <w:r>
              <w:rPr>
                <w:rFonts w:ascii="Calibri" w:hAnsi="Calibri" w:cs="Calibri"/>
                <w:color w:val="000000"/>
                <w:sz w:val="18"/>
                <w:szCs w:val="20"/>
              </w:rPr>
              <w:t xml:space="preserve"> a podnikání</w:t>
            </w:r>
            <w:r w:rsidRPr="0032372F">
              <w:rPr>
                <w:rFonts w:ascii="Calibri" w:hAnsi="Calibri" w:cs="Calibri"/>
                <w:color w:val="000000"/>
                <w:sz w:val="18"/>
                <w:szCs w:val="20"/>
              </w:rPr>
              <w:t xml:space="preserve"> ve Zlínském kraji.</w:t>
            </w:r>
          </w:p>
        </w:tc>
      </w:tr>
    </w:tbl>
    <w:p w14:paraId="7D1AECFC" w14:textId="64F3E85C" w:rsidR="00954688" w:rsidRDefault="00954688" w:rsidP="00954688">
      <w:pPr>
        <w:pStyle w:val="Zdroj"/>
        <w:spacing w:before="0"/>
      </w:pPr>
      <w:r>
        <w:t xml:space="preserve">Zdroj: Integrovaný plán rozvoje území Zlín pro období 2014 </w:t>
      </w:r>
      <w:r w:rsidR="003810F1">
        <w:t>–</w:t>
      </w:r>
      <w:r>
        <w:t xml:space="preserve"> 2020</w:t>
      </w:r>
      <w:r w:rsidR="003810F1">
        <w:t>.</w:t>
      </w:r>
    </w:p>
    <w:p w14:paraId="0D0285BF" w14:textId="1D7FA668" w:rsidR="00954688" w:rsidRDefault="00954688" w:rsidP="00954688">
      <w:r>
        <w:lastRenderedPageBreak/>
        <w:t xml:space="preserve">Potenciál zlepšení je možné spatřovat ve spolupráci firem s akademickým sektorem, s dalšími institucemi vědy a výzkumu i podpůrnými institucemi v oblasti inovací a podnikání. </w:t>
      </w:r>
      <w:r w:rsidRPr="005B5ABC">
        <w:t>Umět spolupracovat, společn</w:t>
      </w:r>
      <w:r>
        <w:t xml:space="preserve">ě přicházet na unikátní řešení </w:t>
      </w:r>
      <w:r w:rsidRPr="005B5ABC">
        <w:t>a zvyšovat konkurenceschopnost svého oboru jsou principy, na kterých stojí klastrové organizace.</w:t>
      </w:r>
      <w:r>
        <w:t xml:space="preserve"> Mimo výše zmíněné klastry, které se nacházejí ve městě Zlíně, funguje v </w:t>
      </w:r>
      <w:r w:rsidR="003810F1">
        <w:t>ne</w:t>
      </w:r>
      <w:r>
        <w:t xml:space="preserve">dalekých Kunovicích Moravský letecký klastr, který </w:t>
      </w:r>
      <w:r w:rsidRPr="0029472A">
        <w:t>tvoří 35 průmyslových společností, středních odborných škol a technických univerzit</w:t>
      </w:r>
      <w:r>
        <w:t xml:space="preserve"> s cílem </w:t>
      </w:r>
      <w:r w:rsidRPr="00054DFF">
        <w:t>rozvíjet konkurenční letecký průmysl</w:t>
      </w:r>
      <w:r>
        <w:t>.</w:t>
      </w:r>
    </w:p>
    <w:p w14:paraId="34D1B027" w14:textId="77777777" w:rsidR="00954688" w:rsidRDefault="00954688" w:rsidP="00954688">
      <w:pPr>
        <w:spacing w:before="0" w:after="160" w:line="259" w:lineRule="auto"/>
        <w:jc w:val="left"/>
      </w:pPr>
      <w:r>
        <w:br w:type="page"/>
      </w:r>
    </w:p>
    <w:p w14:paraId="6B5F91BF" w14:textId="77777777" w:rsidR="00954688" w:rsidRDefault="00954688" w:rsidP="00954688">
      <w:pPr>
        <w:pStyle w:val="Nadpis3"/>
        <w:ind w:left="720"/>
      </w:pPr>
      <w:bookmarkStart w:id="456" w:name="_Toc53066241"/>
      <w:bookmarkStart w:id="457" w:name="_Toc77074604"/>
      <w:r>
        <w:lastRenderedPageBreak/>
        <w:t>Analýza stakeholderů</w:t>
      </w:r>
      <w:bookmarkEnd w:id="456"/>
      <w:bookmarkEnd w:id="457"/>
    </w:p>
    <w:p w14:paraId="4C673476" w14:textId="42EB962A" w:rsidR="00954688" w:rsidRPr="00810531" w:rsidRDefault="00954688" w:rsidP="00954688">
      <w:pPr>
        <w:rPr>
          <w:rFonts w:cstheme="minorHAnsi"/>
          <w:shd w:val="clear" w:color="auto" w:fill="FFFFFF"/>
        </w:rPr>
      </w:pPr>
      <w:r w:rsidRPr="00577E7E">
        <w:rPr>
          <w:rFonts w:cstheme="minorHAnsi"/>
          <w:shd w:val="clear" w:color="auto" w:fill="FFFFFF"/>
        </w:rPr>
        <w:t xml:space="preserve">V rámci získání celkového pohledu na priority rozvoje města Zlín </w:t>
      </w:r>
      <w:r>
        <w:rPr>
          <w:rFonts w:cstheme="minorHAnsi"/>
          <w:shd w:val="clear" w:color="auto" w:fill="FFFFFF"/>
        </w:rPr>
        <w:t xml:space="preserve">byly </w:t>
      </w:r>
      <w:r w:rsidRPr="00577E7E">
        <w:rPr>
          <w:rFonts w:cstheme="minorHAnsi"/>
          <w:shd w:val="clear" w:color="auto" w:fill="FFFFFF"/>
        </w:rPr>
        <w:t xml:space="preserve">do procesu strategického plánování </w:t>
      </w:r>
      <w:r>
        <w:rPr>
          <w:rFonts w:cstheme="minorHAnsi"/>
          <w:shd w:val="clear" w:color="auto" w:fill="FFFFFF"/>
        </w:rPr>
        <w:t>zapojeny vybrané</w:t>
      </w:r>
      <w:r w:rsidRPr="00577E7E">
        <w:rPr>
          <w:rFonts w:cstheme="minorHAnsi"/>
          <w:shd w:val="clear" w:color="auto" w:fill="FFFFFF"/>
        </w:rPr>
        <w:t xml:space="preserve"> zainteresované strany, tzv</w:t>
      </w:r>
      <w:r w:rsidRPr="00BE5F24">
        <w:rPr>
          <w:rFonts w:cstheme="minorHAnsi"/>
          <w:shd w:val="clear" w:color="auto" w:fill="FFFFFF"/>
        </w:rPr>
        <w:t xml:space="preserve">. </w:t>
      </w:r>
      <w:r>
        <w:rPr>
          <w:rStyle w:val="Zdraznn"/>
          <w:rFonts w:cstheme="minorHAnsi"/>
          <w:bCs/>
          <w:shd w:val="clear" w:color="auto" w:fill="FFFFFF"/>
        </w:rPr>
        <w:t>stakeholdeři</w:t>
      </w:r>
      <w:r w:rsidRPr="00577E7E">
        <w:rPr>
          <w:rFonts w:cstheme="minorHAnsi"/>
          <w:shd w:val="clear" w:color="auto" w:fill="FFFFFF"/>
        </w:rPr>
        <w:t xml:space="preserve">. </w:t>
      </w:r>
      <w:r>
        <w:rPr>
          <w:rFonts w:cstheme="minorHAnsi"/>
          <w:shd w:val="clear" w:color="auto" w:fill="FFFFFF"/>
        </w:rPr>
        <w:t xml:space="preserve">Jedná se o </w:t>
      </w:r>
      <w:r>
        <w:t>zástupce klíčových institucí a organizací, které působí na území města, a osobnosti, které mají k městu blízký vztah. Někteří stakeholdeři byli zapojeni do přípravy strategie rozvoje města Zlína v rámci koordinačního výboru a</w:t>
      </w:r>
      <w:r w:rsidR="00B80AC3">
        <w:t> </w:t>
      </w:r>
      <w:r>
        <w:t xml:space="preserve">pracovních skupin a od vybraných stakeholderů byly zjištěny jejich názory na rozvoj města a jejich zájmy ve městě pomocí </w:t>
      </w:r>
      <w:r w:rsidRPr="00810531">
        <w:rPr>
          <w:rFonts w:cstheme="minorHAnsi"/>
          <w:shd w:val="clear" w:color="auto" w:fill="FFFFFF"/>
        </w:rPr>
        <w:t>osobních rozhovorů</w:t>
      </w:r>
      <w:r>
        <w:rPr>
          <w:rFonts w:cstheme="minorHAnsi"/>
          <w:shd w:val="clear" w:color="auto" w:fill="FFFFFF"/>
        </w:rPr>
        <w:t>.</w:t>
      </w:r>
    </w:p>
    <w:p w14:paraId="2E54783F" w14:textId="77777777" w:rsidR="00954688" w:rsidRPr="00577E7E" w:rsidRDefault="00954688" w:rsidP="00954688">
      <w:pPr>
        <w:rPr>
          <w:lang w:eastAsia="cs-CZ"/>
        </w:rPr>
      </w:pPr>
      <w:r>
        <w:rPr>
          <w:lang w:eastAsia="cs-CZ"/>
        </w:rPr>
        <w:t>Analýza stakeholderů probíhala v následujících krocích</w:t>
      </w:r>
      <w:r w:rsidRPr="00577E7E">
        <w:rPr>
          <w:lang w:eastAsia="cs-CZ"/>
        </w:rPr>
        <w:t>:</w:t>
      </w:r>
    </w:p>
    <w:p w14:paraId="7995D982" w14:textId="77777777" w:rsidR="00954688" w:rsidRPr="00810531" w:rsidRDefault="00954688" w:rsidP="00954688">
      <w:pPr>
        <w:keepNext/>
        <w:keepLines/>
        <w:rPr>
          <w:b/>
          <w:lang w:eastAsia="cs-CZ"/>
        </w:rPr>
      </w:pPr>
      <w:r>
        <w:rPr>
          <w:b/>
          <w:lang w:eastAsia="cs-CZ"/>
        </w:rPr>
        <w:t xml:space="preserve">1/ </w:t>
      </w:r>
      <w:r w:rsidRPr="00577E7E">
        <w:rPr>
          <w:b/>
          <w:lang w:eastAsia="cs-CZ"/>
        </w:rPr>
        <w:t xml:space="preserve">Identifikace </w:t>
      </w:r>
      <w:r w:rsidRPr="000818D2">
        <w:rPr>
          <w:b/>
          <w:lang w:eastAsia="cs-CZ"/>
        </w:rPr>
        <w:t xml:space="preserve">stakeholderů </w:t>
      </w:r>
      <w:r>
        <w:rPr>
          <w:b/>
          <w:lang w:eastAsia="cs-CZ"/>
        </w:rPr>
        <w:t>-</w:t>
      </w:r>
      <w:r w:rsidRPr="00810531">
        <w:rPr>
          <w:lang w:eastAsia="cs-CZ"/>
        </w:rPr>
        <w:t xml:space="preserve"> vytvoření</w:t>
      </w:r>
      <w:r w:rsidRPr="000818D2">
        <w:rPr>
          <w:lang w:eastAsia="cs-CZ"/>
        </w:rPr>
        <w:t xml:space="preserve"> seznamu zainteresovaných stran</w:t>
      </w:r>
      <w:r>
        <w:rPr>
          <w:rFonts w:eastAsia="Times New Roman" w:cstheme="minorHAnsi"/>
          <w:color w:val="001332"/>
          <w:spacing w:val="8"/>
          <w:szCs w:val="23"/>
          <w:lang w:eastAsia="cs-CZ"/>
        </w:rPr>
        <w:t xml:space="preserve"> a</w:t>
      </w:r>
      <w:r>
        <w:t xml:space="preserve"> d</w:t>
      </w:r>
      <w:r w:rsidRPr="000818D2">
        <w:t xml:space="preserve">oplnění seznamu členy pracovních skupin. </w:t>
      </w:r>
    </w:p>
    <w:p w14:paraId="04C63B27" w14:textId="77777777" w:rsidR="00954688" w:rsidRDefault="00954688" w:rsidP="00954688">
      <w:pPr>
        <w:keepNext/>
        <w:rPr>
          <w:lang w:eastAsia="cs-CZ"/>
        </w:rPr>
      </w:pPr>
      <w:r w:rsidRPr="000818D2">
        <w:rPr>
          <w:b/>
          <w:lang w:eastAsia="cs-CZ"/>
        </w:rPr>
        <w:t>2/ Prioritizace zainteresovaných stran a jejich zapojení</w:t>
      </w:r>
      <w:r>
        <w:rPr>
          <w:b/>
          <w:lang w:eastAsia="cs-CZ"/>
        </w:rPr>
        <w:t xml:space="preserve"> - </w:t>
      </w:r>
      <w:r>
        <w:rPr>
          <w:lang w:eastAsia="cs-CZ"/>
        </w:rPr>
        <w:t>k</w:t>
      </w:r>
      <w:r w:rsidRPr="00D8215C">
        <w:rPr>
          <w:lang w:eastAsia="cs-CZ"/>
        </w:rPr>
        <w:t>aždý člen pracovní skupiny měl možnost prioritizovat 5 stakeholderů (aktérů, které považoval za klíčové). Následně byl vytvořen seznam klíčových stakeholderů dle priorit členů pracovních skupin.</w:t>
      </w:r>
    </w:p>
    <w:p w14:paraId="43D80270" w14:textId="77777777" w:rsidR="00954688" w:rsidRDefault="00954688" w:rsidP="00954688">
      <w:r>
        <w:rPr>
          <w:b/>
          <w:lang w:eastAsia="cs-CZ"/>
        </w:rPr>
        <w:t>3</w:t>
      </w:r>
      <w:r w:rsidRPr="000818D2">
        <w:rPr>
          <w:b/>
          <w:lang w:eastAsia="cs-CZ"/>
        </w:rPr>
        <w:t>/ Vyhodnocení</w:t>
      </w:r>
      <w:r>
        <w:rPr>
          <w:b/>
          <w:lang w:eastAsia="cs-CZ"/>
        </w:rPr>
        <w:t xml:space="preserve"> - </w:t>
      </w:r>
      <w:r>
        <w:rPr>
          <w:rFonts w:cstheme="minorHAnsi"/>
          <w:lang w:eastAsia="cs-CZ"/>
        </w:rPr>
        <w:t>p</w:t>
      </w:r>
      <w:r w:rsidRPr="000818D2">
        <w:rPr>
          <w:rFonts w:cstheme="minorHAnsi"/>
          <w:lang w:eastAsia="cs-CZ"/>
        </w:rPr>
        <w:t xml:space="preserve">odle potřeby může být některý z vybraných stakeholderů přizván do pracovní skupiny nebo může být zapojen do připomínkovacího procesu </w:t>
      </w:r>
      <w:r w:rsidRPr="000818D2">
        <w:t xml:space="preserve">(individuálně v průběhu tvorby strategie nebo v rámci procesu připomínkování širokou veřejností).  </w:t>
      </w:r>
    </w:p>
    <w:p w14:paraId="50E2502A" w14:textId="7DABF889" w:rsidR="00954688" w:rsidRPr="00A54E0F" w:rsidRDefault="00954688" w:rsidP="00954688">
      <w:pPr>
        <w:keepNext/>
      </w:pPr>
      <w:r>
        <w:rPr>
          <w:b/>
          <w:lang w:eastAsia="cs-CZ"/>
        </w:rPr>
        <w:t>4</w:t>
      </w:r>
      <w:r w:rsidRPr="000818D2">
        <w:rPr>
          <w:b/>
          <w:lang w:eastAsia="cs-CZ"/>
        </w:rPr>
        <w:t xml:space="preserve">/ Rozhovory s významnými </w:t>
      </w:r>
      <w:r w:rsidRPr="00D8215C">
        <w:rPr>
          <w:b/>
          <w:color w:val="000000" w:themeColor="text1"/>
          <w:lang w:eastAsia="cs-CZ"/>
        </w:rPr>
        <w:t>stakeholdery</w:t>
      </w:r>
      <w:r>
        <w:rPr>
          <w:b/>
          <w:color w:val="000000" w:themeColor="text1"/>
          <w:lang w:eastAsia="cs-CZ"/>
        </w:rPr>
        <w:t xml:space="preserve"> a osobnostmi</w:t>
      </w:r>
      <w:r w:rsidR="00B80AC3">
        <w:rPr>
          <w:b/>
          <w:color w:val="000000" w:themeColor="text1"/>
          <w:lang w:eastAsia="cs-CZ"/>
        </w:rPr>
        <w:t xml:space="preserve"> </w:t>
      </w:r>
      <w:r>
        <w:rPr>
          <w:b/>
          <w:lang w:eastAsia="cs-CZ"/>
        </w:rPr>
        <w:t xml:space="preserve">- </w:t>
      </w:r>
      <w:r w:rsidR="00B80AC3">
        <w:rPr>
          <w:lang w:eastAsia="cs-CZ"/>
        </w:rPr>
        <w:t>v</w:t>
      </w:r>
      <w:r w:rsidRPr="000818D2">
        <w:t>ybraní k</w:t>
      </w:r>
      <w:r w:rsidRPr="000818D2">
        <w:rPr>
          <w:rFonts w:cstheme="minorHAnsi"/>
          <w:lang w:eastAsia="cs-CZ"/>
        </w:rPr>
        <w:t>líčoví stakeholdeři</w:t>
      </w:r>
      <w:r>
        <w:rPr>
          <w:rFonts w:cstheme="minorHAnsi"/>
          <w:lang w:eastAsia="cs-CZ"/>
        </w:rPr>
        <w:t xml:space="preserve"> a významné osobnosti</w:t>
      </w:r>
      <w:r w:rsidRPr="000818D2">
        <w:rPr>
          <w:rFonts w:cstheme="minorHAnsi"/>
          <w:lang w:eastAsia="cs-CZ"/>
        </w:rPr>
        <w:t xml:space="preserve"> </w:t>
      </w:r>
      <w:r>
        <w:rPr>
          <w:rFonts w:cstheme="minorHAnsi"/>
          <w:lang w:eastAsia="cs-CZ"/>
        </w:rPr>
        <w:t xml:space="preserve">byli </w:t>
      </w:r>
      <w:r w:rsidRPr="000818D2">
        <w:rPr>
          <w:rFonts w:cstheme="minorHAnsi"/>
          <w:lang w:eastAsia="cs-CZ"/>
        </w:rPr>
        <w:t xml:space="preserve">do přípravy strategie zapojeni formou rozhovorů </w:t>
      </w:r>
      <w:r w:rsidRPr="000818D2">
        <w:t xml:space="preserve">s cílem zajistit jejich názory na město Zlín a </w:t>
      </w:r>
      <w:r>
        <w:t xml:space="preserve">náměty </w:t>
      </w:r>
      <w:r w:rsidRPr="000818D2">
        <w:t xml:space="preserve">či doporučení vedoucí k dalšímu rozvoji města. </w:t>
      </w:r>
      <w:r>
        <w:t>Rozhovory probíhaly od 27. 7. 2020 do 5.</w:t>
      </w:r>
      <w:r w:rsidR="00B80AC3">
        <w:t> </w:t>
      </w:r>
      <w:r>
        <w:t>8.</w:t>
      </w:r>
      <w:r w:rsidR="00B80AC3">
        <w:t> </w:t>
      </w:r>
      <w:r>
        <w:t>2020.</w:t>
      </w:r>
    </w:p>
    <w:p w14:paraId="152A2E0E" w14:textId="77777777" w:rsidR="00954688" w:rsidRDefault="00954688" w:rsidP="00954688">
      <w:pPr>
        <w:rPr>
          <w:rFonts w:cstheme="minorHAnsi"/>
          <w:shd w:val="clear" w:color="auto" w:fill="FFFFFF"/>
        </w:rPr>
      </w:pPr>
      <w:r>
        <w:t>Mezi názory stakeholderů a osobností na město Zlín i doporučení směrem k dalšímu rozvoji města, které vyplynuly z rozhovorů, patřilo následující:</w:t>
      </w:r>
    </w:p>
    <w:p w14:paraId="0E359DEA" w14:textId="77777777" w:rsidR="00954688" w:rsidRDefault="00954688" w:rsidP="00A55F7D">
      <w:pPr>
        <w:pStyle w:val="Odstavecseseznamem"/>
        <w:numPr>
          <w:ilvl w:val="0"/>
          <w:numId w:val="56"/>
        </w:numPr>
      </w:pPr>
      <w:r>
        <w:t>O</w:t>
      </w:r>
      <w:r w:rsidRPr="009B48A5">
        <w:t xml:space="preserve">sobnosti mají </w:t>
      </w:r>
      <w:r>
        <w:t>n</w:t>
      </w:r>
      <w:r w:rsidRPr="009B48A5">
        <w:t xml:space="preserve">ejčastěji </w:t>
      </w:r>
      <w:r>
        <w:t xml:space="preserve">asociaci </w:t>
      </w:r>
      <w:r w:rsidRPr="009B48A5">
        <w:t xml:space="preserve">Zlína </w:t>
      </w:r>
      <w:r>
        <w:t xml:space="preserve">spojenou </w:t>
      </w:r>
      <w:r w:rsidRPr="009B48A5">
        <w:t>s</w:t>
      </w:r>
      <w:r>
        <w:t xml:space="preserve"> Tomášem </w:t>
      </w:r>
      <w:r w:rsidRPr="009B48A5">
        <w:t>B</w:t>
      </w:r>
      <w:r>
        <w:t>a</w:t>
      </w:r>
      <w:r w:rsidRPr="009B48A5">
        <w:t>ťou</w:t>
      </w:r>
      <w:r>
        <w:t>, který se výrazně podepsal na funkcionalistické struktuře Zlína, a další asociaci Zlína jako zelené město (parky, zajímavé biotopy), také</w:t>
      </w:r>
      <w:r w:rsidRPr="009B48A5">
        <w:t xml:space="preserve"> jako bezpečné město</w:t>
      </w:r>
      <w:r>
        <w:t xml:space="preserve"> a moderní město s potenciálem rozvoje. Převažují zcela pozitivní asociace, které vypovídají, že lidé ve Zlíně žijí rádi, případně rádi do něj jezdí.</w:t>
      </w:r>
    </w:p>
    <w:p w14:paraId="39F7D0C8" w14:textId="77777777" w:rsidR="00954688" w:rsidRDefault="00954688" w:rsidP="00A55F7D">
      <w:pPr>
        <w:pStyle w:val="Odstavecseseznamem"/>
        <w:numPr>
          <w:ilvl w:val="0"/>
          <w:numId w:val="56"/>
        </w:numPr>
      </w:pPr>
      <w:r>
        <w:t>Mezi další faktory, které zesilují územní identitu, lze považovat dlouhodobost pobytu, existenci historicky významného objektu, kulturní památky, lidové (nebo i moderní) architektury, svázanost místa se slavnými rodáky, existenci tradic, harmonické životní prostředí a fungující infrastrukturu, generační zakořeněnost, jedinečnost prostředí a krajiny.</w:t>
      </w:r>
    </w:p>
    <w:p w14:paraId="73115A07" w14:textId="18689DB9" w:rsidR="00954688" w:rsidRDefault="00954688" w:rsidP="00A55F7D">
      <w:pPr>
        <w:pStyle w:val="Odstavecseseznamem"/>
        <w:numPr>
          <w:ilvl w:val="0"/>
          <w:numId w:val="56"/>
        </w:numPr>
      </w:pPr>
      <w:r>
        <w:t>V odpovědích na otázku „Co městu chybí“ převažovala shoda v názoru na zastaralé silniční i</w:t>
      </w:r>
      <w:r w:rsidR="00B80AC3">
        <w:t> </w:t>
      </w:r>
      <w:r>
        <w:t>železniční sítě, nedostatečné napojení na krajské komunikace, začlenění elektromobility do města, potřeba parkovacích ploch, nedostačující dopravní infrastruktura.</w:t>
      </w:r>
    </w:p>
    <w:p w14:paraId="7BB7A26B" w14:textId="00778ECA" w:rsidR="00954688" w:rsidRDefault="00954688" w:rsidP="00A55F7D">
      <w:pPr>
        <w:pStyle w:val="Odstavecseseznamem"/>
        <w:numPr>
          <w:ilvl w:val="0"/>
          <w:numId w:val="56"/>
        </w:numPr>
      </w:pPr>
      <w:r>
        <w:t>U osobností výrazně převažuje pozitivní názor na vývoj města. Přičemž velmi pozitivní očekávání budoucího vývoje má 31 % osobností, přestože probíhá krize způsobena COVID-19, tzn.</w:t>
      </w:r>
      <w:r w:rsidR="00B80AC3">
        <w:t>,</w:t>
      </w:r>
      <w:r w:rsidRPr="00505A67">
        <w:t xml:space="preserve"> že všichni vidí rozvojový potenciál města přes očekávaný dopad krize.</w:t>
      </w:r>
    </w:p>
    <w:p w14:paraId="4EDEE805" w14:textId="6C37B7A6" w:rsidR="00954688" w:rsidRDefault="00954688" w:rsidP="00A55F7D">
      <w:pPr>
        <w:pStyle w:val="Odstavecseseznamem"/>
        <w:numPr>
          <w:ilvl w:val="0"/>
          <w:numId w:val="56"/>
        </w:numPr>
      </w:pPr>
      <w:r>
        <w:t>Vybrané osobnosti vidí, že klíčovou roli v rozvoji města má univerzita UTB. Vzdělanost přinášející potenciál, mladí lidé, pracovní příležitosti, výstavba bytů pro mladé. Rozvoj vědy a</w:t>
      </w:r>
      <w:r w:rsidR="00B80AC3">
        <w:t> </w:t>
      </w:r>
      <w:r>
        <w:t>výzkumu. Možnosti rozpohybovat mladou generaci kulturou, sportem, volnočasovými aktivitami.</w:t>
      </w:r>
    </w:p>
    <w:p w14:paraId="5877D91D" w14:textId="77777777" w:rsidR="00954688" w:rsidRDefault="00954688" w:rsidP="00A55F7D">
      <w:pPr>
        <w:pStyle w:val="Odstavecseseznamem"/>
        <w:numPr>
          <w:ilvl w:val="0"/>
          <w:numId w:val="56"/>
        </w:numPr>
      </w:pPr>
      <w:r>
        <w:t>Všechny osobnosti vidí prioritu ve směřování investic města do zlepšení dopravní infrastruktury včetně parkování. Další klíčovou prioritou je rozvoj bytové výstavby především pro mladé obyvatele.</w:t>
      </w:r>
    </w:p>
    <w:p w14:paraId="08D10A73" w14:textId="77777777" w:rsidR="00954688" w:rsidRPr="00BA0172" w:rsidRDefault="00954688" w:rsidP="00A55F7D">
      <w:pPr>
        <w:pStyle w:val="Odstavecseseznamem"/>
        <w:numPr>
          <w:ilvl w:val="0"/>
          <w:numId w:val="56"/>
        </w:numPr>
      </w:pPr>
      <w:r>
        <w:t>Za hrozby pro město vybrané osobnosti považují nejčastěji odchod mladých lidí pro nedostatek pracovních příležitostí a nedostatek bytů. Řešení dopravní situace a parkování. Město bez rozvojového potenciálu, které se stane skanzenem.</w:t>
      </w:r>
    </w:p>
    <w:p w14:paraId="568A9A3E" w14:textId="77777777" w:rsidR="00954688" w:rsidRPr="003A547B" w:rsidRDefault="00954688" w:rsidP="00A55F7D">
      <w:pPr>
        <w:pStyle w:val="Odstavecseseznamem"/>
        <w:numPr>
          <w:ilvl w:val="0"/>
          <w:numId w:val="56"/>
        </w:numPr>
      </w:pPr>
      <w:r>
        <w:lastRenderedPageBreak/>
        <w:t xml:space="preserve">Za nejoblíbenější, nejzajímavější místa ve Zlíně jsou shodně uváděny revitalizované parky. Urbanistické uspořádání města ve stylu, který mu vtiskl T. Baťa. Za hodnotné jsou považovány také okolní kopce a krajina v okolí Zlína. Za důležité pro Zlín jsou považovány revitalizace vybraných budov. </w:t>
      </w:r>
      <w:r w:rsidRPr="003A547B">
        <w:t>Za v současnosti špatné a potřebné změnit považují všichni chátrající památné budovy, ale také vlakové i autobusové nádraží.</w:t>
      </w:r>
    </w:p>
    <w:p w14:paraId="1E4C2CC5" w14:textId="35C7AE70" w:rsidR="00954688" w:rsidRDefault="00954688" w:rsidP="00A55F7D">
      <w:pPr>
        <w:pStyle w:val="Odstavecseseznamem"/>
        <w:numPr>
          <w:ilvl w:val="0"/>
          <w:numId w:val="56"/>
        </w:numPr>
      </w:pPr>
      <w:r>
        <w:t>Osobnosti se zamýšlely nad vizí města. Vybrané osobnosti se shodly na potřebě vytvořit dostatek prostoru pro zdravý, aktivní a společenský život ve městě. Vytvořit možnost bezpečně chodit pěšky i jezdit na kole. Chtějí žít ve městě bez větších problémů s dopravními zácpami, hlukem, znečištěním a dalšími zdravotními riziky. Za důležité považují pokračovat v Baťově konceptu, který je příkladem pro celý svět. Chtějí udržovat tradice, podporovat rodinu a</w:t>
      </w:r>
      <w:r w:rsidR="00B80AC3">
        <w:t> </w:t>
      </w:r>
      <w:r>
        <w:t>setkávat se s přáteli. Vytvářet přátelské, otevřené město pro občany, kteří se chtějí rozvíjet.</w:t>
      </w:r>
    </w:p>
    <w:p w14:paraId="6B5E38C9" w14:textId="77777777" w:rsidR="00954688" w:rsidRDefault="00954688" w:rsidP="00954688">
      <w:r w:rsidRPr="00810531">
        <w:rPr>
          <w:rFonts w:cstheme="minorHAnsi"/>
          <w:shd w:val="clear" w:color="auto" w:fill="FFFFFF"/>
        </w:rPr>
        <w:t>Ko</w:t>
      </w:r>
      <w:r>
        <w:rPr>
          <w:rFonts w:cstheme="minorHAnsi"/>
          <w:shd w:val="clear" w:color="auto" w:fill="FFFFFF"/>
        </w:rPr>
        <w:t>m</w:t>
      </w:r>
      <w:r w:rsidRPr="00810531">
        <w:rPr>
          <w:rFonts w:cstheme="minorHAnsi"/>
          <w:shd w:val="clear" w:color="auto" w:fill="FFFFFF"/>
        </w:rPr>
        <w:t>pl</w:t>
      </w:r>
      <w:r>
        <w:rPr>
          <w:rFonts w:cstheme="minorHAnsi"/>
          <w:shd w:val="clear" w:color="auto" w:fill="FFFFFF"/>
        </w:rPr>
        <w:t>etní analýza stakeholderů a z</w:t>
      </w:r>
      <w:r w:rsidRPr="00D8215C">
        <w:rPr>
          <w:rFonts w:cstheme="minorHAnsi"/>
          <w:shd w:val="clear" w:color="auto" w:fill="FFFFFF"/>
        </w:rPr>
        <w:t>práva o realizaci průzkumu stakeholderů a osobností</w:t>
      </w:r>
      <w:r>
        <w:rPr>
          <w:rFonts w:cstheme="minorHAnsi"/>
          <w:shd w:val="clear" w:color="auto" w:fill="FFFFFF"/>
        </w:rPr>
        <w:t xml:space="preserve"> je uvedena v příloze analytické části.</w:t>
      </w:r>
    </w:p>
    <w:p w14:paraId="18B57234" w14:textId="77777777" w:rsidR="00954688" w:rsidRPr="00810531" w:rsidRDefault="00954688" w:rsidP="00954688">
      <w:pPr>
        <w:rPr>
          <w:rFonts w:cstheme="minorHAnsi"/>
          <w:shd w:val="clear" w:color="auto" w:fill="FFFFFF"/>
        </w:rPr>
      </w:pPr>
    </w:p>
    <w:p w14:paraId="03EB000C" w14:textId="77777777" w:rsidR="00954688" w:rsidRDefault="00954688" w:rsidP="00954688">
      <w:pPr>
        <w:spacing w:before="0" w:after="160" w:line="259" w:lineRule="auto"/>
        <w:jc w:val="left"/>
      </w:pPr>
      <w:r>
        <w:br w:type="page"/>
      </w:r>
    </w:p>
    <w:p w14:paraId="696D86F3" w14:textId="77777777" w:rsidR="00954688" w:rsidRDefault="00954688" w:rsidP="00954688">
      <w:pPr>
        <w:pStyle w:val="Nadpis3"/>
        <w:ind w:left="720"/>
      </w:pPr>
      <w:bookmarkStart w:id="458" w:name="_Toc53066242"/>
      <w:bookmarkStart w:id="459" w:name="_Toc77074605"/>
      <w:r>
        <w:lastRenderedPageBreak/>
        <w:t>Průzkum podnikatelského prostředí</w:t>
      </w:r>
      <w:bookmarkEnd w:id="458"/>
      <w:bookmarkEnd w:id="459"/>
    </w:p>
    <w:p w14:paraId="29DF1A21" w14:textId="51F7E72C" w:rsidR="00954688" w:rsidRDefault="00954688" w:rsidP="00954688">
      <w:pPr>
        <w:rPr>
          <w:rFonts w:cstheme="minorHAnsi"/>
        </w:rPr>
      </w:pPr>
      <w:r>
        <w:rPr>
          <w:rFonts w:cstheme="minorHAnsi"/>
        </w:rPr>
        <w:t>Na základě potřeb zjištění s</w:t>
      </w:r>
      <w:r w:rsidRPr="001A3416">
        <w:rPr>
          <w:rFonts w:cstheme="minorHAnsi"/>
        </w:rPr>
        <w:t>ubjektivního pocitu vnímání podnikatel</w:t>
      </w:r>
      <w:r>
        <w:rPr>
          <w:rFonts w:cstheme="minorHAnsi"/>
        </w:rPr>
        <w:t xml:space="preserve">ského prostředí ve městě Zlíně </w:t>
      </w:r>
      <w:r w:rsidRPr="001A3416">
        <w:rPr>
          <w:rFonts w:cstheme="minorHAnsi"/>
        </w:rPr>
        <w:t>byl realizo</w:t>
      </w:r>
      <w:r>
        <w:rPr>
          <w:rFonts w:cstheme="minorHAnsi"/>
        </w:rPr>
        <w:t xml:space="preserve">ván v období od 3. 7. do 17. </w:t>
      </w:r>
      <w:r w:rsidRPr="001A3416">
        <w:rPr>
          <w:rFonts w:cstheme="minorHAnsi"/>
        </w:rPr>
        <w:t>8. 2020</w:t>
      </w:r>
      <w:r>
        <w:rPr>
          <w:rFonts w:cstheme="minorHAnsi"/>
        </w:rPr>
        <w:t xml:space="preserve"> průzkum podnikatelského prostředí. </w:t>
      </w:r>
      <w:r>
        <w:t xml:space="preserve">Průzkumu se </w:t>
      </w:r>
      <w:r>
        <w:rPr>
          <w:rFonts w:cstheme="minorHAnsi"/>
        </w:rPr>
        <w:t xml:space="preserve">zúčastnilo </w:t>
      </w:r>
      <w:r w:rsidRPr="001A3416">
        <w:rPr>
          <w:rFonts w:cstheme="minorHAnsi"/>
        </w:rPr>
        <w:t>45</w:t>
      </w:r>
      <w:r>
        <w:rPr>
          <w:rFonts w:cstheme="minorHAnsi"/>
        </w:rPr>
        <w:t xml:space="preserve"> respondentů - c</w:t>
      </w:r>
      <w:r w:rsidRPr="001A3416">
        <w:rPr>
          <w:rFonts w:cstheme="minorHAnsi"/>
        </w:rPr>
        <w:t xml:space="preserve">elkem 31 respondentů je z řad </w:t>
      </w:r>
      <w:r>
        <w:t>středních a velkých</w:t>
      </w:r>
      <w:r w:rsidRPr="001A3416">
        <w:rPr>
          <w:rFonts w:cstheme="minorHAnsi"/>
        </w:rPr>
        <w:t xml:space="preserve"> firem podnikajících nebo působících ve městě Zlíně</w:t>
      </w:r>
      <w:r>
        <w:rPr>
          <w:rFonts w:cstheme="minorHAnsi"/>
        </w:rPr>
        <w:t xml:space="preserve"> (</w:t>
      </w:r>
      <w:r w:rsidRPr="001A3416">
        <w:rPr>
          <w:rFonts w:cstheme="minorHAnsi"/>
        </w:rPr>
        <w:t xml:space="preserve">nejvýznamnějších </w:t>
      </w:r>
      <w:r>
        <w:t xml:space="preserve">firmy </w:t>
      </w:r>
      <w:r>
        <w:rPr>
          <w:rFonts w:cstheme="minorHAnsi"/>
        </w:rPr>
        <w:t>zaměstnávajících více než</w:t>
      </w:r>
      <w:r>
        <w:t xml:space="preserve"> 50 zaměstnanců</w:t>
      </w:r>
      <w:r>
        <w:rPr>
          <w:rFonts w:cstheme="minorHAnsi"/>
        </w:rPr>
        <w:t xml:space="preserve">) </w:t>
      </w:r>
      <w:r w:rsidRPr="001A3416">
        <w:rPr>
          <w:rFonts w:cstheme="minorHAnsi"/>
        </w:rPr>
        <w:t>a</w:t>
      </w:r>
      <w:r w:rsidR="00B80AC3">
        <w:rPr>
          <w:rFonts w:cstheme="minorHAnsi"/>
        </w:rPr>
        <w:t> </w:t>
      </w:r>
      <w:r w:rsidRPr="001A3416">
        <w:rPr>
          <w:rFonts w:cstheme="minorHAnsi"/>
        </w:rPr>
        <w:t>celkem 14 z řad malých firem</w:t>
      </w:r>
      <w:r>
        <w:rPr>
          <w:rFonts w:cstheme="minorHAnsi"/>
        </w:rPr>
        <w:t xml:space="preserve"> </w:t>
      </w:r>
      <w:r>
        <w:t>(firmy do 50 zaměstnanců)</w:t>
      </w:r>
      <w:r>
        <w:rPr>
          <w:rFonts w:cstheme="minorHAnsi"/>
        </w:rPr>
        <w:t xml:space="preserve">. </w:t>
      </w:r>
      <w:r w:rsidRPr="001A3416">
        <w:rPr>
          <w:rFonts w:cstheme="minorHAnsi"/>
        </w:rPr>
        <w:t>Cílem průzkumu bylo získat názory subjektů o podnikatelském klimatu ve městě, poznat problémy a plány rozvoje podnikatelských subjektů, které investují a vytvářejí pracovní př</w:t>
      </w:r>
      <w:r>
        <w:rPr>
          <w:rFonts w:cstheme="minorHAnsi"/>
        </w:rPr>
        <w:t>íležitosti pro místní obyvatele</w:t>
      </w:r>
      <w:r w:rsidRPr="001A3416">
        <w:rPr>
          <w:rFonts w:cstheme="minorHAnsi"/>
        </w:rPr>
        <w:t>.</w:t>
      </w:r>
      <w:r>
        <w:rPr>
          <w:rFonts w:cstheme="minorHAnsi"/>
        </w:rPr>
        <w:t xml:space="preserve"> Kompletní zpráva z realizace</w:t>
      </w:r>
      <w:r w:rsidRPr="001A3416">
        <w:rPr>
          <w:rFonts w:cstheme="minorHAnsi"/>
        </w:rPr>
        <w:t xml:space="preserve"> průzkumu </w:t>
      </w:r>
      <w:r>
        <w:rPr>
          <w:rFonts w:cstheme="minorHAnsi"/>
        </w:rPr>
        <w:t xml:space="preserve">je umístěna v příloze analytické části. </w:t>
      </w:r>
      <w:r w:rsidRPr="001A3416">
        <w:rPr>
          <w:rFonts w:cstheme="minorHAnsi"/>
        </w:rPr>
        <w:t xml:space="preserve">Mezi respondenty byly nejvíce zastoupeny firmy působící ve zpracovatelském průmyslu, tvoří 51,1 % respondentů. Oblast činnost ve zpracovatelském průmyslu převažovala jak u </w:t>
      </w:r>
      <w:r>
        <w:t>středních a velkých</w:t>
      </w:r>
      <w:r w:rsidRPr="001A3416">
        <w:rPr>
          <w:rFonts w:cstheme="minorHAnsi"/>
        </w:rPr>
        <w:t xml:space="preserve"> tak u malých firem z řad respondentů.</w:t>
      </w:r>
    </w:p>
    <w:p w14:paraId="6EFA3582" w14:textId="5E116D90" w:rsidR="00954688" w:rsidRDefault="00954688" w:rsidP="00954688">
      <w:pPr>
        <w:rPr>
          <w:rFonts w:cstheme="minorHAnsi"/>
        </w:rPr>
      </w:pPr>
      <w:r>
        <w:rPr>
          <w:rFonts w:cstheme="minorHAnsi"/>
        </w:rPr>
        <w:t>Z průzkumu vyplynulo, že nejsou podnikatelé</w:t>
      </w:r>
      <w:r w:rsidRPr="001D56FA">
        <w:rPr>
          <w:rFonts w:cstheme="minorHAnsi"/>
        </w:rPr>
        <w:t xml:space="preserve"> ve městě Zlíně</w:t>
      </w:r>
      <w:r>
        <w:rPr>
          <w:rFonts w:cstheme="minorHAnsi"/>
        </w:rPr>
        <w:t xml:space="preserve"> celkově s podnikatelským prostředím </w:t>
      </w:r>
      <w:r w:rsidRPr="001D56FA">
        <w:rPr>
          <w:rFonts w:cstheme="minorHAnsi"/>
        </w:rPr>
        <w:t xml:space="preserve">nespokojeni, ale nevyjádřili ani výraznou spokojenost. Jsou zejména spokojeni s kvalitou života na území </w:t>
      </w:r>
      <w:r>
        <w:rPr>
          <w:rFonts w:cstheme="minorHAnsi"/>
        </w:rPr>
        <w:t>města a s dodavateli v regionu (viz graf v</w:t>
      </w:r>
      <w:r w:rsidR="00E111E6">
        <w:rPr>
          <w:rFonts w:cstheme="minorHAnsi"/>
        </w:rPr>
        <w:t> </w:t>
      </w:r>
      <w:r>
        <w:rPr>
          <w:rFonts w:cstheme="minorHAnsi"/>
        </w:rPr>
        <w:t>obrázku</w:t>
      </w:r>
      <w:r w:rsidR="00E111E6">
        <w:rPr>
          <w:rFonts w:cstheme="minorHAnsi"/>
        </w:rPr>
        <w:t xml:space="preserve"> 1.93</w:t>
      </w:r>
      <w:r>
        <w:rPr>
          <w:rFonts w:cstheme="minorHAnsi"/>
        </w:rPr>
        <w:t xml:space="preserve">). </w:t>
      </w:r>
      <w:r w:rsidRPr="001D56FA">
        <w:rPr>
          <w:rFonts w:cstheme="minorHAnsi"/>
        </w:rPr>
        <w:t>Mezi nejčastěji uváděná pozitiva místního podnikatelského prostředí patří pozitivum podnik</w:t>
      </w:r>
      <w:r>
        <w:rPr>
          <w:rFonts w:cstheme="minorHAnsi"/>
        </w:rPr>
        <w:t>atelské tradice ve městě spojené</w:t>
      </w:r>
      <w:r w:rsidRPr="001D56FA">
        <w:rPr>
          <w:rFonts w:cstheme="minorHAnsi"/>
        </w:rPr>
        <w:t xml:space="preserve"> s</w:t>
      </w:r>
      <w:r w:rsidR="00B80AC3">
        <w:rPr>
          <w:rFonts w:cstheme="minorHAnsi"/>
        </w:rPr>
        <w:t> </w:t>
      </w:r>
      <w:r w:rsidRPr="001D56FA">
        <w:rPr>
          <w:rFonts w:cstheme="minorHAnsi"/>
        </w:rPr>
        <w:t>osobností Tomáše Bati, ze které vychází pracovitost místních lidí, také spolupráce a vzájemná podpora mezi podnikateli v regionu, s místní vysokou školou, s Úřadem práce.</w:t>
      </w:r>
    </w:p>
    <w:p w14:paraId="0FE3AE0C" w14:textId="77777777" w:rsidR="00954688" w:rsidRPr="001D56FA" w:rsidRDefault="00954688" w:rsidP="00954688">
      <w:pPr>
        <w:rPr>
          <w:rFonts w:cstheme="minorHAnsi"/>
        </w:rPr>
      </w:pPr>
      <w:r w:rsidRPr="001D56FA">
        <w:rPr>
          <w:rFonts w:cstheme="minorHAnsi"/>
        </w:rPr>
        <w:t>Většina respondentů je spokojena</w:t>
      </w:r>
      <w:r>
        <w:rPr>
          <w:rFonts w:cstheme="minorHAnsi"/>
        </w:rPr>
        <w:t xml:space="preserve"> i</w:t>
      </w:r>
      <w:r w:rsidRPr="001D56FA">
        <w:rPr>
          <w:rFonts w:cstheme="minorHAnsi"/>
        </w:rPr>
        <w:t xml:space="preserve"> s kvalitou úřadů a institucí ve Zlíně.</w:t>
      </w:r>
      <w:r>
        <w:rPr>
          <w:rFonts w:cstheme="minorHAnsi"/>
        </w:rPr>
        <w:t xml:space="preserve"> Téměř polovina z nich by ocenila vlastní z</w:t>
      </w:r>
      <w:r w:rsidRPr="001D56FA">
        <w:rPr>
          <w:rFonts w:cstheme="minorHAnsi"/>
        </w:rPr>
        <w:t xml:space="preserve">apojení do tvorby a realizace rozvojových plánů města. </w:t>
      </w:r>
    </w:p>
    <w:p w14:paraId="2C98B28A" w14:textId="1243CBF1" w:rsidR="00954688" w:rsidRPr="001A3416" w:rsidRDefault="00954688" w:rsidP="00954688">
      <w:pPr>
        <w:pStyle w:val="Titulek"/>
        <w:keepNext/>
        <w:keepLines/>
      </w:pPr>
      <w:bookmarkStart w:id="460" w:name="_Toc49152901"/>
      <w:bookmarkStart w:id="461" w:name="_Toc53066205"/>
      <w:bookmarkStart w:id="462" w:name="_Toc77074911"/>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93</w:t>
      </w:r>
      <w:r w:rsidR="00804AF3">
        <w:rPr>
          <w:noProof/>
        </w:rPr>
        <w:fldChar w:fldCharType="end"/>
      </w:r>
      <w:r w:rsidR="00B80AC3">
        <w:rPr>
          <w:noProof/>
        </w:rPr>
        <w:t>:</w:t>
      </w:r>
      <w:r w:rsidRPr="001A3416">
        <w:t xml:space="preserve"> Spokojenost s podnikatelským prostředím ve městě Zlín</w:t>
      </w:r>
      <w:bookmarkEnd w:id="460"/>
      <w:bookmarkEnd w:id="461"/>
      <w:bookmarkEnd w:id="462"/>
    </w:p>
    <w:p w14:paraId="79062A1A" w14:textId="4F719A7E" w:rsidR="00954688" w:rsidRPr="001A3416" w:rsidRDefault="00954688" w:rsidP="00954688">
      <w:pPr>
        <w:rPr>
          <w:rStyle w:val="ZdrojChar"/>
          <w:rFonts w:eastAsiaTheme="minorHAnsi"/>
        </w:rPr>
      </w:pPr>
      <w:r>
        <w:rPr>
          <w:rStyle w:val="zdrojChar0"/>
          <w:rFonts w:eastAsiaTheme="minorHAnsi"/>
          <w:noProof/>
        </w:rPr>
        <w:drawing>
          <wp:inline distT="0" distB="0" distL="0" distR="0" wp14:anchorId="2E69C482" wp14:editId="2AA48971">
            <wp:extent cx="5742940" cy="4257675"/>
            <wp:effectExtent l="0" t="0" r="0" b="9525"/>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42940" cy="4257675"/>
                    </a:xfrm>
                    <a:prstGeom prst="rect">
                      <a:avLst/>
                    </a:prstGeom>
                    <a:noFill/>
                  </pic:spPr>
                </pic:pic>
              </a:graphicData>
            </a:graphic>
          </wp:inline>
        </w:drawing>
      </w:r>
      <w:r w:rsidRPr="001A3416">
        <w:rPr>
          <w:rStyle w:val="zdrojChar0"/>
          <w:rFonts w:eastAsiaTheme="minorHAnsi"/>
        </w:rPr>
        <w:t>Zdroj: PROCES, Průzkum podnikatelského prostředí města Zlína, 2020</w:t>
      </w:r>
      <w:r>
        <w:rPr>
          <w:rStyle w:val="zdrojChar0"/>
          <w:rFonts w:eastAsiaTheme="minorHAnsi"/>
        </w:rPr>
        <w:t xml:space="preserve">, Otázka č. 4: </w:t>
      </w:r>
      <w:r w:rsidRPr="000D6DDF">
        <w:rPr>
          <w:rStyle w:val="zdrojChar0"/>
          <w:rFonts w:eastAsiaTheme="minorHAnsi"/>
        </w:rPr>
        <w:t>Jak jste spokojen/a s</w:t>
      </w:r>
      <w:r w:rsidR="00B80AC3">
        <w:rPr>
          <w:rStyle w:val="zdrojChar0"/>
          <w:rFonts w:eastAsiaTheme="minorHAnsi"/>
        </w:rPr>
        <w:t> </w:t>
      </w:r>
      <w:r w:rsidRPr="000D6DDF">
        <w:rPr>
          <w:rStyle w:val="zdrojChar0"/>
          <w:rFonts w:eastAsiaTheme="minorHAnsi"/>
        </w:rPr>
        <w:t>podnikatelským prostředím ve městě Zlín?</w:t>
      </w:r>
    </w:p>
    <w:p w14:paraId="7C8A1CB4" w14:textId="6D989992" w:rsidR="00954688" w:rsidRPr="001A3416" w:rsidRDefault="00954688" w:rsidP="00954688">
      <w:pPr>
        <w:rPr>
          <w:rFonts w:cstheme="minorHAnsi"/>
        </w:rPr>
      </w:pPr>
      <w:r>
        <w:rPr>
          <w:rFonts w:cstheme="minorHAnsi"/>
        </w:rPr>
        <w:lastRenderedPageBreak/>
        <w:t xml:space="preserve">Naopak </w:t>
      </w:r>
      <w:r w:rsidRPr="001D56FA">
        <w:rPr>
          <w:rFonts w:cstheme="minorHAnsi"/>
        </w:rPr>
        <w:t xml:space="preserve">bariéry rozvoje </w:t>
      </w:r>
      <w:r>
        <w:rPr>
          <w:rFonts w:cstheme="minorHAnsi"/>
        </w:rPr>
        <w:t>v</w:t>
      </w:r>
      <w:r w:rsidRPr="001D56FA">
        <w:rPr>
          <w:rFonts w:cstheme="minorHAnsi"/>
        </w:rPr>
        <w:t>ětšina podnikatelských subjektů vidí v nedostatku kvalifikované pracovní s</w:t>
      </w:r>
      <w:r>
        <w:rPr>
          <w:rFonts w:cstheme="minorHAnsi"/>
        </w:rPr>
        <w:t>íly (85 % respondentů) a nákladech</w:t>
      </w:r>
      <w:r w:rsidRPr="001D56FA">
        <w:rPr>
          <w:rFonts w:cstheme="minorHAnsi"/>
        </w:rPr>
        <w:t xml:space="preserve"> na mzdy (81 % respondentů). Pro malé firmy je největší </w:t>
      </w:r>
      <w:r>
        <w:rPr>
          <w:rFonts w:cstheme="minorHAnsi"/>
        </w:rPr>
        <w:t xml:space="preserve">bariérou ekonomická situace ČR. </w:t>
      </w:r>
      <w:r w:rsidRPr="001A3416">
        <w:rPr>
          <w:rFonts w:cstheme="minorHAnsi"/>
        </w:rPr>
        <w:t xml:space="preserve">Zhruba polovina (53,3 %) </w:t>
      </w:r>
      <w:r>
        <w:rPr>
          <w:rFonts w:cstheme="minorHAnsi"/>
        </w:rPr>
        <w:t xml:space="preserve">většiny </w:t>
      </w:r>
      <w:r w:rsidRPr="001A3416">
        <w:rPr>
          <w:rFonts w:cstheme="minorHAnsi"/>
        </w:rPr>
        <w:t xml:space="preserve">respondentů v posledních měsících pocítila negativní dopad na své podnikání vlivem ekonomické recese (spíše se jedná o </w:t>
      </w:r>
      <w:r>
        <w:t>střední a velké</w:t>
      </w:r>
      <w:r>
        <w:rPr>
          <w:rFonts w:cstheme="minorHAnsi"/>
        </w:rPr>
        <w:t xml:space="preserve"> firmy) způsobené dopade</w:t>
      </w:r>
      <w:r w:rsidRPr="000C537B">
        <w:rPr>
          <w:rFonts w:cstheme="minorHAnsi"/>
        </w:rPr>
        <w:t>m globáln</w:t>
      </w:r>
      <w:r w:rsidR="00B80AC3">
        <w:rPr>
          <w:rFonts w:cstheme="minorHAnsi"/>
        </w:rPr>
        <w:t>í pandemie nemoci C</w:t>
      </w:r>
      <w:r>
        <w:rPr>
          <w:rFonts w:cstheme="minorHAnsi"/>
        </w:rPr>
        <w:t xml:space="preserve">ovid-19. </w:t>
      </w:r>
      <w:r w:rsidRPr="001A3416">
        <w:rPr>
          <w:rFonts w:cstheme="minorHAnsi"/>
        </w:rPr>
        <w:t>Celkem u 24,4 % respondentů došlo k dočasnému snížení odbytu a u 28,9 % respondentů stále trvá snížený odbyt a podnik uvažuje o</w:t>
      </w:r>
      <w:r w:rsidR="00B80AC3">
        <w:rPr>
          <w:rFonts w:cstheme="minorHAnsi"/>
        </w:rPr>
        <w:t> </w:t>
      </w:r>
      <w:r w:rsidRPr="001A3416">
        <w:rPr>
          <w:rFonts w:cstheme="minorHAnsi"/>
        </w:rPr>
        <w:t>propouštění</w:t>
      </w:r>
      <w:r>
        <w:rPr>
          <w:rFonts w:cstheme="minorHAnsi"/>
        </w:rPr>
        <w:t xml:space="preserve"> zaměstnanců</w:t>
      </w:r>
      <w:r w:rsidRPr="001A3416">
        <w:rPr>
          <w:rFonts w:cstheme="minorHAnsi"/>
        </w:rPr>
        <w:t>.</w:t>
      </w:r>
    </w:p>
    <w:p w14:paraId="597C2FEF" w14:textId="77777777" w:rsidR="00954688" w:rsidRDefault="00954688" w:rsidP="00954688">
      <w:pPr>
        <w:rPr>
          <w:rFonts w:cstheme="minorHAnsi"/>
        </w:rPr>
      </w:pPr>
      <w:r w:rsidRPr="001D56FA">
        <w:rPr>
          <w:rFonts w:cstheme="minorHAnsi"/>
        </w:rPr>
        <w:t>Podnikatelské subjekty trápí problematika nedostatečné dopravní infrastruktury města, dopravního napojení a řešení dopravní obslužnosti průmyslových zón.</w:t>
      </w:r>
      <w:r>
        <w:rPr>
          <w:rFonts w:cstheme="minorHAnsi"/>
        </w:rPr>
        <w:t xml:space="preserve"> </w:t>
      </w:r>
      <w:r w:rsidRPr="001D56FA">
        <w:rPr>
          <w:rFonts w:cstheme="minorHAnsi"/>
        </w:rPr>
        <w:t>Většina respondentů doporučuje prioritně řešit dopravu ve městě - parkování, údržbu a opravy silnic (82,2 %) i dopravu do města (53,3 %). Další klíčovou oblastí je podpora malého a středního podnikání (51,1 %). Většině středních a velkých firem se dlouhodobě nedaří obsazovat všechny pracovní pozice. Firmy nejvíce dlouhodobě postrádají technické a dělnické profese a kvalifikované odborníky v daných profesích.</w:t>
      </w:r>
    </w:p>
    <w:p w14:paraId="0C47B81F" w14:textId="77777777" w:rsidR="00954688" w:rsidRDefault="00954688" w:rsidP="00954688">
      <w:pPr>
        <w:rPr>
          <w:rFonts w:cstheme="minorHAnsi"/>
        </w:rPr>
      </w:pPr>
      <w:r w:rsidRPr="001D56FA">
        <w:rPr>
          <w:rFonts w:cstheme="minorHAnsi"/>
        </w:rPr>
        <w:t>Firmy, které plánují v následujícím roce přijímat nové zaměstnance, by mohly ve městě nabídnout cca 210 nových pracovních míst.</w:t>
      </w:r>
    </w:p>
    <w:p w14:paraId="366F3E00" w14:textId="45D20108" w:rsidR="00954688" w:rsidRPr="001A3416" w:rsidRDefault="00954688" w:rsidP="00954688">
      <w:pPr>
        <w:pStyle w:val="Titulek"/>
        <w:keepNext/>
        <w:keepLines/>
      </w:pPr>
      <w:bookmarkStart w:id="463" w:name="_Toc49152900"/>
      <w:bookmarkStart w:id="464" w:name="_Toc53066206"/>
      <w:bookmarkStart w:id="465" w:name="_Toc77074912"/>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94</w:t>
      </w:r>
      <w:r w:rsidR="00804AF3">
        <w:rPr>
          <w:noProof/>
        </w:rPr>
        <w:fldChar w:fldCharType="end"/>
      </w:r>
      <w:r w:rsidR="00B80AC3">
        <w:rPr>
          <w:noProof/>
        </w:rPr>
        <w:t>:</w:t>
      </w:r>
      <w:r w:rsidRPr="001A3416">
        <w:t xml:space="preserve"> Bariéry rozvoje podnikání firem Zlína</w:t>
      </w:r>
      <w:bookmarkEnd w:id="463"/>
      <w:bookmarkEnd w:id="464"/>
      <w:bookmarkEnd w:id="465"/>
    </w:p>
    <w:p w14:paraId="64AA5D70" w14:textId="22B642F6" w:rsidR="00954688" w:rsidRPr="001A3416" w:rsidRDefault="00954688" w:rsidP="00954688">
      <w:pPr>
        <w:pStyle w:val="Zdroj"/>
      </w:pPr>
      <w:r w:rsidRPr="001A3416">
        <w:rPr>
          <w:noProof/>
          <w:sz w:val="22"/>
        </w:rPr>
        <w:drawing>
          <wp:inline distT="0" distB="0" distL="0" distR="0" wp14:anchorId="05398234" wp14:editId="0A44C9AE">
            <wp:extent cx="5760000" cy="4285251"/>
            <wp:effectExtent l="0" t="0" r="0" b="1270"/>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0000" cy="4285251"/>
                    </a:xfrm>
                    <a:prstGeom prst="rect">
                      <a:avLst/>
                    </a:prstGeom>
                    <a:noFill/>
                  </pic:spPr>
                </pic:pic>
              </a:graphicData>
            </a:graphic>
          </wp:inline>
        </w:drawing>
      </w:r>
      <w:r w:rsidRPr="001A3416">
        <w:t xml:space="preserve"> Zdroj: PROCES, Průzkum podnikatelského prostředí města Zlína, 2020</w:t>
      </w:r>
      <w:r w:rsidR="00B80AC3">
        <w:t>;</w:t>
      </w:r>
      <w:r>
        <w:t xml:space="preserve"> </w:t>
      </w:r>
      <w:r>
        <w:rPr>
          <w:rFonts w:cstheme="minorHAnsi"/>
        </w:rPr>
        <w:t xml:space="preserve">Otázka č. 2: </w:t>
      </w:r>
      <w:r w:rsidRPr="000D6DDF">
        <w:rPr>
          <w:rFonts w:cstheme="minorHAnsi"/>
        </w:rPr>
        <w:t>Jaké jsou bariéry rozvoje Vašeho podnikání?</w:t>
      </w:r>
    </w:p>
    <w:p w14:paraId="76CF90EA" w14:textId="77777777" w:rsidR="00954688" w:rsidRPr="001D56FA" w:rsidRDefault="00954688" w:rsidP="00954688">
      <w:pPr>
        <w:rPr>
          <w:rFonts w:cstheme="minorHAnsi"/>
        </w:rPr>
      </w:pPr>
      <w:r w:rsidRPr="001D56FA">
        <w:rPr>
          <w:rFonts w:cstheme="minorHAnsi"/>
        </w:rPr>
        <w:t xml:space="preserve">Pozemky a objekty ve městě nebo v jeho okolí jsou dle převažujícího názoru </w:t>
      </w:r>
      <w:r>
        <w:rPr>
          <w:rFonts w:cstheme="minorHAnsi"/>
        </w:rPr>
        <w:t xml:space="preserve">podnikatelských subjektů </w:t>
      </w:r>
      <w:r w:rsidRPr="001D56FA">
        <w:rPr>
          <w:rFonts w:cstheme="minorHAnsi"/>
        </w:rPr>
        <w:t>označovány za nevyhovující. Podnikatelé hodnotí, že jsou velmi drahé, je jich spíše nedostatek, jsou nevhodně lokalizované a pozemky nejsou dostatečně vybaveny infrastrukturou. Většina respondentů neplánuje přemístění podnikání do jiného území či ukončení podnikání ve městě Zlíně. Téměř třetina respondentů potřebuje pro rozšíření svých podnikatelských aktivit další nemovitosti.</w:t>
      </w:r>
    </w:p>
    <w:p w14:paraId="13F74B2F" w14:textId="77777777" w:rsidR="00954688" w:rsidRDefault="00954688" w:rsidP="00954688">
      <w:pPr>
        <w:pStyle w:val="Nadpis3"/>
        <w:ind w:left="720"/>
      </w:pPr>
      <w:bookmarkStart w:id="466" w:name="_Toc53066243"/>
      <w:bookmarkStart w:id="467" w:name="_Toc77074606"/>
      <w:r>
        <w:lastRenderedPageBreak/>
        <w:t>S</w:t>
      </w:r>
      <w:r w:rsidRPr="00233605">
        <w:t>tav a potenciál rozvoje cestovního ruchu města</w:t>
      </w:r>
      <w:bookmarkEnd w:id="466"/>
      <w:bookmarkEnd w:id="467"/>
      <w:r w:rsidRPr="00233605">
        <w:t xml:space="preserve"> </w:t>
      </w:r>
    </w:p>
    <w:p w14:paraId="58C2E5BF" w14:textId="2EEF38D9" w:rsidR="000F155F" w:rsidRPr="000B3DC6" w:rsidRDefault="00954688" w:rsidP="000F155F">
      <w:pPr>
        <w:rPr>
          <w:rFonts w:cs="Times New Roman"/>
          <w:szCs w:val="18"/>
        </w:rPr>
      </w:pPr>
      <w:r w:rsidRPr="003A0549">
        <w:t xml:space="preserve">Cestovní ruch </w:t>
      </w:r>
      <w:r>
        <w:t xml:space="preserve">(CR) </w:t>
      </w:r>
      <w:r w:rsidRPr="003A0549">
        <w:t>je z hlediska ekonomického rozvoje chápán jako důležité odvětví místní ekonomiky, které je orientováno na export služeb a</w:t>
      </w:r>
      <w:r>
        <w:t> </w:t>
      </w:r>
      <w:r w:rsidRPr="003A0549">
        <w:t>produktů návštěvníkům, kteří do města a</w:t>
      </w:r>
      <w:r>
        <w:t> </w:t>
      </w:r>
      <w:r w:rsidRPr="003A0549">
        <w:t>jeho blízkého okolí přijíždí trávit svůj čas</w:t>
      </w:r>
      <w:r>
        <w:t xml:space="preserve">. Jak uvádí </w:t>
      </w:r>
      <w:r w:rsidRPr="00477FE0">
        <w:rPr>
          <w:b/>
        </w:rPr>
        <w:t>Koncepce rozvoje cestovního ruchu Zlínského kraje na období 2020 – 2030, v případě Zlínského kraje</w:t>
      </w:r>
      <w:r>
        <w:t xml:space="preserve"> je téměř 3,5 % všech pracovníků zaměstnáno právě v tomto odvětví. Na rozvoj cestovního ruchu ve Zlínském kraji úzce navazují další odvětví. Významná je vazba ve vztahu k</w:t>
      </w:r>
      <w:r w:rsidR="00B165CB">
        <w:t> </w:t>
      </w:r>
      <w:r>
        <w:t>dopravě, kultuře, památkové péči, zemědělství, podnikání, ale také ke zdravotnictví a lázeňství jako specifické formě cestovního ruchu.</w:t>
      </w:r>
      <w:r>
        <w:rPr>
          <w:rStyle w:val="Znakapoznpodarou"/>
        </w:rPr>
        <w:footnoteReference w:id="98"/>
      </w:r>
      <w:r>
        <w:t xml:space="preserve"> Statutární město</w:t>
      </w:r>
      <w:r w:rsidR="000F155F">
        <w:t xml:space="preserve"> nemá</w:t>
      </w:r>
      <w:r>
        <w:t xml:space="preserve"> </w:t>
      </w:r>
      <w:r>
        <w:rPr>
          <w:rFonts w:cs="Times New Roman"/>
          <w:szCs w:val="18"/>
        </w:rPr>
        <w:t>v této oblasti z</w:t>
      </w:r>
      <w:r w:rsidRPr="002046AA">
        <w:rPr>
          <w:rFonts w:cs="Times New Roman"/>
          <w:szCs w:val="18"/>
        </w:rPr>
        <w:t xml:space="preserve">pracovanou </w:t>
      </w:r>
      <w:r>
        <w:rPr>
          <w:rFonts w:cs="Times New Roman"/>
          <w:szCs w:val="18"/>
        </w:rPr>
        <w:t xml:space="preserve">aktuální </w:t>
      </w:r>
      <w:r w:rsidR="000F155F">
        <w:rPr>
          <w:rFonts w:cs="Times New Roman"/>
          <w:szCs w:val="18"/>
        </w:rPr>
        <w:t xml:space="preserve">ucelenou </w:t>
      </w:r>
      <w:r w:rsidRPr="002046AA">
        <w:rPr>
          <w:rFonts w:cs="Times New Roman"/>
          <w:szCs w:val="18"/>
        </w:rPr>
        <w:t>strategii nebo koncepci</w:t>
      </w:r>
      <w:r w:rsidRPr="002659A5">
        <w:rPr>
          <w:rFonts w:cs="Times New Roman"/>
          <w:szCs w:val="18"/>
        </w:rPr>
        <w:t>.</w:t>
      </w:r>
      <w:r w:rsidR="000F155F" w:rsidRPr="002659A5">
        <w:rPr>
          <w:rFonts w:cs="Times New Roman"/>
          <w:szCs w:val="18"/>
        </w:rPr>
        <w:t xml:space="preserve"> V oblasti propagace a komunikace města nechalo s</w:t>
      </w:r>
      <w:r w:rsidR="000F155F" w:rsidRPr="002659A5">
        <w:t xml:space="preserve">tatutární město </w:t>
      </w:r>
      <w:r w:rsidR="000F155F" w:rsidRPr="002659A5">
        <w:rPr>
          <w:rFonts w:cs="Times New Roman"/>
          <w:szCs w:val="18"/>
        </w:rPr>
        <w:t xml:space="preserve">Zlín zpracovat </w:t>
      </w:r>
      <w:r w:rsidR="000F155F" w:rsidRPr="002659A5">
        <w:t>Studii pro statutární město Zlín a turistickou oblast Zlínsko a Luhačovicko</w:t>
      </w:r>
      <w:r w:rsidR="000F155F" w:rsidRPr="002659A5">
        <w:rPr>
          <w:rFonts w:cs="Times New Roman"/>
          <w:szCs w:val="18"/>
        </w:rPr>
        <w:t xml:space="preserve"> (Jak na komunikaci Zlínska a Luhačovicka). Cílem dokumentu je hledat cesty, kterými se v budoucnu může oblast vydat.</w:t>
      </w:r>
    </w:p>
    <w:p w14:paraId="1644024A" w14:textId="77777777" w:rsidR="00954688" w:rsidRDefault="00954688" w:rsidP="00954688">
      <w:r>
        <w:t>Destinační</w:t>
      </w:r>
      <w:r w:rsidRPr="00150403">
        <w:t xml:space="preserve"> management turistické oblasti Zlínsko-Luhačovicko</w:t>
      </w:r>
      <w:r>
        <w:t xml:space="preserve"> nechal v roce 2018 zpracovat </w:t>
      </w:r>
      <w:r w:rsidRPr="00477FE0">
        <w:rPr>
          <w:b/>
        </w:rPr>
        <w:t>Strategii destinačního managementu pro turistickou oblast Zlínsko-Luhačovicko</w:t>
      </w:r>
      <w:r>
        <w:t>. Hlavním smyslem dokumentu je analyzovat potenciál oblasti, navrhnout opatření, která povedou k vytvoření konkurenceschopného produktu destinace s maximálním využitím existujících aktivit, výstupů či produktů a navrhnout základní směry marketingové komunikace destinace a přispět tak k vyšší návštěvnosti destinace a vyšší výtěžnosti cestovního ruchu.</w:t>
      </w:r>
    </w:p>
    <w:p w14:paraId="4A189FEF" w14:textId="2B34FABC" w:rsidR="00954688" w:rsidRPr="00DF2A2B" w:rsidRDefault="00954688" w:rsidP="00954688">
      <w:r w:rsidRPr="00356369">
        <w:t>Podmínky pro rozvoj cestovního ruchu ve městě Zlín a jeho okolí lze posoudit na základě poptávky. Určitý obraz je možné získat z dat o vývoji počtu návštěvníků hromadných ubytovacích zařízení</w:t>
      </w:r>
      <w:r w:rsidRPr="00356369">
        <w:rPr>
          <w:rStyle w:val="Znakapoznpodarou"/>
        </w:rPr>
        <w:footnoteReference w:id="99"/>
      </w:r>
      <w:r w:rsidRPr="00356369">
        <w:t xml:space="preserve">. </w:t>
      </w:r>
      <w:r w:rsidRPr="00DF2A2B">
        <w:t xml:space="preserve">Návštěvnost města </w:t>
      </w:r>
      <w:r>
        <w:t xml:space="preserve">(viz graf na obrázku </w:t>
      </w:r>
      <w:r w:rsidR="003C47B2">
        <w:t>1.95</w:t>
      </w:r>
      <w:r>
        <w:t>) má od roku 2015 mírně rostoucí</w:t>
      </w:r>
      <w:r w:rsidRPr="00DF2A2B">
        <w:t xml:space="preserve"> tendenci</w:t>
      </w:r>
      <w:r>
        <w:t>. V</w:t>
      </w:r>
      <w:r w:rsidRPr="00DF2A2B">
        <w:t> roce 201</w:t>
      </w:r>
      <w:r>
        <w:t>9</w:t>
      </w:r>
      <w:r w:rsidRPr="00DF2A2B">
        <w:t xml:space="preserve"> město navštívilo </w:t>
      </w:r>
      <w:r>
        <w:t>63 388</w:t>
      </w:r>
      <w:r w:rsidRPr="00DF2A2B">
        <w:t xml:space="preserve"> osob, </w:t>
      </w:r>
      <w:r>
        <w:t xml:space="preserve">z toho bylo 45 780 rezidentů. </w:t>
      </w:r>
      <w:r w:rsidRPr="00DF2A2B">
        <w:t xml:space="preserve">Ve </w:t>
      </w:r>
      <w:r>
        <w:t>sledovaných</w:t>
      </w:r>
      <w:r w:rsidRPr="00DF2A2B">
        <w:t xml:space="preserve"> letech převažují turisté z ČR nad turisty zahraničními. </w:t>
      </w:r>
      <w:r>
        <w:t xml:space="preserve">Zahraniční hosté představují zbývající necelou jednu třetinu, přičemž se jejich podíl na celkovém počtu za posledních sedm let nijak výrazně nezměnil. </w:t>
      </w:r>
      <w:r w:rsidRPr="00DF2A2B">
        <w:t>Nejmenší podíl zahraničních turistů</w:t>
      </w:r>
      <w:r>
        <w:t xml:space="preserve"> navštívil Zlín roku 2012 (26</w:t>
      </w:r>
      <w:r w:rsidRPr="00DF2A2B">
        <w:t xml:space="preserve"> %; </w:t>
      </w:r>
      <w:r>
        <w:t>15 011</w:t>
      </w:r>
      <w:r w:rsidRPr="00DF2A2B">
        <w:t xml:space="preserve"> návštěvníků), </w:t>
      </w:r>
      <w:r>
        <w:t>nejvyšší podíl v roce 2014</w:t>
      </w:r>
      <w:r w:rsidRPr="00DF2A2B">
        <w:t xml:space="preserve"> (</w:t>
      </w:r>
      <w:r>
        <w:t>32</w:t>
      </w:r>
      <w:r w:rsidR="00B165CB">
        <w:t> </w:t>
      </w:r>
      <w:r w:rsidRPr="00DF2A2B">
        <w:t xml:space="preserve">%; </w:t>
      </w:r>
      <w:r>
        <w:t>18 665</w:t>
      </w:r>
      <w:r w:rsidRPr="00DF2A2B">
        <w:t xml:space="preserve"> zahraničních návštěvníků).</w:t>
      </w:r>
      <w:r>
        <w:t xml:space="preserve"> </w:t>
      </w:r>
      <w:r w:rsidRPr="00DF2A2B">
        <w:t>Celkově lze z výše uvedeného tvrdit, že atraktivnost města se zvyšuje, v návštěvnosti lze pozorovat pozitivní trend.</w:t>
      </w:r>
    </w:p>
    <w:p w14:paraId="2DBC5F81" w14:textId="77777777" w:rsidR="00954688" w:rsidRDefault="00954688" w:rsidP="00954688"/>
    <w:p w14:paraId="2EA89CE0" w14:textId="197609F7" w:rsidR="00954688" w:rsidRDefault="00954688" w:rsidP="00954688">
      <w:pPr>
        <w:pStyle w:val="Titulek"/>
        <w:keepNext/>
        <w:keepLines/>
      </w:pPr>
      <w:bookmarkStart w:id="468" w:name="_Toc53066207"/>
      <w:bookmarkStart w:id="469" w:name="_Toc77074913"/>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95</w:t>
      </w:r>
      <w:r w:rsidR="00804AF3">
        <w:rPr>
          <w:noProof/>
        </w:rPr>
        <w:fldChar w:fldCharType="end"/>
      </w:r>
      <w:r w:rsidR="00B165CB">
        <w:rPr>
          <w:noProof/>
        </w:rPr>
        <w:t>:</w:t>
      </w:r>
      <w:r>
        <w:t xml:space="preserve"> </w:t>
      </w:r>
      <w:r w:rsidRPr="00685E7C">
        <w:t xml:space="preserve">Vývoj návštěvnosti města </w:t>
      </w:r>
      <w:r>
        <w:t>Zlína -</w:t>
      </w:r>
      <w:r w:rsidRPr="00685E7C">
        <w:t xml:space="preserve"> tuzemští a</w:t>
      </w:r>
      <w:r>
        <w:t> </w:t>
      </w:r>
      <w:r w:rsidRPr="00685E7C">
        <w:t>zahraniční návštěvníci v</w:t>
      </w:r>
      <w:r>
        <w:t> letech 2012 – 2019</w:t>
      </w:r>
      <w:r w:rsidRPr="00685E7C">
        <w:t>, podíl a</w:t>
      </w:r>
      <w:r>
        <w:t> vývoj počtu návštěvníků</w:t>
      </w:r>
      <w:bookmarkEnd w:id="468"/>
      <w:bookmarkEnd w:id="469"/>
    </w:p>
    <w:p w14:paraId="1596FC05" w14:textId="77777777" w:rsidR="00954688" w:rsidRDefault="00954688" w:rsidP="00954688">
      <w:r>
        <w:rPr>
          <w:noProof/>
          <w:lang w:eastAsia="cs-CZ"/>
        </w:rPr>
        <w:drawing>
          <wp:inline distT="0" distB="0" distL="0" distR="0" wp14:anchorId="0BF9C1F3" wp14:editId="0792416D">
            <wp:extent cx="5773420" cy="2755900"/>
            <wp:effectExtent l="0" t="0" r="0" b="635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5C4EF999" w14:textId="3C08319D" w:rsidR="00954688" w:rsidRPr="0031195E" w:rsidRDefault="00954688" w:rsidP="00954688">
      <w:pPr>
        <w:pStyle w:val="Zdroj"/>
      </w:pPr>
      <w:r w:rsidRPr="0031195E">
        <w:t>Zdroj: Český statistický úřad, Veřejná databáze, 2020</w:t>
      </w:r>
      <w:r w:rsidR="00B165CB">
        <w:t>.</w:t>
      </w:r>
    </w:p>
    <w:p w14:paraId="5CCA3BBF" w14:textId="17B5D6BB" w:rsidR="00954688" w:rsidRPr="008A4625" w:rsidRDefault="003A743C" w:rsidP="00954688">
      <w:pPr>
        <w:pStyle w:val="1"/>
      </w:pPr>
      <w:r>
        <w:t>V grafu na obrázku 1.96</w:t>
      </w:r>
      <w:r w:rsidR="00954688" w:rsidRPr="008A4625">
        <w:t xml:space="preserve"> je znázorněn prů</w:t>
      </w:r>
      <w:r w:rsidR="00954688">
        <w:t>měrný počet přenocování (počet nocí</w:t>
      </w:r>
      <w:r w:rsidR="00954688" w:rsidRPr="008A4625">
        <w:t>) v</w:t>
      </w:r>
      <w:r w:rsidR="00954688">
        <w:t>e Zlíně v porovnání s </w:t>
      </w:r>
      <w:r w:rsidR="00954688" w:rsidRPr="008A4625">
        <w:t xml:space="preserve">územím SO ORP </w:t>
      </w:r>
      <w:r w:rsidR="00954688">
        <w:t>Zlín</w:t>
      </w:r>
      <w:r w:rsidR="00954688" w:rsidRPr="008A4625">
        <w:t xml:space="preserve">. </w:t>
      </w:r>
      <w:r w:rsidR="00954688">
        <w:t>Trend vývoje průměrného počtu přenocování je pro sledovaná území téměř totožný. Od roku 2015 jak město Zlín</w:t>
      </w:r>
      <w:r w:rsidR="00B165CB">
        <w:t>,</w:t>
      </w:r>
      <w:r w:rsidR="00954688">
        <w:t xml:space="preserve"> tak SO ORP Zlín zaznamenává pokles přenocování. N</w:t>
      </w:r>
      <w:r w:rsidR="00954688" w:rsidRPr="008A4625">
        <w:t>ávštěvník ubytovacích zařízení v roce 20</w:t>
      </w:r>
      <w:r w:rsidR="00954688">
        <w:t xml:space="preserve">15 strávil v průměru 2,5 </w:t>
      </w:r>
      <w:r w:rsidR="00954688" w:rsidRPr="008A4625">
        <w:t xml:space="preserve">nocí </w:t>
      </w:r>
      <w:r w:rsidR="00954688">
        <w:t xml:space="preserve">ve městě Zlín i v SO ORP Zlín </w:t>
      </w:r>
      <w:r w:rsidR="00954688" w:rsidRPr="008A4625">
        <w:t>a</w:t>
      </w:r>
      <w:r w:rsidR="00954688">
        <w:t> </w:t>
      </w:r>
      <w:r w:rsidR="00954688" w:rsidRPr="008A4625">
        <w:t>v roce 201</w:t>
      </w:r>
      <w:r w:rsidR="00954688">
        <w:t>9</w:t>
      </w:r>
      <w:r w:rsidR="00954688" w:rsidRPr="008A4625">
        <w:t xml:space="preserve"> </w:t>
      </w:r>
      <w:r w:rsidR="00954688">
        <w:t>to bylo 2</w:t>
      </w:r>
      <w:r w:rsidR="00954688" w:rsidRPr="008A4625">
        <w:t>,1</w:t>
      </w:r>
      <w:r w:rsidR="00954688">
        <w:t xml:space="preserve"> noci. </w:t>
      </w:r>
      <w:r w:rsidR="00954688" w:rsidRPr="008A4625">
        <w:t xml:space="preserve"> </w:t>
      </w:r>
    </w:p>
    <w:p w14:paraId="5562EE12" w14:textId="4E9725EE" w:rsidR="00954688" w:rsidRDefault="00954688" w:rsidP="00954688">
      <w:pPr>
        <w:pStyle w:val="Titulek"/>
        <w:keepNext/>
        <w:keepLines/>
      </w:pPr>
      <w:bookmarkStart w:id="470" w:name="_Toc53066208"/>
      <w:bookmarkStart w:id="471" w:name="_Toc7707491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96</w:t>
      </w:r>
      <w:r w:rsidR="00804AF3">
        <w:rPr>
          <w:noProof/>
        </w:rPr>
        <w:fldChar w:fldCharType="end"/>
      </w:r>
      <w:r w:rsidR="00B165CB">
        <w:rPr>
          <w:noProof/>
        </w:rPr>
        <w:t>:</w:t>
      </w:r>
      <w:r>
        <w:t xml:space="preserve"> Průměrný počet přenocování ve Zlíně a </w:t>
      </w:r>
      <w:r w:rsidRPr="003F4C44">
        <w:t>v</w:t>
      </w:r>
      <w:r>
        <w:t> </w:t>
      </w:r>
      <w:r w:rsidRPr="003F4C44">
        <w:t>SO ORP</w:t>
      </w:r>
      <w:r>
        <w:t xml:space="preserve"> Zlín</w:t>
      </w:r>
      <w:r w:rsidRPr="003F4C44">
        <w:t xml:space="preserve"> v</w:t>
      </w:r>
      <w:r>
        <w:t> </w:t>
      </w:r>
      <w:r w:rsidRPr="003F4C44">
        <w:t>letech 2</w:t>
      </w:r>
      <w:r>
        <w:t>12</w:t>
      </w:r>
      <w:r w:rsidRPr="003F4C44">
        <w:t xml:space="preserve"> – 201</w:t>
      </w:r>
      <w:r>
        <w:t>9</w:t>
      </w:r>
      <w:r w:rsidRPr="003F4C44">
        <w:t xml:space="preserve"> </w:t>
      </w:r>
      <w:r>
        <w:t>(počet nocí</w:t>
      </w:r>
      <w:r w:rsidRPr="003F4C44">
        <w:t>)</w:t>
      </w:r>
      <w:bookmarkEnd w:id="470"/>
      <w:bookmarkEnd w:id="471"/>
    </w:p>
    <w:p w14:paraId="4F5400A7" w14:textId="77777777" w:rsidR="00954688" w:rsidRDefault="00954688" w:rsidP="00954688">
      <w:r>
        <w:rPr>
          <w:noProof/>
          <w:lang w:eastAsia="cs-CZ"/>
        </w:rPr>
        <w:drawing>
          <wp:inline distT="0" distB="0" distL="0" distR="0" wp14:anchorId="10E4A447" wp14:editId="2E7EFBAE">
            <wp:extent cx="5773420" cy="2755900"/>
            <wp:effectExtent l="0" t="0" r="0" b="6350"/>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64A9F7E2" w14:textId="0F373755" w:rsidR="00954688" w:rsidRDefault="00954688" w:rsidP="00954688">
      <w:pPr>
        <w:pStyle w:val="Zdroj"/>
      </w:pPr>
      <w:r w:rsidRPr="0031195E">
        <w:t>Zdroj: Český statistický úřad, Veřejná databáze, 2020</w:t>
      </w:r>
      <w:r w:rsidR="00B165CB">
        <w:t>.</w:t>
      </w:r>
    </w:p>
    <w:p w14:paraId="6797848C" w14:textId="575A0F5F" w:rsidR="00954688" w:rsidRPr="00585B02" w:rsidRDefault="00122205" w:rsidP="00954688">
      <w:pPr>
        <w:rPr>
          <w:i/>
        </w:rPr>
      </w:pPr>
      <w:r>
        <w:t>V tabulce 1.69</w:t>
      </w:r>
      <w:r w:rsidR="00954688">
        <w:t xml:space="preserve"> jsou uvedeny počty hromadných ubytovacích zařízení ve městě Zlín. Mezi lety 2012 a 2019 nedošlo ve městě k podstatným změnám v počtech ubytovacích zařízení. Počet hromadných ubytovacích zařízení se ve městě snížil za toto období o 4 zařízení. V zařízeních došlo za posledních 7</w:t>
      </w:r>
      <w:r w:rsidR="00B165CB">
        <w:t> </w:t>
      </w:r>
      <w:r w:rsidR="00954688">
        <w:t>let k navýšení počtu pokojů o 98 pokojů a počet lůžek se snížil o 110 lůžek.</w:t>
      </w:r>
    </w:p>
    <w:p w14:paraId="3AC4DAD5" w14:textId="47042028" w:rsidR="00954688" w:rsidRPr="00443A6C" w:rsidRDefault="00954688" w:rsidP="00954688">
      <w:pPr>
        <w:pStyle w:val="Titulek"/>
        <w:keepNext/>
        <w:keepLines/>
      </w:pPr>
      <w:bookmarkStart w:id="472" w:name="_Toc53066227"/>
      <w:bookmarkStart w:id="473" w:name="_Toc77074749"/>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69</w:t>
      </w:r>
      <w:r w:rsidR="00081B47">
        <w:rPr>
          <w:noProof/>
        </w:rPr>
        <w:fldChar w:fldCharType="end"/>
      </w:r>
      <w:r w:rsidR="00B165CB">
        <w:rPr>
          <w:noProof/>
        </w:rPr>
        <w:t>:</w:t>
      </w:r>
      <w:r w:rsidRPr="00443A6C">
        <w:t xml:space="preserve"> Kapacita a návštěvnost hromadných ubytovacích zařízení</w:t>
      </w:r>
      <w:r>
        <w:t xml:space="preserve"> ve městě Zlín v letech 2017 </w:t>
      </w:r>
      <w:r w:rsidR="00B165CB">
        <w:sym w:font="Symbol" w:char="F02D"/>
      </w:r>
      <w:r>
        <w:t xml:space="preserve"> 2019</w:t>
      </w:r>
      <w:bookmarkEnd w:id="472"/>
      <w:bookmarkEnd w:id="473"/>
    </w:p>
    <w:tbl>
      <w:tblPr>
        <w:tblW w:w="8490" w:type="dxa"/>
        <w:tblCellMar>
          <w:left w:w="70" w:type="dxa"/>
          <w:right w:w="70" w:type="dxa"/>
        </w:tblCellMar>
        <w:tblLook w:val="04A0" w:firstRow="1" w:lastRow="0" w:firstColumn="1" w:lastColumn="0" w:noHBand="0" w:noVBand="1"/>
      </w:tblPr>
      <w:tblGrid>
        <w:gridCol w:w="1698"/>
        <w:gridCol w:w="1698"/>
        <w:gridCol w:w="1698"/>
        <w:gridCol w:w="1698"/>
        <w:gridCol w:w="1698"/>
      </w:tblGrid>
      <w:tr w:rsidR="00954688" w:rsidRPr="00397464" w14:paraId="0EB8B71C" w14:textId="77777777" w:rsidTr="000C49A5">
        <w:trPr>
          <w:trHeight w:val="303"/>
        </w:trPr>
        <w:tc>
          <w:tcPr>
            <w:tcW w:w="1698" w:type="dxa"/>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2D0BED67" w14:textId="77777777" w:rsidR="00954688" w:rsidRPr="00397464" w:rsidRDefault="00954688" w:rsidP="000C49A5">
            <w:pPr>
              <w:spacing w:before="0"/>
              <w:jc w:val="center"/>
              <w:rPr>
                <w:rFonts w:eastAsia="Times New Roman" w:cstheme="minorHAnsi"/>
                <w:color w:val="000000"/>
                <w:sz w:val="18"/>
                <w:szCs w:val="18"/>
                <w:lang w:eastAsia="cs-CZ"/>
              </w:rPr>
            </w:pPr>
          </w:p>
        </w:tc>
        <w:tc>
          <w:tcPr>
            <w:tcW w:w="1698" w:type="dxa"/>
            <w:tcBorders>
              <w:top w:val="single" w:sz="8" w:space="0" w:color="auto"/>
              <w:left w:val="nil"/>
              <w:bottom w:val="single" w:sz="4" w:space="0" w:color="auto"/>
              <w:right w:val="single" w:sz="4" w:space="0" w:color="auto"/>
            </w:tcBorders>
            <w:shd w:val="clear" w:color="auto" w:fill="F2F2F2" w:themeFill="background1" w:themeFillShade="F2"/>
            <w:vAlign w:val="center"/>
            <w:hideMark/>
          </w:tcPr>
          <w:p w14:paraId="3D9F61F5" w14:textId="77777777" w:rsidR="00954688" w:rsidRPr="00397464" w:rsidRDefault="00954688" w:rsidP="000C49A5">
            <w:pPr>
              <w:spacing w:before="0"/>
              <w:jc w:val="center"/>
              <w:rPr>
                <w:rFonts w:eastAsia="Times New Roman" w:cstheme="minorHAnsi"/>
                <w:b/>
                <w:color w:val="000000"/>
                <w:sz w:val="18"/>
                <w:szCs w:val="18"/>
                <w:lang w:eastAsia="cs-CZ"/>
              </w:rPr>
            </w:pPr>
            <w:r w:rsidRPr="00585B02">
              <w:rPr>
                <w:rFonts w:eastAsia="Times New Roman" w:cstheme="minorHAnsi"/>
                <w:b/>
                <w:color w:val="000000"/>
                <w:sz w:val="18"/>
                <w:szCs w:val="18"/>
                <w:lang w:eastAsia="cs-CZ"/>
              </w:rPr>
              <w:t xml:space="preserve">Počet </w:t>
            </w:r>
            <w:r w:rsidRPr="00397464">
              <w:rPr>
                <w:rFonts w:eastAsia="Times New Roman" w:cstheme="minorHAnsi"/>
                <w:b/>
                <w:color w:val="000000"/>
                <w:sz w:val="18"/>
                <w:szCs w:val="18"/>
                <w:lang w:eastAsia="cs-CZ"/>
              </w:rPr>
              <w:t>zařízení</w:t>
            </w:r>
          </w:p>
        </w:tc>
        <w:tc>
          <w:tcPr>
            <w:tcW w:w="1698" w:type="dxa"/>
            <w:tcBorders>
              <w:top w:val="single" w:sz="8" w:space="0" w:color="auto"/>
              <w:left w:val="nil"/>
              <w:bottom w:val="single" w:sz="4" w:space="0" w:color="auto"/>
              <w:right w:val="single" w:sz="4" w:space="0" w:color="auto"/>
            </w:tcBorders>
            <w:shd w:val="clear" w:color="auto" w:fill="F2F2F2" w:themeFill="background1" w:themeFillShade="F2"/>
            <w:vAlign w:val="center"/>
            <w:hideMark/>
          </w:tcPr>
          <w:p w14:paraId="267DD02B" w14:textId="77777777" w:rsidR="00954688" w:rsidRPr="00397464" w:rsidRDefault="00954688" w:rsidP="000C49A5">
            <w:pPr>
              <w:spacing w:before="0"/>
              <w:jc w:val="center"/>
              <w:rPr>
                <w:rFonts w:eastAsia="Times New Roman" w:cstheme="minorHAnsi"/>
                <w:b/>
                <w:color w:val="000000"/>
                <w:sz w:val="18"/>
                <w:szCs w:val="18"/>
                <w:lang w:eastAsia="cs-CZ"/>
              </w:rPr>
            </w:pPr>
            <w:r w:rsidRPr="00397464">
              <w:rPr>
                <w:rFonts w:eastAsia="Times New Roman" w:cstheme="minorHAnsi"/>
                <w:b/>
                <w:color w:val="000000"/>
                <w:sz w:val="18"/>
                <w:szCs w:val="18"/>
                <w:lang w:eastAsia="cs-CZ"/>
              </w:rPr>
              <w:t>Pokoje</w:t>
            </w:r>
          </w:p>
        </w:tc>
        <w:tc>
          <w:tcPr>
            <w:tcW w:w="1698" w:type="dxa"/>
            <w:tcBorders>
              <w:top w:val="single" w:sz="8" w:space="0" w:color="auto"/>
              <w:left w:val="nil"/>
              <w:bottom w:val="single" w:sz="4" w:space="0" w:color="auto"/>
              <w:right w:val="single" w:sz="4" w:space="0" w:color="auto"/>
            </w:tcBorders>
            <w:shd w:val="clear" w:color="auto" w:fill="F2F2F2" w:themeFill="background1" w:themeFillShade="F2"/>
            <w:vAlign w:val="center"/>
            <w:hideMark/>
          </w:tcPr>
          <w:p w14:paraId="43A7C522" w14:textId="77777777" w:rsidR="00954688" w:rsidRPr="00397464" w:rsidRDefault="00954688" w:rsidP="000C49A5">
            <w:pPr>
              <w:spacing w:before="0"/>
              <w:jc w:val="center"/>
              <w:rPr>
                <w:rFonts w:eastAsia="Times New Roman" w:cstheme="minorHAnsi"/>
                <w:b/>
                <w:color w:val="000000"/>
                <w:sz w:val="18"/>
                <w:szCs w:val="18"/>
                <w:lang w:eastAsia="cs-CZ"/>
              </w:rPr>
            </w:pPr>
            <w:r w:rsidRPr="00397464">
              <w:rPr>
                <w:rFonts w:eastAsia="Times New Roman" w:cstheme="minorHAnsi"/>
                <w:b/>
                <w:color w:val="000000"/>
                <w:sz w:val="18"/>
                <w:szCs w:val="18"/>
                <w:lang w:eastAsia="cs-CZ"/>
              </w:rPr>
              <w:t>Lůžka</w:t>
            </w:r>
          </w:p>
        </w:tc>
        <w:tc>
          <w:tcPr>
            <w:tcW w:w="1698" w:type="dxa"/>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16427615" w14:textId="77777777" w:rsidR="00954688" w:rsidRPr="00397464" w:rsidRDefault="00954688" w:rsidP="000C49A5">
            <w:pPr>
              <w:spacing w:before="0"/>
              <w:jc w:val="center"/>
              <w:rPr>
                <w:rFonts w:eastAsia="Times New Roman" w:cstheme="minorHAnsi"/>
                <w:b/>
                <w:color w:val="000000"/>
                <w:sz w:val="18"/>
                <w:szCs w:val="18"/>
                <w:lang w:eastAsia="cs-CZ"/>
              </w:rPr>
            </w:pPr>
            <w:r w:rsidRPr="00397464">
              <w:rPr>
                <w:rFonts w:eastAsia="Times New Roman" w:cstheme="minorHAnsi"/>
                <w:b/>
                <w:color w:val="000000"/>
                <w:sz w:val="18"/>
                <w:szCs w:val="18"/>
                <w:lang w:eastAsia="cs-CZ"/>
              </w:rPr>
              <w:t>Místa pro stany</w:t>
            </w:r>
            <w:r w:rsidRPr="00397464">
              <w:rPr>
                <w:rFonts w:eastAsia="Times New Roman" w:cstheme="minorHAnsi"/>
                <w:b/>
                <w:color w:val="000000"/>
                <w:sz w:val="18"/>
                <w:szCs w:val="18"/>
                <w:lang w:eastAsia="cs-CZ"/>
              </w:rPr>
              <w:br/>
              <w:t>a karavany</w:t>
            </w:r>
          </w:p>
        </w:tc>
      </w:tr>
      <w:tr w:rsidR="00954688" w:rsidRPr="00397464" w14:paraId="55A9DA08" w14:textId="77777777" w:rsidTr="000C49A5">
        <w:trPr>
          <w:trHeight w:val="151"/>
        </w:trPr>
        <w:tc>
          <w:tcPr>
            <w:tcW w:w="1698" w:type="dxa"/>
            <w:tcBorders>
              <w:top w:val="nil"/>
              <w:left w:val="single" w:sz="8" w:space="0" w:color="auto"/>
              <w:bottom w:val="single" w:sz="4" w:space="0" w:color="auto"/>
              <w:right w:val="single" w:sz="4" w:space="0" w:color="auto"/>
            </w:tcBorders>
            <w:shd w:val="clear" w:color="auto" w:fill="auto"/>
            <w:vAlign w:val="center"/>
            <w:hideMark/>
          </w:tcPr>
          <w:p w14:paraId="5F55587B"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2012</w:t>
            </w:r>
          </w:p>
        </w:tc>
        <w:tc>
          <w:tcPr>
            <w:tcW w:w="1698" w:type="dxa"/>
            <w:tcBorders>
              <w:top w:val="nil"/>
              <w:left w:val="nil"/>
              <w:bottom w:val="single" w:sz="4" w:space="0" w:color="auto"/>
              <w:right w:val="single" w:sz="4" w:space="0" w:color="auto"/>
            </w:tcBorders>
            <w:shd w:val="clear" w:color="auto" w:fill="auto"/>
            <w:vAlign w:val="center"/>
            <w:hideMark/>
          </w:tcPr>
          <w:p w14:paraId="68304012"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32</w:t>
            </w:r>
          </w:p>
        </w:tc>
        <w:tc>
          <w:tcPr>
            <w:tcW w:w="1698" w:type="dxa"/>
            <w:tcBorders>
              <w:top w:val="nil"/>
              <w:left w:val="nil"/>
              <w:bottom w:val="single" w:sz="4" w:space="0" w:color="auto"/>
              <w:right w:val="single" w:sz="4" w:space="0" w:color="auto"/>
            </w:tcBorders>
            <w:shd w:val="clear" w:color="auto" w:fill="auto"/>
            <w:vAlign w:val="center"/>
            <w:hideMark/>
          </w:tcPr>
          <w:p w14:paraId="1E16E721"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997</w:t>
            </w:r>
          </w:p>
        </w:tc>
        <w:tc>
          <w:tcPr>
            <w:tcW w:w="1698" w:type="dxa"/>
            <w:tcBorders>
              <w:top w:val="nil"/>
              <w:left w:val="nil"/>
              <w:bottom w:val="single" w:sz="4" w:space="0" w:color="auto"/>
              <w:right w:val="single" w:sz="4" w:space="0" w:color="auto"/>
            </w:tcBorders>
            <w:shd w:val="clear" w:color="auto" w:fill="auto"/>
            <w:vAlign w:val="center"/>
            <w:hideMark/>
          </w:tcPr>
          <w:p w14:paraId="6FADA8BD"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2 237</w:t>
            </w:r>
          </w:p>
        </w:tc>
        <w:tc>
          <w:tcPr>
            <w:tcW w:w="1698" w:type="dxa"/>
            <w:tcBorders>
              <w:top w:val="nil"/>
              <w:left w:val="nil"/>
              <w:bottom w:val="single" w:sz="4" w:space="0" w:color="auto"/>
              <w:right w:val="single" w:sz="8" w:space="0" w:color="auto"/>
            </w:tcBorders>
            <w:shd w:val="clear" w:color="auto" w:fill="auto"/>
            <w:vAlign w:val="center"/>
            <w:hideMark/>
          </w:tcPr>
          <w:p w14:paraId="742F4CFF"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40</w:t>
            </w:r>
          </w:p>
        </w:tc>
      </w:tr>
      <w:tr w:rsidR="00954688" w:rsidRPr="00397464" w14:paraId="59314161" w14:textId="77777777" w:rsidTr="000C49A5">
        <w:trPr>
          <w:trHeight w:val="151"/>
        </w:trPr>
        <w:tc>
          <w:tcPr>
            <w:tcW w:w="1698" w:type="dxa"/>
            <w:tcBorders>
              <w:top w:val="nil"/>
              <w:left w:val="single" w:sz="8" w:space="0" w:color="auto"/>
              <w:bottom w:val="single" w:sz="4" w:space="0" w:color="auto"/>
              <w:right w:val="single" w:sz="4" w:space="0" w:color="auto"/>
            </w:tcBorders>
            <w:shd w:val="clear" w:color="auto" w:fill="auto"/>
            <w:vAlign w:val="center"/>
            <w:hideMark/>
          </w:tcPr>
          <w:p w14:paraId="701E476F"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2013</w:t>
            </w:r>
          </w:p>
        </w:tc>
        <w:tc>
          <w:tcPr>
            <w:tcW w:w="1698" w:type="dxa"/>
            <w:tcBorders>
              <w:top w:val="nil"/>
              <w:left w:val="nil"/>
              <w:bottom w:val="single" w:sz="4" w:space="0" w:color="auto"/>
              <w:right w:val="single" w:sz="4" w:space="0" w:color="auto"/>
            </w:tcBorders>
            <w:shd w:val="clear" w:color="auto" w:fill="auto"/>
            <w:vAlign w:val="center"/>
            <w:hideMark/>
          </w:tcPr>
          <w:p w14:paraId="54A7680E"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32</w:t>
            </w:r>
          </w:p>
        </w:tc>
        <w:tc>
          <w:tcPr>
            <w:tcW w:w="1698" w:type="dxa"/>
            <w:tcBorders>
              <w:top w:val="nil"/>
              <w:left w:val="nil"/>
              <w:bottom w:val="single" w:sz="4" w:space="0" w:color="auto"/>
              <w:right w:val="single" w:sz="4" w:space="0" w:color="auto"/>
            </w:tcBorders>
            <w:shd w:val="clear" w:color="auto" w:fill="auto"/>
            <w:vAlign w:val="center"/>
            <w:hideMark/>
          </w:tcPr>
          <w:p w14:paraId="354FCF4E"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845</w:t>
            </w:r>
          </w:p>
        </w:tc>
        <w:tc>
          <w:tcPr>
            <w:tcW w:w="1698" w:type="dxa"/>
            <w:tcBorders>
              <w:top w:val="nil"/>
              <w:left w:val="nil"/>
              <w:bottom w:val="single" w:sz="4" w:space="0" w:color="auto"/>
              <w:right w:val="single" w:sz="4" w:space="0" w:color="auto"/>
            </w:tcBorders>
            <w:shd w:val="clear" w:color="auto" w:fill="auto"/>
            <w:vAlign w:val="center"/>
            <w:hideMark/>
          </w:tcPr>
          <w:p w14:paraId="51D0C498"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1 822</w:t>
            </w:r>
          </w:p>
        </w:tc>
        <w:tc>
          <w:tcPr>
            <w:tcW w:w="1698" w:type="dxa"/>
            <w:tcBorders>
              <w:top w:val="nil"/>
              <w:left w:val="nil"/>
              <w:bottom w:val="single" w:sz="4" w:space="0" w:color="auto"/>
              <w:right w:val="single" w:sz="8" w:space="0" w:color="auto"/>
            </w:tcBorders>
            <w:shd w:val="clear" w:color="auto" w:fill="auto"/>
            <w:vAlign w:val="center"/>
            <w:hideMark/>
          </w:tcPr>
          <w:p w14:paraId="5112CC37"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40</w:t>
            </w:r>
          </w:p>
        </w:tc>
      </w:tr>
      <w:tr w:rsidR="00954688" w:rsidRPr="00397464" w14:paraId="13C7FD9B" w14:textId="77777777" w:rsidTr="000C49A5">
        <w:trPr>
          <w:trHeight w:val="151"/>
        </w:trPr>
        <w:tc>
          <w:tcPr>
            <w:tcW w:w="1698" w:type="dxa"/>
            <w:tcBorders>
              <w:top w:val="nil"/>
              <w:left w:val="single" w:sz="8" w:space="0" w:color="auto"/>
              <w:bottom w:val="single" w:sz="4" w:space="0" w:color="auto"/>
              <w:right w:val="single" w:sz="4" w:space="0" w:color="auto"/>
            </w:tcBorders>
            <w:shd w:val="clear" w:color="auto" w:fill="auto"/>
            <w:vAlign w:val="center"/>
            <w:hideMark/>
          </w:tcPr>
          <w:p w14:paraId="51A6198D"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2014</w:t>
            </w:r>
          </w:p>
        </w:tc>
        <w:tc>
          <w:tcPr>
            <w:tcW w:w="1698" w:type="dxa"/>
            <w:tcBorders>
              <w:top w:val="nil"/>
              <w:left w:val="nil"/>
              <w:bottom w:val="single" w:sz="4" w:space="0" w:color="auto"/>
              <w:right w:val="single" w:sz="4" w:space="0" w:color="auto"/>
            </w:tcBorders>
            <w:shd w:val="clear" w:color="auto" w:fill="auto"/>
            <w:vAlign w:val="center"/>
            <w:hideMark/>
          </w:tcPr>
          <w:p w14:paraId="6C2F24F7"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31</w:t>
            </w:r>
          </w:p>
        </w:tc>
        <w:tc>
          <w:tcPr>
            <w:tcW w:w="1698" w:type="dxa"/>
            <w:tcBorders>
              <w:top w:val="nil"/>
              <w:left w:val="nil"/>
              <w:bottom w:val="single" w:sz="4" w:space="0" w:color="auto"/>
              <w:right w:val="single" w:sz="4" w:space="0" w:color="auto"/>
            </w:tcBorders>
            <w:shd w:val="clear" w:color="auto" w:fill="auto"/>
            <w:vAlign w:val="center"/>
            <w:hideMark/>
          </w:tcPr>
          <w:p w14:paraId="67AA0366"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1 112</w:t>
            </w:r>
          </w:p>
        </w:tc>
        <w:tc>
          <w:tcPr>
            <w:tcW w:w="1698" w:type="dxa"/>
            <w:tcBorders>
              <w:top w:val="nil"/>
              <w:left w:val="nil"/>
              <w:bottom w:val="single" w:sz="4" w:space="0" w:color="auto"/>
              <w:right w:val="single" w:sz="4" w:space="0" w:color="auto"/>
            </w:tcBorders>
            <w:shd w:val="clear" w:color="auto" w:fill="auto"/>
            <w:vAlign w:val="center"/>
            <w:hideMark/>
          </w:tcPr>
          <w:p w14:paraId="00516103"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2 267</w:t>
            </w:r>
          </w:p>
        </w:tc>
        <w:tc>
          <w:tcPr>
            <w:tcW w:w="1698" w:type="dxa"/>
            <w:tcBorders>
              <w:top w:val="nil"/>
              <w:left w:val="nil"/>
              <w:bottom w:val="single" w:sz="4" w:space="0" w:color="auto"/>
              <w:right w:val="single" w:sz="8" w:space="0" w:color="auto"/>
            </w:tcBorders>
            <w:shd w:val="clear" w:color="auto" w:fill="auto"/>
            <w:vAlign w:val="center"/>
            <w:hideMark/>
          </w:tcPr>
          <w:p w14:paraId="4D03545B"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20</w:t>
            </w:r>
          </w:p>
        </w:tc>
      </w:tr>
      <w:tr w:rsidR="00954688" w:rsidRPr="00397464" w14:paraId="03017627" w14:textId="77777777" w:rsidTr="000C49A5">
        <w:trPr>
          <w:trHeight w:val="151"/>
        </w:trPr>
        <w:tc>
          <w:tcPr>
            <w:tcW w:w="1698" w:type="dxa"/>
            <w:tcBorders>
              <w:top w:val="nil"/>
              <w:left w:val="single" w:sz="8" w:space="0" w:color="auto"/>
              <w:bottom w:val="single" w:sz="4" w:space="0" w:color="auto"/>
              <w:right w:val="single" w:sz="4" w:space="0" w:color="auto"/>
            </w:tcBorders>
            <w:shd w:val="clear" w:color="auto" w:fill="auto"/>
            <w:vAlign w:val="center"/>
            <w:hideMark/>
          </w:tcPr>
          <w:p w14:paraId="7A58DD4D"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2015</w:t>
            </w:r>
          </w:p>
        </w:tc>
        <w:tc>
          <w:tcPr>
            <w:tcW w:w="1698" w:type="dxa"/>
            <w:tcBorders>
              <w:top w:val="nil"/>
              <w:left w:val="nil"/>
              <w:bottom w:val="single" w:sz="4" w:space="0" w:color="auto"/>
              <w:right w:val="single" w:sz="4" w:space="0" w:color="auto"/>
            </w:tcBorders>
            <w:shd w:val="clear" w:color="auto" w:fill="auto"/>
            <w:vAlign w:val="center"/>
            <w:hideMark/>
          </w:tcPr>
          <w:p w14:paraId="3E2EC371"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29</w:t>
            </w:r>
          </w:p>
        </w:tc>
        <w:tc>
          <w:tcPr>
            <w:tcW w:w="1698" w:type="dxa"/>
            <w:tcBorders>
              <w:top w:val="nil"/>
              <w:left w:val="nil"/>
              <w:bottom w:val="single" w:sz="4" w:space="0" w:color="auto"/>
              <w:right w:val="single" w:sz="4" w:space="0" w:color="auto"/>
            </w:tcBorders>
            <w:shd w:val="clear" w:color="auto" w:fill="auto"/>
            <w:vAlign w:val="center"/>
            <w:hideMark/>
          </w:tcPr>
          <w:p w14:paraId="230C9241"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994</w:t>
            </w:r>
          </w:p>
        </w:tc>
        <w:tc>
          <w:tcPr>
            <w:tcW w:w="1698" w:type="dxa"/>
            <w:tcBorders>
              <w:top w:val="nil"/>
              <w:left w:val="nil"/>
              <w:bottom w:val="single" w:sz="4" w:space="0" w:color="auto"/>
              <w:right w:val="single" w:sz="4" w:space="0" w:color="auto"/>
            </w:tcBorders>
            <w:shd w:val="clear" w:color="auto" w:fill="auto"/>
            <w:vAlign w:val="center"/>
            <w:hideMark/>
          </w:tcPr>
          <w:p w14:paraId="3453970A"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2 069</w:t>
            </w:r>
          </w:p>
        </w:tc>
        <w:tc>
          <w:tcPr>
            <w:tcW w:w="1698" w:type="dxa"/>
            <w:tcBorders>
              <w:top w:val="nil"/>
              <w:left w:val="nil"/>
              <w:bottom w:val="single" w:sz="4" w:space="0" w:color="auto"/>
              <w:right w:val="single" w:sz="8" w:space="0" w:color="auto"/>
            </w:tcBorders>
            <w:shd w:val="clear" w:color="auto" w:fill="auto"/>
            <w:vAlign w:val="center"/>
            <w:hideMark/>
          </w:tcPr>
          <w:p w14:paraId="05D622CB"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20</w:t>
            </w:r>
          </w:p>
        </w:tc>
      </w:tr>
      <w:tr w:rsidR="00954688" w:rsidRPr="00397464" w14:paraId="4E4496BA" w14:textId="77777777" w:rsidTr="000C49A5">
        <w:trPr>
          <w:trHeight w:val="151"/>
        </w:trPr>
        <w:tc>
          <w:tcPr>
            <w:tcW w:w="1698" w:type="dxa"/>
            <w:tcBorders>
              <w:top w:val="nil"/>
              <w:left w:val="single" w:sz="8" w:space="0" w:color="auto"/>
              <w:bottom w:val="single" w:sz="4" w:space="0" w:color="auto"/>
              <w:right w:val="single" w:sz="4" w:space="0" w:color="auto"/>
            </w:tcBorders>
            <w:shd w:val="clear" w:color="auto" w:fill="auto"/>
            <w:vAlign w:val="center"/>
            <w:hideMark/>
          </w:tcPr>
          <w:p w14:paraId="6A1E76AE"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2016</w:t>
            </w:r>
          </w:p>
        </w:tc>
        <w:tc>
          <w:tcPr>
            <w:tcW w:w="1698" w:type="dxa"/>
            <w:tcBorders>
              <w:top w:val="nil"/>
              <w:left w:val="nil"/>
              <w:bottom w:val="single" w:sz="4" w:space="0" w:color="auto"/>
              <w:right w:val="single" w:sz="4" w:space="0" w:color="auto"/>
            </w:tcBorders>
            <w:shd w:val="clear" w:color="auto" w:fill="auto"/>
            <w:vAlign w:val="center"/>
            <w:hideMark/>
          </w:tcPr>
          <w:p w14:paraId="2DBBDA1D"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32</w:t>
            </w:r>
          </w:p>
        </w:tc>
        <w:tc>
          <w:tcPr>
            <w:tcW w:w="1698" w:type="dxa"/>
            <w:tcBorders>
              <w:top w:val="nil"/>
              <w:left w:val="nil"/>
              <w:bottom w:val="single" w:sz="4" w:space="0" w:color="auto"/>
              <w:right w:val="single" w:sz="4" w:space="0" w:color="auto"/>
            </w:tcBorders>
            <w:shd w:val="clear" w:color="auto" w:fill="auto"/>
            <w:vAlign w:val="center"/>
            <w:hideMark/>
          </w:tcPr>
          <w:p w14:paraId="1AAB6068"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961</w:t>
            </w:r>
          </w:p>
        </w:tc>
        <w:tc>
          <w:tcPr>
            <w:tcW w:w="1698" w:type="dxa"/>
            <w:tcBorders>
              <w:top w:val="nil"/>
              <w:left w:val="nil"/>
              <w:bottom w:val="single" w:sz="4" w:space="0" w:color="auto"/>
              <w:right w:val="single" w:sz="4" w:space="0" w:color="auto"/>
            </w:tcBorders>
            <w:shd w:val="clear" w:color="auto" w:fill="auto"/>
            <w:vAlign w:val="center"/>
            <w:hideMark/>
          </w:tcPr>
          <w:p w14:paraId="3B9E2F67"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2 743</w:t>
            </w:r>
          </w:p>
        </w:tc>
        <w:tc>
          <w:tcPr>
            <w:tcW w:w="1698" w:type="dxa"/>
            <w:tcBorders>
              <w:top w:val="nil"/>
              <w:left w:val="nil"/>
              <w:bottom w:val="single" w:sz="4" w:space="0" w:color="auto"/>
              <w:right w:val="single" w:sz="8" w:space="0" w:color="auto"/>
            </w:tcBorders>
            <w:shd w:val="clear" w:color="auto" w:fill="auto"/>
            <w:vAlign w:val="center"/>
            <w:hideMark/>
          </w:tcPr>
          <w:p w14:paraId="3E8D500B"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20</w:t>
            </w:r>
          </w:p>
        </w:tc>
      </w:tr>
      <w:tr w:rsidR="00954688" w:rsidRPr="00397464" w14:paraId="03060282" w14:textId="77777777" w:rsidTr="000C49A5">
        <w:trPr>
          <w:trHeight w:val="151"/>
        </w:trPr>
        <w:tc>
          <w:tcPr>
            <w:tcW w:w="1698" w:type="dxa"/>
            <w:tcBorders>
              <w:top w:val="nil"/>
              <w:left w:val="single" w:sz="8" w:space="0" w:color="auto"/>
              <w:bottom w:val="single" w:sz="4" w:space="0" w:color="auto"/>
              <w:right w:val="single" w:sz="4" w:space="0" w:color="auto"/>
            </w:tcBorders>
            <w:shd w:val="clear" w:color="auto" w:fill="auto"/>
            <w:vAlign w:val="center"/>
            <w:hideMark/>
          </w:tcPr>
          <w:p w14:paraId="38574A84"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2017</w:t>
            </w:r>
          </w:p>
        </w:tc>
        <w:tc>
          <w:tcPr>
            <w:tcW w:w="1698" w:type="dxa"/>
            <w:tcBorders>
              <w:top w:val="nil"/>
              <w:left w:val="nil"/>
              <w:bottom w:val="single" w:sz="4" w:space="0" w:color="auto"/>
              <w:right w:val="single" w:sz="4" w:space="0" w:color="auto"/>
            </w:tcBorders>
            <w:shd w:val="clear" w:color="auto" w:fill="auto"/>
            <w:vAlign w:val="center"/>
            <w:hideMark/>
          </w:tcPr>
          <w:p w14:paraId="07D287D8"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31</w:t>
            </w:r>
          </w:p>
        </w:tc>
        <w:tc>
          <w:tcPr>
            <w:tcW w:w="1698" w:type="dxa"/>
            <w:tcBorders>
              <w:top w:val="nil"/>
              <w:left w:val="nil"/>
              <w:bottom w:val="single" w:sz="4" w:space="0" w:color="auto"/>
              <w:right w:val="single" w:sz="4" w:space="0" w:color="auto"/>
            </w:tcBorders>
            <w:shd w:val="clear" w:color="auto" w:fill="auto"/>
            <w:vAlign w:val="center"/>
            <w:hideMark/>
          </w:tcPr>
          <w:p w14:paraId="32B20D6F"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834</w:t>
            </w:r>
          </w:p>
        </w:tc>
        <w:tc>
          <w:tcPr>
            <w:tcW w:w="1698" w:type="dxa"/>
            <w:tcBorders>
              <w:top w:val="nil"/>
              <w:left w:val="nil"/>
              <w:bottom w:val="single" w:sz="4" w:space="0" w:color="auto"/>
              <w:right w:val="single" w:sz="4" w:space="0" w:color="auto"/>
            </w:tcBorders>
            <w:shd w:val="clear" w:color="auto" w:fill="auto"/>
            <w:vAlign w:val="center"/>
            <w:hideMark/>
          </w:tcPr>
          <w:p w14:paraId="73BA3C5B"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1 797</w:t>
            </w:r>
          </w:p>
        </w:tc>
        <w:tc>
          <w:tcPr>
            <w:tcW w:w="1698" w:type="dxa"/>
            <w:tcBorders>
              <w:top w:val="nil"/>
              <w:left w:val="nil"/>
              <w:bottom w:val="single" w:sz="4" w:space="0" w:color="auto"/>
              <w:right w:val="single" w:sz="8" w:space="0" w:color="auto"/>
            </w:tcBorders>
            <w:shd w:val="clear" w:color="auto" w:fill="auto"/>
            <w:vAlign w:val="center"/>
            <w:hideMark/>
          </w:tcPr>
          <w:p w14:paraId="4AAA5184"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w:t>
            </w:r>
          </w:p>
        </w:tc>
      </w:tr>
      <w:tr w:rsidR="00954688" w:rsidRPr="00397464" w14:paraId="721F7EFC" w14:textId="77777777" w:rsidTr="000C49A5">
        <w:trPr>
          <w:trHeight w:val="151"/>
        </w:trPr>
        <w:tc>
          <w:tcPr>
            <w:tcW w:w="1698" w:type="dxa"/>
            <w:tcBorders>
              <w:top w:val="nil"/>
              <w:left w:val="single" w:sz="8" w:space="0" w:color="auto"/>
              <w:bottom w:val="single" w:sz="4" w:space="0" w:color="auto"/>
              <w:right w:val="single" w:sz="4" w:space="0" w:color="auto"/>
            </w:tcBorders>
            <w:shd w:val="clear" w:color="auto" w:fill="auto"/>
            <w:vAlign w:val="center"/>
            <w:hideMark/>
          </w:tcPr>
          <w:p w14:paraId="189AE8A1"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2018</w:t>
            </w:r>
          </w:p>
        </w:tc>
        <w:tc>
          <w:tcPr>
            <w:tcW w:w="1698" w:type="dxa"/>
            <w:tcBorders>
              <w:top w:val="nil"/>
              <w:left w:val="nil"/>
              <w:bottom w:val="single" w:sz="4" w:space="0" w:color="auto"/>
              <w:right w:val="single" w:sz="4" w:space="0" w:color="auto"/>
            </w:tcBorders>
            <w:shd w:val="clear" w:color="auto" w:fill="auto"/>
            <w:vAlign w:val="center"/>
            <w:hideMark/>
          </w:tcPr>
          <w:p w14:paraId="09DB3333"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31</w:t>
            </w:r>
          </w:p>
        </w:tc>
        <w:tc>
          <w:tcPr>
            <w:tcW w:w="1698" w:type="dxa"/>
            <w:tcBorders>
              <w:top w:val="nil"/>
              <w:left w:val="nil"/>
              <w:bottom w:val="single" w:sz="4" w:space="0" w:color="auto"/>
              <w:right w:val="single" w:sz="4" w:space="0" w:color="auto"/>
            </w:tcBorders>
            <w:shd w:val="clear" w:color="auto" w:fill="auto"/>
            <w:vAlign w:val="center"/>
            <w:hideMark/>
          </w:tcPr>
          <w:p w14:paraId="3947D351"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1 183</w:t>
            </w:r>
          </w:p>
        </w:tc>
        <w:tc>
          <w:tcPr>
            <w:tcW w:w="1698" w:type="dxa"/>
            <w:tcBorders>
              <w:top w:val="nil"/>
              <w:left w:val="nil"/>
              <w:bottom w:val="single" w:sz="4" w:space="0" w:color="auto"/>
              <w:right w:val="single" w:sz="4" w:space="0" w:color="auto"/>
            </w:tcBorders>
            <w:shd w:val="clear" w:color="auto" w:fill="auto"/>
            <w:vAlign w:val="center"/>
            <w:hideMark/>
          </w:tcPr>
          <w:p w14:paraId="13828F37"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2 278</w:t>
            </w:r>
          </w:p>
        </w:tc>
        <w:tc>
          <w:tcPr>
            <w:tcW w:w="1698" w:type="dxa"/>
            <w:tcBorders>
              <w:top w:val="nil"/>
              <w:left w:val="nil"/>
              <w:bottom w:val="single" w:sz="4" w:space="0" w:color="auto"/>
              <w:right w:val="single" w:sz="8" w:space="0" w:color="auto"/>
            </w:tcBorders>
            <w:shd w:val="clear" w:color="auto" w:fill="auto"/>
            <w:vAlign w:val="center"/>
            <w:hideMark/>
          </w:tcPr>
          <w:p w14:paraId="12BCDAB8"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w:t>
            </w:r>
          </w:p>
        </w:tc>
      </w:tr>
      <w:tr w:rsidR="00954688" w:rsidRPr="00397464" w14:paraId="0E1A0D5F" w14:textId="77777777" w:rsidTr="000C49A5">
        <w:trPr>
          <w:trHeight w:val="151"/>
        </w:trPr>
        <w:tc>
          <w:tcPr>
            <w:tcW w:w="1698" w:type="dxa"/>
            <w:tcBorders>
              <w:top w:val="nil"/>
              <w:left w:val="single" w:sz="8" w:space="0" w:color="auto"/>
              <w:bottom w:val="single" w:sz="8" w:space="0" w:color="auto"/>
              <w:right w:val="single" w:sz="4" w:space="0" w:color="auto"/>
            </w:tcBorders>
            <w:shd w:val="clear" w:color="auto" w:fill="auto"/>
            <w:vAlign w:val="center"/>
            <w:hideMark/>
          </w:tcPr>
          <w:p w14:paraId="3D5787F4" w14:textId="77777777" w:rsidR="00954688" w:rsidRPr="00397464" w:rsidRDefault="00954688" w:rsidP="000C49A5">
            <w:pPr>
              <w:spacing w:before="0"/>
              <w:jc w:val="center"/>
              <w:rPr>
                <w:rFonts w:eastAsia="Times New Roman" w:cstheme="minorHAnsi"/>
                <w:color w:val="000000"/>
                <w:sz w:val="18"/>
                <w:szCs w:val="18"/>
                <w:lang w:eastAsia="cs-CZ"/>
              </w:rPr>
            </w:pPr>
            <w:r w:rsidRPr="00397464">
              <w:rPr>
                <w:rFonts w:eastAsia="Times New Roman" w:cstheme="minorHAnsi"/>
                <w:color w:val="000000"/>
                <w:sz w:val="18"/>
                <w:szCs w:val="18"/>
                <w:lang w:eastAsia="cs-CZ"/>
              </w:rPr>
              <w:t>2019</w:t>
            </w:r>
          </w:p>
        </w:tc>
        <w:tc>
          <w:tcPr>
            <w:tcW w:w="1698" w:type="dxa"/>
            <w:tcBorders>
              <w:top w:val="nil"/>
              <w:left w:val="nil"/>
              <w:bottom w:val="single" w:sz="8" w:space="0" w:color="auto"/>
              <w:right w:val="single" w:sz="4" w:space="0" w:color="auto"/>
            </w:tcBorders>
            <w:shd w:val="clear" w:color="auto" w:fill="auto"/>
            <w:vAlign w:val="center"/>
            <w:hideMark/>
          </w:tcPr>
          <w:p w14:paraId="62075F99"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28</w:t>
            </w:r>
          </w:p>
        </w:tc>
        <w:tc>
          <w:tcPr>
            <w:tcW w:w="1698" w:type="dxa"/>
            <w:tcBorders>
              <w:top w:val="nil"/>
              <w:left w:val="nil"/>
              <w:bottom w:val="single" w:sz="8" w:space="0" w:color="auto"/>
              <w:right w:val="single" w:sz="4" w:space="0" w:color="auto"/>
            </w:tcBorders>
            <w:shd w:val="clear" w:color="auto" w:fill="auto"/>
            <w:vAlign w:val="center"/>
            <w:hideMark/>
          </w:tcPr>
          <w:p w14:paraId="4FEB671E"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1 095</w:t>
            </w:r>
          </w:p>
        </w:tc>
        <w:tc>
          <w:tcPr>
            <w:tcW w:w="1698" w:type="dxa"/>
            <w:tcBorders>
              <w:top w:val="nil"/>
              <w:left w:val="nil"/>
              <w:bottom w:val="single" w:sz="8" w:space="0" w:color="auto"/>
              <w:right w:val="single" w:sz="4" w:space="0" w:color="auto"/>
            </w:tcBorders>
            <w:shd w:val="clear" w:color="auto" w:fill="auto"/>
            <w:vAlign w:val="center"/>
            <w:hideMark/>
          </w:tcPr>
          <w:p w14:paraId="14DFD161"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2 127</w:t>
            </w:r>
          </w:p>
        </w:tc>
        <w:tc>
          <w:tcPr>
            <w:tcW w:w="1698" w:type="dxa"/>
            <w:tcBorders>
              <w:top w:val="nil"/>
              <w:left w:val="nil"/>
              <w:bottom w:val="single" w:sz="8" w:space="0" w:color="auto"/>
              <w:right w:val="single" w:sz="8" w:space="0" w:color="auto"/>
            </w:tcBorders>
            <w:shd w:val="clear" w:color="auto" w:fill="auto"/>
            <w:vAlign w:val="center"/>
            <w:hideMark/>
          </w:tcPr>
          <w:p w14:paraId="697023CB" w14:textId="77777777" w:rsidR="00954688" w:rsidRPr="00397464" w:rsidRDefault="00954688" w:rsidP="000C49A5">
            <w:pPr>
              <w:spacing w:before="0"/>
              <w:jc w:val="right"/>
              <w:rPr>
                <w:rFonts w:eastAsia="Times New Roman" w:cstheme="minorHAnsi"/>
                <w:color w:val="000000"/>
                <w:sz w:val="18"/>
                <w:szCs w:val="18"/>
                <w:lang w:eastAsia="cs-CZ"/>
              </w:rPr>
            </w:pPr>
            <w:r w:rsidRPr="00397464">
              <w:rPr>
                <w:rFonts w:eastAsia="Times New Roman" w:cstheme="minorHAnsi"/>
                <w:color w:val="000000"/>
                <w:sz w:val="18"/>
                <w:szCs w:val="18"/>
                <w:lang w:eastAsia="cs-CZ"/>
              </w:rPr>
              <w:t>.</w:t>
            </w:r>
          </w:p>
        </w:tc>
      </w:tr>
    </w:tbl>
    <w:p w14:paraId="187FBB33" w14:textId="6F1009B2" w:rsidR="00954688" w:rsidRPr="00585B02" w:rsidRDefault="00954688" w:rsidP="00954688">
      <w:pPr>
        <w:pStyle w:val="Zdroj"/>
      </w:pPr>
      <w:r w:rsidRPr="00585B02">
        <w:t>Zdroj: Český statistický úřad, Veřejná databáze, 2020</w:t>
      </w:r>
      <w:r w:rsidR="00B165CB">
        <w:t>.</w:t>
      </w:r>
    </w:p>
    <w:p w14:paraId="121C2C18" w14:textId="5F3EEB8B" w:rsidR="00D9605D" w:rsidRDefault="00954688" w:rsidP="00954688">
      <w:r w:rsidRPr="0043096E">
        <w:t>Vhodným indikátorem rozvoje turistického ruchu je také návštěvnost v Turistickém informačním centru</w:t>
      </w:r>
      <w:r>
        <w:t>,</w:t>
      </w:r>
      <w:r w:rsidRPr="0043096E">
        <w:t xml:space="preserve"> ve Zlíně </w:t>
      </w:r>
      <w:r>
        <w:t xml:space="preserve">návštěvnost </w:t>
      </w:r>
      <w:r w:rsidRPr="0043096E">
        <w:t>Městského informačního a turistického střediska Zlín</w:t>
      </w:r>
      <w:r>
        <w:t xml:space="preserve"> (</w:t>
      </w:r>
      <w:r w:rsidRPr="00BC4263">
        <w:t xml:space="preserve">MITS). </w:t>
      </w:r>
      <w:r w:rsidRPr="0031195E">
        <w:t>Městské informační a turistické středisko Zlín se nachází na náměstí Míru v budově radnice</w:t>
      </w:r>
      <w:r w:rsidRPr="002659A5">
        <w:t xml:space="preserve">. </w:t>
      </w:r>
      <w:r w:rsidR="008831FD" w:rsidRPr="002659A5">
        <w:t xml:space="preserve">Svým návštěvníkům a obyvatelům města poskytuje komplexní informační servis o činnostech Magistrátu města Zlína a z oblasti cestovního ruchu a kultury, jako např. informace o kulturních, společenských a sportovních akcích, informace o kulturních a přírodních památkách, atraktivitách města, informace o ubytování, stravování, službách a firmách ve městě, informace o jízdních řádech ČD a ČSAD a další. </w:t>
      </w:r>
      <w:r w:rsidRPr="002659A5">
        <w:t xml:space="preserve"> </w:t>
      </w:r>
      <w:r w:rsidR="00D9605D" w:rsidRPr="002659A5">
        <w:t xml:space="preserve">MITS spravuje turistickou sekci v bezplatných mobilních aplikacích Mobilní rozhlas, </w:t>
      </w:r>
      <w:r w:rsidR="00D5314D" w:rsidRPr="002659A5">
        <w:t xml:space="preserve">zpracovává podklady do mobilní aplikace Turista v mobilu, Na kole i pěšky </w:t>
      </w:r>
      <w:r w:rsidR="00D9605D" w:rsidRPr="002659A5">
        <w:t>- cykloturistická aplikace a zprostředkovává prohlídky s průvodcem. MITS Zlín provozuje turistický informační portál města Zlína (www.ic-zlin.cz), který poskytuje turistické a kulturní informace.</w:t>
      </w:r>
      <w:r w:rsidR="00D9605D" w:rsidRPr="00D9605D">
        <w:t xml:space="preserve"> </w:t>
      </w:r>
    </w:p>
    <w:p w14:paraId="046C87F4" w14:textId="5DD45395" w:rsidR="00954688" w:rsidRDefault="00954688" w:rsidP="00954688">
      <w:r w:rsidRPr="00BC4263">
        <w:t xml:space="preserve">Jak je vidět na obrázku </w:t>
      </w:r>
      <w:r w:rsidR="003C47B2">
        <w:t>1.97</w:t>
      </w:r>
      <w:r w:rsidRPr="00BC4263">
        <w:t>, počet návštěvníků MITS zaznamenává mezi lety 2015 až 2019 mírné odchylky. Zatím co se počet návštěvníků z České republiky (ČR) o 16 819 zvýšil</w:t>
      </w:r>
      <w:r>
        <w:t>,</w:t>
      </w:r>
      <w:r w:rsidRPr="00BC4263">
        <w:t xml:space="preserve"> počet cizinců mírně klesl o 9 návštěvníků MITS. </w:t>
      </w:r>
    </w:p>
    <w:p w14:paraId="52A851D0" w14:textId="72443B15" w:rsidR="00954688" w:rsidRPr="00AF55FB" w:rsidRDefault="00954688" w:rsidP="00954688">
      <w:pPr>
        <w:pStyle w:val="Titulek"/>
        <w:keepNext/>
        <w:keepLines/>
      </w:pPr>
      <w:bookmarkStart w:id="474" w:name="_Toc53066209"/>
      <w:bookmarkStart w:id="475" w:name="_Toc7707491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97</w:t>
      </w:r>
      <w:r w:rsidR="00804AF3">
        <w:rPr>
          <w:noProof/>
        </w:rPr>
        <w:fldChar w:fldCharType="end"/>
      </w:r>
      <w:r w:rsidR="00B165CB">
        <w:rPr>
          <w:noProof/>
        </w:rPr>
        <w:t>:</w:t>
      </w:r>
      <w:r>
        <w:t xml:space="preserve"> Návštěvnost </w:t>
      </w:r>
      <w:r w:rsidRPr="0043096E">
        <w:t>Městské</w:t>
      </w:r>
      <w:r>
        <w:t>ho</w:t>
      </w:r>
      <w:r w:rsidRPr="0043096E">
        <w:t xml:space="preserve"> informační</w:t>
      </w:r>
      <w:r>
        <w:t>ho</w:t>
      </w:r>
      <w:r w:rsidRPr="0043096E">
        <w:t xml:space="preserve"> a turistické</w:t>
      </w:r>
      <w:r>
        <w:t>ho střediska</w:t>
      </w:r>
      <w:r w:rsidRPr="0043096E">
        <w:t xml:space="preserve"> Zlín</w:t>
      </w:r>
      <w:r>
        <w:t xml:space="preserve"> v letech 2015 - 2019</w:t>
      </w:r>
      <w:bookmarkEnd w:id="474"/>
      <w:bookmarkEnd w:id="475"/>
    </w:p>
    <w:p w14:paraId="1E577EEB" w14:textId="77777777" w:rsidR="00954688" w:rsidRPr="0043096E" w:rsidRDefault="00954688" w:rsidP="00954688">
      <w:pPr>
        <w:rPr>
          <w:b/>
        </w:rPr>
      </w:pPr>
      <w:r>
        <w:rPr>
          <w:b/>
          <w:noProof/>
          <w:lang w:eastAsia="cs-CZ"/>
        </w:rPr>
        <w:drawing>
          <wp:inline distT="0" distB="0" distL="0" distR="0" wp14:anchorId="588A0B6A" wp14:editId="42E4CD1B">
            <wp:extent cx="5773420" cy="1737360"/>
            <wp:effectExtent l="0" t="0" r="0" b="0"/>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73420" cy="1737360"/>
                    </a:xfrm>
                    <a:prstGeom prst="rect">
                      <a:avLst/>
                    </a:prstGeom>
                    <a:noFill/>
                  </pic:spPr>
                </pic:pic>
              </a:graphicData>
            </a:graphic>
          </wp:inline>
        </w:drawing>
      </w:r>
    </w:p>
    <w:p w14:paraId="1DACB57F" w14:textId="77777777" w:rsidR="00954688" w:rsidRDefault="00954688" w:rsidP="00954688">
      <w:r>
        <w:rPr>
          <w:noProof/>
          <w:lang w:eastAsia="cs-CZ"/>
        </w:rPr>
        <w:drawing>
          <wp:inline distT="0" distB="0" distL="0" distR="0" wp14:anchorId="5E9D585A" wp14:editId="555362D7">
            <wp:extent cx="5773420" cy="1804670"/>
            <wp:effectExtent l="0" t="0" r="0" b="5080"/>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73420" cy="1804670"/>
                    </a:xfrm>
                    <a:prstGeom prst="rect">
                      <a:avLst/>
                    </a:prstGeom>
                    <a:noFill/>
                  </pic:spPr>
                </pic:pic>
              </a:graphicData>
            </a:graphic>
          </wp:inline>
        </w:drawing>
      </w:r>
    </w:p>
    <w:p w14:paraId="05BB7E7D" w14:textId="75450B09" w:rsidR="00954688" w:rsidRPr="000D6B03" w:rsidRDefault="00954688" w:rsidP="00954688">
      <w:pPr>
        <w:pStyle w:val="Zdroj"/>
      </w:pPr>
      <w:r>
        <w:t xml:space="preserve">Zdroj: MMZ, </w:t>
      </w:r>
      <w:r w:rsidRPr="0043096E">
        <w:t>Oddělení cestovního ruchu a informace, zpracování PROCES</w:t>
      </w:r>
      <w:r w:rsidR="00B165CB">
        <w:t>, 2020.</w:t>
      </w:r>
    </w:p>
    <w:p w14:paraId="04F0417A" w14:textId="77777777" w:rsidR="00954688" w:rsidRDefault="00954688" w:rsidP="00954688">
      <w:r>
        <w:lastRenderedPageBreak/>
        <w:t xml:space="preserve">Jak je uvedeno v </w:t>
      </w:r>
      <w:r w:rsidRPr="007122BE">
        <w:t>Koncepci rozvoje cestovního ruchu Zlínského kraje na období 2020 – 2030</w:t>
      </w:r>
      <w:r>
        <w:t xml:space="preserve"> na základě analýzy jednotlivých předpokladů cestovního ruchu a hodnocení jeho využití má Zlínský kraj nejvhodnější předpoklady pro následující formy cestovního ruchu: </w:t>
      </w:r>
    </w:p>
    <w:p w14:paraId="100CA46A" w14:textId="77777777" w:rsidR="00954688" w:rsidRDefault="00954688" w:rsidP="00954688">
      <w:pPr>
        <w:pStyle w:val="Odstavecseseznamem"/>
        <w:numPr>
          <w:ilvl w:val="0"/>
          <w:numId w:val="48"/>
        </w:numPr>
      </w:pPr>
      <w:r>
        <w:t xml:space="preserve">Dovolená v přírodě </w:t>
      </w:r>
    </w:p>
    <w:p w14:paraId="500C27BC" w14:textId="77777777" w:rsidR="00954688" w:rsidRDefault="00954688" w:rsidP="00954688">
      <w:pPr>
        <w:pStyle w:val="Odstavecseseznamem"/>
        <w:numPr>
          <w:ilvl w:val="0"/>
          <w:numId w:val="48"/>
        </w:numPr>
      </w:pPr>
      <w:r>
        <w:t xml:space="preserve">Sportovní a aktivní dovolená </w:t>
      </w:r>
    </w:p>
    <w:p w14:paraId="7D5D3E18" w14:textId="77777777" w:rsidR="00954688" w:rsidRDefault="00954688" w:rsidP="00954688">
      <w:pPr>
        <w:pStyle w:val="Odstavecseseznamem"/>
        <w:numPr>
          <w:ilvl w:val="0"/>
          <w:numId w:val="48"/>
        </w:numPr>
      </w:pPr>
      <w:r>
        <w:t xml:space="preserve">Lázeňský cestovní ruch a wellness </w:t>
      </w:r>
    </w:p>
    <w:p w14:paraId="7D242703" w14:textId="77777777" w:rsidR="00954688" w:rsidRDefault="00954688" w:rsidP="00954688">
      <w:pPr>
        <w:pStyle w:val="Odstavecseseznamem"/>
        <w:numPr>
          <w:ilvl w:val="0"/>
          <w:numId w:val="48"/>
        </w:numPr>
      </w:pPr>
      <w:r>
        <w:t xml:space="preserve">Městský a kulturní poznávací cestovní ruch </w:t>
      </w:r>
    </w:p>
    <w:p w14:paraId="6EF98783" w14:textId="77777777" w:rsidR="00954688" w:rsidRDefault="00954688" w:rsidP="00954688">
      <w:pPr>
        <w:pStyle w:val="Odstavecseseznamem"/>
        <w:numPr>
          <w:ilvl w:val="0"/>
          <w:numId w:val="48"/>
        </w:numPr>
      </w:pPr>
      <w:r>
        <w:t xml:space="preserve">Církevní cestovní ruch </w:t>
      </w:r>
    </w:p>
    <w:p w14:paraId="75D09C4E" w14:textId="77777777" w:rsidR="00954688" w:rsidRDefault="00954688" w:rsidP="00954688">
      <w:pPr>
        <w:pStyle w:val="Odstavecseseznamem"/>
        <w:numPr>
          <w:ilvl w:val="0"/>
          <w:numId w:val="48"/>
        </w:numPr>
      </w:pPr>
      <w:r>
        <w:t xml:space="preserve">Formy cestovního ruchu šetrné k životnímu prostředí </w:t>
      </w:r>
    </w:p>
    <w:p w14:paraId="5F0955F1" w14:textId="77777777" w:rsidR="00954688" w:rsidRDefault="00954688" w:rsidP="00954688">
      <w:pPr>
        <w:pStyle w:val="Odstavecseseznamem"/>
        <w:numPr>
          <w:ilvl w:val="0"/>
          <w:numId w:val="48"/>
        </w:numPr>
      </w:pPr>
      <w:r>
        <w:t>Konferenční a incentivní cestovní ruch</w:t>
      </w:r>
    </w:p>
    <w:p w14:paraId="0432F744" w14:textId="7E02E70D" w:rsidR="00954688" w:rsidRPr="002659A5" w:rsidRDefault="00954688" w:rsidP="00954688">
      <w:r>
        <w:t>Zvyšování návštěvnosti kraje v jeho turistických oblastech, vytváření sítě partnerství v sektoru cestovního ruchu, což vede k ekonomickému rozvoji kraje a růstu zaměstnanosti, je posláním Centrály cestovního ruchu Východní Morava (CCR VM).  CCR VM komunikuje značku Východní Morava a další silné regionálních značky Zlínského kraje dle jednotné korporátní identity, která obsahuje název, svoji zvukovou znělku a slogan „Kouzlo rozmanitosti“. Město Zlín spadá do turistické oblasti Zlínsko a</w:t>
      </w:r>
      <w:r w:rsidR="00B165CB">
        <w:t> </w:t>
      </w:r>
      <w:r>
        <w:t xml:space="preserve">Luhačovicko, kde zajišťuje </w:t>
      </w:r>
      <w:r w:rsidRPr="00273588">
        <w:t xml:space="preserve">koordinaci a kooperaci poskytovatelů služeb cestovního ruchu </w:t>
      </w:r>
      <w:r>
        <w:t>D</w:t>
      </w:r>
      <w:r w:rsidRPr="00273588">
        <w:t>estinační management pro turistickou oblast Zlínsko a Luhačovicko</w:t>
      </w:r>
      <w:r>
        <w:t xml:space="preserve"> pod společností </w:t>
      </w:r>
      <w:r w:rsidRPr="0089374F">
        <w:t>Luhačovské Zálesí, o.p.s.</w:t>
      </w:r>
      <w:r>
        <w:t xml:space="preserve"> V</w:t>
      </w:r>
      <w:r w:rsidR="00B165CB">
        <w:t> </w:t>
      </w:r>
      <w:r>
        <w:t xml:space="preserve">rámci organizační struktury Magistrátu města Zlína je zřízeno samostatné Oddělení cestovního ruchu a informací. Činností oddělení je propagace města Zlína, příprava prezentačních (veletržních) akcí města Zlína zaměřených na cestovní ruch, příprava a vydávaní prezentačních a informačních tiskových materiálů, organizace pořádání městských jarmarků vč. tvořivých dílen, </w:t>
      </w:r>
      <w:r w:rsidRPr="00F573FF">
        <w:t>organiz</w:t>
      </w:r>
      <w:r>
        <w:t>ace</w:t>
      </w:r>
      <w:r w:rsidRPr="00F573FF">
        <w:t xml:space="preserve"> Mezinárodní</w:t>
      </w:r>
      <w:r>
        <w:t>ho</w:t>
      </w:r>
      <w:r w:rsidRPr="00F573FF">
        <w:t xml:space="preserve"> festival</w:t>
      </w:r>
      <w:r>
        <w:t>u</w:t>
      </w:r>
      <w:r w:rsidRPr="00F573FF">
        <w:t xml:space="preserve"> outdoorových filmů ve Zlíně, Zlínské</w:t>
      </w:r>
      <w:r>
        <w:t>ho</w:t>
      </w:r>
      <w:r w:rsidRPr="00F573FF">
        <w:t xml:space="preserve"> filmové</w:t>
      </w:r>
      <w:r>
        <w:t>ho léta</w:t>
      </w:r>
      <w:r w:rsidRPr="00F573FF">
        <w:t xml:space="preserve"> (letní kina ve Zlíně) aj.</w:t>
      </w:r>
      <w:r>
        <w:t xml:space="preserve"> Oddělení má na starosti kromě správy internetového portálu www.ic-zlin.cz a sekce Turista na www.zlin.eu i sociální sítě – Facebook a Instagram</w:t>
      </w:r>
      <w:r w:rsidRPr="002659A5">
        <w:t xml:space="preserve">. </w:t>
      </w:r>
      <w:r w:rsidR="00C92D75" w:rsidRPr="002659A5">
        <w:t>Oddělení spravuje turistickou sekci v mobilní aplikaci Mobilní rozhlas, dodává a aktualizuje data pro mobilní aplikaci Mobilní Turista, která obsahuje soubor informací jak pro místní obyvatele (informace z městského úřadu), tak i pro návštěvníky (průvodce městem, kalendář akcí, přehled kulturních organizací, nabídku ubytování a stravování apod.) a pro mobilní cykloturistickou aplikaci Na kole i pěšky.</w:t>
      </w:r>
      <w:r w:rsidRPr="002659A5">
        <w:t xml:space="preserve"> Oddělení zabezpečuje činnost Městského informačního a turistického střediska Zlín, jehož činnost je zmíněna výše. </w:t>
      </w:r>
    </w:p>
    <w:p w14:paraId="324490B8" w14:textId="77777777" w:rsidR="00954688" w:rsidRPr="002659A5" w:rsidRDefault="00954688" w:rsidP="00954688">
      <w:r w:rsidRPr="002659A5">
        <w:t>Zlín je městem, které nemá v České republice obdoby. Z malé vesničky vyrostlo krajské město, které Baťa vystavěl na principech továrny v zahradách. V tom se skrývá jeho jedinečnost. Představuje velmi dobré předpoklady pro rozvoj cestovního ruchu, především pro městskou poznávací turistiku. Město je svou atmosférou jedinečným místem pro poznávání architektury, designu, historie i místních kaváren a mnoho dalšího. Ve městě se pořádají kulturní, volnočasové a sportovních akce, na jejichž organizaci se podílí řada aktérů. Přehled těchto akcí je uveden v rámci kapitoly Kvalita života.</w:t>
      </w:r>
    </w:p>
    <w:p w14:paraId="0B70B259" w14:textId="64AE4705" w:rsidR="00954688" w:rsidRDefault="00B21322" w:rsidP="00954688">
      <w:r w:rsidRPr="002659A5">
        <w:t xml:space="preserve">Dlouhodobě nejnavštěvovanějším cílem ve Zlíně i ve Zlínském kraji je ZOO Zlín, dále pak v rámci města Zlína Muzeum jihovýchodní Moravy ve Zlíně, Baťův kanál, 14. budova (14|15 Baťův institut), Filmový uzel Zlín. </w:t>
      </w:r>
      <w:r w:rsidR="00954688" w:rsidRPr="002659A5">
        <w:t>Přehled významných turistických atraktivit v zájmovém</w:t>
      </w:r>
      <w:r w:rsidR="00954688">
        <w:t xml:space="preserve"> území je uveden v</w:t>
      </w:r>
      <w:r w:rsidR="00EA4CBD">
        <w:t> </w:t>
      </w:r>
      <w:r w:rsidR="00954688">
        <w:t>tabulce</w:t>
      </w:r>
      <w:r w:rsidR="00EA4CBD">
        <w:t xml:space="preserve"> 1.7</w:t>
      </w:r>
      <w:r w:rsidR="00122205">
        <w:t>0</w:t>
      </w:r>
      <w:r w:rsidR="00954688">
        <w:t>.</w:t>
      </w:r>
    </w:p>
    <w:p w14:paraId="7D76A917" w14:textId="7E4DC811" w:rsidR="00954688" w:rsidRPr="00075C46" w:rsidRDefault="00954688" w:rsidP="00954688">
      <w:pPr>
        <w:pStyle w:val="Titulek"/>
        <w:rPr>
          <w:i/>
        </w:rPr>
      </w:pPr>
      <w:bookmarkStart w:id="476" w:name="_Toc53066228"/>
      <w:bookmarkStart w:id="477" w:name="_Toc7707475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70</w:t>
      </w:r>
      <w:r w:rsidR="00081B47">
        <w:rPr>
          <w:noProof/>
        </w:rPr>
        <w:fldChar w:fldCharType="end"/>
      </w:r>
      <w:r w:rsidR="0024325B">
        <w:rPr>
          <w:noProof/>
        </w:rPr>
        <w:t>:</w:t>
      </w:r>
      <w:r>
        <w:t xml:space="preserve"> </w:t>
      </w:r>
      <w:r w:rsidRPr="00075C46">
        <w:t>Přehled významných turistických atraktivit v zájmovém území</w:t>
      </w:r>
      <w:bookmarkEnd w:id="476"/>
      <w:bookmarkEnd w:id="477"/>
    </w:p>
    <w:tbl>
      <w:tblPr>
        <w:tblW w:w="918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5"/>
        <w:gridCol w:w="5955"/>
      </w:tblGrid>
      <w:tr w:rsidR="00954688" w:rsidRPr="004A289E" w14:paraId="15F78985" w14:textId="77777777" w:rsidTr="000C49A5">
        <w:trPr>
          <w:cantSplit/>
          <w:trHeight w:val="99"/>
          <w:tblHeader/>
        </w:trPr>
        <w:tc>
          <w:tcPr>
            <w:tcW w:w="3222" w:type="dxa"/>
            <w:shd w:val="clear" w:color="auto" w:fill="EDEDED" w:themeFill="accent3" w:themeFillTint="33"/>
          </w:tcPr>
          <w:p w14:paraId="4C41D05D"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b/>
                <w:bCs/>
                <w:color w:val="000000"/>
                <w:sz w:val="18"/>
                <w:szCs w:val="18"/>
              </w:rPr>
              <w:t xml:space="preserve">Atraktivita </w:t>
            </w:r>
          </w:p>
        </w:tc>
        <w:tc>
          <w:tcPr>
            <w:tcW w:w="5958" w:type="dxa"/>
            <w:shd w:val="clear" w:color="auto" w:fill="EDEDED" w:themeFill="accent3" w:themeFillTint="33"/>
          </w:tcPr>
          <w:p w14:paraId="13E3671D"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b/>
                <w:bCs/>
                <w:color w:val="000000"/>
                <w:sz w:val="18"/>
                <w:szCs w:val="18"/>
              </w:rPr>
              <w:t xml:space="preserve">Stručný popis </w:t>
            </w:r>
          </w:p>
        </w:tc>
      </w:tr>
      <w:tr w:rsidR="00954688" w:rsidRPr="004A289E" w14:paraId="2F4E794A" w14:textId="77777777" w:rsidTr="000C49A5">
        <w:trPr>
          <w:trHeight w:val="942"/>
        </w:trPr>
        <w:tc>
          <w:tcPr>
            <w:tcW w:w="3222" w:type="dxa"/>
          </w:tcPr>
          <w:p w14:paraId="54637FD1"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t>Zoologická zahrada a zámek Zlín – Lešná</w:t>
            </w:r>
          </w:p>
          <w:p w14:paraId="082B603A"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p>
        </w:tc>
        <w:tc>
          <w:tcPr>
            <w:tcW w:w="5958" w:type="dxa"/>
          </w:tcPr>
          <w:p w14:paraId="031748BF" w14:textId="5E7CC520" w:rsidR="00954688" w:rsidRPr="004A289E" w:rsidRDefault="00954688" w:rsidP="0024325B">
            <w:pPr>
              <w:autoSpaceDE w:val="0"/>
              <w:autoSpaceDN w:val="0"/>
              <w:adjustRightInd w:val="0"/>
              <w:spacing w:before="0"/>
              <w:jc w:val="left"/>
              <w:rPr>
                <w:rFonts w:ascii="Calibri" w:hAnsi="Calibri" w:cs="Calibri"/>
                <w:color w:val="000000"/>
                <w:sz w:val="18"/>
                <w:szCs w:val="18"/>
              </w:rPr>
            </w:pPr>
            <w:r w:rsidRPr="00845F53">
              <w:rPr>
                <w:sz w:val="18"/>
                <w:szCs w:val="18"/>
              </w:rPr>
              <w:t>Zoologická zahrada ve Zlíně-Lešné je nejnavštěvovanějším turistickým místem Zlínského kraje a celé Moravy. Současně paří do první desítky nejnavštěvovanějších míst v ČR. Návštěvnost Z</w:t>
            </w:r>
            <w:r w:rsidR="0024325B">
              <w:rPr>
                <w:sz w:val="18"/>
                <w:szCs w:val="18"/>
              </w:rPr>
              <w:t>OO</w:t>
            </w:r>
            <w:r w:rsidRPr="00845F53">
              <w:rPr>
                <w:sz w:val="18"/>
                <w:szCs w:val="18"/>
              </w:rPr>
              <w:t xml:space="preserve"> dosahuje stabilně více než 600 tis</w:t>
            </w:r>
            <w:r w:rsidR="0024325B">
              <w:rPr>
                <w:sz w:val="18"/>
                <w:szCs w:val="18"/>
              </w:rPr>
              <w:t>.</w:t>
            </w:r>
            <w:r w:rsidRPr="00845F53">
              <w:rPr>
                <w:sz w:val="18"/>
                <w:szCs w:val="18"/>
              </w:rPr>
              <w:t xml:space="preserve"> návštěvníků ročně, což řadí </w:t>
            </w:r>
            <w:r w:rsidR="0024325B">
              <w:rPr>
                <w:sz w:val="18"/>
                <w:szCs w:val="18"/>
              </w:rPr>
              <w:t>ZOO</w:t>
            </w:r>
            <w:r w:rsidRPr="00845F53">
              <w:rPr>
                <w:sz w:val="18"/>
                <w:szCs w:val="18"/>
              </w:rPr>
              <w:t xml:space="preserve"> mezi klíčové TOP atraktivity kraje. Součástí areálu </w:t>
            </w:r>
            <w:r w:rsidR="0024325B">
              <w:rPr>
                <w:sz w:val="18"/>
                <w:szCs w:val="18"/>
              </w:rPr>
              <w:t>ZOO</w:t>
            </w:r>
            <w:r w:rsidRPr="00845F53">
              <w:rPr>
                <w:sz w:val="18"/>
                <w:szCs w:val="18"/>
              </w:rPr>
              <w:t xml:space="preserve"> je i zámek Lešná.</w:t>
            </w:r>
            <w:r>
              <w:rPr>
                <w:sz w:val="18"/>
                <w:szCs w:val="18"/>
              </w:rPr>
              <w:t xml:space="preserve"> </w:t>
            </w:r>
            <w:r w:rsidRPr="004A289E">
              <w:rPr>
                <w:rFonts w:ascii="Calibri" w:hAnsi="Calibri" w:cs="Calibri"/>
                <w:color w:val="000000"/>
                <w:sz w:val="18"/>
                <w:szCs w:val="18"/>
              </w:rPr>
              <w:t xml:space="preserve">Zoologická zahrada byla otevřena v roce 1948. V zoologické zahradě je pro návštěvníky každý rok připravováno asi 20 kulturních programů a další aktivity. </w:t>
            </w:r>
          </w:p>
        </w:tc>
      </w:tr>
      <w:tr w:rsidR="00954688" w:rsidRPr="004A289E" w14:paraId="0837B9AF" w14:textId="77777777" w:rsidTr="000C49A5">
        <w:trPr>
          <w:trHeight w:val="850"/>
        </w:trPr>
        <w:tc>
          <w:tcPr>
            <w:tcW w:w="3222" w:type="dxa"/>
          </w:tcPr>
          <w:p w14:paraId="708FE4AC" w14:textId="5AA656CA"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lastRenderedPageBreak/>
              <w:t>Baťovská architektura spojená s</w:t>
            </w:r>
            <w:r w:rsidR="0024325B">
              <w:rPr>
                <w:rFonts w:ascii="Calibri" w:hAnsi="Calibri" w:cs="Calibri"/>
                <w:color w:val="000000"/>
                <w:sz w:val="18"/>
                <w:szCs w:val="18"/>
              </w:rPr>
              <w:t> </w:t>
            </w:r>
            <w:r w:rsidRPr="004A289E">
              <w:rPr>
                <w:rFonts w:ascii="Calibri" w:hAnsi="Calibri" w:cs="Calibri"/>
                <w:color w:val="000000"/>
                <w:sz w:val="18"/>
                <w:szCs w:val="18"/>
              </w:rPr>
              <w:t xml:space="preserve">baťovskou historií a tradicí </w:t>
            </w:r>
          </w:p>
          <w:p w14:paraId="5B4494B1" w14:textId="77777777" w:rsidR="00954688" w:rsidRPr="004A289E" w:rsidRDefault="00954688" w:rsidP="000C49A5">
            <w:pPr>
              <w:rPr>
                <w:rFonts w:ascii="Calibri" w:hAnsi="Calibri" w:cs="Calibri"/>
                <w:color w:val="000000"/>
                <w:sz w:val="18"/>
                <w:szCs w:val="18"/>
              </w:rPr>
            </w:pPr>
          </w:p>
        </w:tc>
        <w:tc>
          <w:tcPr>
            <w:tcW w:w="5958" w:type="dxa"/>
          </w:tcPr>
          <w:p w14:paraId="71092E07"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t xml:space="preserve">Zlín je proslavený průmyslníkem Tomášem Baťou, jenž ovlivnil zdejší život obuvnickou továrnou a vzhled města nezaměnitelným architektonickým stylem dělnických domků z cihlového zdiva. Dominantu města tvoří </w:t>
            </w:r>
            <w:r w:rsidRPr="00786F33">
              <w:rPr>
                <w:rFonts w:ascii="Calibri" w:hAnsi="Calibri" w:cs="Calibri"/>
                <w:color w:val="000000"/>
                <w:sz w:val="18"/>
                <w:szCs w:val="18"/>
              </w:rPr>
              <w:t>21. správní budova firmy Baťa s pojízdnou kanceláří – výtahem J. A. Bati</w:t>
            </w:r>
            <w:r>
              <w:rPr>
                <w:rFonts w:ascii="Calibri" w:hAnsi="Calibri" w:cs="Calibri"/>
                <w:color w:val="000000"/>
                <w:sz w:val="18"/>
                <w:szCs w:val="18"/>
              </w:rPr>
              <w:t xml:space="preserve">, </w:t>
            </w:r>
            <w:r w:rsidRPr="004A289E">
              <w:rPr>
                <w:rFonts w:ascii="Calibri" w:hAnsi="Calibri" w:cs="Calibri"/>
                <w:color w:val="000000"/>
                <w:sz w:val="18"/>
                <w:szCs w:val="18"/>
              </w:rPr>
              <w:t>který je umístěn v areálu bývalých Baťových závodů.</w:t>
            </w:r>
            <w:r w:rsidRPr="00786F33">
              <w:rPr>
                <w:rFonts w:ascii="Calibri" w:hAnsi="Calibri" w:cs="Calibri"/>
                <w:color w:val="000000"/>
                <w:sz w:val="18"/>
                <w:szCs w:val="18"/>
              </w:rPr>
              <w:t xml:space="preserve"> Celý areál bývalých závodů spolu s budovou získal ocenění Stavba století. V budově je expozice o historii firmy</w:t>
            </w:r>
            <w:r>
              <w:rPr>
                <w:rFonts w:ascii="Calibri" w:hAnsi="Calibri" w:cs="Calibri"/>
                <w:color w:val="000000"/>
                <w:sz w:val="18"/>
                <w:szCs w:val="18"/>
              </w:rPr>
              <w:t>.</w:t>
            </w:r>
            <w:r w:rsidRPr="004A289E">
              <w:rPr>
                <w:rFonts w:ascii="Calibri" w:hAnsi="Calibri" w:cs="Calibri"/>
                <w:color w:val="000000"/>
                <w:sz w:val="18"/>
                <w:szCs w:val="18"/>
              </w:rPr>
              <w:t xml:space="preserve"> Dále lze zmínit např. Velké kino, Vilu Tomáše Bati, budovu obchodního domu Prior</w:t>
            </w:r>
            <w:r>
              <w:rPr>
                <w:rFonts w:ascii="Calibri" w:hAnsi="Calibri" w:cs="Calibri"/>
                <w:color w:val="000000"/>
                <w:sz w:val="18"/>
                <w:szCs w:val="18"/>
              </w:rPr>
              <w:t>, která prošla v roce 2018 rozsáhlou rekonstrukcí,</w:t>
            </w:r>
            <w:r w:rsidRPr="004A289E">
              <w:rPr>
                <w:rFonts w:ascii="Calibri" w:hAnsi="Calibri" w:cs="Calibri"/>
                <w:color w:val="000000"/>
                <w:sz w:val="18"/>
                <w:szCs w:val="18"/>
              </w:rPr>
              <w:t xml:space="preserve"> nebo Obuvnické muzeum. V souvislosti s výše uvedeným byla v roce 2009 městu Zlínu udělena značka „Evropské dědictví“ v rámci iniciativy Evropské komise nazvané European Heritage Label (EHL), jejímž cílem je upozornit na pamětihodnosti, které vyzdvihují a symbolizují evropskou integraci, ideály a historii. </w:t>
            </w:r>
          </w:p>
        </w:tc>
      </w:tr>
      <w:tr w:rsidR="00954688" w:rsidRPr="004A289E" w14:paraId="54512C94" w14:textId="77777777" w:rsidTr="000C49A5">
        <w:trPr>
          <w:trHeight w:val="850"/>
        </w:trPr>
        <w:tc>
          <w:tcPr>
            <w:tcW w:w="3222" w:type="dxa"/>
          </w:tcPr>
          <w:p w14:paraId="5CDB1ADB" w14:textId="77777777" w:rsidR="00954688" w:rsidRPr="00317140" w:rsidRDefault="00954688" w:rsidP="000C49A5">
            <w:pPr>
              <w:rPr>
                <w:sz w:val="18"/>
                <w:szCs w:val="18"/>
              </w:rPr>
            </w:pPr>
            <w:r w:rsidRPr="004A289E">
              <w:rPr>
                <w:sz w:val="18"/>
                <w:szCs w:val="18"/>
              </w:rPr>
              <w:t>Muzeum jihov</w:t>
            </w:r>
            <w:r>
              <w:rPr>
                <w:sz w:val="18"/>
                <w:szCs w:val="18"/>
              </w:rPr>
              <w:t>ýchodní Moravy ve Zlíně</w:t>
            </w:r>
          </w:p>
        </w:tc>
        <w:tc>
          <w:tcPr>
            <w:tcW w:w="5958" w:type="dxa"/>
          </w:tcPr>
          <w:p w14:paraId="5CA22ACF"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786F33">
              <w:rPr>
                <w:rFonts w:ascii="Calibri" w:hAnsi="Calibri" w:cs="Calibri"/>
                <w:color w:val="000000"/>
                <w:sz w:val="18"/>
                <w:szCs w:val="18"/>
              </w:rPr>
              <w:t>Muzeum jihovýchodní Moravy ve Zlíně se v roce 2013 přemístilo ze zlínského zámku do komplexu kulturních ins</w:t>
            </w:r>
            <w:r>
              <w:rPr>
                <w:rFonts w:ascii="Calibri" w:hAnsi="Calibri" w:cs="Calibri"/>
                <w:color w:val="000000"/>
                <w:sz w:val="18"/>
                <w:szCs w:val="18"/>
              </w:rPr>
              <w:t>t</w:t>
            </w:r>
            <w:r w:rsidRPr="00786F33">
              <w:rPr>
                <w:rFonts w:ascii="Calibri" w:hAnsi="Calibri" w:cs="Calibri"/>
                <w:color w:val="000000"/>
                <w:sz w:val="18"/>
                <w:szCs w:val="18"/>
              </w:rPr>
              <w:t>itucí Zlínského kraje, 14|15 BAŤOVA INSTITUTU. Zde má vyhrazeno celé 3. nadzemní podlaží 14. budovy pro stálou expoz</w:t>
            </w:r>
            <w:r>
              <w:rPr>
                <w:rFonts w:ascii="Calibri" w:hAnsi="Calibri" w:cs="Calibri"/>
                <w:color w:val="000000"/>
                <w:sz w:val="18"/>
                <w:szCs w:val="18"/>
              </w:rPr>
              <w:t>i</w:t>
            </w:r>
            <w:r w:rsidRPr="00786F33">
              <w:rPr>
                <w:rFonts w:ascii="Calibri" w:hAnsi="Calibri" w:cs="Calibri"/>
                <w:color w:val="000000"/>
                <w:sz w:val="18"/>
                <w:szCs w:val="18"/>
              </w:rPr>
              <w:t>ci.</w:t>
            </w:r>
            <w:r>
              <w:rPr>
                <w:rFonts w:ascii="Calibri" w:hAnsi="Calibri" w:cs="Calibri"/>
                <w:color w:val="000000"/>
                <w:sz w:val="18"/>
                <w:szCs w:val="18"/>
              </w:rPr>
              <w:t xml:space="preserve"> Muzeum je č</w:t>
            </w:r>
            <w:r w:rsidRPr="005F123F">
              <w:rPr>
                <w:rFonts w:ascii="Calibri" w:hAnsi="Calibri" w:cs="Calibri"/>
                <w:color w:val="000000"/>
                <w:sz w:val="18"/>
                <w:szCs w:val="18"/>
              </w:rPr>
              <w:t>tvrtou nejnavštěvovanější památkou kraje</w:t>
            </w:r>
            <w:r>
              <w:rPr>
                <w:rFonts w:ascii="Calibri" w:hAnsi="Calibri" w:cs="Calibri"/>
                <w:color w:val="000000"/>
                <w:sz w:val="18"/>
                <w:szCs w:val="18"/>
              </w:rPr>
              <w:t>.</w:t>
            </w:r>
          </w:p>
        </w:tc>
      </w:tr>
      <w:tr w:rsidR="00954688" w:rsidRPr="004A289E" w14:paraId="2DDCDCB0" w14:textId="77777777" w:rsidTr="000C49A5">
        <w:trPr>
          <w:trHeight w:val="661"/>
        </w:trPr>
        <w:tc>
          <w:tcPr>
            <w:tcW w:w="3222" w:type="dxa"/>
          </w:tcPr>
          <w:p w14:paraId="4927FA63"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t xml:space="preserve">Hrad Malenovice </w:t>
            </w:r>
          </w:p>
          <w:p w14:paraId="1DBD92E4" w14:textId="77777777" w:rsidR="00954688" w:rsidRPr="004A289E" w:rsidRDefault="00954688" w:rsidP="000C49A5">
            <w:pPr>
              <w:rPr>
                <w:rFonts w:ascii="Calibri" w:hAnsi="Calibri" w:cs="Calibri"/>
                <w:color w:val="000000"/>
                <w:sz w:val="18"/>
                <w:szCs w:val="18"/>
              </w:rPr>
            </w:pPr>
          </w:p>
        </w:tc>
        <w:tc>
          <w:tcPr>
            <w:tcW w:w="5958" w:type="dxa"/>
          </w:tcPr>
          <w:p w14:paraId="0CB8F006"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Pr>
                <w:rFonts w:ascii="Calibri" w:hAnsi="Calibri" w:cs="Calibri"/>
                <w:color w:val="000000"/>
                <w:sz w:val="18"/>
                <w:szCs w:val="18"/>
              </w:rPr>
              <w:t>Hrad</w:t>
            </w:r>
            <w:r w:rsidRPr="004A289E">
              <w:rPr>
                <w:rFonts w:ascii="Calibri" w:hAnsi="Calibri" w:cs="Calibri"/>
                <w:color w:val="000000"/>
                <w:sz w:val="18"/>
                <w:szCs w:val="18"/>
              </w:rPr>
              <w:t xml:space="preserve"> Malenovice</w:t>
            </w:r>
            <w:r>
              <w:rPr>
                <w:rFonts w:ascii="Calibri" w:hAnsi="Calibri" w:cs="Calibri"/>
                <w:color w:val="000000"/>
                <w:sz w:val="18"/>
                <w:szCs w:val="18"/>
              </w:rPr>
              <w:t xml:space="preserve"> tzv. plášťového typu byl </w:t>
            </w:r>
            <w:r w:rsidRPr="004835E7">
              <w:rPr>
                <w:rFonts w:ascii="Calibri" w:hAnsi="Calibri" w:cs="Calibri"/>
                <w:color w:val="000000"/>
                <w:sz w:val="18"/>
                <w:szCs w:val="18"/>
              </w:rPr>
              <w:t>ve 14. st.</w:t>
            </w:r>
            <w:r>
              <w:rPr>
                <w:rFonts w:ascii="Calibri" w:hAnsi="Calibri" w:cs="Calibri"/>
                <w:color w:val="000000"/>
                <w:sz w:val="18"/>
                <w:szCs w:val="18"/>
              </w:rPr>
              <w:t xml:space="preserve"> </w:t>
            </w:r>
            <w:r w:rsidRPr="004835E7">
              <w:rPr>
                <w:rFonts w:ascii="Calibri" w:hAnsi="Calibri" w:cs="Calibri"/>
                <w:color w:val="000000"/>
                <w:sz w:val="18"/>
                <w:szCs w:val="18"/>
              </w:rPr>
              <w:t>přestavěný ze starší tvrze.</w:t>
            </w:r>
            <w:r w:rsidRPr="004A289E">
              <w:rPr>
                <w:rFonts w:ascii="Calibri" w:hAnsi="Calibri" w:cs="Calibri"/>
                <w:color w:val="000000"/>
                <w:sz w:val="18"/>
                <w:szCs w:val="18"/>
              </w:rPr>
              <w:t xml:space="preserve"> </w:t>
            </w:r>
            <w:r>
              <w:rPr>
                <w:rFonts w:ascii="Calibri" w:hAnsi="Calibri" w:cs="Calibri"/>
                <w:color w:val="000000"/>
                <w:sz w:val="18"/>
                <w:szCs w:val="18"/>
              </w:rPr>
              <w:t>Část hradu je</w:t>
            </w:r>
            <w:r w:rsidRPr="004A289E">
              <w:rPr>
                <w:rFonts w:ascii="Calibri" w:hAnsi="Calibri" w:cs="Calibri"/>
                <w:color w:val="000000"/>
                <w:sz w:val="18"/>
                <w:szCs w:val="18"/>
              </w:rPr>
              <w:t xml:space="preserve"> zpřístupněna. </w:t>
            </w:r>
            <w:r>
              <w:rPr>
                <w:rFonts w:ascii="Calibri" w:hAnsi="Calibri" w:cs="Calibri"/>
                <w:color w:val="000000"/>
                <w:sz w:val="18"/>
                <w:szCs w:val="18"/>
              </w:rPr>
              <w:t xml:space="preserve">Na </w:t>
            </w:r>
            <w:r w:rsidRPr="004835E7">
              <w:rPr>
                <w:rFonts w:ascii="Calibri" w:hAnsi="Calibri" w:cs="Calibri"/>
                <w:color w:val="000000"/>
                <w:sz w:val="18"/>
                <w:szCs w:val="18"/>
              </w:rPr>
              <w:t>hradě se pořádají noční prohlí</w:t>
            </w:r>
            <w:r>
              <w:rPr>
                <w:rFonts w:ascii="Calibri" w:hAnsi="Calibri" w:cs="Calibri"/>
                <w:color w:val="000000"/>
                <w:sz w:val="18"/>
                <w:szCs w:val="18"/>
              </w:rPr>
              <w:t>dky a</w:t>
            </w:r>
            <w:r w:rsidRPr="004835E7">
              <w:rPr>
                <w:rFonts w:ascii="Calibri" w:hAnsi="Calibri" w:cs="Calibri"/>
                <w:color w:val="000000"/>
                <w:sz w:val="18"/>
                <w:szCs w:val="18"/>
              </w:rPr>
              <w:t xml:space="preserve"> jsou</w:t>
            </w:r>
            <w:r>
              <w:rPr>
                <w:rFonts w:ascii="Calibri" w:hAnsi="Calibri" w:cs="Calibri"/>
                <w:color w:val="000000"/>
                <w:sz w:val="18"/>
                <w:szCs w:val="18"/>
              </w:rPr>
              <w:t xml:space="preserve"> tam</w:t>
            </w:r>
            <w:r w:rsidRPr="004835E7">
              <w:rPr>
                <w:rFonts w:ascii="Calibri" w:hAnsi="Calibri" w:cs="Calibri"/>
                <w:color w:val="000000"/>
                <w:sz w:val="18"/>
                <w:szCs w:val="18"/>
              </w:rPr>
              <w:t xml:space="preserve"> stálé expozice</w:t>
            </w:r>
            <w:r>
              <w:rPr>
                <w:rFonts w:ascii="Calibri" w:hAnsi="Calibri" w:cs="Calibri"/>
                <w:color w:val="000000"/>
                <w:sz w:val="18"/>
                <w:szCs w:val="18"/>
              </w:rPr>
              <w:t xml:space="preserve">. </w:t>
            </w:r>
            <w:r w:rsidRPr="004A289E">
              <w:rPr>
                <w:rFonts w:ascii="Calibri" w:hAnsi="Calibri" w:cs="Calibri"/>
                <w:color w:val="000000"/>
                <w:sz w:val="18"/>
                <w:szCs w:val="18"/>
              </w:rPr>
              <w:t xml:space="preserve">Během návštěvní sezony se zde konají koncerty, divadelní představení a vystoupení skupin historického šermu. Hrad je spravován Muzeem Jihovýchodní Moravy ve Zlíně, příspěvkovou organizací Zlínského kraje. </w:t>
            </w:r>
            <w:r>
              <w:rPr>
                <w:rFonts w:ascii="Calibri" w:hAnsi="Calibri" w:cs="Calibri"/>
                <w:color w:val="000000"/>
                <w:sz w:val="18"/>
                <w:szCs w:val="18"/>
              </w:rPr>
              <w:t>H</w:t>
            </w:r>
            <w:r w:rsidRPr="00A63877">
              <w:rPr>
                <w:rFonts w:ascii="Calibri" w:hAnsi="Calibri" w:cs="Calibri"/>
                <w:color w:val="000000"/>
                <w:sz w:val="18"/>
                <w:szCs w:val="18"/>
              </w:rPr>
              <w:t>rad má návštěvnost cca 18 tis. osob</w:t>
            </w:r>
            <w:r>
              <w:rPr>
                <w:rFonts w:ascii="Calibri" w:hAnsi="Calibri" w:cs="Calibri"/>
                <w:color w:val="000000"/>
                <w:sz w:val="18"/>
                <w:szCs w:val="18"/>
              </w:rPr>
              <w:t>.</w:t>
            </w:r>
          </w:p>
        </w:tc>
      </w:tr>
      <w:tr w:rsidR="00954688" w:rsidRPr="004A289E" w14:paraId="1437FF63" w14:textId="77777777" w:rsidTr="000C49A5">
        <w:trPr>
          <w:trHeight w:val="380"/>
        </w:trPr>
        <w:tc>
          <w:tcPr>
            <w:tcW w:w="3222" w:type="dxa"/>
          </w:tcPr>
          <w:p w14:paraId="0D0B22DC"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t xml:space="preserve">Zámek Zlín </w:t>
            </w:r>
          </w:p>
        </w:tc>
        <w:tc>
          <w:tcPr>
            <w:tcW w:w="5958" w:type="dxa"/>
          </w:tcPr>
          <w:p w14:paraId="7F44FA01"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t xml:space="preserve">Původně gotická tvrz získala stávající podobu zámku počátkem 20. století. Po válce v budově zámku sídlily úřady a v současnosti je pronajato o.p.s. Zlínský zámek. </w:t>
            </w:r>
            <w:r>
              <w:rPr>
                <w:rFonts w:ascii="Calibri" w:hAnsi="Calibri" w:cs="Calibri"/>
                <w:color w:val="000000"/>
                <w:sz w:val="18"/>
                <w:szCs w:val="18"/>
              </w:rPr>
              <w:t xml:space="preserve">V současné době se připravují </w:t>
            </w:r>
            <w:r w:rsidRPr="004835E7">
              <w:rPr>
                <w:rFonts w:ascii="Calibri" w:hAnsi="Calibri" w:cs="Calibri"/>
                <w:color w:val="000000"/>
                <w:sz w:val="18"/>
                <w:szCs w:val="18"/>
              </w:rPr>
              <w:t>plány na využití zámku</w:t>
            </w:r>
            <w:r>
              <w:rPr>
                <w:rFonts w:ascii="Arial" w:hAnsi="Arial" w:cs="Arial"/>
                <w:color w:val="444444"/>
                <w:sz w:val="20"/>
                <w:szCs w:val="20"/>
              </w:rPr>
              <w:t>.</w:t>
            </w:r>
          </w:p>
        </w:tc>
      </w:tr>
      <w:tr w:rsidR="00954688" w:rsidRPr="004A289E" w14:paraId="29A6B4AB" w14:textId="77777777" w:rsidTr="000C49A5">
        <w:trPr>
          <w:trHeight w:val="520"/>
        </w:trPr>
        <w:tc>
          <w:tcPr>
            <w:tcW w:w="3222" w:type="dxa"/>
          </w:tcPr>
          <w:p w14:paraId="434D38BB"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t xml:space="preserve">Barum Czech Rallye Zlín </w:t>
            </w:r>
          </w:p>
        </w:tc>
        <w:tc>
          <w:tcPr>
            <w:tcW w:w="5958" w:type="dxa"/>
          </w:tcPr>
          <w:p w14:paraId="04862784" w14:textId="77777777" w:rsidR="00954688" w:rsidRPr="004A289E" w:rsidRDefault="00954688" w:rsidP="000C49A5">
            <w:pPr>
              <w:autoSpaceDE w:val="0"/>
              <w:autoSpaceDN w:val="0"/>
              <w:adjustRightInd w:val="0"/>
              <w:spacing w:before="0"/>
              <w:jc w:val="left"/>
              <w:rPr>
                <w:rFonts w:ascii="Calibri" w:hAnsi="Calibri" w:cs="Calibri"/>
                <w:color w:val="000000"/>
                <w:sz w:val="18"/>
                <w:szCs w:val="18"/>
              </w:rPr>
            </w:pPr>
            <w:r w:rsidRPr="004A289E">
              <w:rPr>
                <w:rFonts w:ascii="Calibri" w:hAnsi="Calibri" w:cs="Calibri"/>
                <w:color w:val="000000"/>
                <w:sz w:val="18"/>
                <w:szCs w:val="18"/>
              </w:rPr>
              <w:t xml:space="preserve">Barum Czech Rallye Zlín je </w:t>
            </w:r>
            <w:r>
              <w:rPr>
                <w:rFonts w:ascii="Calibri" w:hAnsi="Calibri" w:cs="Calibri"/>
                <w:color w:val="000000"/>
                <w:sz w:val="18"/>
                <w:szCs w:val="18"/>
              </w:rPr>
              <w:t>sportovní událostí, konanou</w:t>
            </w:r>
            <w:r w:rsidRPr="004A289E">
              <w:rPr>
                <w:rFonts w:ascii="Calibri" w:hAnsi="Calibri" w:cs="Calibri"/>
                <w:color w:val="000000"/>
                <w:sz w:val="18"/>
                <w:szCs w:val="18"/>
              </w:rPr>
              <w:t xml:space="preserve"> vždy na konci srpna. Automobilová rallye je od roku 1983 součástí Mistrovství Evropy jezdců a od roku 2007 patří také do prestižního světového seriálu Intercontinental Rallye Challenge (IRC). Akce je dle organizátorů v posledních letech pravidelně navštěvována přibližně 200 tis. návštěvníky.</w:t>
            </w:r>
          </w:p>
        </w:tc>
      </w:tr>
      <w:tr w:rsidR="00954688" w:rsidRPr="004A289E" w14:paraId="202B969D" w14:textId="77777777" w:rsidTr="000C49A5">
        <w:tblPrEx>
          <w:tblBorders>
            <w:top w:val="nil"/>
            <w:left w:val="nil"/>
            <w:bottom w:val="nil"/>
            <w:right w:val="nil"/>
            <w:insideH w:val="none" w:sz="0" w:space="0" w:color="auto"/>
            <w:insideV w:val="none" w:sz="0" w:space="0" w:color="auto"/>
          </w:tblBorders>
        </w:tblPrEx>
        <w:trPr>
          <w:trHeight w:val="661"/>
        </w:trPr>
        <w:tc>
          <w:tcPr>
            <w:tcW w:w="3227" w:type="dxa"/>
            <w:tcBorders>
              <w:top w:val="single" w:sz="4" w:space="0" w:color="auto"/>
              <w:left w:val="single" w:sz="4" w:space="0" w:color="auto"/>
              <w:bottom w:val="single" w:sz="4" w:space="0" w:color="auto"/>
              <w:right w:val="single" w:sz="4" w:space="0" w:color="auto"/>
            </w:tcBorders>
          </w:tcPr>
          <w:p w14:paraId="7B6DC30F" w14:textId="77777777" w:rsidR="00954688" w:rsidRPr="004A289E" w:rsidRDefault="00954688" w:rsidP="000C49A5">
            <w:pPr>
              <w:rPr>
                <w:sz w:val="18"/>
                <w:szCs w:val="18"/>
              </w:rPr>
            </w:pPr>
            <w:r w:rsidRPr="004A289E">
              <w:rPr>
                <w:sz w:val="18"/>
                <w:szCs w:val="18"/>
              </w:rPr>
              <w:t>Zlín Film Festival</w:t>
            </w:r>
          </w:p>
          <w:p w14:paraId="3CE10678" w14:textId="03FE2A8E" w:rsidR="00954688" w:rsidRPr="004A289E" w:rsidRDefault="00954688" w:rsidP="000C49A5">
            <w:pPr>
              <w:pStyle w:val="Default"/>
              <w:rPr>
                <w:sz w:val="18"/>
                <w:szCs w:val="18"/>
              </w:rPr>
            </w:pPr>
            <w:r w:rsidRPr="004A289E">
              <w:rPr>
                <w:sz w:val="18"/>
                <w:szCs w:val="18"/>
              </w:rPr>
              <w:t>- Mezinárodní festival filmů pro děti a</w:t>
            </w:r>
            <w:r w:rsidR="0024325B">
              <w:rPr>
                <w:sz w:val="18"/>
                <w:szCs w:val="18"/>
              </w:rPr>
              <w:t> </w:t>
            </w:r>
            <w:r w:rsidRPr="004A289E">
              <w:rPr>
                <w:sz w:val="18"/>
                <w:szCs w:val="18"/>
              </w:rPr>
              <w:t xml:space="preserve">mládež </w:t>
            </w:r>
          </w:p>
          <w:p w14:paraId="1FC1F25A" w14:textId="77777777" w:rsidR="00954688" w:rsidRPr="004A289E" w:rsidRDefault="00954688" w:rsidP="000C49A5">
            <w:pPr>
              <w:pStyle w:val="Default"/>
              <w:rPr>
                <w:sz w:val="18"/>
                <w:szCs w:val="18"/>
              </w:rPr>
            </w:pPr>
          </w:p>
          <w:p w14:paraId="6E7B287B" w14:textId="77777777" w:rsidR="00954688" w:rsidRPr="004A289E" w:rsidRDefault="00954688" w:rsidP="000C49A5">
            <w:pPr>
              <w:rPr>
                <w:sz w:val="18"/>
                <w:szCs w:val="18"/>
              </w:rPr>
            </w:pPr>
          </w:p>
        </w:tc>
        <w:tc>
          <w:tcPr>
            <w:tcW w:w="5953" w:type="dxa"/>
            <w:tcBorders>
              <w:top w:val="single" w:sz="4" w:space="0" w:color="auto"/>
              <w:left w:val="single" w:sz="4" w:space="0" w:color="auto"/>
              <w:bottom w:val="single" w:sz="4" w:space="0" w:color="auto"/>
              <w:right w:val="single" w:sz="4" w:space="0" w:color="auto"/>
            </w:tcBorders>
          </w:tcPr>
          <w:p w14:paraId="05CCE2F5" w14:textId="27557C2A" w:rsidR="00954688" w:rsidRPr="004A289E" w:rsidRDefault="00954688" w:rsidP="0024325B">
            <w:pPr>
              <w:pStyle w:val="Default"/>
              <w:rPr>
                <w:sz w:val="18"/>
                <w:szCs w:val="18"/>
              </w:rPr>
            </w:pPr>
            <w:r w:rsidRPr="004A289E">
              <w:rPr>
                <w:sz w:val="18"/>
                <w:szCs w:val="18"/>
              </w:rPr>
              <w:t>První ročník Mezinárodního festivalu filmů pro děti a mládež se konal v roce 1961. Je nejstarší, největší a nejvýznamnější filmovou přehlídkou svého druhu na světě.</w:t>
            </w:r>
            <w:r>
              <w:rPr>
                <w:rFonts w:ascii="Arial" w:hAnsi="Arial" w:cs="Arial"/>
                <w:color w:val="181818"/>
                <w:shd w:val="clear" w:color="auto" w:fill="FFFFFF"/>
              </w:rPr>
              <w:t xml:space="preserve"> </w:t>
            </w:r>
            <w:r w:rsidRPr="004A289E">
              <w:rPr>
                <w:sz w:val="18"/>
                <w:szCs w:val="18"/>
              </w:rPr>
              <w:t>Zlín Film Festival každý rok uvede na 350 snímků pro děti a mládež</w:t>
            </w:r>
            <w:r>
              <w:rPr>
                <w:sz w:val="18"/>
                <w:szCs w:val="18"/>
              </w:rPr>
              <w:t xml:space="preserve"> z</w:t>
            </w:r>
            <w:r w:rsidR="0024325B">
              <w:rPr>
                <w:sz w:val="18"/>
                <w:szCs w:val="18"/>
              </w:rPr>
              <w:t> v</w:t>
            </w:r>
            <w:r>
              <w:rPr>
                <w:sz w:val="18"/>
                <w:szCs w:val="18"/>
              </w:rPr>
              <w:t>íce než 50 zemí světa</w:t>
            </w:r>
            <w:r w:rsidRPr="004A289E">
              <w:rPr>
                <w:sz w:val="18"/>
                <w:szCs w:val="18"/>
              </w:rPr>
              <w:t xml:space="preserve"> a přivítá přes 95 000 návštěvníků. Festivalové projekce se uskutečňují nejen ve Zlíně, ale také v řadě dalších měst České republiky. Hlavní soutěžní sekce jsou zaměřeny na hrané filmy pro děti a</w:t>
            </w:r>
            <w:r w:rsidR="0024325B">
              <w:rPr>
                <w:sz w:val="18"/>
                <w:szCs w:val="18"/>
              </w:rPr>
              <w:t> </w:t>
            </w:r>
            <w:r w:rsidRPr="004A289E">
              <w:rPr>
                <w:sz w:val="18"/>
                <w:szCs w:val="18"/>
              </w:rPr>
              <w:t>mládež, animované filmy pro děti, pozornost je věnována také začínajícím evropským filmařům v sekci celovečerních evropských debutů.</w:t>
            </w:r>
          </w:p>
        </w:tc>
      </w:tr>
      <w:tr w:rsidR="00954688" w:rsidRPr="004A289E" w14:paraId="0A0BBB13" w14:textId="77777777" w:rsidTr="000C49A5">
        <w:tblPrEx>
          <w:tblBorders>
            <w:top w:val="nil"/>
            <w:left w:val="nil"/>
            <w:bottom w:val="nil"/>
            <w:right w:val="nil"/>
            <w:insideH w:val="none" w:sz="0" w:space="0" w:color="auto"/>
            <w:insideV w:val="none" w:sz="0" w:space="0" w:color="auto"/>
          </w:tblBorders>
        </w:tblPrEx>
        <w:trPr>
          <w:trHeight w:val="661"/>
        </w:trPr>
        <w:tc>
          <w:tcPr>
            <w:tcW w:w="3227" w:type="dxa"/>
            <w:tcBorders>
              <w:top w:val="single" w:sz="4" w:space="0" w:color="auto"/>
              <w:left w:val="single" w:sz="4" w:space="0" w:color="auto"/>
              <w:bottom w:val="single" w:sz="4" w:space="0" w:color="auto"/>
              <w:right w:val="single" w:sz="4" w:space="0" w:color="auto"/>
            </w:tcBorders>
          </w:tcPr>
          <w:p w14:paraId="433DD50F" w14:textId="77777777" w:rsidR="00954688" w:rsidRPr="004A289E" w:rsidRDefault="00954688" w:rsidP="000C49A5">
            <w:pPr>
              <w:pStyle w:val="Default"/>
              <w:rPr>
                <w:sz w:val="18"/>
                <w:szCs w:val="18"/>
              </w:rPr>
            </w:pPr>
            <w:r w:rsidRPr="008E4268">
              <w:rPr>
                <w:sz w:val="18"/>
                <w:szCs w:val="18"/>
              </w:rPr>
              <w:t>Filmový uzel Zlín</w:t>
            </w:r>
          </w:p>
        </w:tc>
        <w:tc>
          <w:tcPr>
            <w:tcW w:w="5953" w:type="dxa"/>
            <w:tcBorders>
              <w:top w:val="single" w:sz="4" w:space="0" w:color="auto"/>
              <w:left w:val="single" w:sz="4" w:space="0" w:color="auto"/>
              <w:bottom w:val="single" w:sz="4" w:space="0" w:color="auto"/>
              <w:right w:val="single" w:sz="4" w:space="0" w:color="auto"/>
            </w:tcBorders>
          </w:tcPr>
          <w:p w14:paraId="362379FD" w14:textId="77777777" w:rsidR="00954688" w:rsidRPr="004A289E" w:rsidRDefault="00954688" w:rsidP="000C49A5">
            <w:pPr>
              <w:pStyle w:val="Default"/>
              <w:rPr>
                <w:sz w:val="18"/>
                <w:szCs w:val="18"/>
              </w:rPr>
            </w:pPr>
            <w:r w:rsidRPr="008E4268">
              <w:rPr>
                <w:sz w:val="18"/>
                <w:szCs w:val="18"/>
              </w:rPr>
              <w:t>Filmový uzel Zlín je jedinečné filmové, kulturní a vzdělávací centrum pro ce</w:t>
            </w:r>
            <w:r>
              <w:rPr>
                <w:sz w:val="18"/>
                <w:szCs w:val="18"/>
              </w:rPr>
              <w:t>lou rodinu. Děti i dospělí zde mohou animovat</w:t>
            </w:r>
            <w:r w:rsidRPr="008E4268">
              <w:rPr>
                <w:sz w:val="18"/>
                <w:szCs w:val="18"/>
              </w:rPr>
              <w:t xml:space="preserve"> vlastní krátké s</w:t>
            </w:r>
            <w:r>
              <w:rPr>
                <w:sz w:val="18"/>
                <w:szCs w:val="18"/>
              </w:rPr>
              <w:t>nímky, poznávat</w:t>
            </w:r>
            <w:r w:rsidRPr="008E4268">
              <w:rPr>
                <w:sz w:val="18"/>
                <w:szCs w:val="18"/>
              </w:rPr>
              <w:t xml:space="preserve"> historii a osobnosti zlínských ateliérů</w:t>
            </w:r>
            <w:r>
              <w:rPr>
                <w:sz w:val="18"/>
                <w:szCs w:val="18"/>
              </w:rPr>
              <w:t>.</w:t>
            </w:r>
          </w:p>
        </w:tc>
      </w:tr>
      <w:tr w:rsidR="00954688" w:rsidRPr="004A289E" w14:paraId="5CC518DA" w14:textId="77777777" w:rsidTr="000C49A5">
        <w:tblPrEx>
          <w:tblBorders>
            <w:top w:val="nil"/>
            <w:left w:val="nil"/>
            <w:bottom w:val="nil"/>
            <w:right w:val="nil"/>
            <w:insideH w:val="none" w:sz="0" w:space="0" w:color="auto"/>
            <w:insideV w:val="none" w:sz="0" w:space="0" w:color="auto"/>
          </w:tblBorders>
        </w:tblPrEx>
        <w:trPr>
          <w:trHeight w:val="520"/>
        </w:trPr>
        <w:tc>
          <w:tcPr>
            <w:tcW w:w="3227" w:type="dxa"/>
            <w:tcBorders>
              <w:top w:val="single" w:sz="4" w:space="0" w:color="auto"/>
              <w:left w:val="single" w:sz="4" w:space="0" w:color="auto"/>
              <w:bottom w:val="single" w:sz="4" w:space="0" w:color="auto"/>
              <w:right w:val="single" w:sz="4" w:space="0" w:color="auto"/>
            </w:tcBorders>
          </w:tcPr>
          <w:p w14:paraId="7F148B69" w14:textId="77777777" w:rsidR="00954688" w:rsidRDefault="00954688" w:rsidP="000C49A5">
            <w:pPr>
              <w:pStyle w:val="Default"/>
              <w:rPr>
                <w:sz w:val="18"/>
                <w:szCs w:val="18"/>
              </w:rPr>
            </w:pPr>
            <w:r w:rsidRPr="004A289E">
              <w:rPr>
                <w:sz w:val="18"/>
                <w:szCs w:val="18"/>
              </w:rPr>
              <w:t xml:space="preserve">Zřícenina hradu Lukov </w:t>
            </w:r>
          </w:p>
          <w:p w14:paraId="52352E3C" w14:textId="77777777" w:rsidR="00954688" w:rsidRDefault="00954688" w:rsidP="000C49A5"/>
          <w:p w14:paraId="5D3B8DA2" w14:textId="77777777" w:rsidR="00954688" w:rsidRPr="00015D78" w:rsidRDefault="00954688" w:rsidP="000C49A5">
            <w:pPr>
              <w:tabs>
                <w:tab w:val="left" w:pos="2010"/>
              </w:tabs>
            </w:pPr>
            <w:r>
              <w:tab/>
            </w:r>
          </w:p>
        </w:tc>
        <w:tc>
          <w:tcPr>
            <w:tcW w:w="5953" w:type="dxa"/>
            <w:tcBorders>
              <w:top w:val="single" w:sz="4" w:space="0" w:color="auto"/>
              <w:left w:val="single" w:sz="4" w:space="0" w:color="auto"/>
              <w:bottom w:val="single" w:sz="4" w:space="0" w:color="auto"/>
              <w:right w:val="single" w:sz="4" w:space="0" w:color="auto"/>
            </w:tcBorders>
          </w:tcPr>
          <w:p w14:paraId="50B577E3" w14:textId="45DDBAED" w:rsidR="00954688" w:rsidRPr="004A289E" w:rsidRDefault="00954688" w:rsidP="0024325B">
            <w:pPr>
              <w:pStyle w:val="Default"/>
              <w:rPr>
                <w:sz w:val="18"/>
                <w:szCs w:val="18"/>
              </w:rPr>
            </w:pPr>
            <w:r w:rsidRPr="004A289E">
              <w:rPr>
                <w:sz w:val="18"/>
                <w:szCs w:val="18"/>
              </w:rPr>
              <w:t xml:space="preserve">Hrad od poslední čtvrtiny 20. století opravován, v roce 1987 byla zahájena postupná památková obnova. Díky dlouholeté práci dobrovolníků se hrad proměnil ze zanedbané zříceniny ve vyhledávaný turistický cíl, kde probíhají vzdělávací programy zaměřené zejména na děti a mládež a další akce. </w:t>
            </w:r>
            <w:r w:rsidRPr="005F123F">
              <w:rPr>
                <w:sz w:val="18"/>
                <w:szCs w:val="18"/>
              </w:rPr>
              <w:t>V</w:t>
            </w:r>
            <w:r w:rsidR="0024325B">
              <w:rPr>
                <w:sz w:val="18"/>
                <w:szCs w:val="18"/>
              </w:rPr>
              <w:t> </w:t>
            </w:r>
            <w:r w:rsidRPr="005F123F">
              <w:rPr>
                <w:sz w:val="18"/>
                <w:szCs w:val="18"/>
              </w:rPr>
              <w:t>současné době se o provoz a postupnou památkovou obnovu hradu stará Spolek přátel hradu Lukova.</w:t>
            </w:r>
          </w:p>
        </w:tc>
      </w:tr>
      <w:tr w:rsidR="00954688" w:rsidRPr="004A289E" w14:paraId="23674D2B" w14:textId="77777777" w:rsidTr="000C49A5">
        <w:tblPrEx>
          <w:tblBorders>
            <w:top w:val="nil"/>
            <w:left w:val="nil"/>
            <w:bottom w:val="nil"/>
            <w:right w:val="nil"/>
            <w:insideH w:val="none" w:sz="0" w:space="0" w:color="auto"/>
            <w:insideV w:val="none" w:sz="0" w:space="0" w:color="auto"/>
          </w:tblBorders>
        </w:tblPrEx>
        <w:trPr>
          <w:trHeight w:val="520"/>
        </w:trPr>
        <w:tc>
          <w:tcPr>
            <w:tcW w:w="3227" w:type="dxa"/>
            <w:tcBorders>
              <w:top w:val="single" w:sz="4" w:space="0" w:color="auto"/>
              <w:left w:val="single" w:sz="4" w:space="0" w:color="auto"/>
              <w:bottom w:val="single" w:sz="4" w:space="0" w:color="auto"/>
              <w:right w:val="single" w:sz="4" w:space="0" w:color="auto"/>
            </w:tcBorders>
          </w:tcPr>
          <w:p w14:paraId="105757C9" w14:textId="77777777" w:rsidR="00954688" w:rsidRPr="004A289E" w:rsidRDefault="00954688" w:rsidP="000C49A5">
            <w:pPr>
              <w:pStyle w:val="Default"/>
              <w:rPr>
                <w:sz w:val="18"/>
                <w:szCs w:val="18"/>
              </w:rPr>
            </w:pPr>
            <w:r w:rsidRPr="004A289E">
              <w:rPr>
                <w:sz w:val="18"/>
                <w:szCs w:val="18"/>
              </w:rPr>
              <w:t>Hvězdárna Zlín</w:t>
            </w:r>
          </w:p>
          <w:p w14:paraId="01CF85C7" w14:textId="77777777" w:rsidR="00954688" w:rsidRPr="004A289E" w:rsidRDefault="00954688" w:rsidP="000C49A5">
            <w:pPr>
              <w:pStyle w:val="Default"/>
              <w:rPr>
                <w:sz w:val="18"/>
                <w:szCs w:val="18"/>
              </w:rPr>
            </w:pPr>
          </w:p>
        </w:tc>
        <w:tc>
          <w:tcPr>
            <w:tcW w:w="5953" w:type="dxa"/>
            <w:tcBorders>
              <w:top w:val="single" w:sz="4" w:space="0" w:color="auto"/>
              <w:left w:val="single" w:sz="4" w:space="0" w:color="auto"/>
              <w:bottom w:val="single" w:sz="4" w:space="0" w:color="auto"/>
              <w:right w:val="single" w:sz="4" w:space="0" w:color="auto"/>
            </w:tcBorders>
          </w:tcPr>
          <w:p w14:paraId="114BC8E9" w14:textId="42C8DA5F" w:rsidR="00954688" w:rsidRPr="004A289E" w:rsidRDefault="00954688" w:rsidP="0024325B">
            <w:pPr>
              <w:pStyle w:val="Default"/>
              <w:rPr>
                <w:sz w:val="18"/>
                <w:szCs w:val="18"/>
              </w:rPr>
            </w:pPr>
            <w:r w:rsidRPr="005F123F">
              <w:rPr>
                <w:sz w:val="18"/>
                <w:szCs w:val="18"/>
              </w:rPr>
              <w:t>Novou Hvězdárnu Zlín provozuje od 9. ledna 2004 ZAS (Zlínská astronomická společnost).</w:t>
            </w:r>
            <w:r>
              <w:rPr>
                <w:sz w:val="18"/>
                <w:szCs w:val="18"/>
              </w:rPr>
              <w:t xml:space="preserve"> </w:t>
            </w:r>
            <w:r w:rsidRPr="005C62FE">
              <w:rPr>
                <w:sz w:val="18"/>
                <w:szCs w:val="18"/>
              </w:rPr>
              <w:t xml:space="preserve">Hvězdárna se nachází v areálu Gymnázia Zlín. Kromě pozorování oblohy </w:t>
            </w:r>
            <w:r w:rsidR="0024325B">
              <w:rPr>
                <w:sz w:val="18"/>
                <w:szCs w:val="18"/>
              </w:rPr>
              <w:t>je možné se</w:t>
            </w:r>
            <w:r w:rsidRPr="005C62FE">
              <w:rPr>
                <w:sz w:val="18"/>
                <w:szCs w:val="18"/>
              </w:rPr>
              <w:t xml:space="preserve"> zúčastnit přednášek, zhlédnout výstavy apod. Pro školy a</w:t>
            </w:r>
            <w:r w:rsidR="0024325B">
              <w:rPr>
                <w:sz w:val="18"/>
                <w:szCs w:val="18"/>
              </w:rPr>
              <w:t> </w:t>
            </w:r>
            <w:r w:rsidRPr="005C62FE">
              <w:rPr>
                <w:sz w:val="18"/>
                <w:szCs w:val="18"/>
              </w:rPr>
              <w:t>skupiny je možné objednání pořadu na zvolené téma.</w:t>
            </w:r>
          </w:p>
        </w:tc>
      </w:tr>
      <w:tr w:rsidR="00954688" w:rsidRPr="004A289E" w14:paraId="33CE49F1" w14:textId="77777777" w:rsidTr="000C49A5">
        <w:tblPrEx>
          <w:tblBorders>
            <w:top w:val="nil"/>
            <w:left w:val="nil"/>
            <w:bottom w:val="nil"/>
            <w:right w:val="nil"/>
            <w:insideH w:val="none" w:sz="0" w:space="0" w:color="auto"/>
            <w:insideV w:val="none" w:sz="0" w:space="0" w:color="auto"/>
          </w:tblBorders>
        </w:tblPrEx>
        <w:trPr>
          <w:trHeight w:val="801"/>
        </w:trPr>
        <w:tc>
          <w:tcPr>
            <w:tcW w:w="3227" w:type="dxa"/>
            <w:tcBorders>
              <w:top w:val="single" w:sz="4" w:space="0" w:color="auto"/>
              <w:left w:val="single" w:sz="4" w:space="0" w:color="auto"/>
              <w:bottom w:val="single" w:sz="4" w:space="0" w:color="auto"/>
              <w:right w:val="single" w:sz="4" w:space="0" w:color="auto"/>
            </w:tcBorders>
          </w:tcPr>
          <w:p w14:paraId="4D082FC8" w14:textId="77777777" w:rsidR="00954688" w:rsidRPr="004A289E" w:rsidRDefault="00954688" w:rsidP="000C49A5">
            <w:pPr>
              <w:pStyle w:val="Default"/>
              <w:rPr>
                <w:sz w:val="18"/>
                <w:szCs w:val="18"/>
              </w:rPr>
            </w:pPr>
            <w:r w:rsidRPr="004A289E">
              <w:rPr>
                <w:sz w:val="18"/>
                <w:szCs w:val="18"/>
              </w:rPr>
              <w:t xml:space="preserve">Baťův kanál </w:t>
            </w:r>
          </w:p>
          <w:p w14:paraId="4E1DD83C" w14:textId="77777777" w:rsidR="00954688" w:rsidRPr="004A289E" w:rsidRDefault="00954688" w:rsidP="000C49A5">
            <w:pPr>
              <w:rPr>
                <w:sz w:val="18"/>
                <w:szCs w:val="18"/>
              </w:rPr>
            </w:pPr>
          </w:p>
        </w:tc>
        <w:tc>
          <w:tcPr>
            <w:tcW w:w="5953" w:type="dxa"/>
            <w:tcBorders>
              <w:top w:val="single" w:sz="4" w:space="0" w:color="auto"/>
              <w:left w:val="single" w:sz="4" w:space="0" w:color="auto"/>
              <w:bottom w:val="single" w:sz="4" w:space="0" w:color="auto"/>
              <w:right w:val="single" w:sz="4" w:space="0" w:color="auto"/>
            </w:tcBorders>
          </w:tcPr>
          <w:p w14:paraId="69FD41B2" w14:textId="5100EB67" w:rsidR="00954688" w:rsidRPr="004A289E" w:rsidRDefault="00954688" w:rsidP="0024325B">
            <w:pPr>
              <w:rPr>
                <w:sz w:val="18"/>
                <w:szCs w:val="18"/>
              </w:rPr>
            </w:pPr>
            <w:r w:rsidRPr="004A289E">
              <w:rPr>
                <w:sz w:val="18"/>
                <w:szCs w:val="18"/>
              </w:rPr>
              <w:t>Baťův kanál je historická vodní cesta s funkčními plavebními komorami a</w:t>
            </w:r>
            <w:r w:rsidR="0024325B">
              <w:rPr>
                <w:sz w:val="18"/>
                <w:szCs w:val="18"/>
              </w:rPr>
              <w:t> </w:t>
            </w:r>
            <w:r w:rsidRPr="004A289E">
              <w:rPr>
                <w:sz w:val="18"/>
                <w:szCs w:val="18"/>
              </w:rPr>
              <w:t xml:space="preserve">výklopníkem. </w:t>
            </w:r>
            <w:r>
              <w:rPr>
                <w:sz w:val="18"/>
                <w:szCs w:val="18"/>
              </w:rPr>
              <w:t>Jedná se o v</w:t>
            </w:r>
            <w:r w:rsidRPr="004A289E">
              <w:rPr>
                <w:sz w:val="18"/>
                <w:szCs w:val="18"/>
              </w:rPr>
              <w:t>nitrozemský průplav postavený v letech 1932</w:t>
            </w:r>
            <w:r w:rsidR="0024325B">
              <w:rPr>
                <w:sz w:val="18"/>
                <w:szCs w:val="18"/>
              </w:rPr>
              <w:t xml:space="preserve"> </w:t>
            </w:r>
            <w:r w:rsidRPr="004A289E">
              <w:rPr>
                <w:sz w:val="18"/>
                <w:szCs w:val="18"/>
              </w:rPr>
              <w:t>–</w:t>
            </w:r>
            <w:r w:rsidR="0024325B">
              <w:rPr>
                <w:sz w:val="18"/>
                <w:szCs w:val="18"/>
              </w:rPr>
              <w:t xml:space="preserve"> </w:t>
            </w:r>
            <w:r w:rsidRPr="004A289E">
              <w:rPr>
                <w:sz w:val="18"/>
                <w:szCs w:val="18"/>
              </w:rPr>
              <w:t>38 v</w:t>
            </w:r>
            <w:r w:rsidR="0024325B">
              <w:rPr>
                <w:sz w:val="18"/>
                <w:szCs w:val="18"/>
              </w:rPr>
              <w:t> </w:t>
            </w:r>
            <w:r w:rsidRPr="004A289E">
              <w:rPr>
                <w:sz w:val="18"/>
                <w:szCs w:val="18"/>
              </w:rPr>
              <w:t>úseku Otrokovice – Rohatec. Kromě přepravy lignitu do závodů firmy Baťa sloužil také pro zavlažování. Dnes je oblíbeným cílem pro vodní turistiku, výle</w:t>
            </w:r>
            <w:r>
              <w:rPr>
                <w:sz w:val="18"/>
                <w:szCs w:val="18"/>
              </w:rPr>
              <w:t xml:space="preserve">ty na lodi nebo cykloturistiku. </w:t>
            </w:r>
            <w:r w:rsidRPr="004A289E">
              <w:rPr>
                <w:sz w:val="18"/>
                <w:szCs w:val="18"/>
              </w:rPr>
              <w:t>Provoz na Baťově kanálu</w:t>
            </w:r>
            <w:r w:rsidR="0024325B">
              <w:rPr>
                <w:sz w:val="18"/>
                <w:szCs w:val="18"/>
              </w:rPr>
              <w:t xml:space="preserve"> je</w:t>
            </w:r>
            <w:r w:rsidRPr="004A289E">
              <w:rPr>
                <w:sz w:val="18"/>
                <w:szCs w:val="18"/>
              </w:rPr>
              <w:t xml:space="preserve"> od dubna do října. </w:t>
            </w:r>
          </w:p>
        </w:tc>
      </w:tr>
    </w:tbl>
    <w:p w14:paraId="0BF77B32" w14:textId="2B53A483" w:rsidR="00954688" w:rsidRDefault="00954688" w:rsidP="00954688">
      <w:pPr>
        <w:pStyle w:val="Zdroj"/>
      </w:pPr>
      <w:r w:rsidRPr="00075C46">
        <w:t xml:space="preserve"> Zdroj: Strategie rozvoje statutárního města Zlína do roku 2020 – Zlín 2020, </w:t>
      </w:r>
      <w:r>
        <w:t>upraveno a rozšířeno, PROCES, 2020</w:t>
      </w:r>
      <w:r w:rsidR="0024325B">
        <w:t>.</w:t>
      </w:r>
    </w:p>
    <w:p w14:paraId="303DDC12" w14:textId="77777777" w:rsidR="00954688" w:rsidRDefault="00954688" w:rsidP="00954688">
      <w:r>
        <w:rPr>
          <w:shd w:val="clear" w:color="auto" w:fill="FFFFFF"/>
        </w:rPr>
        <w:lastRenderedPageBreak/>
        <w:t>Mezi zajímavé přírodní lokality patří přírodní park Želechovické paseky. Pozoruhodnou technickou památku představuje větrný mlýn ve Štípě.</w:t>
      </w:r>
    </w:p>
    <w:p w14:paraId="50306D23" w14:textId="77777777" w:rsidR="00954688" w:rsidRDefault="00954688" w:rsidP="00954688">
      <w:pPr>
        <w:spacing w:before="0" w:after="160" w:line="259" w:lineRule="auto"/>
        <w:jc w:val="left"/>
      </w:pPr>
    </w:p>
    <w:p w14:paraId="6CD7C64E" w14:textId="77777777" w:rsidR="00954688" w:rsidRDefault="00954688" w:rsidP="00954688">
      <w:pPr>
        <w:pStyle w:val="Nadpis3"/>
        <w:ind w:left="720"/>
      </w:pPr>
      <w:bookmarkStart w:id="478" w:name="_Toc53066244"/>
      <w:bookmarkStart w:id="479" w:name="_Toc77074607"/>
      <w:r>
        <w:t>Dílčí shrnutí</w:t>
      </w:r>
      <w:bookmarkEnd w:id="478"/>
      <w:bookmarkEnd w:id="479"/>
    </w:p>
    <w:p w14:paraId="2CDFA270" w14:textId="79556FA8" w:rsidR="00954688" w:rsidRPr="0024325B" w:rsidRDefault="0024325B" w:rsidP="00954688">
      <w:pPr>
        <w:keepNext/>
        <w:keepLines/>
        <w:pBdr>
          <w:top w:val="single" w:sz="4" w:space="1" w:color="auto"/>
          <w:left w:val="single" w:sz="4" w:space="4" w:color="auto"/>
          <w:bottom w:val="single" w:sz="4" w:space="21" w:color="auto"/>
          <w:right w:val="single" w:sz="4" w:space="4" w:color="auto"/>
        </w:pBdr>
        <w:shd w:val="clear" w:color="auto" w:fill="D5DCE4" w:themeFill="text2" w:themeFillTint="33"/>
        <w:rPr>
          <w:b/>
        </w:rPr>
      </w:pPr>
      <w:r w:rsidRPr="0024325B">
        <w:rPr>
          <w:b/>
        </w:rPr>
        <w:t>Hlavní zjištění:</w:t>
      </w:r>
    </w:p>
    <w:p w14:paraId="5DA974CE" w14:textId="77777777" w:rsidR="0024325B" w:rsidRDefault="0024325B" w:rsidP="00954688">
      <w:pPr>
        <w:keepNext/>
        <w:keepLines/>
        <w:pBdr>
          <w:top w:val="single" w:sz="4" w:space="1" w:color="auto"/>
          <w:left w:val="single" w:sz="4" w:space="4" w:color="auto"/>
          <w:bottom w:val="single" w:sz="4" w:space="21" w:color="auto"/>
          <w:right w:val="single" w:sz="4" w:space="4" w:color="auto"/>
        </w:pBdr>
        <w:shd w:val="clear" w:color="auto" w:fill="D5DCE4" w:themeFill="text2" w:themeFillTint="33"/>
      </w:pPr>
    </w:p>
    <w:p w14:paraId="1A675F28" w14:textId="77777777" w:rsidR="00954688" w:rsidRPr="00586812"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586812">
        <w:rPr>
          <w:i/>
        </w:rPr>
        <w:t>Město Zlín dlouhodobě vykazuje nižší podíl nezaměstnaných osob oproti Zlínskému kraji</w:t>
      </w:r>
      <w:r>
        <w:rPr>
          <w:i/>
        </w:rPr>
        <w:t>.</w:t>
      </w:r>
      <w:r w:rsidRPr="00586812">
        <w:rPr>
          <w:i/>
        </w:rPr>
        <w:t xml:space="preserve"> </w:t>
      </w:r>
    </w:p>
    <w:p w14:paraId="0ABA4B6A" w14:textId="45C173F6"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Město Zlín je přirozeným centrem</w:t>
      </w:r>
      <w:r w:rsidRPr="00586812">
        <w:rPr>
          <w:i/>
        </w:rPr>
        <w:t xml:space="preserve"> dojížďky a vyjížďky za prací s velmi silnými</w:t>
      </w:r>
      <w:r>
        <w:rPr>
          <w:i/>
        </w:rPr>
        <w:t xml:space="preserve"> vazbami zejména v</w:t>
      </w:r>
      <w:r w:rsidR="00F32BCC">
        <w:rPr>
          <w:i/>
        </w:rPr>
        <w:t> </w:t>
      </w:r>
      <w:r>
        <w:rPr>
          <w:i/>
        </w:rPr>
        <w:t>rámci okresu (</w:t>
      </w:r>
      <w:r w:rsidRPr="00586812">
        <w:rPr>
          <w:i/>
        </w:rPr>
        <w:t>klíčové vazby měst Zlín a Otrokovice</w:t>
      </w:r>
      <w:r w:rsidR="00966C2A">
        <w:rPr>
          <w:i/>
        </w:rPr>
        <w:t>,</w:t>
      </w:r>
      <w:r w:rsidRPr="00586812">
        <w:rPr>
          <w:i/>
        </w:rPr>
        <w:t xml:space="preserve"> a to v obou směrech</w:t>
      </w:r>
      <w:r>
        <w:rPr>
          <w:i/>
        </w:rPr>
        <w:t>)</w:t>
      </w:r>
      <w:r w:rsidRPr="00586812">
        <w:rPr>
          <w:i/>
        </w:rPr>
        <w:t>.</w:t>
      </w:r>
    </w:p>
    <w:p w14:paraId="27EBD8BB" w14:textId="77777777"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586812">
        <w:rPr>
          <w:i/>
        </w:rPr>
        <w:t xml:space="preserve">Úroveň mezd </w:t>
      </w:r>
      <w:r>
        <w:rPr>
          <w:i/>
        </w:rPr>
        <w:t>v regionu</w:t>
      </w:r>
      <w:r w:rsidRPr="00586812">
        <w:rPr>
          <w:i/>
        </w:rPr>
        <w:t xml:space="preserve"> patří dlouhodobě k</w:t>
      </w:r>
      <w:r>
        <w:rPr>
          <w:i/>
        </w:rPr>
        <w:t> </w:t>
      </w:r>
      <w:r w:rsidRPr="00586812">
        <w:rPr>
          <w:i/>
        </w:rPr>
        <w:t>nižším</w:t>
      </w:r>
      <w:r>
        <w:rPr>
          <w:i/>
        </w:rPr>
        <w:t xml:space="preserve"> v ČR.</w:t>
      </w:r>
    </w:p>
    <w:p w14:paraId="1DE652C1" w14:textId="77777777"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764A0E">
        <w:rPr>
          <w:i/>
        </w:rPr>
        <w:t>Počet ekonomických subjektů ve městě Zlín</w:t>
      </w:r>
      <w:r>
        <w:rPr>
          <w:i/>
        </w:rPr>
        <w:t>ě</w:t>
      </w:r>
      <w:r w:rsidRPr="00764A0E">
        <w:rPr>
          <w:i/>
        </w:rPr>
        <w:t xml:space="preserve"> se od roku 2008 snížil, ale od roku 2013 zaznamenával růst. V roce 2019 zaznamenal mírný pokles.</w:t>
      </w:r>
    </w:p>
    <w:p w14:paraId="28018145" w14:textId="77777777" w:rsidR="00954688" w:rsidRPr="00764A0E"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Město Zlín vykazuje vyšší m</w:t>
      </w:r>
      <w:r w:rsidRPr="00764A0E">
        <w:rPr>
          <w:i/>
        </w:rPr>
        <w:t>ír</w:t>
      </w:r>
      <w:r>
        <w:rPr>
          <w:i/>
        </w:rPr>
        <w:t>u</w:t>
      </w:r>
      <w:r w:rsidRPr="00764A0E">
        <w:rPr>
          <w:i/>
        </w:rPr>
        <w:t xml:space="preserve"> ekonomické aktivity v porovnání se sledovanými městy</w:t>
      </w:r>
      <w:r>
        <w:rPr>
          <w:i/>
        </w:rPr>
        <w:t xml:space="preserve"> (Olomouc, České Budějovice, Pardubice, Opava, Liberec)</w:t>
      </w:r>
      <w:r w:rsidRPr="00764A0E">
        <w:rPr>
          <w:i/>
        </w:rPr>
        <w:t xml:space="preserve">. </w:t>
      </w:r>
    </w:p>
    <w:p w14:paraId="5CC8EEA9" w14:textId="77777777" w:rsidR="00954688" w:rsidRPr="00586812"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w:t>
      </w:r>
      <w:r w:rsidRPr="00586812">
        <w:rPr>
          <w:i/>
        </w:rPr>
        <w:t>ysoký význam průmyslových odvětví na zaměstnanosti města Zlína, existence tradičních dobře etablovaných odvětví s návaznostmi na aktivity v obla</w:t>
      </w:r>
      <w:r>
        <w:rPr>
          <w:i/>
        </w:rPr>
        <w:t>sti vzdělávání, vědy a výzkumu.</w:t>
      </w:r>
    </w:p>
    <w:p w14:paraId="2378A4E2" w14:textId="77777777"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Významné</w:t>
      </w:r>
      <w:r w:rsidRPr="00586812">
        <w:rPr>
          <w:i/>
        </w:rPr>
        <w:t xml:space="preserve"> projekty Univerzity Tomáše Bati ve Zlíně v oblasti výzkumu, vývoje </w:t>
      </w:r>
      <w:r>
        <w:rPr>
          <w:i/>
        </w:rPr>
        <w:t xml:space="preserve">a inovací jako potenciál rozvoje města Zlína v návaznosti </w:t>
      </w:r>
      <w:r w:rsidRPr="00586812">
        <w:rPr>
          <w:i/>
        </w:rPr>
        <w:t>na</w:t>
      </w:r>
      <w:r>
        <w:rPr>
          <w:i/>
        </w:rPr>
        <w:t xml:space="preserve"> etablovaná </w:t>
      </w:r>
      <w:r w:rsidRPr="00586812">
        <w:rPr>
          <w:i/>
        </w:rPr>
        <w:t>i potenciálně progresivní odvětví.</w:t>
      </w:r>
    </w:p>
    <w:p w14:paraId="665A439F" w14:textId="77777777"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Ve městě Zlín a jeho okolí se nachází významné</w:t>
      </w:r>
      <w:r w:rsidRPr="008B67C5">
        <w:rPr>
          <w:i/>
        </w:rPr>
        <w:t xml:space="preserve"> turistick</w:t>
      </w:r>
      <w:r>
        <w:rPr>
          <w:i/>
        </w:rPr>
        <w:t>é</w:t>
      </w:r>
      <w:r w:rsidRPr="008B67C5">
        <w:rPr>
          <w:i/>
        </w:rPr>
        <w:t xml:space="preserve"> atraktivit</w:t>
      </w:r>
      <w:r>
        <w:rPr>
          <w:i/>
        </w:rPr>
        <w:t>y.</w:t>
      </w:r>
    </w:p>
    <w:p w14:paraId="2FE11C94" w14:textId="77777777" w:rsidR="00954688" w:rsidRDefault="00954688" w:rsidP="00954688">
      <w:pPr>
        <w:spacing w:before="0" w:after="160" w:line="259" w:lineRule="auto"/>
        <w:jc w:val="left"/>
        <w:rPr>
          <w:rFonts w:eastAsiaTheme="majorEastAsia" w:cstheme="majorBidi"/>
          <w:color w:val="5B9BD5" w:themeColor="accent1"/>
          <w:sz w:val="24"/>
          <w:szCs w:val="24"/>
        </w:rPr>
      </w:pPr>
      <w:r>
        <w:br w:type="page"/>
      </w:r>
    </w:p>
    <w:p w14:paraId="6A12303B" w14:textId="77777777" w:rsidR="00954688" w:rsidRPr="00233605" w:rsidRDefault="00954688" w:rsidP="00954688">
      <w:pPr>
        <w:pStyle w:val="Nadpis3"/>
        <w:ind w:left="720"/>
      </w:pPr>
      <w:bookmarkStart w:id="480" w:name="_Toc53066245"/>
      <w:bookmarkStart w:id="481" w:name="_Toc77074608"/>
      <w:r>
        <w:lastRenderedPageBreak/>
        <w:t>Řízení a správa města</w:t>
      </w:r>
      <w:bookmarkEnd w:id="480"/>
      <w:bookmarkEnd w:id="481"/>
    </w:p>
    <w:p w14:paraId="56D138CD" w14:textId="77777777" w:rsidR="00954688" w:rsidRDefault="00954688" w:rsidP="00954688">
      <w:pPr>
        <w:pStyle w:val="Nadpis4"/>
      </w:pPr>
      <w:r>
        <w:t xml:space="preserve">Organizace řízení rozvoje města Zlína </w:t>
      </w:r>
    </w:p>
    <w:p w14:paraId="337CE37F" w14:textId="48B8117A" w:rsidR="00954688" w:rsidRDefault="00954688" w:rsidP="00954688">
      <w:r w:rsidRPr="008B70E7">
        <w:t>Postavení a p</w:t>
      </w:r>
      <w:r w:rsidR="00F32BCC">
        <w:t>ůsobnost Magistrátu města Zlína</w:t>
      </w:r>
      <w:r w:rsidRPr="008B70E7">
        <w:t xml:space="preserve"> jako orgánu statutárního města Zlína upravuje zákon č.</w:t>
      </w:r>
      <w:r w:rsidR="00F32BCC">
        <w:t> </w:t>
      </w:r>
      <w:r w:rsidRPr="008B70E7">
        <w:t xml:space="preserve">128/2000 Sb., o obcích (obecní zřízení) a další právní předpisy. </w:t>
      </w:r>
    </w:p>
    <w:p w14:paraId="59303C80" w14:textId="77777777" w:rsidR="00954688" w:rsidRDefault="00954688" w:rsidP="00954688">
      <w:r>
        <w:t>Magistrát plní úkoly:</w:t>
      </w:r>
    </w:p>
    <w:p w14:paraId="2A8DF1A3" w14:textId="7D5A3C9D" w:rsidR="00954688" w:rsidRDefault="00F32BCC" w:rsidP="00954688">
      <w:pPr>
        <w:pStyle w:val="Odstavecseseznamem"/>
        <w:numPr>
          <w:ilvl w:val="0"/>
          <w:numId w:val="49"/>
        </w:numPr>
        <w:spacing w:before="0" w:after="160" w:line="259" w:lineRule="auto"/>
        <w:ind w:left="567"/>
      </w:pPr>
      <w:r>
        <w:t>V</w:t>
      </w:r>
      <w:r w:rsidR="00954688">
        <w:t xml:space="preserve"> oblasti samostatné působnosti, které mu uložilo Zastupitelstvo města nebo Rada města a další úkoly uložené zákonem o obcích a dalšími právními předpisy. Statutární město Zlín </w:t>
      </w:r>
      <w:r w:rsidR="00954688" w:rsidRPr="00AA0216">
        <w:t xml:space="preserve">zajišťuje samostatnou působnost pro území města </w:t>
      </w:r>
      <w:r w:rsidR="00954688">
        <w:t>Zlína</w:t>
      </w:r>
      <w:r w:rsidR="00954688" w:rsidRPr="00AA0216">
        <w:t xml:space="preserve"> a</w:t>
      </w:r>
      <w:r w:rsidR="00954688">
        <w:t> </w:t>
      </w:r>
      <w:r w:rsidR="00954688" w:rsidRPr="00AA0216">
        <w:t>jeho místní</w:t>
      </w:r>
      <w:r w:rsidR="00954688">
        <w:t>ch částí</w:t>
      </w:r>
      <w:r>
        <w:t>;</w:t>
      </w:r>
    </w:p>
    <w:p w14:paraId="227BCCB7" w14:textId="2FC9B115" w:rsidR="00954688" w:rsidRDefault="00F32BCC" w:rsidP="00954688">
      <w:pPr>
        <w:pStyle w:val="Odstavecseseznamem"/>
        <w:numPr>
          <w:ilvl w:val="0"/>
          <w:numId w:val="49"/>
        </w:numPr>
        <w:spacing w:before="0" w:after="160" w:line="259" w:lineRule="auto"/>
        <w:ind w:left="567"/>
      </w:pPr>
      <w:r>
        <w:t>V</w:t>
      </w:r>
      <w:r w:rsidR="00954688">
        <w:t xml:space="preserve">ykonává přenesenou působnost ve věcech, které stanoví zvláštní zákony, a která je zákonem svěřena pověřeným úřadům a obecním úřadům obcí s rozšířenou působností. </w:t>
      </w:r>
      <w:r w:rsidR="00954688" w:rsidRPr="00AA0216">
        <w:t xml:space="preserve">Přenesená působnost státní správy je vykonávána pro </w:t>
      </w:r>
      <w:r w:rsidR="00954688">
        <w:t>Zlín</w:t>
      </w:r>
      <w:r w:rsidR="00954688" w:rsidRPr="00AA0216">
        <w:t xml:space="preserve"> a</w:t>
      </w:r>
      <w:r w:rsidR="00954688">
        <w:t> dalších 29</w:t>
      </w:r>
      <w:r w:rsidR="00954688" w:rsidRPr="00AA0216">
        <w:t xml:space="preserve"> obcí SO ORP </w:t>
      </w:r>
      <w:r w:rsidR="00954688">
        <w:t>Zlín (</w:t>
      </w:r>
      <w:r w:rsidR="00954688" w:rsidRPr="00015D78">
        <w:t>Bohuslavice u Zlína, Březnice, Březůvky, Dobrkovice, Doubravy, Držková, Fryšták, Hostišová, Hřivínův Újezd, Hvozdná, Kaňovice, Karlovice, Kašava, Kelníky, Lhota, Lípa, Lukov, Lukoveček, Machová, Mysločovice, Ostrata, Provodov, Racková, Sazovice, Šarovy, Tečovice, Velký Ořechov, Vl</w:t>
      </w:r>
      <w:r w:rsidR="00954688">
        <w:t>čková, Želechovice nad Dřevnicí</w:t>
      </w:r>
      <w:r>
        <w:t>);</w:t>
      </w:r>
    </w:p>
    <w:p w14:paraId="02693B70" w14:textId="4B670E0D" w:rsidR="00954688" w:rsidRDefault="00F32BCC" w:rsidP="00954688">
      <w:pPr>
        <w:pStyle w:val="Odstavecseseznamem"/>
        <w:numPr>
          <w:ilvl w:val="0"/>
          <w:numId w:val="49"/>
        </w:numPr>
        <w:spacing w:before="0" w:after="160" w:line="259" w:lineRule="auto"/>
        <w:ind w:left="567"/>
      </w:pPr>
      <w:r>
        <w:t>S</w:t>
      </w:r>
      <w:r w:rsidR="00954688">
        <w:t>polupracuje při plnění úkolů s ostatními územními správními úřady, orgány kraje a orgány obcí ve svém správním obvodu. Koordinuje postup ostatních územních správních úřadů a orgánů obcí při plnění společných úkolů stanovených zvláštními zákony. Celé území města Zlína je pokryto dílčími okrsky jednotlivých kanceláří místních částí. V roce 2018 fungovalo 30 kanceláří místních částí, jejichž pracovníci se scházejí 1x za 14 dní na pracovním jednání v budově radnice. Pracovníci vedou záznamy o návštěvnosti občanů a pracovní činnosti v úředních hodinách i mimo ně a jednotlivé problematiky ř</w:t>
      </w:r>
      <w:r>
        <w:t>eší na příslušných odborech MMZ;</w:t>
      </w:r>
    </w:p>
    <w:p w14:paraId="1A19D895" w14:textId="5CD3E271" w:rsidR="00954688" w:rsidRDefault="00F32BCC" w:rsidP="00954688">
      <w:pPr>
        <w:pStyle w:val="Odstavecseseznamem"/>
        <w:numPr>
          <w:ilvl w:val="0"/>
          <w:numId w:val="49"/>
        </w:numPr>
        <w:spacing w:before="0" w:after="160" w:line="259" w:lineRule="auto"/>
        <w:ind w:left="567"/>
      </w:pPr>
      <w:r>
        <w:t>P</w:t>
      </w:r>
      <w:r w:rsidR="00954688">
        <w:t xml:space="preserve">rostřednictvím svých odborů metodicky řídí městem zřizované příspěvkové organizace (viz kapitola níže). </w:t>
      </w:r>
    </w:p>
    <w:p w14:paraId="6C969C01" w14:textId="40359895" w:rsidR="00954688" w:rsidRDefault="00954688" w:rsidP="00954688">
      <w:r w:rsidRPr="00370E4F">
        <w:t xml:space="preserve">Město Zlín je samostatně spravováno Zastupitelstvem města Zlína. </w:t>
      </w:r>
      <w:r>
        <w:t>Zastupitelstvo má celkem 41 členů a</w:t>
      </w:r>
      <w:r w:rsidR="00F32BCC">
        <w:t> </w:t>
      </w:r>
      <w:r>
        <w:t xml:space="preserve">schází se dle </w:t>
      </w:r>
      <w:r w:rsidRPr="00370E4F">
        <w:t xml:space="preserve">potřeby, </w:t>
      </w:r>
      <w:r>
        <w:t xml:space="preserve">nejméně však jednou za 3 měsíce. </w:t>
      </w:r>
      <w:r w:rsidRPr="00C035DB">
        <w:rPr>
          <w:bCs/>
        </w:rPr>
        <w:t>Výkonným orgánem města Zlína</w:t>
      </w:r>
      <w:r w:rsidRPr="00C035DB">
        <w:t> v oblasti samostatné působnosti je </w:t>
      </w:r>
      <w:r w:rsidRPr="00C035DB">
        <w:rPr>
          <w:bCs/>
        </w:rPr>
        <w:t>Rada města Zlína</w:t>
      </w:r>
      <w:r w:rsidRPr="00C035DB">
        <w:t>, jej</w:t>
      </w:r>
      <w:r>
        <w:t>í</w:t>
      </w:r>
      <w:r w:rsidRPr="00C035DB">
        <w:t>ž členové jsou</w:t>
      </w:r>
      <w:r>
        <w:t xml:space="preserve"> voleni zastupitelstvem města. Rada města má 11 členů a schází se zpravidla dvakrát v měsíci.</w:t>
      </w:r>
    </w:p>
    <w:p w14:paraId="68EBB4F7" w14:textId="39C6E54A" w:rsidR="00954688" w:rsidRDefault="00954688" w:rsidP="00954688">
      <w:r>
        <w:t>Magistrát města tvoří tajemník magistrátu a další zaměstnanci města zařazení do magistrátu města. Představiteli města jsou pak primátor a náměstci primátora. Seznam odborů a oddělení</w:t>
      </w:r>
      <w:r w:rsidRPr="00D827C3">
        <w:t xml:space="preserve"> Magistrátu města Zlín</w:t>
      </w:r>
      <w:r>
        <w:t xml:space="preserve"> je</w:t>
      </w:r>
      <w:r w:rsidR="00094895">
        <w:t xml:space="preserve"> v</w:t>
      </w:r>
      <w:r>
        <w:t xml:space="preserve"> tabulce </w:t>
      </w:r>
      <w:r w:rsidR="00602924">
        <w:t>1.82</w:t>
      </w:r>
      <w:r w:rsidR="00EA4CBD">
        <w:t xml:space="preserve"> </w:t>
      </w:r>
      <w:r>
        <w:t xml:space="preserve">v příloze této kapitoly. </w:t>
      </w:r>
      <w:r w:rsidRPr="00C36DDA">
        <w:t>P</w:t>
      </w:r>
      <w:r w:rsidRPr="00C36DDA">
        <w:rPr>
          <w:bCs/>
          <w:lang w:eastAsia="cs-CZ"/>
        </w:rPr>
        <w:t>ravomoci (kompetence), vazby a odpovědnost jsou stanoveny organizačním řádem v členění na činnosti vykonávané v přenesené a samostatné působnosti.</w:t>
      </w:r>
      <w:r>
        <w:t xml:space="preserve"> </w:t>
      </w:r>
      <w:r w:rsidRPr="005B35B3">
        <w:t>Organizační řád Magistrátu města Zlína</w:t>
      </w:r>
      <w:r>
        <w:t xml:space="preserve"> s</w:t>
      </w:r>
      <w:r w:rsidRPr="005B35B3">
        <w:t>tanov</w:t>
      </w:r>
      <w:r>
        <w:t>uje</w:t>
      </w:r>
      <w:r w:rsidRPr="005B35B3">
        <w:t xml:space="preserve"> vnitřní organizaci MMZ, vymezuje základní vnitřní působnosti MMZ, organizační členění, systém jeho řízení, základní postavení, pravomoci a odpovědnosti primátora, náměstků primátora, tajemnice, dalších zaměstnanců a působnosti útvarů.</w:t>
      </w:r>
    </w:p>
    <w:p w14:paraId="358A696F" w14:textId="0FB613C8" w:rsidR="00954688" w:rsidRDefault="00954688" w:rsidP="00954688">
      <w:r>
        <w:t>Dle údajů poskytnutých o</w:t>
      </w:r>
      <w:r w:rsidRPr="00AD7C78">
        <w:t>ddělení</w:t>
      </w:r>
      <w:r>
        <w:t>m</w:t>
      </w:r>
      <w:r w:rsidRPr="00AD7C78">
        <w:t xml:space="preserve"> personální</w:t>
      </w:r>
      <w:r>
        <w:t xml:space="preserve">m </w:t>
      </w:r>
      <w:r w:rsidRPr="00AD7C78">
        <w:t>a vzdělávání</w:t>
      </w:r>
      <w:r>
        <w:t xml:space="preserve">m Magistrátu města Zlína činil </w:t>
      </w:r>
      <w:r w:rsidR="00F32BCC" w:rsidRPr="00AD7C78">
        <w:t>k</w:t>
      </w:r>
      <w:r w:rsidR="00F32BCC">
        <w:t> </w:t>
      </w:r>
      <w:r w:rsidR="00F32BCC" w:rsidRPr="00AD7C78">
        <w:t>31.</w:t>
      </w:r>
      <w:r w:rsidR="00F32BCC">
        <w:t> </w:t>
      </w:r>
      <w:r w:rsidR="00F32BCC" w:rsidRPr="00AD7C78">
        <w:t>12.</w:t>
      </w:r>
      <w:r w:rsidR="00F32BCC">
        <w:t> </w:t>
      </w:r>
      <w:r w:rsidR="00F32BCC" w:rsidRPr="00AD7C78">
        <w:t xml:space="preserve">2019 </w:t>
      </w:r>
      <w:r>
        <w:t>e</w:t>
      </w:r>
      <w:r w:rsidRPr="00AD7C78">
        <w:t>videnční počet zaměstnanců 689 osob (po zaokrouhlení na celé osoby)</w:t>
      </w:r>
      <w:r>
        <w:t>, 262 mužů a</w:t>
      </w:r>
      <w:r w:rsidR="00F32BCC">
        <w:t> </w:t>
      </w:r>
      <w:r>
        <w:t>427 žen</w:t>
      </w:r>
      <w:r w:rsidRPr="00AD7C78">
        <w:t xml:space="preserve">. </w:t>
      </w:r>
      <w:r>
        <w:t>V o</w:t>
      </w:r>
      <w:r w:rsidRPr="00AD7C78">
        <w:t xml:space="preserve">bdobí roku 2019 </w:t>
      </w:r>
      <w:r>
        <w:t>bylo uzavřeno</w:t>
      </w:r>
      <w:r w:rsidRPr="00AD7C78">
        <w:t xml:space="preserve"> celkem 122 nov</w:t>
      </w:r>
      <w:r>
        <w:t>ých pracovních poměrů a bylo ukončeno</w:t>
      </w:r>
      <w:r w:rsidRPr="00AD7C78">
        <w:t xml:space="preserve"> 96 pracovních poměrů.</w:t>
      </w:r>
      <w:r>
        <w:t xml:space="preserve"> </w:t>
      </w:r>
      <w:r w:rsidRPr="00AD7C78">
        <w:t>Meziročně byla personálně posílena především problematika řešení dopravy, zajištění správy majetku města a péče o městskou zeleň.</w:t>
      </w:r>
    </w:p>
    <w:p w14:paraId="19FB8AEA" w14:textId="78130465" w:rsidR="00954688" w:rsidRDefault="00954688" w:rsidP="00954688">
      <w:r>
        <w:t>Vývoj evidenčního stavu k</w:t>
      </w:r>
      <w:r w:rsidRPr="00BC0D91">
        <w:t xml:space="preserve">ategorie zaměstnanců </w:t>
      </w:r>
      <w:r>
        <w:t xml:space="preserve">Magistrátu města Zlína za roky 2014 – 2019 </w:t>
      </w:r>
      <w:r w:rsidRPr="008B70E7">
        <w:t>v závislosti na rozšiřování služeb a zvyšujících se nárocích kladených na obce zákonnými n</w:t>
      </w:r>
      <w:r>
        <w:t>ormami je uveden v grafu na obrázku</w:t>
      </w:r>
      <w:r w:rsidR="003C47B2">
        <w:t xml:space="preserve"> 1.98</w:t>
      </w:r>
      <w:r>
        <w:t>. Ve sledovaném období došlo k navýšení počtu vedoucích neúředníků (z 9 na 14), úředníků (z 248 na 269), neúředníků (z 98 na 106) a dělníků (z 65 na 70).</w:t>
      </w:r>
    </w:p>
    <w:p w14:paraId="620CE056" w14:textId="040D9A2E" w:rsidR="00954688" w:rsidRDefault="00954688" w:rsidP="00954688">
      <w:pPr>
        <w:pStyle w:val="Titulek"/>
        <w:keepNext/>
        <w:keepLines/>
      </w:pPr>
      <w:bookmarkStart w:id="482" w:name="_Toc53066210"/>
      <w:bookmarkStart w:id="483" w:name="_Toc77074916"/>
      <w:r>
        <w:lastRenderedPageBreak/>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98</w:t>
      </w:r>
      <w:r w:rsidR="00804AF3">
        <w:rPr>
          <w:noProof/>
        </w:rPr>
        <w:fldChar w:fldCharType="end"/>
      </w:r>
      <w:r w:rsidR="00F32BCC">
        <w:rPr>
          <w:noProof/>
        </w:rPr>
        <w:t>:</w:t>
      </w:r>
      <w:r>
        <w:t xml:space="preserve"> Evidenční stav k</w:t>
      </w:r>
      <w:r w:rsidRPr="00BC0D91">
        <w:t xml:space="preserve">ategorie zaměstnanců </w:t>
      </w:r>
      <w:r>
        <w:t xml:space="preserve">za roky 2014 </w:t>
      </w:r>
      <w:r w:rsidR="00F32BCC">
        <w:sym w:font="Symbol" w:char="F02D"/>
      </w:r>
      <w:r>
        <w:t xml:space="preserve"> 2019</w:t>
      </w:r>
      <w:bookmarkEnd w:id="482"/>
      <w:bookmarkEnd w:id="483"/>
    </w:p>
    <w:p w14:paraId="23073F53" w14:textId="77777777" w:rsidR="00954688" w:rsidRDefault="00954688" w:rsidP="00954688">
      <w:pPr>
        <w:spacing w:before="0" w:after="160" w:line="259" w:lineRule="auto"/>
      </w:pPr>
      <w:r>
        <w:rPr>
          <w:noProof/>
          <w:lang w:eastAsia="cs-CZ"/>
        </w:rPr>
        <w:drawing>
          <wp:inline distT="0" distB="0" distL="0" distR="0" wp14:anchorId="7B03AC64" wp14:editId="56F973CF">
            <wp:extent cx="5773420" cy="2755900"/>
            <wp:effectExtent l="0" t="0" r="0" b="6350"/>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68152532" w14:textId="398715E1" w:rsidR="00954688" w:rsidRPr="00BC0D91" w:rsidRDefault="00954688" w:rsidP="00954688">
      <w:pPr>
        <w:pStyle w:val="Zdroj"/>
      </w:pPr>
      <w:r w:rsidRPr="00BC0D91">
        <w:t>Zdroj: MMZ, Oddělení personální a vzdělávání, 2020</w:t>
      </w:r>
      <w:r w:rsidR="007C0986">
        <w:t>.</w:t>
      </w:r>
    </w:p>
    <w:p w14:paraId="0E40EB66" w14:textId="77777777" w:rsidR="00954688" w:rsidRPr="0014459A" w:rsidRDefault="00954688" w:rsidP="00954688">
      <w:pPr>
        <w:spacing w:after="120"/>
        <w:rPr>
          <w:rFonts w:cstheme="minorHAnsi"/>
          <w:noProof/>
        </w:rPr>
      </w:pPr>
      <w:r>
        <w:t xml:space="preserve">V roce 2019 převažovali zaměstnanci s vysokoškolským vzděláním (296 osob) a středoškolským vzděláním s maturitou (291 osob). </w:t>
      </w:r>
    </w:p>
    <w:p w14:paraId="6B9361AC" w14:textId="6EE7768E" w:rsidR="00954688" w:rsidRDefault="00954688" w:rsidP="00954688">
      <w:pPr>
        <w:spacing w:before="0" w:after="160" w:line="259" w:lineRule="auto"/>
      </w:pPr>
      <w:r w:rsidRPr="00637E6D">
        <w:t>Zpracování a implementaci komplexního strategického dokumentu určujícího směr budoucího rozvoje města</w:t>
      </w:r>
      <w:r w:rsidRPr="00637E6D">
        <w:rPr>
          <w:lang w:eastAsia="cs-CZ"/>
        </w:rPr>
        <w:t xml:space="preserve"> má na starost Oddělení koordinace projektů </w:t>
      </w:r>
      <w:r w:rsidRPr="00637E6D">
        <w:t xml:space="preserve">Magistrátu města Zlína. Oddělení </w:t>
      </w:r>
      <w:r w:rsidRPr="00637E6D">
        <w:rPr>
          <w:lang w:eastAsia="cs-CZ"/>
        </w:rPr>
        <w:t>odpovídá za koordinaci koncepčních prací ve všech oblastech rozvoje města v rámci působnosti samosprávných orgánů města Zlína, předkládá koncepce rozvoje města v jednotlivých oblastech působnosti. Připravuje ve spolupráci s vedením města a odbornými útvary magistrátu koncepty a strategické dokumenty k</w:t>
      </w:r>
      <w:r w:rsidR="007C0986">
        <w:rPr>
          <w:lang w:eastAsia="cs-CZ"/>
        </w:rPr>
        <w:t> </w:t>
      </w:r>
      <w:r w:rsidRPr="00637E6D">
        <w:rPr>
          <w:lang w:eastAsia="cs-CZ"/>
        </w:rPr>
        <w:t>rozvoji města. Tyto koncepty ve spolupráci s vedením města a odbornými útvary připravuje k realizaci a</w:t>
      </w:r>
      <w:r w:rsidR="007C0986">
        <w:rPr>
          <w:lang w:eastAsia="cs-CZ"/>
        </w:rPr>
        <w:t> </w:t>
      </w:r>
      <w:r w:rsidRPr="00637E6D">
        <w:rPr>
          <w:lang w:eastAsia="cs-CZ"/>
        </w:rPr>
        <w:t>realizuje. K realizaci rozvojových projektů odbor vyhledává možné finanční zdroje v dotačních programech v ČR, EU a jiných mimorozpočtových zdrojích. Pro řízení finančních mechanismů požadovaných poskytovateli dotací odbor poskytuje nezbytnou součinnost a metodickou pomoc odborným útvarům.</w:t>
      </w:r>
      <w:r w:rsidRPr="00637E6D">
        <w:t xml:space="preserve"> </w:t>
      </w:r>
      <w:r w:rsidRPr="00637E6D">
        <w:rPr>
          <w:lang w:eastAsia="cs-CZ"/>
        </w:rPr>
        <w:t>Organizačně a administrativně zajišťuje činnosti Komise Rady města Zlína pro strategické plánování a Řídícího výboru Integrovaného plánu rozvoje města</w:t>
      </w:r>
      <w:r w:rsidRPr="00550D85">
        <w:rPr>
          <w:lang w:eastAsia="cs-CZ"/>
        </w:rPr>
        <w:t>.</w:t>
      </w:r>
      <w:r>
        <w:rPr>
          <w:rStyle w:val="Znakapoznpodarou"/>
          <w:lang w:eastAsia="cs-CZ"/>
        </w:rPr>
        <w:footnoteReference w:id="100"/>
      </w:r>
    </w:p>
    <w:p w14:paraId="1016F77A" w14:textId="0FA45FA9" w:rsidR="00954688" w:rsidRDefault="00954688" w:rsidP="00954688">
      <w:pPr>
        <w:spacing w:before="0" w:after="160" w:line="259" w:lineRule="auto"/>
        <w:rPr>
          <w:lang w:eastAsia="cs-CZ"/>
        </w:rPr>
      </w:pPr>
      <w:r>
        <w:rPr>
          <w:lang w:eastAsia="cs-CZ"/>
        </w:rPr>
        <w:t xml:space="preserve">Aktuální strategické dokumenty, které má město zpracováno a pracuje s nimi, jsou uvedeny v přehledové tabulce </w:t>
      </w:r>
      <w:r w:rsidR="00602924">
        <w:rPr>
          <w:lang w:eastAsia="cs-CZ"/>
        </w:rPr>
        <w:t>1.83</w:t>
      </w:r>
      <w:r w:rsidR="00EA4CBD">
        <w:rPr>
          <w:lang w:eastAsia="cs-CZ"/>
        </w:rPr>
        <w:t xml:space="preserve"> </w:t>
      </w:r>
      <w:r>
        <w:rPr>
          <w:lang w:eastAsia="cs-CZ"/>
        </w:rPr>
        <w:t>v příloze kapitoly Vstřícné město, včetně jejich stručného popisu. Současně město pracuje na přípravě koncepcí a strategických dokumentů na další období. Některé navazují na již zpracované dokumenty a některé se týkají oblastí, pro které doposud nebyly podobné dokumenty zpracovány.</w:t>
      </w:r>
    </w:p>
    <w:p w14:paraId="5C20BDB0" w14:textId="77777777" w:rsidR="00954688" w:rsidRPr="00C84162" w:rsidRDefault="00954688" w:rsidP="00954688">
      <w:pPr>
        <w:spacing w:before="0" w:after="160" w:line="259" w:lineRule="auto"/>
        <w:rPr>
          <w:b/>
        </w:rPr>
      </w:pPr>
      <w:r w:rsidRPr="00C84162">
        <w:rPr>
          <w:b/>
        </w:rPr>
        <w:t>eGovernment</w:t>
      </w:r>
    </w:p>
    <w:p w14:paraId="6F19F5E1" w14:textId="0B1CBE10" w:rsidR="00954688" w:rsidRDefault="00954688" w:rsidP="00954688">
      <w:r>
        <w:t xml:space="preserve">Město Zlín má zpracovanou </w:t>
      </w:r>
      <w:r w:rsidRPr="00FB502A">
        <w:rPr>
          <w:b/>
        </w:rPr>
        <w:t>I</w:t>
      </w:r>
      <w:r>
        <w:rPr>
          <w:b/>
        </w:rPr>
        <w:t>nformační strategii</w:t>
      </w:r>
      <w:r w:rsidRPr="00FB502A">
        <w:rPr>
          <w:b/>
        </w:rPr>
        <w:t xml:space="preserve"> statutárního města Zlín </w:t>
      </w:r>
      <w:r>
        <w:rPr>
          <w:b/>
        </w:rPr>
        <w:t xml:space="preserve">na období let 2019 – 2024. </w:t>
      </w:r>
      <w:r w:rsidRPr="00185031">
        <w:t>Strategie byla zpracována</w:t>
      </w:r>
      <w:r>
        <w:rPr>
          <w:b/>
        </w:rPr>
        <w:t xml:space="preserve"> </w:t>
      </w:r>
      <w:r>
        <w:t xml:space="preserve">jako klíčový koncepční dokument města, zaměřený na provoz a rozvoj informačních a komunikačních technologií (dále jen „ICT“), jako nezpochybnitelné páteřní infrastruktury pro řízení města. Naplnění strategických cílů je klíčové pro dlouhodobé zajištění kvalitních služeb pro občany města a má současně velký potenciál pozitivně ovlivnit život občanů ve městě. Informační strategie definuje 6 strategických cílů: Zajištění služeb pro Magistrát města Zlín </w:t>
      </w:r>
      <w:r>
        <w:lastRenderedPageBreak/>
        <w:t>i</w:t>
      </w:r>
      <w:r w:rsidR="007C0986">
        <w:t> </w:t>
      </w:r>
      <w:r>
        <w:t xml:space="preserve">příspěvkové organizace, Standardizace vybavení a jeho obnovy, Kybernetická bezpečnost a ochrana osobních údajů, </w:t>
      </w:r>
      <w:r w:rsidRPr="00C465F1">
        <w:t>Informační gramotnost</w:t>
      </w:r>
      <w:r>
        <w:t xml:space="preserve">, </w:t>
      </w:r>
      <w:r w:rsidRPr="00C465F1">
        <w:t>Smart City</w:t>
      </w:r>
      <w:r>
        <w:t xml:space="preserve">, </w:t>
      </w:r>
      <w:r w:rsidRPr="00C465F1">
        <w:t>Open Data</w:t>
      </w:r>
      <w:r>
        <w:t xml:space="preserve">). </w:t>
      </w:r>
    </w:p>
    <w:p w14:paraId="51FABCFC" w14:textId="6409AA0F" w:rsidR="00954688" w:rsidRDefault="00954688" w:rsidP="00954688">
      <w:r>
        <w:t>V roce 2018 a 2019 byly realizovány následující projekty</w:t>
      </w:r>
      <w:r>
        <w:rPr>
          <w:rStyle w:val="Znakapoznpodarou"/>
        </w:rPr>
        <w:footnoteReference w:id="101"/>
      </w:r>
      <w:r>
        <w:t>, zaměřené na rozvoj informačních a</w:t>
      </w:r>
      <w:r w:rsidR="007C0986">
        <w:t> </w:t>
      </w:r>
      <w:r>
        <w:t>komunikačních technologií:</w:t>
      </w:r>
    </w:p>
    <w:p w14:paraId="1B310051" w14:textId="3256CC90" w:rsidR="00954688" w:rsidRDefault="007C0986" w:rsidP="00954688">
      <w:pPr>
        <w:pStyle w:val="Odstavecseseznamem"/>
        <w:numPr>
          <w:ilvl w:val="0"/>
          <w:numId w:val="52"/>
        </w:numPr>
      </w:pPr>
      <w:r>
        <w:t>P</w:t>
      </w:r>
      <w:r w:rsidR="00954688">
        <w:t xml:space="preserve">rojekt </w:t>
      </w:r>
      <w:r w:rsidR="00954688" w:rsidRPr="008E6B7D">
        <w:rPr>
          <w:b/>
        </w:rPr>
        <w:t>Podpora rozvoje vybraných procesů a postupů veřejné správy zajišťovaných SMZ</w:t>
      </w:r>
      <w:r w:rsidR="00954688">
        <w:t xml:space="preserve"> - zaměřený především na zvýšení transparentnosti postupů v oblastech zpracování osobních údajů a na práci s elektronickými dokumenty. </w:t>
      </w:r>
    </w:p>
    <w:p w14:paraId="41E5E510" w14:textId="6111F64F" w:rsidR="00954688" w:rsidRDefault="007C0986" w:rsidP="00954688">
      <w:pPr>
        <w:pStyle w:val="Odstavecseseznamem"/>
        <w:numPr>
          <w:ilvl w:val="0"/>
          <w:numId w:val="52"/>
        </w:numPr>
      </w:pPr>
      <w:r>
        <w:t>P</w:t>
      </w:r>
      <w:r w:rsidR="00954688">
        <w:t xml:space="preserve">rojekt </w:t>
      </w:r>
      <w:r w:rsidR="00954688" w:rsidRPr="008E6B7D">
        <w:rPr>
          <w:b/>
        </w:rPr>
        <w:t>Modernizace a doplnění podpůrných elektronických procesů pro potřeby MMZ</w:t>
      </w:r>
      <w:r w:rsidR="00954688">
        <w:t xml:space="preserve"> </w:t>
      </w:r>
      <w:r w:rsidR="00954688" w:rsidRPr="008E6B7D">
        <w:rPr>
          <w:b/>
        </w:rPr>
        <w:t>a</w:t>
      </w:r>
      <w:r>
        <w:rPr>
          <w:b/>
        </w:rPr>
        <w:t> </w:t>
      </w:r>
      <w:r w:rsidR="00954688" w:rsidRPr="008E6B7D">
        <w:rPr>
          <w:b/>
        </w:rPr>
        <w:t>jeho organizací</w:t>
      </w:r>
      <w:r w:rsidR="00954688">
        <w:t xml:space="preserve"> - hlavním záměrem projektu je doplnit ICT prostředí úřadu o nové aplikační služby (zajišťující nové funkcionality a elektronické procesy) prostřednictvím pořízení nových nebo modernizace stávajících podpůrných IS statutárního města Zlína pro Magistrát města Zlína, jeho detašovaná pracoviště kanceláře místních částí a příspěvkové organizace. V návaznosti na zpřístupnění nových aplikačních služeb je v nich potřeba rozšířit technologické prostředí – komunikační infrastrukturu.</w:t>
      </w:r>
    </w:p>
    <w:p w14:paraId="2B917526" w14:textId="5AAF2A6F" w:rsidR="00954688" w:rsidRDefault="007C0986" w:rsidP="00954688">
      <w:pPr>
        <w:pStyle w:val="Odstavecseseznamem"/>
        <w:numPr>
          <w:ilvl w:val="0"/>
          <w:numId w:val="52"/>
        </w:numPr>
      </w:pPr>
      <w:r>
        <w:t>P</w:t>
      </w:r>
      <w:r w:rsidR="00954688">
        <w:t xml:space="preserve">rojektu </w:t>
      </w:r>
      <w:r w:rsidR="00954688" w:rsidRPr="008E6B7D">
        <w:rPr>
          <w:b/>
        </w:rPr>
        <w:t>Digitalizace fotografií a podpisů a částečné rozvolnění místní příslušnosti pro dopravně správní agendy na základě zákona č. 199/2018 Sb.</w:t>
      </w:r>
      <w:r w:rsidR="00954688">
        <w:rPr>
          <w:b/>
        </w:rPr>
        <w:t xml:space="preserve"> </w:t>
      </w:r>
      <w:r w:rsidR="00A832B4">
        <w:rPr>
          <w:b/>
        </w:rPr>
        <w:sym w:font="Symbol" w:char="F02D"/>
      </w:r>
      <w:r w:rsidR="00954688" w:rsidRPr="008E6B7D">
        <w:t xml:space="preserve"> v rámci projektu</w:t>
      </w:r>
      <w:r w:rsidR="00954688">
        <w:t xml:space="preserve"> byl zaveden nový způsob pořizování a zpracování fotografií a podpisů žadatelů o řidičský průkaz, průkaz profesní způsobilosti řidiče nebo kartu řidiče. </w:t>
      </w:r>
    </w:p>
    <w:p w14:paraId="06480096" w14:textId="51B64AE3" w:rsidR="00954688" w:rsidRDefault="007C0986" w:rsidP="00954688">
      <w:pPr>
        <w:pStyle w:val="Odstavecseseznamem"/>
        <w:numPr>
          <w:ilvl w:val="0"/>
          <w:numId w:val="52"/>
        </w:numPr>
      </w:pPr>
      <w:r>
        <w:rPr>
          <w:b/>
        </w:rPr>
        <w:t>A</w:t>
      </w:r>
      <w:r w:rsidR="00954688" w:rsidRPr="008E6B7D">
        <w:rPr>
          <w:b/>
        </w:rPr>
        <w:t>plikace v mapovém serveru Marushka</w:t>
      </w:r>
      <w:r w:rsidR="00954688">
        <w:t xml:space="preserve"> pro podporu uživatelů v kancelářích místních částí města Zlína v oblasti GIS -  aplikace obsahuje důležité vrstvy související s chodem a správou místních částí a její uživatelé se mohou rovněž podílet na tvorbě a aktualizaci některých pasportů města, např. pasportu sečení. </w:t>
      </w:r>
    </w:p>
    <w:p w14:paraId="134B1C70" w14:textId="347577FF" w:rsidR="00954688" w:rsidRDefault="00954688" w:rsidP="00954688">
      <w:pPr>
        <w:pStyle w:val="Odstavecseseznamem"/>
        <w:numPr>
          <w:ilvl w:val="0"/>
          <w:numId w:val="52"/>
        </w:numPr>
      </w:pPr>
      <w:r w:rsidRPr="008E6B7D">
        <w:rPr>
          <w:b/>
        </w:rPr>
        <w:t>Národní elektronický nástroj</w:t>
      </w:r>
      <w:r>
        <w:t xml:space="preserve"> -  nabízí zadavatelům komplexní funkcionalitu, která zajišťuje, že veřejné zakázky, u nichž je to vhodné, mohou být zadavateli zadávány plně elektronicky prostřednictvím Národního elektronického nástroje. Funkcionalita tohoto nástroje pokrývá přípravu a administraci zadávacích řízení, online komunikaci s dodavateli, zabezpečené odesílání dokumentů a zabezpečenou realizaci jednotlivých úkonů zadávacího řízení v</w:t>
      </w:r>
      <w:r w:rsidR="00A832B4">
        <w:t> </w:t>
      </w:r>
      <w:r>
        <w:t>elektronické podobě.</w:t>
      </w:r>
    </w:p>
    <w:p w14:paraId="438EB307" w14:textId="113C9ED4" w:rsidR="00954688" w:rsidRDefault="00954688" w:rsidP="00954688">
      <w:pPr>
        <w:rPr>
          <w:noProof/>
        </w:rPr>
      </w:pPr>
      <w:r>
        <w:rPr>
          <w:noProof/>
        </w:rPr>
        <w:t xml:space="preserve">V červnu roku 2020 byla podána žádost o dotaci na projekt </w:t>
      </w:r>
      <w:r w:rsidRPr="004127F0">
        <w:rPr>
          <w:b/>
          <w:noProof/>
        </w:rPr>
        <w:t>Moderně a přívětivě komunikující město Zlín</w:t>
      </w:r>
      <w:r>
        <w:rPr>
          <w:b/>
          <w:noProof/>
        </w:rPr>
        <w:t xml:space="preserve">. </w:t>
      </w:r>
      <w:r>
        <w:rPr>
          <w:noProof/>
        </w:rPr>
        <w:t>Hlavním cílem projektu je zvýšit kvalitu a efektivitu poskytování veřejných služeb Magistrátem města Zlína prostřednictvím nově zavedených automatizovaných procesů provázaných na modernizované nástroje dálkové komunikace s veřejností, zavedením inovačního managementu a</w:t>
      </w:r>
      <w:r w:rsidR="00A832B4">
        <w:rPr>
          <w:noProof/>
        </w:rPr>
        <w:t> </w:t>
      </w:r>
      <w:r>
        <w:rPr>
          <w:noProof/>
        </w:rPr>
        <w:t xml:space="preserve">zkvalitněním komunikace s veřejností formou vzdělávání zaměstnanců magistrátu. </w:t>
      </w:r>
      <w:r w:rsidRPr="004127F0">
        <w:rPr>
          <w:noProof/>
        </w:rPr>
        <w:t>V</w:t>
      </w:r>
      <w:r>
        <w:rPr>
          <w:noProof/>
        </w:rPr>
        <w:t>ýsledek o</w:t>
      </w:r>
      <w:r w:rsidR="00A832B4">
        <w:rPr>
          <w:noProof/>
        </w:rPr>
        <w:t> </w:t>
      </w:r>
      <w:r>
        <w:rPr>
          <w:noProof/>
        </w:rPr>
        <w:t xml:space="preserve">poskytnutí či neposkytnutí dotace město obdrží cca v prosinci 2020. </w:t>
      </w:r>
    </w:p>
    <w:p w14:paraId="5476F22D" w14:textId="64031681" w:rsidR="00954688" w:rsidRPr="003D492B" w:rsidRDefault="00954688" w:rsidP="00954688">
      <w:pPr>
        <w:rPr>
          <w:rFonts w:cstheme="minorHAnsi"/>
        </w:rPr>
      </w:pPr>
      <w:r>
        <w:rPr>
          <w:rFonts w:cstheme="minorHAnsi"/>
        </w:rPr>
        <w:t>Hodnocení p</w:t>
      </w:r>
      <w:r w:rsidRPr="00DA7ABE">
        <w:rPr>
          <w:rFonts w:cstheme="minorHAnsi"/>
        </w:rPr>
        <w:t>ráce Magistrátu města Zlín celkově vychází spíše neutrálně/mírně pozitivně s </w:t>
      </w:r>
      <w:r w:rsidRPr="003D492B">
        <w:rPr>
          <w:rFonts w:cstheme="minorHAnsi"/>
        </w:rPr>
        <w:t xml:space="preserve">nejvyšším hodnocením 54,7 u občanů, 58,0 z respondentů, kteří ve Zlíně </w:t>
      </w:r>
      <w:r w:rsidRPr="00115435">
        <w:rPr>
          <w:rFonts w:cstheme="minorHAnsi"/>
        </w:rPr>
        <w:t>trvalé</w:t>
      </w:r>
      <w:r w:rsidRPr="003D492B">
        <w:rPr>
          <w:rFonts w:cstheme="minorHAnsi"/>
        </w:rPr>
        <w:t xml:space="preserve"> bydliště nemají</w:t>
      </w:r>
      <w:r w:rsidR="00A832B4">
        <w:rPr>
          <w:rFonts w:cstheme="minorHAnsi"/>
        </w:rPr>
        <w:t>,</w:t>
      </w:r>
      <w:r w:rsidRPr="003D492B">
        <w:rPr>
          <w:rFonts w:cstheme="minorHAnsi"/>
        </w:rPr>
        <w:t xml:space="preserve"> a 60,2 u studentů UTB. Zmíněné nejvyšší hodnoty jsou uváděny konkrétně pro kvalitu poskytovaných služeb. Vstřícnost úředníků hodnotí občané 53,9 a rychlost vyřízení požadavku pouze 49,0, přičemž u obou těchto kategorií jsou hodnoty odpovědí respondentů bez trvalého pobytu ve Zl</w:t>
      </w:r>
      <w:r w:rsidR="00A832B4">
        <w:rPr>
          <w:rFonts w:cstheme="minorHAnsi"/>
        </w:rPr>
        <w:t xml:space="preserve">íně a studentů UTB o něco vyšší, </w:t>
      </w:r>
      <w:r>
        <w:rPr>
          <w:rFonts w:cstheme="minorHAnsi"/>
        </w:rPr>
        <w:t>(viz graf na obrázku</w:t>
      </w:r>
      <w:r w:rsidR="003C47B2">
        <w:rPr>
          <w:rFonts w:cstheme="minorHAnsi"/>
        </w:rPr>
        <w:t xml:space="preserve"> 1.99</w:t>
      </w:r>
      <w:r>
        <w:rPr>
          <w:rFonts w:cstheme="minorHAnsi"/>
        </w:rPr>
        <w:t>)</w:t>
      </w:r>
      <w:r w:rsidRPr="00DA7ABE">
        <w:rPr>
          <w:rFonts w:cstheme="minorHAnsi"/>
        </w:rPr>
        <w:t>.</w:t>
      </w:r>
    </w:p>
    <w:p w14:paraId="723591FE" w14:textId="22E53A86" w:rsidR="00954688" w:rsidRPr="00DA7ABE" w:rsidRDefault="00954688" w:rsidP="00954688">
      <w:pPr>
        <w:rPr>
          <w:rFonts w:cstheme="minorHAnsi"/>
        </w:rPr>
      </w:pPr>
      <w:r w:rsidRPr="003D492B">
        <w:rPr>
          <w:rFonts w:cstheme="minorHAnsi"/>
        </w:rPr>
        <w:t>Celkově lépe hodnotí práci Magistrátu města Zlín ženy a mladší skupiny obyvatel. S kvalitou poskytovaných služeb jsou nejvíce spokojeni studenti</w:t>
      </w:r>
      <w:r w:rsidR="00A832B4">
        <w:rPr>
          <w:rFonts w:cstheme="minorHAnsi"/>
        </w:rPr>
        <w:t xml:space="preserve"> a</w:t>
      </w:r>
      <w:r w:rsidRPr="003D492B">
        <w:rPr>
          <w:rFonts w:cstheme="minorHAnsi"/>
        </w:rPr>
        <w:t xml:space="preserve"> obyvatelé do 35 let věku. Nejhůře hodnotí práci Magistrátu města Zlín občané od 55 let výše.</w:t>
      </w:r>
    </w:p>
    <w:p w14:paraId="0C2EC1D3" w14:textId="039BE53E" w:rsidR="00954688" w:rsidRPr="00DA7ABE" w:rsidRDefault="00954688" w:rsidP="00954688">
      <w:pPr>
        <w:pStyle w:val="Titulek"/>
        <w:keepNext/>
        <w:keepLines/>
        <w:rPr>
          <w:rFonts w:cstheme="minorHAnsi"/>
        </w:rPr>
      </w:pPr>
      <w:bookmarkStart w:id="484" w:name="_Toc53066211"/>
      <w:bookmarkStart w:id="485" w:name="_Toc77074917"/>
      <w:r w:rsidRPr="00DA7ABE">
        <w:rPr>
          <w:rFonts w:cstheme="minorHAnsi"/>
        </w:rPr>
        <w:lastRenderedPageBreak/>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1</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99</w:t>
      </w:r>
      <w:r w:rsidR="0096730F">
        <w:rPr>
          <w:rFonts w:cstheme="minorHAnsi"/>
        </w:rPr>
        <w:fldChar w:fldCharType="end"/>
      </w:r>
      <w:r w:rsidR="00A832B4">
        <w:rPr>
          <w:rFonts w:cstheme="minorHAnsi"/>
        </w:rPr>
        <w:t>:</w:t>
      </w:r>
      <w:r w:rsidRPr="00DA7ABE">
        <w:rPr>
          <w:rFonts w:cstheme="minorHAnsi"/>
        </w:rPr>
        <w:t xml:space="preserve"> Hodnocení práce magistrátu</w:t>
      </w:r>
      <w:bookmarkEnd w:id="484"/>
      <w:bookmarkEnd w:id="485"/>
    </w:p>
    <w:p w14:paraId="78CE7B90" w14:textId="77777777" w:rsidR="00954688" w:rsidRPr="00DA7ABE" w:rsidRDefault="00954688" w:rsidP="00954688">
      <w:pPr>
        <w:rPr>
          <w:rFonts w:cstheme="minorHAnsi"/>
        </w:rPr>
      </w:pPr>
      <w:r>
        <w:rPr>
          <w:rFonts w:cstheme="minorHAnsi"/>
          <w:noProof/>
          <w:lang w:eastAsia="cs-CZ"/>
        </w:rPr>
        <w:drawing>
          <wp:inline distT="0" distB="0" distL="0" distR="0" wp14:anchorId="3ADCB33A" wp14:editId="3FD4888B">
            <wp:extent cx="5760720" cy="2813758"/>
            <wp:effectExtent l="0" t="0" r="0" b="571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60720" cy="2813758"/>
                    </a:xfrm>
                    <a:prstGeom prst="rect">
                      <a:avLst/>
                    </a:prstGeom>
                    <a:noFill/>
                  </pic:spPr>
                </pic:pic>
              </a:graphicData>
            </a:graphic>
          </wp:inline>
        </w:drawing>
      </w:r>
    </w:p>
    <w:p w14:paraId="24674132" w14:textId="24DFFA37" w:rsidR="00954688" w:rsidRDefault="00954688" w:rsidP="00954688">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A832B4">
        <w:rPr>
          <w:rFonts w:asciiTheme="minorHAnsi" w:hAnsiTheme="minorHAnsi" w:cstheme="minorHAnsi"/>
        </w:rPr>
        <w:t>;</w:t>
      </w:r>
      <w:r w:rsidRPr="00DA7ABE">
        <w:rPr>
          <w:rFonts w:asciiTheme="minorHAnsi" w:hAnsiTheme="minorHAnsi" w:cstheme="minorHAnsi"/>
        </w:rPr>
        <w:t xml:space="preserve"> Otázka 11</w:t>
      </w:r>
      <w:r w:rsidR="00A832B4">
        <w:rPr>
          <w:rFonts w:asciiTheme="minorHAnsi" w:hAnsiTheme="minorHAnsi" w:cstheme="minorHAnsi"/>
        </w:rPr>
        <w:t>:</w:t>
      </w:r>
      <w:r w:rsidRPr="00DA7ABE">
        <w:rPr>
          <w:rFonts w:asciiTheme="minorHAnsi" w:hAnsiTheme="minorHAnsi" w:cstheme="minorHAnsi"/>
        </w:rPr>
        <w:t xml:space="preserve"> Jak hodnotíte práci Magistrátu města Zlín?</w:t>
      </w:r>
    </w:p>
    <w:p w14:paraId="283CD4A3" w14:textId="77777777" w:rsidR="00954688" w:rsidRDefault="00954688" w:rsidP="00954688">
      <w:pPr>
        <w:spacing w:before="0" w:after="160" w:line="259" w:lineRule="auto"/>
        <w:jc w:val="left"/>
        <w:rPr>
          <w:rFonts w:eastAsia="Times New Roman" w:cstheme="minorHAnsi"/>
          <w:i/>
          <w:sz w:val="18"/>
          <w:szCs w:val="24"/>
          <w:lang w:eastAsia="cs-CZ"/>
        </w:rPr>
      </w:pPr>
      <w:r>
        <w:rPr>
          <w:rFonts w:cstheme="minorHAnsi"/>
        </w:rPr>
        <w:br w:type="page"/>
      </w:r>
    </w:p>
    <w:p w14:paraId="40B630E7" w14:textId="77777777" w:rsidR="00954688" w:rsidRDefault="00954688" w:rsidP="00954688">
      <w:pPr>
        <w:pStyle w:val="Nadpis4"/>
      </w:pPr>
      <w:r w:rsidRPr="003403F3">
        <w:lastRenderedPageBreak/>
        <w:t>Organizace</w:t>
      </w:r>
      <w:r>
        <w:t xml:space="preserve"> a instituce města </w:t>
      </w:r>
    </w:p>
    <w:p w14:paraId="287EF6E5" w14:textId="3D07903A" w:rsidR="00954688" w:rsidRDefault="00954688" w:rsidP="00954688">
      <w:r>
        <w:t>Prostřednictvím svých odborů Magistrát města Zlína metodicky řídí městem zřizované příspěvkové organizace. Přehled příspěvkových organizací, organizačních složek města a obchodních společností, v nichž má město majetkový podíl je uveden níže v přehledu a v následující tabulce</w:t>
      </w:r>
      <w:r w:rsidR="00122205">
        <w:t xml:space="preserve"> 1.71</w:t>
      </w:r>
      <w:r>
        <w:t>.  Jedinou o</w:t>
      </w:r>
      <w:r w:rsidRPr="00FB502A">
        <w:t>becně</w:t>
      </w:r>
      <w:r>
        <w:t xml:space="preserve"> prospěšnou</w:t>
      </w:r>
      <w:r w:rsidRPr="00FB502A">
        <w:t xml:space="preserve"> společnost</w:t>
      </w:r>
      <w:r>
        <w:t>í, kde má</w:t>
      </w:r>
      <w:r w:rsidRPr="00FB502A">
        <w:t xml:space="preserve"> </w:t>
      </w:r>
      <w:r>
        <w:t xml:space="preserve">město Zlín 50% </w:t>
      </w:r>
      <w:r w:rsidRPr="00FB502A">
        <w:t>majetkovou účast</w:t>
      </w:r>
      <w:r>
        <w:t>, je</w:t>
      </w:r>
      <w:r w:rsidRPr="00FB502A">
        <w:t xml:space="preserve"> Filharmonie Bohuslava Martinů</w:t>
      </w:r>
      <w:r>
        <w:t>.</w:t>
      </w:r>
    </w:p>
    <w:p w14:paraId="29D27507" w14:textId="77777777" w:rsidR="00954688" w:rsidRDefault="00954688" w:rsidP="00954688">
      <w:pPr>
        <w:keepNext/>
        <w:keepLines/>
      </w:pPr>
      <w:r>
        <w:t>Příspěvkové organizace statutárního města Zlína s právní subjektivitou</w:t>
      </w:r>
      <w:r>
        <w:rPr>
          <w:rStyle w:val="Znakapoznpodarou"/>
        </w:rPr>
        <w:footnoteReference w:id="102"/>
      </w:r>
      <w:r>
        <w:t>:</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529"/>
      </w:tblGrid>
      <w:tr w:rsidR="00954688" w14:paraId="00CF8261" w14:textId="77777777" w:rsidTr="000C49A5">
        <w:tc>
          <w:tcPr>
            <w:tcW w:w="4529" w:type="dxa"/>
          </w:tcPr>
          <w:p w14:paraId="09E04C1D" w14:textId="77777777" w:rsidR="00954688" w:rsidRPr="00251F83" w:rsidRDefault="00954688" w:rsidP="00954688">
            <w:pPr>
              <w:pStyle w:val="Odstavecseseznamem"/>
              <w:numPr>
                <w:ilvl w:val="0"/>
                <w:numId w:val="50"/>
              </w:numPr>
              <w:spacing w:before="0"/>
              <w:ind w:left="176" w:hanging="210"/>
              <w:jc w:val="left"/>
              <w:rPr>
                <w:sz w:val="20"/>
                <w:lang w:eastAsia="cs-CZ"/>
              </w:rPr>
            </w:pPr>
            <w:r w:rsidRPr="00251F83">
              <w:rPr>
                <w:sz w:val="20"/>
                <w:lang w:eastAsia="cs-CZ"/>
              </w:rPr>
              <w:t>Městské divadlo Zlín</w:t>
            </w:r>
          </w:p>
          <w:p w14:paraId="7CD49B58" w14:textId="77777777" w:rsidR="00954688" w:rsidRPr="00251F83" w:rsidRDefault="00954688" w:rsidP="00954688">
            <w:pPr>
              <w:pStyle w:val="Odstavecseseznamem"/>
              <w:numPr>
                <w:ilvl w:val="0"/>
                <w:numId w:val="50"/>
              </w:numPr>
              <w:spacing w:before="0"/>
              <w:ind w:left="176" w:hanging="210"/>
              <w:jc w:val="left"/>
              <w:rPr>
                <w:sz w:val="20"/>
                <w:lang w:eastAsia="cs-CZ"/>
              </w:rPr>
            </w:pPr>
            <w:r w:rsidRPr="00251F83">
              <w:rPr>
                <w:sz w:val="20"/>
                <w:lang w:eastAsia="cs-CZ"/>
              </w:rPr>
              <w:t>ZOO a zámek Zlín-Lešná</w:t>
            </w:r>
          </w:p>
          <w:p w14:paraId="0358829F" w14:textId="6D1CEA99" w:rsidR="00954688" w:rsidRPr="00251F83" w:rsidRDefault="00954688" w:rsidP="00954688">
            <w:pPr>
              <w:pStyle w:val="Odstavecseseznamem"/>
              <w:numPr>
                <w:ilvl w:val="0"/>
                <w:numId w:val="50"/>
              </w:numPr>
              <w:spacing w:before="0"/>
              <w:ind w:left="176" w:hanging="210"/>
              <w:jc w:val="left"/>
              <w:rPr>
                <w:sz w:val="20"/>
                <w:lang w:eastAsia="cs-CZ"/>
              </w:rPr>
            </w:pPr>
            <w:r w:rsidRPr="00251F83">
              <w:rPr>
                <w:sz w:val="20"/>
                <w:lang w:eastAsia="cs-CZ"/>
              </w:rPr>
              <w:t>ZŠ Emila Zátopka Zl</w:t>
            </w:r>
            <w:r w:rsidR="00853380">
              <w:rPr>
                <w:sz w:val="20"/>
                <w:lang w:eastAsia="cs-CZ"/>
              </w:rPr>
              <w:t>í</w:t>
            </w:r>
            <w:r w:rsidRPr="00251F83">
              <w:rPr>
                <w:sz w:val="20"/>
                <w:lang w:eastAsia="cs-CZ"/>
              </w:rPr>
              <w:t>n,</w:t>
            </w:r>
            <w:r w:rsidR="00853380">
              <w:rPr>
                <w:sz w:val="20"/>
                <w:lang w:eastAsia="cs-CZ"/>
              </w:rPr>
              <w:t xml:space="preserve"> </w:t>
            </w:r>
            <w:r w:rsidRPr="00251F83">
              <w:rPr>
                <w:sz w:val="20"/>
                <w:lang w:eastAsia="cs-CZ"/>
              </w:rPr>
              <w:t>Univerzitní 2701, p. o. (1.</w:t>
            </w:r>
            <w:r w:rsidR="00853380">
              <w:rPr>
                <w:sz w:val="20"/>
                <w:lang w:eastAsia="cs-CZ"/>
              </w:rPr>
              <w:t> </w:t>
            </w:r>
            <w:r w:rsidRPr="00251F83">
              <w:rPr>
                <w:sz w:val="20"/>
                <w:lang w:eastAsia="cs-CZ"/>
              </w:rPr>
              <w:t>ZŠ)</w:t>
            </w:r>
          </w:p>
          <w:p w14:paraId="7597C6C7" w14:textId="77777777" w:rsidR="00954688" w:rsidRPr="00251F83" w:rsidRDefault="00954688" w:rsidP="00954688">
            <w:pPr>
              <w:pStyle w:val="Odstavecseseznamem"/>
              <w:numPr>
                <w:ilvl w:val="0"/>
                <w:numId w:val="50"/>
              </w:numPr>
              <w:spacing w:before="0"/>
              <w:ind w:left="176" w:hanging="210"/>
              <w:jc w:val="left"/>
              <w:rPr>
                <w:sz w:val="20"/>
                <w:lang w:eastAsia="cs-CZ"/>
              </w:rPr>
            </w:pPr>
            <w:r w:rsidRPr="00251F83">
              <w:rPr>
                <w:sz w:val="20"/>
                <w:lang w:eastAsia="cs-CZ"/>
              </w:rPr>
              <w:t>ZŠ Zlín, Slovenská 3076, p. o. (3. ZŠ)</w:t>
            </w:r>
          </w:p>
          <w:p w14:paraId="5AB1C943"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Komenského I, Zlín, Havlíčkovo nábř. 3114, p. o. (4. ZŠ)</w:t>
            </w:r>
          </w:p>
          <w:p w14:paraId="7182EAAD"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Komenského II, Zlín, Havlíčkovo nábř. 2567, p. o. (5. ZŠ)</w:t>
            </w:r>
          </w:p>
          <w:p w14:paraId="4671D8CC"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Kvítková 4338, p. o. (7. ZŠ)</w:t>
            </w:r>
          </w:p>
          <w:p w14:paraId="1896DDF5"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Komenského 78, p. o. (8. ZŠ)</w:t>
            </w:r>
          </w:p>
          <w:p w14:paraId="6ECDBD4B"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Štefánikova 2514, p. o. (9. ZŠ)</w:t>
            </w:r>
          </w:p>
          <w:p w14:paraId="65E3D669"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Dřevnická 1790, p. o. (10. ZŠ)</w:t>
            </w:r>
          </w:p>
          <w:p w14:paraId="70A57732"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tř. Svobody 868, p. o. (11. ZŠ)</w:t>
            </w:r>
          </w:p>
          <w:p w14:paraId="16DABF70"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Mikoláše Alše 558, p. o. (12. ZŠ)</w:t>
            </w:r>
          </w:p>
          <w:p w14:paraId="60EEF258"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Nová cesta 268, p. o. (14. ZŠ)</w:t>
            </w:r>
          </w:p>
          <w:p w14:paraId="49D3FED2"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Okružní 4685 p. o. (16. ZŠ)</w:t>
            </w:r>
          </w:p>
          <w:p w14:paraId="64E3AADC"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ZŠ Zlín, Křiby 4788, p. o. (17. ZŠ)</w:t>
            </w:r>
          </w:p>
          <w:p w14:paraId="0D1E9B55"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MŠ Zlín, Česká 4790, p. o.</w:t>
            </w:r>
          </w:p>
          <w:p w14:paraId="6A39C473"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 xml:space="preserve">MŠ Zlín, M. Knesla 4056, p. o. </w:t>
            </w:r>
          </w:p>
          <w:p w14:paraId="45324EF0" w14:textId="77777777" w:rsidR="00954688" w:rsidRPr="00251F83" w:rsidRDefault="00954688" w:rsidP="00954688">
            <w:pPr>
              <w:pStyle w:val="Odstavecseseznamem"/>
              <w:numPr>
                <w:ilvl w:val="0"/>
                <w:numId w:val="50"/>
              </w:numPr>
              <w:ind w:left="171" w:hanging="207"/>
              <w:jc w:val="left"/>
              <w:rPr>
                <w:sz w:val="20"/>
                <w:lang w:eastAsia="cs-CZ"/>
              </w:rPr>
            </w:pPr>
            <w:r w:rsidRPr="00251F83">
              <w:rPr>
                <w:sz w:val="20"/>
                <w:lang w:eastAsia="cs-CZ"/>
              </w:rPr>
              <w:t xml:space="preserve">MŠ Zlín, Družstevní 4514, p. o. </w:t>
            </w:r>
          </w:p>
          <w:p w14:paraId="360B1AE4" w14:textId="77777777" w:rsidR="00954688" w:rsidRPr="004328A4" w:rsidRDefault="00954688" w:rsidP="00954688">
            <w:pPr>
              <w:pStyle w:val="Odstavecseseznamem"/>
              <w:numPr>
                <w:ilvl w:val="0"/>
                <w:numId w:val="50"/>
              </w:numPr>
              <w:ind w:left="171" w:hanging="207"/>
              <w:jc w:val="left"/>
              <w:rPr>
                <w:sz w:val="20"/>
                <w:lang w:eastAsia="cs-CZ"/>
              </w:rPr>
            </w:pPr>
            <w:r w:rsidRPr="00251F83">
              <w:rPr>
                <w:sz w:val="20"/>
                <w:lang w:eastAsia="cs-CZ"/>
              </w:rPr>
              <w:t xml:space="preserve">MŠ Zlín, tř. Tomáše Bati 1285, p. o. </w:t>
            </w:r>
          </w:p>
        </w:tc>
        <w:tc>
          <w:tcPr>
            <w:tcW w:w="4529" w:type="dxa"/>
          </w:tcPr>
          <w:p w14:paraId="63135E2A" w14:textId="77777777" w:rsidR="00954688" w:rsidRPr="00251F83" w:rsidRDefault="00954688" w:rsidP="00954688">
            <w:pPr>
              <w:pStyle w:val="Odstavecseseznamem"/>
              <w:numPr>
                <w:ilvl w:val="0"/>
                <w:numId w:val="50"/>
              </w:numPr>
              <w:ind w:left="178" w:hanging="207"/>
              <w:jc w:val="left"/>
              <w:rPr>
                <w:sz w:val="20"/>
                <w:lang w:eastAsia="cs-CZ"/>
              </w:rPr>
            </w:pPr>
            <w:r w:rsidRPr="00251F83">
              <w:rPr>
                <w:sz w:val="20"/>
                <w:lang w:eastAsia="cs-CZ"/>
              </w:rPr>
              <w:t xml:space="preserve">MŠ Zlín, Sokolská 3961, p. o. </w:t>
            </w:r>
          </w:p>
          <w:p w14:paraId="79105A14" w14:textId="77777777" w:rsidR="00954688" w:rsidRPr="00251F83" w:rsidRDefault="00954688" w:rsidP="00954688">
            <w:pPr>
              <w:pStyle w:val="Odstavecseseznamem"/>
              <w:numPr>
                <w:ilvl w:val="0"/>
                <w:numId w:val="50"/>
              </w:numPr>
              <w:ind w:left="178" w:hanging="207"/>
              <w:jc w:val="left"/>
              <w:rPr>
                <w:sz w:val="20"/>
                <w:lang w:eastAsia="cs-CZ"/>
              </w:rPr>
            </w:pPr>
            <w:r w:rsidRPr="00251F83">
              <w:rPr>
                <w:sz w:val="20"/>
                <w:lang w:eastAsia="cs-CZ"/>
              </w:rPr>
              <w:t xml:space="preserve">MŠ Zlín, Mariánské nám. 141, p. o. </w:t>
            </w:r>
          </w:p>
          <w:p w14:paraId="035CB5E5" w14:textId="0960CF0B" w:rsidR="00954688" w:rsidRPr="004328A4" w:rsidRDefault="00954688" w:rsidP="00954688">
            <w:pPr>
              <w:pStyle w:val="Odstavecseseznamem"/>
              <w:numPr>
                <w:ilvl w:val="0"/>
                <w:numId w:val="50"/>
              </w:numPr>
              <w:ind w:left="178" w:hanging="207"/>
              <w:jc w:val="left"/>
              <w:rPr>
                <w:sz w:val="20"/>
                <w:lang w:eastAsia="cs-CZ"/>
              </w:rPr>
            </w:pPr>
            <w:r w:rsidRPr="00251F83">
              <w:rPr>
                <w:sz w:val="20"/>
                <w:lang w:eastAsia="cs-CZ"/>
              </w:rPr>
              <w:t>MŠ Zlín, Luční 4588, p. o.</w:t>
            </w:r>
            <w:r w:rsidR="00853380">
              <w:rPr>
                <w:sz w:val="20"/>
                <w:lang w:eastAsia="cs-CZ"/>
              </w:rPr>
              <w:t xml:space="preserve"> </w:t>
            </w:r>
            <w:r w:rsidRPr="004328A4">
              <w:rPr>
                <w:sz w:val="20"/>
                <w:lang w:eastAsia="cs-CZ"/>
              </w:rPr>
              <w:t>MŠ Zlín, Kúty 1963, p. o.</w:t>
            </w:r>
          </w:p>
          <w:p w14:paraId="16BAB2CA"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Osvoboditelů 3778, p. o. </w:t>
            </w:r>
          </w:p>
          <w:p w14:paraId="1369A363"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MŠ Zlín, Milíčova 867, p. o. MŠ Zlín, Budovatelská 4819, p. o.</w:t>
            </w:r>
          </w:p>
          <w:p w14:paraId="56ADC2B0"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MŠ Zlín - Kudlov, Na Vrchovici 21, p. o.</w:t>
            </w:r>
          </w:p>
          <w:p w14:paraId="6312BCD7"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tř. Svobody 835, p. o. </w:t>
            </w:r>
          </w:p>
          <w:p w14:paraId="60E37B51"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Slínová 4225, p. o. </w:t>
            </w:r>
          </w:p>
          <w:p w14:paraId="11FEABE5"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Potoky 4224, p. o. </w:t>
            </w:r>
          </w:p>
          <w:p w14:paraId="72151F05"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Dětská 4698, p. o. </w:t>
            </w:r>
          </w:p>
          <w:p w14:paraId="2F53F0D0"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Slovenská 3660, p. o. </w:t>
            </w:r>
          </w:p>
          <w:p w14:paraId="424A27EA"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U Dřevnice 206, p. o. </w:t>
            </w:r>
          </w:p>
          <w:p w14:paraId="31EA195F"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Lázeňská 412, p. o. </w:t>
            </w:r>
          </w:p>
          <w:p w14:paraId="7CDC116C"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Štefánikova 2222, p. o. </w:t>
            </w:r>
          </w:p>
          <w:p w14:paraId="21955A1E"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 xml:space="preserve">MŠ Zlín. Slovenská 1808, p. o. </w:t>
            </w:r>
          </w:p>
          <w:p w14:paraId="79AEEA5E"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MŠ Zlín, Návesní 64, p. o.</w:t>
            </w:r>
          </w:p>
          <w:p w14:paraId="4661FE33"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Dům dětí a mládeže ASTRA Zlín, Tyršovo nábřeží 801, p. o.</w:t>
            </w:r>
          </w:p>
          <w:p w14:paraId="3861D3A7" w14:textId="77777777" w:rsidR="00954688" w:rsidRPr="004328A4" w:rsidRDefault="00954688" w:rsidP="00954688">
            <w:pPr>
              <w:pStyle w:val="Odstavecseseznamem"/>
              <w:numPr>
                <w:ilvl w:val="0"/>
                <w:numId w:val="50"/>
              </w:numPr>
              <w:ind w:left="178" w:hanging="207"/>
              <w:jc w:val="left"/>
              <w:rPr>
                <w:sz w:val="20"/>
                <w:lang w:eastAsia="cs-CZ"/>
              </w:rPr>
            </w:pPr>
            <w:r w:rsidRPr="004328A4">
              <w:rPr>
                <w:sz w:val="20"/>
                <w:lang w:eastAsia="cs-CZ"/>
              </w:rPr>
              <w:t>Plavecká škola Zlín, p. o.</w:t>
            </w:r>
          </w:p>
          <w:p w14:paraId="1C018171" w14:textId="77777777" w:rsidR="00954688" w:rsidRDefault="00954688" w:rsidP="00954688">
            <w:pPr>
              <w:pStyle w:val="Odstavecseseznamem"/>
              <w:numPr>
                <w:ilvl w:val="0"/>
                <w:numId w:val="50"/>
              </w:numPr>
              <w:ind w:left="178" w:hanging="207"/>
              <w:jc w:val="left"/>
              <w:rPr>
                <w:lang w:eastAsia="cs-CZ"/>
              </w:rPr>
            </w:pPr>
            <w:r w:rsidRPr="004328A4">
              <w:rPr>
                <w:sz w:val="20"/>
                <w:lang w:eastAsia="cs-CZ"/>
              </w:rPr>
              <w:t>Linka SOS Zlín, p. o.</w:t>
            </w:r>
          </w:p>
        </w:tc>
      </w:tr>
    </w:tbl>
    <w:p w14:paraId="33C96ACD" w14:textId="77777777" w:rsidR="00954688" w:rsidRDefault="00954688" w:rsidP="00954688">
      <w:r>
        <w:t>Organizační složky</w:t>
      </w:r>
      <w:r>
        <w:rPr>
          <w:rStyle w:val="Znakapoznpodarou"/>
        </w:rPr>
        <w:footnoteReference w:id="103"/>
      </w:r>
      <w:r>
        <w:t>:</w:t>
      </w:r>
    </w:p>
    <w:p w14:paraId="511310B7" w14:textId="61F39C5B" w:rsidR="00954688" w:rsidRPr="00251F83" w:rsidRDefault="00954688" w:rsidP="00954688">
      <w:pPr>
        <w:pStyle w:val="Odstavecseseznamem"/>
        <w:numPr>
          <w:ilvl w:val="0"/>
          <w:numId w:val="51"/>
        </w:numPr>
        <w:rPr>
          <w:sz w:val="20"/>
        </w:rPr>
      </w:pPr>
      <w:r w:rsidRPr="00251F83">
        <w:rPr>
          <w:sz w:val="20"/>
        </w:rPr>
        <w:t>Jídelna pro důchodce, Sv.</w:t>
      </w:r>
      <w:r w:rsidR="00853380">
        <w:rPr>
          <w:sz w:val="20"/>
        </w:rPr>
        <w:t xml:space="preserve"> </w:t>
      </w:r>
      <w:r w:rsidRPr="00251F83">
        <w:rPr>
          <w:sz w:val="20"/>
        </w:rPr>
        <w:t>Čecha 516, Zlín</w:t>
      </w:r>
    </w:p>
    <w:p w14:paraId="63752471" w14:textId="77777777" w:rsidR="00954688" w:rsidRPr="00251F83" w:rsidRDefault="00954688" w:rsidP="00954688">
      <w:pPr>
        <w:pStyle w:val="Odstavecseseznamem"/>
        <w:numPr>
          <w:ilvl w:val="0"/>
          <w:numId w:val="51"/>
        </w:numPr>
        <w:rPr>
          <w:sz w:val="20"/>
        </w:rPr>
      </w:pPr>
      <w:r w:rsidRPr="00251F83">
        <w:rPr>
          <w:sz w:val="20"/>
        </w:rPr>
        <w:t>Jesle, M. Knesla 4056, Zlín</w:t>
      </w:r>
    </w:p>
    <w:p w14:paraId="2003F10C" w14:textId="77777777" w:rsidR="00954688" w:rsidRPr="00251F83" w:rsidRDefault="00954688" w:rsidP="00954688">
      <w:pPr>
        <w:pStyle w:val="Odstavecseseznamem"/>
        <w:numPr>
          <w:ilvl w:val="0"/>
          <w:numId w:val="51"/>
        </w:numPr>
        <w:rPr>
          <w:sz w:val="20"/>
        </w:rPr>
      </w:pPr>
      <w:r w:rsidRPr="00251F83">
        <w:rPr>
          <w:sz w:val="20"/>
        </w:rPr>
        <w:t>Jesle, Tyršovo nábřeží 747, Zlín</w:t>
      </w:r>
    </w:p>
    <w:p w14:paraId="524325B6" w14:textId="77777777" w:rsidR="00954688" w:rsidRPr="00251F83" w:rsidRDefault="00954688" w:rsidP="00954688">
      <w:pPr>
        <w:pStyle w:val="Odstavecseseznamem"/>
        <w:numPr>
          <w:ilvl w:val="0"/>
          <w:numId w:val="51"/>
        </w:numPr>
        <w:rPr>
          <w:sz w:val="20"/>
        </w:rPr>
      </w:pPr>
      <w:r w:rsidRPr="00251F83">
        <w:rPr>
          <w:sz w:val="20"/>
        </w:rPr>
        <w:t>Jesle, Budovatelská 4820, Zlín</w:t>
      </w:r>
    </w:p>
    <w:p w14:paraId="750A947A" w14:textId="77777777" w:rsidR="00954688" w:rsidRPr="00251F83" w:rsidRDefault="00954688" w:rsidP="00954688">
      <w:pPr>
        <w:pStyle w:val="Odstavecseseznamem"/>
        <w:numPr>
          <w:ilvl w:val="0"/>
          <w:numId w:val="51"/>
        </w:numPr>
        <w:rPr>
          <w:sz w:val="20"/>
        </w:rPr>
      </w:pPr>
      <w:r w:rsidRPr="00251F83">
        <w:rPr>
          <w:sz w:val="20"/>
        </w:rPr>
        <w:t>Středisko volného času - Ostrov radosti, Kotěrova ul. 4395, Zlín</w:t>
      </w:r>
    </w:p>
    <w:p w14:paraId="31EEF299" w14:textId="77777777" w:rsidR="00954688" w:rsidRPr="00251F83" w:rsidRDefault="00954688" w:rsidP="00954688">
      <w:pPr>
        <w:pStyle w:val="Odstavecseseznamem"/>
        <w:numPr>
          <w:ilvl w:val="0"/>
          <w:numId w:val="51"/>
        </w:numPr>
        <w:rPr>
          <w:sz w:val="20"/>
        </w:rPr>
      </w:pPr>
      <w:r w:rsidRPr="00251F83">
        <w:rPr>
          <w:sz w:val="20"/>
        </w:rPr>
        <w:t>Rehabilitační stacionář, Žlebová 1590, Zlín</w:t>
      </w:r>
    </w:p>
    <w:p w14:paraId="36DDAF2D" w14:textId="77777777" w:rsidR="00954688" w:rsidRPr="00251F83" w:rsidRDefault="00954688" w:rsidP="00954688">
      <w:pPr>
        <w:pStyle w:val="Odstavecseseznamem"/>
        <w:numPr>
          <w:ilvl w:val="0"/>
          <w:numId w:val="51"/>
        </w:numPr>
        <w:rPr>
          <w:sz w:val="20"/>
        </w:rPr>
      </w:pPr>
      <w:r w:rsidRPr="00251F83">
        <w:rPr>
          <w:sz w:val="20"/>
        </w:rPr>
        <w:t>Jednotka sboru dobrovolných hasičů SMZ JPO II / 1, Hasičská zbrojnice Zlín-Prštné, Náves 636, Zlín</w:t>
      </w:r>
    </w:p>
    <w:p w14:paraId="719611C9" w14:textId="77777777" w:rsidR="00954688" w:rsidRDefault="00954688" w:rsidP="00954688">
      <w:pPr>
        <w:pStyle w:val="Odstavecseseznamem"/>
        <w:numPr>
          <w:ilvl w:val="0"/>
          <w:numId w:val="51"/>
        </w:numPr>
        <w:rPr>
          <w:sz w:val="20"/>
        </w:rPr>
      </w:pPr>
      <w:r w:rsidRPr="00251F83">
        <w:rPr>
          <w:sz w:val="20"/>
        </w:rPr>
        <w:t>ALTERNATIVA - kulturní institut Zlín, Osvoboditelů 3778, Zlín</w:t>
      </w:r>
    </w:p>
    <w:p w14:paraId="25352DF4" w14:textId="77777777" w:rsidR="00954688" w:rsidRPr="00651711" w:rsidRDefault="00954688" w:rsidP="00954688">
      <w:pPr>
        <w:ind w:left="360"/>
        <w:rPr>
          <w:sz w:val="20"/>
        </w:rPr>
      </w:pPr>
    </w:p>
    <w:p w14:paraId="0430ACB5" w14:textId="7348E435" w:rsidR="00954688" w:rsidRPr="00D56C57" w:rsidRDefault="00954688" w:rsidP="00954688">
      <w:pPr>
        <w:pStyle w:val="Titulek"/>
        <w:keepNext/>
        <w:keepLines/>
      </w:pPr>
      <w:bookmarkStart w:id="486" w:name="_Toc53066229"/>
      <w:bookmarkStart w:id="487" w:name="_Toc77074751"/>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71</w:t>
      </w:r>
      <w:r w:rsidR="00081B47">
        <w:rPr>
          <w:noProof/>
        </w:rPr>
        <w:fldChar w:fldCharType="end"/>
      </w:r>
      <w:r w:rsidR="00A832B4">
        <w:rPr>
          <w:noProof/>
        </w:rPr>
        <w:t>:</w:t>
      </w:r>
      <w:r>
        <w:t xml:space="preserve"> </w:t>
      </w:r>
      <w:r w:rsidRPr="00D56C57">
        <w:t>Obchodní společnosti statutárního města Zlína, v nichž má k 1. 1. 2019 statutární město Zlín majetkový podíl</w:t>
      </w:r>
      <w:bookmarkEnd w:id="486"/>
      <w:bookmarkEnd w:id="487"/>
      <w:r>
        <w:t xml:space="preserve">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807"/>
        <w:gridCol w:w="1134"/>
        <w:gridCol w:w="2126"/>
      </w:tblGrid>
      <w:tr w:rsidR="00954688" w:rsidRPr="00D56C57" w14:paraId="00AAA2F2" w14:textId="77777777" w:rsidTr="000C49A5">
        <w:tc>
          <w:tcPr>
            <w:tcW w:w="5807" w:type="dxa"/>
            <w:shd w:val="clear" w:color="auto" w:fill="E6E6E6"/>
            <w:tcMar>
              <w:top w:w="75" w:type="dxa"/>
              <w:left w:w="75" w:type="dxa"/>
              <w:bottom w:w="75" w:type="dxa"/>
              <w:right w:w="75" w:type="dxa"/>
            </w:tcMar>
            <w:hideMark/>
          </w:tcPr>
          <w:p w14:paraId="5A5E3EAB" w14:textId="77777777" w:rsidR="00954688" w:rsidRPr="00D56C57" w:rsidRDefault="00954688" w:rsidP="000C49A5">
            <w:pPr>
              <w:keepNext/>
              <w:keepLines/>
              <w:spacing w:before="0"/>
              <w:jc w:val="left"/>
              <w:rPr>
                <w:rFonts w:ascii="Calibri" w:eastAsia="Times New Roman" w:hAnsi="Calibri" w:cs="Calibri"/>
                <w:b/>
                <w:bCs/>
                <w:color w:val="333333"/>
                <w:sz w:val="18"/>
                <w:szCs w:val="20"/>
                <w:lang w:eastAsia="cs-CZ"/>
              </w:rPr>
            </w:pPr>
            <w:r w:rsidRPr="00D56C57">
              <w:rPr>
                <w:rFonts w:ascii="Calibri" w:eastAsia="Times New Roman" w:hAnsi="Calibri" w:cs="Calibri"/>
                <w:b/>
                <w:bCs/>
                <w:color w:val="333333"/>
                <w:sz w:val="18"/>
                <w:szCs w:val="20"/>
                <w:lang w:eastAsia="cs-CZ"/>
              </w:rPr>
              <w:t>Název společnosti (společnosti s rozhodujícím vlivem - nad 50%)</w:t>
            </w:r>
          </w:p>
        </w:tc>
        <w:tc>
          <w:tcPr>
            <w:tcW w:w="1134" w:type="dxa"/>
            <w:shd w:val="clear" w:color="auto" w:fill="E6E6E6"/>
            <w:tcMar>
              <w:top w:w="75" w:type="dxa"/>
              <w:left w:w="75" w:type="dxa"/>
              <w:bottom w:w="75" w:type="dxa"/>
              <w:right w:w="75" w:type="dxa"/>
            </w:tcMar>
            <w:hideMark/>
          </w:tcPr>
          <w:p w14:paraId="6C9718AF" w14:textId="77777777" w:rsidR="00954688" w:rsidRPr="00D56C57" w:rsidRDefault="00954688" w:rsidP="000C49A5">
            <w:pPr>
              <w:keepNext/>
              <w:keepLines/>
              <w:spacing w:before="0"/>
              <w:jc w:val="left"/>
              <w:rPr>
                <w:rFonts w:ascii="Calibri" w:eastAsia="Times New Roman" w:hAnsi="Calibri" w:cs="Calibri"/>
                <w:b/>
                <w:bCs/>
                <w:color w:val="333333"/>
                <w:sz w:val="18"/>
                <w:szCs w:val="20"/>
                <w:lang w:eastAsia="cs-CZ"/>
              </w:rPr>
            </w:pPr>
            <w:r w:rsidRPr="00D56C57">
              <w:rPr>
                <w:rFonts w:ascii="Calibri" w:eastAsia="Times New Roman" w:hAnsi="Calibri" w:cs="Calibri"/>
                <w:b/>
                <w:bCs/>
                <w:color w:val="333333"/>
                <w:sz w:val="18"/>
                <w:szCs w:val="20"/>
                <w:lang w:eastAsia="cs-CZ"/>
              </w:rPr>
              <w:t>IČ</w:t>
            </w:r>
          </w:p>
        </w:tc>
        <w:tc>
          <w:tcPr>
            <w:tcW w:w="2126" w:type="dxa"/>
            <w:shd w:val="clear" w:color="auto" w:fill="E6E6E6"/>
            <w:tcMar>
              <w:top w:w="75" w:type="dxa"/>
              <w:left w:w="75" w:type="dxa"/>
              <w:bottom w:w="75" w:type="dxa"/>
              <w:right w:w="75" w:type="dxa"/>
            </w:tcMar>
            <w:hideMark/>
          </w:tcPr>
          <w:p w14:paraId="7B9AE75C" w14:textId="77777777" w:rsidR="00954688" w:rsidRPr="00D56C57" w:rsidRDefault="00954688" w:rsidP="000C49A5">
            <w:pPr>
              <w:keepNext/>
              <w:keepLines/>
              <w:spacing w:before="0"/>
              <w:jc w:val="left"/>
              <w:rPr>
                <w:rFonts w:ascii="Calibri" w:eastAsia="Times New Roman" w:hAnsi="Calibri" w:cs="Calibri"/>
                <w:b/>
                <w:bCs/>
                <w:color w:val="333333"/>
                <w:sz w:val="18"/>
                <w:szCs w:val="20"/>
                <w:lang w:eastAsia="cs-CZ"/>
              </w:rPr>
            </w:pPr>
            <w:r w:rsidRPr="00D56C57">
              <w:rPr>
                <w:rFonts w:ascii="Calibri" w:eastAsia="Times New Roman" w:hAnsi="Calibri" w:cs="Calibri"/>
                <w:b/>
                <w:bCs/>
                <w:color w:val="333333"/>
                <w:sz w:val="18"/>
                <w:szCs w:val="20"/>
                <w:lang w:eastAsia="cs-CZ"/>
              </w:rPr>
              <w:t>Majetkový podíl v %</w:t>
            </w:r>
          </w:p>
        </w:tc>
      </w:tr>
      <w:tr w:rsidR="00954688" w:rsidRPr="00D56C57" w14:paraId="271D2698" w14:textId="77777777" w:rsidTr="000C49A5">
        <w:tc>
          <w:tcPr>
            <w:tcW w:w="5807" w:type="dxa"/>
            <w:shd w:val="clear" w:color="auto" w:fill="FFFFFF"/>
            <w:tcMar>
              <w:top w:w="75" w:type="dxa"/>
              <w:left w:w="75" w:type="dxa"/>
              <w:bottom w:w="75" w:type="dxa"/>
              <w:right w:w="75" w:type="dxa"/>
            </w:tcMar>
            <w:hideMark/>
          </w:tcPr>
          <w:p w14:paraId="2D39CE65"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Teplo Zlín, a.s.</w:t>
            </w:r>
          </w:p>
        </w:tc>
        <w:tc>
          <w:tcPr>
            <w:tcW w:w="1134" w:type="dxa"/>
            <w:shd w:val="clear" w:color="auto" w:fill="FFFFFF"/>
            <w:tcMar>
              <w:top w:w="75" w:type="dxa"/>
              <w:left w:w="75" w:type="dxa"/>
              <w:bottom w:w="75" w:type="dxa"/>
              <w:right w:w="75" w:type="dxa"/>
            </w:tcMar>
            <w:hideMark/>
          </w:tcPr>
          <w:p w14:paraId="1DAFC02D"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25321226</w:t>
            </w:r>
          </w:p>
        </w:tc>
        <w:tc>
          <w:tcPr>
            <w:tcW w:w="2126" w:type="dxa"/>
            <w:shd w:val="clear" w:color="auto" w:fill="FFFFFF"/>
            <w:tcMar>
              <w:top w:w="75" w:type="dxa"/>
              <w:left w:w="75" w:type="dxa"/>
              <w:bottom w:w="75" w:type="dxa"/>
              <w:right w:w="75" w:type="dxa"/>
            </w:tcMar>
            <w:hideMark/>
          </w:tcPr>
          <w:p w14:paraId="7A6C4843"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r w:rsidR="00954688" w:rsidRPr="00D56C57" w14:paraId="0DD077EE" w14:textId="77777777" w:rsidTr="000C49A5">
        <w:tc>
          <w:tcPr>
            <w:tcW w:w="5807" w:type="dxa"/>
            <w:shd w:val="clear" w:color="auto" w:fill="FFFFFF"/>
            <w:tcMar>
              <w:top w:w="75" w:type="dxa"/>
              <w:left w:w="75" w:type="dxa"/>
              <w:bottom w:w="75" w:type="dxa"/>
              <w:right w:w="75" w:type="dxa"/>
            </w:tcMar>
            <w:hideMark/>
          </w:tcPr>
          <w:p w14:paraId="245E54D6"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Technické služby Zlín, s.r.o.</w:t>
            </w:r>
          </w:p>
        </w:tc>
        <w:tc>
          <w:tcPr>
            <w:tcW w:w="1134" w:type="dxa"/>
            <w:shd w:val="clear" w:color="auto" w:fill="FFFFFF"/>
            <w:tcMar>
              <w:top w:w="75" w:type="dxa"/>
              <w:left w:w="75" w:type="dxa"/>
              <w:bottom w:w="75" w:type="dxa"/>
              <w:right w:w="75" w:type="dxa"/>
            </w:tcMar>
            <w:hideMark/>
          </w:tcPr>
          <w:p w14:paraId="51E95162"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60711086</w:t>
            </w:r>
          </w:p>
        </w:tc>
        <w:tc>
          <w:tcPr>
            <w:tcW w:w="2126" w:type="dxa"/>
            <w:shd w:val="clear" w:color="auto" w:fill="FFFFFF"/>
            <w:tcMar>
              <w:top w:w="75" w:type="dxa"/>
              <w:left w:w="75" w:type="dxa"/>
              <w:bottom w:w="75" w:type="dxa"/>
              <w:right w:w="75" w:type="dxa"/>
            </w:tcMar>
            <w:hideMark/>
          </w:tcPr>
          <w:p w14:paraId="7EE40CEA"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r w:rsidR="00954688" w:rsidRPr="00D56C57" w14:paraId="4F9F1FF4" w14:textId="77777777" w:rsidTr="000C49A5">
        <w:tc>
          <w:tcPr>
            <w:tcW w:w="5807" w:type="dxa"/>
            <w:shd w:val="clear" w:color="auto" w:fill="FFFFFF"/>
            <w:tcMar>
              <w:top w:w="75" w:type="dxa"/>
              <w:left w:w="75" w:type="dxa"/>
              <w:bottom w:w="75" w:type="dxa"/>
              <w:right w:w="75" w:type="dxa"/>
            </w:tcMar>
            <w:hideMark/>
          </w:tcPr>
          <w:p w14:paraId="11958FF3" w14:textId="59C23436"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STEZA Zlín, s.r.o</w:t>
            </w:r>
            <w:r w:rsidR="00853380">
              <w:rPr>
                <w:rFonts w:ascii="Calibri" w:eastAsia="Times New Roman" w:hAnsi="Calibri" w:cs="Calibri"/>
                <w:color w:val="333333"/>
                <w:sz w:val="18"/>
                <w:szCs w:val="20"/>
                <w:lang w:eastAsia="cs-CZ"/>
              </w:rPr>
              <w:t>.</w:t>
            </w:r>
          </w:p>
        </w:tc>
        <w:tc>
          <w:tcPr>
            <w:tcW w:w="1134" w:type="dxa"/>
            <w:shd w:val="clear" w:color="auto" w:fill="FFFFFF"/>
            <w:tcMar>
              <w:top w:w="75" w:type="dxa"/>
              <w:left w:w="75" w:type="dxa"/>
              <w:bottom w:w="75" w:type="dxa"/>
              <w:right w:w="75" w:type="dxa"/>
            </w:tcMar>
            <w:hideMark/>
          </w:tcPr>
          <w:p w14:paraId="31C01061"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26270986</w:t>
            </w:r>
          </w:p>
        </w:tc>
        <w:tc>
          <w:tcPr>
            <w:tcW w:w="2126" w:type="dxa"/>
            <w:shd w:val="clear" w:color="auto" w:fill="FFFFFF"/>
            <w:tcMar>
              <w:top w:w="75" w:type="dxa"/>
              <w:left w:w="75" w:type="dxa"/>
              <w:bottom w:w="75" w:type="dxa"/>
              <w:right w:w="75" w:type="dxa"/>
            </w:tcMar>
            <w:hideMark/>
          </w:tcPr>
          <w:p w14:paraId="30412E6F"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r w:rsidR="00954688" w:rsidRPr="00D56C57" w14:paraId="2E0EBA66" w14:textId="77777777" w:rsidTr="000C49A5">
        <w:tc>
          <w:tcPr>
            <w:tcW w:w="5807" w:type="dxa"/>
            <w:shd w:val="clear" w:color="auto" w:fill="FFFFFF"/>
            <w:tcMar>
              <w:top w:w="75" w:type="dxa"/>
              <w:left w:w="75" w:type="dxa"/>
              <w:bottom w:w="75" w:type="dxa"/>
              <w:right w:w="75" w:type="dxa"/>
            </w:tcMar>
            <w:hideMark/>
          </w:tcPr>
          <w:p w14:paraId="2699C65C" w14:textId="0A59DDB4"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Správa domů Zlín, s.r.o</w:t>
            </w:r>
            <w:r w:rsidR="00853380">
              <w:rPr>
                <w:rFonts w:ascii="Calibri" w:eastAsia="Times New Roman" w:hAnsi="Calibri" w:cs="Calibri"/>
                <w:color w:val="333333"/>
                <w:sz w:val="18"/>
                <w:szCs w:val="20"/>
                <w:lang w:eastAsia="cs-CZ"/>
              </w:rPr>
              <w:t>.</w:t>
            </w:r>
          </w:p>
        </w:tc>
        <w:tc>
          <w:tcPr>
            <w:tcW w:w="1134" w:type="dxa"/>
            <w:shd w:val="clear" w:color="auto" w:fill="FFFFFF"/>
            <w:tcMar>
              <w:top w:w="75" w:type="dxa"/>
              <w:left w:w="75" w:type="dxa"/>
              <w:bottom w:w="75" w:type="dxa"/>
              <w:right w:w="75" w:type="dxa"/>
            </w:tcMar>
            <w:hideMark/>
          </w:tcPr>
          <w:p w14:paraId="745B6E6B"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26271010</w:t>
            </w:r>
          </w:p>
        </w:tc>
        <w:tc>
          <w:tcPr>
            <w:tcW w:w="2126" w:type="dxa"/>
            <w:shd w:val="clear" w:color="auto" w:fill="FFFFFF"/>
            <w:tcMar>
              <w:top w:w="75" w:type="dxa"/>
              <w:left w:w="75" w:type="dxa"/>
              <w:bottom w:w="75" w:type="dxa"/>
              <w:right w:w="75" w:type="dxa"/>
            </w:tcMar>
            <w:hideMark/>
          </w:tcPr>
          <w:p w14:paraId="72A7E525"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r w:rsidR="00954688" w:rsidRPr="00D56C57" w14:paraId="43D5C79D" w14:textId="77777777" w:rsidTr="000C49A5">
        <w:tc>
          <w:tcPr>
            <w:tcW w:w="5807" w:type="dxa"/>
            <w:shd w:val="clear" w:color="auto" w:fill="FFFFFF"/>
            <w:tcMar>
              <w:top w:w="75" w:type="dxa"/>
              <w:left w:w="75" w:type="dxa"/>
              <w:bottom w:w="75" w:type="dxa"/>
              <w:right w:w="75" w:type="dxa"/>
            </w:tcMar>
            <w:hideMark/>
          </w:tcPr>
          <w:p w14:paraId="06119B92"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Nemovitosti města Zlína, spol. s r.o.</w:t>
            </w:r>
          </w:p>
        </w:tc>
        <w:tc>
          <w:tcPr>
            <w:tcW w:w="1134" w:type="dxa"/>
            <w:shd w:val="clear" w:color="auto" w:fill="FFFFFF"/>
            <w:tcMar>
              <w:top w:w="75" w:type="dxa"/>
              <w:left w:w="75" w:type="dxa"/>
              <w:bottom w:w="75" w:type="dxa"/>
              <w:right w:w="75" w:type="dxa"/>
            </w:tcMar>
            <w:hideMark/>
          </w:tcPr>
          <w:p w14:paraId="6C89F293"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28342038</w:t>
            </w:r>
          </w:p>
        </w:tc>
        <w:tc>
          <w:tcPr>
            <w:tcW w:w="2126" w:type="dxa"/>
            <w:shd w:val="clear" w:color="auto" w:fill="FFFFFF"/>
            <w:tcMar>
              <w:top w:w="75" w:type="dxa"/>
              <w:left w:w="75" w:type="dxa"/>
              <w:bottom w:w="75" w:type="dxa"/>
              <w:right w:w="75" w:type="dxa"/>
            </w:tcMar>
            <w:hideMark/>
          </w:tcPr>
          <w:p w14:paraId="032BD6A2"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r w:rsidR="00954688" w:rsidRPr="00D56C57" w14:paraId="1A163310" w14:textId="77777777" w:rsidTr="000C49A5">
        <w:tc>
          <w:tcPr>
            <w:tcW w:w="5807" w:type="dxa"/>
            <w:shd w:val="clear" w:color="auto" w:fill="FFFFFF"/>
            <w:tcMar>
              <w:top w:w="75" w:type="dxa"/>
              <w:left w:w="75" w:type="dxa"/>
              <w:bottom w:w="75" w:type="dxa"/>
              <w:right w:w="75" w:type="dxa"/>
            </w:tcMar>
            <w:hideMark/>
          </w:tcPr>
          <w:p w14:paraId="7B57A5CE"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Lesy města Zlína, spol. s r.o.</w:t>
            </w:r>
          </w:p>
        </w:tc>
        <w:tc>
          <w:tcPr>
            <w:tcW w:w="1134" w:type="dxa"/>
            <w:shd w:val="clear" w:color="auto" w:fill="FFFFFF"/>
            <w:tcMar>
              <w:top w:w="75" w:type="dxa"/>
              <w:left w:w="75" w:type="dxa"/>
              <w:bottom w:w="75" w:type="dxa"/>
              <w:right w:w="75" w:type="dxa"/>
            </w:tcMar>
            <w:hideMark/>
          </w:tcPr>
          <w:p w14:paraId="6C80C386"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28342054</w:t>
            </w:r>
          </w:p>
        </w:tc>
        <w:tc>
          <w:tcPr>
            <w:tcW w:w="2126" w:type="dxa"/>
            <w:shd w:val="clear" w:color="auto" w:fill="FFFFFF"/>
            <w:tcMar>
              <w:top w:w="75" w:type="dxa"/>
              <w:left w:w="75" w:type="dxa"/>
              <w:bottom w:w="75" w:type="dxa"/>
              <w:right w:w="75" w:type="dxa"/>
            </w:tcMar>
            <w:hideMark/>
          </w:tcPr>
          <w:p w14:paraId="22D9D6E7"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r w:rsidR="00954688" w:rsidRPr="00D56C57" w14:paraId="36B8F6CC" w14:textId="77777777" w:rsidTr="000C49A5">
        <w:tc>
          <w:tcPr>
            <w:tcW w:w="5807" w:type="dxa"/>
            <w:shd w:val="clear" w:color="auto" w:fill="FFFFFF"/>
            <w:tcMar>
              <w:top w:w="75" w:type="dxa"/>
              <w:left w:w="75" w:type="dxa"/>
              <w:bottom w:w="75" w:type="dxa"/>
              <w:right w:w="75" w:type="dxa"/>
            </w:tcMar>
            <w:hideMark/>
          </w:tcPr>
          <w:p w14:paraId="60B1A9CD"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Dopravní společnost Zlín-Otrokovice, s.r.o.</w:t>
            </w:r>
          </w:p>
        </w:tc>
        <w:tc>
          <w:tcPr>
            <w:tcW w:w="1134" w:type="dxa"/>
            <w:shd w:val="clear" w:color="auto" w:fill="FFFFFF"/>
            <w:tcMar>
              <w:top w:w="75" w:type="dxa"/>
              <w:left w:w="75" w:type="dxa"/>
              <w:bottom w:w="75" w:type="dxa"/>
              <w:right w:w="75" w:type="dxa"/>
            </w:tcMar>
            <w:hideMark/>
          </w:tcPr>
          <w:p w14:paraId="1ACC1822"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60730153</w:t>
            </w:r>
          </w:p>
        </w:tc>
        <w:tc>
          <w:tcPr>
            <w:tcW w:w="2126" w:type="dxa"/>
            <w:shd w:val="clear" w:color="auto" w:fill="FFFFFF"/>
            <w:tcMar>
              <w:top w:w="75" w:type="dxa"/>
              <w:left w:w="75" w:type="dxa"/>
              <w:bottom w:w="75" w:type="dxa"/>
              <w:right w:w="75" w:type="dxa"/>
            </w:tcMar>
            <w:hideMark/>
          </w:tcPr>
          <w:p w14:paraId="22C69117"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87</w:t>
            </w:r>
          </w:p>
        </w:tc>
      </w:tr>
      <w:tr w:rsidR="00954688" w:rsidRPr="00D56C57" w14:paraId="54C2D2A8" w14:textId="77777777" w:rsidTr="000C49A5">
        <w:tc>
          <w:tcPr>
            <w:tcW w:w="5807" w:type="dxa"/>
            <w:shd w:val="clear" w:color="auto" w:fill="FFFFFF"/>
            <w:tcMar>
              <w:top w:w="75" w:type="dxa"/>
              <w:left w:w="75" w:type="dxa"/>
              <w:bottom w:w="75" w:type="dxa"/>
              <w:right w:w="75" w:type="dxa"/>
            </w:tcMar>
            <w:hideMark/>
          </w:tcPr>
          <w:p w14:paraId="70E0C8F9"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Pohřebnictví Zlín, spol. s r.o.</w:t>
            </w:r>
          </w:p>
        </w:tc>
        <w:tc>
          <w:tcPr>
            <w:tcW w:w="1134" w:type="dxa"/>
            <w:shd w:val="clear" w:color="auto" w:fill="FFFFFF"/>
            <w:tcMar>
              <w:top w:w="75" w:type="dxa"/>
              <w:left w:w="75" w:type="dxa"/>
              <w:bottom w:w="75" w:type="dxa"/>
              <w:right w:w="75" w:type="dxa"/>
            </w:tcMar>
            <w:hideMark/>
          </w:tcPr>
          <w:p w14:paraId="7A8AE2A1"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47901519</w:t>
            </w:r>
          </w:p>
        </w:tc>
        <w:tc>
          <w:tcPr>
            <w:tcW w:w="2126" w:type="dxa"/>
            <w:shd w:val="clear" w:color="auto" w:fill="FFFFFF"/>
            <w:tcMar>
              <w:top w:w="75" w:type="dxa"/>
              <w:left w:w="75" w:type="dxa"/>
              <w:bottom w:w="75" w:type="dxa"/>
              <w:right w:w="75" w:type="dxa"/>
            </w:tcMar>
            <w:hideMark/>
          </w:tcPr>
          <w:p w14:paraId="3D25232A"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r w:rsidR="00954688" w:rsidRPr="00D56C57" w14:paraId="5E6E0D9D" w14:textId="77777777" w:rsidTr="000C49A5">
        <w:tc>
          <w:tcPr>
            <w:tcW w:w="5807" w:type="dxa"/>
            <w:shd w:val="clear" w:color="auto" w:fill="FFFFFF"/>
            <w:tcMar>
              <w:top w:w="75" w:type="dxa"/>
              <w:left w:w="75" w:type="dxa"/>
              <w:bottom w:w="75" w:type="dxa"/>
              <w:right w:w="75" w:type="dxa"/>
            </w:tcMar>
            <w:hideMark/>
          </w:tcPr>
          <w:p w14:paraId="51184D0C"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Technické služby Zlínsko, s.r.o.</w:t>
            </w:r>
          </w:p>
        </w:tc>
        <w:tc>
          <w:tcPr>
            <w:tcW w:w="1134" w:type="dxa"/>
            <w:shd w:val="clear" w:color="auto" w:fill="FFFFFF"/>
            <w:tcMar>
              <w:top w:w="75" w:type="dxa"/>
              <w:left w:w="75" w:type="dxa"/>
              <w:bottom w:w="75" w:type="dxa"/>
              <w:right w:w="75" w:type="dxa"/>
            </w:tcMar>
            <w:hideMark/>
          </w:tcPr>
          <w:p w14:paraId="2C50B348"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03299864</w:t>
            </w:r>
          </w:p>
        </w:tc>
        <w:tc>
          <w:tcPr>
            <w:tcW w:w="2126" w:type="dxa"/>
            <w:shd w:val="clear" w:color="auto" w:fill="FFFFFF"/>
            <w:tcMar>
              <w:top w:w="75" w:type="dxa"/>
              <w:left w:w="75" w:type="dxa"/>
              <w:bottom w:w="75" w:type="dxa"/>
              <w:right w:w="75" w:type="dxa"/>
            </w:tcMar>
            <w:hideMark/>
          </w:tcPr>
          <w:p w14:paraId="2EFA968B" w14:textId="77777777" w:rsidR="00954688" w:rsidRPr="00D56C57" w:rsidRDefault="00954688" w:rsidP="000C49A5">
            <w:pPr>
              <w:keepNext/>
              <w:keepLines/>
              <w:spacing w:before="0"/>
              <w:jc w:val="left"/>
              <w:rPr>
                <w:rFonts w:ascii="Calibri" w:eastAsia="Times New Roman" w:hAnsi="Calibri" w:cs="Calibri"/>
                <w:color w:val="333333"/>
                <w:sz w:val="18"/>
                <w:szCs w:val="20"/>
                <w:lang w:eastAsia="cs-CZ"/>
              </w:rPr>
            </w:pPr>
            <w:r w:rsidRPr="00D56C57">
              <w:rPr>
                <w:rFonts w:ascii="Calibri" w:eastAsia="Times New Roman" w:hAnsi="Calibri" w:cs="Calibri"/>
                <w:color w:val="333333"/>
                <w:sz w:val="18"/>
                <w:szCs w:val="20"/>
                <w:lang w:eastAsia="cs-CZ"/>
              </w:rPr>
              <w:t>100</w:t>
            </w:r>
          </w:p>
        </w:tc>
      </w:tr>
    </w:tbl>
    <w:p w14:paraId="3F0D25F0" w14:textId="77777777" w:rsidR="00954688" w:rsidRPr="00D56C57" w:rsidRDefault="00954688" w:rsidP="00954688">
      <w:pPr>
        <w:keepNext/>
        <w:keepLines/>
        <w:spacing w:before="0"/>
        <w:jc w:val="left"/>
        <w:rPr>
          <w:rFonts w:ascii="Times New Roman" w:eastAsia="Times New Roman" w:hAnsi="Times New Roman" w:cs="Times New Roman"/>
          <w:vanish/>
          <w:sz w:val="24"/>
          <w:szCs w:val="24"/>
          <w:lang w:eastAsia="cs-CZ"/>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941"/>
        <w:gridCol w:w="2126"/>
      </w:tblGrid>
      <w:tr w:rsidR="00954688" w:rsidRPr="00D56C57" w14:paraId="34442DC5" w14:textId="77777777" w:rsidTr="000C49A5">
        <w:tc>
          <w:tcPr>
            <w:tcW w:w="6941" w:type="dxa"/>
            <w:shd w:val="clear" w:color="auto" w:fill="E6E6E6"/>
            <w:tcMar>
              <w:top w:w="75" w:type="dxa"/>
              <w:left w:w="75" w:type="dxa"/>
              <w:bottom w:w="75" w:type="dxa"/>
              <w:right w:w="75" w:type="dxa"/>
            </w:tcMar>
            <w:vAlign w:val="bottom"/>
            <w:hideMark/>
          </w:tcPr>
          <w:p w14:paraId="76754339" w14:textId="77777777" w:rsidR="00954688" w:rsidRPr="00D56C57" w:rsidRDefault="00954688" w:rsidP="000C49A5">
            <w:pPr>
              <w:keepNext/>
              <w:keepLines/>
              <w:spacing w:before="0"/>
              <w:jc w:val="left"/>
              <w:rPr>
                <w:rFonts w:eastAsia="Times New Roman" w:cstheme="minorHAnsi"/>
                <w:b/>
                <w:bCs/>
                <w:color w:val="333333"/>
                <w:sz w:val="18"/>
                <w:szCs w:val="20"/>
                <w:lang w:eastAsia="cs-CZ"/>
              </w:rPr>
            </w:pPr>
            <w:r w:rsidRPr="00D56C57">
              <w:rPr>
                <w:rFonts w:eastAsia="Times New Roman" w:cstheme="minorHAnsi"/>
                <w:b/>
                <w:bCs/>
                <w:color w:val="333333"/>
                <w:sz w:val="18"/>
                <w:szCs w:val="20"/>
                <w:lang w:eastAsia="cs-CZ"/>
              </w:rPr>
              <w:t>Společnosti s podstatným vlivem (nad 20 %)</w:t>
            </w:r>
          </w:p>
        </w:tc>
        <w:tc>
          <w:tcPr>
            <w:tcW w:w="2126" w:type="dxa"/>
            <w:shd w:val="clear" w:color="auto" w:fill="E6E6E6"/>
            <w:tcMar>
              <w:top w:w="75" w:type="dxa"/>
              <w:left w:w="75" w:type="dxa"/>
              <w:bottom w:w="75" w:type="dxa"/>
              <w:right w:w="75" w:type="dxa"/>
            </w:tcMar>
            <w:vAlign w:val="bottom"/>
            <w:hideMark/>
          </w:tcPr>
          <w:p w14:paraId="0BA0D626" w14:textId="77777777" w:rsidR="00954688" w:rsidRPr="00D56C57" w:rsidRDefault="00954688" w:rsidP="000C49A5">
            <w:pPr>
              <w:keepNext/>
              <w:keepLines/>
              <w:spacing w:before="0"/>
              <w:jc w:val="left"/>
              <w:rPr>
                <w:rFonts w:eastAsia="Times New Roman" w:cstheme="minorHAnsi"/>
                <w:b/>
                <w:bCs/>
                <w:color w:val="333333"/>
                <w:sz w:val="18"/>
                <w:szCs w:val="20"/>
                <w:lang w:eastAsia="cs-CZ"/>
              </w:rPr>
            </w:pPr>
            <w:r w:rsidRPr="00D56C57">
              <w:rPr>
                <w:rFonts w:eastAsia="Times New Roman" w:cstheme="minorHAnsi"/>
                <w:b/>
                <w:bCs/>
                <w:color w:val="333333"/>
                <w:sz w:val="18"/>
                <w:szCs w:val="20"/>
                <w:lang w:eastAsia="cs-CZ"/>
              </w:rPr>
              <w:t>Majetkový podíl v %</w:t>
            </w:r>
          </w:p>
        </w:tc>
      </w:tr>
      <w:tr w:rsidR="00954688" w:rsidRPr="00D56C57" w14:paraId="59260864" w14:textId="77777777" w:rsidTr="000C49A5">
        <w:tc>
          <w:tcPr>
            <w:tcW w:w="6941" w:type="dxa"/>
            <w:shd w:val="clear" w:color="auto" w:fill="FFFFFF"/>
            <w:tcMar>
              <w:top w:w="75" w:type="dxa"/>
              <w:left w:w="75" w:type="dxa"/>
              <w:bottom w:w="75" w:type="dxa"/>
              <w:right w:w="75" w:type="dxa"/>
            </w:tcMar>
            <w:vAlign w:val="bottom"/>
            <w:hideMark/>
          </w:tcPr>
          <w:p w14:paraId="369CC0B9" w14:textId="77777777" w:rsidR="00954688" w:rsidRPr="00D56C57" w:rsidRDefault="00954688" w:rsidP="000C49A5">
            <w:pPr>
              <w:keepNext/>
              <w:keepLines/>
              <w:spacing w:before="0"/>
              <w:jc w:val="left"/>
              <w:rPr>
                <w:rFonts w:eastAsia="Times New Roman" w:cstheme="minorHAnsi"/>
                <w:color w:val="333333"/>
                <w:sz w:val="18"/>
                <w:szCs w:val="20"/>
                <w:lang w:eastAsia="cs-CZ"/>
              </w:rPr>
            </w:pPr>
            <w:r w:rsidRPr="00D56C57">
              <w:rPr>
                <w:rFonts w:eastAsia="Times New Roman" w:cstheme="minorHAnsi"/>
                <w:color w:val="333333"/>
                <w:sz w:val="18"/>
                <w:szCs w:val="20"/>
                <w:lang w:eastAsia="cs-CZ"/>
              </w:rPr>
              <w:t>Vodovody a kanalizace Zlín, a.s.</w:t>
            </w:r>
          </w:p>
        </w:tc>
        <w:tc>
          <w:tcPr>
            <w:tcW w:w="2126" w:type="dxa"/>
            <w:shd w:val="clear" w:color="auto" w:fill="FFFFFF"/>
            <w:tcMar>
              <w:top w:w="75" w:type="dxa"/>
              <w:left w:w="75" w:type="dxa"/>
              <w:bottom w:w="75" w:type="dxa"/>
              <w:right w:w="75" w:type="dxa"/>
            </w:tcMar>
            <w:vAlign w:val="bottom"/>
            <w:hideMark/>
          </w:tcPr>
          <w:p w14:paraId="369A5119" w14:textId="77777777" w:rsidR="00954688" w:rsidRPr="00D56C57" w:rsidRDefault="00954688" w:rsidP="000C49A5">
            <w:pPr>
              <w:keepNext/>
              <w:keepLines/>
              <w:spacing w:before="0"/>
              <w:jc w:val="left"/>
              <w:rPr>
                <w:rFonts w:eastAsia="Times New Roman" w:cstheme="minorHAnsi"/>
                <w:color w:val="333333"/>
                <w:sz w:val="18"/>
                <w:szCs w:val="20"/>
                <w:lang w:eastAsia="cs-CZ"/>
              </w:rPr>
            </w:pPr>
            <w:r w:rsidRPr="00D56C57">
              <w:rPr>
                <w:rFonts w:eastAsia="Times New Roman" w:cstheme="minorHAnsi"/>
                <w:color w:val="333333"/>
                <w:sz w:val="18"/>
                <w:szCs w:val="20"/>
                <w:lang w:eastAsia="cs-CZ"/>
              </w:rPr>
              <w:t>46,24</w:t>
            </w:r>
          </w:p>
        </w:tc>
      </w:tr>
      <w:tr w:rsidR="00954688" w:rsidRPr="00D56C57" w14:paraId="26E60FE7" w14:textId="77777777" w:rsidTr="000C49A5">
        <w:tc>
          <w:tcPr>
            <w:tcW w:w="6941" w:type="dxa"/>
            <w:shd w:val="clear" w:color="auto" w:fill="FFFFFF"/>
            <w:tcMar>
              <w:top w:w="75" w:type="dxa"/>
              <w:left w:w="75" w:type="dxa"/>
              <w:bottom w:w="75" w:type="dxa"/>
              <w:right w:w="75" w:type="dxa"/>
            </w:tcMar>
            <w:vAlign w:val="bottom"/>
            <w:hideMark/>
          </w:tcPr>
          <w:p w14:paraId="231CDC24" w14:textId="77777777" w:rsidR="00954688" w:rsidRPr="00D56C57" w:rsidRDefault="00954688" w:rsidP="000C49A5">
            <w:pPr>
              <w:keepNext/>
              <w:keepLines/>
              <w:spacing w:before="0"/>
              <w:jc w:val="left"/>
              <w:rPr>
                <w:rFonts w:eastAsia="Times New Roman" w:cstheme="minorHAnsi"/>
                <w:color w:val="333333"/>
                <w:sz w:val="18"/>
                <w:szCs w:val="20"/>
                <w:lang w:eastAsia="cs-CZ"/>
              </w:rPr>
            </w:pPr>
            <w:r w:rsidRPr="00D56C57">
              <w:rPr>
                <w:rFonts w:eastAsia="Times New Roman" w:cstheme="minorHAnsi"/>
                <w:color w:val="333333"/>
                <w:sz w:val="18"/>
                <w:szCs w:val="20"/>
                <w:lang w:eastAsia="cs-CZ"/>
              </w:rPr>
              <w:t>Berani Zlín s.r.o.</w:t>
            </w:r>
          </w:p>
        </w:tc>
        <w:tc>
          <w:tcPr>
            <w:tcW w:w="2126" w:type="dxa"/>
            <w:shd w:val="clear" w:color="auto" w:fill="FFFFFF"/>
            <w:tcMar>
              <w:top w:w="75" w:type="dxa"/>
              <w:left w:w="75" w:type="dxa"/>
              <w:bottom w:w="75" w:type="dxa"/>
              <w:right w:w="75" w:type="dxa"/>
            </w:tcMar>
            <w:vAlign w:val="bottom"/>
            <w:hideMark/>
          </w:tcPr>
          <w:p w14:paraId="25361591" w14:textId="77777777" w:rsidR="00954688" w:rsidRPr="00D56C57" w:rsidRDefault="00954688" w:rsidP="000C49A5">
            <w:pPr>
              <w:keepNext/>
              <w:keepLines/>
              <w:spacing w:before="0"/>
              <w:jc w:val="left"/>
              <w:rPr>
                <w:rFonts w:eastAsia="Times New Roman" w:cstheme="minorHAnsi"/>
                <w:color w:val="333333"/>
                <w:sz w:val="18"/>
                <w:szCs w:val="20"/>
                <w:lang w:eastAsia="cs-CZ"/>
              </w:rPr>
            </w:pPr>
            <w:r w:rsidRPr="00D56C57">
              <w:rPr>
                <w:rFonts w:eastAsia="Times New Roman" w:cstheme="minorHAnsi"/>
                <w:color w:val="333333"/>
                <w:sz w:val="18"/>
                <w:szCs w:val="20"/>
                <w:lang w:eastAsia="cs-CZ"/>
              </w:rPr>
              <w:t>49</w:t>
            </w:r>
          </w:p>
        </w:tc>
      </w:tr>
    </w:tbl>
    <w:p w14:paraId="62FCDB8B" w14:textId="77777777" w:rsidR="00954688" w:rsidRPr="00D56C57" w:rsidRDefault="00954688" w:rsidP="00954688">
      <w:pPr>
        <w:keepNext/>
        <w:keepLines/>
        <w:spacing w:before="0"/>
        <w:jc w:val="left"/>
        <w:rPr>
          <w:rFonts w:ascii="Times New Roman" w:eastAsia="Times New Roman" w:hAnsi="Times New Roman" w:cs="Times New Roman"/>
          <w:vanish/>
          <w:sz w:val="24"/>
          <w:szCs w:val="24"/>
          <w:lang w:eastAsia="cs-CZ"/>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941"/>
        <w:gridCol w:w="2126"/>
      </w:tblGrid>
      <w:tr w:rsidR="00954688" w:rsidRPr="00D56C57" w14:paraId="54E7C83A" w14:textId="77777777" w:rsidTr="000C49A5">
        <w:tc>
          <w:tcPr>
            <w:tcW w:w="6941" w:type="dxa"/>
            <w:shd w:val="clear" w:color="auto" w:fill="E6E6E6"/>
            <w:tcMar>
              <w:top w:w="75" w:type="dxa"/>
              <w:left w:w="75" w:type="dxa"/>
              <w:bottom w:w="75" w:type="dxa"/>
              <w:right w:w="75" w:type="dxa"/>
            </w:tcMar>
            <w:vAlign w:val="bottom"/>
            <w:hideMark/>
          </w:tcPr>
          <w:p w14:paraId="197F6067" w14:textId="77777777" w:rsidR="00954688" w:rsidRPr="00D56C57" w:rsidRDefault="00954688" w:rsidP="000C49A5">
            <w:pPr>
              <w:keepNext/>
              <w:keepLines/>
              <w:spacing w:before="0"/>
              <w:jc w:val="left"/>
              <w:rPr>
                <w:rFonts w:eastAsia="Times New Roman" w:cstheme="minorHAnsi"/>
                <w:b/>
                <w:bCs/>
                <w:color w:val="333333"/>
                <w:sz w:val="18"/>
                <w:szCs w:val="20"/>
                <w:lang w:eastAsia="cs-CZ"/>
              </w:rPr>
            </w:pPr>
            <w:r w:rsidRPr="00D56C57">
              <w:rPr>
                <w:rFonts w:eastAsia="Times New Roman" w:cstheme="minorHAnsi"/>
                <w:b/>
                <w:bCs/>
                <w:color w:val="333333"/>
                <w:sz w:val="18"/>
                <w:szCs w:val="20"/>
                <w:lang w:eastAsia="cs-CZ"/>
              </w:rPr>
              <w:t>Ostatní</w:t>
            </w:r>
          </w:p>
        </w:tc>
        <w:tc>
          <w:tcPr>
            <w:tcW w:w="2126" w:type="dxa"/>
            <w:shd w:val="clear" w:color="auto" w:fill="E6E6E6"/>
            <w:tcMar>
              <w:top w:w="75" w:type="dxa"/>
              <w:left w:w="75" w:type="dxa"/>
              <w:bottom w:w="75" w:type="dxa"/>
              <w:right w:w="75" w:type="dxa"/>
            </w:tcMar>
            <w:vAlign w:val="bottom"/>
            <w:hideMark/>
          </w:tcPr>
          <w:p w14:paraId="46A22164" w14:textId="77777777" w:rsidR="00954688" w:rsidRPr="00D56C57" w:rsidRDefault="00954688" w:rsidP="000C49A5">
            <w:pPr>
              <w:keepNext/>
              <w:keepLines/>
              <w:spacing w:before="0"/>
              <w:jc w:val="left"/>
              <w:rPr>
                <w:rFonts w:eastAsia="Times New Roman" w:cstheme="minorHAnsi"/>
                <w:b/>
                <w:bCs/>
                <w:color w:val="333333"/>
                <w:sz w:val="18"/>
                <w:szCs w:val="20"/>
                <w:lang w:eastAsia="cs-CZ"/>
              </w:rPr>
            </w:pPr>
            <w:r w:rsidRPr="00D56C57">
              <w:rPr>
                <w:rFonts w:eastAsia="Times New Roman" w:cstheme="minorHAnsi"/>
                <w:b/>
                <w:bCs/>
                <w:color w:val="333333"/>
                <w:sz w:val="18"/>
                <w:szCs w:val="20"/>
                <w:lang w:eastAsia="cs-CZ"/>
              </w:rPr>
              <w:t>Majetkový podíl v %</w:t>
            </w:r>
          </w:p>
        </w:tc>
      </w:tr>
      <w:tr w:rsidR="00954688" w:rsidRPr="00D56C57" w14:paraId="4A9935D6" w14:textId="77777777" w:rsidTr="000C49A5">
        <w:trPr>
          <w:trHeight w:val="76"/>
        </w:trPr>
        <w:tc>
          <w:tcPr>
            <w:tcW w:w="6941" w:type="dxa"/>
            <w:shd w:val="clear" w:color="auto" w:fill="FFFFFF"/>
            <w:tcMar>
              <w:top w:w="75" w:type="dxa"/>
              <w:left w:w="75" w:type="dxa"/>
              <w:bottom w:w="75" w:type="dxa"/>
              <w:right w:w="75" w:type="dxa"/>
            </w:tcMar>
            <w:vAlign w:val="bottom"/>
            <w:hideMark/>
          </w:tcPr>
          <w:p w14:paraId="5AF93D2C" w14:textId="77777777" w:rsidR="00954688" w:rsidRPr="00D56C57" w:rsidRDefault="00954688" w:rsidP="000C49A5">
            <w:pPr>
              <w:keepNext/>
              <w:keepLines/>
              <w:spacing w:before="0"/>
              <w:jc w:val="left"/>
              <w:rPr>
                <w:rFonts w:eastAsia="Times New Roman" w:cstheme="minorHAnsi"/>
                <w:color w:val="333333"/>
                <w:sz w:val="18"/>
                <w:szCs w:val="20"/>
                <w:lang w:eastAsia="cs-CZ"/>
              </w:rPr>
            </w:pPr>
            <w:r w:rsidRPr="00D56C57">
              <w:rPr>
                <w:rFonts w:eastAsia="Times New Roman" w:cstheme="minorHAnsi"/>
                <w:color w:val="333333"/>
                <w:sz w:val="18"/>
                <w:szCs w:val="20"/>
                <w:lang w:eastAsia="cs-CZ"/>
              </w:rPr>
              <w:t>Bytové družstvo Podlesí</w:t>
            </w:r>
          </w:p>
        </w:tc>
        <w:tc>
          <w:tcPr>
            <w:tcW w:w="2126" w:type="dxa"/>
            <w:shd w:val="clear" w:color="auto" w:fill="FFFFFF"/>
            <w:tcMar>
              <w:top w:w="75" w:type="dxa"/>
              <w:left w:w="75" w:type="dxa"/>
              <w:bottom w:w="75" w:type="dxa"/>
              <w:right w:w="75" w:type="dxa"/>
            </w:tcMar>
            <w:vAlign w:val="bottom"/>
            <w:hideMark/>
          </w:tcPr>
          <w:p w14:paraId="26ACB49A" w14:textId="77777777" w:rsidR="00954688" w:rsidRPr="00D56C57" w:rsidRDefault="00954688" w:rsidP="000C49A5">
            <w:pPr>
              <w:keepNext/>
              <w:keepLines/>
              <w:spacing w:before="0"/>
              <w:jc w:val="left"/>
              <w:rPr>
                <w:rFonts w:eastAsia="Times New Roman" w:cstheme="minorHAnsi"/>
                <w:color w:val="333333"/>
                <w:sz w:val="18"/>
                <w:szCs w:val="20"/>
                <w:lang w:eastAsia="cs-CZ"/>
              </w:rPr>
            </w:pPr>
            <w:r w:rsidRPr="00D56C57">
              <w:rPr>
                <w:rFonts w:eastAsia="Times New Roman" w:cstheme="minorHAnsi"/>
                <w:color w:val="333333"/>
                <w:sz w:val="18"/>
                <w:szCs w:val="20"/>
                <w:lang w:eastAsia="cs-CZ"/>
              </w:rPr>
              <w:t>0,03</w:t>
            </w:r>
          </w:p>
        </w:tc>
      </w:tr>
    </w:tbl>
    <w:p w14:paraId="72B32DED" w14:textId="7572ECD9" w:rsidR="00954688" w:rsidRDefault="00954688" w:rsidP="00954688">
      <w:pPr>
        <w:pStyle w:val="Zdroj"/>
      </w:pPr>
      <w:r>
        <w:t xml:space="preserve">Zdroj: MMZ, Organizace a instituce, </w:t>
      </w:r>
      <w:hyperlink r:id="rId149" w:history="1">
        <w:r w:rsidRPr="00A832B4">
          <w:rPr>
            <w:rStyle w:val="Hypertextovodkaz"/>
            <w:rFonts w:eastAsiaTheme="majorEastAsia"/>
            <w:color w:val="auto"/>
            <w:u w:val="none"/>
          </w:rPr>
          <w:t>www.zlin.eu</w:t>
        </w:r>
      </w:hyperlink>
      <w:r>
        <w:t>, 2020</w:t>
      </w:r>
      <w:r w:rsidR="00A832B4">
        <w:t>.</w:t>
      </w:r>
    </w:p>
    <w:p w14:paraId="5EF5DF79" w14:textId="77777777" w:rsidR="00954688" w:rsidRDefault="00954688" w:rsidP="00954688">
      <w:r>
        <w:t>Statutárního města Zlína je účastno sdružení právnických osob a jiných organizacích, konkrétně se jedná o Svaz měst a obcí České republiky, Sdružení místních samospráv České republiky, Sdružení vlastníků obecních a soukromých lesů v ČR, Region Bílé Karpaty, Asociace turistických informačních center České republiky, Asociace měst pro cyklisty, Zlínský kreativní klastr.</w:t>
      </w:r>
    </w:p>
    <w:p w14:paraId="198B00E6" w14:textId="77777777" w:rsidR="00954688" w:rsidRDefault="00954688" w:rsidP="00954688">
      <w:pPr>
        <w:pStyle w:val="Nadpis4"/>
      </w:pPr>
      <w:r>
        <w:t xml:space="preserve">Financování a rozpočet města </w:t>
      </w:r>
    </w:p>
    <w:p w14:paraId="04AE262A" w14:textId="0554E550" w:rsidR="00954688" w:rsidRDefault="00954688" w:rsidP="00954688">
      <w:r>
        <w:t>Rozpočet města je významných dokumentem, který vypovídá o celkové</w:t>
      </w:r>
      <w:r w:rsidR="00A832B4">
        <w:t xml:space="preserve"> finanční</w:t>
      </w:r>
      <w:r>
        <w:t xml:space="preserve"> situaci a jejich změnách. Legislativní rámec pro sestavení rozpočtu obce představují dva základní obecně závazné předpisy:</w:t>
      </w:r>
    </w:p>
    <w:p w14:paraId="27FACBFC" w14:textId="77777777" w:rsidR="00954688" w:rsidRDefault="00954688" w:rsidP="00954688">
      <w:pPr>
        <w:pStyle w:val="Odstavecseseznamem"/>
        <w:numPr>
          <w:ilvl w:val="0"/>
          <w:numId w:val="11"/>
        </w:numPr>
        <w:ind w:left="426"/>
      </w:pPr>
      <w:r>
        <w:t>zákon č. 128/2000 Sb., o obcích (obecní zřízení), ve znění pozdějších předpisů,</w:t>
      </w:r>
    </w:p>
    <w:p w14:paraId="5B705B43" w14:textId="77777777" w:rsidR="00954688" w:rsidRDefault="00954688" w:rsidP="00954688">
      <w:pPr>
        <w:pStyle w:val="Odstavecseseznamem"/>
        <w:numPr>
          <w:ilvl w:val="0"/>
          <w:numId w:val="11"/>
        </w:numPr>
        <w:ind w:left="426"/>
      </w:pPr>
      <w:r>
        <w:t>zákon č. 250/2000 Sb., o odpočtových pravidlech územních rozpočtů, ve znění pozdějších předpisů.</w:t>
      </w:r>
    </w:p>
    <w:p w14:paraId="0069F595" w14:textId="77777777" w:rsidR="00954688" w:rsidRDefault="00954688" w:rsidP="00954688">
      <w:r>
        <w:t>Obec sestavuje rozpočet na jeden rok, zákon č. 250/2000 Sb. o rozpočtových pravidlech územních rozpočtů stanovuje povinnost sestavovat i rozpočtový výhled. Rozpočet je sestavován a schvalován jako vyrovnaný, v celých tisících Kč.</w:t>
      </w:r>
      <w:r>
        <w:rPr>
          <w:rStyle w:val="Znakapoznpodarou"/>
        </w:rPr>
        <w:footnoteReference w:id="104"/>
      </w:r>
    </w:p>
    <w:p w14:paraId="7BFEF93E" w14:textId="77777777" w:rsidR="00954688" w:rsidRDefault="00954688" w:rsidP="00954688">
      <w:r>
        <w:rPr>
          <w:rFonts w:cstheme="minorHAnsi"/>
        </w:rPr>
        <w:t xml:space="preserve">Tvorbu rozpočtu má </w:t>
      </w:r>
      <w:r w:rsidRPr="005C4721">
        <w:rPr>
          <w:rFonts w:cstheme="minorHAnsi"/>
        </w:rPr>
        <w:t xml:space="preserve">v kompetenci Odbor </w:t>
      </w:r>
      <w:r>
        <w:rPr>
          <w:rFonts w:cstheme="minorHAnsi"/>
        </w:rPr>
        <w:t>ekonomický</w:t>
      </w:r>
      <w:r w:rsidRPr="005C4721">
        <w:rPr>
          <w:rFonts w:cstheme="minorHAnsi"/>
        </w:rPr>
        <w:t>. Návrh rozpočtu následně schvaluje zastupitelstvo města.</w:t>
      </w:r>
      <w:r>
        <w:rPr>
          <w:rFonts w:cstheme="minorHAnsi"/>
        </w:rPr>
        <w:t xml:space="preserve"> </w:t>
      </w:r>
      <w:r w:rsidRPr="00C616D2">
        <w:t>V rámci rozvoje území je nutné sledovat vývoj příjmů a výdajů v jednotlivých letech.</w:t>
      </w:r>
    </w:p>
    <w:p w14:paraId="7FACAE7D" w14:textId="77777777" w:rsidR="00954688" w:rsidRPr="000862D6" w:rsidRDefault="00954688" w:rsidP="00954688">
      <w:pPr>
        <w:keepNext/>
        <w:spacing w:before="240"/>
        <w:rPr>
          <w:rFonts w:cstheme="minorHAnsi"/>
          <w:b/>
          <w:color w:val="000000" w:themeColor="text1"/>
        </w:rPr>
      </w:pPr>
      <w:bookmarkStart w:id="488" w:name="_Toc436288414"/>
      <w:r w:rsidRPr="000862D6">
        <w:rPr>
          <w:rFonts w:cstheme="minorHAnsi"/>
          <w:b/>
          <w:color w:val="000000" w:themeColor="text1"/>
        </w:rPr>
        <w:lastRenderedPageBreak/>
        <w:t>Příjmy rozpočtu</w:t>
      </w:r>
      <w:bookmarkEnd w:id="488"/>
    </w:p>
    <w:p w14:paraId="1EAF0073" w14:textId="1B1648D7" w:rsidR="00954688" w:rsidRPr="00C71D26" w:rsidRDefault="00954688" w:rsidP="00954688">
      <w:pPr>
        <w:rPr>
          <w:rFonts w:cstheme="minorHAnsi"/>
        </w:rPr>
      </w:pPr>
      <w:r w:rsidRPr="00C71D26">
        <w:rPr>
          <w:rFonts w:cstheme="minorHAnsi"/>
        </w:rPr>
        <w:t xml:space="preserve">Největší část příjmů města tvoří v posledních pěti </w:t>
      </w:r>
      <w:r w:rsidRPr="00B111D0">
        <w:rPr>
          <w:rFonts w:cstheme="minorHAnsi"/>
        </w:rPr>
        <w:t>letech příjmy daňové</w:t>
      </w:r>
      <w:r w:rsidRPr="00C71D26">
        <w:rPr>
          <w:rFonts w:cstheme="minorHAnsi"/>
        </w:rPr>
        <w:t xml:space="preserve"> (</w:t>
      </w:r>
      <w:r w:rsidR="00A832B4">
        <w:rPr>
          <w:rFonts w:cstheme="minorHAnsi"/>
        </w:rPr>
        <w:t xml:space="preserve">70,1 % </w:t>
      </w:r>
      <w:r w:rsidR="00A832B4">
        <w:rPr>
          <w:rFonts w:cstheme="minorHAnsi"/>
        </w:rPr>
        <w:sym w:font="Symbol" w:char="F02D"/>
      </w:r>
      <w:r w:rsidR="00A832B4">
        <w:rPr>
          <w:rFonts w:cstheme="minorHAnsi"/>
        </w:rPr>
        <w:t xml:space="preserve"> </w:t>
      </w:r>
      <w:r>
        <w:rPr>
          <w:rFonts w:cstheme="minorHAnsi"/>
        </w:rPr>
        <w:t>76,1</w:t>
      </w:r>
      <w:r w:rsidRPr="00C71D26">
        <w:rPr>
          <w:rFonts w:cstheme="minorHAnsi"/>
        </w:rPr>
        <w:t> %). Nejmenší část tvoří kapitálové příjmy (</w:t>
      </w:r>
      <w:r>
        <w:rPr>
          <w:rFonts w:cstheme="minorHAnsi"/>
        </w:rPr>
        <w:t>2,1</w:t>
      </w:r>
      <w:r w:rsidRPr="00C71D26">
        <w:rPr>
          <w:rFonts w:cstheme="minorHAnsi"/>
        </w:rPr>
        <w:t> %</w:t>
      </w:r>
      <w:r w:rsidR="00A832B4">
        <w:rPr>
          <w:rFonts w:cstheme="minorHAnsi"/>
        </w:rPr>
        <w:t xml:space="preserve"> </w:t>
      </w:r>
      <w:r w:rsidR="00A832B4">
        <w:rPr>
          <w:rFonts w:cstheme="minorHAnsi"/>
        </w:rPr>
        <w:sym w:font="Symbol" w:char="F02D"/>
      </w:r>
      <w:r w:rsidR="00A832B4">
        <w:rPr>
          <w:rFonts w:cstheme="minorHAnsi"/>
        </w:rPr>
        <w:t xml:space="preserve"> </w:t>
      </w:r>
      <w:r>
        <w:rPr>
          <w:rFonts w:cstheme="minorHAnsi"/>
        </w:rPr>
        <w:t>8,5</w:t>
      </w:r>
      <w:r w:rsidRPr="00C71D26">
        <w:rPr>
          <w:rFonts w:cstheme="minorHAnsi"/>
        </w:rPr>
        <w:t xml:space="preserve"> %). V roce 2019 byla hodnota příjmů města </w:t>
      </w:r>
      <w:r>
        <w:rPr>
          <w:rFonts w:cstheme="minorHAnsi"/>
        </w:rPr>
        <w:t>Zlín</w:t>
      </w:r>
      <w:r w:rsidRPr="00C71D26">
        <w:rPr>
          <w:rFonts w:cstheme="minorHAnsi"/>
        </w:rPr>
        <w:t xml:space="preserve"> </w:t>
      </w:r>
      <w:r>
        <w:rPr>
          <w:rFonts w:cstheme="minorHAnsi"/>
        </w:rPr>
        <w:t>1 830 887,6</w:t>
      </w:r>
      <w:r w:rsidRPr="00C71D26">
        <w:rPr>
          <w:rFonts w:cstheme="minorHAnsi"/>
        </w:rPr>
        <w:t> tis.</w:t>
      </w:r>
      <w:r w:rsidR="00A832B4">
        <w:rPr>
          <w:rFonts w:cstheme="minorHAnsi"/>
        </w:rPr>
        <w:t> </w:t>
      </w:r>
      <w:r w:rsidRPr="00C71D26">
        <w:rPr>
          <w:rFonts w:cstheme="minorHAnsi"/>
        </w:rPr>
        <w:t xml:space="preserve">Kč. Další významnou položkou v rozpočtu města </w:t>
      </w:r>
      <w:r>
        <w:rPr>
          <w:rFonts w:cstheme="minorHAnsi"/>
        </w:rPr>
        <w:t xml:space="preserve">tvoří </w:t>
      </w:r>
      <w:r w:rsidRPr="00C71D26">
        <w:rPr>
          <w:rFonts w:cstheme="minorHAnsi"/>
        </w:rPr>
        <w:t>nedaňové příjmy (</w:t>
      </w:r>
      <w:r>
        <w:rPr>
          <w:rFonts w:cstheme="minorHAnsi"/>
        </w:rPr>
        <w:t>14,1</w:t>
      </w:r>
      <w:r w:rsidRPr="00C71D26">
        <w:rPr>
          <w:rFonts w:cstheme="minorHAnsi"/>
        </w:rPr>
        <w:t> % v roce 2019), které v pěti letech klesají. Zbytek městského rozpočtu tvoří dotace/</w:t>
      </w:r>
      <w:r>
        <w:rPr>
          <w:rFonts w:cstheme="minorHAnsi"/>
        </w:rPr>
        <w:t>finanční</w:t>
      </w:r>
      <w:r w:rsidRPr="00C71D26">
        <w:rPr>
          <w:rFonts w:cstheme="minorHAnsi"/>
        </w:rPr>
        <w:t xml:space="preserve"> transfery (</w:t>
      </w:r>
      <w:r>
        <w:rPr>
          <w:rFonts w:cstheme="minorHAnsi"/>
        </w:rPr>
        <w:t>8,5</w:t>
      </w:r>
      <w:r w:rsidRPr="00C71D26">
        <w:rPr>
          <w:rFonts w:cstheme="minorHAnsi"/>
        </w:rPr>
        <w:t xml:space="preserve"> % v roce 2019). V roce 2019 došlo </w:t>
      </w:r>
      <w:r w:rsidR="00A832B4">
        <w:rPr>
          <w:rFonts w:cstheme="minorHAnsi"/>
        </w:rPr>
        <w:t xml:space="preserve">k </w:t>
      </w:r>
      <w:r>
        <w:rPr>
          <w:rFonts w:cstheme="minorHAnsi"/>
        </w:rPr>
        <w:t>navýšení</w:t>
      </w:r>
      <w:r w:rsidRPr="00C71D26">
        <w:rPr>
          <w:rFonts w:cstheme="minorHAnsi"/>
        </w:rPr>
        <w:t xml:space="preserve"> příjmů města oproti předchozímu roku o více než </w:t>
      </w:r>
      <w:r>
        <w:rPr>
          <w:rFonts w:cstheme="minorHAnsi"/>
        </w:rPr>
        <w:t>67</w:t>
      </w:r>
      <w:r w:rsidR="00A832B4">
        <w:rPr>
          <w:rFonts w:cstheme="minorHAnsi"/>
        </w:rPr>
        <w:t> </w:t>
      </w:r>
      <w:r>
        <w:rPr>
          <w:rFonts w:cstheme="minorHAnsi"/>
        </w:rPr>
        <w:t>025</w:t>
      </w:r>
      <w:r w:rsidRPr="00C71D26">
        <w:rPr>
          <w:rFonts w:cstheme="minorHAnsi"/>
        </w:rPr>
        <w:t> tis.</w:t>
      </w:r>
      <w:r w:rsidR="00A832B4">
        <w:rPr>
          <w:rFonts w:cstheme="minorHAnsi"/>
        </w:rPr>
        <w:t> </w:t>
      </w:r>
      <w:r w:rsidRPr="00C71D26">
        <w:rPr>
          <w:rFonts w:cstheme="minorHAnsi"/>
        </w:rPr>
        <w:t xml:space="preserve">Kč. Více viz </w:t>
      </w:r>
      <w:r>
        <w:rPr>
          <w:rFonts w:cstheme="minorHAnsi"/>
        </w:rPr>
        <w:t xml:space="preserve">tabulka </w:t>
      </w:r>
      <w:r w:rsidR="009D4735">
        <w:rPr>
          <w:rFonts w:cstheme="minorHAnsi"/>
        </w:rPr>
        <w:t>1.72</w:t>
      </w:r>
      <w:r>
        <w:rPr>
          <w:rFonts w:cstheme="minorHAnsi"/>
        </w:rPr>
        <w:t>.</w:t>
      </w:r>
      <w:r w:rsidRPr="00C71D26">
        <w:rPr>
          <w:rFonts w:cstheme="minorHAnsi"/>
        </w:rPr>
        <w:t xml:space="preserve"> V roce 2019 tvořily příjmy na jednoho obyvatele </w:t>
      </w:r>
      <w:r>
        <w:rPr>
          <w:rFonts w:cstheme="minorHAnsi"/>
        </w:rPr>
        <w:t>24 431</w:t>
      </w:r>
      <w:r w:rsidRPr="00C71D26">
        <w:rPr>
          <w:rFonts w:cstheme="minorHAnsi"/>
        </w:rPr>
        <w:t xml:space="preserve"> Kč. </w:t>
      </w:r>
    </w:p>
    <w:p w14:paraId="3AB10C2D" w14:textId="5F628A10" w:rsidR="00954688" w:rsidRDefault="00954688" w:rsidP="00954688">
      <w:pPr>
        <w:pStyle w:val="Titulek"/>
        <w:rPr>
          <w:rFonts w:cstheme="minorHAnsi"/>
          <w:highlight w:val="yellow"/>
        </w:rPr>
      </w:pPr>
      <w:bookmarkStart w:id="489" w:name="_Toc53066230"/>
      <w:bookmarkStart w:id="490" w:name="_Toc7707475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72</w:t>
      </w:r>
      <w:r w:rsidR="00081B47">
        <w:rPr>
          <w:noProof/>
        </w:rPr>
        <w:fldChar w:fldCharType="end"/>
      </w:r>
      <w:r w:rsidR="00A832B4">
        <w:rPr>
          <w:noProof/>
        </w:rPr>
        <w:t>:</w:t>
      </w:r>
      <w:r>
        <w:t xml:space="preserve"> </w:t>
      </w:r>
      <w:r w:rsidRPr="00C71D26">
        <w:rPr>
          <w:rFonts w:cstheme="minorHAnsi"/>
        </w:rPr>
        <w:t>Příjmy města Zlína v letech 2015</w:t>
      </w:r>
      <w:r w:rsidR="00A832B4">
        <w:rPr>
          <w:rFonts w:cstheme="minorHAnsi"/>
        </w:rPr>
        <w:t xml:space="preserve"> </w:t>
      </w:r>
      <w:r w:rsidR="00A832B4">
        <w:rPr>
          <w:rFonts w:cstheme="minorHAnsi"/>
        </w:rPr>
        <w:sym w:font="Symbol" w:char="F02D"/>
      </w:r>
      <w:r w:rsidR="00A832B4">
        <w:rPr>
          <w:rFonts w:cstheme="minorHAnsi"/>
        </w:rPr>
        <w:t xml:space="preserve"> </w:t>
      </w:r>
      <w:r w:rsidRPr="00C71D26">
        <w:rPr>
          <w:rFonts w:cstheme="minorHAnsi"/>
        </w:rPr>
        <w:t>2019</w:t>
      </w:r>
      <w:bookmarkEnd w:id="489"/>
      <w:bookmarkEnd w:id="490"/>
    </w:p>
    <w:tbl>
      <w:tblPr>
        <w:tblW w:w="9235" w:type="dxa"/>
        <w:tblInd w:w="-10" w:type="dxa"/>
        <w:tblCellMar>
          <w:left w:w="70" w:type="dxa"/>
          <w:right w:w="70" w:type="dxa"/>
        </w:tblCellMar>
        <w:tblLook w:val="04A0" w:firstRow="1" w:lastRow="0" w:firstColumn="1" w:lastColumn="0" w:noHBand="0" w:noVBand="1"/>
      </w:tblPr>
      <w:tblGrid>
        <w:gridCol w:w="1418"/>
        <w:gridCol w:w="992"/>
        <w:gridCol w:w="588"/>
        <w:gridCol w:w="971"/>
        <w:gridCol w:w="588"/>
        <w:gridCol w:w="971"/>
        <w:gridCol w:w="588"/>
        <w:gridCol w:w="971"/>
        <w:gridCol w:w="588"/>
        <w:gridCol w:w="972"/>
        <w:gridCol w:w="588"/>
      </w:tblGrid>
      <w:tr w:rsidR="00954688" w:rsidRPr="00CC6C49" w14:paraId="69B202F2" w14:textId="77777777" w:rsidTr="000C49A5">
        <w:trPr>
          <w:trHeight w:val="315"/>
        </w:trPr>
        <w:tc>
          <w:tcPr>
            <w:tcW w:w="1418"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352CF05E"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Rok</w:t>
            </w:r>
          </w:p>
        </w:tc>
        <w:tc>
          <w:tcPr>
            <w:tcW w:w="1580"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180E0DB5"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2015</w:t>
            </w:r>
          </w:p>
        </w:tc>
        <w:tc>
          <w:tcPr>
            <w:tcW w:w="1559"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6E309E23"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2016</w:t>
            </w:r>
          </w:p>
        </w:tc>
        <w:tc>
          <w:tcPr>
            <w:tcW w:w="1559"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5A2F8632"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2017</w:t>
            </w:r>
          </w:p>
        </w:tc>
        <w:tc>
          <w:tcPr>
            <w:tcW w:w="1559"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6C3C1224"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2018</w:t>
            </w:r>
          </w:p>
        </w:tc>
        <w:tc>
          <w:tcPr>
            <w:tcW w:w="1560"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5790D115"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2019</w:t>
            </w:r>
          </w:p>
        </w:tc>
      </w:tr>
      <w:tr w:rsidR="00954688" w:rsidRPr="00CC6C49" w14:paraId="2B963E17" w14:textId="77777777" w:rsidTr="000C49A5">
        <w:trPr>
          <w:trHeight w:val="315"/>
        </w:trPr>
        <w:tc>
          <w:tcPr>
            <w:tcW w:w="1418" w:type="dxa"/>
            <w:tcBorders>
              <w:top w:val="nil"/>
              <w:left w:val="single" w:sz="8" w:space="0" w:color="auto"/>
              <w:bottom w:val="single" w:sz="8" w:space="0" w:color="auto"/>
              <w:right w:val="single" w:sz="8" w:space="0" w:color="auto"/>
            </w:tcBorders>
            <w:shd w:val="clear" w:color="000000" w:fill="D9D9D9"/>
            <w:noWrap/>
            <w:vAlign w:val="center"/>
            <w:hideMark/>
          </w:tcPr>
          <w:p w14:paraId="6D27E277"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Příjmy</w:t>
            </w:r>
          </w:p>
        </w:tc>
        <w:tc>
          <w:tcPr>
            <w:tcW w:w="992" w:type="dxa"/>
            <w:tcBorders>
              <w:top w:val="nil"/>
              <w:left w:val="nil"/>
              <w:bottom w:val="single" w:sz="8" w:space="0" w:color="auto"/>
              <w:right w:val="single" w:sz="8" w:space="0" w:color="auto"/>
            </w:tcBorders>
            <w:shd w:val="clear" w:color="000000" w:fill="D9D9D9"/>
            <w:noWrap/>
            <w:vAlign w:val="center"/>
            <w:hideMark/>
          </w:tcPr>
          <w:p w14:paraId="2E27E64B"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Kč (tis.)</w:t>
            </w:r>
          </w:p>
        </w:tc>
        <w:tc>
          <w:tcPr>
            <w:tcW w:w="588" w:type="dxa"/>
            <w:tcBorders>
              <w:top w:val="nil"/>
              <w:left w:val="nil"/>
              <w:bottom w:val="single" w:sz="8" w:space="0" w:color="auto"/>
              <w:right w:val="single" w:sz="8" w:space="0" w:color="auto"/>
            </w:tcBorders>
            <w:shd w:val="clear" w:color="000000" w:fill="D9D9D9"/>
            <w:noWrap/>
            <w:vAlign w:val="center"/>
            <w:hideMark/>
          </w:tcPr>
          <w:p w14:paraId="4BBA96D9"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Podíl</w:t>
            </w:r>
          </w:p>
        </w:tc>
        <w:tc>
          <w:tcPr>
            <w:tcW w:w="971" w:type="dxa"/>
            <w:tcBorders>
              <w:top w:val="nil"/>
              <w:left w:val="nil"/>
              <w:bottom w:val="single" w:sz="8" w:space="0" w:color="auto"/>
              <w:right w:val="single" w:sz="8" w:space="0" w:color="auto"/>
            </w:tcBorders>
            <w:shd w:val="clear" w:color="000000" w:fill="D9D9D9"/>
            <w:noWrap/>
            <w:vAlign w:val="center"/>
            <w:hideMark/>
          </w:tcPr>
          <w:p w14:paraId="5039E73C"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Kč (tis.)</w:t>
            </w:r>
          </w:p>
        </w:tc>
        <w:tc>
          <w:tcPr>
            <w:tcW w:w="588" w:type="dxa"/>
            <w:tcBorders>
              <w:top w:val="nil"/>
              <w:left w:val="nil"/>
              <w:bottom w:val="single" w:sz="8" w:space="0" w:color="auto"/>
              <w:right w:val="single" w:sz="8" w:space="0" w:color="auto"/>
            </w:tcBorders>
            <w:shd w:val="clear" w:color="000000" w:fill="D9D9D9"/>
            <w:noWrap/>
            <w:vAlign w:val="center"/>
            <w:hideMark/>
          </w:tcPr>
          <w:p w14:paraId="5868D1EC"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Podíl</w:t>
            </w:r>
          </w:p>
        </w:tc>
        <w:tc>
          <w:tcPr>
            <w:tcW w:w="971" w:type="dxa"/>
            <w:tcBorders>
              <w:top w:val="nil"/>
              <w:left w:val="nil"/>
              <w:bottom w:val="single" w:sz="8" w:space="0" w:color="auto"/>
              <w:right w:val="single" w:sz="8" w:space="0" w:color="auto"/>
            </w:tcBorders>
            <w:shd w:val="clear" w:color="000000" w:fill="D9D9D9"/>
            <w:noWrap/>
            <w:vAlign w:val="center"/>
            <w:hideMark/>
          </w:tcPr>
          <w:p w14:paraId="484A1E81"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Kč (tis.)</w:t>
            </w:r>
          </w:p>
        </w:tc>
        <w:tc>
          <w:tcPr>
            <w:tcW w:w="588" w:type="dxa"/>
            <w:tcBorders>
              <w:top w:val="nil"/>
              <w:left w:val="nil"/>
              <w:bottom w:val="single" w:sz="8" w:space="0" w:color="auto"/>
              <w:right w:val="single" w:sz="8" w:space="0" w:color="auto"/>
            </w:tcBorders>
            <w:shd w:val="clear" w:color="000000" w:fill="D9D9D9"/>
            <w:noWrap/>
            <w:vAlign w:val="center"/>
            <w:hideMark/>
          </w:tcPr>
          <w:p w14:paraId="5E81178C"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Podíl</w:t>
            </w:r>
          </w:p>
        </w:tc>
        <w:tc>
          <w:tcPr>
            <w:tcW w:w="971" w:type="dxa"/>
            <w:tcBorders>
              <w:top w:val="nil"/>
              <w:left w:val="nil"/>
              <w:bottom w:val="single" w:sz="8" w:space="0" w:color="auto"/>
              <w:right w:val="single" w:sz="8" w:space="0" w:color="auto"/>
            </w:tcBorders>
            <w:shd w:val="clear" w:color="000000" w:fill="D9D9D9"/>
            <w:noWrap/>
            <w:vAlign w:val="center"/>
            <w:hideMark/>
          </w:tcPr>
          <w:p w14:paraId="19714A27"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Kč (tis.)</w:t>
            </w:r>
          </w:p>
        </w:tc>
        <w:tc>
          <w:tcPr>
            <w:tcW w:w="588" w:type="dxa"/>
            <w:tcBorders>
              <w:top w:val="nil"/>
              <w:left w:val="nil"/>
              <w:bottom w:val="single" w:sz="8" w:space="0" w:color="auto"/>
              <w:right w:val="single" w:sz="8" w:space="0" w:color="auto"/>
            </w:tcBorders>
            <w:shd w:val="clear" w:color="000000" w:fill="D9D9D9"/>
            <w:noWrap/>
            <w:vAlign w:val="center"/>
            <w:hideMark/>
          </w:tcPr>
          <w:p w14:paraId="2A366A0C"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Podíl</w:t>
            </w:r>
          </w:p>
        </w:tc>
        <w:tc>
          <w:tcPr>
            <w:tcW w:w="972" w:type="dxa"/>
            <w:tcBorders>
              <w:top w:val="nil"/>
              <w:left w:val="nil"/>
              <w:bottom w:val="single" w:sz="8" w:space="0" w:color="auto"/>
              <w:right w:val="single" w:sz="8" w:space="0" w:color="auto"/>
            </w:tcBorders>
            <w:shd w:val="clear" w:color="000000" w:fill="D9D9D9"/>
            <w:noWrap/>
            <w:vAlign w:val="center"/>
            <w:hideMark/>
          </w:tcPr>
          <w:p w14:paraId="048F2AD3"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Kč (tis.)</w:t>
            </w:r>
          </w:p>
        </w:tc>
        <w:tc>
          <w:tcPr>
            <w:tcW w:w="588" w:type="dxa"/>
            <w:tcBorders>
              <w:top w:val="nil"/>
              <w:left w:val="nil"/>
              <w:bottom w:val="single" w:sz="8" w:space="0" w:color="auto"/>
              <w:right w:val="single" w:sz="8" w:space="0" w:color="auto"/>
            </w:tcBorders>
            <w:shd w:val="clear" w:color="000000" w:fill="D9D9D9"/>
            <w:noWrap/>
            <w:vAlign w:val="center"/>
            <w:hideMark/>
          </w:tcPr>
          <w:p w14:paraId="036A99AD" w14:textId="77777777" w:rsidR="00954688" w:rsidRPr="00CC6C49" w:rsidRDefault="00954688" w:rsidP="000C49A5">
            <w:pPr>
              <w:spacing w:before="0"/>
              <w:jc w:val="center"/>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Podíl</w:t>
            </w:r>
          </w:p>
        </w:tc>
      </w:tr>
      <w:tr w:rsidR="00954688" w:rsidRPr="00CC6C49" w14:paraId="5F27AABC" w14:textId="77777777" w:rsidTr="000C49A5">
        <w:trPr>
          <w:trHeight w:val="31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3DD8D3B2" w14:textId="77777777" w:rsidR="00954688" w:rsidRPr="00CC6C49" w:rsidRDefault="00954688" w:rsidP="000C49A5">
            <w:pPr>
              <w:spacing w:before="0"/>
              <w:jc w:val="lef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Daňové příjmy</w:t>
            </w:r>
          </w:p>
        </w:tc>
        <w:tc>
          <w:tcPr>
            <w:tcW w:w="992" w:type="dxa"/>
            <w:tcBorders>
              <w:top w:val="nil"/>
              <w:left w:val="nil"/>
              <w:bottom w:val="single" w:sz="8" w:space="0" w:color="auto"/>
              <w:right w:val="single" w:sz="8" w:space="0" w:color="auto"/>
            </w:tcBorders>
            <w:shd w:val="clear" w:color="auto" w:fill="auto"/>
            <w:noWrap/>
            <w:vAlign w:val="center"/>
            <w:hideMark/>
          </w:tcPr>
          <w:p w14:paraId="423E1740" w14:textId="77777777" w:rsidR="00954688" w:rsidRPr="00CC6C49" w:rsidRDefault="00954688" w:rsidP="000C49A5">
            <w:pPr>
              <w:spacing w:before="0"/>
              <w:ind w:left="-7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1 045 223,4</w:t>
            </w:r>
          </w:p>
        </w:tc>
        <w:tc>
          <w:tcPr>
            <w:tcW w:w="588" w:type="dxa"/>
            <w:tcBorders>
              <w:top w:val="nil"/>
              <w:left w:val="nil"/>
              <w:bottom w:val="single" w:sz="8" w:space="0" w:color="auto"/>
              <w:right w:val="single" w:sz="8" w:space="0" w:color="auto"/>
            </w:tcBorders>
            <w:shd w:val="clear" w:color="000000" w:fill="F8696B"/>
            <w:noWrap/>
            <w:vAlign w:val="center"/>
            <w:hideMark/>
          </w:tcPr>
          <w:p w14:paraId="630EC5F1"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70,1%</w:t>
            </w:r>
          </w:p>
        </w:tc>
        <w:tc>
          <w:tcPr>
            <w:tcW w:w="971" w:type="dxa"/>
            <w:tcBorders>
              <w:top w:val="nil"/>
              <w:left w:val="nil"/>
              <w:bottom w:val="single" w:sz="8" w:space="0" w:color="auto"/>
              <w:right w:val="single" w:sz="8" w:space="0" w:color="auto"/>
            </w:tcBorders>
            <w:shd w:val="clear" w:color="auto" w:fill="auto"/>
            <w:noWrap/>
            <w:vAlign w:val="center"/>
            <w:hideMark/>
          </w:tcPr>
          <w:p w14:paraId="48CCAAA2"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1 130 302,6</w:t>
            </w:r>
          </w:p>
        </w:tc>
        <w:tc>
          <w:tcPr>
            <w:tcW w:w="588" w:type="dxa"/>
            <w:tcBorders>
              <w:top w:val="nil"/>
              <w:left w:val="nil"/>
              <w:bottom w:val="single" w:sz="8" w:space="0" w:color="auto"/>
              <w:right w:val="single" w:sz="8" w:space="0" w:color="auto"/>
            </w:tcBorders>
            <w:shd w:val="clear" w:color="000000" w:fill="F8696B"/>
            <w:noWrap/>
            <w:vAlign w:val="center"/>
            <w:hideMark/>
          </w:tcPr>
          <w:p w14:paraId="6EBADAE5"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74,5%</w:t>
            </w:r>
          </w:p>
        </w:tc>
        <w:tc>
          <w:tcPr>
            <w:tcW w:w="971" w:type="dxa"/>
            <w:tcBorders>
              <w:top w:val="nil"/>
              <w:left w:val="nil"/>
              <w:bottom w:val="single" w:sz="8" w:space="0" w:color="auto"/>
              <w:right w:val="single" w:sz="8" w:space="0" w:color="auto"/>
            </w:tcBorders>
            <w:shd w:val="clear" w:color="auto" w:fill="auto"/>
            <w:noWrap/>
            <w:vAlign w:val="center"/>
            <w:hideMark/>
          </w:tcPr>
          <w:p w14:paraId="116C7F6D"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1 207 990,8</w:t>
            </w:r>
          </w:p>
        </w:tc>
        <w:tc>
          <w:tcPr>
            <w:tcW w:w="588" w:type="dxa"/>
            <w:tcBorders>
              <w:top w:val="nil"/>
              <w:left w:val="nil"/>
              <w:bottom w:val="single" w:sz="8" w:space="0" w:color="auto"/>
              <w:right w:val="single" w:sz="8" w:space="0" w:color="auto"/>
            </w:tcBorders>
            <w:shd w:val="clear" w:color="000000" w:fill="F8696B"/>
            <w:noWrap/>
            <w:vAlign w:val="center"/>
            <w:hideMark/>
          </w:tcPr>
          <w:p w14:paraId="0A61325F"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75,7%</w:t>
            </w:r>
          </w:p>
        </w:tc>
        <w:tc>
          <w:tcPr>
            <w:tcW w:w="971" w:type="dxa"/>
            <w:tcBorders>
              <w:top w:val="nil"/>
              <w:left w:val="nil"/>
              <w:bottom w:val="single" w:sz="8" w:space="0" w:color="auto"/>
              <w:right w:val="single" w:sz="8" w:space="0" w:color="auto"/>
            </w:tcBorders>
            <w:shd w:val="clear" w:color="auto" w:fill="auto"/>
            <w:noWrap/>
            <w:vAlign w:val="center"/>
            <w:hideMark/>
          </w:tcPr>
          <w:p w14:paraId="4DD61BB6"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1 295 273,4</w:t>
            </w:r>
          </w:p>
        </w:tc>
        <w:tc>
          <w:tcPr>
            <w:tcW w:w="588" w:type="dxa"/>
            <w:tcBorders>
              <w:top w:val="nil"/>
              <w:left w:val="nil"/>
              <w:bottom w:val="single" w:sz="8" w:space="0" w:color="auto"/>
              <w:right w:val="single" w:sz="8" w:space="0" w:color="auto"/>
            </w:tcBorders>
            <w:shd w:val="clear" w:color="000000" w:fill="F8696B"/>
            <w:noWrap/>
            <w:vAlign w:val="center"/>
            <w:hideMark/>
          </w:tcPr>
          <w:p w14:paraId="29F1ED9C"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73,4%</w:t>
            </w:r>
          </w:p>
        </w:tc>
        <w:tc>
          <w:tcPr>
            <w:tcW w:w="972" w:type="dxa"/>
            <w:tcBorders>
              <w:top w:val="nil"/>
              <w:left w:val="nil"/>
              <w:bottom w:val="single" w:sz="8" w:space="0" w:color="auto"/>
              <w:right w:val="single" w:sz="8" w:space="0" w:color="auto"/>
            </w:tcBorders>
            <w:shd w:val="clear" w:color="auto" w:fill="auto"/>
            <w:noWrap/>
            <w:vAlign w:val="center"/>
            <w:hideMark/>
          </w:tcPr>
          <w:p w14:paraId="41354101"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1 393 205,5</w:t>
            </w:r>
          </w:p>
        </w:tc>
        <w:tc>
          <w:tcPr>
            <w:tcW w:w="588" w:type="dxa"/>
            <w:tcBorders>
              <w:top w:val="nil"/>
              <w:left w:val="nil"/>
              <w:bottom w:val="single" w:sz="8" w:space="0" w:color="auto"/>
              <w:right w:val="single" w:sz="8" w:space="0" w:color="auto"/>
            </w:tcBorders>
            <w:shd w:val="clear" w:color="000000" w:fill="F8696B"/>
            <w:noWrap/>
            <w:vAlign w:val="center"/>
            <w:hideMark/>
          </w:tcPr>
          <w:p w14:paraId="330B9A35"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76,1%</w:t>
            </w:r>
          </w:p>
        </w:tc>
      </w:tr>
      <w:tr w:rsidR="00954688" w:rsidRPr="00CC6C49" w14:paraId="48DCAA23" w14:textId="77777777" w:rsidTr="000C49A5">
        <w:trPr>
          <w:trHeight w:val="31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0FCDD314" w14:textId="77777777" w:rsidR="00954688" w:rsidRPr="00CC6C49" w:rsidRDefault="00954688" w:rsidP="000C49A5">
            <w:pPr>
              <w:spacing w:before="0"/>
              <w:jc w:val="lef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Nedaňové příjmy</w:t>
            </w:r>
          </w:p>
        </w:tc>
        <w:tc>
          <w:tcPr>
            <w:tcW w:w="992" w:type="dxa"/>
            <w:tcBorders>
              <w:top w:val="nil"/>
              <w:left w:val="nil"/>
              <w:bottom w:val="single" w:sz="8" w:space="0" w:color="auto"/>
              <w:right w:val="single" w:sz="8" w:space="0" w:color="auto"/>
            </w:tcBorders>
            <w:shd w:val="clear" w:color="auto" w:fill="auto"/>
            <w:noWrap/>
            <w:vAlign w:val="center"/>
            <w:hideMark/>
          </w:tcPr>
          <w:p w14:paraId="66276581" w14:textId="77777777" w:rsidR="00954688" w:rsidRPr="00CC6C49" w:rsidRDefault="00954688" w:rsidP="000C49A5">
            <w:pPr>
              <w:spacing w:before="0"/>
              <w:ind w:left="-7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248 624,9</w:t>
            </w:r>
          </w:p>
        </w:tc>
        <w:tc>
          <w:tcPr>
            <w:tcW w:w="588" w:type="dxa"/>
            <w:tcBorders>
              <w:top w:val="nil"/>
              <w:left w:val="nil"/>
              <w:bottom w:val="single" w:sz="8" w:space="0" w:color="auto"/>
              <w:right w:val="single" w:sz="8" w:space="0" w:color="auto"/>
            </w:tcBorders>
            <w:shd w:val="clear" w:color="000000" w:fill="FCF5F8"/>
            <w:noWrap/>
            <w:vAlign w:val="center"/>
            <w:hideMark/>
          </w:tcPr>
          <w:p w14:paraId="106DEB65"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16,7%</w:t>
            </w:r>
          </w:p>
        </w:tc>
        <w:tc>
          <w:tcPr>
            <w:tcW w:w="971" w:type="dxa"/>
            <w:tcBorders>
              <w:top w:val="nil"/>
              <w:left w:val="nil"/>
              <w:bottom w:val="single" w:sz="8" w:space="0" w:color="auto"/>
              <w:right w:val="single" w:sz="8" w:space="0" w:color="auto"/>
            </w:tcBorders>
            <w:shd w:val="clear" w:color="auto" w:fill="auto"/>
            <w:noWrap/>
            <w:vAlign w:val="center"/>
            <w:hideMark/>
          </w:tcPr>
          <w:p w14:paraId="63EC39E3"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255 173,2</w:t>
            </w:r>
          </w:p>
        </w:tc>
        <w:tc>
          <w:tcPr>
            <w:tcW w:w="588" w:type="dxa"/>
            <w:tcBorders>
              <w:top w:val="nil"/>
              <w:left w:val="nil"/>
              <w:bottom w:val="single" w:sz="8" w:space="0" w:color="auto"/>
              <w:right w:val="single" w:sz="8" w:space="0" w:color="auto"/>
            </w:tcBorders>
            <w:shd w:val="clear" w:color="000000" w:fill="FCF1F4"/>
            <w:noWrap/>
            <w:vAlign w:val="center"/>
            <w:hideMark/>
          </w:tcPr>
          <w:p w14:paraId="78759C24"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16,8%</w:t>
            </w:r>
          </w:p>
        </w:tc>
        <w:tc>
          <w:tcPr>
            <w:tcW w:w="971" w:type="dxa"/>
            <w:tcBorders>
              <w:top w:val="nil"/>
              <w:left w:val="nil"/>
              <w:bottom w:val="single" w:sz="8" w:space="0" w:color="auto"/>
              <w:right w:val="single" w:sz="8" w:space="0" w:color="auto"/>
            </w:tcBorders>
            <w:shd w:val="clear" w:color="auto" w:fill="auto"/>
            <w:noWrap/>
            <w:vAlign w:val="center"/>
            <w:hideMark/>
          </w:tcPr>
          <w:p w14:paraId="52F419BF"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233 287,5</w:t>
            </w:r>
          </w:p>
        </w:tc>
        <w:tc>
          <w:tcPr>
            <w:tcW w:w="588" w:type="dxa"/>
            <w:tcBorders>
              <w:top w:val="nil"/>
              <w:left w:val="nil"/>
              <w:bottom w:val="single" w:sz="8" w:space="0" w:color="auto"/>
              <w:right w:val="single" w:sz="8" w:space="0" w:color="auto"/>
            </w:tcBorders>
            <w:shd w:val="clear" w:color="000000" w:fill="FCF6F9"/>
            <w:noWrap/>
            <w:vAlign w:val="center"/>
            <w:hideMark/>
          </w:tcPr>
          <w:p w14:paraId="798C9A36"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14,6%</w:t>
            </w:r>
          </w:p>
        </w:tc>
        <w:tc>
          <w:tcPr>
            <w:tcW w:w="971" w:type="dxa"/>
            <w:tcBorders>
              <w:top w:val="nil"/>
              <w:left w:val="nil"/>
              <w:bottom w:val="single" w:sz="8" w:space="0" w:color="auto"/>
              <w:right w:val="single" w:sz="8" w:space="0" w:color="auto"/>
            </w:tcBorders>
            <w:shd w:val="clear" w:color="auto" w:fill="auto"/>
            <w:noWrap/>
            <w:vAlign w:val="center"/>
            <w:hideMark/>
          </w:tcPr>
          <w:p w14:paraId="2205040D"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250 449,8</w:t>
            </w:r>
          </w:p>
        </w:tc>
        <w:tc>
          <w:tcPr>
            <w:tcW w:w="588" w:type="dxa"/>
            <w:tcBorders>
              <w:top w:val="nil"/>
              <w:left w:val="nil"/>
              <w:bottom w:val="single" w:sz="8" w:space="0" w:color="auto"/>
              <w:right w:val="single" w:sz="8" w:space="0" w:color="auto"/>
            </w:tcBorders>
            <w:shd w:val="clear" w:color="000000" w:fill="FCF9FC"/>
            <w:noWrap/>
            <w:vAlign w:val="center"/>
            <w:hideMark/>
          </w:tcPr>
          <w:p w14:paraId="35793912"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14,2%</w:t>
            </w:r>
          </w:p>
        </w:tc>
        <w:tc>
          <w:tcPr>
            <w:tcW w:w="972" w:type="dxa"/>
            <w:tcBorders>
              <w:top w:val="nil"/>
              <w:left w:val="nil"/>
              <w:bottom w:val="single" w:sz="8" w:space="0" w:color="auto"/>
              <w:right w:val="single" w:sz="8" w:space="0" w:color="auto"/>
            </w:tcBorders>
            <w:shd w:val="clear" w:color="auto" w:fill="auto"/>
            <w:noWrap/>
            <w:vAlign w:val="center"/>
            <w:hideMark/>
          </w:tcPr>
          <w:p w14:paraId="068F32EC"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258 029,0</w:t>
            </w:r>
          </w:p>
        </w:tc>
        <w:tc>
          <w:tcPr>
            <w:tcW w:w="588" w:type="dxa"/>
            <w:tcBorders>
              <w:top w:val="nil"/>
              <w:left w:val="nil"/>
              <w:bottom w:val="single" w:sz="8" w:space="0" w:color="auto"/>
              <w:right w:val="single" w:sz="8" w:space="0" w:color="auto"/>
            </w:tcBorders>
            <w:shd w:val="clear" w:color="000000" w:fill="FCF6F9"/>
            <w:noWrap/>
            <w:vAlign w:val="center"/>
            <w:hideMark/>
          </w:tcPr>
          <w:p w14:paraId="3EA130DF"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14,1%</w:t>
            </w:r>
          </w:p>
        </w:tc>
      </w:tr>
      <w:tr w:rsidR="00954688" w:rsidRPr="00CC6C49" w14:paraId="5402956A" w14:textId="77777777" w:rsidTr="000C49A5">
        <w:trPr>
          <w:trHeight w:val="31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5477D35C" w14:textId="77777777" w:rsidR="00954688" w:rsidRPr="00CC6C49" w:rsidRDefault="00954688" w:rsidP="000C49A5">
            <w:pPr>
              <w:spacing w:before="0"/>
              <w:jc w:val="lef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Kapitálové příjmy</w:t>
            </w:r>
          </w:p>
        </w:tc>
        <w:tc>
          <w:tcPr>
            <w:tcW w:w="992" w:type="dxa"/>
            <w:tcBorders>
              <w:top w:val="nil"/>
              <w:left w:val="nil"/>
              <w:bottom w:val="single" w:sz="8" w:space="0" w:color="auto"/>
              <w:right w:val="single" w:sz="8" w:space="0" w:color="auto"/>
            </w:tcBorders>
            <w:shd w:val="clear" w:color="auto" w:fill="auto"/>
            <w:noWrap/>
            <w:vAlign w:val="center"/>
            <w:hideMark/>
          </w:tcPr>
          <w:p w14:paraId="13F457AD" w14:textId="77777777" w:rsidR="00954688" w:rsidRPr="00CC6C49" w:rsidRDefault="00954688" w:rsidP="000C49A5">
            <w:pPr>
              <w:spacing w:before="0"/>
              <w:ind w:left="-7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31 215,3</w:t>
            </w:r>
          </w:p>
        </w:tc>
        <w:tc>
          <w:tcPr>
            <w:tcW w:w="588" w:type="dxa"/>
            <w:tcBorders>
              <w:top w:val="nil"/>
              <w:left w:val="nil"/>
              <w:bottom w:val="single" w:sz="8" w:space="0" w:color="auto"/>
              <w:right w:val="single" w:sz="8" w:space="0" w:color="auto"/>
            </w:tcBorders>
            <w:shd w:val="clear" w:color="000000" w:fill="5A8AC6"/>
            <w:noWrap/>
            <w:vAlign w:val="center"/>
            <w:hideMark/>
          </w:tcPr>
          <w:p w14:paraId="1FD446DD"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2,1%</w:t>
            </w:r>
          </w:p>
        </w:tc>
        <w:tc>
          <w:tcPr>
            <w:tcW w:w="971" w:type="dxa"/>
            <w:tcBorders>
              <w:top w:val="nil"/>
              <w:left w:val="nil"/>
              <w:bottom w:val="single" w:sz="8" w:space="0" w:color="auto"/>
              <w:right w:val="single" w:sz="8" w:space="0" w:color="auto"/>
            </w:tcBorders>
            <w:shd w:val="clear" w:color="auto" w:fill="auto"/>
            <w:noWrap/>
            <w:vAlign w:val="center"/>
            <w:hideMark/>
          </w:tcPr>
          <w:p w14:paraId="2DAF5CE9"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20 684,4</w:t>
            </w:r>
          </w:p>
        </w:tc>
        <w:tc>
          <w:tcPr>
            <w:tcW w:w="588" w:type="dxa"/>
            <w:tcBorders>
              <w:top w:val="nil"/>
              <w:left w:val="nil"/>
              <w:bottom w:val="single" w:sz="8" w:space="0" w:color="auto"/>
              <w:right w:val="single" w:sz="8" w:space="0" w:color="auto"/>
            </w:tcBorders>
            <w:shd w:val="clear" w:color="000000" w:fill="5A8AC6"/>
            <w:noWrap/>
            <w:vAlign w:val="center"/>
            <w:hideMark/>
          </w:tcPr>
          <w:p w14:paraId="3B8C1B34"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1,4%</w:t>
            </w:r>
          </w:p>
        </w:tc>
        <w:tc>
          <w:tcPr>
            <w:tcW w:w="971" w:type="dxa"/>
            <w:tcBorders>
              <w:top w:val="nil"/>
              <w:left w:val="nil"/>
              <w:bottom w:val="single" w:sz="8" w:space="0" w:color="auto"/>
              <w:right w:val="single" w:sz="8" w:space="0" w:color="auto"/>
            </w:tcBorders>
            <w:shd w:val="clear" w:color="auto" w:fill="auto"/>
            <w:noWrap/>
            <w:vAlign w:val="center"/>
            <w:hideMark/>
          </w:tcPr>
          <w:p w14:paraId="08FC7B73"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12 679,3</w:t>
            </w:r>
          </w:p>
        </w:tc>
        <w:tc>
          <w:tcPr>
            <w:tcW w:w="588" w:type="dxa"/>
            <w:tcBorders>
              <w:top w:val="nil"/>
              <w:left w:val="nil"/>
              <w:bottom w:val="single" w:sz="8" w:space="0" w:color="auto"/>
              <w:right w:val="single" w:sz="8" w:space="0" w:color="auto"/>
            </w:tcBorders>
            <w:shd w:val="clear" w:color="000000" w:fill="5A8AC6"/>
            <w:noWrap/>
            <w:vAlign w:val="center"/>
            <w:hideMark/>
          </w:tcPr>
          <w:p w14:paraId="5918B149"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0,8%</w:t>
            </w:r>
          </w:p>
        </w:tc>
        <w:tc>
          <w:tcPr>
            <w:tcW w:w="971" w:type="dxa"/>
            <w:tcBorders>
              <w:top w:val="nil"/>
              <w:left w:val="nil"/>
              <w:bottom w:val="single" w:sz="8" w:space="0" w:color="auto"/>
              <w:right w:val="single" w:sz="8" w:space="0" w:color="auto"/>
            </w:tcBorders>
            <w:shd w:val="clear" w:color="auto" w:fill="auto"/>
            <w:noWrap/>
            <w:vAlign w:val="center"/>
            <w:hideMark/>
          </w:tcPr>
          <w:p w14:paraId="23561470"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13 647,1</w:t>
            </w:r>
          </w:p>
        </w:tc>
        <w:tc>
          <w:tcPr>
            <w:tcW w:w="588" w:type="dxa"/>
            <w:tcBorders>
              <w:top w:val="nil"/>
              <w:left w:val="nil"/>
              <w:bottom w:val="single" w:sz="8" w:space="0" w:color="auto"/>
              <w:right w:val="single" w:sz="8" w:space="0" w:color="auto"/>
            </w:tcBorders>
            <w:shd w:val="clear" w:color="000000" w:fill="5A8AC6"/>
            <w:noWrap/>
            <w:vAlign w:val="center"/>
            <w:hideMark/>
          </w:tcPr>
          <w:p w14:paraId="385ADB23"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0,8%</w:t>
            </w:r>
          </w:p>
        </w:tc>
        <w:tc>
          <w:tcPr>
            <w:tcW w:w="972" w:type="dxa"/>
            <w:tcBorders>
              <w:top w:val="nil"/>
              <w:left w:val="nil"/>
              <w:bottom w:val="single" w:sz="8" w:space="0" w:color="auto"/>
              <w:right w:val="single" w:sz="8" w:space="0" w:color="auto"/>
            </w:tcBorders>
            <w:shd w:val="clear" w:color="auto" w:fill="auto"/>
            <w:noWrap/>
            <w:vAlign w:val="center"/>
            <w:hideMark/>
          </w:tcPr>
          <w:p w14:paraId="1095AE60"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24 443,8</w:t>
            </w:r>
          </w:p>
        </w:tc>
        <w:tc>
          <w:tcPr>
            <w:tcW w:w="588" w:type="dxa"/>
            <w:tcBorders>
              <w:top w:val="nil"/>
              <w:left w:val="nil"/>
              <w:bottom w:val="single" w:sz="8" w:space="0" w:color="auto"/>
              <w:right w:val="single" w:sz="8" w:space="0" w:color="auto"/>
            </w:tcBorders>
            <w:shd w:val="clear" w:color="000000" w:fill="5A8AC6"/>
            <w:noWrap/>
            <w:vAlign w:val="center"/>
            <w:hideMark/>
          </w:tcPr>
          <w:p w14:paraId="594F587D"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1,3%</w:t>
            </w:r>
          </w:p>
        </w:tc>
      </w:tr>
      <w:tr w:rsidR="00954688" w:rsidRPr="00CC6C49" w14:paraId="3934BB54" w14:textId="77777777" w:rsidTr="000C49A5">
        <w:trPr>
          <w:trHeight w:val="31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022AF3D4" w14:textId="77777777" w:rsidR="00954688" w:rsidRPr="00CC6C49" w:rsidRDefault="00954688" w:rsidP="000C49A5">
            <w:pPr>
              <w:spacing w:before="0"/>
              <w:jc w:val="lef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Finanční transfery</w:t>
            </w:r>
          </w:p>
        </w:tc>
        <w:tc>
          <w:tcPr>
            <w:tcW w:w="992" w:type="dxa"/>
            <w:tcBorders>
              <w:top w:val="nil"/>
              <w:left w:val="nil"/>
              <w:bottom w:val="single" w:sz="8" w:space="0" w:color="auto"/>
              <w:right w:val="single" w:sz="8" w:space="0" w:color="auto"/>
            </w:tcBorders>
            <w:shd w:val="clear" w:color="auto" w:fill="auto"/>
            <w:noWrap/>
            <w:vAlign w:val="center"/>
            <w:hideMark/>
          </w:tcPr>
          <w:p w14:paraId="44D8CA35" w14:textId="77777777" w:rsidR="00954688" w:rsidRPr="00CC6C49" w:rsidRDefault="00954688" w:rsidP="000C49A5">
            <w:pPr>
              <w:spacing w:before="0"/>
              <w:ind w:left="-7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165 761,5</w:t>
            </w:r>
          </w:p>
        </w:tc>
        <w:tc>
          <w:tcPr>
            <w:tcW w:w="588" w:type="dxa"/>
            <w:tcBorders>
              <w:top w:val="nil"/>
              <w:left w:val="nil"/>
              <w:bottom w:val="single" w:sz="8" w:space="0" w:color="auto"/>
              <w:right w:val="single" w:sz="8" w:space="0" w:color="auto"/>
            </w:tcBorders>
            <w:shd w:val="clear" w:color="000000" w:fill="D5E1F1"/>
            <w:noWrap/>
            <w:vAlign w:val="center"/>
            <w:hideMark/>
          </w:tcPr>
          <w:p w14:paraId="4BD223F4"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11,1%</w:t>
            </w:r>
          </w:p>
        </w:tc>
        <w:tc>
          <w:tcPr>
            <w:tcW w:w="971" w:type="dxa"/>
            <w:tcBorders>
              <w:top w:val="nil"/>
              <w:left w:val="nil"/>
              <w:bottom w:val="single" w:sz="8" w:space="0" w:color="auto"/>
              <w:right w:val="single" w:sz="8" w:space="0" w:color="auto"/>
            </w:tcBorders>
            <w:shd w:val="clear" w:color="auto" w:fill="auto"/>
            <w:noWrap/>
            <w:vAlign w:val="center"/>
            <w:hideMark/>
          </w:tcPr>
          <w:p w14:paraId="57BA2A2C"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110 047,0</w:t>
            </w:r>
          </w:p>
        </w:tc>
        <w:tc>
          <w:tcPr>
            <w:tcW w:w="588" w:type="dxa"/>
            <w:tcBorders>
              <w:top w:val="nil"/>
              <w:left w:val="nil"/>
              <w:bottom w:val="single" w:sz="8" w:space="0" w:color="auto"/>
              <w:right w:val="single" w:sz="8" w:space="0" w:color="auto"/>
            </w:tcBorders>
            <w:shd w:val="clear" w:color="000000" w:fill="B3C8E5"/>
            <w:noWrap/>
            <w:vAlign w:val="center"/>
            <w:hideMark/>
          </w:tcPr>
          <w:p w14:paraId="1BF0AE5B" w14:textId="77777777" w:rsidR="00954688" w:rsidRPr="00CC6C49" w:rsidRDefault="00954688" w:rsidP="000C49A5">
            <w:pPr>
              <w:spacing w:before="0"/>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7,3%</w:t>
            </w:r>
          </w:p>
        </w:tc>
        <w:tc>
          <w:tcPr>
            <w:tcW w:w="971" w:type="dxa"/>
            <w:tcBorders>
              <w:top w:val="nil"/>
              <w:left w:val="nil"/>
              <w:bottom w:val="single" w:sz="8" w:space="0" w:color="auto"/>
              <w:right w:val="single" w:sz="8" w:space="0" w:color="auto"/>
            </w:tcBorders>
            <w:shd w:val="clear" w:color="auto" w:fill="auto"/>
            <w:noWrap/>
            <w:vAlign w:val="center"/>
            <w:hideMark/>
          </w:tcPr>
          <w:p w14:paraId="7B5DA0C3"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142 822,1</w:t>
            </w:r>
          </w:p>
        </w:tc>
        <w:tc>
          <w:tcPr>
            <w:tcW w:w="588" w:type="dxa"/>
            <w:tcBorders>
              <w:top w:val="nil"/>
              <w:left w:val="nil"/>
              <w:bottom w:val="single" w:sz="8" w:space="0" w:color="auto"/>
              <w:right w:val="single" w:sz="8" w:space="0" w:color="auto"/>
            </w:tcBorders>
            <w:shd w:val="clear" w:color="000000" w:fill="D2DEF0"/>
            <w:noWrap/>
            <w:vAlign w:val="center"/>
            <w:hideMark/>
          </w:tcPr>
          <w:p w14:paraId="51ED5286"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8,9%</w:t>
            </w:r>
          </w:p>
        </w:tc>
        <w:tc>
          <w:tcPr>
            <w:tcW w:w="971" w:type="dxa"/>
            <w:tcBorders>
              <w:top w:val="nil"/>
              <w:left w:val="nil"/>
              <w:bottom w:val="single" w:sz="8" w:space="0" w:color="auto"/>
              <w:right w:val="single" w:sz="8" w:space="0" w:color="auto"/>
            </w:tcBorders>
            <w:shd w:val="clear" w:color="auto" w:fill="auto"/>
            <w:noWrap/>
            <w:vAlign w:val="center"/>
            <w:hideMark/>
          </w:tcPr>
          <w:p w14:paraId="1883B7EC"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204 492,0</w:t>
            </w:r>
          </w:p>
        </w:tc>
        <w:tc>
          <w:tcPr>
            <w:tcW w:w="588" w:type="dxa"/>
            <w:tcBorders>
              <w:top w:val="nil"/>
              <w:left w:val="nil"/>
              <w:bottom w:val="single" w:sz="8" w:space="0" w:color="auto"/>
              <w:right w:val="single" w:sz="8" w:space="0" w:color="auto"/>
            </w:tcBorders>
            <w:shd w:val="clear" w:color="000000" w:fill="EAEFF8"/>
            <w:noWrap/>
            <w:vAlign w:val="center"/>
            <w:hideMark/>
          </w:tcPr>
          <w:p w14:paraId="10339907"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11,6%</w:t>
            </w:r>
          </w:p>
        </w:tc>
        <w:tc>
          <w:tcPr>
            <w:tcW w:w="972" w:type="dxa"/>
            <w:tcBorders>
              <w:top w:val="nil"/>
              <w:left w:val="nil"/>
              <w:bottom w:val="single" w:sz="8" w:space="0" w:color="auto"/>
              <w:right w:val="single" w:sz="8" w:space="0" w:color="auto"/>
            </w:tcBorders>
            <w:shd w:val="clear" w:color="auto" w:fill="auto"/>
            <w:noWrap/>
            <w:vAlign w:val="center"/>
            <w:hideMark/>
          </w:tcPr>
          <w:p w14:paraId="26824F2D"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155 209,4</w:t>
            </w:r>
          </w:p>
        </w:tc>
        <w:tc>
          <w:tcPr>
            <w:tcW w:w="588" w:type="dxa"/>
            <w:tcBorders>
              <w:top w:val="nil"/>
              <w:left w:val="nil"/>
              <w:bottom w:val="single" w:sz="8" w:space="0" w:color="auto"/>
              <w:right w:val="single" w:sz="8" w:space="0" w:color="auto"/>
            </w:tcBorders>
            <w:shd w:val="clear" w:color="000000" w:fill="CEDBEE"/>
            <w:noWrap/>
            <w:vAlign w:val="center"/>
            <w:hideMark/>
          </w:tcPr>
          <w:p w14:paraId="70243C93" w14:textId="77777777" w:rsidR="00954688" w:rsidRPr="00CC6C49" w:rsidRDefault="00954688" w:rsidP="000C49A5">
            <w:pPr>
              <w:spacing w:before="0"/>
              <w:ind w:left="-91"/>
              <w:jc w:val="right"/>
              <w:rPr>
                <w:rFonts w:ascii="Calibri" w:eastAsia="Times New Roman" w:hAnsi="Calibri" w:cs="Calibri"/>
                <w:color w:val="000000"/>
                <w:sz w:val="18"/>
                <w:szCs w:val="18"/>
                <w:lang w:eastAsia="cs-CZ"/>
              </w:rPr>
            </w:pPr>
            <w:r w:rsidRPr="00CC6C49">
              <w:rPr>
                <w:rFonts w:ascii="Calibri" w:eastAsia="Times New Roman" w:hAnsi="Calibri" w:cs="Calibri"/>
                <w:color w:val="000000"/>
                <w:sz w:val="18"/>
                <w:szCs w:val="18"/>
                <w:lang w:eastAsia="cs-CZ"/>
              </w:rPr>
              <w:t>8,5%</w:t>
            </w:r>
          </w:p>
        </w:tc>
      </w:tr>
      <w:tr w:rsidR="00954688" w:rsidRPr="00CC6C49" w14:paraId="6F0AA9B5" w14:textId="77777777" w:rsidTr="000C49A5">
        <w:trPr>
          <w:trHeight w:val="31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37035CF5" w14:textId="77777777" w:rsidR="00954688" w:rsidRPr="00CC6C49" w:rsidRDefault="00954688" w:rsidP="000C49A5">
            <w:pPr>
              <w:spacing w:before="0"/>
              <w:jc w:val="lef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Celkem</w:t>
            </w:r>
          </w:p>
        </w:tc>
        <w:tc>
          <w:tcPr>
            <w:tcW w:w="992" w:type="dxa"/>
            <w:tcBorders>
              <w:top w:val="nil"/>
              <w:left w:val="nil"/>
              <w:bottom w:val="single" w:sz="8" w:space="0" w:color="auto"/>
              <w:right w:val="single" w:sz="8" w:space="0" w:color="auto"/>
            </w:tcBorders>
            <w:shd w:val="clear" w:color="auto" w:fill="auto"/>
            <w:noWrap/>
            <w:vAlign w:val="center"/>
            <w:hideMark/>
          </w:tcPr>
          <w:p w14:paraId="1711FBDF" w14:textId="77777777" w:rsidR="00954688" w:rsidRPr="00CC6C49" w:rsidRDefault="00954688" w:rsidP="000C49A5">
            <w:pPr>
              <w:spacing w:before="0"/>
              <w:ind w:left="-70"/>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1 490 825,1</w:t>
            </w:r>
          </w:p>
        </w:tc>
        <w:tc>
          <w:tcPr>
            <w:tcW w:w="588" w:type="dxa"/>
            <w:tcBorders>
              <w:top w:val="nil"/>
              <w:left w:val="nil"/>
              <w:bottom w:val="single" w:sz="8" w:space="0" w:color="auto"/>
              <w:right w:val="single" w:sz="8" w:space="0" w:color="auto"/>
            </w:tcBorders>
            <w:shd w:val="clear" w:color="auto" w:fill="auto"/>
            <w:noWrap/>
            <w:vAlign w:val="center"/>
            <w:hideMark/>
          </w:tcPr>
          <w:p w14:paraId="27F85DD3" w14:textId="77777777" w:rsidR="00954688" w:rsidRPr="00CC6C49" w:rsidRDefault="00954688" w:rsidP="000C49A5">
            <w:pPr>
              <w:spacing w:before="0"/>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100%</w:t>
            </w:r>
          </w:p>
        </w:tc>
        <w:tc>
          <w:tcPr>
            <w:tcW w:w="971" w:type="dxa"/>
            <w:tcBorders>
              <w:top w:val="nil"/>
              <w:left w:val="nil"/>
              <w:bottom w:val="single" w:sz="8" w:space="0" w:color="auto"/>
              <w:right w:val="single" w:sz="8" w:space="0" w:color="auto"/>
            </w:tcBorders>
            <w:shd w:val="clear" w:color="auto" w:fill="auto"/>
            <w:noWrap/>
            <w:vAlign w:val="center"/>
            <w:hideMark/>
          </w:tcPr>
          <w:p w14:paraId="7E3429E3" w14:textId="77777777" w:rsidR="00954688" w:rsidRPr="00CC6C49" w:rsidRDefault="00954688" w:rsidP="000C49A5">
            <w:pPr>
              <w:spacing w:before="0"/>
              <w:ind w:left="-91"/>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1 516 207,2</w:t>
            </w:r>
          </w:p>
        </w:tc>
        <w:tc>
          <w:tcPr>
            <w:tcW w:w="588" w:type="dxa"/>
            <w:tcBorders>
              <w:top w:val="nil"/>
              <w:left w:val="nil"/>
              <w:bottom w:val="single" w:sz="8" w:space="0" w:color="auto"/>
              <w:right w:val="single" w:sz="8" w:space="0" w:color="auto"/>
            </w:tcBorders>
            <w:shd w:val="clear" w:color="auto" w:fill="auto"/>
            <w:noWrap/>
            <w:vAlign w:val="center"/>
            <w:hideMark/>
          </w:tcPr>
          <w:p w14:paraId="3237D92F" w14:textId="77777777" w:rsidR="00954688" w:rsidRPr="00CC6C49" w:rsidRDefault="00954688" w:rsidP="000C49A5">
            <w:pPr>
              <w:spacing w:before="0"/>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100%</w:t>
            </w:r>
          </w:p>
        </w:tc>
        <w:tc>
          <w:tcPr>
            <w:tcW w:w="971" w:type="dxa"/>
            <w:tcBorders>
              <w:top w:val="nil"/>
              <w:left w:val="nil"/>
              <w:bottom w:val="single" w:sz="8" w:space="0" w:color="auto"/>
              <w:right w:val="single" w:sz="8" w:space="0" w:color="auto"/>
            </w:tcBorders>
            <w:shd w:val="clear" w:color="auto" w:fill="auto"/>
            <w:noWrap/>
            <w:vAlign w:val="center"/>
            <w:hideMark/>
          </w:tcPr>
          <w:p w14:paraId="2393B352" w14:textId="77777777" w:rsidR="00954688" w:rsidRPr="00CC6C49" w:rsidRDefault="00954688" w:rsidP="000C49A5">
            <w:pPr>
              <w:spacing w:before="0"/>
              <w:ind w:left="-91"/>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1 596 779,6</w:t>
            </w:r>
          </w:p>
        </w:tc>
        <w:tc>
          <w:tcPr>
            <w:tcW w:w="588" w:type="dxa"/>
            <w:tcBorders>
              <w:top w:val="nil"/>
              <w:left w:val="nil"/>
              <w:bottom w:val="single" w:sz="8" w:space="0" w:color="auto"/>
              <w:right w:val="single" w:sz="8" w:space="0" w:color="auto"/>
            </w:tcBorders>
            <w:shd w:val="clear" w:color="auto" w:fill="auto"/>
            <w:noWrap/>
            <w:vAlign w:val="center"/>
            <w:hideMark/>
          </w:tcPr>
          <w:p w14:paraId="7453230F" w14:textId="77777777" w:rsidR="00954688" w:rsidRPr="00CC6C49" w:rsidRDefault="00954688" w:rsidP="000C49A5">
            <w:pPr>
              <w:spacing w:before="0"/>
              <w:ind w:left="-91"/>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100%</w:t>
            </w:r>
          </w:p>
        </w:tc>
        <w:tc>
          <w:tcPr>
            <w:tcW w:w="971" w:type="dxa"/>
            <w:tcBorders>
              <w:top w:val="nil"/>
              <w:left w:val="nil"/>
              <w:bottom w:val="single" w:sz="8" w:space="0" w:color="auto"/>
              <w:right w:val="single" w:sz="8" w:space="0" w:color="auto"/>
            </w:tcBorders>
            <w:shd w:val="clear" w:color="auto" w:fill="auto"/>
            <w:noWrap/>
            <w:vAlign w:val="center"/>
            <w:hideMark/>
          </w:tcPr>
          <w:p w14:paraId="3474E139" w14:textId="77777777" w:rsidR="00954688" w:rsidRPr="00CC6C49" w:rsidRDefault="00954688" w:rsidP="000C49A5">
            <w:pPr>
              <w:spacing w:before="0"/>
              <w:ind w:left="-91"/>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1 763 862,4</w:t>
            </w:r>
          </w:p>
        </w:tc>
        <w:tc>
          <w:tcPr>
            <w:tcW w:w="588" w:type="dxa"/>
            <w:tcBorders>
              <w:top w:val="nil"/>
              <w:left w:val="nil"/>
              <w:bottom w:val="single" w:sz="8" w:space="0" w:color="auto"/>
              <w:right w:val="single" w:sz="8" w:space="0" w:color="auto"/>
            </w:tcBorders>
            <w:shd w:val="clear" w:color="auto" w:fill="auto"/>
            <w:noWrap/>
            <w:vAlign w:val="center"/>
            <w:hideMark/>
          </w:tcPr>
          <w:p w14:paraId="02F11B68" w14:textId="77777777" w:rsidR="00954688" w:rsidRPr="00CC6C49" w:rsidRDefault="00954688" w:rsidP="000C49A5">
            <w:pPr>
              <w:spacing w:before="0"/>
              <w:ind w:left="-91"/>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100%</w:t>
            </w:r>
          </w:p>
        </w:tc>
        <w:tc>
          <w:tcPr>
            <w:tcW w:w="972" w:type="dxa"/>
            <w:tcBorders>
              <w:top w:val="nil"/>
              <w:left w:val="nil"/>
              <w:bottom w:val="single" w:sz="8" w:space="0" w:color="auto"/>
              <w:right w:val="single" w:sz="8" w:space="0" w:color="auto"/>
            </w:tcBorders>
            <w:shd w:val="clear" w:color="auto" w:fill="auto"/>
            <w:noWrap/>
            <w:vAlign w:val="center"/>
            <w:hideMark/>
          </w:tcPr>
          <w:p w14:paraId="76B51422" w14:textId="77777777" w:rsidR="00954688" w:rsidRPr="00CC6C49" w:rsidRDefault="00954688" w:rsidP="000C49A5">
            <w:pPr>
              <w:spacing w:before="0"/>
              <w:ind w:left="-91"/>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1 830 887,6</w:t>
            </w:r>
          </w:p>
        </w:tc>
        <w:tc>
          <w:tcPr>
            <w:tcW w:w="588" w:type="dxa"/>
            <w:tcBorders>
              <w:top w:val="nil"/>
              <w:left w:val="nil"/>
              <w:bottom w:val="single" w:sz="8" w:space="0" w:color="auto"/>
              <w:right w:val="single" w:sz="8" w:space="0" w:color="auto"/>
            </w:tcBorders>
            <w:shd w:val="clear" w:color="auto" w:fill="auto"/>
            <w:noWrap/>
            <w:vAlign w:val="center"/>
            <w:hideMark/>
          </w:tcPr>
          <w:p w14:paraId="1BD254C4" w14:textId="77777777" w:rsidR="00954688" w:rsidRPr="00CC6C49" w:rsidRDefault="00954688" w:rsidP="000C49A5">
            <w:pPr>
              <w:spacing w:before="0"/>
              <w:ind w:left="-91"/>
              <w:jc w:val="right"/>
              <w:rPr>
                <w:rFonts w:ascii="Calibri" w:eastAsia="Times New Roman" w:hAnsi="Calibri" w:cs="Calibri"/>
                <w:b/>
                <w:bCs/>
                <w:color w:val="000000"/>
                <w:sz w:val="18"/>
                <w:szCs w:val="18"/>
                <w:lang w:eastAsia="cs-CZ"/>
              </w:rPr>
            </w:pPr>
            <w:r w:rsidRPr="00CC6C49">
              <w:rPr>
                <w:rFonts w:ascii="Calibri" w:eastAsia="Times New Roman" w:hAnsi="Calibri" w:cs="Calibri"/>
                <w:b/>
                <w:bCs/>
                <w:color w:val="000000"/>
                <w:sz w:val="18"/>
                <w:szCs w:val="18"/>
                <w:lang w:eastAsia="cs-CZ"/>
              </w:rPr>
              <w:t>100%</w:t>
            </w:r>
          </w:p>
        </w:tc>
      </w:tr>
    </w:tbl>
    <w:p w14:paraId="071D820A" w14:textId="31E1B764" w:rsidR="00954688" w:rsidRPr="00CC6C49" w:rsidRDefault="00954688" w:rsidP="00954688">
      <w:pPr>
        <w:keepNext/>
        <w:spacing w:before="60"/>
        <w:rPr>
          <w:rFonts w:cstheme="minorHAnsi"/>
          <w:i/>
          <w:sz w:val="18"/>
          <w:szCs w:val="18"/>
          <w:highlight w:val="yellow"/>
        </w:rPr>
      </w:pPr>
      <w:r w:rsidRPr="00CC6C49">
        <w:rPr>
          <w:rFonts w:cstheme="minorHAnsi"/>
          <w:i/>
          <w:sz w:val="18"/>
          <w:szCs w:val="18"/>
        </w:rPr>
        <w:t xml:space="preserve">Zdroj: Rozpočet, </w:t>
      </w:r>
      <w:r>
        <w:rPr>
          <w:rFonts w:cstheme="minorHAnsi"/>
          <w:i/>
          <w:sz w:val="18"/>
          <w:szCs w:val="18"/>
        </w:rPr>
        <w:t>P</w:t>
      </w:r>
      <w:r w:rsidRPr="00CC6C49">
        <w:rPr>
          <w:rFonts w:cstheme="minorHAnsi"/>
          <w:i/>
          <w:sz w:val="18"/>
          <w:szCs w:val="18"/>
        </w:rPr>
        <w:t>říjmy za rok 2015</w:t>
      </w:r>
      <w:r>
        <w:rPr>
          <w:rFonts w:cstheme="minorHAnsi"/>
          <w:i/>
          <w:sz w:val="18"/>
          <w:szCs w:val="18"/>
        </w:rPr>
        <w:t xml:space="preserve"> </w:t>
      </w:r>
      <w:r w:rsidR="00A832B4">
        <w:rPr>
          <w:rFonts w:cstheme="minorHAnsi"/>
          <w:i/>
          <w:sz w:val="18"/>
          <w:szCs w:val="18"/>
        </w:rPr>
        <w:t>–</w:t>
      </w:r>
      <w:r>
        <w:rPr>
          <w:rFonts w:cstheme="minorHAnsi"/>
          <w:i/>
          <w:sz w:val="18"/>
          <w:szCs w:val="18"/>
        </w:rPr>
        <w:t xml:space="preserve"> 2019</w:t>
      </w:r>
      <w:r w:rsidR="00A832B4">
        <w:rPr>
          <w:rFonts w:cstheme="minorHAnsi"/>
          <w:i/>
          <w:sz w:val="18"/>
          <w:szCs w:val="18"/>
        </w:rPr>
        <w:t>.</w:t>
      </w:r>
    </w:p>
    <w:p w14:paraId="121261B9" w14:textId="77777777" w:rsidR="00954688" w:rsidRPr="000862D6" w:rsidRDefault="00954688" w:rsidP="00954688">
      <w:pPr>
        <w:keepNext/>
        <w:spacing w:before="240"/>
        <w:rPr>
          <w:rFonts w:cstheme="minorHAnsi"/>
          <w:b/>
          <w:color w:val="000000" w:themeColor="text1"/>
        </w:rPr>
      </w:pPr>
      <w:bookmarkStart w:id="491" w:name="_Toc436288415"/>
      <w:r w:rsidRPr="000862D6">
        <w:rPr>
          <w:rFonts w:cstheme="minorHAnsi"/>
          <w:b/>
          <w:color w:val="000000" w:themeColor="text1"/>
        </w:rPr>
        <w:t>Výdaje rozpočtu</w:t>
      </w:r>
      <w:bookmarkEnd w:id="491"/>
    </w:p>
    <w:p w14:paraId="663BB080" w14:textId="4DEC3B13" w:rsidR="00954688" w:rsidRPr="000862D6" w:rsidRDefault="00954688" w:rsidP="00954688">
      <w:pPr>
        <w:rPr>
          <w:rFonts w:cstheme="minorHAnsi"/>
        </w:rPr>
      </w:pPr>
      <w:r w:rsidRPr="000862D6">
        <w:rPr>
          <w:rFonts w:cstheme="minorHAnsi"/>
        </w:rPr>
        <w:t>Výdaje města Zlín se v posledních pěti letech pohybovaly v rozmezí cca 1 523 – 1 791 mil. Kč. V roce 2019 činily celkové výdaje města 1 791 mil. Kč, což bylo o 267 mil. Kč více než v roce než v roce 2015. Největší podíl celkových výdajů města je dlouhodobě směřován zejména do oblasti dopravy. Další významnou oblastí, do které byly alokovány finanční zdroje, je oblast Státní moc, státní správa, územní samospráva a politické strany a následně Bydlení, komunální služby a územní rozvoj. Srovnání největších výdajů n</w:t>
      </w:r>
      <w:r w:rsidR="00A832B4">
        <w:rPr>
          <w:rFonts w:cstheme="minorHAnsi"/>
        </w:rPr>
        <w:t>a</w:t>
      </w:r>
      <w:r w:rsidRPr="000862D6">
        <w:rPr>
          <w:rFonts w:cstheme="minorHAnsi"/>
        </w:rPr>
        <w:t xml:space="preserve"> dané oblasti z rozpočtu města v letech 2015</w:t>
      </w:r>
      <w:r w:rsidR="00EC22C4">
        <w:rPr>
          <w:rFonts w:cstheme="minorHAnsi"/>
        </w:rPr>
        <w:t xml:space="preserve"> </w:t>
      </w:r>
      <w:r w:rsidR="00EC22C4">
        <w:rPr>
          <w:rFonts w:cstheme="minorHAnsi"/>
        </w:rPr>
        <w:sym w:font="Symbol" w:char="F02D"/>
      </w:r>
      <w:r w:rsidR="00EC22C4">
        <w:rPr>
          <w:rFonts w:cstheme="minorHAnsi"/>
        </w:rPr>
        <w:t xml:space="preserve"> </w:t>
      </w:r>
      <w:r w:rsidRPr="000862D6">
        <w:rPr>
          <w:rFonts w:cstheme="minorHAnsi"/>
        </w:rPr>
        <w:t>2019 udává graf na </w:t>
      </w:r>
      <w:r>
        <w:rPr>
          <w:rFonts w:cstheme="minorHAnsi"/>
        </w:rPr>
        <w:t>obrázku</w:t>
      </w:r>
      <w:r w:rsidR="003C47B2">
        <w:rPr>
          <w:rFonts w:cstheme="minorHAnsi"/>
        </w:rPr>
        <w:t xml:space="preserve"> 1.100</w:t>
      </w:r>
      <w:r>
        <w:rPr>
          <w:rFonts w:cstheme="minorHAnsi"/>
        </w:rPr>
        <w:t>.</w:t>
      </w:r>
    </w:p>
    <w:p w14:paraId="1AEF047B" w14:textId="5A70EF1C" w:rsidR="00954688" w:rsidRPr="000862D6" w:rsidRDefault="00954688" w:rsidP="00954688">
      <w:pPr>
        <w:pStyle w:val="Titulek"/>
        <w:rPr>
          <w:rFonts w:cstheme="minorHAnsi"/>
        </w:rPr>
      </w:pPr>
      <w:bookmarkStart w:id="492" w:name="_Toc53066212"/>
      <w:bookmarkStart w:id="493" w:name="_Toc7707491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100</w:t>
      </w:r>
      <w:r w:rsidR="00804AF3">
        <w:rPr>
          <w:noProof/>
        </w:rPr>
        <w:fldChar w:fldCharType="end"/>
      </w:r>
      <w:r w:rsidR="00EC22C4">
        <w:rPr>
          <w:noProof/>
        </w:rPr>
        <w:t>:</w:t>
      </w:r>
      <w:r>
        <w:t xml:space="preserve"> </w:t>
      </w:r>
      <w:r w:rsidRPr="000862D6">
        <w:rPr>
          <w:rFonts w:cstheme="minorHAnsi"/>
        </w:rPr>
        <w:t>Přehled největších výdajů města Zlína dle jednotlivých oblastí v letech 2015</w:t>
      </w:r>
      <w:r w:rsidR="00EC22C4">
        <w:rPr>
          <w:rFonts w:cstheme="minorHAnsi"/>
        </w:rPr>
        <w:t xml:space="preserve"> </w:t>
      </w:r>
      <w:r w:rsidRPr="000862D6">
        <w:rPr>
          <w:rFonts w:cstheme="minorHAnsi"/>
        </w:rPr>
        <w:t>–</w:t>
      </w:r>
      <w:r w:rsidR="00EC22C4">
        <w:rPr>
          <w:rFonts w:cstheme="minorHAnsi"/>
        </w:rPr>
        <w:t xml:space="preserve"> </w:t>
      </w:r>
      <w:r w:rsidRPr="000862D6">
        <w:rPr>
          <w:rFonts w:cstheme="minorHAnsi"/>
        </w:rPr>
        <w:t>2019</w:t>
      </w:r>
      <w:bookmarkEnd w:id="492"/>
      <w:bookmarkEnd w:id="493"/>
    </w:p>
    <w:p w14:paraId="5E8B9E53" w14:textId="77777777" w:rsidR="00954688" w:rsidRPr="000862D6" w:rsidRDefault="00954688" w:rsidP="00954688">
      <w:pPr>
        <w:pStyle w:val="Odstavecseseznamem"/>
        <w:ind w:left="0"/>
        <w:rPr>
          <w:rFonts w:cstheme="minorHAnsi"/>
          <w:noProof/>
          <w:lang w:eastAsia="cs-CZ"/>
        </w:rPr>
      </w:pPr>
      <w:r w:rsidRPr="000862D6">
        <w:rPr>
          <w:rFonts w:cstheme="minorHAnsi"/>
          <w:noProof/>
          <w:lang w:eastAsia="cs-CZ"/>
        </w:rPr>
        <w:drawing>
          <wp:inline distT="0" distB="0" distL="0" distR="0" wp14:anchorId="5787197B" wp14:editId="74E96D7B">
            <wp:extent cx="5773420" cy="2755900"/>
            <wp:effectExtent l="0" t="0" r="0" b="6350"/>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2D45C679" w14:textId="4151D0BE" w:rsidR="00954688" w:rsidRDefault="00954688" w:rsidP="00954688">
      <w:pPr>
        <w:keepNext/>
        <w:spacing w:before="60"/>
        <w:rPr>
          <w:rFonts w:cstheme="minorHAnsi"/>
          <w:i/>
          <w:sz w:val="18"/>
          <w:szCs w:val="18"/>
        </w:rPr>
      </w:pPr>
      <w:r w:rsidRPr="00CC6C49">
        <w:rPr>
          <w:rFonts w:cstheme="minorHAnsi"/>
          <w:i/>
          <w:sz w:val="18"/>
          <w:szCs w:val="18"/>
        </w:rPr>
        <w:t xml:space="preserve">Zdroj: Rozpočet, </w:t>
      </w:r>
      <w:r w:rsidRPr="000862D6">
        <w:rPr>
          <w:rFonts w:cstheme="minorHAnsi"/>
          <w:i/>
          <w:sz w:val="18"/>
          <w:szCs w:val="18"/>
        </w:rPr>
        <w:t>Přehled o hospodaření</w:t>
      </w:r>
      <w:r>
        <w:t xml:space="preserve"> </w:t>
      </w:r>
      <w:r w:rsidRPr="00CC6C49">
        <w:rPr>
          <w:rFonts w:cstheme="minorHAnsi"/>
          <w:i/>
          <w:sz w:val="18"/>
          <w:szCs w:val="18"/>
        </w:rPr>
        <w:t>2015</w:t>
      </w:r>
      <w:r>
        <w:rPr>
          <w:rFonts w:cstheme="minorHAnsi"/>
          <w:i/>
          <w:sz w:val="18"/>
          <w:szCs w:val="18"/>
        </w:rPr>
        <w:t xml:space="preserve"> – 2019</w:t>
      </w:r>
      <w:r w:rsidR="00EC22C4">
        <w:rPr>
          <w:rFonts w:cstheme="minorHAnsi"/>
          <w:i/>
          <w:sz w:val="18"/>
          <w:szCs w:val="18"/>
        </w:rPr>
        <w:t>.</w:t>
      </w:r>
    </w:p>
    <w:p w14:paraId="68DBCE25" w14:textId="77777777" w:rsidR="00954688" w:rsidRDefault="00954688" w:rsidP="00954688">
      <w:r>
        <w:t xml:space="preserve">Rozpočet města Zlína, zpracovaný přehlednou rozklikávací formou, je volně dostupný na internetovém odkaze </w:t>
      </w:r>
      <w:hyperlink r:id="rId151" w:history="1">
        <w:r w:rsidRPr="00126236">
          <w:rPr>
            <w:rStyle w:val="Hypertextovodkaz"/>
          </w:rPr>
          <w:t>http://rozpocet.zlin.eu/GReportViewer/index.html od roku 2013</w:t>
        </w:r>
      </w:hyperlink>
      <w:r>
        <w:t>.</w:t>
      </w:r>
    </w:p>
    <w:p w14:paraId="53805880" w14:textId="62E45E91" w:rsidR="00954688" w:rsidRDefault="00954688" w:rsidP="00954688">
      <w:r>
        <w:lastRenderedPageBreak/>
        <w:t xml:space="preserve">Z uvedených dat v obrázku </w:t>
      </w:r>
      <w:r w:rsidR="003C47B2">
        <w:t>1.101</w:t>
      </w:r>
      <w:r>
        <w:t xml:space="preserve"> lze konstatovat, že oproti sledovaným městům město Zlín poskytovalo v roce 2019 nejnižší prostředky do oblasti Vzdělávání a školské služby. Naopak směřuje více prostředků do oblasti Dopravy a Bydlení, komunitní služby a sdělovací prostředky.</w:t>
      </w:r>
    </w:p>
    <w:p w14:paraId="7DD01863" w14:textId="48A29CED" w:rsidR="00954688" w:rsidRPr="001F4B4B" w:rsidRDefault="00954688" w:rsidP="00954688">
      <w:pPr>
        <w:pStyle w:val="Titulek"/>
      </w:pPr>
      <w:bookmarkStart w:id="494" w:name="_Toc53066213"/>
      <w:bookmarkStart w:id="495" w:name="_Toc7707491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101</w:t>
      </w:r>
      <w:r w:rsidR="00804AF3">
        <w:rPr>
          <w:noProof/>
        </w:rPr>
        <w:fldChar w:fldCharType="end"/>
      </w:r>
      <w:r w:rsidR="00EC22C4">
        <w:rPr>
          <w:noProof/>
        </w:rPr>
        <w:t>:</w:t>
      </w:r>
      <w:r>
        <w:t xml:space="preserve"> </w:t>
      </w:r>
      <w:r w:rsidRPr="000862D6">
        <w:rPr>
          <w:rFonts w:cstheme="minorHAnsi"/>
        </w:rPr>
        <w:t>Přehled největších výdajů města Zlína dle jednotlivých oblastí</w:t>
      </w:r>
      <w:r>
        <w:rPr>
          <w:rFonts w:cstheme="minorHAnsi"/>
        </w:rPr>
        <w:t xml:space="preserve"> přepočtený na 1</w:t>
      </w:r>
      <w:r w:rsidR="00EC22C4">
        <w:rPr>
          <w:rFonts w:cstheme="minorHAnsi"/>
        </w:rPr>
        <w:t xml:space="preserve"> </w:t>
      </w:r>
      <w:r>
        <w:rPr>
          <w:rFonts w:cstheme="minorHAnsi"/>
        </w:rPr>
        <w:t>000 obyvatel</w:t>
      </w:r>
      <w:r w:rsidRPr="000862D6">
        <w:rPr>
          <w:rFonts w:cstheme="minorHAnsi"/>
        </w:rPr>
        <w:t xml:space="preserve"> v</w:t>
      </w:r>
      <w:r>
        <w:rPr>
          <w:rFonts w:cstheme="minorHAnsi"/>
        </w:rPr>
        <w:t xml:space="preserve"> porovnání se sledovanými městy v roce </w:t>
      </w:r>
      <w:r w:rsidRPr="000862D6">
        <w:rPr>
          <w:rFonts w:cstheme="minorHAnsi"/>
        </w:rPr>
        <w:t>2019</w:t>
      </w:r>
      <w:bookmarkEnd w:id="494"/>
      <w:bookmarkEnd w:id="495"/>
    </w:p>
    <w:p w14:paraId="334491C4" w14:textId="77777777" w:rsidR="00954688" w:rsidRDefault="00954688" w:rsidP="00954688">
      <w:r>
        <w:rPr>
          <w:noProof/>
          <w:lang w:eastAsia="cs-CZ"/>
        </w:rPr>
        <w:drawing>
          <wp:inline distT="0" distB="0" distL="0" distR="0" wp14:anchorId="3A19F3CE" wp14:editId="10AB03E0">
            <wp:extent cx="5767070" cy="2889885"/>
            <wp:effectExtent l="0" t="0" r="5080" b="5715"/>
            <wp:docPr id="347" name="Obráze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7070" cy="2889885"/>
                    </a:xfrm>
                    <a:prstGeom prst="rect">
                      <a:avLst/>
                    </a:prstGeom>
                    <a:noFill/>
                  </pic:spPr>
                </pic:pic>
              </a:graphicData>
            </a:graphic>
          </wp:inline>
        </w:drawing>
      </w:r>
    </w:p>
    <w:p w14:paraId="6898D328" w14:textId="04B27C35" w:rsidR="00954688" w:rsidRDefault="00954688" w:rsidP="00954688">
      <w:pPr>
        <w:keepNext/>
        <w:spacing w:before="60"/>
        <w:rPr>
          <w:rFonts w:cstheme="minorHAnsi"/>
          <w:i/>
          <w:sz w:val="18"/>
          <w:szCs w:val="18"/>
        </w:rPr>
      </w:pPr>
      <w:r w:rsidRPr="00CC6C49">
        <w:rPr>
          <w:rFonts w:cstheme="minorHAnsi"/>
          <w:i/>
          <w:sz w:val="18"/>
          <w:szCs w:val="18"/>
        </w:rPr>
        <w:t xml:space="preserve">Zdroj: </w:t>
      </w:r>
      <w:r>
        <w:rPr>
          <w:rFonts w:cstheme="minorHAnsi"/>
          <w:i/>
          <w:sz w:val="18"/>
          <w:szCs w:val="18"/>
        </w:rPr>
        <w:t>monitor.statnipokladna.cz, 2019</w:t>
      </w:r>
      <w:r w:rsidR="00EC22C4">
        <w:rPr>
          <w:rFonts w:cstheme="minorHAnsi"/>
          <w:i/>
          <w:sz w:val="18"/>
          <w:szCs w:val="18"/>
        </w:rPr>
        <w:t>.</w:t>
      </w:r>
    </w:p>
    <w:p w14:paraId="49E9A642" w14:textId="246A188C" w:rsidR="00954688" w:rsidRDefault="00954688" w:rsidP="00954688">
      <w:pPr>
        <w:rPr>
          <w:rFonts w:cstheme="minorHAnsi"/>
        </w:rPr>
      </w:pPr>
      <w:r w:rsidRPr="005C4721">
        <w:rPr>
          <w:rFonts w:cstheme="minorHAnsi"/>
        </w:rPr>
        <w:t xml:space="preserve">Ukazatel dluhové služby je jedním z kritérií, dle kterých jsou vybírány obce při rozdělování státních </w:t>
      </w:r>
      <w:r w:rsidRPr="00886327">
        <w:rPr>
          <w:rFonts w:cstheme="minorHAnsi"/>
        </w:rPr>
        <w:t xml:space="preserve">účelových dotací. Nejvyšší hodnoty ukazatele dluhové </w:t>
      </w:r>
      <w:r>
        <w:rPr>
          <w:rFonts w:cstheme="minorHAnsi"/>
        </w:rPr>
        <w:t xml:space="preserve">služby bylo ve sledované období ve městě Zlíně dosaženo v roce 2018. V roce 2019 činila dluhová služba města Zlína </w:t>
      </w:r>
      <w:r w:rsidRPr="00FD3DB7">
        <w:rPr>
          <w:rFonts w:cstheme="minorHAnsi"/>
        </w:rPr>
        <w:t>5,54 %</w:t>
      </w:r>
      <w:r w:rsidRPr="005C4721">
        <w:rPr>
          <w:rFonts w:cstheme="minorHAnsi"/>
        </w:rPr>
        <w:t xml:space="preserve"> </w:t>
      </w:r>
      <w:r>
        <w:rPr>
          <w:rFonts w:cstheme="minorHAnsi"/>
        </w:rPr>
        <w:t>(</w:t>
      </w:r>
      <w:r w:rsidRPr="00FD3DB7">
        <w:rPr>
          <w:rFonts w:cstheme="minorHAnsi"/>
        </w:rPr>
        <w:t>101 442 tis. Kč</w:t>
      </w:r>
      <w:r>
        <w:rPr>
          <w:rFonts w:cstheme="minorHAnsi"/>
        </w:rPr>
        <w:t xml:space="preserve">, v přepočtu na 1 obyvatele 1 353 Kč). </w:t>
      </w:r>
      <w:r w:rsidRPr="005C4721">
        <w:rPr>
          <w:rFonts w:cstheme="minorHAnsi"/>
        </w:rPr>
        <w:t xml:space="preserve">Hodnota ukazatele dluhové služby vyšší než 30 % je jedním z kritérií pro rozdělování státních účelových dotací, v případě města </w:t>
      </w:r>
      <w:r>
        <w:rPr>
          <w:rFonts w:cstheme="minorHAnsi"/>
        </w:rPr>
        <w:t>Zlína</w:t>
      </w:r>
      <w:r w:rsidRPr="005C4721">
        <w:rPr>
          <w:rFonts w:cstheme="minorHAnsi"/>
        </w:rPr>
        <w:t xml:space="preserve"> čerpání dotací není významně ohroženo. </w:t>
      </w:r>
      <w:r>
        <w:rPr>
          <w:rFonts w:cstheme="minorHAnsi"/>
        </w:rPr>
        <w:t>Nejvyšší hodnotu dluhové služby za rok 2019 vykazuje město Olomouc a nejnižší město Pa</w:t>
      </w:r>
      <w:r w:rsidR="00853380">
        <w:rPr>
          <w:rFonts w:cstheme="minorHAnsi"/>
        </w:rPr>
        <w:t>r</w:t>
      </w:r>
      <w:r>
        <w:rPr>
          <w:rFonts w:cstheme="minorHAnsi"/>
        </w:rPr>
        <w:t>dubice.</w:t>
      </w:r>
    </w:p>
    <w:p w14:paraId="239C0E11" w14:textId="2F9F4A6C" w:rsidR="00954688" w:rsidRDefault="00954688" w:rsidP="00954688">
      <w:pPr>
        <w:pStyle w:val="Titulek"/>
        <w:rPr>
          <w:rFonts w:cstheme="minorHAnsi"/>
        </w:rPr>
      </w:pPr>
      <w:bookmarkStart w:id="496" w:name="_Toc53066214"/>
      <w:bookmarkStart w:id="497" w:name="_Toc7707492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102</w:t>
      </w:r>
      <w:r w:rsidR="00804AF3">
        <w:rPr>
          <w:noProof/>
        </w:rPr>
        <w:fldChar w:fldCharType="end"/>
      </w:r>
      <w:r w:rsidR="00EC22C4">
        <w:rPr>
          <w:noProof/>
        </w:rPr>
        <w:t>:</w:t>
      </w:r>
      <w:r>
        <w:t xml:space="preserve"> </w:t>
      </w:r>
      <w:r w:rsidRPr="00886327">
        <w:rPr>
          <w:rFonts w:cstheme="minorHAnsi"/>
        </w:rPr>
        <w:t xml:space="preserve">Vývoj ukazatele dluhové služby </w:t>
      </w:r>
      <w:r>
        <w:rPr>
          <w:rFonts w:cstheme="minorHAnsi"/>
        </w:rPr>
        <w:t xml:space="preserve">v přepočtu na 1 obyvatele </w:t>
      </w:r>
      <w:r w:rsidRPr="00886327">
        <w:rPr>
          <w:rFonts w:cstheme="minorHAnsi"/>
        </w:rPr>
        <w:t xml:space="preserve">města </w:t>
      </w:r>
      <w:r>
        <w:rPr>
          <w:rFonts w:cstheme="minorHAnsi"/>
        </w:rPr>
        <w:t>Zlína v porovnání s vybranými městy v letech 2014</w:t>
      </w:r>
      <w:r w:rsidR="00EC22C4">
        <w:rPr>
          <w:rFonts w:cstheme="minorHAnsi"/>
        </w:rPr>
        <w:t xml:space="preserve"> </w:t>
      </w:r>
      <w:r w:rsidRPr="00886327">
        <w:rPr>
          <w:rFonts w:cstheme="minorHAnsi"/>
        </w:rPr>
        <w:t>–</w:t>
      </w:r>
      <w:r w:rsidR="00EC22C4">
        <w:rPr>
          <w:rFonts w:cstheme="minorHAnsi"/>
        </w:rPr>
        <w:t xml:space="preserve"> </w:t>
      </w:r>
      <w:r w:rsidRPr="00886327">
        <w:rPr>
          <w:rFonts w:cstheme="minorHAnsi"/>
        </w:rPr>
        <w:t>2019</w:t>
      </w:r>
      <w:bookmarkEnd w:id="496"/>
      <w:bookmarkEnd w:id="497"/>
    </w:p>
    <w:p w14:paraId="34D45EB8" w14:textId="77777777" w:rsidR="00954688" w:rsidRPr="005C4721" w:rsidRDefault="00954688" w:rsidP="00954688">
      <w:pPr>
        <w:rPr>
          <w:rFonts w:cstheme="minorHAnsi"/>
        </w:rPr>
      </w:pPr>
      <w:r>
        <w:rPr>
          <w:rFonts w:cstheme="minorHAnsi"/>
          <w:noProof/>
          <w:lang w:eastAsia="cs-CZ"/>
        </w:rPr>
        <w:drawing>
          <wp:inline distT="0" distB="0" distL="0" distR="0" wp14:anchorId="0BC05A48" wp14:editId="6D542E95">
            <wp:extent cx="5767070" cy="2529840"/>
            <wp:effectExtent l="0" t="0" r="5080" b="381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7070" cy="2529840"/>
                    </a:xfrm>
                    <a:prstGeom prst="rect">
                      <a:avLst/>
                    </a:prstGeom>
                    <a:noFill/>
                  </pic:spPr>
                </pic:pic>
              </a:graphicData>
            </a:graphic>
          </wp:inline>
        </w:drawing>
      </w:r>
    </w:p>
    <w:p w14:paraId="524289B1" w14:textId="7576879C" w:rsidR="00954688" w:rsidRDefault="00954688" w:rsidP="00954688">
      <w:pPr>
        <w:keepNext/>
        <w:spacing w:before="60"/>
        <w:rPr>
          <w:rFonts w:cstheme="minorHAnsi"/>
          <w:i/>
          <w:sz w:val="18"/>
          <w:szCs w:val="18"/>
        </w:rPr>
      </w:pPr>
      <w:r w:rsidRPr="00CC6C49">
        <w:rPr>
          <w:rFonts w:cstheme="minorHAnsi"/>
          <w:i/>
          <w:sz w:val="18"/>
          <w:szCs w:val="18"/>
        </w:rPr>
        <w:t xml:space="preserve">Zdroj: </w:t>
      </w:r>
      <w:r>
        <w:rPr>
          <w:rFonts w:cstheme="minorHAnsi"/>
          <w:i/>
          <w:sz w:val="18"/>
          <w:szCs w:val="18"/>
        </w:rPr>
        <w:t>monitor.statnipokladna.cz, 2019</w:t>
      </w:r>
      <w:r w:rsidR="00EC22C4">
        <w:rPr>
          <w:rFonts w:cstheme="minorHAnsi"/>
          <w:i/>
          <w:sz w:val="18"/>
          <w:szCs w:val="18"/>
        </w:rPr>
        <w:t>.</w:t>
      </w:r>
    </w:p>
    <w:p w14:paraId="5DA924C4" w14:textId="77777777" w:rsidR="00954688" w:rsidRDefault="00954688" w:rsidP="00954688"/>
    <w:p w14:paraId="3CF44866" w14:textId="3C526C31" w:rsidR="00954688" w:rsidRDefault="00954688" w:rsidP="00954688">
      <w:r>
        <w:lastRenderedPageBreak/>
        <w:t xml:space="preserve">Přímo z rozpočtu města jsou vypláceny dotace na podporu různých oblastí činnosti konkrétním subjektům mimo rámec účelových fondů. </w:t>
      </w:r>
      <w:r w:rsidRPr="00980F1C">
        <w:t>Přehled dotací a příspěvků poskytnutých přímo z rozpočtu města dle podporovaných oblastí 2014</w:t>
      </w:r>
      <w:r w:rsidR="00EC22C4">
        <w:t xml:space="preserve"> </w:t>
      </w:r>
      <w:r w:rsidR="00EC22C4">
        <w:sym w:font="Symbol" w:char="F02D"/>
      </w:r>
      <w:r w:rsidR="00EC22C4">
        <w:t xml:space="preserve"> </w:t>
      </w:r>
      <w:r w:rsidRPr="00980F1C">
        <w:t>2019</w:t>
      </w:r>
      <w:r>
        <w:t xml:space="preserve"> je uveden v</w:t>
      </w:r>
      <w:r w:rsidR="00EA4CBD">
        <w:t> </w:t>
      </w:r>
      <w:r>
        <w:t>tabulce</w:t>
      </w:r>
      <w:r w:rsidR="00602924">
        <w:t xml:space="preserve"> 1.73</w:t>
      </w:r>
      <w:r>
        <w:t>. Celková poskytnutá částka se ve sledovaných letech postupně zvyšovala z 259,58 mil. Kč v roce 2014 až na 327,33 mil. Kč v</w:t>
      </w:r>
      <w:r w:rsidR="00EC22C4">
        <w:t> </w:t>
      </w:r>
      <w:r>
        <w:t>roce 2019. Největší podíly z celkové částky připadají každoročně na oblast kultury a cestovního ruchu, na oblast školství a na oblast sportu a volnočasových aktivit.</w:t>
      </w:r>
    </w:p>
    <w:p w14:paraId="028A38B1" w14:textId="5CC0F056" w:rsidR="00954688" w:rsidRDefault="00954688" w:rsidP="00954688">
      <w:pPr>
        <w:pStyle w:val="Titulek"/>
      </w:pPr>
      <w:bookmarkStart w:id="498" w:name="_Toc53066231"/>
      <w:bookmarkStart w:id="499" w:name="_Toc7707475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73</w:t>
      </w:r>
      <w:r w:rsidR="00081B47">
        <w:rPr>
          <w:noProof/>
        </w:rPr>
        <w:fldChar w:fldCharType="end"/>
      </w:r>
      <w:r w:rsidR="00EC22C4">
        <w:rPr>
          <w:noProof/>
        </w:rPr>
        <w:t>:</w:t>
      </w:r>
      <w:r>
        <w:t xml:space="preserve"> </w:t>
      </w:r>
      <w:r w:rsidRPr="003B11A7">
        <w:t>Přehled dotací a příspěvků poskytnutých přímo z rozpočtu statutárního města Zlína v členění dle podporovaných oblastí (v mil. Kč); bez účelových fondů</w:t>
      </w:r>
      <w:bookmarkEnd w:id="498"/>
      <w:bookmarkEnd w:id="499"/>
    </w:p>
    <w:tbl>
      <w:tblPr>
        <w:tblW w:w="8620" w:type="dxa"/>
        <w:tblCellMar>
          <w:left w:w="70" w:type="dxa"/>
          <w:right w:w="70" w:type="dxa"/>
        </w:tblCellMar>
        <w:tblLook w:val="04A0" w:firstRow="1" w:lastRow="0" w:firstColumn="1" w:lastColumn="0" w:noHBand="0" w:noVBand="1"/>
      </w:tblPr>
      <w:tblGrid>
        <w:gridCol w:w="2860"/>
        <w:gridCol w:w="960"/>
        <w:gridCol w:w="960"/>
        <w:gridCol w:w="960"/>
        <w:gridCol w:w="960"/>
        <w:gridCol w:w="960"/>
        <w:gridCol w:w="960"/>
      </w:tblGrid>
      <w:tr w:rsidR="00954688" w:rsidRPr="003B11A7" w14:paraId="23675C4F" w14:textId="77777777" w:rsidTr="000C49A5">
        <w:trPr>
          <w:trHeight w:val="315"/>
        </w:trPr>
        <w:tc>
          <w:tcPr>
            <w:tcW w:w="2860" w:type="dxa"/>
            <w:tcBorders>
              <w:top w:val="single" w:sz="8" w:space="0" w:color="auto"/>
              <w:left w:val="single" w:sz="8" w:space="0" w:color="auto"/>
              <w:bottom w:val="single" w:sz="8" w:space="0" w:color="auto"/>
              <w:right w:val="single" w:sz="8" w:space="0" w:color="auto"/>
            </w:tcBorders>
            <w:shd w:val="clear" w:color="000000" w:fill="D0CECE"/>
            <w:noWrap/>
            <w:vAlign w:val="center"/>
            <w:hideMark/>
          </w:tcPr>
          <w:p w14:paraId="0BAD844B" w14:textId="77777777" w:rsidR="00954688" w:rsidRPr="00E147A1" w:rsidRDefault="00954688" w:rsidP="000C49A5">
            <w:pPr>
              <w:spacing w:before="0"/>
              <w:jc w:val="left"/>
              <w:rPr>
                <w:rFonts w:eastAsia="Times New Roman" w:cstheme="minorHAnsi"/>
                <w:b/>
                <w:color w:val="000000"/>
                <w:sz w:val="18"/>
                <w:szCs w:val="18"/>
                <w:lang w:eastAsia="cs-CZ"/>
              </w:rPr>
            </w:pPr>
            <w:r w:rsidRPr="00E147A1">
              <w:rPr>
                <w:rFonts w:eastAsia="Times New Roman" w:cstheme="minorHAnsi"/>
                <w:b/>
                <w:color w:val="000000"/>
                <w:sz w:val="18"/>
                <w:szCs w:val="18"/>
                <w:lang w:eastAsia="cs-CZ"/>
              </w:rPr>
              <w:t>Podporovaná oblast</w:t>
            </w:r>
          </w:p>
        </w:tc>
        <w:tc>
          <w:tcPr>
            <w:tcW w:w="960" w:type="dxa"/>
            <w:tcBorders>
              <w:top w:val="single" w:sz="8" w:space="0" w:color="auto"/>
              <w:left w:val="nil"/>
              <w:bottom w:val="single" w:sz="8" w:space="0" w:color="auto"/>
              <w:right w:val="single" w:sz="8" w:space="0" w:color="auto"/>
            </w:tcBorders>
            <w:shd w:val="clear" w:color="000000" w:fill="D0CECE"/>
            <w:noWrap/>
            <w:vAlign w:val="center"/>
            <w:hideMark/>
          </w:tcPr>
          <w:p w14:paraId="1AB8E840" w14:textId="77777777" w:rsidR="00954688" w:rsidRPr="00E147A1" w:rsidRDefault="00954688" w:rsidP="000C49A5">
            <w:pPr>
              <w:spacing w:before="0"/>
              <w:jc w:val="center"/>
              <w:rPr>
                <w:rFonts w:eastAsia="Times New Roman" w:cstheme="minorHAnsi"/>
                <w:b/>
                <w:color w:val="000000"/>
                <w:sz w:val="18"/>
                <w:szCs w:val="18"/>
                <w:lang w:eastAsia="cs-CZ"/>
              </w:rPr>
            </w:pPr>
            <w:r w:rsidRPr="00E147A1">
              <w:rPr>
                <w:rFonts w:eastAsia="Times New Roman" w:cstheme="minorHAnsi"/>
                <w:b/>
                <w:color w:val="000000"/>
                <w:sz w:val="18"/>
                <w:szCs w:val="18"/>
                <w:lang w:eastAsia="cs-CZ"/>
              </w:rPr>
              <w:t>2014</w:t>
            </w:r>
          </w:p>
        </w:tc>
        <w:tc>
          <w:tcPr>
            <w:tcW w:w="960" w:type="dxa"/>
            <w:tcBorders>
              <w:top w:val="single" w:sz="8" w:space="0" w:color="auto"/>
              <w:left w:val="nil"/>
              <w:bottom w:val="single" w:sz="8" w:space="0" w:color="auto"/>
              <w:right w:val="single" w:sz="8" w:space="0" w:color="auto"/>
            </w:tcBorders>
            <w:shd w:val="clear" w:color="000000" w:fill="D0CECE"/>
            <w:noWrap/>
            <w:vAlign w:val="center"/>
            <w:hideMark/>
          </w:tcPr>
          <w:p w14:paraId="42B28FCB" w14:textId="77777777" w:rsidR="00954688" w:rsidRPr="00E147A1" w:rsidRDefault="00954688" w:rsidP="000C49A5">
            <w:pPr>
              <w:spacing w:before="0"/>
              <w:jc w:val="center"/>
              <w:rPr>
                <w:rFonts w:eastAsia="Times New Roman" w:cstheme="minorHAnsi"/>
                <w:b/>
                <w:color w:val="000000"/>
                <w:sz w:val="18"/>
                <w:szCs w:val="18"/>
                <w:lang w:eastAsia="cs-CZ"/>
              </w:rPr>
            </w:pPr>
            <w:r w:rsidRPr="00E147A1">
              <w:rPr>
                <w:rFonts w:eastAsia="Times New Roman" w:cstheme="minorHAnsi"/>
                <w:b/>
                <w:color w:val="000000"/>
                <w:sz w:val="18"/>
                <w:szCs w:val="18"/>
                <w:lang w:eastAsia="cs-CZ"/>
              </w:rPr>
              <w:t>2015</w:t>
            </w:r>
          </w:p>
        </w:tc>
        <w:tc>
          <w:tcPr>
            <w:tcW w:w="960" w:type="dxa"/>
            <w:tcBorders>
              <w:top w:val="single" w:sz="8" w:space="0" w:color="auto"/>
              <w:left w:val="nil"/>
              <w:bottom w:val="single" w:sz="8" w:space="0" w:color="auto"/>
              <w:right w:val="single" w:sz="8" w:space="0" w:color="auto"/>
            </w:tcBorders>
            <w:shd w:val="clear" w:color="000000" w:fill="D0CECE"/>
            <w:noWrap/>
            <w:vAlign w:val="center"/>
            <w:hideMark/>
          </w:tcPr>
          <w:p w14:paraId="5743444F" w14:textId="77777777" w:rsidR="00954688" w:rsidRPr="00E147A1" w:rsidRDefault="00954688" w:rsidP="000C49A5">
            <w:pPr>
              <w:spacing w:before="0"/>
              <w:jc w:val="center"/>
              <w:rPr>
                <w:rFonts w:eastAsia="Times New Roman" w:cstheme="minorHAnsi"/>
                <w:b/>
                <w:color w:val="000000"/>
                <w:sz w:val="18"/>
                <w:szCs w:val="18"/>
                <w:lang w:eastAsia="cs-CZ"/>
              </w:rPr>
            </w:pPr>
            <w:r w:rsidRPr="00E147A1">
              <w:rPr>
                <w:rFonts w:eastAsia="Times New Roman" w:cstheme="minorHAnsi"/>
                <w:b/>
                <w:color w:val="000000"/>
                <w:sz w:val="18"/>
                <w:szCs w:val="18"/>
                <w:lang w:eastAsia="cs-CZ"/>
              </w:rPr>
              <w:t>2016</w:t>
            </w:r>
          </w:p>
        </w:tc>
        <w:tc>
          <w:tcPr>
            <w:tcW w:w="960" w:type="dxa"/>
            <w:tcBorders>
              <w:top w:val="single" w:sz="8" w:space="0" w:color="auto"/>
              <w:left w:val="nil"/>
              <w:bottom w:val="single" w:sz="8" w:space="0" w:color="auto"/>
              <w:right w:val="single" w:sz="8" w:space="0" w:color="auto"/>
            </w:tcBorders>
            <w:shd w:val="clear" w:color="000000" w:fill="D0CECE"/>
            <w:noWrap/>
            <w:vAlign w:val="center"/>
            <w:hideMark/>
          </w:tcPr>
          <w:p w14:paraId="4AA07FE3" w14:textId="77777777" w:rsidR="00954688" w:rsidRPr="00E147A1" w:rsidRDefault="00954688" w:rsidP="000C49A5">
            <w:pPr>
              <w:spacing w:before="0"/>
              <w:jc w:val="center"/>
              <w:rPr>
                <w:rFonts w:eastAsia="Times New Roman" w:cstheme="minorHAnsi"/>
                <w:b/>
                <w:color w:val="000000"/>
                <w:sz w:val="18"/>
                <w:szCs w:val="18"/>
                <w:lang w:eastAsia="cs-CZ"/>
              </w:rPr>
            </w:pPr>
            <w:r w:rsidRPr="00E147A1">
              <w:rPr>
                <w:rFonts w:eastAsia="Times New Roman" w:cstheme="minorHAnsi"/>
                <w:b/>
                <w:color w:val="000000"/>
                <w:sz w:val="18"/>
                <w:szCs w:val="18"/>
                <w:lang w:eastAsia="cs-CZ"/>
              </w:rPr>
              <w:t>2017</w:t>
            </w:r>
          </w:p>
        </w:tc>
        <w:tc>
          <w:tcPr>
            <w:tcW w:w="960" w:type="dxa"/>
            <w:tcBorders>
              <w:top w:val="single" w:sz="8" w:space="0" w:color="auto"/>
              <w:left w:val="nil"/>
              <w:bottom w:val="single" w:sz="8" w:space="0" w:color="auto"/>
              <w:right w:val="single" w:sz="8" w:space="0" w:color="auto"/>
            </w:tcBorders>
            <w:shd w:val="clear" w:color="000000" w:fill="D0CECE"/>
            <w:noWrap/>
            <w:vAlign w:val="center"/>
            <w:hideMark/>
          </w:tcPr>
          <w:p w14:paraId="0A57049B" w14:textId="77777777" w:rsidR="00954688" w:rsidRPr="00E147A1" w:rsidRDefault="00954688" w:rsidP="000C49A5">
            <w:pPr>
              <w:spacing w:before="0"/>
              <w:jc w:val="center"/>
              <w:rPr>
                <w:rFonts w:eastAsia="Times New Roman" w:cstheme="minorHAnsi"/>
                <w:b/>
                <w:color w:val="000000"/>
                <w:sz w:val="18"/>
                <w:szCs w:val="18"/>
                <w:lang w:eastAsia="cs-CZ"/>
              </w:rPr>
            </w:pPr>
            <w:r w:rsidRPr="00E147A1">
              <w:rPr>
                <w:rFonts w:eastAsia="Times New Roman" w:cstheme="minorHAnsi"/>
                <w:b/>
                <w:color w:val="000000"/>
                <w:sz w:val="18"/>
                <w:szCs w:val="18"/>
                <w:lang w:eastAsia="cs-CZ"/>
              </w:rPr>
              <w:t>2018</w:t>
            </w:r>
          </w:p>
        </w:tc>
        <w:tc>
          <w:tcPr>
            <w:tcW w:w="960" w:type="dxa"/>
            <w:tcBorders>
              <w:top w:val="single" w:sz="8" w:space="0" w:color="auto"/>
              <w:left w:val="nil"/>
              <w:bottom w:val="single" w:sz="8" w:space="0" w:color="auto"/>
              <w:right w:val="single" w:sz="8" w:space="0" w:color="auto"/>
            </w:tcBorders>
            <w:shd w:val="clear" w:color="000000" w:fill="D0CECE"/>
            <w:noWrap/>
            <w:vAlign w:val="center"/>
            <w:hideMark/>
          </w:tcPr>
          <w:p w14:paraId="47585951" w14:textId="77777777" w:rsidR="00954688" w:rsidRPr="00E147A1" w:rsidRDefault="00954688" w:rsidP="000C49A5">
            <w:pPr>
              <w:spacing w:before="0"/>
              <w:jc w:val="center"/>
              <w:rPr>
                <w:rFonts w:eastAsia="Times New Roman" w:cstheme="minorHAnsi"/>
                <w:b/>
                <w:color w:val="000000"/>
                <w:sz w:val="18"/>
                <w:szCs w:val="18"/>
                <w:lang w:eastAsia="cs-CZ"/>
              </w:rPr>
            </w:pPr>
            <w:r w:rsidRPr="00E147A1">
              <w:rPr>
                <w:rFonts w:eastAsia="Times New Roman" w:cstheme="minorHAnsi"/>
                <w:b/>
                <w:color w:val="000000"/>
                <w:sz w:val="18"/>
                <w:szCs w:val="18"/>
                <w:lang w:eastAsia="cs-CZ"/>
              </w:rPr>
              <w:t>2019</w:t>
            </w:r>
          </w:p>
        </w:tc>
      </w:tr>
      <w:tr w:rsidR="00954688" w:rsidRPr="003B11A7" w14:paraId="78FF7A60" w14:textId="77777777" w:rsidTr="000C49A5">
        <w:trPr>
          <w:trHeight w:val="315"/>
        </w:trPr>
        <w:tc>
          <w:tcPr>
            <w:tcW w:w="2860" w:type="dxa"/>
            <w:tcBorders>
              <w:top w:val="nil"/>
              <w:left w:val="single" w:sz="8" w:space="0" w:color="auto"/>
              <w:bottom w:val="single" w:sz="8" w:space="0" w:color="auto"/>
              <w:right w:val="single" w:sz="8" w:space="0" w:color="auto"/>
            </w:tcBorders>
            <w:shd w:val="clear" w:color="auto" w:fill="auto"/>
            <w:noWrap/>
            <w:vAlign w:val="center"/>
            <w:hideMark/>
          </w:tcPr>
          <w:p w14:paraId="4F4CFB0B" w14:textId="77777777" w:rsidR="00954688" w:rsidRPr="003B11A7" w:rsidRDefault="00954688" w:rsidP="000C49A5">
            <w:pPr>
              <w:spacing w:before="0"/>
              <w:jc w:val="left"/>
              <w:rPr>
                <w:rFonts w:eastAsia="Times New Roman" w:cstheme="minorHAnsi"/>
                <w:color w:val="000000"/>
                <w:sz w:val="18"/>
                <w:szCs w:val="18"/>
                <w:lang w:eastAsia="cs-CZ"/>
              </w:rPr>
            </w:pPr>
            <w:r w:rsidRPr="003B11A7">
              <w:rPr>
                <w:rFonts w:eastAsia="Times New Roman" w:cstheme="minorHAnsi"/>
                <w:color w:val="000000"/>
                <w:sz w:val="18"/>
                <w:szCs w:val="18"/>
                <w:lang w:eastAsia="cs-CZ"/>
              </w:rPr>
              <w:t>Kultura a cestovní ruch</w:t>
            </w:r>
          </w:p>
        </w:tc>
        <w:tc>
          <w:tcPr>
            <w:tcW w:w="960" w:type="dxa"/>
            <w:tcBorders>
              <w:top w:val="nil"/>
              <w:left w:val="nil"/>
              <w:bottom w:val="single" w:sz="8" w:space="0" w:color="auto"/>
              <w:right w:val="single" w:sz="8" w:space="0" w:color="auto"/>
            </w:tcBorders>
            <w:shd w:val="clear" w:color="auto" w:fill="auto"/>
            <w:noWrap/>
            <w:vAlign w:val="center"/>
            <w:hideMark/>
          </w:tcPr>
          <w:p w14:paraId="5747C59D"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71,4</w:t>
            </w:r>
          </w:p>
        </w:tc>
        <w:tc>
          <w:tcPr>
            <w:tcW w:w="960" w:type="dxa"/>
            <w:tcBorders>
              <w:top w:val="nil"/>
              <w:left w:val="nil"/>
              <w:bottom w:val="single" w:sz="8" w:space="0" w:color="auto"/>
              <w:right w:val="single" w:sz="8" w:space="0" w:color="auto"/>
            </w:tcBorders>
            <w:shd w:val="clear" w:color="auto" w:fill="auto"/>
            <w:noWrap/>
            <w:vAlign w:val="center"/>
            <w:hideMark/>
          </w:tcPr>
          <w:p w14:paraId="7774F219"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69,74</w:t>
            </w:r>
          </w:p>
        </w:tc>
        <w:tc>
          <w:tcPr>
            <w:tcW w:w="960" w:type="dxa"/>
            <w:tcBorders>
              <w:top w:val="nil"/>
              <w:left w:val="nil"/>
              <w:bottom w:val="single" w:sz="8" w:space="0" w:color="auto"/>
              <w:right w:val="single" w:sz="8" w:space="0" w:color="auto"/>
            </w:tcBorders>
            <w:shd w:val="clear" w:color="auto" w:fill="auto"/>
            <w:noWrap/>
            <w:vAlign w:val="center"/>
            <w:hideMark/>
          </w:tcPr>
          <w:p w14:paraId="5C788FA8"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74,07</w:t>
            </w:r>
          </w:p>
        </w:tc>
        <w:tc>
          <w:tcPr>
            <w:tcW w:w="960" w:type="dxa"/>
            <w:tcBorders>
              <w:top w:val="nil"/>
              <w:left w:val="nil"/>
              <w:bottom w:val="single" w:sz="8" w:space="0" w:color="auto"/>
              <w:right w:val="single" w:sz="8" w:space="0" w:color="auto"/>
            </w:tcBorders>
            <w:shd w:val="clear" w:color="auto" w:fill="auto"/>
            <w:noWrap/>
            <w:vAlign w:val="center"/>
            <w:hideMark/>
          </w:tcPr>
          <w:p w14:paraId="182C1380"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81,85</w:t>
            </w:r>
          </w:p>
        </w:tc>
        <w:tc>
          <w:tcPr>
            <w:tcW w:w="960" w:type="dxa"/>
            <w:tcBorders>
              <w:top w:val="nil"/>
              <w:left w:val="nil"/>
              <w:bottom w:val="single" w:sz="8" w:space="0" w:color="auto"/>
              <w:right w:val="single" w:sz="8" w:space="0" w:color="auto"/>
            </w:tcBorders>
            <w:shd w:val="clear" w:color="auto" w:fill="auto"/>
            <w:noWrap/>
            <w:vAlign w:val="center"/>
            <w:hideMark/>
          </w:tcPr>
          <w:p w14:paraId="6DF4C574"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87,56</w:t>
            </w:r>
          </w:p>
        </w:tc>
        <w:tc>
          <w:tcPr>
            <w:tcW w:w="960" w:type="dxa"/>
            <w:tcBorders>
              <w:top w:val="nil"/>
              <w:left w:val="nil"/>
              <w:bottom w:val="single" w:sz="8" w:space="0" w:color="auto"/>
              <w:right w:val="single" w:sz="8" w:space="0" w:color="auto"/>
            </w:tcBorders>
            <w:shd w:val="clear" w:color="auto" w:fill="auto"/>
            <w:noWrap/>
            <w:vAlign w:val="center"/>
            <w:hideMark/>
          </w:tcPr>
          <w:p w14:paraId="6247D692"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98,45</w:t>
            </w:r>
          </w:p>
        </w:tc>
      </w:tr>
      <w:tr w:rsidR="00954688" w:rsidRPr="003B11A7" w14:paraId="7FBE5919" w14:textId="77777777" w:rsidTr="000C49A5">
        <w:trPr>
          <w:trHeight w:val="315"/>
        </w:trPr>
        <w:tc>
          <w:tcPr>
            <w:tcW w:w="2860" w:type="dxa"/>
            <w:tcBorders>
              <w:top w:val="nil"/>
              <w:left w:val="single" w:sz="8" w:space="0" w:color="auto"/>
              <w:bottom w:val="single" w:sz="8" w:space="0" w:color="auto"/>
              <w:right w:val="single" w:sz="8" w:space="0" w:color="auto"/>
            </w:tcBorders>
            <w:shd w:val="clear" w:color="auto" w:fill="auto"/>
            <w:noWrap/>
            <w:vAlign w:val="center"/>
            <w:hideMark/>
          </w:tcPr>
          <w:p w14:paraId="7C069ED2" w14:textId="77777777" w:rsidR="00954688" w:rsidRPr="003B11A7" w:rsidRDefault="00954688" w:rsidP="000C49A5">
            <w:pPr>
              <w:spacing w:before="0"/>
              <w:jc w:val="left"/>
              <w:rPr>
                <w:rFonts w:eastAsia="Times New Roman" w:cstheme="minorHAnsi"/>
                <w:color w:val="000000"/>
                <w:sz w:val="18"/>
                <w:szCs w:val="18"/>
                <w:lang w:eastAsia="cs-CZ"/>
              </w:rPr>
            </w:pPr>
            <w:r w:rsidRPr="003B11A7">
              <w:rPr>
                <w:rFonts w:eastAsia="Times New Roman" w:cstheme="minorHAnsi"/>
                <w:color w:val="000000"/>
                <w:sz w:val="18"/>
                <w:szCs w:val="18"/>
                <w:lang w:eastAsia="cs-CZ"/>
              </w:rPr>
              <w:t>Komunální služby</w:t>
            </w:r>
          </w:p>
        </w:tc>
        <w:tc>
          <w:tcPr>
            <w:tcW w:w="960" w:type="dxa"/>
            <w:tcBorders>
              <w:top w:val="nil"/>
              <w:left w:val="nil"/>
              <w:bottom w:val="single" w:sz="8" w:space="0" w:color="auto"/>
              <w:right w:val="single" w:sz="8" w:space="0" w:color="auto"/>
            </w:tcBorders>
            <w:shd w:val="clear" w:color="auto" w:fill="auto"/>
            <w:noWrap/>
            <w:vAlign w:val="center"/>
            <w:hideMark/>
          </w:tcPr>
          <w:p w14:paraId="2507D880"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0,24</w:t>
            </w:r>
          </w:p>
        </w:tc>
        <w:tc>
          <w:tcPr>
            <w:tcW w:w="960" w:type="dxa"/>
            <w:tcBorders>
              <w:top w:val="nil"/>
              <w:left w:val="nil"/>
              <w:bottom w:val="single" w:sz="8" w:space="0" w:color="auto"/>
              <w:right w:val="single" w:sz="8" w:space="0" w:color="auto"/>
            </w:tcBorders>
            <w:shd w:val="clear" w:color="auto" w:fill="auto"/>
            <w:noWrap/>
            <w:vAlign w:val="center"/>
            <w:hideMark/>
          </w:tcPr>
          <w:p w14:paraId="390963DE"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0,04</w:t>
            </w:r>
          </w:p>
        </w:tc>
        <w:tc>
          <w:tcPr>
            <w:tcW w:w="960" w:type="dxa"/>
            <w:tcBorders>
              <w:top w:val="nil"/>
              <w:left w:val="nil"/>
              <w:bottom w:val="single" w:sz="8" w:space="0" w:color="auto"/>
              <w:right w:val="single" w:sz="8" w:space="0" w:color="auto"/>
            </w:tcBorders>
            <w:shd w:val="clear" w:color="auto" w:fill="auto"/>
            <w:noWrap/>
            <w:vAlign w:val="center"/>
            <w:hideMark/>
          </w:tcPr>
          <w:p w14:paraId="38490C6C"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0,17</w:t>
            </w:r>
          </w:p>
        </w:tc>
        <w:tc>
          <w:tcPr>
            <w:tcW w:w="960" w:type="dxa"/>
            <w:tcBorders>
              <w:top w:val="nil"/>
              <w:left w:val="nil"/>
              <w:bottom w:val="single" w:sz="8" w:space="0" w:color="auto"/>
              <w:right w:val="single" w:sz="8" w:space="0" w:color="auto"/>
            </w:tcBorders>
            <w:shd w:val="clear" w:color="auto" w:fill="auto"/>
            <w:noWrap/>
            <w:vAlign w:val="center"/>
            <w:hideMark/>
          </w:tcPr>
          <w:p w14:paraId="656E5DBA"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6,26</w:t>
            </w:r>
          </w:p>
        </w:tc>
        <w:tc>
          <w:tcPr>
            <w:tcW w:w="960" w:type="dxa"/>
            <w:tcBorders>
              <w:top w:val="nil"/>
              <w:left w:val="nil"/>
              <w:bottom w:val="single" w:sz="8" w:space="0" w:color="auto"/>
              <w:right w:val="single" w:sz="8" w:space="0" w:color="auto"/>
            </w:tcBorders>
            <w:shd w:val="clear" w:color="auto" w:fill="auto"/>
            <w:noWrap/>
            <w:vAlign w:val="center"/>
            <w:hideMark/>
          </w:tcPr>
          <w:p w14:paraId="560EA83F"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8,29</w:t>
            </w:r>
          </w:p>
        </w:tc>
        <w:tc>
          <w:tcPr>
            <w:tcW w:w="960" w:type="dxa"/>
            <w:tcBorders>
              <w:top w:val="nil"/>
              <w:left w:val="nil"/>
              <w:bottom w:val="single" w:sz="8" w:space="0" w:color="auto"/>
              <w:right w:val="single" w:sz="8" w:space="0" w:color="auto"/>
            </w:tcBorders>
            <w:shd w:val="clear" w:color="auto" w:fill="auto"/>
            <w:noWrap/>
            <w:vAlign w:val="center"/>
            <w:hideMark/>
          </w:tcPr>
          <w:p w14:paraId="0B596683"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4,2</w:t>
            </w:r>
          </w:p>
        </w:tc>
      </w:tr>
      <w:tr w:rsidR="00954688" w:rsidRPr="003B11A7" w14:paraId="3B1AA71B" w14:textId="77777777" w:rsidTr="000C49A5">
        <w:trPr>
          <w:trHeight w:val="315"/>
        </w:trPr>
        <w:tc>
          <w:tcPr>
            <w:tcW w:w="2860" w:type="dxa"/>
            <w:tcBorders>
              <w:top w:val="nil"/>
              <w:left w:val="single" w:sz="8" w:space="0" w:color="auto"/>
              <w:bottom w:val="single" w:sz="8" w:space="0" w:color="auto"/>
              <w:right w:val="single" w:sz="8" w:space="0" w:color="auto"/>
            </w:tcBorders>
            <w:shd w:val="clear" w:color="auto" w:fill="auto"/>
            <w:noWrap/>
            <w:vAlign w:val="center"/>
            <w:hideMark/>
          </w:tcPr>
          <w:p w14:paraId="446D060C" w14:textId="77777777" w:rsidR="00954688" w:rsidRPr="003B11A7" w:rsidRDefault="00954688" w:rsidP="000C49A5">
            <w:pPr>
              <w:spacing w:before="0"/>
              <w:jc w:val="left"/>
              <w:rPr>
                <w:rFonts w:eastAsia="Times New Roman" w:cstheme="minorHAnsi"/>
                <w:color w:val="000000"/>
                <w:sz w:val="18"/>
                <w:szCs w:val="18"/>
                <w:lang w:eastAsia="cs-CZ"/>
              </w:rPr>
            </w:pPr>
            <w:r w:rsidRPr="003B11A7">
              <w:rPr>
                <w:rFonts w:eastAsia="Times New Roman" w:cstheme="minorHAnsi"/>
                <w:color w:val="000000"/>
                <w:sz w:val="18"/>
                <w:szCs w:val="18"/>
                <w:lang w:eastAsia="cs-CZ"/>
              </w:rPr>
              <w:t>Sociální služby</w:t>
            </w:r>
          </w:p>
        </w:tc>
        <w:tc>
          <w:tcPr>
            <w:tcW w:w="960" w:type="dxa"/>
            <w:tcBorders>
              <w:top w:val="nil"/>
              <w:left w:val="nil"/>
              <w:bottom w:val="single" w:sz="8" w:space="0" w:color="auto"/>
              <w:right w:val="single" w:sz="8" w:space="0" w:color="auto"/>
            </w:tcBorders>
            <w:shd w:val="clear" w:color="auto" w:fill="auto"/>
            <w:noWrap/>
            <w:vAlign w:val="center"/>
            <w:hideMark/>
          </w:tcPr>
          <w:p w14:paraId="258DDED7"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0,47</w:t>
            </w:r>
          </w:p>
        </w:tc>
        <w:tc>
          <w:tcPr>
            <w:tcW w:w="960" w:type="dxa"/>
            <w:tcBorders>
              <w:top w:val="nil"/>
              <w:left w:val="nil"/>
              <w:bottom w:val="single" w:sz="8" w:space="0" w:color="auto"/>
              <w:right w:val="single" w:sz="8" w:space="0" w:color="auto"/>
            </w:tcBorders>
            <w:shd w:val="clear" w:color="auto" w:fill="auto"/>
            <w:noWrap/>
            <w:vAlign w:val="center"/>
            <w:hideMark/>
          </w:tcPr>
          <w:p w14:paraId="4EAAA7D6"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0,26</w:t>
            </w:r>
          </w:p>
        </w:tc>
        <w:tc>
          <w:tcPr>
            <w:tcW w:w="960" w:type="dxa"/>
            <w:tcBorders>
              <w:top w:val="nil"/>
              <w:left w:val="nil"/>
              <w:bottom w:val="single" w:sz="8" w:space="0" w:color="auto"/>
              <w:right w:val="single" w:sz="8" w:space="0" w:color="auto"/>
            </w:tcBorders>
            <w:shd w:val="clear" w:color="auto" w:fill="auto"/>
            <w:noWrap/>
            <w:vAlign w:val="center"/>
            <w:hideMark/>
          </w:tcPr>
          <w:p w14:paraId="03F58C65"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0,3</w:t>
            </w:r>
          </w:p>
        </w:tc>
        <w:tc>
          <w:tcPr>
            <w:tcW w:w="960" w:type="dxa"/>
            <w:tcBorders>
              <w:top w:val="nil"/>
              <w:left w:val="nil"/>
              <w:bottom w:val="single" w:sz="8" w:space="0" w:color="auto"/>
              <w:right w:val="single" w:sz="8" w:space="0" w:color="auto"/>
            </w:tcBorders>
            <w:shd w:val="clear" w:color="auto" w:fill="auto"/>
            <w:noWrap/>
            <w:vAlign w:val="center"/>
            <w:hideMark/>
          </w:tcPr>
          <w:p w14:paraId="7E17B563"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1,75</w:t>
            </w:r>
          </w:p>
        </w:tc>
        <w:tc>
          <w:tcPr>
            <w:tcW w:w="960" w:type="dxa"/>
            <w:tcBorders>
              <w:top w:val="nil"/>
              <w:left w:val="nil"/>
              <w:bottom w:val="single" w:sz="8" w:space="0" w:color="auto"/>
              <w:right w:val="single" w:sz="8" w:space="0" w:color="auto"/>
            </w:tcBorders>
            <w:shd w:val="clear" w:color="auto" w:fill="auto"/>
            <w:noWrap/>
            <w:vAlign w:val="center"/>
            <w:hideMark/>
          </w:tcPr>
          <w:p w14:paraId="6E9687BB"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2,34</w:t>
            </w:r>
          </w:p>
        </w:tc>
        <w:tc>
          <w:tcPr>
            <w:tcW w:w="960" w:type="dxa"/>
            <w:tcBorders>
              <w:top w:val="nil"/>
              <w:left w:val="nil"/>
              <w:bottom w:val="single" w:sz="8" w:space="0" w:color="auto"/>
              <w:right w:val="single" w:sz="8" w:space="0" w:color="auto"/>
            </w:tcBorders>
            <w:shd w:val="clear" w:color="auto" w:fill="auto"/>
            <w:noWrap/>
            <w:vAlign w:val="center"/>
            <w:hideMark/>
          </w:tcPr>
          <w:p w14:paraId="1FE1F903"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2,41</w:t>
            </w:r>
          </w:p>
        </w:tc>
      </w:tr>
      <w:tr w:rsidR="00954688" w:rsidRPr="003B11A7" w14:paraId="59542FA1" w14:textId="77777777" w:rsidTr="000C49A5">
        <w:trPr>
          <w:trHeight w:val="315"/>
        </w:trPr>
        <w:tc>
          <w:tcPr>
            <w:tcW w:w="2860" w:type="dxa"/>
            <w:tcBorders>
              <w:top w:val="nil"/>
              <w:left w:val="single" w:sz="8" w:space="0" w:color="auto"/>
              <w:bottom w:val="single" w:sz="8" w:space="0" w:color="auto"/>
              <w:right w:val="single" w:sz="8" w:space="0" w:color="auto"/>
            </w:tcBorders>
            <w:shd w:val="clear" w:color="auto" w:fill="auto"/>
            <w:noWrap/>
            <w:vAlign w:val="center"/>
            <w:hideMark/>
          </w:tcPr>
          <w:p w14:paraId="0889876F" w14:textId="77777777" w:rsidR="00954688" w:rsidRPr="003B11A7" w:rsidRDefault="00954688" w:rsidP="000C49A5">
            <w:pPr>
              <w:spacing w:before="0"/>
              <w:jc w:val="left"/>
              <w:rPr>
                <w:rFonts w:eastAsia="Times New Roman" w:cstheme="minorHAnsi"/>
                <w:color w:val="000000"/>
                <w:sz w:val="18"/>
                <w:szCs w:val="18"/>
                <w:lang w:eastAsia="cs-CZ"/>
              </w:rPr>
            </w:pPr>
            <w:r w:rsidRPr="003B11A7">
              <w:rPr>
                <w:rFonts w:eastAsia="Times New Roman" w:cstheme="minorHAnsi"/>
                <w:color w:val="000000"/>
                <w:sz w:val="18"/>
                <w:szCs w:val="18"/>
                <w:lang w:eastAsia="cs-CZ"/>
              </w:rPr>
              <w:t>Sport a volnočasové aktivity</w:t>
            </w:r>
          </w:p>
        </w:tc>
        <w:tc>
          <w:tcPr>
            <w:tcW w:w="960" w:type="dxa"/>
            <w:tcBorders>
              <w:top w:val="nil"/>
              <w:left w:val="nil"/>
              <w:bottom w:val="single" w:sz="8" w:space="0" w:color="auto"/>
              <w:right w:val="single" w:sz="8" w:space="0" w:color="auto"/>
            </w:tcBorders>
            <w:shd w:val="clear" w:color="auto" w:fill="auto"/>
            <w:noWrap/>
            <w:vAlign w:val="center"/>
            <w:hideMark/>
          </w:tcPr>
          <w:p w14:paraId="1F1D71E3"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68,88</w:t>
            </w:r>
          </w:p>
        </w:tc>
        <w:tc>
          <w:tcPr>
            <w:tcW w:w="960" w:type="dxa"/>
            <w:tcBorders>
              <w:top w:val="nil"/>
              <w:left w:val="nil"/>
              <w:bottom w:val="single" w:sz="8" w:space="0" w:color="auto"/>
              <w:right w:val="single" w:sz="8" w:space="0" w:color="auto"/>
            </w:tcBorders>
            <w:shd w:val="clear" w:color="auto" w:fill="auto"/>
            <w:noWrap/>
            <w:vAlign w:val="center"/>
            <w:hideMark/>
          </w:tcPr>
          <w:p w14:paraId="47A6CCA8"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72,43</w:t>
            </w:r>
          </w:p>
        </w:tc>
        <w:tc>
          <w:tcPr>
            <w:tcW w:w="960" w:type="dxa"/>
            <w:tcBorders>
              <w:top w:val="nil"/>
              <w:left w:val="nil"/>
              <w:bottom w:val="single" w:sz="8" w:space="0" w:color="auto"/>
              <w:right w:val="single" w:sz="8" w:space="0" w:color="auto"/>
            </w:tcBorders>
            <w:shd w:val="clear" w:color="auto" w:fill="auto"/>
            <w:noWrap/>
            <w:vAlign w:val="center"/>
            <w:hideMark/>
          </w:tcPr>
          <w:p w14:paraId="650635E6"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78,19</w:t>
            </w:r>
          </w:p>
        </w:tc>
        <w:tc>
          <w:tcPr>
            <w:tcW w:w="960" w:type="dxa"/>
            <w:tcBorders>
              <w:top w:val="nil"/>
              <w:left w:val="nil"/>
              <w:bottom w:val="single" w:sz="8" w:space="0" w:color="auto"/>
              <w:right w:val="single" w:sz="8" w:space="0" w:color="auto"/>
            </w:tcBorders>
            <w:shd w:val="clear" w:color="auto" w:fill="auto"/>
            <w:noWrap/>
            <w:vAlign w:val="center"/>
            <w:hideMark/>
          </w:tcPr>
          <w:p w14:paraId="3A4EB5D6"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70,27</w:t>
            </w:r>
          </w:p>
        </w:tc>
        <w:tc>
          <w:tcPr>
            <w:tcW w:w="960" w:type="dxa"/>
            <w:tcBorders>
              <w:top w:val="nil"/>
              <w:left w:val="nil"/>
              <w:bottom w:val="single" w:sz="8" w:space="0" w:color="auto"/>
              <w:right w:val="single" w:sz="8" w:space="0" w:color="auto"/>
            </w:tcBorders>
            <w:shd w:val="clear" w:color="auto" w:fill="auto"/>
            <w:noWrap/>
            <w:vAlign w:val="center"/>
            <w:hideMark/>
          </w:tcPr>
          <w:p w14:paraId="78A2A130"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76,49</w:t>
            </w:r>
          </w:p>
        </w:tc>
        <w:tc>
          <w:tcPr>
            <w:tcW w:w="960" w:type="dxa"/>
            <w:tcBorders>
              <w:top w:val="nil"/>
              <w:left w:val="nil"/>
              <w:bottom w:val="single" w:sz="8" w:space="0" w:color="auto"/>
              <w:right w:val="single" w:sz="8" w:space="0" w:color="auto"/>
            </w:tcBorders>
            <w:shd w:val="clear" w:color="auto" w:fill="auto"/>
            <w:noWrap/>
            <w:vAlign w:val="center"/>
            <w:hideMark/>
          </w:tcPr>
          <w:p w14:paraId="120EB576"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78,53</w:t>
            </w:r>
          </w:p>
        </w:tc>
      </w:tr>
      <w:tr w:rsidR="00954688" w:rsidRPr="003B11A7" w14:paraId="036F4966" w14:textId="77777777" w:rsidTr="000C49A5">
        <w:trPr>
          <w:trHeight w:val="315"/>
        </w:trPr>
        <w:tc>
          <w:tcPr>
            <w:tcW w:w="2860" w:type="dxa"/>
            <w:tcBorders>
              <w:top w:val="nil"/>
              <w:left w:val="single" w:sz="8" w:space="0" w:color="auto"/>
              <w:bottom w:val="single" w:sz="8" w:space="0" w:color="auto"/>
              <w:right w:val="single" w:sz="8" w:space="0" w:color="auto"/>
            </w:tcBorders>
            <w:shd w:val="clear" w:color="auto" w:fill="auto"/>
            <w:noWrap/>
            <w:vAlign w:val="center"/>
            <w:hideMark/>
          </w:tcPr>
          <w:p w14:paraId="0DB4236F" w14:textId="77777777" w:rsidR="00954688" w:rsidRPr="003B11A7" w:rsidRDefault="00954688" w:rsidP="000C49A5">
            <w:pPr>
              <w:spacing w:before="0"/>
              <w:jc w:val="left"/>
              <w:rPr>
                <w:rFonts w:eastAsia="Times New Roman" w:cstheme="minorHAnsi"/>
                <w:color w:val="000000"/>
                <w:sz w:val="18"/>
                <w:szCs w:val="18"/>
                <w:lang w:eastAsia="cs-CZ"/>
              </w:rPr>
            </w:pPr>
            <w:r w:rsidRPr="003B11A7">
              <w:rPr>
                <w:rFonts w:eastAsia="Times New Roman" w:cstheme="minorHAnsi"/>
                <w:color w:val="000000"/>
                <w:sz w:val="18"/>
                <w:szCs w:val="18"/>
                <w:lang w:eastAsia="cs-CZ"/>
              </w:rPr>
              <w:t>Školství</w:t>
            </w:r>
          </w:p>
        </w:tc>
        <w:tc>
          <w:tcPr>
            <w:tcW w:w="960" w:type="dxa"/>
            <w:tcBorders>
              <w:top w:val="nil"/>
              <w:left w:val="nil"/>
              <w:bottom w:val="single" w:sz="8" w:space="0" w:color="auto"/>
              <w:right w:val="single" w:sz="8" w:space="0" w:color="auto"/>
            </w:tcBorders>
            <w:shd w:val="clear" w:color="auto" w:fill="auto"/>
            <w:noWrap/>
            <w:vAlign w:val="center"/>
            <w:hideMark/>
          </w:tcPr>
          <w:p w14:paraId="52C01B09"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74,48</w:t>
            </w:r>
          </w:p>
        </w:tc>
        <w:tc>
          <w:tcPr>
            <w:tcW w:w="960" w:type="dxa"/>
            <w:tcBorders>
              <w:top w:val="nil"/>
              <w:left w:val="nil"/>
              <w:bottom w:val="single" w:sz="8" w:space="0" w:color="auto"/>
              <w:right w:val="single" w:sz="8" w:space="0" w:color="auto"/>
            </w:tcBorders>
            <w:shd w:val="clear" w:color="auto" w:fill="auto"/>
            <w:noWrap/>
            <w:vAlign w:val="center"/>
            <w:hideMark/>
          </w:tcPr>
          <w:p w14:paraId="2EDA0D93"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77,2</w:t>
            </w:r>
          </w:p>
        </w:tc>
        <w:tc>
          <w:tcPr>
            <w:tcW w:w="960" w:type="dxa"/>
            <w:tcBorders>
              <w:top w:val="nil"/>
              <w:left w:val="nil"/>
              <w:bottom w:val="single" w:sz="8" w:space="0" w:color="auto"/>
              <w:right w:val="single" w:sz="8" w:space="0" w:color="auto"/>
            </w:tcBorders>
            <w:shd w:val="clear" w:color="auto" w:fill="auto"/>
            <w:noWrap/>
            <w:vAlign w:val="center"/>
            <w:hideMark/>
          </w:tcPr>
          <w:p w14:paraId="7E478A0E"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80,9</w:t>
            </w:r>
          </w:p>
        </w:tc>
        <w:tc>
          <w:tcPr>
            <w:tcW w:w="960" w:type="dxa"/>
            <w:tcBorders>
              <w:top w:val="nil"/>
              <w:left w:val="nil"/>
              <w:bottom w:val="single" w:sz="8" w:space="0" w:color="auto"/>
              <w:right w:val="single" w:sz="8" w:space="0" w:color="auto"/>
            </w:tcBorders>
            <w:shd w:val="clear" w:color="auto" w:fill="auto"/>
            <w:noWrap/>
            <w:vAlign w:val="center"/>
            <w:hideMark/>
          </w:tcPr>
          <w:p w14:paraId="19882A22"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81,87</w:t>
            </w:r>
          </w:p>
        </w:tc>
        <w:tc>
          <w:tcPr>
            <w:tcW w:w="960" w:type="dxa"/>
            <w:tcBorders>
              <w:top w:val="nil"/>
              <w:left w:val="nil"/>
              <w:bottom w:val="single" w:sz="8" w:space="0" w:color="auto"/>
              <w:right w:val="single" w:sz="8" w:space="0" w:color="auto"/>
            </w:tcBorders>
            <w:shd w:val="clear" w:color="auto" w:fill="auto"/>
            <w:noWrap/>
            <w:vAlign w:val="center"/>
            <w:hideMark/>
          </w:tcPr>
          <w:p w14:paraId="17C51553"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80</w:t>
            </w:r>
          </w:p>
        </w:tc>
        <w:tc>
          <w:tcPr>
            <w:tcW w:w="960" w:type="dxa"/>
            <w:tcBorders>
              <w:top w:val="nil"/>
              <w:left w:val="nil"/>
              <w:bottom w:val="single" w:sz="8" w:space="0" w:color="auto"/>
              <w:right w:val="single" w:sz="8" w:space="0" w:color="auto"/>
            </w:tcBorders>
            <w:shd w:val="clear" w:color="auto" w:fill="auto"/>
            <w:noWrap/>
            <w:vAlign w:val="center"/>
            <w:hideMark/>
          </w:tcPr>
          <w:p w14:paraId="7ECFC2C0"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82,3</w:t>
            </w:r>
          </w:p>
        </w:tc>
      </w:tr>
      <w:tr w:rsidR="00954688" w:rsidRPr="003B11A7" w14:paraId="0C357BB3" w14:textId="77777777" w:rsidTr="000C49A5">
        <w:trPr>
          <w:trHeight w:val="315"/>
        </w:trPr>
        <w:tc>
          <w:tcPr>
            <w:tcW w:w="2860" w:type="dxa"/>
            <w:tcBorders>
              <w:top w:val="nil"/>
              <w:left w:val="single" w:sz="8" w:space="0" w:color="auto"/>
              <w:bottom w:val="nil"/>
              <w:right w:val="single" w:sz="8" w:space="0" w:color="auto"/>
            </w:tcBorders>
            <w:shd w:val="clear" w:color="auto" w:fill="auto"/>
            <w:noWrap/>
            <w:vAlign w:val="center"/>
            <w:hideMark/>
          </w:tcPr>
          <w:p w14:paraId="5F5F7517" w14:textId="77777777" w:rsidR="00954688" w:rsidRPr="003B11A7" w:rsidRDefault="00954688" w:rsidP="000C49A5">
            <w:pPr>
              <w:spacing w:before="0"/>
              <w:jc w:val="left"/>
              <w:rPr>
                <w:rFonts w:eastAsia="Times New Roman" w:cstheme="minorHAnsi"/>
                <w:color w:val="000000"/>
                <w:sz w:val="18"/>
                <w:szCs w:val="18"/>
                <w:lang w:eastAsia="cs-CZ"/>
              </w:rPr>
            </w:pPr>
            <w:r w:rsidRPr="003B11A7">
              <w:rPr>
                <w:rFonts w:eastAsia="Times New Roman" w:cstheme="minorHAnsi"/>
                <w:color w:val="000000"/>
                <w:sz w:val="18"/>
                <w:szCs w:val="18"/>
                <w:lang w:eastAsia="cs-CZ"/>
              </w:rPr>
              <w:t xml:space="preserve">Ostatní </w:t>
            </w:r>
          </w:p>
        </w:tc>
        <w:tc>
          <w:tcPr>
            <w:tcW w:w="960" w:type="dxa"/>
            <w:tcBorders>
              <w:top w:val="nil"/>
              <w:left w:val="nil"/>
              <w:bottom w:val="nil"/>
              <w:right w:val="single" w:sz="8" w:space="0" w:color="auto"/>
            </w:tcBorders>
            <w:shd w:val="clear" w:color="auto" w:fill="auto"/>
            <w:noWrap/>
            <w:vAlign w:val="center"/>
            <w:hideMark/>
          </w:tcPr>
          <w:p w14:paraId="6C1BE58B"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44,11</w:t>
            </w:r>
          </w:p>
        </w:tc>
        <w:tc>
          <w:tcPr>
            <w:tcW w:w="960" w:type="dxa"/>
            <w:tcBorders>
              <w:top w:val="nil"/>
              <w:left w:val="nil"/>
              <w:bottom w:val="nil"/>
              <w:right w:val="single" w:sz="8" w:space="0" w:color="auto"/>
            </w:tcBorders>
            <w:shd w:val="clear" w:color="auto" w:fill="auto"/>
            <w:noWrap/>
            <w:vAlign w:val="center"/>
            <w:hideMark/>
          </w:tcPr>
          <w:p w14:paraId="0541FECF"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40,92</w:t>
            </w:r>
          </w:p>
        </w:tc>
        <w:tc>
          <w:tcPr>
            <w:tcW w:w="960" w:type="dxa"/>
            <w:tcBorders>
              <w:top w:val="nil"/>
              <w:left w:val="nil"/>
              <w:bottom w:val="nil"/>
              <w:right w:val="single" w:sz="8" w:space="0" w:color="auto"/>
            </w:tcBorders>
            <w:shd w:val="clear" w:color="auto" w:fill="auto"/>
            <w:noWrap/>
            <w:vAlign w:val="center"/>
            <w:hideMark/>
          </w:tcPr>
          <w:p w14:paraId="4FD901AC"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41,07</w:t>
            </w:r>
          </w:p>
        </w:tc>
        <w:tc>
          <w:tcPr>
            <w:tcW w:w="960" w:type="dxa"/>
            <w:tcBorders>
              <w:top w:val="nil"/>
              <w:left w:val="nil"/>
              <w:bottom w:val="nil"/>
              <w:right w:val="single" w:sz="8" w:space="0" w:color="auto"/>
            </w:tcBorders>
            <w:shd w:val="clear" w:color="auto" w:fill="auto"/>
            <w:noWrap/>
            <w:vAlign w:val="center"/>
            <w:hideMark/>
          </w:tcPr>
          <w:p w14:paraId="5321FF58"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44,81</w:t>
            </w:r>
          </w:p>
        </w:tc>
        <w:tc>
          <w:tcPr>
            <w:tcW w:w="960" w:type="dxa"/>
            <w:tcBorders>
              <w:top w:val="nil"/>
              <w:left w:val="nil"/>
              <w:bottom w:val="nil"/>
              <w:right w:val="single" w:sz="8" w:space="0" w:color="auto"/>
            </w:tcBorders>
            <w:shd w:val="clear" w:color="auto" w:fill="auto"/>
            <w:noWrap/>
            <w:vAlign w:val="center"/>
            <w:hideMark/>
          </w:tcPr>
          <w:p w14:paraId="5A4DC755"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68,19</w:t>
            </w:r>
          </w:p>
        </w:tc>
        <w:tc>
          <w:tcPr>
            <w:tcW w:w="960" w:type="dxa"/>
            <w:tcBorders>
              <w:top w:val="nil"/>
              <w:left w:val="nil"/>
              <w:bottom w:val="nil"/>
              <w:right w:val="single" w:sz="8" w:space="0" w:color="auto"/>
            </w:tcBorders>
            <w:shd w:val="clear" w:color="auto" w:fill="auto"/>
            <w:noWrap/>
            <w:vAlign w:val="center"/>
            <w:hideMark/>
          </w:tcPr>
          <w:p w14:paraId="74E4E516" w14:textId="77777777" w:rsidR="00954688" w:rsidRPr="003B11A7" w:rsidRDefault="00954688" w:rsidP="000C49A5">
            <w:pPr>
              <w:spacing w:before="0"/>
              <w:jc w:val="right"/>
              <w:rPr>
                <w:rFonts w:eastAsia="Times New Roman" w:cstheme="minorHAnsi"/>
                <w:color w:val="000000"/>
                <w:sz w:val="18"/>
                <w:szCs w:val="18"/>
                <w:lang w:eastAsia="cs-CZ"/>
              </w:rPr>
            </w:pPr>
            <w:r w:rsidRPr="003B11A7">
              <w:rPr>
                <w:rFonts w:eastAsia="Times New Roman" w:cstheme="minorHAnsi"/>
                <w:color w:val="000000"/>
                <w:sz w:val="18"/>
                <w:szCs w:val="18"/>
                <w:lang w:eastAsia="cs-CZ"/>
              </w:rPr>
              <w:t>61,44</w:t>
            </w:r>
          </w:p>
        </w:tc>
      </w:tr>
      <w:tr w:rsidR="00954688" w:rsidRPr="003B11A7" w14:paraId="464CEFA6" w14:textId="77777777" w:rsidTr="000C49A5">
        <w:trPr>
          <w:trHeight w:val="315"/>
        </w:trPr>
        <w:tc>
          <w:tcPr>
            <w:tcW w:w="2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AD73B7E" w14:textId="77777777" w:rsidR="00954688" w:rsidRPr="003B11A7" w:rsidRDefault="00954688" w:rsidP="000C49A5">
            <w:pPr>
              <w:spacing w:before="0"/>
              <w:jc w:val="left"/>
              <w:rPr>
                <w:rFonts w:eastAsia="Times New Roman" w:cstheme="minorHAnsi"/>
                <w:b/>
                <w:bCs/>
                <w:color w:val="000000"/>
                <w:sz w:val="18"/>
                <w:szCs w:val="18"/>
                <w:lang w:eastAsia="cs-CZ"/>
              </w:rPr>
            </w:pPr>
            <w:r w:rsidRPr="003B11A7">
              <w:rPr>
                <w:rFonts w:eastAsia="Times New Roman" w:cstheme="minorHAnsi"/>
                <w:b/>
                <w:bCs/>
                <w:color w:val="000000"/>
                <w:sz w:val="18"/>
                <w:szCs w:val="18"/>
                <w:lang w:eastAsia="cs-CZ"/>
              </w:rPr>
              <w:t>Celkem</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2E125D31" w14:textId="77777777" w:rsidR="00954688" w:rsidRPr="003B11A7" w:rsidRDefault="00954688" w:rsidP="000C49A5">
            <w:pPr>
              <w:spacing w:before="0"/>
              <w:jc w:val="right"/>
              <w:rPr>
                <w:rFonts w:eastAsia="Times New Roman" w:cstheme="minorHAnsi"/>
                <w:b/>
                <w:bCs/>
                <w:color w:val="000000"/>
                <w:sz w:val="18"/>
                <w:szCs w:val="18"/>
                <w:lang w:eastAsia="cs-CZ"/>
              </w:rPr>
            </w:pPr>
            <w:r w:rsidRPr="003B11A7">
              <w:rPr>
                <w:rFonts w:eastAsia="Times New Roman" w:cstheme="minorHAnsi"/>
                <w:b/>
                <w:bCs/>
                <w:color w:val="000000"/>
                <w:sz w:val="18"/>
                <w:szCs w:val="18"/>
                <w:lang w:eastAsia="cs-CZ"/>
              </w:rPr>
              <w:t>259,58</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118DE391" w14:textId="77777777" w:rsidR="00954688" w:rsidRPr="003B11A7" w:rsidRDefault="00954688" w:rsidP="000C49A5">
            <w:pPr>
              <w:spacing w:before="0"/>
              <w:jc w:val="right"/>
              <w:rPr>
                <w:rFonts w:eastAsia="Times New Roman" w:cstheme="minorHAnsi"/>
                <w:b/>
                <w:bCs/>
                <w:color w:val="000000"/>
                <w:sz w:val="18"/>
                <w:szCs w:val="18"/>
                <w:lang w:eastAsia="cs-CZ"/>
              </w:rPr>
            </w:pPr>
            <w:r w:rsidRPr="003B11A7">
              <w:rPr>
                <w:rFonts w:eastAsia="Times New Roman" w:cstheme="minorHAnsi"/>
                <w:b/>
                <w:bCs/>
                <w:color w:val="000000"/>
                <w:sz w:val="18"/>
                <w:szCs w:val="18"/>
                <w:lang w:eastAsia="cs-CZ"/>
              </w:rPr>
              <w:t>260,59</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0B5FDF16" w14:textId="77777777" w:rsidR="00954688" w:rsidRPr="003B11A7" w:rsidRDefault="00954688" w:rsidP="000C49A5">
            <w:pPr>
              <w:spacing w:before="0"/>
              <w:jc w:val="right"/>
              <w:rPr>
                <w:rFonts w:eastAsia="Times New Roman" w:cstheme="minorHAnsi"/>
                <w:b/>
                <w:bCs/>
                <w:color w:val="000000"/>
                <w:sz w:val="18"/>
                <w:szCs w:val="18"/>
                <w:lang w:eastAsia="cs-CZ"/>
              </w:rPr>
            </w:pPr>
            <w:r w:rsidRPr="003B11A7">
              <w:rPr>
                <w:rFonts w:eastAsia="Times New Roman" w:cstheme="minorHAnsi"/>
                <w:b/>
                <w:bCs/>
                <w:color w:val="000000"/>
                <w:sz w:val="18"/>
                <w:szCs w:val="18"/>
                <w:lang w:eastAsia="cs-CZ"/>
              </w:rPr>
              <w:t>274,7</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77FE0550" w14:textId="77777777" w:rsidR="00954688" w:rsidRPr="003B11A7" w:rsidRDefault="00954688" w:rsidP="000C49A5">
            <w:pPr>
              <w:spacing w:before="0"/>
              <w:jc w:val="right"/>
              <w:rPr>
                <w:rFonts w:eastAsia="Times New Roman" w:cstheme="minorHAnsi"/>
                <w:b/>
                <w:bCs/>
                <w:color w:val="000000"/>
                <w:sz w:val="18"/>
                <w:szCs w:val="18"/>
                <w:lang w:eastAsia="cs-CZ"/>
              </w:rPr>
            </w:pPr>
            <w:r w:rsidRPr="003B11A7">
              <w:rPr>
                <w:rFonts w:eastAsia="Times New Roman" w:cstheme="minorHAnsi"/>
                <w:b/>
                <w:bCs/>
                <w:color w:val="000000"/>
                <w:sz w:val="18"/>
                <w:szCs w:val="18"/>
                <w:lang w:eastAsia="cs-CZ"/>
              </w:rPr>
              <w:t>286,81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71EC259" w14:textId="77777777" w:rsidR="00954688" w:rsidRPr="003B11A7" w:rsidRDefault="00954688" w:rsidP="000C49A5">
            <w:pPr>
              <w:spacing w:before="0"/>
              <w:jc w:val="right"/>
              <w:rPr>
                <w:rFonts w:eastAsia="Times New Roman" w:cstheme="minorHAnsi"/>
                <w:b/>
                <w:bCs/>
                <w:color w:val="000000"/>
                <w:sz w:val="18"/>
                <w:szCs w:val="18"/>
                <w:lang w:eastAsia="cs-CZ"/>
              </w:rPr>
            </w:pPr>
            <w:r w:rsidRPr="003B11A7">
              <w:rPr>
                <w:rFonts w:eastAsia="Times New Roman" w:cstheme="minorHAnsi"/>
                <w:b/>
                <w:bCs/>
                <w:color w:val="000000"/>
                <w:sz w:val="18"/>
                <w:szCs w:val="18"/>
                <w:lang w:eastAsia="cs-CZ"/>
              </w:rPr>
              <w:t>322,87</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2212CCF1" w14:textId="77777777" w:rsidR="00954688" w:rsidRPr="003B11A7" w:rsidRDefault="00954688" w:rsidP="000C49A5">
            <w:pPr>
              <w:spacing w:before="0"/>
              <w:jc w:val="right"/>
              <w:rPr>
                <w:rFonts w:eastAsia="Times New Roman" w:cstheme="minorHAnsi"/>
                <w:b/>
                <w:bCs/>
                <w:color w:val="000000"/>
                <w:sz w:val="18"/>
                <w:szCs w:val="18"/>
                <w:lang w:eastAsia="cs-CZ"/>
              </w:rPr>
            </w:pPr>
            <w:r w:rsidRPr="003B11A7">
              <w:rPr>
                <w:rFonts w:eastAsia="Times New Roman" w:cstheme="minorHAnsi"/>
                <w:b/>
                <w:bCs/>
                <w:color w:val="000000"/>
                <w:sz w:val="18"/>
                <w:szCs w:val="18"/>
                <w:lang w:eastAsia="cs-CZ"/>
              </w:rPr>
              <w:t>327,33</w:t>
            </w:r>
          </w:p>
        </w:tc>
      </w:tr>
    </w:tbl>
    <w:p w14:paraId="109292B1" w14:textId="770A589F" w:rsidR="00954688" w:rsidRDefault="00954688" w:rsidP="00954688">
      <w:pPr>
        <w:pStyle w:val="zdroj0"/>
      </w:pPr>
      <w:r>
        <w:t>Zdroj: MMZ, Odbor ekonomický, 2020</w:t>
      </w:r>
      <w:r w:rsidR="00EC22C4">
        <w:t>.</w:t>
      </w:r>
    </w:p>
    <w:p w14:paraId="62124C8B" w14:textId="3CF46A13" w:rsidR="00954688" w:rsidRPr="0061589F" w:rsidRDefault="00954688" w:rsidP="00954688">
      <w:pPr>
        <w:spacing w:before="0"/>
        <w:rPr>
          <w:rFonts w:ascii="Calibri" w:eastAsia="Times New Roman" w:hAnsi="Calibri" w:cs="Calibri"/>
          <w:color w:val="000000"/>
          <w:lang w:eastAsia="cs-CZ"/>
        </w:rPr>
      </w:pPr>
      <w:r>
        <w:t xml:space="preserve">Město má zřízeny účelové fondy, prostřednictvím kterých poskytuje dotace. </w:t>
      </w:r>
      <w:r w:rsidRPr="00E147A1">
        <w:t>Přehled o výš</w:t>
      </w:r>
      <w:r w:rsidR="00EA4CBD">
        <w:t>i skutečně poskytnutých dotací</w:t>
      </w:r>
      <w:r w:rsidRPr="00E147A1">
        <w:t xml:space="preserve"> je uveden v</w:t>
      </w:r>
      <w:r w:rsidR="00EA4CBD">
        <w:t> </w:t>
      </w:r>
      <w:r w:rsidRPr="00E147A1">
        <w:t>tabulce</w:t>
      </w:r>
      <w:r w:rsidR="00EA4CBD">
        <w:t xml:space="preserve"> 1.7</w:t>
      </w:r>
      <w:r w:rsidR="00602924">
        <w:t>4</w:t>
      </w:r>
      <w:r w:rsidRPr="00E147A1">
        <w:t>.</w:t>
      </w:r>
      <w:r>
        <w:t xml:space="preserve"> Nejvíce prostředků je k dispozici v rámci Fondu sociálního. Výše prostředků činila </w:t>
      </w:r>
      <w:r w:rsidRPr="00E147A1">
        <w:t>20 825</w:t>
      </w:r>
      <w:r>
        <w:t> </w:t>
      </w:r>
      <w:r w:rsidRPr="00E147A1">
        <w:t>576</w:t>
      </w:r>
      <w:r>
        <w:t xml:space="preserve"> Kč v roce 2019. Dotace byla poskytnuta v celkové výši </w:t>
      </w:r>
      <w:r w:rsidRPr="00E147A1">
        <w:t>16</w:t>
      </w:r>
      <w:r w:rsidR="00EC22C4">
        <w:t> </w:t>
      </w:r>
      <w:r w:rsidRPr="00E147A1">
        <w:t>987</w:t>
      </w:r>
      <w:r>
        <w:t> </w:t>
      </w:r>
      <w:r w:rsidRPr="00E147A1">
        <w:t>000</w:t>
      </w:r>
      <w:r>
        <w:t xml:space="preserve"> Kč celkem 29 příjemcům. Nejvyšší částka byla poskytnuta Charitě Zlín (3 481 000 Kč), dále NADĚJI (1 729 000 Kč) a společnosti ABAPO, s.r.o. (1 534 000 Kč). Druhým největším fondem je </w:t>
      </w:r>
      <w:r w:rsidRPr="00E147A1">
        <w:t>Fond mládeže a tělovýchovy</w:t>
      </w:r>
      <w:r>
        <w:t xml:space="preserve">. V rámci tohoto fondu činila výše příspěvků v roce 2019 celkem </w:t>
      </w:r>
      <w:r w:rsidRPr="0059674C">
        <w:t>8 549</w:t>
      </w:r>
      <w:r>
        <w:t> </w:t>
      </w:r>
      <w:r w:rsidRPr="0059674C">
        <w:t>278</w:t>
      </w:r>
      <w:r>
        <w:t xml:space="preserve"> Kč. Celkem 122 příjemcům bylo z fondu mládeže a sportu v roce 2019 vyplaceno </w:t>
      </w:r>
      <w:r w:rsidRPr="0061589F">
        <w:t>8 081</w:t>
      </w:r>
      <w:r>
        <w:t> </w:t>
      </w:r>
      <w:r w:rsidRPr="0061589F">
        <w:t>235</w:t>
      </w:r>
      <w:r>
        <w:t xml:space="preserve"> Kč. Výše kulturního fondu se meziročně snížila mezi lety 2018 – 2019 o </w:t>
      </w:r>
      <w:r w:rsidRPr="0061589F">
        <w:rPr>
          <w:rFonts w:ascii="Calibri" w:eastAsia="Times New Roman" w:hAnsi="Calibri" w:cs="Calibri"/>
          <w:color w:val="000000"/>
          <w:lang w:eastAsia="cs-CZ"/>
        </w:rPr>
        <w:t>7 758</w:t>
      </w:r>
      <w:r>
        <w:rPr>
          <w:rFonts w:ascii="Calibri" w:eastAsia="Times New Roman" w:hAnsi="Calibri" w:cs="Calibri"/>
          <w:color w:val="000000"/>
          <w:lang w:eastAsia="cs-CZ"/>
        </w:rPr>
        <w:t> </w:t>
      </w:r>
      <w:r w:rsidRPr="0061589F">
        <w:rPr>
          <w:rFonts w:ascii="Calibri" w:eastAsia="Times New Roman" w:hAnsi="Calibri" w:cs="Calibri"/>
          <w:color w:val="000000"/>
          <w:lang w:eastAsia="cs-CZ"/>
        </w:rPr>
        <w:t>965</w:t>
      </w:r>
      <w:r>
        <w:rPr>
          <w:rFonts w:ascii="Calibri" w:eastAsia="Times New Roman" w:hAnsi="Calibri" w:cs="Calibri"/>
          <w:color w:val="000000"/>
          <w:lang w:eastAsia="cs-CZ"/>
        </w:rPr>
        <w:t xml:space="preserve"> Kč. V roce 2018 byl zřízen Filmový fond.</w:t>
      </w:r>
      <w:r>
        <w:t xml:space="preserve"> </w:t>
      </w:r>
    </w:p>
    <w:p w14:paraId="730F4BD5" w14:textId="0C9F046B" w:rsidR="00954688" w:rsidRDefault="00954688" w:rsidP="00954688">
      <w:pPr>
        <w:pStyle w:val="Titulek"/>
      </w:pPr>
      <w:bookmarkStart w:id="500" w:name="_Toc53066232"/>
      <w:bookmarkStart w:id="501" w:name="_Toc77074754"/>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74</w:t>
      </w:r>
      <w:r w:rsidR="00081B47">
        <w:rPr>
          <w:noProof/>
        </w:rPr>
        <w:fldChar w:fldCharType="end"/>
      </w:r>
      <w:r w:rsidR="00EC22C4">
        <w:rPr>
          <w:noProof/>
        </w:rPr>
        <w:t>:</w:t>
      </w:r>
      <w:r>
        <w:t xml:space="preserve"> </w:t>
      </w:r>
      <w:r w:rsidRPr="00E147A1">
        <w:t>Přehled o tvorbě a čerpání účelových fondů statutárního města Zlína za roky 2017 až 2019</w:t>
      </w:r>
      <w:bookmarkEnd w:id="500"/>
      <w:bookmarkEnd w:id="501"/>
    </w:p>
    <w:tbl>
      <w:tblPr>
        <w:tblW w:w="9073" w:type="dxa"/>
        <w:tblInd w:w="-5" w:type="dxa"/>
        <w:tblCellMar>
          <w:left w:w="70" w:type="dxa"/>
          <w:right w:w="70" w:type="dxa"/>
        </w:tblCellMar>
        <w:tblLook w:val="04A0" w:firstRow="1" w:lastRow="0" w:firstColumn="1" w:lastColumn="0" w:noHBand="0" w:noVBand="1"/>
      </w:tblPr>
      <w:tblGrid>
        <w:gridCol w:w="2694"/>
        <w:gridCol w:w="1134"/>
        <w:gridCol w:w="993"/>
        <w:gridCol w:w="1133"/>
        <w:gridCol w:w="993"/>
        <w:gridCol w:w="1134"/>
        <w:gridCol w:w="992"/>
      </w:tblGrid>
      <w:tr w:rsidR="00954688" w:rsidRPr="00E147A1" w14:paraId="2824C928" w14:textId="77777777" w:rsidTr="004B1217">
        <w:trPr>
          <w:trHeight w:val="70"/>
        </w:trPr>
        <w:tc>
          <w:tcPr>
            <w:tcW w:w="2694" w:type="dxa"/>
            <w:vMerge w:val="restar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CDD1454"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Název fondu</w:t>
            </w:r>
          </w:p>
        </w:tc>
        <w:tc>
          <w:tcPr>
            <w:tcW w:w="2127"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3861AE5C"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2017</w:t>
            </w:r>
          </w:p>
        </w:tc>
        <w:tc>
          <w:tcPr>
            <w:tcW w:w="2126"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166AE314"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2018</w:t>
            </w:r>
          </w:p>
        </w:tc>
        <w:tc>
          <w:tcPr>
            <w:tcW w:w="2126"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1D964013"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2019</w:t>
            </w:r>
          </w:p>
        </w:tc>
      </w:tr>
      <w:tr w:rsidR="00954688" w:rsidRPr="00E147A1" w14:paraId="5D08D5E2" w14:textId="77777777" w:rsidTr="004B1217">
        <w:trPr>
          <w:trHeight w:val="525"/>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2645DC79" w14:textId="77777777" w:rsidR="00954688" w:rsidRPr="00E147A1" w:rsidRDefault="00954688" w:rsidP="000C49A5">
            <w:pPr>
              <w:spacing w:before="0"/>
              <w:jc w:val="left"/>
              <w:rPr>
                <w:rFonts w:ascii="Calibri" w:eastAsia="Times New Roman" w:hAnsi="Calibri" w:cs="Calibri"/>
                <w:b/>
                <w:bCs/>
                <w:color w:val="000000"/>
                <w:sz w:val="18"/>
                <w:szCs w:val="18"/>
                <w:lang w:eastAsia="cs-CZ"/>
              </w:rPr>
            </w:pPr>
          </w:p>
        </w:tc>
        <w:tc>
          <w:tcPr>
            <w:tcW w:w="1134" w:type="dxa"/>
            <w:tcBorders>
              <w:top w:val="nil"/>
              <w:left w:val="nil"/>
              <w:bottom w:val="single" w:sz="4" w:space="0" w:color="auto"/>
              <w:right w:val="single" w:sz="4" w:space="0" w:color="auto"/>
            </w:tcBorders>
            <w:shd w:val="clear" w:color="000000" w:fill="D9D9D9"/>
            <w:vAlign w:val="bottom"/>
            <w:hideMark/>
          </w:tcPr>
          <w:p w14:paraId="6127D8BC"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Výše prostředků fondu</w:t>
            </w:r>
          </w:p>
        </w:tc>
        <w:tc>
          <w:tcPr>
            <w:tcW w:w="993" w:type="dxa"/>
            <w:tcBorders>
              <w:top w:val="nil"/>
              <w:left w:val="nil"/>
              <w:bottom w:val="single" w:sz="4" w:space="0" w:color="auto"/>
              <w:right w:val="single" w:sz="4" w:space="0" w:color="auto"/>
            </w:tcBorders>
            <w:shd w:val="clear" w:color="000000" w:fill="D9D9D9"/>
            <w:vAlign w:val="bottom"/>
            <w:hideMark/>
          </w:tcPr>
          <w:p w14:paraId="50B288C6"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Čerpání fondu</w:t>
            </w:r>
          </w:p>
        </w:tc>
        <w:tc>
          <w:tcPr>
            <w:tcW w:w="1133" w:type="dxa"/>
            <w:tcBorders>
              <w:top w:val="nil"/>
              <w:left w:val="nil"/>
              <w:bottom w:val="single" w:sz="4" w:space="0" w:color="auto"/>
              <w:right w:val="single" w:sz="4" w:space="0" w:color="auto"/>
            </w:tcBorders>
            <w:shd w:val="clear" w:color="000000" w:fill="D9D9D9"/>
            <w:vAlign w:val="bottom"/>
            <w:hideMark/>
          </w:tcPr>
          <w:p w14:paraId="6C360405"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Výše prostředků fondu</w:t>
            </w:r>
          </w:p>
        </w:tc>
        <w:tc>
          <w:tcPr>
            <w:tcW w:w="993" w:type="dxa"/>
            <w:tcBorders>
              <w:top w:val="nil"/>
              <w:left w:val="nil"/>
              <w:bottom w:val="single" w:sz="4" w:space="0" w:color="auto"/>
              <w:right w:val="single" w:sz="4" w:space="0" w:color="auto"/>
            </w:tcBorders>
            <w:shd w:val="clear" w:color="000000" w:fill="D9D9D9"/>
            <w:vAlign w:val="bottom"/>
            <w:hideMark/>
          </w:tcPr>
          <w:p w14:paraId="6F4529D3"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Čerpání fondu</w:t>
            </w:r>
          </w:p>
        </w:tc>
        <w:tc>
          <w:tcPr>
            <w:tcW w:w="1134" w:type="dxa"/>
            <w:tcBorders>
              <w:top w:val="nil"/>
              <w:left w:val="nil"/>
              <w:bottom w:val="single" w:sz="4" w:space="0" w:color="auto"/>
              <w:right w:val="single" w:sz="4" w:space="0" w:color="auto"/>
            </w:tcBorders>
            <w:shd w:val="clear" w:color="000000" w:fill="D9D9D9"/>
            <w:vAlign w:val="bottom"/>
            <w:hideMark/>
          </w:tcPr>
          <w:p w14:paraId="4B628727"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Výše prostředků fondu</w:t>
            </w:r>
          </w:p>
        </w:tc>
        <w:tc>
          <w:tcPr>
            <w:tcW w:w="992" w:type="dxa"/>
            <w:tcBorders>
              <w:top w:val="nil"/>
              <w:left w:val="nil"/>
              <w:bottom w:val="single" w:sz="4" w:space="0" w:color="auto"/>
              <w:right w:val="single" w:sz="4" w:space="0" w:color="auto"/>
            </w:tcBorders>
            <w:shd w:val="clear" w:color="000000" w:fill="D9D9D9"/>
            <w:vAlign w:val="bottom"/>
            <w:hideMark/>
          </w:tcPr>
          <w:p w14:paraId="1DE7B49E" w14:textId="77777777" w:rsidR="00954688" w:rsidRPr="00E147A1" w:rsidRDefault="00954688" w:rsidP="000C49A5">
            <w:pPr>
              <w:spacing w:before="0"/>
              <w:jc w:val="center"/>
              <w:rPr>
                <w:rFonts w:ascii="Calibri" w:eastAsia="Times New Roman" w:hAnsi="Calibri" w:cs="Calibri"/>
                <w:b/>
                <w:bCs/>
                <w:color w:val="000000"/>
                <w:sz w:val="18"/>
                <w:szCs w:val="18"/>
                <w:lang w:eastAsia="cs-CZ"/>
              </w:rPr>
            </w:pPr>
            <w:r w:rsidRPr="00E147A1">
              <w:rPr>
                <w:rFonts w:ascii="Calibri" w:eastAsia="Times New Roman" w:hAnsi="Calibri" w:cs="Calibri"/>
                <w:b/>
                <w:bCs/>
                <w:color w:val="000000"/>
                <w:sz w:val="18"/>
                <w:szCs w:val="18"/>
                <w:lang w:eastAsia="cs-CZ"/>
              </w:rPr>
              <w:t>Čerpání fondu</w:t>
            </w:r>
          </w:p>
        </w:tc>
      </w:tr>
      <w:tr w:rsidR="00954688" w:rsidRPr="00E147A1" w14:paraId="02EB5969"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370219B1"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Ekofond</w:t>
            </w:r>
          </w:p>
        </w:tc>
        <w:tc>
          <w:tcPr>
            <w:tcW w:w="1134" w:type="dxa"/>
            <w:tcBorders>
              <w:top w:val="nil"/>
              <w:left w:val="nil"/>
              <w:bottom w:val="single" w:sz="4" w:space="0" w:color="auto"/>
              <w:right w:val="single" w:sz="4" w:space="0" w:color="auto"/>
            </w:tcBorders>
            <w:shd w:val="clear" w:color="auto" w:fill="auto"/>
            <w:noWrap/>
            <w:vAlign w:val="bottom"/>
            <w:hideMark/>
          </w:tcPr>
          <w:p w14:paraId="66A065ED"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1 849 771</w:t>
            </w:r>
          </w:p>
        </w:tc>
        <w:tc>
          <w:tcPr>
            <w:tcW w:w="993" w:type="dxa"/>
            <w:tcBorders>
              <w:top w:val="nil"/>
              <w:left w:val="nil"/>
              <w:bottom w:val="single" w:sz="4" w:space="0" w:color="auto"/>
              <w:right w:val="single" w:sz="4" w:space="0" w:color="auto"/>
            </w:tcBorders>
            <w:shd w:val="clear" w:color="auto" w:fill="auto"/>
            <w:noWrap/>
            <w:vAlign w:val="bottom"/>
            <w:hideMark/>
          </w:tcPr>
          <w:p w14:paraId="32733201"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418 314</w:t>
            </w:r>
          </w:p>
        </w:tc>
        <w:tc>
          <w:tcPr>
            <w:tcW w:w="1133" w:type="dxa"/>
            <w:tcBorders>
              <w:top w:val="nil"/>
              <w:left w:val="nil"/>
              <w:bottom w:val="single" w:sz="4" w:space="0" w:color="auto"/>
              <w:right w:val="single" w:sz="4" w:space="0" w:color="auto"/>
            </w:tcBorders>
            <w:shd w:val="clear" w:color="auto" w:fill="auto"/>
            <w:noWrap/>
            <w:vAlign w:val="bottom"/>
            <w:hideMark/>
          </w:tcPr>
          <w:p w14:paraId="08522257"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1 913 635</w:t>
            </w:r>
          </w:p>
        </w:tc>
        <w:tc>
          <w:tcPr>
            <w:tcW w:w="993" w:type="dxa"/>
            <w:tcBorders>
              <w:top w:val="nil"/>
              <w:left w:val="nil"/>
              <w:bottom w:val="single" w:sz="4" w:space="0" w:color="auto"/>
              <w:right w:val="single" w:sz="4" w:space="0" w:color="auto"/>
            </w:tcBorders>
            <w:shd w:val="clear" w:color="auto" w:fill="auto"/>
            <w:noWrap/>
            <w:vAlign w:val="bottom"/>
            <w:hideMark/>
          </w:tcPr>
          <w:p w14:paraId="51FC0C24"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430 768</w:t>
            </w:r>
          </w:p>
        </w:tc>
        <w:tc>
          <w:tcPr>
            <w:tcW w:w="1134" w:type="dxa"/>
            <w:tcBorders>
              <w:top w:val="nil"/>
              <w:left w:val="nil"/>
              <w:bottom w:val="single" w:sz="4" w:space="0" w:color="auto"/>
              <w:right w:val="single" w:sz="4" w:space="0" w:color="auto"/>
            </w:tcBorders>
            <w:shd w:val="clear" w:color="auto" w:fill="auto"/>
            <w:noWrap/>
            <w:vAlign w:val="bottom"/>
            <w:hideMark/>
          </w:tcPr>
          <w:p w14:paraId="4D6AA52F"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1 965 046</w:t>
            </w:r>
          </w:p>
        </w:tc>
        <w:tc>
          <w:tcPr>
            <w:tcW w:w="992" w:type="dxa"/>
            <w:tcBorders>
              <w:top w:val="nil"/>
              <w:left w:val="nil"/>
              <w:bottom w:val="single" w:sz="4" w:space="0" w:color="auto"/>
              <w:right w:val="single" w:sz="4" w:space="0" w:color="auto"/>
            </w:tcBorders>
            <w:shd w:val="clear" w:color="auto" w:fill="auto"/>
            <w:noWrap/>
            <w:vAlign w:val="bottom"/>
            <w:hideMark/>
          </w:tcPr>
          <w:p w14:paraId="0F4FC954"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1 216 159</w:t>
            </w:r>
          </w:p>
        </w:tc>
      </w:tr>
      <w:tr w:rsidR="00954688" w:rsidRPr="00E147A1" w14:paraId="140EC458"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9D1C5F9"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Fond pro mezinárodní styky</w:t>
            </w:r>
          </w:p>
        </w:tc>
        <w:tc>
          <w:tcPr>
            <w:tcW w:w="1134" w:type="dxa"/>
            <w:tcBorders>
              <w:top w:val="nil"/>
              <w:left w:val="nil"/>
              <w:bottom w:val="single" w:sz="4" w:space="0" w:color="auto"/>
              <w:right w:val="single" w:sz="4" w:space="0" w:color="auto"/>
            </w:tcBorders>
            <w:shd w:val="clear" w:color="auto" w:fill="auto"/>
            <w:noWrap/>
            <w:vAlign w:val="bottom"/>
            <w:hideMark/>
          </w:tcPr>
          <w:p w14:paraId="1FA4971C"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201 319</w:t>
            </w:r>
          </w:p>
        </w:tc>
        <w:tc>
          <w:tcPr>
            <w:tcW w:w="993" w:type="dxa"/>
            <w:tcBorders>
              <w:top w:val="nil"/>
              <w:left w:val="nil"/>
              <w:bottom w:val="single" w:sz="4" w:space="0" w:color="auto"/>
              <w:right w:val="single" w:sz="4" w:space="0" w:color="auto"/>
            </w:tcBorders>
            <w:shd w:val="clear" w:color="auto" w:fill="auto"/>
            <w:noWrap/>
            <w:vAlign w:val="bottom"/>
            <w:hideMark/>
          </w:tcPr>
          <w:p w14:paraId="0845D9C1"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144 154</w:t>
            </w:r>
          </w:p>
        </w:tc>
        <w:tc>
          <w:tcPr>
            <w:tcW w:w="1133" w:type="dxa"/>
            <w:tcBorders>
              <w:top w:val="nil"/>
              <w:left w:val="nil"/>
              <w:bottom w:val="single" w:sz="4" w:space="0" w:color="auto"/>
              <w:right w:val="single" w:sz="4" w:space="0" w:color="auto"/>
            </w:tcBorders>
            <w:shd w:val="clear" w:color="auto" w:fill="auto"/>
            <w:noWrap/>
            <w:vAlign w:val="bottom"/>
            <w:hideMark/>
          </w:tcPr>
          <w:p w14:paraId="7ABF66A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207 183</w:t>
            </w:r>
          </w:p>
        </w:tc>
        <w:tc>
          <w:tcPr>
            <w:tcW w:w="993" w:type="dxa"/>
            <w:tcBorders>
              <w:top w:val="nil"/>
              <w:left w:val="nil"/>
              <w:bottom w:val="single" w:sz="4" w:space="0" w:color="auto"/>
              <w:right w:val="single" w:sz="4" w:space="0" w:color="auto"/>
            </w:tcBorders>
            <w:shd w:val="clear" w:color="auto" w:fill="auto"/>
            <w:noWrap/>
            <w:vAlign w:val="bottom"/>
            <w:hideMark/>
          </w:tcPr>
          <w:p w14:paraId="1BD1EE9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103 150</w:t>
            </w:r>
          </w:p>
        </w:tc>
        <w:tc>
          <w:tcPr>
            <w:tcW w:w="1134" w:type="dxa"/>
            <w:tcBorders>
              <w:top w:val="nil"/>
              <w:left w:val="nil"/>
              <w:bottom w:val="single" w:sz="4" w:space="0" w:color="auto"/>
              <w:right w:val="single" w:sz="4" w:space="0" w:color="auto"/>
            </w:tcBorders>
            <w:shd w:val="clear" w:color="auto" w:fill="auto"/>
            <w:noWrap/>
            <w:vAlign w:val="bottom"/>
            <w:hideMark/>
          </w:tcPr>
          <w:p w14:paraId="5FBAA2C4"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254 051</w:t>
            </w:r>
          </w:p>
        </w:tc>
        <w:tc>
          <w:tcPr>
            <w:tcW w:w="992" w:type="dxa"/>
            <w:tcBorders>
              <w:top w:val="nil"/>
              <w:left w:val="nil"/>
              <w:bottom w:val="single" w:sz="4" w:space="0" w:color="auto"/>
              <w:right w:val="single" w:sz="4" w:space="0" w:color="auto"/>
            </w:tcBorders>
            <w:shd w:val="clear" w:color="auto" w:fill="auto"/>
            <w:noWrap/>
            <w:vAlign w:val="bottom"/>
            <w:hideMark/>
          </w:tcPr>
          <w:p w14:paraId="160334D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190 000</w:t>
            </w:r>
          </w:p>
        </w:tc>
      </w:tr>
      <w:tr w:rsidR="00954688" w:rsidRPr="00E147A1" w14:paraId="7D2BB3A8"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58F2C34"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Fond mládeže a tělovýchovy</w:t>
            </w:r>
          </w:p>
        </w:tc>
        <w:tc>
          <w:tcPr>
            <w:tcW w:w="1134" w:type="dxa"/>
            <w:tcBorders>
              <w:top w:val="nil"/>
              <w:left w:val="nil"/>
              <w:bottom w:val="single" w:sz="4" w:space="0" w:color="auto"/>
              <w:right w:val="single" w:sz="4" w:space="0" w:color="auto"/>
            </w:tcBorders>
            <w:shd w:val="clear" w:color="auto" w:fill="auto"/>
            <w:noWrap/>
            <w:vAlign w:val="bottom"/>
            <w:hideMark/>
          </w:tcPr>
          <w:p w14:paraId="309F7E44"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8 215 865</w:t>
            </w:r>
          </w:p>
        </w:tc>
        <w:tc>
          <w:tcPr>
            <w:tcW w:w="993" w:type="dxa"/>
            <w:tcBorders>
              <w:top w:val="nil"/>
              <w:left w:val="nil"/>
              <w:bottom w:val="single" w:sz="4" w:space="0" w:color="auto"/>
              <w:right w:val="single" w:sz="4" w:space="0" w:color="auto"/>
            </w:tcBorders>
            <w:shd w:val="clear" w:color="auto" w:fill="auto"/>
            <w:noWrap/>
            <w:vAlign w:val="bottom"/>
            <w:hideMark/>
          </w:tcPr>
          <w:p w14:paraId="71BBB318"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7 625 867</w:t>
            </w:r>
          </w:p>
        </w:tc>
        <w:tc>
          <w:tcPr>
            <w:tcW w:w="1133" w:type="dxa"/>
            <w:tcBorders>
              <w:top w:val="nil"/>
              <w:left w:val="nil"/>
              <w:bottom w:val="single" w:sz="4" w:space="0" w:color="auto"/>
              <w:right w:val="single" w:sz="4" w:space="0" w:color="auto"/>
            </w:tcBorders>
            <w:shd w:val="clear" w:color="auto" w:fill="auto"/>
            <w:noWrap/>
            <w:vAlign w:val="bottom"/>
            <w:hideMark/>
          </w:tcPr>
          <w:p w14:paraId="48D288FE"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8 296 449</w:t>
            </w:r>
          </w:p>
        </w:tc>
        <w:tc>
          <w:tcPr>
            <w:tcW w:w="993" w:type="dxa"/>
            <w:tcBorders>
              <w:top w:val="nil"/>
              <w:left w:val="nil"/>
              <w:bottom w:val="single" w:sz="4" w:space="0" w:color="auto"/>
              <w:right w:val="single" w:sz="4" w:space="0" w:color="auto"/>
            </w:tcBorders>
            <w:shd w:val="clear" w:color="auto" w:fill="auto"/>
            <w:noWrap/>
            <w:vAlign w:val="bottom"/>
            <w:hideMark/>
          </w:tcPr>
          <w:p w14:paraId="4FDE5A0E"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7 453 610</w:t>
            </w:r>
          </w:p>
        </w:tc>
        <w:tc>
          <w:tcPr>
            <w:tcW w:w="1134" w:type="dxa"/>
            <w:tcBorders>
              <w:top w:val="nil"/>
              <w:left w:val="nil"/>
              <w:bottom w:val="single" w:sz="4" w:space="0" w:color="auto"/>
              <w:right w:val="single" w:sz="4" w:space="0" w:color="auto"/>
            </w:tcBorders>
            <w:shd w:val="clear" w:color="auto" w:fill="auto"/>
            <w:noWrap/>
            <w:vAlign w:val="bottom"/>
            <w:hideMark/>
          </w:tcPr>
          <w:p w14:paraId="2031A680"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8 549 278</w:t>
            </w:r>
          </w:p>
        </w:tc>
        <w:tc>
          <w:tcPr>
            <w:tcW w:w="992" w:type="dxa"/>
            <w:tcBorders>
              <w:top w:val="nil"/>
              <w:left w:val="nil"/>
              <w:bottom w:val="single" w:sz="4" w:space="0" w:color="auto"/>
              <w:right w:val="single" w:sz="4" w:space="0" w:color="auto"/>
            </w:tcBorders>
            <w:shd w:val="clear" w:color="auto" w:fill="auto"/>
            <w:noWrap/>
            <w:vAlign w:val="bottom"/>
            <w:hideMark/>
          </w:tcPr>
          <w:p w14:paraId="2BCD470E"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8 081 235</w:t>
            </w:r>
          </w:p>
        </w:tc>
      </w:tr>
      <w:tr w:rsidR="00954688" w:rsidRPr="00E147A1" w14:paraId="3A8FF454"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098307E"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Fond zdraví</w:t>
            </w:r>
          </w:p>
        </w:tc>
        <w:tc>
          <w:tcPr>
            <w:tcW w:w="1134" w:type="dxa"/>
            <w:tcBorders>
              <w:top w:val="nil"/>
              <w:left w:val="nil"/>
              <w:bottom w:val="single" w:sz="4" w:space="0" w:color="auto"/>
              <w:right w:val="single" w:sz="4" w:space="0" w:color="auto"/>
            </w:tcBorders>
            <w:shd w:val="clear" w:color="auto" w:fill="auto"/>
            <w:noWrap/>
            <w:vAlign w:val="bottom"/>
            <w:hideMark/>
          </w:tcPr>
          <w:p w14:paraId="3988FA03"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1 963 041</w:t>
            </w:r>
          </w:p>
        </w:tc>
        <w:tc>
          <w:tcPr>
            <w:tcW w:w="993" w:type="dxa"/>
            <w:tcBorders>
              <w:top w:val="nil"/>
              <w:left w:val="nil"/>
              <w:bottom w:val="single" w:sz="4" w:space="0" w:color="auto"/>
              <w:right w:val="single" w:sz="4" w:space="0" w:color="auto"/>
            </w:tcBorders>
            <w:shd w:val="clear" w:color="auto" w:fill="auto"/>
            <w:noWrap/>
            <w:vAlign w:val="bottom"/>
            <w:hideMark/>
          </w:tcPr>
          <w:p w14:paraId="56EC0D52"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1 669 600</w:t>
            </w:r>
          </w:p>
        </w:tc>
        <w:tc>
          <w:tcPr>
            <w:tcW w:w="1133" w:type="dxa"/>
            <w:tcBorders>
              <w:top w:val="nil"/>
              <w:left w:val="nil"/>
              <w:bottom w:val="single" w:sz="4" w:space="0" w:color="auto"/>
              <w:right w:val="single" w:sz="4" w:space="0" w:color="auto"/>
            </w:tcBorders>
            <w:shd w:val="clear" w:color="auto" w:fill="auto"/>
            <w:noWrap/>
            <w:vAlign w:val="bottom"/>
            <w:hideMark/>
          </w:tcPr>
          <w:p w14:paraId="38C7E08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2 117 557</w:t>
            </w:r>
          </w:p>
        </w:tc>
        <w:tc>
          <w:tcPr>
            <w:tcW w:w="993" w:type="dxa"/>
            <w:tcBorders>
              <w:top w:val="nil"/>
              <w:left w:val="nil"/>
              <w:bottom w:val="single" w:sz="4" w:space="0" w:color="auto"/>
              <w:right w:val="single" w:sz="4" w:space="0" w:color="auto"/>
            </w:tcBorders>
            <w:shd w:val="clear" w:color="auto" w:fill="auto"/>
            <w:noWrap/>
            <w:vAlign w:val="bottom"/>
            <w:hideMark/>
          </w:tcPr>
          <w:p w14:paraId="66FD576F"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1 789 350</w:t>
            </w:r>
          </w:p>
        </w:tc>
        <w:tc>
          <w:tcPr>
            <w:tcW w:w="1134" w:type="dxa"/>
            <w:tcBorders>
              <w:top w:val="nil"/>
              <w:left w:val="nil"/>
              <w:bottom w:val="single" w:sz="4" w:space="0" w:color="auto"/>
              <w:right w:val="single" w:sz="4" w:space="0" w:color="auto"/>
            </w:tcBorders>
            <w:shd w:val="clear" w:color="auto" w:fill="auto"/>
            <w:noWrap/>
            <w:vAlign w:val="bottom"/>
            <w:hideMark/>
          </w:tcPr>
          <w:p w14:paraId="2010269A"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2 152 316</w:t>
            </w:r>
          </w:p>
        </w:tc>
        <w:tc>
          <w:tcPr>
            <w:tcW w:w="992" w:type="dxa"/>
            <w:tcBorders>
              <w:top w:val="nil"/>
              <w:left w:val="nil"/>
              <w:bottom w:val="single" w:sz="4" w:space="0" w:color="auto"/>
              <w:right w:val="single" w:sz="4" w:space="0" w:color="auto"/>
            </w:tcBorders>
            <w:shd w:val="clear" w:color="auto" w:fill="auto"/>
            <w:noWrap/>
            <w:vAlign w:val="bottom"/>
            <w:hideMark/>
          </w:tcPr>
          <w:p w14:paraId="26A59D4A"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1 879 638</w:t>
            </w:r>
          </w:p>
        </w:tc>
      </w:tr>
      <w:tr w:rsidR="00954688" w:rsidRPr="00E147A1" w14:paraId="78081C1B"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3F9D0931"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Fond sociální</w:t>
            </w:r>
          </w:p>
        </w:tc>
        <w:tc>
          <w:tcPr>
            <w:tcW w:w="1134" w:type="dxa"/>
            <w:tcBorders>
              <w:top w:val="nil"/>
              <w:left w:val="nil"/>
              <w:bottom w:val="single" w:sz="4" w:space="0" w:color="auto"/>
              <w:right w:val="single" w:sz="4" w:space="0" w:color="auto"/>
            </w:tcBorders>
            <w:shd w:val="clear" w:color="auto" w:fill="auto"/>
            <w:noWrap/>
            <w:vAlign w:val="bottom"/>
            <w:hideMark/>
          </w:tcPr>
          <w:p w14:paraId="06766C01"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17 286 523</w:t>
            </w:r>
          </w:p>
        </w:tc>
        <w:tc>
          <w:tcPr>
            <w:tcW w:w="993" w:type="dxa"/>
            <w:tcBorders>
              <w:top w:val="nil"/>
              <w:left w:val="nil"/>
              <w:bottom w:val="single" w:sz="4" w:space="0" w:color="auto"/>
              <w:right w:val="single" w:sz="4" w:space="0" w:color="auto"/>
            </w:tcBorders>
            <w:shd w:val="clear" w:color="auto" w:fill="auto"/>
            <w:noWrap/>
            <w:vAlign w:val="bottom"/>
            <w:hideMark/>
          </w:tcPr>
          <w:p w14:paraId="081A159E"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12 717 156</w:t>
            </w:r>
          </w:p>
        </w:tc>
        <w:tc>
          <w:tcPr>
            <w:tcW w:w="1133" w:type="dxa"/>
            <w:tcBorders>
              <w:top w:val="nil"/>
              <w:left w:val="nil"/>
              <w:bottom w:val="single" w:sz="4" w:space="0" w:color="auto"/>
              <w:right w:val="single" w:sz="4" w:space="0" w:color="auto"/>
            </w:tcBorders>
            <w:shd w:val="clear" w:color="auto" w:fill="auto"/>
            <w:noWrap/>
            <w:vAlign w:val="bottom"/>
            <w:hideMark/>
          </w:tcPr>
          <w:p w14:paraId="6BBC0B2A"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19 429 856</w:t>
            </w:r>
          </w:p>
        </w:tc>
        <w:tc>
          <w:tcPr>
            <w:tcW w:w="993" w:type="dxa"/>
            <w:tcBorders>
              <w:top w:val="nil"/>
              <w:left w:val="nil"/>
              <w:bottom w:val="single" w:sz="4" w:space="0" w:color="auto"/>
              <w:right w:val="single" w:sz="4" w:space="0" w:color="auto"/>
            </w:tcBorders>
            <w:shd w:val="clear" w:color="auto" w:fill="auto"/>
            <w:noWrap/>
            <w:vAlign w:val="bottom"/>
            <w:hideMark/>
          </w:tcPr>
          <w:p w14:paraId="28053003"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13 754 270</w:t>
            </w:r>
          </w:p>
        </w:tc>
        <w:tc>
          <w:tcPr>
            <w:tcW w:w="1134" w:type="dxa"/>
            <w:tcBorders>
              <w:top w:val="nil"/>
              <w:left w:val="nil"/>
              <w:bottom w:val="single" w:sz="4" w:space="0" w:color="auto"/>
              <w:right w:val="single" w:sz="4" w:space="0" w:color="auto"/>
            </w:tcBorders>
            <w:shd w:val="clear" w:color="auto" w:fill="auto"/>
            <w:noWrap/>
            <w:vAlign w:val="bottom"/>
            <w:hideMark/>
          </w:tcPr>
          <w:p w14:paraId="6A0FB057"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20 825 576</w:t>
            </w:r>
          </w:p>
        </w:tc>
        <w:tc>
          <w:tcPr>
            <w:tcW w:w="992" w:type="dxa"/>
            <w:tcBorders>
              <w:top w:val="nil"/>
              <w:left w:val="nil"/>
              <w:bottom w:val="single" w:sz="4" w:space="0" w:color="auto"/>
              <w:right w:val="single" w:sz="4" w:space="0" w:color="auto"/>
            </w:tcBorders>
            <w:shd w:val="clear" w:color="auto" w:fill="auto"/>
            <w:noWrap/>
            <w:vAlign w:val="bottom"/>
            <w:hideMark/>
          </w:tcPr>
          <w:p w14:paraId="76ECDDDB"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16 987 000</w:t>
            </w:r>
          </w:p>
        </w:tc>
      </w:tr>
      <w:tr w:rsidR="00954688" w:rsidRPr="00E147A1" w14:paraId="292FB680"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6A2B3A42"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Kulturní fond</w:t>
            </w:r>
          </w:p>
        </w:tc>
        <w:tc>
          <w:tcPr>
            <w:tcW w:w="1134" w:type="dxa"/>
            <w:tcBorders>
              <w:top w:val="nil"/>
              <w:left w:val="nil"/>
              <w:bottom w:val="single" w:sz="4" w:space="0" w:color="auto"/>
              <w:right w:val="single" w:sz="4" w:space="0" w:color="auto"/>
            </w:tcBorders>
            <w:shd w:val="clear" w:color="auto" w:fill="auto"/>
            <w:noWrap/>
            <w:vAlign w:val="bottom"/>
            <w:hideMark/>
          </w:tcPr>
          <w:p w14:paraId="1766D8F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17 851 228</w:t>
            </w:r>
          </w:p>
        </w:tc>
        <w:tc>
          <w:tcPr>
            <w:tcW w:w="993" w:type="dxa"/>
            <w:tcBorders>
              <w:top w:val="nil"/>
              <w:left w:val="nil"/>
              <w:bottom w:val="single" w:sz="4" w:space="0" w:color="auto"/>
              <w:right w:val="single" w:sz="4" w:space="0" w:color="auto"/>
            </w:tcBorders>
            <w:shd w:val="clear" w:color="auto" w:fill="auto"/>
            <w:noWrap/>
            <w:vAlign w:val="bottom"/>
            <w:hideMark/>
          </w:tcPr>
          <w:p w14:paraId="5F9E06D1"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15 941 344</w:t>
            </w:r>
          </w:p>
        </w:tc>
        <w:tc>
          <w:tcPr>
            <w:tcW w:w="1133" w:type="dxa"/>
            <w:tcBorders>
              <w:top w:val="nil"/>
              <w:left w:val="nil"/>
              <w:bottom w:val="single" w:sz="4" w:space="0" w:color="auto"/>
              <w:right w:val="single" w:sz="4" w:space="0" w:color="auto"/>
            </w:tcBorders>
            <w:shd w:val="clear" w:color="auto" w:fill="auto"/>
            <w:noWrap/>
            <w:vAlign w:val="bottom"/>
            <w:hideMark/>
          </w:tcPr>
          <w:p w14:paraId="4C787BA2"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17 228 685</w:t>
            </w:r>
          </w:p>
        </w:tc>
        <w:tc>
          <w:tcPr>
            <w:tcW w:w="993" w:type="dxa"/>
            <w:tcBorders>
              <w:top w:val="nil"/>
              <w:left w:val="nil"/>
              <w:bottom w:val="single" w:sz="4" w:space="0" w:color="auto"/>
              <w:right w:val="single" w:sz="4" w:space="0" w:color="auto"/>
            </w:tcBorders>
            <w:shd w:val="clear" w:color="auto" w:fill="auto"/>
            <w:noWrap/>
            <w:vAlign w:val="bottom"/>
            <w:hideMark/>
          </w:tcPr>
          <w:p w14:paraId="452BCB6B"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15 427 480</w:t>
            </w:r>
          </w:p>
        </w:tc>
        <w:tc>
          <w:tcPr>
            <w:tcW w:w="1134" w:type="dxa"/>
            <w:tcBorders>
              <w:top w:val="nil"/>
              <w:left w:val="nil"/>
              <w:bottom w:val="single" w:sz="4" w:space="0" w:color="auto"/>
              <w:right w:val="single" w:sz="4" w:space="0" w:color="auto"/>
            </w:tcBorders>
            <w:shd w:val="clear" w:color="auto" w:fill="auto"/>
            <w:noWrap/>
            <w:vAlign w:val="bottom"/>
            <w:hideMark/>
          </w:tcPr>
          <w:p w14:paraId="3C27B258"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9 469 721</w:t>
            </w:r>
          </w:p>
        </w:tc>
        <w:tc>
          <w:tcPr>
            <w:tcW w:w="992" w:type="dxa"/>
            <w:tcBorders>
              <w:top w:val="nil"/>
              <w:left w:val="nil"/>
              <w:bottom w:val="single" w:sz="4" w:space="0" w:color="auto"/>
              <w:right w:val="single" w:sz="4" w:space="0" w:color="auto"/>
            </w:tcBorders>
            <w:shd w:val="clear" w:color="auto" w:fill="auto"/>
            <w:noWrap/>
            <w:vAlign w:val="bottom"/>
            <w:hideMark/>
          </w:tcPr>
          <w:p w14:paraId="59F1B814"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7 809 434</w:t>
            </w:r>
          </w:p>
        </w:tc>
      </w:tr>
      <w:tr w:rsidR="00954688" w:rsidRPr="00E147A1" w14:paraId="43FB8FD9"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2679212C"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Filmový fond</w:t>
            </w:r>
          </w:p>
        </w:tc>
        <w:tc>
          <w:tcPr>
            <w:tcW w:w="1134" w:type="dxa"/>
            <w:tcBorders>
              <w:top w:val="nil"/>
              <w:left w:val="nil"/>
              <w:bottom w:val="single" w:sz="4" w:space="0" w:color="auto"/>
              <w:right w:val="single" w:sz="4" w:space="0" w:color="auto"/>
            </w:tcBorders>
            <w:shd w:val="clear" w:color="auto" w:fill="auto"/>
            <w:noWrap/>
            <w:vAlign w:val="bottom"/>
            <w:hideMark/>
          </w:tcPr>
          <w:p w14:paraId="0FFA5234"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0</w:t>
            </w:r>
          </w:p>
        </w:tc>
        <w:tc>
          <w:tcPr>
            <w:tcW w:w="993" w:type="dxa"/>
            <w:tcBorders>
              <w:top w:val="nil"/>
              <w:left w:val="nil"/>
              <w:bottom w:val="single" w:sz="4" w:space="0" w:color="auto"/>
              <w:right w:val="single" w:sz="4" w:space="0" w:color="auto"/>
            </w:tcBorders>
            <w:shd w:val="clear" w:color="auto" w:fill="auto"/>
            <w:noWrap/>
            <w:vAlign w:val="bottom"/>
            <w:hideMark/>
          </w:tcPr>
          <w:p w14:paraId="113057BB"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0</w:t>
            </w:r>
          </w:p>
        </w:tc>
        <w:tc>
          <w:tcPr>
            <w:tcW w:w="1133" w:type="dxa"/>
            <w:tcBorders>
              <w:top w:val="nil"/>
              <w:left w:val="nil"/>
              <w:bottom w:val="single" w:sz="4" w:space="0" w:color="auto"/>
              <w:right w:val="single" w:sz="4" w:space="0" w:color="auto"/>
            </w:tcBorders>
            <w:shd w:val="clear" w:color="auto" w:fill="auto"/>
            <w:noWrap/>
            <w:vAlign w:val="bottom"/>
            <w:hideMark/>
          </w:tcPr>
          <w:p w14:paraId="06A25550"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1 000 097</w:t>
            </w:r>
          </w:p>
        </w:tc>
        <w:tc>
          <w:tcPr>
            <w:tcW w:w="993" w:type="dxa"/>
            <w:tcBorders>
              <w:top w:val="nil"/>
              <w:left w:val="nil"/>
              <w:bottom w:val="single" w:sz="4" w:space="0" w:color="auto"/>
              <w:right w:val="single" w:sz="4" w:space="0" w:color="auto"/>
            </w:tcBorders>
            <w:shd w:val="clear" w:color="auto" w:fill="auto"/>
            <w:noWrap/>
            <w:vAlign w:val="bottom"/>
            <w:hideMark/>
          </w:tcPr>
          <w:p w14:paraId="1CAF9044"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0</w:t>
            </w:r>
          </w:p>
        </w:tc>
        <w:tc>
          <w:tcPr>
            <w:tcW w:w="1134" w:type="dxa"/>
            <w:tcBorders>
              <w:top w:val="nil"/>
              <w:left w:val="nil"/>
              <w:bottom w:val="single" w:sz="4" w:space="0" w:color="auto"/>
              <w:right w:val="single" w:sz="4" w:space="0" w:color="auto"/>
            </w:tcBorders>
            <w:shd w:val="clear" w:color="auto" w:fill="auto"/>
            <w:noWrap/>
            <w:vAlign w:val="bottom"/>
            <w:hideMark/>
          </w:tcPr>
          <w:p w14:paraId="163E4F02"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9 568 779</w:t>
            </w:r>
          </w:p>
        </w:tc>
        <w:tc>
          <w:tcPr>
            <w:tcW w:w="992" w:type="dxa"/>
            <w:tcBorders>
              <w:top w:val="nil"/>
              <w:left w:val="nil"/>
              <w:bottom w:val="single" w:sz="4" w:space="0" w:color="auto"/>
              <w:right w:val="single" w:sz="4" w:space="0" w:color="auto"/>
            </w:tcBorders>
            <w:shd w:val="clear" w:color="auto" w:fill="auto"/>
            <w:noWrap/>
            <w:vAlign w:val="bottom"/>
            <w:hideMark/>
          </w:tcPr>
          <w:p w14:paraId="6F69AC15"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7 380 433</w:t>
            </w:r>
          </w:p>
        </w:tc>
      </w:tr>
      <w:tr w:rsidR="00954688" w:rsidRPr="00E147A1" w14:paraId="79ACFF59"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24CA592A"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Fond pro-rodinných aktivit</w:t>
            </w:r>
          </w:p>
        </w:tc>
        <w:tc>
          <w:tcPr>
            <w:tcW w:w="1134" w:type="dxa"/>
            <w:tcBorders>
              <w:top w:val="nil"/>
              <w:left w:val="nil"/>
              <w:bottom w:val="single" w:sz="4" w:space="0" w:color="auto"/>
              <w:right w:val="single" w:sz="4" w:space="0" w:color="auto"/>
            </w:tcBorders>
            <w:shd w:val="clear" w:color="auto" w:fill="auto"/>
            <w:noWrap/>
            <w:vAlign w:val="bottom"/>
            <w:hideMark/>
          </w:tcPr>
          <w:p w14:paraId="01CB783A"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1 830 090</w:t>
            </w:r>
          </w:p>
        </w:tc>
        <w:tc>
          <w:tcPr>
            <w:tcW w:w="993" w:type="dxa"/>
            <w:tcBorders>
              <w:top w:val="nil"/>
              <w:left w:val="nil"/>
              <w:bottom w:val="single" w:sz="4" w:space="0" w:color="auto"/>
              <w:right w:val="single" w:sz="4" w:space="0" w:color="auto"/>
            </w:tcBorders>
            <w:shd w:val="clear" w:color="auto" w:fill="auto"/>
            <w:noWrap/>
            <w:vAlign w:val="bottom"/>
            <w:hideMark/>
          </w:tcPr>
          <w:p w14:paraId="75D005FC"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1 238 000</w:t>
            </w:r>
          </w:p>
        </w:tc>
        <w:tc>
          <w:tcPr>
            <w:tcW w:w="1133" w:type="dxa"/>
            <w:tcBorders>
              <w:top w:val="nil"/>
              <w:left w:val="nil"/>
              <w:bottom w:val="single" w:sz="4" w:space="0" w:color="auto"/>
              <w:right w:val="single" w:sz="4" w:space="0" w:color="auto"/>
            </w:tcBorders>
            <w:shd w:val="clear" w:color="auto" w:fill="auto"/>
            <w:noWrap/>
            <w:vAlign w:val="bottom"/>
            <w:hideMark/>
          </w:tcPr>
          <w:p w14:paraId="4882883D"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2 373 961</w:t>
            </w:r>
          </w:p>
        </w:tc>
        <w:tc>
          <w:tcPr>
            <w:tcW w:w="993" w:type="dxa"/>
            <w:tcBorders>
              <w:top w:val="nil"/>
              <w:left w:val="nil"/>
              <w:bottom w:val="single" w:sz="4" w:space="0" w:color="auto"/>
              <w:right w:val="single" w:sz="4" w:space="0" w:color="auto"/>
            </w:tcBorders>
            <w:shd w:val="clear" w:color="auto" w:fill="auto"/>
            <w:noWrap/>
            <w:vAlign w:val="bottom"/>
            <w:hideMark/>
          </w:tcPr>
          <w:p w14:paraId="52B16819"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1 197 000</w:t>
            </w:r>
          </w:p>
        </w:tc>
        <w:tc>
          <w:tcPr>
            <w:tcW w:w="1134" w:type="dxa"/>
            <w:tcBorders>
              <w:top w:val="nil"/>
              <w:left w:val="nil"/>
              <w:bottom w:val="single" w:sz="4" w:space="0" w:color="auto"/>
              <w:right w:val="single" w:sz="4" w:space="0" w:color="auto"/>
            </w:tcBorders>
            <w:shd w:val="clear" w:color="auto" w:fill="auto"/>
            <w:noWrap/>
            <w:vAlign w:val="bottom"/>
            <w:hideMark/>
          </w:tcPr>
          <w:p w14:paraId="7AF35C0C"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2 957 197</w:t>
            </w:r>
          </w:p>
        </w:tc>
        <w:tc>
          <w:tcPr>
            <w:tcW w:w="992" w:type="dxa"/>
            <w:tcBorders>
              <w:top w:val="nil"/>
              <w:left w:val="nil"/>
              <w:bottom w:val="single" w:sz="4" w:space="0" w:color="auto"/>
              <w:right w:val="single" w:sz="4" w:space="0" w:color="auto"/>
            </w:tcBorders>
            <w:shd w:val="clear" w:color="auto" w:fill="auto"/>
            <w:noWrap/>
            <w:vAlign w:val="bottom"/>
            <w:hideMark/>
          </w:tcPr>
          <w:p w14:paraId="651F37CF"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1 227 000</w:t>
            </w:r>
          </w:p>
        </w:tc>
      </w:tr>
      <w:tr w:rsidR="00954688" w:rsidRPr="00E147A1" w14:paraId="7C4F9EEF"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vAlign w:val="bottom"/>
            <w:hideMark/>
          </w:tcPr>
          <w:p w14:paraId="7CCD02E6" w14:textId="77777777" w:rsidR="00954688" w:rsidRPr="00E147A1" w:rsidRDefault="00954688" w:rsidP="000C49A5">
            <w:pPr>
              <w:spacing w:before="0"/>
              <w:jc w:val="lef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Fond na obnovu Památníku Tomáše Bati</w:t>
            </w:r>
          </w:p>
        </w:tc>
        <w:tc>
          <w:tcPr>
            <w:tcW w:w="1134" w:type="dxa"/>
            <w:tcBorders>
              <w:top w:val="nil"/>
              <w:left w:val="nil"/>
              <w:bottom w:val="single" w:sz="4" w:space="0" w:color="auto"/>
              <w:right w:val="single" w:sz="4" w:space="0" w:color="auto"/>
            </w:tcBorders>
            <w:shd w:val="clear" w:color="auto" w:fill="auto"/>
            <w:noWrap/>
            <w:vAlign w:val="bottom"/>
            <w:hideMark/>
          </w:tcPr>
          <w:p w14:paraId="5FF51E4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23 701 588</w:t>
            </w:r>
          </w:p>
        </w:tc>
        <w:tc>
          <w:tcPr>
            <w:tcW w:w="993" w:type="dxa"/>
            <w:tcBorders>
              <w:top w:val="nil"/>
              <w:left w:val="nil"/>
              <w:bottom w:val="single" w:sz="4" w:space="0" w:color="auto"/>
              <w:right w:val="single" w:sz="4" w:space="0" w:color="auto"/>
            </w:tcBorders>
            <w:shd w:val="clear" w:color="auto" w:fill="auto"/>
            <w:noWrap/>
            <w:vAlign w:val="bottom"/>
            <w:hideMark/>
          </w:tcPr>
          <w:p w14:paraId="599752D9"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9 697 662</w:t>
            </w:r>
          </w:p>
        </w:tc>
        <w:tc>
          <w:tcPr>
            <w:tcW w:w="1133" w:type="dxa"/>
            <w:tcBorders>
              <w:top w:val="nil"/>
              <w:left w:val="nil"/>
              <w:bottom w:val="single" w:sz="4" w:space="0" w:color="auto"/>
              <w:right w:val="single" w:sz="4" w:space="0" w:color="auto"/>
            </w:tcBorders>
            <w:shd w:val="clear" w:color="auto" w:fill="auto"/>
            <w:noWrap/>
            <w:vAlign w:val="bottom"/>
            <w:hideMark/>
          </w:tcPr>
          <w:p w14:paraId="1D522C7F"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40 394 440</w:t>
            </w:r>
          </w:p>
        </w:tc>
        <w:tc>
          <w:tcPr>
            <w:tcW w:w="993" w:type="dxa"/>
            <w:tcBorders>
              <w:top w:val="nil"/>
              <w:left w:val="nil"/>
              <w:bottom w:val="single" w:sz="4" w:space="0" w:color="auto"/>
              <w:right w:val="single" w:sz="4" w:space="0" w:color="auto"/>
            </w:tcBorders>
            <w:shd w:val="clear" w:color="auto" w:fill="auto"/>
            <w:noWrap/>
            <w:vAlign w:val="bottom"/>
            <w:hideMark/>
          </w:tcPr>
          <w:p w14:paraId="7481B98F"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37 706 340</w:t>
            </w:r>
          </w:p>
        </w:tc>
        <w:tc>
          <w:tcPr>
            <w:tcW w:w="1134" w:type="dxa"/>
            <w:tcBorders>
              <w:top w:val="nil"/>
              <w:left w:val="nil"/>
              <w:bottom w:val="single" w:sz="4" w:space="0" w:color="auto"/>
              <w:right w:val="single" w:sz="4" w:space="0" w:color="auto"/>
            </w:tcBorders>
            <w:shd w:val="clear" w:color="auto" w:fill="auto"/>
            <w:noWrap/>
            <w:vAlign w:val="bottom"/>
            <w:hideMark/>
          </w:tcPr>
          <w:p w14:paraId="2FB89059"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2 688 322</w:t>
            </w:r>
          </w:p>
        </w:tc>
        <w:tc>
          <w:tcPr>
            <w:tcW w:w="992" w:type="dxa"/>
            <w:tcBorders>
              <w:top w:val="nil"/>
              <w:left w:val="nil"/>
              <w:bottom w:val="single" w:sz="4" w:space="0" w:color="auto"/>
              <w:right w:val="single" w:sz="4" w:space="0" w:color="auto"/>
            </w:tcBorders>
            <w:shd w:val="clear" w:color="auto" w:fill="auto"/>
            <w:noWrap/>
            <w:vAlign w:val="bottom"/>
            <w:hideMark/>
          </w:tcPr>
          <w:p w14:paraId="5686614D"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858 278</w:t>
            </w:r>
          </w:p>
        </w:tc>
      </w:tr>
      <w:tr w:rsidR="00954688" w:rsidRPr="00E147A1" w14:paraId="68F27757"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5914078" w14:textId="77777777" w:rsidR="00954688" w:rsidRPr="00E147A1" w:rsidRDefault="00954688" w:rsidP="000C49A5">
            <w:pPr>
              <w:spacing w:before="0"/>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FKSP</w:t>
            </w:r>
          </w:p>
        </w:tc>
        <w:tc>
          <w:tcPr>
            <w:tcW w:w="1134" w:type="dxa"/>
            <w:tcBorders>
              <w:top w:val="nil"/>
              <w:left w:val="nil"/>
              <w:bottom w:val="single" w:sz="4" w:space="0" w:color="auto"/>
              <w:right w:val="single" w:sz="4" w:space="0" w:color="auto"/>
            </w:tcBorders>
            <w:shd w:val="clear" w:color="auto" w:fill="auto"/>
            <w:noWrap/>
            <w:vAlign w:val="bottom"/>
            <w:hideMark/>
          </w:tcPr>
          <w:p w14:paraId="00630900"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7 633 234</w:t>
            </w:r>
          </w:p>
        </w:tc>
        <w:tc>
          <w:tcPr>
            <w:tcW w:w="993" w:type="dxa"/>
            <w:tcBorders>
              <w:top w:val="nil"/>
              <w:left w:val="nil"/>
              <w:bottom w:val="single" w:sz="4" w:space="0" w:color="auto"/>
              <w:right w:val="single" w:sz="4" w:space="0" w:color="auto"/>
            </w:tcBorders>
            <w:shd w:val="clear" w:color="auto" w:fill="auto"/>
            <w:noWrap/>
            <w:vAlign w:val="bottom"/>
            <w:hideMark/>
          </w:tcPr>
          <w:p w14:paraId="725CEA7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6 020 386</w:t>
            </w:r>
          </w:p>
        </w:tc>
        <w:tc>
          <w:tcPr>
            <w:tcW w:w="1133" w:type="dxa"/>
            <w:tcBorders>
              <w:top w:val="nil"/>
              <w:left w:val="nil"/>
              <w:bottom w:val="single" w:sz="4" w:space="0" w:color="auto"/>
              <w:right w:val="single" w:sz="4" w:space="0" w:color="auto"/>
            </w:tcBorders>
            <w:shd w:val="clear" w:color="auto" w:fill="auto"/>
            <w:noWrap/>
            <w:vAlign w:val="bottom"/>
            <w:hideMark/>
          </w:tcPr>
          <w:p w14:paraId="719BAA2D"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7 945 357</w:t>
            </w:r>
          </w:p>
        </w:tc>
        <w:tc>
          <w:tcPr>
            <w:tcW w:w="993" w:type="dxa"/>
            <w:tcBorders>
              <w:top w:val="nil"/>
              <w:left w:val="nil"/>
              <w:bottom w:val="single" w:sz="4" w:space="0" w:color="auto"/>
              <w:right w:val="single" w:sz="4" w:space="0" w:color="auto"/>
            </w:tcBorders>
            <w:shd w:val="clear" w:color="auto" w:fill="auto"/>
            <w:noWrap/>
            <w:vAlign w:val="bottom"/>
            <w:hideMark/>
          </w:tcPr>
          <w:p w14:paraId="7BDC6B91"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6 309 152</w:t>
            </w:r>
          </w:p>
        </w:tc>
        <w:tc>
          <w:tcPr>
            <w:tcW w:w="1134" w:type="dxa"/>
            <w:tcBorders>
              <w:top w:val="nil"/>
              <w:left w:val="nil"/>
              <w:bottom w:val="single" w:sz="4" w:space="0" w:color="auto"/>
              <w:right w:val="single" w:sz="4" w:space="0" w:color="auto"/>
            </w:tcBorders>
            <w:shd w:val="clear" w:color="auto" w:fill="auto"/>
            <w:noWrap/>
            <w:vAlign w:val="bottom"/>
            <w:hideMark/>
          </w:tcPr>
          <w:p w14:paraId="5217972E"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9 568 779</w:t>
            </w:r>
          </w:p>
        </w:tc>
        <w:tc>
          <w:tcPr>
            <w:tcW w:w="992" w:type="dxa"/>
            <w:tcBorders>
              <w:top w:val="nil"/>
              <w:left w:val="nil"/>
              <w:bottom w:val="single" w:sz="4" w:space="0" w:color="auto"/>
              <w:right w:val="single" w:sz="4" w:space="0" w:color="auto"/>
            </w:tcBorders>
            <w:shd w:val="clear" w:color="auto" w:fill="auto"/>
            <w:noWrap/>
            <w:vAlign w:val="bottom"/>
            <w:hideMark/>
          </w:tcPr>
          <w:p w14:paraId="6E0FA323"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7 380 433</w:t>
            </w:r>
          </w:p>
        </w:tc>
      </w:tr>
      <w:tr w:rsidR="00954688" w:rsidRPr="00E147A1" w14:paraId="615D7497" w14:textId="77777777" w:rsidTr="004B121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38D927BD" w14:textId="77777777" w:rsidR="00954688" w:rsidRPr="00E147A1" w:rsidRDefault="00954688" w:rsidP="000C49A5">
            <w:pPr>
              <w:spacing w:before="0"/>
              <w:jc w:val="lef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Fond na opravy a modernizace bydlení</w:t>
            </w:r>
          </w:p>
        </w:tc>
        <w:tc>
          <w:tcPr>
            <w:tcW w:w="1134" w:type="dxa"/>
            <w:tcBorders>
              <w:top w:val="nil"/>
              <w:left w:val="nil"/>
              <w:bottom w:val="single" w:sz="4" w:space="0" w:color="auto"/>
              <w:right w:val="single" w:sz="4" w:space="0" w:color="auto"/>
            </w:tcBorders>
            <w:shd w:val="clear" w:color="auto" w:fill="auto"/>
            <w:noWrap/>
            <w:vAlign w:val="bottom"/>
            <w:hideMark/>
          </w:tcPr>
          <w:p w14:paraId="7DD63D0C" w14:textId="77777777" w:rsidR="00954688" w:rsidRPr="00E147A1" w:rsidRDefault="00954688" w:rsidP="000C49A5">
            <w:pPr>
              <w:spacing w:before="0"/>
              <w:jc w:val="lef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 </w:t>
            </w:r>
          </w:p>
        </w:tc>
        <w:tc>
          <w:tcPr>
            <w:tcW w:w="993" w:type="dxa"/>
            <w:tcBorders>
              <w:top w:val="nil"/>
              <w:left w:val="nil"/>
              <w:bottom w:val="single" w:sz="4" w:space="0" w:color="auto"/>
              <w:right w:val="single" w:sz="4" w:space="0" w:color="auto"/>
            </w:tcBorders>
            <w:shd w:val="clear" w:color="auto" w:fill="auto"/>
            <w:noWrap/>
            <w:vAlign w:val="bottom"/>
            <w:hideMark/>
          </w:tcPr>
          <w:p w14:paraId="1EF0E8D4" w14:textId="77777777" w:rsidR="00954688" w:rsidRPr="00E147A1" w:rsidRDefault="00954688" w:rsidP="000C49A5">
            <w:pPr>
              <w:spacing w:before="0"/>
              <w:jc w:val="lef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 </w:t>
            </w:r>
          </w:p>
        </w:tc>
        <w:tc>
          <w:tcPr>
            <w:tcW w:w="1133" w:type="dxa"/>
            <w:tcBorders>
              <w:top w:val="nil"/>
              <w:left w:val="nil"/>
              <w:bottom w:val="single" w:sz="4" w:space="0" w:color="auto"/>
              <w:right w:val="single" w:sz="4" w:space="0" w:color="auto"/>
            </w:tcBorders>
            <w:shd w:val="clear" w:color="auto" w:fill="auto"/>
            <w:noWrap/>
            <w:vAlign w:val="bottom"/>
            <w:hideMark/>
          </w:tcPr>
          <w:p w14:paraId="1B20BD0C"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1 364 514</w:t>
            </w:r>
          </w:p>
        </w:tc>
        <w:tc>
          <w:tcPr>
            <w:tcW w:w="993" w:type="dxa"/>
            <w:tcBorders>
              <w:top w:val="nil"/>
              <w:left w:val="nil"/>
              <w:bottom w:val="single" w:sz="4" w:space="0" w:color="auto"/>
              <w:right w:val="single" w:sz="4" w:space="0" w:color="auto"/>
            </w:tcBorders>
            <w:shd w:val="clear" w:color="auto" w:fill="auto"/>
            <w:noWrap/>
            <w:vAlign w:val="bottom"/>
            <w:hideMark/>
          </w:tcPr>
          <w:p w14:paraId="52013965" w14:textId="2D630FA2"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7</w:t>
            </w:r>
            <w:r w:rsidR="004B1217">
              <w:rPr>
                <w:rFonts w:ascii="Calibri" w:eastAsia="Times New Roman" w:hAnsi="Calibri" w:cs="Calibri"/>
                <w:color w:val="000000"/>
                <w:sz w:val="18"/>
                <w:szCs w:val="18"/>
                <w:lang w:eastAsia="cs-CZ"/>
              </w:rPr>
              <w:t>*</w:t>
            </w:r>
          </w:p>
        </w:tc>
        <w:tc>
          <w:tcPr>
            <w:tcW w:w="1134" w:type="dxa"/>
            <w:tcBorders>
              <w:top w:val="nil"/>
              <w:left w:val="nil"/>
              <w:bottom w:val="single" w:sz="4" w:space="0" w:color="auto"/>
              <w:right w:val="single" w:sz="4" w:space="0" w:color="auto"/>
            </w:tcBorders>
            <w:shd w:val="clear" w:color="auto" w:fill="auto"/>
            <w:noWrap/>
            <w:vAlign w:val="bottom"/>
            <w:hideMark/>
          </w:tcPr>
          <w:p w14:paraId="1403AED6"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0</w:t>
            </w:r>
          </w:p>
        </w:tc>
        <w:tc>
          <w:tcPr>
            <w:tcW w:w="992" w:type="dxa"/>
            <w:tcBorders>
              <w:top w:val="nil"/>
              <w:left w:val="nil"/>
              <w:bottom w:val="single" w:sz="4" w:space="0" w:color="auto"/>
              <w:right w:val="single" w:sz="4" w:space="0" w:color="auto"/>
            </w:tcBorders>
            <w:shd w:val="clear" w:color="auto" w:fill="auto"/>
            <w:noWrap/>
            <w:vAlign w:val="bottom"/>
            <w:hideMark/>
          </w:tcPr>
          <w:p w14:paraId="6C5704BB" w14:textId="77777777" w:rsidR="00954688" w:rsidRPr="00E147A1" w:rsidRDefault="00954688" w:rsidP="000C49A5">
            <w:pPr>
              <w:spacing w:before="0"/>
              <w:jc w:val="right"/>
              <w:rPr>
                <w:rFonts w:ascii="Calibri" w:eastAsia="Times New Roman" w:hAnsi="Calibri" w:cs="Calibri"/>
                <w:color w:val="000000"/>
                <w:sz w:val="18"/>
                <w:szCs w:val="18"/>
                <w:lang w:eastAsia="cs-CZ"/>
              </w:rPr>
            </w:pPr>
            <w:r w:rsidRPr="00E147A1">
              <w:rPr>
                <w:rFonts w:ascii="Calibri" w:eastAsia="Times New Roman" w:hAnsi="Calibri" w:cs="Calibri"/>
                <w:color w:val="000000"/>
                <w:sz w:val="18"/>
                <w:szCs w:val="18"/>
                <w:lang w:eastAsia="cs-CZ"/>
              </w:rPr>
              <w:t>0</w:t>
            </w:r>
          </w:p>
        </w:tc>
      </w:tr>
    </w:tbl>
    <w:p w14:paraId="594EAC08" w14:textId="28D53EBE" w:rsidR="00954688" w:rsidRDefault="00954688" w:rsidP="004B1217">
      <w:pPr>
        <w:pStyle w:val="zdroj0"/>
        <w:spacing w:after="0"/>
      </w:pPr>
      <w:r>
        <w:t xml:space="preserve">Zdroj: MMZ, </w:t>
      </w:r>
      <w:r w:rsidRPr="00E147A1">
        <w:t>Rozpočty a závěrečné účty</w:t>
      </w:r>
      <w:r>
        <w:t>, 2020</w:t>
      </w:r>
      <w:r w:rsidR="00EC22C4">
        <w:t>.</w:t>
      </w:r>
    </w:p>
    <w:p w14:paraId="4C5B792A" w14:textId="04610871" w:rsidR="004B1217" w:rsidRPr="006926D2" w:rsidRDefault="004B1217" w:rsidP="00954688">
      <w:pPr>
        <w:pStyle w:val="zdroj0"/>
      </w:pPr>
      <w:r>
        <w:t>Pozn. * Poplatek za vedení účtu.</w:t>
      </w:r>
    </w:p>
    <w:p w14:paraId="3A2A8D51" w14:textId="77777777" w:rsidR="00954688" w:rsidRDefault="00954688" w:rsidP="00954688">
      <w:pPr>
        <w:pStyle w:val="Nadpis4"/>
      </w:pPr>
      <w:r>
        <w:lastRenderedPageBreak/>
        <w:t>Marketing a utvářené image města</w:t>
      </w:r>
    </w:p>
    <w:p w14:paraId="0D7C312C" w14:textId="6D9858D9" w:rsidR="00954688" w:rsidRDefault="00954688" w:rsidP="00954688">
      <w:r>
        <w:t>Public Relations má na Magistrátu města Zlína na starosti zejména tiskové oddělení, které zaměstnává tři pracovníky – tiskového mluvčího (který je zároveň vedoucím oddělení), redaktorku zlínského měsíčníku Magazín Zlín a referenta vnějších vztahů. Tiskové oddělení vytváří a realizuje koncepci vnějšího Public Relations statutárního města Zlína a Magistrátu Města Zlína ve spolupráci s</w:t>
      </w:r>
      <w:r w:rsidR="00453721">
        <w:t> </w:t>
      </w:r>
      <w:r>
        <w:t>jednotlivými členy Rady města Zlína a tajemnicí Magistrátu města Zlína,</w:t>
      </w:r>
      <w:r w:rsidR="003110D6">
        <w:t xml:space="preserve"> zpracovává mediální výstupy, s </w:t>
      </w:r>
      <w:r>
        <w:t>veřejností a médii komunikuje problematiku samosprávné působnosti statutárního města Zlína, komunikuje mimořádné a nenadálé mediální aktivity statutárního města Zlína, zodpovídá za tvorbu a</w:t>
      </w:r>
      <w:r w:rsidR="00453721">
        <w:t> </w:t>
      </w:r>
      <w:r>
        <w:t>obsah Magazínu Zlín, ve spolupráci s oddělením cestovního ruchu a informací zajišťuje vydávání tiskových materiálů určených k propagaci města Zlína, redakčně připravuje a zajišťuje zveřejňování informačních výstupů na internetu a tvoří a rozvíjí městské webové stránky, spravuje systém mobilní rozhlas, podílí se</w:t>
      </w:r>
      <w:r w:rsidR="00453721">
        <w:t xml:space="preserve"> na</w:t>
      </w:r>
      <w:r>
        <w:t xml:space="preserve"> správě sociálních sítí, zajišťuje přípravu a realizaci společenských, prezentačních a</w:t>
      </w:r>
      <w:r w:rsidR="00453721">
        <w:t> </w:t>
      </w:r>
      <w:r>
        <w:t>veletržních akcí města Zlína v rámci oddělení a ve spolupráci s oddělením cestovního ruchu a</w:t>
      </w:r>
      <w:r w:rsidR="003110D6">
        <w:t> informací apod. Činnosti</w:t>
      </w:r>
      <w:r>
        <w:t xml:space="preserve"> spojené s Public Relations vykonává také oddělení cestovního ruchu a</w:t>
      </w:r>
      <w:r w:rsidR="003110D6">
        <w:t> </w:t>
      </w:r>
      <w:r>
        <w:t>informací a Městské informační a turistické středisko.</w:t>
      </w:r>
    </w:p>
    <w:p w14:paraId="7077292B" w14:textId="77777777" w:rsidR="00954688" w:rsidRDefault="00954688" w:rsidP="00954688">
      <w:r>
        <w:t xml:space="preserve">Město Zlín má zpracovanou </w:t>
      </w:r>
      <w:r w:rsidRPr="00D127D1">
        <w:rPr>
          <w:b/>
        </w:rPr>
        <w:t>Komunikační strategii pro statutární město Zlín v oblasti kulturních, sportovních a volnočasových aktivit</w:t>
      </w:r>
      <w:r>
        <w:t>. Komunikační strategie byla zpracována v roce 2019 a má za cíl</w:t>
      </w:r>
      <w:r>
        <w:rPr>
          <w:rStyle w:val="Znakapoznpodarou"/>
        </w:rPr>
        <w:footnoteReference w:id="105"/>
      </w:r>
      <w:r>
        <w:t>:</w:t>
      </w:r>
    </w:p>
    <w:p w14:paraId="26733BB4" w14:textId="08957E50" w:rsidR="00954688" w:rsidRDefault="00954688" w:rsidP="00954688">
      <w:pPr>
        <w:pStyle w:val="Odstavecseseznamem"/>
        <w:numPr>
          <w:ilvl w:val="0"/>
          <w:numId w:val="53"/>
        </w:numPr>
        <w:ind w:left="567"/>
      </w:pPr>
      <w:r>
        <w:t>informování občanů a dalších cílových skupin o aktivitách města ve výše uvedených oblastech</w:t>
      </w:r>
      <w:r w:rsidR="003110D6">
        <w:t>,</w:t>
      </w:r>
    </w:p>
    <w:p w14:paraId="2DC61D37" w14:textId="6A1B71BE" w:rsidR="00954688" w:rsidRDefault="00954688" w:rsidP="00954688">
      <w:pPr>
        <w:pStyle w:val="Odstavecseseznamem"/>
        <w:numPr>
          <w:ilvl w:val="0"/>
          <w:numId w:val="53"/>
        </w:numPr>
        <w:ind w:left="567"/>
      </w:pPr>
      <w:r>
        <w:t>zlepšení image města Zlína jako podporovatele těchto oblastí</w:t>
      </w:r>
      <w:r w:rsidR="003110D6">
        <w:t>,</w:t>
      </w:r>
    </w:p>
    <w:p w14:paraId="245BA2FF" w14:textId="39E76615" w:rsidR="00954688" w:rsidRDefault="00954688" w:rsidP="00954688">
      <w:pPr>
        <w:pStyle w:val="Odstavecseseznamem"/>
        <w:numPr>
          <w:ilvl w:val="0"/>
          <w:numId w:val="53"/>
        </w:numPr>
        <w:ind w:left="567"/>
      </w:pPr>
      <w:r>
        <w:t>zvýšení povědomí občanů o roli městské samosprávy v oblasti kultury, sportu a volnočasových aktivit</w:t>
      </w:r>
      <w:r w:rsidR="003110D6">
        <w:t>.</w:t>
      </w:r>
    </w:p>
    <w:p w14:paraId="6A88C635" w14:textId="77777777" w:rsidR="00954688" w:rsidRDefault="00954688" w:rsidP="00954688">
      <w:r w:rsidRPr="005F6163">
        <w:t xml:space="preserve">Součástí strategie je </w:t>
      </w:r>
      <w:r>
        <w:t xml:space="preserve">doporučení </w:t>
      </w:r>
      <w:r w:rsidRPr="005F6163">
        <w:t xml:space="preserve">realizace </w:t>
      </w:r>
      <w:r>
        <w:t xml:space="preserve">komunikační </w:t>
      </w:r>
      <w:r w:rsidRPr="005F6163">
        <w:t>kampaně s pracovním názvem „Zlín – skvělé místo pro život (a práci)“.</w:t>
      </w:r>
      <w:r>
        <w:t xml:space="preserve"> Způsoby realizace jsou blíže uvedeny v komunikační strategii.</w:t>
      </w:r>
    </w:p>
    <w:p w14:paraId="1C28DA97" w14:textId="77777777" w:rsidR="00954688" w:rsidRDefault="00954688" w:rsidP="00954688">
      <w:r>
        <w:t xml:space="preserve">Na značku destinace </w:t>
      </w:r>
      <w:r w:rsidRPr="002E6E22">
        <w:t>Zlínsko a Luhačovicko</w:t>
      </w:r>
      <w:r>
        <w:t xml:space="preserve"> a budování image značky je zaměřena </w:t>
      </w:r>
      <w:r w:rsidRPr="005D2849">
        <w:rPr>
          <w:b/>
        </w:rPr>
        <w:t>Strategie destinačního managementu pro turistickou oblast Zlínsko-Luhačovicko</w:t>
      </w:r>
      <w:r>
        <w:t xml:space="preserve"> a na její zjednodušení také výstupy z workshopu na téma: </w:t>
      </w:r>
      <w:r w:rsidRPr="005D2849">
        <w:rPr>
          <w:b/>
        </w:rPr>
        <w:t>Jak na komunikaci Zlínska a Luhačovicka.</w:t>
      </w:r>
    </w:p>
    <w:p w14:paraId="66568594" w14:textId="77777777" w:rsidR="00954688" w:rsidRPr="005F6163" w:rsidRDefault="00954688" w:rsidP="00954688">
      <w:r>
        <w:t>Město pro komunikaci používá následující komunikační prostředky:</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804"/>
      </w:tblGrid>
      <w:tr w:rsidR="00954688" w14:paraId="27DBC367" w14:textId="77777777" w:rsidTr="000C49A5">
        <w:tc>
          <w:tcPr>
            <w:tcW w:w="2268" w:type="dxa"/>
          </w:tcPr>
          <w:p w14:paraId="204F7DD9" w14:textId="77777777" w:rsidR="00954688" w:rsidRPr="005145CB" w:rsidRDefault="00954688" w:rsidP="000C49A5">
            <w:pPr>
              <w:jc w:val="left"/>
              <w:rPr>
                <w:b/>
              </w:rPr>
            </w:pPr>
            <w:r w:rsidRPr="005145CB">
              <w:rPr>
                <w:b/>
              </w:rPr>
              <w:t>Magazín Zlín</w:t>
            </w:r>
          </w:p>
          <w:p w14:paraId="249BA3B5" w14:textId="77777777" w:rsidR="00954688" w:rsidRPr="005145CB" w:rsidRDefault="00954688" w:rsidP="000C49A5">
            <w:pPr>
              <w:jc w:val="left"/>
              <w:rPr>
                <w:b/>
              </w:rPr>
            </w:pPr>
          </w:p>
        </w:tc>
        <w:tc>
          <w:tcPr>
            <w:tcW w:w="6804" w:type="dxa"/>
          </w:tcPr>
          <w:p w14:paraId="01E4213D" w14:textId="77777777" w:rsidR="00954688" w:rsidRPr="00E508AA" w:rsidRDefault="00954688" w:rsidP="000C49A5">
            <w:r w:rsidRPr="00215EA6">
              <w:t>Měsíčník vychází v nákladu 34 500 výtisků a je zdarma distribuován do všech domácností na území Zlína.</w:t>
            </w:r>
            <w:r>
              <w:t xml:space="preserve"> </w:t>
            </w:r>
            <w:r w:rsidRPr="00215EA6">
              <w:t>Magazín jako oficiální periodikum vydává Magistrát města Zlína a HEXXA.CZ s.r.o.</w:t>
            </w:r>
            <w:r>
              <w:t xml:space="preserve"> </w:t>
            </w:r>
            <w:r w:rsidRPr="00215EA6">
              <w:t>Na 32 stranách přináší přehled o aktuálním dění v centru krajského města i jeho místních částech, přehled kulturních a sportovních akcí a obsáhlé tematické materiály. Magazín vychází měsíčně.</w:t>
            </w:r>
          </w:p>
        </w:tc>
      </w:tr>
      <w:tr w:rsidR="00954688" w14:paraId="1529FA57" w14:textId="77777777" w:rsidTr="000C49A5">
        <w:tc>
          <w:tcPr>
            <w:tcW w:w="2268" w:type="dxa"/>
          </w:tcPr>
          <w:p w14:paraId="34E420A3" w14:textId="35FC4F52" w:rsidR="00954688" w:rsidRPr="00C74C86" w:rsidRDefault="003110D6" w:rsidP="000C49A5">
            <w:pPr>
              <w:rPr>
                <w:b/>
              </w:rPr>
            </w:pPr>
            <w:r>
              <w:rPr>
                <w:b/>
              </w:rPr>
              <w:t>O</w:t>
            </w:r>
            <w:r w:rsidR="00954688" w:rsidRPr="00C74C86">
              <w:rPr>
                <w:b/>
              </w:rPr>
              <w:t>ficiální internetové stránky města Zlín</w:t>
            </w:r>
          </w:p>
          <w:p w14:paraId="2EC4CC02" w14:textId="77777777" w:rsidR="00954688" w:rsidRPr="005145CB" w:rsidRDefault="00954688" w:rsidP="000C49A5">
            <w:pPr>
              <w:jc w:val="left"/>
              <w:rPr>
                <w:b/>
              </w:rPr>
            </w:pPr>
            <w:r>
              <w:rPr>
                <w:b/>
              </w:rPr>
              <w:t>www.zlin.eu</w:t>
            </w:r>
          </w:p>
        </w:tc>
        <w:tc>
          <w:tcPr>
            <w:tcW w:w="6804" w:type="dxa"/>
          </w:tcPr>
          <w:p w14:paraId="4ED32472" w14:textId="6C654B2E" w:rsidR="00954688" w:rsidRPr="00215EA6" w:rsidRDefault="00954688" w:rsidP="007947B1">
            <w:r>
              <w:t>Oficiální stránky obsahují mnoho informací, rozdělených na základní údaje o</w:t>
            </w:r>
            <w:r w:rsidR="007947B1">
              <w:t> </w:t>
            </w:r>
            <w:r>
              <w:t>městě a sekce pro občany, pro podnikatele a pro turisty. Do jejich obsahu zasahují kromě odboru informatiky také pracovníci z ostatních odborů a</w:t>
            </w:r>
            <w:r w:rsidR="003110D6">
              <w:t> </w:t>
            </w:r>
            <w:r>
              <w:t>oddělení, kteří aktualizují a upravují texty v jednotlivých podsekcích. Z</w:t>
            </w:r>
            <w:r w:rsidR="003110D6">
              <w:t>ároveň</w:t>
            </w:r>
            <w:r>
              <w:t xml:space="preserve"> je dostupná webová aplikace Portál občana, která nabízí informace o nejrůznějších životních situacích.</w:t>
            </w:r>
          </w:p>
        </w:tc>
      </w:tr>
      <w:tr w:rsidR="00954688" w14:paraId="5ACC00DA" w14:textId="77777777" w:rsidTr="000C49A5">
        <w:tc>
          <w:tcPr>
            <w:tcW w:w="2268" w:type="dxa"/>
          </w:tcPr>
          <w:p w14:paraId="067595AE" w14:textId="77777777" w:rsidR="00954688" w:rsidRPr="005145CB" w:rsidRDefault="00954688" w:rsidP="000C49A5">
            <w:pPr>
              <w:jc w:val="left"/>
              <w:rPr>
                <w:b/>
              </w:rPr>
            </w:pPr>
            <w:r w:rsidRPr="005145CB">
              <w:rPr>
                <w:b/>
              </w:rPr>
              <w:t xml:space="preserve">Turistický informační portál města Zlína </w:t>
            </w:r>
          </w:p>
          <w:p w14:paraId="67FBDEEB" w14:textId="77777777" w:rsidR="00954688" w:rsidRPr="005145CB" w:rsidRDefault="00954688" w:rsidP="000C49A5">
            <w:pPr>
              <w:jc w:val="left"/>
              <w:rPr>
                <w:b/>
              </w:rPr>
            </w:pPr>
            <w:r w:rsidRPr="005145CB">
              <w:rPr>
                <w:b/>
              </w:rPr>
              <w:t>www.ic-zlin.cz</w:t>
            </w:r>
          </w:p>
        </w:tc>
        <w:tc>
          <w:tcPr>
            <w:tcW w:w="6804" w:type="dxa"/>
          </w:tcPr>
          <w:p w14:paraId="44A3CBBE" w14:textId="77777777" w:rsidR="00954688" w:rsidRDefault="00954688" w:rsidP="000C49A5">
            <w:r w:rsidRPr="00E508AA">
              <w:t>Turistický informační portál města Zlína http://www.ic-zlin.cz/ je responzívní, má standardní jazykové mutace a poskytuje standardní informace</w:t>
            </w:r>
            <w:r>
              <w:t xml:space="preserve"> – o atraktivitách města, pořádaných akcích, informací z oblasti </w:t>
            </w:r>
            <w:r>
              <w:lastRenderedPageBreak/>
              <w:t>kultury, sportu, dále uvádí praktické informace o ubytování, stravování, parkování, nabízí také virtuální prohlídky městem apod.</w:t>
            </w:r>
          </w:p>
        </w:tc>
      </w:tr>
      <w:tr w:rsidR="00954688" w14:paraId="329A1EE4" w14:textId="77777777" w:rsidTr="000C49A5">
        <w:tc>
          <w:tcPr>
            <w:tcW w:w="2268" w:type="dxa"/>
          </w:tcPr>
          <w:p w14:paraId="5F499A50" w14:textId="461150C0" w:rsidR="00954688" w:rsidRPr="005145CB" w:rsidRDefault="003110D6" w:rsidP="000C49A5">
            <w:pPr>
              <w:jc w:val="left"/>
              <w:rPr>
                <w:b/>
              </w:rPr>
            </w:pPr>
            <w:r>
              <w:rPr>
                <w:b/>
              </w:rPr>
              <w:lastRenderedPageBreak/>
              <w:t>S</w:t>
            </w:r>
            <w:r w:rsidR="00954688" w:rsidRPr="005145CB">
              <w:rPr>
                <w:b/>
              </w:rPr>
              <w:t>ociální online platformy – FB, IG, YT</w:t>
            </w:r>
          </w:p>
        </w:tc>
        <w:tc>
          <w:tcPr>
            <w:tcW w:w="6804" w:type="dxa"/>
          </w:tcPr>
          <w:p w14:paraId="25B1D737" w14:textId="482AED86" w:rsidR="00954688" w:rsidRDefault="00954688" w:rsidP="003110D6">
            <w:r>
              <w:t>Město má své oficiální úč</w:t>
            </w:r>
            <w:r w:rsidRPr="00E508AA">
              <w:t>t</w:t>
            </w:r>
            <w:r>
              <w:t>y vytvořeny na sociálních online platformách – Facebooku, Instagramu a na kanálu YouTube – Zlín TV. Pomocí sociálních sítí se město snaží propagovat zlínské kulturní akce a částečně také informovat o aktuálním dění. Město zde vkládá zajímavé fotografie a</w:t>
            </w:r>
            <w:r w:rsidR="003110D6">
              <w:t> </w:t>
            </w:r>
            <w:r>
              <w:t>videa, upozorňuje na významná výročí nebo informuje o omezeních chodu magistrátu apod. Každý rok je na těchto sítích zaznamenáván konstantní nárůst fanoušků.</w:t>
            </w:r>
          </w:p>
        </w:tc>
      </w:tr>
      <w:tr w:rsidR="00954688" w14:paraId="18AEF3C5" w14:textId="77777777" w:rsidTr="000C49A5">
        <w:tc>
          <w:tcPr>
            <w:tcW w:w="2268" w:type="dxa"/>
          </w:tcPr>
          <w:p w14:paraId="5D9FD65C" w14:textId="22DA41A6" w:rsidR="00954688" w:rsidRPr="005145CB" w:rsidRDefault="003110D6" w:rsidP="000C49A5">
            <w:pPr>
              <w:jc w:val="left"/>
              <w:rPr>
                <w:b/>
              </w:rPr>
            </w:pPr>
            <w:r>
              <w:rPr>
                <w:b/>
              </w:rPr>
              <w:t>V</w:t>
            </w:r>
            <w:r w:rsidR="00954688" w:rsidRPr="005145CB">
              <w:rPr>
                <w:b/>
              </w:rPr>
              <w:t>ideospoty</w:t>
            </w:r>
          </w:p>
        </w:tc>
        <w:tc>
          <w:tcPr>
            <w:tcW w:w="6804" w:type="dxa"/>
          </w:tcPr>
          <w:p w14:paraId="57EF76D7" w14:textId="77777777" w:rsidR="00954688" w:rsidRDefault="00954688" w:rsidP="000C49A5">
            <w:r>
              <w:t>Město Zlín ji</w:t>
            </w:r>
            <w:r w:rsidRPr="00960775">
              <w:t>ž řadu let využívá několik různých spotů</w:t>
            </w:r>
            <w:r>
              <w:t xml:space="preserve">, které jsou dostupné na </w:t>
            </w:r>
            <w:hyperlink r:id="rId154" w:history="1">
              <w:r>
                <w:rPr>
                  <w:rStyle w:val="Hypertextovodkaz"/>
                </w:rPr>
                <w:t>http://www.ic-zlin.cz/24839-spoty</w:t>
              </w:r>
            </w:hyperlink>
            <w:r>
              <w:t>. Spoty jsou natočeny na různá témata – Navštivte Zlín – Baťovo město, Zlín z výšky, ZOO Zlín 2015, Zlín město zeleně, Zlín město kultury, Zlín – Město v pohybu a další.</w:t>
            </w:r>
          </w:p>
        </w:tc>
      </w:tr>
      <w:tr w:rsidR="00954688" w14:paraId="41B6F5AB" w14:textId="77777777" w:rsidTr="000C49A5">
        <w:tc>
          <w:tcPr>
            <w:tcW w:w="2268" w:type="dxa"/>
          </w:tcPr>
          <w:p w14:paraId="0ACA81FE" w14:textId="0E6407A3" w:rsidR="00954688" w:rsidRPr="005145CB" w:rsidRDefault="003110D6" w:rsidP="000C49A5">
            <w:pPr>
              <w:jc w:val="left"/>
              <w:rPr>
                <w:b/>
              </w:rPr>
            </w:pPr>
            <w:r>
              <w:rPr>
                <w:b/>
              </w:rPr>
              <w:t>V</w:t>
            </w:r>
            <w:r w:rsidR="00954688">
              <w:rPr>
                <w:b/>
              </w:rPr>
              <w:t xml:space="preserve">irtuální </w:t>
            </w:r>
            <w:r w:rsidR="00954688" w:rsidRPr="00393993">
              <w:rPr>
                <w:b/>
              </w:rPr>
              <w:t>kiosek statutárního města Zlína</w:t>
            </w:r>
          </w:p>
        </w:tc>
        <w:tc>
          <w:tcPr>
            <w:tcW w:w="6804" w:type="dxa"/>
          </w:tcPr>
          <w:p w14:paraId="15E9B44F" w14:textId="77777777" w:rsidR="00954688" w:rsidRDefault="00954688" w:rsidP="000C49A5">
            <w:r>
              <w:t>P</w:t>
            </w:r>
            <w:r w:rsidRPr="00393993">
              <w:t xml:space="preserve">řístup do aplikace </w:t>
            </w:r>
            <w:r>
              <w:t>získají uživatelé p</w:t>
            </w:r>
            <w:r w:rsidRPr="00393993">
              <w:t xml:space="preserve">o vyfocení </w:t>
            </w:r>
            <w:r>
              <w:t xml:space="preserve">odpovídajícího QR kódu, kde najdou </w:t>
            </w:r>
            <w:r w:rsidRPr="00393993">
              <w:t>přehledně roztříděné aktuální informace o městě, kalendárium akcí, mapu města, informace o jeho atraktivitách, souhrn kulturních organizací a seznam důležitých kontaktů.</w:t>
            </w:r>
          </w:p>
        </w:tc>
      </w:tr>
      <w:tr w:rsidR="00954688" w14:paraId="3DB95EC2" w14:textId="77777777" w:rsidTr="000C49A5">
        <w:tc>
          <w:tcPr>
            <w:tcW w:w="2268" w:type="dxa"/>
          </w:tcPr>
          <w:p w14:paraId="22FB7917" w14:textId="0772FF8E" w:rsidR="00954688" w:rsidRPr="00346FA8" w:rsidRDefault="00954688" w:rsidP="000C49A5">
            <w:pPr>
              <w:jc w:val="left"/>
              <w:rPr>
                <w:b/>
              </w:rPr>
            </w:pPr>
            <w:r w:rsidRPr="00346FA8">
              <w:rPr>
                <w:b/>
              </w:rPr>
              <w:t xml:space="preserve">Aplikace </w:t>
            </w:r>
            <w:r w:rsidR="003110D6">
              <w:rPr>
                <w:b/>
              </w:rPr>
              <w:t>„</w:t>
            </w:r>
            <w:r w:rsidRPr="00346FA8">
              <w:rPr>
                <w:b/>
              </w:rPr>
              <w:t>Mobilní Turista</w:t>
            </w:r>
            <w:r w:rsidR="003110D6">
              <w:rPr>
                <w:b/>
              </w:rPr>
              <w:t>“</w:t>
            </w:r>
          </w:p>
        </w:tc>
        <w:tc>
          <w:tcPr>
            <w:tcW w:w="6804" w:type="dxa"/>
          </w:tcPr>
          <w:p w14:paraId="24612446" w14:textId="08D8B6D1" w:rsidR="00954688" w:rsidRDefault="00954688" w:rsidP="003110D6">
            <w:r>
              <w:t>Aplikace obsahuje soubor informací jak pro místní obyvatele (informace z</w:t>
            </w:r>
            <w:r w:rsidR="003110D6">
              <w:t> </w:t>
            </w:r>
            <w:r>
              <w:t>městského úřadu), tak i pro návštěvníky (průvodce městem, kalendář akcí, přehled kulturních organizací, nabídku ubytování a stravování apod.).</w:t>
            </w:r>
          </w:p>
        </w:tc>
      </w:tr>
      <w:tr w:rsidR="00954688" w14:paraId="4F112668" w14:textId="77777777" w:rsidTr="000C49A5">
        <w:tc>
          <w:tcPr>
            <w:tcW w:w="2268" w:type="dxa"/>
          </w:tcPr>
          <w:p w14:paraId="0B74FD57" w14:textId="6E9700B1" w:rsidR="00954688" w:rsidRPr="005145CB" w:rsidRDefault="003110D6" w:rsidP="000C49A5">
            <w:pPr>
              <w:jc w:val="left"/>
              <w:rPr>
                <w:b/>
              </w:rPr>
            </w:pPr>
            <w:r>
              <w:rPr>
                <w:b/>
              </w:rPr>
              <w:t>M</w:t>
            </w:r>
            <w:r w:rsidR="00954688" w:rsidRPr="005145CB">
              <w:rPr>
                <w:b/>
              </w:rPr>
              <w:t xml:space="preserve">obilní aplikace </w:t>
            </w:r>
            <w:r>
              <w:rPr>
                <w:b/>
              </w:rPr>
              <w:t>„</w:t>
            </w:r>
            <w:r w:rsidR="00954688" w:rsidRPr="005145CB">
              <w:rPr>
                <w:b/>
              </w:rPr>
              <w:t>Mobilní Rozhlas</w:t>
            </w:r>
            <w:r>
              <w:rPr>
                <w:b/>
              </w:rPr>
              <w:t>“</w:t>
            </w:r>
            <w:r w:rsidR="00954688" w:rsidRPr="005145CB">
              <w:rPr>
                <w:b/>
              </w:rPr>
              <w:t xml:space="preserve"> </w:t>
            </w:r>
          </w:p>
          <w:p w14:paraId="2227A350" w14:textId="77777777" w:rsidR="00954688" w:rsidRPr="005145CB" w:rsidRDefault="00954688" w:rsidP="000C49A5">
            <w:pPr>
              <w:jc w:val="left"/>
              <w:rPr>
                <w:b/>
              </w:rPr>
            </w:pPr>
          </w:p>
        </w:tc>
        <w:tc>
          <w:tcPr>
            <w:tcW w:w="6804" w:type="dxa"/>
          </w:tcPr>
          <w:p w14:paraId="65B0EA15" w14:textId="3EB028D4" w:rsidR="00954688" w:rsidRDefault="00954688" w:rsidP="003110D6">
            <w:r>
              <w:t>Od května roku 2020 město Zlín spustilo Zlín - Magistrát města Zlína spouští mobilní aplikaci Mobilní Rozhlas. Aplikace formou SMS, emailu, push notifikací či hlasových zpráv pro nevidomé a slabozraké rychleji a</w:t>
            </w:r>
            <w:r w:rsidR="003110D6">
              <w:t> </w:t>
            </w:r>
            <w:r>
              <w:t>efektivněji informuje o aktuálním dění ve městě, kultuře a sportu, dopravních uzavírkách, nebo krizových situacích. Občané mohou v rámci aplikace přispívat podněty ke zlepšení ve městě nebo upozornit například na černé skládky. Do celého systému je zapojena i platforma pro participativní rozpočet Tvoříme Zlín.</w:t>
            </w:r>
          </w:p>
        </w:tc>
      </w:tr>
      <w:tr w:rsidR="00954688" w14:paraId="5A8676E8" w14:textId="77777777" w:rsidTr="000C49A5">
        <w:tc>
          <w:tcPr>
            <w:tcW w:w="2268" w:type="dxa"/>
          </w:tcPr>
          <w:p w14:paraId="5FFB4A82" w14:textId="3B405EFB" w:rsidR="00954688" w:rsidRPr="005145CB" w:rsidRDefault="003110D6" w:rsidP="000C49A5">
            <w:pPr>
              <w:jc w:val="left"/>
              <w:rPr>
                <w:b/>
              </w:rPr>
            </w:pPr>
            <w:r>
              <w:rPr>
                <w:b/>
              </w:rPr>
              <w:t>M</w:t>
            </w:r>
            <w:r w:rsidR="00954688" w:rsidRPr="005145CB">
              <w:rPr>
                <w:b/>
              </w:rPr>
              <w:t xml:space="preserve">obilní aplikace </w:t>
            </w:r>
            <w:r>
              <w:rPr>
                <w:b/>
              </w:rPr>
              <w:t>„</w:t>
            </w:r>
            <w:r w:rsidR="00954688" w:rsidRPr="00830FCA">
              <w:rPr>
                <w:b/>
              </w:rPr>
              <w:t>DarumaGo! Audio Guide Zlín</w:t>
            </w:r>
            <w:r>
              <w:rPr>
                <w:b/>
              </w:rPr>
              <w:t>“</w:t>
            </w:r>
          </w:p>
        </w:tc>
        <w:tc>
          <w:tcPr>
            <w:tcW w:w="6804" w:type="dxa"/>
          </w:tcPr>
          <w:p w14:paraId="46663830" w14:textId="77777777" w:rsidR="00954688" w:rsidRDefault="00954688" w:rsidP="000C49A5">
            <w:r>
              <w:rPr>
                <w:shd w:val="clear" w:color="auto" w:fill="FFFFFF"/>
              </w:rPr>
              <w:t>Uživatelé aplikace zde naleznou nejen zajímavosti o Zlíně, ale také o jeho blízkém okolí - např. co je možné ve Zlíně navštívit, informace o jeho historii, funkcionalistické architektuře a zajímavých osobnostech, nabídku sportovního vyžití a mnoho dalšího. </w:t>
            </w:r>
          </w:p>
        </w:tc>
      </w:tr>
      <w:tr w:rsidR="00954688" w14:paraId="1FFBB930" w14:textId="77777777" w:rsidTr="000C49A5">
        <w:tc>
          <w:tcPr>
            <w:tcW w:w="2268" w:type="dxa"/>
          </w:tcPr>
          <w:p w14:paraId="738C8A94" w14:textId="0D14E5B2" w:rsidR="00954688" w:rsidRPr="005145CB" w:rsidRDefault="003110D6" w:rsidP="000C49A5">
            <w:pPr>
              <w:jc w:val="left"/>
              <w:rPr>
                <w:b/>
              </w:rPr>
            </w:pPr>
            <w:r>
              <w:rPr>
                <w:b/>
              </w:rPr>
              <w:t>M</w:t>
            </w:r>
            <w:r w:rsidR="00954688" w:rsidRPr="005145CB">
              <w:rPr>
                <w:b/>
              </w:rPr>
              <w:t xml:space="preserve">obilní aplikace </w:t>
            </w:r>
            <w:r>
              <w:rPr>
                <w:b/>
              </w:rPr>
              <w:t>„</w:t>
            </w:r>
            <w:r w:rsidR="00954688" w:rsidRPr="0091679D">
              <w:rPr>
                <w:b/>
              </w:rPr>
              <w:t>Blueinfo</w:t>
            </w:r>
            <w:r>
              <w:rPr>
                <w:b/>
              </w:rPr>
              <w:t>“</w:t>
            </w:r>
            <w:r w:rsidR="00954688" w:rsidRPr="0091679D">
              <w:rPr>
                <w:b/>
              </w:rPr>
              <w:t xml:space="preserve"> </w:t>
            </w:r>
          </w:p>
        </w:tc>
        <w:tc>
          <w:tcPr>
            <w:tcW w:w="6804" w:type="dxa"/>
          </w:tcPr>
          <w:p w14:paraId="71AD49F9" w14:textId="77777777" w:rsidR="00954688" w:rsidRDefault="00954688" w:rsidP="000C49A5">
            <w:pPr>
              <w:rPr>
                <w:shd w:val="clear" w:color="auto" w:fill="FFFFFF"/>
              </w:rPr>
            </w:pPr>
            <w:r w:rsidRPr="0091679D">
              <w:rPr>
                <w:shd w:val="clear" w:color="auto" w:fill="FFFFFF"/>
              </w:rPr>
              <w:t>Jedná se o b</w:t>
            </w:r>
            <w:r>
              <w:rPr>
                <w:shd w:val="clear" w:color="auto" w:fill="FFFFFF"/>
              </w:rPr>
              <w:t>ezplatného audio</w:t>
            </w:r>
            <w:r w:rsidRPr="0091679D">
              <w:rPr>
                <w:shd w:val="clear" w:color="auto" w:fill="FFFFFF"/>
              </w:rPr>
              <w:t xml:space="preserve"> průvodce Zlínem do mobilního telefonu</w:t>
            </w:r>
            <w:r>
              <w:rPr>
                <w:shd w:val="clear" w:color="auto" w:fill="FFFFFF"/>
              </w:rPr>
              <w:t xml:space="preserve">. </w:t>
            </w:r>
            <w:r w:rsidRPr="0091679D">
              <w:rPr>
                <w:shd w:val="clear" w:color="auto" w:fill="FFFFFF"/>
              </w:rPr>
              <w:t>Systém Blueinfo</w:t>
            </w:r>
            <w:r>
              <w:rPr>
                <w:shd w:val="clear" w:color="auto" w:fill="FFFFFF"/>
              </w:rPr>
              <w:t xml:space="preserve"> uživatelům nabízí</w:t>
            </w:r>
            <w:r w:rsidRPr="0091679D">
              <w:rPr>
                <w:shd w:val="clear" w:color="auto" w:fill="FFFFFF"/>
              </w:rPr>
              <w:t xml:space="preserve"> také přehled sportovních a kulturních zařízení, atraktivity, tipy na výlety, mapu středu města, grafické pohlednice apod.</w:t>
            </w:r>
          </w:p>
        </w:tc>
      </w:tr>
      <w:tr w:rsidR="00954688" w14:paraId="444ECCBE" w14:textId="77777777" w:rsidTr="000C49A5">
        <w:tc>
          <w:tcPr>
            <w:tcW w:w="2268" w:type="dxa"/>
          </w:tcPr>
          <w:p w14:paraId="16FC374A" w14:textId="5DA5E8EC" w:rsidR="00954688" w:rsidRPr="005145CB" w:rsidRDefault="003110D6" w:rsidP="000C49A5">
            <w:pPr>
              <w:jc w:val="left"/>
              <w:rPr>
                <w:b/>
              </w:rPr>
            </w:pPr>
            <w:r>
              <w:rPr>
                <w:b/>
              </w:rPr>
              <w:t>B</w:t>
            </w:r>
            <w:r w:rsidR="00954688">
              <w:rPr>
                <w:b/>
              </w:rPr>
              <w:t>rožury a mapy</w:t>
            </w:r>
          </w:p>
        </w:tc>
        <w:tc>
          <w:tcPr>
            <w:tcW w:w="6804" w:type="dxa"/>
          </w:tcPr>
          <w:p w14:paraId="64E1C4FB" w14:textId="77777777" w:rsidR="00954688" w:rsidRPr="0091679D" w:rsidRDefault="00954688" w:rsidP="000C49A5">
            <w:pPr>
              <w:rPr>
                <w:shd w:val="clear" w:color="auto" w:fill="FFFFFF"/>
              </w:rPr>
            </w:pPr>
            <w:r>
              <w:rPr>
                <w:shd w:val="clear" w:color="auto" w:fill="FFFFFF"/>
              </w:rPr>
              <w:t xml:space="preserve">Město se prezentuje prostřednictvím brožur a map, které </w:t>
            </w:r>
            <w:r w:rsidRPr="000A669F">
              <w:rPr>
                <w:shd w:val="clear" w:color="auto" w:fill="FFFFFF"/>
              </w:rPr>
              <w:t>jsou v tiště</w:t>
            </w:r>
            <w:r>
              <w:rPr>
                <w:shd w:val="clear" w:color="auto" w:fill="FFFFFF"/>
              </w:rPr>
              <w:t>né podobě zdarma k dispozici v</w:t>
            </w:r>
            <w:r w:rsidRPr="000A669F">
              <w:rPr>
                <w:shd w:val="clear" w:color="auto" w:fill="FFFFFF"/>
              </w:rPr>
              <w:t xml:space="preserve"> Městském info</w:t>
            </w:r>
            <w:r>
              <w:rPr>
                <w:shd w:val="clear" w:color="auto" w:fill="FFFFFF"/>
              </w:rPr>
              <w:t xml:space="preserve">rmačním a turistickém středisku nebo online ke stažení na </w:t>
            </w:r>
            <w:hyperlink r:id="rId155" w:history="1">
              <w:r>
                <w:rPr>
                  <w:rStyle w:val="Hypertextovodkaz"/>
                </w:rPr>
                <w:t>http://www.ic-zlin.cz/brozury-mapy</w:t>
              </w:r>
            </w:hyperlink>
            <w:r>
              <w:t>.</w:t>
            </w:r>
            <w:r>
              <w:rPr>
                <w:shd w:val="clear" w:color="auto" w:fill="FFFFFF"/>
              </w:rPr>
              <w:t xml:space="preserve"> Jedná se o materiály Stopami Baťů, Průvodce městem a okolím, Zlínská architektura, </w:t>
            </w:r>
            <w:r w:rsidRPr="000A669F">
              <w:rPr>
                <w:shd w:val="clear" w:color="auto" w:fill="FFFFFF"/>
              </w:rPr>
              <w:t>14|15 BAŤŮV INSTITUT, brána do baťovského Zlína</w:t>
            </w:r>
            <w:r>
              <w:rPr>
                <w:shd w:val="clear" w:color="auto" w:fill="FFFFFF"/>
              </w:rPr>
              <w:t xml:space="preserve">, </w:t>
            </w:r>
            <w:r w:rsidRPr="000A669F">
              <w:rPr>
                <w:shd w:val="clear" w:color="auto" w:fill="FFFFFF"/>
              </w:rPr>
              <w:t>Mapa města Zlína</w:t>
            </w:r>
            <w:r>
              <w:rPr>
                <w:shd w:val="clear" w:color="auto" w:fill="FFFFFF"/>
              </w:rPr>
              <w:t xml:space="preserve"> a další.</w:t>
            </w:r>
          </w:p>
        </w:tc>
      </w:tr>
      <w:tr w:rsidR="00954688" w14:paraId="2B6A3DF7" w14:textId="77777777" w:rsidTr="000C49A5">
        <w:tc>
          <w:tcPr>
            <w:tcW w:w="2268" w:type="dxa"/>
          </w:tcPr>
          <w:p w14:paraId="1E115CA8" w14:textId="410568EF" w:rsidR="00954688" w:rsidRDefault="003110D6" w:rsidP="000C49A5">
            <w:pPr>
              <w:jc w:val="left"/>
              <w:rPr>
                <w:b/>
              </w:rPr>
            </w:pPr>
            <w:r>
              <w:rPr>
                <w:b/>
              </w:rPr>
              <w:t>V</w:t>
            </w:r>
            <w:r w:rsidR="00954688">
              <w:rPr>
                <w:b/>
              </w:rPr>
              <w:t>eřejné (informační) plochy</w:t>
            </w:r>
          </w:p>
        </w:tc>
        <w:tc>
          <w:tcPr>
            <w:tcW w:w="6804" w:type="dxa"/>
          </w:tcPr>
          <w:p w14:paraId="1B1C6563" w14:textId="3407662A" w:rsidR="00954688" w:rsidRPr="00A16F76" w:rsidRDefault="00954688" w:rsidP="007947B1">
            <w:r>
              <w:t>Propagace aktivit města probíhá také na veřejných (informačních) plochách v majetku města a městských částí, na společenských a</w:t>
            </w:r>
            <w:r w:rsidR="007947B1">
              <w:t> </w:t>
            </w:r>
            <w:r>
              <w:t>kulturních akcích pořádaných městem Zlín.</w:t>
            </w:r>
          </w:p>
        </w:tc>
      </w:tr>
      <w:tr w:rsidR="00954688" w14:paraId="3F0E6156" w14:textId="77777777" w:rsidTr="000C49A5">
        <w:tc>
          <w:tcPr>
            <w:tcW w:w="2268" w:type="dxa"/>
          </w:tcPr>
          <w:p w14:paraId="25D7ECA5" w14:textId="5F8BB23F" w:rsidR="00954688" w:rsidRDefault="003110D6" w:rsidP="003110D6">
            <w:pPr>
              <w:jc w:val="left"/>
              <w:rPr>
                <w:b/>
              </w:rPr>
            </w:pPr>
            <w:r>
              <w:rPr>
                <w:b/>
              </w:rPr>
              <w:lastRenderedPageBreak/>
              <w:t>V</w:t>
            </w:r>
            <w:r w:rsidR="00954688">
              <w:rPr>
                <w:b/>
              </w:rPr>
              <w:t>eletrhy a</w:t>
            </w:r>
            <w:r>
              <w:rPr>
                <w:b/>
              </w:rPr>
              <w:t> </w:t>
            </w:r>
            <w:r w:rsidR="00954688">
              <w:rPr>
                <w:b/>
              </w:rPr>
              <w:t>prezentační akce</w:t>
            </w:r>
          </w:p>
        </w:tc>
        <w:tc>
          <w:tcPr>
            <w:tcW w:w="6804" w:type="dxa"/>
          </w:tcPr>
          <w:p w14:paraId="679E4D75" w14:textId="3C5EAEF6" w:rsidR="00954688" w:rsidRDefault="00954688" w:rsidP="007947B1">
            <w:r>
              <w:t>Město Zlín je propagováno na veletrzích a prezentačních akcích zaměřených na cestovní ruch. Z domácích veletrhů se jedná např. o</w:t>
            </w:r>
            <w:r w:rsidR="007947B1">
              <w:t> </w:t>
            </w:r>
            <w:r w:rsidR="00672730">
              <w:t>Regiontour Brno, Dovolená a Region, L</w:t>
            </w:r>
            <w:r>
              <w:t xml:space="preserve">ázeňství Ostrava, Infotour Hradec Králové, FOR BIKES Praha, ITEP Plzeň a ze zahraničních ITF Bratislava. </w:t>
            </w:r>
          </w:p>
        </w:tc>
      </w:tr>
    </w:tbl>
    <w:p w14:paraId="25B9064C" w14:textId="77777777" w:rsidR="00954688" w:rsidRDefault="00954688" w:rsidP="00954688">
      <w:r>
        <w:t xml:space="preserve">Město zapojuje občany města do rozhodování o investicích města prostřednictvím </w:t>
      </w:r>
      <w:r w:rsidRPr="005145CB">
        <w:t>navrhování vlastní</w:t>
      </w:r>
      <w:r>
        <w:t>ch</w:t>
      </w:r>
      <w:r w:rsidRPr="005145CB">
        <w:t xml:space="preserve"> menší</w:t>
      </w:r>
      <w:r>
        <w:t>ch projektů</w:t>
      </w:r>
      <w:r w:rsidRPr="005145CB">
        <w:t xml:space="preserve"> k</w:t>
      </w:r>
      <w:r>
        <w:t> </w:t>
      </w:r>
      <w:r w:rsidRPr="005145CB">
        <w:t>realizaci</w:t>
      </w:r>
      <w:r>
        <w:t xml:space="preserve"> v rámci </w:t>
      </w:r>
      <w:r w:rsidRPr="005145CB">
        <w:rPr>
          <w:b/>
        </w:rPr>
        <w:t>participativní</w:t>
      </w:r>
      <w:r>
        <w:rPr>
          <w:b/>
        </w:rPr>
        <w:t>ho rozpoč</w:t>
      </w:r>
      <w:r w:rsidRPr="005145CB">
        <w:rPr>
          <w:b/>
        </w:rPr>
        <w:t>t</w:t>
      </w:r>
      <w:r>
        <w:rPr>
          <w:b/>
        </w:rPr>
        <w:t>u „TVOŘÍME ZLÍN“</w:t>
      </w:r>
      <w:r>
        <w:t xml:space="preserve">. Město pro projekty občanů poskytlo v roce 2018, 2019 a 2020 každoročně 5 mil. korun. </w:t>
      </w:r>
      <w:r w:rsidRPr="00C74C86">
        <w:t xml:space="preserve">Podrobná pravidla a další informace jsou k nalezení na webu města, webu projektu </w:t>
      </w:r>
      <w:hyperlink r:id="rId156" w:history="1">
        <w:r w:rsidRPr="002B47F8">
          <w:rPr>
            <w:rStyle w:val="Hypertextovodkaz"/>
          </w:rPr>
          <w:t>www.tvorimezlin.cz</w:t>
        </w:r>
      </w:hyperlink>
      <w:r>
        <w:t xml:space="preserve"> nebo na facebookových stránkách projektu.</w:t>
      </w:r>
    </w:p>
    <w:p w14:paraId="46335438" w14:textId="37E4EF52" w:rsidR="00954688" w:rsidRDefault="00954688" w:rsidP="00954688">
      <w:pPr>
        <w:rPr>
          <w:noProof/>
        </w:rPr>
      </w:pPr>
      <w:r>
        <w:t xml:space="preserve">Díky projektu </w:t>
      </w:r>
      <w:r w:rsidRPr="00174C0A">
        <w:t>Moderní a přívětivě komunikující město Zlín</w:t>
      </w:r>
      <w:r>
        <w:t xml:space="preserve"> by mělo v následujících letech dojít ke </w:t>
      </w:r>
      <w:r w:rsidRPr="00174C0A">
        <w:t xml:space="preserve">zvýšení kvality a efektivity </w:t>
      </w:r>
      <w:r>
        <w:rPr>
          <w:noProof/>
        </w:rPr>
        <w:t>komunikace s veřejností, a to ve smyslu modernizace a pořízení nových komunikačních nástrojů, které budou podporovat proces automatizace a komunikace se zaměstnanci, kteří budou disponovat odpovídajícím vzděláním v oblasti komunikace. Konkrétně by mělo dojít k</w:t>
      </w:r>
      <w:r w:rsidR="007947B1">
        <w:rPr>
          <w:noProof/>
        </w:rPr>
        <w:t> </w:t>
      </w:r>
      <w:r>
        <w:rPr>
          <w:noProof/>
        </w:rPr>
        <w:t>p</w:t>
      </w:r>
      <w:r>
        <w:t>oř</w:t>
      </w:r>
      <w:r w:rsidR="009C653C">
        <w:t>í</w:t>
      </w:r>
      <w:r>
        <w:t>zení nových webových stránek města</w:t>
      </w:r>
      <w:r>
        <w:rPr>
          <w:noProof/>
        </w:rPr>
        <w:t>, a</w:t>
      </w:r>
      <w:r>
        <w:t>ktualizaci Portálu občana</w:t>
      </w:r>
      <w:r>
        <w:rPr>
          <w:noProof/>
        </w:rPr>
        <w:t xml:space="preserve"> a v</w:t>
      </w:r>
      <w:r>
        <w:t>ytvoření videospotů.</w:t>
      </w:r>
    </w:p>
    <w:p w14:paraId="3A32D48A" w14:textId="77777777" w:rsidR="00954688" w:rsidRDefault="00954688" w:rsidP="00954688">
      <w:pPr>
        <w:pStyle w:val="Nadpis4"/>
      </w:pPr>
      <w:r>
        <w:t xml:space="preserve">Uplatnění konceptu Smart City v řízení města </w:t>
      </w:r>
    </w:p>
    <w:p w14:paraId="4B109710" w14:textId="3E92F4E5" w:rsidR="00954688" w:rsidRDefault="00954688" w:rsidP="00954688">
      <w:r w:rsidRPr="00C571F9">
        <w:t>Chytré město (anglicky „smart city“) je koncept, který využívá digitální, informační a komunikační technologie pro zvýšení kvality života ve městech. Zaměřuje se na efektivní využívání stávajících a</w:t>
      </w:r>
      <w:r w:rsidR="007947B1">
        <w:t> </w:t>
      </w:r>
      <w:r w:rsidRPr="00C571F9">
        <w:t xml:space="preserve">hledání nových zdrojů, snižování spotřeby energií, eliminaci zátěží životního prostředí, optimalizaci dopravy a sdílení dat pro veřejné účely. </w:t>
      </w:r>
    </w:p>
    <w:p w14:paraId="56800DFD" w14:textId="77777777" w:rsidR="00954688" w:rsidRDefault="00954688" w:rsidP="00954688">
      <w:r w:rsidRPr="00036A2C">
        <w:t>Jedním ze</w:t>
      </w:r>
      <w:r>
        <w:t xml:space="preserve"> šesti</w:t>
      </w:r>
      <w:r w:rsidRPr="00036A2C">
        <w:t xml:space="preserve"> strategických cílů</w:t>
      </w:r>
      <w:r>
        <w:rPr>
          <w:b/>
        </w:rPr>
        <w:t xml:space="preserve"> </w:t>
      </w:r>
      <w:r w:rsidRPr="00036A2C">
        <w:t>již výše zmíněné</w:t>
      </w:r>
      <w:r>
        <w:rPr>
          <w:b/>
        </w:rPr>
        <w:t xml:space="preserve"> </w:t>
      </w:r>
      <w:r w:rsidRPr="00FB502A">
        <w:rPr>
          <w:b/>
        </w:rPr>
        <w:t>I</w:t>
      </w:r>
      <w:r>
        <w:rPr>
          <w:b/>
        </w:rPr>
        <w:t>nformační strategie</w:t>
      </w:r>
      <w:r w:rsidRPr="00FB502A">
        <w:rPr>
          <w:b/>
        </w:rPr>
        <w:t xml:space="preserve"> statutárního města Zlín </w:t>
      </w:r>
      <w:r>
        <w:rPr>
          <w:b/>
        </w:rPr>
        <w:t xml:space="preserve">na období let 2019 – 2024 </w:t>
      </w:r>
      <w:r>
        <w:t xml:space="preserve">je strategický cíl </w:t>
      </w:r>
      <w:r w:rsidRPr="00C465F1">
        <w:t>Smart City</w:t>
      </w:r>
      <w:r>
        <w:t>, který definuje p</w:t>
      </w:r>
      <w:r w:rsidRPr="00036A2C">
        <w:t>rovedení analýzy proveditelnosti jednotlivých témat dle potřeb věcných útvarů (zejména v oblasti řízení dopravy, parkov</w:t>
      </w:r>
      <w:r>
        <w:t>acích systémů apod.) a následnou realizaci</w:t>
      </w:r>
      <w:r w:rsidRPr="00036A2C">
        <w:t xml:space="preserve"> rozvojových projektů Smart City a poskytování monitorovaných informací občanům města</w:t>
      </w:r>
      <w:r>
        <w:t>.</w:t>
      </w:r>
    </w:p>
    <w:p w14:paraId="09A58033" w14:textId="28BE6B00" w:rsidR="00954688" w:rsidRPr="006926D2" w:rsidRDefault="00954688" w:rsidP="00954688">
      <w:r w:rsidRPr="006926D2">
        <w:t>Plánem v rámci této strategie je podporovat a dále rozšiřovat systém moderní elektronické komunikace s občany, sdílet informace a zpřístupňovat datové zdroje na principu Open Data. Dalším cílem je zvyšování efektivity a dostupnosti veřejných služeb, rozšiřování nástroje pro komunikaci s</w:t>
      </w:r>
      <w:r w:rsidR="007947B1">
        <w:t> </w:t>
      </w:r>
      <w:r w:rsidRPr="006926D2">
        <w:t>městem a úřady, podpora rozvoje elektronických služeb a jednotných přístupových řešení pro v</w:t>
      </w:r>
      <w:r>
        <w:t xml:space="preserve">eřejné služby („chytrá vláda“). </w:t>
      </w:r>
      <w:r w:rsidRPr="006926D2">
        <w:t>Prvky S</w:t>
      </w:r>
      <w:r w:rsidR="007947B1">
        <w:t>mart</w:t>
      </w:r>
      <w:r w:rsidRPr="006926D2">
        <w:t xml:space="preserve"> City budou nabídnuty k implementaci i zřizovaným školám formou podpory výuky a sdílení informací mezi učiteli a žáky („chytrá škola“).</w:t>
      </w:r>
      <w:r>
        <w:rPr>
          <w:rStyle w:val="Znakapoznpodarou"/>
        </w:rPr>
        <w:footnoteReference w:id="106"/>
      </w:r>
    </w:p>
    <w:p w14:paraId="2D33DD79" w14:textId="29C55F70" w:rsidR="00954688" w:rsidRDefault="00954688" w:rsidP="00954688">
      <w:r>
        <w:t xml:space="preserve">Místa, kde </w:t>
      </w:r>
      <w:r w:rsidR="007947B1">
        <w:t xml:space="preserve">je </w:t>
      </w:r>
      <w:r>
        <w:t>ve městě</w:t>
      </w:r>
      <w:r w:rsidRPr="009F4A8E">
        <w:t xml:space="preserve"> </w:t>
      </w:r>
      <w:r>
        <w:t>možnost připojení k internetu pro veřejnost, jsou uvedena v</w:t>
      </w:r>
      <w:r w:rsidR="00EA4CBD">
        <w:t> </w:t>
      </w:r>
      <w:r>
        <w:t>tabulce</w:t>
      </w:r>
      <w:r w:rsidR="00602924">
        <w:t xml:space="preserve"> 1.75</w:t>
      </w:r>
      <w:r>
        <w:t>.</w:t>
      </w:r>
    </w:p>
    <w:p w14:paraId="39C44698" w14:textId="1883010E" w:rsidR="00954688" w:rsidRDefault="00954688" w:rsidP="00954688">
      <w:pPr>
        <w:pStyle w:val="Titulek"/>
        <w:keepNext/>
        <w:keepLines/>
      </w:pPr>
      <w:bookmarkStart w:id="502" w:name="_Toc53066233"/>
      <w:bookmarkStart w:id="503" w:name="_Toc77074755"/>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75</w:t>
      </w:r>
      <w:r w:rsidR="00081B47">
        <w:rPr>
          <w:noProof/>
        </w:rPr>
        <w:fldChar w:fldCharType="end"/>
      </w:r>
      <w:r w:rsidR="007947B1">
        <w:rPr>
          <w:noProof/>
        </w:rPr>
        <w:t>:</w:t>
      </w:r>
      <w:r>
        <w:t xml:space="preserve"> Přehled veřejných míst s možností internetového připojení</w:t>
      </w:r>
      <w:bookmarkEnd w:id="502"/>
      <w:bookmarkEnd w:id="503"/>
    </w:p>
    <w:tbl>
      <w:tblPr>
        <w:tblStyle w:val="Mkatabulky"/>
        <w:tblW w:w="9067" w:type="dxa"/>
        <w:tblLayout w:type="fixed"/>
        <w:tblLook w:val="04A0" w:firstRow="1" w:lastRow="0" w:firstColumn="1" w:lastColumn="0" w:noHBand="0" w:noVBand="1"/>
      </w:tblPr>
      <w:tblGrid>
        <w:gridCol w:w="4390"/>
        <w:gridCol w:w="4677"/>
      </w:tblGrid>
      <w:tr w:rsidR="00954688" w:rsidRPr="009C5035" w14:paraId="3E871A6C" w14:textId="77777777" w:rsidTr="000C49A5">
        <w:trPr>
          <w:trHeight w:val="162"/>
        </w:trPr>
        <w:tc>
          <w:tcPr>
            <w:tcW w:w="9067" w:type="dxa"/>
            <w:gridSpan w:val="2"/>
            <w:shd w:val="clear" w:color="auto" w:fill="BFBFBF" w:themeFill="background1" w:themeFillShade="BF"/>
          </w:tcPr>
          <w:p w14:paraId="39D514AE" w14:textId="77777777" w:rsidR="00954688" w:rsidRPr="009C5035" w:rsidRDefault="00954688" w:rsidP="000C49A5">
            <w:pPr>
              <w:keepNext/>
              <w:keepLines/>
              <w:spacing w:before="0" w:line="259" w:lineRule="auto"/>
              <w:jc w:val="left"/>
              <w:rPr>
                <w:b/>
                <w:sz w:val="18"/>
              </w:rPr>
            </w:pPr>
            <w:r w:rsidRPr="009C5035">
              <w:rPr>
                <w:b/>
                <w:sz w:val="18"/>
              </w:rPr>
              <w:t>Možnost využití počítače s internetem</w:t>
            </w:r>
          </w:p>
        </w:tc>
      </w:tr>
      <w:tr w:rsidR="00954688" w:rsidRPr="009C5035" w14:paraId="52D3BB9E" w14:textId="77777777" w:rsidTr="000C49A5">
        <w:trPr>
          <w:trHeight w:val="183"/>
        </w:trPr>
        <w:tc>
          <w:tcPr>
            <w:tcW w:w="4390" w:type="dxa"/>
            <w:shd w:val="clear" w:color="auto" w:fill="D9D9D9" w:themeFill="background1" w:themeFillShade="D9"/>
          </w:tcPr>
          <w:p w14:paraId="600D7873" w14:textId="77777777" w:rsidR="00954688" w:rsidRPr="009C5035" w:rsidRDefault="00954688" w:rsidP="000C49A5">
            <w:pPr>
              <w:keepNext/>
              <w:keepLines/>
              <w:spacing w:before="0" w:line="259" w:lineRule="auto"/>
              <w:jc w:val="left"/>
              <w:rPr>
                <w:b/>
                <w:sz w:val="18"/>
              </w:rPr>
            </w:pPr>
            <w:r w:rsidRPr="009C5035">
              <w:rPr>
                <w:b/>
                <w:sz w:val="18"/>
              </w:rPr>
              <w:t>Místo</w:t>
            </w:r>
          </w:p>
        </w:tc>
        <w:tc>
          <w:tcPr>
            <w:tcW w:w="4677" w:type="dxa"/>
            <w:shd w:val="clear" w:color="auto" w:fill="D9D9D9" w:themeFill="background1" w:themeFillShade="D9"/>
          </w:tcPr>
          <w:p w14:paraId="7FD2BE19" w14:textId="77777777" w:rsidR="00954688" w:rsidRPr="009C5035" w:rsidRDefault="00954688" w:rsidP="000C49A5">
            <w:pPr>
              <w:keepNext/>
              <w:keepLines/>
              <w:spacing w:before="0" w:line="259" w:lineRule="auto"/>
              <w:jc w:val="left"/>
              <w:rPr>
                <w:b/>
                <w:sz w:val="18"/>
              </w:rPr>
            </w:pPr>
            <w:r w:rsidRPr="009C5035">
              <w:rPr>
                <w:b/>
                <w:sz w:val="18"/>
              </w:rPr>
              <w:t>Adresa</w:t>
            </w:r>
          </w:p>
        </w:tc>
      </w:tr>
      <w:tr w:rsidR="00954688" w:rsidRPr="009C5035" w14:paraId="20B487A7" w14:textId="77777777" w:rsidTr="000C49A5">
        <w:trPr>
          <w:trHeight w:val="216"/>
        </w:trPr>
        <w:tc>
          <w:tcPr>
            <w:tcW w:w="4390" w:type="dxa"/>
          </w:tcPr>
          <w:p w14:paraId="1FD18407" w14:textId="77777777" w:rsidR="00954688" w:rsidRPr="009C5035" w:rsidRDefault="00954688" w:rsidP="000C49A5">
            <w:pPr>
              <w:keepNext/>
              <w:keepLines/>
              <w:spacing w:before="0" w:line="259" w:lineRule="auto"/>
              <w:jc w:val="left"/>
              <w:rPr>
                <w:sz w:val="18"/>
              </w:rPr>
            </w:pPr>
            <w:r w:rsidRPr="009C5035">
              <w:rPr>
                <w:sz w:val="18"/>
              </w:rPr>
              <w:t>Městské informa</w:t>
            </w:r>
            <w:r>
              <w:rPr>
                <w:sz w:val="18"/>
              </w:rPr>
              <w:t>ční a turistické středisko Zl</w:t>
            </w:r>
            <w:r w:rsidRPr="009C5035">
              <w:rPr>
                <w:sz w:val="18"/>
              </w:rPr>
              <w:t>ín</w:t>
            </w:r>
          </w:p>
        </w:tc>
        <w:tc>
          <w:tcPr>
            <w:tcW w:w="4677" w:type="dxa"/>
          </w:tcPr>
          <w:p w14:paraId="43C2BC09" w14:textId="77777777" w:rsidR="00954688" w:rsidRPr="009C5035" w:rsidRDefault="00954688" w:rsidP="000C49A5">
            <w:pPr>
              <w:keepNext/>
              <w:keepLines/>
              <w:spacing w:before="0" w:line="259" w:lineRule="auto"/>
              <w:jc w:val="left"/>
              <w:rPr>
                <w:sz w:val="18"/>
              </w:rPr>
            </w:pPr>
            <w:r w:rsidRPr="009C5035">
              <w:rPr>
                <w:sz w:val="18"/>
              </w:rPr>
              <w:t xml:space="preserve">Náměstí míru 12, </w:t>
            </w:r>
            <w:r>
              <w:rPr>
                <w:sz w:val="18"/>
              </w:rPr>
              <w:t>Z</w:t>
            </w:r>
            <w:r w:rsidRPr="009C5035">
              <w:rPr>
                <w:sz w:val="18"/>
              </w:rPr>
              <w:t>lín</w:t>
            </w:r>
          </w:p>
        </w:tc>
      </w:tr>
      <w:tr w:rsidR="00954688" w:rsidRPr="009C5035" w14:paraId="09114E44" w14:textId="77777777" w:rsidTr="000C49A5">
        <w:trPr>
          <w:trHeight w:val="234"/>
        </w:trPr>
        <w:tc>
          <w:tcPr>
            <w:tcW w:w="4390" w:type="dxa"/>
          </w:tcPr>
          <w:p w14:paraId="48C4D81A" w14:textId="77777777" w:rsidR="00954688" w:rsidRPr="009C5035" w:rsidRDefault="00954688" w:rsidP="000C49A5">
            <w:pPr>
              <w:keepNext/>
              <w:keepLines/>
              <w:spacing w:before="0" w:line="259" w:lineRule="auto"/>
              <w:jc w:val="left"/>
              <w:rPr>
                <w:sz w:val="18"/>
              </w:rPr>
            </w:pPr>
            <w:r w:rsidRPr="009C5035">
              <w:rPr>
                <w:sz w:val="18"/>
              </w:rPr>
              <w:t>Krajská kn</w:t>
            </w:r>
            <w:r>
              <w:rPr>
                <w:sz w:val="18"/>
              </w:rPr>
              <w:t>ihovna Františka B</w:t>
            </w:r>
            <w:r w:rsidRPr="009C5035">
              <w:rPr>
                <w:sz w:val="18"/>
              </w:rPr>
              <w:t>artoše</w:t>
            </w:r>
          </w:p>
        </w:tc>
        <w:tc>
          <w:tcPr>
            <w:tcW w:w="4677" w:type="dxa"/>
          </w:tcPr>
          <w:p w14:paraId="42A32D65" w14:textId="77777777" w:rsidR="00954688" w:rsidRPr="009C5035" w:rsidRDefault="00954688" w:rsidP="000C49A5">
            <w:pPr>
              <w:keepNext/>
              <w:keepLines/>
              <w:spacing w:before="0" w:line="259" w:lineRule="auto"/>
              <w:jc w:val="left"/>
              <w:rPr>
                <w:sz w:val="18"/>
              </w:rPr>
            </w:pPr>
            <w:r w:rsidRPr="009C5035">
              <w:rPr>
                <w:sz w:val="18"/>
              </w:rPr>
              <w:t xml:space="preserve">Vavrečkova 7040, budova 15, </w:t>
            </w:r>
            <w:r>
              <w:rPr>
                <w:sz w:val="18"/>
              </w:rPr>
              <w:t>Z</w:t>
            </w:r>
            <w:r w:rsidRPr="009C5035">
              <w:rPr>
                <w:sz w:val="18"/>
              </w:rPr>
              <w:t>lín</w:t>
            </w:r>
          </w:p>
        </w:tc>
      </w:tr>
      <w:tr w:rsidR="00954688" w:rsidRPr="009C5035" w14:paraId="32F34003" w14:textId="77777777" w:rsidTr="000C49A5">
        <w:trPr>
          <w:trHeight w:val="493"/>
        </w:trPr>
        <w:tc>
          <w:tcPr>
            <w:tcW w:w="4390" w:type="dxa"/>
          </w:tcPr>
          <w:p w14:paraId="77F4409F" w14:textId="77777777" w:rsidR="00954688" w:rsidRPr="009C5035" w:rsidRDefault="00954688" w:rsidP="000C49A5">
            <w:pPr>
              <w:keepNext/>
              <w:keepLines/>
              <w:spacing w:before="0" w:line="259" w:lineRule="auto"/>
              <w:jc w:val="left"/>
              <w:rPr>
                <w:sz w:val="18"/>
              </w:rPr>
            </w:pPr>
            <w:r>
              <w:rPr>
                <w:sz w:val="18"/>
              </w:rPr>
              <w:t>Kafírna - G</w:t>
            </w:r>
            <w:r w:rsidRPr="009C5035">
              <w:rPr>
                <w:sz w:val="18"/>
              </w:rPr>
              <w:t>alerie pod radnicí</w:t>
            </w:r>
          </w:p>
          <w:p w14:paraId="705FFD42" w14:textId="77777777" w:rsidR="00954688" w:rsidRPr="009C5035" w:rsidRDefault="00954688" w:rsidP="000C49A5">
            <w:pPr>
              <w:keepNext/>
              <w:keepLines/>
              <w:spacing w:before="0" w:line="259" w:lineRule="auto"/>
              <w:jc w:val="left"/>
              <w:rPr>
                <w:i/>
                <w:sz w:val="18"/>
              </w:rPr>
            </w:pPr>
            <w:r w:rsidRPr="009C5035">
              <w:rPr>
                <w:i/>
                <w:sz w:val="18"/>
              </w:rPr>
              <w:t>Galerie s kavárnou nabízí také možnost připojení na wifi.</w:t>
            </w:r>
          </w:p>
        </w:tc>
        <w:tc>
          <w:tcPr>
            <w:tcW w:w="4677" w:type="dxa"/>
          </w:tcPr>
          <w:p w14:paraId="2D83C397" w14:textId="77777777" w:rsidR="00954688" w:rsidRPr="009C5035" w:rsidRDefault="00954688" w:rsidP="000C49A5">
            <w:pPr>
              <w:keepNext/>
              <w:keepLines/>
              <w:spacing w:before="0" w:line="259" w:lineRule="auto"/>
              <w:jc w:val="left"/>
              <w:rPr>
                <w:sz w:val="18"/>
              </w:rPr>
            </w:pPr>
            <w:r>
              <w:rPr>
                <w:sz w:val="18"/>
              </w:rPr>
              <w:t>Bartošova 12, Z</w:t>
            </w:r>
            <w:r w:rsidRPr="009C5035">
              <w:rPr>
                <w:sz w:val="18"/>
              </w:rPr>
              <w:t>lín</w:t>
            </w:r>
          </w:p>
        </w:tc>
      </w:tr>
      <w:tr w:rsidR="00954688" w:rsidRPr="009C5035" w14:paraId="101CF43A" w14:textId="77777777" w:rsidTr="000C49A5">
        <w:trPr>
          <w:trHeight w:val="202"/>
        </w:trPr>
        <w:tc>
          <w:tcPr>
            <w:tcW w:w="4390" w:type="dxa"/>
          </w:tcPr>
          <w:p w14:paraId="38EB89DC" w14:textId="77777777" w:rsidR="00954688" w:rsidRPr="009C5035" w:rsidRDefault="00954688" w:rsidP="000C49A5">
            <w:pPr>
              <w:keepNext/>
              <w:keepLines/>
              <w:spacing w:before="0" w:line="259" w:lineRule="auto"/>
              <w:jc w:val="left"/>
              <w:rPr>
                <w:sz w:val="18"/>
              </w:rPr>
            </w:pPr>
            <w:r w:rsidRPr="009C5035">
              <w:rPr>
                <w:sz w:val="18"/>
              </w:rPr>
              <w:t xml:space="preserve">Tiskové a kopírovací centrum </w:t>
            </w:r>
            <w:r>
              <w:rPr>
                <w:sz w:val="18"/>
              </w:rPr>
              <w:t>R</w:t>
            </w:r>
            <w:r w:rsidRPr="009C5035">
              <w:rPr>
                <w:sz w:val="18"/>
              </w:rPr>
              <w:t>icoh</w:t>
            </w:r>
          </w:p>
        </w:tc>
        <w:tc>
          <w:tcPr>
            <w:tcW w:w="4677" w:type="dxa"/>
          </w:tcPr>
          <w:p w14:paraId="3F147D6F" w14:textId="77777777" w:rsidR="00954688" w:rsidRPr="009C5035" w:rsidRDefault="00954688" w:rsidP="000C49A5">
            <w:pPr>
              <w:keepNext/>
              <w:keepLines/>
              <w:spacing w:before="0" w:line="259" w:lineRule="auto"/>
              <w:jc w:val="left"/>
              <w:rPr>
                <w:sz w:val="18"/>
              </w:rPr>
            </w:pPr>
            <w:r w:rsidRPr="009C5035">
              <w:rPr>
                <w:sz w:val="18"/>
              </w:rPr>
              <w:t>S</w:t>
            </w:r>
            <w:r>
              <w:rPr>
                <w:sz w:val="18"/>
              </w:rPr>
              <w:t>adová 3053, Z</w:t>
            </w:r>
            <w:r w:rsidRPr="009C5035">
              <w:rPr>
                <w:sz w:val="18"/>
              </w:rPr>
              <w:t>lín</w:t>
            </w:r>
          </w:p>
        </w:tc>
      </w:tr>
      <w:tr w:rsidR="00954688" w:rsidRPr="009C5035" w14:paraId="46A86528" w14:textId="77777777" w:rsidTr="000C49A5">
        <w:trPr>
          <w:trHeight w:val="422"/>
        </w:trPr>
        <w:tc>
          <w:tcPr>
            <w:tcW w:w="4390" w:type="dxa"/>
          </w:tcPr>
          <w:p w14:paraId="41D213EF" w14:textId="77777777" w:rsidR="00954688" w:rsidRPr="009C5035" w:rsidRDefault="00954688" w:rsidP="000C49A5">
            <w:pPr>
              <w:keepNext/>
              <w:keepLines/>
              <w:spacing w:before="0" w:line="259" w:lineRule="auto"/>
              <w:jc w:val="left"/>
              <w:rPr>
                <w:sz w:val="18"/>
              </w:rPr>
            </w:pPr>
            <w:r>
              <w:rPr>
                <w:sz w:val="18"/>
              </w:rPr>
              <w:t>Coffee &amp; M</w:t>
            </w:r>
            <w:r w:rsidRPr="009C5035">
              <w:rPr>
                <w:sz w:val="18"/>
              </w:rPr>
              <w:t xml:space="preserve">usic </w:t>
            </w:r>
            <w:r>
              <w:rPr>
                <w:sz w:val="18"/>
              </w:rPr>
              <w:t>Bar U P</w:t>
            </w:r>
            <w:r w:rsidRPr="009C5035">
              <w:rPr>
                <w:sz w:val="18"/>
              </w:rPr>
              <w:t>štrosa</w:t>
            </w:r>
          </w:p>
          <w:p w14:paraId="3353A0E0" w14:textId="77777777" w:rsidR="00954688" w:rsidRPr="009C5035" w:rsidRDefault="00954688" w:rsidP="000C49A5">
            <w:pPr>
              <w:keepNext/>
              <w:keepLines/>
              <w:spacing w:before="0" w:line="259" w:lineRule="auto"/>
              <w:jc w:val="left"/>
              <w:rPr>
                <w:i/>
                <w:sz w:val="18"/>
              </w:rPr>
            </w:pPr>
            <w:r w:rsidRPr="009C5035">
              <w:rPr>
                <w:i/>
                <w:sz w:val="18"/>
              </w:rPr>
              <w:t>Kavárna nabízí také možnost připojení na wifi.</w:t>
            </w:r>
          </w:p>
        </w:tc>
        <w:tc>
          <w:tcPr>
            <w:tcW w:w="4677" w:type="dxa"/>
          </w:tcPr>
          <w:p w14:paraId="2A4F7E2E" w14:textId="77777777" w:rsidR="00954688" w:rsidRPr="009C5035" w:rsidRDefault="00954688" w:rsidP="000C49A5">
            <w:pPr>
              <w:keepNext/>
              <w:keepLines/>
              <w:spacing w:before="0" w:line="259" w:lineRule="auto"/>
              <w:jc w:val="left"/>
              <w:rPr>
                <w:sz w:val="18"/>
              </w:rPr>
            </w:pPr>
            <w:r>
              <w:rPr>
                <w:sz w:val="18"/>
              </w:rPr>
              <w:t>Školní 3362, Zl</w:t>
            </w:r>
            <w:r w:rsidRPr="009C5035">
              <w:rPr>
                <w:sz w:val="18"/>
              </w:rPr>
              <w:t>ín</w:t>
            </w:r>
          </w:p>
        </w:tc>
      </w:tr>
      <w:tr w:rsidR="00954688" w:rsidRPr="009C5035" w14:paraId="541CC133" w14:textId="77777777" w:rsidTr="000C49A5">
        <w:trPr>
          <w:trHeight w:val="515"/>
        </w:trPr>
        <w:tc>
          <w:tcPr>
            <w:tcW w:w="4390" w:type="dxa"/>
          </w:tcPr>
          <w:p w14:paraId="453D7D15" w14:textId="77777777" w:rsidR="00954688" w:rsidRPr="009C5035" w:rsidRDefault="00954688" w:rsidP="000C49A5">
            <w:pPr>
              <w:keepNext/>
              <w:keepLines/>
              <w:spacing w:before="0" w:line="259" w:lineRule="auto"/>
              <w:jc w:val="left"/>
              <w:rPr>
                <w:sz w:val="18"/>
              </w:rPr>
            </w:pPr>
            <w:r w:rsidRPr="009C5035">
              <w:rPr>
                <w:sz w:val="18"/>
              </w:rPr>
              <w:t xml:space="preserve">Color </w:t>
            </w:r>
            <w:r>
              <w:rPr>
                <w:sz w:val="18"/>
              </w:rPr>
              <w:t>P</w:t>
            </w:r>
            <w:r w:rsidRPr="009C5035">
              <w:rPr>
                <w:sz w:val="18"/>
              </w:rPr>
              <w:t>oint</w:t>
            </w:r>
          </w:p>
          <w:p w14:paraId="62F46864" w14:textId="77777777" w:rsidR="00954688" w:rsidRPr="009C5035" w:rsidRDefault="00954688" w:rsidP="000C49A5">
            <w:pPr>
              <w:keepNext/>
              <w:keepLines/>
              <w:spacing w:before="0" w:line="259" w:lineRule="auto"/>
              <w:jc w:val="left"/>
              <w:rPr>
                <w:i/>
                <w:sz w:val="18"/>
              </w:rPr>
            </w:pPr>
            <w:r w:rsidRPr="009C5035">
              <w:rPr>
                <w:i/>
                <w:sz w:val="18"/>
              </w:rPr>
              <w:t>Kopírovací centrum nabízí také možnost připojení na wifi.</w:t>
            </w:r>
          </w:p>
        </w:tc>
        <w:tc>
          <w:tcPr>
            <w:tcW w:w="4677" w:type="dxa"/>
          </w:tcPr>
          <w:p w14:paraId="5555B565" w14:textId="77777777" w:rsidR="00954688" w:rsidRPr="009C5035" w:rsidRDefault="00954688" w:rsidP="000C49A5">
            <w:pPr>
              <w:keepNext/>
              <w:keepLines/>
              <w:spacing w:before="0" w:line="259" w:lineRule="auto"/>
              <w:jc w:val="left"/>
              <w:rPr>
                <w:sz w:val="18"/>
              </w:rPr>
            </w:pPr>
            <w:r>
              <w:rPr>
                <w:sz w:val="18"/>
              </w:rPr>
              <w:t>J. A. Bati 5520, budova 22, Z</w:t>
            </w:r>
            <w:r w:rsidRPr="009C5035">
              <w:rPr>
                <w:sz w:val="18"/>
              </w:rPr>
              <w:t>lín</w:t>
            </w:r>
          </w:p>
        </w:tc>
      </w:tr>
      <w:tr w:rsidR="00954688" w:rsidRPr="009C5035" w14:paraId="4445094C" w14:textId="77777777" w:rsidTr="000C49A5">
        <w:trPr>
          <w:trHeight w:val="309"/>
        </w:trPr>
        <w:tc>
          <w:tcPr>
            <w:tcW w:w="9067" w:type="dxa"/>
            <w:gridSpan w:val="2"/>
            <w:shd w:val="clear" w:color="auto" w:fill="BFBFBF" w:themeFill="background1" w:themeFillShade="BF"/>
          </w:tcPr>
          <w:p w14:paraId="6E2CB5BD" w14:textId="77777777" w:rsidR="00954688" w:rsidRPr="009C5035" w:rsidRDefault="00954688" w:rsidP="000C49A5">
            <w:pPr>
              <w:keepNext/>
              <w:keepLines/>
              <w:spacing w:before="0" w:line="259" w:lineRule="auto"/>
              <w:jc w:val="left"/>
              <w:rPr>
                <w:b/>
                <w:sz w:val="18"/>
              </w:rPr>
            </w:pPr>
            <w:r w:rsidRPr="009C5035">
              <w:rPr>
                <w:b/>
                <w:sz w:val="18"/>
              </w:rPr>
              <w:t>Wifi připojení</w:t>
            </w:r>
          </w:p>
        </w:tc>
      </w:tr>
      <w:tr w:rsidR="00954688" w:rsidRPr="009C5035" w14:paraId="69B6EE1B" w14:textId="77777777" w:rsidTr="000C49A5">
        <w:trPr>
          <w:trHeight w:val="234"/>
        </w:trPr>
        <w:tc>
          <w:tcPr>
            <w:tcW w:w="4390" w:type="dxa"/>
            <w:shd w:val="clear" w:color="auto" w:fill="D9D9D9" w:themeFill="background1" w:themeFillShade="D9"/>
          </w:tcPr>
          <w:p w14:paraId="27828958" w14:textId="77777777" w:rsidR="00954688" w:rsidRPr="009C5035" w:rsidRDefault="00954688" w:rsidP="000C49A5">
            <w:pPr>
              <w:keepNext/>
              <w:keepLines/>
              <w:spacing w:before="0" w:line="259" w:lineRule="auto"/>
              <w:jc w:val="left"/>
              <w:rPr>
                <w:b/>
                <w:sz w:val="18"/>
              </w:rPr>
            </w:pPr>
            <w:r w:rsidRPr="009C5035">
              <w:rPr>
                <w:b/>
                <w:sz w:val="18"/>
              </w:rPr>
              <w:t>Místo</w:t>
            </w:r>
          </w:p>
        </w:tc>
        <w:tc>
          <w:tcPr>
            <w:tcW w:w="4677" w:type="dxa"/>
            <w:shd w:val="clear" w:color="auto" w:fill="D9D9D9" w:themeFill="background1" w:themeFillShade="D9"/>
          </w:tcPr>
          <w:p w14:paraId="55DBBB8D" w14:textId="77777777" w:rsidR="00954688" w:rsidRPr="009C5035" w:rsidRDefault="00954688" w:rsidP="000C49A5">
            <w:pPr>
              <w:keepNext/>
              <w:keepLines/>
              <w:spacing w:before="0" w:line="259" w:lineRule="auto"/>
              <w:jc w:val="left"/>
              <w:rPr>
                <w:b/>
                <w:sz w:val="18"/>
              </w:rPr>
            </w:pPr>
            <w:r w:rsidRPr="009C5035">
              <w:rPr>
                <w:b/>
                <w:sz w:val="18"/>
              </w:rPr>
              <w:t>Adresa</w:t>
            </w:r>
          </w:p>
        </w:tc>
      </w:tr>
      <w:tr w:rsidR="00954688" w:rsidRPr="009C5035" w14:paraId="2AE538DD" w14:textId="77777777" w:rsidTr="000C49A5">
        <w:trPr>
          <w:trHeight w:val="196"/>
        </w:trPr>
        <w:tc>
          <w:tcPr>
            <w:tcW w:w="4390" w:type="dxa"/>
          </w:tcPr>
          <w:p w14:paraId="29D97281" w14:textId="77777777" w:rsidR="00954688" w:rsidRPr="009C5035" w:rsidRDefault="00954688" w:rsidP="000C49A5">
            <w:pPr>
              <w:keepNext/>
              <w:keepLines/>
              <w:spacing w:before="0" w:line="259" w:lineRule="auto"/>
              <w:jc w:val="left"/>
              <w:rPr>
                <w:sz w:val="18"/>
              </w:rPr>
            </w:pPr>
            <w:r w:rsidRPr="009C5035">
              <w:rPr>
                <w:sz w:val="18"/>
              </w:rPr>
              <w:t>Kulturní univerzitní centrum</w:t>
            </w:r>
          </w:p>
        </w:tc>
        <w:tc>
          <w:tcPr>
            <w:tcW w:w="4677" w:type="dxa"/>
          </w:tcPr>
          <w:p w14:paraId="160A7989" w14:textId="77777777" w:rsidR="00954688" w:rsidRPr="009C5035" w:rsidRDefault="00954688" w:rsidP="000C49A5">
            <w:pPr>
              <w:keepNext/>
              <w:keepLines/>
              <w:spacing w:before="0" w:line="259" w:lineRule="auto"/>
              <w:jc w:val="left"/>
              <w:rPr>
                <w:sz w:val="18"/>
              </w:rPr>
            </w:pPr>
            <w:r w:rsidRPr="009C5035">
              <w:rPr>
                <w:sz w:val="18"/>
              </w:rPr>
              <w:t xml:space="preserve">Nám. T. G. Masaryka 5556, </w:t>
            </w:r>
            <w:r>
              <w:rPr>
                <w:sz w:val="18"/>
              </w:rPr>
              <w:t>Z</w:t>
            </w:r>
            <w:r w:rsidRPr="009C5035">
              <w:rPr>
                <w:sz w:val="18"/>
              </w:rPr>
              <w:t>lín</w:t>
            </w:r>
          </w:p>
        </w:tc>
      </w:tr>
      <w:tr w:rsidR="00954688" w:rsidRPr="009C5035" w14:paraId="6D8D6C25" w14:textId="77777777" w:rsidTr="000C49A5">
        <w:trPr>
          <w:trHeight w:val="480"/>
        </w:trPr>
        <w:tc>
          <w:tcPr>
            <w:tcW w:w="4390" w:type="dxa"/>
          </w:tcPr>
          <w:p w14:paraId="36C343B0" w14:textId="77777777" w:rsidR="00954688" w:rsidRPr="009C5035" w:rsidRDefault="00954688" w:rsidP="000C49A5">
            <w:pPr>
              <w:keepNext/>
              <w:keepLines/>
              <w:spacing w:before="0" w:line="259" w:lineRule="auto"/>
              <w:jc w:val="left"/>
              <w:rPr>
                <w:sz w:val="18"/>
              </w:rPr>
            </w:pPr>
            <w:r w:rsidRPr="009C5035">
              <w:rPr>
                <w:sz w:val="18"/>
              </w:rPr>
              <w:t>Gahurův prospekt</w:t>
            </w:r>
          </w:p>
        </w:tc>
        <w:tc>
          <w:tcPr>
            <w:tcW w:w="4677" w:type="dxa"/>
          </w:tcPr>
          <w:p w14:paraId="7C0882C3" w14:textId="70C17DA6" w:rsidR="00954688" w:rsidRPr="009C5035" w:rsidRDefault="00954688" w:rsidP="007947B1">
            <w:pPr>
              <w:keepNext/>
              <w:keepLines/>
              <w:spacing w:before="0" w:line="259" w:lineRule="auto"/>
              <w:jc w:val="left"/>
              <w:rPr>
                <w:sz w:val="18"/>
              </w:rPr>
            </w:pPr>
            <w:r w:rsidRPr="009C5035">
              <w:rPr>
                <w:sz w:val="18"/>
              </w:rPr>
              <w:t>Travnatá plocha se zapuštěnými chodníky vedle kulturního a</w:t>
            </w:r>
            <w:r w:rsidR="007947B1">
              <w:rPr>
                <w:sz w:val="18"/>
              </w:rPr>
              <w:t> </w:t>
            </w:r>
            <w:r w:rsidRPr="009C5035">
              <w:rPr>
                <w:sz w:val="18"/>
              </w:rPr>
              <w:t>univerzitního centra.</w:t>
            </w:r>
          </w:p>
        </w:tc>
      </w:tr>
      <w:tr w:rsidR="00954688" w:rsidRPr="009C5035" w14:paraId="10BE89ED" w14:textId="77777777" w:rsidTr="000C49A5">
        <w:trPr>
          <w:trHeight w:val="480"/>
        </w:trPr>
        <w:tc>
          <w:tcPr>
            <w:tcW w:w="4390" w:type="dxa"/>
          </w:tcPr>
          <w:p w14:paraId="657ACAA4" w14:textId="6AFBB844" w:rsidR="00954688" w:rsidRPr="009C5035" w:rsidRDefault="00954688" w:rsidP="000C49A5">
            <w:pPr>
              <w:keepNext/>
              <w:keepLines/>
              <w:spacing w:before="0" w:line="259" w:lineRule="auto"/>
              <w:jc w:val="left"/>
              <w:rPr>
                <w:sz w:val="18"/>
              </w:rPr>
            </w:pPr>
            <w:r>
              <w:rPr>
                <w:sz w:val="18"/>
              </w:rPr>
              <w:t>Park K</w:t>
            </w:r>
            <w:r w:rsidRPr="009C5035">
              <w:rPr>
                <w:sz w:val="18"/>
              </w:rPr>
              <w:t>omenského</w:t>
            </w:r>
          </w:p>
        </w:tc>
        <w:tc>
          <w:tcPr>
            <w:tcW w:w="4677" w:type="dxa"/>
          </w:tcPr>
          <w:p w14:paraId="32BCD184" w14:textId="77777777" w:rsidR="00954688" w:rsidRPr="009C5035" w:rsidRDefault="00954688" w:rsidP="000C49A5">
            <w:pPr>
              <w:keepNext/>
              <w:keepLines/>
              <w:spacing w:before="0" w:line="259" w:lineRule="auto"/>
              <w:jc w:val="left"/>
              <w:rPr>
                <w:sz w:val="18"/>
              </w:rPr>
            </w:pPr>
            <w:r w:rsidRPr="009C5035">
              <w:rPr>
                <w:sz w:val="18"/>
              </w:rPr>
              <w:t>Park nad zlínským klubem 204, pod kulturním a univerzitním centrem, vedle ulice školní.</w:t>
            </w:r>
          </w:p>
        </w:tc>
      </w:tr>
      <w:tr w:rsidR="00954688" w:rsidRPr="009C5035" w14:paraId="68654062" w14:textId="77777777" w:rsidTr="000C49A5">
        <w:trPr>
          <w:trHeight w:val="480"/>
        </w:trPr>
        <w:tc>
          <w:tcPr>
            <w:tcW w:w="4390" w:type="dxa"/>
          </w:tcPr>
          <w:p w14:paraId="78BDFBD2" w14:textId="77777777" w:rsidR="00954688" w:rsidRPr="009C5035" w:rsidRDefault="00954688" w:rsidP="000C49A5">
            <w:pPr>
              <w:keepNext/>
              <w:keepLines/>
              <w:spacing w:before="0" w:line="259" w:lineRule="auto"/>
              <w:jc w:val="left"/>
              <w:rPr>
                <w:sz w:val="18"/>
              </w:rPr>
            </w:pPr>
            <w:r w:rsidRPr="009C5035">
              <w:rPr>
                <w:sz w:val="18"/>
              </w:rPr>
              <w:t>Městská hromadná doprava</w:t>
            </w:r>
          </w:p>
        </w:tc>
        <w:tc>
          <w:tcPr>
            <w:tcW w:w="4677" w:type="dxa"/>
          </w:tcPr>
          <w:p w14:paraId="2B72A65E" w14:textId="77777777" w:rsidR="00954688" w:rsidRPr="009C5035" w:rsidRDefault="00954688" w:rsidP="000C49A5">
            <w:pPr>
              <w:keepNext/>
              <w:keepLines/>
              <w:spacing w:before="0" w:line="259" w:lineRule="auto"/>
              <w:jc w:val="left"/>
              <w:rPr>
                <w:sz w:val="18"/>
              </w:rPr>
            </w:pPr>
            <w:r w:rsidRPr="009C5035">
              <w:rPr>
                <w:sz w:val="18"/>
              </w:rPr>
              <w:t>Některé t</w:t>
            </w:r>
            <w:r>
              <w:rPr>
                <w:sz w:val="18"/>
              </w:rPr>
              <w:t>rolejbusy dopravní společnosti Zlín-O</w:t>
            </w:r>
            <w:r w:rsidRPr="009C5035">
              <w:rPr>
                <w:sz w:val="18"/>
              </w:rPr>
              <w:t>trokovice jsou vybaveny bezplatnou wifi sítí.</w:t>
            </w:r>
          </w:p>
        </w:tc>
      </w:tr>
      <w:tr w:rsidR="00954688" w:rsidRPr="009C5035" w14:paraId="55A62007" w14:textId="77777777" w:rsidTr="000C49A5">
        <w:trPr>
          <w:trHeight w:val="297"/>
        </w:trPr>
        <w:tc>
          <w:tcPr>
            <w:tcW w:w="4390" w:type="dxa"/>
          </w:tcPr>
          <w:p w14:paraId="0F63E072" w14:textId="77777777" w:rsidR="00954688" w:rsidRPr="009C5035" w:rsidRDefault="00954688" w:rsidP="000C49A5">
            <w:pPr>
              <w:keepNext/>
              <w:keepLines/>
              <w:spacing w:before="0" w:line="259" w:lineRule="auto"/>
              <w:jc w:val="left"/>
              <w:rPr>
                <w:sz w:val="18"/>
              </w:rPr>
            </w:pPr>
            <w:r w:rsidRPr="009C5035">
              <w:rPr>
                <w:sz w:val="18"/>
              </w:rPr>
              <w:t>Obchodní</w:t>
            </w:r>
            <w:r>
              <w:rPr>
                <w:sz w:val="18"/>
              </w:rPr>
              <w:t xml:space="preserve"> a zábavní centrum Zlaté J</w:t>
            </w:r>
            <w:r w:rsidRPr="009C5035">
              <w:rPr>
                <w:sz w:val="18"/>
              </w:rPr>
              <w:t>ablko</w:t>
            </w:r>
          </w:p>
        </w:tc>
        <w:tc>
          <w:tcPr>
            <w:tcW w:w="4677" w:type="dxa"/>
          </w:tcPr>
          <w:p w14:paraId="05A63E06" w14:textId="77777777" w:rsidR="00954688" w:rsidRPr="009C5035" w:rsidRDefault="00954688" w:rsidP="000C49A5">
            <w:pPr>
              <w:keepNext/>
              <w:keepLines/>
              <w:spacing w:before="0" w:line="259" w:lineRule="auto"/>
              <w:jc w:val="left"/>
              <w:rPr>
                <w:sz w:val="18"/>
              </w:rPr>
            </w:pPr>
            <w:r>
              <w:rPr>
                <w:sz w:val="18"/>
              </w:rPr>
              <w:t>Náměstí míru 174, Z</w:t>
            </w:r>
            <w:r w:rsidRPr="009C5035">
              <w:rPr>
                <w:sz w:val="18"/>
              </w:rPr>
              <w:t>lín</w:t>
            </w:r>
          </w:p>
        </w:tc>
      </w:tr>
    </w:tbl>
    <w:p w14:paraId="6127A10E" w14:textId="49FE3B6C" w:rsidR="00954688" w:rsidRDefault="00954688" w:rsidP="00954688">
      <w:pPr>
        <w:pStyle w:val="Zdroj"/>
      </w:pPr>
      <w:r>
        <w:t xml:space="preserve">Zdroj: Turistický informační portál města Zlína, </w:t>
      </w:r>
      <w:hyperlink r:id="rId157" w:history="1">
        <w:r w:rsidRPr="007947B1">
          <w:rPr>
            <w:rStyle w:val="Hypertextovodkaz"/>
            <w:rFonts w:eastAsiaTheme="majorEastAsia"/>
            <w:color w:val="auto"/>
            <w:u w:val="none"/>
          </w:rPr>
          <w:t>www.ic-zlin.cz</w:t>
        </w:r>
      </w:hyperlink>
      <w:r>
        <w:t>, 2020</w:t>
      </w:r>
      <w:r w:rsidR="007947B1">
        <w:t>.</w:t>
      </w:r>
    </w:p>
    <w:p w14:paraId="485A813C" w14:textId="77777777" w:rsidR="00954688" w:rsidRDefault="00954688" w:rsidP="00954688">
      <w:r>
        <w:t xml:space="preserve"> </w:t>
      </w:r>
    </w:p>
    <w:p w14:paraId="531CAAE5" w14:textId="77777777" w:rsidR="00954688" w:rsidRDefault="00954688" w:rsidP="00954688">
      <w:pPr>
        <w:pStyle w:val="Nadpis3"/>
        <w:ind w:left="720"/>
      </w:pPr>
      <w:bookmarkStart w:id="504" w:name="_Toc49177289"/>
      <w:bookmarkStart w:id="505" w:name="_Toc53066246"/>
      <w:bookmarkStart w:id="506" w:name="_Toc77074609"/>
      <w:r>
        <w:t>Dílčí shrnutí</w:t>
      </w:r>
      <w:bookmarkEnd w:id="504"/>
      <w:bookmarkEnd w:id="505"/>
      <w:bookmarkEnd w:id="506"/>
    </w:p>
    <w:p w14:paraId="393A6A4A" w14:textId="2DC47D5F" w:rsidR="007947B1" w:rsidRPr="007947B1" w:rsidRDefault="007947B1" w:rsidP="007947B1">
      <w:pPr>
        <w:keepNext/>
        <w:keepLines/>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rPr>
          <w:b/>
          <w:i/>
        </w:rPr>
      </w:pPr>
      <w:r w:rsidRPr="007947B1">
        <w:rPr>
          <w:b/>
          <w:i/>
        </w:rPr>
        <w:t>Hlavní zjištění:</w:t>
      </w:r>
    </w:p>
    <w:p w14:paraId="0DD4F3B4" w14:textId="77777777"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Město v současné době zpracovává významné</w:t>
      </w:r>
      <w:r w:rsidRPr="00BD0DB8">
        <w:rPr>
          <w:i/>
        </w:rPr>
        <w:t xml:space="preserve"> strategické či koncepční dokumenty v</w:t>
      </w:r>
      <w:r>
        <w:rPr>
          <w:i/>
        </w:rPr>
        <w:t xml:space="preserve"> různých </w:t>
      </w:r>
      <w:r w:rsidRPr="00BD0DB8">
        <w:rPr>
          <w:i/>
        </w:rPr>
        <w:t>oblastech.</w:t>
      </w:r>
    </w:p>
    <w:p w14:paraId="3D95F212" w14:textId="77777777"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P</w:t>
      </w:r>
      <w:r w:rsidRPr="00586812">
        <w:rPr>
          <w:i/>
        </w:rPr>
        <w:t>ostupn</w:t>
      </w:r>
      <w:r>
        <w:rPr>
          <w:i/>
        </w:rPr>
        <w:t>ě město Zlín zavádí systémy a nástroje</w:t>
      </w:r>
      <w:r w:rsidRPr="00586812">
        <w:rPr>
          <w:i/>
        </w:rPr>
        <w:t xml:space="preserve"> řízení kvality pro fungování</w:t>
      </w:r>
      <w:r>
        <w:rPr>
          <w:i/>
        </w:rPr>
        <w:t xml:space="preserve"> </w:t>
      </w:r>
      <w:r w:rsidRPr="00BD0DB8">
        <w:rPr>
          <w:i/>
        </w:rPr>
        <w:t>a zlepšování výkonu veřejné správy</w:t>
      </w:r>
      <w:r>
        <w:rPr>
          <w:i/>
        </w:rPr>
        <w:t>, připravuje další projekty v této oblasti.</w:t>
      </w:r>
    </w:p>
    <w:p w14:paraId="3C74606D" w14:textId="1A898AB0"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D0DB8">
        <w:rPr>
          <w:i/>
        </w:rPr>
        <w:t>Rozpočet města Zlína</w:t>
      </w:r>
      <w:r w:rsidR="009C653C">
        <w:rPr>
          <w:i/>
        </w:rPr>
        <w:t xml:space="preserve"> je</w:t>
      </w:r>
      <w:r w:rsidRPr="00BD0DB8">
        <w:rPr>
          <w:i/>
        </w:rPr>
        <w:t xml:space="preserve"> zpracovaný přehlednou rozklikávací formou.</w:t>
      </w:r>
    </w:p>
    <w:p w14:paraId="57A3FECD" w14:textId="27C32868" w:rsidR="0095468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D0DB8">
        <w:rPr>
          <w:i/>
        </w:rPr>
        <w:t>Město vyplácí dotace na podporu různých oblastí činnosti konkrétním subjektům přímo z rozpočtu i</w:t>
      </w:r>
      <w:r w:rsidR="007947B1">
        <w:rPr>
          <w:i/>
        </w:rPr>
        <w:t> </w:t>
      </w:r>
      <w:r w:rsidRPr="00BD0DB8">
        <w:rPr>
          <w:i/>
        </w:rPr>
        <w:t>v</w:t>
      </w:r>
      <w:r w:rsidR="007947B1">
        <w:rPr>
          <w:i/>
        </w:rPr>
        <w:t> </w:t>
      </w:r>
      <w:r w:rsidRPr="00BD0DB8">
        <w:rPr>
          <w:i/>
        </w:rPr>
        <w:t>rámci účelových fondů.</w:t>
      </w:r>
    </w:p>
    <w:p w14:paraId="4972EA12" w14:textId="180BF6B3" w:rsidR="00954688" w:rsidRDefault="009C653C"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Pr>
          <w:i/>
        </w:rPr>
        <w:t>K p</w:t>
      </w:r>
      <w:r w:rsidR="00954688">
        <w:rPr>
          <w:i/>
        </w:rPr>
        <w:t xml:space="preserve">ropagaci města a komunikaci město využívá řadu </w:t>
      </w:r>
      <w:r w:rsidR="00954688" w:rsidRPr="00BD0DB8">
        <w:rPr>
          <w:i/>
        </w:rPr>
        <w:t>komunikačních prostředků</w:t>
      </w:r>
      <w:r w:rsidR="00954688">
        <w:rPr>
          <w:i/>
        </w:rPr>
        <w:t xml:space="preserve"> (Magazín Zlín, webové stránky, portály, sociální on</w:t>
      </w:r>
      <w:r w:rsidR="007947B1">
        <w:rPr>
          <w:i/>
        </w:rPr>
        <w:t>-</w:t>
      </w:r>
      <w:r w:rsidR="00954688">
        <w:rPr>
          <w:i/>
        </w:rPr>
        <w:t>line platformy, mobilní aplikace a další)</w:t>
      </w:r>
      <w:r w:rsidR="00954688" w:rsidRPr="00BD0DB8">
        <w:rPr>
          <w:i/>
        </w:rPr>
        <w:t>.</w:t>
      </w:r>
    </w:p>
    <w:p w14:paraId="588A8815" w14:textId="77777777" w:rsidR="00954688" w:rsidRPr="00BD0DB8" w:rsidRDefault="00954688" w:rsidP="00954688">
      <w:pPr>
        <w:pStyle w:val="Odstavecseseznamem"/>
        <w:keepNext/>
        <w:keepLines/>
        <w:numPr>
          <w:ilvl w:val="0"/>
          <w:numId w:val="14"/>
        </w:numPr>
        <w:pBdr>
          <w:top w:val="single" w:sz="4" w:space="1" w:color="auto"/>
          <w:left w:val="single" w:sz="4" w:space="4" w:color="auto"/>
          <w:bottom w:val="single" w:sz="4" w:space="21" w:color="auto"/>
          <w:right w:val="single" w:sz="4" w:space="4" w:color="auto"/>
        </w:pBdr>
        <w:shd w:val="clear" w:color="auto" w:fill="D5DCE4" w:themeFill="text2" w:themeFillTint="33"/>
        <w:spacing w:before="0" w:after="200" w:line="276" w:lineRule="auto"/>
        <w:ind w:left="425" w:hanging="425"/>
        <w:contextualSpacing w:val="0"/>
        <w:rPr>
          <w:i/>
        </w:rPr>
      </w:pPr>
      <w:r w:rsidRPr="00BD0DB8">
        <w:rPr>
          <w:i/>
        </w:rPr>
        <w:t xml:space="preserve">Město má plán </w:t>
      </w:r>
      <w:r>
        <w:rPr>
          <w:i/>
        </w:rPr>
        <w:t>uplatňování</w:t>
      </w:r>
      <w:r w:rsidRPr="00BD0DB8">
        <w:rPr>
          <w:i/>
        </w:rPr>
        <w:t xml:space="preserve"> kon</w:t>
      </w:r>
      <w:r>
        <w:rPr>
          <w:i/>
        </w:rPr>
        <w:t>ceptu Smart City v řízení města.</w:t>
      </w:r>
    </w:p>
    <w:p w14:paraId="55937BC6" w14:textId="77777777" w:rsidR="00954688" w:rsidRDefault="00954688" w:rsidP="00954688">
      <w:pPr>
        <w:pStyle w:val="Odstavecseseznamem"/>
        <w:rPr>
          <w:sz w:val="24"/>
        </w:rPr>
      </w:pPr>
    </w:p>
    <w:p w14:paraId="16003539" w14:textId="77777777" w:rsidR="00954688" w:rsidRPr="00586812" w:rsidRDefault="00954688" w:rsidP="00954688">
      <w:pPr>
        <w:pStyle w:val="Odstavecseseznamem"/>
        <w:rPr>
          <w:sz w:val="24"/>
        </w:rPr>
        <w:sectPr w:rsidR="00954688" w:rsidRPr="00586812" w:rsidSect="00954688">
          <w:headerReference w:type="default" r:id="rId158"/>
          <w:pgSz w:w="11910" w:h="16840"/>
          <w:pgMar w:top="1280" w:right="1420" w:bottom="1220" w:left="1418" w:header="573" w:footer="1036" w:gutter="0"/>
          <w:cols w:space="708"/>
        </w:sectPr>
      </w:pPr>
    </w:p>
    <w:p w14:paraId="21067A77" w14:textId="77777777" w:rsidR="00954688" w:rsidRDefault="00954688" w:rsidP="00954688">
      <w:pPr>
        <w:pStyle w:val="Nadpis3"/>
        <w:ind w:left="720"/>
      </w:pPr>
      <w:bookmarkStart w:id="507" w:name="_Toc53066247"/>
      <w:bookmarkStart w:id="508" w:name="_Toc77074610"/>
      <w:r>
        <w:lastRenderedPageBreak/>
        <w:t>SWOT analýza</w:t>
      </w:r>
      <w:bookmarkEnd w:id="507"/>
      <w:bookmarkEnd w:id="508"/>
    </w:p>
    <w:p w14:paraId="1094E7E6" w14:textId="77777777" w:rsidR="00954688" w:rsidRDefault="00954688" w:rsidP="00954688"/>
    <w:tbl>
      <w:tblPr>
        <w:tblStyle w:val="Mkatabulky2"/>
        <w:tblW w:w="0" w:type="auto"/>
        <w:tblLook w:val="04A0" w:firstRow="1" w:lastRow="0" w:firstColumn="1" w:lastColumn="0" w:noHBand="0" w:noVBand="1"/>
      </w:tblPr>
      <w:tblGrid>
        <w:gridCol w:w="4533"/>
        <w:gridCol w:w="4529"/>
      </w:tblGrid>
      <w:tr w:rsidR="00954688" w:rsidRPr="00BC1A35" w14:paraId="77990CD2" w14:textId="77777777" w:rsidTr="000C49A5">
        <w:trPr>
          <w:cantSplit/>
          <w:tblHeader/>
        </w:trPr>
        <w:tc>
          <w:tcPr>
            <w:tcW w:w="4533" w:type="dxa"/>
            <w:shd w:val="clear" w:color="auto" w:fill="FF7C80"/>
          </w:tcPr>
          <w:p w14:paraId="3B910CAA" w14:textId="77777777" w:rsidR="00954688" w:rsidRPr="00BC1A35" w:rsidRDefault="00954688" w:rsidP="000C49A5">
            <w:pPr>
              <w:spacing w:before="0"/>
              <w:jc w:val="center"/>
              <w:rPr>
                <w:b/>
                <w:szCs w:val="24"/>
              </w:rPr>
            </w:pPr>
            <w:r w:rsidRPr="00BC1A35">
              <w:rPr>
                <w:b/>
                <w:szCs w:val="24"/>
              </w:rPr>
              <w:t>SILNÉ STRÁNKY</w:t>
            </w:r>
          </w:p>
        </w:tc>
        <w:tc>
          <w:tcPr>
            <w:tcW w:w="4530" w:type="dxa"/>
            <w:shd w:val="clear" w:color="auto" w:fill="B8CCE4"/>
          </w:tcPr>
          <w:p w14:paraId="469FB2BE" w14:textId="77777777" w:rsidR="00954688" w:rsidRPr="00BC1A35" w:rsidRDefault="00954688" w:rsidP="000C49A5">
            <w:pPr>
              <w:spacing w:before="0"/>
              <w:jc w:val="center"/>
              <w:rPr>
                <w:b/>
                <w:szCs w:val="24"/>
              </w:rPr>
            </w:pPr>
            <w:r w:rsidRPr="00BC1A35">
              <w:rPr>
                <w:b/>
                <w:szCs w:val="24"/>
              </w:rPr>
              <w:t>SLABÉ STRÁNKY</w:t>
            </w:r>
          </w:p>
        </w:tc>
      </w:tr>
      <w:tr w:rsidR="00954688" w:rsidRPr="00BC1A35" w14:paraId="1C0CABEA" w14:textId="77777777" w:rsidTr="000C49A5">
        <w:trPr>
          <w:cantSplit/>
          <w:trHeight w:val="3177"/>
        </w:trPr>
        <w:tc>
          <w:tcPr>
            <w:tcW w:w="4533" w:type="dxa"/>
            <w:shd w:val="clear" w:color="auto" w:fill="FFDDDD"/>
          </w:tcPr>
          <w:p w14:paraId="458DC069" w14:textId="77777777" w:rsidR="00954688" w:rsidRPr="0045137D" w:rsidRDefault="00954688" w:rsidP="000C49A5">
            <w:pPr>
              <w:suppressAutoHyphens/>
              <w:spacing w:before="0"/>
              <w:ind w:left="171"/>
              <w:contextualSpacing/>
              <w:jc w:val="left"/>
              <w:rPr>
                <w:sz w:val="12"/>
                <w:szCs w:val="24"/>
              </w:rPr>
            </w:pPr>
          </w:p>
          <w:p w14:paraId="6A1B5A2D" w14:textId="4EBBA2B4" w:rsidR="00954688" w:rsidRDefault="00954688" w:rsidP="00954688">
            <w:pPr>
              <w:numPr>
                <w:ilvl w:val="0"/>
                <w:numId w:val="12"/>
              </w:numPr>
              <w:suppressAutoHyphens/>
              <w:spacing w:before="0"/>
              <w:ind w:left="171" w:hanging="141"/>
              <w:contextualSpacing/>
              <w:jc w:val="left"/>
              <w:rPr>
                <w:szCs w:val="24"/>
              </w:rPr>
            </w:pPr>
            <w:r>
              <w:rPr>
                <w:szCs w:val="24"/>
              </w:rPr>
              <w:t>Dlouhodobě nízký podíl nezaměstnaných osob</w:t>
            </w:r>
            <w:r w:rsidR="007947B1">
              <w:rPr>
                <w:szCs w:val="24"/>
              </w:rPr>
              <w:t>.</w:t>
            </w:r>
          </w:p>
          <w:p w14:paraId="365F6EFA" w14:textId="0F5DBEB1" w:rsidR="00954688" w:rsidRPr="00017A0A" w:rsidRDefault="00954688" w:rsidP="00954688">
            <w:pPr>
              <w:numPr>
                <w:ilvl w:val="0"/>
                <w:numId w:val="12"/>
              </w:numPr>
              <w:suppressAutoHyphens/>
              <w:spacing w:before="0"/>
              <w:ind w:left="171" w:hanging="141"/>
              <w:contextualSpacing/>
              <w:jc w:val="left"/>
              <w:rPr>
                <w:szCs w:val="24"/>
              </w:rPr>
            </w:pPr>
            <w:r>
              <w:rPr>
                <w:szCs w:val="24"/>
              </w:rPr>
              <w:t xml:space="preserve">Dlouhodobý pozitivní vývoj počtu </w:t>
            </w:r>
            <w:r w:rsidRPr="00C052CE">
              <w:t>obsazených pracovních míst</w:t>
            </w:r>
            <w:r w:rsidR="007947B1">
              <w:t>.</w:t>
            </w:r>
          </w:p>
          <w:p w14:paraId="0631459D" w14:textId="1A6943FA" w:rsidR="00954688" w:rsidRDefault="00954688" w:rsidP="00954688">
            <w:pPr>
              <w:numPr>
                <w:ilvl w:val="0"/>
                <w:numId w:val="12"/>
              </w:numPr>
              <w:suppressAutoHyphens/>
              <w:spacing w:before="0"/>
              <w:ind w:left="171" w:hanging="141"/>
              <w:contextualSpacing/>
              <w:jc w:val="left"/>
            </w:pPr>
            <w:r>
              <w:t>Dlouhodobě vysoká</w:t>
            </w:r>
            <w:r w:rsidRPr="001A096F">
              <w:t xml:space="preserve"> míra podnikatelské aktivity </w:t>
            </w:r>
            <w:r>
              <w:t>v porovnání se</w:t>
            </w:r>
            <w:r w:rsidRPr="001A096F">
              <w:t xml:space="preserve"> sledovanými městy</w:t>
            </w:r>
            <w:r w:rsidR="007947B1">
              <w:t>.</w:t>
            </w:r>
          </w:p>
          <w:p w14:paraId="2B4854E1" w14:textId="53617FB9" w:rsidR="00954688" w:rsidRPr="001A096F" w:rsidRDefault="00954688" w:rsidP="00954688">
            <w:pPr>
              <w:numPr>
                <w:ilvl w:val="0"/>
                <w:numId w:val="12"/>
              </w:numPr>
              <w:suppressAutoHyphens/>
              <w:spacing w:before="0"/>
              <w:ind w:left="171" w:hanging="141"/>
              <w:contextualSpacing/>
              <w:jc w:val="left"/>
            </w:pPr>
            <w:r w:rsidRPr="00097759">
              <w:t>Významní zaměstnavatelé</w:t>
            </w:r>
            <w:r>
              <w:t xml:space="preserve"> ve městě</w:t>
            </w:r>
            <w:r w:rsidR="007947B1">
              <w:t>.</w:t>
            </w:r>
          </w:p>
          <w:p w14:paraId="10ED0219" w14:textId="5E6DB4FF" w:rsidR="00954688" w:rsidRDefault="00954688" w:rsidP="00954688">
            <w:pPr>
              <w:numPr>
                <w:ilvl w:val="0"/>
                <w:numId w:val="12"/>
              </w:numPr>
              <w:suppressAutoHyphens/>
              <w:spacing w:before="0"/>
              <w:ind w:left="171" w:hanging="141"/>
              <w:contextualSpacing/>
              <w:jc w:val="left"/>
              <w:rPr>
                <w:szCs w:val="24"/>
              </w:rPr>
            </w:pPr>
            <w:r w:rsidRPr="00BC1A35">
              <w:rPr>
                <w:szCs w:val="24"/>
              </w:rPr>
              <w:t>Existence</w:t>
            </w:r>
            <w:r>
              <w:rPr>
                <w:szCs w:val="24"/>
              </w:rPr>
              <w:t xml:space="preserve"> </w:t>
            </w:r>
            <w:r w:rsidRPr="00BC1A35">
              <w:rPr>
                <w:szCs w:val="24"/>
              </w:rPr>
              <w:t>průmyslov</w:t>
            </w:r>
            <w:r>
              <w:rPr>
                <w:szCs w:val="24"/>
              </w:rPr>
              <w:t>ých zón ve městě a blízkost významných průmyslových zón v jeho okolí</w:t>
            </w:r>
            <w:r w:rsidR="007947B1">
              <w:rPr>
                <w:szCs w:val="24"/>
              </w:rPr>
              <w:t>.</w:t>
            </w:r>
          </w:p>
          <w:p w14:paraId="6F76420F" w14:textId="3129A929" w:rsidR="00954688" w:rsidRPr="00985272" w:rsidRDefault="00954688" w:rsidP="00954688">
            <w:pPr>
              <w:pStyle w:val="Odstavecseseznamem"/>
              <w:numPr>
                <w:ilvl w:val="0"/>
                <w:numId w:val="12"/>
              </w:numPr>
              <w:suppressAutoHyphens/>
              <w:spacing w:before="0" w:after="160"/>
              <w:ind w:left="171" w:hanging="142"/>
              <w:jc w:val="left"/>
              <w:rPr>
                <w:szCs w:val="24"/>
              </w:rPr>
            </w:pPr>
            <w:r>
              <w:t>Město Zlín a jeho okolí je přirozeným centrem výzkumu a vývoje Zlínského kraj</w:t>
            </w:r>
            <w:r w:rsidR="007A5819">
              <w:t>e</w:t>
            </w:r>
            <w:r w:rsidR="007947B1">
              <w:t>.</w:t>
            </w:r>
          </w:p>
          <w:p w14:paraId="26D13682" w14:textId="00798DD5" w:rsidR="00954688" w:rsidRPr="00985272" w:rsidRDefault="00954688" w:rsidP="00954688">
            <w:pPr>
              <w:pStyle w:val="Odstavecseseznamem"/>
              <w:numPr>
                <w:ilvl w:val="0"/>
                <w:numId w:val="12"/>
              </w:numPr>
              <w:suppressAutoHyphens/>
              <w:spacing w:before="0" w:after="160"/>
              <w:ind w:left="171" w:hanging="142"/>
              <w:jc w:val="left"/>
              <w:rPr>
                <w:szCs w:val="24"/>
              </w:rPr>
            </w:pPr>
            <w:r>
              <w:t>Působení klastrů ve městě (</w:t>
            </w:r>
            <w:r w:rsidRPr="00985272">
              <w:t>Plastikářský klastr</w:t>
            </w:r>
            <w:r>
              <w:t>,</w:t>
            </w:r>
            <w:r w:rsidRPr="00985272">
              <w:t xml:space="preserve"> Zlínský kreativní klastr</w:t>
            </w:r>
            <w:r>
              <w:t>)</w:t>
            </w:r>
            <w:r w:rsidR="007947B1">
              <w:t>.</w:t>
            </w:r>
          </w:p>
          <w:p w14:paraId="4324D2D9" w14:textId="5242C6FF" w:rsidR="00954688" w:rsidRPr="000721D2" w:rsidRDefault="00954688" w:rsidP="00954688">
            <w:pPr>
              <w:pStyle w:val="Odstavecseseznamem"/>
              <w:numPr>
                <w:ilvl w:val="0"/>
                <w:numId w:val="12"/>
              </w:numPr>
              <w:suppressAutoHyphens/>
              <w:spacing w:before="0" w:after="160"/>
              <w:ind w:left="171" w:hanging="142"/>
              <w:jc w:val="left"/>
              <w:rPr>
                <w:szCs w:val="24"/>
              </w:rPr>
            </w:pPr>
            <w:r>
              <w:rPr>
                <w:szCs w:val="24"/>
              </w:rPr>
              <w:t xml:space="preserve">Existence Centrály cestovního ruchu Východní Morava, o.p.s., Destinačního managementu </w:t>
            </w:r>
            <w:r w:rsidRPr="00273588">
              <w:t>Zlínsko a Luhačovicko</w:t>
            </w:r>
            <w:r w:rsidR="007947B1">
              <w:t>.</w:t>
            </w:r>
          </w:p>
          <w:p w14:paraId="76B99C74" w14:textId="77777777" w:rsidR="00954688" w:rsidRPr="00B1472C" w:rsidRDefault="00954688" w:rsidP="00954688">
            <w:pPr>
              <w:pStyle w:val="Odstavecseseznamem"/>
              <w:numPr>
                <w:ilvl w:val="0"/>
                <w:numId w:val="12"/>
              </w:numPr>
              <w:suppressAutoHyphens/>
              <w:spacing w:before="0" w:after="160"/>
              <w:ind w:left="171" w:hanging="142"/>
              <w:jc w:val="left"/>
              <w:rPr>
                <w:szCs w:val="24"/>
              </w:rPr>
            </w:pPr>
            <w:r>
              <w:rPr>
                <w:szCs w:val="24"/>
              </w:rPr>
              <w:t>P</w:t>
            </w:r>
            <w:r w:rsidRPr="000721D2">
              <w:rPr>
                <w:szCs w:val="24"/>
              </w:rPr>
              <w:t xml:space="preserve">ozitivní trend v návštěvnosti </w:t>
            </w:r>
            <w:r>
              <w:rPr>
                <w:szCs w:val="24"/>
              </w:rPr>
              <w:t>města.</w:t>
            </w:r>
          </w:p>
          <w:p w14:paraId="49B4153C" w14:textId="66D8FB54" w:rsidR="00954688" w:rsidRDefault="00954688" w:rsidP="00954688">
            <w:pPr>
              <w:pStyle w:val="Odstavecseseznamem"/>
              <w:numPr>
                <w:ilvl w:val="0"/>
                <w:numId w:val="12"/>
              </w:numPr>
              <w:suppressAutoHyphens/>
              <w:spacing w:before="0" w:after="160"/>
              <w:ind w:left="171" w:hanging="142"/>
              <w:jc w:val="left"/>
              <w:rPr>
                <w:szCs w:val="24"/>
              </w:rPr>
            </w:pPr>
            <w:r>
              <w:rPr>
                <w:szCs w:val="24"/>
              </w:rPr>
              <w:t>Ve Zlíně se nachází řada atraktivit v oblasti gastronomických podniků</w:t>
            </w:r>
            <w:r w:rsidR="007947B1">
              <w:rPr>
                <w:szCs w:val="24"/>
              </w:rPr>
              <w:t>.</w:t>
            </w:r>
          </w:p>
          <w:p w14:paraId="1C9F8BD2" w14:textId="2D2EB0E4" w:rsidR="00954688" w:rsidRPr="007A22CB" w:rsidRDefault="00954688" w:rsidP="00954688">
            <w:pPr>
              <w:pStyle w:val="Odstavecseseznamem"/>
              <w:numPr>
                <w:ilvl w:val="0"/>
                <w:numId w:val="12"/>
              </w:numPr>
              <w:suppressAutoHyphens/>
              <w:spacing w:before="0" w:after="160"/>
              <w:ind w:left="171" w:hanging="142"/>
              <w:jc w:val="left"/>
              <w:rPr>
                <w:szCs w:val="24"/>
              </w:rPr>
            </w:pPr>
            <w:r>
              <w:rPr>
                <w:szCs w:val="24"/>
              </w:rPr>
              <w:t>Zlín má zcela jednoznačný, jedinečný a silný</w:t>
            </w:r>
            <w:r w:rsidRPr="007A22CB">
              <w:rPr>
                <w:szCs w:val="24"/>
              </w:rPr>
              <w:t xml:space="preserve"> pr</w:t>
            </w:r>
            <w:r>
              <w:rPr>
                <w:szCs w:val="24"/>
              </w:rPr>
              <w:t>vek</w:t>
            </w:r>
            <w:r w:rsidRPr="007A22CB">
              <w:rPr>
                <w:szCs w:val="24"/>
              </w:rPr>
              <w:t xml:space="preserve"> </w:t>
            </w:r>
            <w:r>
              <w:rPr>
                <w:szCs w:val="24"/>
              </w:rPr>
              <w:t>v podobě baťovské architektury a</w:t>
            </w:r>
            <w:r w:rsidRPr="007A22CB">
              <w:rPr>
                <w:szCs w:val="24"/>
              </w:rPr>
              <w:t xml:space="preserve"> „fenomén</w:t>
            </w:r>
            <w:r>
              <w:rPr>
                <w:szCs w:val="24"/>
              </w:rPr>
              <w:t>u Baťa“</w:t>
            </w:r>
            <w:r w:rsidR="007947B1">
              <w:rPr>
                <w:szCs w:val="24"/>
              </w:rPr>
              <w:t>.</w:t>
            </w:r>
          </w:p>
          <w:p w14:paraId="2FC3B5C8" w14:textId="77777777" w:rsidR="00954688" w:rsidRDefault="00954688" w:rsidP="00954688">
            <w:pPr>
              <w:pStyle w:val="Odstavecseseznamem"/>
              <w:numPr>
                <w:ilvl w:val="0"/>
                <w:numId w:val="12"/>
              </w:numPr>
              <w:suppressAutoHyphens/>
              <w:spacing w:before="0" w:after="160"/>
              <w:ind w:left="171" w:hanging="142"/>
              <w:jc w:val="left"/>
              <w:rPr>
                <w:szCs w:val="24"/>
              </w:rPr>
            </w:pPr>
            <w:r>
              <w:rPr>
                <w:szCs w:val="24"/>
              </w:rPr>
              <w:t>Ve Zlíně se nachází nejnavštěvovanější turistické cíle v kraji a další významné atraktivity a akce.</w:t>
            </w:r>
          </w:p>
          <w:p w14:paraId="02217FDE" w14:textId="32A0331A" w:rsidR="00954688" w:rsidRPr="00CF38BC" w:rsidRDefault="00954688" w:rsidP="00954688">
            <w:pPr>
              <w:pStyle w:val="Odstavecseseznamem"/>
              <w:numPr>
                <w:ilvl w:val="0"/>
                <w:numId w:val="12"/>
              </w:numPr>
              <w:suppressAutoHyphens/>
              <w:spacing w:before="0" w:after="160"/>
              <w:ind w:left="171" w:hanging="142"/>
              <w:jc w:val="left"/>
              <w:rPr>
                <w:szCs w:val="24"/>
              </w:rPr>
            </w:pPr>
            <w:r>
              <w:t>Realizace projektů pro rozvoj informačních a</w:t>
            </w:r>
            <w:r w:rsidR="007A5819">
              <w:t> </w:t>
            </w:r>
            <w:r>
              <w:t>komunikačních technologií na Magistrátu města Zlína</w:t>
            </w:r>
            <w:r w:rsidR="007947B1">
              <w:t>.</w:t>
            </w:r>
          </w:p>
          <w:p w14:paraId="5A3322B1" w14:textId="3357A4BD" w:rsidR="00954688" w:rsidRPr="00CF38BC" w:rsidRDefault="00954688" w:rsidP="00954688">
            <w:pPr>
              <w:pStyle w:val="Odstavecseseznamem"/>
              <w:numPr>
                <w:ilvl w:val="0"/>
                <w:numId w:val="12"/>
              </w:numPr>
              <w:suppressAutoHyphens/>
              <w:spacing w:before="0" w:after="160"/>
              <w:ind w:left="171" w:hanging="142"/>
              <w:jc w:val="left"/>
              <w:rPr>
                <w:szCs w:val="24"/>
              </w:rPr>
            </w:pPr>
            <w:r>
              <w:t>Přehledně zveřejněný rozpočet města rozklikávací formou</w:t>
            </w:r>
            <w:r w:rsidR="007947B1">
              <w:t>.</w:t>
            </w:r>
          </w:p>
          <w:p w14:paraId="76C6BF3C" w14:textId="4457BFE6" w:rsidR="00954688" w:rsidRPr="00CF38BC" w:rsidRDefault="00954688" w:rsidP="00954688">
            <w:pPr>
              <w:pStyle w:val="Odstavecseseznamem"/>
              <w:numPr>
                <w:ilvl w:val="0"/>
                <w:numId w:val="12"/>
              </w:numPr>
              <w:suppressAutoHyphens/>
              <w:spacing w:before="0" w:after="160"/>
              <w:ind w:left="171" w:hanging="142"/>
              <w:jc w:val="left"/>
              <w:rPr>
                <w:szCs w:val="24"/>
              </w:rPr>
            </w:pPr>
            <w:r>
              <w:t>Existence účelových fondů, poskytované dotace z rozpočtu města</w:t>
            </w:r>
            <w:r w:rsidR="007947B1">
              <w:t>.</w:t>
            </w:r>
          </w:p>
          <w:p w14:paraId="41A356F6" w14:textId="7F100F06" w:rsidR="00954688" w:rsidRPr="00D405FF" w:rsidRDefault="00954688" w:rsidP="00954688">
            <w:pPr>
              <w:pStyle w:val="Odstavecseseznamem"/>
              <w:numPr>
                <w:ilvl w:val="0"/>
                <w:numId w:val="12"/>
              </w:numPr>
              <w:suppressAutoHyphens/>
              <w:spacing w:before="0" w:after="160"/>
              <w:ind w:left="171" w:hanging="142"/>
              <w:jc w:val="left"/>
              <w:rPr>
                <w:szCs w:val="24"/>
              </w:rPr>
            </w:pPr>
            <w:r>
              <w:t xml:space="preserve">Existence </w:t>
            </w:r>
            <w:r w:rsidRPr="00CF38BC">
              <w:t>Komunikační strategi</w:t>
            </w:r>
            <w:r>
              <w:t>e</w:t>
            </w:r>
            <w:r w:rsidRPr="00CF38BC">
              <w:t xml:space="preserve"> pro statutární město Zlín v oblasti kulturních, sportovních a</w:t>
            </w:r>
            <w:r w:rsidR="007A5819">
              <w:t> </w:t>
            </w:r>
            <w:r w:rsidRPr="00CF38BC">
              <w:t>volnočasových aktivit</w:t>
            </w:r>
            <w:r w:rsidR="007947B1">
              <w:t>.</w:t>
            </w:r>
          </w:p>
          <w:p w14:paraId="324BE014" w14:textId="7525E23F" w:rsidR="00954688" w:rsidRPr="00B96109" w:rsidRDefault="00954688" w:rsidP="00954688">
            <w:pPr>
              <w:pStyle w:val="Odstavecseseznamem"/>
              <w:numPr>
                <w:ilvl w:val="0"/>
                <w:numId w:val="12"/>
              </w:numPr>
              <w:suppressAutoHyphens/>
              <w:spacing w:before="0" w:after="160"/>
              <w:ind w:left="171" w:hanging="142"/>
              <w:jc w:val="left"/>
              <w:rPr>
                <w:szCs w:val="24"/>
              </w:rPr>
            </w:pPr>
            <w:r>
              <w:t xml:space="preserve">Existence internetového portálu </w:t>
            </w:r>
            <w:hyperlink r:id="rId159" w:history="1">
              <w:r w:rsidRPr="007A5819">
                <w:rPr>
                  <w:rStyle w:val="Hypertextovodkaz"/>
                  <w:rFonts w:eastAsiaTheme="majorEastAsia"/>
                  <w:color w:val="auto"/>
                  <w:u w:val="none"/>
                </w:rPr>
                <w:t>www.ic-zlin.cz</w:t>
              </w:r>
            </w:hyperlink>
            <w:r w:rsidR="007947B1" w:rsidRPr="007A5819">
              <w:rPr>
                <w:rStyle w:val="Hypertextovodkaz"/>
                <w:rFonts w:eastAsiaTheme="majorEastAsia"/>
                <w:color w:val="auto"/>
                <w:u w:val="none"/>
              </w:rPr>
              <w:t>.</w:t>
            </w:r>
          </w:p>
          <w:p w14:paraId="23E02866" w14:textId="0EE55C0C" w:rsidR="00954688" w:rsidRPr="00CF38BC" w:rsidRDefault="00954688" w:rsidP="00954688">
            <w:pPr>
              <w:pStyle w:val="Odstavecseseznamem"/>
              <w:numPr>
                <w:ilvl w:val="0"/>
                <w:numId w:val="12"/>
              </w:numPr>
              <w:suppressAutoHyphens/>
              <w:spacing w:before="0" w:after="160"/>
              <w:ind w:left="171" w:hanging="142"/>
              <w:jc w:val="left"/>
              <w:rPr>
                <w:szCs w:val="24"/>
              </w:rPr>
            </w:pPr>
            <w:r>
              <w:t>Existence mobilních aplikací pro občany a turisty</w:t>
            </w:r>
            <w:r w:rsidR="007A5819">
              <w:t>.</w:t>
            </w:r>
          </w:p>
          <w:p w14:paraId="697A8F51" w14:textId="4F1A7500" w:rsidR="00954688" w:rsidRPr="00D4769A" w:rsidRDefault="00954688" w:rsidP="007A5819">
            <w:pPr>
              <w:pStyle w:val="Odstavecseseznamem"/>
              <w:numPr>
                <w:ilvl w:val="0"/>
                <w:numId w:val="12"/>
              </w:numPr>
              <w:suppressAutoHyphens/>
              <w:spacing w:before="0" w:after="160"/>
              <w:ind w:left="171" w:hanging="142"/>
              <w:jc w:val="left"/>
              <w:rPr>
                <w:szCs w:val="24"/>
              </w:rPr>
            </w:pPr>
            <w:r w:rsidRPr="00C56241">
              <w:t xml:space="preserve">Realizace </w:t>
            </w:r>
            <w:r>
              <w:t>projektů komisí místních částí a</w:t>
            </w:r>
            <w:r w:rsidR="007A5819">
              <w:t> </w:t>
            </w:r>
            <w:r w:rsidRPr="00C56241">
              <w:t>participativního rozpočtu „TVOŘÍME ZLÍN“</w:t>
            </w:r>
            <w:r w:rsidR="007A5819">
              <w:t>.</w:t>
            </w:r>
          </w:p>
        </w:tc>
        <w:tc>
          <w:tcPr>
            <w:tcW w:w="4530" w:type="dxa"/>
            <w:shd w:val="clear" w:color="auto" w:fill="EEF3F8"/>
          </w:tcPr>
          <w:p w14:paraId="1DD91475" w14:textId="77777777" w:rsidR="00954688" w:rsidRPr="0045137D" w:rsidRDefault="00954688" w:rsidP="000C49A5">
            <w:pPr>
              <w:suppressAutoHyphens/>
              <w:spacing w:before="0"/>
              <w:ind w:left="175"/>
              <w:contextualSpacing/>
              <w:jc w:val="left"/>
              <w:rPr>
                <w:sz w:val="12"/>
                <w:szCs w:val="12"/>
              </w:rPr>
            </w:pPr>
          </w:p>
          <w:p w14:paraId="2BF293EA" w14:textId="43CA65B4" w:rsidR="00954688" w:rsidRDefault="00954688" w:rsidP="00954688">
            <w:pPr>
              <w:numPr>
                <w:ilvl w:val="0"/>
                <w:numId w:val="12"/>
              </w:numPr>
              <w:suppressAutoHyphens/>
              <w:spacing w:before="0" w:after="160"/>
              <w:ind w:left="171" w:hanging="142"/>
              <w:contextualSpacing/>
              <w:jc w:val="left"/>
              <w:rPr>
                <w:szCs w:val="24"/>
              </w:rPr>
            </w:pPr>
            <w:r>
              <w:rPr>
                <w:szCs w:val="24"/>
              </w:rPr>
              <w:t>Stárnutí obyvatel</w:t>
            </w:r>
            <w:r w:rsidR="007A5819">
              <w:rPr>
                <w:szCs w:val="24"/>
              </w:rPr>
              <w:t>.</w:t>
            </w:r>
          </w:p>
          <w:p w14:paraId="14212F75" w14:textId="46AC89A0" w:rsidR="00954688" w:rsidRPr="000E7B9C" w:rsidRDefault="00954688" w:rsidP="00954688">
            <w:pPr>
              <w:numPr>
                <w:ilvl w:val="0"/>
                <w:numId w:val="12"/>
              </w:numPr>
              <w:suppressAutoHyphens/>
              <w:spacing w:before="0" w:after="160"/>
              <w:ind w:left="171" w:hanging="142"/>
              <w:contextualSpacing/>
              <w:jc w:val="left"/>
              <w:rPr>
                <w:szCs w:val="24"/>
              </w:rPr>
            </w:pPr>
            <w:r>
              <w:rPr>
                <w:szCs w:val="24"/>
              </w:rPr>
              <w:t>Nesoulad mezi nabídkou a poptávkou po pracovní síle</w:t>
            </w:r>
            <w:r w:rsidR="007A5819">
              <w:rPr>
                <w:szCs w:val="24"/>
              </w:rPr>
              <w:t>.</w:t>
            </w:r>
          </w:p>
          <w:p w14:paraId="58265EDD" w14:textId="642893CB" w:rsidR="00954688" w:rsidRPr="000E7B9C" w:rsidRDefault="00954688" w:rsidP="00954688">
            <w:pPr>
              <w:numPr>
                <w:ilvl w:val="0"/>
                <w:numId w:val="12"/>
              </w:numPr>
              <w:suppressAutoHyphens/>
              <w:spacing w:before="0" w:after="160"/>
              <w:ind w:left="171" w:hanging="142"/>
              <w:contextualSpacing/>
              <w:jc w:val="left"/>
              <w:rPr>
                <w:szCs w:val="24"/>
              </w:rPr>
            </w:pPr>
            <w:r>
              <w:t>Nižší úroveň mezd</w:t>
            </w:r>
            <w:r w:rsidR="007A5819">
              <w:t>.</w:t>
            </w:r>
          </w:p>
          <w:p w14:paraId="53122970" w14:textId="03BAB654" w:rsidR="00954688" w:rsidRPr="00985272" w:rsidRDefault="00954688" w:rsidP="00954688">
            <w:pPr>
              <w:numPr>
                <w:ilvl w:val="0"/>
                <w:numId w:val="12"/>
              </w:numPr>
              <w:suppressAutoHyphens/>
              <w:spacing w:before="0" w:after="160"/>
              <w:ind w:left="171" w:hanging="142"/>
              <w:contextualSpacing/>
              <w:jc w:val="left"/>
              <w:rPr>
                <w:szCs w:val="24"/>
              </w:rPr>
            </w:pPr>
            <w:r>
              <w:t>Nedostupné bydlení pro mladou generaci</w:t>
            </w:r>
            <w:r w:rsidR="007A5819">
              <w:t>.</w:t>
            </w:r>
          </w:p>
          <w:p w14:paraId="7ACC8FC4" w14:textId="2CF1775A" w:rsidR="00954688" w:rsidRDefault="00954688" w:rsidP="00954688">
            <w:pPr>
              <w:numPr>
                <w:ilvl w:val="0"/>
                <w:numId w:val="12"/>
              </w:numPr>
              <w:suppressAutoHyphens/>
              <w:spacing w:before="0" w:after="160"/>
              <w:ind w:left="171" w:hanging="142"/>
              <w:contextualSpacing/>
              <w:jc w:val="left"/>
            </w:pPr>
            <w:r>
              <w:t>Omezená nabídka</w:t>
            </w:r>
            <w:r w:rsidRPr="00985272">
              <w:t xml:space="preserve"> rozvojových ploch pro smíšenou výrobu</w:t>
            </w:r>
            <w:r w:rsidR="007A5819">
              <w:t>.</w:t>
            </w:r>
          </w:p>
          <w:p w14:paraId="14B4497E" w14:textId="467C926F" w:rsidR="00954688" w:rsidRDefault="00954688" w:rsidP="00954688">
            <w:pPr>
              <w:numPr>
                <w:ilvl w:val="0"/>
                <w:numId w:val="12"/>
              </w:numPr>
              <w:suppressAutoHyphens/>
              <w:spacing w:before="0" w:after="160"/>
              <w:ind w:left="171" w:hanging="142"/>
              <w:contextualSpacing/>
              <w:jc w:val="left"/>
            </w:pPr>
            <w:r>
              <w:t>Vysoké ceny komerčních nemovitostí</w:t>
            </w:r>
            <w:r w:rsidR="007A5819">
              <w:t>.</w:t>
            </w:r>
          </w:p>
          <w:p w14:paraId="637420D7" w14:textId="340A84E4" w:rsidR="00954688" w:rsidRDefault="00954688" w:rsidP="00954688">
            <w:pPr>
              <w:numPr>
                <w:ilvl w:val="0"/>
                <w:numId w:val="12"/>
              </w:numPr>
              <w:suppressAutoHyphens/>
              <w:spacing w:before="0" w:after="160"/>
              <w:ind w:left="171" w:hanging="142"/>
              <w:contextualSpacing/>
              <w:jc w:val="left"/>
            </w:pPr>
            <w:r>
              <w:t>Nevyhovující současný stav Baťova areálu a dalších nevyužívaných lokalit</w:t>
            </w:r>
            <w:r w:rsidR="007A5819">
              <w:t>.</w:t>
            </w:r>
          </w:p>
          <w:p w14:paraId="791CCF8A" w14:textId="1298ED22" w:rsidR="00954688" w:rsidRDefault="00954688" w:rsidP="00954688">
            <w:pPr>
              <w:numPr>
                <w:ilvl w:val="0"/>
                <w:numId w:val="12"/>
              </w:numPr>
              <w:suppressAutoHyphens/>
              <w:spacing w:before="0" w:after="160"/>
              <w:ind w:left="171" w:hanging="142"/>
              <w:contextualSpacing/>
              <w:jc w:val="left"/>
              <w:rPr>
                <w:szCs w:val="24"/>
              </w:rPr>
            </w:pPr>
            <w:r w:rsidRPr="00017A0A">
              <w:rPr>
                <w:szCs w:val="24"/>
              </w:rPr>
              <w:t>Chyb</w:t>
            </w:r>
            <w:r>
              <w:rPr>
                <w:rFonts w:hint="eastAsia"/>
                <w:szCs w:val="24"/>
              </w:rPr>
              <w:t>ějící</w:t>
            </w:r>
            <w:r w:rsidRPr="00017A0A">
              <w:rPr>
                <w:szCs w:val="24"/>
              </w:rPr>
              <w:t xml:space="preserve"> atraktivn</w:t>
            </w:r>
            <w:r w:rsidRPr="00017A0A">
              <w:rPr>
                <w:rFonts w:hint="eastAsia"/>
                <w:szCs w:val="24"/>
              </w:rPr>
              <w:t>í</w:t>
            </w:r>
            <w:r w:rsidRPr="00017A0A">
              <w:rPr>
                <w:szCs w:val="24"/>
              </w:rPr>
              <w:t xml:space="preserve"> brand destinace</w:t>
            </w:r>
            <w:r w:rsidR="007A5819">
              <w:rPr>
                <w:szCs w:val="24"/>
              </w:rPr>
              <w:t>.</w:t>
            </w:r>
          </w:p>
          <w:p w14:paraId="6152CF80" w14:textId="0FCDDDB6" w:rsidR="00954688" w:rsidRPr="00622470" w:rsidRDefault="00954688" w:rsidP="00954688">
            <w:pPr>
              <w:numPr>
                <w:ilvl w:val="0"/>
                <w:numId w:val="12"/>
              </w:numPr>
              <w:suppressAutoHyphens/>
              <w:spacing w:before="0" w:after="160"/>
              <w:ind w:left="171" w:hanging="142"/>
              <w:contextualSpacing/>
              <w:jc w:val="left"/>
              <w:rPr>
                <w:szCs w:val="24"/>
              </w:rPr>
            </w:pPr>
            <w:r>
              <w:rPr>
                <w:szCs w:val="24"/>
              </w:rPr>
              <w:t>Chybějící</w:t>
            </w:r>
            <w:r w:rsidRPr="00017A0A">
              <w:rPr>
                <w:szCs w:val="24"/>
              </w:rPr>
              <w:t xml:space="preserve"> jednoduché produkty typu City Card </w:t>
            </w:r>
            <w:r>
              <w:rPr>
                <w:szCs w:val="24"/>
              </w:rPr>
              <w:t>propojené se vstupem do atraktivit</w:t>
            </w:r>
            <w:r w:rsidR="007A5819">
              <w:rPr>
                <w:szCs w:val="24"/>
              </w:rPr>
              <w:t>.</w:t>
            </w:r>
          </w:p>
          <w:p w14:paraId="40EF50C5" w14:textId="472ED087" w:rsidR="00954688" w:rsidRDefault="00954688" w:rsidP="00954688">
            <w:pPr>
              <w:numPr>
                <w:ilvl w:val="0"/>
                <w:numId w:val="12"/>
              </w:numPr>
              <w:suppressAutoHyphens/>
              <w:spacing w:before="0" w:after="160"/>
              <w:ind w:left="171" w:hanging="142"/>
              <w:contextualSpacing/>
              <w:jc w:val="left"/>
              <w:rPr>
                <w:szCs w:val="24"/>
              </w:rPr>
            </w:pPr>
            <w:r w:rsidRPr="00017A0A">
              <w:t xml:space="preserve">Nedostatek parkovacích míst ve </w:t>
            </w:r>
            <w:r>
              <w:t>Zlíně a jeho okolí</w:t>
            </w:r>
            <w:r w:rsidRPr="00017A0A">
              <w:t xml:space="preserve"> s</w:t>
            </w:r>
            <w:r w:rsidR="007A5819">
              <w:t> </w:t>
            </w:r>
            <w:r w:rsidRPr="00017A0A">
              <w:t>předpoklady pro rozvoj turismu</w:t>
            </w:r>
            <w:r w:rsidR="007A5819">
              <w:t>.</w:t>
            </w:r>
          </w:p>
          <w:p w14:paraId="37FA654A" w14:textId="4D4D7FB9" w:rsidR="00954688" w:rsidRPr="00017A0A" w:rsidRDefault="00954688" w:rsidP="00954688">
            <w:pPr>
              <w:numPr>
                <w:ilvl w:val="0"/>
                <w:numId w:val="12"/>
              </w:numPr>
              <w:suppressAutoHyphens/>
              <w:spacing w:before="0" w:after="160"/>
              <w:ind w:left="171" w:hanging="142"/>
              <w:contextualSpacing/>
              <w:jc w:val="left"/>
              <w:rPr>
                <w:szCs w:val="24"/>
              </w:rPr>
            </w:pPr>
            <w:r w:rsidRPr="00017A0A">
              <w:t>Nedokončená síť cyklostezek v</w:t>
            </w:r>
            <w:r w:rsidR="007A5819">
              <w:t> </w:t>
            </w:r>
            <w:r w:rsidRPr="00017A0A">
              <w:t>regionu</w:t>
            </w:r>
            <w:r w:rsidR="007A5819">
              <w:t>.</w:t>
            </w:r>
          </w:p>
        </w:tc>
      </w:tr>
    </w:tbl>
    <w:p w14:paraId="2D2BF64B" w14:textId="77777777" w:rsidR="00954688" w:rsidRDefault="00954688" w:rsidP="00954688"/>
    <w:tbl>
      <w:tblPr>
        <w:tblStyle w:val="Mkatabulky1"/>
        <w:tblW w:w="0" w:type="auto"/>
        <w:tblLook w:val="04A0" w:firstRow="1" w:lastRow="0" w:firstColumn="1" w:lastColumn="0" w:noHBand="0" w:noVBand="1"/>
      </w:tblPr>
      <w:tblGrid>
        <w:gridCol w:w="4534"/>
        <w:gridCol w:w="4528"/>
      </w:tblGrid>
      <w:tr w:rsidR="00954688" w:rsidRPr="00BC1A35" w14:paraId="0CC82FEB" w14:textId="77777777" w:rsidTr="000C49A5">
        <w:trPr>
          <w:cantSplit/>
          <w:tblHeader/>
        </w:trPr>
        <w:tc>
          <w:tcPr>
            <w:tcW w:w="4535" w:type="dxa"/>
            <w:shd w:val="clear" w:color="auto" w:fill="F79646"/>
          </w:tcPr>
          <w:p w14:paraId="0A945D43" w14:textId="77777777" w:rsidR="00954688" w:rsidRPr="00BC1A35" w:rsidRDefault="00954688" w:rsidP="000C49A5">
            <w:pPr>
              <w:spacing w:before="0"/>
              <w:jc w:val="center"/>
              <w:rPr>
                <w:b/>
                <w:szCs w:val="24"/>
              </w:rPr>
            </w:pPr>
            <w:r w:rsidRPr="00BC1A35">
              <w:rPr>
                <w:b/>
                <w:szCs w:val="24"/>
              </w:rPr>
              <w:lastRenderedPageBreak/>
              <w:t>PŘÍLEŽITOSTI</w:t>
            </w:r>
          </w:p>
        </w:tc>
        <w:tc>
          <w:tcPr>
            <w:tcW w:w="4528" w:type="dxa"/>
            <w:shd w:val="clear" w:color="auto" w:fill="B2A1C7"/>
          </w:tcPr>
          <w:p w14:paraId="78CA87C9" w14:textId="77777777" w:rsidR="00954688" w:rsidRPr="00BC1A35" w:rsidRDefault="00954688" w:rsidP="000C49A5">
            <w:pPr>
              <w:spacing w:before="0"/>
              <w:jc w:val="center"/>
              <w:rPr>
                <w:b/>
                <w:szCs w:val="24"/>
              </w:rPr>
            </w:pPr>
            <w:r w:rsidRPr="00BC1A35">
              <w:rPr>
                <w:b/>
                <w:szCs w:val="24"/>
              </w:rPr>
              <w:t>HROZBY</w:t>
            </w:r>
          </w:p>
        </w:tc>
      </w:tr>
      <w:tr w:rsidR="00954688" w:rsidRPr="00BC1A35" w14:paraId="764D4A8B" w14:textId="77777777" w:rsidTr="000C49A5">
        <w:trPr>
          <w:cantSplit/>
          <w:trHeight w:val="4484"/>
        </w:trPr>
        <w:tc>
          <w:tcPr>
            <w:tcW w:w="4535" w:type="dxa"/>
            <w:shd w:val="clear" w:color="auto" w:fill="FEF7CE"/>
          </w:tcPr>
          <w:p w14:paraId="76E3149F" w14:textId="77777777" w:rsidR="00954688" w:rsidRDefault="00954688" w:rsidP="000C49A5">
            <w:pPr>
              <w:suppressAutoHyphens/>
              <w:spacing w:before="0"/>
              <w:ind w:left="171"/>
              <w:contextualSpacing/>
              <w:jc w:val="left"/>
              <w:rPr>
                <w:szCs w:val="24"/>
                <w:highlight w:val="yellow"/>
              </w:rPr>
            </w:pPr>
          </w:p>
          <w:p w14:paraId="009B1831" w14:textId="403BC6DE" w:rsidR="00954688" w:rsidRPr="0055375C" w:rsidRDefault="00335785" w:rsidP="00A55F7D">
            <w:pPr>
              <w:pStyle w:val="Default"/>
              <w:numPr>
                <w:ilvl w:val="0"/>
                <w:numId w:val="54"/>
              </w:numPr>
              <w:ind w:left="171" w:hanging="171"/>
              <w:rPr>
                <w:color w:val="auto"/>
                <w:sz w:val="20"/>
                <w:szCs w:val="20"/>
              </w:rPr>
            </w:pPr>
            <w:r w:rsidRPr="00335785">
              <w:rPr>
                <w:rFonts w:cs="Times New Roman"/>
                <w:color w:val="auto"/>
                <w:sz w:val="20"/>
                <w:szCs w:val="20"/>
              </w:rPr>
              <w:t>Využití potenciálu konceptu inteligentní specializace v souladu s definovanými doménami specializace Zlínského kraje, tj. specializace na progresivní design produktů, technologií a procesů s důrazem na audiovizuální tvorbu, specializace na aplikaci polymerů v cirkulární ekonomice, specializace na inovace v konstrukčních činnostech s důrazem na letectví a strojírenství a specializace na informační, řídicí a bezpečnostní systémy</w:t>
            </w:r>
            <w:r w:rsidR="007A5819">
              <w:rPr>
                <w:rStyle w:val="Siln"/>
                <w:b w:val="0"/>
                <w:sz w:val="18"/>
                <w:szCs w:val="18"/>
              </w:rPr>
              <w:t>.</w:t>
            </w:r>
          </w:p>
          <w:p w14:paraId="58FBD02A" w14:textId="006E3B72" w:rsidR="00954688" w:rsidRPr="002A1EC8" w:rsidRDefault="00954688" w:rsidP="00954688">
            <w:pPr>
              <w:pStyle w:val="Odstavecseseznamem"/>
              <w:numPr>
                <w:ilvl w:val="0"/>
                <w:numId w:val="12"/>
              </w:numPr>
              <w:suppressAutoHyphens/>
              <w:spacing w:before="0" w:after="160"/>
              <w:ind w:left="171" w:hanging="142"/>
              <w:jc w:val="left"/>
              <w:rPr>
                <w:szCs w:val="24"/>
              </w:rPr>
            </w:pPr>
            <w:r>
              <w:t>Využití potenciálu rozvoje pro městskou poznávací turistiku v evropském kontextu</w:t>
            </w:r>
            <w:r w:rsidR="007A5819">
              <w:t>.</w:t>
            </w:r>
          </w:p>
          <w:p w14:paraId="4F6DB639" w14:textId="1FEB2A54" w:rsidR="00954688" w:rsidRPr="00CF38BC" w:rsidRDefault="00954688" w:rsidP="00954688">
            <w:pPr>
              <w:pStyle w:val="Odstavecseseznamem"/>
              <w:numPr>
                <w:ilvl w:val="0"/>
                <w:numId w:val="12"/>
              </w:numPr>
              <w:suppressAutoHyphens/>
              <w:spacing w:before="0" w:after="160"/>
              <w:ind w:left="171" w:hanging="142"/>
              <w:jc w:val="left"/>
            </w:pPr>
            <w:r>
              <w:t xml:space="preserve">Budování </w:t>
            </w:r>
            <w:r w:rsidRPr="00817A33">
              <w:t xml:space="preserve">silné značky </w:t>
            </w:r>
            <w:r>
              <w:t xml:space="preserve">města a její jedinečné </w:t>
            </w:r>
            <w:r w:rsidRPr="00817A33">
              <w:t>postavení na trhu</w:t>
            </w:r>
            <w:r w:rsidR="007A5819">
              <w:t>.</w:t>
            </w:r>
          </w:p>
          <w:p w14:paraId="3EF47B47" w14:textId="1BC3AEE9" w:rsidR="00954688" w:rsidRPr="0086029B" w:rsidRDefault="00954688" w:rsidP="00954688">
            <w:pPr>
              <w:pStyle w:val="Odstavecseseznamem"/>
              <w:numPr>
                <w:ilvl w:val="0"/>
                <w:numId w:val="12"/>
              </w:numPr>
              <w:suppressAutoHyphens/>
              <w:spacing w:before="0" w:after="160"/>
              <w:ind w:left="171" w:hanging="142"/>
              <w:jc w:val="left"/>
            </w:pPr>
            <w:r>
              <w:rPr>
                <w:szCs w:val="24"/>
              </w:rPr>
              <w:t>Posílení strategického řízení města</w:t>
            </w:r>
            <w:r w:rsidR="007A5819">
              <w:rPr>
                <w:szCs w:val="24"/>
              </w:rPr>
              <w:t>.</w:t>
            </w:r>
          </w:p>
          <w:p w14:paraId="442A3313" w14:textId="700552A4" w:rsidR="00954688" w:rsidRPr="00CF38BC" w:rsidRDefault="00335785" w:rsidP="00954688">
            <w:pPr>
              <w:pStyle w:val="Odstavecseseznamem"/>
              <w:numPr>
                <w:ilvl w:val="0"/>
                <w:numId w:val="12"/>
              </w:numPr>
              <w:suppressAutoHyphens/>
              <w:spacing w:before="0" w:after="160"/>
              <w:ind w:left="171" w:hanging="142"/>
              <w:jc w:val="left"/>
            </w:pPr>
            <w:r w:rsidRPr="00335785">
              <w:rPr>
                <w:szCs w:val="24"/>
              </w:rPr>
              <w:t>Využití strategického nástroje ITI Zlínské aglomerace</w:t>
            </w:r>
            <w:r w:rsidR="007A5819">
              <w:rPr>
                <w:szCs w:val="24"/>
              </w:rPr>
              <w:t>.</w:t>
            </w:r>
          </w:p>
          <w:p w14:paraId="21F64967" w14:textId="12185C15" w:rsidR="00954688" w:rsidRDefault="00954688" w:rsidP="00954688">
            <w:pPr>
              <w:pStyle w:val="Odstavecseseznamem"/>
              <w:numPr>
                <w:ilvl w:val="0"/>
                <w:numId w:val="12"/>
              </w:numPr>
              <w:suppressAutoHyphens/>
              <w:spacing w:before="0" w:after="160"/>
              <w:ind w:left="171" w:hanging="142"/>
              <w:jc w:val="left"/>
            </w:pPr>
            <w:r>
              <w:t>Rozšíření</w:t>
            </w:r>
            <w:r w:rsidRPr="00CF38BC">
              <w:t xml:space="preserve"> systém</w:t>
            </w:r>
            <w:r>
              <w:t>u</w:t>
            </w:r>
            <w:r w:rsidRPr="00CF38BC">
              <w:t xml:space="preserve"> moderní elektronické komunikace s</w:t>
            </w:r>
            <w:r>
              <w:t> </w:t>
            </w:r>
            <w:r w:rsidRPr="00CF38BC">
              <w:t>občany</w:t>
            </w:r>
            <w:r>
              <w:t xml:space="preserve"> (podpora eGovernmentu)</w:t>
            </w:r>
            <w:r w:rsidR="007A5819">
              <w:t>.</w:t>
            </w:r>
          </w:p>
          <w:p w14:paraId="006AC4AC" w14:textId="208277B8" w:rsidR="00954688" w:rsidRPr="00CF38BC" w:rsidRDefault="00954688" w:rsidP="00954688">
            <w:pPr>
              <w:pStyle w:val="Odstavecseseznamem"/>
              <w:numPr>
                <w:ilvl w:val="0"/>
                <w:numId w:val="12"/>
              </w:numPr>
              <w:suppressAutoHyphens/>
              <w:spacing w:before="0" w:after="160"/>
              <w:ind w:left="171" w:hanging="142"/>
              <w:jc w:val="left"/>
            </w:pPr>
            <w:r>
              <w:t xml:space="preserve">Implementace prvků </w:t>
            </w:r>
            <w:r w:rsidR="007A5819">
              <w:t>Smart City</w:t>
            </w:r>
            <w:r>
              <w:t xml:space="preserve"> v řízení města</w:t>
            </w:r>
            <w:r w:rsidR="007A5819">
              <w:t>.</w:t>
            </w:r>
          </w:p>
          <w:p w14:paraId="1B079C34" w14:textId="1D5D2245" w:rsidR="00954688" w:rsidRPr="00E6665E" w:rsidRDefault="00954688" w:rsidP="00954688">
            <w:pPr>
              <w:pStyle w:val="Odstavecseseznamem"/>
              <w:numPr>
                <w:ilvl w:val="0"/>
                <w:numId w:val="12"/>
              </w:numPr>
              <w:suppressAutoHyphens/>
              <w:spacing w:before="0" w:after="160"/>
              <w:ind w:left="171" w:hanging="142"/>
              <w:jc w:val="left"/>
              <w:rPr>
                <w:szCs w:val="24"/>
              </w:rPr>
            </w:pPr>
            <w:r>
              <w:t>Vstřícný aktivní přístup k zahraničním kvalifikovaným pracovníkům</w:t>
            </w:r>
            <w:r w:rsidR="007A5819">
              <w:t>.</w:t>
            </w:r>
          </w:p>
          <w:p w14:paraId="0E0046B2" w14:textId="18F874CE" w:rsidR="00954688" w:rsidRPr="00B1472C" w:rsidRDefault="00954688" w:rsidP="00954688">
            <w:pPr>
              <w:pStyle w:val="Odstavecseseznamem"/>
              <w:numPr>
                <w:ilvl w:val="0"/>
                <w:numId w:val="12"/>
              </w:numPr>
              <w:suppressAutoHyphens/>
              <w:spacing w:before="0" w:after="160"/>
              <w:ind w:left="171" w:hanging="142"/>
              <w:jc w:val="left"/>
              <w:rPr>
                <w:szCs w:val="24"/>
              </w:rPr>
            </w:pPr>
            <w:r>
              <w:t>Rozšíření spolupráce</w:t>
            </w:r>
            <w:r w:rsidRPr="008F19C2">
              <w:t xml:space="preserve"> relevantních aktérů ke sjednocování propagovaných atraktivit</w:t>
            </w:r>
            <w:r w:rsidR="007A5819">
              <w:t>.</w:t>
            </w:r>
          </w:p>
        </w:tc>
        <w:tc>
          <w:tcPr>
            <w:tcW w:w="4528" w:type="dxa"/>
            <w:shd w:val="clear" w:color="auto" w:fill="E5DFEC"/>
          </w:tcPr>
          <w:p w14:paraId="3BA4C470" w14:textId="77777777" w:rsidR="00954688" w:rsidRPr="007C6AE7" w:rsidRDefault="00954688" w:rsidP="000C49A5">
            <w:pPr>
              <w:suppressAutoHyphens/>
              <w:spacing w:before="0"/>
              <w:ind w:left="173"/>
              <w:contextualSpacing/>
              <w:jc w:val="left"/>
              <w:rPr>
                <w:szCs w:val="24"/>
              </w:rPr>
            </w:pPr>
          </w:p>
          <w:p w14:paraId="3B10CD80" w14:textId="0EA5BE1C" w:rsidR="00954688" w:rsidRPr="009F7B36" w:rsidRDefault="00954688" w:rsidP="00954688">
            <w:pPr>
              <w:pStyle w:val="Odstavecseseznamem"/>
              <w:numPr>
                <w:ilvl w:val="0"/>
                <w:numId w:val="12"/>
              </w:numPr>
              <w:suppressAutoHyphens/>
              <w:spacing w:before="0" w:after="160"/>
              <w:ind w:left="171" w:hanging="142"/>
              <w:jc w:val="left"/>
            </w:pPr>
            <w:r>
              <w:t>Ekonomická recese s dopadem na r</w:t>
            </w:r>
            <w:r w:rsidRPr="00C13254">
              <w:rPr>
                <w:szCs w:val="18"/>
              </w:rPr>
              <w:t>ostoucí podíl nezaměstnaných osob</w:t>
            </w:r>
            <w:r w:rsidR="007A5819">
              <w:rPr>
                <w:szCs w:val="18"/>
              </w:rPr>
              <w:t>.</w:t>
            </w:r>
          </w:p>
          <w:p w14:paraId="0EA86A57" w14:textId="077ADF4A" w:rsidR="00954688" w:rsidRPr="0099743F" w:rsidRDefault="00954688" w:rsidP="00954688">
            <w:pPr>
              <w:pStyle w:val="Odstavecseseznamem"/>
              <w:numPr>
                <w:ilvl w:val="0"/>
                <w:numId w:val="12"/>
              </w:numPr>
              <w:suppressAutoHyphens/>
              <w:spacing w:before="0" w:after="160"/>
              <w:ind w:left="171" w:hanging="142"/>
              <w:jc w:val="left"/>
            </w:pPr>
            <w:r w:rsidRPr="00477842">
              <w:t xml:space="preserve">Snížení </w:t>
            </w:r>
            <w:r>
              <w:t>ekonomické síly území</w:t>
            </w:r>
            <w:r w:rsidR="007A5819">
              <w:t>.</w:t>
            </w:r>
          </w:p>
          <w:p w14:paraId="6E043FFA" w14:textId="157CEC0C" w:rsidR="00954688" w:rsidRPr="0099743F" w:rsidRDefault="00954688" w:rsidP="00954688">
            <w:pPr>
              <w:pStyle w:val="Odstavecseseznamem"/>
              <w:numPr>
                <w:ilvl w:val="0"/>
                <w:numId w:val="12"/>
              </w:numPr>
              <w:suppressAutoHyphens/>
              <w:spacing w:before="0" w:after="160"/>
              <w:ind w:left="171" w:hanging="142"/>
              <w:jc w:val="left"/>
            </w:pPr>
            <w:r>
              <w:t>Prohlubující se nesoulad</w:t>
            </w:r>
            <w:r w:rsidRPr="00477842">
              <w:t xml:space="preserve"> mezi vzděláním a</w:t>
            </w:r>
            <w:r w:rsidR="007A5819">
              <w:t> </w:t>
            </w:r>
            <w:r w:rsidRPr="00477842">
              <w:t>požadavky trhu práce</w:t>
            </w:r>
            <w:r w:rsidR="007A5819">
              <w:t>.</w:t>
            </w:r>
          </w:p>
          <w:p w14:paraId="341758C0" w14:textId="70C8E03F" w:rsidR="00954688" w:rsidRPr="0099743F" w:rsidRDefault="00954688" w:rsidP="00954688">
            <w:pPr>
              <w:pStyle w:val="Odstavecseseznamem"/>
              <w:numPr>
                <w:ilvl w:val="0"/>
                <w:numId w:val="12"/>
              </w:numPr>
              <w:suppressAutoHyphens/>
              <w:spacing w:before="0" w:after="160"/>
              <w:ind w:left="171" w:hanging="142"/>
              <w:jc w:val="left"/>
            </w:pPr>
            <w:r w:rsidRPr="00477842">
              <w:t>Nedostatek kvalifikované</w:t>
            </w:r>
            <w:r>
              <w:t xml:space="preserve"> pracovní síly</w:t>
            </w:r>
            <w:r w:rsidR="007A5819">
              <w:t>.</w:t>
            </w:r>
          </w:p>
          <w:p w14:paraId="7EB48C32" w14:textId="654FD462" w:rsidR="00954688" w:rsidRPr="00477842" w:rsidRDefault="00954688" w:rsidP="00954688">
            <w:pPr>
              <w:pStyle w:val="Odstavecseseznamem"/>
              <w:numPr>
                <w:ilvl w:val="0"/>
                <w:numId w:val="12"/>
              </w:numPr>
              <w:suppressAutoHyphens/>
              <w:spacing w:before="0" w:after="160"/>
              <w:ind w:left="171" w:hanging="142"/>
              <w:jc w:val="left"/>
            </w:pPr>
            <w:r w:rsidRPr="00477842">
              <w:t>Odchod velkých zaměstnavatelů</w:t>
            </w:r>
            <w:r w:rsidR="007A5819">
              <w:t>.</w:t>
            </w:r>
          </w:p>
          <w:p w14:paraId="6F73612F" w14:textId="4293AB69" w:rsidR="00954688" w:rsidRPr="00477842" w:rsidRDefault="00954688" w:rsidP="00954688">
            <w:pPr>
              <w:pStyle w:val="Odstavecseseznamem"/>
              <w:numPr>
                <w:ilvl w:val="0"/>
                <w:numId w:val="12"/>
              </w:numPr>
              <w:suppressAutoHyphens/>
              <w:spacing w:before="0" w:after="160"/>
              <w:ind w:left="171" w:hanging="142"/>
              <w:jc w:val="left"/>
            </w:pPr>
            <w:r>
              <w:t>Další snižování počtu přenocování ve městě</w:t>
            </w:r>
            <w:r w:rsidR="007A5819">
              <w:t>.</w:t>
            </w:r>
          </w:p>
          <w:p w14:paraId="38642E34" w14:textId="3623C5FE" w:rsidR="00954688" w:rsidRPr="00616857" w:rsidRDefault="00954688" w:rsidP="00954688">
            <w:pPr>
              <w:pStyle w:val="Odstavecseseznamem"/>
              <w:numPr>
                <w:ilvl w:val="0"/>
                <w:numId w:val="12"/>
              </w:numPr>
              <w:suppressAutoHyphens/>
              <w:spacing w:before="0" w:after="160"/>
              <w:ind w:left="171" w:hanging="142"/>
              <w:jc w:val="left"/>
            </w:pPr>
            <w:r>
              <w:t>Vyšší aktivita konkurenčních destinací</w:t>
            </w:r>
            <w:r w:rsidR="007A5819">
              <w:t>.</w:t>
            </w:r>
          </w:p>
        </w:tc>
      </w:tr>
    </w:tbl>
    <w:p w14:paraId="0E31A58B" w14:textId="77777777" w:rsidR="00954688" w:rsidRPr="00BA095A" w:rsidRDefault="00954688" w:rsidP="00954688"/>
    <w:p w14:paraId="3E94DDCA" w14:textId="030A76D8" w:rsidR="00E37D33" w:rsidRDefault="00E37D33" w:rsidP="00E37D33">
      <w:pPr>
        <w:spacing w:before="0" w:after="160" w:line="259" w:lineRule="auto"/>
        <w:jc w:val="left"/>
      </w:pPr>
      <w:r>
        <w:br w:type="page"/>
      </w:r>
    </w:p>
    <w:p w14:paraId="3C09448B" w14:textId="77777777" w:rsidR="006F3CC1" w:rsidRDefault="006F3CC1" w:rsidP="006F3CC1">
      <w:pPr>
        <w:pStyle w:val="Nadpis2"/>
      </w:pPr>
      <w:bookmarkStart w:id="509" w:name="_Toc77074611"/>
      <w:r>
        <w:lastRenderedPageBreak/>
        <w:t>Příloha kapitoly Kvalita života</w:t>
      </w:r>
      <w:bookmarkEnd w:id="347"/>
      <w:bookmarkEnd w:id="509"/>
    </w:p>
    <w:p w14:paraId="14F10A25" w14:textId="0D6EB897" w:rsidR="00DC4A6C" w:rsidRDefault="00DC4A6C" w:rsidP="00DC4A6C">
      <w:pPr>
        <w:pStyle w:val="Titulek"/>
      </w:pPr>
      <w:bookmarkStart w:id="510" w:name="_Toc53037897"/>
      <w:bookmarkStart w:id="511" w:name="_Toc77074756"/>
      <w:bookmarkStart w:id="512" w:name="_Toc50468200"/>
      <w:r w:rsidRPr="002659A5">
        <w:t xml:space="preserve">Tabulka </w:t>
      </w:r>
      <w:r w:rsidR="00C032A5">
        <w:rPr>
          <w:noProof/>
        </w:rPr>
        <w:fldChar w:fldCharType="begin"/>
      </w:r>
      <w:r w:rsidR="00C032A5">
        <w:rPr>
          <w:noProof/>
        </w:rPr>
        <w:instrText xml:space="preserve"> STYLEREF 1 \s </w:instrText>
      </w:r>
      <w:r w:rsidR="00C032A5">
        <w:rPr>
          <w:noProof/>
        </w:rPr>
        <w:fldChar w:fldCharType="separate"/>
      </w:r>
      <w:r w:rsidR="00332A29">
        <w:rPr>
          <w:noProof/>
        </w:rPr>
        <w:t>1</w:t>
      </w:r>
      <w:r w:rsidR="00C032A5">
        <w:rPr>
          <w:noProof/>
        </w:rPr>
        <w:fldChar w:fldCharType="end"/>
      </w:r>
      <w:r w:rsidR="00DC277C" w:rsidRPr="002659A5">
        <w:t>.</w:t>
      </w:r>
      <w:r w:rsidR="00C032A5">
        <w:rPr>
          <w:noProof/>
        </w:rPr>
        <w:fldChar w:fldCharType="begin"/>
      </w:r>
      <w:r w:rsidR="00C032A5">
        <w:rPr>
          <w:noProof/>
        </w:rPr>
        <w:instrText xml:space="preserve"> SEQ Tabulka \* ARABIC \s 1 </w:instrText>
      </w:r>
      <w:r w:rsidR="00C032A5">
        <w:rPr>
          <w:noProof/>
        </w:rPr>
        <w:fldChar w:fldCharType="separate"/>
      </w:r>
      <w:r w:rsidR="00332A29">
        <w:rPr>
          <w:noProof/>
        </w:rPr>
        <w:t>76</w:t>
      </w:r>
      <w:r w:rsidR="00C032A5">
        <w:rPr>
          <w:noProof/>
        </w:rPr>
        <w:fldChar w:fldCharType="end"/>
      </w:r>
      <w:r w:rsidR="007A5819" w:rsidRPr="002659A5">
        <w:rPr>
          <w:noProof/>
        </w:rPr>
        <w:t>:</w:t>
      </w:r>
      <w:r w:rsidRPr="002659A5">
        <w:t xml:space="preserve"> Seznam organizací, které poskytovaly sociální služby občanům statutárního města Zlína v roce 2019</w:t>
      </w:r>
      <w:bookmarkEnd w:id="510"/>
      <w:bookmarkEnd w:id="511"/>
    </w:p>
    <w:tbl>
      <w:tblPr>
        <w:tblW w:w="9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6"/>
        <w:gridCol w:w="2410"/>
        <w:gridCol w:w="992"/>
        <w:gridCol w:w="1276"/>
        <w:gridCol w:w="1353"/>
        <w:gridCol w:w="700"/>
        <w:gridCol w:w="638"/>
      </w:tblGrid>
      <w:tr w:rsidR="00FB35A4" w:rsidRPr="00257A1C" w14:paraId="633BA003" w14:textId="77777777" w:rsidTr="00FB35A4">
        <w:trPr>
          <w:trHeight w:val="645"/>
        </w:trPr>
        <w:tc>
          <w:tcPr>
            <w:tcW w:w="1696" w:type="dxa"/>
            <w:shd w:val="clear" w:color="000000" w:fill="D9E1F2"/>
            <w:vAlign w:val="center"/>
            <w:hideMark/>
          </w:tcPr>
          <w:p w14:paraId="2C0C6F9F" w14:textId="77777777" w:rsidR="00FB35A4" w:rsidRPr="00257A1C" w:rsidRDefault="00FB35A4" w:rsidP="00FB35A4">
            <w:pPr>
              <w:spacing w:before="0"/>
              <w:jc w:val="center"/>
              <w:rPr>
                <w:rFonts w:asciiTheme="majorHAnsi" w:eastAsia="Times New Roman" w:hAnsiTheme="majorHAnsi" w:cstheme="majorHAnsi"/>
                <w:b/>
                <w:bCs/>
                <w:color w:val="000000"/>
                <w:sz w:val="16"/>
                <w:szCs w:val="16"/>
                <w:lang w:eastAsia="cs-CZ"/>
              </w:rPr>
            </w:pPr>
            <w:r w:rsidRPr="00257A1C">
              <w:rPr>
                <w:rFonts w:asciiTheme="majorHAnsi" w:eastAsia="Times New Roman" w:hAnsiTheme="majorHAnsi" w:cstheme="majorHAnsi"/>
                <w:b/>
                <w:bCs/>
                <w:color w:val="000000"/>
                <w:sz w:val="16"/>
                <w:szCs w:val="16"/>
                <w:lang w:eastAsia="cs-CZ"/>
              </w:rPr>
              <w:t>Poskytovatel sociální služby</w:t>
            </w:r>
          </w:p>
        </w:tc>
        <w:tc>
          <w:tcPr>
            <w:tcW w:w="2410" w:type="dxa"/>
            <w:shd w:val="clear" w:color="000000" w:fill="D9E1F2"/>
            <w:vAlign w:val="center"/>
            <w:hideMark/>
          </w:tcPr>
          <w:p w14:paraId="7423011F" w14:textId="77777777" w:rsidR="00FB35A4" w:rsidRPr="00257A1C" w:rsidRDefault="00FB35A4" w:rsidP="00FB35A4">
            <w:pPr>
              <w:spacing w:before="0"/>
              <w:jc w:val="center"/>
              <w:rPr>
                <w:rFonts w:asciiTheme="majorHAnsi" w:eastAsia="Times New Roman" w:hAnsiTheme="majorHAnsi" w:cstheme="majorHAnsi"/>
                <w:b/>
                <w:bCs/>
                <w:color w:val="000000"/>
                <w:sz w:val="16"/>
                <w:szCs w:val="16"/>
                <w:lang w:eastAsia="cs-CZ"/>
              </w:rPr>
            </w:pPr>
            <w:r w:rsidRPr="00257A1C">
              <w:rPr>
                <w:rFonts w:asciiTheme="majorHAnsi" w:eastAsia="Times New Roman" w:hAnsiTheme="majorHAnsi" w:cstheme="majorHAnsi"/>
                <w:b/>
                <w:bCs/>
                <w:color w:val="000000"/>
                <w:sz w:val="16"/>
                <w:szCs w:val="16"/>
                <w:lang w:eastAsia="cs-CZ"/>
              </w:rPr>
              <w:t>Druh sociální služby dle zákona č. 108/2006 Sb.</w:t>
            </w:r>
          </w:p>
        </w:tc>
        <w:tc>
          <w:tcPr>
            <w:tcW w:w="992" w:type="dxa"/>
            <w:shd w:val="clear" w:color="000000" w:fill="D9E1F2"/>
            <w:vAlign w:val="center"/>
            <w:hideMark/>
          </w:tcPr>
          <w:p w14:paraId="7DEF04B5" w14:textId="77777777" w:rsidR="00FB35A4" w:rsidRPr="00257A1C" w:rsidRDefault="00FB35A4" w:rsidP="00FB35A4">
            <w:pPr>
              <w:spacing w:before="0"/>
              <w:jc w:val="center"/>
              <w:rPr>
                <w:rFonts w:asciiTheme="majorHAnsi" w:eastAsia="Times New Roman" w:hAnsiTheme="majorHAnsi" w:cstheme="majorHAnsi"/>
                <w:b/>
                <w:bCs/>
                <w:color w:val="000000"/>
                <w:sz w:val="16"/>
                <w:szCs w:val="16"/>
                <w:lang w:eastAsia="cs-CZ"/>
              </w:rPr>
            </w:pPr>
            <w:r w:rsidRPr="00257A1C">
              <w:rPr>
                <w:rFonts w:asciiTheme="majorHAnsi" w:eastAsia="Times New Roman" w:hAnsiTheme="majorHAnsi" w:cstheme="majorHAnsi"/>
                <w:b/>
                <w:bCs/>
                <w:color w:val="000000"/>
                <w:sz w:val="16"/>
                <w:szCs w:val="16"/>
                <w:u w:val="single"/>
                <w:lang w:eastAsia="cs-CZ"/>
              </w:rPr>
              <w:t>Převažující</w:t>
            </w:r>
            <w:r w:rsidRPr="00257A1C">
              <w:rPr>
                <w:rFonts w:asciiTheme="majorHAnsi" w:eastAsia="Times New Roman" w:hAnsiTheme="majorHAnsi" w:cstheme="majorHAnsi"/>
                <w:b/>
                <w:bCs/>
                <w:color w:val="000000"/>
                <w:sz w:val="16"/>
                <w:szCs w:val="16"/>
                <w:lang w:eastAsia="cs-CZ"/>
              </w:rPr>
              <w:t xml:space="preserve"> forma služby</w:t>
            </w:r>
          </w:p>
        </w:tc>
        <w:tc>
          <w:tcPr>
            <w:tcW w:w="1276" w:type="dxa"/>
            <w:shd w:val="clear" w:color="000000" w:fill="D9E1F2"/>
            <w:vAlign w:val="center"/>
            <w:hideMark/>
          </w:tcPr>
          <w:p w14:paraId="55949D19" w14:textId="77777777" w:rsidR="00FB35A4" w:rsidRPr="00257A1C" w:rsidRDefault="00FB35A4" w:rsidP="00FB35A4">
            <w:pPr>
              <w:spacing w:before="0"/>
              <w:jc w:val="center"/>
              <w:rPr>
                <w:rFonts w:asciiTheme="majorHAnsi" w:eastAsia="Times New Roman" w:hAnsiTheme="majorHAnsi" w:cstheme="majorHAnsi"/>
                <w:b/>
                <w:bCs/>
                <w:color w:val="000000"/>
                <w:sz w:val="16"/>
                <w:szCs w:val="16"/>
                <w:lang w:eastAsia="cs-CZ"/>
              </w:rPr>
            </w:pPr>
            <w:r w:rsidRPr="00257A1C">
              <w:rPr>
                <w:rFonts w:asciiTheme="majorHAnsi" w:eastAsia="Times New Roman" w:hAnsiTheme="majorHAnsi" w:cstheme="majorHAnsi"/>
                <w:b/>
                <w:bCs/>
                <w:color w:val="000000"/>
                <w:sz w:val="16"/>
                <w:szCs w:val="16"/>
                <w:u w:val="single"/>
                <w:lang w:eastAsia="cs-CZ"/>
              </w:rPr>
              <w:t>Převažujíc</w:t>
            </w:r>
            <w:r w:rsidRPr="00257A1C">
              <w:rPr>
                <w:rFonts w:asciiTheme="majorHAnsi" w:eastAsia="Times New Roman" w:hAnsiTheme="majorHAnsi" w:cstheme="majorHAnsi"/>
                <w:b/>
                <w:bCs/>
                <w:color w:val="000000"/>
                <w:sz w:val="16"/>
                <w:szCs w:val="16"/>
                <w:lang w:eastAsia="cs-CZ"/>
              </w:rPr>
              <w:t xml:space="preserve">í cílová skupina </w:t>
            </w:r>
          </w:p>
        </w:tc>
        <w:tc>
          <w:tcPr>
            <w:tcW w:w="1353" w:type="dxa"/>
            <w:shd w:val="clear" w:color="000000" w:fill="D9E1F2"/>
            <w:vAlign w:val="center"/>
            <w:hideMark/>
          </w:tcPr>
          <w:p w14:paraId="415B9FF9" w14:textId="77777777" w:rsidR="00FB35A4" w:rsidRPr="00257A1C" w:rsidRDefault="00FB35A4" w:rsidP="00FB35A4">
            <w:pPr>
              <w:spacing w:before="0"/>
              <w:jc w:val="center"/>
              <w:rPr>
                <w:rFonts w:asciiTheme="majorHAnsi" w:eastAsia="Times New Roman" w:hAnsiTheme="majorHAnsi" w:cstheme="majorHAnsi"/>
                <w:b/>
                <w:bCs/>
                <w:color w:val="000000"/>
                <w:sz w:val="16"/>
                <w:szCs w:val="16"/>
                <w:lang w:eastAsia="cs-CZ"/>
              </w:rPr>
            </w:pPr>
            <w:r w:rsidRPr="00257A1C">
              <w:rPr>
                <w:rFonts w:asciiTheme="majorHAnsi" w:eastAsia="Times New Roman" w:hAnsiTheme="majorHAnsi" w:cstheme="majorHAnsi"/>
                <w:b/>
                <w:bCs/>
                <w:color w:val="000000"/>
                <w:sz w:val="16"/>
                <w:szCs w:val="16"/>
                <w:lang w:eastAsia="cs-CZ"/>
              </w:rPr>
              <w:t>Kapacita sociální služby dle registru sociálních služeb (MPSV)</w:t>
            </w:r>
          </w:p>
        </w:tc>
        <w:tc>
          <w:tcPr>
            <w:tcW w:w="700" w:type="dxa"/>
            <w:shd w:val="clear" w:color="000000" w:fill="D9E1F2"/>
            <w:vAlign w:val="center"/>
            <w:hideMark/>
          </w:tcPr>
          <w:p w14:paraId="7314EFC4" w14:textId="53E99C0A" w:rsidR="00FB35A4" w:rsidRPr="00257A1C" w:rsidRDefault="00FB35A4" w:rsidP="00195223">
            <w:pPr>
              <w:spacing w:before="0"/>
              <w:jc w:val="center"/>
              <w:rPr>
                <w:rFonts w:asciiTheme="majorHAnsi" w:eastAsia="Times New Roman" w:hAnsiTheme="majorHAnsi" w:cstheme="majorHAnsi"/>
                <w:b/>
                <w:bCs/>
                <w:color w:val="000000"/>
                <w:sz w:val="16"/>
                <w:szCs w:val="16"/>
                <w:lang w:eastAsia="cs-CZ"/>
              </w:rPr>
            </w:pPr>
            <w:r w:rsidRPr="00257A1C">
              <w:rPr>
                <w:rFonts w:asciiTheme="majorHAnsi" w:eastAsia="Times New Roman" w:hAnsiTheme="majorHAnsi" w:cstheme="majorHAnsi"/>
                <w:b/>
                <w:bCs/>
                <w:color w:val="000000"/>
                <w:sz w:val="16"/>
                <w:szCs w:val="16"/>
                <w:lang w:eastAsia="cs-CZ"/>
              </w:rPr>
              <w:t>Celková kapacita sociální služby</w:t>
            </w:r>
            <w:r>
              <w:rPr>
                <w:rStyle w:val="Znakapoznpodarou"/>
                <w:rFonts w:asciiTheme="majorHAnsi" w:eastAsia="Times New Roman" w:hAnsiTheme="majorHAnsi" w:cstheme="majorHAnsi"/>
                <w:b/>
                <w:bCs/>
                <w:color w:val="000000"/>
                <w:sz w:val="16"/>
                <w:szCs w:val="16"/>
                <w:lang w:eastAsia="cs-CZ"/>
              </w:rPr>
              <w:footnoteReference w:id="107"/>
            </w:r>
          </w:p>
        </w:tc>
        <w:tc>
          <w:tcPr>
            <w:tcW w:w="638" w:type="dxa"/>
            <w:shd w:val="clear" w:color="000000" w:fill="D9E1F2"/>
            <w:vAlign w:val="center"/>
            <w:hideMark/>
          </w:tcPr>
          <w:p w14:paraId="053F2A04" w14:textId="441410F0" w:rsidR="00FB35A4" w:rsidRPr="00257A1C" w:rsidRDefault="00FB35A4" w:rsidP="00195223">
            <w:pPr>
              <w:spacing w:before="0"/>
              <w:jc w:val="center"/>
              <w:rPr>
                <w:rFonts w:asciiTheme="majorHAnsi" w:eastAsia="Times New Roman" w:hAnsiTheme="majorHAnsi" w:cstheme="majorHAnsi"/>
                <w:b/>
                <w:bCs/>
                <w:color w:val="000000"/>
                <w:sz w:val="16"/>
                <w:szCs w:val="16"/>
                <w:lang w:eastAsia="cs-CZ"/>
              </w:rPr>
            </w:pPr>
            <w:r w:rsidRPr="00257A1C">
              <w:rPr>
                <w:rFonts w:asciiTheme="majorHAnsi" w:eastAsia="Times New Roman" w:hAnsiTheme="majorHAnsi" w:cstheme="majorHAnsi"/>
                <w:b/>
                <w:bCs/>
                <w:color w:val="000000"/>
                <w:sz w:val="16"/>
                <w:szCs w:val="16"/>
                <w:lang w:eastAsia="cs-CZ"/>
              </w:rPr>
              <w:t>Využití služby občany Zlína</w:t>
            </w:r>
            <w:r w:rsidRPr="00FB35A4">
              <w:rPr>
                <w:rFonts w:asciiTheme="majorHAnsi" w:eastAsia="Times New Roman" w:hAnsiTheme="majorHAnsi" w:cstheme="majorHAnsi"/>
                <w:bCs/>
                <w:color w:val="000000"/>
                <w:sz w:val="16"/>
                <w:szCs w:val="16"/>
                <w:vertAlign w:val="superscript"/>
                <w:lang w:eastAsia="cs-CZ"/>
              </w:rPr>
              <w:t>106</w:t>
            </w:r>
          </w:p>
        </w:tc>
      </w:tr>
      <w:tr w:rsidR="00FB35A4" w:rsidRPr="00257A1C" w14:paraId="42B3D977" w14:textId="77777777" w:rsidTr="00FB35A4">
        <w:trPr>
          <w:trHeight w:val="110"/>
        </w:trPr>
        <w:tc>
          <w:tcPr>
            <w:tcW w:w="1696" w:type="dxa"/>
            <w:shd w:val="clear" w:color="auto" w:fill="auto"/>
            <w:vAlign w:val="center"/>
            <w:hideMark/>
          </w:tcPr>
          <w:p w14:paraId="017674A7"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ABAPO, s.r.o.</w:t>
            </w:r>
          </w:p>
        </w:tc>
        <w:tc>
          <w:tcPr>
            <w:tcW w:w="2410" w:type="dxa"/>
            <w:shd w:val="clear" w:color="000000" w:fill="FFFFFF"/>
            <w:vAlign w:val="center"/>
            <w:hideMark/>
          </w:tcPr>
          <w:p w14:paraId="3865CAD0"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Osobní asistence</w:t>
            </w:r>
          </w:p>
        </w:tc>
        <w:tc>
          <w:tcPr>
            <w:tcW w:w="992" w:type="dxa"/>
            <w:shd w:val="clear" w:color="000000" w:fill="FFFFFF"/>
            <w:noWrap/>
            <w:vAlign w:val="center"/>
            <w:hideMark/>
          </w:tcPr>
          <w:p w14:paraId="3422647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26759C9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0905723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 osob/ okamžik</w:t>
            </w:r>
          </w:p>
        </w:tc>
        <w:tc>
          <w:tcPr>
            <w:tcW w:w="700" w:type="dxa"/>
            <w:shd w:val="clear" w:color="000000" w:fill="FFFFFF"/>
            <w:vAlign w:val="center"/>
            <w:hideMark/>
          </w:tcPr>
          <w:p w14:paraId="30FBC9F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107</w:t>
            </w:r>
          </w:p>
        </w:tc>
        <w:tc>
          <w:tcPr>
            <w:tcW w:w="638" w:type="dxa"/>
            <w:shd w:val="clear" w:color="000000" w:fill="FFFFFF"/>
            <w:vAlign w:val="center"/>
            <w:hideMark/>
          </w:tcPr>
          <w:p w14:paraId="46804A6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102</w:t>
            </w:r>
          </w:p>
        </w:tc>
      </w:tr>
      <w:tr w:rsidR="00FB35A4" w:rsidRPr="00257A1C" w14:paraId="58DDB0E2" w14:textId="77777777" w:rsidTr="00FB35A4">
        <w:trPr>
          <w:trHeight w:val="780"/>
        </w:trPr>
        <w:tc>
          <w:tcPr>
            <w:tcW w:w="1696" w:type="dxa"/>
            <w:shd w:val="clear" w:color="auto" w:fill="auto"/>
            <w:vAlign w:val="center"/>
            <w:hideMark/>
          </w:tcPr>
          <w:p w14:paraId="08AA87F8"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Alzheimercentrum z.ú..</w:t>
            </w:r>
          </w:p>
        </w:tc>
        <w:tc>
          <w:tcPr>
            <w:tcW w:w="2410" w:type="dxa"/>
            <w:shd w:val="clear" w:color="000000" w:fill="FFFFFF"/>
            <w:vAlign w:val="center"/>
            <w:hideMark/>
          </w:tcPr>
          <w:p w14:paraId="112EF17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Alzheimerovou chorobou a jinými typy demence (081 a více lůžek)</w:t>
            </w:r>
          </w:p>
        </w:tc>
        <w:tc>
          <w:tcPr>
            <w:tcW w:w="992" w:type="dxa"/>
            <w:shd w:val="clear" w:color="000000" w:fill="FFFFFF"/>
            <w:noWrap/>
            <w:vAlign w:val="center"/>
            <w:hideMark/>
          </w:tcPr>
          <w:p w14:paraId="50F30B52"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17062A8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62991E9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156 lůžek</w:t>
            </w:r>
          </w:p>
        </w:tc>
        <w:tc>
          <w:tcPr>
            <w:tcW w:w="700" w:type="dxa"/>
            <w:shd w:val="clear" w:color="000000" w:fill="FFFFFF"/>
            <w:vAlign w:val="center"/>
            <w:hideMark/>
          </w:tcPr>
          <w:p w14:paraId="273708C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156</w:t>
            </w:r>
          </w:p>
        </w:tc>
        <w:tc>
          <w:tcPr>
            <w:tcW w:w="638" w:type="dxa"/>
            <w:shd w:val="clear" w:color="000000" w:fill="FFFFFF"/>
            <w:vAlign w:val="center"/>
            <w:hideMark/>
          </w:tcPr>
          <w:p w14:paraId="0559960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61</w:t>
            </w:r>
          </w:p>
        </w:tc>
      </w:tr>
      <w:tr w:rsidR="00FB35A4" w:rsidRPr="00257A1C" w14:paraId="0C8C15A5" w14:textId="77777777" w:rsidTr="00FB35A4">
        <w:trPr>
          <w:trHeight w:val="581"/>
        </w:trPr>
        <w:tc>
          <w:tcPr>
            <w:tcW w:w="1696" w:type="dxa"/>
            <w:shd w:val="clear" w:color="auto" w:fill="auto"/>
            <w:vAlign w:val="center"/>
            <w:hideMark/>
          </w:tcPr>
          <w:p w14:paraId="4BD7B13B"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Astras, o.p.s.</w:t>
            </w:r>
          </w:p>
        </w:tc>
        <w:tc>
          <w:tcPr>
            <w:tcW w:w="2410" w:type="dxa"/>
            <w:shd w:val="clear" w:color="000000" w:fill="FFFFFF"/>
            <w:vAlign w:val="center"/>
            <w:hideMark/>
          </w:tcPr>
          <w:p w14:paraId="2CB70A30"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Azylové domy – pro muže a ženy bez přístřeší</w:t>
            </w:r>
          </w:p>
        </w:tc>
        <w:tc>
          <w:tcPr>
            <w:tcW w:w="992" w:type="dxa"/>
            <w:shd w:val="clear" w:color="000000" w:fill="FFFFFF"/>
            <w:vAlign w:val="center"/>
            <w:hideMark/>
          </w:tcPr>
          <w:p w14:paraId="050EA08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1D31A47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147EB33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45 lůžek</w:t>
            </w:r>
          </w:p>
        </w:tc>
        <w:tc>
          <w:tcPr>
            <w:tcW w:w="700" w:type="dxa"/>
            <w:shd w:val="clear" w:color="000000" w:fill="FFFFFF"/>
            <w:vAlign w:val="center"/>
            <w:hideMark/>
          </w:tcPr>
          <w:p w14:paraId="5BADD38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86</w:t>
            </w:r>
          </w:p>
        </w:tc>
        <w:tc>
          <w:tcPr>
            <w:tcW w:w="638" w:type="dxa"/>
            <w:shd w:val="clear" w:color="000000" w:fill="FFFFFF"/>
            <w:vAlign w:val="center"/>
            <w:hideMark/>
          </w:tcPr>
          <w:p w14:paraId="369851E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w:t>
            </w:r>
          </w:p>
        </w:tc>
      </w:tr>
      <w:tr w:rsidR="00FB35A4" w:rsidRPr="00257A1C" w14:paraId="5BD836FA" w14:textId="77777777" w:rsidTr="00FB35A4">
        <w:trPr>
          <w:trHeight w:val="394"/>
        </w:trPr>
        <w:tc>
          <w:tcPr>
            <w:tcW w:w="1696" w:type="dxa"/>
            <w:shd w:val="clear" w:color="auto" w:fill="auto"/>
            <w:vAlign w:val="center"/>
            <w:hideMark/>
          </w:tcPr>
          <w:p w14:paraId="752709EB"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Azylový dům pro ženy a matky s dětmi o.p.s.</w:t>
            </w:r>
          </w:p>
        </w:tc>
        <w:tc>
          <w:tcPr>
            <w:tcW w:w="2410" w:type="dxa"/>
            <w:shd w:val="clear" w:color="000000" w:fill="FFFFFF"/>
            <w:vAlign w:val="center"/>
            <w:hideMark/>
          </w:tcPr>
          <w:p w14:paraId="75B4784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Sociálně aktivizační služby pro rodiny s dětmi</w:t>
            </w:r>
          </w:p>
        </w:tc>
        <w:tc>
          <w:tcPr>
            <w:tcW w:w="992" w:type="dxa"/>
            <w:shd w:val="clear" w:color="000000" w:fill="FFFFFF"/>
            <w:noWrap/>
            <w:vAlign w:val="center"/>
            <w:hideMark/>
          </w:tcPr>
          <w:p w14:paraId="27780C99"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43880F5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Rodiny s dětmi</w:t>
            </w:r>
          </w:p>
        </w:tc>
        <w:tc>
          <w:tcPr>
            <w:tcW w:w="1353" w:type="dxa"/>
            <w:shd w:val="clear" w:color="000000" w:fill="FFFFFF"/>
            <w:vAlign w:val="center"/>
            <w:hideMark/>
          </w:tcPr>
          <w:p w14:paraId="55C15A9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 osob/okamžik</w:t>
            </w:r>
          </w:p>
        </w:tc>
        <w:tc>
          <w:tcPr>
            <w:tcW w:w="700" w:type="dxa"/>
            <w:shd w:val="clear" w:color="000000" w:fill="FFFFFF"/>
            <w:vAlign w:val="center"/>
            <w:hideMark/>
          </w:tcPr>
          <w:p w14:paraId="75BC3DF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108</w:t>
            </w:r>
          </w:p>
        </w:tc>
        <w:tc>
          <w:tcPr>
            <w:tcW w:w="638" w:type="dxa"/>
            <w:shd w:val="clear" w:color="000000" w:fill="FFFFFF"/>
            <w:vAlign w:val="center"/>
            <w:hideMark/>
          </w:tcPr>
          <w:p w14:paraId="51A2565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80</w:t>
            </w:r>
          </w:p>
        </w:tc>
      </w:tr>
      <w:tr w:rsidR="00FB35A4" w:rsidRPr="00257A1C" w14:paraId="234DE047" w14:textId="77777777" w:rsidTr="00FB35A4">
        <w:trPr>
          <w:trHeight w:val="366"/>
        </w:trPr>
        <w:tc>
          <w:tcPr>
            <w:tcW w:w="1696" w:type="dxa"/>
            <w:vMerge w:val="restart"/>
            <w:shd w:val="clear" w:color="auto" w:fill="auto"/>
            <w:vAlign w:val="center"/>
            <w:hideMark/>
          </w:tcPr>
          <w:p w14:paraId="10C20511"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Centrum poradenství pro rodinné a partnerské vztahy, p.o.</w:t>
            </w:r>
          </w:p>
        </w:tc>
        <w:tc>
          <w:tcPr>
            <w:tcW w:w="2410" w:type="dxa"/>
            <w:shd w:val="clear" w:color="000000" w:fill="FFFFFF"/>
            <w:vAlign w:val="center"/>
            <w:hideMark/>
          </w:tcPr>
          <w:p w14:paraId="7E491465"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Intervenční centra</w:t>
            </w:r>
          </w:p>
        </w:tc>
        <w:tc>
          <w:tcPr>
            <w:tcW w:w="992" w:type="dxa"/>
            <w:shd w:val="clear" w:color="000000" w:fill="FFFFFF"/>
            <w:vAlign w:val="center"/>
            <w:hideMark/>
          </w:tcPr>
          <w:p w14:paraId="54A061DF"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27D7998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Rodiny s dětmi</w:t>
            </w:r>
          </w:p>
        </w:tc>
        <w:tc>
          <w:tcPr>
            <w:tcW w:w="1353" w:type="dxa"/>
            <w:shd w:val="clear" w:color="000000" w:fill="FFFFFF"/>
            <w:vAlign w:val="center"/>
            <w:hideMark/>
          </w:tcPr>
          <w:p w14:paraId="1529B10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16 intervencí (12 ambulantních, 4 terénní)</w:t>
            </w:r>
          </w:p>
        </w:tc>
        <w:tc>
          <w:tcPr>
            <w:tcW w:w="700" w:type="dxa"/>
            <w:shd w:val="clear" w:color="000000" w:fill="FFFFFF"/>
            <w:vAlign w:val="center"/>
            <w:hideMark/>
          </w:tcPr>
          <w:p w14:paraId="7B78287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376</w:t>
            </w:r>
          </w:p>
        </w:tc>
        <w:tc>
          <w:tcPr>
            <w:tcW w:w="638" w:type="dxa"/>
            <w:shd w:val="clear" w:color="000000" w:fill="FFFFFF"/>
            <w:vAlign w:val="center"/>
            <w:hideMark/>
          </w:tcPr>
          <w:p w14:paraId="4BB614E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94</w:t>
            </w:r>
          </w:p>
        </w:tc>
      </w:tr>
      <w:tr w:rsidR="00FB35A4" w:rsidRPr="00257A1C" w14:paraId="6387A0F3" w14:textId="77777777" w:rsidTr="00FB35A4">
        <w:trPr>
          <w:trHeight w:val="520"/>
        </w:trPr>
        <w:tc>
          <w:tcPr>
            <w:tcW w:w="1696" w:type="dxa"/>
            <w:vMerge/>
            <w:vAlign w:val="center"/>
            <w:hideMark/>
          </w:tcPr>
          <w:p w14:paraId="7DA1DA42"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453F0758"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1E098E11"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6F9BE682"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4AE6FC3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 intervencí (14 ambulatní, 7 terénních)</w:t>
            </w:r>
          </w:p>
        </w:tc>
        <w:tc>
          <w:tcPr>
            <w:tcW w:w="700" w:type="dxa"/>
            <w:shd w:val="clear" w:color="000000" w:fill="FFFFFF"/>
            <w:vAlign w:val="center"/>
            <w:hideMark/>
          </w:tcPr>
          <w:p w14:paraId="1A67A97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1871</w:t>
            </w:r>
          </w:p>
        </w:tc>
        <w:tc>
          <w:tcPr>
            <w:tcW w:w="638" w:type="dxa"/>
            <w:shd w:val="clear" w:color="000000" w:fill="FFFFFF"/>
            <w:vAlign w:val="center"/>
            <w:hideMark/>
          </w:tcPr>
          <w:p w14:paraId="15DD3D5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654</w:t>
            </w:r>
          </w:p>
        </w:tc>
      </w:tr>
      <w:tr w:rsidR="00FB35A4" w:rsidRPr="00257A1C" w14:paraId="4C0CD187" w14:textId="77777777" w:rsidTr="00FB35A4">
        <w:trPr>
          <w:trHeight w:val="278"/>
        </w:trPr>
        <w:tc>
          <w:tcPr>
            <w:tcW w:w="1696" w:type="dxa"/>
            <w:vMerge w:val="restart"/>
            <w:shd w:val="clear" w:color="auto" w:fill="auto"/>
            <w:vAlign w:val="center"/>
            <w:hideMark/>
          </w:tcPr>
          <w:p w14:paraId="653682C3"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Centrum pro zdravotně postižené Zlínského kraje o.p.s.</w:t>
            </w:r>
          </w:p>
        </w:tc>
        <w:tc>
          <w:tcPr>
            <w:tcW w:w="2410" w:type="dxa"/>
            <w:shd w:val="clear" w:color="000000" w:fill="FFFFFF"/>
            <w:vAlign w:val="center"/>
            <w:hideMark/>
          </w:tcPr>
          <w:p w14:paraId="77434FAC"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6C547BB5"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001AC34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1DC1F2E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 osoby/okamžk</w:t>
            </w:r>
          </w:p>
        </w:tc>
        <w:tc>
          <w:tcPr>
            <w:tcW w:w="700" w:type="dxa"/>
            <w:shd w:val="clear" w:color="000000" w:fill="FFFFFF"/>
            <w:vAlign w:val="center"/>
            <w:hideMark/>
          </w:tcPr>
          <w:p w14:paraId="3491452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436</w:t>
            </w:r>
          </w:p>
        </w:tc>
        <w:tc>
          <w:tcPr>
            <w:tcW w:w="638" w:type="dxa"/>
            <w:shd w:val="clear" w:color="000000" w:fill="FFFFFF"/>
            <w:vAlign w:val="center"/>
            <w:hideMark/>
          </w:tcPr>
          <w:p w14:paraId="4417470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220</w:t>
            </w:r>
          </w:p>
        </w:tc>
      </w:tr>
      <w:tr w:rsidR="00FB35A4" w:rsidRPr="00257A1C" w14:paraId="5B10F1B1" w14:textId="77777777" w:rsidTr="00FB35A4">
        <w:trPr>
          <w:trHeight w:val="584"/>
        </w:trPr>
        <w:tc>
          <w:tcPr>
            <w:tcW w:w="1696" w:type="dxa"/>
            <w:vMerge/>
            <w:vAlign w:val="center"/>
            <w:hideMark/>
          </w:tcPr>
          <w:p w14:paraId="22CEF6CB"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78DE9FE9"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Sociálně aktivizační služby pro seniory a osoby se zdravotním postižením</w:t>
            </w:r>
          </w:p>
        </w:tc>
        <w:tc>
          <w:tcPr>
            <w:tcW w:w="992" w:type="dxa"/>
            <w:shd w:val="clear" w:color="000000" w:fill="FFFFFF"/>
            <w:vAlign w:val="center"/>
            <w:hideMark/>
          </w:tcPr>
          <w:p w14:paraId="0FA9A981"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7AD87714"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5D5D237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80 osob/okamžik</w:t>
            </w:r>
          </w:p>
        </w:tc>
        <w:tc>
          <w:tcPr>
            <w:tcW w:w="700" w:type="dxa"/>
            <w:shd w:val="clear" w:color="000000" w:fill="FFFFFF"/>
            <w:vAlign w:val="center"/>
            <w:hideMark/>
          </w:tcPr>
          <w:p w14:paraId="592666F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80</w:t>
            </w:r>
          </w:p>
        </w:tc>
        <w:tc>
          <w:tcPr>
            <w:tcW w:w="638" w:type="dxa"/>
            <w:shd w:val="clear" w:color="000000" w:fill="FFFFFF"/>
            <w:vAlign w:val="center"/>
            <w:hideMark/>
          </w:tcPr>
          <w:p w14:paraId="314910A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74</w:t>
            </w:r>
          </w:p>
        </w:tc>
      </w:tr>
      <w:tr w:rsidR="00FB35A4" w:rsidRPr="00257A1C" w14:paraId="32AABA7F" w14:textId="77777777" w:rsidTr="00FB35A4">
        <w:trPr>
          <w:trHeight w:val="278"/>
        </w:trPr>
        <w:tc>
          <w:tcPr>
            <w:tcW w:w="1696" w:type="dxa"/>
            <w:vMerge/>
            <w:vAlign w:val="center"/>
            <w:hideMark/>
          </w:tcPr>
          <w:p w14:paraId="34150C63"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688F9D3"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Tlumočnické služby</w:t>
            </w:r>
          </w:p>
        </w:tc>
        <w:tc>
          <w:tcPr>
            <w:tcW w:w="992" w:type="dxa"/>
            <w:shd w:val="clear" w:color="000000" w:fill="FFFFFF"/>
            <w:vAlign w:val="center"/>
            <w:hideMark/>
          </w:tcPr>
          <w:p w14:paraId="6FE4CE8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vMerge/>
            <w:vAlign w:val="center"/>
            <w:hideMark/>
          </w:tcPr>
          <w:p w14:paraId="37D4A1DC"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7352360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 osoba/okamžik</w:t>
            </w:r>
          </w:p>
        </w:tc>
        <w:tc>
          <w:tcPr>
            <w:tcW w:w="700" w:type="dxa"/>
            <w:shd w:val="clear" w:color="000000" w:fill="FFFFFF"/>
            <w:vAlign w:val="center"/>
            <w:hideMark/>
          </w:tcPr>
          <w:p w14:paraId="33EFCB3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110</w:t>
            </w:r>
          </w:p>
        </w:tc>
        <w:tc>
          <w:tcPr>
            <w:tcW w:w="638" w:type="dxa"/>
            <w:shd w:val="clear" w:color="000000" w:fill="FFFFFF"/>
            <w:vAlign w:val="center"/>
            <w:hideMark/>
          </w:tcPr>
          <w:p w14:paraId="1152DB1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64</w:t>
            </w:r>
          </w:p>
        </w:tc>
      </w:tr>
      <w:tr w:rsidR="00FB35A4" w:rsidRPr="00257A1C" w14:paraId="67E38BFC" w14:textId="77777777" w:rsidTr="00FB35A4">
        <w:trPr>
          <w:trHeight w:val="403"/>
        </w:trPr>
        <w:tc>
          <w:tcPr>
            <w:tcW w:w="1696" w:type="dxa"/>
            <w:vMerge w:val="restart"/>
            <w:shd w:val="clear" w:color="auto" w:fill="auto"/>
            <w:vAlign w:val="center"/>
            <w:hideMark/>
          </w:tcPr>
          <w:p w14:paraId="5AC17121"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Centrum služeb a podpory Zlín, o.p.s.</w:t>
            </w:r>
          </w:p>
        </w:tc>
        <w:tc>
          <w:tcPr>
            <w:tcW w:w="2410" w:type="dxa"/>
            <w:shd w:val="clear" w:color="000000" w:fill="FFFFFF"/>
            <w:vAlign w:val="center"/>
            <w:hideMark/>
          </w:tcPr>
          <w:p w14:paraId="4A1DD468"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Centra denních služeb</w:t>
            </w:r>
          </w:p>
        </w:tc>
        <w:tc>
          <w:tcPr>
            <w:tcW w:w="992" w:type="dxa"/>
            <w:vMerge w:val="restart"/>
            <w:shd w:val="clear" w:color="000000" w:fill="FFFFFF"/>
            <w:vAlign w:val="center"/>
            <w:hideMark/>
          </w:tcPr>
          <w:p w14:paraId="756A7651"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1049E7C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7E4D9BE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 osob/okamžik</w:t>
            </w:r>
          </w:p>
        </w:tc>
        <w:tc>
          <w:tcPr>
            <w:tcW w:w="700" w:type="dxa"/>
            <w:shd w:val="clear" w:color="000000" w:fill="FFFFFF"/>
            <w:vAlign w:val="center"/>
            <w:hideMark/>
          </w:tcPr>
          <w:p w14:paraId="0263BCC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30</w:t>
            </w:r>
          </w:p>
        </w:tc>
        <w:tc>
          <w:tcPr>
            <w:tcW w:w="638" w:type="dxa"/>
            <w:shd w:val="clear" w:color="000000" w:fill="FFFFFF"/>
            <w:vAlign w:val="center"/>
            <w:hideMark/>
          </w:tcPr>
          <w:p w14:paraId="474CC9B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18</w:t>
            </w:r>
          </w:p>
        </w:tc>
      </w:tr>
      <w:tr w:rsidR="00FB35A4" w:rsidRPr="00257A1C" w14:paraId="4E063DC9" w14:textId="77777777" w:rsidTr="00FB35A4">
        <w:trPr>
          <w:trHeight w:val="321"/>
        </w:trPr>
        <w:tc>
          <w:tcPr>
            <w:tcW w:w="1696" w:type="dxa"/>
            <w:vMerge/>
            <w:vAlign w:val="center"/>
            <w:hideMark/>
          </w:tcPr>
          <w:p w14:paraId="1F7E21DC"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44E5AA32"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Centra denních služeb</w:t>
            </w:r>
          </w:p>
        </w:tc>
        <w:tc>
          <w:tcPr>
            <w:tcW w:w="992" w:type="dxa"/>
            <w:vMerge/>
            <w:vAlign w:val="center"/>
            <w:hideMark/>
          </w:tcPr>
          <w:p w14:paraId="39BF1FA0" w14:textId="77777777" w:rsidR="00FB35A4" w:rsidRPr="00257A1C" w:rsidRDefault="00FB35A4" w:rsidP="00FB35A4">
            <w:pPr>
              <w:spacing w:before="0"/>
              <w:rPr>
                <w:rFonts w:asciiTheme="majorHAnsi" w:eastAsia="Times New Roman" w:hAnsiTheme="majorHAnsi" w:cstheme="majorHAnsi"/>
                <w:color w:val="000000"/>
                <w:sz w:val="16"/>
                <w:szCs w:val="16"/>
                <w:lang w:eastAsia="cs-CZ"/>
              </w:rPr>
            </w:pPr>
          </w:p>
        </w:tc>
        <w:tc>
          <w:tcPr>
            <w:tcW w:w="1276" w:type="dxa"/>
            <w:vMerge/>
            <w:vAlign w:val="center"/>
            <w:hideMark/>
          </w:tcPr>
          <w:p w14:paraId="742D0055"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7D72BA7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 osob/okamžik</w:t>
            </w:r>
          </w:p>
        </w:tc>
        <w:tc>
          <w:tcPr>
            <w:tcW w:w="700" w:type="dxa"/>
            <w:shd w:val="clear" w:color="000000" w:fill="FFFFFF"/>
            <w:vAlign w:val="center"/>
            <w:hideMark/>
          </w:tcPr>
          <w:p w14:paraId="356804D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43</w:t>
            </w:r>
          </w:p>
        </w:tc>
        <w:tc>
          <w:tcPr>
            <w:tcW w:w="638" w:type="dxa"/>
            <w:shd w:val="clear" w:color="000000" w:fill="FFFFFF"/>
            <w:vAlign w:val="center"/>
            <w:hideMark/>
          </w:tcPr>
          <w:p w14:paraId="728E094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w:t>
            </w:r>
          </w:p>
        </w:tc>
      </w:tr>
      <w:tr w:rsidR="00FB35A4" w:rsidRPr="00257A1C" w14:paraId="599CD711" w14:textId="77777777" w:rsidTr="00FB35A4">
        <w:trPr>
          <w:trHeight w:val="800"/>
        </w:trPr>
        <w:tc>
          <w:tcPr>
            <w:tcW w:w="1696" w:type="dxa"/>
            <w:shd w:val="clear" w:color="000000" w:fill="FFFFFF"/>
            <w:vAlign w:val="center"/>
            <w:hideMark/>
          </w:tcPr>
          <w:p w14:paraId="607D17F7"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Domov Odry, p.o.</w:t>
            </w:r>
          </w:p>
        </w:tc>
        <w:tc>
          <w:tcPr>
            <w:tcW w:w="2410" w:type="dxa"/>
            <w:shd w:val="clear" w:color="000000" w:fill="FFFFFF"/>
            <w:vAlign w:val="center"/>
            <w:hideMark/>
          </w:tcPr>
          <w:p w14:paraId="3A0D57AA"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Alzheimerovou chorobou a jinými typy demencí (001 – 25 lůžek)</w:t>
            </w:r>
          </w:p>
        </w:tc>
        <w:tc>
          <w:tcPr>
            <w:tcW w:w="992" w:type="dxa"/>
            <w:shd w:val="clear" w:color="000000" w:fill="FFFFFF"/>
            <w:vAlign w:val="center"/>
            <w:hideMark/>
          </w:tcPr>
          <w:p w14:paraId="2CE8F50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000D6A2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1DAD6A9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 lůžek</w:t>
            </w:r>
          </w:p>
        </w:tc>
        <w:tc>
          <w:tcPr>
            <w:tcW w:w="700" w:type="dxa"/>
            <w:shd w:val="clear" w:color="000000" w:fill="FFFFFF"/>
            <w:vAlign w:val="center"/>
            <w:hideMark/>
          </w:tcPr>
          <w:p w14:paraId="20DF5E0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w:t>
            </w:r>
          </w:p>
        </w:tc>
        <w:tc>
          <w:tcPr>
            <w:tcW w:w="638" w:type="dxa"/>
            <w:shd w:val="clear" w:color="000000" w:fill="FFFFFF"/>
            <w:vAlign w:val="center"/>
            <w:hideMark/>
          </w:tcPr>
          <w:p w14:paraId="34270FF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w:t>
            </w:r>
          </w:p>
        </w:tc>
      </w:tr>
      <w:tr w:rsidR="00FB35A4" w:rsidRPr="00257A1C" w14:paraId="3175E759" w14:textId="77777777" w:rsidTr="00FB35A4">
        <w:trPr>
          <w:trHeight w:val="394"/>
        </w:trPr>
        <w:tc>
          <w:tcPr>
            <w:tcW w:w="1696" w:type="dxa"/>
            <w:vMerge w:val="restart"/>
            <w:shd w:val="clear" w:color="auto" w:fill="auto"/>
            <w:vAlign w:val="center"/>
            <w:hideMark/>
          </w:tcPr>
          <w:p w14:paraId="70F37A91"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Domov pro seniory Burešov, p.o.</w:t>
            </w:r>
          </w:p>
        </w:tc>
        <w:tc>
          <w:tcPr>
            <w:tcW w:w="2410" w:type="dxa"/>
            <w:shd w:val="clear" w:color="000000" w:fill="FFFFFF"/>
            <w:vAlign w:val="center"/>
            <w:hideMark/>
          </w:tcPr>
          <w:p w14:paraId="47B2133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(001 – 40 lůžek)</w:t>
            </w:r>
          </w:p>
        </w:tc>
        <w:tc>
          <w:tcPr>
            <w:tcW w:w="992" w:type="dxa"/>
            <w:vMerge w:val="restart"/>
            <w:shd w:val="clear" w:color="000000" w:fill="FFFFFF"/>
            <w:vAlign w:val="center"/>
            <w:hideMark/>
          </w:tcPr>
          <w:p w14:paraId="15993A6C"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restart"/>
            <w:shd w:val="clear" w:color="000000" w:fill="FFFFFF"/>
            <w:vAlign w:val="center"/>
            <w:hideMark/>
          </w:tcPr>
          <w:p w14:paraId="3262EF3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1880E53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34 lůžek</w:t>
            </w:r>
          </w:p>
        </w:tc>
        <w:tc>
          <w:tcPr>
            <w:tcW w:w="700" w:type="dxa"/>
            <w:shd w:val="clear" w:color="000000" w:fill="FFFFFF"/>
            <w:vAlign w:val="center"/>
            <w:hideMark/>
          </w:tcPr>
          <w:p w14:paraId="23E6DBC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45</w:t>
            </w:r>
          </w:p>
        </w:tc>
        <w:tc>
          <w:tcPr>
            <w:tcW w:w="638" w:type="dxa"/>
            <w:shd w:val="clear" w:color="000000" w:fill="FFFFFF"/>
            <w:vAlign w:val="center"/>
            <w:hideMark/>
          </w:tcPr>
          <w:p w14:paraId="6A89545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43</w:t>
            </w:r>
          </w:p>
        </w:tc>
      </w:tr>
      <w:tr w:rsidR="00FB35A4" w:rsidRPr="00257A1C" w14:paraId="503B4C03" w14:textId="77777777" w:rsidTr="00FB35A4">
        <w:trPr>
          <w:trHeight w:val="790"/>
        </w:trPr>
        <w:tc>
          <w:tcPr>
            <w:tcW w:w="1696" w:type="dxa"/>
            <w:vMerge/>
            <w:vAlign w:val="center"/>
            <w:hideMark/>
          </w:tcPr>
          <w:p w14:paraId="13391554"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0FF402B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Alzheimerovou chorobou a jinými typy demencí (081 a více lůžek)</w:t>
            </w:r>
          </w:p>
        </w:tc>
        <w:tc>
          <w:tcPr>
            <w:tcW w:w="992" w:type="dxa"/>
            <w:vMerge/>
            <w:vAlign w:val="center"/>
            <w:hideMark/>
          </w:tcPr>
          <w:p w14:paraId="1F1A1AF4" w14:textId="77777777" w:rsidR="00FB35A4" w:rsidRPr="00257A1C" w:rsidRDefault="00FB35A4" w:rsidP="00FB35A4">
            <w:pPr>
              <w:spacing w:before="0"/>
              <w:rPr>
                <w:rFonts w:asciiTheme="majorHAnsi" w:eastAsia="Times New Roman" w:hAnsiTheme="majorHAnsi" w:cstheme="majorHAnsi"/>
                <w:color w:val="000000"/>
                <w:sz w:val="16"/>
                <w:szCs w:val="16"/>
                <w:lang w:eastAsia="cs-CZ"/>
              </w:rPr>
            </w:pPr>
          </w:p>
        </w:tc>
        <w:tc>
          <w:tcPr>
            <w:tcW w:w="1276" w:type="dxa"/>
            <w:vMerge/>
            <w:vAlign w:val="center"/>
            <w:hideMark/>
          </w:tcPr>
          <w:p w14:paraId="4788B3A5"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626092D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136 lůžek</w:t>
            </w:r>
          </w:p>
        </w:tc>
        <w:tc>
          <w:tcPr>
            <w:tcW w:w="700" w:type="dxa"/>
            <w:shd w:val="clear" w:color="000000" w:fill="FFFFFF"/>
            <w:vAlign w:val="center"/>
            <w:hideMark/>
          </w:tcPr>
          <w:p w14:paraId="2DEE0A0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189</w:t>
            </w:r>
          </w:p>
        </w:tc>
        <w:tc>
          <w:tcPr>
            <w:tcW w:w="638" w:type="dxa"/>
            <w:shd w:val="clear" w:color="000000" w:fill="FFFFFF"/>
            <w:vAlign w:val="center"/>
            <w:hideMark/>
          </w:tcPr>
          <w:p w14:paraId="2003E37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137</w:t>
            </w:r>
          </w:p>
        </w:tc>
      </w:tr>
      <w:tr w:rsidR="00FB35A4" w:rsidRPr="00257A1C" w14:paraId="34935EB4" w14:textId="77777777" w:rsidTr="00FB35A4">
        <w:trPr>
          <w:trHeight w:val="431"/>
        </w:trPr>
        <w:tc>
          <w:tcPr>
            <w:tcW w:w="1696" w:type="dxa"/>
            <w:shd w:val="clear" w:color="auto" w:fill="auto"/>
            <w:vAlign w:val="center"/>
            <w:hideMark/>
          </w:tcPr>
          <w:p w14:paraId="0DDFF6DE"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Domov pro seniory Luhačovice, p.o.</w:t>
            </w:r>
          </w:p>
        </w:tc>
        <w:tc>
          <w:tcPr>
            <w:tcW w:w="2410" w:type="dxa"/>
            <w:shd w:val="clear" w:color="000000" w:fill="FFFFFF"/>
            <w:vAlign w:val="center"/>
            <w:hideMark/>
          </w:tcPr>
          <w:p w14:paraId="640E6C14"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(001 – 40 lůžek)</w:t>
            </w:r>
          </w:p>
        </w:tc>
        <w:tc>
          <w:tcPr>
            <w:tcW w:w="992" w:type="dxa"/>
            <w:shd w:val="clear" w:color="000000" w:fill="FFFFFF"/>
            <w:vAlign w:val="center"/>
            <w:hideMark/>
          </w:tcPr>
          <w:p w14:paraId="18551568"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1322FDF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4075B5A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40 lůžek</w:t>
            </w:r>
          </w:p>
        </w:tc>
        <w:tc>
          <w:tcPr>
            <w:tcW w:w="700" w:type="dxa"/>
            <w:shd w:val="clear" w:color="000000" w:fill="FFFFFF"/>
            <w:vAlign w:val="center"/>
            <w:hideMark/>
          </w:tcPr>
          <w:p w14:paraId="7EC5FDE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46</w:t>
            </w:r>
          </w:p>
        </w:tc>
        <w:tc>
          <w:tcPr>
            <w:tcW w:w="638" w:type="dxa"/>
            <w:shd w:val="clear" w:color="000000" w:fill="FFFFFF"/>
            <w:vAlign w:val="center"/>
            <w:hideMark/>
          </w:tcPr>
          <w:p w14:paraId="0CABC43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w:t>
            </w:r>
          </w:p>
        </w:tc>
      </w:tr>
      <w:tr w:rsidR="00FB35A4" w:rsidRPr="00257A1C" w14:paraId="0C1AD88D" w14:textId="77777777" w:rsidTr="00FB35A4">
        <w:trPr>
          <w:trHeight w:val="375"/>
        </w:trPr>
        <w:tc>
          <w:tcPr>
            <w:tcW w:w="1696" w:type="dxa"/>
            <w:shd w:val="clear" w:color="auto" w:fill="auto"/>
            <w:vAlign w:val="center"/>
            <w:hideMark/>
          </w:tcPr>
          <w:p w14:paraId="14A4E860"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Domov pro seniory Lukov, p.o.</w:t>
            </w:r>
          </w:p>
        </w:tc>
        <w:tc>
          <w:tcPr>
            <w:tcW w:w="2410" w:type="dxa"/>
            <w:shd w:val="clear" w:color="000000" w:fill="FFFFFF"/>
            <w:vAlign w:val="center"/>
            <w:hideMark/>
          </w:tcPr>
          <w:p w14:paraId="15735B35"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(141 a více lůžek)</w:t>
            </w:r>
          </w:p>
        </w:tc>
        <w:tc>
          <w:tcPr>
            <w:tcW w:w="992" w:type="dxa"/>
            <w:vMerge w:val="restart"/>
            <w:shd w:val="clear" w:color="000000" w:fill="FFFFFF"/>
            <w:vAlign w:val="center"/>
            <w:hideMark/>
          </w:tcPr>
          <w:p w14:paraId="057EB9C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pobytová</w:t>
            </w:r>
          </w:p>
        </w:tc>
        <w:tc>
          <w:tcPr>
            <w:tcW w:w="1276" w:type="dxa"/>
            <w:vMerge w:val="restart"/>
            <w:shd w:val="clear" w:color="000000" w:fill="FFFFFF"/>
            <w:vAlign w:val="center"/>
            <w:hideMark/>
          </w:tcPr>
          <w:p w14:paraId="69AAB42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54CD3AD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182 lůžek</w:t>
            </w:r>
          </w:p>
        </w:tc>
        <w:tc>
          <w:tcPr>
            <w:tcW w:w="700" w:type="dxa"/>
            <w:shd w:val="clear" w:color="000000" w:fill="FFFFFF"/>
            <w:vAlign w:val="center"/>
            <w:hideMark/>
          </w:tcPr>
          <w:p w14:paraId="605736A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223</w:t>
            </w:r>
          </w:p>
        </w:tc>
        <w:tc>
          <w:tcPr>
            <w:tcW w:w="638" w:type="dxa"/>
            <w:shd w:val="clear" w:color="000000" w:fill="FFFFFF"/>
            <w:vAlign w:val="center"/>
            <w:hideMark/>
          </w:tcPr>
          <w:p w14:paraId="0CD96C4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133</w:t>
            </w:r>
          </w:p>
        </w:tc>
      </w:tr>
      <w:tr w:rsidR="00FB35A4" w:rsidRPr="00257A1C" w14:paraId="045BC4E9" w14:textId="77777777" w:rsidTr="00FB35A4">
        <w:trPr>
          <w:trHeight w:val="790"/>
        </w:trPr>
        <w:tc>
          <w:tcPr>
            <w:tcW w:w="1696" w:type="dxa"/>
            <w:shd w:val="clear" w:color="auto" w:fill="auto"/>
            <w:vAlign w:val="center"/>
            <w:hideMark/>
          </w:tcPr>
          <w:p w14:paraId="7CF25204"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Domov pro seniory Lukov, p.o.</w:t>
            </w:r>
          </w:p>
        </w:tc>
        <w:tc>
          <w:tcPr>
            <w:tcW w:w="2410" w:type="dxa"/>
            <w:shd w:val="clear" w:color="000000" w:fill="FFFFFF"/>
            <w:vAlign w:val="center"/>
            <w:hideMark/>
          </w:tcPr>
          <w:p w14:paraId="77415784"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Alzheimerovou chorobou a jinými typy demencí (001 – 25 lůžek)</w:t>
            </w:r>
          </w:p>
        </w:tc>
        <w:tc>
          <w:tcPr>
            <w:tcW w:w="992" w:type="dxa"/>
            <w:vMerge/>
            <w:vAlign w:val="center"/>
            <w:hideMark/>
          </w:tcPr>
          <w:p w14:paraId="20C74ABB"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276" w:type="dxa"/>
            <w:vMerge/>
            <w:vAlign w:val="center"/>
            <w:hideMark/>
          </w:tcPr>
          <w:p w14:paraId="188AB171"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1BC5F6C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 lůžek</w:t>
            </w:r>
          </w:p>
        </w:tc>
        <w:tc>
          <w:tcPr>
            <w:tcW w:w="700" w:type="dxa"/>
            <w:shd w:val="clear" w:color="000000" w:fill="FFFFFF"/>
            <w:vAlign w:val="center"/>
            <w:hideMark/>
          </w:tcPr>
          <w:p w14:paraId="1499B32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27</w:t>
            </w:r>
          </w:p>
        </w:tc>
        <w:tc>
          <w:tcPr>
            <w:tcW w:w="638" w:type="dxa"/>
            <w:shd w:val="clear" w:color="000000" w:fill="FFFFFF"/>
            <w:vAlign w:val="center"/>
            <w:hideMark/>
          </w:tcPr>
          <w:p w14:paraId="677B684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w:t>
            </w:r>
          </w:p>
        </w:tc>
      </w:tr>
      <w:tr w:rsidR="00FB35A4" w:rsidRPr="00257A1C" w14:paraId="67F8C560" w14:textId="77777777" w:rsidTr="00FB35A4">
        <w:trPr>
          <w:trHeight w:val="366"/>
        </w:trPr>
        <w:tc>
          <w:tcPr>
            <w:tcW w:w="1696" w:type="dxa"/>
            <w:shd w:val="clear" w:color="auto" w:fill="auto"/>
            <w:vAlign w:val="center"/>
            <w:hideMark/>
          </w:tcPr>
          <w:p w14:paraId="4F9DC7B4"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Domov pro seniory Napajedla, p.o.</w:t>
            </w:r>
          </w:p>
        </w:tc>
        <w:tc>
          <w:tcPr>
            <w:tcW w:w="2410" w:type="dxa"/>
            <w:shd w:val="clear" w:color="000000" w:fill="FFFFFF"/>
            <w:vAlign w:val="center"/>
            <w:hideMark/>
          </w:tcPr>
          <w:p w14:paraId="730332E8"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(041 – 70 lůžek)</w:t>
            </w:r>
          </w:p>
        </w:tc>
        <w:tc>
          <w:tcPr>
            <w:tcW w:w="992" w:type="dxa"/>
            <w:shd w:val="clear" w:color="000000" w:fill="FFFFFF"/>
            <w:vAlign w:val="center"/>
            <w:hideMark/>
          </w:tcPr>
          <w:p w14:paraId="5CC4EB69"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0988022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41C8227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63 lůžek</w:t>
            </w:r>
          </w:p>
        </w:tc>
        <w:tc>
          <w:tcPr>
            <w:tcW w:w="700" w:type="dxa"/>
            <w:shd w:val="clear" w:color="000000" w:fill="FFFFFF"/>
            <w:vAlign w:val="center"/>
            <w:hideMark/>
          </w:tcPr>
          <w:p w14:paraId="35DEBF7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73</w:t>
            </w:r>
          </w:p>
        </w:tc>
        <w:tc>
          <w:tcPr>
            <w:tcW w:w="638" w:type="dxa"/>
            <w:shd w:val="clear" w:color="000000" w:fill="FFFFFF"/>
            <w:vAlign w:val="center"/>
            <w:hideMark/>
          </w:tcPr>
          <w:p w14:paraId="3D65083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w:t>
            </w:r>
          </w:p>
        </w:tc>
      </w:tr>
      <w:tr w:rsidR="00FB35A4" w:rsidRPr="00257A1C" w14:paraId="0C72AD31" w14:textId="77777777" w:rsidTr="00FB35A4">
        <w:trPr>
          <w:trHeight w:val="333"/>
        </w:trPr>
        <w:tc>
          <w:tcPr>
            <w:tcW w:w="1696" w:type="dxa"/>
            <w:shd w:val="clear" w:color="000000" w:fill="FFFFFF"/>
            <w:vAlign w:val="center"/>
            <w:hideMark/>
          </w:tcPr>
          <w:p w14:paraId="4DB8D1D6"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Dotek z.ú.</w:t>
            </w:r>
          </w:p>
        </w:tc>
        <w:tc>
          <w:tcPr>
            <w:tcW w:w="2410" w:type="dxa"/>
            <w:shd w:val="clear" w:color="000000" w:fill="FFFFFF"/>
            <w:vAlign w:val="center"/>
            <w:hideMark/>
          </w:tcPr>
          <w:p w14:paraId="4656D00A"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Odlehčovací služby</w:t>
            </w:r>
          </w:p>
        </w:tc>
        <w:tc>
          <w:tcPr>
            <w:tcW w:w="992" w:type="dxa"/>
            <w:shd w:val="clear" w:color="000000" w:fill="FFFFFF"/>
            <w:vAlign w:val="center"/>
            <w:hideMark/>
          </w:tcPr>
          <w:p w14:paraId="0B77EC8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pobytová</w:t>
            </w:r>
          </w:p>
        </w:tc>
        <w:tc>
          <w:tcPr>
            <w:tcW w:w="1276" w:type="dxa"/>
            <w:shd w:val="clear" w:color="000000" w:fill="FFFFFF"/>
            <w:vAlign w:val="center"/>
            <w:hideMark/>
          </w:tcPr>
          <w:p w14:paraId="12BA735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15E7276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16 lůžek</w:t>
            </w:r>
          </w:p>
        </w:tc>
        <w:tc>
          <w:tcPr>
            <w:tcW w:w="700" w:type="dxa"/>
            <w:shd w:val="clear" w:color="000000" w:fill="FFFFFF"/>
            <w:vAlign w:val="center"/>
            <w:hideMark/>
          </w:tcPr>
          <w:p w14:paraId="5FDF2B4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117</w:t>
            </w:r>
          </w:p>
        </w:tc>
        <w:tc>
          <w:tcPr>
            <w:tcW w:w="638" w:type="dxa"/>
            <w:shd w:val="clear" w:color="000000" w:fill="FFFFFF"/>
            <w:vAlign w:val="center"/>
            <w:hideMark/>
          </w:tcPr>
          <w:p w14:paraId="0F8C179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27</w:t>
            </w:r>
          </w:p>
        </w:tc>
      </w:tr>
      <w:tr w:rsidR="00FB35A4" w:rsidRPr="00257A1C" w14:paraId="5A77FBEC" w14:textId="77777777" w:rsidTr="00FB35A4">
        <w:trPr>
          <w:trHeight w:val="610"/>
        </w:trPr>
        <w:tc>
          <w:tcPr>
            <w:tcW w:w="1696" w:type="dxa"/>
            <w:shd w:val="clear" w:color="auto" w:fill="auto"/>
            <w:vAlign w:val="center"/>
            <w:hideMark/>
          </w:tcPr>
          <w:p w14:paraId="266AEB66"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Dům sociálních služeb Návojná, p.o.</w:t>
            </w:r>
          </w:p>
        </w:tc>
        <w:tc>
          <w:tcPr>
            <w:tcW w:w="2410" w:type="dxa"/>
            <w:shd w:val="clear" w:color="000000" w:fill="FFFFFF"/>
            <w:vAlign w:val="center"/>
            <w:hideMark/>
          </w:tcPr>
          <w:p w14:paraId="6ED55D2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duševním onemocněním</w:t>
            </w:r>
          </w:p>
        </w:tc>
        <w:tc>
          <w:tcPr>
            <w:tcW w:w="992" w:type="dxa"/>
            <w:shd w:val="clear" w:color="000000" w:fill="FFFFFF"/>
            <w:vAlign w:val="center"/>
            <w:hideMark/>
          </w:tcPr>
          <w:p w14:paraId="0A647F3D"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4C71EC4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498129B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70 lůžek</w:t>
            </w:r>
          </w:p>
        </w:tc>
        <w:tc>
          <w:tcPr>
            <w:tcW w:w="700" w:type="dxa"/>
            <w:shd w:val="clear" w:color="000000" w:fill="FFFFFF"/>
            <w:vAlign w:val="center"/>
            <w:hideMark/>
          </w:tcPr>
          <w:p w14:paraId="7B2A42D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70</w:t>
            </w:r>
          </w:p>
        </w:tc>
        <w:tc>
          <w:tcPr>
            <w:tcW w:w="638" w:type="dxa"/>
            <w:shd w:val="clear" w:color="000000" w:fill="FFFFFF"/>
            <w:vAlign w:val="center"/>
            <w:hideMark/>
          </w:tcPr>
          <w:p w14:paraId="1F5351D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w:t>
            </w:r>
          </w:p>
        </w:tc>
      </w:tr>
      <w:tr w:rsidR="00FB35A4" w:rsidRPr="00257A1C" w14:paraId="57056199" w14:textId="77777777" w:rsidTr="00FB35A4">
        <w:trPr>
          <w:trHeight w:val="358"/>
        </w:trPr>
        <w:tc>
          <w:tcPr>
            <w:tcW w:w="1696" w:type="dxa"/>
            <w:shd w:val="clear" w:color="auto" w:fill="auto"/>
            <w:vAlign w:val="center"/>
            <w:hideMark/>
          </w:tcPr>
          <w:p w14:paraId="480883DF"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Handicap Zlín, z.s.</w:t>
            </w:r>
          </w:p>
        </w:tc>
        <w:tc>
          <w:tcPr>
            <w:tcW w:w="2410" w:type="dxa"/>
            <w:shd w:val="clear" w:color="000000" w:fill="FFFFFF"/>
            <w:vAlign w:val="center"/>
            <w:hideMark/>
          </w:tcPr>
          <w:p w14:paraId="09B7D483"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Osobní asistence</w:t>
            </w:r>
          </w:p>
        </w:tc>
        <w:tc>
          <w:tcPr>
            <w:tcW w:w="992" w:type="dxa"/>
            <w:shd w:val="clear" w:color="000000" w:fill="FFFFFF"/>
            <w:vAlign w:val="center"/>
            <w:hideMark/>
          </w:tcPr>
          <w:p w14:paraId="6C60588A"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473193C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53FE231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 osob/okamžik</w:t>
            </w:r>
          </w:p>
        </w:tc>
        <w:tc>
          <w:tcPr>
            <w:tcW w:w="700" w:type="dxa"/>
            <w:shd w:val="clear" w:color="000000" w:fill="FFFFFF"/>
            <w:vAlign w:val="center"/>
            <w:hideMark/>
          </w:tcPr>
          <w:p w14:paraId="5793EF6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w:t>
            </w:r>
          </w:p>
        </w:tc>
        <w:tc>
          <w:tcPr>
            <w:tcW w:w="638" w:type="dxa"/>
            <w:shd w:val="clear" w:color="000000" w:fill="FFFFFF"/>
            <w:vAlign w:val="center"/>
            <w:hideMark/>
          </w:tcPr>
          <w:p w14:paraId="615362E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w:t>
            </w:r>
          </w:p>
        </w:tc>
      </w:tr>
      <w:tr w:rsidR="00FB35A4" w:rsidRPr="00257A1C" w14:paraId="3BC8181B" w14:textId="77777777" w:rsidTr="00FB35A4">
        <w:trPr>
          <w:trHeight w:val="385"/>
        </w:trPr>
        <w:tc>
          <w:tcPr>
            <w:tcW w:w="1696" w:type="dxa"/>
            <w:vMerge w:val="restart"/>
            <w:shd w:val="clear" w:color="auto" w:fill="auto"/>
            <w:vAlign w:val="center"/>
            <w:hideMark/>
          </w:tcPr>
          <w:p w14:paraId="047E2133"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HVĚZDA z.ú.</w:t>
            </w:r>
          </w:p>
        </w:tc>
        <w:tc>
          <w:tcPr>
            <w:tcW w:w="2410" w:type="dxa"/>
            <w:shd w:val="clear" w:color="000000" w:fill="FFFFFF"/>
            <w:vAlign w:val="center"/>
            <w:hideMark/>
          </w:tcPr>
          <w:p w14:paraId="75CC433E"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Denní stacionáře</w:t>
            </w:r>
          </w:p>
        </w:tc>
        <w:tc>
          <w:tcPr>
            <w:tcW w:w="992" w:type="dxa"/>
            <w:shd w:val="clear" w:color="000000" w:fill="FFFFFF"/>
            <w:vAlign w:val="center"/>
            <w:hideMark/>
          </w:tcPr>
          <w:p w14:paraId="383C97B0"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0793FFA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53C34C6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30 osob/den</w:t>
            </w:r>
          </w:p>
        </w:tc>
        <w:tc>
          <w:tcPr>
            <w:tcW w:w="700" w:type="dxa"/>
            <w:shd w:val="clear" w:color="000000" w:fill="FFFFFF"/>
            <w:vAlign w:val="center"/>
            <w:hideMark/>
          </w:tcPr>
          <w:p w14:paraId="065822F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22</w:t>
            </w:r>
          </w:p>
        </w:tc>
        <w:tc>
          <w:tcPr>
            <w:tcW w:w="638" w:type="dxa"/>
            <w:shd w:val="clear" w:color="000000" w:fill="FFFFFF"/>
            <w:vAlign w:val="center"/>
            <w:hideMark/>
          </w:tcPr>
          <w:p w14:paraId="7E41C24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w:t>
            </w:r>
          </w:p>
        </w:tc>
      </w:tr>
      <w:tr w:rsidR="00FB35A4" w:rsidRPr="00257A1C" w14:paraId="4C96CFDF" w14:textId="77777777" w:rsidTr="00FB35A4">
        <w:trPr>
          <w:trHeight w:val="818"/>
        </w:trPr>
        <w:tc>
          <w:tcPr>
            <w:tcW w:w="1696" w:type="dxa"/>
            <w:vMerge/>
            <w:vAlign w:val="center"/>
            <w:hideMark/>
          </w:tcPr>
          <w:p w14:paraId="0651A1B3"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04B4F3F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Alzheimerovou chorobou a jinými typy demencí (026 – 60 lůžek)</w:t>
            </w:r>
          </w:p>
        </w:tc>
        <w:tc>
          <w:tcPr>
            <w:tcW w:w="992" w:type="dxa"/>
            <w:vMerge w:val="restart"/>
            <w:shd w:val="clear" w:color="000000" w:fill="FFFFFF"/>
            <w:vAlign w:val="center"/>
            <w:hideMark/>
          </w:tcPr>
          <w:p w14:paraId="2D01384F"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restart"/>
            <w:shd w:val="clear" w:color="000000" w:fill="FFFFFF"/>
            <w:vAlign w:val="center"/>
            <w:hideMark/>
          </w:tcPr>
          <w:p w14:paraId="22D9EAC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1D113B2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45 lůžek</w:t>
            </w:r>
          </w:p>
        </w:tc>
        <w:tc>
          <w:tcPr>
            <w:tcW w:w="700" w:type="dxa"/>
            <w:shd w:val="clear" w:color="000000" w:fill="FFFFFF"/>
            <w:vAlign w:val="center"/>
            <w:hideMark/>
          </w:tcPr>
          <w:p w14:paraId="3916ECA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108</w:t>
            </w:r>
          </w:p>
        </w:tc>
        <w:tc>
          <w:tcPr>
            <w:tcW w:w="638" w:type="dxa"/>
            <w:shd w:val="clear" w:color="000000" w:fill="FFFFFF"/>
            <w:vAlign w:val="center"/>
            <w:hideMark/>
          </w:tcPr>
          <w:p w14:paraId="3F80D5C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51</w:t>
            </w:r>
          </w:p>
        </w:tc>
      </w:tr>
      <w:tr w:rsidR="00FB35A4" w:rsidRPr="00257A1C" w14:paraId="400953C5" w14:textId="77777777" w:rsidTr="00FB35A4">
        <w:trPr>
          <w:trHeight w:val="773"/>
        </w:trPr>
        <w:tc>
          <w:tcPr>
            <w:tcW w:w="1696" w:type="dxa"/>
            <w:vMerge/>
            <w:vAlign w:val="center"/>
            <w:hideMark/>
          </w:tcPr>
          <w:p w14:paraId="50B172E8"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42920067"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Alzheimerovou chorobou a jinými typy demencí (026 – 60 lůžek)</w:t>
            </w:r>
          </w:p>
        </w:tc>
        <w:tc>
          <w:tcPr>
            <w:tcW w:w="992" w:type="dxa"/>
            <w:vMerge/>
            <w:vAlign w:val="center"/>
            <w:hideMark/>
          </w:tcPr>
          <w:p w14:paraId="76264C40" w14:textId="77777777" w:rsidR="00FB35A4" w:rsidRPr="00257A1C" w:rsidRDefault="00FB35A4" w:rsidP="00FB35A4">
            <w:pPr>
              <w:spacing w:before="0"/>
              <w:rPr>
                <w:rFonts w:asciiTheme="majorHAnsi" w:eastAsia="Times New Roman" w:hAnsiTheme="majorHAnsi" w:cstheme="majorHAnsi"/>
                <w:color w:val="000000"/>
                <w:sz w:val="16"/>
                <w:szCs w:val="16"/>
                <w:lang w:eastAsia="cs-CZ"/>
              </w:rPr>
            </w:pPr>
          </w:p>
        </w:tc>
        <w:tc>
          <w:tcPr>
            <w:tcW w:w="1276" w:type="dxa"/>
            <w:vMerge/>
            <w:vAlign w:val="center"/>
            <w:hideMark/>
          </w:tcPr>
          <w:p w14:paraId="3648357A"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0B38577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50 lůžek</w:t>
            </w:r>
          </w:p>
        </w:tc>
        <w:tc>
          <w:tcPr>
            <w:tcW w:w="700" w:type="dxa"/>
            <w:shd w:val="clear" w:color="000000" w:fill="FFFFFF"/>
            <w:vAlign w:val="center"/>
            <w:hideMark/>
          </w:tcPr>
          <w:p w14:paraId="0B8081B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73</w:t>
            </w:r>
          </w:p>
        </w:tc>
        <w:tc>
          <w:tcPr>
            <w:tcW w:w="638" w:type="dxa"/>
            <w:shd w:val="clear" w:color="000000" w:fill="FFFFFF"/>
            <w:vAlign w:val="center"/>
            <w:hideMark/>
          </w:tcPr>
          <w:p w14:paraId="5BFE261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57</w:t>
            </w:r>
          </w:p>
        </w:tc>
      </w:tr>
      <w:tr w:rsidR="00FB35A4" w:rsidRPr="00257A1C" w14:paraId="794815C8" w14:textId="77777777" w:rsidTr="00FB35A4">
        <w:trPr>
          <w:trHeight w:val="539"/>
        </w:trPr>
        <w:tc>
          <w:tcPr>
            <w:tcW w:w="1696" w:type="dxa"/>
            <w:vMerge w:val="restart"/>
            <w:shd w:val="clear" w:color="auto" w:fill="auto"/>
            <w:vAlign w:val="center"/>
            <w:hideMark/>
          </w:tcPr>
          <w:p w14:paraId="40DF849C"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Charita Otrokovice</w:t>
            </w:r>
          </w:p>
        </w:tc>
        <w:tc>
          <w:tcPr>
            <w:tcW w:w="2410" w:type="dxa"/>
            <w:shd w:val="clear" w:color="000000" w:fill="FFFFFF"/>
            <w:vAlign w:val="center"/>
            <w:hideMark/>
          </w:tcPr>
          <w:p w14:paraId="59EF188E"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Azylové domy – pro muže a ženy bez přístřeší</w:t>
            </w:r>
          </w:p>
        </w:tc>
        <w:tc>
          <w:tcPr>
            <w:tcW w:w="992" w:type="dxa"/>
            <w:shd w:val="clear" w:color="000000" w:fill="FFFFFF"/>
            <w:vAlign w:val="center"/>
            <w:hideMark/>
          </w:tcPr>
          <w:p w14:paraId="448DEF27"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141C96C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27D0B0C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37 lůžek</w:t>
            </w:r>
          </w:p>
        </w:tc>
        <w:tc>
          <w:tcPr>
            <w:tcW w:w="700" w:type="dxa"/>
            <w:shd w:val="clear" w:color="000000" w:fill="FFFFFF"/>
            <w:vAlign w:val="center"/>
            <w:hideMark/>
          </w:tcPr>
          <w:p w14:paraId="0C197D8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83</w:t>
            </w:r>
          </w:p>
        </w:tc>
        <w:tc>
          <w:tcPr>
            <w:tcW w:w="638" w:type="dxa"/>
            <w:shd w:val="clear" w:color="000000" w:fill="FFFFFF"/>
            <w:vAlign w:val="center"/>
            <w:hideMark/>
          </w:tcPr>
          <w:p w14:paraId="48F1A4B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19</w:t>
            </w:r>
          </w:p>
        </w:tc>
      </w:tr>
      <w:tr w:rsidR="00FB35A4" w:rsidRPr="00257A1C" w14:paraId="6A13292E" w14:textId="77777777" w:rsidTr="00FB35A4">
        <w:trPr>
          <w:trHeight w:val="394"/>
        </w:trPr>
        <w:tc>
          <w:tcPr>
            <w:tcW w:w="1696" w:type="dxa"/>
            <w:vMerge/>
            <w:vAlign w:val="center"/>
            <w:hideMark/>
          </w:tcPr>
          <w:p w14:paraId="5D7880AE"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72ED8A1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Azylové domy – pro rodiny s dětmi (1 – 25 lůžek)</w:t>
            </w:r>
          </w:p>
        </w:tc>
        <w:tc>
          <w:tcPr>
            <w:tcW w:w="992" w:type="dxa"/>
            <w:shd w:val="clear" w:color="000000" w:fill="FFFFFF"/>
            <w:vAlign w:val="center"/>
            <w:hideMark/>
          </w:tcPr>
          <w:p w14:paraId="1DD8AB38"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1C2D42C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Rodiny s dětmi</w:t>
            </w:r>
          </w:p>
        </w:tc>
        <w:tc>
          <w:tcPr>
            <w:tcW w:w="1353" w:type="dxa"/>
            <w:shd w:val="clear" w:color="000000" w:fill="FFFFFF"/>
            <w:vAlign w:val="center"/>
            <w:hideMark/>
          </w:tcPr>
          <w:p w14:paraId="0F68D34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20 lůžek</w:t>
            </w:r>
          </w:p>
        </w:tc>
        <w:tc>
          <w:tcPr>
            <w:tcW w:w="700" w:type="dxa"/>
            <w:shd w:val="clear" w:color="000000" w:fill="FFFFFF"/>
            <w:vAlign w:val="center"/>
            <w:hideMark/>
          </w:tcPr>
          <w:p w14:paraId="437DD04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28</w:t>
            </w:r>
          </w:p>
        </w:tc>
        <w:tc>
          <w:tcPr>
            <w:tcW w:w="638" w:type="dxa"/>
            <w:shd w:val="clear" w:color="000000" w:fill="FFFFFF"/>
            <w:vAlign w:val="center"/>
            <w:hideMark/>
          </w:tcPr>
          <w:p w14:paraId="4CAB7E2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w:t>
            </w:r>
          </w:p>
        </w:tc>
      </w:tr>
      <w:tr w:rsidR="00FB35A4" w:rsidRPr="00257A1C" w14:paraId="32E2DD46" w14:textId="77777777" w:rsidTr="00FB35A4">
        <w:trPr>
          <w:trHeight w:val="366"/>
        </w:trPr>
        <w:tc>
          <w:tcPr>
            <w:tcW w:w="1696" w:type="dxa"/>
            <w:vMerge/>
            <w:vAlign w:val="center"/>
            <w:hideMark/>
          </w:tcPr>
          <w:p w14:paraId="7C1FBE72"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68DA1B77"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(041 – 70 lůžek)</w:t>
            </w:r>
          </w:p>
        </w:tc>
        <w:tc>
          <w:tcPr>
            <w:tcW w:w="992" w:type="dxa"/>
            <w:shd w:val="clear" w:color="000000" w:fill="FFFFFF"/>
            <w:vAlign w:val="center"/>
            <w:hideMark/>
          </w:tcPr>
          <w:p w14:paraId="125C8E68"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03CFEE0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5AEAFF2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46 lůžek</w:t>
            </w:r>
          </w:p>
        </w:tc>
        <w:tc>
          <w:tcPr>
            <w:tcW w:w="700" w:type="dxa"/>
            <w:shd w:val="clear" w:color="000000" w:fill="FFFFFF"/>
            <w:vAlign w:val="center"/>
            <w:hideMark/>
          </w:tcPr>
          <w:p w14:paraId="044C0E2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56</w:t>
            </w:r>
          </w:p>
        </w:tc>
        <w:tc>
          <w:tcPr>
            <w:tcW w:w="638" w:type="dxa"/>
            <w:shd w:val="clear" w:color="000000" w:fill="FFFFFF"/>
            <w:vAlign w:val="center"/>
            <w:hideMark/>
          </w:tcPr>
          <w:p w14:paraId="74C7DFD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w:t>
            </w:r>
          </w:p>
        </w:tc>
      </w:tr>
      <w:tr w:rsidR="00FB35A4" w:rsidRPr="00257A1C" w14:paraId="690A2CD5" w14:textId="77777777" w:rsidTr="00FB35A4">
        <w:trPr>
          <w:trHeight w:val="592"/>
        </w:trPr>
        <w:tc>
          <w:tcPr>
            <w:tcW w:w="1696" w:type="dxa"/>
            <w:vMerge/>
            <w:vAlign w:val="center"/>
            <w:hideMark/>
          </w:tcPr>
          <w:p w14:paraId="444F99AD"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3CC7541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45F2EDAC"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1394B31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4AA7E18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 osoby/okamžik (ambulantní 3 osoby, terénní 1 osoba)</w:t>
            </w:r>
          </w:p>
        </w:tc>
        <w:tc>
          <w:tcPr>
            <w:tcW w:w="700" w:type="dxa"/>
            <w:shd w:val="clear" w:color="000000" w:fill="FFFFFF"/>
            <w:vAlign w:val="center"/>
            <w:hideMark/>
          </w:tcPr>
          <w:p w14:paraId="2585011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351</w:t>
            </w:r>
          </w:p>
        </w:tc>
        <w:tc>
          <w:tcPr>
            <w:tcW w:w="638" w:type="dxa"/>
            <w:shd w:val="clear" w:color="000000" w:fill="FFFFFF"/>
            <w:vAlign w:val="center"/>
            <w:hideMark/>
          </w:tcPr>
          <w:p w14:paraId="7A88B16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180</w:t>
            </w:r>
          </w:p>
        </w:tc>
      </w:tr>
      <w:tr w:rsidR="00FB35A4" w:rsidRPr="00257A1C" w14:paraId="4AC71DF5" w14:textId="77777777" w:rsidTr="00FB35A4">
        <w:trPr>
          <w:trHeight w:val="592"/>
        </w:trPr>
        <w:tc>
          <w:tcPr>
            <w:tcW w:w="1696" w:type="dxa"/>
            <w:vMerge/>
            <w:vAlign w:val="center"/>
            <w:hideMark/>
          </w:tcPr>
          <w:p w14:paraId="4666C99C"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70514487"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Terénní programy – pro osoby ohrožené sociálním vyloučením</w:t>
            </w:r>
          </w:p>
        </w:tc>
        <w:tc>
          <w:tcPr>
            <w:tcW w:w="992" w:type="dxa"/>
            <w:shd w:val="clear" w:color="000000" w:fill="FFFFFF"/>
            <w:vAlign w:val="center"/>
            <w:hideMark/>
          </w:tcPr>
          <w:p w14:paraId="78BEED98"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4FADD87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5B56AEB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 kontakty/okamžik</w:t>
            </w:r>
          </w:p>
        </w:tc>
        <w:tc>
          <w:tcPr>
            <w:tcW w:w="700" w:type="dxa"/>
            <w:shd w:val="clear" w:color="000000" w:fill="FFFFFF"/>
            <w:vAlign w:val="center"/>
            <w:hideMark/>
          </w:tcPr>
          <w:p w14:paraId="2778852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152</w:t>
            </w:r>
          </w:p>
        </w:tc>
        <w:tc>
          <w:tcPr>
            <w:tcW w:w="638" w:type="dxa"/>
            <w:shd w:val="clear" w:color="000000" w:fill="FFFFFF"/>
            <w:vAlign w:val="center"/>
            <w:hideMark/>
          </w:tcPr>
          <w:p w14:paraId="5598321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88</w:t>
            </w:r>
          </w:p>
        </w:tc>
      </w:tr>
      <w:tr w:rsidR="00FB35A4" w:rsidRPr="00257A1C" w14:paraId="290DBFB1" w14:textId="77777777" w:rsidTr="00FB35A4">
        <w:trPr>
          <w:trHeight w:val="394"/>
        </w:trPr>
        <w:tc>
          <w:tcPr>
            <w:tcW w:w="1696" w:type="dxa"/>
            <w:vMerge w:val="restart"/>
            <w:shd w:val="clear" w:color="auto" w:fill="auto"/>
            <w:vAlign w:val="center"/>
            <w:hideMark/>
          </w:tcPr>
          <w:p w14:paraId="53D52C46"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Charita Zlín</w:t>
            </w:r>
          </w:p>
        </w:tc>
        <w:tc>
          <w:tcPr>
            <w:tcW w:w="2410" w:type="dxa"/>
            <w:shd w:val="clear" w:color="000000" w:fill="FFFFFF"/>
            <w:vAlign w:val="center"/>
            <w:hideMark/>
          </w:tcPr>
          <w:p w14:paraId="34106554"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Azylové domy – pro rodiny s dětmi (26 a více lůžek)</w:t>
            </w:r>
          </w:p>
        </w:tc>
        <w:tc>
          <w:tcPr>
            <w:tcW w:w="992" w:type="dxa"/>
            <w:shd w:val="clear" w:color="000000" w:fill="FFFFFF"/>
            <w:vAlign w:val="center"/>
            <w:hideMark/>
          </w:tcPr>
          <w:p w14:paraId="740C1091"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0DE48EB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Rodiny s dětmi</w:t>
            </w:r>
          </w:p>
        </w:tc>
        <w:tc>
          <w:tcPr>
            <w:tcW w:w="1353" w:type="dxa"/>
            <w:shd w:val="clear" w:color="000000" w:fill="FFFFFF"/>
            <w:vAlign w:val="center"/>
            <w:hideMark/>
          </w:tcPr>
          <w:p w14:paraId="144344F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31 lůžek/10 bytových jednotek</w:t>
            </w:r>
          </w:p>
        </w:tc>
        <w:tc>
          <w:tcPr>
            <w:tcW w:w="700" w:type="dxa"/>
            <w:shd w:val="clear" w:color="000000" w:fill="FFFFFF"/>
            <w:vAlign w:val="center"/>
            <w:hideMark/>
          </w:tcPr>
          <w:p w14:paraId="73B98CB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24</w:t>
            </w:r>
          </w:p>
        </w:tc>
        <w:tc>
          <w:tcPr>
            <w:tcW w:w="638" w:type="dxa"/>
            <w:shd w:val="clear" w:color="000000" w:fill="FFFFFF"/>
            <w:vAlign w:val="center"/>
            <w:hideMark/>
          </w:tcPr>
          <w:p w14:paraId="3057881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24</w:t>
            </w:r>
          </w:p>
        </w:tc>
      </w:tr>
      <w:tr w:rsidR="00FB35A4" w:rsidRPr="00257A1C" w14:paraId="5B83A7AD" w14:textId="77777777" w:rsidTr="00FB35A4">
        <w:trPr>
          <w:trHeight w:val="375"/>
        </w:trPr>
        <w:tc>
          <w:tcPr>
            <w:tcW w:w="1696" w:type="dxa"/>
            <w:vMerge/>
            <w:vAlign w:val="center"/>
            <w:hideMark/>
          </w:tcPr>
          <w:p w14:paraId="0F7FA625"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F159FC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Centra denních služeb</w:t>
            </w:r>
          </w:p>
        </w:tc>
        <w:tc>
          <w:tcPr>
            <w:tcW w:w="992" w:type="dxa"/>
            <w:shd w:val="clear" w:color="000000" w:fill="FFFFFF"/>
            <w:vAlign w:val="center"/>
            <w:hideMark/>
          </w:tcPr>
          <w:p w14:paraId="6BA04473"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7E6EECD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0080875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 osob/den</w:t>
            </w:r>
          </w:p>
        </w:tc>
        <w:tc>
          <w:tcPr>
            <w:tcW w:w="700" w:type="dxa"/>
            <w:shd w:val="clear" w:color="000000" w:fill="FFFFFF"/>
            <w:vAlign w:val="center"/>
            <w:hideMark/>
          </w:tcPr>
          <w:p w14:paraId="5DD5C87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26</w:t>
            </w:r>
          </w:p>
        </w:tc>
        <w:tc>
          <w:tcPr>
            <w:tcW w:w="638" w:type="dxa"/>
            <w:shd w:val="clear" w:color="000000" w:fill="FFFFFF"/>
            <w:vAlign w:val="center"/>
            <w:hideMark/>
          </w:tcPr>
          <w:p w14:paraId="6D7924B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25</w:t>
            </w:r>
          </w:p>
        </w:tc>
      </w:tr>
      <w:tr w:rsidR="00FB35A4" w:rsidRPr="00257A1C" w14:paraId="32326489" w14:textId="77777777" w:rsidTr="00FB35A4">
        <w:trPr>
          <w:trHeight w:val="556"/>
        </w:trPr>
        <w:tc>
          <w:tcPr>
            <w:tcW w:w="1696" w:type="dxa"/>
            <w:vMerge/>
            <w:vAlign w:val="center"/>
            <w:hideMark/>
          </w:tcPr>
          <w:p w14:paraId="64C46E17"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5EC044D1"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111CE550"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1C95EA4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3E4A8DA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 osoby/ okamžik, 19 intervencí</w:t>
            </w:r>
          </w:p>
        </w:tc>
        <w:tc>
          <w:tcPr>
            <w:tcW w:w="700" w:type="dxa"/>
            <w:shd w:val="clear" w:color="000000" w:fill="FFFFFF"/>
            <w:vAlign w:val="center"/>
            <w:hideMark/>
          </w:tcPr>
          <w:p w14:paraId="4D29E96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318</w:t>
            </w:r>
          </w:p>
        </w:tc>
        <w:tc>
          <w:tcPr>
            <w:tcW w:w="638" w:type="dxa"/>
            <w:shd w:val="clear" w:color="000000" w:fill="FFFFFF"/>
            <w:vAlign w:val="center"/>
            <w:hideMark/>
          </w:tcPr>
          <w:p w14:paraId="5BED1B0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308</w:t>
            </w:r>
          </w:p>
        </w:tc>
      </w:tr>
      <w:tr w:rsidR="00FB35A4" w:rsidRPr="00257A1C" w14:paraId="067EF734" w14:textId="77777777" w:rsidTr="00FB35A4">
        <w:trPr>
          <w:trHeight w:val="294"/>
        </w:trPr>
        <w:tc>
          <w:tcPr>
            <w:tcW w:w="1696" w:type="dxa"/>
            <w:vMerge/>
            <w:vAlign w:val="center"/>
            <w:hideMark/>
          </w:tcPr>
          <w:p w14:paraId="5247ADD1"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2E400CC"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 xml:space="preserve">Pečovatelská služba </w:t>
            </w:r>
          </w:p>
        </w:tc>
        <w:tc>
          <w:tcPr>
            <w:tcW w:w="992" w:type="dxa"/>
            <w:shd w:val="clear" w:color="000000" w:fill="FFFFFF"/>
            <w:vAlign w:val="center"/>
            <w:hideMark/>
          </w:tcPr>
          <w:p w14:paraId="1FFF4BB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2009129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1719D8A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17 osob/okamžik</w:t>
            </w:r>
          </w:p>
        </w:tc>
        <w:tc>
          <w:tcPr>
            <w:tcW w:w="700" w:type="dxa"/>
            <w:shd w:val="clear" w:color="000000" w:fill="FFFFFF"/>
            <w:vAlign w:val="center"/>
            <w:hideMark/>
          </w:tcPr>
          <w:p w14:paraId="559A782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358</w:t>
            </w:r>
          </w:p>
        </w:tc>
        <w:tc>
          <w:tcPr>
            <w:tcW w:w="638" w:type="dxa"/>
            <w:shd w:val="clear" w:color="000000" w:fill="FFFFFF"/>
            <w:vAlign w:val="center"/>
            <w:hideMark/>
          </w:tcPr>
          <w:p w14:paraId="2200746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328</w:t>
            </w:r>
          </w:p>
        </w:tc>
      </w:tr>
      <w:tr w:rsidR="00FB35A4" w:rsidRPr="00257A1C" w14:paraId="4C0626A1" w14:textId="77777777" w:rsidTr="00FB35A4">
        <w:trPr>
          <w:trHeight w:val="421"/>
        </w:trPr>
        <w:tc>
          <w:tcPr>
            <w:tcW w:w="1696" w:type="dxa"/>
            <w:shd w:val="clear" w:color="auto" w:fill="auto"/>
            <w:vAlign w:val="center"/>
            <w:hideMark/>
          </w:tcPr>
          <w:p w14:paraId="4FDE408F"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Moravskoslezské sdružení Církve adventistů sedmého dne</w:t>
            </w:r>
          </w:p>
        </w:tc>
        <w:tc>
          <w:tcPr>
            <w:tcW w:w="2410" w:type="dxa"/>
            <w:shd w:val="clear" w:color="000000" w:fill="FFFFFF"/>
            <w:vAlign w:val="center"/>
            <w:hideMark/>
          </w:tcPr>
          <w:p w14:paraId="1C5F9068"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(001 – 40 lůžek)</w:t>
            </w:r>
          </w:p>
        </w:tc>
        <w:tc>
          <w:tcPr>
            <w:tcW w:w="992" w:type="dxa"/>
            <w:shd w:val="clear" w:color="000000" w:fill="FFFFFF"/>
            <w:vAlign w:val="center"/>
            <w:hideMark/>
          </w:tcPr>
          <w:p w14:paraId="1933B32F"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6F6DDDE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64E6B9D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19 lůžek</w:t>
            </w:r>
          </w:p>
        </w:tc>
        <w:tc>
          <w:tcPr>
            <w:tcW w:w="700" w:type="dxa"/>
            <w:shd w:val="clear" w:color="000000" w:fill="FFFFFF"/>
            <w:vAlign w:val="center"/>
            <w:hideMark/>
          </w:tcPr>
          <w:p w14:paraId="0275302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w:t>
            </w:r>
          </w:p>
        </w:tc>
        <w:tc>
          <w:tcPr>
            <w:tcW w:w="638" w:type="dxa"/>
            <w:shd w:val="clear" w:color="000000" w:fill="FFFFFF"/>
            <w:vAlign w:val="center"/>
            <w:hideMark/>
          </w:tcPr>
          <w:p w14:paraId="64C3F11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20</w:t>
            </w:r>
          </w:p>
        </w:tc>
      </w:tr>
      <w:tr w:rsidR="00FB35A4" w:rsidRPr="00257A1C" w14:paraId="675A7499" w14:textId="77777777" w:rsidTr="00FB35A4">
        <w:trPr>
          <w:trHeight w:val="245"/>
        </w:trPr>
        <w:tc>
          <w:tcPr>
            <w:tcW w:w="1696" w:type="dxa"/>
            <w:vMerge w:val="restart"/>
            <w:shd w:val="clear" w:color="auto" w:fill="auto"/>
            <w:vAlign w:val="center"/>
            <w:hideMark/>
          </w:tcPr>
          <w:p w14:paraId="2304BC57"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NADĚJE, oblast Otrokovice</w:t>
            </w:r>
          </w:p>
        </w:tc>
        <w:tc>
          <w:tcPr>
            <w:tcW w:w="2410" w:type="dxa"/>
            <w:shd w:val="clear" w:color="000000" w:fill="FFFFFF"/>
            <w:vAlign w:val="center"/>
            <w:hideMark/>
          </w:tcPr>
          <w:p w14:paraId="07BA24E2"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Denní stacionáře</w:t>
            </w:r>
          </w:p>
        </w:tc>
        <w:tc>
          <w:tcPr>
            <w:tcW w:w="992" w:type="dxa"/>
            <w:shd w:val="clear" w:color="000000" w:fill="FFFFFF"/>
            <w:vAlign w:val="center"/>
            <w:hideMark/>
          </w:tcPr>
          <w:p w14:paraId="0B25AC53"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3F50A4C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13CF0C3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 osob/okamžik</w:t>
            </w:r>
          </w:p>
        </w:tc>
        <w:tc>
          <w:tcPr>
            <w:tcW w:w="700" w:type="dxa"/>
            <w:shd w:val="clear" w:color="000000" w:fill="FFFFFF"/>
            <w:vAlign w:val="center"/>
            <w:hideMark/>
          </w:tcPr>
          <w:p w14:paraId="091549B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13</w:t>
            </w:r>
          </w:p>
        </w:tc>
        <w:tc>
          <w:tcPr>
            <w:tcW w:w="638" w:type="dxa"/>
            <w:shd w:val="clear" w:color="000000" w:fill="FFFFFF"/>
            <w:vAlign w:val="center"/>
            <w:hideMark/>
          </w:tcPr>
          <w:p w14:paraId="10BABFB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w:t>
            </w:r>
          </w:p>
        </w:tc>
      </w:tr>
      <w:tr w:rsidR="00FB35A4" w:rsidRPr="00257A1C" w14:paraId="104CC282" w14:textId="77777777" w:rsidTr="00FB35A4">
        <w:trPr>
          <w:trHeight w:val="360"/>
        </w:trPr>
        <w:tc>
          <w:tcPr>
            <w:tcW w:w="1696" w:type="dxa"/>
            <w:vMerge/>
            <w:vAlign w:val="center"/>
            <w:hideMark/>
          </w:tcPr>
          <w:p w14:paraId="1438019A"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43A239A0"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osoby se zdravotním postižením (026 – 50 lůžek)</w:t>
            </w:r>
          </w:p>
        </w:tc>
        <w:tc>
          <w:tcPr>
            <w:tcW w:w="992" w:type="dxa"/>
            <w:shd w:val="clear" w:color="000000" w:fill="FFFFFF"/>
            <w:vAlign w:val="center"/>
            <w:hideMark/>
          </w:tcPr>
          <w:p w14:paraId="4189904F"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5571F0BA"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0F2CFB1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35 lůžek</w:t>
            </w:r>
          </w:p>
        </w:tc>
        <w:tc>
          <w:tcPr>
            <w:tcW w:w="700" w:type="dxa"/>
            <w:shd w:val="clear" w:color="000000" w:fill="FFFFFF"/>
            <w:vAlign w:val="center"/>
            <w:hideMark/>
          </w:tcPr>
          <w:p w14:paraId="4BA9944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37</w:t>
            </w:r>
          </w:p>
        </w:tc>
        <w:tc>
          <w:tcPr>
            <w:tcW w:w="638" w:type="dxa"/>
            <w:shd w:val="clear" w:color="000000" w:fill="FFFFFF"/>
            <w:vAlign w:val="center"/>
            <w:hideMark/>
          </w:tcPr>
          <w:p w14:paraId="43AAF38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w:t>
            </w:r>
          </w:p>
        </w:tc>
      </w:tr>
      <w:tr w:rsidR="00FB35A4" w:rsidRPr="00257A1C" w14:paraId="0C661E96" w14:textId="77777777" w:rsidTr="00FB35A4">
        <w:trPr>
          <w:trHeight w:val="241"/>
        </w:trPr>
        <w:tc>
          <w:tcPr>
            <w:tcW w:w="1696" w:type="dxa"/>
            <w:vMerge/>
            <w:vAlign w:val="center"/>
            <w:hideMark/>
          </w:tcPr>
          <w:p w14:paraId="6BCEA780"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71FCD521"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Chráněné bydlení</w:t>
            </w:r>
          </w:p>
        </w:tc>
        <w:tc>
          <w:tcPr>
            <w:tcW w:w="992" w:type="dxa"/>
            <w:shd w:val="clear" w:color="000000" w:fill="FFFFFF"/>
            <w:vAlign w:val="center"/>
            <w:hideMark/>
          </w:tcPr>
          <w:p w14:paraId="0B89481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2C9FE3B0"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0CEEB36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24 lůžek</w:t>
            </w:r>
          </w:p>
        </w:tc>
        <w:tc>
          <w:tcPr>
            <w:tcW w:w="700" w:type="dxa"/>
            <w:shd w:val="clear" w:color="000000" w:fill="FFFFFF"/>
            <w:vAlign w:val="center"/>
            <w:hideMark/>
          </w:tcPr>
          <w:p w14:paraId="3C652F7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26</w:t>
            </w:r>
          </w:p>
        </w:tc>
        <w:tc>
          <w:tcPr>
            <w:tcW w:w="638" w:type="dxa"/>
            <w:shd w:val="clear" w:color="000000" w:fill="FFFFFF"/>
            <w:vAlign w:val="center"/>
            <w:hideMark/>
          </w:tcPr>
          <w:p w14:paraId="10D9BE4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w:t>
            </w:r>
          </w:p>
        </w:tc>
      </w:tr>
      <w:tr w:rsidR="00FB35A4" w:rsidRPr="00257A1C" w14:paraId="10B59338" w14:textId="77777777" w:rsidTr="00FB35A4">
        <w:trPr>
          <w:trHeight w:val="244"/>
        </w:trPr>
        <w:tc>
          <w:tcPr>
            <w:tcW w:w="1696" w:type="dxa"/>
            <w:vMerge/>
            <w:vAlign w:val="center"/>
            <w:hideMark/>
          </w:tcPr>
          <w:p w14:paraId="44B02414"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3464E6F6"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Sociálně terapeutické dílny</w:t>
            </w:r>
          </w:p>
        </w:tc>
        <w:tc>
          <w:tcPr>
            <w:tcW w:w="992" w:type="dxa"/>
            <w:shd w:val="clear" w:color="000000" w:fill="FFFFFF"/>
            <w:vAlign w:val="center"/>
            <w:hideMark/>
          </w:tcPr>
          <w:p w14:paraId="1DFD4116"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17B6BB0B"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5832448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40 osob/okamžik</w:t>
            </w:r>
          </w:p>
        </w:tc>
        <w:tc>
          <w:tcPr>
            <w:tcW w:w="700" w:type="dxa"/>
            <w:shd w:val="clear" w:color="000000" w:fill="FFFFFF"/>
            <w:vAlign w:val="center"/>
            <w:hideMark/>
          </w:tcPr>
          <w:p w14:paraId="1B7AC27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84</w:t>
            </w:r>
          </w:p>
        </w:tc>
        <w:tc>
          <w:tcPr>
            <w:tcW w:w="638" w:type="dxa"/>
            <w:shd w:val="clear" w:color="000000" w:fill="FFFFFF"/>
            <w:vAlign w:val="center"/>
            <w:hideMark/>
          </w:tcPr>
          <w:p w14:paraId="4F83DCA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w:t>
            </w:r>
          </w:p>
        </w:tc>
      </w:tr>
      <w:tr w:rsidR="00FB35A4" w:rsidRPr="00257A1C" w14:paraId="35DBA206" w14:textId="77777777" w:rsidTr="00FB35A4">
        <w:trPr>
          <w:trHeight w:val="248"/>
        </w:trPr>
        <w:tc>
          <w:tcPr>
            <w:tcW w:w="1696" w:type="dxa"/>
            <w:vMerge w:val="restart"/>
            <w:shd w:val="clear" w:color="auto" w:fill="auto"/>
            <w:vAlign w:val="center"/>
            <w:hideMark/>
          </w:tcPr>
          <w:p w14:paraId="20DD91EE"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NADĚJE, oblast Zlín</w:t>
            </w:r>
          </w:p>
        </w:tc>
        <w:tc>
          <w:tcPr>
            <w:tcW w:w="2410" w:type="dxa"/>
            <w:shd w:val="clear" w:color="000000" w:fill="FFFFFF"/>
            <w:vAlign w:val="center"/>
            <w:hideMark/>
          </w:tcPr>
          <w:p w14:paraId="6F340EFB"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Denní stacionáře</w:t>
            </w:r>
          </w:p>
        </w:tc>
        <w:tc>
          <w:tcPr>
            <w:tcW w:w="992" w:type="dxa"/>
            <w:shd w:val="clear" w:color="000000" w:fill="FFFFFF"/>
            <w:vAlign w:val="center"/>
            <w:hideMark/>
          </w:tcPr>
          <w:p w14:paraId="3B2FA3E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ambulantní</w:t>
            </w:r>
          </w:p>
        </w:tc>
        <w:tc>
          <w:tcPr>
            <w:tcW w:w="1276" w:type="dxa"/>
            <w:vMerge w:val="restart"/>
            <w:shd w:val="clear" w:color="000000" w:fill="FFFFFF"/>
            <w:vAlign w:val="center"/>
            <w:hideMark/>
          </w:tcPr>
          <w:p w14:paraId="2DAEA96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20A5DD3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20 osob/okamžik</w:t>
            </w:r>
          </w:p>
        </w:tc>
        <w:tc>
          <w:tcPr>
            <w:tcW w:w="700" w:type="dxa"/>
            <w:shd w:val="clear" w:color="000000" w:fill="FFFFFF"/>
            <w:vAlign w:val="center"/>
            <w:hideMark/>
          </w:tcPr>
          <w:p w14:paraId="16253A9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39</w:t>
            </w:r>
          </w:p>
        </w:tc>
        <w:tc>
          <w:tcPr>
            <w:tcW w:w="638" w:type="dxa"/>
            <w:shd w:val="clear" w:color="000000" w:fill="FFFFFF"/>
            <w:vAlign w:val="center"/>
            <w:hideMark/>
          </w:tcPr>
          <w:p w14:paraId="2D44722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31</w:t>
            </w:r>
          </w:p>
        </w:tc>
      </w:tr>
      <w:tr w:rsidR="00FB35A4" w:rsidRPr="00257A1C" w14:paraId="110992B1" w14:textId="77777777" w:rsidTr="00FB35A4">
        <w:trPr>
          <w:trHeight w:val="366"/>
        </w:trPr>
        <w:tc>
          <w:tcPr>
            <w:tcW w:w="1696" w:type="dxa"/>
            <w:vMerge/>
            <w:vAlign w:val="center"/>
            <w:hideMark/>
          </w:tcPr>
          <w:p w14:paraId="45E39CF1"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48089E72"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(041 – 70 lůžek)</w:t>
            </w:r>
          </w:p>
        </w:tc>
        <w:tc>
          <w:tcPr>
            <w:tcW w:w="992" w:type="dxa"/>
            <w:shd w:val="clear" w:color="000000" w:fill="FFFFFF"/>
            <w:vAlign w:val="center"/>
            <w:hideMark/>
          </w:tcPr>
          <w:p w14:paraId="0DB34D8A"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32B25D9B"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7FBDDF2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46 lůžek</w:t>
            </w:r>
          </w:p>
        </w:tc>
        <w:tc>
          <w:tcPr>
            <w:tcW w:w="700" w:type="dxa"/>
            <w:shd w:val="clear" w:color="000000" w:fill="FFFFFF"/>
            <w:vAlign w:val="center"/>
            <w:hideMark/>
          </w:tcPr>
          <w:p w14:paraId="322768F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61</w:t>
            </w:r>
          </w:p>
        </w:tc>
        <w:tc>
          <w:tcPr>
            <w:tcW w:w="638" w:type="dxa"/>
            <w:shd w:val="clear" w:color="000000" w:fill="FFFFFF"/>
            <w:vAlign w:val="center"/>
            <w:hideMark/>
          </w:tcPr>
          <w:p w14:paraId="2CF368D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59</w:t>
            </w:r>
          </w:p>
        </w:tc>
      </w:tr>
      <w:tr w:rsidR="00FB35A4" w:rsidRPr="00257A1C" w14:paraId="07296A46" w14:textId="77777777" w:rsidTr="00FB35A4">
        <w:trPr>
          <w:trHeight w:val="763"/>
        </w:trPr>
        <w:tc>
          <w:tcPr>
            <w:tcW w:w="1696" w:type="dxa"/>
            <w:vMerge/>
            <w:vAlign w:val="center"/>
            <w:hideMark/>
          </w:tcPr>
          <w:p w14:paraId="374D4593"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A72F7D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se zvláštním režimem – pro osoby s Alzheimerovou chorobou a jinými typy demencí (001 – 25 lůžek)</w:t>
            </w:r>
          </w:p>
        </w:tc>
        <w:tc>
          <w:tcPr>
            <w:tcW w:w="992" w:type="dxa"/>
            <w:shd w:val="clear" w:color="000000" w:fill="FFFFFF"/>
            <w:vAlign w:val="center"/>
            <w:hideMark/>
          </w:tcPr>
          <w:p w14:paraId="179B9C80"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47CF8B5A"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0021E60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19 lůžek</w:t>
            </w:r>
          </w:p>
        </w:tc>
        <w:tc>
          <w:tcPr>
            <w:tcW w:w="700" w:type="dxa"/>
            <w:shd w:val="clear" w:color="000000" w:fill="FFFFFF"/>
            <w:vAlign w:val="center"/>
            <w:hideMark/>
          </w:tcPr>
          <w:p w14:paraId="2F821DF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23</w:t>
            </w:r>
          </w:p>
        </w:tc>
        <w:tc>
          <w:tcPr>
            <w:tcW w:w="638" w:type="dxa"/>
            <w:shd w:val="clear" w:color="000000" w:fill="FFFFFF"/>
            <w:vAlign w:val="center"/>
            <w:hideMark/>
          </w:tcPr>
          <w:p w14:paraId="2DC55A6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w:t>
            </w:r>
          </w:p>
        </w:tc>
      </w:tr>
      <w:tr w:rsidR="00FB35A4" w:rsidRPr="00257A1C" w14:paraId="7B7CF005" w14:textId="77777777" w:rsidTr="00FB35A4">
        <w:trPr>
          <w:trHeight w:val="331"/>
        </w:trPr>
        <w:tc>
          <w:tcPr>
            <w:tcW w:w="1696" w:type="dxa"/>
            <w:vMerge/>
            <w:vAlign w:val="center"/>
            <w:hideMark/>
          </w:tcPr>
          <w:p w14:paraId="5ADEBEE5"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E4E2B43"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Chráněné bydlení</w:t>
            </w:r>
          </w:p>
        </w:tc>
        <w:tc>
          <w:tcPr>
            <w:tcW w:w="992" w:type="dxa"/>
            <w:shd w:val="clear" w:color="000000" w:fill="FFFFFF"/>
            <w:vAlign w:val="center"/>
            <w:hideMark/>
          </w:tcPr>
          <w:p w14:paraId="07DE7B8A"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restart"/>
            <w:shd w:val="clear" w:color="000000" w:fill="FFFFFF"/>
            <w:vAlign w:val="center"/>
            <w:hideMark/>
          </w:tcPr>
          <w:p w14:paraId="7D361A9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1FA6512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25 lůžek</w:t>
            </w:r>
          </w:p>
        </w:tc>
        <w:tc>
          <w:tcPr>
            <w:tcW w:w="700" w:type="dxa"/>
            <w:shd w:val="clear" w:color="000000" w:fill="FFFFFF"/>
            <w:vAlign w:val="center"/>
            <w:hideMark/>
          </w:tcPr>
          <w:p w14:paraId="4A83C6E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26</w:t>
            </w:r>
          </w:p>
        </w:tc>
        <w:tc>
          <w:tcPr>
            <w:tcW w:w="638" w:type="dxa"/>
            <w:shd w:val="clear" w:color="000000" w:fill="FFFFFF"/>
            <w:vAlign w:val="center"/>
            <w:hideMark/>
          </w:tcPr>
          <w:p w14:paraId="3C71F97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25</w:t>
            </w:r>
          </w:p>
        </w:tc>
      </w:tr>
      <w:tr w:rsidR="00FB35A4" w:rsidRPr="00257A1C" w14:paraId="0C744FB8" w14:textId="77777777" w:rsidTr="00FB35A4">
        <w:trPr>
          <w:trHeight w:val="366"/>
        </w:trPr>
        <w:tc>
          <w:tcPr>
            <w:tcW w:w="1696" w:type="dxa"/>
            <w:vMerge/>
            <w:vAlign w:val="center"/>
            <w:hideMark/>
          </w:tcPr>
          <w:p w14:paraId="0310F831"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3D0E1364"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Sociálně terapeutické dílny</w:t>
            </w:r>
          </w:p>
        </w:tc>
        <w:tc>
          <w:tcPr>
            <w:tcW w:w="992" w:type="dxa"/>
            <w:shd w:val="clear" w:color="000000" w:fill="FFFFFF"/>
            <w:vAlign w:val="center"/>
            <w:hideMark/>
          </w:tcPr>
          <w:p w14:paraId="600AC7E2"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18A310CE"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42C8714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60 osob/okamžik</w:t>
            </w:r>
          </w:p>
        </w:tc>
        <w:tc>
          <w:tcPr>
            <w:tcW w:w="700" w:type="dxa"/>
            <w:shd w:val="clear" w:color="000000" w:fill="FFFFFF"/>
            <w:vAlign w:val="center"/>
            <w:hideMark/>
          </w:tcPr>
          <w:p w14:paraId="1EAF4ED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68</w:t>
            </w:r>
          </w:p>
        </w:tc>
        <w:tc>
          <w:tcPr>
            <w:tcW w:w="638" w:type="dxa"/>
            <w:shd w:val="clear" w:color="000000" w:fill="FFFFFF"/>
            <w:vAlign w:val="center"/>
            <w:hideMark/>
          </w:tcPr>
          <w:p w14:paraId="467187D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56</w:t>
            </w:r>
          </w:p>
        </w:tc>
      </w:tr>
      <w:tr w:rsidR="00FB35A4" w:rsidRPr="00257A1C" w14:paraId="4851805E" w14:textId="77777777" w:rsidTr="00FB35A4">
        <w:trPr>
          <w:trHeight w:val="353"/>
        </w:trPr>
        <w:tc>
          <w:tcPr>
            <w:tcW w:w="1696" w:type="dxa"/>
            <w:vMerge w:val="restart"/>
            <w:shd w:val="clear" w:color="auto" w:fill="auto"/>
            <w:vAlign w:val="center"/>
            <w:hideMark/>
          </w:tcPr>
          <w:p w14:paraId="652303CF"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Oblastní spolek Českého  červeného kříže Zlín</w:t>
            </w:r>
          </w:p>
        </w:tc>
        <w:tc>
          <w:tcPr>
            <w:tcW w:w="2410" w:type="dxa"/>
            <w:shd w:val="clear" w:color="000000" w:fill="FFFFFF"/>
            <w:vAlign w:val="center"/>
            <w:hideMark/>
          </w:tcPr>
          <w:p w14:paraId="0B55FE5C"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Azylové domy – pro muže a ženy bez přístřeší</w:t>
            </w:r>
          </w:p>
        </w:tc>
        <w:tc>
          <w:tcPr>
            <w:tcW w:w="992" w:type="dxa"/>
            <w:shd w:val="clear" w:color="000000" w:fill="FFFFFF"/>
            <w:vAlign w:val="center"/>
            <w:hideMark/>
          </w:tcPr>
          <w:p w14:paraId="7D0BC0F2"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restart"/>
            <w:shd w:val="clear" w:color="000000" w:fill="FFFFFF"/>
            <w:vAlign w:val="center"/>
            <w:hideMark/>
          </w:tcPr>
          <w:p w14:paraId="46F6069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6767A04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14 lůžek</w:t>
            </w:r>
          </w:p>
        </w:tc>
        <w:tc>
          <w:tcPr>
            <w:tcW w:w="700" w:type="dxa"/>
            <w:shd w:val="clear" w:color="000000" w:fill="FFFFFF"/>
            <w:vAlign w:val="center"/>
            <w:hideMark/>
          </w:tcPr>
          <w:p w14:paraId="0D7D94D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40</w:t>
            </w:r>
          </w:p>
        </w:tc>
        <w:tc>
          <w:tcPr>
            <w:tcW w:w="638" w:type="dxa"/>
            <w:shd w:val="clear" w:color="000000" w:fill="FFFFFF"/>
            <w:vAlign w:val="center"/>
            <w:hideMark/>
          </w:tcPr>
          <w:p w14:paraId="25C316E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21</w:t>
            </w:r>
          </w:p>
        </w:tc>
      </w:tr>
      <w:tr w:rsidR="00FB35A4" w:rsidRPr="00257A1C" w14:paraId="50113D6E" w14:textId="77777777" w:rsidTr="00FB35A4">
        <w:trPr>
          <w:trHeight w:val="247"/>
        </w:trPr>
        <w:tc>
          <w:tcPr>
            <w:tcW w:w="1696" w:type="dxa"/>
            <w:vMerge/>
            <w:vAlign w:val="center"/>
            <w:hideMark/>
          </w:tcPr>
          <w:p w14:paraId="79B66CB0"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66749445"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 xml:space="preserve">Nízkoprahová denní centra </w:t>
            </w:r>
          </w:p>
        </w:tc>
        <w:tc>
          <w:tcPr>
            <w:tcW w:w="992" w:type="dxa"/>
            <w:shd w:val="clear" w:color="000000" w:fill="FFFFFF"/>
            <w:vAlign w:val="center"/>
            <w:hideMark/>
          </w:tcPr>
          <w:p w14:paraId="2169107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56AA0A5C"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545C56C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 osob/okamžik</w:t>
            </w:r>
          </w:p>
        </w:tc>
        <w:tc>
          <w:tcPr>
            <w:tcW w:w="700" w:type="dxa"/>
            <w:shd w:val="clear" w:color="000000" w:fill="FFFFFF"/>
            <w:vAlign w:val="center"/>
            <w:hideMark/>
          </w:tcPr>
          <w:p w14:paraId="757A8EB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120</w:t>
            </w:r>
          </w:p>
        </w:tc>
        <w:tc>
          <w:tcPr>
            <w:tcW w:w="638" w:type="dxa"/>
            <w:shd w:val="clear" w:color="000000" w:fill="FFFFFF"/>
            <w:vAlign w:val="center"/>
            <w:hideMark/>
          </w:tcPr>
          <w:p w14:paraId="79C32FE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120</w:t>
            </w:r>
          </w:p>
        </w:tc>
      </w:tr>
      <w:tr w:rsidR="00FB35A4" w:rsidRPr="00257A1C" w14:paraId="6CCADD83" w14:textId="77777777" w:rsidTr="00FB35A4">
        <w:trPr>
          <w:trHeight w:val="225"/>
        </w:trPr>
        <w:tc>
          <w:tcPr>
            <w:tcW w:w="1696" w:type="dxa"/>
            <w:vMerge/>
            <w:vAlign w:val="center"/>
            <w:hideMark/>
          </w:tcPr>
          <w:p w14:paraId="406E8BB0"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6BF1B9E6"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Noclehárny</w:t>
            </w:r>
          </w:p>
        </w:tc>
        <w:tc>
          <w:tcPr>
            <w:tcW w:w="992" w:type="dxa"/>
            <w:shd w:val="clear" w:color="000000" w:fill="FFFFFF"/>
            <w:vAlign w:val="center"/>
            <w:hideMark/>
          </w:tcPr>
          <w:p w14:paraId="33759A07"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41A2C08E"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1BC1E26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 lůžek</w:t>
            </w:r>
          </w:p>
        </w:tc>
        <w:tc>
          <w:tcPr>
            <w:tcW w:w="700" w:type="dxa"/>
            <w:shd w:val="clear" w:color="000000" w:fill="FFFFFF"/>
            <w:vAlign w:val="center"/>
            <w:hideMark/>
          </w:tcPr>
          <w:p w14:paraId="7817429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63</w:t>
            </w:r>
          </w:p>
        </w:tc>
        <w:tc>
          <w:tcPr>
            <w:tcW w:w="638" w:type="dxa"/>
            <w:shd w:val="clear" w:color="000000" w:fill="FFFFFF"/>
            <w:vAlign w:val="center"/>
            <w:hideMark/>
          </w:tcPr>
          <w:p w14:paraId="2F62650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26</w:t>
            </w:r>
          </w:p>
        </w:tc>
      </w:tr>
      <w:tr w:rsidR="00FB35A4" w:rsidRPr="00257A1C" w14:paraId="52125C22" w14:textId="77777777" w:rsidTr="00FB35A4">
        <w:trPr>
          <w:trHeight w:val="294"/>
        </w:trPr>
        <w:tc>
          <w:tcPr>
            <w:tcW w:w="1696" w:type="dxa"/>
            <w:vMerge/>
            <w:vAlign w:val="center"/>
            <w:hideMark/>
          </w:tcPr>
          <w:p w14:paraId="3DA0E33A"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6039ECA1"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 xml:space="preserve">Pečovatelská služba </w:t>
            </w:r>
          </w:p>
        </w:tc>
        <w:tc>
          <w:tcPr>
            <w:tcW w:w="992" w:type="dxa"/>
            <w:shd w:val="clear" w:color="000000" w:fill="FFFFFF"/>
            <w:vAlign w:val="center"/>
            <w:hideMark/>
          </w:tcPr>
          <w:p w14:paraId="2937BE0C"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5A8298D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5F2F539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 osoby/okamžik</w:t>
            </w:r>
          </w:p>
        </w:tc>
        <w:tc>
          <w:tcPr>
            <w:tcW w:w="700" w:type="dxa"/>
            <w:shd w:val="clear" w:color="000000" w:fill="FFFFFF"/>
            <w:vAlign w:val="center"/>
            <w:hideMark/>
          </w:tcPr>
          <w:p w14:paraId="35A5B02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24</w:t>
            </w:r>
          </w:p>
        </w:tc>
        <w:tc>
          <w:tcPr>
            <w:tcW w:w="638" w:type="dxa"/>
            <w:shd w:val="clear" w:color="000000" w:fill="FFFFFF"/>
            <w:vAlign w:val="center"/>
            <w:hideMark/>
          </w:tcPr>
          <w:p w14:paraId="30629C4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20</w:t>
            </w:r>
          </w:p>
        </w:tc>
      </w:tr>
      <w:tr w:rsidR="00FB35A4" w:rsidRPr="00257A1C" w14:paraId="1A7EA70C" w14:textId="77777777" w:rsidTr="00FB35A4">
        <w:trPr>
          <w:trHeight w:val="332"/>
        </w:trPr>
        <w:tc>
          <w:tcPr>
            <w:tcW w:w="1696" w:type="dxa"/>
            <w:shd w:val="clear" w:color="000000" w:fill="FFFFFF"/>
            <w:vAlign w:val="center"/>
            <w:hideMark/>
          </w:tcPr>
          <w:p w14:paraId="2565665C"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Podané ruce - osobní asistence</w:t>
            </w:r>
          </w:p>
        </w:tc>
        <w:tc>
          <w:tcPr>
            <w:tcW w:w="2410" w:type="dxa"/>
            <w:shd w:val="clear" w:color="000000" w:fill="FFFFFF"/>
            <w:vAlign w:val="center"/>
            <w:hideMark/>
          </w:tcPr>
          <w:p w14:paraId="3E14A160"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Osobní asistence</w:t>
            </w:r>
          </w:p>
        </w:tc>
        <w:tc>
          <w:tcPr>
            <w:tcW w:w="992" w:type="dxa"/>
            <w:shd w:val="clear" w:color="000000" w:fill="FFFFFF"/>
            <w:noWrap/>
            <w:vAlign w:val="center"/>
            <w:hideMark/>
          </w:tcPr>
          <w:p w14:paraId="387FC46E"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189F80A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3A179EE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 osob</w:t>
            </w:r>
          </w:p>
        </w:tc>
        <w:tc>
          <w:tcPr>
            <w:tcW w:w="700" w:type="dxa"/>
            <w:shd w:val="clear" w:color="000000" w:fill="FFFFFF"/>
            <w:vAlign w:val="center"/>
            <w:hideMark/>
          </w:tcPr>
          <w:p w14:paraId="3738A12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43</w:t>
            </w:r>
          </w:p>
        </w:tc>
        <w:tc>
          <w:tcPr>
            <w:tcW w:w="638" w:type="dxa"/>
            <w:shd w:val="clear" w:color="000000" w:fill="FFFFFF"/>
            <w:vAlign w:val="center"/>
            <w:hideMark/>
          </w:tcPr>
          <w:p w14:paraId="128BDBD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26</w:t>
            </w:r>
          </w:p>
        </w:tc>
      </w:tr>
      <w:tr w:rsidR="00FB35A4" w:rsidRPr="00257A1C" w14:paraId="4B98D429" w14:textId="77777777" w:rsidTr="00FB35A4">
        <w:trPr>
          <w:trHeight w:val="385"/>
        </w:trPr>
        <w:tc>
          <w:tcPr>
            <w:tcW w:w="1696" w:type="dxa"/>
            <w:shd w:val="clear" w:color="000000" w:fill="FFFFFF"/>
            <w:vAlign w:val="center"/>
            <w:hideMark/>
          </w:tcPr>
          <w:p w14:paraId="07DB3135"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Salesiánský klub mládeže, z. s. Zlín</w:t>
            </w:r>
          </w:p>
        </w:tc>
        <w:tc>
          <w:tcPr>
            <w:tcW w:w="2410" w:type="dxa"/>
            <w:shd w:val="clear" w:color="000000" w:fill="FFFFFF"/>
            <w:vAlign w:val="center"/>
            <w:hideMark/>
          </w:tcPr>
          <w:p w14:paraId="7EFB7A6B"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Nízkoprahová zařízení pro děti a mládež</w:t>
            </w:r>
          </w:p>
        </w:tc>
        <w:tc>
          <w:tcPr>
            <w:tcW w:w="992" w:type="dxa"/>
            <w:shd w:val="clear" w:color="000000" w:fill="FFFFFF"/>
            <w:vAlign w:val="center"/>
            <w:hideMark/>
          </w:tcPr>
          <w:p w14:paraId="1094559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25A4E32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Rodiny s dětmi</w:t>
            </w:r>
          </w:p>
        </w:tc>
        <w:tc>
          <w:tcPr>
            <w:tcW w:w="1353" w:type="dxa"/>
            <w:shd w:val="clear" w:color="000000" w:fill="FFFFFF"/>
            <w:vAlign w:val="center"/>
            <w:hideMark/>
          </w:tcPr>
          <w:p w14:paraId="41ABA38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35 osob/okamžik</w:t>
            </w:r>
          </w:p>
        </w:tc>
        <w:tc>
          <w:tcPr>
            <w:tcW w:w="700" w:type="dxa"/>
            <w:shd w:val="clear" w:color="000000" w:fill="FFFFFF"/>
            <w:vAlign w:val="center"/>
            <w:hideMark/>
          </w:tcPr>
          <w:p w14:paraId="70ACCFF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129</w:t>
            </w:r>
          </w:p>
        </w:tc>
        <w:tc>
          <w:tcPr>
            <w:tcW w:w="638" w:type="dxa"/>
            <w:shd w:val="clear" w:color="000000" w:fill="FFFFFF"/>
            <w:vAlign w:val="center"/>
            <w:hideMark/>
          </w:tcPr>
          <w:p w14:paraId="30B284A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114</w:t>
            </w:r>
          </w:p>
        </w:tc>
      </w:tr>
      <w:tr w:rsidR="00FB35A4" w:rsidRPr="00257A1C" w14:paraId="692DE05F" w14:textId="77777777" w:rsidTr="00FB35A4">
        <w:trPr>
          <w:trHeight w:val="375"/>
        </w:trPr>
        <w:tc>
          <w:tcPr>
            <w:tcW w:w="1696" w:type="dxa"/>
            <w:vMerge w:val="restart"/>
            <w:shd w:val="clear" w:color="000000" w:fill="FFFFFF"/>
            <w:vAlign w:val="center"/>
            <w:hideMark/>
          </w:tcPr>
          <w:p w14:paraId="411017A4"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SENIOR Otrokovice, p.o.</w:t>
            </w:r>
          </w:p>
        </w:tc>
        <w:tc>
          <w:tcPr>
            <w:tcW w:w="2410" w:type="dxa"/>
            <w:shd w:val="clear" w:color="000000" w:fill="FFFFFF"/>
            <w:vAlign w:val="center"/>
            <w:hideMark/>
          </w:tcPr>
          <w:p w14:paraId="2167B3E4"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seniory (041 – 70 lůžek)</w:t>
            </w:r>
          </w:p>
        </w:tc>
        <w:tc>
          <w:tcPr>
            <w:tcW w:w="992" w:type="dxa"/>
            <w:shd w:val="clear" w:color="000000" w:fill="FFFFFF"/>
            <w:vAlign w:val="center"/>
            <w:hideMark/>
          </w:tcPr>
          <w:p w14:paraId="226CE5F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restart"/>
            <w:shd w:val="clear" w:color="000000" w:fill="FFFFFF"/>
            <w:vAlign w:val="center"/>
            <w:hideMark/>
          </w:tcPr>
          <w:p w14:paraId="46BF91D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3E4AE62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70 lůžek</w:t>
            </w:r>
          </w:p>
        </w:tc>
        <w:tc>
          <w:tcPr>
            <w:tcW w:w="700" w:type="dxa"/>
            <w:shd w:val="clear" w:color="000000" w:fill="FFFFFF"/>
            <w:vAlign w:val="center"/>
            <w:hideMark/>
          </w:tcPr>
          <w:p w14:paraId="5A6B77F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89</w:t>
            </w:r>
          </w:p>
        </w:tc>
        <w:tc>
          <w:tcPr>
            <w:tcW w:w="638" w:type="dxa"/>
            <w:shd w:val="clear" w:color="000000" w:fill="FFFFFF"/>
            <w:vAlign w:val="center"/>
            <w:hideMark/>
          </w:tcPr>
          <w:p w14:paraId="67E577B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w:t>
            </w:r>
          </w:p>
        </w:tc>
      </w:tr>
      <w:tr w:rsidR="00FB35A4" w:rsidRPr="00257A1C" w14:paraId="4CBD7376" w14:textId="77777777" w:rsidTr="00FB35A4">
        <w:trPr>
          <w:trHeight w:val="240"/>
        </w:trPr>
        <w:tc>
          <w:tcPr>
            <w:tcW w:w="1696" w:type="dxa"/>
            <w:vMerge/>
            <w:vAlign w:val="center"/>
            <w:hideMark/>
          </w:tcPr>
          <w:p w14:paraId="20058E41"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102F231E"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Odlehčovací služby</w:t>
            </w:r>
          </w:p>
        </w:tc>
        <w:tc>
          <w:tcPr>
            <w:tcW w:w="992" w:type="dxa"/>
            <w:shd w:val="clear" w:color="000000" w:fill="FFFFFF"/>
            <w:vAlign w:val="center"/>
            <w:hideMark/>
          </w:tcPr>
          <w:p w14:paraId="7B62DEA8"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1B04CC0B"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221482F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 lůžka</w:t>
            </w:r>
          </w:p>
        </w:tc>
        <w:tc>
          <w:tcPr>
            <w:tcW w:w="700" w:type="dxa"/>
            <w:shd w:val="clear" w:color="000000" w:fill="FFFFFF"/>
            <w:vAlign w:val="center"/>
            <w:hideMark/>
          </w:tcPr>
          <w:p w14:paraId="07F0DD5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31</w:t>
            </w:r>
          </w:p>
        </w:tc>
        <w:tc>
          <w:tcPr>
            <w:tcW w:w="638" w:type="dxa"/>
            <w:shd w:val="clear" w:color="000000" w:fill="FFFFFF"/>
            <w:vAlign w:val="center"/>
            <w:hideMark/>
          </w:tcPr>
          <w:p w14:paraId="3E68923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w:t>
            </w:r>
          </w:p>
        </w:tc>
      </w:tr>
      <w:tr w:rsidR="00FB35A4" w:rsidRPr="00257A1C" w14:paraId="59BC65F2" w14:textId="77777777" w:rsidTr="00FB35A4">
        <w:trPr>
          <w:trHeight w:val="310"/>
        </w:trPr>
        <w:tc>
          <w:tcPr>
            <w:tcW w:w="1696" w:type="dxa"/>
            <w:vMerge/>
            <w:vAlign w:val="center"/>
            <w:hideMark/>
          </w:tcPr>
          <w:p w14:paraId="1B0353E8"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69B69D2E"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Odlehčovací služby</w:t>
            </w:r>
          </w:p>
        </w:tc>
        <w:tc>
          <w:tcPr>
            <w:tcW w:w="992" w:type="dxa"/>
            <w:shd w:val="clear" w:color="000000" w:fill="FFFFFF"/>
            <w:vAlign w:val="center"/>
            <w:hideMark/>
          </w:tcPr>
          <w:p w14:paraId="1DB8ECDE"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5A63BD7D"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3F69512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 lůžka</w:t>
            </w:r>
          </w:p>
        </w:tc>
        <w:tc>
          <w:tcPr>
            <w:tcW w:w="700" w:type="dxa"/>
            <w:shd w:val="clear" w:color="000000" w:fill="FFFFFF"/>
            <w:vAlign w:val="center"/>
            <w:hideMark/>
          </w:tcPr>
          <w:p w14:paraId="465A4E5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45</w:t>
            </w:r>
          </w:p>
        </w:tc>
        <w:tc>
          <w:tcPr>
            <w:tcW w:w="638" w:type="dxa"/>
            <w:shd w:val="clear" w:color="000000" w:fill="FFFFFF"/>
            <w:vAlign w:val="center"/>
            <w:hideMark/>
          </w:tcPr>
          <w:p w14:paraId="117BE99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w:t>
            </w:r>
          </w:p>
        </w:tc>
      </w:tr>
      <w:tr w:rsidR="00FB35A4" w:rsidRPr="00257A1C" w14:paraId="180C5E4C" w14:textId="77777777" w:rsidTr="00FB35A4">
        <w:trPr>
          <w:trHeight w:val="248"/>
        </w:trPr>
        <w:tc>
          <w:tcPr>
            <w:tcW w:w="1696" w:type="dxa"/>
            <w:vMerge w:val="restart"/>
            <w:shd w:val="clear" w:color="000000" w:fill="FFFFFF"/>
            <w:vAlign w:val="center"/>
            <w:hideMark/>
          </w:tcPr>
          <w:p w14:paraId="2B9FE1F0"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Sjednocená organizace nevidomých a slabozrakých ČR, z.s.</w:t>
            </w:r>
          </w:p>
        </w:tc>
        <w:tc>
          <w:tcPr>
            <w:tcW w:w="2410" w:type="dxa"/>
            <w:shd w:val="clear" w:color="000000" w:fill="FFFFFF"/>
            <w:vAlign w:val="center"/>
            <w:hideMark/>
          </w:tcPr>
          <w:p w14:paraId="2FAB72AE"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5F5B436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4B36414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7B731FB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 intervence/den</w:t>
            </w:r>
          </w:p>
        </w:tc>
        <w:tc>
          <w:tcPr>
            <w:tcW w:w="700" w:type="dxa"/>
            <w:shd w:val="clear" w:color="000000" w:fill="FFFFFF"/>
            <w:vAlign w:val="center"/>
            <w:hideMark/>
          </w:tcPr>
          <w:p w14:paraId="0A9501B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105</w:t>
            </w:r>
          </w:p>
        </w:tc>
        <w:tc>
          <w:tcPr>
            <w:tcW w:w="638" w:type="dxa"/>
            <w:shd w:val="clear" w:color="000000" w:fill="FFFFFF"/>
            <w:vAlign w:val="center"/>
            <w:hideMark/>
          </w:tcPr>
          <w:p w14:paraId="117030C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79</w:t>
            </w:r>
          </w:p>
        </w:tc>
      </w:tr>
      <w:tr w:rsidR="00FB35A4" w:rsidRPr="00257A1C" w14:paraId="3A422570" w14:textId="77777777" w:rsidTr="00FB35A4">
        <w:trPr>
          <w:trHeight w:val="574"/>
        </w:trPr>
        <w:tc>
          <w:tcPr>
            <w:tcW w:w="1696" w:type="dxa"/>
            <w:vMerge/>
            <w:vAlign w:val="center"/>
            <w:hideMark/>
          </w:tcPr>
          <w:p w14:paraId="2D8A43D5"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C58FB07"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Sociálně aktivizační služby pro seniory a osoby se zdravotním postižením</w:t>
            </w:r>
          </w:p>
        </w:tc>
        <w:tc>
          <w:tcPr>
            <w:tcW w:w="992" w:type="dxa"/>
            <w:shd w:val="clear" w:color="000000" w:fill="FFFFFF"/>
            <w:vAlign w:val="center"/>
            <w:hideMark/>
          </w:tcPr>
          <w:p w14:paraId="6CA2FB4E"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438FCF47"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7F0FBF0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20 osob/okamžik</w:t>
            </w:r>
          </w:p>
        </w:tc>
        <w:tc>
          <w:tcPr>
            <w:tcW w:w="700" w:type="dxa"/>
            <w:shd w:val="clear" w:color="000000" w:fill="FFFFFF"/>
            <w:vAlign w:val="center"/>
            <w:hideMark/>
          </w:tcPr>
          <w:p w14:paraId="1A1FEFB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150</w:t>
            </w:r>
          </w:p>
        </w:tc>
        <w:tc>
          <w:tcPr>
            <w:tcW w:w="638" w:type="dxa"/>
            <w:shd w:val="clear" w:color="000000" w:fill="FFFFFF"/>
            <w:vAlign w:val="center"/>
            <w:hideMark/>
          </w:tcPr>
          <w:p w14:paraId="563B413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105</w:t>
            </w:r>
          </w:p>
        </w:tc>
      </w:tr>
      <w:tr w:rsidR="00FB35A4" w:rsidRPr="00257A1C" w14:paraId="5659D6A1" w14:textId="77777777" w:rsidTr="00FB35A4">
        <w:trPr>
          <w:trHeight w:val="270"/>
        </w:trPr>
        <w:tc>
          <w:tcPr>
            <w:tcW w:w="1696" w:type="dxa"/>
            <w:vMerge w:val="restart"/>
            <w:shd w:val="clear" w:color="000000" w:fill="FFFFFF"/>
            <w:vAlign w:val="center"/>
            <w:hideMark/>
          </w:tcPr>
          <w:p w14:paraId="16A30B96"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Sociální služby pro osoby se zdravotním postižením, p.o.</w:t>
            </w:r>
          </w:p>
        </w:tc>
        <w:tc>
          <w:tcPr>
            <w:tcW w:w="2410" w:type="dxa"/>
            <w:shd w:val="clear" w:color="000000" w:fill="FFFFFF"/>
            <w:vAlign w:val="center"/>
            <w:hideMark/>
          </w:tcPr>
          <w:p w14:paraId="0800416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Denní stacionáře</w:t>
            </w:r>
          </w:p>
        </w:tc>
        <w:tc>
          <w:tcPr>
            <w:tcW w:w="992" w:type="dxa"/>
            <w:shd w:val="clear" w:color="000000" w:fill="FFFFFF"/>
            <w:vAlign w:val="center"/>
            <w:hideMark/>
          </w:tcPr>
          <w:p w14:paraId="0CDAB477"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3D49DFB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561963C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 xml:space="preserve">4 osoby/okamžik </w:t>
            </w:r>
          </w:p>
        </w:tc>
        <w:tc>
          <w:tcPr>
            <w:tcW w:w="700" w:type="dxa"/>
            <w:shd w:val="clear" w:color="000000" w:fill="FFFFFF"/>
            <w:vAlign w:val="center"/>
            <w:hideMark/>
          </w:tcPr>
          <w:p w14:paraId="271678E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w:t>
            </w:r>
          </w:p>
        </w:tc>
        <w:tc>
          <w:tcPr>
            <w:tcW w:w="638" w:type="dxa"/>
            <w:shd w:val="clear" w:color="000000" w:fill="FFFFFF"/>
            <w:vAlign w:val="center"/>
            <w:hideMark/>
          </w:tcPr>
          <w:p w14:paraId="2429100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w:t>
            </w:r>
          </w:p>
        </w:tc>
      </w:tr>
      <w:tr w:rsidR="00FB35A4" w:rsidRPr="00257A1C" w14:paraId="77CB684D" w14:textId="77777777" w:rsidTr="00FB35A4">
        <w:trPr>
          <w:trHeight w:val="547"/>
        </w:trPr>
        <w:tc>
          <w:tcPr>
            <w:tcW w:w="1696" w:type="dxa"/>
            <w:vMerge/>
            <w:vAlign w:val="center"/>
            <w:hideMark/>
          </w:tcPr>
          <w:p w14:paraId="4F8BCDC2"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41615B33"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osoby se zdravotním postižením (001 – 25 lůžek)</w:t>
            </w:r>
          </w:p>
        </w:tc>
        <w:tc>
          <w:tcPr>
            <w:tcW w:w="992" w:type="dxa"/>
            <w:shd w:val="clear" w:color="000000" w:fill="FFFFFF"/>
            <w:vAlign w:val="center"/>
            <w:hideMark/>
          </w:tcPr>
          <w:p w14:paraId="4EF4978E"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18670F3C"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44C032C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24 lůžek</w:t>
            </w:r>
          </w:p>
        </w:tc>
        <w:tc>
          <w:tcPr>
            <w:tcW w:w="700" w:type="dxa"/>
            <w:shd w:val="clear" w:color="000000" w:fill="FFFFFF"/>
            <w:vAlign w:val="center"/>
            <w:hideMark/>
          </w:tcPr>
          <w:p w14:paraId="1C6A0A0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24</w:t>
            </w:r>
          </w:p>
        </w:tc>
        <w:tc>
          <w:tcPr>
            <w:tcW w:w="638" w:type="dxa"/>
            <w:shd w:val="clear" w:color="000000" w:fill="FFFFFF"/>
            <w:vAlign w:val="center"/>
            <w:hideMark/>
          </w:tcPr>
          <w:p w14:paraId="2B0EF4A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w:t>
            </w:r>
          </w:p>
        </w:tc>
      </w:tr>
      <w:tr w:rsidR="00FB35A4" w:rsidRPr="00257A1C" w14:paraId="03E296F5" w14:textId="77777777" w:rsidTr="00FB35A4">
        <w:trPr>
          <w:trHeight w:val="195"/>
        </w:trPr>
        <w:tc>
          <w:tcPr>
            <w:tcW w:w="1696" w:type="dxa"/>
            <w:vMerge/>
            <w:vAlign w:val="center"/>
            <w:hideMark/>
          </w:tcPr>
          <w:p w14:paraId="516D4B6E"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68F3A5BB"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Chráněné bydlení - transformace</w:t>
            </w:r>
          </w:p>
        </w:tc>
        <w:tc>
          <w:tcPr>
            <w:tcW w:w="992" w:type="dxa"/>
            <w:shd w:val="clear" w:color="000000" w:fill="FFFFFF"/>
            <w:vAlign w:val="center"/>
            <w:hideMark/>
          </w:tcPr>
          <w:p w14:paraId="6629F0EA"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720C361E"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5985196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 lůžka</w:t>
            </w:r>
          </w:p>
        </w:tc>
        <w:tc>
          <w:tcPr>
            <w:tcW w:w="700" w:type="dxa"/>
            <w:shd w:val="clear" w:color="000000" w:fill="FFFFFF"/>
            <w:vAlign w:val="center"/>
            <w:hideMark/>
          </w:tcPr>
          <w:p w14:paraId="622D669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w:t>
            </w:r>
          </w:p>
        </w:tc>
        <w:tc>
          <w:tcPr>
            <w:tcW w:w="638" w:type="dxa"/>
            <w:shd w:val="clear" w:color="000000" w:fill="FFFFFF"/>
            <w:vAlign w:val="center"/>
            <w:hideMark/>
          </w:tcPr>
          <w:p w14:paraId="02C6136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w:t>
            </w:r>
          </w:p>
        </w:tc>
      </w:tr>
      <w:tr w:rsidR="00FB35A4" w:rsidRPr="00257A1C" w14:paraId="57A04FA4" w14:textId="77777777" w:rsidTr="00FB35A4">
        <w:trPr>
          <w:trHeight w:val="236"/>
        </w:trPr>
        <w:tc>
          <w:tcPr>
            <w:tcW w:w="1696" w:type="dxa"/>
            <w:vMerge/>
            <w:vAlign w:val="center"/>
            <w:hideMark/>
          </w:tcPr>
          <w:p w14:paraId="26C5EE41"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1251F565"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Týdenní stacionáře</w:t>
            </w:r>
          </w:p>
        </w:tc>
        <w:tc>
          <w:tcPr>
            <w:tcW w:w="992" w:type="dxa"/>
            <w:shd w:val="clear" w:color="000000" w:fill="FFFFFF"/>
            <w:vAlign w:val="center"/>
            <w:hideMark/>
          </w:tcPr>
          <w:p w14:paraId="6D3FDA59"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vMerge/>
            <w:vAlign w:val="center"/>
            <w:hideMark/>
          </w:tcPr>
          <w:p w14:paraId="45A888CC"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6D94D11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11 lůžek</w:t>
            </w:r>
          </w:p>
        </w:tc>
        <w:tc>
          <w:tcPr>
            <w:tcW w:w="700" w:type="dxa"/>
            <w:shd w:val="clear" w:color="000000" w:fill="FFFFFF"/>
            <w:vAlign w:val="center"/>
            <w:hideMark/>
          </w:tcPr>
          <w:p w14:paraId="0126A7D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w:t>
            </w:r>
          </w:p>
        </w:tc>
        <w:tc>
          <w:tcPr>
            <w:tcW w:w="638" w:type="dxa"/>
            <w:shd w:val="clear" w:color="000000" w:fill="FFFFFF"/>
            <w:vAlign w:val="center"/>
            <w:hideMark/>
          </w:tcPr>
          <w:p w14:paraId="4302A5D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w:t>
            </w:r>
          </w:p>
        </w:tc>
      </w:tr>
      <w:tr w:rsidR="00FB35A4" w:rsidRPr="00257A1C" w14:paraId="3576E96F" w14:textId="77777777" w:rsidTr="00FB35A4">
        <w:trPr>
          <w:trHeight w:val="539"/>
        </w:trPr>
        <w:tc>
          <w:tcPr>
            <w:tcW w:w="1696" w:type="dxa"/>
            <w:shd w:val="clear" w:color="000000" w:fill="FFFFFF"/>
            <w:vAlign w:val="center"/>
            <w:hideMark/>
          </w:tcPr>
          <w:p w14:paraId="3C1C3087"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Sociální služby Uherské Hradiště, příspěvková organizace</w:t>
            </w:r>
          </w:p>
        </w:tc>
        <w:tc>
          <w:tcPr>
            <w:tcW w:w="2410" w:type="dxa"/>
            <w:shd w:val="clear" w:color="000000" w:fill="FFFFFF"/>
            <w:vAlign w:val="center"/>
            <w:hideMark/>
          </w:tcPr>
          <w:p w14:paraId="207E7EB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Domovy pro osoby se zdravotním postižením (026 – 50 lůžek)</w:t>
            </w:r>
          </w:p>
        </w:tc>
        <w:tc>
          <w:tcPr>
            <w:tcW w:w="992" w:type="dxa"/>
            <w:shd w:val="clear" w:color="000000" w:fill="FFFFFF"/>
            <w:vAlign w:val="center"/>
            <w:hideMark/>
          </w:tcPr>
          <w:p w14:paraId="2FD0EE61"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7D55D14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604AB36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45 lůžek</w:t>
            </w:r>
          </w:p>
        </w:tc>
        <w:tc>
          <w:tcPr>
            <w:tcW w:w="700" w:type="dxa"/>
            <w:shd w:val="clear" w:color="000000" w:fill="FFFFFF"/>
            <w:vAlign w:val="center"/>
            <w:hideMark/>
          </w:tcPr>
          <w:p w14:paraId="2CD0BD1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45</w:t>
            </w:r>
          </w:p>
        </w:tc>
        <w:tc>
          <w:tcPr>
            <w:tcW w:w="638" w:type="dxa"/>
            <w:shd w:val="clear" w:color="000000" w:fill="FFFFFF"/>
            <w:vAlign w:val="center"/>
            <w:hideMark/>
          </w:tcPr>
          <w:p w14:paraId="5EF343A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w:t>
            </w:r>
          </w:p>
        </w:tc>
      </w:tr>
      <w:tr w:rsidR="00FB35A4" w:rsidRPr="00257A1C" w14:paraId="1580C288" w14:textId="77777777" w:rsidTr="00FB35A4">
        <w:trPr>
          <w:trHeight w:val="278"/>
        </w:trPr>
        <w:tc>
          <w:tcPr>
            <w:tcW w:w="1696" w:type="dxa"/>
            <w:vMerge w:val="restart"/>
            <w:shd w:val="clear" w:color="000000" w:fill="FFFFFF"/>
            <w:vAlign w:val="center"/>
            <w:hideMark/>
          </w:tcPr>
          <w:p w14:paraId="2DE60EA8"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Společnost Podané ruce o.p.s.</w:t>
            </w:r>
          </w:p>
        </w:tc>
        <w:tc>
          <w:tcPr>
            <w:tcW w:w="2410" w:type="dxa"/>
            <w:shd w:val="clear" w:color="000000" w:fill="FFFFFF"/>
            <w:vAlign w:val="center"/>
            <w:hideMark/>
          </w:tcPr>
          <w:p w14:paraId="6DCD19D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Kontaktní centra</w:t>
            </w:r>
          </w:p>
        </w:tc>
        <w:tc>
          <w:tcPr>
            <w:tcW w:w="992" w:type="dxa"/>
            <w:shd w:val="clear" w:color="000000" w:fill="FFFFFF"/>
            <w:vAlign w:val="center"/>
            <w:hideMark/>
          </w:tcPr>
          <w:p w14:paraId="70666DD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24914F7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75A33BA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 osob/okamžik</w:t>
            </w:r>
          </w:p>
        </w:tc>
        <w:tc>
          <w:tcPr>
            <w:tcW w:w="700" w:type="dxa"/>
            <w:shd w:val="clear" w:color="000000" w:fill="FFFFFF"/>
            <w:vAlign w:val="center"/>
            <w:hideMark/>
          </w:tcPr>
          <w:p w14:paraId="1234A6A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177</w:t>
            </w:r>
          </w:p>
        </w:tc>
        <w:tc>
          <w:tcPr>
            <w:tcW w:w="638" w:type="dxa"/>
            <w:shd w:val="clear" w:color="000000" w:fill="FFFFFF"/>
            <w:vAlign w:val="center"/>
            <w:hideMark/>
          </w:tcPr>
          <w:p w14:paraId="08EA09A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142</w:t>
            </w:r>
          </w:p>
        </w:tc>
      </w:tr>
      <w:tr w:rsidR="00FB35A4" w:rsidRPr="00257A1C" w14:paraId="7CBD403F" w14:textId="77777777" w:rsidTr="00FB35A4">
        <w:trPr>
          <w:trHeight w:val="394"/>
        </w:trPr>
        <w:tc>
          <w:tcPr>
            <w:tcW w:w="1696" w:type="dxa"/>
            <w:vMerge/>
            <w:vAlign w:val="center"/>
            <w:hideMark/>
          </w:tcPr>
          <w:p w14:paraId="07B388BE"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0D919062"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245CAB49"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1223E564"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0623E6F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počet intervencí (30 min. jednání) - 2</w:t>
            </w:r>
          </w:p>
        </w:tc>
        <w:tc>
          <w:tcPr>
            <w:tcW w:w="700" w:type="dxa"/>
            <w:shd w:val="clear" w:color="000000" w:fill="FFFFFF"/>
            <w:vAlign w:val="center"/>
            <w:hideMark/>
          </w:tcPr>
          <w:p w14:paraId="2A5FC5E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299</w:t>
            </w:r>
          </w:p>
        </w:tc>
        <w:tc>
          <w:tcPr>
            <w:tcW w:w="638" w:type="dxa"/>
            <w:shd w:val="clear" w:color="000000" w:fill="FFFFFF"/>
            <w:vAlign w:val="center"/>
            <w:hideMark/>
          </w:tcPr>
          <w:p w14:paraId="37380FA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108</w:t>
            </w:r>
          </w:p>
        </w:tc>
      </w:tr>
      <w:tr w:rsidR="00FB35A4" w:rsidRPr="00257A1C" w14:paraId="6B98E72A" w14:textId="77777777" w:rsidTr="00FB35A4">
        <w:trPr>
          <w:trHeight w:val="358"/>
        </w:trPr>
        <w:tc>
          <w:tcPr>
            <w:tcW w:w="1696" w:type="dxa"/>
            <w:vMerge/>
            <w:vAlign w:val="center"/>
            <w:hideMark/>
          </w:tcPr>
          <w:p w14:paraId="0356B524"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306FCA1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4BA9C8E6"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4B8CFDE4"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7AF4E19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počet intervencí (30 min. jednání) - 2</w:t>
            </w:r>
          </w:p>
        </w:tc>
        <w:tc>
          <w:tcPr>
            <w:tcW w:w="700" w:type="dxa"/>
            <w:shd w:val="clear" w:color="000000" w:fill="FFFFFF"/>
            <w:vAlign w:val="center"/>
            <w:hideMark/>
          </w:tcPr>
          <w:p w14:paraId="1F7FBF9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108</w:t>
            </w:r>
          </w:p>
        </w:tc>
        <w:tc>
          <w:tcPr>
            <w:tcW w:w="638" w:type="dxa"/>
            <w:shd w:val="clear" w:color="000000" w:fill="FFFFFF"/>
            <w:vAlign w:val="center"/>
            <w:hideMark/>
          </w:tcPr>
          <w:p w14:paraId="02E6CED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43</w:t>
            </w:r>
          </w:p>
        </w:tc>
      </w:tr>
      <w:tr w:rsidR="00FB35A4" w:rsidRPr="00257A1C" w14:paraId="17398CF1" w14:textId="77777777" w:rsidTr="00FB35A4">
        <w:trPr>
          <w:trHeight w:val="385"/>
        </w:trPr>
        <w:tc>
          <w:tcPr>
            <w:tcW w:w="1696" w:type="dxa"/>
            <w:vMerge/>
            <w:vAlign w:val="center"/>
            <w:hideMark/>
          </w:tcPr>
          <w:p w14:paraId="63E91BC9"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00DBE396"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Terénní programy – pro osoby závislé na návykových látkách</w:t>
            </w:r>
          </w:p>
        </w:tc>
        <w:tc>
          <w:tcPr>
            <w:tcW w:w="992" w:type="dxa"/>
            <w:shd w:val="clear" w:color="000000" w:fill="FFFFFF"/>
            <w:vAlign w:val="center"/>
            <w:hideMark/>
          </w:tcPr>
          <w:p w14:paraId="0EB6A4BF"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vMerge/>
            <w:vAlign w:val="center"/>
            <w:hideMark/>
          </w:tcPr>
          <w:p w14:paraId="0FDAF028"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5D3BF96C"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30 osob/den</w:t>
            </w:r>
          </w:p>
        </w:tc>
        <w:tc>
          <w:tcPr>
            <w:tcW w:w="700" w:type="dxa"/>
            <w:shd w:val="clear" w:color="000000" w:fill="FFFFFF"/>
            <w:vAlign w:val="center"/>
            <w:hideMark/>
          </w:tcPr>
          <w:p w14:paraId="60DC7FF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1024</w:t>
            </w:r>
          </w:p>
        </w:tc>
        <w:tc>
          <w:tcPr>
            <w:tcW w:w="638" w:type="dxa"/>
            <w:shd w:val="clear" w:color="000000" w:fill="FFFFFF"/>
            <w:vAlign w:val="center"/>
            <w:hideMark/>
          </w:tcPr>
          <w:p w14:paraId="0626BD5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744</w:t>
            </w:r>
          </w:p>
        </w:tc>
      </w:tr>
      <w:tr w:rsidR="00FB35A4" w:rsidRPr="00257A1C" w14:paraId="0C924D87" w14:textId="77777777" w:rsidTr="00FB35A4">
        <w:trPr>
          <w:trHeight w:val="412"/>
        </w:trPr>
        <w:tc>
          <w:tcPr>
            <w:tcW w:w="1696" w:type="dxa"/>
            <w:shd w:val="clear" w:color="000000" w:fill="FFFFFF"/>
            <w:vAlign w:val="center"/>
            <w:hideMark/>
          </w:tcPr>
          <w:p w14:paraId="15E0BC17"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Společnost pro ranou péči, pobočka Olomouc</w:t>
            </w:r>
          </w:p>
        </w:tc>
        <w:tc>
          <w:tcPr>
            <w:tcW w:w="2410" w:type="dxa"/>
            <w:shd w:val="clear" w:color="000000" w:fill="FFFFFF"/>
            <w:vAlign w:val="center"/>
            <w:hideMark/>
          </w:tcPr>
          <w:p w14:paraId="699C7D38"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Raná péče</w:t>
            </w:r>
          </w:p>
        </w:tc>
        <w:tc>
          <w:tcPr>
            <w:tcW w:w="992" w:type="dxa"/>
            <w:shd w:val="clear" w:color="000000" w:fill="FFFFFF"/>
            <w:vAlign w:val="center"/>
            <w:hideMark/>
          </w:tcPr>
          <w:p w14:paraId="337CB665"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526E0D7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63087B9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195 osob, 26 rodin Zlínského kraje</w:t>
            </w:r>
          </w:p>
        </w:tc>
        <w:tc>
          <w:tcPr>
            <w:tcW w:w="700" w:type="dxa"/>
            <w:shd w:val="clear" w:color="000000" w:fill="FFFFFF"/>
            <w:vAlign w:val="center"/>
            <w:hideMark/>
          </w:tcPr>
          <w:p w14:paraId="5779D0A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102</w:t>
            </w:r>
          </w:p>
        </w:tc>
        <w:tc>
          <w:tcPr>
            <w:tcW w:w="638" w:type="dxa"/>
            <w:shd w:val="clear" w:color="000000" w:fill="FFFFFF"/>
            <w:vAlign w:val="center"/>
            <w:hideMark/>
          </w:tcPr>
          <w:p w14:paraId="77477CF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w:t>
            </w:r>
          </w:p>
        </w:tc>
      </w:tr>
      <w:tr w:rsidR="00FB35A4" w:rsidRPr="00257A1C" w14:paraId="13C8FC79" w14:textId="77777777" w:rsidTr="00FB35A4">
        <w:trPr>
          <w:trHeight w:val="556"/>
        </w:trPr>
        <w:tc>
          <w:tcPr>
            <w:tcW w:w="1696" w:type="dxa"/>
            <w:shd w:val="clear" w:color="000000" w:fill="FFFFFF"/>
            <w:vAlign w:val="center"/>
            <w:hideMark/>
          </w:tcPr>
          <w:p w14:paraId="63B4EB43"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spolek Pod křídly</w:t>
            </w:r>
          </w:p>
        </w:tc>
        <w:tc>
          <w:tcPr>
            <w:tcW w:w="2410" w:type="dxa"/>
            <w:shd w:val="clear" w:color="000000" w:fill="FFFFFF"/>
            <w:vAlign w:val="center"/>
            <w:hideMark/>
          </w:tcPr>
          <w:p w14:paraId="2EB26486"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Domy na půl cesty</w:t>
            </w:r>
          </w:p>
        </w:tc>
        <w:tc>
          <w:tcPr>
            <w:tcW w:w="992" w:type="dxa"/>
            <w:shd w:val="clear" w:color="000000" w:fill="FFFFFF"/>
            <w:vAlign w:val="center"/>
            <w:hideMark/>
          </w:tcPr>
          <w:p w14:paraId="0CC733D6"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pobytová</w:t>
            </w:r>
          </w:p>
        </w:tc>
        <w:tc>
          <w:tcPr>
            <w:tcW w:w="1276" w:type="dxa"/>
            <w:shd w:val="clear" w:color="000000" w:fill="FFFFFF"/>
            <w:vAlign w:val="center"/>
            <w:hideMark/>
          </w:tcPr>
          <w:p w14:paraId="511C535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46B5E5B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16 lůžek</w:t>
            </w:r>
          </w:p>
        </w:tc>
        <w:tc>
          <w:tcPr>
            <w:tcW w:w="700" w:type="dxa"/>
            <w:shd w:val="clear" w:color="000000" w:fill="FFFFFF"/>
            <w:vAlign w:val="center"/>
            <w:hideMark/>
          </w:tcPr>
          <w:p w14:paraId="4B3B087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40</w:t>
            </w:r>
          </w:p>
        </w:tc>
        <w:tc>
          <w:tcPr>
            <w:tcW w:w="638" w:type="dxa"/>
            <w:shd w:val="clear" w:color="000000" w:fill="FFFFFF"/>
            <w:vAlign w:val="center"/>
            <w:hideMark/>
          </w:tcPr>
          <w:p w14:paraId="32C03BF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19</w:t>
            </w:r>
          </w:p>
        </w:tc>
      </w:tr>
      <w:tr w:rsidR="00FB35A4" w:rsidRPr="00257A1C" w14:paraId="4FB65DBC" w14:textId="77777777" w:rsidTr="00FB35A4">
        <w:trPr>
          <w:trHeight w:val="736"/>
        </w:trPr>
        <w:tc>
          <w:tcPr>
            <w:tcW w:w="1696" w:type="dxa"/>
            <w:shd w:val="clear" w:color="000000" w:fill="FFFFFF"/>
            <w:vAlign w:val="center"/>
            <w:hideMark/>
          </w:tcPr>
          <w:p w14:paraId="208A78F6"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STROP o.p.s.</w:t>
            </w:r>
          </w:p>
        </w:tc>
        <w:tc>
          <w:tcPr>
            <w:tcW w:w="2410" w:type="dxa"/>
            <w:shd w:val="clear" w:color="000000" w:fill="FFFFFF"/>
            <w:vAlign w:val="center"/>
            <w:hideMark/>
          </w:tcPr>
          <w:p w14:paraId="7B4F4862"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2B98E1B2"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23173A84"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ohrožené sociálním vyloučením</w:t>
            </w:r>
          </w:p>
        </w:tc>
        <w:tc>
          <w:tcPr>
            <w:tcW w:w="1353" w:type="dxa"/>
            <w:shd w:val="clear" w:color="000000" w:fill="FFFFFF"/>
            <w:vAlign w:val="center"/>
            <w:hideMark/>
          </w:tcPr>
          <w:p w14:paraId="4D2C8D0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850 osob/rok, počet intervencí (30 min. jednání) - 25 osob/týden</w:t>
            </w:r>
          </w:p>
        </w:tc>
        <w:tc>
          <w:tcPr>
            <w:tcW w:w="700" w:type="dxa"/>
            <w:shd w:val="clear" w:color="000000" w:fill="FFFFFF"/>
            <w:vAlign w:val="center"/>
            <w:hideMark/>
          </w:tcPr>
          <w:p w14:paraId="412C274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643</w:t>
            </w:r>
          </w:p>
        </w:tc>
        <w:tc>
          <w:tcPr>
            <w:tcW w:w="638" w:type="dxa"/>
            <w:shd w:val="clear" w:color="000000" w:fill="FFFFFF"/>
            <w:vAlign w:val="center"/>
            <w:hideMark/>
          </w:tcPr>
          <w:p w14:paraId="55EBBCC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430</w:t>
            </w:r>
          </w:p>
        </w:tc>
      </w:tr>
      <w:tr w:rsidR="00FB35A4" w:rsidRPr="00257A1C" w14:paraId="06BBB7AB" w14:textId="77777777" w:rsidTr="00FB35A4">
        <w:trPr>
          <w:trHeight w:val="394"/>
        </w:trPr>
        <w:tc>
          <w:tcPr>
            <w:tcW w:w="1696" w:type="dxa"/>
            <w:shd w:val="clear" w:color="000000" w:fill="FFFFFF"/>
            <w:vAlign w:val="center"/>
            <w:hideMark/>
          </w:tcPr>
          <w:p w14:paraId="2236D2A9"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Středisko rané péče EDUCO  Zlín z.s.</w:t>
            </w:r>
          </w:p>
        </w:tc>
        <w:tc>
          <w:tcPr>
            <w:tcW w:w="2410" w:type="dxa"/>
            <w:shd w:val="clear" w:color="000000" w:fill="FFFFFF"/>
            <w:vAlign w:val="center"/>
            <w:hideMark/>
          </w:tcPr>
          <w:p w14:paraId="2C3C5D4F"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Raná péče</w:t>
            </w:r>
          </w:p>
        </w:tc>
        <w:tc>
          <w:tcPr>
            <w:tcW w:w="992" w:type="dxa"/>
            <w:shd w:val="clear" w:color="000000" w:fill="FFFFFF"/>
            <w:vAlign w:val="center"/>
            <w:hideMark/>
          </w:tcPr>
          <w:p w14:paraId="22D47738"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shd w:val="clear" w:color="000000" w:fill="FFFFFF"/>
            <w:vAlign w:val="center"/>
            <w:hideMark/>
          </w:tcPr>
          <w:p w14:paraId="4BEE58D0"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11D2099E"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 osob/okamžik</w:t>
            </w:r>
          </w:p>
        </w:tc>
        <w:tc>
          <w:tcPr>
            <w:tcW w:w="700" w:type="dxa"/>
            <w:shd w:val="clear" w:color="000000" w:fill="FFFFFF"/>
            <w:vAlign w:val="center"/>
            <w:hideMark/>
          </w:tcPr>
          <w:p w14:paraId="41C7B50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102</w:t>
            </w:r>
          </w:p>
        </w:tc>
        <w:tc>
          <w:tcPr>
            <w:tcW w:w="638" w:type="dxa"/>
            <w:shd w:val="clear" w:color="000000" w:fill="FFFFFF"/>
            <w:vAlign w:val="center"/>
            <w:hideMark/>
          </w:tcPr>
          <w:p w14:paraId="2577F9E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25</w:t>
            </w:r>
          </w:p>
        </w:tc>
      </w:tr>
      <w:tr w:rsidR="00FB35A4" w:rsidRPr="00257A1C" w14:paraId="657E2EF3" w14:textId="77777777" w:rsidTr="00FB35A4">
        <w:trPr>
          <w:trHeight w:val="601"/>
        </w:trPr>
        <w:tc>
          <w:tcPr>
            <w:tcW w:w="1696" w:type="dxa"/>
            <w:shd w:val="clear" w:color="000000" w:fill="FFFFFF"/>
            <w:vAlign w:val="center"/>
            <w:hideMark/>
          </w:tcPr>
          <w:p w14:paraId="6A81C1EF"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Svaz tělesně postižených v České republice, z.s. okresní organizace Zlín</w:t>
            </w:r>
          </w:p>
        </w:tc>
        <w:tc>
          <w:tcPr>
            <w:tcW w:w="2410" w:type="dxa"/>
            <w:shd w:val="clear" w:color="000000" w:fill="FFFFFF"/>
            <w:vAlign w:val="center"/>
            <w:hideMark/>
          </w:tcPr>
          <w:p w14:paraId="0EF9CB1D"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Sociálně aktivizační služby pro seniory a osoby se zdravotním postižením</w:t>
            </w:r>
          </w:p>
        </w:tc>
        <w:tc>
          <w:tcPr>
            <w:tcW w:w="992" w:type="dxa"/>
            <w:shd w:val="clear" w:color="000000" w:fill="FFFFFF"/>
            <w:noWrap/>
            <w:vAlign w:val="center"/>
            <w:hideMark/>
          </w:tcPr>
          <w:p w14:paraId="1FF1D07C"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1AD7DA5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65DF5B3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15 osob/okamžik</w:t>
            </w:r>
          </w:p>
        </w:tc>
        <w:tc>
          <w:tcPr>
            <w:tcW w:w="700" w:type="dxa"/>
            <w:shd w:val="clear" w:color="000000" w:fill="FFFFFF"/>
            <w:vAlign w:val="center"/>
            <w:hideMark/>
          </w:tcPr>
          <w:p w14:paraId="44BC697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104</w:t>
            </w:r>
          </w:p>
        </w:tc>
        <w:tc>
          <w:tcPr>
            <w:tcW w:w="638" w:type="dxa"/>
            <w:shd w:val="clear" w:color="000000" w:fill="FFFFFF"/>
            <w:vAlign w:val="center"/>
            <w:hideMark/>
          </w:tcPr>
          <w:p w14:paraId="0B26AB1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97</w:t>
            </w:r>
          </w:p>
        </w:tc>
      </w:tr>
      <w:tr w:rsidR="00FB35A4" w:rsidRPr="00257A1C" w14:paraId="3EEAF99E" w14:textId="77777777" w:rsidTr="00FB35A4">
        <w:trPr>
          <w:trHeight w:val="375"/>
        </w:trPr>
        <w:tc>
          <w:tcPr>
            <w:tcW w:w="1696" w:type="dxa"/>
            <w:vMerge w:val="restart"/>
            <w:shd w:val="clear" w:color="000000" w:fill="FFFFFF"/>
            <w:vAlign w:val="center"/>
            <w:hideMark/>
          </w:tcPr>
          <w:p w14:paraId="34DC16D1"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Unie Kompas</w:t>
            </w:r>
          </w:p>
        </w:tc>
        <w:tc>
          <w:tcPr>
            <w:tcW w:w="2410" w:type="dxa"/>
            <w:shd w:val="clear" w:color="000000" w:fill="FFFFFF"/>
            <w:vAlign w:val="center"/>
            <w:hideMark/>
          </w:tcPr>
          <w:p w14:paraId="7A641109"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Nízkoprahová zařízení pro děti a mládež</w:t>
            </w:r>
          </w:p>
        </w:tc>
        <w:tc>
          <w:tcPr>
            <w:tcW w:w="992" w:type="dxa"/>
            <w:vMerge w:val="restart"/>
            <w:shd w:val="clear" w:color="000000" w:fill="FFFFFF"/>
            <w:vAlign w:val="center"/>
            <w:hideMark/>
          </w:tcPr>
          <w:p w14:paraId="6BEE808D"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37C68BD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Rodiny s dětmi</w:t>
            </w:r>
          </w:p>
        </w:tc>
        <w:tc>
          <w:tcPr>
            <w:tcW w:w="1353" w:type="dxa"/>
            <w:shd w:val="clear" w:color="000000" w:fill="FFFFFF"/>
            <w:vAlign w:val="center"/>
            <w:hideMark/>
          </w:tcPr>
          <w:p w14:paraId="56EFC99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 osoba/okamžik, 10 osob skupinová</w:t>
            </w:r>
          </w:p>
        </w:tc>
        <w:tc>
          <w:tcPr>
            <w:tcW w:w="700" w:type="dxa"/>
            <w:shd w:val="clear" w:color="000000" w:fill="FFFFFF"/>
            <w:vAlign w:val="center"/>
            <w:hideMark/>
          </w:tcPr>
          <w:p w14:paraId="481583D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284</w:t>
            </w:r>
          </w:p>
        </w:tc>
        <w:tc>
          <w:tcPr>
            <w:tcW w:w="638" w:type="dxa"/>
            <w:shd w:val="clear" w:color="000000" w:fill="FFFFFF"/>
            <w:vAlign w:val="center"/>
            <w:hideMark/>
          </w:tcPr>
          <w:p w14:paraId="7C6EBA38"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284</w:t>
            </w:r>
          </w:p>
        </w:tc>
      </w:tr>
      <w:tr w:rsidR="00FB35A4" w:rsidRPr="00257A1C" w14:paraId="5162C02E" w14:textId="77777777" w:rsidTr="00FB35A4">
        <w:trPr>
          <w:trHeight w:val="217"/>
        </w:trPr>
        <w:tc>
          <w:tcPr>
            <w:tcW w:w="1696" w:type="dxa"/>
            <w:vMerge/>
            <w:vAlign w:val="center"/>
            <w:hideMark/>
          </w:tcPr>
          <w:p w14:paraId="5777053A"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0C107251"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vMerge/>
            <w:vAlign w:val="center"/>
            <w:hideMark/>
          </w:tcPr>
          <w:p w14:paraId="6DFE44A5" w14:textId="77777777" w:rsidR="00FB35A4" w:rsidRPr="00257A1C" w:rsidRDefault="00FB35A4" w:rsidP="00FB35A4">
            <w:pPr>
              <w:spacing w:before="0"/>
              <w:rPr>
                <w:rFonts w:asciiTheme="majorHAnsi" w:eastAsia="Times New Roman" w:hAnsiTheme="majorHAnsi" w:cstheme="majorHAnsi"/>
                <w:color w:val="000000"/>
                <w:sz w:val="16"/>
                <w:szCs w:val="16"/>
                <w:lang w:eastAsia="cs-CZ"/>
              </w:rPr>
            </w:pPr>
          </w:p>
        </w:tc>
        <w:tc>
          <w:tcPr>
            <w:tcW w:w="1276" w:type="dxa"/>
            <w:vMerge/>
            <w:vAlign w:val="center"/>
            <w:hideMark/>
          </w:tcPr>
          <w:p w14:paraId="4E9C691F"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6179BBC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 osoba/okamžik</w:t>
            </w:r>
          </w:p>
        </w:tc>
        <w:tc>
          <w:tcPr>
            <w:tcW w:w="700" w:type="dxa"/>
            <w:shd w:val="clear" w:color="000000" w:fill="FFFFFF"/>
            <w:vAlign w:val="center"/>
            <w:hideMark/>
          </w:tcPr>
          <w:p w14:paraId="1625A24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196</w:t>
            </w:r>
          </w:p>
        </w:tc>
        <w:tc>
          <w:tcPr>
            <w:tcW w:w="638" w:type="dxa"/>
            <w:shd w:val="clear" w:color="000000" w:fill="FFFFFF"/>
            <w:vAlign w:val="center"/>
            <w:hideMark/>
          </w:tcPr>
          <w:p w14:paraId="3CCE4CB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185</w:t>
            </w:r>
          </w:p>
        </w:tc>
      </w:tr>
      <w:tr w:rsidR="00FB35A4" w:rsidRPr="00257A1C" w14:paraId="247C60F0" w14:textId="77777777" w:rsidTr="00FB35A4">
        <w:trPr>
          <w:trHeight w:val="245"/>
        </w:trPr>
        <w:tc>
          <w:tcPr>
            <w:tcW w:w="1696" w:type="dxa"/>
            <w:vMerge/>
            <w:vAlign w:val="center"/>
            <w:hideMark/>
          </w:tcPr>
          <w:p w14:paraId="54739687"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71628F82"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Terénní programy - pro děti</w:t>
            </w:r>
          </w:p>
        </w:tc>
        <w:tc>
          <w:tcPr>
            <w:tcW w:w="992" w:type="dxa"/>
            <w:shd w:val="clear" w:color="000000" w:fill="FFFFFF"/>
            <w:noWrap/>
            <w:vAlign w:val="center"/>
            <w:hideMark/>
          </w:tcPr>
          <w:p w14:paraId="6D285F97"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vMerge/>
            <w:vAlign w:val="center"/>
            <w:hideMark/>
          </w:tcPr>
          <w:p w14:paraId="40E81D51"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23B970D6"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35 osob/okamžik</w:t>
            </w:r>
          </w:p>
        </w:tc>
        <w:tc>
          <w:tcPr>
            <w:tcW w:w="700" w:type="dxa"/>
            <w:shd w:val="clear" w:color="000000" w:fill="FFFFFF"/>
            <w:vAlign w:val="center"/>
            <w:hideMark/>
          </w:tcPr>
          <w:p w14:paraId="1C2A955D"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209</w:t>
            </w:r>
          </w:p>
        </w:tc>
        <w:tc>
          <w:tcPr>
            <w:tcW w:w="638" w:type="dxa"/>
            <w:shd w:val="clear" w:color="000000" w:fill="FFFFFF"/>
            <w:vAlign w:val="center"/>
            <w:hideMark/>
          </w:tcPr>
          <w:p w14:paraId="28B0DF8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209</w:t>
            </w:r>
          </w:p>
        </w:tc>
      </w:tr>
      <w:tr w:rsidR="00FB35A4" w:rsidRPr="00257A1C" w14:paraId="099DAE72" w14:textId="77777777" w:rsidTr="00FB35A4">
        <w:trPr>
          <w:trHeight w:val="556"/>
        </w:trPr>
        <w:tc>
          <w:tcPr>
            <w:tcW w:w="1696" w:type="dxa"/>
            <w:vMerge w:val="restart"/>
            <w:shd w:val="clear" w:color="000000" w:fill="FFFFFF"/>
            <w:vAlign w:val="center"/>
            <w:hideMark/>
          </w:tcPr>
          <w:p w14:paraId="529FACAE"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VČELKA senior care o.p.s.</w:t>
            </w:r>
          </w:p>
        </w:tc>
        <w:tc>
          <w:tcPr>
            <w:tcW w:w="2410" w:type="dxa"/>
            <w:shd w:val="clear" w:color="000000" w:fill="FFFFFF"/>
            <w:vAlign w:val="center"/>
            <w:hideMark/>
          </w:tcPr>
          <w:p w14:paraId="52B072B7"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Osobní asistence</w:t>
            </w:r>
          </w:p>
        </w:tc>
        <w:tc>
          <w:tcPr>
            <w:tcW w:w="992" w:type="dxa"/>
            <w:vMerge w:val="restart"/>
            <w:shd w:val="clear" w:color="000000" w:fill="FFFFFF"/>
            <w:noWrap/>
            <w:vAlign w:val="center"/>
            <w:hideMark/>
          </w:tcPr>
          <w:p w14:paraId="562DB8B6"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terénní</w:t>
            </w:r>
          </w:p>
        </w:tc>
        <w:tc>
          <w:tcPr>
            <w:tcW w:w="1276" w:type="dxa"/>
            <w:vMerge w:val="restart"/>
            <w:shd w:val="clear" w:color="000000" w:fill="FFFFFF"/>
            <w:vAlign w:val="center"/>
            <w:hideMark/>
          </w:tcPr>
          <w:p w14:paraId="3313FCF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Senioři</w:t>
            </w:r>
          </w:p>
        </w:tc>
        <w:tc>
          <w:tcPr>
            <w:tcW w:w="1353" w:type="dxa"/>
            <w:shd w:val="clear" w:color="000000" w:fill="FFFFFF"/>
            <w:vAlign w:val="center"/>
            <w:hideMark/>
          </w:tcPr>
          <w:p w14:paraId="20DCDB0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počet klientů - 100, okamžitá kapacita služby 10</w:t>
            </w:r>
          </w:p>
        </w:tc>
        <w:tc>
          <w:tcPr>
            <w:tcW w:w="700" w:type="dxa"/>
            <w:shd w:val="clear" w:color="000000" w:fill="FFFFFF"/>
            <w:vAlign w:val="center"/>
            <w:hideMark/>
          </w:tcPr>
          <w:p w14:paraId="53CAD3E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23</w:t>
            </w:r>
          </w:p>
        </w:tc>
        <w:tc>
          <w:tcPr>
            <w:tcW w:w="638" w:type="dxa"/>
            <w:shd w:val="clear" w:color="000000" w:fill="FFFFFF"/>
            <w:vAlign w:val="center"/>
            <w:hideMark/>
          </w:tcPr>
          <w:p w14:paraId="273078F9"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17</w:t>
            </w:r>
          </w:p>
        </w:tc>
      </w:tr>
      <w:tr w:rsidR="00FB35A4" w:rsidRPr="00257A1C" w14:paraId="17E558F1" w14:textId="77777777" w:rsidTr="00FB35A4">
        <w:trPr>
          <w:trHeight w:val="556"/>
        </w:trPr>
        <w:tc>
          <w:tcPr>
            <w:tcW w:w="1696" w:type="dxa"/>
            <w:vMerge/>
            <w:vAlign w:val="center"/>
            <w:hideMark/>
          </w:tcPr>
          <w:p w14:paraId="0139F18F"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6F49986"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 xml:space="preserve">Pečovatelská služba </w:t>
            </w:r>
          </w:p>
        </w:tc>
        <w:tc>
          <w:tcPr>
            <w:tcW w:w="992" w:type="dxa"/>
            <w:vMerge/>
            <w:vAlign w:val="center"/>
            <w:hideMark/>
          </w:tcPr>
          <w:p w14:paraId="10B2615B" w14:textId="77777777" w:rsidR="00FB35A4" w:rsidRPr="00257A1C" w:rsidRDefault="00FB35A4" w:rsidP="00FB35A4">
            <w:pPr>
              <w:spacing w:before="0"/>
              <w:rPr>
                <w:rFonts w:asciiTheme="majorHAnsi" w:eastAsia="Times New Roman" w:hAnsiTheme="majorHAnsi" w:cstheme="majorHAnsi"/>
                <w:color w:val="000000"/>
                <w:sz w:val="16"/>
                <w:szCs w:val="16"/>
                <w:lang w:eastAsia="cs-CZ"/>
              </w:rPr>
            </w:pPr>
          </w:p>
        </w:tc>
        <w:tc>
          <w:tcPr>
            <w:tcW w:w="1276" w:type="dxa"/>
            <w:vMerge/>
            <w:vAlign w:val="center"/>
            <w:hideMark/>
          </w:tcPr>
          <w:p w14:paraId="264D9D77"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0A9E9F4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počet klientů - 500, okamžitá kapacita služby 17</w:t>
            </w:r>
          </w:p>
        </w:tc>
        <w:tc>
          <w:tcPr>
            <w:tcW w:w="700" w:type="dxa"/>
            <w:shd w:val="clear" w:color="000000" w:fill="FFFFFF"/>
            <w:vAlign w:val="center"/>
            <w:hideMark/>
          </w:tcPr>
          <w:p w14:paraId="025256F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w:t>
            </w:r>
          </w:p>
        </w:tc>
        <w:tc>
          <w:tcPr>
            <w:tcW w:w="638" w:type="dxa"/>
            <w:shd w:val="clear" w:color="000000" w:fill="FFFFFF"/>
            <w:vAlign w:val="center"/>
            <w:hideMark/>
          </w:tcPr>
          <w:p w14:paraId="2BDEA82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4</w:t>
            </w:r>
          </w:p>
        </w:tc>
      </w:tr>
      <w:tr w:rsidR="00FB35A4" w:rsidRPr="00257A1C" w14:paraId="0FDF726D" w14:textId="77777777" w:rsidTr="00FB35A4">
        <w:trPr>
          <w:trHeight w:val="227"/>
        </w:trPr>
        <w:tc>
          <w:tcPr>
            <w:tcW w:w="1696" w:type="dxa"/>
            <w:vMerge w:val="restart"/>
            <w:shd w:val="clear" w:color="000000" w:fill="FFFFFF"/>
            <w:vAlign w:val="center"/>
            <w:hideMark/>
          </w:tcPr>
          <w:p w14:paraId="5491DEF1" w14:textId="77777777" w:rsidR="00FB35A4" w:rsidRPr="00257A1C" w:rsidRDefault="00FB35A4" w:rsidP="00FB35A4">
            <w:pPr>
              <w:spacing w:before="0"/>
              <w:rPr>
                <w:rFonts w:asciiTheme="majorHAnsi" w:eastAsia="Times New Roman" w:hAnsiTheme="majorHAnsi" w:cstheme="majorHAnsi"/>
                <w:b/>
                <w:bCs/>
                <w:sz w:val="16"/>
                <w:szCs w:val="16"/>
                <w:lang w:eastAsia="cs-CZ"/>
              </w:rPr>
            </w:pPr>
            <w:r w:rsidRPr="00257A1C">
              <w:rPr>
                <w:rFonts w:asciiTheme="majorHAnsi" w:eastAsia="Times New Roman" w:hAnsiTheme="majorHAnsi" w:cstheme="majorHAnsi"/>
                <w:b/>
                <w:bCs/>
                <w:sz w:val="16"/>
                <w:szCs w:val="16"/>
                <w:lang w:eastAsia="cs-CZ"/>
              </w:rPr>
              <w:t>Za sklem o. s.</w:t>
            </w:r>
          </w:p>
        </w:tc>
        <w:tc>
          <w:tcPr>
            <w:tcW w:w="2410" w:type="dxa"/>
            <w:shd w:val="clear" w:color="000000" w:fill="FFFFFF"/>
            <w:vAlign w:val="center"/>
            <w:hideMark/>
          </w:tcPr>
          <w:p w14:paraId="7B22AD62"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Odborné sociální poradenství</w:t>
            </w:r>
          </w:p>
        </w:tc>
        <w:tc>
          <w:tcPr>
            <w:tcW w:w="992" w:type="dxa"/>
            <w:shd w:val="clear" w:color="000000" w:fill="FFFFFF"/>
            <w:vAlign w:val="center"/>
            <w:hideMark/>
          </w:tcPr>
          <w:p w14:paraId="7C628B6C"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restart"/>
            <w:shd w:val="clear" w:color="000000" w:fill="FFFFFF"/>
            <w:vAlign w:val="center"/>
            <w:hideMark/>
          </w:tcPr>
          <w:p w14:paraId="6B8BB42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Rodiny s dětmi</w:t>
            </w:r>
          </w:p>
        </w:tc>
        <w:tc>
          <w:tcPr>
            <w:tcW w:w="1353" w:type="dxa"/>
            <w:shd w:val="clear" w:color="000000" w:fill="FFFFFF"/>
            <w:vAlign w:val="center"/>
            <w:hideMark/>
          </w:tcPr>
          <w:p w14:paraId="698A469A"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 osoby/okamžik</w:t>
            </w:r>
          </w:p>
        </w:tc>
        <w:tc>
          <w:tcPr>
            <w:tcW w:w="700" w:type="dxa"/>
            <w:shd w:val="clear" w:color="000000" w:fill="FFFFFF"/>
            <w:vAlign w:val="center"/>
            <w:hideMark/>
          </w:tcPr>
          <w:p w14:paraId="78C38272"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185</w:t>
            </w:r>
          </w:p>
        </w:tc>
        <w:tc>
          <w:tcPr>
            <w:tcW w:w="638" w:type="dxa"/>
            <w:shd w:val="clear" w:color="000000" w:fill="FFFFFF"/>
            <w:vAlign w:val="center"/>
            <w:hideMark/>
          </w:tcPr>
          <w:p w14:paraId="7F703CF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89</w:t>
            </w:r>
          </w:p>
        </w:tc>
      </w:tr>
      <w:tr w:rsidR="00FB35A4" w:rsidRPr="00257A1C" w14:paraId="02849AF8" w14:textId="77777777" w:rsidTr="00FB35A4">
        <w:trPr>
          <w:trHeight w:val="375"/>
        </w:trPr>
        <w:tc>
          <w:tcPr>
            <w:tcW w:w="1696" w:type="dxa"/>
            <w:vMerge/>
            <w:vAlign w:val="center"/>
            <w:hideMark/>
          </w:tcPr>
          <w:p w14:paraId="0A3576F9"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4021EAD9"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 xml:space="preserve">Sociálně aktivizační služby pro rodiny s dětmi </w:t>
            </w:r>
          </w:p>
        </w:tc>
        <w:tc>
          <w:tcPr>
            <w:tcW w:w="992" w:type="dxa"/>
            <w:shd w:val="clear" w:color="000000" w:fill="FFFFFF"/>
            <w:vAlign w:val="center"/>
            <w:hideMark/>
          </w:tcPr>
          <w:p w14:paraId="703B701B"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vMerge/>
            <w:vAlign w:val="center"/>
            <w:hideMark/>
          </w:tcPr>
          <w:p w14:paraId="33489D84" w14:textId="77777777" w:rsidR="00FB35A4" w:rsidRPr="00257A1C" w:rsidRDefault="00FB35A4" w:rsidP="00FB35A4">
            <w:pPr>
              <w:spacing w:before="0"/>
              <w:rPr>
                <w:rFonts w:asciiTheme="majorHAnsi" w:eastAsia="Times New Roman" w:hAnsiTheme="majorHAnsi" w:cstheme="majorHAnsi"/>
                <w:sz w:val="16"/>
                <w:szCs w:val="16"/>
                <w:lang w:eastAsia="cs-CZ"/>
              </w:rPr>
            </w:pPr>
          </w:p>
        </w:tc>
        <w:tc>
          <w:tcPr>
            <w:tcW w:w="1353" w:type="dxa"/>
            <w:shd w:val="clear" w:color="000000" w:fill="FFFFFF"/>
            <w:vAlign w:val="center"/>
            <w:hideMark/>
          </w:tcPr>
          <w:p w14:paraId="03CFA567"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 osob/okamžik, 8 osob skupinová</w:t>
            </w:r>
          </w:p>
        </w:tc>
        <w:tc>
          <w:tcPr>
            <w:tcW w:w="700" w:type="dxa"/>
            <w:shd w:val="clear" w:color="000000" w:fill="FFFFFF"/>
            <w:vAlign w:val="center"/>
            <w:hideMark/>
          </w:tcPr>
          <w:p w14:paraId="500908BB"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66</w:t>
            </w:r>
          </w:p>
        </w:tc>
        <w:tc>
          <w:tcPr>
            <w:tcW w:w="638" w:type="dxa"/>
            <w:shd w:val="clear" w:color="000000" w:fill="FFFFFF"/>
            <w:vAlign w:val="center"/>
            <w:hideMark/>
          </w:tcPr>
          <w:p w14:paraId="05A0BD23"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29</w:t>
            </w:r>
          </w:p>
        </w:tc>
      </w:tr>
      <w:tr w:rsidR="00FB35A4" w:rsidRPr="00257A1C" w14:paraId="52F64120" w14:textId="77777777" w:rsidTr="00FB35A4">
        <w:trPr>
          <w:trHeight w:val="339"/>
        </w:trPr>
        <w:tc>
          <w:tcPr>
            <w:tcW w:w="1696" w:type="dxa"/>
            <w:vMerge/>
            <w:vAlign w:val="center"/>
            <w:hideMark/>
          </w:tcPr>
          <w:p w14:paraId="3439D8DD" w14:textId="77777777" w:rsidR="00FB35A4" w:rsidRPr="00257A1C" w:rsidRDefault="00FB35A4" w:rsidP="00FB35A4">
            <w:pPr>
              <w:spacing w:before="0"/>
              <w:rPr>
                <w:rFonts w:asciiTheme="majorHAnsi" w:eastAsia="Times New Roman" w:hAnsiTheme="majorHAnsi" w:cstheme="majorHAnsi"/>
                <w:b/>
                <w:bCs/>
                <w:sz w:val="16"/>
                <w:szCs w:val="16"/>
                <w:lang w:eastAsia="cs-CZ"/>
              </w:rPr>
            </w:pPr>
          </w:p>
        </w:tc>
        <w:tc>
          <w:tcPr>
            <w:tcW w:w="2410" w:type="dxa"/>
            <w:shd w:val="clear" w:color="000000" w:fill="FFFFFF"/>
            <w:vAlign w:val="center"/>
            <w:hideMark/>
          </w:tcPr>
          <w:p w14:paraId="2A4155AE" w14:textId="77777777" w:rsidR="00FB35A4" w:rsidRPr="00257A1C" w:rsidRDefault="00FB35A4" w:rsidP="00FB35A4">
            <w:pPr>
              <w:spacing w:before="0"/>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Sociální rehabilitace</w:t>
            </w:r>
          </w:p>
        </w:tc>
        <w:tc>
          <w:tcPr>
            <w:tcW w:w="992" w:type="dxa"/>
            <w:shd w:val="clear" w:color="000000" w:fill="FFFFFF"/>
            <w:vAlign w:val="center"/>
            <w:hideMark/>
          </w:tcPr>
          <w:p w14:paraId="2780B1F4" w14:textId="77777777" w:rsidR="00FB35A4" w:rsidRPr="00257A1C" w:rsidRDefault="00FB35A4" w:rsidP="00FB35A4">
            <w:pPr>
              <w:spacing w:before="0"/>
              <w:jc w:val="center"/>
              <w:rPr>
                <w:rFonts w:asciiTheme="majorHAnsi" w:eastAsia="Times New Roman" w:hAnsiTheme="majorHAnsi" w:cstheme="majorHAnsi"/>
                <w:color w:val="000000"/>
                <w:sz w:val="16"/>
                <w:szCs w:val="16"/>
                <w:lang w:eastAsia="cs-CZ"/>
              </w:rPr>
            </w:pPr>
            <w:r w:rsidRPr="00257A1C">
              <w:rPr>
                <w:rFonts w:asciiTheme="majorHAnsi" w:eastAsia="Times New Roman" w:hAnsiTheme="majorHAnsi" w:cstheme="majorHAnsi"/>
                <w:color w:val="000000"/>
                <w:sz w:val="16"/>
                <w:szCs w:val="16"/>
                <w:lang w:eastAsia="cs-CZ"/>
              </w:rPr>
              <w:t>ambulantní</w:t>
            </w:r>
          </w:p>
        </w:tc>
        <w:tc>
          <w:tcPr>
            <w:tcW w:w="1276" w:type="dxa"/>
            <w:shd w:val="clear" w:color="000000" w:fill="FFFFFF"/>
            <w:vAlign w:val="center"/>
            <w:hideMark/>
          </w:tcPr>
          <w:p w14:paraId="0F37AAE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Osoby se zdravotním postižením</w:t>
            </w:r>
          </w:p>
        </w:tc>
        <w:tc>
          <w:tcPr>
            <w:tcW w:w="1353" w:type="dxa"/>
            <w:shd w:val="clear" w:color="000000" w:fill="FFFFFF"/>
            <w:vAlign w:val="center"/>
            <w:hideMark/>
          </w:tcPr>
          <w:p w14:paraId="65A3D115"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 osoby/okamžik, 8 osob skupinová</w:t>
            </w:r>
          </w:p>
        </w:tc>
        <w:tc>
          <w:tcPr>
            <w:tcW w:w="700" w:type="dxa"/>
            <w:shd w:val="clear" w:color="000000" w:fill="FFFFFF"/>
            <w:vAlign w:val="center"/>
            <w:hideMark/>
          </w:tcPr>
          <w:p w14:paraId="5898EDD1"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22</w:t>
            </w:r>
          </w:p>
        </w:tc>
        <w:tc>
          <w:tcPr>
            <w:tcW w:w="638" w:type="dxa"/>
            <w:shd w:val="clear" w:color="000000" w:fill="FFFFFF"/>
            <w:vAlign w:val="center"/>
            <w:hideMark/>
          </w:tcPr>
          <w:p w14:paraId="7DE846EF" w14:textId="77777777" w:rsidR="00FB35A4" w:rsidRPr="00257A1C" w:rsidRDefault="00FB35A4" w:rsidP="00FB35A4">
            <w:pPr>
              <w:spacing w:before="0"/>
              <w:jc w:val="center"/>
              <w:rPr>
                <w:rFonts w:asciiTheme="majorHAnsi" w:eastAsia="Times New Roman" w:hAnsiTheme="majorHAnsi" w:cstheme="majorHAnsi"/>
                <w:sz w:val="16"/>
                <w:szCs w:val="16"/>
                <w:lang w:eastAsia="cs-CZ"/>
              </w:rPr>
            </w:pPr>
            <w:r w:rsidRPr="00257A1C">
              <w:rPr>
                <w:rFonts w:asciiTheme="majorHAnsi" w:eastAsia="Times New Roman" w:hAnsiTheme="majorHAnsi" w:cstheme="majorHAnsi"/>
                <w:sz w:val="16"/>
                <w:szCs w:val="16"/>
                <w:lang w:eastAsia="cs-CZ"/>
              </w:rPr>
              <w:t>8</w:t>
            </w:r>
          </w:p>
        </w:tc>
      </w:tr>
    </w:tbl>
    <w:p w14:paraId="0D0CBA9A" w14:textId="33BA71FC" w:rsidR="00DC4A6C" w:rsidRDefault="00DC4A6C" w:rsidP="00DC4A6C">
      <w:pPr>
        <w:pStyle w:val="Zdroj"/>
      </w:pPr>
      <w:r w:rsidRPr="00EC4597">
        <w:t>Zdroj: Magistrát města Zlín, Odbor sociálních věcí</w:t>
      </w:r>
      <w:r w:rsidR="007A5819">
        <w:t>, 2020.</w:t>
      </w:r>
    </w:p>
    <w:p w14:paraId="3C5F4C29" w14:textId="77777777" w:rsidR="00DC4A6C" w:rsidRPr="00B103A3" w:rsidRDefault="00DC4A6C" w:rsidP="00DC4A6C"/>
    <w:p w14:paraId="2EF98CCC" w14:textId="4B34D3C9" w:rsidR="00C10B9C" w:rsidRDefault="00C10B9C">
      <w:pPr>
        <w:spacing w:before="0" w:after="160" w:line="259" w:lineRule="auto"/>
        <w:jc w:val="left"/>
        <w:rPr>
          <w:rStyle w:val="ZdrojChar"/>
          <w:rFonts w:eastAsiaTheme="minorHAnsi"/>
        </w:rPr>
      </w:pPr>
      <w:r>
        <w:rPr>
          <w:rStyle w:val="ZdrojChar"/>
          <w:rFonts w:eastAsiaTheme="minorHAnsi"/>
          <w:i w:val="0"/>
        </w:rPr>
        <w:br w:type="page"/>
      </w:r>
    </w:p>
    <w:p w14:paraId="75936831" w14:textId="51F76CCC" w:rsidR="00DC4A6C" w:rsidRDefault="00DC4A6C" w:rsidP="00DC4A6C">
      <w:pPr>
        <w:pStyle w:val="Titulek"/>
        <w:keepNext/>
      </w:pPr>
      <w:bookmarkStart w:id="513" w:name="_Toc53037898"/>
      <w:bookmarkStart w:id="514" w:name="_Toc77074757"/>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77</w:t>
      </w:r>
      <w:r w:rsidR="00081B47">
        <w:rPr>
          <w:noProof/>
        </w:rPr>
        <w:fldChar w:fldCharType="end"/>
      </w:r>
      <w:r w:rsidR="000F101A">
        <w:rPr>
          <w:noProof/>
        </w:rPr>
        <w:t>:</w:t>
      </w:r>
      <w:r>
        <w:t xml:space="preserve"> </w:t>
      </w:r>
      <w:r w:rsidRPr="00F5212E">
        <w:t>Přehled památ</w:t>
      </w:r>
      <w:r>
        <w:t>ek na katastrálním území Zlína</w:t>
      </w:r>
      <w:bookmarkEnd w:id="513"/>
      <w:bookmarkEnd w:id="514"/>
      <w:r>
        <w:t xml:space="preserve"> </w:t>
      </w:r>
    </w:p>
    <w:tbl>
      <w:tblPr>
        <w:tblStyle w:val="Tabulkasmkou21"/>
        <w:tblW w:w="5000" w:type="pct"/>
        <w:tblLook w:val="0420" w:firstRow="1" w:lastRow="0" w:firstColumn="0" w:lastColumn="0" w:noHBand="0" w:noVBand="1"/>
      </w:tblPr>
      <w:tblGrid>
        <w:gridCol w:w="4821"/>
        <w:gridCol w:w="2203"/>
        <w:gridCol w:w="2048"/>
      </w:tblGrid>
      <w:tr w:rsidR="00DC4A6C" w:rsidRPr="003548F1" w14:paraId="58EB8227" w14:textId="77777777" w:rsidTr="000C49A5">
        <w:trPr>
          <w:cnfStyle w:val="100000000000" w:firstRow="1" w:lastRow="0" w:firstColumn="0" w:lastColumn="0" w:oddVBand="0" w:evenVBand="0" w:oddHBand="0" w:evenHBand="0" w:firstRowFirstColumn="0" w:firstRowLastColumn="0" w:lastRowFirstColumn="0" w:lastRowLastColumn="0"/>
          <w:trHeight w:val="20"/>
        </w:trPr>
        <w:tc>
          <w:tcPr>
            <w:tcW w:w="2657" w:type="pct"/>
          </w:tcPr>
          <w:p w14:paraId="33111BCF" w14:textId="77777777" w:rsidR="00DC4A6C" w:rsidRPr="003548F1" w:rsidRDefault="00DC4A6C" w:rsidP="000C49A5">
            <w:pPr>
              <w:spacing w:before="0"/>
              <w:ind w:left="3"/>
              <w:jc w:val="left"/>
              <w:rPr>
                <w:rFonts w:cstheme="minorHAnsi"/>
                <w:sz w:val="18"/>
                <w:szCs w:val="18"/>
              </w:rPr>
            </w:pPr>
            <w:r w:rsidRPr="003548F1">
              <w:rPr>
                <w:rFonts w:cstheme="minorHAnsi"/>
                <w:sz w:val="18"/>
                <w:szCs w:val="18"/>
              </w:rPr>
              <w:t xml:space="preserve">PAMÁTKA </w:t>
            </w:r>
          </w:p>
        </w:tc>
        <w:tc>
          <w:tcPr>
            <w:tcW w:w="1214" w:type="pct"/>
          </w:tcPr>
          <w:p w14:paraId="32649F5A" w14:textId="77777777" w:rsidR="00DC4A6C" w:rsidRPr="003548F1" w:rsidRDefault="00DC4A6C" w:rsidP="000C49A5">
            <w:pPr>
              <w:spacing w:before="0"/>
              <w:ind w:left="3"/>
              <w:jc w:val="left"/>
              <w:rPr>
                <w:rFonts w:cstheme="minorHAnsi"/>
                <w:sz w:val="18"/>
                <w:szCs w:val="18"/>
              </w:rPr>
            </w:pPr>
            <w:r w:rsidRPr="003548F1">
              <w:rPr>
                <w:rFonts w:cstheme="minorHAnsi"/>
                <w:sz w:val="18"/>
                <w:szCs w:val="18"/>
              </w:rPr>
              <w:t xml:space="preserve">ULICE, NÁM., UMÍSTĚNÍ </w:t>
            </w:r>
          </w:p>
        </w:tc>
        <w:tc>
          <w:tcPr>
            <w:tcW w:w="1129" w:type="pct"/>
          </w:tcPr>
          <w:p w14:paraId="594220A7" w14:textId="77777777" w:rsidR="00DC4A6C" w:rsidRPr="003548F1" w:rsidRDefault="00DC4A6C" w:rsidP="000C49A5">
            <w:pPr>
              <w:spacing w:before="0"/>
              <w:ind w:left="3"/>
              <w:jc w:val="left"/>
              <w:rPr>
                <w:rFonts w:cstheme="minorHAnsi"/>
                <w:sz w:val="18"/>
                <w:szCs w:val="18"/>
              </w:rPr>
            </w:pPr>
            <w:r w:rsidRPr="003548F1">
              <w:rPr>
                <w:rFonts w:cstheme="minorHAnsi"/>
                <w:sz w:val="18"/>
                <w:szCs w:val="18"/>
              </w:rPr>
              <w:t xml:space="preserve">ČP. </w:t>
            </w:r>
          </w:p>
        </w:tc>
      </w:tr>
      <w:tr w:rsidR="00DC4A6C" w:rsidRPr="003548F1" w14:paraId="0C5F08F4"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5DED0A0D"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ZÁMEK </w:t>
            </w:r>
          </w:p>
        </w:tc>
        <w:tc>
          <w:tcPr>
            <w:tcW w:w="1214" w:type="pct"/>
          </w:tcPr>
          <w:p w14:paraId="69A78689"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c>
          <w:tcPr>
            <w:tcW w:w="1129" w:type="pct"/>
          </w:tcPr>
          <w:p w14:paraId="5AE13299" w14:textId="485D4C4F"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1 </w:t>
            </w:r>
          </w:p>
        </w:tc>
      </w:tr>
      <w:tr w:rsidR="00DC4A6C" w:rsidRPr="003548F1" w14:paraId="11C205BD" w14:textId="77777777" w:rsidTr="000C49A5">
        <w:trPr>
          <w:trHeight w:val="20"/>
        </w:trPr>
        <w:tc>
          <w:tcPr>
            <w:tcW w:w="2657" w:type="pct"/>
          </w:tcPr>
          <w:p w14:paraId="34E7254D"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PARK U ZÁMKU </w:t>
            </w:r>
          </w:p>
        </w:tc>
        <w:tc>
          <w:tcPr>
            <w:tcW w:w="1214" w:type="pct"/>
          </w:tcPr>
          <w:p w14:paraId="228EB857"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c>
          <w:tcPr>
            <w:tcW w:w="1129" w:type="pct"/>
          </w:tcPr>
          <w:p w14:paraId="5842B261"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35F19604"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5B62D69C" w14:textId="299A3EB5" w:rsidR="00DC4A6C" w:rsidRPr="003548F1" w:rsidRDefault="00DC4A6C" w:rsidP="000C49A5">
            <w:pPr>
              <w:spacing w:before="0"/>
              <w:jc w:val="left"/>
              <w:rPr>
                <w:rFonts w:cstheme="minorHAnsi"/>
                <w:sz w:val="18"/>
                <w:szCs w:val="18"/>
              </w:rPr>
            </w:pPr>
            <w:r w:rsidRPr="003548F1">
              <w:rPr>
                <w:rFonts w:cstheme="minorHAnsi"/>
                <w:sz w:val="18"/>
                <w:szCs w:val="18"/>
              </w:rPr>
              <w:t>SPRÁVNÍ BUDOVA FIRMY BAŤA Č.</w:t>
            </w:r>
            <w:r w:rsidR="009C653C">
              <w:rPr>
                <w:rFonts w:cstheme="minorHAnsi"/>
                <w:sz w:val="18"/>
                <w:szCs w:val="18"/>
              </w:rPr>
              <w:t xml:space="preserve"> </w:t>
            </w:r>
            <w:r w:rsidRPr="003548F1">
              <w:rPr>
                <w:rFonts w:cstheme="minorHAnsi"/>
                <w:sz w:val="18"/>
                <w:szCs w:val="18"/>
              </w:rPr>
              <w:t xml:space="preserve">21 – BAŤŮV MRAKODRAP </w:t>
            </w:r>
          </w:p>
        </w:tc>
        <w:tc>
          <w:tcPr>
            <w:tcW w:w="1214" w:type="pct"/>
          </w:tcPr>
          <w:p w14:paraId="79D00C4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TŘ. T. BATI </w:t>
            </w:r>
          </w:p>
        </w:tc>
        <w:tc>
          <w:tcPr>
            <w:tcW w:w="1129" w:type="pct"/>
          </w:tcPr>
          <w:p w14:paraId="3D74691F" w14:textId="3E4540B3"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21 </w:t>
            </w:r>
          </w:p>
        </w:tc>
      </w:tr>
      <w:tr w:rsidR="00DC4A6C" w:rsidRPr="003548F1" w14:paraId="05C3948F" w14:textId="77777777" w:rsidTr="000C49A5">
        <w:trPr>
          <w:trHeight w:val="20"/>
        </w:trPr>
        <w:tc>
          <w:tcPr>
            <w:tcW w:w="2657" w:type="pct"/>
          </w:tcPr>
          <w:p w14:paraId="1014E36F"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KOLEKTIVNÍ DŮM </w:t>
            </w:r>
          </w:p>
        </w:tc>
        <w:tc>
          <w:tcPr>
            <w:tcW w:w="1214" w:type="pct"/>
          </w:tcPr>
          <w:p w14:paraId="0C65D3D9"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OSVOBODITELŮ </w:t>
            </w:r>
          </w:p>
        </w:tc>
        <w:tc>
          <w:tcPr>
            <w:tcW w:w="1129" w:type="pct"/>
          </w:tcPr>
          <w:p w14:paraId="397CD9FD" w14:textId="01CFF03E"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3778 </w:t>
            </w:r>
          </w:p>
        </w:tc>
      </w:tr>
      <w:tr w:rsidR="00DC4A6C" w:rsidRPr="003548F1" w14:paraId="0C4A26CA"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3B26D6AA" w14:textId="77777777" w:rsidR="00DC4A6C" w:rsidRPr="003548F1" w:rsidRDefault="00DC4A6C" w:rsidP="000C49A5">
            <w:pPr>
              <w:spacing w:before="0"/>
              <w:jc w:val="left"/>
              <w:rPr>
                <w:rFonts w:cstheme="minorHAnsi"/>
                <w:sz w:val="18"/>
                <w:szCs w:val="18"/>
              </w:rPr>
            </w:pPr>
            <w:r w:rsidRPr="003548F1">
              <w:rPr>
                <w:rFonts w:cstheme="minorHAnsi"/>
                <w:sz w:val="18"/>
                <w:szCs w:val="18"/>
              </w:rPr>
              <w:t>SOCHA SV. DONÁTA</w:t>
            </w:r>
            <w:r>
              <w:rPr>
                <w:rFonts w:cstheme="minorHAnsi"/>
                <w:sz w:val="18"/>
                <w:szCs w:val="18"/>
              </w:rPr>
              <w:t xml:space="preserve"> </w:t>
            </w:r>
          </w:p>
        </w:tc>
        <w:tc>
          <w:tcPr>
            <w:tcW w:w="1214" w:type="pct"/>
          </w:tcPr>
          <w:p w14:paraId="5C0611BF"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NÁM. MÍRU </w:t>
            </w:r>
          </w:p>
        </w:tc>
        <w:tc>
          <w:tcPr>
            <w:tcW w:w="1129" w:type="pct"/>
          </w:tcPr>
          <w:p w14:paraId="6FE3ABFE"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20A9E0B3" w14:textId="77777777" w:rsidTr="000C49A5">
        <w:trPr>
          <w:trHeight w:val="20"/>
        </w:trPr>
        <w:tc>
          <w:tcPr>
            <w:tcW w:w="2657" w:type="pct"/>
          </w:tcPr>
          <w:p w14:paraId="13BEBC12" w14:textId="77777777" w:rsidR="00DC4A6C" w:rsidRPr="003548F1" w:rsidRDefault="00DC4A6C" w:rsidP="000C49A5">
            <w:pPr>
              <w:spacing w:before="0"/>
              <w:jc w:val="left"/>
              <w:rPr>
                <w:rFonts w:cstheme="minorHAnsi"/>
                <w:sz w:val="18"/>
                <w:szCs w:val="18"/>
              </w:rPr>
            </w:pPr>
            <w:r w:rsidRPr="003548F1">
              <w:rPr>
                <w:rFonts w:cstheme="minorHAnsi"/>
                <w:sz w:val="18"/>
                <w:szCs w:val="18"/>
              </w:rPr>
              <w:t>SOCHA SV. FLORIÁNA</w:t>
            </w:r>
            <w:r>
              <w:rPr>
                <w:rFonts w:cstheme="minorHAnsi"/>
                <w:sz w:val="18"/>
                <w:szCs w:val="18"/>
              </w:rPr>
              <w:t xml:space="preserve"> </w:t>
            </w:r>
          </w:p>
        </w:tc>
        <w:tc>
          <w:tcPr>
            <w:tcW w:w="1214" w:type="pct"/>
          </w:tcPr>
          <w:p w14:paraId="1741CA38"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NÁM. MÍRU </w:t>
            </w:r>
          </w:p>
        </w:tc>
        <w:tc>
          <w:tcPr>
            <w:tcW w:w="1129" w:type="pct"/>
          </w:tcPr>
          <w:p w14:paraId="51F78B5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49231C87"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301E072C"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SOCHA SV. JANA NEPOMUCKÉHO </w:t>
            </w:r>
          </w:p>
        </w:tc>
        <w:tc>
          <w:tcPr>
            <w:tcW w:w="1214" w:type="pct"/>
          </w:tcPr>
          <w:p w14:paraId="0B05FC27"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c>
          <w:tcPr>
            <w:tcW w:w="1129" w:type="pct"/>
          </w:tcPr>
          <w:p w14:paraId="7FA71D7C"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46B86776" w14:textId="77777777" w:rsidTr="000C49A5">
        <w:trPr>
          <w:trHeight w:val="20"/>
        </w:trPr>
        <w:tc>
          <w:tcPr>
            <w:tcW w:w="2657" w:type="pct"/>
          </w:tcPr>
          <w:p w14:paraId="630A31E5" w14:textId="77777777" w:rsidR="00DC4A6C" w:rsidRPr="003548F1" w:rsidRDefault="00DC4A6C" w:rsidP="000C49A5">
            <w:pPr>
              <w:spacing w:before="0"/>
              <w:jc w:val="left"/>
              <w:rPr>
                <w:rFonts w:cstheme="minorHAnsi"/>
                <w:sz w:val="18"/>
                <w:szCs w:val="18"/>
              </w:rPr>
            </w:pPr>
            <w:r w:rsidRPr="003548F1">
              <w:rPr>
                <w:rFonts w:cstheme="minorHAnsi"/>
                <w:sz w:val="18"/>
                <w:szCs w:val="18"/>
              </w:rPr>
              <w:t>SOCHA PARTYZÁNA</w:t>
            </w:r>
            <w:r>
              <w:rPr>
                <w:rFonts w:cstheme="minorHAnsi"/>
                <w:sz w:val="18"/>
                <w:szCs w:val="18"/>
              </w:rPr>
              <w:t xml:space="preserve"> </w:t>
            </w:r>
          </w:p>
        </w:tc>
        <w:tc>
          <w:tcPr>
            <w:tcW w:w="1214" w:type="pct"/>
          </w:tcPr>
          <w:p w14:paraId="192909A4"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c>
          <w:tcPr>
            <w:tcW w:w="1129" w:type="pct"/>
          </w:tcPr>
          <w:p w14:paraId="56639E2F"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228E2554"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2B65F368"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RODINNÝ DŮM TYP „BENŠ-JECH“ VZOROVÉ KOLONIE U LOMU </w:t>
            </w:r>
          </w:p>
        </w:tc>
        <w:tc>
          <w:tcPr>
            <w:tcW w:w="1214" w:type="pct"/>
          </w:tcPr>
          <w:p w14:paraId="0137B8F2"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NAD OVČÍRNOU VI </w:t>
            </w:r>
          </w:p>
        </w:tc>
        <w:tc>
          <w:tcPr>
            <w:tcW w:w="1129" w:type="pct"/>
          </w:tcPr>
          <w:p w14:paraId="51BEDF6C" w14:textId="21402C81"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631 </w:t>
            </w:r>
          </w:p>
        </w:tc>
      </w:tr>
      <w:tr w:rsidR="00DC4A6C" w:rsidRPr="003548F1" w14:paraId="035F4197" w14:textId="77777777" w:rsidTr="000C49A5">
        <w:trPr>
          <w:trHeight w:val="20"/>
        </w:trPr>
        <w:tc>
          <w:tcPr>
            <w:tcW w:w="2657" w:type="pct"/>
          </w:tcPr>
          <w:p w14:paraId="423AC675"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RODINNÝ DŮM </w:t>
            </w:r>
          </w:p>
        </w:tc>
        <w:tc>
          <w:tcPr>
            <w:tcW w:w="1214" w:type="pct"/>
          </w:tcPr>
          <w:p w14:paraId="63DC4028"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U LOMU </w:t>
            </w:r>
          </w:p>
        </w:tc>
        <w:tc>
          <w:tcPr>
            <w:tcW w:w="1129" w:type="pct"/>
          </w:tcPr>
          <w:p w14:paraId="13962D94" w14:textId="35F80A43"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632 </w:t>
            </w:r>
          </w:p>
        </w:tc>
      </w:tr>
      <w:tr w:rsidR="00DC4A6C" w:rsidRPr="003548F1" w14:paraId="71D71F58"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7863E185"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RODINNÝ DŮM TYP „KARFÍK“ VZOROVÉ KOLONIE U LOMU </w:t>
            </w:r>
          </w:p>
        </w:tc>
        <w:tc>
          <w:tcPr>
            <w:tcW w:w="1214" w:type="pct"/>
          </w:tcPr>
          <w:p w14:paraId="2ACF96D7"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U LOMU </w:t>
            </w:r>
          </w:p>
        </w:tc>
        <w:tc>
          <w:tcPr>
            <w:tcW w:w="1129" w:type="pct"/>
          </w:tcPr>
          <w:p w14:paraId="78DA82C1" w14:textId="07AE7C11"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629 </w:t>
            </w:r>
          </w:p>
        </w:tc>
      </w:tr>
      <w:tr w:rsidR="00DC4A6C" w:rsidRPr="003548F1" w14:paraId="3875FACF" w14:textId="77777777" w:rsidTr="000C49A5">
        <w:trPr>
          <w:trHeight w:val="20"/>
        </w:trPr>
        <w:tc>
          <w:tcPr>
            <w:tcW w:w="2657" w:type="pct"/>
          </w:tcPr>
          <w:p w14:paraId="64DA6F46"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RODINNÝ DŮM TYP „VÍTEK“ VZOROVÉ KOLONIE U LOMU </w:t>
            </w:r>
          </w:p>
        </w:tc>
        <w:tc>
          <w:tcPr>
            <w:tcW w:w="1214" w:type="pct"/>
          </w:tcPr>
          <w:p w14:paraId="2AEBB775"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U LOMU </w:t>
            </w:r>
          </w:p>
        </w:tc>
        <w:tc>
          <w:tcPr>
            <w:tcW w:w="1129" w:type="pct"/>
          </w:tcPr>
          <w:p w14:paraId="2FE9D3FA" w14:textId="4BDA55D7"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627 </w:t>
            </w:r>
          </w:p>
        </w:tc>
      </w:tr>
      <w:tr w:rsidR="00DC4A6C" w:rsidRPr="003548F1" w14:paraId="674BD451"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21239AA3"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RODINNÝ DŮM TYP „SVEDLUND“ VZOROVÉ KOLONIE U LOMU </w:t>
            </w:r>
          </w:p>
        </w:tc>
        <w:tc>
          <w:tcPr>
            <w:tcW w:w="1214" w:type="pct"/>
          </w:tcPr>
          <w:p w14:paraId="6DF024F8"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NAD OVČÍRNOU VI </w:t>
            </w:r>
          </w:p>
        </w:tc>
        <w:tc>
          <w:tcPr>
            <w:tcW w:w="1129" w:type="pct"/>
          </w:tcPr>
          <w:p w14:paraId="30C7426B" w14:textId="121C05C1"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626 </w:t>
            </w:r>
          </w:p>
        </w:tc>
      </w:tr>
      <w:tr w:rsidR="00DC4A6C" w:rsidRPr="003548F1" w14:paraId="16727FF6" w14:textId="77777777" w:rsidTr="000C49A5">
        <w:trPr>
          <w:trHeight w:val="20"/>
        </w:trPr>
        <w:tc>
          <w:tcPr>
            <w:tcW w:w="2657" w:type="pct"/>
          </w:tcPr>
          <w:p w14:paraId="631D1246"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PAMÁTNÍK TOMÁŠE BATI </w:t>
            </w:r>
          </w:p>
        </w:tc>
        <w:tc>
          <w:tcPr>
            <w:tcW w:w="1214" w:type="pct"/>
          </w:tcPr>
          <w:p w14:paraId="6D52E204"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NÁM. T. G. MASARYKA </w:t>
            </w:r>
          </w:p>
        </w:tc>
        <w:tc>
          <w:tcPr>
            <w:tcW w:w="1129" w:type="pct"/>
          </w:tcPr>
          <w:p w14:paraId="1FB5A473" w14:textId="58157F20"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2570 </w:t>
            </w:r>
          </w:p>
        </w:tc>
      </w:tr>
      <w:tr w:rsidR="00DC4A6C" w:rsidRPr="003548F1" w14:paraId="039B9988"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41A3ABF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HRAD HRADIŠTKO, ZŘÍCENINA </w:t>
            </w:r>
          </w:p>
        </w:tc>
        <w:tc>
          <w:tcPr>
            <w:tcW w:w="1214" w:type="pct"/>
          </w:tcPr>
          <w:p w14:paraId="3F0964B8"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c>
          <w:tcPr>
            <w:tcW w:w="1129" w:type="pct"/>
          </w:tcPr>
          <w:p w14:paraId="6669CAF2"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7B6FA932" w14:textId="77777777" w:rsidTr="000C49A5">
        <w:trPr>
          <w:trHeight w:val="20"/>
        </w:trPr>
        <w:tc>
          <w:tcPr>
            <w:tcW w:w="2657" w:type="pct"/>
          </w:tcPr>
          <w:p w14:paraId="035DB44D"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STUDIJNÍ ÚSTAVY </w:t>
            </w:r>
          </w:p>
        </w:tc>
        <w:tc>
          <w:tcPr>
            <w:tcW w:w="1214" w:type="pct"/>
          </w:tcPr>
          <w:p w14:paraId="3CDAA2CC"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NÁM. T. G. MASARYKA </w:t>
            </w:r>
          </w:p>
        </w:tc>
        <w:tc>
          <w:tcPr>
            <w:tcW w:w="1129" w:type="pct"/>
          </w:tcPr>
          <w:p w14:paraId="2AA4481F" w14:textId="4BBAC970"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2734, 3218 </w:t>
            </w:r>
          </w:p>
        </w:tc>
      </w:tr>
      <w:tr w:rsidR="00DC4A6C" w:rsidRPr="003548F1" w14:paraId="491B9330"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05BADE80"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VILA ZIKMUNDOVA SE ZAHRADOU </w:t>
            </w:r>
          </w:p>
        </w:tc>
        <w:tc>
          <w:tcPr>
            <w:tcW w:w="1214" w:type="pct"/>
          </w:tcPr>
          <w:p w14:paraId="6CF68760"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ŽLEBOVÁ </w:t>
            </w:r>
          </w:p>
        </w:tc>
        <w:tc>
          <w:tcPr>
            <w:tcW w:w="1129" w:type="pct"/>
          </w:tcPr>
          <w:p w14:paraId="48B45487" w14:textId="57CEAD38"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2894 </w:t>
            </w:r>
          </w:p>
        </w:tc>
      </w:tr>
      <w:tr w:rsidR="00DC4A6C" w:rsidRPr="003548F1" w14:paraId="2FDF1D2A" w14:textId="77777777" w:rsidTr="000C49A5">
        <w:trPr>
          <w:trHeight w:val="20"/>
        </w:trPr>
        <w:tc>
          <w:tcPr>
            <w:tcW w:w="2657" w:type="pct"/>
          </w:tcPr>
          <w:p w14:paraId="41EA719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DŮM DROFA </w:t>
            </w:r>
          </w:p>
        </w:tc>
        <w:tc>
          <w:tcPr>
            <w:tcW w:w="1214" w:type="pct"/>
          </w:tcPr>
          <w:p w14:paraId="5A1500A1"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ZÁLEŠNÁ I </w:t>
            </w:r>
          </w:p>
        </w:tc>
        <w:tc>
          <w:tcPr>
            <w:tcW w:w="1129" w:type="pct"/>
          </w:tcPr>
          <w:p w14:paraId="72C5F89A" w14:textId="2ED82DE3"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4057 </w:t>
            </w:r>
          </w:p>
        </w:tc>
      </w:tr>
      <w:tr w:rsidR="00DC4A6C" w:rsidRPr="003548F1" w14:paraId="7DAEB21F"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1D6E996B"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MĚSTSKÉ DIVADLO </w:t>
            </w:r>
          </w:p>
        </w:tc>
        <w:tc>
          <w:tcPr>
            <w:tcW w:w="1214" w:type="pct"/>
          </w:tcPr>
          <w:p w14:paraId="37006A73"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TŘ. TOMÁŠE BATI </w:t>
            </w:r>
          </w:p>
        </w:tc>
        <w:tc>
          <w:tcPr>
            <w:tcW w:w="1129" w:type="pct"/>
          </w:tcPr>
          <w:p w14:paraId="260089AE" w14:textId="36653090"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4091, 3354 </w:t>
            </w:r>
          </w:p>
        </w:tc>
      </w:tr>
      <w:tr w:rsidR="00DC4A6C" w:rsidRPr="003548F1" w14:paraId="7A9E2791" w14:textId="77777777" w:rsidTr="000C49A5">
        <w:trPr>
          <w:trHeight w:val="20"/>
        </w:trPr>
        <w:tc>
          <w:tcPr>
            <w:tcW w:w="2657" w:type="pct"/>
          </w:tcPr>
          <w:p w14:paraId="31F44E44"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ZÁKLADNÍ ŠKOLA </w:t>
            </w:r>
          </w:p>
        </w:tc>
        <w:tc>
          <w:tcPr>
            <w:tcW w:w="1214" w:type="pct"/>
          </w:tcPr>
          <w:p w14:paraId="046B5C0D" w14:textId="77777777" w:rsidR="00DC4A6C" w:rsidRPr="003548F1" w:rsidRDefault="00DC4A6C" w:rsidP="000C49A5">
            <w:pPr>
              <w:spacing w:before="0"/>
              <w:jc w:val="left"/>
              <w:rPr>
                <w:rFonts w:cstheme="minorHAnsi"/>
                <w:sz w:val="18"/>
                <w:szCs w:val="18"/>
              </w:rPr>
            </w:pPr>
            <w:r w:rsidRPr="003548F1">
              <w:rPr>
                <w:rFonts w:cstheme="minorHAnsi"/>
                <w:sz w:val="18"/>
                <w:szCs w:val="18"/>
              </w:rPr>
              <w:t>DŘEVNICKÁ</w:t>
            </w:r>
            <w:r>
              <w:rPr>
                <w:rFonts w:cstheme="minorHAnsi"/>
                <w:sz w:val="18"/>
                <w:szCs w:val="18"/>
              </w:rPr>
              <w:t xml:space="preserve"> </w:t>
            </w:r>
          </w:p>
        </w:tc>
        <w:tc>
          <w:tcPr>
            <w:tcW w:w="1129" w:type="pct"/>
          </w:tcPr>
          <w:p w14:paraId="25B70DEE" w14:textId="6304C8A5"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1790 </w:t>
            </w:r>
          </w:p>
        </w:tc>
      </w:tr>
      <w:tr w:rsidR="00DC4A6C" w:rsidRPr="003548F1" w14:paraId="6C1A5C8D"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2060EA27"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VILA ŠŤASTNÉHO SE ZAHRADOU </w:t>
            </w:r>
          </w:p>
        </w:tc>
        <w:tc>
          <w:tcPr>
            <w:tcW w:w="1214" w:type="pct"/>
          </w:tcPr>
          <w:p w14:paraId="4103930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POD STRÁNĚMI </w:t>
            </w:r>
          </w:p>
        </w:tc>
        <w:tc>
          <w:tcPr>
            <w:tcW w:w="1129" w:type="pct"/>
          </w:tcPr>
          <w:p w14:paraId="412CBB4D" w14:textId="499254F5"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743 </w:t>
            </w:r>
          </w:p>
        </w:tc>
      </w:tr>
      <w:tr w:rsidR="00DC4A6C" w:rsidRPr="003548F1" w14:paraId="18D0F8A2" w14:textId="77777777" w:rsidTr="000C49A5">
        <w:trPr>
          <w:trHeight w:val="20"/>
        </w:trPr>
        <w:tc>
          <w:tcPr>
            <w:tcW w:w="2657" w:type="pct"/>
          </w:tcPr>
          <w:p w14:paraId="4A5D766C"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OBCHODNÍ A SPOLEČENSKÉ CENTRUM DÍLY, VČETNĚ PŘÍSTUPOVÝCH RAMP </w:t>
            </w:r>
          </w:p>
        </w:tc>
        <w:tc>
          <w:tcPr>
            <w:tcW w:w="1214" w:type="pct"/>
          </w:tcPr>
          <w:p w14:paraId="7E94E7F8"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ŠTEFÁNIKOVA </w:t>
            </w:r>
          </w:p>
        </w:tc>
        <w:tc>
          <w:tcPr>
            <w:tcW w:w="1129" w:type="pct"/>
          </w:tcPr>
          <w:p w14:paraId="31941406" w14:textId="0DD20DE1"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2987 </w:t>
            </w:r>
          </w:p>
        </w:tc>
      </w:tr>
      <w:tr w:rsidR="00DC4A6C" w:rsidRPr="003548F1" w14:paraId="0736B9B2"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23DF1926"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RADNICE </w:t>
            </w:r>
          </w:p>
        </w:tc>
        <w:tc>
          <w:tcPr>
            <w:tcW w:w="1214" w:type="pct"/>
          </w:tcPr>
          <w:p w14:paraId="40D4866B"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NÁM. MÍRU </w:t>
            </w:r>
          </w:p>
        </w:tc>
        <w:tc>
          <w:tcPr>
            <w:tcW w:w="1129" w:type="pct"/>
          </w:tcPr>
          <w:p w14:paraId="343598E1" w14:textId="4E6B202B"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12, 10 </w:t>
            </w:r>
          </w:p>
        </w:tc>
      </w:tr>
      <w:tr w:rsidR="00DC4A6C" w:rsidRPr="003548F1" w14:paraId="6E77124C" w14:textId="77777777" w:rsidTr="000C49A5">
        <w:trPr>
          <w:trHeight w:val="20"/>
        </w:trPr>
        <w:tc>
          <w:tcPr>
            <w:tcW w:w="2657" w:type="pct"/>
          </w:tcPr>
          <w:p w14:paraId="597E9FD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DŮM EDUARDA ČERVINKY </w:t>
            </w:r>
          </w:p>
        </w:tc>
        <w:tc>
          <w:tcPr>
            <w:tcW w:w="1214" w:type="pct"/>
          </w:tcPr>
          <w:p w14:paraId="69C76541"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NÁM. MÍRU </w:t>
            </w:r>
          </w:p>
        </w:tc>
        <w:tc>
          <w:tcPr>
            <w:tcW w:w="1129" w:type="pct"/>
          </w:tcPr>
          <w:p w14:paraId="21846082" w14:textId="7EBDEAA2"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9 </w:t>
            </w:r>
          </w:p>
        </w:tc>
      </w:tr>
      <w:tr w:rsidR="00DC4A6C" w:rsidRPr="003548F1" w14:paraId="61A6F124"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6905DAD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MORÝSOVY DOMY </w:t>
            </w:r>
          </w:p>
        </w:tc>
        <w:tc>
          <w:tcPr>
            <w:tcW w:w="1214" w:type="pct"/>
          </w:tcPr>
          <w:p w14:paraId="20A9D71B"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TŘ. TOMÁŠE BATI </w:t>
            </w:r>
          </w:p>
        </w:tc>
        <w:tc>
          <w:tcPr>
            <w:tcW w:w="1129" w:type="pct"/>
          </w:tcPr>
          <w:p w14:paraId="2EADEE97" w14:textId="56DF40F6"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1276, 1285 </w:t>
            </w:r>
          </w:p>
        </w:tc>
      </w:tr>
      <w:tr w:rsidR="00DC4A6C" w:rsidRPr="003548F1" w14:paraId="4B7B7A3B" w14:textId="77777777" w:rsidTr="000C49A5">
        <w:trPr>
          <w:trHeight w:val="20"/>
        </w:trPr>
        <w:tc>
          <w:tcPr>
            <w:tcW w:w="2657" w:type="pct"/>
          </w:tcPr>
          <w:p w14:paraId="5C7DED8F"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BOŽÍ MUKA SE SOCHOU SV. ANTONÍNA PADUÁNSKÉHO </w:t>
            </w:r>
          </w:p>
        </w:tc>
        <w:tc>
          <w:tcPr>
            <w:tcW w:w="1214" w:type="pct"/>
          </w:tcPr>
          <w:p w14:paraId="660F6DF9"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P.Č. 3566/2 </w:t>
            </w:r>
          </w:p>
        </w:tc>
        <w:tc>
          <w:tcPr>
            <w:tcW w:w="1129" w:type="pct"/>
          </w:tcPr>
          <w:p w14:paraId="78FAE04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047A075D"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5B0D134E"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ZIMNÍ LÁZNĚ </w:t>
            </w:r>
          </w:p>
        </w:tc>
        <w:tc>
          <w:tcPr>
            <w:tcW w:w="1214" w:type="pct"/>
          </w:tcPr>
          <w:p w14:paraId="1FAA8A6E"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HRADSKÁ </w:t>
            </w:r>
          </w:p>
        </w:tc>
        <w:tc>
          <w:tcPr>
            <w:tcW w:w="1129" w:type="pct"/>
          </w:tcPr>
          <w:p w14:paraId="6C8D516F" w14:textId="4DCBFDCD"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888 </w:t>
            </w:r>
          </w:p>
        </w:tc>
      </w:tr>
      <w:tr w:rsidR="00DC4A6C" w:rsidRPr="003548F1" w14:paraId="74B73A18" w14:textId="77777777" w:rsidTr="000C49A5">
        <w:trPr>
          <w:trHeight w:val="20"/>
        </w:trPr>
        <w:tc>
          <w:tcPr>
            <w:tcW w:w="2657" w:type="pct"/>
          </w:tcPr>
          <w:p w14:paraId="58792DF6"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KOSTEL SV. FILIPA A SV. JAKUBA </w:t>
            </w:r>
          </w:p>
        </w:tc>
        <w:tc>
          <w:tcPr>
            <w:tcW w:w="1214" w:type="pct"/>
          </w:tcPr>
          <w:p w14:paraId="3BE51288"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P.Č.60 </w:t>
            </w:r>
          </w:p>
        </w:tc>
        <w:tc>
          <w:tcPr>
            <w:tcW w:w="1129" w:type="pct"/>
          </w:tcPr>
          <w:p w14:paraId="5E04AEE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 </w:t>
            </w:r>
          </w:p>
        </w:tc>
      </w:tr>
      <w:tr w:rsidR="00DC4A6C" w:rsidRPr="003548F1" w14:paraId="1FAF5C1A"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343CAAEC"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VILA GERBECOVA </w:t>
            </w:r>
          </w:p>
        </w:tc>
        <w:tc>
          <w:tcPr>
            <w:tcW w:w="1214" w:type="pct"/>
          </w:tcPr>
          <w:p w14:paraId="1675F17C"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ZÁLEŠNÁ I </w:t>
            </w:r>
          </w:p>
        </w:tc>
        <w:tc>
          <w:tcPr>
            <w:tcW w:w="1129" w:type="pct"/>
          </w:tcPr>
          <w:p w14:paraId="45BDDC0B" w14:textId="25D4728C"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3222 </w:t>
            </w:r>
          </w:p>
        </w:tc>
      </w:tr>
      <w:tr w:rsidR="00DC4A6C" w:rsidRPr="003548F1" w14:paraId="18BDC6EC" w14:textId="77777777" w:rsidTr="000C49A5">
        <w:trPr>
          <w:trHeight w:val="20"/>
        </w:trPr>
        <w:tc>
          <w:tcPr>
            <w:tcW w:w="2657" w:type="pct"/>
          </w:tcPr>
          <w:p w14:paraId="256D1D93"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4 BUDOVY SVOBODÁREN </w:t>
            </w:r>
          </w:p>
        </w:tc>
        <w:tc>
          <w:tcPr>
            <w:tcW w:w="1214" w:type="pct"/>
          </w:tcPr>
          <w:p w14:paraId="661458DB" w14:textId="77777777" w:rsidR="00DC4A6C" w:rsidRPr="003548F1" w:rsidRDefault="00DC4A6C" w:rsidP="000C49A5">
            <w:pPr>
              <w:spacing w:before="0"/>
              <w:ind w:right="79"/>
              <w:jc w:val="left"/>
              <w:rPr>
                <w:rFonts w:cstheme="minorHAnsi"/>
                <w:sz w:val="18"/>
                <w:szCs w:val="18"/>
              </w:rPr>
            </w:pPr>
            <w:r w:rsidRPr="003548F1">
              <w:rPr>
                <w:rFonts w:cstheme="minorHAnsi"/>
                <w:sz w:val="18"/>
                <w:szCs w:val="18"/>
              </w:rPr>
              <w:t>ŠTEFÁNIKOVA,</w:t>
            </w:r>
            <w:r>
              <w:rPr>
                <w:rFonts w:cstheme="minorHAnsi"/>
                <w:sz w:val="18"/>
                <w:szCs w:val="18"/>
              </w:rPr>
              <w:t xml:space="preserve"> </w:t>
            </w:r>
            <w:r w:rsidRPr="003548F1">
              <w:rPr>
                <w:rFonts w:cstheme="minorHAnsi"/>
                <w:sz w:val="18"/>
                <w:szCs w:val="18"/>
              </w:rPr>
              <w:t xml:space="preserve">TOMÁŠE BATI </w:t>
            </w:r>
          </w:p>
        </w:tc>
        <w:tc>
          <w:tcPr>
            <w:tcW w:w="1129" w:type="pct"/>
          </w:tcPr>
          <w:p w14:paraId="35A1BC33" w14:textId="623B2CDD" w:rsidR="00DC4A6C" w:rsidRPr="003548F1" w:rsidRDefault="00DC4A6C" w:rsidP="000C49A5">
            <w:pPr>
              <w:spacing w:before="0"/>
              <w:ind w:right="79"/>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2986, 2988, 3296, 3295 </w:t>
            </w:r>
          </w:p>
        </w:tc>
      </w:tr>
      <w:tr w:rsidR="00DC4A6C" w:rsidRPr="003548F1" w14:paraId="498BA477"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43850FC5"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ČINŽOVNÍ DŮM </w:t>
            </w:r>
          </w:p>
        </w:tc>
        <w:tc>
          <w:tcPr>
            <w:tcW w:w="1214" w:type="pct"/>
          </w:tcPr>
          <w:p w14:paraId="62BACFB5"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ŠKOLNÍ </w:t>
            </w:r>
          </w:p>
        </w:tc>
        <w:tc>
          <w:tcPr>
            <w:tcW w:w="1129" w:type="pct"/>
          </w:tcPr>
          <w:p w14:paraId="33BF361C" w14:textId="1335097B"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3297 </w:t>
            </w:r>
          </w:p>
        </w:tc>
      </w:tr>
      <w:tr w:rsidR="00DC4A6C" w:rsidRPr="003548F1" w14:paraId="7C230ED7" w14:textId="77777777" w:rsidTr="000C49A5">
        <w:trPr>
          <w:trHeight w:val="20"/>
        </w:trPr>
        <w:tc>
          <w:tcPr>
            <w:tcW w:w="2657" w:type="pct"/>
          </w:tcPr>
          <w:p w14:paraId="0D315056"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VELKÉ KINO </w:t>
            </w:r>
          </w:p>
        </w:tc>
        <w:tc>
          <w:tcPr>
            <w:tcW w:w="1214" w:type="pct"/>
          </w:tcPr>
          <w:p w14:paraId="37E3A452"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NÁM. PRÁCE </w:t>
            </w:r>
          </w:p>
        </w:tc>
        <w:tc>
          <w:tcPr>
            <w:tcW w:w="1129" w:type="pct"/>
          </w:tcPr>
          <w:p w14:paraId="3323B6A8" w14:textId="74B97C70"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2511 </w:t>
            </w:r>
          </w:p>
        </w:tc>
      </w:tr>
      <w:tr w:rsidR="00DC4A6C" w:rsidRPr="003548F1" w14:paraId="7383CB6B"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67FD36B4"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VĚŽOVÝ DŮM M. DROFY </w:t>
            </w:r>
          </w:p>
        </w:tc>
        <w:tc>
          <w:tcPr>
            <w:tcW w:w="1214" w:type="pct"/>
          </w:tcPr>
          <w:p w14:paraId="7828871B"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TŘ. TOMÁŠE BATI </w:t>
            </w:r>
          </w:p>
        </w:tc>
        <w:tc>
          <w:tcPr>
            <w:tcW w:w="1129" w:type="pct"/>
          </w:tcPr>
          <w:p w14:paraId="45D41058" w14:textId="0AE7BCD7"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861 </w:t>
            </w:r>
          </w:p>
        </w:tc>
      </w:tr>
      <w:tr w:rsidR="00DC4A6C" w:rsidRPr="003548F1" w14:paraId="68E6B6A0" w14:textId="77777777" w:rsidTr="000C49A5">
        <w:trPr>
          <w:trHeight w:val="20"/>
        </w:trPr>
        <w:tc>
          <w:tcPr>
            <w:tcW w:w="2657" w:type="pct"/>
          </w:tcPr>
          <w:p w14:paraId="221FC4B4"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VILA ČIPEROVA S DOMKEM ZAHRADNÍKA A ZAHRADOU </w:t>
            </w:r>
          </w:p>
        </w:tc>
        <w:tc>
          <w:tcPr>
            <w:tcW w:w="1214" w:type="pct"/>
          </w:tcPr>
          <w:p w14:paraId="37C9F88B"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BUREŠOV </w:t>
            </w:r>
          </w:p>
        </w:tc>
        <w:tc>
          <w:tcPr>
            <w:tcW w:w="1129" w:type="pct"/>
          </w:tcPr>
          <w:p w14:paraId="5A50CD74" w14:textId="77444A29"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3674, 3675 </w:t>
            </w:r>
          </w:p>
        </w:tc>
      </w:tr>
      <w:tr w:rsidR="00DC4A6C" w:rsidRPr="003548F1" w14:paraId="4E346EAE"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75F91002"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VĚŽOVÝ DŮM M. DROFY </w:t>
            </w:r>
          </w:p>
        </w:tc>
        <w:tc>
          <w:tcPr>
            <w:tcW w:w="1214" w:type="pct"/>
          </w:tcPr>
          <w:p w14:paraId="6EE80E8A"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TŘ. TOMÁŠE BATI </w:t>
            </w:r>
          </w:p>
        </w:tc>
        <w:tc>
          <w:tcPr>
            <w:tcW w:w="1129" w:type="pct"/>
          </w:tcPr>
          <w:p w14:paraId="5782C10A" w14:textId="11DE00BB"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876 </w:t>
            </w:r>
          </w:p>
        </w:tc>
      </w:tr>
      <w:tr w:rsidR="00DC4A6C" w:rsidRPr="003548F1" w14:paraId="471C381B" w14:textId="77777777" w:rsidTr="000C49A5">
        <w:trPr>
          <w:trHeight w:val="20"/>
        </w:trPr>
        <w:tc>
          <w:tcPr>
            <w:tcW w:w="2657" w:type="pct"/>
          </w:tcPr>
          <w:p w14:paraId="4C86DF14"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VĚŽOVÝ DŮM M. DROFY </w:t>
            </w:r>
          </w:p>
        </w:tc>
        <w:tc>
          <w:tcPr>
            <w:tcW w:w="1214" w:type="pct"/>
          </w:tcPr>
          <w:p w14:paraId="6D28E23F"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TŘ. TOMÁŠE BATI </w:t>
            </w:r>
          </w:p>
        </w:tc>
        <w:tc>
          <w:tcPr>
            <w:tcW w:w="1129" w:type="pct"/>
          </w:tcPr>
          <w:p w14:paraId="547C7EE0" w14:textId="0CCEC6E6"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874 </w:t>
            </w:r>
          </w:p>
        </w:tc>
      </w:tr>
      <w:tr w:rsidR="00DC4A6C" w:rsidRPr="003548F1" w14:paraId="5253038C" w14:textId="77777777" w:rsidTr="000C49A5">
        <w:trPr>
          <w:cnfStyle w:val="000000100000" w:firstRow="0" w:lastRow="0" w:firstColumn="0" w:lastColumn="0" w:oddVBand="0" w:evenVBand="0" w:oddHBand="1" w:evenHBand="0" w:firstRowFirstColumn="0" w:firstRowLastColumn="0" w:lastRowFirstColumn="0" w:lastRowLastColumn="0"/>
          <w:trHeight w:val="20"/>
        </w:trPr>
        <w:tc>
          <w:tcPr>
            <w:tcW w:w="2657" w:type="pct"/>
          </w:tcPr>
          <w:p w14:paraId="20A150C2" w14:textId="77777777" w:rsidR="00DC4A6C" w:rsidRPr="003548F1" w:rsidRDefault="00DC4A6C" w:rsidP="000C49A5">
            <w:pPr>
              <w:spacing w:before="0"/>
              <w:jc w:val="left"/>
              <w:rPr>
                <w:rFonts w:cstheme="minorHAnsi"/>
                <w:sz w:val="18"/>
                <w:szCs w:val="18"/>
              </w:rPr>
            </w:pPr>
            <w:r w:rsidRPr="003548F1">
              <w:rPr>
                <w:rFonts w:cstheme="minorHAnsi"/>
                <w:sz w:val="18"/>
                <w:szCs w:val="18"/>
              </w:rPr>
              <w:t xml:space="preserve">MALOTOVA VILA </w:t>
            </w:r>
          </w:p>
        </w:tc>
        <w:tc>
          <w:tcPr>
            <w:tcW w:w="1214" w:type="pct"/>
          </w:tcPr>
          <w:p w14:paraId="67A3D9FF" w14:textId="77777777" w:rsidR="00DC4A6C" w:rsidRPr="003548F1" w:rsidRDefault="00DC4A6C" w:rsidP="000C49A5">
            <w:pPr>
              <w:spacing w:before="0"/>
              <w:jc w:val="left"/>
              <w:rPr>
                <w:rFonts w:cstheme="minorHAnsi"/>
                <w:sz w:val="18"/>
                <w:szCs w:val="18"/>
              </w:rPr>
            </w:pPr>
            <w:r w:rsidRPr="003548F1">
              <w:rPr>
                <w:rFonts w:cstheme="minorHAnsi"/>
                <w:sz w:val="18"/>
                <w:szCs w:val="18"/>
              </w:rPr>
              <w:t>LAZY</w:t>
            </w:r>
            <w:r>
              <w:rPr>
                <w:rFonts w:cstheme="minorHAnsi"/>
                <w:sz w:val="18"/>
                <w:szCs w:val="18"/>
              </w:rPr>
              <w:t xml:space="preserve"> </w:t>
            </w:r>
            <w:r w:rsidRPr="003548F1">
              <w:rPr>
                <w:rFonts w:cstheme="minorHAnsi"/>
                <w:sz w:val="18"/>
                <w:szCs w:val="18"/>
              </w:rPr>
              <w:t xml:space="preserve">I </w:t>
            </w:r>
          </w:p>
        </w:tc>
        <w:tc>
          <w:tcPr>
            <w:tcW w:w="1129" w:type="pct"/>
          </w:tcPr>
          <w:p w14:paraId="13EEFC55" w14:textId="73B12B89" w:rsidR="00DC4A6C" w:rsidRPr="003548F1" w:rsidRDefault="00DC4A6C" w:rsidP="000C49A5">
            <w:pPr>
              <w:spacing w:before="0"/>
              <w:jc w:val="left"/>
              <w:rPr>
                <w:rFonts w:cstheme="minorHAnsi"/>
                <w:sz w:val="18"/>
                <w:szCs w:val="18"/>
              </w:rPr>
            </w:pPr>
            <w:r w:rsidRPr="003548F1">
              <w:rPr>
                <w:rFonts w:cstheme="minorHAnsi"/>
                <w:sz w:val="18"/>
                <w:szCs w:val="18"/>
              </w:rPr>
              <w:t>ČP.</w:t>
            </w:r>
            <w:r w:rsidR="000F101A">
              <w:rPr>
                <w:rFonts w:cstheme="minorHAnsi"/>
                <w:sz w:val="18"/>
                <w:szCs w:val="18"/>
              </w:rPr>
              <w:t xml:space="preserve"> </w:t>
            </w:r>
            <w:r w:rsidRPr="003548F1">
              <w:rPr>
                <w:rFonts w:cstheme="minorHAnsi"/>
                <w:sz w:val="18"/>
                <w:szCs w:val="18"/>
              </w:rPr>
              <w:t xml:space="preserve">3689 </w:t>
            </w:r>
          </w:p>
        </w:tc>
      </w:tr>
    </w:tbl>
    <w:p w14:paraId="55BBF450" w14:textId="7616162A" w:rsidR="00DC4A6C" w:rsidRDefault="00DC4A6C" w:rsidP="00DC4A6C">
      <w:pPr>
        <w:spacing w:before="60" w:after="120"/>
        <w:rPr>
          <w:i/>
          <w:sz w:val="18"/>
        </w:rPr>
      </w:pPr>
      <w:r>
        <w:rPr>
          <w:i/>
          <w:sz w:val="18"/>
        </w:rPr>
        <w:t>Zdroj: Strategický plán pro regeneraci Městské památkové zóny Zlín na období 2016</w:t>
      </w:r>
      <w:r w:rsidR="000F101A">
        <w:rPr>
          <w:i/>
          <w:sz w:val="18"/>
        </w:rPr>
        <w:t xml:space="preserve"> </w:t>
      </w:r>
      <w:r w:rsidR="000F101A">
        <w:rPr>
          <w:i/>
          <w:sz w:val="18"/>
        </w:rPr>
        <w:sym w:font="Symbol" w:char="F02D"/>
      </w:r>
      <w:r w:rsidR="000F101A">
        <w:rPr>
          <w:i/>
          <w:sz w:val="18"/>
        </w:rPr>
        <w:t xml:space="preserve"> </w:t>
      </w:r>
      <w:r w:rsidRPr="00F5212E">
        <w:rPr>
          <w:i/>
          <w:sz w:val="18"/>
        </w:rPr>
        <w:t>2020</w:t>
      </w:r>
      <w:r w:rsidR="000F101A">
        <w:rPr>
          <w:i/>
          <w:sz w:val="18"/>
        </w:rPr>
        <w:t>.</w:t>
      </w:r>
    </w:p>
    <w:bookmarkEnd w:id="512"/>
    <w:p w14:paraId="664CD774" w14:textId="77777777" w:rsidR="00AD5348" w:rsidRDefault="00AD5348">
      <w:pPr>
        <w:spacing w:before="0" w:after="160" w:line="259" w:lineRule="auto"/>
        <w:jc w:val="left"/>
        <w:sectPr w:rsidR="00AD5348" w:rsidSect="006E1FCB">
          <w:headerReference w:type="default" r:id="rId160"/>
          <w:footerReference w:type="default" r:id="rId161"/>
          <w:pgSz w:w="11906" w:h="16838"/>
          <w:pgMar w:top="1417" w:right="1417" w:bottom="1417" w:left="1417" w:header="708" w:footer="708" w:gutter="0"/>
          <w:cols w:space="708"/>
          <w:docGrid w:linePitch="360"/>
        </w:sectPr>
      </w:pPr>
    </w:p>
    <w:p w14:paraId="726BD7C4" w14:textId="3B460E54" w:rsidR="00AD5348" w:rsidRDefault="00AD5348" w:rsidP="00AD5348">
      <w:pPr>
        <w:pStyle w:val="Nadpis2"/>
      </w:pPr>
      <w:bookmarkStart w:id="515" w:name="_Toc50468826"/>
      <w:bookmarkStart w:id="516" w:name="_Toc77074612"/>
      <w:r>
        <w:lastRenderedPageBreak/>
        <w:t xml:space="preserve">Příloha kapitoly </w:t>
      </w:r>
      <w:r w:rsidRPr="00712B21">
        <w:t>Město přívětivé pro vzdělá</w:t>
      </w:r>
      <w:r w:rsidR="00757ADA">
        <w:t>vá</w:t>
      </w:r>
      <w:r w:rsidRPr="00712B21">
        <w:t>ní a rozvoj znalostí</w:t>
      </w:r>
      <w:bookmarkEnd w:id="515"/>
      <w:bookmarkEnd w:id="516"/>
      <w:r>
        <w:t xml:space="preserve"> </w:t>
      </w:r>
    </w:p>
    <w:p w14:paraId="7FC58F19" w14:textId="6DD4E9DB" w:rsidR="00AD5348" w:rsidRDefault="00AD5348" w:rsidP="00AD5348">
      <w:pPr>
        <w:pStyle w:val="Titulek"/>
      </w:pPr>
      <w:bookmarkStart w:id="517" w:name="_Toc50468807"/>
      <w:bookmarkStart w:id="518" w:name="_Toc7707475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78</w:t>
      </w:r>
      <w:r w:rsidR="00081B47">
        <w:rPr>
          <w:noProof/>
        </w:rPr>
        <w:fldChar w:fldCharType="end"/>
      </w:r>
      <w:r w:rsidR="000F101A">
        <w:rPr>
          <w:noProof/>
        </w:rPr>
        <w:t>:</w:t>
      </w:r>
      <w:r>
        <w:t xml:space="preserve"> Kapacita, počet tříd a počet dětí v jednotlivých mateřských školách zřizovaných městem Zlínem za školní roky 2013/2014 </w:t>
      </w:r>
      <w:r w:rsidR="000F101A">
        <w:sym w:font="Symbol" w:char="F02D"/>
      </w:r>
      <w:r>
        <w:t xml:space="preserve"> 2019/2020</w:t>
      </w:r>
      <w:bookmarkEnd w:id="517"/>
      <w:bookmarkEnd w:id="518"/>
    </w:p>
    <w:tbl>
      <w:tblPr>
        <w:tblW w:w="13682" w:type="dxa"/>
        <w:tblCellMar>
          <w:left w:w="70" w:type="dxa"/>
          <w:right w:w="70" w:type="dxa"/>
        </w:tblCellMar>
        <w:tblLook w:val="04A0" w:firstRow="1" w:lastRow="0" w:firstColumn="1" w:lastColumn="0" w:noHBand="0" w:noVBand="1"/>
      </w:tblPr>
      <w:tblGrid>
        <w:gridCol w:w="1691"/>
        <w:gridCol w:w="568"/>
        <w:gridCol w:w="566"/>
        <w:gridCol w:w="567"/>
        <w:gridCol w:w="568"/>
        <w:gridCol w:w="568"/>
        <w:gridCol w:w="567"/>
        <w:gridCol w:w="568"/>
        <w:gridCol w:w="561"/>
        <w:gridCol w:w="561"/>
        <w:gridCol w:w="654"/>
        <w:gridCol w:w="567"/>
        <w:gridCol w:w="567"/>
        <w:gridCol w:w="568"/>
        <w:gridCol w:w="566"/>
        <w:gridCol w:w="567"/>
        <w:gridCol w:w="568"/>
        <w:gridCol w:w="566"/>
        <w:gridCol w:w="561"/>
        <w:gridCol w:w="579"/>
        <w:gridCol w:w="561"/>
        <w:gridCol w:w="573"/>
      </w:tblGrid>
      <w:tr w:rsidR="00AD5348" w:rsidRPr="008B6BFC" w14:paraId="4A02FE75" w14:textId="77777777" w:rsidTr="00E37D33">
        <w:trPr>
          <w:trHeight w:val="375"/>
        </w:trPr>
        <w:tc>
          <w:tcPr>
            <w:tcW w:w="1691" w:type="dxa"/>
            <w:vMerge w:val="restart"/>
            <w:tcBorders>
              <w:top w:val="single" w:sz="8" w:space="0" w:color="auto"/>
              <w:left w:val="single" w:sz="8" w:space="0" w:color="auto"/>
              <w:bottom w:val="single" w:sz="4" w:space="0" w:color="auto"/>
              <w:right w:val="single" w:sz="12" w:space="0" w:color="auto"/>
            </w:tcBorders>
            <w:shd w:val="clear" w:color="000000" w:fill="D0CECE"/>
            <w:vAlign w:val="bottom"/>
            <w:hideMark/>
          </w:tcPr>
          <w:p w14:paraId="590FA47F" w14:textId="77777777" w:rsidR="00AD5348" w:rsidRPr="008B6BFC" w:rsidRDefault="00AD5348" w:rsidP="00E37D33">
            <w:pPr>
              <w:spacing w:before="0"/>
              <w:jc w:val="center"/>
              <w:rPr>
                <w:rFonts w:eastAsia="Times New Roman" w:cstheme="minorHAnsi"/>
                <w:b/>
                <w:bCs/>
                <w:sz w:val="18"/>
                <w:szCs w:val="18"/>
                <w:lang w:eastAsia="cs-CZ"/>
              </w:rPr>
            </w:pPr>
            <w:r w:rsidRPr="008B6BFC">
              <w:rPr>
                <w:rFonts w:eastAsia="Times New Roman" w:cstheme="minorHAnsi"/>
                <w:b/>
                <w:bCs/>
                <w:sz w:val="18"/>
                <w:szCs w:val="18"/>
                <w:lang w:eastAsia="cs-CZ"/>
              </w:rPr>
              <w:t>Mateřská škola</w:t>
            </w:r>
          </w:p>
        </w:tc>
        <w:tc>
          <w:tcPr>
            <w:tcW w:w="1701"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48268410" w14:textId="77777777" w:rsidR="00AD5348" w:rsidRPr="00880CEF" w:rsidRDefault="00AD5348" w:rsidP="00E37D33">
            <w:pPr>
              <w:spacing w:before="0"/>
              <w:jc w:val="center"/>
              <w:rPr>
                <w:rFonts w:eastAsia="Times New Roman" w:cstheme="minorHAnsi"/>
                <w:b/>
                <w:bCs/>
                <w:sz w:val="18"/>
                <w:szCs w:val="18"/>
                <w:lang w:eastAsia="cs-CZ"/>
              </w:rPr>
            </w:pPr>
            <w:r w:rsidRPr="00880CEF">
              <w:rPr>
                <w:rFonts w:eastAsia="Times New Roman" w:cstheme="minorHAnsi"/>
                <w:b/>
                <w:bCs/>
                <w:sz w:val="18"/>
                <w:szCs w:val="18"/>
                <w:lang w:eastAsia="cs-CZ"/>
              </w:rPr>
              <w:t>2013/2014</w:t>
            </w:r>
          </w:p>
        </w:tc>
        <w:tc>
          <w:tcPr>
            <w:tcW w:w="1703"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08A5312F" w14:textId="77777777" w:rsidR="00AD5348" w:rsidRPr="00880CEF" w:rsidRDefault="00AD5348" w:rsidP="00E37D33">
            <w:pPr>
              <w:spacing w:before="0"/>
              <w:jc w:val="center"/>
              <w:rPr>
                <w:rFonts w:eastAsia="Times New Roman" w:cstheme="minorHAnsi"/>
                <w:b/>
                <w:bCs/>
                <w:sz w:val="18"/>
                <w:szCs w:val="18"/>
                <w:lang w:eastAsia="cs-CZ"/>
              </w:rPr>
            </w:pPr>
            <w:r w:rsidRPr="00880CEF">
              <w:rPr>
                <w:rFonts w:eastAsia="Times New Roman" w:cstheme="minorHAnsi"/>
                <w:b/>
                <w:bCs/>
                <w:sz w:val="18"/>
                <w:szCs w:val="18"/>
                <w:lang w:eastAsia="cs-CZ"/>
              </w:rPr>
              <w:t>2014/2015</w:t>
            </w:r>
          </w:p>
        </w:tc>
        <w:tc>
          <w:tcPr>
            <w:tcW w:w="1690"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445C839C" w14:textId="77777777" w:rsidR="00AD5348" w:rsidRPr="00880CEF" w:rsidRDefault="00AD5348" w:rsidP="00E37D33">
            <w:pPr>
              <w:spacing w:before="0"/>
              <w:jc w:val="center"/>
              <w:rPr>
                <w:rFonts w:eastAsia="Times New Roman" w:cstheme="minorHAnsi"/>
                <w:b/>
                <w:bCs/>
                <w:sz w:val="18"/>
                <w:szCs w:val="18"/>
                <w:lang w:eastAsia="cs-CZ"/>
              </w:rPr>
            </w:pPr>
            <w:r w:rsidRPr="00880CEF">
              <w:rPr>
                <w:rFonts w:eastAsia="Times New Roman" w:cstheme="minorHAnsi"/>
                <w:b/>
                <w:bCs/>
                <w:sz w:val="18"/>
                <w:szCs w:val="18"/>
                <w:lang w:eastAsia="cs-CZ"/>
              </w:rPr>
              <w:t>2015/2016</w:t>
            </w:r>
          </w:p>
        </w:tc>
        <w:tc>
          <w:tcPr>
            <w:tcW w:w="1788"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2C31BF9B" w14:textId="77777777" w:rsidR="00AD5348" w:rsidRPr="00880CEF" w:rsidRDefault="00AD5348" w:rsidP="00E37D33">
            <w:pPr>
              <w:spacing w:before="0"/>
              <w:jc w:val="center"/>
              <w:rPr>
                <w:rFonts w:eastAsia="Times New Roman" w:cstheme="minorHAnsi"/>
                <w:b/>
                <w:bCs/>
                <w:sz w:val="18"/>
                <w:szCs w:val="18"/>
                <w:lang w:eastAsia="cs-CZ"/>
              </w:rPr>
            </w:pPr>
            <w:r w:rsidRPr="00880CEF">
              <w:rPr>
                <w:rFonts w:eastAsia="Times New Roman" w:cstheme="minorHAnsi"/>
                <w:b/>
                <w:bCs/>
                <w:sz w:val="18"/>
                <w:szCs w:val="18"/>
                <w:lang w:eastAsia="cs-CZ"/>
              </w:rPr>
              <w:t>2016/2017</w:t>
            </w:r>
          </w:p>
        </w:tc>
        <w:tc>
          <w:tcPr>
            <w:tcW w:w="1701"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0B905F2D" w14:textId="77777777" w:rsidR="00AD5348" w:rsidRPr="00880CEF" w:rsidRDefault="00AD5348" w:rsidP="00E37D33">
            <w:pPr>
              <w:spacing w:before="0"/>
              <w:jc w:val="center"/>
              <w:rPr>
                <w:rFonts w:eastAsia="Times New Roman" w:cstheme="minorHAnsi"/>
                <w:b/>
                <w:bCs/>
                <w:sz w:val="18"/>
                <w:szCs w:val="18"/>
                <w:lang w:eastAsia="cs-CZ"/>
              </w:rPr>
            </w:pPr>
            <w:r w:rsidRPr="00880CEF">
              <w:rPr>
                <w:rFonts w:eastAsia="Times New Roman" w:cstheme="minorHAnsi"/>
                <w:b/>
                <w:bCs/>
                <w:sz w:val="18"/>
                <w:szCs w:val="18"/>
                <w:lang w:eastAsia="cs-CZ"/>
              </w:rPr>
              <w:t>2017/2018</w:t>
            </w:r>
          </w:p>
        </w:tc>
        <w:tc>
          <w:tcPr>
            <w:tcW w:w="1695"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3C9FE7DD" w14:textId="77777777" w:rsidR="00AD5348" w:rsidRPr="00880CEF" w:rsidRDefault="00AD5348" w:rsidP="00E37D33">
            <w:pPr>
              <w:spacing w:before="0"/>
              <w:jc w:val="center"/>
              <w:rPr>
                <w:rFonts w:eastAsia="Times New Roman" w:cstheme="minorHAnsi"/>
                <w:b/>
                <w:bCs/>
                <w:sz w:val="18"/>
                <w:szCs w:val="18"/>
                <w:lang w:eastAsia="cs-CZ"/>
              </w:rPr>
            </w:pPr>
            <w:r w:rsidRPr="00880CEF">
              <w:rPr>
                <w:rFonts w:eastAsia="Times New Roman" w:cstheme="minorHAnsi"/>
                <w:b/>
                <w:bCs/>
                <w:sz w:val="18"/>
                <w:szCs w:val="18"/>
                <w:lang w:eastAsia="cs-CZ"/>
              </w:rPr>
              <w:t>2018/2019</w:t>
            </w:r>
          </w:p>
        </w:tc>
        <w:tc>
          <w:tcPr>
            <w:tcW w:w="1713"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5D8ECAB2" w14:textId="77777777" w:rsidR="00AD5348" w:rsidRPr="00880CEF" w:rsidRDefault="00AD5348" w:rsidP="00E37D33">
            <w:pPr>
              <w:spacing w:before="0"/>
              <w:jc w:val="center"/>
              <w:rPr>
                <w:rFonts w:eastAsia="Times New Roman" w:cstheme="minorHAnsi"/>
                <w:b/>
                <w:bCs/>
                <w:sz w:val="18"/>
                <w:szCs w:val="18"/>
                <w:lang w:eastAsia="cs-CZ"/>
              </w:rPr>
            </w:pPr>
            <w:r w:rsidRPr="00880CEF">
              <w:rPr>
                <w:rFonts w:eastAsia="Times New Roman" w:cstheme="minorHAnsi"/>
                <w:b/>
                <w:bCs/>
                <w:sz w:val="18"/>
                <w:szCs w:val="18"/>
                <w:lang w:eastAsia="cs-CZ"/>
              </w:rPr>
              <w:t>2019/2020</w:t>
            </w:r>
          </w:p>
        </w:tc>
      </w:tr>
      <w:tr w:rsidR="00AD5348" w:rsidRPr="008B6BFC" w14:paraId="2A5E57FB" w14:textId="77777777" w:rsidTr="00E37D33">
        <w:trPr>
          <w:trHeight w:val="495"/>
        </w:trPr>
        <w:tc>
          <w:tcPr>
            <w:tcW w:w="1691" w:type="dxa"/>
            <w:vMerge/>
            <w:tcBorders>
              <w:top w:val="single" w:sz="8" w:space="0" w:color="auto"/>
              <w:left w:val="single" w:sz="8" w:space="0" w:color="auto"/>
              <w:bottom w:val="single" w:sz="4" w:space="0" w:color="auto"/>
              <w:right w:val="single" w:sz="12" w:space="0" w:color="auto"/>
            </w:tcBorders>
            <w:vAlign w:val="center"/>
            <w:hideMark/>
          </w:tcPr>
          <w:p w14:paraId="6FE8A8A4" w14:textId="77777777" w:rsidR="00AD5348" w:rsidRPr="008B6BFC" w:rsidRDefault="00AD5348" w:rsidP="00E37D33">
            <w:pPr>
              <w:spacing w:before="0"/>
              <w:jc w:val="left"/>
              <w:rPr>
                <w:rFonts w:eastAsia="Times New Roman" w:cstheme="minorHAnsi"/>
                <w:b/>
                <w:bCs/>
                <w:sz w:val="18"/>
                <w:szCs w:val="18"/>
                <w:lang w:eastAsia="cs-CZ"/>
              </w:rPr>
            </w:pPr>
          </w:p>
        </w:tc>
        <w:tc>
          <w:tcPr>
            <w:tcW w:w="568" w:type="dxa"/>
            <w:tcBorders>
              <w:top w:val="nil"/>
              <w:left w:val="single" w:sz="12" w:space="0" w:color="auto"/>
              <w:bottom w:val="single" w:sz="4" w:space="0" w:color="auto"/>
              <w:right w:val="single" w:sz="4" w:space="0" w:color="auto"/>
            </w:tcBorders>
            <w:shd w:val="clear" w:color="000000" w:fill="D0CECE"/>
            <w:noWrap/>
            <w:vAlign w:val="bottom"/>
            <w:hideMark/>
          </w:tcPr>
          <w:p w14:paraId="4B9A891F"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Kapa-cita</w:t>
            </w:r>
          </w:p>
        </w:tc>
        <w:tc>
          <w:tcPr>
            <w:tcW w:w="566" w:type="dxa"/>
            <w:tcBorders>
              <w:top w:val="nil"/>
              <w:left w:val="nil"/>
              <w:bottom w:val="single" w:sz="4" w:space="0" w:color="auto"/>
              <w:right w:val="single" w:sz="4" w:space="0" w:color="auto"/>
            </w:tcBorders>
            <w:shd w:val="clear" w:color="000000" w:fill="D0CECE"/>
            <w:noWrap/>
            <w:vAlign w:val="bottom"/>
            <w:hideMark/>
          </w:tcPr>
          <w:p w14:paraId="028B59AF"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tříd</w:t>
            </w:r>
          </w:p>
        </w:tc>
        <w:tc>
          <w:tcPr>
            <w:tcW w:w="567" w:type="dxa"/>
            <w:tcBorders>
              <w:top w:val="nil"/>
              <w:left w:val="nil"/>
              <w:bottom w:val="single" w:sz="4" w:space="0" w:color="auto"/>
              <w:right w:val="single" w:sz="12" w:space="0" w:color="auto"/>
            </w:tcBorders>
            <w:shd w:val="clear" w:color="000000" w:fill="D0CECE"/>
            <w:noWrap/>
            <w:vAlign w:val="bottom"/>
            <w:hideMark/>
          </w:tcPr>
          <w:p w14:paraId="36FC45DF"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dětí</w:t>
            </w:r>
          </w:p>
        </w:tc>
        <w:tc>
          <w:tcPr>
            <w:tcW w:w="568" w:type="dxa"/>
            <w:tcBorders>
              <w:top w:val="nil"/>
              <w:left w:val="single" w:sz="12" w:space="0" w:color="auto"/>
              <w:bottom w:val="single" w:sz="4" w:space="0" w:color="auto"/>
              <w:right w:val="single" w:sz="4" w:space="0" w:color="auto"/>
            </w:tcBorders>
            <w:shd w:val="clear" w:color="000000" w:fill="D0CECE"/>
            <w:noWrap/>
            <w:vAlign w:val="bottom"/>
            <w:hideMark/>
          </w:tcPr>
          <w:p w14:paraId="071157CE"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Kapa-cita</w:t>
            </w:r>
          </w:p>
        </w:tc>
        <w:tc>
          <w:tcPr>
            <w:tcW w:w="568" w:type="dxa"/>
            <w:tcBorders>
              <w:top w:val="nil"/>
              <w:left w:val="nil"/>
              <w:bottom w:val="single" w:sz="4" w:space="0" w:color="auto"/>
              <w:right w:val="single" w:sz="4" w:space="0" w:color="auto"/>
            </w:tcBorders>
            <w:shd w:val="clear" w:color="000000" w:fill="D0CECE"/>
            <w:noWrap/>
            <w:vAlign w:val="bottom"/>
            <w:hideMark/>
          </w:tcPr>
          <w:p w14:paraId="3F623182"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tříd</w:t>
            </w:r>
          </w:p>
        </w:tc>
        <w:tc>
          <w:tcPr>
            <w:tcW w:w="567" w:type="dxa"/>
            <w:tcBorders>
              <w:top w:val="nil"/>
              <w:left w:val="nil"/>
              <w:bottom w:val="single" w:sz="4" w:space="0" w:color="auto"/>
              <w:right w:val="single" w:sz="12" w:space="0" w:color="auto"/>
            </w:tcBorders>
            <w:shd w:val="clear" w:color="000000" w:fill="D0CECE"/>
            <w:noWrap/>
            <w:vAlign w:val="bottom"/>
            <w:hideMark/>
          </w:tcPr>
          <w:p w14:paraId="3512207E"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dětí</w:t>
            </w:r>
          </w:p>
        </w:tc>
        <w:tc>
          <w:tcPr>
            <w:tcW w:w="568" w:type="dxa"/>
            <w:tcBorders>
              <w:top w:val="nil"/>
              <w:left w:val="single" w:sz="12" w:space="0" w:color="auto"/>
              <w:bottom w:val="single" w:sz="4" w:space="0" w:color="auto"/>
              <w:right w:val="single" w:sz="4" w:space="0" w:color="auto"/>
            </w:tcBorders>
            <w:shd w:val="clear" w:color="000000" w:fill="D0CECE"/>
            <w:noWrap/>
            <w:vAlign w:val="bottom"/>
            <w:hideMark/>
          </w:tcPr>
          <w:p w14:paraId="13755A91"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Kapa-cita</w:t>
            </w:r>
          </w:p>
        </w:tc>
        <w:tc>
          <w:tcPr>
            <w:tcW w:w="561" w:type="dxa"/>
            <w:tcBorders>
              <w:top w:val="nil"/>
              <w:left w:val="nil"/>
              <w:bottom w:val="single" w:sz="4" w:space="0" w:color="auto"/>
              <w:right w:val="single" w:sz="4" w:space="0" w:color="auto"/>
            </w:tcBorders>
            <w:shd w:val="clear" w:color="000000" w:fill="D0CECE"/>
            <w:noWrap/>
            <w:vAlign w:val="bottom"/>
            <w:hideMark/>
          </w:tcPr>
          <w:p w14:paraId="18202985"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tříd</w:t>
            </w:r>
          </w:p>
        </w:tc>
        <w:tc>
          <w:tcPr>
            <w:tcW w:w="561" w:type="dxa"/>
            <w:tcBorders>
              <w:top w:val="nil"/>
              <w:left w:val="nil"/>
              <w:bottom w:val="single" w:sz="4" w:space="0" w:color="auto"/>
              <w:right w:val="single" w:sz="12" w:space="0" w:color="auto"/>
            </w:tcBorders>
            <w:shd w:val="clear" w:color="000000" w:fill="D0CECE"/>
            <w:noWrap/>
            <w:vAlign w:val="bottom"/>
            <w:hideMark/>
          </w:tcPr>
          <w:p w14:paraId="24E599AD"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dětí</w:t>
            </w:r>
          </w:p>
        </w:tc>
        <w:tc>
          <w:tcPr>
            <w:tcW w:w="654" w:type="dxa"/>
            <w:tcBorders>
              <w:top w:val="nil"/>
              <w:left w:val="single" w:sz="12" w:space="0" w:color="auto"/>
              <w:bottom w:val="single" w:sz="4" w:space="0" w:color="auto"/>
              <w:right w:val="single" w:sz="4" w:space="0" w:color="auto"/>
            </w:tcBorders>
            <w:shd w:val="clear" w:color="000000" w:fill="D0CECE"/>
            <w:noWrap/>
            <w:vAlign w:val="bottom"/>
            <w:hideMark/>
          </w:tcPr>
          <w:p w14:paraId="17454AD5"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Kapa-cita</w:t>
            </w:r>
          </w:p>
        </w:tc>
        <w:tc>
          <w:tcPr>
            <w:tcW w:w="567" w:type="dxa"/>
            <w:tcBorders>
              <w:top w:val="nil"/>
              <w:left w:val="nil"/>
              <w:bottom w:val="single" w:sz="4" w:space="0" w:color="auto"/>
              <w:right w:val="single" w:sz="4" w:space="0" w:color="auto"/>
            </w:tcBorders>
            <w:shd w:val="clear" w:color="000000" w:fill="D0CECE"/>
            <w:noWrap/>
            <w:vAlign w:val="bottom"/>
            <w:hideMark/>
          </w:tcPr>
          <w:p w14:paraId="58547DB5"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tříd</w:t>
            </w:r>
          </w:p>
        </w:tc>
        <w:tc>
          <w:tcPr>
            <w:tcW w:w="567" w:type="dxa"/>
            <w:tcBorders>
              <w:top w:val="nil"/>
              <w:left w:val="nil"/>
              <w:bottom w:val="single" w:sz="4" w:space="0" w:color="auto"/>
              <w:right w:val="single" w:sz="12" w:space="0" w:color="auto"/>
            </w:tcBorders>
            <w:shd w:val="clear" w:color="000000" w:fill="D0CECE"/>
            <w:noWrap/>
            <w:vAlign w:val="bottom"/>
            <w:hideMark/>
          </w:tcPr>
          <w:p w14:paraId="3C6768AA"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dětí</w:t>
            </w:r>
          </w:p>
        </w:tc>
        <w:tc>
          <w:tcPr>
            <w:tcW w:w="568" w:type="dxa"/>
            <w:tcBorders>
              <w:top w:val="nil"/>
              <w:left w:val="single" w:sz="12" w:space="0" w:color="auto"/>
              <w:bottom w:val="single" w:sz="4" w:space="0" w:color="auto"/>
              <w:right w:val="single" w:sz="4" w:space="0" w:color="auto"/>
            </w:tcBorders>
            <w:shd w:val="clear" w:color="000000" w:fill="D0CECE"/>
            <w:noWrap/>
            <w:vAlign w:val="bottom"/>
            <w:hideMark/>
          </w:tcPr>
          <w:p w14:paraId="6627086A"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Kapa-cita</w:t>
            </w:r>
          </w:p>
        </w:tc>
        <w:tc>
          <w:tcPr>
            <w:tcW w:w="566" w:type="dxa"/>
            <w:tcBorders>
              <w:top w:val="nil"/>
              <w:left w:val="nil"/>
              <w:bottom w:val="single" w:sz="4" w:space="0" w:color="auto"/>
              <w:right w:val="single" w:sz="4" w:space="0" w:color="auto"/>
            </w:tcBorders>
            <w:shd w:val="clear" w:color="000000" w:fill="D0CECE"/>
            <w:noWrap/>
            <w:vAlign w:val="bottom"/>
            <w:hideMark/>
          </w:tcPr>
          <w:p w14:paraId="027AAF5E"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tříd</w:t>
            </w:r>
          </w:p>
        </w:tc>
        <w:tc>
          <w:tcPr>
            <w:tcW w:w="567" w:type="dxa"/>
            <w:tcBorders>
              <w:top w:val="nil"/>
              <w:left w:val="nil"/>
              <w:bottom w:val="single" w:sz="4" w:space="0" w:color="auto"/>
              <w:right w:val="single" w:sz="12" w:space="0" w:color="auto"/>
            </w:tcBorders>
            <w:shd w:val="clear" w:color="000000" w:fill="D0CECE"/>
            <w:noWrap/>
            <w:vAlign w:val="bottom"/>
            <w:hideMark/>
          </w:tcPr>
          <w:p w14:paraId="37A648FE"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dětí</w:t>
            </w:r>
          </w:p>
        </w:tc>
        <w:tc>
          <w:tcPr>
            <w:tcW w:w="568" w:type="dxa"/>
            <w:tcBorders>
              <w:top w:val="nil"/>
              <w:left w:val="single" w:sz="12" w:space="0" w:color="auto"/>
              <w:bottom w:val="single" w:sz="4" w:space="0" w:color="auto"/>
              <w:right w:val="single" w:sz="4" w:space="0" w:color="auto"/>
            </w:tcBorders>
            <w:shd w:val="clear" w:color="000000" w:fill="D0CECE"/>
            <w:noWrap/>
            <w:vAlign w:val="bottom"/>
            <w:hideMark/>
          </w:tcPr>
          <w:p w14:paraId="014B19B0"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Kapa-cita</w:t>
            </w:r>
          </w:p>
        </w:tc>
        <w:tc>
          <w:tcPr>
            <w:tcW w:w="566" w:type="dxa"/>
            <w:tcBorders>
              <w:top w:val="nil"/>
              <w:left w:val="nil"/>
              <w:bottom w:val="single" w:sz="4" w:space="0" w:color="auto"/>
              <w:right w:val="single" w:sz="4" w:space="0" w:color="auto"/>
            </w:tcBorders>
            <w:shd w:val="clear" w:color="000000" w:fill="D0CECE"/>
            <w:noWrap/>
            <w:vAlign w:val="bottom"/>
            <w:hideMark/>
          </w:tcPr>
          <w:p w14:paraId="39251E26"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tříd</w:t>
            </w:r>
          </w:p>
        </w:tc>
        <w:tc>
          <w:tcPr>
            <w:tcW w:w="561" w:type="dxa"/>
            <w:tcBorders>
              <w:top w:val="nil"/>
              <w:left w:val="nil"/>
              <w:bottom w:val="single" w:sz="4" w:space="0" w:color="auto"/>
              <w:right w:val="single" w:sz="12" w:space="0" w:color="auto"/>
            </w:tcBorders>
            <w:shd w:val="clear" w:color="000000" w:fill="D0CECE"/>
            <w:noWrap/>
            <w:vAlign w:val="bottom"/>
            <w:hideMark/>
          </w:tcPr>
          <w:p w14:paraId="60026DE6"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dětí</w:t>
            </w:r>
          </w:p>
        </w:tc>
        <w:tc>
          <w:tcPr>
            <w:tcW w:w="579" w:type="dxa"/>
            <w:tcBorders>
              <w:top w:val="nil"/>
              <w:left w:val="single" w:sz="12" w:space="0" w:color="auto"/>
              <w:bottom w:val="single" w:sz="4" w:space="0" w:color="auto"/>
              <w:right w:val="single" w:sz="4" w:space="0" w:color="auto"/>
            </w:tcBorders>
            <w:shd w:val="clear" w:color="000000" w:fill="D0CECE"/>
            <w:noWrap/>
            <w:vAlign w:val="bottom"/>
            <w:hideMark/>
          </w:tcPr>
          <w:p w14:paraId="583EEA8B"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Kapa-cita</w:t>
            </w:r>
          </w:p>
        </w:tc>
        <w:tc>
          <w:tcPr>
            <w:tcW w:w="561" w:type="dxa"/>
            <w:tcBorders>
              <w:top w:val="nil"/>
              <w:left w:val="nil"/>
              <w:bottom w:val="single" w:sz="4" w:space="0" w:color="auto"/>
              <w:right w:val="single" w:sz="4" w:space="0" w:color="auto"/>
            </w:tcBorders>
            <w:shd w:val="clear" w:color="000000" w:fill="D0CECE"/>
            <w:noWrap/>
            <w:vAlign w:val="bottom"/>
            <w:hideMark/>
          </w:tcPr>
          <w:p w14:paraId="00B8B61C"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tříd</w:t>
            </w:r>
          </w:p>
        </w:tc>
        <w:tc>
          <w:tcPr>
            <w:tcW w:w="573" w:type="dxa"/>
            <w:tcBorders>
              <w:top w:val="nil"/>
              <w:left w:val="nil"/>
              <w:bottom w:val="single" w:sz="4" w:space="0" w:color="auto"/>
              <w:right w:val="single" w:sz="12" w:space="0" w:color="auto"/>
            </w:tcBorders>
            <w:shd w:val="clear" w:color="000000" w:fill="D0CECE"/>
            <w:noWrap/>
            <w:vAlign w:val="bottom"/>
            <w:hideMark/>
          </w:tcPr>
          <w:p w14:paraId="492EFAF5" w14:textId="77777777" w:rsidR="00AD5348" w:rsidRPr="00880CEF" w:rsidRDefault="00AD5348" w:rsidP="00E37D33">
            <w:pPr>
              <w:spacing w:before="0"/>
              <w:jc w:val="left"/>
              <w:rPr>
                <w:rFonts w:eastAsia="Times New Roman" w:cstheme="minorHAnsi"/>
                <w:b/>
                <w:bCs/>
                <w:sz w:val="18"/>
                <w:szCs w:val="18"/>
                <w:lang w:eastAsia="cs-CZ"/>
              </w:rPr>
            </w:pPr>
            <w:r w:rsidRPr="00880CEF">
              <w:rPr>
                <w:rFonts w:eastAsia="Times New Roman" w:cstheme="minorHAnsi"/>
                <w:b/>
                <w:bCs/>
                <w:sz w:val="18"/>
                <w:szCs w:val="18"/>
                <w:lang w:eastAsia="cs-CZ"/>
              </w:rPr>
              <w:t>Počet dětí</w:t>
            </w:r>
          </w:p>
        </w:tc>
      </w:tr>
      <w:tr w:rsidR="00AD5348" w:rsidRPr="008B6BFC" w14:paraId="6982141E"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0062085C"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Budovatelská 4819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BE77289"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auto" w:fill="auto"/>
            <w:noWrap/>
            <w:vAlign w:val="bottom"/>
            <w:hideMark/>
          </w:tcPr>
          <w:p w14:paraId="0921C5B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6FA9E9F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480D02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8" w:type="dxa"/>
            <w:tcBorders>
              <w:top w:val="nil"/>
              <w:left w:val="nil"/>
              <w:bottom w:val="single" w:sz="4" w:space="0" w:color="auto"/>
              <w:right w:val="single" w:sz="4" w:space="0" w:color="auto"/>
            </w:tcBorders>
            <w:shd w:val="clear" w:color="000000" w:fill="FFFFFF"/>
            <w:noWrap/>
            <w:vAlign w:val="bottom"/>
            <w:hideMark/>
          </w:tcPr>
          <w:p w14:paraId="3CBEC0C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7CF6BD9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0D3B97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1" w:type="dxa"/>
            <w:tcBorders>
              <w:top w:val="nil"/>
              <w:left w:val="nil"/>
              <w:bottom w:val="single" w:sz="4" w:space="0" w:color="auto"/>
              <w:right w:val="single" w:sz="4" w:space="0" w:color="auto"/>
            </w:tcBorders>
            <w:shd w:val="clear" w:color="000000" w:fill="FFFFFF"/>
            <w:noWrap/>
            <w:vAlign w:val="bottom"/>
            <w:hideMark/>
          </w:tcPr>
          <w:p w14:paraId="757E2CC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1" w:type="dxa"/>
            <w:tcBorders>
              <w:top w:val="nil"/>
              <w:left w:val="nil"/>
              <w:bottom w:val="single" w:sz="4" w:space="0" w:color="auto"/>
              <w:right w:val="single" w:sz="12" w:space="0" w:color="auto"/>
            </w:tcBorders>
            <w:shd w:val="clear" w:color="auto" w:fill="auto"/>
            <w:noWrap/>
            <w:vAlign w:val="bottom"/>
            <w:hideMark/>
          </w:tcPr>
          <w:p w14:paraId="0489548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139</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237D287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7" w:type="dxa"/>
            <w:tcBorders>
              <w:top w:val="nil"/>
              <w:left w:val="nil"/>
              <w:bottom w:val="single" w:sz="4" w:space="0" w:color="auto"/>
              <w:right w:val="single" w:sz="4" w:space="0" w:color="auto"/>
            </w:tcBorders>
            <w:shd w:val="clear" w:color="000000" w:fill="FFFFFF"/>
            <w:noWrap/>
            <w:vAlign w:val="bottom"/>
            <w:hideMark/>
          </w:tcPr>
          <w:p w14:paraId="13856FF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0125F6D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87B0C8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000000" w:fill="FFFFFF"/>
            <w:noWrap/>
            <w:vAlign w:val="bottom"/>
            <w:hideMark/>
          </w:tcPr>
          <w:p w14:paraId="139BF43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60F4427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5A6FA68"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000000" w:fill="FFFFFF"/>
            <w:noWrap/>
            <w:vAlign w:val="bottom"/>
            <w:hideMark/>
          </w:tcPr>
          <w:p w14:paraId="41E12CD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w:t>
            </w:r>
          </w:p>
        </w:tc>
        <w:tc>
          <w:tcPr>
            <w:tcW w:w="561" w:type="dxa"/>
            <w:tcBorders>
              <w:top w:val="nil"/>
              <w:left w:val="nil"/>
              <w:bottom w:val="single" w:sz="4" w:space="0" w:color="auto"/>
              <w:right w:val="single" w:sz="12" w:space="0" w:color="auto"/>
            </w:tcBorders>
            <w:shd w:val="clear" w:color="auto" w:fill="auto"/>
            <w:noWrap/>
            <w:vAlign w:val="bottom"/>
            <w:hideMark/>
          </w:tcPr>
          <w:p w14:paraId="7683064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139</w:t>
            </w:r>
          </w:p>
        </w:tc>
        <w:tc>
          <w:tcPr>
            <w:tcW w:w="579" w:type="dxa"/>
            <w:tcBorders>
              <w:top w:val="single" w:sz="4" w:space="0" w:color="auto"/>
              <w:left w:val="single" w:sz="12" w:space="0" w:color="auto"/>
              <w:bottom w:val="single" w:sz="4" w:space="0" w:color="auto"/>
              <w:right w:val="single" w:sz="4" w:space="0" w:color="auto"/>
            </w:tcBorders>
            <w:shd w:val="clear" w:color="000000" w:fill="FBD5D8"/>
            <w:noWrap/>
            <w:vAlign w:val="bottom"/>
            <w:hideMark/>
          </w:tcPr>
          <w:p w14:paraId="1B93E20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1" w:type="dxa"/>
            <w:tcBorders>
              <w:top w:val="single" w:sz="4" w:space="0" w:color="auto"/>
              <w:left w:val="single" w:sz="4" w:space="0" w:color="auto"/>
              <w:bottom w:val="single" w:sz="4" w:space="0" w:color="auto"/>
              <w:right w:val="single" w:sz="4" w:space="0" w:color="auto"/>
            </w:tcBorders>
            <w:shd w:val="clear" w:color="000000" w:fill="FBD8DA"/>
            <w:noWrap/>
            <w:vAlign w:val="bottom"/>
            <w:hideMark/>
          </w:tcPr>
          <w:p w14:paraId="1351F38B"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5</w:t>
            </w:r>
          </w:p>
        </w:tc>
        <w:tc>
          <w:tcPr>
            <w:tcW w:w="573" w:type="dxa"/>
            <w:tcBorders>
              <w:top w:val="single" w:sz="4" w:space="0" w:color="auto"/>
              <w:left w:val="single" w:sz="4" w:space="0" w:color="auto"/>
              <w:bottom w:val="single" w:sz="4" w:space="0" w:color="auto"/>
              <w:right w:val="single" w:sz="12" w:space="0" w:color="auto"/>
            </w:tcBorders>
            <w:shd w:val="clear" w:color="000000" w:fill="FBCBCE"/>
            <w:noWrap/>
            <w:vAlign w:val="bottom"/>
            <w:hideMark/>
          </w:tcPr>
          <w:p w14:paraId="49F8D14B"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136</w:t>
            </w:r>
          </w:p>
        </w:tc>
      </w:tr>
      <w:tr w:rsidR="00AD5348" w:rsidRPr="008B6BFC" w14:paraId="5B3421A0"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3E4AB5FD"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Osvoboditelů 3778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33484C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180</w:t>
            </w:r>
          </w:p>
        </w:tc>
        <w:tc>
          <w:tcPr>
            <w:tcW w:w="566" w:type="dxa"/>
            <w:tcBorders>
              <w:top w:val="nil"/>
              <w:left w:val="nil"/>
              <w:bottom w:val="single" w:sz="4" w:space="0" w:color="auto"/>
              <w:right w:val="single" w:sz="4" w:space="0" w:color="auto"/>
            </w:tcBorders>
            <w:shd w:val="clear" w:color="auto" w:fill="auto"/>
            <w:noWrap/>
            <w:vAlign w:val="bottom"/>
            <w:hideMark/>
          </w:tcPr>
          <w:p w14:paraId="20D58B6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3B5287A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829D35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568" w:type="dxa"/>
            <w:tcBorders>
              <w:top w:val="nil"/>
              <w:left w:val="nil"/>
              <w:bottom w:val="single" w:sz="4" w:space="0" w:color="auto"/>
              <w:right w:val="single" w:sz="4" w:space="0" w:color="auto"/>
            </w:tcBorders>
            <w:shd w:val="clear" w:color="000000" w:fill="FFFFFF"/>
            <w:noWrap/>
            <w:vAlign w:val="bottom"/>
            <w:hideMark/>
          </w:tcPr>
          <w:p w14:paraId="279DEF7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70F7DAC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F8FFEF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561" w:type="dxa"/>
            <w:tcBorders>
              <w:top w:val="nil"/>
              <w:left w:val="nil"/>
              <w:bottom w:val="single" w:sz="4" w:space="0" w:color="auto"/>
              <w:right w:val="single" w:sz="4" w:space="0" w:color="auto"/>
            </w:tcBorders>
            <w:shd w:val="clear" w:color="000000" w:fill="FFFFFF"/>
            <w:noWrap/>
            <w:vAlign w:val="bottom"/>
            <w:hideMark/>
          </w:tcPr>
          <w:p w14:paraId="0236513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78D7211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701E703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567" w:type="dxa"/>
            <w:tcBorders>
              <w:top w:val="nil"/>
              <w:left w:val="nil"/>
              <w:bottom w:val="single" w:sz="4" w:space="0" w:color="auto"/>
              <w:right w:val="single" w:sz="4" w:space="0" w:color="auto"/>
            </w:tcBorders>
            <w:shd w:val="clear" w:color="000000" w:fill="FFFFFF"/>
            <w:noWrap/>
            <w:vAlign w:val="bottom"/>
            <w:hideMark/>
          </w:tcPr>
          <w:p w14:paraId="5AC2CEC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7E82C2E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97C6E0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566" w:type="dxa"/>
            <w:tcBorders>
              <w:top w:val="nil"/>
              <w:left w:val="nil"/>
              <w:bottom w:val="single" w:sz="4" w:space="0" w:color="auto"/>
              <w:right w:val="single" w:sz="4" w:space="0" w:color="auto"/>
            </w:tcBorders>
            <w:shd w:val="clear" w:color="000000" w:fill="FFFFFF"/>
            <w:noWrap/>
            <w:vAlign w:val="bottom"/>
            <w:hideMark/>
          </w:tcPr>
          <w:p w14:paraId="35973AB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05B590A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179F86F"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159</w:t>
            </w:r>
          </w:p>
        </w:tc>
        <w:tc>
          <w:tcPr>
            <w:tcW w:w="566" w:type="dxa"/>
            <w:tcBorders>
              <w:top w:val="nil"/>
              <w:left w:val="nil"/>
              <w:bottom w:val="single" w:sz="4" w:space="0" w:color="auto"/>
              <w:right w:val="single" w:sz="4" w:space="0" w:color="auto"/>
            </w:tcBorders>
            <w:shd w:val="clear" w:color="000000" w:fill="FFFFFF"/>
            <w:noWrap/>
            <w:vAlign w:val="bottom"/>
            <w:hideMark/>
          </w:tcPr>
          <w:p w14:paraId="5F3C778A"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2DC2D255"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154</w:t>
            </w:r>
          </w:p>
        </w:tc>
        <w:tc>
          <w:tcPr>
            <w:tcW w:w="579" w:type="dxa"/>
            <w:tcBorders>
              <w:top w:val="single" w:sz="4" w:space="0" w:color="auto"/>
              <w:left w:val="single" w:sz="12" w:space="0" w:color="auto"/>
              <w:bottom w:val="single" w:sz="4" w:space="0" w:color="auto"/>
              <w:right w:val="single" w:sz="4" w:space="0" w:color="auto"/>
            </w:tcBorders>
            <w:shd w:val="clear" w:color="000000" w:fill="FBBCBF"/>
            <w:noWrap/>
            <w:vAlign w:val="bottom"/>
            <w:hideMark/>
          </w:tcPr>
          <w:p w14:paraId="260BE19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159</w:t>
            </w:r>
          </w:p>
        </w:tc>
        <w:tc>
          <w:tcPr>
            <w:tcW w:w="561" w:type="dxa"/>
            <w:tcBorders>
              <w:top w:val="single" w:sz="4" w:space="0" w:color="auto"/>
              <w:left w:val="single" w:sz="4" w:space="0" w:color="auto"/>
              <w:bottom w:val="single" w:sz="4" w:space="0" w:color="auto"/>
              <w:right w:val="single" w:sz="4" w:space="0" w:color="auto"/>
            </w:tcBorders>
            <w:shd w:val="clear" w:color="000000" w:fill="FAB3B5"/>
            <w:noWrap/>
            <w:vAlign w:val="bottom"/>
            <w:hideMark/>
          </w:tcPr>
          <w:p w14:paraId="30DB42F7"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6</w:t>
            </w:r>
          </w:p>
        </w:tc>
        <w:tc>
          <w:tcPr>
            <w:tcW w:w="573" w:type="dxa"/>
            <w:tcBorders>
              <w:top w:val="single" w:sz="4" w:space="0" w:color="auto"/>
              <w:left w:val="single" w:sz="4" w:space="0" w:color="auto"/>
              <w:bottom w:val="single" w:sz="4" w:space="0" w:color="auto"/>
              <w:right w:val="single" w:sz="12" w:space="0" w:color="auto"/>
            </w:tcBorders>
            <w:shd w:val="clear" w:color="000000" w:fill="FAB0B2"/>
            <w:noWrap/>
            <w:vAlign w:val="bottom"/>
            <w:hideMark/>
          </w:tcPr>
          <w:p w14:paraId="66A4CC07"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154</w:t>
            </w:r>
          </w:p>
        </w:tc>
      </w:tr>
      <w:tr w:rsidR="00AD5348" w:rsidRPr="008B6BFC" w14:paraId="10F26719"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79FAE557"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Potoky 4224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93D423A"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120</w:t>
            </w:r>
          </w:p>
        </w:tc>
        <w:tc>
          <w:tcPr>
            <w:tcW w:w="566" w:type="dxa"/>
            <w:tcBorders>
              <w:top w:val="nil"/>
              <w:left w:val="nil"/>
              <w:bottom w:val="single" w:sz="4" w:space="0" w:color="auto"/>
              <w:right w:val="single" w:sz="4" w:space="0" w:color="auto"/>
            </w:tcBorders>
            <w:shd w:val="clear" w:color="auto" w:fill="auto"/>
            <w:noWrap/>
            <w:vAlign w:val="bottom"/>
            <w:hideMark/>
          </w:tcPr>
          <w:p w14:paraId="2E227C3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7C043F5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9FDF17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8" w:type="dxa"/>
            <w:tcBorders>
              <w:top w:val="nil"/>
              <w:left w:val="nil"/>
              <w:bottom w:val="single" w:sz="4" w:space="0" w:color="auto"/>
              <w:right w:val="single" w:sz="4" w:space="0" w:color="auto"/>
            </w:tcBorders>
            <w:shd w:val="clear" w:color="000000" w:fill="FFFFFF"/>
            <w:noWrap/>
            <w:vAlign w:val="bottom"/>
            <w:hideMark/>
          </w:tcPr>
          <w:p w14:paraId="2E2684B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16BDD8F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C3A357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1" w:type="dxa"/>
            <w:tcBorders>
              <w:top w:val="nil"/>
              <w:left w:val="nil"/>
              <w:bottom w:val="single" w:sz="4" w:space="0" w:color="auto"/>
              <w:right w:val="single" w:sz="4" w:space="0" w:color="auto"/>
            </w:tcBorders>
            <w:shd w:val="clear" w:color="000000" w:fill="FFFFFF"/>
            <w:noWrap/>
            <w:vAlign w:val="bottom"/>
            <w:hideMark/>
          </w:tcPr>
          <w:p w14:paraId="3021914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12CF77D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112</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3C34155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7" w:type="dxa"/>
            <w:tcBorders>
              <w:top w:val="nil"/>
              <w:left w:val="nil"/>
              <w:bottom w:val="single" w:sz="4" w:space="0" w:color="auto"/>
              <w:right w:val="single" w:sz="4" w:space="0" w:color="auto"/>
            </w:tcBorders>
            <w:shd w:val="clear" w:color="000000" w:fill="FFFFFF"/>
            <w:noWrap/>
            <w:vAlign w:val="bottom"/>
            <w:hideMark/>
          </w:tcPr>
          <w:p w14:paraId="3522AB7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0E18519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5FFD10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6" w:type="dxa"/>
            <w:tcBorders>
              <w:top w:val="nil"/>
              <w:left w:val="nil"/>
              <w:bottom w:val="single" w:sz="4" w:space="0" w:color="auto"/>
              <w:right w:val="single" w:sz="4" w:space="0" w:color="auto"/>
            </w:tcBorders>
            <w:shd w:val="clear" w:color="000000" w:fill="FFFFFF"/>
            <w:noWrap/>
            <w:vAlign w:val="bottom"/>
            <w:hideMark/>
          </w:tcPr>
          <w:p w14:paraId="5202969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4858F12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728697F"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120</w:t>
            </w:r>
          </w:p>
        </w:tc>
        <w:tc>
          <w:tcPr>
            <w:tcW w:w="566" w:type="dxa"/>
            <w:tcBorders>
              <w:top w:val="nil"/>
              <w:left w:val="nil"/>
              <w:bottom w:val="single" w:sz="4" w:space="0" w:color="auto"/>
              <w:right w:val="single" w:sz="4" w:space="0" w:color="auto"/>
            </w:tcBorders>
            <w:shd w:val="clear" w:color="000000" w:fill="FFFFFF"/>
            <w:noWrap/>
            <w:vAlign w:val="bottom"/>
            <w:hideMark/>
          </w:tcPr>
          <w:p w14:paraId="0463D813"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05650774"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110</w:t>
            </w:r>
          </w:p>
        </w:tc>
        <w:tc>
          <w:tcPr>
            <w:tcW w:w="579" w:type="dxa"/>
            <w:tcBorders>
              <w:top w:val="single" w:sz="4" w:space="0" w:color="auto"/>
              <w:left w:val="single" w:sz="12" w:space="0" w:color="auto"/>
              <w:bottom w:val="single" w:sz="4" w:space="0" w:color="auto"/>
              <w:right w:val="single" w:sz="4" w:space="0" w:color="auto"/>
            </w:tcBorders>
            <w:shd w:val="clear" w:color="000000" w:fill="FCEFF2"/>
            <w:noWrap/>
            <w:vAlign w:val="bottom"/>
            <w:hideMark/>
          </w:tcPr>
          <w:p w14:paraId="0FDBA99C"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120</w:t>
            </w:r>
          </w:p>
        </w:tc>
        <w:tc>
          <w:tcPr>
            <w:tcW w:w="561"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9068F8C"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4</w:t>
            </w:r>
          </w:p>
        </w:tc>
        <w:tc>
          <w:tcPr>
            <w:tcW w:w="573" w:type="dxa"/>
            <w:tcBorders>
              <w:top w:val="single" w:sz="4" w:space="0" w:color="auto"/>
              <w:left w:val="single" w:sz="4" w:space="0" w:color="auto"/>
              <w:bottom w:val="single" w:sz="4" w:space="0" w:color="auto"/>
              <w:right w:val="single" w:sz="12" w:space="0" w:color="auto"/>
            </w:tcBorders>
            <w:shd w:val="clear" w:color="000000" w:fill="FCF7FA"/>
            <w:noWrap/>
            <w:vAlign w:val="bottom"/>
            <w:hideMark/>
          </w:tcPr>
          <w:p w14:paraId="0BBDF1D0"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107</w:t>
            </w:r>
          </w:p>
        </w:tc>
      </w:tr>
      <w:tr w:rsidR="00AD5348" w:rsidRPr="008B6BFC" w14:paraId="72152406"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3E69D5D7"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Slovenská 3660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D3D75F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auto" w:fill="auto"/>
            <w:noWrap/>
            <w:vAlign w:val="bottom"/>
            <w:hideMark/>
          </w:tcPr>
          <w:p w14:paraId="39E27A6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407F02A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395D22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8" w:type="dxa"/>
            <w:tcBorders>
              <w:top w:val="nil"/>
              <w:left w:val="nil"/>
              <w:bottom w:val="single" w:sz="4" w:space="0" w:color="auto"/>
              <w:right w:val="single" w:sz="4" w:space="0" w:color="auto"/>
            </w:tcBorders>
            <w:shd w:val="clear" w:color="000000" w:fill="FFFFFF"/>
            <w:noWrap/>
            <w:vAlign w:val="bottom"/>
            <w:hideMark/>
          </w:tcPr>
          <w:p w14:paraId="05ACFED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58B82BB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C7196C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1" w:type="dxa"/>
            <w:tcBorders>
              <w:top w:val="nil"/>
              <w:left w:val="nil"/>
              <w:bottom w:val="single" w:sz="4" w:space="0" w:color="auto"/>
              <w:right w:val="single" w:sz="4" w:space="0" w:color="auto"/>
            </w:tcBorders>
            <w:shd w:val="clear" w:color="000000" w:fill="FFFFFF"/>
            <w:noWrap/>
            <w:vAlign w:val="bottom"/>
            <w:hideMark/>
          </w:tcPr>
          <w:p w14:paraId="1CB2D3F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137BA6D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09BC71B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7" w:type="dxa"/>
            <w:tcBorders>
              <w:top w:val="nil"/>
              <w:left w:val="nil"/>
              <w:bottom w:val="single" w:sz="4" w:space="0" w:color="auto"/>
              <w:right w:val="single" w:sz="4" w:space="0" w:color="auto"/>
            </w:tcBorders>
            <w:shd w:val="clear" w:color="000000" w:fill="FFFFFF"/>
            <w:noWrap/>
            <w:vAlign w:val="bottom"/>
            <w:hideMark/>
          </w:tcPr>
          <w:p w14:paraId="1D62D9F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744F93F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BEC6B6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000000" w:fill="FFFFFF"/>
            <w:noWrap/>
            <w:vAlign w:val="bottom"/>
            <w:hideMark/>
          </w:tcPr>
          <w:p w14:paraId="27E063C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666150B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E63556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000000" w:fill="FFFFFF"/>
            <w:noWrap/>
            <w:vAlign w:val="bottom"/>
            <w:hideMark/>
          </w:tcPr>
          <w:p w14:paraId="03CF213D"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3C3AE113"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52</w:t>
            </w:r>
          </w:p>
        </w:tc>
        <w:tc>
          <w:tcPr>
            <w:tcW w:w="579" w:type="dxa"/>
            <w:tcBorders>
              <w:top w:val="single" w:sz="4" w:space="0" w:color="auto"/>
              <w:left w:val="single" w:sz="12" w:space="0" w:color="auto"/>
              <w:bottom w:val="single" w:sz="4" w:space="0" w:color="auto"/>
              <w:right w:val="single" w:sz="4" w:space="0" w:color="auto"/>
            </w:tcBorders>
            <w:shd w:val="clear" w:color="000000" w:fill="7FA4D3"/>
            <w:noWrap/>
            <w:vAlign w:val="bottom"/>
            <w:hideMark/>
          </w:tcPr>
          <w:p w14:paraId="39D96D6B"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654781B4"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2</w:t>
            </w:r>
          </w:p>
        </w:tc>
        <w:tc>
          <w:tcPr>
            <w:tcW w:w="573" w:type="dxa"/>
            <w:tcBorders>
              <w:top w:val="single" w:sz="4" w:space="0" w:color="auto"/>
              <w:left w:val="single" w:sz="4" w:space="0" w:color="auto"/>
              <w:bottom w:val="single" w:sz="4" w:space="0" w:color="auto"/>
              <w:right w:val="single" w:sz="12" w:space="0" w:color="auto"/>
            </w:tcBorders>
            <w:shd w:val="clear" w:color="000000" w:fill="6F98CD"/>
            <w:noWrap/>
            <w:vAlign w:val="bottom"/>
            <w:hideMark/>
          </w:tcPr>
          <w:p w14:paraId="0347BC72"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50</w:t>
            </w:r>
          </w:p>
        </w:tc>
      </w:tr>
      <w:tr w:rsidR="00AD5348" w:rsidRPr="008B6BFC" w14:paraId="073B6151"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3013E661"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Slovenská 1808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679ECE3"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110</w:t>
            </w:r>
          </w:p>
        </w:tc>
        <w:tc>
          <w:tcPr>
            <w:tcW w:w="566" w:type="dxa"/>
            <w:tcBorders>
              <w:top w:val="nil"/>
              <w:left w:val="nil"/>
              <w:bottom w:val="single" w:sz="4" w:space="0" w:color="auto"/>
              <w:right w:val="single" w:sz="4" w:space="0" w:color="auto"/>
            </w:tcBorders>
            <w:shd w:val="clear" w:color="auto" w:fill="auto"/>
            <w:noWrap/>
            <w:vAlign w:val="bottom"/>
            <w:hideMark/>
          </w:tcPr>
          <w:p w14:paraId="0E81652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15136FB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5B105A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8" w:type="dxa"/>
            <w:tcBorders>
              <w:top w:val="nil"/>
              <w:left w:val="nil"/>
              <w:bottom w:val="single" w:sz="4" w:space="0" w:color="auto"/>
              <w:right w:val="single" w:sz="4" w:space="0" w:color="auto"/>
            </w:tcBorders>
            <w:shd w:val="clear" w:color="000000" w:fill="FFFFFF"/>
            <w:noWrap/>
            <w:vAlign w:val="bottom"/>
            <w:hideMark/>
          </w:tcPr>
          <w:p w14:paraId="13320F5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028431C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475CA8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1" w:type="dxa"/>
            <w:tcBorders>
              <w:top w:val="nil"/>
              <w:left w:val="nil"/>
              <w:bottom w:val="single" w:sz="4" w:space="0" w:color="auto"/>
              <w:right w:val="single" w:sz="4" w:space="0" w:color="auto"/>
            </w:tcBorders>
            <w:shd w:val="clear" w:color="000000" w:fill="FFFFFF"/>
            <w:noWrap/>
            <w:vAlign w:val="bottom"/>
            <w:hideMark/>
          </w:tcPr>
          <w:p w14:paraId="55E84C5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4BC6145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103</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0906A91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7" w:type="dxa"/>
            <w:tcBorders>
              <w:top w:val="nil"/>
              <w:left w:val="nil"/>
              <w:bottom w:val="single" w:sz="4" w:space="0" w:color="auto"/>
              <w:right w:val="single" w:sz="4" w:space="0" w:color="auto"/>
            </w:tcBorders>
            <w:shd w:val="clear" w:color="000000" w:fill="FFFFFF"/>
            <w:noWrap/>
            <w:vAlign w:val="bottom"/>
            <w:hideMark/>
          </w:tcPr>
          <w:p w14:paraId="5F92AC2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18E24BB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C7FDAF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6" w:type="dxa"/>
            <w:tcBorders>
              <w:top w:val="nil"/>
              <w:left w:val="nil"/>
              <w:bottom w:val="single" w:sz="4" w:space="0" w:color="auto"/>
              <w:right w:val="single" w:sz="4" w:space="0" w:color="auto"/>
            </w:tcBorders>
            <w:shd w:val="clear" w:color="000000" w:fill="FFFFFF"/>
            <w:noWrap/>
            <w:vAlign w:val="bottom"/>
            <w:hideMark/>
          </w:tcPr>
          <w:p w14:paraId="0FFFF8A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69F28D4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922FDF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110</w:t>
            </w:r>
          </w:p>
        </w:tc>
        <w:tc>
          <w:tcPr>
            <w:tcW w:w="566" w:type="dxa"/>
            <w:tcBorders>
              <w:top w:val="nil"/>
              <w:left w:val="nil"/>
              <w:bottom w:val="single" w:sz="4" w:space="0" w:color="auto"/>
              <w:right w:val="single" w:sz="4" w:space="0" w:color="auto"/>
            </w:tcBorders>
            <w:shd w:val="clear" w:color="000000" w:fill="FFFFFF"/>
            <w:noWrap/>
            <w:vAlign w:val="bottom"/>
            <w:hideMark/>
          </w:tcPr>
          <w:p w14:paraId="6E75BB6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35A353FB"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91</w:t>
            </w:r>
          </w:p>
        </w:tc>
        <w:tc>
          <w:tcPr>
            <w:tcW w:w="579" w:type="dxa"/>
            <w:tcBorders>
              <w:top w:val="single" w:sz="4" w:space="0" w:color="auto"/>
              <w:left w:val="single" w:sz="12" w:space="0" w:color="auto"/>
              <w:bottom w:val="single" w:sz="4" w:space="0" w:color="auto"/>
              <w:right w:val="single" w:sz="4" w:space="0" w:color="auto"/>
            </w:tcBorders>
            <w:shd w:val="clear" w:color="000000" w:fill="FCFCFF"/>
            <w:noWrap/>
            <w:vAlign w:val="bottom"/>
            <w:hideMark/>
          </w:tcPr>
          <w:p w14:paraId="55D99DDF"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110</w:t>
            </w:r>
          </w:p>
        </w:tc>
        <w:tc>
          <w:tcPr>
            <w:tcW w:w="561"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88A5E1D"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4</w:t>
            </w:r>
          </w:p>
        </w:tc>
        <w:tc>
          <w:tcPr>
            <w:tcW w:w="573" w:type="dxa"/>
            <w:tcBorders>
              <w:top w:val="single" w:sz="4" w:space="0" w:color="auto"/>
              <w:left w:val="single" w:sz="4" w:space="0" w:color="auto"/>
              <w:bottom w:val="single" w:sz="4" w:space="0" w:color="auto"/>
              <w:right w:val="single" w:sz="12" w:space="0" w:color="auto"/>
            </w:tcBorders>
            <w:shd w:val="clear" w:color="000000" w:fill="D8E2F2"/>
            <w:noWrap/>
            <w:vAlign w:val="bottom"/>
            <w:hideMark/>
          </w:tcPr>
          <w:p w14:paraId="0F4939CF"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90</w:t>
            </w:r>
          </w:p>
        </w:tc>
      </w:tr>
      <w:tr w:rsidR="00AD5348" w:rsidRPr="008B6BFC" w14:paraId="6AAF47E1"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0C110CDD"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Štefánikova 2222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52722C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80</w:t>
            </w:r>
          </w:p>
        </w:tc>
        <w:tc>
          <w:tcPr>
            <w:tcW w:w="566" w:type="dxa"/>
            <w:tcBorders>
              <w:top w:val="nil"/>
              <w:left w:val="nil"/>
              <w:bottom w:val="single" w:sz="4" w:space="0" w:color="auto"/>
              <w:right w:val="single" w:sz="4" w:space="0" w:color="auto"/>
            </w:tcBorders>
            <w:shd w:val="clear" w:color="auto" w:fill="auto"/>
            <w:noWrap/>
            <w:vAlign w:val="bottom"/>
            <w:hideMark/>
          </w:tcPr>
          <w:p w14:paraId="496CD68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6F6EA40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2986A9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8" w:type="dxa"/>
            <w:tcBorders>
              <w:top w:val="nil"/>
              <w:left w:val="nil"/>
              <w:bottom w:val="single" w:sz="4" w:space="0" w:color="auto"/>
              <w:right w:val="single" w:sz="4" w:space="0" w:color="auto"/>
            </w:tcBorders>
            <w:shd w:val="clear" w:color="000000" w:fill="FFFFFF"/>
            <w:noWrap/>
            <w:vAlign w:val="bottom"/>
            <w:hideMark/>
          </w:tcPr>
          <w:p w14:paraId="2C3E74B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7310FB2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D801A7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1" w:type="dxa"/>
            <w:tcBorders>
              <w:top w:val="nil"/>
              <w:left w:val="nil"/>
              <w:bottom w:val="single" w:sz="4" w:space="0" w:color="auto"/>
              <w:right w:val="single" w:sz="4" w:space="0" w:color="auto"/>
            </w:tcBorders>
            <w:shd w:val="clear" w:color="000000" w:fill="FFFFFF"/>
            <w:noWrap/>
            <w:vAlign w:val="bottom"/>
            <w:hideMark/>
          </w:tcPr>
          <w:p w14:paraId="6684985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1" w:type="dxa"/>
            <w:tcBorders>
              <w:top w:val="nil"/>
              <w:left w:val="nil"/>
              <w:bottom w:val="single" w:sz="4" w:space="0" w:color="auto"/>
              <w:right w:val="single" w:sz="12" w:space="0" w:color="auto"/>
            </w:tcBorders>
            <w:shd w:val="clear" w:color="auto" w:fill="auto"/>
            <w:noWrap/>
            <w:vAlign w:val="bottom"/>
            <w:hideMark/>
          </w:tcPr>
          <w:p w14:paraId="07D5B36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2C502FD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7" w:type="dxa"/>
            <w:tcBorders>
              <w:top w:val="nil"/>
              <w:left w:val="nil"/>
              <w:bottom w:val="single" w:sz="4" w:space="0" w:color="auto"/>
              <w:right w:val="single" w:sz="4" w:space="0" w:color="auto"/>
            </w:tcBorders>
            <w:shd w:val="clear" w:color="000000" w:fill="FFFFFF"/>
            <w:noWrap/>
            <w:vAlign w:val="bottom"/>
            <w:hideMark/>
          </w:tcPr>
          <w:p w14:paraId="1B471DA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1249300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CC4B51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6" w:type="dxa"/>
            <w:tcBorders>
              <w:top w:val="nil"/>
              <w:left w:val="nil"/>
              <w:bottom w:val="single" w:sz="4" w:space="0" w:color="auto"/>
              <w:right w:val="single" w:sz="4" w:space="0" w:color="auto"/>
            </w:tcBorders>
            <w:shd w:val="clear" w:color="000000" w:fill="FFFFFF"/>
            <w:noWrap/>
            <w:vAlign w:val="bottom"/>
            <w:hideMark/>
          </w:tcPr>
          <w:p w14:paraId="41641BC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388B8F9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D117BCF"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80</w:t>
            </w:r>
          </w:p>
        </w:tc>
        <w:tc>
          <w:tcPr>
            <w:tcW w:w="566" w:type="dxa"/>
            <w:tcBorders>
              <w:top w:val="nil"/>
              <w:left w:val="nil"/>
              <w:bottom w:val="single" w:sz="4" w:space="0" w:color="auto"/>
              <w:right w:val="single" w:sz="4" w:space="0" w:color="auto"/>
            </w:tcBorders>
            <w:shd w:val="clear" w:color="000000" w:fill="FFFFFF"/>
            <w:noWrap/>
            <w:vAlign w:val="bottom"/>
            <w:hideMark/>
          </w:tcPr>
          <w:p w14:paraId="02C7A51F"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3</w:t>
            </w:r>
          </w:p>
        </w:tc>
        <w:tc>
          <w:tcPr>
            <w:tcW w:w="561" w:type="dxa"/>
            <w:tcBorders>
              <w:top w:val="nil"/>
              <w:left w:val="nil"/>
              <w:bottom w:val="single" w:sz="4" w:space="0" w:color="auto"/>
              <w:right w:val="single" w:sz="12" w:space="0" w:color="auto"/>
            </w:tcBorders>
            <w:shd w:val="clear" w:color="auto" w:fill="auto"/>
            <w:noWrap/>
            <w:vAlign w:val="bottom"/>
            <w:hideMark/>
          </w:tcPr>
          <w:p w14:paraId="40163F79"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76</w:t>
            </w:r>
          </w:p>
        </w:tc>
        <w:tc>
          <w:tcPr>
            <w:tcW w:w="579" w:type="dxa"/>
            <w:tcBorders>
              <w:top w:val="single" w:sz="4" w:space="0" w:color="auto"/>
              <w:left w:val="single" w:sz="12" w:space="0" w:color="auto"/>
              <w:bottom w:val="single" w:sz="4" w:space="0" w:color="auto"/>
              <w:right w:val="single" w:sz="4" w:space="0" w:color="auto"/>
            </w:tcBorders>
            <w:shd w:val="clear" w:color="000000" w:fill="B1C7E4"/>
            <w:noWrap/>
            <w:vAlign w:val="bottom"/>
            <w:hideMark/>
          </w:tcPr>
          <w:p w14:paraId="308DDB0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80</w:t>
            </w:r>
          </w:p>
        </w:tc>
        <w:tc>
          <w:tcPr>
            <w:tcW w:w="561" w:type="dxa"/>
            <w:tcBorders>
              <w:top w:val="single" w:sz="4" w:space="0" w:color="auto"/>
              <w:left w:val="single" w:sz="4" w:space="0" w:color="auto"/>
              <w:bottom w:val="single" w:sz="4" w:space="0" w:color="auto"/>
              <w:right w:val="single" w:sz="4" w:space="0" w:color="auto"/>
            </w:tcBorders>
            <w:shd w:val="clear" w:color="000000" w:fill="ABC3E2"/>
            <w:noWrap/>
            <w:vAlign w:val="bottom"/>
            <w:hideMark/>
          </w:tcPr>
          <w:p w14:paraId="4D196740"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3</w:t>
            </w:r>
          </w:p>
        </w:tc>
        <w:tc>
          <w:tcPr>
            <w:tcW w:w="573" w:type="dxa"/>
            <w:tcBorders>
              <w:top w:val="single" w:sz="4" w:space="0" w:color="auto"/>
              <w:left w:val="single" w:sz="4" w:space="0" w:color="auto"/>
              <w:bottom w:val="single" w:sz="4" w:space="0" w:color="auto"/>
              <w:right w:val="single" w:sz="12" w:space="0" w:color="auto"/>
            </w:tcBorders>
            <w:shd w:val="clear" w:color="000000" w:fill="B6CAE6"/>
            <w:noWrap/>
            <w:vAlign w:val="bottom"/>
            <w:hideMark/>
          </w:tcPr>
          <w:p w14:paraId="629AE0CF"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77</w:t>
            </w:r>
          </w:p>
        </w:tc>
      </w:tr>
      <w:tr w:rsidR="00AD5348" w:rsidRPr="008B6BFC" w14:paraId="2CE19D8A"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6165650B"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tř. Tomáše Bati 1285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9E23CD4"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auto" w:fill="auto"/>
            <w:noWrap/>
            <w:vAlign w:val="bottom"/>
            <w:hideMark/>
          </w:tcPr>
          <w:p w14:paraId="47443EB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2027116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5D3803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8" w:type="dxa"/>
            <w:tcBorders>
              <w:top w:val="nil"/>
              <w:left w:val="nil"/>
              <w:bottom w:val="single" w:sz="4" w:space="0" w:color="auto"/>
              <w:right w:val="single" w:sz="4" w:space="0" w:color="auto"/>
            </w:tcBorders>
            <w:shd w:val="clear" w:color="000000" w:fill="FFFFFF"/>
            <w:noWrap/>
            <w:vAlign w:val="bottom"/>
            <w:hideMark/>
          </w:tcPr>
          <w:p w14:paraId="6DEAE27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66FE242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EBDC60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124</w:t>
            </w:r>
          </w:p>
        </w:tc>
        <w:tc>
          <w:tcPr>
            <w:tcW w:w="561" w:type="dxa"/>
            <w:tcBorders>
              <w:top w:val="nil"/>
              <w:left w:val="nil"/>
              <w:bottom w:val="single" w:sz="4" w:space="0" w:color="auto"/>
              <w:right w:val="single" w:sz="4" w:space="0" w:color="auto"/>
            </w:tcBorders>
            <w:shd w:val="clear" w:color="000000" w:fill="FFFFFF"/>
            <w:noWrap/>
            <w:vAlign w:val="bottom"/>
            <w:hideMark/>
          </w:tcPr>
          <w:p w14:paraId="11620C6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1" w:type="dxa"/>
            <w:tcBorders>
              <w:top w:val="nil"/>
              <w:left w:val="nil"/>
              <w:bottom w:val="single" w:sz="4" w:space="0" w:color="auto"/>
              <w:right w:val="single" w:sz="12" w:space="0" w:color="auto"/>
            </w:tcBorders>
            <w:shd w:val="clear" w:color="auto" w:fill="auto"/>
            <w:noWrap/>
            <w:vAlign w:val="bottom"/>
            <w:hideMark/>
          </w:tcPr>
          <w:p w14:paraId="79827E7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122</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1E39A9A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124</w:t>
            </w:r>
          </w:p>
        </w:tc>
        <w:tc>
          <w:tcPr>
            <w:tcW w:w="567" w:type="dxa"/>
            <w:tcBorders>
              <w:top w:val="nil"/>
              <w:left w:val="nil"/>
              <w:bottom w:val="single" w:sz="4" w:space="0" w:color="auto"/>
              <w:right w:val="single" w:sz="4" w:space="0" w:color="auto"/>
            </w:tcBorders>
            <w:shd w:val="clear" w:color="000000" w:fill="FFFFFF"/>
            <w:noWrap/>
            <w:vAlign w:val="bottom"/>
            <w:hideMark/>
          </w:tcPr>
          <w:p w14:paraId="252DC45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67D1BCD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446FE7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124</w:t>
            </w:r>
          </w:p>
        </w:tc>
        <w:tc>
          <w:tcPr>
            <w:tcW w:w="566" w:type="dxa"/>
            <w:tcBorders>
              <w:top w:val="nil"/>
              <w:left w:val="nil"/>
              <w:bottom w:val="single" w:sz="4" w:space="0" w:color="auto"/>
              <w:right w:val="single" w:sz="4" w:space="0" w:color="auto"/>
            </w:tcBorders>
            <w:shd w:val="clear" w:color="000000" w:fill="FFFFFF"/>
            <w:noWrap/>
            <w:vAlign w:val="bottom"/>
            <w:hideMark/>
          </w:tcPr>
          <w:p w14:paraId="629C099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1727FBA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3EF33A6"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124</w:t>
            </w:r>
          </w:p>
        </w:tc>
        <w:tc>
          <w:tcPr>
            <w:tcW w:w="566" w:type="dxa"/>
            <w:tcBorders>
              <w:top w:val="nil"/>
              <w:left w:val="nil"/>
              <w:bottom w:val="single" w:sz="4" w:space="0" w:color="auto"/>
              <w:right w:val="single" w:sz="4" w:space="0" w:color="auto"/>
            </w:tcBorders>
            <w:shd w:val="clear" w:color="000000" w:fill="FFFFFF"/>
            <w:noWrap/>
            <w:vAlign w:val="bottom"/>
            <w:hideMark/>
          </w:tcPr>
          <w:p w14:paraId="3A9D67A8"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w:t>
            </w:r>
          </w:p>
        </w:tc>
        <w:tc>
          <w:tcPr>
            <w:tcW w:w="561" w:type="dxa"/>
            <w:tcBorders>
              <w:top w:val="nil"/>
              <w:left w:val="nil"/>
              <w:bottom w:val="single" w:sz="4" w:space="0" w:color="auto"/>
              <w:right w:val="single" w:sz="12" w:space="0" w:color="auto"/>
            </w:tcBorders>
            <w:shd w:val="clear" w:color="auto" w:fill="auto"/>
            <w:noWrap/>
            <w:vAlign w:val="bottom"/>
            <w:hideMark/>
          </w:tcPr>
          <w:p w14:paraId="439E77B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116</w:t>
            </w:r>
          </w:p>
        </w:tc>
        <w:tc>
          <w:tcPr>
            <w:tcW w:w="579" w:type="dxa"/>
            <w:tcBorders>
              <w:top w:val="single" w:sz="4" w:space="0" w:color="auto"/>
              <w:left w:val="single" w:sz="12" w:space="0" w:color="auto"/>
              <w:bottom w:val="single" w:sz="4" w:space="0" w:color="auto"/>
              <w:right w:val="single" w:sz="4" w:space="0" w:color="auto"/>
            </w:tcBorders>
            <w:shd w:val="clear" w:color="000000" w:fill="FCEAED"/>
            <w:noWrap/>
            <w:vAlign w:val="bottom"/>
            <w:hideMark/>
          </w:tcPr>
          <w:p w14:paraId="31637F99"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124</w:t>
            </w:r>
          </w:p>
        </w:tc>
        <w:tc>
          <w:tcPr>
            <w:tcW w:w="561" w:type="dxa"/>
            <w:tcBorders>
              <w:top w:val="single" w:sz="4" w:space="0" w:color="auto"/>
              <w:left w:val="single" w:sz="4" w:space="0" w:color="auto"/>
              <w:bottom w:val="single" w:sz="4" w:space="0" w:color="auto"/>
              <w:right w:val="single" w:sz="4" w:space="0" w:color="auto"/>
            </w:tcBorders>
            <w:shd w:val="clear" w:color="000000" w:fill="FBD8DA"/>
            <w:noWrap/>
            <w:vAlign w:val="bottom"/>
            <w:hideMark/>
          </w:tcPr>
          <w:p w14:paraId="5122DB6F"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5</w:t>
            </w:r>
          </w:p>
        </w:tc>
        <w:tc>
          <w:tcPr>
            <w:tcW w:w="573" w:type="dxa"/>
            <w:tcBorders>
              <w:top w:val="single" w:sz="4" w:space="0" w:color="auto"/>
              <w:left w:val="single" w:sz="4" w:space="0" w:color="auto"/>
              <w:bottom w:val="single" w:sz="4" w:space="0" w:color="auto"/>
              <w:right w:val="single" w:sz="12" w:space="0" w:color="auto"/>
            </w:tcBorders>
            <w:shd w:val="clear" w:color="000000" w:fill="FCF1F4"/>
            <w:noWrap/>
            <w:vAlign w:val="bottom"/>
            <w:hideMark/>
          </w:tcPr>
          <w:p w14:paraId="41491CC6"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111</w:t>
            </w:r>
          </w:p>
        </w:tc>
      </w:tr>
      <w:tr w:rsidR="00AD5348" w:rsidRPr="008B6BFC" w14:paraId="51D3AE40"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66658727"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Sokolská 3961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FFEE31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110</w:t>
            </w:r>
          </w:p>
        </w:tc>
        <w:tc>
          <w:tcPr>
            <w:tcW w:w="566" w:type="dxa"/>
            <w:tcBorders>
              <w:top w:val="nil"/>
              <w:left w:val="nil"/>
              <w:bottom w:val="single" w:sz="4" w:space="0" w:color="auto"/>
              <w:right w:val="single" w:sz="4" w:space="0" w:color="auto"/>
            </w:tcBorders>
            <w:shd w:val="clear" w:color="auto" w:fill="auto"/>
            <w:noWrap/>
            <w:vAlign w:val="bottom"/>
            <w:hideMark/>
          </w:tcPr>
          <w:p w14:paraId="505A05B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28998DE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5E5A3A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8" w:type="dxa"/>
            <w:tcBorders>
              <w:top w:val="nil"/>
              <w:left w:val="nil"/>
              <w:bottom w:val="single" w:sz="4" w:space="0" w:color="auto"/>
              <w:right w:val="single" w:sz="4" w:space="0" w:color="auto"/>
            </w:tcBorders>
            <w:shd w:val="clear" w:color="000000" w:fill="FFFFFF"/>
            <w:noWrap/>
            <w:vAlign w:val="bottom"/>
            <w:hideMark/>
          </w:tcPr>
          <w:p w14:paraId="75C3CAC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73472C5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C7C6C0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1" w:type="dxa"/>
            <w:tcBorders>
              <w:top w:val="nil"/>
              <w:left w:val="nil"/>
              <w:bottom w:val="single" w:sz="4" w:space="0" w:color="auto"/>
              <w:right w:val="single" w:sz="4" w:space="0" w:color="auto"/>
            </w:tcBorders>
            <w:shd w:val="clear" w:color="000000" w:fill="FFFFFF"/>
            <w:noWrap/>
            <w:vAlign w:val="bottom"/>
            <w:hideMark/>
          </w:tcPr>
          <w:p w14:paraId="1C4A315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655307A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105</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3D589A7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7" w:type="dxa"/>
            <w:tcBorders>
              <w:top w:val="nil"/>
              <w:left w:val="nil"/>
              <w:bottom w:val="single" w:sz="4" w:space="0" w:color="auto"/>
              <w:right w:val="single" w:sz="4" w:space="0" w:color="auto"/>
            </w:tcBorders>
            <w:shd w:val="clear" w:color="000000" w:fill="FFFFFF"/>
            <w:noWrap/>
            <w:vAlign w:val="bottom"/>
            <w:hideMark/>
          </w:tcPr>
          <w:p w14:paraId="0B2A54B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7200E4F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75DCF6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110</w:t>
            </w:r>
          </w:p>
        </w:tc>
        <w:tc>
          <w:tcPr>
            <w:tcW w:w="566" w:type="dxa"/>
            <w:tcBorders>
              <w:top w:val="nil"/>
              <w:left w:val="nil"/>
              <w:bottom w:val="single" w:sz="4" w:space="0" w:color="auto"/>
              <w:right w:val="single" w:sz="4" w:space="0" w:color="auto"/>
            </w:tcBorders>
            <w:shd w:val="clear" w:color="000000" w:fill="FFFFFF"/>
            <w:noWrap/>
            <w:vAlign w:val="bottom"/>
            <w:hideMark/>
          </w:tcPr>
          <w:p w14:paraId="54EB327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5DFC872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BD8CCCA"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110</w:t>
            </w:r>
          </w:p>
        </w:tc>
        <w:tc>
          <w:tcPr>
            <w:tcW w:w="566" w:type="dxa"/>
            <w:tcBorders>
              <w:top w:val="nil"/>
              <w:left w:val="nil"/>
              <w:bottom w:val="single" w:sz="4" w:space="0" w:color="auto"/>
              <w:right w:val="single" w:sz="4" w:space="0" w:color="auto"/>
            </w:tcBorders>
            <w:shd w:val="clear" w:color="000000" w:fill="FFFFFF"/>
            <w:noWrap/>
            <w:vAlign w:val="bottom"/>
            <w:hideMark/>
          </w:tcPr>
          <w:p w14:paraId="07352605"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1D004FFB"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105</w:t>
            </w:r>
          </w:p>
        </w:tc>
        <w:tc>
          <w:tcPr>
            <w:tcW w:w="579" w:type="dxa"/>
            <w:tcBorders>
              <w:top w:val="single" w:sz="4" w:space="0" w:color="auto"/>
              <w:left w:val="single" w:sz="12" w:space="0" w:color="auto"/>
              <w:bottom w:val="single" w:sz="4" w:space="0" w:color="auto"/>
              <w:right w:val="single" w:sz="4" w:space="0" w:color="auto"/>
            </w:tcBorders>
            <w:shd w:val="clear" w:color="000000" w:fill="FCFCFF"/>
            <w:noWrap/>
            <w:vAlign w:val="bottom"/>
            <w:hideMark/>
          </w:tcPr>
          <w:p w14:paraId="3009129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110</w:t>
            </w:r>
          </w:p>
        </w:tc>
        <w:tc>
          <w:tcPr>
            <w:tcW w:w="561"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71A4254"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4</w:t>
            </w:r>
          </w:p>
        </w:tc>
        <w:tc>
          <w:tcPr>
            <w:tcW w:w="573" w:type="dxa"/>
            <w:tcBorders>
              <w:top w:val="single" w:sz="4" w:space="0" w:color="auto"/>
              <w:left w:val="single" w:sz="4" w:space="0" w:color="auto"/>
              <w:bottom w:val="single" w:sz="4" w:space="0" w:color="auto"/>
              <w:right w:val="single" w:sz="12" w:space="0" w:color="auto"/>
            </w:tcBorders>
            <w:shd w:val="clear" w:color="000000" w:fill="FAFBFE"/>
            <w:noWrap/>
            <w:vAlign w:val="bottom"/>
            <w:hideMark/>
          </w:tcPr>
          <w:p w14:paraId="756F81CE"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103</w:t>
            </w:r>
          </w:p>
        </w:tc>
      </w:tr>
      <w:tr w:rsidR="00AD5348" w:rsidRPr="008B6BFC" w14:paraId="4A9D6123"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40D0B52D"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M. Knesla 4056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1C356B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120</w:t>
            </w:r>
          </w:p>
        </w:tc>
        <w:tc>
          <w:tcPr>
            <w:tcW w:w="566" w:type="dxa"/>
            <w:tcBorders>
              <w:top w:val="nil"/>
              <w:left w:val="nil"/>
              <w:bottom w:val="single" w:sz="4" w:space="0" w:color="auto"/>
              <w:right w:val="single" w:sz="4" w:space="0" w:color="auto"/>
            </w:tcBorders>
            <w:shd w:val="clear" w:color="auto" w:fill="auto"/>
            <w:noWrap/>
            <w:vAlign w:val="bottom"/>
            <w:hideMark/>
          </w:tcPr>
          <w:p w14:paraId="5DE27C6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54CA5D2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26522D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8" w:type="dxa"/>
            <w:tcBorders>
              <w:top w:val="nil"/>
              <w:left w:val="nil"/>
              <w:bottom w:val="single" w:sz="4" w:space="0" w:color="auto"/>
              <w:right w:val="single" w:sz="4" w:space="0" w:color="auto"/>
            </w:tcBorders>
            <w:shd w:val="clear" w:color="000000" w:fill="FFFFFF"/>
            <w:noWrap/>
            <w:vAlign w:val="bottom"/>
            <w:hideMark/>
          </w:tcPr>
          <w:p w14:paraId="2CF6ABB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0E2626A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8A6B89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1" w:type="dxa"/>
            <w:tcBorders>
              <w:top w:val="nil"/>
              <w:left w:val="nil"/>
              <w:bottom w:val="single" w:sz="4" w:space="0" w:color="auto"/>
              <w:right w:val="single" w:sz="4" w:space="0" w:color="auto"/>
            </w:tcBorders>
            <w:shd w:val="clear" w:color="000000" w:fill="FFFFFF"/>
            <w:noWrap/>
            <w:vAlign w:val="bottom"/>
            <w:hideMark/>
          </w:tcPr>
          <w:p w14:paraId="5F03D7A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31755CB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111</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7E71B42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7" w:type="dxa"/>
            <w:tcBorders>
              <w:top w:val="nil"/>
              <w:left w:val="nil"/>
              <w:bottom w:val="single" w:sz="4" w:space="0" w:color="auto"/>
              <w:right w:val="single" w:sz="4" w:space="0" w:color="auto"/>
            </w:tcBorders>
            <w:shd w:val="clear" w:color="000000" w:fill="FFFFFF"/>
            <w:noWrap/>
            <w:vAlign w:val="bottom"/>
            <w:hideMark/>
          </w:tcPr>
          <w:p w14:paraId="6B197C2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4BBC0C4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82FD73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120</w:t>
            </w:r>
          </w:p>
        </w:tc>
        <w:tc>
          <w:tcPr>
            <w:tcW w:w="566" w:type="dxa"/>
            <w:tcBorders>
              <w:top w:val="nil"/>
              <w:left w:val="nil"/>
              <w:bottom w:val="single" w:sz="4" w:space="0" w:color="auto"/>
              <w:right w:val="single" w:sz="4" w:space="0" w:color="auto"/>
            </w:tcBorders>
            <w:shd w:val="clear" w:color="000000" w:fill="FFFFFF"/>
            <w:noWrap/>
            <w:vAlign w:val="bottom"/>
            <w:hideMark/>
          </w:tcPr>
          <w:p w14:paraId="2E60F1A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5823CA9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01F0546"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120</w:t>
            </w:r>
          </w:p>
        </w:tc>
        <w:tc>
          <w:tcPr>
            <w:tcW w:w="566" w:type="dxa"/>
            <w:tcBorders>
              <w:top w:val="nil"/>
              <w:left w:val="nil"/>
              <w:bottom w:val="single" w:sz="4" w:space="0" w:color="auto"/>
              <w:right w:val="single" w:sz="4" w:space="0" w:color="auto"/>
            </w:tcBorders>
            <w:shd w:val="clear" w:color="000000" w:fill="FFFFFF"/>
            <w:noWrap/>
            <w:vAlign w:val="bottom"/>
            <w:hideMark/>
          </w:tcPr>
          <w:p w14:paraId="711A3E25"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16CF0B0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104</w:t>
            </w:r>
          </w:p>
        </w:tc>
        <w:tc>
          <w:tcPr>
            <w:tcW w:w="579" w:type="dxa"/>
            <w:tcBorders>
              <w:top w:val="single" w:sz="4" w:space="0" w:color="auto"/>
              <w:left w:val="single" w:sz="12" w:space="0" w:color="auto"/>
              <w:bottom w:val="single" w:sz="4" w:space="0" w:color="auto"/>
              <w:right w:val="single" w:sz="4" w:space="0" w:color="auto"/>
            </w:tcBorders>
            <w:shd w:val="clear" w:color="000000" w:fill="FCEFF2"/>
            <w:noWrap/>
            <w:vAlign w:val="bottom"/>
            <w:hideMark/>
          </w:tcPr>
          <w:p w14:paraId="1FE7C41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120</w:t>
            </w:r>
          </w:p>
        </w:tc>
        <w:tc>
          <w:tcPr>
            <w:tcW w:w="561"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1959B1EB"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4</w:t>
            </w:r>
          </w:p>
        </w:tc>
        <w:tc>
          <w:tcPr>
            <w:tcW w:w="573" w:type="dxa"/>
            <w:tcBorders>
              <w:top w:val="single" w:sz="4" w:space="0" w:color="auto"/>
              <w:left w:val="single" w:sz="4" w:space="0" w:color="auto"/>
              <w:bottom w:val="single" w:sz="4" w:space="0" w:color="auto"/>
              <w:right w:val="single" w:sz="12" w:space="0" w:color="auto"/>
            </w:tcBorders>
            <w:shd w:val="clear" w:color="000000" w:fill="FCFCFF"/>
            <w:noWrap/>
            <w:vAlign w:val="bottom"/>
            <w:hideMark/>
          </w:tcPr>
          <w:p w14:paraId="210B53DF"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104</w:t>
            </w:r>
          </w:p>
        </w:tc>
      </w:tr>
      <w:tr w:rsidR="00AD5348" w:rsidRPr="008B6BFC" w14:paraId="65737B59"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12A44E5D"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Slínová 4225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45F06AC"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auto" w:fill="auto"/>
            <w:noWrap/>
            <w:vAlign w:val="bottom"/>
            <w:hideMark/>
          </w:tcPr>
          <w:p w14:paraId="0C8FD9D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05A5C3E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359863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8" w:type="dxa"/>
            <w:tcBorders>
              <w:top w:val="nil"/>
              <w:left w:val="nil"/>
              <w:bottom w:val="single" w:sz="4" w:space="0" w:color="auto"/>
              <w:right w:val="single" w:sz="4" w:space="0" w:color="auto"/>
            </w:tcBorders>
            <w:shd w:val="clear" w:color="000000" w:fill="FFFFFF"/>
            <w:noWrap/>
            <w:vAlign w:val="bottom"/>
            <w:hideMark/>
          </w:tcPr>
          <w:p w14:paraId="5C7E5A7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7660B44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6F12B6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1" w:type="dxa"/>
            <w:tcBorders>
              <w:top w:val="nil"/>
              <w:left w:val="nil"/>
              <w:bottom w:val="single" w:sz="4" w:space="0" w:color="auto"/>
              <w:right w:val="single" w:sz="4" w:space="0" w:color="auto"/>
            </w:tcBorders>
            <w:shd w:val="clear" w:color="000000" w:fill="FFFFFF"/>
            <w:noWrap/>
            <w:vAlign w:val="bottom"/>
            <w:hideMark/>
          </w:tcPr>
          <w:p w14:paraId="1D1C362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1" w:type="dxa"/>
            <w:tcBorders>
              <w:top w:val="nil"/>
              <w:left w:val="nil"/>
              <w:bottom w:val="single" w:sz="4" w:space="0" w:color="auto"/>
              <w:right w:val="single" w:sz="12" w:space="0" w:color="auto"/>
            </w:tcBorders>
            <w:shd w:val="clear" w:color="auto" w:fill="auto"/>
            <w:noWrap/>
            <w:vAlign w:val="bottom"/>
            <w:hideMark/>
          </w:tcPr>
          <w:p w14:paraId="5E55BD7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1A51AB5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7" w:type="dxa"/>
            <w:tcBorders>
              <w:top w:val="nil"/>
              <w:left w:val="nil"/>
              <w:bottom w:val="single" w:sz="4" w:space="0" w:color="auto"/>
              <w:right w:val="single" w:sz="4" w:space="0" w:color="auto"/>
            </w:tcBorders>
            <w:shd w:val="clear" w:color="000000" w:fill="FFFFFF"/>
            <w:noWrap/>
            <w:vAlign w:val="bottom"/>
            <w:hideMark/>
          </w:tcPr>
          <w:p w14:paraId="4A27C64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72EF8F0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B4EE09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000000" w:fill="FFFFFF"/>
            <w:noWrap/>
            <w:vAlign w:val="bottom"/>
            <w:hideMark/>
          </w:tcPr>
          <w:p w14:paraId="4C0A49E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41C32A4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140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73967BD"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000000" w:fill="FFFFFF"/>
            <w:noWrap/>
            <w:vAlign w:val="bottom"/>
            <w:hideMark/>
          </w:tcPr>
          <w:p w14:paraId="704DB338"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w:t>
            </w:r>
          </w:p>
        </w:tc>
        <w:tc>
          <w:tcPr>
            <w:tcW w:w="561" w:type="dxa"/>
            <w:tcBorders>
              <w:top w:val="nil"/>
              <w:left w:val="nil"/>
              <w:bottom w:val="single" w:sz="4" w:space="0" w:color="auto"/>
              <w:right w:val="single" w:sz="12" w:space="0" w:color="auto"/>
            </w:tcBorders>
            <w:shd w:val="clear" w:color="auto" w:fill="auto"/>
            <w:noWrap/>
            <w:vAlign w:val="bottom"/>
            <w:hideMark/>
          </w:tcPr>
          <w:p w14:paraId="6FE16B65"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79" w:type="dxa"/>
            <w:tcBorders>
              <w:top w:val="single" w:sz="4" w:space="0" w:color="auto"/>
              <w:left w:val="single" w:sz="12" w:space="0" w:color="auto"/>
              <w:bottom w:val="single" w:sz="4" w:space="0" w:color="auto"/>
              <w:right w:val="single" w:sz="4" w:space="0" w:color="auto"/>
            </w:tcBorders>
            <w:shd w:val="clear" w:color="000000" w:fill="FBD5D8"/>
            <w:noWrap/>
            <w:vAlign w:val="bottom"/>
            <w:hideMark/>
          </w:tcPr>
          <w:p w14:paraId="35E1EBD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1" w:type="dxa"/>
            <w:tcBorders>
              <w:top w:val="single" w:sz="4" w:space="0" w:color="auto"/>
              <w:left w:val="single" w:sz="4" w:space="0" w:color="auto"/>
              <w:bottom w:val="single" w:sz="4" w:space="0" w:color="auto"/>
              <w:right w:val="single" w:sz="4" w:space="0" w:color="auto"/>
            </w:tcBorders>
            <w:shd w:val="clear" w:color="000000" w:fill="FBD8DA"/>
            <w:noWrap/>
            <w:vAlign w:val="bottom"/>
            <w:hideMark/>
          </w:tcPr>
          <w:p w14:paraId="372265F6"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5</w:t>
            </w:r>
          </w:p>
        </w:tc>
        <w:tc>
          <w:tcPr>
            <w:tcW w:w="573" w:type="dxa"/>
            <w:tcBorders>
              <w:top w:val="single" w:sz="4" w:space="0" w:color="auto"/>
              <w:left w:val="single" w:sz="4" w:space="0" w:color="auto"/>
              <w:bottom w:val="single" w:sz="4" w:space="0" w:color="auto"/>
              <w:right w:val="single" w:sz="12" w:space="0" w:color="auto"/>
            </w:tcBorders>
            <w:shd w:val="clear" w:color="000000" w:fill="FBC8CB"/>
            <w:noWrap/>
            <w:vAlign w:val="bottom"/>
            <w:hideMark/>
          </w:tcPr>
          <w:p w14:paraId="3DAE5EB1"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138</w:t>
            </w:r>
          </w:p>
        </w:tc>
      </w:tr>
      <w:tr w:rsidR="00AD5348" w:rsidRPr="008B6BFC" w14:paraId="35421ABA"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1A4FF760"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Česká 4790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8D1E2E3"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90</w:t>
            </w:r>
          </w:p>
        </w:tc>
        <w:tc>
          <w:tcPr>
            <w:tcW w:w="566" w:type="dxa"/>
            <w:tcBorders>
              <w:top w:val="nil"/>
              <w:left w:val="nil"/>
              <w:bottom w:val="single" w:sz="4" w:space="0" w:color="auto"/>
              <w:right w:val="single" w:sz="4" w:space="0" w:color="auto"/>
            </w:tcBorders>
            <w:shd w:val="clear" w:color="auto" w:fill="auto"/>
            <w:noWrap/>
            <w:vAlign w:val="bottom"/>
            <w:hideMark/>
          </w:tcPr>
          <w:p w14:paraId="76F9DD1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6AA428F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6C3F1E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8" w:type="dxa"/>
            <w:tcBorders>
              <w:top w:val="nil"/>
              <w:left w:val="nil"/>
              <w:bottom w:val="single" w:sz="4" w:space="0" w:color="auto"/>
              <w:right w:val="single" w:sz="4" w:space="0" w:color="auto"/>
            </w:tcBorders>
            <w:shd w:val="clear" w:color="000000" w:fill="FFFFFF"/>
            <w:noWrap/>
            <w:vAlign w:val="bottom"/>
            <w:hideMark/>
          </w:tcPr>
          <w:p w14:paraId="16232B6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5E446F5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26F8E6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1" w:type="dxa"/>
            <w:tcBorders>
              <w:top w:val="nil"/>
              <w:left w:val="nil"/>
              <w:bottom w:val="single" w:sz="4" w:space="0" w:color="auto"/>
              <w:right w:val="single" w:sz="4" w:space="0" w:color="auto"/>
            </w:tcBorders>
            <w:shd w:val="clear" w:color="000000" w:fill="FFFFFF"/>
            <w:noWrap/>
            <w:vAlign w:val="bottom"/>
            <w:hideMark/>
          </w:tcPr>
          <w:p w14:paraId="0CB6072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1" w:type="dxa"/>
            <w:tcBorders>
              <w:top w:val="nil"/>
              <w:left w:val="nil"/>
              <w:bottom w:val="single" w:sz="4" w:space="0" w:color="auto"/>
              <w:right w:val="single" w:sz="12" w:space="0" w:color="auto"/>
            </w:tcBorders>
            <w:shd w:val="clear" w:color="auto" w:fill="auto"/>
            <w:noWrap/>
            <w:vAlign w:val="bottom"/>
            <w:hideMark/>
          </w:tcPr>
          <w:p w14:paraId="3E3DADA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5F3ABC0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7" w:type="dxa"/>
            <w:tcBorders>
              <w:top w:val="nil"/>
              <w:left w:val="nil"/>
              <w:bottom w:val="single" w:sz="4" w:space="0" w:color="auto"/>
              <w:right w:val="single" w:sz="4" w:space="0" w:color="auto"/>
            </w:tcBorders>
            <w:shd w:val="clear" w:color="000000" w:fill="FFFFFF"/>
            <w:noWrap/>
            <w:vAlign w:val="bottom"/>
            <w:hideMark/>
          </w:tcPr>
          <w:p w14:paraId="6B4BBB6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5360F8A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A2F9B9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6" w:type="dxa"/>
            <w:tcBorders>
              <w:top w:val="nil"/>
              <w:left w:val="nil"/>
              <w:bottom w:val="single" w:sz="4" w:space="0" w:color="auto"/>
              <w:right w:val="single" w:sz="4" w:space="0" w:color="auto"/>
            </w:tcBorders>
            <w:shd w:val="clear" w:color="000000" w:fill="FFFFFF"/>
            <w:noWrap/>
            <w:vAlign w:val="bottom"/>
            <w:hideMark/>
          </w:tcPr>
          <w:p w14:paraId="1F71054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4DE3BC8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4C42AB6"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90</w:t>
            </w:r>
          </w:p>
        </w:tc>
        <w:tc>
          <w:tcPr>
            <w:tcW w:w="566" w:type="dxa"/>
            <w:tcBorders>
              <w:top w:val="nil"/>
              <w:left w:val="nil"/>
              <w:bottom w:val="single" w:sz="4" w:space="0" w:color="auto"/>
              <w:right w:val="single" w:sz="4" w:space="0" w:color="auto"/>
            </w:tcBorders>
            <w:shd w:val="clear" w:color="000000" w:fill="FFFFFF"/>
            <w:noWrap/>
            <w:vAlign w:val="bottom"/>
            <w:hideMark/>
          </w:tcPr>
          <w:p w14:paraId="64A74D46"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3</w:t>
            </w:r>
          </w:p>
        </w:tc>
        <w:tc>
          <w:tcPr>
            <w:tcW w:w="561" w:type="dxa"/>
            <w:tcBorders>
              <w:top w:val="nil"/>
              <w:left w:val="nil"/>
              <w:bottom w:val="single" w:sz="4" w:space="0" w:color="auto"/>
              <w:right w:val="single" w:sz="12" w:space="0" w:color="auto"/>
            </w:tcBorders>
            <w:shd w:val="clear" w:color="auto" w:fill="auto"/>
            <w:noWrap/>
            <w:vAlign w:val="bottom"/>
            <w:hideMark/>
          </w:tcPr>
          <w:p w14:paraId="014C696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84</w:t>
            </w:r>
          </w:p>
        </w:tc>
        <w:tc>
          <w:tcPr>
            <w:tcW w:w="579" w:type="dxa"/>
            <w:tcBorders>
              <w:top w:val="single" w:sz="4" w:space="0" w:color="auto"/>
              <w:left w:val="single" w:sz="12" w:space="0" w:color="auto"/>
              <w:bottom w:val="single" w:sz="4" w:space="0" w:color="auto"/>
              <w:right w:val="single" w:sz="4" w:space="0" w:color="auto"/>
            </w:tcBorders>
            <w:shd w:val="clear" w:color="000000" w:fill="CAD8ED"/>
            <w:noWrap/>
            <w:vAlign w:val="bottom"/>
            <w:hideMark/>
          </w:tcPr>
          <w:p w14:paraId="6B732D69"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90</w:t>
            </w:r>
          </w:p>
        </w:tc>
        <w:tc>
          <w:tcPr>
            <w:tcW w:w="561" w:type="dxa"/>
            <w:tcBorders>
              <w:top w:val="single" w:sz="4" w:space="0" w:color="auto"/>
              <w:left w:val="single" w:sz="4" w:space="0" w:color="auto"/>
              <w:bottom w:val="single" w:sz="4" w:space="0" w:color="auto"/>
              <w:right w:val="single" w:sz="4" w:space="0" w:color="auto"/>
            </w:tcBorders>
            <w:shd w:val="clear" w:color="000000" w:fill="ABC3E2"/>
            <w:noWrap/>
            <w:vAlign w:val="bottom"/>
            <w:hideMark/>
          </w:tcPr>
          <w:p w14:paraId="3CA2156C"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3</w:t>
            </w:r>
          </w:p>
        </w:tc>
        <w:tc>
          <w:tcPr>
            <w:tcW w:w="573" w:type="dxa"/>
            <w:tcBorders>
              <w:top w:val="single" w:sz="4" w:space="0" w:color="auto"/>
              <w:left w:val="single" w:sz="4" w:space="0" w:color="auto"/>
              <w:bottom w:val="single" w:sz="4" w:space="0" w:color="auto"/>
              <w:right w:val="single" w:sz="12" w:space="0" w:color="auto"/>
            </w:tcBorders>
            <w:shd w:val="clear" w:color="000000" w:fill="C8D7EC"/>
            <w:noWrap/>
            <w:vAlign w:val="bottom"/>
            <w:hideMark/>
          </w:tcPr>
          <w:p w14:paraId="311CB46A"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84</w:t>
            </w:r>
          </w:p>
        </w:tc>
      </w:tr>
      <w:tr w:rsidR="00AD5348" w:rsidRPr="008B6BFC" w14:paraId="7B6A8CDF"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440831B4"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Družstevní 4514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967A1F5"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90</w:t>
            </w:r>
          </w:p>
        </w:tc>
        <w:tc>
          <w:tcPr>
            <w:tcW w:w="566" w:type="dxa"/>
            <w:tcBorders>
              <w:top w:val="nil"/>
              <w:left w:val="nil"/>
              <w:bottom w:val="single" w:sz="4" w:space="0" w:color="auto"/>
              <w:right w:val="single" w:sz="4" w:space="0" w:color="auto"/>
            </w:tcBorders>
            <w:shd w:val="clear" w:color="auto" w:fill="auto"/>
            <w:noWrap/>
            <w:vAlign w:val="bottom"/>
            <w:hideMark/>
          </w:tcPr>
          <w:p w14:paraId="67BCE62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54D56DA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ADDA96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568" w:type="dxa"/>
            <w:tcBorders>
              <w:top w:val="nil"/>
              <w:left w:val="nil"/>
              <w:bottom w:val="single" w:sz="4" w:space="0" w:color="auto"/>
              <w:right w:val="single" w:sz="4" w:space="0" w:color="auto"/>
            </w:tcBorders>
            <w:shd w:val="clear" w:color="000000" w:fill="FFFFFF"/>
            <w:noWrap/>
            <w:vAlign w:val="bottom"/>
            <w:hideMark/>
          </w:tcPr>
          <w:p w14:paraId="44B9355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1040A27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AA5E19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561" w:type="dxa"/>
            <w:tcBorders>
              <w:top w:val="nil"/>
              <w:left w:val="nil"/>
              <w:bottom w:val="single" w:sz="4" w:space="0" w:color="auto"/>
              <w:right w:val="single" w:sz="4" w:space="0" w:color="auto"/>
            </w:tcBorders>
            <w:shd w:val="clear" w:color="000000" w:fill="FFFFFF"/>
            <w:noWrap/>
            <w:vAlign w:val="bottom"/>
            <w:hideMark/>
          </w:tcPr>
          <w:p w14:paraId="68CB107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5143F6E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3762F86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567" w:type="dxa"/>
            <w:tcBorders>
              <w:top w:val="nil"/>
              <w:left w:val="nil"/>
              <w:bottom w:val="single" w:sz="4" w:space="0" w:color="auto"/>
              <w:right w:val="single" w:sz="4" w:space="0" w:color="auto"/>
            </w:tcBorders>
            <w:shd w:val="clear" w:color="000000" w:fill="FFFFFF"/>
            <w:noWrap/>
            <w:vAlign w:val="bottom"/>
            <w:hideMark/>
          </w:tcPr>
          <w:p w14:paraId="6AE1032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5543BB2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270817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566" w:type="dxa"/>
            <w:tcBorders>
              <w:top w:val="nil"/>
              <w:left w:val="nil"/>
              <w:bottom w:val="single" w:sz="4" w:space="0" w:color="auto"/>
              <w:right w:val="single" w:sz="4" w:space="0" w:color="auto"/>
            </w:tcBorders>
            <w:shd w:val="clear" w:color="000000" w:fill="FFFFFF"/>
            <w:noWrap/>
            <w:vAlign w:val="bottom"/>
            <w:hideMark/>
          </w:tcPr>
          <w:p w14:paraId="512497F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03E5B1E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104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DE5902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104</w:t>
            </w:r>
          </w:p>
        </w:tc>
        <w:tc>
          <w:tcPr>
            <w:tcW w:w="566" w:type="dxa"/>
            <w:tcBorders>
              <w:top w:val="nil"/>
              <w:left w:val="nil"/>
              <w:bottom w:val="single" w:sz="4" w:space="0" w:color="auto"/>
              <w:right w:val="single" w:sz="4" w:space="0" w:color="auto"/>
            </w:tcBorders>
            <w:shd w:val="clear" w:color="000000" w:fill="FFFFFF"/>
            <w:noWrap/>
            <w:vAlign w:val="bottom"/>
            <w:hideMark/>
          </w:tcPr>
          <w:p w14:paraId="0AD70CD8"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77147F8D"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104</w:t>
            </w:r>
          </w:p>
        </w:tc>
        <w:tc>
          <w:tcPr>
            <w:tcW w:w="579" w:type="dxa"/>
            <w:tcBorders>
              <w:top w:val="single" w:sz="4" w:space="0" w:color="auto"/>
              <w:left w:val="single" w:sz="12" w:space="0" w:color="auto"/>
              <w:bottom w:val="single" w:sz="4" w:space="0" w:color="auto"/>
              <w:right w:val="single" w:sz="4" w:space="0" w:color="auto"/>
            </w:tcBorders>
            <w:shd w:val="clear" w:color="000000" w:fill="EDF1F9"/>
            <w:noWrap/>
            <w:vAlign w:val="bottom"/>
            <w:hideMark/>
          </w:tcPr>
          <w:p w14:paraId="686E303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104</w:t>
            </w:r>
          </w:p>
        </w:tc>
        <w:tc>
          <w:tcPr>
            <w:tcW w:w="561"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63BBE43"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4</w:t>
            </w:r>
          </w:p>
        </w:tc>
        <w:tc>
          <w:tcPr>
            <w:tcW w:w="573" w:type="dxa"/>
            <w:tcBorders>
              <w:top w:val="single" w:sz="4" w:space="0" w:color="auto"/>
              <w:left w:val="single" w:sz="4" w:space="0" w:color="auto"/>
              <w:bottom w:val="single" w:sz="4" w:space="0" w:color="auto"/>
              <w:right w:val="single" w:sz="12" w:space="0" w:color="auto"/>
            </w:tcBorders>
            <w:shd w:val="clear" w:color="000000" w:fill="FCFCFF"/>
            <w:noWrap/>
            <w:vAlign w:val="bottom"/>
            <w:hideMark/>
          </w:tcPr>
          <w:p w14:paraId="1CFEF0DA"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104</w:t>
            </w:r>
          </w:p>
        </w:tc>
      </w:tr>
      <w:tr w:rsidR="00AD5348" w:rsidRPr="008B6BFC" w14:paraId="30C297DB"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41AB3143"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Luční 4588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F8DA0B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140</w:t>
            </w:r>
          </w:p>
        </w:tc>
        <w:tc>
          <w:tcPr>
            <w:tcW w:w="566" w:type="dxa"/>
            <w:tcBorders>
              <w:top w:val="nil"/>
              <w:left w:val="nil"/>
              <w:bottom w:val="single" w:sz="4" w:space="0" w:color="auto"/>
              <w:right w:val="single" w:sz="4" w:space="0" w:color="auto"/>
            </w:tcBorders>
            <w:shd w:val="clear" w:color="auto" w:fill="auto"/>
            <w:noWrap/>
            <w:vAlign w:val="bottom"/>
            <w:hideMark/>
          </w:tcPr>
          <w:p w14:paraId="575A9FD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w:t>
            </w:r>
          </w:p>
        </w:tc>
        <w:tc>
          <w:tcPr>
            <w:tcW w:w="567" w:type="dxa"/>
            <w:tcBorders>
              <w:top w:val="nil"/>
              <w:left w:val="nil"/>
              <w:bottom w:val="single" w:sz="4" w:space="0" w:color="auto"/>
              <w:right w:val="single" w:sz="12" w:space="0" w:color="auto"/>
            </w:tcBorders>
            <w:shd w:val="clear" w:color="auto" w:fill="auto"/>
            <w:noWrap/>
            <w:vAlign w:val="bottom"/>
            <w:hideMark/>
          </w:tcPr>
          <w:p w14:paraId="4AB2A00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139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1B2B4E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8" w:type="dxa"/>
            <w:tcBorders>
              <w:top w:val="nil"/>
              <w:left w:val="nil"/>
              <w:bottom w:val="single" w:sz="4" w:space="0" w:color="auto"/>
              <w:right w:val="single" w:sz="4" w:space="0" w:color="auto"/>
            </w:tcBorders>
            <w:shd w:val="clear" w:color="000000" w:fill="FFFFFF"/>
            <w:noWrap/>
            <w:vAlign w:val="bottom"/>
            <w:hideMark/>
          </w:tcPr>
          <w:p w14:paraId="7FD2621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4509452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FAF93E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1" w:type="dxa"/>
            <w:tcBorders>
              <w:top w:val="nil"/>
              <w:left w:val="nil"/>
              <w:bottom w:val="single" w:sz="4" w:space="0" w:color="auto"/>
              <w:right w:val="single" w:sz="4" w:space="0" w:color="auto"/>
            </w:tcBorders>
            <w:shd w:val="clear" w:color="000000" w:fill="FFFFFF"/>
            <w:noWrap/>
            <w:vAlign w:val="bottom"/>
            <w:hideMark/>
          </w:tcPr>
          <w:p w14:paraId="5DCA0CD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2B5B5A9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6AB00FF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7" w:type="dxa"/>
            <w:tcBorders>
              <w:top w:val="nil"/>
              <w:left w:val="nil"/>
              <w:bottom w:val="single" w:sz="4" w:space="0" w:color="auto"/>
              <w:right w:val="single" w:sz="4" w:space="0" w:color="auto"/>
            </w:tcBorders>
            <w:shd w:val="clear" w:color="000000" w:fill="FFFFFF"/>
            <w:noWrap/>
            <w:vAlign w:val="bottom"/>
            <w:hideMark/>
          </w:tcPr>
          <w:p w14:paraId="7F60D21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40689D0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85C623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6" w:type="dxa"/>
            <w:tcBorders>
              <w:top w:val="nil"/>
              <w:left w:val="nil"/>
              <w:bottom w:val="single" w:sz="4" w:space="0" w:color="auto"/>
              <w:right w:val="single" w:sz="4" w:space="0" w:color="auto"/>
            </w:tcBorders>
            <w:shd w:val="clear" w:color="000000" w:fill="FFFFFF"/>
            <w:noWrap/>
            <w:vAlign w:val="bottom"/>
            <w:hideMark/>
          </w:tcPr>
          <w:p w14:paraId="5B30C7E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797290C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B2A3A8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168</w:t>
            </w:r>
          </w:p>
        </w:tc>
        <w:tc>
          <w:tcPr>
            <w:tcW w:w="566" w:type="dxa"/>
            <w:tcBorders>
              <w:top w:val="nil"/>
              <w:left w:val="nil"/>
              <w:bottom w:val="single" w:sz="4" w:space="0" w:color="auto"/>
              <w:right w:val="single" w:sz="4" w:space="0" w:color="auto"/>
            </w:tcBorders>
            <w:shd w:val="clear" w:color="000000" w:fill="FFFFFF"/>
            <w:noWrap/>
            <w:vAlign w:val="bottom"/>
            <w:hideMark/>
          </w:tcPr>
          <w:p w14:paraId="5E133084"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2139270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168</w:t>
            </w:r>
          </w:p>
        </w:tc>
        <w:tc>
          <w:tcPr>
            <w:tcW w:w="579" w:type="dxa"/>
            <w:tcBorders>
              <w:top w:val="single" w:sz="4" w:space="0" w:color="auto"/>
              <w:left w:val="single" w:sz="12" w:space="0" w:color="auto"/>
              <w:bottom w:val="single" w:sz="4" w:space="0" w:color="auto"/>
              <w:right w:val="single" w:sz="4" w:space="0" w:color="auto"/>
            </w:tcBorders>
            <w:shd w:val="clear" w:color="000000" w:fill="FAB0B3"/>
            <w:noWrap/>
            <w:vAlign w:val="bottom"/>
            <w:hideMark/>
          </w:tcPr>
          <w:p w14:paraId="2899E5D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168</w:t>
            </w:r>
          </w:p>
        </w:tc>
        <w:tc>
          <w:tcPr>
            <w:tcW w:w="561" w:type="dxa"/>
            <w:tcBorders>
              <w:top w:val="single" w:sz="4" w:space="0" w:color="auto"/>
              <w:left w:val="single" w:sz="4" w:space="0" w:color="auto"/>
              <w:bottom w:val="single" w:sz="4" w:space="0" w:color="auto"/>
              <w:right w:val="single" w:sz="4" w:space="0" w:color="auto"/>
            </w:tcBorders>
            <w:shd w:val="clear" w:color="000000" w:fill="FAB3B5"/>
            <w:noWrap/>
            <w:vAlign w:val="bottom"/>
            <w:hideMark/>
          </w:tcPr>
          <w:p w14:paraId="33127352"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6</w:t>
            </w:r>
          </w:p>
        </w:tc>
        <w:tc>
          <w:tcPr>
            <w:tcW w:w="573" w:type="dxa"/>
            <w:tcBorders>
              <w:top w:val="single" w:sz="4" w:space="0" w:color="auto"/>
              <w:left w:val="single" w:sz="4" w:space="0" w:color="auto"/>
              <w:bottom w:val="single" w:sz="4" w:space="0" w:color="auto"/>
              <w:right w:val="single" w:sz="12" w:space="0" w:color="auto"/>
            </w:tcBorders>
            <w:shd w:val="clear" w:color="000000" w:fill="FAA5A7"/>
            <w:noWrap/>
            <w:vAlign w:val="bottom"/>
            <w:hideMark/>
          </w:tcPr>
          <w:p w14:paraId="65DED5F2"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161</w:t>
            </w:r>
          </w:p>
        </w:tc>
      </w:tr>
      <w:tr w:rsidR="00AD5348" w:rsidRPr="008B6BFC" w14:paraId="30128B56"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34487876"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Dětská 4698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B4220C8"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auto" w:fill="auto"/>
            <w:noWrap/>
            <w:vAlign w:val="bottom"/>
            <w:hideMark/>
          </w:tcPr>
          <w:p w14:paraId="12F0714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2D3745E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C80975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8" w:type="dxa"/>
            <w:tcBorders>
              <w:top w:val="nil"/>
              <w:left w:val="nil"/>
              <w:bottom w:val="single" w:sz="4" w:space="0" w:color="auto"/>
              <w:right w:val="single" w:sz="4" w:space="0" w:color="auto"/>
            </w:tcBorders>
            <w:shd w:val="clear" w:color="000000" w:fill="FFFFFF"/>
            <w:noWrap/>
            <w:vAlign w:val="bottom"/>
            <w:hideMark/>
          </w:tcPr>
          <w:p w14:paraId="2C3AACD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62056B7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4F90A1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1" w:type="dxa"/>
            <w:tcBorders>
              <w:top w:val="nil"/>
              <w:left w:val="nil"/>
              <w:bottom w:val="single" w:sz="4" w:space="0" w:color="auto"/>
              <w:right w:val="single" w:sz="4" w:space="0" w:color="auto"/>
            </w:tcBorders>
            <w:shd w:val="clear" w:color="000000" w:fill="FFFFFF"/>
            <w:noWrap/>
            <w:vAlign w:val="bottom"/>
            <w:hideMark/>
          </w:tcPr>
          <w:p w14:paraId="6104642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0083F40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6136918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7" w:type="dxa"/>
            <w:tcBorders>
              <w:top w:val="nil"/>
              <w:left w:val="nil"/>
              <w:bottom w:val="single" w:sz="4" w:space="0" w:color="auto"/>
              <w:right w:val="single" w:sz="4" w:space="0" w:color="auto"/>
            </w:tcBorders>
            <w:shd w:val="clear" w:color="000000" w:fill="FFFFFF"/>
            <w:noWrap/>
            <w:vAlign w:val="bottom"/>
            <w:hideMark/>
          </w:tcPr>
          <w:p w14:paraId="0579DD1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2F23494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7BF93D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000000" w:fill="FFFFFF"/>
            <w:noWrap/>
            <w:vAlign w:val="bottom"/>
            <w:hideMark/>
          </w:tcPr>
          <w:p w14:paraId="0B9797E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51AAD82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23401BA"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000000" w:fill="FFFFFF"/>
            <w:noWrap/>
            <w:vAlign w:val="bottom"/>
            <w:hideMark/>
          </w:tcPr>
          <w:p w14:paraId="40330C1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0162DDAB"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56</w:t>
            </w:r>
          </w:p>
        </w:tc>
        <w:tc>
          <w:tcPr>
            <w:tcW w:w="579" w:type="dxa"/>
            <w:tcBorders>
              <w:top w:val="single" w:sz="4" w:space="0" w:color="auto"/>
              <w:left w:val="single" w:sz="12" w:space="0" w:color="auto"/>
              <w:bottom w:val="single" w:sz="4" w:space="0" w:color="auto"/>
              <w:right w:val="single" w:sz="4" w:space="0" w:color="auto"/>
            </w:tcBorders>
            <w:shd w:val="clear" w:color="000000" w:fill="7FA4D3"/>
            <w:noWrap/>
            <w:vAlign w:val="bottom"/>
            <w:hideMark/>
          </w:tcPr>
          <w:p w14:paraId="48DE956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1E1677AC"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2</w:t>
            </w:r>
          </w:p>
        </w:tc>
        <w:tc>
          <w:tcPr>
            <w:tcW w:w="573" w:type="dxa"/>
            <w:tcBorders>
              <w:top w:val="single" w:sz="4" w:space="0" w:color="auto"/>
              <w:left w:val="single" w:sz="4" w:space="0" w:color="auto"/>
              <w:bottom w:val="single" w:sz="4" w:space="0" w:color="auto"/>
              <w:right w:val="single" w:sz="12" w:space="0" w:color="auto"/>
            </w:tcBorders>
            <w:shd w:val="clear" w:color="000000" w:fill="79A0D1"/>
            <w:noWrap/>
            <w:vAlign w:val="bottom"/>
            <w:hideMark/>
          </w:tcPr>
          <w:p w14:paraId="5EF9CBF6"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54</w:t>
            </w:r>
          </w:p>
        </w:tc>
      </w:tr>
      <w:tr w:rsidR="00AD5348" w:rsidRPr="008B6BFC" w14:paraId="51ACA82D"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52783C74"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Milíčova 867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9B422A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158</w:t>
            </w:r>
          </w:p>
        </w:tc>
        <w:tc>
          <w:tcPr>
            <w:tcW w:w="566" w:type="dxa"/>
            <w:tcBorders>
              <w:top w:val="nil"/>
              <w:left w:val="nil"/>
              <w:bottom w:val="single" w:sz="4" w:space="0" w:color="auto"/>
              <w:right w:val="single" w:sz="4" w:space="0" w:color="auto"/>
            </w:tcBorders>
            <w:shd w:val="clear" w:color="auto" w:fill="auto"/>
            <w:noWrap/>
            <w:vAlign w:val="bottom"/>
            <w:hideMark/>
          </w:tcPr>
          <w:p w14:paraId="3EA24BD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7343610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AEE03A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158</w:t>
            </w:r>
          </w:p>
        </w:tc>
        <w:tc>
          <w:tcPr>
            <w:tcW w:w="568" w:type="dxa"/>
            <w:tcBorders>
              <w:top w:val="nil"/>
              <w:left w:val="nil"/>
              <w:bottom w:val="single" w:sz="4" w:space="0" w:color="auto"/>
              <w:right w:val="single" w:sz="4" w:space="0" w:color="auto"/>
            </w:tcBorders>
            <w:shd w:val="clear" w:color="000000" w:fill="FFFFFF"/>
            <w:noWrap/>
            <w:vAlign w:val="bottom"/>
            <w:hideMark/>
          </w:tcPr>
          <w:p w14:paraId="18104EF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44B2B72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728D69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158</w:t>
            </w:r>
          </w:p>
        </w:tc>
        <w:tc>
          <w:tcPr>
            <w:tcW w:w="561" w:type="dxa"/>
            <w:tcBorders>
              <w:top w:val="nil"/>
              <w:left w:val="nil"/>
              <w:bottom w:val="single" w:sz="4" w:space="0" w:color="auto"/>
              <w:right w:val="single" w:sz="4" w:space="0" w:color="auto"/>
            </w:tcBorders>
            <w:shd w:val="clear" w:color="000000" w:fill="FFFFFF"/>
            <w:noWrap/>
            <w:vAlign w:val="bottom"/>
            <w:hideMark/>
          </w:tcPr>
          <w:p w14:paraId="14BE2C8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5EBE718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158</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4B1572D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158</w:t>
            </w:r>
          </w:p>
        </w:tc>
        <w:tc>
          <w:tcPr>
            <w:tcW w:w="567" w:type="dxa"/>
            <w:tcBorders>
              <w:top w:val="nil"/>
              <w:left w:val="nil"/>
              <w:bottom w:val="single" w:sz="4" w:space="0" w:color="auto"/>
              <w:right w:val="single" w:sz="4" w:space="0" w:color="auto"/>
            </w:tcBorders>
            <w:shd w:val="clear" w:color="000000" w:fill="FFFFFF"/>
            <w:noWrap/>
            <w:vAlign w:val="bottom"/>
            <w:hideMark/>
          </w:tcPr>
          <w:p w14:paraId="10E3DAE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1050C0B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153</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4FE9B5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158</w:t>
            </w:r>
          </w:p>
        </w:tc>
        <w:tc>
          <w:tcPr>
            <w:tcW w:w="566" w:type="dxa"/>
            <w:tcBorders>
              <w:top w:val="nil"/>
              <w:left w:val="nil"/>
              <w:bottom w:val="single" w:sz="4" w:space="0" w:color="auto"/>
              <w:right w:val="single" w:sz="4" w:space="0" w:color="auto"/>
            </w:tcBorders>
            <w:shd w:val="clear" w:color="000000" w:fill="FFFFFF"/>
            <w:noWrap/>
            <w:vAlign w:val="bottom"/>
            <w:hideMark/>
          </w:tcPr>
          <w:p w14:paraId="369AA83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6634C5C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1948E8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158</w:t>
            </w:r>
          </w:p>
        </w:tc>
        <w:tc>
          <w:tcPr>
            <w:tcW w:w="566" w:type="dxa"/>
            <w:tcBorders>
              <w:top w:val="nil"/>
              <w:left w:val="nil"/>
              <w:bottom w:val="single" w:sz="4" w:space="0" w:color="auto"/>
              <w:right w:val="single" w:sz="4" w:space="0" w:color="auto"/>
            </w:tcBorders>
            <w:shd w:val="clear" w:color="000000" w:fill="FFFFFF"/>
            <w:noWrap/>
            <w:vAlign w:val="bottom"/>
            <w:hideMark/>
          </w:tcPr>
          <w:p w14:paraId="0B2BC694"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296DDBD5"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158</w:t>
            </w:r>
          </w:p>
        </w:tc>
        <w:tc>
          <w:tcPr>
            <w:tcW w:w="579" w:type="dxa"/>
            <w:tcBorders>
              <w:top w:val="single" w:sz="4" w:space="0" w:color="auto"/>
              <w:left w:val="single" w:sz="12" w:space="0" w:color="auto"/>
              <w:bottom w:val="single" w:sz="4" w:space="0" w:color="auto"/>
              <w:right w:val="single" w:sz="4" w:space="0" w:color="auto"/>
            </w:tcBorders>
            <w:shd w:val="clear" w:color="000000" w:fill="FBBDC0"/>
            <w:noWrap/>
            <w:vAlign w:val="bottom"/>
            <w:hideMark/>
          </w:tcPr>
          <w:p w14:paraId="7697397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158</w:t>
            </w:r>
          </w:p>
        </w:tc>
        <w:tc>
          <w:tcPr>
            <w:tcW w:w="561" w:type="dxa"/>
            <w:tcBorders>
              <w:top w:val="single" w:sz="4" w:space="0" w:color="auto"/>
              <w:left w:val="single" w:sz="4" w:space="0" w:color="auto"/>
              <w:bottom w:val="single" w:sz="4" w:space="0" w:color="auto"/>
              <w:right w:val="single" w:sz="4" w:space="0" w:color="auto"/>
            </w:tcBorders>
            <w:shd w:val="clear" w:color="000000" w:fill="FAB3B5"/>
            <w:noWrap/>
            <w:vAlign w:val="bottom"/>
            <w:hideMark/>
          </w:tcPr>
          <w:p w14:paraId="22848830"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6</w:t>
            </w:r>
          </w:p>
        </w:tc>
        <w:tc>
          <w:tcPr>
            <w:tcW w:w="573" w:type="dxa"/>
            <w:tcBorders>
              <w:top w:val="single" w:sz="4" w:space="0" w:color="auto"/>
              <w:left w:val="single" w:sz="4" w:space="0" w:color="auto"/>
              <w:bottom w:val="single" w:sz="4" w:space="0" w:color="auto"/>
              <w:right w:val="single" w:sz="12" w:space="0" w:color="auto"/>
            </w:tcBorders>
            <w:shd w:val="clear" w:color="000000" w:fill="FAA9AC"/>
            <w:noWrap/>
            <w:vAlign w:val="bottom"/>
            <w:hideMark/>
          </w:tcPr>
          <w:p w14:paraId="516959F3"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158</w:t>
            </w:r>
          </w:p>
        </w:tc>
      </w:tr>
      <w:tr w:rsidR="00AD5348" w:rsidRPr="008B6BFC" w14:paraId="3B9AD864"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67BCAB93"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tř. Svobody 835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C0F0F74"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150</w:t>
            </w:r>
          </w:p>
        </w:tc>
        <w:tc>
          <w:tcPr>
            <w:tcW w:w="566" w:type="dxa"/>
            <w:tcBorders>
              <w:top w:val="nil"/>
              <w:left w:val="nil"/>
              <w:bottom w:val="single" w:sz="4" w:space="0" w:color="auto"/>
              <w:right w:val="single" w:sz="4" w:space="0" w:color="auto"/>
            </w:tcBorders>
            <w:shd w:val="clear" w:color="auto" w:fill="auto"/>
            <w:noWrap/>
            <w:vAlign w:val="bottom"/>
            <w:hideMark/>
          </w:tcPr>
          <w:p w14:paraId="78D0A1F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76E17B5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34645F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150</w:t>
            </w:r>
          </w:p>
        </w:tc>
        <w:tc>
          <w:tcPr>
            <w:tcW w:w="568" w:type="dxa"/>
            <w:tcBorders>
              <w:top w:val="nil"/>
              <w:left w:val="nil"/>
              <w:bottom w:val="single" w:sz="4" w:space="0" w:color="auto"/>
              <w:right w:val="single" w:sz="4" w:space="0" w:color="auto"/>
            </w:tcBorders>
            <w:shd w:val="clear" w:color="000000" w:fill="FFFFFF"/>
            <w:noWrap/>
            <w:vAlign w:val="bottom"/>
            <w:hideMark/>
          </w:tcPr>
          <w:p w14:paraId="79F73B4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1CAAA44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96D37B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129</w:t>
            </w:r>
          </w:p>
        </w:tc>
        <w:tc>
          <w:tcPr>
            <w:tcW w:w="561" w:type="dxa"/>
            <w:tcBorders>
              <w:top w:val="nil"/>
              <w:left w:val="nil"/>
              <w:bottom w:val="single" w:sz="4" w:space="0" w:color="auto"/>
              <w:right w:val="single" w:sz="4" w:space="0" w:color="auto"/>
            </w:tcBorders>
            <w:shd w:val="clear" w:color="000000" w:fill="FFFFFF"/>
            <w:noWrap/>
            <w:vAlign w:val="bottom"/>
            <w:hideMark/>
          </w:tcPr>
          <w:p w14:paraId="4DFE83D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38141F8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129</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770A4AC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129</w:t>
            </w:r>
          </w:p>
        </w:tc>
        <w:tc>
          <w:tcPr>
            <w:tcW w:w="567" w:type="dxa"/>
            <w:tcBorders>
              <w:top w:val="nil"/>
              <w:left w:val="nil"/>
              <w:bottom w:val="single" w:sz="4" w:space="0" w:color="auto"/>
              <w:right w:val="single" w:sz="4" w:space="0" w:color="auto"/>
            </w:tcBorders>
            <w:shd w:val="clear" w:color="000000" w:fill="FFFFFF"/>
            <w:noWrap/>
            <w:vAlign w:val="bottom"/>
            <w:hideMark/>
          </w:tcPr>
          <w:p w14:paraId="60E3416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0951048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4278F6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129</w:t>
            </w:r>
          </w:p>
        </w:tc>
        <w:tc>
          <w:tcPr>
            <w:tcW w:w="566" w:type="dxa"/>
            <w:tcBorders>
              <w:top w:val="nil"/>
              <w:left w:val="nil"/>
              <w:bottom w:val="single" w:sz="4" w:space="0" w:color="auto"/>
              <w:right w:val="single" w:sz="4" w:space="0" w:color="auto"/>
            </w:tcBorders>
            <w:shd w:val="clear" w:color="000000" w:fill="FFFFFF"/>
            <w:noWrap/>
            <w:vAlign w:val="bottom"/>
            <w:hideMark/>
          </w:tcPr>
          <w:p w14:paraId="7CB52C8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w:t>
            </w:r>
          </w:p>
        </w:tc>
        <w:tc>
          <w:tcPr>
            <w:tcW w:w="567" w:type="dxa"/>
            <w:tcBorders>
              <w:top w:val="nil"/>
              <w:left w:val="nil"/>
              <w:bottom w:val="single" w:sz="4" w:space="0" w:color="auto"/>
              <w:right w:val="single" w:sz="12" w:space="0" w:color="auto"/>
            </w:tcBorders>
            <w:shd w:val="clear" w:color="auto" w:fill="auto"/>
            <w:noWrap/>
            <w:vAlign w:val="bottom"/>
            <w:hideMark/>
          </w:tcPr>
          <w:p w14:paraId="4D79DCC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124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718B9A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129</w:t>
            </w:r>
          </w:p>
        </w:tc>
        <w:tc>
          <w:tcPr>
            <w:tcW w:w="566" w:type="dxa"/>
            <w:tcBorders>
              <w:top w:val="nil"/>
              <w:left w:val="nil"/>
              <w:bottom w:val="single" w:sz="4" w:space="0" w:color="auto"/>
              <w:right w:val="single" w:sz="4" w:space="0" w:color="auto"/>
            </w:tcBorders>
            <w:shd w:val="clear" w:color="000000" w:fill="FFFFFF"/>
            <w:noWrap/>
            <w:vAlign w:val="bottom"/>
            <w:hideMark/>
          </w:tcPr>
          <w:p w14:paraId="6A972E4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w:t>
            </w:r>
          </w:p>
        </w:tc>
        <w:tc>
          <w:tcPr>
            <w:tcW w:w="561" w:type="dxa"/>
            <w:tcBorders>
              <w:top w:val="nil"/>
              <w:left w:val="nil"/>
              <w:bottom w:val="single" w:sz="4" w:space="0" w:color="auto"/>
              <w:right w:val="single" w:sz="12" w:space="0" w:color="auto"/>
            </w:tcBorders>
            <w:shd w:val="clear" w:color="auto" w:fill="auto"/>
            <w:noWrap/>
            <w:vAlign w:val="bottom"/>
            <w:hideMark/>
          </w:tcPr>
          <w:p w14:paraId="44D8631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116</w:t>
            </w:r>
          </w:p>
        </w:tc>
        <w:tc>
          <w:tcPr>
            <w:tcW w:w="579" w:type="dxa"/>
            <w:tcBorders>
              <w:top w:val="single" w:sz="4" w:space="0" w:color="auto"/>
              <w:left w:val="single" w:sz="12" w:space="0" w:color="auto"/>
              <w:bottom w:val="single" w:sz="4" w:space="0" w:color="auto"/>
              <w:right w:val="single" w:sz="4" w:space="0" w:color="auto"/>
            </w:tcBorders>
            <w:shd w:val="clear" w:color="000000" w:fill="FCE4E6"/>
            <w:noWrap/>
            <w:vAlign w:val="bottom"/>
            <w:hideMark/>
          </w:tcPr>
          <w:p w14:paraId="3C5E53C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129</w:t>
            </w:r>
          </w:p>
        </w:tc>
        <w:tc>
          <w:tcPr>
            <w:tcW w:w="561" w:type="dxa"/>
            <w:tcBorders>
              <w:top w:val="single" w:sz="4" w:space="0" w:color="auto"/>
              <w:left w:val="single" w:sz="4" w:space="0" w:color="auto"/>
              <w:bottom w:val="single" w:sz="4" w:space="0" w:color="auto"/>
              <w:right w:val="single" w:sz="4" w:space="0" w:color="auto"/>
            </w:tcBorders>
            <w:shd w:val="clear" w:color="000000" w:fill="FAB3B5"/>
            <w:noWrap/>
            <w:vAlign w:val="bottom"/>
            <w:hideMark/>
          </w:tcPr>
          <w:p w14:paraId="09BFEA42"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6</w:t>
            </w:r>
          </w:p>
        </w:tc>
        <w:tc>
          <w:tcPr>
            <w:tcW w:w="573" w:type="dxa"/>
            <w:tcBorders>
              <w:top w:val="single" w:sz="4" w:space="0" w:color="auto"/>
              <w:left w:val="single" w:sz="4" w:space="0" w:color="auto"/>
              <w:bottom w:val="single" w:sz="4" w:space="0" w:color="auto"/>
              <w:right w:val="single" w:sz="12" w:space="0" w:color="auto"/>
            </w:tcBorders>
            <w:shd w:val="clear" w:color="000000" w:fill="FCE3E6"/>
            <w:noWrap/>
            <w:vAlign w:val="bottom"/>
            <w:hideMark/>
          </w:tcPr>
          <w:p w14:paraId="228AA2F8"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120</w:t>
            </w:r>
          </w:p>
        </w:tc>
      </w:tr>
      <w:tr w:rsidR="00AD5348" w:rsidRPr="008B6BFC" w14:paraId="6A61CAD4"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3E6C3511"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U Dřevnice 206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83CA49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222</w:t>
            </w:r>
          </w:p>
        </w:tc>
        <w:tc>
          <w:tcPr>
            <w:tcW w:w="566" w:type="dxa"/>
            <w:tcBorders>
              <w:top w:val="nil"/>
              <w:left w:val="nil"/>
              <w:bottom w:val="single" w:sz="4" w:space="0" w:color="auto"/>
              <w:right w:val="single" w:sz="4" w:space="0" w:color="auto"/>
            </w:tcBorders>
            <w:shd w:val="clear" w:color="auto" w:fill="auto"/>
            <w:noWrap/>
            <w:vAlign w:val="bottom"/>
            <w:hideMark/>
          </w:tcPr>
          <w:p w14:paraId="29841A4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7</w:t>
            </w:r>
          </w:p>
        </w:tc>
        <w:tc>
          <w:tcPr>
            <w:tcW w:w="567" w:type="dxa"/>
            <w:tcBorders>
              <w:top w:val="nil"/>
              <w:left w:val="nil"/>
              <w:bottom w:val="single" w:sz="4" w:space="0" w:color="auto"/>
              <w:right w:val="single" w:sz="12" w:space="0" w:color="auto"/>
            </w:tcBorders>
            <w:shd w:val="clear" w:color="auto" w:fill="auto"/>
            <w:noWrap/>
            <w:vAlign w:val="bottom"/>
            <w:hideMark/>
          </w:tcPr>
          <w:p w14:paraId="4BF0668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168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099983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222</w:t>
            </w:r>
          </w:p>
        </w:tc>
        <w:tc>
          <w:tcPr>
            <w:tcW w:w="568" w:type="dxa"/>
            <w:tcBorders>
              <w:top w:val="nil"/>
              <w:left w:val="nil"/>
              <w:bottom w:val="single" w:sz="4" w:space="0" w:color="auto"/>
              <w:right w:val="single" w:sz="4" w:space="0" w:color="auto"/>
            </w:tcBorders>
            <w:shd w:val="clear" w:color="000000" w:fill="FFFFFF"/>
            <w:noWrap/>
            <w:vAlign w:val="bottom"/>
            <w:hideMark/>
          </w:tcPr>
          <w:p w14:paraId="7F70592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w:t>
            </w:r>
          </w:p>
        </w:tc>
        <w:tc>
          <w:tcPr>
            <w:tcW w:w="567" w:type="dxa"/>
            <w:tcBorders>
              <w:top w:val="nil"/>
              <w:left w:val="nil"/>
              <w:bottom w:val="single" w:sz="4" w:space="0" w:color="auto"/>
              <w:right w:val="single" w:sz="12" w:space="0" w:color="auto"/>
            </w:tcBorders>
            <w:shd w:val="clear" w:color="auto" w:fill="auto"/>
            <w:noWrap/>
            <w:vAlign w:val="bottom"/>
            <w:hideMark/>
          </w:tcPr>
          <w:p w14:paraId="141926B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214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3EE92D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222</w:t>
            </w:r>
          </w:p>
        </w:tc>
        <w:tc>
          <w:tcPr>
            <w:tcW w:w="561" w:type="dxa"/>
            <w:tcBorders>
              <w:top w:val="nil"/>
              <w:left w:val="nil"/>
              <w:bottom w:val="single" w:sz="4" w:space="0" w:color="auto"/>
              <w:right w:val="single" w:sz="4" w:space="0" w:color="auto"/>
            </w:tcBorders>
            <w:shd w:val="clear" w:color="000000" w:fill="FFFFFF"/>
            <w:noWrap/>
            <w:vAlign w:val="bottom"/>
            <w:hideMark/>
          </w:tcPr>
          <w:p w14:paraId="12843EF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w:t>
            </w:r>
          </w:p>
        </w:tc>
        <w:tc>
          <w:tcPr>
            <w:tcW w:w="561" w:type="dxa"/>
            <w:tcBorders>
              <w:top w:val="nil"/>
              <w:left w:val="nil"/>
              <w:bottom w:val="single" w:sz="4" w:space="0" w:color="auto"/>
              <w:right w:val="single" w:sz="12" w:space="0" w:color="auto"/>
            </w:tcBorders>
            <w:shd w:val="clear" w:color="auto" w:fill="auto"/>
            <w:noWrap/>
            <w:vAlign w:val="bottom"/>
            <w:hideMark/>
          </w:tcPr>
          <w:p w14:paraId="766F483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200</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263152D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222</w:t>
            </w:r>
          </w:p>
        </w:tc>
        <w:tc>
          <w:tcPr>
            <w:tcW w:w="567" w:type="dxa"/>
            <w:tcBorders>
              <w:top w:val="nil"/>
              <w:left w:val="nil"/>
              <w:bottom w:val="single" w:sz="4" w:space="0" w:color="auto"/>
              <w:right w:val="single" w:sz="4" w:space="0" w:color="auto"/>
            </w:tcBorders>
            <w:shd w:val="clear" w:color="000000" w:fill="FFFFFF"/>
            <w:noWrap/>
            <w:vAlign w:val="bottom"/>
            <w:hideMark/>
          </w:tcPr>
          <w:p w14:paraId="4D43260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w:t>
            </w:r>
          </w:p>
        </w:tc>
        <w:tc>
          <w:tcPr>
            <w:tcW w:w="567" w:type="dxa"/>
            <w:tcBorders>
              <w:top w:val="nil"/>
              <w:left w:val="nil"/>
              <w:bottom w:val="single" w:sz="4" w:space="0" w:color="auto"/>
              <w:right w:val="single" w:sz="12" w:space="0" w:color="auto"/>
            </w:tcBorders>
            <w:shd w:val="clear" w:color="auto" w:fill="auto"/>
            <w:noWrap/>
            <w:vAlign w:val="bottom"/>
            <w:hideMark/>
          </w:tcPr>
          <w:p w14:paraId="24165E9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200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937995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222</w:t>
            </w:r>
          </w:p>
        </w:tc>
        <w:tc>
          <w:tcPr>
            <w:tcW w:w="566" w:type="dxa"/>
            <w:tcBorders>
              <w:top w:val="nil"/>
              <w:left w:val="nil"/>
              <w:bottom w:val="single" w:sz="4" w:space="0" w:color="auto"/>
              <w:right w:val="single" w:sz="4" w:space="0" w:color="auto"/>
            </w:tcBorders>
            <w:shd w:val="clear" w:color="000000" w:fill="FFFFFF"/>
            <w:noWrap/>
            <w:vAlign w:val="bottom"/>
            <w:hideMark/>
          </w:tcPr>
          <w:p w14:paraId="3502EB0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w:t>
            </w:r>
          </w:p>
        </w:tc>
        <w:tc>
          <w:tcPr>
            <w:tcW w:w="567" w:type="dxa"/>
            <w:tcBorders>
              <w:top w:val="nil"/>
              <w:left w:val="nil"/>
              <w:bottom w:val="single" w:sz="4" w:space="0" w:color="auto"/>
              <w:right w:val="single" w:sz="12" w:space="0" w:color="auto"/>
            </w:tcBorders>
            <w:shd w:val="clear" w:color="auto" w:fill="auto"/>
            <w:noWrap/>
            <w:vAlign w:val="bottom"/>
            <w:hideMark/>
          </w:tcPr>
          <w:p w14:paraId="4BFE995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197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14DBB36"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222</w:t>
            </w:r>
          </w:p>
        </w:tc>
        <w:tc>
          <w:tcPr>
            <w:tcW w:w="566" w:type="dxa"/>
            <w:tcBorders>
              <w:top w:val="nil"/>
              <w:left w:val="nil"/>
              <w:bottom w:val="single" w:sz="4" w:space="0" w:color="auto"/>
              <w:right w:val="single" w:sz="4" w:space="0" w:color="auto"/>
            </w:tcBorders>
            <w:shd w:val="clear" w:color="000000" w:fill="FFFFFF"/>
            <w:noWrap/>
            <w:vAlign w:val="bottom"/>
            <w:hideMark/>
          </w:tcPr>
          <w:p w14:paraId="1E13ABDC"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8</w:t>
            </w:r>
          </w:p>
        </w:tc>
        <w:tc>
          <w:tcPr>
            <w:tcW w:w="561" w:type="dxa"/>
            <w:tcBorders>
              <w:top w:val="nil"/>
              <w:left w:val="nil"/>
              <w:bottom w:val="single" w:sz="4" w:space="0" w:color="auto"/>
              <w:right w:val="single" w:sz="12" w:space="0" w:color="auto"/>
            </w:tcBorders>
            <w:shd w:val="clear" w:color="auto" w:fill="auto"/>
            <w:noWrap/>
            <w:vAlign w:val="bottom"/>
            <w:hideMark/>
          </w:tcPr>
          <w:p w14:paraId="73B4D4F6"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200</w:t>
            </w:r>
          </w:p>
        </w:tc>
        <w:tc>
          <w:tcPr>
            <w:tcW w:w="579" w:type="dxa"/>
            <w:tcBorders>
              <w:top w:val="single" w:sz="4" w:space="0" w:color="auto"/>
              <w:left w:val="single" w:sz="12" w:space="0" w:color="auto"/>
              <w:bottom w:val="single" w:sz="4" w:space="0" w:color="auto"/>
              <w:right w:val="single" w:sz="4" w:space="0" w:color="auto"/>
            </w:tcBorders>
            <w:shd w:val="clear" w:color="000000" w:fill="F8696B"/>
            <w:noWrap/>
            <w:vAlign w:val="bottom"/>
            <w:hideMark/>
          </w:tcPr>
          <w:p w14:paraId="7B5AD5FD"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222</w:t>
            </w:r>
          </w:p>
        </w:tc>
        <w:tc>
          <w:tcPr>
            <w:tcW w:w="56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6D053CD"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8</w:t>
            </w:r>
          </w:p>
        </w:tc>
        <w:tc>
          <w:tcPr>
            <w:tcW w:w="573" w:type="dxa"/>
            <w:tcBorders>
              <w:top w:val="single" w:sz="4" w:space="0" w:color="auto"/>
              <w:left w:val="single" w:sz="4" w:space="0" w:color="auto"/>
              <w:bottom w:val="single" w:sz="4" w:space="0" w:color="auto"/>
              <w:right w:val="single" w:sz="12" w:space="0" w:color="auto"/>
            </w:tcBorders>
            <w:shd w:val="clear" w:color="000000" w:fill="F8696B"/>
            <w:noWrap/>
            <w:vAlign w:val="bottom"/>
            <w:hideMark/>
          </w:tcPr>
          <w:p w14:paraId="612BDA47"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200</w:t>
            </w:r>
          </w:p>
        </w:tc>
      </w:tr>
      <w:tr w:rsidR="00AD5348" w:rsidRPr="008B6BFC" w14:paraId="54335921"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44AF1C94"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Návesní 64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CE8336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50</w:t>
            </w:r>
          </w:p>
        </w:tc>
        <w:tc>
          <w:tcPr>
            <w:tcW w:w="566" w:type="dxa"/>
            <w:tcBorders>
              <w:top w:val="nil"/>
              <w:left w:val="nil"/>
              <w:bottom w:val="single" w:sz="4" w:space="0" w:color="auto"/>
              <w:right w:val="single" w:sz="4" w:space="0" w:color="auto"/>
            </w:tcBorders>
            <w:shd w:val="clear" w:color="auto" w:fill="auto"/>
            <w:noWrap/>
            <w:vAlign w:val="bottom"/>
            <w:hideMark/>
          </w:tcPr>
          <w:p w14:paraId="4307F35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231042E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1E3650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8" w:type="dxa"/>
            <w:tcBorders>
              <w:top w:val="nil"/>
              <w:left w:val="nil"/>
              <w:bottom w:val="single" w:sz="4" w:space="0" w:color="auto"/>
              <w:right w:val="single" w:sz="4" w:space="0" w:color="auto"/>
            </w:tcBorders>
            <w:shd w:val="clear" w:color="000000" w:fill="FFFFFF"/>
            <w:noWrap/>
            <w:vAlign w:val="bottom"/>
            <w:hideMark/>
          </w:tcPr>
          <w:p w14:paraId="4BA7472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6B60C6C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AB6C1E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1" w:type="dxa"/>
            <w:tcBorders>
              <w:top w:val="nil"/>
              <w:left w:val="nil"/>
              <w:bottom w:val="single" w:sz="4" w:space="0" w:color="auto"/>
              <w:right w:val="single" w:sz="4" w:space="0" w:color="auto"/>
            </w:tcBorders>
            <w:shd w:val="clear" w:color="000000" w:fill="FFFFFF"/>
            <w:noWrap/>
            <w:vAlign w:val="bottom"/>
            <w:hideMark/>
          </w:tcPr>
          <w:p w14:paraId="503A378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64700F5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3A08DD9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7" w:type="dxa"/>
            <w:tcBorders>
              <w:top w:val="nil"/>
              <w:left w:val="nil"/>
              <w:bottom w:val="single" w:sz="4" w:space="0" w:color="auto"/>
              <w:right w:val="single" w:sz="4" w:space="0" w:color="auto"/>
            </w:tcBorders>
            <w:shd w:val="clear" w:color="000000" w:fill="FFFFFF"/>
            <w:noWrap/>
            <w:vAlign w:val="bottom"/>
            <w:hideMark/>
          </w:tcPr>
          <w:p w14:paraId="012995B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336064B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405A4C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6" w:type="dxa"/>
            <w:tcBorders>
              <w:top w:val="nil"/>
              <w:left w:val="nil"/>
              <w:bottom w:val="single" w:sz="4" w:space="0" w:color="auto"/>
              <w:right w:val="single" w:sz="4" w:space="0" w:color="auto"/>
            </w:tcBorders>
            <w:shd w:val="clear" w:color="000000" w:fill="FFFFFF"/>
            <w:noWrap/>
            <w:vAlign w:val="bottom"/>
            <w:hideMark/>
          </w:tcPr>
          <w:p w14:paraId="378ECD1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7C5E609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BACDE7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50</w:t>
            </w:r>
          </w:p>
        </w:tc>
        <w:tc>
          <w:tcPr>
            <w:tcW w:w="566" w:type="dxa"/>
            <w:tcBorders>
              <w:top w:val="nil"/>
              <w:left w:val="nil"/>
              <w:bottom w:val="single" w:sz="4" w:space="0" w:color="auto"/>
              <w:right w:val="single" w:sz="4" w:space="0" w:color="auto"/>
            </w:tcBorders>
            <w:shd w:val="clear" w:color="000000" w:fill="FFFFFF"/>
            <w:noWrap/>
            <w:vAlign w:val="bottom"/>
            <w:hideMark/>
          </w:tcPr>
          <w:p w14:paraId="41E06D0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59C2820C"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50</w:t>
            </w:r>
          </w:p>
        </w:tc>
        <w:tc>
          <w:tcPr>
            <w:tcW w:w="579" w:type="dxa"/>
            <w:tcBorders>
              <w:top w:val="single" w:sz="4" w:space="0" w:color="auto"/>
              <w:left w:val="single" w:sz="12" w:space="0" w:color="auto"/>
              <w:bottom w:val="single" w:sz="4" w:space="0" w:color="auto"/>
              <w:right w:val="single" w:sz="4" w:space="0" w:color="auto"/>
            </w:tcBorders>
            <w:shd w:val="clear" w:color="000000" w:fill="6692CA"/>
            <w:noWrap/>
            <w:vAlign w:val="bottom"/>
            <w:hideMark/>
          </w:tcPr>
          <w:p w14:paraId="1603F98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50</w:t>
            </w:r>
          </w:p>
        </w:tc>
        <w:tc>
          <w:tcPr>
            <w:tcW w:w="56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31886A7D"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2</w:t>
            </w:r>
          </w:p>
        </w:tc>
        <w:tc>
          <w:tcPr>
            <w:tcW w:w="573" w:type="dxa"/>
            <w:tcBorders>
              <w:top w:val="single" w:sz="4" w:space="0" w:color="auto"/>
              <w:left w:val="single" w:sz="4" w:space="0" w:color="auto"/>
              <w:bottom w:val="single" w:sz="4" w:space="0" w:color="auto"/>
              <w:right w:val="single" w:sz="12" w:space="0" w:color="auto"/>
            </w:tcBorders>
            <w:shd w:val="clear" w:color="000000" w:fill="6F98CD"/>
            <w:noWrap/>
            <w:vAlign w:val="bottom"/>
            <w:hideMark/>
          </w:tcPr>
          <w:p w14:paraId="596A0AF6"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50</w:t>
            </w:r>
          </w:p>
        </w:tc>
      </w:tr>
      <w:tr w:rsidR="00AD5348" w:rsidRPr="008B6BFC" w14:paraId="2A7C3EA7"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50EF380E"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Na Vrchovici 21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4464E9A"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45</w:t>
            </w:r>
          </w:p>
        </w:tc>
        <w:tc>
          <w:tcPr>
            <w:tcW w:w="566" w:type="dxa"/>
            <w:tcBorders>
              <w:top w:val="nil"/>
              <w:left w:val="nil"/>
              <w:bottom w:val="single" w:sz="4" w:space="0" w:color="auto"/>
              <w:right w:val="single" w:sz="4" w:space="0" w:color="auto"/>
            </w:tcBorders>
            <w:shd w:val="clear" w:color="auto" w:fill="auto"/>
            <w:noWrap/>
            <w:vAlign w:val="bottom"/>
            <w:hideMark/>
          </w:tcPr>
          <w:p w14:paraId="1842116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39A39E9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508342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568" w:type="dxa"/>
            <w:tcBorders>
              <w:top w:val="nil"/>
              <w:left w:val="nil"/>
              <w:bottom w:val="single" w:sz="4" w:space="0" w:color="auto"/>
              <w:right w:val="single" w:sz="4" w:space="0" w:color="auto"/>
            </w:tcBorders>
            <w:shd w:val="clear" w:color="000000" w:fill="FFFFFF"/>
            <w:noWrap/>
            <w:vAlign w:val="bottom"/>
            <w:hideMark/>
          </w:tcPr>
          <w:p w14:paraId="36C60E4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671E2CD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BAAB0F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561" w:type="dxa"/>
            <w:tcBorders>
              <w:top w:val="nil"/>
              <w:left w:val="nil"/>
              <w:bottom w:val="single" w:sz="4" w:space="0" w:color="auto"/>
              <w:right w:val="single" w:sz="4" w:space="0" w:color="auto"/>
            </w:tcBorders>
            <w:shd w:val="clear" w:color="000000" w:fill="FFFFFF"/>
            <w:noWrap/>
            <w:vAlign w:val="bottom"/>
            <w:hideMark/>
          </w:tcPr>
          <w:p w14:paraId="2E538F1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56A4D79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0CEEC5B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567" w:type="dxa"/>
            <w:tcBorders>
              <w:top w:val="nil"/>
              <w:left w:val="nil"/>
              <w:bottom w:val="single" w:sz="4" w:space="0" w:color="auto"/>
              <w:right w:val="single" w:sz="4" w:space="0" w:color="auto"/>
            </w:tcBorders>
            <w:shd w:val="clear" w:color="000000" w:fill="FFFFFF"/>
            <w:noWrap/>
            <w:vAlign w:val="bottom"/>
            <w:hideMark/>
          </w:tcPr>
          <w:p w14:paraId="3F23065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3DB73F2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9FE853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566" w:type="dxa"/>
            <w:tcBorders>
              <w:top w:val="nil"/>
              <w:left w:val="nil"/>
              <w:bottom w:val="single" w:sz="4" w:space="0" w:color="auto"/>
              <w:right w:val="single" w:sz="4" w:space="0" w:color="auto"/>
            </w:tcBorders>
            <w:shd w:val="clear" w:color="000000" w:fill="FFFFFF"/>
            <w:noWrap/>
            <w:vAlign w:val="bottom"/>
            <w:hideMark/>
          </w:tcPr>
          <w:p w14:paraId="7448BAA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252EBE8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D4F9A0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45</w:t>
            </w:r>
          </w:p>
        </w:tc>
        <w:tc>
          <w:tcPr>
            <w:tcW w:w="566" w:type="dxa"/>
            <w:tcBorders>
              <w:top w:val="nil"/>
              <w:left w:val="nil"/>
              <w:bottom w:val="single" w:sz="4" w:space="0" w:color="auto"/>
              <w:right w:val="single" w:sz="4" w:space="0" w:color="auto"/>
            </w:tcBorders>
            <w:shd w:val="clear" w:color="000000" w:fill="FFFFFF"/>
            <w:noWrap/>
            <w:vAlign w:val="bottom"/>
            <w:hideMark/>
          </w:tcPr>
          <w:p w14:paraId="41D40037"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7D190E6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42</w:t>
            </w:r>
          </w:p>
        </w:tc>
        <w:tc>
          <w:tcPr>
            <w:tcW w:w="579" w:type="dxa"/>
            <w:tcBorders>
              <w:top w:val="single" w:sz="4" w:space="0" w:color="auto"/>
              <w:left w:val="single" w:sz="12" w:space="0" w:color="auto"/>
              <w:bottom w:val="single" w:sz="4" w:space="0" w:color="auto"/>
              <w:right w:val="single" w:sz="4" w:space="0" w:color="auto"/>
            </w:tcBorders>
            <w:shd w:val="clear" w:color="000000" w:fill="5A8AC6"/>
            <w:noWrap/>
            <w:vAlign w:val="bottom"/>
            <w:hideMark/>
          </w:tcPr>
          <w:p w14:paraId="4549754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45</w:t>
            </w:r>
          </w:p>
        </w:tc>
        <w:tc>
          <w:tcPr>
            <w:tcW w:w="56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2E242C89"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2</w:t>
            </w:r>
          </w:p>
        </w:tc>
        <w:tc>
          <w:tcPr>
            <w:tcW w:w="573" w:type="dxa"/>
            <w:tcBorders>
              <w:top w:val="single" w:sz="4" w:space="0" w:color="auto"/>
              <w:left w:val="single" w:sz="4" w:space="0" w:color="auto"/>
              <w:bottom w:val="single" w:sz="4" w:space="0" w:color="auto"/>
              <w:right w:val="single" w:sz="12" w:space="0" w:color="auto"/>
            </w:tcBorders>
            <w:shd w:val="clear" w:color="000000" w:fill="5A8AC6"/>
            <w:noWrap/>
            <w:vAlign w:val="bottom"/>
            <w:hideMark/>
          </w:tcPr>
          <w:p w14:paraId="3CCD4927"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42</w:t>
            </w:r>
          </w:p>
        </w:tc>
      </w:tr>
      <w:tr w:rsidR="00AD5348" w:rsidRPr="008B6BFC" w14:paraId="3EFF589B"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7B7C4C34"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Lázeňská 412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A84684A"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auto" w:fill="auto"/>
            <w:noWrap/>
            <w:vAlign w:val="bottom"/>
            <w:hideMark/>
          </w:tcPr>
          <w:p w14:paraId="74A1D36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7F37B4D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7216C5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8" w:type="dxa"/>
            <w:tcBorders>
              <w:top w:val="nil"/>
              <w:left w:val="nil"/>
              <w:bottom w:val="single" w:sz="4" w:space="0" w:color="auto"/>
              <w:right w:val="single" w:sz="4" w:space="0" w:color="auto"/>
            </w:tcBorders>
            <w:shd w:val="clear" w:color="000000" w:fill="FFFFFF"/>
            <w:noWrap/>
            <w:vAlign w:val="bottom"/>
            <w:hideMark/>
          </w:tcPr>
          <w:p w14:paraId="7846A73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4989BFB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48DE96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1" w:type="dxa"/>
            <w:tcBorders>
              <w:top w:val="nil"/>
              <w:left w:val="nil"/>
              <w:bottom w:val="single" w:sz="4" w:space="0" w:color="auto"/>
              <w:right w:val="single" w:sz="4" w:space="0" w:color="auto"/>
            </w:tcBorders>
            <w:shd w:val="clear" w:color="000000" w:fill="FFFFFF"/>
            <w:noWrap/>
            <w:vAlign w:val="bottom"/>
            <w:hideMark/>
          </w:tcPr>
          <w:p w14:paraId="134057F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267C152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56</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0144FC6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7" w:type="dxa"/>
            <w:tcBorders>
              <w:top w:val="nil"/>
              <w:left w:val="nil"/>
              <w:bottom w:val="single" w:sz="4" w:space="0" w:color="auto"/>
              <w:right w:val="single" w:sz="4" w:space="0" w:color="auto"/>
            </w:tcBorders>
            <w:shd w:val="clear" w:color="000000" w:fill="FFFFFF"/>
            <w:noWrap/>
            <w:vAlign w:val="bottom"/>
            <w:hideMark/>
          </w:tcPr>
          <w:p w14:paraId="4E9480F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32256E3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102D08E"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000000" w:fill="FFFFFF"/>
            <w:noWrap/>
            <w:vAlign w:val="bottom"/>
            <w:hideMark/>
          </w:tcPr>
          <w:p w14:paraId="4407D2D8"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2</w:t>
            </w:r>
          </w:p>
        </w:tc>
        <w:tc>
          <w:tcPr>
            <w:tcW w:w="567" w:type="dxa"/>
            <w:tcBorders>
              <w:top w:val="nil"/>
              <w:left w:val="nil"/>
              <w:bottom w:val="single" w:sz="4" w:space="0" w:color="auto"/>
              <w:right w:val="single" w:sz="12" w:space="0" w:color="auto"/>
            </w:tcBorders>
            <w:shd w:val="clear" w:color="auto" w:fill="auto"/>
            <w:noWrap/>
            <w:vAlign w:val="bottom"/>
            <w:hideMark/>
          </w:tcPr>
          <w:p w14:paraId="7B307A9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54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DDBCFB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6" w:type="dxa"/>
            <w:tcBorders>
              <w:top w:val="nil"/>
              <w:left w:val="nil"/>
              <w:bottom w:val="single" w:sz="4" w:space="0" w:color="auto"/>
              <w:right w:val="single" w:sz="4" w:space="0" w:color="auto"/>
            </w:tcBorders>
            <w:shd w:val="clear" w:color="000000" w:fill="FFFFFF"/>
            <w:noWrap/>
            <w:vAlign w:val="bottom"/>
            <w:hideMark/>
          </w:tcPr>
          <w:p w14:paraId="44BB953D"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2</w:t>
            </w:r>
          </w:p>
        </w:tc>
        <w:tc>
          <w:tcPr>
            <w:tcW w:w="561" w:type="dxa"/>
            <w:tcBorders>
              <w:top w:val="nil"/>
              <w:left w:val="nil"/>
              <w:bottom w:val="single" w:sz="4" w:space="0" w:color="auto"/>
              <w:right w:val="single" w:sz="12" w:space="0" w:color="auto"/>
            </w:tcBorders>
            <w:shd w:val="clear" w:color="auto" w:fill="auto"/>
            <w:noWrap/>
            <w:vAlign w:val="bottom"/>
            <w:hideMark/>
          </w:tcPr>
          <w:p w14:paraId="6B591A20"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56</w:t>
            </w:r>
          </w:p>
        </w:tc>
        <w:tc>
          <w:tcPr>
            <w:tcW w:w="579" w:type="dxa"/>
            <w:tcBorders>
              <w:top w:val="single" w:sz="4" w:space="0" w:color="auto"/>
              <w:left w:val="single" w:sz="12" w:space="0" w:color="auto"/>
              <w:bottom w:val="single" w:sz="4" w:space="0" w:color="auto"/>
              <w:right w:val="single" w:sz="4" w:space="0" w:color="auto"/>
            </w:tcBorders>
            <w:shd w:val="clear" w:color="000000" w:fill="7FA4D3"/>
            <w:noWrap/>
            <w:vAlign w:val="bottom"/>
            <w:hideMark/>
          </w:tcPr>
          <w:p w14:paraId="544C3D14"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60</w:t>
            </w:r>
          </w:p>
        </w:tc>
        <w:tc>
          <w:tcPr>
            <w:tcW w:w="56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0BD0010F"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2</w:t>
            </w:r>
          </w:p>
        </w:tc>
        <w:tc>
          <w:tcPr>
            <w:tcW w:w="573" w:type="dxa"/>
            <w:tcBorders>
              <w:top w:val="single" w:sz="4" w:space="0" w:color="auto"/>
              <w:left w:val="single" w:sz="4" w:space="0" w:color="auto"/>
              <w:bottom w:val="single" w:sz="4" w:space="0" w:color="auto"/>
              <w:right w:val="single" w:sz="12" w:space="0" w:color="auto"/>
            </w:tcBorders>
            <w:shd w:val="clear" w:color="000000" w:fill="7EA3D2"/>
            <w:noWrap/>
            <w:vAlign w:val="bottom"/>
            <w:hideMark/>
          </w:tcPr>
          <w:p w14:paraId="45C5594A"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56</w:t>
            </w:r>
          </w:p>
        </w:tc>
      </w:tr>
      <w:tr w:rsidR="00AD5348" w:rsidRPr="008B6BFC" w14:paraId="7AA48B3D"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64F6FB49"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Mariánské nám. 141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2131C92"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91</w:t>
            </w:r>
          </w:p>
        </w:tc>
        <w:tc>
          <w:tcPr>
            <w:tcW w:w="566" w:type="dxa"/>
            <w:tcBorders>
              <w:top w:val="nil"/>
              <w:left w:val="nil"/>
              <w:bottom w:val="single" w:sz="4" w:space="0" w:color="auto"/>
              <w:right w:val="single" w:sz="4" w:space="0" w:color="auto"/>
            </w:tcBorders>
            <w:shd w:val="clear" w:color="auto" w:fill="auto"/>
            <w:noWrap/>
            <w:vAlign w:val="bottom"/>
            <w:hideMark/>
          </w:tcPr>
          <w:p w14:paraId="623C134F"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35BDAAB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84B39B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8" w:type="dxa"/>
            <w:tcBorders>
              <w:top w:val="nil"/>
              <w:left w:val="nil"/>
              <w:bottom w:val="single" w:sz="4" w:space="0" w:color="auto"/>
              <w:right w:val="single" w:sz="4" w:space="0" w:color="auto"/>
            </w:tcBorders>
            <w:shd w:val="clear" w:color="000000" w:fill="FFFFFF"/>
            <w:noWrap/>
            <w:vAlign w:val="bottom"/>
            <w:hideMark/>
          </w:tcPr>
          <w:p w14:paraId="08F14E3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2C533535"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F2CEAD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1" w:type="dxa"/>
            <w:tcBorders>
              <w:top w:val="nil"/>
              <w:left w:val="nil"/>
              <w:bottom w:val="single" w:sz="4" w:space="0" w:color="auto"/>
              <w:right w:val="single" w:sz="4" w:space="0" w:color="auto"/>
            </w:tcBorders>
            <w:shd w:val="clear" w:color="000000" w:fill="FFFFFF"/>
            <w:noWrap/>
            <w:vAlign w:val="bottom"/>
            <w:hideMark/>
          </w:tcPr>
          <w:p w14:paraId="49397FD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3DE91C4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32EE1E0B"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7" w:type="dxa"/>
            <w:tcBorders>
              <w:top w:val="nil"/>
              <w:left w:val="nil"/>
              <w:bottom w:val="single" w:sz="4" w:space="0" w:color="auto"/>
              <w:right w:val="single" w:sz="4" w:space="0" w:color="auto"/>
            </w:tcBorders>
            <w:shd w:val="clear" w:color="000000" w:fill="FFFFFF"/>
            <w:noWrap/>
            <w:vAlign w:val="bottom"/>
            <w:hideMark/>
          </w:tcPr>
          <w:p w14:paraId="74034E7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3DE5BCC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1877229"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6" w:type="dxa"/>
            <w:tcBorders>
              <w:top w:val="nil"/>
              <w:left w:val="nil"/>
              <w:bottom w:val="single" w:sz="4" w:space="0" w:color="auto"/>
              <w:right w:val="single" w:sz="4" w:space="0" w:color="auto"/>
            </w:tcBorders>
            <w:shd w:val="clear" w:color="000000" w:fill="FFFFFF"/>
            <w:noWrap/>
            <w:vAlign w:val="bottom"/>
            <w:hideMark/>
          </w:tcPr>
          <w:p w14:paraId="34336942"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4</w:t>
            </w:r>
          </w:p>
        </w:tc>
        <w:tc>
          <w:tcPr>
            <w:tcW w:w="567" w:type="dxa"/>
            <w:tcBorders>
              <w:top w:val="nil"/>
              <w:left w:val="nil"/>
              <w:bottom w:val="single" w:sz="4" w:space="0" w:color="auto"/>
              <w:right w:val="single" w:sz="12" w:space="0" w:color="auto"/>
            </w:tcBorders>
            <w:shd w:val="clear" w:color="auto" w:fill="auto"/>
            <w:noWrap/>
            <w:vAlign w:val="bottom"/>
            <w:hideMark/>
          </w:tcPr>
          <w:p w14:paraId="3359E511"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AB579B8"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91</w:t>
            </w:r>
          </w:p>
        </w:tc>
        <w:tc>
          <w:tcPr>
            <w:tcW w:w="566" w:type="dxa"/>
            <w:tcBorders>
              <w:top w:val="nil"/>
              <w:left w:val="nil"/>
              <w:bottom w:val="single" w:sz="4" w:space="0" w:color="auto"/>
              <w:right w:val="single" w:sz="4" w:space="0" w:color="auto"/>
            </w:tcBorders>
            <w:shd w:val="clear" w:color="000000" w:fill="FFFFFF"/>
            <w:noWrap/>
            <w:vAlign w:val="bottom"/>
            <w:hideMark/>
          </w:tcPr>
          <w:p w14:paraId="3F0B58B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4</w:t>
            </w:r>
          </w:p>
        </w:tc>
        <w:tc>
          <w:tcPr>
            <w:tcW w:w="561" w:type="dxa"/>
            <w:tcBorders>
              <w:top w:val="nil"/>
              <w:left w:val="nil"/>
              <w:bottom w:val="single" w:sz="4" w:space="0" w:color="auto"/>
              <w:right w:val="single" w:sz="12" w:space="0" w:color="auto"/>
            </w:tcBorders>
            <w:shd w:val="clear" w:color="auto" w:fill="auto"/>
            <w:noWrap/>
            <w:vAlign w:val="bottom"/>
            <w:hideMark/>
          </w:tcPr>
          <w:p w14:paraId="315657C4"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91</w:t>
            </w:r>
          </w:p>
        </w:tc>
        <w:tc>
          <w:tcPr>
            <w:tcW w:w="579" w:type="dxa"/>
            <w:tcBorders>
              <w:top w:val="single" w:sz="4" w:space="0" w:color="auto"/>
              <w:left w:val="single" w:sz="12" w:space="0" w:color="auto"/>
              <w:bottom w:val="single" w:sz="4" w:space="0" w:color="auto"/>
              <w:right w:val="single" w:sz="4" w:space="0" w:color="auto"/>
            </w:tcBorders>
            <w:shd w:val="clear" w:color="000000" w:fill="CCDAEE"/>
            <w:noWrap/>
            <w:vAlign w:val="bottom"/>
            <w:hideMark/>
          </w:tcPr>
          <w:p w14:paraId="5871CF65"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91</w:t>
            </w:r>
          </w:p>
        </w:tc>
        <w:tc>
          <w:tcPr>
            <w:tcW w:w="561"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12E43B0"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4</w:t>
            </w:r>
          </w:p>
        </w:tc>
        <w:tc>
          <w:tcPr>
            <w:tcW w:w="573" w:type="dxa"/>
            <w:tcBorders>
              <w:top w:val="single" w:sz="4" w:space="0" w:color="auto"/>
              <w:left w:val="single" w:sz="4" w:space="0" w:color="auto"/>
              <w:bottom w:val="single" w:sz="4" w:space="0" w:color="auto"/>
              <w:right w:val="single" w:sz="12" w:space="0" w:color="auto"/>
            </w:tcBorders>
            <w:shd w:val="clear" w:color="000000" w:fill="DBE4F3"/>
            <w:noWrap/>
            <w:vAlign w:val="bottom"/>
            <w:hideMark/>
          </w:tcPr>
          <w:p w14:paraId="06E7834B"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91</w:t>
            </w:r>
          </w:p>
        </w:tc>
      </w:tr>
      <w:tr w:rsidR="00AD5348" w:rsidRPr="008B6BFC" w14:paraId="6DCBA531" w14:textId="77777777" w:rsidTr="00E37D33">
        <w:trPr>
          <w:trHeight w:hRule="exact" w:val="284"/>
        </w:trPr>
        <w:tc>
          <w:tcPr>
            <w:tcW w:w="1691" w:type="dxa"/>
            <w:tcBorders>
              <w:top w:val="nil"/>
              <w:left w:val="single" w:sz="8" w:space="0" w:color="auto"/>
              <w:bottom w:val="single" w:sz="4" w:space="0" w:color="auto"/>
              <w:right w:val="single" w:sz="12" w:space="0" w:color="auto"/>
            </w:tcBorders>
            <w:shd w:val="clear" w:color="auto" w:fill="FBE4D5" w:themeFill="accent2" w:themeFillTint="33"/>
            <w:noWrap/>
            <w:vAlign w:val="bottom"/>
            <w:hideMark/>
          </w:tcPr>
          <w:p w14:paraId="157EAFCE" w14:textId="77777777" w:rsidR="00AD5348" w:rsidRPr="008B6BFC" w:rsidRDefault="00AD5348" w:rsidP="00E37D33">
            <w:pPr>
              <w:spacing w:before="0"/>
              <w:jc w:val="left"/>
              <w:rPr>
                <w:rFonts w:eastAsia="Times New Roman" w:cstheme="minorHAnsi"/>
                <w:sz w:val="18"/>
                <w:szCs w:val="18"/>
                <w:lang w:eastAsia="cs-CZ"/>
              </w:rPr>
            </w:pPr>
            <w:r w:rsidRPr="008B6BFC">
              <w:rPr>
                <w:rFonts w:eastAsia="Times New Roman" w:cstheme="minorHAnsi"/>
                <w:sz w:val="18"/>
                <w:szCs w:val="18"/>
                <w:lang w:eastAsia="cs-CZ"/>
              </w:rPr>
              <w:t>Kúty 1963</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82B2311"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90</w:t>
            </w:r>
          </w:p>
        </w:tc>
        <w:tc>
          <w:tcPr>
            <w:tcW w:w="566" w:type="dxa"/>
            <w:tcBorders>
              <w:top w:val="nil"/>
              <w:left w:val="nil"/>
              <w:bottom w:val="single" w:sz="4" w:space="0" w:color="auto"/>
              <w:right w:val="single" w:sz="4" w:space="0" w:color="auto"/>
            </w:tcBorders>
            <w:shd w:val="clear" w:color="auto" w:fill="auto"/>
            <w:noWrap/>
            <w:vAlign w:val="bottom"/>
            <w:hideMark/>
          </w:tcPr>
          <w:p w14:paraId="69ED039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44B07FF7"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22A101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8" w:type="dxa"/>
            <w:tcBorders>
              <w:top w:val="nil"/>
              <w:left w:val="nil"/>
              <w:bottom w:val="single" w:sz="4" w:space="0" w:color="auto"/>
              <w:right w:val="single" w:sz="4" w:space="0" w:color="auto"/>
            </w:tcBorders>
            <w:shd w:val="clear" w:color="000000" w:fill="FFFFFF"/>
            <w:noWrap/>
            <w:vAlign w:val="bottom"/>
            <w:hideMark/>
          </w:tcPr>
          <w:p w14:paraId="62B7B7F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3D1868E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C7C286C"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1" w:type="dxa"/>
            <w:tcBorders>
              <w:top w:val="nil"/>
              <w:left w:val="nil"/>
              <w:bottom w:val="single" w:sz="4" w:space="0" w:color="auto"/>
              <w:right w:val="single" w:sz="4" w:space="0" w:color="auto"/>
            </w:tcBorders>
            <w:shd w:val="clear" w:color="000000" w:fill="FFFFFF"/>
            <w:noWrap/>
            <w:vAlign w:val="bottom"/>
            <w:hideMark/>
          </w:tcPr>
          <w:p w14:paraId="7227A94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1" w:type="dxa"/>
            <w:tcBorders>
              <w:top w:val="nil"/>
              <w:left w:val="nil"/>
              <w:bottom w:val="single" w:sz="4" w:space="0" w:color="auto"/>
              <w:right w:val="single" w:sz="12" w:space="0" w:color="auto"/>
            </w:tcBorders>
            <w:shd w:val="clear" w:color="auto" w:fill="auto"/>
            <w:noWrap/>
            <w:vAlign w:val="bottom"/>
            <w:hideMark/>
          </w:tcPr>
          <w:p w14:paraId="7695CDF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654" w:type="dxa"/>
            <w:tcBorders>
              <w:top w:val="nil"/>
              <w:left w:val="single" w:sz="12" w:space="0" w:color="auto"/>
              <w:bottom w:val="single" w:sz="4" w:space="0" w:color="auto"/>
              <w:right w:val="single" w:sz="4" w:space="0" w:color="auto"/>
            </w:tcBorders>
            <w:shd w:val="clear" w:color="auto" w:fill="auto"/>
            <w:noWrap/>
            <w:vAlign w:val="bottom"/>
            <w:hideMark/>
          </w:tcPr>
          <w:p w14:paraId="6C0AD64A"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7" w:type="dxa"/>
            <w:tcBorders>
              <w:top w:val="nil"/>
              <w:left w:val="nil"/>
              <w:bottom w:val="single" w:sz="4" w:space="0" w:color="auto"/>
              <w:right w:val="single" w:sz="4" w:space="0" w:color="auto"/>
            </w:tcBorders>
            <w:shd w:val="clear" w:color="000000" w:fill="FFFFFF"/>
            <w:noWrap/>
            <w:vAlign w:val="bottom"/>
            <w:hideMark/>
          </w:tcPr>
          <w:p w14:paraId="76CBCE30"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03B20AA4"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04EEB26"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90</w:t>
            </w:r>
          </w:p>
        </w:tc>
        <w:tc>
          <w:tcPr>
            <w:tcW w:w="566" w:type="dxa"/>
            <w:tcBorders>
              <w:top w:val="nil"/>
              <w:left w:val="nil"/>
              <w:bottom w:val="single" w:sz="4" w:space="0" w:color="auto"/>
              <w:right w:val="single" w:sz="4" w:space="0" w:color="auto"/>
            </w:tcBorders>
            <w:shd w:val="clear" w:color="000000" w:fill="FFFFFF"/>
            <w:noWrap/>
            <w:vAlign w:val="bottom"/>
            <w:hideMark/>
          </w:tcPr>
          <w:p w14:paraId="4EA00C23"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3</w:t>
            </w:r>
          </w:p>
        </w:tc>
        <w:tc>
          <w:tcPr>
            <w:tcW w:w="567" w:type="dxa"/>
            <w:tcBorders>
              <w:top w:val="nil"/>
              <w:left w:val="nil"/>
              <w:bottom w:val="single" w:sz="4" w:space="0" w:color="auto"/>
              <w:right w:val="single" w:sz="12" w:space="0" w:color="auto"/>
            </w:tcBorders>
            <w:shd w:val="clear" w:color="auto" w:fill="auto"/>
            <w:noWrap/>
            <w:vAlign w:val="bottom"/>
            <w:hideMark/>
          </w:tcPr>
          <w:p w14:paraId="6CFE73CD" w14:textId="77777777" w:rsidR="00AD5348" w:rsidRPr="00880CEF" w:rsidRDefault="00AD5348" w:rsidP="00E37D33">
            <w:pPr>
              <w:spacing w:before="0"/>
              <w:jc w:val="right"/>
              <w:rPr>
                <w:rFonts w:eastAsia="Times New Roman" w:cstheme="minorHAnsi"/>
                <w:sz w:val="18"/>
                <w:szCs w:val="18"/>
                <w:lang w:eastAsia="cs-CZ"/>
              </w:rPr>
            </w:pPr>
            <w:r w:rsidRPr="00880CEF">
              <w:rPr>
                <w:rFonts w:eastAsia="Times New Roman" w:cstheme="minorHAnsi"/>
                <w:sz w:val="18"/>
                <w:szCs w:val="18"/>
                <w:lang w:eastAsia="cs-CZ"/>
              </w:rPr>
              <w:t>82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8AD7E8C"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90</w:t>
            </w:r>
          </w:p>
        </w:tc>
        <w:tc>
          <w:tcPr>
            <w:tcW w:w="566" w:type="dxa"/>
            <w:tcBorders>
              <w:top w:val="nil"/>
              <w:left w:val="nil"/>
              <w:bottom w:val="single" w:sz="4" w:space="0" w:color="auto"/>
              <w:right w:val="single" w:sz="4" w:space="0" w:color="auto"/>
            </w:tcBorders>
            <w:shd w:val="clear" w:color="000000" w:fill="FFFFFF"/>
            <w:noWrap/>
            <w:vAlign w:val="bottom"/>
            <w:hideMark/>
          </w:tcPr>
          <w:p w14:paraId="32DCC376"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3</w:t>
            </w:r>
          </w:p>
        </w:tc>
        <w:tc>
          <w:tcPr>
            <w:tcW w:w="561" w:type="dxa"/>
            <w:tcBorders>
              <w:top w:val="nil"/>
              <w:left w:val="nil"/>
              <w:bottom w:val="single" w:sz="4" w:space="0" w:color="auto"/>
              <w:right w:val="single" w:sz="12" w:space="0" w:color="auto"/>
            </w:tcBorders>
            <w:shd w:val="clear" w:color="auto" w:fill="auto"/>
            <w:noWrap/>
            <w:vAlign w:val="bottom"/>
            <w:hideMark/>
          </w:tcPr>
          <w:p w14:paraId="5A43506B"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82</w:t>
            </w:r>
          </w:p>
        </w:tc>
        <w:tc>
          <w:tcPr>
            <w:tcW w:w="579" w:type="dxa"/>
            <w:tcBorders>
              <w:top w:val="single" w:sz="4" w:space="0" w:color="auto"/>
              <w:left w:val="single" w:sz="12" w:space="0" w:color="auto"/>
              <w:bottom w:val="single" w:sz="4" w:space="0" w:color="auto"/>
              <w:right w:val="single" w:sz="4" w:space="0" w:color="auto"/>
            </w:tcBorders>
            <w:shd w:val="clear" w:color="000000" w:fill="CAD8ED"/>
            <w:noWrap/>
            <w:vAlign w:val="bottom"/>
            <w:hideMark/>
          </w:tcPr>
          <w:p w14:paraId="63710ECE" w14:textId="77777777" w:rsidR="00AD5348" w:rsidRPr="008B6BFC" w:rsidRDefault="00AD5348" w:rsidP="00E37D33">
            <w:pPr>
              <w:spacing w:before="0"/>
              <w:jc w:val="right"/>
              <w:rPr>
                <w:rFonts w:eastAsia="Times New Roman" w:cstheme="minorHAnsi"/>
                <w:sz w:val="18"/>
                <w:szCs w:val="18"/>
                <w:lang w:eastAsia="cs-CZ"/>
              </w:rPr>
            </w:pPr>
            <w:r w:rsidRPr="008B6BFC">
              <w:rPr>
                <w:rFonts w:eastAsia="Times New Roman" w:cstheme="minorHAnsi"/>
                <w:sz w:val="18"/>
                <w:szCs w:val="18"/>
                <w:lang w:eastAsia="cs-CZ"/>
              </w:rPr>
              <w:t>90</w:t>
            </w:r>
          </w:p>
        </w:tc>
        <w:tc>
          <w:tcPr>
            <w:tcW w:w="561" w:type="dxa"/>
            <w:tcBorders>
              <w:top w:val="single" w:sz="4" w:space="0" w:color="auto"/>
              <w:left w:val="single" w:sz="4" w:space="0" w:color="auto"/>
              <w:bottom w:val="single" w:sz="4" w:space="0" w:color="auto"/>
              <w:right w:val="single" w:sz="4" w:space="0" w:color="auto"/>
            </w:tcBorders>
            <w:shd w:val="clear" w:color="000000" w:fill="ABC3E2"/>
            <w:noWrap/>
            <w:vAlign w:val="bottom"/>
            <w:hideMark/>
          </w:tcPr>
          <w:p w14:paraId="0351F14C"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3</w:t>
            </w:r>
          </w:p>
        </w:tc>
        <w:tc>
          <w:tcPr>
            <w:tcW w:w="573" w:type="dxa"/>
            <w:tcBorders>
              <w:top w:val="single" w:sz="4" w:space="0" w:color="auto"/>
              <w:left w:val="single" w:sz="4" w:space="0" w:color="auto"/>
              <w:bottom w:val="single" w:sz="4" w:space="0" w:color="auto"/>
              <w:right w:val="single" w:sz="12" w:space="0" w:color="auto"/>
            </w:tcBorders>
            <w:shd w:val="clear" w:color="000000" w:fill="B8CCE7"/>
            <w:noWrap/>
            <w:vAlign w:val="bottom"/>
            <w:hideMark/>
          </w:tcPr>
          <w:p w14:paraId="79A298C5" w14:textId="77777777" w:rsidR="00AD5348" w:rsidRPr="00880CEF" w:rsidRDefault="00AD5348" w:rsidP="00E37D33">
            <w:pPr>
              <w:spacing w:before="0"/>
              <w:jc w:val="right"/>
              <w:rPr>
                <w:rFonts w:eastAsia="Times New Roman" w:cstheme="minorHAnsi"/>
                <w:sz w:val="18"/>
                <w:szCs w:val="18"/>
                <w:lang w:eastAsia="cs-CZ"/>
              </w:rPr>
            </w:pPr>
            <w:r w:rsidRPr="00880CEF">
              <w:rPr>
                <w:rFonts w:cstheme="minorHAnsi"/>
                <w:sz w:val="18"/>
                <w:szCs w:val="20"/>
              </w:rPr>
              <w:t>78</w:t>
            </w:r>
          </w:p>
        </w:tc>
      </w:tr>
      <w:tr w:rsidR="00AD5348" w:rsidRPr="008B6BFC" w14:paraId="257E7FBD" w14:textId="77777777" w:rsidTr="00E37D33">
        <w:trPr>
          <w:trHeight w:val="283"/>
        </w:trPr>
        <w:tc>
          <w:tcPr>
            <w:tcW w:w="1691" w:type="dxa"/>
            <w:tcBorders>
              <w:top w:val="nil"/>
              <w:left w:val="single" w:sz="8" w:space="0" w:color="auto"/>
              <w:bottom w:val="single" w:sz="8" w:space="0" w:color="auto"/>
              <w:right w:val="single" w:sz="12" w:space="0" w:color="auto"/>
            </w:tcBorders>
            <w:shd w:val="clear" w:color="000000" w:fill="D0CECE"/>
            <w:noWrap/>
            <w:vAlign w:val="bottom"/>
            <w:hideMark/>
          </w:tcPr>
          <w:p w14:paraId="388D41A9" w14:textId="77777777" w:rsidR="00AD5348" w:rsidRPr="008B6BFC" w:rsidRDefault="00AD5348" w:rsidP="00E37D33">
            <w:pPr>
              <w:spacing w:before="0"/>
              <w:jc w:val="left"/>
              <w:rPr>
                <w:rFonts w:eastAsia="Times New Roman" w:cstheme="minorHAnsi"/>
                <w:b/>
                <w:bCs/>
                <w:sz w:val="18"/>
                <w:szCs w:val="18"/>
                <w:lang w:eastAsia="cs-CZ"/>
              </w:rPr>
            </w:pPr>
            <w:r>
              <w:rPr>
                <w:rFonts w:eastAsia="Times New Roman" w:cstheme="minorHAnsi"/>
                <w:b/>
                <w:bCs/>
                <w:sz w:val="18"/>
                <w:szCs w:val="18"/>
                <w:lang w:eastAsia="cs-CZ"/>
              </w:rPr>
              <w:t>Celkem</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1E1CC9C9" w14:textId="77777777" w:rsidR="00AD5348" w:rsidRPr="008B6BFC" w:rsidRDefault="00AD5348" w:rsidP="00E37D33">
            <w:pPr>
              <w:spacing w:before="0"/>
              <w:jc w:val="right"/>
              <w:rPr>
                <w:rFonts w:eastAsia="Times New Roman" w:cstheme="minorHAnsi"/>
                <w:b/>
                <w:bCs/>
                <w:sz w:val="18"/>
                <w:szCs w:val="18"/>
                <w:lang w:eastAsia="cs-CZ"/>
              </w:rPr>
            </w:pPr>
            <w:r w:rsidRPr="008B6BFC">
              <w:rPr>
                <w:rFonts w:eastAsia="Times New Roman" w:cstheme="minorHAnsi"/>
                <w:b/>
                <w:bCs/>
                <w:sz w:val="18"/>
                <w:szCs w:val="18"/>
                <w:lang w:eastAsia="cs-CZ"/>
              </w:rPr>
              <w:t>2446</w:t>
            </w:r>
          </w:p>
        </w:tc>
        <w:tc>
          <w:tcPr>
            <w:tcW w:w="566" w:type="dxa"/>
            <w:tcBorders>
              <w:top w:val="nil"/>
              <w:left w:val="nil"/>
              <w:bottom w:val="single" w:sz="12" w:space="0" w:color="auto"/>
              <w:right w:val="single" w:sz="4" w:space="0" w:color="auto"/>
            </w:tcBorders>
            <w:shd w:val="clear" w:color="000000" w:fill="D0CECE"/>
            <w:noWrap/>
            <w:vAlign w:val="bottom"/>
            <w:hideMark/>
          </w:tcPr>
          <w:p w14:paraId="5175F23E"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87</w:t>
            </w:r>
          </w:p>
        </w:tc>
        <w:tc>
          <w:tcPr>
            <w:tcW w:w="567" w:type="dxa"/>
            <w:tcBorders>
              <w:top w:val="nil"/>
              <w:left w:val="nil"/>
              <w:bottom w:val="single" w:sz="12" w:space="0" w:color="auto"/>
              <w:right w:val="single" w:sz="12" w:space="0" w:color="auto"/>
            </w:tcBorders>
            <w:shd w:val="clear" w:color="000000" w:fill="D0CECE"/>
            <w:noWrap/>
            <w:vAlign w:val="bottom"/>
            <w:hideMark/>
          </w:tcPr>
          <w:p w14:paraId="34DB26A4"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2319</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56662D8E"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2467</w:t>
            </w:r>
          </w:p>
        </w:tc>
        <w:tc>
          <w:tcPr>
            <w:tcW w:w="568" w:type="dxa"/>
            <w:tcBorders>
              <w:top w:val="nil"/>
              <w:left w:val="nil"/>
              <w:bottom w:val="single" w:sz="12" w:space="0" w:color="auto"/>
              <w:right w:val="single" w:sz="4" w:space="0" w:color="auto"/>
            </w:tcBorders>
            <w:shd w:val="clear" w:color="000000" w:fill="D0CECE"/>
            <w:noWrap/>
            <w:vAlign w:val="bottom"/>
            <w:hideMark/>
          </w:tcPr>
          <w:p w14:paraId="28EE8178"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91</w:t>
            </w:r>
          </w:p>
        </w:tc>
        <w:tc>
          <w:tcPr>
            <w:tcW w:w="567" w:type="dxa"/>
            <w:tcBorders>
              <w:top w:val="nil"/>
              <w:left w:val="nil"/>
              <w:bottom w:val="single" w:sz="12" w:space="0" w:color="auto"/>
              <w:right w:val="single" w:sz="12" w:space="0" w:color="auto"/>
            </w:tcBorders>
            <w:shd w:val="clear" w:color="000000" w:fill="D0CECE"/>
            <w:noWrap/>
            <w:vAlign w:val="bottom"/>
            <w:hideMark/>
          </w:tcPr>
          <w:p w14:paraId="60E9AD1C"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2384</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7FA3072D"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2430</w:t>
            </w:r>
          </w:p>
        </w:tc>
        <w:tc>
          <w:tcPr>
            <w:tcW w:w="561" w:type="dxa"/>
            <w:tcBorders>
              <w:top w:val="nil"/>
              <w:left w:val="nil"/>
              <w:bottom w:val="single" w:sz="12" w:space="0" w:color="auto"/>
              <w:right w:val="single" w:sz="4" w:space="0" w:color="auto"/>
            </w:tcBorders>
            <w:shd w:val="clear" w:color="000000" w:fill="D0CECE"/>
            <w:noWrap/>
            <w:vAlign w:val="bottom"/>
            <w:hideMark/>
          </w:tcPr>
          <w:p w14:paraId="2C573ACA"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90</w:t>
            </w:r>
          </w:p>
        </w:tc>
        <w:tc>
          <w:tcPr>
            <w:tcW w:w="561" w:type="dxa"/>
            <w:tcBorders>
              <w:top w:val="nil"/>
              <w:left w:val="nil"/>
              <w:bottom w:val="single" w:sz="12" w:space="0" w:color="auto"/>
              <w:right w:val="single" w:sz="12" w:space="0" w:color="auto"/>
            </w:tcBorders>
            <w:shd w:val="clear" w:color="000000" w:fill="D0CECE"/>
            <w:noWrap/>
            <w:vAlign w:val="bottom"/>
            <w:hideMark/>
          </w:tcPr>
          <w:p w14:paraId="29773186"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2352</w:t>
            </w:r>
          </w:p>
        </w:tc>
        <w:tc>
          <w:tcPr>
            <w:tcW w:w="654" w:type="dxa"/>
            <w:tcBorders>
              <w:top w:val="nil"/>
              <w:left w:val="single" w:sz="12" w:space="0" w:color="auto"/>
              <w:bottom w:val="single" w:sz="12" w:space="0" w:color="auto"/>
              <w:right w:val="single" w:sz="4" w:space="0" w:color="auto"/>
            </w:tcBorders>
            <w:shd w:val="clear" w:color="000000" w:fill="D0CECE"/>
            <w:noWrap/>
            <w:vAlign w:val="bottom"/>
            <w:hideMark/>
          </w:tcPr>
          <w:p w14:paraId="5CB3A8DC"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2430</w:t>
            </w:r>
          </w:p>
        </w:tc>
        <w:tc>
          <w:tcPr>
            <w:tcW w:w="567" w:type="dxa"/>
            <w:tcBorders>
              <w:top w:val="nil"/>
              <w:left w:val="nil"/>
              <w:bottom w:val="single" w:sz="12" w:space="0" w:color="auto"/>
              <w:right w:val="single" w:sz="4" w:space="0" w:color="auto"/>
            </w:tcBorders>
            <w:shd w:val="clear" w:color="000000" w:fill="D0CECE"/>
            <w:noWrap/>
            <w:vAlign w:val="bottom"/>
            <w:hideMark/>
          </w:tcPr>
          <w:p w14:paraId="7361EF30"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90</w:t>
            </w:r>
          </w:p>
        </w:tc>
        <w:tc>
          <w:tcPr>
            <w:tcW w:w="567" w:type="dxa"/>
            <w:tcBorders>
              <w:top w:val="nil"/>
              <w:left w:val="nil"/>
              <w:bottom w:val="single" w:sz="12" w:space="0" w:color="auto"/>
              <w:right w:val="single" w:sz="12" w:space="0" w:color="auto"/>
            </w:tcBorders>
            <w:shd w:val="clear" w:color="000000" w:fill="D0CECE"/>
            <w:noWrap/>
            <w:vAlign w:val="bottom"/>
            <w:hideMark/>
          </w:tcPr>
          <w:p w14:paraId="0F21FA87"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2305</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2594CAB6"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2430</w:t>
            </w:r>
          </w:p>
        </w:tc>
        <w:tc>
          <w:tcPr>
            <w:tcW w:w="566" w:type="dxa"/>
            <w:tcBorders>
              <w:top w:val="nil"/>
              <w:left w:val="nil"/>
              <w:bottom w:val="single" w:sz="12" w:space="0" w:color="auto"/>
              <w:right w:val="single" w:sz="4" w:space="0" w:color="auto"/>
            </w:tcBorders>
            <w:shd w:val="clear" w:color="000000" w:fill="D0CECE"/>
            <w:noWrap/>
            <w:vAlign w:val="bottom"/>
            <w:hideMark/>
          </w:tcPr>
          <w:p w14:paraId="58316E66"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90</w:t>
            </w:r>
          </w:p>
        </w:tc>
        <w:tc>
          <w:tcPr>
            <w:tcW w:w="567" w:type="dxa"/>
            <w:tcBorders>
              <w:top w:val="nil"/>
              <w:left w:val="nil"/>
              <w:bottom w:val="single" w:sz="12" w:space="0" w:color="auto"/>
              <w:right w:val="single" w:sz="12" w:space="0" w:color="auto"/>
            </w:tcBorders>
            <w:shd w:val="clear" w:color="000000" w:fill="D0CECE"/>
            <w:noWrap/>
            <w:vAlign w:val="bottom"/>
            <w:hideMark/>
          </w:tcPr>
          <w:p w14:paraId="7B65276D" w14:textId="77777777" w:rsidR="00AD5348" w:rsidRPr="00880CEF" w:rsidRDefault="00AD5348" w:rsidP="00E37D33">
            <w:pPr>
              <w:spacing w:before="0"/>
              <w:jc w:val="right"/>
              <w:rPr>
                <w:rFonts w:eastAsia="Times New Roman" w:cstheme="minorHAnsi"/>
                <w:bCs/>
                <w:sz w:val="18"/>
                <w:szCs w:val="18"/>
                <w:lang w:eastAsia="cs-CZ"/>
              </w:rPr>
            </w:pPr>
            <w:r w:rsidRPr="00880CEF">
              <w:rPr>
                <w:rFonts w:eastAsia="Times New Roman" w:cstheme="minorHAnsi"/>
                <w:bCs/>
                <w:sz w:val="18"/>
                <w:szCs w:val="18"/>
                <w:lang w:eastAsia="cs-CZ"/>
              </w:rPr>
              <w:t>2295</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72A681C5" w14:textId="77777777" w:rsidR="00AD5348" w:rsidRPr="008B6BFC" w:rsidRDefault="00AD5348" w:rsidP="00E37D33">
            <w:pPr>
              <w:spacing w:before="0"/>
              <w:jc w:val="right"/>
              <w:rPr>
                <w:rFonts w:eastAsia="Times New Roman" w:cstheme="minorHAnsi"/>
                <w:b/>
                <w:bCs/>
                <w:sz w:val="18"/>
                <w:szCs w:val="18"/>
                <w:lang w:eastAsia="cs-CZ"/>
              </w:rPr>
            </w:pPr>
            <w:r w:rsidRPr="008B6BFC">
              <w:rPr>
                <w:rFonts w:eastAsia="Times New Roman" w:cstheme="minorHAnsi"/>
                <w:b/>
                <w:bCs/>
                <w:sz w:val="18"/>
                <w:szCs w:val="18"/>
                <w:lang w:eastAsia="cs-CZ"/>
              </w:rPr>
              <w:t>2430</w:t>
            </w:r>
          </w:p>
        </w:tc>
        <w:tc>
          <w:tcPr>
            <w:tcW w:w="566" w:type="dxa"/>
            <w:tcBorders>
              <w:top w:val="nil"/>
              <w:left w:val="nil"/>
              <w:bottom w:val="single" w:sz="12" w:space="0" w:color="auto"/>
              <w:right w:val="single" w:sz="4" w:space="0" w:color="auto"/>
            </w:tcBorders>
            <w:shd w:val="clear" w:color="000000" w:fill="D0CECE"/>
            <w:noWrap/>
            <w:vAlign w:val="bottom"/>
            <w:hideMark/>
          </w:tcPr>
          <w:p w14:paraId="78CD6876" w14:textId="77777777" w:rsidR="00AD5348" w:rsidRPr="008B6BFC" w:rsidRDefault="00AD5348" w:rsidP="00E37D33">
            <w:pPr>
              <w:spacing w:before="0"/>
              <w:jc w:val="right"/>
              <w:rPr>
                <w:rFonts w:eastAsia="Times New Roman" w:cstheme="minorHAnsi"/>
                <w:b/>
                <w:bCs/>
                <w:sz w:val="18"/>
                <w:szCs w:val="18"/>
                <w:lang w:eastAsia="cs-CZ"/>
              </w:rPr>
            </w:pPr>
            <w:r w:rsidRPr="008B6BFC">
              <w:rPr>
                <w:rFonts w:eastAsia="Times New Roman" w:cstheme="minorHAnsi"/>
                <w:b/>
                <w:bCs/>
                <w:sz w:val="18"/>
                <w:szCs w:val="18"/>
                <w:lang w:eastAsia="cs-CZ"/>
              </w:rPr>
              <w:t>90</w:t>
            </w:r>
          </w:p>
        </w:tc>
        <w:tc>
          <w:tcPr>
            <w:tcW w:w="561" w:type="dxa"/>
            <w:tcBorders>
              <w:top w:val="nil"/>
              <w:left w:val="nil"/>
              <w:bottom w:val="single" w:sz="12" w:space="0" w:color="auto"/>
              <w:right w:val="single" w:sz="12" w:space="0" w:color="auto"/>
            </w:tcBorders>
            <w:shd w:val="clear" w:color="000000" w:fill="D0CECE"/>
            <w:noWrap/>
            <w:vAlign w:val="bottom"/>
            <w:hideMark/>
          </w:tcPr>
          <w:p w14:paraId="7B2D677B" w14:textId="77777777" w:rsidR="00AD5348" w:rsidRPr="008B6BFC" w:rsidRDefault="00AD5348" w:rsidP="00E37D33">
            <w:pPr>
              <w:spacing w:before="0"/>
              <w:jc w:val="right"/>
              <w:rPr>
                <w:rFonts w:eastAsia="Times New Roman" w:cstheme="minorHAnsi"/>
                <w:b/>
                <w:bCs/>
                <w:sz w:val="18"/>
                <w:szCs w:val="18"/>
                <w:lang w:eastAsia="cs-CZ"/>
              </w:rPr>
            </w:pPr>
            <w:r w:rsidRPr="008B6BFC">
              <w:rPr>
                <w:rFonts w:eastAsia="Times New Roman" w:cstheme="minorHAnsi"/>
                <w:b/>
                <w:bCs/>
                <w:sz w:val="18"/>
                <w:szCs w:val="18"/>
                <w:lang w:eastAsia="cs-CZ"/>
              </w:rPr>
              <w:t>2294</w:t>
            </w:r>
          </w:p>
        </w:tc>
        <w:tc>
          <w:tcPr>
            <w:tcW w:w="579" w:type="dxa"/>
            <w:tcBorders>
              <w:top w:val="nil"/>
              <w:left w:val="single" w:sz="12" w:space="0" w:color="auto"/>
              <w:bottom w:val="single" w:sz="12" w:space="0" w:color="auto"/>
              <w:right w:val="single" w:sz="4" w:space="0" w:color="auto"/>
            </w:tcBorders>
            <w:shd w:val="clear" w:color="000000" w:fill="D0CECE"/>
            <w:noWrap/>
            <w:vAlign w:val="bottom"/>
            <w:hideMark/>
          </w:tcPr>
          <w:p w14:paraId="17E7DA30" w14:textId="77777777" w:rsidR="00AD5348" w:rsidRPr="008B6BFC" w:rsidRDefault="00AD5348" w:rsidP="00E37D33">
            <w:pPr>
              <w:spacing w:before="0"/>
              <w:jc w:val="right"/>
              <w:rPr>
                <w:rFonts w:eastAsia="Times New Roman" w:cstheme="minorHAnsi"/>
                <w:b/>
                <w:bCs/>
                <w:sz w:val="18"/>
                <w:szCs w:val="18"/>
                <w:lang w:eastAsia="cs-CZ"/>
              </w:rPr>
            </w:pPr>
            <w:r w:rsidRPr="008B6BFC">
              <w:rPr>
                <w:rFonts w:eastAsia="Times New Roman" w:cstheme="minorHAnsi"/>
                <w:b/>
                <w:bCs/>
                <w:sz w:val="18"/>
                <w:szCs w:val="18"/>
                <w:lang w:eastAsia="cs-CZ"/>
              </w:rPr>
              <w:t>2430</w:t>
            </w:r>
          </w:p>
        </w:tc>
        <w:tc>
          <w:tcPr>
            <w:tcW w:w="561" w:type="dxa"/>
            <w:tcBorders>
              <w:top w:val="nil"/>
              <w:left w:val="nil"/>
              <w:bottom w:val="single" w:sz="12" w:space="0" w:color="auto"/>
              <w:right w:val="single" w:sz="4" w:space="0" w:color="auto"/>
            </w:tcBorders>
            <w:shd w:val="clear" w:color="000000" w:fill="D0CECE"/>
            <w:noWrap/>
            <w:vAlign w:val="bottom"/>
            <w:hideMark/>
          </w:tcPr>
          <w:p w14:paraId="34AA2AB2" w14:textId="77777777" w:rsidR="00AD5348" w:rsidRPr="008B6BFC" w:rsidRDefault="00AD5348" w:rsidP="00E37D33">
            <w:pPr>
              <w:spacing w:before="0"/>
              <w:jc w:val="right"/>
              <w:rPr>
                <w:rFonts w:eastAsia="Times New Roman" w:cstheme="minorHAnsi"/>
                <w:b/>
                <w:bCs/>
                <w:sz w:val="18"/>
                <w:szCs w:val="18"/>
                <w:lang w:eastAsia="cs-CZ"/>
              </w:rPr>
            </w:pPr>
            <w:r w:rsidRPr="008B6BFC">
              <w:rPr>
                <w:rFonts w:eastAsia="Times New Roman" w:cstheme="minorHAnsi"/>
                <w:b/>
                <w:bCs/>
                <w:sz w:val="18"/>
                <w:szCs w:val="18"/>
                <w:lang w:eastAsia="cs-CZ"/>
              </w:rPr>
              <w:t>90</w:t>
            </w:r>
          </w:p>
        </w:tc>
        <w:tc>
          <w:tcPr>
            <w:tcW w:w="573" w:type="dxa"/>
            <w:tcBorders>
              <w:top w:val="nil"/>
              <w:left w:val="nil"/>
              <w:bottom w:val="single" w:sz="12" w:space="0" w:color="auto"/>
              <w:right w:val="single" w:sz="12" w:space="0" w:color="auto"/>
            </w:tcBorders>
            <w:shd w:val="clear" w:color="000000" w:fill="D0CECE"/>
            <w:noWrap/>
            <w:vAlign w:val="bottom"/>
            <w:hideMark/>
          </w:tcPr>
          <w:p w14:paraId="7F34BE89" w14:textId="77777777" w:rsidR="00AD5348" w:rsidRPr="008B6BFC" w:rsidRDefault="00AD5348" w:rsidP="00E37D33">
            <w:pPr>
              <w:spacing w:before="0"/>
              <w:jc w:val="right"/>
              <w:rPr>
                <w:rFonts w:eastAsia="Times New Roman" w:cstheme="minorHAnsi"/>
                <w:b/>
                <w:bCs/>
                <w:sz w:val="18"/>
                <w:szCs w:val="18"/>
                <w:lang w:eastAsia="cs-CZ"/>
              </w:rPr>
            </w:pPr>
            <w:r w:rsidRPr="008B6BFC">
              <w:rPr>
                <w:rFonts w:eastAsia="Times New Roman" w:cstheme="minorHAnsi"/>
                <w:b/>
                <w:bCs/>
                <w:sz w:val="18"/>
                <w:szCs w:val="18"/>
                <w:lang w:eastAsia="cs-CZ"/>
              </w:rPr>
              <w:t>2268</w:t>
            </w:r>
          </w:p>
        </w:tc>
      </w:tr>
    </w:tbl>
    <w:p w14:paraId="00F733C8" w14:textId="088F87C1" w:rsidR="00AD5348" w:rsidRDefault="00AD5348" w:rsidP="00AD5348">
      <w:pPr>
        <w:pStyle w:val="Zdroj"/>
      </w:pPr>
      <w:r>
        <w:t>Zdroj:</w:t>
      </w:r>
      <w:r w:rsidRPr="009E7B3A">
        <w:t xml:space="preserve"> </w:t>
      </w:r>
      <w:r>
        <w:t xml:space="preserve">SMZ, </w:t>
      </w:r>
      <w:r w:rsidRPr="009E7B3A">
        <w:t>Odbor školství</w:t>
      </w:r>
      <w:r>
        <w:t xml:space="preserve">, </w:t>
      </w:r>
      <w:r w:rsidRPr="009E7B3A">
        <w:t>Magistrát města Zlína</w:t>
      </w:r>
      <w:r>
        <w:t>, k 1.</w:t>
      </w:r>
      <w:r w:rsidR="000F101A">
        <w:t xml:space="preserve"> </w:t>
      </w:r>
      <w:r>
        <w:t>7.</w:t>
      </w:r>
      <w:r w:rsidR="000F101A">
        <w:t xml:space="preserve"> </w:t>
      </w:r>
      <w:r>
        <w:t>2020</w:t>
      </w:r>
      <w:r w:rsidR="000F101A">
        <w:t>.</w:t>
      </w:r>
    </w:p>
    <w:p w14:paraId="268A2306" w14:textId="79C683D2" w:rsidR="00AD5348" w:rsidRDefault="00AD5348" w:rsidP="00AD5348">
      <w:pPr>
        <w:pStyle w:val="Titulek"/>
      </w:pPr>
      <w:bookmarkStart w:id="519" w:name="_Toc50468808"/>
      <w:bookmarkStart w:id="520" w:name="_Toc77074759"/>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79</w:t>
      </w:r>
      <w:r w:rsidR="00081B47">
        <w:rPr>
          <w:noProof/>
        </w:rPr>
        <w:fldChar w:fldCharType="end"/>
      </w:r>
      <w:r w:rsidR="000F101A">
        <w:rPr>
          <w:noProof/>
        </w:rPr>
        <w:t>:</w:t>
      </w:r>
      <w:r w:rsidRPr="00002A69">
        <w:t xml:space="preserve"> </w:t>
      </w:r>
      <w:r>
        <w:t xml:space="preserve">Kapacita, počet tříd a počet žáků v základních školách zřizovaných městem Zlínem za školní roky 2013/2014 </w:t>
      </w:r>
      <w:r w:rsidR="000F101A">
        <w:sym w:font="Symbol" w:char="F02D"/>
      </w:r>
      <w:r>
        <w:t xml:space="preserve"> 2019/2020</w:t>
      </w:r>
      <w:bookmarkEnd w:id="519"/>
      <w:bookmarkEnd w:id="520"/>
    </w:p>
    <w:tbl>
      <w:tblPr>
        <w:tblW w:w="14262" w:type="dxa"/>
        <w:tblCellMar>
          <w:left w:w="70" w:type="dxa"/>
          <w:right w:w="70" w:type="dxa"/>
        </w:tblCellMar>
        <w:tblLook w:val="04A0" w:firstRow="1" w:lastRow="0" w:firstColumn="1" w:lastColumn="0" w:noHBand="0" w:noVBand="1"/>
      </w:tblPr>
      <w:tblGrid>
        <w:gridCol w:w="535"/>
        <w:gridCol w:w="1865"/>
        <w:gridCol w:w="568"/>
        <w:gridCol w:w="561"/>
        <w:gridCol w:w="561"/>
        <w:gridCol w:w="568"/>
        <w:gridCol w:w="561"/>
        <w:gridCol w:w="561"/>
        <w:gridCol w:w="568"/>
        <w:gridCol w:w="561"/>
        <w:gridCol w:w="561"/>
        <w:gridCol w:w="600"/>
        <w:gridCol w:w="561"/>
        <w:gridCol w:w="561"/>
        <w:gridCol w:w="568"/>
        <w:gridCol w:w="561"/>
        <w:gridCol w:w="561"/>
        <w:gridCol w:w="568"/>
        <w:gridCol w:w="561"/>
        <w:gridCol w:w="561"/>
        <w:gridCol w:w="568"/>
        <w:gridCol w:w="561"/>
        <w:gridCol w:w="561"/>
      </w:tblGrid>
      <w:tr w:rsidR="00AD5348" w:rsidRPr="007B79AF" w14:paraId="746C1336" w14:textId="77777777" w:rsidTr="00E37D33">
        <w:trPr>
          <w:trHeight w:val="137"/>
        </w:trPr>
        <w:tc>
          <w:tcPr>
            <w:tcW w:w="2400" w:type="dxa"/>
            <w:gridSpan w:val="2"/>
            <w:vMerge w:val="restart"/>
            <w:tcBorders>
              <w:top w:val="single" w:sz="12" w:space="0" w:color="auto"/>
              <w:left w:val="single" w:sz="12" w:space="0" w:color="auto"/>
              <w:bottom w:val="single" w:sz="4" w:space="0" w:color="000000"/>
              <w:right w:val="single" w:sz="12" w:space="0" w:color="auto"/>
            </w:tcBorders>
            <w:shd w:val="clear" w:color="000000" w:fill="D0CECE"/>
            <w:vAlign w:val="center"/>
            <w:hideMark/>
          </w:tcPr>
          <w:p w14:paraId="1C6E6CD5"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Základní škola</w:t>
            </w:r>
          </w:p>
        </w:tc>
        <w:tc>
          <w:tcPr>
            <w:tcW w:w="1690"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5351E994"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2013/2014</w:t>
            </w:r>
          </w:p>
        </w:tc>
        <w:tc>
          <w:tcPr>
            <w:tcW w:w="1690"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087AABD2"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2014/2015</w:t>
            </w:r>
          </w:p>
        </w:tc>
        <w:tc>
          <w:tcPr>
            <w:tcW w:w="1690"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651E5960"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2015/2016</w:t>
            </w:r>
          </w:p>
        </w:tc>
        <w:tc>
          <w:tcPr>
            <w:tcW w:w="1722"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585799A8"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2016/2017</w:t>
            </w:r>
          </w:p>
        </w:tc>
        <w:tc>
          <w:tcPr>
            <w:tcW w:w="1690"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33AE9D72"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2017/2018</w:t>
            </w:r>
          </w:p>
        </w:tc>
        <w:tc>
          <w:tcPr>
            <w:tcW w:w="1690"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4CDAE8F8"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2018/2019</w:t>
            </w:r>
          </w:p>
        </w:tc>
        <w:tc>
          <w:tcPr>
            <w:tcW w:w="1690" w:type="dxa"/>
            <w:gridSpan w:val="3"/>
            <w:tcBorders>
              <w:top w:val="single" w:sz="12" w:space="0" w:color="auto"/>
              <w:left w:val="single" w:sz="12" w:space="0" w:color="auto"/>
              <w:bottom w:val="single" w:sz="4" w:space="0" w:color="auto"/>
              <w:right w:val="single" w:sz="12" w:space="0" w:color="auto"/>
            </w:tcBorders>
            <w:shd w:val="clear" w:color="000000" w:fill="D0CECE"/>
            <w:noWrap/>
            <w:vAlign w:val="bottom"/>
            <w:hideMark/>
          </w:tcPr>
          <w:p w14:paraId="052841AC" w14:textId="77777777" w:rsidR="00AD5348" w:rsidRPr="007B79AF" w:rsidRDefault="00AD5348" w:rsidP="00E37D33">
            <w:pPr>
              <w:spacing w:before="0"/>
              <w:jc w:val="center"/>
              <w:rPr>
                <w:rFonts w:eastAsia="Times New Roman" w:cstheme="minorHAnsi"/>
                <w:b/>
                <w:bCs/>
                <w:sz w:val="18"/>
                <w:szCs w:val="18"/>
                <w:lang w:eastAsia="cs-CZ"/>
              </w:rPr>
            </w:pPr>
            <w:r w:rsidRPr="007B79AF">
              <w:rPr>
                <w:rFonts w:eastAsia="Times New Roman" w:cstheme="minorHAnsi"/>
                <w:b/>
                <w:bCs/>
                <w:sz w:val="18"/>
                <w:szCs w:val="18"/>
                <w:lang w:eastAsia="cs-CZ"/>
              </w:rPr>
              <w:t>2019/2020</w:t>
            </w:r>
          </w:p>
        </w:tc>
      </w:tr>
      <w:tr w:rsidR="00AD5348" w:rsidRPr="007B79AF" w14:paraId="46FA397A" w14:textId="77777777" w:rsidTr="00E37D33">
        <w:trPr>
          <w:trHeight w:val="396"/>
        </w:trPr>
        <w:tc>
          <w:tcPr>
            <w:tcW w:w="2400" w:type="dxa"/>
            <w:gridSpan w:val="2"/>
            <w:vMerge/>
            <w:tcBorders>
              <w:top w:val="single" w:sz="8" w:space="0" w:color="auto"/>
              <w:left w:val="single" w:sz="12" w:space="0" w:color="auto"/>
              <w:bottom w:val="single" w:sz="4" w:space="0" w:color="000000"/>
              <w:right w:val="single" w:sz="12" w:space="0" w:color="auto"/>
            </w:tcBorders>
            <w:vAlign w:val="center"/>
            <w:hideMark/>
          </w:tcPr>
          <w:p w14:paraId="7129F381" w14:textId="77777777" w:rsidR="00AD5348" w:rsidRPr="007B79AF" w:rsidRDefault="00AD5348" w:rsidP="00E37D33">
            <w:pPr>
              <w:spacing w:before="0"/>
              <w:jc w:val="left"/>
              <w:rPr>
                <w:rFonts w:eastAsia="Times New Roman" w:cstheme="minorHAnsi"/>
                <w:b/>
                <w:bCs/>
                <w:sz w:val="18"/>
                <w:szCs w:val="18"/>
                <w:lang w:eastAsia="cs-CZ"/>
              </w:rPr>
            </w:pPr>
          </w:p>
        </w:tc>
        <w:tc>
          <w:tcPr>
            <w:tcW w:w="568" w:type="dxa"/>
            <w:tcBorders>
              <w:top w:val="nil"/>
              <w:left w:val="single" w:sz="12" w:space="0" w:color="auto"/>
              <w:bottom w:val="nil"/>
              <w:right w:val="single" w:sz="4" w:space="0" w:color="auto"/>
            </w:tcBorders>
            <w:shd w:val="clear" w:color="000000" w:fill="D0CECE"/>
            <w:vAlign w:val="bottom"/>
            <w:hideMark/>
          </w:tcPr>
          <w:p w14:paraId="716F837D"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Kapa-cita</w:t>
            </w:r>
          </w:p>
        </w:tc>
        <w:tc>
          <w:tcPr>
            <w:tcW w:w="561" w:type="dxa"/>
            <w:tcBorders>
              <w:top w:val="nil"/>
              <w:left w:val="nil"/>
              <w:bottom w:val="nil"/>
              <w:right w:val="single" w:sz="4" w:space="0" w:color="auto"/>
            </w:tcBorders>
            <w:shd w:val="clear" w:color="000000" w:fill="D0CECE"/>
            <w:vAlign w:val="bottom"/>
            <w:hideMark/>
          </w:tcPr>
          <w:p w14:paraId="5E143457"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tříd</w:t>
            </w:r>
          </w:p>
        </w:tc>
        <w:tc>
          <w:tcPr>
            <w:tcW w:w="561" w:type="dxa"/>
            <w:tcBorders>
              <w:top w:val="nil"/>
              <w:left w:val="nil"/>
              <w:bottom w:val="nil"/>
              <w:right w:val="single" w:sz="12" w:space="0" w:color="auto"/>
            </w:tcBorders>
            <w:shd w:val="clear" w:color="000000" w:fill="D0CECE"/>
            <w:vAlign w:val="bottom"/>
            <w:hideMark/>
          </w:tcPr>
          <w:p w14:paraId="4828D708"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žáků</w:t>
            </w:r>
          </w:p>
        </w:tc>
        <w:tc>
          <w:tcPr>
            <w:tcW w:w="568" w:type="dxa"/>
            <w:tcBorders>
              <w:top w:val="nil"/>
              <w:left w:val="single" w:sz="12" w:space="0" w:color="auto"/>
              <w:bottom w:val="nil"/>
              <w:right w:val="single" w:sz="4" w:space="0" w:color="auto"/>
            </w:tcBorders>
            <w:shd w:val="clear" w:color="000000" w:fill="D0CECE"/>
            <w:vAlign w:val="bottom"/>
            <w:hideMark/>
          </w:tcPr>
          <w:p w14:paraId="61CE172F"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Kapa-cita</w:t>
            </w:r>
          </w:p>
        </w:tc>
        <w:tc>
          <w:tcPr>
            <w:tcW w:w="561" w:type="dxa"/>
            <w:tcBorders>
              <w:top w:val="nil"/>
              <w:left w:val="nil"/>
              <w:bottom w:val="nil"/>
              <w:right w:val="single" w:sz="4" w:space="0" w:color="auto"/>
            </w:tcBorders>
            <w:shd w:val="clear" w:color="000000" w:fill="D0CECE"/>
            <w:vAlign w:val="bottom"/>
            <w:hideMark/>
          </w:tcPr>
          <w:p w14:paraId="3A5C58A4"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tříd</w:t>
            </w:r>
          </w:p>
        </w:tc>
        <w:tc>
          <w:tcPr>
            <w:tcW w:w="561" w:type="dxa"/>
            <w:tcBorders>
              <w:top w:val="nil"/>
              <w:left w:val="nil"/>
              <w:bottom w:val="nil"/>
              <w:right w:val="single" w:sz="12" w:space="0" w:color="auto"/>
            </w:tcBorders>
            <w:shd w:val="clear" w:color="000000" w:fill="D0CECE"/>
            <w:vAlign w:val="bottom"/>
            <w:hideMark/>
          </w:tcPr>
          <w:p w14:paraId="03C15B02"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žáků</w:t>
            </w:r>
          </w:p>
        </w:tc>
        <w:tc>
          <w:tcPr>
            <w:tcW w:w="568" w:type="dxa"/>
            <w:tcBorders>
              <w:top w:val="nil"/>
              <w:left w:val="single" w:sz="12" w:space="0" w:color="auto"/>
              <w:bottom w:val="nil"/>
              <w:right w:val="single" w:sz="4" w:space="0" w:color="auto"/>
            </w:tcBorders>
            <w:shd w:val="clear" w:color="000000" w:fill="D0CECE"/>
            <w:vAlign w:val="bottom"/>
            <w:hideMark/>
          </w:tcPr>
          <w:p w14:paraId="2BCCFD85"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Kapa-cita</w:t>
            </w:r>
          </w:p>
        </w:tc>
        <w:tc>
          <w:tcPr>
            <w:tcW w:w="561" w:type="dxa"/>
            <w:tcBorders>
              <w:top w:val="nil"/>
              <w:left w:val="nil"/>
              <w:bottom w:val="nil"/>
              <w:right w:val="single" w:sz="4" w:space="0" w:color="auto"/>
            </w:tcBorders>
            <w:shd w:val="clear" w:color="000000" w:fill="D0CECE"/>
            <w:vAlign w:val="bottom"/>
            <w:hideMark/>
          </w:tcPr>
          <w:p w14:paraId="7226AE15"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tříd</w:t>
            </w:r>
          </w:p>
        </w:tc>
        <w:tc>
          <w:tcPr>
            <w:tcW w:w="561" w:type="dxa"/>
            <w:tcBorders>
              <w:top w:val="nil"/>
              <w:left w:val="nil"/>
              <w:bottom w:val="nil"/>
              <w:right w:val="single" w:sz="12" w:space="0" w:color="auto"/>
            </w:tcBorders>
            <w:shd w:val="clear" w:color="000000" w:fill="D0CECE"/>
            <w:vAlign w:val="bottom"/>
            <w:hideMark/>
          </w:tcPr>
          <w:p w14:paraId="50F14281"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žáků</w:t>
            </w:r>
          </w:p>
        </w:tc>
        <w:tc>
          <w:tcPr>
            <w:tcW w:w="600" w:type="dxa"/>
            <w:tcBorders>
              <w:top w:val="nil"/>
              <w:left w:val="single" w:sz="12" w:space="0" w:color="auto"/>
              <w:bottom w:val="nil"/>
              <w:right w:val="single" w:sz="4" w:space="0" w:color="auto"/>
            </w:tcBorders>
            <w:shd w:val="clear" w:color="000000" w:fill="D0CECE"/>
            <w:vAlign w:val="bottom"/>
            <w:hideMark/>
          </w:tcPr>
          <w:p w14:paraId="529137D6"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Kapa-cita</w:t>
            </w:r>
          </w:p>
        </w:tc>
        <w:tc>
          <w:tcPr>
            <w:tcW w:w="561" w:type="dxa"/>
            <w:tcBorders>
              <w:top w:val="nil"/>
              <w:left w:val="nil"/>
              <w:bottom w:val="nil"/>
              <w:right w:val="single" w:sz="4" w:space="0" w:color="auto"/>
            </w:tcBorders>
            <w:shd w:val="clear" w:color="000000" w:fill="D0CECE"/>
            <w:vAlign w:val="bottom"/>
            <w:hideMark/>
          </w:tcPr>
          <w:p w14:paraId="2817F8F1"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tříd</w:t>
            </w:r>
          </w:p>
        </w:tc>
        <w:tc>
          <w:tcPr>
            <w:tcW w:w="561" w:type="dxa"/>
            <w:tcBorders>
              <w:top w:val="nil"/>
              <w:left w:val="nil"/>
              <w:bottom w:val="nil"/>
              <w:right w:val="single" w:sz="12" w:space="0" w:color="auto"/>
            </w:tcBorders>
            <w:shd w:val="clear" w:color="000000" w:fill="D0CECE"/>
            <w:vAlign w:val="bottom"/>
            <w:hideMark/>
          </w:tcPr>
          <w:p w14:paraId="3AB5F41E"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žáků</w:t>
            </w:r>
          </w:p>
        </w:tc>
        <w:tc>
          <w:tcPr>
            <w:tcW w:w="568" w:type="dxa"/>
            <w:tcBorders>
              <w:top w:val="nil"/>
              <w:left w:val="single" w:sz="12" w:space="0" w:color="auto"/>
              <w:bottom w:val="nil"/>
              <w:right w:val="single" w:sz="4" w:space="0" w:color="auto"/>
            </w:tcBorders>
            <w:shd w:val="clear" w:color="000000" w:fill="D0CECE"/>
            <w:vAlign w:val="bottom"/>
            <w:hideMark/>
          </w:tcPr>
          <w:p w14:paraId="7162F012"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Kapa-cita</w:t>
            </w:r>
          </w:p>
        </w:tc>
        <w:tc>
          <w:tcPr>
            <w:tcW w:w="561" w:type="dxa"/>
            <w:tcBorders>
              <w:top w:val="nil"/>
              <w:left w:val="nil"/>
              <w:bottom w:val="nil"/>
              <w:right w:val="single" w:sz="4" w:space="0" w:color="auto"/>
            </w:tcBorders>
            <w:shd w:val="clear" w:color="000000" w:fill="D0CECE"/>
            <w:vAlign w:val="bottom"/>
            <w:hideMark/>
          </w:tcPr>
          <w:p w14:paraId="7BA0E62F"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tříd</w:t>
            </w:r>
          </w:p>
        </w:tc>
        <w:tc>
          <w:tcPr>
            <w:tcW w:w="561" w:type="dxa"/>
            <w:tcBorders>
              <w:top w:val="nil"/>
              <w:left w:val="nil"/>
              <w:bottom w:val="nil"/>
              <w:right w:val="single" w:sz="12" w:space="0" w:color="auto"/>
            </w:tcBorders>
            <w:shd w:val="clear" w:color="000000" w:fill="D0CECE"/>
            <w:vAlign w:val="bottom"/>
            <w:hideMark/>
          </w:tcPr>
          <w:p w14:paraId="66AB9ED2"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žáků</w:t>
            </w:r>
          </w:p>
        </w:tc>
        <w:tc>
          <w:tcPr>
            <w:tcW w:w="568" w:type="dxa"/>
            <w:tcBorders>
              <w:top w:val="nil"/>
              <w:left w:val="single" w:sz="12" w:space="0" w:color="auto"/>
              <w:bottom w:val="nil"/>
              <w:right w:val="single" w:sz="4" w:space="0" w:color="auto"/>
            </w:tcBorders>
            <w:shd w:val="clear" w:color="000000" w:fill="D0CECE"/>
            <w:vAlign w:val="bottom"/>
            <w:hideMark/>
          </w:tcPr>
          <w:p w14:paraId="60F8C0F8"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Kapa-cita</w:t>
            </w:r>
          </w:p>
        </w:tc>
        <w:tc>
          <w:tcPr>
            <w:tcW w:w="561" w:type="dxa"/>
            <w:tcBorders>
              <w:top w:val="nil"/>
              <w:left w:val="nil"/>
              <w:bottom w:val="nil"/>
              <w:right w:val="single" w:sz="4" w:space="0" w:color="auto"/>
            </w:tcBorders>
            <w:shd w:val="clear" w:color="000000" w:fill="D0CECE"/>
            <w:vAlign w:val="bottom"/>
            <w:hideMark/>
          </w:tcPr>
          <w:p w14:paraId="420FCC66"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tříd</w:t>
            </w:r>
          </w:p>
        </w:tc>
        <w:tc>
          <w:tcPr>
            <w:tcW w:w="561" w:type="dxa"/>
            <w:tcBorders>
              <w:top w:val="nil"/>
              <w:left w:val="nil"/>
              <w:bottom w:val="nil"/>
              <w:right w:val="single" w:sz="12" w:space="0" w:color="auto"/>
            </w:tcBorders>
            <w:shd w:val="clear" w:color="000000" w:fill="D0CECE"/>
            <w:vAlign w:val="bottom"/>
            <w:hideMark/>
          </w:tcPr>
          <w:p w14:paraId="73214AE1"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žáků</w:t>
            </w:r>
          </w:p>
        </w:tc>
        <w:tc>
          <w:tcPr>
            <w:tcW w:w="568" w:type="dxa"/>
            <w:tcBorders>
              <w:top w:val="nil"/>
              <w:left w:val="single" w:sz="12" w:space="0" w:color="auto"/>
              <w:bottom w:val="nil"/>
              <w:right w:val="single" w:sz="4" w:space="0" w:color="auto"/>
            </w:tcBorders>
            <w:shd w:val="clear" w:color="000000" w:fill="D0CECE"/>
            <w:vAlign w:val="bottom"/>
            <w:hideMark/>
          </w:tcPr>
          <w:p w14:paraId="5F42942B"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Kapa-cita</w:t>
            </w:r>
          </w:p>
        </w:tc>
        <w:tc>
          <w:tcPr>
            <w:tcW w:w="561" w:type="dxa"/>
            <w:tcBorders>
              <w:top w:val="nil"/>
              <w:left w:val="nil"/>
              <w:bottom w:val="nil"/>
              <w:right w:val="single" w:sz="4" w:space="0" w:color="auto"/>
            </w:tcBorders>
            <w:shd w:val="clear" w:color="000000" w:fill="D0CECE"/>
            <w:vAlign w:val="bottom"/>
            <w:hideMark/>
          </w:tcPr>
          <w:p w14:paraId="183B2E55"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tříd</w:t>
            </w:r>
          </w:p>
        </w:tc>
        <w:tc>
          <w:tcPr>
            <w:tcW w:w="561" w:type="dxa"/>
            <w:tcBorders>
              <w:top w:val="nil"/>
              <w:left w:val="nil"/>
              <w:bottom w:val="nil"/>
              <w:right w:val="single" w:sz="12" w:space="0" w:color="auto"/>
            </w:tcBorders>
            <w:shd w:val="clear" w:color="000000" w:fill="D0CECE"/>
            <w:vAlign w:val="bottom"/>
            <w:hideMark/>
          </w:tcPr>
          <w:p w14:paraId="316D3E42"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Počet žáků</w:t>
            </w:r>
          </w:p>
        </w:tc>
      </w:tr>
      <w:tr w:rsidR="00AD5348" w:rsidRPr="007B79AF" w14:paraId="3754B2FC"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087BCC7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1.ZŠ</w:t>
            </w:r>
          </w:p>
        </w:tc>
        <w:tc>
          <w:tcPr>
            <w:tcW w:w="1865" w:type="dxa"/>
            <w:tcBorders>
              <w:top w:val="nil"/>
              <w:left w:val="nil"/>
              <w:bottom w:val="single" w:sz="4" w:space="0" w:color="auto"/>
              <w:right w:val="single" w:sz="12" w:space="0" w:color="auto"/>
            </w:tcBorders>
            <w:shd w:val="clear" w:color="000000" w:fill="E2EFDA"/>
            <w:vAlign w:val="bottom"/>
            <w:hideMark/>
          </w:tcPr>
          <w:p w14:paraId="105F0410"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Emila Zátopka Zlín,</w:t>
            </w:r>
            <w:r>
              <w:rPr>
                <w:rFonts w:eastAsia="Times New Roman" w:cstheme="minorHAnsi"/>
                <w:sz w:val="18"/>
                <w:szCs w:val="18"/>
                <w:lang w:eastAsia="cs-CZ"/>
              </w:rPr>
              <w:t xml:space="preserve"> </w:t>
            </w:r>
            <w:r w:rsidRPr="007B79AF">
              <w:rPr>
                <w:rFonts w:eastAsia="Times New Roman" w:cstheme="minorHAnsi"/>
                <w:sz w:val="18"/>
                <w:szCs w:val="18"/>
                <w:lang w:eastAsia="cs-CZ"/>
              </w:rPr>
              <w:t>Univerzitní 2701</w:t>
            </w:r>
          </w:p>
        </w:tc>
        <w:tc>
          <w:tcPr>
            <w:tcW w:w="568"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282B9AB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620</w:t>
            </w:r>
          </w:p>
        </w:tc>
        <w:tc>
          <w:tcPr>
            <w:tcW w:w="561" w:type="dxa"/>
            <w:tcBorders>
              <w:top w:val="single" w:sz="4" w:space="0" w:color="auto"/>
              <w:left w:val="nil"/>
              <w:bottom w:val="single" w:sz="4" w:space="0" w:color="auto"/>
              <w:right w:val="single" w:sz="4" w:space="0" w:color="auto"/>
            </w:tcBorders>
            <w:shd w:val="clear" w:color="auto" w:fill="auto"/>
            <w:noWrap/>
            <w:vAlign w:val="bottom"/>
            <w:hideMark/>
          </w:tcPr>
          <w:p w14:paraId="2BDAAA6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21</w:t>
            </w:r>
          </w:p>
        </w:tc>
        <w:tc>
          <w:tcPr>
            <w:tcW w:w="561" w:type="dxa"/>
            <w:tcBorders>
              <w:top w:val="single" w:sz="4" w:space="0" w:color="auto"/>
              <w:left w:val="nil"/>
              <w:bottom w:val="single" w:sz="4" w:space="0" w:color="auto"/>
              <w:right w:val="single" w:sz="12" w:space="0" w:color="auto"/>
            </w:tcBorders>
            <w:shd w:val="clear" w:color="auto" w:fill="auto"/>
            <w:noWrap/>
            <w:vAlign w:val="bottom"/>
            <w:hideMark/>
          </w:tcPr>
          <w:p w14:paraId="7EC8286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428</w:t>
            </w:r>
          </w:p>
        </w:tc>
        <w:tc>
          <w:tcPr>
            <w:tcW w:w="568"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5FC2E25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620</w:t>
            </w:r>
          </w:p>
        </w:tc>
        <w:tc>
          <w:tcPr>
            <w:tcW w:w="561" w:type="dxa"/>
            <w:tcBorders>
              <w:top w:val="single" w:sz="4" w:space="0" w:color="auto"/>
              <w:left w:val="nil"/>
              <w:bottom w:val="single" w:sz="4" w:space="0" w:color="auto"/>
              <w:right w:val="single" w:sz="4" w:space="0" w:color="auto"/>
            </w:tcBorders>
            <w:shd w:val="clear" w:color="auto" w:fill="auto"/>
            <w:noWrap/>
            <w:vAlign w:val="bottom"/>
            <w:hideMark/>
          </w:tcPr>
          <w:p w14:paraId="5272053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22</w:t>
            </w:r>
          </w:p>
        </w:tc>
        <w:tc>
          <w:tcPr>
            <w:tcW w:w="561" w:type="dxa"/>
            <w:tcBorders>
              <w:top w:val="single" w:sz="4" w:space="0" w:color="auto"/>
              <w:left w:val="nil"/>
              <w:bottom w:val="single" w:sz="4" w:space="0" w:color="auto"/>
              <w:right w:val="single" w:sz="12" w:space="0" w:color="auto"/>
            </w:tcBorders>
            <w:shd w:val="clear" w:color="auto" w:fill="auto"/>
            <w:noWrap/>
            <w:vAlign w:val="bottom"/>
            <w:hideMark/>
          </w:tcPr>
          <w:p w14:paraId="7B3FC2A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459</w:t>
            </w:r>
          </w:p>
        </w:tc>
        <w:tc>
          <w:tcPr>
            <w:tcW w:w="568"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581ABA0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620</w:t>
            </w:r>
          </w:p>
        </w:tc>
        <w:tc>
          <w:tcPr>
            <w:tcW w:w="561" w:type="dxa"/>
            <w:tcBorders>
              <w:top w:val="single" w:sz="4" w:space="0" w:color="auto"/>
              <w:left w:val="nil"/>
              <w:bottom w:val="single" w:sz="4" w:space="0" w:color="auto"/>
              <w:right w:val="single" w:sz="4" w:space="0" w:color="auto"/>
            </w:tcBorders>
            <w:shd w:val="clear" w:color="auto" w:fill="auto"/>
            <w:noWrap/>
            <w:vAlign w:val="bottom"/>
            <w:hideMark/>
          </w:tcPr>
          <w:p w14:paraId="145ED3F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single" w:sz="4" w:space="0" w:color="auto"/>
              <w:left w:val="nil"/>
              <w:bottom w:val="single" w:sz="4" w:space="0" w:color="auto"/>
              <w:right w:val="single" w:sz="12" w:space="0" w:color="auto"/>
            </w:tcBorders>
            <w:shd w:val="clear" w:color="auto" w:fill="auto"/>
            <w:noWrap/>
            <w:vAlign w:val="bottom"/>
            <w:hideMark/>
          </w:tcPr>
          <w:p w14:paraId="14F7750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470</w:t>
            </w:r>
          </w:p>
        </w:tc>
        <w:tc>
          <w:tcPr>
            <w:tcW w:w="600"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7450E7B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620</w:t>
            </w:r>
          </w:p>
        </w:tc>
        <w:tc>
          <w:tcPr>
            <w:tcW w:w="561" w:type="dxa"/>
            <w:tcBorders>
              <w:top w:val="single" w:sz="4" w:space="0" w:color="auto"/>
              <w:left w:val="nil"/>
              <w:bottom w:val="single" w:sz="4" w:space="0" w:color="auto"/>
              <w:right w:val="single" w:sz="4" w:space="0" w:color="auto"/>
            </w:tcBorders>
            <w:shd w:val="clear" w:color="auto" w:fill="auto"/>
            <w:noWrap/>
            <w:vAlign w:val="bottom"/>
            <w:hideMark/>
          </w:tcPr>
          <w:p w14:paraId="5ED5C8A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single" w:sz="4" w:space="0" w:color="auto"/>
              <w:left w:val="nil"/>
              <w:bottom w:val="single" w:sz="4" w:space="0" w:color="auto"/>
              <w:right w:val="single" w:sz="12" w:space="0" w:color="auto"/>
            </w:tcBorders>
            <w:shd w:val="clear" w:color="auto" w:fill="auto"/>
            <w:noWrap/>
            <w:vAlign w:val="bottom"/>
            <w:hideMark/>
          </w:tcPr>
          <w:p w14:paraId="4A7F3D4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473</w:t>
            </w:r>
          </w:p>
        </w:tc>
        <w:tc>
          <w:tcPr>
            <w:tcW w:w="568"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0E5EB6B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620</w:t>
            </w:r>
          </w:p>
        </w:tc>
        <w:tc>
          <w:tcPr>
            <w:tcW w:w="561" w:type="dxa"/>
            <w:tcBorders>
              <w:top w:val="single" w:sz="4" w:space="0" w:color="auto"/>
              <w:left w:val="nil"/>
              <w:bottom w:val="single" w:sz="4" w:space="0" w:color="auto"/>
              <w:right w:val="single" w:sz="4" w:space="0" w:color="auto"/>
            </w:tcBorders>
            <w:shd w:val="clear" w:color="auto" w:fill="auto"/>
            <w:noWrap/>
            <w:vAlign w:val="bottom"/>
            <w:hideMark/>
          </w:tcPr>
          <w:p w14:paraId="62956AB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single" w:sz="4" w:space="0" w:color="auto"/>
              <w:left w:val="nil"/>
              <w:bottom w:val="single" w:sz="4" w:space="0" w:color="auto"/>
              <w:right w:val="single" w:sz="12" w:space="0" w:color="auto"/>
            </w:tcBorders>
            <w:shd w:val="clear" w:color="auto" w:fill="auto"/>
            <w:noWrap/>
            <w:vAlign w:val="bottom"/>
            <w:hideMark/>
          </w:tcPr>
          <w:p w14:paraId="192BEA9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489</w:t>
            </w:r>
          </w:p>
        </w:tc>
        <w:tc>
          <w:tcPr>
            <w:tcW w:w="568"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44D2685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620</w:t>
            </w:r>
          </w:p>
        </w:tc>
        <w:tc>
          <w:tcPr>
            <w:tcW w:w="561" w:type="dxa"/>
            <w:tcBorders>
              <w:top w:val="single" w:sz="4" w:space="0" w:color="auto"/>
              <w:left w:val="nil"/>
              <w:bottom w:val="single" w:sz="4" w:space="0" w:color="auto"/>
              <w:right w:val="single" w:sz="4" w:space="0" w:color="auto"/>
            </w:tcBorders>
            <w:shd w:val="clear" w:color="auto" w:fill="auto"/>
            <w:noWrap/>
            <w:vAlign w:val="bottom"/>
            <w:hideMark/>
          </w:tcPr>
          <w:p w14:paraId="56FA674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single" w:sz="4" w:space="0" w:color="auto"/>
              <w:left w:val="nil"/>
              <w:bottom w:val="single" w:sz="4" w:space="0" w:color="auto"/>
              <w:right w:val="single" w:sz="12" w:space="0" w:color="auto"/>
            </w:tcBorders>
            <w:shd w:val="clear" w:color="auto" w:fill="auto"/>
            <w:noWrap/>
            <w:vAlign w:val="bottom"/>
            <w:hideMark/>
          </w:tcPr>
          <w:p w14:paraId="5F5961D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477</w:t>
            </w:r>
          </w:p>
        </w:tc>
        <w:tc>
          <w:tcPr>
            <w:tcW w:w="568" w:type="dxa"/>
            <w:tcBorders>
              <w:top w:val="single" w:sz="4" w:space="0" w:color="auto"/>
              <w:left w:val="single" w:sz="12" w:space="0" w:color="auto"/>
              <w:bottom w:val="single" w:sz="4" w:space="0" w:color="auto"/>
              <w:right w:val="single" w:sz="4" w:space="0" w:color="auto"/>
            </w:tcBorders>
            <w:shd w:val="clear" w:color="000000" w:fill="FCF5F8"/>
            <w:noWrap/>
            <w:vAlign w:val="bottom"/>
            <w:hideMark/>
          </w:tcPr>
          <w:p w14:paraId="030C4F4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620</w:t>
            </w:r>
          </w:p>
        </w:tc>
        <w:tc>
          <w:tcPr>
            <w:tcW w:w="561" w:type="dxa"/>
            <w:tcBorders>
              <w:top w:val="single" w:sz="4" w:space="0" w:color="auto"/>
              <w:left w:val="single" w:sz="4" w:space="0" w:color="auto"/>
              <w:bottom w:val="single" w:sz="4" w:space="0" w:color="auto"/>
              <w:right w:val="single" w:sz="4" w:space="0" w:color="auto"/>
            </w:tcBorders>
            <w:shd w:val="clear" w:color="000000" w:fill="FBCCCE"/>
            <w:noWrap/>
            <w:vAlign w:val="bottom"/>
            <w:hideMark/>
          </w:tcPr>
          <w:p w14:paraId="0A4A112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24</w:t>
            </w:r>
          </w:p>
        </w:tc>
        <w:tc>
          <w:tcPr>
            <w:tcW w:w="561" w:type="dxa"/>
            <w:tcBorders>
              <w:top w:val="single" w:sz="4" w:space="0" w:color="auto"/>
              <w:left w:val="single" w:sz="4" w:space="0" w:color="auto"/>
              <w:bottom w:val="single" w:sz="4" w:space="0" w:color="auto"/>
              <w:right w:val="single" w:sz="12" w:space="0" w:color="auto"/>
            </w:tcBorders>
            <w:shd w:val="clear" w:color="000000" w:fill="FCFCFF"/>
            <w:noWrap/>
            <w:vAlign w:val="bottom"/>
            <w:hideMark/>
          </w:tcPr>
          <w:p w14:paraId="56813ED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486</w:t>
            </w:r>
          </w:p>
        </w:tc>
      </w:tr>
      <w:tr w:rsidR="00AD5348" w:rsidRPr="007B79AF" w14:paraId="2EDF3241"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476345E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3.ZŠ</w:t>
            </w:r>
          </w:p>
        </w:tc>
        <w:tc>
          <w:tcPr>
            <w:tcW w:w="1865" w:type="dxa"/>
            <w:tcBorders>
              <w:top w:val="nil"/>
              <w:left w:val="nil"/>
              <w:bottom w:val="single" w:sz="4" w:space="0" w:color="auto"/>
              <w:right w:val="single" w:sz="12" w:space="0" w:color="auto"/>
            </w:tcBorders>
            <w:shd w:val="clear" w:color="000000" w:fill="E2EFDA"/>
            <w:vAlign w:val="bottom"/>
            <w:hideMark/>
          </w:tcPr>
          <w:p w14:paraId="467CF539"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 xml:space="preserve">Základní škola Zlín, Slovenská 3076        </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2D86AC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640</w:t>
            </w:r>
          </w:p>
        </w:tc>
        <w:tc>
          <w:tcPr>
            <w:tcW w:w="561" w:type="dxa"/>
            <w:tcBorders>
              <w:top w:val="nil"/>
              <w:left w:val="nil"/>
              <w:bottom w:val="single" w:sz="4" w:space="0" w:color="auto"/>
              <w:right w:val="single" w:sz="4" w:space="0" w:color="auto"/>
            </w:tcBorders>
            <w:shd w:val="clear" w:color="auto" w:fill="auto"/>
            <w:noWrap/>
            <w:vAlign w:val="bottom"/>
            <w:hideMark/>
          </w:tcPr>
          <w:p w14:paraId="0385B47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28</w:t>
            </w:r>
          </w:p>
        </w:tc>
        <w:tc>
          <w:tcPr>
            <w:tcW w:w="561" w:type="dxa"/>
            <w:tcBorders>
              <w:top w:val="nil"/>
              <w:left w:val="nil"/>
              <w:bottom w:val="single" w:sz="4" w:space="0" w:color="auto"/>
              <w:right w:val="single" w:sz="12" w:space="0" w:color="auto"/>
            </w:tcBorders>
            <w:shd w:val="clear" w:color="auto" w:fill="auto"/>
            <w:noWrap/>
            <w:vAlign w:val="bottom"/>
            <w:hideMark/>
          </w:tcPr>
          <w:p w14:paraId="3B69982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CFE858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640</w:t>
            </w:r>
          </w:p>
        </w:tc>
        <w:tc>
          <w:tcPr>
            <w:tcW w:w="561" w:type="dxa"/>
            <w:tcBorders>
              <w:top w:val="nil"/>
              <w:left w:val="nil"/>
              <w:bottom w:val="single" w:sz="4" w:space="0" w:color="auto"/>
              <w:right w:val="single" w:sz="4" w:space="0" w:color="auto"/>
            </w:tcBorders>
            <w:shd w:val="clear" w:color="auto" w:fill="auto"/>
            <w:noWrap/>
            <w:vAlign w:val="bottom"/>
            <w:hideMark/>
          </w:tcPr>
          <w:p w14:paraId="2B556DD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29</w:t>
            </w:r>
          </w:p>
        </w:tc>
        <w:tc>
          <w:tcPr>
            <w:tcW w:w="561" w:type="dxa"/>
            <w:tcBorders>
              <w:top w:val="nil"/>
              <w:left w:val="nil"/>
              <w:bottom w:val="single" w:sz="4" w:space="0" w:color="auto"/>
              <w:right w:val="single" w:sz="12" w:space="0" w:color="auto"/>
            </w:tcBorders>
            <w:shd w:val="clear" w:color="auto" w:fill="auto"/>
            <w:noWrap/>
            <w:vAlign w:val="bottom"/>
            <w:hideMark/>
          </w:tcPr>
          <w:p w14:paraId="0763131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636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EDF3DB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640</w:t>
            </w:r>
          </w:p>
        </w:tc>
        <w:tc>
          <w:tcPr>
            <w:tcW w:w="561" w:type="dxa"/>
            <w:tcBorders>
              <w:top w:val="nil"/>
              <w:left w:val="nil"/>
              <w:bottom w:val="single" w:sz="4" w:space="0" w:color="auto"/>
              <w:right w:val="single" w:sz="4" w:space="0" w:color="auto"/>
            </w:tcBorders>
            <w:shd w:val="clear" w:color="auto" w:fill="auto"/>
            <w:noWrap/>
            <w:vAlign w:val="bottom"/>
            <w:hideMark/>
          </w:tcPr>
          <w:p w14:paraId="554FFE8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29</w:t>
            </w:r>
          </w:p>
        </w:tc>
        <w:tc>
          <w:tcPr>
            <w:tcW w:w="561" w:type="dxa"/>
            <w:tcBorders>
              <w:top w:val="nil"/>
              <w:left w:val="nil"/>
              <w:bottom w:val="single" w:sz="4" w:space="0" w:color="auto"/>
              <w:right w:val="single" w:sz="12" w:space="0" w:color="auto"/>
            </w:tcBorders>
            <w:shd w:val="clear" w:color="auto" w:fill="auto"/>
            <w:noWrap/>
            <w:vAlign w:val="bottom"/>
            <w:hideMark/>
          </w:tcPr>
          <w:p w14:paraId="78E3977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617</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4E36B30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640</w:t>
            </w:r>
          </w:p>
        </w:tc>
        <w:tc>
          <w:tcPr>
            <w:tcW w:w="561" w:type="dxa"/>
            <w:tcBorders>
              <w:top w:val="nil"/>
              <w:left w:val="nil"/>
              <w:bottom w:val="single" w:sz="4" w:space="0" w:color="auto"/>
              <w:right w:val="single" w:sz="4" w:space="0" w:color="auto"/>
            </w:tcBorders>
            <w:shd w:val="clear" w:color="auto" w:fill="auto"/>
            <w:noWrap/>
            <w:vAlign w:val="bottom"/>
            <w:hideMark/>
          </w:tcPr>
          <w:p w14:paraId="237FFF9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29</w:t>
            </w:r>
          </w:p>
        </w:tc>
        <w:tc>
          <w:tcPr>
            <w:tcW w:w="561" w:type="dxa"/>
            <w:tcBorders>
              <w:top w:val="nil"/>
              <w:left w:val="nil"/>
              <w:bottom w:val="single" w:sz="4" w:space="0" w:color="auto"/>
              <w:right w:val="single" w:sz="12" w:space="0" w:color="auto"/>
            </w:tcBorders>
            <w:shd w:val="clear" w:color="auto" w:fill="auto"/>
            <w:noWrap/>
            <w:vAlign w:val="bottom"/>
            <w:hideMark/>
          </w:tcPr>
          <w:p w14:paraId="007E40F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68E30A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640</w:t>
            </w:r>
          </w:p>
        </w:tc>
        <w:tc>
          <w:tcPr>
            <w:tcW w:w="561" w:type="dxa"/>
            <w:tcBorders>
              <w:top w:val="nil"/>
              <w:left w:val="nil"/>
              <w:bottom w:val="single" w:sz="4" w:space="0" w:color="auto"/>
              <w:right w:val="single" w:sz="4" w:space="0" w:color="auto"/>
            </w:tcBorders>
            <w:shd w:val="clear" w:color="auto" w:fill="auto"/>
            <w:noWrap/>
            <w:vAlign w:val="bottom"/>
            <w:hideMark/>
          </w:tcPr>
          <w:p w14:paraId="17ED14A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29</w:t>
            </w:r>
          </w:p>
        </w:tc>
        <w:tc>
          <w:tcPr>
            <w:tcW w:w="561" w:type="dxa"/>
            <w:tcBorders>
              <w:top w:val="nil"/>
              <w:left w:val="nil"/>
              <w:bottom w:val="single" w:sz="4" w:space="0" w:color="auto"/>
              <w:right w:val="single" w:sz="12" w:space="0" w:color="auto"/>
            </w:tcBorders>
            <w:shd w:val="clear" w:color="auto" w:fill="auto"/>
            <w:noWrap/>
            <w:vAlign w:val="bottom"/>
            <w:hideMark/>
          </w:tcPr>
          <w:p w14:paraId="7D3DAFB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634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28B4C7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640</w:t>
            </w:r>
          </w:p>
        </w:tc>
        <w:tc>
          <w:tcPr>
            <w:tcW w:w="561" w:type="dxa"/>
            <w:tcBorders>
              <w:top w:val="nil"/>
              <w:left w:val="nil"/>
              <w:bottom w:val="single" w:sz="4" w:space="0" w:color="auto"/>
              <w:right w:val="single" w:sz="4" w:space="0" w:color="auto"/>
            </w:tcBorders>
            <w:shd w:val="clear" w:color="auto" w:fill="auto"/>
            <w:noWrap/>
            <w:vAlign w:val="bottom"/>
            <w:hideMark/>
          </w:tcPr>
          <w:p w14:paraId="750151C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29</w:t>
            </w:r>
          </w:p>
        </w:tc>
        <w:tc>
          <w:tcPr>
            <w:tcW w:w="561" w:type="dxa"/>
            <w:tcBorders>
              <w:top w:val="nil"/>
              <w:left w:val="nil"/>
              <w:bottom w:val="single" w:sz="4" w:space="0" w:color="auto"/>
              <w:right w:val="single" w:sz="12" w:space="0" w:color="auto"/>
            </w:tcBorders>
            <w:shd w:val="clear" w:color="auto" w:fill="auto"/>
            <w:noWrap/>
            <w:vAlign w:val="bottom"/>
            <w:hideMark/>
          </w:tcPr>
          <w:p w14:paraId="4EAC779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634</w:t>
            </w:r>
          </w:p>
        </w:tc>
        <w:tc>
          <w:tcPr>
            <w:tcW w:w="568" w:type="dxa"/>
            <w:tcBorders>
              <w:top w:val="single" w:sz="4" w:space="0" w:color="auto"/>
              <w:left w:val="single" w:sz="12" w:space="0" w:color="auto"/>
              <w:bottom w:val="single" w:sz="4" w:space="0" w:color="auto"/>
              <w:right w:val="single" w:sz="4" w:space="0" w:color="auto"/>
            </w:tcBorders>
            <w:shd w:val="clear" w:color="000000" w:fill="FCEEF1"/>
            <w:noWrap/>
            <w:vAlign w:val="bottom"/>
            <w:hideMark/>
          </w:tcPr>
          <w:p w14:paraId="4974022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640</w:t>
            </w:r>
          </w:p>
        </w:tc>
        <w:tc>
          <w:tcPr>
            <w:tcW w:w="56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283F53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30</w:t>
            </w:r>
          </w:p>
        </w:tc>
        <w:tc>
          <w:tcPr>
            <w:tcW w:w="561" w:type="dxa"/>
            <w:tcBorders>
              <w:top w:val="single" w:sz="4" w:space="0" w:color="auto"/>
              <w:left w:val="single" w:sz="4" w:space="0" w:color="auto"/>
              <w:bottom w:val="single" w:sz="4" w:space="0" w:color="auto"/>
              <w:right w:val="single" w:sz="12" w:space="0" w:color="auto"/>
            </w:tcBorders>
            <w:shd w:val="clear" w:color="000000" w:fill="FA9B9D"/>
            <w:noWrap/>
            <w:vAlign w:val="bottom"/>
            <w:hideMark/>
          </w:tcPr>
          <w:p w14:paraId="1B628D9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631</w:t>
            </w:r>
          </w:p>
        </w:tc>
      </w:tr>
      <w:tr w:rsidR="00AD5348" w:rsidRPr="007B79AF" w14:paraId="0818D3C5"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4397A1E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4.ZŠ</w:t>
            </w:r>
          </w:p>
        </w:tc>
        <w:tc>
          <w:tcPr>
            <w:tcW w:w="1865" w:type="dxa"/>
            <w:tcBorders>
              <w:top w:val="nil"/>
              <w:left w:val="nil"/>
              <w:bottom w:val="single" w:sz="4" w:space="0" w:color="auto"/>
              <w:right w:val="single" w:sz="12" w:space="0" w:color="auto"/>
            </w:tcBorders>
            <w:shd w:val="clear" w:color="000000" w:fill="E2EFDA"/>
            <w:vAlign w:val="bottom"/>
            <w:hideMark/>
          </w:tcPr>
          <w:p w14:paraId="2B2B2743"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Komenského I, Zlín, Havlíčkovo nábř. 3114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18DF0F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600</w:t>
            </w:r>
          </w:p>
        </w:tc>
        <w:tc>
          <w:tcPr>
            <w:tcW w:w="561" w:type="dxa"/>
            <w:tcBorders>
              <w:top w:val="nil"/>
              <w:left w:val="nil"/>
              <w:bottom w:val="single" w:sz="4" w:space="0" w:color="auto"/>
              <w:right w:val="single" w:sz="4" w:space="0" w:color="auto"/>
            </w:tcBorders>
            <w:shd w:val="clear" w:color="auto" w:fill="auto"/>
            <w:noWrap/>
            <w:vAlign w:val="bottom"/>
            <w:hideMark/>
          </w:tcPr>
          <w:p w14:paraId="2D62BD8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nil"/>
              <w:left w:val="nil"/>
              <w:bottom w:val="single" w:sz="4" w:space="0" w:color="auto"/>
              <w:right w:val="single" w:sz="12" w:space="0" w:color="auto"/>
            </w:tcBorders>
            <w:shd w:val="clear" w:color="auto" w:fill="auto"/>
            <w:noWrap/>
            <w:vAlign w:val="bottom"/>
            <w:hideMark/>
          </w:tcPr>
          <w:p w14:paraId="400CBC0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536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39735C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600</w:t>
            </w:r>
          </w:p>
        </w:tc>
        <w:tc>
          <w:tcPr>
            <w:tcW w:w="561" w:type="dxa"/>
            <w:tcBorders>
              <w:top w:val="nil"/>
              <w:left w:val="nil"/>
              <w:bottom w:val="single" w:sz="4" w:space="0" w:color="auto"/>
              <w:right w:val="single" w:sz="4" w:space="0" w:color="auto"/>
            </w:tcBorders>
            <w:shd w:val="clear" w:color="auto" w:fill="auto"/>
            <w:noWrap/>
            <w:vAlign w:val="bottom"/>
            <w:hideMark/>
          </w:tcPr>
          <w:p w14:paraId="1AF72B8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nil"/>
              <w:left w:val="nil"/>
              <w:bottom w:val="single" w:sz="4" w:space="0" w:color="auto"/>
              <w:right w:val="single" w:sz="12" w:space="0" w:color="auto"/>
            </w:tcBorders>
            <w:shd w:val="clear" w:color="auto" w:fill="auto"/>
            <w:noWrap/>
            <w:vAlign w:val="bottom"/>
            <w:hideMark/>
          </w:tcPr>
          <w:p w14:paraId="174E774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557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843657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600</w:t>
            </w:r>
          </w:p>
        </w:tc>
        <w:tc>
          <w:tcPr>
            <w:tcW w:w="561" w:type="dxa"/>
            <w:tcBorders>
              <w:top w:val="nil"/>
              <w:left w:val="nil"/>
              <w:bottom w:val="single" w:sz="4" w:space="0" w:color="auto"/>
              <w:right w:val="single" w:sz="4" w:space="0" w:color="auto"/>
            </w:tcBorders>
            <w:shd w:val="clear" w:color="auto" w:fill="auto"/>
            <w:noWrap/>
            <w:vAlign w:val="bottom"/>
            <w:hideMark/>
          </w:tcPr>
          <w:p w14:paraId="0C99662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24</w:t>
            </w:r>
          </w:p>
        </w:tc>
        <w:tc>
          <w:tcPr>
            <w:tcW w:w="561" w:type="dxa"/>
            <w:tcBorders>
              <w:top w:val="nil"/>
              <w:left w:val="nil"/>
              <w:bottom w:val="single" w:sz="4" w:space="0" w:color="auto"/>
              <w:right w:val="single" w:sz="12" w:space="0" w:color="auto"/>
            </w:tcBorders>
            <w:shd w:val="clear" w:color="auto" w:fill="auto"/>
            <w:noWrap/>
            <w:vAlign w:val="bottom"/>
            <w:hideMark/>
          </w:tcPr>
          <w:p w14:paraId="73F15FD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551</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0DF62A8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600</w:t>
            </w:r>
          </w:p>
        </w:tc>
        <w:tc>
          <w:tcPr>
            <w:tcW w:w="561" w:type="dxa"/>
            <w:tcBorders>
              <w:top w:val="nil"/>
              <w:left w:val="nil"/>
              <w:bottom w:val="single" w:sz="4" w:space="0" w:color="auto"/>
              <w:right w:val="single" w:sz="4" w:space="0" w:color="auto"/>
            </w:tcBorders>
            <w:shd w:val="clear" w:color="auto" w:fill="auto"/>
            <w:noWrap/>
            <w:vAlign w:val="bottom"/>
            <w:hideMark/>
          </w:tcPr>
          <w:p w14:paraId="37CB114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24</w:t>
            </w:r>
          </w:p>
        </w:tc>
        <w:tc>
          <w:tcPr>
            <w:tcW w:w="561" w:type="dxa"/>
            <w:tcBorders>
              <w:top w:val="nil"/>
              <w:left w:val="nil"/>
              <w:bottom w:val="single" w:sz="4" w:space="0" w:color="auto"/>
              <w:right w:val="single" w:sz="12" w:space="0" w:color="auto"/>
            </w:tcBorders>
            <w:shd w:val="clear" w:color="auto" w:fill="auto"/>
            <w:noWrap/>
            <w:vAlign w:val="bottom"/>
            <w:hideMark/>
          </w:tcPr>
          <w:p w14:paraId="0463AC0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547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ECABE4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600</w:t>
            </w:r>
          </w:p>
        </w:tc>
        <w:tc>
          <w:tcPr>
            <w:tcW w:w="561" w:type="dxa"/>
            <w:tcBorders>
              <w:top w:val="nil"/>
              <w:left w:val="nil"/>
              <w:bottom w:val="single" w:sz="4" w:space="0" w:color="auto"/>
              <w:right w:val="single" w:sz="4" w:space="0" w:color="auto"/>
            </w:tcBorders>
            <w:shd w:val="clear" w:color="auto" w:fill="auto"/>
            <w:noWrap/>
            <w:vAlign w:val="bottom"/>
            <w:hideMark/>
          </w:tcPr>
          <w:p w14:paraId="42F2F67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24</w:t>
            </w:r>
          </w:p>
        </w:tc>
        <w:tc>
          <w:tcPr>
            <w:tcW w:w="561" w:type="dxa"/>
            <w:tcBorders>
              <w:top w:val="nil"/>
              <w:left w:val="nil"/>
              <w:bottom w:val="single" w:sz="4" w:space="0" w:color="auto"/>
              <w:right w:val="single" w:sz="12" w:space="0" w:color="auto"/>
            </w:tcBorders>
            <w:shd w:val="clear" w:color="auto" w:fill="auto"/>
            <w:noWrap/>
            <w:vAlign w:val="bottom"/>
            <w:hideMark/>
          </w:tcPr>
          <w:p w14:paraId="7DE7494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557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CF29B7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600</w:t>
            </w:r>
          </w:p>
        </w:tc>
        <w:tc>
          <w:tcPr>
            <w:tcW w:w="561" w:type="dxa"/>
            <w:tcBorders>
              <w:top w:val="nil"/>
              <w:left w:val="nil"/>
              <w:bottom w:val="single" w:sz="4" w:space="0" w:color="auto"/>
              <w:right w:val="single" w:sz="4" w:space="0" w:color="auto"/>
            </w:tcBorders>
            <w:shd w:val="clear" w:color="auto" w:fill="auto"/>
            <w:noWrap/>
            <w:vAlign w:val="bottom"/>
            <w:hideMark/>
          </w:tcPr>
          <w:p w14:paraId="7242A4C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24</w:t>
            </w:r>
          </w:p>
        </w:tc>
        <w:tc>
          <w:tcPr>
            <w:tcW w:w="561" w:type="dxa"/>
            <w:tcBorders>
              <w:top w:val="nil"/>
              <w:left w:val="nil"/>
              <w:bottom w:val="single" w:sz="4" w:space="0" w:color="auto"/>
              <w:right w:val="single" w:sz="12" w:space="0" w:color="auto"/>
            </w:tcBorders>
            <w:shd w:val="clear" w:color="auto" w:fill="auto"/>
            <w:noWrap/>
            <w:vAlign w:val="bottom"/>
            <w:hideMark/>
          </w:tcPr>
          <w:p w14:paraId="01B7645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532</w:t>
            </w:r>
          </w:p>
        </w:tc>
        <w:tc>
          <w:tcPr>
            <w:tcW w:w="568" w:type="dxa"/>
            <w:tcBorders>
              <w:top w:val="single" w:sz="4" w:space="0" w:color="auto"/>
              <w:left w:val="single" w:sz="12" w:space="0" w:color="auto"/>
              <w:bottom w:val="single" w:sz="4" w:space="0" w:color="auto"/>
              <w:right w:val="single" w:sz="4" w:space="0" w:color="auto"/>
            </w:tcBorders>
            <w:shd w:val="clear" w:color="000000" w:fill="FCFCFF"/>
            <w:noWrap/>
            <w:vAlign w:val="bottom"/>
            <w:hideMark/>
          </w:tcPr>
          <w:p w14:paraId="7392457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600</w:t>
            </w:r>
          </w:p>
        </w:tc>
        <w:tc>
          <w:tcPr>
            <w:tcW w:w="561" w:type="dxa"/>
            <w:tcBorders>
              <w:top w:val="single" w:sz="4" w:space="0" w:color="auto"/>
              <w:left w:val="single" w:sz="4" w:space="0" w:color="auto"/>
              <w:bottom w:val="single" w:sz="4" w:space="0" w:color="auto"/>
              <w:right w:val="single" w:sz="4" w:space="0" w:color="auto"/>
            </w:tcBorders>
            <w:shd w:val="clear" w:color="000000" w:fill="FBBBBE"/>
            <w:noWrap/>
            <w:vAlign w:val="bottom"/>
            <w:hideMark/>
          </w:tcPr>
          <w:p w14:paraId="4D808FF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single" w:sz="4" w:space="0" w:color="auto"/>
              <w:left w:val="single" w:sz="4" w:space="0" w:color="auto"/>
              <w:bottom w:val="single" w:sz="4" w:space="0" w:color="auto"/>
              <w:right w:val="single" w:sz="12" w:space="0" w:color="auto"/>
            </w:tcBorders>
            <w:shd w:val="clear" w:color="000000" w:fill="FCD9DC"/>
            <w:noWrap/>
            <w:vAlign w:val="bottom"/>
            <w:hideMark/>
          </w:tcPr>
          <w:p w14:paraId="5821146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538</w:t>
            </w:r>
          </w:p>
        </w:tc>
      </w:tr>
      <w:tr w:rsidR="00AD5348" w:rsidRPr="007B79AF" w14:paraId="24F02086"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3B80D4F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5.ZŠ</w:t>
            </w:r>
          </w:p>
        </w:tc>
        <w:tc>
          <w:tcPr>
            <w:tcW w:w="1865" w:type="dxa"/>
            <w:tcBorders>
              <w:top w:val="nil"/>
              <w:left w:val="nil"/>
              <w:bottom w:val="single" w:sz="4" w:space="0" w:color="auto"/>
              <w:right w:val="single" w:sz="12" w:space="0" w:color="auto"/>
            </w:tcBorders>
            <w:shd w:val="clear" w:color="000000" w:fill="E2EFDA"/>
            <w:vAlign w:val="bottom"/>
            <w:hideMark/>
          </w:tcPr>
          <w:p w14:paraId="58766ACF"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Komenského II, Zlín, Havlíčkovo nábř. 2567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1EC5CB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610</w:t>
            </w:r>
          </w:p>
        </w:tc>
        <w:tc>
          <w:tcPr>
            <w:tcW w:w="561" w:type="dxa"/>
            <w:tcBorders>
              <w:top w:val="nil"/>
              <w:left w:val="nil"/>
              <w:bottom w:val="single" w:sz="4" w:space="0" w:color="auto"/>
              <w:right w:val="single" w:sz="4" w:space="0" w:color="auto"/>
            </w:tcBorders>
            <w:shd w:val="clear" w:color="auto" w:fill="auto"/>
            <w:noWrap/>
            <w:vAlign w:val="bottom"/>
            <w:hideMark/>
          </w:tcPr>
          <w:p w14:paraId="73ACD5C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nil"/>
              <w:left w:val="nil"/>
              <w:bottom w:val="single" w:sz="4" w:space="0" w:color="auto"/>
              <w:right w:val="single" w:sz="12" w:space="0" w:color="auto"/>
            </w:tcBorders>
            <w:shd w:val="clear" w:color="auto" w:fill="auto"/>
            <w:noWrap/>
            <w:vAlign w:val="bottom"/>
            <w:hideMark/>
          </w:tcPr>
          <w:p w14:paraId="4893221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547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F8EC51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610</w:t>
            </w:r>
          </w:p>
        </w:tc>
        <w:tc>
          <w:tcPr>
            <w:tcW w:w="561" w:type="dxa"/>
            <w:tcBorders>
              <w:top w:val="nil"/>
              <w:left w:val="nil"/>
              <w:bottom w:val="single" w:sz="4" w:space="0" w:color="auto"/>
              <w:right w:val="single" w:sz="4" w:space="0" w:color="auto"/>
            </w:tcBorders>
            <w:shd w:val="clear" w:color="auto" w:fill="auto"/>
            <w:noWrap/>
            <w:vAlign w:val="bottom"/>
            <w:hideMark/>
          </w:tcPr>
          <w:p w14:paraId="332CA25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nil"/>
              <w:left w:val="nil"/>
              <w:bottom w:val="single" w:sz="4" w:space="0" w:color="auto"/>
              <w:right w:val="single" w:sz="12" w:space="0" w:color="auto"/>
            </w:tcBorders>
            <w:shd w:val="clear" w:color="auto" w:fill="auto"/>
            <w:noWrap/>
            <w:vAlign w:val="bottom"/>
            <w:hideMark/>
          </w:tcPr>
          <w:p w14:paraId="525C649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547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D8B697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610</w:t>
            </w:r>
          </w:p>
        </w:tc>
        <w:tc>
          <w:tcPr>
            <w:tcW w:w="561" w:type="dxa"/>
            <w:tcBorders>
              <w:top w:val="nil"/>
              <w:left w:val="nil"/>
              <w:bottom w:val="single" w:sz="4" w:space="0" w:color="auto"/>
              <w:right w:val="single" w:sz="4" w:space="0" w:color="auto"/>
            </w:tcBorders>
            <w:shd w:val="clear" w:color="auto" w:fill="auto"/>
            <w:noWrap/>
            <w:vAlign w:val="bottom"/>
            <w:hideMark/>
          </w:tcPr>
          <w:p w14:paraId="2859E30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nil"/>
              <w:left w:val="nil"/>
              <w:bottom w:val="single" w:sz="4" w:space="0" w:color="auto"/>
              <w:right w:val="single" w:sz="12" w:space="0" w:color="auto"/>
            </w:tcBorders>
            <w:shd w:val="clear" w:color="auto" w:fill="auto"/>
            <w:noWrap/>
            <w:vAlign w:val="bottom"/>
            <w:hideMark/>
          </w:tcPr>
          <w:p w14:paraId="1B686E5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573</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105E132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610</w:t>
            </w:r>
          </w:p>
        </w:tc>
        <w:tc>
          <w:tcPr>
            <w:tcW w:w="561" w:type="dxa"/>
            <w:tcBorders>
              <w:top w:val="nil"/>
              <w:left w:val="nil"/>
              <w:bottom w:val="single" w:sz="4" w:space="0" w:color="auto"/>
              <w:right w:val="single" w:sz="4" w:space="0" w:color="auto"/>
            </w:tcBorders>
            <w:shd w:val="clear" w:color="auto" w:fill="auto"/>
            <w:noWrap/>
            <w:vAlign w:val="bottom"/>
            <w:hideMark/>
          </w:tcPr>
          <w:p w14:paraId="0411188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nil"/>
              <w:left w:val="nil"/>
              <w:bottom w:val="single" w:sz="4" w:space="0" w:color="auto"/>
              <w:right w:val="single" w:sz="12" w:space="0" w:color="auto"/>
            </w:tcBorders>
            <w:shd w:val="clear" w:color="auto" w:fill="auto"/>
            <w:noWrap/>
            <w:vAlign w:val="bottom"/>
            <w:hideMark/>
          </w:tcPr>
          <w:p w14:paraId="1EE5F13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567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662C6F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610</w:t>
            </w:r>
          </w:p>
        </w:tc>
        <w:tc>
          <w:tcPr>
            <w:tcW w:w="561" w:type="dxa"/>
            <w:tcBorders>
              <w:top w:val="nil"/>
              <w:left w:val="nil"/>
              <w:bottom w:val="single" w:sz="4" w:space="0" w:color="auto"/>
              <w:right w:val="single" w:sz="4" w:space="0" w:color="auto"/>
            </w:tcBorders>
            <w:shd w:val="clear" w:color="auto" w:fill="auto"/>
            <w:noWrap/>
            <w:vAlign w:val="bottom"/>
            <w:hideMark/>
          </w:tcPr>
          <w:p w14:paraId="46777CE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26</w:t>
            </w:r>
          </w:p>
        </w:tc>
        <w:tc>
          <w:tcPr>
            <w:tcW w:w="561" w:type="dxa"/>
            <w:tcBorders>
              <w:top w:val="nil"/>
              <w:left w:val="nil"/>
              <w:bottom w:val="single" w:sz="4" w:space="0" w:color="auto"/>
              <w:right w:val="single" w:sz="12" w:space="0" w:color="auto"/>
            </w:tcBorders>
            <w:shd w:val="clear" w:color="auto" w:fill="auto"/>
            <w:noWrap/>
            <w:vAlign w:val="bottom"/>
            <w:hideMark/>
          </w:tcPr>
          <w:p w14:paraId="70FF399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572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A50BB2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610</w:t>
            </w:r>
          </w:p>
        </w:tc>
        <w:tc>
          <w:tcPr>
            <w:tcW w:w="561" w:type="dxa"/>
            <w:tcBorders>
              <w:top w:val="nil"/>
              <w:left w:val="nil"/>
              <w:bottom w:val="single" w:sz="4" w:space="0" w:color="auto"/>
              <w:right w:val="single" w:sz="4" w:space="0" w:color="auto"/>
            </w:tcBorders>
            <w:shd w:val="clear" w:color="auto" w:fill="auto"/>
            <w:noWrap/>
            <w:vAlign w:val="bottom"/>
            <w:hideMark/>
          </w:tcPr>
          <w:p w14:paraId="5629BA7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26</w:t>
            </w:r>
          </w:p>
        </w:tc>
        <w:tc>
          <w:tcPr>
            <w:tcW w:w="561" w:type="dxa"/>
            <w:tcBorders>
              <w:top w:val="nil"/>
              <w:left w:val="nil"/>
              <w:bottom w:val="single" w:sz="4" w:space="0" w:color="auto"/>
              <w:right w:val="single" w:sz="12" w:space="0" w:color="auto"/>
            </w:tcBorders>
            <w:shd w:val="clear" w:color="auto" w:fill="auto"/>
            <w:noWrap/>
            <w:vAlign w:val="bottom"/>
            <w:hideMark/>
          </w:tcPr>
          <w:p w14:paraId="19E235A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554</w:t>
            </w:r>
          </w:p>
        </w:tc>
        <w:tc>
          <w:tcPr>
            <w:tcW w:w="568" w:type="dxa"/>
            <w:tcBorders>
              <w:top w:val="single" w:sz="4" w:space="0" w:color="auto"/>
              <w:left w:val="single" w:sz="12" w:space="0" w:color="auto"/>
              <w:bottom w:val="single" w:sz="4" w:space="0" w:color="auto"/>
              <w:right w:val="single" w:sz="4" w:space="0" w:color="auto"/>
            </w:tcBorders>
            <w:shd w:val="clear" w:color="000000" w:fill="FCF9FC"/>
            <w:noWrap/>
            <w:vAlign w:val="bottom"/>
            <w:hideMark/>
          </w:tcPr>
          <w:p w14:paraId="16310EC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610</w:t>
            </w:r>
          </w:p>
        </w:tc>
        <w:tc>
          <w:tcPr>
            <w:tcW w:w="561" w:type="dxa"/>
            <w:tcBorders>
              <w:top w:val="single" w:sz="4" w:space="0" w:color="auto"/>
              <w:left w:val="single" w:sz="4" w:space="0" w:color="auto"/>
              <w:bottom w:val="single" w:sz="4" w:space="0" w:color="auto"/>
              <w:right w:val="single" w:sz="4" w:space="0" w:color="auto"/>
            </w:tcBorders>
            <w:shd w:val="clear" w:color="000000" w:fill="FAABAD"/>
            <w:noWrap/>
            <w:vAlign w:val="bottom"/>
            <w:hideMark/>
          </w:tcPr>
          <w:p w14:paraId="7310AA3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26</w:t>
            </w:r>
          </w:p>
        </w:tc>
        <w:tc>
          <w:tcPr>
            <w:tcW w:w="561" w:type="dxa"/>
            <w:tcBorders>
              <w:top w:val="single" w:sz="4" w:space="0" w:color="auto"/>
              <w:left w:val="single" w:sz="4" w:space="0" w:color="auto"/>
              <w:bottom w:val="single" w:sz="4" w:space="0" w:color="auto"/>
              <w:right w:val="single" w:sz="12" w:space="0" w:color="auto"/>
            </w:tcBorders>
            <w:shd w:val="clear" w:color="000000" w:fill="FBCDCF"/>
            <w:noWrap/>
            <w:vAlign w:val="bottom"/>
            <w:hideMark/>
          </w:tcPr>
          <w:p w14:paraId="615F6D4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557</w:t>
            </w:r>
          </w:p>
        </w:tc>
      </w:tr>
      <w:tr w:rsidR="00AD5348" w:rsidRPr="007B79AF" w14:paraId="3757B666"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2B1C857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7.ZŠ</w:t>
            </w:r>
          </w:p>
        </w:tc>
        <w:tc>
          <w:tcPr>
            <w:tcW w:w="1865" w:type="dxa"/>
            <w:tcBorders>
              <w:top w:val="nil"/>
              <w:left w:val="nil"/>
              <w:bottom w:val="single" w:sz="4" w:space="0" w:color="auto"/>
              <w:right w:val="single" w:sz="12" w:space="0" w:color="auto"/>
            </w:tcBorders>
            <w:shd w:val="clear" w:color="000000" w:fill="E2EFDA"/>
            <w:vAlign w:val="bottom"/>
            <w:hideMark/>
          </w:tcPr>
          <w:p w14:paraId="003885A4"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Kvítková 4338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36B978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518</w:t>
            </w:r>
          </w:p>
        </w:tc>
        <w:tc>
          <w:tcPr>
            <w:tcW w:w="561" w:type="dxa"/>
            <w:tcBorders>
              <w:top w:val="nil"/>
              <w:left w:val="nil"/>
              <w:bottom w:val="single" w:sz="4" w:space="0" w:color="auto"/>
              <w:right w:val="single" w:sz="4" w:space="0" w:color="auto"/>
            </w:tcBorders>
            <w:shd w:val="clear" w:color="auto" w:fill="auto"/>
            <w:noWrap/>
            <w:vAlign w:val="bottom"/>
            <w:hideMark/>
          </w:tcPr>
          <w:p w14:paraId="21A103A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39166F0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429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CAD21A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518</w:t>
            </w:r>
          </w:p>
        </w:tc>
        <w:tc>
          <w:tcPr>
            <w:tcW w:w="561" w:type="dxa"/>
            <w:tcBorders>
              <w:top w:val="nil"/>
              <w:left w:val="nil"/>
              <w:bottom w:val="single" w:sz="4" w:space="0" w:color="auto"/>
              <w:right w:val="single" w:sz="4" w:space="0" w:color="auto"/>
            </w:tcBorders>
            <w:shd w:val="clear" w:color="auto" w:fill="auto"/>
            <w:noWrap/>
            <w:vAlign w:val="bottom"/>
            <w:hideMark/>
          </w:tcPr>
          <w:p w14:paraId="08F1B90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3C54DAF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437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E61659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518</w:t>
            </w:r>
          </w:p>
        </w:tc>
        <w:tc>
          <w:tcPr>
            <w:tcW w:w="561" w:type="dxa"/>
            <w:tcBorders>
              <w:top w:val="nil"/>
              <w:left w:val="nil"/>
              <w:bottom w:val="single" w:sz="4" w:space="0" w:color="auto"/>
              <w:right w:val="single" w:sz="4" w:space="0" w:color="auto"/>
            </w:tcBorders>
            <w:shd w:val="clear" w:color="auto" w:fill="auto"/>
            <w:noWrap/>
            <w:vAlign w:val="bottom"/>
            <w:hideMark/>
          </w:tcPr>
          <w:p w14:paraId="1983113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54396AF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469</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39CA423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518</w:t>
            </w:r>
          </w:p>
        </w:tc>
        <w:tc>
          <w:tcPr>
            <w:tcW w:w="561" w:type="dxa"/>
            <w:tcBorders>
              <w:top w:val="nil"/>
              <w:left w:val="nil"/>
              <w:bottom w:val="single" w:sz="4" w:space="0" w:color="auto"/>
              <w:right w:val="single" w:sz="4" w:space="0" w:color="auto"/>
            </w:tcBorders>
            <w:shd w:val="clear" w:color="auto" w:fill="auto"/>
            <w:noWrap/>
            <w:vAlign w:val="bottom"/>
            <w:hideMark/>
          </w:tcPr>
          <w:p w14:paraId="1F5B8E8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16769FC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462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FDBDED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518</w:t>
            </w:r>
          </w:p>
        </w:tc>
        <w:tc>
          <w:tcPr>
            <w:tcW w:w="561" w:type="dxa"/>
            <w:tcBorders>
              <w:top w:val="nil"/>
              <w:left w:val="nil"/>
              <w:bottom w:val="single" w:sz="4" w:space="0" w:color="auto"/>
              <w:right w:val="single" w:sz="4" w:space="0" w:color="auto"/>
            </w:tcBorders>
            <w:shd w:val="clear" w:color="auto" w:fill="auto"/>
            <w:noWrap/>
            <w:vAlign w:val="bottom"/>
            <w:hideMark/>
          </w:tcPr>
          <w:p w14:paraId="10FFF61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46913F2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467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D3090B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518</w:t>
            </w:r>
          </w:p>
        </w:tc>
        <w:tc>
          <w:tcPr>
            <w:tcW w:w="561" w:type="dxa"/>
            <w:tcBorders>
              <w:top w:val="nil"/>
              <w:left w:val="nil"/>
              <w:bottom w:val="single" w:sz="4" w:space="0" w:color="auto"/>
              <w:right w:val="single" w:sz="4" w:space="0" w:color="auto"/>
            </w:tcBorders>
            <w:shd w:val="clear" w:color="auto" w:fill="auto"/>
            <w:noWrap/>
            <w:vAlign w:val="bottom"/>
            <w:hideMark/>
          </w:tcPr>
          <w:p w14:paraId="5B2D66C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77CC71A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472</w:t>
            </w:r>
          </w:p>
        </w:tc>
        <w:tc>
          <w:tcPr>
            <w:tcW w:w="568" w:type="dxa"/>
            <w:tcBorders>
              <w:top w:val="single" w:sz="4" w:space="0" w:color="auto"/>
              <w:left w:val="single" w:sz="12" w:space="0" w:color="auto"/>
              <w:bottom w:val="single" w:sz="4" w:space="0" w:color="auto"/>
              <w:right w:val="single" w:sz="4" w:space="0" w:color="auto"/>
            </w:tcBorders>
            <w:shd w:val="clear" w:color="000000" w:fill="8DAED8"/>
            <w:noWrap/>
            <w:vAlign w:val="bottom"/>
            <w:hideMark/>
          </w:tcPr>
          <w:p w14:paraId="7931D91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518</w:t>
            </w:r>
          </w:p>
        </w:tc>
        <w:tc>
          <w:tcPr>
            <w:tcW w:w="561" w:type="dxa"/>
            <w:tcBorders>
              <w:top w:val="single" w:sz="4" w:space="0" w:color="auto"/>
              <w:left w:val="single" w:sz="4" w:space="0" w:color="auto"/>
              <w:bottom w:val="single" w:sz="4" w:space="0" w:color="auto"/>
              <w:right w:val="single" w:sz="4" w:space="0" w:color="auto"/>
            </w:tcBorders>
            <w:shd w:val="clear" w:color="000000" w:fill="82A6D4"/>
            <w:noWrap/>
            <w:vAlign w:val="bottom"/>
            <w:hideMark/>
          </w:tcPr>
          <w:p w14:paraId="0861CF6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single" w:sz="4" w:space="0" w:color="auto"/>
              <w:left w:val="single" w:sz="4" w:space="0" w:color="auto"/>
              <w:bottom w:val="single" w:sz="4" w:space="0" w:color="auto"/>
              <w:right w:val="single" w:sz="12" w:space="0" w:color="auto"/>
            </w:tcBorders>
            <w:shd w:val="clear" w:color="000000" w:fill="FCF8FB"/>
            <w:noWrap/>
            <w:vAlign w:val="bottom"/>
            <w:hideMark/>
          </w:tcPr>
          <w:p w14:paraId="2B5D5A2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493</w:t>
            </w:r>
          </w:p>
        </w:tc>
      </w:tr>
      <w:tr w:rsidR="00AD5348" w:rsidRPr="007B79AF" w14:paraId="36F77A3F"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3AFD3E0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8.ZŠ</w:t>
            </w:r>
          </w:p>
        </w:tc>
        <w:tc>
          <w:tcPr>
            <w:tcW w:w="1865" w:type="dxa"/>
            <w:tcBorders>
              <w:top w:val="nil"/>
              <w:left w:val="nil"/>
              <w:bottom w:val="single" w:sz="4" w:space="0" w:color="auto"/>
              <w:right w:val="single" w:sz="12" w:space="0" w:color="auto"/>
            </w:tcBorders>
            <w:shd w:val="clear" w:color="000000" w:fill="E2EFDA"/>
            <w:vAlign w:val="bottom"/>
            <w:hideMark/>
          </w:tcPr>
          <w:p w14:paraId="204227C8"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Komenského 78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4FCD9D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133D805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397274A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391</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6F1469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212CE8B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52E9803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412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2E78FF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688C0C5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5FC161B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399</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18CF28C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5E5B94E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7A6C80D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406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F979BE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6645116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02B8D15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394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743D04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4F9AB75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7D78A39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394</w:t>
            </w:r>
          </w:p>
        </w:tc>
        <w:tc>
          <w:tcPr>
            <w:tcW w:w="568" w:type="dxa"/>
            <w:tcBorders>
              <w:top w:val="single" w:sz="4" w:space="0" w:color="auto"/>
              <w:left w:val="single" w:sz="12" w:space="0" w:color="auto"/>
              <w:bottom w:val="single" w:sz="4" w:space="0" w:color="auto"/>
              <w:right w:val="single" w:sz="4" w:space="0" w:color="auto"/>
            </w:tcBorders>
            <w:shd w:val="clear" w:color="000000" w:fill="5A8AC6"/>
            <w:noWrap/>
            <w:vAlign w:val="bottom"/>
            <w:hideMark/>
          </w:tcPr>
          <w:p w14:paraId="1828D9B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single" w:sz="4" w:space="0" w:color="auto"/>
              <w:left w:val="single" w:sz="4" w:space="0" w:color="auto"/>
              <w:bottom w:val="single" w:sz="4" w:space="0" w:color="auto"/>
              <w:right w:val="single" w:sz="4" w:space="0" w:color="auto"/>
            </w:tcBorders>
            <w:shd w:val="clear" w:color="000000" w:fill="ABC3E2"/>
            <w:noWrap/>
            <w:vAlign w:val="bottom"/>
            <w:hideMark/>
          </w:tcPr>
          <w:p w14:paraId="7234C65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single" w:sz="4" w:space="0" w:color="auto"/>
              <w:left w:val="single" w:sz="4" w:space="0" w:color="auto"/>
              <w:bottom w:val="single" w:sz="4" w:space="0" w:color="auto"/>
              <w:right w:val="single" w:sz="12" w:space="0" w:color="auto"/>
            </w:tcBorders>
            <w:shd w:val="clear" w:color="000000" w:fill="91B0D9"/>
            <w:noWrap/>
            <w:vAlign w:val="bottom"/>
            <w:hideMark/>
          </w:tcPr>
          <w:p w14:paraId="6DAA3D1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401</w:t>
            </w:r>
          </w:p>
        </w:tc>
      </w:tr>
      <w:tr w:rsidR="00AD5348" w:rsidRPr="007B79AF" w14:paraId="7A84FE77"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4F198E5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9.ZŠ</w:t>
            </w:r>
          </w:p>
        </w:tc>
        <w:tc>
          <w:tcPr>
            <w:tcW w:w="1865" w:type="dxa"/>
            <w:tcBorders>
              <w:top w:val="nil"/>
              <w:left w:val="nil"/>
              <w:bottom w:val="single" w:sz="4" w:space="0" w:color="auto"/>
              <w:right w:val="single" w:sz="12" w:space="0" w:color="auto"/>
            </w:tcBorders>
            <w:shd w:val="clear" w:color="000000" w:fill="E2EFDA"/>
            <w:vAlign w:val="bottom"/>
            <w:hideMark/>
          </w:tcPr>
          <w:p w14:paraId="22767613"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Štefánikova 2514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59C81E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5030744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6DEA91B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456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AE4772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09BC58E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19AB7D2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465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2EDBFF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55EB909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49180EA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457</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3AF8312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5E81ABD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2FAAEDD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446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B731F8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1A8E6B3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64B50F8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434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120838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2761DC2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nil"/>
              <w:left w:val="nil"/>
              <w:bottom w:val="single" w:sz="4" w:space="0" w:color="auto"/>
              <w:right w:val="single" w:sz="12" w:space="0" w:color="auto"/>
            </w:tcBorders>
            <w:shd w:val="clear" w:color="auto" w:fill="auto"/>
            <w:noWrap/>
            <w:vAlign w:val="bottom"/>
            <w:hideMark/>
          </w:tcPr>
          <w:p w14:paraId="7048B54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436</w:t>
            </w:r>
          </w:p>
        </w:tc>
        <w:tc>
          <w:tcPr>
            <w:tcW w:w="568" w:type="dxa"/>
            <w:tcBorders>
              <w:top w:val="single" w:sz="4" w:space="0" w:color="auto"/>
              <w:left w:val="single" w:sz="12" w:space="0" w:color="auto"/>
              <w:bottom w:val="single" w:sz="4" w:space="0" w:color="auto"/>
              <w:right w:val="single" w:sz="4" w:space="0" w:color="auto"/>
            </w:tcBorders>
            <w:shd w:val="clear" w:color="000000" w:fill="5A8AC6"/>
            <w:noWrap/>
            <w:vAlign w:val="bottom"/>
            <w:hideMark/>
          </w:tcPr>
          <w:p w14:paraId="305EC26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single" w:sz="4" w:space="0" w:color="auto"/>
              <w:left w:val="single" w:sz="4" w:space="0" w:color="auto"/>
              <w:bottom w:val="single" w:sz="4" w:space="0" w:color="auto"/>
              <w:right w:val="single" w:sz="4" w:space="0" w:color="auto"/>
            </w:tcBorders>
            <w:shd w:val="clear" w:color="000000" w:fill="82A6D4"/>
            <w:noWrap/>
            <w:vAlign w:val="bottom"/>
            <w:hideMark/>
          </w:tcPr>
          <w:p w14:paraId="3E54B50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18</w:t>
            </w:r>
          </w:p>
        </w:tc>
        <w:tc>
          <w:tcPr>
            <w:tcW w:w="561" w:type="dxa"/>
            <w:tcBorders>
              <w:top w:val="single" w:sz="4" w:space="0" w:color="auto"/>
              <w:left w:val="single" w:sz="4" w:space="0" w:color="auto"/>
              <w:bottom w:val="single" w:sz="4" w:space="0" w:color="auto"/>
              <w:right w:val="single" w:sz="12" w:space="0" w:color="auto"/>
            </w:tcBorders>
            <w:shd w:val="clear" w:color="000000" w:fill="AEC5E3"/>
            <w:noWrap/>
            <w:vAlign w:val="bottom"/>
            <w:hideMark/>
          </w:tcPr>
          <w:p w14:paraId="52B1653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424</w:t>
            </w:r>
          </w:p>
        </w:tc>
      </w:tr>
      <w:tr w:rsidR="00AD5348" w:rsidRPr="007B79AF" w14:paraId="39D1FCA9"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5B23155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10.ZŠ</w:t>
            </w:r>
          </w:p>
        </w:tc>
        <w:tc>
          <w:tcPr>
            <w:tcW w:w="1865" w:type="dxa"/>
            <w:tcBorders>
              <w:top w:val="nil"/>
              <w:left w:val="nil"/>
              <w:bottom w:val="single" w:sz="4" w:space="0" w:color="auto"/>
              <w:right w:val="single" w:sz="12" w:space="0" w:color="auto"/>
            </w:tcBorders>
            <w:shd w:val="clear" w:color="000000" w:fill="E2EFDA"/>
            <w:vAlign w:val="bottom"/>
            <w:hideMark/>
          </w:tcPr>
          <w:p w14:paraId="6BF76D9E"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Dřevnická 1790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E3548A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2D2FF04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13</w:t>
            </w:r>
          </w:p>
        </w:tc>
        <w:tc>
          <w:tcPr>
            <w:tcW w:w="561" w:type="dxa"/>
            <w:tcBorders>
              <w:top w:val="nil"/>
              <w:left w:val="nil"/>
              <w:bottom w:val="single" w:sz="4" w:space="0" w:color="auto"/>
              <w:right w:val="single" w:sz="12" w:space="0" w:color="auto"/>
            </w:tcBorders>
            <w:shd w:val="clear" w:color="auto" w:fill="auto"/>
            <w:noWrap/>
            <w:vAlign w:val="bottom"/>
            <w:hideMark/>
          </w:tcPr>
          <w:p w14:paraId="2321989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279</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AE735D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730A3FC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13</w:t>
            </w:r>
          </w:p>
        </w:tc>
        <w:tc>
          <w:tcPr>
            <w:tcW w:w="561" w:type="dxa"/>
            <w:tcBorders>
              <w:top w:val="nil"/>
              <w:left w:val="nil"/>
              <w:bottom w:val="single" w:sz="4" w:space="0" w:color="auto"/>
              <w:right w:val="single" w:sz="12" w:space="0" w:color="auto"/>
            </w:tcBorders>
            <w:shd w:val="clear" w:color="auto" w:fill="auto"/>
            <w:noWrap/>
            <w:vAlign w:val="bottom"/>
            <w:hideMark/>
          </w:tcPr>
          <w:p w14:paraId="6B3E26C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286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A62D75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4CEC1B3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14</w:t>
            </w:r>
          </w:p>
        </w:tc>
        <w:tc>
          <w:tcPr>
            <w:tcW w:w="561" w:type="dxa"/>
            <w:tcBorders>
              <w:top w:val="nil"/>
              <w:left w:val="nil"/>
              <w:bottom w:val="single" w:sz="4" w:space="0" w:color="auto"/>
              <w:right w:val="single" w:sz="12" w:space="0" w:color="auto"/>
            </w:tcBorders>
            <w:shd w:val="clear" w:color="auto" w:fill="auto"/>
            <w:noWrap/>
            <w:vAlign w:val="bottom"/>
            <w:hideMark/>
          </w:tcPr>
          <w:p w14:paraId="18DCFB6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293</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70A6546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380091B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14</w:t>
            </w:r>
          </w:p>
        </w:tc>
        <w:tc>
          <w:tcPr>
            <w:tcW w:w="561" w:type="dxa"/>
            <w:tcBorders>
              <w:top w:val="nil"/>
              <w:left w:val="nil"/>
              <w:bottom w:val="single" w:sz="4" w:space="0" w:color="auto"/>
              <w:right w:val="single" w:sz="12" w:space="0" w:color="auto"/>
            </w:tcBorders>
            <w:shd w:val="clear" w:color="auto" w:fill="auto"/>
            <w:noWrap/>
            <w:vAlign w:val="bottom"/>
            <w:hideMark/>
          </w:tcPr>
          <w:p w14:paraId="08E1F57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313</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F92989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15F5BCB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15</w:t>
            </w:r>
          </w:p>
        </w:tc>
        <w:tc>
          <w:tcPr>
            <w:tcW w:w="561" w:type="dxa"/>
            <w:tcBorders>
              <w:top w:val="nil"/>
              <w:left w:val="nil"/>
              <w:bottom w:val="single" w:sz="4" w:space="0" w:color="auto"/>
              <w:right w:val="single" w:sz="12" w:space="0" w:color="auto"/>
            </w:tcBorders>
            <w:shd w:val="clear" w:color="auto" w:fill="auto"/>
            <w:noWrap/>
            <w:vAlign w:val="bottom"/>
            <w:hideMark/>
          </w:tcPr>
          <w:p w14:paraId="0F549D3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338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C20AC7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4C85F8E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16</w:t>
            </w:r>
          </w:p>
        </w:tc>
        <w:tc>
          <w:tcPr>
            <w:tcW w:w="561" w:type="dxa"/>
            <w:tcBorders>
              <w:top w:val="nil"/>
              <w:left w:val="nil"/>
              <w:bottom w:val="single" w:sz="4" w:space="0" w:color="auto"/>
              <w:right w:val="single" w:sz="12" w:space="0" w:color="auto"/>
            </w:tcBorders>
            <w:shd w:val="clear" w:color="auto" w:fill="auto"/>
            <w:noWrap/>
            <w:vAlign w:val="bottom"/>
            <w:hideMark/>
          </w:tcPr>
          <w:p w14:paraId="4AAA5FF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348</w:t>
            </w:r>
          </w:p>
        </w:tc>
        <w:tc>
          <w:tcPr>
            <w:tcW w:w="568" w:type="dxa"/>
            <w:tcBorders>
              <w:top w:val="single" w:sz="4" w:space="0" w:color="auto"/>
              <w:left w:val="single" w:sz="12" w:space="0" w:color="auto"/>
              <w:bottom w:val="single" w:sz="4" w:space="0" w:color="auto"/>
              <w:right w:val="single" w:sz="4" w:space="0" w:color="auto"/>
            </w:tcBorders>
            <w:shd w:val="clear" w:color="000000" w:fill="F8696B"/>
            <w:noWrap/>
            <w:vAlign w:val="bottom"/>
            <w:hideMark/>
          </w:tcPr>
          <w:p w14:paraId="052FE9A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14:paraId="1A23BFF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17</w:t>
            </w:r>
          </w:p>
        </w:tc>
        <w:tc>
          <w:tcPr>
            <w:tcW w:w="561" w:type="dxa"/>
            <w:tcBorders>
              <w:top w:val="single" w:sz="4" w:space="0" w:color="auto"/>
              <w:left w:val="single" w:sz="4" w:space="0" w:color="auto"/>
              <w:bottom w:val="single" w:sz="4" w:space="0" w:color="auto"/>
              <w:right w:val="single" w:sz="12" w:space="0" w:color="auto"/>
            </w:tcBorders>
            <w:shd w:val="clear" w:color="000000" w:fill="5A8AC6"/>
            <w:noWrap/>
            <w:vAlign w:val="bottom"/>
            <w:hideMark/>
          </w:tcPr>
          <w:p w14:paraId="6887B90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357</w:t>
            </w:r>
          </w:p>
        </w:tc>
      </w:tr>
      <w:tr w:rsidR="00AD5348" w:rsidRPr="007B79AF" w14:paraId="66FF4CAA"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47D6C54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11.ZŠ</w:t>
            </w:r>
          </w:p>
        </w:tc>
        <w:tc>
          <w:tcPr>
            <w:tcW w:w="1865" w:type="dxa"/>
            <w:tcBorders>
              <w:top w:val="nil"/>
              <w:left w:val="nil"/>
              <w:bottom w:val="single" w:sz="4" w:space="0" w:color="auto"/>
              <w:right w:val="single" w:sz="12" w:space="0" w:color="auto"/>
            </w:tcBorders>
            <w:shd w:val="clear" w:color="000000" w:fill="E2EFDA"/>
            <w:vAlign w:val="bottom"/>
            <w:hideMark/>
          </w:tcPr>
          <w:p w14:paraId="155BCFA6"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tř. Svobody 868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E39E16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0D882A6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3BD01F2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407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A48755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08CB21D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20</w:t>
            </w:r>
          </w:p>
        </w:tc>
        <w:tc>
          <w:tcPr>
            <w:tcW w:w="561" w:type="dxa"/>
            <w:tcBorders>
              <w:top w:val="nil"/>
              <w:left w:val="nil"/>
              <w:bottom w:val="single" w:sz="4" w:space="0" w:color="auto"/>
              <w:right w:val="single" w:sz="12" w:space="0" w:color="auto"/>
            </w:tcBorders>
            <w:shd w:val="clear" w:color="auto" w:fill="auto"/>
            <w:noWrap/>
            <w:vAlign w:val="bottom"/>
            <w:hideMark/>
          </w:tcPr>
          <w:p w14:paraId="73DEF42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417</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B493FF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5428427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22</w:t>
            </w:r>
          </w:p>
        </w:tc>
        <w:tc>
          <w:tcPr>
            <w:tcW w:w="561" w:type="dxa"/>
            <w:tcBorders>
              <w:top w:val="nil"/>
              <w:left w:val="nil"/>
              <w:bottom w:val="single" w:sz="4" w:space="0" w:color="auto"/>
              <w:right w:val="single" w:sz="12" w:space="0" w:color="auto"/>
            </w:tcBorders>
            <w:shd w:val="clear" w:color="auto" w:fill="auto"/>
            <w:noWrap/>
            <w:vAlign w:val="bottom"/>
            <w:hideMark/>
          </w:tcPr>
          <w:p w14:paraId="278BD27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435</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3A15C7E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70A34E0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nil"/>
              <w:left w:val="nil"/>
              <w:bottom w:val="single" w:sz="4" w:space="0" w:color="auto"/>
              <w:right w:val="single" w:sz="12" w:space="0" w:color="auto"/>
            </w:tcBorders>
            <w:shd w:val="clear" w:color="auto" w:fill="auto"/>
            <w:noWrap/>
            <w:vAlign w:val="bottom"/>
            <w:hideMark/>
          </w:tcPr>
          <w:p w14:paraId="43F60DB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435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179A40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4295E23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nil"/>
              <w:left w:val="nil"/>
              <w:bottom w:val="single" w:sz="4" w:space="0" w:color="auto"/>
              <w:right w:val="single" w:sz="12" w:space="0" w:color="auto"/>
            </w:tcBorders>
            <w:shd w:val="clear" w:color="auto" w:fill="auto"/>
            <w:noWrap/>
            <w:vAlign w:val="bottom"/>
            <w:hideMark/>
          </w:tcPr>
          <w:p w14:paraId="0B13B9F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443</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ED0E5E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7F0FE3B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21</w:t>
            </w:r>
          </w:p>
        </w:tc>
        <w:tc>
          <w:tcPr>
            <w:tcW w:w="561" w:type="dxa"/>
            <w:tcBorders>
              <w:top w:val="nil"/>
              <w:left w:val="nil"/>
              <w:bottom w:val="single" w:sz="4" w:space="0" w:color="auto"/>
              <w:right w:val="single" w:sz="12" w:space="0" w:color="auto"/>
            </w:tcBorders>
            <w:shd w:val="clear" w:color="auto" w:fill="auto"/>
            <w:noWrap/>
            <w:vAlign w:val="bottom"/>
            <w:hideMark/>
          </w:tcPr>
          <w:p w14:paraId="1F9F004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416</w:t>
            </w:r>
          </w:p>
        </w:tc>
        <w:tc>
          <w:tcPr>
            <w:tcW w:w="568" w:type="dxa"/>
            <w:tcBorders>
              <w:top w:val="single" w:sz="4" w:space="0" w:color="auto"/>
              <w:left w:val="single" w:sz="12" w:space="0" w:color="auto"/>
              <w:bottom w:val="single" w:sz="4" w:space="0" w:color="auto"/>
              <w:right w:val="single" w:sz="4" w:space="0" w:color="auto"/>
            </w:tcBorders>
            <w:shd w:val="clear" w:color="000000" w:fill="759DCF"/>
            <w:noWrap/>
            <w:vAlign w:val="bottom"/>
            <w:hideMark/>
          </w:tcPr>
          <w:p w14:paraId="31DA6AC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33E221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21</w:t>
            </w:r>
          </w:p>
        </w:tc>
        <w:tc>
          <w:tcPr>
            <w:tcW w:w="561" w:type="dxa"/>
            <w:tcBorders>
              <w:top w:val="single" w:sz="4" w:space="0" w:color="auto"/>
              <w:left w:val="single" w:sz="4" w:space="0" w:color="auto"/>
              <w:bottom w:val="single" w:sz="4" w:space="0" w:color="auto"/>
              <w:right w:val="single" w:sz="12" w:space="0" w:color="auto"/>
            </w:tcBorders>
            <w:shd w:val="clear" w:color="000000" w:fill="9FBADE"/>
            <w:noWrap/>
            <w:vAlign w:val="bottom"/>
            <w:hideMark/>
          </w:tcPr>
          <w:p w14:paraId="21AF8EA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412</w:t>
            </w:r>
          </w:p>
        </w:tc>
      </w:tr>
      <w:tr w:rsidR="00AD5348" w:rsidRPr="007B79AF" w14:paraId="5252904A"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6B2D0CF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12.ZŠ</w:t>
            </w:r>
          </w:p>
        </w:tc>
        <w:tc>
          <w:tcPr>
            <w:tcW w:w="1865" w:type="dxa"/>
            <w:tcBorders>
              <w:top w:val="nil"/>
              <w:left w:val="nil"/>
              <w:bottom w:val="single" w:sz="4" w:space="0" w:color="auto"/>
              <w:right w:val="single" w:sz="12" w:space="0" w:color="auto"/>
            </w:tcBorders>
            <w:shd w:val="clear" w:color="000000" w:fill="E2EFDA"/>
            <w:vAlign w:val="bottom"/>
            <w:hideMark/>
          </w:tcPr>
          <w:p w14:paraId="3A575F8F"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Mikoláše Alše 558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4F9C64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420</w:t>
            </w:r>
          </w:p>
        </w:tc>
        <w:tc>
          <w:tcPr>
            <w:tcW w:w="561" w:type="dxa"/>
            <w:tcBorders>
              <w:top w:val="nil"/>
              <w:left w:val="nil"/>
              <w:bottom w:val="single" w:sz="4" w:space="0" w:color="auto"/>
              <w:right w:val="single" w:sz="4" w:space="0" w:color="auto"/>
            </w:tcBorders>
            <w:shd w:val="clear" w:color="auto" w:fill="auto"/>
            <w:noWrap/>
            <w:vAlign w:val="bottom"/>
            <w:hideMark/>
          </w:tcPr>
          <w:p w14:paraId="3D3900D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14</w:t>
            </w:r>
          </w:p>
        </w:tc>
        <w:tc>
          <w:tcPr>
            <w:tcW w:w="561" w:type="dxa"/>
            <w:tcBorders>
              <w:top w:val="nil"/>
              <w:left w:val="nil"/>
              <w:bottom w:val="single" w:sz="4" w:space="0" w:color="auto"/>
              <w:right w:val="single" w:sz="12" w:space="0" w:color="auto"/>
            </w:tcBorders>
            <w:shd w:val="clear" w:color="auto" w:fill="auto"/>
            <w:noWrap/>
            <w:vAlign w:val="bottom"/>
            <w:hideMark/>
          </w:tcPr>
          <w:p w14:paraId="4EE1160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283</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C17356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420</w:t>
            </w:r>
          </w:p>
        </w:tc>
        <w:tc>
          <w:tcPr>
            <w:tcW w:w="561" w:type="dxa"/>
            <w:tcBorders>
              <w:top w:val="nil"/>
              <w:left w:val="nil"/>
              <w:bottom w:val="single" w:sz="4" w:space="0" w:color="auto"/>
              <w:right w:val="single" w:sz="4" w:space="0" w:color="auto"/>
            </w:tcBorders>
            <w:shd w:val="clear" w:color="auto" w:fill="auto"/>
            <w:noWrap/>
            <w:vAlign w:val="bottom"/>
            <w:hideMark/>
          </w:tcPr>
          <w:p w14:paraId="1167A97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15</w:t>
            </w:r>
          </w:p>
        </w:tc>
        <w:tc>
          <w:tcPr>
            <w:tcW w:w="561" w:type="dxa"/>
            <w:tcBorders>
              <w:top w:val="nil"/>
              <w:left w:val="nil"/>
              <w:bottom w:val="single" w:sz="4" w:space="0" w:color="auto"/>
              <w:right w:val="single" w:sz="12" w:space="0" w:color="auto"/>
            </w:tcBorders>
            <w:shd w:val="clear" w:color="auto" w:fill="auto"/>
            <w:noWrap/>
            <w:vAlign w:val="bottom"/>
            <w:hideMark/>
          </w:tcPr>
          <w:p w14:paraId="50DD5BA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326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5710ECB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420</w:t>
            </w:r>
          </w:p>
        </w:tc>
        <w:tc>
          <w:tcPr>
            <w:tcW w:w="561" w:type="dxa"/>
            <w:tcBorders>
              <w:top w:val="nil"/>
              <w:left w:val="nil"/>
              <w:bottom w:val="single" w:sz="4" w:space="0" w:color="auto"/>
              <w:right w:val="single" w:sz="4" w:space="0" w:color="auto"/>
            </w:tcBorders>
            <w:shd w:val="clear" w:color="auto" w:fill="auto"/>
            <w:noWrap/>
            <w:vAlign w:val="bottom"/>
            <w:hideMark/>
          </w:tcPr>
          <w:p w14:paraId="3F559E9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16</w:t>
            </w:r>
          </w:p>
        </w:tc>
        <w:tc>
          <w:tcPr>
            <w:tcW w:w="561" w:type="dxa"/>
            <w:tcBorders>
              <w:top w:val="nil"/>
              <w:left w:val="nil"/>
              <w:bottom w:val="single" w:sz="4" w:space="0" w:color="auto"/>
              <w:right w:val="single" w:sz="12" w:space="0" w:color="auto"/>
            </w:tcBorders>
            <w:shd w:val="clear" w:color="auto" w:fill="auto"/>
            <w:noWrap/>
            <w:vAlign w:val="bottom"/>
            <w:hideMark/>
          </w:tcPr>
          <w:p w14:paraId="52B1E19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368</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0D285CC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420</w:t>
            </w:r>
          </w:p>
        </w:tc>
        <w:tc>
          <w:tcPr>
            <w:tcW w:w="561" w:type="dxa"/>
            <w:tcBorders>
              <w:top w:val="nil"/>
              <w:left w:val="nil"/>
              <w:bottom w:val="single" w:sz="4" w:space="0" w:color="auto"/>
              <w:right w:val="single" w:sz="4" w:space="0" w:color="auto"/>
            </w:tcBorders>
            <w:shd w:val="clear" w:color="auto" w:fill="auto"/>
            <w:noWrap/>
            <w:vAlign w:val="bottom"/>
            <w:hideMark/>
          </w:tcPr>
          <w:p w14:paraId="607C595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17</w:t>
            </w:r>
          </w:p>
        </w:tc>
        <w:tc>
          <w:tcPr>
            <w:tcW w:w="561" w:type="dxa"/>
            <w:tcBorders>
              <w:top w:val="nil"/>
              <w:left w:val="nil"/>
              <w:bottom w:val="single" w:sz="4" w:space="0" w:color="auto"/>
              <w:right w:val="single" w:sz="12" w:space="0" w:color="auto"/>
            </w:tcBorders>
            <w:shd w:val="clear" w:color="auto" w:fill="auto"/>
            <w:noWrap/>
            <w:vAlign w:val="bottom"/>
            <w:hideMark/>
          </w:tcPr>
          <w:p w14:paraId="1D7B718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384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3BE767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5CD2D4A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1F359B7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432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69AA51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55BC09F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20</w:t>
            </w:r>
          </w:p>
        </w:tc>
        <w:tc>
          <w:tcPr>
            <w:tcW w:w="561" w:type="dxa"/>
            <w:tcBorders>
              <w:top w:val="nil"/>
              <w:left w:val="nil"/>
              <w:bottom w:val="single" w:sz="4" w:space="0" w:color="auto"/>
              <w:right w:val="single" w:sz="12" w:space="0" w:color="auto"/>
            </w:tcBorders>
            <w:shd w:val="clear" w:color="auto" w:fill="auto"/>
            <w:noWrap/>
            <w:vAlign w:val="bottom"/>
            <w:hideMark/>
          </w:tcPr>
          <w:p w14:paraId="29D6514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449</w:t>
            </w:r>
          </w:p>
        </w:tc>
        <w:tc>
          <w:tcPr>
            <w:tcW w:w="568" w:type="dxa"/>
            <w:tcBorders>
              <w:top w:val="single" w:sz="4" w:space="0" w:color="auto"/>
              <w:left w:val="single" w:sz="12" w:space="0" w:color="auto"/>
              <w:bottom w:val="single" w:sz="4" w:space="0" w:color="auto"/>
              <w:right w:val="single" w:sz="4" w:space="0" w:color="auto"/>
            </w:tcBorders>
            <w:shd w:val="clear" w:color="000000" w:fill="5A8AC6"/>
            <w:noWrap/>
            <w:vAlign w:val="bottom"/>
            <w:hideMark/>
          </w:tcPr>
          <w:p w14:paraId="1DF995E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single" w:sz="4" w:space="0" w:color="auto"/>
              <w:left w:val="single" w:sz="4" w:space="0" w:color="auto"/>
              <w:bottom w:val="single" w:sz="4" w:space="0" w:color="auto"/>
              <w:right w:val="single" w:sz="4" w:space="0" w:color="auto"/>
            </w:tcBorders>
            <w:shd w:val="clear" w:color="000000" w:fill="D3DFF0"/>
            <w:noWrap/>
            <w:vAlign w:val="bottom"/>
            <w:hideMark/>
          </w:tcPr>
          <w:p w14:paraId="0AF932E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20</w:t>
            </w:r>
          </w:p>
        </w:tc>
        <w:tc>
          <w:tcPr>
            <w:tcW w:w="561" w:type="dxa"/>
            <w:tcBorders>
              <w:top w:val="single" w:sz="4" w:space="0" w:color="auto"/>
              <w:left w:val="single" w:sz="4" w:space="0" w:color="auto"/>
              <w:bottom w:val="single" w:sz="4" w:space="0" w:color="auto"/>
              <w:right w:val="single" w:sz="12" w:space="0" w:color="auto"/>
            </w:tcBorders>
            <w:shd w:val="clear" w:color="000000" w:fill="CBD9ED"/>
            <w:noWrap/>
            <w:vAlign w:val="bottom"/>
            <w:hideMark/>
          </w:tcPr>
          <w:p w14:paraId="1521F22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447</w:t>
            </w:r>
          </w:p>
        </w:tc>
      </w:tr>
      <w:tr w:rsidR="00AD5348" w:rsidRPr="007B79AF" w14:paraId="11DDC15D"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4476387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14.ZŠ</w:t>
            </w:r>
          </w:p>
        </w:tc>
        <w:tc>
          <w:tcPr>
            <w:tcW w:w="1865" w:type="dxa"/>
            <w:tcBorders>
              <w:top w:val="nil"/>
              <w:left w:val="nil"/>
              <w:bottom w:val="single" w:sz="4" w:space="0" w:color="auto"/>
              <w:right w:val="single" w:sz="12" w:space="0" w:color="auto"/>
            </w:tcBorders>
            <w:shd w:val="clear" w:color="000000" w:fill="E2EFDA"/>
            <w:vAlign w:val="bottom"/>
            <w:hideMark/>
          </w:tcPr>
          <w:p w14:paraId="0661991C"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Nová cesta 268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693B732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450</w:t>
            </w:r>
          </w:p>
        </w:tc>
        <w:tc>
          <w:tcPr>
            <w:tcW w:w="561" w:type="dxa"/>
            <w:tcBorders>
              <w:top w:val="nil"/>
              <w:left w:val="nil"/>
              <w:bottom w:val="single" w:sz="4" w:space="0" w:color="auto"/>
              <w:right w:val="single" w:sz="4" w:space="0" w:color="auto"/>
            </w:tcBorders>
            <w:shd w:val="clear" w:color="auto" w:fill="auto"/>
            <w:noWrap/>
            <w:vAlign w:val="bottom"/>
            <w:hideMark/>
          </w:tcPr>
          <w:p w14:paraId="28BD90E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0B6D0A2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443</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12AFC9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1928195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3260461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468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26EB2E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480</w:t>
            </w:r>
          </w:p>
        </w:tc>
        <w:tc>
          <w:tcPr>
            <w:tcW w:w="561" w:type="dxa"/>
            <w:tcBorders>
              <w:top w:val="nil"/>
              <w:left w:val="nil"/>
              <w:bottom w:val="single" w:sz="4" w:space="0" w:color="auto"/>
              <w:right w:val="single" w:sz="4" w:space="0" w:color="auto"/>
            </w:tcBorders>
            <w:shd w:val="clear" w:color="auto" w:fill="auto"/>
            <w:noWrap/>
            <w:vAlign w:val="bottom"/>
            <w:hideMark/>
          </w:tcPr>
          <w:p w14:paraId="5BD1549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08A7833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465</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1D62BF9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705BA93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07777BC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476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DD417D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1CA3AD2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4E36C2C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472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5DA3D2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nil"/>
              <w:left w:val="nil"/>
              <w:bottom w:val="single" w:sz="4" w:space="0" w:color="auto"/>
              <w:right w:val="single" w:sz="4" w:space="0" w:color="auto"/>
            </w:tcBorders>
            <w:shd w:val="clear" w:color="auto" w:fill="auto"/>
            <w:noWrap/>
            <w:vAlign w:val="bottom"/>
            <w:hideMark/>
          </w:tcPr>
          <w:p w14:paraId="4069EA19"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nil"/>
              <w:left w:val="nil"/>
              <w:bottom w:val="single" w:sz="4" w:space="0" w:color="auto"/>
              <w:right w:val="single" w:sz="12" w:space="0" w:color="auto"/>
            </w:tcBorders>
            <w:shd w:val="clear" w:color="auto" w:fill="auto"/>
            <w:noWrap/>
            <w:vAlign w:val="bottom"/>
            <w:hideMark/>
          </w:tcPr>
          <w:p w14:paraId="3A46998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476</w:t>
            </w:r>
          </w:p>
        </w:tc>
        <w:tc>
          <w:tcPr>
            <w:tcW w:w="568" w:type="dxa"/>
            <w:tcBorders>
              <w:top w:val="single" w:sz="4" w:space="0" w:color="auto"/>
              <w:left w:val="single" w:sz="12" w:space="0" w:color="auto"/>
              <w:bottom w:val="single" w:sz="4" w:space="0" w:color="auto"/>
              <w:right w:val="single" w:sz="4" w:space="0" w:color="auto"/>
            </w:tcBorders>
            <w:shd w:val="clear" w:color="000000" w:fill="759DCF"/>
            <w:noWrap/>
            <w:vAlign w:val="bottom"/>
            <w:hideMark/>
          </w:tcPr>
          <w:p w14:paraId="417B83D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500</w:t>
            </w:r>
          </w:p>
        </w:tc>
        <w:tc>
          <w:tcPr>
            <w:tcW w:w="561" w:type="dxa"/>
            <w:tcBorders>
              <w:top w:val="single" w:sz="4" w:space="0" w:color="auto"/>
              <w:left w:val="single" w:sz="4" w:space="0" w:color="auto"/>
              <w:bottom w:val="single" w:sz="4" w:space="0" w:color="auto"/>
              <w:right w:val="single" w:sz="4" w:space="0" w:color="auto"/>
            </w:tcBorders>
            <w:shd w:val="clear" w:color="000000" w:fill="ABC3E2"/>
            <w:noWrap/>
            <w:vAlign w:val="bottom"/>
            <w:hideMark/>
          </w:tcPr>
          <w:p w14:paraId="3A7E904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19</w:t>
            </w:r>
          </w:p>
        </w:tc>
        <w:tc>
          <w:tcPr>
            <w:tcW w:w="561" w:type="dxa"/>
            <w:tcBorders>
              <w:top w:val="single" w:sz="4" w:space="0" w:color="auto"/>
              <w:left w:val="single" w:sz="4" w:space="0" w:color="auto"/>
              <w:bottom w:val="single" w:sz="4" w:space="0" w:color="auto"/>
              <w:right w:val="single" w:sz="12" w:space="0" w:color="auto"/>
            </w:tcBorders>
            <w:shd w:val="clear" w:color="000000" w:fill="E6ECF7"/>
            <w:noWrap/>
            <w:vAlign w:val="bottom"/>
            <w:hideMark/>
          </w:tcPr>
          <w:p w14:paraId="2470AE5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469</w:t>
            </w:r>
          </w:p>
        </w:tc>
      </w:tr>
      <w:tr w:rsidR="00AD5348" w:rsidRPr="007B79AF" w14:paraId="442D8D3F"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034FBA4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16.ZŠ</w:t>
            </w:r>
          </w:p>
        </w:tc>
        <w:tc>
          <w:tcPr>
            <w:tcW w:w="1865" w:type="dxa"/>
            <w:tcBorders>
              <w:top w:val="nil"/>
              <w:left w:val="nil"/>
              <w:bottom w:val="single" w:sz="4" w:space="0" w:color="auto"/>
              <w:right w:val="single" w:sz="12" w:space="0" w:color="auto"/>
            </w:tcBorders>
            <w:shd w:val="clear" w:color="000000" w:fill="E2EFDA"/>
            <w:vAlign w:val="bottom"/>
            <w:hideMark/>
          </w:tcPr>
          <w:p w14:paraId="24A9A65C"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Okružní 4685</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B5FE13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48505BB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28</w:t>
            </w:r>
          </w:p>
        </w:tc>
        <w:tc>
          <w:tcPr>
            <w:tcW w:w="561" w:type="dxa"/>
            <w:tcBorders>
              <w:top w:val="nil"/>
              <w:left w:val="nil"/>
              <w:bottom w:val="single" w:sz="4" w:space="0" w:color="auto"/>
              <w:right w:val="single" w:sz="12" w:space="0" w:color="auto"/>
            </w:tcBorders>
            <w:shd w:val="clear" w:color="auto" w:fill="auto"/>
            <w:noWrap/>
            <w:vAlign w:val="bottom"/>
            <w:hideMark/>
          </w:tcPr>
          <w:p w14:paraId="4DDA652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648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4E683AF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0FAA60A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29</w:t>
            </w:r>
          </w:p>
        </w:tc>
        <w:tc>
          <w:tcPr>
            <w:tcW w:w="561" w:type="dxa"/>
            <w:tcBorders>
              <w:top w:val="nil"/>
              <w:left w:val="nil"/>
              <w:bottom w:val="single" w:sz="4" w:space="0" w:color="auto"/>
              <w:right w:val="single" w:sz="12" w:space="0" w:color="auto"/>
            </w:tcBorders>
            <w:shd w:val="clear" w:color="auto" w:fill="auto"/>
            <w:noWrap/>
            <w:vAlign w:val="bottom"/>
            <w:hideMark/>
          </w:tcPr>
          <w:p w14:paraId="164BDC5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686</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750A30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6B8A86C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30</w:t>
            </w:r>
          </w:p>
        </w:tc>
        <w:tc>
          <w:tcPr>
            <w:tcW w:w="561" w:type="dxa"/>
            <w:tcBorders>
              <w:top w:val="nil"/>
              <w:left w:val="nil"/>
              <w:bottom w:val="single" w:sz="4" w:space="0" w:color="auto"/>
              <w:right w:val="single" w:sz="12" w:space="0" w:color="auto"/>
            </w:tcBorders>
            <w:shd w:val="clear" w:color="auto" w:fill="auto"/>
            <w:noWrap/>
            <w:vAlign w:val="bottom"/>
            <w:hideMark/>
          </w:tcPr>
          <w:p w14:paraId="3C614E4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725</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7C057087"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77BAF0B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31</w:t>
            </w:r>
          </w:p>
        </w:tc>
        <w:tc>
          <w:tcPr>
            <w:tcW w:w="561" w:type="dxa"/>
            <w:tcBorders>
              <w:top w:val="nil"/>
              <w:left w:val="nil"/>
              <w:bottom w:val="single" w:sz="4" w:space="0" w:color="auto"/>
              <w:right w:val="single" w:sz="12" w:space="0" w:color="auto"/>
            </w:tcBorders>
            <w:shd w:val="clear" w:color="auto" w:fill="auto"/>
            <w:noWrap/>
            <w:vAlign w:val="bottom"/>
            <w:hideMark/>
          </w:tcPr>
          <w:p w14:paraId="59B1781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730</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859F67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7E4FCA8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31</w:t>
            </w:r>
          </w:p>
        </w:tc>
        <w:tc>
          <w:tcPr>
            <w:tcW w:w="561" w:type="dxa"/>
            <w:tcBorders>
              <w:top w:val="nil"/>
              <w:left w:val="nil"/>
              <w:bottom w:val="single" w:sz="4" w:space="0" w:color="auto"/>
              <w:right w:val="single" w:sz="12" w:space="0" w:color="auto"/>
            </w:tcBorders>
            <w:shd w:val="clear" w:color="auto" w:fill="auto"/>
            <w:noWrap/>
            <w:vAlign w:val="bottom"/>
            <w:hideMark/>
          </w:tcPr>
          <w:p w14:paraId="561889F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718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67166C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nil"/>
              <w:left w:val="nil"/>
              <w:bottom w:val="single" w:sz="4" w:space="0" w:color="auto"/>
              <w:right w:val="single" w:sz="4" w:space="0" w:color="auto"/>
            </w:tcBorders>
            <w:shd w:val="clear" w:color="auto" w:fill="auto"/>
            <w:noWrap/>
            <w:vAlign w:val="bottom"/>
            <w:hideMark/>
          </w:tcPr>
          <w:p w14:paraId="4780B3E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30</w:t>
            </w:r>
          </w:p>
        </w:tc>
        <w:tc>
          <w:tcPr>
            <w:tcW w:w="561" w:type="dxa"/>
            <w:tcBorders>
              <w:top w:val="nil"/>
              <w:left w:val="nil"/>
              <w:bottom w:val="single" w:sz="4" w:space="0" w:color="auto"/>
              <w:right w:val="single" w:sz="12" w:space="0" w:color="auto"/>
            </w:tcBorders>
            <w:shd w:val="clear" w:color="auto" w:fill="auto"/>
            <w:noWrap/>
            <w:vAlign w:val="bottom"/>
            <w:hideMark/>
          </w:tcPr>
          <w:p w14:paraId="2F82E6C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697</w:t>
            </w:r>
          </w:p>
        </w:tc>
        <w:tc>
          <w:tcPr>
            <w:tcW w:w="568" w:type="dxa"/>
            <w:tcBorders>
              <w:top w:val="single" w:sz="4" w:space="0" w:color="auto"/>
              <w:left w:val="single" w:sz="12" w:space="0" w:color="auto"/>
              <w:bottom w:val="single" w:sz="4" w:space="0" w:color="auto"/>
              <w:right w:val="single" w:sz="4" w:space="0" w:color="auto"/>
            </w:tcBorders>
            <w:shd w:val="clear" w:color="000000" w:fill="F8696B"/>
            <w:noWrap/>
            <w:vAlign w:val="bottom"/>
            <w:hideMark/>
          </w:tcPr>
          <w:p w14:paraId="4BDB76A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1000</w:t>
            </w:r>
          </w:p>
        </w:tc>
        <w:tc>
          <w:tcPr>
            <w:tcW w:w="56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D636D6F"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30</w:t>
            </w:r>
          </w:p>
        </w:tc>
        <w:tc>
          <w:tcPr>
            <w:tcW w:w="561" w:type="dxa"/>
            <w:tcBorders>
              <w:top w:val="single" w:sz="4" w:space="0" w:color="auto"/>
              <w:left w:val="single" w:sz="4" w:space="0" w:color="auto"/>
              <w:bottom w:val="single" w:sz="4" w:space="0" w:color="auto"/>
              <w:right w:val="single" w:sz="12" w:space="0" w:color="auto"/>
            </w:tcBorders>
            <w:shd w:val="clear" w:color="000000" w:fill="F8696B"/>
            <w:noWrap/>
            <w:vAlign w:val="bottom"/>
            <w:hideMark/>
          </w:tcPr>
          <w:p w14:paraId="2A6A1ED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704</w:t>
            </w:r>
          </w:p>
        </w:tc>
      </w:tr>
      <w:tr w:rsidR="00AD5348" w:rsidRPr="007B79AF" w14:paraId="4D4D6E7A" w14:textId="77777777" w:rsidTr="00E37D33">
        <w:trPr>
          <w:trHeight w:val="495"/>
        </w:trPr>
        <w:tc>
          <w:tcPr>
            <w:tcW w:w="535" w:type="dxa"/>
            <w:tcBorders>
              <w:top w:val="nil"/>
              <w:left w:val="single" w:sz="12" w:space="0" w:color="auto"/>
              <w:bottom w:val="single" w:sz="4" w:space="0" w:color="auto"/>
              <w:right w:val="single" w:sz="4" w:space="0" w:color="auto"/>
            </w:tcBorders>
            <w:shd w:val="clear" w:color="000000" w:fill="E2EFDA"/>
            <w:noWrap/>
            <w:vAlign w:val="bottom"/>
            <w:hideMark/>
          </w:tcPr>
          <w:p w14:paraId="229088C0"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17.ZŠ</w:t>
            </w:r>
          </w:p>
        </w:tc>
        <w:tc>
          <w:tcPr>
            <w:tcW w:w="1865" w:type="dxa"/>
            <w:tcBorders>
              <w:top w:val="nil"/>
              <w:left w:val="nil"/>
              <w:bottom w:val="single" w:sz="4" w:space="0" w:color="auto"/>
              <w:right w:val="single" w:sz="12" w:space="0" w:color="auto"/>
            </w:tcBorders>
            <w:shd w:val="clear" w:color="000000" w:fill="E2EFDA"/>
            <w:vAlign w:val="bottom"/>
            <w:hideMark/>
          </w:tcPr>
          <w:p w14:paraId="1DDADF94" w14:textId="77777777" w:rsidR="00AD5348" w:rsidRPr="007B79AF" w:rsidRDefault="00AD5348" w:rsidP="00E37D33">
            <w:pPr>
              <w:spacing w:before="0"/>
              <w:jc w:val="left"/>
              <w:rPr>
                <w:rFonts w:eastAsia="Times New Roman" w:cstheme="minorHAnsi"/>
                <w:sz w:val="18"/>
                <w:szCs w:val="18"/>
                <w:lang w:eastAsia="cs-CZ"/>
              </w:rPr>
            </w:pPr>
            <w:r w:rsidRPr="007B79AF">
              <w:rPr>
                <w:rFonts w:eastAsia="Times New Roman" w:cstheme="minorHAnsi"/>
                <w:sz w:val="18"/>
                <w:szCs w:val="18"/>
                <w:lang w:eastAsia="cs-CZ"/>
              </w:rPr>
              <w:t>Základní škola Zlín, Křiby 4788</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70C0029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700</w:t>
            </w:r>
          </w:p>
        </w:tc>
        <w:tc>
          <w:tcPr>
            <w:tcW w:w="561" w:type="dxa"/>
            <w:tcBorders>
              <w:top w:val="nil"/>
              <w:left w:val="nil"/>
              <w:bottom w:val="single" w:sz="4" w:space="0" w:color="auto"/>
              <w:right w:val="single" w:sz="4" w:space="0" w:color="auto"/>
            </w:tcBorders>
            <w:shd w:val="clear" w:color="auto" w:fill="auto"/>
            <w:noWrap/>
            <w:vAlign w:val="bottom"/>
            <w:hideMark/>
          </w:tcPr>
          <w:p w14:paraId="11301BD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22</w:t>
            </w:r>
          </w:p>
        </w:tc>
        <w:tc>
          <w:tcPr>
            <w:tcW w:w="561" w:type="dxa"/>
            <w:tcBorders>
              <w:top w:val="nil"/>
              <w:left w:val="nil"/>
              <w:bottom w:val="single" w:sz="4" w:space="0" w:color="auto"/>
              <w:right w:val="single" w:sz="12" w:space="0" w:color="auto"/>
            </w:tcBorders>
            <w:shd w:val="clear" w:color="auto" w:fill="auto"/>
            <w:noWrap/>
            <w:vAlign w:val="bottom"/>
            <w:hideMark/>
          </w:tcPr>
          <w:p w14:paraId="7DA80D5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494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3314E2C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700</w:t>
            </w:r>
          </w:p>
        </w:tc>
        <w:tc>
          <w:tcPr>
            <w:tcW w:w="561" w:type="dxa"/>
            <w:tcBorders>
              <w:top w:val="nil"/>
              <w:left w:val="nil"/>
              <w:bottom w:val="single" w:sz="4" w:space="0" w:color="auto"/>
              <w:right w:val="single" w:sz="4" w:space="0" w:color="auto"/>
            </w:tcBorders>
            <w:shd w:val="clear" w:color="auto" w:fill="auto"/>
            <w:noWrap/>
            <w:vAlign w:val="bottom"/>
            <w:hideMark/>
          </w:tcPr>
          <w:p w14:paraId="434DB9C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nil"/>
              <w:left w:val="nil"/>
              <w:bottom w:val="single" w:sz="4" w:space="0" w:color="auto"/>
              <w:right w:val="single" w:sz="12" w:space="0" w:color="auto"/>
            </w:tcBorders>
            <w:shd w:val="clear" w:color="auto" w:fill="auto"/>
            <w:noWrap/>
            <w:vAlign w:val="bottom"/>
            <w:hideMark/>
          </w:tcPr>
          <w:p w14:paraId="17DDB37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532</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2F3A5C02"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700</w:t>
            </w:r>
          </w:p>
        </w:tc>
        <w:tc>
          <w:tcPr>
            <w:tcW w:w="561" w:type="dxa"/>
            <w:tcBorders>
              <w:top w:val="nil"/>
              <w:left w:val="nil"/>
              <w:bottom w:val="single" w:sz="4" w:space="0" w:color="auto"/>
              <w:right w:val="single" w:sz="4" w:space="0" w:color="auto"/>
            </w:tcBorders>
            <w:shd w:val="clear" w:color="auto" w:fill="auto"/>
            <w:noWrap/>
            <w:vAlign w:val="bottom"/>
            <w:hideMark/>
          </w:tcPr>
          <w:p w14:paraId="6CE87DA8"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23</w:t>
            </w:r>
          </w:p>
        </w:tc>
        <w:tc>
          <w:tcPr>
            <w:tcW w:w="561" w:type="dxa"/>
            <w:tcBorders>
              <w:top w:val="nil"/>
              <w:left w:val="nil"/>
              <w:bottom w:val="single" w:sz="4" w:space="0" w:color="auto"/>
              <w:right w:val="single" w:sz="12" w:space="0" w:color="auto"/>
            </w:tcBorders>
            <w:shd w:val="clear" w:color="auto" w:fill="auto"/>
            <w:noWrap/>
            <w:vAlign w:val="bottom"/>
            <w:hideMark/>
          </w:tcPr>
          <w:p w14:paraId="2E299A6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561</w:t>
            </w:r>
          </w:p>
        </w:tc>
        <w:tc>
          <w:tcPr>
            <w:tcW w:w="600" w:type="dxa"/>
            <w:tcBorders>
              <w:top w:val="nil"/>
              <w:left w:val="single" w:sz="12" w:space="0" w:color="auto"/>
              <w:bottom w:val="single" w:sz="4" w:space="0" w:color="auto"/>
              <w:right w:val="single" w:sz="4" w:space="0" w:color="auto"/>
            </w:tcBorders>
            <w:shd w:val="clear" w:color="auto" w:fill="auto"/>
            <w:noWrap/>
            <w:vAlign w:val="bottom"/>
            <w:hideMark/>
          </w:tcPr>
          <w:p w14:paraId="0D16464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700</w:t>
            </w:r>
          </w:p>
        </w:tc>
        <w:tc>
          <w:tcPr>
            <w:tcW w:w="561" w:type="dxa"/>
            <w:tcBorders>
              <w:top w:val="nil"/>
              <w:left w:val="nil"/>
              <w:bottom w:val="single" w:sz="4" w:space="0" w:color="auto"/>
              <w:right w:val="single" w:sz="4" w:space="0" w:color="auto"/>
            </w:tcBorders>
            <w:shd w:val="clear" w:color="auto" w:fill="auto"/>
            <w:noWrap/>
            <w:vAlign w:val="bottom"/>
            <w:hideMark/>
          </w:tcPr>
          <w:p w14:paraId="2A93D7BC"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24</w:t>
            </w:r>
          </w:p>
        </w:tc>
        <w:tc>
          <w:tcPr>
            <w:tcW w:w="561" w:type="dxa"/>
            <w:tcBorders>
              <w:top w:val="nil"/>
              <w:left w:val="nil"/>
              <w:bottom w:val="single" w:sz="4" w:space="0" w:color="auto"/>
              <w:right w:val="single" w:sz="12" w:space="0" w:color="auto"/>
            </w:tcBorders>
            <w:shd w:val="clear" w:color="auto" w:fill="auto"/>
            <w:noWrap/>
            <w:vAlign w:val="bottom"/>
            <w:hideMark/>
          </w:tcPr>
          <w:p w14:paraId="04C80006"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564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07B5868D"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700</w:t>
            </w:r>
          </w:p>
        </w:tc>
        <w:tc>
          <w:tcPr>
            <w:tcW w:w="561" w:type="dxa"/>
            <w:tcBorders>
              <w:top w:val="nil"/>
              <w:left w:val="nil"/>
              <w:bottom w:val="single" w:sz="4" w:space="0" w:color="auto"/>
              <w:right w:val="single" w:sz="4" w:space="0" w:color="auto"/>
            </w:tcBorders>
            <w:shd w:val="clear" w:color="auto" w:fill="auto"/>
            <w:noWrap/>
            <w:vAlign w:val="bottom"/>
            <w:hideMark/>
          </w:tcPr>
          <w:p w14:paraId="59F794A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25</w:t>
            </w:r>
          </w:p>
        </w:tc>
        <w:tc>
          <w:tcPr>
            <w:tcW w:w="561" w:type="dxa"/>
            <w:tcBorders>
              <w:top w:val="nil"/>
              <w:left w:val="nil"/>
              <w:bottom w:val="single" w:sz="4" w:space="0" w:color="auto"/>
              <w:right w:val="single" w:sz="12" w:space="0" w:color="auto"/>
            </w:tcBorders>
            <w:shd w:val="clear" w:color="auto" w:fill="auto"/>
            <w:noWrap/>
            <w:vAlign w:val="bottom"/>
            <w:hideMark/>
          </w:tcPr>
          <w:p w14:paraId="0A0FBFAA"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594</w:t>
            </w:r>
          </w:p>
        </w:tc>
        <w:tc>
          <w:tcPr>
            <w:tcW w:w="568" w:type="dxa"/>
            <w:tcBorders>
              <w:top w:val="nil"/>
              <w:left w:val="single" w:sz="12" w:space="0" w:color="auto"/>
              <w:bottom w:val="single" w:sz="4" w:space="0" w:color="auto"/>
              <w:right w:val="single" w:sz="4" w:space="0" w:color="auto"/>
            </w:tcBorders>
            <w:shd w:val="clear" w:color="auto" w:fill="auto"/>
            <w:noWrap/>
            <w:vAlign w:val="bottom"/>
            <w:hideMark/>
          </w:tcPr>
          <w:p w14:paraId="1938982E"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700</w:t>
            </w:r>
          </w:p>
        </w:tc>
        <w:tc>
          <w:tcPr>
            <w:tcW w:w="561" w:type="dxa"/>
            <w:tcBorders>
              <w:top w:val="nil"/>
              <w:left w:val="nil"/>
              <w:bottom w:val="single" w:sz="4" w:space="0" w:color="auto"/>
              <w:right w:val="single" w:sz="4" w:space="0" w:color="auto"/>
            </w:tcBorders>
            <w:shd w:val="clear" w:color="auto" w:fill="auto"/>
            <w:noWrap/>
            <w:vAlign w:val="bottom"/>
            <w:hideMark/>
          </w:tcPr>
          <w:p w14:paraId="2B32D1C3"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26</w:t>
            </w:r>
          </w:p>
        </w:tc>
        <w:tc>
          <w:tcPr>
            <w:tcW w:w="561" w:type="dxa"/>
            <w:tcBorders>
              <w:top w:val="nil"/>
              <w:left w:val="nil"/>
              <w:bottom w:val="single" w:sz="4" w:space="0" w:color="auto"/>
              <w:right w:val="single" w:sz="12" w:space="0" w:color="auto"/>
            </w:tcBorders>
            <w:shd w:val="clear" w:color="auto" w:fill="auto"/>
            <w:noWrap/>
            <w:vAlign w:val="bottom"/>
            <w:hideMark/>
          </w:tcPr>
          <w:p w14:paraId="57A5F064"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627</w:t>
            </w:r>
          </w:p>
        </w:tc>
        <w:tc>
          <w:tcPr>
            <w:tcW w:w="568" w:type="dxa"/>
            <w:tcBorders>
              <w:top w:val="single" w:sz="4" w:space="0" w:color="auto"/>
              <w:left w:val="single" w:sz="12" w:space="0" w:color="auto"/>
              <w:bottom w:val="single" w:sz="4" w:space="0" w:color="auto"/>
              <w:right w:val="single" w:sz="4" w:space="0" w:color="auto"/>
            </w:tcBorders>
            <w:shd w:val="clear" w:color="000000" w:fill="FBD8DA"/>
            <w:noWrap/>
            <w:vAlign w:val="bottom"/>
            <w:hideMark/>
          </w:tcPr>
          <w:p w14:paraId="14042245"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700</w:t>
            </w:r>
          </w:p>
        </w:tc>
        <w:tc>
          <w:tcPr>
            <w:tcW w:w="561" w:type="dxa"/>
            <w:tcBorders>
              <w:top w:val="single" w:sz="4" w:space="0" w:color="auto"/>
              <w:left w:val="single" w:sz="4" w:space="0" w:color="auto"/>
              <w:bottom w:val="single" w:sz="4" w:space="0" w:color="auto"/>
              <w:right w:val="single" w:sz="4" w:space="0" w:color="auto"/>
            </w:tcBorders>
            <w:shd w:val="clear" w:color="000000" w:fill="FA9B9D"/>
            <w:noWrap/>
            <w:vAlign w:val="bottom"/>
            <w:hideMark/>
          </w:tcPr>
          <w:p w14:paraId="7DA360CB"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27</w:t>
            </w:r>
          </w:p>
        </w:tc>
        <w:tc>
          <w:tcPr>
            <w:tcW w:w="561" w:type="dxa"/>
            <w:tcBorders>
              <w:top w:val="single" w:sz="4" w:space="0" w:color="auto"/>
              <w:left w:val="single" w:sz="4" w:space="0" w:color="auto"/>
              <w:bottom w:val="single" w:sz="4" w:space="0" w:color="auto"/>
              <w:right w:val="single" w:sz="12" w:space="0" w:color="auto"/>
            </w:tcBorders>
            <w:shd w:val="clear" w:color="000000" w:fill="F98789"/>
            <w:noWrap/>
            <w:vAlign w:val="bottom"/>
            <w:hideMark/>
          </w:tcPr>
          <w:p w14:paraId="7FC540A1" w14:textId="77777777" w:rsidR="00AD5348" w:rsidRPr="007B79AF" w:rsidRDefault="00AD5348" w:rsidP="00E37D33">
            <w:pPr>
              <w:spacing w:before="0"/>
              <w:jc w:val="right"/>
              <w:rPr>
                <w:rFonts w:eastAsia="Times New Roman" w:cstheme="minorHAnsi"/>
                <w:sz w:val="18"/>
                <w:szCs w:val="18"/>
                <w:lang w:eastAsia="cs-CZ"/>
              </w:rPr>
            </w:pPr>
            <w:r w:rsidRPr="007B79AF">
              <w:rPr>
                <w:rFonts w:eastAsia="Times New Roman" w:cstheme="minorHAnsi"/>
                <w:sz w:val="18"/>
                <w:szCs w:val="18"/>
                <w:lang w:eastAsia="cs-CZ"/>
              </w:rPr>
              <w:t>660</w:t>
            </w:r>
          </w:p>
        </w:tc>
      </w:tr>
      <w:tr w:rsidR="00AD5348" w:rsidRPr="007B79AF" w14:paraId="592A548B" w14:textId="77777777" w:rsidTr="00E37D33">
        <w:trPr>
          <w:trHeight w:val="300"/>
        </w:trPr>
        <w:tc>
          <w:tcPr>
            <w:tcW w:w="2400" w:type="dxa"/>
            <w:gridSpan w:val="2"/>
            <w:tcBorders>
              <w:top w:val="single" w:sz="4" w:space="0" w:color="auto"/>
              <w:left w:val="single" w:sz="12" w:space="0" w:color="auto"/>
              <w:bottom w:val="single" w:sz="12" w:space="0" w:color="auto"/>
              <w:right w:val="single" w:sz="12" w:space="0" w:color="auto"/>
            </w:tcBorders>
            <w:shd w:val="clear" w:color="000000" w:fill="C0C0C0"/>
            <w:noWrap/>
            <w:vAlign w:val="bottom"/>
            <w:hideMark/>
          </w:tcPr>
          <w:p w14:paraId="2E942041" w14:textId="77777777" w:rsidR="00AD5348" w:rsidRPr="007B79AF" w:rsidRDefault="00AD5348" w:rsidP="00E37D33">
            <w:pPr>
              <w:spacing w:before="0"/>
              <w:jc w:val="left"/>
              <w:rPr>
                <w:rFonts w:eastAsia="Times New Roman" w:cstheme="minorHAnsi"/>
                <w:b/>
                <w:bCs/>
                <w:sz w:val="18"/>
                <w:szCs w:val="18"/>
                <w:lang w:eastAsia="cs-CZ"/>
              </w:rPr>
            </w:pPr>
            <w:r w:rsidRPr="007B79AF">
              <w:rPr>
                <w:rFonts w:eastAsia="Times New Roman" w:cstheme="minorHAnsi"/>
                <w:b/>
                <w:bCs/>
                <w:sz w:val="18"/>
                <w:szCs w:val="18"/>
                <w:lang w:eastAsia="cs-CZ"/>
              </w:rPr>
              <w:t xml:space="preserve">Celkem </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03A6209A"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8018</w:t>
            </w:r>
          </w:p>
        </w:tc>
        <w:tc>
          <w:tcPr>
            <w:tcW w:w="561" w:type="dxa"/>
            <w:tcBorders>
              <w:top w:val="nil"/>
              <w:left w:val="nil"/>
              <w:bottom w:val="single" w:sz="12" w:space="0" w:color="auto"/>
              <w:right w:val="single" w:sz="4" w:space="0" w:color="auto"/>
            </w:tcBorders>
            <w:shd w:val="clear" w:color="000000" w:fill="D0CECE"/>
            <w:noWrap/>
            <w:vAlign w:val="bottom"/>
            <w:hideMark/>
          </w:tcPr>
          <w:p w14:paraId="173D7642"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269</w:t>
            </w:r>
          </w:p>
        </w:tc>
        <w:tc>
          <w:tcPr>
            <w:tcW w:w="561" w:type="dxa"/>
            <w:tcBorders>
              <w:top w:val="nil"/>
              <w:left w:val="nil"/>
              <w:bottom w:val="single" w:sz="12" w:space="0" w:color="auto"/>
              <w:right w:val="single" w:sz="12" w:space="0" w:color="auto"/>
            </w:tcBorders>
            <w:shd w:val="clear" w:color="000000" w:fill="D0CECE"/>
            <w:noWrap/>
            <w:vAlign w:val="bottom"/>
            <w:hideMark/>
          </w:tcPr>
          <w:p w14:paraId="2BEE924D"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5960</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7A6F6305"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8048</w:t>
            </w:r>
          </w:p>
        </w:tc>
        <w:tc>
          <w:tcPr>
            <w:tcW w:w="561" w:type="dxa"/>
            <w:tcBorders>
              <w:top w:val="nil"/>
              <w:left w:val="nil"/>
              <w:bottom w:val="single" w:sz="12" w:space="0" w:color="auto"/>
              <w:right w:val="single" w:sz="4" w:space="0" w:color="auto"/>
            </w:tcBorders>
            <w:shd w:val="clear" w:color="000000" w:fill="D0CECE"/>
            <w:noWrap/>
            <w:vAlign w:val="bottom"/>
            <w:hideMark/>
          </w:tcPr>
          <w:p w14:paraId="1E36A8DC"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275</w:t>
            </w:r>
          </w:p>
        </w:tc>
        <w:tc>
          <w:tcPr>
            <w:tcW w:w="561" w:type="dxa"/>
            <w:tcBorders>
              <w:top w:val="nil"/>
              <w:left w:val="nil"/>
              <w:bottom w:val="single" w:sz="12" w:space="0" w:color="auto"/>
              <w:right w:val="single" w:sz="12" w:space="0" w:color="auto"/>
            </w:tcBorders>
            <w:shd w:val="clear" w:color="000000" w:fill="D0CECE"/>
            <w:noWrap/>
            <w:vAlign w:val="bottom"/>
            <w:hideMark/>
          </w:tcPr>
          <w:p w14:paraId="31F8C515"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6228</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2FAD8335"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8048</w:t>
            </w:r>
          </w:p>
        </w:tc>
        <w:tc>
          <w:tcPr>
            <w:tcW w:w="561" w:type="dxa"/>
            <w:tcBorders>
              <w:top w:val="nil"/>
              <w:left w:val="nil"/>
              <w:bottom w:val="single" w:sz="12" w:space="0" w:color="auto"/>
              <w:right w:val="single" w:sz="4" w:space="0" w:color="auto"/>
            </w:tcBorders>
            <w:shd w:val="clear" w:color="000000" w:fill="D0CECE"/>
            <w:noWrap/>
            <w:vAlign w:val="bottom"/>
            <w:hideMark/>
          </w:tcPr>
          <w:p w14:paraId="2E8F5428"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280</w:t>
            </w:r>
          </w:p>
        </w:tc>
        <w:tc>
          <w:tcPr>
            <w:tcW w:w="561" w:type="dxa"/>
            <w:tcBorders>
              <w:top w:val="nil"/>
              <w:left w:val="nil"/>
              <w:bottom w:val="single" w:sz="12" w:space="0" w:color="auto"/>
              <w:right w:val="single" w:sz="12" w:space="0" w:color="auto"/>
            </w:tcBorders>
            <w:shd w:val="clear" w:color="000000" w:fill="D0CECE"/>
            <w:noWrap/>
            <w:vAlign w:val="bottom"/>
            <w:hideMark/>
          </w:tcPr>
          <w:p w14:paraId="4B9C5C72"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6383</w:t>
            </w:r>
          </w:p>
        </w:tc>
        <w:tc>
          <w:tcPr>
            <w:tcW w:w="600" w:type="dxa"/>
            <w:tcBorders>
              <w:top w:val="nil"/>
              <w:left w:val="single" w:sz="12" w:space="0" w:color="auto"/>
              <w:bottom w:val="single" w:sz="12" w:space="0" w:color="auto"/>
              <w:right w:val="single" w:sz="4" w:space="0" w:color="auto"/>
            </w:tcBorders>
            <w:shd w:val="clear" w:color="000000" w:fill="D0CECE"/>
            <w:noWrap/>
            <w:vAlign w:val="bottom"/>
            <w:hideMark/>
          </w:tcPr>
          <w:p w14:paraId="48935A0E"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8068</w:t>
            </w:r>
          </w:p>
        </w:tc>
        <w:tc>
          <w:tcPr>
            <w:tcW w:w="561" w:type="dxa"/>
            <w:tcBorders>
              <w:top w:val="nil"/>
              <w:left w:val="nil"/>
              <w:bottom w:val="single" w:sz="12" w:space="0" w:color="auto"/>
              <w:right w:val="single" w:sz="4" w:space="0" w:color="auto"/>
            </w:tcBorders>
            <w:shd w:val="clear" w:color="000000" w:fill="D0CECE"/>
            <w:noWrap/>
            <w:vAlign w:val="bottom"/>
            <w:hideMark/>
          </w:tcPr>
          <w:p w14:paraId="57F2A05A"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284</w:t>
            </w:r>
          </w:p>
        </w:tc>
        <w:tc>
          <w:tcPr>
            <w:tcW w:w="561" w:type="dxa"/>
            <w:tcBorders>
              <w:top w:val="nil"/>
              <w:left w:val="nil"/>
              <w:bottom w:val="single" w:sz="12" w:space="0" w:color="auto"/>
              <w:right w:val="single" w:sz="12" w:space="0" w:color="auto"/>
            </w:tcBorders>
            <w:shd w:val="clear" w:color="000000" w:fill="D0CECE"/>
            <w:noWrap/>
            <w:vAlign w:val="bottom"/>
            <w:hideMark/>
          </w:tcPr>
          <w:p w14:paraId="11FE91A9"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6430</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6E26C89F"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8128</w:t>
            </w:r>
          </w:p>
        </w:tc>
        <w:tc>
          <w:tcPr>
            <w:tcW w:w="561" w:type="dxa"/>
            <w:tcBorders>
              <w:top w:val="nil"/>
              <w:left w:val="nil"/>
              <w:bottom w:val="single" w:sz="12" w:space="0" w:color="auto"/>
              <w:right w:val="single" w:sz="4" w:space="0" w:color="auto"/>
            </w:tcBorders>
            <w:shd w:val="clear" w:color="000000" w:fill="D0CECE"/>
            <w:noWrap/>
            <w:vAlign w:val="bottom"/>
            <w:hideMark/>
          </w:tcPr>
          <w:p w14:paraId="60EB7FDC"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289</w:t>
            </w:r>
          </w:p>
        </w:tc>
        <w:tc>
          <w:tcPr>
            <w:tcW w:w="561" w:type="dxa"/>
            <w:tcBorders>
              <w:top w:val="nil"/>
              <w:left w:val="nil"/>
              <w:bottom w:val="single" w:sz="12" w:space="0" w:color="auto"/>
              <w:right w:val="single" w:sz="12" w:space="0" w:color="auto"/>
            </w:tcBorders>
            <w:shd w:val="clear" w:color="000000" w:fill="D0CECE"/>
            <w:noWrap/>
            <w:vAlign w:val="bottom"/>
            <w:hideMark/>
          </w:tcPr>
          <w:p w14:paraId="4594FDC1"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6544</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7FD79EFD"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8128</w:t>
            </w:r>
          </w:p>
        </w:tc>
        <w:tc>
          <w:tcPr>
            <w:tcW w:w="561" w:type="dxa"/>
            <w:tcBorders>
              <w:top w:val="nil"/>
              <w:left w:val="nil"/>
              <w:bottom w:val="single" w:sz="12" w:space="0" w:color="auto"/>
              <w:right w:val="single" w:sz="4" w:space="0" w:color="auto"/>
            </w:tcBorders>
            <w:shd w:val="clear" w:color="000000" w:fill="D0CECE"/>
            <w:noWrap/>
            <w:vAlign w:val="bottom"/>
            <w:hideMark/>
          </w:tcPr>
          <w:p w14:paraId="0DFB53DD"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289</w:t>
            </w:r>
          </w:p>
        </w:tc>
        <w:tc>
          <w:tcPr>
            <w:tcW w:w="561" w:type="dxa"/>
            <w:tcBorders>
              <w:top w:val="nil"/>
              <w:left w:val="nil"/>
              <w:bottom w:val="single" w:sz="12" w:space="0" w:color="auto"/>
              <w:right w:val="single" w:sz="12" w:space="0" w:color="auto"/>
            </w:tcBorders>
            <w:shd w:val="clear" w:color="000000" w:fill="D0CECE"/>
            <w:noWrap/>
            <w:vAlign w:val="bottom"/>
            <w:hideMark/>
          </w:tcPr>
          <w:p w14:paraId="7DCCF3D0"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6512</w:t>
            </w:r>
          </w:p>
        </w:tc>
        <w:tc>
          <w:tcPr>
            <w:tcW w:w="568" w:type="dxa"/>
            <w:tcBorders>
              <w:top w:val="nil"/>
              <w:left w:val="single" w:sz="12" w:space="0" w:color="auto"/>
              <w:bottom w:val="single" w:sz="12" w:space="0" w:color="auto"/>
              <w:right w:val="single" w:sz="4" w:space="0" w:color="auto"/>
            </w:tcBorders>
            <w:shd w:val="clear" w:color="000000" w:fill="D0CECE"/>
            <w:noWrap/>
            <w:vAlign w:val="bottom"/>
            <w:hideMark/>
          </w:tcPr>
          <w:p w14:paraId="3AB26B0C"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8128</w:t>
            </w:r>
          </w:p>
        </w:tc>
        <w:tc>
          <w:tcPr>
            <w:tcW w:w="561" w:type="dxa"/>
            <w:tcBorders>
              <w:top w:val="nil"/>
              <w:left w:val="nil"/>
              <w:bottom w:val="single" w:sz="12" w:space="0" w:color="auto"/>
              <w:right w:val="single" w:sz="4" w:space="0" w:color="auto"/>
            </w:tcBorders>
            <w:shd w:val="clear" w:color="000000" w:fill="D0CECE"/>
            <w:noWrap/>
            <w:vAlign w:val="bottom"/>
            <w:hideMark/>
          </w:tcPr>
          <w:p w14:paraId="69C18831"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294</w:t>
            </w:r>
          </w:p>
        </w:tc>
        <w:tc>
          <w:tcPr>
            <w:tcW w:w="561" w:type="dxa"/>
            <w:tcBorders>
              <w:top w:val="nil"/>
              <w:left w:val="nil"/>
              <w:bottom w:val="single" w:sz="12" w:space="0" w:color="auto"/>
              <w:right w:val="single" w:sz="12" w:space="0" w:color="auto"/>
            </w:tcBorders>
            <w:shd w:val="clear" w:color="000000" w:fill="D0CECE"/>
            <w:noWrap/>
            <w:vAlign w:val="bottom"/>
            <w:hideMark/>
          </w:tcPr>
          <w:p w14:paraId="4092C207" w14:textId="77777777" w:rsidR="00AD5348" w:rsidRPr="007B79AF" w:rsidRDefault="00AD5348" w:rsidP="00E37D33">
            <w:pPr>
              <w:spacing w:before="0"/>
              <w:jc w:val="right"/>
              <w:rPr>
                <w:rFonts w:eastAsia="Times New Roman" w:cstheme="minorHAnsi"/>
                <w:b/>
                <w:bCs/>
                <w:sz w:val="18"/>
                <w:szCs w:val="18"/>
                <w:lang w:eastAsia="cs-CZ"/>
              </w:rPr>
            </w:pPr>
            <w:r w:rsidRPr="007B79AF">
              <w:rPr>
                <w:rFonts w:eastAsia="Times New Roman" w:cstheme="minorHAnsi"/>
                <w:b/>
                <w:bCs/>
                <w:sz w:val="18"/>
                <w:szCs w:val="18"/>
                <w:lang w:eastAsia="cs-CZ"/>
              </w:rPr>
              <w:t>6579</w:t>
            </w:r>
          </w:p>
        </w:tc>
      </w:tr>
    </w:tbl>
    <w:p w14:paraId="47FA35B5" w14:textId="292A321F" w:rsidR="00AD5348" w:rsidRDefault="00AD5348" w:rsidP="00AD5348">
      <w:pPr>
        <w:pStyle w:val="Zdroj"/>
      </w:pPr>
      <w:r>
        <w:t>Zdroj:</w:t>
      </w:r>
      <w:r w:rsidRPr="009E7B3A">
        <w:t xml:space="preserve"> </w:t>
      </w:r>
      <w:r>
        <w:t xml:space="preserve">SMZ, </w:t>
      </w:r>
      <w:r w:rsidRPr="009E7B3A">
        <w:t>Odbor školství</w:t>
      </w:r>
      <w:r>
        <w:t xml:space="preserve">, </w:t>
      </w:r>
      <w:r w:rsidRPr="009E7B3A">
        <w:t>Magistrát města Zlína</w:t>
      </w:r>
      <w:r>
        <w:t>, k 1.</w:t>
      </w:r>
      <w:r w:rsidR="000F101A">
        <w:t xml:space="preserve"> </w:t>
      </w:r>
      <w:r>
        <w:t>7.</w:t>
      </w:r>
      <w:r w:rsidR="000F101A">
        <w:t xml:space="preserve"> </w:t>
      </w:r>
      <w:r>
        <w:t>2020</w:t>
      </w:r>
      <w:r w:rsidR="000F101A">
        <w:t>.</w:t>
      </w:r>
    </w:p>
    <w:p w14:paraId="64EB3918" w14:textId="77777777" w:rsidR="00AD5348" w:rsidRDefault="00AD5348" w:rsidP="00AD5348"/>
    <w:p w14:paraId="2EFA2D7A" w14:textId="781F6D63" w:rsidR="00AD5348" w:rsidRPr="004E2ED8" w:rsidRDefault="00AD5348" w:rsidP="00AD5348">
      <w:pPr>
        <w:pStyle w:val="Titulek"/>
      </w:pPr>
      <w:bookmarkStart w:id="521" w:name="_Toc50468809"/>
      <w:bookmarkStart w:id="522" w:name="_Toc7707476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80</w:t>
      </w:r>
      <w:r w:rsidR="00081B47">
        <w:rPr>
          <w:noProof/>
        </w:rPr>
        <w:fldChar w:fldCharType="end"/>
      </w:r>
      <w:r w:rsidR="000F101A">
        <w:rPr>
          <w:noProof/>
        </w:rPr>
        <w:t>:</w:t>
      </w:r>
      <w:r>
        <w:t xml:space="preserve"> Kapacita, počet tříd a počet žáků v jednotlivých středních školách na území města Zlína zřizované Zlínským k</w:t>
      </w:r>
      <w:r w:rsidR="000F101A">
        <w:t xml:space="preserve">rajem za školní roky 2013/2014 </w:t>
      </w:r>
      <w:r w:rsidR="000F101A">
        <w:sym w:font="Symbol" w:char="F02D"/>
      </w:r>
      <w:r>
        <w:t xml:space="preserve"> 2019/2020</w:t>
      </w:r>
      <w:bookmarkEnd w:id="521"/>
      <w:bookmarkEnd w:id="522"/>
    </w:p>
    <w:tbl>
      <w:tblPr>
        <w:tblW w:w="14107" w:type="dxa"/>
        <w:tblCellMar>
          <w:left w:w="70" w:type="dxa"/>
          <w:right w:w="70" w:type="dxa"/>
        </w:tblCellMar>
        <w:tblLook w:val="04A0" w:firstRow="1" w:lastRow="0" w:firstColumn="1" w:lastColumn="0" w:noHBand="0" w:noVBand="1"/>
      </w:tblPr>
      <w:tblGrid>
        <w:gridCol w:w="2258"/>
        <w:gridCol w:w="568"/>
        <w:gridCol w:w="561"/>
        <w:gridCol w:w="561"/>
        <w:gridCol w:w="568"/>
        <w:gridCol w:w="567"/>
        <w:gridCol w:w="567"/>
        <w:gridCol w:w="568"/>
        <w:gridCol w:w="567"/>
        <w:gridCol w:w="567"/>
        <w:gridCol w:w="568"/>
        <w:gridCol w:w="567"/>
        <w:gridCol w:w="567"/>
        <w:gridCol w:w="568"/>
        <w:gridCol w:w="567"/>
        <w:gridCol w:w="567"/>
        <w:gridCol w:w="568"/>
        <w:gridCol w:w="567"/>
        <w:gridCol w:w="567"/>
        <w:gridCol w:w="568"/>
        <w:gridCol w:w="567"/>
        <w:gridCol w:w="567"/>
      </w:tblGrid>
      <w:tr w:rsidR="00AD5348" w:rsidRPr="004E2ED8" w14:paraId="6BFC86ED" w14:textId="77777777" w:rsidTr="00E37D33">
        <w:trPr>
          <w:trHeight w:val="300"/>
        </w:trPr>
        <w:tc>
          <w:tcPr>
            <w:tcW w:w="2258" w:type="dxa"/>
            <w:vMerge w:val="restart"/>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4EAF8067"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Střední škola</w:t>
            </w:r>
          </w:p>
        </w:tc>
        <w:tc>
          <w:tcPr>
            <w:tcW w:w="1656" w:type="dxa"/>
            <w:gridSpan w:val="3"/>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3DDDDC84"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2013/2014</w:t>
            </w:r>
          </w:p>
        </w:tc>
        <w:tc>
          <w:tcPr>
            <w:tcW w:w="1688" w:type="dxa"/>
            <w:gridSpan w:val="3"/>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0361796A"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2014/2015</w:t>
            </w:r>
          </w:p>
        </w:tc>
        <w:tc>
          <w:tcPr>
            <w:tcW w:w="1701" w:type="dxa"/>
            <w:gridSpan w:val="3"/>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4D7B9998"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2015/2016</w:t>
            </w:r>
          </w:p>
        </w:tc>
        <w:tc>
          <w:tcPr>
            <w:tcW w:w="1701" w:type="dxa"/>
            <w:gridSpan w:val="3"/>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19C03E01"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2016/2017</w:t>
            </w:r>
          </w:p>
        </w:tc>
        <w:tc>
          <w:tcPr>
            <w:tcW w:w="1701" w:type="dxa"/>
            <w:gridSpan w:val="3"/>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7F176169"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2017/2018</w:t>
            </w:r>
          </w:p>
        </w:tc>
        <w:tc>
          <w:tcPr>
            <w:tcW w:w="1701" w:type="dxa"/>
            <w:gridSpan w:val="3"/>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3F00EA10"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2018/2019</w:t>
            </w:r>
          </w:p>
        </w:tc>
        <w:tc>
          <w:tcPr>
            <w:tcW w:w="1701" w:type="dxa"/>
            <w:gridSpan w:val="3"/>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21203777"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2019/2020</w:t>
            </w:r>
          </w:p>
        </w:tc>
      </w:tr>
      <w:tr w:rsidR="00AD5348" w:rsidRPr="004E2ED8" w14:paraId="69FF0CF8" w14:textId="77777777" w:rsidTr="00E37D33">
        <w:trPr>
          <w:trHeight w:val="510"/>
        </w:trPr>
        <w:tc>
          <w:tcPr>
            <w:tcW w:w="2258" w:type="dxa"/>
            <w:vMerge/>
            <w:tcBorders>
              <w:top w:val="single" w:sz="8" w:space="0" w:color="auto"/>
              <w:left w:val="single" w:sz="12" w:space="0" w:color="auto"/>
              <w:bottom w:val="single" w:sz="4" w:space="0" w:color="auto"/>
              <w:right w:val="single" w:sz="12" w:space="0" w:color="auto"/>
            </w:tcBorders>
            <w:vAlign w:val="center"/>
            <w:hideMark/>
          </w:tcPr>
          <w:p w14:paraId="51D122DD" w14:textId="77777777" w:rsidR="00AD5348" w:rsidRPr="00792AE3" w:rsidRDefault="00AD5348" w:rsidP="00E37D33">
            <w:pPr>
              <w:spacing w:before="0"/>
              <w:jc w:val="left"/>
              <w:rPr>
                <w:rFonts w:eastAsia="Times New Roman" w:cstheme="minorHAnsi"/>
                <w:b/>
                <w:color w:val="000000"/>
                <w:sz w:val="18"/>
                <w:szCs w:val="18"/>
                <w:lang w:eastAsia="cs-CZ"/>
              </w:rPr>
            </w:pPr>
          </w:p>
        </w:tc>
        <w:tc>
          <w:tcPr>
            <w:tcW w:w="544" w:type="dxa"/>
            <w:tcBorders>
              <w:top w:val="nil"/>
              <w:left w:val="single" w:sz="12" w:space="0" w:color="auto"/>
              <w:bottom w:val="single" w:sz="4" w:space="0" w:color="auto"/>
              <w:right w:val="single" w:sz="4" w:space="0" w:color="auto"/>
            </w:tcBorders>
            <w:shd w:val="clear" w:color="000000" w:fill="BFBFBF"/>
            <w:vAlign w:val="center"/>
            <w:hideMark/>
          </w:tcPr>
          <w:p w14:paraId="5F33605C"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56" w:type="dxa"/>
            <w:tcBorders>
              <w:top w:val="nil"/>
              <w:left w:val="nil"/>
              <w:bottom w:val="single" w:sz="4" w:space="0" w:color="auto"/>
              <w:right w:val="single" w:sz="4" w:space="0" w:color="auto"/>
            </w:tcBorders>
            <w:shd w:val="clear" w:color="000000" w:fill="BFBFBF"/>
            <w:vAlign w:val="center"/>
            <w:hideMark/>
          </w:tcPr>
          <w:p w14:paraId="51048EB9"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tříd</w:t>
            </w:r>
          </w:p>
        </w:tc>
        <w:tc>
          <w:tcPr>
            <w:tcW w:w="556" w:type="dxa"/>
            <w:tcBorders>
              <w:top w:val="nil"/>
              <w:left w:val="nil"/>
              <w:bottom w:val="single" w:sz="4" w:space="0" w:color="auto"/>
              <w:right w:val="single" w:sz="12" w:space="0" w:color="auto"/>
            </w:tcBorders>
            <w:shd w:val="clear" w:color="000000" w:fill="BFBFBF"/>
            <w:vAlign w:val="center"/>
            <w:hideMark/>
          </w:tcPr>
          <w:p w14:paraId="36E43F3A"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54" w:type="dxa"/>
            <w:tcBorders>
              <w:top w:val="nil"/>
              <w:left w:val="single" w:sz="12" w:space="0" w:color="auto"/>
              <w:bottom w:val="single" w:sz="4" w:space="0" w:color="auto"/>
              <w:right w:val="single" w:sz="4" w:space="0" w:color="auto"/>
            </w:tcBorders>
            <w:shd w:val="clear" w:color="000000" w:fill="BFBFBF"/>
            <w:vAlign w:val="center"/>
            <w:hideMark/>
          </w:tcPr>
          <w:p w14:paraId="6D5A5CC0"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67" w:type="dxa"/>
            <w:tcBorders>
              <w:top w:val="nil"/>
              <w:left w:val="nil"/>
              <w:bottom w:val="single" w:sz="4" w:space="0" w:color="auto"/>
              <w:right w:val="single" w:sz="4" w:space="0" w:color="auto"/>
            </w:tcBorders>
            <w:shd w:val="clear" w:color="000000" w:fill="BFBFBF"/>
            <w:vAlign w:val="center"/>
            <w:hideMark/>
          </w:tcPr>
          <w:p w14:paraId="3EA512EF"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tříd</w:t>
            </w:r>
          </w:p>
        </w:tc>
        <w:tc>
          <w:tcPr>
            <w:tcW w:w="567" w:type="dxa"/>
            <w:tcBorders>
              <w:top w:val="nil"/>
              <w:left w:val="nil"/>
              <w:bottom w:val="single" w:sz="4" w:space="0" w:color="auto"/>
              <w:right w:val="single" w:sz="12" w:space="0" w:color="auto"/>
            </w:tcBorders>
            <w:shd w:val="clear" w:color="000000" w:fill="BFBFBF"/>
            <w:vAlign w:val="center"/>
            <w:hideMark/>
          </w:tcPr>
          <w:p w14:paraId="5DD424ED"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67" w:type="dxa"/>
            <w:tcBorders>
              <w:top w:val="nil"/>
              <w:left w:val="single" w:sz="12" w:space="0" w:color="auto"/>
              <w:bottom w:val="single" w:sz="4" w:space="0" w:color="auto"/>
              <w:right w:val="single" w:sz="4" w:space="0" w:color="auto"/>
            </w:tcBorders>
            <w:shd w:val="clear" w:color="000000" w:fill="BFBFBF"/>
            <w:vAlign w:val="center"/>
            <w:hideMark/>
          </w:tcPr>
          <w:p w14:paraId="2E998A97"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67" w:type="dxa"/>
            <w:tcBorders>
              <w:top w:val="nil"/>
              <w:left w:val="nil"/>
              <w:bottom w:val="single" w:sz="4" w:space="0" w:color="auto"/>
              <w:right w:val="single" w:sz="4" w:space="0" w:color="auto"/>
            </w:tcBorders>
            <w:shd w:val="clear" w:color="000000" w:fill="BFBFBF"/>
            <w:vAlign w:val="center"/>
            <w:hideMark/>
          </w:tcPr>
          <w:p w14:paraId="53668B4F"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tříd</w:t>
            </w:r>
          </w:p>
        </w:tc>
        <w:tc>
          <w:tcPr>
            <w:tcW w:w="567" w:type="dxa"/>
            <w:tcBorders>
              <w:top w:val="nil"/>
              <w:left w:val="nil"/>
              <w:bottom w:val="single" w:sz="4" w:space="0" w:color="auto"/>
              <w:right w:val="single" w:sz="12" w:space="0" w:color="auto"/>
            </w:tcBorders>
            <w:shd w:val="clear" w:color="000000" w:fill="BFBFBF"/>
            <w:vAlign w:val="center"/>
            <w:hideMark/>
          </w:tcPr>
          <w:p w14:paraId="1FFB4857"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67" w:type="dxa"/>
            <w:tcBorders>
              <w:top w:val="nil"/>
              <w:left w:val="single" w:sz="12" w:space="0" w:color="auto"/>
              <w:bottom w:val="single" w:sz="4" w:space="0" w:color="auto"/>
              <w:right w:val="single" w:sz="4" w:space="0" w:color="auto"/>
            </w:tcBorders>
            <w:shd w:val="clear" w:color="000000" w:fill="BFBFBF"/>
            <w:vAlign w:val="center"/>
            <w:hideMark/>
          </w:tcPr>
          <w:p w14:paraId="06130800"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67" w:type="dxa"/>
            <w:tcBorders>
              <w:top w:val="nil"/>
              <w:left w:val="nil"/>
              <w:bottom w:val="single" w:sz="4" w:space="0" w:color="auto"/>
              <w:right w:val="single" w:sz="4" w:space="0" w:color="auto"/>
            </w:tcBorders>
            <w:shd w:val="clear" w:color="000000" w:fill="BFBFBF"/>
            <w:vAlign w:val="center"/>
            <w:hideMark/>
          </w:tcPr>
          <w:p w14:paraId="2326AC09"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tříd</w:t>
            </w:r>
          </w:p>
        </w:tc>
        <w:tc>
          <w:tcPr>
            <w:tcW w:w="567" w:type="dxa"/>
            <w:tcBorders>
              <w:top w:val="nil"/>
              <w:left w:val="nil"/>
              <w:bottom w:val="single" w:sz="4" w:space="0" w:color="auto"/>
              <w:right w:val="single" w:sz="12" w:space="0" w:color="auto"/>
            </w:tcBorders>
            <w:shd w:val="clear" w:color="000000" w:fill="BFBFBF"/>
            <w:vAlign w:val="center"/>
            <w:hideMark/>
          </w:tcPr>
          <w:p w14:paraId="1DA2AC6A"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67" w:type="dxa"/>
            <w:tcBorders>
              <w:top w:val="nil"/>
              <w:left w:val="single" w:sz="12" w:space="0" w:color="auto"/>
              <w:bottom w:val="single" w:sz="4" w:space="0" w:color="auto"/>
              <w:right w:val="single" w:sz="4" w:space="0" w:color="auto"/>
            </w:tcBorders>
            <w:shd w:val="clear" w:color="000000" w:fill="BFBFBF"/>
            <w:vAlign w:val="center"/>
            <w:hideMark/>
          </w:tcPr>
          <w:p w14:paraId="04BD1B81"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67" w:type="dxa"/>
            <w:tcBorders>
              <w:top w:val="nil"/>
              <w:left w:val="nil"/>
              <w:bottom w:val="single" w:sz="4" w:space="0" w:color="auto"/>
              <w:right w:val="single" w:sz="4" w:space="0" w:color="auto"/>
            </w:tcBorders>
            <w:shd w:val="clear" w:color="000000" w:fill="BFBFBF"/>
            <w:vAlign w:val="center"/>
            <w:hideMark/>
          </w:tcPr>
          <w:p w14:paraId="65D4D1CB"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tříd</w:t>
            </w:r>
          </w:p>
        </w:tc>
        <w:tc>
          <w:tcPr>
            <w:tcW w:w="567" w:type="dxa"/>
            <w:tcBorders>
              <w:top w:val="nil"/>
              <w:left w:val="nil"/>
              <w:bottom w:val="single" w:sz="4" w:space="0" w:color="auto"/>
              <w:right w:val="single" w:sz="12" w:space="0" w:color="auto"/>
            </w:tcBorders>
            <w:shd w:val="clear" w:color="000000" w:fill="BFBFBF"/>
            <w:vAlign w:val="center"/>
            <w:hideMark/>
          </w:tcPr>
          <w:p w14:paraId="30813FD9"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67" w:type="dxa"/>
            <w:tcBorders>
              <w:top w:val="nil"/>
              <w:left w:val="single" w:sz="12" w:space="0" w:color="auto"/>
              <w:bottom w:val="single" w:sz="4" w:space="0" w:color="auto"/>
              <w:right w:val="single" w:sz="4" w:space="0" w:color="auto"/>
            </w:tcBorders>
            <w:shd w:val="clear" w:color="000000" w:fill="BFBFBF"/>
            <w:vAlign w:val="center"/>
            <w:hideMark/>
          </w:tcPr>
          <w:p w14:paraId="697B3F45"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67" w:type="dxa"/>
            <w:tcBorders>
              <w:top w:val="nil"/>
              <w:left w:val="nil"/>
              <w:bottom w:val="single" w:sz="4" w:space="0" w:color="auto"/>
              <w:right w:val="single" w:sz="4" w:space="0" w:color="auto"/>
            </w:tcBorders>
            <w:shd w:val="clear" w:color="000000" w:fill="BFBFBF"/>
            <w:vAlign w:val="center"/>
            <w:hideMark/>
          </w:tcPr>
          <w:p w14:paraId="3837394C"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tříd</w:t>
            </w:r>
          </w:p>
        </w:tc>
        <w:tc>
          <w:tcPr>
            <w:tcW w:w="567" w:type="dxa"/>
            <w:tcBorders>
              <w:top w:val="nil"/>
              <w:left w:val="nil"/>
              <w:bottom w:val="single" w:sz="4" w:space="0" w:color="auto"/>
              <w:right w:val="single" w:sz="12" w:space="0" w:color="auto"/>
            </w:tcBorders>
            <w:shd w:val="clear" w:color="000000" w:fill="BFBFBF"/>
            <w:vAlign w:val="center"/>
            <w:hideMark/>
          </w:tcPr>
          <w:p w14:paraId="399DDC6C"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c>
          <w:tcPr>
            <w:tcW w:w="567" w:type="dxa"/>
            <w:tcBorders>
              <w:top w:val="nil"/>
              <w:left w:val="single" w:sz="12" w:space="0" w:color="auto"/>
              <w:bottom w:val="single" w:sz="4" w:space="0" w:color="auto"/>
              <w:right w:val="single" w:sz="4" w:space="0" w:color="auto"/>
            </w:tcBorders>
            <w:shd w:val="clear" w:color="000000" w:fill="BFBFBF"/>
            <w:vAlign w:val="center"/>
            <w:hideMark/>
          </w:tcPr>
          <w:p w14:paraId="781DDD78"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 xml:space="preserve">Kapa-cita </w:t>
            </w:r>
          </w:p>
        </w:tc>
        <w:tc>
          <w:tcPr>
            <w:tcW w:w="567" w:type="dxa"/>
            <w:tcBorders>
              <w:top w:val="nil"/>
              <w:left w:val="nil"/>
              <w:bottom w:val="single" w:sz="4" w:space="0" w:color="auto"/>
              <w:right w:val="single" w:sz="4" w:space="0" w:color="auto"/>
            </w:tcBorders>
            <w:shd w:val="clear" w:color="000000" w:fill="BFBFBF"/>
            <w:vAlign w:val="center"/>
            <w:hideMark/>
          </w:tcPr>
          <w:p w14:paraId="2CC63450"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tříd</w:t>
            </w:r>
          </w:p>
        </w:tc>
        <w:tc>
          <w:tcPr>
            <w:tcW w:w="567" w:type="dxa"/>
            <w:tcBorders>
              <w:top w:val="nil"/>
              <w:left w:val="nil"/>
              <w:bottom w:val="single" w:sz="4" w:space="0" w:color="auto"/>
              <w:right w:val="single" w:sz="12" w:space="0" w:color="auto"/>
            </w:tcBorders>
            <w:shd w:val="clear" w:color="000000" w:fill="BFBFBF"/>
            <w:vAlign w:val="center"/>
            <w:hideMark/>
          </w:tcPr>
          <w:p w14:paraId="4AD1B44F" w14:textId="77777777" w:rsidR="00AD5348" w:rsidRPr="00792AE3" w:rsidRDefault="00AD5348" w:rsidP="00E37D33">
            <w:pPr>
              <w:spacing w:before="0"/>
              <w:jc w:val="center"/>
              <w:rPr>
                <w:rFonts w:eastAsia="Times New Roman" w:cstheme="minorHAnsi"/>
                <w:b/>
                <w:color w:val="000000"/>
                <w:sz w:val="18"/>
                <w:szCs w:val="18"/>
                <w:lang w:eastAsia="cs-CZ"/>
              </w:rPr>
            </w:pPr>
            <w:r w:rsidRPr="00792AE3">
              <w:rPr>
                <w:rFonts w:eastAsia="Times New Roman" w:cstheme="minorHAnsi"/>
                <w:b/>
                <w:color w:val="000000"/>
                <w:sz w:val="18"/>
                <w:szCs w:val="18"/>
                <w:lang w:eastAsia="cs-CZ"/>
              </w:rPr>
              <w:t>Počet žáků</w:t>
            </w:r>
          </w:p>
        </w:tc>
      </w:tr>
      <w:tr w:rsidR="00AD5348" w:rsidRPr="004E2ED8" w14:paraId="44D73704" w14:textId="77777777" w:rsidTr="00E37D33">
        <w:trPr>
          <w:trHeight w:val="300"/>
        </w:trPr>
        <w:tc>
          <w:tcPr>
            <w:tcW w:w="2258" w:type="dxa"/>
            <w:tcBorders>
              <w:top w:val="nil"/>
              <w:left w:val="single" w:sz="12" w:space="0" w:color="auto"/>
              <w:bottom w:val="single" w:sz="4" w:space="0" w:color="auto"/>
              <w:right w:val="single" w:sz="12" w:space="0" w:color="auto"/>
            </w:tcBorders>
            <w:shd w:val="clear" w:color="auto" w:fill="DEEAF6" w:themeFill="accent1" w:themeFillTint="33"/>
            <w:vAlign w:val="center"/>
            <w:hideMark/>
          </w:tcPr>
          <w:p w14:paraId="78A170DD" w14:textId="77777777" w:rsidR="00AD5348" w:rsidRPr="004E2ED8" w:rsidRDefault="00AD5348" w:rsidP="00E37D33">
            <w:pPr>
              <w:spacing w:before="0"/>
              <w:jc w:val="left"/>
              <w:rPr>
                <w:rFonts w:eastAsia="Times New Roman" w:cstheme="minorHAnsi"/>
                <w:color w:val="000000"/>
                <w:sz w:val="18"/>
                <w:szCs w:val="18"/>
                <w:lang w:eastAsia="cs-CZ"/>
              </w:rPr>
            </w:pPr>
            <w:r w:rsidRPr="004E2ED8">
              <w:rPr>
                <w:rFonts w:eastAsia="Times New Roman" w:cstheme="minorHAnsi"/>
                <w:color w:val="000000"/>
                <w:sz w:val="18"/>
                <w:szCs w:val="18"/>
                <w:lang w:eastAsia="cs-CZ"/>
              </w:rPr>
              <w:t>Gymnázium Zlín - Lesní čtvrť</w:t>
            </w:r>
          </w:p>
        </w:tc>
        <w:tc>
          <w:tcPr>
            <w:tcW w:w="544" w:type="dxa"/>
            <w:tcBorders>
              <w:top w:val="nil"/>
              <w:left w:val="single" w:sz="12" w:space="0" w:color="auto"/>
              <w:bottom w:val="single" w:sz="4" w:space="0" w:color="auto"/>
              <w:right w:val="single" w:sz="4" w:space="0" w:color="auto"/>
            </w:tcBorders>
            <w:shd w:val="clear" w:color="auto" w:fill="auto"/>
            <w:noWrap/>
            <w:vAlign w:val="center"/>
            <w:hideMark/>
          </w:tcPr>
          <w:p w14:paraId="6473C844"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960</w:t>
            </w:r>
          </w:p>
        </w:tc>
        <w:tc>
          <w:tcPr>
            <w:tcW w:w="556" w:type="dxa"/>
            <w:tcBorders>
              <w:top w:val="nil"/>
              <w:left w:val="nil"/>
              <w:bottom w:val="single" w:sz="4" w:space="0" w:color="auto"/>
              <w:right w:val="single" w:sz="4" w:space="0" w:color="auto"/>
            </w:tcBorders>
            <w:shd w:val="clear" w:color="auto" w:fill="auto"/>
            <w:noWrap/>
            <w:vAlign w:val="center"/>
            <w:hideMark/>
          </w:tcPr>
          <w:p w14:paraId="48D6CDD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56" w:type="dxa"/>
            <w:tcBorders>
              <w:top w:val="nil"/>
              <w:left w:val="nil"/>
              <w:bottom w:val="single" w:sz="4" w:space="0" w:color="auto"/>
              <w:right w:val="single" w:sz="12" w:space="0" w:color="auto"/>
            </w:tcBorders>
            <w:shd w:val="clear" w:color="auto" w:fill="auto"/>
            <w:noWrap/>
            <w:vAlign w:val="center"/>
            <w:hideMark/>
          </w:tcPr>
          <w:p w14:paraId="73A2A11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927</w:t>
            </w:r>
          </w:p>
        </w:tc>
        <w:tc>
          <w:tcPr>
            <w:tcW w:w="554" w:type="dxa"/>
            <w:tcBorders>
              <w:top w:val="nil"/>
              <w:left w:val="single" w:sz="12" w:space="0" w:color="auto"/>
              <w:bottom w:val="single" w:sz="4" w:space="0" w:color="auto"/>
              <w:right w:val="single" w:sz="4" w:space="0" w:color="auto"/>
            </w:tcBorders>
            <w:shd w:val="clear" w:color="auto" w:fill="auto"/>
            <w:noWrap/>
            <w:vAlign w:val="center"/>
            <w:hideMark/>
          </w:tcPr>
          <w:p w14:paraId="410AEB3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960</w:t>
            </w:r>
          </w:p>
        </w:tc>
        <w:tc>
          <w:tcPr>
            <w:tcW w:w="567" w:type="dxa"/>
            <w:tcBorders>
              <w:top w:val="nil"/>
              <w:left w:val="nil"/>
              <w:bottom w:val="single" w:sz="4" w:space="0" w:color="auto"/>
              <w:right w:val="single" w:sz="4" w:space="0" w:color="auto"/>
            </w:tcBorders>
            <w:shd w:val="clear" w:color="auto" w:fill="auto"/>
            <w:noWrap/>
            <w:vAlign w:val="center"/>
            <w:hideMark/>
          </w:tcPr>
          <w:p w14:paraId="5AEE5A3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0507195E"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912</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C64DF8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960</w:t>
            </w:r>
          </w:p>
        </w:tc>
        <w:tc>
          <w:tcPr>
            <w:tcW w:w="567" w:type="dxa"/>
            <w:tcBorders>
              <w:top w:val="nil"/>
              <w:left w:val="nil"/>
              <w:bottom w:val="single" w:sz="4" w:space="0" w:color="auto"/>
              <w:right w:val="single" w:sz="4" w:space="0" w:color="auto"/>
            </w:tcBorders>
            <w:shd w:val="clear" w:color="auto" w:fill="auto"/>
            <w:noWrap/>
            <w:vAlign w:val="center"/>
            <w:hideMark/>
          </w:tcPr>
          <w:p w14:paraId="44DFF03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5E106F5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917</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378C16E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960</w:t>
            </w:r>
          </w:p>
        </w:tc>
        <w:tc>
          <w:tcPr>
            <w:tcW w:w="567" w:type="dxa"/>
            <w:tcBorders>
              <w:top w:val="nil"/>
              <w:left w:val="nil"/>
              <w:bottom w:val="single" w:sz="4" w:space="0" w:color="auto"/>
              <w:right w:val="single" w:sz="4" w:space="0" w:color="auto"/>
            </w:tcBorders>
            <w:shd w:val="clear" w:color="auto" w:fill="auto"/>
            <w:noWrap/>
            <w:vAlign w:val="center"/>
            <w:hideMark/>
          </w:tcPr>
          <w:p w14:paraId="14575B8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765F526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913</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41E9767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960</w:t>
            </w:r>
          </w:p>
        </w:tc>
        <w:tc>
          <w:tcPr>
            <w:tcW w:w="567" w:type="dxa"/>
            <w:tcBorders>
              <w:top w:val="nil"/>
              <w:left w:val="nil"/>
              <w:bottom w:val="single" w:sz="4" w:space="0" w:color="auto"/>
              <w:right w:val="single" w:sz="4" w:space="0" w:color="auto"/>
            </w:tcBorders>
            <w:shd w:val="clear" w:color="auto" w:fill="auto"/>
            <w:noWrap/>
            <w:vAlign w:val="center"/>
            <w:hideMark/>
          </w:tcPr>
          <w:p w14:paraId="3472717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2578ECCE"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902</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2B21623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960</w:t>
            </w:r>
          </w:p>
        </w:tc>
        <w:tc>
          <w:tcPr>
            <w:tcW w:w="567" w:type="dxa"/>
            <w:tcBorders>
              <w:top w:val="nil"/>
              <w:left w:val="nil"/>
              <w:bottom w:val="single" w:sz="4" w:space="0" w:color="auto"/>
              <w:right w:val="single" w:sz="4" w:space="0" w:color="auto"/>
            </w:tcBorders>
            <w:shd w:val="clear" w:color="auto" w:fill="auto"/>
            <w:noWrap/>
            <w:vAlign w:val="center"/>
            <w:hideMark/>
          </w:tcPr>
          <w:p w14:paraId="3AC2C25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5CA6209A"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924</w:t>
            </w:r>
          </w:p>
        </w:tc>
        <w:tc>
          <w:tcPr>
            <w:tcW w:w="567" w:type="dxa"/>
            <w:tcBorders>
              <w:top w:val="single" w:sz="4" w:space="0" w:color="auto"/>
              <w:left w:val="single" w:sz="12" w:space="0" w:color="auto"/>
              <w:bottom w:val="single" w:sz="4" w:space="0" w:color="auto"/>
              <w:right w:val="single" w:sz="4" w:space="0" w:color="auto"/>
            </w:tcBorders>
            <w:shd w:val="clear" w:color="000000" w:fill="FBBABC"/>
            <w:noWrap/>
            <w:vAlign w:val="center"/>
            <w:hideMark/>
          </w:tcPr>
          <w:p w14:paraId="6C3D991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960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227362B"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single" w:sz="4" w:space="0" w:color="auto"/>
              <w:left w:val="single" w:sz="4" w:space="0" w:color="auto"/>
              <w:bottom w:val="single" w:sz="4" w:space="0" w:color="auto"/>
              <w:right w:val="single" w:sz="12" w:space="0" w:color="auto"/>
            </w:tcBorders>
            <w:shd w:val="clear" w:color="000000" w:fill="F8696B"/>
            <w:noWrap/>
            <w:vAlign w:val="center"/>
            <w:hideMark/>
          </w:tcPr>
          <w:p w14:paraId="0555BA4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921</w:t>
            </w:r>
          </w:p>
        </w:tc>
      </w:tr>
      <w:tr w:rsidR="00AD5348" w:rsidRPr="004E2ED8" w14:paraId="0D85FE66" w14:textId="77777777" w:rsidTr="00E37D33">
        <w:trPr>
          <w:trHeight w:val="765"/>
        </w:trPr>
        <w:tc>
          <w:tcPr>
            <w:tcW w:w="2258" w:type="dxa"/>
            <w:tcBorders>
              <w:top w:val="nil"/>
              <w:left w:val="single" w:sz="12" w:space="0" w:color="auto"/>
              <w:bottom w:val="single" w:sz="4" w:space="0" w:color="auto"/>
              <w:right w:val="single" w:sz="12" w:space="0" w:color="auto"/>
            </w:tcBorders>
            <w:shd w:val="clear" w:color="auto" w:fill="DEEAF6" w:themeFill="accent1" w:themeFillTint="33"/>
            <w:vAlign w:val="center"/>
            <w:hideMark/>
          </w:tcPr>
          <w:p w14:paraId="0F666168" w14:textId="77777777" w:rsidR="00AD5348" w:rsidRPr="004E2ED8" w:rsidRDefault="00AD5348" w:rsidP="00E37D33">
            <w:pPr>
              <w:spacing w:before="0"/>
              <w:jc w:val="left"/>
              <w:rPr>
                <w:rFonts w:eastAsia="Times New Roman" w:cstheme="minorHAnsi"/>
                <w:color w:val="000000"/>
                <w:sz w:val="18"/>
                <w:szCs w:val="18"/>
                <w:lang w:eastAsia="cs-CZ"/>
              </w:rPr>
            </w:pPr>
            <w:r w:rsidRPr="004E2ED8">
              <w:rPr>
                <w:rFonts w:eastAsia="Times New Roman" w:cstheme="minorHAnsi"/>
                <w:color w:val="000000"/>
                <w:sz w:val="18"/>
                <w:szCs w:val="18"/>
                <w:lang w:eastAsia="cs-CZ"/>
              </w:rPr>
              <w:t>Gymnázium a Jazyková škola s právem státní jazykové zkoušky Zlín</w:t>
            </w:r>
          </w:p>
        </w:tc>
        <w:tc>
          <w:tcPr>
            <w:tcW w:w="544" w:type="dxa"/>
            <w:tcBorders>
              <w:top w:val="nil"/>
              <w:left w:val="single" w:sz="12" w:space="0" w:color="auto"/>
              <w:bottom w:val="single" w:sz="4" w:space="0" w:color="auto"/>
              <w:right w:val="single" w:sz="4" w:space="0" w:color="auto"/>
            </w:tcBorders>
            <w:shd w:val="clear" w:color="auto" w:fill="auto"/>
            <w:noWrap/>
            <w:vAlign w:val="center"/>
            <w:hideMark/>
          </w:tcPr>
          <w:p w14:paraId="65B39B2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760</w:t>
            </w:r>
          </w:p>
        </w:tc>
        <w:tc>
          <w:tcPr>
            <w:tcW w:w="556" w:type="dxa"/>
            <w:tcBorders>
              <w:top w:val="nil"/>
              <w:left w:val="nil"/>
              <w:bottom w:val="single" w:sz="4" w:space="0" w:color="auto"/>
              <w:right w:val="single" w:sz="4" w:space="0" w:color="auto"/>
            </w:tcBorders>
            <w:shd w:val="clear" w:color="auto" w:fill="auto"/>
            <w:noWrap/>
            <w:vAlign w:val="center"/>
            <w:hideMark/>
          </w:tcPr>
          <w:p w14:paraId="36545F9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w:t>
            </w:r>
          </w:p>
        </w:tc>
        <w:tc>
          <w:tcPr>
            <w:tcW w:w="556" w:type="dxa"/>
            <w:tcBorders>
              <w:top w:val="nil"/>
              <w:left w:val="nil"/>
              <w:bottom w:val="single" w:sz="4" w:space="0" w:color="auto"/>
              <w:right w:val="single" w:sz="12" w:space="0" w:color="auto"/>
            </w:tcBorders>
            <w:shd w:val="clear" w:color="auto" w:fill="auto"/>
            <w:noWrap/>
            <w:vAlign w:val="center"/>
            <w:hideMark/>
          </w:tcPr>
          <w:p w14:paraId="5DE3183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699</w:t>
            </w:r>
          </w:p>
        </w:tc>
        <w:tc>
          <w:tcPr>
            <w:tcW w:w="554" w:type="dxa"/>
            <w:tcBorders>
              <w:top w:val="nil"/>
              <w:left w:val="single" w:sz="12" w:space="0" w:color="auto"/>
              <w:bottom w:val="single" w:sz="4" w:space="0" w:color="auto"/>
              <w:right w:val="single" w:sz="4" w:space="0" w:color="auto"/>
            </w:tcBorders>
            <w:shd w:val="clear" w:color="auto" w:fill="auto"/>
            <w:noWrap/>
            <w:vAlign w:val="center"/>
            <w:hideMark/>
          </w:tcPr>
          <w:p w14:paraId="6C23D37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760</w:t>
            </w:r>
          </w:p>
        </w:tc>
        <w:tc>
          <w:tcPr>
            <w:tcW w:w="567" w:type="dxa"/>
            <w:tcBorders>
              <w:top w:val="nil"/>
              <w:left w:val="nil"/>
              <w:bottom w:val="single" w:sz="4" w:space="0" w:color="auto"/>
              <w:right w:val="single" w:sz="4" w:space="0" w:color="auto"/>
            </w:tcBorders>
            <w:shd w:val="clear" w:color="auto" w:fill="auto"/>
            <w:noWrap/>
            <w:vAlign w:val="center"/>
            <w:hideMark/>
          </w:tcPr>
          <w:p w14:paraId="35743088"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w:t>
            </w:r>
          </w:p>
        </w:tc>
        <w:tc>
          <w:tcPr>
            <w:tcW w:w="567" w:type="dxa"/>
            <w:tcBorders>
              <w:top w:val="nil"/>
              <w:left w:val="nil"/>
              <w:bottom w:val="single" w:sz="4" w:space="0" w:color="auto"/>
              <w:right w:val="single" w:sz="12" w:space="0" w:color="auto"/>
            </w:tcBorders>
            <w:shd w:val="clear" w:color="auto" w:fill="auto"/>
            <w:noWrap/>
            <w:vAlign w:val="center"/>
            <w:hideMark/>
          </w:tcPr>
          <w:p w14:paraId="4576A32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685</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35DEF8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760</w:t>
            </w:r>
          </w:p>
        </w:tc>
        <w:tc>
          <w:tcPr>
            <w:tcW w:w="567" w:type="dxa"/>
            <w:tcBorders>
              <w:top w:val="nil"/>
              <w:left w:val="nil"/>
              <w:bottom w:val="single" w:sz="4" w:space="0" w:color="auto"/>
              <w:right w:val="single" w:sz="4" w:space="0" w:color="auto"/>
            </w:tcBorders>
            <w:shd w:val="clear" w:color="auto" w:fill="auto"/>
            <w:noWrap/>
            <w:vAlign w:val="center"/>
            <w:hideMark/>
          </w:tcPr>
          <w:p w14:paraId="75BAD82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w:t>
            </w:r>
          </w:p>
        </w:tc>
        <w:tc>
          <w:tcPr>
            <w:tcW w:w="567" w:type="dxa"/>
            <w:tcBorders>
              <w:top w:val="nil"/>
              <w:left w:val="nil"/>
              <w:bottom w:val="single" w:sz="4" w:space="0" w:color="auto"/>
              <w:right w:val="single" w:sz="12" w:space="0" w:color="auto"/>
            </w:tcBorders>
            <w:shd w:val="clear" w:color="auto" w:fill="auto"/>
            <w:noWrap/>
            <w:vAlign w:val="center"/>
            <w:hideMark/>
          </w:tcPr>
          <w:p w14:paraId="1C02F60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681</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38A47A3A"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760</w:t>
            </w:r>
          </w:p>
        </w:tc>
        <w:tc>
          <w:tcPr>
            <w:tcW w:w="567" w:type="dxa"/>
            <w:tcBorders>
              <w:top w:val="nil"/>
              <w:left w:val="nil"/>
              <w:bottom w:val="single" w:sz="4" w:space="0" w:color="auto"/>
              <w:right w:val="single" w:sz="4" w:space="0" w:color="auto"/>
            </w:tcBorders>
            <w:shd w:val="clear" w:color="auto" w:fill="auto"/>
            <w:noWrap/>
            <w:vAlign w:val="center"/>
            <w:hideMark/>
          </w:tcPr>
          <w:p w14:paraId="18F1D23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w:t>
            </w:r>
          </w:p>
        </w:tc>
        <w:tc>
          <w:tcPr>
            <w:tcW w:w="567" w:type="dxa"/>
            <w:tcBorders>
              <w:top w:val="nil"/>
              <w:left w:val="nil"/>
              <w:bottom w:val="single" w:sz="4" w:space="0" w:color="auto"/>
              <w:right w:val="single" w:sz="12" w:space="0" w:color="auto"/>
            </w:tcBorders>
            <w:shd w:val="clear" w:color="auto" w:fill="auto"/>
            <w:noWrap/>
            <w:vAlign w:val="center"/>
            <w:hideMark/>
          </w:tcPr>
          <w:p w14:paraId="10199AD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678</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4154DE7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760</w:t>
            </w:r>
          </w:p>
        </w:tc>
        <w:tc>
          <w:tcPr>
            <w:tcW w:w="567" w:type="dxa"/>
            <w:tcBorders>
              <w:top w:val="nil"/>
              <w:left w:val="nil"/>
              <w:bottom w:val="single" w:sz="4" w:space="0" w:color="auto"/>
              <w:right w:val="single" w:sz="4" w:space="0" w:color="auto"/>
            </w:tcBorders>
            <w:shd w:val="clear" w:color="auto" w:fill="auto"/>
            <w:noWrap/>
            <w:vAlign w:val="center"/>
            <w:hideMark/>
          </w:tcPr>
          <w:p w14:paraId="6FE6C72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w:t>
            </w:r>
          </w:p>
        </w:tc>
        <w:tc>
          <w:tcPr>
            <w:tcW w:w="567" w:type="dxa"/>
            <w:tcBorders>
              <w:top w:val="nil"/>
              <w:left w:val="nil"/>
              <w:bottom w:val="single" w:sz="4" w:space="0" w:color="auto"/>
              <w:right w:val="single" w:sz="12" w:space="0" w:color="auto"/>
            </w:tcBorders>
            <w:shd w:val="clear" w:color="auto" w:fill="auto"/>
            <w:noWrap/>
            <w:vAlign w:val="center"/>
            <w:hideMark/>
          </w:tcPr>
          <w:p w14:paraId="03731A28"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671</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1BF351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760</w:t>
            </w:r>
          </w:p>
        </w:tc>
        <w:tc>
          <w:tcPr>
            <w:tcW w:w="567" w:type="dxa"/>
            <w:tcBorders>
              <w:top w:val="nil"/>
              <w:left w:val="nil"/>
              <w:bottom w:val="single" w:sz="4" w:space="0" w:color="auto"/>
              <w:right w:val="single" w:sz="4" w:space="0" w:color="auto"/>
            </w:tcBorders>
            <w:shd w:val="clear" w:color="auto" w:fill="auto"/>
            <w:noWrap/>
            <w:vAlign w:val="center"/>
            <w:hideMark/>
          </w:tcPr>
          <w:p w14:paraId="4F6494E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w:t>
            </w:r>
          </w:p>
        </w:tc>
        <w:tc>
          <w:tcPr>
            <w:tcW w:w="567" w:type="dxa"/>
            <w:tcBorders>
              <w:top w:val="nil"/>
              <w:left w:val="nil"/>
              <w:bottom w:val="single" w:sz="4" w:space="0" w:color="auto"/>
              <w:right w:val="single" w:sz="12" w:space="0" w:color="auto"/>
            </w:tcBorders>
            <w:shd w:val="clear" w:color="auto" w:fill="auto"/>
            <w:noWrap/>
            <w:vAlign w:val="center"/>
            <w:hideMark/>
          </w:tcPr>
          <w:p w14:paraId="60B19BAA"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675</w:t>
            </w:r>
          </w:p>
        </w:tc>
        <w:tc>
          <w:tcPr>
            <w:tcW w:w="567" w:type="dxa"/>
            <w:tcBorders>
              <w:top w:val="single" w:sz="4" w:space="0" w:color="auto"/>
              <w:left w:val="single" w:sz="12" w:space="0" w:color="auto"/>
              <w:bottom w:val="single" w:sz="4" w:space="0" w:color="auto"/>
              <w:right w:val="single" w:sz="4" w:space="0" w:color="auto"/>
            </w:tcBorders>
            <w:shd w:val="clear" w:color="000000" w:fill="FCFCFF"/>
            <w:noWrap/>
            <w:vAlign w:val="center"/>
            <w:hideMark/>
          </w:tcPr>
          <w:p w14:paraId="18ADAD9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760</w:t>
            </w:r>
          </w:p>
        </w:tc>
        <w:tc>
          <w:tcPr>
            <w:tcW w:w="567"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59EA263E"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w:t>
            </w:r>
          </w:p>
        </w:tc>
        <w:tc>
          <w:tcPr>
            <w:tcW w:w="567" w:type="dxa"/>
            <w:tcBorders>
              <w:top w:val="single" w:sz="4" w:space="0" w:color="auto"/>
              <w:left w:val="single" w:sz="4" w:space="0" w:color="auto"/>
              <w:bottom w:val="single" w:sz="4" w:space="0" w:color="auto"/>
              <w:right w:val="single" w:sz="12" w:space="0" w:color="auto"/>
            </w:tcBorders>
            <w:shd w:val="clear" w:color="000000" w:fill="FCFCFF"/>
            <w:noWrap/>
            <w:vAlign w:val="center"/>
            <w:hideMark/>
          </w:tcPr>
          <w:p w14:paraId="06C9F9E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694</w:t>
            </w:r>
          </w:p>
        </w:tc>
      </w:tr>
      <w:tr w:rsidR="00AD5348" w:rsidRPr="004E2ED8" w14:paraId="35A54FFA" w14:textId="77777777" w:rsidTr="00E37D33">
        <w:trPr>
          <w:trHeight w:val="765"/>
        </w:trPr>
        <w:tc>
          <w:tcPr>
            <w:tcW w:w="2258" w:type="dxa"/>
            <w:tcBorders>
              <w:top w:val="nil"/>
              <w:left w:val="single" w:sz="12" w:space="0" w:color="auto"/>
              <w:bottom w:val="single" w:sz="4" w:space="0" w:color="auto"/>
              <w:right w:val="single" w:sz="12" w:space="0" w:color="auto"/>
            </w:tcBorders>
            <w:shd w:val="clear" w:color="auto" w:fill="DEEAF6" w:themeFill="accent1" w:themeFillTint="33"/>
            <w:vAlign w:val="center"/>
            <w:hideMark/>
          </w:tcPr>
          <w:p w14:paraId="687D47D9" w14:textId="77777777" w:rsidR="00AD5348" w:rsidRPr="004E2ED8" w:rsidRDefault="00AD5348" w:rsidP="00E37D33">
            <w:pPr>
              <w:spacing w:before="0"/>
              <w:jc w:val="left"/>
              <w:rPr>
                <w:rFonts w:eastAsia="Times New Roman" w:cstheme="minorHAnsi"/>
                <w:color w:val="000000"/>
                <w:sz w:val="18"/>
                <w:szCs w:val="18"/>
                <w:lang w:eastAsia="cs-CZ"/>
              </w:rPr>
            </w:pPr>
            <w:r w:rsidRPr="004E2ED8">
              <w:rPr>
                <w:rFonts w:eastAsia="Times New Roman" w:cstheme="minorHAnsi"/>
                <w:color w:val="000000"/>
                <w:sz w:val="18"/>
                <w:szCs w:val="18"/>
                <w:lang w:eastAsia="cs-CZ"/>
              </w:rPr>
              <w:t>Obchodní akademie Tomáše Bati a Vyšší odborná škola ekonomická Zlín</w:t>
            </w:r>
          </w:p>
        </w:tc>
        <w:tc>
          <w:tcPr>
            <w:tcW w:w="544" w:type="dxa"/>
            <w:tcBorders>
              <w:top w:val="nil"/>
              <w:left w:val="single" w:sz="12" w:space="0" w:color="auto"/>
              <w:bottom w:val="single" w:sz="4" w:space="0" w:color="auto"/>
              <w:right w:val="single" w:sz="4" w:space="0" w:color="auto"/>
            </w:tcBorders>
            <w:shd w:val="clear" w:color="auto" w:fill="auto"/>
            <w:noWrap/>
            <w:vAlign w:val="center"/>
            <w:hideMark/>
          </w:tcPr>
          <w:p w14:paraId="293A43E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56" w:type="dxa"/>
            <w:tcBorders>
              <w:top w:val="nil"/>
              <w:left w:val="nil"/>
              <w:bottom w:val="single" w:sz="4" w:space="0" w:color="auto"/>
              <w:right w:val="single" w:sz="4" w:space="0" w:color="auto"/>
            </w:tcBorders>
            <w:shd w:val="clear" w:color="auto" w:fill="auto"/>
            <w:noWrap/>
            <w:vAlign w:val="center"/>
            <w:hideMark/>
          </w:tcPr>
          <w:p w14:paraId="3B4B8FE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56" w:type="dxa"/>
            <w:tcBorders>
              <w:top w:val="nil"/>
              <w:left w:val="nil"/>
              <w:bottom w:val="single" w:sz="4" w:space="0" w:color="auto"/>
              <w:right w:val="single" w:sz="12" w:space="0" w:color="auto"/>
            </w:tcBorders>
            <w:shd w:val="clear" w:color="auto" w:fill="auto"/>
            <w:noWrap/>
            <w:vAlign w:val="center"/>
            <w:hideMark/>
          </w:tcPr>
          <w:p w14:paraId="5CDC06A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453</w:t>
            </w:r>
          </w:p>
        </w:tc>
        <w:tc>
          <w:tcPr>
            <w:tcW w:w="554" w:type="dxa"/>
            <w:tcBorders>
              <w:top w:val="nil"/>
              <w:left w:val="single" w:sz="12" w:space="0" w:color="auto"/>
              <w:bottom w:val="single" w:sz="4" w:space="0" w:color="auto"/>
              <w:right w:val="single" w:sz="4" w:space="0" w:color="auto"/>
            </w:tcBorders>
            <w:shd w:val="clear" w:color="auto" w:fill="auto"/>
            <w:noWrap/>
            <w:vAlign w:val="center"/>
            <w:hideMark/>
          </w:tcPr>
          <w:p w14:paraId="7FF812E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6AFAFB44"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67" w:type="dxa"/>
            <w:tcBorders>
              <w:top w:val="nil"/>
              <w:left w:val="nil"/>
              <w:bottom w:val="single" w:sz="4" w:space="0" w:color="auto"/>
              <w:right w:val="single" w:sz="12" w:space="0" w:color="auto"/>
            </w:tcBorders>
            <w:shd w:val="clear" w:color="auto" w:fill="auto"/>
            <w:noWrap/>
            <w:vAlign w:val="center"/>
            <w:hideMark/>
          </w:tcPr>
          <w:p w14:paraId="3986529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442</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11A700C"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1E49615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67" w:type="dxa"/>
            <w:tcBorders>
              <w:top w:val="nil"/>
              <w:left w:val="nil"/>
              <w:bottom w:val="single" w:sz="4" w:space="0" w:color="auto"/>
              <w:right w:val="single" w:sz="12" w:space="0" w:color="auto"/>
            </w:tcBorders>
            <w:shd w:val="clear" w:color="auto" w:fill="auto"/>
            <w:noWrap/>
            <w:vAlign w:val="center"/>
            <w:hideMark/>
          </w:tcPr>
          <w:p w14:paraId="002900E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454</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401583A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146770D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67" w:type="dxa"/>
            <w:tcBorders>
              <w:top w:val="nil"/>
              <w:left w:val="nil"/>
              <w:bottom w:val="single" w:sz="4" w:space="0" w:color="auto"/>
              <w:right w:val="single" w:sz="12" w:space="0" w:color="auto"/>
            </w:tcBorders>
            <w:shd w:val="clear" w:color="auto" w:fill="auto"/>
            <w:noWrap/>
            <w:vAlign w:val="center"/>
            <w:hideMark/>
          </w:tcPr>
          <w:p w14:paraId="5F5F9BB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452</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1E50E7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7B68253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67" w:type="dxa"/>
            <w:tcBorders>
              <w:top w:val="nil"/>
              <w:left w:val="nil"/>
              <w:bottom w:val="single" w:sz="4" w:space="0" w:color="auto"/>
              <w:right w:val="single" w:sz="12" w:space="0" w:color="auto"/>
            </w:tcBorders>
            <w:shd w:val="clear" w:color="auto" w:fill="auto"/>
            <w:noWrap/>
            <w:vAlign w:val="center"/>
            <w:hideMark/>
          </w:tcPr>
          <w:p w14:paraId="6569C93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458</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2659090A"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40BC981A"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67" w:type="dxa"/>
            <w:tcBorders>
              <w:top w:val="nil"/>
              <w:left w:val="nil"/>
              <w:bottom w:val="single" w:sz="4" w:space="0" w:color="auto"/>
              <w:right w:val="single" w:sz="12" w:space="0" w:color="auto"/>
            </w:tcBorders>
            <w:shd w:val="clear" w:color="auto" w:fill="auto"/>
            <w:noWrap/>
            <w:vAlign w:val="center"/>
            <w:hideMark/>
          </w:tcPr>
          <w:p w14:paraId="1E2404A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455</w:t>
            </w:r>
          </w:p>
        </w:tc>
        <w:tc>
          <w:tcPr>
            <w:tcW w:w="567" w:type="dxa"/>
            <w:tcBorders>
              <w:top w:val="single" w:sz="4" w:space="0" w:color="auto"/>
              <w:left w:val="single" w:sz="12" w:space="0" w:color="auto"/>
              <w:bottom w:val="single" w:sz="4" w:space="0" w:color="auto"/>
              <w:right w:val="single" w:sz="4" w:space="0" w:color="auto"/>
            </w:tcBorders>
            <w:shd w:val="clear" w:color="000000" w:fill="B4C9E5"/>
            <w:noWrap/>
            <w:vAlign w:val="center"/>
            <w:hideMark/>
          </w:tcPr>
          <w:p w14:paraId="66D2262B"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single" w:sz="4" w:space="0" w:color="auto"/>
              <w:left w:val="single" w:sz="4" w:space="0" w:color="auto"/>
              <w:bottom w:val="single" w:sz="4" w:space="0" w:color="auto"/>
              <w:right w:val="single" w:sz="4" w:space="0" w:color="auto"/>
            </w:tcBorders>
            <w:shd w:val="clear" w:color="000000" w:fill="86A9D5"/>
            <w:noWrap/>
            <w:vAlign w:val="center"/>
            <w:hideMark/>
          </w:tcPr>
          <w:p w14:paraId="270F3ABB"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67" w:type="dxa"/>
            <w:tcBorders>
              <w:top w:val="single" w:sz="4" w:space="0" w:color="auto"/>
              <w:left w:val="single" w:sz="4" w:space="0" w:color="auto"/>
              <w:bottom w:val="single" w:sz="4" w:space="0" w:color="auto"/>
              <w:right w:val="single" w:sz="12" w:space="0" w:color="auto"/>
            </w:tcBorders>
            <w:shd w:val="clear" w:color="000000" w:fill="A1BCDF"/>
            <w:noWrap/>
            <w:vAlign w:val="center"/>
            <w:hideMark/>
          </w:tcPr>
          <w:p w14:paraId="0E4CDC1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460</w:t>
            </w:r>
          </w:p>
        </w:tc>
      </w:tr>
      <w:tr w:rsidR="00AD5348" w:rsidRPr="004E2ED8" w14:paraId="797CB146" w14:textId="77777777" w:rsidTr="00E37D33">
        <w:trPr>
          <w:trHeight w:val="765"/>
        </w:trPr>
        <w:tc>
          <w:tcPr>
            <w:tcW w:w="2258" w:type="dxa"/>
            <w:tcBorders>
              <w:top w:val="nil"/>
              <w:left w:val="single" w:sz="12" w:space="0" w:color="auto"/>
              <w:bottom w:val="single" w:sz="4" w:space="0" w:color="auto"/>
              <w:right w:val="single" w:sz="12" w:space="0" w:color="auto"/>
            </w:tcBorders>
            <w:shd w:val="clear" w:color="auto" w:fill="DEEAF6" w:themeFill="accent1" w:themeFillTint="33"/>
            <w:vAlign w:val="center"/>
            <w:hideMark/>
          </w:tcPr>
          <w:p w14:paraId="21FA04EF" w14:textId="29BA18EA" w:rsidR="00AD5348" w:rsidRPr="004E2ED8" w:rsidRDefault="00AD5348" w:rsidP="000F101A">
            <w:pPr>
              <w:spacing w:before="0"/>
              <w:jc w:val="left"/>
              <w:rPr>
                <w:rFonts w:eastAsia="Times New Roman" w:cstheme="minorHAnsi"/>
                <w:color w:val="000000"/>
                <w:sz w:val="18"/>
                <w:szCs w:val="18"/>
                <w:lang w:eastAsia="cs-CZ"/>
              </w:rPr>
            </w:pPr>
            <w:r w:rsidRPr="004E2ED8">
              <w:rPr>
                <w:rFonts w:eastAsia="Times New Roman" w:cstheme="minorHAnsi"/>
                <w:color w:val="000000"/>
                <w:sz w:val="18"/>
                <w:szCs w:val="18"/>
                <w:lang w:eastAsia="cs-CZ"/>
              </w:rPr>
              <w:t>Střední zdravotnická škola a</w:t>
            </w:r>
            <w:r w:rsidR="000F101A">
              <w:rPr>
                <w:rFonts w:eastAsia="Times New Roman" w:cstheme="minorHAnsi"/>
                <w:color w:val="000000"/>
                <w:sz w:val="18"/>
                <w:szCs w:val="18"/>
                <w:lang w:eastAsia="cs-CZ"/>
              </w:rPr>
              <w:t> </w:t>
            </w:r>
            <w:r w:rsidRPr="004E2ED8">
              <w:rPr>
                <w:rFonts w:eastAsia="Times New Roman" w:cstheme="minorHAnsi"/>
                <w:color w:val="000000"/>
                <w:sz w:val="18"/>
                <w:szCs w:val="18"/>
                <w:lang w:eastAsia="cs-CZ"/>
              </w:rPr>
              <w:t>Vyšší odborná škola zdravotnická Zlín</w:t>
            </w:r>
          </w:p>
        </w:tc>
        <w:tc>
          <w:tcPr>
            <w:tcW w:w="544" w:type="dxa"/>
            <w:tcBorders>
              <w:top w:val="nil"/>
              <w:left w:val="single" w:sz="12" w:space="0" w:color="auto"/>
              <w:bottom w:val="single" w:sz="4" w:space="0" w:color="auto"/>
              <w:right w:val="single" w:sz="4" w:space="0" w:color="auto"/>
            </w:tcBorders>
            <w:shd w:val="clear" w:color="auto" w:fill="auto"/>
            <w:noWrap/>
            <w:vAlign w:val="center"/>
            <w:hideMark/>
          </w:tcPr>
          <w:p w14:paraId="0F9C19D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240</w:t>
            </w:r>
          </w:p>
        </w:tc>
        <w:tc>
          <w:tcPr>
            <w:tcW w:w="556" w:type="dxa"/>
            <w:tcBorders>
              <w:top w:val="nil"/>
              <w:left w:val="nil"/>
              <w:bottom w:val="single" w:sz="4" w:space="0" w:color="auto"/>
              <w:right w:val="single" w:sz="4" w:space="0" w:color="auto"/>
            </w:tcBorders>
            <w:shd w:val="clear" w:color="auto" w:fill="auto"/>
            <w:noWrap/>
            <w:vAlign w:val="center"/>
            <w:hideMark/>
          </w:tcPr>
          <w:p w14:paraId="729939B4"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w:t>
            </w:r>
          </w:p>
        </w:tc>
        <w:tc>
          <w:tcPr>
            <w:tcW w:w="556" w:type="dxa"/>
            <w:tcBorders>
              <w:top w:val="nil"/>
              <w:left w:val="nil"/>
              <w:bottom w:val="single" w:sz="4" w:space="0" w:color="auto"/>
              <w:right w:val="single" w:sz="12" w:space="0" w:color="auto"/>
            </w:tcBorders>
            <w:shd w:val="clear" w:color="auto" w:fill="auto"/>
            <w:noWrap/>
            <w:vAlign w:val="center"/>
            <w:hideMark/>
          </w:tcPr>
          <w:p w14:paraId="7B47A958"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239</w:t>
            </w:r>
          </w:p>
        </w:tc>
        <w:tc>
          <w:tcPr>
            <w:tcW w:w="554" w:type="dxa"/>
            <w:tcBorders>
              <w:top w:val="nil"/>
              <w:left w:val="single" w:sz="12" w:space="0" w:color="auto"/>
              <w:bottom w:val="single" w:sz="4" w:space="0" w:color="auto"/>
              <w:right w:val="single" w:sz="4" w:space="0" w:color="auto"/>
            </w:tcBorders>
            <w:shd w:val="clear" w:color="auto" w:fill="auto"/>
            <w:noWrap/>
            <w:vAlign w:val="center"/>
            <w:hideMark/>
          </w:tcPr>
          <w:p w14:paraId="0738980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315</w:t>
            </w:r>
          </w:p>
        </w:tc>
        <w:tc>
          <w:tcPr>
            <w:tcW w:w="567" w:type="dxa"/>
            <w:tcBorders>
              <w:top w:val="nil"/>
              <w:left w:val="nil"/>
              <w:bottom w:val="single" w:sz="4" w:space="0" w:color="auto"/>
              <w:right w:val="single" w:sz="4" w:space="0" w:color="auto"/>
            </w:tcBorders>
            <w:shd w:val="clear" w:color="auto" w:fill="auto"/>
            <w:noWrap/>
            <w:vAlign w:val="center"/>
            <w:hideMark/>
          </w:tcPr>
          <w:p w14:paraId="212CC5D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9</w:t>
            </w:r>
          </w:p>
        </w:tc>
        <w:tc>
          <w:tcPr>
            <w:tcW w:w="567" w:type="dxa"/>
            <w:tcBorders>
              <w:top w:val="nil"/>
              <w:left w:val="nil"/>
              <w:bottom w:val="single" w:sz="4" w:space="0" w:color="auto"/>
              <w:right w:val="single" w:sz="12" w:space="0" w:color="auto"/>
            </w:tcBorders>
            <w:shd w:val="clear" w:color="auto" w:fill="auto"/>
            <w:noWrap/>
            <w:vAlign w:val="center"/>
            <w:hideMark/>
          </w:tcPr>
          <w:p w14:paraId="4DADC02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249</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1DB0D70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315</w:t>
            </w:r>
          </w:p>
        </w:tc>
        <w:tc>
          <w:tcPr>
            <w:tcW w:w="567" w:type="dxa"/>
            <w:tcBorders>
              <w:top w:val="nil"/>
              <w:left w:val="nil"/>
              <w:bottom w:val="single" w:sz="4" w:space="0" w:color="auto"/>
              <w:right w:val="single" w:sz="4" w:space="0" w:color="auto"/>
            </w:tcBorders>
            <w:shd w:val="clear" w:color="auto" w:fill="auto"/>
            <w:noWrap/>
            <w:vAlign w:val="center"/>
            <w:hideMark/>
          </w:tcPr>
          <w:p w14:paraId="243713D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10</w:t>
            </w:r>
          </w:p>
        </w:tc>
        <w:tc>
          <w:tcPr>
            <w:tcW w:w="567" w:type="dxa"/>
            <w:tcBorders>
              <w:top w:val="nil"/>
              <w:left w:val="nil"/>
              <w:bottom w:val="single" w:sz="4" w:space="0" w:color="auto"/>
              <w:right w:val="single" w:sz="12" w:space="0" w:color="auto"/>
            </w:tcBorders>
            <w:shd w:val="clear" w:color="auto" w:fill="auto"/>
            <w:noWrap/>
            <w:vAlign w:val="center"/>
            <w:hideMark/>
          </w:tcPr>
          <w:p w14:paraId="7001248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263</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6E4225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315</w:t>
            </w:r>
          </w:p>
        </w:tc>
        <w:tc>
          <w:tcPr>
            <w:tcW w:w="567" w:type="dxa"/>
            <w:tcBorders>
              <w:top w:val="nil"/>
              <w:left w:val="nil"/>
              <w:bottom w:val="single" w:sz="4" w:space="0" w:color="auto"/>
              <w:right w:val="single" w:sz="4" w:space="0" w:color="auto"/>
            </w:tcBorders>
            <w:shd w:val="clear" w:color="auto" w:fill="auto"/>
            <w:noWrap/>
            <w:vAlign w:val="center"/>
            <w:hideMark/>
          </w:tcPr>
          <w:p w14:paraId="2905694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w:t>
            </w:r>
          </w:p>
        </w:tc>
        <w:tc>
          <w:tcPr>
            <w:tcW w:w="567" w:type="dxa"/>
            <w:tcBorders>
              <w:top w:val="nil"/>
              <w:left w:val="nil"/>
              <w:bottom w:val="single" w:sz="4" w:space="0" w:color="auto"/>
              <w:right w:val="single" w:sz="12" w:space="0" w:color="auto"/>
            </w:tcBorders>
            <w:shd w:val="clear" w:color="auto" w:fill="auto"/>
            <w:noWrap/>
            <w:vAlign w:val="center"/>
            <w:hideMark/>
          </w:tcPr>
          <w:p w14:paraId="4FA37E6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276</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4E356AE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315</w:t>
            </w:r>
          </w:p>
        </w:tc>
        <w:tc>
          <w:tcPr>
            <w:tcW w:w="567" w:type="dxa"/>
            <w:tcBorders>
              <w:top w:val="nil"/>
              <w:left w:val="nil"/>
              <w:bottom w:val="single" w:sz="4" w:space="0" w:color="auto"/>
              <w:right w:val="single" w:sz="4" w:space="0" w:color="auto"/>
            </w:tcBorders>
            <w:shd w:val="clear" w:color="auto" w:fill="auto"/>
            <w:noWrap/>
            <w:vAlign w:val="center"/>
            <w:hideMark/>
          </w:tcPr>
          <w:p w14:paraId="7252AA7B"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w:t>
            </w:r>
          </w:p>
        </w:tc>
        <w:tc>
          <w:tcPr>
            <w:tcW w:w="567" w:type="dxa"/>
            <w:tcBorders>
              <w:top w:val="nil"/>
              <w:left w:val="nil"/>
              <w:bottom w:val="single" w:sz="4" w:space="0" w:color="auto"/>
              <w:right w:val="single" w:sz="12" w:space="0" w:color="auto"/>
            </w:tcBorders>
            <w:shd w:val="clear" w:color="auto" w:fill="auto"/>
            <w:noWrap/>
            <w:vAlign w:val="center"/>
            <w:hideMark/>
          </w:tcPr>
          <w:p w14:paraId="686321F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279</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3E1B3FD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400</w:t>
            </w:r>
          </w:p>
        </w:tc>
        <w:tc>
          <w:tcPr>
            <w:tcW w:w="567" w:type="dxa"/>
            <w:tcBorders>
              <w:top w:val="nil"/>
              <w:left w:val="nil"/>
              <w:bottom w:val="single" w:sz="4" w:space="0" w:color="auto"/>
              <w:right w:val="single" w:sz="4" w:space="0" w:color="auto"/>
            </w:tcBorders>
            <w:shd w:val="clear" w:color="auto" w:fill="auto"/>
            <w:noWrap/>
            <w:vAlign w:val="center"/>
            <w:hideMark/>
          </w:tcPr>
          <w:p w14:paraId="366E35D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w:t>
            </w:r>
          </w:p>
        </w:tc>
        <w:tc>
          <w:tcPr>
            <w:tcW w:w="567" w:type="dxa"/>
            <w:tcBorders>
              <w:top w:val="nil"/>
              <w:left w:val="nil"/>
              <w:bottom w:val="single" w:sz="4" w:space="0" w:color="auto"/>
              <w:right w:val="single" w:sz="12" w:space="0" w:color="auto"/>
            </w:tcBorders>
            <w:shd w:val="clear" w:color="auto" w:fill="auto"/>
            <w:noWrap/>
            <w:vAlign w:val="center"/>
            <w:hideMark/>
          </w:tcPr>
          <w:p w14:paraId="3D152FA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304</w:t>
            </w:r>
          </w:p>
        </w:tc>
        <w:tc>
          <w:tcPr>
            <w:tcW w:w="567" w:type="dxa"/>
            <w:tcBorders>
              <w:top w:val="single" w:sz="4" w:space="0" w:color="auto"/>
              <w:left w:val="single" w:sz="12" w:space="0" w:color="auto"/>
              <w:bottom w:val="single" w:sz="4" w:space="0" w:color="auto"/>
              <w:right w:val="single" w:sz="4" w:space="0" w:color="auto"/>
            </w:tcBorders>
            <w:shd w:val="clear" w:color="000000" w:fill="5A8AC6"/>
            <w:noWrap/>
            <w:vAlign w:val="center"/>
            <w:hideMark/>
          </w:tcPr>
          <w:p w14:paraId="70D3229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400</w:t>
            </w:r>
          </w:p>
        </w:tc>
        <w:tc>
          <w:tcPr>
            <w:tcW w:w="567" w:type="dxa"/>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6EE2E8C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13</w:t>
            </w:r>
          </w:p>
        </w:tc>
        <w:tc>
          <w:tcPr>
            <w:tcW w:w="567" w:type="dxa"/>
            <w:tcBorders>
              <w:top w:val="single" w:sz="4" w:space="0" w:color="auto"/>
              <w:left w:val="single" w:sz="4" w:space="0" w:color="auto"/>
              <w:bottom w:val="single" w:sz="4" w:space="0" w:color="auto"/>
              <w:right w:val="single" w:sz="12" w:space="0" w:color="auto"/>
            </w:tcBorders>
            <w:shd w:val="clear" w:color="000000" w:fill="6E98CD"/>
            <w:noWrap/>
            <w:vAlign w:val="center"/>
            <w:hideMark/>
          </w:tcPr>
          <w:p w14:paraId="1208DFC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330</w:t>
            </w:r>
          </w:p>
        </w:tc>
      </w:tr>
      <w:tr w:rsidR="00AD5348" w:rsidRPr="004E2ED8" w14:paraId="62F7D177" w14:textId="77777777" w:rsidTr="00E37D33">
        <w:trPr>
          <w:trHeight w:val="510"/>
        </w:trPr>
        <w:tc>
          <w:tcPr>
            <w:tcW w:w="2258" w:type="dxa"/>
            <w:tcBorders>
              <w:top w:val="nil"/>
              <w:left w:val="single" w:sz="12" w:space="0" w:color="auto"/>
              <w:bottom w:val="single" w:sz="4" w:space="0" w:color="auto"/>
              <w:right w:val="single" w:sz="12" w:space="0" w:color="auto"/>
            </w:tcBorders>
            <w:shd w:val="clear" w:color="auto" w:fill="DEEAF6" w:themeFill="accent1" w:themeFillTint="33"/>
            <w:vAlign w:val="center"/>
            <w:hideMark/>
          </w:tcPr>
          <w:p w14:paraId="3FA9B32E" w14:textId="77777777" w:rsidR="00AD5348" w:rsidRPr="004E2ED8" w:rsidRDefault="00AD5348" w:rsidP="00E37D33">
            <w:pPr>
              <w:spacing w:before="0"/>
              <w:jc w:val="left"/>
              <w:rPr>
                <w:rFonts w:eastAsia="Times New Roman" w:cstheme="minorHAnsi"/>
                <w:color w:val="000000"/>
                <w:sz w:val="18"/>
                <w:szCs w:val="18"/>
                <w:lang w:eastAsia="cs-CZ"/>
              </w:rPr>
            </w:pPr>
            <w:r w:rsidRPr="004E2ED8">
              <w:rPr>
                <w:rFonts w:eastAsia="Times New Roman" w:cstheme="minorHAnsi"/>
                <w:color w:val="000000"/>
                <w:sz w:val="18"/>
                <w:szCs w:val="18"/>
                <w:lang w:eastAsia="cs-CZ"/>
              </w:rPr>
              <w:t>Střední průmyslová škola Zlín</w:t>
            </w:r>
          </w:p>
        </w:tc>
        <w:tc>
          <w:tcPr>
            <w:tcW w:w="544" w:type="dxa"/>
            <w:tcBorders>
              <w:top w:val="nil"/>
              <w:left w:val="single" w:sz="12" w:space="0" w:color="auto"/>
              <w:bottom w:val="single" w:sz="4" w:space="0" w:color="auto"/>
              <w:right w:val="single" w:sz="4" w:space="0" w:color="auto"/>
            </w:tcBorders>
            <w:shd w:val="clear" w:color="auto" w:fill="auto"/>
            <w:noWrap/>
            <w:vAlign w:val="center"/>
            <w:hideMark/>
          </w:tcPr>
          <w:p w14:paraId="6C4BC32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1200</w:t>
            </w:r>
          </w:p>
        </w:tc>
        <w:tc>
          <w:tcPr>
            <w:tcW w:w="556" w:type="dxa"/>
            <w:tcBorders>
              <w:top w:val="nil"/>
              <w:left w:val="nil"/>
              <w:bottom w:val="single" w:sz="4" w:space="0" w:color="auto"/>
              <w:right w:val="single" w:sz="4" w:space="0" w:color="auto"/>
            </w:tcBorders>
            <w:shd w:val="clear" w:color="auto" w:fill="auto"/>
            <w:noWrap/>
            <w:vAlign w:val="center"/>
            <w:hideMark/>
          </w:tcPr>
          <w:p w14:paraId="318A880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34</w:t>
            </w:r>
          </w:p>
        </w:tc>
        <w:tc>
          <w:tcPr>
            <w:tcW w:w="556" w:type="dxa"/>
            <w:tcBorders>
              <w:top w:val="nil"/>
              <w:left w:val="nil"/>
              <w:bottom w:val="single" w:sz="4" w:space="0" w:color="auto"/>
              <w:right w:val="single" w:sz="12" w:space="0" w:color="auto"/>
            </w:tcBorders>
            <w:shd w:val="clear" w:color="auto" w:fill="auto"/>
            <w:noWrap/>
            <w:vAlign w:val="center"/>
            <w:hideMark/>
          </w:tcPr>
          <w:p w14:paraId="2A91853B"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865</w:t>
            </w:r>
          </w:p>
        </w:tc>
        <w:tc>
          <w:tcPr>
            <w:tcW w:w="554" w:type="dxa"/>
            <w:tcBorders>
              <w:top w:val="nil"/>
              <w:left w:val="single" w:sz="12" w:space="0" w:color="auto"/>
              <w:bottom w:val="single" w:sz="4" w:space="0" w:color="auto"/>
              <w:right w:val="single" w:sz="4" w:space="0" w:color="auto"/>
            </w:tcBorders>
            <w:shd w:val="clear" w:color="auto" w:fill="auto"/>
            <w:noWrap/>
            <w:vAlign w:val="center"/>
            <w:hideMark/>
          </w:tcPr>
          <w:p w14:paraId="2BB0F89C"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1200</w:t>
            </w:r>
          </w:p>
        </w:tc>
        <w:tc>
          <w:tcPr>
            <w:tcW w:w="567" w:type="dxa"/>
            <w:tcBorders>
              <w:top w:val="nil"/>
              <w:left w:val="nil"/>
              <w:bottom w:val="single" w:sz="4" w:space="0" w:color="auto"/>
              <w:right w:val="single" w:sz="4" w:space="0" w:color="auto"/>
            </w:tcBorders>
            <w:shd w:val="clear" w:color="auto" w:fill="auto"/>
            <w:noWrap/>
            <w:vAlign w:val="center"/>
            <w:hideMark/>
          </w:tcPr>
          <w:p w14:paraId="3F3E39C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33</w:t>
            </w:r>
          </w:p>
        </w:tc>
        <w:tc>
          <w:tcPr>
            <w:tcW w:w="567" w:type="dxa"/>
            <w:tcBorders>
              <w:top w:val="nil"/>
              <w:left w:val="nil"/>
              <w:bottom w:val="single" w:sz="4" w:space="0" w:color="auto"/>
              <w:right w:val="single" w:sz="12" w:space="0" w:color="auto"/>
            </w:tcBorders>
            <w:shd w:val="clear" w:color="auto" w:fill="auto"/>
            <w:noWrap/>
            <w:vAlign w:val="center"/>
            <w:hideMark/>
          </w:tcPr>
          <w:p w14:paraId="513BA7F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853</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8A68CC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1200</w:t>
            </w:r>
          </w:p>
        </w:tc>
        <w:tc>
          <w:tcPr>
            <w:tcW w:w="567" w:type="dxa"/>
            <w:tcBorders>
              <w:top w:val="nil"/>
              <w:left w:val="nil"/>
              <w:bottom w:val="single" w:sz="4" w:space="0" w:color="auto"/>
              <w:right w:val="single" w:sz="4" w:space="0" w:color="auto"/>
            </w:tcBorders>
            <w:shd w:val="clear" w:color="auto" w:fill="auto"/>
            <w:noWrap/>
            <w:vAlign w:val="center"/>
            <w:hideMark/>
          </w:tcPr>
          <w:p w14:paraId="2874CD3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23F2C108"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848</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32E40CE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1200</w:t>
            </w:r>
          </w:p>
        </w:tc>
        <w:tc>
          <w:tcPr>
            <w:tcW w:w="567" w:type="dxa"/>
            <w:tcBorders>
              <w:top w:val="nil"/>
              <w:left w:val="nil"/>
              <w:bottom w:val="single" w:sz="4" w:space="0" w:color="auto"/>
              <w:right w:val="single" w:sz="4" w:space="0" w:color="auto"/>
            </w:tcBorders>
            <w:shd w:val="clear" w:color="auto" w:fill="auto"/>
            <w:noWrap/>
            <w:vAlign w:val="center"/>
            <w:hideMark/>
          </w:tcPr>
          <w:p w14:paraId="71CFA7D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466716E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864</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7BE7A64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1200</w:t>
            </w:r>
          </w:p>
        </w:tc>
        <w:tc>
          <w:tcPr>
            <w:tcW w:w="567" w:type="dxa"/>
            <w:tcBorders>
              <w:top w:val="nil"/>
              <w:left w:val="nil"/>
              <w:bottom w:val="single" w:sz="4" w:space="0" w:color="auto"/>
              <w:right w:val="single" w:sz="4" w:space="0" w:color="auto"/>
            </w:tcBorders>
            <w:shd w:val="clear" w:color="auto" w:fill="auto"/>
            <w:noWrap/>
            <w:vAlign w:val="center"/>
            <w:hideMark/>
          </w:tcPr>
          <w:p w14:paraId="00E2579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0646400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873</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5012102C"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1200</w:t>
            </w:r>
          </w:p>
        </w:tc>
        <w:tc>
          <w:tcPr>
            <w:tcW w:w="567" w:type="dxa"/>
            <w:tcBorders>
              <w:top w:val="nil"/>
              <w:left w:val="nil"/>
              <w:bottom w:val="single" w:sz="4" w:space="0" w:color="auto"/>
              <w:right w:val="single" w:sz="4" w:space="0" w:color="auto"/>
            </w:tcBorders>
            <w:shd w:val="clear" w:color="auto" w:fill="auto"/>
            <w:noWrap/>
            <w:vAlign w:val="center"/>
            <w:hideMark/>
          </w:tcPr>
          <w:p w14:paraId="60035AF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7BC543F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888</w:t>
            </w:r>
          </w:p>
        </w:tc>
        <w:tc>
          <w:tcPr>
            <w:tcW w:w="567" w:type="dxa"/>
            <w:tcBorders>
              <w:top w:val="single" w:sz="4" w:space="0" w:color="auto"/>
              <w:left w:val="single" w:sz="12" w:space="0" w:color="auto"/>
              <w:bottom w:val="single" w:sz="4" w:space="0" w:color="auto"/>
              <w:right w:val="single" w:sz="4" w:space="0" w:color="auto"/>
            </w:tcBorders>
            <w:shd w:val="clear" w:color="000000" w:fill="F8696B"/>
            <w:noWrap/>
            <w:vAlign w:val="center"/>
            <w:hideMark/>
          </w:tcPr>
          <w:p w14:paraId="59CD483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1200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357B4E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single" w:sz="4" w:space="0" w:color="auto"/>
              <w:left w:val="single" w:sz="4" w:space="0" w:color="auto"/>
              <w:bottom w:val="single" w:sz="4" w:space="0" w:color="auto"/>
              <w:right w:val="single" w:sz="12" w:space="0" w:color="auto"/>
            </w:tcBorders>
            <w:shd w:val="clear" w:color="000000" w:fill="F97E80"/>
            <w:noWrap/>
            <w:vAlign w:val="center"/>
            <w:hideMark/>
          </w:tcPr>
          <w:p w14:paraId="46C3DCBB"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889</w:t>
            </w:r>
          </w:p>
        </w:tc>
      </w:tr>
      <w:tr w:rsidR="00AD5348" w:rsidRPr="004E2ED8" w14:paraId="6570B151" w14:textId="77777777" w:rsidTr="00E37D33">
        <w:trPr>
          <w:trHeight w:val="765"/>
        </w:trPr>
        <w:tc>
          <w:tcPr>
            <w:tcW w:w="2258" w:type="dxa"/>
            <w:tcBorders>
              <w:top w:val="nil"/>
              <w:left w:val="single" w:sz="12" w:space="0" w:color="auto"/>
              <w:bottom w:val="single" w:sz="4" w:space="0" w:color="auto"/>
              <w:right w:val="single" w:sz="12" w:space="0" w:color="auto"/>
            </w:tcBorders>
            <w:shd w:val="clear" w:color="auto" w:fill="DEEAF6" w:themeFill="accent1" w:themeFillTint="33"/>
            <w:vAlign w:val="center"/>
            <w:hideMark/>
          </w:tcPr>
          <w:p w14:paraId="582BB2C6" w14:textId="77777777" w:rsidR="00AD5348" w:rsidRPr="004E2ED8" w:rsidRDefault="00AD5348" w:rsidP="00E37D33">
            <w:pPr>
              <w:spacing w:before="0"/>
              <w:jc w:val="left"/>
              <w:rPr>
                <w:rFonts w:eastAsia="Times New Roman" w:cstheme="minorHAnsi"/>
                <w:color w:val="000000"/>
                <w:sz w:val="18"/>
                <w:szCs w:val="18"/>
                <w:lang w:eastAsia="cs-CZ"/>
              </w:rPr>
            </w:pPr>
            <w:r w:rsidRPr="004E2ED8">
              <w:rPr>
                <w:rFonts w:eastAsia="Times New Roman" w:cstheme="minorHAnsi"/>
                <w:color w:val="000000"/>
                <w:sz w:val="18"/>
                <w:szCs w:val="18"/>
                <w:lang w:eastAsia="cs-CZ"/>
              </w:rPr>
              <w:t>Střední průmyslová škola polytechnická - Centrum odborné přípravy Zlín</w:t>
            </w:r>
          </w:p>
        </w:tc>
        <w:tc>
          <w:tcPr>
            <w:tcW w:w="544" w:type="dxa"/>
            <w:tcBorders>
              <w:top w:val="nil"/>
              <w:left w:val="single" w:sz="12" w:space="0" w:color="auto"/>
              <w:bottom w:val="single" w:sz="4" w:space="0" w:color="auto"/>
              <w:right w:val="single" w:sz="4" w:space="0" w:color="auto"/>
            </w:tcBorders>
            <w:shd w:val="clear" w:color="auto" w:fill="auto"/>
            <w:noWrap/>
            <w:vAlign w:val="center"/>
            <w:hideMark/>
          </w:tcPr>
          <w:p w14:paraId="1F76290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1110</w:t>
            </w:r>
          </w:p>
        </w:tc>
        <w:tc>
          <w:tcPr>
            <w:tcW w:w="556" w:type="dxa"/>
            <w:tcBorders>
              <w:top w:val="nil"/>
              <w:left w:val="nil"/>
              <w:bottom w:val="single" w:sz="4" w:space="0" w:color="auto"/>
              <w:right w:val="single" w:sz="4" w:space="0" w:color="auto"/>
            </w:tcBorders>
            <w:shd w:val="clear" w:color="auto" w:fill="auto"/>
            <w:noWrap/>
            <w:vAlign w:val="center"/>
            <w:hideMark/>
          </w:tcPr>
          <w:p w14:paraId="1310B5E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27</w:t>
            </w:r>
          </w:p>
        </w:tc>
        <w:tc>
          <w:tcPr>
            <w:tcW w:w="556" w:type="dxa"/>
            <w:tcBorders>
              <w:top w:val="nil"/>
              <w:left w:val="nil"/>
              <w:bottom w:val="single" w:sz="4" w:space="0" w:color="auto"/>
              <w:right w:val="single" w:sz="12" w:space="0" w:color="auto"/>
            </w:tcBorders>
            <w:shd w:val="clear" w:color="auto" w:fill="auto"/>
            <w:noWrap/>
            <w:vAlign w:val="center"/>
            <w:hideMark/>
          </w:tcPr>
          <w:p w14:paraId="031E456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561</w:t>
            </w:r>
          </w:p>
        </w:tc>
        <w:tc>
          <w:tcPr>
            <w:tcW w:w="554" w:type="dxa"/>
            <w:tcBorders>
              <w:top w:val="nil"/>
              <w:left w:val="single" w:sz="12" w:space="0" w:color="auto"/>
              <w:bottom w:val="single" w:sz="4" w:space="0" w:color="auto"/>
              <w:right w:val="single" w:sz="4" w:space="0" w:color="auto"/>
            </w:tcBorders>
            <w:shd w:val="clear" w:color="auto" w:fill="auto"/>
            <w:noWrap/>
            <w:vAlign w:val="center"/>
            <w:hideMark/>
          </w:tcPr>
          <w:p w14:paraId="3B58E03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1110</w:t>
            </w:r>
          </w:p>
        </w:tc>
        <w:tc>
          <w:tcPr>
            <w:tcW w:w="567" w:type="dxa"/>
            <w:tcBorders>
              <w:top w:val="nil"/>
              <w:left w:val="nil"/>
              <w:bottom w:val="single" w:sz="4" w:space="0" w:color="auto"/>
              <w:right w:val="single" w:sz="4" w:space="0" w:color="auto"/>
            </w:tcBorders>
            <w:shd w:val="clear" w:color="auto" w:fill="auto"/>
            <w:noWrap/>
            <w:vAlign w:val="center"/>
            <w:hideMark/>
          </w:tcPr>
          <w:p w14:paraId="5B9DDA5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27</w:t>
            </w:r>
          </w:p>
        </w:tc>
        <w:tc>
          <w:tcPr>
            <w:tcW w:w="567" w:type="dxa"/>
            <w:tcBorders>
              <w:top w:val="nil"/>
              <w:left w:val="nil"/>
              <w:bottom w:val="single" w:sz="4" w:space="0" w:color="auto"/>
              <w:right w:val="single" w:sz="12" w:space="0" w:color="auto"/>
            </w:tcBorders>
            <w:shd w:val="clear" w:color="auto" w:fill="auto"/>
            <w:noWrap/>
            <w:vAlign w:val="center"/>
            <w:hideMark/>
          </w:tcPr>
          <w:p w14:paraId="51CD6BCE"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595</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50ADACE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1110</w:t>
            </w:r>
          </w:p>
        </w:tc>
        <w:tc>
          <w:tcPr>
            <w:tcW w:w="567" w:type="dxa"/>
            <w:tcBorders>
              <w:top w:val="nil"/>
              <w:left w:val="nil"/>
              <w:bottom w:val="single" w:sz="4" w:space="0" w:color="auto"/>
              <w:right w:val="single" w:sz="4" w:space="0" w:color="auto"/>
            </w:tcBorders>
            <w:shd w:val="clear" w:color="auto" w:fill="auto"/>
            <w:noWrap/>
            <w:vAlign w:val="center"/>
            <w:hideMark/>
          </w:tcPr>
          <w:p w14:paraId="31CE14EC"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29</w:t>
            </w:r>
          </w:p>
        </w:tc>
        <w:tc>
          <w:tcPr>
            <w:tcW w:w="567" w:type="dxa"/>
            <w:tcBorders>
              <w:top w:val="nil"/>
              <w:left w:val="nil"/>
              <w:bottom w:val="single" w:sz="4" w:space="0" w:color="auto"/>
              <w:right w:val="single" w:sz="12" w:space="0" w:color="auto"/>
            </w:tcBorders>
            <w:shd w:val="clear" w:color="auto" w:fill="auto"/>
            <w:noWrap/>
            <w:vAlign w:val="center"/>
            <w:hideMark/>
          </w:tcPr>
          <w:p w14:paraId="4A056BC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680</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4D04035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1110</w:t>
            </w:r>
          </w:p>
        </w:tc>
        <w:tc>
          <w:tcPr>
            <w:tcW w:w="567" w:type="dxa"/>
            <w:tcBorders>
              <w:top w:val="nil"/>
              <w:left w:val="nil"/>
              <w:bottom w:val="single" w:sz="4" w:space="0" w:color="auto"/>
              <w:right w:val="single" w:sz="4" w:space="0" w:color="auto"/>
            </w:tcBorders>
            <w:shd w:val="clear" w:color="auto" w:fill="auto"/>
            <w:noWrap/>
            <w:vAlign w:val="center"/>
            <w:hideMark/>
          </w:tcPr>
          <w:p w14:paraId="2E01D35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30</w:t>
            </w:r>
          </w:p>
        </w:tc>
        <w:tc>
          <w:tcPr>
            <w:tcW w:w="567" w:type="dxa"/>
            <w:tcBorders>
              <w:top w:val="nil"/>
              <w:left w:val="nil"/>
              <w:bottom w:val="single" w:sz="4" w:space="0" w:color="auto"/>
              <w:right w:val="single" w:sz="12" w:space="0" w:color="auto"/>
            </w:tcBorders>
            <w:shd w:val="clear" w:color="auto" w:fill="auto"/>
            <w:noWrap/>
            <w:vAlign w:val="center"/>
            <w:hideMark/>
          </w:tcPr>
          <w:p w14:paraId="171662B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752</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50D4D3DA"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1110</w:t>
            </w:r>
          </w:p>
        </w:tc>
        <w:tc>
          <w:tcPr>
            <w:tcW w:w="567" w:type="dxa"/>
            <w:tcBorders>
              <w:top w:val="nil"/>
              <w:left w:val="nil"/>
              <w:bottom w:val="single" w:sz="4" w:space="0" w:color="auto"/>
              <w:right w:val="single" w:sz="4" w:space="0" w:color="auto"/>
            </w:tcBorders>
            <w:shd w:val="clear" w:color="auto" w:fill="auto"/>
            <w:noWrap/>
            <w:vAlign w:val="center"/>
            <w:hideMark/>
          </w:tcPr>
          <w:p w14:paraId="0FD02AD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4008290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822</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141A26B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1110</w:t>
            </w:r>
          </w:p>
        </w:tc>
        <w:tc>
          <w:tcPr>
            <w:tcW w:w="567" w:type="dxa"/>
            <w:tcBorders>
              <w:top w:val="nil"/>
              <w:left w:val="nil"/>
              <w:bottom w:val="single" w:sz="4" w:space="0" w:color="auto"/>
              <w:right w:val="single" w:sz="4" w:space="0" w:color="auto"/>
            </w:tcBorders>
            <w:shd w:val="clear" w:color="auto" w:fill="auto"/>
            <w:noWrap/>
            <w:vAlign w:val="center"/>
            <w:hideMark/>
          </w:tcPr>
          <w:p w14:paraId="4A4B1C88"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32</w:t>
            </w:r>
          </w:p>
        </w:tc>
        <w:tc>
          <w:tcPr>
            <w:tcW w:w="567" w:type="dxa"/>
            <w:tcBorders>
              <w:top w:val="nil"/>
              <w:left w:val="nil"/>
              <w:bottom w:val="single" w:sz="4" w:space="0" w:color="auto"/>
              <w:right w:val="single" w:sz="12" w:space="0" w:color="auto"/>
            </w:tcBorders>
            <w:shd w:val="clear" w:color="auto" w:fill="auto"/>
            <w:noWrap/>
            <w:vAlign w:val="center"/>
            <w:hideMark/>
          </w:tcPr>
          <w:p w14:paraId="3E926B24"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831</w:t>
            </w:r>
          </w:p>
        </w:tc>
        <w:tc>
          <w:tcPr>
            <w:tcW w:w="567" w:type="dxa"/>
            <w:tcBorders>
              <w:top w:val="single" w:sz="4" w:space="0" w:color="auto"/>
              <w:left w:val="single" w:sz="12" w:space="0" w:color="auto"/>
              <w:bottom w:val="single" w:sz="4" w:space="0" w:color="auto"/>
              <w:right w:val="single" w:sz="4" w:space="0" w:color="auto"/>
            </w:tcBorders>
            <w:shd w:val="clear" w:color="000000" w:fill="F9888A"/>
            <w:noWrap/>
            <w:vAlign w:val="center"/>
            <w:hideMark/>
          </w:tcPr>
          <w:p w14:paraId="122526D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1110</w:t>
            </w:r>
          </w:p>
        </w:tc>
        <w:tc>
          <w:tcPr>
            <w:tcW w:w="567" w:type="dxa"/>
            <w:tcBorders>
              <w:top w:val="single" w:sz="4" w:space="0" w:color="auto"/>
              <w:left w:val="single" w:sz="4" w:space="0" w:color="auto"/>
              <w:bottom w:val="single" w:sz="4" w:space="0" w:color="auto"/>
              <w:right w:val="single" w:sz="4" w:space="0" w:color="auto"/>
            </w:tcBorders>
            <w:shd w:val="clear" w:color="000000" w:fill="F97C7E"/>
            <w:noWrap/>
            <w:vAlign w:val="center"/>
            <w:hideMark/>
          </w:tcPr>
          <w:p w14:paraId="364FA2A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31</w:t>
            </w:r>
          </w:p>
        </w:tc>
        <w:tc>
          <w:tcPr>
            <w:tcW w:w="567" w:type="dxa"/>
            <w:tcBorders>
              <w:top w:val="single" w:sz="4" w:space="0" w:color="auto"/>
              <w:left w:val="single" w:sz="4" w:space="0" w:color="auto"/>
              <w:bottom w:val="single" w:sz="4" w:space="0" w:color="auto"/>
              <w:right w:val="single" w:sz="12" w:space="0" w:color="auto"/>
            </w:tcBorders>
            <w:shd w:val="clear" w:color="000000" w:fill="FA9EA0"/>
            <w:noWrap/>
            <w:vAlign w:val="center"/>
            <w:hideMark/>
          </w:tcPr>
          <w:p w14:paraId="281FC260"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840</w:t>
            </w:r>
          </w:p>
        </w:tc>
      </w:tr>
      <w:tr w:rsidR="00AD5348" w:rsidRPr="004E2ED8" w14:paraId="29D6EEDC" w14:textId="77777777" w:rsidTr="00E37D33">
        <w:trPr>
          <w:trHeight w:val="510"/>
        </w:trPr>
        <w:tc>
          <w:tcPr>
            <w:tcW w:w="2258" w:type="dxa"/>
            <w:tcBorders>
              <w:top w:val="nil"/>
              <w:left w:val="single" w:sz="12" w:space="0" w:color="auto"/>
              <w:bottom w:val="single" w:sz="4" w:space="0" w:color="auto"/>
              <w:right w:val="single" w:sz="12" w:space="0" w:color="auto"/>
            </w:tcBorders>
            <w:shd w:val="clear" w:color="auto" w:fill="DEEAF6" w:themeFill="accent1" w:themeFillTint="33"/>
            <w:vAlign w:val="center"/>
            <w:hideMark/>
          </w:tcPr>
          <w:p w14:paraId="2F4F6577" w14:textId="23D91687" w:rsidR="00AD5348" w:rsidRPr="004E2ED8" w:rsidRDefault="00AD5348" w:rsidP="000F101A">
            <w:pPr>
              <w:spacing w:before="0"/>
              <w:jc w:val="left"/>
              <w:rPr>
                <w:rFonts w:eastAsia="Times New Roman" w:cstheme="minorHAnsi"/>
                <w:color w:val="000000"/>
                <w:sz w:val="18"/>
                <w:szCs w:val="18"/>
                <w:lang w:eastAsia="cs-CZ"/>
              </w:rPr>
            </w:pPr>
            <w:r w:rsidRPr="004E2ED8">
              <w:rPr>
                <w:rFonts w:eastAsia="Times New Roman" w:cstheme="minorHAnsi"/>
                <w:color w:val="000000"/>
                <w:sz w:val="18"/>
                <w:szCs w:val="18"/>
                <w:lang w:eastAsia="cs-CZ"/>
              </w:rPr>
              <w:t>Střední škola gastronomie a</w:t>
            </w:r>
            <w:r w:rsidR="000F101A">
              <w:rPr>
                <w:rFonts w:eastAsia="Times New Roman" w:cstheme="minorHAnsi"/>
                <w:color w:val="000000"/>
                <w:sz w:val="18"/>
                <w:szCs w:val="18"/>
                <w:lang w:eastAsia="cs-CZ"/>
              </w:rPr>
              <w:t> </w:t>
            </w:r>
            <w:r w:rsidRPr="004E2ED8">
              <w:rPr>
                <w:rFonts w:eastAsia="Times New Roman" w:cstheme="minorHAnsi"/>
                <w:color w:val="000000"/>
                <w:sz w:val="18"/>
                <w:szCs w:val="18"/>
                <w:lang w:eastAsia="cs-CZ"/>
              </w:rPr>
              <w:t>obchodu Zlín</w:t>
            </w:r>
          </w:p>
        </w:tc>
        <w:tc>
          <w:tcPr>
            <w:tcW w:w="544" w:type="dxa"/>
            <w:tcBorders>
              <w:top w:val="nil"/>
              <w:left w:val="single" w:sz="12" w:space="0" w:color="auto"/>
              <w:bottom w:val="single" w:sz="4" w:space="0" w:color="auto"/>
              <w:right w:val="single" w:sz="4" w:space="0" w:color="auto"/>
            </w:tcBorders>
            <w:shd w:val="clear" w:color="auto" w:fill="auto"/>
            <w:noWrap/>
            <w:vAlign w:val="center"/>
            <w:hideMark/>
          </w:tcPr>
          <w:p w14:paraId="13F4556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56" w:type="dxa"/>
            <w:tcBorders>
              <w:top w:val="nil"/>
              <w:left w:val="nil"/>
              <w:bottom w:val="single" w:sz="4" w:space="0" w:color="auto"/>
              <w:right w:val="single" w:sz="4" w:space="0" w:color="auto"/>
            </w:tcBorders>
            <w:shd w:val="clear" w:color="auto" w:fill="auto"/>
            <w:noWrap/>
            <w:vAlign w:val="center"/>
            <w:hideMark/>
          </w:tcPr>
          <w:p w14:paraId="1F7E3694"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23</w:t>
            </w:r>
          </w:p>
        </w:tc>
        <w:tc>
          <w:tcPr>
            <w:tcW w:w="556" w:type="dxa"/>
            <w:tcBorders>
              <w:top w:val="nil"/>
              <w:left w:val="nil"/>
              <w:bottom w:val="single" w:sz="4" w:space="0" w:color="auto"/>
              <w:right w:val="single" w:sz="12" w:space="0" w:color="auto"/>
            </w:tcBorders>
            <w:shd w:val="clear" w:color="auto" w:fill="auto"/>
            <w:noWrap/>
            <w:vAlign w:val="center"/>
            <w:hideMark/>
          </w:tcPr>
          <w:p w14:paraId="48008888"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406</w:t>
            </w:r>
          </w:p>
        </w:tc>
        <w:tc>
          <w:tcPr>
            <w:tcW w:w="554" w:type="dxa"/>
            <w:tcBorders>
              <w:top w:val="nil"/>
              <w:left w:val="single" w:sz="12" w:space="0" w:color="auto"/>
              <w:bottom w:val="single" w:sz="4" w:space="0" w:color="auto"/>
              <w:right w:val="single" w:sz="4" w:space="0" w:color="auto"/>
            </w:tcBorders>
            <w:shd w:val="clear" w:color="auto" w:fill="auto"/>
            <w:noWrap/>
            <w:vAlign w:val="center"/>
            <w:hideMark/>
          </w:tcPr>
          <w:p w14:paraId="5782AF28"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4B8684F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22</w:t>
            </w:r>
          </w:p>
        </w:tc>
        <w:tc>
          <w:tcPr>
            <w:tcW w:w="567" w:type="dxa"/>
            <w:tcBorders>
              <w:top w:val="nil"/>
              <w:left w:val="nil"/>
              <w:bottom w:val="single" w:sz="4" w:space="0" w:color="auto"/>
              <w:right w:val="single" w:sz="12" w:space="0" w:color="auto"/>
            </w:tcBorders>
            <w:shd w:val="clear" w:color="auto" w:fill="auto"/>
            <w:noWrap/>
            <w:vAlign w:val="center"/>
            <w:hideMark/>
          </w:tcPr>
          <w:p w14:paraId="02A900F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385</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28967412"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2EEFB1CE"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21</w:t>
            </w:r>
          </w:p>
        </w:tc>
        <w:tc>
          <w:tcPr>
            <w:tcW w:w="567" w:type="dxa"/>
            <w:tcBorders>
              <w:top w:val="nil"/>
              <w:left w:val="nil"/>
              <w:bottom w:val="single" w:sz="4" w:space="0" w:color="auto"/>
              <w:right w:val="single" w:sz="12" w:space="0" w:color="auto"/>
            </w:tcBorders>
            <w:shd w:val="clear" w:color="auto" w:fill="auto"/>
            <w:noWrap/>
            <w:vAlign w:val="center"/>
            <w:hideMark/>
          </w:tcPr>
          <w:p w14:paraId="3C84FF7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331</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5548FA41"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6BB565C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19</w:t>
            </w:r>
          </w:p>
        </w:tc>
        <w:tc>
          <w:tcPr>
            <w:tcW w:w="567" w:type="dxa"/>
            <w:tcBorders>
              <w:top w:val="nil"/>
              <w:left w:val="nil"/>
              <w:bottom w:val="single" w:sz="4" w:space="0" w:color="auto"/>
              <w:right w:val="single" w:sz="12" w:space="0" w:color="auto"/>
            </w:tcBorders>
            <w:shd w:val="clear" w:color="auto" w:fill="auto"/>
            <w:noWrap/>
            <w:vAlign w:val="center"/>
            <w:hideMark/>
          </w:tcPr>
          <w:p w14:paraId="290E7F27"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280</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2C30B863"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641E70CD"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17</w:t>
            </w:r>
          </w:p>
        </w:tc>
        <w:tc>
          <w:tcPr>
            <w:tcW w:w="567" w:type="dxa"/>
            <w:tcBorders>
              <w:top w:val="nil"/>
              <w:left w:val="nil"/>
              <w:bottom w:val="single" w:sz="4" w:space="0" w:color="auto"/>
              <w:right w:val="single" w:sz="12" w:space="0" w:color="auto"/>
            </w:tcBorders>
            <w:shd w:val="clear" w:color="auto" w:fill="auto"/>
            <w:noWrap/>
            <w:vAlign w:val="center"/>
            <w:hideMark/>
          </w:tcPr>
          <w:p w14:paraId="7EDA4335"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241</w:t>
            </w:r>
          </w:p>
        </w:tc>
        <w:tc>
          <w:tcPr>
            <w:tcW w:w="567" w:type="dxa"/>
            <w:tcBorders>
              <w:top w:val="nil"/>
              <w:left w:val="single" w:sz="12" w:space="0" w:color="auto"/>
              <w:bottom w:val="single" w:sz="4" w:space="0" w:color="auto"/>
              <w:right w:val="single" w:sz="4" w:space="0" w:color="auto"/>
            </w:tcBorders>
            <w:shd w:val="clear" w:color="auto" w:fill="auto"/>
            <w:noWrap/>
            <w:vAlign w:val="center"/>
            <w:hideMark/>
          </w:tcPr>
          <w:p w14:paraId="1651472F"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nil"/>
              <w:left w:val="nil"/>
              <w:bottom w:val="single" w:sz="4" w:space="0" w:color="auto"/>
              <w:right w:val="single" w:sz="4" w:space="0" w:color="auto"/>
            </w:tcBorders>
            <w:shd w:val="clear" w:color="auto" w:fill="auto"/>
            <w:noWrap/>
            <w:vAlign w:val="center"/>
            <w:hideMark/>
          </w:tcPr>
          <w:p w14:paraId="4724A48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16</w:t>
            </w:r>
          </w:p>
        </w:tc>
        <w:tc>
          <w:tcPr>
            <w:tcW w:w="567" w:type="dxa"/>
            <w:tcBorders>
              <w:top w:val="nil"/>
              <w:left w:val="nil"/>
              <w:bottom w:val="single" w:sz="4" w:space="0" w:color="auto"/>
              <w:right w:val="single" w:sz="12" w:space="0" w:color="auto"/>
            </w:tcBorders>
            <w:shd w:val="clear" w:color="auto" w:fill="auto"/>
            <w:noWrap/>
            <w:vAlign w:val="center"/>
            <w:hideMark/>
          </w:tcPr>
          <w:p w14:paraId="63C8895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232</w:t>
            </w:r>
          </w:p>
        </w:tc>
        <w:tc>
          <w:tcPr>
            <w:tcW w:w="567" w:type="dxa"/>
            <w:tcBorders>
              <w:top w:val="single" w:sz="4" w:space="0" w:color="auto"/>
              <w:left w:val="single" w:sz="12" w:space="0" w:color="auto"/>
              <w:bottom w:val="single" w:sz="4" w:space="0" w:color="auto"/>
              <w:right w:val="single" w:sz="4" w:space="0" w:color="auto"/>
            </w:tcBorders>
            <w:shd w:val="clear" w:color="000000" w:fill="B4C9E5"/>
            <w:noWrap/>
            <w:vAlign w:val="center"/>
            <w:hideMark/>
          </w:tcPr>
          <w:p w14:paraId="1F498E3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600</w:t>
            </w:r>
          </w:p>
        </w:tc>
        <w:tc>
          <w:tcPr>
            <w:tcW w:w="567" w:type="dxa"/>
            <w:tcBorders>
              <w:top w:val="single" w:sz="4" w:space="0" w:color="auto"/>
              <w:left w:val="single" w:sz="4" w:space="0" w:color="auto"/>
              <w:bottom w:val="single" w:sz="4" w:space="0" w:color="auto"/>
              <w:right w:val="single" w:sz="4" w:space="0" w:color="auto"/>
            </w:tcBorders>
            <w:shd w:val="clear" w:color="000000" w:fill="B2C8E5"/>
            <w:noWrap/>
            <w:vAlign w:val="center"/>
            <w:hideMark/>
          </w:tcPr>
          <w:p w14:paraId="63E1DC59"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19</w:t>
            </w:r>
          </w:p>
        </w:tc>
        <w:tc>
          <w:tcPr>
            <w:tcW w:w="567" w:type="dxa"/>
            <w:tcBorders>
              <w:top w:val="single" w:sz="4" w:space="0" w:color="auto"/>
              <w:left w:val="single" w:sz="4" w:space="0" w:color="auto"/>
              <w:bottom w:val="single" w:sz="4" w:space="0" w:color="auto"/>
              <w:right w:val="single" w:sz="12" w:space="0" w:color="auto"/>
            </w:tcBorders>
            <w:shd w:val="clear" w:color="000000" w:fill="5A8AC6"/>
            <w:noWrap/>
            <w:vAlign w:val="center"/>
            <w:hideMark/>
          </w:tcPr>
          <w:p w14:paraId="6ACF32A6" w14:textId="77777777" w:rsidR="00AD5348" w:rsidRPr="004E2ED8" w:rsidRDefault="00AD5348" w:rsidP="00E37D33">
            <w:pPr>
              <w:spacing w:before="0"/>
              <w:jc w:val="right"/>
              <w:rPr>
                <w:rFonts w:eastAsia="Times New Roman" w:cstheme="minorHAnsi"/>
                <w:color w:val="000000"/>
                <w:sz w:val="18"/>
                <w:szCs w:val="18"/>
                <w:lang w:eastAsia="cs-CZ"/>
              </w:rPr>
            </w:pPr>
            <w:r w:rsidRPr="004E2ED8">
              <w:rPr>
                <w:rFonts w:eastAsia="Times New Roman" w:cstheme="minorHAnsi"/>
                <w:color w:val="000000"/>
                <w:sz w:val="18"/>
                <w:szCs w:val="18"/>
                <w:lang w:eastAsia="cs-CZ"/>
              </w:rPr>
              <w:t>277</w:t>
            </w:r>
          </w:p>
        </w:tc>
      </w:tr>
      <w:tr w:rsidR="00AD5348" w:rsidRPr="004E2ED8" w14:paraId="138D11FD" w14:textId="77777777" w:rsidTr="00E37D33">
        <w:trPr>
          <w:trHeight w:val="315"/>
        </w:trPr>
        <w:tc>
          <w:tcPr>
            <w:tcW w:w="2258" w:type="dxa"/>
            <w:tcBorders>
              <w:top w:val="nil"/>
              <w:left w:val="single" w:sz="12" w:space="0" w:color="auto"/>
              <w:bottom w:val="single" w:sz="12" w:space="0" w:color="auto"/>
              <w:right w:val="single" w:sz="12" w:space="0" w:color="auto"/>
            </w:tcBorders>
            <w:shd w:val="clear" w:color="000000" w:fill="D0CECE"/>
            <w:noWrap/>
            <w:vAlign w:val="center"/>
            <w:hideMark/>
          </w:tcPr>
          <w:p w14:paraId="35963EC5" w14:textId="77777777" w:rsidR="00AD5348" w:rsidRPr="004E2ED8" w:rsidRDefault="00AD5348" w:rsidP="00E37D33">
            <w:pPr>
              <w:spacing w:before="0"/>
              <w:jc w:val="lef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Celkem</w:t>
            </w:r>
          </w:p>
        </w:tc>
        <w:tc>
          <w:tcPr>
            <w:tcW w:w="544" w:type="dxa"/>
            <w:tcBorders>
              <w:top w:val="nil"/>
              <w:left w:val="single" w:sz="12" w:space="0" w:color="auto"/>
              <w:bottom w:val="single" w:sz="12" w:space="0" w:color="auto"/>
              <w:right w:val="single" w:sz="4" w:space="0" w:color="auto"/>
            </w:tcBorders>
            <w:shd w:val="clear" w:color="000000" w:fill="D0CECE"/>
            <w:noWrap/>
            <w:vAlign w:val="bottom"/>
            <w:hideMark/>
          </w:tcPr>
          <w:p w14:paraId="5FF2E507"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5470</w:t>
            </w:r>
          </w:p>
        </w:tc>
        <w:tc>
          <w:tcPr>
            <w:tcW w:w="556" w:type="dxa"/>
            <w:tcBorders>
              <w:top w:val="nil"/>
              <w:left w:val="nil"/>
              <w:bottom w:val="single" w:sz="12" w:space="0" w:color="auto"/>
              <w:right w:val="single" w:sz="4" w:space="0" w:color="auto"/>
            </w:tcBorders>
            <w:shd w:val="clear" w:color="000000" w:fill="D0CECE"/>
            <w:noWrap/>
            <w:vAlign w:val="bottom"/>
            <w:hideMark/>
          </w:tcPr>
          <w:p w14:paraId="0449391B"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164</w:t>
            </w:r>
          </w:p>
        </w:tc>
        <w:tc>
          <w:tcPr>
            <w:tcW w:w="556" w:type="dxa"/>
            <w:tcBorders>
              <w:top w:val="nil"/>
              <w:left w:val="nil"/>
              <w:bottom w:val="single" w:sz="12" w:space="0" w:color="auto"/>
              <w:right w:val="single" w:sz="12" w:space="0" w:color="auto"/>
            </w:tcBorders>
            <w:shd w:val="clear" w:color="000000" w:fill="D0CECE"/>
            <w:noWrap/>
            <w:vAlign w:val="bottom"/>
            <w:hideMark/>
          </w:tcPr>
          <w:p w14:paraId="08206215"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4150</w:t>
            </w:r>
          </w:p>
        </w:tc>
        <w:tc>
          <w:tcPr>
            <w:tcW w:w="554" w:type="dxa"/>
            <w:tcBorders>
              <w:top w:val="nil"/>
              <w:left w:val="single" w:sz="12" w:space="0" w:color="auto"/>
              <w:bottom w:val="single" w:sz="12" w:space="0" w:color="auto"/>
              <w:right w:val="single" w:sz="4" w:space="0" w:color="auto"/>
            </w:tcBorders>
            <w:shd w:val="clear" w:color="000000" w:fill="D0CECE"/>
            <w:noWrap/>
            <w:vAlign w:val="bottom"/>
            <w:hideMark/>
          </w:tcPr>
          <w:p w14:paraId="5D5F659E"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5545</w:t>
            </w:r>
          </w:p>
        </w:tc>
        <w:tc>
          <w:tcPr>
            <w:tcW w:w="567" w:type="dxa"/>
            <w:tcBorders>
              <w:top w:val="nil"/>
              <w:left w:val="nil"/>
              <w:bottom w:val="single" w:sz="12" w:space="0" w:color="auto"/>
              <w:right w:val="single" w:sz="4" w:space="0" w:color="auto"/>
            </w:tcBorders>
            <w:shd w:val="clear" w:color="000000" w:fill="D0CECE"/>
            <w:noWrap/>
            <w:vAlign w:val="bottom"/>
            <w:hideMark/>
          </w:tcPr>
          <w:p w14:paraId="2FCA3BC3"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163</w:t>
            </w:r>
          </w:p>
        </w:tc>
        <w:tc>
          <w:tcPr>
            <w:tcW w:w="567" w:type="dxa"/>
            <w:tcBorders>
              <w:top w:val="nil"/>
              <w:left w:val="nil"/>
              <w:bottom w:val="single" w:sz="12" w:space="0" w:color="auto"/>
              <w:right w:val="single" w:sz="12" w:space="0" w:color="auto"/>
            </w:tcBorders>
            <w:shd w:val="clear" w:color="000000" w:fill="D0CECE"/>
            <w:noWrap/>
            <w:vAlign w:val="bottom"/>
            <w:hideMark/>
          </w:tcPr>
          <w:p w14:paraId="7C6367C0"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4121</w:t>
            </w:r>
          </w:p>
        </w:tc>
        <w:tc>
          <w:tcPr>
            <w:tcW w:w="567" w:type="dxa"/>
            <w:tcBorders>
              <w:top w:val="nil"/>
              <w:left w:val="single" w:sz="12" w:space="0" w:color="auto"/>
              <w:bottom w:val="single" w:sz="12" w:space="0" w:color="auto"/>
              <w:right w:val="single" w:sz="4" w:space="0" w:color="auto"/>
            </w:tcBorders>
            <w:shd w:val="clear" w:color="000000" w:fill="D0CECE"/>
            <w:noWrap/>
            <w:vAlign w:val="bottom"/>
            <w:hideMark/>
          </w:tcPr>
          <w:p w14:paraId="0C902EA2"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5545</w:t>
            </w:r>
          </w:p>
        </w:tc>
        <w:tc>
          <w:tcPr>
            <w:tcW w:w="567" w:type="dxa"/>
            <w:tcBorders>
              <w:top w:val="nil"/>
              <w:left w:val="nil"/>
              <w:bottom w:val="single" w:sz="12" w:space="0" w:color="auto"/>
              <w:right w:val="single" w:sz="4" w:space="0" w:color="auto"/>
            </w:tcBorders>
            <w:shd w:val="clear" w:color="000000" w:fill="D0CECE"/>
            <w:noWrap/>
            <w:vAlign w:val="bottom"/>
            <w:hideMark/>
          </w:tcPr>
          <w:p w14:paraId="1259B653"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164</w:t>
            </w:r>
          </w:p>
        </w:tc>
        <w:tc>
          <w:tcPr>
            <w:tcW w:w="567" w:type="dxa"/>
            <w:tcBorders>
              <w:top w:val="nil"/>
              <w:left w:val="nil"/>
              <w:bottom w:val="single" w:sz="12" w:space="0" w:color="auto"/>
              <w:right w:val="single" w:sz="12" w:space="0" w:color="auto"/>
            </w:tcBorders>
            <w:shd w:val="clear" w:color="000000" w:fill="D0CECE"/>
            <w:noWrap/>
            <w:vAlign w:val="bottom"/>
            <w:hideMark/>
          </w:tcPr>
          <w:p w14:paraId="16B44DD8"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4174</w:t>
            </w:r>
          </w:p>
        </w:tc>
        <w:tc>
          <w:tcPr>
            <w:tcW w:w="567" w:type="dxa"/>
            <w:tcBorders>
              <w:top w:val="nil"/>
              <w:left w:val="single" w:sz="12" w:space="0" w:color="auto"/>
              <w:bottom w:val="single" w:sz="12" w:space="0" w:color="auto"/>
              <w:right w:val="single" w:sz="4" w:space="0" w:color="auto"/>
            </w:tcBorders>
            <w:shd w:val="clear" w:color="000000" w:fill="D0CECE"/>
            <w:noWrap/>
            <w:vAlign w:val="bottom"/>
            <w:hideMark/>
          </w:tcPr>
          <w:p w14:paraId="1E1B1A15"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5545</w:t>
            </w:r>
          </w:p>
        </w:tc>
        <w:tc>
          <w:tcPr>
            <w:tcW w:w="567" w:type="dxa"/>
            <w:tcBorders>
              <w:top w:val="nil"/>
              <w:left w:val="nil"/>
              <w:bottom w:val="single" w:sz="12" w:space="0" w:color="auto"/>
              <w:right w:val="single" w:sz="4" w:space="0" w:color="auto"/>
            </w:tcBorders>
            <w:shd w:val="clear" w:color="000000" w:fill="D0CECE"/>
            <w:noWrap/>
            <w:vAlign w:val="bottom"/>
            <w:hideMark/>
          </w:tcPr>
          <w:p w14:paraId="10C45D77"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164</w:t>
            </w:r>
          </w:p>
        </w:tc>
        <w:tc>
          <w:tcPr>
            <w:tcW w:w="567" w:type="dxa"/>
            <w:tcBorders>
              <w:top w:val="nil"/>
              <w:left w:val="nil"/>
              <w:bottom w:val="single" w:sz="12" w:space="0" w:color="auto"/>
              <w:right w:val="single" w:sz="12" w:space="0" w:color="auto"/>
            </w:tcBorders>
            <w:shd w:val="clear" w:color="000000" w:fill="D0CECE"/>
            <w:noWrap/>
            <w:vAlign w:val="bottom"/>
            <w:hideMark/>
          </w:tcPr>
          <w:p w14:paraId="58425CCB"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4215</w:t>
            </w:r>
          </w:p>
        </w:tc>
        <w:tc>
          <w:tcPr>
            <w:tcW w:w="567" w:type="dxa"/>
            <w:tcBorders>
              <w:top w:val="nil"/>
              <w:left w:val="single" w:sz="12" w:space="0" w:color="auto"/>
              <w:bottom w:val="single" w:sz="12" w:space="0" w:color="auto"/>
              <w:right w:val="single" w:sz="4" w:space="0" w:color="auto"/>
            </w:tcBorders>
            <w:shd w:val="clear" w:color="000000" w:fill="D0CECE"/>
            <w:noWrap/>
            <w:vAlign w:val="bottom"/>
            <w:hideMark/>
          </w:tcPr>
          <w:p w14:paraId="04EECB4A"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5545</w:t>
            </w:r>
          </w:p>
        </w:tc>
        <w:tc>
          <w:tcPr>
            <w:tcW w:w="567" w:type="dxa"/>
            <w:tcBorders>
              <w:top w:val="nil"/>
              <w:left w:val="nil"/>
              <w:bottom w:val="single" w:sz="12" w:space="0" w:color="auto"/>
              <w:right w:val="single" w:sz="4" w:space="0" w:color="auto"/>
            </w:tcBorders>
            <w:shd w:val="clear" w:color="000000" w:fill="D0CECE"/>
            <w:noWrap/>
            <w:vAlign w:val="bottom"/>
            <w:hideMark/>
          </w:tcPr>
          <w:p w14:paraId="57F98CCE"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164</w:t>
            </w:r>
          </w:p>
        </w:tc>
        <w:tc>
          <w:tcPr>
            <w:tcW w:w="567" w:type="dxa"/>
            <w:tcBorders>
              <w:top w:val="nil"/>
              <w:left w:val="nil"/>
              <w:bottom w:val="single" w:sz="12" w:space="0" w:color="auto"/>
              <w:right w:val="single" w:sz="12" w:space="0" w:color="auto"/>
            </w:tcBorders>
            <w:shd w:val="clear" w:color="000000" w:fill="D0CECE"/>
            <w:noWrap/>
            <w:vAlign w:val="bottom"/>
            <w:hideMark/>
          </w:tcPr>
          <w:p w14:paraId="1B9B9A26"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4246</w:t>
            </w:r>
          </w:p>
        </w:tc>
        <w:tc>
          <w:tcPr>
            <w:tcW w:w="567" w:type="dxa"/>
            <w:tcBorders>
              <w:top w:val="nil"/>
              <w:left w:val="single" w:sz="12" w:space="0" w:color="auto"/>
              <w:bottom w:val="single" w:sz="12" w:space="0" w:color="auto"/>
              <w:right w:val="single" w:sz="4" w:space="0" w:color="auto"/>
            </w:tcBorders>
            <w:shd w:val="clear" w:color="000000" w:fill="D0CECE"/>
            <w:noWrap/>
            <w:vAlign w:val="bottom"/>
            <w:hideMark/>
          </w:tcPr>
          <w:p w14:paraId="3B755914"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5630</w:t>
            </w:r>
          </w:p>
        </w:tc>
        <w:tc>
          <w:tcPr>
            <w:tcW w:w="567" w:type="dxa"/>
            <w:tcBorders>
              <w:top w:val="nil"/>
              <w:left w:val="nil"/>
              <w:bottom w:val="single" w:sz="12" w:space="0" w:color="auto"/>
              <w:right w:val="single" w:sz="4" w:space="0" w:color="auto"/>
            </w:tcBorders>
            <w:shd w:val="clear" w:color="000000" w:fill="D0CECE"/>
            <w:noWrap/>
            <w:vAlign w:val="bottom"/>
            <w:hideMark/>
          </w:tcPr>
          <w:p w14:paraId="1FE733BA"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164</w:t>
            </w:r>
          </w:p>
        </w:tc>
        <w:tc>
          <w:tcPr>
            <w:tcW w:w="567" w:type="dxa"/>
            <w:tcBorders>
              <w:top w:val="nil"/>
              <w:left w:val="nil"/>
              <w:bottom w:val="single" w:sz="12" w:space="0" w:color="auto"/>
              <w:right w:val="single" w:sz="12" w:space="0" w:color="auto"/>
            </w:tcBorders>
            <w:shd w:val="clear" w:color="000000" w:fill="D0CECE"/>
            <w:noWrap/>
            <w:vAlign w:val="bottom"/>
            <w:hideMark/>
          </w:tcPr>
          <w:p w14:paraId="03B829C9"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4309</w:t>
            </w:r>
          </w:p>
        </w:tc>
        <w:tc>
          <w:tcPr>
            <w:tcW w:w="567" w:type="dxa"/>
            <w:tcBorders>
              <w:top w:val="nil"/>
              <w:left w:val="single" w:sz="12" w:space="0" w:color="auto"/>
              <w:bottom w:val="single" w:sz="12" w:space="0" w:color="auto"/>
              <w:right w:val="single" w:sz="4" w:space="0" w:color="auto"/>
            </w:tcBorders>
            <w:shd w:val="clear" w:color="000000" w:fill="D0CECE"/>
            <w:noWrap/>
            <w:vAlign w:val="bottom"/>
            <w:hideMark/>
          </w:tcPr>
          <w:p w14:paraId="4B27B4DF"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5630</w:t>
            </w:r>
          </w:p>
        </w:tc>
        <w:tc>
          <w:tcPr>
            <w:tcW w:w="567" w:type="dxa"/>
            <w:tcBorders>
              <w:top w:val="nil"/>
              <w:left w:val="nil"/>
              <w:bottom w:val="single" w:sz="12" w:space="0" w:color="auto"/>
              <w:right w:val="single" w:sz="4" w:space="0" w:color="auto"/>
            </w:tcBorders>
            <w:shd w:val="clear" w:color="000000" w:fill="D0CECE"/>
            <w:noWrap/>
            <w:vAlign w:val="bottom"/>
            <w:hideMark/>
          </w:tcPr>
          <w:p w14:paraId="4D52B956"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167</w:t>
            </w:r>
          </w:p>
        </w:tc>
        <w:tc>
          <w:tcPr>
            <w:tcW w:w="567" w:type="dxa"/>
            <w:tcBorders>
              <w:top w:val="nil"/>
              <w:left w:val="nil"/>
              <w:bottom w:val="single" w:sz="12" w:space="0" w:color="auto"/>
              <w:right w:val="single" w:sz="12" w:space="0" w:color="auto"/>
            </w:tcBorders>
            <w:shd w:val="clear" w:color="000000" w:fill="D0CECE"/>
            <w:noWrap/>
            <w:vAlign w:val="bottom"/>
            <w:hideMark/>
          </w:tcPr>
          <w:p w14:paraId="799CE86A" w14:textId="77777777" w:rsidR="00AD5348" w:rsidRPr="004E2ED8" w:rsidRDefault="00AD5348" w:rsidP="00E37D33">
            <w:pPr>
              <w:spacing w:before="0"/>
              <w:jc w:val="right"/>
              <w:rPr>
                <w:rFonts w:eastAsia="Times New Roman" w:cstheme="minorHAnsi"/>
                <w:b/>
                <w:bCs/>
                <w:color w:val="000000"/>
                <w:sz w:val="18"/>
                <w:szCs w:val="18"/>
                <w:lang w:eastAsia="cs-CZ"/>
              </w:rPr>
            </w:pPr>
            <w:r w:rsidRPr="004E2ED8">
              <w:rPr>
                <w:rFonts w:eastAsia="Times New Roman" w:cstheme="minorHAnsi"/>
                <w:b/>
                <w:bCs/>
                <w:color w:val="000000"/>
                <w:sz w:val="18"/>
                <w:szCs w:val="18"/>
                <w:lang w:eastAsia="cs-CZ"/>
              </w:rPr>
              <w:t>4411</w:t>
            </w:r>
          </w:p>
        </w:tc>
      </w:tr>
    </w:tbl>
    <w:p w14:paraId="25F7C48B" w14:textId="37C13A60" w:rsidR="00AD5348" w:rsidRDefault="00AD5348" w:rsidP="00AD5348">
      <w:pPr>
        <w:pStyle w:val="Zdroj"/>
      </w:pPr>
      <w:r>
        <w:t>Zdroj: SMZ, Odbor školství, mládeže a sportu, Krajský úřad Zlínského kraje, k 1.</w:t>
      </w:r>
      <w:r w:rsidR="000F101A">
        <w:t xml:space="preserve"> </w:t>
      </w:r>
      <w:r>
        <w:t>7.</w:t>
      </w:r>
      <w:r w:rsidR="000F101A">
        <w:t xml:space="preserve"> </w:t>
      </w:r>
      <w:r>
        <w:t>2020</w:t>
      </w:r>
      <w:r w:rsidR="000F101A">
        <w:t>.</w:t>
      </w:r>
    </w:p>
    <w:p w14:paraId="2D3BD3BA" w14:textId="77777777" w:rsidR="00AD5348" w:rsidRDefault="00AD5348" w:rsidP="00AD5348">
      <w:pPr>
        <w:pStyle w:val="Zdroj"/>
      </w:pPr>
    </w:p>
    <w:p w14:paraId="6B364821" w14:textId="77777777" w:rsidR="00AD5348" w:rsidRDefault="00AD5348" w:rsidP="00AD5348">
      <w:pPr>
        <w:pStyle w:val="Zdroj"/>
      </w:pPr>
    </w:p>
    <w:p w14:paraId="1C7A17B8" w14:textId="77777777" w:rsidR="00AD5348" w:rsidRDefault="00AD5348" w:rsidP="00AD5348">
      <w:pPr>
        <w:pStyle w:val="Zdroj"/>
      </w:pPr>
    </w:p>
    <w:p w14:paraId="12ECBFE5" w14:textId="77777777" w:rsidR="00AD5348" w:rsidRDefault="00AD5348" w:rsidP="00AD5348">
      <w:pPr>
        <w:pStyle w:val="Zdroj"/>
      </w:pPr>
    </w:p>
    <w:p w14:paraId="1F8A63B3" w14:textId="2AA359B4" w:rsidR="00AD5348" w:rsidRDefault="00AD5348" w:rsidP="00AD5348">
      <w:pPr>
        <w:pStyle w:val="Titulek"/>
        <w:keepNext/>
        <w:keepLines/>
      </w:pPr>
      <w:bookmarkStart w:id="523" w:name="_Toc50468810"/>
      <w:bookmarkStart w:id="524" w:name="_Toc77074761"/>
      <w:r>
        <w:lastRenderedPageBreak/>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81</w:t>
      </w:r>
      <w:r w:rsidR="00081B47">
        <w:rPr>
          <w:noProof/>
        </w:rPr>
        <w:fldChar w:fldCharType="end"/>
      </w:r>
      <w:r w:rsidR="000F101A">
        <w:rPr>
          <w:noProof/>
        </w:rPr>
        <w:t>:</w:t>
      </w:r>
      <w:r>
        <w:t xml:space="preserve"> </w:t>
      </w:r>
      <w:r w:rsidRPr="0034728B">
        <w:t>Přijímací řízení na</w:t>
      </w:r>
      <w:r>
        <w:t xml:space="preserve"> VŠ – podle fakult v letech 2014</w:t>
      </w:r>
      <w:r w:rsidRPr="0034728B">
        <w:t>/</w:t>
      </w:r>
      <w:r>
        <w:t>2015</w:t>
      </w:r>
      <w:r w:rsidR="000F101A">
        <w:t xml:space="preserve"> </w:t>
      </w:r>
      <w:r w:rsidRPr="0034728B">
        <w:t>–</w:t>
      </w:r>
      <w:r w:rsidR="000F101A">
        <w:t xml:space="preserve"> </w:t>
      </w:r>
      <w:r w:rsidRPr="0034728B">
        <w:t>2019/2</w:t>
      </w:r>
      <w:r>
        <w:t>02</w:t>
      </w:r>
      <w:r w:rsidRPr="0034728B">
        <w:t>0</w:t>
      </w:r>
      <w:bookmarkEnd w:id="523"/>
      <w:bookmarkEnd w:id="524"/>
    </w:p>
    <w:tbl>
      <w:tblPr>
        <w:tblW w:w="1460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597"/>
        <w:gridCol w:w="611"/>
        <w:gridCol w:w="611"/>
        <w:gridCol w:w="611"/>
        <w:gridCol w:w="611"/>
        <w:gridCol w:w="808"/>
        <w:gridCol w:w="605"/>
        <w:gridCol w:w="738"/>
        <w:gridCol w:w="611"/>
        <w:gridCol w:w="611"/>
        <w:gridCol w:w="611"/>
        <w:gridCol w:w="828"/>
        <w:gridCol w:w="620"/>
        <w:gridCol w:w="718"/>
        <w:gridCol w:w="611"/>
        <w:gridCol w:w="611"/>
        <w:gridCol w:w="611"/>
        <w:gridCol w:w="827"/>
        <w:gridCol w:w="749"/>
      </w:tblGrid>
      <w:tr w:rsidR="00AD5348" w:rsidRPr="00214BA7" w14:paraId="18ADA846" w14:textId="77777777" w:rsidTr="00E37D33">
        <w:trPr>
          <w:trHeight w:val="278"/>
        </w:trPr>
        <w:tc>
          <w:tcPr>
            <w:tcW w:w="2597" w:type="dxa"/>
            <w:vMerge w:val="restart"/>
            <w:tcBorders>
              <w:top w:val="single" w:sz="12" w:space="0" w:color="auto"/>
              <w:left w:val="single" w:sz="12" w:space="0" w:color="auto"/>
              <w:right w:val="single" w:sz="12" w:space="0" w:color="auto"/>
            </w:tcBorders>
            <w:shd w:val="clear" w:color="000000" w:fill="C0C0C0"/>
            <w:vAlign w:val="center"/>
            <w:hideMark/>
          </w:tcPr>
          <w:p w14:paraId="1B1F83A6"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 </w:t>
            </w:r>
            <w:r w:rsidRPr="0034728B">
              <w:rPr>
                <w:rFonts w:eastAsia="Times New Roman" w:cstheme="minorHAnsi"/>
                <w:b/>
                <w:bCs/>
                <w:sz w:val="18"/>
                <w:szCs w:val="18"/>
                <w:lang w:eastAsia="cs-CZ"/>
              </w:rPr>
              <w:t> </w:t>
            </w:r>
            <w:r>
              <w:rPr>
                <w:rFonts w:eastAsia="Times New Roman" w:cstheme="minorHAnsi"/>
                <w:b/>
                <w:bCs/>
                <w:sz w:val="18"/>
                <w:szCs w:val="18"/>
                <w:lang w:eastAsia="cs-CZ"/>
              </w:rPr>
              <w:t>Fakulta</w:t>
            </w:r>
          </w:p>
        </w:tc>
        <w:tc>
          <w:tcPr>
            <w:tcW w:w="3857" w:type="dxa"/>
            <w:gridSpan w:val="6"/>
            <w:tcBorders>
              <w:top w:val="single" w:sz="12" w:space="0" w:color="auto"/>
              <w:left w:val="single" w:sz="12" w:space="0" w:color="auto"/>
              <w:right w:val="single" w:sz="12" w:space="0" w:color="auto"/>
            </w:tcBorders>
            <w:shd w:val="clear" w:color="000000" w:fill="C0C0C0"/>
            <w:noWrap/>
            <w:vAlign w:val="center"/>
            <w:hideMark/>
          </w:tcPr>
          <w:p w14:paraId="230A44EF"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2014/</w:t>
            </w:r>
            <w:r>
              <w:rPr>
                <w:rFonts w:eastAsia="Times New Roman" w:cstheme="minorHAnsi"/>
                <w:bCs/>
                <w:sz w:val="18"/>
                <w:szCs w:val="18"/>
                <w:lang w:eastAsia="cs-CZ"/>
              </w:rPr>
              <w:t>20</w:t>
            </w:r>
            <w:r w:rsidRPr="00214BA7">
              <w:rPr>
                <w:rFonts w:eastAsia="Times New Roman" w:cstheme="minorHAnsi"/>
                <w:bCs/>
                <w:sz w:val="18"/>
                <w:szCs w:val="18"/>
                <w:lang w:eastAsia="cs-CZ"/>
              </w:rPr>
              <w:t>15</w:t>
            </w:r>
          </w:p>
        </w:tc>
        <w:tc>
          <w:tcPr>
            <w:tcW w:w="4019" w:type="dxa"/>
            <w:gridSpan w:val="6"/>
            <w:tcBorders>
              <w:top w:val="single" w:sz="12" w:space="0" w:color="auto"/>
              <w:left w:val="single" w:sz="12" w:space="0" w:color="auto"/>
              <w:right w:val="single" w:sz="12" w:space="0" w:color="auto"/>
            </w:tcBorders>
            <w:shd w:val="clear" w:color="000000" w:fill="C0C0C0"/>
            <w:noWrap/>
            <w:vAlign w:val="center"/>
            <w:hideMark/>
          </w:tcPr>
          <w:p w14:paraId="5C033F31"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2015/</w:t>
            </w:r>
            <w:r>
              <w:rPr>
                <w:rFonts w:eastAsia="Times New Roman" w:cstheme="minorHAnsi"/>
                <w:bCs/>
                <w:sz w:val="18"/>
                <w:szCs w:val="18"/>
                <w:lang w:eastAsia="cs-CZ"/>
              </w:rPr>
              <w:t>20</w:t>
            </w:r>
            <w:r w:rsidRPr="00214BA7">
              <w:rPr>
                <w:rFonts w:eastAsia="Times New Roman" w:cstheme="minorHAnsi"/>
                <w:bCs/>
                <w:sz w:val="18"/>
                <w:szCs w:val="18"/>
                <w:lang w:eastAsia="cs-CZ"/>
              </w:rPr>
              <w:t>16</w:t>
            </w:r>
          </w:p>
        </w:tc>
        <w:tc>
          <w:tcPr>
            <w:tcW w:w="4127" w:type="dxa"/>
            <w:gridSpan w:val="6"/>
            <w:tcBorders>
              <w:top w:val="single" w:sz="12" w:space="0" w:color="auto"/>
              <w:left w:val="single" w:sz="12" w:space="0" w:color="auto"/>
              <w:right w:val="single" w:sz="12" w:space="0" w:color="auto"/>
            </w:tcBorders>
            <w:shd w:val="clear" w:color="000000" w:fill="C0C0C0"/>
            <w:noWrap/>
            <w:vAlign w:val="center"/>
            <w:hideMark/>
          </w:tcPr>
          <w:p w14:paraId="039C27C0"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2016/</w:t>
            </w:r>
            <w:r>
              <w:rPr>
                <w:rFonts w:eastAsia="Times New Roman" w:cstheme="minorHAnsi"/>
                <w:bCs/>
                <w:sz w:val="18"/>
                <w:szCs w:val="18"/>
                <w:lang w:eastAsia="cs-CZ"/>
              </w:rPr>
              <w:t>20</w:t>
            </w:r>
            <w:r w:rsidRPr="00214BA7">
              <w:rPr>
                <w:rFonts w:eastAsia="Times New Roman" w:cstheme="minorHAnsi"/>
                <w:bCs/>
                <w:sz w:val="18"/>
                <w:szCs w:val="18"/>
                <w:lang w:eastAsia="cs-CZ"/>
              </w:rPr>
              <w:t>17</w:t>
            </w:r>
          </w:p>
        </w:tc>
      </w:tr>
      <w:tr w:rsidR="00AD5348" w:rsidRPr="004C621E" w14:paraId="141395FB" w14:textId="77777777" w:rsidTr="00E37D33">
        <w:trPr>
          <w:trHeight w:val="1278"/>
        </w:trPr>
        <w:tc>
          <w:tcPr>
            <w:tcW w:w="2597" w:type="dxa"/>
            <w:vMerge/>
            <w:tcBorders>
              <w:left w:val="single" w:sz="12" w:space="0" w:color="auto"/>
              <w:right w:val="single" w:sz="12" w:space="0" w:color="auto"/>
            </w:tcBorders>
            <w:vAlign w:val="center"/>
            <w:hideMark/>
          </w:tcPr>
          <w:p w14:paraId="591D4FC2" w14:textId="77777777" w:rsidR="00AD5348" w:rsidRPr="00214BA7" w:rsidRDefault="00AD5348" w:rsidP="00E37D33">
            <w:pPr>
              <w:spacing w:before="0"/>
              <w:jc w:val="left"/>
              <w:rPr>
                <w:rFonts w:eastAsia="Times New Roman" w:cstheme="minorHAnsi"/>
                <w:bCs/>
                <w:sz w:val="18"/>
                <w:szCs w:val="18"/>
                <w:lang w:eastAsia="cs-CZ"/>
              </w:rPr>
            </w:pPr>
          </w:p>
        </w:tc>
        <w:tc>
          <w:tcPr>
            <w:tcW w:w="611" w:type="dxa"/>
            <w:tcBorders>
              <w:left w:val="single" w:sz="12" w:space="0" w:color="auto"/>
            </w:tcBorders>
            <w:shd w:val="clear" w:color="000000" w:fill="C0C0C0"/>
            <w:textDirection w:val="btLr"/>
            <w:vAlign w:val="center"/>
            <w:hideMark/>
          </w:tcPr>
          <w:p w14:paraId="5489A682"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 podaných</w:t>
            </w:r>
            <w:r w:rsidRPr="00214BA7">
              <w:rPr>
                <w:rFonts w:eastAsia="Times New Roman" w:cstheme="minorHAnsi"/>
                <w:bCs/>
                <w:sz w:val="18"/>
                <w:szCs w:val="18"/>
                <w:lang w:eastAsia="cs-CZ"/>
              </w:rPr>
              <w:br/>
              <w:t xml:space="preserve"> přihlášek</w:t>
            </w:r>
          </w:p>
        </w:tc>
        <w:tc>
          <w:tcPr>
            <w:tcW w:w="611" w:type="dxa"/>
            <w:shd w:val="clear" w:color="000000" w:fill="C0C0C0"/>
            <w:textDirection w:val="btLr"/>
            <w:vAlign w:val="center"/>
            <w:hideMark/>
          </w:tcPr>
          <w:p w14:paraId="3FC5ABAF"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přihlášených</w:t>
            </w:r>
          </w:p>
        </w:tc>
        <w:tc>
          <w:tcPr>
            <w:tcW w:w="611" w:type="dxa"/>
            <w:shd w:val="clear" w:color="000000" w:fill="C0C0C0"/>
            <w:textDirection w:val="btLr"/>
            <w:vAlign w:val="center"/>
            <w:hideMark/>
          </w:tcPr>
          <w:p w14:paraId="1D5825FA"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přijatých</w:t>
            </w:r>
          </w:p>
        </w:tc>
        <w:tc>
          <w:tcPr>
            <w:tcW w:w="611" w:type="dxa"/>
            <w:shd w:val="clear" w:color="000000" w:fill="C0C0C0"/>
            <w:textDirection w:val="btLr"/>
            <w:vAlign w:val="center"/>
            <w:hideMark/>
          </w:tcPr>
          <w:p w14:paraId="59B5B3A6"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zapsaných</w:t>
            </w:r>
          </w:p>
        </w:tc>
        <w:tc>
          <w:tcPr>
            <w:tcW w:w="808" w:type="dxa"/>
            <w:shd w:val="clear" w:color="000000" w:fill="C0C0C0"/>
            <w:textDirection w:val="btLr"/>
            <w:vAlign w:val="center"/>
            <w:hideMark/>
          </w:tcPr>
          <w:p w14:paraId="2AB9BA40"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 xml:space="preserve">Počet přijatých / počet přihlášených </w:t>
            </w:r>
          </w:p>
        </w:tc>
        <w:tc>
          <w:tcPr>
            <w:tcW w:w="605" w:type="dxa"/>
            <w:tcBorders>
              <w:right w:val="single" w:sz="12" w:space="0" w:color="auto"/>
            </w:tcBorders>
            <w:shd w:val="clear" w:color="000000" w:fill="C0C0C0"/>
            <w:textDirection w:val="btLr"/>
            <w:vAlign w:val="center"/>
            <w:hideMark/>
          </w:tcPr>
          <w:p w14:paraId="322B0603"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Úspěšnost uchazečů *</w:t>
            </w:r>
            <w:r w:rsidRPr="00214BA7">
              <w:rPr>
                <w:rFonts w:eastAsia="Times New Roman" w:cstheme="minorHAnsi"/>
                <w:bCs/>
                <w:sz w:val="18"/>
                <w:szCs w:val="18"/>
                <w:vertAlign w:val="superscript"/>
                <w:lang w:eastAsia="cs-CZ"/>
              </w:rPr>
              <w:t>)</w:t>
            </w:r>
          </w:p>
        </w:tc>
        <w:tc>
          <w:tcPr>
            <w:tcW w:w="738" w:type="dxa"/>
            <w:tcBorders>
              <w:left w:val="single" w:sz="12" w:space="0" w:color="auto"/>
            </w:tcBorders>
            <w:shd w:val="clear" w:color="000000" w:fill="C0C0C0"/>
            <w:textDirection w:val="btLr"/>
            <w:vAlign w:val="center"/>
            <w:hideMark/>
          </w:tcPr>
          <w:p w14:paraId="379275FC"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 podaných</w:t>
            </w:r>
            <w:r w:rsidRPr="00214BA7">
              <w:rPr>
                <w:rFonts w:eastAsia="Times New Roman" w:cstheme="minorHAnsi"/>
                <w:bCs/>
                <w:sz w:val="18"/>
                <w:szCs w:val="18"/>
                <w:lang w:eastAsia="cs-CZ"/>
              </w:rPr>
              <w:br/>
              <w:t xml:space="preserve"> přihlášek</w:t>
            </w:r>
          </w:p>
        </w:tc>
        <w:tc>
          <w:tcPr>
            <w:tcW w:w="611" w:type="dxa"/>
            <w:shd w:val="clear" w:color="000000" w:fill="C0C0C0"/>
            <w:textDirection w:val="btLr"/>
            <w:vAlign w:val="center"/>
            <w:hideMark/>
          </w:tcPr>
          <w:p w14:paraId="08C516AC"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přihlášených</w:t>
            </w:r>
          </w:p>
        </w:tc>
        <w:tc>
          <w:tcPr>
            <w:tcW w:w="611" w:type="dxa"/>
            <w:shd w:val="clear" w:color="000000" w:fill="C0C0C0"/>
            <w:textDirection w:val="btLr"/>
            <w:vAlign w:val="center"/>
            <w:hideMark/>
          </w:tcPr>
          <w:p w14:paraId="0C037AF6"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přijatých</w:t>
            </w:r>
          </w:p>
        </w:tc>
        <w:tc>
          <w:tcPr>
            <w:tcW w:w="611" w:type="dxa"/>
            <w:shd w:val="clear" w:color="000000" w:fill="C0C0C0"/>
            <w:textDirection w:val="btLr"/>
            <w:vAlign w:val="center"/>
            <w:hideMark/>
          </w:tcPr>
          <w:p w14:paraId="7C90E4DD"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zapsaných</w:t>
            </w:r>
          </w:p>
        </w:tc>
        <w:tc>
          <w:tcPr>
            <w:tcW w:w="828" w:type="dxa"/>
            <w:shd w:val="clear" w:color="000000" w:fill="C0C0C0"/>
            <w:textDirection w:val="btLr"/>
            <w:vAlign w:val="center"/>
            <w:hideMark/>
          </w:tcPr>
          <w:p w14:paraId="5DA8E6A6"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 xml:space="preserve">Počet přijatých / počet přihlášených </w:t>
            </w:r>
          </w:p>
        </w:tc>
        <w:tc>
          <w:tcPr>
            <w:tcW w:w="620" w:type="dxa"/>
            <w:tcBorders>
              <w:right w:val="single" w:sz="12" w:space="0" w:color="auto"/>
            </w:tcBorders>
            <w:shd w:val="clear" w:color="000000" w:fill="C0C0C0"/>
            <w:textDirection w:val="btLr"/>
            <w:vAlign w:val="center"/>
            <w:hideMark/>
          </w:tcPr>
          <w:p w14:paraId="33A54B97"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Úspěšnost uchazečů *</w:t>
            </w:r>
            <w:r w:rsidRPr="00214BA7">
              <w:rPr>
                <w:rFonts w:eastAsia="Times New Roman" w:cstheme="minorHAnsi"/>
                <w:bCs/>
                <w:sz w:val="18"/>
                <w:szCs w:val="18"/>
                <w:vertAlign w:val="superscript"/>
                <w:lang w:eastAsia="cs-CZ"/>
              </w:rPr>
              <w:t>)</w:t>
            </w:r>
          </w:p>
        </w:tc>
        <w:tc>
          <w:tcPr>
            <w:tcW w:w="718" w:type="dxa"/>
            <w:tcBorders>
              <w:left w:val="single" w:sz="12" w:space="0" w:color="auto"/>
            </w:tcBorders>
            <w:shd w:val="clear" w:color="000000" w:fill="C0C0C0"/>
            <w:textDirection w:val="btLr"/>
            <w:vAlign w:val="center"/>
            <w:hideMark/>
          </w:tcPr>
          <w:p w14:paraId="6751BF2A"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 podaných</w:t>
            </w:r>
            <w:r w:rsidRPr="00214BA7">
              <w:rPr>
                <w:rFonts w:eastAsia="Times New Roman" w:cstheme="minorHAnsi"/>
                <w:bCs/>
                <w:sz w:val="18"/>
                <w:szCs w:val="18"/>
                <w:lang w:eastAsia="cs-CZ"/>
              </w:rPr>
              <w:br/>
              <w:t xml:space="preserve"> přihlášek</w:t>
            </w:r>
          </w:p>
        </w:tc>
        <w:tc>
          <w:tcPr>
            <w:tcW w:w="611" w:type="dxa"/>
            <w:shd w:val="clear" w:color="000000" w:fill="C0C0C0"/>
            <w:textDirection w:val="btLr"/>
            <w:vAlign w:val="center"/>
            <w:hideMark/>
          </w:tcPr>
          <w:p w14:paraId="461F89E5"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přihlášených</w:t>
            </w:r>
          </w:p>
        </w:tc>
        <w:tc>
          <w:tcPr>
            <w:tcW w:w="611" w:type="dxa"/>
            <w:shd w:val="clear" w:color="000000" w:fill="C0C0C0"/>
            <w:textDirection w:val="btLr"/>
            <w:vAlign w:val="center"/>
            <w:hideMark/>
          </w:tcPr>
          <w:p w14:paraId="42F9F5A6"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přijatých</w:t>
            </w:r>
          </w:p>
        </w:tc>
        <w:tc>
          <w:tcPr>
            <w:tcW w:w="611" w:type="dxa"/>
            <w:shd w:val="clear" w:color="000000" w:fill="C0C0C0"/>
            <w:textDirection w:val="btLr"/>
            <w:vAlign w:val="center"/>
            <w:hideMark/>
          </w:tcPr>
          <w:p w14:paraId="0A51CAE2"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Počet</w:t>
            </w:r>
            <w:r w:rsidRPr="00214BA7">
              <w:rPr>
                <w:rFonts w:eastAsia="Times New Roman" w:cstheme="minorHAnsi"/>
                <w:bCs/>
                <w:sz w:val="18"/>
                <w:szCs w:val="18"/>
                <w:lang w:eastAsia="cs-CZ"/>
              </w:rPr>
              <w:br/>
              <w:t xml:space="preserve"> zapsaných</w:t>
            </w:r>
          </w:p>
        </w:tc>
        <w:tc>
          <w:tcPr>
            <w:tcW w:w="827" w:type="dxa"/>
            <w:shd w:val="clear" w:color="000000" w:fill="C0C0C0"/>
            <w:textDirection w:val="btLr"/>
            <w:vAlign w:val="center"/>
            <w:hideMark/>
          </w:tcPr>
          <w:p w14:paraId="7EE0F0F4"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 xml:space="preserve">Počet přijatých / počet přihlášených </w:t>
            </w:r>
          </w:p>
        </w:tc>
        <w:tc>
          <w:tcPr>
            <w:tcW w:w="749" w:type="dxa"/>
            <w:tcBorders>
              <w:right w:val="single" w:sz="12" w:space="0" w:color="auto"/>
            </w:tcBorders>
            <w:shd w:val="clear" w:color="000000" w:fill="C0C0C0"/>
            <w:textDirection w:val="btLr"/>
            <w:vAlign w:val="center"/>
            <w:hideMark/>
          </w:tcPr>
          <w:p w14:paraId="1688AAF7" w14:textId="77777777" w:rsidR="00AD5348" w:rsidRPr="00214BA7" w:rsidRDefault="00AD5348" w:rsidP="00E37D33">
            <w:pPr>
              <w:spacing w:before="0"/>
              <w:jc w:val="center"/>
              <w:rPr>
                <w:rFonts w:eastAsia="Times New Roman" w:cstheme="minorHAnsi"/>
                <w:bCs/>
                <w:sz w:val="18"/>
                <w:szCs w:val="18"/>
                <w:lang w:eastAsia="cs-CZ"/>
              </w:rPr>
            </w:pPr>
            <w:r w:rsidRPr="00214BA7">
              <w:rPr>
                <w:rFonts w:eastAsia="Times New Roman" w:cstheme="minorHAnsi"/>
                <w:bCs/>
                <w:sz w:val="18"/>
                <w:szCs w:val="18"/>
                <w:lang w:eastAsia="cs-CZ"/>
              </w:rPr>
              <w:t>Úspěšnost uchazečů *</w:t>
            </w:r>
            <w:r w:rsidRPr="00214BA7">
              <w:rPr>
                <w:rFonts w:eastAsia="Times New Roman" w:cstheme="minorHAnsi"/>
                <w:bCs/>
                <w:sz w:val="18"/>
                <w:szCs w:val="18"/>
                <w:vertAlign w:val="superscript"/>
                <w:lang w:eastAsia="cs-CZ"/>
              </w:rPr>
              <w:t>)</w:t>
            </w:r>
          </w:p>
        </w:tc>
      </w:tr>
      <w:tr w:rsidR="00AD5348" w:rsidRPr="00214BA7" w14:paraId="60A41D16" w14:textId="77777777" w:rsidTr="00E37D33">
        <w:trPr>
          <w:trHeight w:val="262"/>
        </w:trPr>
        <w:tc>
          <w:tcPr>
            <w:tcW w:w="2597" w:type="dxa"/>
            <w:tcBorders>
              <w:left w:val="single" w:sz="12" w:space="0" w:color="auto"/>
              <w:right w:val="single" w:sz="12" w:space="0" w:color="auto"/>
            </w:tcBorders>
            <w:shd w:val="clear" w:color="auto" w:fill="EDEDED" w:themeFill="accent3" w:themeFillTint="33"/>
            <w:noWrap/>
            <w:vAlign w:val="center"/>
            <w:hideMark/>
          </w:tcPr>
          <w:p w14:paraId="4E6D8644" w14:textId="77777777" w:rsidR="00AD5348" w:rsidRPr="00214BA7" w:rsidRDefault="00AD5348" w:rsidP="00E37D33">
            <w:pPr>
              <w:spacing w:before="0"/>
              <w:jc w:val="left"/>
              <w:rPr>
                <w:rFonts w:eastAsia="Times New Roman" w:cstheme="minorHAnsi"/>
                <w:sz w:val="18"/>
                <w:szCs w:val="18"/>
                <w:lang w:eastAsia="cs-CZ"/>
              </w:rPr>
            </w:pPr>
            <w:r w:rsidRPr="00214BA7">
              <w:rPr>
                <w:rFonts w:eastAsia="Times New Roman" w:cstheme="minorHAnsi"/>
                <w:sz w:val="18"/>
                <w:szCs w:val="18"/>
                <w:lang w:eastAsia="cs-CZ"/>
              </w:rPr>
              <w:t>Fakulta technologická  </w:t>
            </w:r>
          </w:p>
        </w:tc>
        <w:tc>
          <w:tcPr>
            <w:tcW w:w="611" w:type="dxa"/>
            <w:tcBorders>
              <w:left w:val="single" w:sz="12" w:space="0" w:color="auto"/>
            </w:tcBorders>
            <w:shd w:val="clear" w:color="auto" w:fill="auto"/>
            <w:noWrap/>
            <w:vAlign w:val="center"/>
            <w:hideMark/>
          </w:tcPr>
          <w:p w14:paraId="5AC4AE80"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1 064</w:t>
            </w:r>
          </w:p>
        </w:tc>
        <w:tc>
          <w:tcPr>
            <w:tcW w:w="611" w:type="dxa"/>
            <w:shd w:val="clear" w:color="auto" w:fill="auto"/>
            <w:noWrap/>
            <w:vAlign w:val="center"/>
            <w:hideMark/>
          </w:tcPr>
          <w:p w14:paraId="46674F7F"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1 035</w:t>
            </w:r>
          </w:p>
        </w:tc>
        <w:tc>
          <w:tcPr>
            <w:tcW w:w="611" w:type="dxa"/>
            <w:shd w:val="clear" w:color="auto" w:fill="auto"/>
            <w:noWrap/>
            <w:vAlign w:val="center"/>
            <w:hideMark/>
          </w:tcPr>
          <w:p w14:paraId="0461A3AA"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920</w:t>
            </w:r>
          </w:p>
        </w:tc>
        <w:tc>
          <w:tcPr>
            <w:tcW w:w="611" w:type="dxa"/>
            <w:shd w:val="clear" w:color="auto" w:fill="auto"/>
            <w:noWrap/>
            <w:vAlign w:val="center"/>
            <w:hideMark/>
          </w:tcPr>
          <w:p w14:paraId="30D07325"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751</w:t>
            </w:r>
          </w:p>
        </w:tc>
        <w:tc>
          <w:tcPr>
            <w:tcW w:w="808" w:type="dxa"/>
            <w:shd w:val="clear" w:color="auto" w:fill="auto"/>
            <w:noWrap/>
            <w:vAlign w:val="center"/>
            <w:hideMark/>
          </w:tcPr>
          <w:p w14:paraId="47DE29BC"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88,9%</w:t>
            </w:r>
          </w:p>
        </w:tc>
        <w:tc>
          <w:tcPr>
            <w:tcW w:w="605" w:type="dxa"/>
            <w:tcBorders>
              <w:right w:val="single" w:sz="12" w:space="0" w:color="auto"/>
            </w:tcBorders>
            <w:shd w:val="clear" w:color="auto" w:fill="auto"/>
            <w:noWrap/>
            <w:vAlign w:val="center"/>
            <w:hideMark/>
          </w:tcPr>
          <w:p w14:paraId="30F3DC3A"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88,9%</w:t>
            </w:r>
          </w:p>
        </w:tc>
        <w:tc>
          <w:tcPr>
            <w:tcW w:w="738" w:type="dxa"/>
            <w:tcBorders>
              <w:left w:val="single" w:sz="12" w:space="0" w:color="auto"/>
            </w:tcBorders>
            <w:shd w:val="clear" w:color="auto" w:fill="auto"/>
            <w:noWrap/>
            <w:vAlign w:val="center"/>
            <w:hideMark/>
          </w:tcPr>
          <w:p w14:paraId="16546920"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1 124</w:t>
            </w:r>
          </w:p>
        </w:tc>
        <w:tc>
          <w:tcPr>
            <w:tcW w:w="611" w:type="dxa"/>
            <w:shd w:val="clear" w:color="auto" w:fill="auto"/>
            <w:noWrap/>
            <w:vAlign w:val="center"/>
            <w:hideMark/>
          </w:tcPr>
          <w:p w14:paraId="3F51B21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1 082</w:t>
            </w:r>
          </w:p>
        </w:tc>
        <w:tc>
          <w:tcPr>
            <w:tcW w:w="611" w:type="dxa"/>
            <w:shd w:val="clear" w:color="auto" w:fill="auto"/>
            <w:noWrap/>
            <w:vAlign w:val="center"/>
            <w:hideMark/>
          </w:tcPr>
          <w:p w14:paraId="3C2AD2EF"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943</w:t>
            </w:r>
          </w:p>
        </w:tc>
        <w:tc>
          <w:tcPr>
            <w:tcW w:w="611" w:type="dxa"/>
            <w:shd w:val="clear" w:color="auto" w:fill="auto"/>
            <w:noWrap/>
            <w:vAlign w:val="center"/>
            <w:hideMark/>
          </w:tcPr>
          <w:p w14:paraId="51EAF0D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785</w:t>
            </w:r>
          </w:p>
        </w:tc>
        <w:tc>
          <w:tcPr>
            <w:tcW w:w="828" w:type="dxa"/>
            <w:shd w:val="clear" w:color="auto" w:fill="auto"/>
            <w:noWrap/>
            <w:vAlign w:val="center"/>
            <w:hideMark/>
          </w:tcPr>
          <w:p w14:paraId="3D26560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87,2%</w:t>
            </w:r>
          </w:p>
        </w:tc>
        <w:tc>
          <w:tcPr>
            <w:tcW w:w="620" w:type="dxa"/>
            <w:tcBorders>
              <w:right w:val="single" w:sz="12" w:space="0" w:color="auto"/>
            </w:tcBorders>
            <w:shd w:val="clear" w:color="auto" w:fill="auto"/>
            <w:noWrap/>
            <w:vAlign w:val="center"/>
            <w:hideMark/>
          </w:tcPr>
          <w:p w14:paraId="02BF0FEE"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87,2%</w:t>
            </w:r>
          </w:p>
        </w:tc>
        <w:tc>
          <w:tcPr>
            <w:tcW w:w="718" w:type="dxa"/>
            <w:tcBorders>
              <w:left w:val="single" w:sz="12" w:space="0" w:color="auto"/>
            </w:tcBorders>
            <w:shd w:val="clear" w:color="auto" w:fill="auto"/>
            <w:noWrap/>
            <w:vAlign w:val="center"/>
            <w:hideMark/>
          </w:tcPr>
          <w:p w14:paraId="76D2D89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1 036</w:t>
            </w:r>
          </w:p>
        </w:tc>
        <w:tc>
          <w:tcPr>
            <w:tcW w:w="611" w:type="dxa"/>
            <w:shd w:val="clear" w:color="auto" w:fill="auto"/>
            <w:noWrap/>
            <w:vAlign w:val="center"/>
            <w:hideMark/>
          </w:tcPr>
          <w:p w14:paraId="11CB8BAC"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1 002</w:t>
            </w:r>
          </w:p>
        </w:tc>
        <w:tc>
          <w:tcPr>
            <w:tcW w:w="611" w:type="dxa"/>
            <w:shd w:val="clear" w:color="auto" w:fill="auto"/>
            <w:noWrap/>
            <w:vAlign w:val="center"/>
            <w:hideMark/>
          </w:tcPr>
          <w:p w14:paraId="48BA113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858</w:t>
            </w:r>
          </w:p>
        </w:tc>
        <w:tc>
          <w:tcPr>
            <w:tcW w:w="611" w:type="dxa"/>
            <w:shd w:val="clear" w:color="auto" w:fill="auto"/>
            <w:noWrap/>
            <w:vAlign w:val="center"/>
            <w:hideMark/>
          </w:tcPr>
          <w:p w14:paraId="25341D2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675</w:t>
            </w:r>
          </w:p>
        </w:tc>
        <w:tc>
          <w:tcPr>
            <w:tcW w:w="827" w:type="dxa"/>
            <w:shd w:val="clear" w:color="auto" w:fill="auto"/>
            <w:noWrap/>
            <w:vAlign w:val="center"/>
            <w:hideMark/>
          </w:tcPr>
          <w:p w14:paraId="5B4EA89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85,6%</w:t>
            </w:r>
          </w:p>
        </w:tc>
        <w:tc>
          <w:tcPr>
            <w:tcW w:w="749" w:type="dxa"/>
            <w:tcBorders>
              <w:right w:val="single" w:sz="12" w:space="0" w:color="auto"/>
            </w:tcBorders>
            <w:shd w:val="clear" w:color="auto" w:fill="auto"/>
            <w:noWrap/>
            <w:vAlign w:val="center"/>
            <w:hideMark/>
          </w:tcPr>
          <w:p w14:paraId="73A6CA1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85,6%</w:t>
            </w:r>
          </w:p>
        </w:tc>
      </w:tr>
      <w:tr w:rsidR="00AD5348" w:rsidRPr="00214BA7" w14:paraId="6C091885" w14:textId="77777777" w:rsidTr="00E37D33">
        <w:trPr>
          <w:trHeight w:val="262"/>
        </w:trPr>
        <w:tc>
          <w:tcPr>
            <w:tcW w:w="2597" w:type="dxa"/>
            <w:tcBorders>
              <w:left w:val="single" w:sz="12" w:space="0" w:color="auto"/>
              <w:right w:val="single" w:sz="12" w:space="0" w:color="auto"/>
            </w:tcBorders>
            <w:shd w:val="clear" w:color="auto" w:fill="EDEDED" w:themeFill="accent3" w:themeFillTint="33"/>
            <w:noWrap/>
            <w:vAlign w:val="center"/>
            <w:hideMark/>
          </w:tcPr>
          <w:p w14:paraId="12FCC683" w14:textId="46B6DCF0" w:rsidR="00AD5348" w:rsidRPr="00214BA7" w:rsidRDefault="00AD5348" w:rsidP="000F101A">
            <w:pPr>
              <w:spacing w:before="0"/>
              <w:jc w:val="left"/>
              <w:rPr>
                <w:rFonts w:eastAsia="Times New Roman" w:cstheme="minorHAnsi"/>
                <w:sz w:val="18"/>
                <w:szCs w:val="18"/>
                <w:lang w:eastAsia="cs-CZ"/>
              </w:rPr>
            </w:pPr>
            <w:r w:rsidRPr="00214BA7">
              <w:rPr>
                <w:rFonts w:eastAsia="Times New Roman" w:cstheme="minorHAnsi"/>
                <w:sz w:val="18"/>
                <w:szCs w:val="18"/>
                <w:lang w:eastAsia="cs-CZ"/>
              </w:rPr>
              <w:t>Fakulta managementu a</w:t>
            </w:r>
            <w:r w:rsidR="000F101A">
              <w:rPr>
                <w:rFonts w:eastAsia="Times New Roman" w:cstheme="minorHAnsi"/>
                <w:sz w:val="18"/>
                <w:szCs w:val="18"/>
                <w:lang w:eastAsia="cs-CZ"/>
              </w:rPr>
              <w:t> </w:t>
            </w:r>
            <w:r w:rsidRPr="00214BA7">
              <w:rPr>
                <w:rFonts w:eastAsia="Times New Roman" w:cstheme="minorHAnsi"/>
                <w:sz w:val="18"/>
                <w:szCs w:val="18"/>
                <w:lang w:eastAsia="cs-CZ"/>
              </w:rPr>
              <w:t>ekonomiky  </w:t>
            </w:r>
          </w:p>
        </w:tc>
        <w:tc>
          <w:tcPr>
            <w:tcW w:w="611" w:type="dxa"/>
            <w:tcBorders>
              <w:left w:val="single" w:sz="12" w:space="0" w:color="auto"/>
            </w:tcBorders>
            <w:shd w:val="clear" w:color="auto" w:fill="auto"/>
            <w:noWrap/>
            <w:vAlign w:val="center"/>
            <w:hideMark/>
          </w:tcPr>
          <w:p w14:paraId="06584A30"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1 490</w:t>
            </w:r>
          </w:p>
        </w:tc>
        <w:tc>
          <w:tcPr>
            <w:tcW w:w="611" w:type="dxa"/>
            <w:shd w:val="clear" w:color="auto" w:fill="auto"/>
            <w:noWrap/>
            <w:vAlign w:val="center"/>
            <w:hideMark/>
          </w:tcPr>
          <w:p w14:paraId="0422C89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1 205</w:t>
            </w:r>
          </w:p>
        </w:tc>
        <w:tc>
          <w:tcPr>
            <w:tcW w:w="611" w:type="dxa"/>
            <w:shd w:val="clear" w:color="auto" w:fill="auto"/>
            <w:noWrap/>
            <w:vAlign w:val="center"/>
            <w:hideMark/>
          </w:tcPr>
          <w:p w14:paraId="45750DD6"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521</w:t>
            </w:r>
          </w:p>
        </w:tc>
        <w:tc>
          <w:tcPr>
            <w:tcW w:w="611" w:type="dxa"/>
            <w:shd w:val="clear" w:color="auto" w:fill="auto"/>
            <w:noWrap/>
            <w:vAlign w:val="center"/>
            <w:hideMark/>
          </w:tcPr>
          <w:p w14:paraId="36A09632"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503</w:t>
            </w:r>
          </w:p>
        </w:tc>
        <w:tc>
          <w:tcPr>
            <w:tcW w:w="808" w:type="dxa"/>
            <w:shd w:val="clear" w:color="auto" w:fill="auto"/>
            <w:noWrap/>
            <w:vAlign w:val="center"/>
            <w:hideMark/>
          </w:tcPr>
          <w:p w14:paraId="49AED2A2"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43,2%</w:t>
            </w:r>
          </w:p>
        </w:tc>
        <w:tc>
          <w:tcPr>
            <w:tcW w:w="605" w:type="dxa"/>
            <w:tcBorders>
              <w:right w:val="single" w:sz="12" w:space="0" w:color="auto"/>
            </w:tcBorders>
            <w:shd w:val="clear" w:color="auto" w:fill="auto"/>
            <w:noWrap/>
            <w:vAlign w:val="center"/>
            <w:hideMark/>
          </w:tcPr>
          <w:p w14:paraId="52D35BDB"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49,1%</w:t>
            </w:r>
          </w:p>
        </w:tc>
        <w:tc>
          <w:tcPr>
            <w:tcW w:w="738" w:type="dxa"/>
            <w:tcBorders>
              <w:left w:val="single" w:sz="12" w:space="0" w:color="auto"/>
            </w:tcBorders>
            <w:shd w:val="clear" w:color="auto" w:fill="auto"/>
            <w:noWrap/>
            <w:vAlign w:val="center"/>
            <w:hideMark/>
          </w:tcPr>
          <w:p w14:paraId="1177B395"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1 269</w:t>
            </w:r>
          </w:p>
        </w:tc>
        <w:tc>
          <w:tcPr>
            <w:tcW w:w="611" w:type="dxa"/>
            <w:shd w:val="clear" w:color="auto" w:fill="auto"/>
            <w:noWrap/>
            <w:vAlign w:val="center"/>
            <w:hideMark/>
          </w:tcPr>
          <w:p w14:paraId="3831187F"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1 034</w:t>
            </w:r>
          </w:p>
        </w:tc>
        <w:tc>
          <w:tcPr>
            <w:tcW w:w="611" w:type="dxa"/>
            <w:shd w:val="clear" w:color="auto" w:fill="auto"/>
            <w:noWrap/>
            <w:vAlign w:val="center"/>
            <w:hideMark/>
          </w:tcPr>
          <w:p w14:paraId="4E8590E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439</w:t>
            </w:r>
          </w:p>
        </w:tc>
        <w:tc>
          <w:tcPr>
            <w:tcW w:w="611" w:type="dxa"/>
            <w:shd w:val="clear" w:color="auto" w:fill="auto"/>
            <w:noWrap/>
            <w:vAlign w:val="center"/>
            <w:hideMark/>
          </w:tcPr>
          <w:p w14:paraId="75150D23"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421</w:t>
            </w:r>
          </w:p>
        </w:tc>
        <w:tc>
          <w:tcPr>
            <w:tcW w:w="828" w:type="dxa"/>
            <w:shd w:val="clear" w:color="auto" w:fill="auto"/>
            <w:noWrap/>
            <w:vAlign w:val="center"/>
            <w:hideMark/>
          </w:tcPr>
          <w:p w14:paraId="43A5F765"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42,5%</w:t>
            </w:r>
          </w:p>
        </w:tc>
        <w:tc>
          <w:tcPr>
            <w:tcW w:w="620" w:type="dxa"/>
            <w:tcBorders>
              <w:right w:val="single" w:sz="12" w:space="0" w:color="auto"/>
            </w:tcBorders>
            <w:shd w:val="clear" w:color="auto" w:fill="auto"/>
            <w:noWrap/>
            <w:vAlign w:val="center"/>
            <w:hideMark/>
          </w:tcPr>
          <w:p w14:paraId="5110A4F3"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48,7%</w:t>
            </w:r>
          </w:p>
        </w:tc>
        <w:tc>
          <w:tcPr>
            <w:tcW w:w="718" w:type="dxa"/>
            <w:tcBorders>
              <w:left w:val="single" w:sz="12" w:space="0" w:color="auto"/>
            </w:tcBorders>
            <w:shd w:val="clear" w:color="auto" w:fill="auto"/>
            <w:noWrap/>
            <w:vAlign w:val="center"/>
            <w:hideMark/>
          </w:tcPr>
          <w:p w14:paraId="0694CE28"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1 224</w:t>
            </w:r>
          </w:p>
        </w:tc>
        <w:tc>
          <w:tcPr>
            <w:tcW w:w="611" w:type="dxa"/>
            <w:shd w:val="clear" w:color="auto" w:fill="auto"/>
            <w:noWrap/>
            <w:vAlign w:val="center"/>
            <w:hideMark/>
          </w:tcPr>
          <w:p w14:paraId="15B579C6"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986</w:t>
            </w:r>
          </w:p>
        </w:tc>
        <w:tc>
          <w:tcPr>
            <w:tcW w:w="611" w:type="dxa"/>
            <w:shd w:val="clear" w:color="auto" w:fill="auto"/>
            <w:noWrap/>
            <w:vAlign w:val="center"/>
            <w:hideMark/>
          </w:tcPr>
          <w:p w14:paraId="6E0D5EF8"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478</w:t>
            </w:r>
          </w:p>
        </w:tc>
        <w:tc>
          <w:tcPr>
            <w:tcW w:w="611" w:type="dxa"/>
            <w:shd w:val="clear" w:color="auto" w:fill="auto"/>
            <w:noWrap/>
            <w:vAlign w:val="center"/>
            <w:hideMark/>
          </w:tcPr>
          <w:p w14:paraId="1201393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449</w:t>
            </w:r>
          </w:p>
        </w:tc>
        <w:tc>
          <w:tcPr>
            <w:tcW w:w="827" w:type="dxa"/>
            <w:shd w:val="clear" w:color="auto" w:fill="auto"/>
            <w:noWrap/>
            <w:vAlign w:val="center"/>
            <w:hideMark/>
          </w:tcPr>
          <w:p w14:paraId="53FCED30"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48,5%</w:t>
            </w:r>
          </w:p>
        </w:tc>
        <w:tc>
          <w:tcPr>
            <w:tcW w:w="749" w:type="dxa"/>
            <w:tcBorders>
              <w:right w:val="single" w:sz="12" w:space="0" w:color="auto"/>
            </w:tcBorders>
            <w:shd w:val="clear" w:color="auto" w:fill="auto"/>
            <w:noWrap/>
            <w:vAlign w:val="center"/>
            <w:hideMark/>
          </w:tcPr>
          <w:p w14:paraId="29242E18"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52,1%</w:t>
            </w:r>
          </w:p>
        </w:tc>
      </w:tr>
      <w:tr w:rsidR="00AD5348" w:rsidRPr="00214BA7" w14:paraId="043747B8" w14:textId="77777777" w:rsidTr="00E37D33">
        <w:trPr>
          <w:trHeight w:val="262"/>
        </w:trPr>
        <w:tc>
          <w:tcPr>
            <w:tcW w:w="2597" w:type="dxa"/>
            <w:tcBorders>
              <w:left w:val="single" w:sz="12" w:space="0" w:color="auto"/>
              <w:right w:val="single" w:sz="12" w:space="0" w:color="auto"/>
            </w:tcBorders>
            <w:shd w:val="clear" w:color="auto" w:fill="EDEDED" w:themeFill="accent3" w:themeFillTint="33"/>
            <w:noWrap/>
            <w:vAlign w:val="center"/>
            <w:hideMark/>
          </w:tcPr>
          <w:p w14:paraId="33FEA34C" w14:textId="77777777" w:rsidR="00AD5348" w:rsidRPr="00214BA7" w:rsidRDefault="00AD5348" w:rsidP="00E37D33">
            <w:pPr>
              <w:spacing w:before="0"/>
              <w:jc w:val="left"/>
              <w:rPr>
                <w:rFonts w:eastAsia="Times New Roman" w:cstheme="minorHAnsi"/>
                <w:sz w:val="18"/>
                <w:szCs w:val="18"/>
                <w:lang w:eastAsia="cs-CZ"/>
              </w:rPr>
            </w:pPr>
            <w:r w:rsidRPr="00214BA7">
              <w:rPr>
                <w:rFonts w:eastAsia="Times New Roman" w:cstheme="minorHAnsi"/>
                <w:sz w:val="18"/>
                <w:szCs w:val="18"/>
                <w:lang w:eastAsia="cs-CZ"/>
              </w:rPr>
              <w:t>Fakulta multimediálních komunikací  </w:t>
            </w:r>
          </w:p>
        </w:tc>
        <w:tc>
          <w:tcPr>
            <w:tcW w:w="611" w:type="dxa"/>
            <w:tcBorders>
              <w:left w:val="single" w:sz="12" w:space="0" w:color="auto"/>
            </w:tcBorders>
            <w:shd w:val="clear" w:color="auto" w:fill="auto"/>
            <w:noWrap/>
            <w:vAlign w:val="center"/>
            <w:hideMark/>
          </w:tcPr>
          <w:p w14:paraId="4ACB738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1 075</w:t>
            </w:r>
          </w:p>
        </w:tc>
        <w:tc>
          <w:tcPr>
            <w:tcW w:w="611" w:type="dxa"/>
            <w:shd w:val="clear" w:color="auto" w:fill="auto"/>
            <w:noWrap/>
            <w:vAlign w:val="center"/>
            <w:hideMark/>
          </w:tcPr>
          <w:p w14:paraId="7A1CB2FF"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1 047</w:t>
            </w:r>
          </w:p>
        </w:tc>
        <w:tc>
          <w:tcPr>
            <w:tcW w:w="611" w:type="dxa"/>
            <w:shd w:val="clear" w:color="auto" w:fill="auto"/>
            <w:noWrap/>
            <w:vAlign w:val="center"/>
            <w:hideMark/>
          </w:tcPr>
          <w:p w14:paraId="3A0BEB7B"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156</w:t>
            </w:r>
          </w:p>
        </w:tc>
        <w:tc>
          <w:tcPr>
            <w:tcW w:w="611" w:type="dxa"/>
            <w:shd w:val="clear" w:color="auto" w:fill="auto"/>
            <w:noWrap/>
            <w:vAlign w:val="center"/>
            <w:hideMark/>
          </w:tcPr>
          <w:p w14:paraId="7655977C"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154</w:t>
            </w:r>
          </w:p>
        </w:tc>
        <w:tc>
          <w:tcPr>
            <w:tcW w:w="808" w:type="dxa"/>
            <w:shd w:val="clear" w:color="auto" w:fill="auto"/>
            <w:noWrap/>
            <w:vAlign w:val="center"/>
            <w:hideMark/>
          </w:tcPr>
          <w:p w14:paraId="4CA16D0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14,9%</w:t>
            </w:r>
          </w:p>
        </w:tc>
        <w:tc>
          <w:tcPr>
            <w:tcW w:w="605" w:type="dxa"/>
            <w:tcBorders>
              <w:right w:val="single" w:sz="12" w:space="0" w:color="auto"/>
            </w:tcBorders>
            <w:shd w:val="clear" w:color="auto" w:fill="auto"/>
            <w:noWrap/>
            <w:vAlign w:val="center"/>
            <w:hideMark/>
          </w:tcPr>
          <w:p w14:paraId="67E07E7B"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18,3%</w:t>
            </w:r>
          </w:p>
        </w:tc>
        <w:tc>
          <w:tcPr>
            <w:tcW w:w="738" w:type="dxa"/>
            <w:tcBorders>
              <w:left w:val="single" w:sz="12" w:space="0" w:color="auto"/>
            </w:tcBorders>
            <w:shd w:val="clear" w:color="auto" w:fill="auto"/>
            <w:noWrap/>
            <w:vAlign w:val="center"/>
            <w:hideMark/>
          </w:tcPr>
          <w:p w14:paraId="2A6125D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1 011</w:t>
            </w:r>
          </w:p>
        </w:tc>
        <w:tc>
          <w:tcPr>
            <w:tcW w:w="611" w:type="dxa"/>
            <w:shd w:val="clear" w:color="auto" w:fill="auto"/>
            <w:noWrap/>
            <w:vAlign w:val="center"/>
            <w:hideMark/>
          </w:tcPr>
          <w:p w14:paraId="6BF4F42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987</w:t>
            </w:r>
          </w:p>
        </w:tc>
        <w:tc>
          <w:tcPr>
            <w:tcW w:w="611" w:type="dxa"/>
            <w:shd w:val="clear" w:color="auto" w:fill="auto"/>
            <w:noWrap/>
            <w:vAlign w:val="center"/>
            <w:hideMark/>
          </w:tcPr>
          <w:p w14:paraId="2F468615"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173</w:t>
            </w:r>
          </w:p>
        </w:tc>
        <w:tc>
          <w:tcPr>
            <w:tcW w:w="611" w:type="dxa"/>
            <w:shd w:val="clear" w:color="auto" w:fill="auto"/>
            <w:noWrap/>
            <w:vAlign w:val="center"/>
            <w:hideMark/>
          </w:tcPr>
          <w:p w14:paraId="3F92A34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173</w:t>
            </w:r>
          </w:p>
        </w:tc>
        <w:tc>
          <w:tcPr>
            <w:tcW w:w="828" w:type="dxa"/>
            <w:shd w:val="clear" w:color="auto" w:fill="auto"/>
            <w:noWrap/>
            <w:vAlign w:val="center"/>
            <w:hideMark/>
          </w:tcPr>
          <w:p w14:paraId="778EB7DA"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17,5%</w:t>
            </w:r>
          </w:p>
        </w:tc>
        <w:tc>
          <w:tcPr>
            <w:tcW w:w="620" w:type="dxa"/>
            <w:tcBorders>
              <w:right w:val="single" w:sz="12" w:space="0" w:color="auto"/>
            </w:tcBorders>
            <w:shd w:val="clear" w:color="auto" w:fill="auto"/>
            <w:noWrap/>
            <w:vAlign w:val="center"/>
            <w:hideMark/>
          </w:tcPr>
          <w:p w14:paraId="393016F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21,6%</w:t>
            </w:r>
          </w:p>
        </w:tc>
        <w:tc>
          <w:tcPr>
            <w:tcW w:w="718" w:type="dxa"/>
            <w:tcBorders>
              <w:left w:val="single" w:sz="12" w:space="0" w:color="auto"/>
            </w:tcBorders>
            <w:shd w:val="clear" w:color="auto" w:fill="auto"/>
            <w:noWrap/>
            <w:vAlign w:val="center"/>
            <w:hideMark/>
          </w:tcPr>
          <w:p w14:paraId="04EDC372"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970</w:t>
            </w:r>
          </w:p>
        </w:tc>
        <w:tc>
          <w:tcPr>
            <w:tcW w:w="611" w:type="dxa"/>
            <w:shd w:val="clear" w:color="auto" w:fill="auto"/>
            <w:noWrap/>
            <w:vAlign w:val="center"/>
            <w:hideMark/>
          </w:tcPr>
          <w:p w14:paraId="306FAB5B"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948</w:t>
            </w:r>
          </w:p>
        </w:tc>
        <w:tc>
          <w:tcPr>
            <w:tcW w:w="611" w:type="dxa"/>
            <w:shd w:val="clear" w:color="auto" w:fill="auto"/>
            <w:noWrap/>
            <w:vAlign w:val="center"/>
            <w:hideMark/>
          </w:tcPr>
          <w:p w14:paraId="470D8BB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197</w:t>
            </w:r>
          </w:p>
        </w:tc>
        <w:tc>
          <w:tcPr>
            <w:tcW w:w="611" w:type="dxa"/>
            <w:shd w:val="clear" w:color="auto" w:fill="auto"/>
            <w:noWrap/>
            <w:vAlign w:val="center"/>
            <w:hideMark/>
          </w:tcPr>
          <w:p w14:paraId="6DB5B42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196</w:t>
            </w:r>
          </w:p>
        </w:tc>
        <w:tc>
          <w:tcPr>
            <w:tcW w:w="827" w:type="dxa"/>
            <w:shd w:val="clear" w:color="auto" w:fill="auto"/>
            <w:noWrap/>
            <w:vAlign w:val="center"/>
            <w:hideMark/>
          </w:tcPr>
          <w:p w14:paraId="6ECD6A13"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20,8%</w:t>
            </w:r>
          </w:p>
        </w:tc>
        <w:tc>
          <w:tcPr>
            <w:tcW w:w="749" w:type="dxa"/>
            <w:tcBorders>
              <w:right w:val="single" w:sz="12" w:space="0" w:color="auto"/>
            </w:tcBorders>
            <w:shd w:val="clear" w:color="auto" w:fill="auto"/>
            <w:noWrap/>
            <w:vAlign w:val="center"/>
            <w:hideMark/>
          </w:tcPr>
          <w:p w14:paraId="596B4B5E"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25,5%</w:t>
            </w:r>
          </w:p>
        </w:tc>
      </w:tr>
      <w:tr w:rsidR="00AD5348" w:rsidRPr="00214BA7" w14:paraId="4C83B317" w14:textId="77777777" w:rsidTr="00E37D33">
        <w:trPr>
          <w:trHeight w:val="262"/>
        </w:trPr>
        <w:tc>
          <w:tcPr>
            <w:tcW w:w="2597" w:type="dxa"/>
            <w:tcBorders>
              <w:left w:val="single" w:sz="12" w:space="0" w:color="auto"/>
              <w:right w:val="single" w:sz="12" w:space="0" w:color="auto"/>
            </w:tcBorders>
            <w:shd w:val="clear" w:color="auto" w:fill="EDEDED" w:themeFill="accent3" w:themeFillTint="33"/>
            <w:noWrap/>
            <w:vAlign w:val="center"/>
            <w:hideMark/>
          </w:tcPr>
          <w:p w14:paraId="57C706E7" w14:textId="77777777" w:rsidR="00AD5348" w:rsidRPr="00214BA7" w:rsidRDefault="00AD5348" w:rsidP="00E37D33">
            <w:pPr>
              <w:spacing w:before="0"/>
              <w:jc w:val="left"/>
              <w:rPr>
                <w:rFonts w:eastAsia="Times New Roman" w:cstheme="minorHAnsi"/>
                <w:sz w:val="18"/>
                <w:szCs w:val="18"/>
                <w:lang w:eastAsia="cs-CZ"/>
              </w:rPr>
            </w:pPr>
            <w:r w:rsidRPr="00214BA7">
              <w:rPr>
                <w:rFonts w:eastAsia="Times New Roman" w:cstheme="minorHAnsi"/>
                <w:sz w:val="18"/>
                <w:szCs w:val="18"/>
                <w:lang w:eastAsia="cs-CZ"/>
              </w:rPr>
              <w:t>Fakulta aplikované informatiky  </w:t>
            </w:r>
          </w:p>
        </w:tc>
        <w:tc>
          <w:tcPr>
            <w:tcW w:w="611" w:type="dxa"/>
            <w:tcBorders>
              <w:left w:val="single" w:sz="12" w:space="0" w:color="auto"/>
            </w:tcBorders>
            <w:shd w:val="clear" w:color="auto" w:fill="auto"/>
            <w:noWrap/>
            <w:vAlign w:val="center"/>
            <w:hideMark/>
          </w:tcPr>
          <w:p w14:paraId="0960BA7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916</w:t>
            </w:r>
          </w:p>
        </w:tc>
        <w:tc>
          <w:tcPr>
            <w:tcW w:w="611" w:type="dxa"/>
            <w:shd w:val="clear" w:color="auto" w:fill="auto"/>
            <w:noWrap/>
            <w:vAlign w:val="center"/>
            <w:hideMark/>
          </w:tcPr>
          <w:p w14:paraId="5EDD317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803</w:t>
            </w:r>
          </w:p>
        </w:tc>
        <w:tc>
          <w:tcPr>
            <w:tcW w:w="611" w:type="dxa"/>
            <w:shd w:val="clear" w:color="auto" w:fill="auto"/>
            <w:noWrap/>
            <w:vAlign w:val="center"/>
            <w:hideMark/>
          </w:tcPr>
          <w:p w14:paraId="66BF160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542</w:t>
            </w:r>
          </w:p>
        </w:tc>
        <w:tc>
          <w:tcPr>
            <w:tcW w:w="611" w:type="dxa"/>
            <w:shd w:val="clear" w:color="auto" w:fill="auto"/>
            <w:noWrap/>
            <w:vAlign w:val="center"/>
            <w:hideMark/>
          </w:tcPr>
          <w:p w14:paraId="4BBC805A"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475</w:t>
            </w:r>
          </w:p>
        </w:tc>
        <w:tc>
          <w:tcPr>
            <w:tcW w:w="808" w:type="dxa"/>
            <w:shd w:val="clear" w:color="auto" w:fill="auto"/>
            <w:noWrap/>
            <w:vAlign w:val="center"/>
            <w:hideMark/>
          </w:tcPr>
          <w:p w14:paraId="1994E1E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67,5%</w:t>
            </w:r>
          </w:p>
        </w:tc>
        <w:tc>
          <w:tcPr>
            <w:tcW w:w="605" w:type="dxa"/>
            <w:tcBorders>
              <w:right w:val="single" w:sz="12" w:space="0" w:color="auto"/>
            </w:tcBorders>
            <w:shd w:val="clear" w:color="auto" w:fill="auto"/>
            <w:noWrap/>
            <w:vAlign w:val="center"/>
            <w:hideMark/>
          </w:tcPr>
          <w:p w14:paraId="7FAC03C8"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70,8%</w:t>
            </w:r>
          </w:p>
        </w:tc>
        <w:tc>
          <w:tcPr>
            <w:tcW w:w="738" w:type="dxa"/>
            <w:tcBorders>
              <w:left w:val="single" w:sz="12" w:space="0" w:color="auto"/>
            </w:tcBorders>
            <w:shd w:val="clear" w:color="auto" w:fill="auto"/>
            <w:noWrap/>
            <w:vAlign w:val="center"/>
            <w:hideMark/>
          </w:tcPr>
          <w:p w14:paraId="051A02D3"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704</w:t>
            </w:r>
          </w:p>
        </w:tc>
        <w:tc>
          <w:tcPr>
            <w:tcW w:w="611" w:type="dxa"/>
            <w:shd w:val="clear" w:color="auto" w:fill="auto"/>
            <w:noWrap/>
            <w:vAlign w:val="center"/>
            <w:hideMark/>
          </w:tcPr>
          <w:p w14:paraId="51EB132C"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636</w:t>
            </w:r>
          </w:p>
        </w:tc>
        <w:tc>
          <w:tcPr>
            <w:tcW w:w="611" w:type="dxa"/>
            <w:shd w:val="clear" w:color="auto" w:fill="auto"/>
            <w:noWrap/>
            <w:vAlign w:val="center"/>
            <w:hideMark/>
          </w:tcPr>
          <w:p w14:paraId="424B538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440</w:t>
            </w:r>
          </w:p>
        </w:tc>
        <w:tc>
          <w:tcPr>
            <w:tcW w:w="611" w:type="dxa"/>
            <w:shd w:val="clear" w:color="auto" w:fill="auto"/>
            <w:noWrap/>
            <w:vAlign w:val="center"/>
            <w:hideMark/>
          </w:tcPr>
          <w:p w14:paraId="5ECF518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385</w:t>
            </w:r>
          </w:p>
        </w:tc>
        <w:tc>
          <w:tcPr>
            <w:tcW w:w="828" w:type="dxa"/>
            <w:shd w:val="clear" w:color="auto" w:fill="auto"/>
            <w:noWrap/>
            <w:vAlign w:val="center"/>
            <w:hideMark/>
          </w:tcPr>
          <w:p w14:paraId="5276B34E"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69,2%</w:t>
            </w:r>
          </w:p>
        </w:tc>
        <w:tc>
          <w:tcPr>
            <w:tcW w:w="620" w:type="dxa"/>
            <w:tcBorders>
              <w:right w:val="single" w:sz="12" w:space="0" w:color="auto"/>
            </w:tcBorders>
            <w:shd w:val="clear" w:color="auto" w:fill="auto"/>
            <w:noWrap/>
            <w:vAlign w:val="center"/>
            <w:hideMark/>
          </w:tcPr>
          <w:p w14:paraId="2EC9915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88,4%</w:t>
            </w:r>
          </w:p>
        </w:tc>
        <w:tc>
          <w:tcPr>
            <w:tcW w:w="718" w:type="dxa"/>
            <w:tcBorders>
              <w:left w:val="single" w:sz="12" w:space="0" w:color="auto"/>
            </w:tcBorders>
            <w:shd w:val="clear" w:color="auto" w:fill="auto"/>
            <w:noWrap/>
            <w:vAlign w:val="center"/>
            <w:hideMark/>
          </w:tcPr>
          <w:p w14:paraId="05D8FCC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657</w:t>
            </w:r>
          </w:p>
        </w:tc>
        <w:tc>
          <w:tcPr>
            <w:tcW w:w="611" w:type="dxa"/>
            <w:shd w:val="clear" w:color="auto" w:fill="auto"/>
            <w:noWrap/>
            <w:vAlign w:val="center"/>
            <w:hideMark/>
          </w:tcPr>
          <w:p w14:paraId="706595FC"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567</w:t>
            </w:r>
          </w:p>
        </w:tc>
        <w:tc>
          <w:tcPr>
            <w:tcW w:w="611" w:type="dxa"/>
            <w:shd w:val="clear" w:color="auto" w:fill="auto"/>
            <w:noWrap/>
            <w:vAlign w:val="center"/>
            <w:hideMark/>
          </w:tcPr>
          <w:p w14:paraId="0437D9E3"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401</w:t>
            </w:r>
          </w:p>
        </w:tc>
        <w:tc>
          <w:tcPr>
            <w:tcW w:w="611" w:type="dxa"/>
            <w:shd w:val="clear" w:color="auto" w:fill="auto"/>
            <w:noWrap/>
            <w:vAlign w:val="center"/>
            <w:hideMark/>
          </w:tcPr>
          <w:p w14:paraId="6DAE9E52"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350</w:t>
            </w:r>
          </w:p>
        </w:tc>
        <w:tc>
          <w:tcPr>
            <w:tcW w:w="827" w:type="dxa"/>
            <w:shd w:val="clear" w:color="auto" w:fill="auto"/>
            <w:noWrap/>
            <w:vAlign w:val="center"/>
            <w:hideMark/>
          </w:tcPr>
          <w:p w14:paraId="5EFCAD38"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70,7%</w:t>
            </w:r>
          </w:p>
        </w:tc>
        <w:tc>
          <w:tcPr>
            <w:tcW w:w="749" w:type="dxa"/>
            <w:tcBorders>
              <w:right w:val="single" w:sz="12" w:space="0" w:color="auto"/>
            </w:tcBorders>
            <w:shd w:val="clear" w:color="auto" w:fill="auto"/>
            <w:noWrap/>
            <w:vAlign w:val="center"/>
            <w:hideMark/>
          </w:tcPr>
          <w:p w14:paraId="1E8E19E2"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90,3%</w:t>
            </w:r>
          </w:p>
        </w:tc>
      </w:tr>
      <w:tr w:rsidR="00AD5348" w:rsidRPr="00214BA7" w14:paraId="449E3DC8" w14:textId="77777777" w:rsidTr="00E37D33">
        <w:trPr>
          <w:trHeight w:val="262"/>
        </w:trPr>
        <w:tc>
          <w:tcPr>
            <w:tcW w:w="2597" w:type="dxa"/>
            <w:tcBorders>
              <w:left w:val="single" w:sz="12" w:space="0" w:color="auto"/>
              <w:right w:val="single" w:sz="12" w:space="0" w:color="auto"/>
            </w:tcBorders>
            <w:shd w:val="clear" w:color="auto" w:fill="EDEDED" w:themeFill="accent3" w:themeFillTint="33"/>
            <w:noWrap/>
            <w:vAlign w:val="center"/>
            <w:hideMark/>
          </w:tcPr>
          <w:p w14:paraId="737A57D6" w14:textId="77777777" w:rsidR="00AD5348" w:rsidRPr="00214BA7" w:rsidRDefault="00AD5348" w:rsidP="00E37D33">
            <w:pPr>
              <w:spacing w:before="0"/>
              <w:jc w:val="left"/>
              <w:rPr>
                <w:rFonts w:eastAsia="Times New Roman" w:cstheme="minorHAnsi"/>
                <w:sz w:val="18"/>
                <w:szCs w:val="18"/>
                <w:lang w:eastAsia="cs-CZ"/>
              </w:rPr>
            </w:pPr>
            <w:r w:rsidRPr="00214BA7">
              <w:rPr>
                <w:rFonts w:eastAsia="Times New Roman" w:cstheme="minorHAnsi"/>
                <w:sz w:val="18"/>
                <w:szCs w:val="18"/>
                <w:lang w:eastAsia="cs-CZ"/>
              </w:rPr>
              <w:t>Fakulta humanitních studií  </w:t>
            </w:r>
          </w:p>
        </w:tc>
        <w:tc>
          <w:tcPr>
            <w:tcW w:w="611" w:type="dxa"/>
            <w:tcBorders>
              <w:left w:val="single" w:sz="12" w:space="0" w:color="auto"/>
            </w:tcBorders>
            <w:shd w:val="clear" w:color="auto" w:fill="auto"/>
            <w:noWrap/>
            <w:vAlign w:val="center"/>
            <w:hideMark/>
          </w:tcPr>
          <w:p w14:paraId="3788AED2"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2 273</w:t>
            </w:r>
          </w:p>
        </w:tc>
        <w:tc>
          <w:tcPr>
            <w:tcW w:w="611" w:type="dxa"/>
            <w:shd w:val="clear" w:color="auto" w:fill="auto"/>
            <w:noWrap/>
            <w:vAlign w:val="center"/>
            <w:hideMark/>
          </w:tcPr>
          <w:p w14:paraId="11A76E5B"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1 910</w:t>
            </w:r>
          </w:p>
        </w:tc>
        <w:tc>
          <w:tcPr>
            <w:tcW w:w="611" w:type="dxa"/>
            <w:shd w:val="clear" w:color="auto" w:fill="auto"/>
            <w:noWrap/>
            <w:vAlign w:val="center"/>
            <w:hideMark/>
          </w:tcPr>
          <w:p w14:paraId="5F415826"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750</w:t>
            </w:r>
          </w:p>
        </w:tc>
        <w:tc>
          <w:tcPr>
            <w:tcW w:w="611" w:type="dxa"/>
            <w:shd w:val="clear" w:color="auto" w:fill="auto"/>
            <w:noWrap/>
            <w:vAlign w:val="center"/>
            <w:hideMark/>
          </w:tcPr>
          <w:p w14:paraId="68DF8165"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690</w:t>
            </w:r>
          </w:p>
        </w:tc>
        <w:tc>
          <w:tcPr>
            <w:tcW w:w="808" w:type="dxa"/>
            <w:shd w:val="clear" w:color="auto" w:fill="auto"/>
            <w:noWrap/>
            <w:vAlign w:val="center"/>
            <w:hideMark/>
          </w:tcPr>
          <w:p w14:paraId="6173E67E"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39,3%</w:t>
            </w:r>
          </w:p>
        </w:tc>
        <w:tc>
          <w:tcPr>
            <w:tcW w:w="605" w:type="dxa"/>
            <w:tcBorders>
              <w:right w:val="single" w:sz="12" w:space="0" w:color="auto"/>
            </w:tcBorders>
            <w:shd w:val="clear" w:color="auto" w:fill="auto"/>
            <w:noWrap/>
            <w:vAlign w:val="center"/>
            <w:hideMark/>
          </w:tcPr>
          <w:p w14:paraId="365E51B5"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39,3%</w:t>
            </w:r>
          </w:p>
        </w:tc>
        <w:tc>
          <w:tcPr>
            <w:tcW w:w="738" w:type="dxa"/>
            <w:tcBorders>
              <w:left w:val="single" w:sz="12" w:space="0" w:color="auto"/>
            </w:tcBorders>
            <w:shd w:val="clear" w:color="auto" w:fill="auto"/>
            <w:noWrap/>
            <w:vAlign w:val="center"/>
            <w:hideMark/>
          </w:tcPr>
          <w:p w14:paraId="5B714FB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2 168</w:t>
            </w:r>
          </w:p>
        </w:tc>
        <w:tc>
          <w:tcPr>
            <w:tcW w:w="611" w:type="dxa"/>
            <w:shd w:val="clear" w:color="auto" w:fill="auto"/>
            <w:noWrap/>
            <w:vAlign w:val="center"/>
            <w:hideMark/>
          </w:tcPr>
          <w:p w14:paraId="250CEE56"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1 801</w:t>
            </w:r>
          </w:p>
        </w:tc>
        <w:tc>
          <w:tcPr>
            <w:tcW w:w="611" w:type="dxa"/>
            <w:shd w:val="clear" w:color="auto" w:fill="auto"/>
            <w:noWrap/>
            <w:vAlign w:val="center"/>
            <w:hideMark/>
          </w:tcPr>
          <w:p w14:paraId="7C202990"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727</w:t>
            </w:r>
          </w:p>
        </w:tc>
        <w:tc>
          <w:tcPr>
            <w:tcW w:w="611" w:type="dxa"/>
            <w:shd w:val="clear" w:color="auto" w:fill="auto"/>
            <w:noWrap/>
            <w:vAlign w:val="center"/>
            <w:hideMark/>
          </w:tcPr>
          <w:p w14:paraId="78E76EB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657</w:t>
            </w:r>
          </w:p>
        </w:tc>
        <w:tc>
          <w:tcPr>
            <w:tcW w:w="828" w:type="dxa"/>
            <w:shd w:val="clear" w:color="auto" w:fill="auto"/>
            <w:noWrap/>
            <w:vAlign w:val="center"/>
            <w:hideMark/>
          </w:tcPr>
          <w:p w14:paraId="618FA152"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40,4%</w:t>
            </w:r>
          </w:p>
        </w:tc>
        <w:tc>
          <w:tcPr>
            <w:tcW w:w="620" w:type="dxa"/>
            <w:tcBorders>
              <w:right w:val="single" w:sz="12" w:space="0" w:color="auto"/>
            </w:tcBorders>
            <w:shd w:val="clear" w:color="auto" w:fill="auto"/>
            <w:noWrap/>
            <w:vAlign w:val="center"/>
            <w:hideMark/>
          </w:tcPr>
          <w:p w14:paraId="5E2CB93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40,4%</w:t>
            </w:r>
          </w:p>
        </w:tc>
        <w:tc>
          <w:tcPr>
            <w:tcW w:w="718" w:type="dxa"/>
            <w:tcBorders>
              <w:left w:val="single" w:sz="12" w:space="0" w:color="auto"/>
            </w:tcBorders>
            <w:shd w:val="clear" w:color="auto" w:fill="auto"/>
            <w:noWrap/>
            <w:vAlign w:val="center"/>
            <w:hideMark/>
          </w:tcPr>
          <w:p w14:paraId="74C9E7B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1 915</w:t>
            </w:r>
          </w:p>
        </w:tc>
        <w:tc>
          <w:tcPr>
            <w:tcW w:w="611" w:type="dxa"/>
            <w:shd w:val="clear" w:color="auto" w:fill="auto"/>
            <w:noWrap/>
            <w:vAlign w:val="center"/>
            <w:hideMark/>
          </w:tcPr>
          <w:p w14:paraId="00CC346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1 601</w:t>
            </w:r>
          </w:p>
        </w:tc>
        <w:tc>
          <w:tcPr>
            <w:tcW w:w="611" w:type="dxa"/>
            <w:shd w:val="clear" w:color="auto" w:fill="auto"/>
            <w:noWrap/>
            <w:vAlign w:val="center"/>
            <w:hideMark/>
          </w:tcPr>
          <w:p w14:paraId="3503E95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779</w:t>
            </w:r>
          </w:p>
        </w:tc>
        <w:tc>
          <w:tcPr>
            <w:tcW w:w="611" w:type="dxa"/>
            <w:shd w:val="clear" w:color="auto" w:fill="auto"/>
            <w:noWrap/>
            <w:vAlign w:val="center"/>
            <w:hideMark/>
          </w:tcPr>
          <w:p w14:paraId="721B0A0A"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706</w:t>
            </w:r>
          </w:p>
        </w:tc>
        <w:tc>
          <w:tcPr>
            <w:tcW w:w="827" w:type="dxa"/>
            <w:shd w:val="clear" w:color="auto" w:fill="auto"/>
            <w:noWrap/>
            <w:vAlign w:val="center"/>
            <w:hideMark/>
          </w:tcPr>
          <w:p w14:paraId="125D14C3"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48,7%</w:t>
            </w:r>
          </w:p>
        </w:tc>
        <w:tc>
          <w:tcPr>
            <w:tcW w:w="749" w:type="dxa"/>
            <w:tcBorders>
              <w:right w:val="single" w:sz="12" w:space="0" w:color="auto"/>
            </w:tcBorders>
            <w:shd w:val="clear" w:color="auto" w:fill="auto"/>
            <w:noWrap/>
            <w:vAlign w:val="center"/>
            <w:hideMark/>
          </w:tcPr>
          <w:p w14:paraId="17F2471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48,7%</w:t>
            </w:r>
          </w:p>
        </w:tc>
      </w:tr>
      <w:tr w:rsidR="00AD5348" w:rsidRPr="00214BA7" w14:paraId="394A2D72" w14:textId="77777777" w:rsidTr="00E37D33">
        <w:trPr>
          <w:trHeight w:val="262"/>
        </w:trPr>
        <w:tc>
          <w:tcPr>
            <w:tcW w:w="2597" w:type="dxa"/>
            <w:tcBorders>
              <w:left w:val="single" w:sz="12" w:space="0" w:color="auto"/>
              <w:right w:val="single" w:sz="12" w:space="0" w:color="auto"/>
            </w:tcBorders>
            <w:shd w:val="clear" w:color="auto" w:fill="EDEDED" w:themeFill="accent3" w:themeFillTint="33"/>
            <w:noWrap/>
            <w:vAlign w:val="center"/>
            <w:hideMark/>
          </w:tcPr>
          <w:p w14:paraId="05B5083D" w14:textId="77777777" w:rsidR="00AD5348" w:rsidRPr="00214BA7" w:rsidRDefault="00AD5348" w:rsidP="00E37D33">
            <w:pPr>
              <w:spacing w:before="0"/>
              <w:jc w:val="left"/>
              <w:rPr>
                <w:rFonts w:eastAsia="Times New Roman" w:cstheme="minorHAnsi"/>
                <w:sz w:val="18"/>
                <w:szCs w:val="18"/>
                <w:lang w:eastAsia="cs-CZ"/>
              </w:rPr>
            </w:pPr>
            <w:r w:rsidRPr="00214BA7">
              <w:rPr>
                <w:rFonts w:eastAsia="Times New Roman" w:cstheme="minorHAnsi"/>
                <w:sz w:val="18"/>
                <w:szCs w:val="18"/>
                <w:lang w:eastAsia="cs-CZ"/>
              </w:rPr>
              <w:t>Fakulta logistiky a krizového řízení  </w:t>
            </w:r>
          </w:p>
        </w:tc>
        <w:tc>
          <w:tcPr>
            <w:tcW w:w="611" w:type="dxa"/>
            <w:tcBorders>
              <w:left w:val="single" w:sz="12" w:space="0" w:color="auto"/>
            </w:tcBorders>
            <w:shd w:val="clear" w:color="auto" w:fill="auto"/>
            <w:noWrap/>
            <w:vAlign w:val="center"/>
            <w:hideMark/>
          </w:tcPr>
          <w:p w14:paraId="0D09B2D4"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718</w:t>
            </w:r>
          </w:p>
        </w:tc>
        <w:tc>
          <w:tcPr>
            <w:tcW w:w="611" w:type="dxa"/>
            <w:shd w:val="clear" w:color="auto" w:fill="auto"/>
            <w:noWrap/>
            <w:vAlign w:val="center"/>
            <w:hideMark/>
          </w:tcPr>
          <w:p w14:paraId="481E1800"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626</w:t>
            </w:r>
          </w:p>
        </w:tc>
        <w:tc>
          <w:tcPr>
            <w:tcW w:w="611" w:type="dxa"/>
            <w:shd w:val="clear" w:color="auto" w:fill="auto"/>
            <w:noWrap/>
            <w:vAlign w:val="center"/>
            <w:hideMark/>
          </w:tcPr>
          <w:p w14:paraId="458B9F8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558</w:t>
            </w:r>
          </w:p>
        </w:tc>
        <w:tc>
          <w:tcPr>
            <w:tcW w:w="611" w:type="dxa"/>
            <w:shd w:val="clear" w:color="auto" w:fill="auto"/>
            <w:noWrap/>
            <w:vAlign w:val="center"/>
            <w:hideMark/>
          </w:tcPr>
          <w:p w14:paraId="1874BF1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397</w:t>
            </w:r>
          </w:p>
        </w:tc>
        <w:tc>
          <w:tcPr>
            <w:tcW w:w="808" w:type="dxa"/>
            <w:shd w:val="clear" w:color="auto" w:fill="auto"/>
            <w:noWrap/>
            <w:vAlign w:val="center"/>
            <w:hideMark/>
          </w:tcPr>
          <w:p w14:paraId="51D47BAC"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89,1%</w:t>
            </w:r>
          </w:p>
        </w:tc>
        <w:tc>
          <w:tcPr>
            <w:tcW w:w="605" w:type="dxa"/>
            <w:tcBorders>
              <w:right w:val="single" w:sz="12" w:space="0" w:color="auto"/>
            </w:tcBorders>
            <w:shd w:val="clear" w:color="auto" w:fill="auto"/>
            <w:noWrap/>
            <w:vAlign w:val="center"/>
            <w:hideMark/>
          </w:tcPr>
          <w:p w14:paraId="5F9961E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89,1%</w:t>
            </w:r>
          </w:p>
        </w:tc>
        <w:tc>
          <w:tcPr>
            <w:tcW w:w="738" w:type="dxa"/>
            <w:tcBorders>
              <w:left w:val="single" w:sz="12" w:space="0" w:color="auto"/>
            </w:tcBorders>
            <w:shd w:val="clear" w:color="auto" w:fill="auto"/>
            <w:noWrap/>
            <w:vAlign w:val="center"/>
            <w:hideMark/>
          </w:tcPr>
          <w:p w14:paraId="1A4DD4C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583</w:t>
            </w:r>
          </w:p>
        </w:tc>
        <w:tc>
          <w:tcPr>
            <w:tcW w:w="611" w:type="dxa"/>
            <w:shd w:val="clear" w:color="auto" w:fill="auto"/>
            <w:noWrap/>
            <w:vAlign w:val="center"/>
            <w:hideMark/>
          </w:tcPr>
          <w:p w14:paraId="36E7B0ED"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508</w:t>
            </w:r>
          </w:p>
        </w:tc>
        <w:tc>
          <w:tcPr>
            <w:tcW w:w="611" w:type="dxa"/>
            <w:shd w:val="clear" w:color="auto" w:fill="auto"/>
            <w:noWrap/>
            <w:vAlign w:val="center"/>
            <w:hideMark/>
          </w:tcPr>
          <w:p w14:paraId="717B528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387</w:t>
            </w:r>
          </w:p>
        </w:tc>
        <w:tc>
          <w:tcPr>
            <w:tcW w:w="611" w:type="dxa"/>
            <w:shd w:val="clear" w:color="auto" w:fill="auto"/>
            <w:noWrap/>
            <w:vAlign w:val="center"/>
            <w:hideMark/>
          </w:tcPr>
          <w:p w14:paraId="231919F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344</w:t>
            </w:r>
          </w:p>
        </w:tc>
        <w:tc>
          <w:tcPr>
            <w:tcW w:w="828" w:type="dxa"/>
            <w:shd w:val="clear" w:color="auto" w:fill="auto"/>
            <w:noWrap/>
            <w:vAlign w:val="center"/>
            <w:hideMark/>
          </w:tcPr>
          <w:p w14:paraId="150629B8"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76,2%</w:t>
            </w:r>
          </w:p>
        </w:tc>
        <w:tc>
          <w:tcPr>
            <w:tcW w:w="620" w:type="dxa"/>
            <w:tcBorders>
              <w:right w:val="single" w:sz="12" w:space="0" w:color="auto"/>
            </w:tcBorders>
            <w:shd w:val="clear" w:color="auto" w:fill="auto"/>
            <w:noWrap/>
            <w:vAlign w:val="center"/>
            <w:hideMark/>
          </w:tcPr>
          <w:p w14:paraId="287B3D87"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77,2%</w:t>
            </w:r>
          </w:p>
        </w:tc>
        <w:tc>
          <w:tcPr>
            <w:tcW w:w="718" w:type="dxa"/>
            <w:tcBorders>
              <w:left w:val="single" w:sz="12" w:space="0" w:color="auto"/>
            </w:tcBorders>
            <w:shd w:val="clear" w:color="auto" w:fill="auto"/>
            <w:noWrap/>
            <w:vAlign w:val="center"/>
            <w:hideMark/>
          </w:tcPr>
          <w:p w14:paraId="1AF43B0A"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678</w:t>
            </w:r>
          </w:p>
        </w:tc>
        <w:tc>
          <w:tcPr>
            <w:tcW w:w="611" w:type="dxa"/>
            <w:shd w:val="clear" w:color="auto" w:fill="auto"/>
            <w:noWrap/>
            <w:vAlign w:val="center"/>
            <w:hideMark/>
          </w:tcPr>
          <w:p w14:paraId="26899DB1"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584</w:t>
            </w:r>
          </w:p>
        </w:tc>
        <w:tc>
          <w:tcPr>
            <w:tcW w:w="611" w:type="dxa"/>
            <w:shd w:val="clear" w:color="auto" w:fill="auto"/>
            <w:noWrap/>
            <w:vAlign w:val="center"/>
            <w:hideMark/>
          </w:tcPr>
          <w:p w14:paraId="0873457A"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471</w:t>
            </w:r>
          </w:p>
        </w:tc>
        <w:tc>
          <w:tcPr>
            <w:tcW w:w="611" w:type="dxa"/>
            <w:shd w:val="clear" w:color="auto" w:fill="auto"/>
            <w:noWrap/>
            <w:vAlign w:val="center"/>
            <w:hideMark/>
          </w:tcPr>
          <w:p w14:paraId="493D194F"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411</w:t>
            </w:r>
          </w:p>
        </w:tc>
        <w:tc>
          <w:tcPr>
            <w:tcW w:w="827" w:type="dxa"/>
            <w:shd w:val="clear" w:color="auto" w:fill="auto"/>
            <w:noWrap/>
            <w:vAlign w:val="center"/>
            <w:hideMark/>
          </w:tcPr>
          <w:p w14:paraId="4800CA2F"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80,7%</w:t>
            </w:r>
          </w:p>
        </w:tc>
        <w:tc>
          <w:tcPr>
            <w:tcW w:w="749" w:type="dxa"/>
            <w:tcBorders>
              <w:right w:val="single" w:sz="12" w:space="0" w:color="auto"/>
            </w:tcBorders>
            <w:shd w:val="clear" w:color="auto" w:fill="auto"/>
            <w:noWrap/>
            <w:vAlign w:val="center"/>
            <w:hideMark/>
          </w:tcPr>
          <w:p w14:paraId="615948C9" w14:textId="77777777" w:rsidR="00AD5348" w:rsidRPr="00517C4B" w:rsidRDefault="00AD5348" w:rsidP="00E37D33">
            <w:pPr>
              <w:spacing w:before="0"/>
              <w:jc w:val="right"/>
              <w:rPr>
                <w:rFonts w:eastAsia="Times New Roman" w:cstheme="minorHAnsi"/>
                <w:sz w:val="18"/>
                <w:szCs w:val="18"/>
                <w:lang w:eastAsia="cs-CZ"/>
              </w:rPr>
            </w:pPr>
            <w:r w:rsidRPr="00517C4B">
              <w:rPr>
                <w:rFonts w:eastAsia="Times New Roman" w:cstheme="minorHAnsi"/>
                <w:sz w:val="18"/>
                <w:szCs w:val="18"/>
                <w:lang w:eastAsia="cs-CZ"/>
              </w:rPr>
              <w:t>80,7%</w:t>
            </w:r>
          </w:p>
        </w:tc>
      </w:tr>
      <w:tr w:rsidR="00AD5348" w:rsidRPr="00214BA7" w14:paraId="5B427FDE" w14:textId="77777777" w:rsidTr="00E37D33">
        <w:trPr>
          <w:trHeight w:val="262"/>
        </w:trPr>
        <w:tc>
          <w:tcPr>
            <w:tcW w:w="2597" w:type="dxa"/>
            <w:tcBorders>
              <w:left w:val="single" w:sz="12" w:space="0" w:color="auto"/>
              <w:bottom w:val="single" w:sz="12" w:space="0" w:color="auto"/>
              <w:right w:val="single" w:sz="12" w:space="0" w:color="auto"/>
            </w:tcBorders>
            <w:shd w:val="clear" w:color="000000" w:fill="C0C0C0"/>
            <w:noWrap/>
            <w:vAlign w:val="center"/>
            <w:hideMark/>
          </w:tcPr>
          <w:p w14:paraId="6DBE53DD" w14:textId="77777777" w:rsidR="00AD5348" w:rsidRPr="00214BA7" w:rsidRDefault="00AD5348" w:rsidP="00E37D33">
            <w:pPr>
              <w:spacing w:before="0"/>
              <w:jc w:val="left"/>
              <w:rPr>
                <w:rFonts w:eastAsia="Times New Roman" w:cstheme="minorHAnsi"/>
                <w:b/>
                <w:sz w:val="18"/>
                <w:szCs w:val="18"/>
                <w:lang w:eastAsia="cs-CZ"/>
              </w:rPr>
            </w:pPr>
            <w:r w:rsidRPr="004C621E">
              <w:rPr>
                <w:rFonts w:eastAsia="Times New Roman" w:cstheme="minorHAnsi"/>
                <w:b/>
                <w:sz w:val="18"/>
                <w:szCs w:val="18"/>
                <w:lang w:eastAsia="cs-CZ"/>
              </w:rPr>
              <w:t>Celkem</w:t>
            </w:r>
          </w:p>
        </w:tc>
        <w:tc>
          <w:tcPr>
            <w:tcW w:w="611" w:type="dxa"/>
            <w:tcBorders>
              <w:left w:val="single" w:sz="12" w:space="0" w:color="auto"/>
              <w:bottom w:val="single" w:sz="12" w:space="0" w:color="auto"/>
            </w:tcBorders>
            <w:shd w:val="clear" w:color="auto" w:fill="BFBFBF" w:themeFill="background1" w:themeFillShade="BF"/>
            <w:noWrap/>
            <w:vAlign w:val="center"/>
            <w:hideMark/>
          </w:tcPr>
          <w:p w14:paraId="39A4433E"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7 536</w:t>
            </w:r>
          </w:p>
        </w:tc>
        <w:tc>
          <w:tcPr>
            <w:tcW w:w="611" w:type="dxa"/>
            <w:tcBorders>
              <w:bottom w:val="single" w:sz="12" w:space="0" w:color="auto"/>
            </w:tcBorders>
            <w:shd w:val="clear" w:color="auto" w:fill="BFBFBF" w:themeFill="background1" w:themeFillShade="BF"/>
            <w:noWrap/>
            <w:vAlign w:val="center"/>
            <w:hideMark/>
          </w:tcPr>
          <w:p w14:paraId="6DB46209"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6 108</w:t>
            </w:r>
          </w:p>
        </w:tc>
        <w:tc>
          <w:tcPr>
            <w:tcW w:w="611" w:type="dxa"/>
            <w:tcBorders>
              <w:bottom w:val="single" w:sz="12" w:space="0" w:color="auto"/>
            </w:tcBorders>
            <w:shd w:val="clear" w:color="auto" w:fill="BFBFBF" w:themeFill="background1" w:themeFillShade="BF"/>
            <w:noWrap/>
            <w:vAlign w:val="center"/>
            <w:hideMark/>
          </w:tcPr>
          <w:p w14:paraId="3C21DC2B"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3 369</w:t>
            </w:r>
          </w:p>
        </w:tc>
        <w:tc>
          <w:tcPr>
            <w:tcW w:w="611" w:type="dxa"/>
            <w:tcBorders>
              <w:bottom w:val="single" w:sz="12" w:space="0" w:color="auto"/>
            </w:tcBorders>
            <w:shd w:val="clear" w:color="auto" w:fill="BFBFBF" w:themeFill="background1" w:themeFillShade="BF"/>
            <w:noWrap/>
            <w:vAlign w:val="center"/>
            <w:hideMark/>
          </w:tcPr>
          <w:p w14:paraId="7A0842D9"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2 946</w:t>
            </w:r>
          </w:p>
        </w:tc>
        <w:tc>
          <w:tcPr>
            <w:tcW w:w="808" w:type="dxa"/>
            <w:tcBorders>
              <w:bottom w:val="single" w:sz="12" w:space="0" w:color="auto"/>
            </w:tcBorders>
            <w:shd w:val="clear" w:color="auto" w:fill="BFBFBF" w:themeFill="background1" w:themeFillShade="BF"/>
            <w:noWrap/>
            <w:vAlign w:val="center"/>
            <w:hideMark/>
          </w:tcPr>
          <w:p w14:paraId="29F967E2"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55,2%</w:t>
            </w:r>
          </w:p>
        </w:tc>
        <w:tc>
          <w:tcPr>
            <w:tcW w:w="605" w:type="dxa"/>
            <w:tcBorders>
              <w:bottom w:val="single" w:sz="12" w:space="0" w:color="auto"/>
              <w:right w:val="single" w:sz="12" w:space="0" w:color="auto"/>
            </w:tcBorders>
            <w:shd w:val="clear" w:color="auto" w:fill="BFBFBF" w:themeFill="background1" w:themeFillShade="BF"/>
            <w:noWrap/>
            <w:vAlign w:val="center"/>
            <w:hideMark/>
          </w:tcPr>
          <w:p w14:paraId="6013160D"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58,1%</w:t>
            </w:r>
          </w:p>
        </w:tc>
        <w:tc>
          <w:tcPr>
            <w:tcW w:w="738" w:type="dxa"/>
            <w:tcBorders>
              <w:left w:val="single" w:sz="12" w:space="0" w:color="auto"/>
              <w:bottom w:val="single" w:sz="12" w:space="0" w:color="auto"/>
            </w:tcBorders>
            <w:shd w:val="clear" w:color="auto" w:fill="BFBFBF" w:themeFill="background1" w:themeFillShade="BF"/>
            <w:noWrap/>
            <w:vAlign w:val="center"/>
            <w:hideMark/>
          </w:tcPr>
          <w:p w14:paraId="5741DF77"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6 859</w:t>
            </w:r>
          </w:p>
        </w:tc>
        <w:tc>
          <w:tcPr>
            <w:tcW w:w="611" w:type="dxa"/>
            <w:tcBorders>
              <w:bottom w:val="single" w:sz="12" w:space="0" w:color="auto"/>
            </w:tcBorders>
            <w:shd w:val="clear" w:color="auto" w:fill="BFBFBF" w:themeFill="background1" w:themeFillShade="BF"/>
            <w:noWrap/>
            <w:vAlign w:val="center"/>
            <w:hideMark/>
          </w:tcPr>
          <w:p w14:paraId="1526C3E8"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5 564</w:t>
            </w:r>
          </w:p>
        </w:tc>
        <w:tc>
          <w:tcPr>
            <w:tcW w:w="611" w:type="dxa"/>
            <w:tcBorders>
              <w:bottom w:val="single" w:sz="12" w:space="0" w:color="auto"/>
            </w:tcBorders>
            <w:shd w:val="clear" w:color="auto" w:fill="BFBFBF" w:themeFill="background1" w:themeFillShade="BF"/>
            <w:noWrap/>
            <w:vAlign w:val="center"/>
            <w:hideMark/>
          </w:tcPr>
          <w:p w14:paraId="0B364F6F"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3 058</w:t>
            </w:r>
          </w:p>
        </w:tc>
        <w:tc>
          <w:tcPr>
            <w:tcW w:w="611" w:type="dxa"/>
            <w:tcBorders>
              <w:bottom w:val="single" w:sz="12" w:space="0" w:color="auto"/>
            </w:tcBorders>
            <w:shd w:val="clear" w:color="auto" w:fill="BFBFBF" w:themeFill="background1" w:themeFillShade="BF"/>
            <w:noWrap/>
            <w:vAlign w:val="center"/>
            <w:hideMark/>
          </w:tcPr>
          <w:p w14:paraId="3D9218FC"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2 754</w:t>
            </w:r>
          </w:p>
        </w:tc>
        <w:tc>
          <w:tcPr>
            <w:tcW w:w="828" w:type="dxa"/>
            <w:tcBorders>
              <w:bottom w:val="single" w:sz="12" w:space="0" w:color="auto"/>
            </w:tcBorders>
            <w:shd w:val="clear" w:color="auto" w:fill="BFBFBF" w:themeFill="background1" w:themeFillShade="BF"/>
            <w:noWrap/>
            <w:vAlign w:val="center"/>
            <w:hideMark/>
          </w:tcPr>
          <w:p w14:paraId="28D55636"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55,0%</w:t>
            </w:r>
          </w:p>
        </w:tc>
        <w:tc>
          <w:tcPr>
            <w:tcW w:w="620" w:type="dxa"/>
            <w:tcBorders>
              <w:bottom w:val="single" w:sz="12" w:space="0" w:color="auto"/>
              <w:right w:val="single" w:sz="12" w:space="0" w:color="auto"/>
            </w:tcBorders>
            <w:shd w:val="clear" w:color="auto" w:fill="BFBFBF" w:themeFill="background1" w:themeFillShade="BF"/>
            <w:noWrap/>
            <w:vAlign w:val="center"/>
            <w:hideMark/>
          </w:tcPr>
          <w:p w14:paraId="1B592737"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59,0%</w:t>
            </w:r>
          </w:p>
        </w:tc>
        <w:tc>
          <w:tcPr>
            <w:tcW w:w="718" w:type="dxa"/>
            <w:tcBorders>
              <w:left w:val="single" w:sz="12" w:space="0" w:color="auto"/>
              <w:bottom w:val="single" w:sz="12" w:space="0" w:color="auto"/>
            </w:tcBorders>
            <w:shd w:val="clear" w:color="auto" w:fill="BFBFBF" w:themeFill="background1" w:themeFillShade="BF"/>
            <w:noWrap/>
            <w:vAlign w:val="center"/>
            <w:hideMark/>
          </w:tcPr>
          <w:p w14:paraId="46423B67"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6 480</w:t>
            </w:r>
          </w:p>
        </w:tc>
        <w:tc>
          <w:tcPr>
            <w:tcW w:w="611" w:type="dxa"/>
            <w:tcBorders>
              <w:bottom w:val="single" w:sz="12" w:space="0" w:color="auto"/>
            </w:tcBorders>
            <w:shd w:val="clear" w:color="auto" w:fill="BFBFBF" w:themeFill="background1" w:themeFillShade="BF"/>
            <w:noWrap/>
            <w:vAlign w:val="center"/>
            <w:hideMark/>
          </w:tcPr>
          <w:p w14:paraId="75EDB0C3"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5 282</w:t>
            </w:r>
          </w:p>
        </w:tc>
        <w:tc>
          <w:tcPr>
            <w:tcW w:w="611" w:type="dxa"/>
            <w:tcBorders>
              <w:bottom w:val="single" w:sz="12" w:space="0" w:color="auto"/>
            </w:tcBorders>
            <w:shd w:val="clear" w:color="auto" w:fill="BFBFBF" w:themeFill="background1" w:themeFillShade="BF"/>
            <w:noWrap/>
            <w:vAlign w:val="center"/>
            <w:hideMark/>
          </w:tcPr>
          <w:p w14:paraId="3AA31A95"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3 123</w:t>
            </w:r>
          </w:p>
        </w:tc>
        <w:tc>
          <w:tcPr>
            <w:tcW w:w="611" w:type="dxa"/>
            <w:tcBorders>
              <w:bottom w:val="single" w:sz="12" w:space="0" w:color="auto"/>
            </w:tcBorders>
            <w:shd w:val="clear" w:color="auto" w:fill="BFBFBF" w:themeFill="background1" w:themeFillShade="BF"/>
            <w:noWrap/>
            <w:vAlign w:val="center"/>
            <w:hideMark/>
          </w:tcPr>
          <w:p w14:paraId="1E3F95C8"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2 771</w:t>
            </w:r>
          </w:p>
        </w:tc>
        <w:tc>
          <w:tcPr>
            <w:tcW w:w="827" w:type="dxa"/>
            <w:tcBorders>
              <w:bottom w:val="single" w:sz="12" w:space="0" w:color="auto"/>
            </w:tcBorders>
            <w:shd w:val="clear" w:color="auto" w:fill="BFBFBF" w:themeFill="background1" w:themeFillShade="BF"/>
            <w:noWrap/>
            <w:vAlign w:val="center"/>
            <w:hideMark/>
          </w:tcPr>
          <w:p w14:paraId="0861D05C"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59,1%</w:t>
            </w:r>
          </w:p>
        </w:tc>
        <w:tc>
          <w:tcPr>
            <w:tcW w:w="749" w:type="dxa"/>
            <w:tcBorders>
              <w:bottom w:val="single" w:sz="12" w:space="0" w:color="auto"/>
              <w:right w:val="single" w:sz="12" w:space="0" w:color="auto"/>
            </w:tcBorders>
            <w:shd w:val="clear" w:color="auto" w:fill="BFBFBF" w:themeFill="background1" w:themeFillShade="BF"/>
            <w:noWrap/>
            <w:vAlign w:val="center"/>
            <w:hideMark/>
          </w:tcPr>
          <w:p w14:paraId="2B82FD77" w14:textId="77777777" w:rsidR="00AD5348" w:rsidRPr="00517C4B" w:rsidRDefault="00AD5348" w:rsidP="00E37D33">
            <w:pPr>
              <w:spacing w:before="0"/>
              <w:jc w:val="right"/>
              <w:rPr>
                <w:rFonts w:eastAsia="Times New Roman" w:cstheme="minorHAnsi"/>
                <w:b/>
                <w:bCs/>
                <w:sz w:val="18"/>
                <w:szCs w:val="18"/>
                <w:lang w:eastAsia="cs-CZ"/>
              </w:rPr>
            </w:pPr>
            <w:r w:rsidRPr="00517C4B">
              <w:rPr>
                <w:rFonts w:eastAsia="Times New Roman" w:cstheme="minorHAnsi"/>
                <w:b/>
                <w:bCs/>
                <w:sz w:val="18"/>
                <w:szCs w:val="18"/>
                <w:lang w:eastAsia="cs-CZ"/>
              </w:rPr>
              <w:t>62,8%</w:t>
            </w:r>
          </w:p>
        </w:tc>
      </w:tr>
    </w:tbl>
    <w:p w14:paraId="213045FC" w14:textId="77777777" w:rsidR="00AD5348" w:rsidRPr="004C621E" w:rsidRDefault="00AD5348" w:rsidP="00AD5348">
      <w:pPr>
        <w:rPr>
          <w:sz w:val="2"/>
        </w:rPr>
      </w:pPr>
    </w:p>
    <w:tbl>
      <w:tblPr>
        <w:tblW w:w="14584" w:type="dxa"/>
        <w:tblLayout w:type="fixed"/>
        <w:tblCellMar>
          <w:left w:w="70" w:type="dxa"/>
          <w:right w:w="70" w:type="dxa"/>
        </w:tblCellMar>
        <w:tblLook w:val="04A0" w:firstRow="1" w:lastRow="0" w:firstColumn="1" w:lastColumn="0" w:noHBand="0" w:noVBand="1"/>
      </w:tblPr>
      <w:tblGrid>
        <w:gridCol w:w="2554"/>
        <w:gridCol w:w="621"/>
        <w:gridCol w:w="648"/>
        <w:gridCol w:w="587"/>
        <w:gridCol w:w="587"/>
        <w:gridCol w:w="815"/>
        <w:gridCol w:w="597"/>
        <w:gridCol w:w="658"/>
        <w:gridCol w:w="658"/>
        <w:gridCol w:w="658"/>
        <w:gridCol w:w="684"/>
        <w:gridCol w:w="768"/>
        <w:gridCol w:w="658"/>
        <w:gridCol w:w="658"/>
        <w:gridCol w:w="658"/>
        <w:gridCol w:w="658"/>
        <w:gridCol w:w="658"/>
        <w:gridCol w:w="801"/>
        <w:gridCol w:w="658"/>
      </w:tblGrid>
      <w:tr w:rsidR="00AD5348" w:rsidRPr="0034728B" w14:paraId="3F0E101D" w14:textId="77777777" w:rsidTr="00E37D33">
        <w:trPr>
          <w:trHeight w:val="86"/>
        </w:trPr>
        <w:tc>
          <w:tcPr>
            <w:tcW w:w="2554" w:type="dxa"/>
            <w:vMerge w:val="restart"/>
            <w:tcBorders>
              <w:top w:val="single" w:sz="12" w:space="0" w:color="auto"/>
              <w:left w:val="single" w:sz="12" w:space="0" w:color="auto"/>
              <w:bottom w:val="single" w:sz="4" w:space="0" w:color="auto"/>
              <w:right w:val="single" w:sz="12" w:space="0" w:color="auto"/>
            </w:tcBorders>
            <w:shd w:val="clear" w:color="000000" w:fill="C0C0C0"/>
            <w:vAlign w:val="center"/>
            <w:hideMark/>
          </w:tcPr>
          <w:p w14:paraId="53F9A252" w14:textId="77777777" w:rsidR="00AD5348" w:rsidRPr="0034728B" w:rsidRDefault="00AD5348" w:rsidP="00E37D33">
            <w:pPr>
              <w:spacing w:before="0"/>
              <w:jc w:val="center"/>
              <w:rPr>
                <w:rFonts w:eastAsia="Times New Roman" w:cstheme="minorHAnsi"/>
                <w:b/>
                <w:bCs/>
                <w:sz w:val="18"/>
                <w:szCs w:val="18"/>
                <w:lang w:eastAsia="cs-CZ"/>
              </w:rPr>
            </w:pPr>
            <w:r w:rsidRPr="0034728B">
              <w:rPr>
                <w:rFonts w:eastAsia="Times New Roman" w:cstheme="minorHAnsi"/>
                <w:b/>
                <w:bCs/>
                <w:sz w:val="18"/>
                <w:szCs w:val="18"/>
                <w:lang w:eastAsia="cs-CZ"/>
              </w:rPr>
              <w:t> </w:t>
            </w:r>
            <w:r>
              <w:rPr>
                <w:rFonts w:eastAsia="Times New Roman" w:cstheme="minorHAnsi"/>
                <w:b/>
                <w:bCs/>
                <w:sz w:val="18"/>
                <w:szCs w:val="18"/>
                <w:lang w:eastAsia="cs-CZ"/>
              </w:rPr>
              <w:t>Fakulta</w:t>
            </w:r>
          </w:p>
        </w:tc>
        <w:tc>
          <w:tcPr>
            <w:tcW w:w="3855" w:type="dxa"/>
            <w:gridSpan w:val="6"/>
            <w:tcBorders>
              <w:top w:val="single" w:sz="12" w:space="0" w:color="auto"/>
              <w:left w:val="single" w:sz="12" w:space="0" w:color="auto"/>
              <w:bottom w:val="single" w:sz="4" w:space="0" w:color="auto"/>
              <w:right w:val="single" w:sz="12" w:space="0" w:color="auto"/>
            </w:tcBorders>
            <w:shd w:val="clear" w:color="000000" w:fill="C0C0C0"/>
            <w:noWrap/>
            <w:vAlign w:val="center"/>
            <w:hideMark/>
          </w:tcPr>
          <w:p w14:paraId="2AD51276"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2017/2018</w:t>
            </w:r>
          </w:p>
        </w:tc>
        <w:tc>
          <w:tcPr>
            <w:tcW w:w="4084" w:type="dxa"/>
            <w:gridSpan w:val="6"/>
            <w:tcBorders>
              <w:top w:val="single" w:sz="12" w:space="0" w:color="auto"/>
              <w:left w:val="single" w:sz="12" w:space="0" w:color="auto"/>
              <w:bottom w:val="single" w:sz="4" w:space="0" w:color="auto"/>
              <w:right w:val="single" w:sz="12" w:space="0" w:color="auto"/>
            </w:tcBorders>
            <w:shd w:val="clear" w:color="000000" w:fill="C0C0C0"/>
            <w:noWrap/>
            <w:vAlign w:val="center"/>
            <w:hideMark/>
          </w:tcPr>
          <w:p w14:paraId="4B31F735"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2018/2019</w:t>
            </w:r>
          </w:p>
        </w:tc>
        <w:tc>
          <w:tcPr>
            <w:tcW w:w="4091" w:type="dxa"/>
            <w:gridSpan w:val="6"/>
            <w:tcBorders>
              <w:top w:val="single" w:sz="12" w:space="0" w:color="auto"/>
              <w:left w:val="single" w:sz="12" w:space="0" w:color="auto"/>
              <w:bottom w:val="single" w:sz="4" w:space="0" w:color="auto"/>
              <w:right w:val="single" w:sz="12" w:space="0" w:color="auto"/>
            </w:tcBorders>
            <w:shd w:val="clear" w:color="000000" w:fill="C0C0C0"/>
            <w:noWrap/>
            <w:vAlign w:val="center"/>
            <w:hideMark/>
          </w:tcPr>
          <w:p w14:paraId="56E58AE3"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2019/2020</w:t>
            </w:r>
          </w:p>
        </w:tc>
      </w:tr>
      <w:tr w:rsidR="00AD5348" w:rsidRPr="0034728B" w14:paraId="1FEB9D6E" w14:textId="77777777" w:rsidTr="00E37D33">
        <w:trPr>
          <w:trHeight w:val="1286"/>
        </w:trPr>
        <w:tc>
          <w:tcPr>
            <w:tcW w:w="2554" w:type="dxa"/>
            <w:vMerge/>
            <w:tcBorders>
              <w:top w:val="single" w:sz="4" w:space="0" w:color="auto"/>
              <w:left w:val="single" w:sz="12" w:space="0" w:color="auto"/>
              <w:bottom w:val="single" w:sz="4" w:space="0" w:color="auto"/>
              <w:right w:val="single" w:sz="12" w:space="0" w:color="auto"/>
            </w:tcBorders>
            <w:vAlign w:val="center"/>
            <w:hideMark/>
          </w:tcPr>
          <w:p w14:paraId="198D06B9" w14:textId="77777777" w:rsidR="00AD5348" w:rsidRPr="0034728B" w:rsidRDefault="00AD5348" w:rsidP="00E37D33">
            <w:pPr>
              <w:spacing w:before="0"/>
              <w:jc w:val="left"/>
              <w:rPr>
                <w:rFonts w:eastAsia="Times New Roman" w:cstheme="minorHAnsi"/>
                <w:b/>
                <w:bCs/>
                <w:sz w:val="18"/>
                <w:szCs w:val="18"/>
                <w:lang w:eastAsia="cs-CZ"/>
              </w:rPr>
            </w:pPr>
          </w:p>
        </w:tc>
        <w:tc>
          <w:tcPr>
            <w:tcW w:w="621" w:type="dxa"/>
            <w:tcBorders>
              <w:top w:val="nil"/>
              <w:left w:val="single" w:sz="12" w:space="0" w:color="auto"/>
              <w:bottom w:val="single" w:sz="4" w:space="0" w:color="auto"/>
              <w:right w:val="single" w:sz="4" w:space="0" w:color="auto"/>
            </w:tcBorders>
            <w:shd w:val="clear" w:color="000000" w:fill="C0C0C0"/>
            <w:textDirection w:val="btLr"/>
            <w:vAlign w:val="center"/>
            <w:hideMark/>
          </w:tcPr>
          <w:p w14:paraId="5247A70C"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 podaných</w:t>
            </w:r>
            <w:r w:rsidRPr="004C621E">
              <w:rPr>
                <w:rFonts w:eastAsia="Times New Roman" w:cstheme="minorHAnsi"/>
                <w:bCs/>
                <w:sz w:val="18"/>
                <w:szCs w:val="18"/>
                <w:lang w:eastAsia="cs-CZ"/>
              </w:rPr>
              <w:br/>
              <w:t xml:space="preserve"> přihlášek</w:t>
            </w:r>
          </w:p>
        </w:tc>
        <w:tc>
          <w:tcPr>
            <w:tcW w:w="648" w:type="dxa"/>
            <w:tcBorders>
              <w:top w:val="nil"/>
              <w:left w:val="nil"/>
              <w:bottom w:val="single" w:sz="4" w:space="0" w:color="auto"/>
              <w:right w:val="single" w:sz="4" w:space="0" w:color="auto"/>
            </w:tcBorders>
            <w:shd w:val="clear" w:color="000000" w:fill="C0C0C0"/>
            <w:textDirection w:val="btLr"/>
            <w:vAlign w:val="center"/>
            <w:hideMark/>
          </w:tcPr>
          <w:p w14:paraId="21E047E9"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přihlášených</w:t>
            </w:r>
          </w:p>
        </w:tc>
        <w:tc>
          <w:tcPr>
            <w:tcW w:w="587" w:type="dxa"/>
            <w:tcBorders>
              <w:top w:val="nil"/>
              <w:left w:val="nil"/>
              <w:bottom w:val="single" w:sz="4" w:space="0" w:color="auto"/>
              <w:right w:val="single" w:sz="4" w:space="0" w:color="auto"/>
            </w:tcBorders>
            <w:shd w:val="clear" w:color="000000" w:fill="C0C0C0"/>
            <w:textDirection w:val="btLr"/>
            <w:vAlign w:val="center"/>
            <w:hideMark/>
          </w:tcPr>
          <w:p w14:paraId="3433733D"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přijatých</w:t>
            </w:r>
          </w:p>
        </w:tc>
        <w:tc>
          <w:tcPr>
            <w:tcW w:w="587" w:type="dxa"/>
            <w:tcBorders>
              <w:top w:val="nil"/>
              <w:left w:val="nil"/>
              <w:bottom w:val="single" w:sz="4" w:space="0" w:color="auto"/>
              <w:right w:val="single" w:sz="4" w:space="0" w:color="auto"/>
            </w:tcBorders>
            <w:shd w:val="clear" w:color="000000" w:fill="C0C0C0"/>
            <w:textDirection w:val="btLr"/>
            <w:vAlign w:val="center"/>
            <w:hideMark/>
          </w:tcPr>
          <w:p w14:paraId="34D8AA7A"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zapsaných</w:t>
            </w:r>
          </w:p>
        </w:tc>
        <w:tc>
          <w:tcPr>
            <w:tcW w:w="815" w:type="dxa"/>
            <w:tcBorders>
              <w:top w:val="nil"/>
              <w:left w:val="nil"/>
              <w:bottom w:val="single" w:sz="4" w:space="0" w:color="auto"/>
              <w:right w:val="single" w:sz="4" w:space="0" w:color="auto"/>
            </w:tcBorders>
            <w:shd w:val="clear" w:color="000000" w:fill="C0C0C0"/>
            <w:textDirection w:val="btLr"/>
            <w:vAlign w:val="center"/>
            <w:hideMark/>
          </w:tcPr>
          <w:p w14:paraId="7710D073"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 xml:space="preserve">Počet přijatých / počet přihlášených </w:t>
            </w:r>
          </w:p>
        </w:tc>
        <w:tc>
          <w:tcPr>
            <w:tcW w:w="597" w:type="dxa"/>
            <w:tcBorders>
              <w:top w:val="nil"/>
              <w:left w:val="nil"/>
              <w:bottom w:val="single" w:sz="4" w:space="0" w:color="auto"/>
              <w:right w:val="single" w:sz="12" w:space="0" w:color="auto"/>
            </w:tcBorders>
            <w:shd w:val="clear" w:color="000000" w:fill="C0C0C0"/>
            <w:textDirection w:val="btLr"/>
            <w:vAlign w:val="center"/>
            <w:hideMark/>
          </w:tcPr>
          <w:p w14:paraId="5B19CC94"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Úspěšnost uchazečů *)</w:t>
            </w:r>
          </w:p>
        </w:tc>
        <w:tc>
          <w:tcPr>
            <w:tcW w:w="658" w:type="dxa"/>
            <w:tcBorders>
              <w:top w:val="nil"/>
              <w:left w:val="single" w:sz="12" w:space="0" w:color="auto"/>
              <w:bottom w:val="single" w:sz="4" w:space="0" w:color="auto"/>
              <w:right w:val="single" w:sz="4" w:space="0" w:color="auto"/>
            </w:tcBorders>
            <w:shd w:val="clear" w:color="000000" w:fill="C0C0C0"/>
            <w:textDirection w:val="btLr"/>
            <w:vAlign w:val="center"/>
            <w:hideMark/>
          </w:tcPr>
          <w:p w14:paraId="07CA2CE6"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 podaných</w:t>
            </w:r>
            <w:r w:rsidRPr="004C621E">
              <w:rPr>
                <w:rFonts w:eastAsia="Times New Roman" w:cstheme="minorHAnsi"/>
                <w:bCs/>
                <w:sz w:val="18"/>
                <w:szCs w:val="18"/>
                <w:lang w:eastAsia="cs-CZ"/>
              </w:rPr>
              <w:br/>
              <w:t xml:space="preserve"> přihlášek</w:t>
            </w:r>
          </w:p>
        </w:tc>
        <w:tc>
          <w:tcPr>
            <w:tcW w:w="658" w:type="dxa"/>
            <w:tcBorders>
              <w:top w:val="nil"/>
              <w:left w:val="nil"/>
              <w:bottom w:val="single" w:sz="4" w:space="0" w:color="auto"/>
              <w:right w:val="single" w:sz="4" w:space="0" w:color="auto"/>
            </w:tcBorders>
            <w:shd w:val="clear" w:color="000000" w:fill="C0C0C0"/>
            <w:textDirection w:val="btLr"/>
            <w:vAlign w:val="center"/>
            <w:hideMark/>
          </w:tcPr>
          <w:p w14:paraId="722932F1"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přihlášených</w:t>
            </w:r>
          </w:p>
        </w:tc>
        <w:tc>
          <w:tcPr>
            <w:tcW w:w="658" w:type="dxa"/>
            <w:tcBorders>
              <w:top w:val="nil"/>
              <w:left w:val="nil"/>
              <w:bottom w:val="single" w:sz="4" w:space="0" w:color="auto"/>
              <w:right w:val="single" w:sz="4" w:space="0" w:color="auto"/>
            </w:tcBorders>
            <w:shd w:val="clear" w:color="000000" w:fill="C0C0C0"/>
            <w:textDirection w:val="btLr"/>
            <w:vAlign w:val="center"/>
            <w:hideMark/>
          </w:tcPr>
          <w:p w14:paraId="31943B04"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přijatých</w:t>
            </w:r>
          </w:p>
        </w:tc>
        <w:tc>
          <w:tcPr>
            <w:tcW w:w="684" w:type="dxa"/>
            <w:tcBorders>
              <w:top w:val="nil"/>
              <w:left w:val="nil"/>
              <w:bottom w:val="single" w:sz="4" w:space="0" w:color="auto"/>
              <w:right w:val="single" w:sz="4" w:space="0" w:color="auto"/>
            </w:tcBorders>
            <w:shd w:val="clear" w:color="000000" w:fill="C0C0C0"/>
            <w:textDirection w:val="btLr"/>
            <w:vAlign w:val="center"/>
            <w:hideMark/>
          </w:tcPr>
          <w:p w14:paraId="1EA8DED9"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zapsaných</w:t>
            </w:r>
          </w:p>
        </w:tc>
        <w:tc>
          <w:tcPr>
            <w:tcW w:w="768" w:type="dxa"/>
            <w:tcBorders>
              <w:top w:val="nil"/>
              <w:left w:val="nil"/>
              <w:bottom w:val="single" w:sz="4" w:space="0" w:color="auto"/>
              <w:right w:val="single" w:sz="4" w:space="0" w:color="auto"/>
            </w:tcBorders>
            <w:shd w:val="clear" w:color="000000" w:fill="C0C0C0"/>
            <w:textDirection w:val="btLr"/>
            <w:vAlign w:val="center"/>
            <w:hideMark/>
          </w:tcPr>
          <w:p w14:paraId="4F79EEDE"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 xml:space="preserve">Počet přijatých / počet přihlášených </w:t>
            </w:r>
          </w:p>
        </w:tc>
        <w:tc>
          <w:tcPr>
            <w:tcW w:w="658" w:type="dxa"/>
            <w:tcBorders>
              <w:top w:val="nil"/>
              <w:left w:val="nil"/>
              <w:bottom w:val="single" w:sz="4" w:space="0" w:color="auto"/>
              <w:right w:val="single" w:sz="12" w:space="0" w:color="auto"/>
            </w:tcBorders>
            <w:shd w:val="clear" w:color="000000" w:fill="C0C0C0"/>
            <w:textDirection w:val="btLr"/>
            <w:vAlign w:val="center"/>
            <w:hideMark/>
          </w:tcPr>
          <w:p w14:paraId="13CD91CB"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Úspěšnost uchazečů *)</w:t>
            </w:r>
          </w:p>
        </w:tc>
        <w:tc>
          <w:tcPr>
            <w:tcW w:w="658" w:type="dxa"/>
            <w:tcBorders>
              <w:top w:val="nil"/>
              <w:left w:val="single" w:sz="12" w:space="0" w:color="auto"/>
              <w:bottom w:val="single" w:sz="4" w:space="0" w:color="auto"/>
              <w:right w:val="single" w:sz="4" w:space="0" w:color="auto"/>
            </w:tcBorders>
            <w:shd w:val="clear" w:color="000000" w:fill="C0C0C0"/>
            <w:textDirection w:val="btLr"/>
            <w:vAlign w:val="center"/>
            <w:hideMark/>
          </w:tcPr>
          <w:p w14:paraId="505ED5BD"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 podaných</w:t>
            </w:r>
            <w:r w:rsidRPr="004C621E">
              <w:rPr>
                <w:rFonts w:eastAsia="Times New Roman" w:cstheme="minorHAnsi"/>
                <w:bCs/>
                <w:sz w:val="18"/>
                <w:szCs w:val="18"/>
                <w:lang w:eastAsia="cs-CZ"/>
              </w:rPr>
              <w:br/>
              <w:t xml:space="preserve"> přihlášek</w:t>
            </w:r>
          </w:p>
        </w:tc>
        <w:tc>
          <w:tcPr>
            <w:tcW w:w="658" w:type="dxa"/>
            <w:tcBorders>
              <w:top w:val="nil"/>
              <w:left w:val="nil"/>
              <w:bottom w:val="single" w:sz="4" w:space="0" w:color="auto"/>
              <w:right w:val="single" w:sz="4" w:space="0" w:color="auto"/>
            </w:tcBorders>
            <w:shd w:val="clear" w:color="000000" w:fill="C0C0C0"/>
            <w:textDirection w:val="btLr"/>
            <w:vAlign w:val="center"/>
            <w:hideMark/>
          </w:tcPr>
          <w:p w14:paraId="613A87F4"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přihlášených</w:t>
            </w:r>
          </w:p>
        </w:tc>
        <w:tc>
          <w:tcPr>
            <w:tcW w:w="658" w:type="dxa"/>
            <w:tcBorders>
              <w:top w:val="nil"/>
              <w:left w:val="nil"/>
              <w:bottom w:val="single" w:sz="4" w:space="0" w:color="auto"/>
              <w:right w:val="single" w:sz="4" w:space="0" w:color="auto"/>
            </w:tcBorders>
            <w:shd w:val="clear" w:color="000000" w:fill="C0C0C0"/>
            <w:textDirection w:val="btLr"/>
            <w:vAlign w:val="center"/>
            <w:hideMark/>
          </w:tcPr>
          <w:p w14:paraId="1D7E82BF"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přijatých</w:t>
            </w:r>
          </w:p>
        </w:tc>
        <w:tc>
          <w:tcPr>
            <w:tcW w:w="658" w:type="dxa"/>
            <w:tcBorders>
              <w:top w:val="nil"/>
              <w:left w:val="nil"/>
              <w:bottom w:val="single" w:sz="4" w:space="0" w:color="auto"/>
              <w:right w:val="single" w:sz="4" w:space="0" w:color="auto"/>
            </w:tcBorders>
            <w:shd w:val="clear" w:color="000000" w:fill="C0C0C0"/>
            <w:textDirection w:val="btLr"/>
            <w:vAlign w:val="center"/>
            <w:hideMark/>
          </w:tcPr>
          <w:p w14:paraId="196A8A78"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Počet</w:t>
            </w:r>
            <w:r w:rsidRPr="004C621E">
              <w:rPr>
                <w:rFonts w:eastAsia="Times New Roman" w:cstheme="minorHAnsi"/>
                <w:bCs/>
                <w:sz w:val="18"/>
                <w:szCs w:val="18"/>
                <w:lang w:eastAsia="cs-CZ"/>
              </w:rPr>
              <w:br/>
              <w:t xml:space="preserve"> zapsaných</w:t>
            </w:r>
          </w:p>
        </w:tc>
        <w:tc>
          <w:tcPr>
            <w:tcW w:w="801" w:type="dxa"/>
            <w:tcBorders>
              <w:top w:val="nil"/>
              <w:left w:val="nil"/>
              <w:bottom w:val="single" w:sz="4" w:space="0" w:color="auto"/>
              <w:right w:val="single" w:sz="4" w:space="0" w:color="auto"/>
            </w:tcBorders>
            <w:shd w:val="clear" w:color="000000" w:fill="C0C0C0"/>
            <w:textDirection w:val="btLr"/>
            <w:vAlign w:val="center"/>
            <w:hideMark/>
          </w:tcPr>
          <w:p w14:paraId="274ED019"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 xml:space="preserve">Počet přijatých / počet přihlášených </w:t>
            </w:r>
          </w:p>
        </w:tc>
        <w:tc>
          <w:tcPr>
            <w:tcW w:w="658" w:type="dxa"/>
            <w:tcBorders>
              <w:top w:val="nil"/>
              <w:left w:val="nil"/>
              <w:bottom w:val="single" w:sz="4" w:space="0" w:color="auto"/>
              <w:right w:val="single" w:sz="12" w:space="0" w:color="auto"/>
            </w:tcBorders>
            <w:shd w:val="clear" w:color="000000" w:fill="C0C0C0"/>
            <w:textDirection w:val="btLr"/>
            <w:vAlign w:val="center"/>
            <w:hideMark/>
          </w:tcPr>
          <w:p w14:paraId="159212E5" w14:textId="77777777" w:rsidR="00AD5348" w:rsidRPr="004C621E" w:rsidRDefault="00AD5348" w:rsidP="00E37D33">
            <w:pPr>
              <w:spacing w:before="0"/>
              <w:jc w:val="center"/>
              <w:rPr>
                <w:rFonts w:eastAsia="Times New Roman" w:cstheme="minorHAnsi"/>
                <w:bCs/>
                <w:sz w:val="18"/>
                <w:szCs w:val="18"/>
                <w:lang w:eastAsia="cs-CZ"/>
              </w:rPr>
            </w:pPr>
            <w:r w:rsidRPr="004C621E">
              <w:rPr>
                <w:rFonts w:eastAsia="Times New Roman" w:cstheme="minorHAnsi"/>
                <w:bCs/>
                <w:sz w:val="18"/>
                <w:szCs w:val="18"/>
                <w:lang w:eastAsia="cs-CZ"/>
              </w:rPr>
              <w:t>Úspěšnost uchazečů *)</w:t>
            </w:r>
          </w:p>
        </w:tc>
      </w:tr>
      <w:tr w:rsidR="00AD5348" w:rsidRPr="0034728B" w14:paraId="13B09479" w14:textId="77777777" w:rsidTr="00E37D33">
        <w:trPr>
          <w:trHeight w:val="202"/>
        </w:trPr>
        <w:tc>
          <w:tcPr>
            <w:tcW w:w="2554" w:type="dxa"/>
            <w:tcBorders>
              <w:top w:val="single" w:sz="4" w:space="0" w:color="auto"/>
              <w:left w:val="single" w:sz="12" w:space="0" w:color="auto"/>
              <w:bottom w:val="single" w:sz="4" w:space="0" w:color="auto"/>
              <w:right w:val="single" w:sz="12" w:space="0" w:color="auto"/>
            </w:tcBorders>
            <w:shd w:val="clear" w:color="auto" w:fill="EDEDED" w:themeFill="accent3" w:themeFillTint="33"/>
            <w:noWrap/>
            <w:vAlign w:val="center"/>
            <w:hideMark/>
          </w:tcPr>
          <w:p w14:paraId="2D034E51" w14:textId="77777777" w:rsidR="00AD5348" w:rsidRPr="0034728B" w:rsidRDefault="00AD5348" w:rsidP="00E37D33">
            <w:pPr>
              <w:spacing w:before="0"/>
              <w:jc w:val="left"/>
              <w:rPr>
                <w:rFonts w:eastAsia="Times New Roman" w:cstheme="minorHAnsi"/>
                <w:sz w:val="18"/>
                <w:szCs w:val="18"/>
                <w:lang w:eastAsia="cs-CZ"/>
              </w:rPr>
            </w:pPr>
            <w:r w:rsidRPr="0034728B">
              <w:rPr>
                <w:rFonts w:eastAsia="Times New Roman" w:cstheme="minorHAnsi"/>
                <w:sz w:val="18"/>
                <w:szCs w:val="18"/>
                <w:lang w:eastAsia="cs-CZ"/>
              </w:rPr>
              <w:t>Fakulta technologická  </w:t>
            </w:r>
          </w:p>
        </w:tc>
        <w:tc>
          <w:tcPr>
            <w:tcW w:w="621" w:type="dxa"/>
            <w:tcBorders>
              <w:top w:val="nil"/>
              <w:left w:val="single" w:sz="12" w:space="0" w:color="auto"/>
              <w:bottom w:val="single" w:sz="4" w:space="0" w:color="auto"/>
              <w:right w:val="single" w:sz="4" w:space="0" w:color="auto"/>
            </w:tcBorders>
            <w:shd w:val="clear" w:color="auto" w:fill="auto"/>
            <w:noWrap/>
            <w:vAlign w:val="center"/>
            <w:hideMark/>
          </w:tcPr>
          <w:p w14:paraId="72E04C9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1 093</w:t>
            </w:r>
          </w:p>
        </w:tc>
        <w:tc>
          <w:tcPr>
            <w:tcW w:w="648" w:type="dxa"/>
            <w:tcBorders>
              <w:top w:val="nil"/>
              <w:left w:val="nil"/>
              <w:bottom w:val="single" w:sz="4" w:space="0" w:color="auto"/>
              <w:right w:val="single" w:sz="4" w:space="0" w:color="auto"/>
            </w:tcBorders>
            <w:shd w:val="clear" w:color="auto" w:fill="auto"/>
            <w:noWrap/>
            <w:vAlign w:val="center"/>
            <w:hideMark/>
          </w:tcPr>
          <w:p w14:paraId="21E754E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972</w:t>
            </w:r>
          </w:p>
        </w:tc>
        <w:tc>
          <w:tcPr>
            <w:tcW w:w="587" w:type="dxa"/>
            <w:tcBorders>
              <w:top w:val="nil"/>
              <w:left w:val="nil"/>
              <w:bottom w:val="single" w:sz="4" w:space="0" w:color="auto"/>
              <w:right w:val="single" w:sz="4" w:space="0" w:color="auto"/>
            </w:tcBorders>
            <w:shd w:val="clear" w:color="auto" w:fill="auto"/>
            <w:noWrap/>
            <w:vAlign w:val="center"/>
            <w:hideMark/>
          </w:tcPr>
          <w:p w14:paraId="42B05112"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779</w:t>
            </w:r>
          </w:p>
        </w:tc>
        <w:tc>
          <w:tcPr>
            <w:tcW w:w="587" w:type="dxa"/>
            <w:tcBorders>
              <w:top w:val="nil"/>
              <w:left w:val="nil"/>
              <w:bottom w:val="single" w:sz="4" w:space="0" w:color="auto"/>
              <w:right w:val="single" w:sz="4" w:space="0" w:color="auto"/>
            </w:tcBorders>
            <w:shd w:val="clear" w:color="auto" w:fill="auto"/>
            <w:noWrap/>
            <w:vAlign w:val="center"/>
            <w:hideMark/>
          </w:tcPr>
          <w:p w14:paraId="0122F9C2"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616</w:t>
            </w:r>
          </w:p>
        </w:tc>
        <w:tc>
          <w:tcPr>
            <w:tcW w:w="815" w:type="dxa"/>
            <w:tcBorders>
              <w:top w:val="nil"/>
              <w:left w:val="nil"/>
              <w:bottom w:val="single" w:sz="4" w:space="0" w:color="auto"/>
              <w:right w:val="single" w:sz="4" w:space="0" w:color="auto"/>
            </w:tcBorders>
            <w:shd w:val="clear" w:color="auto" w:fill="auto"/>
            <w:noWrap/>
            <w:vAlign w:val="center"/>
            <w:hideMark/>
          </w:tcPr>
          <w:p w14:paraId="35D42F44"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80,1%</w:t>
            </w:r>
          </w:p>
        </w:tc>
        <w:tc>
          <w:tcPr>
            <w:tcW w:w="597" w:type="dxa"/>
            <w:tcBorders>
              <w:top w:val="nil"/>
              <w:left w:val="nil"/>
              <w:bottom w:val="single" w:sz="4" w:space="0" w:color="auto"/>
              <w:right w:val="single" w:sz="12" w:space="0" w:color="auto"/>
            </w:tcBorders>
            <w:shd w:val="clear" w:color="auto" w:fill="auto"/>
            <w:noWrap/>
            <w:vAlign w:val="center"/>
            <w:hideMark/>
          </w:tcPr>
          <w:p w14:paraId="2826087E"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80,1%</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56207EF9"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1 118</w:t>
            </w:r>
          </w:p>
        </w:tc>
        <w:tc>
          <w:tcPr>
            <w:tcW w:w="658" w:type="dxa"/>
            <w:tcBorders>
              <w:top w:val="nil"/>
              <w:left w:val="nil"/>
              <w:bottom w:val="single" w:sz="4" w:space="0" w:color="auto"/>
              <w:right w:val="single" w:sz="4" w:space="0" w:color="auto"/>
            </w:tcBorders>
            <w:shd w:val="clear" w:color="auto" w:fill="auto"/>
            <w:noWrap/>
            <w:vAlign w:val="center"/>
            <w:hideMark/>
          </w:tcPr>
          <w:p w14:paraId="37B3EEF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1 026</w:t>
            </w:r>
          </w:p>
        </w:tc>
        <w:tc>
          <w:tcPr>
            <w:tcW w:w="658" w:type="dxa"/>
            <w:tcBorders>
              <w:top w:val="nil"/>
              <w:left w:val="nil"/>
              <w:bottom w:val="single" w:sz="4" w:space="0" w:color="auto"/>
              <w:right w:val="single" w:sz="4" w:space="0" w:color="auto"/>
            </w:tcBorders>
            <w:shd w:val="clear" w:color="auto" w:fill="auto"/>
            <w:noWrap/>
            <w:vAlign w:val="center"/>
            <w:hideMark/>
          </w:tcPr>
          <w:p w14:paraId="0CE2A79D"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796</w:t>
            </w:r>
          </w:p>
        </w:tc>
        <w:tc>
          <w:tcPr>
            <w:tcW w:w="684" w:type="dxa"/>
            <w:tcBorders>
              <w:top w:val="nil"/>
              <w:left w:val="nil"/>
              <w:bottom w:val="single" w:sz="4" w:space="0" w:color="auto"/>
              <w:right w:val="single" w:sz="4" w:space="0" w:color="auto"/>
            </w:tcBorders>
            <w:shd w:val="clear" w:color="auto" w:fill="auto"/>
            <w:noWrap/>
            <w:vAlign w:val="center"/>
            <w:hideMark/>
          </w:tcPr>
          <w:p w14:paraId="6E44E28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648</w:t>
            </w:r>
          </w:p>
        </w:tc>
        <w:tc>
          <w:tcPr>
            <w:tcW w:w="768" w:type="dxa"/>
            <w:tcBorders>
              <w:top w:val="nil"/>
              <w:left w:val="nil"/>
              <w:bottom w:val="single" w:sz="4" w:space="0" w:color="auto"/>
              <w:right w:val="single" w:sz="4" w:space="0" w:color="auto"/>
            </w:tcBorders>
            <w:shd w:val="clear" w:color="auto" w:fill="auto"/>
            <w:noWrap/>
            <w:vAlign w:val="center"/>
            <w:hideMark/>
          </w:tcPr>
          <w:p w14:paraId="63B2A96F"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77,6%</w:t>
            </w:r>
          </w:p>
        </w:tc>
        <w:tc>
          <w:tcPr>
            <w:tcW w:w="658" w:type="dxa"/>
            <w:tcBorders>
              <w:top w:val="nil"/>
              <w:left w:val="nil"/>
              <w:bottom w:val="single" w:sz="4" w:space="0" w:color="auto"/>
              <w:right w:val="single" w:sz="12" w:space="0" w:color="auto"/>
            </w:tcBorders>
            <w:shd w:val="clear" w:color="auto" w:fill="auto"/>
            <w:noWrap/>
            <w:vAlign w:val="center"/>
            <w:hideMark/>
          </w:tcPr>
          <w:p w14:paraId="581AEC40"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77,6%</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1BE646C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1 371</w:t>
            </w:r>
          </w:p>
        </w:tc>
        <w:tc>
          <w:tcPr>
            <w:tcW w:w="658" w:type="dxa"/>
            <w:tcBorders>
              <w:top w:val="nil"/>
              <w:left w:val="nil"/>
              <w:bottom w:val="single" w:sz="4" w:space="0" w:color="auto"/>
              <w:right w:val="single" w:sz="4" w:space="0" w:color="auto"/>
            </w:tcBorders>
            <w:shd w:val="clear" w:color="auto" w:fill="auto"/>
            <w:noWrap/>
            <w:vAlign w:val="center"/>
            <w:hideMark/>
          </w:tcPr>
          <w:p w14:paraId="6C3690A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1 234</w:t>
            </w:r>
          </w:p>
        </w:tc>
        <w:tc>
          <w:tcPr>
            <w:tcW w:w="658" w:type="dxa"/>
            <w:tcBorders>
              <w:top w:val="nil"/>
              <w:left w:val="nil"/>
              <w:bottom w:val="single" w:sz="4" w:space="0" w:color="auto"/>
              <w:right w:val="single" w:sz="4" w:space="0" w:color="auto"/>
            </w:tcBorders>
            <w:shd w:val="clear" w:color="auto" w:fill="auto"/>
            <w:noWrap/>
            <w:vAlign w:val="center"/>
            <w:hideMark/>
          </w:tcPr>
          <w:p w14:paraId="0458CF6F"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935</w:t>
            </w:r>
          </w:p>
        </w:tc>
        <w:tc>
          <w:tcPr>
            <w:tcW w:w="658" w:type="dxa"/>
            <w:tcBorders>
              <w:top w:val="nil"/>
              <w:left w:val="nil"/>
              <w:bottom w:val="single" w:sz="4" w:space="0" w:color="auto"/>
              <w:right w:val="single" w:sz="4" w:space="0" w:color="auto"/>
            </w:tcBorders>
            <w:shd w:val="clear" w:color="auto" w:fill="auto"/>
            <w:noWrap/>
            <w:vAlign w:val="center"/>
            <w:hideMark/>
          </w:tcPr>
          <w:p w14:paraId="5E1A8A99"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768</w:t>
            </w:r>
          </w:p>
        </w:tc>
        <w:tc>
          <w:tcPr>
            <w:tcW w:w="801" w:type="dxa"/>
            <w:tcBorders>
              <w:top w:val="nil"/>
              <w:left w:val="nil"/>
              <w:bottom w:val="single" w:sz="4" w:space="0" w:color="auto"/>
              <w:right w:val="single" w:sz="4" w:space="0" w:color="auto"/>
            </w:tcBorders>
            <w:shd w:val="clear" w:color="auto" w:fill="auto"/>
            <w:noWrap/>
            <w:vAlign w:val="center"/>
            <w:hideMark/>
          </w:tcPr>
          <w:p w14:paraId="3B43EF0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75,8%</w:t>
            </w:r>
          </w:p>
        </w:tc>
        <w:tc>
          <w:tcPr>
            <w:tcW w:w="658" w:type="dxa"/>
            <w:tcBorders>
              <w:top w:val="nil"/>
              <w:left w:val="nil"/>
              <w:bottom w:val="single" w:sz="4" w:space="0" w:color="auto"/>
              <w:right w:val="single" w:sz="12" w:space="0" w:color="auto"/>
            </w:tcBorders>
            <w:shd w:val="clear" w:color="auto" w:fill="auto"/>
            <w:noWrap/>
            <w:vAlign w:val="center"/>
            <w:hideMark/>
          </w:tcPr>
          <w:p w14:paraId="38363C3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75,8%</w:t>
            </w:r>
          </w:p>
        </w:tc>
      </w:tr>
      <w:tr w:rsidR="00AD5348" w:rsidRPr="0034728B" w14:paraId="4DA7519F" w14:textId="77777777" w:rsidTr="00E37D33">
        <w:trPr>
          <w:trHeight w:val="202"/>
        </w:trPr>
        <w:tc>
          <w:tcPr>
            <w:tcW w:w="2554" w:type="dxa"/>
            <w:tcBorders>
              <w:top w:val="single" w:sz="4" w:space="0" w:color="auto"/>
              <w:left w:val="single" w:sz="12" w:space="0" w:color="auto"/>
              <w:bottom w:val="single" w:sz="4" w:space="0" w:color="auto"/>
              <w:right w:val="single" w:sz="12" w:space="0" w:color="auto"/>
            </w:tcBorders>
            <w:shd w:val="clear" w:color="auto" w:fill="EDEDED" w:themeFill="accent3" w:themeFillTint="33"/>
            <w:noWrap/>
            <w:vAlign w:val="center"/>
            <w:hideMark/>
          </w:tcPr>
          <w:p w14:paraId="783CA9EA" w14:textId="2D9AB5FB" w:rsidR="00AD5348" w:rsidRPr="0034728B" w:rsidRDefault="00AD5348" w:rsidP="000F101A">
            <w:pPr>
              <w:spacing w:before="0"/>
              <w:ind w:leftChars="-1" w:left="-2" w:firstLine="1"/>
              <w:jc w:val="left"/>
              <w:rPr>
                <w:rFonts w:eastAsia="Times New Roman" w:cstheme="minorHAnsi"/>
                <w:sz w:val="18"/>
                <w:szCs w:val="18"/>
                <w:lang w:eastAsia="cs-CZ"/>
              </w:rPr>
            </w:pPr>
            <w:r w:rsidRPr="0034728B">
              <w:rPr>
                <w:rFonts w:eastAsia="Times New Roman" w:cstheme="minorHAnsi"/>
                <w:sz w:val="18"/>
                <w:szCs w:val="18"/>
                <w:lang w:eastAsia="cs-CZ"/>
              </w:rPr>
              <w:t>Fakulta managementu a</w:t>
            </w:r>
            <w:r w:rsidR="000F101A">
              <w:rPr>
                <w:rFonts w:eastAsia="Times New Roman" w:cstheme="minorHAnsi"/>
                <w:sz w:val="18"/>
                <w:szCs w:val="18"/>
                <w:lang w:eastAsia="cs-CZ"/>
              </w:rPr>
              <w:t> </w:t>
            </w:r>
            <w:r w:rsidRPr="0034728B">
              <w:rPr>
                <w:rFonts w:eastAsia="Times New Roman" w:cstheme="minorHAnsi"/>
                <w:sz w:val="18"/>
                <w:szCs w:val="18"/>
                <w:lang w:eastAsia="cs-CZ"/>
              </w:rPr>
              <w:t>ekonomiky  </w:t>
            </w:r>
          </w:p>
        </w:tc>
        <w:tc>
          <w:tcPr>
            <w:tcW w:w="621" w:type="dxa"/>
            <w:tcBorders>
              <w:top w:val="nil"/>
              <w:left w:val="single" w:sz="12" w:space="0" w:color="auto"/>
              <w:bottom w:val="single" w:sz="4" w:space="0" w:color="auto"/>
              <w:right w:val="single" w:sz="4" w:space="0" w:color="auto"/>
            </w:tcBorders>
            <w:shd w:val="clear" w:color="auto" w:fill="auto"/>
            <w:noWrap/>
            <w:vAlign w:val="center"/>
            <w:hideMark/>
          </w:tcPr>
          <w:p w14:paraId="4A4F6C8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1 132</w:t>
            </w:r>
          </w:p>
        </w:tc>
        <w:tc>
          <w:tcPr>
            <w:tcW w:w="648" w:type="dxa"/>
            <w:tcBorders>
              <w:top w:val="nil"/>
              <w:left w:val="nil"/>
              <w:bottom w:val="single" w:sz="4" w:space="0" w:color="auto"/>
              <w:right w:val="single" w:sz="4" w:space="0" w:color="auto"/>
            </w:tcBorders>
            <w:shd w:val="clear" w:color="auto" w:fill="auto"/>
            <w:noWrap/>
            <w:vAlign w:val="center"/>
            <w:hideMark/>
          </w:tcPr>
          <w:p w14:paraId="6403F81F"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985</w:t>
            </w:r>
          </w:p>
        </w:tc>
        <w:tc>
          <w:tcPr>
            <w:tcW w:w="587" w:type="dxa"/>
            <w:tcBorders>
              <w:top w:val="nil"/>
              <w:left w:val="nil"/>
              <w:bottom w:val="single" w:sz="4" w:space="0" w:color="auto"/>
              <w:right w:val="single" w:sz="4" w:space="0" w:color="auto"/>
            </w:tcBorders>
            <w:shd w:val="clear" w:color="auto" w:fill="auto"/>
            <w:noWrap/>
            <w:vAlign w:val="center"/>
            <w:hideMark/>
          </w:tcPr>
          <w:p w14:paraId="07529F1F"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539</w:t>
            </w:r>
          </w:p>
        </w:tc>
        <w:tc>
          <w:tcPr>
            <w:tcW w:w="587" w:type="dxa"/>
            <w:tcBorders>
              <w:top w:val="nil"/>
              <w:left w:val="nil"/>
              <w:bottom w:val="single" w:sz="4" w:space="0" w:color="auto"/>
              <w:right w:val="single" w:sz="4" w:space="0" w:color="auto"/>
            </w:tcBorders>
            <w:shd w:val="clear" w:color="auto" w:fill="auto"/>
            <w:noWrap/>
            <w:vAlign w:val="center"/>
            <w:hideMark/>
          </w:tcPr>
          <w:p w14:paraId="07AF244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519</w:t>
            </w:r>
          </w:p>
        </w:tc>
        <w:tc>
          <w:tcPr>
            <w:tcW w:w="815" w:type="dxa"/>
            <w:tcBorders>
              <w:top w:val="nil"/>
              <w:left w:val="nil"/>
              <w:bottom w:val="single" w:sz="4" w:space="0" w:color="auto"/>
              <w:right w:val="single" w:sz="4" w:space="0" w:color="auto"/>
            </w:tcBorders>
            <w:shd w:val="clear" w:color="auto" w:fill="auto"/>
            <w:noWrap/>
            <w:vAlign w:val="center"/>
            <w:hideMark/>
          </w:tcPr>
          <w:p w14:paraId="650FA496"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54,7%</w:t>
            </w:r>
          </w:p>
        </w:tc>
        <w:tc>
          <w:tcPr>
            <w:tcW w:w="597" w:type="dxa"/>
            <w:tcBorders>
              <w:top w:val="nil"/>
              <w:left w:val="nil"/>
              <w:bottom w:val="single" w:sz="4" w:space="0" w:color="auto"/>
              <w:right w:val="single" w:sz="12" w:space="0" w:color="auto"/>
            </w:tcBorders>
            <w:shd w:val="clear" w:color="auto" w:fill="auto"/>
            <w:noWrap/>
            <w:vAlign w:val="center"/>
            <w:hideMark/>
          </w:tcPr>
          <w:p w14:paraId="242A04CE"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54,7%</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7B072567"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1 162</w:t>
            </w:r>
          </w:p>
        </w:tc>
        <w:tc>
          <w:tcPr>
            <w:tcW w:w="658" w:type="dxa"/>
            <w:tcBorders>
              <w:top w:val="nil"/>
              <w:left w:val="nil"/>
              <w:bottom w:val="single" w:sz="4" w:space="0" w:color="auto"/>
              <w:right w:val="single" w:sz="4" w:space="0" w:color="auto"/>
            </w:tcBorders>
            <w:shd w:val="clear" w:color="auto" w:fill="auto"/>
            <w:noWrap/>
            <w:vAlign w:val="center"/>
            <w:hideMark/>
          </w:tcPr>
          <w:p w14:paraId="5C32E710"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981</w:t>
            </w:r>
          </w:p>
        </w:tc>
        <w:tc>
          <w:tcPr>
            <w:tcW w:w="658" w:type="dxa"/>
            <w:tcBorders>
              <w:top w:val="nil"/>
              <w:left w:val="nil"/>
              <w:bottom w:val="single" w:sz="4" w:space="0" w:color="auto"/>
              <w:right w:val="single" w:sz="4" w:space="0" w:color="auto"/>
            </w:tcBorders>
            <w:shd w:val="clear" w:color="auto" w:fill="auto"/>
            <w:noWrap/>
            <w:vAlign w:val="center"/>
            <w:hideMark/>
          </w:tcPr>
          <w:p w14:paraId="27D73A6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460</w:t>
            </w:r>
          </w:p>
        </w:tc>
        <w:tc>
          <w:tcPr>
            <w:tcW w:w="684" w:type="dxa"/>
            <w:tcBorders>
              <w:top w:val="nil"/>
              <w:left w:val="nil"/>
              <w:bottom w:val="single" w:sz="4" w:space="0" w:color="auto"/>
              <w:right w:val="single" w:sz="4" w:space="0" w:color="auto"/>
            </w:tcBorders>
            <w:shd w:val="clear" w:color="auto" w:fill="auto"/>
            <w:noWrap/>
            <w:vAlign w:val="center"/>
            <w:hideMark/>
          </w:tcPr>
          <w:p w14:paraId="06E7BF2F"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445</w:t>
            </w:r>
          </w:p>
        </w:tc>
        <w:tc>
          <w:tcPr>
            <w:tcW w:w="768" w:type="dxa"/>
            <w:tcBorders>
              <w:top w:val="nil"/>
              <w:left w:val="nil"/>
              <w:bottom w:val="single" w:sz="4" w:space="0" w:color="auto"/>
              <w:right w:val="single" w:sz="4" w:space="0" w:color="auto"/>
            </w:tcBorders>
            <w:shd w:val="clear" w:color="auto" w:fill="auto"/>
            <w:noWrap/>
            <w:vAlign w:val="center"/>
            <w:hideMark/>
          </w:tcPr>
          <w:p w14:paraId="039E320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46,9%</w:t>
            </w:r>
          </w:p>
        </w:tc>
        <w:tc>
          <w:tcPr>
            <w:tcW w:w="658" w:type="dxa"/>
            <w:tcBorders>
              <w:top w:val="nil"/>
              <w:left w:val="nil"/>
              <w:bottom w:val="single" w:sz="4" w:space="0" w:color="auto"/>
              <w:right w:val="single" w:sz="12" w:space="0" w:color="auto"/>
            </w:tcBorders>
            <w:shd w:val="clear" w:color="auto" w:fill="auto"/>
            <w:noWrap/>
            <w:vAlign w:val="center"/>
            <w:hideMark/>
          </w:tcPr>
          <w:p w14:paraId="66F25371"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46,9%</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7977FD86"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1 351</w:t>
            </w:r>
          </w:p>
        </w:tc>
        <w:tc>
          <w:tcPr>
            <w:tcW w:w="658" w:type="dxa"/>
            <w:tcBorders>
              <w:top w:val="nil"/>
              <w:left w:val="nil"/>
              <w:bottom w:val="single" w:sz="4" w:space="0" w:color="auto"/>
              <w:right w:val="single" w:sz="4" w:space="0" w:color="auto"/>
            </w:tcBorders>
            <w:shd w:val="clear" w:color="auto" w:fill="auto"/>
            <w:noWrap/>
            <w:vAlign w:val="center"/>
            <w:hideMark/>
          </w:tcPr>
          <w:p w14:paraId="0B45F7F7"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1 149</w:t>
            </w:r>
          </w:p>
        </w:tc>
        <w:tc>
          <w:tcPr>
            <w:tcW w:w="658" w:type="dxa"/>
            <w:tcBorders>
              <w:top w:val="nil"/>
              <w:left w:val="nil"/>
              <w:bottom w:val="single" w:sz="4" w:space="0" w:color="auto"/>
              <w:right w:val="single" w:sz="4" w:space="0" w:color="auto"/>
            </w:tcBorders>
            <w:shd w:val="clear" w:color="auto" w:fill="auto"/>
            <w:noWrap/>
            <w:vAlign w:val="center"/>
            <w:hideMark/>
          </w:tcPr>
          <w:p w14:paraId="164682FE"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543</w:t>
            </w:r>
          </w:p>
        </w:tc>
        <w:tc>
          <w:tcPr>
            <w:tcW w:w="658" w:type="dxa"/>
            <w:tcBorders>
              <w:top w:val="nil"/>
              <w:left w:val="nil"/>
              <w:bottom w:val="single" w:sz="4" w:space="0" w:color="auto"/>
              <w:right w:val="single" w:sz="4" w:space="0" w:color="auto"/>
            </w:tcBorders>
            <w:shd w:val="clear" w:color="auto" w:fill="auto"/>
            <w:noWrap/>
            <w:vAlign w:val="center"/>
            <w:hideMark/>
          </w:tcPr>
          <w:p w14:paraId="2A1C0FF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525</w:t>
            </w:r>
          </w:p>
        </w:tc>
        <w:tc>
          <w:tcPr>
            <w:tcW w:w="801" w:type="dxa"/>
            <w:tcBorders>
              <w:top w:val="nil"/>
              <w:left w:val="nil"/>
              <w:bottom w:val="single" w:sz="4" w:space="0" w:color="auto"/>
              <w:right w:val="single" w:sz="4" w:space="0" w:color="auto"/>
            </w:tcBorders>
            <w:shd w:val="clear" w:color="auto" w:fill="auto"/>
            <w:noWrap/>
            <w:vAlign w:val="center"/>
            <w:hideMark/>
          </w:tcPr>
          <w:p w14:paraId="119D0100"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47,3%</w:t>
            </w:r>
          </w:p>
        </w:tc>
        <w:tc>
          <w:tcPr>
            <w:tcW w:w="658" w:type="dxa"/>
            <w:tcBorders>
              <w:top w:val="nil"/>
              <w:left w:val="nil"/>
              <w:bottom w:val="single" w:sz="4" w:space="0" w:color="auto"/>
              <w:right w:val="single" w:sz="12" w:space="0" w:color="auto"/>
            </w:tcBorders>
            <w:shd w:val="clear" w:color="auto" w:fill="auto"/>
            <w:noWrap/>
            <w:vAlign w:val="center"/>
            <w:hideMark/>
          </w:tcPr>
          <w:p w14:paraId="4F3C0C0E"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47,3%</w:t>
            </w:r>
          </w:p>
        </w:tc>
      </w:tr>
      <w:tr w:rsidR="00AD5348" w:rsidRPr="0034728B" w14:paraId="53ABEC22" w14:textId="77777777" w:rsidTr="00E37D33">
        <w:trPr>
          <w:trHeight w:val="202"/>
        </w:trPr>
        <w:tc>
          <w:tcPr>
            <w:tcW w:w="2554" w:type="dxa"/>
            <w:tcBorders>
              <w:top w:val="single" w:sz="4" w:space="0" w:color="auto"/>
              <w:left w:val="single" w:sz="12" w:space="0" w:color="auto"/>
              <w:bottom w:val="single" w:sz="4" w:space="0" w:color="auto"/>
              <w:right w:val="single" w:sz="12" w:space="0" w:color="auto"/>
            </w:tcBorders>
            <w:shd w:val="clear" w:color="auto" w:fill="EDEDED" w:themeFill="accent3" w:themeFillTint="33"/>
            <w:noWrap/>
            <w:vAlign w:val="center"/>
            <w:hideMark/>
          </w:tcPr>
          <w:p w14:paraId="26F3271E" w14:textId="77777777" w:rsidR="00AD5348" w:rsidRPr="0034728B" w:rsidRDefault="00AD5348" w:rsidP="00E37D33">
            <w:pPr>
              <w:spacing w:before="0"/>
              <w:jc w:val="left"/>
              <w:rPr>
                <w:rFonts w:eastAsia="Times New Roman" w:cstheme="minorHAnsi"/>
                <w:sz w:val="18"/>
                <w:szCs w:val="18"/>
                <w:lang w:eastAsia="cs-CZ"/>
              </w:rPr>
            </w:pPr>
            <w:r w:rsidRPr="0034728B">
              <w:rPr>
                <w:rFonts w:eastAsia="Times New Roman" w:cstheme="minorHAnsi"/>
                <w:sz w:val="18"/>
                <w:szCs w:val="18"/>
                <w:lang w:eastAsia="cs-CZ"/>
              </w:rPr>
              <w:t>Fakulta multimediálních komunikací  </w:t>
            </w:r>
          </w:p>
        </w:tc>
        <w:tc>
          <w:tcPr>
            <w:tcW w:w="621" w:type="dxa"/>
            <w:tcBorders>
              <w:top w:val="nil"/>
              <w:left w:val="single" w:sz="12" w:space="0" w:color="auto"/>
              <w:bottom w:val="single" w:sz="4" w:space="0" w:color="auto"/>
              <w:right w:val="single" w:sz="4" w:space="0" w:color="auto"/>
            </w:tcBorders>
            <w:shd w:val="clear" w:color="auto" w:fill="auto"/>
            <w:noWrap/>
            <w:vAlign w:val="center"/>
            <w:hideMark/>
          </w:tcPr>
          <w:p w14:paraId="5930620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982</w:t>
            </w:r>
          </w:p>
        </w:tc>
        <w:tc>
          <w:tcPr>
            <w:tcW w:w="648" w:type="dxa"/>
            <w:tcBorders>
              <w:top w:val="nil"/>
              <w:left w:val="nil"/>
              <w:bottom w:val="single" w:sz="4" w:space="0" w:color="auto"/>
              <w:right w:val="single" w:sz="4" w:space="0" w:color="auto"/>
            </w:tcBorders>
            <w:shd w:val="clear" w:color="auto" w:fill="auto"/>
            <w:noWrap/>
            <w:vAlign w:val="center"/>
            <w:hideMark/>
          </w:tcPr>
          <w:p w14:paraId="302D358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957</w:t>
            </w:r>
          </w:p>
        </w:tc>
        <w:tc>
          <w:tcPr>
            <w:tcW w:w="587" w:type="dxa"/>
            <w:tcBorders>
              <w:top w:val="nil"/>
              <w:left w:val="nil"/>
              <w:bottom w:val="single" w:sz="4" w:space="0" w:color="auto"/>
              <w:right w:val="single" w:sz="4" w:space="0" w:color="auto"/>
            </w:tcBorders>
            <w:shd w:val="clear" w:color="auto" w:fill="auto"/>
            <w:noWrap/>
            <w:vAlign w:val="center"/>
            <w:hideMark/>
          </w:tcPr>
          <w:p w14:paraId="516B627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199</w:t>
            </w:r>
          </w:p>
        </w:tc>
        <w:tc>
          <w:tcPr>
            <w:tcW w:w="587" w:type="dxa"/>
            <w:tcBorders>
              <w:top w:val="nil"/>
              <w:left w:val="nil"/>
              <w:bottom w:val="single" w:sz="4" w:space="0" w:color="auto"/>
              <w:right w:val="single" w:sz="4" w:space="0" w:color="auto"/>
            </w:tcBorders>
            <w:shd w:val="clear" w:color="auto" w:fill="auto"/>
            <w:noWrap/>
            <w:vAlign w:val="center"/>
            <w:hideMark/>
          </w:tcPr>
          <w:p w14:paraId="1FAD7B0D"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199</w:t>
            </w:r>
          </w:p>
        </w:tc>
        <w:tc>
          <w:tcPr>
            <w:tcW w:w="815" w:type="dxa"/>
            <w:tcBorders>
              <w:top w:val="nil"/>
              <w:left w:val="nil"/>
              <w:bottom w:val="single" w:sz="4" w:space="0" w:color="auto"/>
              <w:right w:val="single" w:sz="4" w:space="0" w:color="auto"/>
            </w:tcBorders>
            <w:shd w:val="clear" w:color="auto" w:fill="auto"/>
            <w:noWrap/>
            <w:vAlign w:val="center"/>
            <w:hideMark/>
          </w:tcPr>
          <w:p w14:paraId="5D5652F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20,8%</w:t>
            </w:r>
          </w:p>
        </w:tc>
        <w:tc>
          <w:tcPr>
            <w:tcW w:w="597" w:type="dxa"/>
            <w:tcBorders>
              <w:top w:val="nil"/>
              <w:left w:val="nil"/>
              <w:bottom w:val="single" w:sz="4" w:space="0" w:color="auto"/>
              <w:right w:val="single" w:sz="12" w:space="0" w:color="auto"/>
            </w:tcBorders>
            <w:shd w:val="clear" w:color="auto" w:fill="auto"/>
            <w:noWrap/>
            <w:vAlign w:val="center"/>
            <w:hideMark/>
          </w:tcPr>
          <w:p w14:paraId="53B91B14"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25,9%</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7F50B032"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918</w:t>
            </w:r>
          </w:p>
        </w:tc>
        <w:tc>
          <w:tcPr>
            <w:tcW w:w="658" w:type="dxa"/>
            <w:tcBorders>
              <w:top w:val="nil"/>
              <w:left w:val="nil"/>
              <w:bottom w:val="single" w:sz="4" w:space="0" w:color="auto"/>
              <w:right w:val="single" w:sz="4" w:space="0" w:color="auto"/>
            </w:tcBorders>
            <w:shd w:val="clear" w:color="auto" w:fill="auto"/>
            <w:noWrap/>
            <w:vAlign w:val="center"/>
            <w:hideMark/>
          </w:tcPr>
          <w:p w14:paraId="5584578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901</w:t>
            </w:r>
          </w:p>
        </w:tc>
        <w:tc>
          <w:tcPr>
            <w:tcW w:w="658" w:type="dxa"/>
            <w:tcBorders>
              <w:top w:val="nil"/>
              <w:left w:val="nil"/>
              <w:bottom w:val="single" w:sz="4" w:space="0" w:color="auto"/>
              <w:right w:val="single" w:sz="4" w:space="0" w:color="auto"/>
            </w:tcBorders>
            <w:shd w:val="clear" w:color="auto" w:fill="auto"/>
            <w:noWrap/>
            <w:vAlign w:val="center"/>
            <w:hideMark/>
          </w:tcPr>
          <w:p w14:paraId="511E256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195</w:t>
            </w:r>
          </w:p>
        </w:tc>
        <w:tc>
          <w:tcPr>
            <w:tcW w:w="684" w:type="dxa"/>
            <w:tcBorders>
              <w:top w:val="nil"/>
              <w:left w:val="nil"/>
              <w:bottom w:val="single" w:sz="4" w:space="0" w:color="auto"/>
              <w:right w:val="single" w:sz="4" w:space="0" w:color="auto"/>
            </w:tcBorders>
            <w:shd w:val="clear" w:color="auto" w:fill="auto"/>
            <w:noWrap/>
            <w:vAlign w:val="center"/>
            <w:hideMark/>
          </w:tcPr>
          <w:p w14:paraId="0C8E31C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194</w:t>
            </w:r>
          </w:p>
        </w:tc>
        <w:tc>
          <w:tcPr>
            <w:tcW w:w="768" w:type="dxa"/>
            <w:tcBorders>
              <w:top w:val="nil"/>
              <w:left w:val="nil"/>
              <w:bottom w:val="single" w:sz="4" w:space="0" w:color="auto"/>
              <w:right w:val="single" w:sz="4" w:space="0" w:color="auto"/>
            </w:tcBorders>
            <w:shd w:val="clear" w:color="auto" w:fill="auto"/>
            <w:noWrap/>
            <w:vAlign w:val="center"/>
            <w:hideMark/>
          </w:tcPr>
          <w:p w14:paraId="46181960"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21,6%</w:t>
            </w:r>
          </w:p>
        </w:tc>
        <w:tc>
          <w:tcPr>
            <w:tcW w:w="658" w:type="dxa"/>
            <w:tcBorders>
              <w:top w:val="nil"/>
              <w:left w:val="nil"/>
              <w:bottom w:val="single" w:sz="4" w:space="0" w:color="auto"/>
              <w:right w:val="single" w:sz="12" w:space="0" w:color="auto"/>
            </w:tcBorders>
            <w:shd w:val="clear" w:color="auto" w:fill="auto"/>
            <w:noWrap/>
            <w:vAlign w:val="center"/>
            <w:hideMark/>
          </w:tcPr>
          <w:p w14:paraId="2592444E"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26,3%</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7753224C"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1 137</w:t>
            </w:r>
          </w:p>
        </w:tc>
        <w:tc>
          <w:tcPr>
            <w:tcW w:w="658" w:type="dxa"/>
            <w:tcBorders>
              <w:top w:val="nil"/>
              <w:left w:val="nil"/>
              <w:bottom w:val="single" w:sz="4" w:space="0" w:color="auto"/>
              <w:right w:val="single" w:sz="4" w:space="0" w:color="auto"/>
            </w:tcBorders>
            <w:shd w:val="clear" w:color="auto" w:fill="auto"/>
            <w:noWrap/>
            <w:vAlign w:val="center"/>
            <w:hideMark/>
          </w:tcPr>
          <w:p w14:paraId="4B57C621"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1 098</w:t>
            </w:r>
          </w:p>
        </w:tc>
        <w:tc>
          <w:tcPr>
            <w:tcW w:w="658" w:type="dxa"/>
            <w:tcBorders>
              <w:top w:val="nil"/>
              <w:left w:val="nil"/>
              <w:bottom w:val="single" w:sz="4" w:space="0" w:color="auto"/>
              <w:right w:val="single" w:sz="4" w:space="0" w:color="auto"/>
            </w:tcBorders>
            <w:shd w:val="clear" w:color="auto" w:fill="auto"/>
            <w:noWrap/>
            <w:vAlign w:val="center"/>
            <w:hideMark/>
          </w:tcPr>
          <w:p w14:paraId="0158B80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224</w:t>
            </w:r>
          </w:p>
        </w:tc>
        <w:tc>
          <w:tcPr>
            <w:tcW w:w="658" w:type="dxa"/>
            <w:tcBorders>
              <w:top w:val="nil"/>
              <w:left w:val="nil"/>
              <w:bottom w:val="single" w:sz="4" w:space="0" w:color="auto"/>
              <w:right w:val="single" w:sz="4" w:space="0" w:color="auto"/>
            </w:tcBorders>
            <w:shd w:val="clear" w:color="auto" w:fill="auto"/>
            <w:noWrap/>
            <w:vAlign w:val="center"/>
            <w:hideMark/>
          </w:tcPr>
          <w:p w14:paraId="4398CEC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224</w:t>
            </w:r>
          </w:p>
        </w:tc>
        <w:tc>
          <w:tcPr>
            <w:tcW w:w="801" w:type="dxa"/>
            <w:tcBorders>
              <w:top w:val="nil"/>
              <w:left w:val="nil"/>
              <w:bottom w:val="single" w:sz="4" w:space="0" w:color="auto"/>
              <w:right w:val="single" w:sz="4" w:space="0" w:color="auto"/>
            </w:tcBorders>
            <w:shd w:val="clear" w:color="auto" w:fill="auto"/>
            <w:noWrap/>
            <w:vAlign w:val="center"/>
            <w:hideMark/>
          </w:tcPr>
          <w:p w14:paraId="58420AF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20,4%</w:t>
            </w:r>
          </w:p>
        </w:tc>
        <w:tc>
          <w:tcPr>
            <w:tcW w:w="658" w:type="dxa"/>
            <w:tcBorders>
              <w:top w:val="nil"/>
              <w:left w:val="nil"/>
              <w:bottom w:val="single" w:sz="4" w:space="0" w:color="auto"/>
              <w:right w:val="single" w:sz="12" w:space="0" w:color="auto"/>
            </w:tcBorders>
            <w:shd w:val="clear" w:color="auto" w:fill="auto"/>
            <w:noWrap/>
            <w:vAlign w:val="center"/>
            <w:hideMark/>
          </w:tcPr>
          <w:p w14:paraId="78AB0356"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25,4%</w:t>
            </w:r>
          </w:p>
        </w:tc>
      </w:tr>
      <w:tr w:rsidR="00AD5348" w:rsidRPr="0034728B" w14:paraId="6EE5E0E9" w14:textId="77777777" w:rsidTr="00E37D33">
        <w:trPr>
          <w:trHeight w:val="202"/>
        </w:trPr>
        <w:tc>
          <w:tcPr>
            <w:tcW w:w="2554" w:type="dxa"/>
            <w:tcBorders>
              <w:top w:val="single" w:sz="4" w:space="0" w:color="auto"/>
              <w:left w:val="single" w:sz="12" w:space="0" w:color="auto"/>
              <w:bottom w:val="single" w:sz="4" w:space="0" w:color="auto"/>
              <w:right w:val="single" w:sz="12" w:space="0" w:color="auto"/>
            </w:tcBorders>
            <w:shd w:val="clear" w:color="auto" w:fill="EDEDED" w:themeFill="accent3" w:themeFillTint="33"/>
            <w:noWrap/>
            <w:vAlign w:val="center"/>
            <w:hideMark/>
          </w:tcPr>
          <w:p w14:paraId="058EB1CB" w14:textId="77777777" w:rsidR="00AD5348" w:rsidRPr="0034728B" w:rsidRDefault="00AD5348" w:rsidP="00E37D33">
            <w:pPr>
              <w:spacing w:before="0"/>
              <w:jc w:val="left"/>
              <w:rPr>
                <w:rFonts w:eastAsia="Times New Roman" w:cstheme="minorHAnsi"/>
                <w:sz w:val="18"/>
                <w:szCs w:val="18"/>
                <w:lang w:eastAsia="cs-CZ"/>
              </w:rPr>
            </w:pPr>
            <w:r w:rsidRPr="0034728B">
              <w:rPr>
                <w:rFonts w:eastAsia="Times New Roman" w:cstheme="minorHAnsi"/>
                <w:sz w:val="18"/>
                <w:szCs w:val="18"/>
                <w:lang w:eastAsia="cs-CZ"/>
              </w:rPr>
              <w:t>Fakulta aplikované informatiky  </w:t>
            </w:r>
          </w:p>
        </w:tc>
        <w:tc>
          <w:tcPr>
            <w:tcW w:w="621" w:type="dxa"/>
            <w:tcBorders>
              <w:top w:val="nil"/>
              <w:left w:val="single" w:sz="12" w:space="0" w:color="auto"/>
              <w:bottom w:val="single" w:sz="4" w:space="0" w:color="auto"/>
              <w:right w:val="single" w:sz="4" w:space="0" w:color="auto"/>
            </w:tcBorders>
            <w:shd w:val="clear" w:color="auto" w:fill="auto"/>
            <w:noWrap/>
            <w:vAlign w:val="center"/>
            <w:hideMark/>
          </w:tcPr>
          <w:p w14:paraId="4E475944"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626</w:t>
            </w:r>
          </w:p>
        </w:tc>
        <w:tc>
          <w:tcPr>
            <w:tcW w:w="648" w:type="dxa"/>
            <w:tcBorders>
              <w:top w:val="nil"/>
              <w:left w:val="nil"/>
              <w:bottom w:val="single" w:sz="4" w:space="0" w:color="auto"/>
              <w:right w:val="single" w:sz="4" w:space="0" w:color="auto"/>
            </w:tcBorders>
            <w:shd w:val="clear" w:color="auto" w:fill="auto"/>
            <w:noWrap/>
            <w:vAlign w:val="center"/>
            <w:hideMark/>
          </w:tcPr>
          <w:p w14:paraId="2238591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552</w:t>
            </w:r>
          </w:p>
        </w:tc>
        <w:tc>
          <w:tcPr>
            <w:tcW w:w="587" w:type="dxa"/>
            <w:tcBorders>
              <w:top w:val="nil"/>
              <w:left w:val="nil"/>
              <w:bottom w:val="single" w:sz="4" w:space="0" w:color="auto"/>
              <w:right w:val="single" w:sz="4" w:space="0" w:color="auto"/>
            </w:tcBorders>
            <w:shd w:val="clear" w:color="auto" w:fill="auto"/>
            <w:noWrap/>
            <w:vAlign w:val="center"/>
            <w:hideMark/>
          </w:tcPr>
          <w:p w14:paraId="66BEF44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405</w:t>
            </w:r>
          </w:p>
        </w:tc>
        <w:tc>
          <w:tcPr>
            <w:tcW w:w="587" w:type="dxa"/>
            <w:tcBorders>
              <w:top w:val="nil"/>
              <w:left w:val="nil"/>
              <w:bottom w:val="single" w:sz="4" w:space="0" w:color="auto"/>
              <w:right w:val="single" w:sz="4" w:space="0" w:color="auto"/>
            </w:tcBorders>
            <w:shd w:val="clear" w:color="auto" w:fill="auto"/>
            <w:noWrap/>
            <w:vAlign w:val="center"/>
            <w:hideMark/>
          </w:tcPr>
          <w:p w14:paraId="46AE9D6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362</w:t>
            </w:r>
          </w:p>
        </w:tc>
        <w:tc>
          <w:tcPr>
            <w:tcW w:w="815" w:type="dxa"/>
            <w:tcBorders>
              <w:top w:val="nil"/>
              <w:left w:val="nil"/>
              <w:bottom w:val="single" w:sz="4" w:space="0" w:color="auto"/>
              <w:right w:val="single" w:sz="4" w:space="0" w:color="auto"/>
            </w:tcBorders>
            <w:shd w:val="clear" w:color="auto" w:fill="auto"/>
            <w:noWrap/>
            <w:vAlign w:val="center"/>
            <w:hideMark/>
          </w:tcPr>
          <w:p w14:paraId="33D9BFE1"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73,4%</w:t>
            </w:r>
          </w:p>
        </w:tc>
        <w:tc>
          <w:tcPr>
            <w:tcW w:w="597" w:type="dxa"/>
            <w:tcBorders>
              <w:top w:val="nil"/>
              <w:left w:val="nil"/>
              <w:bottom w:val="single" w:sz="4" w:space="0" w:color="auto"/>
              <w:right w:val="single" w:sz="12" w:space="0" w:color="auto"/>
            </w:tcBorders>
            <w:shd w:val="clear" w:color="auto" w:fill="auto"/>
            <w:noWrap/>
            <w:vAlign w:val="center"/>
            <w:hideMark/>
          </w:tcPr>
          <w:p w14:paraId="43A2E272"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73,4%</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5AD602BC"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656</w:t>
            </w:r>
          </w:p>
        </w:tc>
        <w:tc>
          <w:tcPr>
            <w:tcW w:w="658" w:type="dxa"/>
            <w:tcBorders>
              <w:top w:val="nil"/>
              <w:left w:val="nil"/>
              <w:bottom w:val="single" w:sz="4" w:space="0" w:color="auto"/>
              <w:right w:val="single" w:sz="4" w:space="0" w:color="auto"/>
            </w:tcBorders>
            <w:shd w:val="clear" w:color="auto" w:fill="auto"/>
            <w:noWrap/>
            <w:vAlign w:val="center"/>
            <w:hideMark/>
          </w:tcPr>
          <w:p w14:paraId="5F33BF89"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553</w:t>
            </w:r>
          </w:p>
        </w:tc>
        <w:tc>
          <w:tcPr>
            <w:tcW w:w="658" w:type="dxa"/>
            <w:tcBorders>
              <w:top w:val="nil"/>
              <w:left w:val="nil"/>
              <w:bottom w:val="single" w:sz="4" w:space="0" w:color="auto"/>
              <w:right w:val="single" w:sz="4" w:space="0" w:color="auto"/>
            </w:tcBorders>
            <w:shd w:val="clear" w:color="auto" w:fill="auto"/>
            <w:noWrap/>
            <w:vAlign w:val="center"/>
            <w:hideMark/>
          </w:tcPr>
          <w:p w14:paraId="5F47D16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405</w:t>
            </w:r>
          </w:p>
        </w:tc>
        <w:tc>
          <w:tcPr>
            <w:tcW w:w="684" w:type="dxa"/>
            <w:tcBorders>
              <w:top w:val="nil"/>
              <w:left w:val="nil"/>
              <w:bottom w:val="single" w:sz="4" w:space="0" w:color="auto"/>
              <w:right w:val="single" w:sz="4" w:space="0" w:color="auto"/>
            </w:tcBorders>
            <w:shd w:val="clear" w:color="auto" w:fill="auto"/>
            <w:noWrap/>
            <w:vAlign w:val="center"/>
            <w:hideMark/>
          </w:tcPr>
          <w:p w14:paraId="6139F03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361</w:t>
            </w:r>
          </w:p>
        </w:tc>
        <w:tc>
          <w:tcPr>
            <w:tcW w:w="768" w:type="dxa"/>
            <w:tcBorders>
              <w:top w:val="nil"/>
              <w:left w:val="nil"/>
              <w:bottom w:val="single" w:sz="4" w:space="0" w:color="auto"/>
              <w:right w:val="single" w:sz="4" w:space="0" w:color="auto"/>
            </w:tcBorders>
            <w:shd w:val="clear" w:color="auto" w:fill="auto"/>
            <w:noWrap/>
            <w:vAlign w:val="center"/>
            <w:hideMark/>
          </w:tcPr>
          <w:p w14:paraId="06C1D2A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73,2%</w:t>
            </w:r>
          </w:p>
        </w:tc>
        <w:tc>
          <w:tcPr>
            <w:tcW w:w="658" w:type="dxa"/>
            <w:tcBorders>
              <w:top w:val="nil"/>
              <w:left w:val="nil"/>
              <w:bottom w:val="single" w:sz="4" w:space="0" w:color="auto"/>
              <w:right w:val="single" w:sz="12" w:space="0" w:color="auto"/>
            </w:tcBorders>
            <w:shd w:val="clear" w:color="auto" w:fill="auto"/>
            <w:noWrap/>
            <w:vAlign w:val="center"/>
            <w:hideMark/>
          </w:tcPr>
          <w:p w14:paraId="54BB8552"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73,2%</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38F6722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907</w:t>
            </w:r>
          </w:p>
        </w:tc>
        <w:tc>
          <w:tcPr>
            <w:tcW w:w="658" w:type="dxa"/>
            <w:tcBorders>
              <w:top w:val="nil"/>
              <w:left w:val="nil"/>
              <w:bottom w:val="single" w:sz="4" w:space="0" w:color="auto"/>
              <w:right w:val="single" w:sz="4" w:space="0" w:color="auto"/>
            </w:tcBorders>
            <w:shd w:val="clear" w:color="auto" w:fill="auto"/>
            <w:noWrap/>
            <w:vAlign w:val="center"/>
            <w:hideMark/>
          </w:tcPr>
          <w:p w14:paraId="61863A6D"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776</w:t>
            </w:r>
          </w:p>
        </w:tc>
        <w:tc>
          <w:tcPr>
            <w:tcW w:w="658" w:type="dxa"/>
            <w:tcBorders>
              <w:top w:val="nil"/>
              <w:left w:val="nil"/>
              <w:bottom w:val="single" w:sz="4" w:space="0" w:color="auto"/>
              <w:right w:val="single" w:sz="4" w:space="0" w:color="auto"/>
            </w:tcBorders>
            <w:shd w:val="clear" w:color="auto" w:fill="auto"/>
            <w:noWrap/>
            <w:vAlign w:val="center"/>
            <w:hideMark/>
          </w:tcPr>
          <w:p w14:paraId="757C55E4"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546</w:t>
            </w:r>
          </w:p>
        </w:tc>
        <w:tc>
          <w:tcPr>
            <w:tcW w:w="658" w:type="dxa"/>
            <w:tcBorders>
              <w:top w:val="nil"/>
              <w:left w:val="nil"/>
              <w:bottom w:val="single" w:sz="4" w:space="0" w:color="auto"/>
              <w:right w:val="single" w:sz="4" w:space="0" w:color="auto"/>
            </w:tcBorders>
            <w:shd w:val="clear" w:color="auto" w:fill="auto"/>
            <w:noWrap/>
            <w:vAlign w:val="center"/>
            <w:hideMark/>
          </w:tcPr>
          <w:p w14:paraId="3DF7F40E"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492</w:t>
            </w:r>
          </w:p>
        </w:tc>
        <w:tc>
          <w:tcPr>
            <w:tcW w:w="801" w:type="dxa"/>
            <w:tcBorders>
              <w:top w:val="nil"/>
              <w:left w:val="nil"/>
              <w:bottom w:val="single" w:sz="4" w:space="0" w:color="auto"/>
              <w:right w:val="single" w:sz="4" w:space="0" w:color="auto"/>
            </w:tcBorders>
            <w:shd w:val="clear" w:color="auto" w:fill="auto"/>
            <w:noWrap/>
            <w:vAlign w:val="center"/>
            <w:hideMark/>
          </w:tcPr>
          <w:p w14:paraId="6C5A8A09"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70,4%</w:t>
            </w:r>
          </w:p>
        </w:tc>
        <w:tc>
          <w:tcPr>
            <w:tcW w:w="658" w:type="dxa"/>
            <w:tcBorders>
              <w:top w:val="nil"/>
              <w:left w:val="nil"/>
              <w:bottom w:val="single" w:sz="4" w:space="0" w:color="auto"/>
              <w:right w:val="single" w:sz="12" w:space="0" w:color="auto"/>
            </w:tcBorders>
            <w:shd w:val="clear" w:color="auto" w:fill="auto"/>
            <w:noWrap/>
            <w:vAlign w:val="center"/>
            <w:hideMark/>
          </w:tcPr>
          <w:p w14:paraId="686E6A0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70,4%</w:t>
            </w:r>
          </w:p>
        </w:tc>
      </w:tr>
      <w:tr w:rsidR="00AD5348" w:rsidRPr="0034728B" w14:paraId="2574F86F" w14:textId="77777777" w:rsidTr="00E37D33">
        <w:trPr>
          <w:trHeight w:val="202"/>
        </w:trPr>
        <w:tc>
          <w:tcPr>
            <w:tcW w:w="2554" w:type="dxa"/>
            <w:tcBorders>
              <w:top w:val="single" w:sz="4" w:space="0" w:color="auto"/>
              <w:left w:val="single" w:sz="12" w:space="0" w:color="auto"/>
              <w:bottom w:val="single" w:sz="4" w:space="0" w:color="auto"/>
              <w:right w:val="single" w:sz="12" w:space="0" w:color="auto"/>
            </w:tcBorders>
            <w:shd w:val="clear" w:color="auto" w:fill="EDEDED" w:themeFill="accent3" w:themeFillTint="33"/>
            <w:noWrap/>
            <w:vAlign w:val="center"/>
            <w:hideMark/>
          </w:tcPr>
          <w:p w14:paraId="03F23319" w14:textId="77777777" w:rsidR="00AD5348" w:rsidRPr="0034728B" w:rsidRDefault="00AD5348" w:rsidP="00E37D33">
            <w:pPr>
              <w:spacing w:before="0"/>
              <w:jc w:val="left"/>
              <w:rPr>
                <w:rFonts w:eastAsia="Times New Roman" w:cstheme="minorHAnsi"/>
                <w:sz w:val="18"/>
                <w:szCs w:val="18"/>
                <w:lang w:eastAsia="cs-CZ"/>
              </w:rPr>
            </w:pPr>
            <w:r w:rsidRPr="0034728B">
              <w:rPr>
                <w:rFonts w:eastAsia="Times New Roman" w:cstheme="minorHAnsi"/>
                <w:sz w:val="18"/>
                <w:szCs w:val="18"/>
                <w:lang w:eastAsia="cs-CZ"/>
              </w:rPr>
              <w:t>Fakulta humanitních studií  </w:t>
            </w:r>
          </w:p>
        </w:tc>
        <w:tc>
          <w:tcPr>
            <w:tcW w:w="621" w:type="dxa"/>
            <w:tcBorders>
              <w:top w:val="nil"/>
              <w:left w:val="single" w:sz="12" w:space="0" w:color="auto"/>
              <w:bottom w:val="single" w:sz="4" w:space="0" w:color="auto"/>
              <w:right w:val="single" w:sz="4" w:space="0" w:color="auto"/>
            </w:tcBorders>
            <w:shd w:val="clear" w:color="auto" w:fill="auto"/>
            <w:noWrap/>
            <w:vAlign w:val="center"/>
            <w:hideMark/>
          </w:tcPr>
          <w:p w14:paraId="7D9F01A6"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1 788</w:t>
            </w:r>
          </w:p>
        </w:tc>
        <w:tc>
          <w:tcPr>
            <w:tcW w:w="648" w:type="dxa"/>
            <w:tcBorders>
              <w:top w:val="nil"/>
              <w:left w:val="nil"/>
              <w:bottom w:val="single" w:sz="4" w:space="0" w:color="auto"/>
              <w:right w:val="single" w:sz="4" w:space="0" w:color="auto"/>
            </w:tcBorders>
            <w:shd w:val="clear" w:color="auto" w:fill="auto"/>
            <w:noWrap/>
            <w:vAlign w:val="center"/>
            <w:hideMark/>
          </w:tcPr>
          <w:p w14:paraId="580F26A7"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1 500</w:t>
            </w:r>
          </w:p>
        </w:tc>
        <w:tc>
          <w:tcPr>
            <w:tcW w:w="587" w:type="dxa"/>
            <w:tcBorders>
              <w:top w:val="nil"/>
              <w:left w:val="nil"/>
              <w:bottom w:val="single" w:sz="4" w:space="0" w:color="auto"/>
              <w:right w:val="single" w:sz="4" w:space="0" w:color="auto"/>
            </w:tcBorders>
            <w:shd w:val="clear" w:color="auto" w:fill="auto"/>
            <w:noWrap/>
            <w:vAlign w:val="center"/>
            <w:hideMark/>
          </w:tcPr>
          <w:p w14:paraId="584ABD7E"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775</w:t>
            </w:r>
          </w:p>
        </w:tc>
        <w:tc>
          <w:tcPr>
            <w:tcW w:w="587" w:type="dxa"/>
            <w:tcBorders>
              <w:top w:val="nil"/>
              <w:left w:val="nil"/>
              <w:bottom w:val="single" w:sz="4" w:space="0" w:color="auto"/>
              <w:right w:val="single" w:sz="4" w:space="0" w:color="auto"/>
            </w:tcBorders>
            <w:shd w:val="clear" w:color="auto" w:fill="auto"/>
            <w:noWrap/>
            <w:vAlign w:val="center"/>
            <w:hideMark/>
          </w:tcPr>
          <w:p w14:paraId="4654690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718</w:t>
            </w:r>
          </w:p>
        </w:tc>
        <w:tc>
          <w:tcPr>
            <w:tcW w:w="815" w:type="dxa"/>
            <w:tcBorders>
              <w:top w:val="nil"/>
              <w:left w:val="nil"/>
              <w:bottom w:val="single" w:sz="4" w:space="0" w:color="auto"/>
              <w:right w:val="single" w:sz="4" w:space="0" w:color="auto"/>
            </w:tcBorders>
            <w:shd w:val="clear" w:color="auto" w:fill="auto"/>
            <w:noWrap/>
            <w:vAlign w:val="center"/>
            <w:hideMark/>
          </w:tcPr>
          <w:p w14:paraId="2F4E4514"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51,7%</w:t>
            </w:r>
          </w:p>
        </w:tc>
        <w:tc>
          <w:tcPr>
            <w:tcW w:w="597" w:type="dxa"/>
            <w:tcBorders>
              <w:top w:val="nil"/>
              <w:left w:val="nil"/>
              <w:bottom w:val="single" w:sz="4" w:space="0" w:color="auto"/>
              <w:right w:val="single" w:sz="12" w:space="0" w:color="auto"/>
            </w:tcBorders>
            <w:shd w:val="clear" w:color="auto" w:fill="auto"/>
            <w:noWrap/>
            <w:vAlign w:val="center"/>
            <w:hideMark/>
          </w:tcPr>
          <w:p w14:paraId="68BCDCB1"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51,7%</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306B56A2"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1 531</w:t>
            </w:r>
          </w:p>
        </w:tc>
        <w:tc>
          <w:tcPr>
            <w:tcW w:w="658" w:type="dxa"/>
            <w:tcBorders>
              <w:top w:val="nil"/>
              <w:left w:val="nil"/>
              <w:bottom w:val="single" w:sz="4" w:space="0" w:color="auto"/>
              <w:right w:val="single" w:sz="4" w:space="0" w:color="auto"/>
            </w:tcBorders>
            <w:shd w:val="clear" w:color="auto" w:fill="auto"/>
            <w:noWrap/>
            <w:vAlign w:val="center"/>
            <w:hideMark/>
          </w:tcPr>
          <w:p w14:paraId="20E740A6"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1 301</w:t>
            </w:r>
          </w:p>
        </w:tc>
        <w:tc>
          <w:tcPr>
            <w:tcW w:w="658" w:type="dxa"/>
            <w:tcBorders>
              <w:top w:val="nil"/>
              <w:left w:val="nil"/>
              <w:bottom w:val="single" w:sz="4" w:space="0" w:color="auto"/>
              <w:right w:val="single" w:sz="4" w:space="0" w:color="auto"/>
            </w:tcBorders>
            <w:shd w:val="clear" w:color="auto" w:fill="auto"/>
            <w:noWrap/>
            <w:vAlign w:val="center"/>
            <w:hideMark/>
          </w:tcPr>
          <w:p w14:paraId="62A7D1D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658</w:t>
            </w:r>
          </w:p>
        </w:tc>
        <w:tc>
          <w:tcPr>
            <w:tcW w:w="684" w:type="dxa"/>
            <w:tcBorders>
              <w:top w:val="nil"/>
              <w:left w:val="nil"/>
              <w:bottom w:val="single" w:sz="4" w:space="0" w:color="auto"/>
              <w:right w:val="single" w:sz="4" w:space="0" w:color="auto"/>
            </w:tcBorders>
            <w:shd w:val="clear" w:color="auto" w:fill="auto"/>
            <w:noWrap/>
            <w:vAlign w:val="center"/>
            <w:hideMark/>
          </w:tcPr>
          <w:p w14:paraId="5B29B4B0"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607</w:t>
            </w:r>
          </w:p>
        </w:tc>
        <w:tc>
          <w:tcPr>
            <w:tcW w:w="768" w:type="dxa"/>
            <w:tcBorders>
              <w:top w:val="nil"/>
              <w:left w:val="nil"/>
              <w:bottom w:val="single" w:sz="4" w:space="0" w:color="auto"/>
              <w:right w:val="single" w:sz="4" w:space="0" w:color="auto"/>
            </w:tcBorders>
            <w:shd w:val="clear" w:color="auto" w:fill="auto"/>
            <w:noWrap/>
            <w:vAlign w:val="center"/>
            <w:hideMark/>
          </w:tcPr>
          <w:p w14:paraId="6A05BBBF"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50,6%</w:t>
            </w:r>
          </w:p>
        </w:tc>
        <w:tc>
          <w:tcPr>
            <w:tcW w:w="658" w:type="dxa"/>
            <w:tcBorders>
              <w:top w:val="nil"/>
              <w:left w:val="nil"/>
              <w:bottom w:val="single" w:sz="4" w:space="0" w:color="auto"/>
              <w:right w:val="single" w:sz="12" w:space="0" w:color="auto"/>
            </w:tcBorders>
            <w:shd w:val="clear" w:color="auto" w:fill="auto"/>
            <w:noWrap/>
            <w:vAlign w:val="center"/>
            <w:hideMark/>
          </w:tcPr>
          <w:p w14:paraId="7900793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50,6%</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2237CD6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1 890</w:t>
            </w:r>
          </w:p>
        </w:tc>
        <w:tc>
          <w:tcPr>
            <w:tcW w:w="658" w:type="dxa"/>
            <w:tcBorders>
              <w:top w:val="nil"/>
              <w:left w:val="nil"/>
              <w:bottom w:val="single" w:sz="4" w:space="0" w:color="auto"/>
              <w:right w:val="single" w:sz="4" w:space="0" w:color="auto"/>
            </w:tcBorders>
            <w:shd w:val="clear" w:color="auto" w:fill="auto"/>
            <w:noWrap/>
            <w:vAlign w:val="center"/>
            <w:hideMark/>
          </w:tcPr>
          <w:p w14:paraId="51CF19A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1 591</w:t>
            </w:r>
          </w:p>
        </w:tc>
        <w:tc>
          <w:tcPr>
            <w:tcW w:w="658" w:type="dxa"/>
            <w:tcBorders>
              <w:top w:val="nil"/>
              <w:left w:val="nil"/>
              <w:bottom w:val="single" w:sz="4" w:space="0" w:color="auto"/>
              <w:right w:val="single" w:sz="4" w:space="0" w:color="auto"/>
            </w:tcBorders>
            <w:shd w:val="clear" w:color="auto" w:fill="auto"/>
            <w:noWrap/>
            <w:vAlign w:val="center"/>
            <w:hideMark/>
          </w:tcPr>
          <w:p w14:paraId="111892A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864</w:t>
            </w:r>
          </w:p>
        </w:tc>
        <w:tc>
          <w:tcPr>
            <w:tcW w:w="658" w:type="dxa"/>
            <w:tcBorders>
              <w:top w:val="nil"/>
              <w:left w:val="nil"/>
              <w:bottom w:val="single" w:sz="4" w:space="0" w:color="auto"/>
              <w:right w:val="single" w:sz="4" w:space="0" w:color="auto"/>
            </w:tcBorders>
            <w:shd w:val="clear" w:color="auto" w:fill="auto"/>
            <w:noWrap/>
            <w:vAlign w:val="center"/>
            <w:hideMark/>
          </w:tcPr>
          <w:p w14:paraId="76BE1EB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695</w:t>
            </w:r>
          </w:p>
        </w:tc>
        <w:tc>
          <w:tcPr>
            <w:tcW w:w="801" w:type="dxa"/>
            <w:tcBorders>
              <w:top w:val="nil"/>
              <w:left w:val="nil"/>
              <w:bottom w:val="single" w:sz="4" w:space="0" w:color="auto"/>
              <w:right w:val="single" w:sz="4" w:space="0" w:color="auto"/>
            </w:tcBorders>
            <w:shd w:val="clear" w:color="auto" w:fill="auto"/>
            <w:noWrap/>
            <w:vAlign w:val="center"/>
            <w:hideMark/>
          </w:tcPr>
          <w:p w14:paraId="76ACAEA9"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54,3%</w:t>
            </w:r>
          </w:p>
        </w:tc>
        <w:tc>
          <w:tcPr>
            <w:tcW w:w="658" w:type="dxa"/>
            <w:tcBorders>
              <w:top w:val="nil"/>
              <w:left w:val="nil"/>
              <w:bottom w:val="single" w:sz="4" w:space="0" w:color="auto"/>
              <w:right w:val="single" w:sz="12" w:space="0" w:color="auto"/>
            </w:tcBorders>
            <w:shd w:val="clear" w:color="auto" w:fill="auto"/>
            <w:noWrap/>
            <w:vAlign w:val="center"/>
            <w:hideMark/>
          </w:tcPr>
          <w:p w14:paraId="59B5907D"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54,3%</w:t>
            </w:r>
          </w:p>
        </w:tc>
      </w:tr>
      <w:tr w:rsidR="00AD5348" w:rsidRPr="0034728B" w14:paraId="624D741E" w14:textId="77777777" w:rsidTr="00E37D33">
        <w:trPr>
          <w:trHeight w:val="202"/>
        </w:trPr>
        <w:tc>
          <w:tcPr>
            <w:tcW w:w="2554" w:type="dxa"/>
            <w:tcBorders>
              <w:top w:val="single" w:sz="4" w:space="0" w:color="auto"/>
              <w:left w:val="single" w:sz="12" w:space="0" w:color="auto"/>
              <w:bottom w:val="single" w:sz="4" w:space="0" w:color="auto"/>
              <w:right w:val="single" w:sz="12" w:space="0" w:color="auto"/>
            </w:tcBorders>
            <w:shd w:val="clear" w:color="auto" w:fill="EDEDED" w:themeFill="accent3" w:themeFillTint="33"/>
            <w:noWrap/>
            <w:vAlign w:val="center"/>
            <w:hideMark/>
          </w:tcPr>
          <w:p w14:paraId="136B78D1" w14:textId="77777777" w:rsidR="00AD5348" w:rsidRPr="0034728B" w:rsidRDefault="00AD5348" w:rsidP="00E37D33">
            <w:pPr>
              <w:spacing w:before="0"/>
              <w:jc w:val="left"/>
              <w:rPr>
                <w:rFonts w:eastAsia="Times New Roman" w:cstheme="minorHAnsi"/>
                <w:sz w:val="18"/>
                <w:szCs w:val="18"/>
                <w:lang w:eastAsia="cs-CZ"/>
              </w:rPr>
            </w:pPr>
            <w:r w:rsidRPr="0034728B">
              <w:rPr>
                <w:rFonts w:eastAsia="Times New Roman" w:cstheme="minorHAnsi"/>
                <w:sz w:val="18"/>
                <w:szCs w:val="18"/>
                <w:lang w:eastAsia="cs-CZ"/>
              </w:rPr>
              <w:t>Fakulta logistiky a krizového řízení  </w:t>
            </w:r>
          </w:p>
        </w:tc>
        <w:tc>
          <w:tcPr>
            <w:tcW w:w="621" w:type="dxa"/>
            <w:tcBorders>
              <w:top w:val="nil"/>
              <w:left w:val="single" w:sz="12" w:space="0" w:color="auto"/>
              <w:bottom w:val="single" w:sz="4" w:space="0" w:color="auto"/>
              <w:right w:val="single" w:sz="4" w:space="0" w:color="auto"/>
            </w:tcBorders>
            <w:shd w:val="clear" w:color="auto" w:fill="auto"/>
            <w:noWrap/>
            <w:vAlign w:val="center"/>
            <w:hideMark/>
          </w:tcPr>
          <w:p w14:paraId="1D06B02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567</w:t>
            </w:r>
          </w:p>
        </w:tc>
        <w:tc>
          <w:tcPr>
            <w:tcW w:w="648" w:type="dxa"/>
            <w:tcBorders>
              <w:top w:val="nil"/>
              <w:left w:val="nil"/>
              <w:bottom w:val="single" w:sz="4" w:space="0" w:color="auto"/>
              <w:right w:val="single" w:sz="4" w:space="0" w:color="auto"/>
            </w:tcBorders>
            <w:shd w:val="clear" w:color="auto" w:fill="auto"/>
            <w:noWrap/>
            <w:vAlign w:val="center"/>
            <w:hideMark/>
          </w:tcPr>
          <w:p w14:paraId="249FE9C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511</w:t>
            </w:r>
          </w:p>
        </w:tc>
        <w:tc>
          <w:tcPr>
            <w:tcW w:w="587" w:type="dxa"/>
            <w:tcBorders>
              <w:top w:val="nil"/>
              <w:left w:val="nil"/>
              <w:bottom w:val="single" w:sz="4" w:space="0" w:color="auto"/>
              <w:right w:val="single" w:sz="4" w:space="0" w:color="auto"/>
            </w:tcBorders>
            <w:shd w:val="clear" w:color="auto" w:fill="auto"/>
            <w:noWrap/>
            <w:vAlign w:val="center"/>
            <w:hideMark/>
          </w:tcPr>
          <w:p w14:paraId="25D7966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379</w:t>
            </w:r>
          </w:p>
        </w:tc>
        <w:tc>
          <w:tcPr>
            <w:tcW w:w="587" w:type="dxa"/>
            <w:tcBorders>
              <w:top w:val="nil"/>
              <w:left w:val="nil"/>
              <w:bottom w:val="single" w:sz="4" w:space="0" w:color="auto"/>
              <w:right w:val="single" w:sz="4" w:space="0" w:color="auto"/>
            </w:tcBorders>
            <w:shd w:val="clear" w:color="auto" w:fill="auto"/>
            <w:noWrap/>
            <w:vAlign w:val="center"/>
            <w:hideMark/>
          </w:tcPr>
          <w:p w14:paraId="5AB2194D"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337</w:t>
            </w:r>
          </w:p>
        </w:tc>
        <w:tc>
          <w:tcPr>
            <w:tcW w:w="815" w:type="dxa"/>
            <w:tcBorders>
              <w:top w:val="nil"/>
              <w:left w:val="nil"/>
              <w:bottom w:val="single" w:sz="4" w:space="0" w:color="auto"/>
              <w:right w:val="single" w:sz="4" w:space="0" w:color="auto"/>
            </w:tcBorders>
            <w:shd w:val="clear" w:color="auto" w:fill="auto"/>
            <w:noWrap/>
            <w:vAlign w:val="center"/>
            <w:hideMark/>
          </w:tcPr>
          <w:p w14:paraId="7D81930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74,2%</w:t>
            </w:r>
          </w:p>
        </w:tc>
        <w:tc>
          <w:tcPr>
            <w:tcW w:w="597" w:type="dxa"/>
            <w:tcBorders>
              <w:top w:val="nil"/>
              <w:left w:val="nil"/>
              <w:bottom w:val="single" w:sz="4" w:space="0" w:color="auto"/>
              <w:right w:val="single" w:sz="12" w:space="0" w:color="auto"/>
            </w:tcBorders>
            <w:shd w:val="clear" w:color="auto" w:fill="auto"/>
            <w:noWrap/>
            <w:vAlign w:val="center"/>
            <w:hideMark/>
          </w:tcPr>
          <w:p w14:paraId="6EF2A7F8"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74,2%</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6E22BDEA"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695</w:t>
            </w:r>
          </w:p>
        </w:tc>
        <w:tc>
          <w:tcPr>
            <w:tcW w:w="658" w:type="dxa"/>
            <w:tcBorders>
              <w:top w:val="nil"/>
              <w:left w:val="nil"/>
              <w:bottom w:val="single" w:sz="4" w:space="0" w:color="auto"/>
              <w:right w:val="single" w:sz="4" w:space="0" w:color="auto"/>
            </w:tcBorders>
            <w:shd w:val="clear" w:color="auto" w:fill="auto"/>
            <w:noWrap/>
            <w:vAlign w:val="center"/>
            <w:hideMark/>
          </w:tcPr>
          <w:p w14:paraId="45DCBEB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641</w:t>
            </w:r>
          </w:p>
        </w:tc>
        <w:tc>
          <w:tcPr>
            <w:tcW w:w="658" w:type="dxa"/>
            <w:tcBorders>
              <w:top w:val="nil"/>
              <w:left w:val="nil"/>
              <w:bottom w:val="single" w:sz="4" w:space="0" w:color="auto"/>
              <w:right w:val="single" w:sz="4" w:space="0" w:color="auto"/>
            </w:tcBorders>
            <w:shd w:val="clear" w:color="auto" w:fill="auto"/>
            <w:noWrap/>
            <w:vAlign w:val="center"/>
            <w:hideMark/>
          </w:tcPr>
          <w:p w14:paraId="408CF39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490</w:t>
            </w:r>
          </w:p>
        </w:tc>
        <w:tc>
          <w:tcPr>
            <w:tcW w:w="684" w:type="dxa"/>
            <w:tcBorders>
              <w:top w:val="nil"/>
              <w:left w:val="nil"/>
              <w:bottom w:val="single" w:sz="4" w:space="0" w:color="auto"/>
              <w:right w:val="single" w:sz="4" w:space="0" w:color="auto"/>
            </w:tcBorders>
            <w:shd w:val="clear" w:color="auto" w:fill="auto"/>
            <w:noWrap/>
            <w:vAlign w:val="center"/>
            <w:hideMark/>
          </w:tcPr>
          <w:p w14:paraId="7A6A5094"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405</w:t>
            </w:r>
          </w:p>
        </w:tc>
        <w:tc>
          <w:tcPr>
            <w:tcW w:w="768" w:type="dxa"/>
            <w:tcBorders>
              <w:top w:val="nil"/>
              <w:left w:val="nil"/>
              <w:bottom w:val="single" w:sz="4" w:space="0" w:color="auto"/>
              <w:right w:val="single" w:sz="4" w:space="0" w:color="auto"/>
            </w:tcBorders>
            <w:shd w:val="clear" w:color="auto" w:fill="auto"/>
            <w:noWrap/>
            <w:vAlign w:val="center"/>
            <w:hideMark/>
          </w:tcPr>
          <w:p w14:paraId="5BA244B6"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76,4%</w:t>
            </w:r>
          </w:p>
        </w:tc>
        <w:tc>
          <w:tcPr>
            <w:tcW w:w="658" w:type="dxa"/>
            <w:tcBorders>
              <w:top w:val="nil"/>
              <w:left w:val="nil"/>
              <w:bottom w:val="single" w:sz="4" w:space="0" w:color="auto"/>
              <w:right w:val="single" w:sz="12" w:space="0" w:color="auto"/>
            </w:tcBorders>
            <w:shd w:val="clear" w:color="auto" w:fill="auto"/>
            <w:noWrap/>
            <w:vAlign w:val="center"/>
            <w:hideMark/>
          </w:tcPr>
          <w:p w14:paraId="7B32D933"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76,4%</w:t>
            </w:r>
          </w:p>
        </w:tc>
        <w:tc>
          <w:tcPr>
            <w:tcW w:w="658" w:type="dxa"/>
            <w:tcBorders>
              <w:top w:val="nil"/>
              <w:left w:val="single" w:sz="12" w:space="0" w:color="auto"/>
              <w:bottom w:val="single" w:sz="4" w:space="0" w:color="auto"/>
              <w:right w:val="single" w:sz="4" w:space="0" w:color="auto"/>
            </w:tcBorders>
            <w:shd w:val="clear" w:color="auto" w:fill="auto"/>
            <w:noWrap/>
            <w:vAlign w:val="center"/>
            <w:hideMark/>
          </w:tcPr>
          <w:p w14:paraId="68C3669F"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872</w:t>
            </w:r>
          </w:p>
        </w:tc>
        <w:tc>
          <w:tcPr>
            <w:tcW w:w="658" w:type="dxa"/>
            <w:tcBorders>
              <w:top w:val="nil"/>
              <w:left w:val="nil"/>
              <w:bottom w:val="single" w:sz="4" w:space="0" w:color="auto"/>
              <w:right w:val="single" w:sz="4" w:space="0" w:color="auto"/>
            </w:tcBorders>
            <w:shd w:val="clear" w:color="auto" w:fill="auto"/>
            <w:noWrap/>
            <w:vAlign w:val="center"/>
            <w:hideMark/>
          </w:tcPr>
          <w:p w14:paraId="2B44CD96"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807</w:t>
            </w:r>
          </w:p>
        </w:tc>
        <w:tc>
          <w:tcPr>
            <w:tcW w:w="658" w:type="dxa"/>
            <w:tcBorders>
              <w:top w:val="nil"/>
              <w:left w:val="nil"/>
              <w:bottom w:val="single" w:sz="4" w:space="0" w:color="auto"/>
              <w:right w:val="single" w:sz="4" w:space="0" w:color="auto"/>
            </w:tcBorders>
            <w:shd w:val="clear" w:color="auto" w:fill="auto"/>
            <w:noWrap/>
            <w:vAlign w:val="center"/>
            <w:hideMark/>
          </w:tcPr>
          <w:p w14:paraId="098FB59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629</w:t>
            </w:r>
          </w:p>
        </w:tc>
        <w:tc>
          <w:tcPr>
            <w:tcW w:w="658" w:type="dxa"/>
            <w:tcBorders>
              <w:top w:val="nil"/>
              <w:left w:val="nil"/>
              <w:bottom w:val="single" w:sz="4" w:space="0" w:color="auto"/>
              <w:right w:val="single" w:sz="4" w:space="0" w:color="auto"/>
            </w:tcBorders>
            <w:shd w:val="clear" w:color="auto" w:fill="auto"/>
            <w:noWrap/>
            <w:vAlign w:val="center"/>
            <w:hideMark/>
          </w:tcPr>
          <w:p w14:paraId="6935D08B"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485</w:t>
            </w:r>
          </w:p>
        </w:tc>
        <w:tc>
          <w:tcPr>
            <w:tcW w:w="801" w:type="dxa"/>
            <w:tcBorders>
              <w:top w:val="nil"/>
              <w:left w:val="nil"/>
              <w:bottom w:val="single" w:sz="4" w:space="0" w:color="auto"/>
              <w:right w:val="single" w:sz="4" w:space="0" w:color="auto"/>
            </w:tcBorders>
            <w:shd w:val="clear" w:color="auto" w:fill="auto"/>
            <w:noWrap/>
            <w:vAlign w:val="center"/>
            <w:hideMark/>
          </w:tcPr>
          <w:p w14:paraId="508E6645"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77,9%</w:t>
            </w:r>
          </w:p>
        </w:tc>
        <w:tc>
          <w:tcPr>
            <w:tcW w:w="658" w:type="dxa"/>
            <w:tcBorders>
              <w:top w:val="nil"/>
              <w:left w:val="nil"/>
              <w:bottom w:val="single" w:sz="4" w:space="0" w:color="auto"/>
              <w:right w:val="single" w:sz="12" w:space="0" w:color="auto"/>
            </w:tcBorders>
            <w:shd w:val="clear" w:color="auto" w:fill="auto"/>
            <w:noWrap/>
            <w:vAlign w:val="center"/>
            <w:hideMark/>
          </w:tcPr>
          <w:p w14:paraId="01F655FD" w14:textId="77777777" w:rsidR="00AD5348" w:rsidRPr="0034728B" w:rsidRDefault="00AD5348" w:rsidP="00E37D33">
            <w:pPr>
              <w:spacing w:before="0"/>
              <w:jc w:val="right"/>
              <w:rPr>
                <w:rFonts w:eastAsia="Times New Roman" w:cstheme="minorHAnsi"/>
                <w:sz w:val="18"/>
                <w:szCs w:val="18"/>
                <w:lang w:eastAsia="cs-CZ"/>
              </w:rPr>
            </w:pPr>
            <w:r w:rsidRPr="0034728B">
              <w:rPr>
                <w:rFonts w:eastAsia="Times New Roman" w:cstheme="minorHAnsi"/>
                <w:sz w:val="18"/>
                <w:szCs w:val="18"/>
                <w:lang w:eastAsia="cs-CZ"/>
              </w:rPr>
              <w:t>77,9%</w:t>
            </w:r>
          </w:p>
        </w:tc>
      </w:tr>
      <w:tr w:rsidR="00AD5348" w:rsidRPr="0034728B" w14:paraId="6C8EC162" w14:textId="77777777" w:rsidTr="00E37D33">
        <w:trPr>
          <w:trHeight w:val="202"/>
        </w:trPr>
        <w:tc>
          <w:tcPr>
            <w:tcW w:w="2554" w:type="dxa"/>
            <w:tcBorders>
              <w:top w:val="single" w:sz="4" w:space="0" w:color="auto"/>
              <w:left w:val="single" w:sz="12" w:space="0" w:color="auto"/>
              <w:bottom w:val="single" w:sz="12" w:space="0" w:color="auto"/>
              <w:right w:val="single" w:sz="12" w:space="0" w:color="auto"/>
            </w:tcBorders>
            <w:shd w:val="clear" w:color="000000" w:fill="C0C0C0"/>
            <w:noWrap/>
            <w:vAlign w:val="center"/>
            <w:hideMark/>
          </w:tcPr>
          <w:p w14:paraId="506C9F5B" w14:textId="77777777" w:rsidR="00AD5348" w:rsidRPr="0034728B" w:rsidRDefault="00AD5348" w:rsidP="00E37D33">
            <w:pPr>
              <w:spacing w:before="0"/>
              <w:jc w:val="left"/>
              <w:rPr>
                <w:rFonts w:eastAsia="Times New Roman" w:cstheme="minorHAnsi"/>
                <w:b/>
                <w:bCs/>
                <w:sz w:val="18"/>
                <w:szCs w:val="18"/>
                <w:lang w:eastAsia="cs-CZ"/>
              </w:rPr>
            </w:pPr>
            <w:r w:rsidRPr="0034728B">
              <w:rPr>
                <w:rFonts w:eastAsia="Times New Roman" w:cstheme="minorHAnsi"/>
                <w:b/>
                <w:bCs/>
                <w:sz w:val="18"/>
                <w:szCs w:val="18"/>
                <w:lang w:eastAsia="cs-CZ"/>
              </w:rPr>
              <w:t>Celkem</w:t>
            </w:r>
          </w:p>
        </w:tc>
        <w:tc>
          <w:tcPr>
            <w:tcW w:w="621" w:type="dxa"/>
            <w:tcBorders>
              <w:top w:val="nil"/>
              <w:left w:val="single" w:sz="12" w:space="0" w:color="auto"/>
              <w:bottom w:val="single" w:sz="12" w:space="0" w:color="auto"/>
              <w:right w:val="single" w:sz="4" w:space="0" w:color="auto"/>
            </w:tcBorders>
            <w:shd w:val="clear" w:color="auto" w:fill="BFBFBF" w:themeFill="background1" w:themeFillShade="BF"/>
            <w:noWrap/>
            <w:vAlign w:val="center"/>
            <w:hideMark/>
          </w:tcPr>
          <w:p w14:paraId="722A4B95"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6 188</w:t>
            </w:r>
          </w:p>
        </w:tc>
        <w:tc>
          <w:tcPr>
            <w:tcW w:w="648" w:type="dxa"/>
            <w:tcBorders>
              <w:top w:val="nil"/>
              <w:left w:val="nil"/>
              <w:bottom w:val="single" w:sz="12" w:space="0" w:color="auto"/>
              <w:right w:val="single" w:sz="4" w:space="0" w:color="auto"/>
            </w:tcBorders>
            <w:shd w:val="clear" w:color="auto" w:fill="BFBFBF" w:themeFill="background1" w:themeFillShade="BF"/>
            <w:noWrap/>
            <w:vAlign w:val="center"/>
            <w:hideMark/>
          </w:tcPr>
          <w:p w14:paraId="5BA2980D"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5 037</w:t>
            </w:r>
          </w:p>
        </w:tc>
        <w:tc>
          <w:tcPr>
            <w:tcW w:w="587" w:type="dxa"/>
            <w:tcBorders>
              <w:top w:val="nil"/>
              <w:left w:val="nil"/>
              <w:bottom w:val="single" w:sz="12" w:space="0" w:color="auto"/>
              <w:right w:val="single" w:sz="4" w:space="0" w:color="auto"/>
            </w:tcBorders>
            <w:shd w:val="clear" w:color="auto" w:fill="BFBFBF" w:themeFill="background1" w:themeFillShade="BF"/>
            <w:noWrap/>
            <w:vAlign w:val="center"/>
            <w:hideMark/>
          </w:tcPr>
          <w:p w14:paraId="07B00D8F"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3 008</w:t>
            </w:r>
          </w:p>
        </w:tc>
        <w:tc>
          <w:tcPr>
            <w:tcW w:w="587" w:type="dxa"/>
            <w:tcBorders>
              <w:top w:val="nil"/>
              <w:left w:val="nil"/>
              <w:bottom w:val="single" w:sz="12" w:space="0" w:color="auto"/>
              <w:right w:val="single" w:sz="4" w:space="0" w:color="auto"/>
            </w:tcBorders>
            <w:shd w:val="clear" w:color="auto" w:fill="BFBFBF" w:themeFill="background1" w:themeFillShade="BF"/>
            <w:noWrap/>
            <w:vAlign w:val="center"/>
            <w:hideMark/>
          </w:tcPr>
          <w:p w14:paraId="0804CA78"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2 733</w:t>
            </w:r>
          </w:p>
        </w:tc>
        <w:tc>
          <w:tcPr>
            <w:tcW w:w="815" w:type="dxa"/>
            <w:tcBorders>
              <w:top w:val="nil"/>
              <w:left w:val="nil"/>
              <w:bottom w:val="single" w:sz="12" w:space="0" w:color="auto"/>
              <w:right w:val="single" w:sz="4" w:space="0" w:color="auto"/>
            </w:tcBorders>
            <w:shd w:val="clear" w:color="auto" w:fill="BFBFBF" w:themeFill="background1" w:themeFillShade="BF"/>
            <w:noWrap/>
            <w:vAlign w:val="center"/>
            <w:hideMark/>
          </w:tcPr>
          <w:p w14:paraId="3AD814D1"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59,7%</w:t>
            </w:r>
          </w:p>
        </w:tc>
        <w:tc>
          <w:tcPr>
            <w:tcW w:w="597" w:type="dxa"/>
            <w:tcBorders>
              <w:top w:val="nil"/>
              <w:left w:val="nil"/>
              <w:bottom w:val="single" w:sz="12" w:space="0" w:color="auto"/>
              <w:right w:val="single" w:sz="12" w:space="0" w:color="auto"/>
            </w:tcBorders>
            <w:shd w:val="clear" w:color="auto" w:fill="BFBFBF" w:themeFill="background1" w:themeFillShade="BF"/>
            <w:noWrap/>
            <w:vAlign w:val="center"/>
            <w:hideMark/>
          </w:tcPr>
          <w:p w14:paraId="0EA36ABF"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61,8%</w:t>
            </w:r>
          </w:p>
        </w:tc>
        <w:tc>
          <w:tcPr>
            <w:tcW w:w="658" w:type="dxa"/>
            <w:tcBorders>
              <w:top w:val="nil"/>
              <w:left w:val="single" w:sz="12" w:space="0" w:color="auto"/>
              <w:bottom w:val="single" w:sz="12" w:space="0" w:color="auto"/>
              <w:right w:val="single" w:sz="4" w:space="0" w:color="auto"/>
            </w:tcBorders>
            <w:shd w:val="clear" w:color="auto" w:fill="BFBFBF" w:themeFill="background1" w:themeFillShade="BF"/>
            <w:noWrap/>
            <w:vAlign w:val="center"/>
            <w:hideMark/>
          </w:tcPr>
          <w:p w14:paraId="2E42EC8B"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6 080</w:t>
            </w:r>
          </w:p>
        </w:tc>
        <w:tc>
          <w:tcPr>
            <w:tcW w:w="658" w:type="dxa"/>
            <w:tcBorders>
              <w:top w:val="nil"/>
              <w:left w:val="nil"/>
              <w:bottom w:val="single" w:sz="12" w:space="0" w:color="auto"/>
              <w:right w:val="single" w:sz="4" w:space="0" w:color="auto"/>
            </w:tcBorders>
            <w:shd w:val="clear" w:color="auto" w:fill="BFBFBF" w:themeFill="background1" w:themeFillShade="BF"/>
            <w:noWrap/>
            <w:vAlign w:val="center"/>
            <w:hideMark/>
          </w:tcPr>
          <w:p w14:paraId="58794B17"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5 026</w:t>
            </w:r>
          </w:p>
        </w:tc>
        <w:tc>
          <w:tcPr>
            <w:tcW w:w="658" w:type="dxa"/>
            <w:tcBorders>
              <w:top w:val="nil"/>
              <w:left w:val="nil"/>
              <w:bottom w:val="single" w:sz="12" w:space="0" w:color="auto"/>
              <w:right w:val="single" w:sz="4" w:space="0" w:color="auto"/>
            </w:tcBorders>
            <w:shd w:val="clear" w:color="auto" w:fill="BFBFBF" w:themeFill="background1" w:themeFillShade="BF"/>
            <w:noWrap/>
            <w:vAlign w:val="center"/>
            <w:hideMark/>
          </w:tcPr>
          <w:p w14:paraId="40428CD8"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2 944</w:t>
            </w:r>
          </w:p>
        </w:tc>
        <w:tc>
          <w:tcPr>
            <w:tcW w:w="684" w:type="dxa"/>
            <w:tcBorders>
              <w:top w:val="nil"/>
              <w:left w:val="nil"/>
              <w:bottom w:val="single" w:sz="12" w:space="0" w:color="auto"/>
              <w:right w:val="single" w:sz="4" w:space="0" w:color="auto"/>
            </w:tcBorders>
            <w:shd w:val="clear" w:color="auto" w:fill="BFBFBF" w:themeFill="background1" w:themeFillShade="BF"/>
            <w:noWrap/>
            <w:vAlign w:val="center"/>
            <w:hideMark/>
          </w:tcPr>
          <w:p w14:paraId="54220BFD"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2 648</w:t>
            </w:r>
          </w:p>
        </w:tc>
        <w:tc>
          <w:tcPr>
            <w:tcW w:w="768" w:type="dxa"/>
            <w:tcBorders>
              <w:top w:val="nil"/>
              <w:left w:val="nil"/>
              <w:bottom w:val="single" w:sz="12" w:space="0" w:color="auto"/>
              <w:right w:val="single" w:sz="4" w:space="0" w:color="auto"/>
            </w:tcBorders>
            <w:shd w:val="clear" w:color="auto" w:fill="BFBFBF" w:themeFill="background1" w:themeFillShade="BF"/>
            <w:noWrap/>
            <w:vAlign w:val="center"/>
            <w:hideMark/>
          </w:tcPr>
          <w:p w14:paraId="3932DABA"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58,6%</w:t>
            </w:r>
          </w:p>
        </w:tc>
        <w:tc>
          <w:tcPr>
            <w:tcW w:w="658" w:type="dxa"/>
            <w:tcBorders>
              <w:top w:val="nil"/>
              <w:left w:val="nil"/>
              <w:bottom w:val="single" w:sz="12" w:space="0" w:color="auto"/>
              <w:right w:val="single" w:sz="12" w:space="0" w:color="auto"/>
            </w:tcBorders>
            <w:shd w:val="clear" w:color="auto" w:fill="BFBFBF" w:themeFill="background1" w:themeFillShade="BF"/>
            <w:noWrap/>
            <w:vAlign w:val="center"/>
            <w:hideMark/>
          </w:tcPr>
          <w:p w14:paraId="6EFDE809"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60,3%</w:t>
            </w:r>
          </w:p>
        </w:tc>
        <w:tc>
          <w:tcPr>
            <w:tcW w:w="658" w:type="dxa"/>
            <w:tcBorders>
              <w:top w:val="nil"/>
              <w:left w:val="single" w:sz="12" w:space="0" w:color="auto"/>
              <w:bottom w:val="single" w:sz="12" w:space="0" w:color="auto"/>
              <w:right w:val="single" w:sz="4" w:space="0" w:color="auto"/>
            </w:tcBorders>
            <w:shd w:val="clear" w:color="auto" w:fill="BFBFBF" w:themeFill="background1" w:themeFillShade="BF"/>
            <w:noWrap/>
            <w:vAlign w:val="center"/>
            <w:hideMark/>
          </w:tcPr>
          <w:p w14:paraId="1DBB92A3"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7 528</w:t>
            </w:r>
          </w:p>
        </w:tc>
        <w:tc>
          <w:tcPr>
            <w:tcW w:w="658" w:type="dxa"/>
            <w:tcBorders>
              <w:top w:val="nil"/>
              <w:left w:val="nil"/>
              <w:bottom w:val="single" w:sz="12" w:space="0" w:color="auto"/>
              <w:right w:val="single" w:sz="4" w:space="0" w:color="auto"/>
            </w:tcBorders>
            <w:shd w:val="clear" w:color="auto" w:fill="BFBFBF" w:themeFill="background1" w:themeFillShade="BF"/>
            <w:noWrap/>
            <w:vAlign w:val="center"/>
            <w:hideMark/>
          </w:tcPr>
          <w:p w14:paraId="3FF54A50"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6 087</w:t>
            </w:r>
          </w:p>
        </w:tc>
        <w:tc>
          <w:tcPr>
            <w:tcW w:w="658" w:type="dxa"/>
            <w:tcBorders>
              <w:top w:val="nil"/>
              <w:left w:val="nil"/>
              <w:bottom w:val="single" w:sz="12" w:space="0" w:color="auto"/>
              <w:right w:val="single" w:sz="4" w:space="0" w:color="auto"/>
            </w:tcBorders>
            <w:shd w:val="clear" w:color="auto" w:fill="BFBFBF" w:themeFill="background1" w:themeFillShade="BF"/>
            <w:noWrap/>
            <w:vAlign w:val="center"/>
            <w:hideMark/>
          </w:tcPr>
          <w:p w14:paraId="4030A366"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3 640</w:t>
            </w:r>
          </w:p>
        </w:tc>
        <w:tc>
          <w:tcPr>
            <w:tcW w:w="658" w:type="dxa"/>
            <w:tcBorders>
              <w:top w:val="nil"/>
              <w:left w:val="nil"/>
              <w:bottom w:val="single" w:sz="12" w:space="0" w:color="auto"/>
              <w:right w:val="single" w:sz="4" w:space="0" w:color="auto"/>
            </w:tcBorders>
            <w:shd w:val="clear" w:color="auto" w:fill="BFBFBF" w:themeFill="background1" w:themeFillShade="BF"/>
            <w:noWrap/>
            <w:vAlign w:val="center"/>
            <w:hideMark/>
          </w:tcPr>
          <w:p w14:paraId="24F94CB5"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3 169</w:t>
            </w:r>
          </w:p>
        </w:tc>
        <w:tc>
          <w:tcPr>
            <w:tcW w:w="801" w:type="dxa"/>
            <w:tcBorders>
              <w:top w:val="nil"/>
              <w:left w:val="nil"/>
              <w:bottom w:val="single" w:sz="12" w:space="0" w:color="auto"/>
              <w:right w:val="single" w:sz="4" w:space="0" w:color="auto"/>
            </w:tcBorders>
            <w:shd w:val="clear" w:color="auto" w:fill="BFBFBF" w:themeFill="background1" w:themeFillShade="BF"/>
            <w:noWrap/>
            <w:vAlign w:val="center"/>
            <w:hideMark/>
          </w:tcPr>
          <w:p w14:paraId="0B008EA1"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59,8%</w:t>
            </w:r>
          </w:p>
        </w:tc>
        <w:tc>
          <w:tcPr>
            <w:tcW w:w="658" w:type="dxa"/>
            <w:tcBorders>
              <w:top w:val="nil"/>
              <w:left w:val="nil"/>
              <w:bottom w:val="single" w:sz="12" w:space="0" w:color="auto"/>
              <w:right w:val="single" w:sz="12" w:space="0" w:color="auto"/>
            </w:tcBorders>
            <w:shd w:val="clear" w:color="auto" w:fill="BFBFBF" w:themeFill="background1" w:themeFillShade="BF"/>
            <w:noWrap/>
            <w:vAlign w:val="center"/>
            <w:hideMark/>
          </w:tcPr>
          <w:p w14:paraId="2F6C65EB" w14:textId="77777777" w:rsidR="00AD5348" w:rsidRPr="0034728B" w:rsidRDefault="00AD5348" w:rsidP="00E37D33">
            <w:pPr>
              <w:spacing w:before="0"/>
              <w:jc w:val="right"/>
              <w:rPr>
                <w:rFonts w:eastAsia="Times New Roman" w:cstheme="minorHAnsi"/>
                <w:b/>
                <w:bCs/>
                <w:sz w:val="18"/>
                <w:szCs w:val="18"/>
                <w:lang w:eastAsia="cs-CZ"/>
              </w:rPr>
            </w:pPr>
            <w:r w:rsidRPr="0034728B">
              <w:rPr>
                <w:rFonts w:eastAsia="Times New Roman" w:cstheme="minorHAnsi"/>
                <w:b/>
                <w:bCs/>
                <w:sz w:val="18"/>
                <w:szCs w:val="18"/>
                <w:lang w:eastAsia="cs-CZ"/>
              </w:rPr>
              <w:t>61,5%</w:t>
            </w:r>
          </w:p>
        </w:tc>
      </w:tr>
    </w:tbl>
    <w:p w14:paraId="76F7701A" w14:textId="2344278A" w:rsidR="00AD5348" w:rsidRPr="00AD5348" w:rsidRDefault="00AD5348" w:rsidP="00AD5348">
      <w:pPr>
        <w:pStyle w:val="Zdroj"/>
        <w:sectPr w:rsidR="00AD5348" w:rsidRPr="00AD5348" w:rsidSect="006E1FCB">
          <w:headerReference w:type="default" r:id="rId162"/>
          <w:pgSz w:w="16838" w:h="11906" w:orient="landscape"/>
          <w:pgMar w:top="1417" w:right="1417" w:bottom="1417" w:left="1417" w:header="708" w:footer="708" w:gutter="0"/>
          <w:cols w:space="708"/>
          <w:docGrid w:linePitch="360"/>
        </w:sectPr>
      </w:pPr>
      <w:r>
        <w:t>Zdroj: MŠMT, statistika školství, 2020</w:t>
      </w:r>
      <w:r w:rsidR="000F101A">
        <w:t>.</w:t>
      </w:r>
      <w:r>
        <w:tab/>
      </w:r>
    </w:p>
    <w:p w14:paraId="5A4F2C87" w14:textId="50C0F70C" w:rsidR="00F64217" w:rsidRDefault="00F64217" w:rsidP="00F64217">
      <w:pPr>
        <w:pStyle w:val="Nadpis2"/>
      </w:pPr>
      <w:bookmarkStart w:id="525" w:name="_Toc77074613"/>
      <w:r>
        <w:lastRenderedPageBreak/>
        <w:t xml:space="preserve">Příloha kapitoly </w:t>
      </w:r>
      <w:r w:rsidRPr="00F64217">
        <w:t>Město s udržitelnou dopravou a technickou infrastrukturou</w:t>
      </w:r>
      <w:bookmarkEnd w:id="525"/>
      <w:r w:rsidRPr="00F64217">
        <w:t xml:space="preserve"> </w:t>
      </w:r>
      <w:r>
        <w:t xml:space="preserve"> </w:t>
      </w:r>
    </w:p>
    <w:p w14:paraId="25E8F415" w14:textId="0DDBF2AC" w:rsidR="00F64217" w:rsidRDefault="00F64217" w:rsidP="00F64217">
      <w:pPr>
        <w:pStyle w:val="Titulek"/>
        <w:keepNext/>
      </w:pPr>
      <w:bookmarkStart w:id="526" w:name="_Toc50379431"/>
      <w:bookmarkStart w:id="527" w:name="_Toc7707492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1</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103</w:t>
      </w:r>
      <w:r w:rsidR="00804AF3">
        <w:rPr>
          <w:noProof/>
        </w:rPr>
        <w:fldChar w:fldCharType="end"/>
      </w:r>
      <w:r w:rsidR="000F101A">
        <w:rPr>
          <w:noProof/>
        </w:rPr>
        <w:t>:</w:t>
      </w:r>
      <w:r>
        <w:t xml:space="preserve"> Změna intenzity dopravy mezi sčítáními z let 2010 a 2016</w:t>
      </w:r>
      <w:bookmarkEnd w:id="526"/>
      <w:bookmarkEnd w:id="527"/>
    </w:p>
    <w:p w14:paraId="74E88E8F" w14:textId="7B1A68D8" w:rsidR="00F64217" w:rsidRDefault="001168BC" w:rsidP="00F64217">
      <w:pPr>
        <w:spacing w:before="0"/>
      </w:pPr>
      <w:r w:rsidRPr="0070290B">
        <w:rPr>
          <w:noProof/>
          <w:lang w:eastAsia="cs-CZ"/>
        </w:rPr>
        <w:drawing>
          <wp:inline distT="0" distB="0" distL="0" distR="0" wp14:anchorId="3F351C68" wp14:editId="738F9805">
            <wp:extent cx="5760000" cy="4072544"/>
            <wp:effectExtent l="19050" t="19050" r="12700" b="23495"/>
            <wp:docPr id="220" name="Obráze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CES\04_Projekty\2020_SP_Zlin\Zlin_doprava_2010-2016.png"/>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5760000" cy="4072544"/>
                    </a:xfrm>
                    <a:prstGeom prst="rect">
                      <a:avLst/>
                    </a:prstGeom>
                    <a:noFill/>
                    <a:ln>
                      <a:solidFill>
                        <a:schemeClr val="tx1"/>
                      </a:solidFill>
                    </a:ln>
                  </pic:spPr>
                </pic:pic>
              </a:graphicData>
            </a:graphic>
          </wp:inline>
        </w:drawing>
      </w:r>
    </w:p>
    <w:p w14:paraId="18B2085A" w14:textId="3F17606B" w:rsidR="00F64217" w:rsidRDefault="00F64217" w:rsidP="00F64217">
      <w:pPr>
        <w:pStyle w:val="Zdroj"/>
        <w:spacing w:before="0"/>
      </w:pPr>
      <w:r>
        <w:t>Zdroj: ŘSD, OSM, MVČR, ČÚZK</w:t>
      </w:r>
      <w:r w:rsidR="000F101A">
        <w:t>.</w:t>
      </w:r>
    </w:p>
    <w:p w14:paraId="00F716AD" w14:textId="77777777" w:rsidR="00F64217" w:rsidRPr="00E114A8" w:rsidRDefault="00F64217" w:rsidP="00F64217"/>
    <w:p w14:paraId="37F0A4A4" w14:textId="4FBE1B13" w:rsidR="00E37D33" w:rsidRDefault="00E37D33">
      <w:pPr>
        <w:spacing w:before="0" w:after="160" w:line="259" w:lineRule="auto"/>
        <w:jc w:val="left"/>
      </w:pPr>
      <w:r>
        <w:br w:type="page"/>
      </w:r>
    </w:p>
    <w:p w14:paraId="7CF4A07F" w14:textId="77777777" w:rsidR="00E37D33" w:rsidRDefault="00E37D33" w:rsidP="00E37D33">
      <w:pPr>
        <w:pStyle w:val="Nadpis2"/>
        <w:spacing w:after="0"/>
      </w:pPr>
      <w:bookmarkStart w:id="528" w:name="_Toc50466299"/>
      <w:bookmarkStart w:id="529" w:name="_Toc77074614"/>
      <w:r>
        <w:lastRenderedPageBreak/>
        <w:t>Příloha kapitoly Vstřícné město</w:t>
      </w:r>
      <w:bookmarkEnd w:id="528"/>
      <w:bookmarkEnd w:id="529"/>
    </w:p>
    <w:p w14:paraId="52038E92" w14:textId="63CCC566" w:rsidR="00E37D33" w:rsidRPr="00CD54E3" w:rsidRDefault="00E37D33" w:rsidP="00E37D33">
      <w:pPr>
        <w:pStyle w:val="Titulek"/>
        <w:spacing w:before="0" w:after="0"/>
      </w:pPr>
      <w:bookmarkStart w:id="530" w:name="_Toc50466199"/>
      <w:bookmarkStart w:id="531" w:name="_Toc7707476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82</w:t>
      </w:r>
      <w:r w:rsidR="00081B47">
        <w:rPr>
          <w:noProof/>
        </w:rPr>
        <w:fldChar w:fldCharType="end"/>
      </w:r>
      <w:r w:rsidR="000F101A">
        <w:rPr>
          <w:noProof/>
        </w:rPr>
        <w:t>:</w:t>
      </w:r>
      <w:r w:rsidRPr="00CD54E3">
        <w:t xml:space="preserve"> Organizační struktura Magistrátu města Zlín</w:t>
      </w:r>
      <w:bookmarkEnd w:id="530"/>
      <w:bookmarkEnd w:id="531"/>
    </w:p>
    <w:tbl>
      <w:tblPr>
        <w:tblW w:w="7540" w:type="dxa"/>
        <w:tblCellMar>
          <w:left w:w="70" w:type="dxa"/>
          <w:right w:w="70" w:type="dxa"/>
        </w:tblCellMar>
        <w:tblLook w:val="04A0" w:firstRow="1" w:lastRow="0" w:firstColumn="1" w:lastColumn="0" w:noHBand="0" w:noVBand="1"/>
      </w:tblPr>
      <w:tblGrid>
        <w:gridCol w:w="3320"/>
        <w:gridCol w:w="4220"/>
      </w:tblGrid>
      <w:tr w:rsidR="00E37D33" w:rsidRPr="00920386" w14:paraId="0D6E9DC3" w14:textId="77777777" w:rsidTr="00E37D33">
        <w:trPr>
          <w:trHeight w:val="216"/>
        </w:trPr>
        <w:tc>
          <w:tcPr>
            <w:tcW w:w="3320" w:type="dxa"/>
            <w:tcBorders>
              <w:top w:val="single" w:sz="8" w:space="0" w:color="auto"/>
              <w:left w:val="single" w:sz="8" w:space="0" w:color="auto"/>
              <w:bottom w:val="single" w:sz="8" w:space="0" w:color="auto"/>
              <w:right w:val="single" w:sz="4" w:space="0" w:color="auto"/>
            </w:tcBorders>
            <w:shd w:val="clear" w:color="000000" w:fill="D0CECE"/>
            <w:noWrap/>
            <w:vAlign w:val="bottom"/>
            <w:hideMark/>
          </w:tcPr>
          <w:p w14:paraId="6D816089" w14:textId="77777777" w:rsidR="00E37D33" w:rsidRPr="00920386" w:rsidRDefault="00E37D33" w:rsidP="00E37D33">
            <w:pPr>
              <w:spacing w:before="0"/>
              <w:jc w:val="left"/>
              <w:rPr>
                <w:rFonts w:eastAsia="Times New Roman" w:cstheme="minorHAnsi"/>
                <w:b/>
                <w:bCs/>
                <w:sz w:val="18"/>
                <w:szCs w:val="18"/>
                <w:lang w:eastAsia="cs-CZ"/>
              </w:rPr>
            </w:pPr>
            <w:r w:rsidRPr="00920386">
              <w:rPr>
                <w:rFonts w:eastAsia="Times New Roman" w:cstheme="minorHAnsi"/>
                <w:b/>
                <w:bCs/>
                <w:sz w:val="18"/>
                <w:szCs w:val="18"/>
                <w:lang w:eastAsia="cs-CZ"/>
              </w:rPr>
              <w:t>Název odboru</w:t>
            </w:r>
          </w:p>
        </w:tc>
        <w:tc>
          <w:tcPr>
            <w:tcW w:w="4220" w:type="dxa"/>
            <w:tcBorders>
              <w:top w:val="single" w:sz="8" w:space="0" w:color="auto"/>
              <w:left w:val="nil"/>
              <w:bottom w:val="single" w:sz="8" w:space="0" w:color="auto"/>
              <w:right w:val="single" w:sz="8" w:space="0" w:color="auto"/>
            </w:tcBorders>
            <w:shd w:val="clear" w:color="000000" w:fill="D0CECE"/>
            <w:noWrap/>
            <w:vAlign w:val="bottom"/>
            <w:hideMark/>
          </w:tcPr>
          <w:p w14:paraId="17615E62" w14:textId="77777777" w:rsidR="00E37D33" w:rsidRPr="00920386" w:rsidRDefault="00E37D33" w:rsidP="00E37D33">
            <w:pPr>
              <w:spacing w:before="0"/>
              <w:jc w:val="left"/>
              <w:rPr>
                <w:rFonts w:eastAsia="Times New Roman" w:cstheme="minorHAnsi"/>
                <w:b/>
                <w:bCs/>
                <w:sz w:val="18"/>
                <w:szCs w:val="18"/>
                <w:lang w:eastAsia="cs-CZ"/>
              </w:rPr>
            </w:pPr>
            <w:r w:rsidRPr="00920386">
              <w:rPr>
                <w:rFonts w:eastAsia="Times New Roman" w:cstheme="minorHAnsi"/>
                <w:b/>
                <w:bCs/>
                <w:sz w:val="18"/>
                <w:szCs w:val="18"/>
                <w:lang w:eastAsia="cs-CZ"/>
              </w:rPr>
              <w:t>Název oddělení</w:t>
            </w:r>
          </w:p>
        </w:tc>
      </w:tr>
      <w:tr w:rsidR="00E37D33" w:rsidRPr="00920386" w14:paraId="6E3000F4" w14:textId="77777777" w:rsidTr="00E37D33">
        <w:trPr>
          <w:trHeight w:val="216"/>
        </w:trPr>
        <w:tc>
          <w:tcPr>
            <w:tcW w:w="3320" w:type="dxa"/>
            <w:tcBorders>
              <w:top w:val="nil"/>
              <w:left w:val="single" w:sz="8" w:space="0" w:color="auto"/>
              <w:bottom w:val="nil"/>
              <w:right w:val="single" w:sz="4" w:space="0" w:color="auto"/>
            </w:tcBorders>
            <w:shd w:val="clear" w:color="auto" w:fill="auto"/>
            <w:noWrap/>
            <w:vAlign w:val="bottom"/>
            <w:hideMark/>
          </w:tcPr>
          <w:p w14:paraId="67A6F23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krizového řízení  a obrany</w:t>
            </w:r>
          </w:p>
        </w:tc>
        <w:tc>
          <w:tcPr>
            <w:tcW w:w="4220" w:type="dxa"/>
            <w:tcBorders>
              <w:top w:val="nil"/>
              <w:left w:val="nil"/>
              <w:bottom w:val="nil"/>
              <w:right w:val="single" w:sz="8" w:space="0" w:color="auto"/>
            </w:tcBorders>
            <w:shd w:val="clear" w:color="auto" w:fill="auto"/>
            <w:noWrap/>
            <w:vAlign w:val="bottom"/>
            <w:hideMark/>
          </w:tcPr>
          <w:p w14:paraId="0AA81B67"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24C4B5B4" w14:textId="77777777" w:rsidTr="00E37D33">
        <w:trPr>
          <w:trHeight w:val="216"/>
        </w:trPr>
        <w:tc>
          <w:tcPr>
            <w:tcW w:w="33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2A175D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Oddělení tiskové</w:t>
            </w:r>
          </w:p>
        </w:tc>
        <w:tc>
          <w:tcPr>
            <w:tcW w:w="4220" w:type="dxa"/>
            <w:tcBorders>
              <w:top w:val="single" w:sz="8" w:space="0" w:color="auto"/>
              <w:left w:val="nil"/>
              <w:bottom w:val="single" w:sz="8" w:space="0" w:color="auto"/>
              <w:right w:val="single" w:sz="8" w:space="0" w:color="auto"/>
            </w:tcBorders>
            <w:shd w:val="clear" w:color="auto" w:fill="auto"/>
            <w:noWrap/>
            <w:vAlign w:val="bottom"/>
            <w:hideMark/>
          </w:tcPr>
          <w:p w14:paraId="4733AEC6"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34F06E06" w14:textId="77777777" w:rsidTr="00E37D33">
        <w:trPr>
          <w:trHeight w:val="216"/>
        </w:trPr>
        <w:tc>
          <w:tcPr>
            <w:tcW w:w="3320" w:type="dxa"/>
            <w:tcBorders>
              <w:top w:val="nil"/>
              <w:left w:val="single" w:sz="8" w:space="0" w:color="auto"/>
              <w:bottom w:val="nil"/>
              <w:right w:val="single" w:sz="4" w:space="0" w:color="auto"/>
            </w:tcBorders>
            <w:shd w:val="clear" w:color="auto" w:fill="auto"/>
            <w:noWrap/>
            <w:vAlign w:val="bottom"/>
            <w:hideMark/>
          </w:tcPr>
          <w:p w14:paraId="297B70B7"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informatiky</w:t>
            </w:r>
          </w:p>
        </w:tc>
        <w:tc>
          <w:tcPr>
            <w:tcW w:w="4220" w:type="dxa"/>
            <w:tcBorders>
              <w:top w:val="nil"/>
              <w:left w:val="nil"/>
              <w:bottom w:val="nil"/>
              <w:right w:val="single" w:sz="8" w:space="0" w:color="auto"/>
            </w:tcBorders>
            <w:shd w:val="clear" w:color="auto" w:fill="auto"/>
            <w:noWrap/>
            <w:vAlign w:val="bottom"/>
            <w:hideMark/>
          </w:tcPr>
          <w:p w14:paraId="7F9FEA67"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21A80BDE" w14:textId="77777777" w:rsidTr="00E37D33">
        <w:trPr>
          <w:trHeight w:val="204"/>
        </w:trPr>
        <w:tc>
          <w:tcPr>
            <w:tcW w:w="3320" w:type="dxa"/>
            <w:vMerge w:val="restart"/>
            <w:tcBorders>
              <w:top w:val="single" w:sz="8" w:space="0" w:color="auto"/>
              <w:left w:val="single" w:sz="8" w:space="0" w:color="auto"/>
              <w:bottom w:val="single" w:sz="8" w:space="0" w:color="000000"/>
              <w:right w:val="single" w:sz="4" w:space="0" w:color="auto"/>
            </w:tcBorders>
            <w:shd w:val="clear" w:color="auto" w:fill="auto"/>
            <w:noWrap/>
            <w:hideMark/>
          </w:tcPr>
          <w:p w14:paraId="06B9B8B8"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kanceláře primátora</w:t>
            </w:r>
          </w:p>
        </w:tc>
        <w:tc>
          <w:tcPr>
            <w:tcW w:w="4220" w:type="dxa"/>
            <w:tcBorders>
              <w:top w:val="single" w:sz="8" w:space="0" w:color="auto"/>
              <w:left w:val="nil"/>
              <w:bottom w:val="single" w:sz="4" w:space="0" w:color="auto"/>
              <w:right w:val="single" w:sz="8" w:space="0" w:color="auto"/>
            </w:tcBorders>
            <w:shd w:val="clear" w:color="auto" w:fill="auto"/>
            <w:noWrap/>
            <w:vAlign w:val="bottom"/>
            <w:hideMark/>
          </w:tcPr>
          <w:p w14:paraId="1DF02AD6"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sekretariátů</w:t>
            </w:r>
          </w:p>
        </w:tc>
      </w:tr>
      <w:tr w:rsidR="00E37D33" w:rsidRPr="00920386" w14:paraId="23BC8C44" w14:textId="77777777" w:rsidTr="00E37D33">
        <w:trPr>
          <w:trHeight w:val="204"/>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46DBF8FF"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7FEC350F"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organizační</w:t>
            </w:r>
          </w:p>
        </w:tc>
      </w:tr>
      <w:tr w:rsidR="00E37D33" w:rsidRPr="00920386" w14:paraId="06C49A13" w14:textId="77777777" w:rsidTr="00E37D33">
        <w:trPr>
          <w:trHeight w:val="216"/>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135DE472"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8" w:space="0" w:color="auto"/>
              <w:right w:val="single" w:sz="8" w:space="0" w:color="auto"/>
            </w:tcBorders>
            <w:shd w:val="clear" w:color="auto" w:fill="auto"/>
            <w:noWrap/>
            <w:vAlign w:val="bottom"/>
            <w:hideMark/>
          </w:tcPr>
          <w:p w14:paraId="1411B7CB"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autoprovozu</w:t>
            </w:r>
          </w:p>
        </w:tc>
      </w:tr>
      <w:tr w:rsidR="00E37D33" w:rsidRPr="00920386" w14:paraId="52E3264F" w14:textId="77777777" w:rsidTr="00E37D33">
        <w:trPr>
          <w:trHeight w:val="204"/>
        </w:trPr>
        <w:tc>
          <w:tcPr>
            <w:tcW w:w="3320" w:type="dxa"/>
            <w:vMerge w:val="restart"/>
            <w:tcBorders>
              <w:top w:val="nil"/>
              <w:left w:val="single" w:sz="8" w:space="0" w:color="auto"/>
              <w:bottom w:val="single" w:sz="8" w:space="0" w:color="000000"/>
              <w:right w:val="single" w:sz="4" w:space="0" w:color="auto"/>
            </w:tcBorders>
            <w:shd w:val="clear" w:color="auto" w:fill="auto"/>
            <w:noWrap/>
            <w:hideMark/>
          </w:tcPr>
          <w:p w14:paraId="3F578EA3"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právní</w:t>
            </w:r>
          </w:p>
        </w:tc>
        <w:tc>
          <w:tcPr>
            <w:tcW w:w="4220" w:type="dxa"/>
            <w:tcBorders>
              <w:top w:val="nil"/>
              <w:left w:val="nil"/>
              <w:bottom w:val="single" w:sz="4" w:space="0" w:color="auto"/>
              <w:right w:val="single" w:sz="8" w:space="0" w:color="auto"/>
            </w:tcBorders>
            <w:shd w:val="clear" w:color="auto" w:fill="auto"/>
            <w:noWrap/>
            <w:vAlign w:val="bottom"/>
            <w:hideMark/>
          </w:tcPr>
          <w:p w14:paraId="1D07E4D9"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vymáhání pohledávek</w:t>
            </w:r>
          </w:p>
        </w:tc>
      </w:tr>
      <w:tr w:rsidR="00E37D33" w:rsidRPr="00920386" w14:paraId="27C7E781" w14:textId="77777777" w:rsidTr="00E37D33">
        <w:trPr>
          <w:trHeight w:val="204"/>
        </w:trPr>
        <w:tc>
          <w:tcPr>
            <w:tcW w:w="3320" w:type="dxa"/>
            <w:vMerge/>
            <w:tcBorders>
              <w:top w:val="nil"/>
              <w:left w:val="single" w:sz="8" w:space="0" w:color="auto"/>
              <w:bottom w:val="single" w:sz="8" w:space="0" w:color="000000"/>
              <w:right w:val="single" w:sz="4" w:space="0" w:color="auto"/>
            </w:tcBorders>
            <w:vAlign w:val="center"/>
            <w:hideMark/>
          </w:tcPr>
          <w:p w14:paraId="6F41777E"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3D9211F6"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přestupkové</w:t>
            </w:r>
          </w:p>
        </w:tc>
      </w:tr>
      <w:tr w:rsidR="00E37D33" w:rsidRPr="00920386" w14:paraId="6C2AE18E" w14:textId="77777777" w:rsidTr="00E37D33">
        <w:trPr>
          <w:trHeight w:val="204"/>
        </w:trPr>
        <w:tc>
          <w:tcPr>
            <w:tcW w:w="3320" w:type="dxa"/>
            <w:vMerge/>
            <w:tcBorders>
              <w:top w:val="nil"/>
              <w:left w:val="single" w:sz="8" w:space="0" w:color="auto"/>
              <w:bottom w:val="single" w:sz="8" w:space="0" w:color="000000"/>
              <w:right w:val="single" w:sz="4" w:space="0" w:color="auto"/>
            </w:tcBorders>
            <w:vAlign w:val="center"/>
            <w:hideMark/>
          </w:tcPr>
          <w:p w14:paraId="3B09113C"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65E70EAD"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veřejných zakázek</w:t>
            </w:r>
          </w:p>
        </w:tc>
      </w:tr>
      <w:tr w:rsidR="00E37D33" w:rsidRPr="00920386" w14:paraId="6AE04816" w14:textId="77777777" w:rsidTr="00E37D33">
        <w:trPr>
          <w:trHeight w:val="216"/>
        </w:trPr>
        <w:tc>
          <w:tcPr>
            <w:tcW w:w="3320" w:type="dxa"/>
            <w:vMerge/>
            <w:tcBorders>
              <w:top w:val="nil"/>
              <w:left w:val="single" w:sz="8" w:space="0" w:color="auto"/>
              <w:bottom w:val="single" w:sz="8" w:space="0" w:color="000000"/>
              <w:right w:val="single" w:sz="4" w:space="0" w:color="auto"/>
            </w:tcBorders>
            <w:vAlign w:val="center"/>
            <w:hideMark/>
          </w:tcPr>
          <w:p w14:paraId="441BF534"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8" w:space="0" w:color="auto"/>
              <w:right w:val="single" w:sz="8" w:space="0" w:color="auto"/>
            </w:tcBorders>
            <w:shd w:val="clear" w:color="auto" w:fill="auto"/>
            <w:noWrap/>
            <w:vAlign w:val="bottom"/>
            <w:hideMark/>
          </w:tcPr>
          <w:p w14:paraId="7F9AA607"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právní</w:t>
            </w:r>
          </w:p>
        </w:tc>
      </w:tr>
      <w:tr w:rsidR="00E37D33" w:rsidRPr="00920386" w14:paraId="1A36EA7F" w14:textId="77777777" w:rsidTr="00E37D33">
        <w:trPr>
          <w:trHeight w:val="204"/>
        </w:trPr>
        <w:tc>
          <w:tcPr>
            <w:tcW w:w="3320" w:type="dxa"/>
            <w:vMerge w:val="restart"/>
            <w:tcBorders>
              <w:top w:val="nil"/>
              <w:left w:val="single" w:sz="8" w:space="0" w:color="auto"/>
              <w:bottom w:val="single" w:sz="4" w:space="0" w:color="auto"/>
              <w:right w:val="single" w:sz="4" w:space="0" w:color="auto"/>
            </w:tcBorders>
            <w:shd w:val="clear" w:color="auto" w:fill="auto"/>
            <w:noWrap/>
            <w:hideMark/>
          </w:tcPr>
          <w:p w14:paraId="393A6369"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vnitřní správy</w:t>
            </w:r>
          </w:p>
        </w:tc>
        <w:tc>
          <w:tcPr>
            <w:tcW w:w="4220" w:type="dxa"/>
            <w:tcBorders>
              <w:top w:val="nil"/>
              <w:left w:val="nil"/>
              <w:bottom w:val="single" w:sz="4" w:space="0" w:color="auto"/>
              <w:right w:val="single" w:sz="8" w:space="0" w:color="auto"/>
            </w:tcBorders>
            <w:shd w:val="clear" w:color="auto" w:fill="auto"/>
            <w:noWrap/>
            <w:vAlign w:val="bottom"/>
            <w:hideMark/>
          </w:tcPr>
          <w:p w14:paraId="100490E2"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vnitřní správy</w:t>
            </w:r>
          </w:p>
        </w:tc>
      </w:tr>
      <w:tr w:rsidR="00E37D33" w:rsidRPr="00920386" w14:paraId="1EF08B9F" w14:textId="77777777" w:rsidTr="00E37D33">
        <w:trPr>
          <w:trHeight w:val="204"/>
        </w:trPr>
        <w:tc>
          <w:tcPr>
            <w:tcW w:w="3320" w:type="dxa"/>
            <w:vMerge/>
            <w:tcBorders>
              <w:top w:val="nil"/>
              <w:left w:val="single" w:sz="8" w:space="0" w:color="auto"/>
              <w:bottom w:val="single" w:sz="4" w:space="0" w:color="auto"/>
              <w:right w:val="single" w:sz="4" w:space="0" w:color="auto"/>
            </w:tcBorders>
            <w:vAlign w:val="center"/>
            <w:hideMark/>
          </w:tcPr>
          <w:p w14:paraId="47CECD0C"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639D2710"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hospodářské správy</w:t>
            </w:r>
          </w:p>
        </w:tc>
      </w:tr>
      <w:tr w:rsidR="00E37D33" w:rsidRPr="00920386" w14:paraId="2B00A215" w14:textId="77777777" w:rsidTr="00E37D33">
        <w:trPr>
          <w:trHeight w:val="216"/>
        </w:trPr>
        <w:tc>
          <w:tcPr>
            <w:tcW w:w="3320" w:type="dxa"/>
            <w:vMerge/>
            <w:tcBorders>
              <w:top w:val="nil"/>
              <w:left w:val="single" w:sz="8" w:space="0" w:color="auto"/>
              <w:bottom w:val="single" w:sz="4" w:space="0" w:color="auto"/>
              <w:right w:val="single" w:sz="4" w:space="0" w:color="auto"/>
            </w:tcBorders>
            <w:vAlign w:val="center"/>
            <w:hideMark/>
          </w:tcPr>
          <w:p w14:paraId="0D292171"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nil"/>
              <w:right w:val="single" w:sz="8" w:space="0" w:color="auto"/>
            </w:tcBorders>
            <w:shd w:val="clear" w:color="auto" w:fill="auto"/>
            <w:noWrap/>
            <w:vAlign w:val="bottom"/>
            <w:hideMark/>
          </w:tcPr>
          <w:p w14:paraId="7DF494E2"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spisové a archivní služby</w:t>
            </w:r>
          </w:p>
        </w:tc>
      </w:tr>
      <w:tr w:rsidR="00E37D33" w:rsidRPr="00920386" w14:paraId="10626685" w14:textId="77777777" w:rsidTr="00E37D33">
        <w:trPr>
          <w:trHeight w:val="216"/>
        </w:trPr>
        <w:tc>
          <w:tcPr>
            <w:tcW w:w="33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256BC65"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cestovního ruchu, a informací</w:t>
            </w:r>
          </w:p>
        </w:tc>
        <w:tc>
          <w:tcPr>
            <w:tcW w:w="4220" w:type="dxa"/>
            <w:tcBorders>
              <w:top w:val="single" w:sz="8" w:space="0" w:color="auto"/>
              <w:left w:val="nil"/>
              <w:bottom w:val="single" w:sz="8" w:space="0" w:color="auto"/>
              <w:right w:val="single" w:sz="8" w:space="0" w:color="auto"/>
            </w:tcBorders>
            <w:shd w:val="clear" w:color="auto" w:fill="auto"/>
            <w:noWrap/>
            <w:vAlign w:val="bottom"/>
            <w:hideMark/>
          </w:tcPr>
          <w:p w14:paraId="64865471"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6C0A0166" w14:textId="77777777" w:rsidTr="00E37D33">
        <w:trPr>
          <w:trHeight w:val="216"/>
        </w:trPr>
        <w:tc>
          <w:tcPr>
            <w:tcW w:w="3320" w:type="dxa"/>
            <w:tcBorders>
              <w:top w:val="nil"/>
              <w:left w:val="single" w:sz="8" w:space="0" w:color="auto"/>
              <w:bottom w:val="single" w:sz="8" w:space="0" w:color="auto"/>
              <w:right w:val="single" w:sz="4" w:space="0" w:color="auto"/>
            </w:tcBorders>
            <w:shd w:val="clear" w:color="auto" w:fill="auto"/>
            <w:noWrap/>
            <w:vAlign w:val="bottom"/>
            <w:hideMark/>
          </w:tcPr>
          <w:p w14:paraId="2A03AC46"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veřejnosprávní</w:t>
            </w:r>
          </w:p>
        </w:tc>
        <w:tc>
          <w:tcPr>
            <w:tcW w:w="4220" w:type="dxa"/>
            <w:tcBorders>
              <w:top w:val="nil"/>
              <w:left w:val="nil"/>
              <w:bottom w:val="single" w:sz="8" w:space="0" w:color="auto"/>
              <w:right w:val="single" w:sz="8" w:space="0" w:color="auto"/>
            </w:tcBorders>
            <w:shd w:val="clear" w:color="auto" w:fill="auto"/>
            <w:noWrap/>
            <w:vAlign w:val="bottom"/>
            <w:hideMark/>
          </w:tcPr>
          <w:p w14:paraId="69F4B67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34155F35" w14:textId="77777777" w:rsidTr="00E37D33">
        <w:trPr>
          <w:trHeight w:val="204"/>
        </w:trPr>
        <w:tc>
          <w:tcPr>
            <w:tcW w:w="3320" w:type="dxa"/>
            <w:vMerge w:val="restart"/>
            <w:tcBorders>
              <w:top w:val="nil"/>
              <w:left w:val="single" w:sz="8" w:space="0" w:color="auto"/>
              <w:bottom w:val="single" w:sz="8" w:space="0" w:color="000000"/>
              <w:right w:val="single" w:sz="4" w:space="0" w:color="auto"/>
            </w:tcBorders>
            <w:shd w:val="clear" w:color="000000" w:fill="FFFFFF"/>
            <w:noWrap/>
            <w:hideMark/>
          </w:tcPr>
          <w:p w14:paraId="56E48909"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majetkové správy</w:t>
            </w:r>
          </w:p>
        </w:tc>
        <w:tc>
          <w:tcPr>
            <w:tcW w:w="4220" w:type="dxa"/>
            <w:tcBorders>
              <w:top w:val="nil"/>
              <w:left w:val="nil"/>
              <w:bottom w:val="single" w:sz="4" w:space="0" w:color="auto"/>
              <w:right w:val="single" w:sz="8" w:space="0" w:color="auto"/>
            </w:tcBorders>
            <w:shd w:val="clear" w:color="000000" w:fill="FFFFFF"/>
            <w:noWrap/>
            <w:vAlign w:val="bottom"/>
            <w:hideMark/>
          </w:tcPr>
          <w:p w14:paraId="1869F62A"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pozemkové správy</w:t>
            </w:r>
          </w:p>
        </w:tc>
      </w:tr>
      <w:tr w:rsidR="00E37D33" w:rsidRPr="00920386" w14:paraId="36D541F7" w14:textId="77777777" w:rsidTr="00E37D33">
        <w:trPr>
          <w:trHeight w:val="204"/>
        </w:trPr>
        <w:tc>
          <w:tcPr>
            <w:tcW w:w="3320" w:type="dxa"/>
            <w:vMerge/>
            <w:tcBorders>
              <w:top w:val="nil"/>
              <w:left w:val="single" w:sz="8" w:space="0" w:color="auto"/>
              <w:bottom w:val="single" w:sz="8" w:space="0" w:color="000000"/>
              <w:right w:val="single" w:sz="4" w:space="0" w:color="auto"/>
            </w:tcBorders>
            <w:vAlign w:val="center"/>
            <w:hideMark/>
          </w:tcPr>
          <w:p w14:paraId="32F245B4"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000000" w:fill="FFFFFF"/>
            <w:noWrap/>
            <w:vAlign w:val="bottom"/>
            <w:hideMark/>
          </w:tcPr>
          <w:p w14:paraId="1368CEE1"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správy bytových domů</w:t>
            </w:r>
          </w:p>
        </w:tc>
      </w:tr>
      <w:tr w:rsidR="00E37D33" w:rsidRPr="00920386" w14:paraId="789A9BB3" w14:textId="77777777" w:rsidTr="00E37D33">
        <w:trPr>
          <w:trHeight w:val="216"/>
        </w:trPr>
        <w:tc>
          <w:tcPr>
            <w:tcW w:w="3320" w:type="dxa"/>
            <w:vMerge/>
            <w:tcBorders>
              <w:top w:val="nil"/>
              <w:left w:val="single" w:sz="8" w:space="0" w:color="auto"/>
              <w:bottom w:val="single" w:sz="8" w:space="0" w:color="000000"/>
              <w:right w:val="single" w:sz="4" w:space="0" w:color="auto"/>
            </w:tcBorders>
            <w:vAlign w:val="center"/>
            <w:hideMark/>
          </w:tcPr>
          <w:p w14:paraId="2E506B5C"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8" w:space="0" w:color="auto"/>
              <w:right w:val="single" w:sz="8" w:space="0" w:color="auto"/>
            </w:tcBorders>
            <w:shd w:val="clear" w:color="000000" w:fill="FFFFFF"/>
            <w:noWrap/>
            <w:vAlign w:val="bottom"/>
            <w:hideMark/>
          </w:tcPr>
          <w:p w14:paraId="5E337EF6"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správy nebytových</w:t>
            </w:r>
          </w:p>
        </w:tc>
      </w:tr>
      <w:tr w:rsidR="00E37D33" w:rsidRPr="00920386" w14:paraId="50087808" w14:textId="77777777" w:rsidTr="00E37D33">
        <w:trPr>
          <w:trHeight w:val="216"/>
        </w:trPr>
        <w:tc>
          <w:tcPr>
            <w:tcW w:w="3320" w:type="dxa"/>
            <w:tcBorders>
              <w:top w:val="nil"/>
              <w:left w:val="single" w:sz="8" w:space="0" w:color="auto"/>
              <w:bottom w:val="nil"/>
              <w:right w:val="single" w:sz="4" w:space="0" w:color="auto"/>
            </w:tcBorders>
            <w:shd w:val="clear" w:color="auto" w:fill="auto"/>
            <w:noWrap/>
            <w:vAlign w:val="bottom"/>
            <w:hideMark/>
          </w:tcPr>
          <w:p w14:paraId="5E54174A"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prostorového plánování</w:t>
            </w:r>
          </w:p>
        </w:tc>
        <w:tc>
          <w:tcPr>
            <w:tcW w:w="4220" w:type="dxa"/>
            <w:tcBorders>
              <w:top w:val="nil"/>
              <w:left w:val="nil"/>
              <w:bottom w:val="nil"/>
              <w:right w:val="single" w:sz="8" w:space="0" w:color="auto"/>
            </w:tcBorders>
            <w:shd w:val="clear" w:color="auto" w:fill="auto"/>
            <w:noWrap/>
            <w:vAlign w:val="bottom"/>
            <w:hideMark/>
          </w:tcPr>
          <w:p w14:paraId="5B0E5610"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75CBA8CD" w14:textId="77777777" w:rsidTr="00E37D33">
        <w:trPr>
          <w:trHeight w:val="216"/>
        </w:trPr>
        <w:tc>
          <w:tcPr>
            <w:tcW w:w="33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FF1AB09"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koordinace projektů</w:t>
            </w:r>
          </w:p>
        </w:tc>
        <w:tc>
          <w:tcPr>
            <w:tcW w:w="4220" w:type="dxa"/>
            <w:tcBorders>
              <w:top w:val="single" w:sz="8" w:space="0" w:color="auto"/>
              <w:left w:val="nil"/>
              <w:bottom w:val="single" w:sz="8" w:space="0" w:color="auto"/>
              <w:right w:val="single" w:sz="8" w:space="0" w:color="auto"/>
            </w:tcBorders>
            <w:shd w:val="clear" w:color="auto" w:fill="auto"/>
            <w:noWrap/>
            <w:vAlign w:val="bottom"/>
            <w:hideMark/>
          </w:tcPr>
          <w:p w14:paraId="253B7A32"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360C121E" w14:textId="77777777" w:rsidTr="00E37D33">
        <w:trPr>
          <w:trHeight w:val="204"/>
        </w:trPr>
        <w:tc>
          <w:tcPr>
            <w:tcW w:w="3320" w:type="dxa"/>
            <w:vMerge w:val="restart"/>
            <w:tcBorders>
              <w:top w:val="nil"/>
              <w:left w:val="single" w:sz="8" w:space="0" w:color="auto"/>
              <w:bottom w:val="single" w:sz="4" w:space="0" w:color="auto"/>
              <w:right w:val="single" w:sz="4" w:space="0" w:color="auto"/>
            </w:tcBorders>
            <w:shd w:val="clear" w:color="auto" w:fill="auto"/>
            <w:noWrap/>
            <w:hideMark/>
          </w:tcPr>
          <w:p w14:paraId="2117BC1B"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dopravy</w:t>
            </w:r>
          </w:p>
        </w:tc>
        <w:tc>
          <w:tcPr>
            <w:tcW w:w="4220" w:type="dxa"/>
            <w:tcBorders>
              <w:top w:val="nil"/>
              <w:left w:val="nil"/>
              <w:bottom w:val="single" w:sz="4" w:space="0" w:color="auto"/>
              <w:right w:val="single" w:sz="8" w:space="0" w:color="auto"/>
            </w:tcBorders>
            <w:shd w:val="clear" w:color="000000" w:fill="FFFFFF"/>
            <w:noWrap/>
            <w:vAlign w:val="bottom"/>
            <w:hideMark/>
          </w:tcPr>
          <w:p w14:paraId="2698268F"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investic</w:t>
            </w:r>
          </w:p>
        </w:tc>
      </w:tr>
      <w:tr w:rsidR="00E37D33" w:rsidRPr="00920386" w14:paraId="21521E9D" w14:textId="77777777" w:rsidTr="00E37D33">
        <w:trPr>
          <w:trHeight w:val="216"/>
        </w:trPr>
        <w:tc>
          <w:tcPr>
            <w:tcW w:w="3320" w:type="dxa"/>
            <w:vMerge/>
            <w:tcBorders>
              <w:top w:val="nil"/>
              <w:left w:val="single" w:sz="8" w:space="0" w:color="auto"/>
              <w:bottom w:val="single" w:sz="4" w:space="0" w:color="auto"/>
              <w:right w:val="single" w:sz="4" w:space="0" w:color="auto"/>
            </w:tcBorders>
            <w:vAlign w:val="center"/>
            <w:hideMark/>
          </w:tcPr>
          <w:p w14:paraId="081FDE65"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nil"/>
              <w:right w:val="single" w:sz="8" w:space="0" w:color="auto"/>
            </w:tcBorders>
            <w:shd w:val="clear" w:color="000000" w:fill="FFFFFF"/>
            <w:noWrap/>
            <w:vAlign w:val="bottom"/>
            <w:hideMark/>
          </w:tcPr>
          <w:p w14:paraId="49A385D5"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provozně-technické</w:t>
            </w:r>
          </w:p>
        </w:tc>
      </w:tr>
      <w:tr w:rsidR="00E37D33" w:rsidRPr="00920386" w14:paraId="7FAE8166" w14:textId="77777777" w:rsidTr="00E37D33">
        <w:trPr>
          <w:trHeight w:val="216"/>
        </w:trPr>
        <w:tc>
          <w:tcPr>
            <w:tcW w:w="33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66D2587"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kulturní centrum</w:t>
            </w:r>
          </w:p>
        </w:tc>
        <w:tc>
          <w:tcPr>
            <w:tcW w:w="4220" w:type="dxa"/>
            <w:tcBorders>
              <w:top w:val="single" w:sz="8" w:space="0" w:color="auto"/>
              <w:left w:val="nil"/>
              <w:bottom w:val="single" w:sz="8" w:space="0" w:color="auto"/>
              <w:right w:val="single" w:sz="8" w:space="0" w:color="auto"/>
            </w:tcBorders>
            <w:shd w:val="clear" w:color="auto" w:fill="auto"/>
            <w:noWrap/>
            <w:vAlign w:val="bottom"/>
            <w:hideMark/>
          </w:tcPr>
          <w:p w14:paraId="0445AA9A"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2313A4E3" w14:textId="77777777" w:rsidTr="00E37D33">
        <w:trPr>
          <w:trHeight w:val="204"/>
        </w:trPr>
        <w:tc>
          <w:tcPr>
            <w:tcW w:w="3320" w:type="dxa"/>
            <w:vMerge w:val="restart"/>
            <w:tcBorders>
              <w:top w:val="nil"/>
              <w:left w:val="single" w:sz="8" w:space="0" w:color="auto"/>
              <w:bottom w:val="single" w:sz="4" w:space="0" w:color="auto"/>
              <w:right w:val="single" w:sz="4" w:space="0" w:color="auto"/>
            </w:tcBorders>
            <w:shd w:val="clear" w:color="auto" w:fill="auto"/>
            <w:noWrap/>
            <w:hideMark/>
          </w:tcPr>
          <w:p w14:paraId="64A733B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realizace investičních akci</w:t>
            </w:r>
          </w:p>
        </w:tc>
        <w:tc>
          <w:tcPr>
            <w:tcW w:w="4220" w:type="dxa"/>
            <w:tcBorders>
              <w:top w:val="nil"/>
              <w:left w:val="nil"/>
              <w:bottom w:val="single" w:sz="4" w:space="0" w:color="auto"/>
              <w:right w:val="single" w:sz="8" w:space="0" w:color="auto"/>
            </w:tcBorders>
            <w:shd w:val="clear" w:color="auto" w:fill="auto"/>
            <w:noWrap/>
            <w:vAlign w:val="bottom"/>
            <w:hideMark/>
          </w:tcPr>
          <w:p w14:paraId="7D78EC71"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přípravy</w:t>
            </w:r>
          </w:p>
        </w:tc>
      </w:tr>
      <w:tr w:rsidR="00E37D33" w:rsidRPr="00920386" w14:paraId="5A238E6A" w14:textId="77777777" w:rsidTr="00E37D33">
        <w:trPr>
          <w:trHeight w:val="216"/>
        </w:trPr>
        <w:tc>
          <w:tcPr>
            <w:tcW w:w="3320" w:type="dxa"/>
            <w:vMerge/>
            <w:tcBorders>
              <w:top w:val="nil"/>
              <w:left w:val="single" w:sz="8" w:space="0" w:color="auto"/>
              <w:bottom w:val="single" w:sz="4" w:space="0" w:color="auto"/>
              <w:right w:val="single" w:sz="4" w:space="0" w:color="auto"/>
            </w:tcBorders>
            <w:vAlign w:val="center"/>
            <w:hideMark/>
          </w:tcPr>
          <w:p w14:paraId="43A9596E"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nil"/>
              <w:right w:val="single" w:sz="8" w:space="0" w:color="auto"/>
            </w:tcBorders>
            <w:shd w:val="clear" w:color="auto" w:fill="auto"/>
            <w:noWrap/>
            <w:vAlign w:val="bottom"/>
            <w:hideMark/>
          </w:tcPr>
          <w:p w14:paraId="52D896F1"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realizace</w:t>
            </w:r>
          </w:p>
        </w:tc>
      </w:tr>
      <w:tr w:rsidR="00E37D33" w:rsidRPr="00920386" w14:paraId="0B914A48" w14:textId="77777777" w:rsidTr="00E37D33">
        <w:trPr>
          <w:trHeight w:val="216"/>
        </w:trPr>
        <w:tc>
          <w:tcPr>
            <w:tcW w:w="33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11B63CF"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personální a vzdělávání</w:t>
            </w:r>
          </w:p>
        </w:tc>
        <w:tc>
          <w:tcPr>
            <w:tcW w:w="4220" w:type="dxa"/>
            <w:tcBorders>
              <w:top w:val="single" w:sz="8" w:space="0" w:color="auto"/>
              <w:left w:val="nil"/>
              <w:bottom w:val="single" w:sz="8" w:space="0" w:color="auto"/>
              <w:right w:val="single" w:sz="8" w:space="0" w:color="auto"/>
            </w:tcBorders>
            <w:shd w:val="clear" w:color="auto" w:fill="auto"/>
            <w:noWrap/>
            <w:vAlign w:val="bottom"/>
            <w:hideMark/>
          </w:tcPr>
          <w:p w14:paraId="32D0B3DF"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0AB1729A" w14:textId="77777777" w:rsidTr="00E37D33">
        <w:trPr>
          <w:trHeight w:val="216"/>
        </w:trPr>
        <w:tc>
          <w:tcPr>
            <w:tcW w:w="3320" w:type="dxa"/>
            <w:tcBorders>
              <w:top w:val="nil"/>
              <w:left w:val="single" w:sz="8" w:space="0" w:color="auto"/>
              <w:bottom w:val="nil"/>
              <w:right w:val="single" w:sz="4" w:space="0" w:color="auto"/>
            </w:tcBorders>
            <w:shd w:val="clear" w:color="auto" w:fill="auto"/>
            <w:noWrap/>
            <w:vAlign w:val="bottom"/>
            <w:hideMark/>
          </w:tcPr>
          <w:p w14:paraId="5FDB5E95"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prevence kriminality a sportovišť</w:t>
            </w:r>
          </w:p>
        </w:tc>
        <w:tc>
          <w:tcPr>
            <w:tcW w:w="4220" w:type="dxa"/>
            <w:tcBorders>
              <w:top w:val="nil"/>
              <w:left w:val="nil"/>
              <w:bottom w:val="nil"/>
              <w:right w:val="single" w:sz="8" w:space="0" w:color="auto"/>
            </w:tcBorders>
            <w:shd w:val="clear" w:color="auto" w:fill="auto"/>
            <w:noWrap/>
            <w:vAlign w:val="bottom"/>
            <w:hideMark/>
          </w:tcPr>
          <w:p w14:paraId="7DC85D55"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5079372E" w14:textId="77777777" w:rsidTr="00E37D33">
        <w:trPr>
          <w:trHeight w:val="204"/>
        </w:trPr>
        <w:tc>
          <w:tcPr>
            <w:tcW w:w="3320" w:type="dxa"/>
            <w:vMerge w:val="restart"/>
            <w:tcBorders>
              <w:top w:val="single" w:sz="8" w:space="0" w:color="auto"/>
              <w:left w:val="single" w:sz="8" w:space="0" w:color="auto"/>
              <w:bottom w:val="single" w:sz="8" w:space="0" w:color="000000"/>
              <w:right w:val="single" w:sz="4" w:space="0" w:color="auto"/>
            </w:tcBorders>
            <w:shd w:val="clear" w:color="auto" w:fill="auto"/>
            <w:noWrap/>
            <w:hideMark/>
          </w:tcPr>
          <w:p w14:paraId="54864700"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stavebních a dopravních řízení</w:t>
            </w:r>
          </w:p>
        </w:tc>
        <w:tc>
          <w:tcPr>
            <w:tcW w:w="4220" w:type="dxa"/>
            <w:tcBorders>
              <w:top w:val="single" w:sz="8" w:space="0" w:color="auto"/>
              <w:left w:val="nil"/>
              <w:bottom w:val="single" w:sz="4" w:space="0" w:color="auto"/>
              <w:right w:val="single" w:sz="8" w:space="0" w:color="auto"/>
            </w:tcBorders>
            <w:shd w:val="clear" w:color="auto" w:fill="auto"/>
            <w:noWrap/>
            <w:vAlign w:val="bottom"/>
            <w:hideMark/>
          </w:tcPr>
          <w:p w14:paraId="3E5EA8A9"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stavebně správních řízení I</w:t>
            </w:r>
          </w:p>
        </w:tc>
      </w:tr>
      <w:tr w:rsidR="00E37D33" w:rsidRPr="00920386" w14:paraId="20564B0C" w14:textId="77777777" w:rsidTr="00E37D33">
        <w:trPr>
          <w:trHeight w:val="204"/>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5546CD1B"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18376625"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stavebně správních řízení II</w:t>
            </w:r>
          </w:p>
        </w:tc>
      </w:tr>
      <w:tr w:rsidR="00E37D33" w:rsidRPr="00920386" w14:paraId="7B317F1E" w14:textId="77777777" w:rsidTr="00E37D33">
        <w:trPr>
          <w:trHeight w:val="204"/>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2989C847"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25D5191F"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stavebně správních řízení III</w:t>
            </w:r>
          </w:p>
        </w:tc>
      </w:tr>
      <w:tr w:rsidR="00E37D33" w:rsidRPr="00920386" w14:paraId="27D57714" w14:textId="77777777" w:rsidTr="00E37D33">
        <w:trPr>
          <w:trHeight w:val="204"/>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34E69F54"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0E7B360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stavebně správních řízení IV</w:t>
            </w:r>
          </w:p>
        </w:tc>
      </w:tr>
      <w:tr w:rsidR="00E37D33" w:rsidRPr="00920386" w14:paraId="14112247" w14:textId="77777777" w:rsidTr="00E37D33">
        <w:trPr>
          <w:trHeight w:val="204"/>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4345F263"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6D709BAD"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dopravně správních řízení</w:t>
            </w:r>
          </w:p>
        </w:tc>
      </w:tr>
      <w:tr w:rsidR="00E37D33" w:rsidRPr="00920386" w14:paraId="4BDF3424" w14:textId="77777777" w:rsidTr="00E37D33">
        <w:trPr>
          <w:trHeight w:val="216"/>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705CBCF4"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8" w:space="0" w:color="auto"/>
              <w:right w:val="single" w:sz="8" w:space="0" w:color="auto"/>
            </w:tcBorders>
            <w:shd w:val="clear" w:color="auto" w:fill="auto"/>
            <w:noWrap/>
            <w:vAlign w:val="bottom"/>
            <w:hideMark/>
          </w:tcPr>
          <w:p w14:paraId="30C9E191"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spisovny a administrativy</w:t>
            </w:r>
          </w:p>
        </w:tc>
      </w:tr>
      <w:tr w:rsidR="00E37D33" w:rsidRPr="00920386" w14:paraId="1C2A23B2" w14:textId="77777777" w:rsidTr="00E37D33">
        <w:trPr>
          <w:trHeight w:val="204"/>
        </w:trPr>
        <w:tc>
          <w:tcPr>
            <w:tcW w:w="3320" w:type="dxa"/>
            <w:vMerge w:val="restart"/>
            <w:tcBorders>
              <w:top w:val="nil"/>
              <w:left w:val="single" w:sz="8" w:space="0" w:color="auto"/>
              <w:bottom w:val="single" w:sz="4" w:space="0" w:color="auto"/>
              <w:right w:val="single" w:sz="4" w:space="0" w:color="auto"/>
            </w:tcBorders>
            <w:shd w:val="clear" w:color="auto" w:fill="auto"/>
            <w:noWrap/>
            <w:hideMark/>
          </w:tcPr>
          <w:p w14:paraId="4CE03952"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sociálních věcí</w:t>
            </w:r>
          </w:p>
        </w:tc>
        <w:tc>
          <w:tcPr>
            <w:tcW w:w="4220" w:type="dxa"/>
            <w:tcBorders>
              <w:top w:val="nil"/>
              <w:left w:val="nil"/>
              <w:bottom w:val="single" w:sz="4" w:space="0" w:color="auto"/>
              <w:right w:val="single" w:sz="8" w:space="0" w:color="auto"/>
            </w:tcBorders>
            <w:shd w:val="clear" w:color="auto" w:fill="auto"/>
            <w:noWrap/>
            <w:vAlign w:val="bottom"/>
            <w:hideMark/>
          </w:tcPr>
          <w:p w14:paraId="5103DC60"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technicko-ekonomického zabezpečení</w:t>
            </w:r>
          </w:p>
        </w:tc>
      </w:tr>
      <w:tr w:rsidR="00E37D33" w:rsidRPr="00920386" w14:paraId="18AB0197" w14:textId="77777777" w:rsidTr="00E37D33">
        <w:trPr>
          <w:trHeight w:val="204"/>
        </w:trPr>
        <w:tc>
          <w:tcPr>
            <w:tcW w:w="3320" w:type="dxa"/>
            <w:vMerge/>
            <w:tcBorders>
              <w:top w:val="nil"/>
              <w:left w:val="single" w:sz="8" w:space="0" w:color="auto"/>
              <w:bottom w:val="single" w:sz="4" w:space="0" w:color="auto"/>
              <w:right w:val="single" w:sz="4" w:space="0" w:color="auto"/>
            </w:tcBorders>
            <w:vAlign w:val="center"/>
            <w:hideMark/>
          </w:tcPr>
          <w:p w14:paraId="17A82ED2"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2A18E8E2" w14:textId="72C9A49E" w:rsidR="00E37D33" w:rsidRPr="00920386" w:rsidRDefault="00E37D33" w:rsidP="000F101A">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sociálně-právní ochrany dětí</w:t>
            </w:r>
          </w:p>
        </w:tc>
      </w:tr>
      <w:tr w:rsidR="00E37D33" w:rsidRPr="00920386" w14:paraId="71AA67D7" w14:textId="77777777" w:rsidTr="00E37D33">
        <w:trPr>
          <w:trHeight w:val="216"/>
        </w:trPr>
        <w:tc>
          <w:tcPr>
            <w:tcW w:w="3320" w:type="dxa"/>
            <w:vMerge/>
            <w:tcBorders>
              <w:top w:val="nil"/>
              <w:left w:val="single" w:sz="8" w:space="0" w:color="auto"/>
              <w:bottom w:val="single" w:sz="4" w:space="0" w:color="auto"/>
              <w:right w:val="single" w:sz="4" w:space="0" w:color="auto"/>
            </w:tcBorders>
            <w:vAlign w:val="center"/>
            <w:hideMark/>
          </w:tcPr>
          <w:p w14:paraId="7368CF60"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nil"/>
              <w:right w:val="single" w:sz="8" w:space="0" w:color="auto"/>
            </w:tcBorders>
            <w:shd w:val="clear" w:color="auto" w:fill="auto"/>
            <w:noWrap/>
            <w:vAlign w:val="bottom"/>
            <w:hideMark/>
          </w:tcPr>
          <w:p w14:paraId="16E887B2"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sociální práce</w:t>
            </w:r>
          </w:p>
        </w:tc>
      </w:tr>
      <w:tr w:rsidR="00E37D33" w:rsidRPr="00920386" w14:paraId="1FC96A20" w14:textId="77777777" w:rsidTr="00E37D33">
        <w:trPr>
          <w:trHeight w:val="204"/>
        </w:trPr>
        <w:tc>
          <w:tcPr>
            <w:tcW w:w="3320" w:type="dxa"/>
            <w:vMerge w:val="restart"/>
            <w:tcBorders>
              <w:top w:val="single" w:sz="8" w:space="0" w:color="auto"/>
              <w:left w:val="single" w:sz="8" w:space="0" w:color="auto"/>
              <w:bottom w:val="single" w:sz="8" w:space="0" w:color="000000"/>
              <w:right w:val="single" w:sz="4" w:space="0" w:color="auto"/>
            </w:tcBorders>
            <w:shd w:val="clear" w:color="000000" w:fill="FFFFFF"/>
            <w:noWrap/>
            <w:hideMark/>
          </w:tcPr>
          <w:p w14:paraId="315E9B71"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ekonomický</w:t>
            </w:r>
          </w:p>
        </w:tc>
        <w:tc>
          <w:tcPr>
            <w:tcW w:w="4220" w:type="dxa"/>
            <w:tcBorders>
              <w:top w:val="single" w:sz="8" w:space="0" w:color="auto"/>
              <w:left w:val="nil"/>
              <w:bottom w:val="single" w:sz="4" w:space="0" w:color="auto"/>
              <w:right w:val="single" w:sz="8" w:space="0" w:color="auto"/>
            </w:tcBorders>
            <w:shd w:val="clear" w:color="auto" w:fill="auto"/>
            <w:noWrap/>
            <w:vAlign w:val="bottom"/>
            <w:hideMark/>
          </w:tcPr>
          <w:p w14:paraId="157E0D1A"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rozpočtu a controllingu</w:t>
            </w:r>
          </w:p>
        </w:tc>
      </w:tr>
      <w:tr w:rsidR="00E37D33" w:rsidRPr="00920386" w14:paraId="7BE966B3" w14:textId="77777777" w:rsidTr="00E37D33">
        <w:trPr>
          <w:trHeight w:val="216"/>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0CF912A3"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8" w:space="0" w:color="auto"/>
              <w:right w:val="single" w:sz="8" w:space="0" w:color="auto"/>
            </w:tcBorders>
            <w:shd w:val="clear" w:color="auto" w:fill="auto"/>
            <w:noWrap/>
            <w:vAlign w:val="bottom"/>
            <w:hideMark/>
          </w:tcPr>
          <w:p w14:paraId="4A4CB5DB"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účtáren</w:t>
            </w:r>
          </w:p>
        </w:tc>
      </w:tr>
      <w:tr w:rsidR="00E37D33" w:rsidRPr="00920386" w14:paraId="43DBF9EC" w14:textId="77777777" w:rsidTr="00E37D33">
        <w:trPr>
          <w:trHeight w:val="204"/>
        </w:trPr>
        <w:tc>
          <w:tcPr>
            <w:tcW w:w="3320" w:type="dxa"/>
            <w:vMerge w:val="restart"/>
            <w:tcBorders>
              <w:top w:val="nil"/>
              <w:left w:val="single" w:sz="8" w:space="0" w:color="auto"/>
              <w:bottom w:val="single" w:sz="4" w:space="0" w:color="auto"/>
              <w:right w:val="single" w:sz="4" w:space="0" w:color="auto"/>
            </w:tcBorders>
            <w:shd w:val="clear" w:color="auto" w:fill="auto"/>
            <w:noWrap/>
            <w:hideMark/>
          </w:tcPr>
          <w:p w14:paraId="4415E08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životního prostředí a zemědělství</w:t>
            </w:r>
          </w:p>
        </w:tc>
        <w:tc>
          <w:tcPr>
            <w:tcW w:w="4220" w:type="dxa"/>
            <w:tcBorders>
              <w:top w:val="nil"/>
              <w:left w:val="nil"/>
              <w:bottom w:val="single" w:sz="4" w:space="0" w:color="auto"/>
              <w:right w:val="single" w:sz="8" w:space="0" w:color="auto"/>
            </w:tcBorders>
            <w:shd w:val="clear" w:color="auto" w:fill="auto"/>
            <w:noWrap/>
            <w:vAlign w:val="bottom"/>
            <w:hideMark/>
          </w:tcPr>
          <w:p w14:paraId="1654876C"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vodního hospodářství</w:t>
            </w:r>
          </w:p>
        </w:tc>
      </w:tr>
      <w:tr w:rsidR="00E37D33" w:rsidRPr="00920386" w14:paraId="09C82136" w14:textId="77777777" w:rsidTr="00E37D33">
        <w:trPr>
          <w:trHeight w:val="204"/>
        </w:trPr>
        <w:tc>
          <w:tcPr>
            <w:tcW w:w="3320" w:type="dxa"/>
            <w:vMerge/>
            <w:tcBorders>
              <w:top w:val="nil"/>
              <w:left w:val="single" w:sz="8" w:space="0" w:color="auto"/>
              <w:bottom w:val="single" w:sz="4" w:space="0" w:color="auto"/>
              <w:right w:val="single" w:sz="4" w:space="0" w:color="auto"/>
            </w:tcBorders>
            <w:vAlign w:val="center"/>
            <w:hideMark/>
          </w:tcPr>
          <w:p w14:paraId="690FBBB5"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1BA0FAF4"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ochrany přírody a zemědělství</w:t>
            </w:r>
          </w:p>
        </w:tc>
      </w:tr>
      <w:tr w:rsidR="00E37D33" w:rsidRPr="00920386" w14:paraId="63357832" w14:textId="77777777" w:rsidTr="00E37D33">
        <w:trPr>
          <w:trHeight w:val="216"/>
        </w:trPr>
        <w:tc>
          <w:tcPr>
            <w:tcW w:w="3320" w:type="dxa"/>
            <w:vMerge/>
            <w:tcBorders>
              <w:top w:val="nil"/>
              <w:left w:val="single" w:sz="8" w:space="0" w:color="auto"/>
              <w:bottom w:val="single" w:sz="4" w:space="0" w:color="auto"/>
              <w:right w:val="single" w:sz="4" w:space="0" w:color="auto"/>
            </w:tcBorders>
            <w:vAlign w:val="center"/>
            <w:hideMark/>
          </w:tcPr>
          <w:p w14:paraId="5DAEBB6E"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nil"/>
              <w:right w:val="single" w:sz="8" w:space="0" w:color="auto"/>
            </w:tcBorders>
            <w:shd w:val="clear" w:color="auto" w:fill="auto"/>
            <w:noWrap/>
            <w:vAlign w:val="bottom"/>
            <w:hideMark/>
          </w:tcPr>
          <w:p w14:paraId="13594840"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ochrany ovzduší a odpadového hospodářství</w:t>
            </w:r>
          </w:p>
        </w:tc>
      </w:tr>
      <w:tr w:rsidR="00E37D33" w:rsidRPr="00920386" w14:paraId="3FEAA809" w14:textId="77777777" w:rsidTr="00E37D33">
        <w:trPr>
          <w:trHeight w:val="204"/>
        </w:trPr>
        <w:tc>
          <w:tcPr>
            <w:tcW w:w="3320" w:type="dxa"/>
            <w:vMerge w:val="restart"/>
            <w:tcBorders>
              <w:top w:val="single" w:sz="8" w:space="0" w:color="auto"/>
              <w:left w:val="single" w:sz="8" w:space="0" w:color="auto"/>
              <w:bottom w:val="single" w:sz="8" w:space="0" w:color="000000"/>
              <w:right w:val="single" w:sz="4" w:space="0" w:color="auto"/>
            </w:tcBorders>
            <w:shd w:val="clear" w:color="auto" w:fill="auto"/>
            <w:noWrap/>
            <w:hideMark/>
          </w:tcPr>
          <w:p w14:paraId="1550F1C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městské zeleně</w:t>
            </w:r>
          </w:p>
        </w:tc>
        <w:tc>
          <w:tcPr>
            <w:tcW w:w="4220" w:type="dxa"/>
            <w:tcBorders>
              <w:top w:val="single" w:sz="8" w:space="0" w:color="auto"/>
              <w:left w:val="nil"/>
              <w:bottom w:val="single" w:sz="4" w:space="0" w:color="auto"/>
              <w:right w:val="single" w:sz="8" w:space="0" w:color="auto"/>
            </w:tcBorders>
            <w:shd w:val="clear" w:color="auto" w:fill="auto"/>
            <w:noWrap/>
            <w:vAlign w:val="bottom"/>
            <w:hideMark/>
          </w:tcPr>
          <w:p w14:paraId="5D5924EE"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lesů</w:t>
            </w:r>
          </w:p>
        </w:tc>
      </w:tr>
      <w:tr w:rsidR="00E37D33" w:rsidRPr="00920386" w14:paraId="34CF27B0" w14:textId="77777777" w:rsidTr="00E37D33">
        <w:trPr>
          <w:trHeight w:val="204"/>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283D387D"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4FACD75F"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městské zeleně</w:t>
            </w:r>
          </w:p>
        </w:tc>
      </w:tr>
      <w:tr w:rsidR="00E37D33" w:rsidRPr="00920386" w14:paraId="78811833" w14:textId="77777777" w:rsidTr="00E37D33">
        <w:trPr>
          <w:trHeight w:val="204"/>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0A324C0E"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469C62A4"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městské zeleně Jižní Svahy</w:t>
            </w:r>
          </w:p>
        </w:tc>
      </w:tr>
      <w:tr w:rsidR="00E37D33" w:rsidRPr="00920386" w14:paraId="027AE5DB" w14:textId="77777777" w:rsidTr="00E37D33">
        <w:trPr>
          <w:trHeight w:val="216"/>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0B8A4894"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8" w:space="0" w:color="auto"/>
              <w:right w:val="single" w:sz="8" w:space="0" w:color="auto"/>
            </w:tcBorders>
            <w:shd w:val="clear" w:color="auto" w:fill="auto"/>
            <w:noWrap/>
            <w:vAlign w:val="bottom"/>
            <w:hideMark/>
          </w:tcPr>
          <w:p w14:paraId="530F068B"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dětských hřišť</w:t>
            </w:r>
          </w:p>
        </w:tc>
      </w:tr>
      <w:tr w:rsidR="00E37D33" w:rsidRPr="00920386" w14:paraId="24749A09" w14:textId="77777777" w:rsidTr="00E37D33">
        <w:trPr>
          <w:trHeight w:val="216"/>
        </w:trPr>
        <w:tc>
          <w:tcPr>
            <w:tcW w:w="3320" w:type="dxa"/>
            <w:tcBorders>
              <w:top w:val="nil"/>
              <w:left w:val="single" w:sz="8" w:space="0" w:color="auto"/>
              <w:bottom w:val="nil"/>
              <w:right w:val="single" w:sz="4" w:space="0" w:color="auto"/>
            </w:tcBorders>
            <w:shd w:val="clear" w:color="auto" w:fill="auto"/>
            <w:noWrap/>
            <w:vAlign w:val="bottom"/>
            <w:hideMark/>
          </w:tcPr>
          <w:p w14:paraId="3FD0B07D"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školství</w:t>
            </w:r>
          </w:p>
        </w:tc>
        <w:tc>
          <w:tcPr>
            <w:tcW w:w="4220" w:type="dxa"/>
            <w:tcBorders>
              <w:top w:val="nil"/>
              <w:left w:val="nil"/>
              <w:bottom w:val="nil"/>
              <w:right w:val="single" w:sz="8" w:space="0" w:color="auto"/>
            </w:tcBorders>
            <w:shd w:val="clear" w:color="auto" w:fill="auto"/>
            <w:noWrap/>
            <w:vAlign w:val="bottom"/>
            <w:hideMark/>
          </w:tcPr>
          <w:p w14:paraId="440F9284"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školství a správy zařízení</w:t>
            </w:r>
          </w:p>
        </w:tc>
      </w:tr>
      <w:tr w:rsidR="00E37D33" w:rsidRPr="00920386" w14:paraId="4155EE82" w14:textId="77777777" w:rsidTr="00E37D33">
        <w:trPr>
          <w:trHeight w:val="216"/>
        </w:trPr>
        <w:tc>
          <w:tcPr>
            <w:tcW w:w="33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8461B12"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kultury a památkové péče</w:t>
            </w:r>
          </w:p>
        </w:tc>
        <w:tc>
          <w:tcPr>
            <w:tcW w:w="4220" w:type="dxa"/>
            <w:tcBorders>
              <w:top w:val="single" w:sz="8" w:space="0" w:color="auto"/>
              <w:left w:val="nil"/>
              <w:bottom w:val="single" w:sz="8" w:space="0" w:color="auto"/>
              <w:right w:val="single" w:sz="8" w:space="0" w:color="auto"/>
            </w:tcBorders>
            <w:shd w:val="clear" w:color="auto" w:fill="auto"/>
            <w:noWrap/>
            <w:vAlign w:val="bottom"/>
            <w:hideMark/>
          </w:tcPr>
          <w:p w14:paraId="2489462D"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 </w:t>
            </w:r>
          </w:p>
        </w:tc>
      </w:tr>
      <w:tr w:rsidR="00E37D33" w:rsidRPr="00920386" w14:paraId="190DDA77" w14:textId="77777777" w:rsidTr="00E37D33">
        <w:trPr>
          <w:trHeight w:val="204"/>
        </w:trPr>
        <w:tc>
          <w:tcPr>
            <w:tcW w:w="3320" w:type="dxa"/>
            <w:vMerge w:val="restart"/>
            <w:tcBorders>
              <w:top w:val="nil"/>
              <w:left w:val="single" w:sz="8" w:space="0" w:color="auto"/>
              <w:bottom w:val="single" w:sz="4" w:space="0" w:color="auto"/>
              <w:right w:val="single" w:sz="4" w:space="0" w:color="auto"/>
            </w:tcBorders>
            <w:shd w:val="clear" w:color="auto" w:fill="auto"/>
            <w:noWrap/>
            <w:hideMark/>
          </w:tcPr>
          <w:p w14:paraId="18ABD9FB"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občansko-správních agend</w:t>
            </w:r>
          </w:p>
        </w:tc>
        <w:tc>
          <w:tcPr>
            <w:tcW w:w="4220" w:type="dxa"/>
            <w:tcBorders>
              <w:top w:val="nil"/>
              <w:left w:val="nil"/>
              <w:bottom w:val="single" w:sz="4" w:space="0" w:color="auto"/>
              <w:right w:val="single" w:sz="8" w:space="0" w:color="auto"/>
            </w:tcBorders>
            <w:shd w:val="clear" w:color="auto" w:fill="auto"/>
            <w:noWrap/>
            <w:vAlign w:val="bottom"/>
            <w:hideMark/>
          </w:tcPr>
          <w:p w14:paraId="13D6231D"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správní</w:t>
            </w:r>
          </w:p>
        </w:tc>
      </w:tr>
      <w:tr w:rsidR="00E37D33" w:rsidRPr="00920386" w14:paraId="7B93721F" w14:textId="77777777" w:rsidTr="00E37D33">
        <w:trPr>
          <w:trHeight w:val="204"/>
        </w:trPr>
        <w:tc>
          <w:tcPr>
            <w:tcW w:w="3320" w:type="dxa"/>
            <w:vMerge/>
            <w:tcBorders>
              <w:top w:val="nil"/>
              <w:left w:val="single" w:sz="8" w:space="0" w:color="auto"/>
              <w:bottom w:val="single" w:sz="4" w:space="0" w:color="auto"/>
              <w:right w:val="single" w:sz="4" w:space="0" w:color="auto"/>
            </w:tcBorders>
            <w:vAlign w:val="center"/>
            <w:hideMark/>
          </w:tcPr>
          <w:p w14:paraId="4382D348"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0CF05903"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matrik a ověřování</w:t>
            </w:r>
          </w:p>
        </w:tc>
      </w:tr>
      <w:tr w:rsidR="00E37D33" w:rsidRPr="00920386" w14:paraId="7D8B73E1" w14:textId="77777777" w:rsidTr="00E37D33">
        <w:trPr>
          <w:trHeight w:val="204"/>
        </w:trPr>
        <w:tc>
          <w:tcPr>
            <w:tcW w:w="3320" w:type="dxa"/>
            <w:vMerge/>
            <w:tcBorders>
              <w:top w:val="nil"/>
              <w:left w:val="single" w:sz="8" w:space="0" w:color="auto"/>
              <w:bottom w:val="single" w:sz="4" w:space="0" w:color="auto"/>
              <w:right w:val="single" w:sz="4" w:space="0" w:color="auto"/>
            </w:tcBorders>
            <w:vAlign w:val="center"/>
            <w:hideMark/>
          </w:tcPr>
          <w:p w14:paraId="628E0BA4"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4" w:space="0" w:color="auto"/>
              <w:right w:val="single" w:sz="8" w:space="0" w:color="auto"/>
            </w:tcBorders>
            <w:shd w:val="clear" w:color="auto" w:fill="auto"/>
            <w:noWrap/>
            <w:vAlign w:val="bottom"/>
            <w:hideMark/>
          </w:tcPr>
          <w:p w14:paraId="7E61807F" w14:textId="3CBD322B"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w:t>
            </w:r>
            <w:r w:rsidR="000F101A">
              <w:rPr>
                <w:rFonts w:eastAsia="Times New Roman" w:cstheme="minorHAnsi"/>
                <w:sz w:val="18"/>
                <w:szCs w:val="18"/>
                <w:lang w:eastAsia="cs-CZ"/>
              </w:rPr>
              <w:t xml:space="preserve"> </w:t>
            </w:r>
            <w:r w:rsidRPr="00920386">
              <w:rPr>
                <w:rFonts w:eastAsia="Times New Roman" w:cstheme="minorHAnsi"/>
                <w:sz w:val="18"/>
                <w:szCs w:val="18"/>
                <w:lang w:eastAsia="cs-CZ"/>
              </w:rPr>
              <w:t>dopravních přestupků a řidičských průkazů</w:t>
            </w:r>
          </w:p>
        </w:tc>
      </w:tr>
      <w:tr w:rsidR="00E37D33" w:rsidRPr="00920386" w14:paraId="184E0999" w14:textId="77777777" w:rsidTr="00E37D33">
        <w:trPr>
          <w:trHeight w:val="216"/>
        </w:trPr>
        <w:tc>
          <w:tcPr>
            <w:tcW w:w="3320" w:type="dxa"/>
            <w:vMerge/>
            <w:tcBorders>
              <w:top w:val="nil"/>
              <w:left w:val="single" w:sz="8" w:space="0" w:color="auto"/>
              <w:bottom w:val="single" w:sz="4" w:space="0" w:color="auto"/>
              <w:right w:val="single" w:sz="4" w:space="0" w:color="auto"/>
            </w:tcBorders>
            <w:vAlign w:val="center"/>
            <w:hideMark/>
          </w:tcPr>
          <w:p w14:paraId="69E986BB"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nil"/>
              <w:right w:val="single" w:sz="8" w:space="0" w:color="auto"/>
            </w:tcBorders>
            <w:shd w:val="clear" w:color="auto" w:fill="auto"/>
            <w:noWrap/>
            <w:vAlign w:val="bottom"/>
            <w:hideMark/>
          </w:tcPr>
          <w:p w14:paraId="3EE2A7D9"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evidence motorových vozidel</w:t>
            </w:r>
          </w:p>
        </w:tc>
      </w:tr>
      <w:tr w:rsidR="00E37D33" w:rsidRPr="00920386" w14:paraId="4CB97BC2" w14:textId="77777777" w:rsidTr="00E37D33">
        <w:trPr>
          <w:trHeight w:val="204"/>
        </w:trPr>
        <w:tc>
          <w:tcPr>
            <w:tcW w:w="3320" w:type="dxa"/>
            <w:vMerge w:val="restart"/>
            <w:tcBorders>
              <w:top w:val="single" w:sz="8" w:space="0" w:color="auto"/>
              <w:left w:val="single" w:sz="8" w:space="0" w:color="auto"/>
              <w:bottom w:val="single" w:sz="8" w:space="0" w:color="000000"/>
              <w:right w:val="single" w:sz="4" w:space="0" w:color="auto"/>
            </w:tcBorders>
            <w:shd w:val="clear" w:color="auto" w:fill="auto"/>
            <w:noWrap/>
            <w:hideMark/>
          </w:tcPr>
          <w:p w14:paraId="04D2FD4A"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Odbor živnostenský</w:t>
            </w:r>
          </w:p>
        </w:tc>
        <w:tc>
          <w:tcPr>
            <w:tcW w:w="4220" w:type="dxa"/>
            <w:tcBorders>
              <w:top w:val="single" w:sz="8" w:space="0" w:color="auto"/>
              <w:left w:val="nil"/>
              <w:bottom w:val="single" w:sz="4" w:space="0" w:color="auto"/>
              <w:right w:val="single" w:sz="8" w:space="0" w:color="auto"/>
            </w:tcBorders>
            <w:shd w:val="clear" w:color="auto" w:fill="auto"/>
            <w:noWrap/>
            <w:vAlign w:val="bottom"/>
            <w:hideMark/>
          </w:tcPr>
          <w:p w14:paraId="2D4BB708"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kontrolní a správní</w:t>
            </w:r>
          </w:p>
        </w:tc>
      </w:tr>
      <w:tr w:rsidR="00E37D33" w:rsidRPr="00920386" w14:paraId="0E94F9E5" w14:textId="77777777" w:rsidTr="00E37D33">
        <w:trPr>
          <w:trHeight w:val="216"/>
        </w:trPr>
        <w:tc>
          <w:tcPr>
            <w:tcW w:w="3320" w:type="dxa"/>
            <w:vMerge/>
            <w:tcBorders>
              <w:top w:val="single" w:sz="8" w:space="0" w:color="auto"/>
              <w:left w:val="single" w:sz="8" w:space="0" w:color="auto"/>
              <w:bottom w:val="single" w:sz="8" w:space="0" w:color="000000"/>
              <w:right w:val="single" w:sz="4" w:space="0" w:color="auto"/>
            </w:tcBorders>
            <w:vAlign w:val="center"/>
            <w:hideMark/>
          </w:tcPr>
          <w:p w14:paraId="02CD90C1" w14:textId="77777777" w:rsidR="00E37D33" w:rsidRPr="00920386" w:rsidRDefault="00E37D33" w:rsidP="00E37D33">
            <w:pPr>
              <w:spacing w:before="0"/>
              <w:jc w:val="left"/>
              <w:rPr>
                <w:rFonts w:eastAsia="Times New Roman" w:cstheme="minorHAnsi"/>
                <w:sz w:val="18"/>
                <w:szCs w:val="18"/>
                <w:lang w:eastAsia="cs-CZ"/>
              </w:rPr>
            </w:pPr>
          </w:p>
        </w:tc>
        <w:tc>
          <w:tcPr>
            <w:tcW w:w="4220" w:type="dxa"/>
            <w:tcBorders>
              <w:top w:val="nil"/>
              <w:left w:val="nil"/>
              <w:bottom w:val="single" w:sz="8" w:space="0" w:color="auto"/>
              <w:right w:val="single" w:sz="8" w:space="0" w:color="auto"/>
            </w:tcBorders>
            <w:shd w:val="clear" w:color="auto" w:fill="auto"/>
            <w:noWrap/>
            <w:vAlign w:val="bottom"/>
            <w:hideMark/>
          </w:tcPr>
          <w:p w14:paraId="2336F656" w14:textId="77777777" w:rsidR="00E37D33" w:rsidRPr="00920386" w:rsidRDefault="00E37D33" w:rsidP="00E37D33">
            <w:pPr>
              <w:spacing w:before="0"/>
              <w:jc w:val="left"/>
              <w:rPr>
                <w:rFonts w:eastAsia="Times New Roman" w:cstheme="minorHAnsi"/>
                <w:sz w:val="18"/>
                <w:szCs w:val="18"/>
                <w:lang w:eastAsia="cs-CZ"/>
              </w:rPr>
            </w:pPr>
            <w:r w:rsidRPr="00920386">
              <w:rPr>
                <w:rFonts w:eastAsia="Times New Roman" w:cstheme="minorHAnsi"/>
                <w:sz w:val="18"/>
                <w:szCs w:val="18"/>
                <w:lang w:eastAsia="cs-CZ"/>
              </w:rPr>
              <w:t>Odd. registrace živností</w:t>
            </w:r>
          </w:p>
        </w:tc>
      </w:tr>
    </w:tbl>
    <w:p w14:paraId="04437699" w14:textId="284D1EB9" w:rsidR="00E37D33" w:rsidRDefault="00E37D33" w:rsidP="00E37D33">
      <w:pPr>
        <w:pStyle w:val="Zdroj"/>
        <w:spacing w:before="0"/>
      </w:pPr>
      <w:r>
        <w:t>Zdroj: MMZ, 2020</w:t>
      </w:r>
      <w:r w:rsidR="000F101A">
        <w:t>.</w:t>
      </w:r>
    </w:p>
    <w:p w14:paraId="2B298C19" w14:textId="31F079F6" w:rsidR="00E37D33" w:rsidRDefault="00E37D33" w:rsidP="00E37D33">
      <w:pPr>
        <w:pStyle w:val="Titulek"/>
        <w:rPr>
          <w:rFonts w:ascii="Calibri" w:eastAsia="Times New Roman" w:hAnsi="Calibri" w:cs="Calibri"/>
          <w:bCs/>
          <w:lang w:eastAsia="cs-CZ"/>
        </w:rPr>
      </w:pPr>
      <w:r w:rsidRPr="00CD54E3">
        <w:lastRenderedPageBreak/>
        <w:t xml:space="preserve"> </w:t>
      </w:r>
      <w:bookmarkStart w:id="532" w:name="_Toc50466200"/>
      <w:bookmarkStart w:id="533" w:name="_Toc7707476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1</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83</w:t>
      </w:r>
      <w:r w:rsidR="00081B47">
        <w:rPr>
          <w:noProof/>
        </w:rPr>
        <w:fldChar w:fldCharType="end"/>
      </w:r>
      <w:r w:rsidR="000F101A">
        <w:rPr>
          <w:noProof/>
        </w:rPr>
        <w:t>:</w:t>
      </w:r>
      <w:r>
        <w:t xml:space="preserve"> </w:t>
      </w:r>
      <w:r w:rsidRPr="00550D85">
        <w:rPr>
          <w:rFonts w:ascii="Calibri" w:eastAsia="Times New Roman" w:hAnsi="Calibri" w:cs="Calibri"/>
          <w:bCs/>
          <w:lang w:eastAsia="cs-CZ"/>
        </w:rPr>
        <w:t>Přeh</w:t>
      </w:r>
      <w:r>
        <w:rPr>
          <w:rFonts w:ascii="Calibri" w:eastAsia="Times New Roman" w:hAnsi="Calibri" w:cs="Calibri"/>
          <w:bCs/>
          <w:lang w:eastAsia="cs-CZ"/>
        </w:rPr>
        <w:t>led strategických dokumentů SMZ (</w:t>
      </w:r>
      <w:r w:rsidR="000F101A">
        <w:rPr>
          <w:rFonts w:ascii="Calibri" w:eastAsia="Times New Roman" w:hAnsi="Calibri" w:cs="Calibri"/>
          <w:bCs/>
          <w:lang w:eastAsia="cs-CZ"/>
        </w:rPr>
        <w:t>a</w:t>
      </w:r>
      <w:r w:rsidRPr="00550D85">
        <w:rPr>
          <w:rFonts w:ascii="Calibri" w:eastAsia="Times New Roman" w:hAnsi="Calibri" w:cs="Calibri"/>
          <w:bCs/>
          <w:lang w:eastAsia="cs-CZ"/>
        </w:rPr>
        <w:t>ktuální dokumenty</w:t>
      </w:r>
      <w:r>
        <w:rPr>
          <w:rFonts w:ascii="Calibri" w:eastAsia="Times New Roman" w:hAnsi="Calibri" w:cs="Calibri"/>
          <w:bCs/>
          <w:lang w:eastAsia="cs-CZ"/>
        </w:rPr>
        <w:t>)</w:t>
      </w:r>
      <w:bookmarkEnd w:id="532"/>
      <w:bookmarkEnd w:id="533"/>
    </w:p>
    <w:tbl>
      <w:tblPr>
        <w:tblW w:w="9334" w:type="dxa"/>
        <w:tblCellMar>
          <w:left w:w="70" w:type="dxa"/>
          <w:right w:w="70" w:type="dxa"/>
        </w:tblCellMar>
        <w:tblLook w:val="04A0" w:firstRow="1" w:lastRow="0" w:firstColumn="1" w:lastColumn="0" w:noHBand="0" w:noVBand="1"/>
      </w:tblPr>
      <w:tblGrid>
        <w:gridCol w:w="3249"/>
        <w:gridCol w:w="518"/>
        <w:gridCol w:w="738"/>
        <w:gridCol w:w="4829"/>
      </w:tblGrid>
      <w:tr w:rsidR="00E37D33" w:rsidRPr="001F556D" w14:paraId="62095505" w14:textId="77777777" w:rsidTr="00E37D33">
        <w:trPr>
          <w:trHeight w:val="218"/>
        </w:trPr>
        <w:tc>
          <w:tcPr>
            <w:tcW w:w="3249" w:type="dxa"/>
            <w:vMerge w:val="restart"/>
            <w:tcBorders>
              <w:top w:val="single" w:sz="4" w:space="0" w:color="auto"/>
              <w:left w:val="single" w:sz="4" w:space="0" w:color="auto"/>
              <w:bottom w:val="single" w:sz="8" w:space="0" w:color="000000"/>
              <w:right w:val="single" w:sz="4" w:space="0" w:color="auto"/>
            </w:tcBorders>
            <w:shd w:val="clear" w:color="auto" w:fill="D9D9D9" w:themeFill="background1" w:themeFillShade="D9"/>
            <w:vAlign w:val="center"/>
            <w:hideMark/>
          </w:tcPr>
          <w:p w14:paraId="73F05D9E" w14:textId="77777777" w:rsidR="00E37D33" w:rsidRPr="001F556D" w:rsidRDefault="00E37D33" w:rsidP="00E37D33">
            <w:pPr>
              <w:spacing w:before="0"/>
              <w:jc w:val="center"/>
              <w:rPr>
                <w:rFonts w:ascii="Calibri" w:eastAsia="Times New Roman" w:hAnsi="Calibri" w:cs="Calibri"/>
                <w:b/>
                <w:bCs/>
                <w:sz w:val="18"/>
                <w:szCs w:val="18"/>
                <w:lang w:eastAsia="cs-CZ"/>
              </w:rPr>
            </w:pPr>
            <w:r w:rsidRPr="001F556D">
              <w:rPr>
                <w:rFonts w:ascii="Calibri" w:eastAsia="Times New Roman" w:hAnsi="Calibri" w:cs="Calibri"/>
                <w:b/>
                <w:bCs/>
                <w:sz w:val="18"/>
                <w:szCs w:val="18"/>
                <w:lang w:eastAsia="cs-CZ"/>
              </w:rPr>
              <w:t>Název dokumentu</w:t>
            </w:r>
          </w:p>
        </w:tc>
        <w:tc>
          <w:tcPr>
            <w:tcW w:w="1256" w:type="dxa"/>
            <w:gridSpan w:val="2"/>
            <w:tcBorders>
              <w:top w:val="single" w:sz="4" w:space="0" w:color="auto"/>
              <w:left w:val="nil"/>
              <w:bottom w:val="single" w:sz="4" w:space="0" w:color="auto"/>
              <w:right w:val="nil"/>
            </w:tcBorders>
            <w:shd w:val="clear" w:color="auto" w:fill="D9D9D9" w:themeFill="background1" w:themeFillShade="D9"/>
            <w:vAlign w:val="center"/>
            <w:hideMark/>
          </w:tcPr>
          <w:p w14:paraId="67445BA0" w14:textId="77777777" w:rsidR="00E37D33" w:rsidRPr="001F556D" w:rsidRDefault="00E37D33" w:rsidP="00E37D33">
            <w:pPr>
              <w:spacing w:before="0"/>
              <w:jc w:val="center"/>
              <w:rPr>
                <w:rFonts w:ascii="Calibri" w:eastAsia="Times New Roman" w:hAnsi="Calibri" w:cs="Calibri"/>
                <w:b/>
                <w:bCs/>
                <w:sz w:val="18"/>
                <w:szCs w:val="18"/>
                <w:lang w:eastAsia="cs-CZ"/>
              </w:rPr>
            </w:pPr>
            <w:r w:rsidRPr="001F556D">
              <w:rPr>
                <w:rFonts w:ascii="Calibri" w:eastAsia="Times New Roman" w:hAnsi="Calibri" w:cs="Calibri"/>
                <w:b/>
                <w:bCs/>
                <w:sz w:val="18"/>
                <w:szCs w:val="18"/>
                <w:lang w:eastAsia="cs-CZ"/>
              </w:rPr>
              <w:t>Horizont platnosti</w:t>
            </w:r>
          </w:p>
        </w:tc>
        <w:tc>
          <w:tcPr>
            <w:tcW w:w="4829" w:type="dxa"/>
            <w:vMerge w:val="restart"/>
            <w:tcBorders>
              <w:top w:val="single" w:sz="4" w:space="0" w:color="auto"/>
              <w:left w:val="single" w:sz="4" w:space="0" w:color="auto"/>
              <w:bottom w:val="single" w:sz="8" w:space="0" w:color="000000"/>
              <w:right w:val="single" w:sz="8" w:space="0" w:color="auto"/>
            </w:tcBorders>
            <w:shd w:val="clear" w:color="auto" w:fill="D9D9D9" w:themeFill="background1" w:themeFillShade="D9"/>
            <w:vAlign w:val="center"/>
            <w:hideMark/>
          </w:tcPr>
          <w:p w14:paraId="447BF240" w14:textId="77777777" w:rsidR="00E37D33" w:rsidRPr="001F556D" w:rsidRDefault="00E37D33" w:rsidP="00E37D33">
            <w:pPr>
              <w:spacing w:before="0"/>
              <w:jc w:val="center"/>
              <w:rPr>
                <w:rFonts w:ascii="Calibri" w:eastAsia="Times New Roman" w:hAnsi="Calibri" w:cs="Calibri"/>
                <w:b/>
                <w:bCs/>
                <w:sz w:val="18"/>
                <w:szCs w:val="18"/>
                <w:lang w:eastAsia="cs-CZ"/>
              </w:rPr>
            </w:pPr>
            <w:r>
              <w:rPr>
                <w:rFonts w:ascii="Calibri" w:eastAsia="Times New Roman" w:hAnsi="Calibri" w:cs="Calibri"/>
                <w:b/>
                <w:bCs/>
                <w:sz w:val="18"/>
                <w:szCs w:val="18"/>
                <w:lang w:eastAsia="cs-CZ"/>
              </w:rPr>
              <w:t>Popis/</w:t>
            </w:r>
            <w:r w:rsidRPr="001F556D">
              <w:rPr>
                <w:rFonts w:ascii="Calibri" w:eastAsia="Times New Roman" w:hAnsi="Calibri" w:cs="Calibri"/>
                <w:b/>
                <w:bCs/>
                <w:sz w:val="18"/>
                <w:szCs w:val="18"/>
                <w:lang w:eastAsia="cs-CZ"/>
              </w:rPr>
              <w:t>Komentář</w:t>
            </w:r>
          </w:p>
        </w:tc>
      </w:tr>
      <w:tr w:rsidR="00E37D33" w:rsidRPr="001F556D" w14:paraId="573101E0" w14:textId="77777777" w:rsidTr="00E37D33">
        <w:trPr>
          <w:trHeight w:val="137"/>
        </w:trPr>
        <w:tc>
          <w:tcPr>
            <w:tcW w:w="3249" w:type="dxa"/>
            <w:vMerge/>
            <w:tcBorders>
              <w:top w:val="single" w:sz="4" w:space="0" w:color="auto"/>
              <w:left w:val="single" w:sz="4" w:space="0" w:color="auto"/>
              <w:bottom w:val="single" w:sz="8" w:space="0" w:color="000000"/>
              <w:right w:val="single" w:sz="4" w:space="0" w:color="auto"/>
            </w:tcBorders>
            <w:vAlign w:val="center"/>
            <w:hideMark/>
          </w:tcPr>
          <w:p w14:paraId="1B0F7D81" w14:textId="77777777" w:rsidR="00E37D33" w:rsidRPr="001F556D" w:rsidRDefault="00E37D33" w:rsidP="00E37D33">
            <w:pPr>
              <w:spacing w:before="0"/>
              <w:jc w:val="left"/>
              <w:rPr>
                <w:rFonts w:ascii="Calibri" w:eastAsia="Times New Roman" w:hAnsi="Calibri" w:cs="Calibri"/>
                <w:b/>
                <w:bCs/>
                <w:sz w:val="18"/>
                <w:szCs w:val="18"/>
                <w:lang w:eastAsia="cs-CZ"/>
              </w:rPr>
            </w:pPr>
          </w:p>
        </w:tc>
        <w:tc>
          <w:tcPr>
            <w:tcW w:w="518" w:type="dxa"/>
            <w:tcBorders>
              <w:top w:val="nil"/>
              <w:left w:val="nil"/>
              <w:bottom w:val="single" w:sz="8" w:space="0" w:color="auto"/>
              <w:right w:val="single" w:sz="4" w:space="0" w:color="auto"/>
            </w:tcBorders>
            <w:shd w:val="clear" w:color="auto" w:fill="D9D9D9" w:themeFill="background1" w:themeFillShade="D9"/>
            <w:vAlign w:val="center"/>
            <w:hideMark/>
          </w:tcPr>
          <w:p w14:paraId="3C4E8BCA" w14:textId="77777777" w:rsidR="00E37D33" w:rsidRPr="001F556D" w:rsidRDefault="00E37D33" w:rsidP="00E37D33">
            <w:pPr>
              <w:spacing w:before="0"/>
              <w:jc w:val="center"/>
              <w:rPr>
                <w:rFonts w:ascii="Calibri" w:eastAsia="Times New Roman" w:hAnsi="Calibri" w:cs="Calibri"/>
                <w:b/>
                <w:bCs/>
                <w:sz w:val="18"/>
                <w:szCs w:val="18"/>
                <w:lang w:eastAsia="cs-CZ"/>
              </w:rPr>
            </w:pPr>
            <w:r w:rsidRPr="001F556D">
              <w:rPr>
                <w:rFonts w:ascii="Calibri" w:eastAsia="Times New Roman" w:hAnsi="Calibri" w:cs="Calibri"/>
                <w:b/>
                <w:bCs/>
                <w:sz w:val="18"/>
                <w:szCs w:val="18"/>
                <w:lang w:eastAsia="cs-CZ"/>
              </w:rPr>
              <w:t>od</w:t>
            </w:r>
          </w:p>
        </w:tc>
        <w:tc>
          <w:tcPr>
            <w:tcW w:w="738" w:type="dxa"/>
            <w:tcBorders>
              <w:top w:val="nil"/>
              <w:left w:val="nil"/>
              <w:bottom w:val="single" w:sz="8" w:space="0" w:color="auto"/>
              <w:right w:val="single" w:sz="4" w:space="0" w:color="auto"/>
            </w:tcBorders>
            <w:shd w:val="clear" w:color="auto" w:fill="D9D9D9" w:themeFill="background1" w:themeFillShade="D9"/>
            <w:vAlign w:val="center"/>
            <w:hideMark/>
          </w:tcPr>
          <w:p w14:paraId="2C559AA0" w14:textId="77777777" w:rsidR="00E37D33" w:rsidRPr="001F556D" w:rsidRDefault="00E37D33" w:rsidP="00E37D33">
            <w:pPr>
              <w:spacing w:before="0"/>
              <w:jc w:val="center"/>
              <w:rPr>
                <w:rFonts w:ascii="Calibri" w:eastAsia="Times New Roman" w:hAnsi="Calibri" w:cs="Calibri"/>
                <w:b/>
                <w:bCs/>
                <w:sz w:val="18"/>
                <w:szCs w:val="18"/>
                <w:lang w:eastAsia="cs-CZ"/>
              </w:rPr>
            </w:pPr>
            <w:r w:rsidRPr="001F556D">
              <w:rPr>
                <w:rFonts w:ascii="Calibri" w:eastAsia="Times New Roman" w:hAnsi="Calibri" w:cs="Calibri"/>
                <w:b/>
                <w:bCs/>
                <w:sz w:val="18"/>
                <w:szCs w:val="18"/>
                <w:lang w:eastAsia="cs-CZ"/>
              </w:rPr>
              <w:t>do</w:t>
            </w:r>
          </w:p>
        </w:tc>
        <w:tc>
          <w:tcPr>
            <w:tcW w:w="4829" w:type="dxa"/>
            <w:vMerge/>
            <w:tcBorders>
              <w:top w:val="single" w:sz="4" w:space="0" w:color="auto"/>
              <w:left w:val="single" w:sz="4" w:space="0" w:color="auto"/>
              <w:bottom w:val="single" w:sz="8" w:space="0" w:color="000000"/>
              <w:right w:val="single" w:sz="8" w:space="0" w:color="auto"/>
            </w:tcBorders>
            <w:vAlign w:val="center"/>
            <w:hideMark/>
          </w:tcPr>
          <w:p w14:paraId="6B19C896" w14:textId="77777777" w:rsidR="00E37D33" w:rsidRPr="001F556D" w:rsidRDefault="00E37D33" w:rsidP="00E37D33">
            <w:pPr>
              <w:spacing w:before="0"/>
              <w:jc w:val="left"/>
              <w:rPr>
                <w:rFonts w:ascii="Calibri" w:eastAsia="Times New Roman" w:hAnsi="Calibri" w:cs="Calibri"/>
                <w:b/>
                <w:bCs/>
                <w:sz w:val="18"/>
                <w:szCs w:val="18"/>
                <w:lang w:eastAsia="cs-CZ"/>
              </w:rPr>
            </w:pPr>
          </w:p>
        </w:tc>
      </w:tr>
      <w:tr w:rsidR="00E37D33" w:rsidRPr="001F556D" w14:paraId="19FA2A25" w14:textId="77777777" w:rsidTr="00E37D33">
        <w:trPr>
          <w:trHeight w:val="1971"/>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0E21D10F" w14:textId="77777777"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Územní energetická koncepce pro SMZ</w:t>
            </w:r>
          </w:p>
        </w:tc>
        <w:tc>
          <w:tcPr>
            <w:tcW w:w="518" w:type="dxa"/>
            <w:tcBorders>
              <w:top w:val="nil"/>
              <w:left w:val="nil"/>
              <w:bottom w:val="single" w:sz="4" w:space="0" w:color="auto"/>
              <w:right w:val="single" w:sz="4" w:space="0" w:color="auto"/>
            </w:tcBorders>
            <w:shd w:val="clear" w:color="auto" w:fill="auto"/>
            <w:vAlign w:val="center"/>
            <w:hideMark/>
          </w:tcPr>
          <w:p w14:paraId="425DE864"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2004</w:t>
            </w:r>
          </w:p>
        </w:tc>
        <w:tc>
          <w:tcPr>
            <w:tcW w:w="738" w:type="dxa"/>
            <w:tcBorders>
              <w:top w:val="nil"/>
              <w:left w:val="nil"/>
              <w:bottom w:val="single" w:sz="4" w:space="0" w:color="auto"/>
              <w:right w:val="single" w:sz="4" w:space="0" w:color="auto"/>
            </w:tcBorders>
            <w:shd w:val="clear" w:color="auto" w:fill="auto"/>
            <w:vAlign w:val="center"/>
            <w:hideMark/>
          </w:tcPr>
          <w:p w14:paraId="27A92A28"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2020</w:t>
            </w:r>
          </w:p>
        </w:tc>
        <w:tc>
          <w:tcPr>
            <w:tcW w:w="4829" w:type="dxa"/>
            <w:tcBorders>
              <w:top w:val="nil"/>
              <w:left w:val="nil"/>
              <w:bottom w:val="single" w:sz="4" w:space="0" w:color="auto"/>
              <w:right w:val="single" w:sz="8" w:space="0" w:color="auto"/>
            </w:tcBorders>
            <w:shd w:val="clear" w:color="auto" w:fill="auto"/>
            <w:vAlign w:val="center"/>
            <w:hideMark/>
          </w:tcPr>
          <w:p w14:paraId="1FC3149A" w14:textId="1A37A80F" w:rsidR="00E37D33" w:rsidRPr="001F556D" w:rsidRDefault="00E37D33" w:rsidP="00D45B0B">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V návaznosti na připomínkové řízení (připravené MPO) k</w:t>
            </w:r>
            <w:r w:rsidR="00D45B0B">
              <w:rPr>
                <w:rFonts w:ascii="Calibri" w:eastAsia="Times New Roman" w:hAnsi="Calibri" w:cs="Calibri"/>
                <w:sz w:val="18"/>
                <w:szCs w:val="18"/>
                <w:lang w:eastAsia="cs-CZ"/>
              </w:rPr>
              <w:t> </w:t>
            </w:r>
            <w:r w:rsidRPr="001F556D">
              <w:rPr>
                <w:rFonts w:ascii="Calibri" w:eastAsia="Times New Roman" w:hAnsi="Calibri" w:cs="Calibri"/>
                <w:sz w:val="18"/>
                <w:szCs w:val="18"/>
                <w:lang w:eastAsia="cs-CZ"/>
              </w:rPr>
              <w:t>vládnímu návrhu k státní energetické koncepci (SEK) a</w:t>
            </w:r>
            <w:r w:rsidR="00D45B0B">
              <w:rPr>
                <w:rFonts w:ascii="Calibri" w:eastAsia="Times New Roman" w:hAnsi="Calibri" w:cs="Calibri"/>
                <w:sz w:val="18"/>
                <w:szCs w:val="18"/>
                <w:lang w:eastAsia="cs-CZ"/>
              </w:rPr>
              <w:t> </w:t>
            </w:r>
            <w:r w:rsidRPr="001F556D">
              <w:rPr>
                <w:rFonts w:ascii="Calibri" w:eastAsia="Times New Roman" w:hAnsi="Calibri" w:cs="Calibri"/>
                <w:sz w:val="18"/>
                <w:szCs w:val="18"/>
                <w:lang w:eastAsia="cs-CZ"/>
              </w:rPr>
              <w:t xml:space="preserve">územním energetickým koncepcím (ÚEK) byla během května 2015 v rámci SMZ </w:t>
            </w:r>
            <w:r w:rsidR="00D45B0B">
              <w:rPr>
                <w:rFonts w:ascii="Calibri" w:eastAsia="Times New Roman" w:hAnsi="Calibri" w:cs="Calibri"/>
                <w:sz w:val="18"/>
                <w:szCs w:val="18"/>
                <w:lang w:eastAsia="cs-CZ"/>
              </w:rPr>
              <w:t>dohodnuta</w:t>
            </w:r>
            <w:r w:rsidRPr="001F556D">
              <w:rPr>
                <w:rFonts w:ascii="Calibri" w:eastAsia="Times New Roman" w:hAnsi="Calibri" w:cs="Calibri"/>
                <w:sz w:val="18"/>
                <w:szCs w:val="18"/>
                <w:lang w:eastAsia="cs-CZ"/>
              </w:rPr>
              <w:t xml:space="preserve"> a následně zrealizována aktualizace stávající územní energetické koncepce SMZ</w:t>
            </w:r>
            <w:r w:rsidR="00D45B0B">
              <w:rPr>
                <w:rFonts w:ascii="Calibri" w:eastAsia="Times New Roman" w:hAnsi="Calibri" w:cs="Calibri"/>
                <w:sz w:val="18"/>
                <w:szCs w:val="18"/>
                <w:lang w:eastAsia="cs-CZ"/>
              </w:rPr>
              <w:t>,</w:t>
            </w:r>
            <w:r w:rsidRPr="001F556D">
              <w:rPr>
                <w:rFonts w:ascii="Calibri" w:eastAsia="Times New Roman" w:hAnsi="Calibri" w:cs="Calibri"/>
                <w:sz w:val="18"/>
                <w:szCs w:val="18"/>
                <w:lang w:eastAsia="cs-CZ"/>
              </w:rPr>
              <w:t xml:space="preserve"> a to zhotovitelem původní ÚEK (společností CENTROPROJEKT GROUP a.s.). Územní energetická koncepce je platná s</w:t>
            </w:r>
            <w:r w:rsidR="00D45B0B">
              <w:rPr>
                <w:rFonts w:ascii="Calibri" w:eastAsia="Times New Roman" w:hAnsi="Calibri" w:cs="Calibri"/>
                <w:sz w:val="18"/>
                <w:szCs w:val="18"/>
                <w:lang w:eastAsia="cs-CZ"/>
              </w:rPr>
              <w:t> </w:t>
            </w:r>
            <w:r w:rsidRPr="001F556D">
              <w:rPr>
                <w:rFonts w:ascii="Calibri" w:eastAsia="Times New Roman" w:hAnsi="Calibri" w:cs="Calibri"/>
                <w:sz w:val="18"/>
                <w:szCs w:val="18"/>
                <w:lang w:eastAsia="cs-CZ"/>
              </w:rPr>
              <w:t>výhledem aktualizace v roce 2020 a dále (v návaznosti na nadřazené koncepce státní a krajskou).</w:t>
            </w:r>
          </w:p>
        </w:tc>
      </w:tr>
      <w:tr w:rsidR="00E37D33" w:rsidRPr="001F556D" w14:paraId="2D6AFFB5" w14:textId="77777777" w:rsidTr="00E37D33">
        <w:trPr>
          <w:trHeight w:val="833"/>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2D2F8AE2" w14:textId="77777777"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Územní plán Zlína</w:t>
            </w:r>
          </w:p>
        </w:tc>
        <w:tc>
          <w:tcPr>
            <w:tcW w:w="518" w:type="dxa"/>
            <w:tcBorders>
              <w:top w:val="nil"/>
              <w:left w:val="nil"/>
              <w:bottom w:val="single" w:sz="4" w:space="0" w:color="auto"/>
              <w:right w:val="single" w:sz="4" w:space="0" w:color="auto"/>
            </w:tcBorders>
            <w:shd w:val="clear" w:color="auto" w:fill="auto"/>
            <w:vAlign w:val="center"/>
            <w:hideMark/>
          </w:tcPr>
          <w:p w14:paraId="13EFD7D8"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2011</w:t>
            </w:r>
          </w:p>
        </w:tc>
        <w:tc>
          <w:tcPr>
            <w:tcW w:w="738" w:type="dxa"/>
            <w:tcBorders>
              <w:top w:val="nil"/>
              <w:left w:val="nil"/>
              <w:bottom w:val="single" w:sz="4" w:space="0" w:color="auto"/>
              <w:right w:val="single" w:sz="4" w:space="0" w:color="auto"/>
            </w:tcBorders>
            <w:shd w:val="clear" w:color="auto" w:fill="auto"/>
            <w:vAlign w:val="center"/>
            <w:hideMark/>
          </w:tcPr>
          <w:p w14:paraId="733847D7" w14:textId="77777777" w:rsidR="00E37D33" w:rsidRPr="001F556D" w:rsidRDefault="00E37D33" w:rsidP="00E37D33">
            <w:pPr>
              <w:spacing w:before="0"/>
              <w:jc w:val="center"/>
              <w:rPr>
                <w:rFonts w:ascii="Calibri" w:eastAsia="Times New Roman" w:hAnsi="Calibri" w:cs="Calibri"/>
                <w:sz w:val="16"/>
                <w:szCs w:val="16"/>
                <w:lang w:eastAsia="cs-CZ"/>
              </w:rPr>
            </w:pPr>
            <w:r w:rsidRPr="001F556D">
              <w:rPr>
                <w:rFonts w:ascii="Calibri" w:eastAsia="Times New Roman" w:hAnsi="Calibri" w:cs="Calibri"/>
                <w:sz w:val="16"/>
                <w:szCs w:val="16"/>
                <w:lang w:eastAsia="cs-CZ"/>
              </w:rPr>
              <w:t>není stanoven</w:t>
            </w:r>
          </w:p>
        </w:tc>
        <w:tc>
          <w:tcPr>
            <w:tcW w:w="4829" w:type="dxa"/>
            <w:tcBorders>
              <w:top w:val="nil"/>
              <w:left w:val="nil"/>
              <w:bottom w:val="single" w:sz="4" w:space="0" w:color="auto"/>
              <w:right w:val="single" w:sz="8" w:space="0" w:color="auto"/>
            </w:tcBorders>
            <w:shd w:val="clear" w:color="auto" w:fill="auto"/>
            <w:vAlign w:val="center"/>
            <w:hideMark/>
          </w:tcPr>
          <w:p w14:paraId="51290328" w14:textId="77777777" w:rsidR="00E37D33" w:rsidRPr="001F556D" w:rsidRDefault="00E37D33" w:rsidP="00E37D33">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 xml:space="preserve">Základní koncepční a regulační dokument pro územní rozvoj SMZ.  </w:t>
            </w:r>
            <w:r w:rsidRPr="001F556D">
              <w:rPr>
                <w:rFonts w:ascii="Calibri" w:eastAsia="Times New Roman" w:hAnsi="Calibri" w:cs="Calibri"/>
                <w:sz w:val="18"/>
                <w:szCs w:val="18"/>
                <w:lang w:eastAsia="cs-CZ"/>
              </w:rPr>
              <w:br/>
              <w:t>V letech 2013 a 2014 byly schváleny</w:t>
            </w:r>
            <w:r>
              <w:rPr>
                <w:rFonts w:ascii="Calibri" w:eastAsia="Times New Roman" w:hAnsi="Calibri" w:cs="Calibri"/>
                <w:sz w:val="18"/>
                <w:szCs w:val="18"/>
                <w:lang w:eastAsia="cs-CZ"/>
              </w:rPr>
              <w:t xml:space="preserve"> změny ÚP 1a a 1b. V roce 2016 </w:t>
            </w:r>
            <w:r w:rsidRPr="001F556D">
              <w:rPr>
                <w:rFonts w:ascii="Calibri" w:eastAsia="Times New Roman" w:hAnsi="Calibri" w:cs="Calibri"/>
                <w:sz w:val="18"/>
                <w:szCs w:val="18"/>
                <w:lang w:eastAsia="cs-CZ"/>
              </w:rPr>
              <w:t>je k UP pořizována Změna č. 2 a v přípravě změna č. 3.</w:t>
            </w:r>
          </w:p>
        </w:tc>
      </w:tr>
      <w:tr w:rsidR="00E37D33" w:rsidRPr="001F556D" w14:paraId="5812B773" w14:textId="77777777" w:rsidTr="00E37D33">
        <w:trPr>
          <w:trHeight w:val="1370"/>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7CE084FD" w14:textId="77777777"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Strategie rozvoje statutárního města Zlína do roku 2020 - ZLÍN 2020</w:t>
            </w:r>
          </w:p>
        </w:tc>
        <w:tc>
          <w:tcPr>
            <w:tcW w:w="518" w:type="dxa"/>
            <w:tcBorders>
              <w:top w:val="nil"/>
              <w:left w:val="nil"/>
              <w:bottom w:val="single" w:sz="4" w:space="0" w:color="auto"/>
              <w:right w:val="single" w:sz="4" w:space="0" w:color="auto"/>
            </w:tcBorders>
            <w:shd w:val="clear" w:color="auto" w:fill="auto"/>
            <w:vAlign w:val="center"/>
            <w:hideMark/>
          </w:tcPr>
          <w:p w14:paraId="4C5ACDA1"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2012</w:t>
            </w:r>
          </w:p>
        </w:tc>
        <w:tc>
          <w:tcPr>
            <w:tcW w:w="738" w:type="dxa"/>
            <w:tcBorders>
              <w:top w:val="nil"/>
              <w:left w:val="nil"/>
              <w:bottom w:val="single" w:sz="4" w:space="0" w:color="auto"/>
              <w:right w:val="single" w:sz="4" w:space="0" w:color="auto"/>
            </w:tcBorders>
            <w:shd w:val="clear" w:color="auto" w:fill="auto"/>
            <w:vAlign w:val="center"/>
            <w:hideMark/>
          </w:tcPr>
          <w:p w14:paraId="528F6CBC"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2020</w:t>
            </w:r>
          </w:p>
        </w:tc>
        <w:tc>
          <w:tcPr>
            <w:tcW w:w="4829" w:type="dxa"/>
            <w:tcBorders>
              <w:top w:val="nil"/>
              <w:left w:val="nil"/>
              <w:bottom w:val="single" w:sz="4" w:space="0" w:color="auto"/>
              <w:right w:val="single" w:sz="8" w:space="0" w:color="auto"/>
            </w:tcBorders>
            <w:shd w:val="clear" w:color="auto" w:fill="auto"/>
            <w:vAlign w:val="center"/>
            <w:hideMark/>
          </w:tcPr>
          <w:p w14:paraId="634B3A91" w14:textId="3064184F" w:rsidR="00E37D33" w:rsidRPr="001F556D" w:rsidRDefault="00E37D33" w:rsidP="00D45B0B">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Jedná se o základní koncepční dokument, který řeší rozvoj města ve všech jeho aspektech. Implementace výstupů SRMZ do praxe je sledována prostřednictvím jednoletých Akčních plánů rozvoje města/schváleného rozpočtu pro konkrétní rok. V</w:t>
            </w:r>
            <w:r w:rsidR="00D45B0B">
              <w:rPr>
                <w:rFonts w:ascii="Calibri" w:eastAsia="Times New Roman" w:hAnsi="Calibri" w:cs="Calibri"/>
                <w:sz w:val="18"/>
                <w:szCs w:val="18"/>
                <w:lang w:eastAsia="cs-CZ"/>
              </w:rPr>
              <w:t> </w:t>
            </w:r>
            <w:r w:rsidRPr="001F556D">
              <w:rPr>
                <w:rFonts w:ascii="Calibri" w:eastAsia="Times New Roman" w:hAnsi="Calibri" w:cs="Calibri"/>
                <w:sz w:val="18"/>
                <w:szCs w:val="18"/>
                <w:lang w:eastAsia="cs-CZ"/>
              </w:rPr>
              <w:t>roce 2019 byly zahájeny práce na přípravě strategického dokumentu pro období 2021+.</w:t>
            </w:r>
          </w:p>
        </w:tc>
      </w:tr>
      <w:tr w:rsidR="00E37D33" w:rsidRPr="001F556D" w14:paraId="34EDDDE1" w14:textId="77777777" w:rsidTr="00E37D33">
        <w:trPr>
          <w:trHeight w:val="822"/>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61148A65" w14:textId="77777777"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Strategie bezpečnosti silničního provozu statutárního města Zlína na období 2014-2020</w:t>
            </w:r>
          </w:p>
        </w:tc>
        <w:tc>
          <w:tcPr>
            <w:tcW w:w="518" w:type="dxa"/>
            <w:tcBorders>
              <w:top w:val="nil"/>
              <w:left w:val="nil"/>
              <w:bottom w:val="single" w:sz="4" w:space="0" w:color="auto"/>
              <w:right w:val="single" w:sz="4" w:space="0" w:color="auto"/>
            </w:tcBorders>
            <w:shd w:val="clear" w:color="auto" w:fill="auto"/>
            <w:vAlign w:val="center"/>
            <w:hideMark/>
          </w:tcPr>
          <w:p w14:paraId="6C0E39CD"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2014</w:t>
            </w:r>
          </w:p>
        </w:tc>
        <w:tc>
          <w:tcPr>
            <w:tcW w:w="738" w:type="dxa"/>
            <w:tcBorders>
              <w:top w:val="nil"/>
              <w:left w:val="nil"/>
              <w:bottom w:val="single" w:sz="4" w:space="0" w:color="auto"/>
              <w:right w:val="single" w:sz="4" w:space="0" w:color="auto"/>
            </w:tcBorders>
            <w:shd w:val="clear" w:color="auto" w:fill="auto"/>
            <w:vAlign w:val="center"/>
            <w:hideMark/>
          </w:tcPr>
          <w:p w14:paraId="78CC6A00"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2020</w:t>
            </w:r>
          </w:p>
        </w:tc>
        <w:tc>
          <w:tcPr>
            <w:tcW w:w="4829" w:type="dxa"/>
            <w:tcBorders>
              <w:top w:val="nil"/>
              <w:left w:val="nil"/>
              <w:bottom w:val="single" w:sz="4" w:space="0" w:color="auto"/>
              <w:right w:val="single" w:sz="8" w:space="0" w:color="auto"/>
            </w:tcBorders>
            <w:shd w:val="clear" w:color="000000" w:fill="FFFFFF"/>
            <w:vAlign w:val="center"/>
            <w:hideMark/>
          </w:tcPr>
          <w:p w14:paraId="550B7E01" w14:textId="10DACCA1" w:rsidR="00E37D33" w:rsidRPr="001F556D" w:rsidRDefault="00E37D33" w:rsidP="00D45B0B">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Navazuje na Deklaraci samospráv o spolupráci při realizaci Strategie bezpečnosti silničního provozu Zlínského kraje na období 2012</w:t>
            </w:r>
            <w:r w:rsidR="00D45B0B">
              <w:rPr>
                <w:rFonts w:ascii="Calibri" w:eastAsia="Times New Roman" w:hAnsi="Calibri" w:cs="Calibri"/>
                <w:sz w:val="18"/>
                <w:szCs w:val="18"/>
                <w:lang w:eastAsia="cs-CZ"/>
              </w:rPr>
              <w:t xml:space="preserve"> </w:t>
            </w:r>
            <w:r w:rsidR="00D45B0B">
              <w:rPr>
                <w:rFonts w:ascii="Calibri" w:eastAsia="Times New Roman" w:hAnsi="Calibri" w:cs="Calibri"/>
                <w:sz w:val="18"/>
                <w:szCs w:val="18"/>
                <w:lang w:eastAsia="cs-CZ"/>
              </w:rPr>
              <w:sym w:font="Symbol" w:char="F02D"/>
            </w:r>
            <w:r w:rsidR="00D45B0B">
              <w:rPr>
                <w:rFonts w:ascii="Calibri" w:eastAsia="Times New Roman" w:hAnsi="Calibri" w:cs="Calibri"/>
                <w:sz w:val="18"/>
                <w:szCs w:val="18"/>
                <w:lang w:eastAsia="cs-CZ"/>
              </w:rPr>
              <w:t xml:space="preserve"> </w:t>
            </w:r>
            <w:r w:rsidRPr="001F556D">
              <w:rPr>
                <w:rFonts w:ascii="Calibri" w:eastAsia="Times New Roman" w:hAnsi="Calibri" w:cs="Calibri"/>
                <w:sz w:val="18"/>
                <w:szCs w:val="18"/>
                <w:lang w:eastAsia="cs-CZ"/>
              </w:rPr>
              <w:t>2020. Rozpracovává ji v podmínkách SMZ s</w:t>
            </w:r>
            <w:r w:rsidR="00D45B0B">
              <w:rPr>
                <w:rFonts w:ascii="Calibri" w:eastAsia="Times New Roman" w:hAnsi="Calibri" w:cs="Calibri"/>
                <w:sz w:val="18"/>
                <w:szCs w:val="18"/>
                <w:lang w:eastAsia="cs-CZ"/>
              </w:rPr>
              <w:t> </w:t>
            </w:r>
            <w:r w:rsidRPr="001F556D">
              <w:rPr>
                <w:rFonts w:ascii="Calibri" w:eastAsia="Times New Roman" w:hAnsi="Calibri" w:cs="Calibri"/>
                <w:sz w:val="18"/>
                <w:szCs w:val="18"/>
                <w:lang w:eastAsia="cs-CZ"/>
              </w:rPr>
              <w:t>důrazem na podrobný akční plán.</w:t>
            </w:r>
          </w:p>
        </w:tc>
      </w:tr>
      <w:tr w:rsidR="00E37D33" w:rsidRPr="001F556D" w14:paraId="449D3995" w14:textId="77777777" w:rsidTr="00E37D33">
        <w:trPr>
          <w:trHeight w:val="1941"/>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2465E1B3" w14:textId="77777777"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Koncepce rozvoje školství statutárního města Zlína na období let 2014 - 2020</w:t>
            </w:r>
          </w:p>
        </w:tc>
        <w:tc>
          <w:tcPr>
            <w:tcW w:w="518" w:type="dxa"/>
            <w:tcBorders>
              <w:top w:val="nil"/>
              <w:left w:val="nil"/>
              <w:bottom w:val="single" w:sz="4" w:space="0" w:color="auto"/>
              <w:right w:val="single" w:sz="4" w:space="0" w:color="auto"/>
            </w:tcBorders>
            <w:shd w:val="clear" w:color="auto" w:fill="auto"/>
            <w:vAlign w:val="center"/>
            <w:hideMark/>
          </w:tcPr>
          <w:p w14:paraId="73904526"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2015</w:t>
            </w:r>
          </w:p>
        </w:tc>
        <w:tc>
          <w:tcPr>
            <w:tcW w:w="738" w:type="dxa"/>
            <w:tcBorders>
              <w:top w:val="nil"/>
              <w:left w:val="nil"/>
              <w:bottom w:val="single" w:sz="4" w:space="0" w:color="auto"/>
              <w:right w:val="single" w:sz="4" w:space="0" w:color="auto"/>
            </w:tcBorders>
            <w:shd w:val="clear" w:color="auto" w:fill="auto"/>
            <w:vAlign w:val="center"/>
            <w:hideMark/>
          </w:tcPr>
          <w:p w14:paraId="00B9BAB2"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2020</w:t>
            </w:r>
          </w:p>
        </w:tc>
        <w:tc>
          <w:tcPr>
            <w:tcW w:w="4829" w:type="dxa"/>
            <w:tcBorders>
              <w:top w:val="nil"/>
              <w:left w:val="nil"/>
              <w:bottom w:val="single" w:sz="4" w:space="0" w:color="auto"/>
              <w:right w:val="single" w:sz="8" w:space="0" w:color="auto"/>
            </w:tcBorders>
            <w:shd w:val="clear" w:color="auto" w:fill="auto"/>
            <w:vAlign w:val="center"/>
            <w:hideMark/>
          </w:tcPr>
          <w:p w14:paraId="703BE3C0" w14:textId="68FCB4DF" w:rsidR="00E37D33" w:rsidRPr="001F556D" w:rsidRDefault="00E37D33" w:rsidP="00D45B0B">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Koncepce reaguje na demografický vývoj, řeš</w:t>
            </w:r>
            <w:r>
              <w:rPr>
                <w:rFonts w:ascii="Calibri" w:eastAsia="Times New Roman" w:hAnsi="Calibri" w:cs="Calibri"/>
                <w:sz w:val="18"/>
                <w:szCs w:val="18"/>
                <w:lang w:eastAsia="cs-CZ"/>
              </w:rPr>
              <w:t>í kapacity ZŠ a MŠ na území SMZ</w:t>
            </w:r>
            <w:r w:rsidRPr="001F556D">
              <w:rPr>
                <w:rFonts w:ascii="Calibri" w:eastAsia="Times New Roman" w:hAnsi="Calibri" w:cs="Calibri"/>
                <w:sz w:val="18"/>
                <w:szCs w:val="18"/>
                <w:lang w:eastAsia="cs-CZ"/>
              </w:rPr>
              <w:t xml:space="preserve">, zabývá se zvyšováním kvality výuky, zvýšením manuální gramotnosti, znalostí cizích jazyků a zvyšováním kompetencí v oblasti ICT, kreativity a podnikavosti. Dále řeší další vzdělávání. Současně je zaměřena na investiční rozvoj školských nemovitostí v majetku SMZ. Investice do vzdělávání, dovedností a celoživotního učení patří k základním prioritám financování Kohezní politiky EU v období 2014 </w:t>
            </w:r>
            <w:r w:rsidR="00D45B0B">
              <w:rPr>
                <w:rFonts w:ascii="Calibri" w:eastAsia="Times New Roman" w:hAnsi="Calibri" w:cs="Calibri"/>
                <w:sz w:val="18"/>
                <w:szCs w:val="18"/>
                <w:lang w:eastAsia="cs-CZ"/>
              </w:rPr>
              <w:sym w:font="Symbol" w:char="F02D"/>
            </w:r>
            <w:r w:rsidRPr="001F556D">
              <w:rPr>
                <w:rFonts w:ascii="Calibri" w:eastAsia="Times New Roman" w:hAnsi="Calibri" w:cs="Calibri"/>
                <w:sz w:val="18"/>
                <w:szCs w:val="18"/>
                <w:lang w:eastAsia="cs-CZ"/>
              </w:rPr>
              <w:t xml:space="preserve"> 2020. SMZ tak má v podobě koncepce oporu pro rozvoj této oblasti.</w:t>
            </w:r>
          </w:p>
        </w:tc>
      </w:tr>
      <w:tr w:rsidR="00E37D33" w:rsidRPr="001F556D" w14:paraId="00505EEF" w14:textId="77777777" w:rsidTr="00E37D33">
        <w:trPr>
          <w:trHeight w:val="1218"/>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5EB6DFAB" w14:textId="321B7EB1" w:rsidR="00E37D33" w:rsidRPr="001F556D" w:rsidRDefault="00E37D33" w:rsidP="00D45B0B">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Integrovaný plán rozvoje území Zlín 2014</w:t>
            </w:r>
            <w:r w:rsidR="00D45B0B">
              <w:rPr>
                <w:rFonts w:ascii="Calibri" w:eastAsia="Times New Roman" w:hAnsi="Calibri" w:cs="Calibri"/>
                <w:b/>
                <w:bCs/>
                <w:i/>
                <w:iCs/>
                <w:sz w:val="18"/>
                <w:szCs w:val="18"/>
                <w:lang w:eastAsia="cs-CZ"/>
              </w:rPr>
              <w:t> </w:t>
            </w:r>
            <w:r w:rsidR="00D45B0B">
              <w:rPr>
                <w:rFonts w:ascii="Calibri" w:eastAsia="Times New Roman" w:hAnsi="Calibri" w:cs="Calibri"/>
                <w:b/>
                <w:bCs/>
                <w:i/>
                <w:iCs/>
                <w:sz w:val="18"/>
                <w:szCs w:val="18"/>
                <w:lang w:eastAsia="cs-CZ"/>
              </w:rPr>
              <w:sym w:font="Symbol" w:char="F02D"/>
            </w:r>
            <w:r w:rsidRPr="001F556D">
              <w:rPr>
                <w:rFonts w:ascii="Calibri" w:eastAsia="Times New Roman" w:hAnsi="Calibri" w:cs="Calibri"/>
                <w:b/>
                <w:bCs/>
                <w:i/>
                <w:iCs/>
                <w:sz w:val="18"/>
                <w:szCs w:val="18"/>
                <w:lang w:eastAsia="cs-CZ"/>
              </w:rPr>
              <w:t xml:space="preserve"> 2020</w:t>
            </w:r>
          </w:p>
        </w:tc>
        <w:tc>
          <w:tcPr>
            <w:tcW w:w="518" w:type="dxa"/>
            <w:tcBorders>
              <w:top w:val="nil"/>
              <w:left w:val="nil"/>
              <w:bottom w:val="single" w:sz="4" w:space="0" w:color="auto"/>
              <w:right w:val="single" w:sz="4" w:space="0" w:color="auto"/>
            </w:tcBorders>
            <w:shd w:val="clear" w:color="auto" w:fill="auto"/>
            <w:noWrap/>
            <w:vAlign w:val="center"/>
            <w:hideMark/>
          </w:tcPr>
          <w:p w14:paraId="28AF9B75"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2015</w:t>
            </w:r>
          </w:p>
        </w:tc>
        <w:tc>
          <w:tcPr>
            <w:tcW w:w="738" w:type="dxa"/>
            <w:tcBorders>
              <w:top w:val="nil"/>
              <w:left w:val="nil"/>
              <w:bottom w:val="single" w:sz="4" w:space="0" w:color="auto"/>
              <w:right w:val="single" w:sz="4" w:space="0" w:color="auto"/>
            </w:tcBorders>
            <w:shd w:val="clear" w:color="auto" w:fill="auto"/>
            <w:noWrap/>
            <w:vAlign w:val="center"/>
            <w:hideMark/>
          </w:tcPr>
          <w:p w14:paraId="73EBA667"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2020</w:t>
            </w:r>
          </w:p>
        </w:tc>
        <w:tc>
          <w:tcPr>
            <w:tcW w:w="4829" w:type="dxa"/>
            <w:tcBorders>
              <w:top w:val="nil"/>
              <w:left w:val="nil"/>
              <w:bottom w:val="single" w:sz="4" w:space="0" w:color="auto"/>
              <w:right w:val="single" w:sz="8" w:space="0" w:color="auto"/>
            </w:tcBorders>
            <w:shd w:val="clear" w:color="auto" w:fill="auto"/>
            <w:vAlign w:val="bottom"/>
            <w:hideMark/>
          </w:tcPr>
          <w:p w14:paraId="325BA186" w14:textId="41B3C64C" w:rsidR="00E37D33" w:rsidRPr="001F556D" w:rsidRDefault="00E37D33" w:rsidP="00E37D33">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Jedná se o účelový strategický nástroj, určený pro aglomerace vybraných krajských měst v ČR. Slouží k uplatnění tzv. integrov</w:t>
            </w:r>
            <w:r w:rsidR="00D45B0B">
              <w:rPr>
                <w:rFonts w:ascii="Calibri" w:eastAsia="Times New Roman" w:hAnsi="Calibri" w:cs="Calibri"/>
                <w:sz w:val="18"/>
                <w:szCs w:val="18"/>
                <w:lang w:eastAsia="cs-CZ"/>
              </w:rPr>
              <w:t>a</w:t>
            </w:r>
            <w:r w:rsidRPr="001F556D">
              <w:rPr>
                <w:rFonts w:ascii="Calibri" w:eastAsia="Times New Roman" w:hAnsi="Calibri" w:cs="Calibri"/>
                <w:sz w:val="18"/>
                <w:szCs w:val="18"/>
                <w:lang w:eastAsia="cs-CZ"/>
              </w:rPr>
              <w:t>ných přístupů v rámci implementace Kohezní politiky EU. IPRÚ rezervuje cca 1 mld. Kč dotačních prostředků pro vymezenou aglomeraci měst Zlín-Otrokovice-Fryšták a dalších osmi sousedních obcí.</w:t>
            </w:r>
          </w:p>
        </w:tc>
      </w:tr>
      <w:tr w:rsidR="00E37D33" w:rsidRPr="001F556D" w14:paraId="41DEADDC" w14:textId="77777777" w:rsidTr="00E37D33">
        <w:trPr>
          <w:trHeight w:val="1027"/>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2656B4B8" w14:textId="6A66FDD3" w:rsidR="00E37D33" w:rsidRPr="001F556D" w:rsidRDefault="00E37D33" w:rsidP="00D45B0B">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Strategický plán pro regeneraci městské památkové zóny Zlín na období 2016</w:t>
            </w:r>
            <w:r w:rsidR="00D45B0B">
              <w:rPr>
                <w:rFonts w:ascii="Calibri" w:eastAsia="Times New Roman" w:hAnsi="Calibri" w:cs="Calibri"/>
                <w:b/>
                <w:bCs/>
                <w:i/>
                <w:iCs/>
                <w:sz w:val="18"/>
                <w:szCs w:val="18"/>
                <w:lang w:eastAsia="cs-CZ"/>
              </w:rPr>
              <w:t> </w:t>
            </w:r>
            <w:r w:rsidR="00D45B0B">
              <w:rPr>
                <w:rFonts w:ascii="Calibri" w:eastAsia="Times New Roman" w:hAnsi="Calibri" w:cs="Calibri"/>
                <w:b/>
                <w:bCs/>
                <w:i/>
                <w:iCs/>
                <w:sz w:val="18"/>
                <w:szCs w:val="18"/>
                <w:lang w:eastAsia="cs-CZ"/>
              </w:rPr>
              <w:sym w:font="Symbol" w:char="F02D"/>
            </w:r>
            <w:r w:rsidR="00D45B0B">
              <w:rPr>
                <w:rFonts w:ascii="Calibri" w:eastAsia="Times New Roman" w:hAnsi="Calibri" w:cs="Calibri"/>
                <w:b/>
                <w:bCs/>
                <w:i/>
                <w:iCs/>
                <w:sz w:val="18"/>
                <w:szCs w:val="18"/>
                <w:lang w:eastAsia="cs-CZ"/>
              </w:rPr>
              <w:t> </w:t>
            </w:r>
            <w:r w:rsidRPr="001F556D">
              <w:rPr>
                <w:rFonts w:ascii="Calibri" w:eastAsia="Times New Roman" w:hAnsi="Calibri" w:cs="Calibri"/>
                <w:b/>
                <w:bCs/>
                <w:i/>
                <w:iCs/>
                <w:sz w:val="18"/>
                <w:szCs w:val="18"/>
                <w:lang w:eastAsia="cs-CZ"/>
              </w:rPr>
              <w:t>2020</w:t>
            </w:r>
          </w:p>
        </w:tc>
        <w:tc>
          <w:tcPr>
            <w:tcW w:w="518" w:type="dxa"/>
            <w:tcBorders>
              <w:top w:val="nil"/>
              <w:left w:val="nil"/>
              <w:bottom w:val="single" w:sz="4" w:space="0" w:color="auto"/>
              <w:right w:val="single" w:sz="4" w:space="0" w:color="auto"/>
            </w:tcBorders>
            <w:shd w:val="clear" w:color="auto" w:fill="auto"/>
            <w:noWrap/>
            <w:vAlign w:val="center"/>
            <w:hideMark/>
          </w:tcPr>
          <w:p w14:paraId="675FABAB"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2016</w:t>
            </w:r>
          </w:p>
        </w:tc>
        <w:tc>
          <w:tcPr>
            <w:tcW w:w="738" w:type="dxa"/>
            <w:tcBorders>
              <w:top w:val="nil"/>
              <w:left w:val="nil"/>
              <w:bottom w:val="single" w:sz="4" w:space="0" w:color="auto"/>
              <w:right w:val="single" w:sz="4" w:space="0" w:color="auto"/>
            </w:tcBorders>
            <w:shd w:val="clear" w:color="auto" w:fill="auto"/>
            <w:noWrap/>
            <w:vAlign w:val="center"/>
            <w:hideMark/>
          </w:tcPr>
          <w:p w14:paraId="5C49A985"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2020</w:t>
            </w:r>
          </w:p>
        </w:tc>
        <w:tc>
          <w:tcPr>
            <w:tcW w:w="4829" w:type="dxa"/>
            <w:tcBorders>
              <w:top w:val="nil"/>
              <w:left w:val="nil"/>
              <w:bottom w:val="single" w:sz="4" w:space="0" w:color="auto"/>
              <w:right w:val="single" w:sz="8" w:space="0" w:color="auto"/>
            </w:tcBorders>
            <w:shd w:val="clear" w:color="auto" w:fill="auto"/>
            <w:vAlign w:val="center"/>
            <w:hideMark/>
          </w:tcPr>
          <w:p w14:paraId="10F92A76" w14:textId="411B3F43" w:rsidR="00E37D33" w:rsidRPr="001F556D" w:rsidRDefault="00E37D33" w:rsidP="00E37D33">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Strategie priorit SMZ ve věci obnovy nemovitých kulturních památek a nejdůležitějších veřejných prostor MPZ Zlín s cílem uchování jedinečného urbanismu města a jeho vztahu k okolní krajině.</w:t>
            </w:r>
            <w:r w:rsidRPr="001F556D">
              <w:rPr>
                <w:rFonts w:ascii="Calibri" w:eastAsia="Times New Roman" w:hAnsi="Calibri" w:cs="Calibri"/>
                <w:sz w:val="18"/>
                <w:szCs w:val="18"/>
                <w:lang w:eastAsia="cs-CZ"/>
              </w:rPr>
              <w:br/>
              <w:t>Větší úspěšnost získání dotací z</w:t>
            </w:r>
            <w:r w:rsidR="00D45B0B">
              <w:rPr>
                <w:rFonts w:ascii="Calibri" w:eastAsia="Times New Roman" w:hAnsi="Calibri" w:cs="Calibri"/>
                <w:sz w:val="18"/>
                <w:szCs w:val="18"/>
                <w:lang w:eastAsia="cs-CZ"/>
              </w:rPr>
              <w:t> </w:t>
            </w:r>
            <w:r w:rsidRPr="001F556D">
              <w:rPr>
                <w:rFonts w:ascii="Calibri" w:eastAsia="Times New Roman" w:hAnsi="Calibri" w:cs="Calibri"/>
                <w:sz w:val="18"/>
                <w:szCs w:val="18"/>
                <w:lang w:eastAsia="cs-CZ"/>
              </w:rPr>
              <w:t>MK</w:t>
            </w:r>
            <w:r w:rsidR="00D45B0B">
              <w:rPr>
                <w:rFonts w:ascii="Calibri" w:eastAsia="Times New Roman" w:hAnsi="Calibri" w:cs="Calibri"/>
                <w:sz w:val="18"/>
                <w:szCs w:val="18"/>
                <w:lang w:eastAsia="cs-CZ"/>
              </w:rPr>
              <w:t>.</w:t>
            </w:r>
          </w:p>
        </w:tc>
      </w:tr>
      <w:tr w:rsidR="00E37D33" w:rsidRPr="001F556D" w14:paraId="4FB8CB76" w14:textId="77777777" w:rsidTr="00E37D33">
        <w:trPr>
          <w:trHeight w:val="1785"/>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16C0A538" w14:textId="77777777"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Generel dopravy pro město Zlín</w:t>
            </w:r>
          </w:p>
        </w:tc>
        <w:tc>
          <w:tcPr>
            <w:tcW w:w="518" w:type="dxa"/>
            <w:tcBorders>
              <w:top w:val="nil"/>
              <w:left w:val="nil"/>
              <w:bottom w:val="single" w:sz="4" w:space="0" w:color="auto"/>
              <w:right w:val="single" w:sz="4" w:space="0" w:color="auto"/>
            </w:tcBorders>
            <w:shd w:val="clear" w:color="auto" w:fill="auto"/>
            <w:noWrap/>
            <w:vAlign w:val="center"/>
            <w:hideMark/>
          </w:tcPr>
          <w:p w14:paraId="778F1614"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2017</w:t>
            </w:r>
          </w:p>
        </w:tc>
        <w:tc>
          <w:tcPr>
            <w:tcW w:w="738" w:type="dxa"/>
            <w:tcBorders>
              <w:top w:val="nil"/>
              <w:left w:val="nil"/>
              <w:bottom w:val="single" w:sz="4" w:space="0" w:color="auto"/>
              <w:right w:val="single" w:sz="4" w:space="0" w:color="auto"/>
            </w:tcBorders>
            <w:shd w:val="clear" w:color="auto" w:fill="auto"/>
            <w:noWrap/>
            <w:vAlign w:val="center"/>
            <w:hideMark/>
          </w:tcPr>
          <w:p w14:paraId="474EFB12"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2025</w:t>
            </w:r>
          </w:p>
        </w:tc>
        <w:tc>
          <w:tcPr>
            <w:tcW w:w="4829" w:type="dxa"/>
            <w:tcBorders>
              <w:top w:val="nil"/>
              <w:left w:val="nil"/>
              <w:bottom w:val="single" w:sz="4" w:space="0" w:color="auto"/>
              <w:right w:val="single" w:sz="8" w:space="0" w:color="auto"/>
            </w:tcBorders>
            <w:shd w:val="clear" w:color="000000" w:fill="FFFFFF"/>
            <w:vAlign w:val="bottom"/>
            <w:hideMark/>
          </w:tcPr>
          <w:p w14:paraId="3C02BA7B" w14:textId="77777777" w:rsidR="00E37D33" w:rsidRPr="001F556D" w:rsidRDefault="00E37D33" w:rsidP="00E37D33">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Jedná se o základní koncepční dokument města v oblasti dopravy, re</w:t>
            </w:r>
            <w:r>
              <w:rPr>
                <w:rFonts w:ascii="Calibri" w:eastAsia="Times New Roman" w:hAnsi="Calibri" w:cs="Calibri"/>
                <w:sz w:val="18"/>
                <w:szCs w:val="18"/>
                <w:lang w:eastAsia="cs-CZ"/>
              </w:rPr>
              <w:t>spektive mobility.  Generel sta</w:t>
            </w:r>
            <w:r w:rsidRPr="001F556D">
              <w:rPr>
                <w:rFonts w:ascii="Calibri" w:eastAsia="Times New Roman" w:hAnsi="Calibri" w:cs="Calibri"/>
                <w:sz w:val="18"/>
                <w:szCs w:val="18"/>
                <w:lang w:eastAsia="cs-CZ"/>
              </w:rPr>
              <w:t>novuje cíle dopravní politiky města a přináší soubory řešení v oblastech automobilové dopravy, MHD, pěší a cyklistické dopravy a jejich vzájemné integrace. Součástí koncepce je matematický dopravní model, který slouží k posuzování navrhovaných opatření. Navrhovaná opatření směřují k roku 2025, výhledovým horizontem je rok 2035.</w:t>
            </w:r>
          </w:p>
        </w:tc>
      </w:tr>
      <w:tr w:rsidR="00E37D33" w:rsidRPr="001F556D" w14:paraId="20C502BD" w14:textId="77777777" w:rsidTr="00E37D33">
        <w:trPr>
          <w:trHeight w:val="1233"/>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7F625258" w14:textId="2D79ED04" w:rsidR="00E37D33" w:rsidRPr="001F556D" w:rsidRDefault="00E37D33" w:rsidP="00D45B0B">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 xml:space="preserve">Plán odpadového hospodářství statutárního města Zlína na období let 2017 </w:t>
            </w:r>
            <w:r w:rsidR="00D45B0B">
              <w:rPr>
                <w:rFonts w:ascii="Calibri" w:eastAsia="Times New Roman" w:hAnsi="Calibri" w:cs="Calibri"/>
                <w:b/>
                <w:bCs/>
                <w:i/>
                <w:iCs/>
                <w:sz w:val="18"/>
                <w:szCs w:val="18"/>
                <w:lang w:eastAsia="cs-CZ"/>
              </w:rPr>
              <w:sym w:font="Symbol" w:char="F02D"/>
            </w:r>
            <w:r w:rsidR="00D45B0B">
              <w:rPr>
                <w:rFonts w:ascii="Calibri" w:eastAsia="Times New Roman" w:hAnsi="Calibri" w:cs="Calibri"/>
                <w:b/>
                <w:bCs/>
                <w:i/>
                <w:iCs/>
                <w:sz w:val="18"/>
                <w:szCs w:val="18"/>
                <w:lang w:eastAsia="cs-CZ"/>
              </w:rPr>
              <w:t xml:space="preserve"> </w:t>
            </w:r>
            <w:r w:rsidRPr="001F556D">
              <w:rPr>
                <w:rFonts w:ascii="Calibri" w:eastAsia="Times New Roman" w:hAnsi="Calibri" w:cs="Calibri"/>
                <w:b/>
                <w:bCs/>
                <w:i/>
                <w:iCs/>
                <w:sz w:val="18"/>
                <w:szCs w:val="18"/>
                <w:lang w:eastAsia="cs-CZ"/>
              </w:rPr>
              <w:t xml:space="preserve"> 2021</w:t>
            </w:r>
          </w:p>
        </w:tc>
        <w:tc>
          <w:tcPr>
            <w:tcW w:w="518" w:type="dxa"/>
            <w:tcBorders>
              <w:top w:val="nil"/>
              <w:left w:val="nil"/>
              <w:bottom w:val="single" w:sz="4" w:space="0" w:color="auto"/>
              <w:right w:val="single" w:sz="4" w:space="0" w:color="auto"/>
            </w:tcBorders>
            <w:shd w:val="clear" w:color="auto" w:fill="auto"/>
            <w:vAlign w:val="center"/>
            <w:hideMark/>
          </w:tcPr>
          <w:p w14:paraId="79FDEA0F"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2017</w:t>
            </w:r>
          </w:p>
        </w:tc>
        <w:tc>
          <w:tcPr>
            <w:tcW w:w="738" w:type="dxa"/>
            <w:tcBorders>
              <w:top w:val="nil"/>
              <w:left w:val="nil"/>
              <w:bottom w:val="single" w:sz="4" w:space="0" w:color="auto"/>
              <w:right w:val="single" w:sz="4" w:space="0" w:color="auto"/>
            </w:tcBorders>
            <w:shd w:val="clear" w:color="auto" w:fill="auto"/>
            <w:vAlign w:val="center"/>
            <w:hideMark/>
          </w:tcPr>
          <w:p w14:paraId="1D093777"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2021</w:t>
            </w:r>
          </w:p>
        </w:tc>
        <w:tc>
          <w:tcPr>
            <w:tcW w:w="4829" w:type="dxa"/>
            <w:tcBorders>
              <w:top w:val="nil"/>
              <w:left w:val="nil"/>
              <w:bottom w:val="single" w:sz="4" w:space="0" w:color="auto"/>
              <w:right w:val="single" w:sz="8" w:space="0" w:color="auto"/>
            </w:tcBorders>
            <w:shd w:val="clear" w:color="auto" w:fill="auto"/>
            <w:vAlign w:val="center"/>
            <w:hideMark/>
          </w:tcPr>
          <w:p w14:paraId="05A18702" w14:textId="79BE0B0B" w:rsidR="00E37D33" w:rsidRPr="001F556D" w:rsidRDefault="00E37D33" w:rsidP="00E37D33">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Důvodem zpracování Plánu odpadového hospodářství je naplnění povinnosti obce stanovené v § 44 zákona o odpadech, kdy roční produkce odpadů překročila 10 t nebezpečných odpadů a 1</w:t>
            </w:r>
            <w:r w:rsidR="00D45B0B">
              <w:rPr>
                <w:rFonts w:ascii="Calibri" w:eastAsia="Times New Roman" w:hAnsi="Calibri" w:cs="Calibri"/>
                <w:sz w:val="18"/>
                <w:szCs w:val="18"/>
                <w:lang w:eastAsia="cs-CZ"/>
              </w:rPr>
              <w:t xml:space="preserve"> </w:t>
            </w:r>
            <w:r w:rsidRPr="001F556D">
              <w:rPr>
                <w:rFonts w:ascii="Calibri" w:eastAsia="Times New Roman" w:hAnsi="Calibri" w:cs="Calibri"/>
                <w:sz w:val="18"/>
                <w:szCs w:val="18"/>
                <w:lang w:eastAsia="cs-CZ"/>
              </w:rPr>
              <w:t>000 t ostatních odpadů. Účelem POH je stanovení cílů a opatření k jejich dosažení v odpadovém hospodářství města.</w:t>
            </w:r>
            <w:r w:rsidR="00D45B0B">
              <w:rPr>
                <w:rFonts w:ascii="Calibri" w:eastAsia="Times New Roman" w:hAnsi="Calibri" w:cs="Calibri"/>
                <w:sz w:val="18"/>
                <w:szCs w:val="18"/>
                <w:lang w:eastAsia="cs-CZ"/>
              </w:rPr>
              <w:t xml:space="preserve"> </w:t>
            </w:r>
          </w:p>
        </w:tc>
      </w:tr>
      <w:tr w:rsidR="00E37D33" w:rsidRPr="001F556D" w14:paraId="4435FBB8" w14:textId="77777777" w:rsidTr="00E37D33">
        <w:trPr>
          <w:trHeight w:val="1335"/>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4106CA2D" w14:textId="77777777"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lastRenderedPageBreak/>
              <w:t>Místní akční plán rozvoje vzdělávání ORP Zlín</w:t>
            </w:r>
          </w:p>
        </w:tc>
        <w:tc>
          <w:tcPr>
            <w:tcW w:w="518" w:type="dxa"/>
            <w:tcBorders>
              <w:top w:val="nil"/>
              <w:left w:val="nil"/>
              <w:bottom w:val="single" w:sz="4" w:space="0" w:color="auto"/>
              <w:right w:val="single" w:sz="4" w:space="0" w:color="auto"/>
            </w:tcBorders>
            <w:shd w:val="clear" w:color="auto" w:fill="auto"/>
            <w:noWrap/>
            <w:vAlign w:val="center"/>
            <w:hideMark/>
          </w:tcPr>
          <w:p w14:paraId="3C86FF0F"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2018</w:t>
            </w:r>
          </w:p>
        </w:tc>
        <w:tc>
          <w:tcPr>
            <w:tcW w:w="738" w:type="dxa"/>
            <w:tcBorders>
              <w:top w:val="nil"/>
              <w:left w:val="nil"/>
              <w:bottom w:val="single" w:sz="4" w:space="0" w:color="auto"/>
              <w:right w:val="single" w:sz="4" w:space="0" w:color="auto"/>
            </w:tcBorders>
            <w:shd w:val="clear" w:color="auto" w:fill="auto"/>
            <w:noWrap/>
            <w:vAlign w:val="center"/>
            <w:hideMark/>
          </w:tcPr>
          <w:p w14:paraId="21F3ACB5"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2023</w:t>
            </w:r>
          </w:p>
        </w:tc>
        <w:tc>
          <w:tcPr>
            <w:tcW w:w="4829" w:type="dxa"/>
            <w:tcBorders>
              <w:top w:val="nil"/>
              <w:left w:val="nil"/>
              <w:bottom w:val="single" w:sz="4" w:space="0" w:color="auto"/>
              <w:right w:val="single" w:sz="8" w:space="0" w:color="auto"/>
            </w:tcBorders>
            <w:shd w:val="clear" w:color="auto" w:fill="auto"/>
            <w:vAlign w:val="center"/>
            <w:hideMark/>
          </w:tcPr>
          <w:p w14:paraId="1C354F75" w14:textId="69DE2D8F" w:rsidR="00E37D33" w:rsidRPr="001F556D" w:rsidRDefault="00E37D33" w:rsidP="00D45B0B">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Místní akční plán vzdělávání je prioritně zaměřen na rozvoj kvalitního a inkluzivního vzdělávání dětí a žáků do 15 let. Zahrnuje oblasti včasné péče, předškolního a základního vzdělávání, zájmového a neformálního vzdělávání. Zahrnuje vybrané obce z území ORP Zlín. MAP je podmínkou pro čerpání dotací EU v aktuálním programovém období.</w:t>
            </w:r>
          </w:p>
        </w:tc>
      </w:tr>
      <w:tr w:rsidR="00E37D33" w:rsidRPr="001F556D" w14:paraId="5C4CF578" w14:textId="77777777" w:rsidTr="00E37D33">
        <w:trPr>
          <w:trHeight w:val="616"/>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66068EDE" w14:textId="6E586D55" w:rsidR="00E37D33" w:rsidRPr="001F556D" w:rsidRDefault="00E37D33" w:rsidP="00D45B0B">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Místní koncepce environmentálního vzdělávání, výchovy a osvěty statutárního města Zlína na období 2019</w:t>
            </w:r>
            <w:r w:rsidR="00D45B0B">
              <w:rPr>
                <w:rFonts w:ascii="Calibri" w:eastAsia="Times New Roman" w:hAnsi="Calibri" w:cs="Calibri"/>
                <w:b/>
                <w:bCs/>
                <w:i/>
                <w:iCs/>
                <w:sz w:val="18"/>
                <w:szCs w:val="18"/>
                <w:lang w:eastAsia="cs-CZ"/>
              </w:rPr>
              <w:t> </w:t>
            </w:r>
            <w:r w:rsidR="00D45B0B">
              <w:rPr>
                <w:rFonts w:ascii="Calibri" w:eastAsia="Times New Roman" w:hAnsi="Calibri" w:cs="Calibri"/>
                <w:b/>
                <w:bCs/>
                <w:i/>
                <w:iCs/>
                <w:sz w:val="18"/>
                <w:szCs w:val="18"/>
                <w:lang w:eastAsia="cs-CZ"/>
              </w:rPr>
              <w:sym w:font="Symbol" w:char="F02D"/>
            </w:r>
            <w:r w:rsidR="00D45B0B">
              <w:rPr>
                <w:rFonts w:ascii="Calibri" w:eastAsia="Times New Roman" w:hAnsi="Calibri" w:cs="Calibri"/>
                <w:b/>
                <w:bCs/>
                <w:i/>
                <w:iCs/>
                <w:sz w:val="18"/>
                <w:szCs w:val="18"/>
                <w:lang w:eastAsia="cs-CZ"/>
              </w:rPr>
              <w:t> </w:t>
            </w:r>
            <w:r w:rsidRPr="001F556D">
              <w:rPr>
                <w:rFonts w:ascii="Calibri" w:eastAsia="Times New Roman" w:hAnsi="Calibri" w:cs="Calibri"/>
                <w:b/>
                <w:bCs/>
                <w:i/>
                <w:iCs/>
                <w:sz w:val="18"/>
                <w:szCs w:val="18"/>
                <w:lang w:eastAsia="cs-CZ"/>
              </w:rPr>
              <w:t>2022</w:t>
            </w:r>
          </w:p>
        </w:tc>
        <w:tc>
          <w:tcPr>
            <w:tcW w:w="518" w:type="dxa"/>
            <w:tcBorders>
              <w:top w:val="nil"/>
              <w:left w:val="nil"/>
              <w:bottom w:val="single" w:sz="4" w:space="0" w:color="auto"/>
              <w:right w:val="single" w:sz="4" w:space="0" w:color="auto"/>
            </w:tcBorders>
            <w:shd w:val="clear" w:color="auto" w:fill="auto"/>
            <w:vAlign w:val="center"/>
            <w:hideMark/>
          </w:tcPr>
          <w:p w14:paraId="24A3D05D"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2019</w:t>
            </w:r>
          </w:p>
        </w:tc>
        <w:tc>
          <w:tcPr>
            <w:tcW w:w="738" w:type="dxa"/>
            <w:tcBorders>
              <w:top w:val="nil"/>
              <w:left w:val="nil"/>
              <w:bottom w:val="single" w:sz="4" w:space="0" w:color="auto"/>
              <w:right w:val="single" w:sz="4" w:space="0" w:color="auto"/>
            </w:tcBorders>
            <w:shd w:val="clear" w:color="auto" w:fill="auto"/>
            <w:vAlign w:val="center"/>
            <w:hideMark/>
          </w:tcPr>
          <w:p w14:paraId="3B7D40F9"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2022</w:t>
            </w:r>
          </w:p>
        </w:tc>
        <w:tc>
          <w:tcPr>
            <w:tcW w:w="4829" w:type="dxa"/>
            <w:tcBorders>
              <w:top w:val="nil"/>
              <w:left w:val="nil"/>
              <w:bottom w:val="single" w:sz="4" w:space="0" w:color="auto"/>
              <w:right w:val="single" w:sz="8" w:space="0" w:color="auto"/>
            </w:tcBorders>
            <w:shd w:val="clear" w:color="auto" w:fill="auto"/>
            <w:vAlign w:val="center"/>
            <w:hideMark/>
          </w:tcPr>
          <w:p w14:paraId="4F326B58" w14:textId="3292351F" w:rsidR="00E37D33" w:rsidRPr="001F556D" w:rsidRDefault="00D6320E" w:rsidP="00E37D33">
            <w:pPr>
              <w:spacing w:before="0"/>
              <w:jc w:val="left"/>
              <w:rPr>
                <w:rFonts w:ascii="Calibri" w:eastAsia="Times New Roman" w:hAnsi="Calibri" w:cs="Calibri"/>
                <w:sz w:val="18"/>
                <w:szCs w:val="18"/>
                <w:lang w:eastAsia="cs-CZ"/>
              </w:rPr>
            </w:pPr>
            <w:r>
              <w:rPr>
                <w:rFonts w:ascii="Calibri" w:eastAsia="Times New Roman" w:hAnsi="Calibri" w:cs="Calibri"/>
                <w:sz w:val="18"/>
                <w:szCs w:val="18"/>
                <w:lang w:eastAsia="cs-CZ"/>
              </w:rPr>
              <w:t>P</w:t>
            </w:r>
            <w:r w:rsidR="00E37D33" w:rsidRPr="001F556D">
              <w:rPr>
                <w:rFonts w:ascii="Calibri" w:eastAsia="Times New Roman" w:hAnsi="Calibri" w:cs="Calibri"/>
                <w:sz w:val="18"/>
                <w:szCs w:val="18"/>
                <w:lang w:eastAsia="cs-CZ"/>
              </w:rPr>
              <w:t>latí od 1.</w:t>
            </w:r>
            <w:r w:rsidR="00D45B0B">
              <w:rPr>
                <w:rFonts w:ascii="Calibri" w:eastAsia="Times New Roman" w:hAnsi="Calibri" w:cs="Calibri"/>
                <w:sz w:val="18"/>
                <w:szCs w:val="18"/>
                <w:lang w:eastAsia="cs-CZ"/>
              </w:rPr>
              <w:t xml:space="preserve"> </w:t>
            </w:r>
            <w:r w:rsidR="00E37D33" w:rsidRPr="001F556D">
              <w:rPr>
                <w:rFonts w:ascii="Calibri" w:eastAsia="Times New Roman" w:hAnsi="Calibri" w:cs="Calibri"/>
                <w:sz w:val="18"/>
                <w:szCs w:val="18"/>
                <w:lang w:eastAsia="cs-CZ"/>
              </w:rPr>
              <w:t>1.</w:t>
            </w:r>
            <w:r w:rsidR="00D45B0B">
              <w:rPr>
                <w:rFonts w:ascii="Calibri" w:eastAsia="Times New Roman" w:hAnsi="Calibri" w:cs="Calibri"/>
                <w:sz w:val="18"/>
                <w:szCs w:val="18"/>
                <w:lang w:eastAsia="cs-CZ"/>
              </w:rPr>
              <w:t xml:space="preserve"> </w:t>
            </w:r>
            <w:r w:rsidR="00E37D33" w:rsidRPr="001F556D">
              <w:rPr>
                <w:rFonts w:ascii="Calibri" w:eastAsia="Times New Roman" w:hAnsi="Calibri" w:cs="Calibri"/>
                <w:sz w:val="18"/>
                <w:szCs w:val="18"/>
                <w:lang w:eastAsia="cs-CZ"/>
              </w:rPr>
              <w:t>2019</w:t>
            </w:r>
            <w:r>
              <w:rPr>
                <w:rFonts w:ascii="Calibri" w:eastAsia="Times New Roman" w:hAnsi="Calibri" w:cs="Calibri"/>
                <w:sz w:val="18"/>
                <w:szCs w:val="18"/>
                <w:lang w:eastAsia="cs-CZ"/>
              </w:rPr>
              <w:t>.</w:t>
            </w:r>
          </w:p>
        </w:tc>
      </w:tr>
      <w:tr w:rsidR="00E37D33" w:rsidRPr="001F556D" w14:paraId="62BBABD4" w14:textId="77777777" w:rsidTr="00E37D33">
        <w:trPr>
          <w:trHeight w:val="1783"/>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0F71E905" w14:textId="1BE1A275" w:rsidR="00E37D33" w:rsidRPr="001F556D" w:rsidRDefault="00E37D33" w:rsidP="00E37D33">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St</w:t>
            </w:r>
            <w:r w:rsidR="00D6320E">
              <w:rPr>
                <w:rFonts w:ascii="Calibri" w:eastAsia="Times New Roman" w:hAnsi="Calibri" w:cs="Calibri"/>
                <w:b/>
                <w:bCs/>
                <w:i/>
                <w:iCs/>
                <w:sz w:val="18"/>
                <w:szCs w:val="18"/>
                <w:lang w:eastAsia="cs-CZ"/>
              </w:rPr>
              <w:t>rat</w:t>
            </w:r>
            <w:r w:rsidRPr="001F556D">
              <w:rPr>
                <w:rFonts w:ascii="Calibri" w:eastAsia="Times New Roman" w:hAnsi="Calibri" w:cs="Calibri"/>
                <w:b/>
                <w:bCs/>
                <w:i/>
                <w:iCs/>
                <w:sz w:val="18"/>
                <w:szCs w:val="18"/>
                <w:lang w:eastAsia="cs-CZ"/>
              </w:rPr>
              <w:t>egický rámec udržitelné městské mobility Zlín a Otrokovice (SUMF)</w:t>
            </w:r>
          </w:p>
        </w:tc>
        <w:tc>
          <w:tcPr>
            <w:tcW w:w="518" w:type="dxa"/>
            <w:tcBorders>
              <w:top w:val="nil"/>
              <w:left w:val="nil"/>
              <w:bottom w:val="single" w:sz="4" w:space="0" w:color="auto"/>
              <w:right w:val="single" w:sz="4" w:space="0" w:color="auto"/>
            </w:tcBorders>
            <w:shd w:val="clear" w:color="auto" w:fill="auto"/>
            <w:noWrap/>
            <w:vAlign w:val="center"/>
            <w:hideMark/>
          </w:tcPr>
          <w:p w14:paraId="200511ED"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2018</w:t>
            </w:r>
          </w:p>
        </w:tc>
        <w:tc>
          <w:tcPr>
            <w:tcW w:w="738" w:type="dxa"/>
            <w:tcBorders>
              <w:top w:val="nil"/>
              <w:left w:val="nil"/>
              <w:bottom w:val="single" w:sz="4" w:space="0" w:color="auto"/>
              <w:right w:val="single" w:sz="4" w:space="0" w:color="auto"/>
            </w:tcBorders>
            <w:shd w:val="clear" w:color="auto" w:fill="auto"/>
            <w:noWrap/>
            <w:vAlign w:val="center"/>
            <w:hideMark/>
          </w:tcPr>
          <w:p w14:paraId="7D8D71E8"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2025</w:t>
            </w:r>
          </w:p>
        </w:tc>
        <w:tc>
          <w:tcPr>
            <w:tcW w:w="4829" w:type="dxa"/>
            <w:tcBorders>
              <w:top w:val="nil"/>
              <w:left w:val="nil"/>
              <w:bottom w:val="single" w:sz="4" w:space="0" w:color="auto"/>
              <w:right w:val="single" w:sz="8" w:space="0" w:color="auto"/>
            </w:tcBorders>
            <w:shd w:val="clear" w:color="000000" w:fill="FFFFFF"/>
            <w:vAlign w:val="center"/>
            <w:hideMark/>
          </w:tcPr>
          <w:p w14:paraId="3657D60E" w14:textId="5D392ABB" w:rsidR="00E37D33" w:rsidRPr="001F556D" w:rsidRDefault="00E37D33" w:rsidP="00D6320E">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Jedná se o strategický dokument nutný jako podklad pro získání dotací EU v oblastech rozvoje veřejné hromadné dopravy,</w:t>
            </w:r>
            <w:r w:rsidR="00D6320E">
              <w:rPr>
                <w:rFonts w:ascii="Calibri" w:eastAsia="Times New Roman" w:hAnsi="Calibri" w:cs="Calibri"/>
                <w:sz w:val="18"/>
                <w:szCs w:val="18"/>
                <w:lang w:eastAsia="cs-CZ"/>
              </w:rPr>
              <w:t xml:space="preserve"> bezmotorové dopravy a dopravně</w:t>
            </w:r>
            <w:r w:rsidRPr="001F556D">
              <w:rPr>
                <w:rFonts w:ascii="Calibri" w:eastAsia="Times New Roman" w:hAnsi="Calibri" w:cs="Calibri"/>
                <w:sz w:val="18"/>
                <w:szCs w:val="18"/>
                <w:lang w:eastAsia="cs-CZ"/>
              </w:rPr>
              <w:t>-bezpečnostních úprav. SUMF je v oblasti veřejné dopravy zpracován pro širší území obsluhované systémem MHD, tj. Zlín, Otrokovice, Tečovice a</w:t>
            </w:r>
            <w:r w:rsidR="00D6320E">
              <w:rPr>
                <w:rFonts w:ascii="Calibri" w:eastAsia="Times New Roman" w:hAnsi="Calibri" w:cs="Calibri"/>
                <w:sz w:val="18"/>
                <w:szCs w:val="18"/>
                <w:lang w:eastAsia="cs-CZ"/>
              </w:rPr>
              <w:t> </w:t>
            </w:r>
            <w:r w:rsidRPr="001F556D">
              <w:rPr>
                <w:rFonts w:ascii="Calibri" w:eastAsia="Times New Roman" w:hAnsi="Calibri" w:cs="Calibri"/>
                <w:sz w:val="18"/>
                <w:szCs w:val="18"/>
                <w:lang w:eastAsia="cs-CZ"/>
              </w:rPr>
              <w:t>Želechovice nad Dřevnicí. Tuto část SUMF schvalovalo rovněž Zastupitelstvo města Otrokovice, č.j. RMO/340/06/18 ze dne 13.</w:t>
            </w:r>
            <w:r w:rsidR="00D6320E">
              <w:rPr>
                <w:rFonts w:ascii="Calibri" w:eastAsia="Times New Roman" w:hAnsi="Calibri" w:cs="Calibri"/>
                <w:sz w:val="18"/>
                <w:szCs w:val="18"/>
                <w:lang w:eastAsia="cs-CZ"/>
              </w:rPr>
              <w:t xml:space="preserve"> </w:t>
            </w:r>
            <w:r w:rsidRPr="001F556D">
              <w:rPr>
                <w:rFonts w:ascii="Calibri" w:eastAsia="Times New Roman" w:hAnsi="Calibri" w:cs="Calibri"/>
                <w:sz w:val="18"/>
                <w:szCs w:val="18"/>
                <w:lang w:eastAsia="cs-CZ"/>
              </w:rPr>
              <w:t>6.</w:t>
            </w:r>
            <w:r w:rsidR="00D6320E">
              <w:rPr>
                <w:rFonts w:ascii="Calibri" w:eastAsia="Times New Roman" w:hAnsi="Calibri" w:cs="Calibri"/>
                <w:sz w:val="18"/>
                <w:szCs w:val="18"/>
                <w:lang w:eastAsia="cs-CZ"/>
              </w:rPr>
              <w:t xml:space="preserve"> </w:t>
            </w:r>
            <w:r w:rsidRPr="001F556D">
              <w:rPr>
                <w:rFonts w:ascii="Calibri" w:eastAsia="Times New Roman" w:hAnsi="Calibri" w:cs="Calibri"/>
                <w:sz w:val="18"/>
                <w:szCs w:val="18"/>
                <w:lang w:eastAsia="cs-CZ"/>
              </w:rPr>
              <w:t>2018. Navrhovaná opatření směřují k roku 2025, výhledovým horizontem je rok 2035.</w:t>
            </w:r>
          </w:p>
        </w:tc>
      </w:tr>
      <w:tr w:rsidR="00E37D33" w:rsidRPr="001F556D" w14:paraId="4DF906DA" w14:textId="77777777" w:rsidTr="00E37D33">
        <w:trPr>
          <w:trHeight w:val="873"/>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54BBCE90" w14:textId="47C4C64C" w:rsidR="00E37D33" w:rsidRPr="001F556D" w:rsidRDefault="00E37D33" w:rsidP="00D6320E">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 xml:space="preserve">Střednědobý plán sociálních služeb na Zlínsku na období let 2020 </w:t>
            </w:r>
            <w:r w:rsidR="00D6320E">
              <w:rPr>
                <w:rFonts w:ascii="Calibri" w:eastAsia="Times New Roman" w:hAnsi="Calibri" w:cs="Calibri"/>
                <w:b/>
                <w:bCs/>
                <w:i/>
                <w:iCs/>
                <w:sz w:val="18"/>
                <w:szCs w:val="18"/>
                <w:lang w:eastAsia="cs-CZ"/>
              </w:rPr>
              <w:sym w:font="Symbol" w:char="F02D"/>
            </w:r>
            <w:r w:rsidRPr="001F556D">
              <w:rPr>
                <w:rFonts w:ascii="Calibri" w:eastAsia="Times New Roman" w:hAnsi="Calibri" w:cs="Calibri"/>
                <w:b/>
                <w:bCs/>
                <w:i/>
                <w:iCs/>
                <w:sz w:val="18"/>
                <w:szCs w:val="18"/>
                <w:lang w:eastAsia="cs-CZ"/>
              </w:rPr>
              <w:t xml:space="preserve"> 2024</w:t>
            </w:r>
          </w:p>
        </w:tc>
        <w:tc>
          <w:tcPr>
            <w:tcW w:w="518" w:type="dxa"/>
            <w:tcBorders>
              <w:top w:val="nil"/>
              <w:left w:val="nil"/>
              <w:bottom w:val="single" w:sz="4" w:space="0" w:color="auto"/>
              <w:right w:val="single" w:sz="4" w:space="0" w:color="auto"/>
            </w:tcBorders>
            <w:shd w:val="clear" w:color="auto" w:fill="auto"/>
            <w:noWrap/>
            <w:vAlign w:val="center"/>
            <w:hideMark/>
          </w:tcPr>
          <w:p w14:paraId="43F04F64"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2020</w:t>
            </w:r>
          </w:p>
        </w:tc>
        <w:tc>
          <w:tcPr>
            <w:tcW w:w="738" w:type="dxa"/>
            <w:tcBorders>
              <w:top w:val="nil"/>
              <w:left w:val="nil"/>
              <w:bottom w:val="single" w:sz="4" w:space="0" w:color="auto"/>
              <w:right w:val="single" w:sz="4" w:space="0" w:color="auto"/>
            </w:tcBorders>
            <w:shd w:val="clear" w:color="auto" w:fill="auto"/>
            <w:noWrap/>
            <w:vAlign w:val="center"/>
            <w:hideMark/>
          </w:tcPr>
          <w:p w14:paraId="75228A70"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2024</w:t>
            </w:r>
          </w:p>
        </w:tc>
        <w:tc>
          <w:tcPr>
            <w:tcW w:w="4829" w:type="dxa"/>
            <w:tcBorders>
              <w:top w:val="nil"/>
              <w:left w:val="nil"/>
              <w:bottom w:val="single" w:sz="4" w:space="0" w:color="auto"/>
              <w:right w:val="single" w:sz="8" w:space="0" w:color="auto"/>
            </w:tcBorders>
            <w:shd w:val="clear" w:color="auto" w:fill="auto"/>
            <w:vAlign w:val="center"/>
            <w:hideMark/>
          </w:tcPr>
          <w:p w14:paraId="4925E618" w14:textId="665FA42C" w:rsidR="00E37D33" w:rsidRPr="001F556D" w:rsidRDefault="00E37D33" w:rsidP="00D6320E">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 xml:space="preserve">Plán sociálních služeb na Zlínsku na období let 2020 </w:t>
            </w:r>
            <w:r w:rsidR="00D6320E">
              <w:rPr>
                <w:rFonts w:ascii="Calibri" w:eastAsia="Times New Roman" w:hAnsi="Calibri" w:cs="Calibri"/>
                <w:sz w:val="18"/>
                <w:szCs w:val="18"/>
                <w:lang w:eastAsia="cs-CZ"/>
              </w:rPr>
              <w:sym w:font="Symbol" w:char="F02D"/>
            </w:r>
            <w:r w:rsidRPr="001F556D">
              <w:rPr>
                <w:rFonts w:ascii="Calibri" w:eastAsia="Times New Roman" w:hAnsi="Calibri" w:cs="Calibri"/>
                <w:sz w:val="18"/>
                <w:szCs w:val="18"/>
                <w:lang w:eastAsia="cs-CZ"/>
              </w:rPr>
              <w:t xml:space="preserve"> 2024, nezbytný dokument pro SMZ a organizace působící v sociálních službách pro jeho občany (podpora projektů - podmínka ZK, MPSV).</w:t>
            </w:r>
          </w:p>
        </w:tc>
      </w:tr>
      <w:tr w:rsidR="00E37D33" w:rsidRPr="001F556D" w14:paraId="5B0A7188" w14:textId="77777777" w:rsidTr="00E37D33">
        <w:trPr>
          <w:trHeight w:val="1405"/>
        </w:trPr>
        <w:tc>
          <w:tcPr>
            <w:tcW w:w="3249" w:type="dxa"/>
            <w:tcBorders>
              <w:top w:val="nil"/>
              <w:left w:val="single" w:sz="4" w:space="0" w:color="auto"/>
              <w:bottom w:val="single" w:sz="4" w:space="0" w:color="auto"/>
              <w:right w:val="single" w:sz="4" w:space="0" w:color="auto"/>
            </w:tcBorders>
            <w:shd w:val="clear" w:color="auto" w:fill="auto"/>
            <w:vAlign w:val="center"/>
            <w:hideMark/>
          </w:tcPr>
          <w:p w14:paraId="6588B4C1" w14:textId="5E80E433" w:rsidR="00E37D33" w:rsidRPr="001F556D" w:rsidRDefault="00E37D33" w:rsidP="00D6320E">
            <w:pPr>
              <w:spacing w:before="0"/>
              <w:jc w:val="left"/>
              <w:rPr>
                <w:rFonts w:ascii="Calibri" w:eastAsia="Times New Roman" w:hAnsi="Calibri" w:cs="Calibri"/>
                <w:b/>
                <w:bCs/>
                <w:i/>
                <w:iCs/>
                <w:sz w:val="18"/>
                <w:szCs w:val="18"/>
                <w:lang w:eastAsia="cs-CZ"/>
              </w:rPr>
            </w:pPr>
            <w:r w:rsidRPr="001F556D">
              <w:rPr>
                <w:rFonts w:ascii="Calibri" w:eastAsia="Times New Roman" w:hAnsi="Calibri" w:cs="Calibri"/>
                <w:b/>
                <w:bCs/>
                <w:i/>
                <w:iCs/>
                <w:sz w:val="18"/>
                <w:szCs w:val="18"/>
                <w:lang w:eastAsia="cs-CZ"/>
              </w:rPr>
              <w:t xml:space="preserve">Informační strategie statutárního města Zlína na období let 2019 </w:t>
            </w:r>
            <w:r w:rsidR="00D6320E">
              <w:rPr>
                <w:rFonts w:ascii="Calibri" w:eastAsia="Times New Roman" w:hAnsi="Calibri" w:cs="Calibri"/>
                <w:b/>
                <w:bCs/>
                <w:i/>
                <w:iCs/>
                <w:sz w:val="18"/>
                <w:szCs w:val="18"/>
                <w:lang w:eastAsia="cs-CZ"/>
              </w:rPr>
              <w:sym w:font="Symbol" w:char="F02D"/>
            </w:r>
            <w:r w:rsidRPr="001F556D">
              <w:rPr>
                <w:rFonts w:ascii="Calibri" w:eastAsia="Times New Roman" w:hAnsi="Calibri" w:cs="Calibri"/>
                <w:b/>
                <w:bCs/>
                <w:i/>
                <w:iCs/>
                <w:sz w:val="18"/>
                <w:szCs w:val="18"/>
                <w:lang w:eastAsia="cs-CZ"/>
              </w:rPr>
              <w:t xml:space="preserve"> 2024</w:t>
            </w:r>
          </w:p>
        </w:tc>
        <w:tc>
          <w:tcPr>
            <w:tcW w:w="518" w:type="dxa"/>
            <w:tcBorders>
              <w:top w:val="nil"/>
              <w:left w:val="nil"/>
              <w:bottom w:val="single" w:sz="4" w:space="0" w:color="auto"/>
              <w:right w:val="single" w:sz="4" w:space="0" w:color="auto"/>
            </w:tcBorders>
            <w:shd w:val="clear" w:color="000000" w:fill="FFFFFF"/>
            <w:vAlign w:val="center"/>
            <w:hideMark/>
          </w:tcPr>
          <w:p w14:paraId="488B4EF7"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2019</w:t>
            </w:r>
          </w:p>
        </w:tc>
        <w:tc>
          <w:tcPr>
            <w:tcW w:w="738" w:type="dxa"/>
            <w:tcBorders>
              <w:top w:val="nil"/>
              <w:left w:val="nil"/>
              <w:bottom w:val="single" w:sz="4" w:space="0" w:color="auto"/>
              <w:right w:val="single" w:sz="4" w:space="0" w:color="auto"/>
            </w:tcBorders>
            <w:shd w:val="clear" w:color="000000" w:fill="FFFFFF"/>
            <w:vAlign w:val="center"/>
            <w:hideMark/>
          </w:tcPr>
          <w:p w14:paraId="2361476D" w14:textId="77777777" w:rsidR="00E37D33" w:rsidRPr="001F556D" w:rsidRDefault="00E37D33" w:rsidP="00E37D33">
            <w:pPr>
              <w:spacing w:before="0"/>
              <w:jc w:val="center"/>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2024</w:t>
            </w:r>
          </w:p>
        </w:tc>
        <w:tc>
          <w:tcPr>
            <w:tcW w:w="4829" w:type="dxa"/>
            <w:tcBorders>
              <w:top w:val="nil"/>
              <w:left w:val="nil"/>
              <w:bottom w:val="single" w:sz="4" w:space="0" w:color="auto"/>
              <w:right w:val="single" w:sz="8" w:space="0" w:color="auto"/>
            </w:tcBorders>
            <w:shd w:val="clear" w:color="000000" w:fill="FFFFFF"/>
            <w:vAlign w:val="center"/>
            <w:hideMark/>
          </w:tcPr>
          <w:p w14:paraId="65FDF770" w14:textId="754BC05C" w:rsidR="00E37D33" w:rsidRPr="001F556D" w:rsidRDefault="00E37D33" w:rsidP="00D6320E">
            <w:pPr>
              <w:spacing w:before="0"/>
              <w:jc w:val="left"/>
              <w:rPr>
                <w:rFonts w:ascii="Calibri" w:eastAsia="Times New Roman" w:hAnsi="Calibri" w:cs="Calibri"/>
                <w:sz w:val="18"/>
                <w:szCs w:val="18"/>
                <w:lang w:eastAsia="cs-CZ"/>
              </w:rPr>
            </w:pPr>
            <w:r w:rsidRPr="001F556D">
              <w:rPr>
                <w:rFonts w:ascii="Calibri" w:eastAsia="Times New Roman" w:hAnsi="Calibri" w:cs="Calibri"/>
                <w:sz w:val="18"/>
                <w:szCs w:val="18"/>
                <w:lang w:eastAsia="cs-CZ"/>
              </w:rPr>
              <w:t xml:space="preserve">Aktuální Informační koncepce SMZ obsahuje řadu návrhů rozvoje ICT technologií pro potřeby města a jeho obyvatele. Rozvoj ICT technologií představuje jednu ze základních priorit financování Kohezní politiky EU v programovém období 2014 </w:t>
            </w:r>
            <w:r w:rsidR="00D6320E">
              <w:rPr>
                <w:rFonts w:ascii="Calibri" w:eastAsia="Times New Roman" w:hAnsi="Calibri" w:cs="Calibri"/>
                <w:sz w:val="18"/>
                <w:szCs w:val="18"/>
                <w:lang w:eastAsia="cs-CZ"/>
              </w:rPr>
              <w:sym w:font="Symbol" w:char="F02D"/>
            </w:r>
            <w:r w:rsidRPr="001F556D">
              <w:rPr>
                <w:rFonts w:ascii="Calibri" w:eastAsia="Times New Roman" w:hAnsi="Calibri" w:cs="Calibri"/>
                <w:sz w:val="18"/>
                <w:szCs w:val="18"/>
                <w:lang w:eastAsia="cs-CZ"/>
              </w:rPr>
              <w:t xml:space="preserve"> 2020. Z tohoto důvodu bude strategie využita jako podklad pro čerpání dotací EU v období 2014+. Aktualizace se provádí dle požadavku zákona.</w:t>
            </w:r>
          </w:p>
        </w:tc>
      </w:tr>
    </w:tbl>
    <w:p w14:paraId="3B94AED2" w14:textId="7E2A0A2A" w:rsidR="00E37D33" w:rsidRDefault="00E37D33" w:rsidP="00E37D33">
      <w:pPr>
        <w:pStyle w:val="Zdroj"/>
      </w:pPr>
      <w:r>
        <w:t xml:space="preserve">Zdroj: MMZ, </w:t>
      </w:r>
      <w:r w:rsidRPr="00550D85">
        <w:t>Oddělení koordinace projektů</w:t>
      </w:r>
      <w:r w:rsidRPr="0043096E">
        <w:t>, 2020</w:t>
      </w:r>
      <w:r w:rsidR="00D6320E">
        <w:t>.</w:t>
      </w:r>
    </w:p>
    <w:p w14:paraId="15B67464" w14:textId="139BCC50" w:rsidR="00E60FC1" w:rsidRDefault="00E60FC1">
      <w:pPr>
        <w:spacing w:before="0" w:after="160" w:line="259" w:lineRule="auto"/>
        <w:jc w:val="left"/>
        <w:rPr>
          <w:rFonts w:eastAsia="Times New Roman" w:cs="Times New Roman"/>
          <w:i/>
          <w:sz w:val="18"/>
          <w:szCs w:val="24"/>
          <w:lang w:eastAsia="cs-CZ"/>
        </w:rPr>
      </w:pPr>
      <w:r>
        <w:br w:type="page"/>
      </w:r>
    </w:p>
    <w:p w14:paraId="6C6DD341" w14:textId="2A6C106F" w:rsidR="006448F0" w:rsidRDefault="006448F0" w:rsidP="00B55FB4">
      <w:pPr>
        <w:pStyle w:val="Nadpis2"/>
      </w:pPr>
      <w:bookmarkStart w:id="534" w:name="_Toc77074615"/>
      <w:r>
        <w:lastRenderedPageBreak/>
        <w:t>Seznam tabulek</w:t>
      </w:r>
      <w:bookmarkEnd w:id="534"/>
    </w:p>
    <w:p w14:paraId="1E4F03FD" w14:textId="77777777" w:rsidR="00332A29" w:rsidRDefault="008F3784">
      <w:pPr>
        <w:pStyle w:val="Seznamobrzk"/>
        <w:tabs>
          <w:tab w:val="right" w:leader="dot" w:pos="9062"/>
        </w:tabs>
        <w:rPr>
          <w:rFonts w:eastAsiaTheme="minorEastAsia"/>
          <w:noProof/>
          <w:lang w:eastAsia="cs-CZ"/>
        </w:rPr>
      </w:pPr>
      <w:r>
        <w:fldChar w:fldCharType="begin"/>
      </w:r>
      <w:r>
        <w:instrText xml:space="preserve"> TOC \h \z \c "Tabulka" </w:instrText>
      </w:r>
      <w:r>
        <w:fldChar w:fldCharType="separate"/>
      </w:r>
      <w:hyperlink w:anchor="_Toc77074681" w:history="1">
        <w:r w:rsidR="00332A29" w:rsidRPr="00AA209F">
          <w:rPr>
            <w:rStyle w:val="Hypertextovodkaz"/>
            <w:noProof/>
          </w:rPr>
          <w:t>Tabulka 1.1: Vymezení rozvojové oblasti Zlín</w:t>
        </w:r>
        <w:r w:rsidR="00332A29">
          <w:rPr>
            <w:noProof/>
            <w:webHidden/>
          </w:rPr>
          <w:tab/>
        </w:r>
        <w:r w:rsidR="00332A29">
          <w:rPr>
            <w:noProof/>
            <w:webHidden/>
          </w:rPr>
          <w:fldChar w:fldCharType="begin"/>
        </w:r>
        <w:r w:rsidR="00332A29">
          <w:rPr>
            <w:noProof/>
            <w:webHidden/>
          </w:rPr>
          <w:instrText xml:space="preserve"> PAGEREF _Toc77074681 \h </w:instrText>
        </w:r>
        <w:r w:rsidR="00332A29">
          <w:rPr>
            <w:noProof/>
            <w:webHidden/>
          </w:rPr>
        </w:r>
        <w:r w:rsidR="00332A29">
          <w:rPr>
            <w:noProof/>
            <w:webHidden/>
          </w:rPr>
          <w:fldChar w:fldCharType="separate"/>
        </w:r>
        <w:r w:rsidR="00332A29">
          <w:rPr>
            <w:noProof/>
            <w:webHidden/>
          </w:rPr>
          <w:t>11</w:t>
        </w:r>
        <w:r w:rsidR="00332A29">
          <w:rPr>
            <w:noProof/>
            <w:webHidden/>
          </w:rPr>
          <w:fldChar w:fldCharType="end"/>
        </w:r>
      </w:hyperlink>
    </w:p>
    <w:p w14:paraId="5858D62D" w14:textId="77777777" w:rsidR="00332A29" w:rsidRDefault="00183F7E">
      <w:pPr>
        <w:pStyle w:val="Seznamobrzk"/>
        <w:tabs>
          <w:tab w:val="right" w:leader="dot" w:pos="9062"/>
        </w:tabs>
        <w:rPr>
          <w:rFonts w:eastAsiaTheme="minorEastAsia"/>
          <w:noProof/>
          <w:lang w:eastAsia="cs-CZ"/>
        </w:rPr>
      </w:pPr>
      <w:hyperlink w:anchor="_Toc77074682" w:history="1">
        <w:r w:rsidR="00332A29" w:rsidRPr="00AA209F">
          <w:rPr>
            <w:rStyle w:val="Hypertextovodkaz"/>
            <w:noProof/>
          </w:rPr>
          <w:t>Tabulka 1.2: Výčet obcí zahrnutých do rozvojové oblasti Zlín dle ZÚR</w:t>
        </w:r>
        <w:r w:rsidR="00332A29">
          <w:rPr>
            <w:noProof/>
            <w:webHidden/>
          </w:rPr>
          <w:tab/>
        </w:r>
        <w:r w:rsidR="00332A29">
          <w:rPr>
            <w:noProof/>
            <w:webHidden/>
          </w:rPr>
          <w:fldChar w:fldCharType="begin"/>
        </w:r>
        <w:r w:rsidR="00332A29">
          <w:rPr>
            <w:noProof/>
            <w:webHidden/>
          </w:rPr>
          <w:instrText xml:space="preserve"> PAGEREF _Toc77074682 \h </w:instrText>
        </w:r>
        <w:r w:rsidR="00332A29">
          <w:rPr>
            <w:noProof/>
            <w:webHidden/>
          </w:rPr>
        </w:r>
        <w:r w:rsidR="00332A29">
          <w:rPr>
            <w:noProof/>
            <w:webHidden/>
          </w:rPr>
          <w:fldChar w:fldCharType="separate"/>
        </w:r>
        <w:r w:rsidR="00332A29">
          <w:rPr>
            <w:noProof/>
            <w:webHidden/>
          </w:rPr>
          <w:t>12</w:t>
        </w:r>
        <w:r w:rsidR="00332A29">
          <w:rPr>
            <w:noProof/>
            <w:webHidden/>
          </w:rPr>
          <w:fldChar w:fldCharType="end"/>
        </w:r>
      </w:hyperlink>
    </w:p>
    <w:p w14:paraId="631D714F" w14:textId="77777777" w:rsidR="00332A29" w:rsidRDefault="00183F7E">
      <w:pPr>
        <w:pStyle w:val="Seznamobrzk"/>
        <w:tabs>
          <w:tab w:val="right" w:leader="dot" w:pos="9062"/>
        </w:tabs>
        <w:rPr>
          <w:rFonts w:eastAsiaTheme="minorEastAsia"/>
          <w:noProof/>
          <w:lang w:eastAsia="cs-CZ"/>
        </w:rPr>
      </w:pPr>
      <w:hyperlink w:anchor="_Toc77074683" w:history="1">
        <w:r w:rsidR="00332A29" w:rsidRPr="00AA209F">
          <w:rPr>
            <w:rStyle w:val="Hypertextovodkaz"/>
            <w:noProof/>
          </w:rPr>
          <w:t>Tabulka 1.3: Srovnání základních charakteristik vymezení Zlínské aglomerace v letech 2014 a 2019</w:t>
        </w:r>
        <w:r w:rsidR="00332A29">
          <w:rPr>
            <w:noProof/>
            <w:webHidden/>
          </w:rPr>
          <w:tab/>
        </w:r>
        <w:r w:rsidR="00332A29">
          <w:rPr>
            <w:noProof/>
            <w:webHidden/>
          </w:rPr>
          <w:fldChar w:fldCharType="begin"/>
        </w:r>
        <w:r w:rsidR="00332A29">
          <w:rPr>
            <w:noProof/>
            <w:webHidden/>
          </w:rPr>
          <w:instrText xml:space="preserve"> PAGEREF _Toc77074683 \h </w:instrText>
        </w:r>
        <w:r w:rsidR="00332A29">
          <w:rPr>
            <w:noProof/>
            <w:webHidden/>
          </w:rPr>
        </w:r>
        <w:r w:rsidR="00332A29">
          <w:rPr>
            <w:noProof/>
            <w:webHidden/>
          </w:rPr>
          <w:fldChar w:fldCharType="separate"/>
        </w:r>
        <w:r w:rsidR="00332A29">
          <w:rPr>
            <w:noProof/>
            <w:webHidden/>
          </w:rPr>
          <w:t>12</w:t>
        </w:r>
        <w:r w:rsidR="00332A29">
          <w:rPr>
            <w:noProof/>
            <w:webHidden/>
          </w:rPr>
          <w:fldChar w:fldCharType="end"/>
        </w:r>
      </w:hyperlink>
    </w:p>
    <w:p w14:paraId="7B90D24A" w14:textId="77777777" w:rsidR="00332A29" w:rsidRDefault="00183F7E">
      <w:pPr>
        <w:pStyle w:val="Seznamobrzk"/>
        <w:tabs>
          <w:tab w:val="right" w:leader="dot" w:pos="9062"/>
        </w:tabs>
        <w:rPr>
          <w:rFonts w:eastAsiaTheme="minorEastAsia"/>
          <w:noProof/>
          <w:lang w:eastAsia="cs-CZ"/>
        </w:rPr>
      </w:pPr>
      <w:hyperlink w:anchor="_Toc77074684" w:history="1">
        <w:r w:rsidR="00332A29" w:rsidRPr="00AA209F">
          <w:rPr>
            <w:rStyle w:val="Hypertextovodkaz"/>
            <w:noProof/>
          </w:rPr>
          <w:t>Tabulka 1.4: Vybrané projekty významných staveb a revitalizace veřejného prostoru ve Zlíně od roku 2010</w:t>
        </w:r>
        <w:r w:rsidR="00332A29">
          <w:rPr>
            <w:noProof/>
            <w:webHidden/>
          </w:rPr>
          <w:tab/>
        </w:r>
        <w:r w:rsidR="00332A29">
          <w:rPr>
            <w:noProof/>
            <w:webHidden/>
          </w:rPr>
          <w:fldChar w:fldCharType="begin"/>
        </w:r>
        <w:r w:rsidR="00332A29">
          <w:rPr>
            <w:noProof/>
            <w:webHidden/>
          </w:rPr>
          <w:instrText xml:space="preserve"> PAGEREF _Toc77074684 \h </w:instrText>
        </w:r>
        <w:r w:rsidR="00332A29">
          <w:rPr>
            <w:noProof/>
            <w:webHidden/>
          </w:rPr>
        </w:r>
        <w:r w:rsidR="00332A29">
          <w:rPr>
            <w:noProof/>
            <w:webHidden/>
          </w:rPr>
          <w:fldChar w:fldCharType="separate"/>
        </w:r>
        <w:r w:rsidR="00332A29">
          <w:rPr>
            <w:noProof/>
            <w:webHidden/>
          </w:rPr>
          <w:t>18</w:t>
        </w:r>
        <w:r w:rsidR="00332A29">
          <w:rPr>
            <w:noProof/>
            <w:webHidden/>
          </w:rPr>
          <w:fldChar w:fldCharType="end"/>
        </w:r>
      </w:hyperlink>
    </w:p>
    <w:p w14:paraId="7DE064FA" w14:textId="77777777" w:rsidR="00332A29" w:rsidRDefault="00183F7E">
      <w:pPr>
        <w:pStyle w:val="Seznamobrzk"/>
        <w:tabs>
          <w:tab w:val="right" w:leader="dot" w:pos="9062"/>
        </w:tabs>
        <w:rPr>
          <w:rFonts w:eastAsiaTheme="minorEastAsia"/>
          <w:noProof/>
          <w:lang w:eastAsia="cs-CZ"/>
        </w:rPr>
      </w:pPr>
      <w:hyperlink w:anchor="_Toc77074685" w:history="1">
        <w:r w:rsidR="00332A29" w:rsidRPr="00AA209F">
          <w:rPr>
            <w:rStyle w:val="Hypertextovodkaz"/>
            <w:noProof/>
          </w:rPr>
          <w:t xml:space="preserve">Tabulka 1.5: </w:t>
        </w:r>
        <w:r w:rsidR="00332A29" w:rsidRPr="00AA209F">
          <w:rPr>
            <w:rStyle w:val="Hypertextovodkaz"/>
            <w:rFonts w:ascii="Calibri" w:eastAsia="Times New Roman" w:hAnsi="Calibri" w:cs="Calibri"/>
            <w:bCs/>
            <w:noProof/>
            <w:lang w:eastAsia="cs-CZ"/>
          </w:rPr>
          <w:t>Umeå - příklad rozvoje města založeného na podpoře vzdělání a znalostní ekonomiky</w:t>
        </w:r>
        <w:r w:rsidR="00332A29">
          <w:rPr>
            <w:noProof/>
            <w:webHidden/>
          </w:rPr>
          <w:tab/>
        </w:r>
        <w:r w:rsidR="00332A29">
          <w:rPr>
            <w:noProof/>
            <w:webHidden/>
          </w:rPr>
          <w:fldChar w:fldCharType="begin"/>
        </w:r>
        <w:r w:rsidR="00332A29">
          <w:rPr>
            <w:noProof/>
            <w:webHidden/>
          </w:rPr>
          <w:instrText xml:space="preserve"> PAGEREF _Toc77074685 \h </w:instrText>
        </w:r>
        <w:r w:rsidR="00332A29">
          <w:rPr>
            <w:noProof/>
            <w:webHidden/>
          </w:rPr>
        </w:r>
        <w:r w:rsidR="00332A29">
          <w:rPr>
            <w:noProof/>
            <w:webHidden/>
          </w:rPr>
          <w:fldChar w:fldCharType="separate"/>
        </w:r>
        <w:r w:rsidR="00332A29">
          <w:rPr>
            <w:noProof/>
            <w:webHidden/>
          </w:rPr>
          <w:t>23</w:t>
        </w:r>
        <w:r w:rsidR="00332A29">
          <w:rPr>
            <w:noProof/>
            <w:webHidden/>
          </w:rPr>
          <w:fldChar w:fldCharType="end"/>
        </w:r>
      </w:hyperlink>
    </w:p>
    <w:p w14:paraId="248ED404" w14:textId="77777777" w:rsidR="00332A29" w:rsidRDefault="00183F7E">
      <w:pPr>
        <w:pStyle w:val="Seznamobrzk"/>
        <w:tabs>
          <w:tab w:val="right" w:leader="dot" w:pos="9062"/>
        </w:tabs>
        <w:rPr>
          <w:rFonts w:eastAsiaTheme="minorEastAsia"/>
          <w:noProof/>
          <w:lang w:eastAsia="cs-CZ"/>
        </w:rPr>
      </w:pPr>
      <w:hyperlink w:anchor="_Toc77074686" w:history="1">
        <w:r w:rsidR="00332A29" w:rsidRPr="00AA209F">
          <w:rPr>
            <w:rStyle w:val="Hypertextovodkaz"/>
            <w:noProof/>
          </w:rPr>
          <w:t>Tabulka 1.6: Srovnání vybraných měst podle vzdělanostní struktury (k 26. 3. 2011)</w:t>
        </w:r>
        <w:r w:rsidR="00332A29">
          <w:rPr>
            <w:noProof/>
            <w:webHidden/>
          </w:rPr>
          <w:tab/>
        </w:r>
        <w:r w:rsidR="00332A29">
          <w:rPr>
            <w:noProof/>
            <w:webHidden/>
          </w:rPr>
          <w:fldChar w:fldCharType="begin"/>
        </w:r>
        <w:r w:rsidR="00332A29">
          <w:rPr>
            <w:noProof/>
            <w:webHidden/>
          </w:rPr>
          <w:instrText xml:space="preserve"> PAGEREF _Toc77074686 \h </w:instrText>
        </w:r>
        <w:r w:rsidR="00332A29">
          <w:rPr>
            <w:noProof/>
            <w:webHidden/>
          </w:rPr>
        </w:r>
        <w:r w:rsidR="00332A29">
          <w:rPr>
            <w:noProof/>
            <w:webHidden/>
          </w:rPr>
          <w:fldChar w:fldCharType="separate"/>
        </w:r>
        <w:r w:rsidR="00332A29">
          <w:rPr>
            <w:noProof/>
            <w:webHidden/>
          </w:rPr>
          <w:t>34</w:t>
        </w:r>
        <w:r w:rsidR="00332A29">
          <w:rPr>
            <w:noProof/>
            <w:webHidden/>
          </w:rPr>
          <w:fldChar w:fldCharType="end"/>
        </w:r>
      </w:hyperlink>
    </w:p>
    <w:p w14:paraId="16686769" w14:textId="77777777" w:rsidR="00332A29" w:rsidRDefault="00183F7E">
      <w:pPr>
        <w:pStyle w:val="Seznamobrzk"/>
        <w:tabs>
          <w:tab w:val="right" w:leader="dot" w:pos="9062"/>
        </w:tabs>
        <w:rPr>
          <w:rFonts w:eastAsiaTheme="minorEastAsia"/>
          <w:noProof/>
          <w:lang w:eastAsia="cs-CZ"/>
        </w:rPr>
      </w:pPr>
      <w:hyperlink w:anchor="_Toc77074687" w:history="1">
        <w:r w:rsidR="00332A29" w:rsidRPr="00AA209F">
          <w:rPr>
            <w:rStyle w:val="Hypertextovodkaz"/>
            <w:noProof/>
          </w:rPr>
          <w:t>Tabulka 1.7: Obydlené domy s byty podle období výstavby nebo rekonstrukce domu</w:t>
        </w:r>
        <w:r w:rsidR="00332A29">
          <w:rPr>
            <w:noProof/>
            <w:webHidden/>
          </w:rPr>
          <w:tab/>
        </w:r>
        <w:r w:rsidR="00332A29">
          <w:rPr>
            <w:noProof/>
            <w:webHidden/>
          </w:rPr>
          <w:fldChar w:fldCharType="begin"/>
        </w:r>
        <w:r w:rsidR="00332A29">
          <w:rPr>
            <w:noProof/>
            <w:webHidden/>
          </w:rPr>
          <w:instrText xml:space="preserve"> PAGEREF _Toc77074687 \h </w:instrText>
        </w:r>
        <w:r w:rsidR="00332A29">
          <w:rPr>
            <w:noProof/>
            <w:webHidden/>
          </w:rPr>
        </w:r>
        <w:r w:rsidR="00332A29">
          <w:rPr>
            <w:noProof/>
            <w:webHidden/>
          </w:rPr>
          <w:fldChar w:fldCharType="separate"/>
        </w:r>
        <w:r w:rsidR="00332A29">
          <w:rPr>
            <w:noProof/>
            <w:webHidden/>
          </w:rPr>
          <w:t>37</w:t>
        </w:r>
        <w:r w:rsidR="00332A29">
          <w:rPr>
            <w:noProof/>
            <w:webHidden/>
          </w:rPr>
          <w:fldChar w:fldCharType="end"/>
        </w:r>
      </w:hyperlink>
    </w:p>
    <w:p w14:paraId="3E53E556" w14:textId="77777777" w:rsidR="00332A29" w:rsidRDefault="00183F7E">
      <w:pPr>
        <w:pStyle w:val="Seznamobrzk"/>
        <w:tabs>
          <w:tab w:val="right" w:leader="dot" w:pos="9062"/>
        </w:tabs>
        <w:rPr>
          <w:rFonts w:eastAsiaTheme="minorEastAsia"/>
          <w:noProof/>
          <w:lang w:eastAsia="cs-CZ"/>
        </w:rPr>
      </w:pPr>
      <w:hyperlink w:anchor="_Toc77074688" w:history="1">
        <w:r w:rsidR="00332A29" w:rsidRPr="00AA209F">
          <w:rPr>
            <w:rStyle w:val="Hypertextovodkaz"/>
            <w:noProof/>
          </w:rPr>
          <w:t xml:space="preserve">Tabulka 1.8: Dokončené byty ve Zlíně v letech 2015 </w:t>
        </w:r>
        <w:r w:rsidR="00332A29" w:rsidRPr="00AA209F">
          <w:rPr>
            <w:rStyle w:val="Hypertextovodkaz"/>
            <w:noProof/>
          </w:rPr>
          <w:sym w:font="Symbol" w:char="F02D"/>
        </w:r>
        <w:r w:rsidR="00332A29" w:rsidRPr="00AA209F">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_Toc77074688 \h </w:instrText>
        </w:r>
        <w:r w:rsidR="00332A29">
          <w:rPr>
            <w:noProof/>
            <w:webHidden/>
          </w:rPr>
        </w:r>
        <w:r w:rsidR="00332A29">
          <w:rPr>
            <w:noProof/>
            <w:webHidden/>
          </w:rPr>
          <w:fldChar w:fldCharType="separate"/>
        </w:r>
        <w:r w:rsidR="00332A29">
          <w:rPr>
            <w:noProof/>
            <w:webHidden/>
          </w:rPr>
          <w:t>38</w:t>
        </w:r>
        <w:r w:rsidR="00332A29">
          <w:rPr>
            <w:noProof/>
            <w:webHidden/>
          </w:rPr>
          <w:fldChar w:fldCharType="end"/>
        </w:r>
      </w:hyperlink>
    </w:p>
    <w:p w14:paraId="3391E4F1" w14:textId="77777777" w:rsidR="00332A29" w:rsidRDefault="00183F7E">
      <w:pPr>
        <w:pStyle w:val="Seznamobrzk"/>
        <w:tabs>
          <w:tab w:val="right" w:leader="dot" w:pos="9062"/>
        </w:tabs>
        <w:rPr>
          <w:rFonts w:eastAsiaTheme="minorEastAsia"/>
          <w:noProof/>
          <w:lang w:eastAsia="cs-CZ"/>
        </w:rPr>
      </w:pPr>
      <w:hyperlink w:anchor="_Toc77074689" w:history="1">
        <w:r w:rsidR="00332A29" w:rsidRPr="00AA209F">
          <w:rPr>
            <w:rStyle w:val="Hypertextovodkaz"/>
            <w:noProof/>
          </w:rPr>
          <w:t>Tabulka 1.9: Rozložení bytového fondu dle počtu bydlících osob ve městě Zlín k 26. 3. 2011</w:t>
        </w:r>
        <w:r w:rsidR="00332A29">
          <w:rPr>
            <w:noProof/>
            <w:webHidden/>
          </w:rPr>
          <w:tab/>
        </w:r>
        <w:r w:rsidR="00332A29">
          <w:rPr>
            <w:noProof/>
            <w:webHidden/>
          </w:rPr>
          <w:fldChar w:fldCharType="begin"/>
        </w:r>
        <w:r w:rsidR="00332A29">
          <w:rPr>
            <w:noProof/>
            <w:webHidden/>
          </w:rPr>
          <w:instrText xml:space="preserve"> PAGEREF _Toc77074689 \h </w:instrText>
        </w:r>
        <w:r w:rsidR="00332A29">
          <w:rPr>
            <w:noProof/>
            <w:webHidden/>
          </w:rPr>
        </w:r>
        <w:r w:rsidR="00332A29">
          <w:rPr>
            <w:noProof/>
            <w:webHidden/>
          </w:rPr>
          <w:fldChar w:fldCharType="separate"/>
        </w:r>
        <w:r w:rsidR="00332A29">
          <w:rPr>
            <w:noProof/>
            <w:webHidden/>
          </w:rPr>
          <w:t>38</w:t>
        </w:r>
        <w:r w:rsidR="00332A29">
          <w:rPr>
            <w:noProof/>
            <w:webHidden/>
          </w:rPr>
          <w:fldChar w:fldCharType="end"/>
        </w:r>
      </w:hyperlink>
    </w:p>
    <w:p w14:paraId="7F08BD13" w14:textId="77777777" w:rsidR="00332A29" w:rsidRDefault="00183F7E">
      <w:pPr>
        <w:pStyle w:val="Seznamobrzk"/>
        <w:tabs>
          <w:tab w:val="right" w:leader="dot" w:pos="9062"/>
        </w:tabs>
        <w:rPr>
          <w:rFonts w:eastAsiaTheme="minorEastAsia"/>
          <w:noProof/>
          <w:lang w:eastAsia="cs-CZ"/>
        </w:rPr>
      </w:pPr>
      <w:hyperlink w:anchor="_Toc77074690" w:history="1">
        <w:r w:rsidR="00332A29" w:rsidRPr="00AA209F">
          <w:rPr>
            <w:rStyle w:val="Hypertextovodkaz"/>
            <w:noProof/>
          </w:rPr>
          <w:t>Tabulka 1.10: Rozložení domovního fondu ve městě Zlín k 26. 3. 2011</w:t>
        </w:r>
        <w:r w:rsidR="00332A29">
          <w:rPr>
            <w:noProof/>
            <w:webHidden/>
          </w:rPr>
          <w:tab/>
        </w:r>
        <w:r w:rsidR="00332A29">
          <w:rPr>
            <w:noProof/>
            <w:webHidden/>
          </w:rPr>
          <w:fldChar w:fldCharType="begin"/>
        </w:r>
        <w:r w:rsidR="00332A29">
          <w:rPr>
            <w:noProof/>
            <w:webHidden/>
          </w:rPr>
          <w:instrText xml:space="preserve"> PAGEREF _Toc77074690 \h </w:instrText>
        </w:r>
        <w:r w:rsidR="00332A29">
          <w:rPr>
            <w:noProof/>
            <w:webHidden/>
          </w:rPr>
        </w:r>
        <w:r w:rsidR="00332A29">
          <w:rPr>
            <w:noProof/>
            <w:webHidden/>
          </w:rPr>
          <w:fldChar w:fldCharType="separate"/>
        </w:r>
        <w:r w:rsidR="00332A29">
          <w:rPr>
            <w:noProof/>
            <w:webHidden/>
          </w:rPr>
          <w:t>39</w:t>
        </w:r>
        <w:r w:rsidR="00332A29">
          <w:rPr>
            <w:noProof/>
            <w:webHidden/>
          </w:rPr>
          <w:fldChar w:fldCharType="end"/>
        </w:r>
      </w:hyperlink>
    </w:p>
    <w:p w14:paraId="0D4A85B4" w14:textId="77777777" w:rsidR="00332A29" w:rsidRDefault="00183F7E">
      <w:pPr>
        <w:pStyle w:val="Seznamobrzk"/>
        <w:tabs>
          <w:tab w:val="right" w:leader="dot" w:pos="9062"/>
        </w:tabs>
        <w:rPr>
          <w:rFonts w:eastAsiaTheme="minorEastAsia"/>
          <w:noProof/>
          <w:lang w:eastAsia="cs-CZ"/>
        </w:rPr>
      </w:pPr>
      <w:hyperlink w:anchor="_Toc77074691" w:history="1">
        <w:r w:rsidR="00332A29" w:rsidRPr="00AA209F">
          <w:rPr>
            <w:rStyle w:val="Hypertextovodkaz"/>
            <w:noProof/>
          </w:rPr>
          <w:t>Tabulka 1.11: Domácnosti v bytech podle počtu členů a typu domácnosti ve městě Zlín k 26. 3. 2011</w:t>
        </w:r>
        <w:r w:rsidR="00332A29">
          <w:rPr>
            <w:noProof/>
            <w:webHidden/>
          </w:rPr>
          <w:tab/>
        </w:r>
        <w:r w:rsidR="00332A29">
          <w:rPr>
            <w:noProof/>
            <w:webHidden/>
          </w:rPr>
          <w:fldChar w:fldCharType="begin"/>
        </w:r>
        <w:r w:rsidR="00332A29">
          <w:rPr>
            <w:noProof/>
            <w:webHidden/>
          </w:rPr>
          <w:instrText xml:space="preserve"> PAGEREF _Toc77074691 \h </w:instrText>
        </w:r>
        <w:r w:rsidR="00332A29">
          <w:rPr>
            <w:noProof/>
            <w:webHidden/>
          </w:rPr>
        </w:r>
        <w:r w:rsidR="00332A29">
          <w:rPr>
            <w:noProof/>
            <w:webHidden/>
          </w:rPr>
          <w:fldChar w:fldCharType="separate"/>
        </w:r>
        <w:r w:rsidR="00332A29">
          <w:rPr>
            <w:noProof/>
            <w:webHidden/>
          </w:rPr>
          <w:t>40</w:t>
        </w:r>
        <w:r w:rsidR="00332A29">
          <w:rPr>
            <w:noProof/>
            <w:webHidden/>
          </w:rPr>
          <w:fldChar w:fldCharType="end"/>
        </w:r>
      </w:hyperlink>
    </w:p>
    <w:p w14:paraId="7EF81158" w14:textId="77777777" w:rsidR="00332A29" w:rsidRDefault="00183F7E">
      <w:pPr>
        <w:pStyle w:val="Seznamobrzk"/>
        <w:tabs>
          <w:tab w:val="right" w:leader="dot" w:pos="9062"/>
        </w:tabs>
        <w:rPr>
          <w:rFonts w:eastAsiaTheme="minorEastAsia"/>
          <w:noProof/>
          <w:lang w:eastAsia="cs-CZ"/>
        </w:rPr>
      </w:pPr>
      <w:hyperlink w:anchor="_Toc77074692" w:history="1">
        <w:r w:rsidR="00332A29" w:rsidRPr="00AA209F">
          <w:rPr>
            <w:rStyle w:val="Hypertextovodkaz"/>
            <w:noProof/>
          </w:rPr>
          <w:t>Tabulka 1.12: Vývoj počtu bytů v bytovém fondu města Zlína od r. 2015</w:t>
        </w:r>
        <w:r w:rsidR="00332A29">
          <w:rPr>
            <w:noProof/>
            <w:webHidden/>
          </w:rPr>
          <w:tab/>
        </w:r>
        <w:r w:rsidR="00332A29">
          <w:rPr>
            <w:noProof/>
            <w:webHidden/>
          </w:rPr>
          <w:fldChar w:fldCharType="begin"/>
        </w:r>
        <w:r w:rsidR="00332A29">
          <w:rPr>
            <w:noProof/>
            <w:webHidden/>
          </w:rPr>
          <w:instrText xml:space="preserve"> PAGEREF _Toc77074692 \h </w:instrText>
        </w:r>
        <w:r w:rsidR="00332A29">
          <w:rPr>
            <w:noProof/>
            <w:webHidden/>
          </w:rPr>
        </w:r>
        <w:r w:rsidR="00332A29">
          <w:rPr>
            <w:noProof/>
            <w:webHidden/>
          </w:rPr>
          <w:fldChar w:fldCharType="separate"/>
        </w:r>
        <w:r w:rsidR="00332A29">
          <w:rPr>
            <w:noProof/>
            <w:webHidden/>
          </w:rPr>
          <w:t>41</w:t>
        </w:r>
        <w:r w:rsidR="00332A29">
          <w:rPr>
            <w:noProof/>
            <w:webHidden/>
          </w:rPr>
          <w:fldChar w:fldCharType="end"/>
        </w:r>
      </w:hyperlink>
    </w:p>
    <w:p w14:paraId="0DBE5DB3" w14:textId="77777777" w:rsidR="00332A29" w:rsidRDefault="00183F7E">
      <w:pPr>
        <w:pStyle w:val="Seznamobrzk"/>
        <w:tabs>
          <w:tab w:val="right" w:leader="dot" w:pos="9062"/>
        </w:tabs>
        <w:rPr>
          <w:rFonts w:eastAsiaTheme="minorEastAsia"/>
          <w:noProof/>
          <w:lang w:eastAsia="cs-CZ"/>
        </w:rPr>
      </w:pPr>
      <w:hyperlink w:anchor="_Toc77074693" w:history="1">
        <w:r w:rsidR="00332A29" w:rsidRPr="00AA209F">
          <w:rPr>
            <w:rStyle w:val="Hypertextovodkaz"/>
            <w:noProof/>
          </w:rPr>
          <w:t>Tabulka 1.13: Rozložení bytů bytového fondu města Zlína podle dispozice</w:t>
        </w:r>
        <w:r w:rsidR="00332A29">
          <w:rPr>
            <w:noProof/>
            <w:webHidden/>
          </w:rPr>
          <w:tab/>
        </w:r>
        <w:r w:rsidR="00332A29">
          <w:rPr>
            <w:noProof/>
            <w:webHidden/>
          </w:rPr>
          <w:fldChar w:fldCharType="begin"/>
        </w:r>
        <w:r w:rsidR="00332A29">
          <w:rPr>
            <w:noProof/>
            <w:webHidden/>
          </w:rPr>
          <w:instrText xml:space="preserve"> PAGEREF _Toc77074693 \h </w:instrText>
        </w:r>
        <w:r w:rsidR="00332A29">
          <w:rPr>
            <w:noProof/>
            <w:webHidden/>
          </w:rPr>
        </w:r>
        <w:r w:rsidR="00332A29">
          <w:rPr>
            <w:noProof/>
            <w:webHidden/>
          </w:rPr>
          <w:fldChar w:fldCharType="separate"/>
        </w:r>
        <w:r w:rsidR="00332A29">
          <w:rPr>
            <w:noProof/>
            <w:webHidden/>
          </w:rPr>
          <w:t>42</w:t>
        </w:r>
        <w:r w:rsidR="00332A29">
          <w:rPr>
            <w:noProof/>
            <w:webHidden/>
          </w:rPr>
          <w:fldChar w:fldCharType="end"/>
        </w:r>
      </w:hyperlink>
    </w:p>
    <w:p w14:paraId="5B1D51E6" w14:textId="77777777" w:rsidR="00332A29" w:rsidRDefault="00183F7E">
      <w:pPr>
        <w:pStyle w:val="Seznamobrzk"/>
        <w:tabs>
          <w:tab w:val="right" w:leader="dot" w:pos="9062"/>
        </w:tabs>
        <w:rPr>
          <w:rFonts w:eastAsiaTheme="minorEastAsia"/>
          <w:noProof/>
          <w:lang w:eastAsia="cs-CZ"/>
        </w:rPr>
      </w:pPr>
      <w:hyperlink w:anchor="_Toc77074694" w:history="1">
        <w:r w:rsidR="00332A29" w:rsidRPr="00AA209F">
          <w:rPr>
            <w:rStyle w:val="Hypertextovodkaz"/>
            <w:noProof/>
          </w:rPr>
          <w:t>Tabulka 1.14: Přehled počtu žadatelů o městské byty v letech 2018 a 2019</w:t>
        </w:r>
        <w:r w:rsidR="00332A29">
          <w:rPr>
            <w:noProof/>
            <w:webHidden/>
          </w:rPr>
          <w:tab/>
        </w:r>
        <w:r w:rsidR="00332A29">
          <w:rPr>
            <w:noProof/>
            <w:webHidden/>
          </w:rPr>
          <w:fldChar w:fldCharType="begin"/>
        </w:r>
        <w:r w:rsidR="00332A29">
          <w:rPr>
            <w:noProof/>
            <w:webHidden/>
          </w:rPr>
          <w:instrText xml:space="preserve"> PAGEREF _Toc77074694 \h </w:instrText>
        </w:r>
        <w:r w:rsidR="00332A29">
          <w:rPr>
            <w:noProof/>
            <w:webHidden/>
          </w:rPr>
        </w:r>
        <w:r w:rsidR="00332A29">
          <w:rPr>
            <w:noProof/>
            <w:webHidden/>
          </w:rPr>
          <w:fldChar w:fldCharType="separate"/>
        </w:r>
        <w:r w:rsidR="00332A29">
          <w:rPr>
            <w:noProof/>
            <w:webHidden/>
          </w:rPr>
          <w:t>43</w:t>
        </w:r>
        <w:r w:rsidR="00332A29">
          <w:rPr>
            <w:noProof/>
            <w:webHidden/>
          </w:rPr>
          <w:fldChar w:fldCharType="end"/>
        </w:r>
      </w:hyperlink>
    </w:p>
    <w:p w14:paraId="0EDBD566" w14:textId="77777777" w:rsidR="00332A29" w:rsidRDefault="00183F7E">
      <w:pPr>
        <w:pStyle w:val="Seznamobrzk"/>
        <w:tabs>
          <w:tab w:val="right" w:leader="dot" w:pos="9062"/>
        </w:tabs>
        <w:rPr>
          <w:rFonts w:eastAsiaTheme="minorEastAsia"/>
          <w:noProof/>
          <w:lang w:eastAsia="cs-CZ"/>
        </w:rPr>
      </w:pPr>
      <w:hyperlink w:anchor="_Toc77074695" w:history="1">
        <w:r w:rsidR="00332A29" w:rsidRPr="00AA209F">
          <w:rPr>
            <w:rStyle w:val="Hypertextovodkaz"/>
            <w:noProof/>
          </w:rPr>
          <w:t>Tabulka 1.15: Výše nájemného v obecních bytech na m</w:t>
        </w:r>
        <w:r w:rsidR="00332A29" w:rsidRPr="00AA209F">
          <w:rPr>
            <w:rStyle w:val="Hypertextovodkaz"/>
            <w:noProof/>
            <w:vertAlign w:val="superscript"/>
          </w:rPr>
          <w:t>2</w:t>
        </w:r>
        <w:r w:rsidR="00332A29" w:rsidRPr="00AA209F">
          <w:rPr>
            <w:rStyle w:val="Hypertextovodkaz"/>
            <w:noProof/>
          </w:rPr>
          <w:t xml:space="preserve"> v roce 2020</w:t>
        </w:r>
        <w:r w:rsidR="00332A29">
          <w:rPr>
            <w:noProof/>
            <w:webHidden/>
          </w:rPr>
          <w:tab/>
        </w:r>
        <w:r w:rsidR="00332A29">
          <w:rPr>
            <w:noProof/>
            <w:webHidden/>
          </w:rPr>
          <w:fldChar w:fldCharType="begin"/>
        </w:r>
        <w:r w:rsidR="00332A29">
          <w:rPr>
            <w:noProof/>
            <w:webHidden/>
          </w:rPr>
          <w:instrText xml:space="preserve"> PAGEREF _Toc77074695 \h </w:instrText>
        </w:r>
        <w:r w:rsidR="00332A29">
          <w:rPr>
            <w:noProof/>
            <w:webHidden/>
          </w:rPr>
        </w:r>
        <w:r w:rsidR="00332A29">
          <w:rPr>
            <w:noProof/>
            <w:webHidden/>
          </w:rPr>
          <w:fldChar w:fldCharType="separate"/>
        </w:r>
        <w:r w:rsidR="00332A29">
          <w:rPr>
            <w:noProof/>
            <w:webHidden/>
          </w:rPr>
          <w:t>43</w:t>
        </w:r>
        <w:r w:rsidR="00332A29">
          <w:rPr>
            <w:noProof/>
            <w:webHidden/>
          </w:rPr>
          <w:fldChar w:fldCharType="end"/>
        </w:r>
      </w:hyperlink>
    </w:p>
    <w:p w14:paraId="229672AA" w14:textId="77777777" w:rsidR="00332A29" w:rsidRDefault="00183F7E">
      <w:pPr>
        <w:pStyle w:val="Seznamobrzk"/>
        <w:tabs>
          <w:tab w:val="right" w:leader="dot" w:pos="9062"/>
        </w:tabs>
        <w:rPr>
          <w:rFonts w:eastAsiaTheme="minorEastAsia"/>
          <w:noProof/>
          <w:lang w:eastAsia="cs-CZ"/>
        </w:rPr>
      </w:pPr>
      <w:hyperlink w:anchor="_Toc77074696" w:history="1">
        <w:r w:rsidR="00332A29" w:rsidRPr="00AA209F">
          <w:rPr>
            <w:rStyle w:val="Hypertextovodkaz"/>
            <w:noProof/>
          </w:rPr>
          <w:t>Tabulka 1.16: Počet míst v zařízeních v ORP Zlín</w:t>
        </w:r>
        <w:r w:rsidR="00332A29">
          <w:rPr>
            <w:noProof/>
            <w:webHidden/>
          </w:rPr>
          <w:tab/>
        </w:r>
        <w:r w:rsidR="00332A29">
          <w:rPr>
            <w:noProof/>
            <w:webHidden/>
          </w:rPr>
          <w:fldChar w:fldCharType="begin"/>
        </w:r>
        <w:r w:rsidR="00332A29">
          <w:rPr>
            <w:noProof/>
            <w:webHidden/>
          </w:rPr>
          <w:instrText xml:space="preserve"> PAGEREF _Toc77074696 \h </w:instrText>
        </w:r>
        <w:r w:rsidR="00332A29">
          <w:rPr>
            <w:noProof/>
            <w:webHidden/>
          </w:rPr>
        </w:r>
        <w:r w:rsidR="00332A29">
          <w:rPr>
            <w:noProof/>
            <w:webHidden/>
          </w:rPr>
          <w:fldChar w:fldCharType="separate"/>
        </w:r>
        <w:r w:rsidR="00332A29">
          <w:rPr>
            <w:noProof/>
            <w:webHidden/>
          </w:rPr>
          <w:t>45</w:t>
        </w:r>
        <w:r w:rsidR="00332A29">
          <w:rPr>
            <w:noProof/>
            <w:webHidden/>
          </w:rPr>
          <w:fldChar w:fldCharType="end"/>
        </w:r>
      </w:hyperlink>
    </w:p>
    <w:p w14:paraId="00B9979D" w14:textId="77777777" w:rsidR="00332A29" w:rsidRDefault="00183F7E">
      <w:pPr>
        <w:pStyle w:val="Seznamobrzk"/>
        <w:tabs>
          <w:tab w:val="right" w:leader="dot" w:pos="9062"/>
        </w:tabs>
        <w:rPr>
          <w:rFonts w:eastAsiaTheme="minorEastAsia"/>
          <w:noProof/>
          <w:lang w:eastAsia="cs-CZ"/>
        </w:rPr>
      </w:pPr>
      <w:hyperlink w:anchor="_Toc77074697" w:history="1">
        <w:r w:rsidR="00332A29" w:rsidRPr="00AA209F">
          <w:rPr>
            <w:rStyle w:val="Hypertextovodkaz"/>
            <w:noProof/>
          </w:rPr>
          <w:t>Tabulka 1.17: Seznam nejvíce zastoupených zdravotních služeb ve Zlíně</w:t>
        </w:r>
        <w:r w:rsidR="00332A29">
          <w:rPr>
            <w:noProof/>
            <w:webHidden/>
          </w:rPr>
          <w:tab/>
        </w:r>
        <w:r w:rsidR="00332A29">
          <w:rPr>
            <w:noProof/>
            <w:webHidden/>
          </w:rPr>
          <w:fldChar w:fldCharType="begin"/>
        </w:r>
        <w:r w:rsidR="00332A29">
          <w:rPr>
            <w:noProof/>
            <w:webHidden/>
          </w:rPr>
          <w:instrText xml:space="preserve"> PAGEREF _Toc77074697 \h </w:instrText>
        </w:r>
        <w:r w:rsidR="00332A29">
          <w:rPr>
            <w:noProof/>
            <w:webHidden/>
          </w:rPr>
        </w:r>
        <w:r w:rsidR="00332A29">
          <w:rPr>
            <w:noProof/>
            <w:webHidden/>
          </w:rPr>
          <w:fldChar w:fldCharType="separate"/>
        </w:r>
        <w:r w:rsidR="00332A29">
          <w:rPr>
            <w:noProof/>
            <w:webHidden/>
          </w:rPr>
          <w:t>51</w:t>
        </w:r>
        <w:r w:rsidR="00332A29">
          <w:rPr>
            <w:noProof/>
            <w:webHidden/>
          </w:rPr>
          <w:fldChar w:fldCharType="end"/>
        </w:r>
      </w:hyperlink>
    </w:p>
    <w:p w14:paraId="6AFA09D2" w14:textId="77777777" w:rsidR="00332A29" w:rsidRDefault="00183F7E">
      <w:pPr>
        <w:pStyle w:val="Seznamobrzk"/>
        <w:tabs>
          <w:tab w:val="right" w:leader="dot" w:pos="9062"/>
        </w:tabs>
        <w:rPr>
          <w:rFonts w:eastAsiaTheme="minorEastAsia"/>
          <w:noProof/>
          <w:lang w:eastAsia="cs-CZ"/>
        </w:rPr>
      </w:pPr>
      <w:hyperlink w:anchor="_Toc77074698" w:history="1">
        <w:r w:rsidR="00332A29" w:rsidRPr="00AA209F">
          <w:rPr>
            <w:rStyle w:val="Hypertextovodkaz"/>
            <w:noProof/>
          </w:rPr>
          <w:t>Tabulka 1.18: Základní ukazatele jednotlivých oddělení interních oborů Krajská nemocnice Tomáše Bati v roce 2019</w:t>
        </w:r>
        <w:r w:rsidR="00332A29">
          <w:rPr>
            <w:noProof/>
            <w:webHidden/>
          </w:rPr>
          <w:tab/>
        </w:r>
        <w:r w:rsidR="00332A29">
          <w:rPr>
            <w:noProof/>
            <w:webHidden/>
          </w:rPr>
          <w:fldChar w:fldCharType="begin"/>
        </w:r>
        <w:r w:rsidR="00332A29">
          <w:rPr>
            <w:noProof/>
            <w:webHidden/>
          </w:rPr>
          <w:instrText xml:space="preserve"> PAGEREF _Toc77074698 \h </w:instrText>
        </w:r>
        <w:r w:rsidR="00332A29">
          <w:rPr>
            <w:noProof/>
            <w:webHidden/>
          </w:rPr>
        </w:r>
        <w:r w:rsidR="00332A29">
          <w:rPr>
            <w:noProof/>
            <w:webHidden/>
          </w:rPr>
          <w:fldChar w:fldCharType="separate"/>
        </w:r>
        <w:r w:rsidR="00332A29">
          <w:rPr>
            <w:noProof/>
            <w:webHidden/>
          </w:rPr>
          <w:t>52</w:t>
        </w:r>
        <w:r w:rsidR="00332A29">
          <w:rPr>
            <w:noProof/>
            <w:webHidden/>
          </w:rPr>
          <w:fldChar w:fldCharType="end"/>
        </w:r>
      </w:hyperlink>
    </w:p>
    <w:p w14:paraId="1557A871" w14:textId="77777777" w:rsidR="00332A29" w:rsidRDefault="00183F7E">
      <w:pPr>
        <w:pStyle w:val="Seznamobrzk"/>
        <w:tabs>
          <w:tab w:val="right" w:leader="dot" w:pos="9062"/>
        </w:tabs>
        <w:rPr>
          <w:rFonts w:eastAsiaTheme="minorEastAsia"/>
          <w:noProof/>
          <w:lang w:eastAsia="cs-CZ"/>
        </w:rPr>
      </w:pPr>
      <w:hyperlink w:anchor="_Toc77074699" w:history="1">
        <w:r w:rsidR="00332A29" w:rsidRPr="00AA209F">
          <w:rPr>
            <w:rStyle w:val="Hypertextovodkaz"/>
            <w:noProof/>
          </w:rPr>
          <w:t>Tabulka 1.19: Základní ukazatele jednotlivých oddělení chirurgických oborů Krajská nemocnice Tomáše Bati v roce 2019</w:t>
        </w:r>
        <w:r w:rsidR="00332A29">
          <w:rPr>
            <w:noProof/>
            <w:webHidden/>
          </w:rPr>
          <w:tab/>
        </w:r>
        <w:r w:rsidR="00332A29">
          <w:rPr>
            <w:noProof/>
            <w:webHidden/>
          </w:rPr>
          <w:fldChar w:fldCharType="begin"/>
        </w:r>
        <w:r w:rsidR="00332A29">
          <w:rPr>
            <w:noProof/>
            <w:webHidden/>
          </w:rPr>
          <w:instrText xml:space="preserve"> PAGEREF _Toc77074699 \h </w:instrText>
        </w:r>
        <w:r w:rsidR="00332A29">
          <w:rPr>
            <w:noProof/>
            <w:webHidden/>
          </w:rPr>
        </w:r>
        <w:r w:rsidR="00332A29">
          <w:rPr>
            <w:noProof/>
            <w:webHidden/>
          </w:rPr>
          <w:fldChar w:fldCharType="separate"/>
        </w:r>
        <w:r w:rsidR="00332A29">
          <w:rPr>
            <w:noProof/>
            <w:webHidden/>
          </w:rPr>
          <w:t>53</w:t>
        </w:r>
        <w:r w:rsidR="00332A29">
          <w:rPr>
            <w:noProof/>
            <w:webHidden/>
          </w:rPr>
          <w:fldChar w:fldCharType="end"/>
        </w:r>
      </w:hyperlink>
    </w:p>
    <w:p w14:paraId="5EE5AC53" w14:textId="77777777" w:rsidR="00332A29" w:rsidRDefault="00183F7E">
      <w:pPr>
        <w:pStyle w:val="Seznamobrzk"/>
        <w:tabs>
          <w:tab w:val="right" w:leader="dot" w:pos="9062"/>
        </w:tabs>
        <w:rPr>
          <w:rFonts w:eastAsiaTheme="minorEastAsia"/>
          <w:noProof/>
          <w:lang w:eastAsia="cs-CZ"/>
        </w:rPr>
      </w:pPr>
      <w:hyperlink w:anchor="_Toc77074700" w:history="1">
        <w:r w:rsidR="00332A29" w:rsidRPr="00AA209F">
          <w:rPr>
            <w:rStyle w:val="Hypertextovodkaz"/>
            <w:noProof/>
          </w:rPr>
          <w:t>Tabulka 1.20: Kulturní organizace a instituce zřízené nebo založené/spoluzaložené statutárním městem Zlín</w:t>
        </w:r>
        <w:r w:rsidR="00332A29">
          <w:rPr>
            <w:noProof/>
            <w:webHidden/>
          </w:rPr>
          <w:tab/>
        </w:r>
        <w:r w:rsidR="00332A29">
          <w:rPr>
            <w:noProof/>
            <w:webHidden/>
          </w:rPr>
          <w:fldChar w:fldCharType="begin"/>
        </w:r>
        <w:r w:rsidR="00332A29">
          <w:rPr>
            <w:noProof/>
            <w:webHidden/>
          </w:rPr>
          <w:instrText xml:space="preserve"> PAGEREF _Toc77074700 \h </w:instrText>
        </w:r>
        <w:r w:rsidR="00332A29">
          <w:rPr>
            <w:noProof/>
            <w:webHidden/>
          </w:rPr>
        </w:r>
        <w:r w:rsidR="00332A29">
          <w:rPr>
            <w:noProof/>
            <w:webHidden/>
          </w:rPr>
          <w:fldChar w:fldCharType="separate"/>
        </w:r>
        <w:r w:rsidR="00332A29">
          <w:rPr>
            <w:noProof/>
            <w:webHidden/>
          </w:rPr>
          <w:t>55</w:t>
        </w:r>
        <w:r w:rsidR="00332A29">
          <w:rPr>
            <w:noProof/>
            <w:webHidden/>
          </w:rPr>
          <w:fldChar w:fldCharType="end"/>
        </w:r>
      </w:hyperlink>
    </w:p>
    <w:p w14:paraId="2C10CB9D" w14:textId="77777777" w:rsidR="00332A29" w:rsidRDefault="00183F7E">
      <w:pPr>
        <w:pStyle w:val="Seznamobrzk"/>
        <w:tabs>
          <w:tab w:val="right" w:leader="dot" w:pos="9062"/>
        </w:tabs>
        <w:rPr>
          <w:rFonts w:eastAsiaTheme="minorEastAsia"/>
          <w:noProof/>
          <w:lang w:eastAsia="cs-CZ"/>
        </w:rPr>
      </w:pPr>
      <w:hyperlink w:anchor="_Toc77074701" w:history="1">
        <w:r w:rsidR="00332A29" w:rsidRPr="00AA209F">
          <w:rPr>
            <w:rStyle w:val="Hypertextovodkaz"/>
            <w:noProof/>
          </w:rPr>
          <w:t>Tabulka 1.21: Kulturní organizace na území statutárního města Zlín</w:t>
        </w:r>
        <w:r w:rsidR="00332A29">
          <w:rPr>
            <w:noProof/>
            <w:webHidden/>
          </w:rPr>
          <w:tab/>
        </w:r>
        <w:r w:rsidR="00332A29">
          <w:rPr>
            <w:noProof/>
            <w:webHidden/>
          </w:rPr>
          <w:fldChar w:fldCharType="begin"/>
        </w:r>
        <w:r w:rsidR="00332A29">
          <w:rPr>
            <w:noProof/>
            <w:webHidden/>
          </w:rPr>
          <w:instrText xml:space="preserve"> PAGEREF _Toc77074701 \h </w:instrText>
        </w:r>
        <w:r w:rsidR="00332A29">
          <w:rPr>
            <w:noProof/>
            <w:webHidden/>
          </w:rPr>
        </w:r>
        <w:r w:rsidR="00332A29">
          <w:rPr>
            <w:noProof/>
            <w:webHidden/>
          </w:rPr>
          <w:fldChar w:fldCharType="separate"/>
        </w:r>
        <w:r w:rsidR="00332A29">
          <w:rPr>
            <w:noProof/>
            <w:webHidden/>
          </w:rPr>
          <w:t>55</w:t>
        </w:r>
        <w:r w:rsidR="00332A29">
          <w:rPr>
            <w:noProof/>
            <w:webHidden/>
          </w:rPr>
          <w:fldChar w:fldCharType="end"/>
        </w:r>
      </w:hyperlink>
    </w:p>
    <w:p w14:paraId="1B600940" w14:textId="77777777" w:rsidR="00332A29" w:rsidRDefault="00183F7E">
      <w:pPr>
        <w:pStyle w:val="Seznamobrzk"/>
        <w:tabs>
          <w:tab w:val="right" w:leader="dot" w:pos="9062"/>
        </w:tabs>
        <w:rPr>
          <w:rFonts w:eastAsiaTheme="minorEastAsia"/>
          <w:noProof/>
          <w:lang w:eastAsia="cs-CZ"/>
        </w:rPr>
      </w:pPr>
      <w:hyperlink w:anchor="_Toc77074702" w:history="1">
        <w:r w:rsidR="00332A29" w:rsidRPr="00AA209F">
          <w:rPr>
            <w:rStyle w:val="Hypertextovodkaz"/>
            <w:noProof/>
          </w:rPr>
          <w:t>Tabulka 1.22: Přehled uměleckých škol a filmových škol na území statutárního města Zlína</w:t>
        </w:r>
        <w:r w:rsidR="00332A29">
          <w:rPr>
            <w:noProof/>
            <w:webHidden/>
          </w:rPr>
          <w:tab/>
        </w:r>
        <w:r w:rsidR="00332A29">
          <w:rPr>
            <w:noProof/>
            <w:webHidden/>
          </w:rPr>
          <w:fldChar w:fldCharType="begin"/>
        </w:r>
        <w:r w:rsidR="00332A29">
          <w:rPr>
            <w:noProof/>
            <w:webHidden/>
          </w:rPr>
          <w:instrText xml:space="preserve"> PAGEREF _Toc77074702 \h </w:instrText>
        </w:r>
        <w:r w:rsidR="00332A29">
          <w:rPr>
            <w:noProof/>
            <w:webHidden/>
          </w:rPr>
        </w:r>
        <w:r w:rsidR="00332A29">
          <w:rPr>
            <w:noProof/>
            <w:webHidden/>
          </w:rPr>
          <w:fldChar w:fldCharType="separate"/>
        </w:r>
        <w:r w:rsidR="00332A29">
          <w:rPr>
            <w:noProof/>
            <w:webHidden/>
          </w:rPr>
          <w:t>58</w:t>
        </w:r>
        <w:r w:rsidR="00332A29">
          <w:rPr>
            <w:noProof/>
            <w:webHidden/>
          </w:rPr>
          <w:fldChar w:fldCharType="end"/>
        </w:r>
      </w:hyperlink>
    </w:p>
    <w:p w14:paraId="4E4F8D1A" w14:textId="77777777" w:rsidR="00332A29" w:rsidRDefault="00183F7E">
      <w:pPr>
        <w:pStyle w:val="Seznamobrzk"/>
        <w:tabs>
          <w:tab w:val="right" w:leader="dot" w:pos="9062"/>
        </w:tabs>
        <w:rPr>
          <w:rFonts w:eastAsiaTheme="minorEastAsia"/>
          <w:noProof/>
          <w:lang w:eastAsia="cs-CZ"/>
        </w:rPr>
      </w:pPr>
      <w:hyperlink w:anchor="_Toc77074703" w:history="1">
        <w:r w:rsidR="00332A29" w:rsidRPr="00AA209F">
          <w:rPr>
            <w:rStyle w:val="Hypertextovodkaz"/>
            <w:noProof/>
          </w:rPr>
          <w:t>Tabulka 1.23: Pravidelné akce ve městě Zlín</w:t>
        </w:r>
        <w:r w:rsidR="00332A29">
          <w:rPr>
            <w:noProof/>
            <w:webHidden/>
          </w:rPr>
          <w:tab/>
        </w:r>
        <w:r w:rsidR="00332A29">
          <w:rPr>
            <w:noProof/>
            <w:webHidden/>
          </w:rPr>
          <w:fldChar w:fldCharType="begin"/>
        </w:r>
        <w:r w:rsidR="00332A29">
          <w:rPr>
            <w:noProof/>
            <w:webHidden/>
          </w:rPr>
          <w:instrText xml:space="preserve"> PAGEREF _Toc77074703 \h </w:instrText>
        </w:r>
        <w:r w:rsidR="00332A29">
          <w:rPr>
            <w:noProof/>
            <w:webHidden/>
          </w:rPr>
        </w:r>
        <w:r w:rsidR="00332A29">
          <w:rPr>
            <w:noProof/>
            <w:webHidden/>
          </w:rPr>
          <w:fldChar w:fldCharType="separate"/>
        </w:r>
        <w:r w:rsidR="00332A29">
          <w:rPr>
            <w:noProof/>
            <w:webHidden/>
          </w:rPr>
          <w:t>59</w:t>
        </w:r>
        <w:r w:rsidR="00332A29">
          <w:rPr>
            <w:noProof/>
            <w:webHidden/>
          </w:rPr>
          <w:fldChar w:fldCharType="end"/>
        </w:r>
      </w:hyperlink>
    </w:p>
    <w:p w14:paraId="5CE508C4" w14:textId="77777777" w:rsidR="00332A29" w:rsidRDefault="00183F7E">
      <w:pPr>
        <w:pStyle w:val="Seznamobrzk"/>
        <w:tabs>
          <w:tab w:val="right" w:leader="dot" w:pos="9062"/>
        </w:tabs>
        <w:rPr>
          <w:rFonts w:eastAsiaTheme="minorEastAsia"/>
          <w:noProof/>
          <w:lang w:eastAsia="cs-CZ"/>
        </w:rPr>
      </w:pPr>
      <w:hyperlink w:anchor="_Toc77074704" w:history="1">
        <w:r w:rsidR="00332A29" w:rsidRPr="00AA209F">
          <w:rPr>
            <w:rStyle w:val="Hypertextovodkaz"/>
            <w:noProof/>
          </w:rPr>
          <w:t>Tabulka 1.24: Spokojenost s nabídkou kulturních akcí podle pohlaví, věku a u studentů UTB</w:t>
        </w:r>
        <w:r w:rsidR="00332A29">
          <w:rPr>
            <w:noProof/>
            <w:webHidden/>
          </w:rPr>
          <w:tab/>
        </w:r>
        <w:r w:rsidR="00332A29">
          <w:rPr>
            <w:noProof/>
            <w:webHidden/>
          </w:rPr>
          <w:fldChar w:fldCharType="begin"/>
        </w:r>
        <w:r w:rsidR="00332A29">
          <w:rPr>
            <w:noProof/>
            <w:webHidden/>
          </w:rPr>
          <w:instrText xml:space="preserve"> PAGEREF _Toc77074704 \h </w:instrText>
        </w:r>
        <w:r w:rsidR="00332A29">
          <w:rPr>
            <w:noProof/>
            <w:webHidden/>
          </w:rPr>
        </w:r>
        <w:r w:rsidR="00332A29">
          <w:rPr>
            <w:noProof/>
            <w:webHidden/>
          </w:rPr>
          <w:fldChar w:fldCharType="separate"/>
        </w:r>
        <w:r w:rsidR="00332A29">
          <w:rPr>
            <w:noProof/>
            <w:webHidden/>
          </w:rPr>
          <w:t>63</w:t>
        </w:r>
        <w:r w:rsidR="00332A29">
          <w:rPr>
            <w:noProof/>
            <w:webHidden/>
          </w:rPr>
          <w:fldChar w:fldCharType="end"/>
        </w:r>
      </w:hyperlink>
    </w:p>
    <w:p w14:paraId="598E3DBD" w14:textId="77777777" w:rsidR="00332A29" w:rsidRDefault="00183F7E">
      <w:pPr>
        <w:pStyle w:val="Seznamobrzk"/>
        <w:tabs>
          <w:tab w:val="right" w:leader="dot" w:pos="9062"/>
        </w:tabs>
        <w:rPr>
          <w:rFonts w:eastAsiaTheme="minorEastAsia"/>
          <w:noProof/>
          <w:lang w:eastAsia="cs-CZ"/>
        </w:rPr>
      </w:pPr>
      <w:hyperlink w:anchor="_Toc77074705" w:history="1">
        <w:r w:rsidR="00332A29" w:rsidRPr="00AA209F">
          <w:rPr>
            <w:rStyle w:val="Hypertextovodkaz"/>
            <w:noProof/>
          </w:rPr>
          <w:t>Tabulka 1.25: Vnímání respondentů ohledně potřeby podpory většího počtu kulturních aktivit ze strany města</w:t>
        </w:r>
        <w:r w:rsidR="00332A29">
          <w:rPr>
            <w:noProof/>
            <w:webHidden/>
          </w:rPr>
          <w:tab/>
        </w:r>
        <w:r w:rsidR="00332A29">
          <w:rPr>
            <w:noProof/>
            <w:webHidden/>
          </w:rPr>
          <w:fldChar w:fldCharType="begin"/>
        </w:r>
        <w:r w:rsidR="00332A29">
          <w:rPr>
            <w:noProof/>
            <w:webHidden/>
          </w:rPr>
          <w:instrText xml:space="preserve"> PAGEREF _Toc77074705 \h </w:instrText>
        </w:r>
        <w:r w:rsidR="00332A29">
          <w:rPr>
            <w:noProof/>
            <w:webHidden/>
          </w:rPr>
        </w:r>
        <w:r w:rsidR="00332A29">
          <w:rPr>
            <w:noProof/>
            <w:webHidden/>
          </w:rPr>
          <w:fldChar w:fldCharType="separate"/>
        </w:r>
        <w:r w:rsidR="00332A29">
          <w:rPr>
            <w:noProof/>
            <w:webHidden/>
          </w:rPr>
          <w:t>63</w:t>
        </w:r>
        <w:r w:rsidR="00332A29">
          <w:rPr>
            <w:noProof/>
            <w:webHidden/>
          </w:rPr>
          <w:fldChar w:fldCharType="end"/>
        </w:r>
      </w:hyperlink>
    </w:p>
    <w:p w14:paraId="40E36323" w14:textId="77777777" w:rsidR="00332A29" w:rsidRDefault="00183F7E">
      <w:pPr>
        <w:pStyle w:val="Seznamobrzk"/>
        <w:tabs>
          <w:tab w:val="right" w:leader="dot" w:pos="9062"/>
        </w:tabs>
        <w:rPr>
          <w:rFonts w:eastAsiaTheme="minorEastAsia"/>
          <w:noProof/>
          <w:lang w:eastAsia="cs-CZ"/>
        </w:rPr>
      </w:pPr>
      <w:hyperlink w:anchor="_Toc77074706" w:history="1">
        <w:r w:rsidR="00332A29" w:rsidRPr="00AA209F">
          <w:rPr>
            <w:rStyle w:val="Hypertextovodkaz"/>
            <w:noProof/>
          </w:rPr>
          <w:t>Tabulka 1.26: Výběr sportovišť na území SMZ</w:t>
        </w:r>
        <w:r w:rsidR="00332A29">
          <w:rPr>
            <w:noProof/>
            <w:webHidden/>
          </w:rPr>
          <w:tab/>
        </w:r>
        <w:r w:rsidR="00332A29">
          <w:rPr>
            <w:noProof/>
            <w:webHidden/>
          </w:rPr>
          <w:fldChar w:fldCharType="begin"/>
        </w:r>
        <w:r w:rsidR="00332A29">
          <w:rPr>
            <w:noProof/>
            <w:webHidden/>
          </w:rPr>
          <w:instrText xml:space="preserve"> PAGEREF _Toc77074706 \h </w:instrText>
        </w:r>
        <w:r w:rsidR="00332A29">
          <w:rPr>
            <w:noProof/>
            <w:webHidden/>
          </w:rPr>
        </w:r>
        <w:r w:rsidR="00332A29">
          <w:rPr>
            <w:noProof/>
            <w:webHidden/>
          </w:rPr>
          <w:fldChar w:fldCharType="separate"/>
        </w:r>
        <w:r w:rsidR="00332A29">
          <w:rPr>
            <w:noProof/>
            <w:webHidden/>
          </w:rPr>
          <w:t>64</w:t>
        </w:r>
        <w:r w:rsidR="00332A29">
          <w:rPr>
            <w:noProof/>
            <w:webHidden/>
          </w:rPr>
          <w:fldChar w:fldCharType="end"/>
        </w:r>
      </w:hyperlink>
    </w:p>
    <w:p w14:paraId="6E5F09A2" w14:textId="77777777" w:rsidR="00332A29" w:rsidRDefault="00183F7E">
      <w:pPr>
        <w:pStyle w:val="Seznamobrzk"/>
        <w:tabs>
          <w:tab w:val="right" w:leader="dot" w:pos="9062"/>
        </w:tabs>
        <w:rPr>
          <w:rFonts w:eastAsiaTheme="minorEastAsia"/>
          <w:noProof/>
          <w:lang w:eastAsia="cs-CZ"/>
        </w:rPr>
      </w:pPr>
      <w:hyperlink w:anchor="_Toc77074707" w:history="1">
        <w:r w:rsidR="00332A29" w:rsidRPr="00AA209F">
          <w:rPr>
            <w:rStyle w:val="Hypertextovodkaz"/>
            <w:noProof/>
          </w:rPr>
          <w:t>Tabulka 1.27: Sportovní akce pořádané na území SMZ v roce 2019</w:t>
        </w:r>
        <w:r w:rsidR="00332A29">
          <w:rPr>
            <w:noProof/>
            <w:webHidden/>
          </w:rPr>
          <w:tab/>
        </w:r>
        <w:r w:rsidR="00332A29">
          <w:rPr>
            <w:noProof/>
            <w:webHidden/>
          </w:rPr>
          <w:fldChar w:fldCharType="begin"/>
        </w:r>
        <w:r w:rsidR="00332A29">
          <w:rPr>
            <w:noProof/>
            <w:webHidden/>
          </w:rPr>
          <w:instrText xml:space="preserve"> PAGEREF _Toc77074707 \h </w:instrText>
        </w:r>
        <w:r w:rsidR="00332A29">
          <w:rPr>
            <w:noProof/>
            <w:webHidden/>
          </w:rPr>
        </w:r>
        <w:r w:rsidR="00332A29">
          <w:rPr>
            <w:noProof/>
            <w:webHidden/>
          </w:rPr>
          <w:fldChar w:fldCharType="separate"/>
        </w:r>
        <w:r w:rsidR="00332A29">
          <w:rPr>
            <w:noProof/>
            <w:webHidden/>
          </w:rPr>
          <w:t>65</w:t>
        </w:r>
        <w:r w:rsidR="00332A29">
          <w:rPr>
            <w:noProof/>
            <w:webHidden/>
          </w:rPr>
          <w:fldChar w:fldCharType="end"/>
        </w:r>
      </w:hyperlink>
    </w:p>
    <w:p w14:paraId="4F017679" w14:textId="77777777" w:rsidR="00332A29" w:rsidRDefault="00183F7E">
      <w:pPr>
        <w:pStyle w:val="Seznamobrzk"/>
        <w:tabs>
          <w:tab w:val="right" w:leader="dot" w:pos="9062"/>
        </w:tabs>
        <w:rPr>
          <w:rFonts w:eastAsiaTheme="minorEastAsia"/>
          <w:noProof/>
          <w:lang w:eastAsia="cs-CZ"/>
        </w:rPr>
      </w:pPr>
      <w:hyperlink w:anchor="_Toc77074708" w:history="1">
        <w:r w:rsidR="00332A29" w:rsidRPr="00AA209F">
          <w:rPr>
            <w:rStyle w:val="Hypertextovodkaz"/>
            <w:noProof/>
          </w:rPr>
          <w:t>Tabulka 1.28: Dětská a mateřská centra a kluby pro mládež na území města vedené v rámci databáze SMZ</w:t>
        </w:r>
        <w:r w:rsidR="00332A29">
          <w:rPr>
            <w:noProof/>
            <w:webHidden/>
          </w:rPr>
          <w:tab/>
        </w:r>
        <w:r w:rsidR="00332A29">
          <w:rPr>
            <w:noProof/>
            <w:webHidden/>
          </w:rPr>
          <w:fldChar w:fldCharType="begin"/>
        </w:r>
        <w:r w:rsidR="00332A29">
          <w:rPr>
            <w:noProof/>
            <w:webHidden/>
          </w:rPr>
          <w:instrText xml:space="preserve"> PAGEREF _Toc77074708 \h </w:instrText>
        </w:r>
        <w:r w:rsidR="00332A29">
          <w:rPr>
            <w:noProof/>
            <w:webHidden/>
          </w:rPr>
        </w:r>
        <w:r w:rsidR="00332A29">
          <w:rPr>
            <w:noProof/>
            <w:webHidden/>
          </w:rPr>
          <w:fldChar w:fldCharType="separate"/>
        </w:r>
        <w:r w:rsidR="00332A29">
          <w:rPr>
            <w:noProof/>
            <w:webHidden/>
          </w:rPr>
          <w:t>67</w:t>
        </w:r>
        <w:r w:rsidR="00332A29">
          <w:rPr>
            <w:noProof/>
            <w:webHidden/>
          </w:rPr>
          <w:fldChar w:fldCharType="end"/>
        </w:r>
      </w:hyperlink>
    </w:p>
    <w:p w14:paraId="062AEC15" w14:textId="77777777" w:rsidR="00332A29" w:rsidRDefault="00183F7E">
      <w:pPr>
        <w:pStyle w:val="Seznamobrzk"/>
        <w:tabs>
          <w:tab w:val="right" w:leader="dot" w:pos="9062"/>
        </w:tabs>
        <w:rPr>
          <w:rFonts w:eastAsiaTheme="minorEastAsia"/>
          <w:noProof/>
          <w:lang w:eastAsia="cs-CZ"/>
        </w:rPr>
      </w:pPr>
      <w:hyperlink w:anchor="_Toc77074709" w:history="1">
        <w:r w:rsidR="00332A29" w:rsidRPr="00AA209F">
          <w:rPr>
            <w:rStyle w:val="Hypertextovodkaz"/>
            <w:noProof/>
          </w:rPr>
          <w:t>Tabulka 1.29: Dotace na sportovní akce v roce 2020</w:t>
        </w:r>
        <w:r w:rsidR="00332A29">
          <w:rPr>
            <w:noProof/>
            <w:webHidden/>
          </w:rPr>
          <w:tab/>
        </w:r>
        <w:r w:rsidR="00332A29">
          <w:rPr>
            <w:noProof/>
            <w:webHidden/>
          </w:rPr>
          <w:fldChar w:fldCharType="begin"/>
        </w:r>
        <w:r w:rsidR="00332A29">
          <w:rPr>
            <w:noProof/>
            <w:webHidden/>
          </w:rPr>
          <w:instrText xml:space="preserve"> PAGEREF _Toc77074709 \h </w:instrText>
        </w:r>
        <w:r w:rsidR="00332A29">
          <w:rPr>
            <w:noProof/>
            <w:webHidden/>
          </w:rPr>
        </w:r>
        <w:r w:rsidR="00332A29">
          <w:rPr>
            <w:noProof/>
            <w:webHidden/>
          </w:rPr>
          <w:fldChar w:fldCharType="separate"/>
        </w:r>
        <w:r w:rsidR="00332A29">
          <w:rPr>
            <w:noProof/>
            <w:webHidden/>
          </w:rPr>
          <w:t>68</w:t>
        </w:r>
        <w:r w:rsidR="00332A29">
          <w:rPr>
            <w:noProof/>
            <w:webHidden/>
          </w:rPr>
          <w:fldChar w:fldCharType="end"/>
        </w:r>
      </w:hyperlink>
    </w:p>
    <w:p w14:paraId="37AF993A" w14:textId="77777777" w:rsidR="00332A29" w:rsidRDefault="00183F7E">
      <w:pPr>
        <w:pStyle w:val="Seznamobrzk"/>
        <w:tabs>
          <w:tab w:val="right" w:leader="dot" w:pos="9062"/>
        </w:tabs>
        <w:rPr>
          <w:rFonts w:eastAsiaTheme="minorEastAsia"/>
          <w:noProof/>
          <w:lang w:eastAsia="cs-CZ"/>
        </w:rPr>
      </w:pPr>
      <w:hyperlink w:anchor="_Toc77074710" w:history="1">
        <w:r w:rsidR="00332A29" w:rsidRPr="00AA209F">
          <w:rPr>
            <w:rStyle w:val="Hypertextovodkaz"/>
            <w:noProof/>
          </w:rPr>
          <w:t>Tabulka 1.30: Spokojenost s nabídkou možností aktivního sportovního vyžití podle pohlaví, věku a u studentů UTB</w:t>
        </w:r>
        <w:r w:rsidR="00332A29">
          <w:rPr>
            <w:noProof/>
            <w:webHidden/>
          </w:rPr>
          <w:tab/>
        </w:r>
        <w:r w:rsidR="00332A29">
          <w:rPr>
            <w:noProof/>
            <w:webHidden/>
          </w:rPr>
          <w:fldChar w:fldCharType="begin"/>
        </w:r>
        <w:r w:rsidR="00332A29">
          <w:rPr>
            <w:noProof/>
            <w:webHidden/>
          </w:rPr>
          <w:instrText xml:space="preserve"> PAGEREF _Toc77074710 \h </w:instrText>
        </w:r>
        <w:r w:rsidR="00332A29">
          <w:rPr>
            <w:noProof/>
            <w:webHidden/>
          </w:rPr>
        </w:r>
        <w:r w:rsidR="00332A29">
          <w:rPr>
            <w:noProof/>
            <w:webHidden/>
          </w:rPr>
          <w:fldChar w:fldCharType="separate"/>
        </w:r>
        <w:r w:rsidR="00332A29">
          <w:rPr>
            <w:noProof/>
            <w:webHidden/>
          </w:rPr>
          <w:t>69</w:t>
        </w:r>
        <w:r w:rsidR="00332A29">
          <w:rPr>
            <w:noProof/>
            <w:webHidden/>
          </w:rPr>
          <w:fldChar w:fldCharType="end"/>
        </w:r>
      </w:hyperlink>
    </w:p>
    <w:p w14:paraId="6696175E" w14:textId="77777777" w:rsidR="00332A29" w:rsidRDefault="00183F7E">
      <w:pPr>
        <w:pStyle w:val="Seznamobrzk"/>
        <w:tabs>
          <w:tab w:val="right" w:leader="dot" w:pos="9062"/>
        </w:tabs>
        <w:rPr>
          <w:rFonts w:eastAsiaTheme="minorEastAsia"/>
          <w:noProof/>
          <w:lang w:eastAsia="cs-CZ"/>
        </w:rPr>
      </w:pPr>
      <w:hyperlink w:anchor="_Toc77074711" w:history="1">
        <w:r w:rsidR="00332A29" w:rsidRPr="00AA209F">
          <w:rPr>
            <w:rStyle w:val="Hypertextovodkaz"/>
            <w:noProof/>
          </w:rPr>
          <w:t>Tabulka 1.31: Vnímání respondentů ohledně potřeby podpory většího počtu kulturních aktivit ze strany města</w:t>
        </w:r>
        <w:r w:rsidR="00332A29">
          <w:rPr>
            <w:noProof/>
            <w:webHidden/>
          </w:rPr>
          <w:tab/>
        </w:r>
        <w:r w:rsidR="00332A29">
          <w:rPr>
            <w:noProof/>
            <w:webHidden/>
          </w:rPr>
          <w:fldChar w:fldCharType="begin"/>
        </w:r>
        <w:r w:rsidR="00332A29">
          <w:rPr>
            <w:noProof/>
            <w:webHidden/>
          </w:rPr>
          <w:instrText xml:space="preserve"> PAGEREF _Toc77074711 \h </w:instrText>
        </w:r>
        <w:r w:rsidR="00332A29">
          <w:rPr>
            <w:noProof/>
            <w:webHidden/>
          </w:rPr>
        </w:r>
        <w:r w:rsidR="00332A29">
          <w:rPr>
            <w:noProof/>
            <w:webHidden/>
          </w:rPr>
          <w:fldChar w:fldCharType="separate"/>
        </w:r>
        <w:r w:rsidR="00332A29">
          <w:rPr>
            <w:noProof/>
            <w:webHidden/>
          </w:rPr>
          <w:t>69</w:t>
        </w:r>
        <w:r w:rsidR="00332A29">
          <w:rPr>
            <w:noProof/>
            <w:webHidden/>
          </w:rPr>
          <w:fldChar w:fldCharType="end"/>
        </w:r>
      </w:hyperlink>
    </w:p>
    <w:p w14:paraId="270B4E10" w14:textId="77777777" w:rsidR="00332A29" w:rsidRDefault="00183F7E">
      <w:pPr>
        <w:pStyle w:val="Seznamobrzk"/>
        <w:tabs>
          <w:tab w:val="right" w:leader="dot" w:pos="9062"/>
        </w:tabs>
        <w:rPr>
          <w:rFonts w:eastAsiaTheme="minorEastAsia"/>
          <w:noProof/>
          <w:lang w:eastAsia="cs-CZ"/>
        </w:rPr>
      </w:pPr>
      <w:hyperlink w:anchor="_Toc77074712" w:history="1">
        <w:r w:rsidR="00332A29" w:rsidRPr="00AA209F">
          <w:rPr>
            <w:rStyle w:val="Hypertextovodkaz"/>
            <w:noProof/>
          </w:rPr>
          <w:t>Tabulka 1.32: Struktura využití ploch města Zlína v letech 2009 a 2019</w:t>
        </w:r>
        <w:r w:rsidR="00332A29">
          <w:rPr>
            <w:noProof/>
            <w:webHidden/>
          </w:rPr>
          <w:tab/>
        </w:r>
        <w:r w:rsidR="00332A29">
          <w:rPr>
            <w:noProof/>
            <w:webHidden/>
          </w:rPr>
          <w:fldChar w:fldCharType="begin"/>
        </w:r>
        <w:r w:rsidR="00332A29">
          <w:rPr>
            <w:noProof/>
            <w:webHidden/>
          </w:rPr>
          <w:instrText xml:space="preserve"> PAGEREF _Toc77074712 \h </w:instrText>
        </w:r>
        <w:r w:rsidR="00332A29">
          <w:rPr>
            <w:noProof/>
            <w:webHidden/>
          </w:rPr>
        </w:r>
        <w:r w:rsidR="00332A29">
          <w:rPr>
            <w:noProof/>
            <w:webHidden/>
          </w:rPr>
          <w:fldChar w:fldCharType="separate"/>
        </w:r>
        <w:r w:rsidR="00332A29">
          <w:rPr>
            <w:noProof/>
            <w:webHidden/>
          </w:rPr>
          <w:t>72</w:t>
        </w:r>
        <w:r w:rsidR="00332A29">
          <w:rPr>
            <w:noProof/>
            <w:webHidden/>
          </w:rPr>
          <w:fldChar w:fldCharType="end"/>
        </w:r>
      </w:hyperlink>
    </w:p>
    <w:p w14:paraId="77BE7847" w14:textId="77777777" w:rsidR="00332A29" w:rsidRDefault="00183F7E">
      <w:pPr>
        <w:pStyle w:val="Seznamobrzk"/>
        <w:tabs>
          <w:tab w:val="right" w:leader="dot" w:pos="9062"/>
        </w:tabs>
        <w:rPr>
          <w:rFonts w:eastAsiaTheme="minorEastAsia"/>
          <w:noProof/>
          <w:lang w:eastAsia="cs-CZ"/>
        </w:rPr>
      </w:pPr>
      <w:hyperlink w:anchor="_Toc77074713" w:history="1">
        <w:r w:rsidR="00332A29" w:rsidRPr="00AA209F">
          <w:rPr>
            <w:rStyle w:val="Hypertextovodkaz"/>
            <w:noProof/>
          </w:rPr>
          <w:t>Tabulka 1.33: Významné plochy krajinné zeleně – zelené klíny</w:t>
        </w:r>
        <w:r w:rsidR="00332A29">
          <w:rPr>
            <w:noProof/>
            <w:webHidden/>
          </w:rPr>
          <w:tab/>
        </w:r>
        <w:r w:rsidR="00332A29">
          <w:rPr>
            <w:noProof/>
            <w:webHidden/>
          </w:rPr>
          <w:fldChar w:fldCharType="begin"/>
        </w:r>
        <w:r w:rsidR="00332A29">
          <w:rPr>
            <w:noProof/>
            <w:webHidden/>
          </w:rPr>
          <w:instrText xml:space="preserve"> PAGEREF _Toc77074713 \h </w:instrText>
        </w:r>
        <w:r w:rsidR="00332A29">
          <w:rPr>
            <w:noProof/>
            <w:webHidden/>
          </w:rPr>
        </w:r>
        <w:r w:rsidR="00332A29">
          <w:rPr>
            <w:noProof/>
            <w:webHidden/>
          </w:rPr>
          <w:fldChar w:fldCharType="separate"/>
        </w:r>
        <w:r w:rsidR="00332A29">
          <w:rPr>
            <w:noProof/>
            <w:webHidden/>
          </w:rPr>
          <w:t>75</w:t>
        </w:r>
        <w:r w:rsidR="00332A29">
          <w:rPr>
            <w:noProof/>
            <w:webHidden/>
          </w:rPr>
          <w:fldChar w:fldCharType="end"/>
        </w:r>
      </w:hyperlink>
    </w:p>
    <w:p w14:paraId="61192C09" w14:textId="77777777" w:rsidR="00332A29" w:rsidRDefault="00183F7E">
      <w:pPr>
        <w:pStyle w:val="Seznamobrzk"/>
        <w:tabs>
          <w:tab w:val="right" w:leader="dot" w:pos="9062"/>
        </w:tabs>
        <w:rPr>
          <w:rFonts w:eastAsiaTheme="minorEastAsia"/>
          <w:noProof/>
          <w:lang w:eastAsia="cs-CZ"/>
        </w:rPr>
      </w:pPr>
      <w:hyperlink w:anchor="_Toc77074714" w:history="1">
        <w:r w:rsidR="00332A29" w:rsidRPr="00AA209F">
          <w:rPr>
            <w:rStyle w:val="Hypertextovodkaz"/>
            <w:noProof/>
          </w:rPr>
          <w:t>Tabulka 1.34: Plochy zeleně se zvýšenou ochranou</w:t>
        </w:r>
        <w:r w:rsidR="00332A29">
          <w:rPr>
            <w:noProof/>
            <w:webHidden/>
          </w:rPr>
          <w:tab/>
        </w:r>
        <w:r w:rsidR="00332A29">
          <w:rPr>
            <w:noProof/>
            <w:webHidden/>
          </w:rPr>
          <w:fldChar w:fldCharType="begin"/>
        </w:r>
        <w:r w:rsidR="00332A29">
          <w:rPr>
            <w:noProof/>
            <w:webHidden/>
          </w:rPr>
          <w:instrText xml:space="preserve"> PAGEREF _Toc77074714 \h </w:instrText>
        </w:r>
        <w:r w:rsidR="00332A29">
          <w:rPr>
            <w:noProof/>
            <w:webHidden/>
          </w:rPr>
        </w:r>
        <w:r w:rsidR="00332A29">
          <w:rPr>
            <w:noProof/>
            <w:webHidden/>
          </w:rPr>
          <w:fldChar w:fldCharType="separate"/>
        </w:r>
        <w:r w:rsidR="00332A29">
          <w:rPr>
            <w:noProof/>
            <w:webHidden/>
          </w:rPr>
          <w:t>76</w:t>
        </w:r>
        <w:r w:rsidR="00332A29">
          <w:rPr>
            <w:noProof/>
            <w:webHidden/>
          </w:rPr>
          <w:fldChar w:fldCharType="end"/>
        </w:r>
      </w:hyperlink>
    </w:p>
    <w:p w14:paraId="1DBB3302" w14:textId="77777777" w:rsidR="00332A29" w:rsidRDefault="00183F7E">
      <w:pPr>
        <w:pStyle w:val="Seznamobrzk"/>
        <w:tabs>
          <w:tab w:val="right" w:leader="dot" w:pos="9062"/>
        </w:tabs>
        <w:rPr>
          <w:rFonts w:eastAsiaTheme="minorEastAsia"/>
          <w:noProof/>
          <w:lang w:eastAsia="cs-CZ"/>
        </w:rPr>
      </w:pPr>
      <w:hyperlink w:anchor="_Toc77074715" w:history="1">
        <w:r w:rsidR="00332A29" w:rsidRPr="00AA209F">
          <w:rPr>
            <w:rStyle w:val="Hypertextovodkaz"/>
            <w:noProof/>
          </w:rPr>
          <w:t>Tabulka 1.35: Přehled subjektů a odpadních látek evidovaných v Integrovaném registru znečištění ve Zlíně v roce 2018</w:t>
        </w:r>
        <w:r w:rsidR="00332A29">
          <w:rPr>
            <w:noProof/>
            <w:webHidden/>
          </w:rPr>
          <w:tab/>
        </w:r>
        <w:r w:rsidR="00332A29">
          <w:rPr>
            <w:noProof/>
            <w:webHidden/>
          </w:rPr>
          <w:fldChar w:fldCharType="begin"/>
        </w:r>
        <w:r w:rsidR="00332A29">
          <w:rPr>
            <w:noProof/>
            <w:webHidden/>
          </w:rPr>
          <w:instrText xml:space="preserve"> PAGEREF _Toc77074715 \h </w:instrText>
        </w:r>
        <w:r w:rsidR="00332A29">
          <w:rPr>
            <w:noProof/>
            <w:webHidden/>
          </w:rPr>
        </w:r>
        <w:r w:rsidR="00332A29">
          <w:rPr>
            <w:noProof/>
            <w:webHidden/>
          </w:rPr>
          <w:fldChar w:fldCharType="separate"/>
        </w:r>
        <w:r w:rsidR="00332A29">
          <w:rPr>
            <w:noProof/>
            <w:webHidden/>
          </w:rPr>
          <w:t>79</w:t>
        </w:r>
        <w:r w:rsidR="00332A29">
          <w:rPr>
            <w:noProof/>
            <w:webHidden/>
          </w:rPr>
          <w:fldChar w:fldCharType="end"/>
        </w:r>
      </w:hyperlink>
    </w:p>
    <w:p w14:paraId="31A0901F" w14:textId="77777777" w:rsidR="00332A29" w:rsidRDefault="00183F7E">
      <w:pPr>
        <w:pStyle w:val="Seznamobrzk"/>
        <w:tabs>
          <w:tab w:val="right" w:leader="dot" w:pos="9062"/>
        </w:tabs>
        <w:rPr>
          <w:rFonts w:eastAsiaTheme="minorEastAsia"/>
          <w:noProof/>
          <w:lang w:eastAsia="cs-CZ"/>
        </w:rPr>
      </w:pPr>
      <w:hyperlink w:anchor="_Toc77074716" w:history="1">
        <w:r w:rsidR="00332A29" w:rsidRPr="00AA209F">
          <w:rPr>
            <w:rStyle w:val="Hypertextovodkaz"/>
            <w:noProof/>
          </w:rPr>
          <w:t xml:space="preserve">Tabulka 1.36: </w:t>
        </w:r>
        <w:r w:rsidR="00332A29" w:rsidRPr="00AA209F">
          <w:rPr>
            <w:rStyle w:val="Hypertextovodkaz"/>
            <w:rFonts w:eastAsia="Times New Roman" w:cstheme="minorHAnsi"/>
            <w:noProof/>
            <w:lang w:eastAsia="cs-CZ"/>
          </w:rPr>
          <w:t>Srovnání vybavenosti nádobami na tříděné složky komunálního odpadu mezi lety 2015 a 2020</w:t>
        </w:r>
        <w:r w:rsidR="00332A29">
          <w:rPr>
            <w:noProof/>
            <w:webHidden/>
          </w:rPr>
          <w:tab/>
        </w:r>
        <w:r w:rsidR="00332A29">
          <w:rPr>
            <w:noProof/>
            <w:webHidden/>
          </w:rPr>
          <w:fldChar w:fldCharType="begin"/>
        </w:r>
        <w:r w:rsidR="00332A29">
          <w:rPr>
            <w:noProof/>
            <w:webHidden/>
          </w:rPr>
          <w:instrText xml:space="preserve"> PAGEREF _Toc77074716 \h </w:instrText>
        </w:r>
        <w:r w:rsidR="00332A29">
          <w:rPr>
            <w:noProof/>
            <w:webHidden/>
          </w:rPr>
        </w:r>
        <w:r w:rsidR="00332A29">
          <w:rPr>
            <w:noProof/>
            <w:webHidden/>
          </w:rPr>
          <w:fldChar w:fldCharType="separate"/>
        </w:r>
        <w:r w:rsidR="00332A29">
          <w:rPr>
            <w:noProof/>
            <w:webHidden/>
          </w:rPr>
          <w:t>82</w:t>
        </w:r>
        <w:r w:rsidR="00332A29">
          <w:rPr>
            <w:noProof/>
            <w:webHidden/>
          </w:rPr>
          <w:fldChar w:fldCharType="end"/>
        </w:r>
      </w:hyperlink>
    </w:p>
    <w:p w14:paraId="77C5B82B" w14:textId="77777777" w:rsidR="00332A29" w:rsidRDefault="00183F7E">
      <w:pPr>
        <w:pStyle w:val="Seznamobrzk"/>
        <w:tabs>
          <w:tab w:val="right" w:leader="dot" w:pos="9062"/>
        </w:tabs>
        <w:rPr>
          <w:rFonts w:eastAsiaTheme="minorEastAsia"/>
          <w:noProof/>
          <w:lang w:eastAsia="cs-CZ"/>
        </w:rPr>
      </w:pPr>
      <w:hyperlink w:anchor="_Toc77074717" w:history="1">
        <w:r w:rsidR="00332A29" w:rsidRPr="00AA209F">
          <w:rPr>
            <w:rStyle w:val="Hypertextovodkaz"/>
            <w:noProof/>
          </w:rPr>
          <w:t>Tabulka 1.37: Kapacita, počet tříd a počet dětí v mateřských školách zřizovaných městem Zlínem za školní roky 2013/2014 - 2019/2020</w:t>
        </w:r>
        <w:r w:rsidR="00332A29">
          <w:rPr>
            <w:noProof/>
            <w:webHidden/>
          </w:rPr>
          <w:tab/>
        </w:r>
        <w:r w:rsidR="00332A29">
          <w:rPr>
            <w:noProof/>
            <w:webHidden/>
          </w:rPr>
          <w:fldChar w:fldCharType="begin"/>
        </w:r>
        <w:r w:rsidR="00332A29">
          <w:rPr>
            <w:noProof/>
            <w:webHidden/>
          </w:rPr>
          <w:instrText xml:space="preserve"> PAGEREF _Toc77074717 \h </w:instrText>
        </w:r>
        <w:r w:rsidR="00332A29">
          <w:rPr>
            <w:noProof/>
            <w:webHidden/>
          </w:rPr>
        </w:r>
        <w:r w:rsidR="00332A29">
          <w:rPr>
            <w:noProof/>
            <w:webHidden/>
          </w:rPr>
          <w:fldChar w:fldCharType="separate"/>
        </w:r>
        <w:r w:rsidR="00332A29">
          <w:rPr>
            <w:noProof/>
            <w:webHidden/>
          </w:rPr>
          <w:t>90</w:t>
        </w:r>
        <w:r w:rsidR="00332A29">
          <w:rPr>
            <w:noProof/>
            <w:webHidden/>
          </w:rPr>
          <w:fldChar w:fldCharType="end"/>
        </w:r>
      </w:hyperlink>
    </w:p>
    <w:p w14:paraId="773751B0" w14:textId="77777777" w:rsidR="00332A29" w:rsidRDefault="00183F7E">
      <w:pPr>
        <w:pStyle w:val="Seznamobrzk"/>
        <w:tabs>
          <w:tab w:val="right" w:leader="dot" w:pos="9062"/>
        </w:tabs>
        <w:rPr>
          <w:rFonts w:eastAsiaTheme="minorEastAsia"/>
          <w:noProof/>
          <w:lang w:eastAsia="cs-CZ"/>
        </w:rPr>
      </w:pPr>
      <w:hyperlink w:anchor="_Toc77074718" w:history="1">
        <w:r w:rsidR="00332A29" w:rsidRPr="00AA209F">
          <w:rPr>
            <w:rStyle w:val="Hypertextovodkaz"/>
            <w:noProof/>
          </w:rPr>
          <w:t>Tabulka 1.38: Přehled školských zařízení zřizovaných jiným subjektem než městem Zlín</w:t>
        </w:r>
        <w:r w:rsidR="00332A29">
          <w:rPr>
            <w:noProof/>
            <w:webHidden/>
          </w:rPr>
          <w:tab/>
        </w:r>
        <w:r w:rsidR="00332A29">
          <w:rPr>
            <w:noProof/>
            <w:webHidden/>
          </w:rPr>
          <w:fldChar w:fldCharType="begin"/>
        </w:r>
        <w:r w:rsidR="00332A29">
          <w:rPr>
            <w:noProof/>
            <w:webHidden/>
          </w:rPr>
          <w:instrText xml:space="preserve"> PAGEREF _Toc77074718 \h </w:instrText>
        </w:r>
        <w:r w:rsidR="00332A29">
          <w:rPr>
            <w:noProof/>
            <w:webHidden/>
          </w:rPr>
        </w:r>
        <w:r w:rsidR="00332A29">
          <w:rPr>
            <w:noProof/>
            <w:webHidden/>
          </w:rPr>
          <w:fldChar w:fldCharType="separate"/>
        </w:r>
        <w:r w:rsidR="00332A29">
          <w:rPr>
            <w:noProof/>
            <w:webHidden/>
          </w:rPr>
          <w:t>91</w:t>
        </w:r>
        <w:r w:rsidR="00332A29">
          <w:rPr>
            <w:noProof/>
            <w:webHidden/>
          </w:rPr>
          <w:fldChar w:fldCharType="end"/>
        </w:r>
      </w:hyperlink>
    </w:p>
    <w:p w14:paraId="2045C7BF" w14:textId="77777777" w:rsidR="00332A29" w:rsidRDefault="00183F7E">
      <w:pPr>
        <w:pStyle w:val="Seznamobrzk"/>
        <w:tabs>
          <w:tab w:val="right" w:leader="dot" w:pos="9062"/>
        </w:tabs>
        <w:rPr>
          <w:rFonts w:eastAsiaTheme="minorEastAsia"/>
          <w:noProof/>
          <w:lang w:eastAsia="cs-CZ"/>
        </w:rPr>
      </w:pPr>
      <w:hyperlink w:anchor="_Toc77074719" w:history="1">
        <w:r w:rsidR="00332A29" w:rsidRPr="00AA209F">
          <w:rPr>
            <w:rStyle w:val="Hypertextovodkaz"/>
            <w:noProof/>
          </w:rPr>
          <w:t>Tabulka 1.39: Kapacita, počet tříd a počet dětí v základních školách zřízených městem Zlínem za školní roky 2013/2014 - 2019/2020</w:t>
        </w:r>
        <w:r w:rsidR="00332A29">
          <w:rPr>
            <w:noProof/>
            <w:webHidden/>
          </w:rPr>
          <w:tab/>
        </w:r>
        <w:r w:rsidR="00332A29">
          <w:rPr>
            <w:noProof/>
            <w:webHidden/>
          </w:rPr>
          <w:fldChar w:fldCharType="begin"/>
        </w:r>
        <w:r w:rsidR="00332A29">
          <w:rPr>
            <w:noProof/>
            <w:webHidden/>
          </w:rPr>
          <w:instrText xml:space="preserve"> PAGEREF _Toc77074719 \h </w:instrText>
        </w:r>
        <w:r w:rsidR="00332A29">
          <w:rPr>
            <w:noProof/>
            <w:webHidden/>
          </w:rPr>
        </w:r>
        <w:r w:rsidR="00332A29">
          <w:rPr>
            <w:noProof/>
            <w:webHidden/>
          </w:rPr>
          <w:fldChar w:fldCharType="separate"/>
        </w:r>
        <w:r w:rsidR="00332A29">
          <w:rPr>
            <w:noProof/>
            <w:webHidden/>
          </w:rPr>
          <w:t>92</w:t>
        </w:r>
        <w:r w:rsidR="00332A29">
          <w:rPr>
            <w:noProof/>
            <w:webHidden/>
          </w:rPr>
          <w:fldChar w:fldCharType="end"/>
        </w:r>
      </w:hyperlink>
    </w:p>
    <w:p w14:paraId="300CB923" w14:textId="77777777" w:rsidR="00332A29" w:rsidRDefault="00183F7E">
      <w:pPr>
        <w:pStyle w:val="Seznamobrzk"/>
        <w:tabs>
          <w:tab w:val="right" w:leader="dot" w:pos="9062"/>
        </w:tabs>
        <w:rPr>
          <w:rFonts w:eastAsiaTheme="minorEastAsia"/>
          <w:noProof/>
          <w:lang w:eastAsia="cs-CZ"/>
        </w:rPr>
      </w:pPr>
      <w:hyperlink w:anchor="_Toc77074720" w:history="1">
        <w:r w:rsidR="00332A29" w:rsidRPr="00AA209F">
          <w:rPr>
            <w:rStyle w:val="Hypertextovodkaz"/>
            <w:noProof/>
          </w:rPr>
          <w:t>Tabulka 1.40: Přehled základních škol zřizovaných jiným subjektem než městem Zlínem</w:t>
        </w:r>
        <w:r w:rsidR="00332A29">
          <w:rPr>
            <w:noProof/>
            <w:webHidden/>
          </w:rPr>
          <w:tab/>
        </w:r>
        <w:r w:rsidR="00332A29">
          <w:rPr>
            <w:noProof/>
            <w:webHidden/>
          </w:rPr>
          <w:fldChar w:fldCharType="begin"/>
        </w:r>
        <w:r w:rsidR="00332A29">
          <w:rPr>
            <w:noProof/>
            <w:webHidden/>
          </w:rPr>
          <w:instrText xml:space="preserve"> PAGEREF _Toc77074720 \h </w:instrText>
        </w:r>
        <w:r w:rsidR="00332A29">
          <w:rPr>
            <w:noProof/>
            <w:webHidden/>
          </w:rPr>
        </w:r>
        <w:r w:rsidR="00332A29">
          <w:rPr>
            <w:noProof/>
            <w:webHidden/>
          </w:rPr>
          <w:fldChar w:fldCharType="separate"/>
        </w:r>
        <w:r w:rsidR="00332A29">
          <w:rPr>
            <w:noProof/>
            <w:webHidden/>
          </w:rPr>
          <w:t>94</w:t>
        </w:r>
        <w:r w:rsidR="00332A29">
          <w:rPr>
            <w:noProof/>
            <w:webHidden/>
          </w:rPr>
          <w:fldChar w:fldCharType="end"/>
        </w:r>
      </w:hyperlink>
    </w:p>
    <w:p w14:paraId="732749E1" w14:textId="77777777" w:rsidR="00332A29" w:rsidRDefault="00183F7E">
      <w:pPr>
        <w:pStyle w:val="Seznamobrzk"/>
        <w:tabs>
          <w:tab w:val="right" w:leader="dot" w:pos="9062"/>
        </w:tabs>
        <w:rPr>
          <w:rFonts w:eastAsiaTheme="minorEastAsia"/>
          <w:noProof/>
          <w:lang w:eastAsia="cs-CZ"/>
        </w:rPr>
      </w:pPr>
      <w:hyperlink w:anchor="_Toc77074721" w:history="1">
        <w:r w:rsidR="00332A29" w:rsidRPr="00AA209F">
          <w:rPr>
            <w:rStyle w:val="Hypertextovodkaz"/>
            <w:noProof/>
          </w:rPr>
          <w:t xml:space="preserve">Tabulka 1.41: Kapacita a počet žáků v základních uměleckých školách zřizovaných Zlínským krajem v letech 2013/2014 </w:t>
        </w:r>
        <w:r w:rsidR="00332A29" w:rsidRPr="00AA209F">
          <w:rPr>
            <w:rStyle w:val="Hypertextovodkaz"/>
            <w:noProof/>
          </w:rPr>
          <w:sym w:font="Symbol" w:char="F02D"/>
        </w:r>
        <w:r w:rsidR="00332A29" w:rsidRPr="00AA209F">
          <w:rPr>
            <w:rStyle w:val="Hypertextovodkaz"/>
            <w:noProof/>
          </w:rPr>
          <w:t xml:space="preserve"> 2019/2020</w:t>
        </w:r>
        <w:r w:rsidR="00332A29">
          <w:rPr>
            <w:noProof/>
            <w:webHidden/>
          </w:rPr>
          <w:tab/>
        </w:r>
        <w:r w:rsidR="00332A29">
          <w:rPr>
            <w:noProof/>
            <w:webHidden/>
          </w:rPr>
          <w:fldChar w:fldCharType="begin"/>
        </w:r>
        <w:r w:rsidR="00332A29">
          <w:rPr>
            <w:noProof/>
            <w:webHidden/>
          </w:rPr>
          <w:instrText xml:space="preserve"> PAGEREF _Toc77074721 \h </w:instrText>
        </w:r>
        <w:r w:rsidR="00332A29">
          <w:rPr>
            <w:noProof/>
            <w:webHidden/>
          </w:rPr>
        </w:r>
        <w:r w:rsidR="00332A29">
          <w:rPr>
            <w:noProof/>
            <w:webHidden/>
          </w:rPr>
          <w:fldChar w:fldCharType="separate"/>
        </w:r>
        <w:r w:rsidR="00332A29">
          <w:rPr>
            <w:noProof/>
            <w:webHidden/>
          </w:rPr>
          <w:t>94</w:t>
        </w:r>
        <w:r w:rsidR="00332A29">
          <w:rPr>
            <w:noProof/>
            <w:webHidden/>
          </w:rPr>
          <w:fldChar w:fldCharType="end"/>
        </w:r>
      </w:hyperlink>
    </w:p>
    <w:p w14:paraId="454A3898" w14:textId="77777777" w:rsidR="00332A29" w:rsidRDefault="00183F7E">
      <w:pPr>
        <w:pStyle w:val="Seznamobrzk"/>
        <w:tabs>
          <w:tab w:val="right" w:leader="dot" w:pos="9062"/>
        </w:tabs>
        <w:rPr>
          <w:rFonts w:eastAsiaTheme="minorEastAsia"/>
          <w:noProof/>
          <w:lang w:eastAsia="cs-CZ"/>
        </w:rPr>
      </w:pPr>
      <w:hyperlink w:anchor="_Toc77074722" w:history="1">
        <w:r w:rsidR="00332A29" w:rsidRPr="00AA209F">
          <w:rPr>
            <w:rStyle w:val="Hypertextovodkaz"/>
            <w:noProof/>
          </w:rPr>
          <w:t>Tabulka 1.42: Kapacita, počet tříd a počet dětí ve středních školách zřizovaných Zlínským krajem na území města Zlína za školní roky 2013/2014 - 2019/2020</w:t>
        </w:r>
        <w:r w:rsidR="00332A29">
          <w:rPr>
            <w:noProof/>
            <w:webHidden/>
          </w:rPr>
          <w:tab/>
        </w:r>
        <w:r w:rsidR="00332A29">
          <w:rPr>
            <w:noProof/>
            <w:webHidden/>
          </w:rPr>
          <w:fldChar w:fldCharType="begin"/>
        </w:r>
        <w:r w:rsidR="00332A29">
          <w:rPr>
            <w:noProof/>
            <w:webHidden/>
          </w:rPr>
          <w:instrText xml:space="preserve"> PAGEREF _Toc77074722 \h </w:instrText>
        </w:r>
        <w:r w:rsidR="00332A29">
          <w:rPr>
            <w:noProof/>
            <w:webHidden/>
          </w:rPr>
        </w:r>
        <w:r w:rsidR="00332A29">
          <w:rPr>
            <w:noProof/>
            <w:webHidden/>
          </w:rPr>
          <w:fldChar w:fldCharType="separate"/>
        </w:r>
        <w:r w:rsidR="00332A29">
          <w:rPr>
            <w:noProof/>
            <w:webHidden/>
          </w:rPr>
          <w:t>96</w:t>
        </w:r>
        <w:r w:rsidR="00332A29">
          <w:rPr>
            <w:noProof/>
            <w:webHidden/>
          </w:rPr>
          <w:fldChar w:fldCharType="end"/>
        </w:r>
      </w:hyperlink>
    </w:p>
    <w:p w14:paraId="4B6A02CC" w14:textId="77777777" w:rsidR="00332A29" w:rsidRDefault="00183F7E">
      <w:pPr>
        <w:pStyle w:val="Seznamobrzk"/>
        <w:tabs>
          <w:tab w:val="right" w:leader="dot" w:pos="9062"/>
        </w:tabs>
        <w:rPr>
          <w:rFonts w:eastAsiaTheme="minorEastAsia"/>
          <w:noProof/>
          <w:lang w:eastAsia="cs-CZ"/>
        </w:rPr>
      </w:pPr>
      <w:hyperlink w:anchor="_Toc77074723" w:history="1">
        <w:r w:rsidR="00332A29" w:rsidRPr="00AA209F">
          <w:rPr>
            <w:rStyle w:val="Hypertextovodkaz"/>
            <w:noProof/>
          </w:rPr>
          <w:t>Tabulka 1.43: Přehled středních škol jiných zřizovatelů, působících na území města Zlína</w:t>
        </w:r>
        <w:r w:rsidR="00332A29">
          <w:rPr>
            <w:noProof/>
            <w:webHidden/>
          </w:rPr>
          <w:tab/>
        </w:r>
        <w:r w:rsidR="00332A29">
          <w:rPr>
            <w:noProof/>
            <w:webHidden/>
          </w:rPr>
          <w:fldChar w:fldCharType="begin"/>
        </w:r>
        <w:r w:rsidR="00332A29">
          <w:rPr>
            <w:noProof/>
            <w:webHidden/>
          </w:rPr>
          <w:instrText xml:space="preserve"> PAGEREF _Toc77074723 \h </w:instrText>
        </w:r>
        <w:r w:rsidR="00332A29">
          <w:rPr>
            <w:noProof/>
            <w:webHidden/>
          </w:rPr>
        </w:r>
        <w:r w:rsidR="00332A29">
          <w:rPr>
            <w:noProof/>
            <w:webHidden/>
          </w:rPr>
          <w:fldChar w:fldCharType="separate"/>
        </w:r>
        <w:r w:rsidR="00332A29">
          <w:rPr>
            <w:noProof/>
            <w:webHidden/>
          </w:rPr>
          <w:t>96</w:t>
        </w:r>
        <w:r w:rsidR="00332A29">
          <w:rPr>
            <w:noProof/>
            <w:webHidden/>
          </w:rPr>
          <w:fldChar w:fldCharType="end"/>
        </w:r>
      </w:hyperlink>
    </w:p>
    <w:p w14:paraId="3CFA354F" w14:textId="77777777" w:rsidR="00332A29" w:rsidRDefault="00183F7E">
      <w:pPr>
        <w:pStyle w:val="Seznamobrzk"/>
        <w:tabs>
          <w:tab w:val="right" w:leader="dot" w:pos="9062"/>
        </w:tabs>
        <w:rPr>
          <w:rFonts w:eastAsiaTheme="minorEastAsia"/>
          <w:noProof/>
          <w:lang w:eastAsia="cs-CZ"/>
        </w:rPr>
      </w:pPr>
      <w:hyperlink w:anchor="_Toc77074724" w:history="1">
        <w:r w:rsidR="00332A29" w:rsidRPr="00AA209F">
          <w:rPr>
            <w:rStyle w:val="Hypertextovodkaz"/>
            <w:noProof/>
          </w:rPr>
          <w:t>Tabulka 1.44: Přehled oborů nabízených na středních školách ve městě Zlín</w:t>
        </w:r>
        <w:r w:rsidR="00332A29">
          <w:rPr>
            <w:noProof/>
            <w:webHidden/>
          </w:rPr>
          <w:tab/>
        </w:r>
        <w:r w:rsidR="00332A29">
          <w:rPr>
            <w:noProof/>
            <w:webHidden/>
          </w:rPr>
          <w:fldChar w:fldCharType="begin"/>
        </w:r>
        <w:r w:rsidR="00332A29">
          <w:rPr>
            <w:noProof/>
            <w:webHidden/>
          </w:rPr>
          <w:instrText xml:space="preserve"> PAGEREF _Toc77074724 \h </w:instrText>
        </w:r>
        <w:r w:rsidR="00332A29">
          <w:rPr>
            <w:noProof/>
            <w:webHidden/>
          </w:rPr>
        </w:r>
        <w:r w:rsidR="00332A29">
          <w:rPr>
            <w:noProof/>
            <w:webHidden/>
          </w:rPr>
          <w:fldChar w:fldCharType="separate"/>
        </w:r>
        <w:r w:rsidR="00332A29">
          <w:rPr>
            <w:noProof/>
            <w:webHidden/>
          </w:rPr>
          <w:t>97</w:t>
        </w:r>
        <w:r w:rsidR="00332A29">
          <w:rPr>
            <w:noProof/>
            <w:webHidden/>
          </w:rPr>
          <w:fldChar w:fldCharType="end"/>
        </w:r>
      </w:hyperlink>
    </w:p>
    <w:p w14:paraId="65DBF26F" w14:textId="77777777" w:rsidR="00332A29" w:rsidRDefault="00183F7E">
      <w:pPr>
        <w:pStyle w:val="Seznamobrzk"/>
        <w:tabs>
          <w:tab w:val="right" w:leader="dot" w:pos="9062"/>
        </w:tabs>
        <w:rPr>
          <w:rFonts w:eastAsiaTheme="minorEastAsia"/>
          <w:noProof/>
          <w:lang w:eastAsia="cs-CZ"/>
        </w:rPr>
      </w:pPr>
      <w:hyperlink w:anchor="_Toc77074725" w:history="1">
        <w:r w:rsidR="00332A29" w:rsidRPr="00AA209F">
          <w:rPr>
            <w:rStyle w:val="Hypertextovodkaz"/>
            <w:noProof/>
          </w:rPr>
          <w:t>Tabulka 1.45: Kapacita, počet skupin a studentů vyšších odborných škol na území města Zlína, zřizované Zlínským krajem v letech 2013/2014 – 2019/2020</w:t>
        </w:r>
        <w:r w:rsidR="00332A29">
          <w:rPr>
            <w:noProof/>
            <w:webHidden/>
          </w:rPr>
          <w:tab/>
        </w:r>
        <w:r w:rsidR="00332A29">
          <w:rPr>
            <w:noProof/>
            <w:webHidden/>
          </w:rPr>
          <w:fldChar w:fldCharType="begin"/>
        </w:r>
        <w:r w:rsidR="00332A29">
          <w:rPr>
            <w:noProof/>
            <w:webHidden/>
          </w:rPr>
          <w:instrText xml:space="preserve"> PAGEREF _Toc77074725 \h </w:instrText>
        </w:r>
        <w:r w:rsidR="00332A29">
          <w:rPr>
            <w:noProof/>
            <w:webHidden/>
          </w:rPr>
        </w:r>
        <w:r w:rsidR="00332A29">
          <w:rPr>
            <w:noProof/>
            <w:webHidden/>
          </w:rPr>
          <w:fldChar w:fldCharType="separate"/>
        </w:r>
        <w:r w:rsidR="00332A29">
          <w:rPr>
            <w:noProof/>
            <w:webHidden/>
          </w:rPr>
          <w:t>98</w:t>
        </w:r>
        <w:r w:rsidR="00332A29">
          <w:rPr>
            <w:noProof/>
            <w:webHidden/>
          </w:rPr>
          <w:fldChar w:fldCharType="end"/>
        </w:r>
      </w:hyperlink>
    </w:p>
    <w:p w14:paraId="41F08B41" w14:textId="77777777" w:rsidR="00332A29" w:rsidRDefault="00183F7E">
      <w:pPr>
        <w:pStyle w:val="Seznamobrzk"/>
        <w:tabs>
          <w:tab w:val="right" w:leader="dot" w:pos="9062"/>
        </w:tabs>
        <w:rPr>
          <w:rFonts w:eastAsiaTheme="minorEastAsia"/>
          <w:noProof/>
          <w:lang w:eastAsia="cs-CZ"/>
        </w:rPr>
      </w:pPr>
      <w:hyperlink w:anchor="_Toc77074726" w:history="1">
        <w:r w:rsidR="00332A29" w:rsidRPr="00AA209F">
          <w:rPr>
            <w:rStyle w:val="Hypertextovodkaz"/>
            <w:noProof/>
          </w:rPr>
          <w:t>Tabulka 1.46: Přehled oborů nabízených na vyšších odborných školách ve městě Zlín</w:t>
        </w:r>
        <w:r w:rsidR="00332A29">
          <w:rPr>
            <w:noProof/>
            <w:webHidden/>
          </w:rPr>
          <w:tab/>
        </w:r>
        <w:r w:rsidR="00332A29">
          <w:rPr>
            <w:noProof/>
            <w:webHidden/>
          </w:rPr>
          <w:fldChar w:fldCharType="begin"/>
        </w:r>
        <w:r w:rsidR="00332A29">
          <w:rPr>
            <w:noProof/>
            <w:webHidden/>
          </w:rPr>
          <w:instrText xml:space="preserve"> PAGEREF _Toc77074726 \h </w:instrText>
        </w:r>
        <w:r w:rsidR="00332A29">
          <w:rPr>
            <w:noProof/>
            <w:webHidden/>
          </w:rPr>
        </w:r>
        <w:r w:rsidR="00332A29">
          <w:rPr>
            <w:noProof/>
            <w:webHidden/>
          </w:rPr>
          <w:fldChar w:fldCharType="separate"/>
        </w:r>
        <w:r w:rsidR="00332A29">
          <w:rPr>
            <w:noProof/>
            <w:webHidden/>
          </w:rPr>
          <w:t>98</w:t>
        </w:r>
        <w:r w:rsidR="00332A29">
          <w:rPr>
            <w:noProof/>
            <w:webHidden/>
          </w:rPr>
          <w:fldChar w:fldCharType="end"/>
        </w:r>
      </w:hyperlink>
    </w:p>
    <w:p w14:paraId="441B0AEA" w14:textId="77777777" w:rsidR="00332A29" w:rsidRDefault="00183F7E">
      <w:pPr>
        <w:pStyle w:val="Seznamobrzk"/>
        <w:tabs>
          <w:tab w:val="right" w:leader="dot" w:pos="9062"/>
        </w:tabs>
        <w:rPr>
          <w:rFonts w:eastAsiaTheme="minorEastAsia"/>
          <w:noProof/>
          <w:lang w:eastAsia="cs-CZ"/>
        </w:rPr>
      </w:pPr>
      <w:hyperlink w:anchor="_Toc77074727" w:history="1">
        <w:r w:rsidR="00332A29" w:rsidRPr="00AA209F">
          <w:rPr>
            <w:rStyle w:val="Hypertextovodkaz"/>
            <w:noProof/>
          </w:rPr>
          <w:t xml:space="preserve">Tabulka 1.47: </w:t>
        </w:r>
        <w:r w:rsidR="00332A29" w:rsidRPr="00AA209F">
          <w:rPr>
            <w:rStyle w:val="Hypertextovodkaz"/>
            <w:rFonts w:cstheme="minorHAnsi"/>
            <w:noProof/>
          </w:rPr>
          <w:t>Spokojenost s oblastí vzdělávání podle pohlaví, věku a u studentů UTB</w:t>
        </w:r>
        <w:r w:rsidR="00332A29">
          <w:rPr>
            <w:noProof/>
            <w:webHidden/>
          </w:rPr>
          <w:tab/>
        </w:r>
        <w:r w:rsidR="00332A29">
          <w:rPr>
            <w:noProof/>
            <w:webHidden/>
          </w:rPr>
          <w:fldChar w:fldCharType="begin"/>
        </w:r>
        <w:r w:rsidR="00332A29">
          <w:rPr>
            <w:noProof/>
            <w:webHidden/>
          </w:rPr>
          <w:instrText xml:space="preserve"> PAGEREF _Toc77074727 \h </w:instrText>
        </w:r>
        <w:r w:rsidR="00332A29">
          <w:rPr>
            <w:noProof/>
            <w:webHidden/>
          </w:rPr>
        </w:r>
        <w:r w:rsidR="00332A29">
          <w:rPr>
            <w:noProof/>
            <w:webHidden/>
          </w:rPr>
          <w:fldChar w:fldCharType="separate"/>
        </w:r>
        <w:r w:rsidR="00332A29">
          <w:rPr>
            <w:noProof/>
            <w:webHidden/>
          </w:rPr>
          <w:t>105</w:t>
        </w:r>
        <w:r w:rsidR="00332A29">
          <w:rPr>
            <w:noProof/>
            <w:webHidden/>
          </w:rPr>
          <w:fldChar w:fldCharType="end"/>
        </w:r>
      </w:hyperlink>
    </w:p>
    <w:p w14:paraId="5C7E85BA" w14:textId="77777777" w:rsidR="00332A29" w:rsidRDefault="00183F7E">
      <w:pPr>
        <w:pStyle w:val="Seznamobrzk"/>
        <w:tabs>
          <w:tab w:val="right" w:leader="dot" w:pos="9062"/>
        </w:tabs>
        <w:rPr>
          <w:rFonts w:eastAsiaTheme="minorEastAsia"/>
          <w:noProof/>
          <w:lang w:eastAsia="cs-CZ"/>
        </w:rPr>
      </w:pPr>
      <w:hyperlink w:anchor="_Toc77074728" w:history="1">
        <w:r w:rsidR="00332A29" w:rsidRPr="00AA209F">
          <w:rPr>
            <w:rStyle w:val="Hypertextovodkaz"/>
            <w:noProof/>
          </w:rPr>
          <w:t>Tabulka 1.48: Nabídka a poptávka po parkovacích místech</w:t>
        </w:r>
        <w:r w:rsidR="00332A29">
          <w:rPr>
            <w:noProof/>
            <w:webHidden/>
          </w:rPr>
          <w:tab/>
        </w:r>
        <w:r w:rsidR="00332A29">
          <w:rPr>
            <w:noProof/>
            <w:webHidden/>
          </w:rPr>
          <w:fldChar w:fldCharType="begin"/>
        </w:r>
        <w:r w:rsidR="00332A29">
          <w:rPr>
            <w:noProof/>
            <w:webHidden/>
          </w:rPr>
          <w:instrText xml:space="preserve"> PAGEREF _Toc77074728 \h </w:instrText>
        </w:r>
        <w:r w:rsidR="00332A29">
          <w:rPr>
            <w:noProof/>
            <w:webHidden/>
          </w:rPr>
        </w:r>
        <w:r w:rsidR="00332A29">
          <w:rPr>
            <w:noProof/>
            <w:webHidden/>
          </w:rPr>
          <w:fldChar w:fldCharType="separate"/>
        </w:r>
        <w:r w:rsidR="00332A29">
          <w:rPr>
            <w:noProof/>
            <w:webHidden/>
          </w:rPr>
          <w:t>112</w:t>
        </w:r>
        <w:r w:rsidR="00332A29">
          <w:rPr>
            <w:noProof/>
            <w:webHidden/>
          </w:rPr>
          <w:fldChar w:fldCharType="end"/>
        </w:r>
      </w:hyperlink>
    </w:p>
    <w:p w14:paraId="7CDD1EC9" w14:textId="77777777" w:rsidR="00332A29" w:rsidRDefault="00183F7E">
      <w:pPr>
        <w:pStyle w:val="Seznamobrzk"/>
        <w:tabs>
          <w:tab w:val="right" w:leader="dot" w:pos="9062"/>
        </w:tabs>
        <w:rPr>
          <w:rFonts w:eastAsiaTheme="minorEastAsia"/>
          <w:noProof/>
          <w:lang w:eastAsia="cs-CZ"/>
        </w:rPr>
      </w:pPr>
      <w:hyperlink w:anchor="_Toc77074729" w:history="1">
        <w:r w:rsidR="00332A29" w:rsidRPr="00AA209F">
          <w:rPr>
            <w:rStyle w:val="Hypertextovodkaz"/>
            <w:noProof/>
          </w:rPr>
          <w:t>Tabulka 1.49: Přehled plánovaných oprav komunikací</w:t>
        </w:r>
        <w:r w:rsidR="00332A29">
          <w:rPr>
            <w:noProof/>
            <w:webHidden/>
          </w:rPr>
          <w:tab/>
        </w:r>
        <w:r w:rsidR="00332A29">
          <w:rPr>
            <w:noProof/>
            <w:webHidden/>
          </w:rPr>
          <w:fldChar w:fldCharType="begin"/>
        </w:r>
        <w:r w:rsidR="00332A29">
          <w:rPr>
            <w:noProof/>
            <w:webHidden/>
          </w:rPr>
          <w:instrText xml:space="preserve"> PAGEREF _Toc77074729 \h </w:instrText>
        </w:r>
        <w:r w:rsidR="00332A29">
          <w:rPr>
            <w:noProof/>
            <w:webHidden/>
          </w:rPr>
        </w:r>
        <w:r w:rsidR="00332A29">
          <w:rPr>
            <w:noProof/>
            <w:webHidden/>
          </w:rPr>
          <w:fldChar w:fldCharType="separate"/>
        </w:r>
        <w:r w:rsidR="00332A29">
          <w:rPr>
            <w:noProof/>
            <w:webHidden/>
          </w:rPr>
          <w:t>121</w:t>
        </w:r>
        <w:r w:rsidR="00332A29">
          <w:rPr>
            <w:noProof/>
            <w:webHidden/>
          </w:rPr>
          <w:fldChar w:fldCharType="end"/>
        </w:r>
      </w:hyperlink>
    </w:p>
    <w:p w14:paraId="49F30CA4" w14:textId="77777777" w:rsidR="00332A29" w:rsidRDefault="00183F7E">
      <w:pPr>
        <w:pStyle w:val="Seznamobrzk"/>
        <w:tabs>
          <w:tab w:val="right" w:leader="dot" w:pos="9062"/>
        </w:tabs>
        <w:rPr>
          <w:rFonts w:eastAsiaTheme="minorEastAsia"/>
          <w:noProof/>
          <w:lang w:eastAsia="cs-CZ"/>
        </w:rPr>
      </w:pPr>
      <w:hyperlink w:anchor="_Toc77074730" w:history="1">
        <w:r w:rsidR="00332A29" w:rsidRPr="00AA209F">
          <w:rPr>
            <w:rStyle w:val="Hypertextovodkaz"/>
            <w:noProof/>
          </w:rPr>
          <w:t>Tabulka 1.50: Zkrácení cestovních časů po modernizaci trati 331</w:t>
        </w:r>
        <w:r w:rsidR="00332A29">
          <w:rPr>
            <w:noProof/>
            <w:webHidden/>
          </w:rPr>
          <w:tab/>
        </w:r>
        <w:r w:rsidR="00332A29">
          <w:rPr>
            <w:noProof/>
            <w:webHidden/>
          </w:rPr>
          <w:fldChar w:fldCharType="begin"/>
        </w:r>
        <w:r w:rsidR="00332A29">
          <w:rPr>
            <w:noProof/>
            <w:webHidden/>
          </w:rPr>
          <w:instrText xml:space="preserve"> PAGEREF _Toc77074730 \h </w:instrText>
        </w:r>
        <w:r w:rsidR="00332A29">
          <w:rPr>
            <w:noProof/>
            <w:webHidden/>
          </w:rPr>
        </w:r>
        <w:r w:rsidR="00332A29">
          <w:rPr>
            <w:noProof/>
            <w:webHidden/>
          </w:rPr>
          <w:fldChar w:fldCharType="separate"/>
        </w:r>
        <w:r w:rsidR="00332A29">
          <w:rPr>
            <w:noProof/>
            <w:webHidden/>
          </w:rPr>
          <w:t>122</w:t>
        </w:r>
        <w:r w:rsidR="00332A29">
          <w:rPr>
            <w:noProof/>
            <w:webHidden/>
          </w:rPr>
          <w:fldChar w:fldCharType="end"/>
        </w:r>
      </w:hyperlink>
    </w:p>
    <w:p w14:paraId="0C38C0BB" w14:textId="77777777" w:rsidR="00332A29" w:rsidRDefault="00183F7E">
      <w:pPr>
        <w:pStyle w:val="Seznamobrzk"/>
        <w:tabs>
          <w:tab w:val="right" w:leader="dot" w:pos="9062"/>
        </w:tabs>
        <w:rPr>
          <w:rFonts w:eastAsiaTheme="minorEastAsia"/>
          <w:noProof/>
          <w:lang w:eastAsia="cs-CZ"/>
        </w:rPr>
      </w:pPr>
      <w:hyperlink w:anchor="_Toc77074731" w:history="1">
        <w:r w:rsidR="00332A29" w:rsidRPr="00AA209F">
          <w:rPr>
            <w:rStyle w:val="Hypertextovodkaz"/>
            <w:noProof/>
          </w:rPr>
          <w:t>Tabulka 1.51: Počet a podíl občanů napojených na kanalizaci</w:t>
        </w:r>
        <w:r w:rsidR="00332A29">
          <w:rPr>
            <w:noProof/>
            <w:webHidden/>
          </w:rPr>
          <w:tab/>
        </w:r>
        <w:r w:rsidR="00332A29">
          <w:rPr>
            <w:noProof/>
            <w:webHidden/>
          </w:rPr>
          <w:fldChar w:fldCharType="begin"/>
        </w:r>
        <w:r w:rsidR="00332A29">
          <w:rPr>
            <w:noProof/>
            <w:webHidden/>
          </w:rPr>
          <w:instrText xml:space="preserve"> PAGEREF _Toc77074731 \h </w:instrText>
        </w:r>
        <w:r w:rsidR="00332A29">
          <w:rPr>
            <w:noProof/>
            <w:webHidden/>
          </w:rPr>
        </w:r>
        <w:r w:rsidR="00332A29">
          <w:rPr>
            <w:noProof/>
            <w:webHidden/>
          </w:rPr>
          <w:fldChar w:fldCharType="separate"/>
        </w:r>
        <w:r w:rsidR="00332A29">
          <w:rPr>
            <w:noProof/>
            <w:webHidden/>
          </w:rPr>
          <w:t>129</w:t>
        </w:r>
        <w:r w:rsidR="00332A29">
          <w:rPr>
            <w:noProof/>
            <w:webHidden/>
          </w:rPr>
          <w:fldChar w:fldCharType="end"/>
        </w:r>
      </w:hyperlink>
    </w:p>
    <w:p w14:paraId="78466E8B" w14:textId="77777777" w:rsidR="00332A29" w:rsidRDefault="00183F7E">
      <w:pPr>
        <w:pStyle w:val="Seznamobrzk"/>
        <w:tabs>
          <w:tab w:val="right" w:leader="dot" w:pos="9062"/>
        </w:tabs>
        <w:rPr>
          <w:rFonts w:eastAsiaTheme="minorEastAsia"/>
          <w:noProof/>
          <w:lang w:eastAsia="cs-CZ"/>
        </w:rPr>
      </w:pPr>
      <w:hyperlink w:anchor="_Toc77074732" w:history="1">
        <w:r w:rsidR="00332A29" w:rsidRPr="00AA209F">
          <w:rPr>
            <w:rStyle w:val="Hypertextovodkaz"/>
            <w:noProof/>
          </w:rPr>
          <w:t>Tabulka 1.52: Průměrná spotřeba plynu podle druhu odběratele v m</w:t>
        </w:r>
        <w:r w:rsidR="00332A29" w:rsidRPr="00AA209F">
          <w:rPr>
            <w:rStyle w:val="Hypertextovodkaz"/>
            <w:noProof/>
            <w:vertAlign w:val="superscript"/>
          </w:rPr>
          <w:t>3</w:t>
        </w:r>
        <w:r w:rsidR="00332A29" w:rsidRPr="00AA209F">
          <w:rPr>
            <w:rStyle w:val="Hypertextovodkaz"/>
            <w:noProof/>
          </w:rPr>
          <w:t xml:space="preserve"> za rok (2014 </w:t>
        </w:r>
        <w:r w:rsidR="00332A29" w:rsidRPr="00AA209F">
          <w:rPr>
            <w:rStyle w:val="Hypertextovodkaz"/>
            <w:noProof/>
          </w:rPr>
          <w:sym w:font="Symbol" w:char="F02D"/>
        </w:r>
        <w:r w:rsidR="00332A29" w:rsidRPr="00AA209F">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_Toc77074732 \h </w:instrText>
        </w:r>
        <w:r w:rsidR="00332A29">
          <w:rPr>
            <w:noProof/>
            <w:webHidden/>
          </w:rPr>
        </w:r>
        <w:r w:rsidR="00332A29">
          <w:rPr>
            <w:noProof/>
            <w:webHidden/>
          </w:rPr>
          <w:fldChar w:fldCharType="separate"/>
        </w:r>
        <w:r w:rsidR="00332A29">
          <w:rPr>
            <w:noProof/>
            <w:webHidden/>
          </w:rPr>
          <w:t>131</w:t>
        </w:r>
        <w:r w:rsidR="00332A29">
          <w:rPr>
            <w:noProof/>
            <w:webHidden/>
          </w:rPr>
          <w:fldChar w:fldCharType="end"/>
        </w:r>
      </w:hyperlink>
    </w:p>
    <w:p w14:paraId="410BB592" w14:textId="77777777" w:rsidR="00332A29" w:rsidRDefault="00183F7E">
      <w:pPr>
        <w:pStyle w:val="Seznamobrzk"/>
        <w:tabs>
          <w:tab w:val="right" w:leader="dot" w:pos="9062"/>
        </w:tabs>
        <w:rPr>
          <w:rFonts w:eastAsiaTheme="minorEastAsia"/>
          <w:noProof/>
          <w:lang w:eastAsia="cs-CZ"/>
        </w:rPr>
      </w:pPr>
      <w:hyperlink w:anchor="_Toc77074733" w:history="1">
        <w:r w:rsidR="00332A29" w:rsidRPr="00AA209F">
          <w:rPr>
            <w:rStyle w:val="Hypertextovodkaz"/>
            <w:noProof/>
          </w:rPr>
          <w:t xml:space="preserve">Tabulka 1.53: Počet trestných činů podle klasifikace v rámci OOP Zlín 2013 </w:t>
        </w:r>
        <w:r w:rsidR="00332A29" w:rsidRPr="00AA209F">
          <w:rPr>
            <w:rStyle w:val="Hypertextovodkaz"/>
            <w:noProof/>
          </w:rPr>
          <w:sym w:font="Symbol" w:char="F02D"/>
        </w:r>
        <w:r w:rsidR="00332A29" w:rsidRPr="00AA209F">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_Toc77074733 \h </w:instrText>
        </w:r>
        <w:r w:rsidR="00332A29">
          <w:rPr>
            <w:noProof/>
            <w:webHidden/>
          </w:rPr>
        </w:r>
        <w:r w:rsidR="00332A29">
          <w:rPr>
            <w:noProof/>
            <w:webHidden/>
          </w:rPr>
          <w:fldChar w:fldCharType="separate"/>
        </w:r>
        <w:r w:rsidR="00332A29">
          <w:rPr>
            <w:noProof/>
            <w:webHidden/>
          </w:rPr>
          <w:t>142</w:t>
        </w:r>
        <w:r w:rsidR="00332A29">
          <w:rPr>
            <w:noProof/>
            <w:webHidden/>
          </w:rPr>
          <w:fldChar w:fldCharType="end"/>
        </w:r>
      </w:hyperlink>
    </w:p>
    <w:p w14:paraId="79416B3E" w14:textId="77777777" w:rsidR="00332A29" w:rsidRDefault="00183F7E">
      <w:pPr>
        <w:pStyle w:val="Seznamobrzk"/>
        <w:tabs>
          <w:tab w:val="right" w:leader="dot" w:pos="9062"/>
        </w:tabs>
        <w:rPr>
          <w:rFonts w:eastAsiaTheme="minorEastAsia"/>
          <w:noProof/>
          <w:lang w:eastAsia="cs-CZ"/>
        </w:rPr>
      </w:pPr>
      <w:hyperlink w:anchor="_Toc77074734" w:history="1">
        <w:r w:rsidR="00332A29" w:rsidRPr="00AA209F">
          <w:rPr>
            <w:rStyle w:val="Hypertextovodkaz"/>
            <w:noProof/>
          </w:rPr>
          <w:t>Tabulka 1.54: Příklady mimořádných událostí velkého rozsahu a krizových situací ve Zlíně od roku 2012</w:t>
        </w:r>
        <w:r w:rsidR="00332A29">
          <w:rPr>
            <w:noProof/>
            <w:webHidden/>
          </w:rPr>
          <w:tab/>
        </w:r>
        <w:r w:rsidR="00332A29">
          <w:rPr>
            <w:noProof/>
            <w:webHidden/>
          </w:rPr>
          <w:fldChar w:fldCharType="begin"/>
        </w:r>
        <w:r w:rsidR="00332A29">
          <w:rPr>
            <w:noProof/>
            <w:webHidden/>
          </w:rPr>
          <w:instrText xml:space="preserve"> PAGEREF _Toc77074734 \h </w:instrText>
        </w:r>
        <w:r w:rsidR="00332A29">
          <w:rPr>
            <w:noProof/>
            <w:webHidden/>
          </w:rPr>
        </w:r>
        <w:r w:rsidR="00332A29">
          <w:rPr>
            <w:noProof/>
            <w:webHidden/>
          </w:rPr>
          <w:fldChar w:fldCharType="separate"/>
        </w:r>
        <w:r w:rsidR="00332A29">
          <w:rPr>
            <w:noProof/>
            <w:webHidden/>
          </w:rPr>
          <w:t>149</w:t>
        </w:r>
        <w:r w:rsidR="00332A29">
          <w:rPr>
            <w:noProof/>
            <w:webHidden/>
          </w:rPr>
          <w:fldChar w:fldCharType="end"/>
        </w:r>
      </w:hyperlink>
    </w:p>
    <w:p w14:paraId="5DBC151E" w14:textId="77777777" w:rsidR="00332A29" w:rsidRDefault="00183F7E">
      <w:pPr>
        <w:pStyle w:val="Seznamobrzk"/>
        <w:tabs>
          <w:tab w:val="right" w:leader="dot" w:pos="9062"/>
        </w:tabs>
        <w:rPr>
          <w:rFonts w:eastAsiaTheme="minorEastAsia"/>
          <w:noProof/>
          <w:lang w:eastAsia="cs-CZ"/>
        </w:rPr>
      </w:pPr>
      <w:hyperlink w:anchor="_Toc77074735" w:history="1">
        <w:r w:rsidR="00332A29" w:rsidRPr="00AA209F">
          <w:rPr>
            <w:rStyle w:val="Hypertextovodkaz"/>
            <w:noProof/>
          </w:rPr>
          <w:t xml:space="preserve">Tabulka 1.55: Počet a podíl nehod ve Zlíně podle dní v týdnu (2016 </w:t>
        </w:r>
        <w:r w:rsidR="00332A29" w:rsidRPr="00AA209F">
          <w:rPr>
            <w:rStyle w:val="Hypertextovodkaz"/>
            <w:noProof/>
          </w:rPr>
          <w:sym w:font="Symbol" w:char="F02D"/>
        </w:r>
        <w:r w:rsidR="00332A29" w:rsidRPr="00AA209F">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_Toc77074735 \h </w:instrText>
        </w:r>
        <w:r w:rsidR="00332A29">
          <w:rPr>
            <w:noProof/>
            <w:webHidden/>
          </w:rPr>
        </w:r>
        <w:r w:rsidR="00332A29">
          <w:rPr>
            <w:noProof/>
            <w:webHidden/>
          </w:rPr>
          <w:fldChar w:fldCharType="separate"/>
        </w:r>
        <w:r w:rsidR="00332A29">
          <w:rPr>
            <w:noProof/>
            <w:webHidden/>
          </w:rPr>
          <w:t>152</w:t>
        </w:r>
        <w:r w:rsidR="00332A29">
          <w:rPr>
            <w:noProof/>
            <w:webHidden/>
          </w:rPr>
          <w:fldChar w:fldCharType="end"/>
        </w:r>
      </w:hyperlink>
    </w:p>
    <w:p w14:paraId="138319CF" w14:textId="77777777" w:rsidR="00332A29" w:rsidRDefault="00183F7E">
      <w:pPr>
        <w:pStyle w:val="Seznamobrzk"/>
        <w:tabs>
          <w:tab w:val="right" w:leader="dot" w:pos="9062"/>
        </w:tabs>
        <w:rPr>
          <w:rFonts w:eastAsiaTheme="minorEastAsia"/>
          <w:noProof/>
          <w:lang w:eastAsia="cs-CZ"/>
        </w:rPr>
      </w:pPr>
      <w:hyperlink w:anchor="_Toc77074736" w:history="1">
        <w:r w:rsidR="00332A29" w:rsidRPr="00AA209F">
          <w:rPr>
            <w:rStyle w:val="Hypertextovodkaz"/>
            <w:noProof/>
          </w:rPr>
          <w:t xml:space="preserve">Tabulka 1.56: Následky nehod ve Zlíně (2016 </w:t>
        </w:r>
        <w:r w:rsidR="00332A29" w:rsidRPr="00AA209F">
          <w:rPr>
            <w:rStyle w:val="Hypertextovodkaz"/>
            <w:noProof/>
          </w:rPr>
          <w:sym w:font="Symbol" w:char="F02D"/>
        </w:r>
        <w:r w:rsidR="00332A29" w:rsidRPr="00AA209F">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_Toc77074736 \h </w:instrText>
        </w:r>
        <w:r w:rsidR="00332A29">
          <w:rPr>
            <w:noProof/>
            <w:webHidden/>
          </w:rPr>
        </w:r>
        <w:r w:rsidR="00332A29">
          <w:rPr>
            <w:noProof/>
            <w:webHidden/>
          </w:rPr>
          <w:fldChar w:fldCharType="separate"/>
        </w:r>
        <w:r w:rsidR="00332A29">
          <w:rPr>
            <w:noProof/>
            <w:webHidden/>
          </w:rPr>
          <w:t>153</w:t>
        </w:r>
        <w:r w:rsidR="00332A29">
          <w:rPr>
            <w:noProof/>
            <w:webHidden/>
          </w:rPr>
          <w:fldChar w:fldCharType="end"/>
        </w:r>
      </w:hyperlink>
    </w:p>
    <w:p w14:paraId="2781E1FB" w14:textId="77777777" w:rsidR="00332A29" w:rsidRDefault="00183F7E">
      <w:pPr>
        <w:pStyle w:val="Seznamobrzk"/>
        <w:tabs>
          <w:tab w:val="right" w:leader="dot" w:pos="9062"/>
        </w:tabs>
        <w:rPr>
          <w:rFonts w:eastAsiaTheme="minorEastAsia"/>
          <w:noProof/>
          <w:lang w:eastAsia="cs-CZ"/>
        </w:rPr>
      </w:pPr>
      <w:hyperlink w:anchor="_Toc77074737" w:history="1">
        <w:r w:rsidR="00332A29" w:rsidRPr="00AA209F">
          <w:rPr>
            <w:rStyle w:val="Hypertextovodkaz"/>
            <w:noProof/>
          </w:rPr>
          <w:t>Tabulka 1.57: Vývoj podílu nezaměstnaných osob ve městě Zlín, SO ORP Zlín a Zlínském kraji vždy k 31. 12. daného roku a 31. 5. 2020</w:t>
        </w:r>
        <w:r w:rsidR="00332A29">
          <w:rPr>
            <w:noProof/>
            <w:webHidden/>
          </w:rPr>
          <w:tab/>
        </w:r>
        <w:r w:rsidR="00332A29">
          <w:rPr>
            <w:noProof/>
            <w:webHidden/>
          </w:rPr>
          <w:fldChar w:fldCharType="begin"/>
        </w:r>
        <w:r w:rsidR="00332A29">
          <w:rPr>
            <w:noProof/>
            <w:webHidden/>
          </w:rPr>
          <w:instrText xml:space="preserve"> PAGEREF _Toc77074737 \h </w:instrText>
        </w:r>
        <w:r w:rsidR="00332A29">
          <w:rPr>
            <w:noProof/>
            <w:webHidden/>
          </w:rPr>
        </w:r>
        <w:r w:rsidR="00332A29">
          <w:rPr>
            <w:noProof/>
            <w:webHidden/>
          </w:rPr>
          <w:fldChar w:fldCharType="separate"/>
        </w:r>
        <w:r w:rsidR="00332A29">
          <w:rPr>
            <w:noProof/>
            <w:webHidden/>
          </w:rPr>
          <w:t>159</w:t>
        </w:r>
        <w:r w:rsidR="00332A29">
          <w:rPr>
            <w:noProof/>
            <w:webHidden/>
          </w:rPr>
          <w:fldChar w:fldCharType="end"/>
        </w:r>
      </w:hyperlink>
    </w:p>
    <w:p w14:paraId="3CC73479" w14:textId="77777777" w:rsidR="00332A29" w:rsidRDefault="00183F7E">
      <w:pPr>
        <w:pStyle w:val="Seznamobrzk"/>
        <w:tabs>
          <w:tab w:val="right" w:leader="dot" w:pos="9062"/>
        </w:tabs>
        <w:rPr>
          <w:rFonts w:eastAsiaTheme="minorEastAsia"/>
          <w:noProof/>
          <w:lang w:eastAsia="cs-CZ"/>
        </w:rPr>
      </w:pPr>
      <w:hyperlink w:anchor="_Toc77074738" w:history="1">
        <w:r w:rsidR="00332A29" w:rsidRPr="00AA209F">
          <w:rPr>
            <w:rStyle w:val="Hypertextovodkaz"/>
            <w:noProof/>
          </w:rPr>
          <w:t>Tabulka 1.58: Podíl volných pracovním míst města na VPM ORP Zlín v období 12/2014 – 05/2020</w:t>
        </w:r>
        <w:r w:rsidR="00332A29">
          <w:rPr>
            <w:noProof/>
            <w:webHidden/>
          </w:rPr>
          <w:tab/>
        </w:r>
        <w:r w:rsidR="00332A29">
          <w:rPr>
            <w:noProof/>
            <w:webHidden/>
          </w:rPr>
          <w:fldChar w:fldCharType="begin"/>
        </w:r>
        <w:r w:rsidR="00332A29">
          <w:rPr>
            <w:noProof/>
            <w:webHidden/>
          </w:rPr>
          <w:instrText xml:space="preserve"> PAGEREF _Toc77074738 \h </w:instrText>
        </w:r>
        <w:r w:rsidR="00332A29">
          <w:rPr>
            <w:noProof/>
            <w:webHidden/>
          </w:rPr>
        </w:r>
        <w:r w:rsidR="00332A29">
          <w:rPr>
            <w:noProof/>
            <w:webHidden/>
          </w:rPr>
          <w:fldChar w:fldCharType="separate"/>
        </w:r>
        <w:r w:rsidR="00332A29">
          <w:rPr>
            <w:noProof/>
            <w:webHidden/>
          </w:rPr>
          <w:t>160</w:t>
        </w:r>
        <w:r w:rsidR="00332A29">
          <w:rPr>
            <w:noProof/>
            <w:webHidden/>
          </w:rPr>
          <w:fldChar w:fldCharType="end"/>
        </w:r>
      </w:hyperlink>
    </w:p>
    <w:p w14:paraId="4134DB13" w14:textId="77777777" w:rsidR="00332A29" w:rsidRDefault="00183F7E">
      <w:pPr>
        <w:pStyle w:val="Seznamobrzk"/>
        <w:tabs>
          <w:tab w:val="right" w:leader="dot" w:pos="9062"/>
        </w:tabs>
        <w:rPr>
          <w:rFonts w:eastAsiaTheme="minorEastAsia"/>
          <w:noProof/>
          <w:lang w:eastAsia="cs-CZ"/>
        </w:rPr>
      </w:pPr>
      <w:hyperlink w:anchor="_Toc77074739" w:history="1">
        <w:r w:rsidR="00332A29" w:rsidRPr="00AA209F">
          <w:rPr>
            <w:rStyle w:val="Hypertextovodkaz"/>
            <w:noProof/>
          </w:rPr>
          <w:t>Tabulka 1.59: Vývoj distribuce mezd dle krajů v období 2011 až 2019</w:t>
        </w:r>
        <w:r w:rsidR="00332A29">
          <w:rPr>
            <w:noProof/>
            <w:webHidden/>
          </w:rPr>
          <w:tab/>
        </w:r>
        <w:r w:rsidR="00332A29">
          <w:rPr>
            <w:noProof/>
            <w:webHidden/>
          </w:rPr>
          <w:fldChar w:fldCharType="begin"/>
        </w:r>
        <w:r w:rsidR="00332A29">
          <w:rPr>
            <w:noProof/>
            <w:webHidden/>
          </w:rPr>
          <w:instrText xml:space="preserve"> PAGEREF _Toc77074739 \h </w:instrText>
        </w:r>
        <w:r w:rsidR="00332A29">
          <w:rPr>
            <w:noProof/>
            <w:webHidden/>
          </w:rPr>
        </w:r>
        <w:r w:rsidR="00332A29">
          <w:rPr>
            <w:noProof/>
            <w:webHidden/>
          </w:rPr>
          <w:fldChar w:fldCharType="separate"/>
        </w:r>
        <w:r w:rsidR="00332A29">
          <w:rPr>
            <w:noProof/>
            <w:webHidden/>
          </w:rPr>
          <w:t>162</w:t>
        </w:r>
        <w:r w:rsidR="00332A29">
          <w:rPr>
            <w:noProof/>
            <w:webHidden/>
          </w:rPr>
          <w:fldChar w:fldCharType="end"/>
        </w:r>
      </w:hyperlink>
    </w:p>
    <w:p w14:paraId="23C54EEE" w14:textId="77777777" w:rsidR="00332A29" w:rsidRDefault="00183F7E">
      <w:pPr>
        <w:pStyle w:val="Seznamobrzk"/>
        <w:tabs>
          <w:tab w:val="right" w:leader="dot" w:pos="9062"/>
        </w:tabs>
        <w:rPr>
          <w:rFonts w:eastAsiaTheme="minorEastAsia"/>
          <w:noProof/>
          <w:lang w:eastAsia="cs-CZ"/>
        </w:rPr>
      </w:pPr>
      <w:hyperlink w:anchor="_Toc77074740" w:history="1">
        <w:r w:rsidR="00332A29" w:rsidRPr="00AA209F">
          <w:rPr>
            <w:rStyle w:val="Hypertextovodkaz"/>
            <w:noProof/>
          </w:rPr>
          <w:t>Tabulka 1.60: Vyjíždějící do zaměstnání z města Zlín</w:t>
        </w:r>
        <w:r w:rsidR="00332A29">
          <w:rPr>
            <w:noProof/>
            <w:webHidden/>
          </w:rPr>
          <w:tab/>
        </w:r>
        <w:r w:rsidR="00332A29">
          <w:rPr>
            <w:noProof/>
            <w:webHidden/>
          </w:rPr>
          <w:fldChar w:fldCharType="begin"/>
        </w:r>
        <w:r w:rsidR="00332A29">
          <w:rPr>
            <w:noProof/>
            <w:webHidden/>
          </w:rPr>
          <w:instrText xml:space="preserve"> PAGEREF _Toc77074740 \h </w:instrText>
        </w:r>
        <w:r w:rsidR="00332A29">
          <w:rPr>
            <w:noProof/>
            <w:webHidden/>
          </w:rPr>
        </w:r>
        <w:r w:rsidR="00332A29">
          <w:rPr>
            <w:noProof/>
            <w:webHidden/>
          </w:rPr>
          <w:fldChar w:fldCharType="separate"/>
        </w:r>
        <w:r w:rsidR="00332A29">
          <w:rPr>
            <w:noProof/>
            <w:webHidden/>
          </w:rPr>
          <w:t>162</w:t>
        </w:r>
        <w:r w:rsidR="00332A29">
          <w:rPr>
            <w:noProof/>
            <w:webHidden/>
          </w:rPr>
          <w:fldChar w:fldCharType="end"/>
        </w:r>
      </w:hyperlink>
    </w:p>
    <w:p w14:paraId="6371D0EF" w14:textId="77777777" w:rsidR="00332A29" w:rsidRDefault="00183F7E">
      <w:pPr>
        <w:pStyle w:val="Seznamobrzk"/>
        <w:tabs>
          <w:tab w:val="right" w:leader="dot" w:pos="9062"/>
        </w:tabs>
        <w:rPr>
          <w:rFonts w:eastAsiaTheme="minorEastAsia"/>
          <w:noProof/>
          <w:lang w:eastAsia="cs-CZ"/>
        </w:rPr>
      </w:pPr>
      <w:hyperlink w:anchor="_Toc77074741" w:history="1">
        <w:r w:rsidR="00332A29" w:rsidRPr="00AA209F">
          <w:rPr>
            <w:rStyle w:val="Hypertextovodkaz"/>
            <w:noProof/>
          </w:rPr>
          <w:t>Tabulka 1.61: Ekonomická charakteristika obyvatel města Zlín v roce 2011</w:t>
        </w:r>
        <w:r w:rsidR="00332A29">
          <w:rPr>
            <w:noProof/>
            <w:webHidden/>
          </w:rPr>
          <w:tab/>
        </w:r>
        <w:r w:rsidR="00332A29">
          <w:rPr>
            <w:noProof/>
            <w:webHidden/>
          </w:rPr>
          <w:fldChar w:fldCharType="begin"/>
        </w:r>
        <w:r w:rsidR="00332A29">
          <w:rPr>
            <w:noProof/>
            <w:webHidden/>
          </w:rPr>
          <w:instrText xml:space="preserve"> PAGEREF _Toc77074741 \h </w:instrText>
        </w:r>
        <w:r w:rsidR="00332A29">
          <w:rPr>
            <w:noProof/>
            <w:webHidden/>
          </w:rPr>
        </w:r>
        <w:r w:rsidR="00332A29">
          <w:rPr>
            <w:noProof/>
            <w:webHidden/>
          </w:rPr>
          <w:fldChar w:fldCharType="separate"/>
        </w:r>
        <w:r w:rsidR="00332A29">
          <w:rPr>
            <w:noProof/>
            <w:webHidden/>
          </w:rPr>
          <w:t>164</w:t>
        </w:r>
        <w:r w:rsidR="00332A29">
          <w:rPr>
            <w:noProof/>
            <w:webHidden/>
          </w:rPr>
          <w:fldChar w:fldCharType="end"/>
        </w:r>
      </w:hyperlink>
    </w:p>
    <w:p w14:paraId="20693DD0" w14:textId="77777777" w:rsidR="00332A29" w:rsidRDefault="00183F7E">
      <w:pPr>
        <w:pStyle w:val="Seznamobrzk"/>
        <w:tabs>
          <w:tab w:val="right" w:leader="dot" w:pos="9062"/>
        </w:tabs>
        <w:rPr>
          <w:rFonts w:eastAsiaTheme="minorEastAsia"/>
          <w:noProof/>
          <w:lang w:eastAsia="cs-CZ"/>
        </w:rPr>
      </w:pPr>
      <w:hyperlink w:anchor="_Toc77074742" w:history="1">
        <w:r w:rsidR="00332A29" w:rsidRPr="00AA209F">
          <w:rPr>
            <w:rStyle w:val="Hypertextovodkaz"/>
            <w:noProof/>
          </w:rPr>
          <w:t xml:space="preserve">Tabulka 1.62: Velikostní kategorie ekonomických subjektů podle počtu zaměstnanců v SO ORP Zlín v období 2014 </w:t>
        </w:r>
        <w:r w:rsidR="00332A29" w:rsidRPr="00AA209F">
          <w:rPr>
            <w:rStyle w:val="Hypertextovodkaz"/>
            <w:noProof/>
          </w:rPr>
          <w:sym w:font="Symbol" w:char="F02D"/>
        </w:r>
        <w:r w:rsidR="00332A29" w:rsidRPr="00AA209F">
          <w:rPr>
            <w:rStyle w:val="Hypertextovodkaz"/>
            <w:noProof/>
          </w:rPr>
          <w:t xml:space="preserve"> 2018</w:t>
        </w:r>
        <w:r w:rsidR="00332A29">
          <w:rPr>
            <w:noProof/>
            <w:webHidden/>
          </w:rPr>
          <w:tab/>
        </w:r>
        <w:r w:rsidR="00332A29">
          <w:rPr>
            <w:noProof/>
            <w:webHidden/>
          </w:rPr>
          <w:fldChar w:fldCharType="begin"/>
        </w:r>
        <w:r w:rsidR="00332A29">
          <w:rPr>
            <w:noProof/>
            <w:webHidden/>
          </w:rPr>
          <w:instrText xml:space="preserve"> PAGEREF _Toc77074742 \h </w:instrText>
        </w:r>
        <w:r w:rsidR="00332A29">
          <w:rPr>
            <w:noProof/>
            <w:webHidden/>
          </w:rPr>
        </w:r>
        <w:r w:rsidR="00332A29">
          <w:rPr>
            <w:noProof/>
            <w:webHidden/>
          </w:rPr>
          <w:fldChar w:fldCharType="separate"/>
        </w:r>
        <w:r w:rsidR="00332A29">
          <w:rPr>
            <w:noProof/>
            <w:webHidden/>
          </w:rPr>
          <w:t>165</w:t>
        </w:r>
        <w:r w:rsidR="00332A29">
          <w:rPr>
            <w:noProof/>
            <w:webHidden/>
          </w:rPr>
          <w:fldChar w:fldCharType="end"/>
        </w:r>
      </w:hyperlink>
    </w:p>
    <w:p w14:paraId="00751801" w14:textId="77777777" w:rsidR="00332A29" w:rsidRDefault="00183F7E">
      <w:pPr>
        <w:pStyle w:val="Seznamobrzk"/>
        <w:tabs>
          <w:tab w:val="right" w:leader="dot" w:pos="9062"/>
        </w:tabs>
        <w:rPr>
          <w:rFonts w:eastAsiaTheme="minorEastAsia"/>
          <w:noProof/>
          <w:lang w:eastAsia="cs-CZ"/>
        </w:rPr>
      </w:pPr>
      <w:hyperlink w:anchor="_Toc77074743" w:history="1">
        <w:r w:rsidR="00332A29" w:rsidRPr="00AA209F">
          <w:rPr>
            <w:rStyle w:val="Hypertextovodkaz"/>
            <w:noProof/>
          </w:rPr>
          <w:t>Tabulka 1.63: Podnikatelské subjekty podle právní formy ve městě Zlín k 31. 12. 2019</w:t>
        </w:r>
        <w:r w:rsidR="00332A29">
          <w:rPr>
            <w:noProof/>
            <w:webHidden/>
          </w:rPr>
          <w:tab/>
        </w:r>
        <w:r w:rsidR="00332A29">
          <w:rPr>
            <w:noProof/>
            <w:webHidden/>
          </w:rPr>
          <w:fldChar w:fldCharType="begin"/>
        </w:r>
        <w:r w:rsidR="00332A29">
          <w:rPr>
            <w:noProof/>
            <w:webHidden/>
          </w:rPr>
          <w:instrText xml:space="preserve"> PAGEREF _Toc77074743 \h </w:instrText>
        </w:r>
        <w:r w:rsidR="00332A29">
          <w:rPr>
            <w:noProof/>
            <w:webHidden/>
          </w:rPr>
        </w:r>
        <w:r w:rsidR="00332A29">
          <w:rPr>
            <w:noProof/>
            <w:webHidden/>
          </w:rPr>
          <w:fldChar w:fldCharType="separate"/>
        </w:r>
        <w:r w:rsidR="00332A29">
          <w:rPr>
            <w:noProof/>
            <w:webHidden/>
          </w:rPr>
          <w:t>167</w:t>
        </w:r>
        <w:r w:rsidR="00332A29">
          <w:rPr>
            <w:noProof/>
            <w:webHidden/>
          </w:rPr>
          <w:fldChar w:fldCharType="end"/>
        </w:r>
      </w:hyperlink>
    </w:p>
    <w:p w14:paraId="27267DC3" w14:textId="77777777" w:rsidR="00332A29" w:rsidRDefault="00183F7E">
      <w:pPr>
        <w:pStyle w:val="Seznamobrzk"/>
        <w:tabs>
          <w:tab w:val="right" w:leader="dot" w:pos="9062"/>
        </w:tabs>
        <w:rPr>
          <w:rFonts w:eastAsiaTheme="minorEastAsia"/>
          <w:noProof/>
          <w:lang w:eastAsia="cs-CZ"/>
        </w:rPr>
      </w:pPr>
      <w:hyperlink w:anchor="_Toc77074744" w:history="1">
        <w:r w:rsidR="00332A29" w:rsidRPr="00AA209F">
          <w:rPr>
            <w:rStyle w:val="Hypertextovodkaz"/>
            <w:noProof/>
          </w:rPr>
          <w:t>Tabulka 1.64: Vývoj míry podnikatelské aktivity ve vybraných městech v letech 2008 – 2019 (v %)</w:t>
        </w:r>
        <w:r w:rsidR="00332A29">
          <w:rPr>
            <w:noProof/>
            <w:webHidden/>
          </w:rPr>
          <w:tab/>
        </w:r>
        <w:r w:rsidR="00332A29">
          <w:rPr>
            <w:noProof/>
            <w:webHidden/>
          </w:rPr>
          <w:fldChar w:fldCharType="begin"/>
        </w:r>
        <w:r w:rsidR="00332A29">
          <w:rPr>
            <w:noProof/>
            <w:webHidden/>
          </w:rPr>
          <w:instrText xml:space="preserve"> PAGEREF _Toc77074744 \h </w:instrText>
        </w:r>
        <w:r w:rsidR="00332A29">
          <w:rPr>
            <w:noProof/>
            <w:webHidden/>
          </w:rPr>
        </w:r>
        <w:r w:rsidR="00332A29">
          <w:rPr>
            <w:noProof/>
            <w:webHidden/>
          </w:rPr>
          <w:fldChar w:fldCharType="separate"/>
        </w:r>
        <w:r w:rsidR="00332A29">
          <w:rPr>
            <w:noProof/>
            <w:webHidden/>
          </w:rPr>
          <w:t>167</w:t>
        </w:r>
        <w:r w:rsidR="00332A29">
          <w:rPr>
            <w:noProof/>
            <w:webHidden/>
          </w:rPr>
          <w:fldChar w:fldCharType="end"/>
        </w:r>
      </w:hyperlink>
    </w:p>
    <w:p w14:paraId="0AB35971" w14:textId="77777777" w:rsidR="00332A29" w:rsidRDefault="00183F7E">
      <w:pPr>
        <w:pStyle w:val="Seznamobrzk"/>
        <w:tabs>
          <w:tab w:val="right" w:leader="dot" w:pos="9062"/>
        </w:tabs>
        <w:rPr>
          <w:rFonts w:eastAsiaTheme="minorEastAsia"/>
          <w:noProof/>
          <w:lang w:eastAsia="cs-CZ"/>
        </w:rPr>
      </w:pPr>
      <w:hyperlink w:anchor="_Toc77074745" w:history="1">
        <w:r w:rsidR="00332A29" w:rsidRPr="00AA209F">
          <w:rPr>
            <w:rStyle w:val="Hypertextovodkaz"/>
            <w:noProof/>
          </w:rPr>
          <w:t>Tabulka 1.65: Největší zaměstnavatelé ve městě Zlíně</w:t>
        </w:r>
        <w:r w:rsidR="00332A29">
          <w:rPr>
            <w:noProof/>
            <w:webHidden/>
          </w:rPr>
          <w:tab/>
        </w:r>
        <w:r w:rsidR="00332A29">
          <w:rPr>
            <w:noProof/>
            <w:webHidden/>
          </w:rPr>
          <w:fldChar w:fldCharType="begin"/>
        </w:r>
        <w:r w:rsidR="00332A29">
          <w:rPr>
            <w:noProof/>
            <w:webHidden/>
          </w:rPr>
          <w:instrText xml:space="preserve"> PAGEREF _Toc77074745 \h </w:instrText>
        </w:r>
        <w:r w:rsidR="00332A29">
          <w:rPr>
            <w:noProof/>
            <w:webHidden/>
          </w:rPr>
        </w:r>
        <w:r w:rsidR="00332A29">
          <w:rPr>
            <w:noProof/>
            <w:webHidden/>
          </w:rPr>
          <w:fldChar w:fldCharType="separate"/>
        </w:r>
        <w:r w:rsidR="00332A29">
          <w:rPr>
            <w:noProof/>
            <w:webHidden/>
          </w:rPr>
          <w:t>168</w:t>
        </w:r>
        <w:r w:rsidR="00332A29">
          <w:rPr>
            <w:noProof/>
            <w:webHidden/>
          </w:rPr>
          <w:fldChar w:fldCharType="end"/>
        </w:r>
      </w:hyperlink>
    </w:p>
    <w:p w14:paraId="1D7AFA7D" w14:textId="77777777" w:rsidR="00332A29" w:rsidRDefault="00183F7E">
      <w:pPr>
        <w:pStyle w:val="Seznamobrzk"/>
        <w:tabs>
          <w:tab w:val="right" w:leader="dot" w:pos="9062"/>
        </w:tabs>
        <w:rPr>
          <w:rFonts w:eastAsiaTheme="minorEastAsia"/>
          <w:noProof/>
          <w:lang w:eastAsia="cs-CZ"/>
        </w:rPr>
      </w:pPr>
      <w:hyperlink w:anchor="_Toc77074746" w:history="1">
        <w:r w:rsidR="00332A29" w:rsidRPr="00AA209F">
          <w:rPr>
            <w:rStyle w:val="Hypertextovodkaz"/>
            <w:noProof/>
          </w:rPr>
          <w:t>Tabulka 1.66: Přehled největších nákupních center ve městě Zlín</w:t>
        </w:r>
        <w:r w:rsidR="00332A29">
          <w:rPr>
            <w:noProof/>
            <w:webHidden/>
          </w:rPr>
          <w:tab/>
        </w:r>
        <w:r w:rsidR="00332A29">
          <w:rPr>
            <w:noProof/>
            <w:webHidden/>
          </w:rPr>
          <w:fldChar w:fldCharType="begin"/>
        </w:r>
        <w:r w:rsidR="00332A29">
          <w:rPr>
            <w:noProof/>
            <w:webHidden/>
          </w:rPr>
          <w:instrText xml:space="preserve"> PAGEREF _Toc77074746 \h </w:instrText>
        </w:r>
        <w:r w:rsidR="00332A29">
          <w:rPr>
            <w:noProof/>
            <w:webHidden/>
          </w:rPr>
        </w:r>
        <w:r w:rsidR="00332A29">
          <w:rPr>
            <w:noProof/>
            <w:webHidden/>
          </w:rPr>
          <w:fldChar w:fldCharType="separate"/>
        </w:r>
        <w:r w:rsidR="00332A29">
          <w:rPr>
            <w:noProof/>
            <w:webHidden/>
          </w:rPr>
          <w:t>171</w:t>
        </w:r>
        <w:r w:rsidR="00332A29">
          <w:rPr>
            <w:noProof/>
            <w:webHidden/>
          </w:rPr>
          <w:fldChar w:fldCharType="end"/>
        </w:r>
      </w:hyperlink>
    </w:p>
    <w:p w14:paraId="11E8529C" w14:textId="77777777" w:rsidR="00332A29" w:rsidRDefault="00183F7E">
      <w:pPr>
        <w:pStyle w:val="Seznamobrzk"/>
        <w:tabs>
          <w:tab w:val="right" w:leader="dot" w:pos="9062"/>
        </w:tabs>
        <w:rPr>
          <w:rFonts w:eastAsiaTheme="minorEastAsia"/>
          <w:noProof/>
          <w:lang w:eastAsia="cs-CZ"/>
        </w:rPr>
      </w:pPr>
      <w:hyperlink w:anchor="_Toc77074747" w:history="1">
        <w:r w:rsidR="00332A29" w:rsidRPr="00AA209F">
          <w:rPr>
            <w:rStyle w:val="Hypertextovodkaz"/>
            <w:noProof/>
          </w:rPr>
          <w:t>Tabulka 1.67: Klíčová pracoviště výzkumu a vývoje ve městě Zlíně</w:t>
        </w:r>
        <w:r w:rsidR="00332A29">
          <w:rPr>
            <w:noProof/>
            <w:webHidden/>
          </w:rPr>
          <w:tab/>
        </w:r>
        <w:r w:rsidR="00332A29">
          <w:rPr>
            <w:noProof/>
            <w:webHidden/>
          </w:rPr>
          <w:fldChar w:fldCharType="begin"/>
        </w:r>
        <w:r w:rsidR="00332A29">
          <w:rPr>
            <w:noProof/>
            <w:webHidden/>
          </w:rPr>
          <w:instrText xml:space="preserve"> PAGEREF _Toc77074747 \h </w:instrText>
        </w:r>
        <w:r w:rsidR="00332A29">
          <w:rPr>
            <w:noProof/>
            <w:webHidden/>
          </w:rPr>
        </w:r>
        <w:r w:rsidR="00332A29">
          <w:rPr>
            <w:noProof/>
            <w:webHidden/>
          </w:rPr>
          <w:fldChar w:fldCharType="separate"/>
        </w:r>
        <w:r w:rsidR="00332A29">
          <w:rPr>
            <w:noProof/>
            <w:webHidden/>
          </w:rPr>
          <w:t>174</w:t>
        </w:r>
        <w:r w:rsidR="00332A29">
          <w:rPr>
            <w:noProof/>
            <w:webHidden/>
          </w:rPr>
          <w:fldChar w:fldCharType="end"/>
        </w:r>
      </w:hyperlink>
    </w:p>
    <w:p w14:paraId="18B5E78E" w14:textId="77777777" w:rsidR="00332A29" w:rsidRDefault="00183F7E">
      <w:pPr>
        <w:pStyle w:val="Seznamobrzk"/>
        <w:tabs>
          <w:tab w:val="right" w:leader="dot" w:pos="9062"/>
        </w:tabs>
        <w:rPr>
          <w:rFonts w:eastAsiaTheme="minorEastAsia"/>
          <w:noProof/>
          <w:lang w:eastAsia="cs-CZ"/>
        </w:rPr>
      </w:pPr>
      <w:hyperlink w:anchor="_Toc77074748" w:history="1">
        <w:r w:rsidR="00332A29" w:rsidRPr="00AA209F">
          <w:rPr>
            <w:rStyle w:val="Hypertextovodkaz"/>
            <w:noProof/>
          </w:rPr>
          <w:t xml:space="preserve">Tabulka 1.68: </w:t>
        </w:r>
        <w:r w:rsidR="00332A29" w:rsidRPr="00AA209F">
          <w:rPr>
            <w:rStyle w:val="Hypertextovodkaz"/>
            <w:rFonts w:ascii="Calibri" w:hAnsi="Calibri" w:cs="Calibri"/>
            <w:bCs/>
            <w:noProof/>
          </w:rPr>
          <w:t>Klíčové podpůrné instituce v oblasti inovací a podnikání v území</w:t>
        </w:r>
        <w:r w:rsidR="00332A29">
          <w:rPr>
            <w:noProof/>
            <w:webHidden/>
          </w:rPr>
          <w:tab/>
        </w:r>
        <w:r w:rsidR="00332A29">
          <w:rPr>
            <w:noProof/>
            <w:webHidden/>
          </w:rPr>
          <w:fldChar w:fldCharType="begin"/>
        </w:r>
        <w:r w:rsidR="00332A29">
          <w:rPr>
            <w:noProof/>
            <w:webHidden/>
          </w:rPr>
          <w:instrText xml:space="preserve"> PAGEREF _Toc77074748 \h </w:instrText>
        </w:r>
        <w:r w:rsidR="00332A29">
          <w:rPr>
            <w:noProof/>
            <w:webHidden/>
          </w:rPr>
        </w:r>
        <w:r w:rsidR="00332A29">
          <w:rPr>
            <w:noProof/>
            <w:webHidden/>
          </w:rPr>
          <w:fldChar w:fldCharType="separate"/>
        </w:r>
        <w:r w:rsidR="00332A29">
          <w:rPr>
            <w:noProof/>
            <w:webHidden/>
          </w:rPr>
          <w:t>175</w:t>
        </w:r>
        <w:r w:rsidR="00332A29">
          <w:rPr>
            <w:noProof/>
            <w:webHidden/>
          </w:rPr>
          <w:fldChar w:fldCharType="end"/>
        </w:r>
      </w:hyperlink>
    </w:p>
    <w:p w14:paraId="1580E940" w14:textId="77777777" w:rsidR="00332A29" w:rsidRDefault="00183F7E">
      <w:pPr>
        <w:pStyle w:val="Seznamobrzk"/>
        <w:tabs>
          <w:tab w:val="right" w:leader="dot" w:pos="9062"/>
        </w:tabs>
        <w:rPr>
          <w:rFonts w:eastAsiaTheme="minorEastAsia"/>
          <w:noProof/>
          <w:lang w:eastAsia="cs-CZ"/>
        </w:rPr>
      </w:pPr>
      <w:hyperlink w:anchor="_Toc77074749" w:history="1">
        <w:r w:rsidR="00332A29" w:rsidRPr="00AA209F">
          <w:rPr>
            <w:rStyle w:val="Hypertextovodkaz"/>
            <w:noProof/>
          </w:rPr>
          <w:t xml:space="preserve">Tabulka 1.69: Kapacita a návštěvnost hromadných ubytovacích zařízení ve městě Zlín v letech 2017 </w:t>
        </w:r>
        <w:r w:rsidR="00332A29" w:rsidRPr="00AA209F">
          <w:rPr>
            <w:rStyle w:val="Hypertextovodkaz"/>
            <w:noProof/>
          </w:rPr>
          <w:sym w:font="Symbol" w:char="F02D"/>
        </w:r>
        <w:r w:rsidR="00332A29" w:rsidRPr="00AA209F">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_Toc77074749 \h </w:instrText>
        </w:r>
        <w:r w:rsidR="00332A29">
          <w:rPr>
            <w:noProof/>
            <w:webHidden/>
          </w:rPr>
        </w:r>
        <w:r w:rsidR="00332A29">
          <w:rPr>
            <w:noProof/>
            <w:webHidden/>
          </w:rPr>
          <w:fldChar w:fldCharType="separate"/>
        </w:r>
        <w:r w:rsidR="00332A29">
          <w:rPr>
            <w:noProof/>
            <w:webHidden/>
          </w:rPr>
          <w:t>183</w:t>
        </w:r>
        <w:r w:rsidR="00332A29">
          <w:rPr>
            <w:noProof/>
            <w:webHidden/>
          </w:rPr>
          <w:fldChar w:fldCharType="end"/>
        </w:r>
      </w:hyperlink>
    </w:p>
    <w:p w14:paraId="0D80EFFE" w14:textId="77777777" w:rsidR="00332A29" w:rsidRDefault="00183F7E">
      <w:pPr>
        <w:pStyle w:val="Seznamobrzk"/>
        <w:tabs>
          <w:tab w:val="right" w:leader="dot" w:pos="9062"/>
        </w:tabs>
        <w:rPr>
          <w:rFonts w:eastAsiaTheme="minorEastAsia"/>
          <w:noProof/>
          <w:lang w:eastAsia="cs-CZ"/>
        </w:rPr>
      </w:pPr>
      <w:hyperlink w:anchor="_Toc77074750" w:history="1">
        <w:r w:rsidR="00332A29" w:rsidRPr="00AA209F">
          <w:rPr>
            <w:rStyle w:val="Hypertextovodkaz"/>
            <w:noProof/>
          </w:rPr>
          <w:t>Tabulka 1.70: Přehled významných turistických atraktivit v zájmovém území</w:t>
        </w:r>
        <w:r w:rsidR="00332A29">
          <w:rPr>
            <w:noProof/>
            <w:webHidden/>
          </w:rPr>
          <w:tab/>
        </w:r>
        <w:r w:rsidR="00332A29">
          <w:rPr>
            <w:noProof/>
            <w:webHidden/>
          </w:rPr>
          <w:fldChar w:fldCharType="begin"/>
        </w:r>
        <w:r w:rsidR="00332A29">
          <w:rPr>
            <w:noProof/>
            <w:webHidden/>
          </w:rPr>
          <w:instrText xml:space="preserve"> PAGEREF _Toc77074750 \h </w:instrText>
        </w:r>
        <w:r w:rsidR="00332A29">
          <w:rPr>
            <w:noProof/>
            <w:webHidden/>
          </w:rPr>
        </w:r>
        <w:r w:rsidR="00332A29">
          <w:rPr>
            <w:noProof/>
            <w:webHidden/>
          </w:rPr>
          <w:fldChar w:fldCharType="separate"/>
        </w:r>
        <w:r w:rsidR="00332A29">
          <w:rPr>
            <w:noProof/>
            <w:webHidden/>
          </w:rPr>
          <w:t>184</w:t>
        </w:r>
        <w:r w:rsidR="00332A29">
          <w:rPr>
            <w:noProof/>
            <w:webHidden/>
          </w:rPr>
          <w:fldChar w:fldCharType="end"/>
        </w:r>
      </w:hyperlink>
    </w:p>
    <w:p w14:paraId="268393CB" w14:textId="77777777" w:rsidR="00332A29" w:rsidRDefault="00183F7E">
      <w:pPr>
        <w:pStyle w:val="Seznamobrzk"/>
        <w:tabs>
          <w:tab w:val="right" w:leader="dot" w:pos="9062"/>
        </w:tabs>
        <w:rPr>
          <w:rFonts w:eastAsiaTheme="minorEastAsia"/>
          <w:noProof/>
          <w:lang w:eastAsia="cs-CZ"/>
        </w:rPr>
      </w:pPr>
      <w:hyperlink w:anchor="_Toc77074751" w:history="1">
        <w:r w:rsidR="00332A29" w:rsidRPr="00AA209F">
          <w:rPr>
            <w:rStyle w:val="Hypertextovodkaz"/>
            <w:noProof/>
          </w:rPr>
          <w:t>Tabulka 1.71: Obchodní společnosti statutárního města Zlína, v nichž má k 1. 1. 2019 statutární město Zlín majetkový podíl</w:t>
        </w:r>
        <w:r w:rsidR="00332A29">
          <w:rPr>
            <w:noProof/>
            <w:webHidden/>
          </w:rPr>
          <w:tab/>
        </w:r>
        <w:r w:rsidR="00332A29">
          <w:rPr>
            <w:noProof/>
            <w:webHidden/>
          </w:rPr>
          <w:fldChar w:fldCharType="begin"/>
        </w:r>
        <w:r w:rsidR="00332A29">
          <w:rPr>
            <w:noProof/>
            <w:webHidden/>
          </w:rPr>
          <w:instrText xml:space="preserve"> PAGEREF _Toc77074751 \h </w:instrText>
        </w:r>
        <w:r w:rsidR="00332A29">
          <w:rPr>
            <w:noProof/>
            <w:webHidden/>
          </w:rPr>
        </w:r>
        <w:r w:rsidR="00332A29">
          <w:rPr>
            <w:noProof/>
            <w:webHidden/>
          </w:rPr>
          <w:fldChar w:fldCharType="separate"/>
        </w:r>
        <w:r w:rsidR="00332A29">
          <w:rPr>
            <w:noProof/>
            <w:webHidden/>
          </w:rPr>
          <w:t>192</w:t>
        </w:r>
        <w:r w:rsidR="00332A29">
          <w:rPr>
            <w:noProof/>
            <w:webHidden/>
          </w:rPr>
          <w:fldChar w:fldCharType="end"/>
        </w:r>
      </w:hyperlink>
    </w:p>
    <w:p w14:paraId="20C98A88" w14:textId="77777777" w:rsidR="00332A29" w:rsidRDefault="00183F7E">
      <w:pPr>
        <w:pStyle w:val="Seznamobrzk"/>
        <w:tabs>
          <w:tab w:val="right" w:leader="dot" w:pos="9062"/>
        </w:tabs>
        <w:rPr>
          <w:rFonts w:eastAsiaTheme="minorEastAsia"/>
          <w:noProof/>
          <w:lang w:eastAsia="cs-CZ"/>
        </w:rPr>
      </w:pPr>
      <w:hyperlink w:anchor="_Toc77074752" w:history="1">
        <w:r w:rsidR="00332A29" w:rsidRPr="00AA209F">
          <w:rPr>
            <w:rStyle w:val="Hypertextovodkaz"/>
            <w:noProof/>
          </w:rPr>
          <w:t xml:space="preserve">Tabulka 1.72: </w:t>
        </w:r>
        <w:r w:rsidR="00332A29" w:rsidRPr="00AA209F">
          <w:rPr>
            <w:rStyle w:val="Hypertextovodkaz"/>
            <w:rFonts w:cstheme="minorHAnsi"/>
            <w:noProof/>
          </w:rPr>
          <w:t xml:space="preserve">Příjmy města Zlína v letech 2015 </w:t>
        </w:r>
        <w:r w:rsidR="00332A29" w:rsidRPr="00AA209F">
          <w:rPr>
            <w:rStyle w:val="Hypertextovodkaz"/>
            <w:rFonts w:cstheme="minorHAnsi"/>
            <w:noProof/>
          </w:rPr>
          <w:sym w:font="Symbol" w:char="F02D"/>
        </w:r>
        <w:r w:rsidR="00332A29" w:rsidRPr="00AA209F">
          <w:rPr>
            <w:rStyle w:val="Hypertextovodkaz"/>
            <w:rFonts w:cstheme="minorHAnsi"/>
            <w:noProof/>
          </w:rPr>
          <w:t xml:space="preserve"> 2019</w:t>
        </w:r>
        <w:r w:rsidR="00332A29">
          <w:rPr>
            <w:noProof/>
            <w:webHidden/>
          </w:rPr>
          <w:tab/>
        </w:r>
        <w:r w:rsidR="00332A29">
          <w:rPr>
            <w:noProof/>
            <w:webHidden/>
          </w:rPr>
          <w:fldChar w:fldCharType="begin"/>
        </w:r>
        <w:r w:rsidR="00332A29">
          <w:rPr>
            <w:noProof/>
            <w:webHidden/>
          </w:rPr>
          <w:instrText xml:space="preserve"> PAGEREF _Toc77074752 \h </w:instrText>
        </w:r>
        <w:r w:rsidR="00332A29">
          <w:rPr>
            <w:noProof/>
            <w:webHidden/>
          </w:rPr>
        </w:r>
        <w:r w:rsidR="00332A29">
          <w:rPr>
            <w:noProof/>
            <w:webHidden/>
          </w:rPr>
          <w:fldChar w:fldCharType="separate"/>
        </w:r>
        <w:r w:rsidR="00332A29">
          <w:rPr>
            <w:noProof/>
            <w:webHidden/>
          </w:rPr>
          <w:t>193</w:t>
        </w:r>
        <w:r w:rsidR="00332A29">
          <w:rPr>
            <w:noProof/>
            <w:webHidden/>
          </w:rPr>
          <w:fldChar w:fldCharType="end"/>
        </w:r>
      </w:hyperlink>
    </w:p>
    <w:p w14:paraId="6ED452F1" w14:textId="77777777" w:rsidR="00332A29" w:rsidRDefault="00183F7E">
      <w:pPr>
        <w:pStyle w:val="Seznamobrzk"/>
        <w:tabs>
          <w:tab w:val="right" w:leader="dot" w:pos="9062"/>
        </w:tabs>
        <w:rPr>
          <w:rFonts w:eastAsiaTheme="minorEastAsia"/>
          <w:noProof/>
          <w:lang w:eastAsia="cs-CZ"/>
        </w:rPr>
      </w:pPr>
      <w:hyperlink w:anchor="_Toc77074753" w:history="1">
        <w:r w:rsidR="00332A29" w:rsidRPr="00AA209F">
          <w:rPr>
            <w:rStyle w:val="Hypertextovodkaz"/>
            <w:noProof/>
          </w:rPr>
          <w:t>Tabulka 1.73: Přehled dotací a příspěvků poskytnutých přímo z rozpočtu statutárního města Zlína v členění dle podporovaných oblastí (v mil. Kč); bez účelových fondů</w:t>
        </w:r>
        <w:r w:rsidR="00332A29">
          <w:rPr>
            <w:noProof/>
            <w:webHidden/>
          </w:rPr>
          <w:tab/>
        </w:r>
        <w:r w:rsidR="00332A29">
          <w:rPr>
            <w:noProof/>
            <w:webHidden/>
          </w:rPr>
          <w:fldChar w:fldCharType="begin"/>
        </w:r>
        <w:r w:rsidR="00332A29">
          <w:rPr>
            <w:noProof/>
            <w:webHidden/>
          </w:rPr>
          <w:instrText xml:space="preserve"> PAGEREF _Toc77074753 \h </w:instrText>
        </w:r>
        <w:r w:rsidR="00332A29">
          <w:rPr>
            <w:noProof/>
            <w:webHidden/>
          </w:rPr>
        </w:r>
        <w:r w:rsidR="00332A29">
          <w:rPr>
            <w:noProof/>
            <w:webHidden/>
          </w:rPr>
          <w:fldChar w:fldCharType="separate"/>
        </w:r>
        <w:r w:rsidR="00332A29">
          <w:rPr>
            <w:noProof/>
            <w:webHidden/>
          </w:rPr>
          <w:t>195</w:t>
        </w:r>
        <w:r w:rsidR="00332A29">
          <w:rPr>
            <w:noProof/>
            <w:webHidden/>
          </w:rPr>
          <w:fldChar w:fldCharType="end"/>
        </w:r>
      </w:hyperlink>
    </w:p>
    <w:p w14:paraId="627ECD57" w14:textId="77777777" w:rsidR="00332A29" w:rsidRDefault="00183F7E">
      <w:pPr>
        <w:pStyle w:val="Seznamobrzk"/>
        <w:tabs>
          <w:tab w:val="right" w:leader="dot" w:pos="9062"/>
        </w:tabs>
        <w:rPr>
          <w:rFonts w:eastAsiaTheme="minorEastAsia"/>
          <w:noProof/>
          <w:lang w:eastAsia="cs-CZ"/>
        </w:rPr>
      </w:pPr>
      <w:hyperlink w:anchor="_Toc77074754" w:history="1">
        <w:r w:rsidR="00332A29" w:rsidRPr="00AA209F">
          <w:rPr>
            <w:rStyle w:val="Hypertextovodkaz"/>
            <w:noProof/>
          </w:rPr>
          <w:t>Tabulka 1.74: Přehled o tvorbě a čerpání účelových fondů statutárního města Zlína za roky 2017 až 2019</w:t>
        </w:r>
        <w:r w:rsidR="00332A29">
          <w:rPr>
            <w:noProof/>
            <w:webHidden/>
          </w:rPr>
          <w:tab/>
        </w:r>
        <w:r w:rsidR="00332A29">
          <w:rPr>
            <w:noProof/>
            <w:webHidden/>
          </w:rPr>
          <w:fldChar w:fldCharType="begin"/>
        </w:r>
        <w:r w:rsidR="00332A29">
          <w:rPr>
            <w:noProof/>
            <w:webHidden/>
          </w:rPr>
          <w:instrText xml:space="preserve"> PAGEREF _Toc77074754 \h </w:instrText>
        </w:r>
        <w:r w:rsidR="00332A29">
          <w:rPr>
            <w:noProof/>
            <w:webHidden/>
          </w:rPr>
        </w:r>
        <w:r w:rsidR="00332A29">
          <w:rPr>
            <w:noProof/>
            <w:webHidden/>
          </w:rPr>
          <w:fldChar w:fldCharType="separate"/>
        </w:r>
        <w:r w:rsidR="00332A29">
          <w:rPr>
            <w:noProof/>
            <w:webHidden/>
          </w:rPr>
          <w:t>195</w:t>
        </w:r>
        <w:r w:rsidR="00332A29">
          <w:rPr>
            <w:noProof/>
            <w:webHidden/>
          </w:rPr>
          <w:fldChar w:fldCharType="end"/>
        </w:r>
      </w:hyperlink>
    </w:p>
    <w:p w14:paraId="3598667C" w14:textId="77777777" w:rsidR="00332A29" w:rsidRDefault="00183F7E">
      <w:pPr>
        <w:pStyle w:val="Seznamobrzk"/>
        <w:tabs>
          <w:tab w:val="right" w:leader="dot" w:pos="9062"/>
        </w:tabs>
        <w:rPr>
          <w:rFonts w:eastAsiaTheme="minorEastAsia"/>
          <w:noProof/>
          <w:lang w:eastAsia="cs-CZ"/>
        </w:rPr>
      </w:pPr>
      <w:hyperlink w:anchor="_Toc77074755" w:history="1">
        <w:r w:rsidR="00332A29" w:rsidRPr="00AA209F">
          <w:rPr>
            <w:rStyle w:val="Hypertextovodkaz"/>
            <w:noProof/>
          </w:rPr>
          <w:t>Tabulka 1.75: Přehled veřejných míst s možností internetového připojení</w:t>
        </w:r>
        <w:r w:rsidR="00332A29">
          <w:rPr>
            <w:noProof/>
            <w:webHidden/>
          </w:rPr>
          <w:tab/>
        </w:r>
        <w:r w:rsidR="00332A29">
          <w:rPr>
            <w:noProof/>
            <w:webHidden/>
          </w:rPr>
          <w:fldChar w:fldCharType="begin"/>
        </w:r>
        <w:r w:rsidR="00332A29">
          <w:rPr>
            <w:noProof/>
            <w:webHidden/>
          </w:rPr>
          <w:instrText xml:space="preserve"> PAGEREF _Toc77074755 \h </w:instrText>
        </w:r>
        <w:r w:rsidR="00332A29">
          <w:rPr>
            <w:noProof/>
            <w:webHidden/>
          </w:rPr>
        </w:r>
        <w:r w:rsidR="00332A29">
          <w:rPr>
            <w:noProof/>
            <w:webHidden/>
          </w:rPr>
          <w:fldChar w:fldCharType="separate"/>
        </w:r>
        <w:r w:rsidR="00332A29">
          <w:rPr>
            <w:noProof/>
            <w:webHidden/>
          </w:rPr>
          <w:t>199</w:t>
        </w:r>
        <w:r w:rsidR="00332A29">
          <w:rPr>
            <w:noProof/>
            <w:webHidden/>
          </w:rPr>
          <w:fldChar w:fldCharType="end"/>
        </w:r>
      </w:hyperlink>
    </w:p>
    <w:p w14:paraId="32A081C2" w14:textId="77777777" w:rsidR="00332A29" w:rsidRDefault="00183F7E">
      <w:pPr>
        <w:pStyle w:val="Seznamobrzk"/>
        <w:tabs>
          <w:tab w:val="right" w:leader="dot" w:pos="9062"/>
        </w:tabs>
        <w:rPr>
          <w:rFonts w:eastAsiaTheme="minorEastAsia"/>
          <w:noProof/>
          <w:lang w:eastAsia="cs-CZ"/>
        </w:rPr>
      </w:pPr>
      <w:hyperlink w:anchor="_Toc77074756" w:history="1">
        <w:r w:rsidR="00332A29" w:rsidRPr="00AA209F">
          <w:rPr>
            <w:rStyle w:val="Hypertextovodkaz"/>
            <w:noProof/>
          </w:rPr>
          <w:t>Tabulka 1.76: Seznam organizací, které poskytovaly sociální služby občanům statutárního města Zlína v roce 2019</w:t>
        </w:r>
        <w:r w:rsidR="00332A29">
          <w:rPr>
            <w:noProof/>
            <w:webHidden/>
          </w:rPr>
          <w:tab/>
        </w:r>
        <w:r w:rsidR="00332A29">
          <w:rPr>
            <w:noProof/>
            <w:webHidden/>
          </w:rPr>
          <w:fldChar w:fldCharType="begin"/>
        </w:r>
        <w:r w:rsidR="00332A29">
          <w:rPr>
            <w:noProof/>
            <w:webHidden/>
          </w:rPr>
          <w:instrText xml:space="preserve"> PAGEREF _Toc77074756 \h </w:instrText>
        </w:r>
        <w:r w:rsidR="00332A29">
          <w:rPr>
            <w:noProof/>
            <w:webHidden/>
          </w:rPr>
        </w:r>
        <w:r w:rsidR="00332A29">
          <w:rPr>
            <w:noProof/>
            <w:webHidden/>
          </w:rPr>
          <w:fldChar w:fldCharType="separate"/>
        </w:r>
        <w:r w:rsidR="00332A29">
          <w:rPr>
            <w:noProof/>
            <w:webHidden/>
          </w:rPr>
          <w:t>202</w:t>
        </w:r>
        <w:r w:rsidR="00332A29">
          <w:rPr>
            <w:noProof/>
            <w:webHidden/>
          </w:rPr>
          <w:fldChar w:fldCharType="end"/>
        </w:r>
      </w:hyperlink>
    </w:p>
    <w:p w14:paraId="529EB9BB" w14:textId="77777777" w:rsidR="00332A29" w:rsidRDefault="00183F7E">
      <w:pPr>
        <w:pStyle w:val="Seznamobrzk"/>
        <w:tabs>
          <w:tab w:val="right" w:leader="dot" w:pos="9062"/>
        </w:tabs>
        <w:rPr>
          <w:rFonts w:eastAsiaTheme="minorEastAsia"/>
          <w:noProof/>
          <w:lang w:eastAsia="cs-CZ"/>
        </w:rPr>
      </w:pPr>
      <w:hyperlink w:anchor="_Toc77074757" w:history="1">
        <w:r w:rsidR="00332A29" w:rsidRPr="00AA209F">
          <w:rPr>
            <w:rStyle w:val="Hypertextovodkaz"/>
            <w:noProof/>
          </w:rPr>
          <w:t>Tabulka 1.77: Přehled památek na katastrálním území Zlína</w:t>
        </w:r>
        <w:r w:rsidR="00332A29">
          <w:rPr>
            <w:noProof/>
            <w:webHidden/>
          </w:rPr>
          <w:tab/>
        </w:r>
        <w:r w:rsidR="00332A29">
          <w:rPr>
            <w:noProof/>
            <w:webHidden/>
          </w:rPr>
          <w:fldChar w:fldCharType="begin"/>
        </w:r>
        <w:r w:rsidR="00332A29">
          <w:rPr>
            <w:noProof/>
            <w:webHidden/>
          </w:rPr>
          <w:instrText xml:space="preserve"> PAGEREF _Toc77074757 \h </w:instrText>
        </w:r>
        <w:r w:rsidR="00332A29">
          <w:rPr>
            <w:noProof/>
            <w:webHidden/>
          </w:rPr>
        </w:r>
        <w:r w:rsidR="00332A29">
          <w:rPr>
            <w:noProof/>
            <w:webHidden/>
          </w:rPr>
          <w:fldChar w:fldCharType="separate"/>
        </w:r>
        <w:r w:rsidR="00332A29">
          <w:rPr>
            <w:noProof/>
            <w:webHidden/>
          </w:rPr>
          <w:t>205</w:t>
        </w:r>
        <w:r w:rsidR="00332A29">
          <w:rPr>
            <w:noProof/>
            <w:webHidden/>
          </w:rPr>
          <w:fldChar w:fldCharType="end"/>
        </w:r>
      </w:hyperlink>
    </w:p>
    <w:p w14:paraId="2E481500" w14:textId="77777777" w:rsidR="00332A29" w:rsidRDefault="00183F7E">
      <w:pPr>
        <w:pStyle w:val="Seznamobrzk"/>
        <w:tabs>
          <w:tab w:val="right" w:leader="dot" w:pos="9062"/>
        </w:tabs>
        <w:rPr>
          <w:rFonts w:eastAsiaTheme="minorEastAsia"/>
          <w:noProof/>
          <w:lang w:eastAsia="cs-CZ"/>
        </w:rPr>
      </w:pPr>
      <w:hyperlink w:anchor="_Toc77074758" w:history="1">
        <w:r w:rsidR="00332A29" w:rsidRPr="00AA209F">
          <w:rPr>
            <w:rStyle w:val="Hypertextovodkaz"/>
            <w:noProof/>
          </w:rPr>
          <w:t xml:space="preserve">Tabulka 1.78: Kapacita, počet tříd a počet dětí v jednotlivých mateřských školách zřizovaných městem Zlínem za školní roky 2013/2014 </w:t>
        </w:r>
        <w:r w:rsidR="00332A29" w:rsidRPr="00AA209F">
          <w:rPr>
            <w:rStyle w:val="Hypertextovodkaz"/>
            <w:noProof/>
          </w:rPr>
          <w:sym w:font="Symbol" w:char="F02D"/>
        </w:r>
        <w:r w:rsidR="00332A29" w:rsidRPr="00AA209F">
          <w:rPr>
            <w:rStyle w:val="Hypertextovodkaz"/>
            <w:noProof/>
          </w:rPr>
          <w:t xml:space="preserve"> 2019/2020</w:t>
        </w:r>
        <w:r w:rsidR="00332A29">
          <w:rPr>
            <w:noProof/>
            <w:webHidden/>
          </w:rPr>
          <w:tab/>
        </w:r>
        <w:r w:rsidR="00332A29">
          <w:rPr>
            <w:noProof/>
            <w:webHidden/>
          </w:rPr>
          <w:fldChar w:fldCharType="begin"/>
        </w:r>
        <w:r w:rsidR="00332A29">
          <w:rPr>
            <w:noProof/>
            <w:webHidden/>
          </w:rPr>
          <w:instrText xml:space="preserve"> PAGEREF _Toc77074758 \h </w:instrText>
        </w:r>
        <w:r w:rsidR="00332A29">
          <w:rPr>
            <w:noProof/>
            <w:webHidden/>
          </w:rPr>
        </w:r>
        <w:r w:rsidR="00332A29">
          <w:rPr>
            <w:noProof/>
            <w:webHidden/>
          </w:rPr>
          <w:fldChar w:fldCharType="separate"/>
        </w:r>
        <w:r w:rsidR="00332A29">
          <w:rPr>
            <w:noProof/>
            <w:webHidden/>
          </w:rPr>
          <w:t>206</w:t>
        </w:r>
        <w:r w:rsidR="00332A29">
          <w:rPr>
            <w:noProof/>
            <w:webHidden/>
          </w:rPr>
          <w:fldChar w:fldCharType="end"/>
        </w:r>
      </w:hyperlink>
    </w:p>
    <w:p w14:paraId="1E5A6137" w14:textId="77777777" w:rsidR="00332A29" w:rsidRDefault="00183F7E">
      <w:pPr>
        <w:pStyle w:val="Seznamobrzk"/>
        <w:tabs>
          <w:tab w:val="right" w:leader="dot" w:pos="9062"/>
        </w:tabs>
        <w:rPr>
          <w:rFonts w:eastAsiaTheme="minorEastAsia"/>
          <w:noProof/>
          <w:lang w:eastAsia="cs-CZ"/>
        </w:rPr>
      </w:pPr>
      <w:hyperlink w:anchor="_Toc77074759" w:history="1">
        <w:r w:rsidR="00332A29" w:rsidRPr="00AA209F">
          <w:rPr>
            <w:rStyle w:val="Hypertextovodkaz"/>
            <w:noProof/>
          </w:rPr>
          <w:t xml:space="preserve">Tabulka 1.79: Kapacita, počet tříd a počet žáků v základních školách zřizovaných městem Zlínem za školní roky 2013/2014 </w:t>
        </w:r>
        <w:r w:rsidR="00332A29" w:rsidRPr="00AA209F">
          <w:rPr>
            <w:rStyle w:val="Hypertextovodkaz"/>
            <w:noProof/>
          </w:rPr>
          <w:sym w:font="Symbol" w:char="F02D"/>
        </w:r>
        <w:r w:rsidR="00332A29" w:rsidRPr="00AA209F">
          <w:rPr>
            <w:rStyle w:val="Hypertextovodkaz"/>
            <w:noProof/>
          </w:rPr>
          <w:t xml:space="preserve"> 2019/2020</w:t>
        </w:r>
        <w:r w:rsidR="00332A29">
          <w:rPr>
            <w:noProof/>
            <w:webHidden/>
          </w:rPr>
          <w:tab/>
        </w:r>
        <w:r w:rsidR="00332A29">
          <w:rPr>
            <w:noProof/>
            <w:webHidden/>
          </w:rPr>
          <w:fldChar w:fldCharType="begin"/>
        </w:r>
        <w:r w:rsidR="00332A29">
          <w:rPr>
            <w:noProof/>
            <w:webHidden/>
          </w:rPr>
          <w:instrText xml:space="preserve"> PAGEREF _Toc77074759 \h </w:instrText>
        </w:r>
        <w:r w:rsidR="00332A29">
          <w:rPr>
            <w:noProof/>
            <w:webHidden/>
          </w:rPr>
        </w:r>
        <w:r w:rsidR="00332A29">
          <w:rPr>
            <w:noProof/>
            <w:webHidden/>
          </w:rPr>
          <w:fldChar w:fldCharType="separate"/>
        </w:r>
        <w:r w:rsidR="00332A29">
          <w:rPr>
            <w:noProof/>
            <w:webHidden/>
          </w:rPr>
          <w:t>207</w:t>
        </w:r>
        <w:r w:rsidR="00332A29">
          <w:rPr>
            <w:noProof/>
            <w:webHidden/>
          </w:rPr>
          <w:fldChar w:fldCharType="end"/>
        </w:r>
      </w:hyperlink>
    </w:p>
    <w:p w14:paraId="0C504803" w14:textId="77777777" w:rsidR="00332A29" w:rsidRDefault="00183F7E">
      <w:pPr>
        <w:pStyle w:val="Seznamobrzk"/>
        <w:tabs>
          <w:tab w:val="right" w:leader="dot" w:pos="9062"/>
        </w:tabs>
        <w:rPr>
          <w:rFonts w:eastAsiaTheme="minorEastAsia"/>
          <w:noProof/>
          <w:lang w:eastAsia="cs-CZ"/>
        </w:rPr>
      </w:pPr>
      <w:hyperlink w:anchor="_Toc77074760" w:history="1">
        <w:r w:rsidR="00332A29" w:rsidRPr="00AA209F">
          <w:rPr>
            <w:rStyle w:val="Hypertextovodkaz"/>
            <w:noProof/>
          </w:rPr>
          <w:t xml:space="preserve">Tabulka 1.80: Kapacita, počet tříd a počet žáků v jednotlivých středních školách na území města Zlína zřizované Zlínským krajem za školní roky 2013/2014 </w:t>
        </w:r>
        <w:r w:rsidR="00332A29" w:rsidRPr="00AA209F">
          <w:rPr>
            <w:rStyle w:val="Hypertextovodkaz"/>
            <w:noProof/>
          </w:rPr>
          <w:sym w:font="Symbol" w:char="F02D"/>
        </w:r>
        <w:r w:rsidR="00332A29" w:rsidRPr="00AA209F">
          <w:rPr>
            <w:rStyle w:val="Hypertextovodkaz"/>
            <w:noProof/>
          </w:rPr>
          <w:t xml:space="preserve"> 2019/2020</w:t>
        </w:r>
        <w:r w:rsidR="00332A29">
          <w:rPr>
            <w:noProof/>
            <w:webHidden/>
          </w:rPr>
          <w:tab/>
        </w:r>
        <w:r w:rsidR="00332A29">
          <w:rPr>
            <w:noProof/>
            <w:webHidden/>
          </w:rPr>
          <w:fldChar w:fldCharType="begin"/>
        </w:r>
        <w:r w:rsidR="00332A29">
          <w:rPr>
            <w:noProof/>
            <w:webHidden/>
          </w:rPr>
          <w:instrText xml:space="preserve"> PAGEREF _Toc77074760 \h </w:instrText>
        </w:r>
        <w:r w:rsidR="00332A29">
          <w:rPr>
            <w:noProof/>
            <w:webHidden/>
          </w:rPr>
        </w:r>
        <w:r w:rsidR="00332A29">
          <w:rPr>
            <w:noProof/>
            <w:webHidden/>
          </w:rPr>
          <w:fldChar w:fldCharType="separate"/>
        </w:r>
        <w:r w:rsidR="00332A29">
          <w:rPr>
            <w:noProof/>
            <w:webHidden/>
          </w:rPr>
          <w:t>208</w:t>
        </w:r>
        <w:r w:rsidR="00332A29">
          <w:rPr>
            <w:noProof/>
            <w:webHidden/>
          </w:rPr>
          <w:fldChar w:fldCharType="end"/>
        </w:r>
      </w:hyperlink>
    </w:p>
    <w:p w14:paraId="7EE74412" w14:textId="77777777" w:rsidR="00332A29" w:rsidRDefault="00183F7E">
      <w:pPr>
        <w:pStyle w:val="Seznamobrzk"/>
        <w:tabs>
          <w:tab w:val="right" w:leader="dot" w:pos="9062"/>
        </w:tabs>
        <w:rPr>
          <w:rFonts w:eastAsiaTheme="minorEastAsia"/>
          <w:noProof/>
          <w:lang w:eastAsia="cs-CZ"/>
        </w:rPr>
      </w:pPr>
      <w:hyperlink w:anchor="_Toc77074761" w:history="1">
        <w:r w:rsidR="00332A29" w:rsidRPr="00AA209F">
          <w:rPr>
            <w:rStyle w:val="Hypertextovodkaz"/>
            <w:noProof/>
          </w:rPr>
          <w:t>Tabulka 1.81: Přijímací řízení na VŠ – podle fakult v letech 2014/2015 – 2019/2020</w:t>
        </w:r>
        <w:r w:rsidR="00332A29">
          <w:rPr>
            <w:noProof/>
            <w:webHidden/>
          </w:rPr>
          <w:tab/>
        </w:r>
        <w:r w:rsidR="00332A29">
          <w:rPr>
            <w:noProof/>
            <w:webHidden/>
          </w:rPr>
          <w:fldChar w:fldCharType="begin"/>
        </w:r>
        <w:r w:rsidR="00332A29">
          <w:rPr>
            <w:noProof/>
            <w:webHidden/>
          </w:rPr>
          <w:instrText xml:space="preserve"> PAGEREF _Toc77074761 \h </w:instrText>
        </w:r>
        <w:r w:rsidR="00332A29">
          <w:rPr>
            <w:noProof/>
            <w:webHidden/>
          </w:rPr>
        </w:r>
        <w:r w:rsidR="00332A29">
          <w:rPr>
            <w:noProof/>
            <w:webHidden/>
          </w:rPr>
          <w:fldChar w:fldCharType="separate"/>
        </w:r>
        <w:r w:rsidR="00332A29">
          <w:rPr>
            <w:noProof/>
            <w:webHidden/>
          </w:rPr>
          <w:t>209</w:t>
        </w:r>
        <w:r w:rsidR="00332A29">
          <w:rPr>
            <w:noProof/>
            <w:webHidden/>
          </w:rPr>
          <w:fldChar w:fldCharType="end"/>
        </w:r>
      </w:hyperlink>
    </w:p>
    <w:p w14:paraId="092B7475" w14:textId="77777777" w:rsidR="00332A29" w:rsidRDefault="00183F7E">
      <w:pPr>
        <w:pStyle w:val="Seznamobrzk"/>
        <w:tabs>
          <w:tab w:val="right" w:leader="dot" w:pos="9062"/>
        </w:tabs>
        <w:rPr>
          <w:rFonts w:eastAsiaTheme="minorEastAsia"/>
          <w:noProof/>
          <w:lang w:eastAsia="cs-CZ"/>
        </w:rPr>
      </w:pPr>
      <w:hyperlink w:anchor="_Toc77074762" w:history="1">
        <w:r w:rsidR="00332A29" w:rsidRPr="00AA209F">
          <w:rPr>
            <w:rStyle w:val="Hypertextovodkaz"/>
            <w:noProof/>
          </w:rPr>
          <w:t>Tabulka 1.82: Organizační struktura Magistrátu města Zlín</w:t>
        </w:r>
        <w:r w:rsidR="00332A29">
          <w:rPr>
            <w:noProof/>
            <w:webHidden/>
          </w:rPr>
          <w:tab/>
        </w:r>
        <w:r w:rsidR="00332A29">
          <w:rPr>
            <w:noProof/>
            <w:webHidden/>
          </w:rPr>
          <w:fldChar w:fldCharType="begin"/>
        </w:r>
        <w:r w:rsidR="00332A29">
          <w:rPr>
            <w:noProof/>
            <w:webHidden/>
          </w:rPr>
          <w:instrText xml:space="preserve"> PAGEREF _Toc77074762 \h </w:instrText>
        </w:r>
        <w:r w:rsidR="00332A29">
          <w:rPr>
            <w:noProof/>
            <w:webHidden/>
          </w:rPr>
        </w:r>
        <w:r w:rsidR="00332A29">
          <w:rPr>
            <w:noProof/>
            <w:webHidden/>
          </w:rPr>
          <w:fldChar w:fldCharType="separate"/>
        </w:r>
        <w:r w:rsidR="00332A29">
          <w:rPr>
            <w:noProof/>
            <w:webHidden/>
          </w:rPr>
          <w:t>211</w:t>
        </w:r>
        <w:r w:rsidR="00332A29">
          <w:rPr>
            <w:noProof/>
            <w:webHidden/>
          </w:rPr>
          <w:fldChar w:fldCharType="end"/>
        </w:r>
      </w:hyperlink>
    </w:p>
    <w:p w14:paraId="631F612D" w14:textId="77777777" w:rsidR="00332A29" w:rsidRDefault="00183F7E">
      <w:pPr>
        <w:pStyle w:val="Seznamobrzk"/>
        <w:tabs>
          <w:tab w:val="right" w:leader="dot" w:pos="9062"/>
        </w:tabs>
        <w:rPr>
          <w:rFonts w:eastAsiaTheme="minorEastAsia"/>
          <w:noProof/>
          <w:lang w:eastAsia="cs-CZ"/>
        </w:rPr>
      </w:pPr>
      <w:hyperlink w:anchor="_Toc77074763" w:history="1">
        <w:r w:rsidR="00332A29" w:rsidRPr="00AA209F">
          <w:rPr>
            <w:rStyle w:val="Hypertextovodkaz"/>
            <w:noProof/>
          </w:rPr>
          <w:t xml:space="preserve">Tabulka 1.83: </w:t>
        </w:r>
        <w:r w:rsidR="00332A29" w:rsidRPr="00AA209F">
          <w:rPr>
            <w:rStyle w:val="Hypertextovodkaz"/>
            <w:rFonts w:ascii="Calibri" w:eastAsia="Times New Roman" w:hAnsi="Calibri" w:cs="Calibri"/>
            <w:bCs/>
            <w:noProof/>
            <w:lang w:eastAsia="cs-CZ"/>
          </w:rPr>
          <w:t>Přehled strategických dokumentů SMZ (aktuální dokumenty)</w:t>
        </w:r>
        <w:r w:rsidR="00332A29">
          <w:rPr>
            <w:noProof/>
            <w:webHidden/>
          </w:rPr>
          <w:tab/>
        </w:r>
        <w:r w:rsidR="00332A29">
          <w:rPr>
            <w:noProof/>
            <w:webHidden/>
          </w:rPr>
          <w:fldChar w:fldCharType="begin"/>
        </w:r>
        <w:r w:rsidR="00332A29">
          <w:rPr>
            <w:noProof/>
            <w:webHidden/>
          </w:rPr>
          <w:instrText xml:space="preserve"> PAGEREF _Toc77074763 \h </w:instrText>
        </w:r>
        <w:r w:rsidR="00332A29">
          <w:rPr>
            <w:noProof/>
            <w:webHidden/>
          </w:rPr>
        </w:r>
        <w:r w:rsidR="00332A29">
          <w:rPr>
            <w:noProof/>
            <w:webHidden/>
          </w:rPr>
          <w:fldChar w:fldCharType="separate"/>
        </w:r>
        <w:r w:rsidR="00332A29">
          <w:rPr>
            <w:noProof/>
            <w:webHidden/>
          </w:rPr>
          <w:t>212</w:t>
        </w:r>
        <w:r w:rsidR="00332A29">
          <w:rPr>
            <w:noProof/>
            <w:webHidden/>
          </w:rPr>
          <w:fldChar w:fldCharType="end"/>
        </w:r>
      </w:hyperlink>
    </w:p>
    <w:p w14:paraId="45DFEFC9" w14:textId="77777777" w:rsidR="00332A29" w:rsidRDefault="00183F7E">
      <w:pPr>
        <w:pStyle w:val="Seznamobrzk"/>
        <w:tabs>
          <w:tab w:val="right" w:leader="dot" w:pos="9062"/>
        </w:tabs>
        <w:rPr>
          <w:rFonts w:eastAsiaTheme="minorEastAsia"/>
          <w:noProof/>
          <w:lang w:eastAsia="cs-CZ"/>
        </w:rPr>
      </w:pPr>
      <w:hyperlink w:anchor="_Toc77074764" w:history="1">
        <w:r w:rsidR="00332A29" w:rsidRPr="00AA209F">
          <w:rPr>
            <w:rStyle w:val="Hypertextovodkaz"/>
            <w:noProof/>
          </w:rPr>
          <w:t>Tabulka 2.1: Struktura základního souboru dle věku a pohlaví</w:t>
        </w:r>
        <w:r w:rsidR="00332A29">
          <w:rPr>
            <w:noProof/>
            <w:webHidden/>
          </w:rPr>
          <w:tab/>
        </w:r>
        <w:r w:rsidR="00332A29">
          <w:rPr>
            <w:noProof/>
            <w:webHidden/>
          </w:rPr>
          <w:fldChar w:fldCharType="begin"/>
        </w:r>
        <w:r w:rsidR="00332A29">
          <w:rPr>
            <w:noProof/>
            <w:webHidden/>
          </w:rPr>
          <w:instrText xml:space="preserve"> PAGEREF _Toc77074764 \h </w:instrText>
        </w:r>
        <w:r w:rsidR="00332A29">
          <w:rPr>
            <w:noProof/>
            <w:webHidden/>
          </w:rPr>
        </w:r>
        <w:r w:rsidR="00332A29">
          <w:rPr>
            <w:noProof/>
            <w:webHidden/>
          </w:rPr>
          <w:fldChar w:fldCharType="separate"/>
        </w:r>
        <w:r w:rsidR="00332A29">
          <w:rPr>
            <w:noProof/>
            <w:webHidden/>
          </w:rPr>
          <w:t>231</w:t>
        </w:r>
        <w:r w:rsidR="00332A29">
          <w:rPr>
            <w:noProof/>
            <w:webHidden/>
          </w:rPr>
          <w:fldChar w:fldCharType="end"/>
        </w:r>
      </w:hyperlink>
    </w:p>
    <w:p w14:paraId="3AFED633" w14:textId="77777777" w:rsidR="00332A29" w:rsidRDefault="00183F7E">
      <w:pPr>
        <w:pStyle w:val="Seznamobrzk"/>
        <w:tabs>
          <w:tab w:val="right" w:leader="dot" w:pos="9062"/>
        </w:tabs>
        <w:rPr>
          <w:rFonts w:eastAsiaTheme="minorEastAsia"/>
          <w:noProof/>
          <w:lang w:eastAsia="cs-CZ"/>
        </w:rPr>
      </w:pPr>
      <w:hyperlink w:anchor="_Toc77074765" w:history="1">
        <w:r w:rsidR="00332A29" w:rsidRPr="00AA209F">
          <w:rPr>
            <w:rStyle w:val="Hypertextovodkaz"/>
            <w:noProof/>
          </w:rPr>
          <w:t>Tabulka 2.2: Struktura respondentů s trvalým pobytem ve Zlíně</w:t>
        </w:r>
        <w:r w:rsidR="00332A29">
          <w:rPr>
            <w:noProof/>
            <w:webHidden/>
          </w:rPr>
          <w:tab/>
        </w:r>
        <w:r w:rsidR="00332A29">
          <w:rPr>
            <w:noProof/>
            <w:webHidden/>
          </w:rPr>
          <w:fldChar w:fldCharType="begin"/>
        </w:r>
        <w:r w:rsidR="00332A29">
          <w:rPr>
            <w:noProof/>
            <w:webHidden/>
          </w:rPr>
          <w:instrText xml:space="preserve"> PAGEREF _Toc77074765 \h </w:instrText>
        </w:r>
        <w:r w:rsidR="00332A29">
          <w:rPr>
            <w:noProof/>
            <w:webHidden/>
          </w:rPr>
        </w:r>
        <w:r w:rsidR="00332A29">
          <w:rPr>
            <w:noProof/>
            <w:webHidden/>
          </w:rPr>
          <w:fldChar w:fldCharType="separate"/>
        </w:r>
        <w:r w:rsidR="00332A29">
          <w:rPr>
            <w:noProof/>
            <w:webHidden/>
          </w:rPr>
          <w:t>231</w:t>
        </w:r>
        <w:r w:rsidR="00332A29">
          <w:rPr>
            <w:noProof/>
            <w:webHidden/>
          </w:rPr>
          <w:fldChar w:fldCharType="end"/>
        </w:r>
      </w:hyperlink>
    </w:p>
    <w:p w14:paraId="5D6C36BF" w14:textId="77777777" w:rsidR="00332A29" w:rsidRDefault="00183F7E">
      <w:pPr>
        <w:pStyle w:val="Seznamobrzk"/>
        <w:tabs>
          <w:tab w:val="right" w:leader="dot" w:pos="9062"/>
        </w:tabs>
        <w:rPr>
          <w:rFonts w:eastAsiaTheme="minorEastAsia"/>
          <w:noProof/>
          <w:lang w:eastAsia="cs-CZ"/>
        </w:rPr>
      </w:pPr>
      <w:hyperlink w:anchor="_Toc77074766" w:history="1">
        <w:r w:rsidR="00332A29" w:rsidRPr="00AA209F">
          <w:rPr>
            <w:rStyle w:val="Hypertextovodkaz"/>
            <w:rFonts w:cstheme="minorHAnsi"/>
            <w:noProof/>
          </w:rPr>
          <w:t>Tabulka 2.3: Struktura respondentů podle místních částí</w:t>
        </w:r>
        <w:r w:rsidR="00332A29">
          <w:rPr>
            <w:noProof/>
            <w:webHidden/>
          </w:rPr>
          <w:tab/>
        </w:r>
        <w:r w:rsidR="00332A29">
          <w:rPr>
            <w:noProof/>
            <w:webHidden/>
          </w:rPr>
          <w:fldChar w:fldCharType="begin"/>
        </w:r>
        <w:r w:rsidR="00332A29">
          <w:rPr>
            <w:noProof/>
            <w:webHidden/>
          </w:rPr>
          <w:instrText xml:space="preserve"> PAGEREF _Toc77074766 \h </w:instrText>
        </w:r>
        <w:r w:rsidR="00332A29">
          <w:rPr>
            <w:noProof/>
            <w:webHidden/>
          </w:rPr>
        </w:r>
        <w:r w:rsidR="00332A29">
          <w:rPr>
            <w:noProof/>
            <w:webHidden/>
          </w:rPr>
          <w:fldChar w:fldCharType="separate"/>
        </w:r>
        <w:r w:rsidR="00332A29">
          <w:rPr>
            <w:noProof/>
            <w:webHidden/>
          </w:rPr>
          <w:t>232</w:t>
        </w:r>
        <w:r w:rsidR="00332A29">
          <w:rPr>
            <w:noProof/>
            <w:webHidden/>
          </w:rPr>
          <w:fldChar w:fldCharType="end"/>
        </w:r>
      </w:hyperlink>
    </w:p>
    <w:p w14:paraId="1B7D1D86" w14:textId="77777777" w:rsidR="00332A29" w:rsidRDefault="00183F7E">
      <w:pPr>
        <w:pStyle w:val="Seznamobrzk"/>
        <w:tabs>
          <w:tab w:val="right" w:leader="dot" w:pos="9062"/>
        </w:tabs>
        <w:rPr>
          <w:rFonts w:eastAsiaTheme="minorEastAsia"/>
          <w:noProof/>
          <w:lang w:eastAsia="cs-CZ"/>
        </w:rPr>
      </w:pPr>
      <w:hyperlink w:anchor="_Toc77074767" w:history="1">
        <w:r w:rsidR="00332A29" w:rsidRPr="00AA209F">
          <w:rPr>
            <w:rStyle w:val="Hypertextovodkaz"/>
            <w:rFonts w:cstheme="minorHAnsi"/>
            <w:noProof/>
          </w:rPr>
          <w:t>Tabulka 2.4: Struktura respondentů – studenti VŠ a UTB</w:t>
        </w:r>
        <w:r w:rsidR="00332A29">
          <w:rPr>
            <w:noProof/>
            <w:webHidden/>
          </w:rPr>
          <w:tab/>
        </w:r>
        <w:r w:rsidR="00332A29">
          <w:rPr>
            <w:noProof/>
            <w:webHidden/>
          </w:rPr>
          <w:fldChar w:fldCharType="begin"/>
        </w:r>
        <w:r w:rsidR="00332A29">
          <w:rPr>
            <w:noProof/>
            <w:webHidden/>
          </w:rPr>
          <w:instrText xml:space="preserve"> PAGEREF _Toc77074767 \h </w:instrText>
        </w:r>
        <w:r w:rsidR="00332A29">
          <w:rPr>
            <w:noProof/>
            <w:webHidden/>
          </w:rPr>
        </w:r>
        <w:r w:rsidR="00332A29">
          <w:rPr>
            <w:noProof/>
            <w:webHidden/>
          </w:rPr>
          <w:fldChar w:fldCharType="separate"/>
        </w:r>
        <w:r w:rsidR="00332A29">
          <w:rPr>
            <w:noProof/>
            <w:webHidden/>
          </w:rPr>
          <w:t>232</w:t>
        </w:r>
        <w:r w:rsidR="00332A29">
          <w:rPr>
            <w:noProof/>
            <w:webHidden/>
          </w:rPr>
          <w:fldChar w:fldCharType="end"/>
        </w:r>
      </w:hyperlink>
    </w:p>
    <w:p w14:paraId="29E252E1" w14:textId="77777777" w:rsidR="00332A29" w:rsidRDefault="00183F7E">
      <w:pPr>
        <w:pStyle w:val="Seznamobrzk"/>
        <w:tabs>
          <w:tab w:val="right" w:leader="dot" w:pos="9062"/>
        </w:tabs>
        <w:rPr>
          <w:rFonts w:eastAsiaTheme="minorEastAsia"/>
          <w:noProof/>
          <w:lang w:eastAsia="cs-CZ"/>
        </w:rPr>
      </w:pPr>
      <w:hyperlink w:anchor="_Toc77074768" w:history="1">
        <w:r w:rsidR="00332A29" w:rsidRPr="00AA209F">
          <w:rPr>
            <w:rStyle w:val="Hypertextovodkaz"/>
            <w:rFonts w:cstheme="minorHAnsi"/>
            <w:noProof/>
          </w:rPr>
          <w:t>Tabulka 2.5: Spokojenost se životem ve Zlíně podle pohlaví, věku a u studentů UTB</w:t>
        </w:r>
        <w:r w:rsidR="00332A29">
          <w:rPr>
            <w:noProof/>
            <w:webHidden/>
          </w:rPr>
          <w:tab/>
        </w:r>
        <w:r w:rsidR="00332A29">
          <w:rPr>
            <w:noProof/>
            <w:webHidden/>
          </w:rPr>
          <w:fldChar w:fldCharType="begin"/>
        </w:r>
        <w:r w:rsidR="00332A29">
          <w:rPr>
            <w:noProof/>
            <w:webHidden/>
          </w:rPr>
          <w:instrText xml:space="preserve"> PAGEREF _Toc77074768 \h </w:instrText>
        </w:r>
        <w:r w:rsidR="00332A29">
          <w:rPr>
            <w:noProof/>
            <w:webHidden/>
          </w:rPr>
        </w:r>
        <w:r w:rsidR="00332A29">
          <w:rPr>
            <w:noProof/>
            <w:webHidden/>
          </w:rPr>
          <w:fldChar w:fldCharType="separate"/>
        </w:r>
        <w:r w:rsidR="00332A29">
          <w:rPr>
            <w:noProof/>
            <w:webHidden/>
          </w:rPr>
          <w:t>233</w:t>
        </w:r>
        <w:r w:rsidR="00332A29">
          <w:rPr>
            <w:noProof/>
            <w:webHidden/>
          </w:rPr>
          <w:fldChar w:fldCharType="end"/>
        </w:r>
      </w:hyperlink>
    </w:p>
    <w:p w14:paraId="6A925A3A" w14:textId="77777777" w:rsidR="00332A29" w:rsidRDefault="00183F7E">
      <w:pPr>
        <w:pStyle w:val="Seznamobrzk"/>
        <w:tabs>
          <w:tab w:val="right" w:leader="dot" w:pos="9062"/>
        </w:tabs>
        <w:rPr>
          <w:rFonts w:eastAsiaTheme="minorEastAsia"/>
          <w:noProof/>
          <w:lang w:eastAsia="cs-CZ"/>
        </w:rPr>
      </w:pPr>
      <w:hyperlink w:anchor="_Toc77074769" w:history="1">
        <w:r w:rsidR="00332A29" w:rsidRPr="00AA209F">
          <w:rPr>
            <w:rStyle w:val="Hypertextovodkaz"/>
            <w:noProof/>
          </w:rPr>
          <w:t>Tabulka 2.6:</w:t>
        </w:r>
        <w:r w:rsidR="00332A29" w:rsidRPr="00AA209F">
          <w:rPr>
            <w:rStyle w:val="Hypertextovodkaz"/>
            <w:rFonts w:cstheme="minorHAnsi"/>
            <w:noProof/>
          </w:rPr>
          <w:t xml:space="preserve"> Co se respondentům na Zlíně nejvíce líbí – 20 nejčastějších odpovědí</w:t>
        </w:r>
        <w:r w:rsidR="00332A29">
          <w:rPr>
            <w:noProof/>
            <w:webHidden/>
          </w:rPr>
          <w:tab/>
        </w:r>
        <w:r w:rsidR="00332A29">
          <w:rPr>
            <w:noProof/>
            <w:webHidden/>
          </w:rPr>
          <w:fldChar w:fldCharType="begin"/>
        </w:r>
        <w:r w:rsidR="00332A29">
          <w:rPr>
            <w:noProof/>
            <w:webHidden/>
          </w:rPr>
          <w:instrText xml:space="preserve"> PAGEREF _Toc77074769 \h </w:instrText>
        </w:r>
        <w:r w:rsidR="00332A29">
          <w:rPr>
            <w:noProof/>
            <w:webHidden/>
          </w:rPr>
        </w:r>
        <w:r w:rsidR="00332A29">
          <w:rPr>
            <w:noProof/>
            <w:webHidden/>
          </w:rPr>
          <w:fldChar w:fldCharType="separate"/>
        </w:r>
        <w:r w:rsidR="00332A29">
          <w:rPr>
            <w:noProof/>
            <w:webHidden/>
          </w:rPr>
          <w:t>236</w:t>
        </w:r>
        <w:r w:rsidR="00332A29">
          <w:rPr>
            <w:noProof/>
            <w:webHidden/>
          </w:rPr>
          <w:fldChar w:fldCharType="end"/>
        </w:r>
      </w:hyperlink>
    </w:p>
    <w:p w14:paraId="0B9C50C5" w14:textId="77777777" w:rsidR="00332A29" w:rsidRDefault="00183F7E">
      <w:pPr>
        <w:pStyle w:val="Seznamobrzk"/>
        <w:tabs>
          <w:tab w:val="right" w:leader="dot" w:pos="9062"/>
        </w:tabs>
        <w:rPr>
          <w:rFonts w:eastAsiaTheme="minorEastAsia"/>
          <w:noProof/>
          <w:lang w:eastAsia="cs-CZ"/>
        </w:rPr>
      </w:pPr>
      <w:hyperlink w:anchor="_Toc77074770" w:history="1">
        <w:r w:rsidR="00332A29" w:rsidRPr="00AA209F">
          <w:rPr>
            <w:rStyle w:val="Hypertextovodkaz"/>
            <w:rFonts w:cstheme="minorHAnsi"/>
            <w:noProof/>
          </w:rPr>
          <w:t>Tabulka 2.7: Co respondentům ve Zlíně nejvíce chybí – 20 nejčastějších odpovědí</w:t>
        </w:r>
        <w:r w:rsidR="00332A29">
          <w:rPr>
            <w:noProof/>
            <w:webHidden/>
          </w:rPr>
          <w:tab/>
        </w:r>
        <w:r w:rsidR="00332A29">
          <w:rPr>
            <w:noProof/>
            <w:webHidden/>
          </w:rPr>
          <w:fldChar w:fldCharType="begin"/>
        </w:r>
        <w:r w:rsidR="00332A29">
          <w:rPr>
            <w:noProof/>
            <w:webHidden/>
          </w:rPr>
          <w:instrText xml:space="preserve"> PAGEREF _Toc77074770 \h </w:instrText>
        </w:r>
        <w:r w:rsidR="00332A29">
          <w:rPr>
            <w:noProof/>
            <w:webHidden/>
          </w:rPr>
        </w:r>
        <w:r w:rsidR="00332A29">
          <w:rPr>
            <w:noProof/>
            <w:webHidden/>
          </w:rPr>
          <w:fldChar w:fldCharType="separate"/>
        </w:r>
        <w:r w:rsidR="00332A29">
          <w:rPr>
            <w:noProof/>
            <w:webHidden/>
          </w:rPr>
          <w:t>238</w:t>
        </w:r>
        <w:r w:rsidR="00332A29">
          <w:rPr>
            <w:noProof/>
            <w:webHidden/>
          </w:rPr>
          <w:fldChar w:fldCharType="end"/>
        </w:r>
      </w:hyperlink>
    </w:p>
    <w:p w14:paraId="06D3460D" w14:textId="77777777" w:rsidR="00332A29" w:rsidRDefault="00183F7E">
      <w:pPr>
        <w:pStyle w:val="Seznamobrzk"/>
        <w:tabs>
          <w:tab w:val="right" w:leader="dot" w:pos="9062"/>
        </w:tabs>
        <w:rPr>
          <w:rFonts w:eastAsiaTheme="minorEastAsia"/>
          <w:noProof/>
          <w:lang w:eastAsia="cs-CZ"/>
        </w:rPr>
      </w:pPr>
      <w:hyperlink w:anchor="_Toc77074771" w:history="1">
        <w:r w:rsidR="00332A29" w:rsidRPr="00AA209F">
          <w:rPr>
            <w:rStyle w:val="Hypertextovodkaz"/>
            <w:rFonts w:cstheme="minorHAnsi"/>
            <w:noProof/>
          </w:rPr>
          <w:t>Tabulka 2.8: Hodnocení vývoje města za posledních 5 let podle pohlaví, věku a u studentů UTB</w:t>
        </w:r>
        <w:r w:rsidR="00332A29">
          <w:rPr>
            <w:noProof/>
            <w:webHidden/>
          </w:rPr>
          <w:tab/>
        </w:r>
        <w:r w:rsidR="00332A29">
          <w:rPr>
            <w:noProof/>
            <w:webHidden/>
          </w:rPr>
          <w:fldChar w:fldCharType="begin"/>
        </w:r>
        <w:r w:rsidR="00332A29">
          <w:rPr>
            <w:noProof/>
            <w:webHidden/>
          </w:rPr>
          <w:instrText xml:space="preserve"> PAGEREF _Toc77074771 \h </w:instrText>
        </w:r>
        <w:r w:rsidR="00332A29">
          <w:rPr>
            <w:noProof/>
            <w:webHidden/>
          </w:rPr>
        </w:r>
        <w:r w:rsidR="00332A29">
          <w:rPr>
            <w:noProof/>
            <w:webHidden/>
          </w:rPr>
          <w:fldChar w:fldCharType="separate"/>
        </w:r>
        <w:r w:rsidR="00332A29">
          <w:rPr>
            <w:noProof/>
            <w:webHidden/>
          </w:rPr>
          <w:t>239</w:t>
        </w:r>
        <w:r w:rsidR="00332A29">
          <w:rPr>
            <w:noProof/>
            <w:webHidden/>
          </w:rPr>
          <w:fldChar w:fldCharType="end"/>
        </w:r>
      </w:hyperlink>
    </w:p>
    <w:p w14:paraId="723301D7" w14:textId="77777777" w:rsidR="00332A29" w:rsidRDefault="00183F7E">
      <w:pPr>
        <w:pStyle w:val="Seznamobrzk"/>
        <w:tabs>
          <w:tab w:val="right" w:leader="dot" w:pos="9062"/>
        </w:tabs>
        <w:rPr>
          <w:rFonts w:eastAsiaTheme="minorEastAsia"/>
          <w:noProof/>
          <w:lang w:eastAsia="cs-CZ"/>
        </w:rPr>
      </w:pPr>
      <w:hyperlink w:anchor="_Toc77074772" w:history="1">
        <w:r w:rsidR="00332A29" w:rsidRPr="00AA209F">
          <w:rPr>
            <w:rStyle w:val="Hypertextovodkaz"/>
            <w:rFonts w:cstheme="minorHAnsi"/>
            <w:noProof/>
          </w:rPr>
          <w:t>Tabulka 2.9: Spokojenost s občanskou vybaveností podle pohlaví, věku a u studentů UTB</w:t>
        </w:r>
        <w:r w:rsidR="00332A29">
          <w:rPr>
            <w:noProof/>
            <w:webHidden/>
          </w:rPr>
          <w:tab/>
        </w:r>
        <w:r w:rsidR="00332A29">
          <w:rPr>
            <w:noProof/>
            <w:webHidden/>
          </w:rPr>
          <w:fldChar w:fldCharType="begin"/>
        </w:r>
        <w:r w:rsidR="00332A29">
          <w:rPr>
            <w:noProof/>
            <w:webHidden/>
          </w:rPr>
          <w:instrText xml:space="preserve"> PAGEREF _Toc77074772 \h </w:instrText>
        </w:r>
        <w:r w:rsidR="00332A29">
          <w:rPr>
            <w:noProof/>
            <w:webHidden/>
          </w:rPr>
        </w:r>
        <w:r w:rsidR="00332A29">
          <w:rPr>
            <w:noProof/>
            <w:webHidden/>
          </w:rPr>
          <w:fldChar w:fldCharType="separate"/>
        </w:r>
        <w:r w:rsidR="00332A29">
          <w:rPr>
            <w:noProof/>
            <w:webHidden/>
          </w:rPr>
          <w:t>243</w:t>
        </w:r>
        <w:r w:rsidR="00332A29">
          <w:rPr>
            <w:noProof/>
            <w:webHidden/>
          </w:rPr>
          <w:fldChar w:fldCharType="end"/>
        </w:r>
      </w:hyperlink>
    </w:p>
    <w:p w14:paraId="29DA79E3" w14:textId="77777777" w:rsidR="00332A29" w:rsidRDefault="00183F7E">
      <w:pPr>
        <w:pStyle w:val="Seznamobrzk"/>
        <w:tabs>
          <w:tab w:val="right" w:leader="dot" w:pos="9062"/>
        </w:tabs>
        <w:rPr>
          <w:rFonts w:eastAsiaTheme="minorEastAsia"/>
          <w:noProof/>
          <w:lang w:eastAsia="cs-CZ"/>
        </w:rPr>
      </w:pPr>
      <w:hyperlink w:anchor="_Toc77074773" w:history="1">
        <w:r w:rsidR="00332A29" w:rsidRPr="00AA209F">
          <w:rPr>
            <w:rStyle w:val="Hypertextovodkaz"/>
            <w:rFonts w:cstheme="minorHAnsi"/>
            <w:noProof/>
          </w:rPr>
          <w:t>Tabulka 2.10: Spokojenost s oblastí vzdělávání podle pohlaví, věku a u studentů UTB</w:t>
        </w:r>
        <w:r w:rsidR="00332A29">
          <w:rPr>
            <w:noProof/>
            <w:webHidden/>
          </w:rPr>
          <w:tab/>
        </w:r>
        <w:r w:rsidR="00332A29">
          <w:rPr>
            <w:noProof/>
            <w:webHidden/>
          </w:rPr>
          <w:fldChar w:fldCharType="begin"/>
        </w:r>
        <w:r w:rsidR="00332A29">
          <w:rPr>
            <w:noProof/>
            <w:webHidden/>
          </w:rPr>
          <w:instrText xml:space="preserve"> PAGEREF _Toc77074773 \h </w:instrText>
        </w:r>
        <w:r w:rsidR="00332A29">
          <w:rPr>
            <w:noProof/>
            <w:webHidden/>
          </w:rPr>
        </w:r>
        <w:r w:rsidR="00332A29">
          <w:rPr>
            <w:noProof/>
            <w:webHidden/>
          </w:rPr>
          <w:fldChar w:fldCharType="separate"/>
        </w:r>
        <w:r w:rsidR="00332A29">
          <w:rPr>
            <w:noProof/>
            <w:webHidden/>
          </w:rPr>
          <w:t>244</w:t>
        </w:r>
        <w:r w:rsidR="00332A29">
          <w:rPr>
            <w:noProof/>
            <w:webHidden/>
          </w:rPr>
          <w:fldChar w:fldCharType="end"/>
        </w:r>
      </w:hyperlink>
    </w:p>
    <w:p w14:paraId="3D82B8C8" w14:textId="77777777" w:rsidR="00332A29" w:rsidRDefault="00183F7E">
      <w:pPr>
        <w:pStyle w:val="Seznamobrzk"/>
        <w:tabs>
          <w:tab w:val="right" w:leader="dot" w:pos="9062"/>
        </w:tabs>
        <w:rPr>
          <w:rFonts w:eastAsiaTheme="minorEastAsia"/>
          <w:noProof/>
          <w:lang w:eastAsia="cs-CZ"/>
        </w:rPr>
      </w:pPr>
      <w:hyperlink w:anchor="_Toc77074774" w:history="1">
        <w:r w:rsidR="00332A29" w:rsidRPr="00AA209F">
          <w:rPr>
            <w:rStyle w:val="Hypertextovodkaz"/>
            <w:rFonts w:cstheme="minorHAnsi"/>
            <w:noProof/>
          </w:rPr>
          <w:t>Tabulka 2.11: Spokojenost s oblastmi dopravy podle pohlaví, věku a u studentů UTB</w:t>
        </w:r>
        <w:r w:rsidR="00332A29">
          <w:rPr>
            <w:noProof/>
            <w:webHidden/>
          </w:rPr>
          <w:tab/>
        </w:r>
        <w:r w:rsidR="00332A29">
          <w:rPr>
            <w:noProof/>
            <w:webHidden/>
          </w:rPr>
          <w:fldChar w:fldCharType="begin"/>
        </w:r>
        <w:r w:rsidR="00332A29">
          <w:rPr>
            <w:noProof/>
            <w:webHidden/>
          </w:rPr>
          <w:instrText xml:space="preserve"> PAGEREF _Toc77074774 \h </w:instrText>
        </w:r>
        <w:r w:rsidR="00332A29">
          <w:rPr>
            <w:noProof/>
            <w:webHidden/>
          </w:rPr>
        </w:r>
        <w:r w:rsidR="00332A29">
          <w:rPr>
            <w:noProof/>
            <w:webHidden/>
          </w:rPr>
          <w:fldChar w:fldCharType="separate"/>
        </w:r>
        <w:r w:rsidR="00332A29">
          <w:rPr>
            <w:noProof/>
            <w:webHidden/>
          </w:rPr>
          <w:t>245</w:t>
        </w:r>
        <w:r w:rsidR="00332A29">
          <w:rPr>
            <w:noProof/>
            <w:webHidden/>
          </w:rPr>
          <w:fldChar w:fldCharType="end"/>
        </w:r>
      </w:hyperlink>
    </w:p>
    <w:p w14:paraId="5AF796CA" w14:textId="77777777" w:rsidR="00332A29" w:rsidRDefault="00183F7E">
      <w:pPr>
        <w:pStyle w:val="Seznamobrzk"/>
        <w:tabs>
          <w:tab w:val="right" w:leader="dot" w:pos="9062"/>
        </w:tabs>
        <w:rPr>
          <w:rFonts w:eastAsiaTheme="minorEastAsia"/>
          <w:noProof/>
          <w:lang w:eastAsia="cs-CZ"/>
        </w:rPr>
      </w:pPr>
      <w:hyperlink w:anchor="_Toc77074775" w:history="1">
        <w:r w:rsidR="00332A29" w:rsidRPr="00AA209F">
          <w:rPr>
            <w:rStyle w:val="Hypertextovodkaz"/>
            <w:rFonts w:cstheme="minorHAnsi"/>
            <w:noProof/>
          </w:rPr>
          <w:t>Tabulka 2.12: Spokojenost s bydlením podle pohlaví, věku a u studentů UTB</w:t>
        </w:r>
        <w:r w:rsidR="00332A29">
          <w:rPr>
            <w:noProof/>
            <w:webHidden/>
          </w:rPr>
          <w:tab/>
        </w:r>
        <w:r w:rsidR="00332A29">
          <w:rPr>
            <w:noProof/>
            <w:webHidden/>
          </w:rPr>
          <w:fldChar w:fldCharType="begin"/>
        </w:r>
        <w:r w:rsidR="00332A29">
          <w:rPr>
            <w:noProof/>
            <w:webHidden/>
          </w:rPr>
          <w:instrText xml:space="preserve"> PAGEREF _Toc77074775 \h </w:instrText>
        </w:r>
        <w:r w:rsidR="00332A29">
          <w:rPr>
            <w:noProof/>
            <w:webHidden/>
          </w:rPr>
        </w:r>
        <w:r w:rsidR="00332A29">
          <w:rPr>
            <w:noProof/>
            <w:webHidden/>
          </w:rPr>
          <w:fldChar w:fldCharType="separate"/>
        </w:r>
        <w:r w:rsidR="00332A29">
          <w:rPr>
            <w:noProof/>
            <w:webHidden/>
          </w:rPr>
          <w:t>246</w:t>
        </w:r>
        <w:r w:rsidR="00332A29">
          <w:rPr>
            <w:noProof/>
            <w:webHidden/>
          </w:rPr>
          <w:fldChar w:fldCharType="end"/>
        </w:r>
      </w:hyperlink>
    </w:p>
    <w:p w14:paraId="67609DD2" w14:textId="77777777" w:rsidR="00332A29" w:rsidRDefault="00183F7E">
      <w:pPr>
        <w:pStyle w:val="Seznamobrzk"/>
        <w:tabs>
          <w:tab w:val="right" w:leader="dot" w:pos="9062"/>
        </w:tabs>
        <w:rPr>
          <w:rFonts w:eastAsiaTheme="minorEastAsia"/>
          <w:noProof/>
          <w:lang w:eastAsia="cs-CZ"/>
        </w:rPr>
      </w:pPr>
      <w:hyperlink w:anchor="_Toc77074776" w:history="1">
        <w:r w:rsidR="00332A29" w:rsidRPr="00AA209F">
          <w:rPr>
            <w:rStyle w:val="Hypertextovodkaz"/>
            <w:rFonts w:cstheme="minorHAnsi"/>
            <w:noProof/>
          </w:rPr>
          <w:t>Tabulka 2.13: Důvody nespokojenosti s bydlením ve Zlíně – 20 nejčastějších odpovědí</w:t>
        </w:r>
        <w:r w:rsidR="00332A29">
          <w:rPr>
            <w:noProof/>
            <w:webHidden/>
          </w:rPr>
          <w:tab/>
        </w:r>
        <w:r w:rsidR="00332A29">
          <w:rPr>
            <w:noProof/>
            <w:webHidden/>
          </w:rPr>
          <w:fldChar w:fldCharType="begin"/>
        </w:r>
        <w:r w:rsidR="00332A29">
          <w:rPr>
            <w:noProof/>
            <w:webHidden/>
          </w:rPr>
          <w:instrText xml:space="preserve"> PAGEREF _Toc77074776 \h </w:instrText>
        </w:r>
        <w:r w:rsidR="00332A29">
          <w:rPr>
            <w:noProof/>
            <w:webHidden/>
          </w:rPr>
        </w:r>
        <w:r w:rsidR="00332A29">
          <w:rPr>
            <w:noProof/>
            <w:webHidden/>
          </w:rPr>
          <w:fldChar w:fldCharType="separate"/>
        </w:r>
        <w:r w:rsidR="00332A29">
          <w:rPr>
            <w:noProof/>
            <w:webHidden/>
          </w:rPr>
          <w:t>247</w:t>
        </w:r>
        <w:r w:rsidR="00332A29">
          <w:rPr>
            <w:noProof/>
            <w:webHidden/>
          </w:rPr>
          <w:fldChar w:fldCharType="end"/>
        </w:r>
      </w:hyperlink>
    </w:p>
    <w:p w14:paraId="00936459" w14:textId="77777777" w:rsidR="00332A29" w:rsidRDefault="00183F7E">
      <w:pPr>
        <w:pStyle w:val="Seznamobrzk"/>
        <w:tabs>
          <w:tab w:val="right" w:leader="dot" w:pos="9062"/>
        </w:tabs>
        <w:rPr>
          <w:rFonts w:eastAsiaTheme="minorEastAsia"/>
          <w:noProof/>
          <w:lang w:eastAsia="cs-CZ"/>
        </w:rPr>
      </w:pPr>
      <w:hyperlink w:anchor="_Toc77074777" w:history="1">
        <w:r w:rsidR="00332A29" w:rsidRPr="00AA209F">
          <w:rPr>
            <w:rStyle w:val="Hypertextovodkaz"/>
            <w:rFonts w:cstheme="minorHAnsi"/>
            <w:noProof/>
          </w:rPr>
          <w:t>Tabulka 2.14: Spokojenost s nabídkou pracovních příležitostí podle pohlaví, věku a u studentů UTB</w:t>
        </w:r>
        <w:r w:rsidR="00332A29">
          <w:rPr>
            <w:noProof/>
            <w:webHidden/>
          </w:rPr>
          <w:tab/>
        </w:r>
        <w:r w:rsidR="00332A29">
          <w:rPr>
            <w:noProof/>
            <w:webHidden/>
          </w:rPr>
          <w:fldChar w:fldCharType="begin"/>
        </w:r>
        <w:r w:rsidR="00332A29">
          <w:rPr>
            <w:noProof/>
            <w:webHidden/>
          </w:rPr>
          <w:instrText xml:space="preserve"> PAGEREF _Toc77074777 \h </w:instrText>
        </w:r>
        <w:r w:rsidR="00332A29">
          <w:rPr>
            <w:noProof/>
            <w:webHidden/>
          </w:rPr>
        </w:r>
        <w:r w:rsidR="00332A29">
          <w:rPr>
            <w:noProof/>
            <w:webHidden/>
          </w:rPr>
          <w:fldChar w:fldCharType="separate"/>
        </w:r>
        <w:r w:rsidR="00332A29">
          <w:rPr>
            <w:noProof/>
            <w:webHidden/>
          </w:rPr>
          <w:t>248</w:t>
        </w:r>
        <w:r w:rsidR="00332A29">
          <w:rPr>
            <w:noProof/>
            <w:webHidden/>
          </w:rPr>
          <w:fldChar w:fldCharType="end"/>
        </w:r>
      </w:hyperlink>
    </w:p>
    <w:p w14:paraId="317D62C1" w14:textId="77777777" w:rsidR="00332A29" w:rsidRDefault="00183F7E">
      <w:pPr>
        <w:pStyle w:val="Seznamobrzk"/>
        <w:tabs>
          <w:tab w:val="right" w:leader="dot" w:pos="9062"/>
        </w:tabs>
        <w:rPr>
          <w:rFonts w:eastAsiaTheme="minorEastAsia"/>
          <w:noProof/>
          <w:lang w:eastAsia="cs-CZ"/>
        </w:rPr>
      </w:pPr>
      <w:hyperlink w:anchor="_Toc77074778" w:history="1">
        <w:r w:rsidR="00332A29" w:rsidRPr="00AA209F">
          <w:rPr>
            <w:rStyle w:val="Hypertextovodkaz"/>
            <w:noProof/>
          </w:rPr>
          <w:t>Tabulka 2.15: Odpovědi dle počtu respondentů</w:t>
        </w:r>
        <w:r w:rsidR="00332A29">
          <w:rPr>
            <w:noProof/>
            <w:webHidden/>
          </w:rPr>
          <w:tab/>
        </w:r>
        <w:r w:rsidR="00332A29">
          <w:rPr>
            <w:noProof/>
            <w:webHidden/>
          </w:rPr>
          <w:fldChar w:fldCharType="begin"/>
        </w:r>
        <w:r w:rsidR="00332A29">
          <w:rPr>
            <w:noProof/>
            <w:webHidden/>
          </w:rPr>
          <w:instrText xml:space="preserve"> PAGEREF _Toc77074778 \h </w:instrText>
        </w:r>
        <w:r w:rsidR="00332A29">
          <w:rPr>
            <w:noProof/>
            <w:webHidden/>
          </w:rPr>
        </w:r>
        <w:r w:rsidR="00332A29">
          <w:rPr>
            <w:noProof/>
            <w:webHidden/>
          </w:rPr>
          <w:fldChar w:fldCharType="separate"/>
        </w:r>
        <w:r w:rsidR="00332A29">
          <w:rPr>
            <w:noProof/>
            <w:webHidden/>
          </w:rPr>
          <w:t>250</w:t>
        </w:r>
        <w:r w:rsidR="00332A29">
          <w:rPr>
            <w:noProof/>
            <w:webHidden/>
          </w:rPr>
          <w:fldChar w:fldCharType="end"/>
        </w:r>
      </w:hyperlink>
    </w:p>
    <w:p w14:paraId="32425756" w14:textId="77777777" w:rsidR="00332A29" w:rsidRDefault="00183F7E">
      <w:pPr>
        <w:pStyle w:val="Seznamobrzk"/>
        <w:tabs>
          <w:tab w:val="right" w:leader="dot" w:pos="9062"/>
        </w:tabs>
        <w:rPr>
          <w:rFonts w:eastAsiaTheme="minorEastAsia"/>
          <w:noProof/>
          <w:lang w:eastAsia="cs-CZ"/>
        </w:rPr>
      </w:pPr>
      <w:hyperlink w:anchor="_Toc77074779" w:history="1">
        <w:r w:rsidR="00332A29" w:rsidRPr="00AA209F">
          <w:rPr>
            <w:rStyle w:val="Hypertextovodkaz"/>
            <w:rFonts w:cstheme="minorHAnsi"/>
            <w:noProof/>
          </w:rPr>
          <w:t>Tabulka 2.16: Pocit bezpečí v místě bydliště podle pohlaví, věku a u studentů UTB</w:t>
        </w:r>
        <w:r w:rsidR="00332A29">
          <w:rPr>
            <w:noProof/>
            <w:webHidden/>
          </w:rPr>
          <w:tab/>
        </w:r>
        <w:r w:rsidR="00332A29">
          <w:rPr>
            <w:noProof/>
            <w:webHidden/>
          </w:rPr>
          <w:fldChar w:fldCharType="begin"/>
        </w:r>
        <w:r w:rsidR="00332A29">
          <w:rPr>
            <w:noProof/>
            <w:webHidden/>
          </w:rPr>
          <w:instrText xml:space="preserve"> PAGEREF _Toc77074779 \h </w:instrText>
        </w:r>
        <w:r w:rsidR="00332A29">
          <w:rPr>
            <w:noProof/>
            <w:webHidden/>
          </w:rPr>
        </w:r>
        <w:r w:rsidR="00332A29">
          <w:rPr>
            <w:noProof/>
            <w:webHidden/>
          </w:rPr>
          <w:fldChar w:fldCharType="separate"/>
        </w:r>
        <w:r w:rsidR="00332A29">
          <w:rPr>
            <w:noProof/>
            <w:webHidden/>
          </w:rPr>
          <w:t>251</w:t>
        </w:r>
        <w:r w:rsidR="00332A29">
          <w:rPr>
            <w:noProof/>
            <w:webHidden/>
          </w:rPr>
          <w:fldChar w:fldCharType="end"/>
        </w:r>
      </w:hyperlink>
    </w:p>
    <w:p w14:paraId="361D5FB0" w14:textId="77777777" w:rsidR="00332A29" w:rsidRDefault="00183F7E">
      <w:pPr>
        <w:pStyle w:val="Seznamobrzk"/>
        <w:tabs>
          <w:tab w:val="right" w:leader="dot" w:pos="9062"/>
        </w:tabs>
        <w:rPr>
          <w:rFonts w:eastAsiaTheme="minorEastAsia"/>
          <w:noProof/>
          <w:lang w:eastAsia="cs-CZ"/>
        </w:rPr>
      </w:pPr>
      <w:hyperlink w:anchor="_Toc77074780" w:history="1">
        <w:r w:rsidR="00332A29" w:rsidRPr="00AA209F">
          <w:rPr>
            <w:rStyle w:val="Hypertextovodkaz"/>
            <w:rFonts w:cstheme="minorHAnsi"/>
            <w:noProof/>
          </w:rPr>
          <w:t>Tabulka 2.17: Důvody, proč se respondenti necítí bezpečně – 22 nejčastějších odpovědí</w:t>
        </w:r>
        <w:r w:rsidR="00332A29">
          <w:rPr>
            <w:noProof/>
            <w:webHidden/>
          </w:rPr>
          <w:tab/>
        </w:r>
        <w:r w:rsidR="00332A29">
          <w:rPr>
            <w:noProof/>
            <w:webHidden/>
          </w:rPr>
          <w:fldChar w:fldCharType="begin"/>
        </w:r>
        <w:r w:rsidR="00332A29">
          <w:rPr>
            <w:noProof/>
            <w:webHidden/>
          </w:rPr>
          <w:instrText xml:space="preserve"> PAGEREF _Toc77074780 \h </w:instrText>
        </w:r>
        <w:r w:rsidR="00332A29">
          <w:rPr>
            <w:noProof/>
            <w:webHidden/>
          </w:rPr>
        </w:r>
        <w:r w:rsidR="00332A29">
          <w:rPr>
            <w:noProof/>
            <w:webHidden/>
          </w:rPr>
          <w:fldChar w:fldCharType="separate"/>
        </w:r>
        <w:r w:rsidR="00332A29">
          <w:rPr>
            <w:noProof/>
            <w:webHidden/>
          </w:rPr>
          <w:t>252</w:t>
        </w:r>
        <w:r w:rsidR="00332A29">
          <w:rPr>
            <w:noProof/>
            <w:webHidden/>
          </w:rPr>
          <w:fldChar w:fldCharType="end"/>
        </w:r>
      </w:hyperlink>
    </w:p>
    <w:p w14:paraId="1FECB22D" w14:textId="77777777" w:rsidR="00332A29" w:rsidRDefault="00183F7E">
      <w:pPr>
        <w:pStyle w:val="Seznamobrzk"/>
        <w:tabs>
          <w:tab w:val="right" w:leader="dot" w:pos="9062"/>
        </w:tabs>
        <w:rPr>
          <w:rFonts w:eastAsiaTheme="minorEastAsia"/>
          <w:noProof/>
          <w:lang w:eastAsia="cs-CZ"/>
        </w:rPr>
      </w:pPr>
      <w:hyperlink w:anchor="_Toc77074781" w:history="1">
        <w:r w:rsidR="00332A29" w:rsidRPr="00AA209F">
          <w:rPr>
            <w:rStyle w:val="Hypertextovodkaz"/>
            <w:rFonts w:cstheme="minorHAnsi"/>
            <w:noProof/>
          </w:rPr>
          <w:t>Tabulka 2.18: Lokalizace a zdroje pocitu nebezpečí</w:t>
        </w:r>
        <w:r w:rsidR="00332A29">
          <w:rPr>
            <w:noProof/>
            <w:webHidden/>
          </w:rPr>
          <w:tab/>
        </w:r>
        <w:r w:rsidR="00332A29">
          <w:rPr>
            <w:noProof/>
            <w:webHidden/>
          </w:rPr>
          <w:fldChar w:fldCharType="begin"/>
        </w:r>
        <w:r w:rsidR="00332A29">
          <w:rPr>
            <w:noProof/>
            <w:webHidden/>
          </w:rPr>
          <w:instrText xml:space="preserve"> PAGEREF _Toc77074781 \h </w:instrText>
        </w:r>
        <w:r w:rsidR="00332A29">
          <w:rPr>
            <w:noProof/>
            <w:webHidden/>
          </w:rPr>
        </w:r>
        <w:r w:rsidR="00332A29">
          <w:rPr>
            <w:noProof/>
            <w:webHidden/>
          </w:rPr>
          <w:fldChar w:fldCharType="separate"/>
        </w:r>
        <w:r w:rsidR="00332A29">
          <w:rPr>
            <w:noProof/>
            <w:webHidden/>
          </w:rPr>
          <w:t>252</w:t>
        </w:r>
        <w:r w:rsidR="00332A29">
          <w:rPr>
            <w:noProof/>
            <w:webHidden/>
          </w:rPr>
          <w:fldChar w:fldCharType="end"/>
        </w:r>
      </w:hyperlink>
    </w:p>
    <w:p w14:paraId="567C323A" w14:textId="77777777" w:rsidR="00332A29" w:rsidRDefault="00183F7E">
      <w:pPr>
        <w:pStyle w:val="Seznamobrzk"/>
        <w:tabs>
          <w:tab w:val="right" w:leader="dot" w:pos="9062"/>
        </w:tabs>
        <w:rPr>
          <w:rFonts w:eastAsiaTheme="minorEastAsia"/>
          <w:noProof/>
          <w:lang w:eastAsia="cs-CZ"/>
        </w:rPr>
      </w:pPr>
      <w:hyperlink w:anchor="_Toc77074782" w:history="1">
        <w:r w:rsidR="00332A29" w:rsidRPr="00AA209F">
          <w:rPr>
            <w:rStyle w:val="Hypertextovodkaz"/>
            <w:rFonts w:cstheme="minorHAnsi"/>
            <w:noProof/>
          </w:rPr>
          <w:t>Tabulka 2.19: Hodnocení práce Magistrátu podle pohlaví, věku a u studentů UTB</w:t>
        </w:r>
        <w:r w:rsidR="00332A29">
          <w:rPr>
            <w:noProof/>
            <w:webHidden/>
          </w:rPr>
          <w:tab/>
        </w:r>
        <w:r w:rsidR="00332A29">
          <w:rPr>
            <w:noProof/>
            <w:webHidden/>
          </w:rPr>
          <w:fldChar w:fldCharType="begin"/>
        </w:r>
        <w:r w:rsidR="00332A29">
          <w:rPr>
            <w:noProof/>
            <w:webHidden/>
          </w:rPr>
          <w:instrText xml:space="preserve"> PAGEREF _Toc77074782 \h </w:instrText>
        </w:r>
        <w:r w:rsidR="00332A29">
          <w:rPr>
            <w:noProof/>
            <w:webHidden/>
          </w:rPr>
        </w:r>
        <w:r w:rsidR="00332A29">
          <w:rPr>
            <w:noProof/>
            <w:webHidden/>
          </w:rPr>
          <w:fldChar w:fldCharType="separate"/>
        </w:r>
        <w:r w:rsidR="00332A29">
          <w:rPr>
            <w:noProof/>
            <w:webHidden/>
          </w:rPr>
          <w:t>254</w:t>
        </w:r>
        <w:r w:rsidR="00332A29">
          <w:rPr>
            <w:noProof/>
            <w:webHidden/>
          </w:rPr>
          <w:fldChar w:fldCharType="end"/>
        </w:r>
      </w:hyperlink>
    </w:p>
    <w:p w14:paraId="759FB8A7" w14:textId="77777777" w:rsidR="00332A29" w:rsidRDefault="00183F7E">
      <w:pPr>
        <w:pStyle w:val="Seznamobrzk"/>
        <w:tabs>
          <w:tab w:val="right" w:leader="dot" w:pos="9062"/>
        </w:tabs>
        <w:rPr>
          <w:rFonts w:eastAsiaTheme="minorEastAsia"/>
          <w:noProof/>
          <w:lang w:eastAsia="cs-CZ"/>
        </w:rPr>
      </w:pPr>
      <w:hyperlink w:anchor="_Toc77074783" w:history="1">
        <w:r w:rsidR="00332A29" w:rsidRPr="00AA209F">
          <w:rPr>
            <w:rStyle w:val="Hypertextovodkaz"/>
            <w:rFonts w:cstheme="minorHAnsi"/>
            <w:noProof/>
          </w:rPr>
          <w:t>Tabulka 2.20: Respondenti podle plánu přestěhovat se mimo Zlín podle pohlaví, věku a studenti UTB</w:t>
        </w:r>
        <w:r w:rsidR="00332A29">
          <w:rPr>
            <w:noProof/>
            <w:webHidden/>
          </w:rPr>
          <w:tab/>
        </w:r>
        <w:r w:rsidR="00332A29">
          <w:rPr>
            <w:noProof/>
            <w:webHidden/>
          </w:rPr>
          <w:fldChar w:fldCharType="begin"/>
        </w:r>
        <w:r w:rsidR="00332A29">
          <w:rPr>
            <w:noProof/>
            <w:webHidden/>
          </w:rPr>
          <w:instrText xml:space="preserve"> PAGEREF _Toc77074783 \h </w:instrText>
        </w:r>
        <w:r w:rsidR="00332A29">
          <w:rPr>
            <w:noProof/>
            <w:webHidden/>
          </w:rPr>
        </w:r>
        <w:r w:rsidR="00332A29">
          <w:rPr>
            <w:noProof/>
            <w:webHidden/>
          </w:rPr>
          <w:fldChar w:fldCharType="separate"/>
        </w:r>
        <w:r w:rsidR="00332A29">
          <w:rPr>
            <w:noProof/>
            <w:webHidden/>
          </w:rPr>
          <w:t>254</w:t>
        </w:r>
        <w:r w:rsidR="00332A29">
          <w:rPr>
            <w:noProof/>
            <w:webHidden/>
          </w:rPr>
          <w:fldChar w:fldCharType="end"/>
        </w:r>
      </w:hyperlink>
    </w:p>
    <w:p w14:paraId="0B7BD9DB" w14:textId="77777777" w:rsidR="00332A29" w:rsidRDefault="00183F7E">
      <w:pPr>
        <w:pStyle w:val="Seznamobrzk"/>
        <w:tabs>
          <w:tab w:val="right" w:leader="dot" w:pos="9062"/>
        </w:tabs>
        <w:rPr>
          <w:rFonts w:eastAsiaTheme="minorEastAsia"/>
          <w:noProof/>
          <w:lang w:eastAsia="cs-CZ"/>
        </w:rPr>
      </w:pPr>
      <w:hyperlink w:anchor="_Toc77074784" w:history="1">
        <w:r w:rsidR="00332A29" w:rsidRPr="00AA209F">
          <w:rPr>
            <w:rStyle w:val="Hypertextovodkaz"/>
            <w:rFonts w:cstheme="minorHAnsi"/>
            <w:noProof/>
          </w:rPr>
          <w:t>Tabulka 2.21: Oblasti, které by mělo město dle respondentů přednostně podporovat</w:t>
        </w:r>
        <w:r w:rsidR="00332A29">
          <w:rPr>
            <w:noProof/>
            <w:webHidden/>
          </w:rPr>
          <w:tab/>
        </w:r>
        <w:r w:rsidR="00332A29">
          <w:rPr>
            <w:noProof/>
            <w:webHidden/>
          </w:rPr>
          <w:fldChar w:fldCharType="begin"/>
        </w:r>
        <w:r w:rsidR="00332A29">
          <w:rPr>
            <w:noProof/>
            <w:webHidden/>
          </w:rPr>
          <w:instrText xml:space="preserve"> PAGEREF _Toc77074784 \h </w:instrText>
        </w:r>
        <w:r w:rsidR="00332A29">
          <w:rPr>
            <w:noProof/>
            <w:webHidden/>
          </w:rPr>
        </w:r>
        <w:r w:rsidR="00332A29">
          <w:rPr>
            <w:noProof/>
            <w:webHidden/>
          </w:rPr>
          <w:fldChar w:fldCharType="separate"/>
        </w:r>
        <w:r w:rsidR="00332A29">
          <w:rPr>
            <w:noProof/>
            <w:webHidden/>
          </w:rPr>
          <w:t>257</w:t>
        </w:r>
        <w:r w:rsidR="00332A29">
          <w:rPr>
            <w:noProof/>
            <w:webHidden/>
          </w:rPr>
          <w:fldChar w:fldCharType="end"/>
        </w:r>
      </w:hyperlink>
    </w:p>
    <w:p w14:paraId="29614B5A" w14:textId="77777777" w:rsidR="00332A29" w:rsidRDefault="00183F7E">
      <w:pPr>
        <w:pStyle w:val="Seznamobrzk"/>
        <w:tabs>
          <w:tab w:val="right" w:leader="dot" w:pos="9062"/>
        </w:tabs>
        <w:rPr>
          <w:rFonts w:eastAsiaTheme="minorEastAsia"/>
          <w:noProof/>
          <w:lang w:eastAsia="cs-CZ"/>
        </w:rPr>
      </w:pPr>
      <w:hyperlink w:anchor="_Toc77074785" w:history="1">
        <w:r w:rsidR="00332A29" w:rsidRPr="00AA209F">
          <w:rPr>
            <w:rStyle w:val="Hypertextovodkaz"/>
            <w:rFonts w:cstheme="minorHAnsi"/>
            <w:noProof/>
          </w:rPr>
          <w:t>Tabulka 2.22: Oblasti, které by mělo město dle respondentů přednostně podporovat (jiné)</w:t>
        </w:r>
        <w:r w:rsidR="00332A29">
          <w:rPr>
            <w:noProof/>
            <w:webHidden/>
          </w:rPr>
          <w:tab/>
        </w:r>
        <w:r w:rsidR="00332A29">
          <w:rPr>
            <w:noProof/>
            <w:webHidden/>
          </w:rPr>
          <w:fldChar w:fldCharType="begin"/>
        </w:r>
        <w:r w:rsidR="00332A29">
          <w:rPr>
            <w:noProof/>
            <w:webHidden/>
          </w:rPr>
          <w:instrText xml:space="preserve"> PAGEREF _Toc77074785 \h </w:instrText>
        </w:r>
        <w:r w:rsidR="00332A29">
          <w:rPr>
            <w:noProof/>
            <w:webHidden/>
          </w:rPr>
        </w:r>
        <w:r w:rsidR="00332A29">
          <w:rPr>
            <w:noProof/>
            <w:webHidden/>
          </w:rPr>
          <w:fldChar w:fldCharType="separate"/>
        </w:r>
        <w:r w:rsidR="00332A29">
          <w:rPr>
            <w:noProof/>
            <w:webHidden/>
          </w:rPr>
          <w:t>257</w:t>
        </w:r>
        <w:r w:rsidR="00332A29">
          <w:rPr>
            <w:noProof/>
            <w:webHidden/>
          </w:rPr>
          <w:fldChar w:fldCharType="end"/>
        </w:r>
      </w:hyperlink>
    </w:p>
    <w:p w14:paraId="1494764B" w14:textId="77777777" w:rsidR="00332A29" w:rsidRDefault="00183F7E">
      <w:pPr>
        <w:pStyle w:val="Seznamobrzk"/>
        <w:tabs>
          <w:tab w:val="right" w:leader="dot" w:pos="9062"/>
        </w:tabs>
        <w:rPr>
          <w:rFonts w:eastAsiaTheme="minorEastAsia"/>
          <w:noProof/>
          <w:lang w:eastAsia="cs-CZ"/>
        </w:rPr>
      </w:pPr>
      <w:hyperlink w:anchor="_Toc77074786" w:history="1">
        <w:r w:rsidR="00332A29" w:rsidRPr="00AA209F">
          <w:rPr>
            <w:rStyle w:val="Hypertextovodkaz"/>
            <w:noProof/>
          </w:rPr>
          <w:t>Tabulka 2.23: Seznam stakeholderů v oblasti Kvalita života</w:t>
        </w:r>
        <w:r w:rsidR="00332A29">
          <w:rPr>
            <w:noProof/>
            <w:webHidden/>
          </w:rPr>
          <w:tab/>
        </w:r>
        <w:r w:rsidR="00332A29">
          <w:rPr>
            <w:noProof/>
            <w:webHidden/>
          </w:rPr>
          <w:fldChar w:fldCharType="begin"/>
        </w:r>
        <w:r w:rsidR="00332A29">
          <w:rPr>
            <w:noProof/>
            <w:webHidden/>
          </w:rPr>
          <w:instrText xml:space="preserve"> PAGEREF _Toc77074786 \h </w:instrText>
        </w:r>
        <w:r w:rsidR="00332A29">
          <w:rPr>
            <w:noProof/>
            <w:webHidden/>
          </w:rPr>
        </w:r>
        <w:r w:rsidR="00332A29">
          <w:rPr>
            <w:noProof/>
            <w:webHidden/>
          </w:rPr>
          <w:fldChar w:fldCharType="separate"/>
        </w:r>
        <w:r w:rsidR="00332A29">
          <w:rPr>
            <w:noProof/>
            <w:webHidden/>
          </w:rPr>
          <w:t>264</w:t>
        </w:r>
        <w:r w:rsidR="00332A29">
          <w:rPr>
            <w:noProof/>
            <w:webHidden/>
          </w:rPr>
          <w:fldChar w:fldCharType="end"/>
        </w:r>
      </w:hyperlink>
    </w:p>
    <w:p w14:paraId="1E8AD05F" w14:textId="77777777" w:rsidR="00332A29" w:rsidRDefault="00183F7E">
      <w:pPr>
        <w:pStyle w:val="Seznamobrzk"/>
        <w:tabs>
          <w:tab w:val="right" w:leader="dot" w:pos="9062"/>
        </w:tabs>
        <w:rPr>
          <w:rFonts w:eastAsiaTheme="minorEastAsia"/>
          <w:noProof/>
          <w:lang w:eastAsia="cs-CZ"/>
        </w:rPr>
      </w:pPr>
      <w:hyperlink w:anchor="_Toc77074787" w:history="1">
        <w:r w:rsidR="00332A29" w:rsidRPr="00AA209F">
          <w:rPr>
            <w:rStyle w:val="Hypertextovodkaz"/>
            <w:noProof/>
          </w:rPr>
          <w:t>Tabulka 2.24: Seznam stakeholderů v oblasti Vzdělávání</w:t>
        </w:r>
        <w:r w:rsidR="00332A29">
          <w:rPr>
            <w:noProof/>
            <w:webHidden/>
          </w:rPr>
          <w:tab/>
        </w:r>
        <w:r w:rsidR="00332A29">
          <w:rPr>
            <w:noProof/>
            <w:webHidden/>
          </w:rPr>
          <w:fldChar w:fldCharType="begin"/>
        </w:r>
        <w:r w:rsidR="00332A29">
          <w:rPr>
            <w:noProof/>
            <w:webHidden/>
          </w:rPr>
          <w:instrText xml:space="preserve"> PAGEREF _Toc77074787 \h </w:instrText>
        </w:r>
        <w:r w:rsidR="00332A29">
          <w:rPr>
            <w:noProof/>
            <w:webHidden/>
          </w:rPr>
        </w:r>
        <w:r w:rsidR="00332A29">
          <w:rPr>
            <w:noProof/>
            <w:webHidden/>
          </w:rPr>
          <w:fldChar w:fldCharType="separate"/>
        </w:r>
        <w:r w:rsidR="00332A29">
          <w:rPr>
            <w:noProof/>
            <w:webHidden/>
          </w:rPr>
          <w:t>266</w:t>
        </w:r>
        <w:r w:rsidR="00332A29">
          <w:rPr>
            <w:noProof/>
            <w:webHidden/>
          </w:rPr>
          <w:fldChar w:fldCharType="end"/>
        </w:r>
      </w:hyperlink>
    </w:p>
    <w:p w14:paraId="4E689E08" w14:textId="77777777" w:rsidR="00332A29" w:rsidRDefault="00183F7E">
      <w:pPr>
        <w:pStyle w:val="Seznamobrzk"/>
        <w:tabs>
          <w:tab w:val="right" w:leader="dot" w:pos="9062"/>
        </w:tabs>
        <w:rPr>
          <w:rFonts w:eastAsiaTheme="minorEastAsia"/>
          <w:noProof/>
          <w:lang w:eastAsia="cs-CZ"/>
        </w:rPr>
      </w:pPr>
      <w:hyperlink w:anchor="_Toc77074788" w:history="1">
        <w:r w:rsidR="00332A29" w:rsidRPr="00AA209F">
          <w:rPr>
            <w:rStyle w:val="Hypertextovodkaz"/>
            <w:noProof/>
          </w:rPr>
          <w:t>Tabulka 2.25: Seznam stakeholderů v oblasti Bezpečnost</w:t>
        </w:r>
        <w:r w:rsidR="00332A29">
          <w:rPr>
            <w:noProof/>
            <w:webHidden/>
          </w:rPr>
          <w:tab/>
        </w:r>
        <w:r w:rsidR="00332A29">
          <w:rPr>
            <w:noProof/>
            <w:webHidden/>
          </w:rPr>
          <w:fldChar w:fldCharType="begin"/>
        </w:r>
        <w:r w:rsidR="00332A29">
          <w:rPr>
            <w:noProof/>
            <w:webHidden/>
          </w:rPr>
          <w:instrText xml:space="preserve"> PAGEREF _Toc77074788 \h </w:instrText>
        </w:r>
        <w:r w:rsidR="00332A29">
          <w:rPr>
            <w:noProof/>
            <w:webHidden/>
          </w:rPr>
        </w:r>
        <w:r w:rsidR="00332A29">
          <w:rPr>
            <w:noProof/>
            <w:webHidden/>
          </w:rPr>
          <w:fldChar w:fldCharType="separate"/>
        </w:r>
        <w:r w:rsidR="00332A29">
          <w:rPr>
            <w:noProof/>
            <w:webHidden/>
          </w:rPr>
          <w:t>267</w:t>
        </w:r>
        <w:r w:rsidR="00332A29">
          <w:rPr>
            <w:noProof/>
            <w:webHidden/>
          </w:rPr>
          <w:fldChar w:fldCharType="end"/>
        </w:r>
      </w:hyperlink>
    </w:p>
    <w:p w14:paraId="1E838ABA" w14:textId="77777777" w:rsidR="00332A29" w:rsidRDefault="00183F7E">
      <w:pPr>
        <w:pStyle w:val="Seznamobrzk"/>
        <w:tabs>
          <w:tab w:val="right" w:leader="dot" w:pos="9062"/>
        </w:tabs>
        <w:rPr>
          <w:rFonts w:eastAsiaTheme="minorEastAsia"/>
          <w:noProof/>
          <w:lang w:eastAsia="cs-CZ"/>
        </w:rPr>
      </w:pPr>
      <w:hyperlink w:anchor="_Toc77074789" w:history="1">
        <w:r w:rsidR="00332A29" w:rsidRPr="00AA209F">
          <w:rPr>
            <w:rStyle w:val="Hypertextovodkaz"/>
            <w:noProof/>
          </w:rPr>
          <w:t>Tabulka 2.26: Seznam stakeholderů v oblasti Doprava a technická infrastruktura</w:t>
        </w:r>
        <w:r w:rsidR="00332A29">
          <w:rPr>
            <w:noProof/>
            <w:webHidden/>
          </w:rPr>
          <w:tab/>
        </w:r>
        <w:r w:rsidR="00332A29">
          <w:rPr>
            <w:noProof/>
            <w:webHidden/>
          </w:rPr>
          <w:fldChar w:fldCharType="begin"/>
        </w:r>
        <w:r w:rsidR="00332A29">
          <w:rPr>
            <w:noProof/>
            <w:webHidden/>
          </w:rPr>
          <w:instrText xml:space="preserve"> PAGEREF _Toc77074789 \h </w:instrText>
        </w:r>
        <w:r w:rsidR="00332A29">
          <w:rPr>
            <w:noProof/>
            <w:webHidden/>
          </w:rPr>
        </w:r>
        <w:r w:rsidR="00332A29">
          <w:rPr>
            <w:noProof/>
            <w:webHidden/>
          </w:rPr>
          <w:fldChar w:fldCharType="separate"/>
        </w:r>
        <w:r w:rsidR="00332A29">
          <w:rPr>
            <w:noProof/>
            <w:webHidden/>
          </w:rPr>
          <w:t>268</w:t>
        </w:r>
        <w:r w:rsidR="00332A29">
          <w:rPr>
            <w:noProof/>
            <w:webHidden/>
          </w:rPr>
          <w:fldChar w:fldCharType="end"/>
        </w:r>
      </w:hyperlink>
    </w:p>
    <w:p w14:paraId="376DB1AD" w14:textId="77777777" w:rsidR="00332A29" w:rsidRDefault="00183F7E">
      <w:pPr>
        <w:pStyle w:val="Seznamobrzk"/>
        <w:tabs>
          <w:tab w:val="right" w:leader="dot" w:pos="9062"/>
        </w:tabs>
        <w:rPr>
          <w:rFonts w:eastAsiaTheme="minorEastAsia"/>
          <w:noProof/>
          <w:lang w:eastAsia="cs-CZ"/>
        </w:rPr>
      </w:pPr>
      <w:hyperlink w:anchor="_Toc77074790" w:history="1">
        <w:r w:rsidR="00332A29" w:rsidRPr="00AA209F">
          <w:rPr>
            <w:rStyle w:val="Hypertextovodkaz"/>
            <w:noProof/>
          </w:rPr>
          <w:t>Tabulka 2.27: Seznam stakeholderů v oblasti Územní plánování a urbanismus</w:t>
        </w:r>
        <w:r w:rsidR="00332A29">
          <w:rPr>
            <w:noProof/>
            <w:webHidden/>
          </w:rPr>
          <w:tab/>
        </w:r>
        <w:r w:rsidR="00332A29">
          <w:rPr>
            <w:noProof/>
            <w:webHidden/>
          </w:rPr>
          <w:fldChar w:fldCharType="begin"/>
        </w:r>
        <w:r w:rsidR="00332A29">
          <w:rPr>
            <w:noProof/>
            <w:webHidden/>
          </w:rPr>
          <w:instrText xml:space="preserve"> PAGEREF _Toc77074790 \h </w:instrText>
        </w:r>
        <w:r w:rsidR="00332A29">
          <w:rPr>
            <w:noProof/>
            <w:webHidden/>
          </w:rPr>
        </w:r>
        <w:r w:rsidR="00332A29">
          <w:rPr>
            <w:noProof/>
            <w:webHidden/>
          </w:rPr>
          <w:fldChar w:fldCharType="separate"/>
        </w:r>
        <w:r w:rsidR="00332A29">
          <w:rPr>
            <w:noProof/>
            <w:webHidden/>
          </w:rPr>
          <w:t>269</w:t>
        </w:r>
        <w:r w:rsidR="00332A29">
          <w:rPr>
            <w:noProof/>
            <w:webHidden/>
          </w:rPr>
          <w:fldChar w:fldCharType="end"/>
        </w:r>
      </w:hyperlink>
    </w:p>
    <w:p w14:paraId="064604DB" w14:textId="77777777" w:rsidR="00332A29" w:rsidRDefault="00183F7E">
      <w:pPr>
        <w:pStyle w:val="Seznamobrzk"/>
        <w:tabs>
          <w:tab w:val="right" w:leader="dot" w:pos="9062"/>
        </w:tabs>
        <w:rPr>
          <w:rFonts w:eastAsiaTheme="minorEastAsia"/>
          <w:noProof/>
          <w:lang w:eastAsia="cs-CZ"/>
        </w:rPr>
      </w:pPr>
      <w:hyperlink w:anchor="_Toc77074791" w:history="1">
        <w:r w:rsidR="00332A29" w:rsidRPr="00AA209F">
          <w:rPr>
            <w:rStyle w:val="Hypertextovodkaz"/>
            <w:noProof/>
          </w:rPr>
          <w:t>Tabulka 2.28: Seznam stakeholderů v oblasti Vstřícné město</w:t>
        </w:r>
        <w:r w:rsidR="00332A29">
          <w:rPr>
            <w:noProof/>
            <w:webHidden/>
          </w:rPr>
          <w:tab/>
        </w:r>
        <w:r w:rsidR="00332A29">
          <w:rPr>
            <w:noProof/>
            <w:webHidden/>
          </w:rPr>
          <w:fldChar w:fldCharType="begin"/>
        </w:r>
        <w:r w:rsidR="00332A29">
          <w:rPr>
            <w:noProof/>
            <w:webHidden/>
          </w:rPr>
          <w:instrText xml:space="preserve"> PAGEREF _Toc77074791 \h </w:instrText>
        </w:r>
        <w:r w:rsidR="00332A29">
          <w:rPr>
            <w:noProof/>
            <w:webHidden/>
          </w:rPr>
        </w:r>
        <w:r w:rsidR="00332A29">
          <w:rPr>
            <w:noProof/>
            <w:webHidden/>
          </w:rPr>
          <w:fldChar w:fldCharType="separate"/>
        </w:r>
        <w:r w:rsidR="00332A29">
          <w:rPr>
            <w:noProof/>
            <w:webHidden/>
          </w:rPr>
          <w:t>271</w:t>
        </w:r>
        <w:r w:rsidR="00332A29">
          <w:rPr>
            <w:noProof/>
            <w:webHidden/>
          </w:rPr>
          <w:fldChar w:fldCharType="end"/>
        </w:r>
      </w:hyperlink>
    </w:p>
    <w:p w14:paraId="4734F237" w14:textId="77777777" w:rsidR="00332A29" w:rsidRDefault="00183F7E">
      <w:pPr>
        <w:pStyle w:val="Seznamobrzk"/>
        <w:tabs>
          <w:tab w:val="right" w:leader="dot" w:pos="9062"/>
        </w:tabs>
        <w:rPr>
          <w:rFonts w:eastAsiaTheme="minorEastAsia"/>
          <w:noProof/>
          <w:lang w:eastAsia="cs-CZ"/>
        </w:rPr>
      </w:pPr>
      <w:hyperlink w:anchor="_Toc77074792" w:history="1">
        <w:r w:rsidR="00332A29" w:rsidRPr="00AA209F">
          <w:rPr>
            <w:rStyle w:val="Hypertextovodkaz"/>
            <w:noProof/>
          </w:rPr>
          <w:t>Tabulka 2.29: Přehled členů PS, kteří provedli prioritizaci a počtu hlasů</w:t>
        </w:r>
        <w:r w:rsidR="00332A29">
          <w:rPr>
            <w:noProof/>
            <w:webHidden/>
          </w:rPr>
          <w:tab/>
        </w:r>
        <w:r w:rsidR="00332A29">
          <w:rPr>
            <w:noProof/>
            <w:webHidden/>
          </w:rPr>
          <w:fldChar w:fldCharType="begin"/>
        </w:r>
        <w:r w:rsidR="00332A29">
          <w:rPr>
            <w:noProof/>
            <w:webHidden/>
          </w:rPr>
          <w:instrText xml:space="preserve"> PAGEREF _Toc77074792 \h </w:instrText>
        </w:r>
        <w:r w:rsidR="00332A29">
          <w:rPr>
            <w:noProof/>
            <w:webHidden/>
          </w:rPr>
        </w:r>
        <w:r w:rsidR="00332A29">
          <w:rPr>
            <w:noProof/>
            <w:webHidden/>
          </w:rPr>
          <w:fldChar w:fldCharType="separate"/>
        </w:r>
        <w:r w:rsidR="00332A29">
          <w:rPr>
            <w:noProof/>
            <w:webHidden/>
          </w:rPr>
          <w:t>273</w:t>
        </w:r>
        <w:r w:rsidR="00332A29">
          <w:rPr>
            <w:noProof/>
            <w:webHidden/>
          </w:rPr>
          <w:fldChar w:fldCharType="end"/>
        </w:r>
      </w:hyperlink>
    </w:p>
    <w:p w14:paraId="553D0BB6" w14:textId="77777777" w:rsidR="00332A29" w:rsidRDefault="00183F7E">
      <w:pPr>
        <w:pStyle w:val="Seznamobrzk"/>
        <w:tabs>
          <w:tab w:val="right" w:leader="dot" w:pos="9062"/>
        </w:tabs>
        <w:rPr>
          <w:rFonts w:eastAsiaTheme="minorEastAsia"/>
          <w:noProof/>
          <w:lang w:eastAsia="cs-CZ"/>
        </w:rPr>
      </w:pPr>
      <w:hyperlink w:anchor="_Toc77074793" w:history="1">
        <w:r w:rsidR="00332A29" w:rsidRPr="00AA209F">
          <w:rPr>
            <w:rStyle w:val="Hypertextovodkaz"/>
            <w:noProof/>
          </w:rPr>
          <w:t>Tabulka 2.30: Prioritizace stakeholderů členy PS Kvalita života</w:t>
        </w:r>
        <w:r w:rsidR="00332A29">
          <w:rPr>
            <w:noProof/>
            <w:webHidden/>
          </w:rPr>
          <w:tab/>
        </w:r>
        <w:r w:rsidR="00332A29">
          <w:rPr>
            <w:noProof/>
            <w:webHidden/>
          </w:rPr>
          <w:fldChar w:fldCharType="begin"/>
        </w:r>
        <w:r w:rsidR="00332A29">
          <w:rPr>
            <w:noProof/>
            <w:webHidden/>
          </w:rPr>
          <w:instrText xml:space="preserve"> PAGEREF _Toc77074793 \h </w:instrText>
        </w:r>
        <w:r w:rsidR="00332A29">
          <w:rPr>
            <w:noProof/>
            <w:webHidden/>
          </w:rPr>
        </w:r>
        <w:r w:rsidR="00332A29">
          <w:rPr>
            <w:noProof/>
            <w:webHidden/>
          </w:rPr>
          <w:fldChar w:fldCharType="separate"/>
        </w:r>
        <w:r w:rsidR="00332A29">
          <w:rPr>
            <w:noProof/>
            <w:webHidden/>
          </w:rPr>
          <w:t>273</w:t>
        </w:r>
        <w:r w:rsidR="00332A29">
          <w:rPr>
            <w:noProof/>
            <w:webHidden/>
          </w:rPr>
          <w:fldChar w:fldCharType="end"/>
        </w:r>
      </w:hyperlink>
    </w:p>
    <w:p w14:paraId="21F715E4" w14:textId="77777777" w:rsidR="00332A29" w:rsidRDefault="00183F7E">
      <w:pPr>
        <w:pStyle w:val="Seznamobrzk"/>
        <w:tabs>
          <w:tab w:val="right" w:leader="dot" w:pos="9062"/>
        </w:tabs>
        <w:rPr>
          <w:rFonts w:eastAsiaTheme="minorEastAsia"/>
          <w:noProof/>
          <w:lang w:eastAsia="cs-CZ"/>
        </w:rPr>
      </w:pPr>
      <w:hyperlink w:anchor="_Toc77074794" w:history="1">
        <w:r w:rsidR="00332A29" w:rsidRPr="00AA209F">
          <w:rPr>
            <w:rStyle w:val="Hypertextovodkaz"/>
            <w:noProof/>
          </w:rPr>
          <w:t>Tabulka 2.31: Prioritizace stakeholderů členy PS Vzdělávání</w:t>
        </w:r>
        <w:r w:rsidR="00332A29">
          <w:rPr>
            <w:noProof/>
            <w:webHidden/>
          </w:rPr>
          <w:tab/>
        </w:r>
        <w:r w:rsidR="00332A29">
          <w:rPr>
            <w:noProof/>
            <w:webHidden/>
          </w:rPr>
          <w:fldChar w:fldCharType="begin"/>
        </w:r>
        <w:r w:rsidR="00332A29">
          <w:rPr>
            <w:noProof/>
            <w:webHidden/>
          </w:rPr>
          <w:instrText xml:space="preserve"> PAGEREF _Toc77074794 \h </w:instrText>
        </w:r>
        <w:r w:rsidR="00332A29">
          <w:rPr>
            <w:noProof/>
            <w:webHidden/>
          </w:rPr>
        </w:r>
        <w:r w:rsidR="00332A29">
          <w:rPr>
            <w:noProof/>
            <w:webHidden/>
          </w:rPr>
          <w:fldChar w:fldCharType="separate"/>
        </w:r>
        <w:r w:rsidR="00332A29">
          <w:rPr>
            <w:noProof/>
            <w:webHidden/>
          </w:rPr>
          <w:t>275</w:t>
        </w:r>
        <w:r w:rsidR="00332A29">
          <w:rPr>
            <w:noProof/>
            <w:webHidden/>
          </w:rPr>
          <w:fldChar w:fldCharType="end"/>
        </w:r>
      </w:hyperlink>
    </w:p>
    <w:p w14:paraId="1F0F9E54" w14:textId="77777777" w:rsidR="00332A29" w:rsidRDefault="00183F7E">
      <w:pPr>
        <w:pStyle w:val="Seznamobrzk"/>
        <w:tabs>
          <w:tab w:val="right" w:leader="dot" w:pos="9062"/>
        </w:tabs>
        <w:rPr>
          <w:rFonts w:eastAsiaTheme="minorEastAsia"/>
          <w:noProof/>
          <w:lang w:eastAsia="cs-CZ"/>
        </w:rPr>
      </w:pPr>
      <w:hyperlink w:anchor="_Toc77074795" w:history="1">
        <w:r w:rsidR="00332A29" w:rsidRPr="00AA209F">
          <w:rPr>
            <w:rStyle w:val="Hypertextovodkaz"/>
            <w:noProof/>
          </w:rPr>
          <w:t>Tabulka 2.32: Prioritizace stakeholderů členy PS Bezpečnost</w:t>
        </w:r>
        <w:r w:rsidR="00332A29">
          <w:rPr>
            <w:noProof/>
            <w:webHidden/>
          </w:rPr>
          <w:tab/>
        </w:r>
        <w:r w:rsidR="00332A29">
          <w:rPr>
            <w:noProof/>
            <w:webHidden/>
          </w:rPr>
          <w:fldChar w:fldCharType="begin"/>
        </w:r>
        <w:r w:rsidR="00332A29">
          <w:rPr>
            <w:noProof/>
            <w:webHidden/>
          </w:rPr>
          <w:instrText xml:space="preserve"> PAGEREF _Toc77074795 \h </w:instrText>
        </w:r>
        <w:r w:rsidR="00332A29">
          <w:rPr>
            <w:noProof/>
            <w:webHidden/>
          </w:rPr>
        </w:r>
        <w:r w:rsidR="00332A29">
          <w:rPr>
            <w:noProof/>
            <w:webHidden/>
          </w:rPr>
          <w:fldChar w:fldCharType="separate"/>
        </w:r>
        <w:r w:rsidR="00332A29">
          <w:rPr>
            <w:noProof/>
            <w:webHidden/>
          </w:rPr>
          <w:t>276</w:t>
        </w:r>
        <w:r w:rsidR="00332A29">
          <w:rPr>
            <w:noProof/>
            <w:webHidden/>
          </w:rPr>
          <w:fldChar w:fldCharType="end"/>
        </w:r>
      </w:hyperlink>
    </w:p>
    <w:p w14:paraId="3539AF78" w14:textId="77777777" w:rsidR="00332A29" w:rsidRDefault="00183F7E">
      <w:pPr>
        <w:pStyle w:val="Seznamobrzk"/>
        <w:tabs>
          <w:tab w:val="right" w:leader="dot" w:pos="9062"/>
        </w:tabs>
        <w:rPr>
          <w:rFonts w:eastAsiaTheme="minorEastAsia"/>
          <w:noProof/>
          <w:lang w:eastAsia="cs-CZ"/>
        </w:rPr>
      </w:pPr>
      <w:hyperlink w:anchor="_Toc77074796" w:history="1">
        <w:r w:rsidR="00332A29" w:rsidRPr="00AA209F">
          <w:rPr>
            <w:rStyle w:val="Hypertextovodkaz"/>
            <w:noProof/>
          </w:rPr>
          <w:t>Tabulka 2.33: Prioritizace stakeholderů členy PS Doprava a technická infrastruktura</w:t>
        </w:r>
        <w:r w:rsidR="00332A29">
          <w:rPr>
            <w:noProof/>
            <w:webHidden/>
          </w:rPr>
          <w:tab/>
        </w:r>
        <w:r w:rsidR="00332A29">
          <w:rPr>
            <w:noProof/>
            <w:webHidden/>
          </w:rPr>
          <w:fldChar w:fldCharType="begin"/>
        </w:r>
        <w:r w:rsidR="00332A29">
          <w:rPr>
            <w:noProof/>
            <w:webHidden/>
          </w:rPr>
          <w:instrText xml:space="preserve"> PAGEREF _Toc77074796 \h </w:instrText>
        </w:r>
        <w:r w:rsidR="00332A29">
          <w:rPr>
            <w:noProof/>
            <w:webHidden/>
          </w:rPr>
        </w:r>
        <w:r w:rsidR="00332A29">
          <w:rPr>
            <w:noProof/>
            <w:webHidden/>
          </w:rPr>
          <w:fldChar w:fldCharType="separate"/>
        </w:r>
        <w:r w:rsidR="00332A29">
          <w:rPr>
            <w:noProof/>
            <w:webHidden/>
          </w:rPr>
          <w:t>277</w:t>
        </w:r>
        <w:r w:rsidR="00332A29">
          <w:rPr>
            <w:noProof/>
            <w:webHidden/>
          </w:rPr>
          <w:fldChar w:fldCharType="end"/>
        </w:r>
      </w:hyperlink>
    </w:p>
    <w:p w14:paraId="010D55DB" w14:textId="77777777" w:rsidR="00332A29" w:rsidRDefault="00183F7E">
      <w:pPr>
        <w:pStyle w:val="Seznamobrzk"/>
        <w:tabs>
          <w:tab w:val="right" w:leader="dot" w:pos="9062"/>
        </w:tabs>
        <w:rPr>
          <w:rFonts w:eastAsiaTheme="minorEastAsia"/>
          <w:noProof/>
          <w:lang w:eastAsia="cs-CZ"/>
        </w:rPr>
      </w:pPr>
      <w:hyperlink w:anchor="_Toc77074797" w:history="1">
        <w:r w:rsidR="00332A29" w:rsidRPr="00AA209F">
          <w:rPr>
            <w:rStyle w:val="Hypertextovodkaz"/>
            <w:noProof/>
          </w:rPr>
          <w:t>Tabulka 2.34: Prioritizace stakeholderů členy PS Územní plánování a urbanismus</w:t>
        </w:r>
        <w:r w:rsidR="00332A29">
          <w:rPr>
            <w:noProof/>
            <w:webHidden/>
          </w:rPr>
          <w:tab/>
        </w:r>
        <w:r w:rsidR="00332A29">
          <w:rPr>
            <w:noProof/>
            <w:webHidden/>
          </w:rPr>
          <w:fldChar w:fldCharType="begin"/>
        </w:r>
        <w:r w:rsidR="00332A29">
          <w:rPr>
            <w:noProof/>
            <w:webHidden/>
          </w:rPr>
          <w:instrText xml:space="preserve"> PAGEREF _Toc77074797 \h </w:instrText>
        </w:r>
        <w:r w:rsidR="00332A29">
          <w:rPr>
            <w:noProof/>
            <w:webHidden/>
          </w:rPr>
        </w:r>
        <w:r w:rsidR="00332A29">
          <w:rPr>
            <w:noProof/>
            <w:webHidden/>
          </w:rPr>
          <w:fldChar w:fldCharType="separate"/>
        </w:r>
        <w:r w:rsidR="00332A29">
          <w:rPr>
            <w:noProof/>
            <w:webHidden/>
          </w:rPr>
          <w:t>278</w:t>
        </w:r>
        <w:r w:rsidR="00332A29">
          <w:rPr>
            <w:noProof/>
            <w:webHidden/>
          </w:rPr>
          <w:fldChar w:fldCharType="end"/>
        </w:r>
      </w:hyperlink>
    </w:p>
    <w:p w14:paraId="77A35C11" w14:textId="77777777" w:rsidR="00332A29" w:rsidRDefault="00183F7E">
      <w:pPr>
        <w:pStyle w:val="Seznamobrzk"/>
        <w:tabs>
          <w:tab w:val="right" w:leader="dot" w:pos="9062"/>
        </w:tabs>
        <w:rPr>
          <w:rFonts w:eastAsiaTheme="minorEastAsia"/>
          <w:noProof/>
          <w:lang w:eastAsia="cs-CZ"/>
        </w:rPr>
      </w:pPr>
      <w:hyperlink w:anchor="_Toc77074798" w:history="1">
        <w:r w:rsidR="00332A29" w:rsidRPr="00AA209F">
          <w:rPr>
            <w:rStyle w:val="Hypertextovodkaz"/>
            <w:noProof/>
          </w:rPr>
          <w:t>Tabulka 2.35: Prioritizace stakeholderů členy PS Vstřícné město</w:t>
        </w:r>
        <w:r w:rsidR="00332A29">
          <w:rPr>
            <w:noProof/>
            <w:webHidden/>
          </w:rPr>
          <w:tab/>
        </w:r>
        <w:r w:rsidR="00332A29">
          <w:rPr>
            <w:noProof/>
            <w:webHidden/>
          </w:rPr>
          <w:fldChar w:fldCharType="begin"/>
        </w:r>
        <w:r w:rsidR="00332A29">
          <w:rPr>
            <w:noProof/>
            <w:webHidden/>
          </w:rPr>
          <w:instrText xml:space="preserve"> PAGEREF _Toc77074798 \h </w:instrText>
        </w:r>
        <w:r w:rsidR="00332A29">
          <w:rPr>
            <w:noProof/>
            <w:webHidden/>
          </w:rPr>
        </w:r>
        <w:r w:rsidR="00332A29">
          <w:rPr>
            <w:noProof/>
            <w:webHidden/>
          </w:rPr>
          <w:fldChar w:fldCharType="separate"/>
        </w:r>
        <w:r w:rsidR="00332A29">
          <w:rPr>
            <w:noProof/>
            <w:webHidden/>
          </w:rPr>
          <w:t>279</w:t>
        </w:r>
        <w:r w:rsidR="00332A29">
          <w:rPr>
            <w:noProof/>
            <w:webHidden/>
          </w:rPr>
          <w:fldChar w:fldCharType="end"/>
        </w:r>
      </w:hyperlink>
    </w:p>
    <w:p w14:paraId="510FEA24" w14:textId="77777777" w:rsidR="00332A29" w:rsidRDefault="00183F7E">
      <w:pPr>
        <w:pStyle w:val="Seznamobrzk"/>
        <w:tabs>
          <w:tab w:val="right" w:leader="dot" w:pos="9062"/>
        </w:tabs>
        <w:rPr>
          <w:rFonts w:eastAsiaTheme="minorEastAsia"/>
          <w:noProof/>
          <w:lang w:eastAsia="cs-CZ"/>
        </w:rPr>
      </w:pPr>
      <w:hyperlink w:anchor="_Toc77074799" w:history="1">
        <w:r w:rsidR="00332A29" w:rsidRPr="00AA209F">
          <w:rPr>
            <w:rStyle w:val="Hypertextovodkaz"/>
            <w:noProof/>
          </w:rPr>
          <w:t>Tabulka 2.36: Osobnosti vybrané pro realizaci rozhovoru</w:t>
        </w:r>
        <w:r w:rsidR="00332A29">
          <w:rPr>
            <w:noProof/>
            <w:webHidden/>
          </w:rPr>
          <w:tab/>
        </w:r>
        <w:r w:rsidR="00332A29">
          <w:rPr>
            <w:noProof/>
            <w:webHidden/>
          </w:rPr>
          <w:fldChar w:fldCharType="begin"/>
        </w:r>
        <w:r w:rsidR="00332A29">
          <w:rPr>
            <w:noProof/>
            <w:webHidden/>
          </w:rPr>
          <w:instrText xml:space="preserve"> PAGEREF _Toc77074799 \h </w:instrText>
        </w:r>
        <w:r w:rsidR="00332A29">
          <w:rPr>
            <w:noProof/>
            <w:webHidden/>
          </w:rPr>
        </w:r>
        <w:r w:rsidR="00332A29">
          <w:rPr>
            <w:noProof/>
            <w:webHidden/>
          </w:rPr>
          <w:fldChar w:fldCharType="separate"/>
        </w:r>
        <w:r w:rsidR="00332A29">
          <w:rPr>
            <w:noProof/>
            <w:webHidden/>
          </w:rPr>
          <w:t>282</w:t>
        </w:r>
        <w:r w:rsidR="00332A29">
          <w:rPr>
            <w:noProof/>
            <w:webHidden/>
          </w:rPr>
          <w:fldChar w:fldCharType="end"/>
        </w:r>
      </w:hyperlink>
    </w:p>
    <w:p w14:paraId="6A965718" w14:textId="77777777" w:rsidR="00332A29" w:rsidRDefault="00183F7E">
      <w:pPr>
        <w:pStyle w:val="Seznamobrzk"/>
        <w:tabs>
          <w:tab w:val="right" w:leader="dot" w:pos="9062"/>
        </w:tabs>
        <w:rPr>
          <w:rFonts w:eastAsiaTheme="minorEastAsia"/>
          <w:noProof/>
          <w:lang w:eastAsia="cs-CZ"/>
        </w:rPr>
      </w:pPr>
      <w:hyperlink w:anchor="_Toc77074800" w:history="1">
        <w:r w:rsidR="00332A29" w:rsidRPr="00AA209F">
          <w:rPr>
            <w:rStyle w:val="Hypertextovodkaz"/>
            <w:noProof/>
          </w:rPr>
          <w:t>Tabulka 2.37: Vyhodnocení odpovědí k rozvoji města Zlín</w:t>
        </w:r>
        <w:r w:rsidR="00332A29">
          <w:rPr>
            <w:noProof/>
            <w:webHidden/>
          </w:rPr>
          <w:tab/>
        </w:r>
        <w:r w:rsidR="00332A29">
          <w:rPr>
            <w:noProof/>
            <w:webHidden/>
          </w:rPr>
          <w:fldChar w:fldCharType="begin"/>
        </w:r>
        <w:r w:rsidR="00332A29">
          <w:rPr>
            <w:noProof/>
            <w:webHidden/>
          </w:rPr>
          <w:instrText xml:space="preserve"> PAGEREF _Toc77074800 \h </w:instrText>
        </w:r>
        <w:r w:rsidR="00332A29">
          <w:rPr>
            <w:noProof/>
            <w:webHidden/>
          </w:rPr>
        </w:r>
        <w:r w:rsidR="00332A29">
          <w:rPr>
            <w:noProof/>
            <w:webHidden/>
          </w:rPr>
          <w:fldChar w:fldCharType="separate"/>
        </w:r>
        <w:r w:rsidR="00332A29">
          <w:rPr>
            <w:noProof/>
            <w:webHidden/>
          </w:rPr>
          <w:t>286</w:t>
        </w:r>
        <w:r w:rsidR="00332A29">
          <w:rPr>
            <w:noProof/>
            <w:webHidden/>
          </w:rPr>
          <w:fldChar w:fldCharType="end"/>
        </w:r>
      </w:hyperlink>
    </w:p>
    <w:p w14:paraId="249822C4" w14:textId="77777777" w:rsidR="00332A29" w:rsidRDefault="00183F7E">
      <w:pPr>
        <w:pStyle w:val="Seznamobrzk"/>
        <w:tabs>
          <w:tab w:val="right" w:leader="dot" w:pos="9062"/>
        </w:tabs>
        <w:rPr>
          <w:rFonts w:eastAsiaTheme="minorEastAsia"/>
          <w:noProof/>
          <w:lang w:eastAsia="cs-CZ"/>
        </w:rPr>
      </w:pPr>
      <w:hyperlink w:anchor="_Toc77074801" w:history="1">
        <w:r w:rsidR="00332A29" w:rsidRPr="00AA209F">
          <w:rPr>
            <w:rStyle w:val="Hypertextovodkaz"/>
            <w:noProof/>
          </w:rPr>
          <w:t>Tabulka 2.38: Preference oblastí pro investice města Zlín</w:t>
        </w:r>
        <w:r w:rsidR="00332A29">
          <w:rPr>
            <w:noProof/>
            <w:webHidden/>
          </w:rPr>
          <w:tab/>
        </w:r>
        <w:r w:rsidR="00332A29">
          <w:rPr>
            <w:noProof/>
            <w:webHidden/>
          </w:rPr>
          <w:fldChar w:fldCharType="begin"/>
        </w:r>
        <w:r w:rsidR="00332A29">
          <w:rPr>
            <w:noProof/>
            <w:webHidden/>
          </w:rPr>
          <w:instrText xml:space="preserve"> PAGEREF _Toc77074801 \h </w:instrText>
        </w:r>
        <w:r w:rsidR="00332A29">
          <w:rPr>
            <w:noProof/>
            <w:webHidden/>
          </w:rPr>
        </w:r>
        <w:r w:rsidR="00332A29">
          <w:rPr>
            <w:noProof/>
            <w:webHidden/>
          </w:rPr>
          <w:fldChar w:fldCharType="separate"/>
        </w:r>
        <w:r w:rsidR="00332A29">
          <w:rPr>
            <w:noProof/>
            <w:webHidden/>
          </w:rPr>
          <w:t>290</w:t>
        </w:r>
        <w:r w:rsidR="00332A29">
          <w:rPr>
            <w:noProof/>
            <w:webHidden/>
          </w:rPr>
          <w:fldChar w:fldCharType="end"/>
        </w:r>
      </w:hyperlink>
    </w:p>
    <w:p w14:paraId="7B7A7405" w14:textId="77777777" w:rsidR="00332A29" w:rsidRDefault="00183F7E">
      <w:pPr>
        <w:pStyle w:val="Seznamobrzk"/>
        <w:tabs>
          <w:tab w:val="right" w:leader="dot" w:pos="9062"/>
        </w:tabs>
        <w:rPr>
          <w:rFonts w:eastAsiaTheme="minorEastAsia"/>
          <w:noProof/>
          <w:lang w:eastAsia="cs-CZ"/>
        </w:rPr>
      </w:pPr>
      <w:hyperlink w:anchor="_Toc77074802" w:history="1">
        <w:r w:rsidR="00332A29" w:rsidRPr="00AA209F">
          <w:rPr>
            <w:rStyle w:val="Hypertextovodkaz"/>
            <w:noProof/>
          </w:rPr>
          <w:t>Tabulka 2.39: Přehled oslovení podnikatelských subjektů a jejich reakcí</w:t>
        </w:r>
        <w:r w:rsidR="00332A29">
          <w:rPr>
            <w:noProof/>
            <w:webHidden/>
          </w:rPr>
          <w:tab/>
        </w:r>
        <w:r w:rsidR="00332A29">
          <w:rPr>
            <w:noProof/>
            <w:webHidden/>
          </w:rPr>
          <w:fldChar w:fldCharType="begin"/>
        </w:r>
        <w:r w:rsidR="00332A29">
          <w:rPr>
            <w:noProof/>
            <w:webHidden/>
          </w:rPr>
          <w:instrText xml:space="preserve"> PAGEREF _Toc77074802 \h </w:instrText>
        </w:r>
        <w:r w:rsidR="00332A29">
          <w:rPr>
            <w:noProof/>
            <w:webHidden/>
          </w:rPr>
        </w:r>
        <w:r w:rsidR="00332A29">
          <w:rPr>
            <w:noProof/>
            <w:webHidden/>
          </w:rPr>
          <w:fldChar w:fldCharType="separate"/>
        </w:r>
        <w:r w:rsidR="00332A29">
          <w:rPr>
            <w:noProof/>
            <w:webHidden/>
          </w:rPr>
          <w:t>299</w:t>
        </w:r>
        <w:r w:rsidR="00332A29">
          <w:rPr>
            <w:noProof/>
            <w:webHidden/>
          </w:rPr>
          <w:fldChar w:fldCharType="end"/>
        </w:r>
      </w:hyperlink>
    </w:p>
    <w:p w14:paraId="23C1D436" w14:textId="77777777" w:rsidR="00332A29" w:rsidRDefault="00183F7E">
      <w:pPr>
        <w:pStyle w:val="Seznamobrzk"/>
        <w:tabs>
          <w:tab w:val="right" w:leader="dot" w:pos="9062"/>
        </w:tabs>
        <w:rPr>
          <w:rFonts w:eastAsiaTheme="minorEastAsia"/>
          <w:noProof/>
          <w:lang w:eastAsia="cs-CZ"/>
        </w:rPr>
      </w:pPr>
      <w:hyperlink w:anchor="_Toc77074803" w:history="1">
        <w:r w:rsidR="00332A29" w:rsidRPr="00AA209F">
          <w:rPr>
            <w:rStyle w:val="Hypertextovodkaz"/>
            <w:noProof/>
          </w:rPr>
          <w:t>Tabulka 2.40:</w:t>
        </w:r>
        <w:r w:rsidR="00332A29" w:rsidRPr="00AA209F">
          <w:rPr>
            <w:rStyle w:val="Hypertextovodkaz"/>
            <w:rFonts w:cstheme="minorHAnsi"/>
            <w:noProof/>
          </w:rPr>
          <w:t xml:space="preserve"> </w:t>
        </w:r>
        <w:r w:rsidR="00332A29" w:rsidRPr="00AA209F">
          <w:rPr>
            <w:rStyle w:val="Hypertextovodkaz"/>
            <w:noProof/>
          </w:rPr>
          <w:t>Velikostní struktura respondentů</w:t>
        </w:r>
        <w:r w:rsidR="00332A29">
          <w:rPr>
            <w:noProof/>
            <w:webHidden/>
          </w:rPr>
          <w:tab/>
        </w:r>
        <w:r w:rsidR="00332A29">
          <w:rPr>
            <w:noProof/>
            <w:webHidden/>
          </w:rPr>
          <w:fldChar w:fldCharType="begin"/>
        </w:r>
        <w:r w:rsidR="00332A29">
          <w:rPr>
            <w:noProof/>
            <w:webHidden/>
          </w:rPr>
          <w:instrText xml:space="preserve"> PAGEREF _Toc77074803 \h </w:instrText>
        </w:r>
        <w:r w:rsidR="00332A29">
          <w:rPr>
            <w:noProof/>
            <w:webHidden/>
          </w:rPr>
        </w:r>
        <w:r w:rsidR="00332A29">
          <w:rPr>
            <w:noProof/>
            <w:webHidden/>
          </w:rPr>
          <w:fldChar w:fldCharType="separate"/>
        </w:r>
        <w:r w:rsidR="00332A29">
          <w:rPr>
            <w:noProof/>
            <w:webHidden/>
          </w:rPr>
          <w:t>299</w:t>
        </w:r>
        <w:r w:rsidR="00332A29">
          <w:rPr>
            <w:noProof/>
            <w:webHidden/>
          </w:rPr>
          <w:fldChar w:fldCharType="end"/>
        </w:r>
      </w:hyperlink>
    </w:p>
    <w:p w14:paraId="5DF6E0C6" w14:textId="77777777" w:rsidR="00332A29" w:rsidRDefault="00183F7E">
      <w:pPr>
        <w:pStyle w:val="Seznamobrzk"/>
        <w:tabs>
          <w:tab w:val="right" w:leader="dot" w:pos="9062"/>
        </w:tabs>
        <w:rPr>
          <w:rFonts w:eastAsiaTheme="minorEastAsia"/>
          <w:noProof/>
          <w:lang w:eastAsia="cs-CZ"/>
        </w:rPr>
      </w:pPr>
      <w:hyperlink w:anchor="_Toc77074804" w:history="1">
        <w:r w:rsidR="00332A29" w:rsidRPr="00AA209F">
          <w:rPr>
            <w:rStyle w:val="Hypertextovodkaz"/>
            <w:noProof/>
          </w:rPr>
          <w:t>Tabulka 2.41: Odvětví podnikatelské činnosti respondentů</w:t>
        </w:r>
        <w:r w:rsidR="00332A29">
          <w:rPr>
            <w:noProof/>
            <w:webHidden/>
          </w:rPr>
          <w:tab/>
        </w:r>
        <w:r w:rsidR="00332A29">
          <w:rPr>
            <w:noProof/>
            <w:webHidden/>
          </w:rPr>
          <w:fldChar w:fldCharType="begin"/>
        </w:r>
        <w:r w:rsidR="00332A29">
          <w:rPr>
            <w:noProof/>
            <w:webHidden/>
          </w:rPr>
          <w:instrText xml:space="preserve"> PAGEREF _Toc77074804 \h </w:instrText>
        </w:r>
        <w:r w:rsidR="00332A29">
          <w:rPr>
            <w:noProof/>
            <w:webHidden/>
          </w:rPr>
        </w:r>
        <w:r w:rsidR="00332A29">
          <w:rPr>
            <w:noProof/>
            <w:webHidden/>
          </w:rPr>
          <w:fldChar w:fldCharType="separate"/>
        </w:r>
        <w:r w:rsidR="00332A29">
          <w:rPr>
            <w:noProof/>
            <w:webHidden/>
          </w:rPr>
          <w:t>299</w:t>
        </w:r>
        <w:r w:rsidR="00332A29">
          <w:rPr>
            <w:noProof/>
            <w:webHidden/>
          </w:rPr>
          <w:fldChar w:fldCharType="end"/>
        </w:r>
      </w:hyperlink>
    </w:p>
    <w:p w14:paraId="6319FEDE" w14:textId="77777777" w:rsidR="00332A29" w:rsidRDefault="00183F7E">
      <w:pPr>
        <w:pStyle w:val="Seznamobrzk"/>
        <w:tabs>
          <w:tab w:val="right" w:leader="dot" w:pos="9062"/>
        </w:tabs>
        <w:rPr>
          <w:rFonts w:eastAsiaTheme="minorEastAsia"/>
          <w:noProof/>
          <w:lang w:eastAsia="cs-CZ"/>
        </w:rPr>
      </w:pPr>
      <w:hyperlink w:anchor="_Toc77074805" w:history="1">
        <w:r w:rsidR="00332A29" w:rsidRPr="00AA209F">
          <w:rPr>
            <w:rStyle w:val="Hypertextovodkaz"/>
            <w:noProof/>
          </w:rPr>
          <w:t>Tabulka 2.42: Preference rozvojových oblastí města podle respondentů</w:t>
        </w:r>
        <w:r w:rsidR="00332A29">
          <w:rPr>
            <w:noProof/>
            <w:webHidden/>
          </w:rPr>
          <w:tab/>
        </w:r>
        <w:r w:rsidR="00332A29">
          <w:rPr>
            <w:noProof/>
            <w:webHidden/>
          </w:rPr>
          <w:fldChar w:fldCharType="begin"/>
        </w:r>
        <w:r w:rsidR="00332A29">
          <w:rPr>
            <w:noProof/>
            <w:webHidden/>
          </w:rPr>
          <w:instrText xml:space="preserve"> PAGEREF _Toc77074805 \h </w:instrText>
        </w:r>
        <w:r w:rsidR="00332A29">
          <w:rPr>
            <w:noProof/>
            <w:webHidden/>
          </w:rPr>
        </w:r>
        <w:r w:rsidR="00332A29">
          <w:rPr>
            <w:noProof/>
            <w:webHidden/>
          </w:rPr>
          <w:fldChar w:fldCharType="separate"/>
        </w:r>
        <w:r w:rsidR="00332A29">
          <w:rPr>
            <w:noProof/>
            <w:webHidden/>
          </w:rPr>
          <w:t>304</w:t>
        </w:r>
        <w:r w:rsidR="00332A29">
          <w:rPr>
            <w:noProof/>
            <w:webHidden/>
          </w:rPr>
          <w:fldChar w:fldCharType="end"/>
        </w:r>
      </w:hyperlink>
    </w:p>
    <w:p w14:paraId="77537CE9" w14:textId="77777777" w:rsidR="00332A29" w:rsidRDefault="00183F7E">
      <w:pPr>
        <w:pStyle w:val="Seznamobrzk"/>
        <w:tabs>
          <w:tab w:val="right" w:leader="dot" w:pos="9062"/>
        </w:tabs>
        <w:rPr>
          <w:rFonts w:eastAsiaTheme="minorEastAsia"/>
          <w:noProof/>
          <w:lang w:eastAsia="cs-CZ"/>
        </w:rPr>
      </w:pPr>
      <w:hyperlink w:anchor="_Toc77074806" w:history="1">
        <w:r w:rsidR="00332A29" w:rsidRPr="00AA209F">
          <w:rPr>
            <w:rStyle w:val="Hypertextovodkaz"/>
            <w:noProof/>
          </w:rPr>
          <w:t>Tabulka 2.43: Preference služeb města podle respondentů</w:t>
        </w:r>
        <w:r w:rsidR="00332A29">
          <w:rPr>
            <w:noProof/>
            <w:webHidden/>
          </w:rPr>
          <w:tab/>
        </w:r>
        <w:r w:rsidR="00332A29">
          <w:rPr>
            <w:noProof/>
            <w:webHidden/>
          </w:rPr>
          <w:fldChar w:fldCharType="begin"/>
        </w:r>
        <w:r w:rsidR="00332A29">
          <w:rPr>
            <w:noProof/>
            <w:webHidden/>
          </w:rPr>
          <w:instrText xml:space="preserve"> PAGEREF _Toc77074806 \h </w:instrText>
        </w:r>
        <w:r w:rsidR="00332A29">
          <w:rPr>
            <w:noProof/>
            <w:webHidden/>
          </w:rPr>
        </w:r>
        <w:r w:rsidR="00332A29">
          <w:rPr>
            <w:noProof/>
            <w:webHidden/>
          </w:rPr>
          <w:fldChar w:fldCharType="separate"/>
        </w:r>
        <w:r w:rsidR="00332A29">
          <w:rPr>
            <w:noProof/>
            <w:webHidden/>
          </w:rPr>
          <w:t>305</w:t>
        </w:r>
        <w:r w:rsidR="00332A29">
          <w:rPr>
            <w:noProof/>
            <w:webHidden/>
          </w:rPr>
          <w:fldChar w:fldCharType="end"/>
        </w:r>
      </w:hyperlink>
    </w:p>
    <w:p w14:paraId="58EBF6EC" w14:textId="77777777" w:rsidR="00332A29" w:rsidRDefault="00183F7E">
      <w:pPr>
        <w:pStyle w:val="Seznamobrzk"/>
        <w:tabs>
          <w:tab w:val="right" w:leader="dot" w:pos="9062"/>
        </w:tabs>
        <w:rPr>
          <w:rFonts w:eastAsiaTheme="minorEastAsia"/>
          <w:noProof/>
          <w:lang w:eastAsia="cs-CZ"/>
        </w:rPr>
      </w:pPr>
      <w:hyperlink w:anchor="_Toc77074807" w:history="1">
        <w:r w:rsidR="00332A29" w:rsidRPr="00AA209F">
          <w:rPr>
            <w:rStyle w:val="Hypertextovodkaz"/>
            <w:noProof/>
          </w:rPr>
          <w:t>Tabulka 2.44: Průměrný počet nově přijímaných zaměstnanců</w:t>
        </w:r>
        <w:r w:rsidR="00332A29">
          <w:rPr>
            <w:noProof/>
            <w:webHidden/>
          </w:rPr>
          <w:tab/>
        </w:r>
        <w:r w:rsidR="00332A29">
          <w:rPr>
            <w:noProof/>
            <w:webHidden/>
          </w:rPr>
          <w:fldChar w:fldCharType="begin"/>
        </w:r>
        <w:r w:rsidR="00332A29">
          <w:rPr>
            <w:noProof/>
            <w:webHidden/>
          </w:rPr>
          <w:instrText xml:space="preserve"> PAGEREF _Toc77074807 \h </w:instrText>
        </w:r>
        <w:r w:rsidR="00332A29">
          <w:rPr>
            <w:noProof/>
            <w:webHidden/>
          </w:rPr>
        </w:r>
        <w:r w:rsidR="00332A29">
          <w:rPr>
            <w:noProof/>
            <w:webHidden/>
          </w:rPr>
          <w:fldChar w:fldCharType="separate"/>
        </w:r>
        <w:r w:rsidR="00332A29">
          <w:rPr>
            <w:noProof/>
            <w:webHidden/>
          </w:rPr>
          <w:t>312</w:t>
        </w:r>
        <w:r w:rsidR="00332A29">
          <w:rPr>
            <w:noProof/>
            <w:webHidden/>
          </w:rPr>
          <w:fldChar w:fldCharType="end"/>
        </w:r>
      </w:hyperlink>
    </w:p>
    <w:p w14:paraId="6F6C945F" w14:textId="77777777" w:rsidR="00332A29" w:rsidRDefault="00183F7E">
      <w:pPr>
        <w:pStyle w:val="Seznamobrzk"/>
        <w:tabs>
          <w:tab w:val="right" w:leader="dot" w:pos="9062"/>
        </w:tabs>
        <w:rPr>
          <w:rFonts w:eastAsiaTheme="minorEastAsia"/>
          <w:noProof/>
          <w:lang w:eastAsia="cs-CZ"/>
        </w:rPr>
      </w:pPr>
      <w:hyperlink w:anchor="_Toc77074808" w:history="1">
        <w:r w:rsidR="00332A29" w:rsidRPr="00AA209F">
          <w:rPr>
            <w:rStyle w:val="Hypertextovodkaz"/>
            <w:noProof/>
          </w:rPr>
          <w:t>Tabulka 2.45: Kompletní výčet profesí, které firmy dlouhodobě postrádají</w:t>
        </w:r>
        <w:r w:rsidR="00332A29">
          <w:rPr>
            <w:noProof/>
            <w:webHidden/>
          </w:rPr>
          <w:tab/>
        </w:r>
        <w:r w:rsidR="00332A29">
          <w:rPr>
            <w:noProof/>
            <w:webHidden/>
          </w:rPr>
          <w:fldChar w:fldCharType="begin"/>
        </w:r>
        <w:r w:rsidR="00332A29">
          <w:rPr>
            <w:noProof/>
            <w:webHidden/>
          </w:rPr>
          <w:instrText xml:space="preserve"> PAGEREF _Toc77074808 \h </w:instrText>
        </w:r>
        <w:r w:rsidR="00332A29">
          <w:rPr>
            <w:noProof/>
            <w:webHidden/>
          </w:rPr>
        </w:r>
        <w:r w:rsidR="00332A29">
          <w:rPr>
            <w:noProof/>
            <w:webHidden/>
          </w:rPr>
          <w:fldChar w:fldCharType="separate"/>
        </w:r>
        <w:r w:rsidR="00332A29">
          <w:rPr>
            <w:noProof/>
            <w:webHidden/>
          </w:rPr>
          <w:t>315</w:t>
        </w:r>
        <w:r w:rsidR="00332A29">
          <w:rPr>
            <w:noProof/>
            <w:webHidden/>
          </w:rPr>
          <w:fldChar w:fldCharType="end"/>
        </w:r>
      </w:hyperlink>
    </w:p>
    <w:p w14:paraId="3384FC25" w14:textId="77777777" w:rsidR="00332A29" w:rsidRDefault="00183F7E">
      <w:pPr>
        <w:pStyle w:val="Seznamobrzk"/>
        <w:tabs>
          <w:tab w:val="right" w:leader="dot" w:pos="9062"/>
        </w:tabs>
        <w:rPr>
          <w:rFonts w:eastAsiaTheme="minorEastAsia"/>
          <w:noProof/>
          <w:lang w:eastAsia="cs-CZ"/>
        </w:rPr>
      </w:pPr>
      <w:hyperlink w:anchor="_Toc77074809" w:history="1">
        <w:r w:rsidR="00332A29" w:rsidRPr="00AA209F">
          <w:rPr>
            <w:rStyle w:val="Hypertextovodkaz"/>
            <w:noProof/>
          </w:rPr>
          <w:t>Tabulka 3.1: Přehled nadřazených dokumentů s vazbou na strategii "Zlín 2030"</w:t>
        </w:r>
        <w:r w:rsidR="00332A29">
          <w:rPr>
            <w:noProof/>
            <w:webHidden/>
          </w:rPr>
          <w:tab/>
        </w:r>
        <w:r w:rsidR="00332A29">
          <w:rPr>
            <w:noProof/>
            <w:webHidden/>
          </w:rPr>
          <w:fldChar w:fldCharType="begin"/>
        </w:r>
        <w:r w:rsidR="00332A29">
          <w:rPr>
            <w:noProof/>
            <w:webHidden/>
          </w:rPr>
          <w:instrText xml:space="preserve"> PAGEREF _Toc77074809 \h </w:instrText>
        </w:r>
        <w:r w:rsidR="00332A29">
          <w:rPr>
            <w:noProof/>
            <w:webHidden/>
          </w:rPr>
        </w:r>
        <w:r w:rsidR="00332A29">
          <w:rPr>
            <w:noProof/>
            <w:webHidden/>
          </w:rPr>
          <w:fldChar w:fldCharType="separate"/>
        </w:r>
        <w:r w:rsidR="00332A29">
          <w:rPr>
            <w:noProof/>
            <w:webHidden/>
          </w:rPr>
          <w:t>334</w:t>
        </w:r>
        <w:r w:rsidR="00332A29">
          <w:rPr>
            <w:noProof/>
            <w:webHidden/>
          </w:rPr>
          <w:fldChar w:fldCharType="end"/>
        </w:r>
      </w:hyperlink>
    </w:p>
    <w:p w14:paraId="0FC9E632" w14:textId="77777777" w:rsidR="00332A29" w:rsidRDefault="00183F7E">
      <w:pPr>
        <w:pStyle w:val="Seznamobrzk"/>
        <w:tabs>
          <w:tab w:val="right" w:leader="dot" w:pos="9062"/>
        </w:tabs>
        <w:rPr>
          <w:rFonts w:eastAsiaTheme="minorEastAsia"/>
          <w:noProof/>
          <w:lang w:eastAsia="cs-CZ"/>
        </w:rPr>
      </w:pPr>
      <w:hyperlink w:anchor="_Toc77074810" w:history="1">
        <w:r w:rsidR="00332A29" w:rsidRPr="00AA209F">
          <w:rPr>
            <w:rStyle w:val="Hypertextovodkaz"/>
            <w:noProof/>
          </w:rPr>
          <w:t>Tabulka 4.1: Změna obyvatelstva statutárního města Zlína</w:t>
        </w:r>
        <w:r w:rsidR="00332A29">
          <w:rPr>
            <w:noProof/>
            <w:webHidden/>
          </w:rPr>
          <w:tab/>
        </w:r>
        <w:r w:rsidR="00332A29">
          <w:rPr>
            <w:noProof/>
            <w:webHidden/>
          </w:rPr>
          <w:fldChar w:fldCharType="begin"/>
        </w:r>
        <w:r w:rsidR="00332A29">
          <w:rPr>
            <w:noProof/>
            <w:webHidden/>
          </w:rPr>
          <w:instrText xml:space="preserve"> PAGEREF _Toc77074810 \h </w:instrText>
        </w:r>
        <w:r w:rsidR="00332A29">
          <w:rPr>
            <w:noProof/>
            <w:webHidden/>
          </w:rPr>
        </w:r>
        <w:r w:rsidR="00332A29">
          <w:rPr>
            <w:noProof/>
            <w:webHidden/>
          </w:rPr>
          <w:fldChar w:fldCharType="separate"/>
        </w:r>
        <w:r w:rsidR="00332A29">
          <w:rPr>
            <w:noProof/>
            <w:webHidden/>
          </w:rPr>
          <w:t>340</w:t>
        </w:r>
        <w:r w:rsidR="00332A29">
          <w:rPr>
            <w:noProof/>
            <w:webHidden/>
          </w:rPr>
          <w:fldChar w:fldCharType="end"/>
        </w:r>
      </w:hyperlink>
    </w:p>
    <w:p w14:paraId="4F90BBF8" w14:textId="77777777" w:rsidR="00332A29" w:rsidRDefault="00183F7E">
      <w:pPr>
        <w:pStyle w:val="Seznamobrzk"/>
        <w:tabs>
          <w:tab w:val="right" w:leader="dot" w:pos="9062"/>
        </w:tabs>
        <w:rPr>
          <w:rFonts w:eastAsiaTheme="minorEastAsia"/>
          <w:noProof/>
          <w:lang w:eastAsia="cs-CZ"/>
        </w:rPr>
      </w:pPr>
      <w:hyperlink w:anchor="_Toc77074811" w:history="1">
        <w:r w:rsidR="00332A29" w:rsidRPr="00AA209F">
          <w:rPr>
            <w:rStyle w:val="Hypertextovodkaz"/>
            <w:noProof/>
          </w:rPr>
          <w:t xml:space="preserve">Tabulka 4.2 Počet tr:estných činů podle klasifikace v rámci OOP Zlín 2013 </w:t>
        </w:r>
        <w:r w:rsidR="00332A29" w:rsidRPr="00AA209F">
          <w:rPr>
            <w:rStyle w:val="Hypertextovodkaz"/>
            <w:noProof/>
          </w:rPr>
          <w:sym w:font="Symbol" w:char="F02D"/>
        </w:r>
        <w:r w:rsidR="00332A29" w:rsidRPr="00AA209F">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_Toc77074811 \h </w:instrText>
        </w:r>
        <w:r w:rsidR="00332A29">
          <w:rPr>
            <w:noProof/>
            <w:webHidden/>
          </w:rPr>
        </w:r>
        <w:r w:rsidR="00332A29">
          <w:rPr>
            <w:noProof/>
            <w:webHidden/>
          </w:rPr>
          <w:fldChar w:fldCharType="separate"/>
        </w:r>
        <w:r w:rsidR="00332A29">
          <w:rPr>
            <w:noProof/>
            <w:webHidden/>
          </w:rPr>
          <w:t>341</w:t>
        </w:r>
        <w:r w:rsidR="00332A29">
          <w:rPr>
            <w:noProof/>
            <w:webHidden/>
          </w:rPr>
          <w:fldChar w:fldCharType="end"/>
        </w:r>
      </w:hyperlink>
    </w:p>
    <w:p w14:paraId="7E87EE95" w14:textId="77777777" w:rsidR="00332A29" w:rsidRDefault="00183F7E">
      <w:pPr>
        <w:pStyle w:val="Seznamobrzk"/>
        <w:tabs>
          <w:tab w:val="right" w:leader="dot" w:pos="9062"/>
        </w:tabs>
        <w:rPr>
          <w:rFonts w:eastAsiaTheme="minorEastAsia"/>
          <w:noProof/>
          <w:lang w:eastAsia="cs-CZ"/>
        </w:rPr>
      </w:pPr>
      <w:hyperlink w:anchor="_Toc77074812" w:history="1">
        <w:r w:rsidR="00332A29" w:rsidRPr="00AA209F">
          <w:rPr>
            <w:rStyle w:val="Hypertextovodkaz"/>
            <w:noProof/>
          </w:rPr>
          <w:t>Tabulka 4.3: Počet vozidel denně projíždějících sčítacími úseky na území statutárního města Zlína</w:t>
        </w:r>
        <w:r w:rsidR="00332A29">
          <w:rPr>
            <w:noProof/>
            <w:webHidden/>
          </w:rPr>
          <w:tab/>
        </w:r>
        <w:r w:rsidR="00332A29">
          <w:rPr>
            <w:noProof/>
            <w:webHidden/>
          </w:rPr>
          <w:fldChar w:fldCharType="begin"/>
        </w:r>
        <w:r w:rsidR="00332A29">
          <w:rPr>
            <w:noProof/>
            <w:webHidden/>
          </w:rPr>
          <w:instrText xml:space="preserve"> PAGEREF _Toc77074812 \h </w:instrText>
        </w:r>
        <w:r w:rsidR="00332A29">
          <w:rPr>
            <w:noProof/>
            <w:webHidden/>
          </w:rPr>
        </w:r>
        <w:r w:rsidR="00332A29">
          <w:rPr>
            <w:noProof/>
            <w:webHidden/>
          </w:rPr>
          <w:fldChar w:fldCharType="separate"/>
        </w:r>
        <w:r w:rsidR="00332A29">
          <w:rPr>
            <w:noProof/>
            <w:webHidden/>
          </w:rPr>
          <w:t>346</w:t>
        </w:r>
        <w:r w:rsidR="00332A29">
          <w:rPr>
            <w:noProof/>
            <w:webHidden/>
          </w:rPr>
          <w:fldChar w:fldCharType="end"/>
        </w:r>
      </w:hyperlink>
    </w:p>
    <w:p w14:paraId="3FD8D3FF" w14:textId="77777777" w:rsidR="00332A29" w:rsidRDefault="00183F7E">
      <w:pPr>
        <w:pStyle w:val="Seznamobrzk"/>
        <w:tabs>
          <w:tab w:val="right" w:leader="dot" w:pos="9062"/>
        </w:tabs>
        <w:rPr>
          <w:rFonts w:eastAsiaTheme="minorEastAsia"/>
          <w:noProof/>
          <w:lang w:eastAsia="cs-CZ"/>
        </w:rPr>
      </w:pPr>
      <w:hyperlink w:anchor="_Toc77074813" w:history="1">
        <w:r w:rsidR="00332A29" w:rsidRPr="00AA209F">
          <w:rPr>
            <w:rStyle w:val="Hypertextovodkaz"/>
            <w:noProof/>
          </w:rPr>
          <w:t>Tabulka 4.4: Struktura využití ploch města Zlína v letech 2009 a 2019</w:t>
        </w:r>
        <w:r w:rsidR="00332A29">
          <w:rPr>
            <w:noProof/>
            <w:webHidden/>
          </w:rPr>
          <w:tab/>
        </w:r>
        <w:r w:rsidR="00332A29">
          <w:rPr>
            <w:noProof/>
            <w:webHidden/>
          </w:rPr>
          <w:fldChar w:fldCharType="begin"/>
        </w:r>
        <w:r w:rsidR="00332A29">
          <w:rPr>
            <w:noProof/>
            <w:webHidden/>
          </w:rPr>
          <w:instrText xml:space="preserve"> PAGEREF _Toc77074813 \h </w:instrText>
        </w:r>
        <w:r w:rsidR="00332A29">
          <w:rPr>
            <w:noProof/>
            <w:webHidden/>
          </w:rPr>
        </w:r>
        <w:r w:rsidR="00332A29">
          <w:rPr>
            <w:noProof/>
            <w:webHidden/>
          </w:rPr>
          <w:fldChar w:fldCharType="separate"/>
        </w:r>
        <w:r w:rsidR="00332A29">
          <w:rPr>
            <w:noProof/>
            <w:webHidden/>
          </w:rPr>
          <w:t>349</w:t>
        </w:r>
        <w:r w:rsidR="00332A29">
          <w:rPr>
            <w:noProof/>
            <w:webHidden/>
          </w:rPr>
          <w:fldChar w:fldCharType="end"/>
        </w:r>
      </w:hyperlink>
    </w:p>
    <w:p w14:paraId="7C49BFDD" w14:textId="77777777" w:rsidR="00332A29" w:rsidRDefault="00183F7E">
      <w:pPr>
        <w:pStyle w:val="Seznamobrzk"/>
        <w:tabs>
          <w:tab w:val="right" w:leader="dot" w:pos="9062"/>
        </w:tabs>
        <w:rPr>
          <w:rFonts w:eastAsiaTheme="minorEastAsia"/>
          <w:noProof/>
          <w:lang w:eastAsia="cs-CZ"/>
        </w:rPr>
      </w:pPr>
      <w:hyperlink w:anchor="_Toc77074814" w:history="1">
        <w:r w:rsidR="00332A29" w:rsidRPr="00AA209F">
          <w:rPr>
            <w:rStyle w:val="Hypertextovodkaz"/>
            <w:noProof/>
          </w:rPr>
          <w:t>Tabulka 4.5: Vyhodnocení ukazatelů kontextu jednotlivých strategických cílů</w:t>
        </w:r>
        <w:r w:rsidR="00332A29">
          <w:rPr>
            <w:noProof/>
            <w:webHidden/>
          </w:rPr>
          <w:tab/>
        </w:r>
        <w:r w:rsidR="00332A29">
          <w:rPr>
            <w:noProof/>
            <w:webHidden/>
          </w:rPr>
          <w:fldChar w:fldCharType="begin"/>
        </w:r>
        <w:r w:rsidR="00332A29">
          <w:rPr>
            <w:noProof/>
            <w:webHidden/>
          </w:rPr>
          <w:instrText xml:space="preserve"> PAGEREF _Toc77074814 \h </w:instrText>
        </w:r>
        <w:r w:rsidR="00332A29">
          <w:rPr>
            <w:noProof/>
            <w:webHidden/>
          </w:rPr>
        </w:r>
        <w:r w:rsidR="00332A29">
          <w:rPr>
            <w:noProof/>
            <w:webHidden/>
          </w:rPr>
          <w:fldChar w:fldCharType="separate"/>
        </w:r>
        <w:r w:rsidR="00332A29">
          <w:rPr>
            <w:noProof/>
            <w:webHidden/>
          </w:rPr>
          <w:t>352</w:t>
        </w:r>
        <w:r w:rsidR="00332A29">
          <w:rPr>
            <w:noProof/>
            <w:webHidden/>
          </w:rPr>
          <w:fldChar w:fldCharType="end"/>
        </w:r>
      </w:hyperlink>
    </w:p>
    <w:p w14:paraId="34528682" w14:textId="77777777" w:rsidR="00332A29" w:rsidRDefault="00183F7E">
      <w:pPr>
        <w:pStyle w:val="Seznamobrzk"/>
        <w:tabs>
          <w:tab w:val="right" w:leader="dot" w:pos="9062"/>
        </w:tabs>
        <w:rPr>
          <w:rFonts w:eastAsiaTheme="minorEastAsia"/>
          <w:noProof/>
          <w:lang w:eastAsia="cs-CZ"/>
        </w:rPr>
      </w:pPr>
      <w:hyperlink w:anchor="_Toc77074815" w:history="1">
        <w:r w:rsidR="00332A29" w:rsidRPr="00AA209F">
          <w:rPr>
            <w:rStyle w:val="Hypertextovodkaz"/>
            <w:noProof/>
          </w:rPr>
          <w:t>Tabulka 4.6: Prognóza vývoje obyvatel dle věkových skupin do r. 2040</w:t>
        </w:r>
        <w:r w:rsidR="00332A29">
          <w:rPr>
            <w:noProof/>
            <w:webHidden/>
          </w:rPr>
          <w:tab/>
        </w:r>
        <w:r w:rsidR="00332A29">
          <w:rPr>
            <w:noProof/>
            <w:webHidden/>
          </w:rPr>
          <w:fldChar w:fldCharType="begin"/>
        </w:r>
        <w:r w:rsidR="00332A29">
          <w:rPr>
            <w:noProof/>
            <w:webHidden/>
          </w:rPr>
          <w:instrText xml:space="preserve"> PAGEREF _Toc77074815 \h </w:instrText>
        </w:r>
        <w:r w:rsidR="00332A29">
          <w:rPr>
            <w:noProof/>
            <w:webHidden/>
          </w:rPr>
        </w:r>
        <w:r w:rsidR="00332A29">
          <w:rPr>
            <w:noProof/>
            <w:webHidden/>
          </w:rPr>
          <w:fldChar w:fldCharType="separate"/>
        </w:r>
        <w:r w:rsidR="00332A29">
          <w:rPr>
            <w:noProof/>
            <w:webHidden/>
          </w:rPr>
          <w:t>359</w:t>
        </w:r>
        <w:r w:rsidR="00332A29">
          <w:rPr>
            <w:noProof/>
            <w:webHidden/>
          </w:rPr>
          <w:fldChar w:fldCharType="end"/>
        </w:r>
      </w:hyperlink>
    </w:p>
    <w:p w14:paraId="5CFF0191" w14:textId="77777777" w:rsidR="00332A29" w:rsidRDefault="00183F7E">
      <w:pPr>
        <w:pStyle w:val="Seznamobrzk"/>
        <w:tabs>
          <w:tab w:val="right" w:leader="dot" w:pos="9062"/>
        </w:tabs>
        <w:rPr>
          <w:rFonts w:eastAsiaTheme="minorEastAsia"/>
          <w:noProof/>
          <w:lang w:eastAsia="cs-CZ"/>
        </w:rPr>
      </w:pPr>
      <w:hyperlink w:anchor="_Toc77074816" w:history="1">
        <w:r w:rsidR="00332A29" w:rsidRPr="00AA209F">
          <w:rPr>
            <w:rStyle w:val="Hypertextovodkaz"/>
            <w:noProof/>
          </w:rPr>
          <w:t>Tabulka 4.7: Vývoj počtu obsazených pracovních míst mezi lety 2009 až 2019</w:t>
        </w:r>
        <w:r w:rsidR="00332A29">
          <w:rPr>
            <w:noProof/>
            <w:webHidden/>
          </w:rPr>
          <w:tab/>
        </w:r>
        <w:r w:rsidR="00332A29">
          <w:rPr>
            <w:noProof/>
            <w:webHidden/>
          </w:rPr>
          <w:fldChar w:fldCharType="begin"/>
        </w:r>
        <w:r w:rsidR="00332A29">
          <w:rPr>
            <w:noProof/>
            <w:webHidden/>
          </w:rPr>
          <w:instrText xml:space="preserve"> PAGEREF _Toc77074816 \h </w:instrText>
        </w:r>
        <w:r w:rsidR="00332A29">
          <w:rPr>
            <w:noProof/>
            <w:webHidden/>
          </w:rPr>
        </w:r>
        <w:r w:rsidR="00332A29">
          <w:rPr>
            <w:noProof/>
            <w:webHidden/>
          </w:rPr>
          <w:fldChar w:fldCharType="separate"/>
        </w:r>
        <w:r w:rsidR="00332A29">
          <w:rPr>
            <w:noProof/>
            <w:webHidden/>
          </w:rPr>
          <w:t>362</w:t>
        </w:r>
        <w:r w:rsidR="00332A29">
          <w:rPr>
            <w:noProof/>
            <w:webHidden/>
          </w:rPr>
          <w:fldChar w:fldCharType="end"/>
        </w:r>
      </w:hyperlink>
    </w:p>
    <w:p w14:paraId="3DEBF76F" w14:textId="77777777" w:rsidR="00332A29" w:rsidRDefault="00183F7E">
      <w:pPr>
        <w:pStyle w:val="Seznamobrzk"/>
        <w:tabs>
          <w:tab w:val="right" w:leader="dot" w:pos="9062"/>
        </w:tabs>
        <w:rPr>
          <w:rFonts w:eastAsiaTheme="minorEastAsia"/>
          <w:noProof/>
          <w:lang w:eastAsia="cs-CZ"/>
        </w:rPr>
      </w:pPr>
      <w:hyperlink w:anchor="_Toc77074817" w:history="1">
        <w:r w:rsidR="00332A29" w:rsidRPr="00AA209F">
          <w:rPr>
            <w:rStyle w:val="Hypertextovodkaz"/>
            <w:noProof/>
          </w:rPr>
          <w:t>Tabulka 4.8: Patentová aktivita tuzemských podniků v ČR podle okresů v roce 2018</w:t>
        </w:r>
        <w:r w:rsidR="00332A29">
          <w:rPr>
            <w:noProof/>
            <w:webHidden/>
          </w:rPr>
          <w:tab/>
        </w:r>
        <w:r w:rsidR="00332A29">
          <w:rPr>
            <w:noProof/>
            <w:webHidden/>
          </w:rPr>
          <w:fldChar w:fldCharType="begin"/>
        </w:r>
        <w:r w:rsidR="00332A29">
          <w:rPr>
            <w:noProof/>
            <w:webHidden/>
          </w:rPr>
          <w:instrText xml:space="preserve"> PAGEREF _Toc77074817 \h </w:instrText>
        </w:r>
        <w:r w:rsidR="00332A29">
          <w:rPr>
            <w:noProof/>
            <w:webHidden/>
          </w:rPr>
        </w:r>
        <w:r w:rsidR="00332A29">
          <w:rPr>
            <w:noProof/>
            <w:webHidden/>
          </w:rPr>
          <w:fldChar w:fldCharType="separate"/>
        </w:r>
        <w:r w:rsidR="00332A29">
          <w:rPr>
            <w:noProof/>
            <w:webHidden/>
          </w:rPr>
          <w:t>362</w:t>
        </w:r>
        <w:r w:rsidR="00332A29">
          <w:rPr>
            <w:noProof/>
            <w:webHidden/>
          </w:rPr>
          <w:fldChar w:fldCharType="end"/>
        </w:r>
      </w:hyperlink>
    </w:p>
    <w:p w14:paraId="20803C69" w14:textId="77777777" w:rsidR="00332A29" w:rsidRDefault="00183F7E">
      <w:pPr>
        <w:pStyle w:val="Seznamobrzk"/>
        <w:tabs>
          <w:tab w:val="right" w:leader="dot" w:pos="9062"/>
        </w:tabs>
        <w:rPr>
          <w:rFonts w:eastAsiaTheme="minorEastAsia"/>
          <w:noProof/>
          <w:lang w:eastAsia="cs-CZ"/>
        </w:rPr>
      </w:pPr>
      <w:hyperlink w:anchor="_Toc77074818" w:history="1">
        <w:r w:rsidR="00332A29" w:rsidRPr="00AA209F">
          <w:rPr>
            <w:rStyle w:val="Hypertextovodkaz"/>
            <w:noProof/>
          </w:rPr>
          <w:t>Tabulka 4.9: Vybrané údaje o vědě a výzkumu ve Zlínském kraji</w:t>
        </w:r>
        <w:r w:rsidR="00332A29">
          <w:rPr>
            <w:noProof/>
            <w:webHidden/>
          </w:rPr>
          <w:tab/>
        </w:r>
        <w:r w:rsidR="00332A29">
          <w:rPr>
            <w:noProof/>
            <w:webHidden/>
          </w:rPr>
          <w:fldChar w:fldCharType="begin"/>
        </w:r>
        <w:r w:rsidR="00332A29">
          <w:rPr>
            <w:noProof/>
            <w:webHidden/>
          </w:rPr>
          <w:instrText xml:space="preserve"> PAGEREF _Toc77074818 \h </w:instrText>
        </w:r>
        <w:r w:rsidR="00332A29">
          <w:rPr>
            <w:noProof/>
            <w:webHidden/>
          </w:rPr>
        </w:r>
        <w:r w:rsidR="00332A29">
          <w:rPr>
            <w:noProof/>
            <w:webHidden/>
          </w:rPr>
          <w:fldChar w:fldCharType="separate"/>
        </w:r>
        <w:r w:rsidR="00332A29">
          <w:rPr>
            <w:noProof/>
            <w:webHidden/>
          </w:rPr>
          <w:t>362</w:t>
        </w:r>
        <w:r w:rsidR="00332A29">
          <w:rPr>
            <w:noProof/>
            <w:webHidden/>
          </w:rPr>
          <w:fldChar w:fldCharType="end"/>
        </w:r>
      </w:hyperlink>
    </w:p>
    <w:p w14:paraId="17497400" w14:textId="500D0811" w:rsidR="00E60FC1" w:rsidRDefault="008F3784" w:rsidP="008F3784">
      <w:r>
        <w:fldChar w:fldCharType="end"/>
      </w:r>
    </w:p>
    <w:p w14:paraId="1EFB52D0" w14:textId="77777777" w:rsidR="00E60FC1" w:rsidRDefault="00E60FC1">
      <w:pPr>
        <w:spacing w:before="0" w:after="160" w:line="259" w:lineRule="auto"/>
        <w:jc w:val="left"/>
      </w:pPr>
      <w:r>
        <w:br w:type="page"/>
      </w:r>
    </w:p>
    <w:p w14:paraId="432EC8D3" w14:textId="223C5498" w:rsidR="006448F0" w:rsidRDefault="006448F0" w:rsidP="006448F0">
      <w:pPr>
        <w:pStyle w:val="Nadpis2"/>
      </w:pPr>
      <w:bookmarkStart w:id="535" w:name="_Toc77074616"/>
      <w:r>
        <w:t>Seznam obrázků</w:t>
      </w:r>
      <w:bookmarkEnd w:id="535"/>
    </w:p>
    <w:p w14:paraId="5D033413" w14:textId="77777777" w:rsidR="00332A29" w:rsidRDefault="008F3784">
      <w:pPr>
        <w:pStyle w:val="Seznamobrzk"/>
        <w:tabs>
          <w:tab w:val="right" w:leader="dot" w:pos="9062"/>
        </w:tabs>
        <w:rPr>
          <w:rFonts w:eastAsiaTheme="minorEastAsia"/>
          <w:noProof/>
          <w:lang w:eastAsia="cs-CZ"/>
        </w:rPr>
      </w:pPr>
      <w:r>
        <w:fldChar w:fldCharType="begin"/>
      </w:r>
      <w:r>
        <w:instrText xml:space="preserve"> TOC \h \z \c "Obrázek" </w:instrText>
      </w:r>
      <w:r>
        <w:fldChar w:fldCharType="separate"/>
      </w:r>
      <w:hyperlink w:anchor="_Toc77074819" w:history="1">
        <w:r w:rsidR="00332A29" w:rsidRPr="00427970">
          <w:rPr>
            <w:rStyle w:val="Hypertextovodkaz"/>
            <w:noProof/>
          </w:rPr>
          <w:t>Obrázek 1.1: Vymezení Zlínské aglomerace pro ITI v programovém období 2021 – 2027</w:t>
        </w:r>
        <w:r w:rsidR="00332A29">
          <w:rPr>
            <w:noProof/>
            <w:webHidden/>
          </w:rPr>
          <w:tab/>
        </w:r>
        <w:r w:rsidR="00332A29">
          <w:rPr>
            <w:noProof/>
            <w:webHidden/>
          </w:rPr>
          <w:fldChar w:fldCharType="begin"/>
        </w:r>
        <w:r w:rsidR="00332A29">
          <w:rPr>
            <w:noProof/>
            <w:webHidden/>
          </w:rPr>
          <w:instrText xml:space="preserve"> PAGEREF _Toc77074819 \h </w:instrText>
        </w:r>
        <w:r w:rsidR="00332A29">
          <w:rPr>
            <w:noProof/>
            <w:webHidden/>
          </w:rPr>
        </w:r>
        <w:r w:rsidR="00332A29">
          <w:rPr>
            <w:noProof/>
            <w:webHidden/>
          </w:rPr>
          <w:fldChar w:fldCharType="separate"/>
        </w:r>
        <w:r w:rsidR="00332A29">
          <w:rPr>
            <w:noProof/>
            <w:webHidden/>
          </w:rPr>
          <w:t>13</w:t>
        </w:r>
        <w:r w:rsidR="00332A29">
          <w:rPr>
            <w:noProof/>
            <w:webHidden/>
          </w:rPr>
          <w:fldChar w:fldCharType="end"/>
        </w:r>
      </w:hyperlink>
    </w:p>
    <w:p w14:paraId="5EF1ADF8" w14:textId="77777777" w:rsidR="00332A29" w:rsidRDefault="00183F7E">
      <w:pPr>
        <w:pStyle w:val="Seznamobrzk"/>
        <w:tabs>
          <w:tab w:val="right" w:leader="dot" w:pos="9062"/>
        </w:tabs>
        <w:rPr>
          <w:rFonts w:eastAsiaTheme="minorEastAsia"/>
          <w:noProof/>
          <w:lang w:eastAsia="cs-CZ"/>
        </w:rPr>
      </w:pPr>
      <w:hyperlink w:anchor="_Toc77074820" w:history="1">
        <w:r w:rsidR="00332A29" w:rsidRPr="00427970">
          <w:rPr>
            <w:rStyle w:val="Hypertextovodkaz"/>
            <w:noProof/>
          </w:rPr>
          <w:t>Obrázek 1.2: Městská památková zóna</w:t>
        </w:r>
        <w:r w:rsidR="00332A29">
          <w:rPr>
            <w:noProof/>
            <w:webHidden/>
          </w:rPr>
          <w:tab/>
        </w:r>
        <w:r w:rsidR="00332A29">
          <w:rPr>
            <w:noProof/>
            <w:webHidden/>
          </w:rPr>
          <w:fldChar w:fldCharType="begin"/>
        </w:r>
        <w:r w:rsidR="00332A29">
          <w:rPr>
            <w:noProof/>
            <w:webHidden/>
          </w:rPr>
          <w:instrText xml:space="preserve"> PAGEREF _Toc77074820 \h </w:instrText>
        </w:r>
        <w:r w:rsidR="00332A29">
          <w:rPr>
            <w:noProof/>
            <w:webHidden/>
          </w:rPr>
        </w:r>
        <w:r w:rsidR="00332A29">
          <w:rPr>
            <w:noProof/>
            <w:webHidden/>
          </w:rPr>
          <w:fldChar w:fldCharType="separate"/>
        </w:r>
        <w:r w:rsidR="00332A29">
          <w:rPr>
            <w:noProof/>
            <w:webHidden/>
          </w:rPr>
          <w:t>14</w:t>
        </w:r>
        <w:r w:rsidR="00332A29">
          <w:rPr>
            <w:noProof/>
            <w:webHidden/>
          </w:rPr>
          <w:fldChar w:fldCharType="end"/>
        </w:r>
      </w:hyperlink>
    </w:p>
    <w:p w14:paraId="78ABE09A" w14:textId="77777777" w:rsidR="00332A29" w:rsidRDefault="00183F7E">
      <w:pPr>
        <w:pStyle w:val="Seznamobrzk"/>
        <w:tabs>
          <w:tab w:val="right" w:leader="dot" w:pos="9062"/>
        </w:tabs>
        <w:rPr>
          <w:rFonts w:eastAsiaTheme="minorEastAsia"/>
          <w:noProof/>
          <w:lang w:eastAsia="cs-CZ"/>
        </w:rPr>
      </w:pPr>
      <w:hyperlink w:anchor="_Toc77074821" w:history="1">
        <w:r w:rsidR="00332A29" w:rsidRPr="00427970">
          <w:rPr>
            <w:rStyle w:val="Hypertextovodkaz"/>
            <w:noProof/>
          </w:rPr>
          <w:t>Obrázek 1.3: Přehled lokalit památkové ochrany v centru města</w:t>
        </w:r>
        <w:r w:rsidR="00332A29">
          <w:rPr>
            <w:noProof/>
            <w:webHidden/>
          </w:rPr>
          <w:tab/>
        </w:r>
        <w:r w:rsidR="00332A29">
          <w:rPr>
            <w:noProof/>
            <w:webHidden/>
          </w:rPr>
          <w:fldChar w:fldCharType="begin"/>
        </w:r>
        <w:r w:rsidR="00332A29">
          <w:rPr>
            <w:noProof/>
            <w:webHidden/>
          </w:rPr>
          <w:instrText xml:space="preserve"> PAGEREF _Toc77074821 \h </w:instrText>
        </w:r>
        <w:r w:rsidR="00332A29">
          <w:rPr>
            <w:noProof/>
            <w:webHidden/>
          </w:rPr>
        </w:r>
        <w:r w:rsidR="00332A29">
          <w:rPr>
            <w:noProof/>
            <w:webHidden/>
          </w:rPr>
          <w:fldChar w:fldCharType="separate"/>
        </w:r>
        <w:r w:rsidR="00332A29">
          <w:rPr>
            <w:noProof/>
            <w:webHidden/>
          </w:rPr>
          <w:t>15</w:t>
        </w:r>
        <w:r w:rsidR="00332A29">
          <w:rPr>
            <w:noProof/>
            <w:webHidden/>
          </w:rPr>
          <w:fldChar w:fldCharType="end"/>
        </w:r>
      </w:hyperlink>
    </w:p>
    <w:p w14:paraId="74D46828" w14:textId="77777777" w:rsidR="00332A29" w:rsidRDefault="00183F7E">
      <w:pPr>
        <w:pStyle w:val="Seznamobrzk"/>
        <w:tabs>
          <w:tab w:val="right" w:leader="dot" w:pos="9062"/>
        </w:tabs>
        <w:rPr>
          <w:rFonts w:eastAsiaTheme="minorEastAsia"/>
          <w:noProof/>
          <w:lang w:eastAsia="cs-CZ"/>
        </w:rPr>
      </w:pPr>
      <w:hyperlink w:anchor="_Toc77074822" w:history="1">
        <w:r w:rsidR="00332A29" w:rsidRPr="00427970">
          <w:rPr>
            <w:rStyle w:val="Hypertextovodkaz"/>
            <w:noProof/>
          </w:rPr>
          <w:t>Obrázek 1.4: Intenzita bytové výstavby ve Zlíně a okolí v letech 2009 - 2019</w:t>
        </w:r>
        <w:r w:rsidR="00332A29">
          <w:rPr>
            <w:noProof/>
            <w:webHidden/>
          </w:rPr>
          <w:tab/>
        </w:r>
        <w:r w:rsidR="00332A29">
          <w:rPr>
            <w:noProof/>
            <w:webHidden/>
          </w:rPr>
          <w:fldChar w:fldCharType="begin"/>
        </w:r>
        <w:r w:rsidR="00332A29">
          <w:rPr>
            <w:noProof/>
            <w:webHidden/>
          </w:rPr>
          <w:instrText xml:space="preserve"> PAGEREF _Toc77074822 \h </w:instrText>
        </w:r>
        <w:r w:rsidR="00332A29">
          <w:rPr>
            <w:noProof/>
            <w:webHidden/>
          </w:rPr>
        </w:r>
        <w:r w:rsidR="00332A29">
          <w:rPr>
            <w:noProof/>
            <w:webHidden/>
          </w:rPr>
          <w:fldChar w:fldCharType="separate"/>
        </w:r>
        <w:r w:rsidR="00332A29">
          <w:rPr>
            <w:noProof/>
            <w:webHidden/>
          </w:rPr>
          <w:t>16</w:t>
        </w:r>
        <w:r w:rsidR="00332A29">
          <w:rPr>
            <w:noProof/>
            <w:webHidden/>
          </w:rPr>
          <w:fldChar w:fldCharType="end"/>
        </w:r>
      </w:hyperlink>
    </w:p>
    <w:p w14:paraId="13ACBC3F" w14:textId="77777777" w:rsidR="00332A29" w:rsidRDefault="00183F7E">
      <w:pPr>
        <w:pStyle w:val="Seznamobrzk"/>
        <w:tabs>
          <w:tab w:val="right" w:leader="dot" w:pos="9062"/>
        </w:tabs>
        <w:rPr>
          <w:rFonts w:eastAsiaTheme="minorEastAsia"/>
          <w:noProof/>
          <w:lang w:eastAsia="cs-CZ"/>
        </w:rPr>
      </w:pPr>
      <w:hyperlink w:anchor="_Toc77074823" w:history="1">
        <w:r w:rsidR="00332A29" w:rsidRPr="00427970">
          <w:rPr>
            <w:rStyle w:val="Hypertextovodkaz"/>
            <w:noProof/>
          </w:rPr>
          <w:t>Obrázek 1.5: Rozvojová plocha hromadného bydlení – lokalita Boněcký rybník</w:t>
        </w:r>
        <w:r w:rsidR="00332A29">
          <w:rPr>
            <w:noProof/>
            <w:webHidden/>
          </w:rPr>
          <w:tab/>
        </w:r>
        <w:r w:rsidR="00332A29">
          <w:rPr>
            <w:noProof/>
            <w:webHidden/>
          </w:rPr>
          <w:fldChar w:fldCharType="begin"/>
        </w:r>
        <w:r w:rsidR="00332A29">
          <w:rPr>
            <w:noProof/>
            <w:webHidden/>
          </w:rPr>
          <w:instrText xml:space="preserve"> PAGEREF _Toc77074823 \h </w:instrText>
        </w:r>
        <w:r w:rsidR="00332A29">
          <w:rPr>
            <w:noProof/>
            <w:webHidden/>
          </w:rPr>
        </w:r>
        <w:r w:rsidR="00332A29">
          <w:rPr>
            <w:noProof/>
            <w:webHidden/>
          </w:rPr>
          <w:fldChar w:fldCharType="separate"/>
        </w:r>
        <w:r w:rsidR="00332A29">
          <w:rPr>
            <w:noProof/>
            <w:webHidden/>
          </w:rPr>
          <w:t>20</w:t>
        </w:r>
        <w:r w:rsidR="00332A29">
          <w:rPr>
            <w:noProof/>
            <w:webHidden/>
          </w:rPr>
          <w:fldChar w:fldCharType="end"/>
        </w:r>
      </w:hyperlink>
    </w:p>
    <w:p w14:paraId="64BE7E26" w14:textId="77777777" w:rsidR="00332A29" w:rsidRDefault="00183F7E">
      <w:pPr>
        <w:pStyle w:val="Seznamobrzk"/>
        <w:tabs>
          <w:tab w:val="right" w:leader="dot" w:pos="9062"/>
        </w:tabs>
        <w:rPr>
          <w:rFonts w:eastAsiaTheme="minorEastAsia"/>
          <w:noProof/>
          <w:lang w:eastAsia="cs-CZ"/>
        </w:rPr>
      </w:pPr>
      <w:hyperlink w:anchor="_Toc77074824" w:history="1">
        <w:r w:rsidR="00332A29" w:rsidRPr="00427970">
          <w:rPr>
            <w:rStyle w:val="Hypertextovodkaz"/>
            <w:noProof/>
          </w:rPr>
          <w:t>Obrázek 1.6: Územní rezerva rozvojové plochy hromadného bydlení – lokalita Zlín-Štípa</w:t>
        </w:r>
        <w:r w:rsidR="00332A29">
          <w:rPr>
            <w:noProof/>
            <w:webHidden/>
          </w:rPr>
          <w:tab/>
        </w:r>
        <w:r w:rsidR="00332A29">
          <w:rPr>
            <w:noProof/>
            <w:webHidden/>
          </w:rPr>
          <w:fldChar w:fldCharType="begin"/>
        </w:r>
        <w:r w:rsidR="00332A29">
          <w:rPr>
            <w:noProof/>
            <w:webHidden/>
          </w:rPr>
          <w:instrText xml:space="preserve"> PAGEREF _Toc77074824 \h </w:instrText>
        </w:r>
        <w:r w:rsidR="00332A29">
          <w:rPr>
            <w:noProof/>
            <w:webHidden/>
          </w:rPr>
        </w:r>
        <w:r w:rsidR="00332A29">
          <w:rPr>
            <w:noProof/>
            <w:webHidden/>
          </w:rPr>
          <w:fldChar w:fldCharType="separate"/>
        </w:r>
        <w:r w:rsidR="00332A29">
          <w:rPr>
            <w:noProof/>
            <w:webHidden/>
          </w:rPr>
          <w:t>21</w:t>
        </w:r>
        <w:r w:rsidR="00332A29">
          <w:rPr>
            <w:noProof/>
            <w:webHidden/>
          </w:rPr>
          <w:fldChar w:fldCharType="end"/>
        </w:r>
      </w:hyperlink>
    </w:p>
    <w:p w14:paraId="7AFA59A8" w14:textId="77777777" w:rsidR="00332A29" w:rsidRDefault="00183F7E">
      <w:pPr>
        <w:pStyle w:val="Seznamobrzk"/>
        <w:tabs>
          <w:tab w:val="right" w:leader="dot" w:pos="9062"/>
        </w:tabs>
        <w:rPr>
          <w:rFonts w:eastAsiaTheme="minorEastAsia"/>
          <w:noProof/>
          <w:lang w:eastAsia="cs-CZ"/>
        </w:rPr>
      </w:pPr>
      <w:hyperlink w:anchor="_Toc77074825" w:history="1">
        <w:r w:rsidR="00332A29" w:rsidRPr="00427970">
          <w:rPr>
            <w:rStyle w:val="Hypertextovodkaz"/>
            <w:noProof/>
          </w:rPr>
          <w:t>Obrázek 1.7: Rozvojové plochy bydlení ve Zlíně</w:t>
        </w:r>
        <w:r w:rsidR="00332A29">
          <w:rPr>
            <w:noProof/>
            <w:webHidden/>
          </w:rPr>
          <w:tab/>
        </w:r>
        <w:r w:rsidR="00332A29">
          <w:rPr>
            <w:noProof/>
            <w:webHidden/>
          </w:rPr>
          <w:fldChar w:fldCharType="begin"/>
        </w:r>
        <w:r w:rsidR="00332A29">
          <w:rPr>
            <w:noProof/>
            <w:webHidden/>
          </w:rPr>
          <w:instrText xml:space="preserve"> PAGEREF _Toc77074825 \h </w:instrText>
        </w:r>
        <w:r w:rsidR="00332A29">
          <w:rPr>
            <w:noProof/>
            <w:webHidden/>
          </w:rPr>
        </w:r>
        <w:r w:rsidR="00332A29">
          <w:rPr>
            <w:noProof/>
            <w:webHidden/>
          </w:rPr>
          <w:fldChar w:fldCharType="separate"/>
        </w:r>
        <w:r w:rsidR="00332A29">
          <w:rPr>
            <w:noProof/>
            <w:webHidden/>
          </w:rPr>
          <w:t>22</w:t>
        </w:r>
        <w:r w:rsidR="00332A29">
          <w:rPr>
            <w:noProof/>
            <w:webHidden/>
          </w:rPr>
          <w:fldChar w:fldCharType="end"/>
        </w:r>
      </w:hyperlink>
    </w:p>
    <w:p w14:paraId="714E8AC6" w14:textId="77777777" w:rsidR="00332A29" w:rsidRDefault="00183F7E">
      <w:pPr>
        <w:pStyle w:val="Seznamobrzk"/>
        <w:tabs>
          <w:tab w:val="right" w:leader="dot" w:pos="9062"/>
        </w:tabs>
        <w:rPr>
          <w:rFonts w:eastAsiaTheme="minorEastAsia"/>
          <w:noProof/>
          <w:lang w:eastAsia="cs-CZ"/>
        </w:rPr>
      </w:pPr>
      <w:hyperlink w:anchor="_Toc77074826" w:history="1">
        <w:r w:rsidR="00332A29" w:rsidRPr="00427970">
          <w:rPr>
            <w:rStyle w:val="Hypertextovodkaz"/>
            <w:noProof/>
          </w:rPr>
          <w:t>Obrázek 1.8: Rozmístění výrobních a skladových ploch ve Zlíně</w:t>
        </w:r>
        <w:r w:rsidR="00332A29">
          <w:rPr>
            <w:noProof/>
            <w:webHidden/>
          </w:rPr>
          <w:tab/>
        </w:r>
        <w:r w:rsidR="00332A29">
          <w:rPr>
            <w:noProof/>
            <w:webHidden/>
          </w:rPr>
          <w:fldChar w:fldCharType="begin"/>
        </w:r>
        <w:r w:rsidR="00332A29">
          <w:rPr>
            <w:noProof/>
            <w:webHidden/>
          </w:rPr>
          <w:instrText xml:space="preserve"> PAGEREF _Toc77074826 \h </w:instrText>
        </w:r>
        <w:r w:rsidR="00332A29">
          <w:rPr>
            <w:noProof/>
            <w:webHidden/>
          </w:rPr>
        </w:r>
        <w:r w:rsidR="00332A29">
          <w:rPr>
            <w:noProof/>
            <w:webHidden/>
          </w:rPr>
          <w:fldChar w:fldCharType="separate"/>
        </w:r>
        <w:r w:rsidR="00332A29">
          <w:rPr>
            <w:noProof/>
            <w:webHidden/>
          </w:rPr>
          <w:t>24</w:t>
        </w:r>
        <w:r w:rsidR="00332A29">
          <w:rPr>
            <w:noProof/>
            <w:webHidden/>
          </w:rPr>
          <w:fldChar w:fldCharType="end"/>
        </w:r>
      </w:hyperlink>
    </w:p>
    <w:p w14:paraId="6D2EBACC" w14:textId="77777777" w:rsidR="00332A29" w:rsidRDefault="00183F7E">
      <w:pPr>
        <w:pStyle w:val="Seznamobrzk"/>
        <w:tabs>
          <w:tab w:val="right" w:leader="dot" w:pos="9062"/>
        </w:tabs>
        <w:rPr>
          <w:rFonts w:eastAsiaTheme="minorEastAsia"/>
          <w:noProof/>
          <w:lang w:eastAsia="cs-CZ"/>
        </w:rPr>
      </w:pPr>
      <w:hyperlink w:anchor="_Toc77074827" w:history="1">
        <w:r w:rsidR="00332A29" w:rsidRPr="00427970">
          <w:rPr>
            <w:rStyle w:val="Hypertextovodkaz"/>
            <w:noProof/>
          </w:rPr>
          <w:t>Obrázek 1.9: Základní členění Baťova areálu</w:t>
        </w:r>
        <w:r w:rsidR="00332A29">
          <w:rPr>
            <w:noProof/>
            <w:webHidden/>
          </w:rPr>
          <w:tab/>
        </w:r>
        <w:r w:rsidR="00332A29">
          <w:rPr>
            <w:noProof/>
            <w:webHidden/>
          </w:rPr>
          <w:fldChar w:fldCharType="begin"/>
        </w:r>
        <w:r w:rsidR="00332A29">
          <w:rPr>
            <w:noProof/>
            <w:webHidden/>
          </w:rPr>
          <w:instrText xml:space="preserve"> PAGEREF _Toc77074827 \h </w:instrText>
        </w:r>
        <w:r w:rsidR="00332A29">
          <w:rPr>
            <w:noProof/>
            <w:webHidden/>
          </w:rPr>
        </w:r>
        <w:r w:rsidR="00332A29">
          <w:rPr>
            <w:noProof/>
            <w:webHidden/>
          </w:rPr>
          <w:fldChar w:fldCharType="separate"/>
        </w:r>
        <w:r w:rsidR="00332A29">
          <w:rPr>
            <w:noProof/>
            <w:webHidden/>
          </w:rPr>
          <w:t>26</w:t>
        </w:r>
        <w:r w:rsidR="00332A29">
          <w:rPr>
            <w:noProof/>
            <w:webHidden/>
          </w:rPr>
          <w:fldChar w:fldCharType="end"/>
        </w:r>
      </w:hyperlink>
    </w:p>
    <w:p w14:paraId="34C12177" w14:textId="77777777" w:rsidR="00332A29" w:rsidRDefault="00183F7E">
      <w:pPr>
        <w:pStyle w:val="Seznamobrzk"/>
        <w:tabs>
          <w:tab w:val="right" w:leader="dot" w:pos="9062"/>
        </w:tabs>
        <w:rPr>
          <w:rFonts w:eastAsiaTheme="minorEastAsia"/>
          <w:noProof/>
          <w:lang w:eastAsia="cs-CZ"/>
        </w:rPr>
      </w:pPr>
      <w:hyperlink w:anchor="_Toc77074828" w:history="1">
        <w:r w:rsidR="00332A29" w:rsidRPr="00427970">
          <w:rPr>
            <w:rStyle w:val="Hypertextovodkaz"/>
            <w:noProof/>
          </w:rPr>
          <w:t>Obrázek 1.10: Počet obyvatel města Zlína od r. 2001</w:t>
        </w:r>
        <w:r w:rsidR="00332A29">
          <w:rPr>
            <w:noProof/>
            <w:webHidden/>
          </w:rPr>
          <w:tab/>
        </w:r>
        <w:r w:rsidR="00332A29">
          <w:rPr>
            <w:noProof/>
            <w:webHidden/>
          </w:rPr>
          <w:fldChar w:fldCharType="begin"/>
        </w:r>
        <w:r w:rsidR="00332A29">
          <w:rPr>
            <w:noProof/>
            <w:webHidden/>
          </w:rPr>
          <w:instrText xml:space="preserve"> PAGEREF _Toc77074828 \h </w:instrText>
        </w:r>
        <w:r w:rsidR="00332A29">
          <w:rPr>
            <w:noProof/>
            <w:webHidden/>
          </w:rPr>
        </w:r>
        <w:r w:rsidR="00332A29">
          <w:rPr>
            <w:noProof/>
            <w:webHidden/>
          </w:rPr>
          <w:fldChar w:fldCharType="separate"/>
        </w:r>
        <w:r w:rsidR="00332A29">
          <w:rPr>
            <w:noProof/>
            <w:webHidden/>
          </w:rPr>
          <w:t>29</w:t>
        </w:r>
        <w:r w:rsidR="00332A29">
          <w:rPr>
            <w:noProof/>
            <w:webHidden/>
          </w:rPr>
          <w:fldChar w:fldCharType="end"/>
        </w:r>
      </w:hyperlink>
    </w:p>
    <w:p w14:paraId="702DA7B9" w14:textId="77777777" w:rsidR="00332A29" w:rsidRDefault="00183F7E">
      <w:pPr>
        <w:pStyle w:val="Seznamobrzk"/>
        <w:tabs>
          <w:tab w:val="right" w:leader="dot" w:pos="9062"/>
        </w:tabs>
        <w:rPr>
          <w:rFonts w:eastAsiaTheme="minorEastAsia"/>
          <w:noProof/>
          <w:lang w:eastAsia="cs-CZ"/>
        </w:rPr>
      </w:pPr>
      <w:hyperlink w:anchor="_Toc77074829" w:history="1">
        <w:r w:rsidR="00332A29" w:rsidRPr="00427970">
          <w:rPr>
            <w:rStyle w:val="Hypertextovodkaz"/>
            <w:noProof/>
          </w:rPr>
          <w:t>Obrázek 1.11: Index počtu obyvatel ve vybraných městech od r. 2001</w:t>
        </w:r>
        <w:r w:rsidR="00332A29">
          <w:rPr>
            <w:noProof/>
            <w:webHidden/>
          </w:rPr>
          <w:tab/>
        </w:r>
        <w:r w:rsidR="00332A29">
          <w:rPr>
            <w:noProof/>
            <w:webHidden/>
          </w:rPr>
          <w:fldChar w:fldCharType="begin"/>
        </w:r>
        <w:r w:rsidR="00332A29">
          <w:rPr>
            <w:noProof/>
            <w:webHidden/>
          </w:rPr>
          <w:instrText xml:space="preserve"> PAGEREF _Toc77074829 \h </w:instrText>
        </w:r>
        <w:r w:rsidR="00332A29">
          <w:rPr>
            <w:noProof/>
            <w:webHidden/>
          </w:rPr>
        </w:r>
        <w:r w:rsidR="00332A29">
          <w:rPr>
            <w:noProof/>
            <w:webHidden/>
          </w:rPr>
          <w:fldChar w:fldCharType="separate"/>
        </w:r>
        <w:r w:rsidR="00332A29">
          <w:rPr>
            <w:noProof/>
            <w:webHidden/>
          </w:rPr>
          <w:t>30</w:t>
        </w:r>
        <w:r w:rsidR="00332A29">
          <w:rPr>
            <w:noProof/>
            <w:webHidden/>
          </w:rPr>
          <w:fldChar w:fldCharType="end"/>
        </w:r>
      </w:hyperlink>
    </w:p>
    <w:p w14:paraId="228847B7" w14:textId="77777777" w:rsidR="00332A29" w:rsidRDefault="00183F7E">
      <w:pPr>
        <w:pStyle w:val="Seznamobrzk"/>
        <w:tabs>
          <w:tab w:val="right" w:leader="dot" w:pos="9062"/>
        </w:tabs>
        <w:rPr>
          <w:rFonts w:eastAsiaTheme="minorEastAsia"/>
          <w:noProof/>
          <w:lang w:eastAsia="cs-CZ"/>
        </w:rPr>
      </w:pPr>
      <w:hyperlink w:anchor="_Toc77074830" w:history="1">
        <w:r w:rsidR="00332A29" w:rsidRPr="00427970">
          <w:rPr>
            <w:rStyle w:val="Hypertextovodkaz"/>
            <w:noProof/>
          </w:rPr>
          <w:t>Obrázek 1.12: Změny počtu obyvatel od r. 1990</w:t>
        </w:r>
        <w:r w:rsidR="00332A29">
          <w:rPr>
            <w:noProof/>
            <w:webHidden/>
          </w:rPr>
          <w:tab/>
        </w:r>
        <w:r w:rsidR="00332A29">
          <w:rPr>
            <w:noProof/>
            <w:webHidden/>
          </w:rPr>
          <w:fldChar w:fldCharType="begin"/>
        </w:r>
        <w:r w:rsidR="00332A29">
          <w:rPr>
            <w:noProof/>
            <w:webHidden/>
          </w:rPr>
          <w:instrText xml:space="preserve"> PAGEREF _Toc77074830 \h </w:instrText>
        </w:r>
        <w:r w:rsidR="00332A29">
          <w:rPr>
            <w:noProof/>
            <w:webHidden/>
          </w:rPr>
        </w:r>
        <w:r w:rsidR="00332A29">
          <w:rPr>
            <w:noProof/>
            <w:webHidden/>
          </w:rPr>
          <w:fldChar w:fldCharType="separate"/>
        </w:r>
        <w:r w:rsidR="00332A29">
          <w:rPr>
            <w:noProof/>
            <w:webHidden/>
          </w:rPr>
          <w:t>30</w:t>
        </w:r>
        <w:r w:rsidR="00332A29">
          <w:rPr>
            <w:noProof/>
            <w:webHidden/>
          </w:rPr>
          <w:fldChar w:fldCharType="end"/>
        </w:r>
      </w:hyperlink>
    </w:p>
    <w:p w14:paraId="6133F359" w14:textId="77777777" w:rsidR="00332A29" w:rsidRDefault="00183F7E">
      <w:pPr>
        <w:pStyle w:val="Seznamobrzk"/>
        <w:tabs>
          <w:tab w:val="right" w:leader="dot" w:pos="9062"/>
        </w:tabs>
        <w:rPr>
          <w:rFonts w:eastAsiaTheme="minorEastAsia"/>
          <w:noProof/>
          <w:lang w:eastAsia="cs-CZ"/>
        </w:rPr>
      </w:pPr>
      <w:hyperlink w:anchor="_Toc77074831" w:history="1">
        <w:r w:rsidR="00332A29" w:rsidRPr="00427970">
          <w:rPr>
            <w:rStyle w:val="Hypertextovodkaz"/>
            <w:noProof/>
          </w:rPr>
          <w:t xml:space="preserve">Obrázek 1.13: Průměrná hodnota změny počtu obyvatel za 5 let (2019 </w:t>
        </w:r>
        <w:r w:rsidR="00332A29" w:rsidRPr="00427970">
          <w:rPr>
            <w:rStyle w:val="Hypertextovodkaz"/>
            <w:noProof/>
          </w:rPr>
          <w:sym w:font="Symbol" w:char="F02D"/>
        </w:r>
        <w:r w:rsidR="00332A29" w:rsidRPr="00427970">
          <w:rPr>
            <w:rStyle w:val="Hypertextovodkaz"/>
            <w:noProof/>
          </w:rPr>
          <w:t xml:space="preserve"> 2015) - srovnání vybraných měst</w:t>
        </w:r>
        <w:r w:rsidR="00332A29">
          <w:rPr>
            <w:noProof/>
            <w:webHidden/>
          </w:rPr>
          <w:tab/>
        </w:r>
        <w:r w:rsidR="00332A29">
          <w:rPr>
            <w:noProof/>
            <w:webHidden/>
          </w:rPr>
          <w:fldChar w:fldCharType="begin"/>
        </w:r>
        <w:r w:rsidR="00332A29">
          <w:rPr>
            <w:noProof/>
            <w:webHidden/>
          </w:rPr>
          <w:instrText xml:space="preserve"> PAGEREF _Toc77074831 \h </w:instrText>
        </w:r>
        <w:r w:rsidR="00332A29">
          <w:rPr>
            <w:noProof/>
            <w:webHidden/>
          </w:rPr>
        </w:r>
        <w:r w:rsidR="00332A29">
          <w:rPr>
            <w:noProof/>
            <w:webHidden/>
          </w:rPr>
          <w:fldChar w:fldCharType="separate"/>
        </w:r>
        <w:r w:rsidR="00332A29">
          <w:rPr>
            <w:noProof/>
            <w:webHidden/>
          </w:rPr>
          <w:t>31</w:t>
        </w:r>
        <w:r w:rsidR="00332A29">
          <w:rPr>
            <w:noProof/>
            <w:webHidden/>
          </w:rPr>
          <w:fldChar w:fldCharType="end"/>
        </w:r>
      </w:hyperlink>
    </w:p>
    <w:p w14:paraId="210B7C32" w14:textId="77777777" w:rsidR="00332A29" w:rsidRDefault="00183F7E">
      <w:pPr>
        <w:pStyle w:val="Seznamobrzk"/>
        <w:tabs>
          <w:tab w:val="right" w:leader="dot" w:pos="9062"/>
        </w:tabs>
        <w:rPr>
          <w:rFonts w:eastAsiaTheme="minorEastAsia"/>
          <w:noProof/>
          <w:lang w:eastAsia="cs-CZ"/>
        </w:rPr>
      </w:pPr>
      <w:hyperlink w:anchor="_Toc77074832" w:history="1">
        <w:r w:rsidR="00332A29" w:rsidRPr="00427970">
          <w:rPr>
            <w:rStyle w:val="Hypertextovodkaz"/>
            <w:noProof/>
          </w:rPr>
          <w:t xml:space="preserve">Obrázek 1.14: Suburbanizace - změna počtu obyvatel 2010 </w:t>
        </w:r>
        <w:r w:rsidR="00332A29" w:rsidRPr="00427970">
          <w:rPr>
            <w:rStyle w:val="Hypertextovodkaz"/>
            <w:noProof/>
          </w:rPr>
          <w:sym w:font="Symbol" w:char="F02D"/>
        </w:r>
        <w:r w:rsidR="00332A29" w:rsidRPr="00427970">
          <w:rPr>
            <w:rStyle w:val="Hypertextovodkaz"/>
            <w:noProof/>
          </w:rPr>
          <w:t xml:space="preserve"> 2020</w:t>
        </w:r>
        <w:r w:rsidR="00332A29">
          <w:rPr>
            <w:noProof/>
            <w:webHidden/>
          </w:rPr>
          <w:tab/>
        </w:r>
        <w:r w:rsidR="00332A29">
          <w:rPr>
            <w:noProof/>
            <w:webHidden/>
          </w:rPr>
          <w:fldChar w:fldCharType="begin"/>
        </w:r>
        <w:r w:rsidR="00332A29">
          <w:rPr>
            <w:noProof/>
            <w:webHidden/>
          </w:rPr>
          <w:instrText xml:space="preserve"> PAGEREF _Toc77074832 \h </w:instrText>
        </w:r>
        <w:r w:rsidR="00332A29">
          <w:rPr>
            <w:noProof/>
            <w:webHidden/>
          </w:rPr>
        </w:r>
        <w:r w:rsidR="00332A29">
          <w:rPr>
            <w:noProof/>
            <w:webHidden/>
          </w:rPr>
          <w:fldChar w:fldCharType="separate"/>
        </w:r>
        <w:r w:rsidR="00332A29">
          <w:rPr>
            <w:noProof/>
            <w:webHidden/>
          </w:rPr>
          <w:t>32</w:t>
        </w:r>
        <w:r w:rsidR="00332A29">
          <w:rPr>
            <w:noProof/>
            <w:webHidden/>
          </w:rPr>
          <w:fldChar w:fldCharType="end"/>
        </w:r>
      </w:hyperlink>
    </w:p>
    <w:p w14:paraId="50A83BFE" w14:textId="77777777" w:rsidR="00332A29" w:rsidRDefault="00183F7E">
      <w:pPr>
        <w:pStyle w:val="Seznamobrzk"/>
        <w:tabs>
          <w:tab w:val="right" w:leader="dot" w:pos="9062"/>
        </w:tabs>
        <w:rPr>
          <w:rFonts w:eastAsiaTheme="minorEastAsia"/>
          <w:noProof/>
          <w:lang w:eastAsia="cs-CZ"/>
        </w:rPr>
      </w:pPr>
      <w:hyperlink w:anchor="_Toc77074833" w:history="1">
        <w:r w:rsidR="00332A29" w:rsidRPr="00427970">
          <w:rPr>
            <w:rStyle w:val="Hypertextovodkaz"/>
            <w:noProof/>
          </w:rPr>
          <w:t xml:space="preserve">Obrázek 1.15: Naděje dožití ve SO ORP Zlín ve srovnání s vybranými SO ORP (2015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_Toc77074833 \h </w:instrText>
        </w:r>
        <w:r w:rsidR="00332A29">
          <w:rPr>
            <w:noProof/>
            <w:webHidden/>
          </w:rPr>
        </w:r>
        <w:r w:rsidR="00332A29">
          <w:rPr>
            <w:noProof/>
            <w:webHidden/>
          </w:rPr>
          <w:fldChar w:fldCharType="separate"/>
        </w:r>
        <w:r w:rsidR="00332A29">
          <w:rPr>
            <w:noProof/>
            <w:webHidden/>
          </w:rPr>
          <w:t>32</w:t>
        </w:r>
        <w:r w:rsidR="00332A29">
          <w:rPr>
            <w:noProof/>
            <w:webHidden/>
          </w:rPr>
          <w:fldChar w:fldCharType="end"/>
        </w:r>
      </w:hyperlink>
    </w:p>
    <w:p w14:paraId="61125118" w14:textId="77777777" w:rsidR="00332A29" w:rsidRDefault="00183F7E">
      <w:pPr>
        <w:pStyle w:val="Seznamobrzk"/>
        <w:tabs>
          <w:tab w:val="right" w:leader="dot" w:pos="9062"/>
        </w:tabs>
        <w:rPr>
          <w:rFonts w:eastAsiaTheme="minorEastAsia"/>
          <w:noProof/>
          <w:lang w:eastAsia="cs-CZ"/>
        </w:rPr>
      </w:pPr>
      <w:hyperlink w:anchor="_Toc77074834" w:history="1">
        <w:r w:rsidR="00332A29" w:rsidRPr="00427970">
          <w:rPr>
            <w:rStyle w:val="Hypertextovodkaz"/>
            <w:noProof/>
          </w:rPr>
          <w:t>Obrázek 1.16: Průměrný věk obyvatel vybraných měst (k 31. 12. 2019)</w:t>
        </w:r>
        <w:r w:rsidR="00332A29">
          <w:rPr>
            <w:noProof/>
            <w:webHidden/>
          </w:rPr>
          <w:tab/>
        </w:r>
        <w:r w:rsidR="00332A29">
          <w:rPr>
            <w:noProof/>
            <w:webHidden/>
          </w:rPr>
          <w:fldChar w:fldCharType="begin"/>
        </w:r>
        <w:r w:rsidR="00332A29">
          <w:rPr>
            <w:noProof/>
            <w:webHidden/>
          </w:rPr>
          <w:instrText xml:space="preserve"> PAGEREF _Toc77074834 \h </w:instrText>
        </w:r>
        <w:r w:rsidR="00332A29">
          <w:rPr>
            <w:noProof/>
            <w:webHidden/>
          </w:rPr>
        </w:r>
        <w:r w:rsidR="00332A29">
          <w:rPr>
            <w:noProof/>
            <w:webHidden/>
          </w:rPr>
          <w:fldChar w:fldCharType="separate"/>
        </w:r>
        <w:r w:rsidR="00332A29">
          <w:rPr>
            <w:noProof/>
            <w:webHidden/>
          </w:rPr>
          <w:t>33</w:t>
        </w:r>
        <w:r w:rsidR="00332A29">
          <w:rPr>
            <w:noProof/>
            <w:webHidden/>
          </w:rPr>
          <w:fldChar w:fldCharType="end"/>
        </w:r>
      </w:hyperlink>
    </w:p>
    <w:p w14:paraId="16BDED0C" w14:textId="77777777" w:rsidR="00332A29" w:rsidRDefault="00183F7E">
      <w:pPr>
        <w:pStyle w:val="Seznamobrzk"/>
        <w:tabs>
          <w:tab w:val="right" w:leader="dot" w:pos="9062"/>
        </w:tabs>
        <w:rPr>
          <w:rFonts w:eastAsiaTheme="minorEastAsia"/>
          <w:noProof/>
          <w:lang w:eastAsia="cs-CZ"/>
        </w:rPr>
      </w:pPr>
      <w:hyperlink w:anchor="_Toc77074835" w:history="1">
        <w:r w:rsidR="00332A29" w:rsidRPr="00427970">
          <w:rPr>
            <w:rStyle w:val="Hypertextovodkaz"/>
            <w:noProof/>
          </w:rPr>
          <w:t>Obrázek 1.17: Vzdělanostní struktura obyvatel Zlína (k 26. 3. 2011)</w:t>
        </w:r>
        <w:r w:rsidR="00332A29">
          <w:rPr>
            <w:noProof/>
            <w:webHidden/>
          </w:rPr>
          <w:tab/>
        </w:r>
        <w:r w:rsidR="00332A29">
          <w:rPr>
            <w:noProof/>
            <w:webHidden/>
          </w:rPr>
          <w:fldChar w:fldCharType="begin"/>
        </w:r>
        <w:r w:rsidR="00332A29">
          <w:rPr>
            <w:noProof/>
            <w:webHidden/>
          </w:rPr>
          <w:instrText xml:space="preserve"> PAGEREF _Toc77074835 \h </w:instrText>
        </w:r>
        <w:r w:rsidR="00332A29">
          <w:rPr>
            <w:noProof/>
            <w:webHidden/>
          </w:rPr>
        </w:r>
        <w:r w:rsidR="00332A29">
          <w:rPr>
            <w:noProof/>
            <w:webHidden/>
          </w:rPr>
          <w:fldChar w:fldCharType="separate"/>
        </w:r>
        <w:r w:rsidR="00332A29">
          <w:rPr>
            <w:noProof/>
            <w:webHidden/>
          </w:rPr>
          <w:t>33</w:t>
        </w:r>
        <w:r w:rsidR="00332A29">
          <w:rPr>
            <w:noProof/>
            <w:webHidden/>
          </w:rPr>
          <w:fldChar w:fldCharType="end"/>
        </w:r>
      </w:hyperlink>
    </w:p>
    <w:p w14:paraId="0F3BAB59" w14:textId="77777777" w:rsidR="00332A29" w:rsidRDefault="00183F7E">
      <w:pPr>
        <w:pStyle w:val="Seznamobrzk"/>
        <w:tabs>
          <w:tab w:val="right" w:leader="dot" w:pos="9062"/>
        </w:tabs>
        <w:rPr>
          <w:rFonts w:eastAsiaTheme="minorEastAsia"/>
          <w:noProof/>
          <w:lang w:eastAsia="cs-CZ"/>
        </w:rPr>
      </w:pPr>
      <w:hyperlink w:anchor="_Toc77074836" w:history="1">
        <w:r w:rsidR="00332A29" w:rsidRPr="00427970">
          <w:rPr>
            <w:rStyle w:val="Hypertextovodkaz"/>
            <w:noProof/>
          </w:rPr>
          <w:t>Obrázek 1.18: Hustota zalidnění obcí SO ORP Zlín</w:t>
        </w:r>
        <w:r w:rsidR="00332A29">
          <w:rPr>
            <w:noProof/>
            <w:webHidden/>
          </w:rPr>
          <w:tab/>
        </w:r>
        <w:r w:rsidR="00332A29">
          <w:rPr>
            <w:noProof/>
            <w:webHidden/>
          </w:rPr>
          <w:fldChar w:fldCharType="begin"/>
        </w:r>
        <w:r w:rsidR="00332A29">
          <w:rPr>
            <w:noProof/>
            <w:webHidden/>
          </w:rPr>
          <w:instrText xml:space="preserve"> PAGEREF _Toc77074836 \h </w:instrText>
        </w:r>
        <w:r w:rsidR="00332A29">
          <w:rPr>
            <w:noProof/>
            <w:webHidden/>
          </w:rPr>
        </w:r>
        <w:r w:rsidR="00332A29">
          <w:rPr>
            <w:noProof/>
            <w:webHidden/>
          </w:rPr>
          <w:fldChar w:fldCharType="separate"/>
        </w:r>
        <w:r w:rsidR="00332A29">
          <w:rPr>
            <w:noProof/>
            <w:webHidden/>
          </w:rPr>
          <w:t>35</w:t>
        </w:r>
        <w:r w:rsidR="00332A29">
          <w:rPr>
            <w:noProof/>
            <w:webHidden/>
          </w:rPr>
          <w:fldChar w:fldCharType="end"/>
        </w:r>
      </w:hyperlink>
    </w:p>
    <w:p w14:paraId="7F291B78" w14:textId="77777777" w:rsidR="00332A29" w:rsidRDefault="00183F7E">
      <w:pPr>
        <w:pStyle w:val="Seznamobrzk"/>
        <w:tabs>
          <w:tab w:val="right" w:leader="dot" w:pos="9062"/>
        </w:tabs>
        <w:rPr>
          <w:rFonts w:eastAsiaTheme="minorEastAsia"/>
          <w:noProof/>
          <w:lang w:eastAsia="cs-CZ"/>
        </w:rPr>
      </w:pPr>
      <w:hyperlink w:anchor="_Toc77074837" w:history="1">
        <w:r w:rsidR="00332A29" w:rsidRPr="00427970">
          <w:rPr>
            <w:rStyle w:val="Hypertextovodkaz"/>
            <w:noProof/>
          </w:rPr>
          <w:t>Obrázek 1.19: Stáří bytů v rámci bytového fondu v majetku města Zlína</w:t>
        </w:r>
        <w:r w:rsidR="00332A29">
          <w:rPr>
            <w:noProof/>
            <w:webHidden/>
          </w:rPr>
          <w:tab/>
        </w:r>
        <w:r w:rsidR="00332A29">
          <w:rPr>
            <w:noProof/>
            <w:webHidden/>
          </w:rPr>
          <w:fldChar w:fldCharType="begin"/>
        </w:r>
        <w:r w:rsidR="00332A29">
          <w:rPr>
            <w:noProof/>
            <w:webHidden/>
          </w:rPr>
          <w:instrText xml:space="preserve"> PAGEREF _Toc77074837 \h </w:instrText>
        </w:r>
        <w:r w:rsidR="00332A29">
          <w:rPr>
            <w:noProof/>
            <w:webHidden/>
          </w:rPr>
        </w:r>
        <w:r w:rsidR="00332A29">
          <w:rPr>
            <w:noProof/>
            <w:webHidden/>
          </w:rPr>
          <w:fldChar w:fldCharType="separate"/>
        </w:r>
        <w:r w:rsidR="00332A29">
          <w:rPr>
            <w:noProof/>
            <w:webHidden/>
          </w:rPr>
          <w:t>41</w:t>
        </w:r>
        <w:r w:rsidR="00332A29">
          <w:rPr>
            <w:noProof/>
            <w:webHidden/>
          </w:rPr>
          <w:fldChar w:fldCharType="end"/>
        </w:r>
      </w:hyperlink>
    </w:p>
    <w:p w14:paraId="670FB5E4" w14:textId="77777777" w:rsidR="00332A29" w:rsidRDefault="00183F7E">
      <w:pPr>
        <w:pStyle w:val="Seznamobrzk"/>
        <w:tabs>
          <w:tab w:val="right" w:leader="dot" w:pos="9062"/>
        </w:tabs>
        <w:rPr>
          <w:rFonts w:eastAsiaTheme="minorEastAsia"/>
          <w:noProof/>
          <w:lang w:eastAsia="cs-CZ"/>
        </w:rPr>
      </w:pPr>
      <w:hyperlink w:anchor="_Toc77074838" w:history="1">
        <w:r w:rsidR="00332A29" w:rsidRPr="00427970">
          <w:rPr>
            <w:rStyle w:val="Hypertextovodkaz"/>
            <w:noProof/>
          </w:rPr>
          <w:t>Obrázek 1.20: Náklady na provoz a investiční výdaje v rámci bytového fondu města od r. 2011</w:t>
        </w:r>
        <w:r w:rsidR="00332A29">
          <w:rPr>
            <w:noProof/>
            <w:webHidden/>
          </w:rPr>
          <w:tab/>
        </w:r>
        <w:r w:rsidR="00332A29">
          <w:rPr>
            <w:noProof/>
            <w:webHidden/>
          </w:rPr>
          <w:fldChar w:fldCharType="begin"/>
        </w:r>
        <w:r w:rsidR="00332A29">
          <w:rPr>
            <w:noProof/>
            <w:webHidden/>
          </w:rPr>
          <w:instrText xml:space="preserve"> PAGEREF _Toc77074838 \h </w:instrText>
        </w:r>
        <w:r w:rsidR="00332A29">
          <w:rPr>
            <w:noProof/>
            <w:webHidden/>
          </w:rPr>
        </w:r>
        <w:r w:rsidR="00332A29">
          <w:rPr>
            <w:noProof/>
            <w:webHidden/>
          </w:rPr>
          <w:fldChar w:fldCharType="separate"/>
        </w:r>
        <w:r w:rsidR="00332A29">
          <w:rPr>
            <w:noProof/>
            <w:webHidden/>
          </w:rPr>
          <w:t>42</w:t>
        </w:r>
        <w:r w:rsidR="00332A29">
          <w:rPr>
            <w:noProof/>
            <w:webHidden/>
          </w:rPr>
          <w:fldChar w:fldCharType="end"/>
        </w:r>
      </w:hyperlink>
    </w:p>
    <w:p w14:paraId="60C1C9DD" w14:textId="77777777" w:rsidR="00332A29" w:rsidRDefault="00183F7E">
      <w:pPr>
        <w:pStyle w:val="Seznamobrzk"/>
        <w:tabs>
          <w:tab w:val="right" w:leader="dot" w:pos="9062"/>
        </w:tabs>
        <w:rPr>
          <w:rFonts w:eastAsiaTheme="minorEastAsia"/>
          <w:noProof/>
          <w:lang w:eastAsia="cs-CZ"/>
        </w:rPr>
      </w:pPr>
      <w:hyperlink w:anchor="_Toc77074839" w:history="1">
        <w:r w:rsidR="00332A29" w:rsidRPr="00427970">
          <w:rPr>
            <w:rStyle w:val="Hypertextovodkaz"/>
            <w:noProof/>
          </w:rPr>
          <w:t>Obrázek 1.21: Příjmy (nájemné) a výdaje (náklady na provoz a investiční výdaje) v rámci bytového fondu města od r. 2011</w:t>
        </w:r>
        <w:r w:rsidR="00332A29">
          <w:rPr>
            <w:noProof/>
            <w:webHidden/>
          </w:rPr>
          <w:tab/>
        </w:r>
        <w:r w:rsidR="00332A29">
          <w:rPr>
            <w:noProof/>
            <w:webHidden/>
          </w:rPr>
          <w:fldChar w:fldCharType="begin"/>
        </w:r>
        <w:r w:rsidR="00332A29">
          <w:rPr>
            <w:noProof/>
            <w:webHidden/>
          </w:rPr>
          <w:instrText xml:space="preserve"> PAGEREF _Toc77074839 \h </w:instrText>
        </w:r>
        <w:r w:rsidR="00332A29">
          <w:rPr>
            <w:noProof/>
            <w:webHidden/>
          </w:rPr>
        </w:r>
        <w:r w:rsidR="00332A29">
          <w:rPr>
            <w:noProof/>
            <w:webHidden/>
          </w:rPr>
          <w:fldChar w:fldCharType="separate"/>
        </w:r>
        <w:r w:rsidR="00332A29">
          <w:rPr>
            <w:noProof/>
            <w:webHidden/>
          </w:rPr>
          <w:t>42</w:t>
        </w:r>
        <w:r w:rsidR="00332A29">
          <w:rPr>
            <w:noProof/>
            <w:webHidden/>
          </w:rPr>
          <w:fldChar w:fldCharType="end"/>
        </w:r>
      </w:hyperlink>
    </w:p>
    <w:p w14:paraId="0569FB8E" w14:textId="77777777" w:rsidR="00332A29" w:rsidRDefault="00183F7E">
      <w:pPr>
        <w:pStyle w:val="Seznamobrzk"/>
        <w:tabs>
          <w:tab w:val="right" w:leader="dot" w:pos="9062"/>
        </w:tabs>
        <w:rPr>
          <w:rFonts w:eastAsiaTheme="minorEastAsia"/>
          <w:noProof/>
          <w:lang w:eastAsia="cs-CZ"/>
        </w:rPr>
      </w:pPr>
      <w:hyperlink w:anchor="_Toc77074840" w:history="1">
        <w:r w:rsidR="00332A29" w:rsidRPr="00427970">
          <w:rPr>
            <w:rStyle w:val="Hypertextovodkaz"/>
            <w:noProof/>
          </w:rPr>
          <w:t>Obrázek 1.22: Exekuce ve městě Zlíně v roce 2019</w:t>
        </w:r>
        <w:r w:rsidR="00332A29">
          <w:rPr>
            <w:noProof/>
            <w:webHidden/>
          </w:rPr>
          <w:tab/>
        </w:r>
        <w:r w:rsidR="00332A29">
          <w:rPr>
            <w:noProof/>
            <w:webHidden/>
          </w:rPr>
          <w:fldChar w:fldCharType="begin"/>
        </w:r>
        <w:r w:rsidR="00332A29">
          <w:rPr>
            <w:noProof/>
            <w:webHidden/>
          </w:rPr>
          <w:instrText xml:space="preserve"> PAGEREF _Toc77074840 \h </w:instrText>
        </w:r>
        <w:r w:rsidR="00332A29">
          <w:rPr>
            <w:noProof/>
            <w:webHidden/>
          </w:rPr>
        </w:r>
        <w:r w:rsidR="00332A29">
          <w:rPr>
            <w:noProof/>
            <w:webHidden/>
          </w:rPr>
          <w:fldChar w:fldCharType="separate"/>
        </w:r>
        <w:r w:rsidR="00332A29">
          <w:rPr>
            <w:noProof/>
            <w:webHidden/>
          </w:rPr>
          <w:t>47</w:t>
        </w:r>
        <w:r w:rsidR="00332A29">
          <w:rPr>
            <w:noProof/>
            <w:webHidden/>
          </w:rPr>
          <w:fldChar w:fldCharType="end"/>
        </w:r>
      </w:hyperlink>
    </w:p>
    <w:p w14:paraId="4DE42903" w14:textId="77777777" w:rsidR="00332A29" w:rsidRDefault="00183F7E">
      <w:pPr>
        <w:pStyle w:val="Seznamobrzk"/>
        <w:tabs>
          <w:tab w:val="right" w:leader="dot" w:pos="9062"/>
        </w:tabs>
        <w:rPr>
          <w:rFonts w:eastAsiaTheme="minorEastAsia"/>
          <w:noProof/>
          <w:lang w:eastAsia="cs-CZ"/>
        </w:rPr>
      </w:pPr>
      <w:hyperlink w:anchor="_Toc77074841" w:history="1">
        <w:r w:rsidR="00332A29" w:rsidRPr="00427970">
          <w:rPr>
            <w:rStyle w:val="Hypertextovodkaz"/>
            <w:noProof/>
          </w:rPr>
          <w:t>Obrázek 1.23: Vývoj počtu dávek a průměrné výše dávek – Příspěvek na živobytí (PnŽ)</w:t>
        </w:r>
        <w:r w:rsidR="00332A29">
          <w:rPr>
            <w:noProof/>
            <w:webHidden/>
          </w:rPr>
          <w:tab/>
        </w:r>
        <w:r w:rsidR="00332A29">
          <w:rPr>
            <w:noProof/>
            <w:webHidden/>
          </w:rPr>
          <w:fldChar w:fldCharType="begin"/>
        </w:r>
        <w:r w:rsidR="00332A29">
          <w:rPr>
            <w:noProof/>
            <w:webHidden/>
          </w:rPr>
          <w:instrText xml:space="preserve"> PAGEREF _Toc77074841 \h </w:instrText>
        </w:r>
        <w:r w:rsidR="00332A29">
          <w:rPr>
            <w:noProof/>
            <w:webHidden/>
          </w:rPr>
        </w:r>
        <w:r w:rsidR="00332A29">
          <w:rPr>
            <w:noProof/>
            <w:webHidden/>
          </w:rPr>
          <w:fldChar w:fldCharType="separate"/>
        </w:r>
        <w:r w:rsidR="00332A29">
          <w:rPr>
            <w:noProof/>
            <w:webHidden/>
          </w:rPr>
          <w:t>48</w:t>
        </w:r>
        <w:r w:rsidR="00332A29">
          <w:rPr>
            <w:noProof/>
            <w:webHidden/>
          </w:rPr>
          <w:fldChar w:fldCharType="end"/>
        </w:r>
      </w:hyperlink>
    </w:p>
    <w:p w14:paraId="45063B4B" w14:textId="77777777" w:rsidR="00332A29" w:rsidRDefault="00183F7E">
      <w:pPr>
        <w:pStyle w:val="Seznamobrzk"/>
        <w:tabs>
          <w:tab w:val="right" w:leader="dot" w:pos="9062"/>
        </w:tabs>
        <w:rPr>
          <w:rFonts w:eastAsiaTheme="minorEastAsia"/>
          <w:noProof/>
          <w:lang w:eastAsia="cs-CZ"/>
        </w:rPr>
      </w:pPr>
      <w:hyperlink w:anchor="_Toc77074842" w:history="1">
        <w:r w:rsidR="00332A29" w:rsidRPr="00427970">
          <w:rPr>
            <w:rStyle w:val="Hypertextovodkaz"/>
            <w:noProof/>
          </w:rPr>
          <w:t>Obrázek 1.24: Celková výše a průměrná výše dávky u Příspěvku na bydlení (PnB) a Doplatku na bydlení (DnB) v letech 2014 </w:t>
        </w:r>
        <w:r w:rsidR="00332A29" w:rsidRPr="00427970">
          <w:rPr>
            <w:rStyle w:val="Hypertextovodkaz"/>
            <w:noProof/>
          </w:rPr>
          <w:sym w:font="Symbol" w:char="F02D"/>
        </w:r>
        <w:r w:rsidR="00332A29" w:rsidRPr="00427970">
          <w:rPr>
            <w:rStyle w:val="Hypertextovodkaz"/>
            <w:noProof/>
          </w:rPr>
          <w:t> 2019</w:t>
        </w:r>
        <w:r w:rsidR="00332A29">
          <w:rPr>
            <w:noProof/>
            <w:webHidden/>
          </w:rPr>
          <w:tab/>
        </w:r>
        <w:r w:rsidR="00332A29">
          <w:rPr>
            <w:noProof/>
            <w:webHidden/>
          </w:rPr>
          <w:fldChar w:fldCharType="begin"/>
        </w:r>
        <w:r w:rsidR="00332A29">
          <w:rPr>
            <w:noProof/>
            <w:webHidden/>
          </w:rPr>
          <w:instrText xml:space="preserve"> PAGEREF _Toc77074842 \h </w:instrText>
        </w:r>
        <w:r w:rsidR="00332A29">
          <w:rPr>
            <w:noProof/>
            <w:webHidden/>
          </w:rPr>
        </w:r>
        <w:r w:rsidR="00332A29">
          <w:rPr>
            <w:noProof/>
            <w:webHidden/>
          </w:rPr>
          <w:fldChar w:fldCharType="separate"/>
        </w:r>
        <w:r w:rsidR="00332A29">
          <w:rPr>
            <w:noProof/>
            <w:webHidden/>
          </w:rPr>
          <w:t>48</w:t>
        </w:r>
        <w:r w:rsidR="00332A29">
          <w:rPr>
            <w:noProof/>
            <w:webHidden/>
          </w:rPr>
          <w:fldChar w:fldCharType="end"/>
        </w:r>
      </w:hyperlink>
    </w:p>
    <w:p w14:paraId="1B1D98F8" w14:textId="77777777" w:rsidR="00332A29" w:rsidRDefault="00183F7E">
      <w:pPr>
        <w:pStyle w:val="Seznamobrzk"/>
        <w:tabs>
          <w:tab w:val="right" w:leader="dot" w:pos="9062"/>
        </w:tabs>
        <w:rPr>
          <w:rFonts w:eastAsiaTheme="minorEastAsia"/>
          <w:noProof/>
          <w:lang w:eastAsia="cs-CZ"/>
        </w:rPr>
      </w:pPr>
      <w:hyperlink w:anchor="_Toc77074843" w:history="1">
        <w:r w:rsidR="00332A29" w:rsidRPr="00427970">
          <w:rPr>
            <w:rStyle w:val="Hypertextovodkaz"/>
            <w:noProof/>
          </w:rPr>
          <w:t>Obrázek 1.25: Celkový počet osob bez domova na 1 000 obyvatel (včetně dětí)</w:t>
        </w:r>
        <w:r w:rsidR="00332A29">
          <w:rPr>
            <w:noProof/>
            <w:webHidden/>
          </w:rPr>
          <w:tab/>
        </w:r>
        <w:r w:rsidR="00332A29">
          <w:rPr>
            <w:noProof/>
            <w:webHidden/>
          </w:rPr>
          <w:fldChar w:fldCharType="begin"/>
        </w:r>
        <w:r w:rsidR="00332A29">
          <w:rPr>
            <w:noProof/>
            <w:webHidden/>
          </w:rPr>
          <w:instrText xml:space="preserve"> PAGEREF _Toc77074843 \h </w:instrText>
        </w:r>
        <w:r w:rsidR="00332A29">
          <w:rPr>
            <w:noProof/>
            <w:webHidden/>
          </w:rPr>
        </w:r>
        <w:r w:rsidR="00332A29">
          <w:rPr>
            <w:noProof/>
            <w:webHidden/>
          </w:rPr>
          <w:fldChar w:fldCharType="separate"/>
        </w:r>
        <w:r w:rsidR="00332A29">
          <w:rPr>
            <w:noProof/>
            <w:webHidden/>
          </w:rPr>
          <w:t>49</w:t>
        </w:r>
        <w:r w:rsidR="00332A29">
          <w:rPr>
            <w:noProof/>
            <w:webHidden/>
          </w:rPr>
          <w:fldChar w:fldCharType="end"/>
        </w:r>
      </w:hyperlink>
    </w:p>
    <w:p w14:paraId="59822B13" w14:textId="77777777" w:rsidR="00332A29" w:rsidRDefault="00183F7E">
      <w:pPr>
        <w:pStyle w:val="Seznamobrzk"/>
        <w:tabs>
          <w:tab w:val="right" w:leader="dot" w:pos="9062"/>
        </w:tabs>
        <w:rPr>
          <w:rFonts w:eastAsiaTheme="minorEastAsia"/>
          <w:noProof/>
          <w:lang w:eastAsia="cs-CZ"/>
        </w:rPr>
      </w:pPr>
      <w:hyperlink w:anchor="_Toc77074844" w:history="1">
        <w:r w:rsidR="00332A29" w:rsidRPr="00427970">
          <w:rPr>
            <w:rStyle w:val="Hypertextovodkaz"/>
            <w:noProof/>
          </w:rPr>
          <w:t>Obrázek 1.26: Srovnání dostupnosti vybraných druhů zdravotní péče v roce 2020</w:t>
        </w:r>
        <w:r w:rsidR="00332A29">
          <w:rPr>
            <w:noProof/>
            <w:webHidden/>
          </w:rPr>
          <w:tab/>
        </w:r>
        <w:r w:rsidR="00332A29">
          <w:rPr>
            <w:noProof/>
            <w:webHidden/>
          </w:rPr>
          <w:fldChar w:fldCharType="begin"/>
        </w:r>
        <w:r w:rsidR="00332A29">
          <w:rPr>
            <w:noProof/>
            <w:webHidden/>
          </w:rPr>
          <w:instrText xml:space="preserve"> PAGEREF _Toc77074844 \h </w:instrText>
        </w:r>
        <w:r w:rsidR="00332A29">
          <w:rPr>
            <w:noProof/>
            <w:webHidden/>
          </w:rPr>
        </w:r>
        <w:r w:rsidR="00332A29">
          <w:rPr>
            <w:noProof/>
            <w:webHidden/>
          </w:rPr>
          <w:fldChar w:fldCharType="separate"/>
        </w:r>
        <w:r w:rsidR="00332A29">
          <w:rPr>
            <w:noProof/>
            <w:webHidden/>
          </w:rPr>
          <w:t>50</w:t>
        </w:r>
        <w:r w:rsidR="00332A29">
          <w:rPr>
            <w:noProof/>
            <w:webHidden/>
          </w:rPr>
          <w:fldChar w:fldCharType="end"/>
        </w:r>
      </w:hyperlink>
    </w:p>
    <w:p w14:paraId="71BB4E97" w14:textId="77777777" w:rsidR="00332A29" w:rsidRDefault="00183F7E">
      <w:pPr>
        <w:pStyle w:val="Seznamobrzk"/>
        <w:tabs>
          <w:tab w:val="right" w:leader="dot" w:pos="9062"/>
        </w:tabs>
        <w:rPr>
          <w:rFonts w:eastAsiaTheme="minorEastAsia"/>
          <w:noProof/>
          <w:lang w:eastAsia="cs-CZ"/>
        </w:rPr>
      </w:pPr>
      <w:hyperlink w:anchor="_Toc77074845" w:history="1">
        <w:r w:rsidR="00332A29" w:rsidRPr="00427970">
          <w:rPr>
            <w:rStyle w:val="Hypertextovodkaz"/>
            <w:noProof/>
          </w:rPr>
          <w:t>Obrázek 1.27: Srovnání počtu lůžek na vybraných interních odděleních KNTB v letech 2015 a 2019</w:t>
        </w:r>
        <w:r w:rsidR="00332A29">
          <w:rPr>
            <w:noProof/>
            <w:webHidden/>
          </w:rPr>
          <w:tab/>
        </w:r>
        <w:r w:rsidR="00332A29">
          <w:rPr>
            <w:noProof/>
            <w:webHidden/>
          </w:rPr>
          <w:fldChar w:fldCharType="begin"/>
        </w:r>
        <w:r w:rsidR="00332A29">
          <w:rPr>
            <w:noProof/>
            <w:webHidden/>
          </w:rPr>
          <w:instrText xml:space="preserve"> PAGEREF _Toc77074845 \h </w:instrText>
        </w:r>
        <w:r w:rsidR="00332A29">
          <w:rPr>
            <w:noProof/>
            <w:webHidden/>
          </w:rPr>
        </w:r>
        <w:r w:rsidR="00332A29">
          <w:rPr>
            <w:noProof/>
            <w:webHidden/>
          </w:rPr>
          <w:fldChar w:fldCharType="separate"/>
        </w:r>
        <w:r w:rsidR="00332A29">
          <w:rPr>
            <w:noProof/>
            <w:webHidden/>
          </w:rPr>
          <w:t>53</w:t>
        </w:r>
        <w:r w:rsidR="00332A29">
          <w:rPr>
            <w:noProof/>
            <w:webHidden/>
          </w:rPr>
          <w:fldChar w:fldCharType="end"/>
        </w:r>
      </w:hyperlink>
    </w:p>
    <w:p w14:paraId="39C2FD21" w14:textId="77777777" w:rsidR="00332A29" w:rsidRDefault="00183F7E">
      <w:pPr>
        <w:pStyle w:val="Seznamobrzk"/>
        <w:tabs>
          <w:tab w:val="right" w:leader="dot" w:pos="9062"/>
        </w:tabs>
        <w:rPr>
          <w:rFonts w:eastAsiaTheme="minorEastAsia"/>
          <w:noProof/>
          <w:lang w:eastAsia="cs-CZ"/>
        </w:rPr>
      </w:pPr>
      <w:hyperlink w:anchor="_Toc77074846" w:history="1">
        <w:r w:rsidR="00332A29" w:rsidRPr="00427970">
          <w:rPr>
            <w:rStyle w:val="Hypertextovodkaz"/>
            <w:noProof/>
          </w:rPr>
          <w:t xml:space="preserve">Obrázek 1.28: Hospodaření Kulturního fondu v letech 2014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_Toc77074846 \h </w:instrText>
        </w:r>
        <w:r w:rsidR="00332A29">
          <w:rPr>
            <w:noProof/>
            <w:webHidden/>
          </w:rPr>
        </w:r>
        <w:r w:rsidR="00332A29">
          <w:rPr>
            <w:noProof/>
            <w:webHidden/>
          </w:rPr>
          <w:fldChar w:fldCharType="separate"/>
        </w:r>
        <w:r w:rsidR="00332A29">
          <w:rPr>
            <w:noProof/>
            <w:webHidden/>
          </w:rPr>
          <w:t>62</w:t>
        </w:r>
        <w:r w:rsidR="00332A29">
          <w:rPr>
            <w:noProof/>
            <w:webHidden/>
          </w:rPr>
          <w:fldChar w:fldCharType="end"/>
        </w:r>
      </w:hyperlink>
    </w:p>
    <w:p w14:paraId="0875A1A6" w14:textId="77777777" w:rsidR="00332A29" w:rsidRDefault="00183F7E">
      <w:pPr>
        <w:pStyle w:val="Seznamobrzk"/>
        <w:tabs>
          <w:tab w:val="right" w:leader="dot" w:pos="9062"/>
        </w:tabs>
        <w:rPr>
          <w:rFonts w:eastAsiaTheme="minorEastAsia"/>
          <w:noProof/>
          <w:lang w:eastAsia="cs-CZ"/>
        </w:rPr>
      </w:pPr>
      <w:hyperlink w:anchor="_Toc77074847" w:history="1">
        <w:r w:rsidR="00332A29" w:rsidRPr="00427970">
          <w:rPr>
            <w:rStyle w:val="Hypertextovodkaz"/>
            <w:noProof/>
          </w:rPr>
          <w:t xml:space="preserve">Obrázek 1.29: Hospodaření Fondu mládeže a tělovýchovy v letech 2014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_Toc77074847 \h </w:instrText>
        </w:r>
        <w:r w:rsidR="00332A29">
          <w:rPr>
            <w:noProof/>
            <w:webHidden/>
          </w:rPr>
        </w:r>
        <w:r w:rsidR="00332A29">
          <w:rPr>
            <w:noProof/>
            <w:webHidden/>
          </w:rPr>
          <w:fldChar w:fldCharType="separate"/>
        </w:r>
        <w:r w:rsidR="00332A29">
          <w:rPr>
            <w:noProof/>
            <w:webHidden/>
          </w:rPr>
          <w:t>68</w:t>
        </w:r>
        <w:r w:rsidR="00332A29">
          <w:rPr>
            <w:noProof/>
            <w:webHidden/>
          </w:rPr>
          <w:fldChar w:fldCharType="end"/>
        </w:r>
      </w:hyperlink>
    </w:p>
    <w:p w14:paraId="23C71BCC" w14:textId="77777777" w:rsidR="00332A29" w:rsidRDefault="00183F7E">
      <w:pPr>
        <w:pStyle w:val="Seznamobrzk"/>
        <w:tabs>
          <w:tab w:val="right" w:leader="dot" w:pos="9062"/>
        </w:tabs>
        <w:rPr>
          <w:rFonts w:eastAsiaTheme="minorEastAsia"/>
          <w:noProof/>
          <w:lang w:eastAsia="cs-CZ"/>
        </w:rPr>
      </w:pPr>
      <w:hyperlink w:anchor="_Toc77074848" w:history="1">
        <w:r w:rsidR="00332A29" w:rsidRPr="00427970">
          <w:rPr>
            <w:rStyle w:val="Hypertextovodkaz"/>
            <w:noProof/>
          </w:rPr>
          <w:t>Obrázek 1.30: Srovnání vývoje ukazatelů úhrnu srážek a teploty vzduchu s dlouhodobými průměry za Zlínský kraj a ČR</w:t>
        </w:r>
        <w:r w:rsidR="00332A29">
          <w:rPr>
            <w:noProof/>
            <w:webHidden/>
          </w:rPr>
          <w:tab/>
        </w:r>
        <w:r w:rsidR="00332A29">
          <w:rPr>
            <w:noProof/>
            <w:webHidden/>
          </w:rPr>
          <w:fldChar w:fldCharType="begin"/>
        </w:r>
        <w:r w:rsidR="00332A29">
          <w:rPr>
            <w:noProof/>
            <w:webHidden/>
          </w:rPr>
          <w:instrText xml:space="preserve"> PAGEREF _Toc77074848 \h </w:instrText>
        </w:r>
        <w:r w:rsidR="00332A29">
          <w:rPr>
            <w:noProof/>
            <w:webHidden/>
          </w:rPr>
        </w:r>
        <w:r w:rsidR="00332A29">
          <w:rPr>
            <w:noProof/>
            <w:webHidden/>
          </w:rPr>
          <w:fldChar w:fldCharType="separate"/>
        </w:r>
        <w:r w:rsidR="00332A29">
          <w:rPr>
            <w:noProof/>
            <w:webHidden/>
          </w:rPr>
          <w:t>71</w:t>
        </w:r>
        <w:r w:rsidR="00332A29">
          <w:rPr>
            <w:noProof/>
            <w:webHidden/>
          </w:rPr>
          <w:fldChar w:fldCharType="end"/>
        </w:r>
      </w:hyperlink>
    </w:p>
    <w:p w14:paraId="28822752" w14:textId="77777777" w:rsidR="00332A29" w:rsidRDefault="00183F7E">
      <w:pPr>
        <w:pStyle w:val="Seznamobrzk"/>
        <w:tabs>
          <w:tab w:val="right" w:leader="dot" w:pos="9062"/>
        </w:tabs>
        <w:rPr>
          <w:rFonts w:eastAsiaTheme="minorEastAsia"/>
          <w:noProof/>
          <w:lang w:eastAsia="cs-CZ"/>
        </w:rPr>
      </w:pPr>
      <w:hyperlink w:anchor="_Toc77074849" w:history="1">
        <w:r w:rsidR="00332A29" w:rsidRPr="00427970">
          <w:rPr>
            <w:rStyle w:val="Hypertextovodkaz"/>
            <w:noProof/>
          </w:rPr>
          <w:t>Obrázek 1.31: Struktura využití ploch města Zlína v roce 2019</w:t>
        </w:r>
        <w:r w:rsidR="00332A29">
          <w:rPr>
            <w:noProof/>
            <w:webHidden/>
          </w:rPr>
          <w:tab/>
        </w:r>
        <w:r w:rsidR="00332A29">
          <w:rPr>
            <w:noProof/>
            <w:webHidden/>
          </w:rPr>
          <w:fldChar w:fldCharType="begin"/>
        </w:r>
        <w:r w:rsidR="00332A29">
          <w:rPr>
            <w:noProof/>
            <w:webHidden/>
          </w:rPr>
          <w:instrText xml:space="preserve"> PAGEREF _Toc77074849 \h </w:instrText>
        </w:r>
        <w:r w:rsidR="00332A29">
          <w:rPr>
            <w:noProof/>
            <w:webHidden/>
          </w:rPr>
        </w:r>
        <w:r w:rsidR="00332A29">
          <w:rPr>
            <w:noProof/>
            <w:webHidden/>
          </w:rPr>
          <w:fldChar w:fldCharType="separate"/>
        </w:r>
        <w:r w:rsidR="00332A29">
          <w:rPr>
            <w:noProof/>
            <w:webHidden/>
          </w:rPr>
          <w:t>72</w:t>
        </w:r>
        <w:r w:rsidR="00332A29">
          <w:rPr>
            <w:noProof/>
            <w:webHidden/>
          </w:rPr>
          <w:fldChar w:fldCharType="end"/>
        </w:r>
      </w:hyperlink>
    </w:p>
    <w:p w14:paraId="242B2FD6" w14:textId="77777777" w:rsidR="00332A29" w:rsidRDefault="00183F7E">
      <w:pPr>
        <w:pStyle w:val="Seznamobrzk"/>
        <w:tabs>
          <w:tab w:val="right" w:leader="dot" w:pos="9062"/>
        </w:tabs>
        <w:rPr>
          <w:rFonts w:eastAsiaTheme="minorEastAsia"/>
          <w:noProof/>
          <w:lang w:eastAsia="cs-CZ"/>
        </w:rPr>
      </w:pPr>
      <w:hyperlink w:anchor="_Toc77074850" w:history="1">
        <w:r w:rsidR="00332A29" w:rsidRPr="00427970">
          <w:rPr>
            <w:rStyle w:val="Hypertextovodkaz"/>
            <w:noProof/>
          </w:rPr>
          <w:t>Obrázek 1.32: Srovnání hodnoty koeficientu ekologické stability vybraných měst ČR</w:t>
        </w:r>
        <w:r w:rsidR="00332A29">
          <w:rPr>
            <w:noProof/>
            <w:webHidden/>
          </w:rPr>
          <w:tab/>
        </w:r>
        <w:r w:rsidR="00332A29">
          <w:rPr>
            <w:noProof/>
            <w:webHidden/>
          </w:rPr>
          <w:fldChar w:fldCharType="begin"/>
        </w:r>
        <w:r w:rsidR="00332A29">
          <w:rPr>
            <w:noProof/>
            <w:webHidden/>
          </w:rPr>
          <w:instrText xml:space="preserve"> PAGEREF _Toc77074850 \h </w:instrText>
        </w:r>
        <w:r w:rsidR="00332A29">
          <w:rPr>
            <w:noProof/>
            <w:webHidden/>
          </w:rPr>
        </w:r>
        <w:r w:rsidR="00332A29">
          <w:rPr>
            <w:noProof/>
            <w:webHidden/>
          </w:rPr>
          <w:fldChar w:fldCharType="separate"/>
        </w:r>
        <w:r w:rsidR="00332A29">
          <w:rPr>
            <w:noProof/>
            <w:webHidden/>
          </w:rPr>
          <w:t>73</w:t>
        </w:r>
        <w:r w:rsidR="00332A29">
          <w:rPr>
            <w:noProof/>
            <w:webHidden/>
          </w:rPr>
          <w:fldChar w:fldCharType="end"/>
        </w:r>
      </w:hyperlink>
    </w:p>
    <w:p w14:paraId="27D6DD51" w14:textId="77777777" w:rsidR="00332A29" w:rsidRDefault="00183F7E">
      <w:pPr>
        <w:pStyle w:val="Seznamobrzk"/>
        <w:tabs>
          <w:tab w:val="right" w:leader="dot" w:pos="9062"/>
        </w:tabs>
        <w:rPr>
          <w:rFonts w:eastAsiaTheme="minorEastAsia"/>
          <w:noProof/>
          <w:lang w:eastAsia="cs-CZ"/>
        </w:rPr>
      </w:pPr>
      <w:hyperlink w:anchor="_Toc77074851" w:history="1">
        <w:r w:rsidR="00332A29" w:rsidRPr="00427970">
          <w:rPr>
            <w:rStyle w:val="Hypertextovodkaz"/>
            <w:noProof/>
          </w:rPr>
          <w:t>Obrázek 1.33: Územní systém ekologické stability ve Zlíně</w:t>
        </w:r>
        <w:r w:rsidR="00332A29">
          <w:rPr>
            <w:noProof/>
            <w:webHidden/>
          </w:rPr>
          <w:tab/>
        </w:r>
        <w:r w:rsidR="00332A29">
          <w:rPr>
            <w:noProof/>
            <w:webHidden/>
          </w:rPr>
          <w:fldChar w:fldCharType="begin"/>
        </w:r>
        <w:r w:rsidR="00332A29">
          <w:rPr>
            <w:noProof/>
            <w:webHidden/>
          </w:rPr>
          <w:instrText xml:space="preserve"> PAGEREF _Toc77074851 \h </w:instrText>
        </w:r>
        <w:r w:rsidR="00332A29">
          <w:rPr>
            <w:noProof/>
            <w:webHidden/>
          </w:rPr>
        </w:r>
        <w:r w:rsidR="00332A29">
          <w:rPr>
            <w:noProof/>
            <w:webHidden/>
          </w:rPr>
          <w:fldChar w:fldCharType="separate"/>
        </w:r>
        <w:r w:rsidR="00332A29">
          <w:rPr>
            <w:noProof/>
            <w:webHidden/>
          </w:rPr>
          <w:t>74</w:t>
        </w:r>
        <w:r w:rsidR="00332A29">
          <w:rPr>
            <w:noProof/>
            <w:webHidden/>
          </w:rPr>
          <w:fldChar w:fldCharType="end"/>
        </w:r>
      </w:hyperlink>
    </w:p>
    <w:p w14:paraId="78F52538" w14:textId="77777777" w:rsidR="00332A29" w:rsidRDefault="00183F7E">
      <w:pPr>
        <w:pStyle w:val="Seznamobrzk"/>
        <w:tabs>
          <w:tab w:val="right" w:leader="dot" w:pos="9062"/>
        </w:tabs>
        <w:rPr>
          <w:rFonts w:eastAsiaTheme="minorEastAsia"/>
          <w:noProof/>
          <w:lang w:eastAsia="cs-CZ"/>
        </w:rPr>
      </w:pPr>
      <w:hyperlink w:anchor="_Toc77074852" w:history="1">
        <w:r w:rsidR="00332A29" w:rsidRPr="00427970">
          <w:rPr>
            <w:rStyle w:val="Hypertextovodkaz"/>
            <w:noProof/>
          </w:rPr>
          <w:t>Obrázek 1.34: Plochy veřejné zeleně se zvýšenou ochranou v centrální části města Zlín</w:t>
        </w:r>
        <w:r w:rsidR="00332A29">
          <w:rPr>
            <w:noProof/>
            <w:webHidden/>
          </w:rPr>
          <w:tab/>
        </w:r>
        <w:r w:rsidR="00332A29">
          <w:rPr>
            <w:noProof/>
            <w:webHidden/>
          </w:rPr>
          <w:fldChar w:fldCharType="begin"/>
        </w:r>
        <w:r w:rsidR="00332A29">
          <w:rPr>
            <w:noProof/>
            <w:webHidden/>
          </w:rPr>
          <w:instrText xml:space="preserve"> PAGEREF _Toc77074852 \h </w:instrText>
        </w:r>
        <w:r w:rsidR="00332A29">
          <w:rPr>
            <w:noProof/>
            <w:webHidden/>
          </w:rPr>
        </w:r>
        <w:r w:rsidR="00332A29">
          <w:rPr>
            <w:noProof/>
            <w:webHidden/>
          </w:rPr>
          <w:fldChar w:fldCharType="separate"/>
        </w:r>
        <w:r w:rsidR="00332A29">
          <w:rPr>
            <w:noProof/>
            <w:webHidden/>
          </w:rPr>
          <w:t>75</w:t>
        </w:r>
        <w:r w:rsidR="00332A29">
          <w:rPr>
            <w:noProof/>
            <w:webHidden/>
          </w:rPr>
          <w:fldChar w:fldCharType="end"/>
        </w:r>
      </w:hyperlink>
    </w:p>
    <w:p w14:paraId="6FA1C968" w14:textId="77777777" w:rsidR="00332A29" w:rsidRDefault="00183F7E">
      <w:pPr>
        <w:pStyle w:val="Seznamobrzk"/>
        <w:tabs>
          <w:tab w:val="right" w:leader="dot" w:pos="9062"/>
        </w:tabs>
        <w:rPr>
          <w:rFonts w:eastAsiaTheme="minorEastAsia"/>
          <w:noProof/>
          <w:lang w:eastAsia="cs-CZ"/>
        </w:rPr>
      </w:pPr>
      <w:hyperlink w:anchor="_Toc77074853" w:history="1">
        <w:r w:rsidR="00332A29" w:rsidRPr="00427970">
          <w:rPr>
            <w:rStyle w:val="Hypertextovodkaz"/>
            <w:noProof/>
          </w:rPr>
          <w:t xml:space="preserve">Obrázek 1.35: </w:t>
        </w:r>
        <w:r w:rsidR="00332A29" w:rsidRPr="00427970">
          <w:rPr>
            <w:rStyle w:val="Hypertextovodkaz"/>
            <w:rFonts w:cstheme="minorHAnsi"/>
            <w:noProof/>
          </w:rPr>
          <w:t>Vývoj průměrných měsíčních koncentrací prachem PM</w:t>
        </w:r>
        <w:r w:rsidR="00332A29" w:rsidRPr="00427970">
          <w:rPr>
            <w:rStyle w:val="Hypertextovodkaz"/>
            <w:rFonts w:cstheme="minorHAnsi"/>
            <w:noProof/>
            <w:vertAlign w:val="subscript"/>
          </w:rPr>
          <w:t>10</w:t>
        </w:r>
        <w:r w:rsidR="00332A29" w:rsidRPr="00427970">
          <w:rPr>
            <w:rStyle w:val="Hypertextovodkaz"/>
            <w:rFonts w:cstheme="minorHAnsi"/>
            <w:noProof/>
          </w:rPr>
          <w:t xml:space="preserve"> a PM</w:t>
        </w:r>
        <w:r w:rsidR="00332A29" w:rsidRPr="00427970">
          <w:rPr>
            <w:rStyle w:val="Hypertextovodkaz"/>
            <w:rFonts w:cstheme="minorHAnsi"/>
            <w:noProof/>
            <w:vertAlign w:val="subscript"/>
          </w:rPr>
          <w:t>2,5</w:t>
        </w:r>
        <w:r w:rsidR="00332A29" w:rsidRPr="00427970">
          <w:rPr>
            <w:rStyle w:val="Hypertextovodkaz"/>
            <w:rFonts w:cstheme="minorHAnsi"/>
            <w:noProof/>
          </w:rPr>
          <w:t xml:space="preserve"> , PM</w:t>
        </w:r>
        <w:r w:rsidR="00332A29" w:rsidRPr="00427970">
          <w:rPr>
            <w:rStyle w:val="Hypertextovodkaz"/>
            <w:rFonts w:cstheme="minorHAnsi"/>
            <w:noProof/>
            <w:vertAlign w:val="subscript"/>
          </w:rPr>
          <w:t xml:space="preserve">1 </w:t>
        </w:r>
        <w:r w:rsidR="00332A29" w:rsidRPr="00427970">
          <w:rPr>
            <w:rStyle w:val="Hypertextovodkaz"/>
            <w:rFonts w:cstheme="minorHAnsi"/>
            <w:noProof/>
          </w:rPr>
          <w:t>v lokalitě Zlín – Kvítková v roce 2019</w:t>
        </w:r>
        <w:r w:rsidR="00332A29">
          <w:rPr>
            <w:noProof/>
            <w:webHidden/>
          </w:rPr>
          <w:tab/>
        </w:r>
        <w:r w:rsidR="00332A29">
          <w:rPr>
            <w:noProof/>
            <w:webHidden/>
          </w:rPr>
          <w:fldChar w:fldCharType="begin"/>
        </w:r>
        <w:r w:rsidR="00332A29">
          <w:rPr>
            <w:noProof/>
            <w:webHidden/>
          </w:rPr>
          <w:instrText xml:space="preserve"> PAGEREF _Toc77074853 \h </w:instrText>
        </w:r>
        <w:r w:rsidR="00332A29">
          <w:rPr>
            <w:noProof/>
            <w:webHidden/>
          </w:rPr>
        </w:r>
        <w:r w:rsidR="00332A29">
          <w:rPr>
            <w:noProof/>
            <w:webHidden/>
          </w:rPr>
          <w:fldChar w:fldCharType="separate"/>
        </w:r>
        <w:r w:rsidR="00332A29">
          <w:rPr>
            <w:noProof/>
            <w:webHidden/>
          </w:rPr>
          <w:t>77</w:t>
        </w:r>
        <w:r w:rsidR="00332A29">
          <w:rPr>
            <w:noProof/>
            <w:webHidden/>
          </w:rPr>
          <w:fldChar w:fldCharType="end"/>
        </w:r>
      </w:hyperlink>
    </w:p>
    <w:p w14:paraId="2CB8828F" w14:textId="77777777" w:rsidR="00332A29" w:rsidRDefault="00183F7E">
      <w:pPr>
        <w:pStyle w:val="Seznamobrzk"/>
        <w:tabs>
          <w:tab w:val="right" w:leader="dot" w:pos="9062"/>
        </w:tabs>
        <w:rPr>
          <w:rFonts w:eastAsiaTheme="minorEastAsia"/>
          <w:noProof/>
          <w:lang w:eastAsia="cs-CZ"/>
        </w:rPr>
      </w:pPr>
      <w:hyperlink w:anchor="_Toc77074854" w:history="1">
        <w:r w:rsidR="00332A29" w:rsidRPr="00427970">
          <w:rPr>
            <w:rStyle w:val="Hypertextovodkaz"/>
            <w:noProof/>
          </w:rPr>
          <w:t>Obrázek 1.36: Index kvality ovzduší vybraných měst ČR</w:t>
        </w:r>
        <w:r w:rsidR="00332A29">
          <w:rPr>
            <w:noProof/>
            <w:webHidden/>
          </w:rPr>
          <w:tab/>
        </w:r>
        <w:r w:rsidR="00332A29">
          <w:rPr>
            <w:noProof/>
            <w:webHidden/>
          </w:rPr>
          <w:fldChar w:fldCharType="begin"/>
        </w:r>
        <w:r w:rsidR="00332A29">
          <w:rPr>
            <w:noProof/>
            <w:webHidden/>
          </w:rPr>
          <w:instrText xml:space="preserve"> PAGEREF _Toc77074854 \h </w:instrText>
        </w:r>
        <w:r w:rsidR="00332A29">
          <w:rPr>
            <w:noProof/>
            <w:webHidden/>
          </w:rPr>
        </w:r>
        <w:r w:rsidR="00332A29">
          <w:rPr>
            <w:noProof/>
            <w:webHidden/>
          </w:rPr>
          <w:fldChar w:fldCharType="separate"/>
        </w:r>
        <w:r w:rsidR="00332A29">
          <w:rPr>
            <w:noProof/>
            <w:webHidden/>
          </w:rPr>
          <w:t>78</w:t>
        </w:r>
        <w:r w:rsidR="00332A29">
          <w:rPr>
            <w:noProof/>
            <w:webHidden/>
          </w:rPr>
          <w:fldChar w:fldCharType="end"/>
        </w:r>
      </w:hyperlink>
    </w:p>
    <w:p w14:paraId="3D757174" w14:textId="77777777" w:rsidR="00332A29" w:rsidRDefault="00183F7E">
      <w:pPr>
        <w:pStyle w:val="Seznamobrzk"/>
        <w:tabs>
          <w:tab w:val="right" w:leader="dot" w:pos="9062"/>
        </w:tabs>
        <w:rPr>
          <w:rFonts w:eastAsiaTheme="minorEastAsia"/>
          <w:noProof/>
          <w:lang w:eastAsia="cs-CZ"/>
        </w:rPr>
      </w:pPr>
      <w:hyperlink w:anchor="_Toc77074855" w:history="1">
        <w:r w:rsidR="00332A29" w:rsidRPr="00427970">
          <w:rPr>
            <w:rStyle w:val="Hypertextovodkaz"/>
            <w:noProof/>
          </w:rPr>
          <w:t>Obrázek 1.37: Intenzita hlukové zátěže v okolí hlavních silničních komunikací ve Zlíně</w:t>
        </w:r>
        <w:r w:rsidR="00332A29">
          <w:rPr>
            <w:noProof/>
            <w:webHidden/>
          </w:rPr>
          <w:tab/>
        </w:r>
        <w:r w:rsidR="00332A29">
          <w:rPr>
            <w:noProof/>
            <w:webHidden/>
          </w:rPr>
          <w:fldChar w:fldCharType="begin"/>
        </w:r>
        <w:r w:rsidR="00332A29">
          <w:rPr>
            <w:noProof/>
            <w:webHidden/>
          </w:rPr>
          <w:instrText xml:space="preserve"> PAGEREF _Toc77074855 \h </w:instrText>
        </w:r>
        <w:r w:rsidR="00332A29">
          <w:rPr>
            <w:noProof/>
            <w:webHidden/>
          </w:rPr>
        </w:r>
        <w:r w:rsidR="00332A29">
          <w:rPr>
            <w:noProof/>
            <w:webHidden/>
          </w:rPr>
          <w:fldChar w:fldCharType="separate"/>
        </w:r>
        <w:r w:rsidR="00332A29">
          <w:rPr>
            <w:noProof/>
            <w:webHidden/>
          </w:rPr>
          <w:t>80</w:t>
        </w:r>
        <w:r w:rsidR="00332A29">
          <w:rPr>
            <w:noProof/>
            <w:webHidden/>
          </w:rPr>
          <w:fldChar w:fldCharType="end"/>
        </w:r>
      </w:hyperlink>
    </w:p>
    <w:p w14:paraId="5D8E503F" w14:textId="77777777" w:rsidR="00332A29" w:rsidRDefault="00183F7E">
      <w:pPr>
        <w:pStyle w:val="Seznamobrzk"/>
        <w:tabs>
          <w:tab w:val="right" w:leader="dot" w:pos="9062"/>
        </w:tabs>
        <w:rPr>
          <w:rFonts w:eastAsiaTheme="minorEastAsia"/>
          <w:noProof/>
          <w:lang w:eastAsia="cs-CZ"/>
        </w:rPr>
      </w:pPr>
      <w:hyperlink w:anchor="_Toc77074856" w:history="1">
        <w:r w:rsidR="00332A29" w:rsidRPr="00427970">
          <w:rPr>
            <w:rStyle w:val="Hypertextovodkaz"/>
            <w:noProof/>
          </w:rPr>
          <w:t>Obrázek 1.38: Hluková zátěž obyvatel Zlína v roce 2017</w:t>
        </w:r>
        <w:r w:rsidR="00332A29">
          <w:rPr>
            <w:noProof/>
            <w:webHidden/>
          </w:rPr>
          <w:tab/>
        </w:r>
        <w:r w:rsidR="00332A29">
          <w:rPr>
            <w:noProof/>
            <w:webHidden/>
          </w:rPr>
          <w:fldChar w:fldCharType="begin"/>
        </w:r>
        <w:r w:rsidR="00332A29">
          <w:rPr>
            <w:noProof/>
            <w:webHidden/>
          </w:rPr>
          <w:instrText xml:space="preserve"> PAGEREF _Toc77074856 \h </w:instrText>
        </w:r>
        <w:r w:rsidR="00332A29">
          <w:rPr>
            <w:noProof/>
            <w:webHidden/>
          </w:rPr>
        </w:r>
        <w:r w:rsidR="00332A29">
          <w:rPr>
            <w:noProof/>
            <w:webHidden/>
          </w:rPr>
          <w:fldChar w:fldCharType="separate"/>
        </w:r>
        <w:r w:rsidR="00332A29">
          <w:rPr>
            <w:noProof/>
            <w:webHidden/>
          </w:rPr>
          <w:t>81</w:t>
        </w:r>
        <w:r w:rsidR="00332A29">
          <w:rPr>
            <w:noProof/>
            <w:webHidden/>
          </w:rPr>
          <w:fldChar w:fldCharType="end"/>
        </w:r>
      </w:hyperlink>
    </w:p>
    <w:p w14:paraId="37A96A50" w14:textId="77777777" w:rsidR="00332A29" w:rsidRDefault="00183F7E">
      <w:pPr>
        <w:pStyle w:val="Seznamobrzk"/>
        <w:tabs>
          <w:tab w:val="right" w:leader="dot" w:pos="9062"/>
        </w:tabs>
        <w:rPr>
          <w:rFonts w:eastAsiaTheme="minorEastAsia"/>
          <w:noProof/>
          <w:lang w:eastAsia="cs-CZ"/>
        </w:rPr>
      </w:pPr>
      <w:hyperlink w:anchor="_Toc77074857" w:history="1">
        <w:r w:rsidR="00332A29" w:rsidRPr="00427970">
          <w:rPr>
            <w:rStyle w:val="Hypertextovodkaz"/>
            <w:noProof/>
          </w:rPr>
          <w:t xml:space="preserve">Obrázek 1.39: Vývoj množství vybraných složek odpadu ve Zlíně v letech 2014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_Toc77074857 \h </w:instrText>
        </w:r>
        <w:r w:rsidR="00332A29">
          <w:rPr>
            <w:noProof/>
            <w:webHidden/>
          </w:rPr>
        </w:r>
        <w:r w:rsidR="00332A29">
          <w:rPr>
            <w:noProof/>
            <w:webHidden/>
          </w:rPr>
          <w:fldChar w:fldCharType="separate"/>
        </w:r>
        <w:r w:rsidR="00332A29">
          <w:rPr>
            <w:noProof/>
            <w:webHidden/>
          </w:rPr>
          <w:t>82</w:t>
        </w:r>
        <w:r w:rsidR="00332A29">
          <w:rPr>
            <w:noProof/>
            <w:webHidden/>
          </w:rPr>
          <w:fldChar w:fldCharType="end"/>
        </w:r>
      </w:hyperlink>
    </w:p>
    <w:p w14:paraId="79604857" w14:textId="77777777" w:rsidR="00332A29" w:rsidRDefault="00183F7E">
      <w:pPr>
        <w:pStyle w:val="Seznamobrzk"/>
        <w:tabs>
          <w:tab w:val="right" w:leader="dot" w:pos="9062"/>
        </w:tabs>
        <w:rPr>
          <w:rFonts w:eastAsiaTheme="minorEastAsia"/>
          <w:noProof/>
          <w:lang w:eastAsia="cs-CZ"/>
        </w:rPr>
      </w:pPr>
      <w:hyperlink w:anchor="_Toc77074858" w:history="1">
        <w:r w:rsidR="00332A29" w:rsidRPr="00427970">
          <w:rPr>
            <w:rStyle w:val="Hypertextovodkaz"/>
            <w:noProof/>
          </w:rPr>
          <w:t xml:space="preserve">Obrázek 1.40: </w:t>
        </w:r>
        <w:r w:rsidR="00332A29" w:rsidRPr="00427970">
          <w:rPr>
            <w:rStyle w:val="Hypertextovodkaz"/>
            <w:noProof/>
            <w:lang w:eastAsia="cs-CZ"/>
          </w:rPr>
          <w:t>Srovnání celkové produkce komunálních odpadů v přepočtu na počet obyvatel vybraných SO ORP v roce 2018</w:t>
        </w:r>
        <w:r w:rsidR="00332A29">
          <w:rPr>
            <w:noProof/>
            <w:webHidden/>
          </w:rPr>
          <w:tab/>
        </w:r>
        <w:r w:rsidR="00332A29">
          <w:rPr>
            <w:noProof/>
            <w:webHidden/>
          </w:rPr>
          <w:fldChar w:fldCharType="begin"/>
        </w:r>
        <w:r w:rsidR="00332A29">
          <w:rPr>
            <w:noProof/>
            <w:webHidden/>
          </w:rPr>
          <w:instrText xml:space="preserve"> PAGEREF _Toc77074858 \h </w:instrText>
        </w:r>
        <w:r w:rsidR="00332A29">
          <w:rPr>
            <w:noProof/>
            <w:webHidden/>
          </w:rPr>
        </w:r>
        <w:r w:rsidR="00332A29">
          <w:rPr>
            <w:noProof/>
            <w:webHidden/>
          </w:rPr>
          <w:fldChar w:fldCharType="separate"/>
        </w:r>
        <w:r w:rsidR="00332A29">
          <w:rPr>
            <w:noProof/>
            <w:webHidden/>
          </w:rPr>
          <w:t>83</w:t>
        </w:r>
        <w:r w:rsidR="00332A29">
          <w:rPr>
            <w:noProof/>
            <w:webHidden/>
          </w:rPr>
          <w:fldChar w:fldCharType="end"/>
        </w:r>
      </w:hyperlink>
    </w:p>
    <w:p w14:paraId="7DC4242B" w14:textId="77777777" w:rsidR="00332A29" w:rsidRDefault="00183F7E">
      <w:pPr>
        <w:pStyle w:val="Seznamobrzk"/>
        <w:tabs>
          <w:tab w:val="right" w:leader="dot" w:pos="9062"/>
        </w:tabs>
        <w:rPr>
          <w:rFonts w:eastAsiaTheme="minorEastAsia"/>
          <w:noProof/>
          <w:lang w:eastAsia="cs-CZ"/>
        </w:rPr>
      </w:pPr>
      <w:hyperlink w:anchor="_Toc77074859" w:history="1">
        <w:r w:rsidR="00332A29" w:rsidRPr="00427970">
          <w:rPr>
            <w:rStyle w:val="Hypertextovodkaz"/>
            <w:noProof/>
          </w:rPr>
          <w:t>Obrázek 1.41: Znázornění záplavových zón při pětileté (Q5), dvacetileté (Q20) a stoleté (Q100) povodni</w:t>
        </w:r>
        <w:r w:rsidR="00332A29">
          <w:rPr>
            <w:noProof/>
            <w:webHidden/>
          </w:rPr>
          <w:tab/>
        </w:r>
        <w:r w:rsidR="00332A29">
          <w:rPr>
            <w:noProof/>
            <w:webHidden/>
          </w:rPr>
          <w:fldChar w:fldCharType="begin"/>
        </w:r>
        <w:r w:rsidR="00332A29">
          <w:rPr>
            <w:noProof/>
            <w:webHidden/>
          </w:rPr>
          <w:instrText xml:space="preserve"> PAGEREF _Toc77074859 \h </w:instrText>
        </w:r>
        <w:r w:rsidR="00332A29">
          <w:rPr>
            <w:noProof/>
            <w:webHidden/>
          </w:rPr>
        </w:r>
        <w:r w:rsidR="00332A29">
          <w:rPr>
            <w:noProof/>
            <w:webHidden/>
          </w:rPr>
          <w:fldChar w:fldCharType="separate"/>
        </w:r>
        <w:r w:rsidR="00332A29">
          <w:rPr>
            <w:noProof/>
            <w:webHidden/>
          </w:rPr>
          <w:t>84</w:t>
        </w:r>
        <w:r w:rsidR="00332A29">
          <w:rPr>
            <w:noProof/>
            <w:webHidden/>
          </w:rPr>
          <w:fldChar w:fldCharType="end"/>
        </w:r>
      </w:hyperlink>
    </w:p>
    <w:p w14:paraId="68AC7B7B" w14:textId="77777777" w:rsidR="00332A29" w:rsidRDefault="00183F7E">
      <w:pPr>
        <w:pStyle w:val="Seznamobrzk"/>
        <w:tabs>
          <w:tab w:val="right" w:leader="dot" w:pos="9062"/>
        </w:tabs>
        <w:rPr>
          <w:rFonts w:eastAsiaTheme="minorEastAsia"/>
          <w:noProof/>
          <w:lang w:eastAsia="cs-CZ"/>
        </w:rPr>
      </w:pPr>
      <w:hyperlink w:anchor="_Toc77074860" w:history="1">
        <w:r w:rsidR="00332A29" w:rsidRPr="00427970">
          <w:rPr>
            <w:rStyle w:val="Hypertextovodkaz"/>
            <w:noProof/>
          </w:rPr>
          <w:t>Obrázek 1.42: Vývoj počtu studentů na UTB v letech 2014 – 2019</w:t>
        </w:r>
        <w:r w:rsidR="00332A29">
          <w:rPr>
            <w:noProof/>
            <w:webHidden/>
          </w:rPr>
          <w:tab/>
        </w:r>
        <w:r w:rsidR="00332A29">
          <w:rPr>
            <w:noProof/>
            <w:webHidden/>
          </w:rPr>
          <w:fldChar w:fldCharType="begin"/>
        </w:r>
        <w:r w:rsidR="00332A29">
          <w:rPr>
            <w:noProof/>
            <w:webHidden/>
          </w:rPr>
          <w:instrText xml:space="preserve"> PAGEREF _Toc77074860 \h </w:instrText>
        </w:r>
        <w:r w:rsidR="00332A29">
          <w:rPr>
            <w:noProof/>
            <w:webHidden/>
          </w:rPr>
        </w:r>
        <w:r w:rsidR="00332A29">
          <w:rPr>
            <w:noProof/>
            <w:webHidden/>
          </w:rPr>
          <w:fldChar w:fldCharType="separate"/>
        </w:r>
        <w:r w:rsidR="00332A29">
          <w:rPr>
            <w:noProof/>
            <w:webHidden/>
          </w:rPr>
          <w:t>100</w:t>
        </w:r>
        <w:r w:rsidR="00332A29">
          <w:rPr>
            <w:noProof/>
            <w:webHidden/>
          </w:rPr>
          <w:fldChar w:fldCharType="end"/>
        </w:r>
      </w:hyperlink>
    </w:p>
    <w:p w14:paraId="3C0A133F" w14:textId="77777777" w:rsidR="00332A29" w:rsidRDefault="00183F7E">
      <w:pPr>
        <w:pStyle w:val="Seznamobrzk"/>
        <w:tabs>
          <w:tab w:val="right" w:leader="dot" w:pos="9062"/>
        </w:tabs>
        <w:rPr>
          <w:rFonts w:eastAsiaTheme="minorEastAsia"/>
          <w:noProof/>
          <w:lang w:eastAsia="cs-CZ"/>
        </w:rPr>
      </w:pPr>
      <w:hyperlink w:anchor="_Toc77074861" w:history="1">
        <w:r w:rsidR="00332A29" w:rsidRPr="00427970">
          <w:rPr>
            <w:rStyle w:val="Hypertextovodkaz"/>
            <w:noProof/>
          </w:rPr>
          <w:t>Obrázek 1.43: Přehled zapsaných studentů v rámci přijímacího řízení na vysokých školách v České republice v roce 2019/2020</w:t>
        </w:r>
        <w:r w:rsidR="00332A29">
          <w:rPr>
            <w:noProof/>
            <w:webHidden/>
          </w:rPr>
          <w:tab/>
        </w:r>
        <w:r w:rsidR="00332A29">
          <w:rPr>
            <w:noProof/>
            <w:webHidden/>
          </w:rPr>
          <w:fldChar w:fldCharType="begin"/>
        </w:r>
        <w:r w:rsidR="00332A29">
          <w:rPr>
            <w:noProof/>
            <w:webHidden/>
          </w:rPr>
          <w:instrText xml:space="preserve"> PAGEREF _Toc77074861 \h </w:instrText>
        </w:r>
        <w:r w:rsidR="00332A29">
          <w:rPr>
            <w:noProof/>
            <w:webHidden/>
          </w:rPr>
        </w:r>
        <w:r w:rsidR="00332A29">
          <w:rPr>
            <w:noProof/>
            <w:webHidden/>
          </w:rPr>
          <w:fldChar w:fldCharType="separate"/>
        </w:r>
        <w:r w:rsidR="00332A29">
          <w:rPr>
            <w:noProof/>
            <w:webHidden/>
          </w:rPr>
          <w:t>101</w:t>
        </w:r>
        <w:r w:rsidR="00332A29">
          <w:rPr>
            <w:noProof/>
            <w:webHidden/>
          </w:rPr>
          <w:fldChar w:fldCharType="end"/>
        </w:r>
      </w:hyperlink>
    </w:p>
    <w:p w14:paraId="69913180" w14:textId="77777777" w:rsidR="00332A29" w:rsidRDefault="00183F7E">
      <w:pPr>
        <w:pStyle w:val="Seznamobrzk"/>
        <w:tabs>
          <w:tab w:val="right" w:leader="dot" w:pos="9062"/>
        </w:tabs>
        <w:rPr>
          <w:rFonts w:eastAsiaTheme="minorEastAsia"/>
          <w:noProof/>
          <w:lang w:eastAsia="cs-CZ"/>
        </w:rPr>
      </w:pPr>
      <w:hyperlink w:anchor="_Toc77074862" w:history="1">
        <w:r w:rsidR="00332A29" w:rsidRPr="00427970">
          <w:rPr>
            <w:rStyle w:val="Hypertextovodkaz"/>
            <w:noProof/>
          </w:rPr>
          <w:t>Obrázek 1.44:</w:t>
        </w:r>
        <w:r w:rsidR="00332A29" w:rsidRPr="00427970">
          <w:rPr>
            <w:rStyle w:val="Hypertextovodkaz"/>
            <w:rFonts w:cstheme="minorHAnsi"/>
            <w:noProof/>
          </w:rPr>
          <w:t xml:space="preserve"> Spokojenost s oblastí vzdělávání</w:t>
        </w:r>
        <w:r w:rsidR="00332A29">
          <w:rPr>
            <w:noProof/>
            <w:webHidden/>
          </w:rPr>
          <w:tab/>
        </w:r>
        <w:r w:rsidR="00332A29">
          <w:rPr>
            <w:noProof/>
            <w:webHidden/>
          </w:rPr>
          <w:fldChar w:fldCharType="begin"/>
        </w:r>
        <w:r w:rsidR="00332A29">
          <w:rPr>
            <w:noProof/>
            <w:webHidden/>
          </w:rPr>
          <w:instrText xml:space="preserve"> PAGEREF _Toc77074862 \h </w:instrText>
        </w:r>
        <w:r w:rsidR="00332A29">
          <w:rPr>
            <w:noProof/>
            <w:webHidden/>
          </w:rPr>
        </w:r>
        <w:r w:rsidR="00332A29">
          <w:rPr>
            <w:noProof/>
            <w:webHidden/>
          </w:rPr>
          <w:fldChar w:fldCharType="separate"/>
        </w:r>
        <w:r w:rsidR="00332A29">
          <w:rPr>
            <w:noProof/>
            <w:webHidden/>
          </w:rPr>
          <w:t>105</w:t>
        </w:r>
        <w:r w:rsidR="00332A29">
          <w:rPr>
            <w:noProof/>
            <w:webHidden/>
          </w:rPr>
          <w:fldChar w:fldCharType="end"/>
        </w:r>
      </w:hyperlink>
    </w:p>
    <w:p w14:paraId="0224DEA2" w14:textId="77777777" w:rsidR="00332A29" w:rsidRDefault="00183F7E">
      <w:pPr>
        <w:pStyle w:val="Seznamobrzk"/>
        <w:tabs>
          <w:tab w:val="right" w:leader="dot" w:pos="9062"/>
        </w:tabs>
        <w:rPr>
          <w:rFonts w:eastAsiaTheme="minorEastAsia"/>
          <w:noProof/>
          <w:lang w:eastAsia="cs-CZ"/>
        </w:rPr>
      </w:pPr>
      <w:hyperlink w:anchor="_Toc77074863" w:history="1">
        <w:r w:rsidR="00332A29" w:rsidRPr="00427970">
          <w:rPr>
            <w:rStyle w:val="Hypertextovodkaz"/>
            <w:noProof/>
          </w:rPr>
          <w:t>Obrázek 1.45: Základní silniční síť</w:t>
        </w:r>
        <w:r w:rsidR="00332A29">
          <w:rPr>
            <w:noProof/>
            <w:webHidden/>
          </w:rPr>
          <w:tab/>
        </w:r>
        <w:r w:rsidR="00332A29">
          <w:rPr>
            <w:noProof/>
            <w:webHidden/>
          </w:rPr>
          <w:fldChar w:fldCharType="begin"/>
        </w:r>
        <w:r w:rsidR="00332A29">
          <w:rPr>
            <w:noProof/>
            <w:webHidden/>
          </w:rPr>
          <w:instrText xml:space="preserve"> PAGEREF _Toc77074863 \h </w:instrText>
        </w:r>
        <w:r w:rsidR="00332A29">
          <w:rPr>
            <w:noProof/>
            <w:webHidden/>
          </w:rPr>
        </w:r>
        <w:r w:rsidR="00332A29">
          <w:rPr>
            <w:noProof/>
            <w:webHidden/>
          </w:rPr>
          <w:fldChar w:fldCharType="separate"/>
        </w:r>
        <w:r w:rsidR="00332A29">
          <w:rPr>
            <w:noProof/>
            <w:webHidden/>
          </w:rPr>
          <w:t>110</w:t>
        </w:r>
        <w:r w:rsidR="00332A29">
          <w:rPr>
            <w:noProof/>
            <w:webHidden/>
          </w:rPr>
          <w:fldChar w:fldCharType="end"/>
        </w:r>
      </w:hyperlink>
    </w:p>
    <w:p w14:paraId="5B7DAC3D" w14:textId="77777777" w:rsidR="00332A29" w:rsidRDefault="00183F7E">
      <w:pPr>
        <w:pStyle w:val="Seznamobrzk"/>
        <w:tabs>
          <w:tab w:val="right" w:leader="dot" w:pos="9062"/>
        </w:tabs>
        <w:rPr>
          <w:rFonts w:eastAsiaTheme="minorEastAsia"/>
          <w:noProof/>
          <w:lang w:eastAsia="cs-CZ"/>
        </w:rPr>
      </w:pPr>
      <w:hyperlink w:anchor="_Toc77074864" w:history="1">
        <w:r w:rsidR="00332A29" w:rsidRPr="00427970">
          <w:rPr>
            <w:rStyle w:val="Hypertextovodkaz"/>
            <w:noProof/>
          </w:rPr>
          <w:t>Obrázek 1.46: Změna intenzity dopravy mezi sčítáními z let 2010 a 2016</w:t>
        </w:r>
        <w:r w:rsidR="00332A29">
          <w:rPr>
            <w:noProof/>
            <w:webHidden/>
          </w:rPr>
          <w:tab/>
        </w:r>
        <w:r w:rsidR="00332A29">
          <w:rPr>
            <w:noProof/>
            <w:webHidden/>
          </w:rPr>
          <w:fldChar w:fldCharType="begin"/>
        </w:r>
        <w:r w:rsidR="00332A29">
          <w:rPr>
            <w:noProof/>
            <w:webHidden/>
          </w:rPr>
          <w:instrText xml:space="preserve"> PAGEREF _Toc77074864 \h </w:instrText>
        </w:r>
        <w:r w:rsidR="00332A29">
          <w:rPr>
            <w:noProof/>
            <w:webHidden/>
          </w:rPr>
        </w:r>
        <w:r w:rsidR="00332A29">
          <w:rPr>
            <w:noProof/>
            <w:webHidden/>
          </w:rPr>
          <w:fldChar w:fldCharType="separate"/>
        </w:r>
        <w:r w:rsidR="00332A29">
          <w:rPr>
            <w:noProof/>
            <w:webHidden/>
          </w:rPr>
          <w:t>111</w:t>
        </w:r>
        <w:r w:rsidR="00332A29">
          <w:rPr>
            <w:noProof/>
            <w:webHidden/>
          </w:rPr>
          <w:fldChar w:fldCharType="end"/>
        </w:r>
      </w:hyperlink>
    </w:p>
    <w:p w14:paraId="7F4593A0" w14:textId="77777777" w:rsidR="00332A29" w:rsidRDefault="00183F7E">
      <w:pPr>
        <w:pStyle w:val="Seznamobrzk"/>
        <w:tabs>
          <w:tab w:val="right" w:leader="dot" w:pos="9062"/>
        </w:tabs>
        <w:rPr>
          <w:rFonts w:eastAsiaTheme="minorEastAsia"/>
          <w:noProof/>
          <w:lang w:eastAsia="cs-CZ"/>
        </w:rPr>
      </w:pPr>
      <w:hyperlink w:anchor="_Toc77074865" w:history="1">
        <w:r w:rsidR="00332A29" w:rsidRPr="00427970">
          <w:rPr>
            <w:rStyle w:val="Hypertextovodkaz"/>
            <w:noProof/>
          </w:rPr>
          <w:t>Obrázek 1.47: Schéma železničních tratí (počet kolejí a elektrifikace)</w:t>
        </w:r>
        <w:r w:rsidR="00332A29">
          <w:rPr>
            <w:noProof/>
            <w:webHidden/>
          </w:rPr>
          <w:tab/>
        </w:r>
        <w:r w:rsidR="00332A29">
          <w:rPr>
            <w:noProof/>
            <w:webHidden/>
          </w:rPr>
          <w:fldChar w:fldCharType="begin"/>
        </w:r>
        <w:r w:rsidR="00332A29">
          <w:rPr>
            <w:noProof/>
            <w:webHidden/>
          </w:rPr>
          <w:instrText xml:space="preserve"> PAGEREF _Toc77074865 \h </w:instrText>
        </w:r>
        <w:r w:rsidR="00332A29">
          <w:rPr>
            <w:noProof/>
            <w:webHidden/>
          </w:rPr>
        </w:r>
        <w:r w:rsidR="00332A29">
          <w:rPr>
            <w:noProof/>
            <w:webHidden/>
          </w:rPr>
          <w:fldChar w:fldCharType="separate"/>
        </w:r>
        <w:r w:rsidR="00332A29">
          <w:rPr>
            <w:noProof/>
            <w:webHidden/>
          </w:rPr>
          <w:t>113</w:t>
        </w:r>
        <w:r w:rsidR="00332A29">
          <w:rPr>
            <w:noProof/>
            <w:webHidden/>
          </w:rPr>
          <w:fldChar w:fldCharType="end"/>
        </w:r>
      </w:hyperlink>
    </w:p>
    <w:p w14:paraId="2B3D4E72" w14:textId="77777777" w:rsidR="00332A29" w:rsidRDefault="00183F7E">
      <w:pPr>
        <w:pStyle w:val="Seznamobrzk"/>
        <w:tabs>
          <w:tab w:val="right" w:leader="dot" w:pos="9062"/>
        </w:tabs>
        <w:rPr>
          <w:rFonts w:eastAsiaTheme="minorEastAsia"/>
          <w:noProof/>
          <w:lang w:eastAsia="cs-CZ"/>
        </w:rPr>
      </w:pPr>
      <w:hyperlink w:anchor="_Toc77074866" w:history="1">
        <w:r w:rsidR="00332A29" w:rsidRPr="00427970">
          <w:rPr>
            <w:rStyle w:val="Hypertextovodkaz"/>
            <w:noProof/>
          </w:rPr>
          <w:t>Obrázek 1.48: Průměrný počet přepravených osob a denní maximum na trati 331 v letech 2015 – 2019</w:t>
        </w:r>
        <w:r w:rsidR="00332A29">
          <w:rPr>
            <w:noProof/>
            <w:webHidden/>
          </w:rPr>
          <w:tab/>
        </w:r>
        <w:r w:rsidR="00332A29">
          <w:rPr>
            <w:noProof/>
            <w:webHidden/>
          </w:rPr>
          <w:fldChar w:fldCharType="begin"/>
        </w:r>
        <w:r w:rsidR="00332A29">
          <w:rPr>
            <w:noProof/>
            <w:webHidden/>
          </w:rPr>
          <w:instrText xml:space="preserve"> PAGEREF _Toc77074866 \h </w:instrText>
        </w:r>
        <w:r w:rsidR="00332A29">
          <w:rPr>
            <w:noProof/>
            <w:webHidden/>
          </w:rPr>
        </w:r>
        <w:r w:rsidR="00332A29">
          <w:rPr>
            <w:noProof/>
            <w:webHidden/>
          </w:rPr>
          <w:fldChar w:fldCharType="separate"/>
        </w:r>
        <w:r w:rsidR="00332A29">
          <w:rPr>
            <w:noProof/>
            <w:webHidden/>
          </w:rPr>
          <w:t>114</w:t>
        </w:r>
        <w:r w:rsidR="00332A29">
          <w:rPr>
            <w:noProof/>
            <w:webHidden/>
          </w:rPr>
          <w:fldChar w:fldCharType="end"/>
        </w:r>
      </w:hyperlink>
    </w:p>
    <w:p w14:paraId="69F745DA" w14:textId="77777777" w:rsidR="00332A29" w:rsidRDefault="00183F7E">
      <w:pPr>
        <w:pStyle w:val="Seznamobrzk"/>
        <w:tabs>
          <w:tab w:val="right" w:leader="dot" w:pos="9062"/>
        </w:tabs>
        <w:rPr>
          <w:rFonts w:eastAsiaTheme="minorEastAsia"/>
          <w:noProof/>
          <w:lang w:eastAsia="cs-CZ"/>
        </w:rPr>
      </w:pPr>
      <w:hyperlink w:anchor="_Toc77074867" w:history="1">
        <w:r w:rsidR="00332A29" w:rsidRPr="00427970">
          <w:rPr>
            <w:rStyle w:val="Hypertextovodkaz"/>
            <w:noProof/>
          </w:rPr>
          <w:t xml:space="preserve">Obrázek 1.49: Počet přepravených osob zlínské MHD a podíl skupin cestujících (2015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_Toc77074867 \h </w:instrText>
        </w:r>
        <w:r w:rsidR="00332A29">
          <w:rPr>
            <w:noProof/>
            <w:webHidden/>
          </w:rPr>
        </w:r>
        <w:r w:rsidR="00332A29">
          <w:rPr>
            <w:noProof/>
            <w:webHidden/>
          </w:rPr>
          <w:fldChar w:fldCharType="separate"/>
        </w:r>
        <w:r w:rsidR="00332A29">
          <w:rPr>
            <w:noProof/>
            <w:webHidden/>
          </w:rPr>
          <w:t>114</w:t>
        </w:r>
        <w:r w:rsidR="00332A29">
          <w:rPr>
            <w:noProof/>
            <w:webHidden/>
          </w:rPr>
          <w:fldChar w:fldCharType="end"/>
        </w:r>
      </w:hyperlink>
    </w:p>
    <w:p w14:paraId="4E3F9F40" w14:textId="77777777" w:rsidR="00332A29" w:rsidRDefault="00183F7E">
      <w:pPr>
        <w:pStyle w:val="Seznamobrzk"/>
        <w:tabs>
          <w:tab w:val="right" w:leader="dot" w:pos="9062"/>
        </w:tabs>
        <w:rPr>
          <w:rFonts w:eastAsiaTheme="minorEastAsia"/>
          <w:noProof/>
          <w:lang w:eastAsia="cs-CZ"/>
        </w:rPr>
      </w:pPr>
      <w:hyperlink w:anchor="_Toc77074868" w:history="1">
        <w:r w:rsidR="00332A29" w:rsidRPr="00427970">
          <w:rPr>
            <w:rStyle w:val="Hypertextovodkaz"/>
            <w:noProof/>
          </w:rPr>
          <w:t>Obrázek 1.50: Základní síť cyklotras a cyklostezek ve Zlíně a okolí</w:t>
        </w:r>
        <w:r w:rsidR="00332A29">
          <w:rPr>
            <w:noProof/>
            <w:webHidden/>
          </w:rPr>
          <w:tab/>
        </w:r>
        <w:r w:rsidR="00332A29">
          <w:rPr>
            <w:noProof/>
            <w:webHidden/>
          </w:rPr>
          <w:fldChar w:fldCharType="begin"/>
        </w:r>
        <w:r w:rsidR="00332A29">
          <w:rPr>
            <w:noProof/>
            <w:webHidden/>
          </w:rPr>
          <w:instrText xml:space="preserve"> PAGEREF _Toc77074868 \h </w:instrText>
        </w:r>
        <w:r w:rsidR="00332A29">
          <w:rPr>
            <w:noProof/>
            <w:webHidden/>
          </w:rPr>
        </w:r>
        <w:r w:rsidR="00332A29">
          <w:rPr>
            <w:noProof/>
            <w:webHidden/>
          </w:rPr>
          <w:fldChar w:fldCharType="separate"/>
        </w:r>
        <w:r w:rsidR="00332A29">
          <w:rPr>
            <w:noProof/>
            <w:webHidden/>
          </w:rPr>
          <w:t>118</w:t>
        </w:r>
        <w:r w:rsidR="00332A29">
          <w:rPr>
            <w:noProof/>
            <w:webHidden/>
          </w:rPr>
          <w:fldChar w:fldCharType="end"/>
        </w:r>
      </w:hyperlink>
    </w:p>
    <w:p w14:paraId="79CD3908" w14:textId="77777777" w:rsidR="00332A29" w:rsidRDefault="00183F7E">
      <w:pPr>
        <w:pStyle w:val="Seznamobrzk"/>
        <w:tabs>
          <w:tab w:val="right" w:leader="dot" w:pos="9062"/>
        </w:tabs>
        <w:rPr>
          <w:rFonts w:eastAsiaTheme="minorEastAsia"/>
          <w:noProof/>
          <w:lang w:eastAsia="cs-CZ"/>
        </w:rPr>
      </w:pPr>
      <w:hyperlink w:anchor="_Toc77074869" w:history="1">
        <w:r w:rsidR="00332A29" w:rsidRPr="00427970">
          <w:rPr>
            <w:rStyle w:val="Hypertextovodkaz"/>
            <w:noProof/>
          </w:rPr>
          <w:t>Obrázek 1.51: Vzdálenosti letišť ze Zlína automobilovou dopravou</w:t>
        </w:r>
        <w:r w:rsidR="00332A29">
          <w:rPr>
            <w:noProof/>
            <w:webHidden/>
          </w:rPr>
          <w:tab/>
        </w:r>
        <w:r w:rsidR="00332A29">
          <w:rPr>
            <w:noProof/>
            <w:webHidden/>
          </w:rPr>
          <w:fldChar w:fldCharType="begin"/>
        </w:r>
        <w:r w:rsidR="00332A29">
          <w:rPr>
            <w:noProof/>
            <w:webHidden/>
          </w:rPr>
          <w:instrText xml:space="preserve"> PAGEREF _Toc77074869 \h </w:instrText>
        </w:r>
        <w:r w:rsidR="00332A29">
          <w:rPr>
            <w:noProof/>
            <w:webHidden/>
          </w:rPr>
        </w:r>
        <w:r w:rsidR="00332A29">
          <w:rPr>
            <w:noProof/>
            <w:webHidden/>
          </w:rPr>
          <w:fldChar w:fldCharType="separate"/>
        </w:r>
        <w:r w:rsidR="00332A29">
          <w:rPr>
            <w:noProof/>
            <w:webHidden/>
          </w:rPr>
          <w:t>119</w:t>
        </w:r>
        <w:r w:rsidR="00332A29">
          <w:rPr>
            <w:noProof/>
            <w:webHidden/>
          </w:rPr>
          <w:fldChar w:fldCharType="end"/>
        </w:r>
      </w:hyperlink>
    </w:p>
    <w:p w14:paraId="5111DF7E" w14:textId="77777777" w:rsidR="00332A29" w:rsidRDefault="00183F7E">
      <w:pPr>
        <w:pStyle w:val="Seznamobrzk"/>
        <w:tabs>
          <w:tab w:val="right" w:leader="dot" w:pos="9062"/>
        </w:tabs>
        <w:rPr>
          <w:rFonts w:eastAsiaTheme="minorEastAsia"/>
          <w:noProof/>
          <w:lang w:eastAsia="cs-CZ"/>
        </w:rPr>
      </w:pPr>
      <w:hyperlink w:anchor="_Toc77074870" w:history="1">
        <w:r w:rsidR="00332A29" w:rsidRPr="00427970">
          <w:rPr>
            <w:rStyle w:val="Hypertextovodkaz"/>
            <w:noProof/>
          </w:rPr>
          <w:t xml:space="preserve">Obrázek 1.52: Vývoj průměrného hodnocení stavu silnic v okresech Zlínského kraje 2011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_Toc77074870 \h </w:instrText>
        </w:r>
        <w:r w:rsidR="00332A29">
          <w:rPr>
            <w:noProof/>
            <w:webHidden/>
          </w:rPr>
        </w:r>
        <w:r w:rsidR="00332A29">
          <w:rPr>
            <w:noProof/>
            <w:webHidden/>
          </w:rPr>
          <w:fldChar w:fldCharType="separate"/>
        </w:r>
        <w:r w:rsidR="00332A29">
          <w:rPr>
            <w:noProof/>
            <w:webHidden/>
          </w:rPr>
          <w:t>121</w:t>
        </w:r>
        <w:r w:rsidR="00332A29">
          <w:rPr>
            <w:noProof/>
            <w:webHidden/>
          </w:rPr>
          <w:fldChar w:fldCharType="end"/>
        </w:r>
      </w:hyperlink>
    </w:p>
    <w:p w14:paraId="35B7BAB8" w14:textId="77777777" w:rsidR="00332A29" w:rsidRDefault="00183F7E">
      <w:pPr>
        <w:pStyle w:val="Seznamobrzk"/>
        <w:tabs>
          <w:tab w:val="right" w:leader="dot" w:pos="9062"/>
        </w:tabs>
        <w:rPr>
          <w:rFonts w:eastAsiaTheme="minorEastAsia"/>
          <w:noProof/>
          <w:lang w:eastAsia="cs-CZ"/>
        </w:rPr>
      </w:pPr>
      <w:hyperlink w:anchor="_Toc77074871" w:history="1">
        <w:r w:rsidR="00332A29" w:rsidRPr="00427970">
          <w:rPr>
            <w:rStyle w:val="Hypertextovodkaz"/>
            <w:noProof/>
          </w:rPr>
          <w:t>Obrázek 1.53: Modernizace trati 331</w:t>
        </w:r>
        <w:r w:rsidR="00332A29">
          <w:rPr>
            <w:noProof/>
            <w:webHidden/>
          </w:rPr>
          <w:tab/>
        </w:r>
        <w:r w:rsidR="00332A29">
          <w:rPr>
            <w:noProof/>
            <w:webHidden/>
          </w:rPr>
          <w:fldChar w:fldCharType="begin"/>
        </w:r>
        <w:r w:rsidR="00332A29">
          <w:rPr>
            <w:noProof/>
            <w:webHidden/>
          </w:rPr>
          <w:instrText xml:space="preserve"> PAGEREF _Toc77074871 \h </w:instrText>
        </w:r>
        <w:r w:rsidR="00332A29">
          <w:rPr>
            <w:noProof/>
            <w:webHidden/>
          </w:rPr>
        </w:r>
        <w:r w:rsidR="00332A29">
          <w:rPr>
            <w:noProof/>
            <w:webHidden/>
          </w:rPr>
          <w:fldChar w:fldCharType="separate"/>
        </w:r>
        <w:r w:rsidR="00332A29">
          <w:rPr>
            <w:noProof/>
            <w:webHidden/>
          </w:rPr>
          <w:t>122</w:t>
        </w:r>
        <w:r w:rsidR="00332A29">
          <w:rPr>
            <w:noProof/>
            <w:webHidden/>
          </w:rPr>
          <w:fldChar w:fldCharType="end"/>
        </w:r>
      </w:hyperlink>
    </w:p>
    <w:p w14:paraId="6482E56E" w14:textId="77777777" w:rsidR="00332A29" w:rsidRDefault="00183F7E">
      <w:pPr>
        <w:pStyle w:val="Seznamobrzk"/>
        <w:tabs>
          <w:tab w:val="right" w:leader="dot" w:pos="9062"/>
        </w:tabs>
        <w:rPr>
          <w:rFonts w:eastAsiaTheme="minorEastAsia"/>
          <w:noProof/>
          <w:lang w:eastAsia="cs-CZ"/>
        </w:rPr>
      </w:pPr>
      <w:hyperlink w:anchor="_Toc77074872" w:history="1">
        <w:r w:rsidR="00332A29" w:rsidRPr="00427970">
          <w:rPr>
            <w:rStyle w:val="Hypertextovodkaz"/>
            <w:noProof/>
          </w:rPr>
          <w:t>Obrázek 1.54: Fotografie vlakového nádraží a vizualizace nového terminálu</w:t>
        </w:r>
        <w:r w:rsidR="00332A29">
          <w:rPr>
            <w:noProof/>
            <w:webHidden/>
          </w:rPr>
          <w:tab/>
        </w:r>
        <w:r w:rsidR="00332A29">
          <w:rPr>
            <w:noProof/>
            <w:webHidden/>
          </w:rPr>
          <w:fldChar w:fldCharType="begin"/>
        </w:r>
        <w:r w:rsidR="00332A29">
          <w:rPr>
            <w:noProof/>
            <w:webHidden/>
          </w:rPr>
          <w:instrText xml:space="preserve"> PAGEREF _Toc77074872 \h </w:instrText>
        </w:r>
        <w:r w:rsidR="00332A29">
          <w:rPr>
            <w:noProof/>
            <w:webHidden/>
          </w:rPr>
        </w:r>
        <w:r w:rsidR="00332A29">
          <w:rPr>
            <w:noProof/>
            <w:webHidden/>
          </w:rPr>
          <w:fldChar w:fldCharType="separate"/>
        </w:r>
        <w:r w:rsidR="00332A29">
          <w:rPr>
            <w:noProof/>
            <w:webHidden/>
          </w:rPr>
          <w:t>122</w:t>
        </w:r>
        <w:r w:rsidR="00332A29">
          <w:rPr>
            <w:noProof/>
            <w:webHidden/>
          </w:rPr>
          <w:fldChar w:fldCharType="end"/>
        </w:r>
      </w:hyperlink>
    </w:p>
    <w:p w14:paraId="0CA89CD5" w14:textId="77777777" w:rsidR="00332A29" w:rsidRDefault="00183F7E">
      <w:pPr>
        <w:pStyle w:val="Seznamobrzk"/>
        <w:tabs>
          <w:tab w:val="right" w:leader="dot" w:pos="9062"/>
        </w:tabs>
        <w:rPr>
          <w:rFonts w:eastAsiaTheme="minorEastAsia"/>
          <w:noProof/>
          <w:lang w:eastAsia="cs-CZ"/>
        </w:rPr>
      </w:pPr>
      <w:hyperlink w:anchor="_Toc77074873" w:history="1">
        <w:r w:rsidR="00332A29" w:rsidRPr="00427970">
          <w:rPr>
            <w:rStyle w:val="Hypertextovodkaz"/>
            <w:noProof/>
          </w:rPr>
          <w:t>Obrázek 1.55: Etapa Hulín Fryšták</w:t>
        </w:r>
        <w:r w:rsidR="00332A29">
          <w:rPr>
            <w:noProof/>
            <w:webHidden/>
          </w:rPr>
          <w:tab/>
        </w:r>
        <w:r w:rsidR="00332A29">
          <w:rPr>
            <w:noProof/>
            <w:webHidden/>
          </w:rPr>
          <w:fldChar w:fldCharType="begin"/>
        </w:r>
        <w:r w:rsidR="00332A29">
          <w:rPr>
            <w:noProof/>
            <w:webHidden/>
          </w:rPr>
          <w:instrText xml:space="preserve"> PAGEREF _Toc77074873 \h </w:instrText>
        </w:r>
        <w:r w:rsidR="00332A29">
          <w:rPr>
            <w:noProof/>
            <w:webHidden/>
          </w:rPr>
        </w:r>
        <w:r w:rsidR="00332A29">
          <w:rPr>
            <w:noProof/>
            <w:webHidden/>
          </w:rPr>
          <w:fldChar w:fldCharType="separate"/>
        </w:r>
        <w:r w:rsidR="00332A29">
          <w:rPr>
            <w:noProof/>
            <w:webHidden/>
          </w:rPr>
          <w:t>123</w:t>
        </w:r>
        <w:r w:rsidR="00332A29">
          <w:rPr>
            <w:noProof/>
            <w:webHidden/>
          </w:rPr>
          <w:fldChar w:fldCharType="end"/>
        </w:r>
      </w:hyperlink>
    </w:p>
    <w:p w14:paraId="3B955220" w14:textId="77777777" w:rsidR="00332A29" w:rsidRDefault="00183F7E">
      <w:pPr>
        <w:pStyle w:val="Seznamobrzk"/>
        <w:tabs>
          <w:tab w:val="right" w:leader="dot" w:pos="9062"/>
        </w:tabs>
        <w:rPr>
          <w:rFonts w:eastAsiaTheme="minorEastAsia"/>
          <w:noProof/>
          <w:lang w:eastAsia="cs-CZ"/>
        </w:rPr>
      </w:pPr>
      <w:hyperlink w:anchor="_Toc77074874" w:history="1">
        <w:r w:rsidR="00332A29" w:rsidRPr="00427970">
          <w:rPr>
            <w:rStyle w:val="Hypertextovodkaz"/>
            <w:noProof/>
          </w:rPr>
          <w:t>Obrázek 1.56: 1. Etapa Fryšták-Lípa</w:t>
        </w:r>
        <w:r w:rsidR="00332A29">
          <w:rPr>
            <w:noProof/>
            <w:webHidden/>
          </w:rPr>
          <w:tab/>
        </w:r>
        <w:r w:rsidR="00332A29">
          <w:rPr>
            <w:noProof/>
            <w:webHidden/>
          </w:rPr>
          <w:fldChar w:fldCharType="begin"/>
        </w:r>
        <w:r w:rsidR="00332A29">
          <w:rPr>
            <w:noProof/>
            <w:webHidden/>
          </w:rPr>
          <w:instrText xml:space="preserve"> PAGEREF _Toc77074874 \h </w:instrText>
        </w:r>
        <w:r w:rsidR="00332A29">
          <w:rPr>
            <w:noProof/>
            <w:webHidden/>
          </w:rPr>
        </w:r>
        <w:r w:rsidR="00332A29">
          <w:rPr>
            <w:noProof/>
            <w:webHidden/>
          </w:rPr>
          <w:fldChar w:fldCharType="separate"/>
        </w:r>
        <w:r w:rsidR="00332A29">
          <w:rPr>
            <w:noProof/>
            <w:webHidden/>
          </w:rPr>
          <w:t>123</w:t>
        </w:r>
        <w:r w:rsidR="00332A29">
          <w:rPr>
            <w:noProof/>
            <w:webHidden/>
          </w:rPr>
          <w:fldChar w:fldCharType="end"/>
        </w:r>
      </w:hyperlink>
    </w:p>
    <w:p w14:paraId="6A7C58AF" w14:textId="77777777" w:rsidR="00332A29" w:rsidRDefault="00183F7E">
      <w:pPr>
        <w:pStyle w:val="Seznamobrzk"/>
        <w:tabs>
          <w:tab w:val="right" w:leader="dot" w:pos="9062"/>
        </w:tabs>
        <w:rPr>
          <w:rFonts w:eastAsiaTheme="minorEastAsia"/>
          <w:noProof/>
          <w:lang w:eastAsia="cs-CZ"/>
        </w:rPr>
      </w:pPr>
      <w:hyperlink w:anchor="_Toc77074875" w:history="1">
        <w:r w:rsidR="00332A29" w:rsidRPr="00427970">
          <w:rPr>
            <w:rStyle w:val="Hypertextovodkaz"/>
            <w:noProof/>
          </w:rPr>
          <w:t>Obrázek 1.57: 2. Etapa Fryšták-Lípa</w:t>
        </w:r>
        <w:r w:rsidR="00332A29">
          <w:rPr>
            <w:noProof/>
            <w:webHidden/>
          </w:rPr>
          <w:tab/>
        </w:r>
        <w:r w:rsidR="00332A29">
          <w:rPr>
            <w:noProof/>
            <w:webHidden/>
          </w:rPr>
          <w:fldChar w:fldCharType="begin"/>
        </w:r>
        <w:r w:rsidR="00332A29">
          <w:rPr>
            <w:noProof/>
            <w:webHidden/>
          </w:rPr>
          <w:instrText xml:space="preserve"> PAGEREF _Toc77074875 \h </w:instrText>
        </w:r>
        <w:r w:rsidR="00332A29">
          <w:rPr>
            <w:noProof/>
            <w:webHidden/>
          </w:rPr>
        </w:r>
        <w:r w:rsidR="00332A29">
          <w:rPr>
            <w:noProof/>
            <w:webHidden/>
          </w:rPr>
          <w:fldChar w:fldCharType="separate"/>
        </w:r>
        <w:r w:rsidR="00332A29">
          <w:rPr>
            <w:noProof/>
            <w:webHidden/>
          </w:rPr>
          <w:t>123</w:t>
        </w:r>
        <w:r w:rsidR="00332A29">
          <w:rPr>
            <w:noProof/>
            <w:webHidden/>
          </w:rPr>
          <w:fldChar w:fldCharType="end"/>
        </w:r>
      </w:hyperlink>
    </w:p>
    <w:p w14:paraId="3F632138" w14:textId="77777777" w:rsidR="00332A29" w:rsidRDefault="00183F7E">
      <w:pPr>
        <w:pStyle w:val="Seznamobrzk"/>
        <w:tabs>
          <w:tab w:val="right" w:leader="dot" w:pos="9062"/>
        </w:tabs>
        <w:rPr>
          <w:rFonts w:eastAsiaTheme="minorEastAsia"/>
          <w:noProof/>
          <w:lang w:eastAsia="cs-CZ"/>
        </w:rPr>
      </w:pPr>
      <w:hyperlink w:anchor="_Toc77074876" w:history="1">
        <w:r w:rsidR="00332A29" w:rsidRPr="00427970">
          <w:rPr>
            <w:rStyle w:val="Hypertextovodkaz"/>
            <w:noProof/>
          </w:rPr>
          <w:t>Obrázek 1.58: 3. Etapa Fryšták-Lípa</w:t>
        </w:r>
        <w:r w:rsidR="00332A29">
          <w:rPr>
            <w:noProof/>
            <w:webHidden/>
          </w:rPr>
          <w:tab/>
        </w:r>
        <w:r w:rsidR="00332A29">
          <w:rPr>
            <w:noProof/>
            <w:webHidden/>
          </w:rPr>
          <w:fldChar w:fldCharType="begin"/>
        </w:r>
        <w:r w:rsidR="00332A29">
          <w:rPr>
            <w:noProof/>
            <w:webHidden/>
          </w:rPr>
          <w:instrText xml:space="preserve"> PAGEREF _Toc77074876 \h </w:instrText>
        </w:r>
        <w:r w:rsidR="00332A29">
          <w:rPr>
            <w:noProof/>
            <w:webHidden/>
          </w:rPr>
        </w:r>
        <w:r w:rsidR="00332A29">
          <w:rPr>
            <w:noProof/>
            <w:webHidden/>
          </w:rPr>
          <w:fldChar w:fldCharType="separate"/>
        </w:r>
        <w:r w:rsidR="00332A29">
          <w:rPr>
            <w:noProof/>
            <w:webHidden/>
          </w:rPr>
          <w:t>123</w:t>
        </w:r>
        <w:r w:rsidR="00332A29">
          <w:rPr>
            <w:noProof/>
            <w:webHidden/>
          </w:rPr>
          <w:fldChar w:fldCharType="end"/>
        </w:r>
      </w:hyperlink>
    </w:p>
    <w:p w14:paraId="58FE2D8B" w14:textId="77777777" w:rsidR="00332A29" w:rsidRDefault="00183F7E">
      <w:pPr>
        <w:pStyle w:val="Seznamobrzk"/>
        <w:tabs>
          <w:tab w:val="right" w:leader="dot" w:pos="9062"/>
        </w:tabs>
        <w:rPr>
          <w:rFonts w:eastAsiaTheme="minorEastAsia"/>
          <w:noProof/>
          <w:lang w:eastAsia="cs-CZ"/>
        </w:rPr>
      </w:pPr>
      <w:hyperlink w:anchor="_Toc77074877" w:history="1">
        <w:r w:rsidR="00332A29" w:rsidRPr="00427970">
          <w:rPr>
            <w:rStyle w:val="Hypertextovodkaz"/>
            <w:noProof/>
          </w:rPr>
          <w:t>Obrázek 1.59: Oblasti zásobované z jednotlivých zdrojů</w:t>
        </w:r>
        <w:r w:rsidR="00332A29">
          <w:rPr>
            <w:noProof/>
            <w:webHidden/>
          </w:rPr>
          <w:tab/>
        </w:r>
        <w:r w:rsidR="00332A29">
          <w:rPr>
            <w:noProof/>
            <w:webHidden/>
          </w:rPr>
          <w:fldChar w:fldCharType="begin"/>
        </w:r>
        <w:r w:rsidR="00332A29">
          <w:rPr>
            <w:noProof/>
            <w:webHidden/>
          </w:rPr>
          <w:instrText xml:space="preserve"> PAGEREF _Toc77074877 \h </w:instrText>
        </w:r>
        <w:r w:rsidR="00332A29">
          <w:rPr>
            <w:noProof/>
            <w:webHidden/>
          </w:rPr>
        </w:r>
        <w:r w:rsidR="00332A29">
          <w:rPr>
            <w:noProof/>
            <w:webHidden/>
          </w:rPr>
          <w:fldChar w:fldCharType="separate"/>
        </w:r>
        <w:r w:rsidR="00332A29">
          <w:rPr>
            <w:noProof/>
            <w:webHidden/>
          </w:rPr>
          <w:t>125</w:t>
        </w:r>
        <w:r w:rsidR="00332A29">
          <w:rPr>
            <w:noProof/>
            <w:webHidden/>
          </w:rPr>
          <w:fldChar w:fldCharType="end"/>
        </w:r>
      </w:hyperlink>
    </w:p>
    <w:p w14:paraId="2A262349" w14:textId="77777777" w:rsidR="00332A29" w:rsidRDefault="00183F7E">
      <w:pPr>
        <w:pStyle w:val="Seznamobrzk"/>
        <w:tabs>
          <w:tab w:val="right" w:leader="dot" w:pos="9062"/>
        </w:tabs>
        <w:rPr>
          <w:rFonts w:eastAsiaTheme="minorEastAsia"/>
          <w:noProof/>
          <w:lang w:eastAsia="cs-CZ"/>
        </w:rPr>
      </w:pPr>
      <w:hyperlink w:anchor="_Toc77074878" w:history="1">
        <w:r w:rsidR="00332A29" w:rsidRPr="00427970">
          <w:rPr>
            <w:rStyle w:val="Hypertextovodkaz"/>
            <w:noProof/>
          </w:rPr>
          <w:t>Obrázek 1.60: Kanalizační síť</w:t>
        </w:r>
        <w:r w:rsidR="00332A29">
          <w:rPr>
            <w:noProof/>
            <w:webHidden/>
          </w:rPr>
          <w:tab/>
        </w:r>
        <w:r w:rsidR="00332A29">
          <w:rPr>
            <w:noProof/>
            <w:webHidden/>
          </w:rPr>
          <w:fldChar w:fldCharType="begin"/>
        </w:r>
        <w:r w:rsidR="00332A29">
          <w:rPr>
            <w:noProof/>
            <w:webHidden/>
          </w:rPr>
          <w:instrText xml:space="preserve"> PAGEREF _Toc77074878 \h </w:instrText>
        </w:r>
        <w:r w:rsidR="00332A29">
          <w:rPr>
            <w:noProof/>
            <w:webHidden/>
          </w:rPr>
        </w:r>
        <w:r w:rsidR="00332A29">
          <w:rPr>
            <w:noProof/>
            <w:webHidden/>
          </w:rPr>
          <w:fldChar w:fldCharType="separate"/>
        </w:r>
        <w:r w:rsidR="00332A29">
          <w:rPr>
            <w:noProof/>
            <w:webHidden/>
          </w:rPr>
          <w:t>128</w:t>
        </w:r>
        <w:r w:rsidR="00332A29">
          <w:rPr>
            <w:noProof/>
            <w:webHidden/>
          </w:rPr>
          <w:fldChar w:fldCharType="end"/>
        </w:r>
      </w:hyperlink>
    </w:p>
    <w:p w14:paraId="14246FAE" w14:textId="77777777" w:rsidR="00332A29" w:rsidRDefault="00183F7E">
      <w:pPr>
        <w:pStyle w:val="Seznamobrzk"/>
        <w:tabs>
          <w:tab w:val="right" w:leader="dot" w:pos="9062"/>
        </w:tabs>
        <w:rPr>
          <w:rFonts w:eastAsiaTheme="minorEastAsia"/>
          <w:noProof/>
          <w:lang w:eastAsia="cs-CZ"/>
        </w:rPr>
      </w:pPr>
      <w:hyperlink w:anchor="_Toc77074879" w:history="1">
        <w:r w:rsidR="00332A29" w:rsidRPr="00427970">
          <w:rPr>
            <w:rStyle w:val="Hypertextovodkaz"/>
            <w:noProof/>
          </w:rPr>
          <w:t>Obrázek 1.61: Podíl jednotlivých zdrojů odpadních vod</w:t>
        </w:r>
        <w:r w:rsidR="00332A29">
          <w:rPr>
            <w:noProof/>
            <w:webHidden/>
          </w:rPr>
          <w:tab/>
        </w:r>
        <w:r w:rsidR="00332A29">
          <w:rPr>
            <w:noProof/>
            <w:webHidden/>
          </w:rPr>
          <w:fldChar w:fldCharType="begin"/>
        </w:r>
        <w:r w:rsidR="00332A29">
          <w:rPr>
            <w:noProof/>
            <w:webHidden/>
          </w:rPr>
          <w:instrText xml:space="preserve"> PAGEREF _Toc77074879 \h </w:instrText>
        </w:r>
        <w:r w:rsidR="00332A29">
          <w:rPr>
            <w:noProof/>
            <w:webHidden/>
          </w:rPr>
        </w:r>
        <w:r w:rsidR="00332A29">
          <w:rPr>
            <w:noProof/>
            <w:webHidden/>
          </w:rPr>
          <w:fldChar w:fldCharType="separate"/>
        </w:r>
        <w:r w:rsidR="00332A29">
          <w:rPr>
            <w:noProof/>
            <w:webHidden/>
          </w:rPr>
          <w:t>129</w:t>
        </w:r>
        <w:r w:rsidR="00332A29">
          <w:rPr>
            <w:noProof/>
            <w:webHidden/>
          </w:rPr>
          <w:fldChar w:fldCharType="end"/>
        </w:r>
      </w:hyperlink>
    </w:p>
    <w:p w14:paraId="54DD169D" w14:textId="77777777" w:rsidR="00332A29" w:rsidRDefault="00183F7E">
      <w:pPr>
        <w:pStyle w:val="Seznamobrzk"/>
        <w:tabs>
          <w:tab w:val="right" w:leader="dot" w:pos="9062"/>
        </w:tabs>
        <w:rPr>
          <w:rFonts w:eastAsiaTheme="minorEastAsia"/>
          <w:noProof/>
          <w:lang w:eastAsia="cs-CZ"/>
        </w:rPr>
      </w:pPr>
      <w:hyperlink w:anchor="_Toc77074880" w:history="1">
        <w:r w:rsidR="00332A29" w:rsidRPr="00427970">
          <w:rPr>
            <w:rStyle w:val="Hypertextovodkaz"/>
            <w:noProof/>
          </w:rPr>
          <w:t>Obrázek 1.62: Vedení plynovodu</w:t>
        </w:r>
        <w:r w:rsidR="00332A29">
          <w:rPr>
            <w:noProof/>
            <w:webHidden/>
          </w:rPr>
          <w:tab/>
        </w:r>
        <w:r w:rsidR="00332A29">
          <w:rPr>
            <w:noProof/>
            <w:webHidden/>
          </w:rPr>
          <w:fldChar w:fldCharType="begin"/>
        </w:r>
        <w:r w:rsidR="00332A29">
          <w:rPr>
            <w:noProof/>
            <w:webHidden/>
          </w:rPr>
          <w:instrText xml:space="preserve"> PAGEREF _Toc77074880 \h </w:instrText>
        </w:r>
        <w:r w:rsidR="00332A29">
          <w:rPr>
            <w:noProof/>
            <w:webHidden/>
          </w:rPr>
        </w:r>
        <w:r w:rsidR="00332A29">
          <w:rPr>
            <w:noProof/>
            <w:webHidden/>
          </w:rPr>
          <w:fldChar w:fldCharType="separate"/>
        </w:r>
        <w:r w:rsidR="00332A29">
          <w:rPr>
            <w:noProof/>
            <w:webHidden/>
          </w:rPr>
          <w:t>130</w:t>
        </w:r>
        <w:r w:rsidR="00332A29">
          <w:rPr>
            <w:noProof/>
            <w:webHidden/>
          </w:rPr>
          <w:fldChar w:fldCharType="end"/>
        </w:r>
      </w:hyperlink>
    </w:p>
    <w:p w14:paraId="40B96BE9" w14:textId="77777777" w:rsidR="00332A29" w:rsidRDefault="00183F7E">
      <w:pPr>
        <w:pStyle w:val="Seznamobrzk"/>
        <w:tabs>
          <w:tab w:val="right" w:leader="dot" w:pos="9062"/>
        </w:tabs>
        <w:rPr>
          <w:rFonts w:eastAsiaTheme="minorEastAsia"/>
          <w:noProof/>
          <w:lang w:eastAsia="cs-CZ"/>
        </w:rPr>
      </w:pPr>
      <w:hyperlink w:anchor="_Toc77074881" w:history="1">
        <w:r w:rsidR="00332A29" w:rsidRPr="00427970">
          <w:rPr>
            <w:rStyle w:val="Hypertextovodkaz"/>
            <w:noProof/>
          </w:rPr>
          <w:t xml:space="preserve">Obrázek 1.63: Spotřeba plynu a podíl spotřeby na druhu odběratele (2014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_Toc77074881 \h </w:instrText>
        </w:r>
        <w:r w:rsidR="00332A29">
          <w:rPr>
            <w:noProof/>
            <w:webHidden/>
          </w:rPr>
        </w:r>
        <w:r w:rsidR="00332A29">
          <w:rPr>
            <w:noProof/>
            <w:webHidden/>
          </w:rPr>
          <w:fldChar w:fldCharType="separate"/>
        </w:r>
        <w:r w:rsidR="00332A29">
          <w:rPr>
            <w:noProof/>
            <w:webHidden/>
          </w:rPr>
          <w:t>131</w:t>
        </w:r>
        <w:r w:rsidR="00332A29">
          <w:rPr>
            <w:noProof/>
            <w:webHidden/>
          </w:rPr>
          <w:fldChar w:fldCharType="end"/>
        </w:r>
      </w:hyperlink>
    </w:p>
    <w:p w14:paraId="246DB28C" w14:textId="77777777" w:rsidR="00332A29" w:rsidRDefault="00183F7E">
      <w:pPr>
        <w:pStyle w:val="Seznamobrzk"/>
        <w:tabs>
          <w:tab w:val="right" w:leader="dot" w:pos="9062"/>
        </w:tabs>
        <w:rPr>
          <w:rFonts w:eastAsiaTheme="minorEastAsia"/>
          <w:noProof/>
          <w:lang w:eastAsia="cs-CZ"/>
        </w:rPr>
      </w:pPr>
      <w:hyperlink w:anchor="_Toc77074882" w:history="1">
        <w:r w:rsidR="00332A29" w:rsidRPr="00427970">
          <w:rPr>
            <w:rStyle w:val="Hypertextovodkaz"/>
            <w:noProof/>
          </w:rPr>
          <w:t>Obrázek 1.64: Síť elektrického vedení</w:t>
        </w:r>
        <w:r w:rsidR="00332A29">
          <w:rPr>
            <w:noProof/>
            <w:webHidden/>
          </w:rPr>
          <w:tab/>
        </w:r>
        <w:r w:rsidR="00332A29">
          <w:rPr>
            <w:noProof/>
            <w:webHidden/>
          </w:rPr>
          <w:fldChar w:fldCharType="begin"/>
        </w:r>
        <w:r w:rsidR="00332A29">
          <w:rPr>
            <w:noProof/>
            <w:webHidden/>
          </w:rPr>
          <w:instrText xml:space="preserve"> PAGEREF _Toc77074882 \h </w:instrText>
        </w:r>
        <w:r w:rsidR="00332A29">
          <w:rPr>
            <w:noProof/>
            <w:webHidden/>
          </w:rPr>
        </w:r>
        <w:r w:rsidR="00332A29">
          <w:rPr>
            <w:noProof/>
            <w:webHidden/>
          </w:rPr>
          <w:fldChar w:fldCharType="separate"/>
        </w:r>
        <w:r w:rsidR="00332A29">
          <w:rPr>
            <w:noProof/>
            <w:webHidden/>
          </w:rPr>
          <w:t>132</w:t>
        </w:r>
        <w:r w:rsidR="00332A29">
          <w:rPr>
            <w:noProof/>
            <w:webHidden/>
          </w:rPr>
          <w:fldChar w:fldCharType="end"/>
        </w:r>
      </w:hyperlink>
    </w:p>
    <w:p w14:paraId="1F6763BA" w14:textId="77777777" w:rsidR="00332A29" w:rsidRDefault="00183F7E">
      <w:pPr>
        <w:pStyle w:val="Seznamobrzk"/>
        <w:tabs>
          <w:tab w:val="right" w:leader="dot" w:pos="9062"/>
        </w:tabs>
        <w:rPr>
          <w:rFonts w:eastAsiaTheme="minorEastAsia"/>
          <w:noProof/>
          <w:lang w:eastAsia="cs-CZ"/>
        </w:rPr>
      </w:pPr>
      <w:hyperlink w:anchor="_Toc77074883" w:history="1">
        <w:r w:rsidR="00332A29" w:rsidRPr="00427970">
          <w:rPr>
            <w:rStyle w:val="Hypertextovodkaz"/>
            <w:noProof/>
          </w:rPr>
          <w:t>Obrázek 1.65: Teplovodní tepelná síť</w:t>
        </w:r>
        <w:r w:rsidR="00332A29">
          <w:rPr>
            <w:noProof/>
            <w:webHidden/>
          </w:rPr>
          <w:tab/>
        </w:r>
        <w:r w:rsidR="00332A29">
          <w:rPr>
            <w:noProof/>
            <w:webHidden/>
          </w:rPr>
          <w:fldChar w:fldCharType="begin"/>
        </w:r>
        <w:r w:rsidR="00332A29">
          <w:rPr>
            <w:noProof/>
            <w:webHidden/>
          </w:rPr>
          <w:instrText xml:space="preserve"> PAGEREF _Toc77074883 \h </w:instrText>
        </w:r>
        <w:r w:rsidR="00332A29">
          <w:rPr>
            <w:noProof/>
            <w:webHidden/>
          </w:rPr>
        </w:r>
        <w:r w:rsidR="00332A29">
          <w:rPr>
            <w:noProof/>
            <w:webHidden/>
          </w:rPr>
          <w:fldChar w:fldCharType="separate"/>
        </w:r>
        <w:r w:rsidR="00332A29">
          <w:rPr>
            <w:noProof/>
            <w:webHidden/>
          </w:rPr>
          <w:t>133</w:t>
        </w:r>
        <w:r w:rsidR="00332A29">
          <w:rPr>
            <w:noProof/>
            <w:webHidden/>
          </w:rPr>
          <w:fldChar w:fldCharType="end"/>
        </w:r>
      </w:hyperlink>
    </w:p>
    <w:p w14:paraId="5C699941" w14:textId="77777777" w:rsidR="00332A29" w:rsidRDefault="00183F7E">
      <w:pPr>
        <w:pStyle w:val="Seznamobrzk"/>
        <w:tabs>
          <w:tab w:val="right" w:leader="dot" w:pos="9062"/>
        </w:tabs>
        <w:rPr>
          <w:rFonts w:eastAsiaTheme="minorEastAsia"/>
          <w:noProof/>
          <w:lang w:eastAsia="cs-CZ"/>
        </w:rPr>
      </w:pPr>
      <w:hyperlink w:anchor="_Toc77074884" w:history="1">
        <w:r w:rsidR="00332A29" w:rsidRPr="00427970">
          <w:rPr>
            <w:rStyle w:val="Hypertextovodkaz"/>
            <w:noProof/>
          </w:rPr>
          <w:t>Obrázek 1.66: Datové sítě</w:t>
        </w:r>
        <w:r w:rsidR="00332A29">
          <w:rPr>
            <w:noProof/>
            <w:webHidden/>
          </w:rPr>
          <w:tab/>
        </w:r>
        <w:r w:rsidR="00332A29">
          <w:rPr>
            <w:noProof/>
            <w:webHidden/>
          </w:rPr>
          <w:fldChar w:fldCharType="begin"/>
        </w:r>
        <w:r w:rsidR="00332A29">
          <w:rPr>
            <w:noProof/>
            <w:webHidden/>
          </w:rPr>
          <w:instrText xml:space="preserve"> PAGEREF _Toc77074884 \h </w:instrText>
        </w:r>
        <w:r w:rsidR="00332A29">
          <w:rPr>
            <w:noProof/>
            <w:webHidden/>
          </w:rPr>
        </w:r>
        <w:r w:rsidR="00332A29">
          <w:rPr>
            <w:noProof/>
            <w:webHidden/>
          </w:rPr>
          <w:fldChar w:fldCharType="separate"/>
        </w:r>
        <w:r w:rsidR="00332A29">
          <w:rPr>
            <w:noProof/>
            <w:webHidden/>
          </w:rPr>
          <w:t>134</w:t>
        </w:r>
        <w:r w:rsidR="00332A29">
          <w:rPr>
            <w:noProof/>
            <w:webHidden/>
          </w:rPr>
          <w:fldChar w:fldCharType="end"/>
        </w:r>
      </w:hyperlink>
    </w:p>
    <w:p w14:paraId="5A2945C7" w14:textId="77777777" w:rsidR="00332A29" w:rsidRDefault="00183F7E">
      <w:pPr>
        <w:pStyle w:val="Seznamobrzk"/>
        <w:tabs>
          <w:tab w:val="right" w:leader="dot" w:pos="9062"/>
        </w:tabs>
        <w:rPr>
          <w:rFonts w:eastAsiaTheme="minorEastAsia"/>
          <w:noProof/>
          <w:lang w:eastAsia="cs-CZ"/>
        </w:rPr>
      </w:pPr>
      <w:hyperlink w:anchor="_Toc77074885" w:history="1">
        <w:r w:rsidR="00332A29" w:rsidRPr="00427970">
          <w:rPr>
            <w:rStyle w:val="Hypertextovodkaz"/>
            <w:noProof/>
          </w:rPr>
          <w:t>Obrázek 1.67: Náklady na provoz a údržbu světelného osvětlení v letech 2015-2019</w:t>
        </w:r>
        <w:r w:rsidR="00332A29">
          <w:rPr>
            <w:noProof/>
            <w:webHidden/>
          </w:rPr>
          <w:tab/>
        </w:r>
        <w:r w:rsidR="00332A29">
          <w:rPr>
            <w:noProof/>
            <w:webHidden/>
          </w:rPr>
          <w:fldChar w:fldCharType="begin"/>
        </w:r>
        <w:r w:rsidR="00332A29">
          <w:rPr>
            <w:noProof/>
            <w:webHidden/>
          </w:rPr>
          <w:instrText xml:space="preserve"> PAGEREF _Toc77074885 \h </w:instrText>
        </w:r>
        <w:r w:rsidR="00332A29">
          <w:rPr>
            <w:noProof/>
            <w:webHidden/>
          </w:rPr>
        </w:r>
        <w:r w:rsidR="00332A29">
          <w:rPr>
            <w:noProof/>
            <w:webHidden/>
          </w:rPr>
          <w:fldChar w:fldCharType="separate"/>
        </w:r>
        <w:r w:rsidR="00332A29">
          <w:rPr>
            <w:noProof/>
            <w:webHidden/>
          </w:rPr>
          <w:t>136</w:t>
        </w:r>
        <w:r w:rsidR="00332A29">
          <w:rPr>
            <w:noProof/>
            <w:webHidden/>
          </w:rPr>
          <w:fldChar w:fldCharType="end"/>
        </w:r>
      </w:hyperlink>
    </w:p>
    <w:p w14:paraId="7C66C419" w14:textId="77777777" w:rsidR="00332A29" w:rsidRDefault="00183F7E">
      <w:pPr>
        <w:pStyle w:val="Seznamobrzk"/>
        <w:tabs>
          <w:tab w:val="right" w:leader="dot" w:pos="9062"/>
        </w:tabs>
        <w:rPr>
          <w:rFonts w:eastAsiaTheme="minorEastAsia"/>
          <w:noProof/>
          <w:lang w:eastAsia="cs-CZ"/>
        </w:rPr>
      </w:pPr>
      <w:hyperlink w:anchor="_Toc77074886" w:history="1">
        <w:r w:rsidR="00332A29" w:rsidRPr="00427970">
          <w:rPr>
            <w:rStyle w:val="Hypertextovodkaz"/>
            <w:noProof/>
          </w:rPr>
          <w:t>Obrázek 1.68: Index kriminality obvodních oddělení PČR vybraných měst v letech 2014 až 2018</w:t>
        </w:r>
        <w:r w:rsidR="00332A29">
          <w:rPr>
            <w:noProof/>
            <w:webHidden/>
          </w:rPr>
          <w:tab/>
        </w:r>
        <w:r w:rsidR="00332A29">
          <w:rPr>
            <w:noProof/>
            <w:webHidden/>
          </w:rPr>
          <w:fldChar w:fldCharType="begin"/>
        </w:r>
        <w:r w:rsidR="00332A29">
          <w:rPr>
            <w:noProof/>
            <w:webHidden/>
          </w:rPr>
          <w:instrText xml:space="preserve"> PAGEREF _Toc77074886 \h </w:instrText>
        </w:r>
        <w:r w:rsidR="00332A29">
          <w:rPr>
            <w:noProof/>
            <w:webHidden/>
          </w:rPr>
        </w:r>
        <w:r w:rsidR="00332A29">
          <w:rPr>
            <w:noProof/>
            <w:webHidden/>
          </w:rPr>
          <w:fldChar w:fldCharType="separate"/>
        </w:r>
        <w:r w:rsidR="00332A29">
          <w:rPr>
            <w:noProof/>
            <w:webHidden/>
          </w:rPr>
          <w:t>142</w:t>
        </w:r>
        <w:r w:rsidR="00332A29">
          <w:rPr>
            <w:noProof/>
            <w:webHidden/>
          </w:rPr>
          <w:fldChar w:fldCharType="end"/>
        </w:r>
      </w:hyperlink>
    </w:p>
    <w:p w14:paraId="0D7DE700" w14:textId="77777777" w:rsidR="00332A29" w:rsidRDefault="00183F7E">
      <w:pPr>
        <w:pStyle w:val="Seznamobrzk"/>
        <w:tabs>
          <w:tab w:val="right" w:leader="dot" w:pos="9062"/>
        </w:tabs>
        <w:rPr>
          <w:rFonts w:eastAsiaTheme="minorEastAsia"/>
          <w:noProof/>
          <w:lang w:eastAsia="cs-CZ"/>
        </w:rPr>
      </w:pPr>
      <w:hyperlink w:anchor="_Toc77074887" w:history="1">
        <w:r w:rsidR="00332A29" w:rsidRPr="00427970">
          <w:rPr>
            <w:rStyle w:val="Hypertextovodkaz"/>
            <w:noProof/>
          </w:rPr>
          <w:t xml:space="preserve">Obrázek 1.69: </w:t>
        </w:r>
        <w:r w:rsidR="00332A29" w:rsidRPr="00427970">
          <w:rPr>
            <w:rStyle w:val="Hypertextovodkaz"/>
            <w:rFonts w:cstheme="minorHAnsi"/>
            <w:noProof/>
          </w:rPr>
          <w:t>Pocit bezpečí v místě bydliště</w:t>
        </w:r>
        <w:r w:rsidR="00332A29">
          <w:rPr>
            <w:noProof/>
            <w:webHidden/>
          </w:rPr>
          <w:tab/>
        </w:r>
        <w:r w:rsidR="00332A29">
          <w:rPr>
            <w:noProof/>
            <w:webHidden/>
          </w:rPr>
          <w:fldChar w:fldCharType="begin"/>
        </w:r>
        <w:r w:rsidR="00332A29">
          <w:rPr>
            <w:noProof/>
            <w:webHidden/>
          </w:rPr>
          <w:instrText xml:space="preserve"> PAGEREF _Toc77074887 \h </w:instrText>
        </w:r>
        <w:r w:rsidR="00332A29">
          <w:rPr>
            <w:noProof/>
            <w:webHidden/>
          </w:rPr>
        </w:r>
        <w:r w:rsidR="00332A29">
          <w:rPr>
            <w:noProof/>
            <w:webHidden/>
          </w:rPr>
          <w:fldChar w:fldCharType="separate"/>
        </w:r>
        <w:r w:rsidR="00332A29">
          <w:rPr>
            <w:noProof/>
            <w:webHidden/>
          </w:rPr>
          <w:t>143</w:t>
        </w:r>
        <w:r w:rsidR="00332A29">
          <w:rPr>
            <w:noProof/>
            <w:webHidden/>
          </w:rPr>
          <w:fldChar w:fldCharType="end"/>
        </w:r>
      </w:hyperlink>
    </w:p>
    <w:p w14:paraId="32139E7A" w14:textId="77777777" w:rsidR="00332A29" w:rsidRDefault="00183F7E">
      <w:pPr>
        <w:pStyle w:val="Seznamobrzk"/>
        <w:tabs>
          <w:tab w:val="right" w:leader="dot" w:pos="9062"/>
        </w:tabs>
        <w:rPr>
          <w:rFonts w:eastAsiaTheme="minorEastAsia"/>
          <w:noProof/>
          <w:lang w:eastAsia="cs-CZ"/>
        </w:rPr>
      </w:pPr>
      <w:hyperlink w:anchor="_Toc77074888" w:history="1">
        <w:r w:rsidR="00332A29" w:rsidRPr="00427970">
          <w:rPr>
            <w:rStyle w:val="Hypertextovodkaz"/>
            <w:noProof/>
          </w:rPr>
          <w:t xml:space="preserve">Obrázek 1.70: </w:t>
        </w:r>
        <w:r w:rsidR="00332A29" w:rsidRPr="00427970">
          <w:rPr>
            <w:rStyle w:val="Hypertextovodkaz"/>
            <w:rFonts w:cstheme="minorHAnsi"/>
            <w:noProof/>
          </w:rPr>
          <w:t>Důvody, proč se respondenti necítí bezpečně</w:t>
        </w:r>
        <w:r w:rsidR="00332A29">
          <w:rPr>
            <w:noProof/>
            <w:webHidden/>
          </w:rPr>
          <w:tab/>
        </w:r>
        <w:r w:rsidR="00332A29">
          <w:rPr>
            <w:noProof/>
            <w:webHidden/>
          </w:rPr>
          <w:fldChar w:fldCharType="begin"/>
        </w:r>
        <w:r w:rsidR="00332A29">
          <w:rPr>
            <w:noProof/>
            <w:webHidden/>
          </w:rPr>
          <w:instrText xml:space="preserve"> PAGEREF _Toc77074888 \h </w:instrText>
        </w:r>
        <w:r w:rsidR="00332A29">
          <w:rPr>
            <w:noProof/>
            <w:webHidden/>
          </w:rPr>
        </w:r>
        <w:r w:rsidR="00332A29">
          <w:rPr>
            <w:noProof/>
            <w:webHidden/>
          </w:rPr>
          <w:fldChar w:fldCharType="separate"/>
        </w:r>
        <w:r w:rsidR="00332A29">
          <w:rPr>
            <w:noProof/>
            <w:webHidden/>
          </w:rPr>
          <w:t>144</w:t>
        </w:r>
        <w:r w:rsidR="00332A29">
          <w:rPr>
            <w:noProof/>
            <w:webHidden/>
          </w:rPr>
          <w:fldChar w:fldCharType="end"/>
        </w:r>
      </w:hyperlink>
    </w:p>
    <w:p w14:paraId="35B37FFE" w14:textId="77777777" w:rsidR="00332A29" w:rsidRDefault="00183F7E">
      <w:pPr>
        <w:pStyle w:val="Seznamobrzk"/>
        <w:tabs>
          <w:tab w:val="right" w:leader="dot" w:pos="9062"/>
        </w:tabs>
        <w:rPr>
          <w:rFonts w:eastAsiaTheme="minorEastAsia"/>
          <w:noProof/>
          <w:lang w:eastAsia="cs-CZ"/>
        </w:rPr>
      </w:pPr>
      <w:hyperlink w:anchor="_Toc77074889" w:history="1">
        <w:r w:rsidR="00332A29" w:rsidRPr="00427970">
          <w:rPr>
            <w:rStyle w:val="Hypertextovodkaz"/>
            <w:noProof/>
          </w:rPr>
          <w:t>Obrázek 1.71: Vývoj věkové struktury strážníků městské policie Zlín</w:t>
        </w:r>
        <w:r w:rsidR="00332A29">
          <w:rPr>
            <w:noProof/>
            <w:webHidden/>
          </w:rPr>
          <w:tab/>
        </w:r>
        <w:r w:rsidR="00332A29">
          <w:rPr>
            <w:noProof/>
            <w:webHidden/>
          </w:rPr>
          <w:fldChar w:fldCharType="begin"/>
        </w:r>
        <w:r w:rsidR="00332A29">
          <w:rPr>
            <w:noProof/>
            <w:webHidden/>
          </w:rPr>
          <w:instrText xml:space="preserve"> PAGEREF _Toc77074889 \h </w:instrText>
        </w:r>
        <w:r w:rsidR="00332A29">
          <w:rPr>
            <w:noProof/>
            <w:webHidden/>
          </w:rPr>
        </w:r>
        <w:r w:rsidR="00332A29">
          <w:rPr>
            <w:noProof/>
            <w:webHidden/>
          </w:rPr>
          <w:fldChar w:fldCharType="separate"/>
        </w:r>
        <w:r w:rsidR="00332A29">
          <w:rPr>
            <w:noProof/>
            <w:webHidden/>
          </w:rPr>
          <w:t>146</w:t>
        </w:r>
        <w:r w:rsidR="00332A29">
          <w:rPr>
            <w:noProof/>
            <w:webHidden/>
          </w:rPr>
          <w:fldChar w:fldCharType="end"/>
        </w:r>
      </w:hyperlink>
    </w:p>
    <w:p w14:paraId="42420CAA" w14:textId="77777777" w:rsidR="00332A29" w:rsidRDefault="00183F7E">
      <w:pPr>
        <w:pStyle w:val="Seznamobrzk"/>
        <w:tabs>
          <w:tab w:val="right" w:leader="dot" w:pos="9062"/>
        </w:tabs>
        <w:rPr>
          <w:rFonts w:eastAsiaTheme="minorEastAsia"/>
          <w:noProof/>
          <w:lang w:eastAsia="cs-CZ"/>
        </w:rPr>
      </w:pPr>
      <w:hyperlink w:anchor="_Toc77074890" w:history="1">
        <w:r w:rsidR="00332A29" w:rsidRPr="00427970">
          <w:rPr>
            <w:rStyle w:val="Hypertextovodkaz"/>
            <w:noProof/>
          </w:rPr>
          <w:t>Obrázek 1.72: Vývoj celkového počtu přestupků s pokutou ve Zlíně mezi lety 2012 a 2019</w:t>
        </w:r>
        <w:r w:rsidR="00332A29">
          <w:rPr>
            <w:noProof/>
            <w:webHidden/>
          </w:rPr>
          <w:tab/>
        </w:r>
        <w:r w:rsidR="00332A29">
          <w:rPr>
            <w:noProof/>
            <w:webHidden/>
          </w:rPr>
          <w:fldChar w:fldCharType="begin"/>
        </w:r>
        <w:r w:rsidR="00332A29">
          <w:rPr>
            <w:noProof/>
            <w:webHidden/>
          </w:rPr>
          <w:instrText xml:space="preserve"> PAGEREF _Toc77074890 \h </w:instrText>
        </w:r>
        <w:r w:rsidR="00332A29">
          <w:rPr>
            <w:noProof/>
            <w:webHidden/>
          </w:rPr>
        </w:r>
        <w:r w:rsidR="00332A29">
          <w:rPr>
            <w:noProof/>
            <w:webHidden/>
          </w:rPr>
          <w:fldChar w:fldCharType="separate"/>
        </w:r>
        <w:r w:rsidR="00332A29">
          <w:rPr>
            <w:noProof/>
            <w:webHidden/>
          </w:rPr>
          <w:t>147</w:t>
        </w:r>
        <w:r w:rsidR="00332A29">
          <w:rPr>
            <w:noProof/>
            <w:webHidden/>
          </w:rPr>
          <w:fldChar w:fldCharType="end"/>
        </w:r>
      </w:hyperlink>
    </w:p>
    <w:p w14:paraId="7AECA3FB" w14:textId="77777777" w:rsidR="00332A29" w:rsidRDefault="00183F7E">
      <w:pPr>
        <w:pStyle w:val="Seznamobrzk"/>
        <w:tabs>
          <w:tab w:val="right" w:leader="dot" w:pos="9062"/>
        </w:tabs>
        <w:rPr>
          <w:rFonts w:eastAsiaTheme="minorEastAsia"/>
          <w:noProof/>
          <w:lang w:eastAsia="cs-CZ"/>
        </w:rPr>
      </w:pPr>
      <w:hyperlink w:anchor="_Toc77074891" w:history="1">
        <w:r w:rsidR="00332A29" w:rsidRPr="00427970">
          <w:rPr>
            <w:rStyle w:val="Hypertextovodkaz"/>
            <w:noProof/>
          </w:rPr>
          <w:t>Obrázek 1.73: Vývoj celkového počtu postoupených přestupků mezi lety 2012 a 2019</w:t>
        </w:r>
        <w:r w:rsidR="00332A29">
          <w:rPr>
            <w:noProof/>
            <w:webHidden/>
          </w:rPr>
          <w:tab/>
        </w:r>
        <w:r w:rsidR="00332A29">
          <w:rPr>
            <w:noProof/>
            <w:webHidden/>
          </w:rPr>
          <w:fldChar w:fldCharType="begin"/>
        </w:r>
        <w:r w:rsidR="00332A29">
          <w:rPr>
            <w:noProof/>
            <w:webHidden/>
          </w:rPr>
          <w:instrText xml:space="preserve"> PAGEREF _Toc77074891 \h </w:instrText>
        </w:r>
        <w:r w:rsidR="00332A29">
          <w:rPr>
            <w:noProof/>
            <w:webHidden/>
          </w:rPr>
        </w:r>
        <w:r w:rsidR="00332A29">
          <w:rPr>
            <w:noProof/>
            <w:webHidden/>
          </w:rPr>
          <w:fldChar w:fldCharType="separate"/>
        </w:r>
        <w:r w:rsidR="00332A29">
          <w:rPr>
            <w:noProof/>
            <w:webHidden/>
          </w:rPr>
          <w:t>147</w:t>
        </w:r>
        <w:r w:rsidR="00332A29">
          <w:rPr>
            <w:noProof/>
            <w:webHidden/>
          </w:rPr>
          <w:fldChar w:fldCharType="end"/>
        </w:r>
      </w:hyperlink>
    </w:p>
    <w:p w14:paraId="635BC64C" w14:textId="77777777" w:rsidR="00332A29" w:rsidRDefault="00183F7E">
      <w:pPr>
        <w:pStyle w:val="Seznamobrzk"/>
        <w:tabs>
          <w:tab w:val="right" w:leader="dot" w:pos="9062"/>
        </w:tabs>
        <w:rPr>
          <w:rFonts w:eastAsiaTheme="minorEastAsia"/>
          <w:noProof/>
          <w:lang w:eastAsia="cs-CZ"/>
        </w:rPr>
      </w:pPr>
      <w:hyperlink w:anchor="_Toc77074892" w:history="1">
        <w:r w:rsidR="00332A29" w:rsidRPr="00427970">
          <w:rPr>
            <w:rStyle w:val="Hypertextovodkaz"/>
            <w:noProof/>
          </w:rPr>
          <w:t>Obrázek 1.74: Počet a podíl zásahů HZS Zlínského kraje v obci Zlín podle typu události v roce 2019</w:t>
        </w:r>
        <w:r w:rsidR="00332A29">
          <w:rPr>
            <w:noProof/>
            <w:webHidden/>
          </w:rPr>
          <w:tab/>
        </w:r>
        <w:r w:rsidR="00332A29">
          <w:rPr>
            <w:noProof/>
            <w:webHidden/>
          </w:rPr>
          <w:fldChar w:fldCharType="begin"/>
        </w:r>
        <w:r w:rsidR="00332A29">
          <w:rPr>
            <w:noProof/>
            <w:webHidden/>
          </w:rPr>
          <w:instrText xml:space="preserve"> PAGEREF _Toc77074892 \h </w:instrText>
        </w:r>
        <w:r w:rsidR="00332A29">
          <w:rPr>
            <w:noProof/>
            <w:webHidden/>
          </w:rPr>
        </w:r>
        <w:r w:rsidR="00332A29">
          <w:rPr>
            <w:noProof/>
            <w:webHidden/>
          </w:rPr>
          <w:fldChar w:fldCharType="separate"/>
        </w:r>
        <w:r w:rsidR="00332A29">
          <w:rPr>
            <w:noProof/>
            <w:webHidden/>
          </w:rPr>
          <w:t>151</w:t>
        </w:r>
        <w:r w:rsidR="00332A29">
          <w:rPr>
            <w:noProof/>
            <w:webHidden/>
          </w:rPr>
          <w:fldChar w:fldCharType="end"/>
        </w:r>
      </w:hyperlink>
    </w:p>
    <w:p w14:paraId="52D34406" w14:textId="77777777" w:rsidR="00332A29" w:rsidRDefault="00183F7E">
      <w:pPr>
        <w:pStyle w:val="Seznamobrzk"/>
        <w:tabs>
          <w:tab w:val="right" w:leader="dot" w:pos="9062"/>
        </w:tabs>
        <w:rPr>
          <w:rFonts w:eastAsiaTheme="minorEastAsia"/>
          <w:noProof/>
          <w:lang w:eastAsia="cs-CZ"/>
        </w:rPr>
      </w:pPr>
      <w:hyperlink w:anchor="_Toc77074893" w:history="1">
        <w:r w:rsidR="00332A29" w:rsidRPr="00427970">
          <w:rPr>
            <w:rStyle w:val="Hypertextovodkaz"/>
            <w:noProof/>
          </w:rPr>
          <w:t>Obrázek 1.75: Počet mimořádných událostí řešených HZS Zlínského kraje v okrese Zlín v letech 2015 – 2019</w:t>
        </w:r>
        <w:r w:rsidR="00332A29">
          <w:rPr>
            <w:noProof/>
            <w:webHidden/>
          </w:rPr>
          <w:tab/>
        </w:r>
        <w:r w:rsidR="00332A29">
          <w:rPr>
            <w:noProof/>
            <w:webHidden/>
          </w:rPr>
          <w:fldChar w:fldCharType="begin"/>
        </w:r>
        <w:r w:rsidR="00332A29">
          <w:rPr>
            <w:noProof/>
            <w:webHidden/>
          </w:rPr>
          <w:instrText xml:space="preserve"> PAGEREF _Toc77074893 \h </w:instrText>
        </w:r>
        <w:r w:rsidR="00332A29">
          <w:rPr>
            <w:noProof/>
            <w:webHidden/>
          </w:rPr>
        </w:r>
        <w:r w:rsidR="00332A29">
          <w:rPr>
            <w:noProof/>
            <w:webHidden/>
          </w:rPr>
          <w:fldChar w:fldCharType="separate"/>
        </w:r>
        <w:r w:rsidR="00332A29">
          <w:rPr>
            <w:noProof/>
            <w:webHidden/>
          </w:rPr>
          <w:t>151</w:t>
        </w:r>
        <w:r w:rsidR="00332A29">
          <w:rPr>
            <w:noProof/>
            <w:webHidden/>
          </w:rPr>
          <w:fldChar w:fldCharType="end"/>
        </w:r>
      </w:hyperlink>
    </w:p>
    <w:p w14:paraId="0DE58209" w14:textId="77777777" w:rsidR="00332A29" w:rsidRDefault="00183F7E">
      <w:pPr>
        <w:pStyle w:val="Seznamobrzk"/>
        <w:tabs>
          <w:tab w:val="right" w:leader="dot" w:pos="9062"/>
        </w:tabs>
        <w:rPr>
          <w:rFonts w:eastAsiaTheme="minorEastAsia"/>
          <w:noProof/>
          <w:lang w:eastAsia="cs-CZ"/>
        </w:rPr>
      </w:pPr>
      <w:hyperlink w:anchor="_Toc77074894" w:history="1">
        <w:r w:rsidR="00332A29" w:rsidRPr="00427970">
          <w:rPr>
            <w:rStyle w:val="Hypertextovodkaz"/>
            <w:noProof/>
          </w:rPr>
          <w:t xml:space="preserve">Obrázek 1.76: Intenzita dopravních nehod v letech 2016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_Toc77074894 \h </w:instrText>
        </w:r>
        <w:r w:rsidR="00332A29">
          <w:rPr>
            <w:noProof/>
            <w:webHidden/>
          </w:rPr>
        </w:r>
        <w:r w:rsidR="00332A29">
          <w:rPr>
            <w:noProof/>
            <w:webHidden/>
          </w:rPr>
          <w:fldChar w:fldCharType="separate"/>
        </w:r>
        <w:r w:rsidR="00332A29">
          <w:rPr>
            <w:noProof/>
            <w:webHidden/>
          </w:rPr>
          <w:t>153</w:t>
        </w:r>
        <w:r w:rsidR="00332A29">
          <w:rPr>
            <w:noProof/>
            <w:webHidden/>
          </w:rPr>
          <w:fldChar w:fldCharType="end"/>
        </w:r>
      </w:hyperlink>
    </w:p>
    <w:p w14:paraId="38BA3D4E" w14:textId="77777777" w:rsidR="00332A29" w:rsidRDefault="00183F7E">
      <w:pPr>
        <w:pStyle w:val="Seznamobrzk"/>
        <w:tabs>
          <w:tab w:val="right" w:leader="dot" w:pos="9062"/>
        </w:tabs>
        <w:rPr>
          <w:rFonts w:eastAsiaTheme="minorEastAsia"/>
          <w:noProof/>
          <w:lang w:eastAsia="cs-CZ"/>
        </w:rPr>
      </w:pPr>
      <w:hyperlink w:anchor="_Toc77074895" w:history="1">
        <w:r w:rsidR="00332A29" w:rsidRPr="00427970">
          <w:rPr>
            <w:rStyle w:val="Hypertextovodkaz"/>
            <w:noProof/>
          </w:rPr>
          <w:t xml:space="preserve">Obrázek 1.77: Vývoj celkového počtu dopravních nehod v okrese Zlín v letech 2012 </w:t>
        </w:r>
        <w:r w:rsidR="00332A29" w:rsidRPr="00427970">
          <w:rPr>
            <w:rStyle w:val="Hypertextovodkaz"/>
            <w:noProof/>
          </w:rPr>
          <w:sym w:font="Symbol" w:char="F02D"/>
        </w:r>
        <w:r w:rsidR="00332A29" w:rsidRPr="00427970">
          <w:rPr>
            <w:rStyle w:val="Hypertextovodkaz"/>
            <w:noProof/>
          </w:rPr>
          <w:t xml:space="preserve"> 2018</w:t>
        </w:r>
        <w:r w:rsidR="00332A29">
          <w:rPr>
            <w:noProof/>
            <w:webHidden/>
          </w:rPr>
          <w:tab/>
        </w:r>
        <w:r w:rsidR="00332A29">
          <w:rPr>
            <w:noProof/>
            <w:webHidden/>
          </w:rPr>
          <w:fldChar w:fldCharType="begin"/>
        </w:r>
        <w:r w:rsidR="00332A29">
          <w:rPr>
            <w:noProof/>
            <w:webHidden/>
          </w:rPr>
          <w:instrText xml:space="preserve"> PAGEREF _Toc77074895 \h </w:instrText>
        </w:r>
        <w:r w:rsidR="00332A29">
          <w:rPr>
            <w:noProof/>
            <w:webHidden/>
          </w:rPr>
        </w:r>
        <w:r w:rsidR="00332A29">
          <w:rPr>
            <w:noProof/>
            <w:webHidden/>
          </w:rPr>
          <w:fldChar w:fldCharType="separate"/>
        </w:r>
        <w:r w:rsidR="00332A29">
          <w:rPr>
            <w:noProof/>
            <w:webHidden/>
          </w:rPr>
          <w:t>154</w:t>
        </w:r>
        <w:r w:rsidR="00332A29">
          <w:rPr>
            <w:noProof/>
            <w:webHidden/>
          </w:rPr>
          <w:fldChar w:fldCharType="end"/>
        </w:r>
      </w:hyperlink>
    </w:p>
    <w:p w14:paraId="5BCEAF5A" w14:textId="77777777" w:rsidR="00332A29" w:rsidRDefault="00183F7E">
      <w:pPr>
        <w:pStyle w:val="Seznamobrzk"/>
        <w:tabs>
          <w:tab w:val="right" w:leader="dot" w:pos="9062"/>
        </w:tabs>
        <w:rPr>
          <w:rFonts w:eastAsiaTheme="minorEastAsia"/>
          <w:noProof/>
          <w:lang w:eastAsia="cs-CZ"/>
        </w:rPr>
      </w:pPr>
      <w:hyperlink w:anchor="_Toc77074896" w:history="1">
        <w:r w:rsidR="00332A29" w:rsidRPr="00427970">
          <w:rPr>
            <w:rStyle w:val="Hypertextovodkaz"/>
            <w:noProof/>
          </w:rPr>
          <w:t xml:space="preserve">Obrázek 1.78: Srovnání vybraných ukazatelů dopravních nehod v okrese Zlín v letech 2012 </w:t>
        </w:r>
        <w:r w:rsidR="00332A29" w:rsidRPr="00427970">
          <w:rPr>
            <w:rStyle w:val="Hypertextovodkaz"/>
            <w:noProof/>
          </w:rPr>
          <w:sym w:font="Symbol" w:char="F02D"/>
        </w:r>
        <w:r w:rsidR="00332A29" w:rsidRPr="00427970">
          <w:rPr>
            <w:rStyle w:val="Hypertextovodkaz"/>
            <w:noProof/>
          </w:rPr>
          <w:t xml:space="preserve"> 2018</w:t>
        </w:r>
        <w:r w:rsidR="00332A29">
          <w:rPr>
            <w:noProof/>
            <w:webHidden/>
          </w:rPr>
          <w:tab/>
        </w:r>
        <w:r w:rsidR="00332A29">
          <w:rPr>
            <w:noProof/>
            <w:webHidden/>
          </w:rPr>
          <w:fldChar w:fldCharType="begin"/>
        </w:r>
        <w:r w:rsidR="00332A29">
          <w:rPr>
            <w:noProof/>
            <w:webHidden/>
          </w:rPr>
          <w:instrText xml:space="preserve"> PAGEREF _Toc77074896 \h </w:instrText>
        </w:r>
        <w:r w:rsidR="00332A29">
          <w:rPr>
            <w:noProof/>
            <w:webHidden/>
          </w:rPr>
        </w:r>
        <w:r w:rsidR="00332A29">
          <w:rPr>
            <w:noProof/>
            <w:webHidden/>
          </w:rPr>
          <w:fldChar w:fldCharType="separate"/>
        </w:r>
        <w:r w:rsidR="00332A29">
          <w:rPr>
            <w:noProof/>
            <w:webHidden/>
          </w:rPr>
          <w:t>154</w:t>
        </w:r>
        <w:r w:rsidR="00332A29">
          <w:rPr>
            <w:noProof/>
            <w:webHidden/>
          </w:rPr>
          <w:fldChar w:fldCharType="end"/>
        </w:r>
      </w:hyperlink>
    </w:p>
    <w:p w14:paraId="2329FD9E" w14:textId="77777777" w:rsidR="00332A29" w:rsidRDefault="00183F7E">
      <w:pPr>
        <w:pStyle w:val="Seznamobrzk"/>
        <w:tabs>
          <w:tab w:val="right" w:leader="dot" w:pos="9062"/>
        </w:tabs>
        <w:rPr>
          <w:rFonts w:eastAsiaTheme="minorEastAsia"/>
          <w:noProof/>
          <w:lang w:eastAsia="cs-CZ"/>
        </w:rPr>
      </w:pPr>
      <w:hyperlink w:anchor="_Toc77074897" w:history="1">
        <w:r w:rsidR="00332A29" w:rsidRPr="00427970">
          <w:rPr>
            <w:rStyle w:val="Hypertextovodkaz"/>
            <w:noProof/>
          </w:rPr>
          <w:t>Obrázek 1.79: Vývoj podílu nezaměstnaných osob ve městě Zlíně, SO ORP Zlín a Zlínském kraji za jednotlivé měsíce od roku 2014</w:t>
        </w:r>
        <w:r w:rsidR="00332A29">
          <w:rPr>
            <w:noProof/>
            <w:webHidden/>
          </w:rPr>
          <w:tab/>
        </w:r>
        <w:r w:rsidR="00332A29">
          <w:rPr>
            <w:noProof/>
            <w:webHidden/>
          </w:rPr>
          <w:fldChar w:fldCharType="begin"/>
        </w:r>
        <w:r w:rsidR="00332A29">
          <w:rPr>
            <w:noProof/>
            <w:webHidden/>
          </w:rPr>
          <w:instrText xml:space="preserve"> PAGEREF _Toc77074897 \h </w:instrText>
        </w:r>
        <w:r w:rsidR="00332A29">
          <w:rPr>
            <w:noProof/>
            <w:webHidden/>
          </w:rPr>
        </w:r>
        <w:r w:rsidR="00332A29">
          <w:rPr>
            <w:noProof/>
            <w:webHidden/>
          </w:rPr>
          <w:fldChar w:fldCharType="separate"/>
        </w:r>
        <w:r w:rsidR="00332A29">
          <w:rPr>
            <w:noProof/>
            <w:webHidden/>
          </w:rPr>
          <w:t>158</w:t>
        </w:r>
        <w:r w:rsidR="00332A29">
          <w:rPr>
            <w:noProof/>
            <w:webHidden/>
          </w:rPr>
          <w:fldChar w:fldCharType="end"/>
        </w:r>
      </w:hyperlink>
    </w:p>
    <w:p w14:paraId="1CF35BC9" w14:textId="77777777" w:rsidR="00332A29" w:rsidRDefault="00183F7E">
      <w:pPr>
        <w:pStyle w:val="Seznamobrzk"/>
        <w:tabs>
          <w:tab w:val="right" w:leader="dot" w:pos="9062"/>
        </w:tabs>
        <w:rPr>
          <w:rFonts w:eastAsiaTheme="minorEastAsia"/>
          <w:noProof/>
          <w:lang w:eastAsia="cs-CZ"/>
        </w:rPr>
      </w:pPr>
      <w:hyperlink w:anchor="_Toc77074898" w:history="1">
        <w:r w:rsidR="00332A29" w:rsidRPr="00427970">
          <w:rPr>
            <w:rStyle w:val="Hypertextovodkaz"/>
            <w:noProof/>
          </w:rPr>
          <w:t>Obrázek 1.80: Vývoj podílu nezaměstnaných osob města Zlína v porovnání s vybranými městy od roku 2014</w:t>
        </w:r>
        <w:r w:rsidR="00332A29">
          <w:rPr>
            <w:noProof/>
            <w:webHidden/>
          </w:rPr>
          <w:tab/>
        </w:r>
        <w:r w:rsidR="00332A29">
          <w:rPr>
            <w:noProof/>
            <w:webHidden/>
          </w:rPr>
          <w:fldChar w:fldCharType="begin"/>
        </w:r>
        <w:r w:rsidR="00332A29">
          <w:rPr>
            <w:noProof/>
            <w:webHidden/>
          </w:rPr>
          <w:instrText xml:space="preserve"> PAGEREF _Toc77074898 \h </w:instrText>
        </w:r>
        <w:r w:rsidR="00332A29">
          <w:rPr>
            <w:noProof/>
            <w:webHidden/>
          </w:rPr>
        </w:r>
        <w:r w:rsidR="00332A29">
          <w:rPr>
            <w:noProof/>
            <w:webHidden/>
          </w:rPr>
          <w:fldChar w:fldCharType="separate"/>
        </w:r>
        <w:r w:rsidR="00332A29">
          <w:rPr>
            <w:noProof/>
            <w:webHidden/>
          </w:rPr>
          <w:t>159</w:t>
        </w:r>
        <w:r w:rsidR="00332A29">
          <w:rPr>
            <w:noProof/>
            <w:webHidden/>
          </w:rPr>
          <w:fldChar w:fldCharType="end"/>
        </w:r>
      </w:hyperlink>
    </w:p>
    <w:p w14:paraId="3F14E923" w14:textId="77777777" w:rsidR="00332A29" w:rsidRDefault="00183F7E">
      <w:pPr>
        <w:pStyle w:val="Seznamobrzk"/>
        <w:tabs>
          <w:tab w:val="right" w:leader="dot" w:pos="9062"/>
        </w:tabs>
        <w:rPr>
          <w:rFonts w:eastAsiaTheme="minorEastAsia"/>
          <w:noProof/>
          <w:lang w:eastAsia="cs-CZ"/>
        </w:rPr>
      </w:pPr>
      <w:hyperlink w:anchor="_Toc77074899" w:history="1">
        <w:r w:rsidR="00332A29" w:rsidRPr="00427970">
          <w:rPr>
            <w:rStyle w:val="Hypertextovodkaz"/>
            <w:noProof/>
          </w:rPr>
          <w:t>Obrázek 1.81: Vývoj volných pracovních míst na území města Zlína</w:t>
        </w:r>
        <w:r w:rsidR="00332A29">
          <w:rPr>
            <w:noProof/>
            <w:webHidden/>
          </w:rPr>
          <w:tab/>
        </w:r>
        <w:r w:rsidR="00332A29">
          <w:rPr>
            <w:noProof/>
            <w:webHidden/>
          </w:rPr>
          <w:fldChar w:fldCharType="begin"/>
        </w:r>
        <w:r w:rsidR="00332A29">
          <w:rPr>
            <w:noProof/>
            <w:webHidden/>
          </w:rPr>
          <w:instrText xml:space="preserve"> PAGEREF _Toc77074899 \h </w:instrText>
        </w:r>
        <w:r w:rsidR="00332A29">
          <w:rPr>
            <w:noProof/>
            <w:webHidden/>
          </w:rPr>
        </w:r>
        <w:r w:rsidR="00332A29">
          <w:rPr>
            <w:noProof/>
            <w:webHidden/>
          </w:rPr>
          <w:fldChar w:fldCharType="separate"/>
        </w:r>
        <w:r w:rsidR="00332A29">
          <w:rPr>
            <w:noProof/>
            <w:webHidden/>
          </w:rPr>
          <w:t>160</w:t>
        </w:r>
        <w:r w:rsidR="00332A29">
          <w:rPr>
            <w:noProof/>
            <w:webHidden/>
          </w:rPr>
          <w:fldChar w:fldCharType="end"/>
        </w:r>
      </w:hyperlink>
    </w:p>
    <w:p w14:paraId="2040C99F" w14:textId="77777777" w:rsidR="00332A29" w:rsidRDefault="00183F7E">
      <w:pPr>
        <w:pStyle w:val="Seznamobrzk"/>
        <w:tabs>
          <w:tab w:val="right" w:leader="dot" w:pos="9062"/>
        </w:tabs>
        <w:rPr>
          <w:rFonts w:eastAsiaTheme="minorEastAsia"/>
          <w:noProof/>
          <w:lang w:eastAsia="cs-CZ"/>
        </w:rPr>
      </w:pPr>
      <w:hyperlink w:anchor="_Toc77074900" w:history="1">
        <w:r w:rsidR="00332A29" w:rsidRPr="00427970">
          <w:rPr>
            <w:rStyle w:val="Hypertextovodkaz"/>
            <w:noProof/>
          </w:rPr>
          <w:t xml:space="preserve">Obrázek 1.82: Vývoj obsazených pracovních míst na území města Zlína a SO ORP Zlína a podíl OPM města na OPM SO ORP Zlína v období 2014 </w:t>
        </w:r>
        <w:r w:rsidR="00332A29" w:rsidRPr="00427970">
          <w:rPr>
            <w:rStyle w:val="Hypertextovodkaz"/>
            <w:noProof/>
          </w:rPr>
          <w:sym w:font="Symbol" w:char="F02D"/>
        </w:r>
        <w:r w:rsidR="00332A29" w:rsidRPr="00427970">
          <w:rPr>
            <w:rStyle w:val="Hypertextovodkaz"/>
            <w:noProof/>
          </w:rPr>
          <w:t xml:space="preserve"> 2018</w:t>
        </w:r>
        <w:r w:rsidR="00332A29">
          <w:rPr>
            <w:noProof/>
            <w:webHidden/>
          </w:rPr>
          <w:tab/>
        </w:r>
        <w:r w:rsidR="00332A29">
          <w:rPr>
            <w:noProof/>
            <w:webHidden/>
          </w:rPr>
          <w:fldChar w:fldCharType="begin"/>
        </w:r>
        <w:r w:rsidR="00332A29">
          <w:rPr>
            <w:noProof/>
            <w:webHidden/>
          </w:rPr>
          <w:instrText xml:space="preserve"> PAGEREF _Toc77074900 \h </w:instrText>
        </w:r>
        <w:r w:rsidR="00332A29">
          <w:rPr>
            <w:noProof/>
            <w:webHidden/>
          </w:rPr>
        </w:r>
        <w:r w:rsidR="00332A29">
          <w:rPr>
            <w:noProof/>
            <w:webHidden/>
          </w:rPr>
          <w:fldChar w:fldCharType="separate"/>
        </w:r>
        <w:r w:rsidR="00332A29">
          <w:rPr>
            <w:noProof/>
            <w:webHidden/>
          </w:rPr>
          <w:t>161</w:t>
        </w:r>
        <w:r w:rsidR="00332A29">
          <w:rPr>
            <w:noProof/>
            <w:webHidden/>
          </w:rPr>
          <w:fldChar w:fldCharType="end"/>
        </w:r>
      </w:hyperlink>
    </w:p>
    <w:p w14:paraId="70838D6F" w14:textId="77777777" w:rsidR="00332A29" w:rsidRDefault="00183F7E">
      <w:pPr>
        <w:pStyle w:val="Seznamobrzk"/>
        <w:tabs>
          <w:tab w:val="right" w:leader="dot" w:pos="9062"/>
        </w:tabs>
        <w:rPr>
          <w:rFonts w:eastAsiaTheme="minorEastAsia"/>
          <w:noProof/>
          <w:lang w:eastAsia="cs-CZ"/>
        </w:rPr>
      </w:pPr>
      <w:hyperlink w:anchor="_Toc77074901" w:history="1">
        <w:r w:rsidR="00332A29" w:rsidRPr="00427970">
          <w:rPr>
            <w:rStyle w:val="Hypertextovodkaz"/>
            <w:noProof/>
          </w:rPr>
          <w:t>Obrázek 1.83: Odvětvová struktura zaměstnanosti ve městě Zlín v roce 2011</w:t>
        </w:r>
        <w:r w:rsidR="00332A29">
          <w:rPr>
            <w:noProof/>
            <w:webHidden/>
          </w:rPr>
          <w:tab/>
        </w:r>
        <w:r w:rsidR="00332A29">
          <w:rPr>
            <w:noProof/>
            <w:webHidden/>
          </w:rPr>
          <w:fldChar w:fldCharType="begin"/>
        </w:r>
        <w:r w:rsidR="00332A29">
          <w:rPr>
            <w:noProof/>
            <w:webHidden/>
          </w:rPr>
          <w:instrText xml:space="preserve"> PAGEREF _Toc77074901 \h </w:instrText>
        </w:r>
        <w:r w:rsidR="00332A29">
          <w:rPr>
            <w:noProof/>
            <w:webHidden/>
          </w:rPr>
        </w:r>
        <w:r w:rsidR="00332A29">
          <w:rPr>
            <w:noProof/>
            <w:webHidden/>
          </w:rPr>
          <w:fldChar w:fldCharType="separate"/>
        </w:r>
        <w:r w:rsidR="00332A29">
          <w:rPr>
            <w:noProof/>
            <w:webHidden/>
          </w:rPr>
          <w:t>161</w:t>
        </w:r>
        <w:r w:rsidR="00332A29">
          <w:rPr>
            <w:noProof/>
            <w:webHidden/>
          </w:rPr>
          <w:fldChar w:fldCharType="end"/>
        </w:r>
      </w:hyperlink>
    </w:p>
    <w:p w14:paraId="01D5CFC4" w14:textId="77777777" w:rsidR="00332A29" w:rsidRDefault="00183F7E">
      <w:pPr>
        <w:pStyle w:val="Seznamobrzk"/>
        <w:tabs>
          <w:tab w:val="right" w:leader="dot" w:pos="9062"/>
        </w:tabs>
        <w:rPr>
          <w:rFonts w:eastAsiaTheme="minorEastAsia"/>
          <w:noProof/>
          <w:lang w:eastAsia="cs-CZ"/>
        </w:rPr>
      </w:pPr>
      <w:hyperlink w:anchor="_Toc77074902" w:history="1">
        <w:r w:rsidR="00332A29" w:rsidRPr="00427970">
          <w:rPr>
            <w:rStyle w:val="Hypertextovodkaz"/>
            <w:noProof/>
          </w:rPr>
          <w:t>Obrázek 1.84: Obce dojížďky osob vyjíždějících ze Zlína do zaměstnání v roce 2011</w:t>
        </w:r>
        <w:r w:rsidR="00332A29">
          <w:rPr>
            <w:noProof/>
            <w:webHidden/>
          </w:rPr>
          <w:tab/>
        </w:r>
        <w:r w:rsidR="00332A29">
          <w:rPr>
            <w:noProof/>
            <w:webHidden/>
          </w:rPr>
          <w:fldChar w:fldCharType="begin"/>
        </w:r>
        <w:r w:rsidR="00332A29">
          <w:rPr>
            <w:noProof/>
            <w:webHidden/>
          </w:rPr>
          <w:instrText xml:space="preserve"> PAGEREF _Toc77074902 \h </w:instrText>
        </w:r>
        <w:r w:rsidR="00332A29">
          <w:rPr>
            <w:noProof/>
            <w:webHidden/>
          </w:rPr>
        </w:r>
        <w:r w:rsidR="00332A29">
          <w:rPr>
            <w:noProof/>
            <w:webHidden/>
          </w:rPr>
          <w:fldChar w:fldCharType="separate"/>
        </w:r>
        <w:r w:rsidR="00332A29">
          <w:rPr>
            <w:noProof/>
            <w:webHidden/>
          </w:rPr>
          <w:t>163</w:t>
        </w:r>
        <w:r w:rsidR="00332A29">
          <w:rPr>
            <w:noProof/>
            <w:webHidden/>
          </w:rPr>
          <w:fldChar w:fldCharType="end"/>
        </w:r>
      </w:hyperlink>
    </w:p>
    <w:p w14:paraId="0290502C" w14:textId="77777777" w:rsidR="00332A29" w:rsidRDefault="00183F7E">
      <w:pPr>
        <w:pStyle w:val="Seznamobrzk"/>
        <w:tabs>
          <w:tab w:val="right" w:leader="dot" w:pos="9062"/>
        </w:tabs>
        <w:rPr>
          <w:rFonts w:eastAsiaTheme="minorEastAsia"/>
          <w:noProof/>
          <w:lang w:eastAsia="cs-CZ"/>
        </w:rPr>
      </w:pPr>
      <w:hyperlink w:anchor="_Toc77074903" w:history="1">
        <w:r w:rsidR="00332A29" w:rsidRPr="00427970">
          <w:rPr>
            <w:rStyle w:val="Hypertextovodkaz"/>
            <w:noProof/>
          </w:rPr>
          <w:t>Obrázek 1.85: Spokojenost s nabídkou pracovních příležitostí</w:t>
        </w:r>
        <w:r w:rsidR="00332A29">
          <w:rPr>
            <w:noProof/>
            <w:webHidden/>
          </w:rPr>
          <w:tab/>
        </w:r>
        <w:r w:rsidR="00332A29">
          <w:rPr>
            <w:noProof/>
            <w:webHidden/>
          </w:rPr>
          <w:fldChar w:fldCharType="begin"/>
        </w:r>
        <w:r w:rsidR="00332A29">
          <w:rPr>
            <w:noProof/>
            <w:webHidden/>
          </w:rPr>
          <w:instrText xml:space="preserve"> PAGEREF _Toc77074903 \h </w:instrText>
        </w:r>
        <w:r w:rsidR="00332A29">
          <w:rPr>
            <w:noProof/>
            <w:webHidden/>
          </w:rPr>
        </w:r>
        <w:r w:rsidR="00332A29">
          <w:rPr>
            <w:noProof/>
            <w:webHidden/>
          </w:rPr>
          <w:fldChar w:fldCharType="separate"/>
        </w:r>
        <w:r w:rsidR="00332A29">
          <w:rPr>
            <w:noProof/>
            <w:webHidden/>
          </w:rPr>
          <w:t>163</w:t>
        </w:r>
        <w:r w:rsidR="00332A29">
          <w:rPr>
            <w:noProof/>
            <w:webHidden/>
          </w:rPr>
          <w:fldChar w:fldCharType="end"/>
        </w:r>
      </w:hyperlink>
    </w:p>
    <w:p w14:paraId="756063C7" w14:textId="77777777" w:rsidR="00332A29" w:rsidRDefault="00183F7E">
      <w:pPr>
        <w:pStyle w:val="Seznamobrzk"/>
        <w:tabs>
          <w:tab w:val="right" w:leader="dot" w:pos="9062"/>
        </w:tabs>
        <w:rPr>
          <w:rFonts w:eastAsiaTheme="minorEastAsia"/>
          <w:noProof/>
          <w:lang w:eastAsia="cs-CZ"/>
        </w:rPr>
      </w:pPr>
      <w:hyperlink w:anchor="_Toc77074904" w:history="1">
        <w:r w:rsidR="00332A29" w:rsidRPr="00427970">
          <w:rPr>
            <w:rStyle w:val="Hypertextovodkaz"/>
            <w:noProof/>
          </w:rPr>
          <w:t>Obrázek 1.86: Odvětvová struktura HPH ve Zlínském kraji v % letech 2013 a 2018</w:t>
        </w:r>
        <w:r w:rsidR="00332A29">
          <w:rPr>
            <w:noProof/>
            <w:webHidden/>
          </w:rPr>
          <w:tab/>
        </w:r>
        <w:r w:rsidR="00332A29">
          <w:rPr>
            <w:noProof/>
            <w:webHidden/>
          </w:rPr>
          <w:fldChar w:fldCharType="begin"/>
        </w:r>
        <w:r w:rsidR="00332A29">
          <w:rPr>
            <w:noProof/>
            <w:webHidden/>
          </w:rPr>
          <w:instrText xml:space="preserve"> PAGEREF _Toc77074904 \h </w:instrText>
        </w:r>
        <w:r w:rsidR="00332A29">
          <w:rPr>
            <w:noProof/>
            <w:webHidden/>
          </w:rPr>
        </w:r>
        <w:r w:rsidR="00332A29">
          <w:rPr>
            <w:noProof/>
            <w:webHidden/>
          </w:rPr>
          <w:fldChar w:fldCharType="separate"/>
        </w:r>
        <w:r w:rsidR="00332A29">
          <w:rPr>
            <w:noProof/>
            <w:webHidden/>
          </w:rPr>
          <w:t>165</w:t>
        </w:r>
        <w:r w:rsidR="00332A29">
          <w:rPr>
            <w:noProof/>
            <w:webHidden/>
          </w:rPr>
          <w:fldChar w:fldCharType="end"/>
        </w:r>
      </w:hyperlink>
    </w:p>
    <w:p w14:paraId="0DE0B830" w14:textId="77777777" w:rsidR="00332A29" w:rsidRDefault="00183F7E">
      <w:pPr>
        <w:pStyle w:val="Seznamobrzk"/>
        <w:tabs>
          <w:tab w:val="right" w:leader="dot" w:pos="9062"/>
        </w:tabs>
        <w:rPr>
          <w:rFonts w:eastAsiaTheme="minorEastAsia"/>
          <w:noProof/>
          <w:lang w:eastAsia="cs-CZ"/>
        </w:rPr>
      </w:pPr>
      <w:hyperlink w:anchor="_Toc77074905" w:history="1">
        <w:r w:rsidR="00332A29" w:rsidRPr="00427970">
          <w:rPr>
            <w:rStyle w:val="Hypertextovodkaz"/>
            <w:noProof/>
          </w:rPr>
          <w:t>Obrázek 1.87: Vývoj počtu ekonomických subjektů na území města Zlína v období 2004 – 2019</w:t>
        </w:r>
        <w:r w:rsidR="00332A29">
          <w:rPr>
            <w:noProof/>
            <w:webHidden/>
          </w:rPr>
          <w:tab/>
        </w:r>
        <w:r w:rsidR="00332A29">
          <w:rPr>
            <w:noProof/>
            <w:webHidden/>
          </w:rPr>
          <w:fldChar w:fldCharType="begin"/>
        </w:r>
        <w:r w:rsidR="00332A29">
          <w:rPr>
            <w:noProof/>
            <w:webHidden/>
          </w:rPr>
          <w:instrText xml:space="preserve"> PAGEREF _Toc77074905 \h </w:instrText>
        </w:r>
        <w:r w:rsidR="00332A29">
          <w:rPr>
            <w:noProof/>
            <w:webHidden/>
          </w:rPr>
        </w:r>
        <w:r w:rsidR="00332A29">
          <w:rPr>
            <w:noProof/>
            <w:webHidden/>
          </w:rPr>
          <w:fldChar w:fldCharType="separate"/>
        </w:r>
        <w:r w:rsidR="00332A29">
          <w:rPr>
            <w:noProof/>
            <w:webHidden/>
          </w:rPr>
          <w:t>166</w:t>
        </w:r>
        <w:r w:rsidR="00332A29">
          <w:rPr>
            <w:noProof/>
            <w:webHidden/>
          </w:rPr>
          <w:fldChar w:fldCharType="end"/>
        </w:r>
      </w:hyperlink>
    </w:p>
    <w:p w14:paraId="0106AED5" w14:textId="77777777" w:rsidR="00332A29" w:rsidRDefault="00183F7E">
      <w:pPr>
        <w:pStyle w:val="Seznamobrzk"/>
        <w:tabs>
          <w:tab w:val="right" w:leader="dot" w:pos="9062"/>
        </w:tabs>
        <w:rPr>
          <w:rFonts w:eastAsiaTheme="minorEastAsia"/>
          <w:noProof/>
          <w:lang w:eastAsia="cs-CZ"/>
        </w:rPr>
      </w:pPr>
      <w:hyperlink w:anchor="_Toc77074906" w:history="1">
        <w:r w:rsidR="00332A29" w:rsidRPr="00427970">
          <w:rPr>
            <w:rStyle w:val="Hypertextovodkaz"/>
            <w:noProof/>
          </w:rPr>
          <w:t>Obrázek 1.88: Podnikatelské subjekty podle převažující činnosti ve městě Zlín k 31. 12. 2019</w:t>
        </w:r>
        <w:r w:rsidR="00332A29">
          <w:rPr>
            <w:noProof/>
            <w:webHidden/>
          </w:rPr>
          <w:tab/>
        </w:r>
        <w:r w:rsidR="00332A29">
          <w:rPr>
            <w:noProof/>
            <w:webHidden/>
          </w:rPr>
          <w:fldChar w:fldCharType="begin"/>
        </w:r>
        <w:r w:rsidR="00332A29">
          <w:rPr>
            <w:noProof/>
            <w:webHidden/>
          </w:rPr>
          <w:instrText xml:space="preserve"> PAGEREF _Toc77074906 \h </w:instrText>
        </w:r>
        <w:r w:rsidR="00332A29">
          <w:rPr>
            <w:noProof/>
            <w:webHidden/>
          </w:rPr>
        </w:r>
        <w:r w:rsidR="00332A29">
          <w:rPr>
            <w:noProof/>
            <w:webHidden/>
          </w:rPr>
          <w:fldChar w:fldCharType="separate"/>
        </w:r>
        <w:r w:rsidR="00332A29">
          <w:rPr>
            <w:noProof/>
            <w:webHidden/>
          </w:rPr>
          <w:t>166</w:t>
        </w:r>
        <w:r w:rsidR="00332A29">
          <w:rPr>
            <w:noProof/>
            <w:webHidden/>
          </w:rPr>
          <w:fldChar w:fldCharType="end"/>
        </w:r>
      </w:hyperlink>
    </w:p>
    <w:p w14:paraId="786DC6FD" w14:textId="77777777" w:rsidR="00332A29" w:rsidRDefault="00183F7E">
      <w:pPr>
        <w:pStyle w:val="Seznamobrzk"/>
        <w:tabs>
          <w:tab w:val="right" w:leader="dot" w:pos="9062"/>
        </w:tabs>
        <w:rPr>
          <w:rFonts w:eastAsiaTheme="minorEastAsia"/>
          <w:noProof/>
          <w:lang w:eastAsia="cs-CZ"/>
        </w:rPr>
      </w:pPr>
      <w:hyperlink w:anchor="_Toc77074907" w:history="1">
        <w:r w:rsidR="00332A29" w:rsidRPr="00427970">
          <w:rPr>
            <w:rStyle w:val="Hypertextovodkaz"/>
            <w:noProof/>
          </w:rPr>
          <w:t>Obrázek 1.89: Vývoj míry podnikatelské aktivity ve vybraných městech v letech 2008 – 2019 (v %)</w:t>
        </w:r>
        <w:r w:rsidR="00332A29">
          <w:rPr>
            <w:noProof/>
            <w:webHidden/>
          </w:rPr>
          <w:tab/>
        </w:r>
        <w:r w:rsidR="00332A29">
          <w:rPr>
            <w:noProof/>
            <w:webHidden/>
          </w:rPr>
          <w:fldChar w:fldCharType="begin"/>
        </w:r>
        <w:r w:rsidR="00332A29">
          <w:rPr>
            <w:noProof/>
            <w:webHidden/>
          </w:rPr>
          <w:instrText xml:space="preserve"> PAGEREF _Toc77074907 \h </w:instrText>
        </w:r>
        <w:r w:rsidR="00332A29">
          <w:rPr>
            <w:noProof/>
            <w:webHidden/>
          </w:rPr>
        </w:r>
        <w:r w:rsidR="00332A29">
          <w:rPr>
            <w:noProof/>
            <w:webHidden/>
          </w:rPr>
          <w:fldChar w:fldCharType="separate"/>
        </w:r>
        <w:r w:rsidR="00332A29">
          <w:rPr>
            <w:noProof/>
            <w:webHidden/>
          </w:rPr>
          <w:t>167</w:t>
        </w:r>
        <w:r w:rsidR="00332A29">
          <w:rPr>
            <w:noProof/>
            <w:webHidden/>
          </w:rPr>
          <w:fldChar w:fldCharType="end"/>
        </w:r>
      </w:hyperlink>
    </w:p>
    <w:p w14:paraId="2677DF29" w14:textId="77777777" w:rsidR="00332A29" w:rsidRDefault="00183F7E">
      <w:pPr>
        <w:pStyle w:val="Seznamobrzk"/>
        <w:tabs>
          <w:tab w:val="right" w:leader="dot" w:pos="9062"/>
        </w:tabs>
        <w:rPr>
          <w:rFonts w:eastAsiaTheme="minorEastAsia"/>
          <w:noProof/>
          <w:lang w:eastAsia="cs-CZ"/>
        </w:rPr>
      </w:pPr>
      <w:hyperlink w:anchor="_Toc77074908" w:history="1">
        <w:r w:rsidR="00332A29" w:rsidRPr="00427970">
          <w:rPr>
            <w:rStyle w:val="Hypertextovodkaz"/>
            <w:noProof/>
          </w:rPr>
          <w:t xml:space="preserve">Obrázek 1.90 Meziroční změny (2018 </w:t>
        </w:r>
        <w:r w:rsidR="00332A29" w:rsidRPr="00427970">
          <w:rPr>
            <w:rStyle w:val="Hypertextovodkaz"/>
            <w:noProof/>
          </w:rPr>
          <w:sym w:font="Symbol" w:char="F02D"/>
        </w:r>
        <w:r w:rsidR="00332A29" w:rsidRPr="00427970">
          <w:rPr>
            <w:rStyle w:val="Hypertextovodkaz"/>
            <w:noProof/>
          </w:rPr>
          <w:t xml:space="preserve"> 2019) v úrovni kupní síly na obyvatele v obcích v % (2018 = 100)</w:t>
        </w:r>
        <w:r w:rsidR="00332A29">
          <w:rPr>
            <w:noProof/>
            <w:webHidden/>
          </w:rPr>
          <w:tab/>
        </w:r>
        <w:r w:rsidR="00332A29">
          <w:rPr>
            <w:noProof/>
            <w:webHidden/>
          </w:rPr>
          <w:fldChar w:fldCharType="begin"/>
        </w:r>
        <w:r w:rsidR="00332A29">
          <w:rPr>
            <w:noProof/>
            <w:webHidden/>
          </w:rPr>
          <w:instrText xml:space="preserve"> PAGEREF _Toc77074908 \h </w:instrText>
        </w:r>
        <w:r w:rsidR="00332A29">
          <w:rPr>
            <w:noProof/>
            <w:webHidden/>
          </w:rPr>
        </w:r>
        <w:r w:rsidR="00332A29">
          <w:rPr>
            <w:noProof/>
            <w:webHidden/>
          </w:rPr>
          <w:fldChar w:fldCharType="separate"/>
        </w:r>
        <w:r w:rsidR="00332A29">
          <w:rPr>
            <w:noProof/>
            <w:webHidden/>
          </w:rPr>
          <w:t>170</w:t>
        </w:r>
        <w:r w:rsidR="00332A29">
          <w:rPr>
            <w:noProof/>
            <w:webHidden/>
          </w:rPr>
          <w:fldChar w:fldCharType="end"/>
        </w:r>
      </w:hyperlink>
    </w:p>
    <w:p w14:paraId="5FB8E1AA" w14:textId="77777777" w:rsidR="00332A29" w:rsidRDefault="00183F7E">
      <w:pPr>
        <w:pStyle w:val="Seznamobrzk"/>
        <w:tabs>
          <w:tab w:val="right" w:leader="dot" w:pos="9062"/>
        </w:tabs>
        <w:rPr>
          <w:rFonts w:eastAsiaTheme="minorEastAsia"/>
          <w:noProof/>
          <w:lang w:eastAsia="cs-CZ"/>
        </w:rPr>
      </w:pPr>
      <w:hyperlink w:anchor="_Toc77074909" w:history="1">
        <w:r w:rsidR="00332A29" w:rsidRPr="00427970">
          <w:rPr>
            <w:rStyle w:val="Hypertextovodkaz"/>
            <w:noProof/>
          </w:rPr>
          <w:t>Obrázek 1.91: Počet budov pro podnikání</w:t>
        </w:r>
        <w:r w:rsidR="00332A29">
          <w:rPr>
            <w:noProof/>
            <w:webHidden/>
          </w:rPr>
          <w:tab/>
        </w:r>
        <w:r w:rsidR="00332A29">
          <w:rPr>
            <w:noProof/>
            <w:webHidden/>
          </w:rPr>
          <w:fldChar w:fldCharType="begin"/>
        </w:r>
        <w:r w:rsidR="00332A29">
          <w:rPr>
            <w:noProof/>
            <w:webHidden/>
          </w:rPr>
          <w:instrText xml:space="preserve"> PAGEREF _Toc77074909 \h </w:instrText>
        </w:r>
        <w:r w:rsidR="00332A29">
          <w:rPr>
            <w:noProof/>
            <w:webHidden/>
          </w:rPr>
        </w:r>
        <w:r w:rsidR="00332A29">
          <w:rPr>
            <w:noProof/>
            <w:webHidden/>
          </w:rPr>
          <w:fldChar w:fldCharType="separate"/>
        </w:r>
        <w:r w:rsidR="00332A29">
          <w:rPr>
            <w:noProof/>
            <w:webHidden/>
          </w:rPr>
          <w:t>172</w:t>
        </w:r>
        <w:r w:rsidR="00332A29">
          <w:rPr>
            <w:noProof/>
            <w:webHidden/>
          </w:rPr>
          <w:fldChar w:fldCharType="end"/>
        </w:r>
      </w:hyperlink>
    </w:p>
    <w:p w14:paraId="52B61252" w14:textId="77777777" w:rsidR="00332A29" w:rsidRDefault="00183F7E">
      <w:pPr>
        <w:pStyle w:val="Seznamobrzk"/>
        <w:tabs>
          <w:tab w:val="right" w:leader="dot" w:pos="9062"/>
        </w:tabs>
        <w:rPr>
          <w:rFonts w:eastAsiaTheme="minorEastAsia"/>
          <w:noProof/>
          <w:lang w:eastAsia="cs-CZ"/>
        </w:rPr>
      </w:pPr>
      <w:hyperlink w:anchor="_Toc77074910" w:history="1">
        <w:r w:rsidR="00332A29" w:rsidRPr="00427970">
          <w:rPr>
            <w:rStyle w:val="Hypertextovodkaz"/>
            <w:noProof/>
          </w:rPr>
          <w:t>Obrázek 1.92: Areál Svit Zlín</w:t>
        </w:r>
        <w:r w:rsidR="00332A29">
          <w:rPr>
            <w:noProof/>
            <w:webHidden/>
          </w:rPr>
          <w:tab/>
        </w:r>
        <w:r w:rsidR="00332A29">
          <w:rPr>
            <w:noProof/>
            <w:webHidden/>
          </w:rPr>
          <w:fldChar w:fldCharType="begin"/>
        </w:r>
        <w:r w:rsidR="00332A29">
          <w:rPr>
            <w:noProof/>
            <w:webHidden/>
          </w:rPr>
          <w:instrText xml:space="preserve"> PAGEREF _Toc77074910 \h </w:instrText>
        </w:r>
        <w:r w:rsidR="00332A29">
          <w:rPr>
            <w:noProof/>
            <w:webHidden/>
          </w:rPr>
        </w:r>
        <w:r w:rsidR="00332A29">
          <w:rPr>
            <w:noProof/>
            <w:webHidden/>
          </w:rPr>
          <w:fldChar w:fldCharType="separate"/>
        </w:r>
        <w:r w:rsidR="00332A29">
          <w:rPr>
            <w:noProof/>
            <w:webHidden/>
          </w:rPr>
          <w:t>173</w:t>
        </w:r>
        <w:r w:rsidR="00332A29">
          <w:rPr>
            <w:noProof/>
            <w:webHidden/>
          </w:rPr>
          <w:fldChar w:fldCharType="end"/>
        </w:r>
      </w:hyperlink>
    </w:p>
    <w:p w14:paraId="2DE9AC48" w14:textId="77777777" w:rsidR="00332A29" w:rsidRDefault="00183F7E">
      <w:pPr>
        <w:pStyle w:val="Seznamobrzk"/>
        <w:tabs>
          <w:tab w:val="right" w:leader="dot" w:pos="9062"/>
        </w:tabs>
        <w:rPr>
          <w:rFonts w:eastAsiaTheme="minorEastAsia"/>
          <w:noProof/>
          <w:lang w:eastAsia="cs-CZ"/>
        </w:rPr>
      </w:pPr>
      <w:hyperlink w:anchor="_Toc77074911" w:history="1">
        <w:r w:rsidR="00332A29" w:rsidRPr="00427970">
          <w:rPr>
            <w:rStyle w:val="Hypertextovodkaz"/>
            <w:noProof/>
          </w:rPr>
          <w:t>Obrázek 1.93: Spokojenost s podnikatelským prostředím ve městě Zlín</w:t>
        </w:r>
        <w:r w:rsidR="00332A29">
          <w:rPr>
            <w:noProof/>
            <w:webHidden/>
          </w:rPr>
          <w:tab/>
        </w:r>
        <w:r w:rsidR="00332A29">
          <w:rPr>
            <w:noProof/>
            <w:webHidden/>
          </w:rPr>
          <w:fldChar w:fldCharType="begin"/>
        </w:r>
        <w:r w:rsidR="00332A29">
          <w:rPr>
            <w:noProof/>
            <w:webHidden/>
          </w:rPr>
          <w:instrText xml:space="preserve"> PAGEREF _Toc77074911 \h </w:instrText>
        </w:r>
        <w:r w:rsidR="00332A29">
          <w:rPr>
            <w:noProof/>
            <w:webHidden/>
          </w:rPr>
        </w:r>
        <w:r w:rsidR="00332A29">
          <w:rPr>
            <w:noProof/>
            <w:webHidden/>
          </w:rPr>
          <w:fldChar w:fldCharType="separate"/>
        </w:r>
        <w:r w:rsidR="00332A29">
          <w:rPr>
            <w:noProof/>
            <w:webHidden/>
          </w:rPr>
          <w:t>179</w:t>
        </w:r>
        <w:r w:rsidR="00332A29">
          <w:rPr>
            <w:noProof/>
            <w:webHidden/>
          </w:rPr>
          <w:fldChar w:fldCharType="end"/>
        </w:r>
      </w:hyperlink>
    </w:p>
    <w:p w14:paraId="78830D7C" w14:textId="77777777" w:rsidR="00332A29" w:rsidRDefault="00183F7E">
      <w:pPr>
        <w:pStyle w:val="Seznamobrzk"/>
        <w:tabs>
          <w:tab w:val="right" w:leader="dot" w:pos="9062"/>
        </w:tabs>
        <w:rPr>
          <w:rFonts w:eastAsiaTheme="minorEastAsia"/>
          <w:noProof/>
          <w:lang w:eastAsia="cs-CZ"/>
        </w:rPr>
      </w:pPr>
      <w:hyperlink w:anchor="_Toc77074912" w:history="1">
        <w:r w:rsidR="00332A29" w:rsidRPr="00427970">
          <w:rPr>
            <w:rStyle w:val="Hypertextovodkaz"/>
            <w:noProof/>
          </w:rPr>
          <w:t>Obrázek 1.94: Bariéry rozvoje podnikání firem Zlína</w:t>
        </w:r>
        <w:r w:rsidR="00332A29">
          <w:rPr>
            <w:noProof/>
            <w:webHidden/>
          </w:rPr>
          <w:tab/>
        </w:r>
        <w:r w:rsidR="00332A29">
          <w:rPr>
            <w:noProof/>
            <w:webHidden/>
          </w:rPr>
          <w:fldChar w:fldCharType="begin"/>
        </w:r>
        <w:r w:rsidR="00332A29">
          <w:rPr>
            <w:noProof/>
            <w:webHidden/>
          </w:rPr>
          <w:instrText xml:space="preserve"> PAGEREF _Toc77074912 \h </w:instrText>
        </w:r>
        <w:r w:rsidR="00332A29">
          <w:rPr>
            <w:noProof/>
            <w:webHidden/>
          </w:rPr>
        </w:r>
        <w:r w:rsidR="00332A29">
          <w:rPr>
            <w:noProof/>
            <w:webHidden/>
          </w:rPr>
          <w:fldChar w:fldCharType="separate"/>
        </w:r>
        <w:r w:rsidR="00332A29">
          <w:rPr>
            <w:noProof/>
            <w:webHidden/>
          </w:rPr>
          <w:t>180</w:t>
        </w:r>
        <w:r w:rsidR="00332A29">
          <w:rPr>
            <w:noProof/>
            <w:webHidden/>
          </w:rPr>
          <w:fldChar w:fldCharType="end"/>
        </w:r>
      </w:hyperlink>
    </w:p>
    <w:p w14:paraId="56A94B40" w14:textId="77777777" w:rsidR="00332A29" w:rsidRDefault="00183F7E">
      <w:pPr>
        <w:pStyle w:val="Seznamobrzk"/>
        <w:tabs>
          <w:tab w:val="right" w:leader="dot" w:pos="9062"/>
        </w:tabs>
        <w:rPr>
          <w:rFonts w:eastAsiaTheme="minorEastAsia"/>
          <w:noProof/>
          <w:lang w:eastAsia="cs-CZ"/>
        </w:rPr>
      </w:pPr>
      <w:hyperlink w:anchor="_Toc77074913" w:history="1">
        <w:r w:rsidR="00332A29" w:rsidRPr="00427970">
          <w:rPr>
            <w:rStyle w:val="Hypertextovodkaz"/>
            <w:noProof/>
          </w:rPr>
          <w:t>Obrázek 1.95: Vývoj návštěvnosti města Zlína - tuzemští a zahraniční návštěvníci v letech 2012 – 2019, podíl a vývoj počtu návštěvníků</w:t>
        </w:r>
        <w:r w:rsidR="00332A29">
          <w:rPr>
            <w:noProof/>
            <w:webHidden/>
          </w:rPr>
          <w:tab/>
        </w:r>
        <w:r w:rsidR="00332A29">
          <w:rPr>
            <w:noProof/>
            <w:webHidden/>
          </w:rPr>
          <w:fldChar w:fldCharType="begin"/>
        </w:r>
        <w:r w:rsidR="00332A29">
          <w:rPr>
            <w:noProof/>
            <w:webHidden/>
          </w:rPr>
          <w:instrText xml:space="preserve"> PAGEREF _Toc77074913 \h </w:instrText>
        </w:r>
        <w:r w:rsidR="00332A29">
          <w:rPr>
            <w:noProof/>
            <w:webHidden/>
          </w:rPr>
        </w:r>
        <w:r w:rsidR="00332A29">
          <w:rPr>
            <w:noProof/>
            <w:webHidden/>
          </w:rPr>
          <w:fldChar w:fldCharType="separate"/>
        </w:r>
        <w:r w:rsidR="00332A29">
          <w:rPr>
            <w:noProof/>
            <w:webHidden/>
          </w:rPr>
          <w:t>182</w:t>
        </w:r>
        <w:r w:rsidR="00332A29">
          <w:rPr>
            <w:noProof/>
            <w:webHidden/>
          </w:rPr>
          <w:fldChar w:fldCharType="end"/>
        </w:r>
      </w:hyperlink>
    </w:p>
    <w:p w14:paraId="37B8C42C" w14:textId="77777777" w:rsidR="00332A29" w:rsidRDefault="00183F7E">
      <w:pPr>
        <w:pStyle w:val="Seznamobrzk"/>
        <w:tabs>
          <w:tab w:val="right" w:leader="dot" w:pos="9062"/>
        </w:tabs>
        <w:rPr>
          <w:rFonts w:eastAsiaTheme="minorEastAsia"/>
          <w:noProof/>
          <w:lang w:eastAsia="cs-CZ"/>
        </w:rPr>
      </w:pPr>
      <w:hyperlink w:anchor="_Toc77074914" w:history="1">
        <w:r w:rsidR="00332A29" w:rsidRPr="00427970">
          <w:rPr>
            <w:rStyle w:val="Hypertextovodkaz"/>
            <w:noProof/>
          </w:rPr>
          <w:t>Obrázek 1.96: Průměrný počet přenocování ve Zlíně a v SO ORP Zlín v letech 212 – 2019 (počet nocí)</w:t>
        </w:r>
        <w:r w:rsidR="00332A29">
          <w:rPr>
            <w:noProof/>
            <w:webHidden/>
          </w:rPr>
          <w:tab/>
        </w:r>
        <w:r w:rsidR="00332A29">
          <w:rPr>
            <w:noProof/>
            <w:webHidden/>
          </w:rPr>
          <w:fldChar w:fldCharType="begin"/>
        </w:r>
        <w:r w:rsidR="00332A29">
          <w:rPr>
            <w:noProof/>
            <w:webHidden/>
          </w:rPr>
          <w:instrText xml:space="preserve"> PAGEREF _Toc77074914 \h </w:instrText>
        </w:r>
        <w:r w:rsidR="00332A29">
          <w:rPr>
            <w:noProof/>
            <w:webHidden/>
          </w:rPr>
        </w:r>
        <w:r w:rsidR="00332A29">
          <w:rPr>
            <w:noProof/>
            <w:webHidden/>
          </w:rPr>
          <w:fldChar w:fldCharType="separate"/>
        </w:r>
        <w:r w:rsidR="00332A29">
          <w:rPr>
            <w:noProof/>
            <w:webHidden/>
          </w:rPr>
          <w:t>182</w:t>
        </w:r>
        <w:r w:rsidR="00332A29">
          <w:rPr>
            <w:noProof/>
            <w:webHidden/>
          </w:rPr>
          <w:fldChar w:fldCharType="end"/>
        </w:r>
      </w:hyperlink>
    </w:p>
    <w:p w14:paraId="464A915E" w14:textId="77777777" w:rsidR="00332A29" w:rsidRDefault="00183F7E">
      <w:pPr>
        <w:pStyle w:val="Seznamobrzk"/>
        <w:tabs>
          <w:tab w:val="right" w:leader="dot" w:pos="9062"/>
        </w:tabs>
        <w:rPr>
          <w:rFonts w:eastAsiaTheme="minorEastAsia"/>
          <w:noProof/>
          <w:lang w:eastAsia="cs-CZ"/>
        </w:rPr>
      </w:pPr>
      <w:hyperlink w:anchor="_Toc77074915" w:history="1">
        <w:r w:rsidR="00332A29" w:rsidRPr="00427970">
          <w:rPr>
            <w:rStyle w:val="Hypertextovodkaz"/>
            <w:noProof/>
          </w:rPr>
          <w:t>Obrázek 1.97: Návštěvnost Městského informačního a turistického střediska Zlín v letech 2015 - 2019</w:t>
        </w:r>
        <w:r w:rsidR="00332A29">
          <w:rPr>
            <w:noProof/>
            <w:webHidden/>
          </w:rPr>
          <w:tab/>
        </w:r>
        <w:r w:rsidR="00332A29">
          <w:rPr>
            <w:noProof/>
            <w:webHidden/>
          </w:rPr>
          <w:fldChar w:fldCharType="begin"/>
        </w:r>
        <w:r w:rsidR="00332A29">
          <w:rPr>
            <w:noProof/>
            <w:webHidden/>
          </w:rPr>
          <w:instrText xml:space="preserve"> PAGEREF _Toc77074915 \h </w:instrText>
        </w:r>
        <w:r w:rsidR="00332A29">
          <w:rPr>
            <w:noProof/>
            <w:webHidden/>
          </w:rPr>
        </w:r>
        <w:r w:rsidR="00332A29">
          <w:rPr>
            <w:noProof/>
            <w:webHidden/>
          </w:rPr>
          <w:fldChar w:fldCharType="separate"/>
        </w:r>
        <w:r w:rsidR="00332A29">
          <w:rPr>
            <w:noProof/>
            <w:webHidden/>
          </w:rPr>
          <w:t>183</w:t>
        </w:r>
        <w:r w:rsidR="00332A29">
          <w:rPr>
            <w:noProof/>
            <w:webHidden/>
          </w:rPr>
          <w:fldChar w:fldCharType="end"/>
        </w:r>
      </w:hyperlink>
    </w:p>
    <w:p w14:paraId="35B7A4A2" w14:textId="77777777" w:rsidR="00332A29" w:rsidRDefault="00183F7E">
      <w:pPr>
        <w:pStyle w:val="Seznamobrzk"/>
        <w:tabs>
          <w:tab w:val="right" w:leader="dot" w:pos="9062"/>
        </w:tabs>
        <w:rPr>
          <w:rFonts w:eastAsiaTheme="minorEastAsia"/>
          <w:noProof/>
          <w:lang w:eastAsia="cs-CZ"/>
        </w:rPr>
      </w:pPr>
      <w:hyperlink w:anchor="_Toc77074916" w:history="1">
        <w:r w:rsidR="00332A29" w:rsidRPr="00427970">
          <w:rPr>
            <w:rStyle w:val="Hypertextovodkaz"/>
            <w:noProof/>
          </w:rPr>
          <w:t xml:space="preserve">Obrázek 1.98: Evidenční stav kategorie zaměstnanců za roky 2014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_Toc77074916 \h </w:instrText>
        </w:r>
        <w:r w:rsidR="00332A29">
          <w:rPr>
            <w:noProof/>
            <w:webHidden/>
          </w:rPr>
        </w:r>
        <w:r w:rsidR="00332A29">
          <w:rPr>
            <w:noProof/>
            <w:webHidden/>
          </w:rPr>
          <w:fldChar w:fldCharType="separate"/>
        </w:r>
        <w:r w:rsidR="00332A29">
          <w:rPr>
            <w:noProof/>
            <w:webHidden/>
          </w:rPr>
          <w:t>188</w:t>
        </w:r>
        <w:r w:rsidR="00332A29">
          <w:rPr>
            <w:noProof/>
            <w:webHidden/>
          </w:rPr>
          <w:fldChar w:fldCharType="end"/>
        </w:r>
      </w:hyperlink>
    </w:p>
    <w:p w14:paraId="61339A64" w14:textId="77777777" w:rsidR="00332A29" w:rsidRDefault="00183F7E">
      <w:pPr>
        <w:pStyle w:val="Seznamobrzk"/>
        <w:tabs>
          <w:tab w:val="right" w:leader="dot" w:pos="9062"/>
        </w:tabs>
        <w:rPr>
          <w:rFonts w:eastAsiaTheme="minorEastAsia"/>
          <w:noProof/>
          <w:lang w:eastAsia="cs-CZ"/>
        </w:rPr>
      </w:pPr>
      <w:hyperlink w:anchor="_Toc77074917" w:history="1">
        <w:r w:rsidR="00332A29" w:rsidRPr="00427970">
          <w:rPr>
            <w:rStyle w:val="Hypertextovodkaz"/>
            <w:rFonts w:cstheme="minorHAnsi"/>
            <w:noProof/>
          </w:rPr>
          <w:t>Obrázek 1.99: Hodnocení práce magistrátu</w:t>
        </w:r>
        <w:r w:rsidR="00332A29">
          <w:rPr>
            <w:noProof/>
            <w:webHidden/>
          </w:rPr>
          <w:tab/>
        </w:r>
        <w:r w:rsidR="00332A29">
          <w:rPr>
            <w:noProof/>
            <w:webHidden/>
          </w:rPr>
          <w:fldChar w:fldCharType="begin"/>
        </w:r>
        <w:r w:rsidR="00332A29">
          <w:rPr>
            <w:noProof/>
            <w:webHidden/>
          </w:rPr>
          <w:instrText xml:space="preserve"> PAGEREF _Toc77074917 \h </w:instrText>
        </w:r>
        <w:r w:rsidR="00332A29">
          <w:rPr>
            <w:noProof/>
            <w:webHidden/>
          </w:rPr>
        </w:r>
        <w:r w:rsidR="00332A29">
          <w:rPr>
            <w:noProof/>
            <w:webHidden/>
          </w:rPr>
          <w:fldChar w:fldCharType="separate"/>
        </w:r>
        <w:r w:rsidR="00332A29">
          <w:rPr>
            <w:noProof/>
            <w:webHidden/>
          </w:rPr>
          <w:t>190</w:t>
        </w:r>
        <w:r w:rsidR="00332A29">
          <w:rPr>
            <w:noProof/>
            <w:webHidden/>
          </w:rPr>
          <w:fldChar w:fldCharType="end"/>
        </w:r>
      </w:hyperlink>
    </w:p>
    <w:p w14:paraId="13B6C95E" w14:textId="77777777" w:rsidR="00332A29" w:rsidRDefault="00183F7E">
      <w:pPr>
        <w:pStyle w:val="Seznamobrzk"/>
        <w:tabs>
          <w:tab w:val="right" w:leader="dot" w:pos="9062"/>
        </w:tabs>
        <w:rPr>
          <w:rFonts w:eastAsiaTheme="minorEastAsia"/>
          <w:noProof/>
          <w:lang w:eastAsia="cs-CZ"/>
        </w:rPr>
      </w:pPr>
      <w:hyperlink w:anchor="_Toc77074918" w:history="1">
        <w:r w:rsidR="00332A29" w:rsidRPr="00427970">
          <w:rPr>
            <w:rStyle w:val="Hypertextovodkaz"/>
            <w:noProof/>
          </w:rPr>
          <w:t xml:space="preserve">Obrázek 1.100: </w:t>
        </w:r>
        <w:r w:rsidR="00332A29" w:rsidRPr="00427970">
          <w:rPr>
            <w:rStyle w:val="Hypertextovodkaz"/>
            <w:rFonts w:cstheme="minorHAnsi"/>
            <w:noProof/>
          </w:rPr>
          <w:t>Přehled největších výdajů města Zlína dle jednotlivých oblastí v letech 2015 – 2019</w:t>
        </w:r>
        <w:r w:rsidR="00332A29">
          <w:rPr>
            <w:noProof/>
            <w:webHidden/>
          </w:rPr>
          <w:tab/>
        </w:r>
        <w:r w:rsidR="00332A29">
          <w:rPr>
            <w:noProof/>
            <w:webHidden/>
          </w:rPr>
          <w:fldChar w:fldCharType="begin"/>
        </w:r>
        <w:r w:rsidR="00332A29">
          <w:rPr>
            <w:noProof/>
            <w:webHidden/>
          </w:rPr>
          <w:instrText xml:space="preserve"> PAGEREF _Toc77074918 \h </w:instrText>
        </w:r>
        <w:r w:rsidR="00332A29">
          <w:rPr>
            <w:noProof/>
            <w:webHidden/>
          </w:rPr>
        </w:r>
        <w:r w:rsidR="00332A29">
          <w:rPr>
            <w:noProof/>
            <w:webHidden/>
          </w:rPr>
          <w:fldChar w:fldCharType="separate"/>
        </w:r>
        <w:r w:rsidR="00332A29">
          <w:rPr>
            <w:noProof/>
            <w:webHidden/>
          </w:rPr>
          <w:t>193</w:t>
        </w:r>
        <w:r w:rsidR="00332A29">
          <w:rPr>
            <w:noProof/>
            <w:webHidden/>
          </w:rPr>
          <w:fldChar w:fldCharType="end"/>
        </w:r>
      </w:hyperlink>
    </w:p>
    <w:p w14:paraId="6657E939" w14:textId="77777777" w:rsidR="00332A29" w:rsidRDefault="00183F7E">
      <w:pPr>
        <w:pStyle w:val="Seznamobrzk"/>
        <w:tabs>
          <w:tab w:val="right" w:leader="dot" w:pos="9062"/>
        </w:tabs>
        <w:rPr>
          <w:rFonts w:eastAsiaTheme="minorEastAsia"/>
          <w:noProof/>
          <w:lang w:eastAsia="cs-CZ"/>
        </w:rPr>
      </w:pPr>
      <w:hyperlink w:anchor="_Toc77074919" w:history="1">
        <w:r w:rsidR="00332A29" w:rsidRPr="00427970">
          <w:rPr>
            <w:rStyle w:val="Hypertextovodkaz"/>
            <w:noProof/>
          </w:rPr>
          <w:t xml:space="preserve">Obrázek 1.101: </w:t>
        </w:r>
        <w:r w:rsidR="00332A29" w:rsidRPr="00427970">
          <w:rPr>
            <w:rStyle w:val="Hypertextovodkaz"/>
            <w:rFonts w:cstheme="minorHAnsi"/>
            <w:noProof/>
          </w:rPr>
          <w:t>Přehled největších výdajů města Zlína dle jednotlivých oblastí přepočtený na 1 000 obyvatel v porovnání se sledovanými městy v roce 2019</w:t>
        </w:r>
        <w:r w:rsidR="00332A29">
          <w:rPr>
            <w:noProof/>
            <w:webHidden/>
          </w:rPr>
          <w:tab/>
        </w:r>
        <w:r w:rsidR="00332A29">
          <w:rPr>
            <w:noProof/>
            <w:webHidden/>
          </w:rPr>
          <w:fldChar w:fldCharType="begin"/>
        </w:r>
        <w:r w:rsidR="00332A29">
          <w:rPr>
            <w:noProof/>
            <w:webHidden/>
          </w:rPr>
          <w:instrText xml:space="preserve"> PAGEREF _Toc77074919 \h </w:instrText>
        </w:r>
        <w:r w:rsidR="00332A29">
          <w:rPr>
            <w:noProof/>
            <w:webHidden/>
          </w:rPr>
        </w:r>
        <w:r w:rsidR="00332A29">
          <w:rPr>
            <w:noProof/>
            <w:webHidden/>
          </w:rPr>
          <w:fldChar w:fldCharType="separate"/>
        </w:r>
        <w:r w:rsidR="00332A29">
          <w:rPr>
            <w:noProof/>
            <w:webHidden/>
          </w:rPr>
          <w:t>194</w:t>
        </w:r>
        <w:r w:rsidR="00332A29">
          <w:rPr>
            <w:noProof/>
            <w:webHidden/>
          </w:rPr>
          <w:fldChar w:fldCharType="end"/>
        </w:r>
      </w:hyperlink>
    </w:p>
    <w:p w14:paraId="559B13E3" w14:textId="77777777" w:rsidR="00332A29" w:rsidRDefault="00183F7E">
      <w:pPr>
        <w:pStyle w:val="Seznamobrzk"/>
        <w:tabs>
          <w:tab w:val="right" w:leader="dot" w:pos="9062"/>
        </w:tabs>
        <w:rPr>
          <w:rFonts w:eastAsiaTheme="minorEastAsia"/>
          <w:noProof/>
          <w:lang w:eastAsia="cs-CZ"/>
        </w:rPr>
      </w:pPr>
      <w:hyperlink w:anchor="_Toc77074920" w:history="1">
        <w:r w:rsidR="00332A29" w:rsidRPr="00427970">
          <w:rPr>
            <w:rStyle w:val="Hypertextovodkaz"/>
            <w:noProof/>
          </w:rPr>
          <w:t xml:space="preserve">Obrázek 1.102: </w:t>
        </w:r>
        <w:r w:rsidR="00332A29" w:rsidRPr="00427970">
          <w:rPr>
            <w:rStyle w:val="Hypertextovodkaz"/>
            <w:rFonts w:cstheme="minorHAnsi"/>
            <w:noProof/>
          </w:rPr>
          <w:t>Vývoj ukazatele dluhové služby v přepočtu na 1 obyvatele města Zlína v porovnání s vybranými městy v letech 2014 – 2019</w:t>
        </w:r>
        <w:r w:rsidR="00332A29">
          <w:rPr>
            <w:noProof/>
            <w:webHidden/>
          </w:rPr>
          <w:tab/>
        </w:r>
        <w:r w:rsidR="00332A29">
          <w:rPr>
            <w:noProof/>
            <w:webHidden/>
          </w:rPr>
          <w:fldChar w:fldCharType="begin"/>
        </w:r>
        <w:r w:rsidR="00332A29">
          <w:rPr>
            <w:noProof/>
            <w:webHidden/>
          </w:rPr>
          <w:instrText xml:space="preserve"> PAGEREF _Toc77074920 \h </w:instrText>
        </w:r>
        <w:r w:rsidR="00332A29">
          <w:rPr>
            <w:noProof/>
            <w:webHidden/>
          </w:rPr>
        </w:r>
        <w:r w:rsidR="00332A29">
          <w:rPr>
            <w:noProof/>
            <w:webHidden/>
          </w:rPr>
          <w:fldChar w:fldCharType="separate"/>
        </w:r>
        <w:r w:rsidR="00332A29">
          <w:rPr>
            <w:noProof/>
            <w:webHidden/>
          </w:rPr>
          <w:t>194</w:t>
        </w:r>
        <w:r w:rsidR="00332A29">
          <w:rPr>
            <w:noProof/>
            <w:webHidden/>
          </w:rPr>
          <w:fldChar w:fldCharType="end"/>
        </w:r>
      </w:hyperlink>
    </w:p>
    <w:p w14:paraId="3956BFAF" w14:textId="77777777" w:rsidR="00332A29" w:rsidRDefault="00183F7E">
      <w:pPr>
        <w:pStyle w:val="Seznamobrzk"/>
        <w:tabs>
          <w:tab w:val="right" w:leader="dot" w:pos="9062"/>
        </w:tabs>
        <w:rPr>
          <w:rFonts w:eastAsiaTheme="minorEastAsia"/>
          <w:noProof/>
          <w:lang w:eastAsia="cs-CZ"/>
        </w:rPr>
      </w:pPr>
      <w:hyperlink w:anchor="_Toc77074921" w:history="1">
        <w:r w:rsidR="00332A29" w:rsidRPr="00427970">
          <w:rPr>
            <w:rStyle w:val="Hypertextovodkaz"/>
            <w:noProof/>
          </w:rPr>
          <w:t>Obrázek 1.103: Změna intenzity dopravy mezi sčítáními z let 2010 a 2016</w:t>
        </w:r>
        <w:r w:rsidR="00332A29">
          <w:rPr>
            <w:noProof/>
            <w:webHidden/>
          </w:rPr>
          <w:tab/>
        </w:r>
        <w:r w:rsidR="00332A29">
          <w:rPr>
            <w:noProof/>
            <w:webHidden/>
          </w:rPr>
          <w:fldChar w:fldCharType="begin"/>
        </w:r>
        <w:r w:rsidR="00332A29">
          <w:rPr>
            <w:noProof/>
            <w:webHidden/>
          </w:rPr>
          <w:instrText xml:space="preserve"> PAGEREF _Toc77074921 \h </w:instrText>
        </w:r>
        <w:r w:rsidR="00332A29">
          <w:rPr>
            <w:noProof/>
            <w:webHidden/>
          </w:rPr>
        </w:r>
        <w:r w:rsidR="00332A29">
          <w:rPr>
            <w:noProof/>
            <w:webHidden/>
          </w:rPr>
          <w:fldChar w:fldCharType="separate"/>
        </w:r>
        <w:r w:rsidR="00332A29">
          <w:rPr>
            <w:noProof/>
            <w:webHidden/>
          </w:rPr>
          <w:t>210</w:t>
        </w:r>
        <w:r w:rsidR="00332A29">
          <w:rPr>
            <w:noProof/>
            <w:webHidden/>
          </w:rPr>
          <w:fldChar w:fldCharType="end"/>
        </w:r>
      </w:hyperlink>
    </w:p>
    <w:p w14:paraId="50047CB5" w14:textId="77777777" w:rsidR="00332A29" w:rsidRDefault="00183F7E">
      <w:pPr>
        <w:pStyle w:val="Seznamobrzk"/>
        <w:tabs>
          <w:tab w:val="right" w:leader="dot" w:pos="9062"/>
        </w:tabs>
        <w:rPr>
          <w:rFonts w:eastAsiaTheme="minorEastAsia"/>
          <w:noProof/>
          <w:lang w:eastAsia="cs-CZ"/>
        </w:rPr>
      </w:pPr>
      <w:hyperlink w:anchor="_Toc77074922" w:history="1">
        <w:r w:rsidR="00332A29" w:rsidRPr="00427970">
          <w:rPr>
            <w:rStyle w:val="Hypertextovodkaz"/>
            <w:noProof/>
          </w:rPr>
          <w:t>Obrázek 2.1:</w:t>
        </w:r>
        <w:r w:rsidR="00332A29" w:rsidRPr="00427970">
          <w:rPr>
            <w:rStyle w:val="Hypertextovodkaz"/>
            <w:rFonts w:cstheme="minorHAnsi"/>
            <w:noProof/>
          </w:rPr>
          <w:t xml:space="preserve"> Struktura respondentů podle vzdělání</w:t>
        </w:r>
        <w:r w:rsidR="00332A29">
          <w:rPr>
            <w:noProof/>
            <w:webHidden/>
          </w:rPr>
          <w:tab/>
        </w:r>
        <w:r w:rsidR="00332A29">
          <w:rPr>
            <w:noProof/>
            <w:webHidden/>
          </w:rPr>
          <w:fldChar w:fldCharType="begin"/>
        </w:r>
        <w:r w:rsidR="00332A29">
          <w:rPr>
            <w:noProof/>
            <w:webHidden/>
          </w:rPr>
          <w:instrText xml:space="preserve"> PAGEREF _Toc77074922 \h </w:instrText>
        </w:r>
        <w:r w:rsidR="00332A29">
          <w:rPr>
            <w:noProof/>
            <w:webHidden/>
          </w:rPr>
        </w:r>
        <w:r w:rsidR="00332A29">
          <w:rPr>
            <w:noProof/>
            <w:webHidden/>
          </w:rPr>
          <w:fldChar w:fldCharType="separate"/>
        </w:r>
        <w:r w:rsidR="00332A29">
          <w:rPr>
            <w:noProof/>
            <w:webHidden/>
          </w:rPr>
          <w:t>231</w:t>
        </w:r>
        <w:r w:rsidR="00332A29">
          <w:rPr>
            <w:noProof/>
            <w:webHidden/>
          </w:rPr>
          <w:fldChar w:fldCharType="end"/>
        </w:r>
      </w:hyperlink>
    </w:p>
    <w:p w14:paraId="57310751" w14:textId="77777777" w:rsidR="00332A29" w:rsidRDefault="00183F7E">
      <w:pPr>
        <w:pStyle w:val="Seznamobrzk"/>
        <w:tabs>
          <w:tab w:val="right" w:leader="dot" w:pos="9062"/>
        </w:tabs>
        <w:rPr>
          <w:rFonts w:eastAsiaTheme="minorEastAsia"/>
          <w:noProof/>
          <w:lang w:eastAsia="cs-CZ"/>
        </w:rPr>
      </w:pPr>
      <w:hyperlink w:anchor="_Toc77074923" w:history="1">
        <w:r w:rsidR="00332A29" w:rsidRPr="00427970">
          <w:rPr>
            <w:rStyle w:val="Hypertextovodkaz"/>
            <w:rFonts w:cstheme="minorHAnsi"/>
            <w:noProof/>
          </w:rPr>
          <w:t>Obrázek 2.2: Struktura respondentů místa bydliště</w:t>
        </w:r>
        <w:r w:rsidR="00332A29">
          <w:rPr>
            <w:noProof/>
            <w:webHidden/>
          </w:rPr>
          <w:tab/>
        </w:r>
        <w:r w:rsidR="00332A29">
          <w:rPr>
            <w:noProof/>
            <w:webHidden/>
          </w:rPr>
          <w:fldChar w:fldCharType="begin"/>
        </w:r>
        <w:r w:rsidR="00332A29">
          <w:rPr>
            <w:noProof/>
            <w:webHidden/>
          </w:rPr>
          <w:instrText xml:space="preserve"> PAGEREF _Toc77074923 \h </w:instrText>
        </w:r>
        <w:r w:rsidR="00332A29">
          <w:rPr>
            <w:noProof/>
            <w:webHidden/>
          </w:rPr>
        </w:r>
        <w:r w:rsidR="00332A29">
          <w:rPr>
            <w:noProof/>
            <w:webHidden/>
          </w:rPr>
          <w:fldChar w:fldCharType="separate"/>
        </w:r>
        <w:r w:rsidR="00332A29">
          <w:rPr>
            <w:noProof/>
            <w:webHidden/>
          </w:rPr>
          <w:t>232</w:t>
        </w:r>
        <w:r w:rsidR="00332A29">
          <w:rPr>
            <w:noProof/>
            <w:webHidden/>
          </w:rPr>
          <w:fldChar w:fldCharType="end"/>
        </w:r>
      </w:hyperlink>
    </w:p>
    <w:p w14:paraId="0EF286EB" w14:textId="77777777" w:rsidR="00332A29" w:rsidRDefault="00183F7E">
      <w:pPr>
        <w:pStyle w:val="Seznamobrzk"/>
        <w:tabs>
          <w:tab w:val="right" w:leader="dot" w:pos="9062"/>
        </w:tabs>
        <w:rPr>
          <w:rFonts w:eastAsiaTheme="minorEastAsia"/>
          <w:noProof/>
          <w:lang w:eastAsia="cs-CZ"/>
        </w:rPr>
      </w:pPr>
      <w:hyperlink w:anchor="_Toc77074924" w:history="1">
        <w:r w:rsidR="00332A29" w:rsidRPr="00427970">
          <w:rPr>
            <w:rStyle w:val="Hypertextovodkaz"/>
            <w:rFonts w:cstheme="minorHAnsi"/>
            <w:noProof/>
          </w:rPr>
          <w:t>Obrázek 2.3: Struktura respondentů – studenti VŠ a UTB</w:t>
        </w:r>
        <w:r w:rsidR="00332A29">
          <w:rPr>
            <w:noProof/>
            <w:webHidden/>
          </w:rPr>
          <w:tab/>
        </w:r>
        <w:r w:rsidR="00332A29">
          <w:rPr>
            <w:noProof/>
            <w:webHidden/>
          </w:rPr>
          <w:fldChar w:fldCharType="begin"/>
        </w:r>
        <w:r w:rsidR="00332A29">
          <w:rPr>
            <w:noProof/>
            <w:webHidden/>
          </w:rPr>
          <w:instrText xml:space="preserve"> PAGEREF _Toc77074924 \h </w:instrText>
        </w:r>
        <w:r w:rsidR="00332A29">
          <w:rPr>
            <w:noProof/>
            <w:webHidden/>
          </w:rPr>
        </w:r>
        <w:r w:rsidR="00332A29">
          <w:rPr>
            <w:noProof/>
            <w:webHidden/>
          </w:rPr>
          <w:fldChar w:fldCharType="separate"/>
        </w:r>
        <w:r w:rsidR="00332A29">
          <w:rPr>
            <w:noProof/>
            <w:webHidden/>
          </w:rPr>
          <w:t>232</w:t>
        </w:r>
        <w:r w:rsidR="00332A29">
          <w:rPr>
            <w:noProof/>
            <w:webHidden/>
          </w:rPr>
          <w:fldChar w:fldCharType="end"/>
        </w:r>
      </w:hyperlink>
    </w:p>
    <w:p w14:paraId="092EACB5" w14:textId="77777777" w:rsidR="00332A29" w:rsidRDefault="00183F7E">
      <w:pPr>
        <w:pStyle w:val="Seznamobrzk"/>
        <w:tabs>
          <w:tab w:val="right" w:leader="dot" w:pos="9062"/>
        </w:tabs>
        <w:rPr>
          <w:rFonts w:eastAsiaTheme="minorEastAsia"/>
          <w:noProof/>
          <w:lang w:eastAsia="cs-CZ"/>
        </w:rPr>
      </w:pPr>
      <w:hyperlink w:anchor="_Toc77074925" w:history="1">
        <w:r w:rsidR="00332A29" w:rsidRPr="00427970">
          <w:rPr>
            <w:rStyle w:val="Hypertextovodkaz"/>
            <w:rFonts w:cstheme="minorHAnsi"/>
            <w:noProof/>
          </w:rPr>
          <w:t>Obrázek 2.4: Spokojenost se životem ve Zlíně</w:t>
        </w:r>
        <w:r w:rsidR="00332A29">
          <w:rPr>
            <w:noProof/>
            <w:webHidden/>
          </w:rPr>
          <w:tab/>
        </w:r>
        <w:r w:rsidR="00332A29">
          <w:rPr>
            <w:noProof/>
            <w:webHidden/>
          </w:rPr>
          <w:fldChar w:fldCharType="begin"/>
        </w:r>
        <w:r w:rsidR="00332A29">
          <w:rPr>
            <w:noProof/>
            <w:webHidden/>
          </w:rPr>
          <w:instrText xml:space="preserve"> PAGEREF _Toc77074925 \h </w:instrText>
        </w:r>
        <w:r w:rsidR="00332A29">
          <w:rPr>
            <w:noProof/>
            <w:webHidden/>
          </w:rPr>
        </w:r>
        <w:r w:rsidR="00332A29">
          <w:rPr>
            <w:noProof/>
            <w:webHidden/>
          </w:rPr>
          <w:fldChar w:fldCharType="separate"/>
        </w:r>
        <w:r w:rsidR="00332A29">
          <w:rPr>
            <w:noProof/>
            <w:webHidden/>
          </w:rPr>
          <w:t>233</w:t>
        </w:r>
        <w:r w:rsidR="00332A29">
          <w:rPr>
            <w:noProof/>
            <w:webHidden/>
          </w:rPr>
          <w:fldChar w:fldCharType="end"/>
        </w:r>
      </w:hyperlink>
    </w:p>
    <w:p w14:paraId="5EA44C3B" w14:textId="77777777" w:rsidR="00332A29" w:rsidRDefault="00183F7E">
      <w:pPr>
        <w:pStyle w:val="Seznamobrzk"/>
        <w:tabs>
          <w:tab w:val="right" w:leader="dot" w:pos="9062"/>
        </w:tabs>
        <w:rPr>
          <w:rFonts w:eastAsiaTheme="minorEastAsia"/>
          <w:noProof/>
          <w:lang w:eastAsia="cs-CZ"/>
        </w:rPr>
      </w:pPr>
      <w:hyperlink w:anchor="_Toc77074926" w:history="1">
        <w:r w:rsidR="00332A29" w:rsidRPr="00427970">
          <w:rPr>
            <w:rStyle w:val="Hypertextovodkaz"/>
            <w:rFonts w:cstheme="minorHAnsi"/>
            <w:noProof/>
          </w:rPr>
          <w:t>Obrázek 2.5: Co se respondentům na Zlíně nejvíce líbí</w:t>
        </w:r>
        <w:r w:rsidR="00332A29">
          <w:rPr>
            <w:noProof/>
            <w:webHidden/>
          </w:rPr>
          <w:tab/>
        </w:r>
        <w:r w:rsidR="00332A29">
          <w:rPr>
            <w:noProof/>
            <w:webHidden/>
          </w:rPr>
          <w:fldChar w:fldCharType="begin"/>
        </w:r>
        <w:r w:rsidR="00332A29">
          <w:rPr>
            <w:noProof/>
            <w:webHidden/>
          </w:rPr>
          <w:instrText xml:space="preserve"> PAGEREF _Toc77074926 \h </w:instrText>
        </w:r>
        <w:r w:rsidR="00332A29">
          <w:rPr>
            <w:noProof/>
            <w:webHidden/>
          </w:rPr>
        </w:r>
        <w:r w:rsidR="00332A29">
          <w:rPr>
            <w:noProof/>
            <w:webHidden/>
          </w:rPr>
          <w:fldChar w:fldCharType="separate"/>
        </w:r>
        <w:r w:rsidR="00332A29">
          <w:rPr>
            <w:noProof/>
            <w:webHidden/>
          </w:rPr>
          <w:t>235</w:t>
        </w:r>
        <w:r w:rsidR="00332A29">
          <w:rPr>
            <w:noProof/>
            <w:webHidden/>
          </w:rPr>
          <w:fldChar w:fldCharType="end"/>
        </w:r>
      </w:hyperlink>
    </w:p>
    <w:p w14:paraId="600D6147" w14:textId="77777777" w:rsidR="00332A29" w:rsidRDefault="00183F7E">
      <w:pPr>
        <w:pStyle w:val="Seznamobrzk"/>
        <w:tabs>
          <w:tab w:val="right" w:leader="dot" w:pos="9062"/>
        </w:tabs>
        <w:rPr>
          <w:rFonts w:eastAsiaTheme="minorEastAsia"/>
          <w:noProof/>
          <w:lang w:eastAsia="cs-CZ"/>
        </w:rPr>
      </w:pPr>
      <w:hyperlink w:anchor="_Toc77074927" w:history="1">
        <w:r w:rsidR="00332A29" w:rsidRPr="00427970">
          <w:rPr>
            <w:rStyle w:val="Hypertextovodkaz"/>
            <w:noProof/>
          </w:rPr>
          <w:t xml:space="preserve">Obrázek 2.6: </w:t>
        </w:r>
        <w:r w:rsidR="00332A29" w:rsidRPr="00427970">
          <w:rPr>
            <w:rStyle w:val="Hypertextovodkaz"/>
            <w:rFonts w:cstheme="minorHAnsi"/>
            <w:noProof/>
          </w:rPr>
          <w:t>Nejčastější odpovědi na otázku č. 3: Co Vám ve Zlíně nejvíce chybí?</w:t>
        </w:r>
        <w:r w:rsidR="00332A29">
          <w:rPr>
            <w:noProof/>
            <w:webHidden/>
          </w:rPr>
          <w:tab/>
        </w:r>
        <w:r w:rsidR="00332A29">
          <w:rPr>
            <w:noProof/>
            <w:webHidden/>
          </w:rPr>
          <w:fldChar w:fldCharType="begin"/>
        </w:r>
        <w:r w:rsidR="00332A29">
          <w:rPr>
            <w:noProof/>
            <w:webHidden/>
          </w:rPr>
          <w:instrText xml:space="preserve"> PAGEREF _Toc77074927 \h </w:instrText>
        </w:r>
        <w:r w:rsidR="00332A29">
          <w:rPr>
            <w:noProof/>
            <w:webHidden/>
          </w:rPr>
        </w:r>
        <w:r w:rsidR="00332A29">
          <w:rPr>
            <w:noProof/>
            <w:webHidden/>
          </w:rPr>
          <w:fldChar w:fldCharType="separate"/>
        </w:r>
        <w:r w:rsidR="00332A29">
          <w:rPr>
            <w:noProof/>
            <w:webHidden/>
          </w:rPr>
          <w:t>237</w:t>
        </w:r>
        <w:r w:rsidR="00332A29">
          <w:rPr>
            <w:noProof/>
            <w:webHidden/>
          </w:rPr>
          <w:fldChar w:fldCharType="end"/>
        </w:r>
      </w:hyperlink>
    </w:p>
    <w:p w14:paraId="7C59C591" w14:textId="77777777" w:rsidR="00332A29" w:rsidRDefault="00183F7E">
      <w:pPr>
        <w:pStyle w:val="Seznamobrzk"/>
        <w:tabs>
          <w:tab w:val="right" w:leader="dot" w:pos="9062"/>
        </w:tabs>
        <w:rPr>
          <w:rFonts w:eastAsiaTheme="minorEastAsia"/>
          <w:noProof/>
          <w:lang w:eastAsia="cs-CZ"/>
        </w:rPr>
      </w:pPr>
      <w:hyperlink w:anchor="_Toc77074928" w:history="1">
        <w:r w:rsidR="00332A29" w:rsidRPr="00427970">
          <w:rPr>
            <w:rStyle w:val="Hypertextovodkaz"/>
            <w:rFonts w:cstheme="minorHAnsi"/>
            <w:noProof/>
          </w:rPr>
          <w:t>Obrázek 2.7: Hodnocení vývoje města za posledních 5 let</w:t>
        </w:r>
        <w:r w:rsidR="00332A29">
          <w:rPr>
            <w:noProof/>
            <w:webHidden/>
          </w:rPr>
          <w:tab/>
        </w:r>
        <w:r w:rsidR="00332A29">
          <w:rPr>
            <w:noProof/>
            <w:webHidden/>
          </w:rPr>
          <w:fldChar w:fldCharType="begin"/>
        </w:r>
        <w:r w:rsidR="00332A29">
          <w:rPr>
            <w:noProof/>
            <w:webHidden/>
          </w:rPr>
          <w:instrText xml:space="preserve"> PAGEREF _Toc77074928 \h </w:instrText>
        </w:r>
        <w:r w:rsidR="00332A29">
          <w:rPr>
            <w:noProof/>
            <w:webHidden/>
          </w:rPr>
        </w:r>
        <w:r w:rsidR="00332A29">
          <w:rPr>
            <w:noProof/>
            <w:webHidden/>
          </w:rPr>
          <w:fldChar w:fldCharType="separate"/>
        </w:r>
        <w:r w:rsidR="00332A29">
          <w:rPr>
            <w:noProof/>
            <w:webHidden/>
          </w:rPr>
          <w:t>238</w:t>
        </w:r>
        <w:r w:rsidR="00332A29">
          <w:rPr>
            <w:noProof/>
            <w:webHidden/>
          </w:rPr>
          <w:fldChar w:fldCharType="end"/>
        </w:r>
      </w:hyperlink>
    </w:p>
    <w:p w14:paraId="1AFD57A5" w14:textId="77777777" w:rsidR="00332A29" w:rsidRDefault="00183F7E">
      <w:pPr>
        <w:pStyle w:val="Seznamobrzk"/>
        <w:tabs>
          <w:tab w:val="right" w:leader="dot" w:pos="9062"/>
        </w:tabs>
        <w:rPr>
          <w:rFonts w:eastAsiaTheme="minorEastAsia"/>
          <w:noProof/>
          <w:lang w:eastAsia="cs-CZ"/>
        </w:rPr>
      </w:pPr>
      <w:hyperlink w:anchor="_Toc77074929" w:history="1">
        <w:r w:rsidR="00332A29" w:rsidRPr="00427970">
          <w:rPr>
            <w:rStyle w:val="Hypertextovodkaz"/>
            <w:rFonts w:cstheme="minorHAnsi"/>
            <w:noProof/>
          </w:rPr>
          <w:t>Obrázek 2.8: Hodnocení vývoje města za posledních 5 let: POZITIVNÍ ODPOVĚDI</w:t>
        </w:r>
        <w:r w:rsidR="00332A29">
          <w:rPr>
            <w:noProof/>
            <w:webHidden/>
          </w:rPr>
          <w:tab/>
        </w:r>
        <w:r w:rsidR="00332A29">
          <w:rPr>
            <w:noProof/>
            <w:webHidden/>
          </w:rPr>
          <w:fldChar w:fldCharType="begin"/>
        </w:r>
        <w:r w:rsidR="00332A29">
          <w:rPr>
            <w:noProof/>
            <w:webHidden/>
          </w:rPr>
          <w:instrText xml:space="preserve"> PAGEREF _Toc77074929 \h </w:instrText>
        </w:r>
        <w:r w:rsidR="00332A29">
          <w:rPr>
            <w:noProof/>
            <w:webHidden/>
          </w:rPr>
        </w:r>
        <w:r w:rsidR="00332A29">
          <w:rPr>
            <w:noProof/>
            <w:webHidden/>
          </w:rPr>
          <w:fldChar w:fldCharType="separate"/>
        </w:r>
        <w:r w:rsidR="00332A29">
          <w:rPr>
            <w:noProof/>
            <w:webHidden/>
          </w:rPr>
          <w:t>240</w:t>
        </w:r>
        <w:r w:rsidR="00332A29">
          <w:rPr>
            <w:noProof/>
            <w:webHidden/>
          </w:rPr>
          <w:fldChar w:fldCharType="end"/>
        </w:r>
      </w:hyperlink>
    </w:p>
    <w:p w14:paraId="0418141C" w14:textId="77777777" w:rsidR="00332A29" w:rsidRDefault="00183F7E">
      <w:pPr>
        <w:pStyle w:val="Seznamobrzk"/>
        <w:tabs>
          <w:tab w:val="right" w:leader="dot" w:pos="9062"/>
        </w:tabs>
        <w:rPr>
          <w:rFonts w:eastAsiaTheme="minorEastAsia"/>
          <w:noProof/>
          <w:lang w:eastAsia="cs-CZ"/>
        </w:rPr>
      </w:pPr>
      <w:hyperlink w:anchor="_Toc77074930" w:history="1">
        <w:r w:rsidR="00332A29" w:rsidRPr="00427970">
          <w:rPr>
            <w:rStyle w:val="Hypertextovodkaz"/>
            <w:rFonts w:cstheme="minorHAnsi"/>
            <w:noProof/>
          </w:rPr>
          <w:t>Obrázek 2.9: Hodnocení vývoje města za posledních 5 let: NEGATIVNÍ ODPOVĚDI</w:t>
        </w:r>
        <w:r w:rsidR="00332A29">
          <w:rPr>
            <w:noProof/>
            <w:webHidden/>
          </w:rPr>
          <w:tab/>
        </w:r>
        <w:r w:rsidR="00332A29">
          <w:rPr>
            <w:noProof/>
            <w:webHidden/>
          </w:rPr>
          <w:fldChar w:fldCharType="begin"/>
        </w:r>
        <w:r w:rsidR="00332A29">
          <w:rPr>
            <w:noProof/>
            <w:webHidden/>
          </w:rPr>
          <w:instrText xml:space="preserve"> PAGEREF _Toc77074930 \h </w:instrText>
        </w:r>
        <w:r w:rsidR="00332A29">
          <w:rPr>
            <w:noProof/>
            <w:webHidden/>
          </w:rPr>
        </w:r>
        <w:r w:rsidR="00332A29">
          <w:rPr>
            <w:noProof/>
            <w:webHidden/>
          </w:rPr>
          <w:fldChar w:fldCharType="separate"/>
        </w:r>
        <w:r w:rsidR="00332A29">
          <w:rPr>
            <w:noProof/>
            <w:webHidden/>
          </w:rPr>
          <w:t>241</w:t>
        </w:r>
        <w:r w:rsidR="00332A29">
          <w:rPr>
            <w:noProof/>
            <w:webHidden/>
          </w:rPr>
          <w:fldChar w:fldCharType="end"/>
        </w:r>
      </w:hyperlink>
    </w:p>
    <w:p w14:paraId="2AC82E5F" w14:textId="77777777" w:rsidR="00332A29" w:rsidRDefault="00183F7E">
      <w:pPr>
        <w:pStyle w:val="Seznamobrzk"/>
        <w:tabs>
          <w:tab w:val="right" w:leader="dot" w:pos="9062"/>
        </w:tabs>
        <w:rPr>
          <w:rFonts w:eastAsiaTheme="minorEastAsia"/>
          <w:noProof/>
          <w:lang w:eastAsia="cs-CZ"/>
        </w:rPr>
      </w:pPr>
      <w:hyperlink w:anchor="_Toc77074931" w:history="1">
        <w:r w:rsidR="00332A29" w:rsidRPr="00427970">
          <w:rPr>
            <w:rStyle w:val="Hypertextovodkaz"/>
            <w:rFonts w:cstheme="minorHAnsi"/>
            <w:noProof/>
          </w:rPr>
          <w:t>Obrázek 2.10: Spokojenost s občanskou vybaveností</w:t>
        </w:r>
        <w:r w:rsidR="00332A29">
          <w:rPr>
            <w:noProof/>
            <w:webHidden/>
          </w:rPr>
          <w:tab/>
        </w:r>
        <w:r w:rsidR="00332A29">
          <w:rPr>
            <w:noProof/>
            <w:webHidden/>
          </w:rPr>
          <w:fldChar w:fldCharType="begin"/>
        </w:r>
        <w:r w:rsidR="00332A29">
          <w:rPr>
            <w:noProof/>
            <w:webHidden/>
          </w:rPr>
          <w:instrText xml:space="preserve"> PAGEREF _Toc77074931 \h </w:instrText>
        </w:r>
        <w:r w:rsidR="00332A29">
          <w:rPr>
            <w:noProof/>
            <w:webHidden/>
          </w:rPr>
        </w:r>
        <w:r w:rsidR="00332A29">
          <w:rPr>
            <w:noProof/>
            <w:webHidden/>
          </w:rPr>
          <w:fldChar w:fldCharType="separate"/>
        </w:r>
        <w:r w:rsidR="00332A29">
          <w:rPr>
            <w:noProof/>
            <w:webHidden/>
          </w:rPr>
          <w:t>242</w:t>
        </w:r>
        <w:r w:rsidR="00332A29">
          <w:rPr>
            <w:noProof/>
            <w:webHidden/>
          </w:rPr>
          <w:fldChar w:fldCharType="end"/>
        </w:r>
      </w:hyperlink>
    </w:p>
    <w:p w14:paraId="5CA7AED4" w14:textId="77777777" w:rsidR="00332A29" w:rsidRDefault="00183F7E">
      <w:pPr>
        <w:pStyle w:val="Seznamobrzk"/>
        <w:tabs>
          <w:tab w:val="right" w:leader="dot" w:pos="9062"/>
        </w:tabs>
        <w:rPr>
          <w:rFonts w:eastAsiaTheme="minorEastAsia"/>
          <w:noProof/>
          <w:lang w:eastAsia="cs-CZ"/>
        </w:rPr>
      </w:pPr>
      <w:hyperlink w:anchor="_Toc77074932" w:history="1">
        <w:r w:rsidR="00332A29" w:rsidRPr="00427970">
          <w:rPr>
            <w:rStyle w:val="Hypertextovodkaz"/>
            <w:rFonts w:cstheme="minorHAnsi"/>
            <w:noProof/>
          </w:rPr>
          <w:t>Obrázek 2.11: Spokojenost s oblastí vzdělávání</w:t>
        </w:r>
        <w:r w:rsidR="00332A29">
          <w:rPr>
            <w:noProof/>
            <w:webHidden/>
          </w:rPr>
          <w:tab/>
        </w:r>
        <w:r w:rsidR="00332A29">
          <w:rPr>
            <w:noProof/>
            <w:webHidden/>
          </w:rPr>
          <w:fldChar w:fldCharType="begin"/>
        </w:r>
        <w:r w:rsidR="00332A29">
          <w:rPr>
            <w:noProof/>
            <w:webHidden/>
          </w:rPr>
          <w:instrText xml:space="preserve"> PAGEREF _Toc77074932 \h </w:instrText>
        </w:r>
        <w:r w:rsidR="00332A29">
          <w:rPr>
            <w:noProof/>
            <w:webHidden/>
          </w:rPr>
        </w:r>
        <w:r w:rsidR="00332A29">
          <w:rPr>
            <w:noProof/>
            <w:webHidden/>
          </w:rPr>
          <w:fldChar w:fldCharType="separate"/>
        </w:r>
        <w:r w:rsidR="00332A29">
          <w:rPr>
            <w:noProof/>
            <w:webHidden/>
          </w:rPr>
          <w:t>244</w:t>
        </w:r>
        <w:r w:rsidR="00332A29">
          <w:rPr>
            <w:noProof/>
            <w:webHidden/>
          </w:rPr>
          <w:fldChar w:fldCharType="end"/>
        </w:r>
      </w:hyperlink>
    </w:p>
    <w:p w14:paraId="27EADD53" w14:textId="77777777" w:rsidR="00332A29" w:rsidRDefault="00183F7E">
      <w:pPr>
        <w:pStyle w:val="Seznamobrzk"/>
        <w:tabs>
          <w:tab w:val="right" w:leader="dot" w:pos="9062"/>
        </w:tabs>
        <w:rPr>
          <w:rFonts w:eastAsiaTheme="minorEastAsia"/>
          <w:noProof/>
          <w:lang w:eastAsia="cs-CZ"/>
        </w:rPr>
      </w:pPr>
      <w:hyperlink w:anchor="_Toc77074933" w:history="1">
        <w:r w:rsidR="00332A29" w:rsidRPr="00427970">
          <w:rPr>
            <w:rStyle w:val="Hypertextovodkaz"/>
            <w:rFonts w:cstheme="minorHAnsi"/>
            <w:noProof/>
          </w:rPr>
          <w:t>Obrázek 2.12: Spokojenost s oblastmi dopravy</w:t>
        </w:r>
        <w:r w:rsidR="00332A29">
          <w:rPr>
            <w:noProof/>
            <w:webHidden/>
          </w:rPr>
          <w:tab/>
        </w:r>
        <w:r w:rsidR="00332A29">
          <w:rPr>
            <w:noProof/>
            <w:webHidden/>
          </w:rPr>
          <w:fldChar w:fldCharType="begin"/>
        </w:r>
        <w:r w:rsidR="00332A29">
          <w:rPr>
            <w:noProof/>
            <w:webHidden/>
          </w:rPr>
          <w:instrText xml:space="preserve"> PAGEREF _Toc77074933 \h </w:instrText>
        </w:r>
        <w:r w:rsidR="00332A29">
          <w:rPr>
            <w:noProof/>
            <w:webHidden/>
          </w:rPr>
        </w:r>
        <w:r w:rsidR="00332A29">
          <w:rPr>
            <w:noProof/>
            <w:webHidden/>
          </w:rPr>
          <w:fldChar w:fldCharType="separate"/>
        </w:r>
        <w:r w:rsidR="00332A29">
          <w:rPr>
            <w:noProof/>
            <w:webHidden/>
          </w:rPr>
          <w:t>245</w:t>
        </w:r>
        <w:r w:rsidR="00332A29">
          <w:rPr>
            <w:noProof/>
            <w:webHidden/>
          </w:rPr>
          <w:fldChar w:fldCharType="end"/>
        </w:r>
      </w:hyperlink>
    </w:p>
    <w:p w14:paraId="7839789D" w14:textId="77777777" w:rsidR="00332A29" w:rsidRDefault="00183F7E">
      <w:pPr>
        <w:pStyle w:val="Seznamobrzk"/>
        <w:tabs>
          <w:tab w:val="right" w:leader="dot" w:pos="9062"/>
        </w:tabs>
        <w:rPr>
          <w:rFonts w:eastAsiaTheme="minorEastAsia"/>
          <w:noProof/>
          <w:lang w:eastAsia="cs-CZ"/>
        </w:rPr>
      </w:pPr>
      <w:hyperlink w:anchor="_Toc77074934" w:history="1">
        <w:r w:rsidR="00332A29" w:rsidRPr="00427970">
          <w:rPr>
            <w:rStyle w:val="Hypertextovodkaz"/>
            <w:rFonts w:cstheme="minorHAnsi"/>
            <w:noProof/>
          </w:rPr>
          <w:t>Obrázek 2.13: Spokojenost s bydlením ve Zlíně</w:t>
        </w:r>
        <w:r w:rsidR="00332A29">
          <w:rPr>
            <w:noProof/>
            <w:webHidden/>
          </w:rPr>
          <w:tab/>
        </w:r>
        <w:r w:rsidR="00332A29">
          <w:rPr>
            <w:noProof/>
            <w:webHidden/>
          </w:rPr>
          <w:fldChar w:fldCharType="begin"/>
        </w:r>
        <w:r w:rsidR="00332A29">
          <w:rPr>
            <w:noProof/>
            <w:webHidden/>
          </w:rPr>
          <w:instrText xml:space="preserve"> PAGEREF _Toc77074934 \h </w:instrText>
        </w:r>
        <w:r w:rsidR="00332A29">
          <w:rPr>
            <w:noProof/>
            <w:webHidden/>
          </w:rPr>
        </w:r>
        <w:r w:rsidR="00332A29">
          <w:rPr>
            <w:noProof/>
            <w:webHidden/>
          </w:rPr>
          <w:fldChar w:fldCharType="separate"/>
        </w:r>
        <w:r w:rsidR="00332A29">
          <w:rPr>
            <w:noProof/>
            <w:webHidden/>
          </w:rPr>
          <w:t>246</w:t>
        </w:r>
        <w:r w:rsidR="00332A29">
          <w:rPr>
            <w:noProof/>
            <w:webHidden/>
          </w:rPr>
          <w:fldChar w:fldCharType="end"/>
        </w:r>
      </w:hyperlink>
    </w:p>
    <w:p w14:paraId="4FD51978" w14:textId="77777777" w:rsidR="00332A29" w:rsidRDefault="00183F7E">
      <w:pPr>
        <w:pStyle w:val="Seznamobrzk"/>
        <w:tabs>
          <w:tab w:val="right" w:leader="dot" w:pos="9062"/>
        </w:tabs>
        <w:rPr>
          <w:rFonts w:eastAsiaTheme="minorEastAsia"/>
          <w:noProof/>
          <w:lang w:eastAsia="cs-CZ"/>
        </w:rPr>
      </w:pPr>
      <w:hyperlink w:anchor="_Toc77074935" w:history="1">
        <w:r w:rsidR="00332A29" w:rsidRPr="00427970">
          <w:rPr>
            <w:rStyle w:val="Hypertextovodkaz"/>
            <w:rFonts w:cstheme="minorHAnsi"/>
            <w:noProof/>
          </w:rPr>
          <w:t>Obrázek 2.14: Důvody nespokojenosti s bydlením ve Zlíně</w:t>
        </w:r>
        <w:r w:rsidR="00332A29">
          <w:rPr>
            <w:noProof/>
            <w:webHidden/>
          </w:rPr>
          <w:tab/>
        </w:r>
        <w:r w:rsidR="00332A29">
          <w:rPr>
            <w:noProof/>
            <w:webHidden/>
          </w:rPr>
          <w:fldChar w:fldCharType="begin"/>
        </w:r>
        <w:r w:rsidR="00332A29">
          <w:rPr>
            <w:noProof/>
            <w:webHidden/>
          </w:rPr>
          <w:instrText xml:space="preserve"> PAGEREF _Toc77074935 \h </w:instrText>
        </w:r>
        <w:r w:rsidR="00332A29">
          <w:rPr>
            <w:noProof/>
            <w:webHidden/>
          </w:rPr>
        </w:r>
        <w:r w:rsidR="00332A29">
          <w:rPr>
            <w:noProof/>
            <w:webHidden/>
          </w:rPr>
          <w:fldChar w:fldCharType="separate"/>
        </w:r>
        <w:r w:rsidR="00332A29">
          <w:rPr>
            <w:noProof/>
            <w:webHidden/>
          </w:rPr>
          <w:t>247</w:t>
        </w:r>
        <w:r w:rsidR="00332A29">
          <w:rPr>
            <w:noProof/>
            <w:webHidden/>
          </w:rPr>
          <w:fldChar w:fldCharType="end"/>
        </w:r>
      </w:hyperlink>
    </w:p>
    <w:p w14:paraId="3D3EE2F1" w14:textId="77777777" w:rsidR="00332A29" w:rsidRDefault="00183F7E">
      <w:pPr>
        <w:pStyle w:val="Seznamobrzk"/>
        <w:tabs>
          <w:tab w:val="right" w:leader="dot" w:pos="9062"/>
        </w:tabs>
        <w:rPr>
          <w:rFonts w:eastAsiaTheme="minorEastAsia"/>
          <w:noProof/>
          <w:lang w:eastAsia="cs-CZ"/>
        </w:rPr>
      </w:pPr>
      <w:hyperlink w:anchor="_Toc77074936" w:history="1">
        <w:r w:rsidR="00332A29" w:rsidRPr="00427970">
          <w:rPr>
            <w:rStyle w:val="Hypertextovodkaz"/>
            <w:rFonts w:cstheme="minorHAnsi"/>
            <w:noProof/>
          </w:rPr>
          <w:t>Obrázek 2.15: Spokojenost s nabídkou pracovních příležitostí</w:t>
        </w:r>
        <w:r w:rsidR="00332A29">
          <w:rPr>
            <w:noProof/>
            <w:webHidden/>
          </w:rPr>
          <w:tab/>
        </w:r>
        <w:r w:rsidR="00332A29">
          <w:rPr>
            <w:noProof/>
            <w:webHidden/>
          </w:rPr>
          <w:fldChar w:fldCharType="begin"/>
        </w:r>
        <w:r w:rsidR="00332A29">
          <w:rPr>
            <w:noProof/>
            <w:webHidden/>
          </w:rPr>
          <w:instrText xml:space="preserve"> PAGEREF _Toc77074936 \h </w:instrText>
        </w:r>
        <w:r w:rsidR="00332A29">
          <w:rPr>
            <w:noProof/>
            <w:webHidden/>
          </w:rPr>
        </w:r>
        <w:r w:rsidR="00332A29">
          <w:rPr>
            <w:noProof/>
            <w:webHidden/>
          </w:rPr>
          <w:fldChar w:fldCharType="separate"/>
        </w:r>
        <w:r w:rsidR="00332A29">
          <w:rPr>
            <w:noProof/>
            <w:webHidden/>
          </w:rPr>
          <w:t>248</w:t>
        </w:r>
        <w:r w:rsidR="00332A29">
          <w:rPr>
            <w:noProof/>
            <w:webHidden/>
          </w:rPr>
          <w:fldChar w:fldCharType="end"/>
        </w:r>
      </w:hyperlink>
    </w:p>
    <w:p w14:paraId="309502EE" w14:textId="77777777" w:rsidR="00332A29" w:rsidRDefault="00183F7E">
      <w:pPr>
        <w:pStyle w:val="Seznamobrzk"/>
        <w:tabs>
          <w:tab w:val="right" w:leader="dot" w:pos="9062"/>
        </w:tabs>
        <w:rPr>
          <w:rFonts w:eastAsiaTheme="minorEastAsia"/>
          <w:noProof/>
          <w:lang w:eastAsia="cs-CZ"/>
        </w:rPr>
      </w:pPr>
      <w:hyperlink w:anchor="_Toc77074937" w:history="1">
        <w:r w:rsidR="00332A29" w:rsidRPr="00427970">
          <w:rPr>
            <w:rStyle w:val="Hypertextovodkaz"/>
            <w:rFonts w:cstheme="minorHAnsi"/>
            <w:noProof/>
          </w:rPr>
          <w:t>Obrázek 2.16: Důvody nespokojenosti s nabídkou pracovních příležitostí</w:t>
        </w:r>
        <w:r w:rsidR="00332A29">
          <w:rPr>
            <w:noProof/>
            <w:webHidden/>
          </w:rPr>
          <w:tab/>
        </w:r>
        <w:r w:rsidR="00332A29">
          <w:rPr>
            <w:noProof/>
            <w:webHidden/>
          </w:rPr>
          <w:fldChar w:fldCharType="begin"/>
        </w:r>
        <w:r w:rsidR="00332A29">
          <w:rPr>
            <w:noProof/>
            <w:webHidden/>
          </w:rPr>
          <w:instrText xml:space="preserve"> PAGEREF _Toc77074937 \h </w:instrText>
        </w:r>
        <w:r w:rsidR="00332A29">
          <w:rPr>
            <w:noProof/>
            <w:webHidden/>
          </w:rPr>
        </w:r>
        <w:r w:rsidR="00332A29">
          <w:rPr>
            <w:noProof/>
            <w:webHidden/>
          </w:rPr>
          <w:fldChar w:fldCharType="separate"/>
        </w:r>
        <w:r w:rsidR="00332A29">
          <w:rPr>
            <w:noProof/>
            <w:webHidden/>
          </w:rPr>
          <w:t>249</w:t>
        </w:r>
        <w:r w:rsidR="00332A29">
          <w:rPr>
            <w:noProof/>
            <w:webHidden/>
          </w:rPr>
          <w:fldChar w:fldCharType="end"/>
        </w:r>
      </w:hyperlink>
    </w:p>
    <w:p w14:paraId="5F9E33F5" w14:textId="77777777" w:rsidR="00332A29" w:rsidRDefault="00183F7E">
      <w:pPr>
        <w:pStyle w:val="Seznamobrzk"/>
        <w:tabs>
          <w:tab w:val="right" w:leader="dot" w:pos="9062"/>
        </w:tabs>
        <w:rPr>
          <w:rFonts w:eastAsiaTheme="minorEastAsia"/>
          <w:noProof/>
          <w:lang w:eastAsia="cs-CZ"/>
        </w:rPr>
      </w:pPr>
      <w:hyperlink w:anchor="_Toc77074938" w:history="1">
        <w:r w:rsidR="00332A29" w:rsidRPr="00427970">
          <w:rPr>
            <w:rStyle w:val="Hypertextovodkaz"/>
            <w:rFonts w:cstheme="minorHAnsi"/>
            <w:noProof/>
          </w:rPr>
          <w:t>Obrázek 2.17: Pocit bezpečí v místě bydliště</w:t>
        </w:r>
        <w:r w:rsidR="00332A29">
          <w:rPr>
            <w:noProof/>
            <w:webHidden/>
          </w:rPr>
          <w:tab/>
        </w:r>
        <w:r w:rsidR="00332A29">
          <w:rPr>
            <w:noProof/>
            <w:webHidden/>
          </w:rPr>
          <w:fldChar w:fldCharType="begin"/>
        </w:r>
        <w:r w:rsidR="00332A29">
          <w:rPr>
            <w:noProof/>
            <w:webHidden/>
          </w:rPr>
          <w:instrText xml:space="preserve"> PAGEREF _Toc77074938 \h </w:instrText>
        </w:r>
        <w:r w:rsidR="00332A29">
          <w:rPr>
            <w:noProof/>
            <w:webHidden/>
          </w:rPr>
        </w:r>
        <w:r w:rsidR="00332A29">
          <w:rPr>
            <w:noProof/>
            <w:webHidden/>
          </w:rPr>
          <w:fldChar w:fldCharType="separate"/>
        </w:r>
        <w:r w:rsidR="00332A29">
          <w:rPr>
            <w:noProof/>
            <w:webHidden/>
          </w:rPr>
          <w:t>250</w:t>
        </w:r>
        <w:r w:rsidR="00332A29">
          <w:rPr>
            <w:noProof/>
            <w:webHidden/>
          </w:rPr>
          <w:fldChar w:fldCharType="end"/>
        </w:r>
      </w:hyperlink>
    </w:p>
    <w:p w14:paraId="533C337E" w14:textId="77777777" w:rsidR="00332A29" w:rsidRDefault="00183F7E">
      <w:pPr>
        <w:pStyle w:val="Seznamobrzk"/>
        <w:tabs>
          <w:tab w:val="right" w:leader="dot" w:pos="9062"/>
        </w:tabs>
        <w:rPr>
          <w:rFonts w:eastAsiaTheme="minorEastAsia"/>
          <w:noProof/>
          <w:lang w:eastAsia="cs-CZ"/>
        </w:rPr>
      </w:pPr>
      <w:hyperlink w:anchor="_Toc77074939" w:history="1">
        <w:r w:rsidR="00332A29" w:rsidRPr="00427970">
          <w:rPr>
            <w:rStyle w:val="Hypertextovodkaz"/>
            <w:rFonts w:cstheme="minorHAnsi"/>
            <w:noProof/>
          </w:rPr>
          <w:t>Obrázek 2.18: Důvody, proč se respondenti necítí bezpečně</w:t>
        </w:r>
        <w:r w:rsidR="00332A29">
          <w:rPr>
            <w:noProof/>
            <w:webHidden/>
          </w:rPr>
          <w:tab/>
        </w:r>
        <w:r w:rsidR="00332A29">
          <w:rPr>
            <w:noProof/>
            <w:webHidden/>
          </w:rPr>
          <w:fldChar w:fldCharType="begin"/>
        </w:r>
        <w:r w:rsidR="00332A29">
          <w:rPr>
            <w:noProof/>
            <w:webHidden/>
          </w:rPr>
          <w:instrText xml:space="preserve"> PAGEREF _Toc77074939 \h </w:instrText>
        </w:r>
        <w:r w:rsidR="00332A29">
          <w:rPr>
            <w:noProof/>
            <w:webHidden/>
          </w:rPr>
        </w:r>
        <w:r w:rsidR="00332A29">
          <w:rPr>
            <w:noProof/>
            <w:webHidden/>
          </w:rPr>
          <w:fldChar w:fldCharType="separate"/>
        </w:r>
        <w:r w:rsidR="00332A29">
          <w:rPr>
            <w:noProof/>
            <w:webHidden/>
          </w:rPr>
          <w:t>251</w:t>
        </w:r>
        <w:r w:rsidR="00332A29">
          <w:rPr>
            <w:noProof/>
            <w:webHidden/>
          </w:rPr>
          <w:fldChar w:fldCharType="end"/>
        </w:r>
      </w:hyperlink>
    </w:p>
    <w:p w14:paraId="47903B6B" w14:textId="77777777" w:rsidR="00332A29" w:rsidRDefault="00183F7E">
      <w:pPr>
        <w:pStyle w:val="Seznamobrzk"/>
        <w:tabs>
          <w:tab w:val="right" w:leader="dot" w:pos="9062"/>
        </w:tabs>
        <w:rPr>
          <w:rFonts w:eastAsiaTheme="minorEastAsia"/>
          <w:noProof/>
          <w:lang w:eastAsia="cs-CZ"/>
        </w:rPr>
      </w:pPr>
      <w:hyperlink w:anchor="_Toc77074940" w:history="1">
        <w:r w:rsidR="00332A29" w:rsidRPr="00427970">
          <w:rPr>
            <w:rStyle w:val="Hypertextovodkaz"/>
            <w:rFonts w:cstheme="minorHAnsi"/>
            <w:noProof/>
          </w:rPr>
          <w:t>Obrázek 2.19: Hodnocení práce magistrátu</w:t>
        </w:r>
        <w:r w:rsidR="00332A29">
          <w:rPr>
            <w:noProof/>
            <w:webHidden/>
          </w:rPr>
          <w:tab/>
        </w:r>
        <w:r w:rsidR="00332A29">
          <w:rPr>
            <w:noProof/>
            <w:webHidden/>
          </w:rPr>
          <w:fldChar w:fldCharType="begin"/>
        </w:r>
        <w:r w:rsidR="00332A29">
          <w:rPr>
            <w:noProof/>
            <w:webHidden/>
          </w:rPr>
          <w:instrText xml:space="preserve"> PAGEREF _Toc77074940 \h </w:instrText>
        </w:r>
        <w:r w:rsidR="00332A29">
          <w:rPr>
            <w:noProof/>
            <w:webHidden/>
          </w:rPr>
        </w:r>
        <w:r w:rsidR="00332A29">
          <w:rPr>
            <w:noProof/>
            <w:webHidden/>
          </w:rPr>
          <w:fldChar w:fldCharType="separate"/>
        </w:r>
        <w:r w:rsidR="00332A29">
          <w:rPr>
            <w:noProof/>
            <w:webHidden/>
          </w:rPr>
          <w:t>253</w:t>
        </w:r>
        <w:r w:rsidR="00332A29">
          <w:rPr>
            <w:noProof/>
            <w:webHidden/>
          </w:rPr>
          <w:fldChar w:fldCharType="end"/>
        </w:r>
      </w:hyperlink>
    </w:p>
    <w:p w14:paraId="03445F20" w14:textId="77777777" w:rsidR="00332A29" w:rsidRDefault="00183F7E">
      <w:pPr>
        <w:pStyle w:val="Seznamobrzk"/>
        <w:tabs>
          <w:tab w:val="right" w:leader="dot" w:pos="9062"/>
        </w:tabs>
        <w:rPr>
          <w:rFonts w:eastAsiaTheme="minorEastAsia"/>
          <w:noProof/>
          <w:lang w:eastAsia="cs-CZ"/>
        </w:rPr>
      </w:pPr>
      <w:hyperlink w:anchor="_Toc77074941" w:history="1">
        <w:r w:rsidR="00332A29" w:rsidRPr="00427970">
          <w:rPr>
            <w:rStyle w:val="Hypertextovodkaz"/>
            <w:rFonts w:cstheme="minorHAnsi"/>
            <w:noProof/>
          </w:rPr>
          <w:t>Obrázek 2.20: Respondenti podle plánu přestěhovat se mimo Zlín</w:t>
        </w:r>
        <w:r w:rsidR="00332A29">
          <w:rPr>
            <w:noProof/>
            <w:webHidden/>
          </w:rPr>
          <w:tab/>
        </w:r>
        <w:r w:rsidR="00332A29">
          <w:rPr>
            <w:noProof/>
            <w:webHidden/>
          </w:rPr>
          <w:fldChar w:fldCharType="begin"/>
        </w:r>
        <w:r w:rsidR="00332A29">
          <w:rPr>
            <w:noProof/>
            <w:webHidden/>
          </w:rPr>
          <w:instrText xml:space="preserve"> PAGEREF _Toc77074941 \h </w:instrText>
        </w:r>
        <w:r w:rsidR="00332A29">
          <w:rPr>
            <w:noProof/>
            <w:webHidden/>
          </w:rPr>
        </w:r>
        <w:r w:rsidR="00332A29">
          <w:rPr>
            <w:noProof/>
            <w:webHidden/>
          </w:rPr>
          <w:fldChar w:fldCharType="separate"/>
        </w:r>
        <w:r w:rsidR="00332A29">
          <w:rPr>
            <w:noProof/>
            <w:webHidden/>
          </w:rPr>
          <w:t>254</w:t>
        </w:r>
        <w:r w:rsidR="00332A29">
          <w:rPr>
            <w:noProof/>
            <w:webHidden/>
          </w:rPr>
          <w:fldChar w:fldCharType="end"/>
        </w:r>
      </w:hyperlink>
    </w:p>
    <w:p w14:paraId="71020DA3" w14:textId="77777777" w:rsidR="00332A29" w:rsidRDefault="00183F7E">
      <w:pPr>
        <w:pStyle w:val="Seznamobrzk"/>
        <w:tabs>
          <w:tab w:val="right" w:leader="dot" w:pos="9062"/>
        </w:tabs>
        <w:rPr>
          <w:rFonts w:eastAsiaTheme="minorEastAsia"/>
          <w:noProof/>
          <w:lang w:eastAsia="cs-CZ"/>
        </w:rPr>
      </w:pPr>
      <w:hyperlink w:anchor="_Toc77074942" w:history="1">
        <w:r w:rsidR="00332A29" w:rsidRPr="00427970">
          <w:rPr>
            <w:rStyle w:val="Hypertextovodkaz"/>
            <w:rFonts w:cstheme="minorHAnsi"/>
            <w:noProof/>
          </w:rPr>
          <w:t>Obrázek 2.21: Důvody k přestěhování respondentů</w:t>
        </w:r>
        <w:r w:rsidR="00332A29">
          <w:rPr>
            <w:noProof/>
            <w:webHidden/>
          </w:rPr>
          <w:tab/>
        </w:r>
        <w:r w:rsidR="00332A29">
          <w:rPr>
            <w:noProof/>
            <w:webHidden/>
          </w:rPr>
          <w:fldChar w:fldCharType="begin"/>
        </w:r>
        <w:r w:rsidR="00332A29">
          <w:rPr>
            <w:noProof/>
            <w:webHidden/>
          </w:rPr>
          <w:instrText xml:space="preserve"> PAGEREF _Toc77074942 \h </w:instrText>
        </w:r>
        <w:r w:rsidR="00332A29">
          <w:rPr>
            <w:noProof/>
            <w:webHidden/>
          </w:rPr>
        </w:r>
        <w:r w:rsidR="00332A29">
          <w:rPr>
            <w:noProof/>
            <w:webHidden/>
          </w:rPr>
          <w:fldChar w:fldCharType="separate"/>
        </w:r>
        <w:r w:rsidR="00332A29">
          <w:rPr>
            <w:noProof/>
            <w:webHidden/>
          </w:rPr>
          <w:t>255</w:t>
        </w:r>
        <w:r w:rsidR="00332A29">
          <w:rPr>
            <w:noProof/>
            <w:webHidden/>
          </w:rPr>
          <w:fldChar w:fldCharType="end"/>
        </w:r>
      </w:hyperlink>
    </w:p>
    <w:p w14:paraId="76D21D33" w14:textId="77777777" w:rsidR="00332A29" w:rsidRDefault="00183F7E">
      <w:pPr>
        <w:pStyle w:val="Seznamobrzk"/>
        <w:tabs>
          <w:tab w:val="right" w:leader="dot" w:pos="9062"/>
        </w:tabs>
        <w:rPr>
          <w:rFonts w:eastAsiaTheme="minorEastAsia"/>
          <w:noProof/>
          <w:lang w:eastAsia="cs-CZ"/>
        </w:rPr>
      </w:pPr>
      <w:hyperlink w:anchor="_Toc77074943" w:history="1">
        <w:r w:rsidR="00332A29" w:rsidRPr="00427970">
          <w:rPr>
            <w:rStyle w:val="Hypertextovodkaz"/>
            <w:rFonts w:cstheme="minorHAnsi"/>
            <w:noProof/>
          </w:rPr>
          <w:t>Obrázek 2.22: Oblasti, které by mělo město dle respondentů přednostně podporovat</w:t>
        </w:r>
        <w:r w:rsidR="00332A29">
          <w:rPr>
            <w:noProof/>
            <w:webHidden/>
          </w:rPr>
          <w:tab/>
        </w:r>
        <w:r w:rsidR="00332A29">
          <w:rPr>
            <w:noProof/>
            <w:webHidden/>
          </w:rPr>
          <w:fldChar w:fldCharType="begin"/>
        </w:r>
        <w:r w:rsidR="00332A29">
          <w:rPr>
            <w:noProof/>
            <w:webHidden/>
          </w:rPr>
          <w:instrText xml:space="preserve"> PAGEREF _Toc77074943 \h </w:instrText>
        </w:r>
        <w:r w:rsidR="00332A29">
          <w:rPr>
            <w:noProof/>
            <w:webHidden/>
          </w:rPr>
        </w:r>
        <w:r w:rsidR="00332A29">
          <w:rPr>
            <w:noProof/>
            <w:webHidden/>
          </w:rPr>
          <w:fldChar w:fldCharType="separate"/>
        </w:r>
        <w:r w:rsidR="00332A29">
          <w:rPr>
            <w:noProof/>
            <w:webHidden/>
          </w:rPr>
          <w:t>256</w:t>
        </w:r>
        <w:r w:rsidR="00332A29">
          <w:rPr>
            <w:noProof/>
            <w:webHidden/>
          </w:rPr>
          <w:fldChar w:fldCharType="end"/>
        </w:r>
      </w:hyperlink>
    </w:p>
    <w:p w14:paraId="75B72F86" w14:textId="77777777" w:rsidR="00332A29" w:rsidRDefault="00183F7E">
      <w:pPr>
        <w:pStyle w:val="Seznamobrzk"/>
        <w:tabs>
          <w:tab w:val="right" w:leader="dot" w:pos="9062"/>
        </w:tabs>
        <w:rPr>
          <w:rFonts w:eastAsiaTheme="minorEastAsia"/>
          <w:noProof/>
          <w:lang w:eastAsia="cs-CZ"/>
        </w:rPr>
      </w:pPr>
      <w:hyperlink w:anchor="_Toc77074944" w:history="1">
        <w:r w:rsidR="00332A29" w:rsidRPr="00427970">
          <w:rPr>
            <w:rStyle w:val="Hypertextovodkaz"/>
            <w:rFonts w:cstheme="minorHAnsi"/>
            <w:noProof/>
          </w:rPr>
          <w:t>Obrázek 2.23: Další podněty vedoucí k rozvoji Zlína</w:t>
        </w:r>
        <w:r w:rsidR="00332A29">
          <w:rPr>
            <w:noProof/>
            <w:webHidden/>
          </w:rPr>
          <w:tab/>
        </w:r>
        <w:r w:rsidR="00332A29">
          <w:rPr>
            <w:noProof/>
            <w:webHidden/>
          </w:rPr>
          <w:fldChar w:fldCharType="begin"/>
        </w:r>
        <w:r w:rsidR="00332A29">
          <w:rPr>
            <w:noProof/>
            <w:webHidden/>
          </w:rPr>
          <w:instrText xml:space="preserve"> PAGEREF _Toc77074944 \h </w:instrText>
        </w:r>
        <w:r w:rsidR="00332A29">
          <w:rPr>
            <w:noProof/>
            <w:webHidden/>
          </w:rPr>
        </w:r>
        <w:r w:rsidR="00332A29">
          <w:rPr>
            <w:noProof/>
            <w:webHidden/>
          </w:rPr>
          <w:fldChar w:fldCharType="separate"/>
        </w:r>
        <w:r w:rsidR="00332A29">
          <w:rPr>
            <w:noProof/>
            <w:webHidden/>
          </w:rPr>
          <w:t>258</w:t>
        </w:r>
        <w:r w:rsidR="00332A29">
          <w:rPr>
            <w:noProof/>
            <w:webHidden/>
          </w:rPr>
          <w:fldChar w:fldCharType="end"/>
        </w:r>
      </w:hyperlink>
    </w:p>
    <w:p w14:paraId="0FA72D94" w14:textId="77777777" w:rsidR="00332A29" w:rsidRDefault="00183F7E">
      <w:pPr>
        <w:pStyle w:val="Seznamobrzk"/>
        <w:tabs>
          <w:tab w:val="right" w:leader="dot" w:pos="9062"/>
        </w:tabs>
        <w:rPr>
          <w:rFonts w:eastAsiaTheme="minorEastAsia"/>
          <w:noProof/>
          <w:lang w:eastAsia="cs-CZ"/>
        </w:rPr>
      </w:pPr>
      <w:hyperlink w:anchor="_Toc77074945" w:history="1">
        <w:r w:rsidR="00332A29" w:rsidRPr="00427970">
          <w:rPr>
            <w:rStyle w:val="Hypertextovodkaz"/>
            <w:noProof/>
          </w:rPr>
          <w:t>Obrázek 2.24: Porovnání názorů na minulý a budoucí vývoj města Zlín</w:t>
        </w:r>
        <w:r w:rsidR="00332A29">
          <w:rPr>
            <w:noProof/>
            <w:webHidden/>
          </w:rPr>
          <w:tab/>
        </w:r>
        <w:r w:rsidR="00332A29">
          <w:rPr>
            <w:noProof/>
            <w:webHidden/>
          </w:rPr>
          <w:fldChar w:fldCharType="begin"/>
        </w:r>
        <w:r w:rsidR="00332A29">
          <w:rPr>
            <w:noProof/>
            <w:webHidden/>
          </w:rPr>
          <w:instrText xml:space="preserve"> PAGEREF _Toc77074945 \h </w:instrText>
        </w:r>
        <w:r w:rsidR="00332A29">
          <w:rPr>
            <w:noProof/>
            <w:webHidden/>
          </w:rPr>
        </w:r>
        <w:r w:rsidR="00332A29">
          <w:rPr>
            <w:noProof/>
            <w:webHidden/>
          </w:rPr>
          <w:fldChar w:fldCharType="separate"/>
        </w:r>
        <w:r w:rsidR="00332A29">
          <w:rPr>
            <w:noProof/>
            <w:webHidden/>
          </w:rPr>
          <w:t>287</w:t>
        </w:r>
        <w:r w:rsidR="00332A29">
          <w:rPr>
            <w:noProof/>
            <w:webHidden/>
          </w:rPr>
          <w:fldChar w:fldCharType="end"/>
        </w:r>
      </w:hyperlink>
    </w:p>
    <w:p w14:paraId="1B8C5106" w14:textId="77777777" w:rsidR="00332A29" w:rsidRDefault="00183F7E">
      <w:pPr>
        <w:pStyle w:val="Seznamobrzk"/>
        <w:tabs>
          <w:tab w:val="right" w:leader="dot" w:pos="9062"/>
        </w:tabs>
        <w:rPr>
          <w:rFonts w:eastAsiaTheme="minorEastAsia"/>
          <w:noProof/>
          <w:lang w:eastAsia="cs-CZ"/>
        </w:rPr>
      </w:pPr>
      <w:hyperlink w:anchor="_Toc77074946" w:history="1">
        <w:r w:rsidR="00332A29" w:rsidRPr="00427970">
          <w:rPr>
            <w:rStyle w:val="Hypertextovodkaz"/>
            <w:noProof/>
          </w:rPr>
          <w:t>Obrázek 2.25:</w:t>
        </w:r>
        <w:r w:rsidR="00332A29" w:rsidRPr="00427970">
          <w:rPr>
            <w:rStyle w:val="Hypertextovodkaz"/>
            <w:rFonts w:cstheme="minorHAnsi"/>
            <w:noProof/>
          </w:rPr>
          <w:t xml:space="preserve"> </w:t>
        </w:r>
        <w:r w:rsidR="00332A29" w:rsidRPr="00427970">
          <w:rPr>
            <w:rStyle w:val="Hypertextovodkaz"/>
            <w:noProof/>
          </w:rPr>
          <w:t>Délka podnikání veškerých respondentů</w:t>
        </w:r>
        <w:r w:rsidR="00332A29">
          <w:rPr>
            <w:noProof/>
            <w:webHidden/>
          </w:rPr>
          <w:tab/>
        </w:r>
        <w:r w:rsidR="00332A29">
          <w:rPr>
            <w:noProof/>
            <w:webHidden/>
          </w:rPr>
          <w:fldChar w:fldCharType="begin"/>
        </w:r>
        <w:r w:rsidR="00332A29">
          <w:rPr>
            <w:noProof/>
            <w:webHidden/>
          </w:rPr>
          <w:instrText xml:space="preserve"> PAGEREF _Toc77074946 \h </w:instrText>
        </w:r>
        <w:r w:rsidR="00332A29">
          <w:rPr>
            <w:noProof/>
            <w:webHidden/>
          </w:rPr>
        </w:r>
        <w:r w:rsidR="00332A29">
          <w:rPr>
            <w:noProof/>
            <w:webHidden/>
          </w:rPr>
          <w:fldChar w:fldCharType="separate"/>
        </w:r>
        <w:r w:rsidR="00332A29">
          <w:rPr>
            <w:noProof/>
            <w:webHidden/>
          </w:rPr>
          <w:t>300</w:t>
        </w:r>
        <w:r w:rsidR="00332A29">
          <w:rPr>
            <w:noProof/>
            <w:webHidden/>
          </w:rPr>
          <w:fldChar w:fldCharType="end"/>
        </w:r>
      </w:hyperlink>
    </w:p>
    <w:p w14:paraId="710D06E1" w14:textId="77777777" w:rsidR="00332A29" w:rsidRDefault="00183F7E">
      <w:pPr>
        <w:pStyle w:val="Seznamobrzk"/>
        <w:tabs>
          <w:tab w:val="right" w:leader="dot" w:pos="9062"/>
        </w:tabs>
        <w:rPr>
          <w:rFonts w:eastAsiaTheme="minorEastAsia"/>
          <w:noProof/>
          <w:lang w:eastAsia="cs-CZ"/>
        </w:rPr>
      </w:pPr>
      <w:hyperlink w:anchor="_Toc77074947" w:history="1">
        <w:r w:rsidR="00332A29" w:rsidRPr="00427970">
          <w:rPr>
            <w:rStyle w:val="Hypertextovodkaz"/>
            <w:noProof/>
          </w:rPr>
          <w:t>Obrázek 2.26:</w:t>
        </w:r>
        <w:r w:rsidR="00332A29" w:rsidRPr="00427970">
          <w:rPr>
            <w:rStyle w:val="Hypertextovodkaz"/>
            <w:rFonts w:cstheme="minorHAnsi"/>
            <w:noProof/>
          </w:rPr>
          <w:t xml:space="preserve"> </w:t>
        </w:r>
        <w:r w:rsidR="00332A29" w:rsidRPr="00427970">
          <w:rPr>
            <w:rStyle w:val="Hypertextovodkaz"/>
            <w:noProof/>
          </w:rPr>
          <w:t>Délka podnikání respondentů podle velikosti firem</w:t>
        </w:r>
        <w:r w:rsidR="00332A29">
          <w:rPr>
            <w:noProof/>
            <w:webHidden/>
          </w:rPr>
          <w:tab/>
        </w:r>
        <w:r w:rsidR="00332A29">
          <w:rPr>
            <w:noProof/>
            <w:webHidden/>
          </w:rPr>
          <w:fldChar w:fldCharType="begin"/>
        </w:r>
        <w:r w:rsidR="00332A29">
          <w:rPr>
            <w:noProof/>
            <w:webHidden/>
          </w:rPr>
          <w:instrText xml:space="preserve"> PAGEREF _Toc77074947 \h </w:instrText>
        </w:r>
        <w:r w:rsidR="00332A29">
          <w:rPr>
            <w:noProof/>
            <w:webHidden/>
          </w:rPr>
        </w:r>
        <w:r w:rsidR="00332A29">
          <w:rPr>
            <w:noProof/>
            <w:webHidden/>
          </w:rPr>
          <w:fldChar w:fldCharType="separate"/>
        </w:r>
        <w:r w:rsidR="00332A29">
          <w:rPr>
            <w:noProof/>
            <w:webHidden/>
          </w:rPr>
          <w:t>300</w:t>
        </w:r>
        <w:r w:rsidR="00332A29">
          <w:rPr>
            <w:noProof/>
            <w:webHidden/>
          </w:rPr>
          <w:fldChar w:fldCharType="end"/>
        </w:r>
      </w:hyperlink>
    </w:p>
    <w:p w14:paraId="1BCDCC51" w14:textId="77777777" w:rsidR="00332A29" w:rsidRDefault="00183F7E">
      <w:pPr>
        <w:pStyle w:val="Seznamobrzk"/>
        <w:tabs>
          <w:tab w:val="right" w:leader="dot" w:pos="9062"/>
        </w:tabs>
        <w:rPr>
          <w:rFonts w:eastAsiaTheme="minorEastAsia"/>
          <w:noProof/>
          <w:lang w:eastAsia="cs-CZ"/>
        </w:rPr>
      </w:pPr>
      <w:hyperlink w:anchor="_Toc77074948" w:history="1">
        <w:r w:rsidR="00332A29" w:rsidRPr="00427970">
          <w:rPr>
            <w:rStyle w:val="Hypertextovodkaz"/>
            <w:noProof/>
          </w:rPr>
          <w:t>Obrázek 2.27: Vliv ekonomické situace na podnikání respondentů</w:t>
        </w:r>
        <w:r w:rsidR="00332A29">
          <w:rPr>
            <w:noProof/>
            <w:webHidden/>
          </w:rPr>
          <w:tab/>
        </w:r>
        <w:r w:rsidR="00332A29">
          <w:rPr>
            <w:noProof/>
            <w:webHidden/>
          </w:rPr>
          <w:fldChar w:fldCharType="begin"/>
        </w:r>
        <w:r w:rsidR="00332A29">
          <w:rPr>
            <w:noProof/>
            <w:webHidden/>
          </w:rPr>
          <w:instrText xml:space="preserve"> PAGEREF _Toc77074948 \h </w:instrText>
        </w:r>
        <w:r w:rsidR="00332A29">
          <w:rPr>
            <w:noProof/>
            <w:webHidden/>
          </w:rPr>
        </w:r>
        <w:r w:rsidR="00332A29">
          <w:rPr>
            <w:noProof/>
            <w:webHidden/>
          </w:rPr>
          <w:fldChar w:fldCharType="separate"/>
        </w:r>
        <w:r w:rsidR="00332A29">
          <w:rPr>
            <w:noProof/>
            <w:webHidden/>
          </w:rPr>
          <w:t>301</w:t>
        </w:r>
        <w:r w:rsidR="00332A29">
          <w:rPr>
            <w:noProof/>
            <w:webHidden/>
          </w:rPr>
          <w:fldChar w:fldCharType="end"/>
        </w:r>
      </w:hyperlink>
    </w:p>
    <w:p w14:paraId="41240C87" w14:textId="77777777" w:rsidR="00332A29" w:rsidRDefault="00183F7E">
      <w:pPr>
        <w:pStyle w:val="Seznamobrzk"/>
        <w:tabs>
          <w:tab w:val="right" w:leader="dot" w:pos="9062"/>
        </w:tabs>
        <w:rPr>
          <w:rFonts w:eastAsiaTheme="minorEastAsia"/>
          <w:noProof/>
          <w:lang w:eastAsia="cs-CZ"/>
        </w:rPr>
      </w:pPr>
      <w:hyperlink w:anchor="_Toc77074949" w:history="1">
        <w:r w:rsidR="00332A29" w:rsidRPr="00427970">
          <w:rPr>
            <w:rStyle w:val="Hypertextovodkaz"/>
            <w:noProof/>
          </w:rPr>
          <w:t>Obrázek 2.28: Bariéry rozvoje podnikání firem Zlína</w:t>
        </w:r>
        <w:r w:rsidR="00332A29">
          <w:rPr>
            <w:noProof/>
            <w:webHidden/>
          </w:rPr>
          <w:tab/>
        </w:r>
        <w:r w:rsidR="00332A29">
          <w:rPr>
            <w:noProof/>
            <w:webHidden/>
          </w:rPr>
          <w:fldChar w:fldCharType="begin"/>
        </w:r>
        <w:r w:rsidR="00332A29">
          <w:rPr>
            <w:noProof/>
            <w:webHidden/>
          </w:rPr>
          <w:instrText xml:space="preserve"> PAGEREF _Toc77074949 \h </w:instrText>
        </w:r>
        <w:r w:rsidR="00332A29">
          <w:rPr>
            <w:noProof/>
            <w:webHidden/>
          </w:rPr>
        </w:r>
        <w:r w:rsidR="00332A29">
          <w:rPr>
            <w:noProof/>
            <w:webHidden/>
          </w:rPr>
          <w:fldChar w:fldCharType="separate"/>
        </w:r>
        <w:r w:rsidR="00332A29">
          <w:rPr>
            <w:noProof/>
            <w:webHidden/>
          </w:rPr>
          <w:t>302</w:t>
        </w:r>
        <w:r w:rsidR="00332A29">
          <w:rPr>
            <w:noProof/>
            <w:webHidden/>
          </w:rPr>
          <w:fldChar w:fldCharType="end"/>
        </w:r>
      </w:hyperlink>
    </w:p>
    <w:p w14:paraId="1F016D5D" w14:textId="77777777" w:rsidR="00332A29" w:rsidRDefault="00183F7E">
      <w:pPr>
        <w:pStyle w:val="Seznamobrzk"/>
        <w:tabs>
          <w:tab w:val="right" w:leader="dot" w:pos="9062"/>
        </w:tabs>
        <w:rPr>
          <w:rFonts w:eastAsiaTheme="minorEastAsia"/>
          <w:noProof/>
          <w:lang w:eastAsia="cs-CZ"/>
        </w:rPr>
      </w:pPr>
      <w:hyperlink w:anchor="_Toc77074950" w:history="1">
        <w:r w:rsidR="00332A29" w:rsidRPr="00427970">
          <w:rPr>
            <w:rStyle w:val="Hypertextovodkaz"/>
            <w:noProof/>
          </w:rPr>
          <w:t>Obrázek 2.29: Spokojenost s podnikatelským prostředím ve městě Zlín</w:t>
        </w:r>
        <w:r w:rsidR="00332A29">
          <w:rPr>
            <w:noProof/>
            <w:webHidden/>
          </w:rPr>
          <w:tab/>
        </w:r>
        <w:r w:rsidR="00332A29">
          <w:rPr>
            <w:noProof/>
            <w:webHidden/>
          </w:rPr>
          <w:fldChar w:fldCharType="begin"/>
        </w:r>
        <w:r w:rsidR="00332A29">
          <w:rPr>
            <w:noProof/>
            <w:webHidden/>
          </w:rPr>
          <w:instrText xml:space="preserve"> PAGEREF _Toc77074950 \h </w:instrText>
        </w:r>
        <w:r w:rsidR="00332A29">
          <w:rPr>
            <w:noProof/>
            <w:webHidden/>
          </w:rPr>
        </w:r>
        <w:r w:rsidR="00332A29">
          <w:rPr>
            <w:noProof/>
            <w:webHidden/>
          </w:rPr>
          <w:fldChar w:fldCharType="separate"/>
        </w:r>
        <w:r w:rsidR="00332A29">
          <w:rPr>
            <w:noProof/>
            <w:webHidden/>
          </w:rPr>
          <w:t>303</w:t>
        </w:r>
        <w:r w:rsidR="00332A29">
          <w:rPr>
            <w:noProof/>
            <w:webHidden/>
          </w:rPr>
          <w:fldChar w:fldCharType="end"/>
        </w:r>
      </w:hyperlink>
    </w:p>
    <w:p w14:paraId="14CD45DB" w14:textId="77777777" w:rsidR="00332A29" w:rsidRDefault="00183F7E">
      <w:pPr>
        <w:pStyle w:val="Seznamobrzk"/>
        <w:tabs>
          <w:tab w:val="right" w:leader="dot" w:pos="9062"/>
        </w:tabs>
        <w:rPr>
          <w:rFonts w:eastAsiaTheme="minorEastAsia"/>
          <w:noProof/>
          <w:lang w:eastAsia="cs-CZ"/>
        </w:rPr>
      </w:pPr>
      <w:hyperlink w:anchor="_Toc77074951" w:history="1">
        <w:r w:rsidR="00332A29" w:rsidRPr="00427970">
          <w:rPr>
            <w:rStyle w:val="Hypertextovodkaz"/>
            <w:noProof/>
          </w:rPr>
          <w:t xml:space="preserve">Obrázek 2.30: </w:t>
        </w:r>
        <w:r w:rsidR="00332A29" w:rsidRPr="00427970">
          <w:rPr>
            <w:rStyle w:val="Hypertextovodkaz"/>
            <w:rFonts w:cstheme="minorHAnsi"/>
            <w:noProof/>
          </w:rPr>
          <w:t>Pozitiva podnikatelského prostředí podle respondentů</w:t>
        </w:r>
        <w:r w:rsidR="00332A29">
          <w:rPr>
            <w:noProof/>
            <w:webHidden/>
          </w:rPr>
          <w:tab/>
        </w:r>
        <w:r w:rsidR="00332A29">
          <w:rPr>
            <w:noProof/>
            <w:webHidden/>
          </w:rPr>
          <w:fldChar w:fldCharType="begin"/>
        </w:r>
        <w:r w:rsidR="00332A29">
          <w:rPr>
            <w:noProof/>
            <w:webHidden/>
          </w:rPr>
          <w:instrText xml:space="preserve"> PAGEREF _Toc77074951 \h </w:instrText>
        </w:r>
        <w:r w:rsidR="00332A29">
          <w:rPr>
            <w:noProof/>
            <w:webHidden/>
          </w:rPr>
        </w:r>
        <w:r w:rsidR="00332A29">
          <w:rPr>
            <w:noProof/>
            <w:webHidden/>
          </w:rPr>
          <w:fldChar w:fldCharType="separate"/>
        </w:r>
        <w:r w:rsidR="00332A29">
          <w:rPr>
            <w:noProof/>
            <w:webHidden/>
          </w:rPr>
          <w:t>303</w:t>
        </w:r>
        <w:r w:rsidR="00332A29">
          <w:rPr>
            <w:noProof/>
            <w:webHidden/>
          </w:rPr>
          <w:fldChar w:fldCharType="end"/>
        </w:r>
      </w:hyperlink>
    </w:p>
    <w:p w14:paraId="21FD9776" w14:textId="77777777" w:rsidR="00332A29" w:rsidRDefault="00183F7E">
      <w:pPr>
        <w:pStyle w:val="Seznamobrzk"/>
        <w:tabs>
          <w:tab w:val="right" w:leader="dot" w:pos="9062"/>
        </w:tabs>
        <w:rPr>
          <w:rFonts w:eastAsiaTheme="minorEastAsia"/>
          <w:noProof/>
          <w:lang w:eastAsia="cs-CZ"/>
        </w:rPr>
      </w:pPr>
      <w:hyperlink w:anchor="_Toc77074952" w:history="1">
        <w:r w:rsidR="00332A29" w:rsidRPr="00427970">
          <w:rPr>
            <w:rStyle w:val="Hypertextovodkaz"/>
            <w:noProof/>
          </w:rPr>
          <w:t>Obrázek 2.31: Spokojenost s kvalitou úřadů a institucí ve Zlíně</w:t>
        </w:r>
        <w:r w:rsidR="00332A29">
          <w:rPr>
            <w:noProof/>
            <w:webHidden/>
          </w:rPr>
          <w:tab/>
        </w:r>
        <w:r w:rsidR="00332A29">
          <w:rPr>
            <w:noProof/>
            <w:webHidden/>
          </w:rPr>
          <w:fldChar w:fldCharType="begin"/>
        </w:r>
        <w:r w:rsidR="00332A29">
          <w:rPr>
            <w:noProof/>
            <w:webHidden/>
          </w:rPr>
          <w:instrText xml:space="preserve"> PAGEREF _Toc77074952 \h </w:instrText>
        </w:r>
        <w:r w:rsidR="00332A29">
          <w:rPr>
            <w:noProof/>
            <w:webHidden/>
          </w:rPr>
        </w:r>
        <w:r w:rsidR="00332A29">
          <w:rPr>
            <w:noProof/>
            <w:webHidden/>
          </w:rPr>
          <w:fldChar w:fldCharType="separate"/>
        </w:r>
        <w:r w:rsidR="00332A29">
          <w:rPr>
            <w:noProof/>
            <w:webHidden/>
          </w:rPr>
          <w:t>306</w:t>
        </w:r>
        <w:r w:rsidR="00332A29">
          <w:rPr>
            <w:noProof/>
            <w:webHidden/>
          </w:rPr>
          <w:fldChar w:fldCharType="end"/>
        </w:r>
      </w:hyperlink>
    </w:p>
    <w:p w14:paraId="18A8467D" w14:textId="77777777" w:rsidR="00332A29" w:rsidRDefault="00183F7E">
      <w:pPr>
        <w:pStyle w:val="Seznamobrzk"/>
        <w:tabs>
          <w:tab w:val="right" w:leader="dot" w:pos="9062"/>
        </w:tabs>
        <w:rPr>
          <w:rFonts w:eastAsiaTheme="minorEastAsia"/>
          <w:noProof/>
          <w:lang w:eastAsia="cs-CZ"/>
        </w:rPr>
      </w:pPr>
      <w:hyperlink w:anchor="_Toc77074953" w:history="1">
        <w:r w:rsidR="00332A29" w:rsidRPr="00427970">
          <w:rPr>
            <w:rStyle w:val="Hypertextovodkaz"/>
            <w:noProof/>
          </w:rPr>
          <w:t>Obrázek 2.32: Charakteristika pozemků využitelných pro podnikání podle respondentů</w:t>
        </w:r>
        <w:r w:rsidR="00332A29">
          <w:rPr>
            <w:noProof/>
            <w:webHidden/>
          </w:rPr>
          <w:tab/>
        </w:r>
        <w:r w:rsidR="00332A29">
          <w:rPr>
            <w:noProof/>
            <w:webHidden/>
          </w:rPr>
          <w:fldChar w:fldCharType="begin"/>
        </w:r>
        <w:r w:rsidR="00332A29">
          <w:rPr>
            <w:noProof/>
            <w:webHidden/>
          </w:rPr>
          <w:instrText xml:space="preserve"> PAGEREF _Toc77074953 \h </w:instrText>
        </w:r>
        <w:r w:rsidR="00332A29">
          <w:rPr>
            <w:noProof/>
            <w:webHidden/>
          </w:rPr>
        </w:r>
        <w:r w:rsidR="00332A29">
          <w:rPr>
            <w:noProof/>
            <w:webHidden/>
          </w:rPr>
          <w:fldChar w:fldCharType="separate"/>
        </w:r>
        <w:r w:rsidR="00332A29">
          <w:rPr>
            <w:noProof/>
            <w:webHidden/>
          </w:rPr>
          <w:t>307</w:t>
        </w:r>
        <w:r w:rsidR="00332A29">
          <w:rPr>
            <w:noProof/>
            <w:webHidden/>
          </w:rPr>
          <w:fldChar w:fldCharType="end"/>
        </w:r>
      </w:hyperlink>
    </w:p>
    <w:p w14:paraId="0AA4DADE" w14:textId="77777777" w:rsidR="00332A29" w:rsidRDefault="00183F7E">
      <w:pPr>
        <w:pStyle w:val="Seznamobrzk"/>
        <w:tabs>
          <w:tab w:val="right" w:leader="dot" w:pos="9062"/>
        </w:tabs>
        <w:rPr>
          <w:rFonts w:eastAsiaTheme="minorEastAsia"/>
          <w:noProof/>
          <w:lang w:eastAsia="cs-CZ"/>
        </w:rPr>
      </w:pPr>
      <w:hyperlink w:anchor="_Toc77074954" w:history="1">
        <w:r w:rsidR="00332A29" w:rsidRPr="00427970">
          <w:rPr>
            <w:rStyle w:val="Hypertextovodkaz"/>
            <w:noProof/>
          </w:rPr>
          <w:t>Obrázek 2.33: Charakteristika objektů využitelných pro podnikání podle respondentů</w:t>
        </w:r>
        <w:r w:rsidR="00332A29">
          <w:rPr>
            <w:noProof/>
            <w:webHidden/>
          </w:rPr>
          <w:tab/>
        </w:r>
        <w:r w:rsidR="00332A29">
          <w:rPr>
            <w:noProof/>
            <w:webHidden/>
          </w:rPr>
          <w:fldChar w:fldCharType="begin"/>
        </w:r>
        <w:r w:rsidR="00332A29">
          <w:rPr>
            <w:noProof/>
            <w:webHidden/>
          </w:rPr>
          <w:instrText xml:space="preserve"> PAGEREF _Toc77074954 \h </w:instrText>
        </w:r>
        <w:r w:rsidR="00332A29">
          <w:rPr>
            <w:noProof/>
            <w:webHidden/>
          </w:rPr>
        </w:r>
        <w:r w:rsidR="00332A29">
          <w:rPr>
            <w:noProof/>
            <w:webHidden/>
          </w:rPr>
          <w:fldChar w:fldCharType="separate"/>
        </w:r>
        <w:r w:rsidR="00332A29">
          <w:rPr>
            <w:noProof/>
            <w:webHidden/>
          </w:rPr>
          <w:t>307</w:t>
        </w:r>
        <w:r w:rsidR="00332A29">
          <w:rPr>
            <w:noProof/>
            <w:webHidden/>
          </w:rPr>
          <w:fldChar w:fldCharType="end"/>
        </w:r>
      </w:hyperlink>
    </w:p>
    <w:p w14:paraId="716D25A0" w14:textId="77777777" w:rsidR="00332A29" w:rsidRDefault="00183F7E">
      <w:pPr>
        <w:pStyle w:val="Seznamobrzk"/>
        <w:tabs>
          <w:tab w:val="right" w:leader="dot" w:pos="9062"/>
        </w:tabs>
        <w:rPr>
          <w:rFonts w:eastAsiaTheme="minorEastAsia"/>
          <w:noProof/>
          <w:lang w:eastAsia="cs-CZ"/>
        </w:rPr>
      </w:pPr>
      <w:hyperlink w:anchor="_Toc77074955" w:history="1">
        <w:r w:rsidR="00332A29" w:rsidRPr="00427970">
          <w:rPr>
            <w:rStyle w:val="Hypertextovodkaz"/>
            <w:noProof/>
          </w:rPr>
          <w:t>Obrázek 2.34: Charakteristika kancelářských prostor využitelných pro podnikání podle respondentů</w:t>
        </w:r>
        <w:r w:rsidR="00332A29">
          <w:rPr>
            <w:noProof/>
            <w:webHidden/>
          </w:rPr>
          <w:tab/>
        </w:r>
        <w:r w:rsidR="00332A29">
          <w:rPr>
            <w:noProof/>
            <w:webHidden/>
          </w:rPr>
          <w:fldChar w:fldCharType="begin"/>
        </w:r>
        <w:r w:rsidR="00332A29">
          <w:rPr>
            <w:noProof/>
            <w:webHidden/>
          </w:rPr>
          <w:instrText xml:space="preserve"> PAGEREF _Toc77074955 \h </w:instrText>
        </w:r>
        <w:r w:rsidR="00332A29">
          <w:rPr>
            <w:noProof/>
            <w:webHidden/>
          </w:rPr>
        </w:r>
        <w:r w:rsidR="00332A29">
          <w:rPr>
            <w:noProof/>
            <w:webHidden/>
          </w:rPr>
          <w:fldChar w:fldCharType="separate"/>
        </w:r>
        <w:r w:rsidR="00332A29">
          <w:rPr>
            <w:noProof/>
            <w:webHidden/>
          </w:rPr>
          <w:t>308</w:t>
        </w:r>
        <w:r w:rsidR="00332A29">
          <w:rPr>
            <w:noProof/>
            <w:webHidden/>
          </w:rPr>
          <w:fldChar w:fldCharType="end"/>
        </w:r>
      </w:hyperlink>
    </w:p>
    <w:p w14:paraId="0349670F" w14:textId="77777777" w:rsidR="00332A29" w:rsidRDefault="00183F7E">
      <w:pPr>
        <w:pStyle w:val="Seznamobrzk"/>
        <w:tabs>
          <w:tab w:val="right" w:leader="dot" w:pos="9062"/>
        </w:tabs>
        <w:rPr>
          <w:rFonts w:eastAsiaTheme="minorEastAsia"/>
          <w:noProof/>
          <w:lang w:eastAsia="cs-CZ"/>
        </w:rPr>
      </w:pPr>
      <w:hyperlink w:anchor="_Toc77074956" w:history="1">
        <w:r w:rsidR="00332A29" w:rsidRPr="00427970">
          <w:rPr>
            <w:rStyle w:val="Hypertextovodkaz"/>
            <w:noProof/>
          </w:rPr>
          <w:t>Obrázek 2.35: Dodavatelská a exportní orientace dle lokality</w:t>
        </w:r>
        <w:r w:rsidR="00332A29">
          <w:rPr>
            <w:noProof/>
            <w:webHidden/>
          </w:rPr>
          <w:tab/>
        </w:r>
        <w:r w:rsidR="00332A29">
          <w:rPr>
            <w:noProof/>
            <w:webHidden/>
          </w:rPr>
          <w:fldChar w:fldCharType="begin"/>
        </w:r>
        <w:r w:rsidR="00332A29">
          <w:rPr>
            <w:noProof/>
            <w:webHidden/>
          </w:rPr>
          <w:instrText xml:space="preserve"> PAGEREF _Toc77074956 \h </w:instrText>
        </w:r>
        <w:r w:rsidR="00332A29">
          <w:rPr>
            <w:noProof/>
            <w:webHidden/>
          </w:rPr>
        </w:r>
        <w:r w:rsidR="00332A29">
          <w:rPr>
            <w:noProof/>
            <w:webHidden/>
          </w:rPr>
          <w:fldChar w:fldCharType="separate"/>
        </w:r>
        <w:r w:rsidR="00332A29">
          <w:rPr>
            <w:noProof/>
            <w:webHidden/>
          </w:rPr>
          <w:t>309</w:t>
        </w:r>
        <w:r w:rsidR="00332A29">
          <w:rPr>
            <w:noProof/>
            <w:webHidden/>
          </w:rPr>
          <w:fldChar w:fldCharType="end"/>
        </w:r>
      </w:hyperlink>
    </w:p>
    <w:p w14:paraId="32036EB6" w14:textId="77777777" w:rsidR="00332A29" w:rsidRDefault="00183F7E">
      <w:pPr>
        <w:pStyle w:val="Seznamobrzk"/>
        <w:tabs>
          <w:tab w:val="right" w:leader="dot" w:pos="9062"/>
        </w:tabs>
        <w:rPr>
          <w:rFonts w:eastAsiaTheme="minorEastAsia"/>
          <w:noProof/>
          <w:lang w:eastAsia="cs-CZ"/>
        </w:rPr>
      </w:pPr>
      <w:hyperlink w:anchor="_Toc77074957" w:history="1">
        <w:r w:rsidR="00332A29" w:rsidRPr="00427970">
          <w:rPr>
            <w:rStyle w:val="Hypertextovodkaz"/>
            <w:noProof/>
          </w:rPr>
          <w:t>Obrázek 2.36: Informace o investicích a nemovitostech</w:t>
        </w:r>
        <w:r w:rsidR="00332A29">
          <w:rPr>
            <w:noProof/>
            <w:webHidden/>
          </w:rPr>
          <w:tab/>
        </w:r>
        <w:r w:rsidR="00332A29">
          <w:rPr>
            <w:noProof/>
            <w:webHidden/>
          </w:rPr>
          <w:fldChar w:fldCharType="begin"/>
        </w:r>
        <w:r w:rsidR="00332A29">
          <w:rPr>
            <w:noProof/>
            <w:webHidden/>
          </w:rPr>
          <w:instrText xml:space="preserve"> PAGEREF _Toc77074957 \h </w:instrText>
        </w:r>
        <w:r w:rsidR="00332A29">
          <w:rPr>
            <w:noProof/>
            <w:webHidden/>
          </w:rPr>
        </w:r>
        <w:r w:rsidR="00332A29">
          <w:rPr>
            <w:noProof/>
            <w:webHidden/>
          </w:rPr>
          <w:fldChar w:fldCharType="separate"/>
        </w:r>
        <w:r w:rsidR="00332A29">
          <w:rPr>
            <w:noProof/>
            <w:webHidden/>
          </w:rPr>
          <w:t>309</w:t>
        </w:r>
        <w:r w:rsidR="00332A29">
          <w:rPr>
            <w:noProof/>
            <w:webHidden/>
          </w:rPr>
          <w:fldChar w:fldCharType="end"/>
        </w:r>
      </w:hyperlink>
    </w:p>
    <w:p w14:paraId="48BB01CD" w14:textId="77777777" w:rsidR="00332A29" w:rsidRDefault="00183F7E">
      <w:pPr>
        <w:pStyle w:val="Seznamobrzk"/>
        <w:tabs>
          <w:tab w:val="right" w:leader="dot" w:pos="9062"/>
        </w:tabs>
        <w:rPr>
          <w:rFonts w:eastAsiaTheme="minorEastAsia"/>
          <w:noProof/>
          <w:lang w:eastAsia="cs-CZ"/>
        </w:rPr>
      </w:pPr>
      <w:hyperlink w:anchor="_Toc77074958" w:history="1">
        <w:r w:rsidR="00332A29" w:rsidRPr="00427970">
          <w:rPr>
            <w:rStyle w:val="Hypertextovodkaz"/>
            <w:noProof/>
          </w:rPr>
          <w:t>Obrázek 2.37: Přehled potřebných nemovitostí a pozemků</w:t>
        </w:r>
        <w:r w:rsidR="00332A29">
          <w:rPr>
            <w:noProof/>
            <w:webHidden/>
          </w:rPr>
          <w:tab/>
        </w:r>
        <w:r w:rsidR="00332A29">
          <w:rPr>
            <w:noProof/>
            <w:webHidden/>
          </w:rPr>
          <w:fldChar w:fldCharType="begin"/>
        </w:r>
        <w:r w:rsidR="00332A29">
          <w:rPr>
            <w:noProof/>
            <w:webHidden/>
          </w:rPr>
          <w:instrText xml:space="preserve"> PAGEREF _Toc77074958 \h </w:instrText>
        </w:r>
        <w:r w:rsidR="00332A29">
          <w:rPr>
            <w:noProof/>
            <w:webHidden/>
          </w:rPr>
        </w:r>
        <w:r w:rsidR="00332A29">
          <w:rPr>
            <w:noProof/>
            <w:webHidden/>
          </w:rPr>
          <w:fldChar w:fldCharType="separate"/>
        </w:r>
        <w:r w:rsidR="00332A29">
          <w:rPr>
            <w:noProof/>
            <w:webHidden/>
          </w:rPr>
          <w:t>310</w:t>
        </w:r>
        <w:r w:rsidR="00332A29">
          <w:rPr>
            <w:noProof/>
            <w:webHidden/>
          </w:rPr>
          <w:fldChar w:fldCharType="end"/>
        </w:r>
      </w:hyperlink>
    </w:p>
    <w:p w14:paraId="49410378" w14:textId="77777777" w:rsidR="00332A29" w:rsidRDefault="00183F7E">
      <w:pPr>
        <w:pStyle w:val="Seznamobrzk"/>
        <w:tabs>
          <w:tab w:val="right" w:leader="dot" w:pos="9062"/>
        </w:tabs>
        <w:rPr>
          <w:rFonts w:eastAsiaTheme="minorEastAsia"/>
          <w:noProof/>
          <w:lang w:eastAsia="cs-CZ"/>
        </w:rPr>
      </w:pPr>
      <w:hyperlink w:anchor="_Toc77074959" w:history="1">
        <w:r w:rsidR="00332A29" w:rsidRPr="00427970">
          <w:rPr>
            <w:rStyle w:val="Hypertextovodkaz"/>
            <w:noProof/>
          </w:rPr>
          <w:t>Obrázek 2.38: Záměr firem prodat/pronajmout podnikatelskou nemovitost</w:t>
        </w:r>
        <w:r w:rsidR="00332A29">
          <w:rPr>
            <w:noProof/>
            <w:webHidden/>
          </w:rPr>
          <w:tab/>
        </w:r>
        <w:r w:rsidR="00332A29">
          <w:rPr>
            <w:noProof/>
            <w:webHidden/>
          </w:rPr>
          <w:fldChar w:fldCharType="begin"/>
        </w:r>
        <w:r w:rsidR="00332A29">
          <w:rPr>
            <w:noProof/>
            <w:webHidden/>
          </w:rPr>
          <w:instrText xml:space="preserve"> PAGEREF _Toc77074959 \h </w:instrText>
        </w:r>
        <w:r w:rsidR="00332A29">
          <w:rPr>
            <w:noProof/>
            <w:webHidden/>
          </w:rPr>
        </w:r>
        <w:r w:rsidR="00332A29">
          <w:rPr>
            <w:noProof/>
            <w:webHidden/>
          </w:rPr>
          <w:fldChar w:fldCharType="separate"/>
        </w:r>
        <w:r w:rsidR="00332A29">
          <w:rPr>
            <w:noProof/>
            <w:webHidden/>
          </w:rPr>
          <w:t>310</w:t>
        </w:r>
        <w:r w:rsidR="00332A29">
          <w:rPr>
            <w:noProof/>
            <w:webHidden/>
          </w:rPr>
          <w:fldChar w:fldCharType="end"/>
        </w:r>
      </w:hyperlink>
    </w:p>
    <w:p w14:paraId="5E2EDEF2" w14:textId="77777777" w:rsidR="00332A29" w:rsidRDefault="00183F7E">
      <w:pPr>
        <w:pStyle w:val="Seznamobrzk"/>
        <w:tabs>
          <w:tab w:val="right" w:leader="dot" w:pos="9062"/>
        </w:tabs>
        <w:rPr>
          <w:rFonts w:eastAsiaTheme="minorEastAsia"/>
          <w:noProof/>
          <w:lang w:eastAsia="cs-CZ"/>
        </w:rPr>
      </w:pPr>
      <w:hyperlink w:anchor="_Toc77074960" w:history="1">
        <w:r w:rsidR="00332A29" w:rsidRPr="00427970">
          <w:rPr>
            <w:rStyle w:val="Hypertextovodkaz"/>
            <w:noProof/>
          </w:rPr>
          <w:t>Obrázek 2.39: Přehled, zda se firmám dlouhodobě daří obsazovat veškeré pracovní pozice</w:t>
        </w:r>
        <w:r w:rsidR="00332A29">
          <w:rPr>
            <w:noProof/>
            <w:webHidden/>
          </w:rPr>
          <w:tab/>
        </w:r>
        <w:r w:rsidR="00332A29">
          <w:rPr>
            <w:noProof/>
            <w:webHidden/>
          </w:rPr>
          <w:fldChar w:fldCharType="begin"/>
        </w:r>
        <w:r w:rsidR="00332A29">
          <w:rPr>
            <w:noProof/>
            <w:webHidden/>
          </w:rPr>
          <w:instrText xml:space="preserve"> PAGEREF _Toc77074960 \h </w:instrText>
        </w:r>
        <w:r w:rsidR="00332A29">
          <w:rPr>
            <w:noProof/>
            <w:webHidden/>
          </w:rPr>
        </w:r>
        <w:r w:rsidR="00332A29">
          <w:rPr>
            <w:noProof/>
            <w:webHidden/>
          </w:rPr>
          <w:fldChar w:fldCharType="separate"/>
        </w:r>
        <w:r w:rsidR="00332A29">
          <w:rPr>
            <w:noProof/>
            <w:webHidden/>
          </w:rPr>
          <w:t>311</w:t>
        </w:r>
        <w:r w:rsidR="00332A29">
          <w:rPr>
            <w:noProof/>
            <w:webHidden/>
          </w:rPr>
          <w:fldChar w:fldCharType="end"/>
        </w:r>
      </w:hyperlink>
    </w:p>
    <w:p w14:paraId="472BC746" w14:textId="77777777" w:rsidR="00332A29" w:rsidRDefault="00183F7E">
      <w:pPr>
        <w:pStyle w:val="Seznamobrzk"/>
        <w:tabs>
          <w:tab w:val="right" w:leader="dot" w:pos="9062"/>
        </w:tabs>
        <w:rPr>
          <w:rFonts w:eastAsiaTheme="minorEastAsia"/>
          <w:noProof/>
          <w:lang w:eastAsia="cs-CZ"/>
        </w:rPr>
      </w:pPr>
      <w:hyperlink w:anchor="_Toc77074961" w:history="1">
        <w:r w:rsidR="00332A29" w:rsidRPr="00427970">
          <w:rPr>
            <w:rStyle w:val="Hypertextovodkaz"/>
            <w:noProof/>
          </w:rPr>
          <w:t>Obrázek 2.40: Přehled plánů firem ohledně zaměstnanců</w:t>
        </w:r>
        <w:r w:rsidR="00332A29">
          <w:rPr>
            <w:noProof/>
            <w:webHidden/>
          </w:rPr>
          <w:tab/>
        </w:r>
        <w:r w:rsidR="00332A29">
          <w:rPr>
            <w:noProof/>
            <w:webHidden/>
          </w:rPr>
          <w:fldChar w:fldCharType="begin"/>
        </w:r>
        <w:r w:rsidR="00332A29">
          <w:rPr>
            <w:noProof/>
            <w:webHidden/>
          </w:rPr>
          <w:instrText xml:space="preserve"> PAGEREF _Toc77074961 \h </w:instrText>
        </w:r>
        <w:r w:rsidR="00332A29">
          <w:rPr>
            <w:noProof/>
            <w:webHidden/>
          </w:rPr>
        </w:r>
        <w:r w:rsidR="00332A29">
          <w:rPr>
            <w:noProof/>
            <w:webHidden/>
          </w:rPr>
          <w:fldChar w:fldCharType="separate"/>
        </w:r>
        <w:r w:rsidR="00332A29">
          <w:rPr>
            <w:noProof/>
            <w:webHidden/>
          </w:rPr>
          <w:t>312</w:t>
        </w:r>
        <w:r w:rsidR="00332A29">
          <w:rPr>
            <w:noProof/>
            <w:webHidden/>
          </w:rPr>
          <w:fldChar w:fldCharType="end"/>
        </w:r>
      </w:hyperlink>
    </w:p>
    <w:p w14:paraId="7588AEB4" w14:textId="77777777" w:rsidR="00332A29" w:rsidRDefault="00183F7E">
      <w:pPr>
        <w:pStyle w:val="Seznamobrzk"/>
        <w:tabs>
          <w:tab w:val="right" w:leader="dot" w:pos="9062"/>
        </w:tabs>
        <w:rPr>
          <w:rFonts w:eastAsiaTheme="minorEastAsia"/>
          <w:noProof/>
          <w:lang w:eastAsia="cs-CZ"/>
        </w:rPr>
      </w:pPr>
      <w:hyperlink w:anchor="_Toc77074962" w:history="1">
        <w:r w:rsidR="00332A29" w:rsidRPr="00427970">
          <w:rPr>
            <w:rStyle w:val="Hypertextovodkaz"/>
            <w:noProof/>
          </w:rPr>
          <w:t>Obrázek 2.41: Spokojenost s podnikatelským prostředím ve městě Zlín – dělení dle firem zpracovatelského průmyslu</w:t>
        </w:r>
        <w:r w:rsidR="00332A29">
          <w:rPr>
            <w:noProof/>
            <w:webHidden/>
          </w:rPr>
          <w:tab/>
        </w:r>
        <w:r w:rsidR="00332A29">
          <w:rPr>
            <w:noProof/>
            <w:webHidden/>
          </w:rPr>
          <w:fldChar w:fldCharType="begin"/>
        </w:r>
        <w:r w:rsidR="00332A29">
          <w:rPr>
            <w:noProof/>
            <w:webHidden/>
          </w:rPr>
          <w:instrText xml:space="preserve"> PAGEREF _Toc77074962 \h </w:instrText>
        </w:r>
        <w:r w:rsidR="00332A29">
          <w:rPr>
            <w:noProof/>
            <w:webHidden/>
          </w:rPr>
        </w:r>
        <w:r w:rsidR="00332A29">
          <w:rPr>
            <w:noProof/>
            <w:webHidden/>
          </w:rPr>
          <w:fldChar w:fldCharType="separate"/>
        </w:r>
        <w:r w:rsidR="00332A29">
          <w:rPr>
            <w:noProof/>
            <w:webHidden/>
          </w:rPr>
          <w:t>316</w:t>
        </w:r>
        <w:r w:rsidR="00332A29">
          <w:rPr>
            <w:noProof/>
            <w:webHidden/>
          </w:rPr>
          <w:fldChar w:fldCharType="end"/>
        </w:r>
      </w:hyperlink>
    </w:p>
    <w:p w14:paraId="17A32D46" w14:textId="77777777" w:rsidR="00332A29" w:rsidRDefault="00183F7E">
      <w:pPr>
        <w:pStyle w:val="Seznamobrzk"/>
        <w:tabs>
          <w:tab w:val="right" w:leader="dot" w:pos="9062"/>
        </w:tabs>
        <w:rPr>
          <w:rFonts w:eastAsiaTheme="minorEastAsia"/>
          <w:noProof/>
          <w:lang w:eastAsia="cs-CZ"/>
        </w:rPr>
      </w:pPr>
      <w:hyperlink w:anchor="_Toc77074963" w:history="1">
        <w:r w:rsidR="00332A29" w:rsidRPr="00427970">
          <w:rPr>
            <w:rStyle w:val="Hypertextovodkaz"/>
            <w:noProof/>
          </w:rPr>
          <w:t>Obrázek 3.1: Predikce populačního vývoje v ČR</w:t>
        </w:r>
        <w:r w:rsidR="00332A29">
          <w:rPr>
            <w:noProof/>
            <w:webHidden/>
          </w:rPr>
          <w:tab/>
        </w:r>
        <w:r w:rsidR="00332A29">
          <w:rPr>
            <w:noProof/>
            <w:webHidden/>
          </w:rPr>
          <w:fldChar w:fldCharType="begin"/>
        </w:r>
        <w:r w:rsidR="00332A29">
          <w:rPr>
            <w:noProof/>
            <w:webHidden/>
          </w:rPr>
          <w:instrText xml:space="preserve"> PAGEREF _Toc77074963 \h </w:instrText>
        </w:r>
        <w:r w:rsidR="00332A29">
          <w:rPr>
            <w:noProof/>
            <w:webHidden/>
          </w:rPr>
        </w:r>
        <w:r w:rsidR="00332A29">
          <w:rPr>
            <w:noProof/>
            <w:webHidden/>
          </w:rPr>
          <w:fldChar w:fldCharType="separate"/>
        </w:r>
        <w:r w:rsidR="00332A29">
          <w:rPr>
            <w:noProof/>
            <w:webHidden/>
          </w:rPr>
          <w:t>328</w:t>
        </w:r>
        <w:r w:rsidR="00332A29">
          <w:rPr>
            <w:noProof/>
            <w:webHidden/>
          </w:rPr>
          <w:fldChar w:fldCharType="end"/>
        </w:r>
      </w:hyperlink>
    </w:p>
    <w:p w14:paraId="6A0C8FE6" w14:textId="77777777" w:rsidR="00332A29" w:rsidRDefault="00183F7E">
      <w:pPr>
        <w:pStyle w:val="Seznamobrzk"/>
        <w:tabs>
          <w:tab w:val="right" w:leader="dot" w:pos="9062"/>
        </w:tabs>
        <w:rPr>
          <w:rFonts w:eastAsiaTheme="minorEastAsia"/>
          <w:noProof/>
          <w:lang w:eastAsia="cs-CZ"/>
        </w:rPr>
      </w:pPr>
      <w:hyperlink w:anchor="_Toc77074964" w:history="1">
        <w:r w:rsidR="00332A29" w:rsidRPr="00427970">
          <w:rPr>
            <w:rStyle w:val="Hypertextovodkaz"/>
            <w:noProof/>
          </w:rPr>
          <w:t>Obrázek 3.2: Vývoj vzdělanostní struktury obyvatelstva ČR</w:t>
        </w:r>
        <w:r w:rsidR="00332A29">
          <w:rPr>
            <w:noProof/>
            <w:webHidden/>
          </w:rPr>
          <w:tab/>
        </w:r>
        <w:r w:rsidR="00332A29">
          <w:rPr>
            <w:noProof/>
            <w:webHidden/>
          </w:rPr>
          <w:fldChar w:fldCharType="begin"/>
        </w:r>
        <w:r w:rsidR="00332A29">
          <w:rPr>
            <w:noProof/>
            <w:webHidden/>
          </w:rPr>
          <w:instrText xml:space="preserve"> PAGEREF _Toc77074964 \h </w:instrText>
        </w:r>
        <w:r w:rsidR="00332A29">
          <w:rPr>
            <w:noProof/>
            <w:webHidden/>
          </w:rPr>
        </w:r>
        <w:r w:rsidR="00332A29">
          <w:rPr>
            <w:noProof/>
            <w:webHidden/>
          </w:rPr>
          <w:fldChar w:fldCharType="separate"/>
        </w:r>
        <w:r w:rsidR="00332A29">
          <w:rPr>
            <w:noProof/>
            <w:webHidden/>
          </w:rPr>
          <w:t>329</w:t>
        </w:r>
        <w:r w:rsidR="00332A29">
          <w:rPr>
            <w:noProof/>
            <w:webHidden/>
          </w:rPr>
          <w:fldChar w:fldCharType="end"/>
        </w:r>
      </w:hyperlink>
    </w:p>
    <w:p w14:paraId="7EF9509A" w14:textId="77777777" w:rsidR="00332A29" w:rsidRDefault="00183F7E">
      <w:pPr>
        <w:pStyle w:val="Seznamobrzk"/>
        <w:tabs>
          <w:tab w:val="right" w:leader="dot" w:pos="9062"/>
        </w:tabs>
        <w:rPr>
          <w:rFonts w:eastAsiaTheme="minorEastAsia"/>
          <w:noProof/>
          <w:lang w:eastAsia="cs-CZ"/>
        </w:rPr>
      </w:pPr>
      <w:hyperlink w:anchor="_Toc77074965" w:history="1">
        <w:r w:rsidR="00332A29" w:rsidRPr="00427970">
          <w:rPr>
            <w:rStyle w:val="Hypertextovodkaz"/>
            <w:noProof/>
          </w:rPr>
          <w:t>Obrázek 3.3: Vývoj vybraných emisí látek znečišťujících ovzduší na území ČR</w:t>
        </w:r>
        <w:r w:rsidR="00332A29">
          <w:rPr>
            <w:noProof/>
            <w:webHidden/>
          </w:rPr>
          <w:tab/>
        </w:r>
        <w:r w:rsidR="00332A29">
          <w:rPr>
            <w:noProof/>
            <w:webHidden/>
          </w:rPr>
          <w:fldChar w:fldCharType="begin"/>
        </w:r>
        <w:r w:rsidR="00332A29">
          <w:rPr>
            <w:noProof/>
            <w:webHidden/>
          </w:rPr>
          <w:instrText xml:space="preserve"> PAGEREF _Toc77074965 \h </w:instrText>
        </w:r>
        <w:r w:rsidR="00332A29">
          <w:rPr>
            <w:noProof/>
            <w:webHidden/>
          </w:rPr>
        </w:r>
        <w:r w:rsidR="00332A29">
          <w:rPr>
            <w:noProof/>
            <w:webHidden/>
          </w:rPr>
          <w:fldChar w:fldCharType="separate"/>
        </w:r>
        <w:r w:rsidR="00332A29">
          <w:rPr>
            <w:noProof/>
            <w:webHidden/>
          </w:rPr>
          <w:t>332</w:t>
        </w:r>
        <w:r w:rsidR="00332A29">
          <w:rPr>
            <w:noProof/>
            <w:webHidden/>
          </w:rPr>
          <w:fldChar w:fldCharType="end"/>
        </w:r>
      </w:hyperlink>
    </w:p>
    <w:p w14:paraId="3D963349" w14:textId="77777777" w:rsidR="00332A29" w:rsidRDefault="00183F7E">
      <w:pPr>
        <w:pStyle w:val="Seznamobrzk"/>
        <w:tabs>
          <w:tab w:val="right" w:leader="dot" w:pos="9062"/>
        </w:tabs>
        <w:rPr>
          <w:rFonts w:eastAsiaTheme="minorEastAsia"/>
          <w:noProof/>
          <w:lang w:eastAsia="cs-CZ"/>
        </w:rPr>
      </w:pPr>
      <w:hyperlink w:anchor="_Toc77074966" w:history="1">
        <w:r w:rsidR="00332A29" w:rsidRPr="00427970">
          <w:rPr>
            <w:rStyle w:val="Hypertextovodkaz"/>
            <w:noProof/>
          </w:rPr>
          <w:t>Obrázek 3.4: Veřejné výdaje na ochranu životního prostředí v ČR (mil. Kč)</w:t>
        </w:r>
        <w:r w:rsidR="00332A29">
          <w:rPr>
            <w:noProof/>
            <w:webHidden/>
          </w:rPr>
          <w:tab/>
        </w:r>
        <w:r w:rsidR="00332A29">
          <w:rPr>
            <w:noProof/>
            <w:webHidden/>
          </w:rPr>
          <w:fldChar w:fldCharType="begin"/>
        </w:r>
        <w:r w:rsidR="00332A29">
          <w:rPr>
            <w:noProof/>
            <w:webHidden/>
          </w:rPr>
          <w:instrText xml:space="preserve"> PAGEREF _Toc77074966 \h </w:instrText>
        </w:r>
        <w:r w:rsidR="00332A29">
          <w:rPr>
            <w:noProof/>
            <w:webHidden/>
          </w:rPr>
        </w:r>
        <w:r w:rsidR="00332A29">
          <w:rPr>
            <w:noProof/>
            <w:webHidden/>
          </w:rPr>
          <w:fldChar w:fldCharType="separate"/>
        </w:r>
        <w:r w:rsidR="00332A29">
          <w:rPr>
            <w:noProof/>
            <w:webHidden/>
          </w:rPr>
          <w:t>333</w:t>
        </w:r>
        <w:r w:rsidR="00332A29">
          <w:rPr>
            <w:noProof/>
            <w:webHidden/>
          </w:rPr>
          <w:fldChar w:fldCharType="end"/>
        </w:r>
      </w:hyperlink>
    </w:p>
    <w:p w14:paraId="463A3D6D" w14:textId="77777777" w:rsidR="00332A29" w:rsidRDefault="00183F7E">
      <w:pPr>
        <w:pStyle w:val="Seznamobrzk"/>
        <w:tabs>
          <w:tab w:val="right" w:leader="dot" w:pos="9062"/>
        </w:tabs>
        <w:rPr>
          <w:rFonts w:eastAsiaTheme="minorEastAsia"/>
          <w:noProof/>
          <w:lang w:eastAsia="cs-CZ"/>
        </w:rPr>
      </w:pPr>
      <w:hyperlink w:anchor="_Toc77074967" w:history="1">
        <w:r w:rsidR="00332A29" w:rsidRPr="00427970">
          <w:rPr>
            <w:rStyle w:val="Hypertextovodkaz"/>
            <w:noProof/>
          </w:rPr>
          <w:t>Obrázek 4.1: Migrační změna/saldo obyvatel statutárního města Zlína</w:t>
        </w:r>
        <w:r w:rsidR="00332A29">
          <w:rPr>
            <w:noProof/>
            <w:webHidden/>
          </w:rPr>
          <w:tab/>
        </w:r>
        <w:r w:rsidR="00332A29">
          <w:rPr>
            <w:noProof/>
            <w:webHidden/>
          </w:rPr>
          <w:fldChar w:fldCharType="begin"/>
        </w:r>
        <w:r w:rsidR="00332A29">
          <w:rPr>
            <w:noProof/>
            <w:webHidden/>
          </w:rPr>
          <w:instrText xml:space="preserve"> PAGEREF _Toc77074967 \h </w:instrText>
        </w:r>
        <w:r w:rsidR="00332A29">
          <w:rPr>
            <w:noProof/>
            <w:webHidden/>
          </w:rPr>
        </w:r>
        <w:r w:rsidR="00332A29">
          <w:rPr>
            <w:noProof/>
            <w:webHidden/>
          </w:rPr>
          <w:fldChar w:fldCharType="separate"/>
        </w:r>
        <w:r w:rsidR="00332A29">
          <w:rPr>
            <w:noProof/>
            <w:webHidden/>
          </w:rPr>
          <w:t>340</w:t>
        </w:r>
        <w:r w:rsidR="00332A29">
          <w:rPr>
            <w:noProof/>
            <w:webHidden/>
          </w:rPr>
          <w:fldChar w:fldCharType="end"/>
        </w:r>
      </w:hyperlink>
    </w:p>
    <w:p w14:paraId="43536A7F" w14:textId="77777777" w:rsidR="00332A29" w:rsidRDefault="00183F7E">
      <w:pPr>
        <w:pStyle w:val="Seznamobrzk"/>
        <w:tabs>
          <w:tab w:val="right" w:leader="dot" w:pos="9062"/>
        </w:tabs>
        <w:rPr>
          <w:rFonts w:eastAsiaTheme="minorEastAsia"/>
          <w:noProof/>
          <w:lang w:eastAsia="cs-CZ"/>
        </w:rPr>
      </w:pPr>
      <w:hyperlink w:anchor="_Toc77074968" w:history="1">
        <w:r w:rsidR="00332A29" w:rsidRPr="00427970">
          <w:rPr>
            <w:rStyle w:val="Hypertextovodkaz"/>
            <w:noProof/>
          </w:rPr>
          <w:t>Obrázek 4.2:  Vývoj počtu ekonomických subjektů na území města Zlína v období 2013 – 2019</w:t>
        </w:r>
        <w:r w:rsidR="00332A29">
          <w:rPr>
            <w:noProof/>
            <w:webHidden/>
          </w:rPr>
          <w:tab/>
        </w:r>
        <w:r w:rsidR="00332A29">
          <w:rPr>
            <w:noProof/>
            <w:webHidden/>
          </w:rPr>
          <w:fldChar w:fldCharType="begin"/>
        </w:r>
        <w:r w:rsidR="00332A29">
          <w:rPr>
            <w:noProof/>
            <w:webHidden/>
          </w:rPr>
          <w:instrText xml:space="preserve"> PAGEREF _Toc77074968 \h </w:instrText>
        </w:r>
        <w:r w:rsidR="00332A29">
          <w:rPr>
            <w:noProof/>
            <w:webHidden/>
          </w:rPr>
        </w:r>
        <w:r w:rsidR="00332A29">
          <w:rPr>
            <w:noProof/>
            <w:webHidden/>
          </w:rPr>
          <w:fldChar w:fldCharType="separate"/>
        </w:r>
        <w:r w:rsidR="00332A29">
          <w:rPr>
            <w:noProof/>
            <w:webHidden/>
          </w:rPr>
          <w:t>344</w:t>
        </w:r>
        <w:r w:rsidR="00332A29">
          <w:rPr>
            <w:noProof/>
            <w:webHidden/>
          </w:rPr>
          <w:fldChar w:fldCharType="end"/>
        </w:r>
      </w:hyperlink>
    </w:p>
    <w:p w14:paraId="72295330" w14:textId="77777777" w:rsidR="00332A29" w:rsidRDefault="00183F7E">
      <w:pPr>
        <w:pStyle w:val="Seznamobrzk"/>
        <w:tabs>
          <w:tab w:val="right" w:leader="dot" w:pos="9062"/>
        </w:tabs>
        <w:rPr>
          <w:rFonts w:eastAsiaTheme="minorEastAsia"/>
          <w:noProof/>
          <w:lang w:eastAsia="cs-CZ"/>
        </w:rPr>
      </w:pPr>
      <w:hyperlink w:anchor="_Toc77074969" w:history="1">
        <w:r w:rsidR="00332A29" w:rsidRPr="00427970">
          <w:rPr>
            <w:rStyle w:val="Hypertextovodkaz"/>
            <w:noProof/>
          </w:rPr>
          <w:t>Obrázek 4.3: Vývoj počtu ekonomických subjektů vzhledem k ekonomicky aktivnímu obyvatelstvu na území města Zlína v období 2013 – 2019</w:t>
        </w:r>
        <w:r w:rsidR="00332A29">
          <w:rPr>
            <w:noProof/>
            <w:webHidden/>
          </w:rPr>
          <w:tab/>
        </w:r>
        <w:r w:rsidR="00332A29">
          <w:rPr>
            <w:noProof/>
            <w:webHidden/>
          </w:rPr>
          <w:fldChar w:fldCharType="begin"/>
        </w:r>
        <w:r w:rsidR="00332A29">
          <w:rPr>
            <w:noProof/>
            <w:webHidden/>
          </w:rPr>
          <w:instrText xml:space="preserve"> PAGEREF _Toc77074969 \h </w:instrText>
        </w:r>
        <w:r w:rsidR="00332A29">
          <w:rPr>
            <w:noProof/>
            <w:webHidden/>
          </w:rPr>
        </w:r>
        <w:r w:rsidR="00332A29">
          <w:rPr>
            <w:noProof/>
            <w:webHidden/>
          </w:rPr>
          <w:fldChar w:fldCharType="separate"/>
        </w:r>
        <w:r w:rsidR="00332A29">
          <w:rPr>
            <w:noProof/>
            <w:webHidden/>
          </w:rPr>
          <w:t>344</w:t>
        </w:r>
        <w:r w:rsidR="00332A29">
          <w:rPr>
            <w:noProof/>
            <w:webHidden/>
          </w:rPr>
          <w:fldChar w:fldCharType="end"/>
        </w:r>
      </w:hyperlink>
    </w:p>
    <w:p w14:paraId="36695C76" w14:textId="77777777" w:rsidR="00332A29" w:rsidRDefault="00183F7E">
      <w:pPr>
        <w:pStyle w:val="Seznamobrzk"/>
        <w:tabs>
          <w:tab w:val="right" w:leader="dot" w:pos="9062"/>
        </w:tabs>
        <w:rPr>
          <w:rFonts w:eastAsiaTheme="minorEastAsia"/>
          <w:noProof/>
          <w:lang w:eastAsia="cs-CZ"/>
        </w:rPr>
      </w:pPr>
      <w:hyperlink w:anchor="_Toc77074970" w:history="1">
        <w:r w:rsidR="00332A29" w:rsidRPr="00427970">
          <w:rPr>
            <w:rStyle w:val="Hypertextovodkaz"/>
            <w:noProof/>
          </w:rPr>
          <w:t>Obrázek 4.4:  Vývoj podílu nezaměstnaných osob ve městě Zlíně, SO ORP Zlín a Zlínském kraji za jednotlivé měsíce od roku 2014</w:t>
        </w:r>
        <w:r w:rsidR="00332A29">
          <w:rPr>
            <w:noProof/>
            <w:webHidden/>
          </w:rPr>
          <w:tab/>
        </w:r>
        <w:r w:rsidR="00332A29">
          <w:rPr>
            <w:noProof/>
            <w:webHidden/>
          </w:rPr>
          <w:fldChar w:fldCharType="begin"/>
        </w:r>
        <w:r w:rsidR="00332A29">
          <w:rPr>
            <w:noProof/>
            <w:webHidden/>
          </w:rPr>
          <w:instrText xml:space="preserve"> PAGEREF _Toc77074970 \h </w:instrText>
        </w:r>
        <w:r w:rsidR="00332A29">
          <w:rPr>
            <w:noProof/>
            <w:webHidden/>
          </w:rPr>
        </w:r>
        <w:r w:rsidR="00332A29">
          <w:rPr>
            <w:noProof/>
            <w:webHidden/>
          </w:rPr>
          <w:fldChar w:fldCharType="separate"/>
        </w:r>
        <w:r w:rsidR="00332A29">
          <w:rPr>
            <w:noProof/>
            <w:webHidden/>
          </w:rPr>
          <w:t>345</w:t>
        </w:r>
        <w:r w:rsidR="00332A29">
          <w:rPr>
            <w:noProof/>
            <w:webHidden/>
          </w:rPr>
          <w:fldChar w:fldCharType="end"/>
        </w:r>
      </w:hyperlink>
    </w:p>
    <w:p w14:paraId="030CF6CF" w14:textId="77777777" w:rsidR="00332A29" w:rsidRDefault="00183F7E">
      <w:pPr>
        <w:pStyle w:val="Seznamobrzk"/>
        <w:tabs>
          <w:tab w:val="right" w:leader="dot" w:pos="9062"/>
        </w:tabs>
        <w:rPr>
          <w:rFonts w:eastAsiaTheme="minorEastAsia"/>
          <w:noProof/>
          <w:lang w:eastAsia="cs-CZ"/>
        </w:rPr>
      </w:pPr>
      <w:hyperlink w:anchor="_Toc77074971" w:history="1">
        <w:r w:rsidR="00332A29" w:rsidRPr="00427970">
          <w:rPr>
            <w:rStyle w:val="Hypertextovodkaz"/>
            <w:noProof/>
          </w:rPr>
          <w:t>Obrázek 4.5: Vývoj dělby přepravní práce</w:t>
        </w:r>
        <w:r w:rsidR="00332A29">
          <w:rPr>
            <w:noProof/>
            <w:webHidden/>
          </w:rPr>
          <w:tab/>
        </w:r>
        <w:r w:rsidR="00332A29">
          <w:rPr>
            <w:noProof/>
            <w:webHidden/>
          </w:rPr>
          <w:fldChar w:fldCharType="begin"/>
        </w:r>
        <w:r w:rsidR="00332A29">
          <w:rPr>
            <w:noProof/>
            <w:webHidden/>
          </w:rPr>
          <w:instrText xml:space="preserve"> PAGEREF _Toc77074971 \h </w:instrText>
        </w:r>
        <w:r w:rsidR="00332A29">
          <w:rPr>
            <w:noProof/>
            <w:webHidden/>
          </w:rPr>
        </w:r>
        <w:r w:rsidR="00332A29">
          <w:rPr>
            <w:noProof/>
            <w:webHidden/>
          </w:rPr>
          <w:fldChar w:fldCharType="separate"/>
        </w:r>
        <w:r w:rsidR="00332A29">
          <w:rPr>
            <w:noProof/>
            <w:webHidden/>
          </w:rPr>
          <w:t>347</w:t>
        </w:r>
        <w:r w:rsidR="00332A29">
          <w:rPr>
            <w:noProof/>
            <w:webHidden/>
          </w:rPr>
          <w:fldChar w:fldCharType="end"/>
        </w:r>
      </w:hyperlink>
    </w:p>
    <w:p w14:paraId="236511CF" w14:textId="77777777" w:rsidR="00332A29" w:rsidRDefault="00183F7E">
      <w:pPr>
        <w:pStyle w:val="Seznamobrzk"/>
        <w:tabs>
          <w:tab w:val="right" w:leader="dot" w:pos="9062"/>
        </w:tabs>
        <w:rPr>
          <w:rFonts w:eastAsiaTheme="minorEastAsia"/>
          <w:noProof/>
          <w:lang w:eastAsia="cs-CZ"/>
        </w:rPr>
      </w:pPr>
      <w:hyperlink w:anchor="_Toc77074972" w:history="1">
        <w:r w:rsidR="00332A29" w:rsidRPr="00427970">
          <w:rPr>
            <w:rStyle w:val="Hypertextovodkaz"/>
            <w:noProof/>
          </w:rPr>
          <w:t xml:space="preserve">Obrázek 4.6: Počet přepravených osob zlínské MHD a podíl skupin cestujících (2013 </w:t>
        </w:r>
        <w:r w:rsidR="00332A29" w:rsidRPr="00427970">
          <w:rPr>
            <w:rStyle w:val="Hypertextovodkaz"/>
            <w:noProof/>
          </w:rPr>
          <w:sym w:font="Symbol" w:char="F02D"/>
        </w:r>
        <w:r w:rsidR="00332A29" w:rsidRPr="00427970">
          <w:rPr>
            <w:rStyle w:val="Hypertextovodkaz"/>
            <w:noProof/>
          </w:rPr>
          <w:t xml:space="preserve"> 2019)</w:t>
        </w:r>
        <w:r w:rsidR="00332A29">
          <w:rPr>
            <w:noProof/>
            <w:webHidden/>
          </w:rPr>
          <w:tab/>
        </w:r>
        <w:r w:rsidR="00332A29">
          <w:rPr>
            <w:noProof/>
            <w:webHidden/>
          </w:rPr>
          <w:fldChar w:fldCharType="begin"/>
        </w:r>
        <w:r w:rsidR="00332A29">
          <w:rPr>
            <w:noProof/>
            <w:webHidden/>
          </w:rPr>
          <w:instrText xml:space="preserve"> PAGEREF _Toc77074972 \h </w:instrText>
        </w:r>
        <w:r w:rsidR="00332A29">
          <w:rPr>
            <w:noProof/>
            <w:webHidden/>
          </w:rPr>
        </w:r>
        <w:r w:rsidR="00332A29">
          <w:rPr>
            <w:noProof/>
            <w:webHidden/>
          </w:rPr>
          <w:fldChar w:fldCharType="separate"/>
        </w:r>
        <w:r w:rsidR="00332A29">
          <w:rPr>
            <w:noProof/>
            <w:webHidden/>
          </w:rPr>
          <w:t>347</w:t>
        </w:r>
        <w:r w:rsidR="00332A29">
          <w:rPr>
            <w:noProof/>
            <w:webHidden/>
          </w:rPr>
          <w:fldChar w:fldCharType="end"/>
        </w:r>
      </w:hyperlink>
    </w:p>
    <w:p w14:paraId="7768E4ED" w14:textId="77777777" w:rsidR="00332A29" w:rsidRDefault="00183F7E">
      <w:pPr>
        <w:pStyle w:val="Seznamobrzk"/>
        <w:tabs>
          <w:tab w:val="right" w:leader="dot" w:pos="9062"/>
        </w:tabs>
        <w:rPr>
          <w:rFonts w:eastAsiaTheme="minorEastAsia"/>
          <w:noProof/>
          <w:lang w:eastAsia="cs-CZ"/>
        </w:rPr>
      </w:pPr>
      <w:hyperlink w:anchor="_Toc77074973" w:history="1">
        <w:r w:rsidR="00332A29" w:rsidRPr="00427970">
          <w:rPr>
            <w:rStyle w:val="Hypertextovodkaz"/>
            <w:noProof/>
          </w:rPr>
          <w:t>Obrázek 4.7: Podíl množství skládkovaného odpadu na celkovém množství odpadů města Zlína</w:t>
        </w:r>
        <w:r w:rsidR="00332A29">
          <w:rPr>
            <w:noProof/>
            <w:webHidden/>
          </w:rPr>
          <w:tab/>
        </w:r>
        <w:r w:rsidR="00332A29">
          <w:rPr>
            <w:noProof/>
            <w:webHidden/>
          </w:rPr>
          <w:fldChar w:fldCharType="begin"/>
        </w:r>
        <w:r w:rsidR="00332A29">
          <w:rPr>
            <w:noProof/>
            <w:webHidden/>
          </w:rPr>
          <w:instrText xml:space="preserve"> PAGEREF _Toc77074973 \h </w:instrText>
        </w:r>
        <w:r w:rsidR="00332A29">
          <w:rPr>
            <w:noProof/>
            <w:webHidden/>
          </w:rPr>
        </w:r>
        <w:r w:rsidR="00332A29">
          <w:rPr>
            <w:noProof/>
            <w:webHidden/>
          </w:rPr>
          <w:fldChar w:fldCharType="separate"/>
        </w:r>
        <w:r w:rsidR="00332A29">
          <w:rPr>
            <w:noProof/>
            <w:webHidden/>
          </w:rPr>
          <w:t>350</w:t>
        </w:r>
        <w:r w:rsidR="00332A29">
          <w:rPr>
            <w:noProof/>
            <w:webHidden/>
          </w:rPr>
          <w:fldChar w:fldCharType="end"/>
        </w:r>
      </w:hyperlink>
    </w:p>
    <w:p w14:paraId="0E2347D2" w14:textId="77777777" w:rsidR="00332A29" w:rsidRDefault="00183F7E">
      <w:pPr>
        <w:pStyle w:val="Seznamobrzk"/>
        <w:tabs>
          <w:tab w:val="right" w:leader="dot" w:pos="9062"/>
        </w:tabs>
        <w:rPr>
          <w:rFonts w:eastAsiaTheme="minorEastAsia"/>
          <w:noProof/>
          <w:lang w:eastAsia="cs-CZ"/>
        </w:rPr>
      </w:pPr>
      <w:hyperlink w:anchor="_Toc77074974" w:history="1">
        <w:r w:rsidR="00332A29" w:rsidRPr="00427970">
          <w:rPr>
            <w:rStyle w:val="Hypertextovodkaz"/>
            <w:noProof/>
          </w:rPr>
          <w:t>Obrázek 4.8: Vývoj počtu obyvatel města a SO ORP Zlín dle prognózy do roku 2040</w:t>
        </w:r>
        <w:r w:rsidR="00332A29">
          <w:rPr>
            <w:noProof/>
            <w:webHidden/>
          </w:rPr>
          <w:tab/>
        </w:r>
        <w:r w:rsidR="00332A29">
          <w:rPr>
            <w:noProof/>
            <w:webHidden/>
          </w:rPr>
          <w:fldChar w:fldCharType="begin"/>
        </w:r>
        <w:r w:rsidR="00332A29">
          <w:rPr>
            <w:noProof/>
            <w:webHidden/>
          </w:rPr>
          <w:instrText xml:space="preserve"> PAGEREF _Toc77074974 \h </w:instrText>
        </w:r>
        <w:r w:rsidR="00332A29">
          <w:rPr>
            <w:noProof/>
            <w:webHidden/>
          </w:rPr>
        </w:r>
        <w:r w:rsidR="00332A29">
          <w:rPr>
            <w:noProof/>
            <w:webHidden/>
          </w:rPr>
          <w:fldChar w:fldCharType="separate"/>
        </w:r>
        <w:r w:rsidR="00332A29">
          <w:rPr>
            <w:noProof/>
            <w:webHidden/>
          </w:rPr>
          <w:t>358</w:t>
        </w:r>
        <w:r w:rsidR="00332A29">
          <w:rPr>
            <w:noProof/>
            <w:webHidden/>
          </w:rPr>
          <w:fldChar w:fldCharType="end"/>
        </w:r>
      </w:hyperlink>
    </w:p>
    <w:p w14:paraId="7A86F02B" w14:textId="77777777" w:rsidR="00332A29" w:rsidRDefault="00183F7E">
      <w:pPr>
        <w:pStyle w:val="Seznamobrzk"/>
        <w:tabs>
          <w:tab w:val="right" w:leader="dot" w:pos="9062"/>
        </w:tabs>
        <w:rPr>
          <w:rFonts w:eastAsiaTheme="minorEastAsia"/>
          <w:noProof/>
          <w:lang w:eastAsia="cs-CZ"/>
        </w:rPr>
      </w:pPr>
      <w:hyperlink w:anchor="_Toc77074975" w:history="1">
        <w:r w:rsidR="00332A29" w:rsidRPr="00427970">
          <w:rPr>
            <w:rStyle w:val="Hypertextovodkaz"/>
            <w:noProof/>
          </w:rPr>
          <w:t>Obrázek 4.9: Věková pyramida města Zlín</w:t>
        </w:r>
        <w:r w:rsidR="00332A29">
          <w:rPr>
            <w:noProof/>
            <w:webHidden/>
          </w:rPr>
          <w:tab/>
        </w:r>
        <w:r w:rsidR="00332A29">
          <w:rPr>
            <w:noProof/>
            <w:webHidden/>
          </w:rPr>
          <w:fldChar w:fldCharType="begin"/>
        </w:r>
        <w:r w:rsidR="00332A29">
          <w:rPr>
            <w:noProof/>
            <w:webHidden/>
          </w:rPr>
          <w:instrText xml:space="preserve"> PAGEREF _Toc77074975 \h </w:instrText>
        </w:r>
        <w:r w:rsidR="00332A29">
          <w:rPr>
            <w:noProof/>
            <w:webHidden/>
          </w:rPr>
        </w:r>
        <w:r w:rsidR="00332A29">
          <w:rPr>
            <w:noProof/>
            <w:webHidden/>
          </w:rPr>
          <w:fldChar w:fldCharType="separate"/>
        </w:r>
        <w:r w:rsidR="00332A29">
          <w:rPr>
            <w:noProof/>
            <w:webHidden/>
          </w:rPr>
          <w:t>360</w:t>
        </w:r>
        <w:r w:rsidR="00332A29">
          <w:rPr>
            <w:noProof/>
            <w:webHidden/>
          </w:rPr>
          <w:fldChar w:fldCharType="end"/>
        </w:r>
      </w:hyperlink>
    </w:p>
    <w:p w14:paraId="25B89A42" w14:textId="77777777" w:rsidR="00332A29" w:rsidRDefault="00183F7E">
      <w:pPr>
        <w:pStyle w:val="Seznamobrzk"/>
        <w:tabs>
          <w:tab w:val="right" w:leader="dot" w:pos="9062"/>
        </w:tabs>
        <w:rPr>
          <w:rFonts w:eastAsiaTheme="minorEastAsia"/>
          <w:noProof/>
          <w:lang w:eastAsia="cs-CZ"/>
        </w:rPr>
      </w:pPr>
      <w:hyperlink w:anchor="_Toc77074976" w:history="1">
        <w:r w:rsidR="00332A29" w:rsidRPr="00427970">
          <w:rPr>
            <w:rStyle w:val="Hypertextovodkaz"/>
            <w:noProof/>
          </w:rPr>
          <w:t>Obrázek 4.10: Podíl dětské a seniorské složky obyvatel ve městě Zlín</w:t>
        </w:r>
        <w:r w:rsidR="00332A29">
          <w:rPr>
            <w:noProof/>
            <w:webHidden/>
          </w:rPr>
          <w:tab/>
        </w:r>
        <w:r w:rsidR="00332A29">
          <w:rPr>
            <w:noProof/>
            <w:webHidden/>
          </w:rPr>
          <w:fldChar w:fldCharType="begin"/>
        </w:r>
        <w:r w:rsidR="00332A29">
          <w:rPr>
            <w:noProof/>
            <w:webHidden/>
          </w:rPr>
          <w:instrText xml:space="preserve"> PAGEREF _Toc77074976 \h </w:instrText>
        </w:r>
        <w:r w:rsidR="00332A29">
          <w:rPr>
            <w:noProof/>
            <w:webHidden/>
          </w:rPr>
        </w:r>
        <w:r w:rsidR="00332A29">
          <w:rPr>
            <w:noProof/>
            <w:webHidden/>
          </w:rPr>
          <w:fldChar w:fldCharType="separate"/>
        </w:r>
        <w:r w:rsidR="00332A29">
          <w:rPr>
            <w:noProof/>
            <w:webHidden/>
          </w:rPr>
          <w:t>361</w:t>
        </w:r>
        <w:r w:rsidR="00332A29">
          <w:rPr>
            <w:noProof/>
            <w:webHidden/>
          </w:rPr>
          <w:fldChar w:fldCharType="end"/>
        </w:r>
      </w:hyperlink>
    </w:p>
    <w:p w14:paraId="36029A89" w14:textId="77777777" w:rsidR="00332A29" w:rsidRDefault="00183F7E">
      <w:pPr>
        <w:pStyle w:val="Seznamobrzk"/>
        <w:tabs>
          <w:tab w:val="right" w:leader="dot" w:pos="9062"/>
        </w:tabs>
        <w:rPr>
          <w:rFonts w:eastAsiaTheme="minorEastAsia"/>
          <w:noProof/>
          <w:lang w:eastAsia="cs-CZ"/>
        </w:rPr>
      </w:pPr>
      <w:hyperlink w:anchor="_Toc77074977" w:history="1">
        <w:r w:rsidR="00332A29" w:rsidRPr="00427970">
          <w:rPr>
            <w:rStyle w:val="Hypertextovodkaz"/>
            <w:noProof/>
          </w:rPr>
          <w:t xml:space="preserve">Obrázek 4.11: Počet obsazených pracovních míst (2004 </w:t>
        </w:r>
        <w:r w:rsidR="00332A29" w:rsidRPr="00427970">
          <w:rPr>
            <w:rStyle w:val="Hypertextovodkaz"/>
            <w:noProof/>
          </w:rPr>
          <w:sym w:font="Symbol" w:char="F02D"/>
        </w:r>
        <w:r w:rsidR="00332A29" w:rsidRPr="00427970">
          <w:rPr>
            <w:rStyle w:val="Hypertextovodkaz"/>
            <w:noProof/>
          </w:rPr>
          <w:t xml:space="preserve"> 2018)</w:t>
        </w:r>
        <w:r w:rsidR="00332A29">
          <w:rPr>
            <w:noProof/>
            <w:webHidden/>
          </w:rPr>
          <w:tab/>
        </w:r>
        <w:r w:rsidR="00332A29">
          <w:rPr>
            <w:noProof/>
            <w:webHidden/>
          </w:rPr>
          <w:fldChar w:fldCharType="begin"/>
        </w:r>
        <w:r w:rsidR="00332A29">
          <w:rPr>
            <w:noProof/>
            <w:webHidden/>
          </w:rPr>
          <w:instrText xml:space="preserve"> PAGEREF _Toc77074977 \h </w:instrText>
        </w:r>
        <w:r w:rsidR="00332A29">
          <w:rPr>
            <w:noProof/>
            <w:webHidden/>
          </w:rPr>
        </w:r>
        <w:r w:rsidR="00332A29">
          <w:rPr>
            <w:noProof/>
            <w:webHidden/>
          </w:rPr>
          <w:fldChar w:fldCharType="separate"/>
        </w:r>
        <w:r w:rsidR="00332A29">
          <w:rPr>
            <w:noProof/>
            <w:webHidden/>
          </w:rPr>
          <w:t>361</w:t>
        </w:r>
        <w:r w:rsidR="00332A29">
          <w:rPr>
            <w:noProof/>
            <w:webHidden/>
          </w:rPr>
          <w:fldChar w:fldCharType="end"/>
        </w:r>
      </w:hyperlink>
    </w:p>
    <w:p w14:paraId="1CEF5B54" w14:textId="77777777" w:rsidR="00332A29" w:rsidRDefault="00183F7E">
      <w:pPr>
        <w:pStyle w:val="Seznamobrzk"/>
        <w:tabs>
          <w:tab w:val="right" w:leader="dot" w:pos="9062"/>
        </w:tabs>
        <w:rPr>
          <w:rFonts w:eastAsiaTheme="minorEastAsia"/>
          <w:noProof/>
          <w:lang w:eastAsia="cs-CZ"/>
        </w:rPr>
      </w:pPr>
      <w:hyperlink w:anchor="_Toc77074978" w:history="1">
        <w:r w:rsidR="00332A29" w:rsidRPr="00427970">
          <w:rPr>
            <w:rStyle w:val="Hypertextovodkaz"/>
            <w:noProof/>
          </w:rPr>
          <w:t xml:space="preserve">Obrázek 4.12: Vývoj přímých zahraničních investic od roku 2007 </w:t>
        </w:r>
        <w:r w:rsidR="00332A29" w:rsidRPr="00427970">
          <w:rPr>
            <w:rStyle w:val="Hypertextovodkaz"/>
            <w:noProof/>
          </w:rPr>
          <w:sym w:font="Symbol" w:char="F02D"/>
        </w:r>
        <w:r w:rsidR="00332A29" w:rsidRPr="00427970">
          <w:rPr>
            <w:rStyle w:val="Hypertextovodkaz"/>
            <w:noProof/>
          </w:rPr>
          <w:t xml:space="preserve"> 2018</w:t>
        </w:r>
        <w:r w:rsidR="00332A29">
          <w:rPr>
            <w:noProof/>
            <w:webHidden/>
          </w:rPr>
          <w:tab/>
        </w:r>
        <w:r w:rsidR="00332A29">
          <w:rPr>
            <w:noProof/>
            <w:webHidden/>
          </w:rPr>
          <w:fldChar w:fldCharType="begin"/>
        </w:r>
        <w:r w:rsidR="00332A29">
          <w:rPr>
            <w:noProof/>
            <w:webHidden/>
          </w:rPr>
          <w:instrText xml:space="preserve"> PAGEREF _Toc77074978 \h </w:instrText>
        </w:r>
        <w:r w:rsidR="00332A29">
          <w:rPr>
            <w:noProof/>
            <w:webHidden/>
          </w:rPr>
        </w:r>
        <w:r w:rsidR="00332A29">
          <w:rPr>
            <w:noProof/>
            <w:webHidden/>
          </w:rPr>
          <w:fldChar w:fldCharType="separate"/>
        </w:r>
        <w:r w:rsidR="00332A29">
          <w:rPr>
            <w:noProof/>
            <w:webHidden/>
          </w:rPr>
          <w:t>363</w:t>
        </w:r>
        <w:r w:rsidR="00332A29">
          <w:rPr>
            <w:noProof/>
            <w:webHidden/>
          </w:rPr>
          <w:fldChar w:fldCharType="end"/>
        </w:r>
      </w:hyperlink>
    </w:p>
    <w:p w14:paraId="258F6C06" w14:textId="77777777" w:rsidR="00332A29" w:rsidRDefault="00183F7E">
      <w:pPr>
        <w:pStyle w:val="Seznamobrzk"/>
        <w:tabs>
          <w:tab w:val="right" w:leader="dot" w:pos="9062"/>
        </w:tabs>
        <w:rPr>
          <w:rFonts w:eastAsiaTheme="minorEastAsia"/>
          <w:noProof/>
          <w:lang w:eastAsia="cs-CZ"/>
        </w:rPr>
      </w:pPr>
      <w:hyperlink w:anchor="_Toc77074979" w:history="1">
        <w:r w:rsidR="00332A29" w:rsidRPr="00427970">
          <w:rPr>
            <w:rStyle w:val="Hypertextovodkaz"/>
            <w:noProof/>
          </w:rPr>
          <w:t>Obrázek 4.13: Strom problémů</w:t>
        </w:r>
        <w:r w:rsidR="00332A29">
          <w:rPr>
            <w:noProof/>
            <w:webHidden/>
          </w:rPr>
          <w:tab/>
        </w:r>
        <w:r w:rsidR="00332A29">
          <w:rPr>
            <w:noProof/>
            <w:webHidden/>
          </w:rPr>
          <w:fldChar w:fldCharType="begin"/>
        </w:r>
        <w:r w:rsidR="00332A29">
          <w:rPr>
            <w:noProof/>
            <w:webHidden/>
          </w:rPr>
          <w:instrText xml:space="preserve"> PAGEREF _Toc77074979 \h </w:instrText>
        </w:r>
        <w:r w:rsidR="00332A29">
          <w:rPr>
            <w:noProof/>
            <w:webHidden/>
          </w:rPr>
        </w:r>
        <w:r w:rsidR="00332A29">
          <w:rPr>
            <w:noProof/>
            <w:webHidden/>
          </w:rPr>
          <w:fldChar w:fldCharType="separate"/>
        </w:r>
        <w:r w:rsidR="00332A29">
          <w:rPr>
            <w:noProof/>
            <w:webHidden/>
          </w:rPr>
          <w:t>368</w:t>
        </w:r>
        <w:r w:rsidR="00332A29">
          <w:rPr>
            <w:noProof/>
            <w:webHidden/>
          </w:rPr>
          <w:fldChar w:fldCharType="end"/>
        </w:r>
      </w:hyperlink>
    </w:p>
    <w:p w14:paraId="75EE17FE" w14:textId="7056CC04" w:rsidR="00694C39" w:rsidRDefault="008F3784" w:rsidP="00694C39">
      <w:r>
        <w:fldChar w:fldCharType="end"/>
      </w:r>
    </w:p>
    <w:p w14:paraId="4CDDAA1E" w14:textId="77777777" w:rsidR="00694C39" w:rsidRDefault="00694C39">
      <w:pPr>
        <w:spacing w:before="0" w:after="160" w:line="259" w:lineRule="auto"/>
        <w:jc w:val="left"/>
      </w:pPr>
      <w:r>
        <w:br w:type="page"/>
      </w:r>
    </w:p>
    <w:p w14:paraId="512EF681" w14:textId="4A1B5AFE" w:rsidR="00205721" w:rsidRDefault="00205721" w:rsidP="00D13577">
      <w:pPr>
        <w:pStyle w:val="Nadpis2"/>
      </w:pPr>
      <w:bookmarkStart w:id="536" w:name="_Toc77074617"/>
      <w:r>
        <w:t>Zdroje dat</w:t>
      </w:r>
      <w:bookmarkEnd w:id="536"/>
    </w:p>
    <w:p w14:paraId="38324A88" w14:textId="77777777" w:rsidR="007A5C52" w:rsidRDefault="007A5C52" w:rsidP="007A5C52">
      <w:pPr>
        <w:rPr>
          <w:rFonts w:cstheme="minorHAnsi"/>
        </w:rPr>
      </w:pPr>
      <w:r w:rsidRPr="00DA7ABE">
        <w:rPr>
          <w:rFonts w:cstheme="minorHAnsi"/>
        </w:rPr>
        <w:t>Anketní šetření spokojenosti obyvatel města Zlín 2020</w:t>
      </w:r>
      <w:r>
        <w:rPr>
          <w:rFonts w:cstheme="minorHAnsi"/>
        </w:rPr>
        <w:t>, PROCES</w:t>
      </w:r>
    </w:p>
    <w:p w14:paraId="5851EA06" w14:textId="77777777" w:rsidR="006F3CC1" w:rsidRPr="007A5C52" w:rsidRDefault="006F3CC1" w:rsidP="006F3CC1">
      <w:pPr>
        <w:pStyle w:val="Textpoznpodarou"/>
        <w:rPr>
          <w:rStyle w:val="Siln"/>
          <w:rFonts w:cstheme="minorHAnsi"/>
          <w:b w:val="0"/>
          <w:color w:val="000000"/>
          <w:spacing w:val="-2"/>
          <w:sz w:val="22"/>
          <w:szCs w:val="22"/>
          <w:shd w:val="clear" w:color="auto" w:fill="FFFFFF"/>
        </w:rPr>
      </w:pPr>
      <w:r w:rsidRPr="009102E9">
        <w:rPr>
          <w:rFonts w:cstheme="minorHAnsi"/>
          <w:sz w:val="22"/>
          <w:szCs w:val="22"/>
        </w:rPr>
        <w:t>ArcČR:</w:t>
      </w:r>
      <w:r w:rsidRPr="009102E9">
        <w:rPr>
          <w:rFonts w:cstheme="minorHAnsi"/>
          <w:b/>
          <w:sz w:val="22"/>
          <w:szCs w:val="22"/>
        </w:rPr>
        <w:t xml:space="preserve"> </w:t>
      </w:r>
      <w:r w:rsidRPr="007A5C52">
        <w:rPr>
          <w:rStyle w:val="Siln"/>
          <w:rFonts w:cstheme="minorHAnsi"/>
          <w:b w:val="0"/>
          <w:color w:val="000000"/>
          <w:spacing w:val="-2"/>
          <w:sz w:val="22"/>
          <w:szCs w:val="22"/>
          <w:shd w:val="clear" w:color="auto" w:fill="FFFFFF"/>
        </w:rPr>
        <w:t>Digitální vektorová geografická databáze České republiky ArcČR 500</w:t>
      </w:r>
    </w:p>
    <w:p w14:paraId="598BC0E5" w14:textId="77777777" w:rsidR="006F3CC1" w:rsidRPr="00D11702" w:rsidRDefault="00183F7E" w:rsidP="006F3CC1">
      <w:pPr>
        <w:rPr>
          <w:rStyle w:val="Hypertextovodkaz"/>
          <w:color w:val="auto"/>
          <w:u w:val="none"/>
        </w:rPr>
      </w:pPr>
      <w:hyperlink r:id="rId164" w:history="1">
        <w:r w:rsidR="006F3CC1" w:rsidRPr="00D11702">
          <w:rPr>
            <w:rStyle w:val="Hypertextovodkaz"/>
            <w:color w:val="auto"/>
            <w:u w:val="none"/>
          </w:rPr>
          <w:t>https://www.arcdata.cz/produkty/geograficka-data/arccr-500</w:t>
        </w:r>
      </w:hyperlink>
    </w:p>
    <w:p w14:paraId="5C514EFF" w14:textId="77777777" w:rsidR="007A5C52" w:rsidRDefault="007A5C52" w:rsidP="007A5C52">
      <w:r>
        <w:t>AMSP ČR, Analýza maloobchodu 2019</w:t>
      </w:r>
    </w:p>
    <w:p w14:paraId="36506A13" w14:textId="77777777" w:rsidR="007A5C52" w:rsidRDefault="007A5C52" w:rsidP="007A5C52">
      <w:pPr>
        <w:rPr>
          <w:rFonts w:cstheme="minorHAnsi"/>
        </w:rPr>
      </w:pPr>
      <w:r w:rsidRPr="00DA7ABE">
        <w:rPr>
          <w:rFonts w:cstheme="minorHAnsi"/>
        </w:rPr>
        <w:t>Anketní šetření spokojenosti obyvatel města Zlín 2020</w:t>
      </w:r>
    </w:p>
    <w:p w14:paraId="58A1A73C" w14:textId="71E42069" w:rsidR="007A5C52" w:rsidRDefault="007A5C52" w:rsidP="007A5C52">
      <w:r w:rsidRPr="009B646C">
        <w:t>Baťa, T. Úvahy a projevy. Zlín: UTB, 2002</w:t>
      </w:r>
      <w:r w:rsidR="0023746C">
        <w:t xml:space="preserve">, </w:t>
      </w:r>
      <w:r>
        <w:t>Český statistický úřad</w:t>
      </w:r>
    </w:p>
    <w:p w14:paraId="6173ED6D" w14:textId="77777777" w:rsidR="006F3CC1" w:rsidRDefault="006F3CC1" w:rsidP="006F3CC1">
      <w:r>
        <w:t>Beran V., Říhová L. (2017): Dostupnost dat mezi zainteresovanými institucemi v oblasti exekucí. VÚPSV</w:t>
      </w:r>
    </w:p>
    <w:p w14:paraId="37685F71" w14:textId="77777777" w:rsidR="006F3CC1" w:rsidRPr="009102E9" w:rsidRDefault="006F3CC1" w:rsidP="006F3CC1">
      <w:pPr>
        <w:pStyle w:val="Textpoznpodarou"/>
        <w:rPr>
          <w:sz w:val="22"/>
          <w:szCs w:val="22"/>
        </w:rPr>
      </w:pPr>
      <w:r w:rsidRPr="009102E9">
        <w:rPr>
          <w:sz w:val="22"/>
          <w:szCs w:val="22"/>
        </w:rPr>
        <w:t>CENIA: Národní geoportál INSPIRE</w:t>
      </w:r>
    </w:p>
    <w:p w14:paraId="3A223AA8" w14:textId="77777777" w:rsidR="006F3CC1" w:rsidRPr="00D11702" w:rsidRDefault="00183F7E" w:rsidP="006F3CC1">
      <w:pPr>
        <w:pStyle w:val="Textpoznpodarou"/>
        <w:rPr>
          <w:sz w:val="22"/>
          <w:szCs w:val="22"/>
        </w:rPr>
      </w:pPr>
      <w:hyperlink r:id="rId165" w:history="1">
        <w:r w:rsidR="006F3CC1" w:rsidRPr="00D11702">
          <w:rPr>
            <w:rStyle w:val="Hypertextovodkaz"/>
            <w:color w:val="auto"/>
            <w:sz w:val="22"/>
            <w:szCs w:val="22"/>
            <w:u w:val="none"/>
          </w:rPr>
          <w:t>https://geoportal.gov.cz/web/guest/home</w:t>
        </w:r>
      </w:hyperlink>
    </w:p>
    <w:p w14:paraId="4E31193F" w14:textId="77777777" w:rsidR="006F3CC1" w:rsidRPr="009102E9" w:rsidRDefault="006F3CC1" w:rsidP="006F3CC1">
      <w:pPr>
        <w:pStyle w:val="Textpoznpodarou"/>
        <w:rPr>
          <w:sz w:val="22"/>
          <w:szCs w:val="22"/>
        </w:rPr>
      </w:pPr>
      <w:r w:rsidRPr="009102E9">
        <w:rPr>
          <w:sz w:val="22"/>
          <w:szCs w:val="22"/>
        </w:rPr>
        <w:t>CENIA (2020): Zpráva o životním prostředí ve Zlínském kraji v roce 2018</w:t>
      </w:r>
    </w:p>
    <w:p w14:paraId="4CA25409" w14:textId="77777777" w:rsidR="006F3CC1" w:rsidRPr="00D11702" w:rsidRDefault="00183F7E" w:rsidP="006F3CC1">
      <w:pPr>
        <w:pStyle w:val="Textpoznpodarou"/>
        <w:rPr>
          <w:sz w:val="22"/>
          <w:szCs w:val="22"/>
        </w:rPr>
      </w:pPr>
      <w:hyperlink r:id="rId166" w:history="1">
        <w:r w:rsidR="006F3CC1" w:rsidRPr="00D11702">
          <w:rPr>
            <w:rStyle w:val="Hypertextovodkaz"/>
            <w:color w:val="auto"/>
            <w:sz w:val="22"/>
            <w:szCs w:val="22"/>
            <w:u w:val="none"/>
          </w:rPr>
          <w:t>https://www.cenia.cz/publikace/krajske-zpravy/zpravy-o-zivotnim-prostredi-v-krajich-2018/</w:t>
        </w:r>
      </w:hyperlink>
    </w:p>
    <w:p w14:paraId="028F6D8D" w14:textId="77777777" w:rsidR="007A5C52" w:rsidRPr="00D11702" w:rsidRDefault="007A5C52" w:rsidP="007A5C52">
      <w:r>
        <w:t xml:space="preserve">Centrum dopravního výzkumu (2012): Strategie bezpečnosti silničního provozu ve Zlínském kraji na období 2012–2020. </w:t>
      </w:r>
      <w:hyperlink r:id="rId167" w:history="1">
        <w:r w:rsidRPr="00D11702">
          <w:rPr>
            <w:rStyle w:val="Hypertextovodkaz"/>
            <w:color w:val="auto"/>
            <w:u w:val="none"/>
          </w:rPr>
          <w:t>https://www.kr-zlinsky.cz/strategie-bezpecnosti-silnicniho-provozu-zlinskeho-kraje-na-obdobi-2012-2020-cl-2014.html</w:t>
        </w:r>
      </w:hyperlink>
    </w:p>
    <w:p w14:paraId="0A7EC86C" w14:textId="77777777" w:rsidR="006F3CC1" w:rsidRPr="00BB5485" w:rsidRDefault="006F3CC1" w:rsidP="006F3CC1">
      <w:pPr>
        <w:pStyle w:val="Textpoznpodarou"/>
        <w:rPr>
          <w:iCs/>
          <w:sz w:val="22"/>
          <w:szCs w:val="22"/>
        </w:rPr>
      </w:pPr>
      <w:r w:rsidRPr="009102E9">
        <w:rPr>
          <w:sz w:val="22"/>
          <w:szCs w:val="22"/>
        </w:rPr>
        <w:t xml:space="preserve">ČHMÚ: </w:t>
      </w:r>
      <w:r w:rsidRPr="00BB5485">
        <w:rPr>
          <w:iCs/>
          <w:sz w:val="22"/>
          <w:szCs w:val="22"/>
        </w:rPr>
        <w:t>Územní srážky, Územní teploty</w:t>
      </w:r>
    </w:p>
    <w:p w14:paraId="3CDB80F8" w14:textId="77777777" w:rsidR="006F3CC1" w:rsidRPr="00D11702" w:rsidRDefault="00183F7E" w:rsidP="006F3CC1">
      <w:pPr>
        <w:pStyle w:val="Textpoznpodarou"/>
        <w:rPr>
          <w:rStyle w:val="Hypertextovodkaz"/>
          <w:color w:val="auto"/>
          <w:sz w:val="22"/>
          <w:szCs w:val="22"/>
          <w:u w:val="none"/>
        </w:rPr>
      </w:pPr>
      <w:hyperlink r:id="rId168" w:history="1">
        <w:r w:rsidR="006F3CC1" w:rsidRPr="00D11702">
          <w:rPr>
            <w:rStyle w:val="Hypertextovodkaz"/>
            <w:color w:val="auto"/>
            <w:sz w:val="22"/>
            <w:szCs w:val="22"/>
            <w:u w:val="none"/>
          </w:rPr>
          <w:t>http://portal.chmi.cz/historicka-data/pocasi/uzemni-srazky</w:t>
        </w:r>
      </w:hyperlink>
    </w:p>
    <w:p w14:paraId="4BEF8A9A" w14:textId="77777777" w:rsidR="006F3CC1" w:rsidRPr="009102E9" w:rsidRDefault="006F3CC1" w:rsidP="006F3CC1">
      <w:pPr>
        <w:pStyle w:val="Textpoznpodarou"/>
        <w:rPr>
          <w:sz w:val="22"/>
          <w:szCs w:val="22"/>
        </w:rPr>
      </w:pPr>
      <w:r w:rsidRPr="009102E9">
        <w:rPr>
          <w:sz w:val="22"/>
          <w:szCs w:val="22"/>
        </w:rPr>
        <w:t>ČHMÚ: Pětileté průměrné koncentrace</w:t>
      </w:r>
    </w:p>
    <w:p w14:paraId="3FA50DFD" w14:textId="77777777" w:rsidR="006F3CC1" w:rsidRPr="00D11702" w:rsidRDefault="00183F7E" w:rsidP="006F3CC1">
      <w:pPr>
        <w:pStyle w:val="Textpoznpodarou"/>
        <w:rPr>
          <w:sz w:val="22"/>
          <w:szCs w:val="22"/>
        </w:rPr>
      </w:pPr>
      <w:hyperlink r:id="rId169" w:history="1">
        <w:r w:rsidR="006F3CC1" w:rsidRPr="00D11702">
          <w:rPr>
            <w:rStyle w:val="Hypertextovodkaz"/>
            <w:color w:val="auto"/>
            <w:sz w:val="22"/>
            <w:szCs w:val="22"/>
            <w:u w:val="none"/>
          </w:rPr>
          <w:t>http://portal.chmi.cz/files/portal/docs/uoco/isko/ozko/ozko_CZ.html</w:t>
        </w:r>
      </w:hyperlink>
    </w:p>
    <w:p w14:paraId="3A1666CC" w14:textId="77777777" w:rsidR="006F3CC1" w:rsidRPr="009102E9" w:rsidRDefault="006F3CC1" w:rsidP="006F3CC1">
      <w:pPr>
        <w:pStyle w:val="Textpoznpodarou"/>
        <w:rPr>
          <w:sz w:val="22"/>
          <w:szCs w:val="22"/>
        </w:rPr>
      </w:pPr>
      <w:r w:rsidRPr="009102E9">
        <w:rPr>
          <w:sz w:val="22"/>
          <w:szCs w:val="22"/>
        </w:rPr>
        <w:t>ČHMÚ (2019): Znečištění ovzduší na území České republiky v roce 2018</w:t>
      </w:r>
    </w:p>
    <w:p w14:paraId="08726951" w14:textId="77777777" w:rsidR="006F3CC1" w:rsidRPr="00D11702" w:rsidRDefault="00183F7E" w:rsidP="006F3CC1">
      <w:pPr>
        <w:pStyle w:val="Textpoznpodarou"/>
        <w:rPr>
          <w:sz w:val="22"/>
          <w:szCs w:val="22"/>
        </w:rPr>
      </w:pPr>
      <w:hyperlink r:id="rId170" w:history="1">
        <w:r w:rsidR="006F3CC1" w:rsidRPr="00D11702">
          <w:rPr>
            <w:rStyle w:val="Hypertextovodkaz"/>
            <w:color w:val="auto"/>
            <w:sz w:val="22"/>
            <w:szCs w:val="22"/>
            <w:u w:val="none"/>
          </w:rPr>
          <w:t>http://portal.chmi.cz/files/portal/docs/uoco/isko/grafroc/18groc/gr18cz/KO_rocenka_2018.pdf</w:t>
        </w:r>
      </w:hyperlink>
    </w:p>
    <w:p w14:paraId="5AD6EF6A" w14:textId="77777777" w:rsidR="007A5C52" w:rsidRDefault="007A5C52" w:rsidP="007A5C52">
      <w:r>
        <w:t>Český statistický úřad, veřejná databáze, SLDB</w:t>
      </w:r>
    </w:p>
    <w:p w14:paraId="35471A78" w14:textId="77777777" w:rsidR="007A5C52" w:rsidRPr="00D11702" w:rsidRDefault="007A5C52" w:rsidP="007A5C52">
      <w:r>
        <w:t xml:space="preserve">ČSÚ (2020): Kriminalita, nehody. </w:t>
      </w:r>
      <w:hyperlink r:id="rId171" w:history="1">
        <w:r w:rsidRPr="00D11702">
          <w:rPr>
            <w:rStyle w:val="Hypertextovodkaz"/>
            <w:color w:val="auto"/>
            <w:u w:val="none"/>
          </w:rPr>
          <w:t>https://vdb.czso.cz/</w:t>
        </w:r>
      </w:hyperlink>
    </w:p>
    <w:p w14:paraId="283F0DA9" w14:textId="77777777" w:rsidR="006F3CC1" w:rsidRPr="009102E9" w:rsidRDefault="006F3CC1" w:rsidP="006F3CC1">
      <w:pPr>
        <w:pStyle w:val="Textpoznpodarou"/>
        <w:rPr>
          <w:sz w:val="22"/>
          <w:szCs w:val="22"/>
        </w:rPr>
      </w:pPr>
      <w:r w:rsidRPr="009102E9">
        <w:rPr>
          <w:sz w:val="22"/>
          <w:szCs w:val="22"/>
        </w:rPr>
        <w:t>ČSÚ: Územně analytické podklady, údaje za rok 2009 a 2019</w:t>
      </w:r>
    </w:p>
    <w:p w14:paraId="15FBDFF1" w14:textId="77777777" w:rsidR="006F3CC1" w:rsidRPr="00D11702" w:rsidRDefault="00183F7E" w:rsidP="006F3CC1">
      <w:pPr>
        <w:pStyle w:val="Textpoznpodarou"/>
        <w:rPr>
          <w:sz w:val="22"/>
          <w:szCs w:val="22"/>
        </w:rPr>
      </w:pPr>
      <w:hyperlink r:id="rId172" w:history="1">
        <w:r w:rsidR="006F3CC1" w:rsidRPr="00D11702">
          <w:rPr>
            <w:rStyle w:val="Hypertextovodkaz"/>
            <w:color w:val="auto"/>
            <w:sz w:val="22"/>
            <w:szCs w:val="22"/>
            <w:u w:val="none"/>
          </w:rPr>
          <w:t>https://www.czso.cz/csu/czso/csu_a_uzemne_analyticke_podklady</w:t>
        </w:r>
      </w:hyperlink>
    </w:p>
    <w:p w14:paraId="7ACAE854" w14:textId="77777777" w:rsidR="006F3CC1" w:rsidRPr="009102E9" w:rsidRDefault="006F3CC1" w:rsidP="006F3CC1">
      <w:pPr>
        <w:pStyle w:val="Textpoznpodarou"/>
        <w:rPr>
          <w:sz w:val="22"/>
          <w:szCs w:val="22"/>
        </w:rPr>
      </w:pPr>
      <w:r w:rsidRPr="009102E9">
        <w:rPr>
          <w:sz w:val="22"/>
          <w:szCs w:val="22"/>
        </w:rPr>
        <w:t>ČÚZK: Geoportál</w:t>
      </w:r>
    </w:p>
    <w:p w14:paraId="553FDF2B" w14:textId="77777777" w:rsidR="006F3CC1" w:rsidRPr="00D11702" w:rsidRDefault="00183F7E" w:rsidP="006F3CC1">
      <w:pPr>
        <w:pStyle w:val="Textpoznpodarou"/>
        <w:rPr>
          <w:sz w:val="22"/>
          <w:szCs w:val="22"/>
        </w:rPr>
      </w:pPr>
      <w:hyperlink r:id="rId173" w:history="1">
        <w:r w:rsidR="006F3CC1" w:rsidRPr="00D11702">
          <w:rPr>
            <w:rStyle w:val="Hypertextovodkaz"/>
            <w:color w:val="auto"/>
            <w:sz w:val="22"/>
            <w:szCs w:val="22"/>
            <w:u w:val="none"/>
          </w:rPr>
          <w:t>https://geoportal.cuzk.cz/</w:t>
        </w:r>
      </w:hyperlink>
    </w:p>
    <w:p w14:paraId="4B1E7F2A" w14:textId="05691F3A" w:rsidR="007A5C52" w:rsidRPr="00D11702" w:rsidRDefault="007A5C52" w:rsidP="007A5C52">
      <w:r>
        <w:t>Dokument Krajského akčního plánu rozvoje vzdělávání pro území Zlínského kraje, dostupné na</w:t>
      </w:r>
      <w:r w:rsidR="00D046E4">
        <w:t>:</w:t>
      </w:r>
      <w:r>
        <w:t xml:space="preserve"> </w:t>
      </w:r>
      <w:hyperlink r:id="rId174" w:history="1">
        <w:r w:rsidRPr="00D11702">
          <w:rPr>
            <w:rStyle w:val="Hypertextovodkaz"/>
            <w:color w:val="auto"/>
            <w:u w:val="none"/>
          </w:rPr>
          <w:t>https://www.kr-zlinsky.cz/krajsky-akcni-plan-rozvoje-vzdelavani-cl-4067.html</w:t>
        </w:r>
      </w:hyperlink>
    </w:p>
    <w:p w14:paraId="6C015E59" w14:textId="2CDFB0D7" w:rsidR="007A5C52" w:rsidRPr="00D11702" w:rsidRDefault="007A5C52" w:rsidP="007A5C52">
      <w:r>
        <w:t>Dlouhodobý záměr vzdělávání a rozvoj vzdělávací soustavy Zlínského kraje 2020, dostupné na</w:t>
      </w:r>
      <w:r w:rsidR="00D046E4">
        <w:t>:</w:t>
      </w:r>
      <w:r>
        <w:t xml:space="preserve"> </w:t>
      </w:r>
      <w:hyperlink r:id="rId175" w:history="1">
        <w:r w:rsidRPr="00D11702">
          <w:rPr>
            <w:rStyle w:val="Hypertextovodkaz"/>
            <w:color w:val="auto"/>
            <w:u w:val="none"/>
          </w:rPr>
          <w:t>https://www.kr-zlinsky.cz/strategicke-a-koncepcni-dokumenty-cl-47.html</w:t>
        </w:r>
      </w:hyperlink>
    </w:p>
    <w:p w14:paraId="0E6149D1" w14:textId="77777777" w:rsidR="006F3CC1" w:rsidRDefault="006F3CC1" w:rsidP="006F3CC1">
      <w:pPr>
        <w:pStyle w:val="Textpoznpodarou"/>
        <w:rPr>
          <w:sz w:val="22"/>
          <w:szCs w:val="22"/>
        </w:rPr>
      </w:pPr>
      <w:r>
        <w:rPr>
          <w:sz w:val="22"/>
          <w:szCs w:val="22"/>
        </w:rPr>
        <w:t>Dům kultury: pronájem</w:t>
      </w:r>
    </w:p>
    <w:p w14:paraId="45599E8F" w14:textId="77777777" w:rsidR="006F3CC1" w:rsidRPr="002A197C" w:rsidRDefault="00183F7E" w:rsidP="006F3CC1">
      <w:pPr>
        <w:pStyle w:val="Textpoznpodarou"/>
        <w:rPr>
          <w:sz w:val="22"/>
          <w:szCs w:val="22"/>
        </w:rPr>
      </w:pPr>
      <w:hyperlink r:id="rId176" w:history="1">
        <w:r w:rsidR="006F3CC1" w:rsidRPr="003C3465">
          <w:rPr>
            <w:sz w:val="22"/>
            <w:szCs w:val="22"/>
          </w:rPr>
          <w:t>https://www.dkzlin.com/</w:t>
        </w:r>
      </w:hyperlink>
    </w:p>
    <w:p w14:paraId="1A24A04E" w14:textId="77777777" w:rsidR="006F3CC1" w:rsidRPr="009102E9" w:rsidRDefault="006F3CC1" w:rsidP="006F3CC1">
      <w:pPr>
        <w:pStyle w:val="Textpoznpodarou"/>
        <w:rPr>
          <w:sz w:val="22"/>
          <w:szCs w:val="22"/>
        </w:rPr>
      </w:pPr>
      <w:r w:rsidRPr="009102E9">
        <w:rPr>
          <w:sz w:val="22"/>
          <w:szCs w:val="22"/>
        </w:rPr>
        <w:t>EKOLA GROUP (2019): Akční plán protihlukových opatření pro hlavní pozemní komunikace ve vlastnictví Zlínského kraje</w:t>
      </w:r>
    </w:p>
    <w:p w14:paraId="0A268756" w14:textId="77777777" w:rsidR="006F3CC1" w:rsidRPr="00D11702" w:rsidRDefault="00183F7E" w:rsidP="006F3CC1">
      <w:pPr>
        <w:pStyle w:val="Textpoznpodarou"/>
        <w:rPr>
          <w:sz w:val="22"/>
          <w:szCs w:val="22"/>
        </w:rPr>
      </w:pPr>
      <w:hyperlink r:id="rId177" w:history="1">
        <w:r w:rsidR="006F3CC1" w:rsidRPr="00D11702">
          <w:rPr>
            <w:rStyle w:val="Hypertextovodkaz"/>
            <w:color w:val="auto"/>
            <w:sz w:val="22"/>
            <w:szCs w:val="22"/>
            <w:u w:val="none"/>
          </w:rPr>
          <w:t>https://www.kr-zlinsky.cz/akcni-plan-protihlukovych-opatreni-pro-hlavni-pozemni-komunikace-ve-vlastnictvi-zlinskeho-kraje-cl-4673.html</w:t>
        </w:r>
      </w:hyperlink>
    </w:p>
    <w:p w14:paraId="0322AE29" w14:textId="747D5141" w:rsidR="006F3CC1" w:rsidRPr="009102E9" w:rsidRDefault="006F3CC1" w:rsidP="006F3CC1">
      <w:pPr>
        <w:pStyle w:val="Textpoznpodarou"/>
        <w:rPr>
          <w:sz w:val="22"/>
          <w:szCs w:val="22"/>
        </w:rPr>
      </w:pPr>
      <w:r w:rsidRPr="009102E9">
        <w:rPr>
          <w:sz w:val="22"/>
          <w:szCs w:val="22"/>
        </w:rPr>
        <w:t>ENVIPROJEKT (2017)</w:t>
      </w:r>
      <w:r w:rsidR="005668E1">
        <w:rPr>
          <w:sz w:val="22"/>
          <w:szCs w:val="22"/>
        </w:rPr>
        <w:t>: Plán odpadového hospodářství s</w:t>
      </w:r>
      <w:r w:rsidRPr="009102E9">
        <w:rPr>
          <w:sz w:val="22"/>
          <w:szCs w:val="22"/>
        </w:rPr>
        <w:t>tatutárního města Zlína (2017</w:t>
      </w:r>
      <w:r w:rsidR="00D45B0B">
        <w:rPr>
          <w:sz w:val="22"/>
          <w:szCs w:val="22"/>
        </w:rPr>
        <w:t xml:space="preserve"> </w:t>
      </w:r>
      <w:r w:rsidRPr="009102E9">
        <w:rPr>
          <w:sz w:val="22"/>
          <w:szCs w:val="22"/>
        </w:rPr>
        <w:t>–</w:t>
      </w:r>
      <w:r w:rsidR="00D45B0B">
        <w:rPr>
          <w:sz w:val="22"/>
          <w:szCs w:val="22"/>
        </w:rPr>
        <w:t xml:space="preserve"> </w:t>
      </w:r>
      <w:r w:rsidRPr="009102E9">
        <w:rPr>
          <w:sz w:val="22"/>
          <w:szCs w:val="22"/>
        </w:rPr>
        <w:t>2021)</w:t>
      </w:r>
    </w:p>
    <w:p w14:paraId="64800C0C" w14:textId="77777777" w:rsidR="006F3CC1" w:rsidRPr="00D11702" w:rsidRDefault="00183F7E" w:rsidP="006F3CC1">
      <w:pPr>
        <w:pStyle w:val="Textpoznpodarou"/>
        <w:rPr>
          <w:sz w:val="22"/>
          <w:szCs w:val="22"/>
        </w:rPr>
      </w:pPr>
      <w:hyperlink r:id="rId178" w:history="1">
        <w:r w:rsidR="006F3CC1" w:rsidRPr="00D11702">
          <w:rPr>
            <w:rStyle w:val="Hypertextovodkaz"/>
            <w:color w:val="auto"/>
            <w:sz w:val="22"/>
            <w:szCs w:val="22"/>
            <w:u w:val="none"/>
          </w:rPr>
          <w:t>https://www.zlin.eu/clanky/dokumenty/2599/657edibw058v-plan-odpadoveho-hospodarstvi-smz-2017-2021.pdf</w:t>
        </w:r>
      </w:hyperlink>
    </w:p>
    <w:p w14:paraId="1F5B0833" w14:textId="77777777" w:rsidR="006F3CC1" w:rsidRPr="009102E9" w:rsidRDefault="006F3CC1" w:rsidP="006F3CC1">
      <w:pPr>
        <w:pStyle w:val="Textpoznpodarou"/>
        <w:rPr>
          <w:sz w:val="22"/>
          <w:szCs w:val="22"/>
        </w:rPr>
      </w:pPr>
      <w:r w:rsidRPr="009102E9">
        <w:rPr>
          <w:sz w:val="22"/>
          <w:szCs w:val="22"/>
        </w:rPr>
        <w:t>ENVITECH BOHEMIA (2015): Analýza ovzduší ve Zlínském kraji ve vztahu k lokálním topeništím</w:t>
      </w:r>
    </w:p>
    <w:p w14:paraId="02563CDC" w14:textId="77777777" w:rsidR="006F3CC1" w:rsidRPr="00D11702" w:rsidRDefault="00183F7E" w:rsidP="006F3CC1">
      <w:pPr>
        <w:pStyle w:val="Textpoznpodarou"/>
        <w:rPr>
          <w:sz w:val="22"/>
          <w:szCs w:val="22"/>
        </w:rPr>
      </w:pPr>
      <w:hyperlink r:id="rId179" w:history="1">
        <w:r w:rsidR="006F3CC1" w:rsidRPr="00D11702">
          <w:rPr>
            <w:rStyle w:val="Hypertextovodkaz"/>
            <w:color w:val="auto"/>
            <w:sz w:val="22"/>
            <w:szCs w:val="22"/>
            <w:u w:val="none"/>
          </w:rPr>
          <w:t>http://mail.envitech.sk/ovzdusizlin/spravy/AnalyzaOvzdusiZKTopeniste2015.pdf</w:t>
        </w:r>
      </w:hyperlink>
    </w:p>
    <w:p w14:paraId="41697D78" w14:textId="77777777" w:rsidR="006F3CC1" w:rsidRPr="009102E9" w:rsidRDefault="006F3CC1" w:rsidP="006F3CC1">
      <w:pPr>
        <w:pStyle w:val="Textpoznpodarou"/>
        <w:rPr>
          <w:sz w:val="22"/>
          <w:szCs w:val="22"/>
        </w:rPr>
      </w:pPr>
      <w:r w:rsidRPr="009102E9">
        <w:rPr>
          <w:sz w:val="22"/>
          <w:szCs w:val="22"/>
        </w:rPr>
        <w:t>ENVITECH BOHEMIA (2020): Vyhodnocení kvality ovzduší v lokalitě Zlín – Kvítková Rok 2019</w:t>
      </w:r>
    </w:p>
    <w:p w14:paraId="06FF2B42" w14:textId="77777777" w:rsidR="006F3CC1" w:rsidRPr="00D11702" w:rsidRDefault="00183F7E" w:rsidP="006F3CC1">
      <w:pPr>
        <w:pStyle w:val="Textpoznpodarou"/>
        <w:rPr>
          <w:sz w:val="22"/>
          <w:szCs w:val="22"/>
        </w:rPr>
      </w:pPr>
      <w:hyperlink r:id="rId180" w:history="1">
        <w:r w:rsidR="006F3CC1" w:rsidRPr="00D11702">
          <w:rPr>
            <w:rStyle w:val="Hypertextovodkaz"/>
            <w:color w:val="auto"/>
            <w:sz w:val="22"/>
            <w:szCs w:val="22"/>
            <w:u w:val="none"/>
          </w:rPr>
          <w:t>http://www.zlin.eu/clanky/dokumenty/7839/914433lx5wk8-zprava-o-kvalite-ovzdusi-v-lokalite-zlin-kvitkova-za-rok-2019.pdf</w:t>
        </w:r>
      </w:hyperlink>
    </w:p>
    <w:p w14:paraId="0B9B7004" w14:textId="77777777" w:rsidR="007A5C52" w:rsidRDefault="007A5C52" w:rsidP="007A5C52">
      <w:r w:rsidRPr="005B7853">
        <w:t>GfK, Diviš, Dvorský, Tisková zpráva Kupní síla průměrného Čecha se meziročně zvýšila o 1000 Kč měsíčně. 2019</w:t>
      </w:r>
    </w:p>
    <w:p w14:paraId="644138DE" w14:textId="77777777" w:rsidR="007A5C52" w:rsidRDefault="007A5C52" w:rsidP="007A5C52">
      <w:r>
        <w:t>GRETA PUBLIC (2017): Vnímání pocitu bezpečí obyvatel města Zlína.</w:t>
      </w:r>
    </w:p>
    <w:p w14:paraId="352F8972" w14:textId="77777777" w:rsidR="007A5C52" w:rsidRPr="00D11702" w:rsidRDefault="00183F7E" w:rsidP="007A5C52">
      <w:hyperlink r:id="rId181" w:history="1">
        <w:r w:rsidR="007A5C52" w:rsidRPr="00D11702">
          <w:rPr>
            <w:rStyle w:val="Hypertextovodkaz"/>
            <w:color w:val="auto"/>
            <w:u w:val="none"/>
          </w:rPr>
          <w:t>https://www.zlin.eu/clanky/dokumenty/2625/0hhiy4dk-vnimani-pocitu-bezpeci-obyvatel-zlina.pdf</w:t>
        </w:r>
      </w:hyperlink>
    </w:p>
    <w:p w14:paraId="7BB8AA5C" w14:textId="77777777" w:rsidR="007A5C52" w:rsidRDefault="007A5C52" w:rsidP="007A5C52">
      <w:r>
        <w:t>Hasičský záchranný sbor Zlínského kraje (2019): Statistická ročenka 2019</w:t>
      </w:r>
    </w:p>
    <w:p w14:paraId="766C845A" w14:textId="77777777" w:rsidR="007A5C52" w:rsidRPr="00D11702" w:rsidRDefault="00183F7E" w:rsidP="007A5C52">
      <w:hyperlink r:id="rId182" w:history="1">
        <w:r w:rsidR="007A5C52" w:rsidRPr="00D11702">
          <w:rPr>
            <w:rStyle w:val="Hypertextovodkaz"/>
            <w:color w:val="auto"/>
            <w:u w:val="none"/>
          </w:rPr>
          <w:t>https://www.hzscr.cz/clanek/statisticka-rocenka-hzs-zlinskeho-kraje.aspx</w:t>
        </w:r>
      </w:hyperlink>
    </w:p>
    <w:p w14:paraId="3E3A05C1" w14:textId="77777777" w:rsidR="007A5C52" w:rsidRPr="0027436A" w:rsidRDefault="007A5C52" w:rsidP="007A5C52">
      <w:pPr>
        <w:jc w:val="left"/>
        <w:rPr>
          <w:rFonts w:cstheme="minorHAnsi"/>
        </w:rPr>
      </w:pPr>
      <w:r w:rsidRPr="0027436A">
        <w:rPr>
          <w:rFonts w:cstheme="minorHAnsi"/>
        </w:rPr>
        <w:t>HaskoningDHV Czech Republic, spol. s r.o., SUMF – Strategický rámec udržitelné městské mobility, 2018</w:t>
      </w:r>
      <w:r w:rsidRPr="00D11702">
        <w:rPr>
          <w:rFonts w:cstheme="minorHAnsi"/>
        </w:rPr>
        <w:t xml:space="preserve">, </w:t>
      </w:r>
      <w:hyperlink r:id="rId183" w:history="1">
        <w:r w:rsidRPr="00D11702">
          <w:rPr>
            <w:rStyle w:val="Hypertextovodkaz"/>
            <w:rFonts w:cstheme="minorHAnsi"/>
            <w:color w:val="auto"/>
            <w:u w:val="none"/>
          </w:rPr>
          <w:t>https://www.zlin.eu/sumf-strategicky-ramec-udrzitelne-mestske-mobility-cl-3770.html</w:t>
        </w:r>
      </w:hyperlink>
    </w:p>
    <w:p w14:paraId="10ED61BC" w14:textId="77777777" w:rsidR="007A5C52" w:rsidRDefault="007A5C52" w:rsidP="007A5C52">
      <w:r w:rsidRPr="00B314BE">
        <w:t>Informační strategie statutárního města Zlín na období let 2019 – 2024</w:t>
      </w:r>
    </w:p>
    <w:p w14:paraId="7DCB1E31" w14:textId="77777777" w:rsidR="007A5C52" w:rsidRPr="006926D2" w:rsidRDefault="007A5C52" w:rsidP="007A5C52">
      <w:r>
        <w:t>Integrovaný plán rozvoje území Zlín pro období 2014 - 2020</w:t>
      </w:r>
    </w:p>
    <w:p w14:paraId="062B321C" w14:textId="74524724" w:rsidR="006F3CC1" w:rsidRPr="00D11702" w:rsidRDefault="00183F7E" w:rsidP="007A5C52">
      <w:hyperlink r:id="rId184" w:history="1">
        <w:r w:rsidR="007A5C52" w:rsidRPr="00D11702">
          <w:rPr>
            <w:rStyle w:val="Hypertextovodkaz"/>
            <w:color w:val="auto"/>
            <w:u w:val="none"/>
          </w:rPr>
          <w:t>https://www.zlin.eu/clanky/dokumenty/5648/c74l5e4wti8t-integrovany-plan-rozvoje-uzemi-zlin-pro-obdobi-2014-2020---verze-2-9.pdf</w:t>
        </w:r>
      </w:hyperlink>
      <w:r w:rsidR="006F3CC1" w:rsidRPr="00D11702">
        <w:t>IRZ: Integrovaný registr znečišťování</w:t>
      </w:r>
    </w:p>
    <w:p w14:paraId="422E1950" w14:textId="77777777" w:rsidR="006F3CC1" w:rsidRPr="00D11702" w:rsidRDefault="00183F7E" w:rsidP="006F3CC1">
      <w:hyperlink r:id="rId185" w:history="1">
        <w:r w:rsidR="006F3CC1" w:rsidRPr="00D11702">
          <w:rPr>
            <w:rStyle w:val="Hypertextovodkaz"/>
            <w:color w:val="auto"/>
            <w:u w:val="none"/>
          </w:rPr>
          <w:t>https://www.irz.cz/</w:t>
        </w:r>
      </w:hyperlink>
    </w:p>
    <w:p w14:paraId="7D8DF44A" w14:textId="77777777" w:rsidR="006F3CC1" w:rsidRPr="00D046E4" w:rsidRDefault="006F3CC1" w:rsidP="006F3CC1">
      <w:pPr>
        <w:rPr>
          <w:rStyle w:val="Hypertextovodkaz"/>
          <w:color w:val="000000" w:themeColor="text1"/>
          <w:u w:val="none"/>
        </w:rPr>
      </w:pPr>
      <w:r w:rsidRPr="00D046E4">
        <w:rPr>
          <w:rStyle w:val="Hypertextovodkaz"/>
          <w:color w:val="000000" w:themeColor="text1"/>
          <w:u w:val="none"/>
        </w:rPr>
        <w:t>KNTB (2015): Výroční zpráva 2015</w:t>
      </w:r>
    </w:p>
    <w:p w14:paraId="49E1C01B" w14:textId="77777777" w:rsidR="006F3CC1" w:rsidRPr="00D11702" w:rsidRDefault="00183F7E" w:rsidP="006F3CC1">
      <w:pPr>
        <w:rPr>
          <w:rStyle w:val="Hypertextovodkaz"/>
          <w:color w:val="auto"/>
          <w:u w:val="none"/>
        </w:rPr>
      </w:pPr>
      <w:hyperlink r:id="rId186" w:history="1">
        <w:r w:rsidR="006F3CC1" w:rsidRPr="00D11702">
          <w:rPr>
            <w:rStyle w:val="Hypertextovodkaz"/>
            <w:color w:val="auto"/>
            <w:u w:val="none"/>
          </w:rPr>
          <w:t>https://www.kntb.cz/dokumenty-uverejnovane-dle-zakona-c-902012-sb-o-obchodnich-korporacich</w:t>
        </w:r>
      </w:hyperlink>
    </w:p>
    <w:p w14:paraId="7493A425" w14:textId="77777777" w:rsidR="006F3CC1" w:rsidRPr="00D11702" w:rsidRDefault="006F3CC1" w:rsidP="006F3CC1">
      <w:pPr>
        <w:rPr>
          <w:rStyle w:val="Hypertextovodkaz"/>
          <w:color w:val="auto"/>
          <w:u w:val="none"/>
        </w:rPr>
      </w:pPr>
      <w:r w:rsidRPr="00D11702">
        <w:rPr>
          <w:rStyle w:val="Hypertextovodkaz"/>
          <w:color w:val="auto"/>
          <w:u w:val="none"/>
        </w:rPr>
        <w:t>KNTB (2019): Výroční zpráva 2019</w:t>
      </w:r>
    </w:p>
    <w:p w14:paraId="5F0D2590" w14:textId="77777777" w:rsidR="006F3CC1" w:rsidRPr="00D11702" w:rsidRDefault="00183F7E" w:rsidP="006F3CC1">
      <w:pPr>
        <w:rPr>
          <w:rStyle w:val="Hypertextovodkaz"/>
          <w:color w:val="auto"/>
          <w:u w:val="none"/>
        </w:rPr>
      </w:pPr>
      <w:hyperlink r:id="rId187" w:history="1">
        <w:r w:rsidR="006F3CC1" w:rsidRPr="00D11702">
          <w:rPr>
            <w:rStyle w:val="Hypertextovodkaz"/>
            <w:color w:val="auto"/>
            <w:u w:val="none"/>
          </w:rPr>
          <w:t>https://www.kntb.cz/dokumenty-uverejnovane-dle-zakona-c-902012-sb-o-obchodnich-korporacich</w:t>
        </w:r>
      </w:hyperlink>
    </w:p>
    <w:p w14:paraId="276BFF91" w14:textId="77777777" w:rsidR="007A5C52" w:rsidRDefault="007A5C52" w:rsidP="007A5C52">
      <w:r w:rsidRPr="00503F0C">
        <w:t>Koncepci rozvoje školství statutárního města Zlína na období let 2021 – 2027</w:t>
      </w:r>
    </w:p>
    <w:p w14:paraId="2144B1A1" w14:textId="77777777" w:rsidR="007A5C52" w:rsidRDefault="007A5C52" w:rsidP="007A5C52">
      <w:r>
        <w:t>K</w:t>
      </w:r>
      <w:r w:rsidRPr="00CD756C">
        <w:t>on</w:t>
      </w:r>
      <w:r>
        <w:t>cepce rozvoje cestovního ruchu Z</w:t>
      </w:r>
      <w:r w:rsidRPr="00CD756C">
        <w:t>línského kraje na období 2020 – 2030</w:t>
      </w:r>
      <w:r>
        <w:t xml:space="preserve"> </w:t>
      </w:r>
    </w:p>
    <w:p w14:paraId="635F2216" w14:textId="77777777" w:rsidR="007A5C52" w:rsidRPr="00D11702" w:rsidRDefault="00183F7E" w:rsidP="007A5C52">
      <w:pPr>
        <w:rPr>
          <w:rStyle w:val="Hypertextovodkaz"/>
          <w:color w:val="auto"/>
          <w:u w:val="none"/>
        </w:rPr>
      </w:pPr>
      <w:hyperlink r:id="rId188" w:history="1">
        <w:r w:rsidR="007A5C52" w:rsidRPr="00D11702">
          <w:rPr>
            <w:rStyle w:val="Hypertextovodkaz"/>
            <w:color w:val="auto"/>
            <w:u w:val="none"/>
          </w:rPr>
          <w:t>https://www.kr-zlinsky.cz/koncepce-rozvoje-cestovniho-ruchu-zlinskeho-kraje-na-obdobi-2020-2030-cl-4873.html</w:t>
        </w:r>
      </w:hyperlink>
    </w:p>
    <w:p w14:paraId="753827ED" w14:textId="77777777" w:rsidR="007A5C52" w:rsidRDefault="007A5C52" w:rsidP="007A5C52">
      <w:r w:rsidRPr="009B646C">
        <w:t>Kostka, K. Tomáš Baťa a baťovské školství. Frýdek-Místek, 2018</w:t>
      </w:r>
    </w:p>
    <w:p w14:paraId="5425DF9C" w14:textId="77777777" w:rsidR="007A5C52" w:rsidRDefault="007A5C52" w:rsidP="007A5C52">
      <w:r>
        <w:t>Magistrát města Zlína (2012): Koncepce</w:t>
      </w:r>
      <w:r w:rsidRPr="00546891">
        <w:t xml:space="preserve"> prevence kriminal</w:t>
      </w:r>
      <w:r>
        <w:t>ity na období 2012 – 2015.</w:t>
      </w:r>
    </w:p>
    <w:p w14:paraId="4C004A66" w14:textId="77777777" w:rsidR="007A5C52" w:rsidRDefault="007A5C52" w:rsidP="007A5C52">
      <w:r>
        <w:t>Magistrát města Zlína (2019): Informační strategie statutárního města Zlín na období let 2019 – 2024.</w:t>
      </w:r>
    </w:p>
    <w:p w14:paraId="42330605" w14:textId="77777777" w:rsidR="007A5C52" w:rsidRPr="00D11702" w:rsidRDefault="00183F7E" w:rsidP="007A5C52">
      <w:hyperlink r:id="rId189" w:history="1">
        <w:r w:rsidR="007A5C52" w:rsidRPr="00D11702">
          <w:rPr>
            <w:rStyle w:val="Hypertextovodkaz"/>
            <w:color w:val="auto"/>
            <w:u w:val="none"/>
          </w:rPr>
          <w:t>https://www.zlin.eu/informacni-strategie-statutarniho-mesta-zlina-na-obdobi-let-2019-2024-cl-3589.html</w:t>
        </w:r>
      </w:hyperlink>
    </w:p>
    <w:p w14:paraId="3A7AB4ED" w14:textId="77777777" w:rsidR="007A5C52" w:rsidRPr="00521C67" w:rsidRDefault="007A5C52" w:rsidP="007A5C52">
      <w:r w:rsidRPr="00521C67">
        <w:t>Magistrát města Zlína (2019): Výroční zpráva Magistrátu města Zlína a Městské policie Zlín za rok 2018</w:t>
      </w:r>
    </w:p>
    <w:p w14:paraId="7844FE2A" w14:textId="77777777" w:rsidR="007A5C52" w:rsidRPr="00D046E4" w:rsidRDefault="00183F7E" w:rsidP="007A5C52">
      <w:pPr>
        <w:pStyle w:val="Textpoznpodarou"/>
        <w:rPr>
          <w:rStyle w:val="Hypertextovodkaz"/>
          <w:color w:val="auto"/>
          <w:sz w:val="22"/>
          <w:szCs w:val="22"/>
          <w:u w:val="none"/>
        </w:rPr>
      </w:pPr>
      <w:hyperlink r:id="rId190" w:history="1">
        <w:r w:rsidR="007A5C52" w:rsidRPr="00D046E4">
          <w:rPr>
            <w:rStyle w:val="Hypertextovodkaz"/>
            <w:color w:val="auto"/>
            <w:sz w:val="22"/>
            <w:szCs w:val="22"/>
            <w:u w:val="none"/>
          </w:rPr>
          <w:t>https://www.zlin.eu/vyrocni-zprava-magistratu-mesta-zlina-cl-101.html</w:t>
        </w:r>
      </w:hyperlink>
    </w:p>
    <w:p w14:paraId="1666E48D" w14:textId="09D78B78" w:rsidR="006F3CC1" w:rsidRPr="009102E9" w:rsidRDefault="006F3CC1" w:rsidP="007A5C52">
      <w:pPr>
        <w:pStyle w:val="Textpoznpodarou"/>
        <w:rPr>
          <w:sz w:val="22"/>
          <w:szCs w:val="22"/>
        </w:rPr>
      </w:pPr>
      <w:r w:rsidRPr="009102E9">
        <w:rPr>
          <w:sz w:val="22"/>
          <w:szCs w:val="22"/>
        </w:rPr>
        <w:t>MAGISTRÁT MĚSTA ZLÍNA (2012): Strategie rozvoje statutárního města Zlína do roku 2020 – Zlín 2020.</w:t>
      </w:r>
    </w:p>
    <w:p w14:paraId="045AA388" w14:textId="77777777" w:rsidR="006F3CC1" w:rsidRPr="00D11702" w:rsidRDefault="00183F7E" w:rsidP="006F3CC1">
      <w:pPr>
        <w:rPr>
          <w:rStyle w:val="Hypertextovodkaz"/>
          <w:color w:val="auto"/>
          <w:u w:val="none"/>
        </w:rPr>
      </w:pPr>
      <w:hyperlink r:id="rId191" w:history="1">
        <w:r w:rsidR="006F3CC1" w:rsidRPr="00D11702">
          <w:rPr>
            <w:rStyle w:val="Hypertextovodkaz"/>
            <w:color w:val="auto"/>
            <w:u w:val="none"/>
          </w:rPr>
          <w:t>https://www.zlin.eu/strategie-rozvoje-statutarniho-mesta-zlina-do-roku-2020-zlin-2020-cl-750.html</w:t>
        </w:r>
      </w:hyperlink>
    </w:p>
    <w:p w14:paraId="244055A0" w14:textId="77777777" w:rsidR="006F3CC1" w:rsidRPr="009102E9" w:rsidRDefault="006F3CC1" w:rsidP="006F3CC1">
      <w:pPr>
        <w:pStyle w:val="Textpoznpodarou"/>
        <w:rPr>
          <w:sz w:val="22"/>
          <w:szCs w:val="22"/>
        </w:rPr>
      </w:pPr>
      <w:r w:rsidRPr="009102E9">
        <w:rPr>
          <w:sz w:val="22"/>
          <w:szCs w:val="22"/>
        </w:rPr>
        <w:t>MAGISTRÁT MĚSTA ZLÍNA (2017): Digitální povodňový plán města Zlína</w:t>
      </w:r>
    </w:p>
    <w:p w14:paraId="53219DF6" w14:textId="77777777" w:rsidR="006F3CC1" w:rsidRPr="00D11702" w:rsidRDefault="00183F7E" w:rsidP="006F3CC1">
      <w:pPr>
        <w:pStyle w:val="Textpoznpodarou"/>
        <w:rPr>
          <w:sz w:val="22"/>
          <w:szCs w:val="22"/>
        </w:rPr>
      </w:pPr>
      <w:hyperlink r:id="rId192" w:history="1">
        <w:r w:rsidR="006F3CC1" w:rsidRPr="00D11702">
          <w:rPr>
            <w:rStyle w:val="Hypertextovodkaz"/>
            <w:color w:val="auto"/>
            <w:sz w:val="22"/>
            <w:szCs w:val="22"/>
            <w:u w:val="none"/>
          </w:rPr>
          <w:t>https://www.zlin.eu/ochrana-pred-povodnemi-cl-230.html</w:t>
        </w:r>
      </w:hyperlink>
    </w:p>
    <w:p w14:paraId="4BB5C11B" w14:textId="77777777" w:rsidR="006F3CC1" w:rsidRDefault="006F3CC1" w:rsidP="006F3CC1">
      <w:pPr>
        <w:pStyle w:val="Textpoznpodarou"/>
        <w:rPr>
          <w:sz w:val="22"/>
          <w:szCs w:val="22"/>
        </w:rPr>
      </w:pPr>
      <w:r w:rsidRPr="009102E9">
        <w:rPr>
          <w:sz w:val="22"/>
          <w:szCs w:val="22"/>
        </w:rPr>
        <w:t>MAGISTRÁT MĚSTA ZLÍNA (2019): Výroční zpráva Magistrátu města Zlína a Městské policie Zlín za rok 2018.</w:t>
      </w:r>
    </w:p>
    <w:p w14:paraId="16BE0160" w14:textId="77777777" w:rsidR="006F3CC1" w:rsidRPr="00D11702" w:rsidRDefault="00183F7E" w:rsidP="006F3CC1">
      <w:pPr>
        <w:pStyle w:val="Textpoznpodarou"/>
        <w:rPr>
          <w:sz w:val="22"/>
          <w:szCs w:val="22"/>
        </w:rPr>
      </w:pPr>
      <w:hyperlink r:id="rId193" w:history="1">
        <w:r w:rsidR="006F3CC1" w:rsidRPr="00D11702">
          <w:rPr>
            <w:rStyle w:val="Hypertextovodkaz"/>
            <w:color w:val="auto"/>
            <w:sz w:val="22"/>
            <w:szCs w:val="22"/>
            <w:u w:val="none"/>
          </w:rPr>
          <w:t>https://www.zlin.eu/vyrocni-zprava-magistratu-mesta-zlina-cl-101.html</w:t>
        </w:r>
      </w:hyperlink>
    </w:p>
    <w:p w14:paraId="12478E2E" w14:textId="77777777" w:rsidR="006F3CC1" w:rsidRDefault="006F3CC1" w:rsidP="006F3CC1">
      <w:r>
        <w:t>Magistrát města Zlína (2019): Střednědobý plán sociálních služeb na Zlínsku na období let 2020 – 2024.</w:t>
      </w:r>
    </w:p>
    <w:p w14:paraId="5E262711" w14:textId="77777777" w:rsidR="006F3CC1" w:rsidRDefault="006F3CC1" w:rsidP="006F3CC1">
      <w:r>
        <w:t>Magistrát města Zlína (2019): Výroční zpráva Magistrátu města Zlína a Městské policie Zlín za rok 2018.</w:t>
      </w:r>
    </w:p>
    <w:p w14:paraId="78B5A564" w14:textId="77777777" w:rsidR="006F3CC1" w:rsidRDefault="006F3CC1" w:rsidP="006F3CC1">
      <w:r>
        <w:t>Magistrát města Zlína (2020): Koncepce bydlení na území statutárního města Zlína na období let 2020 – 2025.</w:t>
      </w:r>
    </w:p>
    <w:p w14:paraId="6B96F4F2" w14:textId="77777777" w:rsidR="006F3CC1" w:rsidRPr="009102E9" w:rsidRDefault="006F3CC1" w:rsidP="006F3CC1">
      <w:pPr>
        <w:pStyle w:val="Textpoznpodarou"/>
        <w:rPr>
          <w:sz w:val="22"/>
          <w:szCs w:val="22"/>
        </w:rPr>
      </w:pPr>
      <w:r>
        <w:rPr>
          <w:sz w:val="22"/>
          <w:szCs w:val="22"/>
        </w:rPr>
        <w:t xml:space="preserve">Magistrát města Zlína: Kolektivní dům 1945-1950, </w:t>
      </w:r>
      <w:r w:rsidRPr="00F8154B">
        <w:rPr>
          <w:sz w:val="22"/>
          <w:szCs w:val="22"/>
        </w:rPr>
        <w:t>https://www.zlin.eu/kolektivni-dum-1945-1950-cl-322.html</w:t>
      </w:r>
    </w:p>
    <w:p w14:paraId="193FDF6D" w14:textId="77777777" w:rsidR="006F3CC1" w:rsidRPr="00D11702" w:rsidRDefault="006F3CC1" w:rsidP="006F3CC1">
      <w:r w:rsidRPr="001E2AFD">
        <w:t xml:space="preserve">Mapa nezaměstnanosti a sociální nejistoty (2020), </w:t>
      </w:r>
      <w:hyperlink r:id="rId194" w:history="1">
        <w:r w:rsidRPr="00D11702">
          <w:rPr>
            <w:rStyle w:val="Hypertextovodkaz"/>
            <w:color w:val="auto"/>
            <w:u w:val="none"/>
          </w:rPr>
          <w:t>https://mapanezamestnanosti.cz/</w:t>
        </w:r>
      </w:hyperlink>
    </w:p>
    <w:p w14:paraId="426B27A6" w14:textId="77777777" w:rsidR="006F3CC1" w:rsidRPr="00D11702" w:rsidRDefault="006F3CC1" w:rsidP="006F3CC1">
      <w:pPr>
        <w:rPr>
          <w:rStyle w:val="Hypertextovodkaz"/>
          <w:color w:val="auto"/>
          <w:u w:val="none"/>
        </w:rPr>
      </w:pPr>
      <w:r w:rsidRPr="00D11702">
        <w:rPr>
          <w:rStyle w:val="Hypertextovodkaz"/>
          <w:color w:val="auto"/>
          <w:u w:val="none"/>
        </w:rPr>
        <w:t xml:space="preserve">Mapa exekucí (2020), </w:t>
      </w:r>
      <w:hyperlink r:id="rId195" w:history="1">
        <w:r w:rsidRPr="00D11702">
          <w:rPr>
            <w:rStyle w:val="Hypertextovodkaz"/>
            <w:color w:val="auto"/>
            <w:u w:val="none"/>
          </w:rPr>
          <w:t>http://mapaexekuci.cz/</w:t>
        </w:r>
      </w:hyperlink>
    </w:p>
    <w:p w14:paraId="7DED947D" w14:textId="77777777" w:rsidR="007A5C52" w:rsidRDefault="007A5C52" w:rsidP="007A5C52">
      <w:r>
        <w:t>Ministerstvo školství, mládeže a tělovýchovy</w:t>
      </w:r>
    </w:p>
    <w:p w14:paraId="1E668E13" w14:textId="77777777" w:rsidR="007A5C52" w:rsidRDefault="007A5C52" w:rsidP="007A5C52">
      <w:r>
        <w:t>Ministerstvo práce a sociálních věcí</w:t>
      </w:r>
    </w:p>
    <w:p w14:paraId="5F6542BF" w14:textId="77777777" w:rsidR="007A5C52" w:rsidRPr="00D11702" w:rsidRDefault="007A5C52" w:rsidP="007A5C52">
      <w:r w:rsidRPr="00113D74">
        <w:t>Místní akční plán rozvoje vzdělávání v ORP Zlín II</w:t>
      </w:r>
      <w:r>
        <w:t xml:space="preserve">, dostupné na </w:t>
      </w:r>
      <w:hyperlink r:id="rId196" w:history="1">
        <w:r w:rsidRPr="00D11702">
          <w:rPr>
            <w:rStyle w:val="Hypertextovodkaz"/>
            <w:color w:val="auto"/>
            <w:u w:val="none"/>
          </w:rPr>
          <w:t>https://www.zlin.eu/mistni-akcni-plan-rozvoje-vzdelavani-v-orp-zlin-ii-cl-3489.html</w:t>
        </w:r>
      </w:hyperlink>
    </w:p>
    <w:p w14:paraId="7C6DC2B6" w14:textId="77777777" w:rsidR="007A5C52" w:rsidRPr="002954BC" w:rsidRDefault="007A5C52" w:rsidP="007A5C52">
      <w:pPr>
        <w:pStyle w:val="Textpoznpodarou"/>
        <w:rPr>
          <w:rFonts w:cstheme="minorHAnsi"/>
          <w:sz w:val="22"/>
          <w:szCs w:val="22"/>
        </w:rPr>
      </w:pPr>
      <w:r w:rsidRPr="002954BC">
        <w:rPr>
          <w:rFonts w:cstheme="minorHAnsi"/>
          <w:sz w:val="22"/>
          <w:szCs w:val="22"/>
        </w:rPr>
        <w:t>MMR: Politika územního rozvoje České republiky, ve znění Aktualizací č. 1, 2 a 3</w:t>
      </w:r>
    </w:p>
    <w:p w14:paraId="19D3B994" w14:textId="77777777" w:rsidR="007A5C52" w:rsidRPr="00D11702" w:rsidRDefault="00183F7E" w:rsidP="007A5C52">
      <w:pPr>
        <w:pStyle w:val="Textpoznpodarou"/>
        <w:rPr>
          <w:rFonts w:cstheme="minorHAnsi"/>
          <w:sz w:val="22"/>
          <w:szCs w:val="22"/>
        </w:rPr>
      </w:pPr>
      <w:hyperlink r:id="rId197" w:history="1">
        <w:r w:rsidR="007A5C52" w:rsidRPr="00D11702">
          <w:rPr>
            <w:rStyle w:val="Hypertextovodkaz"/>
            <w:color w:val="auto"/>
            <w:sz w:val="22"/>
            <w:szCs w:val="22"/>
            <w:u w:val="none"/>
          </w:rPr>
          <w:t>https://www.mmr.cz/getmedia/647ac23c-05f7-469f-a200-af8d3be4e4ae/PUR-CR_ve_zneni_Aktualizaci_c_1_2_3_uplne_zneni.pdf.aspx?ext=.pdf</w:t>
        </w:r>
      </w:hyperlink>
    </w:p>
    <w:p w14:paraId="6A83272C" w14:textId="77777777" w:rsidR="007A5C52" w:rsidRPr="00C412EE" w:rsidRDefault="007A5C52" w:rsidP="007A5C52">
      <w:pPr>
        <w:pStyle w:val="Textpoznpodarou"/>
        <w:rPr>
          <w:sz w:val="22"/>
          <w:szCs w:val="22"/>
        </w:rPr>
      </w:pPr>
      <w:r w:rsidRPr="00C412EE">
        <w:rPr>
          <w:sz w:val="22"/>
          <w:szCs w:val="22"/>
        </w:rPr>
        <w:t>MMR</w:t>
      </w:r>
      <w:r>
        <w:rPr>
          <w:sz w:val="22"/>
          <w:szCs w:val="22"/>
        </w:rPr>
        <w:t>:</w:t>
      </w:r>
      <w:r w:rsidRPr="00C412EE">
        <w:rPr>
          <w:sz w:val="22"/>
          <w:szCs w:val="22"/>
        </w:rPr>
        <w:t xml:space="preserve"> Strategie regionálního rozvoje ČR 2021+</w:t>
      </w:r>
    </w:p>
    <w:p w14:paraId="4482BCF8" w14:textId="77777777" w:rsidR="007A5C52" w:rsidRPr="00D11702" w:rsidRDefault="00183F7E" w:rsidP="007A5C52">
      <w:hyperlink r:id="rId198" w:history="1">
        <w:r w:rsidR="007A5C52" w:rsidRPr="00D11702">
          <w:rPr>
            <w:rStyle w:val="Hypertextovodkaz"/>
            <w:color w:val="auto"/>
            <w:u w:val="none"/>
          </w:rPr>
          <w:t>https://mmr.cz/getmedia/58c57a22-202d-4374-af5d-cbd8f9454adb/SRR21.pdf.aspx?ext=.pdf</w:t>
        </w:r>
      </w:hyperlink>
    </w:p>
    <w:p w14:paraId="2D0E37F6" w14:textId="77777777" w:rsidR="007A5C52" w:rsidRDefault="007A5C52" w:rsidP="007A5C52">
      <w:r>
        <w:t>MPSV, Regionální statistika ceny práce</w:t>
      </w:r>
    </w:p>
    <w:p w14:paraId="23DCD6FC" w14:textId="77777777" w:rsidR="006F3CC1" w:rsidRPr="00B47798" w:rsidRDefault="006F3CC1" w:rsidP="006F3CC1">
      <w:r w:rsidRPr="00B47798">
        <w:t>MZČR: Hlukové mapy 2017</w:t>
      </w:r>
    </w:p>
    <w:p w14:paraId="6A30468E" w14:textId="77777777" w:rsidR="006F3CC1" w:rsidRPr="00D45B0B" w:rsidRDefault="00183F7E" w:rsidP="006F3CC1">
      <w:pPr>
        <w:rPr>
          <w:rStyle w:val="Hypertextovodkaz"/>
          <w:color w:val="auto"/>
          <w:u w:val="none"/>
        </w:rPr>
      </w:pPr>
      <w:hyperlink r:id="rId199" w:history="1">
        <w:r w:rsidR="006F3CC1" w:rsidRPr="00D45B0B">
          <w:rPr>
            <w:rStyle w:val="Hypertextovodkaz"/>
            <w:color w:val="auto"/>
            <w:u w:val="none"/>
          </w:rPr>
          <w:t>https://geoportal.mzcr.cz/shm/</w:t>
        </w:r>
      </w:hyperlink>
    </w:p>
    <w:p w14:paraId="590F9A97" w14:textId="77777777" w:rsidR="006F3CC1" w:rsidRPr="00B47798" w:rsidRDefault="006F3CC1" w:rsidP="006F3CC1">
      <w:r w:rsidRPr="00B47798">
        <w:t>MŽP: Centrální datový sklad pro mapy povodňového nebezpečí a povodňových rizik</w:t>
      </w:r>
    </w:p>
    <w:p w14:paraId="46AA6700" w14:textId="77777777" w:rsidR="006F3CC1" w:rsidRPr="00D45B0B" w:rsidRDefault="00183F7E" w:rsidP="006F3CC1">
      <w:hyperlink r:id="rId200" w:history="1">
        <w:r w:rsidR="006F3CC1" w:rsidRPr="00D45B0B">
          <w:rPr>
            <w:rStyle w:val="Hypertextovodkaz"/>
            <w:color w:val="auto"/>
            <w:u w:val="none"/>
          </w:rPr>
          <w:t>http://cds.chmi.cz/?lang=cs</w:t>
        </w:r>
      </w:hyperlink>
    </w:p>
    <w:p w14:paraId="123E442B" w14:textId="77777777" w:rsidR="006F3CC1" w:rsidRPr="00B47798" w:rsidRDefault="006F3CC1" w:rsidP="006F3CC1">
      <w:pPr>
        <w:pStyle w:val="Textpoznpodarou"/>
        <w:rPr>
          <w:sz w:val="22"/>
          <w:szCs w:val="22"/>
        </w:rPr>
      </w:pPr>
      <w:r w:rsidRPr="00B47798">
        <w:rPr>
          <w:sz w:val="22"/>
          <w:szCs w:val="22"/>
        </w:rPr>
        <w:t>MŽP (2015): Strategie přizpůsobení se změně klimatu v podmínkách ČR</w:t>
      </w:r>
    </w:p>
    <w:p w14:paraId="79C9DEF0" w14:textId="026EDA27" w:rsidR="006F3CC1" w:rsidRPr="00D45B0B" w:rsidRDefault="00183F7E" w:rsidP="006F3CC1">
      <w:pPr>
        <w:rPr>
          <w:rStyle w:val="Hypertextovodkaz"/>
          <w:color w:val="auto"/>
          <w:u w:val="none"/>
        </w:rPr>
      </w:pPr>
      <w:hyperlink r:id="rId201" w:history="1">
        <w:r w:rsidR="006F3CC1" w:rsidRPr="00D45B0B">
          <w:rPr>
            <w:rStyle w:val="Hypertextovodkaz"/>
            <w:color w:val="auto"/>
            <w:u w:val="none"/>
          </w:rPr>
          <w:t>https://www.mzp.cz/C1257458002F0DC7/cz/zmena_klimatu_adaptacni_strategie/$FILE/OEOK-Adaptacni_strategie-20151029.pdf</w:t>
        </w:r>
      </w:hyperlink>
      <w:r w:rsidR="00D45B0B">
        <w:rPr>
          <w:rStyle w:val="Hypertextovodkaz"/>
          <w:color w:val="auto"/>
          <w:u w:val="none"/>
        </w:rPr>
        <w:t xml:space="preserve">; </w:t>
      </w:r>
      <w:r w:rsidR="006F3CC1" w:rsidRPr="00D45B0B">
        <w:rPr>
          <w:rStyle w:val="Hypertextovodkaz"/>
          <w:color w:val="auto"/>
          <w:u w:val="none"/>
        </w:rPr>
        <w:t xml:space="preserve">Národní registr poskytovatelů zdravotních služeb (2020), </w:t>
      </w:r>
      <w:hyperlink r:id="rId202" w:history="1">
        <w:r w:rsidR="006F3CC1" w:rsidRPr="00D45B0B">
          <w:rPr>
            <w:rStyle w:val="Hypertextovodkaz"/>
            <w:color w:val="auto"/>
            <w:u w:val="none"/>
          </w:rPr>
          <w:t>https://nrpzs.uzis.cz/</w:t>
        </w:r>
      </w:hyperlink>
    </w:p>
    <w:p w14:paraId="7EE927D0" w14:textId="77777777" w:rsidR="007A5C52" w:rsidRPr="00A14D97" w:rsidRDefault="007A5C52" w:rsidP="007A5C52">
      <w:r w:rsidRPr="00A14D97">
        <w:t xml:space="preserve">MVČR (2020): Kybernetické hrozby </w:t>
      </w:r>
    </w:p>
    <w:p w14:paraId="51A95A5C" w14:textId="77777777" w:rsidR="007A5C52" w:rsidRPr="00D45B0B" w:rsidRDefault="00183F7E" w:rsidP="007A5C52">
      <w:hyperlink r:id="rId203" w:history="1">
        <w:r w:rsidR="007A5C52" w:rsidRPr="00D45B0B">
          <w:rPr>
            <w:rStyle w:val="Hypertextovodkaz"/>
            <w:color w:val="auto"/>
            <w:u w:val="none"/>
          </w:rPr>
          <w:t>https://www.mvcr.cz/clanek/bezpecnostni-hrozby-337414.aspx?q=Y2hudW09Mw%3D%3D</w:t>
        </w:r>
      </w:hyperlink>
    </w:p>
    <w:p w14:paraId="68FC68BD" w14:textId="77777777" w:rsidR="007A5C52" w:rsidRPr="00A14D97" w:rsidRDefault="007A5C52" w:rsidP="007A5C52">
      <w:r w:rsidRPr="00A14D97">
        <w:t>NBÚ (2015): Národní strategie kybernetické bezpečnosti České republiky na období let 2015 až 2020</w:t>
      </w:r>
    </w:p>
    <w:p w14:paraId="364B1B63" w14:textId="77777777" w:rsidR="007A5C52" w:rsidRPr="00D45B0B" w:rsidRDefault="00183F7E" w:rsidP="007A5C52">
      <w:hyperlink r:id="rId204" w:history="1">
        <w:r w:rsidR="007A5C52" w:rsidRPr="00D45B0B">
          <w:rPr>
            <w:rStyle w:val="Hypertextovodkaz"/>
            <w:color w:val="auto"/>
            <w:u w:val="none"/>
          </w:rPr>
          <w:t>https://www.govcert.cz/cs/informacni-servis/strategie-akcni-plan/</w:t>
        </w:r>
      </w:hyperlink>
    </w:p>
    <w:p w14:paraId="640A8AB5" w14:textId="77777777" w:rsidR="007A5C52" w:rsidRDefault="007A5C52" w:rsidP="007A5C52">
      <w:r>
        <w:t>NOVÁK, P. (2008): Zlínská architektura 1900 – 1950. Pozimos, Zlín, 319 s.</w:t>
      </w:r>
    </w:p>
    <w:p w14:paraId="507A9BAA" w14:textId="77777777" w:rsidR="006F3CC1" w:rsidRPr="00B47798" w:rsidRDefault="006F3CC1" w:rsidP="006F3CC1">
      <w:pPr>
        <w:pStyle w:val="Textpoznpodarou"/>
        <w:rPr>
          <w:sz w:val="22"/>
          <w:szCs w:val="22"/>
        </w:rPr>
      </w:pPr>
      <w:r w:rsidRPr="00B47798">
        <w:rPr>
          <w:sz w:val="22"/>
          <w:szCs w:val="22"/>
        </w:rPr>
        <w:t>Odbor životního prostředí a zemědělství Magistrátu města Zlína (2016): Životní prostředí Zlínska a jeho ochrana.</w:t>
      </w:r>
    </w:p>
    <w:p w14:paraId="0AB2B9FA" w14:textId="77777777" w:rsidR="006F3CC1" w:rsidRPr="00D45B0B" w:rsidRDefault="00183F7E" w:rsidP="006F3CC1">
      <w:pPr>
        <w:rPr>
          <w:rStyle w:val="Hypertextovodkaz"/>
          <w:color w:val="auto"/>
          <w:u w:val="none"/>
        </w:rPr>
      </w:pPr>
      <w:hyperlink r:id="rId205" w:history="1">
        <w:r w:rsidR="006F3CC1" w:rsidRPr="00D45B0B">
          <w:rPr>
            <w:rStyle w:val="Hypertextovodkaz"/>
            <w:color w:val="auto"/>
            <w:u w:val="none"/>
          </w:rPr>
          <w:t>https://www.zlin.eu/zivotni-prostredi-a-zemedelstvi-cl-228.html</w:t>
        </w:r>
      </w:hyperlink>
    </w:p>
    <w:p w14:paraId="059570E8" w14:textId="77777777" w:rsidR="006F3CC1" w:rsidRPr="00D046E4" w:rsidRDefault="006F3CC1" w:rsidP="006F3CC1">
      <w:r>
        <w:t xml:space="preserve">Oficiální stránky SMZ: </w:t>
      </w:r>
      <w:r w:rsidRPr="00035C8B">
        <w:t>Výroční zpráva Magistrátu města Zlína a Městské policie Zlín za roky 2014-2018 [online]. [cit. 2020-08-17]. Dostupné z</w:t>
      </w:r>
      <w:r w:rsidRPr="00D046E4">
        <w:t xml:space="preserve">: </w:t>
      </w:r>
      <w:hyperlink r:id="rId206" w:history="1">
        <w:r w:rsidRPr="00D046E4">
          <w:rPr>
            <w:rStyle w:val="Hypertextovodkaz"/>
            <w:color w:val="auto"/>
            <w:u w:val="none"/>
          </w:rPr>
          <w:t>https://www.zlin.eu/vyrocni-zprava-magistratu-mesta-zlina-cl-101.html</w:t>
        </w:r>
      </w:hyperlink>
    </w:p>
    <w:p w14:paraId="23F84A8D" w14:textId="77777777" w:rsidR="007A5C52" w:rsidRPr="00D45B0B" w:rsidRDefault="007A5C52" w:rsidP="007A5C52">
      <w:r>
        <w:t xml:space="preserve">Online stránky </w:t>
      </w:r>
      <w:hyperlink r:id="rId207" w:history="1">
        <w:r w:rsidRPr="00D45B0B">
          <w:rPr>
            <w:rStyle w:val="Hypertextovodkaz"/>
            <w:color w:val="auto"/>
            <w:u w:val="none"/>
          </w:rPr>
          <w:t>www.stredniskoly.cz</w:t>
        </w:r>
      </w:hyperlink>
    </w:p>
    <w:p w14:paraId="0750CA7C" w14:textId="77777777" w:rsidR="007A5C52" w:rsidRPr="00D45B0B" w:rsidRDefault="007A5C52" w:rsidP="007A5C52">
      <w:r>
        <w:t xml:space="preserve">Online stránky </w:t>
      </w:r>
      <w:hyperlink r:id="rId208" w:history="1">
        <w:r w:rsidRPr="00D45B0B">
          <w:rPr>
            <w:rStyle w:val="Hypertextovodkaz"/>
            <w:color w:val="auto"/>
            <w:u w:val="none"/>
          </w:rPr>
          <w:t>www.utb.cz</w:t>
        </w:r>
      </w:hyperlink>
    </w:p>
    <w:p w14:paraId="4174A08F" w14:textId="77777777" w:rsidR="007A5C52" w:rsidRPr="00D45B0B" w:rsidRDefault="007A5C52" w:rsidP="007A5C52">
      <w:pPr>
        <w:rPr>
          <w:rStyle w:val="Hypertextovodkaz"/>
          <w:color w:val="auto"/>
          <w:u w:val="none"/>
        </w:rPr>
      </w:pPr>
      <w:r>
        <w:t xml:space="preserve">Online </w:t>
      </w:r>
      <w:r w:rsidRPr="00D45B0B">
        <w:t xml:space="preserve">stránky </w:t>
      </w:r>
      <w:hyperlink r:id="rId209" w:history="1">
        <w:r w:rsidRPr="00D45B0B">
          <w:rPr>
            <w:rStyle w:val="Hypertextovodkaz"/>
            <w:color w:val="auto"/>
            <w:u w:val="none"/>
          </w:rPr>
          <w:t>www.zlin.eu</w:t>
        </w:r>
      </w:hyperlink>
    </w:p>
    <w:p w14:paraId="333D1714" w14:textId="71B3C12A" w:rsidR="007A5C52" w:rsidRDefault="007A5C52" w:rsidP="007A5C52">
      <w:r>
        <w:t>OUŘEDNÍČEK, M., NEMEŠKAL, J., POSPÍŠILOVÁ, L. (2020): Vymezení území pro Integrované teritoriální investice (ITI) v ČR. Závěrečný dokument, Třetí verze Praha, 70 s.</w:t>
      </w:r>
    </w:p>
    <w:p w14:paraId="29DE9B56" w14:textId="77777777" w:rsidR="007A5C52" w:rsidRPr="00D45B0B" w:rsidRDefault="007A5C52" w:rsidP="007A5C52">
      <w:r w:rsidRPr="00A14D97">
        <w:t xml:space="preserve">Policie České republiky (2020): Jednotná dopravní vektorová mapa </w:t>
      </w:r>
      <w:hyperlink r:id="rId210" w:history="1">
        <w:r w:rsidRPr="00D45B0B">
          <w:rPr>
            <w:rStyle w:val="Hypertextovodkaz"/>
            <w:color w:val="auto"/>
            <w:u w:val="none"/>
          </w:rPr>
          <w:t>http://www.jdvm.cz/</w:t>
        </w:r>
      </w:hyperlink>
    </w:p>
    <w:p w14:paraId="5BFA0BB5" w14:textId="77777777" w:rsidR="007A5C52" w:rsidRPr="00A14D97" w:rsidRDefault="007A5C52" w:rsidP="007A5C52">
      <w:r w:rsidRPr="00A14D97">
        <w:t>Projekt otevřené společnosti (2020): mapakriminality.</w:t>
      </w:r>
      <w:r w:rsidRPr="00D45B0B">
        <w:t xml:space="preserve">cz </w:t>
      </w:r>
      <w:hyperlink r:id="rId211" w:history="1">
        <w:r w:rsidRPr="00D45B0B">
          <w:rPr>
            <w:rStyle w:val="Hypertextovodkaz"/>
            <w:color w:val="auto"/>
            <w:u w:val="none"/>
          </w:rPr>
          <w:t>https://www.mapakriminality.cz/</w:t>
        </w:r>
      </w:hyperlink>
    </w:p>
    <w:p w14:paraId="43B69C93" w14:textId="77777777" w:rsidR="007A5C52" w:rsidRDefault="007A5C52" w:rsidP="007A5C52">
      <w:r w:rsidRPr="006926D2">
        <w:t>Registr ekonomických subjektů</w:t>
      </w:r>
    </w:p>
    <w:p w14:paraId="03A0361B" w14:textId="77777777" w:rsidR="007A5C52" w:rsidRDefault="007A5C52" w:rsidP="007A5C52">
      <w:r w:rsidRPr="00B314BE">
        <w:t>Rozpočet města Zlína</w:t>
      </w:r>
    </w:p>
    <w:p w14:paraId="73C0477F" w14:textId="77777777" w:rsidR="007A5C52" w:rsidRPr="00D45B0B" w:rsidRDefault="007A5C52" w:rsidP="007A5C52">
      <w:r>
        <w:rPr>
          <w:rFonts w:cstheme="minorHAnsi"/>
        </w:rPr>
        <w:t xml:space="preserve">Ředitelství silnic a dálnic, Interaktivní mapová aplikace silničních staveb, 2020. </w:t>
      </w:r>
      <w:hyperlink r:id="rId212" w:history="1">
        <w:r w:rsidRPr="00D45B0B">
          <w:rPr>
            <w:rStyle w:val="Hypertextovodkaz"/>
            <w:rFonts w:cstheme="minorHAnsi"/>
            <w:color w:val="auto"/>
            <w:u w:val="none"/>
          </w:rPr>
          <w:t>https://www.rsd.cz/wps/portal/web/mapa-projektu/!ut/p/a1/jY_LDoIwEEW_xQVbOshTdwUMILjTCN0YMLVgCiUF4fdFdiaKzm5uzsnMRQSliDT5ULG8r0ST89dOrEscxZHmehAHOmiALX-nm8kRALQJyCbAC3Bo2MmUGM4aIt8NfXtzAIis_3z4Mhh--WdEZmTpgxlYOLFHhHFRzHUz3BS6wxCR9EYllepDTnHZ9223VUCBcRxVJgTjVL2KWoFPSim6HqXvJGrrUwp3kw8JXj0BvudosA!!/##/stavby?filters[]=StavbyRealizace</w:t>
        </w:r>
      </w:hyperlink>
    </w:p>
    <w:p w14:paraId="0B66ACBC" w14:textId="77777777" w:rsidR="007A5C52" w:rsidRDefault="007A5C52" w:rsidP="007A5C52">
      <w:r w:rsidRPr="00B314BE">
        <w:t>Směrnice č. 4/2011 o rozpočtu statutárního měst Zlína</w:t>
      </w:r>
    </w:p>
    <w:p w14:paraId="511939E4" w14:textId="77777777" w:rsidR="006F3CC1" w:rsidRDefault="006F3CC1" w:rsidP="006F3CC1">
      <w:r>
        <w:t xml:space="preserve">SMZ: </w:t>
      </w:r>
      <w:r w:rsidRPr="00F5212E">
        <w:t>Strategický plán pro regeneraci Městské památkové zóny Zlín na období 2016-2020</w:t>
      </w:r>
    </w:p>
    <w:p w14:paraId="4FCEAFDA" w14:textId="77777777" w:rsidR="006F3CC1" w:rsidRPr="00D45B0B" w:rsidRDefault="006F3CC1" w:rsidP="006F3CC1">
      <w:r>
        <w:t xml:space="preserve">SMZ: Přehled kulturních organizací </w:t>
      </w:r>
      <w:r w:rsidRPr="00035C8B">
        <w:t>[online]. [cit. 2020-08-17]. Dostupné z:</w:t>
      </w:r>
      <w:r w:rsidRPr="00DC0263">
        <w:t xml:space="preserve"> </w:t>
      </w:r>
      <w:r w:rsidRPr="00B133CA">
        <w:rPr>
          <w:i/>
          <w:sz w:val="18"/>
        </w:rPr>
        <w:t xml:space="preserve"> </w:t>
      </w:r>
      <w:hyperlink r:id="rId213" w:history="1">
        <w:r w:rsidRPr="00D45B0B">
          <w:rPr>
            <w:rStyle w:val="Hypertextovodkaz"/>
            <w:color w:val="auto"/>
            <w:u w:val="none"/>
          </w:rPr>
          <w:t>https://www.zlin.eu/prehled-kulturnich-organizaci-cl-665.html</w:t>
        </w:r>
      </w:hyperlink>
      <w:r w:rsidRPr="00D45B0B">
        <w:t xml:space="preserve"> </w:t>
      </w:r>
    </w:p>
    <w:p w14:paraId="252A5BC3" w14:textId="3B69945D" w:rsidR="007A5C52" w:rsidRDefault="005668E1" w:rsidP="007A5C52">
      <w:r>
        <w:t>Strategie rozvoje s</w:t>
      </w:r>
      <w:r w:rsidR="007A5C52">
        <w:t>tatutárního města Zlína do roku 2020 – Zlín 2020</w:t>
      </w:r>
    </w:p>
    <w:p w14:paraId="650F1A8F" w14:textId="77777777" w:rsidR="007A5C52" w:rsidRPr="00D45B0B" w:rsidRDefault="00183F7E" w:rsidP="007A5C52">
      <w:pPr>
        <w:rPr>
          <w:rStyle w:val="Hypertextovodkaz"/>
          <w:color w:val="auto"/>
          <w:u w:val="none"/>
        </w:rPr>
      </w:pPr>
      <w:hyperlink r:id="rId214" w:history="1">
        <w:r w:rsidR="007A5C52" w:rsidRPr="00D45B0B">
          <w:rPr>
            <w:rStyle w:val="Hypertextovodkaz"/>
            <w:color w:val="auto"/>
            <w:u w:val="none"/>
          </w:rPr>
          <w:t>https://www.zlin.eu/strategie-rozvoje-statutarniho-mesta-zlina-do-roku-2020-zlin-2020-cl-750.html</w:t>
        </w:r>
      </w:hyperlink>
    </w:p>
    <w:p w14:paraId="52E110BC" w14:textId="77777777" w:rsidR="007A5C52" w:rsidRDefault="007A5C52" w:rsidP="007A5C52">
      <w:r>
        <w:t>Statutární město Zlín (2016): Strategický plán pro regeneraci Městské památkové zóny Zlín na období 2016 – 2020</w:t>
      </w:r>
    </w:p>
    <w:p w14:paraId="1F4BE3C6" w14:textId="77777777" w:rsidR="007A5C52" w:rsidRPr="00D45B0B" w:rsidRDefault="00183F7E" w:rsidP="007A5C52">
      <w:hyperlink r:id="rId215" w:history="1">
        <w:r w:rsidR="007A5C52" w:rsidRPr="00D45B0B">
          <w:rPr>
            <w:rStyle w:val="Hypertextovodkaz"/>
            <w:color w:val="auto"/>
            <w:u w:val="none"/>
          </w:rPr>
          <w:t>https://www.zlin.eu/strategicky-plan-2016-2020-programu-regenerace-mpz-zlin-cl-3443.html</w:t>
        </w:r>
      </w:hyperlink>
    </w:p>
    <w:p w14:paraId="2B915867" w14:textId="77777777" w:rsidR="007A5C52" w:rsidRDefault="007A5C52" w:rsidP="007A5C52">
      <w:r>
        <w:t>Turistický informační portál města Zlína</w:t>
      </w:r>
    </w:p>
    <w:p w14:paraId="199B77A6" w14:textId="77777777" w:rsidR="007A5C52" w:rsidRPr="00D45B0B" w:rsidRDefault="007A5C52" w:rsidP="007A5C52">
      <w:pPr>
        <w:pStyle w:val="Textpoznpodarou"/>
        <w:jc w:val="left"/>
        <w:rPr>
          <w:rFonts w:cstheme="minorHAnsi"/>
          <w:sz w:val="22"/>
          <w:szCs w:val="22"/>
        </w:rPr>
      </w:pPr>
      <w:r w:rsidRPr="0027436A">
        <w:rPr>
          <w:rFonts w:cstheme="minorHAnsi"/>
          <w:sz w:val="22"/>
          <w:szCs w:val="22"/>
        </w:rPr>
        <w:t xml:space="preserve">UDIMO, Generel dopravy pro město Zlín, 2016, </w:t>
      </w:r>
      <w:hyperlink r:id="rId216" w:history="1">
        <w:r w:rsidRPr="00D45B0B">
          <w:rPr>
            <w:rStyle w:val="Hypertextovodkaz"/>
            <w:rFonts w:cstheme="minorHAnsi"/>
            <w:color w:val="auto"/>
            <w:sz w:val="22"/>
            <w:szCs w:val="22"/>
            <w:u w:val="none"/>
          </w:rPr>
          <w:t>https://www.zlin.eu/generel-dopravy-pro-mesto-zlin-cl-2238.html</w:t>
        </w:r>
      </w:hyperlink>
    </w:p>
    <w:p w14:paraId="2D0DC730" w14:textId="77777777" w:rsidR="007A5C52" w:rsidRDefault="007A5C52" w:rsidP="007A5C52">
      <w:r>
        <w:t>Územní plán města Zlín, úplně znění územního plánu po změně č. 3b a 3d (2019)</w:t>
      </w:r>
    </w:p>
    <w:p w14:paraId="049F536F" w14:textId="77777777" w:rsidR="007A5C52" w:rsidRPr="00D45B0B" w:rsidRDefault="00183F7E" w:rsidP="007A5C52">
      <w:hyperlink r:id="rId217" w:history="1">
        <w:r w:rsidR="007A5C52" w:rsidRPr="00D45B0B">
          <w:rPr>
            <w:rStyle w:val="Hypertextovodkaz"/>
            <w:color w:val="auto"/>
            <w:u w:val="none"/>
          </w:rPr>
          <w:t>https://www.zlin.eu/zlin-cl-3586.html</w:t>
        </w:r>
      </w:hyperlink>
    </w:p>
    <w:p w14:paraId="445520C7" w14:textId="77777777" w:rsidR="007A5C52" w:rsidRDefault="007A5C52" w:rsidP="007A5C52">
      <w:r w:rsidRPr="00B314BE">
        <w:t>Vlastní šetření Krajské hospodářské komory Zlínského kraje</w:t>
      </w:r>
      <w:r>
        <w:t>_průmyslové zóny</w:t>
      </w:r>
    </w:p>
    <w:p w14:paraId="10D74205" w14:textId="77777777" w:rsidR="007A5C52" w:rsidRPr="00CB4CBD" w:rsidRDefault="007A5C52" w:rsidP="007A5C52">
      <w:pPr>
        <w:pStyle w:val="Textpoznpodarou"/>
        <w:jc w:val="left"/>
        <w:rPr>
          <w:sz w:val="22"/>
          <w:szCs w:val="22"/>
        </w:rPr>
      </w:pPr>
      <w:r w:rsidRPr="00B314BE">
        <w:rPr>
          <w:sz w:val="22"/>
          <w:szCs w:val="22"/>
        </w:rPr>
        <w:t xml:space="preserve">Výroční zpráva Magistrátu města Zlína a Městské policie Zlín za rok 2018 </w:t>
      </w:r>
      <w:hyperlink r:id="rId218" w:history="1">
        <w:r w:rsidRPr="00CB4CBD">
          <w:rPr>
            <w:rStyle w:val="Hypertextovodkaz"/>
            <w:color w:val="auto"/>
            <w:sz w:val="22"/>
            <w:szCs w:val="22"/>
            <w:u w:val="none"/>
          </w:rPr>
          <w:t>https://www.zlin.eu/clanky/dokumenty/2558/ska4d809d6f5-mesto-zlin---vyrocni-zprava-2018.pd</w:t>
        </w:r>
      </w:hyperlink>
    </w:p>
    <w:p w14:paraId="473D17BC" w14:textId="77777777" w:rsidR="006F3CC1" w:rsidRDefault="006F3CC1" w:rsidP="006F3CC1">
      <w:r>
        <w:t>VÚPSV (2019): Sčítání osob bez domova v Č</w:t>
      </w:r>
      <w:r w:rsidRPr="006212B7">
        <w:t>eské republice 2019</w:t>
      </w:r>
      <w:r>
        <w:t>.</w:t>
      </w:r>
    </w:p>
    <w:p w14:paraId="244D09A7" w14:textId="77777777" w:rsidR="00D45B0B" w:rsidRDefault="006F3CC1" w:rsidP="006F3CC1">
      <w:r w:rsidRPr="00DC0263">
        <w:t>Výběr ze základních s</w:t>
      </w:r>
      <w:r>
        <w:t>tatistických údajů o kultuře v Č</w:t>
      </w:r>
      <w:r w:rsidRPr="00DC0263">
        <w:t>eské republice</w:t>
      </w:r>
      <w:r>
        <w:t xml:space="preserve">. Divadla 2018 </w:t>
      </w:r>
      <w:r w:rsidRPr="00035C8B">
        <w:t>[online]. [cit. 2020-08-17]. Dostupné z:</w:t>
      </w:r>
      <w:r w:rsidRPr="00DC0263">
        <w:t xml:space="preserve"> </w:t>
      </w:r>
    </w:p>
    <w:p w14:paraId="0DC46376" w14:textId="3A780C2F" w:rsidR="006F3CC1" w:rsidRPr="00D45B0B" w:rsidRDefault="00183F7E" w:rsidP="006F3CC1">
      <w:hyperlink r:id="rId219" w:history="1">
        <w:r w:rsidR="006F3CC1" w:rsidRPr="00D45B0B">
          <w:rPr>
            <w:rStyle w:val="Hypertextovodkaz"/>
            <w:color w:val="auto"/>
            <w:u w:val="none"/>
          </w:rPr>
          <w:t>https://statistikakultury.cz/wp-content/uploads/2019/10/Statistika_2018_DIVADLA.pdf</w:t>
        </w:r>
      </w:hyperlink>
    </w:p>
    <w:p w14:paraId="42286961" w14:textId="77777777" w:rsidR="006F3CC1" w:rsidRPr="00D45B0B" w:rsidRDefault="00183F7E" w:rsidP="006F3CC1">
      <w:pPr>
        <w:rPr>
          <w:rStyle w:val="Hypertextovodkaz"/>
          <w:color w:val="auto"/>
          <w:u w:val="none"/>
        </w:rPr>
      </w:pPr>
      <w:hyperlink r:id="rId220" w:history="1">
        <w:r w:rsidR="006F3CC1" w:rsidRPr="00D45B0B">
          <w:rPr>
            <w:rStyle w:val="Hypertextovodkaz"/>
            <w:color w:val="auto"/>
            <w:u w:val="none"/>
          </w:rPr>
          <w:t>http://praha.vupsv.cz/Fulltext/vz_458.pdf</w:t>
        </w:r>
      </w:hyperlink>
    </w:p>
    <w:p w14:paraId="08CFD8CE" w14:textId="77777777" w:rsidR="007A5C52" w:rsidRDefault="007A5C52" w:rsidP="007A5C52">
      <w:r w:rsidRPr="009B646C">
        <w:t>Výroční zpráva o činnosti 2019, Univerzita Tomáše Bati ve Zlíně</w:t>
      </w:r>
    </w:p>
    <w:p w14:paraId="71405903" w14:textId="44FFCC4A" w:rsidR="007A5C52" w:rsidRPr="00D45B0B" w:rsidRDefault="007A5C52" w:rsidP="007A5C52">
      <w:r>
        <w:t>Zpráva představenstva o činnosti Krajské hospodářské komory Zlínského kraje k 31.</w:t>
      </w:r>
      <w:r w:rsidR="00D45B0B">
        <w:t xml:space="preserve"> </w:t>
      </w:r>
      <w:r>
        <w:t>10.</w:t>
      </w:r>
      <w:r w:rsidR="00D45B0B">
        <w:t xml:space="preserve"> </w:t>
      </w:r>
      <w:r>
        <w:t xml:space="preserve">2019, dostupné na </w:t>
      </w:r>
      <w:hyperlink r:id="rId221" w:history="1">
        <w:r w:rsidRPr="00D45B0B">
          <w:rPr>
            <w:rStyle w:val="Hypertextovodkaz"/>
            <w:color w:val="auto"/>
            <w:u w:val="none"/>
          </w:rPr>
          <w:t>https://www.khkzk.cz/media/files/package/item/files-9/final_zprava-predstavenstva-o-cinnosti-khk-zk-2019.pdf</w:t>
        </w:r>
      </w:hyperlink>
    </w:p>
    <w:p w14:paraId="235F7AF8" w14:textId="77777777" w:rsidR="006F3CC1" w:rsidRDefault="006F3CC1" w:rsidP="006F3CC1">
      <w:r>
        <w:t>Zlínský kraj (2019): Koncepce rodinné a seniorské politiky pro období 2020 – 2022.</w:t>
      </w:r>
    </w:p>
    <w:p w14:paraId="3B1ACBF4" w14:textId="77777777" w:rsidR="007A5C52" w:rsidRPr="00D45B0B" w:rsidRDefault="007A5C52" w:rsidP="007A5C52">
      <w:pPr>
        <w:pStyle w:val="Textpoznpodarou"/>
        <w:jc w:val="left"/>
        <w:rPr>
          <w:rFonts w:cstheme="minorHAnsi"/>
          <w:sz w:val="22"/>
          <w:szCs w:val="22"/>
        </w:rPr>
      </w:pPr>
      <w:r w:rsidRPr="0027436A">
        <w:rPr>
          <w:rFonts w:cstheme="minorHAnsi"/>
          <w:sz w:val="22"/>
          <w:szCs w:val="22"/>
        </w:rPr>
        <w:t xml:space="preserve">Zlínská kraj, Plán rozvoje vodovodů a kanalizací Zlínského kraje, 2018, </w:t>
      </w:r>
      <w:hyperlink r:id="rId222" w:history="1">
        <w:r w:rsidRPr="00D45B0B">
          <w:rPr>
            <w:rStyle w:val="Hypertextovodkaz"/>
            <w:rFonts w:cstheme="minorHAnsi"/>
            <w:color w:val="auto"/>
            <w:sz w:val="22"/>
            <w:szCs w:val="22"/>
            <w:u w:val="none"/>
          </w:rPr>
          <w:t>https://www.kr-zlinsky.cz/plan-rozvoje-vodovodu-a-kanalizaci-zlinskeho-kraje-cl-617.html</w:t>
        </w:r>
      </w:hyperlink>
    </w:p>
    <w:p w14:paraId="28DD5968" w14:textId="77777777" w:rsidR="007A5C52" w:rsidRPr="00A61EC8" w:rsidRDefault="007A5C52" w:rsidP="007A5C52">
      <w:pPr>
        <w:pStyle w:val="Textpoznpodarou"/>
        <w:rPr>
          <w:sz w:val="22"/>
          <w:szCs w:val="22"/>
        </w:rPr>
      </w:pPr>
      <w:r w:rsidRPr="00A61EC8">
        <w:rPr>
          <w:sz w:val="22"/>
          <w:szCs w:val="22"/>
        </w:rPr>
        <w:t>Zlínský kraj (2010): Strategie využití brownfields ve Zlínském kraji</w:t>
      </w:r>
    </w:p>
    <w:p w14:paraId="4EBBA6BA" w14:textId="77777777" w:rsidR="007A5C52" w:rsidRPr="00D45B0B" w:rsidRDefault="00183F7E" w:rsidP="007A5C52">
      <w:hyperlink r:id="rId223" w:history="1">
        <w:r w:rsidR="007A5C52" w:rsidRPr="00D45B0B">
          <w:rPr>
            <w:rStyle w:val="Hypertextovodkaz"/>
            <w:color w:val="auto"/>
            <w:u w:val="none"/>
          </w:rPr>
          <w:t>https://portal.cenia.cz/eiasea/download/U0VBX01aUDA5OEtfdnlob2Rub2NlbmlfMS5wZGY/MZP098K_vyhodnoceni.pdf</w:t>
        </w:r>
      </w:hyperlink>
    </w:p>
    <w:p w14:paraId="0FF8040A" w14:textId="77777777" w:rsidR="007A5C52" w:rsidRPr="002954BC" w:rsidRDefault="007A5C52" w:rsidP="007A5C52">
      <w:pPr>
        <w:rPr>
          <w:rFonts w:cstheme="minorHAnsi"/>
        </w:rPr>
      </w:pPr>
      <w:r w:rsidRPr="002954BC">
        <w:rPr>
          <w:rFonts w:cstheme="minorHAnsi"/>
        </w:rPr>
        <w:t>Zlínský kraj (2018): Úplné znění zásad územního rozvoje zlínského kraje po vydání aktualizace č. 2</w:t>
      </w:r>
    </w:p>
    <w:p w14:paraId="20FD2F92" w14:textId="38BFBEA3" w:rsidR="006F3CC1" w:rsidRPr="00D45B0B" w:rsidRDefault="00183F7E" w:rsidP="007A5C52">
      <w:pPr>
        <w:rPr>
          <w:rStyle w:val="Hypertextovodkaz"/>
          <w:color w:val="auto"/>
          <w:u w:val="none"/>
        </w:rPr>
      </w:pPr>
      <w:hyperlink r:id="rId224" w:history="1">
        <w:r w:rsidR="007A5C52" w:rsidRPr="00D45B0B">
          <w:rPr>
            <w:rStyle w:val="Hypertextovodkaz"/>
            <w:color w:val="auto"/>
            <w:u w:val="none"/>
          </w:rPr>
          <w:t>file:///C:/Users/%C5%A0%C5%A5ep%C3%A1n%20Strnadel/Downloads/priloha-c--1--textova-cast-uplneho-zneni-zur-zk-po-vydani-aktualizace-c--2%20(1).pdf</w:t>
        </w:r>
      </w:hyperlink>
      <w:r w:rsidR="006F3CC1" w:rsidRPr="00D45B0B">
        <w:rPr>
          <w:rStyle w:val="Hypertextovodkaz"/>
          <w:color w:val="auto"/>
          <w:u w:val="none"/>
        </w:rPr>
        <w:t>14|15 BAŤŮV INSTITUT: Pronájem</w:t>
      </w:r>
    </w:p>
    <w:p w14:paraId="2C16C5B6" w14:textId="77777777" w:rsidR="006F3CC1" w:rsidRPr="00D45B0B" w:rsidRDefault="006F3CC1" w:rsidP="006F3CC1">
      <w:pPr>
        <w:rPr>
          <w:rStyle w:val="Hypertextovodkaz"/>
          <w:color w:val="000000" w:themeColor="text1"/>
          <w:u w:val="none"/>
        </w:rPr>
      </w:pPr>
      <w:r w:rsidRPr="00D45B0B">
        <w:rPr>
          <w:rStyle w:val="Hypertextovodkaz"/>
          <w:color w:val="000000" w:themeColor="text1"/>
          <w:u w:val="none"/>
        </w:rPr>
        <w:t>https://www.14-15.cz/24866-pronajem</w:t>
      </w:r>
    </w:p>
    <w:p w14:paraId="0B8D7259" w14:textId="77777777" w:rsidR="007A5C52" w:rsidRDefault="007A5C52" w:rsidP="006F0D0B"/>
    <w:p w14:paraId="4C68771B" w14:textId="77777777" w:rsidR="007A5C52" w:rsidRDefault="007A5C52" w:rsidP="006F0D0B"/>
    <w:p w14:paraId="72330917" w14:textId="491C0CDA" w:rsidR="00E37D33" w:rsidRPr="00521C67" w:rsidRDefault="00E37D33" w:rsidP="00E37D33"/>
    <w:p w14:paraId="253D8FE6" w14:textId="158E58B2" w:rsidR="00E37D33" w:rsidRDefault="00E37D33" w:rsidP="00E37D33"/>
    <w:p w14:paraId="45C92667" w14:textId="0298540E" w:rsidR="00E37D33" w:rsidRDefault="00E37D33" w:rsidP="007F66B5"/>
    <w:p w14:paraId="569097A1" w14:textId="77777777" w:rsidR="00E37D33" w:rsidRDefault="00E37D33" w:rsidP="00E37D33"/>
    <w:p w14:paraId="00ABB083" w14:textId="77777777" w:rsidR="006F3CC1" w:rsidRDefault="006F3CC1" w:rsidP="006F3CC1">
      <w:pPr>
        <w:rPr>
          <w:rStyle w:val="Hypertextovodkaz"/>
          <w:color w:val="000000" w:themeColor="text1"/>
        </w:rPr>
      </w:pPr>
    </w:p>
    <w:p w14:paraId="559F3973" w14:textId="77777777" w:rsidR="006F3CC1" w:rsidRPr="009102E9" w:rsidRDefault="006F3CC1" w:rsidP="006F3CC1">
      <w:pPr>
        <w:pStyle w:val="Textpoznpodarou"/>
        <w:rPr>
          <w:rFonts w:cstheme="minorHAnsi"/>
          <w:b/>
          <w:sz w:val="22"/>
          <w:szCs w:val="22"/>
        </w:rPr>
      </w:pPr>
    </w:p>
    <w:p w14:paraId="586BE2E5" w14:textId="77777777" w:rsidR="006F3CC1" w:rsidRDefault="006F3CC1" w:rsidP="006F3CC1">
      <w:pPr>
        <w:pStyle w:val="Textpoznpodarou"/>
        <w:rPr>
          <w:rFonts w:cstheme="minorHAnsi"/>
          <w:sz w:val="22"/>
          <w:szCs w:val="22"/>
        </w:rPr>
      </w:pPr>
    </w:p>
    <w:p w14:paraId="3DEC42A2" w14:textId="77777777" w:rsidR="006F3CC1" w:rsidRPr="00D25812" w:rsidRDefault="006F3CC1" w:rsidP="006F3CC1"/>
    <w:p w14:paraId="21C687BC" w14:textId="532D776C" w:rsidR="00737B4F" w:rsidRDefault="00737B4F">
      <w:pPr>
        <w:spacing w:before="0" w:after="160" w:line="259" w:lineRule="auto"/>
        <w:jc w:val="left"/>
      </w:pPr>
      <w:r>
        <w:br w:type="page"/>
      </w:r>
    </w:p>
    <w:p w14:paraId="62C4A8BD" w14:textId="77777777" w:rsidR="00BF26AA" w:rsidRPr="00233605" w:rsidRDefault="00BF26AA" w:rsidP="00A91C05">
      <w:pPr>
        <w:pStyle w:val="Nadpis1"/>
      </w:pPr>
      <w:bookmarkStart w:id="537" w:name="_Toc77074618"/>
      <w:r>
        <w:t>Přílohy</w:t>
      </w:r>
      <w:bookmarkEnd w:id="537"/>
    </w:p>
    <w:p w14:paraId="1A157F97" w14:textId="66A04DFA" w:rsidR="009D068D" w:rsidRDefault="00BC6914" w:rsidP="00A91C05">
      <w:pPr>
        <w:pStyle w:val="Nadpis2"/>
      </w:pPr>
      <w:bookmarkStart w:id="538" w:name="_Toc77074619"/>
      <w:r>
        <w:t>Anketní š</w:t>
      </w:r>
      <w:r w:rsidR="00BF26AA">
        <w:t>etření spokojenosti obyvatel města</w:t>
      </w:r>
      <w:bookmarkEnd w:id="538"/>
      <w:r w:rsidR="00BF26AA">
        <w:t xml:space="preserve"> </w:t>
      </w:r>
    </w:p>
    <w:p w14:paraId="34930236" w14:textId="77777777" w:rsidR="007175FE" w:rsidRDefault="007175FE" w:rsidP="007175FE">
      <w:pPr>
        <w:rPr>
          <w:rFonts w:cstheme="minorHAnsi"/>
        </w:rPr>
      </w:pPr>
      <w:r w:rsidRPr="00DA7ABE">
        <w:rPr>
          <w:rFonts w:cstheme="minorHAnsi"/>
        </w:rPr>
        <w:t>Anketní šetření bylo realizováno na základě potřeb zakázky na vytvoření Strategie rozvoje statutárního města Zlína do roku 2030 – Zlín 2030 uvedených v zadávací dokumentaci. Cílem šetření bylo zjistit názor, postoje, preference a potřeby obyvatel. Dotazníkové šetření a příprava dotazníku byla provedena společností PROCES - Centrum pro rozvoj obcí a regionů, s.r.o. ve spolupráci s realizačním týmem přípravy strategie Magistrátu města Zlína. Design a realizace průzkumu byly nastaveny takovým způsobem, aby</w:t>
      </w:r>
      <w:r>
        <w:rPr>
          <w:rFonts w:cstheme="minorHAnsi"/>
        </w:rPr>
        <w:t xml:space="preserve"> byly</w:t>
      </w:r>
      <w:r w:rsidRPr="00DA7ABE">
        <w:rPr>
          <w:rFonts w:cstheme="minorHAnsi"/>
        </w:rPr>
        <w:t xml:space="preserve"> od občanů</w:t>
      </w:r>
      <w:r>
        <w:rPr>
          <w:rFonts w:cstheme="minorHAnsi"/>
        </w:rPr>
        <w:t xml:space="preserve"> získány</w:t>
      </w:r>
      <w:r w:rsidRPr="00DA7ABE">
        <w:rPr>
          <w:rFonts w:cstheme="minorHAnsi"/>
        </w:rPr>
        <w:t xml:space="preserve"> potřebné informace k tvorbě strategického dokumentu.</w:t>
      </w:r>
    </w:p>
    <w:p w14:paraId="06C895F5" w14:textId="77777777" w:rsidR="007175FE" w:rsidRDefault="007175FE" w:rsidP="007175FE">
      <w:pPr>
        <w:rPr>
          <w:rFonts w:cstheme="minorHAnsi"/>
        </w:rPr>
      </w:pPr>
      <w:r>
        <w:rPr>
          <w:rFonts w:cstheme="minorHAnsi"/>
        </w:rPr>
        <w:t>Průzkum obsahoval 22 otázek, které se zaměřovaly na spokojenost s kvalitou života, vývoj města, spokojenost s jednotlivými aspekty života ve městě (občanská vybavenost, vzdělávání, doprava, bydlení, pracovní příležitosti, bezpečnost, práci Magistrátu), respondenti byli rovněž dotázáni, zda se plánují odstěhovat z města, které oblasti by město mělo primárně podporovat a co by mělo dělat pro budoucí rozvoj. Byly použity segmentační otázky, pomocí kterých byli identifikováni respondenti podle pohlaví, věku a trvalého bydliště, další kategorií, která byla sledována, tvořili studenti UTB. V průzkumu byly použity jak kvantitativní otázky, u kterých měli respondenti možnost hodnotit jednotlivé aspekty na bodové škále, tak i kvalitativní (otevřené) otázky, u kterých měli respondenti možnost konkretizovat své odpovědi formou volného textu bez předem stanovené kategorizace.</w:t>
      </w:r>
    </w:p>
    <w:p w14:paraId="582D7E4B" w14:textId="2913FCBD" w:rsidR="007175FE" w:rsidRPr="00DA7ABE" w:rsidRDefault="007175FE" w:rsidP="007175FE">
      <w:pPr>
        <w:rPr>
          <w:rFonts w:cstheme="minorHAnsi"/>
        </w:rPr>
      </w:pPr>
      <w:r w:rsidRPr="00DA7ABE">
        <w:rPr>
          <w:rFonts w:cstheme="minorHAnsi"/>
        </w:rPr>
        <w:t xml:space="preserve">Občané byli o realizaci anketního šetření informováni prostřednictvím městského periodika Magazín Zlín, informace byla uvedena na webových stránkách města a na facebookovém profilu města. </w:t>
      </w:r>
      <w:r>
        <w:rPr>
          <w:rFonts w:cstheme="minorHAnsi"/>
        </w:rPr>
        <w:t xml:space="preserve">Studenti UTB byli o průzkumu informováni rektorátem univerzity prostřednictvím mailu s žádostí o vyplnění dotazníku. </w:t>
      </w:r>
      <w:r w:rsidRPr="00DA7ABE">
        <w:rPr>
          <w:rFonts w:cstheme="minorHAnsi"/>
        </w:rPr>
        <w:t>Občané měli možnost vyplnit dotazník online nebo ve fyzické podobě a odevzdat na jednom se sběrných míst. Dotazník občané obdrželi v rámci Magazínu Zlín, mohli si jej vyzvednout ve fyzické podobě v Městském informačním a turistickém středisku Magistrátu města Zlína, vytisknout formulář dotazníku v</w:t>
      </w:r>
      <w:r w:rsidR="00CB4CBD">
        <w:rPr>
          <w:rFonts w:cstheme="minorHAnsi"/>
        </w:rPr>
        <w:t> </w:t>
      </w:r>
      <w:r w:rsidRPr="00DA7ABE">
        <w:rPr>
          <w:rFonts w:cstheme="minorHAnsi"/>
        </w:rPr>
        <w:t>PDF</w:t>
      </w:r>
      <w:r w:rsidR="00CB4CBD">
        <w:rPr>
          <w:rFonts w:cstheme="minorHAnsi"/>
        </w:rPr>
        <w:t xml:space="preserve"> formátu</w:t>
      </w:r>
      <w:r w:rsidRPr="00DA7ABE">
        <w:rPr>
          <w:rFonts w:cstheme="minorHAnsi"/>
        </w:rPr>
        <w:t xml:space="preserve"> z webových stránek města nebo jej vyplnit elektronicky v souboru docx a</w:t>
      </w:r>
      <w:r w:rsidR="00CB4CBD">
        <w:rPr>
          <w:rFonts w:cstheme="minorHAnsi"/>
        </w:rPr>
        <w:t> </w:t>
      </w:r>
      <w:r w:rsidRPr="00DA7ABE">
        <w:rPr>
          <w:rFonts w:cstheme="minorHAnsi"/>
        </w:rPr>
        <w:t xml:space="preserve">zaslat e-mailem na příslušnou e-mailovou adresu. </w:t>
      </w:r>
    </w:p>
    <w:p w14:paraId="6452D61D" w14:textId="77777777" w:rsidR="007175FE" w:rsidRPr="00DA7ABE" w:rsidRDefault="007175FE" w:rsidP="007175FE">
      <w:pPr>
        <w:rPr>
          <w:rFonts w:cstheme="minorHAnsi"/>
        </w:rPr>
      </w:pPr>
      <w:r w:rsidRPr="00DA7ABE">
        <w:rPr>
          <w:rFonts w:cstheme="minorHAnsi"/>
        </w:rPr>
        <w:t xml:space="preserve">Datum sběru: </w:t>
      </w:r>
      <w:r w:rsidRPr="00DA7ABE">
        <w:rPr>
          <w:rFonts w:cstheme="minorHAnsi"/>
        </w:rPr>
        <w:tab/>
      </w:r>
      <w:r w:rsidRPr="00DA7ABE">
        <w:rPr>
          <w:rFonts w:cstheme="minorHAnsi"/>
        </w:rPr>
        <w:tab/>
        <w:t>23. 6. - 13. 7. 2020</w:t>
      </w:r>
    </w:p>
    <w:p w14:paraId="58ED12B1" w14:textId="77777777" w:rsidR="007175FE" w:rsidRPr="00DA7ABE" w:rsidRDefault="007175FE" w:rsidP="007175FE">
      <w:pPr>
        <w:rPr>
          <w:rFonts w:cstheme="minorHAnsi"/>
        </w:rPr>
      </w:pPr>
      <w:r w:rsidRPr="00DA7ABE">
        <w:rPr>
          <w:rFonts w:cstheme="minorHAnsi"/>
        </w:rPr>
        <w:t>Počet respondentů:</w:t>
      </w:r>
      <w:r w:rsidRPr="00DA7ABE">
        <w:rPr>
          <w:rFonts w:cstheme="minorHAnsi"/>
        </w:rPr>
        <w:tab/>
        <w:t>993</w:t>
      </w:r>
    </w:p>
    <w:p w14:paraId="19F2E951" w14:textId="77777777" w:rsidR="007175FE" w:rsidRDefault="007175FE" w:rsidP="007175FE">
      <w:pPr>
        <w:rPr>
          <w:rFonts w:cstheme="minorHAnsi"/>
        </w:rPr>
      </w:pPr>
      <w:r w:rsidRPr="00DA7ABE">
        <w:rPr>
          <w:rFonts w:cstheme="minorHAnsi"/>
        </w:rPr>
        <w:t>Celkem bylo vysbíráno 993 vyplněných dotazníků, z toho 857 dotazníků bylo vyplněno online a 126 odevzdáno fyzicky a 10 dotazníků bylo zasláno e-mailem.</w:t>
      </w:r>
    </w:p>
    <w:p w14:paraId="16ED9A2D" w14:textId="2C68DFE4" w:rsidR="007175FE" w:rsidRPr="003D492B" w:rsidRDefault="007175FE" w:rsidP="007175FE">
      <w:pPr>
        <w:rPr>
          <w:rFonts w:cstheme="minorHAnsi"/>
        </w:rPr>
      </w:pPr>
      <w:r w:rsidRPr="001A5EF5">
        <w:t>Dotazníky byly posléze podrobeny logické kontrole a data byla analyzována prostřednictvím statistického softwaru SPSS.</w:t>
      </w:r>
      <w:r w:rsidRPr="006425CA">
        <w:rPr>
          <w:rFonts w:cstheme="minorHAnsi"/>
        </w:rPr>
        <w:t xml:space="preserve"> </w:t>
      </w:r>
      <w:r>
        <w:rPr>
          <w:rFonts w:cstheme="minorHAnsi"/>
        </w:rPr>
        <w:t>V případech, kdy respondenti hodnotili danou otázku jako celek (např.</w:t>
      </w:r>
      <w:r w:rsidR="00CB4CBD">
        <w:rPr>
          <w:rFonts w:cstheme="minorHAnsi"/>
        </w:rPr>
        <w:t>:</w:t>
      </w:r>
      <w:r>
        <w:rPr>
          <w:rFonts w:cstheme="minorHAnsi"/>
        </w:rPr>
        <w:t xml:space="preserve"> Jak jste spokojeni se životem ve Zlíně), byly vyhodnoceny procentuálním podílem jednotlivých odpovědí v rámci vyhodnocovaných skupin respondentů. U otázky č. 14, kdy respondenti vybírali, co by mělo město podporovat, bylo zjištěno jaký podíl respondentů (%) zvolilo danou možnost, jelikož každý respondent měl na výběr maximálně 3 možnosti</w:t>
      </w:r>
      <w:r w:rsidR="00CB4CBD">
        <w:rPr>
          <w:rFonts w:cstheme="minorHAnsi"/>
        </w:rPr>
        <w:t>,</w:t>
      </w:r>
      <w:r>
        <w:rPr>
          <w:rFonts w:cstheme="minorHAnsi"/>
        </w:rPr>
        <w:t xml:space="preserve"> součet jednotlivých podílů je více než 100 %. U</w:t>
      </w:r>
      <w:r w:rsidR="00CB4CBD">
        <w:rPr>
          <w:rFonts w:cstheme="minorHAnsi"/>
        </w:rPr>
        <w:t> </w:t>
      </w:r>
      <w:r>
        <w:rPr>
          <w:rFonts w:cstheme="minorHAnsi"/>
        </w:rPr>
        <w:t>otázek, kdy respondenti hodnotili v rámci jedné otázky více podotázek, bylo hodnocení převedeno na škálu 0</w:t>
      </w:r>
      <w:r w:rsidR="00CB4CBD">
        <w:rPr>
          <w:rFonts w:cstheme="minorHAnsi"/>
        </w:rPr>
        <w:t xml:space="preserve"> </w:t>
      </w:r>
      <w:r w:rsidR="00CB4CBD">
        <w:rPr>
          <w:rFonts w:cstheme="minorHAnsi"/>
        </w:rPr>
        <w:sym w:font="Symbol" w:char="F02D"/>
      </w:r>
      <w:r w:rsidR="00CB4CBD">
        <w:rPr>
          <w:rFonts w:cstheme="minorHAnsi"/>
        </w:rPr>
        <w:t xml:space="preserve"> </w:t>
      </w:r>
      <w:r>
        <w:rPr>
          <w:rFonts w:cstheme="minorHAnsi"/>
        </w:rPr>
        <w:t>100, přičemž následně bylo zjištěno průměrné hodnocení na této škále, a to z důvodu přehlednosti a srovnání jednotlivých podtémat. Otevřené otázky byly kategorizovány podle jednotlivých témat a následně byly zjištěny nejčetnější odpovědi, ze kterých byl vytvořen „mrak slov“ (v oficiálních barvách města, tzn. žlutá, modrá + bílá), u otázek s velkou četností odpovědí byl vytvořen rovněž seznam nejčetnějších odpovědí. Všechny odpovědi (jak na uzavřené, tak i otevřené otázky) byly slovně okomentovány.</w:t>
      </w:r>
    </w:p>
    <w:p w14:paraId="34406A58" w14:textId="77777777" w:rsidR="007175FE" w:rsidRPr="00DA7ABE" w:rsidRDefault="007175FE" w:rsidP="007175FE">
      <w:pPr>
        <w:pStyle w:val="Nadpis3"/>
      </w:pPr>
      <w:bookmarkStart w:id="539" w:name="_Toc50116440"/>
      <w:bookmarkStart w:id="540" w:name="_Toc77074620"/>
      <w:r w:rsidRPr="00DA7ABE">
        <w:t>Charakteristika respondentů</w:t>
      </w:r>
      <w:bookmarkEnd w:id="539"/>
      <w:bookmarkEnd w:id="540"/>
    </w:p>
    <w:p w14:paraId="263C7C13" w14:textId="77777777" w:rsidR="007175FE" w:rsidRDefault="007175FE" w:rsidP="007175FE">
      <w:pPr>
        <w:keepNext/>
        <w:keepLines/>
        <w:rPr>
          <w:rFonts w:cstheme="minorHAnsi"/>
        </w:rPr>
      </w:pPr>
      <w:r>
        <w:rPr>
          <w:rFonts w:cstheme="minorHAnsi"/>
        </w:rPr>
        <w:t>Výsledky z výběrového souboru jsou rozděleny na 3 skupiny:</w:t>
      </w:r>
    </w:p>
    <w:p w14:paraId="7970B107" w14:textId="77777777" w:rsidR="007175FE" w:rsidRDefault="007175FE" w:rsidP="00A55F7D">
      <w:pPr>
        <w:pStyle w:val="Odstavecseseznamem"/>
        <w:keepNext/>
        <w:keepLines/>
        <w:numPr>
          <w:ilvl w:val="0"/>
          <w:numId w:val="73"/>
        </w:numPr>
        <w:spacing w:before="0" w:after="160" w:line="259" w:lineRule="auto"/>
        <w:rPr>
          <w:rFonts w:cstheme="minorHAnsi"/>
        </w:rPr>
      </w:pPr>
      <w:r w:rsidRPr="00B47556">
        <w:rPr>
          <w:rFonts w:cstheme="minorHAnsi"/>
        </w:rPr>
        <w:t>Občané Zlína, kteří zde mají trvalý pobyt (tato skupina je převážena dle</w:t>
      </w:r>
      <w:r>
        <w:rPr>
          <w:rFonts w:cstheme="minorHAnsi"/>
        </w:rPr>
        <w:t xml:space="preserve"> struktury základního souboru v charakteristice věk a pohlaví).</w:t>
      </w:r>
    </w:p>
    <w:p w14:paraId="7344485C" w14:textId="77777777" w:rsidR="007175FE" w:rsidRDefault="007175FE" w:rsidP="00A55F7D">
      <w:pPr>
        <w:pStyle w:val="Odstavecseseznamem"/>
        <w:keepNext/>
        <w:keepLines/>
        <w:numPr>
          <w:ilvl w:val="0"/>
          <w:numId w:val="73"/>
        </w:numPr>
        <w:spacing w:before="0" w:after="160" w:line="259" w:lineRule="auto"/>
        <w:rPr>
          <w:rFonts w:cstheme="minorHAnsi"/>
        </w:rPr>
      </w:pPr>
      <w:r>
        <w:rPr>
          <w:rFonts w:cstheme="minorHAnsi"/>
        </w:rPr>
        <w:t>Obyvatelé žijící ve Zlíně, kteří zde nemají trvalý pobyt (60 % tvoří studenti VŠ, 40 % obyvatelé, kteří nestudují VŠ).</w:t>
      </w:r>
    </w:p>
    <w:p w14:paraId="1D98E424" w14:textId="77777777" w:rsidR="007175FE" w:rsidRPr="00B47556" w:rsidRDefault="007175FE" w:rsidP="00A55F7D">
      <w:pPr>
        <w:pStyle w:val="Odstavecseseznamem"/>
        <w:keepNext/>
        <w:keepLines/>
        <w:numPr>
          <w:ilvl w:val="0"/>
          <w:numId w:val="73"/>
        </w:numPr>
        <w:spacing w:before="0" w:after="160" w:line="259" w:lineRule="auto"/>
        <w:rPr>
          <w:rFonts w:cstheme="minorHAnsi"/>
        </w:rPr>
      </w:pPr>
      <w:r>
        <w:rPr>
          <w:rFonts w:cstheme="minorHAnsi"/>
        </w:rPr>
        <w:t>Studenti UTB, bez ohledu na místo trvalého pobytu.</w:t>
      </w:r>
    </w:p>
    <w:p w14:paraId="0D74F027" w14:textId="289A2850" w:rsidR="007175FE" w:rsidRPr="001A5EF5" w:rsidRDefault="007175FE" w:rsidP="007175FE">
      <w:r>
        <w:t>V </w:t>
      </w:r>
      <w:r w:rsidRPr="001A5EF5">
        <w:t xml:space="preserve">tabulce </w:t>
      </w:r>
      <w:r w:rsidR="00EA4CBD">
        <w:t>2.1</w:t>
      </w:r>
      <w:r w:rsidRPr="001A5EF5">
        <w:t xml:space="preserve"> je uvedeno rozdělení základního souboru na muže a ženy v absolutních a relativních hodnotách. K získání informací o základním souboru byla použita data z Českého statistického úřadu – bilance obyvatelstva k 1. 1. 2020. Ve </w:t>
      </w:r>
      <w:r>
        <w:t>Zlíně</w:t>
      </w:r>
      <w:r w:rsidRPr="001A5EF5">
        <w:t xml:space="preserve"> žilo k tomuto datu celkem </w:t>
      </w:r>
      <w:r>
        <w:t>63 501</w:t>
      </w:r>
      <w:r w:rsidRPr="001A5EF5">
        <w:t xml:space="preserve"> obyvatel starších 1</w:t>
      </w:r>
      <w:r>
        <w:t>5 let. Největší podíl 49,1</w:t>
      </w:r>
      <w:r w:rsidRPr="001A5EF5">
        <w:t xml:space="preserve"> % tvořili obyvatelé ve věkové skupině 35 </w:t>
      </w:r>
      <w:r w:rsidR="00CB4CBD">
        <w:sym w:font="Symbol" w:char="F02D"/>
      </w:r>
      <w:r w:rsidRPr="001A5EF5">
        <w:t xml:space="preserve"> 64 let.</w:t>
      </w:r>
    </w:p>
    <w:p w14:paraId="5A2DCF0D" w14:textId="09597A8C" w:rsidR="007175FE" w:rsidRDefault="006B5B80" w:rsidP="006B5B80">
      <w:pPr>
        <w:pStyle w:val="Titulek"/>
      </w:pPr>
      <w:bookmarkStart w:id="541" w:name="_Toc54702616"/>
      <w:bookmarkStart w:id="542" w:name="_Toc56179422"/>
      <w:bookmarkStart w:id="543" w:name="_Toc57731780"/>
      <w:bookmarkStart w:id="544" w:name="_Toc77074764"/>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1</w:t>
      </w:r>
      <w:r w:rsidR="004857C6">
        <w:rPr>
          <w:noProof/>
        </w:rPr>
        <w:fldChar w:fldCharType="end"/>
      </w:r>
      <w:r w:rsidR="00CB4CBD">
        <w:rPr>
          <w:noProof/>
        </w:rPr>
        <w:t>:</w:t>
      </w:r>
      <w:r w:rsidR="007175FE" w:rsidRPr="00B47556">
        <w:t xml:space="preserve"> Struktura základního souboru dle věku a pohlaví</w:t>
      </w:r>
      <w:bookmarkEnd w:id="541"/>
      <w:bookmarkEnd w:id="542"/>
      <w:bookmarkEnd w:id="543"/>
      <w:bookmarkEnd w:id="544"/>
    </w:p>
    <w:tbl>
      <w:tblPr>
        <w:tblW w:w="5000" w:type="pct"/>
        <w:tblCellMar>
          <w:left w:w="70" w:type="dxa"/>
          <w:right w:w="70" w:type="dxa"/>
        </w:tblCellMar>
        <w:tblLook w:val="04A0" w:firstRow="1" w:lastRow="0" w:firstColumn="1" w:lastColumn="0" w:noHBand="0" w:noVBand="1"/>
      </w:tblPr>
      <w:tblGrid>
        <w:gridCol w:w="1086"/>
        <w:gridCol w:w="1000"/>
        <w:gridCol w:w="1000"/>
        <w:gridCol w:w="1000"/>
        <w:gridCol w:w="1089"/>
        <w:gridCol w:w="932"/>
        <w:gridCol w:w="932"/>
        <w:gridCol w:w="932"/>
        <w:gridCol w:w="1091"/>
      </w:tblGrid>
      <w:tr w:rsidR="007175FE" w:rsidRPr="007526A7" w14:paraId="1A03C7FA" w14:textId="77777777" w:rsidTr="000C49A5">
        <w:trPr>
          <w:trHeight w:val="240"/>
        </w:trPr>
        <w:tc>
          <w:tcPr>
            <w:tcW w:w="599"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A6CF91F" w14:textId="77777777" w:rsidR="007175FE" w:rsidRPr="007526A7" w:rsidRDefault="007175FE"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Pohlaví</w:t>
            </w:r>
          </w:p>
        </w:tc>
        <w:tc>
          <w:tcPr>
            <w:tcW w:w="2256" w:type="pct"/>
            <w:gridSpan w:val="4"/>
            <w:tcBorders>
              <w:top w:val="single" w:sz="4" w:space="0" w:color="auto"/>
              <w:left w:val="nil"/>
              <w:bottom w:val="single" w:sz="4" w:space="0" w:color="auto"/>
              <w:right w:val="single" w:sz="4" w:space="0" w:color="auto"/>
            </w:tcBorders>
            <w:shd w:val="clear" w:color="000000" w:fill="F2F2F2"/>
            <w:noWrap/>
            <w:vAlign w:val="center"/>
            <w:hideMark/>
          </w:tcPr>
          <w:p w14:paraId="319DD41C" w14:textId="77777777" w:rsidR="007175FE" w:rsidRPr="007526A7" w:rsidRDefault="007175FE"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Počet</w:t>
            </w:r>
          </w:p>
        </w:tc>
        <w:tc>
          <w:tcPr>
            <w:tcW w:w="2145" w:type="pct"/>
            <w:gridSpan w:val="4"/>
            <w:tcBorders>
              <w:top w:val="single" w:sz="4" w:space="0" w:color="auto"/>
              <w:left w:val="nil"/>
              <w:bottom w:val="single" w:sz="4" w:space="0" w:color="auto"/>
              <w:right w:val="single" w:sz="4" w:space="0" w:color="auto"/>
            </w:tcBorders>
            <w:shd w:val="clear" w:color="000000" w:fill="F2F2F2"/>
            <w:noWrap/>
            <w:vAlign w:val="center"/>
            <w:hideMark/>
          </w:tcPr>
          <w:p w14:paraId="0EDEF258" w14:textId="77777777" w:rsidR="007175FE" w:rsidRPr="007526A7" w:rsidRDefault="007175FE"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Podíl (%)</w:t>
            </w:r>
          </w:p>
        </w:tc>
      </w:tr>
      <w:tr w:rsidR="007175FE" w:rsidRPr="007526A7" w14:paraId="70416325" w14:textId="77777777" w:rsidTr="000C49A5">
        <w:trPr>
          <w:trHeight w:val="240"/>
        </w:trPr>
        <w:tc>
          <w:tcPr>
            <w:tcW w:w="599" w:type="pct"/>
            <w:vMerge/>
            <w:tcBorders>
              <w:top w:val="single" w:sz="4" w:space="0" w:color="auto"/>
              <w:left w:val="single" w:sz="4" w:space="0" w:color="auto"/>
              <w:bottom w:val="single" w:sz="4" w:space="0" w:color="auto"/>
              <w:right w:val="single" w:sz="4" w:space="0" w:color="auto"/>
            </w:tcBorders>
            <w:vAlign w:val="center"/>
            <w:hideMark/>
          </w:tcPr>
          <w:p w14:paraId="1E1B8987" w14:textId="77777777" w:rsidR="007175FE" w:rsidRPr="007526A7" w:rsidRDefault="007175FE" w:rsidP="000C49A5">
            <w:pPr>
              <w:rPr>
                <w:rFonts w:ascii="Calibri" w:eastAsia="Times New Roman" w:hAnsi="Calibri" w:cs="Calibri"/>
                <w:b/>
                <w:bCs/>
                <w:color w:val="000000"/>
                <w:sz w:val="18"/>
                <w:szCs w:val="18"/>
                <w:lang w:eastAsia="cs-CZ"/>
              </w:rPr>
            </w:pPr>
          </w:p>
        </w:tc>
        <w:tc>
          <w:tcPr>
            <w:tcW w:w="552" w:type="pct"/>
            <w:tcBorders>
              <w:top w:val="nil"/>
              <w:left w:val="nil"/>
              <w:bottom w:val="single" w:sz="4" w:space="0" w:color="auto"/>
              <w:right w:val="single" w:sz="4" w:space="0" w:color="auto"/>
            </w:tcBorders>
            <w:shd w:val="clear" w:color="000000" w:fill="F2F2F2"/>
            <w:noWrap/>
            <w:vAlign w:val="center"/>
            <w:hideMark/>
          </w:tcPr>
          <w:p w14:paraId="2177D35E" w14:textId="7CCFCB51" w:rsidR="007175FE" w:rsidRPr="007526A7" w:rsidRDefault="007175FE" w:rsidP="00CB4CBD">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15</w:t>
            </w:r>
            <w:r w:rsidR="00CB4CBD">
              <w:rPr>
                <w:rFonts w:ascii="Calibri" w:eastAsia="Times New Roman" w:hAnsi="Calibri" w:cs="Calibri"/>
                <w:b/>
                <w:bCs/>
                <w:color w:val="000000"/>
                <w:sz w:val="18"/>
                <w:szCs w:val="18"/>
                <w:lang w:eastAsia="cs-CZ"/>
              </w:rPr>
              <w:t xml:space="preserve"> </w:t>
            </w:r>
            <w:r w:rsidR="00CB4CBD">
              <w:rPr>
                <w:rFonts w:ascii="Calibri" w:eastAsia="Times New Roman" w:hAnsi="Calibri" w:cs="Calibri"/>
                <w:b/>
                <w:bCs/>
                <w:color w:val="000000"/>
                <w:sz w:val="18"/>
                <w:szCs w:val="18"/>
                <w:lang w:eastAsia="cs-CZ"/>
              </w:rPr>
              <w:sym w:font="Symbol" w:char="F02D"/>
            </w:r>
            <w:r w:rsidR="00CB4CBD">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34</w:t>
            </w:r>
          </w:p>
        </w:tc>
        <w:tc>
          <w:tcPr>
            <w:tcW w:w="552" w:type="pct"/>
            <w:tcBorders>
              <w:top w:val="nil"/>
              <w:left w:val="nil"/>
              <w:bottom w:val="single" w:sz="4" w:space="0" w:color="auto"/>
              <w:right w:val="single" w:sz="4" w:space="0" w:color="auto"/>
            </w:tcBorders>
            <w:shd w:val="clear" w:color="000000" w:fill="F2F2F2"/>
            <w:noWrap/>
            <w:vAlign w:val="center"/>
            <w:hideMark/>
          </w:tcPr>
          <w:p w14:paraId="0CF47007" w14:textId="25569D8C" w:rsidR="007175FE" w:rsidRPr="007526A7" w:rsidRDefault="007175FE" w:rsidP="00CB4CBD">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35</w:t>
            </w:r>
            <w:r w:rsidR="00CB4CBD">
              <w:rPr>
                <w:rFonts w:ascii="Calibri" w:eastAsia="Times New Roman" w:hAnsi="Calibri" w:cs="Calibri"/>
                <w:b/>
                <w:bCs/>
                <w:color w:val="000000"/>
                <w:sz w:val="18"/>
                <w:szCs w:val="18"/>
                <w:lang w:eastAsia="cs-CZ"/>
              </w:rPr>
              <w:t xml:space="preserve"> </w:t>
            </w:r>
            <w:r w:rsidR="00CB4CBD">
              <w:rPr>
                <w:rFonts w:ascii="Calibri" w:eastAsia="Times New Roman" w:hAnsi="Calibri" w:cs="Calibri"/>
                <w:b/>
                <w:bCs/>
                <w:color w:val="000000"/>
                <w:sz w:val="18"/>
                <w:szCs w:val="18"/>
                <w:lang w:eastAsia="cs-CZ"/>
              </w:rPr>
              <w:sym w:font="Symbol" w:char="F02D"/>
            </w:r>
            <w:r w:rsidR="00CB4CBD">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64</w:t>
            </w:r>
          </w:p>
        </w:tc>
        <w:tc>
          <w:tcPr>
            <w:tcW w:w="552" w:type="pct"/>
            <w:tcBorders>
              <w:top w:val="nil"/>
              <w:left w:val="nil"/>
              <w:bottom w:val="single" w:sz="4" w:space="0" w:color="auto"/>
              <w:right w:val="single" w:sz="4" w:space="0" w:color="auto"/>
            </w:tcBorders>
            <w:shd w:val="clear" w:color="000000" w:fill="F2F2F2"/>
            <w:noWrap/>
            <w:vAlign w:val="center"/>
            <w:hideMark/>
          </w:tcPr>
          <w:p w14:paraId="187A7CD6" w14:textId="77777777" w:rsidR="007175FE" w:rsidRPr="007526A7" w:rsidRDefault="007175FE"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65+</w:t>
            </w:r>
          </w:p>
        </w:tc>
        <w:tc>
          <w:tcPr>
            <w:tcW w:w="601" w:type="pct"/>
            <w:tcBorders>
              <w:top w:val="nil"/>
              <w:left w:val="nil"/>
              <w:bottom w:val="single" w:sz="4" w:space="0" w:color="auto"/>
              <w:right w:val="single" w:sz="4" w:space="0" w:color="auto"/>
            </w:tcBorders>
            <w:shd w:val="clear" w:color="000000" w:fill="F2F2F2"/>
            <w:noWrap/>
            <w:vAlign w:val="center"/>
            <w:hideMark/>
          </w:tcPr>
          <w:p w14:paraId="2E13CB60" w14:textId="77777777" w:rsidR="007175FE" w:rsidRPr="007526A7" w:rsidRDefault="007175FE"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Celkem</w:t>
            </w:r>
          </w:p>
        </w:tc>
        <w:tc>
          <w:tcPr>
            <w:tcW w:w="514" w:type="pct"/>
            <w:tcBorders>
              <w:top w:val="nil"/>
              <w:left w:val="nil"/>
              <w:bottom w:val="single" w:sz="4" w:space="0" w:color="auto"/>
              <w:right w:val="single" w:sz="4" w:space="0" w:color="auto"/>
            </w:tcBorders>
            <w:shd w:val="clear" w:color="000000" w:fill="F2F2F2"/>
            <w:noWrap/>
            <w:vAlign w:val="center"/>
            <w:hideMark/>
          </w:tcPr>
          <w:p w14:paraId="486DED1A" w14:textId="3FA764DA" w:rsidR="007175FE" w:rsidRPr="007526A7" w:rsidRDefault="007175FE" w:rsidP="00CB4CBD">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15</w:t>
            </w:r>
            <w:r w:rsidR="00CB4CBD">
              <w:rPr>
                <w:rFonts w:ascii="Calibri" w:eastAsia="Times New Roman" w:hAnsi="Calibri" w:cs="Calibri"/>
                <w:b/>
                <w:bCs/>
                <w:color w:val="000000"/>
                <w:sz w:val="18"/>
                <w:szCs w:val="18"/>
                <w:lang w:eastAsia="cs-CZ"/>
              </w:rPr>
              <w:t xml:space="preserve"> </w:t>
            </w:r>
            <w:r w:rsidR="00CB4CBD">
              <w:rPr>
                <w:rFonts w:ascii="Calibri" w:eastAsia="Times New Roman" w:hAnsi="Calibri" w:cs="Calibri"/>
                <w:b/>
                <w:bCs/>
                <w:color w:val="000000"/>
                <w:sz w:val="18"/>
                <w:szCs w:val="18"/>
                <w:lang w:eastAsia="cs-CZ"/>
              </w:rPr>
              <w:sym w:font="Symbol" w:char="F02D"/>
            </w:r>
            <w:r w:rsidR="00CB4CBD">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34</w:t>
            </w:r>
          </w:p>
        </w:tc>
        <w:tc>
          <w:tcPr>
            <w:tcW w:w="514" w:type="pct"/>
            <w:tcBorders>
              <w:top w:val="nil"/>
              <w:left w:val="nil"/>
              <w:bottom w:val="single" w:sz="4" w:space="0" w:color="auto"/>
              <w:right w:val="single" w:sz="4" w:space="0" w:color="auto"/>
            </w:tcBorders>
            <w:shd w:val="clear" w:color="000000" w:fill="F2F2F2"/>
            <w:noWrap/>
            <w:vAlign w:val="center"/>
            <w:hideMark/>
          </w:tcPr>
          <w:p w14:paraId="3C2DE65F" w14:textId="4C554C09" w:rsidR="007175FE" w:rsidRPr="007526A7" w:rsidRDefault="007175FE" w:rsidP="00CB4CBD">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35</w:t>
            </w:r>
            <w:r w:rsidR="00CB4CBD">
              <w:rPr>
                <w:rFonts w:ascii="Calibri" w:eastAsia="Times New Roman" w:hAnsi="Calibri" w:cs="Calibri"/>
                <w:b/>
                <w:bCs/>
                <w:color w:val="000000"/>
                <w:sz w:val="18"/>
                <w:szCs w:val="18"/>
                <w:lang w:eastAsia="cs-CZ"/>
              </w:rPr>
              <w:t xml:space="preserve"> </w:t>
            </w:r>
            <w:r w:rsidR="00CB4CBD">
              <w:rPr>
                <w:rFonts w:ascii="Calibri" w:eastAsia="Times New Roman" w:hAnsi="Calibri" w:cs="Calibri"/>
                <w:b/>
                <w:bCs/>
                <w:color w:val="000000"/>
                <w:sz w:val="18"/>
                <w:szCs w:val="18"/>
                <w:lang w:eastAsia="cs-CZ"/>
              </w:rPr>
              <w:sym w:font="Symbol" w:char="F02D"/>
            </w:r>
            <w:r w:rsidR="00CB4CBD">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64</w:t>
            </w:r>
          </w:p>
        </w:tc>
        <w:tc>
          <w:tcPr>
            <w:tcW w:w="514" w:type="pct"/>
            <w:tcBorders>
              <w:top w:val="nil"/>
              <w:left w:val="nil"/>
              <w:bottom w:val="single" w:sz="4" w:space="0" w:color="auto"/>
              <w:right w:val="single" w:sz="4" w:space="0" w:color="auto"/>
            </w:tcBorders>
            <w:shd w:val="clear" w:color="000000" w:fill="F2F2F2"/>
            <w:noWrap/>
            <w:vAlign w:val="center"/>
            <w:hideMark/>
          </w:tcPr>
          <w:p w14:paraId="47EBA1E1" w14:textId="77777777" w:rsidR="007175FE" w:rsidRPr="007526A7" w:rsidRDefault="007175FE"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65+</w:t>
            </w:r>
          </w:p>
        </w:tc>
        <w:tc>
          <w:tcPr>
            <w:tcW w:w="602" w:type="pct"/>
            <w:tcBorders>
              <w:top w:val="nil"/>
              <w:left w:val="nil"/>
              <w:bottom w:val="single" w:sz="4" w:space="0" w:color="auto"/>
              <w:right w:val="single" w:sz="4" w:space="0" w:color="auto"/>
            </w:tcBorders>
            <w:shd w:val="clear" w:color="000000" w:fill="F2F2F2"/>
            <w:noWrap/>
            <w:vAlign w:val="center"/>
            <w:hideMark/>
          </w:tcPr>
          <w:p w14:paraId="35AE06A3" w14:textId="77777777" w:rsidR="007175FE" w:rsidRPr="007526A7" w:rsidRDefault="007175FE"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Celkem</w:t>
            </w:r>
          </w:p>
        </w:tc>
      </w:tr>
      <w:tr w:rsidR="007175FE" w:rsidRPr="007526A7" w14:paraId="017EE55F" w14:textId="77777777" w:rsidTr="000C49A5">
        <w:trPr>
          <w:trHeight w:val="264"/>
        </w:trPr>
        <w:tc>
          <w:tcPr>
            <w:tcW w:w="599" w:type="pct"/>
            <w:tcBorders>
              <w:top w:val="nil"/>
              <w:left w:val="single" w:sz="4" w:space="0" w:color="auto"/>
              <w:bottom w:val="single" w:sz="4" w:space="0" w:color="auto"/>
              <w:right w:val="single" w:sz="4" w:space="0" w:color="auto"/>
            </w:tcBorders>
            <w:shd w:val="clear" w:color="auto" w:fill="auto"/>
            <w:noWrap/>
            <w:vAlign w:val="bottom"/>
            <w:hideMark/>
          </w:tcPr>
          <w:p w14:paraId="17856AAB" w14:textId="77777777" w:rsidR="007175FE" w:rsidRPr="007526A7" w:rsidRDefault="007175FE" w:rsidP="000C49A5">
            <w:pPr>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Muži</w:t>
            </w:r>
          </w:p>
        </w:tc>
        <w:tc>
          <w:tcPr>
            <w:tcW w:w="552" w:type="pct"/>
            <w:tcBorders>
              <w:top w:val="single" w:sz="4" w:space="0" w:color="auto"/>
              <w:left w:val="single" w:sz="4" w:space="0" w:color="auto"/>
              <w:bottom w:val="single" w:sz="4" w:space="0" w:color="auto"/>
              <w:right w:val="single" w:sz="4" w:space="0" w:color="auto"/>
            </w:tcBorders>
            <w:shd w:val="clear" w:color="000000" w:fill="FCEEF1"/>
            <w:noWrap/>
            <w:vAlign w:val="bottom"/>
            <w:hideMark/>
          </w:tcPr>
          <w:p w14:paraId="7459EF12" w14:textId="77777777"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7 795</w:t>
            </w:r>
          </w:p>
        </w:tc>
        <w:tc>
          <w:tcPr>
            <w:tcW w:w="552" w:type="pct"/>
            <w:tcBorders>
              <w:top w:val="single" w:sz="4" w:space="0" w:color="auto"/>
              <w:left w:val="single" w:sz="4" w:space="0" w:color="auto"/>
              <w:bottom w:val="single" w:sz="4" w:space="0" w:color="auto"/>
              <w:right w:val="single" w:sz="4" w:space="0" w:color="auto"/>
            </w:tcBorders>
            <w:shd w:val="clear" w:color="000000" w:fill="F97072"/>
            <w:noWrap/>
            <w:vAlign w:val="bottom"/>
            <w:hideMark/>
          </w:tcPr>
          <w:p w14:paraId="39357449" w14:textId="77777777"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15 382</w:t>
            </w:r>
          </w:p>
        </w:tc>
        <w:tc>
          <w:tcPr>
            <w:tcW w:w="55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52BAD9FA" w14:textId="77777777"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6 899</w:t>
            </w:r>
          </w:p>
        </w:tc>
        <w:tc>
          <w:tcPr>
            <w:tcW w:w="601" w:type="pct"/>
            <w:tcBorders>
              <w:top w:val="nil"/>
              <w:left w:val="nil"/>
              <w:bottom w:val="single" w:sz="4" w:space="0" w:color="auto"/>
              <w:right w:val="single" w:sz="4" w:space="0" w:color="auto"/>
            </w:tcBorders>
            <w:shd w:val="clear" w:color="auto" w:fill="auto"/>
            <w:noWrap/>
            <w:vAlign w:val="bottom"/>
            <w:hideMark/>
          </w:tcPr>
          <w:p w14:paraId="65493445" w14:textId="77777777" w:rsidR="007175FE" w:rsidRPr="007526A7" w:rsidRDefault="007175FE" w:rsidP="000C49A5">
            <w:pPr>
              <w:jc w:val="right"/>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30 076</w:t>
            </w:r>
          </w:p>
        </w:tc>
        <w:tc>
          <w:tcPr>
            <w:tcW w:w="514" w:type="pct"/>
            <w:tcBorders>
              <w:top w:val="single" w:sz="4" w:space="0" w:color="auto"/>
              <w:left w:val="single" w:sz="4" w:space="0" w:color="auto"/>
              <w:bottom w:val="single" w:sz="4" w:space="0" w:color="auto"/>
              <w:right w:val="single" w:sz="4" w:space="0" w:color="auto"/>
            </w:tcBorders>
            <w:shd w:val="clear" w:color="000000" w:fill="FCEEF1"/>
            <w:noWrap/>
            <w:vAlign w:val="bottom"/>
            <w:hideMark/>
          </w:tcPr>
          <w:p w14:paraId="44671CD9" w14:textId="7F52D8D8"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12,3</w:t>
            </w:r>
            <w:r w:rsidR="00CB4CBD">
              <w:rPr>
                <w:rFonts w:ascii="Arial CE" w:eastAsia="Times New Roman" w:hAnsi="Arial CE" w:cs="Arial"/>
                <w:sz w:val="16"/>
                <w:szCs w:val="16"/>
                <w:lang w:eastAsia="cs-CZ"/>
              </w:rPr>
              <w:t xml:space="preserve"> </w:t>
            </w:r>
            <w:r w:rsidRPr="007526A7">
              <w:rPr>
                <w:rFonts w:ascii="Arial CE" w:eastAsia="Times New Roman" w:hAnsi="Arial CE" w:cs="Arial"/>
                <w:sz w:val="16"/>
                <w:szCs w:val="16"/>
                <w:lang w:eastAsia="cs-CZ"/>
              </w:rPr>
              <w:t>%</w:t>
            </w:r>
          </w:p>
        </w:tc>
        <w:tc>
          <w:tcPr>
            <w:tcW w:w="514" w:type="pct"/>
            <w:tcBorders>
              <w:top w:val="single" w:sz="4" w:space="0" w:color="auto"/>
              <w:left w:val="single" w:sz="4" w:space="0" w:color="auto"/>
              <w:bottom w:val="single" w:sz="4" w:space="0" w:color="auto"/>
              <w:right w:val="single" w:sz="4" w:space="0" w:color="auto"/>
            </w:tcBorders>
            <w:shd w:val="clear" w:color="000000" w:fill="F97072"/>
            <w:noWrap/>
            <w:vAlign w:val="bottom"/>
            <w:hideMark/>
          </w:tcPr>
          <w:p w14:paraId="42CA8C3F" w14:textId="356DE182"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24,2</w:t>
            </w:r>
            <w:r w:rsidR="00CB4CBD">
              <w:rPr>
                <w:rFonts w:ascii="Arial CE" w:eastAsia="Times New Roman" w:hAnsi="Arial CE" w:cs="Arial"/>
                <w:sz w:val="16"/>
                <w:szCs w:val="16"/>
                <w:lang w:eastAsia="cs-CZ"/>
              </w:rPr>
              <w:t xml:space="preserve"> </w:t>
            </w:r>
            <w:r w:rsidRPr="007526A7">
              <w:rPr>
                <w:rFonts w:ascii="Arial CE" w:eastAsia="Times New Roman" w:hAnsi="Arial CE" w:cs="Arial"/>
                <w:sz w:val="16"/>
                <w:szCs w:val="16"/>
                <w:lang w:eastAsia="cs-CZ"/>
              </w:rPr>
              <w:t>%</w:t>
            </w:r>
          </w:p>
        </w:tc>
        <w:tc>
          <w:tcPr>
            <w:tcW w:w="514"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F731770" w14:textId="50B80E5B"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10,9</w:t>
            </w:r>
            <w:r w:rsidR="00CB4CBD">
              <w:rPr>
                <w:rFonts w:ascii="Arial CE" w:eastAsia="Times New Roman" w:hAnsi="Arial CE" w:cs="Arial"/>
                <w:sz w:val="16"/>
                <w:szCs w:val="16"/>
                <w:lang w:eastAsia="cs-CZ"/>
              </w:rPr>
              <w:t xml:space="preserve"> </w:t>
            </w:r>
            <w:r w:rsidRPr="007526A7">
              <w:rPr>
                <w:rFonts w:ascii="Arial CE" w:eastAsia="Times New Roman" w:hAnsi="Arial CE" w:cs="Arial"/>
                <w:sz w:val="16"/>
                <w:szCs w:val="16"/>
                <w:lang w:eastAsia="cs-CZ"/>
              </w:rPr>
              <w:t>%</w:t>
            </w:r>
          </w:p>
        </w:tc>
        <w:tc>
          <w:tcPr>
            <w:tcW w:w="602" w:type="pct"/>
            <w:tcBorders>
              <w:top w:val="nil"/>
              <w:left w:val="nil"/>
              <w:bottom w:val="single" w:sz="4" w:space="0" w:color="auto"/>
              <w:right w:val="single" w:sz="4" w:space="0" w:color="auto"/>
            </w:tcBorders>
            <w:shd w:val="clear" w:color="auto" w:fill="auto"/>
            <w:noWrap/>
            <w:vAlign w:val="bottom"/>
            <w:hideMark/>
          </w:tcPr>
          <w:p w14:paraId="2D5719A0" w14:textId="243A316F" w:rsidR="007175FE" w:rsidRPr="007526A7" w:rsidRDefault="007175FE" w:rsidP="000C49A5">
            <w:pPr>
              <w:jc w:val="right"/>
              <w:rPr>
                <w:rFonts w:ascii="Arial" w:eastAsia="Times New Roman" w:hAnsi="Arial" w:cs="Arial"/>
                <w:sz w:val="16"/>
                <w:szCs w:val="16"/>
                <w:lang w:eastAsia="cs-CZ"/>
              </w:rPr>
            </w:pPr>
            <w:r w:rsidRPr="007526A7">
              <w:rPr>
                <w:rFonts w:ascii="Arial" w:eastAsia="Times New Roman" w:hAnsi="Arial" w:cs="Arial"/>
                <w:sz w:val="16"/>
                <w:szCs w:val="16"/>
                <w:lang w:eastAsia="cs-CZ"/>
              </w:rPr>
              <w:t>47,4</w:t>
            </w:r>
            <w:r w:rsidR="00CB4CBD">
              <w:rPr>
                <w:rFonts w:ascii="Arial" w:eastAsia="Times New Roman" w:hAnsi="Arial" w:cs="Arial"/>
                <w:sz w:val="16"/>
                <w:szCs w:val="16"/>
                <w:lang w:eastAsia="cs-CZ"/>
              </w:rPr>
              <w:t xml:space="preserve"> </w:t>
            </w:r>
            <w:r w:rsidRPr="007526A7">
              <w:rPr>
                <w:rFonts w:ascii="Arial" w:eastAsia="Times New Roman" w:hAnsi="Arial" w:cs="Arial"/>
                <w:sz w:val="16"/>
                <w:szCs w:val="16"/>
                <w:lang w:eastAsia="cs-CZ"/>
              </w:rPr>
              <w:t>%</w:t>
            </w:r>
          </w:p>
        </w:tc>
      </w:tr>
      <w:tr w:rsidR="007175FE" w:rsidRPr="007526A7" w14:paraId="04C88CFD" w14:textId="77777777" w:rsidTr="000C49A5">
        <w:trPr>
          <w:trHeight w:val="240"/>
        </w:trPr>
        <w:tc>
          <w:tcPr>
            <w:tcW w:w="599" w:type="pct"/>
            <w:tcBorders>
              <w:top w:val="nil"/>
              <w:left w:val="single" w:sz="4" w:space="0" w:color="auto"/>
              <w:bottom w:val="single" w:sz="4" w:space="0" w:color="auto"/>
              <w:right w:val="single" w:sz="4" w:space="0" w:color="auto"/>
            </w:tcBorders>
            <w:shd w:val="clear" w:color="auto" w:fill="auto"/>
            <w:noWrap/>
            <w:vAlign w:val="bottom"/>
            <w:hideMark/>
          </w:tcPr>
          <w:p w14:paraId="7C32239B" w14:textId="77777777" w:rsidR="007175FE" w:rsidRPr="007526A7" w:rsidRDefault="007175FE" w:rsidP="000C49A5">
            <w:pPr>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Ženy</w:t>
            </w:r>
          </w:p>
        </w:tc>
        <w:tc>
          <w:tcPr>
            <w:tcW w:w="552" w:type="pct"/>
            <w:tcBorders>
              <w:top w:val="single" w:sz="4" w:space="0" w:color="auto"/>
              <w:left w:val="single" w:sz="4" w:space="0" w:color="auto"/>
              <w:bottom w:val="single" w:sz="4" w:space="0" w:color="auto"/>
              <w:right w:val="single" w:sz="4" w:space="0" w:color="auto"/>
            </w:tcBorders>
            <w:shd w:val="clear" w:color="000000" w:fill="FCF4F7"/>
            <w:noWrap/>
            <w:vAlign w:val="bottom"/>
            <w:hideMark/>
          </w:tcPr>
          <w:p w14:paraId="2A8CF70F" w14:textId="77777777"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7 413</w:t>
            </w:r>
          </w:p>
        </w:tc>
        <w:tc>
          <w:tcPr>
            <w:tcW w:w="55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CEEC24D" w14:textId="77777777"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15 785</w:t>
            </w:r>
          </w:p>
        </w:tc>
        <w:tc>
          <w:tcPr>
            <w:tcW w:w="552" w:type="pct"/>
            <w:tcBorders>
              <w:top w:val="single" w:sz="4" w:space="0" w:color="auto"/>
              <w:left w:val="single" w:sz="4" w:space="0" w:color="auto"/>
              <w:bottom w:val="single" w:sz="4" w:space="0" w:color="auto"/>
              <w:right w:val="single" w:sz="4" w:space="0" w:color="auto"/>
            </w:tcBorders>
            <w:shd w:val="clear" w:color="000000" w:fill="FBC5C8"/>
            <w:noWrap/>
            <w:vAlign w:val="bottom"/>
            <w:hideMark/>
          </w:tcPr>
          <w:p w14:paraId="6EA10B97" w14:textId="77777777"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10 227</w:t>
            </w:r>
          </w:p>
        </w:tc>
        <w:tc>
          <w:tcPr>
            <w:tcW w:w="601" w:type="pct"/>
            <w:tcBorders>
              <w:top w:val="nil"/>
              <w:left w:val="nil"/>
              <w:bottom w:val="single" w:sz="4" w:space="0" w:color="auto"/>
              <w:right w:val="single" w:sz="4" w:space="0" w:color="auto"/>
            </w:tcBorders>
            <w:shd w:val="clear" w:color="auto" w:fill="auto"/>
            <w:noWrap/>
            <w:vAlign w:val="bottom"/>
            <w:hideMark/>
          </w:tcPr>
          <w:p w14:paraId="3346975E" w14:textId="77777777" w:rsidR="007175FE" w:rsidRPr="007526A7" w:rsidRDefault="007175FE" w:rsidP="000C49A5">
            <w:pPr>
              <w:jc w:val="right"/>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33 425</w:t>
            </w:r>
          </w:p>
        </w:tc>
        <w:tc>
          <w:tcPr>
            <w:tcW w:w="514" w:type="pct"/>
            <w:tcBorders>
              <w:top w:val="single" w:sz="4" w:space="0" w:color="auto"/>
              <w:left w:val="single" w:sz="4" w:space="0" w:color="auto"/>
              <w:bottom w:val="single" w:sz="4" w:space="0" w:color="auto"/>
              <w:right w:val="single" w:sz="4" w:space="0" w:color="auto"/>
            </w:tcBorders>
            <w:shd w:val="clear" w:color="000000" w:fill="FCF4F7"/>
            <w:noWrap/>
            <w:vAlign w:val="bottom"/>
            <w:hideMark/>
          </w:tcPr>
          <w:p w14:paraId="3629C033" w14:textId="2855E608"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11,7</w:t>
            </w:r>
            <w:r w:rsidR="00CB4CBD">
              <w:rPr>
                <w:rFonts w:ascii="Arial CE" w:eastAsia="Times New Roman" w:hAnsi="Arial CE" w:cs="Arial"/>
                <w:sz w:val="16"/>
                <w:szCs w:val="16"/>
                <w:lang w:eastAsia="cs-CZ"/>
              </w:rPr>
              <w:t xml:space="preserve"> </w:t>
            </w:r>
            <w:r w:rsidRPr="007526A7">
              <w:rPr>
                <w:rFonts w:ascii="Arial CE" w:eastAsia="Times New Roman" w:hAnsi="Arial CE" w:cs="Arial"/>
                <w:sz w:val="16"/>
                <w:szCs w:val="16"/>
                <w:lang w:eastAsia="cs-CZ"/>
              </w:rPr>
              <w:t>%</w:t>
            </w:r>
          </w:p>
        </w:tc>
        <w:tc>
          <w:tcPr>
            <w:tcW w:w="514"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ABF3034" w14:textId="53710687"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24,9</w:t>
            </w:r>
            <w:r w:rsidR="00CB4CBD">
              <w:rPr>
                <w:rFonts w:ascii="Arial CE" w:eastAsia="Times New Roman" w:hAnsi="Arial CE" w:cs="Arial"/>
                <w:sz w:val="16"/>
                <w:szCs w:val="16"/>
                <w:lang w:eastAsia="cs-CZ"/>
              </w:rPr>
              <w:t xml:space="preserve"> </w:t>
            </w:r>
            <w:r w:rsidRPr="007526A7">
              <w:rPr>
                <w:rFonts w:ascii="Arial CE" w:eastAsia="Times New Roman" w:hAnsi="Arial CE" w:cs="Arial"/>
                <w:sz w:val="16"/>
                <w:szCs w:val="16"/>
                <w:lang w:eastAsia="cs-CZ"/>
              </w:rPr>
              <w:t>%</w:t>
            </w:r>
          </w:p>
        </w:tc>
        <w:tc>
          <w:tcPr>
            <w:tcW w:w="514" w:type="pct"/>
            <w:tcBorders>
              <w:top w:val="single" w:sz="4" w:space="0" w:color="auto"/>
              <w:left w:val="single" w:sz="4" w:space="0" w:color="auto"/>
              <w:bottom w:val="single" w:sz="4" w:space="0" w:color="auto"/>
              <w:right w:val="single" w:sz="4" w:space="0" w:color="auto"/>
            </w:tcBorders>
            <w:shd w:val="clear" w:color="000000" w:fill="FBC5C8"/>
            <w:noWrap/>
            <w:vAlign w:val="bottom"/>
            <w:hideMark/>
          </w:tcPr>
          <w:p w14:paraId="13A92644" w14:textId="400B9B24" w:rsidR="007175FE" w:rsidRPr="007526A7" w:rsidRDefault="007175FE" w:rsidP="000C49A5">
            <w:pPr>
              <w:jc w:val="right"/>
              <w:rPr>
                <w:rFonts w:ascii="Arial CE" w:eastAsia="Times New Roman" w:hAnsi="Arial CE" w:cs="Arial"/>
                <w:sz w:val="16"/>
                <w:szCs w:val="16"/>
                <w:lang w:eastAsia="cs-CZ"/>
              </w:rPr>
            </w:pPr>
            <w:r w:rsidRPr="007526A7">
              <w:rPr>
                <w:rFonts w:ascii="Arial CE" w:eastAsia="Times New Roman" w:hAnsi="Arial CE" w:cs="Arial"/>
                <w:sz w:val="16"/>
                <w:szCs w:val="16"/>
                <w:lang w:eastAsia="cs-CZ"/>
              </w:rPr>
              <w:t>16,1</w:t>
            </w:r>
            <w:r w:rsidR="00CB4CBD">
              <w:rPr>
                <w:rFonts w:ascii="Arial CE" w:eastAsia="Times New Roman" w:hAnsi="Arial CE" w:cs="Arial"/>
                <w:sz w:val="16"/>
                <w:szCs w:val="16"/>
                <w:lang w:eastAsia="cs-CZ"/>
              </w:rPr>
              <w:t xml:space="preserve"> </w:t>
            </w:r>
            <w:r w:rsidRPr="007526A7">
              <w:rPr>
                <w:rFonts w:ascii="Arial CE" w:eastAsia="Times New Roman" w:hAnsi="Arial CE" w:cs="Arial"/>
                <w:sz w:val="16"/>
                <w:szCs w:val="16"/>
                <w:lang w:eastAsia="cs-CZ"/>
              </w:rPr>
              <w:t>%</w:t>
            </w:r>
          </w:p>
        </w:tc>
        <w:tc>
          <w:tcPr>
            <w:tcW w:w="602" w:type="pct"/>
            <w:tcBorders>
              <w:top w:val="nil"/>
              <w:left w:val="nil"/>
              <w:bottom w:val="single" w:sz="4" w:space="0" w:color="auto"/>
              <w:right w:val="single" w:sz="4" w:space="0" w:color="auto"/>
            </w:tcBorders>
            <w:shd w:val="clear" w:color="auto" w:fill="auto"/>
            <w:noWrap/>
            <w:vAlign w:val="bottom"/>
            <w:hideMark/>
          </w:tcPr>
          <w:p w14:paraId="5B2DBD6B" w14:textId="67874065" w:rsidR="007175FE" w:rsidRPr="007526A7" w:rsidRDefault="007175FE" w:rsidP="000C49A5">
            <w:pPr>
              <w:jc w:val="right"/>
              <w:rPr>
                <w:rFonts w:ascii="Arial" w:eastAsia="Times New Roman" w:hAnsi="Arial" w:cs="Arial"/>
                <w:sz w:val="16"/>
                <w:szCs w:val="16"/>
                <w:lang w:eastAsia="cs-CZ"/>
              </w:rPr>
            </w:pPr>
            <w:r w:rsidRPr="007526A7">
              <w:rPr>
                <w:rFonts w:ascii="Arial" w:eastAsia="Times New Roman" w:hAnsi="Arial" w:cs="Arial"/>
                <w:sz w:val="16"/>
                <w:szCs w:val="16"/>
                <w:lang w:eastAsia="cs-CZ"/>
              </w:rPr>
              <w:t>52,6</w:t>
            </w:r>
            <w:r w:rsidR="00CB4CBD">
              <w:rPr>
                <w:rFonts w:ascii="Arial" w:eastAsia="Times New Roman" w:hAnsi="Arial" w:cs="Arial"/>
                <w:sz w:val="16"/>
                <w:szCs w:val="16"/>
                <w:lang w:eastAsia="cs-CZ"/>
              </w:rPr>
              <w:t xml:space="preserve"> </w:t>
            </w:r>
            <w:r w:rsidRPr="007526A7">
              <w:rPr>
                <w:rFonts w:ascii="Arial" w:eastAsia="Times New Roman" w:hAnsi="Arial" w:cs="Arial"/>
                <w:sz w:val="16"/>
                <w:szCs w:val="16"/>
                <w:lang w:eastAsia="cs-CZ"/>
              </w:rPr>
              <w:t>%</w:t>
            </w:r>
          </w:p>
        </w:tc>
      </w:tr>
      <w:tr w:rsidR="007175FE" w:rsidRPr="007526A7" w14:paraId="77D23C2F" w14:textId="77777777" w:rsidTr="000C49A5">
        <w:trPr>
          <w:trHeight w:val="240"/>
        </w:trPr>
        <w:tc>
          <w:tcPr>
            <w:tcW w:w="599" w:type="pct"/>
            <w:tcBorders>
              <w:top w:val="nil"/>
              <w:left w:val="single" w:sz="4" w:space="0" w:color="auto"/>
              <w:bottom w:val="single" w:sz="4" w:space="0" w:color="auto"/>
              <w:right w:val="single" w:sz="4" w:space="0" w:color="auto"/>
            </w:tcBorders>
            <w:shd w:val="clear" w:color="auto" w:fill="auto"/>
            <w:noWrap/>
            <w:vAlign w:val="bottom"/>
            <w:hideMark/>
          </w:tcPr>
          <w:p w14:paraId="1CD57498" w14:textId="77777777" w:rsidR="007175FE" w:rsidRPr="007526A7" w:rsidRDefault="007175FE" w:rsidP="000C49A5">
            <w:pPr>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Celkem</w:t>
            </w:r>
          </w:p>
        </w:tc>
        <w:tc>
          <w:tcPr>
            <w:tcW w:w="552" w:type="pct"/>
            <w:tcBorders>
              <w:top w:val="nil"/>
              <w:left w:val="nil"/>
              <w:bottom w:val="single" w:sz="4" w:space="0" w:color="auto"/>
              <w:right w:val="single" w:sz="4" w:space="0" w:color="auto"/>
            </w:tcBorders>
            <w:shd w:val="clear" w:color="auto" w:fill="auto"/>
            <w:noWrap/>
            <w:vAlign w:val="bottom"/>
            <w:hideMark/>
          </w:tcPr>
          <w:p w14:paraId="43E6A4EA" w14:textId="77777777" w:rsidR="007175FE" w:rsidRPr="007526A7" w:rsidRDefault="007175FE" w:rsidP="000C49A5">
            <w:pPr>
              <w:jc w:val="right"/>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15 208</w:t>
            </w:r>
          </w:p>
        </w:tc>
        <w:tc>
          <w:tcPr>
            <w:tcW w:w="552" w:type="pct"/>
            <w:tcBorders>
              <w:top w:val="nil"/>
              <w:left w:val="nil"/>
              <w:bottom w:val="single" w:sz="4" w:space="0" w:color="auto"/>
              <w:right w:val="single" w:sz="4" w:space="0" w:color="auto"/>
            </w:tcBorders>
            <w:shd w:val="clear" w:color="auto" w:fill="auto"/>
            <w:noWrap/>
            <w:vAlign w:val="bottom"/>
            <w:hideMark/>
          </w:tcPr>
          <w:p w14:paraId="0251799B" w14:textId="77777777" w:rsidR="007175FE" w:rsidRPr="007526A7" w:rsidRDefault="007175FE" w:rsidP="000C49A5">
            <w:pPr>
              <w:jc w:val="right"/>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31 167</w:t>
            </w:r>
          </w:p>
        </w:tc>
        <w:tc>
          <w:tcPr>
            <w:tcW w:w="552" w:type="pct"/>
            <w:tcBorders>
              <w:top w:val="nil"/>
              <w:left w:val="nil"/>
              <w:bottom w:val="single" w:sz="4" w:space="0" w:color="auto"/>
              <w:right w:val="single" w:sz="4" w:space="0" w:color="auto"/>
            </w:tcBorders>
            <w:shd w:val="clear" w:color="auto" w:fill="auto"/>
            <w:noWrap/>
            <w:vAlign w:val="bottom"/>
            <w:hideMark/>
          </w:tcPr>
          <w:p w14:paraId="0AB2E58F" w14:textId="77777777" w:rsidR="007175FE" w:rsidRPr="007526A7" w:rsidRDefault="007175FE" w:rsidP="000C49A5">
            <w:pPr>
              <w:jc w:val="right"/>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17 126</w:t>
            </w:r>
          </w:p>
        </w:tc>
        <w:tc>
          <w:tcPr>
            <w:tcW w:w="601" w:type="pct"/>
            <w:tcBorders>
              <w:top w:val="nil"/>
              <w:left w:val="nil"/>
              <w:bottom w:val="single" w:sz="4" w:space="0" w:color="auto"/>
              <w:right w:val="single" w:sz="4" w:space="0" w:color="auto"/>
            </w:tcBorders>
            <w:shd w:val="clear" w:color="auto" w:fill="auto"/>
            <w:noWrap/>
            <w:vAlign w:val="bottom"/>
            <w:hideMark/>
          </w:tcPr>
          <w:p w14:paraId="0C1D65EA" w14:textId="77777777" w:rsidR="007175FE" w:rsidRPr="007526A7" w:rsidRDefault="007175FE" w:rsidP="000C49A5">
            <w:pPr>
              <w:jc w:val="right"/>
              <w:rPr>
                <w:rFonts w:ascii="Calibri" w:eastAsia="Times New Roman" w:hAnsi="Calibri" w:cs="Calibri"/>
                <w:color w:val="000000"/>
                <w:sz w:val="18"/>
                <w:szCs w:val="18"/>
                <w:lang w:eastAsia="cs-CZ"/>
              </w:rPr>
            </w:pPr>
            <w:r w:rsidRPr="007526A7">
              <w:rPr>
                <w:rFonts w:ascii="Calibri" w:eastAsia="Times New Roman" w:hAnsi="Calibri" w:cs="Calibri"/>
                <w:color w:val="000000"/>
                <w:sz w:val="18"/>
                <w:szCs w:val="18"/>
                <w:lang w:eastAsia="cs-CZ"/>
              </w:rPr>
              <w:t>63 501</w:t>
            </w:r>
          </w:p>
        </w:tc>
        <w:tc>
          <w:tcPr>
            <w:tcW w:w="514" w:type="pct"/>
            <w:tcBorders>
              <w:top w:val="nil"/>
              <w:left w:val="nil"/>
              <w:bottom w:val="single" w:sz="4" w:space="0" w:color="auto"/>
              <w:right w:val="single" w:sz="4" w:space="0" w:color="auto"/>
            </w:tcBorders>
            <w:shd w:val="clear" w:color="auto" w:fill="auto"/>
            <w:noWrap/>
            <w:vAlign w:val="bottom"/>
            <w:hideMark/>
          </w:tcPr>
          <w:p w14:paraId="5EDB66A3" w14:textId="02669BA6" w:rsidR="007175FE" w:rsidRPr="007526A7" w:rsidRDefault="007175FE" w:rsidP="000C49A5">
            <w:pPr>
              <w:jc w:val="right"/>
              <w:rPr>
                <w:rFonts w:ascii="Arial" w:eastAsia="Times New Roman" w:hAnsi="Arial" w:cs="Arial"/>
                <w:sz w:val="16"/>
                <w:szCs w:val="16"/>
                <w:lang w:eastAsia="cs-CZ"/>
              </w:rPr>
            </w:pPr>
            <w:r w:rsidRPr="007526A7">
              <w:rPr>
                <w:rFonts w:ascii="Arial" w:eastAsia="Times New Roman" w:hAnsi="Arial" w:cs="Arial"/>
                <w:sz w:val="16"/>
                <w:szCs w:val="16"/>
                <w:lang w:eastAsia="cs-CZ"/>
              </w:rPr>
              <w:t>23,9</w:t>
            </w:r>
            <w:r w:rsidR="00CB4CBD">
              <w:rPr>
                <w:rFonts w:ascii="Arial" w:eastAsia="Times New Roman" w:hAnsi="Arial" w:cs="Arial"/>
                <w:sz w:val="16"/>
                <w:szCs w:val="16"/>
                <w:lang w:eastAsia="cs-CZ"/>
              </w:rPr>
              <w:t xml:space="preserve"> </w:t>
            </w:r>
            <w:r w:rsidRPr="007526A7">
              <w:rPr>
                <w:rFonts w:ascii="Arial" w:eastAsia="Times New Roman" w:hAnsi="Arial" w:cs="Arial"/>
                <w:sz w:val="16"/>
                <w:szCs w:val="16"/>
                <w:lang w:eastAsia="cs-CZ"/>
              </w:rPr>
              <w:t>%</w:t>
            </w:r>
          </w:p>
        </w:tc>
        <w:tc>
          <w:tcPr>
            <w:tcW w:w="514" w:type="pct"/>
            <w:tcBorders>
              <w:top w:val="nil"/>
              <w:left w:val="nil"/>
              <w:bottom w:val="single" w:sz="4" w:space="0" w:color="auto"/>
              <w:right w:val="single" w:sz="4" w:space="0" w:color="auto"/>
            </w:tcBorders>
            <w:shd w:val="clear" w:color="auto" w:fill="auto"/>
            <w:noWrap/>
            <w:vAlign w:val="bottom"/>
            <w:hideMark/>
          </w:tcPr>
          <w:p w14:paraId="21FD6558" w14:textId="321452C5" w:rsidR="007175FE" w:rsidRPr="007526A7" w:rsidRDefault="007175FE" w:rsidP="000C49A5">
            <w:pPr>
              <w:jc w:val="right"/>
              <w:rPr>
                <w:rFonts w:ascii="Arial" w:eastAsia="Times New Roman" w:hAnsi="Arial" w:cs="Arial"/>
                <w:sz w:val="16"/>
                <w:szCs w:val="16"/>
                <w:lang w:eastAsia="cs-CZ"/>
              </w:rPr>
            </w:pPr>
            <w:r w:rsidRPr="007526A7">
              <w:rPr>
                <w:rFonts w:ascii="Arial" w:eastAsia="Times New Roman" w:hAnsi="Arial" w:cs="Arial"/>
                <w:sz w:val="16"/>
                <w:szCs w:val="16"/>
                <w:lang w:eastAsia="cs-CZ"/>
              </w:rPr>
              <w:t>49,1</w:t>
            </w:r>
            <w:r w:rsidR="00CB4CBD">
              <w:rPr>
                <w:rFonts w:ascii="Arial" w:eastAsia="Times New Roman" w:hAnsi="Arial" w:cs="Arial"/>
                <w:sz w:val="16"/>
                <w:szCs w:val="16"/>
                <w:lang w:eastAsia="cs-CZ"/>
              </w:rPr>
              <w:t xml:space="preserve"> </w:t>
            </w:r>
            <w:r w:rsidRPr="007526A7">
              <w:rPr>
                <w:rFonts w:ascii="Arial" w:eastAsia="Times New Roman" w:hAnsi="Arial" w:cs="Arial"/>
                <w:sz w:val="16"/>
                <w:szCs w:val="16"/>
                <w:lang w:eastAsia="cs-CZ"/>
              </w:rPr>
              <w:t>%</w:t>
            </w:r>
          </w:p>
        </w:tc>
        <w:tc>
          <w:tcPr>
            <w:tcW w:w="514" w:type="pct"/>
            <w:tcBorders>
              <w:top w:val="nil"/>
              <w:left w:val="nil"/>
              <w:bottom w:val="single" w:sz="4" w:space="0" w:color="auto"/>
              <w:right w:val="single" w:sz="4" w:space="0" w:color="auto"/>
            </w:tcBorders>
            <w:shd w:val="clear" w:color="auto" w:fill="auto"/>
            <w:noWrap/>
            <w:vAlign w:val="bottom"/>
            <w:hideMark/>
          </w:tcPr>
          <w:p w14:paraId="1125A3A8" w14:textId="184B8501" w:rsidR="007175FE" w:rsidRPr="007526A7" w:rsidRDefault="007175FE" w:rsidP="000C49A5">
            <w:pPr>
              <w:jc w:val="right"/>
              <w:rPr>
                <w:rFonts w:ascii="Arial" w:eastAsia="Times New Roman" w:hAnsi="Arial" w:cs="Arial"/>
                <w:sz w:val="16"/>
                <w:szCs w:val="16"/>
                <w:lang w:eastAsia="cs-CZ"/>
              </w:rPr>
            </w:pPr>
            <w:r w:rsidRPr="007526A7">
              <w:rPr>
                <w:rFonts w:ascii="Arial" w:eastAsia="Times New Roman" w:hAnsi="Arial" w:cs="Arial"/>
                <w:sz w:val="16"/>
                <w:szCs w:val="16"/>
                <w:lang w:eastAsia="cs-CZ"/>
              </w:rPr>
              <w:t>27,0</w:t>
            </w:r>
            <w:r w:rsidR="00CB4CBD">
              <w:rPr>
                <w:rFonts w:ascii="Arial" w:eastAsia="Times New Roman" w:hAnsi="Arial" w:cs="Arial"/>
                <w:sz w:val="16"/>
                <w:szCs w:val="16"/>
                <w:lang w:eastAsia="cs-CZ"/>
              </w:rPr>
              <w:t xml:space="preserve"> </w:t>
            </w:r>
            <w:r w:rsidRPr="007526A7">
              <w:rPr>
                <w:rFonts w:ascii="Arial" w:eastAsia="Times New Roman" w:hAnsi="Arial" w:cs="Arial"/>
                <w:sz w:val="16"/>
                <w:szCs w:val="16"/>
                <w:lang w:eastAsia="cs-CZ"/>
              </w:rPr>
              <w:t>%</w:t>
            </w:r>
          </w:p>
        </w:tc>
        <w:tc>
          <w:tcPr>
            <w:tcW w:w="602" w:type="pct"/>
            <w:tcBorders>
              <w:top w:val="nil"/>
              <w:left w:val="nil"/>
              <w:bottom w:val="single" w:sz="4" w:space="0" w:color="auto"/>
              <w:right w:val="single" w:sz="4" w:space="0" w:color="auto"/>
            </w:tcBorders>
            <w:shd w:val="clear" w:color="auto" w:fill="auto"/>
            <w:noWrap/>
            <w:vAlign w:val="bottom"/>
            <w:hideMark/>
          </w:tcPr>
          <w:p w14:paraId="6C0430D5" w14:textId="4ABE510F" w:rsidR="007175FE" w:rsidRPr="007526A7" w:rsidRDefault="007175FE" w:rsidP="000C49A5">
            <w:pPr>
              <w:jc w:val="right"/>
              <w:rPr>
                <w:rFonts w:ascii="Arial" w:eastAsia="Times New Roman" w:hAnsi="Arial" w:cs="Arial"/>
                <w:sz w:val="16"/>
                <w:szCs w:val="16"/>
                <w:lang w:eastAsia="cs-CZ"/>
              </w:rPr>
            </w:pPr>
            <w:r w:rsidRPr="007526A7">
              <w:rPr>
                <w:rFonts w:ascii="Arial" w:eastAsia="Times New Roman" w:hAnsi="Arial" w:cs="Arial"/>
                <w:sz w:val="16"/>
                <w:szCs w:val="16"/>
                <w:lang w:eastAsia="cs-CZ"/>
              </w:rPr>
              <w:t>100,0</w:t>
            </w:r>
            <w:r w:rsidR="00CB4CBD">
              <w:rPr>
                <w:rFonts w:ascii="Arial" w:eastAsia="Times New Roman" w:hAnsi="Arial" w:cs="Arial"/>
                <w:sz w:val="16"/>
                <w:szCs w:val="16"/>
                <w:lang w:eastAsia="cs-CZ"/>
              </w:rPr>
              <w:t xml:space="preserve"> </w:t>
            </w:r>
            <w:r w:rsidRPr="007526A7">
              <w:rPr>
                <w:rFonts w:ascii="Arial" w:eastAsia="Times New Roman" w:hAnsi="Arial" w:cs="Arial"/>
                <w:sz w:val="16"/>
                <w:szCs w:val="16"/>
                <w:lang w:eastAsia="cs-CZ"/>
              </w:rPr>
              <w:t>%</w:t>
            </w:r>
          </w:p>
        </w:tc>
      </w:tr>
    </w:tbl>
    <w:p w14:paraId="575BCAFD" w14:textId="77777777" w:rsidR="007175FE" w:rsidRPr="001A5EF5" w:rsidRDefault="007175FE" w:rsidP="007175FE">
      <w:pPr>
        <w:pStyle w:val="zdroj0"/>
      </w:pPr>
      <w:r w:rsidRPr="001A5EF5">
        <w:t xml:space="preserve">Zdroj: ČSÚ, </w:t>
      </w:r>
      <w:r w:rsidRPr="00B47556">
        <w:t>2020</w:t>
      </w:r>
      <w:r>
        <w:t>.</w:t>
      </w:r>
    </w:p>
    <w:p w14:paraId="778725BF" w14:textId="2B0C1B48" w:rsidR="007175FE" w:rsidRDefault="007175FE" w:rsidP="007175FE">
      <w:pPr>
        <w:keepNext/>
        <w:keepLines/>
        <w:rPr>
          <w:rFonts w:cstheme="minorHAnsi"/>
        </w:rPr>
      </w:pPr>
      <w:r>
        <w:rPr>
          <w:rFonts w:cstheme="minorHAnsi"/>
        </w:rPr>
        <w:t>Vzorek</w:t>
      </w:r>
      <w:r w:rsidRPr="00DA7ABE">
        <w:rPr>
          <w:rFonts w:cstheme="minorHAnsi"/>
        </w:rPr>
        <w:t xml:space="preserve"> </w:t>
      </w:r>
      <w:r>
        <w:rPr>
          <w:rFonts w:cstheme="minorHAnsi"/>
        </w:rPr>
        <w:t xml:space="preserve">respondentů s trvalým bydlištěm ve Zlíně v anketním šetření byl oproti základnímu souboru výrazně mladší (viz tabulka </w:t>
      </w:r>
      <w:r w:rsidR="00EA4CBD">
        <w:rPr>
          <w:rFonts w:cstheme="minorHAnsi"/>
        </w:rPr>
        <w:t>2.2</w:t>
      </w:r>
      <w:r>
        <w:rPr>
          <w:rFonts w:cstheme="minorHAnsi"/>
        </w:rPr>
        <w:t>), z tohoto důvodu byl vzorek převážen dle struktury základního souboru.</w:t>
      </w:r>
    </w:p>
    <w:p w14:paraId="16C0086D" w14:textId="683B9AC1" w:rsidR="007175FE" w:rsidRDefault="007175FE" w:rsidP="007175FE">
      <w:pPr>
        <w:pStyle w:val="Titulek"/>
        <w:keepNext/>
        <w:spacing w:after="0"/>
        <w:rPr>
          <w:rFonts w:cstheme="minorHAnsi"/>
        </w:rPr>
      </w:pPr>
      <w:bookmarkStart w:id="545" w:name="_Toc54702617"/>
      <w:bookmarkStart w:id="546" w:name="_Toc56179423"/>
      <w:bookmarkStart w:id="547" w:name="_Toc57731781"/>
      <w:bookmarkStart w:id="548" w:name="_Toc7707476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2</w:t>
      </w:r>
      <w:r w:rsidR="004857C6">
        <w:rPr>
          <w:noProof/>
        </w:rPr>
        <w:fldChar w:fldCharType="end"/>
      </w:r>
      <w:r w:rsidR="00CB4CBD">
        <w:rPr>
          <w:noProof/>
        </w:rPr>
        <w:t>:</w:t>
      </w:r>
      <w:r w:rsidRPr="00B47556">
        <w:t xml:space="preserve"> Struktura </w:t>
      </w:r>
      <w:r>
        <w:t>respondentů s trvalým pobytem ve Zlíně</w:t>
      </w:r>
      <w:bookmarkEnd w:id="545"/>
      <w:bookmarkEnd w:id="546"/>
      <w:bookmarkEnd w:id="547"/>
      <w:bookmarkEnd w:id="548"/>
    </w:p>
    <w:tbl>
      <w:tblPr>
        <w:tblW w:w="5000" w:type="pct"/>
        <w:tblCellMar>
          <w:left w:w="70" w:type="dxa"/>
          <w:right w:w="70" w:type="dxa"/>
        </w:tblCellMar>
        <w:tblLook w:val="04A0" w:firstRow="1" w:lastRow="0" w:firstColumn="1" w:lastColumn="0" w:noHBand="0" w:noVBand="1"/>
      </w:tblPr>
      <w:tblGrid>
        <w:gridCol w:w="1164"/>
        <w:gridCol w:w="942"/>
        <w:gridCol w:w="942"/>
        <w:gridCol w:w="694"/>
        <w:gridCol w:w="1165"/>
        <w:gridCol w:w="997"/>
        <w:gridCol w:w="997"/>
        <w:gridCol w:w="997"/>
        <w:gridCol w:w="1164"/>
      </w:tblGrid>
      <w:tr w:rsidR="007175FE" w:rsidRPr="00B47556" w14:paraId="344B8829" w14:textId="77777777" w:rsidTr="000C49A5">
        <w:trPr>
          <w:trHeight w:val="240"/>
        </w:trPr>
        <w:tc>
          <w:tcPr>
            <w:tcW w:w="642"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00FF0C6" w14:textId="77777777" w:rsidR="007175FE" w:rsidRPr="00B47556" w:rsidRDefault="007175FE" w:rsidP="000C49A5">
            <w:pPr>
              <w:jc w:val="center"/>
              <w:rPr>
                <w:rFonts w:ascii="Calibri" w:eastAsia="Times New Roman" w:hAnsi="Calibri" w:cs="Calibri"/>
                <w:b/>
                <w:bCs/>
                <w:color w:val="000000"/>
                <w:sz w:val="18"/>
                <w:szCs w:val="18"/>
                <w:lang w:eastAsia="cs-CZ"/>
              </w:rPr>
            </w:pPr>
            <w:r w:rsidRPr="00B47556">
              <w:rPr>
                <w:rFonts w:ascii="Calibri" w:eastAsia="Times New Roman" w:hAnsi="Calibri" w:cs="Calibri"/>
                <w:b/>
                <w:bCs/>
                <w:color w:val="000000"/>
                <w:sz w:val="18"/>
                <w:szCs w:val="18"/>
                <w:lang w:eastAsia="cs-CZ"/>
              </w:rPr>
              <w:t>Pohlaví</w:t>
            </w:r>
          </w:p>
        </w:tc>
        <w:tc>
          <w:tcPr>
            <w:tcW w:w="2065" w:type="pct"/>
            <w:gridSpan w:val="4"/>
            <w:tcBorders>
              <w:top w:val="single" w:sz="4" w:space="0" w:color="auto"/>
              <w:left w:val="nil"/>
              <w:bottom w:val="single" w:sz="4" w:space="0" w:color="auto"/>
              <w:right w:val="single" w:sz="4" w:space="0" w:color="auto"/>
            </w:tcBorders>
            <w:shd w:val="clear" w:color="000000" w:fill="F2F2F2"/>
            <w:noWrap/>
            <w:vAlign w:val="center"/>
            <w:hideMark/>
          </w:tcPr>
          <w:p w14:paraId="5E94B817" w14:textId="77777777" w:rsidR="007175FE" w:rsidRPr="00B47556" w:rsidRDefault="007175FE" w:rsidP="000C49A5">
            <w:pPr>
              <w:jc w:val="center"/>
              <w:rPr>
                <w:rFonts w:ascii="Calibri" w:eastAsia="Times New Roman" w:hAnsi="Calibri" w:cs="Calibri"/>
                <w:b/>
                <w:bCs/>
                <w:color w:val="000000"/>
                <w:sz w:val="18"/>
                <w:szCs w:val="18"/>
                <w:lang w:eastAsia="cs-CZ"/>
              </w:rPr>
            </w:pPr>
            <w:r w:rsidRPr="00B47556">
              <w:rPr>
                <w:rFonts w:ascii="Calibri" w:eastAsia="Times New Roman" w:hAnsi="Calibri" w:cs="Calibri"/>
                <w:b/>
                <w:bCs/>
                <w:color w:val="000000"/>
                <w:sz w:val="18"/>
                <w:szCs w:val="18"/>
                <w:lang w:eastAsia="cs-CZ"/>
              </w:rPr>
              <w:t>Počet</w:t>
            </w:r>
          </w:p>
        </w:tc>
        <w:tc>
          <w:tcPr>
            <w:tcW w:w="2293" w:type="pct"/>
            <w:gridSpan w:val="4"/>
            <w:tcBorders>
              <w:top w:val="single" w:sz="4" w:space="0" w:color="auto"/>
              <w:left w:val="nil"/>
              <w:bottom w:val="single" w:sz="4" w:space="0" w:color="auto"/>
              <w:right w:val="single" w:sz="4" w:space="0" w:color="auto"/>
            </w:tcBorders>
            <w:shd w:val="clear" w:color="000000" w:fill="F2F2F2"/>
            <w:noWrap/>
            <w:vAlign w:val="center"/>
            <w:hideMark/>
          </w:tcPr>
          <w:p w14:paraId="0A67343C" w14:textId="77777777" w:rsidR="007175FE" w:rsidRPr="00B47556" w:rsidRDefault="007175FE" w:rsidP="000C49A5">
            <w:pPr>
              <w:jc w:val="center"/>
              <w:rPr>
                <w:rFonts w:ascii="Calibri" w:eastAsia="Times New Roman" w:hAnsi="Calibri" w:cs="Calibri"/>
                <w:b/>
                <w:bCs/>
                <w:color w:val="000000"/>
                <w:sz w:val="18"/>
                <w:szCs w:val="18"/>
                <w:lang w:eastAsia="cs-CZ"/>
              </w:rPr>
            </w:pPr>
            <w:r w:rsidRPr="00B47556">
              <w:rPr>
                <w:rFonts w:ascii="Calibri" w:eastAsia="Times New Roman" w:hAnsi="Calibri" w:cs="Calibri"/>
                <w:b/>
                <w:bCs/>
                <w:color w:val="000000"/>
                <w:sz w:val="18"/>
                <w:szCs w:val="18"/>
                <w:lang w:eastAsia="cs-CZ"/>
              </w:rPr>
              <w:t>Podíl (%)</w:t>
            </w:r>
          </w:p>
        </w:tc>
      </w:tr>
      <w:tr w:rsidR="007175FE" w:rsidRPr="00B47556" w14:paraId="6DCB29EF" w14:textId="77777777" w:rsidTr="000C49A5">
        <w:trPr>
          <w:trHeight w:val="240"/>
        </w:trPr>
        <w:tc>
          <w:tcPr>
            <w:tcW w:w="642" w:type="pct"/>
            <w:vMerge/>
            <w:tcBorders>
              <w:top w:val="single" w:sz="4" w:space="0" w:color="auto"/>
              <w:left w:val="single" w:sz="4" w:space="0" w:color="auto"/>
              <w:bottom w:val="single" w:sz="4" w:space="0" w:color="auto"/>
              <w:right w:val="single" w:sz="4" w:space="0" w:color="auto"/>
            </w:tcBorders>
            <w:vAlign w:val="center"/>
            <w:hideMark/>
          </w:tcPr>
          <w:p w14:paraId="50B366BC" w14:textId="77777777" w:rsidR="007175FE" w:rsidRPr="00B47556" w:rsidRDefault="007175FE" w:rsidP="000C49A5">
            <w:pPr>
              <w:rPr>
                <w:rFonts w:ascii="Calibri" w:eastAsia="Times New Roman" w:hAnsi="Calibri" w:cs="Calibri"/>
                <w:b/>
                <w:bCs/>
                <w:color w:val="000000"/>
                <w:sz w:val="18"/>
                <w:szCs w:val="18"/>
                <w:lang w:eastAsia="cs-CZ"/>
              </w:rPr>
            </w:pPr>
          </w:p>
        </w:tc>
        <w:tc>
          <w:tcPr>
            <w:tcW w:w="520" w:type="pct"/>
            <w:tcBorders>
              <w:top w:val="nil"/>
              <w:left w:val="nil"/>
              <w:bottom w:val="single" w:sz="4" w:space="0" w:color="auto"/>
              <w:right w:val="single" w:sz="4" w:space="0" w:color="auto"/>
            </w:tcBorders>
            <w:shd w:val="clear" w:color="000000" w:fill="F2F2F2"/>
            <w:noWrap/>
            <w:vAlign w:val="center"/>
            <w:hideMark/>
          </w:tcPr>
          <w:p w14:paraId="0D790BF9" w14:textId="56E41848" w:rsidR="007175FE" w:rsidRPr="00B47556" w:rsidRDefault="00CB4CBD"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15</w:t>
            </w:r>
            <w:r>
              <w:rPr>
                <w:rFonts w:ascii="Calibri" w:eastAsia="Times New Roman" w:hAnsi="Calibri" w:cs="Calibri"/>
                <w:b/>
                <w:bCs/>
                <w:color w:val="000000"/>
                <w:sz w:val="18"/>
                <w:szCs w:val="18"/>
                <w:lang w:eastAsia="cs-CZ"/>
              </w:rPr>
              <w:t xml:space="preserve"> </w:t>
            </w:r>
            <w:r>
              <w:rPr>
                <w:rFonts w:ascii="Calibri" w:eastAsia="Times New Roman" w:hAnsi="Calibri" w:cs="Calibri"/>
                <w:b/>
                <w:bCs/>
                <w:color w:val="000000"/>
                <w:sz w:val="18"/>
                <w:szCs w:val="18"/>
                <w:lang w:eastAsia="cs-CZ"/>
              </w:rPr>
              <w:sym w:font="Symbol" w:char="F02D"/>
            </w:r>
            <w:r>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34</w:t>
            </w:r>
          </w:p>
        </w:tc>
        <w:tc>
          <w:tcPr>
            <w:tcW w:w="520" w:type="pct"/>
            <w:tcBorders>
              <w:top w:val="nil"/>
              <w:left w:val="nil"/>
              <w:bottom w:val="single" w:sz="4" w:space="0" w:color="auto"/>
              <w:right w:val="single" w:sz="4" w:space="0" w:color="auto"/>
            </w:tcBorders>
            <w:shd w:val="clear" w:color="000000" w:fill="F2F2F2"/>
            <w:noWrap/>
            <w:vAlign w:val="center"/>
            <w:hideMark/>
          </w:tcPr>
          <w:p w14:paraId="77CD027B" w14:textId="6FD544F9" w:rsidR="007175FE" w:rsidRPr="00B47556" w:rsidRDefault="00CB4CBD"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35</w:t>
            </w:r>
            <w:r>
              <w:rPr>
                <w:rFonts w:ascii="Calibri" w:eastAsia="Times New Roman" w:hAnsi="Calibri" w:cs="Calibri"/>
                <w:b/>
                <w:bCs/>
                <w:color w:val="000000"/>
                <w:sz w:val="18"/>
                <w:szCs w:val="18"/>
                <w:lang w:eastAsia="cs-CZ"/>
              </w:rPr>
              <w:t xml:space="preserve"> </w:t>
            </w:r>
            <w:r>
              <w:rPr>
                <w:rFonts w:ascii="Calibri" w:eastAsia="Times New Roman" w:hAnsi="Calibri" w:cs="Calibri"/>
                <w:b/>
                <w:bCs/>
                <w:color w:val="000000"/>
                <w:sz w:val="18"/>
                <w:szCs w:val="18"/>
                <w:lang w:eastAsia="cs-CZ"/>
              </w:rPr>
              <w:sym w:font="Symbol" w:char="F02D"/>
            </w:r>
            <w:r>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64</w:t>
            </w:r>
          </w:p>
        </w:tc>
        <w:tc>
          <w:tcPr>
            <w:tcW w:w="383" w:type="pct"/>
            <w:tcBorders>
              <w:top w:val="nil"/>
              <w:left w:val="nil"/>
              <w:bottom w:val="single" w:sz="4" w:space="0" w:color="auto"/>
              <w:right w:val="single" w:sz="4" w:space="0" w:color="auto"/>
            </w:tcBorders>
            <w:shd w:val="clear" w:color="000000" w:fill="F2F2F2"/>
            <w:noWrap/>
            <w:vAlign w:val="center"/>
            <w:hideMark/>
          </w:tcPr>
          <w:p w14:paraId="0EE51D46" w14:textId="77777777" w:rsidR="007175FE" w:rsidRPr="00B47556" w:rsidRDefault="007175FE" w:rsidP="000C49A5">
            <w:pPr>
              <w:jc w:val="center"/>
              <w:rPr>
                <w:rFonts w:ascii="Calibri" w:eastAsia="Times New Roman" w:hAnsi="Calibri" w:cs="Calibri"/>
                <w:b/>
                <w:bCs/>
                <w:color w:val="000000"/>
                <w:sz w:val="18"/>
                <w:szCs w:val="18"/>
                <w:lang w:eastAsia="cs-CZ"/>
              </w:rPr>
            </w:pPr>
            <w:r w:rsidRPr="00B47556">
              <w:rPr>
                <w:rFonts w:ascii="Calibri" w:eastAsia="Times New Roman" w:hAnsi="Calibri" w:cs="Calibri"/>
                <w:b/>
                <w:bCs/>
                <w:color w:val="000000"/>
                <w:sz w:val="18"/>
                <w:szCs w:val="18"/>
                <w:lang w:eastAsia="cs-CZ"/>
              </w:rPr>
              <w:t>65+</w:t>
            </w:r>
          </w:p>
        </w:tc>
        <w:tc>
          <w:tcPr>
            <w:tcW w:w="643" w:type="pct"/>
            <w:tcBorders>
              <w:top w:val="nil"/>
              <w:left w:val="nil"/>
              <w:bottom w:val="single" w:sz="4" w:space="0" w:color="auto"/>
              <w:right w:val="single" w:sz="4" w:space="0" w:color="auto"/>
            </w:tcBorders>
            <w:shd w:val="clear" w:color="000000" w:fill="F2F2F2"/>
            <w:noWrap/>
            <w:vAlign w:val="center"/>
            <w:hideMark/>
          </w:tcPr>
          <w:p w14:paraId="06A0D230" w14:textId="77777777" w:rsidR="007175FE" w:rsidRPr="00B47556" w:rsidRDefault="007175FE" w:rsidP="000C49A5">
            <w:pPr>
              <w:jc w:val="center"/>
              <w:rPr>
                <w:rFonts w:ascii="Calibri" w:eastAsia="Times New Roman" w:hAnsi="Calibri" w:cs="Calibri"/>
                <w:b/>
                <w:bCs/>
                <w:color w:val="000000"/>
                <w:sz w:val="18"/>
                <w:szCs w:val="18"/>
                <w:lang w:eastAsia="cs-CZ"/>
              </w:rPr>
            </w:pPr>
            <w:r w:rsidRPr="00B47556">
              <w:rPr>
                <w:rFonts w:ascii="Calibri" w:eastAsia="Times New Roman" w:hAnsi="Calibri" w:cs="Calibri"/>
                <w:b/>
                <w:bCs/>
                <w:color w:val="000000"/>
                <w:sz w:val="18"/>
                <w:szCs w:val="18"/>
                <w:lang w:eastAsia="cs-CZ"/>
              </w:rPr>
              <w:t>Celkem</w:t>
            </w:r>
          </w:p>
        </w:tc>
        <w:tc>
          <w:tcPr>
            <w:tcW w:w="550" w:type="pct"/>
            <w:tcBorders>
              <w:top w:val="nil"/>
              <w:left w:val="nil"/>
              <w:bottom w:val="single" w:sz="4" w:space="0" w:color="auto"/>
              <w:right w:val="single" w:sz="4" w:space="0" w:color="auto"/>
            </w:tcBorders>
            <w:shd w:val="clear" w:color="000000" w:fill="F2F2F2"/>
            <w:noWrap/>
            <w:vAlign w:val="center"/>
            <w:hideMark/>
          </w:tcPr>
          <w:p w14:paraId="62AC210D" w14:textId="7C5F9095" w:rsidR="007175FE" w:rsidRPr="00B47556" w:rsidRDefault="00CB4CBD"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15</w:t>
            </w:r>
            <w:r>
              <w:rPr>
                <w:rFonts w:ascii="Calibri" w:eastAsia="Times New Roman" w:hAnsi="Calibri" w:cs="Calibri"/>
                <w:b/>
                <w:bCs/>
                <w:color w:val="000000"/>
                <w:sz w:val="18"/>
                <w:szCs w:val="18"/>
                <w:lang w:eastAsia="cs-CZ"/>
              </w:rPr>
              <w:t xml:space="preserve"> </w:t>
            </w:r>
            <w:r>
              <w:rPr>
                <w:rFonts w:ascii="Calibri" w:eastAsia="Times New Roman" w:hAnsi="Calibri" w:cs="Calibri"/>
                <w:b/>
                <w:bCs/>
                <w:color w:val="000000"/>
                <w:sz w:val="18"/>
                <w:szCs w:val="18"/>
                <w:lang w:eastAsia="cs-CZ"/>
              </w:rPr>
              <w:sym w:font="Symbol" w:char="F02D"/>
            </w:r>
            <w:r>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34</w:t>
            </w:r>
          </w:p>
        </w:tc>
        <w:tc>
          <w:tcPr>
            <w:tcW w:w="550" w:type="pct"/>
            <w:tcBorders>
              <w:top w:val="nil"/>
              <w:left w:val="nil"/>
              <w:bottom w:val="single" w:sz="4" w:space="0" w:color="auto"/>
              <w:right w:val="single" w:sz="4" w:space="0" w:color="auto"/>
            </w:tcBorders>
            <w:shd w:val="clear" w:color="000000" w:fill="F2F2F2"/>
            <w:noWrap/>
            <w:vAlign w:val="center"/>
            <w:hideMark/>
          </w:tcPr>
          <w:p w14:paraId="007CD09C" w14:textId="6FCBB1F8" w:rsidR="007175FE" w:rsidRPr="00B47556" w:rsidRDefault="00CB4CBD" w:rsidP="000C49A5">
            <w:pPr>
              <w:jc w:val="center"/>
              <w:rPr>
                <w:rFonts w:ascii="Calibri" w:eastAsia="Times New Roman" w:hAnsi="Calibri" w:cs="Calibri"/>
                <w:b/>
                <w:bCs/>
                <w:color w:val="000000"/>
                <w:sz w:val="18"/>
                <w:szCs w:val="18"/>
                <w:lang w:eastAsia="cs-CZ"/>
              </w:rPr>
            </w:pPr>
            <w:r w:rsidRPr="007526A7">
              <w:rPr>
                <w:rFonts w:ascii="Calibri" w:eastAsia="Times New Roman" w:hAnsi="Calibri" w:cs="Calibri"/>
                <w:b/>
                <w:bCs/>
                <w:color w:val="000000"/>
                <w:sz w:val="18"/>
                <w:szCs w:val="18"/>
                <w:lang w:eastAsia="cs-CZ"/>
              </w:rPr>
              <w:t>35</w:t>
            </w:r>
            <w:r>
              <w:rPr>
                <w:rFonts w:ascii="Calibri" w:eastAsia="Times New Roman" w:hAnsi="Calibri" w:cs="Calibri"/>
                <w:b/>
                <w:bCs/>
                <w:color w:val="000000"/>
                <w:sz w:val="18"/>
                <w:szCs w:val="18"/>
                <w:lang w:eastAsia="cs-CZ"/>
              </w:rPr>
              <w:t xml:space="preserve"> </w:t>
            </w:r>
            <w:r>
              <w:rPr>
                <w:rFonts w:ascii="Calibri" w:eastAsia="Times New Roman" w:hAnsi="Calibri" w:cs="Calibri"/>
                <w:b/>
                <w:bCs/>
                <w:color w:val="000000"/>
                <w:sz w:val="18"/>
                <w:szCs w:val="18"/>
                <w:lang w:eastAsia="cs-CZ"/>
              </w:rPr>
              <w:sym w:font="Symbol" w:char="F02D"/>
            </w:r>
            <w:r>
              <w:rPr>
                <w:rFonts w:ascii="Calibri" w:eastAsia="Times New Roman" w:hAnsi="Calibri" w:cs="Calibri"/>
                <w:b/>
                <w:bCs/>
                <w:color w:val="000000"/>
                <w:sz w:val="18"/>
                <w:szCs w:val="18"/>
                <w:lang w:eastAsia="cs-CZ"/>
              </w:rPr>
              <w:t xml:space="preserve"> </w:t>
            </w:r>
            <w:r w:rsidRPr="007526A7">
              <w:rPr>
                <w:rFonts w:ascii="Calibri" w:eastAsia="Times New Roman" w:hAnsi="Calibri" w:cs="Calibri"/>
                <w:b/>
                <w:bCs/>
                <w:color w:val="000000"/>
                <w:sz w:val="18"/>
                <w:szCs w:val="18"/>
                <w:lang w:eastAsia="cs-CZ"/>
              </w:rPr>
              <w:t>64</w:t>
            </w:r>
          </w:p>
        </w:tc>
        <w:tc>
          <w:tcPr>
            <w:tcW w:w="550" w:type="pct"/>
            <w:tcBorders>
              <w:top w:val="nil"/>
              <w:left w:val="nil"/>
              <w:bottom w:val="single" w:sz="4" w:space="0" w:color="auto"/>
              <w:right w:val="single" w:sz="4" w:space="0" w:color="auto"/>
            </w:tcBorders>
            <w:shd w:val="clear" w:color="000000" w:fill="F2F2F2"/>
            <w:noWrap/>
            <w:vAlign w:val="center"/>
            <w:hideMark/>
          </w:tcPr>
          <w:p w14:paraId="4F5B9ED4" w14:textId="77777777" w:rsidR="007175FE" w:rsidRPr="00B47556" w:rsidRDefault="007175FE" w:rsidP="000C49A5">
            <w:pPr>
              <w:jc w:val="center"/>
              <w:rPr>
                <w:rFonts w:ascii="Calibri" w:eastAsia="Times New Roman" w:hAnsi="Calibri" w:cs="Calibri"/>
                <w:b/>
                <w:bCs/>
                <w:color w:val="000000"/>
                <w:sz w:val="18"/>
                <w:szCs w:val="18"/>
                <w:lang w:eastAsia="cs-CZ"/>
              </w:rPr>
            </w:pPr>
            <w:r w:rsidRPr="00B47556">
              <w:rPr>
                <w:rFonts w:ascii="Calibri" w:eastAsia="Times New Roman" w:hAnsi="Calibri" w:cs="Calibri"/>
                <w:b/>
                <w:bCs/>
                <w:color w:val="000000"/>
                <w:sz w:val="18"/>
                <w:szCs w:val="18"/>
                <w:lang w:eastAsia="cs-CZ"/>
              </w:rPr>
              <w:t>65+</w:t>
            </w:r>
          </w:p>
        </w:tc>
        <w:tc>
          <w:tcPr>
            <w:tcW w:w="643" w:type="pct"/>
            <w:tcBorders>
              <w:top w:val="nil"/>
              <w:left w:val="nil"/>
              <w:bottom w:val="single" w:sz="4" w:space="0" w:color="auto"/>
              <w:right w:val="single" w:sz="4" w:space="0" w:color="auto"/>
            </w:tcBorders>
            <w:shd w:val="clear" w:color="000000" w:fill="F2F2F2"/>
            <w:noWrap/>
            <w:vAlign w:val="center"/>
            <w:hideMark/>
          </w:tcPr>
          <w:p w14:paraId="08E900AA" w14:textId="77777777" w:rsidR="007175FE" w:rsidRPr="00B47556" w:rsidRDefault="007175FE" w:rsidP="000C49A5">
            <w:pPr>
              <w:jc w:val="center"/>
              <w:rPr>
                <w:rFonts w:ascii="Calibri" w:eastAsia="Times New Roman" w:hAnsi="Calibri" w:cs="Calibri"/>
                <w:b/>
                <w:bCs/>
                <w:color w:val="000000"/>
                <w:sz w:val="18"/>
                <w:szCs w:val="18"/>
                <w:lang w:eastAsia="cs-CZ"/>
              </w:rPr>
            </w:pPr>
            <w:r w:rsidRPr="00B47556">
              <w:rPr>
                <w:rFonts w:ascii="Calibri" w:eastAsia="Times New Roman" w:hAnsi="Calibri" w:cs="Calibri"/>
                <w:b/>
                <w:bCs/>
                <w:color w:val="000000"/>
                <w:sz w:val="18"/>
                <w:szCs w:val="18"/>
                <w:lang w:eastAsia="cs-CZ"/>
              </w:rPr>
              <w:t>Celkem</w:t>
            </w:r>
          </w:p>
        </w:tc>
      </w:tr>
      <w:tr w:rsidR="007175FE" w:rsidRPr="00B47556" w14:paraId="4711880C" w14:textId="77777777" w:rsidTr="000C49A5">
        <w:trPr>
          <w:trHeight w:val="240"/>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14:paraId="2614AE29" w14:textId="77777777" w:rsidR="007175FE" w:rsidRPr="00B47556" w:rsidRDefault="007175FE" w:rsidP="000C49A5">
            <w:pPr>
              <w:rPr>
                <w:rFonts w:ascii="Calibri" w:eastAsia="Times New Roman" w:hAnsi="Calibri" w:cs="Calibri"/>
                <w:color w:val="000000"/>
                <w:sz w:val="18"/>
                <w:szCs w:val="18"/>
                <w:lang w:eastAsia="cs-CZ"/>
              </w:rPr>
            </w:pPr>
            <w:r w:rsidRPr="00B47556">
              <w:rPr>
                <w:rFonts w:ascii="Calibri" w:eastAsia="Times New Roman" w:hAnsi="Calibri" w:cs="Calibri"/>
                <w:color w:val="000000"/>
                <w:sz w:val="18"/>
                <w:szCs w:val="18"/>
                <w:lang w:eastAsia="cs-CZ"/>
              </w:rPr>
              <w:t>Muži</w:t>
            </w:r>
          </w:p>
        </w:tc>
        <w:tc>
          <w:tcPr>
            <w:tcW w:w="520" w:type="pct"/>
            <w:tcBorders>
              <w:top w:val="single" w:sz="4" w:space="0" w:color="auto"/>
              <w:left w:val="single" w:sz="4" w:space="0" w:color="auto"/>
              <w:bottom w:val="single" w:sz="4" w:space="0" w:color="auto"/>
              <w:right w:val="single" w:sz="4" w:space="0" w:color="auto"/>
            </w:tcBorders>
            <w:shd w:val="clear" w:color="000000" w:fill="F97779"/>
            <w:noWrap/>
            <w:hideMark/>
          </w:tcPr>
          <w:p w14:paraId="026A29F3" w14:textId="77777777" w:rsidR="007175FE" w:rsidRPr="003D492B" w:rsidRDefault="007175FE" w:rsidP="000C49A5">
            <w:pPr>
              <w:jc w:val="right"/>
              <w:rPr>
                <w:rFonts w:ascii="Arial CE" w:eastAsia="Times New Roman" w:hAnsi="Arial CE" w:cs="Calibri"/>
                <w:sz w:val="18"/>
                <w:szCs w:val="16"/>
                <w:lang w:eastAsia="cs-CZ"/>
              </w:rPr>
            </w:pPr>
            <w:r w:rsidRPr="003D492B">
              <w:rPr>
                <w:sz w:val="18"/>
              </w:rPr>
              <w:t>138</w:t>
            </w:r>
          </w:p>
        </w:tc>
        <w:tc>
          <w:tcPr>
            <w:tcW w:w="520" w:type="pct"/>
            <w:tcBorders>
              <w:top w:val="single" w:sz="4" w:space="0" w:color="auto"/>
              <w:left w:val="single" w:sz="4" w:space="0" w:color="auto"/>
              <w:bottom w:val="single" w:sz="4" w:space="0" w:color="auto"/>
              <w:right w:val="single" w:sz="4" w:space="0" w:color="auto"/>
            </w:tcBorders>
            <w:shd w:val="clear" w:color="000000" w:fill="F9797B"/>
            <w:noWrap/>
            <w:hideMark/>
          </w:tcPr>
          <w:p w14:paraId="3DD7F498" w14:textId="77777777" w:rsidR="007175FE" w:rsidRPr="003D492B" w:rsidRDefault="007175FE" w:rsidP="000C49A5">
            <w:pPr>
              <w:jc w:val="right"/>
              <w:rPr>
                <w:rFonts w:ascii="Arial CE" w:eastAsia="Times New Roman" w:hAnsi="Arial CE" w:cs="Calibri"/>
                <w:sz w:val="18"/>
                <w:szCs w:val="16"/>
                <w:lang w:eastAsia="cs-CZ"/>
              </w:rPr>
            </w:pPr>
            <w:r w:rsidRPr="003D492B">
              <w:rPr>
                <w:sz w:val="18"/>
              </w:rPr>
              <w:t>183</w:t>
            </w:r>
          </w:p>
        </w:tc>
        <w:tc>
          <w:tcPr>
            <w:tcW w:w="383" w:type="pct"/>
            <w:tcBorders>
              <w:top w:val="single" w:sz="4" w:space="0" w:color="auto"/>
              <w:left w:val="single" w:sz="4" w:space="0" w:color="auto"/>
              <w:bottom w:val="single" w:sz="4" w:space="0" w:color="auto"/>
              <w:right w:val="single" w:sz="4" w:space="0" w:color="auto"/>
            </w:tcBorders>
            <w:shd w:val="clear" w:color="000000" w:fill="FCF5F8"/>
            <w:noWrap/>
            <w:hideMark/>
          </w:tcPr>
          <w:p w14:paraId="20CF303B" w14:textId="77777777" w:rsidR="007175FE" w:rsidRPr="003D492B" w:rsidRDefault="007175FE" w:rsidP="000C49A5">
            <w:pPr>
              <w:jc w:val="right"/>
              <w:rPr>
                <w:rFonts w:ascii="Arial CE" w:eastAsia="Times New Roman" w:hAnsi="Arial CE" w:cs="Calibri"/>
                <w:sz w:val="18"/>
                <w:szCs w:val="16"/>
                <w:lang w:eastAsia="cs-CZ"/>
              </w:rPr>
            </w:pPr>
            <w:r w:rsidRPr="003D492B">
              <w:rPr>
                <w:sz w:val="18"/>
              </w:rPr>
              <w:t>57</w:t>
            </w:r>
          </w:p>
        </w:tc>
        <w:tc>
          <w:tcPr>
            <w:tcW w:w="643" w:type="pct"/>
            <w:tcBorders>
              <w:top w:val="nil"/>
              <w:left w:val="nil"/>
              <w:bottom w:val="single" w:sz="4" w:space="0" w:color="auto"/>
              <w:right w:val="single" w:sz="4" w:space="0" w:color="auto"/>
            </w:tcBorders>
            <w:shd w:val="clear" w:color="auto" w:fill="auto"/>
            <w:noWrap/>
            <w:hideMark/>
          </w:tcPr>
          <w:p w14:paraId="477A1D14"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378</w:t>
            </w:r>
          </w:p>
        </w:tc>
        <w:tc>
          <w:tcPr>
            <w:tcW w:w="550" w:type="pct"/>
            <w:tcBorders>
              <w:top w:val="single" w:sz="4" w:space="0" w:color="auto"/>
              <w:left w:val="single" w:sz="4" w:space="0" w:color="auto"/>
              <w:bottom w:val="single" w:sz="4" w:space="0" w:color="auto"/>
              <w:right w:val="single" w:sz="4" w:space="0" w:color="auto"/>
            </w:tcBorders>
            <w:shd w:val="clear" w:color="000000" w:fill="F97779"/>
            <w:noWrap/>
            <w:hideMark/>
          </w:tcPr>
          <w:p w14:paraId="32BA5358" w14:textId="3A5AC473" w:rsidR="007175FE" w:rsidRPr="003D492B" w:rsidRDefault="007175FE" w:rsidP="00CB4CBD">
            <w:pPr>
              <w:jc w:val="right"/>
              <w:rPr>
                <w:rFonts w:ascii="Arial CE" w:eastAsia="Times New Roman" w:hAnsi="Arial CE" w:cs="Calibri"/>
                <w:sz w:val="18"/>
                <w:szCs w:val="16"/>
                <w:lang w:eastAsia="cs-CZ"/>
              </w:rPr>
            </w:pPr>
            <w:r w:rsidRPr="003D492B">
              <w:rPr>
                <w:sz w:val="18"/>
              </w:rPr>
              <w:t>18,2</w:t>
            </w:r>
            <w:r w:rsidR="00CB4CBD">
              <w:rPr>
                <w:sz w:val="18"/>
              </w:rPr>
              <w:t xml:space="preserve"> </w:t>
            </w:r>
            <w:r w:rsidRPr="003D492B">
              <w:rPr>
                <w:sz w:val="18"/>
              </w:rPr>
              <w:t>%</w:t>
            </w:r>
          </w:p>
        </w:tc>
        <w:tc>
          <w:tcPr>
            <w:tcW w:w="550" w:type="pct"/>
            <w:tcBorders>
              <w:top w:val="single" w:sz="4" w:space="0" w:color="auto"/>
              <w:left w:val="single" w:sz="4" w:space="0" w:color="auto"/>
              <w:bottom w:val="single" w:sz="4" w:space="0" w:color="auto"/>
              <w:right w:val="single" w:sz="4" w:space="0" w:color="auto"/>
            </w:tcBorders>
            <w:shd w:val="clear" w:color="000000" w:fill="F9797B"/>
            <w:noWrap/>
            <w:hideMark/>
          </w:tcPr>
          <w:p w14:paraId="311C30F5" w14:textId="515ED982" w:rsidR="007175FE" w:rsidRPr="003D492B" w:rsidRDefault="007175FE" w:rsidP="000C49A5">
            <w:pPr>
              <w:jc w:val="right"/>
              <w:rPr>
                <w:rFonts w:ascii="Arial CE" w:eastAsia="Times New Roman" w:hAnsi="Arial CE" w:cs="Calibri"/>
                <w:sz w:val="18"/>
                <w:szCs w:val="16"/>
                <w:lang w:eastAsia="cs-CZ"/>
              </w:rPr>
            </w:pPr>
            <w:r w:rsidRPr="003D492B">
              <w:rPr>
                <w:sz w:val="18"/>
              </w:rPr>
              <w:t>24,2</w:t>
            </w:r>
            <w:r w:rsidR="00CB4CBD">
              <w:rPr>
                <w:sz w:val="18"/>
              </w:rPr>
              <w:t xml:space="preserve"> </w:t>
            </w:r>
            <w:r w:rsidRPr="003D492B">
              <w:rPr>
                <w:sz w:val="18"/>
              </w:rPr>
              <w:t>%</w:t>
            </w:r>
          </w:p>
        </w:tc>
        <w:tc>
          <w:tcPr>
            <w:tcW w:w="550" w:type="pct"/>
            <w:tcBorders>
              <w:top w:val="single" w:sz="4" w:space="0" w:color="auto"/>
              <w:left w:val="single" w:sz="4" w:space="0" w:color="auto"/>
              <w:bottom w:val="single" w:sz="4" w:space="0" w:color="auto"/>
              <w:right w:val="single" w:sz="4" w:space="0" w:color="auto"/>
            </w:tcBorders>
            <w:shd w:val="clear" w:color="000000" w:fill="FCF5F8"/>
            <w:noWrap/>
            <w:hideMark/>
          </w:tcPr>
          <w:p w14:paraId="218F069D" w14:textId="48E617DB" w:rsidR="007175FE" w:rsidRPr="003D492B" w:rsidRDefault="007175FE" w:rsidP="000C49A5">
            <w:pPr>
              <w:jc w:val="right"/>
              <w:rPr>
                <w:rFonts w:ascii="Arial CE" w:eastAsia="Times New Roman" w:hAnsi="Arial CE" w:cs="Calibri"/>
                <w:sz w:val="18"/>
                <w:szCs w:val="16"/>
                <w:lang w:eastAsia="cs-CZ"/>
              </w:rPr>
            </w:pPr>
            <w:r w:rsidRPr="003D492B">
              <w:rPr>
                <w:sz w:val="18"/>
              </w:rPr>
              <w:t>7,5</w:t>
            </w:r>
            <w:r w:rsidR="00CB4CBD">
              <w:rPr>
                <w:sz w:val="18"/>
              </w:rPr>
              <w:t xml:space="preserve"> </w:t>
            </w:r>
            <w:r w:rsidRPr="003D492B">
              <w:rPr>
                <w:sz w:val="18"/>
              </w:rPr>
              <w:t>%</w:t>
            </w:r>
          </w:p>
        </w:tc>
        <w:tc>
          <w:tcPr>
            <w:tcW w:w="643" w:type="pct"/>
            <w:tcBorders>
              <w:top w:val="nil"/>
              <w:left w:val="nil"/>
              <w:bottom w:val="single" w:sz="4" w:space="0" w:color="auto"/>
              <w:right w:val="single" w:sz="4" w:space="0" w:color="auto"/>
            </w:tcBorders>
            <w:shd w:val="clear" w:color="auto" w:fill="auto"/>
            <w:noWrap/>
            <w:hideMark/>
          </w:tcPr>
          <w:p w14:paraId="06FD8630" w14:textId="3791050A" w:rsidR="007175FE" w:rsidRPr="003D492B" w:rsidRDefault="007175FE" w:rsidP="000C49A5">
            <w:pPr>
              <w:jc w:val="right"/>
              <w:rPr>
                <w:rFonts w:ascii="Arial CE" w:eastAsia="Times New Roman" w:hAnsi="Arial CE" w:cs="Calibri"/>
                <w:sz w:val="18"/>
                <w:szCs w:val="16"/>
                <w:lang w:eastAsia="cs-CZ"/>
              </w:rPr>
            </w:pPr>
            <w:r w:rsidRPr="003D492B">
              <w:rPr>
                <w:sz w:val="18"/>
              </w:rPr>
              <w:t>49,9</w:t>
            </w:r>
            <w:r w:rsidR="00CB4CBD">
              <w:rPr>
                <w:sz w:val="18"/>
              </w:rPr>
              <w:t xml:space="preserve"> </w:t>
            </w:r>
            <w:r w:rsidRPr="003D492B">
              <w:rPr>
                <w:sz w:val="18"/>
              </w:rPr>
              <w:t>%</w:t>
            </w:r>
          </w:p>
        </w:tc>
      </w:tr>
      <w:tr w:rsidR="007175FE" w:rsidRPr="00B47556" w14:paraId="6C6DAAD0" w14:textId="77777777" w:rsidTr="000C49A5">
        <w:trPr>
          <w:trHeight w:val="240"/>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14:paraId="069D1F70" w14:textId="77777777" w:rsidR="007175FE" w:rsidRPr="00B47556" w:rsidRDefault="007175FE" w:rsidP="000C49A5">
            <w:pPr>
              <w:rPr>
                <w:rFonts w:ascii="Calibri" w:eastAsia="Times New Roman" w:hAnsi="Calibri" w:cs="Calibri"/>
                <w:color w:val="000000"/>
                <w:sz w:val="18"/>
                <w:szCs w:val="18"/>
                <w:lang w:eastAsia="cs-CZ"/>
              </w:rPr>
            </w:pPr>
            <w:r w:rsidRPr="00B47556">
              <w:rPr>
                <w:rFonts w:ascii="Calibri" w:eastAsia="Times New Roman" w:hAnsi="Calibri" w:cs="Calibri"/>
                <w:color w:val="000000"/>
                <w:sz w:val="18"/>
                <w:szCs w:val="18"/>
                <w:lang w:eastAsia="cs-CZ"/>
              </w:rPr>
              <w:t>Ženy</w:t>
            </w:r>
          </w:p>
        </w:tc>
        <w:tc>
          <w:tcPr>
            <w:tcW w:w="520" w:type="pct"/>
            <w:tcBorders>
              <w:top w:val="single" w:sz="4" w:space="0" w:color="auto"/>
              <w:left w:val="single" w:sz="4" w:space="0" w:color="auto"/>
              <w:bottom w:val="single" w:sz="4" w:space="0" w:color="auto"/>
              <w:right w:val="single" w:sz="4" w:space="0" w:color="auto"/>
            </w:tcBorders>
            <w:shd w:val="clear" w:color="000000" w:fill="F8696B"/>
            <w:noWrap/>
            <w:hideMark/>
          </w:tcPr>
          <w:p w14:paraId="54CBAE74" w14:textId="77777777" w:rsidR="007175FE" w:rsidRPr="003D492B" w:rsidRDefault="007175FE" w:rsidP="000C49A5">
            <w:pPr>
              <w:jc w:val="right"/>
              <w:rPr>
                <w:rFonts w:ascii="Arial CE" w:eastAsia="Times New Roman" w:hAnsi="Arial CE" w:cs="Calibri"/>
                <w:sz w:val="18"/>
                <w:szCs w:val="16"/>
                <w:lang w:eastAsia="cs-CZ"/>
              </w:rPr>
            </w:pPr>
            <w:r w:rsidRPr="003D492B">
              <w:rPr>
                <w:sz w:val="18"/>
              </w:rPr>
              <w:t>124</w:t>
            </w:r>
          </w:p>
        </w:tc>
        <w:tc>
          <w:tcPr>
            <w:tcW w:w="520" w:type="pct"/>
            <w:tcBorders>
              <w:top w:val="single" w:sz="4" w:space="0" w:color="auto"/>
              <w:left w:val="single" w:sz="4" w:space="0" w:color="auto"/>
              <w:bottom w:val="single" w:sz="4" w:space="0" w:color="auto"/>
              <w:right w:val="single" w:sz="4" w:space="0" w:color="auto"/>
            </w:tcBorders>
            <w:shd w:val="clear" w:color="000000" w:fill="F97173"/>
            <w:noWrap/>
            <w:hideMark/>
          </w:tcPr>
          <w:p w14:paraId="24F07CC5" w14:textId="77777777" w:rsidR="007175FE" w:rsidRPr="003D492B" w:rsidRDefault="007175FE" w:rsidP="000C49A5">
            <w:pPr>
              <w:jc w:val="right"/>
              <w:rPr>
                <w:rFonts w:ascii="Arial CE" w:eastAsia="Times New Roman" w:hAnsi="Arial CE" w:cs="Calibri"/>
                <w:sz w:val="18"/>
                <w:szCs w:val="16"/>
                <w:lang w:eastAsia="cs-CZ"/>
              </w:rPr>
            </w:pPr>
            <w:r w:rsidRPr="003D492B">
              <w:rPr>
                <w:sz w:val="18"/>
              </w:rPr>
              <w:t>208</w:t>
            </w:r>
          </w:p>
        </w:tc>
        <w:tc>
          <w:tcPr>
            <w:tcW w:w="383" w:type="pct"/>
            <w:tcBorders>
              <w:top w:val="single" w:sz="4" w:space="0" w:color="auto"/>
              <w:left w:val="single" w:sz="4" w:space="0" w:color="auto"/>
              <w:bottom w:val="single" w:sz="4" w:space="0" w:color="auto"/>
              <w:right w:val="single" w:sz="4" w:space="0" w:color="auto"/>
            </w:tcBorders>
            <w:shd w:val="clear" w:color="000000" w:fill="FCFCFF"/>
            <w:noWrap/>
            <w:hideMark/>
          </w:tcPr>
          <w:p w14:paraId="38EF693C" w14:textId="77777777" w:rsidR="007175FE" w:rsidRPr="003D492B" w:rsidRDefault="007175FE" w:rsidP="000C49A5">
            <w:pPr>
              <w:jc w:val="right"/>
              <w:rPr>
                <w:rFonts w:ascii="Arial CE" w:eastAsia="Times New Roman" w:hAnsi="Arial CE" w:cs="Calibri"/>
                <w:sz w:val="18"/>
                <w:szCs w:val="16"/>
                <w:lang w:eastAsia="cs-CZ"/>
              </w:rPr>
            </w:pPr>
            <w:r w:rsidRPr="003D492B">
              <w:rPr>
                <w:sz w:val="18"/>
              </w:rPr>
              <w:t>47</w:t>
            </w:r>
          </w:p>
        </w:tc>
        <w:tc>
          <w:tcPr>
            <w:tcW w:w="643" w:type="pct"/>
            <w:tcBorders>
              <w:top w:val="nil"/>
              <w:left w:val="nil"/>
              <w:bottom w:val="single" w:sz="4" w:space="0" w:color="auto"/>
              <w:right w:val="single" w:sz="4" w:space="0" w:color="auto"/>
            </w:tcBorders>
            <w:shd w:val="clear" w:color="auto" w:fill="auto"/>
            <w:noWrap/>
            <w:hideMark/>
          </w:tcPr>
          <w:p w14:paraId="53A4EA34"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379</w:t>
            </w:r>
          </w:p>
        </w:tc>
        <w:tc>
          <w:tcPr>
            <w:tcW w:w="550" w:type="pct"/>
            <w:tcBorders>
              <w:top w:val="single" w:sz="4" w:space="0" w:color="auto"/>
              <w:left w:val="single" w:sz="4" w:space="0" w:color="auto"/>
              <w:bottom w:val="single" w:sz="4" w:space="0" w:color="auto"/>
              <w:right w:val="single" w:sz="4" w:space="0" w:color="auto"/>
            </w:tcBorders>
            <w:shd w:val="clear" w:color="000000" w:fill="F8696B"/>
            <w:noWrap/>
            <w:hideMark/>
          </w:tcPr>
          <w:p w14:paraId="78B9AAB3" w14:textId="472F4F63" w:rsidR="007175FE" w:rsidRPr="003D492B" w:rsidRDefault="007175FE" w:rsidP="00CB4CBD">
            <w:pPr>
              <w:jc w:val="right"/>
              <w:rPr>
                <w:rFonts w:ascii="Arial CE" w:eastAsia="Times New Roman" w:hAnsi="Arial CE" w:cs="Calibri"/>
                <w:sz w:val="18"/>
                <w:szCs w:val="16"/>
                <w:lang w:eastAsia="cs-CZ"/>
              </w:rPr>
            </w:pPr>
            <w:r w:rsidRPr="003D492B">
              <w:rPr>
                <w:sz w:val="18"/>
              </w:rPr>
              <w:t>16,4</w:t>
            </w:r>
            <w:r w:rsidR="00CB4CBD">
              <w:rPr>
                <w:sz w:val="18"/>
              </w:rPr>
              <w:t xml:space="preserve"> </w:t>
            </w:r>
            <w:r w:rsidRPr="003D492B">
              <w:rPr>
                <w:sz w:val="18"/>
              </w:rPr>
              <w:t>%</w:t>
            </w:r>
          </w:p>
        </w:tc>
        <w:tc>
          <w:tcPr>
            <w:tcW w:w="550" w:type="pct"/>
            <w:tcBorders>
              <w:top w:val="single" w:sz="4" w:space="0" w:color="auto"/>
              <w:left w:val="single" w:sz="4" w:space="0" w:color="auto"/>
              <w:bottom w:val="single" w:sz="4" w:space="0" w:color="auto"/>
              <w:right w:val="single" w:sz="4" w:space="0" w:color="auto"/>
            </w:tcBorders>
            <w:shd w:val="clear" w:color="000000" w:fill="F97173"/>
            <w:noWrap/>
            <w:hideMark/>
          </w:tcPr>
          <w:p w14:paraId="05D67EC1" w14:textId="3ECB3B73" w:rsidR="007175FE" w:rsidRPr="003D492B" w:rsidRDefault="007175FE" w:rsidP="000C49A5">
            <w:pPr>
              <w:jc w:val="right"/>
              <w:rPr>
                <w:rFonts w:ascii="Arial CE" w:eastAsia="Times New Roman" w:hAnsi="Arial CE" w:cs="Calibri"/>
                <w:sz w:val="18"/>
                <w:szCs w:val="16"/>
                <w:lang w:eastAsia="cs-CZ"/>
              </w:rPr>
            </w:pPr>
            <w:r w:rsidRPr="003D492B">
              <w:rPr>
                <w:sz w:val="18"/>
              </w:rPr>
              <w:t>27,5</w:t>
            </w:r>
            <w:r w:rsidR="00CB4CBD">
              <w:rPr>
                <w:sz w:val="18"/>
              </w:rPr>
              <w:t xml:space="preserve"> </w:t>
            </w:r>
            <w:r w:rsidRPr="003D492B">
              <w:rPr>
                <w:sz w:val="18"/>
              </w:rPr>
              <w:t>%</w:t>
            </w:r>
          </w:p>
        </w:tc>
        <w:tc>
          <w:tcPr>
            <w:tcW w:w="550" w:type="pct"/>
            <w:tcBorders>
              <w:top w:val="single" w:sz="4" w:space="0" w:color="auto"/>
              <w:left w:val="single" w:sz="4" w:space="0" w:color="auto"/>
              <w:bottom w:val="single" w:sz="4" w:space="0" w:color="auto"/>
              <w:right w:val="single" w:sz="4" w:space="0" w:color="auto"/>
            </w:tcBorders>
            <w:shd w:val="clear" w:color="000000" w:fill="FCFCFF"/>
            <w:noWrap/>
            <w:hideMark/>
          </w:tcPr>
          <w:p w14:paraId="10C970FB" w14:textId="3E2E04F9" w:rsidR="007175FE" w:rsidRPr="003D492B" w:rsidRDefault="007175FE" w:rsidP="000C49A5">
            <w:pPr>
              <w:jc w:val="right"/>
              <w:rPr>
                <w:rFonts w:ascii="Arial CE" w:eastAsia="Times New Roman" w:hAnsi="Arial CE" w:cs="Calibri"/>
                <w:sz w:val="18"/>
                <w:szCs w:val="16"/>
                <w:lang w:eastAsia="cs-CZ"/>
              </w:rPr>
            </w:pPr>
            <w:r w:rsidRPr="003D492B">
              <w:rPr>
                <w:sz w:val="18"/>
              </w:rPr>
              <w:t>6,2</w:t>
            </w:r>
            <w:r w:rsidR="00CB4CBD">
              <w:rPr>
                <w:sz w:val="18"/>
              </w:rPr>
              <w:t xml:space="preserve"> </w:t>
            </w:r>
            <w:r w:rsidRPr="003D492B">
              <w:rPr>
                <w:sz w:val="18"/>
              </w:rPr>
              <w:t>%</w:t>
            </w:r>
          </w:p>
        </w:tc>
        <w:tc>
          <w:tcPr>
            <w:tcW w:w="643" w:type="pct"/>
            <w:tcBorders>
              <w:top w:val="nil"/>
              <w:left w:val="nil"/>
              <w:bottom w:val="single" w:sz="4" w:space="0" w:color="auto"/>
              <w:right w:val="single" w:sz="4" w:space="0" w:color="auto"/>
            </w:tcBorders>
            <w:shd w:val="clear" w:color="auto" w:fill="auto"/>
            <w:noWrap/>
            <w:hideMark/>
          </w:tcPr>
          <w:p w14:paraId="1B000FDF" w14:textId="517B17BD" w:rsidR="007175FE" w:rsidRPr="003D492B" w:rsidRDefault="007175FE" w:rsidP="000C49A5">
            <w:pPr>
              <w:jc w:val="right"/>
              <w:rPr>
                <w:rFonts w:ascii="Arial CE" w:eastAsia="Times New Roman" w:hAnsi="Arial CE" w:cs="Calibri"/>
                <w:sz w:val="18"/>
                <w:szCs w:val="16"/>
                <w:lang w:eastAsia="cs-CZ"/>
              </w:rPr>
            </w:pPr>
            <w:r w:rsidRPr="003D492B">
              <w:rPr>
                <w:sz w:val="18"/>
              </w:rPr>
              <w:t>50,1</w:t>
            </w:r>
            <w:r w:rsidR="00CB4CBD">
              <w:rPr>
                <w:sz w:val="18"/>
              </w:rPr>
              <w:t xml:space="preserve"> </w:t>
            </w:r>
            <w:r w:rsidRPr="003D492B">
              <w:rPr>
                <w:sz w:val="18"/>
              </w:rPr>
              <w:t>%</w:t>
            </w:r>
          </w:p>
        </w:tc>
      </w:tr>
      <w:tr w:rsidR="007175FE" w:rsidRPr="00B47556" w14:paraId="4F26F2B2" w14:textId="77777777" w:rsidTr="000C49A5">
        <w:trPr>
          <w:trHeight w:val="240"/>
        </w:trPr>
        <w:tc>
          <w:tcPr>
            <w:tcW w:w="642" w:type="pct"/>
            <w:tcBorders>
              <w:top w:val="nil"/>
              <w:left w:val="single" w:sz="4" w:space="0" w:color="auto"/>
              <w:bottom w:val="single" w:sz="4" w:space="0" w:color="auto"/>
              <w:right w:val="single" w:sz="4" w:space="0" w:color="auto"/>
            </w:tcBorders>
            <w:shd w:val="clear" w:color="auto" w:fill="auto"/>
            <w:noWrap/>
            <w:vAlign w:val="bottom"/>
            <w:hideMark/>
          </w:tcPr>
          <w:p w14:paraId="463ECE5F" w14:textId="77777777" w:rsidR="007175FE" w:rsidRPr="00B47556" w:rsidRDefault="007175FE" w:rsidP="000C49A5">
            <w:pPr>
              <w:rPr>
                <w:rFonts w:ascii="Calibri" w:eastAsia="Times New Roman" w:hAnsi="Calibri" w:cs="Calibri"/>
                <w:color w:val="000000"/>
                <w:sz w:val="18"/>
                <w:szCs w:val="18"/>
                <w:lang w:eastAsia="cs-CZ"/>
              </w:rPr>
            </w:pPr>
            <w:r w:rsidRPr="00B47556">
              <w:rPr>
                <w:rFonts w:ascii="Calibri" w:eastAsia="Times New Roman" w:hAnsi="Calibri" w:cs="Calibri"/>
                <w:color w:val="000000"/>
                <w:sz w:val="18"/>
                <w:szCs w:val="18"/>
                <w:lang w:eastAsia="cs-CZ"/>
              </w:rPr>
              <w:t>Celkem</w:t>
            </w:r>
          </w:p>
        </w:tc>
        <w:tc>
          <w:tcPr>
            <w:tcW w:w="520" w:type="pct"/>
            <w:tcBorders>
              <w:top w:val="nil"/>
              <w:left w:val="nil"/>
              <w:bottom w:val="single" w:sz="4" w:space="0" w:color="auto"/>
              <w:right w:val="single" w:sz="4" w:space="0" w:color="auto"/>
            </w:tcBorders>
            <w:shd w:val="clear" w:color="auto" w:fill="auto"/>
            <w:noWrap/>
            <w:hideMark/>
          </w:tcPr>
          <w:p w14:paraId="727FE00F"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262</w:t>
            </w:r>
          </w:p>
        </w:tc>
        <w:tc>
          <w:tcPr>
            <w:tcW w:w="520" w:type="pct"/>
            <w:tcBorders>
              <w:top w:val="nil"/>
              <w:left w:val="nil"/>
              <w:bottom w:val="single" w:sz="4" w:space="0" w:color="auto"/>
              <w:right w:val="single" w:sz="4" w:space="0" w:color="auto"/>
            </w:tcBorders>
            <w:shd w:val="clear" w:color="auto" w:fill="auto"/>
            <w:noWrap/>
            <w:hideMark/>
          </w:tcPr>
          <w:p w14:paraId="2EC39F94"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391</w:t>
            </w:r>
          </w:p>
        </w:tc>
        <w:tc>
          <w:tcPr>
            <w:tcW w:w="383" w:type="pct"/>
            <w:tcBorders>
              <w:top w:val="nil"/>
              <w:left w:val="nil"/>
              <w:bottom w:val="single" w:sz="4" w:space="0" w:color="auto"/>
              <w:right w:val="single" w:sz="4" w:space="0" w:color="auto"/>
            </w:tcBorders>
            <w:shd w:val="clear" w:color="auto" w:fill="auto"/>
            <w:noWrap/>
            <w:hideMark/>
          </w:tcPr>
          <w:p w14:paraId="21CDBB9F"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104</w:t>
            </w:r>
          </w:p>
        </w:tc>
        <w:tc>
          <w:tcPr>
            <w:tcW w:w="643" w:type="pct"/>
            <w:tcBorders>
              <w:top w:val="nil"/>
              <w:left w:val="nil"/>
              <w:bottom w:val="single" w:sz="4" w:space="0" w:color="auto"/>
              <w:right w:val="single" w:sz="4" w:space="0" w:color="auto"/>
            </w:tcBorders>
            <w:shd w:val="clear" w:color="auto" w:fill="auto"/>
            <w:noWrap/>
            <w:hideMark/>
          </w:tcPr>
          <w:p w14:paraId="6CA387D8"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757</w:t>
            </w:r>
          </w:p>
        </w:tc>
        <w:tc>
          <w:tcPr>
            <w:tcW w:w="550" w:type="pct"/>
            <w:tcBorders>
              <w:top w:val="nil"/>
              <w:left w:val="nil"/>
              <w:bottom w:val="single" w:sz="4" w:space="0" w:color="auto"/>
              <w:right w:val="single" w:sz="4" w:space="0" w:color="auto"/>
            </w:tcBorders>
            <w:shd w:val="clear" w:color="auto" w:fill="auto"/>
            <w:noWrap/>
            <w:hideMark/>
          </w:tcPr>
          <w:p w14:paraId="589F5570" w14:textId="7D055A1C" w:rsidR="007175FE" w:rsidRPr="003D492B" w:rsidRDefault="007175FE" w:rsidP="000C49A5">
            <w:pPr>
              <w:jc w:val="right"/>
              <w:rPr>
                <w:rFonts w:ascii="Arial CE" w:eastAsia="Times New Roman" w:hAnsi="Arial CE" w:cs="Calibri"/>
                <w:sz w:val="18"/>
                <w:szCs w:val="16"/>
                <w:lang w:eastAsia="cs-CZ"/>
              </w:rPr>
            </w:pPr>
            <w:r w:rsidRPr="003D492B">
              <w:rPr>
                <w:sz w:val="18"/>
              </w:rPr>
              <w:t>34,6</w:t>
            </w:r>
            <w:r w:rsidR="00CB4CBD">
              <w:rPr>
                <w:sz w:val="18"/>
              </w:rPr>
              <w:t xml:space="preserve"> </w:t>
            </w:r>
            <w:r w:rsidRPr="003D492B">
              <w:rPr>
                <w:sz w:val="18"/>
              </w:rPr>
              <w:t>%</w:t>
            </w:r>
          </w:p>
        </w:tc>
        <w:tc>
          <w:tcPr>
            <w:tcW w:w="550" w:type="pct"/>
            <w:tcBorders>
              <w:top w:val="nil"/>
              <w:left w:val="nil"/>
              <w:bottom w:val="single" w:sz="4" w:space="0" w:color="auto"/>
              <w:right w:val="single" w:sz="4" w:space="0" w:color="auto"/>
            </w:tcBorders>
            <w:shd w:val="clear" w:color="auto" w:fill="auto"/>
            <w:noWrap/>
            <w:hideMark/>
          </w:tcPr>
          <w:p w14:paraId="739DA025" w14:textId="15B481D9" w:rsidR="007175FE" w:rsidRPr="003D492B" w:rsidRDefault="007175FE" w:rsidP="000C49A5">
            <w:pPr>
              <w:jc w:val="right"/>
              <w:rPr>
                <w:rFonts w:ascii="Arial CE" w:eastAsia="Times New Roman" w:hAnsi="Arial CE" w:cs="Calibri"/>
                <w:sz w:val="18"/>
                <w:szCs w:val="16"/>
                <w:lang w:eastAsia="cs-CZ"/>
              </w:rPr>
            </w:pPr>
            <w:r w:rsidRPr="003D492B">
              <w:rPr>
                <w:sz w:val="18"/>
              </w:rPr>
              <w:t>51,7</w:t>
            </w:r>
            <w:r w:rsidR="00CB4CBD">
              <w:rPr>
                <w:sz w:val="18"/>
              </w:rPr>
              <w:t xml:space="preserve"> </w:t>
            </w:r>
            <w:r w:rsidRPr="003D492B">
              <w:rPr>
                <w:sz w:val="18"/>
              </w:rPr>
              <w:t>%</w:t>
            </w:r>
          </w:p>
        </w:tc>
        <w:tc>
          <w:tcPr>
            <w:tcW w:w="550" w:type="pct"/>
            <w:tcBorders>
              <w:top w:val="nil"/>
              <w:left w:val="nil"/>
              <w:bottom w:val="single" w:sz="4" w:space="0" w:color="auto"/>
              <w:right w:val="single" w:sz="4" w:space="0" w:color="auto"/>
            </w:tcBorders>
            <w:shd w:val="clear" w:color="auto" w:fill="auto"/>
            <w:noWrap/>
            <w:hideMark/>
          </w:tcPr>
          <w:p w14:paraId="0115B251" w14:textId="0681AB30" w:rsidR="007175FE" w:rsidRPr="003D492B" w:rsidRDefault="007175FE" w:rsidP="000C49A5">
            <w:pPr>
              <w:jc w:val="right"/>
              <w:rPr>
                <w:rFonts w:ascii="Arial CE" w:eastAsia="Times New Roman" w:hAnsi="Arial CE" w:cs="Calibri"/>
                <w:sz w:val="18"/>
                <w:szCs w:val="16"/>
                <w:lang w:eastAsia="cs-CZ"/>
              </w:rPr>
            </w:pPr>
            <w:r w:rsidRPr="003D492B">
              <w:rPr>
                <w:sz w:val="18"/>
              </w:rPr>
              <w:t>13,7</w:t>
            </w:r>
            <w:r w:rsidR="00CB4CBD">
              <w:rPr>
                <w:sz w:val="18"/>
              </w:rPr>
              <w:t xml:space="preserve"> </w:t>
            </w:r>
            <w:r w:rsidRPr="003D492B">
              <w:rPr>
                <w:sz w:val="18"/>
              </w:rPr>
              <w:t>%</w:t>
            </w:r>
          </w:p>
        </w:tc>
        <w:tc>
          <w:tcPr>
            <w:tcW w:w="643" w:type="pct"/>
            <w:tcBorders>
              <w:top w:val="nil"/>
              <w:left w:val="nil"/>
              <w:bottom w:val="single" w:sz="4" w:space="0" w:color="auto"/>
              <w:right w:val="single" w:sz="4" w:space="0" w:color="auto"/>
            </w:tcBorders>
            <w:shd w:val="clear" w:color="auto" w:fill="auto"/>
            <w:noWrap/>
            <w:hideMark/>
          </w:tcPr>
          <w:p w14:paraId="38667F1B" w14:textId="7A4A95F5" w:rsidR="007175FE" w:rsidRPr="003D492B" w:rsidRDefault="007175FE" w:rsidP="000C49A5">
            <w:pPr>
              <w:jc w:val="right"/>
              <w:rPr>
                <w:rFonts w:ascii="Arial CE" w:eastAsia="Times New Roman" w:hAnsi="Arial CE" w:cs="Calibri"/>
                <w:sz w:val="18"/>
                <w:szCs w:val="16"/>
                <w:lang w:eastAsia="cs-CZ"/>
              </w:rPr>
            </w:pPr>
            <w:r w:rsidRPr="003D492B">
              <w:rPr>
                <w:sz w:val="18"/>
              </w:rPr>
              <w:t>100,0</w:t>
            </w:r>
            <w:r w:rsidR="00CB4CBD">
              <w:rPr>
                <w:sz w:val="18"/>
              </w:rPr>
              <w:t xml:space="preserve"> </w:t>
            </w:r>
            <w:r w:rsidRPr="003D492B">
              <w:rPr>
                <w:sz w:val="18"/>
              </w:rPr>
              <w:t>%</w:t>
            </w:r>
          </w:p>
        </w:tc>
      </w:tr>
    </w:tbl>
    <w:p w14:paraId="24396B56" w14:textId="77777777" w:rsidR="007175FE" w:rsidRDefault="007175FE" w:rsidP="007175FE">
      <w:pPr>
        <w:pStyle w:val="zdroj0"/>
      </w:pPr>
      <w:r>
        <w:t xml:space="preserve">Zdroj: </w:t>
      </w:r>
      <w:r w:rsidRPr="00DA7ABE">
        <w:t>PROCES, Anketní šetření spokojenosti obyvatel města Zlín 2020</w:t>
      </w:r>
      <w:r>
        <w:t>.</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4961"/>
      </w:tblGrid>
      <w:tr w:rsidR="007175FE" w:rsidRPr="00DA7ABE" w14:paraId="618B7439" w14:textId="77777777" w:rsidTr="000C49A5">
        <w:tc>
          <w:tcPr>
            <w:tcW w:w="4111" w:type="dxa"/>
          </w:tcPr>
          <w:p w14:paraId="49D77F75" w14:textId="77777777" w:rsidR="007175FE" w:rsidRPr="00DA7ABE" w:rsidRDefault="007175FE" w:rsidP="000C49A5">
            <w:pPr>
              <w:rPr>
                <w:rFonts w:cstheme="minorHAnsi"/>
                <w:highlight w:val="yellow"/>
              </w:rPr>
            </w:pPr>
            <w:r w:rsidRPr="00DA7ABE">
              <w:t>Více než polovina respondentů (52 %) má vysokoškolské vzdělání, 39 % respondentů má vystudovanou střední školu s maturitou. Středoškolské vzdělání bez maturity má 7 % respondentů a pouze 2 % respondentů je bez vzdělání nebo se základním vzděláním.</w:t>
            </w:r>
          </w:p>
          <w:p w14:paraId="6B4194B3" w14:textId="77777777" w:rsidR="007175FE" w:rsidRPr="00DA7ABE" w:rsidRDefault="007175FE" w:rsidP="000C49A5">
            <w:pPr>
              <w:rPr>
                <w:rFonts w:cstheme="minorHAnsi"/>
                <w:highlight w:val="yellow"/>
              </w:rPr>
            </w:pPr>
          </w:p>
        </w:tc>
        <w:tc>
          <w:tcPr>
            <w:tcW w:w="4961" w:type="dxa"/>
          </w:tcPr>
          <w:p w14:paraId="4DF29821" w14:textId="4FD23D12" w:rsidR="007175FE" w:rsidRPr="00DA7ABE" w:rsidRDefault="006B5B80" w:rsidP="006B5B80">
            <w:pPr>
              <w:pStyle w:val="Titulek"/>
              <w:rPr>
                <w:rFonts w:cstheme="minorHAnsi"/>
              </w:rPr>
            </w:pPr>
            <w:bookmarkStart w:id="549" w:name="_Toc54702773"/>
            <w:bookmarkStart w:id="550" w:name="_Toc56179580"/>
            <w:bookmarkStart w:id="551" w:name="_Toc7707492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w:t>
            </w:r>
            <w:r w:rsidR="00804AF3">
              <w:rPr>
                <w:noProof/>
              </w:rPr>
              <w:fldChar w:fldCharType="end"/>
            </w:r>
            <w:r w:rsidR="00CB4CBD">
              <w:rPr>
                <w:noProof/>
              </w:rPr>
              <w:t>:</w:t>
            </w:r>
            <w:r w:rsidR="007175FE" w:rsidRPr="00DA7ABE">
              <w:rPr>
                <w:rFonts w:cstheme="minorHAnsi"/>
              </w:rPr>
              <w:t xml:space="preserve"> Struktura respondentů podle vzdělání</w:t>
            </w:r>
            <w:bookmarkEnd w:id="549"/>
            <w:bookmarkEnd w:id="550"/>
            <w:bookmarkEnd w:id="551"/>
          </w:p>
          <w:p w14:paraId="6EC302A0" w14:textId="77777777" w:rsidR="007175FE" w:rsidRDefault="007175FE" w:rsidP="000C49A5">
            <w:pPr>
              <w:pStyle w:val="zdroj0"/>
              <w:spacing w:after="0"/>
              <w:jc w:val="both"/>
              <w:rPr>
                <w:rFonts w:cstheme="minorHAnsi"/>
              </w:rPr>
            </w:pPr>
            <w:r>
              <w:rPr>
                <w:rFonts w:cstheme="minorHAnsi"/>
                <w:noProof/>
              </w:rPr>
              <w:drawing>
                <wp:inline distT="0" distB="0" distL="0" distR="0" wp14:anchorId="547C8F29" wp14:editId="498D03A4">
                  <wp:extent cx="2981325" cy="1426845"/>
                  <wp:effectExtent l="0" t="0" r="9525" b="1905"/>
                  <wp:docPr id="353" name="Obráze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981325" cy="1426845"/>
                          </a:xfrm>
                          <a:prstGeom prst="rect">
                            <a:avLst/>
                          </a:prstGeom>
                          <a:noFill/>
                        </pic:spPr>
                      </pic:pic>
                    </a:graphicData>
                  </a:graphic>
                </wp:inline>
              </w:drawing>
            </w:r>
          </w:p>
          <w:p w14:paraId="4A48AFC2" w14:textId="1BF84559" w:rsidR="007175FE" w:rsidRPr="00DA7ABE" w:rsidRDefault="007175FE" w:rsidP="000C49A5">
            <w:pPr>
              <w:pStyle w:val="zdroj0"/>
              <w:jc w:val="both"/>
              <w:rPr>
                <w:rFonts w:asciiTheme="minorHAnsi" w:hAnsiTheme="minorHAnsi" w:cstheme="minorHAnsi"/>
                <w:highlight w:val="yellow"/>
              </w:rPr>
            </w:pPr>
            <w:r w:rsidRPr="00DA7ABE">
              <w:rPr>
                <w:rFonts w:cstheme="minorHAnsi"/>
              </w:rPr>
              <w:t>Zdroj: PROCES, Anketní šetření spokojenosti obyvatel města Zlín 2020</w:t>
            </w:r>
            <w:r w:rsidR="00CB4CBD">
              <w:rPr>
                <w:rFonts w:cstheme="minorHAnsi"/>
              </w:rPr>
              <w:t>.</w:t>
            </w:r>
          </w:p>
        </w:tc>
      </w:tr>
    </w:tbl>
    <w:p w14:paraId="3DF6AB3D" w14:textId="113A364F" w:rsidR="007175FE" w:rsidRDefault="007175FE" w:rsidP="007175FE">
      <w:pPr>
        <w:rPr>
          <w:rFonts w:cstheme="minorHAnsi"/>
        </w:rPr>
      </w:pPr>
      <w:r w:rsidRPr="00DA7ABE">
        <w:rPr>
          <w:rFonts w:cstheme="minorHAnsi"/>
        </w:rPr>
        <w:t>Respondenti odpovídali také na otázku, zda žijí ve Zl</w:t>
      </w:r>
      <w:r>
        <w:rPr>
          <w:rFonts w:cstheme="minorHAnsi"/>
        </w:rPr>
        <w:t>íně. Tři čtvrtiny</w:t>
      </w:r>
      <w:r w:rsidRPr="00DA7ABE">
        <w:rPr>
          <w:rFonts w:cstheme="minorHAnsi"/>
        </w:rPr>
        <w:t xml:space="preserve"> respondentů ve Zlíně žijí a mají zde i</w:t>
      </w:r>
      <w:r w:rsidR="00CB4CBD">
        <w:rPr>
          <w:rFonts w:cstheme="minorHAnsi"/>
        </w:rPr>
        <w:t> </w:t>
      </w:r>
      <w:r w:rsidRPr="00DA7ABE">
        <w:rPr>
          <w:rFonts w:cstheme="minorHAnsi"/>
        </w:rPr>
        <w:t>trvalé bydliště, 22 % ve Zlíně sice žije, ale trvalé bydliště má jinde. Zbývající 3 % respondentů odpověděla, že sice má ve Zlíně trvalé bydliště, ale v současnosti žije jinde.</w:t>
      </w:r>
    </w:p>
    <w:p w14:paraId="3B1418A7" w14:textId="77777777" w:rsidR="007175FE" w:rsidRDefault="007175FE" w:rsidP="007175FE">
      <w:pPr>
        <w:rPr>
          <w:rFonts w:cstheme="minorHAnsi"/>
        </w:rPr>
      </w:pPr>
      <w:r w:rsidRPr="00DA7ABE">
        <w:rPr>
          <w:rFonts w:cstheme="minorHAnsi"/>
        </w:rPr>
        <w:t>Větš</w:t>
      </w:r>
      <w:r>
        <w:rPr>
          <w:rFonts w:cstheme="minorHAnsi"/>
        </w:rPr>
        <w:t>ina respondentů (721, tedy 72,6</w:t>
      </w:r>
      <w:r w:rsidRPr="00DA7ABE">
        <w:rPr>
          <w:rFonts w:cstheme="minorHAnsi"/>
        </w:rPr>
        <w:t xml:space="preserve"> %) žije ve Vnitřním Zlíně. Druhou nejpočetněji zastoupenou místní částí byly Malenovice (6,</w:t>
      </w:r>
      <w:r>
        <w:rPr>
          <w:rFonts w:cstheme="minorHAnsi"/>
        </w:rPr>
        <w:t>8</w:t>
      </w:r>
      <w:r w:rsidRPr="00DA7ABE">
        <w:rPr>
          <w:rFonts w:cstheme="minorHAnsi"/>
        </w:rPr>
        <w:t xml:space="preserve"> %), více než 2 % respondentů </w:t>
      </w:r>
      <w:r>
        <w:rPr>
          <w:rFonts w:cstheme="minorHAnsi"/>
        </w:rPr>
        <w:t xml:space="preserve">bydlí v místních částí </w:t>
      </w:r>
      <w:r w:rsidRPr="00DA7ABE">
        <w:rPr>
          <w:rFonts w:cstheme="minorHAnsi"/>
        </w:rPr>
        <w:t>Příluky, Prštné a</w:t>
      </w:r>
      <w:r>
        <w:rPr>
          <w:rFonts w:cstheme="minorHAnsi"/>
        </w:rPr>
        <w:t> </w:t>
      </w:r>
      <w:r w:rsidRPr="00DA7ABE">
        <w:rPr>
          <w:rFonts w:cstheme="minorHAnsi"/>
        </w:rPr>
        <w:t xml:space="preserve">Kudlov.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3386"/>
        <w:gridCol w:w="1040"/>
        <w:gridCol w:w="4646"/>
      </w:tblGrid>
      <w:tr w:rsidR="007175FE" w:rsidRPr="00DA7ABE" w14:paraId="213D925C" w14:textId="77777777" w:rsidTr="000C49A5">
        <w:tc>
          <w:tcPr>
            <w:tcW w:w="4428" w:type="dxa"/>
            <w:gridSpan w:val="2"/>
          </w:tcPr>
          <w:p w14:paraId="0D02A22D" w14:textId="14184624" w:rsidR="007175FE" w:rsidRPr="00DA7ABE" w:rsidRDefault="007175FE" w:rsidP="000C49A5">
            <w:pPr>
              <w:pStyle w:val="Titulek"/>
              <w:rPr>
                <w:rFonts w:cstheme="minorHAnsi"/>
              </w:rPr>
            </w:pPr>
            <w:bookmarkStart w:id="552" w:name="_Toc54702618"/>
            <w:bookmarkStart w:id="553" w:name="_Toc56179424"/>
            <w:bookmarkStart w:id="554" w:name="_Toc57731782"/>
            <w:bookmarkStart w:id="555" w:name="_Toc77074766"/>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3</w:t>
            </w:r>
            <w:r w:rsidR="00DC277C">
              <w:rPr>
                <w:rFonts w:cstheme="minorHAnsi"/>
              </w:rPr>
              <w:fldChar w:fldCharType="end"/>
            </w:r>
            <w:r w:rsidR="00CB4CBD">
              <w:rPr>
                <w:rFonts w:cstheme="minorHAnsi"/>
              </w:rPr>
              <w:t>:</w:t>
            </w:r>
            <w:r>
              <w:rPr>
                <w:rFonts w:cstheme="minorHAnsi"/>
              </w:rPr>
              <w:t xml:space="preserve"> </w:t>
            </w:r>
            <w:r w:rsidRPr="00DA7ABE">
              <w:rPr>
                <w:rFonts w:cstheme="minorHAnsi"/>
              </w:rPr>
              <w:t>Struktura respondentů podle místních částí</w:t>
            </w:r>
            <w:bookmarkEnd w:id="552"/>
            <w:bookmarkEnd w:id="553"/>
            <w:bookmarkEnd w:id="554"/>
            <w:bookmarkEnd w:id="555"/>
          </w:p>
          <w:tbl>
            <w:tblPr>
              <w:tblW w:w="4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76"/>
              <w:gridCol w:w="740"/>
              <w:gridCol w:w="1179"/>
            </w:tblGrid>
            <w:tr w:rsidR="007175FE" w:rsidRPr="00DA7ABE" w14:paraId="12FA304D" w14:textId="77777777" w:rsidTr="000C49A5">
              <w:trPr>
                <w:trHeight w:val="110"/>
              </w:trPr>
              <w:tc>
                <w:tcPr>
                  <w:tcW w:w="2767" w:type="pct"/>
                  <w:vMerge w:val="restart"/>
                  <w:shd w:val="clear" w:color="000000" w:fill="F2F2F2"/>
                  <w:noWrap/>
                  <w:vAlign w:val="center"/>
                  <w:hideMark/>
                </w:tcPr>
                <w:p w14:paraId="39145437" w14:textId="77777777" w:rsidR="007175FE" w:rsidRPr="00DA7ABE" w:rsidRDefault="007175FE" w:rsidP="000C49A5">
                  <w:pPr>
                    <w:rPr>
                      <w:rFonts w:cstheme="minorHAnsi"/>
                      <w:b/>
                      <w:bCs/>
                      <w:color w:val="000000"/>
                      <w:sz w:val="18"/>
                      <w:szCs w:val="18"/>
                    </w:rPr>
                  </w:pPr>
                  <w:r w:rsidRPr="00DA7ABE">
                    <w:rPr>
                      <w:rFonts w:cstheme="minorHAnsi"/>
                      <w:b/>
                      <w:bCs/>
                      <w:color w:val="000000"/>
                      <w:sz w:val="18"/>
                      <w:szCs w:val="18"/>
                    </w:rPr>
                    <w:t>Místní část</w:t>
                  </w:r>
                </w:p>
              </w:tc>
              <w:tc>
                <w:tcPr>
                  <w:tcW w:w="2233" w:type="pct"/>
                  <w:gridSpan w:val="2"/>
                  <w:shd w:val="clear" w:color="000000" w:fill="F2F2F2"/>
                  <w:noWrap/>
                  <w:vAlign w:val="bottom"/>
                  <w:hideMark/>
                </w:tcPr>
                <w:p w14:paraId="5BEFA0D7" w14:textId="77777777" w:rsidR="007175FE" w:rsidRPr="00DA7ABE" w:rsidRDefault="007175FE" w:rsidP="000C49A5">
                  <w:pPr>
                    <w:rPr>
                      <w:rFonts w:cstheme="minorHAnsi"/>
                      <w:b/>
                      <w:bCs/>
                      <w:color w:val="000000"/>
                      <w:sz w:val="18"/>
                      <w:szCs w:val="18"/>
                    </w:rPr>
                  </w:pPr>
                  <w:r w:rsidRPr="00DA7ABE">
                    <w:rPr>
                      <w:rFonts w:cstheme="minorHAnsi"/>
                      <w:b/>
                      <w:bCs/>
                      <w:color w:val="000000"/>
                      <w:sz w:val="18"/>
                      <w:szCs w:val="18"/>
                    </w:rPr>
                    <w:t>Respondenti</w:t>
                  </w:r>
                </w:p>
              </w:tc>
            </w:tr>
            <w:tr w:rsidR="007175FE" w:rsidRPr="00DA7ABE" w14:paraId="1E1CF14D" w14:textId="77777777" w:rsidTr="000C49A5">
              <w:trPr>
                <w:trHeight w:val="110"/>
              </w:trPr>
              <w:tc>
                <w:tcPr>
                  <w:tcW w:w="2767" w:type="pct"/>
                  <w:vMerge/>
                  <w:vAlign w:val="center"/>
                  <w:hideMark/>
                </w:tcPr>
                <w:p w14:paraId="231BA56F" w14:textId="77777777" w:rsidR="007175FE" w:rsidRPr="00DA7ABE" w:rsidRDefault="007175FE" w:rsidP="000C49A5">
                  <w:pPr>
                    <w:rPr>
                      <w:rFonts w:cstheme="minorHAnsi"/>
                      <w:b/>
                      <w:bCs/>
                      <w:color w:val="000000"/>
                      <w:sz w:val="18"/>
                      <w:szCs w:val="18"/>
                    </w:rPr>
                  </w:pPr>
                </w:p>
              </w:tc>
              <w:tc>
                <w:tcPr>
                  <w:tcW w:w="861" w:type="pct"/>
                  <w:shd w:val="clear" w:color="000000" w:fill="F2F2F2"/>
                  <w:noWrap/>
                  <w:vAlign w:val="center"/>
                  <w:hideMark/>
                </w:tcPr>
                <w:p w14:paraId="76A65449" w14:textId="77777777" w:rsidR="007175FE" w:rsidRPr="00DA7ABE" w:rsidRDefault="007175FE" w:rsidP="000C49A5">
                  <w:pPr>
                    <w:rPr>
                      <w:rFonts w:cstheme="minorHAnsi"/>
                      <w:b/>
                      <w:bCs/>
                      <w:color w:val="000000"/>
                      <w:sz w:val="18"/>
                      <w:szCs w:val="18"/>
                    </w:rPr>
                  </w:pPr>
                  <w:r w:rsidRPr="00DA7ABE">
                    <w:rPr>
                      <w:rFonts w:cstheme="minorHAnsi"/>
                      <w:b/>
                      <w:bCs/>
                      <w:color w:val="000000"/>
                      <w:sz w:val="18"/>
                      <w:szCs w:val="18"/>
                    </w:rPr>
                    <w:t>Počet</w:t>
                  </w:r>
                </w:p>
              </w:tc>
              <w:tc>
                <w:tcPr>
                  <w:tcW w:w="1371" w:type="pct"/>
                  <w:shd w:val="clear" w:color="000000" w:fill="F2F2F2"/>
                  <w:noWrap/>
                  <w:vAlign w:val="center"/>
                  <w:hideMark/>
                </w:tcPr>
                <w:p w14:paraId="65FC60DD" w14:textId="77777777" w:rsidR="007175FE" w:rsidRPr="00DA7ABE" w:rsidRDefault="007175FE" w:rsidP="000C49A5">
                  <w:pPr>
                    <w:rPr>
                      <w:rFonts w:cstheme="minorHAnsi"/>
                      <w:b/>
                      <w:bCs/>
                      <w:color w:val="000000"/>
                      <w:sz w:val="18"/>
                      <w:szCs w:val="18"/>
                    </w:rPr>
                  </w:pPr>
                  <w:r w:rsidRPr="00DA7ABE">
                    <w:rPr>
                      <w:rFonts w:cstheme="minorHAnsi"/>
                      <w:b/>
                      <w:bCs/>
                      <w:color w:val="000000"/>
                      <w:sz w:val="18"/>
                      <w:szCs w:val="18"/>
                    </w:rPr>
                    <w:t>Podíl</w:t>
                  </w:r>
                </w:p>
              </w:tc>
            </w:tr>
            <w:tr w:rsidR="007175FE" w:rsidRPr="00DA7ABE" w14:paraId="17F04CCF" w14:textId="77777777" w:rsidTr="000C49A5">
              <w:trPr>
                <w:trHeight w:hRule="exact" w:val="276"/>
              </w:trPr>
              <w:tc>
                <w:tcPr>
                  <w:tcW w:w="2767" w:type="pct"/>
                  <w:shd w:val="clear" w:color="auto" w:fill="auto"/>
                  <w:noWrap/>
                  <w:vAlign w:val="bottom"/>
                  <w:hideMark/>
                </w:tcPr>
                <w:p w14:paraId="5761E9D8"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Vnitřní Zlín</w:t>
                  </w:r>
                </w:p>
              </w:tc>
              <w:tc>
                <w:tcPr>
                  <w:tcW w:w="861" w:type="pct"/>
                  <w:shd w:val="clear" w:color="auto" w:fill="auto"/>
                  <w:noWrap/>
                  <w:hideMark/>
                </w:tcPr>
                <w:p w14:paraId="6254D943"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721</w:t>
                  </w:r>
                </w:p>
              </w:tc>
              <w:tc>
                <w:tcPr>
                  <w:tcW w:w="1371" w:type="pct"/>
                  <w:shd w:val="clear" w:color="auto" w:fill="auto"/>
                  <w:noWrap/>
                  <w:vAlign w:val="center"/>
                  <w:hideMark/>
                </w:tcPr>
                <w:p w14:paraId="6C1FB85A" w14:textId="3214B8AB" w:rsidR="007175FE" w:rsidRPr="00DA7ABE" w:rsidRDefault="007175FE" w:rsidP="007175FE">
                  <w:pPr>
                    <w:spacing w:before="0"/>
                    <w:rPr>
                      <w:rFonts w:cstheme="minorHAnsi"/>
                      <w:color w:val="000000"/>
                      <w:sz w:val="18"/>
                      <w:szCs w:val="18"/>
                    </w:rPr>
                  </w:pPr>
                  <w:r w:rsidRPr="00DA7ABE">
                    <w:rPr>
                      <w:rFonts w:cstheme="minorHAnsi"/>
                      <w:color w:val="000000"/>
                      <w:sz w:val="18"/>
                      <w:szCs w:val="18"/>
                    </w:rPr>
                    <w:t>72,6</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34E95C91" w14:textId="77777777" w:rsidTr="000C49A5">
              <w:trPr>
                <w:trHeight w:hRule="exact" w:val="276"/>
              </w:trPr>
              <w:tc>
                <w:tcPr>
                  <w:tcW w:w="2767" w:type="pct"/>
                  <w:shd w:val="clear" w:color="auto" w:fill="auto"/>
                  <w:noWrap/>
                  <w:vAlign w:val="bottom"/>
                  <w:hideMark/>
                </w:tcPr>
                <w:p w14:paraId="78BF5B44"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Malenovice</w:t>
                  </w:r>
                </w:p>
              </w:tc>
              <w:tc>
                <w:tcPr>
                  <w:tcW w:w="861" w:type="pct"/>
                  <w:shd w:val="clear" w:color="auto" w:fill="auto"/>
                  <w:noWrap/>
                  <w:hideMark/>
                </w:tcPr>
                <w:p w14:paraId="601D3723"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67</w:t>
                  </w:r>
                </w:p>
              </w:tc>
              <w:tc>
                <w:tcPr>
                  <w:tcW w:w="1371" w:type="pct"/>
                  <w:shd w:val="clear" w:color="auto" w:fill="auto"/>
                  <w:noWrap/>
                  <w:vAlign w:val="center"/>
                  <w:hideMark/>
                </w:tcPr>
                <w:p w14:paraId="5BD9283C" w14:textId="5FFD4B8D" w:rsidR="007175FE" w:rsidRPr="00DA7ABE" w:rsidRDefault="007175FE" w:rsidP="007175FE">
                  <w:pPr>
                    <w:spacing w:before="0"/>
                    <w:rPr>
                      <w:rFonts w:cstheme="minorHAnsi"/>
                      <w:color w:val="000000"/>
                      <w:sz w:val="18"/>
                      <w:szCs w:val="18"/>
                    </w:rPr>
                  </w:pPr>
                  <w:r w:rsidRPr="00DA7ABE">
                    <w:rPr>
                      <w:rFonts w:cstheme="minorHAnsi"/>
                      <w:color w:val="000000"/>
                      <w:sz w:val="18"/>
                      <w:szCs w:val="18"/>
                    </w:rPr>
                    <w:t>6,8</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367379A5" w14:textId="77777777" w:rsidTr="000C49A5">
              <w:trPr>
                <w:trHeight w:hRule="exact" w:val="276"/>
              </w:trPr>
              <w:tc>
                <w:tcPr>
                  <w:tcW w:w="2767" w:type="pct"/>
                  <w:shd w:val="clear" w:color="auto" w:fill="auto"/>
                  <w:noWrap/>
                  <w:vAlign w:val="bottom"/>
                  <w:hideMark/>
                </w:tcPr>
                <w:p w14:paraId="7790E730"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Příluky</w:t>
                  </w:r>
                </w:p>
              </w:tc>
              <w:tc>
                <w:tcPr>
                  <w:tcW w:w="861" w:type="pct"/>
                  <w:shd w:val="clear" w:color="auto" w:fill="auto"/>
                  <w:noWrap/>
                  <w:hideMark/>
                </w:tcPr>
                <w:p w14:paraId="0D020557"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27</w:t>
                  </w:r>
                </w:p>
              </w:tc>
              <w:tc>
                <w:tcPr>
                  <w:tcW w:w="1371" w:type="pct"/>
                  <w:shd w:val="clear" w:color="auto" w:fill="auto"/>
                  <w:noWrap/>
                  <w:vAlign w:val="center"/>
                  <w:hideMark/>
                </w:tcPr>
                <w:p w14:paraId="21939979" w14:textId="13485719" w:rsidR="007175FE" w:rsidRPr="00DA7ABE" w:rsidRDefault="007175FE" w:rsidP="007175FE">
                  <w:pPr>
                    <w:spacing w:before="0"/>
                    <w:rPr>
                      <w:rFonts w:cstheme="minorHAnsi"/>
                      <w:color w:val="000000"/>
                      <w:sz w:val="18"/>
                      <w:szCs w:val="18"/>
                    </w:rPr>
                  </w:pPr>
                  <w:r w:rsidRPr="00DA7ABE">
                    <w:rPr>
                      <w:rFonts w:cstheme="minorHAnsi"/>
                      <w:color w:val="000000"/>
                      <w:sz w:val="18"/>
                      <w:szCs w:val="18"/>
                    </w:rPr>
                    <w:t>2,7</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334BA43A" w14:textId="77777777" w:rsidTr="000C49A5">
              <w:trPr>
                <w:trHeight w:hRule="exact" w:val="276"/>
              </w:trPr>
              <w:tc>
                <w:tcPr>
                  <w:tcW w:w="2767" w:type="pct"/>
                  <w:shd w:val="clear" w:color="auto" w:fill="auto"/>
                  <w:noWrap/>
                  <w:vAlign w:val="bottom"/>
                  <w:hideMark/>
                </w:tcPr>
                <w:p w14:paraId="070E7BBF"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Prštné</w:t>
                  </w:r>
                </w:p>
              </w:tc>
              <w:tc>
                <w:tcPr>
                  <w:tcW w:w="861" w:type="pct"/>
                  <w:shd w:val="clear" w:color="auto" w:fill="auto"/>
                  <w:noWrap/>
                  <w:hideMark/>
                </w:tcPr>
                <w:p w14:paraId="51AE08D4"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26</w:t>
                  </w:r>
                </w:p>
              </w:tc>
              <w:tc>
                <w:tcPr>
                  <w:tcW w:w="1371" w:type="pct"/>
                  <w:shd w:val="clear" w:color="auto" w:fill="auto"/>
                  <w:noWrap/>
                  <w:vAlign w:val="center"/>
                  <w:hideMark/>
                </w:tcPr>
                <w:p w14:paraId="1C95A0EF" w14:textId="59422768" w:rsidR="007175FE" w:rsidRPr="00DA7ABE" w:rsidRDefault="007175FE" w:rsidP="007175FE">
                  <w:pPr>
                    <w:spacing w:before="0"/>
                    <w:rPr>
                      <w:rFonts w:cstheme="minorHAnsi"/>
                      <w:color w:val="000000"/>
                      <w:sz w:val="18"/>
                      <w:szCs w:val="18"/>
                    </w:rPr>
                  </w:pPr>
                  <w:r w:rsidRPr="00DA7ABE">
                    <w:rPr>
                      <w:rFonts w:cstheme="minorHAnsi"/>
                      <w:color w:val="000000"/>
                      <w:sz w:val="18"/>
                      <w:szCs w:val="18"/>
                    </w:rPr>
                    <w:t>2,6</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51AF9531" w14:textId="77777777" w:rsidTr="000C49A5">
              <w:trPr>
                <w:trHeight w:hRule="exact" w:val="276"/>
              </w:trPr>
              <w:tc>
                <w:tcPr>
                  <w:tcW w:w="2767" w:type="pct"/>
                  <w:shd w:val="clear" w:color="auto" w:fill="auto"/>
                  <w:noWrap/>
                  <w:vAlign w:val="bottom"/>
                  <w:hideMark/>
                </w:tcPr>
                <w:p w14:paraId="77E80FC5"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Kudlov</w:t>
                  </w:r>
                </w:p>
              </w:tc>
              <w:tc>
                <w:tcPr>
                  <w:tcW w:w="861" w:type="pct"/>
                  <w:shd w:val="clear" w:color="auto" w:fill="auto"/>
                  <w:noWrap/>
                  <w:hideMark/>
                </w:tcPr>
                <w:p w14:paraId="1CB1FC71"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25</w:t>
                  </w:r>
                </w:p>
              </w:tc>
              <w:tc>
                <w:tcPr>
                  <w:tcW w:w="1371" w:type="pct"/>
                  <w:shd w:val="clear" w:color="auto" w:fill="auto"/>
                  <w:noWrap/>
                  <w:vAlign w:val="center"/>
                  <w:hideMark/>
                </w:tcPr>
                <w:p w14:paraId="732E48E6" w14:textId="59EEAC01" w:rsidR="007175FE" w:rsidRPr="00DA7ABE" w:rsidRDefault="007175FE" w:rsidP="007175FE">
                  <w:pPr>
                    <w:spacing w:before="0"/>
                    <w:rPr>
                      <w:rFonts w:cstheme="minorHAnsi"/>
                      <w:color w:val="000000"/>
                      <w:sz w:val="18"/>
                      <w:szCs w:val="18"/>
                    </w:rPr>
                  </w:pPr>
                  <w:r w:rsidRPr="00DA7ABE">
                    <w:rPr>
                      <w:rFonts w:cstheme="minorHAnsi"/>
                      <w:color w:val="000000"/>
                      <w:sz w:val="18"/>
                      <w:szCs w:val="18"/>
                    </w:rPr>
                    <w:t>2,5</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633ECB75" w14:textId="77777777" w:rsidTr="000C49A5">
              <w:trPr>
                <w:trHeight w:hRule="exact" w:val="276"/>
              </w:trPr>
              <w:tc>
                <w:tcPr>
                  <w:tcW w:w="2767" w:type="pct"/>
                  <w:shd w:val="clear" w:color="auto" w:fill="auto"/>
                  <w:noWrap/>
                  <w:vAlign w:val="bottom"/>
                  <w:hideMark/>
                </w:tcPr>
                <w:p w14:paraId="57FB5988"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Jaroslavice</w:t>
                  </w:r>
                </w:p>
              </w:tc>
              <w:tc>
                <w:tcPr>
                  <w:tcW w:w="861" w:type="pct"/>
                  <w:shd w:val="clear" w:color="auto" w:fill="auto"/>
                  <w:noWrap/>
                  <w:hideMark/>
                </w:tcPr>
                <w:p w14:paraId="60A6A35A"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19</w:t>
                  </w:r>
                </w:p>
              </w:tc>
              <w:tc>
                <w:tcPr>
                  <w:tcW w:w="1371" w:type="pct"/>
                  <w:shd w:val="clear" w:color="auto" w:fill="auto"/>
                  <w:noWrap/>
                  <w:vAlign w:val="center"/>
                  <w:hideMark/>
                </w:tcPr>
                <w:p w14:paraId="73D59194" w14:textId="3449796E" w:rsidR="007175FE" w:rsidRPr="00DA7ABE" w:rsidRDefault="007175FE" w:rsidP="007175FE">
                  <w:pPr>
                    <w:spacing w:before="0"/>
                    <w:rPr>
                      <w:rFonts w:cstheme="minorHAnsi"/>
                      <w:color w:val="000000"/>
                      <w:sz w:val="18"/>
                      <w:szCs w:val="18"/>
                    </w:rPr>
                  </w:pPr>
                  <w:r w:rsidRPr="00DA7ABE">
                    <w:rPr>
                      <w:rFonts w:cstheme="minorHAnsi"/>
                      <w:color w:val="000000"/>
                      <w:sz w:val="18"/>
                      <w:szCs w:val="18"/>
                    </w:rPr>
                    <w:t>1,9</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2FB67587" w14:textId="77777777" w:rsidTr="000C49A5">
              <w:trPr>
                <w:trHeight w:hRule="exact" w:val="276"/>
              </w:trPr>
              <w:tc>
                <w:tcPr>
                  <w:tcW w:w="2767" w:type="pct"/>
                  <w:shd w:val="clear" w:color="auto" w:fill="auto"/>
                  <w:noWrap/>
                  <w:vAlign w:val="bottom"/>
                  <w:hideMark/>
                </w:tcPr>
                <w:p w14:paraId="7B102888"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Mladcová</w:t>
                  </w:r>
                </w:p>
              </w:tc>
              <w:tc>
                <w:tcPr>
                  <w:tcW w:w="861" w:type="pct"/>
                  <w:shd w:val="clear" w:color="auto" w:fill="auto"/>
                  <w:noWrap/>
                  <w:hideMark/>
                </w:tcPr>
                <w:p w14:paraId="35EFF23A"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18</w:t>
                  </w:r>
                </w:p>
              </w:tc>
              <w:tc>
                <w:tcPr>
                  <w:tcW w:w="1371" w:type="pct"/>
                  <w:shd w:val="clear" w:color="auto" w:fill="auto"/>
                  <w:noWrap/>
                  <w:vAlign w:val="center"/>
                  <w:hideMark/>
                </w:tcPr>
                <w:p w14:paraId="512C689F" w14:textId="01C44D5A" w:rsidR="007175FE" w:rsidRPr="00DA7ABE" w:rsidRDefault="007175FE" w:rsidP="007175FE">
                  <w:pPr>
                    <w:spacing w:before="0"/>
                    <w:rPr>
                      <w:rFonts w:cstheme="minorHAnsi"/>
                      <w:color w:val="000000"/>
                      <w:sz w:val="18"/>
                      <w:szCs w:val="18"/>
                    </w:rPr>
                  </w:pPr>
                  <w:r w:rsidRPr="00DA7ABE">
                    <w:rPr>
                      <w:rFonts w:cstheme="minorHAnsi"/>
                      <w:color w:val="000000"/>
                      <w:sz w:val="18"/>
                      <w:szCs w:val="18"/>
                    </w:rPr>
                    <w:t>1,8</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673A700E" w14:textId="77777777" w:rsidTr="000C49A5">
              <w:trPr>
                <w:trHeight w:hRule="exact" w:val="276"/>
              </w:trPr>
              <w:tc>
                <w:tcPr>
                  <w:tcW w:w="2767" w:type="pct"/>
                  <w:shd w:val="clear" w:color="auto" w:fill="auto"/>
                  <w:noWrap/>
                  <w:vAlign w:val="bottom"/>
                  <w:hideMark/>
                </w:tcPr>
                <w:p w14:paraId="05C786C0"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Kostelec</w:t>
                  </w:r>
                </w:p>
              </w:tc>
              <w:tc>
                <w:tcPr>
                  <w:tcW w:w="861" w:type="pct"/>
                  <w:shd w:val="clear" w:color="auto" w:fill="auto"/>
                  <w:noWrap/>
                  <w:hideMark/>
                </w:tcPr>
                <w:p w14:paraId="52892AE5"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17</w:t>
                  </w:r>
                </w:p>
              </w:tc>
              <w:tc>
                <w:tcPr>
                  <w:tcW w:w="1371" w:type="pct"/>
                  <w:shd w:val="clear" w:color="auto" w:fill="auto"/>
                  <w:noWrap/>
                  <w:vAlign w:val="center"/>
                  <w:hideMark/>
                </w:tcPr>
                <w:p w14:paraId="733F8767" w14:textId="62D827BF" w:rsidR="007175FE" w:rsidRPr="00DA7ABE" w:rsidRDefault="007175FE" w:rsidP="007175FE">
                  <w:pPr>
                    <w:spacing w:before="0"/>
                    <w:rPr>
                      <w:rFonts w:cstheme="minorHAnsi"/>
                      <w:color w:val="000000"/>
                      <w:sz w:val="18"/>
                      <w:szCs w:val="18"/>
                    </w:rPr>
                  </w:pPr>
                  <w:r w:rsidRPr="00DA7ABE">
                    <w:rPr>
                      <w:rFonts w:cstheme="minorHAnsi"/>
                      <w:color w:val="000000"/>
                      <w:sz w:val="18"/>
                      <w:szCs w:val="18"/>
                    </w:rPr>
                    <w:t>1,7</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59CA64E2" w14:textId="77777777" w:rsidTr="000C49A5">
              <w:trPr>
                <w:trHeight w:hRule="exact" w:val="276"/>
              </w:trPr>
              <w:tc>
                <w:tcPr>
                  <w:tcW w:w="2767" w:type="pct"/>
                  <w:shd w:val="clear" w:color="auto" w:fill="auto"/>
                  <w:noWrap/>
                  <w:vAlign w:val="bottom"/>
                  <w:hideMark/>
                </w:tcPr>
                <w:p w14:paraId="47E9A9D1"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Štípa</w:t>
                  </w:r>
                </w:p>
              </w:tc>
              <w:tc>
                <w:tcPr>
                  <w:tcW w:w="861" w:type="pct"/>
                  <w:shd w:val="clear" w:color="auto" w:fill="auto"/>
                  <w:noWrap/>
                  <w:hideMark/>
                </w:tcPr>
                <w:p w14:paraId="6A24A3DF"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17</w:t>
                  </w:r>
                </w:p>
              </w:tc>
              <w:tc>
                <w:tcPr>
                  <w:tcW w:w="1371" w:type="pct"/>
                  <w:shd w:val="clear" w:color="auto" w:fill="auto"/>
                  <w:noWrap/>
                  <w:vAlign w:val="center"/>
                  <w:hideMark/>
                </w:tcPr>
                <w:p w14:paraId="1AAF7FE6" w14:textId="1979B11E" w:rsidR="007175FE" w:rsidRPr="00DA7ABE" w:rsidRDefault="007175FE" w:rsidP="007175FE">
                  <w:pPr>
                    <w:spacing w:before="0"/>
                    <w:rPr>
                      <w:rFonts w:cstheme="minorHAnsi"/>
                      <w:color w:val="000000"/>
                      <w:sz w:val="18"/>
                      <w:szCs w:val="18"/>
                    </w:rPr>
                  </w:pPr>
                  <w:r w:rsidRPr="00DA7ABE">
                    <w:rPr>
                      <w:rFonts w:cstheme="minorHAnsi"/>
                      <w:color w:val="000000"/>
                      <w:sz w:val="18"/>
                      <w:szCs w:val="18"/>
                    </w:rPr>
                    <w:t>1,7</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3E83D2D9" w14:textId="77777777" w:rsidTr="000C49A5">
              <w:trPr>
                <w:trHeight w:hRule="exact" w:val="276"/>
              </w:trPr>
              <w:tc>
                <w:tcPr>
                  <w:tcW w:w="2767" w:type="pct"/>
                  <w:shd w:val="clear" w:color="auto" w:fill="auto"/>
                  <w:noWrap/>
                  <w:vAlign w:val="bottom"/>
                  <w:hideMark/>
                </w:tcPr>
                <w:p w14:paraId="448D1322"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U majáku a filmové ateliéry</w:t>
                  </w:r>
                </w:p>
              </w:tc>
              <w:tc>
                <w:tcPr>
                  <w:tcW w:w="861" w:type="pct"/>
                  <w:shd w:val="clear" w:color="auto" w:fill="auto"/>
                  <w:noWrap/>
                  <w:hideMark/>
                </w:tcPr>
                <w:p w14:paraId="7323E1CE"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15</w:t>
                  </w:r>
                </w:p>
              </w:tc>
              <w:tc>
                <w:tcPr>
                  <w:tcW w:w="1371" w:type="pct"/>
                  <w:shd w:val="clear" w:color="auto" w:fill="auto"/>
                  <w:noWrap/>
                  <w:vAlign w:val="center"/>
                  <w:hideMark/>
                </w:tcPr>
                <w:p w14:paraId="429A8F9A" w14:textId="6C8C9780" w:rsidR="007175FE" w:rsidRPr="00DA7ABE" w:rsidRDefault="007175FE" w:rsidP="007175FE">
                  <w:pPr>
                    <w:spacing w:before="0"/>
                    <w:rPr>
                      <w:rFonts w:cstheme="minorHAnsi"/>
                      <w:color w:val="000000"/>
                      <w:sz w:val="18"/>
                      <w:szCs w:val="18"/>
                    </w:rPr>
                  </w:pPr>
                  <w:r w:rsidRPr="00DA7ABE">
                    <w:rPr>
                      <w:rFonts w:cstheme="minorHAnsi"/>
                      <w:color w:val="000000"/>
                      <w:sz w:val="18"/>
                      <w:szCs w:val="18"/>
                    </w:rPr>
                    <w:t>1,5</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3E33372A" w14:textId="77777777" w:rsidTr="000C49A5">
              <w:trPr>
                <w:trHeight w:hRule="exact" w:val="276"/>
              </w:trPr>
              <w:tc>
                <w:tcPr>
                  <w:tcW w:w="2767" w:type="pct"/>
                  <w:shd w:val="clear" w:color="auto" w:fill="auto"/>
                  <w:noWrap/>
                  <w:vAlign w:val="bottom"/>
                  <w:hideMark/>
                </w:tcPr>
                <w:p w14:paraId="623CA8BF"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Velíková</w:t>
                  </w:r>
                </w:p>
              </w:tc>
              <w:tc>
                <w:tcPr>
                  <w:tcW w:w="861" w:type="pct"/>
                  <w:shd w:val="clear" w:color="auto" w:fill="auto"/>
                  <w:noWrap/>
                  <w:hideMark/>
                </w:tcPr>
                <w:p w14:paraId="4C228007"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11</w:t>
                  </w:r>
                </w:p>
              </w:tc>
              <w:tc>
                <w:tcPr>
                  <w:tcW w:w="1371" w:type="pct"/>
                  <w:shd w:val="clear" w:color="auto" w:fill="auto"/>
                  <w:noWrap/>
                  <w:vAlign w:val="center"/>
                  <w:hideMark/>
                </w:tcPr>
                <w:p w14:paraId="629661CF" w14:textId="689CEDE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1,1</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4E06C496" w14:textId="77777777" w:rsidTr="000C49A5">
              <w:trPr>
                <w:trHeight w:hRule="exact" w:val="276"/>
              </w:trPr>
              <w:tc>
                <w:tcPr>
                  <w:tcW w:w="2767" w:type="pct"/>
                  <w:shd w:val="clear" w:color="auto" w:fill="auto"/>
                  <w:noWrap/>
                  <w:vAlign w:val="bottom"/>
                  <w:hideMark/>
                </w:tcPr>
                <w:p w14:paraId="4DD80E7D"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Louky</w:t>
                  </w:r>
                </w:p>
              </w:tc>
              <w:tc>
                <w:tcPr>
                  <w:tcW w:w="861" w:type="pct"/>
                  <w:shd w:val="clear" w:color="auto" w:fill="auto"/>
                  <w:noWrap/>
                  <w:hideMark/>
                </w:tcPr>
                <w:p w14:paraId="74B0AF24"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10</w:t>
                  </w:r>
                </w:p>
              </w:tc>
              <w:tc>
                <w:tcPr>
                  <w:tcW w:w="1371" w:type="pct"/>
                  <w:shd w:val="clear" w:color="auto" w:fill="auto"/>
                  <w:noWrap/>
                  <w:vAlign w:val="center"/>
                  <w:hideMark/>
                </w:tcPr>
                <w:p w14:paraId="393C0133" w14:textId="675FA00A" w:rsidR="007175FE" w:rsidRPr="00DA7ABE" w:rsidRDefault="007175FE" w:rsidP="007175FE">
                  <w:pPr>
                    <w:spacing w:before="0"/>
                    <w:rPr>
                      <w:rFonts w:cstheme="minorHAnsi"/>
                      <w:color w:val="000000"/>
                      <w:sz w:val="18"/>
                      <w:szCs w:val="18"/>
                    </w:rPr>
                  </w:pPr>
                  <w:r w:rsidRPr="00DA7ABE">
                    <w:rPr>
                      <w:rFonts w:cstheme="minorHAnsi"/>
                      <w:color w:val="000000"/>
                      <w:sz w:val="18"/>
                      <w:szCs w:val="18"/>
                    </w:rPr>
                    <w:t>1,0</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21F35823" w14:textId="77777777" w:rsidTr="000C49A5">
              <w:trPr>
                <w:trHeight w:hRule="exact" w:val="276"/>
              </w:trPr>
              <w:tc>
                <w:tcPr>
                  <w:tcW w:w="2767" w:type="pct"/>
                  <w:shd w:val="clear" w:color="auto" w:fill="auto"/>
                  <w:noWrap/>
                  <w:vAlign w:val="bottom"/>
                  <w:hideMark/>
                </w:tcPr>
                <w:p w14:paraId="74B09E22"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Lužkovice</w:t>
                  </w:r>
                </w:p>
              </w:tc>
              <w:tc>
                <w:tcPr>
                  <w:tcW w:w="861" w:type="pct"/>
                  <w:shd w:val="clear" w:color="auto" w:fill="auto"/>
                  <w:noWrap/>
                  <w:hideMark/>
                </w:tcPr>
                <w:p w14:paraId="36AF70EB"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8</w:t>
                  </w:r>
                </w:p>
              </w:tc>
              <w:tc>
                <w:tcPr>
                  <w:tcW w:w="1371" w:type="pct"/>
                  <w:shd w:val="clear" w:color="auto" w:fill="auto"/>
                  <w:noWrap/>
                  <w:vAlign w:val="center"/>
                  <w:hideMark/>
                </w:tcPr>
                <w:p w14:paraId="038BB6E0" w14:textId="5A8B99C4" w:rsidR="007175FE" w:rsidRPr="00DA7ABE" w:rsidRDefault="007175FE" w:rsidP="007175FE">
                  <w:pPr>
                    <w:spacing w:before="0"/>
                    <w:rPr>
                      <w:rFonts w:cstheme="minorHAnsi"/>
                      <w:color w:val="000000"/>
                      <w:sz w:val="18"/>
                      <w:szCs w:val="18"/>
                    </w:rPr>
                  </w:pPr>
                  <w:r w:rsidRPr="00DA7ABE">
                    <w:rPr>
                      <w:rFonts w:cstheme="minorHAnsi"/>
                      <w:color w:val="000000"/>
                      <w:sz w:val="18"/>
                      <w:szCs w:val="18"/>
                    </w:rPr>
                    <w:t>0,8</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49356AE8" w14:textId="77777777" w:rsidTr="000C49A5">
              <w:trPr>
                <w:trHeight w:hRule="exact" w:val="276"/>
              </w:trPr>
              <w:tc>
                <w:tcPr>
                  <w:tcW w:w="2767" w:type="pct"/>
                  <w:shd w:val="clear" w:color="auto" w:fill="auto"/>
                  <w:noWrap/>
                  <w:vAlign w:val="bottom"/>
                  <w:hideMark/>
                </w:tcPr>
                <w:p w14:paraId="0F89095D"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Klečůvka</w:t>
                  </w:r>
                </w:p>
              </w:tc>
              <w:tc>
                <w:tcPr>
                  <w:tcW w:w="861" w:type="pct"/>
                  <w:shd w:val="clear" w:color="auto" w:fill="auto"/>
                  <w:noWrap/>
                  <w:hideMark/>
                </w:tcPr>
                <w:p w14:paraId="1738F5AD"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6</w:t>
                  </w:r>
                </w:p>
              </w:tc>
              <w:tc>
                <w:tcPr>
                  <w:tcW w:w="1371" w:type="pct"/>
                  <w:shd w:val="clear" w:color="auto" w:fill="auto"/>
                  <w:noWrap/>
                  <w:vAlign w:val="center"/>
                  <w:hideMark/>
                </w:tcPr>
                <w:p w14:paraId="7F35ACDC" w14:textId="3896D0E4" w:rsidR="007175FE" w:rsidRPr="00DA7ABE" w:rsidRDefault="007175FE" w:rsidP="007175FE">
                  <w:pPr>
                    <w:spacing w:before="0"/>
                    <w:rPr>
                      <w:rFonts w:cstheme="minorHAnsi"/>
                      <w:color w:val="000000"/>
                      <w:sz w:val="18"/>
                      <w:szCs w:val="18"/>
                    </w:rPr>
                  </w:pPr>
                  <w:r w:rsidRPr="00DA7ABE">
                    <w:rPr>
                      <w:rFonts w:cstheme="minorHAnsi"/>
                      <w:color w:val="000000"/>
                      <w:sz w:val="18"/>
                      <w:szCs w:val="18"/>
                    </w:rPr>
                    <w:t>0,6</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4B698270" w14:textId="77777777" w:rsidTr="000C49A5">
              <w:trPr>
                <w:trHeight w:hRule="exact" w:val="276"/>
              </w:trPr>
              <w:tc>
                <w:tcPr>
                  <w:tcW w:w="2767" w:type="pct"/>
                  <w:shd w:val="clear" w:color="auto" w:fill="auto"/>
                  <w:noWrap/>
                  <w:vAlign w:val="bottom"/>
                  <w:hideMark/>
                </w:tcPr>
                <w:p w14:paraId="21533135"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Salaš</w:t>
                  </w:r>
                </w:p>
              </w:tc>
              <w:tc>
                <w:tcPr>
                  <w:tcW w:w="861" w:type="pct"/>
                  <w:shd w:val="clear" w:color="auto" w:fill="auto"/>
                  <w:noWrap/>
                  <w:hideMark/>
                </w:tcPr>
                <w:p w14:paraId="0F937973"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4</w:t>
                  </w:r>
                </w:p>
              </w:tc>
              <w:tc>
                <w:tcPr>
                  <w:tcW w:w="1371" w:type="pct"/>
                  <w:shd w:val="clear" w:color="auto" w:fill="auto"/>
                  <w:noWrap/>
                  <w:vAlign w:val="center"/>
                  <w:hideMark/>
                </w:tcPr>
                <w:p w14:paraId="27A6F749" w14:textId="0CD888C2" w:rsidR="007175FE" w:rsidRPr="00DA7ABE" w:rsidRDefault="007175FE" w:rsidP="007175FE">
                  <w:pPr>
                    <w:spacing w:before="0"/>
                    <w:rPr>
                      <w:rFonts w:cstheme="minorHAnsi"/>
                      <w:color w:val="000000"/>
                      <w:sz w:val="18"/>
                      <w:szCs w:val="18"/>
                    </w:rPr>
                  </w:pPr>
                  <w:r w:rsidRPr="00DA7ABE">
                    <w:rPr>
                      <w:rFonts w:cstheme="minorHAnsi"/>
                      <w:color w:val="000000"/>
                      <w:sz w:val="18"/>
                      <w:szCs w:val="18"/>
                    </w:rPr>
                    <w:t>0,4</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1D21637E" w14:textId="77777777" w:rsidTr="000C49A5">
              <w:trPr>
                <w:trHeight w:hRule="exact" w:val="276"/>
              </w:trPr>
              <w:tc>
                <w:tcPr>
                  <w:tcW w:w="2767" w:type="pct"/>
                  <w:shd w:val="clear" w:color="auto" w:fill="auto"/>
                  <w:noWrap/>
                  <w:vAlign w:val="bottom"/>
                  <w:hideMark/>
                </w:tcPr>
                <w:p w14:paraId="29BDD124"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Lhotka a C</w:t>
                  </w:r>
                  <w:r>
                    <w:rPr>
                      <w:rFonts w:cstheme="minorHAnsi"/>
                      <w:color w:val="000000"/>
                      <w:sz w:val="18"/>
                      <w:szCs w:val="18"/>
                    </w:rPr>
                    <w:t>h</w:t>
                  </w:r>
                  <w:r w:rsidRPr="00DA7ABE">
                    <w:rPr>
                      <w:rFonts w:cstheme="minorHAnsi"/>
                      <w:color w:val="000000"/>
                      <w:sz w:val="18"/>
                      <w:szCs w:val="18"/>
                    </w:rPr>
                    <w:t>lum</w:t>
                  </w:r>
                </w:p>
              </w:tc>
              <w:tc>
                <w:tcPr>
                  <w:tcW w:w="861" w:type="pct"/>
                  <w:shd w:val="clear" w:color="auto" w:fill="auto"/>
                  <w:noWrap/>
                  <w:hideMark/>
                </w:tcPr>
                <w:p w14:paraId="720D0C5F" w14:textId="77777777" w:rsidR="007175FE" w:rsidRPr="00DA7ABE" w:rsidRDefault="007175FE" w:rsidP="007175FE">
                  <w:pPr>
                    <w:spacing w:before="0"/>
                    <w:rPr>
                      <w:rFonts w:cstheme="minorHAnsi"/>
                      <w:color w:val="000000"/>
                      <w:sz w:val="18"/>
                      <w:szCs w:val="18"/>
                    </w:rPr>
                  </w:pPr>
                  <w:r w:rsidRPr="00DA7ABE">
                    <w:rPr>
                      <w:rFonts w:cstheme="minorHAnsi"/>
                      <w:color w:val="000000"/>
                      <w:sz w:val="18"/>
                      <w:szCs w:val="18"/>
                    </w:rPr>
                    <w:t>2</w:t>
                  </w:r>
                </w:p>
              </w:tc>
              <w:tc>
                <w:tcPr>
                  <w:tcW w:w="1371" w:type="pct"/>
                  <w:shd w:val="clear" w:color="auto" w:fill="auto"/>
                  <w:noWrap/>
                  <w:vAlign w:val="center"/>
                  <w:hideMark/>
                </w:tcPr>
                <w:p w14:paraId="79A07E7C" w14:textId="6A032A5A" w:rsidR="007175FE" w:rsidRPr="00DA7ABE" w:rsidRDefault="007175FE" w:rsidP="007175FE">
                  <w:pPr>
                    <w:spacing w:before="0"/>
                    <w:rPr>
                      <w:rFonts w:cstheme="minorHAnsi"/>
                      <w:color w:val="000000"/>
                      <w:sz w:val="18"/>
                      <w:szCs w:val="18"/>
                    </w:rPr>
                  </w:pPr>
                  <w:r w:rsidRPr="00DA7ABE">
                    <w:rPr>
                      <w:rFonts w:cstheme="minorHAnsi"/>
                      <w:color w:val="000000"/>
                      <w:sz w:val="18"/>
                      <w:szCs w:val="18"/>
                    </w:rPr>
                    <w:t>0,2</w:t>
                  </w:r>
                  <w:r w:rsidR="00A70EEC">
                    <w:rPr>
                      <w:rFonts w:cstheme="minorHAnsi"/>
                      <w:color w:val="000000"/>
                      <w:sz w:val="18"/>
                      <w:szCs w:val="18"/>
                    </w:rPr>
                    <w:t xml:space="preserve"> </w:t>
                  </w:r>
                  <w:r w:rsidRPr="00DA7ABE">
                    <w:rPr>
                      <w:rFonts w:cstheme="minorHAnsi"/>
                      <w:color w:val="000000"/>
                      <w:sz w:val="18"/>
                      <w:szCs w:val="18"/>
                    </w:rPr>
                    <w:t>%</w:t>
                  </w:r>
                </w:p>
              </w:tc>
            </w:tr>
            <w:tr w:rsidR="007175FE" w:rsidRPr="00DA7ABE" w14:paraId="38AF68BE" w14:textId="77777777" w:rsidTr="000C49A5">
              <w:trPr>
                <w:trHeight w:hRule="exact" w:val="276"/>
              </w:trPr>
              <w:tc>
                <w:tcPr>
                  <w:tcW w:w="2767" w:type="pct"/>
                  <w:shd w:val="clear" w:color="auto" w:fill="auto"/>
                  <w:noWrap/>
                  <w:vAlign w:val="bottom"/>
                  <w:hideMark/>
                </w:tcPr>
                <w:p w14:paraId="24F2A9C6" w14:textId="77777777" w:rsidR="007175FE" w:rsidRPr="007B636A" w:rsidRDefault="007175FE" w:rsidP="007175FE">
                  <w:pPr>
                    <w:spacing w:before="0"/>
                    <w:rPr>
                      <w:rFonts w:cstheme="minorHAnsi"/>
                      <w:b/>
                      <w:color w:val="000000"/>
                      <w:sz w:val="18"/>
                      <w:szCs w:val="18"/>
                    </w:rPr>
                  </w:pPr>
                  <w:r w:rsidRPr="007B636A">
                    <w:rPr>
                      <w:rFonts w:cstheme="minorHAnsi"/>
                      <w:b/>
                      <w:color w:val="000000"/>
                      <w:sz w:val="18"/>
                      <w:szCs w:val="18"/>
                    </w:rPr>
                    <w:t>Celkem</w:t>
                  </w:r>
                </w:p>
              </w:tc>
              <w:tc>
                <w:tcPr>
                  <w:tcW w:w="861" w:type="pct"/>
                  <w:shd w:val="clear" w:color="auto" w:fill="auto"/>
                  <w:noWrap/>
                  <w:hideMark/>
                </w:tcPr>
                <w:p w14:paraId="0C67D1F9" w14:textId="77777777" w:rsidR="007175FE" w:rsidRPr="007B636A" w:rsidRDefault="007175FE" w:rsidP="007175FE">
                  <w:pPr>
                    <w:spacing w:before="0"/>
                    <w:rPr>
                      <w:rFonts w:cstheme="minorHAnsi"/>
                      <w:b/>
                      <w:color w:val="000000"/>
                      <w:sz w:val="18"/>
                      <w:szCs w:val="18"/>
                    </w:rPr>
                  </w:pPr>
                  <w:r w:rsidRPr="007B636A">
                    <w:rPr>
                      <w:rFonts w:cstheme="minorHAnsi"/>
                      <w:b/>
                      <w:color w:val="000000"/>
                      <w:sz w:val="18"/>
                      <w:szCs w:val="18"/>
                    </w:rPr>
                    <w:t>993</w:t>
                  </w:r>
                </w:p>
              </w:tc>
              <w:tc>
                <w:tcPr>
                  <w:tcW w:w="1371" w:type="pct"/>
                  <w:shd w:val="clear" w:color="auto" w:fill="auto"/>
                  <w:noWrap/>
                  <w:vAlign w:val="center"/>
                  <w:hideMark/>
                </w:tcPr>
                <w:p w14:paraId="05EEE40D" w14:textId="167CC186" w:rsidR="007175FE" w:rsidRPr="007B636A" w:rsidRDefault="007175FE" w:rsidP="007175FE">
                  <w:pPr>
                    <w:spacing w:before="0"/>
                    <w:rPr>
                      <w:rFonts w:cstheme="minorHAnsi"/>
                      <w:b/>
                      <w:color w:val="000000"/>
                      <w:sz w:val="18"/>
                      <w:szCs w:val="18"/>
                    </w:rPr>
                  </w:pPr>
                  <w:r w:rsidRPr="007B636A">
                    <w:rPr>
                      <w:rFonts w:cstheme="minorHAnsi"/>
                      <w:b/>
                      <w:color w:val="000000"/>
                      <w:sz w:val="18"/>
                      <w:szCs w:val="18"/>
                    </w:rPr>
                    <w:t>100,0</w:t>
                  </w:r>
                  <w:r w:rsidR="00A70EEC">
                    <w:rPr>
                      <w:rFonts w:cstheme="minorHAnsi"/>
                      <w:b/>
                      <w:color w:val="000000"/>
                      <w:sz w:val="18"/>
                      <w:szCs w:val="18"/>
                    </w:rPr>
                    <w:t xml:space="preserve"> </w:t>
                  </w:r>
                  <w:r w:rsidRPr="007B636A">
                    <w:rPr>
                      <w:rFonts w:cstheme="minorHAnsi"/>
                      <w:b/>
                      <w:color w:val="000000"/>
                      <w:sz w:val="18"/>
                      <w:szCs w:val="18"/>
                    </w:rPr>
                    <w:t>%</w:t>
                  </w:r>
                </w:p>
              </w:tc>
            </w:tr>
          </w:tbl>
          <w:p w14:paraId="3C520655" w14:textId="01156BFA" w:rsidR="007175FE" w:rsidRPr="00DA7ABE" w:rsidRDefault="007175FE" w:rsidP="000C49A5">
            <w:pPr>
              <w:pStyle w:val="zdroj0"/>
              <w:jc w:val="both"/>
              <w:rPr>
                <w:rFonts w:asciiTheme="minorHAnsi" w:hAnsiTheme="minorHAnsi" w:cstheme="minorHAnsi"/>
                <w:highlight w:val="yellow"/>
              </w:rPr>
            </w:pPr>
            <w:r w:rsidRPr="00DA7ABE">
              <w:rPr>
                <w:rFonts w:asciiTheme="minorHAnsi" w:hAnsiTheme="minorHAnsi" w:cstheme="minorHAnsi"/>
              </w:rPr>
              <w:t>Zdroj: PROCES, Anketní šetření spokojenosti obyvatel města Zlín 2020</w:t>
            </w:r>
            <w:r w:rsidR="00CB4CBD">
              <w:rPr>
                <w:rFonts w:asciiTheme="minorHAnsi" w:hAnsiTheme="minorHAnsi" w:cstheme="minorHAnsi"/>
              </w:rPr>
              <w:t>.</w:t>
            </w:r>
          </w:p>
        </w:tc>
        <w:tc>
          <w:tcPr>
            <w:tcW w:w="4644" w:type="dxa"/>
          </w:tcPr>
          <w:p w14:paraId="31C9C565" w14:textId="0A08E99A" w:rsidR="007175FE" w:rsidRPr="00DA7ABE" w:rsidRDefault="007175FE" w:rsidP="000C49A5">
            <w:pPr>
              <w:pStyle w:val="Titulek"/>
              <w:rPr>
                <w:rFonts w:cstheme="minorHAnsi"/>
              </w:rPr>
            </w:pPr>
            <w:bookmarkStart w:id="556" w:name="_Toc54702774"/>
            <w:bookmarkStart w:id="557" w:name="_Toc56179581"/>
            <w:bookmarkStart w:id="558" w:name="_Toc77074923"/>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2</w:t>
            </w:r>
            <w:r w:rsidR="0096730F">
              <w:rPr>
                <w:rFonts w:cstheme="minorHAnsi"/>
              </w:rPr>
              <w:fldChar w:fldCharType="end"/>
            </w:r>
            <w:r w:rsidR="00CB4CBD">
              <w:rPr>
                <w:rFonts w:cstheme="minorHAnsi"/>
              </w:rPr>
              <w:t>:</w:t>
            </w:r>
            <w:r w:rsidRPr="00DA7ABE">
              <w:rPr>
                <w:rFonts w:cstheme="minorHAnsi"/>
              </w:rPr>
              <w:t xml:space="preserve"> Struktura respondentů místa bydliště</w:t>
            </w:r>
            <w:bookmarkEnd w:id="556"/>
            <w:bookmarkEnd w:id="557"/>
            <w:bookmarkEnd w:id="558"/>
          </w:p>
          <w:p w14:paraId="24A6775B" w14:textId="2DDC0686" w:rsidR="007175FE" w:rsidRPr="00DA7ABE" w:rsidRDefault="007175FE" w:rsidP="000C49A5">
            <w:pPr>
              <w:pStyle w:val="zdroj0"/>
              <w:spacing w:before="240"/>
              <w:jc w:val="both"/>
              <w:rPr>
                <w:rFonts w:asciiTheme="minorHAnsi" w:hAnsiTheme="minorHAnsi" w:cstheme="minorHAnsi"/>
                <w:highlight w:val="yellow"/>
              </w:rPr>
            </w:pPr>
            <w:r w:rsidRPr="00DA7ABE">
              <w:rPr>
                <w:rFonts w:asciiTheme="minorHAnsi" w:hAnsiTheme="minorHAnsi" w:cstheme="minorHAnsi"/>
                <w:noProof/>
              </w:rPr>
              <w:drawing>
                <wp:inline distT="0" distB="0" distL="0" distR="0" wp14:anchorId="41D18C0F" wp14:editId="1EF7015B">
                  <wp:extent cx="2867891" cy="2867891"/>
                  <wp:effectExtent l="0" t="0" r="8890" b="8890"/>
                  <wp:docPr id="354"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72903" cy="2872903"/>
                          </a:xfrm>
                          <a:prstGeom prst="rect">
                            <a:avLst/>
                          </a:prstGeom>
                          <a:noFill/>
                        </pic:spPr>
                      </pic:pic>
                    </a:graphicData>
                  </a:graphic>
                </wp:inline>
              </w:drawing>
            </w:r>
            <w:r w:rsidRPr="00DA7ABE">
              <w:rPr>
                <w:rFonts w:asciiTheme="minorHAnsi" w:hAnsiTheme="minorHAnsi" w:cstheme="minorHAnsi"/>
              </w:rPr>
              <w:t>Zdroj: PROCES, Anketní šetření spokojenosti obyvatel města Zlín 2020</w:t>
            </w:r>
            <w:r w:rsidR="00CB4CBD">
              <w:rPr>
                <w:rFonts w:asciiTheme="minorHAnsi" w:hAnsiTheme="minorHAnsi" w:cstheme="minorHAnsi"/>
              </w:rPr>
              <w:t>.</w:t>
            </w:r>
          </w:p>
        </w:tc>
      </w:tr>
      <w:tr w:rsidR="007175FE" w:rsidRPr="00DA7ABE" w14:paraId="1A468D82" w14:textId="77777777" w:rsidTr="000C49A5">
        <w:tblPrEx>
          <w:tblCellMar>
            <w:left w:w="108" w:type="dxa"/>
            <w:right w:w="108" w:type="dxa"/>
          </w:tblCellMar>
        </w:tblPrEx>
        <w:trPr>
          <w:cantSplit/>
        </w:trPr>
        <w:tc>
          <w:tcPr>
            <w:tcW w:w="9072" w:type="dxa"/>
            <w:gridSpan w:val="3"/>
          </w:tcPr>
          <w:p w14:paraId="62DB833C" w14:textId="2464BEE0" w:rsidR="007175FE" w:rsidRPr="00DA7ABE" w:rsidRDefault="007175FE" w:rsidP="000C49A5">
            <w:pPr>
              <w:rPr>
                <w:rFonts w:cstheme="minorHAnsi"/>
              </w:rPr>
            </w:pPr>
            <w:r w:rsidRPr="00DA7ABE">
              <w:rPr>
                <w:rFonts w:cstheme="minorHAnsi"/>
              </w:rPr>
              <w:t>Celkem 23,3 </w:t>
            </w:r>
            <w:r>
              <w:rPr>
                <w:rFonts w:cstheme="minorHAnsi"/>
              </w:rPr>
              <w:t>% respondentů uvedlo, že studuje</w:t>
            </w:r>
            <w:r w:rsidRPr="00DA7ABE">
              <w:rPr>
                <w:rFonts w:cstheme="minorHAnsi"/>
              </w:rPr>
              <w:t xml:space="preserve"> vysokou školu – v 19,3 % je to Univerzita Tomáše Bati ve Zlíně (dále jen UTB), ve 3,9 % je to jiná univerzita. </w:t>
            </w:r>
            <w:r>
              <w:rPr>
                <w:rFonts w:cstheme="minorHAnsi"/>
              </w:rPr>
              <w:t xml:space="preserve">Celkem </w:t>
            </w:r>
            <w:r w:rsidRPr="00DA7ABE">
              <w:rPr>
                <w:rFonts w:cstheme="minorHAnsi"/>
              </w:rPr>
              <w:t>1,4 % respondentů neu</w:t>
            </w:r>
            <w:r>
              <w:rPr>
                <w:rFonts w:cstheme="minorHAnsi"/>
              </w:rPr>
              <w:t>vedlo, zda VŠ studují, nebo ne.</w:t>
            </w:r>
          </w:p>
        </w:tc>
      </w:tr>
      <w:tr w:rsidR="007175FE" w:rsidRPr="00DA7ABE" w14:paraId="0E82826F" w14:textId="77777777" w:rsidTr="000C49A5">
        <w:tblPrEx>
          <w:tblCellMar>
            <w:left w:w="108" w:type="dxa"/>
            <w:right w:w="108" w:type="dxa"/>
          </w:tblCellMar>
        </w:tblPrEx>
        <w:trPr>
          <w:cantSplit/>
        </w:trPr>
        <w:tc>
          <w:tcPr>
            <w:tcW w:w="2992" w:type="dxa"/>
          </w:tcPr>
          <w:p w14:paraId="1FAF7F9B" w14:textId="22D112F1" w:rsidR="007175FE" w:rsidRPr="00DA7ABE" w:rsidRDefault="007175FE" w:rsidP="000C49A5">
            <w:pPr>
              <w:pStyle w:val="Titulek"/>
              <w:rPr>
                <w:rFonts w:cstheme="minorHAnsi"/>
              </w:rPr>
            </w:pPr>
            <w:bookmarkStart w:id="559" w:name="_Toc54702619"/>
            <w:bookmarkStart w:id="560" w:name="_Toc56179425"/>
            <w:bookmarkStart w:id="561" w:name="_Toc57731783"/>
            <w:bookmarkStart w:id="562" w:name="_Toc77074767"/>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4</w:t>
            </w:r>
            <w:r w:rsidR="00DC277C">
              <w:rPr>
                <w:rFonts w:cstheme="minorHAnsi"/>
              </w:rPr>
              <w:fldChar w:fldCharType="end"/>
            </w:r>
            <w:r w:rsidR="00A70EEC">
              <w:rPr>
                <w:rFonts w:cstheme="minorHAnsi"/>
              </w:rPr>
              <w:t>:</w:t>
            </w:r>
            <w:r>
              <w:rPr>
                <w:rFonts w:cstheme="minorHAnsi"/>
              </w:rPr>
              <w:t xml:space="preserve"> </w:t>
            </w:r>
            <w:r w:rsidRPr="00DA7ABE">
              <w:rPr>
                <w:rFonts w:cstheme="minorHAnsi"/>
              </w:rPr>
              <w:t>Struktura respondentů – studenti VŠ a UTB</w:t>
            </w:r>
            <w:bookmarkEnd w:id="559"/>
            <w:bookmarkEnd w:id="560"/>
            <w:bookmarkEnd w:id="561"/>
            <w:bookmarkEnd w:id="562"/>
          </w:p>
          <w:tbl>
            <w:tblPr>
              <w:tblW w:w="3753" w:type="pct"/>
              <w:tblCellMar>
                <w:left w:w="70" w:type="dxa"/>
                <w:right w:w="70" w:type="dxa"/>
              </w:tblCellMar>
              <w:tblLook w:val="04A0" w:firstRow="1" w:lastRow="0" w:firstColumn="1" w:lastColumn="0" w:noHBand="0" w:noVBand="1"/>
            </w:tblPr>
            <w:tblGrid>
              <w:gridCol w:w="594"/>
              <w:gridCol w:w="1327"/>
              <w:gridCol w:w="559"/>
              <w:gridCol w:w="680"/>
            </w:tblGrid>
            <w:tr w:rsidR="007175FE" w:rsidRPr="00DA7ABE" w14:paraId="0312D2CD" w14:textId="77777777" w:rsidTr="000C49A5">
              <w:trPr>
                <w:trHeight w:hRule="exact" w:val="284"/>
              </w:trPr>
              <w:tc>
                <w:tcPr>
                  <w:tcW w:w="2883" w:type="pct"/>
                  <w:gridSpan w:val="2"/>
                  <w:vMerge w:val="restart"/>
                  <w:tcBorders>
                    <w:top w:val="single" w:sz="4" w:space="0" w:color="auto"/>
                    <w:left w:val="single" w:sz="4" w:space="0" w:color="auto"/>
                    <w:bottom w:val="single" w:sz="4" w:space="0" w:color="000000"/>
                    <w:right w:val="single" w:sz="4" w:space="0" w:color="000000"/>
                  </w:tcBorders>
                  <w:shd w:val="clear" w:color="000000" w:fill="F2F2F2"/>
                  <w:noWrap/>
                  <w:vAlign w:val="center"/>
                  <w:hideMark/>
                </w:tcPr>
                <w:p w14:paraId="2ABF2CCF" w14:textId="77777777" w:rsidR="007175FE" w:rsidRPr="00DA7ABE" w:rsidRDefault="007175FE" w:rsidP="007175FE">
                  <w:pPr>
                    <w:keepNext/>
                    <w:keepLines/>
                    <w:spacing w:before="0"/>
                    <w:rPr>
                      <w:rFonts w:cstheme="minorHAnsi"/>
                      <w:b/>
                      <w:color w:val="000000"/>
                      <w:sz w:val="18"/>
                      <w:szCs w:val="18"/>
                    </w:rPr>
                  </w:pPr>
                  <w:r w:rsidRPr="00DA7ABE">
                    <w:rPr>
                      <w:rFonts w:cstheme="minorHAnsi"/>
                      <w:b/>
                      <w:color w:val="000000"/>
                      <w:sz w:val="18"/>
                      <w:szCs w:val="18"/>
                    </w:rPr>
                    <w:t>Kategorie</w:t>
                  </w:r>
                </w:p>
              </w:tc>
              <w:tc>
                <w:tcPr>
                  <w:tcW w:w="2117" w:type="pct"/>
                  <w:gridSpan w:val="2"/>
                  <w:tcBorders>
                    <w:top w:val="single" w:sz="4" w:space="0" w:color="auto"/>
                    <w:left w:val="nil"/>
                    <w:bottom w:val="single" w:sz="4" w:space="0" w:color="auto"/>
                    <w:right w:val="single" w:sz="4" w:space="0" w:color="auto"/>
                  </w:tcBorders>
                  <w:shd w:val="clear" w:color="000000" w:fill="F2F2F2"/>
                  <w:noWrap/>
                  <w:vAlign w:val="bottom"/>
                  <w:hideMark/>
                </w:tcPr>
                <w:p w14:paraId="0326D054" w14:textId="77777777" w:rsidR="007175FE" w:rsidRPr="00DA7ABE" w:rsidRDefault="007175FE" w:rsidP="007175FE">
                  <w:pPr>
                    <w:keepNext/>
                    <w:keepLines/>
                    <w:spacing w:before="0"/>
                    <w:rPr>
                      <w:rFonts w:cstheme="minorHAnsi"/>
                      <w:b/>
                      <w:bCs/>
                      <w:color w:val="000000"/>
                      <w:sz w:val="18"/>
                      <w:szCs w:val="18"/>
                    </w:rPr>
                  </w:pPr>
                  <w:r w:rsidRPr="00DA7ABE">
                    <w:rPr>
                      <w:rFonts w:cstheme="minorHAnsi"/>
                      <w:b/>
                      <w:bCs/>
                      <w:color w:val="000000"/>
                      <w:sz w:val="18"/>
                      <w:szCs w:val="18"/>
                    </w:rPr>
                    <w:t>Respondenti</w:t>
                  </w:r>
                </w:p>
              </w:tc>
            </w:tr>
            <w:tr w:rsidR="007175FE" w:rsidRPr="00DA7ABE" w14:paraId="02694B6E" w14:textId="77777777" w:rsidTr="000C49A5">
              <w:trPr>
                <w:trHeight w:hRule="exact" w:val="284"/>
              </w:trPr>
              <w:tc>
                <w:tcPr>
                  <w:tcW w:w="2883" w:type="pct"/>
                  <w:gridSpan w:val="2"/>
                  <w:vMerge/>
                  <w:tcBorders>
                    <w:top w:val="single" w:sz="4" w:space="0" w:color="auto"/>
                    <w:left w:val="single" w:sz="4" w:space="0" w:color="auto"/>
                    <w:bottom w:val="single" w:sz="4" w:space="0" w:color="000000"/>
                    <w:right w:val="single" w:sz="4" w:space="0" w:color="000000"/>
                  </w:tcBorders>
                  <w:vAlign w:val="center"/>
                  <w:hideMark/>
                </w:tcPr>
                <w:p w14:paraId="042DC35E" w14:textId="77777777" w:rsidR="007175FE" w:rsidRPr="00DA7ABE" w:rsidRDefault="007175FE" w:rsidP="007175FE">
                  <w:pPr>
                    <w:keepNext/>
                    <w:keepLines/>
                    <w:spacing w:before="0"/>
                    <w:rPr>
                      <w:rFonts w:cstheme="minorHAnsi"/>
                      <w:color w:val="000000"/>
                      <w:sz w:val="18"/>
                      <w:szCs w:val="18"/>
                    </w:rPr>
                  </w:pPr>
                </w:p>
              </w:tc>
              <w:tc>
                <w:tcPr>
                  <w:tcW w:w="1303" w:type="pct"/>
                  <w:tcBorders>
                    <w:top w:val="nil"/>
                    <w:left w:val="nil"/>
                    <w:bottom w:val="single" w:sz="4" w:space="0" w:color="auto"/>
                    <w:right w:val="single" w:sz="4" w:space="0" w:color="auto"/>
                  </w:tcBorders>
                  <w:shd w:val="clear" w:color="000000" w:fill="F2F2F2"/>
                  <w:noWrap/>
                  <w:vAlign w:val="center"/>
                  <w:hideMark/>
                </w:tcPr>
                <w:p w14:paraId="6AAC9CCC" w14:textId="77777777" w:rsidR="007175FE" w:rsidRPr="00DA7ABE" w:rsidRDefault="007175FE" w:rsidP="007175FE">
                  <w:pPr>
                    <w:keepNext/>
                    <w:keepLines/>
                    <w:spacing w:before="0"/>
                    <w:rPr>
                      <w:rFonts w:cstheme="minorHAnsi"/>
                      <w:b/>
                      <w:bCs/>
                      <w:color w:val="000000"/>
                      <w:sz w:val="18"/>
                      <w:szCs w:val="18"/>
                    </w:rPr>
                  </w:pPr>
                  <w:r w:rsidRPr="00DA7ABE">
                    <w:rPr>
                      <w:rFonts w:cstheme="minorHAnsi"/>
                      <w:b/>
                      <w:bCs/>
                      <w:color w:val="000000"/>
                      <w:sz w:val="18"/>
                      <w:szCs w:val="18"/>
                    </w:rPr>
                    <w:t>Počet</w:t>
                  </w:r>
                </w:p>
              </w:tc>
              <w:tc>
                <w:tcPr>
                  <w:tcW w:w="815" w:type="pct"/>
                  <w:tcBorders>
                    <w:top w:val="nil"/>
                    <w:left w:val="nil"/>
                    <w:bottom w:val="single" w:sz="4" w:space="0" w:color="auto"/>
                    <w:right w:val="single" w:sz="4" w:space="0" w:color="auto"/>
                  </w:tcBorders>
                  <w:shd w:val="clear" w:color="000000" w:fill="F2F2F2"/>
                  <w:noWrap/>
                  <w:vAlign w:val="center"/>
                  <w:hideMark/>
                </w:tcPr>
                <w:p w14:paraId="7B082466" w14:textId="77777777" w:rsidR="007175FE" w:rsidRPr="00DA7ABE" w:rsidRDefault="007175FE" w:rsidP="007175FE">
                  <w:pPr>
                    <w:keepNext/>
                    <w:keepLines/>
                    <w:spacing w:before="0"/>
                    <w:rPr>
                      <w:rFonts w:cstheme="minorHAnsi"/>
                      <w:b/>
                      <w:bCs/>
                      <w:color w:val="000000"/>
                      <w:sz w:val="18"/>
                      <w:szCs w:val="18"/>
                    </w:rPr>
                  </w:pPr>
                  <w:r w:rsidRPr="00DA7ABE">
                    <w:rPr>
                      <w:rFonts w:cstheme="minorHAnsi"/>
                      <w:b/>
                      <w:bCs/>
                      <w:color w:val="000000"/>
                      <w:sz w:val="18"/>
                      <w:szCs w:val="18"/>
                    </w:rPr>
                    <w:t>Podíl</w:t>
                  </w:r>
                </w:p>
              </w:tc>
            </w:tr>
            <w:tr w:rsidR="007175FE" w:rsidRPr="00DA7ABE" w14:paraId="53558E42" w14:textId="77777777" w:rsidTr="000C49A5">
              <w:trPr>
                <w:trHeight w:hRule="exact" w:val="284"/>
              </w:trPr>
              <w:tc>
                <w:tcPr>
                  <w:tcW w:w="2883"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7F5D81"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Nestuduje VŠ</w:t>
                  </w:r>
                </w:p>
              </w:tc>
              <w:tc>
                <w:tcPr>
                  <w:tcW w:w="1303" w:type="pct"/>
                  <w:tcBorders>
                    <w:top w:val="nil"/>
                    <w:left w:val="nil"/>
                    <w:bottom w:val="single" w:sz="4" w:space="0" w:color="auto"/>
                    <w:right w:val="single" w:sz="4" w:space="0" w:color="auto"/>
                  </w:tcBorders>
                  <w:shd w:val="clear" w:color="auto" w:fill="auto"/>
                  <w:noWrap/>
                  <w:vAlign w:val="bottom"/>
                  <w:hideMark/>
                </w:tcPr>
                <w:p w14:paraId="5D32ED96"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748</w:t>
                  </w:r>
                </w:p>
              </w:tc>
              <w:tc>
                <w:tcPr>
                  <w:tcW w:w="815" w:type="pct"/>
                  <w:tcBorders>
                    <w:top w:val="single" w:sz="4" w:space="0" w:color="auto"/>
                    <w:left w:val="nil"/>
                    <w:bottom w:val="single" w:sz="4" w:space="0" w:color="auto"/>
                    <w:right w:val="single" w:sz="4" w:space="0" w:color="auto"/>
                  </w:tcBorders>
                  <w:shd w:val="clear" w:color="auto" w:fill="auto"/>
                  <w:noWrap/>
                  <w:vAlign w:val="center"/>
                  <w:hideMark/>
                </w:tcPr>
                <w:p w14:paraId="05D18E87"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75,3%</w:t>
                  </w:r>
                </w:p>
              </w:tc>
            </w:tr>
            <w:tr w:rsidR="007175FE" w:rsidRPr="00DA7ABE" w14:paraId="3A446040" w14:textId="77777777" w:rsidTr="000C49A5">
              <w:trPr>
                <w:trHeight w:hRule="exact" w:val="284"/>
              </w:trPr>
              <w:tc>
                <w:tcPr>
                  <w:tcW w:w="2883"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3F632E"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Studuje VŠ</w:t>
                  </w:r>
                </w:p>
              </w:tc>
              <w:tc>
                <w:tcPr>
                  <w:tcW w:w="1303" w:type="pct"/>
                  <w:tcBorders>
                    <w:top w:val="single" w:sz="4" w:space="0" w:color="auto"/>
                    <w:left w:val="nil"/>
                    <w:bottom w:val="single" w:sz="4" w:space="0" w:color="auto"/>
                    <w:right w:val="single" w:sz="4" w:space="0" w:color="auto"/>
                  </w:tcBorders>
                  <w:shd w:val="clear" w:color="auto" w:fill="auto"/>
                  <w:noWrap/>
                  <w:vAlign w:val="bottom"/>
                  <w:hideMark/>
                </w:tcPr>
                <w:p w14:paraId="5ECC9016"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231</w:t>
                  </w:r>
                </w:p>
              </w:tc>
              <w:tc>
                <w:tcPr>
                  <w:tcW w:w="815" w:type="pct"/>
                  <w:tcBorders>
                    <w:top w:val="single" w:sz="4" w:space="0" w:color="auto"/>
                    <w:left w:val="nil"/>
                    <w:bottom w:val="single" w:sz="4" w:space="0" w:color="auto"/>
                    <w:right w:val="single" w:sz="4" w:space="0" w:color="auto"/>
                  </w:tcBorders>
                  <w:shd w:val="clear" w:color="auto" w:fill="auto"/>
                  <w:noWrap/>
                  <w:vAlign w:val="center"/>
                  <w:hideMark/>
                </w:tcPr>
                <w:p w14:paraId="68C0748E"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23,3%</w:t>
                  </w:r>
                </w:p>
              </w:tc>
            </w:tr>
            <w:tr w:rsidR="007175FE" w:rsidRPr="00DA7ABE" w14:paraId="7BEA414F" w14:textId="77777777" w:rsidTr="000C49A5">
              <w:trPr>
                <w:trHeight w:hRule="exact" w:val="284"/>
              </w:trPr>
              <w:tc>
                <w:tcPr>
                  <w:tcW w:w="76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C2D49F8"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z toho</w:t>
                  </w:r>
                </w:p>
              </w:tc>
              <w:tc>
                <w:tcPr>
                  <w:tcW w:w="2116" w:type="pct"/>
                  <w:tcBorders>
                    <w:top w:val="nil"/>
                    <w:left w:val="nil"/>
                    <w:bottom w:val="single" w:sz="4" w:space="0" w:color="auto"/>
                    <w:right w:val="single" w:sz="4" w:space="0" w:color="auto"/>
                  </w:tcBorders>
                  <w:shd w:val="clear" w:color="auto" w:fill="auto"/>
                  <w:noWrap/>
                  <w:vAlign w:val="bottom"/>
                  <w:hideMark/>
                </w:tcPr>
                <w:p w14:paraId="207B9D51"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Studuje UTB</w:t>
                  </w:r>
                </w:p>
              </w:tc>
              <w:tc>
                <w:tcPr>
                  <w:tcW w:w="1303" w:type="pct"/>
                  <w:tcBorders>
                    <w:top w:val="single" w:sz="4" w:space="0" w:color="auto"/>
                    <w:left w:val="nil"/>
                    <w:bottom w:val="single" w:sz="4" w:space="0" w:color="auto"/>
                    <w:right w:val="single" w:sz="4" w:space="0" w:color="auto"/>
                  </w:tcBorders>
                  <w:shd w:val="clear" w:color="auto" w:fill="auto"/>
                  <w:noWrap/>
                  <w:vAlign w:val="center"/>
                  <w:hideMark/>
                </w:tcPr>
                <w:p w14:paraId="414EE765"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19</w:t>
                  </w:r>
                  <w:r>
                    <w:rPr>
                      <w:rFonts w:cstheme="minorHAnsi"/>
                      <w:color w:val="000000"/>
                      <w:sz w:val="18"/>
                      <w:szCs w:val="18"/>
                    </w:rPr>
                    <w:t>2</w:t>
                  </w:r>
                </w:p>
              </w:tc>
              <w:tc>
                <w:tcPr>
                  <w:tcW w:w="8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FE5A9"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19,3%</w:t>
                  </w:r>
                </w:p>
              </w:tc>
            </w:tr>
            <w:tr w:rsidR="007175FE" w:rsidRPr="00DA7ABE" w14:paraId="512060AA" w14:textId="77777777" w:rsidTr="000C49A5">
              <w:trPr>
                <w:trHeight w:hRule="exact" w:val="284"/>
              </w:trPr>
              <w:tc>
                <w:tcPr>
                  <w:tcW w:w="766" w:type="pct"/>
                  <w:vMerge/>
                  <w:tcBorders>
                    <w:top w:val="nil"/>
                    <w:left w:val="single" w:sz="4" w:space="0" w:color="auto"/>
                    <w:bottom w:val="single" w:sz="4" w:space="0" w:color="auto"/>
                    <w:right w:val="single" w:sz="4" w:space="0" w:color="auto"/>
                  </w:tcBorders>
                  <w:vAlign w:val="center"/>
                  <w:hideMark/>
                </w:tcPr>
                <w:p w14:paraId="64D86763" w14:textId="77777777" w:rsidR="007175FE" w:rsidRPr="00DA7ABE" w:rsidRDefault="007175FE" w:rsidP="007175FE">
                  <w:pPr>
                    <w:keepNext/>
                    <w:keepLines/>
                    <w:spacing w:before="0"/>
                    <w:rPr>
                      <w:rFonts w:cstheme="minorHAnsi"/>
                      <w:color w:val="000000"/>
                      <w:sz w:val="18"/>
                      <w:szCs w:val="18"/>
                    </w:rPr>
                  </w:pPr>
                </w:p>
              </w:tc>
              <w:tc>
                <w:tcPr>
                  <w:tcW w:w="2116" w:type="pct"/>
                  <w:tcBorders>
                    <w:top w:val="nil"/>
                    <w:left w:val="nil"/>
                    <w:bottom w:val="single" w:sz="4" w:space="0" w:color="auto"/>
                    <w:right w:val="single" w:sz="4" w:space="0" w:color="auto"/>
                  </w:tcBorders>
                  <w:shd w:val="clear" w:color="auto" w:fill="auto"/>
                  <w:noWrap/>
                  <w:vAlign w:val="bottom"/>
                  <w:hideMark/>
                </w:tcPr>
                <w:p w14:paraId="5D032C30"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Studuje jinou VŠ</w:t>
                  </w:r>
                </w:p>
              </w:tc>
              <w:tc>
                <w:tcPr>
                  <w:tcW w:w="1303" w:type="pct"/>
                  <w:tcBorders>
                    <w:top w:val="single" w:sz="4" w:space="0" w:color="auto"/>
                    <w:left w:val="nil"/>
                    <w:bottom w:val="single" w:sz="4" w:space="0" w:color="auto"/>
                    <w:right w:val="single" w:sz="4" w:space="0" w:color="auto"/>
                  </w:tcBorders>
                  <w:shd w:val="clear" w:color="auto" w:fill="auto"/>
                  <w:noWrap/>
                  <w:vAlign w:val="center"/>
                  <w:hideMark/>
                </w:tcPr>
                <w:p w14:paraId="5DC30481" w14:textId="77777777" w:rsidR="007175FE" w:rsidRPr="00DA7ABE" w:rsidRDefault="007175FE" w:rsidP="007175FE">
                  <w:pPr>
                    <w:keepNext/>
                    <w:keepLines/>
                    <w:spacing w:before="0"/>
                    <w:rPr>
                      <w:rFonts w:cstheme="minorHAnsi"/>
                      <w:color w:val="000000"/>
                      <w:sz w:val="18"/>
                      <w:szCs w:val="18"/>
                    </w:rPr>
                  </w:pPr>
                  <w:r>
                    <w:rPr>
                      <w:rFonts w:cstheme="minorHAnsi"/>
                      <w:color w:val="000000"/>
                      <w:sz w:val="18"/>
                      <w:szCs w:val="18"/>
                    </w:rPr>
                    <w:t>39</w:t>
                  </w:r>
                </w:p>
              </w:tc>
              <w:tc>
                <w:tcPr>
                  <w:tcW w:w="8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0A541"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3,9%</w:t>
                  </w:r>
                </w:p>
              </w:tc>
            </w:tr>
            <w:tr w:rsidR="007175FE" w:rsidRPr="00DA7ABE" w14:paraId="5BABA876" w14:textId="77777777" w:rsidTr="000C49A5">
              <w:trPr>
                <w:trHeight w:hRule="exact" w:val="284"/>
              </w:trPr>
              <w:tc>
                <w:tcPr>
                  <w:tcW w:w="2883"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9407C"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Neodpověděli</w:t>
                  </w:r>
                </w:p>
              </w:tc>
              <w:tc>
                <w:tcPr>
                  <w:tcW w:w="1303" w:type="pct"/>
                  <w:tcBorders>
                    <w:top w:val="single" w:sz="4" w:space="0" w:color="auto"/>
                    <w:left w:val="nil"/>
                    <w:bottom w:val="single" w:sz="4" w:space="0" w:color="auto"/>
                    <w:right w:val="single" w:sz="4" w:space="0" w:color="auto"/>
                  </w:tcBorders>
                  <w:shd w:val="clear" w:color="auto" w:fill="auto"/>
                  <w:noWrap/>
                  <w:vAlign w:val="bottom"/>
                  <w:hideMark/>
                </w:tcPr>
                <w:p w14:paraId="639BB002"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14</w:t>
                  </w:r>
                </w:p>
              </w:tc>
              <w:tc>
                <w:tcPr>
                  <w:tcW w:w="815" w:type="pct"/>
                  <w:tcBorders>
                    <w:top w:val="single" w:sz="4" w:space="0" w:color="auto"/>
                    <w:left w:val="nil"/>
                    <w:bottom w:val="single" w:sz="4" w:space="0" w:color="auto"/>
                    <w:right w:val="single" w:sz="4" w:space="0" w:color="auto"/>
                  </w:tcBorders>
                  <w:shd w:val="clear" w:color="auto" w:fill="auto"/>
                  <w:noWrap/>
                  <w:vAlign w:val="center"/>
                  <w:hideMark/>
                </w:tcPr>
                <w:p w14:paraId="66BC2A32" w14:textId="77777777" w:rsidR="007175FE" w:rsidRPr="00DA7ABE" w:rsidRDefault="007175FE" w:rsidP="007175FE">
                  <w:pPr>
                    <w:keepNext/>
                    <w:keepLines/>
                    <w:spacing w:before="0"/>
                    <w:rPr>
                      <w:rFonts w:cstheme="minorHAnsi"/>
                      <w:color w:val="000000"/>
                      <w:sz w:val="18"/>
                      <w:szCs w:val="18"/>
                    </w:rPr>
                  </w:pPr>
                  <w:r w:rsidRPr="00DA7ABE">
                    <w:rPr>
                      <w:rFonts w:cstheme="minorHAnsi"/>
                      <w:color w:val="000000"/>
                      <w:sz w:val="18"/>
                      <w:szCs w:val="18"/>
                    </w:rPr>
                    <w:t>1,4%</w:t>
                  </w:r>
                </w:p>
              </w:tc>
            </w:tr>
            <w:tr w:rsidR="007175FE" w:rsidRPr="00DA7ABE" w14:paraId="5A45CEBB" w14:textId="77777777" w:rsidTr="000C49A5">
              <w:trPr>
                <w:trHeight w:hRule="exact" w:val="284"/>
              </w:trPr>
              <w:tc>
                <w:tcPr>
                  <w:tcW w:w="2883"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6AB113" w14:textId="77777777" w:rsidR="007175FE" w:rsidRPr="007B636A" w:rsidRDefault="007175FE" w:rsidP="007175FE">
                  <w:pPr>
                    <w:keepNext/>
                    <w:keepLines/>
                    <w:spacing w:before="0"/>
                    <w:rPr>
                      <w:rFonts w:cstheme="minorHAnsi"/>
                      <w:b/>
                      <w:color w:val="000000"/>
                      <w:sz w:val="18"/>
                      <w:szCs w:val="18"/>
                    </w:rPr>
                  </w:pPr>
                  <w:r w:rsidRPr="007B636A">
                    <w:rPr>
                      <w:rFonts w:cstheme="minorHAnsi"/>
                      <w:b/>
                      <w:color w:val="000000"/>
                      <w:sz w:val="18"/>
                      <w:szCs w:val="18"/>
                    </w:rPr>
                    <w:t>Celkem</w:t>
                  </w:r>
                </w:p>
              </w:tc>
              <w:tc>
                <w:tcPr>
                  <w:tcW w:w="1303" w:type="pct"/>
                  <w:tcBorders>
                    <w:top w:val="single" w:sz="4" w:space="0" w:color="auto"/>
                    <w:left w:val="nil"/>
                    <w:bottom w:val="single" w:sz="4" w:space="0" w:color="auto"/>
                    <w:right w:val="single" w:sz="4" w:space="0" w:color="auto"/>
                  </w:tcBorders>
                  <w:shd w:val="clear" w:color="auto" w:fill="auto"/>
                  <w:noWrap/>
                  <w:vAlign w:val="bottom"/>
                  <w:hideMark/>
                </w:tcPr>
                <w:p w14:paraId="0F18098F" w14:textId="77777777" w:rsidR="007175FE" w:rsidRPr="007B636A" w:rsidRDefault="007175FE" w:rsidP="007175FE">
                  <w:pPr>
                    <w:keepNext/>
                    <w:keepLines/>
                    <w:spacing w:before="0"/>
                    <w:rPr>
                      <w:rFonts w:cstheme="minorHAnsi"/>
                      <w:b/>
                      <w:color w:val="000000"/>
                      <w:sz w:val="18"/>
                      <w:szCs w:val="18"/>
                    </w:rPr>
                  </w:pPr>
                  <w:r w:rsidRPr="007B636A">
                    <w:rPr>
                      <w:rFonts w:cstheme="minorHAnsi"/>
                      <w:b/>
                      <w:color w:val="000000"/>
                      <w:sz w:val="18"/>
                      <w:szCs w:val="18"/>
                    </w:rPr>
                    <w:t>993</w:t>
                  </w:r>
                </w:p>
              </w:tc>
              <w:tc>
                <w:tcPr>
                  <w:tcW w:w="815" w:type="pct"/>
                  <w:tcBorders>
                    <w:top w:val="single" w:sz="4" w:space="0" w:color="auto"/>
                    <w:left w:val="nil"/>
                    <w:bottom w:val="single" w:sz="4" w:space="0" w:color="auto"/>
                    <w:right w:val="single" w:sz="4" w:space="0" w:color="auto"/>
                  </w:tcBorders>
                  <w:shd w:val="clear" w:color="auto" w:fill="auto"/>
                  <w:noWrap/>
                  <w:vAlign w:val="center"/>
                  <w:hideMark/>
                </w:tcPr>
                <w:p w14:paraId="28337CC1" w14:textId="77777777" w:rsidR="007175FE" w:rsidRPr="007B636A" w:rsidRDefault="007175FE" w:rsidP="007175FE">
                  <w:pPr>
                    <w:keepNext/>
                    <w:keepLines/>
                    <w:spacing w:before="0"/>
                    <w:rPr>
                      <w:rFonts w:cstheme="minorHAnsi"/>
                      <w:b/>
                      <w:color w:val="000000"/>
                      <w:sz w:val="18"/>
                      <w:szCs w:val="18"/>
                    </w:rPr>
                  </w:pPr>
                  <w:r w:rsidRPr="007B636A">
                    <w:rPr>
                      <w:rFonts w:cstheme="minorHAnsi"/>
                      <w:b/>
                      <w:color w:val="000000"/>
                      <w:sz w:val="18"/>
                      <w:szCs w:val="18"/>
                    </w:rPr>
                    <w:t>100,0%</w:t>
                  </w:r>
                </w:p>
              </w:tc>
            </w:tr>
          </w:tbl>
          <w:p w14:paraId="4318B4E0" w14:textId="4EC19D30" w:rsidR="007175FE" w:rsidRPr="00DA7ABE" w:rsidRDefault="007175FE" w:rsidP="000C49A5">
            <w:pPr>
              <w:rPr>
                <w:rFonts w:cstheme="minorHAnsi"/>
              </w:rPr>
            </w:pPr>
            <w:r w:rsidRPr="00754F16">
              <w:rPr>
                <w:rFonts w:eastAsia="Times New Roman" w:cstheme="minorHAnsi"/>
                <w:i/>
                <w:sz w:val="18"/>
                <w:szCs w:val="24"/>
                <w:lang w:eastAsia="cs-CZ"/>
              </w:rPr>
              <w:t>Zdroj: PROCES, Anketní šetření spokojenosti obyvatel města Zlín 2020</w:t>
            </w:r>
            <w:r w:rsidR="00A70EEC">
              <w:rPr>
                <w:rFonts w:eastAsia="Times New Roman" w:cstheme="minorHAnsi"/>
                <w:i/>
                <w:sz w:val="18"/>
                <w:szCs w:val="24"/>
                <w:lang w:eastAsia="cs-CZ"/>
              </w:rPr>
              <w:t>.</w:t>
            </w:r>
          </w:p>
        </w:tc>
        <w:tc>
          <w:tcPr>
            <w:tcW w:w="6080" w:type="dxa"/>
            <w:gridSpan w:val="2"/>
          </w:tcPr>
          <w:p w14:paraId="25DFC028" w14:textId="0F8313F9" w:rsidR="007175FE" w:rsidRPr="00DA7ABE" w:rsidRDefault="007175FE" w:rsidP="000C49A5">
            <w:pPr>
              <w:pStyle w:val="Titulek"/>
              <w:rPr>
                <w:rFonts w:cstheme="minorHAnsi"/>
              </w:rPr>
            </w:pPr>
            <w:bookmarkStart w:id="563" w:name="_Toc54702775"/>
            <w:bookmarkStart w:id="564" w:name="_Toc56179582"/>
            <w:bookmarkStart w:id="565" w:name="_Toc77074924"/>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3</w:t>
            </w:r>
            <w:r w:rsidR="0096730F">
              <w:rPr>
                <w:rFonts w:cstheme="minorHAnsi"/>
              </w:rPr>
              <w:fldChar w:fldCharType="end"/>
            </w:r>
            <w:r w:rsidR="00A70EEC">
              <w:rPr>
                <w:rFonts w:cstheme="minorHAnsi"/>
              </w:rPr>
              <w:t>:</w:t>
            </w:r>
            <w:r w:rsidRPr="00DA7ABE">
              <w:rPr>
                <w:rFonts w:cstheme="minorHAnsi"/>
              </w:rPr>
              <w:t xml:space="preserve"> Struktura respondentů – studenti VŠ a UTB</w:t>
            </w:r>
            <w:bookmarkEnd w:id="563"/>
            <w:bookmarkEnd w:id="564"/>
            <w:bookmarkEnd w:id="565"/>
          </w:p>
          <w:p w14:paraId="13DB7CA6" w14:textId="77777777" w:rsidR="007175FE" w:rsidRPr="00DA7ABE" w:rsidRDefault="007175FE" w:rsidP="000C49A5">
            <w:pPr>
              <w:keepNext/>
              <w:rPr>
                <w:rFonts w:cstheme="minorHAnsi"/>
              </w:rPr>
            </w:pPr>
            <w:r w:rsidRPr="00DA7ABE">
              <w:rPr>
                <w:rFonts w:cstheme="minorHAnsi"/>
                <w:noProof/>
                <w:lang w:eastAsia="cs-CZ"/>
              </w:rPr>
              <w:drawing>
                <wp:inline distT="0" distB="0" distL="0" distR="0" wp14:anchorId="04FBB4BD" wp14:editId="47515E5F">
                  <wp:extent cx="3436620" cy="1903359"/>
                  <wp:effectExtent l="0" t="0" r="0" b="1905"/>
                  <wp:docPr id="355"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7">
                            <a:extLst>
                              <a:ext uri="{28A0092B-C50C-407E-A947-70E740481C1C}">
                                <a14:useLocalDpi xmlns:a14="http://schemas.microsoft.com/office/drawing/2010/main" val="0"/>
                              </a:ext>
                            </a:extLst>
                          </a:blip>
                          <a:srcRect l="5825" t="3937" r="4965"/>
                          <a:stretch/>
                        </pic:blipFill>
                        <pic:spPr bwMode="auto">
                          <a:xfrm>
                            <a:off x="0" y="0"/>
                            <a:ext cx="3442827" cy="1906796"/>
                          </a:xfrm>
                          <a:prstGeom prst="rect">
                            <a:avLst/>
                          </a:prstGeom>
                          <a:noFill/>
                          <a:ln>
                            <a:noFill/>
                          </a:ln>
                          <a:extLst>
                            <a:ext uri="{53640926-AAD7-44D8-BBD7-CCE9431645EC}">
                              <a14:shadowObscured xmlns:a14="http://schemas.microsoft.com/office/drawing/2010/main"/>
                            </a:ext>
                          </a:extLst>
                        </pic:spPr>
                      </pic:pic>
                    </a:graphicData>
                  </a:graphic>
                </wp:inline>
              </w:drawing>
            </w:r>
          </w:p>
          <w:p w14:paraId="6649B608" w14:textId="74B82462" w:rsidR="007175FE" w:rsidRPr="00DA7ABE" w:rsidRDefault="007175FE" w:rsidP="000C49A5">
            <w:pPr>
              <w:pStyle w:val="zdroj0"/>
              <w:keepNext/>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A70EEC">
              <w:rPr>
                <w:rFonts w:asciiTheme="minorHAnsi" w:hAnsiTheme="minorHAnsi" w:cstheme="minorHAnsi"/>
              </w:rPr>
              <w:t>.</w:t>
            </w:r>
            <w:r w:rsidRPr="00DA7ABE">
              <w:rPr>
                <w:rFonts w:asciiTheme="minorHAnsi" w:hAnsiTheme="minorHAnsi" w:cstheme="minorHAnsi"/>
              </w:rPr>
              <w:br/>
              <w:t>Pozn.: 14 respondentů neuvedlo, zda studují VŠ.</w:t>
            </w:r>
          </w:p>
          <w:p w14:paraId="34D946EB" w14:textId="77777777" w:rsidR="007175FE" w:rsidRPr="00DA7ABE" w:rsidRDefault="007175FE" w:rsidP="000C49A5">
            <w:pPr>
              <w:pStyle w:val="zdroj0"/>
              <w:keepNext/>
              <w:jc w:val="both"/>
              <w:rPr>
                <w:rFonts w:asciiTheme="minorHAnsi" w:hAnsiTheme="minorHAnsi" w:cstheme="minorHAnsi"/>
              </w:rPr>
            </w:pPr>
          </w:p>
        </w:tc>
      </w:tr>
    </w:tbl>
    <w:p w14:paraId="016F6061" w14:textId="77777777" w:rsidR="007175FE" w:rsidRPr="00DA7ABE" w:rsidRDefault="007175FE" w:rsidP="007175FE">
      <w:pPr>
        <w:pStyle w:val="Nadpis3"/>
      </w:pPr>
      <w:bookmarkStart w:id="566" w:name="_Toc50116441"/>
      <w:bookmarkStart w:id="567" w:name="_Toc77074621"/>
      <w:r>
        <w:t>Hodnocení kvality života</w:t>
      </w:r>
      <w:bookmarkEnd w:id="566"/>
      <w:bookmarkEnd w:id="567"/>
    </w:p>
    <w:p w14:paraId="28D110A7" w14:textId="77777777" w:rsidR="007175FE" w:rsidRPr="00DA7ABE" w:rsidRDefault="007175FE" w:rsidP="007175FE">
      <w:pPr>
        <w:rPr>
          <w:rFonts w:cstheme="minorHAnsi"/>
        </w:rPr>
      </w:pPr>
      <w:r w:rsidRPr="00DC5EA1">
        <w:rPr>
          <w:rFonts w:cstheme="minorHAnsi"/>
        </w:rPr>
        <w:t>S kvalitou života jsou nejvíce spokojeni studenti UTB (možnost velmi, či spíše spokojen uvedlo 77</w:t>
      </w:r>
      <w:r w:rsidRPr="00B213AB">
        <w:rPr>
          <w:rFonts w:cstheme="minorHAnsi"/>
        </w:rPr>
        <w:t>,</w:t>
      </w:r>
      <w:r w:rsidRPr="008063A4">
        <w:rPr>
          <w:rFonts w:cstheme="minorHAnsi"/>
        </w:rPr>
        <w:t xml:space="preserve">9 % respondentů), dále respondenti bez trvalého bydliště ve </w:t>
      </w:r>
      <w:r w:rsidRPr="00B64D09">
        <w:rPr>
          <w:rFonts w:cstheme="minorHAnsi"/>
        </w:rPr>
        <w:t>Zlíně (74,6 %), nejméně spokojení pak byli obyvatelé Zlína (72,2 %). Možnost „nemohu posoudit“ zvolilo minimum respondentů.</w:t>
      </w:r>
    </w:p>
    <w:p w14:paraId="77789EF9" w14:textId="20B08959" w:rsidR="007175FE" w:rsidRPr="00DA7ABE" w:rsidRDefault="007175FE" w:rsidP="007175FE">
      <w:pPr>
        <w:pStyle w:val="Titulek"/>
        <w:rPr>
          <w:rFonts w:cstheme="minorHAnsi"/>
        </w:rPr>
      </w:pPr>
      <w:bookmarkStart w:id="568" w:name="_Toc54702776"/>
      <w:bookmarkStart w:id="569" w:name="_Toc56179583"/>
      <w:bookmarkStart w:id="570" w:name="_Toc77074925"/>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4</w:t>
      </w:r>
      <w:r w:rsidR="0096730F">
        <w:rPr>
          <w:rFonts w:cstheme="minorHAnsi"/>
        </w:rPr>
        <w:fldChar w:fldCharType="end"/>
      </w:r>
      <w:r w:rsidR="00A70EEC">
        <w:rPr>
          <w:rFonts w:cstheme="minorHAnsi"/>
        </w:rPr>
        <w:t>:</w:t>
      </w:r>
      <w:r w:rsidRPr="00DA7ABE">
        <w:rPr>
          <w:rFonts w:cstheme="minorHAnsi"/>
        </w:rPr>
        <w:t xml:space="preserve"> Spokojenost se životem ve Zlíně</w:t>
      </w:r>
      <w:bookmarkEnd w:id="568"/>
      <w:bookmarkEnd w:id="569"/>
      <w:bookmarkEnd w:id="570"/>
    </w:p>
    <w:p w14:paraId="6977A6A9" w14:textId="77777777" w:rsidR="007175FE" w:rsidRPr="00DA7ABE" w:rsidRDefault="007175FE" w:rsidP="007175FE">
      <w:pPr>
        <w:rPr>
          <w:rFonts w:cstheme="minorHAnsi"/>
        </w:rPr>
      </w:pPr>
      <w:r>
        <w:rPr>
          <w:rFonts w:cstheme="minorHAnsi"/>
          <w:noProof/>
          <w:lang w:eastAsia="cs-CZ"/>
        </w:rPr>
        <w:drawing>
          <wp:inline distT="0" distB="0" distL="0" distR="0" wp14:anchorId="179E46B2" wp14:editId="2E0AC886">
            <wp:extent cx="5773420" cy="2475230"/>
            <wp:effectExtent l="0" t="0" r="0" b="127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73420" cy="2475230"/>
                    </a:xfrm>
                    <a:prstGeom prst="rect">
                      <a:avLst/>
                    </a:prstGeom>
                    <a:noFill/>
                  </pic:spPr>
                </pic:pic>
              </a:graphicData>
            </a:graphic>
          </wp:inline>
        </w:drawing>
      </w:r>
    </w:p>
    <w:p w14:paraId="2E418EB7" w14:textId="32385A04"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A70EEC">
        <w:rPr>
          <w:rFonts w:asciiTheme="minorHAnsi" w:hAnsiTheme="minorHAnsi" w:cstheme="minorHAnsi"/>
        </w:rPr>
        <w:t>;</w:t>
      </w:r>
      <w:r w:rsidRPr="00DA7ABE">
        <w:rPr>
          <w:rFonts w:asciiTheme="minorHAnsi" w:hAnsiTheme="minorHAnsi" w:cstheme="minorHAnsi"/>
        </w:rPr>
        <w:t xml:space="preserve"> Otázka 1.</w:t>
      </w:r>
      <w:r w:rsidR="00A70EEC">
        <w:rPr>
          <w:rFonts w:asciiTheme="minorHAnsi" w:hAnsiTheme="minorHAnsi" w:cstheme="minorHAnsi"/>
        </w:rPr>
        <w:t>:</w:t>
      </w:r>
      <w:r w:rsidRPr="00DA7ABE">
        <w:rPr>
          <w:rFonts w:asciiTheme="minorHAnsi" w:hAnsiTheme="minorHAnsi" w:cstheme="minorHAnsi"/>
        </w:rPr>
        <w:t xml:space="preserve"> Jak jste spokojeni se životem ve Zlíně?</w:t>
      </w:r>
    </w:p>
    <w:p w14:paraId="240CDCD9" w14:textId="77777777" w:rsidR="007175FE" w:rsidRPr="003D492B" w:rsidRDefault="007175FE" w:rsidP="007175FE">
      <w:pPr>
        <w:rPr>
          <w:rFonts w:cstheme="minorHAnsi"/>
        </w:rPr>
      </w:pPr>
      <w:r w:rsidRPr="00DC5EA1">
        <w:rPr>
          <w:rFonts w:cstheme="minorHAnsi"/>
        </w:rPr>
        <w:t xml:space="preserve">Při porovnání </w:t>
      </w:r>
      <w:r w:rsidRPr="003D492B">
        <w:rPr>
          <w:rFonts w:cstheme="minorHAnsi"/>
        </w:rPr>
        <w:t>obyvatel Zlína dle pohlaví</w:t>
      </w:r>
      <w:r w:rsidRPr="00DC5EA1">
        <w:rPr>
          <w:rFonts w:cstheme="minorHAnsi"/>
        </w:rPr>
        <w:t xml:space="preserve"> je vidět celkově mírně větší spokojenost u </w:t>
      </w:r>
      <w:r w:rsidRPr="003D492B">
        <w:rPr>
          <w:rFonts w:cstheme="minorHAnsi"/>
        </w:rPr>
        <w:t>mužů</w:t>
      </w:r>
      <w:r w:rsidRPr="00DC5EA1">
        <w:rPr>
          <w:rFonts w:cstheme="minorHAnsi"/>
        </w:rPr>
        <w:t xml:space="preserve">, než u </w:t>
      </w:r>
      <w:r w:rsidRPr="003D492B">
        <w:rPr>
          <w:rFonts w:cstheme="minorHAnsi"/>
        </w:rPr>
        <w:t>žen.</w:t>
      </w:r>
      <w:r w:rsidRPr="00DC5EA1">
        <w:rPr>
          <w:rFonts w:cstheme="minorHAnsi"/>
        </w:rPr>
        <w:t xml:space="preserve"> </w:t>
      </w:r>
      <w:r w:rsidRPr="003D492B">
        <w:rPr>
          <w:rFonts w:cstheme="minorHAnsi"/>
        </w:rPr>
        <w:t>Z hlediska věku byla zaznamenána</w:t>
      </w:r>
      <w:r w:rsidRPr="00DC5EA1">
        <w:rPr>
          <w:rFonts w:cstheme="minorHAnsi"/>
        </w:rPr>
        <w:t xml:space="preserve"> vyšší spokojenosti u mladší generac</w:t>
      </w:r>
      <w:r w:rsidRPr="003D492B">
        <w:rPr>
          <w:rFonts w:cstheme="minorHAnsi"/>
        </w:rPr>
        <w:t>e do 35 let, n</w:t>
      </w:r>
      <w:r w:rsidRPr="00DC5EA1">
        <w:rPr>
          <w:rFonts w:cstheme="minorHAnsi"/>
        </w:rPr>
        <w:t>ejnižší spokojenost je u generace 65 let a více</w:t>
      </w:r>
      <w:r w:rsidRPr="00B213AB">
        <w:rPr>
          <w:rFonts w:cstheme="minorHAnsi"/>
        </w:rPr>
        <w:t>.</w:t>
      </w:r>
      <w:r w:rsidRPr="003D492B">
        <w:rPr>
          <w:rFonts w:cstheme="minorHAnsi"/>
        </w:rPr>
        <w:t xml:space="preserve"> </w:t>
      </w:r>
    </w:p>
    <w:p w14:paraId="1C81268F" w14:textId="77777777" w:rsidR="007175FE" w:rsidRPr="00DA7ABE" w:rsidRDefault="007175FE" w:rsidP="007175FE">
      <w:pPr>
        <w:rPr>
          <w:rFonts w:cstheme="minorHAnsi"/>
        </w:rPr>
      </w:pPr>
      <w:r w:rsidRPr="003D492B">
        <w:rPr>
          <w:rFonts w:cstheme="minorHAnsi"/>
        </w:rPr>
        <w:t xml:space="preserve">Při porovnání </w:t>
      </w:r>
      <w:r>
        <w:rPr>
          <w:rFonts w:cstheme="minorHAnsi"/>
        </w:rPr>
        <w:t>se souborem</w:t>
      </w:r>
      <w:r w:rsidRPr="003D492B">
        <w:rPr>
          <w:rFonts w:cstheme="minorHAnsi"/>
        </w:rPr>
        <w:t xml:space="preserve"> respondentů žijících ve Zlíně (bez trvalého bydliště) je spokojenost z porovnávaných skupin druhá nejvyšší, nejvíce jsou spokojeni studenti UTB.</w:t>
      </w:r>
    </w:p>
    <w:p w14:paraId="21B0F87E" w14:textId="2EF85480" w:rsidR="007175FE" w:rsidRDefault="007175FE" w:rsidP="007175FE">
      <w:pPr>
        <w:pStyle w:val="Titulek"/>
        <w:keepNext/>
        <w:keepLines/>
        <w:rPr>
          <w:rFonts w:cstheme="minorHAnsi"/>
        </w:rPr>
      </w:pPr>
      <w:bookmarkStart w:id="571" w:name="_Toc54702620"/>
      <w:bookmarkStart w:id="572" w:name="_Toc56179426"/>
      <w:bookmarkStart w:id="573" w:name="_Toc57731784"/>
      <w:bookmarkStart w:id="574" w:name="_Toc77074768"/>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5</w:t>
      </w:r>
      <w:r w:rsidR="00DC277C">
        <w:rPr>
          <w:rFonts w:cstheme="minorHAnsi"/>
        </w:rPr>
        <w:fldChar w:fldCharType="end"/>
      </w:r>
      <w:r w:rsidR="00A70EEC">
        <w:rPr>
          <w:rFonts w:cstheme="minorHAnsi"/>
        </w:rPr>
        <w:t>:</w:t>
      </w:r>
      <w:r w:rsidRPr="00DA7ABE">
        <w:rPr>
          <w:rFonts w:cstheme="minorHAnsi"/>
        </w:rPr>
        <w:t xml:space="preserve"> Spokojenost se životem ve Zlíně podle pohlaví, věku a u studentů UTB</w:t>
      </w:r>
      <w:bookmarkEnd w:id="571"/>
      <w:bookmarkEnd w:id="572"/>
      <w:bookmarkEnd w:id="573"/>
      <w:bookmarkEnd w:id="5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5"/>
        <w:gridCol w:w="710"/>
        <w:gridCol w:w="705"/>
        <w:gridCol w:w="709"/>
        <w:gridCol w:w="1135"/>
        <w:gridCol w:w="850"/>
        <w:gridCol w:w="854"/>
        <w:gridCol w:w="1628"/>
        <w:gridCol w:w="776"/>
      </w:tblGrid>
      <w:tr w:rsidR="007175FE" w:rsidRPr="0042152A" w14:paraId="1F694899" w14:textId="77777777" w:rsidTr="000C49A5">
        <w:trPr>
          <w:trHeight w:val="288"/>
        </w:trPr>
        <w:tc>
          <w:tcPr>
            <w:tcW w:w="935" w:type="pct"/>
            <w:vMerge w:val="restart"/>
            <w:shd w:val="clear" w:color="000000" w:fill="F2F2F2"/>
            <w:noWrap/>
            <w:vAlign w:val="center"/>
            <w:hideMark/>
          </w:tcPr>
          <w:p w14:paraId="1D39CAA0"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Hodnocení</w:t>
            </w:r>
          </w:p>
        </w:tc>
        <w:tc>
          <w:tcPr>
            <w:tcW w:w="2738" w:type="pct"/>
            <w:gridSpan w:val="6"/>
            <w:shd w:val="clear" w:color="000000" w:fill="F2F2F2"/>
            <w:noWrap/>
            <w:vAlign w:val="center"/>
            <w:hideMark/>
          </w:tcPr>
          <w:p w14:paraId="4D1F0F3A"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Respondenti s trvalým bydlištěm ve Zlíně</w:t>
            </w:r>
          </w:p>
        </w:tc>
        <w:tc>
          <w:tcPr>
            <w:tcW w:w="898" w:type="pct"/>
            <w:vMerge w:val="restart"/>
            <w:shd w:val="clear" w:color="000000" w:fill="F2F2F2"/>
            <w:vAlign w:val="center"/>
            <w:hideMark/>
          </w:tcPr>
          <w:p w14:paraId="3B97F944"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Respondenti žijící ve Zlíně (bez trvalého bydliště)</w:t>
            </w:r>
          </w:p>
        </w:tc>
        <w:tc>
          <w:tcPr>
            <w:tcW w:w="428" w:type="pct"/>
            <w:vMerge w:val="restart"/>
            <w:shd w:val="clear" w:color="000000" w:fill="F2F2F2"/>
            <w:vAlign w:val="center"/>
            <w:hideMark/>
          </w:tcPr>
          <w:p w14:paraId="50426D55"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Studenti UTB</w:t>
            </w:r>
          </w:p>
        </w:tc>
      </w:tr>
      <w:tr w:rsidR="007175FE" w:rsidRPr="0042152A" w14:paraId="0F9F21F9" w14:textId="77777777" w:rsidTr="000C49A5">
        <w:trPr>
          <w:trHeight w:val="240"/>
        </w:trPr>
        <w:tc>
          <w:tcPr>
            <w:tcW w:w="935" w:type="pct"/>
            <w:vMerge/>
            <w:vAlign w:val="center"/>
            <w:hideMark/>
          </w:tcPr>
          <w:p w14:paraId="2512CC95" w14:textId="77777777" w:rsidR="007175FE" w:rsidRPr="0042152A" w:rsidRDefault="007175FE" w:rsidP="000C49A5">
            <w:pPr>
              <w:rPr>
                <w:rFonts w:ascii="Calibri" w:eastAsia="Times New Roman" w:hAnsi="Calibri" w:cs="Calibri"/>
                <w:b/>
                <w:bCs/>
                <w:color w:val="000000"/>
                <w:sz w:val="18"/>
                <w:szCs w:val="18"/>
                <w:lang w:eastAsia="cs-CZ"/>
              </w:rPr>
            </w:pPr>
          </w:p>
        </w:tc>
        <w:tc>
          <w:tcPr>
            <w:tcW w:w="392" w:type="pct"/>
            <w:vMerge w:val="restart"/>
            <w:shd w:val="clear" w:color="000000" w:fill="F2F2F2"/>
            <w:noWrap/>
            <w:vAlign w:val="center"/>
            <w:hideMark/>
          </w:tcPr>
          <w:p w14:paraId="5D3F300B"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Celkem</w:t>
            </w:r>
          </w:p>
        </w:tc>
        <w:tc>
          <w:tcPr>
            <w:tcW w:w="780" w:type="pct"/>
            <w:gridSpan w:val="2"/>
            <w:shd w:val="clear" w:color="000000" w:fill="F2F2F2"/>
            <w:noWrap/>
            <w:vAlign w:val="center"/>
            <w:hideMark/>
          </w:tcPr>
          <w:p w14:paraId="5C22ED83"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Pohlaví</w:t>
            </w:r>
          </w:p>
        </w:tc>
        <w:tc>
          <w:tcPr>
            <w:tcW w:w="1566" w:type="pct"/>
            <w:gridSpan w:val="3"/>
            <w:shd w:val="clear" w:color="000000" w:fill="F2F2F2"/>
            <w:noWrap/>
            <w:vAlign w:val="center"/>
            <w:hideMark/>
          </w:tcPr>
          <w:p w14:paraId="42FE9A6C"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Věková kategorie</w:t>
            </w:r>
          </w:p>
        </w:tc>
        <w:tc>
          <w:tcPr>
            <w:tcW w:w="898" w:type="pct"/>
            <w:vMerge/>
            <w:vAlign w:val="center"/>
            <w:hideMark/>
          </w:tcPr>
          <w:p w14:paraId="3C77074A" w14:textId="77777777" w:rsidR="007175FE" w:rsidRPr="0042152A" w:rsidRDefault="007175FE" w:rsidP="000C49A5">
            <w:pPr>
              <w:rPr>
                <w:rFonts w:ascii="Calibri" w:eastAsia="Times New Roman" w:hAnsi="Calibri" w:cs="Calibri"/>
                <w:b/>
                <w:bCs/>
                <w:color w:val="000000"/>
                <w:sz w:val="18"/>
                <w:szCs w:val="18"/>
                <w:lang w:eastAsia="cs-CZ"/>
              </w:rPr>
            </w:pPr>
          </w:p>
        </w:tc>
        <w:tc>
          <w:tcPr>
            <w:tcW w:w="428" w:type="pct"/>
            <w:vMerge/>
            <w:vAlign w:val="center"/>
            <w:hideMark/>
          </w:tcPr>
          <w:p w14:paraId="3D5F647F" w14:textId="77777777" w:rsidR="007175FE" w:rsidRPr="0042152A" w:rsidRDefault="007175FE" w:rsidP="000C49A5">
            <w:pPr>
              <w:rPr>
                <w:rFonts w:ascii="Calibri" w:eastAsia="Times New Roman" w:hAnsi="Calibri" w:cs="Calibri"/>
                <w:b/>
                <w:bCs/>
                <w:color w:val="000000"/>
                <w:sz w:val="18"/>
                <w:szCs w:val="18"/>
                <w:lang w:eastAsia="cs-CZ"/>
              </w:rPr>
            </w:pPr>
          </w:p>
        </w:tc>
      </w:tr>
      <w:tr w:rsidR="007175FE" w:rsidRPr="0042152A" w14:paraId="33555D17" w14:textId="77777777" w:rsidTr="000C49A5">
        <w:trPr>
          <w:trHeight w:val="240"/>
        </w:trPr>
        <w:tc>
          <w:tcPr>
            <w:tcW w:w="935" w:type="pct"/>
            <w:vMerge/>
            <w:vAlign w:val="center"/>
            <w:hideMark/>
          </w:tcPr>
          <w:p w14:paraId="66E70C05" w14:textId="77777777" w:rsidR="007175FE" w:rsidRPr="0042152A" w:rsidRDefault="007175FE" w:rsidP="000C49A5">
            <w:pPr>
              <w:rPr>
                <w:rFonts w:ascii="Calibri" w:eastAsia="Times New Roman" w:hAnsi="Calibri" w:cs="Calibri"/>
                <w:b/>
                <w:bCs/>
                <w:color w:val="000000"/>
                <w:sz w:val="18"/>
                <w:szCs w:val="18"/>
                <w:lang w:eastAsia="cs-CZ"/>
              </w:rPr>
            </w:pPr>
          </w:p>
        </w:tc>
        <w:tc>
          <w:tcPr>
            <w:tcW w:w="392" w:type="pct"/>
            <w:vMerge/>
            <w:vAlign w:val="center"/>
            <w:hideMark/>
          </w:tcPr>
          <w:p w14:paraId="48C50F5B" w14:textId="77777777" w:rsidR="007175FE" w:rsidRPr="0042152A" w:rsidRDefault="007175FE" w:rsidP="000C49A5">
            <w:pPr>
              <w:rPr>
                <w:rFonts w:ascii="Calibri" w:eastAsia="Times New Roman" w:hAnsi="Calibri" w:cs="Calibri"/>
                <w:b/>
                <w:bCs/>
                <w:color w:val="000000"/>
                <w:sz w:val="18"/>
                <w:szCs w:val="18"/>
                <w:lang w:eastAsia="cs-CZ"/>
              </w:rPr>
            </w:pPr>
          </w:p>
        </w:tc>
        <w:tc>
          <w:tcPr>
            <w:tcW w:w="389" w:type="pct"/>
            <w:shd w:val="clear" w:color="000000" w:fill="F2F2F2"/>
            <w:noWrap/>
            <w:vAlign w:val="center"/>
            <w:hideMark/>
          </w:tcPr>
          <w:p w14:paraId="4AEAF358"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Muž</w:t>
            </w:r>
          </w:p>
        </w:tc>
        <w:tc>
          <w:tcPr>
            <w:tcW w:w="391" w:type="pct"/>
            <w:shd w:val="clear" w:color="000000" w:fill="F2F2F2"/>
            <w:noWrap/>
            <w:vAlign w:val="center"/>
            <w:hideMark/>
          </w:tcPr>
          <w:p w14:paraId="32865647"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Žena</w:t>
            </w:r>
          </w:p>
        </w:tc>
        <w:tc>
          <w:tcPr>
            <w:tcW w:w="626" w:type="pct"/>
            <w:shd w:val="clear" w:color="000000" w:fill="F2F2F2"/>
            <w:noWrap/>
            <w:vAlign w:val="center"/>
            <w:hideMark/>
          </w:tcPr>
          <w:p w14:paraId="66A8BD6E"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méně než 35</w:t>
            </w:r>
          </w:p>
        </w:tc>
        <w:tc>
          <w:tcPr>
            <w:tcW w:w="469" w:type="pct"/>
            <w:shd w:val="clear" w:color="000000" w:fill="F2F2F2"/>
            <w:noWrap/>
            <w:vAlign w:val="center"/>
            <w:hideMark/>
          </w:tcPr>
          <w:p w14:paraId="7278046B"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35 - 64</w:t>
            </w:r>
          </w:p>
        </w:tc>
        <w:tc>
          <w:tcPr>
            <w:tcW w:w="471" w:type="pct"/>
            <w:shd w:val="clear" w:color="000000" w:fill="F2F2F2"/>
            <w:noWrap/>
            <w:vAlign w:val="center"/>
            <w:hideMark/>
          </w:tcPr>
          <w:p w14:paraId="014E6673" w14:textId="77777777" w:rsidR="007175FE" w:rsidRPr="0042152A" w:rsidRDefault="007175FE" w:rsidP="000C49A5">
            <w:pPr>
              <w:jc w:val="center"/>
              <w:rPr>
                <w:rFonts w:ascii="Calibri" w:eastAsia="Times New Roman" w:hAnsi="Calibri" w:cs="Calibri"/>
                <w:b/>
                <w:bCs/>
                <w:color w:val="000000"/>
                <w:sz w:val="18"/>
                <w:szCs w:val="18"/>
                <w:lang w:eastAsia="cs-CZ"/>
              </w:rPr>
            </w:pPr>
            <w:r w:rsidRPr="0042152A">
              <w:rPr>
                <w:rFonts w:ascii="Calibri" w:eastAsia="Times New Roman" w:hAnsi="Calibri" w:cs="Calibri"/>
                <w:b/>
                <w:bCs/>
                <w:color w:val="000000"/>
                <w:sz w:val="18"/>
                <w:szCs w:val="18"/>
                <w:lang w:eastAsia="cs-CZ"/>
              </w:rPr>
              <w:t>65 a více</w:t>
            </w:r>
          </w:p>
        </w:tc>
        <w:tc>
          <w:tcPr>
            <w:tcW w:w="898" w:type="pct"/>
            <w:vMerge/>
            <w:vAlign w:val="center"/>
            <w:hideMark/>
          </w:tcPr>
          <w:p w14:paraId="37BCFAB5" w14:textId="77777777" w:rsidR="007175FE" w:rsidRPr="0042152A" w:rsidRDefault="007175FE" w:rsidP="000C49A5">
            <w:pPr>
              <w:rPr>
                <w:rFonts w:ascii="Calibri" w:eastAsia="Times New Roman" w:hAnsi="Calibri" w:cs="Calibri"/>
                <w:b/>
                <w:bCs/>
                <w:color w:val="000000"/>
                <w:sz w:val="18"/>
                <w:szCs w:val="18"/>
                <w:lang w:eastAsia="cs-CZ"/>
              </w:rPr>
            </w:pPr>
          </w:p>
        </w:tc>
        <w:tc>
          <w:tcPr>
            <w:tcW w:w="428" w:type="pct"/>
            <w:vMerge/>
            <w:vAlign w:val="center"/>
            <w:hideMark/>
          </w:tcPr>
          <w:p w14:paraId="67EABCAE" w14:textId="77777777" w:rsidR="007175FE" w:rsidRPr="0042152A" w:rsidRDefault="007175FE" w:rsidP="000C49A5">
            <w:pPr>
              <w:rPr>
                <w:rFonts w:ascii="Calibri" w:eastAsia="Times New Roman" w:hAnsi="Calibri" w:cs="Calibri"/>
                <w:b/>
                <w:bCs/>
                <w:color w:val="000000"/>
                <w:sz w:val="18"/>
                <w:szCs w:val="18"/>
                <w:lang w:eastAsia="cs-CZ"/>
              </w:rPr>
            </w:pPr>
          </w:p>
        </w:tc>
      </w:tr>
      <w:tr w:rsidR="007175FE" w:rsidRPr="0042152A" w14:paraId="38109DF8" w14:textId="77777777" w:rsidTr="000C49A5">
        <w:trPr>
          <w:trHeight w:val="240"/>
        </w:trPr>
        <w:tc>
          <w:tcPr>
            <w:tcW w:w="935" w:type="pct"/>
            <w:shd w:val="clear" w:color="auto" w:fill="auto"/>
            <w:noWrap/>
            <w:vAlign w:val="center"/>
            <w:hideMark/>
          </w:tcPr>
          <w:p w14:paraId="6CE11B30" w14:textId="77777777" w:rsidR="007175FE" w:rsidRPr="0042152A" w:rsidRDefault="007175FE" w:rsidP="000C49A5">
            <w:pPr>
              <w:rPr>
                <w:rFonts w:ascii="Calibri" w:eastAsia="Times New Roman" w:hAnsi="Calibri" w:cs="Calibri"/>
                <w:color w:val="000000"/>
                <w:sz w:val="18"/>
                <w:szCs w:val="18"/>
                <w:lang w:eastAsia="cs-CZ"/>
              </w:rPr>
            </w:pPr>
            <w:r w:rsidRPr="0042152A">
              <w:rPr>
                <w:rFonts w:ascii="Calibri" w:eastAsia="Times New Roman" w:hAnsi="Calibri" w:cs="Calibri"/>
                <w:color w:val="000000"/>
                <w:sz w:val="18"/>
                <w:szCs w:val="18"/>
                <w:lang w:eastAsia="cs-CZ"/>
              </w:rPr>
              <w:t>Velmi nespokojen/a</w:t>
            </w:r>
          </w:p>
        </w:tc>
        <w:tc>
          <w:tcPr>
            <w:tcW w:w="392" w:type="pct"/>
            <w:shd w:val="clear" w:color="000000" w:fill="91B1D9"/>
            <w:noWrap/>
            <w:hideMark/>
          </w:tcPr>
          <w:p w14:paraId="12DCE67E"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3,7%</w:t>
            </w:r>
          </w:p>
        </w:tc>
        <w:tc>
          <w:tcPr>
            <w:tcW w:w="389" w:type="pct"/>
            <w:shd w:val="clear" w:color="000000" w:fill="87A9D5"/>
            <w:noWrap/>
            <w:hideMark/>
          </w:tcPr>
          <w:p w14:paraId="3F833289"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0,0%</w:t>
            </w:r>
          </w:p>
        </w:tc>
        <w:tc>
          <w:tcPr>
            <w:tcW w:w="391" w:type="pct"/>
            <w:shd w:val="clear" w:color="000000" w:fill="9AB7DC"/>
            <w:noWrap/>
            <w:hideMark/>
          </w:tcPr>
          <w:p w14:paraId="2736858B"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2,9%</w:t>
            </w:r>
          </w:p>
        </w:tc>
        <w:tc>
          <w:tcPr>
            <w:tcW w:w="626" w:type="pct"/>
            <w:shd w:val="clear" w:color="000000" w:fill="88AAD6"/>
            <w:noWrap/>
            <w:hideMark/>
          </w:tcPr>
          <w:p w14:paraId="71ADDBD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0,4%</w:t>
            </w:r>
          </w:p>
        </w:tc>
        <w:tc>
          <w:tcPr>
            <w:tcW w:w="469" w:type="pct"/>
            <w:shd w:val="clear" w:color="000000" w:fill="88AAD6"/>
            <w:noWrap/>
            <w:hideMark/>
          </w:tcPr>
          <w:p w14:paraId="35D6D537"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0,0%</w:t>
            </w:r>
          </w:p>
        </w:tc>
        <w:tc>
          <w:tcPr>
            <w:tcW w:w="471" w:type="pct"/>
            <w:shd w:val="clear" w:color="000000" w:fill="A9C2E2"/>
            <w:noWrap/>
            <w:hideMark/>
          </w:tcPr>
          <w:p w14:paraId="0DBE753A"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5,3%</w:t>
            </w:r>
          </w:p>
        </w:tc>
        <w:tc>
          <w:tcPr>
            <w:tcW w:w="898" w:type="pct"/>
            <w:shd w:val="clear" w:color="000000" w:fill="90B0D9"/>
            <w:noWrap/>
            <w:hideMark/>
          </w:tcPr>
          <w:p w14:paraId="5EA3E82B"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3,6%</w:t>
            </w:r>
          </w:p>
        </w:tc>
        <w:tc>
          <w:tcPr>
            <w:tcW w:w="428" w:type="pct"/>
            <w:shd w:val="clear" w:color="000000" w:fill="91B1D9"/>
            <w:noWrap/>
            <w:hideMark/>
          </w:tcPr>
          <w:p w14:paraId="510E990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3,7%</w:t>
            </w:r>
          </w:p>
        </w:tc>
      </w:tr>
      <w:tr w:rsidR="007175FE" w:rsidRPr="0042152A" w14:paraId="1AF8DD2A" w14:textId="77777777" w:rsidTr="000C49A5">
        <w:trPr>
          <w:trHeight w:val="240"/>
        </w:trPr>
        <w:tc>
          <w:tcPr>
            <w:tcW w:w="935" w:type="pct"/>
            <w:shd w:val="clear" w:color="auto" w:fill="auto"/>
            <w:noWrap/>
            <w:vAlign w:val="center"/>
            <w:hideMark/>
          </w:tcPr>
          <w:p w14:paraId="70890E6E" w14:textId="77777777" w:rsidR="007175FE" w:rsidRPr="0042152A" w:rsidRDefault="007175FE" w:rsidP="000C49A5">
            <w:pPr>
              <w:rPr>
                <w:rFonts w:ascii="Calibri" w:eastAsia="Times New Roman" w:hAnsi="Calibri" w:cs="Calibri"/>
                <w:color w:val="000000"/>
                <w:sz w:val="18"/>
                <w:szCs w:val="18"/>
                <w:lang w:eastAsia="cs-CZ"/>
              </w:rPr>
            </w:pPr>
            <w:r w:rsidRPr="0042152A">
              <w:rPr>
                <w:rFonts w:ascii="Calibri" w:eastAsia="Times New Roman" w:hAnsi="Calibri" w:cs="Calibri"/>
                <w:color w:val="000000"/>
                <w:sz w:val="18"/>
                <w:szCs w:val="18"/>
                <w:lang w:eastAsia="cs-CZ"/>
              </w:rPr>
              <w:t>Spíše nespokojen/a</w:t>
            </w:r>
          </w:p>
        </w:tc>
        <w:tc>
          <w:tcPr>
            <w:tcW w:w="392" w:type="pct"/>
            <w:shd w:val="clear" w:color="000000" w:fill="E4EBF6"/>
            <w:noWrap/>
            <w:hideMark/>
          </w:tcPr>
          <w:p w14:paraId="54FB7BE9"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9,2%</w:t>
            </w:r>
          </w:p>
        </w:tc>
        <w:tc>
          <w:tcPr>
            <w:tcW w:w="389" w:type="pct"/>
            <w:shd w:val="clear" w:color="000000" w:fill="F0F4FB"/>
            <w:noWrap/>
            <w:hideMark/>
          </w:tcPr>
          <w:p w14:paraId="4ECD6D7D"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3,0%</w:t>
            </w:r>
          </w:p>
        </w:tc>
        <w:tc>
          <w:tcPr>
            <w:tcW w:w="391" w:type="pct"/>
            <w:shd w:val="clear" w:color="000000" w:fill="DBE5F3"/>
            <w:noWrap/>
            <w:hideMark/>
          </w:tcPr>
          <w:p w14:paraId="39EE381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4,4%</w:t>
            </w:r>
          </w:p>
        </w:tc>
        <w:tc>
          <w:tcPr>
            <w:tcW w:w="626" w:type="pct"/>
            <w:shd w:val="clear" w:color="000000" w:fill="EFF2FA"/>
            <w:noWrap/>
            <w:hideMark/>
          </w:tcPr>
          <w:p w14:paraId="02E9ADFC"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3,1%</w:t>
            </w:r>
          </w:p>
        </w:tc>
        <w:tc>
          <w:tcPr>
            <w:tcW w:w="469" w:type="pct"/>
            <w:shd w:val="clear" w:color="000000" w:fill="F6F8FD"/>
            <w:noWrap/>
            <w:hideMark/>
          </w:tcPr>
          <w:p w14:paraId="59C44CCD"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3,1%</w:t>
            </w:r>
          </w:p>
        </w:tc>
        <w:tc>
          <w:tcPr>
            <w:tcW w:w="471" w:type="pct"/>
            <w:shd w:val="clear" w:color="000000" w:fill="BDCFE8"/>
            <w:noWrap/>
            <w:hideMark/>
          </w:tcPr>
          <w:p w14:paraId="5AC32D6A"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6,6%</w:t>
            </w:r>
          </w:p>
        </w:tc>
        <w:tc>
          <w:tcPr>
            <w:tcW w:w="898" w:type="pct"/>
            <w:shd w:val="clear" w:color="000000" w:fill="DBE5F3"/>
            <w:noWrap/>
            <w:hideMark/>
          </w:tcPr>
          <w:p w14:paraId="0CB21D4B"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8,6%</w:t>
            </w:r>
          </w:p>
        </w:tc>
        <w:tc>
          <w:tcPr>
            <w:tcW w:w="428" w:type="pct"/>
            <w:shd w:val="clear" w:color="000000" w:fill="C0D2EA"/>
            <w:noWrap/>
            <w:hideMark/>
          </w:tcPr>
          <w:p w14:paraId="281A7B4C"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6,8%</w:t>
            </w:r>
          </w:p>
        </w:tc>
      </w:tr>
      <w:tr w:rsidR="007175FE" w:rsidRPr="0042152A" w14:paraId="48372E8C" w14:textId="77777777" w:rsidTr="000C49A5">
        <w:trPr>
          <w:trHeight w:val="480"/>
        </w:trPr>
        <w:tc>
          <w:tcPr>
            <w:tcW w:w="935" w:type="pct"/>
            <w:shd w:val="clear" w:color="auto" w:fill="auto"/>
            <w:vAlign w:val="center"/>
            <w:hideMark/>
          </w:tcPr>
          <w:p w14:paraId="584963D5" w14:textId="77777777" w:rsidR="007175FE" w:rsidRPr="0042152A" w:rsidRDefault="007175FE" w:rsidP="000C49A5">
            <w:pPr>
              <w:rPr>
                <w:rFonts w:ascii="Calibri" w:eastAsia="Times New Roman" w:hAnsi="Calibri" w:cs="Calibri"/>
                <w:color w:val="000000"/>
                <w:sz w:val="18"/>
                <w:szCs w:val="18"/>
                <w:lang w:eastAsia="cs-CZ"/>
              </w:rPr>
            </w:pPr>
            <w:r w:rsidRPr="0042152A">
              <w:rPr>
                <w:rFonts w:ascii="Calibri" w:eastAsia="Times New Roman" w:hAnsi="Calibri" w:cs="Calibri"/>
                <w:color w:val="000000"/>
                <w:sz w:val="18"/>
                <w:szCs w:val="18"/>
                <w:lang w:eastAsia="cs-CZ"/>
              </w:rPr>
              <w:t>Ani spokojen/a, ani nespokojen/a</w:t>
            </w:r>
          </w:p>
        </w:tc>
        <w:tc>
          <w:tcPr>
            <w:tcW w:w="392" w:type="pct"/>
            <w:shd w:val="clear" w:color="000000" w:fill="FCF4F7"/>
            <w:noWrap/>
            <w:hideMark/>
          </w:tcPr>
          <w:p w14:paraId="1287B87A"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13,2%</w:t>
            </w:r>
          </w:p>
        </w:tc>
        <w:tc>
          <w:tcPr>
            <w:tcW w:w="389" w:type="pct"/>
            <w:shd w:val="clear" w:color="000000" w:fill="FCF3F6"/>
            <w:noWrap/>
            <w:hideMark/>
          </w:tcPr>
          <w:p w14:paraId="7BBCC87B"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10,0%</w:t>
            </w:r>
          </w:p>
        </w:tc>
        <w:tc>
          <w:tcPr>
            <w:tcW w:w="391" w:type="pct"/>
            <w:shd w:val="clear" w:color="000000" w:fill="FCF5F8"/>
            <w:noWrap/>
            <w:hideMark/>
          </w:tcPr>
          <w:p w14:paraId="1463FE50"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8,8%</w:t>
            </w:r>
          </w:p>
        </w:tc>
        <w:tc>
          <w:tcPr>
            <w:tcW w:w="626" w:type="pct"/>
            <w:shd w:val="clear" w:color="000000" w:fill="FCF8FB"/>
            <w:noWrap/>
            <w:hideMark/>
          </w:tcPr>
          <w:p w14:paraId="5B1FFEA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9,9%</w:t>
            </w:r>
          </w:p>
        </w:tc>
        <w:tc>
          <w:tcPr>
            <w:tcW w:w="469" w:type="pct"/>
            <w:shd w:val="clear" w:color="000000" w:fill="FCF1F4"/>
            <w:noWrap/>
            <w:hideMark/>
          </w:tcPr>
          <w:p w14:paraId="75784FD6"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10,4%</w:t>
            </w:r>
          </w:p>
        </w:tc>
        <w:tc>
          <w:tcPr>
            <w:tcW w:w="471" w:type="pct"/>
            <w:shd w:val="clear" w:color="000000" w:fill="FCF7FA"/>
            <w:noWrap/>
            <w:hideMark/>
          </w:tcPr>
          <w:p w14:paraId="239BAD6B"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12,3%</w:t>
            </w:r>
          </w:p>
        </w:tc>
        <w:tc>
          <w:tcPr>
            <w:tcW w:w="898" w:type="pct"/>
            <w:shd w:val="clear" w:color="000000" w:fill="FCF7FA"/>
            <w:noWrap/>
            <w:hideMark/>
          </w:tcPr>
          <w:p w14:paraId="2658B245"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12,3%</w:t>
            </w:r>
          </w:p>
        </w:tc>
        <w:tc>
          <w:tcPr>
            <w:tcW w:w="428" w:type="pct"/>
            <w:shd w:val="clear" w:color="000000" w:fill="FCFBFE"/>
            <w:noWrap/>
            <w:hideMark/>
          </w:tcPr>
          <w:p w14:paraId="33BBD716"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11,1%</w:t>
            </w:r>
          </w:p>
        </w:tc>
      </w:tr>
      <w:tr w:rsidR="007175FE" w:rsidRPr="0042152A" w14:paraId="62EC3AB7" w14:textId="77777777" w:rsidTr="000C49A5">
        <w:trPr>
          <w:trHeight w:val="240"/>
        </w:trPr>
        <w:tc>
          <w:tcPr>
            <w:tcW w:w="935" w:type="pct"/>
            <w:shd w:val="clear" w:color="auto" w:fill="auto"/>
            <w:noWrap/>
            <w:vAlign w:val="center"/>
            <w:hideMark/>
          </w:tcPr>
          <w:p w14:paraId="08019C9C" w14:textId="77777777" w:rsidR="007175FE" w:rsidRPr="0042152A" w:rsidRDefault="007175FE" w:rsidP="000C49A5">
            <w:pPr>
              <w:rPr>
                <w:rFonts w:ascii="Calibri" w:eastAsia="Times New Roman" w:hAnsi="Calibri" w:cs="Calibri"/>
                <w:color w:val="000000"/>
                <w:sz w:val="18"/>
                <w:szCs w:val="18"/>
                <w:lang w:eastAsia="cs-CZ"/>
              </w:rPr>
            </w:pPr>
            <w:r w:rsidRPr="0042152A">
              <w:rPr>
                <w:rFonts w:ascii="Calibri" w:eastAsia="Times New Roman" w:hAnsi="Calibri" w:cs="Calibri"/>
                <w:color w:val="000000"/>
                <w:sz w:val="18"/>
                <w:szCs w:val="18"/>
                <w:lang w:eastAsia="cs-CZ"/>
              </w:rPr>
              <w:t>Spíše spokojen/a</w:t>
            </w:r>
          </w:p>
        </w:tc>
        <w:tc>
          <w:tcPr>
            <w:tcW w:w="392" w:type="pct"/>
            <w:shd w:val="clear" w:color="000000" w:fill="F97072"/>
            <w:noWrap/>
            <w:hideMark/>
          </w:tcPr>
          <w:p w14:paraId="40E1C7CA"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53,2%</w:t>
            </w:r>
          </w:p>
        </w:tc>
        <w:tc>
          <w:tcPr>
            <w:tcW w:w="389" w:type="pct"/>
            <w:shd w:val="clear" w:color="000000" w:fill="F8696B"/>
            <w:noWrap/>
            <w:hideMark/>
          </w:tcPr>
          <w:p w14:paraId="30BA7649"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55,1%</w:t>
            </w:r>
          </w:p>
        </w:tc>
        <w:tc>
          <w:tcPr>
            <w:tcW w:w="391" w:type="pct"/>
            <w:shd w:val="clear" w:color="000000" w:fill="F97678"/>
            <w:noWrap/>
            <w:hideMark/>
          </w:tcPr>
          <w:p w14:paraId="7C58A98E"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13,2%</w:t>
            </w:r>
          </w:p>
        </w:tc>
        <w:tc>
          <w:tcPr>
            <w:tcW w:w="626" w:type="pct"/>
            <w:shd w:val="clear" w:color="000000" w:fill="F97C7E"/>
            <w:noWrap/>
            <w:hideMark/>
          </w:tcPr>
          <w:p w14:paraId="706DA106"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12,3%</w:t>
            </w:r>
          </w:p>
        </w:tc>
        <w:tc>
          <w:tcPr>
            <w:tcW w:w="469" w:type="pct"/>
            <w:shd w:val="clear" w:color="000000" w:fill="F96C6E"/>
            <w:noWrap/>
            <w:hideMark/>
          </w:tcPr>
          <w:p w14:paraId="38C74782"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54,1%</w:t>
            </w:r>
          </w:p>
        </w:tc>
        <w:tc>
          <w:tcPr>
            <w:tcW w:w="471" w:type="pct"/>
            <w:shd w:val="clear" w:color="000000" w:fill="F96D6F"/>
            <w:noWrap/>
            <w:hideMark/>
          </w:tcPr>
          <w:p w14:paraId="500F2875"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53,7%</w:t>
            </w:r>
          </w:p>
        </w:tc>
        <w:tc>
          <w:tcPr>
            <w:tcW w:w="898" w:type="pct"/>
            <w:shd w:val="clear" w:color="000000" w:fill="F97B7D"/>
            <w:noWrap/>
            <w:hideMark/>
          </w:tcPr>
          <w:p w14:paraId="708FEF5C"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49,6%</w:t>
            </w:r>
          </w:p>
        </w:tc>
        <w:tc>
          <w:tcPr>
            <w:tcW w:w="428" w:type="pct"/>
            <w:shd w:val="clear" w:color="000000" w:fill="F98183"/>
            <w:noWrap/>
            <w:hideMark/>
          </w:tcPr>
          <w:p w14:paraId="5CDE9AF9"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47,9%</w:t>
            </w:r>
          </w:p>
        </w:tc>
      </w:tr>
      <w:tr w:rsidR="007175FE" w:rsidRPr="0042152A" w14:paraId="5AE63280" w14:textId="77777777" w:rsidTr="000C49A5">
        <w:trPr>
          <w:trHeight w:val="240"/>
        </w:trPr>
        <w:tc>
          <w:tcPr>
            <w:tcW w:w="935" w:type="pct"/>
            <w:shd w:val="clear" w:color="auto" w:fill="auto"/>
            <w:noWrap/>
            <w:vAlign w:val="center"/>
            <w:hideMark/>
          </w:tcPr>
          <w:p w14:paraId="1B956CC7" w14:textId="77777777" w:rsidR="007175FE" w:rsidRPr="0042152A" w:rsidRDefault="007175FE" w:rsidP="000C49A5">
            <w:pPr>
              <w:rPr>
                <w:rFonts w:ascii="Calibri" w:eastAsia="Times New Roman" w:hAnsi="Calibri" w:cs="Calibri"/>
                <w:color w:val="000000"/>
                <w:sz w:val="18"/>
                <w:szCs w:val="18"/>
                <w:lang w:eastAsia="cs-CZ"/>
              </w:rPr>
            </w:pPr>
            <w:r w:rsidRPr="0042152A">
              <w:rPr>
                <w:rFonts w:ascii="Calibri" w:eastAsia="Times New Roman" w:hAnsi="Calibri" w:cs="Calibri"/>
                <w:color w:val="000000"/>
                <w:sz w:val="18"/>
                <w:szCs w:val="18"/>
                <w:lang w:eastAsia="cs-CZ"/>
              </w:rPr>
              <w:t>Velmi spokojen/a</w:t>
            </w:r>
          </w:p>
        </w:tc>
        <w:tc>
          <w:tcPr>
            <w:tcW w:w="392" w:type="pct"/>
            <w:shd w:val="clear" w:color="000000" w:fill="FCDFE2"/>
            <w:noWrap/>
            <w:hideMark/>
          </w:tcPr>
          <w:p w14:paraId="4E7AD028"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19,6%</w:t>
            </w:r>
          </w:p>
        </w:tc>
        <w:tc>
          <w:tcPr>
            <w:tcW w:w="389" w:type="pct"/>
            <w:shd w:val="clear" w:color="000000" w:fill="FCE2E5"/>
            <w:noWrap/>
            <w:hideMark/>
          </w:tcPr>
          <w:p w14:paraId="58905B68"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54,8%</w:t>
            </w:r>
          </w:p>
        </w:tc>
        <w:tc>
          <w:tcPr>
            <w:tcW w:w="391" w:type="pct"/>
            <w:shd w:val="clear" w:color="000000" w:fill="FCDDDF"/>
            <w:noWrap/>
            <w:hideMark/>
          </w:tcPr>
          <w:p w14:paraId="350F8C8F"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52,6%</w:t>
            </w:r>
          </w:p>
        </w:tc>
        <w:tc>
          <w:tcPr>
            <w:tcW w:w="626" w:type="pct"/>
            <w:shd w:val="clear" w:color="000000" w:fill="FBCCCF"/>
            <w:noWrap/>
            <w:hideMark/>
          </w:tcPr>
          <w:p w14:paraId="3090136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49,4%</w:t>
            </w:r>
          </w:p>
        </w:tc>
        <w:tc>
          <w:tcPr>
            <w:tcW w:w="469" w:type="pct"/>
            <w:shd w:val="clear" w:color="000000" w:fill="FCE4E6"/>
            <w:noWrap/>
            <w:hideMark/>
          </w:tcPr>
          <w:p w14:paraId="22444A6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54,2%</w:t>
            </w:r>
          </w:p>
        </w:tc>
        <w:tc>
          <w:tcPr>
            <w:tcW w:w="471" w:type="pct"/>
            <w:shd w:val="clear" w:color="000000" w:fill="FCE8EB"/>
            <w:noWrap/>
            <w:hideMark/>
          </w:tcPr>
          <w:p w14:paraId="30E6326C"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16,9%</w:t>
            </w:r>
          </w:p>
        </w:tc>
        <w:tc>
          <w:tcPr>
            <w:tcW w:w="898" w:type="pct"/>
            <w:shd w:val="clear" w:color="000000" w:fill="FBCDD0"/>
            <w:noWrap/>
            <w:hideMark/>
          </w:tcPr>
          <w:p w14:paraId="0A292225"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25,0%</w:t>
            </w:r>
          </w:p>
        </w:tc>
        <w:tc>
          <w:tcPr>
            <w:tcW w:w="428" w:type="pct"/>
            <w:shd w:val="clear" w:color="000000" w:fill="FBBCBF"/>
            <w:noWrap/>
            <w:hideMark/>
          </w:tcPr>
          <w:p w14:paraId="670F8ECD"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30,0%</w:t>
            </w:r>
          </w:p>
        </w:tc>
      </w:tr>
      <w:tr w:rsidR="007175FE" w:rsidRPr="0042152A" w14:paraId="10150CA3" w14:textId="77777777" w:rsidTr="000C49A5">
        <w:trPr>
          <w:trHeight w:val="240"/>
        </w:trPr>
        <w:tc>
          <w:tcPr>
            <w:tcW w:w="935" w:type="pct"/>
            <w:shd w:val="clear" w:color="auto" w:fill="auto"/>
            <w:noWrap/>
            <w:vAlign w:val="center"/>
            <w:hideMark/>
          </w:tcPr>
          <w:p w14:paraId="4C2C4525" w14:textId="77777777" w:rsidR="007175FE" w:rsidRPr="0042152A" w:rsidRDefault="007175FE" w:rsidP="000C49A5">
            <w:pPr>
              <w:rPr>
                <w:rFonts w:ascii="Calibri" w:eastAsia="Times New Roman" w:hAnsi="Calibri" w:cs="Calibri"/>
                <w:color w:val="000000"/>
                <w:sz w:val="18"/>
                <w:szCs w:val="18"/>
                <w:lang w:eastAsia="cs-CZ"/>
              </w:rPr>
            </w:pPr>
            <w:r w:rsidRPr="0042152A">
              <w:rPr>
                <w:rFonts w:ascii="Calibri" w:eastAsia="Times New Roman" w:hAnsi="Calibri" w:cs="Calibri"/>
                <w:color w:val="000000"/>
                <w:sz w:val="18"/>
                <w:szCs w:val="18"/>
                <w:lang w:eastAsia="cs-CZ"/>
              </w:rPr>
              <w:t>Nemohu posoudit</w:t>
            </w:r>
          </w:p>
        </w:tc>
        <w:tc>
          <w:tcPr>
            <w:tcW w:w="392" w:type="pct"/>
            <w:shd w:val="clear" w:color="000000" w:fill="7099CD"/>
            <w:noWrap/>
            <w:hideMark/>
          </w:tcPr>
          <w:p w14:paraId="596584D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1,5%</w:t>
            </w:r>
          </w:p>
        </w:tc>
        <w:tc>
          <w:tcPr>
            <w:tcW w:w="389" w:type="pct"/>
            <w:shd w:val="clear" w:color="000000" w:fill="5A8AC6"/>
            <w:noWrap/>
            <w:hideMark/>
          </w:tcPr>
          <w:p w14:paraId="26A520BE"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18,7%</w:t>
            </w:r>
          </w:p>
        </w:tc>
        <w:tc>
          <w:tcPr>
            <w:tcW w:w="391" w:type="pct"/>
            <w:shd w:val="clear" w:color="000000" w:fill="84A7D4"/>
            <w:noWrap/>
            <w:hideMark/>
          </w:tcPr>
          <w:p w14:paraId="27E5D232"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20,9%</w:t>
            </w:r>
          </w:p>
        </w:tc>
        <w:tc>
          <w:tcPr>
            <w:tcW w:w="626" w:type="pct"/>
            <w:shd w:val="clear" w:color="000000" w:fill="608EC8"/>
            <w:noWrap/>
            <w:hideMark/>
          </w:tcPr>
          <w:p w14:paraId="36BD9258"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25,4%</w:t>
            </w:r>
          </w:p>
        </w:tc>
        <w:tc>
          <w:tcPr>
            <w:tcW w:w="469" w:type="pct"/>
            <w:shd w:val="clear" w:color="000000" w:fill="5A8AC6"/>
            <w:noWrap/>
            <w:hideMark/>
          </w:tcPr>
          <w:p w14:paraId="21A40D1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18,2%</w:t>
            </w:r>
          </w:p>
        </w:tc>
        <w:tc>
          <w:tcPr>
            <w:tcW w:w="471" w:type="pct"/>
            <w:shd w:val="clear" w:color="000000" w:fill="A8C1E1"/>
            <w:noWrap/>
            <w:hideMark/>
          </w:tcPr>
          <w:p w14:paraId="2D960983"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5,2%</w:t>
            </w:r>
          </w:p>
        </w:tc>
        <w:tc>
          <w:tcPr>
            <w:tcW w:w="898" w:type="pct"/>
            <w:shd w:val="clear" w:color="000000" w:fill="6793CA"/>
            <w:noWrap/>
            <w:hideMark/>
          </w:tcPr>
          <w:p w14:paraId="6FF7B33D"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0,9%</w:t>
            </w:r>
          </w:p>
        </w:tc>
        <w:tc>
          <w:tcPr>
            <w:tcW w:w="428" w:type="pct"/>
            <w:shd w:val="clear" w:color="000000" w:fill="618FC8"/>
            <w:noWrap/>
            <w:hideMark/>
          </w:tcPr>
          <w:p w14:paraId="0CA42466"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0,5%</w:t>
            </w:r>
          </w:p>
        </w:tc>
      </w:tr>
      <w:tr w:rsidR="007175FE" w:rsidRPr="0042152A" w14:paraId="55513093" w14:textId="77777777" w:rsidTr="000C49A5">
        <w:trPr>
          <w:trHeight w:val="240"/>
        </w:trPr>
        <w:tc>
          <w:tcPr>
            <w:tcW w:w="935" w:type="pct"/>
            <w:shd w:val="clear" w:color="auto" w:fill="auto"/>
            <w:noWrap/>
            <w:vAlign w:val="bottom"/>
            <w:hideMark/>
          </w:tcPr>
          <w:p w14:paraId="129289CE" w14:textId="77777777" w:rsidR="007175FE" w:rsidRPr="0042152A" w:rsidRDefault="007175FE" w:rsidP="000C49A5">
            <w:pPr>
              <w:rPr>
                <w:rFonts w:ascii="Calibri" w:eastAsia="Times New Roman" w:hAnsi="Calibri" w:cs="Calibri"/>
                <w:color w:val="000000"/>
                <w:sz w:val="18"/>
                <w:szCs w:val="18"/>
                <w:lang w:eastAsia="cs-CZ"/>
              </w:rPr>
            </w:pPr>
            <w:r w:rsidRPr="0042152A">
              <w:rPr>
                <w:rFonts w:ascii="Calibri" w:eastAsia="Times New Roman" w:hAnsi="Calibri" w:cs="Calibri"/>
                <w:color w:val="000000"/>
                <w:sz w:val="18"/>
                <w:szCs w:val="18"/>
                <w:lang w:eastAsia="cs-CZ"/>
              </w:rPr>
              <w:t>Celkem</w:t>
            </w:r>
          </w:p>
        </w:tc>
        <w:tc>
          <w:tcPr>
            <w:tcW w:w="392" w:type="pct"/>
            <w:shd w:val="clear" w:color="auto" w:fill="auto"/>
            <w:noWrap/>
            <w:hideMark/>
          </w:tcPr>
          <w:p w14:paraId="1ABD6D58"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100,4%</w:t>
            </w:r>
          </w:p>
        </w:tc>
        <w:tc>
          <w:tcPr>
            <w:tcW w:w="389" w:type="pct"/>
            <w:shd w:val="clear" w:color="auto" w:fill="auto"/>
            <w:noWrap/>
            <w:hideMark/>
          </w:tcPr>
          <w:p w14:paraId="701883B6"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141,6%</w:t>
            </w:r>
          </w:p>
        </w:tc>
        <w:tc>
          <w:tcPr>
            <w:tcW w:w="391" w:type="pct"/>
            <w:shd w:val="clear" w:color="auto" w:fill="auto"/>
            <w:noWrap/>
            <w:hideMark/>
          </w:tcPr>
          <w:p w14:paraId="7781C68A"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102,8%</w:t>
            </w:r>
          </w:p>
        </w:tc>
        <w:tc>
          <w:tcPr>
            <w:tcW w:w="626" w:type="pct"/>
            <w:shd w:val="clear" w:color="auto" w:fill="auto"/>
            <w:noWrap/>
            <w:hideMark/>
          </w:tcPr>
          <w:p w14:paraId="48AA8BDA"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100,5%</w:t>
            </w:r>
          </w:p>
        </w:tc>
        <w:tc>
          <w:tcPr>
            <w:tcW w:w="469" w:type="pct"/>
            <w:shd w:val="clear" w:color="auto" w:fill="auto"/>
            <w:noWrap/>
            <w:hideMark/>
          </w:tcPr>
          <w:p w14:paraId="51C3FD7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140,0%</w:t>
            </w:r>
          </w:p>
        </w:tc>
        <w:tc>
          <w:tcPr>
            <w:tcW w:w="471" w:type="pct"/>
            <w:shd w:val="clear" w:color="auto" w:fill="auto"/>
            <w:noWrap/>
            <w:hideMark/>
          </w:tcPr>
          <w:p w14:paraId="66DEAA52"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100,0%</w:t>
            </w:r>
          </w:p>
        </w:tc>
        <w:tc>
          <w:tcPr>
            <w:tcW w:w="898" w:type="pct"/>
            <w:shd w:val="clear" w:color="auto" w:fill="auto"/>
            <w:noWrap/>
            <w:hideMark/>
          </w:tcPr>
          <w:p w14:paraId="0738F691"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100,0%</w:t>
            </w:r>
          </w:p>
        </w:tc>
        <w:tc>
          <w:tcPr>
            <w:tcW w:w="428" w:type="pct"/>
            <w:shd w:val="clear" w:color="auto" w:fill="auto"/>
            <w:noWrap/>
            <w:hideMark/>
          </w:tcPr>
          <w:p w14:paraId="2F57C5EF" w14:textId="77777777" w:rsidR="007175FE" w:rsidRPr="003D492B" w:rsidRDefault="007175FE" w:rsidP="000C49A5">
            <w:pPr>
              <w:jc w:val="right"/>
              <w:rPr>
                <w:rFonts w:eastAsia="Times New Roman" w:cstheme="minorHAnsi"/>
                <w:color w:val="000000"/>
                <w:sz w:val="18"/>
                <w:szCs w:val="18"/>
                <w:lang w:eastAsia="cs-CZ"/>
              </w:rPr>
            </w:pPr>
            <w:r w:rsidRPr="003D492B">
              <w:rPr>
                <w:rFonts w:cstheme="minorHAnsi"/>
                <w:sz w:val="18"/>
                <w:szCs w:val="18"/>
              </w:rPr>
              <w:t>100,0%</w:t>
            </w:r>
          </w:p>
        </w:tc>
      </w:tr>
    </w:tbl>
    <w:p w14:paraId="26C14D92" w14:textId="27AA640E"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A70EEC">
        <w:rPr>
          <w:rFonts w:asciiTheme="minorHAnsi" w:hAnsiTheme="minorHAnsi" w:cstheme="minorHAnsi"/>
        </w:rPr>
        <w:t>;</w:t>
      </w:r>
      <w:r w:rsidRPr="00DA7ABE">
        <w:rPr>
          <w:rFonts w:asciiTheme="minorHAnsi" w:hAnsiTheme="minorHAnsi" w:cstheme="minorHAnsi"/>
        </w:rPr>
        <w:t xml:space="preserve"> Otázka 1.</w:t>
      </w:r>
      <w:r w:rsidR="00A70EEC">
        <w:rPr>
          <w:rFonts w:asciiTheme="minorHAnsi" w:hAnsiTheme="minorHAnsi" w:cstheme="minorHAnsi"/>
        </w:rPr>
        <w:t>:</w:t>
      </w:r>
      <w:r w:rsidRPr="00DA7ABE">
        <w:rPr>
          <w:rFonts w:asciiTheme="minorHAnsi" w:hAnsiTheme="minorHAnsi" w:cstheme="minorHAnsi"/>
        </w:rPr>
        <w:t xml:space="preserve"> Jak jste spokojeni se životem ve Zlíně?</w:t>
      </w:r>
    </w:p>
    <w:p w14:paraId="60C9AF88" w14:textId="77777777" w:rsidR="007175FE" w:rsidRDefault="007175FE" w:rsidP="007175FE">
      <w:pPr>
        <w:pStyle w:val="Nadpis3"/>
      </w:pPr>
      <w:bookmarkStart w:id="575" w:name="_Toc50116442"/>
      <w:bookmarkStart w:id="576" w:name="_Toc77074622"/>
      <w:r>
        <w:t>Co se mi ve Zlíně líbí</w:t>
      </w:r>
      <w:bookmarkEnd w:id="575"/>
      <w:bookmarkEnd w:id="576"/>
    </w:p>
    <w:p w14:paraId="345FD7E9" w14:textId="77777777" w:rsidR="007175FE" w:rsidRDefault="007175FE" w:rsidP="007175FE">
      <w:pPr>
        <w:rPr>
          <w:rFonts w:cstheme="minorHAnsi"/>
        </w:rPr>
      </w:pPr>
      <w:r w:rsidRPr="00DA7ABE">
        <w:rPr>
          <w:rFonts w:cstheme="minorHAnsi"/>
        </w:rPr>
        <w:t>Mezi odpověďmi na otázku, co se respondentům ve Zlíně nejvíce líbí, jednoznačně dominovala zeleň a</w:t>
      </w:r>
      <w:r>
        <w:rPr>
          <w:rFonts w:cstheme="minorHAnsi"/>
        </w:rPr>
        <w:t> </w:t>
      </w:r>
      <w:r w:rsidRPr="00DA7ABE">
        <w:rPr>
          <w:rFonts w:cstheme="minorHAnsi"/>
        </w:rPr>
        <w:t>parky</w:t>
      </w:r>
      <w:r>
        <w:rPr>
          <w:rFonts w:cstheme="minorHAnsi"/>
        </w:rPr>
        <w:t>, kdy respondenti často uváděli pouze pojem „zeleň“, případně slovní spojení „zelené město“</w:t>
      </w:r>
      <w:r w:rsidRPr="00DA7ABE">
        <w:rPr>
          <w:rFonts w:cstheme="minorHAnsi"/>
        </w:rPr>
        <w:t xml:space="preserve">. </w:t>
      </w:r>
      <w:r>
        <w:rPr>
          <w:rFonts w:cstheme="minorHAnsi"/>
        </w:rPr>
        <w:t>Mezi parky se kromě pouhého slova „parky“ zmiňovala slovní spojení „parky v centru“, „nové parky“, „upravené parky“. Chválena byla květinová výzdoba. Podobně jako parky byla zmiňována také příroda, která je uvedena v kategorii zvlášť. Zvlášť je uveden také konkrétní park Komenského.</w:t>
      </w:r>
    </w:p>
    <w:p w14:paraId="5BEAE7E0" w14:textId="77777777" w:rsidR="007175FE" w:rsidRDefault="007175FE" w:rsidP="007175FE">
      <w:pPr>
        <w:rPr>
          <w:rFonts w:cstheme="minorHAnsi"/>
        </w:rPr>
      </w:pPr>
      <w:r w:rsidRPr="00DA7ABE">
        <w:rPr>
          <w:rFonts w:cstheme="minorHAnsi"/>
        </w:rPr>
        <w:t xml:space="preserve">Dále </w:t>
      </w:r>
      <w:r>
        <w:rPr>
          <w:rFonts w:cstheme="minorHAnsi"/>
        </w:rPr>
        <w:t xml:space="preserve">respondenti </w:t>
      </w:r>
      <w:r w:rsidRPr="00DA7ABE">
        <w:rPr>
          <w:rFonts w:cstheme="minorHAnsi"/>
        </w:rPr>
        <w:t>psali o architektuře města</w:t>
      </w:r>
      <w:r>
        <w:rPr>
          <w:rFonts w:cstheme="minorHAnsi"/>
        </w:rPr>
        <w:t xml:space="preserve"> (většinou zmiňováno pouze heslo „architektura“ nebo „Baťovská“ či „typická“ architektura, psáno ale také ve smyslu „moderní architektura“)</w:t>
      </w:r>
      <w:r w:rsidRPr="00DA7ABE">
        <w:rPr>
          <w:rFonts w:cstheme="minorHAnsi"/>
        </w:rPr>
        <w:t xml:space="preserve">, o klidu či atmosféře města. </w:t>
      </w:r>
      <w:r>
        <w:rPr>
          <w:rFonts w:cstheme="minorHAnsi"/>
        </w:rPr>
        <w:t>Respondenti zmiňovali slovo „kultura“, v případě, kdy je dále rozepisovali, objevovala se slovní spojení „možnost kulturního vyžití“ či „kulturní akce“. Odpověď, která je níže označena souhrnným pojmem „Blízkost“ byla popisována také jako „kompaktnost“ nebo „dostupnost“, většinou ve smyslu dosažitelnosti potřebných lokalit/služeb pěšky nebo pomocí MHD. MHD je také znázorněna samostatným bodem, kdy respondenti většinou uváděli pouze heslo „MHD“ nebo si pochvalovali dobrou dostupnost MHD. Mezi nejčastějšími odpověďmi se vyskytují také např. hesla „cyklostezky“ (nejčastěji ve smyslu jejich budování), „Baťa“ (dědictví, odkaz, historie, architektura) a „doprava“ (dostupnost, rekonstrukce komunikací apod.).</w:t>
      </w:r>
    </w:p>
    <w:p w14:paraId="5DCE5B3C" w14:textId="794AF601" w:rsidR="007175FE" w:rsidRDefault="007175FE" w:rsidP="007175FE">
      <w:pPr>
        <w:rPr>
          <w:rFonts w:cstheme="minorHAnsi"/>
        </w:rPr>
      </w:pPr>
      <w:r>
        <w:rPr>
          <w:rFonts w:cstheme="minorHAnsi"/>
        </w:rPr>
        <w:t>Veškeré o</w:t>
      </w:r>
      <w:r w:rsidRPr="00DA7ABE">
        <w:rPr>
          <w:rFonts w:cstheme="minorHAnsi"/>
        </w:rPr>
        <w:t xml:space="preserve">dpovědi jsou znázorněny </w:t>
      </w:r>
      <w:r>
        <w:rPr>
          <w:rFonts w:cstheme="minorHAnsi"/>
        </w:rPr>
        <w:t>na</w:t>
      </w:r>
      <w:r w:rsidRPr="00DA7ABE">
        <w:rPr>
          <w:rFonts w:cstheme="minorHAnsi"/>
        </w:rPr>
        <w:t xml:space="preserve"> obrázku </w:t>
      </w:r>
      <w:r w:rsidR="003C47B2">
        <w:rPr>
          <w:rFonts w:cstheme="minorHAnsi"/>
        </w:rPr>
        <w:t xml:space="preserve">2.5 </w:t>
      </w:r>
      <w:r>
        <w:rPr>
          <w:rFonts w:cstheme="minorHAnsi"/>
        </w:rPr>
        <w:t>(velikost písma znázorňuje četnost odpověd</w:t>
      </w:r>
      <w:r w:rsidR="00A70EEC">
        <w:rPr>
          <w:rFonts w:cstheme="minorHAnsi"/>
        </w:rPr>
        <w:t>í</w:t>
      </w:r>
      <w:r>
        <w:rPr>
          <w:rFonts w:cstheme="minorHAnsi"/>
        </w:rPr>
        <w:t>, barvy jsou voleny náhodně)</w:t>
      </w:r>
      <w:r w:rsidRPr="00DA7ABE">
        <w:rPr>
          <w:rFonts w:cstheme="minorHAnsi"/>
        </w:rPr>
        <w:t>, dvacet nejčastějších odpovědí i</w:t>
      </w:r>
      <w:r>
        <w:rPr>
          <w:rFonts w:cstheme="minorHAnsi"/>
        </w:rPr>
        <w:t> </w:t>
      </w:r>
      <w:r w:rsidRPr="00DA7ABE">
        <w:rPr>
          <w:rFonts w:cstheme="minorHAnsi"/>
        </w:rPr>
        <w:t>s počtem jejich výskyt</w:t>
      </w:r>
      <w:r>
        <w:rPr>
          <w:rFonts w:cstheme="minorHAnsi"/>
        </w:rPr>
        <w:t>ů</w:t>
      </w:r>
      <w:r w:rsidRPr="00DA7ABE">
        <w:rPr>
          <w:rFonts w:cstheme="minorHAnsi"/>
        </w:rPr>
        <w:t xml:space="preserve"> popisuje tabulka </w:t>
      </w:r>
      <w:r w:rsidR="00EA4CBD">
        <w:rPr>
          <w:rFonts w:cstheme="minorHAnsi"/>
        </w:rPr>
        <w:t>2.6</w:t>
      </w:r>
      <w:r w:rsidRPr="00DA7ABE">
        <w:rPr>
          <w:rFonts w:cstheme="minorHAnsi"/>
        </w:rPr>
        <w:t>.</w:t>
      </w:r>
      <w:r>
        <w:rPr>
          <w:rFonts w:cstheme="minorHAnsi"/>
        </w:rPr>
        <w:t xml:space="preserve"> </w:t>
      </w:r>
    </w:p>
    <w:p w14:paraId="508EE4FD" w14:textId="4D042D18" w:rsidR="007175FE" w:rsidRPr="00DA7ABE" w:rsidRDefault="007175FE" w:rsidP="007175FE">
      <w:pPr>
        <w:pStyle w:val="Titulek"/>
        <w:keepNext/>
        <w:keepLines/>
        <w:rPr>
          <w:rFonts w:cstheme="minorHAnsi"/>
        </w:rPr>
      </w:pPr>
      <w:bookmarkStart w:id="577" w:name="_Toc54702777"/>
      <w:bookmarkStart w:id="578" w:name="_Toc56179584"/>
      <w:bookmarkStart w:id="579" w:name="_Toc77074926"/>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5</w:t>
      </w:r>
      <w:r w:rsidR="0096730F">
        <w:rPr>
          <w:rFonts w:cstheme="minorHAnsi"/>
        </w:rPr>
        <w:fldChar w:fldCharType="end"/>
      </w:r>
      <w:r w:rsidR="00A70EEC">
        <w:rPr>
          <w:rFonts w:cstheme="minorHAnsi"/>
        </w:rPr>
        <w:t>:</w:t>
      </w:r>
      <w:r>
        <w:rPr>
          <w:rFonts w:cstheme="minorHAnsi"/>
        </w:rPr>
        <w:t xml:space="preserve"> </w:t>
      </w:r>
      <w:r w:rsidRPr="00DA7ABE">
        <w:rPr>
          <w:rFonts w:cstheme="minorHAnsi"/>
        </w:rPr>
        <w:t>Co se respondentům na Zlíně nejvíce líbí</w:t>
      </w:r>
      <w:bookmarkEnd w:id="577"/>
      <w:bookmarkEnd w:id="578"/>
      <w:bookmarkEnd w:id="579"/>
    </w:p>
    <w:p w14:paraId="14F38FBC" w14:textId="77777777" w:rsidR="007175FE" w:rsidRPr="00DA7ABE" w:rsidRDefault="007175FE" w:rsidP="007175FE">
      <w:pPr>
        <w:rPr>
          <w:rFonts w:cstheme="minorHAnsi"/>
        </w:rPr>
      </w:pPr>
      <w:r w:rsidRPr="00DA7ABE">
        <w:rPr>
          <w:rFonts w:cstheme="minorHAnsi"/>
          <w:noProof/>
          <w:lang w:eastAsia="cs-CZ"/>
        </w:rPr>
        <w:drawing>
          <wp:inline distT="0" distB="0" distL="0" distR="0" wp14:anchorId="6EBB7672" wp14:editId="28BBF557">
            <wp:extent cx="5760000" cy="5760000"/>
            <wp:effectExtent l="114300" t="114300" r="165100" b="165100"/>
            <wp:docPr id="356"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ROCES\04_Projekty\2020_SP_Zlin\03_Pruzkum\OO\o2.png"/>
                    <pic:cNvPicPr>
                      <a:picLocks noChangeAspect="1" noChangeArrowheads="1"/>
                    </pic:cNvPicPr>
                  </pic:nvPicPr>
                  <pic:blipFill>
                    <a:blip r:embed="rId229" cstate="print">
                      <a:extLst>
                        <a:ext uri="{28A0092B-C50C-407E-A947-70E740481C1C}">
                          <a14:useLocalDpi xmlns:a14="http://schemas.microsoft.com/office/drawing/2010/main" val="0"/>
                        </a:ext>
                      </a:extLst>
                    </a:blip>
                    <a:stretch>
                      <a:fillRect/>
                    </a:stretch>
                  </pic:blipFill>
                  <pic:spPr bwMode="auto">
                    <a:xfrm>
                      <a:off x="0" y="0"/>
                      <a:ext cx="5760000" cy="5760000"/>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AA43C2E" w14:textId="77777777" w:rsidR="00A70EEC" w:rsidRDefault="007175FE" w:rsidP="00A70EEC">
      <w:pPr>
        <w:pStyle w:val="zdroj0"/>
        <w:spacing w:after="0"/>
        <w:contextualSpacing/>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A70EEC">
        <w:rPr>
          <w:rFonts w:asciiTheme="minorHAnsi" w:hAnsiTheme="minorHAnsi" w:cstheme="minorHAnsi"/>
        </w:rPr>
        <w:t>;</w:t>
      </w:r>
      <w:r w:rsidRPr="00DA7ABE">
        <w:rPr>
          <w:rFonts w:asciiTheme="minorHAnsi" w:hAnsiTheme="minorHAnsi" w:cstheme="minorHAnsi"/>
        </w:rPr>
        <w:t xml:space="preserve"> Otázka 2.</w:t>
      </w:r>
      <w:r w:rsidR="00A70EEC">
        <w:rPr>
          <w:rFonts w:asciiTheme="minorHAnsi" w:hAnsiTheme="minorHAnsi" w:cstheme="minorHAnsi"/>
        </w:rPr>
        <w:t>:</w:t>
      </w:r>
      <w:r w:rsidRPr="00DA7ABE">
        <w:rPr>
          <w:rFonts w:asciiTheme="minorHAnsi" w:hAnsiTheme="minorHAnsi" w:cstheme="minorHAnsi"/>
        </w:rPr>
        <w:t xml:space="preserve"> Co se Vám ve Zlíně nejvíce líbí? </w:t>
      </w:r>
    </w:p>
    <w:p w14:paraId="781E758D" w14:textId="77777777" w:rsidR="00EA4CBD" w:rsidRDefault="007175FE" w:rsidP="00EA4CBD">
      <w:pPr>
        <w:pStyle w:val="zdroj0"/>
        <w:spacing w:after="0"/>
        <w:contextualSpacing/>
        <w:jc w:val="both"/>
        <w:rPr>
          <w:rFonts w:asciiTheme="minorHAnsi" w:hAnsiTheme="minorHAnsi" w:cstheme="minorHAnsi"/>
        </w:rPr>
      </w:pPr>
      <w:r w:rsidRPr="00DA7ABE">
        <w:rPr>
          <w:rFonts w:asciiTheme="minorHAnsi" w:hAnsiTheme="minorHAnsi" w:cstheme="minorHAnsi"/>
        </w:rP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w:t>
      </w:r>
      <w:bookmarkStart w:id="580" w:name="_Toc54702778"/>
    </w:p>
    <w:p w14:paraId="1CD9B6C3" w14:textId="77777777" w:rsidR="00EA4CBD" w:rsidRDefault="00EA4CBD" w:rsidP="00EA4CBD">
      <w:pPr>
        <w:pStyle w:val="zdroj0"/>
        <w:spacing w:after="0"/>
        <w:contextualSpacing/>
        <w:jc w:val="both"/>
        <w:rPr>
          <w:rFonts w:asciiTheme="minorHAnsi" w:hAnsiTheme="minorHAnsi" w:cstheme="minorHAnsi"/>
        </w:rPr>
      </w:pPr>
    </w:p>
    <w:p w14:paraId="00F13054" w14:textId="0CD1702D" w:rsidR="007175FE" w:rsidRPr="00EA4CBD" w:rsidRDefault="00EA4CBD" w:rsidP="00EA4CBD">
      <w:pPr>
        <w:pStyle w:val="Titulek"/>
        <w:keepNext/>
        <w:rPr>
          <w:rFonts w:cstheme="minorHAnsi"/>
        </w:rPr>
      </w:pPr>
      <w:bookmarkStart w:id="581" w:name="_Toc56179427"/>
      <w:bookmarkStart w:id="582" w:name="_Toc57731785"/>
      <w:bookmarkStart w:id="583" w:name="_Toc7707476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6</w:t>
      </w:r>
      <w:r w:rsidR="004857C6">
        <w:rPr>
          <w:noProof/>
        </w:rPr>
        <w:fldChar w:fldCharType="end"/>
      </w:r>
      <w:r>
        <w:t>:</w:t>
      </w:r>
      <w:r w:rsidRPr="00DA7ABE">
        <w:rPr>
          <w:rFonts w:cstheme="minorHAnsi"/>
        </w:rPr>
        <w:t xml:space="preserve"> </w:t>
      </w:r>
      <w:r w:rsidR="007175FE" w:rsidRPr="00DA7ABE">
        <w:rPr>
          <w:rFonts w:cstheme="minorHAnsi"/>
        </w:rPr>
        <w:t>Co se respondentům na Zlíně nejvíce líbí – 20 nejčastějších odpovědí</w:t>
      </w:r>
      <w:bookmarkEnd w:id="580"/>
      <w:bookmarkEnd w:id="581"/>
      <w:bookmarkEnd w:id="582"/>
      <w:bookmarkEnd w:id="583"/>
      <w:r w:rsidR="007175FE">
        <w:rPr>
          <w:rFonts w:cstheme="minorHAnsi"/>
        </w:rPr>
        <w:t xml:space="preserve"> </w:t>
      </w: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
        <w:gridCol w:w="1836"/>
        <w:gridCol w:w="1928"/>
        <w:gridCol w:w="503"/>
        <w:gridCol w:w="2126"/>
        <w:gridCol w:w="1928"/>
      </w:tblGrid>
      <w:tr w:rsidR="007175FE" w:rsidRPr="00DA7ABE" w14:paraId="19ABAE04" w14:textId="77777777" w:rsidTr="000C49A5">
        <w:trPr>
          <w:trHeight w:hRule="exact" w:val="289"/>
        </w:trPr>
        <w:tc>
          <w:tcPr>
            <w:tcW w:w="0" w:type="auto"/>
            <w:shd w:val="clear" w:color="000000" w:fill="F2F2F2"/>
            <w:vAlign w:val="center"/>
            <w:hideMark/>
          </w:tcPr>
          <w:p w14:paraId="3FD7ACA8" w14:textId="77777777" w:rsidR="007175FE" w:rsidRPr="00DA7ABE" w:rsidRDefault="007175FE" w:rsidP="007175FE">
            <w:pPr>
              <w:keepNext/>
              <w:spacing w:before="100" w:beforeAutospacing="1"/>
              <w:rPr>
                <w:rFonts w:cstheme="minorHAnsi"/>
                <w:b/>
                <w:bCs/>
                <w:color w:val="000000"/>
                <w:sz w:val="18"/>
                <w:szCs w:val="18"/>
              </w:rPr>
            </w:pPr>
            <w:r w:rsidRPr="00DA7ABE">
              <w:rPr>
                <w:rFonts w:cstheme="minorHAnsi"/>
                <w:b/>
                <w:bCs/>
                <w:color w:val="000000"/>
                <w:sz w:val="18"/>
                <w:szCs w:val="18"/>
              </w:rPr>
              <w:t>#</w:t>
            </w:r>
          </w:p>
        </w:tc>
        <w:tc>
          <w:tcPr>
            <w:tcW w:w="0" w:type="auto"/>
            <w:shd w:val="clear" w:color="000000" w:fill="F2F2F2"/>
            <w:vAlign w:val="center"/>
            <w:hideMark/>
          </w:tcPr>
          <w:p w14:paraId="50076DF7" w14:textId="77777777" w:rsidR="007175FE" w:rsidRPr="00DA7ABE" w:rsidRDefault="007175FE" w:rsidP="007175FE">
            <w:pPr>
              <w:keepNext/>
              <w:spacing w:before="100" w:beforeAutospacing="1"/>
              <w:rPr>
                <w:rFonts w:cstheme="minorHAnsi"/>
                <w:b/>
                <w:bCs/>
                <w:color w:val="000000"/>
                <w:sz w:val="18"/>
                <w:szCs w:val="18"/>
              </w:rPr>
            </w:pPr>
            <w:r w:rsidRPr="00DA7ABE">
              <w:rPr>
                <w:rFonts w:cstheme="minorHAnsi"/>
                <w:b/>
                <w:bCs/>
                <w:color w:val="000000"/>
                <w:sz w:val="18"/>
                <w:szCs w:val="18"/>
              </w:rPr>
              <w:t>Co se Vám líbí</w:t>
            </w:r>
          </w:p>
        </w:tc>
        <w:tc>
          <w:tcPr>
            <w:tcW w:w="0" w:type="auto"/>
            <w:shd w:val="clear" w:color="000000" w:fill="F2F2F2"/>
            <w:noWrap/>
            <w:vAlign w:val="center"/>
            <w:hideMark/>
          </w:tcPr>
          <w:p w14:paraId="4812863B" w14:textId="77777777" w:rsidR="007175FE" w:rsidRPr="00DA7ABE" w:rsidRDefault="007175FE" w:rsidP="007175FE">
            <w:pPr>
              <w:keepNext/>
              <w:spacing w:before="100" w:beforeAutospacing="1"/>
              <w:rPr>
                <w:rFonts w:cstheme="minorHAnsi"/>
                <w:b/>
                <w:bCs/>
                <w:color w:val="000000"/>
                <w:sz w:val="18"/>
                <w:szCs w:val="18"/>
              </w:rPr>
            </w:pPr>
            <w:r w:rsidRPr="00DA7ABE">
              <w:rPr>
                <w:rFonts w:cstheme="minorHAnsi"/>
                <w:b/>
                <w:bCs/>
                <w:color w:val="000000"/>
                <w:sz w:val="18"/>
                <w:szCs w:val="18"/>
              </w:rPr>
              <w:t>Počet respondentů</w:t>
            </w:r>
          </w:p>
        </w:tc>
        <w:tc>
          <w:tcPr>
            <w:tcW w:w="503" w:type="dxa"/>
            <w:shd w:val="clear" w:color="000000" w:fill="F2F2F2"/>
            <w:vAlign w:val="center"/>
            <w:hideMark/>
          </w:tcPr>
          <w:p w14:paraId="09B455AF" w14:textId="77777777" w:rsidR="007175FE" w:rsidRPr="00DA7ABE" w:rsidRDefault="007175FE" w:rsidP="007175FE">
            <w:pPr>
              <w:keepNext/>
              <w:spacing w:before="100" w:beforeAutospacing="1"/>
              <w:rPr>
                <w:rFonts w:cstheme="minorHAnsi"/>
                <w:b/>
                <w:bCs/>
                <w:color w:val="000000"/>
                <w:sz w:val="18"/>
                <w:szCs w:val="18"/>
              </w:rPr>
            </w:pPr>
            <w:r w:rsidRPr="00DA7ABE">
              <w:rPr>
                <w:rFonts w:cstheme="minorHAnsi"/>
                <w:b/>
                <w:bCs/>
                <w:color w:val="000000"/>
                <w:sz w:val="18"/>
                <w:szCs w:val="18"/>
              </w:rPr>
              <w:t>#</w:t>
            </w:r>
          </w:p>
        </w:tc>
        <w:tc>
          <w:tcPr>
            <w:tcW w:w="2126" w:type="dxa"/>
            <w:shd w:val="clear" w:color="000000" w:fill="F2F2F2"/>
            <w:vAlign w:val="center"/>
            <w:hideMark/>
          </w:tcPr>
          <w:p w14:paraId="6647E2A7" w14:textId="77777777" w:rsidR="007175FE" w:rsidRPr="00DA7ABE" w:rsidRDefault="007175FE" w:rsidP="007175FE">
            <w:pPr>
              <w:keepNext/>
              <w:spacing w:before="100" w:beforeAutospacing="1"/>
              <w:rPr>
                <w:rFonts w:cstheme="minorHAnsi"/>
                <w:b/>
                <w:bCs/>
                <w:color w:val="000000"/>
                <w:sz w:val="18"/>
                <w:szCs w:val="18"/>
              </w:rPr>
            </w:pPr>
            <w:r w:rsidRPr="00DA7ABE">
              <w:rPr>
                <w:rFonts w:cstheme="minorHAnsi"/>
                <w:b/>
                <w:bCs/>
                <w:color w:val="000000"/>
                <w:sz w:val="18"/>
                <w:szCs w:val="18"/>
              </w:rPr>
              <w:t>Co se Vám líbí</w:t>
            </w:r>
          </w:p>
        </w:tc>
        <w:tc>
          <w:tcPr>
            <w:tcW w:w="0" w:type="auto"/>
            <w:shd w:val="clear" w:color="000000" w:fill="F2F2F2"/>
            <w:noWrap/>
            <w:vAlign w:val="center"/>
            <w:hideMark/>
          </w:tcPr>
          <w:p w14:paraId="6ECF16D4" w14:textId="77777777" w:rsidR="007175FE" w:rsidRPr="00DA7ABE" w:rsidRDefault="007175FE" w:rsidP="007175FE">
            <w:pPr>
              <w:keepNext/>
              <w:spacing w:before="100" w:beforeAutospacing="1"/>
              <w:rPr>
                <w:rFonts w:cstheme="minorHAnsi"/>
                <w:b/>
                <w:bCs/>
                <w:color w:val="000000"/>
                <w:sz w:val="18"/>
                <w:szCs w:val="18"/>
              </w:rPr>
            </w:pPr>
            <w:r w:rsidRPr="00DA7ABE">
              <w:rPr>
                <w:rFonts w:cstheme="minorHAnsi"/>
                <w:b/>
                <w:bCs/>
                <w:color w:val="000000"/>
                <w:sz w:val="18"/>
                <w:szCs w:val="18"/>
              </w:rPr>
              <w:t>Počet respondentů</w:t>
            </w:r>
          </w:p>
        </w:tc>
      </w:tr>
      <w:tr w:rsidR="007175FE" w:rsidRPr="00DA7ABE" w14:paraId="0FF14FC4" w14:textId="77777777" w:rsidTr="000C49A5">
        <w:trPr>
          <w:trHeight w:hRule="exact" w:val="289"/>
        </w:trPr>
        <w:tc>
          <w:tcPr>
            <w:tcW w:w="0" w:type="auto"/>
            <w:shd w:val="clear" w:color="auto" w:fill="F2F2F2" w:themeFill="background1" w:themeFillShade="F2"/>
            <w:noWrap/>
            <w:vAlign w:val="bottom"/>
            <w:hideMark/>
          </w:tcPr>
          <w:p w14:paraId="6A3F919D"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w:t>
            </w:r>
          </w:p>
        </w:tc>
        <w:tc>
          <w:tcPr>
            <w:tcW w:w="0" w:type="auto"/>
            <w:shd w:val="clear" w:color="auto" w:fill="F2F2F2" w:themeFill="background1" w:themeFillShade="F2"/>
            <w:noWrap/>
            <w:vAlign w:val="bottom"/>
            <w:hideMark/>
          </w:tcPr>
          <w:p w14:paraId="23C21CC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Parky a zeleň</w:t>
            </w:r>
          </w:p>
        </w:tc>
        <w:tc>
          <w:tcPr>
            <w:tcW w:w="0" w:type="auto"/>
            <w:shd w:val="clear" w:color="auto" w:fill="auto"/>
            <w:noWrap/>
            <w:vAlign w:val="bottom"/>
            <w:hideMark/>
          </w:tcPr>
          <w:p w14:paraId="68D7224F"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532</w:t>
            </w:r>
          </w:p>
        </w:tc>
        <w:tc>
          <w:tcPr>
            <w:tcW w:w="503" w:type="dxa"/>
            <w:shd w:val="clear" w:color="auto" w:fill="F2F2F2" w:themeFill="background1" w:themeFillShade="F2"/>
            <w:noWrap/>
            <w:vAlign w:val="bottom"/>
            <w:hideMark/>
          </w:tcPr>
          <w:p w14:paraId="204C21FE"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11</w:t>
            </w:r>
          </w:p>
        </w:tc>
        <w:tc>
          <w:tcPr>
            <w:tcW w:w="2126" w:type="dxa"/>
            <w:shd w:val="clear" w:color="auto" w:fill="F2F2F2" w:themeFill="background1" w:themeFillShade="F2"/>
            <w:noWrap/>
            <w:vAlign w:val="bottom"/>
            <w:hideMark/>
          </w:tcPr>
          <w:p w14:paraId="23C0D954"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MHD</w:t>
            </w:r>
          </w:p>
        </w:tc>
        <w:tc>
          <w:tcPr>
            <w:tcW w:w="0" w:type="auto"/>
            <w:shd w:val="clear" w:color="auto" w:fill="auto"/>
            <w:noWrap/>
            <w:vAlign w:val="bottom"/>
            <w:hideMark/>
          </w:tcPr>
          <w:p w14:paraId="385E2D01"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51</w:t>
            </w:r>
          </w:p>
        </w:tc>
      </w:tr>
      <w:tr w:rsidR="007175FE" w:rsidRPr="00DA7ABE" w14:paraId="1F8C6E5D" w14:textId="77777777" w:rsidTr="000C49A5">
        <w:trPr>
          <w:trHeight w:hRule="exact" w:val="289"/>
        </w:trPr>
        <w:tc>
          <w:tcPr>
            <w:tcW w:w="0" w:type="auto"/>
            <w:shd w:val="clear" w:color="auto" w:fill="F2F2F2" w:themeFill="background1" w:themeFillShade="F2"/>
            <w:noWrap/>
            <w:vAlign w:val="bottom"/>
            <w:hideMark/>
          </w:tcPr>
          <w:p w14:paraId="378DC1DC"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2</w:t>
            </w:r>
          </w:p>
        </w:tc>
        <w:tc>
          <w:tcPr>
            <w:tcW w:w="0" w:type="auto"/>
            <w:shd w:val="clear" w:color="auto" w:fill="F2F2F2" w:themeFill="background1" w:themeFillShade="F2"/>
            <w:vAlign w:val="bottom"/>
            <w:hideMark/>
          </w:tcPr>
          <w:p w14:paraId="5452DC7A"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Architektura</w:t>
            </w:r>
          </w:p>
        </w:tc>
        <w:tc>
          <w:tcPr>
            <w:tcW w:w="0" w:type="auto"/>
            <w:shd w:val="clear" w:color="auto" w:fill="auto"/>
            <w:noWrap/>
            <w:vAlign w:val="bottom"/>
            <w:hideMark/>
          </w:tcPr>
          <w:p w14:paraId="09E12012"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140</w:t>
            </w:r>
          </w:p>
        </w:tc>
        <w:tc>
          <w:tcPr>
            <w:tcW w:w="503" w:type="dxa"/>
            <w:shd w:val="clear" w:color="auto" w:fill="F2F2F2" w:themeFill="background1" w:themeFillShade="F2"/>
            <w:noWrap/>
            <w:vAlign w:val="bottom"/>
            <w:hideMark/>
          </w:tcPr>
          <w:p w14:paraId="1C980DA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12</w:t>
            </w:r>
          </w:p>
        </w:tc>
        <w:tc>
          <w:tcPr>
            <w:tcW w:w="2126" w:type="dxa"/>
            <w:shd w:val="clear" w:color="auto" w:fill="F2F2F2" w:themeFill="background1" w:themeFillShade="F2"/>
            <w:noWrap/>
            <w:vAlign w:val="bottom"/>
            <w:hideMark/>
          </w:tcPr>
          <w:p w14:paraId="1050CBF0"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Bezpečí</w:t>
            </w:r>
          </w:p>
        </w:tc>
        <w:tc>
          <w:tcPr>
            <w:tcW w:w="0" w:type="auto"/>
            <w:shd w:val="clear" w:color="auto" w:fill="auto"/>
            <w:noWrap/>
            <w:vAlign w:val="bottom"/>
            <w:hideMark/>
          </w:tcPr>
          <w:p w14:paraId="06AC6ADE"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49</w:t>
            </w:r>
          </w:p>
        </w:tc>
      </w:tr>
      <w:tr w:rsidR="007175FE" w:rsidRPr="00DA7ABE" w14:paraId="74D55561" w14:textId="77777777" w:rsidTr="000C49A5">
        <w:trPr>
          <w:trHeight w:hRule="exact" w:val="289"/>
        </w:trPr>
        <w:tc>
          <w:tcPr>
            <w:tcW w:w="0" w:type="auto"/>
            <w:shd w:val="clear" w:color="auto" w:fill="F2F2F2" w:themeFill="background1" w:themeFillShade="F2"/>
            <w:noWrap/>
            <w:vAlign w:val="bottom"/>
            <w:hideMark/>
          </w:tcPr>
          <w:p w14:paraId="6972A39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3</w:t>
            </w:r>
          </w:p>
        </w:tc>
        <w:tc>
          <w:tcPr>
            <w:tcW w:w="0" w:type="auto"/>
            <w:shd w:val="clear" w:color="auto" w:fill="F2F2F2" w:themeFill="background1" w:themeFillShade="F2"/>
            <w:noWrap/>
            <w:vAlign w:val="bottom"/>
            <w:hideMark/>
          </w:tcPr>
          <w:p w14:paraId="6DFB1F2A"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Příroda</w:t>
            </w:r>
          </w:p>
        </w:tc>
        <w:tc>
          <w:tcPr>
            <w:tcW w:w="0" w:type="auto"/>
            <w:shd w:val="clear" w:color="auto" w:fill="auto"/>
            <w:noWrap/>
            <w:vAlign w:val="bottom"/>
            <w:hideMark/>
          </w:tcPr>
          <w:p w14:paraId="55E76E64"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125</w:t>
            </w:r>
          </w:p>
        </w:tc>
        <w:tc>
          <w:tcPr>
            <w:tcW w:w="503" w:type="dxa"/>
            <w:shd w:val="clear" w:color="auto" w:fill="F2F2F2" w:themeFill="background1" w:themeFillShade="F2"/>
            <w:noWrap/>
            <w:vAlign w:val="bottom"/>
            <w:hideMark/>
          </w:tcPr>
          <w:p w14:paraId="2A82CDF8"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13</w:t>
            </w:r>
          </w:p>
        </w:tc>
        <w:tc>
          <w:tcPr>
            <w:tcW w:w="2126" w:type="dxa"/>
            <w:shd w:val="clear" w:color="auto" w:fill="F2F2F2" w:themeFill="background1" w:themeFillShade="F2"/>
            <w:noWrap/>
            <w:vAlign w:val="bottom"/>
            <w:hideMark/>
          </w:tcPr>
          <w:p w14:paraId="77245C30"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Cyklostezky</w:t>
            </w:r>
          </w:p>
        </w:tc>
        <w:tc>
          <w:tcPr>
            <w:tcW w:w="0" w:type="auto"/>
            <w:shd w:val="clear" w:color="auto" w:fill="auto"/>
            <w:noWrap/>
            <w:vAlign w:val="bottom"/>
            <w:hideMark/>
          </w:tcPr>
          <w:p w14:paraId="48F18703"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41</w:t>
            </w:r>
          </w:p>
        </w:tc>
      </w:tr>
      <w:tr w:rsidR="007175FE" w:rsidRPr="00DA7ABE" w14:paraId="50C4486F" w14:textId="77777777" w:rsidTr="000C49A5">
        <w:trPr>
          <w:trHeight w:hRule="exact" w:val="289"/>
        </w:trPr>
        <w:tc>
          <w:tcPr>
            <w:tcW w:w="0" w:type="auto"/>
            <w:shd w:val="clear" w:color="auto" w:fill="F2F2F2" w:themeFill="background1" w:themeFillShade="F2"/>
            <w:noWrap/>
            <w:vAlign w:val="bottom"/>
            <w:hideMark/>
          </w:tcPr>
          <w:p w14:paraId="37395B88"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4</w:t>
            </w:r>
          </w:p>
        </w:tc>
        <w:tc>
          <w:tcPr>
            <w:tcW w:w="0" w:type="auto"/>
            <w:shd w:val="clear" w:color="auto" w:fill="F2F2F2" w:themeFill="background1" w:themeFillShade="F2"/>
            <w:noWrap/>
            <w:vAlign w:val="bottom"/>
            <w:hideMark/>
          </w:tcPr>
          <w:p w14:paraId="2E793C7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Klid</w:t>
            </w:r>
          </w:p>
        </w:tc>
        <w:tc>
          <w:tcPr>
            <w:tcW w:w="0" w:type="auto"/>
            <w:shd w:val="clear" w:color="auto" w:fill="auto"/>
            <w:noWrap/>
            <w:vAlign w:val="bottom"/>
            <w:hideMark/>
          </w:tcPr>
          <w:p w14:paraId="7C113C5A"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92</w:t>
            </w:r>
          </w:p>
        </w:tc>
        <w:tc>
          <w:tcPr>
            <w:tcW w:w="503" w:type="dxa"/>
            <w:shd w:val="clear" w:color="auto" w:fill="F2F2F2" w:themeFill="background1" w:themeFillShade="F2"/>
            <w:noWrap/>
            <w:vAlign w:val="bottom"/>
            <w:hideMark/>
          </w:tcPr>
          <w:p w14:paraId="3C453F75"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14</w:t>
            </w:r>
          </w:p>
        </w:tc>
        <w:tc>
          <w:tcPr>
            <w:tcW w:w="2126" w:type="dxa"/>
            <w:shd w:val="clear" w:color="auto" w:fill="F2F2F2" w:themeFill="background1" w:themeFillShade="F2"/>
            <w:noWrap/>
            <w:vAlign w:val="bottom"/>
            <w:hideMark/>
          </w:tcPr>
          <w:p w14:paraId="47A0419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Čistota</w:t>
            </w:r>
          </w:p>
        </w:tc>
        <w:tc>
          <w:tcPr>
            <w:tcW w:w="0" w:type="auto"/>
            <w:shd w:val="clear" w:color="auto" w:fill="auto"/>
            <w:noWrap/>
            <w:vAlign w:val="bottom"/>
            <w:hideMark/>
          </w:tcPr>
          <w:p w14:paraId="6A01591B"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40</w:t>
            </w:r>
          </w:p>
        </w:tc>
      </w:tr>
      <w:tr w:rsidR="007175FE" w:rsidRPr="00DA7ABE" w14:paraId="646C409D" w14:textId="77777777" w:rsidTr="000C49A5">
        <w:trPr>
          <w:trHeight w:hRule="exact" w:val="289"/>
        </w:trPr>
        <w:tc>
          <w:tcPr>
            <w:tcW w:w="0" w:type="auto"/>
            <w:shd w:val="clear" w:color="auto" w:fill="F2F2F2" w:themeFill="background1" w:themeFillShade="F2"/>
            <w:noWrap/>
            <w:vAlign w:val="bottom"/>
            <w:hideMark/>
          </w:tcPr>
          <w:p w14:paraId="151BAC2F"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5</w:t>
            </w:r>
          </w:p>
        </w:tc>
        <w:tc>
          <w:tcPr>
            <w:tcW w:w="0" w:type="auto"/>
            <w:shd w:val="clear" w:color="auto" w:fill="F2F2F2" w:themeFill="background1" w:themeFillShade="F2"/>
            <w:noWrap/>
            <w:vAlign w:val="bottom"/>
            <w:hideMark/>
          </w:tcPr>
          <w:p w14:paraId="61A94317"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Kultura</w:t>
            </w:r>
          </w:p>
        </w:tc>
        <w:tc>
          <w:tcPr>
            <w:tcW w:w="0" w:type="auto"/>
            <w:shd w:val="clear" w:color="auto" w:fill="auto"/>
            <w:noWrap/>
            <w:vAlign w:val="bottom"/>
            <w:hideMark/>
          </w:tcPr>
          <w:p w14:paraId="357FB627"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78</w:t>
            </w:r>
          </w:p>
        </w:tc>
        <w:tc>
          <w:tcPr>
            <w:tcW w:w="503" w:type="dxa"/>
            <w:shd w:val="clear" w:color="auto" w:fill="F2F2F2" w:themeFill="background1" w:themeFillShade="F2"/>
            <w:noWrap/>
            <w:vAlign w:val="bottom"/>
            <w:hideMark/>
          </w:tcPr>
          <w:p w14:paraId="7F7BC61D"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15</w:t>
            </w:r>
          </w:p>
        </w:tc>
        <w:tc>
          <w:tcPr>
            <w:tcW w:w="2126" w:type="dxa"/>
            <w:shd w:val="clear" w:color="auto" w:fill="F2F2F2" w:themeFill="background1" w:themeFillShade="F2"/>
            <w:noWrap/>
            <w:vAlign w:val="bottom"/>
            <w:hideMark/>
          </w:tcPr>
          <w:p w14:paraId="4A6C3F78"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Sport</w:t>
            </w:r>
          </w:p>
        </w:tc>
        <w:tc>
          <w:tcPr>
            <w:tcW w:w="0" w:type="auto"/>
            <w:shd w:val="clear" w:color="auto" w:fill="auto"/>
            <w:noWrap/>
            <w:vAlign w:val="bottom"/>
            <w:hideMark/>
          </w:tcPr>
          <w:p w14:paraId="35CBBF07"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40</w:t>
            </w:r>
          </w:p>
        </w:tc>
      </w:tr>
      <w:tr w:rsidR="007175FE" w:rsidRPr="00DA7ABE" w14:paraId="72DA3C38" w14:textId="77777777" w:rsidTr="000C49A5">
        <w:trPr>
          <w:trHeight w:hRule="exact" w:val="289"/>
        </w:trPr>
        <w:tc>
          <w:tcPr>
            <w:tcW w:w="0" w:type="auto"/>
            <w:shd w:val="clear" w:color="auto" w:fill="F2F2F2" w:themeFill="background1" w:themeFillShade="F2"/>
            <w:noWrap/>
            <w:vAlign w:val="bottom"/>
            <w:hideMark/>
          </w:tcPr>
          <w:p w14:paraId="27F7B568"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6</w:t>
            </w:r>
          </w:p>
        </w:tc>
        <w:tc>
          <w:tcPr>
            <w:tcW w:w="0" w:type="auto"/>
            <w:shd w:val="clear" w:color="auto" w:fill="F2F2F2" w:themeFill="background1" w:themeFillShade="F2"/>
            <w:noWrap/>
            <w:vAlign w:val="bottom"/>
            <w:hideMark/>
          </w:tcPr>
          <w:p w14:paraId="64F71F9C"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Atmosféra</w:t>
            </w:r>
          </w:p>
        </w:tc>
        <w:tc>
          <w:tcPr>
            <w:tcW w:w="0" w:type="auto"/>
            <w:shd w:val="clear" w:color="auto" w:fill="auto"/>
            <w:noWrap/>
            <w:vAlign w:val="bottom"/>
            <w:hideMark/>
          </w:tcPr>
          <w:p w14:paraId="778492CA"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59</w:t>
            </w:r>
          </w:p>
        </w:tc>
        <w:tc>
          <w:tcPr>
            <w:tcW w:w="503" w:type="dxa"/>
            <w:shd w:val="clear" w:color="auto" w:fill="F2F2F2" w:themeFill="background1" w:themeFillShade="F2"/>
            <w:noWrap/>
            <w:vAlign w:val="bottom"/>
            <w:hideMark/>
          </w:tcPr>
          <w:p w14:paraId="3400378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16</w:t>
            </w:r>
          </w:p>
        </w:tc>
        <w:tc>
          <w:tcPr>
            <w:tcW w:w="2126" w:type="dxa"/>
            <w:shd w:val="clear" w:color="auto" w:fill="F2F2F2" w:themeFill="background1" w:themeFillShade="F2"/>
            <w:noWrap/>
            <w:vAlign w:val="bottom"/>
            <w:hideMark/>
          </w:tcPr>
          <w:p w14:paraId="075F48D5"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Volnočasové aktivity</w:t>
            </w:r>
          </w:p>
        </w:tc>
        <w:tc>
          <w:tcPr>
            <w:tcW w:w="0" w:type="auto"/>
            <w:shd w:val="clear" w:color="auto" w:fill="auto"/>
            <w:noWrap/>
            <w:vAlign w:val="bottom"/>
            <w:hideMark/>
          </w:tcPr>
          <w:p w14:paraId="6D79C07C"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34</w:t>
            </w:r>
          </w:p>
        </w:tc>
      </w:tr>
      <w:tr w:rsidR="007175FE" w:rsidRPr="00DA7ABE" w14:paraId="5B2F5266" w14:textId="77777777" w:rsidTr="000C49A5">
        <w:trPr>
          <w:trHeight w:hRule="exact" w:val="289"/>
        </w:trPr>
        <w:tc>
          <w:tcPr>
            <w:tcW w:w="0" w:type="auto"/>
            <w:shd w:val="clear" w:color="auto" w:fill="F2F2F2" w:themeFill="background1" w:themeFillShade="F2"/>
            <w:noWrap/>
            <w:vAlign w:val="bottom"/>
            <w:hideMark/>
          </w:tcPr>
          <w:p w14:paraId="39453531"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7</w:t>
            </w:r>
          </w:p>
        </w:tc>
        <w:tc>
          <w:tcPr>
            <w:tcW w:w="0" w:type="auto"/>
            <w:shd w:val="clear" w:color="auto" w:fill="F2F2F2" w:themeFill="background1" w:themeFillShade="F2"/>
            <w:noWrap/>
            <w:vAlign w:val="bottom"/>
            <w:hideMark/>
          </w:tcPr>
          <w:p w14:paraId="2F167497" w14:textId="77777777" w:rsidR="007175FE" w:rsidRPr="00DA7ABE" w:rsidRDefault="007175FE" w:rsidP="007175FE">
            <w:pPr>
              <w:keepNext/>
              <w:spacing w:before="100" w:beforeAutospacing="1"/>
              <w:rPr>
                <w:rFonts w:cstheme="minorHAnsi"/>
                <w:b/>
                <w:color w:val="000000"/>
                <w:sz w:val="18"/>
                <w:szCs w:val="18"/>
              </w:rPr>
            </w:pPr>
            <w:r>
              <w:rPr>
                <w:rFonts w:cstheme="minorHAnsi"/>
                <w:b/>
                <w:color w:val="000000"/>
                <w:sz w:val="18"/>
                <w:szCs w:val="18"/>
              </w:rPr>
              <w:t>Blízkost</w:t>
            </w:r>
          </w:p>
        </w:tc>
        <w:tc>
          <w:tcPr>
            <w:tcW w:w="0" w:type="auto"/>
            <w:shd w:val="clear" w:color="auto" w:fill="auto"/>
            <w:noWrap/>
            <w:vAlign w:val="bottom"/>
            <w:hideMark/>
          </w:tcPr>
          <w:p w14:paraId="0B838BE4"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58</w:t>
            </w:r>
          </w:p>
        </w:tc>
        <w:tc>
          <w:tcPr>
            <w:tcW w:w="503" w:type="dxa"/>
            <w:shd w:val="clear" w:color="auto" w:fill="F2F2F2" w:themeFill="background1" w:themeFillShade="F2"/>
            <w:noWrap/>
            <w:vAlign w:val="bottom"/>
            <w:hideMark/>
          </w:tcPr>
          <w:p w14:paraId="509A64CC"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17</w:t>
            </w:r>
          </w:p>
        </w:tc>
        <w:tc>
          <w:tcPr>
            <w:tcW w:w="2126" w:type="dxa"/>
            <w:shd w:val="clear" w:color="auto" w:fill="F2F2F2" w:themeFill="background1" w:themeFillShade="F2"/>
            <w:noWrap/>
            <w:vAlign w:val="bottom"/>
            <w:hideMark/>
          </w:tcPr>
          <w:p w14:paraId="4E19BE13"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Baťa</w:t>
            </w:r>
          </w:p>
        </w:tc>
        <w:tc>
          <w:tcPr>
            <w:tcW w:w="0" w:type="auto"/>
            <w:shd w:val="clear" w:color="auto" w:fill="auto"/>
            <w:noWrap/>
            <w:vAlign w:val="bottom"/>
            <w:hideMark/>
          </w:tcPr>
          <w:p w14:paraId="4C9DC22F"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32</w:t>
            </w:r>
          </w:p>
        </w:tc>
      </w:tr>
      <w:tr w:rsidR="007175FE" w:rsidRPr="00DA7ABE" w14:paraId="6AE35E71" w14:textId="77777777" w:rsidTr="000C49A5">
        <w:trPr>
          <w:trHeight w:hRule="exact" w:val="289"/>
        </w:trPr>
        <w:tc>
          <w:tcPr>
            <w:tcW w:w="0" w:type="auto"/>
            <w:shd w:val="clear" w:color="auto" w:fill="F2F2F2" w:themeFill="background1" w:themeFillShade="F2"/>
            <w:noWrap/>
            <w:vAlign w:val="bottom"/>
            <w:hideMark/>
          </w:tcPr>
          <w:p w14:paraId="4178FE47"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8</w:t>
            </w:r>
          </w:p>
        </w:tc>
        <w:tc>
          <w:tcPr>
            <w:tcW w:w="0" w:type="auto"/>
            <w:shd w:val="clear" w:color="auto" w:fill="F2F2F2" w:themeFill="background1" w:themeFillShade="F2"/>
            <w:noWrap/>
            <w:vAlign w:val="bottom"/>
            <w:hideMark/>
          </w:tcPr>
          <w:p w14:paraId="59BFC0DC"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Služby</w:t>
            </w:r>
          </w:p>
        </w:tc>
        <w:tc>
          <w:tcPr>
            <w:tcW w:w="0" w:type="auto"/>
            <w:shd w:val="clear" w:color="auto" w:fill="auto"/>
            <w:noWrap/>
            <w:vAlign w:val="bottom"/>
            <w:hideMark/>
          </w:tcPr>
          <w:p w14:paraId="2C56944F"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57</w:t>
            </w:r>
          </w:p>
        </w:tc>
        <w:tc>
          <w:tcPr>
            <w:tcW w:w="503" w:type="dxa"/>
            <w:shd w:val="clear" w:color="auto" w:fill="F2F2F2" w:themeFill="background1" w:themeFillShade="F2"/>
            <w:noWrap/>
            <w:vAlign w:val="bottom"/>
            <w:hideMark/>
          </w:tcPr>
          <w:p w14:paraId="1084731E"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18</w:t>
            </w:r>
          </w:p>
        </w:tc>
        <w:tc>
          <w:tcPr>
            <w:tcW w:w="2126" w:type="dxa"/>
            <w:shd w:val="clear" w:color="auto" w:fill="F2F2F2" w:themeFill="background1" w:themeFillShade="F2"/>
            <w:noWrap/>
            <w:vAlign w:val="bottom"/>
            <w:hideMark/>
          </w:tcPr>
          <w:p w14:paraId="44410643"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Doprava</w:t>
            </w:r>
          </w:p>
        </w:tc>
        <w:tc>
          <w:tcPr>
            <w:tcW w:w="0" w:type="auto"/>
            <w:shd w:val="clear" w:color="auto" w:fill="auto"/>
            <w:noWrap/>
            <w:vAlign w:val="bottom"/>
            <w:hideMark/>
          </w:tcPr>
          <w:p w14:paraId="0D9A134E"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25</w:t>
            </w:r>
          </w:p>
        </w:tc>
      </w:tr>
      <w:tr w:rsidR="007175FE" w:rsidRPr="00DA7ABE" w14:paraId="4CB67A65" w14:textId="77777777" w:rsidTr="000C49A5">
        <w:trPr>
          <w:trHeight w:hRule="exact" w:val="289"/>
        </w:trPr>
        <w:tc>
          <w:tcPr>
            <w:tcW w:w="0" w:type="auto"/>
            <w:shd w:val="clear" w:color="auto" w:fill="F2F2F2" w:themeFill="background1" w:themeFillShade="F2"/>
            <w:noWrap/>
            <w:vAlign w:val="bottom"/>
            <w:hideMark/>
          </w:tcPr>
          <w:p w14:paraId="2FAAFD5A"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9</w:t>
            </w:r>
          </w:p>
        </w:tc>
        <w:tc>
          <w:tcPr>
            <w:tcW w:w="0" w:type="auto"/>
            <w:shd w:val="clear" w:color="auto" w:fill="F2F2F2" w:themeFill="background1" w:themeFillShade="F2"/>
            <w:noWrap/>
            <w:vAlign w:val="bottom"/>
            <w:hideMark/>
          </w:tcPr>
          <w:p w14:paraId="4DC6398A" w14:textId="77777777" w:rsidR="007175FE" w:rsidRPr="00DA7ABE" w:rsidRDefault="007175FE" w:rsidP="007175FE">
            <w:pPr>
              <w:keepNext/>
              <w:spacing w:before="100" w:beforeAutospacing="1"/>
              <w:rPr>
                <w:rFonts w:cstheme="minorHAnsi"/>
                <w:b/>
                <w:color w:val="000000"/>
                <w:sz w:val="18"/>
                <w:szCs w:val="18"/>
              </w:rPr>
            </w:pPr>
            <w:r>
              <w:rPr>
                <w:rFonts w:cstheme="minorHAnsi"/>
                <w:b/>
                <w:color w:val="000000"/>
                <w:sz w:val="18"/>
                <w:szCs w:val="18"/>
              </w:rPr>
              <w:t xml:space="preserve">Park </w:t>
            </w:r>
            <w:r w:rsidRPr="00DA7ABE">
              <w:rPr>
                <w:rFonts w:cstheme="minorHAnsi"/>
                <w:b/>
                <w:color w:val="000000"/>
                <w:sz w:val="18"/>
                <w:szCs w:val="18"/>
              </w:rPr>
              <w:t>Komenského</w:t>
            </w:r>
          </w:p>
        </w:tc>
        <w:tc>
          <w:tcPr>
            <w:tcW w:w="0" w:type="auto"/>
            <w:shd w:val="clear" w:color="auto" w:fill="auto"/>
            <w:noWrap/>
            <w:vAlign w:val="bottom"/>
            <w:hideMark/>
          </w:tcPr>
          <w:p w14:paraId="489A46CA"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52</w:t>
            </w:r>
          </w:p>
        </w:tc>
        <w:tc>
          <w:tcPr>
            <w:tcW w:w="503" w:type="dxa"/>
            <w:shd w:val="clear" w:color="auto" w:fill="F2F2F2" w:themeFill="background1" w:themeFillShade="F2"/>
            <w:noWrap/>
            <w:vAlign w:val="bottom"/>
            <w:hideMark/>
          </w:tcPr>
          <w:p w14:paraId="619A7D2F"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19</w:t>
            </w:r>
          </w:p>
        </w:tc>
        <w:tc>
          <w:tcPr>
            <w:tcW w:w="2126" w:type="dxa"/>
            <w:shd w:val="clear" w:color="auto" w:fill="F2F2F2" w:themeFill="background1" w:themeFillShade="F2"/>
            <w:noWrap/>
            <w:vAlign w:val="bottom"/>
            <w:hideMark/>
          </w:tcPr>
          <w:p w14:paraId="7EC1710D"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ZOO</w:t>
            </w:r>
          </w:p>
        </w:tc>
        <w:tc>
          <w:tcPr>
            <w:tcW w:w="0" w:type="auto"/>
            <w:shd w:val="clear" w:color="auto" w:fill="auto"/>
            <w:noWrap/>
            <w:vAlign w:val="bottom"/>
            <w:hideMark/>
          </w:tcPr>
          <w:p w14:paraId="5E1AFF06"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24</w:t>
            </w:r>
          </w:p>
        </w:tc>
      </w:tr>
      <w:tr w:rsidR="007175FE" w:rsidRPr="00DA7ABE" w14:paraId="380F97D3" w14:textId="77777777" w:rsidTr="000C49A5">
        <w:trPr>
          <w:trHeight w:hRule="exact" w:val="289"/>
        </w:trPr>
        <w:tc>
          <w:tcPr>
            <w:tcW w:w="0" w:type="auto"/>
            <w:shd w:val="clear" w:color="auto" w:fill="F2F2F2" w:themeFill="background1" w:themeFillShade="F2"/>
            <w:noWrap/>
            <w:vAlign w:val="bottom"/>
            <w:hideMark/>
          </w:tcPr>
          <w:p w14:paraId="0F826024"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10</w:t>
            </w:r>
          </w:p>
        </w:tc>
        <w:tc>
          <w:tcPr>
            <w:tcW w:w="0" w:type="auto"/>
            <w:shd w:val="clear" w:color="auto" w:fill="F2F2F2" w:themeFill="background1" w:themeFillShade="F2"/>
            <w:noWrap/>
            <w:vAlign w:val="bottom"/>
            <w:hideMark/>
          </w:tcPr>
          <w:p w14:paraId="17AF0AB0"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Modernizace</w:t>
            </w:r>
          </w:p>
        </w:tc>
        <w:tc>
          <w:tcPr>
            <w:tcW w:w="0" w:type="auto"/>
            <w:shd w:val="clear" w:color="auto" w:fill="auto"/>
            <w:noWrap/>
            <w:vAlign w:val="bottom"/>
            <w:hideMark/>
          </w:tcPr>
          <w:p w14:paraId="3139D1F6"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51</w:t>
            </w:r>
          </w:p>
        </w:tc>
        <w:tc>
          <w:tcPr>
            <w:tcW w:w="503" w:type="dxa"/>
            <w:shd w:val="clear" w:color="auto" w:fill="F2F2F2" w:themeFill="background1" w:themeFillShade="F2"/>
            <w:noWrap/>
            <w:vAlign w:val="bottom"/>
            <w:hideMark/>
          </w:tcPr>
          <w:p w14:paraId="1238A3E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20</w:t>
            </w:r>
          </w:p>
        </w:tc>
        <w:tc>
          <w:tcPr>
            <w:tcW w:w="2126" w:type="dxa"/>
            <w:shd w:val="clear" w:color="auto" w:fill="F2F2F2" w:themeFill="background1" w:themeFillShade="F2"/>
            <w:noWrap/>
            <w:vAlign w:val="bottom"/>
            <w:hideMark/>
          </w:tcPr>
          <w:p w14:paraId="21F4D772"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UTB</w:t>
            </w:r>
          </w:p>
        </w:tc>
        <w:tc>
          <w:tcPr>
            <w:tcW w:w="0" w:type="auto"/>
            <w:shd w:val="clear" w:color="auto" w:fill="auto"/>
            <w:noWrap/>
            <w:vAlign w:val="bottom"/>
            <w:hideMark/>
          </w:tcPr>
          <w:p w14:paraId="48F9F3ED"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22</w:t>
            </w:r>
          </w:p>
        </w:tc>
      </w:tr>
    </w:tbl>
    <w:p w14:paraId="4940537E" w14:textId="33319CE4"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w:t>
      </w:r>
      <w:r w:rsidR="00A70EEC">
        <w:rPr>
          <w:rFonts w:asciiTheme="minorHAnsi" w:hAnsiTheme="minorHAnsi" w:cstheme="minorHAnsi"/>
        </w:rPr>
        <w:t>enosti obyvatel města Zlín 2020;</w:t>
      </w:r>
      <w:r w:rsidRPr="00DA7ABE">
        <w:rPr>
          <w:rFonts w:asciiTheme="minorHAnsi" w:hAnsiTheme="minorHAnsi" w:cstheme="minorHAnsi"/>
        </w:rPr>
        <w:t xml:space="preserve"> Otázka 2.</w:t>
      </w:r>
      <w:r w:rsidR="00A70EEC">
        <w:rPr>
          <w:rFonts w:asciiTheme="minorHAnsi" w:hAnsiTheme="minorHAnsi" w:cstheme="minorHAnsi"/>
        </w:rPr>
        <w:t>:</w:t>
      </w:r>
      <w:r w:rsidRPr="00DA7ABE">
        <w:rPr>
          <w:rFonts w:asciiTheme="minorHAnsi" w:hAnsiTheme="minorHAnsi" w:cstheme="minorHAnsi"/>
        </w:rPr>
        <w:t xml:space="preserve"> Co se Vám ve Zlíně nejvíce líbí?</w:t>
      </w:r>
    </w:p>
    <w:p w14:paraId="43CFDA72" w14:textId="77777777" w:rsidR="007175FE" w:rsidRDefault="007175FE" w:rsidP="007175FE">
      <w:pPr>
        <w:pStyle w:val="Nadpis3"/>
      </w:pPr>
      <w:bookmarkStart w:id="584" w:name="_Toc50116443"/>
      <w:bookmarkStart w:id="585" w:name="_Toc77074623"/>
      <w:r>
        <w:t>Co mi ve Zlíně chybí</w:t>
      </w:r>
      <w:bookmarkEnd w:id="584"/>
      <w:bookmarkEnd w:id="585"/>
    </w:p>
    <w:p w14:paraId="17FC20CE" w14:textId="5B9A8143" w:rsidR="007175FE" w:rsidRDefault="007175FE" w:rsidP="007175FE">
      <w:pPr>
        <w:rPr>
          <w:rStyle w:val="Odkaznakoment"/>
        </w:rPr>
      </w:pPr>
      <w:r w:rsidRPr="00A91FD1">
        <w:rPr>
          <w:rFonts w:cstheme="minorHAnsi"/>
        </w:rPr>
        <w:t>Na otázku, co jim ve Zlíně nejvíce chybí</w:t>
      </w:r>
      <w:r w:rsidRPr="00DA7ABE">
        <w:rPr>
          <w:rFonts w:cstheme="minorHAnsi"/>
        </w:rPr>
        <w:t>, respondenti odpovídali kulturní akce a celkově možnosti vyžití a</w:t>
      </w:r>
      <w:r w:rsidR="00A70EEC">
        <w:rPr>
          <w:rFonts w:cstheme="minorHAnsi"/>
        </w:rPr>
        <w:t> </w:t>
      </w:r>
      <w:r w:rsidRPr="00DA7ABE">
        <w:rPr>
          <w:rFonts w:cstheme="minorHAnsi"/>
        </w:rPr>
        <w:t>realizace společenského života – zmiňovali akce všeobecně, kulturní, festivaly, hudební akce apod. Také byl zmiňován zaniklý hudební klub, nedostatek restaurací, kaváren a všeobecně možnost posezení v restauraci se zahrádkou. Objevovaly se názory, že po setmění už není ve městě co dělat</w:t>
      </w:r>
      <w:r>
        <w:rPr>
          <w:rFonts w:cstheme="minorHAnsi"/>
        </w:rPr>
        <w:t>.</w:t>
      </w:r>
      <w:r w:rsidRPr="00DC5EA1">
        <w:rPr>
          <w:rFonts w:cstheme="minorHAnsi"/>
        </w:rPr>
        <w:t xml:space="preserve"> </w:t>
      </w:r>
      <w:r w:rsidRPr="0062182E">
        <w:rPr>
          <w:rFonts w:cstheme="minorHAnsi"/>
        </w:rPr>
        <w:t>Zde je nutno mít na paměti, že struktura respondentů je nakloněna spíše k mladším věkovým skupinám.</w:t>
      </w:r>
      <w:r w:rsidRPr="00DA7ABE">
        <w:rPr>
          <w:rFonts w:cstheme="minorHAnsi"/>
        </w:rPr>
        <w:t xml:space="preserve"> </w:t>
      </w:r>
    </w:p>
    <w:p w14:paraId="3E834D10" w14:textId="689C7841" w:rsidR="007175FE" w:rsidRPr="00DA7ABE" w:rsidRDefault="007175FE" w:rsidP="007175FE">
      <w:pPr>
        <w:rPr>
          <w:rFonts w:cstheme="minorHAnsi"/>
        </w:rPr>
      </w:pPr>
      <w:r w:rsidRPr="00DA7ABE">
        <w:rPr>
          <w:rFonts w:cstheme="minorHAnsi"/>
        </w:rPr>
        <w:t xml:space="preserve">Velmi často byl zmiňován neuspokojivý stav autobusového a vlakového nádraží a také špína v těchto místech a velký počet osob bez domova. Další podstatná část odpovědí byla zaměřena na dopravu: na chybějící dálnici a obchvat, silniční propojení, ale také železniční propojení. Objevily se žádosti o lepší vozovky, stížnosti na velkou hustotu a nedostatečnou plynulost dopravy. Některým obyvatelům chybí MHD </w:t>
      </w:r>
      <w:r>
        <w:rPr>
          <w:rFonts w:cstheme="minorHAnsi"/>
        </w:rPr>
        <w:t>(ve smyslu lepší organizace spojů, noční spojení, návrhy jízdného zdarma / levnějšího jízdného pro občany, platby kartou v MHD, vlaková MHD, škaredé zastávky)</w:t>
      </w:r>
      <w:r w:rsidRPr="00DA7ABE">
        <w:rPr>
          <w:rFonts w:cstheme="minorHAnsi"/>
        </w:rPr>
        <w:t>. Velmi často si respondenti stěžují na možnosti parkování</w:t>
      </w:r>
      <w:r>
        <w:rPr>
          <w:rFonts w:cstheme="minorHAnsi"/>
        </w:rPr>
        <w:t xml:space="preserve"> (drahé, nedostatek parkovacích míst – většinou v centru)</w:t>
      </w:r>
      <w:r w:rsidRPr="00DA7ABE">
        <w:rPr>
          <w:rFonts w:cstheme="minorHAnsi"/>
        </w:rPr>
        <w:t>. Respondentům dále chybí parky a zeleň</w:t>
      </w:r>
      <w:r>
        <w:rPr>
          <w:rFonts w:cstheme="minorHAnsi"/>
        </w:rPr>
        <w:t xml:space="preserve"> (např. nedostatečná údržba, stromy, květinové záhonky, návrhy na omezení sečení). Někteří respondenti přímo připouštějí, že parků je ve Zlíně poměrně dost, ale přáli by si jich mít ještě více.</w:t>
      </w:r>
      <w:r w:rsidRPr="00DA7ABE">
        <w:rPr>
          <w:rFonts w:cstheme="minorHAnsi"/>
        </w:rPr>
        <w:t xml:space="preserve"> </w:t>
      </w:r>
      <w:r>
        <w:rPr>
          <w:rFonts w:cstheme="minorHAnsi"/>
        </w:rPr>
        <w:t xml:space="preserve">Často byl zmiňován </w:t>
      </w:r>
      <w:r w:rsidRPr="00DA7ABE">
        <w:rPr>
          <w:rFonts w:cstheme="minorHAnsi"/>
        </w:rPr>
        <w:t>aquapark</w:t>
      </w:r>
      <w:r>
        <w:rPr>
          <w:rFonts w:cstheme="minorHAnsi"/>
        </w:rPr>
        <w:t xml:space="preserve"> a další</w:t>
      </w:r>
      <w:r w:rsidRPr="00DA7ABE">
        <w:rPr>
          <w:rFonts w:cstheme="minorHAnsi"/>
        </w:rPr>
        <w:t xml:space="preserve"> sportovní zařízení (hokejová hala, fotbalový stadion, in-line dráha, hřiště pro dospělé apod.). U cyklostezek se objevovaly především stížnosti na jejich nepropojenost. Respondenti psali o pro ně nedostupném bydlení. Za zmínku dále stojí žádosti o koše a</w:t>
      </w:r>
      <w:r w:rsidR="00A70EEC">
        <w:rPr>
          <w:rFonts w:cstheme="minorHAnsi"/>
        </w:rPr>
        <w:t> </w:t>
      </w:r>
      <w:r w:rsidRPr="00DA7ABE">
        <w:rPr>
          <w:rFonts w:cstheme="minorHAnsi"/>
        </w:rPr>
        <w:t>o</w:t>
      </w:r>
      <w:r w:rsidR="00A70EEC">
        <w:rPr>
          <w:rFonts w:cstheme="minorHAnsi"/>
        </w:rPr>
        <w:t> </w:t>
      </w:r>
      <w:r w:rsidRPr="00DA7ABE">
        <w:rPr>
          <w:rFonts w:cstheme="minorHAnsi"/>
        </w:rPr>
        <w:t xml:space="preserve">kontejnery </w:t>
      </w:r>
      <w:r>
        <w:rPr>
          <w:rFonts w:cstheme="minorHAnsi"/>
        </w:rPr>
        <w:t>(málo odpadkových košů; sběrné koše na psí exkrementy; nevhodné kont</w:t>
      </w:r>
      <w:r w:rsidR="00A70EEC">
        <w:rPr>
          <w:rFonts w:cstheme="minorHAnsi"/>
        </w:rPr>
        <w:t>e</w:t>
      </w:r>
      <w:r>
        <w:rPr>
          <w:rFonts w:cstheme="minorHAnsi"/>
        </w:rPr>
        <w:t>jnery na plast; vícedruhové třídění odpadu – bioodpad, plechovky, menší elektronika; kontejnery na tetrapacky, málo kontejnerů na tříděný odpad)</w:t>
      </w:r>
      <w:r w:rsidRPr="00DA7ABE">
        <w:rPr>
          <w:rFonts w:cstheme="minorHAnsi"/>
        </w:rPr>
        <w:t>.</w:t>
      </w:r>
    </w:p>
    <w:p w14:paraId="4E302A91" w14:textId="079D3D9B" w:rsidR="007175FE" w:rsidRPr="00DA7ABE" w:rsidRDefault="007175FE" w:rsidP="007175FE">
      <w:pPr>
        <w:rPr>
          <w:rFonts w:cstheme="minorHAnsi"/>
        </w:rPr>
      </w:pPr>
      <w:r w:rsidRPr="00DA7ABE">
        <w:rPr>
          <w:rFonts w:cstheme="minorHAnsi"/>
        </w:rPr>
        <w:t xml:space="preserve">Četné stížnosti se zaměřovaly na možnosti venčení pro psy, </w:t>
      </w:r>
      <w:r>
        <w:rPr>
          <w:rFonts w:cstheme="minorHAnsi"/>
        </w:rPr>
        <w:t>kdy především majitelé psů zmiňovali</w:t>
      </w:r>
      <w:r w:rsidRPr="00DA7ABE">
        <w:rPr>
          <w:rFonts w:cstheme="minorHAnsi"/>
        </w:rPr>
        <w:t>, že nemají žádné</w:t>
      </w:r>
      <w:r>
        <w:rPr>
          <w:rFonts w:cstheme="minorHAnsi"/>
        </w:rPr>
        <w:t xml:space="preserve"> místo, kde by psy mohli venčit. R</w:t>
      </w:r>
      <w:r w:rsidRPr="00DA7ABE">
        <w:rPr>
          <w:rFonts w:cstheme="minorHAnsi"/>
        </w:rPr>
        <w:t>odiče s dětmi, kteří mají psy, psali, že nemohou s dětmi do parku. Objevovali se ale také občané, kteří si stěžují, že majitelé psů zákaz venčení v parcích nedodržují. Nejčastější odpovědi jsou graficky zobrazeny</w:t>
      </w:r>
      <w:r w:rsidR="0096730F">
        <w:rPr>
          <w:rFonts w:cstheme="minorHAnsi"/>
        </w:rPr>
        <w:t xml:space="preserve"> v obrázku 2.6</w:t>
      </w:r>
      <w:r w:rsidRPr="00DA7ABE">
        <w:rPr>
          <w:rFonts w:cstheme="minorHAnsi"/>
        </w:rPr>
        <w:t xml:space="preserve"> a dále vypsány v tabulce </w:t>
      </w:r>
      <w:r w:rsidR="00EA4CBD">
        <w:rPr>
          <w:rFonts w:cstheme="minorHAnsi"/>
        </w:rPr>
        <w:t>2.7</w:t>
      </w:r>
      <w:r w:rsidRPr="00DA7ABE">
        <w:rPr>
          <w:rFonts w:cstheme="minorHAnsi"/>
        </w:rPr>
        <w:t>.</w:t>
      </w:r>
    </w:p>
    <w:p w14:paraId="28DDC8A8" w14:textId="27F550F2" w:rsidR="007175FE" w:rsidRPr="00DA7ABE" w:rsidRDefault="0096730F" w:rsidP="0096730F">
      <w:pPr>
        <w:pStyle w:val="Titulek"/>
        <w:keepNext/>
        <w:rPr>
          <w:rFonts w:cstheme="minorHAnsi"/>
        </w:rPr>
      </w:pPr>
      <w:bookmarkStart w:id="586" w:name="_Toc54702779"/>
      <w:bookmarkStart w:id="587" w:name="_Toc56179585"/>
      <w:bookmarkStart w:id="588" w:name="_Toc7707492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w:t>
      </w:r>
      <w:r w:rsidR="00804AF3">
        <w:rPr>
          <w:noProof/>
        </w:rPr>
        <w:fldChar w:fldCharType="end"/>
      </w:r>
      <w:r>
        <w:t xml:space="preserve">: </w:t>
      </w:r>
      <w:r w:rsidR="007175FE" w:rsidRPr="00DA7ABE">
        <w:rPr>
          <w:rFonts w:cstheme="minorHAnsi"/>
        </w:rPr>
        <w:t>Nejčastější odpovědi na otázku č. 3: Co Vám ve Zlíně nejvíce chybí?</w:t>
      </w:r>
      <w:bookmarkEnd w:id="586"/>
      <w:bookmarkEnd w:id="587"/>
      <w:bookmarkEnd w:id="588"/>
    </w:p>
    <w:p w14:paraId="5F678F8C" w14:textId="77777777" w:rsidR="007175FE" w:rsidRPr="00DA7ABE" w:rsidRDefault="007175FE" w:rsidP="007175FE">
      <w:pPr>
        <w:keepNext/>
        <w:rPr>
          <w:rFonts w:cstheme="minorHAnsi"/>
          <w:highlight w:val="yellow"/>
        </w:rPr>
      </w:pPr>
      <w:r w:rsidRPr="00DA7ABE">
        <w:rPr>
          <w:rFonts w:cstheme="minorHAnsi"/>
          <w:noProof/>
          <w:lang w:eastAsia="cs-CZ"/>
        </w:rPr>
        <w:drawing>
          <wp:inline distT="0" distB="0" distL="0" distR="0" wp14:anchorId="4DBFE33F" wp14:editId="557DBD27">
            <wp:extent cx="5760000" cy="5965464"/>
            <wp:effectExtent l="114300" t="114300" r="165100" b="168910"/>
            <wp:docPr id="357" name="Obrázek 357" descr="C:\Users\Linda Vyvialová\Desktop\Zlin_pruzkum\3\Zli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a Vyvialová\Desktop\Zlin_pruzkum\3\Zlin_3.pn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15547" r="12037"/>
                    <a:stretch/>
                  </pic:blipFill>
                  <pic:spPr bwMode="auto">
                    <a:xfrm>
                      <a:off x="0" y="0"/>
                      <a:ext cx="5760000" cy="5965464"/>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2FAE8BE" w14:textId="73C26F6C"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263EF2">
        <w:rPr>
          <w:rFonts w:asciiTheme="minorHAnsi" w:hAnsiTheme="minorHAnsi" w:cstheme="minorHAnsi"/>
        </w:rPr>
        <w:t>;</w:t>
      </w:r>
      <w:r w:rsidRPr="00DA7ABE">
        <w:rPr>
          <w:rFonts w:asciiTheme="minorHAnsi" w:hAnsiTheme="minorHAnsi" w:cstheme="minorHAnsi"/>
        </w:rPr>
        <w:t xml:space="preserve"> Otázka 3.</w:t>
      </w:r>
      <w:r w:rsidR="00263EF2">
        <w:rPr>
          <w:rFonts w:asciiTheme="minorHAnsi" w:hAnsiTheme="minorHAnsi" w:cstheme="minorHAnsi"/>
        </w:rPr>
        <w:t>:</w:t>
      </w:r>
      <w:r w:rsidRPr="00DA7ABE">
        <w:rPr>
          <w:rFonts w:asciiTheme="minorHAnsi" w:hAnsiTheme="minorHAnsi" w:cstheme="minorHAnsi"/>
        </w:rPr>
        <w:t xml:space="preserve"> Co Vám ve Zlíně nejvíce chybí?</w:t>
      </w:r>
      <w:r w:rsidRPr="00DA7ABE">
        <w:rPr>
          <w:rFonts w:asciiTheme="minorHAnsi" w:hAnsiTheme="minorHAnsi" w:cstheme="minorHAnsi"/>
        </w:rPr>
        <w:b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w:t>
      </w:r>
    </w:p>
    <w:p w14:paraId="0EBF96AB" w14:textId="0338CE1E" w:rsidR="007175FE" w:rsidRPr="00DA7ABE" w:rsidRDefault="007175FE" w:rsidP="007175FE">
      <w:pPr>
        <w:pStyle w:val="Titulek"/>
        <w:keepNext/>
        <w:keepLines/>
        <w:rPr>
          <w:rFonts w:cstheme="minorHAnsi"/>
        </w:rPr>
      </w:pPr>
      <w:bookmarkStart w:id="589" w:name="_Toc54702621"/>
      <w:bookmarkStart w:id="590" w:name="_Toc56179428"/>
      <w:bookmarkStart w:id="591" w:name="_Toc57731786"/>
      <w:bookmarkStart w:id="592" w:name="_Toc77074770"/>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7</w:t>
      </w:r>
      <w:r w:rsidR="00DC277C">
        <w:rPr>
          <w:rFonts w:cstheme="minorHAnsi"/>
        </w:rPr>
        <w:fldChar w:fldCharType="end"/>
      </w:r>
      <w:r w:rsidR="00263EF2">
        <w:rPr>
          <w:rFonts w:cstheme="minorHAnsi"/>
        </w:rPr>
        <w:t>:</w:t>
      </w:r>
      <w:r w:rsidRPr="00DA7ABE">
        <w:rPr>
          <w:rFonts w:cstheme="minorHAnsi"/>
        </w:rPr>
        <w:t xml:space="preserve"> Co respondentům ve Zlíně nejvíce chybí – 20 nejčastějších odpovědí</w:t>
      </w:r>
      <w:bookmarkEnd w:id="589"/>
      <w:bookmarkEnd w:id="590"/>
      <w:bookmarkEnd w:id="591"/>
      <w:bookmarkEnd w:id="592"/>
    </w:p>
    <w:tbl>
      <w:tblPr>
        <w:tblW w:w="4779" w:type="pct"/>
        <w:tblCellMar>
          <w:left w:w="70" w:type="dxa"/>
          <w:right w:w="70" w:type="dxa"/>
        </w:tblCellMar>
        <w:tblLook w:val="04A0" w:firstRow="1" w:lastRow="0" w:firstColumn="1" w:lastColumn="0" w:noHBand="0" w:noVBand="1"/>
      </w:tblPr>
      <w:tblGrid>
        <w:gridCol w:w="330"/>
        <w:gridCol w:w="1977"/>
        <w:gridCol w:w="1591"/>
        <w:gridCol w:w="329"/>
        <w:gridCol w:w="2844"/>
        <w:gridCol w:w="1590"/>
      </w:tblGrid>
      <w:tr w:rsidR="007175FE" w:rsidRPr="00DA7ABE" w14:paraId="188440D8" w14:textId="77777777" w:rsidTr="007175FE">
        <w:trPr>
          <w:trHeight w:hRule="exact" w:val="269"/>
        </w:trPr>
        <w:tc>
          <w:tcPr>
            <w:tcW w:w="1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703E932"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w:t>
            </w:r>
          </w:p>
        </w:tc>
        <w:tc>
          <w:tcPr>
            <w:tcW w:w="1141" w:type="pct"/>
            <w:tcBorders>
              <w:top w:val="single" w:sz="4" w:space="0" w:color="auto"/>
              <w:left w:val="nil"/>
              <w:bottom w:val="single" w:sz="4" w:space="0" w:color="auto"/>
              <w:right w:val="single" w:sz="4" w:space="0" w:color="auto"/>
            </w:tcBorders>
            <w:shd w:val="clear" w:color="000000" w:fill="F2F2F2"/>
            <w:noWrap/>
            <w:vAlign w:val="center"/>
            <w:hideMark/>
          </w:tcPr>
          <w:p w14:paraId="1C162385"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Co Vám chybí</w:t>
            </w:r>
          </w:p>
        </w:tc>
        <w:tc>
          <w:tcPr>
            <w:tcW w:w="918" w:type="pct"/>
            <w:tcBorders>
              <w:top w:val="single" w:sz="4" w:space="0" w:color="auto"/>
              <w:left w:val="nil"/>
              <w:bottom w:val="single" w:sz="4" w:space="0" w:color="auto"/>
              <w:right w:val="single" w:sz="4" w:space="0" w:color="auto"/>
            </w:tcBorders>
            <w:shd w:val="clear" w:color="000000" w:fill="F2F2F2"/>
            <w:noWrap/>
            <w:vAlign w:val="center"/>
            <w:hideMark/>
          </w:tcPr>
          <w:p w14:paraId="185D5E90"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Počet respondentů</w:t>
            </w:r>
          </w:p>
        </w:tc>
        <w:tc>
          <w:tcPr>
            <w:tcW w:w="190" w:type="pct"/>
            <w:tcBorders>
              <w:top w:val="single" w:sz="4" w:space="0" w:color="auto"/>
              <w:left w:val="nil"/>
              <w:bottom w:val="single" w:sz="4" w:space="0" w:color="auto"/>
              <w:right w:val="single" w:sz="4" w:space="0" w:color="auto"/>
            </w:tcBorders>
            <w:shd w:val="clear" w:color="000000" w:fill="F2F2F2"/>
            <w:vAlign w:val="center"/>
            <w:hideMark/>
          </w:tcPr>
          <w:p w14:paraId="51018B7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w:t>
            </w:r>
          </w:p>
        </w:tc>
        <w:tc>
          <w:tcPr>
            <w:tcW w:w="1642" w:type="pct"/>
            <w:tcBorders>
              <w:top w:val="single" w:sz="4" w:space="0" w:color="auto"/>
              <w:left w:val="nil"/>
              <w:bottom w:val="single" w:sz="4" w:space="0" w:color="auto"/>
              <w:right w:val="single" w:sz="4" w:space="0" w:color="auto"/>
            </w:tcBorders>
            <w:shd w:val="clear" w:color="000000" w:fill="F2F2F2"/>
            <w:noWrap/>
            <w:vAlign w:val="center"/>
            <w:hideMark/>
          </w:tcPr>
          <w:p w14:paraId="434FFCD7"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Co Vám chybí</w:t>
            </w:r>
          </w:p>
        </w:tc>
        <w:tc>
          <w:tcPr>
            <w:tcW w:w="918" w:type="pct"/>
            <w:tcBorders>
              <w:top w:val="single" w:sz="4" w:space="0" w:color="auto"/>
              <w:left w:val="nil"/>
              <w:bottom w:val="single" w:sz="4" w:space="0" w:color="auto"/>
              <w:right w:val="single" w:sz="4" w:space="0" w:color="auto"/>
            </w:tcBorders>
            <w:shd w:val="clear" w:color="000000" w:fill="F2F2F2"/>
            <w:noWrap/>
            <w:vAlign w:val="center"/>
            <w:hideMark/>
          </w:tcPr>
          <w:p w14:paraId="6EA3AF2D"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Počet respondentů</w:t>
            </w:r>
          </w:p>
        </w:tc>
      </w:tr>
      <w:tr w:rsidR="007175FE" w:rsidRPr="00DA7ABE" w14:paraId="2ACDBF1F"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4B85CBC"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4FCA6FF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Kulturní akce</w:t>
            </w:r>
          </w:p>
        </w:tc>
        <w:tc>
          <w:tcPr>
            <w:tcW w:w="918" w:type="pct"/>
            <w:tcBorders>
              <w:top w:val="nil"/>
              <w:left w:val="nil"/>
              <w:bottom w:val="single" w:sz="4" w:space="0" w:color="auto"/>
              <w:right w:val="single" w:sz="4" w:space="0" w:color="auto"/>
            </w:tcBorders>
            <w:shd w:val="clear" w:color="auto" w:fill="auto"/>
            <w:noWrap/>
            <w:vAlign w:val="bottom"/>
            <w:hideMark/>
          </w:tcPr>
          <w:p w14:paraId="24361E24"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175</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4B2F028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11</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6580B867"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Sportoviště, sportovní hala/stadion</w:t>
            </w:r>
          </w:p>
        </w:tc>
        <w:tc>
          <w:tcPr>
            <w:tcW w:w="918" w:type="pct"/>
            <w:tcBorders>
              <w:top w:val="nil"/>
              <w:left w:val="nil"/>
              <w:bottom w:val="single" w:sz="4" w:space="0" w:color="auto"/>
              <w:right w:val="single" w:sz="4" w:space="0" w:color="auto"/>
            </w:tcBorders>
            <w:shd w:val="clear" w:color="auto" w:fill="auto"/>
            <w:noWrap/>
            <w:vAlign w:val="bottom"/>
            <w:hideMark/>
          </w:tcPr>
          <w:p w14:paraId="162F2C93"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67</w:t>
            </w:r>
          </w:p>
        </w:tc>
      </w:tr>
      <w:tr w:rsidR="007175FE" w:rsidRPr="00DA7ABE" w14:paraId="127BEA68"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3229D92F"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2</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0A7DC083"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Nádraží</w:t>
            </w:r>
          </w:p>
        </w:tc>
        <w:tc>
          <w:tcPr>
            <w:tcW w:w="918" w:type="pct"/>
            <w:tcBorders>
              <w:top w:val="nil"/>
              <w:left w:val="nil"/>
              <w:bottom w:val="single" w:sz="4" w:space="0" w:color="auto"/>
              <w:right w:val="single" w:sz="4" w:space="0" w:color="auto"/>
            </w:tcBorders>
            <w:shd w:val="clear" w:color="auto" w:fill="auto"/>
            <w:noWrap/>
            <w:vAlign w:val="bottom"/>
            <w:hideMark/>
          </w:tcPr>
          <w:p w14:paraId="154F0C4D"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168</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1497ADFB"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12</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19FA3F04"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Klub (hudební)</w:t>
            </w:r>
          </w:p>
        </w:tc>
        <w:tc>
          <w:tcPr>
            <w:tcW w:w="918" w:type="pct"/>
            <w:tcBorders>
              <w:top w:val="nil"/>
              <w:left w:val="nil"/>
              <w:bottom w:val="single" w:sz="4" w:space="0" w:color="auto"/>
              <w:right w:val="single" w:sz="4" w:space="0" w:color="auto"/>
            </w:tcBorders>
            <w:shd w:val="clear" w:color="auto" w:fill="auto"/>
            <w:noWrap/>
            <w:vAlign w:val="bottom"/>
            <w:hideMark/>
          </w:tcPr>
          <w:p w14:paraId="30504536"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64</w:t>
            </w:r>
          </w:p>
        </w:tc>
      </w:tr>
      <w:tr w:rsidR="007175FE" w:rsidRPr="00DA7ABE" w14:paraId="58437B78"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36DC5DB1"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3</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3F0314D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Parkování</w:t>
            </w:r>
          </w:p>
        </w:tc>
        <w:tc>
          <w:tcPr>
            <w:tcW w:w="918" w:type="pct"/>
            <w:tcBorders>
              <w:top w:val="nil"/>
              <w:left w:val="nil"/>
              <w:bottom w:val="single" w:sz="4" w:space="0" w:color="auto"/>
              <w:right w:val="single" w:sz="4" w:space="0" w:color="auto"/>
            </w:tcBorders>
            <w:shd w:val="clear" w:color="auto" w:fill="auto"/>
            <w:noWrap/>
            <w:vAlign w:val="bottom"/>
            <w:hideMark/>
          </w:tcPr>
          <w:p w14:paraId="74431ECB"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135</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4E0155C5"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13</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24444281"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Železniční spojení</w:t>
            </w:r>
          </w:p>
        </w:tc>
        <w:tc>
          <w:tcPr>
            <w:tcW w:w="918" w:type="pct"/>
            <w:tcBorders>
              <w:top w:val="nil"/>
              <w:left w:val="nil"/>
              <w:bottom w:val="single" w:sz="4" w:space="0" w:color="auto"/>
              <w:right w:val="single" w:sz="4" w:space="0" w:color="auto"/>
            </w:tcBorders>
            <w:shd w:val="clear" w:color="auto" w:fill="auto"/>
            <w:noWrap/>
            <w:vAlign w:val="bottom"/>
            <w:hideMark/>
          </w:tcPr>
          <w:p w14:paraId="69B823D4"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53</w:t>
            </w:r>
          </w:p>
        </w:tc>
      </w:tr>
      <w:tr w:rsidR="007175FE" w:rsidRPr="00DA7ABE" w14:paraId="16D044FE"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FE4834F"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4</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6C8E49EF"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Doprava</w:t>
            </w:r>
          </w:p>
        </w:tc>
        <w:tc>
          <w:tcPr>
            <w:tcW w:w="918" w:type="pct"/>
            <w:tcBorders>
              <w:top w:val="nil"/>
              <w:left w:val="nil"/>
              <w:bottom w:val="single" w:sz="4" w:space="0" w:color="auto"/>
              <w:right w:val="single" w:sz="4" w:space="0" w:color="auto"/>
            </w:tcBorders>
            <w:shd w:val="clear" w:color="auto" w:fill="auto"/>
            <w:noWrap/>
            <w:vAlign w:val="bottom"/>
            <w:hideMark/>
          </w:tcPr>
          <w:p w14:paraId="29B746AB"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124</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771ED6E0"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14</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7526378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Možnosti venčení pro psy</w:t>
            </w:r>
          </w:p>
        </w:tc>
        <w:tc>
          <w:tcPr>
            <w:tcW w:w="918" w:type="pct"/>
            <w:tcBorders>
              <w:top w:val="nil"/>
              <w:left w:val="nil"/>
              <w:bottom w:val="single" w:sz="4" w:space="0" w:color="auto"/>
              <w:right w:val="single" w:sz="4" w:space="0" w:color="auto"/>
            </w:tcBorders>
            <w:shd w:val="clear" w:color="auto" w:fill="auto"/>
            <w:noWrap/>
            <w:vAlign w:val="bottom"/>
            <w:hideMark/>
          </w:tcPr>
          <w:p w14:paraId="562CFC1A"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53</w:t>
            </w:r>
          </w:p>
        </w:tc>
      </w:tr>
      <w:tr w:rsidR="007175FE" w:rsidRPr="00DA7ABE" w14:paraId="349D23DB"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EF38C0E"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5</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7050CF5F"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Cyklostezky</w:t>
            </w:r>
          </w:p>
        </w:tc>
        <w:tc>
          <w:tcPr>
            <w:tcW w:w="918" w:type="pct"/>
            <w:tcBorders>
              <w:top w:val="nil"/>
              <w:left w:val="nil"/>
              <w:bottom w:val="single" w:sz="4" w:space="0" w:color="auto"/>
              <w:right w:val="single" w:sz="4" w:space="0" w:color="auto"/>
            </w:tcBorders>
            <w:shd w:val="clear" w:color="auto" w:fill="auto"/>
            <w:noWrap/>
            <w:vAlign w:val="bottom"/>
            <w:hideMark/>
          </w:tcPr>
          <w:p w14:paraId="67306AFE"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111</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4785794D"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15</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668B4F72"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Restaurace, kavárny</w:t>
            </w:r>
          </w:p>
        </w:tc>
        <w:tc>
          <w:tcPr>
            <w:tcW w:w="918" w:type="pct"/>
            <w:tcBorders>
              <w:top w:val="nil"/>
              <w:left w:val="nil"/>
              <w:bottom w:val="single" w:sz="4" w:space="0" w:color="auto"/>
              <w:right w:val="single" w:sz="4" w:space="0" w:color="auto"/>
            </w:tcBorders>
            <w:shd w:val="clear" w:color="auto" w:fill="auto"/>
            <w:noWrap/>
            <w:vAlign w:val="bottom"/>
            <w:hideMark/>
          </w:tcPr>
          <w:p w14:paraId="0973A567"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53</w:t>
            </w:r>
          </w:p>
        </w:tc>
      </w:tr>
      <w:tr w:rsidR="007175FE" w:rsidRPr="00DA7ABE" w14:paraId="37815AD0"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B754E52"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6</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2E4A5763"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Obchvat, dálnice</w:t>
            </w:r>
          </w:p>
        </w:tc>
        <w:tc>
          <w:tcPr>
            <w:tcW w:w="918" w:type="pct"/>
            <w:tcBorders>
              <w:top w:val="nil"/>
              <w:left w:val="nil"/>
              <w:bottom w:val="single" w:sz="4" w:space="0" w:color="auto"/>
              <w:right w:val="single" w:sz="4" w:space="0" w:color="auto"/>
            </w:tcBorders>
            <w:shd w:val="clear" w:color="auto" w:fill="auto"/>
            <w:noWrap/>
            <w:vAlign w:val="bottom"/>
            <w:hideMark/>
          </w:tcPr>
          <w:p w14:paraId="75074242"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99</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3285E141"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16</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551F3714"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MHD spojení</w:t>
            </w:r>
          </w:p>
        </w:tc>
        <w:tc>
          <w:tcPr>
            <w:tcW w:w="918" w:type="pct"/>
            <w:tcBorders>
              <w:top w:val="nil"/>
              <w:left w:val="nil"/>
              <w:bottom w:val="single" w:sz="4" w:space="0" w:color="auto"/>
              <w:right w:val="single" w:sz="4" w:space="0" w:color="auto"/>
            </w:tcBorders>
            <w:shd w:val="clear" w:color="auto" w:fill="auto"/>
            <w:noWrap/>
            <w:vAlign w:val="bottom"/>
            <w:hideMark/>
          </w:tcPr>
          <w:p w14:paraId="2990EA83"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38</w:t>
            </w:r>
          </w:p>
        </w:tc>
      </w:tr>
      <w:tr w:rsidR="007175FE" w:rsidRPr="00DA7ABE" w14:paraId="429B2E53"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885B261"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7</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3C1924C1"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Dostupné bydlení</w:t>
            </w:r>
          </w:p>
        </w:tc>
        <w:tc>
          <w:tcPr>
            <w:tcW w:w="918" w:type="pct"/>
            <w:tcBorders>
              <w:top w:val="nil"/>
              <w:left w:val="nil"/>
              <w:bottom w:val="single" w:sz="4" w:space="0" w:color="auto"/>
              <w:right w:val="single" w:sz="4" w:space="0" w:color="auto"/>
            </w:tcBorders>
            <w:shd w:val="clear" w:color="auto" w:fill="auto"/>
            <w:noWrap/>
            <w:vAlign w:val="bottom"/>
            <w:hideMark/>
          </w:tcPr>
          <w:p w14:paraId="2BA3E126"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92</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49012AE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17</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4CD786F5"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Práce</w:t>
            </w:r>
          </w:p>
        </w:tc>
        <w:tc>
          <w:tcPr>
            <w:tcW w:w="918" w:type="pct"/>
            <w:tcBorders>
              <w:top w:val="nil"/>
              <w:left w:val="nil"/>
              <w:bottom w:val="single" w:sz="4" w:space="0" w:color="auto"/>
              <w:right w:val="single" w:sz="4" w:space="0" w:color="auto"/>
            </w:tcBorders>
            <w:shd w:val="clear" w:color="auto" w:fill="auto"/>
            <w:noWrap/>
            <w:vAlign w:val="bottom"/>
            <w:hideMark/>
          </w:tcPr>
          <w:p w14:paraId="036130D6"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37</w:t>
            </w:r>
          </w:p>
        </w:tc>
      </w:tr>
      <w:tr w:rsidR="007175FE" w:rsidRPr="00DA7ABE" w14:paraId="5075AE13"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64D02EA"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8</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63759FE6"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Park, zeleň</w:t>
            </w:r>
          </w:p>
        </w:tc>
        <w:tc>
          <w:tcPr>
            <w:tcW w:w="918" w:type="pct"/>
            <w:tcBorders>
              <w:top w:val="nil"/>
              <w:left w:val="nil"/>
              <w:bottom w:val="single" w:sz="4" w:space="0" w:color="auto"/>
              <w:right w:val="single" w:sz="4" w:space="0" w:color="auto"/>
            </w:tcBorders>
            <w:shd w:val="clear" w:color="auto" w:fill="auto"/>
            <w:noWrap/>
            <w:vAlign w:val="bottom"/>
            <w:hideMark/>
          </w:tcPr>
          <w:p w14:paraId="3284330A"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75</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14A6E37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18</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61714E74"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Kontejnery a koše</w:t>
            </w:r>
          </w:p>
        </w:tc>
        <w:tc>
          <w:tcPr>
            <w:tcW w:w="918" w:type="pct"/>
            <w:tcBorders>
              <w:top w:val="nil"/>
              <w:left w:val="nil"/>
              <w:bottom w:val="single" w:sz="4" w:space="0" w:color="auto"/>
              <w:right w:val="single" w:sz="4" w:space="0" w:color="auto"/>
            </w:tcBorders>
            <w:shd w:val="clear" w:color="auto" w:fill="auto"/>
            <w:noWrap/>
            <w:vAlign w:val="bottom"/>
            <w:hideMark/>
          </w:tcPr>
          <w:p w14:paraId="52DBAC81"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37</w:t>
            </w:r>
          </w:p>
        </w:tc>
      </w:tr>
      <w:tr w:rsidR="007175FE" w:rsidRPr="00DA7ABE" w14:paraId="23061FB7"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DA3E73E"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9</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23EB1549"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Aquapark, bazén</w:t>
            </w:r>
          </w:p>
        </w:tc>
        <w:tc>
          <w:tcPr>
            <w:tcW w:w="918" w:type="pct"/>
            <w:tcBorders>
              <w:top w:val="nil"/>
              <w:left w:val="nil"/>
              <w:bottom w:val="single" w:sz="4" w:space="0" w:color="auto"/>
              <w:right w:val="single" w:sz="4" w:space="0" w:color="auto"/>
            </w:tcBorders>
            <w:shd w:val="clear" w:color="auto" w:fill="auto"/>
            <w:noWrap/>
            <w:vAlign w:val="bottom"/>
            <w:hideMark/>
          </w:tcPr>
          <w:p w14:paraId="0C9C4A3E"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72</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62D8F341"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19</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37F8F070"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Lepší chodníky</w:t>
            </w:r>
          </w:p>
        </w:tc>
        <w:tc>
          <w:tcPr>
            <w:tcW w:w="918" w:type="pct"/>
            <w:tcBorders>
              <w:top w:val="nil"/>
              <w:left w:val="nil"/>
              <w:bottom w:val="single" w:sz="4" w:space="0" w:color="auto"/>
              <w:right w:val="single" w:sz="4" w:space="0" w:color="auto"/>
            </w:tcBorders>
            <w:shd w:val="clear" w:color="auto" w:fill="auto"/>
            <w:noWrap/>
            <w:vAlign w:val="bottom"/>
            <w:hideMark/>
          </w:tcPr>
          <w:p w14:paraId="642CBAC6"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36</w:t>
            </w:r>
          </w:p>
        </w:tc>
      </w:tr>
      <w:tr w:rsidR="007175FE" w:rsidRPr="00DA7ABE" w14:paraId="0D09EF4F" w14:textId="77777777" w:rsidTr="007175FE">
        <w:trPr>
          <w:trHeight w:hRule="exact" w:val="269"/>
        </w:trPr>
        <w:tc>
          <w:tcPr>
            <w:tcW w:w="190"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3CFB6488"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10</w:t>
            </w:r>
          </w:p>
        </w:tc>
        <w:tc>
          <w:tcPr>
            <w:tcW w:w="1141" w:type="pct"/>
            <w:tcBorders>
              <w:top w:val="nil"/>
              <w:left w:val="nil"/>
              <w:bottom w:val="single" w:sz="4" w:space="0" w:color="auto"/>
              <w:right w:val="single" w:sz="4" w:space="0" w:color="auto"/>
            </w:tcBorders>
            <w:shd w:val="clear" w:color="auto" w:fill="F2F2F2" w:themeFill="background1" w:themeFillShade="F2"/>
            <w:noWrap/>
            <w:vAlign w:val="bottom"/>
            <w:hideMark/>
          </w:tcPr>
          <w:p w14:paraId="134C7FF7"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Společenský život, vyžití</w:t>
            </w:r>
          </w:p>
        </w:tc>
        <w:tc>
          <w:tcPr>
            <w:tcW w:w="918" w:type="pct"/>
            <w:tcBorders>
              <w:top w:val="nil"/>
              <w:left w:val="nil"/>
              <w:bottom w:val="single" w:sz="4" w:space="0" w:color="auto"/>
              <w:right w:val="single" w:sz="4" w:space="0" w:color="auto"/>
            </w:tcBorders>
            <w:shd w:val="clear" w:color="auto" w:fill="auto"/>
            <w:noWrap/>
            <w:vAlign w:val="bottom"/>
            <w:hideMark/>
          </w:tcPr>
          <w:p w14:paraId="78D5CFF0"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68</w:t>
            </w:r>
          </w:p>
        </w:tc>
        <w:tc>
          <w:tcPr>
            <w:tcW w:w="190" w:type="pct"/>
            <w:tcBorders>
              <w:top w:val="nil"/>
              <w:left w:val="nil"/>
              <w:bottom w:val="single" w:sz="4" w:space="0" w:color="auto"/>
              <w:right w:val="single" w:sz="4" w:space="0" w:color="auto"/>
            </w:tcBorders>
            <w:shd w:val="clear" w:color="auto" w:fill="F2F2F2" w:themeFill="background1" w:themeFillShade="F2"/>
            <w:noWrap/>
            <w:vAlign w:val="bottom"/>
            <w:hideMark/>
          </w:tcPr>
          <w:p w14:paraId="3D9726A5"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20</w:t>
            </w:r>
          </w:p>
        </w:tc>
        <w:tc>
          <w:tcPr>
            <w:tcW w:w="1642" w:type="pct"/>
            <w:tcBorders>
              <w:top w:val="nil"/>
              <w:left w:val="nil"/>
              <w:bottom w:val="single" w:sz="4" w:space="0" w:color="auto"/>
              <w:right w:val="single" w:sz="4" w:space="0" w:color="auto"/>
            </w:tcBorders>
            <w:shd w:val="clear" w:color="auto" w:fill="F2F2F2" w:themeFill="background1" w:themeFillShade="F2"/>
            <w:noWrap/>
            <w:vAlign w:val="bottom"/>
            <w:hideMark/>
          </w:tcPr>
          <w:p w14:paraId="6AB2568A" w14:textId="77777777" w:rsidR="007175FE" w:rsidRPr="00DA7ABE" w:rsidRDefault="007175FE" w:rsidP="007175FE">
            <w:pPr>
              <w:keepNext/>
              <w:spacing w:before="100" w:beforeAutospacing="1"/>
              <w:rPr>
                <w:rFonts w:cstheme="minorHAnsi"/>
                <w:b/>
                <w:color w:val="000000"/>
                <w:sz w:val="18"/>
                <w:szCs w:val="18"/>
              </w:rPr>
            </w:pPr>
            <w:r w:rsidRPr="00DA7ABE">
              <w:rPr>
                <w:rFonts w:cstheme="minorHAnsi"/>
                <w:b/>
                <w:color w:val="000000"/>
                <w:sz w:val="18"/>
                <w:szCs w:val="18"/>
              </w:rPr>
              <w:t>Lepší silnice</w:t>
            </w:r>
          </w:p>
        </w:tc>
        <w:tc>
          <w:tcPr>
            <w:tcW w:w="918" w:type="pct"/>
            <w:tcBorders>
              <w:top w:val="nil"/>
              <w:left w:val="nil"/>
              <w:bottom w:val="single" w:sz="4" w:space="0" w:color="auto"/>
              <w:right w:val="single" w:sz="4" w:space="0" w:color="auto"/>
            </w:tcBorders>
            <w:shd w:val="clear" w:color="auto" w:fill="auto"/>
            <w:noWrap/>
            <w:vAlign w:val="bottom"/>
            <w:hideMark/>
          </w:tcPr>
          <w:p w14:paraId="56AEDABA" w14:textId="77777777" w:rsidR="007175FE" w:rsidRPr="00DA7ABE" w:rsidRDefault="007175FE" w:rsidP="007175FE">
            <w:pPr>
              <w:keepNext/>
              <w:spacing w:before="100" w:beforeAutospacing="1"/>
              <w:rPr>
                <w:rFonts w:cstheme="minorHAnsi"/>
                <w:color w:val="000000"/>
                <w:sz w:val="18"/>
                <w:szCs w:val="18"/>
              </w:rPr>
            </w:pPr>
            <w:r w:rsidRPr="00DA7ABE">
              <w:rPr>
                <w:rFonts w:cstheme="minorHAnsi"/>
                <w:color w:val="000000"/>
                <w:sz w:val="18"/>
                <w:szCs w:val="18"/>
              </w:rPr>
              <w:t>30</w:t>
            </w:r>
          </w:p>
        </w:tc>
      </w:tr>
    </w:tbl>
    <w:p w14:paraId="512E6617" w14:textId="1AE6BB57" w:rsidR="007175F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w:t>
      </w:r>
      <w:r w:rsidR="00263EF2">
        <w:rPr>
          <w:rFonts w:asciiTheme="minorHAnsi" w:hAnsiTheme="minorHAnsi" w:cstheme="minorHAnsi"/>
        </w:rPr>
        <w:t>l města Zlín 2020;</w:t>
      </w:r>
      <w:r w:rsidRPr="00DA7ABE">
        <w:rPr>
          <w:rFonts w:asciiTheme="minorHAnsi" w:hAnsiTheme="minorHAnsi" w:cstheme="minorHAnsi"/>
        </w:rPr>
        <w:t xml:space="preserve"> Otázka 3.</w:t>
      </w:r>
      <w:r w:rsidR="00263EF2">
        <w:rPr>
          <w:rFonts w:asciiTheme="minorHAnsi" w:hAnsiTheme="minorHAnsi" w:cstheme="minorHAnsi"/>
        </w:rPr>
        <w:t>:</w:t>
      </w:r>
      <w:r w:rsidRPr="00DA7ABE">
        <w:rPr>
          <w:rFonts w:asciiTheme="minorHAnsi" w:hAnsiTheme="minorHAnsi" w:cstheme="minorHAnsi"/>
        </w:rPr>
        <w:t xml:space="preserve"> Co Vám ve Zlíně nejvíce chybí?</w:t>
      </w:r>
      <w:r>
        <w:rPr>
          <w:rFonts w:asciiTheme="minorHAnsi" w:hAnsiTheme="minorHAnsi" w:cstheme="minorHAnsi"/>
        </w:rPr>
        <w:br/>
        <w:t xml:space="preserve">Pozn.: Parkování chybí respondentům většinou v centru, v této odpovědi jsou zahrnuty i návrhy na levnější/dostupnější parkování pro občany. Odpověď „klub (hudební)“ shrnuje většinou žádosti o znovuobnovení zaniklého klubu Golem, ale také např. vyjádření o nedostatečné hudební kultuře ve městě nebo prostoru pro mladé hudební umělce. </w:t>
      </w:r>
    </w:p>
    <w:p w14:paraId="7C0F69A0" w14:textId="77777777" w:rsidR="007175FE" w:rsidRPr="004174BE" w:rsidRDefault="007175FE" w:rsidP="007175FE">
      <w:pPr>
        <w:rPr>
          <w:rFonts w:cstheme="minorHAnsi"/>
        </w:rPr>
      </w:pPr>
      <w:r w:rsidRPr="004174BE">
        <w:rPr>
          <w:rFonts w:cstheme="minorHAnsi"/>
        </w:rPr>
        <w:t>U MHD bylo zmiňováno, že není dostatek nočních spojů, padaly návrhy na bezplatnou/levnější dopravu, elektronizaci systémů. Pokud některý respondent zmi</w:t>
      </w:r>
      <w:r>
        <w:rPr>
          <w:rFonts w:cstheme="minorHAnsi"/>
        </w:rPr>
        <w:t>ňoval přímo oblast, pak to byly:</w:t>
      </w:r>
    </w:p>
    <w:p w14:paraId="76542731" w14:textId="77777777" w:rsidR="007175FE" w:rsidRPr="008063A4" w:rsidRDefault="007175FE" w:rsidP="00A55F7D">
      <w:pPr>
        <w:pStyle w:val="Odstavecseseznamem"/>
        <w:numPr>
          <w:ilvl w:val="0"/>
          <w:numId w:val="74"/>
        </w:numPr>
        <w:spacing w:before="0" w:after="160" w:line="259" w:lineRule="auto"/>
        <w:rPr>
          <w:rFonts w:cstheme="minorHAnsi"/>
        </w:rPr>
      </w:pPr>
      <w:r w:rsidRPr="008063A4">
        <w:rPr>
          <w:rFonts w:cstheme="minorHAnsi"/>
        </w:rPr>
        <w:t>okrajové části Zlína,</w:t>
      </w:r>
    </w:p>
    <w:p w14:paraId="15707D9C" w14:textId="20ADB586" w:rsidR="007175FE" w:rsidRPr="008063A4" w:rsidRDefault="007175FE" w:rsidP="00A55F7D">
      <w:pPr>
        <w:pStyle w:val="Odstavecseseznamem"/>
        <w:numPr>
          <w:ilvl w:val="0"/>
          <w:numId w:val="74"/>
        </w:numPr>
        <w:spacing w:before="0" w:after="160" w:line="259" w:lineRule="auto"/>
        <w:rPr>
          <w:rFonts w:cstheme="minorHAnsi"/>
        </w:rPr>
      </w:pPr>
      <w:r w:rsidRPr="008063A4">
        <w:rPr>
          <w:rFonts w:cstheme="minorHAnsi"/>
        </w:rPr>
        <w:t>spojení na Lazy (ul. Kamenná +</w:t>
      </w:r>
      <w:r w:rsidR="00263EF2">
        <w:rPr>
          <w:rFonts w:cstheme="minorHAnsi"/>
        </w:rPr>
        <w:t xml:space="preserve"> </w:t>
      </w:r>
      <w:r w:rsidRPr="008063A4">
        <w:rPr>
          <w:rFonts w:cstheme="minorHAnsi"/>
        </w:rPr>
        <w:t xml:space="preserve">Prlovská), </w:t>
      </w:r>
    </w:p>
    <w:p w14:paraId="178F986D" w14:textId="77777777" w:rsidR="007175FE" w:rsidRPr="008063A4" w:rsidRDefault="007175FE" w:rsidP="00A55F7D">
      <w:pPr>
        <w:pStyle w:val="Odstavecseseznamem"/>
        <w:numPr>
          <w:ilvl w:val="0"/>
          <w:numId w:val="74"/>
        </w:numPr>
        <w:spacing w:before="0" w:after="160" w:line="259" w:lineRule="auto"/>
        <w:rPr>
          <w:rFonts w:cstheme="minorHAnsi"/>
        </w:rPr>
      </w:pPr>
      <w:r w:rsidRPr="008063A4">
        <w:rPr>
          <w:rFonts w:cstheme="minorHAnsi"/>
        </w:rPr>
        <w:t>trolejbusové linky č. 8 a 9 by se mohly křížit i na JS (průjezd před Podlesí až na Kocandu, přímé spojení z JS do ZOO),</w:t>
      </w:r>
    </w:p>
    <w:p w14:paraId="7AD73D66" w14:textId="77777777" w:rsidR="007175FE" w:rsidRPr="008063A4" w:rsidRDefault="007175FE" w:rsidP="00A55F7D">
      <w:pPr>
        <w:pStyle w:val="Odstavecseseznamem"/>
        <w:numPr>
          <w:ilvl w:val="0"/>
          <w:numId w:val="74"/>
        </w:numPr>
        <w:spacing w:before="0" w:after="160" w:line="259" w:lineRule="auto"/>
        <w:rPr>
          <w:rFonts w:cstheme="minorHAnsi"/>
        </w:rPr>
      </w:pPr>
      <w:r w:rsidRPr="008063A4">
        <w:rPr>
          <w:rFonts w:cstheme="minorHAnsi"/>
        </w:rPr>
        <w:t>propojení Vršavy a Kocandy MHD,</w:t>
      </w:r>
    </w:p>
    <w:p w14:paraId="2E5B6DEA" w14:textId="77777777" w:rsidR="007175FE" w:rsidRPr="008063A4" w:rsidRDefault="007175FE" w:rsidP="00A55F7D">
      <w:pPr>
        <w:pStyle w:val="Odstavecseseznamem"/>
        <w:numPr>
          <w:ilvl w:val="0"/>
          <w:numId w:val="74"/>
        </w:numPr>
        <w:spacing w:before="0" w:after="160" w:line="259" w:lineRule="auto"/>
        <w:rPr>
          <w:rFonts w:cstheme="minorHAnsi"/>
        </w:rPr>
      </w:pPr>
      <w:r w:rsidRPr="008063A4">
        <w:rPr>
          <w:rFonts w:cstheme="minorHAnsi"/>
        </w:rPr>
        <w:t>více MHD spojů pro kočárky na Lešnou,</w:t>
      </w:r>
    </w:p>
    <w:p w14:paraId="4C48DEE8" w14:textId="137CE4EF" w:rsidR="007175FE" w:rsidRPr="007175FE" w:rsidRDefault="007175FE" w:rsidP="00A55F7D">
      <w:pPr>
        <w:pStyle w:val="Odstavecseseznamem"/>
        <w:numPr>
          <w:ilvl w:val="0"/>
          <w:numId w:val="74"/>
        </w:numPr>
        <w:spacing w:before="0" w:after="160" w:line="259" w:lineRule="auto"/>
        <w:rPr>
          <w:rFonts w:cstheme="minorHAnsi"/>
        </w:rPr>
      </w:pPr>
      <w:r w:rsidRPr="008063A4">
        <w:rPr>
          <w:rFonts w:cstheme="minorHAnsi"/>
        </w:rPr>
        <w:t>přeplněná MHD Velíková-Zlín.</w:t>
      </w:r>
    </w:p>
    <w:p w14:paraId="229C4506" w14:textId="77777777" w:rsidR="007175FE" w:rsidRDefault="007175FE" w:rsidP="007175FE">
      <w:pPr>
        <w:pStyle w:val="Nadpis3"/>
      </w:pPr>
      <w:bookmarkStart w:id="593" w:name="_Toc50116444"/>
      <w:bookmarkStart w:id="594" w:name="_Toc77074624"/>
      <w:r>
        <w:t>Jak hodnotím vývoj města za posledních 5 let</w:t>
      </w:r>
      <w:bookmarkEnd w:id="593"/>
      <w:bookmarkEnd w:id="594"/>
    </w:p>
    <w:p w14:paraId="6010A961" w14:textId="6986E140" w:rsidR="007175FE" w:rsidRPr="00DA7ABE" w:rsidRDefault="007175FE" w:rsidP="007175FE">
      <w:pPr>
        <w:rPr>
          <w:rFonts w:cstheme="minorHAnsi"/>
        </w:rPr>
      </w:pPr>
      <w:r w:rsidRPr="0042414E">
        <w:rPr>
          <w:rFonts w:cstheme="minorHAnsi"/>
        </w:rPr>
        <w:t xml:space="preserve">Na otázku: „Jak hodnotíte vývoj města za posledních 5 let?“ </w:t>
      </w:r>
      <w:r w:rsidR="00263EF2">
        <w:rPr>
          <w:rFonts w:cstheme="minorHAnsi"/>
        </w:rPr>
        <w:t>volilo</w:t>
      </w:r>
      <w:r w:rsidRPr="0042414E">
        <w:rPr>
          <w:rFonts w:cstheme="minorHAnsi"/>
        </w:rPr>
        <w:t xml:space="preserve"> </w:t>
      </w:r>
      <w:r w:rsidR="00263EF2">
        <w:rPr>
          <w:rFonts w:cstheme="minorHAnsi"/>
        </w:rPr>
        <w:t xml:space="preserve">nejvíce občanů umírněnou odpověď </w:t>
      </w:r>
      <w:r w:rsidRPr="0042414E">
        <w:rPr>
          <w:rFonts w:cstheme="minorHAnsi"/>
        </w:rPr>
        <w:t>„spíše pozitivně“ (46,5 %) nebo v 25,6 % volili odpověď „spíše negativně“. Podstatné je také, že v 10,6</w:t>
      </w:r>
      <w:r w:rsidR="00263EF2">
        <w:rPr>
          <w:rFonts w:cstheme="minorHAnsi"/>
        </w:rPr>
        <w:t> </w:t>
      </w:r>
      <w:r w:rsidRPr="0042414E">
        <w:rPr>
          <w:rFonts w:cstheme="minorHAnsi"/>
        </w:rPr>
        <w:t>% případů byl vývoj obyvateli města hodnocen jako „velmi negativní“. Responden</w:t>
      </w:r>
      <w:r w:rsidRPr="00B544DF">
        <w:rPr>
          <w:rFonts w:cstheme="minorHAnsi"/>
        </w:rPr>
        <w:t>ti, kteří ve Zlíně nemají trvalé bydliště a studenti UTB hodnotí vývoj o něco pozitivněji, tyto skupiny často raději volily odpověď „nevím“.</w:t>
      </w:r>
    </w:p>
    <w:p w14:paraId="7A3EE2E6" w14:textId="2457B481" w:rsidR="007175FE" w:rsidRPr="00DA7ABE" w:rsidRDefault="007175FE" w:rsidP="007175FE">
      <w:pPr>
        <w:pStyle w:val="Titulek"/>
        <w:keepNext/>
        <w:rPr>
          <w:rFonts w:cstheme="minorHAnsi"/>
        </w:rPr>
      </w:pPr>
      <w:bookmarkStart w:id="595" w:name="_Toc54702780"/>
      <w:bookmarkStart w:id="596" w:name="_Toc56179586"/>
      <w:bookmarkStart w:id="597" w:name="_Toc77074928"/>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7</w:t>
      </w:r>
      <w:r w:rsidR="0096730F">
        <w:rPr>
          <w:rFonts w:cstheme="minorHAnsi"/>
        </w:rPr>
        <w:fldChar w:fldCharType="end"/>
      </w:r>
      <w:r w:rsidR="00263EF2">
        <w:rPr>
          <w:rFonts w:cstheme="minorHAnsi"/>
        </w:rPr>
        <w:t>:</w:t>
      </w:r>
      <w:r w:rsidRPr="00DA7ABE">
        <w:rPr>
          <w:rFonts w:cstheme="minorHAnsi"/>
        </w:rPr>
        <w:t xml:space="preserve"> Hodnocení vývoje města za posledních 5 let</w:t>
      </w:r>
      <w:bookmarkEnd w:id="595"/>
      <w:bookmarkEnd w:id="596"/>
      <w:bookmarkEnd w:id="597"/>
    </w:p>
    <w:p w14:paraId="59938AA3" w14:textId="77777777" w:rsidR="007175FE" w:rsidRPr="00DA7ABE" w:rsidRDefault="007175FE" w:rsidP="007175FE">
      <w:pPr>
        <w:rPr>
          <w:rFonts w:cstheme="minorHAnsi"/>
        </w:rPr>
      </w:pPr>
      <w:r>
        <w:rPr>
          <w:rFonts w:cstheme="minorHAnsi"/>
          <w:noProof/>
          <w:lang w:eastAsia="cs-CZ"/>
        </w:rPr>
        <w:drawing>
          <wp:inline distT="0" distB="0" distL="0" distR="0" wp14:anchorId="53CE7621" wp14:editId="07D8DF85">
            <wp:extent cx="5773420" cy="241935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73420" cy="2419350"/>
                    </a:xfrm>
                    <a:prstGeom prst="rect">
                      <a:avLst/>
                    </a:prstGeom>
                    <a:noFill/>
                  </pic:spPr>
                </pic:pic>
              </a:graphicData>
            </a:graphic>
          </wp:inline>
        </w:drawing>
      </w:r>
    </w:p>
    <w:p w14:paraId="0C3A7D70" w14:textId="66DC0CE0"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263EF2">
        <w:rPr>
          <w:rFonts w:asciiTheme="minorHAnsi" w:hAnsiTheme="minorHAnsi" w:cstheme="minorHAnsi"/>
        </w:rPr>
        <w:t>;</w:t>
      </w:r>
      <w:r w:rsidRPr="00DA7ABE">
        <w:rPr>
          <w:rFonts w:asciiTheme="minorHAnsi" w:hAnsiTheme="minorHAnsi" w:cstheme="minorHAnsi"/>
        </w:rPr>
        <w:t xml:space="preserve"> Otázka 4.</w:t>
      </w:r>
      <w:r w:rsidR="00263EF2">
        <w:rPr>
          <w:rFonts w:asciiTheme="minorHAnsi" w:hAnsiTheme="minorHAnsi" w:cstheme="minorHAnsi"/>
        </w:rPr>
        <w:t>:</w:t>
      </w:r>
      <w:r w:rsidRPr="00DA7ABE">
        <w:rPr>
          <w:rFonts w:asciiTheme="minorHAnsi" w:hAnsiTheme="minorHAnsi" w:cstheme="minorHAnsi"/>
        </w:rPr>
        <w:t xml:space="preserve"> Jak hodnotíte vývoj města za posledních 5 let?</w:t>
      </w:r>
    </w:p>
    <w:p w14:paraId="3AEAEC95" w14:textId="590EE5C9" w:rsidR="007175FE" w:rsidRPr="00DA7ABE" w:rsidRDefault="007175FE" w:rsidP="007175FE">
      <w:pPr>
        <w:rPr>
          <w:rFonts w:cstheme="minorHAnsi"/>
        </w:rPr>
      </w:pPr>
      <w:r w:rsidRPr="00DA7ABE">
        <w:rPr>
          <w:rFonts w:cstheme="minorHAnsi"/>
        </w:rPr>
        <w:t xml:space="preserve">U žádné z věkových skupin nehodnotí sice </w:t>
      </w:r>
      <w:r>
        <w:rPr>
          <w:rFonts w:cstheme="minorHAnsi"/>
        </w:rPr>
        <w:t>občané</w:t>
      </w:r>
      <w:r w:rsidRPr="00DA7ABE">
        <w:rPr>
          <w:rFonts w:cstheme="minorHAnsi"/>
        </w:rPr>
        <w:t xml:space="preserve"> vývoj města z více procent negativně, než pozitivně, jsou ale vidět rozdíly. U mu</w:t>
      </w:r>
      <w:r w:rsidR="00263EF2">
        <w:rPr>
          <w:rFonts w:cstheme="minorHAnsi"/>
        </w:rPr>
        <w:t>žů je více negativních odpovědí</w:t>
      </w:r>
      <w:r w:rsidRPr="00DA7ABE">
        <w:rPr>
          <w:rFonts w:cstheme="minorHAnsi"/>
        </w:rPr>
        <w:t xml:space="preserve"> než u že</w:t>
      </w:r>
      <w:r>
        <w:rPr>
          <w:rFonts w:cstheme="minorHAnsi"/>
        </w:rPr>
        <w:t>n. Věkové skupiny do 34 </w:t>
      </w:r>
      <w:r w:rsidRPr="00DA7ABE">
        <w:rPr>
          <w:rFonts w:cstheme="minorHAnsi"/>
        </w:rPr>
        <w:t>let jsou vesměs s vývojem města spokojen</w:t>
      </w:r>
      <w:r>
        <w:rPr>
          <w:rFonts w:cstheme="minorHAnsi"/>
        </w:rPr>
        <w:t>y</w:t>
      </w:r>
      <w:r w:rsidRPr="00DA7ABE">
        <w:rPr>
          <w:rFonts w:cstheme="minorHAnsi"/>
        </w:rPr>
        <w:t>. Menší spokojenost s vývojem města je u starších generací. Studenti UTB jsou</w:t>
      </w:r>
      <w:r w:rsidR="00263EF2">
        <w:rPr>
          <w:rFonts w:cstheme="minorHAnsi"/>
        </w:rPr>
        <w:t xml:space="preserve"> </w:t>
      </w:r>
      <w:r w:rsidRPr="00DA7ABE">
        <w:rPr>
          <w:rFonts w:cstheme="minorHAnsi"/>
        </w:rPr>
        <w:t>s vývojem města vesměs spokojeni.</w:t>
      </w:r>
    </w:p>
    <w:p w14:paraId="6182E120" w14:textId="31719F0C" w:rsidR="007175FE" w:rsidRDefault="007175FE" w:rsidP="007175FE">
      <w:pPr>
        <w:pStyle w:val="Titulek"/>
        <w:keepNext/>
        <w:rPr>
          <w:rFonts w:cstheme="minorHAnsi"/>
        </w:rPr>
      </w:pPr>
      <w:bookmarkStart w:id="598" w:name="_Toc54702622"/>
      <w:bookmarkStart w:id="599" w:name="_Toc56179429"/>
      <w:bookmarkStart w:id="600" w:name="_Toc57731787"/>
      <w:bookmarkStart w:id="601" w:name="_Toc77074771"/>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8</w:t>
      </w:r>
      <w:r w:rsidR="00DC277C">
        <w:rPr>
          <w:rFonts w:cstheme="minorHAnsi"/>
        </w:rPr>
        <w:fldChar w:fldCharType="end"/>
      </w:r>
      <w:r w:rsidR="00263EF2">
        <w:rPr>
          <w:rFonts w:cstheme="minorHAnsi"/>
        </w:rPr>
        <w:t>:</w:t>
      </w:r>
      <w:r w:rsidRPr="00DA7ABE">
        <w:rPr>
          <w:rFonts w:cstheme="minorHAnsi"/>
        </w:rPr>
        <w:t xml:space="preserve"> Hodnocení vývoje města za posledních 5 let podle pohlaví, věku a u studentů UTB</w:t>
      </w:r>
      <w:bookmarkEnd w:id="598"/>
      <w:bookmarkEnd w:id="599"/>
      <w:bookmarkEnd w:id="600"/>
      <w:bookmarkEnd w:id="601"/>
    </w:p>
    <w:tbl>
      <w:tblPr>
        <w:tblW w:w="0" w:type="auto"/>
        <w:tblLayout w:type="fixed"/>
        <w:tblCellMar>
          <w:left w:w="70" w:type="dxa"/>
          <w:right w:w="70" w:type="dxa"/>
        </w:tblCellMar>
        <w:tblLook w:val="04A0" w:firstRow="1" w:lastRow="0" w:firstColumn="1" w:lastColumn="0" w:noHBand="0" w:noVBand="1"/>
      </w:tblPr>
      <w:tblGrid>
        <w:gridCol w:w="1353"/>
        <w:gridCol w:w="694"/>
        <w:gridCol w:w="588"/>
        <w:gridCol w:w="588"/>
        <w:gridCol w:w="1097"/>
        <w:gridCol w:w="1098"/>
        <w:gridCol w:w="1098"/>
        <w:gridCol w:w="1604"/>
        <w:gridCol w:w="942"/>
      </w:tblGrid>
      <w:tr w:rsidR="007175FE" w:rsidRPr="00F06948" w14:paraId="551442AE" w14:textId="77777777" w:rsidTr="000C49A5">
        <w:trPr>
          <w:trHeight w:val="240"/>
        </w:trPr>
        <w:tc>
          <w:tcPr>
            <w:tcW w:w="1353"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5037006"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Hodnocení</w:t>
            </w:r>
          </w:p>
        </w:tc>
        <w:tc>
          <w:tcPr>
            <w:tcW w:w="5163"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1FED897F"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Respondenti s trvalým bydlištěm ve Zlíně</w:t>
            </w:r>
          </w:p>
        </w:tc>
        <w:tc>
          <w:tcPr>
            <w:tcW w:w="1604"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6C09597"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Respondenti žijící ve Zlíně (bez trvalého bydliště)</w:t>
            </w:r>
          </w:p>
        </w:tc>
        <w:tc>
          <w:tcPr>
            <w:tcW w:w="942"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537B47F"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Studenti UTB</w:t>
            </w:r>
          </w:p>
        </w:tc>
      </w:tr>
      <w:tr w:rsidR="007175FE" w:rsidRPr="00F06948" w14:paraId="3680584C" w14:textId="77777777" w:rsidTr="000C49A5">
        <w:trPr>
          <w:trHeight w:val="240"/>
        </w:trPr>
        <w:tc>
          <w:tcPr>
            <w:tcW w:w="1353" w:type="dxa"/>
            <w:vMerge/>
            <w:tcBorders>
              <w:top w:val="single" w:sz="4" w:space="0" w:color="auto"/>
              <w:left w:val="single" w:sz="4" w:space="0" w:color="auto"/>
              <w:bottom w:val="single" w:sz="4" w:space="0" w:color="auto"/>
              <w:right w:val="single" w:sz="4" w:space="0" w:color="auto"/>
            </w:tcBorders>
            <w:vAlign w:val="center"/>
            <w:hideMark/>
          </w:tcPr>
          <w:p w14:paraId="054EDF30" w14:textId="77777777" w:rsidR="007175FE" w:rsidRPr="00F06948" w:rsidRDefault="007175FE" w:rsidP="000C49A5">
            <w:pPr>
              <w:keepNext/>
              <w:rPr>
                <w:rFonts w:ascii="Calibri" w:eastAsia="Times New Roman" w:hAnsi="Calibri" w:cs="Calibri"/>
                <w:b/>
                <w:bCs/>
                <w:color w:val="000000"/>
                <w:sz w:val="18"/>
                <w:szCs w:val="18"/>
                <w:lang w:eastAsia="cs-CZ"/>
              </w:rPr>
            </w:pPr>
          </w:p>
        </w:tc>
        <w:tc>
          <w:tcPr>
            <w:tcW w:w="694"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3DD4DCF9"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Celkem</w:t>
            </w:r>
          </w:p>
        </w:tc>
        <w:tc>
          <w:tcPr>
            <w:tcW w:w="1176"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2A2E2090"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Pohlaví</w:t>
            </w:r>
          </w:p>
        </w:tc>
        <w:tc>
          <w:tcPr>
            <w:tcW w:w="3293"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46A40190"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Věková kategorie</w:t>
            </w:r>
          </w:p>
        </w:tc>
        <w:tc>
          <w:tcPr>
            <w:tcW w:w="1604" w:type="dxa"/>
            <w:vMerge/>
            <w:tcBorders>
              <w:top w:val="single" w:sz="4" w:space="0" w:color="auto"/>
              <w:left w:val="single" w:sz="4" w:space="0" w:color="auto"/>
              <w:bottom w:val="single" w:sz="4" w:space="0" w:color="auto"/>
              <w:right w:val="single" w:sz="4" w:space="0" w:color="auto"/>
            </w:tcBorders>
            <w:vAlign w:val="center"/>
            <w:hideMark/>
          </w:tcPr>
          <w:p w14:paraId="1CDCD592" w14:textId="77777777" w:rsidR="007175FE" w:rsidRPr="00F06948" w:rsidRDefault="007175FE" w:rsidP="000C49A5">
            <w:pPr>
              <w:keepNext/>
              <w:rPr>
                <w:rFonts w:ascii="Calibri" w:eastAsia="Times New Roman" w:hAnsi="Calibri" w:cs="Calibri"/>
                <w:b/>
                <w:bCs/>
                <w:color w:val="000000"/>
                <w:sz w:val="18"/>
                <w:szCs w:val="18"/>
                <w:lang w:eastAsia="cs-CZ"/>
              </w:rPr>
            </w:pPr>
          </w:p>
        </w:tc>
        <w:tc>
          <w:tcPr>
            <w:tcW w:w="942" w:type="dxa"/>
            <w:vMerge/>
            <w:tcBorders>
              <w:top w:val="single" w:sz="4" w:space="0" w:color="auto"/>
              <w:left w:val="single" w:sz="4" w:space="0" w:color="auto"/>
              <w:bottom w:val="single" w:sz="4" w:space="0" w:color="auto"/>
              <w:right w:val="single" w:sz="4" w:space="0" w:color="auto"/>
            </w:tcBorders>
            <w:vAlign w:val="center"/>
            <w:hideMark/>
          </w:tcPr>
          <w:p w14:paraId="5EF9F6DD" w14:textId="77777777" w:rsidR="007175FE" w:rsidRPr="00F06948" w:rsidRDefault="007175FE" w:rsidP="000C49A5">
            <w:pPr>
              <w:keepNext/>
              <w:rPr>
                <w:rFonts w:ascii="Calibri" w:eastAsia="Times New Roman" w:hAnsi="Calibri" w:cs="Calibri"/>
                <w:b/>
                <w:bCs/>
                <w:color w:val="000000"/>
                <w:sz w:val="18"/>
                <w:szCs w:val="18"/>
                <w:lang w:eastAsia="cs-CZ"/>
              </w:rPr>
            </w:pPr>
          </w:p>
        </w:tc>
      </w:tr>
      <w:tr w:rsidR="007175FE" w:rsidRPr="00F06948" w14:paraId="013DD6E1" w14:textId="77777777" w:rsidTr="000C49A5">
        <w:trPr>
          <w:trHeight w:val="240"/>
        </w:trPr>
        <w:tc>
          <w:tcPr>
            <w:tcW w:w="1353" w:type="dxa"/>
            <w:vMerge/>
            <w:tcBorders>
              <w:top w:val="single" w:sz="4" w:space="0" w:color="auto"/>
              <w:left w:val="single" w:sz="4" w:space="0" w:color="auto"/>
              <w:bottom w:val="single" w:sz="4" w:space="0" w:color="auto"/>
              <w:right w:val="single" w:sz="4" w:space="0" w:color="auto"/>
            </w:tcBorders>
            <w:vAlign w:val="center"/>
            <w:hideMark/>
          </w:tcPr>
          <w:p w14:paraId="74C8378B" w14:textId="77777777" w:rsidR="007175FE" w:rsidRPr="00F06948" w:rsidRDefault="007175FE" w:rsidP="000C49A5">
            <w:pPr>
              <w:keepNext/>
              <w:rPr>
                <w:rFonts w:ascii="Calibri" w:eastAsia="Times New Roman" w:hAnsi="Calibri" w:cs="Calibri"/>
                <w:b/>
                <w:bCs/>
                <w:color w:val="000000"/>
                <w:sz w:val="18"/>
                <w:szCs w:val="18"/>
                <w:lang w:eastAsia="cs-CZ"/>
              </w:rPr>
            </w:pPr>
          </w:p>
        </w:tc>
        <w:tc>
          <w:tcPr>
            <w:tcW w:w="694" w:type="dxa"/>
            <w:vMerge/>
            <w:tcBorders>
              <w:top w:val="nil"/>
              <w:left w:val="single" w:sz="4" w:space="0" w:color="auto"/>
              <w:bottom w:val="single" w:sz="4" w:space="0" w:color="auto"/>
              <w:right w:val="single" w:sz="4" w:space="0" w:color="auto"/>
            </w:tcBorders>
            <w:vAlign w:val="center"/>
            <w:hideMark/>
          </w:tcPr>
          <w:p w14:paraId="4007CAD4" w14:textId="77777777" w:rsidR="007175FE" w:rsidRPr="00F06948" w:rsidRDefault="007175FE" w:rsidP="000C49A5">
            <w:pPr>
              <w:keepNext/>
              <w:rPr>
                <w:rFonts w:ascii="Calibri" w:eastAsia="Times New Roman" w:hAnsi="Calibri" w:cs="Calibri"/>
                <w:b/>
                <w:bCs/>
                <w:color w:val="000000"/>
                <w:sz w:val="18"/>
                <w:szCs w:val="18"/>
                <w:lang w:eastAsia="cs-CZ"/>
              </w:rPr>
            </w:pPr>
          </w:p>
        </w:tc>
        <w:tc>
          <w:tcPr>
            <w:tcW w:w="588" w:type="dxa"/>
            <w:tcBorders>
              <w:top w:val="nil"/>
              <w:left w:val="nil"/>
              <w:bottom w:val="single" w:sz="4" w:space="0" w:color="auto"/>
              <w:right w:val="single" w:sz="4" w:space="0" w:color="auto"/>
            </w:tcBorders>
            <w:shd w:val="clear" w:color="000000" w:fill="F2F2F2"/>
            <w:noWrap/>
            <w:vAlign w:val="center"/>
            <w:hideMark/>
          </w:tcPr>
          <w:p w14:paraId="05FD0042"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Muž</w:t>
            </w:r>
          </w:p>
        </w:tc>
        <w:tc>
          <w:tcPr>
            <w:tcW w:w="588" w:type="dxa"/>
            <w:tcBorders>
              <w:top w:val="nil"/>
              <w:left w:val="nil"/>
              <w:bottom w:val="single" w:sz="4" w:space="0" w:color="auto"/>
              <w:right w:val="single" w:sz="4" w:space="0" w:color="auto"/>
            </w:tcBorders>
            <w:shd w:val="clear" w:color="000000" w:fill="F2F2F2"/>
            <w:noWrap/>
            <w:vAlign w:val="center"/>
            <w:hideMark/>
          </w:tcPr>
          <w:p w14:paraId="55FFA444"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Žena</w:t>
            </w:r>
          </w:p>
        </w:tc>
        <w:tc>
          <w:tcPr>
            <w:tcW w:w="1097" w:type="dxa"/>
            <w:tcBorders>
              <w:top w:val="nil"/>
              <w:left w:val="nil"/>
              <w:bottom w:val="single" w:sz="4" w:space="0" w:color="auto"/>
              <w:right w:val="single" w:sz="4" w:space="0" w:color="auto"/>
            </w:tcBorders>
            <w:shd w:val="clear" w:color="000000" w:fill="F2F2F2"/>
            <w:noWrap/>
            <w:vAlign w:val="center"/>
            <w:hideMark/>
          </w:tcPr>
          <w:p w14:paraId="4B4D98B3"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méně než 35</w:t>
            </w:r>
          </w:p>
        </w:tc>
        <w:tc>
          <w:tcPr>
            <w:tcW w:w="1098" w:type="dxa"/>
            <w:tcBorders>
              <w:top w:val="nil"/>
              <w:left w:val="nil"/>
              <w:bottom w:val="single" w:sz="4" w:space="0" w:color="auto"/>
              <w:right w:val="single" w:sz="4" w:space="0" w:color="auto"/>
            </w:tcBorders>
            <w:shd w:val="clear" w:color="000000" w:fill="F2F2F2"/>
            <w:noWrap/>
            <w:vAlign w:val="center"/>
            <w:hideMark/>
          </w:tcPr>
          <w:p w14:paraId="7AE7D641"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35 - 64</w:t>
            </w:r>
          </w:p>
        </w:tc>
        <w:tc>
          <w:tcPr>
            <w:tcW w:w="1098" w:type="dxa"/>
            <w:tcBorders>
              <w:top w:val="nil"/>
              <w:left w:val="nil"/>
              <w:bottom w:val="single" w:sz="4" w:space="0" w:color="auto"/>
              <w:right w:val="single" w:sz="4" w:space="0" w:color="auto"/>
            </w:tcBorders>
            <w:shd w:val="clear" w:color="000000" w:fill="F2F2F2"/>
            <w:noWrap/>
            <w:vAlign w:val="center"/>
            <w:hideMark/>
          </w:tcPr>
          <w:p w14:paraId="2B13638A" w14:textId="77777777" w:rsidR="007175FE" w:rsidRPr="00F06948" w:rsidRDefault="007175FE" w:rsidP="000C49A5">
            <w:pPr>
              <w:keepNext/>
              <w:jc w:val="center"/>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65 a více</w:t>
            </w:r>
          </w:p>
        </w:tc>
        <w:tc>
          <w:tcPr>
            <w:tcW w:w="1604" w:type="dxa"/>
            <w:vMerge/>
            <w:tcBorders>
              <w:top w:val="single" w:sz="4" w:space="0" w:color="auto"/>
              <w:left w:val="single" w:sz="4" w:space="0" w:color="auto"/>
              <w:bottom w:val="single" w:sz="4" w:space="0" w:color="auto"/>
              <w:right w:val="single" w:sz="4" w:space="0" w:color="auto"/>
            </w:tcBorders>
            <w:vAlign w:val="center"/>
            <w:hideMark/>
          </w:tcPr>
          <w:p w14:paraId="21DE7C94" w14:textId="77777777" w:rsidR="007175FE" w:rsidRPr="00F06948" w:rsidRDefault="007175FE" w:rsidP="000C49A5">
            <w:pPr>
              <w:keepNext/>
              <w:rPr>
                <w:rFonts w:ascii="Calibri" w:eastAsia="Times New Roman" w:hAnsi="Calibri" w:cs="Calibri"/>
                <w:b/>
                <w:bCs/>
                <w:color w:val="000000"/>
                <w:sz w:val="18"/>
                <w:szCs w:val="18"/>
                <w:lang w:eastAsia="cs-CZ"/>
              </w:rPr>
            </w:pPr>
          </w:p>
        </w:tc>
        <w:tc>
          <w:tcPr>
            <w:tcW w:w="942" w:type="dxa"/>
            <w:vMerge/>
            <w:tcBorders>
              <w:top w:val="single" w:sz="4" w:space="0" w:color="auto"/>
              <w:left w:val="single" w:sz="4" w:space="0" w:color="auto"/>
              <w:bottom w:val="single" w:sz="4" w:space="0" w:color="auto"/>
              <w:right w:val="single" w:sz="4" w:space="0" w:color="auto"/>
            </w:tcBorders>
            <w:vAlign w:val="center"/>
            <w:hideMark/>
          </w:tcPr>
          <w:p w14:paraId="6F5DEC44" w14:textId="77777777" w:rsidR="007175FE" w:rsidRPr="00F06948" w:rsidRDefault="007175FE" w:rsidP="000C49A5">
            <w:pPr>
              <w:keepNext/>
              <w:rPr>
                <w:rFonts w:ascii="Calibri" w:eastAsia="Times New Roman" w:hAnsi="Calibri" w:cs="Calibri"/>
                <w:b/>
                <w:bCs/>
                <w:color w:val="000000"/>
                <w:sz w:val="18"/>
                <w:szCs w:val="18"/>
                <w:lang w:eastAsia="cs-CZ"/>
              </w:rPr>
            </w:pPr>
          </w:p>
        </w:tc>
      </w:tr>
      <w:tr w:rsidR="007175FE" w:rsidRPr="00F06948" w14:paraId="23EB9BE7" w14:textId="77777777" w:rsidTr="000C49A5">
        <w:trPr>
          <w:trHeight w:val="240"/>
        </w:trPr>
        <w:tc>
          <w:tcPr>
            <w:tcW w:w="1353" w:type="dxa"/>
            <w:tcBorders>
              <w:top w:val="nil"/>
              <w:left w:val="single" w:sz="4" w:space="0" w:color="auto"/>
              <w:bottom w:val="single" w:sz="4" w:space="0" w:color="auto"/>
              <w:right w:val="single" w:sz="4" w:space="0" w:color="auto"/>
            </w:tcBorders>
            <w:shd w:val="clear" w:color="auto" w:fill="auto"/>
            <w:noWrap/>
            <w:vAlign w:val="center"/>
            <w:hideMark/>
          </w:tcPr>
          <w:p w14:paraId="3C69380D" w14:textId="77777777" w:rsidR="007175FE" w:rsidRPr="00F06948" w:rsidRDefault="007175FE" w:rsidP="000C49A5">
            <w:pPr>
              <w:keepNext/>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Velmi negativně</w:t>
            </w:r>
          </w:p>
        </w:tc>
        <w:tc>
          <w:tcPr>
            <w:tcW w:w="694" w:type="dxa"/>
            <w:tcBorders>
              <w:top w:val="single" w:sz="4" w:space="0" w:color="auto"/>
              <w:left w:val="single" w:sz="4" w:space="0" w:color="auto"/>
              <w:bottom w:val="single" w:sz="4" w:space="0" w:color="auto"/>
              <w:right w:val="single" w:sz="4" w:space="0" w:color="auto"/>
            </w:tcBorders>
            <w:shd w:val="clear" w:color="000000" w:fill="CFDCEF"/>
            <w:noWrap/>
            <w:hideMark/>
          </w:tcPr>
          <w:p w14:paraId="2B981B0C"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10,6%</w:t>
            </w:r>
          </w:p>
        </w:tc>
        <w:tc>
          <w:tcPr>
            <w:tcW w:w="588" w:type="dxa"/>
            <w:tcBorders>
              <w:top w:val="single" w:sz="4" w:space="0" w:color="auto"/>
              <w:left w:val="single" w:sz="4" w:space="0" w:color="auto"/>
              <w:bottom w:val="single" w:sz="4" w:space="0" w:color="auto"/>
              <w:right w:val="single" w:sz="4" w:space="0" w:color="auto"/>
            </w:tcBorders>
            <w:shd w:val="clear" w:color="000000" w:fill="DDE6F4"/>
            <w:noWrap/>
            <w:hideMark/>
          </w:tcPr>
          <w:p w14:paraId="055275E0"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11,9%</w:t>
            </w:r>
          </w:p>
        </w:tc>
        <w:tc>
          <w:tcPr>
            <w:tcW w:w="588" w:type="dxa"/>
            <w:tcBorders>
              <w:top w:val="single" w:sz="4" w:space="0" w:color="auto"/>
              <w:left w:val="single" w:sz="4" w:space="0" w:color="auto"/>
              <w:bottom w:val="single" w:sz="4" w:space="0" w:color="auto"/>
              <w:right w:val="single" w:sz="4" w:space="0" w:color="auto"/>
            </w:tcBorders>
            <w:shd w:val="clear" w:color="000000" w:fill="C3D3EA"/>
            <w:noWrap/>
            <w:hideMark/>
          </w:tcPr>
          <w:p w14:paraId="4780D609"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9,4%</w:t>
            </w:r>
          </w:p>
        </w:tc>
        <w:tc>
          <w:tcPr>
            <w:tcW w:w="1097" w:type="dxa"/>
            <w:tcBorders>
              <w:top w:val="single" w:sz="4" w:space="0" w:color="auto"/>
              <w:left w:val="single" w:sz="4" w:space="0" w:color="auto"/>
              <w:bottom w:val="single" w:sz="4" w:space="0" w:color="auto"/>
              <w:right w:val="single" w:sz="4" w:space="0" w:color="auto"/>
            </w:tcBorders>
            <w:shd w:val="clear" w:color="000000" w:fill="93B2DA"/>
            <w:noWrap/>
            <w:hideMark/>
          </w:tcPr>
          <w:p w14:paraId="349FF1E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6,1%</w:t>
            </w:r>
          </w:p>
        </w:tc>
        <w:tc>
          <w:tcPr>
            <w:tcW w:w="1098" w:type="dxa"/>
            <w:tcBorders>
              <w:top w:val="single" w:sz="4" w:space="0" w:color="auto"/>
              <w:left w:val="single" w:sz="4" w:space="0" w:color="auto"/>
              <w:bottom w:val="single" w:sz="4" w:space="0" w:color="auto"/>
              <w:right w:val="single" w:sz="4" w:space="0" w:color="auto"/>
            </w:tcBorders>
            <w:shd w:val="clear" w:color="000000" w:fill="C3D3EA"/>
            <w:noWrap/>
            <w:hideMark/>
          </w:tcPr>
          <w:p w14:paraId="77112F6B"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10,2%</w:t>
            </w:r>
          </w:p>
        </w:tc>
        <w:tc>
          <w:tcPr>
            <w:tcW w:w="1098" w:type="dxa"/>
            <w:tcBorders>
              <w:top w:val="single" w:sz="4" w:space="0" w:color="auto"/>
              <w:left w:val="single" w:sz="4" w:space="0" w:color="auto"/>
              <w:bottom w:val="single" w:sz="4" w:space="0" w:color="auto"/>
              <w:right w:val="single" w:sz="4" w:space="0" w:color="auto"/>
            </w:tcBorders>
            <w:shd w:val="clear" w:color="000000" w:fill="FCFAFD"/>
            <w:noWrap/>
            <w:hideMark/>
          </w:tcPr>
          <w:p w14:paraId="695514A7"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15,3%</w:t>
            </w:r>
          </w:p>
        </w:tc>
        <w:tc>
          <w:tcPr>
            <w:tcW w:w="1604" w:type="dxa"/>
            <w:tcBorders>
              <w:top w:val="single" w:sz="4" w:space="0" w:color="auto"/>
              <w:left w:val="single" w:sz="4" w:space="0" w:color="auto"/>
              <w:bottom w:val="single" w:sz="4" w:space="0" w:color="auto"/>
              <w:right w:val="single" w:sz="4" w:space="0" w:color="auto"/>
            </w:tcBorders>
            <w:shd w:val="clear" w:color="000000" w:fill="6793CA"/>
            <w:noWrap/>
            <w:hideMark/>
          </w:tcPr>
          <w:p w14:paraId="00064362"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2,7%</w:t>
            </w:r>
          </w:p>
        </w:tc>
        <w:tc>
          <w:tcPr>
            <w:tcW w:w="942" w:type="dxa"/>
            <w:tcBorders>
              <w:top w:val="single" w:sz="4" w:space="0" w:color="auto"/>
              <w:left w:val="single" w:sz="4" w:space="0" w:color="auto"/>
              <w:bottom w:val="single" w:sz="4" w:space="0" w:color="auto"/>
              <w:right w:val="single" w:sz="4" w:space="0" w:color="auto"/>
            </w:tcBorders>
            <w:shd w:val="clear" w:color="000000" w:fill="5A8AC6"/>
            <w:noWrap/>
            <w:hideMark/>
          </w:tcPr>
          <w:p w14:paraId="0B53AB9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1,6%</w:t>
            </w:r>
          </w:p>
        </w:tc>
      </w:tr>
      <w:tr w:rsidR="007175FE" w:rsidRPr="00F06948" w14:paraId="15C37E35" w14:textId="77777777" w:rsidTr="000C49A5">
        <w:trPr>
          <w:trHeight w:val="240"/>
        </w:trPr>
        <w:tc>
          <w:tcPr>
            <w:tcW w:w="1353" w:type="dxa"/>
            <w:tcBorders>
              <w:top w:val="nil"/>
              <w:left w:val="single" w:sz="4" w:space="0" w:color="auto"/>
              <w:bottom w:val="single" w:sz="4" w:space="0" w:color="auto"/>
              <w:right w:val="single" w:sz="4" w:space="0" w:color="auto"/>
            </w:tcBorders>
            <w:shd w:val="clear" w:color="auto" w:fill="auto"/>
            <w:noWrap/>
            <w:vAlign w:val="center"/>
            <w:hideMark/>
          </w:tcPr>
          <w:p w14:paraId="20C8A356" w14:textId="77777777" w:rsidR="007175FE" w:rsidRPr="00F06948" w:rsidRDefault="007175FE" w:rsidP="000C49A5">
            <w:pPr>
              <w:keepNext/>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Spíše negativně</w:t>
            </w:r>
          </w:p>
        </w:tc>
        <w:tc>
          <w:tcPr>
            <w:tcW w:w="694" w:type="dxa"/>
            <w:tcBorders>
              <w:top w:val="single" w:sz="4" w:space="0" w:color="auto"/>
              <w:left w:val="single" w:sz="4" w:space="0" w:color="auto"/>
              <w:bottom w:val="single" w:sz="4" w:space="0" w:color="auto"/>
              <w:right w:val="single" w:sz="4" w:space="0" w:color="auto"/>
            </w:tcBorders>
            <w:shd w:val="clear" w:color="000000" w:fill="FBCFD1"/>
            <w:noWrap/>
            <w:hideMark/>
          </w:tcPr>
          <w:p w14:paraId="4C2EE745"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25,6%</w:t>
            </w:r>
          </w:p>
        </w:tc>
        <w:tc>
          <w:tcPr>
            <w:tcW w:w="588" w:type="dxa"/>
            <w:tcBorders>
              <w:top w:val="single" w:sz="4" w:space="0" w:color="auto"/>
              <w:left w:val="single" w:sz="4" w:space="0" w:color="auto"/>
              <w:bottom w:val="single" w:sz="4" w:space="0" w:color="auto"/>
              <w:right w:val="single" w:sz="4" w:space="0" w:color="auto"/>
            </w:tcBorders>
            <w:shd w:val="clear" w:color="000000" w:fill="FBBEC1"/>
            <w:noWrap/>
            <w:hideMark/>
          </w:tcPr>
          <w:p w14:paraId="3E6B116A"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29,6%</w:t>
            </w:r>
          </w:p>
        </w:tc>
        <w:tc>
          <w:tcPr>
            <w:tcW w:w="588" w:type="dxa"/>
            <w:tcBorders>
              <w:top w:val="single" w:sz="4" w:space="0" w:color="auto"/>
              <w:left w:val="single" w:sz="4" w:space="0" w:color="auto"/>
              <w:bottom w:val="single" w:sz="4" w:space="0" w:color="auto"/>
              <w:right w:val="single" w:sz="4" w:space="0" w:color="auto"/>
            </w:tcBorders>
            <w:shd w:val="clear" w:color="000000" w:fill="FCDDE0"/>
            <w:noWrap/>
            <w:hideMark/>
          </w:tcPr>
          <w:p w14:paraId="2C87F70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22,0%</w:t>
            </w:r>
          </w:p>
        </w:tc>
        <w:tc>
          <w:tcPr>
            <w:tcW w:w="1097" w:type="dxa"/>
            <w:tcBorders>
              <w:top w:val="single" w:sz="4" w:space="0" w:color="auto"/>
              <w:left w:val="single" w:sz="4" w:space="0" w:color="auto"/>
              <w:bottom w:val="single" w:sz="4" w:space="0" w:color="auto"/>
              <w:right w:val="single" w:sz="4" w:space="0" w:color="auto"/>
            </w:tcBorders>
            <w:shd w:val="clear" w:color="000000" w:fill="FCF2F5"/>
            <w:noWrap/>
            <w:hideMark/>
          </w:tcPr>
          <w:p w14:paraId="771DD55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17,2%</w:t>
            </w:r>
          </w:p>
        </w:tc>
        <w:tc>
          <w:tcPr>
            <w:tcW w:w="1098" w:type="dxa"/>
            <w:tcBorders>
              <w:top w:val="single" w:sz="4" w:space="0" w:color="auto"/>
              <w:left w:val="single" w:sz="4" w:space="0" w:color="auto"/>
              <w:bottom w:val="single" w:sz="4" w:space="0" w:color="auto"/>
              <w:right w:val="single" w:sz="4" w:space="0" w:color="auto"/>
            </w:tcBorders>
            <w:shd w:val="clear" w:color="000000" w:fill="FBC5C8"/>
            <w:noWrap/>
            <w:hideMark/>
          </w:tcPr>
          <w:p w14:paraId="4E8E2ABE"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28,9%</w:t>
            </w:r>
          </w:p>
        </w:tc>
        <w:tc>
          <w:tcPr>
            <w:tcW w:w="1098" w:type="dxa"/>
            <w:tcBorders>
              <w:top w:val="single" w:sz="4" w:space="0" w:color="auto"/>
              <w:left w:val="single" w:sz="4" w:space="0" w:color="auto"/>
              <w:bottom w:val="single" w:sz="4" w:space="0" w:color="auto"/>
              <w:right w:val="single" w:sz="4" w:space="0" w:color="auto"/>
            </w:tcBorders>
            <w:shd w:val="clear" w:color="000000" w:fill="FBCBCE"/>
            <w:noWrap/>
            <w:hideMark/>
          </w:tcPr>
          <w:p w14:paraId="3F0AA772"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27,2%</w:t>
            </w:r>
          </w:p>
        </w:tc>
        <w:tc>
          <w:tcPr>
            <w:tcW w:w="1604" w:type="dxa"/>
            <w:tcBorders>
              <w:top w:val="single" w:sz="4" w:space="0" w:color="auto"/>
              <w:left w:val="single" w:sz="4" w:space="0" w:color="auto"/>
              <w:bottom w:val="single" w:sz="4" w:space="0" w:color="auto"/>
              <w:right w:val="single" w:sz="4" w:space="0" w:color="auto"/>
            </w:tcBorders>
            <w:shd w:val="clear" w:color="000000" w:fill="F0F3FA"/>
            <w:noWrap/>
            <w:hideMark/>
          </w:tcPr>
          <w:p w14:paraId="16C693E3"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13,6%</w:t>
            </w:r>
          </w:p>
        </w:tc>
        <w:tc>
          <w:tcPr>
            <w:tcW w:w="942" w:type="dxa"/>
            <w:tcBorders>
              <w:top w:val="single" w:sz="4" w:space="0" w:color="auto"/>
              <w:left w:val="single" w:sz="4" w:space="0" w:color="auto"/>
              <w:bottom w:val="single" w:sz="4" w:space="0" w:color="auto"/>
              <w:right w:val="single" w:sz="4" w:space="0" w:color="auto"/>
            </w:tcBorders>
            <w:shd w:val="clear" w:color="000000" w:fill="F7F8FD"/>
            <w:noWrap/>
            <w:hideMark/>
          </w:tcPr>
          <w:p w14:paraId="5B242C47"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14,2%</w:t>
            </w:r>
          </w:p>
        </w:tc>
      </w:tr>
      <w:tr w:rsidR="007175FE" w:rsidRPr="00F06948" w14:paraId="2EC5E9D0" w14:textId="77777777" w:rsidTr="000C49A5">
        <w:trPr>
          <w:trHeight w:val="240"/>
        </w:trPr>
        <w:tc>
          <w:tcPr>
            <w:tcW w:w="1353" w:type="dxa"/>
            <w:tcBorders>
              <w:top w:val="nil"/>
              <w:left w:val="single" w:sz="4" w:space="0" w:color="auto"/>
              <w:bottom w:val="single" w:sz="4" w:space="0" w:color="auto"/>
              <w:right w:val="single" w:sz="4" w:space="0" w:color="auto"/>
            </w:tcBorders>
            <w:shd w:val="clear" w:color="auto" w:fill="auto"/>
            <w:noWrap/>
            <w:vAlign w:val="center"/>
            <w:hideMark/>
          </w:tcPr>
          <w:p w14:paraId="07CD65A3" w14:textId="77777777" w:rsidR="007175FE" w:rsidRPr="00F06948" w:rsidRDefault="007175FE" w:rsidP="000C49A5">
            <w:pPr>
              <w:keepNext/>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Spíše pozitivně</w:t>
            </w:r>
          </w:p>
        </w:tc>
        <w:tc>
          <w:tcPr>
            <w:tcW w:w="694" w:type="dxa"/>
            <w:tcBorders>
              <w:top w:val="single" w:sz="4" w:space="0" w:color="auto"/>
              <w:left w:val="single" w:sz="4" w:space="0" w:color="auto"/>
              <w:bottom w:val="single" w:sz="4" w:space="0" w:color="auto"/>
              <w:right w:val="single" w:sz="4" w:space="0" w:color="auto"/>
            </w:tcBorders>
            <w:shd w:val="clear" w:color="000000" w:fill="F98284"/>
            <w:noWrap/>
            <w:hideMark/>
          </w:tcPr>
          <w:p w14:paraId="6DC0E26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46,5%</w:t>
            </w:r>
          </w:p>
        </w:tc>
        <w:tc>
          <w:tcPr>
            <w:tcW w:w="588" w:type="dxa"/>
            <w:tcBorders>
              <w:top w:val="single" w:sz="4" w:space="0" w:color="auto"/>
              <w:left w:val="single" w:sz="4" w:space="0" w:color="auto"/>
              <w:bottom w:val="single" w:sz="4" w:space="0" w:color="auto"/>
              <w:right w:val="single" w:sz="4" w:space="0" w:color="auto"/>
            </w:tcBorders>
            <w:shd w:val="clear" w:color="000000" w:fill="F98A8D"/>
            <w:noWrap/>
            <w:hideMark/>
          </w:tcPr>
          <w:p w14:paraId="1BBA4823"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44,6%</w:t>
            </w:r>
          </w:p>
        </w:tc>
        <w:tc>
          <w:tcPr>
            <w:tcW w:w="588" w:type="dxa"/>
            <w:tcBorders>
              <w:top w:val="single" w:sz="4" w:space="0" w:color="auto"/>
              <w:left w:val="single" w:sz="4" w:space="0" w:color="auto"/>
              <w:bottom w:val="single" w:sz="4" w:space="0" w:color="auto"/>
              <w:right w:val="single" w:sz="4" w:space="0" w:color="auto"/>
            </w:tcBorders>
            <w:shd w:val="clear" w:color="000000" w:fill="F97B7D"/>
            <w:noWrap/>
            <w:hideMark/>
          </w:tcPr>
          <w:p w14:paraId="546E1B8A"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48,3%</w:t>
            </w:r>
          </w:p>
        </w:tc>
        <w:tc>
          <w:tcPr>
            <w:tcW w:w="1097" w:type="dxa"/>
            <w:tcBorders>
              <w:top w:val="single" w:sz="4" w:space="0" w:color="auto"/>
              <w:left w:val="single" w:sz="4" w:space="0" w:color="auto"/>
              <w:bottom w:val="single" w:sz="4" w:space="0" w:color="auto"/>
              <w:right w:val="single" w:sz="4" w:space="0" w:color="auto"/>
            </w:tcBorders>
            <w:shd w:val="clear" w:color="000000" w:fill="F8696B"/>
            <w:noWrap/>
            <w:hideMark/>
          </w:tcPr>
          <w:p w14:paraId="1F23592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52,5%</w:t>
            </w:r>
          </w:p>
        </w:tc>
        <w:tc>
          <w:tcPr>
            <w:tcW w:w="1098" w:type="dxa"/>
            <w:tcBorders>
              <w:top w:val="single" w:sz="4" w:space="0" w:color="auto"/>
              <w:left w:val="single" w:sz="4" w:space="0" w:color="auto"/>
              <w:bottom w:val="single" w:sz="4" w:space="0" w:color="auto"/>
              <w:right w:val="single" w:sz="4" w:space="0" w:color="auto"/>
            </w:tcBorders>
            <w:shd w:val="clear" w:color="000000" w:fill="F98688"/>
            <w:noWrap/>
            <w:hideMark/>
          </w:tcPr>
          <w:p w14:paraId="2A1FBC61"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45,2%</w:t>
            </w:r>
          </w:p>
        </w:tc>
        <w:tc>
          <w:tcPr>
            <w:tcW w:w="1098" w:type="dxa"/>
            <w:tcBorders>
              <w:top w:val="single" w:sz="4" w:space="0" w:color="auto"/>
              <w:left w:val="single" w:sz="4" w:space="0" w:color="auto"/>
              <w:bottom w:val="single" w:sz="4" w:space="0" w:color="auto"/>
              <w:right w:val="single" w:sz="4" w:space="0" w:color="auto"/>
            </w:tcBorders>
            <w:shd w:val="clear" w:color="000000" w:fill="F98C8E"/>
            <w:noWrap/>
            <w:hideMark/>
          </w:tcPr>
          <w:p w14:paraId="1E8AAA3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43,6%</w:t>
            </w:r>
          </w:p>
        </w:tc>
        <w:tc>
          <w:tcPr>
            <w:tcW w:w="1604" w:type="dxa"/>
            <w:tcBorders>
              <w:top w:val="single" w:sz="4" w:space="0" w:color="auto"/>
              <w:left w:val="single" w:sz="4" w:space="0" w:color="auto"/>
              <w:bottom w:val="single" w:sz="4" w:space="0" w:color="auto"/>
              <w:right w:val="single" w:sz="4" w:space="0" w:color="auto"/>
            </w:tcBorders>
            <w:shd w:val="clear" w:color="000000" w:fill="F9878A"/>
            <w:noWrap/>
            <w:hideMark/>
          </w:tcPr>
          <w:p w14:paraId="48B08C5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44,8%</w:t>
            </w:r>
          </w:p>
        </w:tc>
        <w:tc>
          <w:tcPr>
            <w:tcW w:w="942" w:type="dxa"/>
            <w:tcBorders>
              <w:top w:val="single" w:sz="4" w:space="0" w:color="auto"/>
              <w:left w:val="single" w:sz="4" w:space="0" w:color="auto"/>
              <w:bottom w:val="single" w:sz="4" w:space="0" w:color="auto"/>
              <w:right w:val="single" w:sz="4" w:space="0" w:color="auto"/>
            </w:tcBorders>
            <w:shd w:val="clear" w:color="000000" w:fill="F98C8E"/>
            <w:noWrap/>
            <w:hideMark/>
          </w:tcPr>
          <w:p w14:paraId="3804E4A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43,7%</w:t>
            </w:r>
          </w:p>
        </w:tc>
      </w:tr>
      <w:tr w:rsidR="007175FE" w:rsidRPr="00F06948" w14:paraId="44E3A082" w14:textId="77777777" w:rsidTr="000C49A5">
        <w:trPr>
          <w:trHeight w:val="240"/>
        </w:trPr>
        <w:tc>
          <w:tcPr>
            <w:tcW w:w="1353" w:type="dxa"/>
            <w:tcBorders>
              <w:top w:val="nil"/>
              <w:left w:val="single" w:sz="4" w:space="0" w:color="auto"/>
              <w:bottom w:val="single" w:sz="4" w:space="0" w:color="auto"/>
              <w:right w:val="single" w:sz="4" w:space="0" w:color="auto"/>
            </w:tcBorders>
            <w:shd w:val="clear" w:color="auto" w:fill="auto"/>
            <w:noWrap/>
            <w:vAlign w:val="center"/>
            <w:hideMark/>
          </w:tcPr>
          <w:p w14:paraId="79A79B0A" w14:textId="77777777" w:rsidR="007175FE" w:rsidRPr="00F06948" w:rsidRDefault="007175FE" w:rsidP="000C49A5">
            <w:pPr>
              <w:keepNext/>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Velmi pozitivně</w:t>
            </w:r>
          </w:p>
        </w:tc>
        <w:tc>
          <w:tcPr>
            <w:tcW w:w="694" w:type="dxa"/>
            <w:tcBorders>
              <w:top w:val="single" w:sz="4" w:space="0" w:color="auto"/>
              <w:left w:val="single" w:sz="4" w:space="0" w:color="auto"/>
              <w:bottom w:val="single" w:sz="4" w:space="0" w:color="auto"/>
              <w:right w:val="single" w:sz="4" w:space="0" w:color="auto"/>
            </w:tcBorders>
            <w:shd w:val="clear" w:color="000000" w:fill="CDDAEE"/>
            <w:noWrap/>
            <w:hideMark/>
          </w:tcPr>
          <w:p w14:paraId="2DF3BD9A"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11,4%</w:t>
            </w:r>
          </w:p>
        </w:tc>
        <w:tc>
          <w:tcPr>
            <w:tcW w:w="588" w:type="dxa"/>
            <w:tcBorders>
              <w:top w:val="single" w:sz="4" w:space="0" w:color="auto"/>
              <w:left w:val="single" w:sz="4" w:space="0" w:color="auto"/>
              <w:bottom w:val="single" w:sz="4" w:space="0" w:color="auto"/>
              <w:right w:val="single" w:sz="4" w:space="0" w:color="auto"/>
            </w:tcBorders>
            <w:shd w:val="clear" w:color="000000" w:fill="ABC3E2"/>
            <w:noWrap/>
            <w:hideMark/>
          </w:tcPr>
          <w:p w14:paraId="7ABD973B"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8,6%</w:t>
            </w:r>
          </w:p>
        </w:tc>
        <w:tc>
          <w:tcPr>
            <w:tcW w:w="588" w:type="dxa"/>
            <w:tcBorders>
              <w:top w:val="single" w:sz="4" w:space="0" w:color="auto"/>
              <w:left w:val="single" w:sz="4" w:space="0" w:color="auto"/>
              <w:bottom w:val="single" w:sz="4" w:space="0" w:color="auto"/>
              <w:right w:val="single" w:sz="4" w:space="0" w:color="auto"/>
            </w:tcBorders>
            <w:shd w:val="clear" w:color="000000" w:fill="EBF0F9"/>
            <w:noWrap/>
            <w:hideMark/>
          </w:tcPr>
          <w:p w14:paraId="565FADEA"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13,9%</w:t>
            </w:r>
          </w:p>
        </w:tc>
        <w:tc>
          <w:tcPr>
            <w:tcW w:w="1097" w:type="dxa"/>
            <w:tcBorders>
              <w:top w:val="single" w:sz="4" w:space="0" w:color="auto"/>
              <w:left w:val="single" w:sz="4" w:space="0" w:color="auto"/>
              <w:bottom w:val="single" w:sz="4" w:space="0" w:color="auto"/>
              <w:right w:val="single" w:sz="4" w:space="0" w:color="auto"/>
            </w:tcBorders>
            <w:shd w:val="clear" w:color="000000" w:fill="FCF1F4"/>
            <w:noWrap/>
            <w:hideMark/>
          </w:tcPr>
          <w:p w14:paraId="2F9FD109"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17,7%</w:t>
            </w:r>
          </w:p>
        </w:tc>
        <w:tc>
          <w:tcPr>
            <w:tcW w:w="1098" w:type="dxa"/>
            <w:tcBorders>
              <w:top w:val="single" w:sz="4" w:space="0" w:color="auto"/>
              <w:left w:val="single" w:sz="4" w:space="0" w:color="auto"/>
              <w:bottom w:val="single" w:sz="4" w:space="0" w:color="auto"/>
              <w:right w:val="single" w:sz="4" w:space="0" w:color="auto"/>
            </w:tcBorders>
            <w:shd w:val="clear" w:color="000000" w:fill="B9CCE7"/>
            <w:noWrap/>
            <w:hideMark/>
          </w:tcPr>
          <w:p w14:paraId="212316B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9,1%</w:t>
            </w:r>
          </w:p>
        </w:tc>
        <w:tc>
          <w:tcPr>
            <w:tcW w:w="1098" w:type="dxa"/>
            <w:tcBorders>
              <w:top w:val="single" w:sz="4" w:space="0" w:color="auto"/>
              <w:left w:val="single" w:sz="4" w:space="0" w:color="auto"/>
              <w:bottom w:val="single" w:sz="4" w:space="0" w:color="auto"/>
              <w:right w:val="single" w:sz="4" w:space="0" w:color="auto"/>
            </w:tcBorders>
            <w:shd w:val="clear" w:color="000000" w:fill="C0D2EA"/>
            <w:noWrap/>
            <w:hideMark/>
          </w:tcPr>
          <w:p w14:paraId="5A2C5402"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9,9%</w:t>
            </w:r>
          </w:p>
        </w:tc>
        <w:tc>
          <w:tcPr>
            <w:tcW w:w="1604" w:type="dxa"/>
            <w:tcBorders>
              <w:top w:val="single" w:sz="4" w:space="0" w:color="auto"/>
              <w:left w:val="single" w:sz="4" w:space="0" w:color="auto"/>
              <w:bottom w:val="single" w:sz="4" w:space="0" w:color="auto"/>
              <w:right w:val="single" w:sz="4" w:space="0" w:color="auto"/>
            </w:tcBorders>
            <w:shd w:val="clear" w:color="000000" w:fill="FCFBFE"/>
            <w:noWrap/>
            <w:hideMark/>
          </w:tcPr>
          <w:p w14:paraId="719FBA8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14,9%</w:t>
            </w:r>
          </w:p>
        </w:tc>
        <w:tc>
          <w:tcPr>
            <w:tcW w:w="942" w:type="dxa"/>
            <w:tcBorders>
              <w:top w:val="single" w:sz="4" w:space="0" w:color="auto"/>
              <w:left w:val="single" w:sz="4" w:space="0" w:color="auto"/>
              <w:bottom w:val="single" w:sz="4" w:space="0" w:color="auto"/>
              <w:right w:val="single" w:sz="4" w:space="0" w:color="auto"/>
            </w:tcBorders>
            <w:shd w:val="clear" w:color="000000" w:fill="FCF4F7"/>
            <w:noWrap/>
            <w:hideMark/>
          </w:tcPr>
          <w:p w14:paraId="17C392CE"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16,8%</w:t>
            </w:r>
          </w:p>
        </w:tc>
      </w:tr>
      <w:tr w:rsidR="007175FE" w:rsidRPr="00F06948" w14:paraId="09297CFF" w14:textId="77777777" w:rsidTr="000C49A5">
        <w:trPr>
          <w:trHeight w:val="240"/>
        </w:trPr>
        <w:tc>
          <w:tcPr>
            <w:tcW w:w="1353" w:type="dxa"/>
            <w:tcBorders>
              <w:top w:val="nil"/>
              <w:left w:val="single" w:sz="4" w:space="0" w:color="auto"/>
              <w:bottom w:val="single" w:sz="4" w:space="0" w:color="auto"/>
              <w:right w:val="single" w:sz="4" w:space="0" w:color="auto"/>
            </w:tcBorders>
            <w:shd w:val="clear" w:color="auto" w:fill="auto"/>
            <w:noWrap/>
            <w:vAlign w:val="center"/>
            <w:hideMark/>
          </w:tcPr>
          <w:p w14:paraId="6B91737D" w14:textId="77777777" w:rsidR="007175FE" w:rsidRPr="00F06948" w:rsidRDefault="007175FE" w:rsidP="000C49A5">
            <w:pPr>
              <w:keepNext/>
              <w:rPr>
                <w:rFonts w:ascii="Calibri" w:eastAsia="Times New Roman" w:hAnsi="Calibri" w:cs="Calibri"/>
                <w:b/>
                <w:bCs/>
                <w:color w:val="000000"/>
                <w:sz w:val="18"/>
                <w:szCs w:val="18"/>
                <w:lang w:eastAsia="cs-CZ"/>
              </w:rPr>
            </w:pPr>
            <w:r w:rsidRPr="00F06948">
              <w:rPr>
                <w:rFonts w:ascii="Calibri" w:eastAsia="Times New Roman" w:hAnsi="Calibri" w:cs="Calibri"/>
                <w:b/>
                <w:bCs/>
                <w:color w:val="000000"/>
                <w:sz w:val="18"/>
                <w:szCs w:val="18"/>
                <w:lang w:eastAsia="cs-CZ"/>
              </w:rPr>
              <w:t>Nevím</w:t>
            </w:r>
          </w:p>
        </w:tc>
        <w:tc>
          <w:tcPr>
            <w:tcW w:w="694" w:type="dxa"/>
            <w:tcBorders>
              <w:top w:val="single" w:sz="4" w:space="0" w:color="auto"/>
              <w:left w:val="single" w:sz="4" w:space="0" w:color="auto"/>
              <w:bottom w:val="single" w:sz="4" w:space="0" w:color="auto"/>
              <w:right w:val="single" w:sz="4" w:space="0" w:color="auto"/>
            </w:tcBorders>
            <w:shd w:val="clear" w:color="000000" w:fill="8EAED8"/>
            <w:noWrap/>
            <w:hideMark/>
          </w:tcPr>
          <w:p w14:paraId="46088190"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5,9%</w:t>
            </w:r>
          </w:p>
        </w:tc>
        <w:tc>
          <w:tcPr>
            <w:tcW w:w="588" w:type="dxa"/>
            <w:tcBorders>
              <w:top w:val="single" w:sz="4" w:space="0" w:color="auto"/>
              <w:left w:val="single" w:sz="4" w:space="0" w:color="auto"/>
              <w:bottom w:val="single" w:sz="4" w:space="0" w:color="auto"/>
              <w:right w:val="single" w:sz="4" w:space="0" w:color="auto"/>
            </w:tcBorders>
            <w:shd w:val="clear" w:color="000000" w:fill="85A8D5"/>
            <w:noWrap/>
            <w:hideMark/>
          </w:tcPr>
          <w:p w14:paraId="4F5F549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5,3%</w:t>
            </w:r>
          </w:p>
        </w:tc>
        <w:tc>
          <w:tcPr>
            <w:tcW w:w="588" w:type="dxa"/>
            <w:tcBorders>
              <w:top w:val="single" w:sz="4" w:space="0" w:color="auto"/>
              <w:left w:val="single" w:sz="4" w:space="0" w:color="auto"/>
              <w:bottom w:val="single" w:sz="4" w:space="0" w:color="auto"/>
              <w:right w:val="single" w:sz="4" w:space="0" w:color="auto"/>
            </w:tcBorders>
            <w:shd w:val="clear" w:color="000000" w:fill="96B4DB"/>
            <w:noWrap/>
            <w:hideMark/>
          </w:tcPr>
          <w:p w14:paraId="173D188C"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6,4%</w:t>
            </w:r>
          </w:p>
        </w:tc>
        <w:tc>
          <w:tcPr>
            <w:tcW w:w="1097" w:type="dxa"/>
            <w:tcBorders>
              <w:top w:val="single" w:sz="4" w:space="0" w:color="auto"/>
              <w:left w:val="single" w:sz="4" w:space="0" w:color="auto"/>
              <w:bottom w:val="single" w:sz="4" w:space="0" w:color="auto"/>
              <w:right w:val="single" w:sz="4" w:space="0" w:color="auto"/>
            </w:tcBorders>
            <w:shd w:val="clear" w:color="000000" w:fill="97B5DB"/>
            <w:noWrap/>
            <w:hideMark/>
          </w:tcPr>
          <w:p w14:paraId="1DE377B9"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6,5%</w:t>
            </w:r>
          </w:p>
        </w:tc>
        <w:tc>
          <w:tcPr>
            <w:tcW w:w="1098" w:type="dxa"/>
            <w:tcBorders>
              <w:top w:val="single" w:sz="4" w:space="0" w:color="auto"/>
              <w:left w:val="single" w:sz="4" w:space="0" w:color="auto"/>
              <w:bottom w:val="single" w:sz="4" w:space="0" w:color="auto"/>
              <w:right w:val="single" w:sz="4" w:space="0" w:color="auto"/>
            </w:tcBorders>
            <w:shd w:val="clear" w:color="000000" w:fill="99B6DC"/>
            <w:noWrap/>
            <w:hideMark/>
          </w:tcPr>
          <w:p w14:paraId="3A74A4E9"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6,6%</w:t>
            </w:r>
          </w:p>
        </w:tc>
        <w:tc>
          <w:tcPr>
            <w:tcW w:w="1098" w:type="dxa"/>
            <w:tcBorders>
              <w:top w:val="single" w:sz="4" w:space="0" w:color="auto"/>
              <w:left w:val="single" w:sz="4" w:space="0" w:color="auto"/>
              <w:bottom w:val="single" w:sz="4" w:space="0" w:color="auto"/>
              <w:right w:val="single" w:sz="4" w:space="0" w:color="auto"/>
            </w:tcBorders>
            <w:shd w:val="clear" w:color="000000" w:fill="789FD0"/>
            <w:noWrap/>
            <w:hideMark/>
          </w:tcPr>
          <w:p w14:paraId="27E75B0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4,0%</w:t>
            </w:r>
          </w:p>
        </w:tc>
        <w:tc>
          <w:tcPr>
            <w:tcW w:w="1604" w:type="dxa"/>
            <w:tcBorders>
              <w:top w:val="single" w:sz="4" w:space="0" w:color="auto"/>
              <w:left w:val="single" w:sz="4" w:space="0" w:color="auto"/>
              <w:bottom w:val="single" w:sz="4" w:space="0" w:color="auto"/>
              <w:right w:val="single" w:sz="4" w:space="0" w:color="auto"/>
            </w:tcBorders>
            <w:shd w:val="clear" w:color="000000" w:fill="FCD8DB"/>
            <w:noWrap/>
            <w:hideMark/>
          </w:tcPr>
          <w:p w14:paraId="719C1A52"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24,0%</w:t>
            </w:r>
          </w:p>
        </w:tc>
        <w:tc>
          <w:tcPr>
            <w:tcW w:w="942" w:type="dxa"/>
            <w:tcBorders>
              <w:top w:val="single" w:sz="4" w:space="0" w:color="auto"/>
              <w:left w:val="single" w:sz="4" w:space="0" w:color="auto"/>
              <w:bottom w:val="single" w:sz="4" w:space="0" w:color="auto"/>
              <w:right w:val="single" w:sz="4" w:space="0" w:color="auto"/>
            </w:tcBorders>
            <w:shd w:val="clear" w:color="000000" w:fill="FCD9DC"/>
            <w:noWrap/>
            <w:hideMark/>
          </w:tcPr>
          <w:p w14:paraId="0CAAA285"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23,7%</w:t>
            </w:r>
          </w:p>
        </w:tc>
      </w:tr>
    </w:tbl>
    <w:p w14:paraId="17ACEA5A" w14:textId="2CF45C71"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263EF2">
        <w:rPr>
          <w:rFonts w:asciiTheme="minorHAnsi" w:hAnsiTheme="minorHAnsi" w:cstheme="minorHAnsi"/>
        </w:rPr>
        <w:t>;</w:t>
      </w:r>
      <w:r w:rsidRPr="00DA7ABE">
        <w:rPr>
          <w:rFonts w:asciiTheme="minorHAnsi" w:hAnsiTheme="minorHAnsi" w:cstheme="minorHAnsi"/>
        </w:rPr>
        <w:t xml:space="preserve"> Otázka 4.</w:t>
      </w:r>
      <w:r w:rsidR="00263EF2">
        <w:rPr>
          <w:rFonts w:asciiTheme="minorHAnsi" w:hAnsiTheme="minorHAnsi" w:cstheme="minorHAnsi"/>
        </w:rPr>
        <w:t>:</w:t>
      </w:r>
      <w:r w:rsidRPr="00DA7ABE">
        <w:rPr>
          <w:rFonts w:asciiTheme="minorHAnsi" w:hAnsiTheme="minorHAnsi" w:cstheme="minorHAnsi"/>
        </w:rPr>
        <w:t xml:space="preserve"> Jak hodnotíte vývoj města za posledních 5</w:t>
      </w:r>
      <w:r w:rsidR="00263EF2">
        <w:rPr>
          <w:rFonts w:asciiTheme="minorHAnsi" w:hAnsiTheme="minorHAnsi" w:cstheme="minorHAnsi"/>
        </w:rPr>
        <w:t> </w:t>
      </w:r>
      <w:r w:rsidRPr="00DA7ABE">
        <w:rPr>
          <w:rFonts w:asciiTheme="minorHAnsi" w:hAnsiTheme="minorHAnsi" w:cstheme="minorHAnsi"/>
        </w:rPr>
        <w:t>let?</w:t>
      </w:r>
    </w:p>
    <w:p w14:paraId="5FA73C82" w14:textId="77777777" w:rsidR="007175FE" w:rsidRPr="00DA7ABE" w:rsidRDefault="007175FE" w:rsidP="007175FE">
      <w:pPr>
        <w:rPr>
          <w:rFonts w:cstheme="minorHAnsi"/>
        </w:rPr>
      </w:pPr>
      <w:r w:rsidRPr="00DA7ABE">
        <w:rPr>
          <w:rFonts w:cstheme="minorHAnsi"/>
        </w:rPr>
        <w:t xml:space="preserve">U hodnocení vývoje města byli respondenti vyzváni ke zdůvodnění, proč hodnotí vývoj města pozitivně/negativně/neutrálně. Jako pozitivní nejčastěji hodnotili různé opravy a rekonstrukce ve městě, množství parků a zeleně. Dalším pozitivním bodem byly </w:t>
      </w:r>
      <w:r>
        <w:rPr>
          <w:rFonts w:cstheme="minorHAnsi"/>
        </w:rPr>
        <w:t xml:space="preserve">vybudované </w:t>
      </w:r>
      <w:r w:rsidRPr="00DA7ABE">
        <w:rPr>
          <w:rFonts w:cstheme="minorHAnsi"/>
        </w:rPr>
        <w:t xml:space="preserve">cyklostezky. Velmi kladně byly hodnoceny také pořádané kulturní akce a </w:t>
      </w:r>
      <w:r>
        <w:rPr>
          <w:rFonts w:cstheme="minorHAnsi"/>
        </w:rPr>
        <w:t>Obchodní dům Zlín</w:t>
      </w:r>
      <w:r w:rsidRPr="00DA7ABE">
        <w:rPr>
          <w:rFonts w:cstheme="minorHAnsi"/>
        </w:rPr>
        <w:t xml:space="preserve">. </w:t>
      </w:r>
    </w:p>
    <w:p w14:paraId="2DC941D0" w14:textId="7382A0AD" w:rsidR="007175FE" w:rsidRPr="00DA7ABE" w:rsidRDefault="007175FE" w:rsidP="007175FE">
      <w:pPr>
        <w:rPr>
          <w:rFonts w:cstheme="minorHAnsi"/>
        </w:rPr>
      </w:pPr>
      <w:r w:rsidRPr="00DA7ABE">
        <w:rPr>
          <w:rFonts w:cstheme="minorHAnsi"/>
        </w:rPr>
        <w:t xml:space="preserve">Naopak negativní odpovědi na otázku týkající se vývoje města zdůvodňovali respondenti nevyhovující dopravní infrastrukturou, chybějícím obchvatem a dálnicí a s tím související vysokou mírou tranzitní dopravy. Negativně hodnocená nemocnice se v odpovědích členila podle </w:t>
      </w:r>
      <w:r>
        <w:rPr>
          <w:rFonts w:cstheme="minorHAnsi"/>
        </w:rPr>
        <w:t>typů odpovědí, kdy většina respondentů nepodporovala stavbu nové nemocnice, další respondenti kritizovali mediální rozruch, který kvůli její stavbě vznikl</w:t>
      </w:r>
      <w:r w:rsidRPr="00DA7ABE">
        <w:rPr>
          <w:rFonts w:cstheme="minorHAnsi"/>
        </w:rPr>
        <w:t>. Často se objevovaly stížnosti na nevyhovující kino a významný nedostatek parkovacích míst. Několik respondentů zároveň navrhuje řešení, např. odstavná parkoviště s návazností na MHD, rozvoj cyklodopravy apod. Projevovala se nespokojenost s proběhlou rekonstrukcí podchodu a všeobecně s nekvalitními opravami, např. chodníků. U cyklostezek si lidé stěžovali na jejich nepropojenost a chodci na cyklostezky spojené s chodníky.</w:t>
      </w:r>
    </w:p>
    <w:p w14:paraId="1CEE8256" w14:textId="77777777" w:rsidR="007175FE" w:rsidRPr="00DA7ABE" w:rsidRDefault="007175FE" w:rsidP="007175FE">
      <w:pPr>
        <w:rPr>
          <w:rFonts w:cstheme="minorHAnsi"/>
        </w:rPr>
      </w:pPr>
      <w:r w:rsidRPr="00DA7ABE">
        <w:rPr>
          <w:rFonts w:cstheme="minorHAnsi"/>
        </w:rPr>
        <w:t>Neutrální o</w:t>
      </w:r>
      <w:r>
        <w:rPr>
          <w:rFonts w:cstheme="minorHAnsi"/>
        </w:rPr>
        <w:t xml:space="preserve">dpovědi tedy, že vývoj Zlína za posledních 5 let nevidí ani pozitivně ani negativně, volili respondenti z několika důvodů: většinou, protože bydleli </w:t>
      </w:r>
      <w:r w:rsidRPr="00DA7ABE">
        <w:rPr>
          <w:rFonts w:cstheme="minorHAnsi"/>
        </w:rPr>
        <w:t xml:space="preserve">ve Zlíně </w:t>
      </w:r>
      <w:r>
        <w:rPr>
          <w:rFonts w:cstheme="minorHAnsi"/>
        </w:rPr>
        <w:t>kratší dobu než 5 let</w:t>
      </w:r>
      <w:r w:rsidRPr="00DA7ABE">
        <w:rPr>
          <w:rFonts w:cstheme="minorHAnsi"/>
        </w:rPr>
        <w:t xml:space="preserve"> (44,9 %),</w:t>
      </w:r>
      <w:r>
        <w:rPr>
          <w:rFonts w:cstheme="minorHAnsi"/>
        </w:rPr>
        <w:t xml:space="preserve"> nebo si významného rozvoje ve Zlíně </w:t>
      </w:r>
      <w:r w:rsidRPr="00DA7ABE">
        <w:rPr>
          <w:rFonts w:cstheme="minorHAnsi"/>
        </w:rPr>
        <w:t xml:space="preserve">nevšimli (24,5 %), ale také např. </w:t>
      </w:r>
      <w:r>
        <w:rPr>
          <w:rFonts w:cstheme="minorHAnsi"/>
        </w:rPr>
        <w:t>pokud</w:t>
      </w:r>
      <w:r w:rsidRPr="00DA7ABE">
        <w:rPr>
          <w:rFonts w:cstheme="minorHAnsi"/>
        </w:rPr>
        <w:t xml:space="preserve"> jsou přesvědčeni, že klady v rozvoji města jsou vyváženy zápory (10,2 %).</w:t>
      </w:r>
    </w:p>
    <w:p w14:paraId="050AD272" w14:textId="3B55D494" w:rsidR="007175FE" w:rsidRPr="00DA7ABE" w:rsidRDefault="007175FE" w:rsidP="007175FE">
      <w:pPr>
        <w:pStyle w:val="Titulek"/>
        <w:keepNext/>
        <w:keepLines/>
        <w:rPr>
          <w:rFonts w:cstheme="minorHAnsi"/>
        </w:rPr>
      </w:pPr>
      <w:bookmarkStart w:id="602" w:name="_Toc54702781"/>
      <w:bookmarkStart w:id="603" w:name="_Toc56179587"/>
      <w:bookmarkStart w:id="604" w:name="_Toc77074929"/>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8</w:t>
      </w:r>
      <w:r w:rsidR="0096730F">
        <w:rPr>
          <w:rFonts w:cstheme="minorHAnsi"/>
        </w:rPr>
        <w:fldChar w:fldCharType="end"/>
      </w:r>
      <w:r w:rsidR="00263EF2">
        <w:rPr>
          <w:rFonts w:cstheme="minorHAnsi"/>
        </w:rPr>
        <w:t>:</w:t>
      </w:r>
      <w:r w:rsidRPr="00DA7ABE">
        <w:rPr>
          <w:rFonts w:cstheme="minorHAnsi"/>
        </w:rPr>
        <w:t xml:space="preserve"> Hodnocení vývoje města za posledních 5 let: POZITIVNÍ ODPOVĚDI</w:t>
      </w:r>
      <w:bookmarkEnd w:id="602"/>
      <w:bookmarkEnd w:id="603"/>
      <w:bookmarkEnd w:id="604"/>
    </w:p>
    <w:p w14:paraId="0B38118B" w14:textId="77777777" w:rsidR="007175FE" w:rsidRPr="00DA7ABE" w:rsidRDefault="007175FE" w:rsidP="007175FE">
      <w:pPr>
        <w:rPr>
          <w:rFonts w:cstheme="minorHAnsi"/>
        </w:rPr>
      </w:pPr>
      <w:r w:rsidRPr="00DA7ABE">
        <w:rPr>
          <w:rFonts w:cstheme="minorHAnsi"/>
          <w:noProof/>
          <w:lang w:eastAsia="cs-CZ"/>
        </w:rPr>
        <mc:AlternateContent>
          <mc:Choice Requires="wps">
            <w:drawing>
              <wp:anchor distT="0" distB="0" distL="114300" distR="114300" simplePos="0" relativeHeight="251746304" behindDoc="0" locked="0" layoutInCell="1" allowOverlap="1" wp14:anchorId="5C1A37DD" wp14:editId="74DDFC0A">
                <wp:simplePos x="0" y="0"/>
                <wp:positionH relativeFrom="margin">
                  <wp:align>right</wp:align>
                </wp:positionH>
                <wp:positionV relativeFrom="paragraph">
                  <wp:posOffset>222250</wp:posOffset>
                </wp:positionV>
                <wp:extent cx="504825" cy="504825"/>
                <wp:effectExtent l="0" t="0" r="28575" b="28575"/>
                <wp:wrapNone/>
                <wp:docPr id="351" name="Veselý obličej 3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04825" cy="504825"/>
                        </a:xfrm>
                        <a:prstGeom prst="smileyFace">
                          <a:avLst>
                            <a:gd name="adj" fmla="val 465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88E8A0"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Veselý obličej 351" o:spid="_x0000_s1026" type="#_x0000_t96" style="position:absolute;margin-left:-11.45pt;margin-top:17.5pt;width:39.75pt;height:39.75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" fillcolor="#5b9bd5 [3204]" strokecolor="#1f4d78 [1604]" strokeweight="1pt">
                <v:stroke joinstyle="miter"/>
                <v:path arrowok="t"/>
                <o:lock v:ext="edit" aspectratio="t"/>
                <w10:wrap anchorx="margin"/>
              </v:shape>
            </w:pict>
          </mc:Fallback>
        </mc:AlternateContent>
      </w:r>
      <w:r w:rsidRPr="00DA7ABE">
        <w:rPr>
          <w:rFonts w:cstheme="minorHAnsi"/>
          <w:noProof/>
          <w:lang w:eastAsia="cs-CZ"/>
        </w:rPr>
        <w:drawing>
          <wp:inline distT="0" distB="0" distL="0" distR="0" wp14:anchorId="031AF4E9" wp14:editId="3C324A10">
            <wp:extent cx="5760000" cy="5752878"/>
            <wp:effectExtent l="114300" t="114300" r="165100" b="172085"/>
            <wp:docPr id="358" name="Obrázek 358" descr="C:\Users\Linda Vyvialová\Desktop\Zlin_pruzkum\4\Zlin_4pozitiv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a Vyvialová\Desktop\Zlin_pruzkum\4\Zlin_4pozitivni.pn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3528" r="11369"/>
                    <a:stretch/>
                  </pic:blipFill>
                  <pic:spPr bwMode="auto">
                    <a:xfrm>
                      <a:off x="0" y="0"/>
                      <a:ext cx="5760000" cy="5752878"/>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105C8D5" w14:textId="60577492" w:rsidR="007175FE" w:rsidRPr="00DA7ABE" w:rsidRDefault="007175FE" w:rsidP="00263EF2">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263EF2">
        <w:rPr>
          <w:rFonts w:asciiTheme="minorHAnsi" w:hAnsiTheme="minorHAnsi" w:cstheme="minorHAnsi"/>
        </w:rPr>
        <w:t>;</w:t>
      </w:r>
      <w:r w:rsidRPr="00DA7ABE">
        <w:rPr>
          <w:rFonts w:asciiTheme="minorHAnsi" w:hAnsiTheme="minorHAnsi" w:cstheme="minorHAnsi"/>
        </w:rPr>
        <w:t xml:space="preserve"> Otázka 4.</w:t>
      </w:r>
      <w:r w:rsidR="00263EF2">
        <w:rPr>
          <w:rFonts w:asciiTheme="minorHAnsi" w:hAnsiTheme="minorHAnsi" w:cstheme="minorHAnsi"/>
        </w:rPr>
        <w:t>:</w:t>
      </w:r>
      <w:r w:rsidRPr="00DA7ABE">
        <w:rPr>
          <w:rFonts w:asciiTheme="minorHAnsi" w:hAnsiTheme="minorHAnsi" w:cstheme="minorHAnsi"/>
        </w:rPr>
        <w:t xml:space="preserve"> Jak hodnotíte vývoj města za posledních 5</w:t>
      </w:r>
      <w:r w:rsidR="00263EF2">
        <w:rPr>
          <w:rFonts w:asciiTheme="minorHAnsi" w:hAnsiTheme="minorHAnsi" w:cstheme="minorHAnsi"/>
        </w:rPr>
        <w:t> </w:t>
      </w:r>
      <w:r w:rsidRPr="00DA7ABE">
        <w:rPr>
          <w:rFonts w:asciiTheme="minorHAnsi" w:hAnsiTheme="minorHAnsi" w:cstheme="minorHAnsi"/>
        </w:rPr>
        <w:t>let? a 4a.</w:t>
      </w:r>
      <w:r w:rsidR="00263EF2">
        <w:rPr>
          <w:rFonts w:asciiTheme="minorHAnsi" w:hAnsiTheme="minorHAnsi" w:cstheme="minorHAnsi"/>
        </w:rPr>
        <w:t>:</w:t>
      </w:r>
      <w:r w:rsidRPr="00DA7ABE">
        <w:rPr>
          <w:rFonts w:asciiTheme="minorHAnsi" w:hAnsiTheme="minorHAnsi" w:cstheme="minorHAnsi"/>
        </w:rPr>
        <w:t xml:space="preserve"> Rozveďte, proč. </w:t>
      </w:r>
      <w:r w:rsidRPr="00DA7ABE">
        <w:rPr>
          <w:rFonts w:asciiTheme="minorHAnsi" w:hAnsiTheme="minorHAnsi" w:cstheme="minorHAnsi"/>
        </w:rPr>
        <w:b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w:t>
      </w:r>
    </w:p>
    <w:p w14:paraId="55F643DB" w14:textId="761189E2" w:rsidR="007175FE" w:rsidRPr="00DA7ABE" w:rsidRDefault="007175FE" w:rsidP="007175FE">
      <w:pPr>
        <w:pStyle w:val="Titulek"/>
        <w:keepNext/>
        <w:keepLines/>
        <w:rPr>
          <w:rFonts w:cstheme="minorHAnsi"/>
        </w:rPr>
      </w:pPr>
      <w:bookmarkStart w:id="605" w:name="_Toc54702782"/>
      <w:bookmarkStart w:id="606" w:name="_Toc56179588"/>
      <w:bookmarkStart w:id="607" w:name="_Toc77074930"/>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9</w:t>
      </w:r>
      <w:r w:rsidR="0096730F">
        <w:rPr>
          <w:rFonts w:cstheme="minorHAnsi"/>
        </w:rPr>
        <w:fldChar w:fldCharType="end"/>
      </w:r>
      <w:r w:rsidR="00263EF2">
        <w:rPr>
          <w:rFonts w:cstheme="minorHAnsi"/>
        </w:rPr>
        <w:t>:</w:t>
      </w:r>
      <w:r w:rsidRPr="00DA7ABE">
        <w:rPr>
          <w:rFonts w:cstheme="minorHAnsi"/>
        </w:rPr>
        <w:t xml:space="preserve"> Hodnocení vývoje města za posledních 5 let: NEGATIVNÍ ODPOVĚDI</w:t>
      </w:r>
      <w:bookmarkEnd w:id="605"/>
      <w:bookmarkEnd w:id="606"/>
      <w:bookmarkEnd w:id="607"/>
    </w:p>
    <w:p w14:paraId="63961667" w14:textId="77777777" w:rsidR="007175FE" w:rsidRDefault="007175FE" w:rsidP="007175FE">
      <w:pPr>
        <w:pStyle w:val="zdroj0"/>
        <w:jc w:val="both"/>
        <w:rPr>
          <w:rFonts w:asciiTheme="minorHAnsi" w:hAnsiTheme="minorHAnsi" w:cstheme="minorHAnsi"/>
        </w:rPr>
      </w:pPr>
      <w:r w:rsidRPr="00DA7ABE">
        <w:rPr>
          <w:rFonts w:asciiTheme="minorHAnsi" w:hAnsiTheme="minorHAnsi" w:cstheme="minorHAnsi"/>
          <w:noProof/>
        </w:rPr>
        <mc:AlternateContent>
          <mc:Choice Requires="wps">
            <w:drawing>
              <wp:anchor distT="0" distB="0" distL="114300" distR="114300" simplePos="0" relativeHeight="251747328" behindDoc="0" locked="0" layoutInCell="1" allowOverlap="1" wp14:anchorId="7050233A" wp14:editId="4D6449A0">
                <wp:simplePos x="0" y="0"/>
                <wp:positionH relativeFrom="column">
                  <wp:posOffset>5262880</wp:posOffset>
                </wp:positionH>
                <wp:positionV relativeFrom="paragraph">
                  <wp:posOffset>205105</wp:posOffset>
                </wp:positionV>
                <wp:extent cx="504825" cy="504825"/>
                <wp:effectExtent l="0" t="0" r="28575" b="28575"/>
                <wp:wrapNone/>
                <wp:docPr id="352" name="Veselý obličej 3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04825" cy="504825"/>
                        </a:xfrm>
                        <a:prstGeom prst="smileyFace">
                          <a:avLst>
                            <a:gd name="adj" fmla="val -465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94C04" id="Veselý obličej 352" o:spid="_x0000_s1026" type="#_x0000_t96" style="position:absolute;margin-left:414.4pt;margin-top:16.15pt;width:39.75pt;height:39.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" adj="15510" fillcolor="#5b9bd5 [3204]" strokecolor="#1f4d78 [1604]" strokeweight="1pt">
                <v:stroke joinstyle="miter"/>
                <v:path arrowok="t"/>
                <o:lock v:ext="edit" aspectratio="t"/>
              </v:shape>
            </w:pict>
          </mc:Fallback>
        </mc:AlternateContent>
      </w:r>
      <w:r w:rsidRPr="00DA7ABE">
        <w:rPr>
          <w:rFonts w:asciiTheme="minorHAnsi" w:hAnsiTheme="minorHAnsi" w:cstheme="minorHAnsi"/>
          <w:noProof/>
        </w:rPr>
        <w:drawing>
          <wp:inline distT="0" distB="0" distL="0" distR="0" wp14:anchorId="1B696C26" wp14:editId="3666AC4C">
            <wp:extent cx="5760000" cy="5612973"/>
            <wp:effectExtent l="114300" t="114300" r="165100" b="178435"/>
            <wp:docPr id="359" name="Obrázek 359" descr="C:\Users\Linda Vyvialová\Desktop\Zlin_pruzkum\4\Zlin_4a_negativ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nda Vyvialová\Desktop\Zlin_pruzkum\4\Zlin_4a_negativni.pn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3149" t="6478" r="17790" b="3780"/>
                    <a:stretch/>
                  </pic:blipFill>
                  <pic:spPr bwMode="auto">
                    <a:xfrm>
                      <a:off x="0" y="0"/>
                      <a:ext cx="5760000" cy="5612973"/>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A7ABE">
        <w:rPr>
          <w:rFonts w:asciiTheme="minorHAnsi" w:hAnsiTheme="minorHAnsi" w:cstheme="minorHAnsi"/>
        </w:rPr>
        <w:t xml:space="preserve"> </w:t>
      </w:r>
    </w:p>
    <w:p w14:paraId="0FE65DAA" w14:textId="4F2241E7" w:rsidR="007175FE" w:rsidRPr="00DA7AB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263EF2">
        <w:rPr>
          <w:rFonts w:asciiTheme="minorHAnsi" w:hAnsiTheme="minorHAnsi" w:cstheme="minorHAnsi"/>
        </w:rPr>
        <w:t>;</w:t>
      </w:r>
      <w:r w:rsidRPr="00DA7ABE">
        <w:rPr>
          <w:rFonts w:asciiTheme="minorHAnsi" w:hAnsiTheme="minorHAnsi" w:cstheme="minorHAnsi"/>
        </w:rPr>
        <w:t xml:space="preserve"> Otázka 4.</w:t>
      </w:r>
      <w:r w:rsidR="006A52DD">
        <w:rPr>
          <w:rFonts w:asciiTheme="minorHAnsi" w:hAnsiTheme="minorHAnsi" w:cstheme="minorHAnsi"/>
        </w:rPr>
        <w:t>:</w:t>
      </w:r>
      <w:r w:rsidRPr="00DA7ABE">
        <w:rPr>
          <w:rFonts w:asciiTheme="minorHAnsi" w:hAnsiTheme="minorHAnsi" w:cstheme="minorHAnsi"/>
        </w:rPr>
        <w:t xml:space="preserve"> Jak hodnotíte vývoj města za posledních 5</w:t>
      </w:r>
      <w:r w:rsidR="006A52DD">
        <w:rPr>
          <w:rFonts w:asciiTheme="minorHAnsi" w:hAnsiTheme="minorHAnsi" w:cstheme="minorHAnsi"/>
        </w:rPr>
        <w:t> </w:t>
      </w:r>
      <w:r w:rsidRPr="00DA7ABE">
        <w:rPr>
          <w:rFonts w:asciiTheme="minorHAnsi" w:hAnsiTheme="minorHAnsi" w:cstheme="minorHAnsi"/>
        </w:rPr>
        <w:t>let? a 4a.</w:t>
      </w:r>
      <w:r w:rsidR="006A52DD">
        <w:rPr>
          <w:rFonts w:asciiTheme="minorHAnsi" w:hAnsiTheme="minorHAnsi" w:cstheme="minorHAnsi"/>
        </w:rPr>
        <w:t>:</w:t>
      </w:r>
      <w:r w:rsidRPr="00DA7ABE">
        <w:rPr>
          <w:rFonts w:asciiTheme="minorHAnsi" w:hAnsiTheme="minorHAnsi" w:cstheme="minorHAnsi"/>
        </w:rPr>
        <w:t xml:space="preserve"> Rozveďte, proč. </w:t>
      </w:r>
      <w:r w:rsidRPr="00DA7ABE">
        <w:rPr>
          <w:rFonts w:asciiTheme="minorHAnsi" w:hAnsiTheme="minorHAnsi" w:cstheme="minorHAnsi"/>
        </w:rPr>
        <w:b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w:t>
      </w:r>
    </w:p>
    <w:p w14:paraId="13A3F9FC" w14:textId="77777777" w:rsidR="007175FE" w:rsidRDefault="007175FE" w:rsidP="007175FE">
      <w:pPr>
        <w:pStyle w:val="Nadpis3"/>
      </w:pPr>
      <w:bookmarkStart w:id="608" w:name="_Toc50116468"/>
      <w:bookmarkStart w:id="609" w:name="_Toc77074625"/>
      <w:r>
        <w:t>Jak hodnotím občanskou vybavenost</w:t>
      </w:r>
      <w:bookmarkEnd w:id="608"/>
      <w:bookmarkEnd w:id="609"/>
    </w:p>
    <w:p w14:paraId="14B9E701" w14:textId="77777777" w:rsidR="007175FE" w:rsidRPr="003D492B" w:rsidRDefault="007175FE" w:rsidP="007175FE">
      <w:pPr>
        <w:rPr>
          <w:rFonts w:cstheme="minorHAnsi"/>
        </w:rPr>
      </w:pPr>
      <w:r w:rsidRPr="003D492B">
        <w:rPr>
          <w:rFonts w:cstheme="minorHAnsi"/>
        </w:rPr>
        <w:t>Následující otázky jsou hodnoceny na škále od 0 do 100, kde 0 je nejmenší spokojenost a 100 největší.</w:t>
      </w:r>
    </w:p>
    <w:p w14:paraId="3ADFDC84" w14:textId="77777777" w:rsidR="007175FE" w:rsidRPr="003D492B" w:rsidRDefault="007175FE" w:rsidP="007175FE">
      <w:pPr>
        <w:rPr>
          <w:rFonts w:cstheme="minorHAnsi"/>
        </w:rPr>
      </w:pPr>
      <w:r w:rsidRPr="003D492B">
        <w:rPr>
          <w:rFonts w:cstheme="minorHAnsi"/>
        </w:rPr>
        <w:t xml:space="preserve">Při hodnocení občanské vybavenosti jsou respondenti nejvíce spokojeni s kvalitou životního prostředí (spokojenost občanů 69,8; respondentů s trvalým pobytem mimo Zlín 72,0; studentů UTB 78,2), dále s nabídkou možností aktivního sportovního vyžití, s nabídkou vyžití pro rodiny s dětmi, následuje nabídka kulturních akcí, možnosti využití volného času, nabídka a kvalita zdravotních služeb a nejméně jsou respondenti spokojeni s nabídkou sociálních služeb. </w:t>
      </w:r>
    </w:p>
    <w:p w14:paraId="391B94E9" w14:textId="77777777" w:rsidR="007175FE" w:rsidRPr="00DA7ABE" w:rsidRDefault="007175FE" w:rsidP="007175FE">
      <w:pPr>
        <w:rPr>
          <w:rFonts w:cstheme="minorHAnsi"/>
        </w:rPr>
      </w:pPr>
      <w:r>
        <w:rPr>
          <w:rFonts w:cstheme="minorHAnsi"/>
        </w:rPr>
        <w:t xml:space="preserve">Nejvyšší podíl odpovědí „nemohu posoudit“ (přes 30 %) byl u bodů „nabídka sociálních služeb“ a „nabídka vyžití pro rodiny s dětmi“ (je předpoklad, že lidé, kteří nemají zkušenosti s těmito oblastmi, nehlasovali). </w:t>
      </w:r>
    </w:p>
    <w:p w14:paraId="722C8A21" w14:textId="1E5C83DA" w:rsidR="007175FE" w:rsidRPr="00DA7ABE" w:rsidRDefault="007175FE" w:rsidP="007175FE">
      <w:pPr>
        <w:pStyle w:val="Titulek"/>
        <w:rPr>
          <w:rFonts w:cstheme="minorHAnsi"/>
        </w:rPr>
      </w:pPr>
      <w:bookmarkStart w:id="610" w:name="_Toc54702783"/>
      <w:bookmarkStart w:id="611" w:name="_Toc56179589"/>
      <w:bookmarkStart w:id="612" w:name="_Toc77074931"/>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10</w:t>
      </w:r>
      <w:r w:rsidR="0096730F">
        <w:rPr>
          <w:rFonts w:cstheme="minorHAnsi"/>
        </w:rPr>
        <w:fldChar w:fldCharType="end"/>
      </w:r>
      <w:r w:rsidR="006A52DD">
        <w:rPr>
          <w:rFonts w:cstheme="minorHAnsi"/>
        </w:rPr>
        <w:t>:</w:t>
      </w:r>
      <w:r w:rsidRPr="00DA7ABE">
        <w:rPr>
          <w:rFonts w:cstheme="minorHAnsi"/>
        </w:rPr>
        <w:t xml:space="preserve"> Spokojenost s občanskou vybaveností</w:t>
      </w:r>
      <w:bookmarkEnd w:id="610"/>
      <w:bookmarkEnd w:id="611"/>
      <w:bookmarkEnd w:id="612"/>
    </w:p>
    <w:p w14:paraId="31BC0BE0" w14:textId="77777777" w:rsidR="007175FE" w:rsidRPr="00DA7ABE" w:rsidRDefault="007175FE" w:rsidP="007175FE">
      <w:pPr>
        <w:rPr>
          <w:rFonts w:cstheme="minorHAnsi"/>
        </w:rPr>
      </w:pPr>
      <w:r>
        <w:rPr>
          <w:rFonts w:cstheme="minorHAnsi"/>
          <w:noProof/>
          <w:lang w:eastAsia="cs-CZ"/>
        </w:rPr>
        <w:drawing>
          <wp:inline distT="0" distB="0" distL="0" distR="0" wp14:anchorId="1BECA5D2" wp14:editId="60A22455">
            <wp:extent cx="5773420" cy="4194175"/>
            <wp:effectExtent l="0" t="0" r="0" b="0"/>
            <wp:docPr id="360" name="Obráze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73420" cy="4194175"/>
                    </a:xfrm>
                    <a:prstGeom prst="rect">
                      <a:avLst/>
                    </a:prstGeom>
                    <a:noFill/>
                  </pic:spPr>
                </pic:pic>
              </a:graphicData>
            </a:graphic>
          </wp:inline>
        </w:drawing>
      </w:r>
    </w:p>
    <w:p w14:paraId="16205BD5" w14:textId="64A9557D"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6A52DD">
        <w:rPr>
          <w:rFonts w:asciiTheme="minorHAnsi" w:hAnsiTheme="minorHAnsi" w:cstheme="minorHAnsi"/>
        </w:rPr>
        <w:t>;</w:t>
      </w:r>
      <w:r w:rsidRPr="00DA7ABE">
        <w:rPr>
          <w:rFonts w:asciiTheme="minorHAnsi" w:hAnsiTheme="minorHAnsi" w:cstheme="minorHAnsi"/>
        </w:rPr>
        <w:t xml:space="preserve"> Otázka 5.</w:t>
      </w:r>
      <w:r w:rsidR="006A52DD">
        <w:rPr>
          <w:rFonts w:asciiTheme="minorHAnsi" w:hAnsiTheme="minorHAnsi" w:cstheme="minorHAnsi"/>
        </w:rPr>
        <w:t>:</w:t>
      </w:r>
      <w:r w:rsidRPr="00DA7ABE">
        <w:rPr>
          <w:rFonts w:asciiTheme="minorHAnsi" w:hAnsiTheme="minorHAnsi" w:cstheme="minorHAnsi"/>
        </w:rPr>
        <w:t xml:space="preserve"> Jak jste spokojeni s občanskou vybaveností ve Vašem městě?  </w:t>
      </w:r>
    </w:p>
    <w:p w14:paraId="726FAA7B" w14:textId="5C466F09" w:rsidR="007175FE" w:rsidRPr="003D492B" w:rsidRDefault="007175FE" w:rsidP="007175FE">
      <w:pPr>
        <w:rPr>
          <w:rFonts w:cstheme="minorHAnsi"/>
        </w:rPr>
      </w:pPr>
      <w:r w:rsidRPr="003D492B">
        <w:rPr>
          <w:rFonts w:cstheme="minorHAnsi"/>
        </w:rPr>
        <w:t xml:space="preserve">Následující tabulka </w:t>
      </w:r>
      <w:r w:rsidR="0096730F">
        <w:rPr>
          <w:rFonts w:cstheme="minorHAnsi"/>
        </w:rPr>
        <w:t xml:space="preserve">2.9 </w:t>
      </w:r>
      <w:r w:rsidRPr="003D492B">
        <w:rPr>
          <w:rFonts w:cstheme="minorHAnsi"/>
        </w:rPr>
        <w:t>popisuje spokojenost s občanskou vybaveností v rozdělení na muže a ženy, na věkové kategorie a dle kategorií respondentů. Občané od 65 let jsou z daných věkových skupin nejvíce spokojeni s nabídkou kulturních akcí a nejméně s nabídkou sociálních služeb. U hodnocení kvality zdravotních služeb nejsou mezi věkovými skupinami výraznější rozdíly, spokojenost se zde pohybuje v rozmezí hodnot 53,3 a 54,6. U nabídky zdravotních služeb spokojenost s narůstajícím věkem u</w:t>
      </w:r>
      <w:r w:rsidR="006A52DD">
        <w:rPr>
          <w:rFonts w:cstheme="minorHAnsi"/>
        </w:rPr>
        <w:t> </w:t>
      </w:r>
      <w:r w:rsidRPr="003D492B">
        <w:rPr>
          <w:rFonts w:cstheme="minorHAnsi"/>
        </w:rPr>
        <w:t xml:space="preserve">občanů klesá, obdobně je tomu také u hodnocení nabídky vyžití pro rodiny s dětmi, u nabídky možností aktivního sportovního vyžití a u hodnocení kvality životního prostředí. </w:t>
      </w:r>
    </w:p>
    <w:p w14:paraId="40EC220D" w14:textId="77777777" w:rsidR="007175FE" w:rsidRPr="003D492B" w:rsidRDefault="007175FE" w:rsidP="007175FE">
      <w:pPr>
        <w:rPr>
          <w:rFonts w:cstheme="minorHAnsi"/>
        </w:rPr>
      </w:pPr>
      <w:r w:rsidRPr="003D492B">
        <w:rPr>
          <w:rFonts w:cstheme="minorHAnsi"/>
        </w:rPr>
        <w:t>Obecně jsou u většiny kategorií respondenti, kteří žijí ve Zlíně a mají trvalé bydliště jinde a studenti UTB, o něco spokojenější, než občané Zlína.</w:t>
      </w:r>
    </w:p>
    <w:p w14:paraId="3DE31FD2" w14:textId="32D9F23E" w:rsidR="007175FE" w:rsidRDefault="007175FE" w:rsidP="007175FE">
      <w:pPr>
        <w:pStyle w:val="Titulek"/>
        <w:keepNext/>
        <w:keepLines/>
        <w:rPr>
          <w:rFonts w:cstheme="minorHAnsi"/>
        </w:rPr>
      </w:pPr>
      <w:bookmarkStart w:id="613" w:name="_Toc54702623"/>
      <w:bookmarkStart w:id="614" w:name="_Toc56179430"/>
      <w:bookmarkStart w:id="615" w:name="_Toc57731788"/>
      <w:bookmarkStart w:id="616" w:name="_Toc77074772"/>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9</w:t>
      </w:r>
      <w:r w:rsidR="00DC277C">
        <w:rPr>
          <w:rFonts w:cstheme="minorHAnsi"/>
        </w:rPr>
        <w:fldChar w:fldCharType="end"/>
      </w:r>
      <w:r w:rsidR="006A52DD">
        <w:rPr>
          <w:rFonts w:cstheme="minorHAnsi"/>
        </w:rPr>
        <w:t>:</w:t>
      </w:r>
      <w:r w:rsidRPr="00DA7ABE">
        <w:rPr>
          <w:rFonts w:cstheme="minorHAnsi"/>
        </w:rPr>
        <w:t xml:space="preserve"> Spokojenost s občanskou vybaveností podle pohlaví, věku a u studentů UTB</w:t>
      </w:r>
      <w:bookmarkEnd w:id="613"/>
      <w:bookmarkEnd w:id="614"/>
      <w:bookmarkEnd w:id="615"/>
      <w:bookmarkEnd w:id="616"/>
    </w:p>
    <w:tbl>
      <w:tblPr>
        <w:tblW w:w="0" w:type="auto"/>
        <w:tblInd w:w="-5" w:type="dxa"/>
        <w:tblLayout w:type="fixed"/>
        <w:tblCellMar>
          <w:left w:w="70" w:type="dxa"/>
          <w:right w:w="70" w:type="dxa"/>
        </w:tblCellMar>
        <w:tblLook w:val="04A0" w:firstRow="1" w:lastRow="0" w:firstColumn="1" w:lastColumn="0" w:noHBand="0" w:noVBand="1"/>
      </w:tblPr>
      <w:tblGrid>
        <w:gridCol w:w="2268"/>
        <w:gridCol w:w="567"/>
        <w:gridCol w:w="567"/>
        <w:gridCol w:w="567"/>
        <w:gridCol w:w="1134"/>
        <w:gridCol w:w="709"/>
        <w:gridCol w:w="851"/>
        <w:gridCol w:w="1559"/>
        <w:gridCol w:w="845"/>
      </w:tblGrid>
      <w:tr w:rsidR="007175FE" w:rsidRPr="001A228A" w14:paraId="4AEAA27A" w14:textId="77777777" w:rsidTr="000C49A5">
        <w:trPr>
          <w:trHeight w:val="240"/>
        </w:trPr>
        <w:tc>
          <w:tcPr>
            <w:tcW w:w="2268"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D487FA0"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Oblast hodnocení</w:t>
            </w:r>
          </w:p>
        </w:tc>
        <w:tc>
          <w:tcPr>
            <w:tcW w:w="4395" w:type="dxa"/>
            <w:gridSpan w:val="6"/>
            <w:tcBorders>
              <w:top w:val="single" w:sz="4" w:space="0" w:color="auto"/>
              <w:left w:val="nil"/>
              <w:bottom w:val="single" w:sz="4" w:space="0" w:color="auto"/>
              <w:right w:val="single" w:sz="4" w:space="0" w:color="auto"/>
            </w:tcBorders>
            <w:shd w:val="clear" w:color="000000" w:fill="F2F2F2"/>
            <w:noWrap/>
            <w:vAlign w:val="center"/>
            <w:hideMark/>
          </w:tcPr>
          <w:p w14:paraId="7154E9C6"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s trvalým bydlištěm ve Zlíně</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1994A29"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žijící ve Zlíně (bez trvalého bydliště)</w:t>
            </w:r>
          </w:p>
        </w:tc>
        <w:tc>
          <w:tcPr>
            <w:tcW w:w="845"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0BF0333"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Studenti UTB</w:t>
            </w:r>
          </w:p>
        </w:tc>
      </w:tr>
      <w:tr w:rsidR="007175FE" w:rsidRPr="001A228A" w14:paraId="5812EEEE" w14:textId="77777777" w:rsidTr="000C49A5">
        <w:trPr>
          <w:trHeight w:val="24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26681231" w14:textId="77777777" w:rsidR="007175FE" w:rsidRPr="001A228A" w:rsidRDefault="007175FE" w:rsidP="000C49A5">
            <w:pPr>
              <w:keepNext/>
              <w:rPr>
                <w:rFonts w:ascii="Calibri" w:eastAsia="Times New Roman" w:hAnsi="Calibri" w:cs="Calibri"/>
                <w:b/>
                <w:bCs/>
                <w:color w:val="000000"/>
                <w:sz w:val="18"/>
                <w:szCs w:val="18"/>
                <w:lang w:eastAsia="cs-CZ"/>
              </w:rPr>
            </w:pPr>
          </w:p>
        </w:tc>
        <w:tc>
          <w:tcPr>
            <w:tcW w:w="567"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018E9C8C" w14:textId="77777777" w:rsidR="007175FE" w:rsidRPr="001A228A" w:rsidRDefault="007175FE" w:rsidP="000C49A5">
            <w:pPr>
              <w:keepNext/>
              <w:ind w:left="-70" w:right="-70"/>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Celkem</w:t>
            </w:r>
          </w:p>
        </w:tc>
        <w:tc>
          <w:tcPr>
            <w:tcW w:w="1134"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571869EB"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Pohlaví</w:t>
            </w:r>
          </w:p>
        </w:tc>
        <w:tc>
          <w:tcPr>
            <w:tcW w:w="2694"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5EA44C04"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Věková kategorie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0050D1E" w14:textId="77777777" w:rsidR="007175FE" w:rsidRPr="001A228A" w:rsidRDefault="007175FE" w:rsidP="000C49A5">
            <w:pPr>
              <w:keepNext/>
              <w:rPr>
                <w:rFonts w:ascii="Calibri" w:eastAsia="Times New Roman" w:hAnsi="Calibri" w:cs="Calibri"/>
                <w:b/>
                <w:bCs/>
                <w:color w:val="000000"/>
                <w:sz w:val="18"/>
                <w:szCs w:val="18"/>
                <w:lang w:eastAsia="cs-CZ"/>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14:paraId="3CD525AB" w14:textId="77777777" w:rsidR="007175FE" w:rsidRPr="001A228A" w:rsidRDefault="007175FE" w:rsidP="000C49A5">
            <w:pPr>
              <w:keepNext/>
              <w:rPr>
                <w:rFonts w:ascii="Calibri" w:eastAsia="Times New Roman" w:hAnsi="Calibri" w:cs="Calibri"/>
                <w:b/>
                <w:bCs/>
                <w:color w:val="000000"/>
                <w:sz w:val="18"/>
                <w:szCs w:val="18"/>
                <w:lang w:eastAsia="cs-CZ"/>
              </w:rPr>
            </w:pPr>
          </w:p>
        </w:tc>
      </w:tr>
      <w:tr w:rsidR="007175FE" w:rsidRPr="001A228A" w14:paraId="750BC0A1" w14:textId="77777777" w:rsidTr="000C49A5">
        <w:trPr>
          <w:trHeight w:val="24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69650A2F" w14:textId="77777777" w:rsidR="007175FE" w:rsidRPr="001A228A" w:rsidRDefault="007175FE" w:rsidP="000C49A5">
            <w:pPr>
              <w:keepNext/>
              <w:rPr>
                <w:rFonts w:ascii="Calibri" w:eastAsia="Times New Roman" w:hAnsi="Calibri" w:cs="Calibri"/>
                <w:b/>
                <w:bCs/>
                <w:color w:val="000000"/>
                <w:sz w:val="18"/>
                <w:szCs w:val="18"/>
                <w:lang w:eastAsia="cs-CZ"/>
              </w:rPr>
            </w:pPr>
          </w:p>
        </w:tc>
        <w:tc>
          <w:tcPr>
            <w:tcW w:w="567" w:type="dxa"/>
            <w:vMerge/>
            <w:tcBorders>
              <w:top w:val="nil"/>
              <w:left w:val="single" w:sz="4" w:space="0" w:color="auto"/>
              <w:bottom w:val="single" w:sz="4" w:space="0" w:color="auto"/>
              <w:right w:val="single" w:sz="4" w:space="0" w:color="auto"/>
            </w:tcBorders>
            <w:vAlign w:val="center"/>
            <w:hideMark/>
          </w:tcPr>
          <w:p w14:paraId="6444923A" w14:textId="77777777" w:rsidR="007175FE" w:rsidRPr="001A228A" w:rsidRDefault="007175FE" w:rsidP="000C49A5">
            <w:pPr>
              <w:keepNext/>
              <w:rPr>
                <w:rFonts w:ascii="Calibri" w:eastAsia="Times New Roman" w:hAnsi="Calibri" w:cs="Calibri"/>
                <w:b/>
                <w:bCs/>
                <w:color w:val="000000"/>
                <w:sz w:val="18"/>
                <w:szCs w:val="18"/>
                <w:lang w:eastAsia="cs-CZ"/>
              </w:rPr>
            </w:pPr>
          </w:p>
        </w:tc>
        <w:tc>
          <w:tcPr>
            <w:tcW w:w="567" w:type="dxa"/>
            <w:tcBorders>
              <w:top w:val="nil"/>
              <w:left w:val="nil"/>
              <w:bottom w:val="single" w:sz="4" w:space="0" w:color="auto"/>
              <w:right w:val="single" w:sz="4" w:space="0" w:color="auto"/>
            </w:tcBorders>
            <w:shd w:val="clear" w:color="000000" w:fill="F2F2F2"/>
            <w:noWrap/>
            <w:vAlign w:val="center"/>
            <w:hideMark/>
          </w:tcPr>
          <w:p w14:paraId="35AA9D27"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Muž</w:t>
            </w:r>
          </w:p>
        </w:tc>
        <w:tc>
          <w:tcPr>
            <w:tcW w:w="567" w:type="dxa"/>
            <w:tcBorders>
              <w:top w:val="nil"/>
              <w:left w:val="nil"/>
              <w:bottom w:val="single" w:sz="4" w:space="0" w:color="auto"/>
              <w:right w:val="single" w:sz="4" w:space="0" w:color="auto"/>
            </w:tcBorders>
            <w:shd w:val="clear" w:color="000000" w:fill="F2F2F2"/>
            <w:noWrap/>
            <w:vAlign w:val="center"/>
            <w:hideMark/>
          </w:tcPr>
          <w:p w14:paraId="6D5BB217"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Žena</w:t>
            </w:r>
          </w:p>
        </w:tc>
        <w:tc>
          <w:tcPr>
            <w:tcW w:w="1134" w:type="dxa"/>
            <w:tcBorders>
              <w:top w:val="nil"/>
              <w:left w:val="nil"/>
              <w:bottom w:val="single" w:sz="4" w:space="0" w:color="auto"/>
              <w:right w:val="single" w:sz="4" w:space="0" w:color="auto"/>
            </w:tcBorders>
            <w:shd w:val="clear" w:color="000000" w:fill="F2F2F2"/>
            <w:noWrap/>
            <w:vAlign w:val="center"/>
            <w:hideMark/>
          </w:tcPr>
          <w:p w14:paraId="71CBFCC9"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méně než 35</w:t>
            </w:r>
          </w:p>
        </w:tc>
        <w:tc>
          <w:tcPr>
            <w:tcW w:w="709" w:type="dxa"/>
            <w:tcBorders>
              <w:top w:val="nil"/>
              <w:left w:val="nil"/>
              <w:bottom w:val="single" w:sz="4" w:space="0" w:color="auto"/>
              <w:right w:val="single" w:sz="4" w:space="0" w:color="auto"/>
            </w:tcBorders>
            <w:shd w:val="clear" w:color="000000" w:fill="F2F2F2"/>
            <w:noWrap/>
            <w:vAlign w:val="center"/>
            <w:hideMark/>
          </w:tcPr>
          <w:p w14:paraId="39ADA288"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35 - 64</w:t>
            </w:r>
          </w:p>
        </w:tc>
        <w:tc>
          <w:tcPr>
            <w:tcW w:w="851" w:type="dxa"/>
            <w:tcBorders>
              <w:top w:val="nil"/>
              <w:left w:val="nil"/>
              <w:bottom w:val="single" w:sz="4" w:space="0" w:color="auto"/>
              <w:right w:val="single" w:sz="4" w:space="0" w:color="auto"/>
            </w:tcBorders>
            <w:shd w:val="clear" w:color="000000" w:fill="F2F2F2"/>
            <w:noWrap/>
            <w:vAlign w:val="center"/>
            <w:hideMark/>
          </w:tcPr>
          <w:p w14:paraId="55410A74" w14:textId="77777777" w:rsidR="007175FE" w:rsidRPr="001A228A" w:rsidRDefault="007175FE" w:rsidP="000C49A5">
            <w:pPr>
              <w:keepNext/>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65 a více</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B3AF62F" w14:textId="77777777" w:rsidR="007175FE" w:rsidRPr="001A228A" w:rsidRDefault="007175FE" w:rsidP="000C49A5">
            <w:pPr>
              <w:keepNext/>
              <w:rPr>
                <w:rFonts w:ascii="Calibri" w:eastAsia="Times New Roman" w:hAnsi="Calibri" w:cs="Calibri"/>
                <w:b/>
                <w:bCs/>
                <w:color w:val="000000"/>
                <w:sz w:val="18"/>
                <w:szCs w:val="18"/>
                <w:lang w:eastAsia="cs-CZ"/>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14:paraId="60032E15" w14:textId="77777777" w:rsidR="007175FE" w:rsidRPr="001A228A" w:rsidRDefault="007175FE" w:rsidP="000C49A5">
            <w:pPr>
              <w:keepNext/>
              <w:rPr>
                <w:rFonts w:ascii="Calibri" w:eastAsia="Times New Roman" w:hAnsi="Calibri" w:cs="Calibri"/>
                <w:b/>
                <w:bCs/>
                <w:color w:val="000000"/>
                <w:sz w:val="18"/>
                <w:szCs w:val="18"/>
                <w:lang w:eastAsia="cs-CZ"/>
              </w:rPr>
            </w:pPr>
          </w:p>
        </w:tc>
      </w:tr>
      <w:tr w:rsidR="007175FE" w:rsidRPr="001A228A" w14:paraId="6C3434A3"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EE9DAFF" w14:textId="77777777" w:rsidR="007175FE" w:rsidRPr="001A228A" w:rsidRDefault="007175FE" w:rsidP="000C49A5">
            <w:pPr>
              <w:keepNext/>
              <w:rPr>
                <w:rFonts w:ascii="Calibri" w:eastAsia="Times New Roman" w:hAnsi="Calibri" w:cs="Calibri"/>
                <w:color w:val="000000"/>
                <w:sz w:val="18"/>
                <w:szCs w:val="18"/>
                <w:lang w:eastAsia="cs-CZ"/>
              </w:rPr>
            </w:pPr>
            <w:r>
              <w:rPr>
                <w:rFonts w:ascii="Calibri" w:hAnsi="Calibri" w:cs="Calibri"/>
                <w:color w:val="000000"/>
                <w:sz w:val="18"/>
                <w:szCs w:val="18"/>
              </w:rPr>
              <w:t>Kvalita životního prostředí</w:t>
            </w:r>
          </w:p>
        </w:tc>
        <w:tc>
          <w:tcPr>
            <w:tcW w:w="567" w:type="dxa"/>
            <w:tcBorders>
              <w:top w:val="single" w:sz="4" w:space="0" w:color="auto"/>
              <w:left w:val="single" w:sz="4" w:space="0" w:color="auto"/>
              <w:bottom w:val="single" w:sz="4" w:space="0" w:color="auto"/>
              <w:right w:val="single" w:sz="4" w:space="0" w:color="auto"/>
            </w:tcBorders>
            <w:shd w:val="clear" w:color="000000" w:fill="FBB8BB"/>
            <w:noWrap/>
            <w:hideMark/>
          </w:tcPr>
          <w:p w14:paraId="4C8341E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69,8</w:t>
            </w:r>
          </w:p>
        </w:tc>
        <w:tc>
          <w:tcPr>
            <w:tcW w:w="567" w:type="dxa"/>
            <w:tcBorders>
              <w:top w:val="single" w:sz="4" w:space="0" w:color="auto"/>
              <w:left w:val="single" w:sz="4" w:space="0" w:color="auto"/>
              <w:bottom w:val="single" w:sz="4" w:space="0" w:color="auto"/>
              <w:right w:val="single" w:sz="4" w:space="0" w:color="auto"/>
            </w:tcBorders>
            <w:shd w:val="clear" w:color="000000" w:fill="FAAEB0"/>
            <w:noWrap/>
            <w:hideMark/>
          </w:tcPr>
          <w:p w14:paraId="6283150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70,9</w:t>
            </w:r>
          </w:p>
        </w:tc>
        <w:tc>
          <w:tcPr>
            <w:tcW w:w="567" w:type="dxa"/>
            <w:tcBorders>
              <w:top w:val="single" w:sz="4" w:space="0" w:color="auto"/>
              <w:left w:val="single" w:sz="4" w:space="0" w:color="auto"/>
              <w:bottom w:val="single" w:sz="4" w:space="0" w:color="auto"/>
              <w:right w:val="single" w:sz="4" w:space="0" w:color="auto"/>
            </w:tcBorders>
            <w:shd w:val="clear" w:color="000000" w:fill="FBC2C5"/>
            <w:noWrap/>
            <w:hideMark/>
          </w:tcPr>
          <w:p w14:paraId="59CA818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68,7</w:t>
            </w:r>
          </w:p>
        </w:tc>
        <w:tc>
          <w:tcPr>
            <w:tcW w:w="1134" w:type="dxa"/>
            <w:tcBorders>
              <w:top w:val="single" w:sz="4" w:space="0" w:color="auto"/>
              <w:left w:val="single" w:sz="4" w:space="0" w:color="auto"/>
              <w:bottom w:val="single" w:sz="4" w:space="0" w:color="auto"/>
              <w:right w:val="single" w:sz="4" w:space="0" w:color="auto"/>
            </w:tcBorders>
            <w:shd w:val="clear" w:color="000000" w:fill="F96F71"/>
            <w:noWrap/>
            <w:hideMark/>
          </w:tcPr>
          <w:p w14:paraId="48D8565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77,6</w:t>
            </w:r>
          </w:p>
        </w:tc>
        <w:tc>
          <w:tcPr>
            <w:tcW w:w="709" w:type="dxa"/>
            <w:tcBorders>
              <w:top w:val="single" w:sz="4" w:space="0" w:color="auto"/>
              <w:left w:val="single" w:sz="4" w:space="0" w:color="auto"/>
              <w:bottom w:val="single" w:sz="4" w:space="0" w:color="auto"/>
              <w:right w:val="single" w:sz="4" w:space="0" w:color="auto"/>
            </w:tcBorders>
            <w:shd w:val="clear" w:color="000000" w:fill="FAB2B4"/>
            <w:noWrap/>
            <w:hideMark/>
          </w:tcPr>
          <w:p w14:paraId="2E75EF5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70,5</w:t>
            </w:r>
          </w:p>
        </w:tc>
        <w:tc>
          <w:tcPr>
            <w:tcW w:w="851" w:type="dxa"/>
            <w:tcBorders>
              <w:top w:val="single" w:sz="4" w:space="0" w:color="auto"/>
              <w:left w:val="single" w:sz="4" w:space="0" w:color="auto"/>
              <w:bottom w:val="single" w:sz="4" w:space="0" w:color="auto"/>
              <w:right w:val="single" w:sz="4" w:space="0" w:color="auto"/>
            </w:tcBorders>
            <w:shd w:val="clear" w:color="000000" w:fill="EEF2FA"/>
            <w:noWrap/>
            <w:hideMark/>
          </w:tcPr>
          <w:p w14:paraId="7D6C00B2"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61,2</w:t>
            </w:r>
          </w:p>
        </w:tc>
        <w:tc>
          <w:tcPr>
            <w:tcW w:w="1559" w:type="dxa"/>
            <w:tcBorders>
              <w:top w:val="single" w:sz="4" w:space="0" w:color="auto"/>
              <w:left w:val="single" w:sz="4" w:space="0" w:color="auto"/>
              <w:bottom w:val="single" w:sz="4" w:space="0" w:color="auto"/>
              <w:right w:val="single" w:sz="4" w:space="0" w:color="auto"/>
            </w:tcBorders>
            <w:shd w:val="clear" w:color="000000" w:fill="FAA4A6"/>
            <w:noWrap/>
            <w:hideMark/>
          </w:tcPr>
          <w:p w14:paraId="3363A4E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72,0</w:t>
            </w:r>
          </w:p>
        </w:tc>
        <w:tc>
          <w:tcPr>
            <w:tcW w:w="845" w:type="dxa"/>
            <w:tcBorders>
              <w:top w:val="single" w:sz="4" w:space="0" w:color="auto"/>
              <w:left w:val="single" w:sz="4" w:space="0" w:color="auto"/>
              <w:bottom w:val="single" w:sz="4" w:space="0" w:color="auto"/>
              <w:right w:val="single" w:sz="4" w:space="0" w:color="auto"/>
            </w:tcBorders>
            <w:shd w:val="clear" w:color="000000" w:fill="F8696B"/>
            <w:noWrap/>
            <w:hideMark/>
          </w:tcPr>
          <w:p w14:paraId="10BAE01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78,2</w:t>
            </w:r>
          </w:p>
        </w:tc>
      </w:tr>
      <w:tr w:rsidR="007175FE" w:rsidRPr="001A228A" w14:paraId="36984733"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29D44056" w14:textId="77777777" w:rsidR="007175FE" w:rsidRPr="001A228A" w:rsidRDefault="007175FE" w:rsidP="000C49A5">
            <w:pPr>
              <w:keepNext/>
              <w:rPr>
                <w:rFonts w:ascii="Calibri" w:eastAsia="Times New Roman" w:hAnsi="Calibri" w:cs="Calibri"/>
                <w:color w:val="000000"/>
                <w:sz w:val="18"/>
                <w:szCs w:val="18"/>
                <w:lang w:eastAsia="cs-CZ"/>
              </w:rPr>
            </w:pPr>
            <w:r>
              <w:rPr>
                <w:rFonts w:ascii="Calibri" w:hAnsi="Calibri" w:cs="Calibri"/>
                <w:color w:val="000000"/>
                <w:sz w:val="18"/>
                <w:szCs w:val="18"/>
              </w:rPr>
              <w:t>Nabídka možností aktivního sportovního vyžití</w:t>
            </w:r>
          </w:p>
        </w:tc>
        <w:tc>
          <w:tcPr>
            <w:tcW w:w="567" w:type="dxa"/>
            <w:tcBorders>
              <w:top w:val="single" w:sz="4" w:space="0" w:color="auto"/>
              <w:left w:val="single" w:sz="4" w:space="0" w:color="auto"/>
              <w:bottom w:val="single" w:sz="4" w:space="0" w:color="auto"/>
              <w:right w:val="single" w:sz="4" w:space="0" w:color="auto"/>
            </w:tcBorders>
            <w:shd w:val="clear" w:color="000000" w:fill="FCDADC"/>
            <w:noWrap/>
            <w:hideMark/>
          </w:tcPr>
          <w:p w14:paraId="4EB4E51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66,2</w:t>
            </w:r>
          </w:p>
        </w:tc>
        <w:tc>
          <w:tcPr>
            <w:tcW w:w="567" w:type="dxa"/>
            <w:tcBorders>
              <w:top w:val="single" w:sz="4" w:space="0" w:color="auto"/>
              <w:left w:val="single" w:sz="4" w:space="0" w:color="auto"/>
              <w:bottom w:val="single" w:sz="4" w:space="0" w:color="auto"/>
              <w:right w:val="single" w:sz="4" w:space="0" w:color="auto"/>
            </w:tcBorders>
            <w:shd w:val="clear" w:color="000000" w:fill="FBCFD2"/>
            <w:noWrap/>
            <w:hideMark/>
          </w:tcPr>
          <w:p w14:paraId="0CC609B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67,4</w:t>
            </w:r>
          </w:p>
        </w:tc>
        <w:tc>
          <w:tcPr>
            <w:tcW w:w="567" w:type="dxa"/>
            <w:tcBorders>
              <w:top w:val="single" w:sz="4" w:space="0" w:color="auto"/>
              <w:left w:val="single" w:sz="4" w:space="0" w:color="auto"/>
              <w:bottom w:val="single" w:sz="4" w:space="0" w:color="auto"/>
              <w:right w:val="single" w:sz="4" w:space="0" w:color="auto"/>
            </w:tcBorders>
            <w:shd w:val="clear" w:color="000000" w:fill="FCE4E7"/>
            <w:noWrap/>
            <w:hideMark/>
          </w:tcPr>
          <w:p w14:paraId="246E665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65,2</w:t>
            </w:r>
          </w:p>
        </w:tc>
        <w:tc>
          <w:tcPr>
            <w:tcW w:w="1134" w:type="dxa"/>
            <w:tcBorders>
              <w:top w:val="single" w:sz="4" w:space="0" w:color="auto"/>
              <w:left w:val="single" w:sz="4" w:space="0" w:color="auto"/>
              <w:bottom w:val="single" w:sz="4" w:space="0" w:color="auto"/>
              <w:right w:val="single" w:sz="4" w:space="0" w:color="auto"/>
            </w:tcBorders>
            <w:shd w:val="clear" w:color="000000" w:fill="FAACAF"/>
            <w:noWrap/>
            <w:hideMark/>
          </w:tcPr>
          <w:p w14:paraId="3A59542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71,1</w:t>
            </w:r>
          </w:p>
        </w:tc>
        <w:tc>
          <w:tcPr>
            <w:tcW w:w="709" w:type="dxa"/>
            <w:tcBorders>
              <w:top w:val="single" w:sz="4" w:space="0" w:color="auto"/>
              <w:left w:val="single" w:sz="4" w:space="0" w:color="auto"/>
              <w:bottom w:val="single" w:sz="4" w:space="0" w:color="auto"/>
              <w:right w:val="single" w:sz="4" w:space="0" w:color="auto"/>
            </w:tcBorders>
            <w:shd w:val="clear" w:color="000000" w:fill="FCE4E7"/>
            <w:noWrap/>
            <w:hideMark/>
          </w:tcPr>
          <w:p w14:paraId="0FFD29C4"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65,1</w:t>
            </w:r>
          </w:p>
        </w:tc>
        <w:tc>
          <w:tcPr>
            <w:tcW w:w="851" w:type="dxa"/>
            <w:tcBorders>
              <w:top w:val="single" w:sz="4" w:space="0" w:color="auto"/>
              <w:left w:val="single" w:sz="4" w:space="0" w:color="auto"/>
              <w:bottom w:val="single" w:sz="4" w:space="0" w:color="auto"/>
              <w:right w:val="single" w:sz="4" w:space="0" w:color="auto"/>
            </w:tcBorders>
            <w:shd w:val="clear" w:color="000000" w:fill="FCF5F8"/>
            <w:noWrap/>
            <w:hideMark/>
          </w:tcPr>
          <w:p w14:paraId="7E380B62"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63,3</w:t>
            </w:r>
          </w:p>
        </w:tc>
        <w:tc>
          <w:tcPr>
            <w:tcW w:w="1559" w:type="dxa"/>
            <w:tcBorders>
              <w:top w:val="single" w:sz="4" w:space="0" w:color="auto"/>
              <w:left w:val="single" w:sz="4" w:space="0" w:color="auto"/>
              <w:bottom w:val="single" w:sz="4" w:space="0" w:color="auto"/>
              <w:right w:val="single" w:sz="4" w:space="0" w:color="auto"/>
            </w:tcBorders>
            <w:shd w:val="clear" w:color="000000" w:fill="FA9C9F"/>
            <w:noWrap/>
            <w:hideMark/>
          </w:tcPr>
          <w:p w14:paraId="47199DD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72,8</w:t>
            </w:r>
          </w:p>
        </w:tc>
        <w:tc>
          <w:tcPr>
            <w:tcW w:w="845" w:type="dxa"/>
            <w:tcBorders>
              <w:top w:val="single" w:sz="4" w:space="0" w:color="auto"/>
              <w:left w:val="single" w:sz="4" w:space="0" w:color="auto"/>
              <w:bottom w:val="single" w:sz="4" w:space="0" w:color="auto"/>
              <w:right w:val="single" w:sz="4" w:space="0" w:color="auto"/>
            </w:tcBorders>
            <w:shd w:val="clear" w:color="000000" w:fill="FA9396"/>
            <w:noWrap/>
            <w:hideMark/>
          </w:tcPr>
          <w:p w14:paraId="3CCA43D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73,7</w:t>
            </w:r>
          </w:p>
        </w:tc>
      </w:tr>
      <w:tr w:rsidR="007175FE" w:rsidRPr="001A228A" w14:paraId="093B916C"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AF031B1" w14:textId="3DF2D24D" w:rsidR="007175FE" w:rsidRPr="001A228A" w:rsidRDefault="007175FE" w:rsidP="006A52DD">
            <w:pPr>
              <w:keepNext/>
              <w:rPr>
                <w:rFonts w:ascii="Calibri" w:eastAsia="Times New Roman" w:hAnsi="Calibri" w:cs="Calibri"/>
                <w:color w:val="000000"/>
                <w:sz w:val="18"/>
                <w:szCs w:val="18"/>
                <w:lang w:eastAsia="cs-CZ"/>
              </w:rPr>
            </w:pPr>
            <w:r>
              <w:rPr>
                <w:rFonts w:ascii="Calibri" w:hAnsi="Calibri" w:cs="Calibri"/>
                <w:color w:val="000000"/>
                <w:sz w:val="18"/>
                <w:szCs w:val="18"/>
              </w:rPr>
              <w:t>Nabídka vyžití pro rodiny s</w:t>
            </w:r>
            <w:r w:rsidR="006A52DD">
              <w:rPr>
                <w:rFonts w:ascii="Calibri" w:hAnsi="Calibri" w:cs="Calibri"/>
                <w:color w:val="000000"/>
                <w:sz w:val="18"/>
                <w:szCs w:val="18"/>
              </w:rPr>
              <w:t> </w:t>
            </w:r>
            <w:r>
              <w:rPr>
                <w:rFonts w:ascii="Calibri" w:hAnsi="Calibri" w:cs="Calibri"/>
                <w:color w:val="000000"/>
                <w:sz w:val="18"/>
                <w:szCs w:val="18"/>
              </w:rPr>
              <w:t>dětmi</w:t>
            </w:r>
          </w:p>
        </w:tc>
        <w:tc>
          <w:tcPr>
            <w:tcW w:w="567" w:type="dxa"/>
            <w:tcBorders>
              <w:top w:val="single" w:sz="4" w:space="0" w:color="auto"/>
              <w:left w:val="single" w:sz="4" w:space="0" w:color="auto"/>
              <w:bottom w:val="single" w:sz="4" w:space="0" w:color="auto"/>
              <w:right w:val="single" w:sz="4" w:space="0" w:color="auto"/>
            </w:tcBorders>
            <w:shd w:val="clear" w:color="000000" w:fill="FCF1F4"/>
            <w:noWrap/>
            <w:hideMark/>
          </w:tcPr>
          <w:p w14:paraId="3BAF15B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63,7</w:t>
            </w:r>
          </w:p>
        </w:tc>
        <w:tc>
          <w:tcPr>
            <w:tcW w:w="567" w:type="dxa"/>
            <w:tcBorders>
              <w:top w:val="single" w:sz="4" w:space="0" w:color="auto"/>
              <w:left w:val="single" w:sz="4" w:space="0" w:color="auto"/>
              <w:bottom w:val="single" w:sz="4" w:space="0" w:color="auto"/>
              <w:right w:val="single" w:sz="4" w:space="0" w:color="auto"/>
            </w:tcBorders>
            <w:shd w:val="clear" w:color="000000" w:fill="FCF5F8"/>
            <w:noWrap/>
            <w:hideMark/>
          </w:tcPr>
          <w:p w14:paraId="46DFD83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63,3</w:t>
            </w:r>
          </w:p>
        </w:tc>
        <w:tc>
          <w:tcPr>
            <w:tcW w:w="567" w:type="dxa"/>
            <w:tcBorders>
              <w:top w:val="single" w:sz="4" w:space="0" w:color="auto"/>
              <w:left w:val="single" w:sz="4" w:space="0" w:color="auto"/>
              <w:bottom w:val="single" w:sz="4" w:space="0" w:color="auto"/>
              <w:right w:val="single" w:sz="4" w:space="0" w:color="auto"/>
            </w:tcBorders>
            <w:shd w:val="clear" w:color="000000" w:fill="FCEDF0"/>
            <w:noWrap/>
            <w:hideMark/>
          </w:tcPr>
          <w:p w14:paraId="14771A5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64,1</w:t>
            </w:r>
          </w:p>
        </w:tc>
        <w:tc>
          <w:tcPr>
            <w:tcW w:w="1134" w:type="dxa"/>
            <w:tcBorders>
              <w:top w:val="single" w:sz="4" w:space="0" w:color="auto"/>
              <w:left w:val="single" w:sz="4" w:space="0" w:color="auto"/>
              <w:bottom w:val="single" w:sz="4" w:space="0" w:color="auto"/>
              <w:right w:val="single" w:sz="4" w:space="0" w:color="auto"/>
            </w:tcBorders>
            <w:shd w:val="clear" w:color="000000" w:fill="FAA1A4"/>
            <w:noWrap/>
            <w:hideMark/>
          </w:tcPr>
          <w:p w14:paraId="383B2DD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72,3</w:t>
            </w:r>
          </w:p>
        </w:tc>
        <w:tc>
          <w:tcPr>
            <w:tcW w:w="709" w:type="dxa"/>
            <w:tcBorders>
              <w:top w:val="single" w:sz="4" w:space="0" w:color="auto"/>
              <w:left w:val="single" w:sz="4" w:space="0" w:color="auto"/>
              <w:bottom w:val="single" w:sz="4" w:space="0" w:color="auto"/>
              <w:right w:val="single" w:sz="4" w:space="0" w:color="auto"/>
            </w:tcBorders>
            <w:shd w:val="clear" w:color="000000" w:fill="F2F5FB"/>
            <w:noWrap/>
            <w:hideMark/>
          </w:tcPr>
          <w:p w14:paraId="515A5298"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61,6</w:t>
            </w:r>
          </w:p>
        </w:tc>
        <w:tc>
          <w:tcPr>
            <w:tcW w:w="851" w:type="dxa"/>
            <w:tcBorders>
              <w:top w:val="single" w:sz="4" w:space="0" w:color="auto"/>
              <w:left w:val="single" w:sz="4" w:space="0" w:color="auto"/>
              <w:bottom w:val="single" w:sz="4" w:space="0" w:color="auto"/>
              <w:right w:val="single" w:sz="4" w:space="0" w:color="auto"/>
            </w:tcBorders>
            <w:shd w:val="clear" w:color="000000" w:fill="E8EEF8"/>
            <w:noWrap/>
            <w:hideMark/>
          </w:tcPr>
          <w:p w14:paraId="111F619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60,6</w:t>
            </w:r>
          </w:p>
        </w:tc>
        <w:tc>
          <w:tcPr>
            <w:tcW w:w="1559" w:type="dxa"/>
            <w:tcBorders>
              <w:top w:val="single" w:sz="4" w:space="0" w:color="auto"/>
              <w:left w:val="single" w:sz="4" w:space="0" w:color="auto"/>
              <w:bottom w:val="single" w:sz="4" w:space="0" w:color="auto"/>
              <w:right w:val="single" w:sz="4" w:space="0" w:color="auto"/>
            </w:tcBorders>
            <w:shd w:val="clear" w:color="000000" w:fill="FCEFF1"/>
            <w:noWrap/>
            <w:hideMark/>
          </w:tcPr>
          <w:p w14:paraId="7BF0C06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64,0</w:t>
            </w:r>
          </w:p>
        </w:tc>
        <w:tc>
          <w:tcPr>
            <w:tcW w:w="845" w:type="dxa"/>
            <w:tcBorders>
              <w:top w:val="single" w:sz="4" w:space="0" w:color="auto"/>
              <w:left w:val="single" w:sz="4" w:space="0" w:color="auto"/>
              <w:bottom w:val="single" w:sz="4" w:space="0" w:color="auto"/>
              <w:right w:val="single" w:sz="4" w:space="0" w:color="auto"/>
            </w:tcBorders>
            <w:shd w:val="clear" w:color="000000" w:fill="FBB7BA"/>
            <w:noWrap/>
            <w:hideMark/>
          </w:tcPr>
          <w:p w14:paraId="5E12906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69,9</w:t>
            </w:r>
          </w:p>
        </w:tc>
      </w:tr>
      <w:tr w:rsidR="007175FE" w:rsidRPr="001A228A" w14:paraId="27E9DFDC"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4D469E52" w14:textId="77777777" w:rsidR="007175FE" w:rsidRPr="001A228A" w:rsidRDefault="007175FE" w:rsidP="000C49A5">
            <w:pPr>
              <w:keepNext/>
              <w:rPr>
                <w:rFonts w:ascii="Calibri" w:eastAsia="Times New Roman" w:hAnsi="Calibri" w:cs="Calibri"/>
                <w:color w:val="000000"/>
                <w:sz w:val="18"/>
                <w:szCs w:val="18"/>
                <w:lang w:eastAsia="cs-CZ"/>
              </w:rPr>
            </w:pPr>
            <w:r>
              <w:rPr>
                <w:rFonts w:ascii="Calibri" w:hAnsi="Calibri" w:cs="Calibri"/>
                <w:color w:val="000000"/>
                <w:sz w:val="18"/>
                <w:szCs w:val="18"/>
              </w:rPr>
              <w:t>Nabídka kulturních akcí</w:t>
            </w:r>
          </w:p>
        </w:tc>
        <w:tc>
          <w:tcPr>
            <w:tcW w:w="567" w:type="dxa"/>
            <w:tcBorders>
              <w:top w:val="single" w:sz="4" w:space="0" w:color="auto"/>
              <w:left w:val="single" w:sz="4" w:space="0" w:color="auto"/>
              <w:bottom w:val="single" w:sz="4" w:space="0" w:color="auto"/>
              <w:right w:val="single" w:sz="4" w:space="0" w:color="auto"/>
            </w:tcBorders>
            <w:shd w:val="clear" w:color="000000" w:fill="FCFBFE"/>
            <w:noWrap/>
            <w:hideMark/>
          </w:tcPr>
          <w:p w14:paraId="29349192"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62,6</w:t>
            </w:r>
          </w:p>
        </w:tc>
        <w:tc>
          <w:tcPr>
            <w:tcW w:w="567" w:type="dxa"/>
            <w:tcBorders>
              <w:top w:val="single" w:sz="4" w:space="0" w:color="auto"/>
              <w:left w:val="single" w:sz="4" w:space="0" w:color="auto"/>
              <w:bottom w:val="single" w:sz="4" w:space="0" w:color="auto"/>
              <w:right w:val="single" w:sz="4" w:space="0" w:color="auto"/>
            </w:tcBorders>
            <w:shd w:val="clear" w:color="000000" w:fill="EAEFF8"/>
            <w:noWrap/>
            <w:hideMark/>
          </w:tcPr>
          <w:p w14:paraId="60C1697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60,8</w:t>
            </w:r>
          </w:p>
        </w:tc>
        <w:tc>
          <w:tcPr>
            <w:tcW w:w="567" w:type="dxa"/>
            <w:tcBorders>
              <w:top w:val="single" w:sz="4" w:space="0" w:color="auto"/>
              <w:left w:val="single" w:sz="4" w:space="0" w:color="auto"/>
              <w:bottom w:val="single" w:sz="4" w:space="0" w:color="auto"/>
              <w:right w:val="single" w:sz="4" w:space="0" w:color="auto"/>
            </w:tcBorders>
            <w:shd w:val="clear" w:color="000000" w:fill="FCECEF"/>
            <w:noWrap/>
            <w:hideMark/>
          </w:tcPr>
          <w:p w14:paraId="76F751B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64,3</w:t>
            </w:r>
          </w:p>
        </w:tc>
        <w:tc>
          <w:tcPr>
            <w:tcW w:w="1134" w:type="dxa"/>
            <w:tcBorders>
              <w:top w:val="single" w:sz="4" w:space="0" w:color="auto"/>
              <w:left w:val="single" w:sz="4" w:space="0" w:color="auto"/>
              <w:bottom w:val="single" w:sz="4" w:space="0" w:color="auto"/>
              <w:right w:val="single" w:sz="4" w:space="0" w:color="auto"/>
            </w:tcBorders>
            <w:shd w:val="clear" w:color="000000" w:fill="EAEFF8"/>
            <w:noWrap/>
            <w:hideMark/>
          </w:tcPr>
          <w:p w14:paraId="0905E93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60,8</w:t>
            </w:r>
          </w:p>
        </w:tc>
        <w:tc>
          <w:tcPr>
            <w:tcW w:w="709" w:type="dxa"/>
            <w:tcBorders>
              <w:top w:val="single" w:sz="4" w:space="0" w:color="auto"/>
              <w:left w:val="single" w:sz="4" w:space="0" w:color="auto"/>
              <w:bottom w:val="single" w:sz="4" w:space="0" w:color="auto"/>
              <w:right w:val="single" w:sz="4" w:space="0" w:color="auto"/>
            </w:tcBorders>
            <w:shd w:val="clear" w:color="000000" w:fill="EDF1F9"/>
            <w:noWrap/>
            <w:hideMark/>
          </w:tcPr>
          <w:p w14:paraId="42D19F6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61,1</w:t>
            </w:r>
          </w:p>
        </w:tc>
        <w:tc>
          <w:tcPr>
            <w:tcW w:w="851" w:type="dxa"/>
            <w:tcBorders>
              <w:top w:val="single" w:sz="4" w:space="0" w:color="auto"/>
              <w:left w:val="single" w:sz="4" w:space="0" w:color="auto"/>
              <w:bottom w:val="single" w:sz="4" w:space="0" w:color="auto"/>
              <w:right w:val="single" w:sz="4" w:space="0" w:color="auto"/>
            </w:tcBorders>
            <w:shd w:val="clear" w:color="000000" w:fill="FBCED0"/>
            <w:noWrap/>
            <w:hideMark/>
          </w:tcPr>
          <w:p w14:paraId="7EDD0EE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67,5</w:t>
            </w:r>
          </w:p>
        </w:tc>
        <w:tc>
          <w:tcPr>
            <w:tcW w:w="1559" w:type="dxa"/>
            <w:tcBorders>
              <w:top w:val="single" w:sz="4" w:space="0" w:color="auto"/>
              <w:left w:val="single" w:sz="4" w:space="0" w:color="auto"/>
              <w:bottom w:val="single" w:sz="4" w:space="0" w:color="auto"/>
              <w:right w:val="single" w:sz="4" w:space="0" w:color="auto"/>
            </w:tcBorders>
            <w:shd w:val="clear" w:color="000000" w:fill="F7F9FD"/>
            <w:noWrap/>
            <w:hideMark/>
          </w:tcPr>
          <w:p w14:paraId="0190AD2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62,1</w:t>
            </w:r>
          </w:p>
        </w:tc>
        <w:tc>
          <w:tcPr>
            <w:tcW w:w="845" w:type="dxa"/>
            <w:tcBorders>
              <w:top w:val="single" w:sz="4" w:space="0" w:color="auto"/>
              <w:left w:val="single" w:sz="4" w:space="0" w:color="auto"/>
              <w:bottom w:val="single" w:sz="4" w:space="0" w:color="auto"/>
              <w:right w:val="single" w:sz="4" w:space="0" w:color="auto"/>
            </w:tcBorders>
            <w:shd w:val="clear" w:color="000000" w:fill="FCEEF1"/>
            <w:noWrap/>
            <w:hideMark/>
          </w:tcPr>
          <w:p w14:paraId="264E60F2"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64,1</w:t>
            </w:r>
          </w:p>
        </w:tc>
      </w:tr>
      <w:tr w:rsidR="007175FE" w:rsidRPr="001A228A" w14:paraId="3AD0FCEE"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23DC5E3" w14:textId="77777777" w:rsidR="007175FE" w:rsidRPr="001A228A" w:rsidRDefault="007175FE" w:rsidP="000C49A5">
            <w:pPr>
              <w:keepNext/>
              <w:rPr>
                <w:rFonts w:ascii="Calibri" w:eastAsia="Times New Roman" w:hAnsi="Calibri" w:cs="Calibri"/>
                <w:color w:val="000000"/>
                <w:sz w:val="18"/>
                <w:szCs w:val="18"/>
                <w:lang w:eastAsia="cs-CZ"/>
              </w:rPr>
            </w:pPr>
            <w:r>
              <w:rPr>
                <w:rFonts w:ascii="Calibri" w:hAnsi="Calibri" w:cs="Calibri"/>
                <w:color w:val="000000"/>
                <w:sz w:val="18"/>
                <w:szCs w:val="18"/>
              </w:rPr>
              <w:t>Nabídka možností využití volného času</w:t>
            </w:r>
          </w:p>
        </w:tc>
        <w:tc>
          <w:tcPr>
            <w:tcW w:w="567" w:type="dxa"/>
            <w:tcBorders>
              <w:top w:val="single" w:sz="4" w:space="0" w:color="auto"/>
              <w:left w:val="single" w:sz="4" w:space="0" w:color="auto"/>
              <w:bottom w:val="single" w:sz="4" w:space="0" w:color="auto"/>
              <w:right w:val="single" w:sz="4" w:space="0" w:color="auto"/>
            </w:tcBorders>
            <w:shd w:val="clear" w:color="000000" w:fill="F5F7FC"/>
            <w:noWrap/>
            <w:hideMark/>
          </w:tcPr>
          <w:p w14:paraId="26DD782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61,8</w:t>
            </w:r>
          </w:p>
        </w:tc>
        <w:tc>
          <w:tcPr>
            <w:tcW w:w="567" w:type="dxa"/>
            <w:tcBorders>
              <w:top w:val="single" w:sz="4" w:space="0" w:color="auto"/>
              <w:left w:val="single" w:sz="4" w:space="0" w:color="auto"/>
              <w:bottom w:val="single" w:sz="4" w:space="0" w:color="auto"/>
              <w:right w:val="single" w:sz="4" w:space="0" w:color="auto"/>
            </w:tcBorders>
            <w:shd w:val="clear" w:color="000000" w:fill="E6EDF7"/>
            <w:noWrap/>
            <w:hideMark/>
          </w:tcPr>
          <w:p w14:paraId="195875A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60,4</w:t>
            </w:r>
          </w:p>
        </w:tc>
        <w:tc>
          <w:tcPr>
            <w:tcW w:w="567" w:type="dxa"/>
            <w:tcBorders>
              <w:top w:val="single" w:sz="4" w:space="0" w:color="auto"/>
              <w:left w:val="single" w:sz="4" w:space="0" w:color="auto"/>
              <w:bottom w:val="single" w:sz="4" w:space="0" w:color="auto"/>
              <w:right w:val="single" w:sz="4" w:space="0" w:color="auto"/>
            </w:tcBorders>
            <w:shd w:val="clear" w:color="000000" w:fill="FCF7FA"/>
            <w:noWrap/>
            <w:hideMark/>
          </w:tcPr>
          <w:p w14:paraId="71A61B3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63,1</w:t>
            </w:r>
          </w:p>
        </w:tc>
        <w:tc>
          <w:tcPr>
            <w:tcW w:w="1134" w:type="dxa"/>
            <w:tcBorders>
              <w:top w:val="single" w:sz="4" w:space="0" w:color="auto"/>
              <w:left w:val="single" w:sz="4" w:space="0" w:color="auto"/>
              <w:bottom w:val="single" w:sz="4" w:space="0" w:color="auto"/>
              <w:right w:val="single" w:sz="4" w:space="0" w:color="auto"/>
            </w:tcBorders>
            <w:shd w:val="clear" w:color="000000" w:fill="FCFAFD"/>
            <w:noWrap/>
            <w:hideMark/>
          </w:tcPr>
          <w:p w14:paraId="0C6F433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62,8</w:t>
            </w:r>
          </w:p>
        </w:tc>
        <w:tc>
          <w:tcPr>
            <w:tcW w:w="709" w:type="dxa"/>
            <w:tcBorders>
              <w:top w:val="single" w:sz="4" w:space="0" w:color="auto"/>
              <w:left w:val="single" w:sz="4" w:space="0" w:color="auto"/>
              <w:bottom w:val="single" w:sz="4" w:space="0" w:color="auto"/>
              <w:right w:val="single" w:sz="4" w:space="0" w:color="auto"/>
            </w:tcBorders>
            <w:shd w:val="clear" w:color="000000" w:fill="E9EEF8"/>
            <w:noWrap/>
            <w:hideMark/>
          </w:tcPr>
          <w:p w14:paraId="2372188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60,7</w:t>
            </w:r>
          </w:p>
        </w:tc>
        <w:tc>
          <w:tcPr>
            <w:tcW w:w="851" w:type="dxa"/>
            <w:tcBorders>
              <w:top w:val="single" w:sz="4" w:space="0" w:color="auto"/>
              <w:left w:val="single" w:sz="4" w:space="0" w:color="auto"/>
              <w:bottom w:val="single" w:sz="4" w:space="0" w:color="auto"/>
              <w:right w:val="single" w:sz="4" w:space="0" w:color="auto"/>
            </w:tcBorders>
            <w:shd w:val="clear" w:color="000000" w:fill="FCF5F8"/>
            <w:noWrap/>
            <w:hideMark/>
          </w:tcPr>
          <w:p w14:paraId="6B22D4F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63,3</w:t>
            </w:r>
          </w:p>
        </w:tc>
        <w:tc>
          <w:tcPr>
            <w:tcW w:w="1559" w:type="dxa"/>
            <w:tcBorders>
              <w:top w:val="single" w:sz="4" w:space="0" w:color="auto"/>
              <w:left w:val="single" w:sz="4" w:space="0" w:color="auto"/>
              <w:bottom w:val="single" w:sz="4" w:space="0" w:color="auto"/>
              <w:right w:val="single" w:sz="4" w:space="0" w:color="auto"/>
            </w:tcBorders>
            <w:shd w:val="clear" w:color="000000" w:fill="FBC6C9"/>
            <w:noWrap/>
            <w:hideMark/>
          </w:tcPr>
          <w:p w14:paraId="325017B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68,3</w:t>
            </w:r>
          </w:p>
        </w:tc>
        <w:tc>
          <w:tcPr>
            <w:tcW w:w="845" w:type="dxa"/>
            <w:tcBorders>
              <w:top w:val="single" w:sz="4" w:space="0" w:color="auto"/>
              <w:left w:val="single" w:sz="4" w:space="0" w:color="auto"/>
              <w:bottom w:val="single" w:sz="4" w:space="0" w:color="auto"/>
              <w:right w:val="single" w:sz="4" w:space="0" w:color="auto"/>
            </w:tcBorders>
            <w:shd w:val="clear" w:color="000000" w:fill="FCDEE1"/>
            <w:noWrap/>
            <w:hideMark/>
          </w:tcPr>
          <w:p w14:paraId="45AA8C3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65,7</w:t>
            </w:r>
          </w:p>
        </w:tc>
      </w:tr>
      <w:tr w:rsidR="007175FE" w:rsidRPr="001A228A" w14:paraId="321F2052"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E841B16" w14:textId="77777777" w:rsidR="007175FE" w:rsidRPr="001A228A" w:rsidRDefault="007175FE" w:rsidP="000C49A5">
            <w:pPr>
              <w:keepNext/>
              <w:rPr>
                <w:rFonts w:ascii="Calibri" w:eastAsia="Times New Roman" w:hAnsi="Calibri" w:cs="Calibri"/>
                <w:color w:val="000000"/>
                <w:sz w:val="18"/>
                <w:szCs w:val="18"/>
                <w:lang w:eastAsia="cs-CZ"/>
              </w:rPr>
            </w:pPr>
            <w:r>
              <w:rPr>
                <w:rFonts w:ascii="Calibri" w:hAnsi="Calibri" w:cs="Calibri"/>
                <w:color w:val="000000"/>
                <w:sz w:val="18"/>
                <w:szCs w:val="18"/>
              </w:rPr>
              <w:t>Nabídka zdravotních služeb</w:t>
            </w:r>
          </w:p>
        </w:tc>
        <w:tc>
          <w:tcPr>
            <w:tcW w:w="567" w:type="dxa"/>
            <w:tcBorders>
              <w:top w:val="single" w:sz="4" w:space="0" w:color="auto"/>
              <w:left w:val="single" w:sz="4" w:space="0" w:color="auto"/>
              <w:bottom w:val="single" w:sz="4" w:space="0" w:color="auto"/>
              <w:right w:val="single" w:sz="4" w:space="0" w:color="auto"/>
            </w:tcBorders>
            <w:shd w:val="clear" w:color="000000" w:fill="DEE7F4"/>
            <w:noWrap/>
            <w:hideMark/>
          </w:tcPr>
          <w:p w14:paraId="2D10190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59,6</w:t>
            </w:r>
          </w:p>
        </w:tc>
        <w:tc>
          <w:tcPr>
            <w:tcW w:w="567" w:type="dxa"/>
            <w:tcBorders>
              <w:top w:val="single" w:sz="4" w:space="0" w:color="auto"/>
              <w:left w:val="single" w:sz="4" w:space="0" w:color="auto"/>
              <w:bottom w:val="single" w:sz="4" w:space="0" w:color="auto"/>
              <w:right w:val="single" w:sz="4" w:space="0" w:color="auto"/>
            </w:tcBorders>
            <w:shd w:val="clear" w:color="000000" w:fill="D3DFF0"/>
            <w:noWrap/>
            <w:hideMark/>
          </w:tcPr>
          <w:p w14:paraId="5D9CC2B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58,5</w:t>
            </w:r>
          </w:p>
        </w:tc>
        <w:tc>
          <w:tcPr>
            <w:tcW w:w="567" w:type="dxa"/>
            <w:tcBorders>
              <w:top w:val="single" w:sz="4" w:space="0" w:color="auto"/>
              <w:left w:val="single" w:sz="4" w:space="0" w:color="auto"/>
              <w:bottom w:val="single" w:sz="4" w:space="0" w:color="auto"/>
              <w:right w:val="single" w:sz="4" w:space="0" w:color="auto"/>
            </w:tcBorders>
            <w:shd w:val="clear" w:color="000000" w:fill="E8EEF8"/>
            <w:noWrap/>
            <w:hideMark/>
          </w:tcPr>
          <w:p w14:paraId="61E7920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60,6</w:t>
            </w:r>
          </w:p>
        </w:tc>
        <w:tc>
          <w:tcPr>
            <w:tcW w:w="1134" w:type="dxa"/>
            <w:tcBorders>
              <w:top w:val="single" w:sz="4" w:space="0" w:color="auto"/>
              <w:left w:val="single" w:sz="4" w:space="0" w:color="auto"/>
              <w:bottom w:val="single" w:sz="4" w:space="0" w:color="auto"/>
              <w:right w:val="single" w:sz="4" w:space="0" w:color="auto"/>
            </w:tcBorders>
            <w:shd w:val="clear" w:color="000000" w:fill="E7EDF7"/>
            <w:noWrap/>
            <w:hideMark/>
          </w:tcPr>
          <w:p w14:paraId="0BDA917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60,5</w:t>
            </w:r>
          </w:p>
        </w:tc>
        <w:tc>
          <w:tcPr>
            <w:tcW w:w="709" w:type="dxa"/>
            <w:tcBorders>
              <w:top w:val="single" w:sz="4" w:space="0" w:color="auto"/>
              <w:left w:val="single" w:sz="4" w:space="0" w:color="auto"/>
              <w:bottom w:val="single" w:sz="4" w:space="0" w:color="auto"/>
              <w:right w:val="single" w:sz="4" w:space="0" w:color="auto"/>
            </w:tcBorders>
            <w:shd w:val="clear" w:color="000000" w:fill="DFE8F5"/>
            <w:noWrap/>
            <w:hideMark/>
          </w:tcPr>
          <w:p w14:paraId="5B0BDB3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59,7</w:t>
            </w:r>
          </w:p>
        </w:tc>
        <w:tc>
          <w:tcPr>
            <w:tcW w:w="851" w:type="dxa"/>
            <w:tcBorders>
              <w:top w:val="single" w:sz="4" w:space="0" w:color="auto"/>
              <w:left w:val="single" w:sz="4" w:space="0" w:color="auto"/>
              <w:bottom w:val="single" w:sz="4" w:space="0" w:color="auto"/>
              <w:right w:val="single" w:sz="4" w:space="0" w:color="auto"/>
            </w:tcBorders>
            <w:shd w:val="clear" w:color="000000" w:fill="D4E0F1"/>
            <w:noWrap/>
            <w:hideMark/>
          </w:tcPr>
          <w:p w14:paraId="70E5F4B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58,6</w:t>
            </w:r>
          </w:p>
        </w:tc>
        <w:tc>
          <w:tcPr>
            <w:tcW w:w="1559" w:type="dxa"/>
            <w:tcBorders>
              <w:top w:val="single" w:sz="4" w:space="0" w:color="auto"/>
              <w:left w:val="single" w:sz="4" w:space="0" w:color="auto"/>
              <w:bottom w:val="single" w:sz="4" w:space="0" w:color="auto"/>
              <w:right w:val="single" w:sz="4" w:space="0" w:color="auto"/>
            </w:tcBorders>
            <w:shd w:val="clear" w:color="000000" w:fill="FCF4F7"/>
            <w:noWrap/>
            <w:hideMark/>
          </w:tcPr>
          <w:p w14:paraId="40EB117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63,5</w:t>
            </w:r>
          </w:p>
        </w:tc>
        <w:tc>
          <w:tcPr>
            <w:tcW w:w="845" w:type="dxa"/>
            <w:tcBorders>
              <w:top w:val="single" w:sz="4" w:space="0" w:color="auto"/>
              <w:left w:val="single" w:sz="4" w:space="0" w:color="auto"/>
              <w:bottom w:val="single" w:sz="4" w:space="0" w:color="auto"/>
              <w:right w:val="single" w:sz="4" w:space="0" w:color="auto"/>
            </w:tcBorders>
            <w:shd w:val="clear" w:color="000000" w:fill="FCDDE0"/>
            <w:noWrap/>
            <w:hideMark/>
          </w:tcPr>
          <w:p w14:paraId="1509C03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65,9</w:t>
            </w:r>
          </w:p>
        </w:tc>
      </w:tr>
      <w:tr w:rsidR="007175FE" w:rsidRPr="001A228A" w14:paraId="544F17D1"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F27C1AD" w14:textId="77777777" w:rsidR="007175FE" w:rsidRPr="001A228A" w:rsidRDefault="007175FE" w:rsidP="000C49A5">
            <w:pPr>
              <w:keepNext/>
              <w:rPr>
                <w:rFonts w:ascii="Calibri" w:eastAsia="Times New Roman" w:hAnsi="Calibri" w:cs="Calibri"/>
                <w:color w:val="000000"/>
                <w:sz w:val="18"/>
                <w:szCs w:val="18"/>
                <w:lang w:eastAsia="cs-CZ"/>
              </w:rPr>
            </w:pPr>
            <w:r>
              <w:rPr>
                <w:rFonts w:ascii="Calibri" w:hAnsi="Calibri" w:cs="Calibri"/>
                <w:color w:val="000000"/>
                <w:sz w:val="18"/>
                <w:szCs w:val="18"/>
              </w:rPr>
              <w:t>Kvalita zdravotních služeb</w:t>
            </w:r>
          </w:p>
        </w:tc>
        <w:tc>
          <w:tcPr>
            <w:tcW w:w="567" w:type="dxa"/>
            <w:tcBorders>
              <w:top w:val="single" w:sz="4" w:space="0" w:color="auto"/>
              <w:left w:val="single" w:sz="4" w:space="0" w:color="auto"/>
              <w:bottom w:val="single" w:sz="4" w:space="0" w:color="auto"/>
              <w:right w:val="single" w:sz="4" w:space="0" w:color="auto"/>
            </w:tcBorders>
            <w:shd w:val="clear" w:color="000000" w:fill="A6BFE0"/>
            <w:noWrap/>
            <w:hideMark/>
          </w:tcPr>
          <w:p w14:paraId="633E0C85"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54,0</w:t>
            </w:r>
          </w:p>
        </w:tc>
        <w:tc>
          <w:tcPr>
            <w:tcW w:w="567" w:type="dxa"/>
            <w:tcBorders>
              <w:top w:val="single" w:sz="4" w:space="0" w:color="auto"/>
              <w:left w:val="single" w:sz="4" w:space="0" w:color="auto"/>
              <w:bottom w:val="single" w:sz="4" w:space="0" w:color="auto"/>
              <w:right w:val="single" w:sz="4" w:space="0" w:color="auto"/>
            </w:tcBorders>
            <w:shd w:val="clear" w:color="000000" w:fill="99B6DC"/>
            <w:noWrap/>
            <w:hideMark/>
          </w:tcPr>
          <w:p w14:paraId="5E73422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52,8</w:t>
            </w:r>
          </w:p>
        </w:tc>
        <w:tc>
          <w:tcPr>
            <w:tcW w:w="567" w:type="dxa"/>
            <w:tcBorders>
              <w:top w:val="single" w:sz="4" w:space="0" w:color="auto"/>
              <w:left w:val="single" w:sz="4" w:space="0" w:color="auto"/>
              <w:bottom w:val="single" w:sz="4" w:space="0" w:color="auto"/>
              <w:right w:val="single" w:sz="4" w:space="0" w:color="auto"/>
            </w:tcBorders>
            <w:shd w:val="clear" w:color="000000" w:fill="B1C7E4"/>
            <w:noWrap/>
            <w:hideMark/>
          </w:tcPr>
          <w:p w14:paraId="06BCB07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55,1</w:t>
            </w:r>
          </w:p>
        </w:tc>
        <w:tc>
          <w:tcPr>
            <w:tcW w:w="1134" w:type="dxa"/>
            <w:tcBorders>
              <w:top w:val="single" w:sz="4" w:space="0" w:color="auto"/>
              <w:left w:val="single" w:sz="4" w:space="0" w:color="auto"/>
              <w:bottom w:val="single" w:sz="4" w:space="0" w:color="auto"/>
              <w:right w:val="single" w:sz="4" w:space="0" w:color="auto"/>
            </w:tcBorders>
            <w:shd w:val="clear" w:color="000000" w:fill="9EBADE"/>
            <w:noWrap/>
            <w:hideMark/>
          </w:tcPr>
          <w:p w14:paraId="0FCAEC8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53,3</w:t>
            </w:r>
          </w:p>
        </w:tc>
        <w:tc>
          <w:tcPr>
            <w:tcW w:w="709" w:type="dxa"/>
            <w:tcBorders>
              <w:top w:val="single" w:sz="4" w:space="0" w:color="auto"/>
              <w:left w:val="single" w:sz="4" w:space="0" w:color="auto"/>
              <w:bottom w:val="single" w:sz="4" w:space="0" w:color="auto"/>
              <w:right w:val="single" w:sz="4" w:space="0" w:color="auto"/>
            </w:tcBorders>
            <w:shd w:val="clear" w:color="000000" w:fill="ABC3E2"/>
            <w:noWrap/>
            <w:hideMark/>
          </w:tcPr>
          <w:p w14:paraId="76E1817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54,6</w:t>
            </w:r>
          </w:p>
        </w:tc>
        <w:tc>
          <w:tcPr>
            <w:tcW w:w="851" w:type="dxa"/>
            <w:tcBorders>
              <w:top w:val="single" w:sz="4" w:space="0" w:color="auto"/>
              <w:left w:val="single" w:sz="4" w:space="0" w:color="auto"/>
              <w:bottom w:val="single" w:sz="4" w:space="0" w:color="auto"/>
              <w:right w:val="single" w:sz="4" w:space="0" w:color="auto"/>
            </w:tcBorders>
            <w:shd w:val="clear" w:color="000000" w:fill="A2BCDF"/>
            <w:noWrap/>
            <w:hideMark/>
          </w:tcPr>
          <w:p w14:paraId="44316EF4"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53,6</w:t>
            </w:r>
          </w:p>
        </w:tc>
        <w:tc>
          <w:tcPr>
            <w:tcW w:w="1559" w:type="dxa"/>
            <w:tcBorders>
              <w:top w:val="single" w:sz="4" w:space="0" w:color="auto"/>
              <w:left w:val="single" w:sz="4" w:space="0" w:color="auto"/>
              <w:bottom w:val="single" w:sz="4" w:space="0" w:color="auto"/>
              <w:right w:val="single" w:sz="4" w:space="0" w:color="auto"/>
            </w:tcBorders>
            <w:shd w:val="clear" w:color="000000" w:fill="C3D4EB"/>
            <w:noWrap/>
            <w:hideMark/>
          </w:tcPr>
          <w:p w14:paraId="377A58B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57,0</w:t>
            </w:r>
          </w:p>
        </w:tc>
        <w:tc>
          <w:tcPr>
            <w:tcW w:w="845" w:type="dxa"/>
            <w:tcBorders>
              <w:top w:val="single" w:sz="4" w:space="0" w:color="auto"/>
              <w:left w:val="single" w:sz="4" w:space="0" w:color="auto"/>
              <w:bottom w:val="single" w:sz="4" w:space="0" w:color="auto"/>
              <w:right w:val="single" w:sz="4" w:space="0" w:color="auto"/>
            </w:tcBorders>
            <w:shd w:val="clear" w:color="000000" w:fill="B6CBE6"/>
            <w:noWrap/>
            <w:hideMark/>
          </w:tcPr>
          <w:p w14:paraId="6BA92DC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55,7</w:t>
            </w:r>
          </w:p>
        </w:tc>
      </w:tr>
      <w:tr w:rsidR="007175FE" w:rsidRPr="001A228A" w14:paraId="6BAB9695" w14:textId="77777777" w:rsidTr="000C49A5">
        <w:trPr>
          <w:trHeight w:val="24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951A0FD" w14:textId="77777777" w:rsidR="007175FE" w:rsidRPr="001A228A" w:rsidRDefault="007175FE" w:rsidP="000C49A5">
            <w:pPr>
              <w:keepNext/>
              <w:rPr>
                <w:rFonts w:ascii="Calibri" w:eastAsia="Times New Roman" w:hAnsi="Calibri" w:cs="Calibri"/>
                <w:color w:val="000000"/>
                <w:sz w:val="18"/>
                <w:szCs w:val="18"/>
                <w:lang w:eastAsia="cs-CZ"/>
              </w:rPr>
            </w:pPr>
            <w:r>
              <w:rPr>
                <w:rFonts w:ascii="Calibri" w:hAnsi="Calibri" w:cs="Calibri"/>
                <w:color w:val="000000"/>
                <w:sz w:val="18"/>
                <w:szCs w:val="18"/>
              </w:rPr>
              <w:t>Nabídka sociálních služeb</w:t>
            </w:r>
          </w:p>
        </w:tc>
        <w:tc>
          <w:tcPr>
            <w:tcW w:w="567" w:type="dxa"/>
            <w:tcBorders>
              <w:top w:val="single" w:sz="4" w:space="0" w:color="auto"/>
              <w:left w:val="single" w:sz="4" w:space="0" w:color="auto"/>
              <w:bottom w:val="single" w:sz="4" w:space="0" w:color="auto"/>
              <w:right w:val="single" w:sz="4" w:space="0" w:color="auto"/>
            </w:tcBorders>
            <w:shd w:val="clear" w:color="000000" w:fill="A0BBDE"/>
            <w:noWrap/>
            <w:hideMark/>
          </w:tcPr>
          <w:p w14:paraId="4B99F19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53,4</w:t>
            </w:r>
          </w:p>
        </w:tc>
        <w:tc>
          <w:tcPr>
            <w:tcW w:w="567" w:type="dxa"/>
            <w:tcBorders>
              <w:top w:val="single" w:sz="4" w:space="0" w:color="auto"/>
              <w:left w:val="single" w:sz="4" w:space="0" w:color="auto"/>
              <w:bottom w:val="single" w:sz="4" w:space="0" w:color="auto"/>
              <w:right w:val="single" w:sz="4" w:space="0" w:color="auto"/>
            </w:tcBorders>
            <w:shd w:val="clear" w:color="000000" w:fill="9FBADE"/>
            <w:noWrap/>
            <w:hideMark/>
          </w:tcPr>
          <w:p w14:paraId="6BD6D67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53,3</w:t>
            </w:r>
          </w:p>
        </w:tc>
        <w:tc>
          <w:tcPr>
            <w:tcW w:w="567" w:type="dxa"/>
            <w:tcBorders>
              <w:top w:val="single" w:sz="4" w:space="0" w:color="auto"/>
              <w:left w:val="single" w:sz="4" w:space="0" w:color="auto"/>
              <w:bottom w:val="single" w:sz="4" w:space="0" w:color="auto"/>
              <w:right w:val="single" w:sz="4" w:space="0" w:color="auto"/>
            </w:tcBorders>
            <w:shd w:val="clear" w:color="000000" w:fill="A0BBDE"/>
            <w:noWrap/>
            <w:hideMark/>
          </w:tcPr>
          <w:p w14:paraId="2BEFA46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53,5</w:t>
            </w:r>
          </w:p>
        </w:tc>
        <w:tc>
          <w:tcPr>
            <w:tcW w:w="1134" w:type="dxa"/>
            <w:tcBorders>
              <w:top w:val="single" w:sz="4" w:space="0" w:color="auto"/>
              <w:left w:val="single" w:sz="4" w:space="0" w:color="auto"/>
              <w:bottom w:val="single" w:sz="4" w:space="0" w:color="auto"/>
              <w:right w:val="single" w:sz="4" w:space="0" w:color="auto"/>
            </w:tcBorders>
            <w:shd w:val="clear" w:color="000000" w:fill="ECF1F9"/>
            <w:noWrap/>
            <w:hideMark/>
          </w:tcPr>
          <w:p w14:paraId="2382A404"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61,0</w:t>
            </w:r>
          </w:p>
        </w:tc>
        <w:tc>
          <w:tcPr>
            <w:tcW w:w="709" w:type="dxa"/>
            <w:tcBorders>
              <w:top w:val="single" w:sz="4" w:space="0" w:color="auto"/>
              <w:left w:val="single" w:sz="4" w:space="0" w:color="auto"/>
              <w:bottom w:val="single" w:sz="4" w:space="0" w:color="auto"/>
              <w:right w:val="single" w:sz="4" w:space="0" w:color="auto"/>
            </w:tcBorders>
            <w:shd w:val="clear" w:color="000000" w:fill="9EBADE"/>
            <w:noWrap/>
            <w:hideMark/>
          </w:tcPr>
          <w:p w14:paraId="65DAE174"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53,3</w:t>
            </w:r>
          </w:p>
        </w:tc>
        <w:tc>
          <w:tcPr>
            <w:tcW w:w="851" w:type="dxa"/>
            <w:tcBorders>
              <w:top w:val="single" w:sz="4" w:space="0" w:color="auto"/>
              <w:left w:val="single" w:sz="4" w:space="0" w:color="auto"/>
              <w:bottom w:val="single" w:sz="4" w:space="0" w:color="auto"/>
              <w:right w:val="single" w:sz="4" w:space="0" w:color="auto"/>
            </w:tcBorders>
            <w:shd w:val="clear" w:color="000000" w:fill="5A8AC6"/>
            <w:noWrap/>
            <w:hideMark/>
          </w:tcPr>
          <w:p w14:paraId="1907FB3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46,5</w:t>
            </w:r>
          </w:p>
        </w:tc>
        <w:tc>
          <w:tcPr>
            <w:tcW w:w="1559" w:type="dxa"/>
            <w:tcBorders>
              <w:top w:val="single" w:sz="4" w:space="0" w:color="auto"/>
              <w:left w:val="single" w:sz="4" w:space="0" w:color="auto"/>
              <w:bottom w:val="single" w:sz="4" w:space="0" w:color="auto"/>
              <w:right w:val="single" w:sz="4" w:space="0" w:color="auto"/>
            </w:tcBorders>
            <w:shd w:val="clear" w:color="000000" w:fill="CFDCEF"/>
            <w:noWrap/>
            <w:hideMark/>
          </w:tcPr>
          <w:p w14:paraId="623DC2F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58,1</w:t>
            </w:r>
          </w:p>
        </w:tc>
        <w:tc>
          <w:tcPr>
            <w:tcW w:w="845" w:type="dxa"/>
            <w:tcBorders>
              <w:top w:val="single" w:sz="4" w:space="0" w:color="auto"/>
              <w:left w:val="single" w:sz="4" w:space="0" w:color="auto"/>
              <w:bottom w:val="single" w:sz="4" w:space="0" w:color="auto"/>
              <w:right w:val="single" w:sz="4" w:space="0" w:color="auto"/>
            </w:tcBorders>
            <w:shd w:val="clear" w:color="000000" w:fill="FAFBFE"/>
            <w:noWrap/>
            <w:hideMark/>
          </w:tcPr>
          <w:p w14:paraId="766DC1A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62,4</w:t>
            </w:r>
          </w:p>
        </w:tc>
      </w:tr>
    </w:tbl>
    <w:p w14:paraId="30BCCDD6" w14:textId="126F0059" w:rsidR="007175FE" w:rsidRPr="00DA7ABE" w:rsidRDefault="007175FE" w:rsidP="007175FE">
      <w:pPr>
        <w:pStyle w:val="zdroj0"/>
        <w:keepNext/>
        <w:rPr>
          <w:rFonts w:asciiTheme="minorHAnsi" w:hAnsiTheme="minorHAnsi" w:cstheme="minorHAnsi"/>
        </w:rPr>
      </w:pPr>
      <w:r w:rsidRPr="00DA7ABE">
        <w:rPr>
          <w:rFonts w:asciiTheme="minorHAnsi" w:hAnsiTheme="minorHAnsi" w:cstheme="minorHAnsi"/>
        </w:rPr>
        <w:t>Zdroj: PROCES, Anketní šetření spokojenosti obyvatel města Zlín 2020</w:t>
      </w:r>
      <w:r w:rsidR="006A52DD">
        <w:rPr>
          <w:rFonts w:asciiTheme="minorHAnsi" w:hAnsiTheme="minorHAnsi" w:cstheme="minorHAnsi"/>
        </w:rPr>
        <w:t>;</w:t>
      </w:r>
      <w:r w:rsidRPr="00DA7ABE">
        <w:rPr>
          <w:rFonts w:asciiTheme="minorHAnsi" w:hAnsiTheme="minorHAnsi" w:cstheme="minorHAnsi"/>
        </w:rPr>
        <w:t xml:space="preserve"> Otázka 5.</w:t>
      </w:r>
      <w:r w:rsidR="006A52DD">
        <w:rPr>
          <w:rFonts w:asciiTheme="minorHAnsi" w:hAnsiTheme="minorHAnsi" w:cstheme="minorHAnsi"/>
        </w:rPr>
        <w:t>:</w:t>
      </w:r>
      <w:r w:rsidRPr="00DA7ABE">
        <w:rPr>
          <w:rFonts w:asciiTheme="minorHAnsi" w:hAnsiTheme="minorHAnsi" w:cstheme="minorHAnsi"/>
        </w:rPr>
        <w:t xml:space="preserve"> Jak jste spokojeni s občanskou vybaveností ve Vašem městě?</w:t>
      </w:r>
      <w:r w:rsidRPr="00DA7ABE">
        <w:rPr>
          <w:rFonts w:asciiTheme="minorHAnsi" w:hAnsiTheme="minorHAnsi" w:cstheme="minorHAnsi"/>
        </w:rPr>
        <w:br/>
        <w:t>Pozn.: Průměrné hodnocení na škále 0</w:t>
      </w:r>
      <w:r w:rsidR="006A52DD">
        <w:rPr>
          <w:rFonts w:asciiTheme="minorHAnsi" w:hAnsiTheme="minorHAnsi" w:cstheme="minorHAnsi"/>
        </w:rPr>
        <w:t xml:space="preserve"> </w:t>
      </w:r>
      <w:r w:rsidR="006A52DD">
        <w:rPr>
          <w:rFonts w:asciiTheme="minorHAnsi" w:hAnsiTheme="minorHAnsi" w:cstheme="minorHAnsi"/>
        </w:rPr>
        <w:sym w:font="Symbol" w:char="F02D"/>
      </w:r>
      <w:r w:rsidR="006A52DD">
        <w:rPr>
          <w:rFonts w:asciiTheme="minorHAnsi" w:hAnsiTheme="minorHAnsi" w:cstheme="minorHAnsi"/>
        </w:rPr>
        <w:t xml:space="preserve"> </w:t>
      </w:r>
      <w:r w:rsidRPr="00DA7ABE">
        <w:rPr>
          <w:rFonts w:asciiTheme="minorHAnsi" w:hAnsiTheme="minorHAnsi" w:cstheme="minorHAnsi"/>
        </w:rPr>
        <w:t>100 (0 velmi nespokojen 100 velmi spokojen).</w:t>
      </w:r>
    </w:p>
    <w:p w14:paraId="56316062" w14:textId="47925A71" w:rsidR="007175FE" w:rsidRDefault="007175FE" w:rsidP="007175FE">
      <w:pPr>
        <w:pStyle w:val="Nadpis3"/>
      </w:pPr>
      <w:bookmarkStart w:id="617" w:name="_Toc50116469"/>
      <w:bookmarkStart w:id="618" w:name="_Toc77074626"/>
      <w:r>
        <w:t>Jak hodnotím vzdělá</w:t>
      </w:r>
      <w:r w:rsidR="00757ADA">
        <w:t>vá</w:t>
      </w:r>
      <w:r>
        <w:t>ní</w:t>
      </w:r>
      <w:bookmarkEnd w:id="617"/>
      <w:bookmarkEnd w:id="618"/>
    </w:p>
    <w:p w14:paraId="3F4B810B" w14:textId="4329DB00" w:rsidR="007175FE" w:rsidRPr="00DA7ABE" w:rsidRDefault="007175FE" w:rsidP="007175FE">
      <w:pPr>
        <w:rPr>
          <w:rFonts w:cstheme="minorHAnsi"/>
        </w:rPr>
      </w:pPr>
      <w:r w:rsidRPr="003D492B">
        <w:rPr>
          <w:rFonts w:cstheme="minorHAnsi"/>
        </w:rPr>
        <w:t xml:space="preserve">Dále byla hodnocena oblast vzdělávání. Na škále od 0 do 100, kde 0 je nejmenší spokojenost a 100 největší spokojenost, je u obyvatel Zlína spokojenost s dostupností mateřských škol 66,0, spokojenost s kvalitou výuky na základních školách 59,5 a spokojenost a nabídkou oborů na středních školách 63,6. </w:t>
      </w:r>
      <w:r w:rsidR="006A52DD">
        <w:rPr>
          <w:rFonts w:cstheme="minorHAnsi"/>
        </w:rPr>
        <w:t>U </w:t>
      </w:r>
      <w:r>
        <w:rPr>
          <w:rFonts w:cstheme="minorHAnsi"/>
        </w:rPr>
        <w:t xml:space="preserve">respondentů, kteří nemají ve Zlíně trvalé bydliště, je mírně vyšší spokojenost s dostupností mateřských škol a s nabídkou oborů na středních školách. Studenti UTB jsou ze všech kategorií respondentů nejvíce spokojeni, a to ve všech třech hodnocených oblastech vzdělávání. </w:t>
      </w:r>
      <w:r w:rsidRPr="003D492B">
        <w:rPr>
          <w:rFonts w:cstheme="minorHAnsi"/>
        </w:rPr>
        <w:t xml:space="preserve">Respondenti měli možnost zvolit odpověď „nemohu posoudit“, tyto odpovědi nejsou do hodnocení níže zahrnuty. Jednalo </w:t>
      </w:r>
      <w:r>
        <w:rPr>
          <w:rFonts w:cstheme="minorHAnsi"/>
        </w:rPr>
        <w:t xml:space="preserve">se </w:t>
      </w:r>
      <w:r w:rsidRPr="003D492B">
        <w:rPr>
          <w:rFonts w:cstheme="minorHAnsi"/>
        </w:rPr>
        <w:t xml:space="preserve">především o respondenty ve věku 65 let a více, respondenty, kteří nemají trvalé bydliště ve Zlíně a </w:t>
      </w:r>
      <w:r>
        <w:rPr>
          <w:rFonts w:cstheme="minorHAnsi"/>
        </w:rPr>
        <w:t xml:space="preserve">o </w:t>
      </w:r>
      <w:r w:rsidRPr="003D492B">
        <w:rPr>
          <w:rFonts w:cstheme="minorHAnsi"/>
        </w:rPr>
        <w:t>studenty UTB.</w:t>
      </w:r>
    </w:p>
    <w:p w14:paraId="4EA25CFC" w14:textId="6A42E0B8" w:rsidR="007175FE" w:rsidRPr="00DA7ABE" w:rsidRDefault="007175FE" w:rsidP="007175FE">
      <w:pPr>
        <w:pStyle w:val="Titulek"/>
        <w:keepNext/>
        <w:rPr>
          <w:rFonts w:cstheme="minorHAnsi"/>
        </w:rPr>
      </w:pPr>
      <w:bookmarkStart w:id="619" w:name="_Toc54702784"/>
      <w:bookmarkStart w:id="620" w:name="_Toc56179590"/>
      <w:bookmarkStart w:id="621" w:name="_Toc77074932"/>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11</w:t>
      </w:r>
      <w:r w:rsidR="0096730F">
        <w:rPr>
          <w:rFonts w:cstheme="minorHAnsi"/>
        </w:rPr>
        <w:fldChar w:fldCharType="end"/>
      </w:r>
      <w:r w:rsidR="006A52DD">
        <w:rPr>
          <w:rFonts w:cstheme="minorHAnsi"/>
        </w:rPr>
        <w:t>:</w:t>
      </w:r>
      <w:r w:rsidRPr="00DA7ABE">
        <w:rPr>
          <w:rFonts w:cstheme="minorHAnsi"/>
        </w:rPr>
        <w:t xml:space="preserve"> Spokojenost s oblastí vzdělávání</w:t>
      </w:r>
      <w:bookmarkEnd w:id="619"/>
      <w:bookmarkEnd w:id="620"/>
      <w:bookmarkEnd w:id="621"/>
    </w:p>
    <w:p w14:paraId="45D60F28" w14:textId="77777777" w:rsidR="007175FE" w:rsidRPr="00DA7ABE" w:rsidRDefault="007175FE" w:rsidP="007175FE">
      <w:pPr>
        <w:keepNext/>
        <w:rPr>
          <w:rFonts w:cstheme="minorHAnsi"/>
        </w:rPr>
      </w:pPr>
      <w:r>
        <w:rPr>
          <w:rFonts w:cstheme="minorHAnsi"/>
          <w:noProof/>
          <w:lang w:eastAsia="cs-CZ"/>
        </w:rPr>
        <w:drawing>
          <wp:inline distT="0" distB="0" distL="0" distR="0" wp14:anchorId="4758AFD0" wp14:editId="305D9DB9">
            <wp:extent cx="5767070" cy="3145790"/>
            <wp:effectExtent l="0" t="0" r="5080" b="0"/>
            <wp:docPr id="361" name="Obráze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7070" cy="3145790"/>
                    </a:xfrm>
                    <a:prstGeom prst="rect">
                      <a:avLst/>
                    </a:prstGeom>
                    <a:noFill/>
                  </pic:spPr>
                </pic:pic>
              </a:graphicData>
            </a:graphic>
          </wp:inline>
        </w:drawing>
      </w:r>
    </w:p>
    <w:p w14:paraId="401042AE" w14:textId="5EB604A5"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6A52DD">
        <w:rPr>
          <w:rFonts w:asciiTheme="minorHAnsi" w:hAnsiTheme="minorHAnsi" w:cstheme="minorHAnsi"/>
        </w:rPr>
        <w:t>;</w:t>
      </w:r>
      <w:r w:rsidRPr="00DA7ABE">
        <w:rPr>
          <w:rFonts w:asciiTheme="minorHAnsi" w:hAnsiTheme="minorHAnsi" w:cstheme="minorHAnsi"/>
        </w:rPr>
        <w:t xml:space="preserve"> Otázka 6.</w:t>
      </w:r>
      <w:r w:rsidR="006A52DD">
        <w:rPr>
          <w:rFonts w:asciiTheme="minorHAnsi" w:hAnsiTheme="minorHAnsi" w:cstheme="minorHAnsi"/>
        </w:rPr>
        <w:t>:</w:t>
      </w:r>
      <w:r w:rsidRPr="00DA7ABE">
        <w:rPr>
          <w:rFonts w:asciiTheme="minorHAnsi" w:hAnsiTheme="minorHAnsi" w:cstheme="minorHAnsi"/>
        </w:rPr>
        <w:t xml:space="preserve"> Jak jste spokojeni s oblastí vzdělávání ve Vašem městě?</w:t>
      </w:r>
    </w:p>
    <w:p w14:paraId="4ADADC2F" w14:textId="77777777" w:rsidR="007175FE" w:rsidRPr="003D492B" w:rsidRDefault="007175FE" w:rsidP="007175FE">
      <w:pPr>
        <w:rPr>
          <w:rFonts w:cstheme="minorHAnsi"/>
        </w:rPr>
      </w:pPr>
      <w:r w:rsidRPr="003D492B">
        <w:rPr>
          <w:rFonts w:cstheme="minorHAnsi"/>
        </w:rPr>
        <w:t xml:space="preserve">Nejhůře hodnotí dostupnost MŠ respondenti ve věkové kategorii od 65 let, tedy prarodiče školáků, u ostatních věkových kategorií je v této oblasti spokojenost poměrně vysoká: hodnoty nad 67,7 a 68,1. Spokojenější jsou muži, než ženy. Kvalitu výuky na ZŠ hodnotí nejlépe mladší věkové kategorie do 35 let, nejhůře starší občané od 65let. Velký rozdíl mezi spokojeností podle věku je také u nabídky oborů na SŠ, kde jsou nejspokojenější občané do 35 let (spokojenost 68,9), spokojenost zde opět s rostoucím věkem klesá. </w:t>
      </w:r>
    </w:p>
    <w:p w14:paraId="493DE226" w14:textId="2EF49FED" w:rsidR="007175FE" w:rsidRDefault="007175FE" w:rsidP="007175FE">
      <w:pPr>
        <w:pStyle w:val="Titulek"/>
        <w:rPr>
          <w:rFonts w:cstheme="minorHAnsi"/>
        </w:rPr>
      </w:pPr>
      <w:bookmarkStart w:id="622" w:name="_Toc54702624"/>
      <w:bookmarkStart w:id="623" w:name="_Toc56179431"/>
      <w:bookmarkStart w:id="624" w:name="_Toc57731789"/>
      <w:bookmarkStart w:id="625" w:name="_Toc77074773"/>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10</w:t>
      </w:r>
      <w:r w:rsidR="00DC277C">
        <w:rPr>
          <w:rFonts w:cstheme="minorHAnsi"/>
        </w:rPr>
        <w:fldChar w:fldCharType="end"/>
      </w:r>
      <w:r w:rsidR="006A52DD">
        <w:rPr>
          <w:rFonts w:cstheme="minorHAnsi"/>
        </w:rPr>
        <w:t>:</w:t>
      </w:r>
      <w:r w:rsidRPr="00DA7ABE">
        <w:rPr>
          <w:rFonts w:cstheme="minorHAnsi"/>
        </w:rPr>
        <w:t xml:space="preserve"> Spokojenost s oblastí vzdělávání podle pohlaví, věku a u studentů UTB</w:t>
      </w:r>
      <w:bookmarkEnd w:id="622"/>
      <w:bookmarkEnd w:id="623"/>
      <w:bookmarkEnd w:id="624"/>
      <w:bookmarkEnd w:id="625"/>
    </w:p>
    <w:tbl>
      <w:tblPr>
        <w:tblW w:w="0" w:type="auto"/>
        <w:tblInd w:w="-5" w:type="dxa"/>
        <w:tblCellMar>
          <w:left w:w="70" w:type="dxa"/>
          <w:right w:w="70" w:type="dxa"/>
        </w:tblCellMar>
        <w:tblLook w:val="04A0" w:firstRow="1" w:lastRow="0" w:firstColumn="1" w:lastColumn="0" w:noHBand="0" w:noVBand="1"/>
      </w:tblPr>
      <w:tblGrid>
        <w:gridCol w:w="2756"/>
        <w:gridCol w:w="694"/>
        <w:gridCol w:w="466"/>
        <w:gridCol w:w="503"/>
        <w:gridCol w:w="1087"/>
        <w:gridCol w:w="642"/>
        <w:gridCol w:w="789"/>
        <w:gridCol w:w="1324"/>
        <w:gridCol w:w="806"/>
      </w:tblGrid>
      <w:tr w:rsidR="007175FE" w:rsidRPr="001A228A" w14:paraId="05F411DD" w14:textId="77777777" w:rsidTr="000C49A5">
        <w:trPr>
          <w:trHeight w:val="240"/>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61994EF"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Oblast 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7E737973"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F072ECF"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19B82C2"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Studenti UTB</w:t>
            </w:r>
          </w:p>
        </w:tc>
      </w:tr>
      <w:tr w:rsidR="007175FE" w:rsidRPr="001A228A" w14:paraId="4492E90B" w14:textId="77777777" w:rsidTr="000C49A5">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5E0666" w14:textId="77777777" w:rsidR="007175FE" w:rsidRPr="001A228A" w:rsidRDefault="007175FE" w:rsidP="000C49A5">
            <w:pPr>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55288352"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0E42BBD5"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312C8218"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87908A" w14:textId="77777777" w:rsidR="007175FE" w:rsidRPr="001A228A" w:rsidRDefault="007175FE" w:rsidP="000C49A5">
            <w:pPr>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C0ABFD" w14:textId="77777777" w:rsidR="007175FE" w:rsidRPr="001A228A" w:rsidRDefault="007175FE" w:rsidP="000C49A5">
            <w:pPr>
              <w:rPr>
                <w:rFonts w:ascii="Calibri" w:eastAsia="Times New Roman" w:hAnsi="Calibri" w:cs="Calibri"/>
                <w:b/>
                <w:bCs/>
                <w:color w:val="000000"/>
                <w:sz w:val="18"/>
                <w:szCs w:val="18"/>
                <w:lang w:eastAsia="cs-CZ"/>
              </w:rPr>
            </w:pPr>
          </w:p>
        </w:tc>
      </w:tr>
      <w:tr w:rsidR="007175FE" w:rsidRPr="001A228A" w14:paraId="28F7C01B" w14:textId="77777777" w:rsidTr="000C49A5">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03268F" w14:textId="77777777" w:rsidR="007175FE" w:rsidRPr="001A228A" w:rsidRDefault="007175FE" w:rsidP="000C49A5">
            <w:pPr>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3AEB1471" w14:textId="77777777" w:rsidR="007175FE" w:rsidRPr="001A228A" w:rsidRDefault="007175FE" w:rsidP="000C49A5">
            <w:pPr>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677BFA61"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1A415872"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57EAD4E5"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66F639F8"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0F1AC4B3" w14:textId="77777777" w:rsidR="007175FE" w:rsidRPr="001A228A" w:rsidRDefault="007175FE" w:rsidP="000C49A5">
            <w:pPr>
              <w:jc w:val="center"/>
              <w:rPr>
                <w:rFonts w:ascii="Calibri" w:eastAsia="Times New Roman" w:hAnsi="Calibri" w:cs="Calibri"/>
                <w:b/>
                <w:bCs/>
                <w:color w:val="000000"/>
                <w:sz w:val="18"/>
                <w:szCs w:val="18"/>
                <w:lang w:eastAsia="cs-CZ"/>
              </w:rPr>
            </w:pPr>
            <w:r w:rsidRPr="001A228A">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F8C632" w14:textId="77777777" w:rsidR="007175FE" w:rsidRPr="001A228A" w:rsidRDefault="007175FE" w:rsidP="000C49A5">
            <w:pPr>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D8245D" w14:textId="77777777" w:rsidR="007175FE" w:rsidRPr="001A228A" w:rsidRDefault="007175FE" w:rsidP="000C49A5">
            <w:pPr>
              <w:rPr>
                <w:rFonts w:ascii="Calibri" w:eastAsia="Times New Roman" w:hAnsi="Calibri" w:cs="Calibri"/>
                <w:b/>
                <w:bCs/>
                <w:color w:val="000000"/>
                <w:sz w:val="18"/>
                <w:szCs w:val="18"/>
                <w:lang w:eastAsia="cs-CZ"/>
              </w:rPr>
            </w:pPr>
          </w:p>
        </w:tc>
      </w:tr>
      <w:tr w:rsidR="007175FE" w:rsidRPr="001A228A" w14:paraId="13A5150B"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9187C0" w14:textId="77777777" w:rsidR="007175FE" w:rsidRPr="001A228A" w:rsidRDefault="007175FE" w:rsidP="000C49A5">
            <w:pPr>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Dostupnost mateřských škol</w:t>
            </w:r>
          </w:p>
        </w:tc>
        <w:tc>
          <w:tcPr>
            <w:tcW w:w="0" w:type="auto"/>
            <w:tcBorders>
              <w:top w:val="single" w:sz="4" w:space="0" w:color="auto"/>
              <w:left w:val="single" w:sz="4" w:space="0" w:color="auto"/>
              <w:bottom w:val="single" w:sz="4" w:space="0" w:color="auto"/>
              <w:right w:val="single" w:sz="4" w:space="0" w:color="auto"/>
            </w:tcBorders>
            <w:shd w:val="clear" w:color="000000" w:fill="FCE2E5"/>
            <w:noWrap/>
            <w:hideMark/>
          </w:tcPr>
          <w:p w14:paraId="4111B694"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66,0</w:t>
            </w:r>
          </w:p>
        </w:tc>
        <w:tc>
          <w:tcPr>
            <w:tcW w:w="0" w:type="auto"/>
            <w:tcBorders>
              <w:top w:val="single" w:sz="4" w:space="0" w:color="auto"/>
              <w:left w:val="single" w:sz="4" w:space="0" w:color="auto"/>
              <w:bottom w:val="single" w:sz="4" w:space="0" w:color="auto"/>
              <w:right w:val="single" w:sz="4" w:space="0" w:color="auto"/>
            </w:tcBorders>
            <w:shd w:val="clear" w:color="000000" w:fill="FBC9CC"/>
            <w:noWrap/>
            <w:hideMark/>
          </w:tcPr>
          <w:p w14:paraId="5F961FD5"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67,2</w:t>
            </w:r>
          </w:p>
        </w:tc>
        <w:tc>
          <w:tcPr>
            <w:tcW w:w="0" w:type="auto"/>
            <w:tcBorders>
              <w:top w:val="single" w:sz="4" w:space="0" w:color="auto"/>
              <w:left w:val="single" w:sz="4" w:space="0" w:color="auto"/>
              <w:bottom w:val="single" w:sz="4" w:space="0" w:color="auto"/>
              <w:right w:val="single" w:sz="4" w:space="0" w:color="auto"/>
            </w:tcBorders>
            <w:shd w:val="clear" w:color="000000" w:fill="FCF7FA"/>
            <w:noWrap/>
            <w:hideMark/>
          </w:tcPr>
          <w:p w14:paraId="1D5026F1"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64,9</w:t>
            </w:r>
          </w:p>
        </w:tc>
        <w:tc>
          <w:tcPr>
            <w:tcW w:w="0" w:type="auto"/>
            <w:tcBorders>
              <w:top w:val="single" w:sz="4" w:space="0" w:color="auto"/>
              <w:left w:val="single" w:sz="4" w:space="0" w:color="auto"/>
              <w:bottom w:val="single" w:sz="4" w:space="0" w:color="auto"/>
              <w:right w:val="single" w:sz="4" w:space="0" w:color="auto"/>
            </w:tcBorders>
            <w:shd w:val="clear" w:color="000000" w:fill="FBBEC1"/>
            <w:noWrap/>
            <w:hideMark/>
          </w:tcPr>
          <w:p w14:paraId="26F2A8FE"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67,7</w:t>
            </w:r>
          </w:p>
        </w:tc>
        <w:tc>
          <w:tcPr>
            <w:tcW w:w="0" w:type="auto"/>
            <w:tcBorders>
              <w:top w:val="single" w:sz="4" w:space="0" w:color="auto"/>
              <w:left w:val="single" w:sz="4" w:space="0" w:color="auto"/>
              <w:bottom w:val="single" w:sz="4" w:space="0" w:color="auto"/>
              <w:right w:val="single" w:sz="4" w:space="0" w:color="auto"/>
            </w:tcBorders>
            <w:shd w:val="clear" w:color="000000" w:fill="FBB6B9"/>
            <w:noWrap/>
            <w:hideMark/>
          </w:tcPr>
          <w:p w14:paraId="4649F004"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68,1</w:t>
            </w:r>
          </w:p>
        </w:tc>
        <w:tc>
          <w:tcPr>
            <w:tcW w:w="0" w:type="auto"/>
            <w:tcBorders>
              <w:top w:val="single" w:sz="4" w:space="0" w:color="auto"/>
              <w:left w:val="single" w:sz="4" w:space="0" w:color="auto"/>
              <w:bottom w:val="single" w:sz="4" w:space="0" w:color="auto"/>
              <w:right w:val="single" w:sz="4" w:space="0" w:color="auto"/>
            </w:tcBorders>
            <w:shd w:val="clear" w:color="000000" w:fill="B8CCE7"/>
            <w:noWrap/>
            <w:hideMark/>
          </w:tcPr>
          <w:p w14:paraId="1D8997D5"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58,7</w:t>
            </w:r>
          </w:p>
        </w:tc>
        <w:tc>
          <w:tcPr>
            <w:tcW w:w="0" w:type="auto"/>
            <w:tcBorders>
              <w:top w:val="single" w:sz="4" w:space="0" w:color="auto"/>
              <w:left w:val="single" w:sz="4" w:space="0" w:color="auto"/>
              <w:bottom w:val="single" w:sz="4" w:space="0" w:color="auto"/>
              <w:right w:val="single" w:sz="4" w:space="0" w:color="auto"/>
            </w:tcBorders>
            <w:shd w:val="clear" w:color="000000" w:fill="FBC1C3"/>
            <w:noWrap/>
            <w:vAlign w:val="bottom"/>
            <w:hideMark/>
          </w:tcPr>
          <w:p w14:paraId="429279B4" w14:textId="77777777" w:rsidR="007175FE" w:rsidRPr="001A228A" w:rsidRDefault="007175FE"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67,6</w:t>
            </w:r>
          </w:p>
        </w:tc>
        <w:tc>
          <w:tcPr>
            <w:tcW w:w="0" w:type="auto"/>
            <w:tcBorders>
              <w:top w:val="single" w:sz="4" w:space="0" w:color="auto"/>
              <w:left w:val="single" w:sz="4" w:space="0" w:color="auto"/>
              <w:bottom w:val="single" w:sz="4" w:space="0" w:color="auto"/>
              <w:right w:val="single" w:sz="4" w:space="0" w:color="auto"/>
            </w:tcBorders>
            <w:shd w:val="clear" w:color="000000" w:fill="F96B6D"/>
            <w:noWrap/>
            <w:vAlign w:val="bottom"/>
            <w:hideMark/>
          </w:tcPr>
          <w:p w14:paraId="0853D87E" w14:textId="77777777" w:rsidR="007175FE" w:rsidRPr="001A228A" w:rsidRDefault="007175FE"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71,8</w:t>
            </w:r>
          </w:p>
        </w:tc>
      </w:tr>
      <w:tr w:rsidR="007175FE" w:rsidRPr="001A228A" w14:paraId="70C48609"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251479" w14:textId="77777777" w:rsidR="007175FE" w:rsidRPr="001A228A" w:rsidRDefault="007175FE" w:rsidP="000C49A5">
            <w:pPr>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Kvalita výuky na základních školách</w:t>
            </w:r>
          </w:p>
        </w:tc>
        <w:tc>
          <w:tcPr>
            <w:tcW w:w="0" w:type="auto"/>
            <w:tcBorders>
              <w:top w:val="single" w:sz="4" w:space="0" w:color="auto"/>
              <w:left w:val="single" w:sz="4" w:space="0" w:color="auto"/>
              <w:bottom w:val="single" w:sz="4" w:space="0" w:color="auto"/>
              <w:right w:val="single" w:sz="4" w:space="0" w:color="auto"/>
            </w:tcBorders>
            <w:shd w:val="clear" w:color="000000" w:fill="C1D2EA"/>
            <w:noWrap/>
            <w:hideMark/>
          </w:tcPr>
          <w:p w14:paraId="0C8F38C2"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59,5</w:t>
            </w:r>
          </w:p>
        </w:tc>
        <w:tc>
          <w:tcPr>
            <w:tcW w:w="0" w:type="auto"/>
            <w:tcBorders>
              <w:top w:val="single" w:sz="4" w:space="0" w:color="auto"/>
              <w:left w:val="single" w:sz="4" w:space="0" w:color="auto"/>
              <w:bottom w:val="single" w:sz="4" w:space="0" w:color="auto"/>
              <w:right w:val="single" w:sz="4" w:space="0" w:color="auto"/>
            </w:tcBorders>
            <w:shd w:val="clear" w:color="000000" w:fill="C8D7EC"/>
            <w:noWrap/>
            <w:hideMark/>
          </w:tcPr>
          <w:p w14:paraId="6D8112EF"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60,2</w:t>
            </w:r>
          </w:p>
        </w:tc>
        <w:tc>
          <w:tcPr>
            <w:tcW w:w="0" w:type="auto"/>
            <w:tcBorders>
              <w:top w:val="single" w:sz="4" w:space="0" w:color="auto"/>
              <w:left w:val="single" w:sz="4" w:space="0" w:color="auto"/>
              <w:bottom w:val="single" w:sz="4" w:space="0" w:color="auto"/>
              <w:right w:val="single" w:sz="4" w:space="0" w:color="auto"/>
            </w:tcBorders>
            <w:shd w:val="clear" w:color="000000" w:fill="BACDE7"/>
            <w:noWrap/>
            <w:hideMark/>
          </w:tcPr>
          <w:p w14:paraId="0BC05E54"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58,9</w:t>
            </w:r>
          </w:p>
        </w:tc>
        <w:tc>
          <w:tcPr>
            <w:tcW w:w="0" w:type="auto"/>
            <w:tcBorders>
              <w:top w:val="single" w:sz="4" w:space="0" w:color="auto"/>
              <w:left w:val="single" w:sz="4" w:space="0" w:color="auto"/>
              <w:bottom w:val="single" w:sz="4" w:space="0" w:color="auto"/>
              <w:right w:val="single" w:sz="4" w:space="0" w:color="auto"/>
            </w:tcBorders>
            <w:shd w:val="clear" w:color="000000" w:fill="F9FAFE"/>
            <w:noWrap/>
            <w:hideMark/>
          </w:tcPr>
          <w:p w14:paraId="6DEF6799"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64,5</w:t>
            </w:r>
          </w:p>
        </w:tc>
        <w:tc>
          <w:tcPr>
            <w:tcW w:w="0" w:type="auto"/>
            <w:tcBorders>
              <w:top w:val="single" w:sz="4" w:space="0" w:color="auto"/>
              <w:left w:val="single" w:sz="4" w:space="0" w:color="auto"/>
              <w:bottom w:val="single" w:sz="4" w:space="0" w:color="auto"/>
              <w:right w:val="single" w:sz="4" w:space="0" w:color="auto"/>
            </w:tcBorders>
            <w:shd w:val="clear" w:color="000000" w:fill="D0DDEF"/>
            <w:noWrap/>
            <w:hideMark/>
          </w:tcPr>
          <w:p w14:paraId="1466436F"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60,9</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3235ADB3"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50,5</w:t>
            </w:r>
          </w:p>
        </w:tc>
        <w:tc>
          <w:tcPr>
            <w:tcW w:w="0" w:type="auto"/>
            <w:tcBorders>
              <w:top w:val="single" w:sz="4" w:space="0" w:color="auto"/>
              <w:left w:val="single" w:sz="4" w:space="0" w:color="auto"/>
              <w:bottom w:val="single" w:sz="4" w:space="0" w:color="auto"/>
              <w:right w:val="single" w:sz="4" w:space="0" w:color="auto"/>
            </w:tcBorders>
            <w:shd w:val="clear" w:color="000000" w:fill="BDD0E9"/>
            <w:noWrap/>
            <w:vAlign w:val="bottom"/>
            <w:hideMark/>
          </w:tcPr>
          <w:p w14:paraId="50558498" w14:textId="77777777" w:rsidR="007175FE" w:rsidRPr="001A228A" w:rsidRDefault="007175FE"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59,2</w:t>
            </w:r>
          </w:p>
        </w:tc>
        <w:tc>
          <w:tcPr>
            <w:tcW w:w="0" w:type="auto"/>
            <w:tcBorders>
              <w:top w:val="single" w:sz="4" w:space="0" w:color="auto"/>
              <w:left w:val="single" w:sz="4" w:space="0" w:color="auto"/>
              <w:bottom w:val="single" w:sz="4" w:space="0" w:color="auto"/>
              <w:right w:val="single" w:sz="4" w:space="0" w:color="auto"/>
            </w:tcBorders>
            <w:shd w:val="clear" w:color="000000" w:fill="FCF5F8"/>
            <w:noWrap/>
            <w:vAlign w:val="bottom"/>
            <w:hideMark/>
          </w:tcPr>
          <w:p w14:paraId="7BCC8984" w14:textId="77777777" w:rsidR="007175FE" w:rsidRPr="001A228A" w:rsidRDefault="007175FE"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65,1</w:t>
            </w:r>
          </w:p>
        </w:tc>
      </w:tr>
      <w:tr w:rsidR="007175FE" w:rsidRPr="001A228A" w14:paraId="7FD9DA3C"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56F57D" w14:textId="77777777" w:rsidR="007175FE" w:rsidRPr="001A228A" w:rsidRDefault="007175FE" w:rsidP="000C49A5">
            <w:pPr>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Nabídka oborů na středních školách</w:t>
            </w:r>
          </w:p>
        </w:tc>
        <w:tc>
          <w:tcPr>
            <w:tcW w:w="0" w:type="auto"/>
            <w:tcBorders>
              <w:top w:val="single" w:sz="4" w:space="0" w:color="auto"/>
              <w:left w:val="single" w:sz="4" w:space="0" w:color="auto"/>
              <w:bottom w:val="single" w:sz="4" w:space="0" w:color="auto"/>
              <w:right w:val="single" w:sz="4" w:space="0" w:color="auto"/>
            </w:tcBorders>
            <w:shd w:val="clear" w:color="000000" w:fill="F0F3FA"/>
            <w:noWrap/>
            <w:hideMark/>
          </w:tcPr>
          <w:p w14:paraId="29149DBE"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63,6</w:t>
            </w:r>
          </w:p>
        </w:tc>
        <w:tc>
          <w:tcPr>
            <w:tcW w:w="0" w:type="auto"/>
            <w:tcBorders>
              <w:top w:val="single" w:sz="4" w:space="0" w:color="auto"/>
              <w:left w:val="single" w:sz="4" w:space="0" w:color="auto"/>
              <w:bottom w:val="single" w:sz="4" w:space="0" w:color="auto"/>
              <w:right w:val="single" w:sz="4" w:space="0" w:color="auto"/>
            </w:tcBorders>
            <w:shd w:val="clear" w:color="000000" w:fill="FCF8FB"/>
            <w:noWrap/>
            <w:hideMark/>
          </w:tcPr>
          <w:p w14:paraId="16F459FE"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64,9</w:t>
            </w:r>
          </w:p>
        </w:tc>
        <w:tc>
          <w:tcPr>
            <w:tcW w:w="0" w:type="auto"/>
            <w:tcBorders>
              <w:top w:val="single" w:sz="4" w:space="0" w:color="auto"/>
              <w:left w:val="single" w:sz="4" w:space="0" w:color="auto"/>
              <w:bottom w:val="single" w:sz="4" w:space="0" w:color="auto"/>
              <w:right w:val="single" w:sz="4" w:space="0" w:color="auto"/>
            </w:tcBorders>
            <w:shd w:val="clear" w:color="000000" w:fill="E3EAF6"/>
            <w:noWrap/>
            <w:hideMark/>
          </w:tcPr>
          <w:p w14:paraId="372D2231"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62,5</w:t>
            </w:r>
          </w:p>
        </w:tc>
        <w:tc>
          <w:tcPr>
            <w:tcW w:w="0" w:type="auto"/>
            <w:tcBorders>
              <w:top w:val="single" w:sz="4" w:space="0" w:color="auto"/>
              <w:left w:val="single" w:sz="4" w:space="0" w:color="auto"/>
              <w:bottom w:val="single" w:sz="4" w:space="0" w:color="auto"/>
              <w:right w:val="single" w:sz="4" w:space="0" w:color="auto"/>
            </w:tcBorders>
            <w:shd w:val="clear" w:color="000000" w:fill="FAA5A7"/>
            <w:noWrap/>
            <w:hideMark/>
          </w:tcPr>
          <w:p w14:paraId="59857F20"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68,9</w:t>
            </w:r>
          </w:p>
        </w:tc>
        <w:tc>
          <w:tcPr>
            <w:tcW w:w="0" w:type="auto"/>
            <w:tcBorders>
              <w:top w:val="single" w:sz="4" w:space="0" w:color="auto"/>
              <w:left w:val="single" w:sz="4" w:space="0" w:color="auto"/>
              <w:bottom w:val="single" w:sz="4" w:space="0" w:color="auto"/>
              <w:right w:val="single" w:sz="4" w:space="0" w:color="auto"/>
            </w:tcBorders>
            <w:shd w:val="clear" w:color="000000" w:fill="EFF3FA"/>
            <w:noWrap/>
            <w:hideMark/>
          </w:tcPr>
          <w:p w14:paraId="716AD9D8"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63,6</w:t>
            </w:r>
          </w:p>
        </w:tc>
        <w:tc>
          <w:tcPr>
            <w:tcW w:w="0" w:type="auto"/>
            <w:tcBorders>
              <w:top w:val="single" w:sz="4" w:space="0" w:color="auto"/>
              <w:left w:val="single" w:sz="4" w:space="0" w:color="auto"/>
              <w:bottom w:val="single" w:sz="4" w:space="0" w:color="auto"/>
              <w:right w:val="single" w:sz="4" w:space="0" w:color="auto"/>
            </w:tcBorders>
            <w:shd w:val="clear" w:color="000000" w:fill="A1BCDF"/>
            <w:noWrap/>
            <w:hideMark/>
          </w:tcPr>
          <w:p w14:paraId="2B3430E6" w14:textId="77777777" w:rsidR="007175FE" w:rsidRPr="00346E56" w:rsidRDefault="007175FE" w:rsidP="000C49A5">
            <w:pPr>
              <w:jc w:val="right"/>
              <w:rPr>
                <w:rFonts w:ascii="Calibri" w:eastAsia="Times New Roman" w:hAnsi="Calibri" w:cs="Calibri"/>
                <w:color w:val="000000"/>
                <w:sz w:val="18"/>
                <w:szCs w:val="18"/>
                <w:lang w:eastAsia="cs-CZ"/>
              </w:rPr>
            </w:pPr>
            <w:r w:rsidRPr="003D492B">
              <w:rPr>
                <w:sz w:val="18"/>
              </w:rPr>
              <w:t>56,7</w:t>
            </w:r>
          </w:p>
        </w:tc>
        <w:tc>
          <w:tcPr>
            <w:tcW w:w="0" w:type="auto"/>
            <w:tcBorders>
              <w:top w:val="single" w:sz="4" w:space="0" w:color="auto"/>
              <w:left w:val="single" w:sz="4" w:space="0" w:color="auto"/>
              <w:bottom w:val="single" w:sz="4" w:space="0" w:color="auto"/>
              <w:right w:val="single" w:sz="4" w:space="0" w:color="auto"/>
            </w:tcBorders>
            <w:shd w:val="clear" w:color="000000" w:fill="FBD4D7"/>
            <w:noWrap/>
            <w:vAlign w:val="bottom"/>
            <w:hideMark/>
          </w:tcPr>
          <w:p w14:paraId="0C44C418" w14:textId="77777777" w:rsidR="007175FE" w:rsidRPr="001A228A" w:rsidRDefault="007175FE"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66,7</w:t>
            </w:r>
          </w:p>
        </w:tc>
        <w:tc>
          <w:tcPr>
            <w:tcW w:w="0" w:type="auto"/>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45238CB5" w14:textId="77777777" w:rsidR="007175FE" w:rsidRPr="001A228A" w:rsidRDefault="007175FE" w:rsidP="000C49A5">
            <w:pPr>
              <w:jc w:val="right"/>
              <w:rPr>
                <w:rFonts w:ascii="Calibri" w:eastAsia="Times New Roman" w:hAnsi="Calibri" w:cs="Calibri"/>
                <w:color w:val="000000"/>
                <w:sz w:val="18"/>
                <w:szCs w:val="18"/>
                <w:lang w:eastAsia="cs-CZ"/>
              </w:rPr>
            </w:pPr>
            <w:r w:rsidRPr="001A228A">
              <w:rPr>
                <w:rFonts w:ascii="Calibri" w:eastAsia="Times New Roman" w:hAnsi="Calibri" w:cs="Calibri"/>
                <w:color w:val="000000"/>
                <w:sz w:val="18"/>
                <w:szCs w:val="18"/>
                <w:lang w:eastAsia="cs-CZ"/>
              </w:rPr>
              <w:t>71,8</w:t>
            </w:r>
          </w:p>
        </w:tc>
      </w:tr>
    </w:tbl>
    <w:p w14:paraId="639631DF" w14:textId="74D746F9" w:rsidR="007175FE" w:rsidRPr="00DA7AB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6A52DD">
        <w:rPr>
          <w:rFonts w:asciiTheme="minorHAnsi" w:hAnsiTheme="minorHAnsi" w:cstheme="minorHAnsi"/>
        </w:rPr>
        <w:t>;</w:t>
      </w:r>
      <w:r w:rsidRPr="00DA7ABE">
        <w:rPr>
          <w:rFonts w:asciiTheme="minorHAnsi" w:hAnsiTheme="minorHAnsi" w:cstheme="minorHAnsi"/>
        </w:rPr>
        <w:t xml:space="preserve"> Otázka 6.</w:t>
      </w:r>
      <w:r w:rsidR="006A52DD">
        <w:rPr>
          <w:rFonts w:asciiTheme="minorHAnsi" w:hAnsiTheme="minorHAnsi" w:cstheme="minorHAnsi"/>
        </w:rPr>
        <w:t>:</w:t>
      </w:r>
      <w:r w:rsidRPr="00DA7ABE">
        <w:rPr>
          <w:rFonts w:asciiTheme="minorHAnsi" w:hAnsiTheme="minorHAnsi" w:cstheme="minorHAnsi"/>
        </w:rPr>
        <w:t xml:space="preserve"> Jak jste spokojeni s oblastí vzdělávání ve Vašem městě?</w:t>
      </w:r>
      <w:r w:rsidRPr="00DA7ABE">
        <w:rPr>
          <w:rFonts w:asciiTheme="minorHAnsi" w:hAnsiTheme="minorHAnsi" w:cstheme="minorHAnsi"/>
        </w:rPr>
        <w:br/>
        <w:t>Pozn.: Průměrné hodnocen</w:t>
      </w:r>
      <w:r w:rsidR="006A52DD">
        <w:rPr>
          <w:rFonts w:asciiTheme="minorHAnsi" w:hAnsiTheme="minorHAnsi" w:cstheme="minorHAnsi"/>
        </w:rPr>
        <w:t xml:space="preserve">í na škále 0 </w:t>
      </w:r>
      <w:r w:rsidR="006A52DD">
        <w:rPr>
          <w:rFonts w:asciiTheme="minorHAnsi" w:hAnsiTheme="minorHAnsi" w:cstheme="minorHAnsi"/>
        </w:rPr>
        <w:sym w:font="Symbol" w:char="F02D"/>
      </w:r>
      <w:r w:rsidR="006A52DD">
        <w:rPr>
          <w:rFonts w:asciiTheme="minorHAnsi" w:hAnsiTheme="minorHAnsi" w:cstheme="minorHAnsi"/>
        </w:rPr>
        <w:t xml:space="preserve"> </w:t>
      </w:r>
      <w:r w:rsidRPr="00DA7ABE">
        <w:rPr>
          <w:rFonts w:asciiTheme="minorHAnsi" w:hAnsiTheme="minorHAnsi" w:cstheme="minorHAnsi"/>
        </w:rPr>
        <w:t>100 (0 velmi nespokojen 100 velmi spokojen).</w:t>
      </w:r>
    </w:p>
    <w:p w14:paraId="14041E71" w14:textId="77777777" w:rsidR="007175FE" w:rsidRDefault="007175FE" w:rsidP="007175FE">
      <w:pPr>
        <w:pStyle w:val="Nadpis3"/>
      </w:pPr>
      <w:bookmarkStart w:id="626" w:name="_Toc50116470"/>
      <w:bookmarkStart w:id="627" w:name="_Toc77074627"/>
      <w:r>
        <w:t>Jak hodnotím dopravu</w:t>
      </w:r>
      <w:bookmarkEnd w:id="626"/>
      <w:bookmarkEnd w:id="627"/>
    </w:p>
    <w:p w14:paraId="7D109423" w14:textId="45AEB077" w:rsidR="007175FE" w:rsidRPr="00DA7ABE" w:rsidRDefault="007175FE" w:rsidP="007175FE">
      <w:pPr>
        <w:rPr>
          <w:rFonts w:cstheme="minorHAnsi"/>
        </w:rPr>
      </w:pPr>
      <w:r w:rsidRPr="003D492B">
        <w:rPr>
          <w:rFonts w:cstheme="minorHAnsi"/>
        </w:rPr>
        <w:t>V oblasti dopravy vyšla u všech kategorií respondentů nejlépe spokojenost s dostupností MHD (u občanů 75,7 na stupnici 0</w:t>
      </w:r>
      <w:r w:rsidR="00CA57E6">
        <w:rPr>
          <w:rFonts w:cstheme="minorHAnsi"/>
        </w:rPr>
        <w:t xml:space="preserve"> </w:t>
      </w:r>
      <w:r w:rsidR="00CA57E6">
        <w:rPr>
          <w:rFonts w:cstheme="minorHAnsi"/>
        </w:rPr>
        <w:sym w:font="Symbol" w:char="F02D"/>
      </w:r>
      <w:r w:rsidR="00CA57E6">
        <w:rPr>
          <w:rFonts w:cstheme="minorHAnsi"/>
        </w:rPr>
        <w:t xml:space="preserve"> </w:t>
      </w:r>
      <w:r w:rsidRPr="003D492B">
        <w:rPr>
          <w:rFonts w:cstheme="minorHAnsi"/>
        </w:rPr>
        <w:t>100; 76,0 u respondentů, kteří ve Zlíně žijí, ale nemají zde trvalé bydliště; 80,1 u studentů UTB). Vysoká byla také spokojenost s kvalitou MHD (u občanů 72,2) a poměrně dobře byl hodnocen stav místních komunikací (u občanů 69,1). Naopak s dostupností vlakové dopravy jsou respondenti spíše nespokojeni – občany byla hodnocena 46,2, studenti UTB ohodnotili pouze na 43,0.</w:t>
      </w:r>
    </w:p>
    <w:p w14:paraId="001000AC" w14:textId="4CFDAD0D" w:rsidR="007175FE" w:rsidRPr="00DA7ABE" w:rsidRDefault="007175FE" w:rsidP="007175FE">
      <w:pPr>
        <w:pStyle w:val="Titulek"/>
        <w:keepNext/>
        <w:rPr>
          <w:rFonts w:cstheme="minorHAnsi"/>
        </w:rPr>
      </w:pPr>
      <w:bookmarkStart w:id="628" w:name="_Toc54702785"/>
      <w:bookmarkStart w:id="629" w:name="_Toc56179591"/>
      <w:bookmarkStart w:id="630" w:name="_Toc77074933"/>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12</w:t>
      </w:r>
      <w:r w:rsidR="0096730F">
        <w:rPr>
          <w:rFonts w:cstheme="minorHAnsi"/>
        </w:rPr>
        <w:fldChar w:fldCharType="end"/>
      </w:r>
      <w:r w:rsidR="00CA57E6">
        <w:rPr>
          <w:rFonts w:cstheme="minorHAnsi"/>
        </w:rPr>
        <w:t>:</w:t>
      </w:r>
      <w:r w:rsidRPr="00DA7ABE">
        <w:rPr>
          <w:rFonts w:cstheme="minorHAnsi"/>
        </w:rPr>
        <w:t xml:space="preserve"> Spokojenost s oblastmi dopravy</w:t>
      </w:r>
      <w:bookmarkEnd w:id="628"/>
      <w:bookmarkEnd w:id="629"/>
      <w:bookmarkEnd w:id="630"/>
    </w:p>
    <w:p w14:paraId="00F68700" w14:textId="77777777" w:rsidR="007175FE" w:rsidRPr="00DA7ABE" w:rsidRDefault="007175FE" w:rsidP="007175FE">
      <w:pPr>
        <w:rPr>
          <w:rFonts w:cstheme="minorHAnsi"/>
        </w:rPr>
      </w:pPr>
      <w:r>
        <w:rPr>
          <w:rFonts w:cstheme="minorHAnsi"/>
          <w:noProof/>
          <w:lang w:eastAsia="cs-CZ"/>
        </w:rPr>
        <w:drawing>
          <wp:inline distT="0" distB="0" distL="0" distR="0" wp14:anchorId="12788FE9" wp14:editId="36359EFC">
            <wp:extent cx="5773420" cy="315214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73420" cy="3152140"/>
                    </a:xfrm>
                    <a:prstGeom prst="rect">
                      <a:avLst/>
                    </a:prstGeom>
                    <a:noFill/>
                  </pic:spPr>
                </pic:pic>
              </a:graphicData>
            </a:graphic>
          </wp:inline>
        </w:drawing>
      </w:r>
    </w:p>
    <w:p w14:paraId="0CA5CD8B" w14:textId="2F49AF16"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w:t>
      </w:r>
      <w:r w:rsidR="00CA57E6">
        <w:rPr>
          <w:rFonts w:asciiTheme="minorHAnsi" w:hAnsiTheme="minorHAnsi" w:cstheme="minorHAnsi"/>
        </w:rPr>
        <w:t>enosti obyvatel města Zlín 2020;</w:t>
      </w:r>
      <w:r w:rsidRPr="00DA7ABE">
        <w:rPr>
          <w:rFonts w:asciiTheme="minorHAnsi" w:hAnsiTheme="minorHAnsi" w:cstheme="minorHAnsi"/>
        </w:rPr>
        <w:t xml:space="preserve"> Otázka 7.</w:t>
      </w:r>
      <w:r w:rsidR="00CA57E6">
        <w:rPr>
          <w:rFonts w:asciiTheme="minorHAnsi" w:hAnsiTheme="minorHAnsi" w:cstheme="minorHAnsi"/>
        </w:rPr>
        <w:t>:</w:t>
      </w:r>
      <w:r w:rsidRPr="00DA7ABE">
        <w:rPr>
          <w:rFonts w:asciiTheme="minorHAnsi" w:hAnsiTheme="minorHAnsi" w:cstheme="minorHAnsi"/>
        </w:rPr>
        <w:t xml:space="preserve"> Jak jste spokojeni s následujícími oblastmi dopravy ve Vašem městě?</w:t>
      </w:r>
    </w:p>
    <w:p w14:paraId="4FCAF3A7" w14:textId="4FA12B1E" w:rsidR="007175FE" w:rsidRPr="00DA7ABE" w:rsidRDefault="007175FE" w:rsidP="007175FE">
      <w:pPr>
        <w:rPr>
          <w:rFonts w:cstheme="minorHAnsi"/>
        </w:rPr>
      </w:pPr>
      <w:r w:rsidRPr="003D492B">
        <w:rPr>
          <w:rFonts w:cstheme="minorHAnsi"/>
        </w:rPr>
        <w:t>Podrobněji spokojenost respondentů s oblastmi dopravy popisuje tabulka</w:t>
      </w:r>
      <w:r w:rsidR="0096730F">
        <w:rPr>
          <w:rFonts w:cstheme="minorHAnsi"/>
        </w:rPr>
        <w:t xml:space="preserve"> 2.11</w:t>
      </w:r>
      <w:r w:rsidRPr="003D492B">
        <w:rPr>
          <w:rFonts w:cstheme="minorHAnsi"/>
        </w:rPr>
        <w:t xml:space="preserve">, u které je jasně patrná zmiňovaná nespokojenost s dostupností vlakové dopravy. </w:t>
      </w:r>
      <w:r>
        <w:rPr>
          <w:rFonts w:cstheme="minorHAnsi"/>
        </w:rPr>
        <w:t xml:space="preserve">Senioři hodnotí dopravu většinou lépe než mladší věkové kategorie, obdobně také ženy jsou v tomto ohledu spokojenější než muži. S dostupností i s kvalitou MHD jsou podstatně spokojenější mladší obyvatelé do 35 let věku, než obyvatelé věkové </w:t>
      </w:r>
      <w:r w:rsidR="00CA57E6">
        <w:rPr>
          <w:rFonts w:cstheme="minorHAnsi"/>
        </w:rPr>
        <w:t xml:space="preserve">kategorie 35 </w:t>
      </w:r>
      <w:r w:rsidR="00CA57E6">
        <w:rPr>
          <w:rFonts w:cstheme="minorHAnsi"/>
        </w:rPr>
        <w:sym w:font="Symbol" w:char="F02D"/>
      </w:r>
      <w:r w:rsidR="00CA57E6">
        <w:rPr>
          <w:rFonts w:cstheme="minorHAnsi"/>
        </w:rPr>
        <w:t xml:space="preserve"> </w:t>
      </w:r>
      <w:r w:rsidRPr="003D492B">
        <w:rPr>
          <w:rFonts w:cstheme="minorHAnsi"/>
        </w:rPr>
        <w:t>64 let. Velmi výrazná je spokojenost studentů UTB s dostupností MHD (80,1).</w:t>
      </w:r>
    </w:p>
    <w:p w14:paraId="37F2259E" w14:textId="23E9EACF" w:rsidR="007175FE" w:rsidRDefault="007175FE" w:rsidP="007175FE">
      <w:pPr>
        <w:pStyle w:val="Titulek"/>
        <w:keepNext/>
        <w:rPr>
          <w:rFonts w:cstheme="minorHAnsi"/>
        </w:rPr>
      </w:pPr>
      <w:bookmarkStart w:id="631" w:name="_Toc54702625"/>
      <w:bookmarkStart w:id="632" w:name="_Toc56179432"/>
      <w:bookmarkStart w:id="633" w:name="_Toc57731790"/>
      <w:bookmarkStart w:id="634" w:name="_Toc77074774"/>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11</w:t>
      </w:r>
      <w:r w:rsidR="00DC277C">
        <w:rPr>
          <w:rFonts w:cstheme="minorHAnsi"/>
        </w:rPr>
        <w:fldChar w:fldCharType="end"/>
      </w:r>
      <w:r w:rsidR="00CA57E6">
        <w:rPr>
          <w:rFonts w:cstheme="minorHAnsi"/>
        </w:rPr>
        <w:t>:</w:t>
      </w:r>
      <w:r w:rsidRPr="00DA7ABE">
        <w:rPr>
          <w:rFonts w:cstheme="minorHAnsi"/>
        </w:rPr>
        <w:t xml:space="preserve"> Spokojenost s oblastmi dopravy podle pohlaví, věku a u studentů UTB</w:t>
      </w:r>
      <w:bookmarkEnd w:id="631"/>
      <w:bookmarkEnd w:id="632"/>
      <w:bookmarkEnd w:id="633"/>
      <w:bookmarkEnd w:id="634"/>
    </w:p>
    <w:tbl>
      <w:tblPr>
        <w:tblW w:w="0" w:type="auto"/>
        <w:tblInd w:w="-5" w:type="dxa"/>
        <w:tblCellMar>
          <w:left w:w="70" w:type="dxa"/>
          <w:right w:w="70" w:type="dxa"/>
        </w:tblCellMar>
        <w:tblLook w:val="04A0" w:firstRow="1" w:lastRow="0" w:firstColumn="1" w:lastColumn="0" w:noHBand="0" w:noVBand="1"/>
      </w:tblPr>
      <w:tblGrid>
        <w:gridCol w:w="2220"/>
        <w:gridCol w:w="694"/>
        <w:gridCol w:w="466"/>
        <w:gridCol w:w="503"/>
        <w:gridCol w:w="1087"/>
        <w:gridCol w:w="642"/>
        <w:gridCol w:w="789"/>
        <w:gridCol w:w="1799"/>
        <w:gridCol w:w="867"/>
      </w:tblGrid>
      <w:tr w:rsidR="007175FE" w:rsidRPr="00231369" w14:paraId="377C1CE3" w14:textId="77777777" w:rsidTr="000C49A5">
        <w:trPr>
          <w:trHeight w:val="240"/>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F99E32E"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Oblast 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2DAD522D"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D36427D"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5A1B3D0"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Studenti UTB</w:t>
            </w:r>
          </w:p>
        </w:tc>
      </w:tr>
      <w:tr w:rsidR="007175FE" w:rsidRPr="00231369" w14:paraId="62EF55AD" w14:textId="77777777" w:rsidTr="000C49A5">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6D00A4" w14:textId="77777777" w:rsidR="007175FE" w:rsidRPr="00231369" w:rsidRDefault="007175FE" w:rsidP="000C49A5">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03BE54B2"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37C3DE39"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7030F4F7"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3293C7" w14:textId="77777777" w:rsidR="007175FE" w:rsidRPr="00231369"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5C1070" w14:textId="77777777" w:rsidR="007175FE" w:rsidRPr="00231369" w:rsidRDefault="007175FE" w:rsidP="000C49A5">
            <w:pPr>
              <w:keepNext/>
              <w:rPr>
                <w:rFonts w:ascii="Calibri" w:eastAsia="Times New Roman" w:hAnsi="Calibri" w:cs="Calibri"/>
                <w:b/>
                <w:bCs/>
                <w:color w:val="000000"/>
                <w:sz w:val="18"/>
                <w:szCs w:val="18"/>
                <w:lang w:eastAsia="cs-CZ"/>
              </w:rPr>
            </w:pPr>
          </w:p>
        </w:tc>
      </w:tr>
      <w:tr w:rsidR="007175FE" w:rsidRPr="00231369" w14:paraId="38E3D9EA" w14:textId="77777777" w:rsidTr="000C49A5">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B6C882" w14:textId="77777777" w:rsidR="007175FE" w:rsidRPr="00231369" w:rsidRDefault="007175FE" w:rsidP="000C49A5">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0936E3F8" w14:textId="77777777" w:rsidR="007175FE" w:rsidRPr="00231369" w:rsidRDefault="007175FE" w:rsidP="000C49A5">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19D4522D"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01613ADA"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0A1B8102"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5C30EBF7"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5BD93796" w14:textId="77777777" w:rsidR="007175FE" w:rsidRPr="00231369" w:rsidRDefault="007175FE" w:rsidP="000C49A5">
            <w:pPr>
              <w:keepNext/>
              <w:jc w:val="center"/>
              <w:rPr>
                <w:rFonts w:ascii="Calibri" w:eastAsia="Times New Roman" w:hAnsi="Calibri" w:cs="Calibri"/>
                <w:b/>
                <w:bCs/>
                <w:color w:val="000000"/>
                <w:sz w:val="18"/>
                <w:szCs w:val="18"/>
                <w:lang w:eastAsia="cs-CZ"/>
              </w:rPr>
            </w:pPr>
            <w:r w:rsidRPr="00231369">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365759" w14:textId="77777777" w:rsidR="007175FE" w:rsidRPr="00231369"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C1D3B7" w14:textId="77777777" w:rsidR="007175FE" w:rsidRPr="00231369" w:rsidRDefault="007175FE" w:rsidP="000C49A5">
            <w:pPr>
              <w:keepNext/>
              <w:rPr>
                <w:rFonts w:ascii="Calibri" w:eastAsia="Times New Roman" w:hAnsi="Calibri" w:cs="Calibri"/>
                <w:b/>
                <w:bCs/>
                <w:color w:val="000000"/>
                <w:sz w:val="18"/>
                <w:szCs w:val="18"/>
                <w:lang w:eastAsia="cs-CZ"/>
              </w:rPr>
            </w:pPr>
          </w:p>
        </w:tc>
      </w:tr>
      <w:tr w:rsidR="007175FE" w:rsidRPr="00231369" w14:paraId="6A216AE0"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2BB5F6" w14:textId="77777777" w:rsidR="007175FE" w:rsidRPr="00231369" w:rsidRDefault="007175FE" w:rsidP="000C49A5">
            <w:pPr>
              <w:keepNext/>
              <w:rPr>
                <w:rFonts w:ascii="Calibri" w:eastAsia="Times New Roman" w:hAnsi="Calibri" w:cs="Calibri"/>
                <w:color w:val="000000"/>
                <w:sz w:val="18"/>
                <w:szCs w:val="18"/>
                <w:lang w:eastAsia="cs-CZ"/>
              </w:rPr>
            </w:pPr>
            <w:r w:rsidRPr="00231369">
              <w:rPr>
                <w:rFonts w:ascii="Calibri" w:eastAsia="Times New Roman" w:hAnsi="Calibri" w:cs="Calibri"/>
                <w:color w:val="000000"/>
                <w:sz w:val="18"/>
                <w:szCs w:val="18"/>
                <w:lang w:eastAsia="cs-CZ"/>
              </w:rPr>
              <w:t>Dostupnost MHD</w:t>
            </w:r>
          </w:p>
        </w:tc>
        <w:tc>
          <w:tcPr>
            <w:tcW w:w="0" w:type="auto"/>
            <w:tcBorders>
              <w:top w:val="single" w:sz="4" w:space="0" w:color="auto"/>
              <w:left w:val="single" w:sz="4" w:space="0" w:color="auto"/>
              <w:bottom w:val="single" w:sz="4" w:space="0" w:color="auto"/>
              <w:right w:val="single" w:sz="4" w:space="0" w:color="auto"/>
            </w:tcBorders>
            <w:shd w:val="clear" w:color="000000" w:fill="FAB1B3"/>
            <w:noWrap/>
            <w:hideMark/>
          </w:tcPr>
          <w:p w14:paraId="5FF04A93"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75,7</w:t>
            </w:r>
          </w:p>
        </w:tc>
        <w:tc>
          <w:tcPr>
            <w:tcW w:w="0" w:type="auto"/>
            <w:tcBorders>
              <w:top w:val="single" w:sz="4" w:space="0" w:color="auto"/>
              <w:left w:val="single" w:sz="4" w:space="0" w:color="auto"/>
              <w:bottom w:val="single" w:sz="4" w:space="0" w:color="auto"/>
              <w:right w:val="single" w:sz="4" w:space="0" w:color="auto"/>
            </w:tcBorders>
            <w:shd w:val="clear" w:color="000000" w:fill="FBCFD2"/>
            <w:noWrap/>
            <w:hideMark/>
          </w:tcPr>
          <w:p w14:paraId="2069C9B0"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73,8</w:t>
            </w:r>
          </w:p>
        </w:tc>
        <w:tc>
          <w:tcPr>
            <w:tcW w:w="0" w:type="auto"/>
            <w:tcBorders>
              <w:top w:val="single" w:sz="4" w:space="0" w:color="auto"/>
              <w:left w:val="single" w:sz="4" w:space="0" w:color="auto"/>
              <w:bottom w:val="single" w:sz="4" w:space="0" w:color="auto"/>
              <w:right w:val="single" w:sz="4" w:space="0" w:color="auto"/>
            </w:tcBorders>
            <w:shd w:val="clear" w:color="000000" w:fill="FA9597"/>
            <w:noWrap/>
            <w:hideMark/>
          </w:tcPr>
          <w:p w14:paraId="156B2814"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77,4</w:t>
            </w:r>
          </w:p>
        </w:tc>
        <w:tc>
          <w:tcPr>
            <w:tcW w:w="0" w:type="auto"/>
            <w:tcBorders>
              <w:top w:val="single" w:sz="4" w:space="0" w:color="auto"/>
              <w:left w:val="single" w:sz="4" w:space="0" w:color="auto"/>
              <w:bottom w:val="single" w:sz="4" w:space="0" w:color="auto"/>
              <w:right w:val="single" w:sz="4" w:space="0" w:color="auto"/>
            </w:tcBorders>
            <w:shd w:val="clear" w:color="000000" w:fill="F97577"/>
            <w:noWrap/>
            <w:hideMark/>
          </w:tcPr>
          <w:p w14:paraId="4AED312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79,4</w:t>
            </w:r>
          </w:p>
        </w:tc>
        <w:tc>
          <w:tcPr>
            <w:tcW w:w="0" w:type="auto"/>
            <w:tcBorders>
              <w:top w:val="single" w:sz="4" w:space="0" w:color="auto"/>
              <w:left w:val="single" w:sz="4" w:space="0" w:color="auto"/>
              <w:bottom w:val="single" w:sz="4" w:space="0" w:color="auto"/>
              <w:right w:val="single" w:sz="4" w:space="0" w:color="auto"/>
            </w:tcBorders>
            <w:shd w:val="clear" w:color="000000" w:fill="FBD3D5"/>
            <w:noWrap/>
            <w:hideMark/>
          </w:tcPr>
          <w:p w14:paraId="08836D41"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73,6</w:t>
            </w:r>
          </w:p>
        </w:tc>
        <w:tc>
          <w:tcPr>
            <w:tcW w:w="0" w:type="auto"/>
            <w:tcBorders>
              <w:top w:val="single" w:sz="4" w:space="0" w:color="auto"/>
              <w:left w:val="single" w:sz="4" w:space="0" w:color="auto"/>
              <w:bottom w:val="single" w:sz="4" w:space="0" w:color="auto"/>
              <w:right w:val="single" w:sz="4" w:space="0" w:color="auto"/>
            </w:tcBorders>
            <w:shd w:val="clear" w:color="000000" w:fill="FAA7AA"/>
            <w:noWrap/>
            <w:hideMark/>
          </w:tcPr>
          <w:p w14:paraId="3503000D"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76,2</w:t>
            </w:r>
          </w:p>
        </w:tc>
        <w:tc>
          <w:tcPr>
            <w:tcW w:w="0" w:type="auto"/>
            <w:tcBorders>
              <w:top w:val="single" w:sz="4" w:space="0" w:color="auto"/>
              <w:left w:val="single" w:sz="4" w:space="0" w:color="auto"/>
              <w:bottom w:val="single" w:sz="4" w:space="0" w:color="auto"/>
              <w:right w:val="single" w:sz="4" w:space="0" w:color="auto"/>
            </w:tcBorders>
            <w:shd w:val="clear" w:color="000000" w:fill="FAABAD"/>
            <w:noWrap/>
            <w:hideMark/>
          </w:tcPr>
          <w:p w14:paraId="4F25B75B"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76,0</w:t>
            </w:r>
          </w:p>
        </w:tc>
        <w:tc>
          <w:tcPr>
            <w:tcW w:w="0" w:type="auto"/>
            <w:tcBorders>
              <w:top w:val="single" w:sz="4" w:space="0" w:color="auto"/>
              <w:left w:val="single" w:sz="4" w:space="0" w:color="auto"/>
              <w:bottom w:val="single" w:sz="4" w:space="0" w:color="auto"/>
              <w:right w:val="single" w:sz="4" w:space="0" w:color="auto"/>
            </w:tcBorders>
            <w:shd w:val="clear" w:color="000000" w:fill="F8696B"/>
            <w:noWrap/>
            <w:hideMark/>
          </w:tcPr>
          <w:p w14:paraId="74F80695"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80,1</w:t>
            </w:r>
          </w:p>
        </w:tc>
      </w:tr>
      <w:tr w:rsidR="007175FE" w:rsidRPr="00231369" w14:paraId="30E14516"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F0E112F" w14:textId="77777777" w:rsidR="007175FE" w:rsidRPr="00231369" w:rsidRDefault="007175FE" w:rsidP="000C49A5">
            <w:pPr>
              <w:keepNext/>
              <w:rPr>
                <w:rFonts w:ascii="Calibri" w:eastAsia="Times New Roman" w:hAnsi="Calibri" w:cs="Calibri"/>
                <w:color w:val="000000"/>
                <w:sz w:val="18"/>
                <w:szCs w:val="18"/>
                <w:lang w:eastAsia="cs-CZ"/>
              </w:rPr>
            </w:pPr>
            <w:r w:rsidRPr="00231369">
              <w:rPr>
                <w:rFonts w:ascii="Calibri" w:eastAsia="Times New Roman" w:hAnsi="Calibri" w:cs="Calibri"/>
                <w:color w:val="000000"/>
                <w:sz w:val="18"/>
                <w:szCs w:val="18"/>
                <w:lang w:eastAsia="cs-CZ"/>
              </w:rPr>
              <w:t>Kvalita MHD</w:t>
            </w:r>
          </w:p>
        </w:tc>
        <w:tc>
          <w:tcPr>
            <w:tcW w:w="0" w:type="auto"/>
            <w:tcBorders>
              <w:top w:val="single" w:sz="4" w:space="0" w:color="auto"/>
              <w:left w:val="single" w:sz="4" w:space="0" w:color="auto"/>
              <w:bottom w:val="single" w:sz="4" w:space="0" w:color="auto"/>
              <w:right w:val="single" w:sz="4" w:space="0" w:color="auto"/>
            </w:tcBorders>
            <w:shd w:val="clear" w:color="000000" w:fill="FCE9EB"/>
            <w:noWrap/>
            <w:hideMark/>
          </w:tcPr>
          <w:p w14:paraId="79B5EA93"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72,2</w:t>
            </w:r>
          </w:p>
        </w:tc>
        <w:tc>
          <w:tcPr>
            <w:tcW w:w="0" w:type="auto"/>
            <w:tcBorders>
              <w:top w:val="single" w:sz="4" w:space="0" w:color="auto"/>
              <w:left w:val="single" w:sz="4" w:space="0" w:color="auto"/>
              <w:bottom w:val="single" w:sz="4" w:space="0" w:color="auto"/>
              <w:right w:val="single" w:sz="4" w:space="0" w:color="auto"/>
            </w:tcBorders>
            <w:shd w:val="clear" w:color="000000" w:fill="FCECEF"/>
            <w:noWrap/>
            <w:hideMark/>
          </w:tcPr>
          <w:p w14:paraId="52F4F393"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72,0</w:t>
            </w:r>
          </w:p>
        </w:tc>
        <w:tc>
          <w:tcPr>
            <w:tcW w:w="0" w:type="auto"/>
            <w:tcBorders>
              <w:top w:val="single" w:sz="4" w:space="0" w:color="auto"/>
              <w:left w:val="single" w:sz="4" w:space="0" w:color="auto"/>
              <w:bottom w:val="single" w:sz="4" w:space="0" w:color="auto"/>
              <w:right w:val="single" w:sz="4" w:space="0" w:color="auto"/>
            </w:tcBorders>
            <w:shd w:val="clear" w:color="000000" w:fill="FCE6E9"/>
            <w:noWrap/>
            <w:hideMark/>
          </w:tcPr>
          <w:p w14:paraId="1A313714"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72,4</w:t>
            </w:r>
          </w:p>
        </w:tc>
        <w:tc>
          <w:tcPr>
            <w:tcW w:w="0" w:type="auto"/>
            <w:tcBorders>
              <w:top w:val="single" w:sz="4" w:space="0" w:color="auto"/>
              <w:left w:val="single" w:sz="4" w:space="0" w:color="auto"/>
              <w:bottom w:val="single" w:sz="4" w:space="0" w:color="auto"/>
              <w:right w:val="single" w:sz="4" w:space="0" w:color="auto"/>
            </w:tcBorders>
            <w:shd w:val="clear" w:color="000000" w:fill="FBBBBD"/>
            <w:noWrap/>
            <w:hideMark/>
          </w:tcPr>
          <w:p w14:paraId="6D1ACA9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75,0</w:t>
            </w:r>
          </w:p>
        </w:tc>
        <w:tc>
          <w:tcPr>
            <w:tcW w:w="0" w:type="auto"/>
            <w:tcBorders>
              <w:top w:val="single" w:sz="4" w:space="0" w:color="auto"/>
              <w:left w:val="single" w:sz="4" w:space="0" w:color="auto"/>
              <w:bottom w:val="single" w:sz="4" w:space="0" w:color="auto"/>
              <w:right w:val="single" w:sz="4" w:space="0" w:color="auto"/>
            </w:tcBorders>
            <w:shd w:val="clear" w:color="000000" w:fill="F9FAFE"/>
            <w:noWrap/>
            <w:hideMark/>
          </w:tcPr>
          <w:p w14:paraId="37DAD1E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70,5</w:t>
            </w:r>
          </w:p>
        </w:tc>
        <w:tc>
          <w:tcPr>
            <w:tcW w:w="0" w:type="auto"/>
            <w:tcBorders>
              <w:top w:val="single" w:sz="4" w:space="0" w:color="auto"/>
              <w:left w:val="single" w:sz="4" w:space="0" w:color="auto"/>
              <w:bottom w:val="single" w:sz="4" w:space="0" w:color="auto"/>
              <w:right w:val="single" w:sz="4" w:space="0" w:color="auto"/>
            </w:tcBorders>
            <w:shd w:val="clear" w:color="000000" w:fill="FCDFE2"/>
            <w:noWrap/>
            <w:hideMark/>
          </w:tcPr>
          <w:p w14:paraId="60B37D0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72,8</w:t>
            </w:r>
          </w:p>
        </w:tc>
        <w:tc>
          <w:tcPr>
            <w:tcW w:w="0" w:type="auto"/>
            <w:tcBorders>
              <w:top w:val="single" w:sz="4" w:space="0" w:color="auto"/>
              <w:left w:val="single" w:sz="4" w:space="0" w:color="auto"/>
              <w:bottom w:val="single" w:sz="4" w:space="0" w:color="auto"/>
              <w:right w:val="single" w:sz="4" w:space="0" w:color="auto"/>
            </w:tcBorders>
            <w:shd w:val="clear" w:color="000000" w:fill="F9FAFE"/>
            <w:noWrap/>
            <w:hideMark/>
          </w:tcPr>
          <w:p w14:paraId="60D08E3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70,4</w:t>
            </w:r>
          </w:p>
        </w:tc>
        <w:tc>
          <w:tcPr>
            <w:tcW w:w="0" w:type="auto"/>
            <w:tcBorders>
              <w:top w:val="single" w:sz="4" w:space="0" w:color="auto"/>
              <w:left w:val="single" w:sz="4" w:space="0" w:color="auto"/>
              <w:bottom w:val="single" w:sz="4" w:space="0" w:color="auto"/>
              <w:right w:val="single" w:sz="4" w:space="0" w:color="auto"/>
            </w:tcBorders>
            <w:shd w:val="clear" w:color="000000" w:fill="FCDEE1"/>
            <w:noWrap/>
            <w:hideMark/>
          </w:tcPr>
          <w:p w14:paraId="3BEDE7C5"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72,8</w:t>
            </w:r>
          </w:p>
        </w:tc>
      </w:tr>
      <w:tr w:rsidR="007175FE" w:rsidRPr="00231369" w14:paraId="14251E4D"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D2432A2" w14:textId="77777777" w:rsidR="007175FE" w:rsidRPr="00231369" w:rsidRDefault="007175FE" w:rsidP="000C49A5">
            <w:pPr>
              <w:keepNext/>
              <w:rPr>
                <w:rFonts w:ascii="Calibri" w:eastAsia="Times New Roman" w:hAnsi="Calibri" w:cs="Calibri"/>
                <w:color w:val="000000"/>
                <w:sz w:val="18"/>
                <w:szCs w:val="18"/>
                <w:lang w:eastAsia="cs-CZ"/>
              </w:rPr>
            </w:pPr>
            <w:r w:rsidRPr="00231369">
              <w:rPr>
                <w:rFonts w:ascii="Calibri" w:eastAsia="Times New Roman" w:hAnsi="Calibri" w:cs="Calibri"/>
                <w:color w:val="000000"/>
                <w:sz w:val="18"/>
                <w:szCs w:val="18"/>
                <w:lang w:eastAsia="cs-CZ"/>
              </w:rPr>
              <w:t>Stav místních komunikací</w:t>
            </w:r>
          </w:p>
        </w:tc>
        <w:tc>
          <w:tcPr>
            <w:tcW w:w="0" w:type="auto"/>
            <w:tcBorders>
              <w:top w:val="single" w:sz="4" w:space="0" w:color="auto"/>
              <w:left w:val="single" w:sz="4" w:space="0" w:color="auto"/>
              <w:bottom w:val="single" w:sz="4" w:space="0" w:color="auto"/>
              <w:right w:val="single" w:sz="4" w:space="0" w:color="auto"/>
            </w:tcBorders>
            <w:shd w:val="clear" w:color="000000" w:fill="F1F4FB"/>
            <w:noWrap/>
            <w:hideMark/>
          </w:tcPr>
          <w:p w14:paraId="00B7624C"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69,1</w:t>
            </w:r>
          </w:p>
        </w:tc>
        <w:tc>
          <w:tcPr>
            <w:tcW w:w="0" w:type="auto"/>
            <w:tcBorders>
              <w:top w:val="single" w:sz="4" w:space="0" w:color="auto"/>
              <w:left w:val="single" w:sz="4" w:space="0" w:color="auto"/>
              <w:bottom w:val="single" w:sz="4" w:space="0" w:color="auto"/>
              <w:right w:val="single" w:sz="4" w:space="0" w:color="auto"/>
            </w:tcBorders>
            <w:shd w:val="clear" w:color="000000" w:fill="E3EAF6"/>
            <w:noWrap/>
            <w:hideMark/>
          </w:tcPr>
          <w:p w14:paraId="1642B13D"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66,4</w:t>
            </w:r>
          </w:p>
        </w:tc>
        <w:tc>
          <w:tcPr>
            <w:tcW w:w="0" w:type="auto"/>
            <w:tcBorders>
              <w:top w:val="single" w:sz="4" w:space="0" w:color="auto"/>
              <w:left w:val="single" w:sz="4" w:space="0" w:color="auto"/>
              <w:bottom w:val="single" w:sz="4" w:space="0" w:color="auto"/>
              <w:right w:val="single" w:sz="4" w:space="0" w:color="auto"/>
            </w:tcBorders>
            <w:shd w:val="clear" w:color="000000" w:fill="FCF5F7"/>
            <w:noWrap/>
            <w:hideMark/>
          </w:tcPr>
          <w:p w14:paraId="17962A69"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71,5</w:t>
            </w:r>
          </w:p>
        </w:tc>
        <w:tc>
          <w:tcPr>
            <w:tcW w:w="0" w:type="auto"/>
            <w:tcBorders>
              <w:top w:val="single" w:sz="4" w:space="0" w:color="auto"/>
              <w:left w:val="single" w:sz="4" w:space="0" w:color="auto"/>
              <w:bottom w:val="single" w:sz="4" w:space="0" w:color="auto"/>
              <w:right w:val="single" w:sz="4" w:space="0" w:color="auto"/>
            </w:tcBorders>
            <w:shd w:val="clear" w:color="000000" w:fill="DCE6F4"/>
            <w:noWrap/>
            <w:hideMark/>
          </w:tcPr>
          <w:p w14:paraId="76E5B46D"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65,2</w:t>
            </w:r>
          </w:p>
        </w:tc>
        <w:tc>
          <w:tcPr>
            <w:tcW w:w="0" w:type="auto"/>
            <w:tcBorders>
              <w:top w:val="single" w:sz="4" w:space="0" w:color="auto"/>
              <w:left w:val="single" w:sz="4" w:space="0" w:color="auto"/>
              <w:bottom w:val="single" w:sz="4" w:space="0" w:color="auto"/>
              <w:right w:val="single" w:sz="4" w:space="0" w:color="auto"/>
            </w:tcBorders>
            <w:shd w:val="clear" w:color="000000" w:fill="F2F5FB"/>
            <w:noWrap/>
            <w:hideMark/>
          </w:tcPr>
          <w:p w14:paraId="6547BD95"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69,2</w:t>
            </w:r>
          </w:p>
        </w:tc>
        <w:tc>
          <w:tcPr>
            <w:tcW w:w="0" w:type="auto"/>
            <w:tcBorders>
              <w:top w:val="single" w:sz="4" w:space="0" w:color="auto"/>
              <w:left w:val="single" w:sz="4" w:space="0" w:color="auto"/>
              <w:bottom w:val="single" w:sz="4" w:space="0" w:color="auto"/>
              <w:right w:val="single" w:sz="4" w:space="0" w:color="auto"/>
            </w:tcBorders>
            <w:shd w:val="clear" w:color="000000" w:fill="FCE8EB"/>
            <w:noWrap/>
            <w:hideMark/>
          </w:tcPr>
          <w:p w14:paraId="0C40E8A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72,2</w:t>
            </w:r>
          </w:p>
        </w:tc>
        <w:tc>
          <w:tcPr>
            <w:tcW w:w="0" w:type="auto"/>
            <w:tcBorders>
              <w:top w:val="single" w:sz="4" w:space="0" w:color="auto"/>
              <w:left w:val="single" w:sz="4" w:space="0" w:color="auto"/>
              <w:bottom w:val="single" w:sz="4" w:space="0" w:color="auto"/>
              <w:right w:val="single" w:sz="4" w:space="0" w:color="auto"/>
            </w:tcBorders>
            <w:shd w:val="clear" w:color="000000" w:fill="C8D7EC"/>
            <w:noWrap/>
            <w:hideMark/>
          </w:tcPr>
          <w:p w14:paraId="312A1B3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61,3</w:t>
            </w:r>
          </w:p>
        </w:tc>
        <w:tc>
          <w:tcPr>
            <w:tcW w:w="0" w:type="auto"/>
            <w:tcBorders>
              <w:top w:val="single" w:sz="4" w:space="0" w:color="auto"/>
              <w:left w:val="single" w:sz="4" w:space="0" w:color="auto"/>
              <w:bottom w:val="single" w:sz="4" w:space="0" w:color="auto"/>
              <w:right w:val="single" w:sz="4" w:space="0" w:color="auto"/>
            </w:tcBorders>
            <w:shd w:val="clear" w:color="000000" w:fill="EAEFF8"/>
            <w:noWrap/>
            <w:hideMark/>
          </w:tcPr>
          <w:p w14:paraId="37640BCA"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67,8</w:t>
            </w:r>
          </w:p>
        </w:tc>
      </w:tr>
      <w:tr w:rsidR="007175FE" w:rsidRPr="00231369" w14:paraId="37FDE81C" w14:textId="77777777" w:rsidTr="000C49A5">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08223F" w14:textId="77777777" w:rsidR="007175FE" w:rsidRPr="00231369" w:rsidRDefault="007175FE" w:rsidP="000C49A5">
            <w:pPr>
              <w:keepNext/>
              <w:rPr>
                <w:rFonts w:ascii="Calibri" w:eastAsia="Times New Roman" w:hAnsi="Calibri" w:cs="Calibri"/>
                <w:color w:val="000000"/>
                <w:sz w:val="18"/>
                <w:szCs w:val="18"/>
                <w:lang w:eastAsia="cs-CZ"/>
              </w:rPr>
            </w:pPr>
            <w:r w:rsidRPr="00231369">
              <w:rPr>
                <w:rFonts w:ascii="Calibri" w:eastAsia="Times New Roman" w:hAnsi="Calibri" w:cs="Calibri"/>
                <w:color w:val="000000"/>
                <w:sz w:val="18"/>
                <w:szCs w:val="18"/>
                <w:lang w:eastAsia="cs-CZ"/>
              </w:rPr>
              <w:t>Dostupnost vlakové dopravy</w:t>
            </w:r>
          </w:p>
        </w:tc>
        <w:tc>
          <w:tcPr>
            <w:tcW w:w="0" w:type="auto"/>
            <w:tcBorders>
              <w:top w:val="single" w:sz="4" w:space="0" w:color="auto"/>
              <w:left w:val="single" w:sz="4" w:space="0" w:color="auto"/>
              <w:bottom w:val="single" w:sz="4" w:space="0" w:color="auto"/>
              <w:right w:val="single" w:sz="4" w:space="0" w:color="auto"/>
            </w:tcBorders>
            <w:shd w:val="clear" w:color="000000" w:fill="779FD0"/>
            <w:noWrap/>
            <w:hideMark/>
          </w:tcPr>
          <w:p w14:paraId="2616C685"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46,2</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52CAAB11"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40,6</w:t>
            </w:r>
          </w:p>
        </w:tc>
        <w:tc>
          <w:tcPr>
            <w:tcW w:w="0" w:type="auto"/>
            <w:tcBorders>
              <w:top w:val="single" w:sz="4" w:space="0" w:color="auto"/>
              <w:left w:val="single" w:sz="4" w:space="0" w:color="auto"/>
              <w:bottom w:val="single" w:sz="4" w:space="0" w:color="auto"/>
              <w:right w:val="single" w:sz="4" w:space="0" w:color="auto"/>
            </w:tcBorders>
            <w:shd w:val="clear" w:color="000000" w:fill="93B2DA"/>
            <w:noWrap/>
            <w:hideMark/>
          </w:tcPr>
          <w:p w14:paraId="4411815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51,5</w:t>
            </w:r>
          </w:p>
        </w:tc>
        <w:tc>
          <w:tcPr>
            <w:tcW w:w="0" w:type="auto"/>
            <w:tcBorders>
              <w:top w:val="single" w:sz="4" w:space="0" w:color="auto"/>
              <w:left w:val="single" w:sz="4" w:space="0" w:color="auto"/>
              <w:bottom w:val="single" w:sz="4" w:space="0" w:color="auto"/>
              <w:right w:val="single" w:sz="4" w:space="0" w:color="auto"/>
            </w:tcBorders>
            <w:shd w:val="clear" w:color="000000" w:fill="6591C9"/>
            <w:noWrap/>
            <w:hideMark/>
          </w:tcPr>
          <w:p w14:paraId="6E9BE276"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42,7</w:t>
            </w:r>
          </w:p>
        </w:tc>
        <w:tc>
          <w:tcPr>
            <w:tcW w:w="0" w:type="auto"/>
            <w:tcBorders>
              <w:top w:val="single" w:sz="4" w:space="0" w:color="auto"/>
              <w:left w:val="single" w:sz="4" w:space="0" w:color="auto"/>
              <w:bottom w:val="single" w:sz="4" w:space="0" w:color="auto"/>
              <w:right w:val="single" w:sz="4" w:space="0" w:color="auto"/>
            </w:tcBorders>
            <w:shd w:val="clear" w:color="000000" w:fill="6390C9"/>
            <w:noWrap/>
            <w:hideMark/>
          </w:tcPr>
          <w:p w14:paraId="6D4BAC5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42,4</w:t>
            </w:r>
          </w:p>
        </w:tc>
        <w:tc>
          <w:tcPr>
            <w:tcW w:w="0" w:type="auto"/>
            <w:tcBorders>
              <w:top w:val="single" w:sz="4" w:space="0" w:color="auto"/>
              <w:left w:val="single" w:sz="4" w:space="0" w:color="auto"/>
              <w:bottom w:val="single" w:sz="4" w:space="0" w:color="auto"/>
              <w:right w:val="single" w:sz="4" w:space="0" w:color="auto"/>
            </w:tcBorders>
            <w:shd w:val="clear" w:color="000000" w:fill="B4C9E5"/>
            <w:noWrap/>
            <w:hideMark/>
          </w:tcPr>
          <w:p w14:paraId="0B209ABF"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57,6</w:t>
            </w:r>
          </w:p>
        </w:tc>
        <w:tc>
          <w:tcPr>
            <w:tcW w:w="0" w:type="auto"/>
            <w:tcBorders>
              <w:top w:val="single" w:sz="4" w:space="0" w:color="auto"/>
              <w:left w:val="single" w:sz="4" w:space="0" w:color="auto"/>
              <w:bottom w:val="single" w:sz="4" w:space="0" w:color="auto"/>
              <w:right w:val="single" w:sz="4" w:space="0" w:color="auto"/>
            </w:tcBorders>
            <w:shd w:val="clear" w:color="000000" w:fill="6491C9"/>
            <w:noWrap/>
            <w:hideMark/>
          </w:tcPr>
          <w:p w14:paraId="7CDD49F4"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42,6</w:t>
            </w:r>
          </w:p>
        </w:tc>
        <w:tc>
          <w:tcPr>
            <w:tcW w:w="0" w:type="auto"/>
            <w:tcBorders>
              <w:top w:val="single" w:sz="4" w:space="0" w:color="auto"/>
              <w:left w:val="single" w:sz="4" w:space="0" w:color="auto"/>
              <w:bottom w:val="single" w:sz="4" w:space="0" w:color="auto"/>
              <w:right w:val="single" w:sz="4" w:space="0" w:color="auto"/>
            </w:tcBorders>
            <w:shd w:val="clear" w:color="000000" w:fill="6692CA"/>
            <w:noWrap/>
            <w:hideMark/>
          </w:tcPr>
          <w:p w14:paraId="506B1B2A"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D492B">
              <w:rPr>
                <w:sz w:val="18"/>
              </w:rPr>
              <w:t>43,0</w:t>
            </w:r>
          </w:p>
        </w:tc>
      </w:tr>
    </w:tbl>
    <w:p w14:paraId="22BE4973" w14:textId="245396E5" w:rsidR="007175FE" w:rsidRPr="00DA7AB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CA57E6">
        <w:rPr>
          <w:rFonts w:asciiTheme="minorHAnsi" w:hAnsiTheme="minorHAnsi" w:cstheme="minorHAnsi"/>
        </w:rPr>
        <w:t>;</w:t>
      </w:r>
      <w:r w:rsidRPr="00DA7ABE">
        <w:rPr>
          <w:rFonts w:asciiTheme="minorHAnsi" w:hAnsiTheme="minorHAnsi" w:cstheme="minorHAnsi"/>
        </w:rPr>
        <w:t xml:space="preserve"> Otázka 7.</w:t>
      </w:r>
      <w:r w:rsidR="00CA57E6">
        <w:rPr>
          <w:rFonts w:asciiTheme="minorHAnsi" w:hAnsiTheme="minorHAnsi" w:cstheme="minorHAnsi"/>
        </w:rPr>
        <w:t>:</w:t>
      </w:r>
      <w:r w:rsidRPr="00DA7ABE">
        <w:rPr>
          <w:rFonts w:asciiTheme="minorHAnsi" w:hAnsiTheme="minorHAnsi" w:cstheme="minorHAnsi"/>
        </w:rPr>
        <w:t xml:space="preserve"> Jak jste spokojeni s následujícími oblastmi dopravy ve Vašem městě?</w:t>
      </w:r>
      <w:r w:rsidRPr="00DA7ABE">
        <w:rPr>
          <w:rFonts w:asciiTheme="minorHAnsi" w:hAnsiTheme="minorHAnsi" w:cstheme="minorHAnsi"/>
        </w:rPr>
        <w:br/>
        <w:t>Pozn.: Průměrné hodnocení na škále 0</w:t>
      </w:r>
      <w:r w:rsidR="00CA57E6">
        <w:rPr>
          <w:rFonts w:asciiTheme="minorHAnsi" w:hAnsiTheme="minorHAnsi" w:cstheme="minorHAnsi"/>
        </w:rPr>
        <w:t xml:space="preserve"> </w:t>
      </w:r>
      <w:r w:rsidR="00CA57E6">
        <w:rPr>
          <w:rFonts w:asciiTheme="minorHAnsi" w:hAnsiTheme="minorHAnsi" w:cstheme="minorHAnsi"/>
        </w:rPr>
        <w:sym w:font="Symbol" w:char="F02D"/>
      </w:r>
      <w:r w:rsidR="00CA57E6">
        <w:rPr>
          <w:rFonts w:asciiTheme="minorHAnsi" w:hAnsiTheme="minorHAnsi" w:cstheme="minorHAnsi"/>
        </w:rPr>
        <w:t xml:space="preserve"> </w:t>
      </w:r>
      <w:r w:rsidRPr="00DA7ABE">
        <w:rPr>
          <w:rFonts w:asciiTheme="minorHAnsi" w:hAnsiTheme="minorHAnsi" w:cstheme="minorHAnsi"/>
        </w:rPr>
        <w:t>100 (0 velmi nespokojen 100 velmi spokojen).</w:t>
      </w:r>
    </w:p>
    <w:p w14:paraId="79147AFE" w14:textId="77777777" w:rsidR="007175FE" w:rsidRDefault="007175FE" w:rsidP="007175FE">
      <w:pPr>
        <w:pStyle w:val="Nadpis3"/>
      </w:pPr>
      <w:bookmarkStart w:id="635" w:name="_Toc50116471"/>
      <w:bookmarkStart w:id="636" w:name="_Toc77074628"/>
      <w:r>
        <w:t>Jak hodnotím bydlení</w:t>
      </w:r>
      <w:bookmarkEnd w:id="635"/>
      <w:bookmarkEnd w:id="636"/>
    </w:p>
    <w:p w14:paraId="21BF67A6" w14:textId="57DC4B17" w:rsidR="007175FE" w:rsidRPr="00DA7ABE" w:rsidRDefault="007175FE" w:rsidP="007175FE">
      <w:pPr>
        <w:rPr>
          <w:rFonts w:cstheme="minorHAnsi"/>
        </w:rPr>
      </w:pPr>
      <w:r w:rsidRPr="003D492B">
        <w:rPr>
          <w:rFonts w:cstheme="minorHAnsi"/>
        </w:rPr>
        <w:t>Dále bylo hodnoceno stávající bydlení ve Zlíně. Spokojeno bylo 67,6 % občanů, 54,3 % respondentů, kteří nemají ve Zlíně trvalé bydliště a 63,5 % studentů UTB. V grafu níže</w:t>
      </w:r>
      <w:r w:rsidR="003A743C">
        <w:rPr>
          <w:rFonts w:cstheme="minorHAnsi"/>
        </w:rPr>
        <w:t xml:space="preserve"> (obrázek 2.13)</w:t>
      </w:r>
      <w:r w:rsidRPr="003D492B">
        <w:rPr>
          <w:rFonts w:cstheme="minorHAnsi"/>
        </w:rPr>
        <w:t xml:space="preserve"> je znázorněn také podíl respondentů, kteří uvedli, že nejsou schopni toto posoudit – jedná se především o respondenty s trvalým bydlištěm mimo Zlín a o studenty UTB. Nespokojenost uvádí 17,6 % občanů. Na rozvíjející otázku (pokud jste nespokojen, rozveďte proč) odpovědělo téměř 30 % oslovených, tedy z velké části i</w:t>
      </w:r>
      <w:r w:rsidR="00CA57E6">
        <w:rPr>
          <w:rFonts w:cstheme="minorHAnsi"/>
        </w:rPr>
        <w:t> </w:t>
      </w:r>
      <w:r w:rsidRPr="003D492B">
        <w:rPr>
          <w:rFonts w:cstheme="minorHAnsi"/>
        </w:rPr>
        <w:t>respondenti, kteří odpovídali neutrálně (a pozitivně).</w:t>
      </w:r>
    </w:p>
    <w:p w14:paraId="46F80B12" w14:textId="37F2A8B6" w:rsidR="007175FE" w:rsidRPr="00DA7ABE" w:rsidRDefault="007175FE" w:rsidP="007175FE">
      <w:pPr>
        <w:pStyle w:val="Titulek"/>
        <w:keepNext/>
        <w:rPr>
          <w:rFonts w:cstheme="minorHAnsi"/>
        </w:rPr>
      </w:pPr>
      <w:bookmarkStart w:id="637" w:name="_Toc54702786"/>
      <w:bookmarkStart w:id="638" w:name="_Toc56179592"/>
      <w:bookmarkStart w:id="639" w:name="_Toc77074934"/>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13</w:t>
      </w:r>
      <w:r w:rsidR="0096730F">
        <w:rPr>
          <w:rFonts w:cstheme="minorHAnsi"/>
        </w:rPr>
        <w:fldChar w:fldCharType="end"/>
      </w:r>
      <w:r w:rsidR="00CA57E6">
        <w:rPr>
          <w:rFonts w:cstheme="minorHAnsi"/>
        </w:rPr>
        <w:t>:</w:t>
      </w:r>
      <w:r w:rsidRPr="00DA7ABE">
        <w:rPr>
          <w:rFonts w:cstheme="minorHAnsi"/>
        </w:rPr>
        <w:t xml:space="preserve"> Spokojenost s bydlením ve Zlíně</w:t>
      </w:r>
      <w:bookmarkEnd w:id="637"/>
      <w:bookmarkEnd w:id="638"/>
      <w:bookmarkEnd w:id="639"/>
    </w:p>
    <w:p w14:paraId="34CD7B1F" w14:textId="77777777" w:rsidR="007175FE" w:rsidRPr="00DA7ABE" w:rsidRDefault="007175FE" w:rsidP="007175FE">
      <w:pPr>
        <w:rPr>
          <w:rFonts w:cstheme="minorHAnsi"/>
        </w:rPr>
      </w:pPr>
      <w:r>
        <w:rPr>
          <w:rFonts w:cstheme="minorHAnsi"/>
          <w:noProof/>
          <w:lang w:eastAsia="cs-CZ"/>
        </w:rPr>
        <w:drawing>
          <wp:inline distT="0" distB="0" distL="0" distR="0" wp14:anchorId="4220EC02" wp14:editId="040AE6FE">
            <wp:extent cx="6017260" cy="2023745"/>
            <wp:effectExtent l="0" t="0" r="254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017260" cy="2023745"/>
                    </a:xfrm>
                    <a:prstGeom prst="rect">
                      <a:avLst/>
                    </a:prstGeom>
                    <a:noFill/>
                  </pic:spPr>
                </pic:pic>
              </a:graphicData>
            </a:graphic>
          </wp:inline>
        </w:drawing>
      </w:r>
    </w:p>
    <w:p w14:paraId="49F915F9" w14:textId="07C05B5C"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CA57E6">
        <w:rPr>
          <w:rFonts w:asciiTheme="minorHAnsi" w:hAnsiTheme="minorHAnsi" w:cstheme="minorHAnsi"/>
        </w:rPr>
        <w:t>;</w:t>
      </w:r>
      <w:r w:rsidRPr="00DA7ABE">
        <w:rPr>
          <w:rFonts w:asciiTheme="minorHAnsi" w:hAnsiTheme="minorHAnsi" w:cstheme="minorHAnsi"/>
        </w:rPr>
        <w:t xml:space="preserve"> Otázka 8.</w:t>
      </w:r>
      <w:r w:rsidR="00CA57E6">
        <w:rPr>
          <w:rFonts w:asciiTheme="minorHAnsi" w:hAnsiTheme="minorHAnsi" w:cstheme="minorHAnsi"/>
        </w:rPr>
        <w:t>:</w:t>
      </w:r>
      <w:r w:rsidRPr="00DA7ABE">
        <w:rPr>
          <w:rFonts w:asciiTheme="minorHAnsi" w:hAnsiTheme="minorHAnsi" w:cstheme="minorHAnsi"/>
        </w:rPr>
        <w:t xml:space="preserve"> Jak jste spokojeni se stávajícím bydlením ve Zlíně?</w:t>
      </w:r>
    </w:p>
    <w:p w14:paraId="73CCD6C2" w14:textId="5F1C775B" w:rsidR="007175FE" w:rsidRPr="00DA7ABE" w:rsidRDefault="007175FE" w:rsidP="007175FE">
      <w:pPr>
        <w:rPr>
          <w:rFonts w:cstheme="minorHAnsi"/>
        </w:rPr>
      </w:pPr>
      <w:r w:rsidRPr="003D492B">
        <w:rPr>
          <w:rFonts w:cstheme="minorHAnsi"/>
        </w:rPr>
        <w:t>U otázky bydlení je důležité rozložení podle věkových kategorií. Nejmenší spokojenost je u obyvatel do 35 let (nespokojeno je 20,2 %), kteří většinou hledají své první bydlení. S přibývajícím věkem spokojenost vzrůstá. Nejnižší podíl nespokojenosti je u seniorů od 65 let (15,8 %), polovina z nich zadala krajní možnost a je s bydlením ve Zlíně „velmi nespokojena“. S oblastí bydlení jsou dále více spokojeny ženy</w:t>
      </w:r>
      <w:r w:rsidR="00CA57E6">
        <w:rPr>
          <w:rFonts w:cstheme="minorHAnsi"/>
        </w:rPr>
        <w:t xml:space="preserve"> </w:t>
      </w:r>
      <w:r w:rsidRPr="003D492B">
        <w:rPr>
          <w:rFonts w:cstheme="minorHAnsi"/>
        </w:rPr>
        <w:t>než muži.</w:t>
      </w:r>
    </w:p>
    <w:p w14:paraId="1457C07F" w14:textId="03EB7921" w:rsidR="007175FE" w:rsidRDefault="007175FE" w:rsidP="007175FE">
      <w:pPr>
        <w:pStyle w:val="Titulek"/>
        <w:keepNext/>
        <w:keepLines/>
        <w:rPr>
          <w:rFonts w:cstheme="minorHAnsi"/>
        </w:rPr>
      </w:pPr>
      <w:bookmarkStart w:id="640" w:name="_Toc54702626"/>
      <w:bookmarkStart w:id="641" w:name="_Toc56179433"/>
      <w:bookmarkStart w:id="642" w:name="_Toc57731791"/>
      <w:bookmarkStart w:id="643" w:name="_Toc77074775"/>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12</w:t>
      </w:r>
      <w:r w:rsidR="00DC277C">
        <w:rPr>
          <w:rFonts w:cstheme="minorHAnsi"/>
        </w:rPr>
        <w:fldChar w:fldCharType="end"/>
      </w:r>
      <w:r w:rsidR="00CA57E6">
        <w:rPr>
          <w:rFonts w:cstheme="minorHAnsi"/>
        </w:rPr>
        <w:t>:</w:t>
      </w:r>
      <w:r w:rsidRPr="00DA7ABE">
        <w:rPr>
          <w:rFonts w:cstheme="minorHAnsi"/>
        </w:rPr>
        <w:t xml:space="preserve"> Spokojenost s bydlením podle pohlaví, věku a u studentů UTB</w:t>
      </w:r>
      <w:bookmarkEnd w:id="640"/>
      <w:bookmarkEnd w:id="641"/>
      <w:bookmarkEnd w:id="642"/>
      <w:bookmarkEnd w:id="643"/>
    </w:p>
    <w:tbl>
      <w:tblPr>
        <w:tblW w:w="0" w:type="auto"/>
        <w:tblInd w:w="-5" w:type="dxa"/>
        <w:tblCellMar>
          <w:left w:w="70" w:type="dxa"/>
          <w:right w:w="70" w:type="dxa"/>
        </w:tblCellMar>
        <w:tblLook w:val="04A0" w:firstRow="1" w:lastRow="0" w:firstColumn="1" w:lastColumn="0" w:noHBand="0" w:noVBand="1"/>
      </w:tblPr>
      <w:tblGrid>
        <w:gridCol w:w="2593"/>
        <w:gridCol w:w="694"/>
        <w:gridCol w:w="588"/>
        <w:gridCol w:w="588"/>
        <w:gridCol w:w="1087"/>
        <w:gridCol w:w="642"/>
        <w:gridCol w:w="789"/>
        <w:gridCol w:w="1285"/>
        <w:gridCol w:w="801"/>
      </w:tblGrid>
      <w:tr w:rsidR="007175FE" w:rsidRPr="00E22AC0" w14:paraId="248451AC" w14:textId="77777777" w:rsidTr="000C49A5">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58090E5"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304362FB"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438FD18"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9524741"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Studenti UTB</w:t>
            </w:r>
          </w:p>
        </w:tc>
      </w:tr>
      <w:tr w:rsidR="007175FE" w:rsidRPr="00E22AC0" w14:paraId="4B473CAC"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3DEAC9" w14:textId="77777777" w:rsidR="007175FE" w:rsidRPr="00E22AC0" w:rsidRDefault="007175FE" w:rsidP="000C49A5">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7964D671"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2C839A73"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4FC8FFD3"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0B1785" w14:textId="77777777" w:rsidR="007175FE" w:rsidRPr="00E22AC0"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92294C" w14:textId="77777777" w:rsidR="007175FE" w:rsidRPr="00E22AC0" w:rsidRDefault="007175FE" w:rsidP="000C49A5">
            <w:pPr>
              <w:keepNext/>
              <w:rPr>
                <w:rFonts w:ascii="Calibri" w:eastAsia="Times New Roman" w:hAnsi="Calibri" w:cs="Calibri"/>
                <w:b/>
                <w:bCs/>
                <w:color w:val="000000"/>
                <w:sz w:val="18"/>
                <w:szCs w:val="18"/>
                <w:lang w:eastAsia="cs-CZ"/>
              </w:rPr>
            </w:pPr>
          </w:p>
        </w:tc>
      </w:tr>
      <w:tr w:rsidR="007175FE" w:rsidRPr="00E22AC0" w14:paraId="03FF4529"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EF7A30" w14:textId="77777777" w:rsidR="007175FE" w:rsidRPr="00E22AC0" w:rsidRDefault="007175FE" w:rsidP="000C49A5">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2C2F45E7" w14:textId="77777777" w:rsidR="007175FE" w:rsidRPr="00E22AC0" w:rsidRDefault="007175FE" w:rsidP="000C49A5">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2C9966D1"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140A26BC"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647CC6B9"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21E08B8A"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3E55E8ED" w14:textId="77777777" w:rsidR="007175FE" w:rsidRPr="00E22AC0" w:rsidRDefault="007175FE" w:rsidP="000C49A5">
            <w:pPr>
              <w:keepNext/>
              <w:jc w:val="center"/>
              <w:rPr>
                <w:rFonts w:ascii="Calibri" w:eastAsia="Times New Roman" w:hAnsi="Calibri" w:cs="Calibri"/>
                <w:b/>
                <w:bCs/>
                <w:color w:val="000000"/>
                <w:sz w:val="18"/>
                <w:szCs w:val="18"/>
                <w:lang w:eastAsia="cs-CZ"/>
              </w:rPr>
            </w:pPr>
            <w:r w:rsidRPr="00E22AC0">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D5A3FE" w14:textId="77777777" w:rsidR="007175FE" w:rsidRPr="00E22AC0"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00FD39" w14:textId="77777777" w:rsidR="007175FE" w:rsidRPr="00E22AC0" w:rsidRDefault="007175FE" w:rsidP="000C49A5">
            <w:pPr>
              <w:keepNext/>
              <w:rPr>
                <w:rFonts w:ascii="Calibri" w:eastAsia="Times New Roman" w:hAnsi="Calibri" w:cs="Calibri"/>
                <w:b/>
                <w:bCs/>
                <w:color w:val="000000"/>
                <w:sz w:val="18"/>
                <w:szCs w:val="18"/>
                <w:lang w:eastAsia="cs-CZ"/>
              </w:rPr>
            </w:pPr>
          </w:p>
        </w:tc>
      </w:tr>
      <w:tr w:rsidR="007175FE" w:rsidRPr="00E22AC0" w14:paraId="4081AAEE"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0CDF84" w14:textId="77777777" w:rsidR="007175FE" w:rsidRPr="00E22AC0" w:rsidRDefault="007175FE" w:rsidP="000C49A5">
            <w:pPr>
              <w:keepNext/>
              <w:rPr>
                <w:rFonts w:ascii="Calibri" w:eastAsia="Times New Roman" w:hAnsi="Calibri" w:cs="Calibri"/>
                <w:color w:val="000000"/>
                <w:sz w:val="18"/>
                <w:szCs w:val="18"/>
                <w:lang w:eastAsia="cs-CZ"/>
              </w:rPr>
            </w:pPr>
            <w:r w:rsidRPr="00E22AC0">
              <w:rPr>
                <w:rFonts w:ascii="Calibri" w:eastAsia="Times New Roman" w:hAnsi="Calibri" w:cs="Calibri"/>
                <w:color w:val="000000"/>
                <w:sz w:val="18"/>
                <w:szCs w:val="18"/>
                <w:lang w:eastAsia="cs-CZ"/>
              </w:rPr>
              <w:t>Velmi nespokojen/a</w:t>
            </w:r>
          </w:p>
        </w:tc>
        <w:tc>
          <w:tcPr>
            <w:tcW w:w="0" w:type="auto"/>
            <w:tcBorders>
              <w:top w:val="single" w:sz="4" w:space="0" w:color="auto"/>
              <w:left w:val="single" w:sz="4" w:space="0" w:color="auto"/>
              <w:bottom w:val="single" w:sz="4" w:space="0" w:color="auto"/>
              <w:right w:val="single" w:sz="4" w:space="0" w:color="auto"/>
            </w:tcBorders>
            <w:shd w:val="clear" w:color="000000" w:fill="9BB8DD"/>
            <w:noWrap/>
            <w:vAlign w:val="center"/>
            <w:hideMark/>
          </w:tcPr>
          <w:p w14:paraId="4FE7B430"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5,8%</w:t>
            </w:r>
          </w:p>
        </w:tc>
        <w:tc>
          <w:tcPr>
            <w:tcW w:w="0" w:type="auto"/>
            <w:tcBorders>
              <w:top w:val="single" w:sz="4" w:space="0" w:color="auto"/>
              <w:left w:val="single" w:sz="4" w:space="0" w:color="auto"/>
              <w:bottom w:val="single" w:sz="4" w:space="0" w:color="auto"/>
              <w:right w:val="single" w:sz="4" w:space="0" w:color="auto"/>
            </w:tcBorders>
            <w:shd w:val="clear" w:color="000000" w:fill="AAC2E2"/>
            <w:noWrap/>
            <w:vAlign w:val="center"/>
            <w:hideMark/>
          </w:tcPr>
          <w:p w14:paraId="06F886F5"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6,8%</w:t>
            </w:r>
          </w:p>
        </w:tc>
        <w:tc>
          <w:tcPr>
            <w:tcW w:w="0" w:type="auto"/>
            <w:tcBorders>
              <w:top w:val="single" w:sz="4" w:space="0" w:color="auto"/>
              <w:left w:val="single" w:sz="4" w:space="0" w:color="auto"/>
              <w:bottom w:val="single" w:sz="4" w:space="0" w:color="auto"/>
              <w:right w:val="single" w:sz="4" w:space="0" w:color="auto"/>
            </w:tcBorders>
            <w:shd w:val="clear" w:color="000000" w:fill="8CADD7"/>
            <w:noWrap/>
            <w:vAlign w:val="center"/>
            <w:hideMark/>
          </w:tcPr>
          <w:p w14:paraId="075E1F9A"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4,8%</w:t>
            </w:r>
          </w:p>
        </w:tc>
        <w:tc>
          <w:tcPr>
            <w:tcW w:w="0" w:type="auto"/>
            <w:tcBorders>
              <w:top w:val="single" w:sz="4" w:space="0" w:color="auto"/>
              <w:left w:val="single" w:sz="4" w:space="0" w:color="auto"/>
              <w:bottom w:val="single" w:sz="4" w:space="0" w:color="auto"/>
              <w:right w:val="single" w:sz="4" w:space="0" w:color="auto"/>
            </w:tcBorders>
            <w:shd w:val="clear" w:color="000000" w:fill="A0BBDE"/>
            <w:noWrap/>
            <w:vAlign w:val="center"/>
            <w:hideMark/>
          </w:tcPr>
          <w:p w14:paraId="40EF0C12"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6,1%</w:t>
            </w:r>
          </w:p>
        </w:tc>
        <w:tc>
          <w:tcPr>
            <w:tcW w:w="0" w:type="auto"/>
            <w:tcBorders>
              <w:top w:val="single" w:sz="4" w:space="0" w:color="auto"/>
              <w:left w:val="single" w:sz="4" w:space="0" w:color="auto"/>
              <w:bottom w:val="single" w:sz="4" w:space="0" w:color="auto"/>
              <w:right w:val="single" w:sz="4" w:space="0" w:color="auto"/>
            </w:tcBorders>
            <w:shd w:val="clear" w:color="000000" w:fill="88AAD6"/>
            <w:noWrap/>
            <w:vAlign w:val="center"/>
            <w:hideMark/>
          </w:tcPr>
          <w:p w14:paraId="2DAEE010"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4,5%</w:t>
            </w:r>
          </w:p>
        </w:tc>
        <w:tc>
          <w:tcPr>
            <w:tcW w:w="0" w:type="auto"/>
            <w:tcBorders>
              <w:top w:val="single" w:sz="4" w:space="0" w:color="auto"/>
              <w:left w:val="single" w:sz="4" w:space="0" w:color="auto"/>
              <w:bottom w:val="single" w:sz="4" w:space="0" w:color="auto"/>
              <w:right w:val="single" w:sz="4" w:space="0" w:color="auto"/>
            </w:tcBorders>
            <w:shd w:val="clear" w:color="000000" w:fill="BBCEE8"/>
            <w:noWrap/>
            <w:vAlign w:val="center"/>
            <w:hideMark/>
          </w:tcPr>
          <w:p w14:paraId="28D69144"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7,9%</w:t>
            </w:r>
          </w:p>
        </w:tc>
        <w:tc>
          <w:tcPr>
            <w:tcW w:w="0" w:type="auto"/>
            <w:tcBorders>
              <w:top w:val="single" w:sz="4" w:space="0" w:color="auto"/>
              <w:left w:val="single" w:sz="4" w:space="0" w:color="auto"/>
              <w:bottom w:val="single" w:sz="4" w:space="0" w:color="auto"/>
              <w:right w:val="single" w:sz="4" w:space="0" w:color="auto"/>
            </w:tcBorders>
            <w:shd w:val="clear" w:color="000000" w:fill="B6CBE6"/>
            <w:noWrap/>
            <w:vAlign w:val="center"/>
            <w:hideMark/>
          </w:tcPr>
          <w:p w14:paraId="4A8FB42C"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7,6%</w:t>
            </w:r>
          </w:p>
        </w:tc>
        <w:tc>
          <w:tcPr>
            <w:tcW w:w="0" w:type="auto"/>
            <w:tcBorders>
              <w:top w:val="single" w:sz="4" w:space="0" w:color="auto"/>
              <w:left w:val="single" w:sz="4" w:space="0" w:color="auto"/>
              <w:bottom w:val="single" w:sz="4" w:space="0" w:color="auto"/>
              <w:right w:val="single" w:sz="4" w:space="0" w:color="auto"/>
            </w:tcBorders>
            <w:shd w:val="clear" w:color="000000" w:fill="6B96CC"/>
            <w:noWrap/>
            <w:vAlign w:val="center"/>
            <w:hideMark/>
          </w:tcPr>
          <w:p w14:paraId="05FFC6FE"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2,6%</w:t>
            </w:r>
          </w:p>
        </w:tc>
      </w:tr>
      <w:tr w:rsidR="007175FE" w:rsidRPr="00E22AC0" w14:paraId="369438EB"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9875031" w14:textId="77777777" w:rsidR="007175FE" w:rsidRPr="00E22AC0" w:rsidRDefault="007175FE" w:rsidP="000C49A5">
            <w:pPr>
              <w:keepNext/>
              <w:rPr>
                <w:rFonts w:ascii="Calibri" w:eastAsia="Times New Roman" w:hAnsi="Calibri" w:cs="Calibri"/>
                <w:color w:val="000000"/>
                <w:sz w:val="18"/>
                <w:szCs w:val="18"/>
                <w:lang w:eastAsia="cs-CZ"/>
              </w:rPr>
            </w:pPr>
            <w:r w:rsidRPr="00E22AC0">
              <w:rPr>
                <w:rFonts w:ascii="Calibri" w:eastAsia="Times New Roman" w:hAnsi="Calibri" w:cs="Calibri"/>
                <w:color w:val="000000"/>
                <w:sz w:val="18"/>
                <w:szCs w:val="18"/>
                <w:lang w:eastAsia="cs-CZ"/>
              </w:rPr>
              <w:t>Spíše nespokojen/a</w:t>
            </w:r>
          </w:p>
        </w:tc>
        <w:tc>
          <w:tcPr>
            <w:tcW w:w="0" w:type="auto"/>
            <w:tcBorders>
              <w:top w:val="single" w:sz="4" w:space="0" w:color="auto"/>
              <w:left w:val="single" w:sz="4" w:space="0" w:color="auto"/>
              <w:bottom w:val="single" w:sz="4" w:space="0" w:color="auto"/>
              <w:right w:val="single" w:sz="4" w:space="0" w:color="auto"/>
            </w:tcBorders>
            <w:shd w:val="clear" w:color="000000" w:fill="F5F7FC"/>
            <w:noWrap/>
            <w:vAlign w:val="center"/>
            <w:hideMark/>
          </w:tcPr>
          <w:p w14:paraId="671C3892"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11,8%</w:t>
            </w:r>
          </w:p>
        </w:tc>
        <w:tc>
          <w:tcPr>
            <w:tcW w:w="0" w:type="auto"/>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40B331E6"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12,3%</w:t>
            </w:r>
          </w:p>
        </w:tc>
        <w:tc>
          <w:tcPr>
            <w:tcW w:w="0" w:type="auto"/>
            <w:tcBorders>
              <w:top w:val="single" w:sz="4" w:space="0" w:color="auto"/>
              <w:left w:val="single" w:sz="4" w:space="0" w:color="auto"/>
              <w:bottom w:val="single" w:sz="4" w:space="0" w:color="auto"/>
              <w:right w:val="single" w:sz="4" w:space="0" w:color="auto"/>
            </w:tcBorders>
            <w:shd w:val="clear" w:color="000000" w:fill="EFF3FA"/>
            <w:noWrap/>
            <w:vAlign w:val="center"/>
            <w:hideMark/>
          </w:tcPr>
          <w:p w14:paraId="358E1DDF"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11,4%</w:t>
            </w:r>
          </w:p>
        </w:tc>
        <w:tc>
          <w:tcPr>
            <w:tcW w:w="0" w:type="auto"/>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81CBB45"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14,1%</w:t>
            </w:r>
          </w:p>
        </w:tc>
        <w:tc>
          <w:tcPr>
            <w:tcW w:w="0" w:type="auto"/>
            <w:tcBorders>
              <w:top w:val="single" w:sz="4" w:space="0" w:color="auto"/>
              <w:left w:val="single" w:sz="4" w:space="0" w:color="auto"/>
              <w:bottom w:val="single" w:sz="4" w:space="0" w:color="auto"/>
              <w:right w:val="single" w:sz="4" w:space="0" w:color="auto"/>
            </w:tcBorders>
            <w:shd w:val="clear" w:color="000000" w:fill="FCFAFD"/>
            <w:noWrap/>
            <w:vAlign w:val="center"/>
            <w:hideMark/>
          </w:tcPr>
          <w:p w14:paraId="714915F0"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12,8%</w:t>
            </w:r>
          </w:p>
        </w:tc>
        <w:tc>
          <w:tcPr>
            <w:tcW w:w="0" w:type="auto"/>
            <w:tcBorders>
              <w:top w:val="single" w:sz="4" w:space="0" w:color="auto"/>
              <w:left w:val="single" w:sz="4" w:space="0" w:color="auto"/>
              <w:bottom w:val="single" w:sz="4" w:space="0" w:color="auto"/>
              <w:right w:val="single" w:sz="4" w:space="0" w:color="auto"/>
            </w:tcBorders>
            <w:shd w:val="clear" w:color="000000" w:fill="BBCEE8"/>
            <w:noWrap/>
            <w:vAlign w:val="center"/>
            <w:hideMark/>
          </w:tcPr>
          <w:p w14:paraId="1BDB8A28"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7,9%</w:t>
            </w:r>
          </w:p>
        </w:tc>
        <w:tc>
          <w:tcPr>
            <w:tcW w:w="0" w:type="auto"/>
            <w:tcBorders>
              <w:top w:val="single" w:sz="4" w:space="0" w:color="auto"/>
              <w:left w:val="single" w:sz="4" w:space="0" w:color="auto"/>
              <w:bottom w:val="single" w:sz="4" w:space="0" w:color="auto"/>
              <w:right w:val="single" w:sz="4" w:space="0" w:color="auto"/>
            </w:tcBorders>
            <w:shd w:val="clear" w:color="000000" w:fill="FCFBFE"/>
            <w:noWrap/>
            <w:vAlign w:val="center"/>
            <w:hideMark/>
          </w:tcPr>
          <w:p w14:paraId="504FDEA5"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12,6%</w:t>
            </w:r>
          </w:p>
        </w:tc>
        <w:tc>
          <w:tcPr>
            <w:tcW w:w="0" w:type="auto"/>
            <w:tcBorders>
              <w:top w:val="single" w:sz="4" w:space="0" w:color="auto"/>
              <w:left w:val="single" w:sz="4" w:space="0" w:color="auto"/>
              <w:bottom w:val="single" w:sz="4" w:space="0" w:color="auto"/>
              <w:right w:val="single" w:sz="4" w:space="0" w:color="auto"/>
            </w:tcBorders>
            <w:shd w:val="clear" w:color="000000" w:fill="F8F9FD"/>
            <w:noWrap/>
            <w:vAlign w:val="center"/>
            <w:hideMark/>
          </w:tcPr>
          <w:p w14:paraId="231D5009"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12,0%</w:t>
            </w:r>
          </w:p>
        </w:tc>
      </w:tr>
      <w:tr w:rsidR="007175FE" w:rsidRPr="00E22AC0" w14:paraId="562769D0"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586C6E" w14:textId="77777777" w:rsidR="007175FE" w:rsidRPr="00E22AC0" w:rsidRDefault="007175FE" w:rsidP="000C49A5">
            <w:pPr>
              <w:keepNext/>
              <w:rPr>
                <w:rFonts w:ascii="Calibri" w:eastAsia="Times New Roman" w:hAnsi="Calibri" w:cs="Calibri"/>
                <w:color w:val="000000"/>
                <w:sz w:val="18"/>
                <w:szCs w:val="18"/>
                <w:lang w:eastAsia="cs-CZ"/>
              </w:rPr>
            </w:pPr>
            <w:r w:rsidRPr="00E22AC0">
              <w:rPr>
                <w:rFonts w:ascii="Calibri" w:eastAsia="Times New Roman" w:hAnsi="Calibri" w:cs="Calibri"/>
                <w:color w:val="000000"/>
                <w:sz w:val="18"/>
                <w:szCs w:val="18"/>
                <w:lang w:eastAsia="cs-CZ"/>
              </w:rPr>
              <w:t>Ani spokojen/a, ani nespokojen/a</w:t>
            </w:r>
          </w:p>
        </w:tc>
        <w:tc>
          <w:tcPr>
            <w:tcW w:w="0" w:type="auto"/>
            <w:tcBorders>
              <w:top w:val="single" w:sz="4" w:space="0" w:color="auto"/>
              <w:left w:val="single" w:sz="4" w:space="0" w:color="auto"/>
              <w:bottom w:val="single" w:sz="4" w:space="0" w:color="auto"/>
              <w:right w:val="single" w:sz="4" w:space="0" w:color="auto"/>
            </w:tcBorders>
            <w:shd w:val="clear" w:color="000000" w:fill="F5F7FC"/>
            <w:noWrap/>
            <w:vAlign w:val="center"/>
            <w:hideMark/>
          </w:tcPr>
          <w:p w14:paraId="2E44A8BB"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11,8%</w:t>
            </w:r>
          </w:p>
        </w:tc>
        <w:tc>
          <w:tcPr>
            <w:tcW w:w="0" w:type="auto"/>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1B09CFA6"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13,1%</w:t>
            </w:r>
          </w:p>
        </w:tc>
        <w:tc>
          <w:tcPr>
            <w:tcW w:w="0" w:type="auto"/>
            <w:tcBorders>
              <w:top w:val="single" w:sz="4" w:space="0" w:color="auto"/>
              <w:left w:val="single" w:sz="4" w:space="0" w:color="auto"/>
              <w:bottom w:val="single" w:sz="4" w:space="0" w:color="auto"/>
              <w:right w:val="single" w:sz="4" w:space="0" w:color="auto"/>
            </w:tcBorders>
            <w:shd w:val="clear" w:color="000000" w:fill="E1E9F5"/>
            <w:noWrap/>
            <w:vAlign w:val="center"/>
            <w:hideMark/>
          </w:tcPr>
          <w:p w14:paraId="626FD23E"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10,5%</w:t>
            </w:r>
          </w:p>
        </w:tc>
        <w:tc>
          <w:tcPr>
            <w:tcW w:w="0" w:type="auto"/>
            <w:tcBorders>
              <w:top w:val="single" w:sz="4" w:space="0" w:color="auto"/>
              <w:left w:val="single" w:sz="4" w:space="0" w:color="auto"/>
              <w:bottom w:val="single" w:sz="4" w:space="0" w:color="auto"/>
              <w:right w:val="single" w:sz="4" w:space="0" w:color="auto"/>
            </w:tcBorders>
            <w:shd w:val="clear" w:color="000000" w:fill="FBFBFE"/>
            <w:noWrap/>
            <w:vAlign w:val="center"/>
            <w:hideMark/>
          </w:tcPr>
          <w:p w14:paraId="76E1848A"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12,2%</w:t>
            </w:r>
          </w:p>
        </w:tc>
        <w:tc>
          <w:tcPr>
            <w:tcW w:w="0" w:type="auto"/>
            <w:tcBorders>
              <w:top w:val="single" w:sz="4" w:space="0" w:color="auto"/>
              <w:left w:val="single" w:sz="4" w:space="0" w:color="auto"/>
              <w:bottom w:val="single" w:sz="4" w:space="0" w:color="auto"/>
              <w:right w:val="single" w:sz="4" w:space="0" w:color="auto"/>
            </w:tcBorders>
            <w:shd w:val="clear" w:color="000000" w:fill="FCFAFD"/>
            <w:noWrap/>
            <w:vAlign w:val="center"/>
            <w:hideMark/>
          </w:tcPr>
          <w:p w14:paraId="44A6912D"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12,8%</w:t>
            </w:r>
          </w:p>
        </w:tc>
        <w:tc>
          <w:tcPr>
            <w:tcW w:w="0" w:type="auto"/>
            <w:tcBorders>
              <w:top w:val="single" w:sz="4" w:space="0" w:color="auto"/>
              <w:left w:val="single" w:sz="4" w:space="0" w:color="auto"/>
              <w:bottom w:val="single" w:sz="4" w:space="0" w:color="auto"/>
              <w:right w:val="single" w:sz="4" w:space="0" w:color="auto"/>
            </w:tcBorders>
            <w:shd w:val="clear" w:color="000000" w:fill="D2DFF0"/>
            <w:noWrap/>
            <w:vAlign w:val="center"/>
            <w:hideMark/>
          </w:tcPr>
          <w:p w14:paraId="451C4CAE"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9,5%</w:t>
            </w:r>
          </w:p>
        </w:tc>
        <w:tc>
          <w:tcPr>
            <w:tcW w:w="0" w:type="auto"/>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69B6872D"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16,1%</w:t>
            </w:r>
          </w:p>
        </w:tc>
        <w:tc>
          <w:tcPr>
            <w:tcW w:w="0" w:type="auto"/>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1A6CACA1"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13,0%</w:t>
            </w:r>
          </w:p>
        </w:tc>
      </w:tr>
      <w:tr w:rsidR="007175FE" w:rsidRPr="00E22AC0" w14:paraId="63857F43"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133BC9" w14:textId="77777777" w:rsidR="007175FE" w:rsidRPr="00E22AC0" w:rsidRDefault="007175FE" w:rsidP="000C49A5">
            <w:pPr>
              <w:keepNext/>
              <w:rPr>
                <w:rFonts w:ascii="Calibri" w:eastAsia="Times New Roman" w:hAnsi="Calibri" w:cs="Calibri"/>
                <w:color w:val="000000"/>
                <w:sz w:val="18"/>
                <w:szCs w:val="18"/>
                <w:lang w:eastAsia="cs-CZ"/>
              </w:rPr>
            </w:pPr>
            <w:r w:rsidRPr="00E22AC0">
              <w:rPr>
                <w:rFonts w:ascii="Calibri" w:eastAsia="Times New Roman" w:hAnsi="Calibri" w:cs="Calibri"/>
                <w:color w:val="000000"/>
                <w:sz w:val="18"/>
                <w:szCs w:val="18"/>
                <w:lang w:eastAsia="cs-CZ"/>
              </w:rPr>
              <w:t>Spíše spokojen/a</w:t>
            </w:r>
          </w:p>
        </w:tc>
        <w:tc>
          <w:tcPr>
            <w:tcW w:w="0" w:type="auto"/>
            <w:tcBorders>
              <w:top w:val="single" w:sz="4" w:space="0" w:color="auto"/>
              <w:left w:val="single" w:sz="4" w:space="0" w:color="auto"/>
              <w:bottom w:val="single" w:sz="4" w:space="0" w:color="auto"/>
              <w:right w:val="single" w:sz="4" w:space="0" w:color="auto"/>
            </w:tcBorders>
            <w:shd w:val="clear" w:color="000000" w:fill="F98688"/>
            <w:noWrap/>
            <w:vAlign w:val="center"/>
            <w:hideMark/>
          </w:tcPr>
          <w:p w14:paraId="19E96517"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38,5%</w:t>
            </w:r>
          </w:p>
        </w:tc>
        <w:tc>
          <w:tcPr>
            <w:tcW w:w="0" w:type="auto"/>
            <w:tcBorders>
              <w:top w:val="single" w:sz="4" w:space="0" w:color="auto"/>
              <w:left w:val="single" w:sz="4" w:space="0" w:color="auto"/>
              <w:bottom w:val="single" w:sz="4" w:space="0" w:color="auto"/>
              <w:right w:val="single" w:sz="4" w:space="0" w:color="auto"/>
            </w:tcBorders>
            <w:shd w:val="clear" w:color="000000" w:fill="F97E80"/>
            <w:noWrap/>
            <w:vAlign w:val="center"/>
            <w:hideMark/>
          </w:tcPr>
          <w:p w14:paraId="29D7D961"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40,1%</w:t>
            </w:r>
          </w:p>
        </w:tc>
        <w:tc>
          <w:tcPr>
            <w:tcW w:w="0" w:type="auto"/>
            <w:tcBorders>
              <w:top w:val="single" w:sz="4" w:space="0" w:color="auto"/>
              <w:left w:val="single" w:sz="4" w:space="0" w:color="auto"/>
              <w:bottom w:val="single" w:sz="4" w:space="0" w:color="auto"/>
              <w:right w:val="single" w:sz="4" w:space="0" w:color="auto"/>
            </w:tcBorders>
            <w:shd w:val="clear" w:color="000000" w:fill="F98B8D"/>
            <w:noWrap/>
            <w:vAlign w:val="center"/>
            <w:hideMark/>
          </w:tcPr>
          <w:p w14:paraId="58BB36A7"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37,3%</w:t>
            </w:r>
          </w:p>
        </w:tc>
        <w:tc>
          <w:tcPr>
            <w:tcW w:w="0" w:type="auto"/>
            <w:tcBorders>
              <w:top w:val="single" w:sz="4" w:space="0" w:color="auto"/>
              <w:left w:val="single" w:sz="4" w:space="0" w:color="auto"/>
              <w:bottom w:val="single" w:sz="4" w:space="0" w:color="auto"/>
              <w:right w:val="single" w:sz="4" w:space="0" w:color="auto"/>
            </w:tcBorders>
            <w:shd w:val="clear" w:color="000000" w:fill="F97173"/>
            <w:noWrap/>
            <w:vAlign w:val="center"/>
            <w:hideMark/>
          </w:tcPr>
          <w:p w14:paraId="212C8B66"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43,1%</w:t>
            </w:r>
          </w:p>
        </w:tc>
        <w:tc>
          <w:tcPr>
            <w:tcW w:w="0" w:type="auto"/>
            <w:tcBorders>
              <w:top w:val="single" w:sz="4" w:space="0" w:color="auto"/>
              <w:left w:val="single" w:sz="4" w:space="0" w:color="auto"/>
              <w:bottom w:val="single" w:sz="4" w:space="0" w:color="auto"/>
              <w:right w:val="single" w:sz="4" w:space="0" w:color="auto"/>
            </w:tcBorders>
            <w:shd w:val="clear" w:color="000000" w:fill="F9878A"/>
            <w:noWrap/>
            <w:vAlign w:val="center"/>
            <w:hideMark/>
          </w:tcPr>
          <w:p w14:paraId="44EC7CA8"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38,1%</w:t>
            </w:r>
          </w:p>
        </w:tc>
        <w:tc>
          <w:tcPr>
            <w:tcW w:w="0" w:type="auto"/>
            <w:tcBorders>
              <w:top w:val="single" w:sz="4" w:space="0" w:color="auto"/>
              <w:left w:val="single" w:sz="4" w:space="0" w:color="auto"/>
              <w:bottom w:val="single" w:sz="4" w:space="0" w:color="auto"/>
              <w:right w:val="single" w:sz="4" w:space="0" w:color="auto"/>
            </w:tcBorders>
            <w:shd w:val="clear" w:color="000000" w:fill="FA9496"/>
            <w:noWrap/>
            <w:vAlign w:val="center"/>
            <w:hideMark/>
          </w:tcPr>
          <w:p w14:paraId="3F770023"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35,3%</w:t>
            </w:r>
          </w:p>
        </w:tc>
        <w:tc>
          <w:tcPr>
            <w:tcW w:w="0" w:type="auto"/>
            <w:tcBorders>
              <w:top w:val="single" w:sz="4" w:space="0" w:color="auto"/>
              <w:left w:val="single" w:sz="4" w:space="0" w:color="auto"/>
              <w:bottom w:val="single" w:sz="4" w:space="0" w:color="auto"/>
              <w:right w:val="single" w:sz="4" w:space="0" w:color="auto"/>
            </w:tcBorders>
            <w:shd w:val="clear" w:color="000000" w:fill="F98183"/>
            <w:noWrap/>
            <w:vAlign w:val="center"/>
            <w:hideMark/>
          </w:tcPr>
          <w:p w14:paraId="534D2704"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39,5%</w:t>
            </w:r>
          </w:p>
        </w:tc>
        <w:tc>
          <w:tcPr>
            <w:tcW w:w="0" w:type="auto"/>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51DE984C"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44,7%</w:t>
            </w:r>
          </w:p>
        </w:tc>
      </w:tr>
      <w:tr w:rsidR="007175FE" w:rsidRPr="00E22AC0" w14:paraId="5C7E1B83"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701D83" w14:textId="77777777" w:rsidR="007175FE" w:rsidRPr="00E22AC0" w:rsidRDefault="007175FE" w:rsidP="000C49A5">
            <w:pPr>
              <w:keepNext/>
              <w:rPr>
                <w:rFonts w:ascii="Calibri" w:eastAsia="Times New Roman" w:hAnsi="Calibri" w:cs="Calibri"/>
                <w:color w:val="000000"/>
                <w:sz w:val="18"/>
                <w:szCs w:val="18"/>
                <w:lang w:eastAsia="cs-CZ"/>
              </w:rPr>
            </w:pPr>
            <w:r w:rsidRPr="00E22AC0">
              <w:rPr>
                <w:rFonts w:ascii="Calibri" w:eastAsia="Times New Roman" w:hAnsi="Calibri" w:cs="Calibri"/>
                <w:color w:val="000000"/>
                <w:sz w:val="18"/>
                <w:szCs w:val="18"/>
                <w:lang w:eastAsia="cs-CZ"/>
              </w:rPr>
              <w:t>Velmi spokojen/a</w:t>
            </w:r>
          </w:p>
        </w:tc>
        <w:tc>
          <w:tcPr>
            <w:tcW w:w="0" w:type="auto"/>
            <w:tcBorders>
              <w:top w:val="single" w:sz="4" w:space="0" w:color="auto"/>
              <w:left w:val="single" w:sz="4" w:space="0" w:color="auto"/>
              <w:bottom w:val="single" w:sz="4" w:space="0" w:color="auto"/>
              <w:right w:val="single" w:sz="4" w:space="0" w:color="auto"/>
            </w:tcBorders>
            <w:shd w:val="clear" w:color="000000" w:fill="FAAEB0"/>
            <w:noWrap/>
            <w:vAlign w:val="center"/>
            <w:hideMark/>
          </w:tcPr>
          <w:p w14:paraId="4F28DAD8"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29,6%</w:t>
            </w:r>
          </w:p>
        </w:tc>
        <w:tc>
          <w:tcPr>
            <w:tcW w:w="0" w:type="auto"/>
            <w:tcBorders>
              <w:top w:val="single" w:sz="4" w:space="0" w:color="auto"/>
              <w:left w:val="single" w:sz="4" w:space="0" w:color="auto"/>
              <w:bottom w:val="single" w:sz="4" w:space="0" w:color="auto"/>
              <w:right w:val="single" w:sz="4" w:space="0" w:color="auto"/>
            </w:tcBorders>
            <w:shd w:val="clear" w:color="000000" w:fill="FBC4C6"/>
            <w:noWrap/>
            <w:vAlign w:val="center"/>
            <w:hideMark/>
          </w:tcPr>
          <w:p w14:paraId="6D606968"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24,8%</w:t>
            </w:r>
          </w:p>
        </w:tc>
        <w:tc>
          <w:tcPr>
            <w:tcW w:w="0" w:type="auto"/>
            <w:tcBorders>
              <w:top w:val="single" w:sz="4" w:space="0" w:color="auto"/>
              <w:left w:val="single" w:sz="4" w:space="0" w:color="auto"/>
              <w:bottom w:val="single" w:sz="4" w:space="0" w:color="auto"/>
              <w:right w:val="single" w:sz="4" w:space="0" w:color="auto"/>
            </w:tcBorders>
            <w:shd w:val="clear" w:color="000000" w:fill="FA9B9D"/>
            <w:noWrap/>
            <w:vAlign w:val="center"/>
            <w:hideMark/>
          </w:tcPr>
          <w:p w14:paraId="26B8ABED"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33,8%</w:t>
            </w:r>
          </w:p>
        </w:tc>
        <w:tc>
          <w:tcPr>
            <w:tcW w:w="0" w:type="auto"/>
            <w:tcBorders>
              <w:top w:val="single" w:sz="4" w:space="0" w:color="auto"/>
              <w:left w:val="single" w:sz="4" w:space="0" w:color="auto"/>
              <w:bottom w:val="single" w:sz="4" w:space="0" w:color="auto"/>
              <w:right w:val="single" w:sz="4" w:space="0" w:color="auto"/>
            </w:tcBorders>
            <w:shd w:val="clear" w:color="000000" w:fill="FBD6D9"/>
            <w:noWrap/>
            <w:vAlign w:val="center"/>
            <w:hideMark/>
          </w:tcPr>
          <w:p w14:paraId="15A8615E"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20,7%</w:t>
            </w:r>
          </w:p>
        </w:tc>
        <w:tc>
          <w:tcPr>
            <w:tcW w:w="0" w:type="auto"/>
            <w:tcBorders>
              <w:top w:val="single" w:sz="4" w:space="0" w:color="auto"/>
              <w:left w:val="single" w:sz="4" w:space="0" w:color="auto"/>
              <w:bottom w:val="single" w:sz="4" w:space="0" w:color="auto"/>
              <w:right w:val="single" w:sz="4" w:space="0" w:color="auto"/>
            </w:tcBorders>
            <w:shd w:val="clear" w:color="000000" w:fill="FAAFB2"/>
            <w:noWrap/>
            <w:vAlign w:val="center"/>
            <w:hideMark/>
          </w:tcPr>
          <w:p w14:paraId="77AC0473"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29,3%</w:t>
            </w:r>
          </w:p>
        </w:tc>
        <w:tc>
          <w:tcPr>
            <w:tcW w:w="0" w:type="auto"/>
            <w:tcBorders>
              <w:top w:val="single" w:sz="4" w:space="0" w:color="auto"/>
              <w:left w:val="single" w:sz="4" w:space="0" w:color="auto"/>
              <w:bottom w:val="single" w:sz="4" w:space="0" w:color="auto"/>
              <w:right w:val="single" w:sz="4" w:space="0" w:color="auto"/>
            </w:tcBorders>
            <w:shd w:val="clear" w:color="000000" w:fill="F9888A"/>
            <w:noWrap/>
            <w:vAlign w:val="center"/>
            <w:hideMark/>
          </w:tcPr>
          <w:p w14:paraId="1D339D8D"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38,0%</w:t>
            </w:r>
          </w:p>
        </w:tc>
        <w:tc>
          <w:tcPr>
            <w:tcW w:w="0" w:type="auto"/>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602FE1BE"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14,8%</w:t>
            </w:r>
          </w:p>
        </w:tc>
        <w:tc>
          <w:tcPr>
            <w:tcW w:w="0" w:type="auto"/>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7F426B8"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18,8%</w:t>
            </w:r>
          </w:p>
        </w:tc>
      </w:tr>
      <w:tr w:rsidR="007175FE" w:rsidRPr="00E22AC0" w14:paraId="26A483FC"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F2530B" w14:textId="77777777" w:rsidR="007175FE" w:rsidRPr="00E22AC0" w:rsidRDefault="007175FE" w:rsidP="000C49A5">
            <w:pPr>
              <w:keepNext/>
              <w:rPr>
                <w:rFonts w:ascii="Calibri" w:eastAsia="Times New Roman" w:hAnsi="Calibri" w:cs="Calibri"/>
                <w:color w:val="000000"/>
                <w:sz w:val="18"/>
                <w:szCs w:val="18"/>
                <w:lang w:eastAsia="cs-CZ"/>
              </w:rPr>
            </w:pPr>
            <w:r w:rsidRPr="00E22AC0">
              <w:rPr>
                <w:rFonts w:ascii="Calibri" w:eastAsia="Times New Roman" w:hAnsi="Calibri" w:cs="Calibri"/>
                <w:color w:val="000000"/>
                <w:sz w:val="18"/>
                <w:szCs w:val="18"/>
                <w:lang w:eastAsia="cs-CZ"/>
              </w:rPr>
              <w:t>Nemohu posoudit</w:t>
            </w:r>
          </w:p>
        </w:tc>
        <w:tc>
          <w:tcPr>
            <w:tcW w:w="0" w:type="auto"/>
            <w:tcBorders>
              <w:top w:val="single" w:sz="4" w:space="0" w:color="auto"/>
              <w:left w:val="single" w:sz="4" w:space="0" w:color="auto"/>
              <w:bottom w:val="single" w:sz="4" w:space="0" w:color="auto"/>
              <w:right w:val="single" w:sz="4" w:space="0" w:color="auto"/>
            </w:tcBorders>
            <w:shd w:val="clear" w:color="000000" w:fill="6A95CB"/>
            <w:noWrap/>
            <w:vAlign w:val="center"/>
            <w:hideMark/>
          </w:tcPr>
          <w:p w14:paraId="2768C0C3"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2,5%</w:t>
            </w:r>
          </w:p>
        </w:tc>
        <w:tc>
          <w:tcPr>
            <w:tcW w:w="0" w:type="auto"/>
            <w:tcBorders>
              <w:top w:val="single" w:sz="4" w:space="0" w:color="auto"/>
              <w:left w:val="single" w:sz="4" w:space="0" w:color="auto"/>
              <w:bottom w:val="single" w:sz="4" w:space="0" w:color="auto"/>
              <w:right w:val="single" w:sz="4" w:space="0" w:color="auto"/>
            </w:tcBorders>
            <w:shd w:val="clear" w:color="000000" w:fill="7099CD"/>
            <w:noWrap/>
            <w:vAlign w:val="center"/>
            <w:hideMark/>
          </w:tcPr>
          <w:p w14:paraId="78B7C4BD"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2,9%</w:t>
            </w:r>
          </w:p>
        </w:tc>
        <w:tc>
          <w:tcPr>
            <w:tcW w:w="0" w:type="auto"/>
            <w:tcBorders>
              <w:top w:val="single" w:sz="4" w:space="0" w:color="auto"/>
              <w:left w:val="single" w:sz="4" w:space="0" w:color="auto"/>
              <w:bottom w:val="single" w:sz="4" w:space="0" w:color="auto"/>
              <w:right w:val="single" w:sz="4" w:space="0" w:color="auto"/>
            </w:tcBorders>
            <w:shd w:val="clear" w:color="000000" w:fill="6592CA"/>
            <w:noWrap/>
            <w:vAlign w:val="center"/>
            <w:hideMark/>
          </w:tcPr>
          <w:p w14:paraId="3D0386F0"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2,2%</w:t>
            </w:r>
          </w:p>
        </w:tc>
        <w:tc>
          <w:tcPr>
            <w:tcW w:w="0" w:type="auto"/>
            <w:tcBorders>
              <w:top w:val="single" w:sz="4" w:space="0" w:color="auto"/>
              <w:left w:val="single" w:sz="4" w:space="0" w:color="auto"/>
              <w:bottom w:val="single" w:sz="4" w:space="0" w:color="auto"/>
              <w:right w:val="single" w:sz="4" w:space="0" w:color="auto"/>
            </w:tcBorders>
            <w:shd w:val="clear" w:color="000000" w:fill="7DA3D2"/>
            <w:noWrap/>
            <w:vAlign w:val="center"/>
            <w:hideMark/>
          </w:tcPr>
          <w:p w14:paraId="4B5C7DD4"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3,8%</w:t>
            </w:r>
          </w:p>
        </w:tc>
        <w:tc>
          <w:tcPr>
            <w:tcW w:w="0" w:type="auto"/>
            <w:tcBorders>
              <w:top w:val="single" w:sz="4" w:space="0" w:color="auto"/>
              <w:left w:val="single" w:sz="4" w:space="0" w:color="auto"/>
              <w:bottom w:val="single" w:sz="4" w:space="0" w:color="auto"/>
              <w:right w:val="single" w:sz="4" w:space="0" w:color="auto"/>
            </w:tcBorders>
            <w:shd w:val="clear" w:color="000000" w:fill="6A95CB"/>
            <w:noWrap/>
            <w:vAlign w:val="center"/>
            <w:hideMark/>
          </w:tcPr>
          <w:p w14:paraId="36540349"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2,5%</w:t>
            </w:r>
          </w:p>
        </w:tc>
        <w:tc>
          <w:tcPr>
            <w:tcW w:w="0" w:type="auto"/>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500ED61E" w14:textId="77777777" w:rsidR="007175FE" w:rsidRPr="004E2549" w:rsidRDefault="007175FE" w:rsidP="000C49A5">
            <w:pPr>
              <w:keepNext/>
              <w:jc w:val="right"/>
              <w:rPr>
                <w:rFonts w:ascii="Calibri" w:eastAsia="Times New Roman" w:hAnsi="Calibri" w:cs="Calibri"/>
                <w:color w:val="000000"/>
                <w:sz w:val="18"/>
                <w:szCs w:val="18"/>
                <w:lang w:eastAsia="cs-CZ"/>
              </w:rPr>
            </w:pPr>
            <w:r w:rsidRPr="003D492B">
              <w:rPr>
                <w:sz w:val="18"/>
              </w:rPr>
              <w:t>1,4%</w:t>
            </w:r>
          </w:p>
        </w:tc>
        <w:tc>
          <w:tcPr>
            <w:tcW w:w="0" w:type="auto"/>
            <w:tcBorders>
              <w:top w:val="single" w:sz="4" w:space="0" w:color="auto"/>
              <w:left w:val="single" w:sz="4" w:space="0" w:color="auto"/>
              <w:bottom w:val="single" w:sz="4" w:space="0" w:color="auto"/>
              <w:right w:val="single" w:sz="4" w:space="0" w:color="auto"/>
            </w:tcBorders>
            <w:shd w:val="clear" w:color="000000" w:fill="D1DEF0"/>
            <w:noWrap/>
            <w:vAlign w:val="center"/>
            <w:hideMark/>
          </w:tcPr>
          <w:p w14:paraId="64392B7E"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9,4%</w:t>
            </w:r>
          </w:p>
        </w:tc>
        <w:tc>
          <w:tcPr>
            <w:tcW w:w="0" w:type="auto"/>
            <w:tcBorders>
              <w:top w:val="single" w:sz="4" w:space="0" w:color="auto"/>
              <w:left w:val="single" w:sz="4" w:space="0" w:color="auto"/>
              <w:bottom w:val="single" w:sz="4" w:space="0" w:color="auto"/>
              <w:right w:val="single" w:sz="4" w:space="0" w:color="auto"/>
            </w:tcBorders>
            <w:shd w:val="clear" w:color="000000" w:fill="C9D8ED"/>
            <w:noWrap/>
            <w:vAlign w:val="center"/>
            <w:hideMark/>
          </w:tcPr>
          <w:p w14:paraId="00465E83" w14:textId="77777777" w:rsidR="007175FE" w:rsidRPr="00346E56" w:rsidRDefault="007175FE" w:rsidP="000C49A5">
            <w:pPr>
              <w:keepNext/>
              <w:jc w:val="right"/>
              <w:rPr>
                <w:rFonts w:ascii="Calibri" w:eastAsia="Times New Roman" w:hAnsi="Calibri" w:cs="Calibri"/>
                <w:color w:val="000000"/>
                <w:sz w:val="18"/>
                <w:szCs w:val="18"/>
                <w:lang w:eastAsia="cs-CZ"/>
              </w:rPr>
            </w:pPr>
            <w:r w:rsidRPr="00346E56">
              <w:rPr>
                <w:rFonts w:ascii="Calibri" w:eastAsia="Times New Roman" w:hAnsi="Calibri" w:cs="Calibri"/>
                <w:color w:val="000000"/>
                <w:sz w:val="18"/>
                <w:szCs w:val="18"/>
                <w:lang w:eastAsia="cs-CZ"/>
              </w:rPr>
              <w:t>8,9%</w:t>
            </w:r>
          </w:p>
        </w:tc>
      </w:tr>
    </w:tbl>
    <w:p w14:paraId="10681D76" w14:textId="72371D15"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CA57E6">
        <w:rPr>
          <w:rFonts w:asciiTheme="minorHAnsi" w:hAnsiTheme="minorHAnsi" w:cstheme="minorHAnsi"/>
        </w:rPr>
        <w:t>;</w:t>
      </w:r>
      <w:r w:rsidRPr="00DA7ABE">
        <w:rPr>
          <w:rFonts w:asciiTheme="minorHAnsi" w:hAnsiTheme="minorHAnsi" w:cstheme="minorHAnsi"/>
        </w:rPr>
        <w:t xml:space="preserve"> Otázka 8.</w:t>
      </w:r>
      <w:r w:rsidR="00CA57E6">
        <w:rPr>
          <w:rFonts w:asciiTheme="minorHAnsi" w:hAnsiTheme="minorHAnsi" w:cstheme="minorHAnsi"/>
        </w:rPr>
        <w:t>:</w:t>
      </w:r>
      <w:r w:rsidRPr="00DA7ABE">
        <w:rPr>
          <w:rFonts w:asciiTheme="minorHAnsi" w:hAnsiTheme="minorHAnsi" w:cstheme="minorHAnsi"/>
        </w:rPr>
        <w:t xml:space="preserve"> Jak jste spokojeni se stávajícím bydlením ve Zlíně?</w:t>
      </w:r>
    </w:p>
    <w:p w14:paraId="053F019A" w14:textId="6CFF21F9" w:rsidR="007175FE" w:rsidRPr="00DA7ABE" w:rsidRDefault="007175FE" w:rsidP="007175FE">
      <w:pPr>
        <w:rPr>
          <w:rFonts w:cstheme="minorHAnsi"/>
        </w:rPr>
      </w:pPr>
      <w:r w:rsidRPr="00DA7ABE">
        <w:rPr>
          <w:rFonts w:cstheme="minorHAnsi"/>
        </w:rPr>
        <w:t xml:space="preserve">Důvody k nespokojenosti s bydlením jsou znázorněny na obrázku </w:t>
      </w:r>
      <w:r w:rsidR="003C47B2">
        <w:rPr>
          <w:rFonts w:cstheme="minorHAnsi"/>
        </w:rPr>
        <w:t>2.1</w:t>
      </w:r>
      <w:r w:rsidR="0096730F">
        <w:rPr>
          <w:rFonts w:cstheme="minorHAnsi"/>
        </w:rPr>
        <w:t>4</w:t>
      </w:r>
      <w:r w:rsidRPr="00DA7ABE">
        <w:rPr>
          <w:rFonts w:cstheme="minorHAnsi"/>
        </w:rPr>
        <w:t>, většina z nich přímo souvisí s vysokými cenami. Respondenti hodnotí, že vysoké jsou jak náklady na běžné životní potřeby, tak nemovitosti a nájmy. Oproti tomu platy jsou dle jejich hodnocení nízké nebo cenám bydlení neúměrné. Pozemky pro stavbu dále hodnotí jako nedostupné a stěžují si na byrokracii při vyřizování záležitostí s bydlením souvisejících. Nedostupné jsou dále městské byty a sociální bydlení, je málo bytů pro mladé a</w:t>
      </w:r>
      <w:r w:rsidR="00CA57E6">
        <w:rPr>
          <w:rFonts w:cstheme="minorHAnsi"/>
        </w:rPr>
        <w:t> </w:t>
      </w:r>
      <w:r w:rsidRPr="00DA7ABE">
        <w:rPr>
          <w:rFonts w:cstheme="minorHAnsi"/>
        </w:rPr>
        <w:t>seniory.</w:t>
      </w:r>
    </w:p>
    <w:p w14:paraId="5D2D1A3B" w14:textId="07C24E01" w:rsidR="007175FE" w:rsidRPr="00DA7ABE" w:rsidRDefault="007175FE" w:rsidP="007175FE">
      <w:pPr>
        <w:rPr>
          <w:rFonts w:cstheme="minorHAnsi"/>
        </w:rPr>
      </w:pPr>
      <w:r w:rsidRPr="00DA7ABE">
        <w:rPr>
          <w:rFonts w:cstheme="minorHAnsi"/>
        </w:rPr>
        <w:t xml:space="preserve">Velká část </w:t>
      </w:r>
      <w:r>
        <w:rPr>
          <w:rFonts w:cstheme="minorHAnsi"/>
        </w:rPr>
        <w:t xml:space="preserve">respondentů </w:t>
      </w:r>
      <w:r w:rsidRPr="00DA7ABE">
        <w:rPr>
          <w:rFonts w:cstheme="minorHAnsi"/>
        </w:rPr>
        <w:t xml:space="preserve">je nespokojena s vysokou hladinou hluku ze silniční a vlakové dopravy, z pořádaných akcí a z přilehlých restauračních zařízení. Objevovala se i další negativa spojená s dopravou, konkrétně její vysoká intenzita a špatný stav či řešení komunikací, prašnost i otřesy způsobované těžkými vozidly. Osm respondentů uvedlo, že jejich bydlení pro ně není vhodné, protože nemají kam chodit venčit své psy </w:t>
      </w:r>
      <w:r>
        <w:rPr>
          <w:rFonts w:cstheme="minorHAnsi"/>
        </w:rPr>
        <w:t xml:space="preserve">/ vadí jim psí vyhláška, </w:t>
      </w:r>
      <w:r w:rsidRPr="00DA7ABE">
        <w:rPr>
          <w:rFonts w:cstheme="minorHAnsi"/>
        </w:rPr>
        <w:t>a sedm respondentů popsalo problémy souvisejíc</w:t>
      </w:r>
      <w:r w:rsidR="005668E1">
        <w:rPr>
          <w:rFonts w:cstheme="minorHAnsi"/>
        </w:rPr>
        <w:t>í s bydlením v památkové zóně (b</w:t>
      </w:r>
      <w:r w:rsidRPr="00DA7ABE">
        <w:rPr>
          <w:rFonts w:cstheme="minorHAnsi"/>
        </w:rPr>
        <w:t>aťov</w:t>
      </w:r>
      <w:r w:rsidR="005668E1">
        <w:rPr>
          <w:rFonts w:cstheme="minorHAnsi"/>
        </w:rPr>
        <w:t>ské</w:t>
      </w:r>
      <w:r w:rsidRPr="00DA7ABE">
        <w:rPr>
          <w:rFonts w:cstheme="minorHAnsi"/>
        </w:rPr>
        <w:t xml:space="preserve"> domky), kde zmiňovali restrikce a zvýšené náklady u</w:t>
      </w:r>
      <w:r w:rsidR="00CA57E6">
        <w:rPr>
          <w:rFonts w:cstheme="minorHAnsi"/>
        </w:rPr>
        <w:t> </w:t>
      </w:r>
      <w:r w:rsidRPr="00DA7ABE">
        <w:rPr>
          <w:rFonts w:cstheme="minorHAnsi"/>
        </w:rPr>
        <w:t>renovací, staré rozvodové sítě a nefungující koncept komunitních zahrádek.</w:t>
      </w:r>
    </w:p>
    <w:p w14:paraId="2654267F" w14:textId="489B85A6" w:rsidR="007175FE" w:rsidRPr="003D492B" w:rsidRDefault="007175FE" w:rsidP="007175FE">
      <w:pPr>
        <w:pStyle w:val="Titulek"/>
        <w:keepNext/>
        <w:rPr>
          <w:rFonts w:cstheme="minorHAnsi"/>
        </w:rPr>
      </w:pPr>
      <w:bookmarkStart w:id="644" w:name="_Toc54702787"/>
      <w:bookmarkStart w:id="645" w:name="_Toc56179593"/>
      <w:bookmarkStart w:id="646" w:name="_Toc77074935"/>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14</w:t>
      </w:r>
      <w:r w:rsidR="0096730F">
        <w:rPr>
          <w:rFonts w:cstheme="minorHAnsi"/>
        </w:rPr>
        <w:fldChar w:fldCharType="end"/>
      </w:r>
      <w:r w:rsidR="00CA57E6">
        <w:rPr>
          <w:rFonts w:cstheme="minorHAnsi"/>
        </w:rPr>
        <w:t>:</w:t>
      </w:r>
      <w:r w:rsidRPr="00DA7ABE">
        <w:rPr>
          <w:rFonts w:cstheme="minorHAnsi"/>
        </w:rPr>
        <w:t xml:space="preserve"> Důvody nespokojenosti s bydlením ve Zlíně</w:t>
      </w:r>
      <w:bookmarkEnd w:id="644"/>
      <w:bookmarkEnd w:id="645"/>
      <w:bookmarkEnd w:id="646"/>
    </w:p>
    <w:p w14:paraId="0555A08B" w14:textId="77777777" w:rsidR="007175FE" w:rsidRDefault="007175FE" w:rsidP="007175FE">
      <w:pPr>
        <w:rPr>
          <w:rFonts w:cstheme="minorHAnsi"/>
        </w:rPr>
      </w:pPr>
      <w:r w:rsidRPr="004E3884">
        <w:rPr>
          <w:rFonts w:cstheme="minorHAnsi"/>
          <w:noProof/>
          <w:lang w:eastAsia="cs-CZ"/>
        </w:rPr>
        <w:drawing>
          <wp:inline distT="0" distB="0" distL="0" distR="0" wp14:anchorId="314C3EB8" wp14:editId="550EE545">
            <wp:extent cx="5760720" cy="4320540"/>
            <wp:effectExtent l="114300" t="114300" r="163830" b="175260"/>
            <wp:docPr id="362" name="Obrázek 362" descr="C:\Users\MARTIN~1\AppData\Local\Temp\wordcloud_8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1\AppData\Local\Temp\wordcloud_8_v2.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w="76200">
                      <a:solidFill>
                        <a:schemeClr val="bg1"/>
                      </a:solidFill>
                    </a:ln>
                    <a:effectLst>
                      <a:outerShdw blurRad="50800" dist="38100" dir="2700000" algn="tl" rotWithShape="0">
                        <a:prstClr val="black">
                          <a:alpha val="40000"/>
                        </a:prstClr>
                      </a:outerShdw>
                    </a:effectLst>
                  </pic:spPr>
                </pic:pic>
              </a:graphicData>
            </a:graphic>
          </wp:inline>
        </w:drawing>
      </w:r>
    </w:p>
    <w:p w14:paraId="40FCB622" w14:textId="3D2D327D" w:rsidR="007175FE" w:rsidRPr="00DA7AB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CA57E6">
        <w:rPr>
          <w:rFonts w:asciiTheme="minorHAnsi" w:hAnsiTheme="minorHAnsi" w:cstheme="minorHAnsi"/>
        </w:rPr>
        <w:t>;</w:t>
      </w:r>
      <w:r w:rsidRPr="00DA7ABE">
        <w:rPr>
          <w:rFonts w:asciiTheme="minorHAnsi" w:hAnsiTheme="minorHAnsi" w:cstheme="minorHAnsi"/>
        </w:rPr>
        <w:t xml:space="preserve"> Otázka 8a.</w:t>
      </w:r>
      <w:r w:rsidR="00CA57E6">
        <w:rPr>
          <w:rFonts w:asciiTheme="minorHAnsi" w:hAnsiTheme="minorHAnsi" w:cstheme="minorHAnsi"/>
        </w:rPr>
        <w:t>:</w:t>
      </w:r>
      <w:r w:rsidRPr="00DA7ABE">
        <w:rPr>
          <w:rFonts w:asciiTheme="minorHAnsi" w:hAnsiTheme="minorHAnsi" w:cstheme="minorHAnsi"/>
        </w:rPr>
        <w:t xml:space="preserve"> Pokud jste nespokojen se stávajícím bydlením ve Zlíně, uveďte, proč.</w:t>
      </w:r>
      <w:r w:rsidRPr="00DA7ABE">
        <w:rPr>
          <w:rFonts w:asciiTheme="minorHAnsi" w:hAnsiTheme="minorHAnsi" w:cstheme="minorHAnsi"/>
        </w:rPr>
        <w:b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w:t>
      </w:r>
    </w:p>
    <w:p w14:paraId="39E414B0" w14:textId="4A959010" w:rsidR="007175FE" w:rsidRPr="00DA7ABE" w:rsidRDefault="007175FE" w:rsidP="007175FE">
      <w:pPr>
        <w:pStyle w:val="Titulek"/>
        <w:keepNext/>
        <w:keepLines/>
        <w:rPr>
          <w:rFonts w:cstheme="minorHAnsi"/>
        </w:rPr>
      </w:pPr>
      <w:bookmarkStart w:id="647" w:name="_Toc54702627"/>
      <w:bookmarkStart w:id="648" w:name="_Toc56179434"/>
      <w:bookmarkStart w:id="649" w:name="_Toc57731792"/>
      <w:bookmarkStart w:id="650" w:name="_Toc77074776"/>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13</w:t>
      </w:r>
      <w:r w:rsidR="00DC277C">
        <w:rPr>
          <w:rFonts w:cstheme="minorHAnsi"/>
        </w:rPr>
        <w:fldChar w:fldCharType="end"/>
      </w:r>
      <w:r w:rsidR="00CA57E6">
        <w:rPr>
          <w:rFonts w:cstheme="minorHAnsi"/>
        </w:rPr>
        <w:t>:</w:t>
      </w:r>
      <w:r w:rsidRPr="00DA7ABE">
        <w:rPr>
          <w:rFonts w:cstheme="minorHAnsi"/>
        </w:rPr>
        <w:t xml:space="preserve"> Důvody nespokojenosti s bydlením ve Zlíně – 20 nejčastějších odpovědí</w:t>
      </w:r>
      <w:bookmarkEnd w:id="647"/>
      <w:bookmarkEnd w:id="648"/>
      <w:bookmarkEnd w:id="649"/>
      <w:bookmarkEnd w:id="650"/>
    </w:p>
    <w:tbl>
      <w:tblPr>
        <w:tblW w:w="5000" w:type="pct"/>
        <w:tblLayout w:type="fixed"/>
        <w:tblCellMar>
          <w:left w:w="70" w:type="dxa"/>
          <w:right w:w="70" w:type="dxa"/>
        </w:tblCellMar>
        <w:tblLook w:val="04A0" w:firstRow="1" w:lastRow="0" w:firstColumn="1" w:lastColumn="0" w:noHBand="0" w:noVBand="1"/>
      </w:tblPr>
      <w:tblGrid>
        <w:gridCol w:w="421"/>
        <w:gridCol w:w="2411"/>
        <w:gridCol w:w="1705"/>
        <w:gridCol w:w="424"/>
        <w:gridCol w:w="2548"/>
        <w:gridCol w:w="1553"/>
      </w:tblGrid>
      <w:tr w:rsidR="007175FE" w:rsidRPr="00DA7ABE" w14:paraId="0A71FF2F" w14:textId="77777777" w:rsidTr="000C49A5">
        <w:trPr>
          <w:trHeight w:val="283"/>
        </w:trPr>
        <w:tc>
          <w:tcPr>
            <w:tcW w:w="23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DFA71B6" w14:textId="77777777" w:rsidR="007175FE" w:rsidRPr="00DA7ABE" w:rsidRDefault="007175FE" w:rsidP="007175FE">
            <w:pPr>
              <w:keepNext/>
              <w:spacing w:before="0"/>
              <w:rPr>
                <w:rFonts w:cstheme="minorHAnsi"/>
                <w:b/>
                <w:bCs/>
                <w:color w:val="000000"/>
                <w:sz w:val="18"/>
                <w:szCs w:val="18"/>
              </w:rPr>
            </w:pPr>
            <w:r w:rsidRPr="00DA7ABE">
              <w:rPr>
                <w:rFonts w:cstheme="minorHAnsi"/>
                <w:b/>
                <w:bCs/>
                <w:color w:val="000000"/>
                <w:sz w:val="18"/>
                <w:szCs w:val="18"/>
              </w:rPr>
              <w:t>#</w:t>
            </w:r>
          </w:p>
        </w:tc>
        <w:tc>
          <w:tcPr>
            <w:tcW w:w="1330" w:type="pct"/>
            <w:tcBorders>
              <w:top w:val="single" w:sz="4" w:space="0" w:color="auto"/>
              <w:left w:val="nil"/>
              <w:bottom w:val="single" w:sz="4" w:space="0" w:color="auto"/>
              <w:right w:val="single" w:sz="4" w:space="0" w:color="auto"/>
            </w:tcBorders>
            <w:shd w:val="clear" w:color="000000" w:fill="F2F2F2"/>
            <w:noWrap/>
            <w:vAlign w:val="center"/>
            <w:hideMark/>
          </w:tcPr>
          <w:p w14:paraId="0BE941CA" w14:textId="77777777" w:rsidR="007175FE" w:rsidRPr="00DA7ABE" w:rsidRDefault="007175FE" w:rsidP="007175FE">
            <w:pPr>
              <w:keepNext/>
              <w:spacing w:before="0"/>
              <w:rPr>
                <w:rFonts w:cstheme="minorHAnsi"/>
                <w:b/>
                <w:bCs/>
                <w:color w:val="000000"/>
                <w:sz w:val="18"/>
                <w:szCs w:val="18"/>
              </w:rPr>
            </w:pPr>
            <w:r w:rsidRPr="00DA7ABE">
              <w:rPr>
                <w:rFonts w:cstheme="minorHAnsi"/>
                <w:b/>
                <w:bCs/>
                <w:color w:val="000000"/>
                <w:sz w:val="18"/>
                <w:szCs w:val="18"/>
              </w:rPr>
              <w:t>Proč jste nespokojen/a</w:t>
            </w:r>
          </w:p>
        </w:tc>
        <w:tc>
          <w:tcPr>
            <w:tcW w:w="940" w:type="pct"/>
            <w:tcBorders>
              <w:top w:val="single" w:sz="4" w:space="0" w:color="auto"/>
              <w:left w:val="nil"/>
              <w:bottom w:val="single" w:sz="4" w:space="0" w:color="auto"/>
              <w:right w:val="single" w:sz="4" w:space="0" w:color="auto"/>
            </w:tcBorders>
            <w:shd w:val="clear" w:color="000000" w:fill="F2F2F2"/>
            <w:noWrap/>
            <w:vAlign w:val="center"/>
            <w:hideMark/>
          </w:tcPr>
          <w:p w14:paraId="0E8DA0CD" w14:textId="77777777" w:rsidR="007175FE" w:rsidRPr="00DA7ABE" w:rsidRDefault="007175FE" w:rsidP="007175FE">
            <w:pPr>
              <w:keepNext/>
              <w:spacing w:before="0"/>
              <w:rPr>
                <w:rFonts w:cstheme="minorHAnsi"/>
                <w:b/>
                <w:bCs/>
                <w:color w:val="000000"/>
                <w:sz w:val="18"/>
                <w:szCs w:val="18"/>
              </w:rPr>
            </w:pPr>
            <w:r w:rsidRPr="00DA7ABE">
              <w:rPr>
                <w:rFonts w:cstheme="minorHAnsi"/>
                <w:b/>
                <w:bCs/>
                <w:color w:val="000000"/>
                <w:sz w:val="18"/>
                <w:szCs w:val="18"/>
              </w:rPr>
              <w:t>Počet respondentů</w:t>
            </w:r>
          </w:p>
        </w:tc>
        <w:tc>
          <w:tcPr>
            <w:tcW w:w="234" w:type="pct"/>
            <w:tcBorders>
              <w:top w:val="single" w:sz="4" w:space="0" w:color="auto"/>
              <w:left w:val="nil"/>
              <w:bottom w:val="single" w:sz="4" w:space="0" w:color="auto"/>
              <w:right w:val="single" w:sz="4" w:space="0" w:color="auto"/>
            </w:tcBorders>
            <w:shd w:val="clear" w:color="000000" w:fill="F2F2F2"/>
            <w:vAlign w:val="center"/>
            <w:hideMark/>
          </w:tcPr>
          <w:p w14:paraId="6A5E97B6" w14:textId="77777777" w:rsidR="007175FE" w:rsidRPr="00DA7ABE" w:rsidRDefault="007175FE" w:rsidP="007175FE">
            <w:pPr>
              <w:keepNext/>
              <w:spacing w:before="0"/>
              <w:rPr>
                <w:rFonts w:cstheme="minorHAnsi"/>
                <w:b/>
                <w:bCs/>
                <w:color w:val="000000"/>
                <w:sz w:val="18"/>
                <w:szCs w:val="18"/>
              </w:rPr>
            </w:pPr>
            <w:r w:rsidRPr="00DA7ABE">
              <w:rPr>
                <w:rFonts w:cstheme="minorHAnsi"/>
                <w:b/>
                <w:bCs/>
                <w:color w:val="000000"/>
                <w:sz w:val="18"/>
                <w:szCs w:val="18"/>
              </w:rPr>
              <w:t>#</w:t>
            </w:r>
          </w:p>
        </w:tc>
        <w:tc>
          <w:tcPr>
            <w:tcW w:w="1406" w:type="pct"/>
            <w:tcBorders>
              <w:top w:val="single" w:sz="4" w:space="0" w:color="auto"/>
              <w:left w:val="nil"/>
              <w:bottom w:val="single" w:sz="4" w:space="0" w:color="auto"/>
              <w:right w:val="single" w:sz="4" w:space="0" w:color="auto"/>
            </w:tcBorders>
            <w:shd w:val="clear" w:color="000000" w:fill="F2F2F2"/>
            <w:noWrap/>
            <w:vAlign w:val="center"/>
            <w:hideMark/>
          </w:tcPr>
          <w:p w14:paraId="49EF06A5" w14:textId="77777777" w:rsidR="007175FE" w:rsidRPr="00DA7ABE" w:rsidRDefault="007175FE" w:rsidP="007175FE">
            <w:pPr>
              <w:keepNext/>
              <w:spacing w:before="0"/>
              <w:rPr>
                <w:rFonts w:cstheme="minorHAnsi"/>
                <w:b/>
                <w:bCs/>
                <w:color w:val="000000"/>
                <w:sz w:val="18"/>
                <w:szCs w:val="18"/>
              </w:rPr>
            </w:pPr>
            <w:r w:rsidRPr="00DA7ABE">
              <w:rPr>
                <w:rFonts w:cstheme="minorHAnsi"/>
                <w:b/>
                <w:bCs/>
                <w:color w:val="000000"/>
                <w:sz w:val="18"/>
                <w:szCs w:val="18"/>
              </w:rPr>
              <w:t>Proč jste nespokojen/a</w:t>
            </w:r>
          </w:p>
        </w:tc>
        <w:tc>
          <w:tcPr>
            <w:tcW w:w="857" w:type="pct"/>
            <w:tcBorders>
              <w:top w:val="single" w:sz="4" w:space="0" w:color="auto"/>
              <w:left w:val="nil"/>
              <w:bottom w:val="single" w:sz="4" w:space="0" w:color="auto"/>
              <w:right w:val="single" w:sz="4" w:space="0" w:color="auto"/>
            </w:tcBorders>
            <w:shd w:val="clear" w:color="000000" w:fill="F2F2F2"/>
            <w:noWrap/>
            <w:vAlign w:val="center"/>
            <w:hideMark/>
          </w:tcPr>
          <w:p w14:paraId="71DEC680" w14:textId="77777777" w:rsidR="007175FE" w:rsidRPr="00DA7ABE" w:rsidRDefault="007175FE" w:rsidP="007175FE">
            <w:pPr>
              <w:keepNext/>
              <w:spacing w:before="0"/>
              <w:rPr>
                <w:rFonts w:cstheme="minorHAnsi"/>
                <w:b/>
                <w:bCs/>
                <w:color w:val="000000"/>
                <w:sz w:val="18"/>
                <w:szCs w:val="18"/>
              </w:rPr>
            </w:pPr>
            <w:r w:rsidRPr="00DA7ABE">
              <w:rPr>
                <w:rFonts w:cstheme="minorHAnsi"/>
                <w:b/>
                <w:bCs/>
                <w:color w:val="000000"/>
                <w:sz w:val="18"/>
                <w:szCs w:val="18"/>
              </w:rPr>
              <w:t>Počet respondentů</w:t>
            </w:r>
          </w:p>
        </w:tc>
      </w:tr>
      <w:tr w:rsidR="007175FE" w:rsidRPr="00DA7ABE" w14:paraId="126900D4"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2576A17"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w:t>
            </w:r>
          </w:p>
        </w:tc>
        <w:tc>
          <w:tcPr>
            <w:tcW w:w="1330" w:type="pct"/>
            <w:tcBorders>
              <w:top w:val="single" w:sz="4" w:space="0" w:color="auto"/>
              <w:left w:val="single" w:sz="4" w:space="0" w:color="auto"/>
              <w:bottom w:val="single" w:sz="4" w:space="0" w:color="auto"/>
              <w:right w:val="single" w:sz="4" w:space="0" w:color="auto"/>
            </w:tcBorders>
            <w:shd w:val="clear" w:color="000000" w:fill="F2F2F2"/>
            <w:noWrap/>
            <w:vAlign w:val="bottom"/>
          </w:tcPr>
          <w:p w14:paraId="7E8DE126"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Málo bytů</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403651E"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68</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4B028C"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11</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5AD75C0"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Nízké mzdy</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A8B05C5"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8</w:t>
            </w:r>
          </w:p>
        </w:tc>
      </w:tr>
      <w:tr w:rsidR="007175FE" w:rsidRPr="00DA7ABE" w14:paraId="7E9F4FC3"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61518993"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2</w:t>
            </w:r>
          </w:p>
        </w:tc>
        <w:tc>
          <w:tcPr>
            <w:tcW w:w="1330" w:type="pct"/>
            <w:tcBorders>
              <w:top w:val="single" w:sz="4" w:space="0" w:color="auto"/>
              <w:left w:val="single" w:sz="4" w:space="0" w:color="auto"/>
              <w:bottom w:val="single" w:sz="4" w:space="0" w:color="auto"/>
              <w:right w:val="single" w:sz="4" w:space="0" w:color="auto"/>
            </w:tcBorders>
            <w:shd w:val="clear" w:color="000000" w:fill="F2F2F2"/>
            <w:noWrap/>
            <w:vAlign w:val="bottom"/>
          </w:tcPr>
          <w:p w14:paraId="1017ADF6"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Drahé nemovitosti</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7797CDF"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48</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AB8744C"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12</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1522FB2"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Prach</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8FCA053"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8</w:t>
            </w:r>
          </w:p>
        </w:tc>
      </w:tr>
      <w:tr w:rsidR="007175FE" w:rsidRPr="00DA7ABE" w14:paraId="7C4AD627"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0C3F436"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3</w:t>
            </w:r>
          </w:p>
        </w:tc>
        <w:tc>
          <w:tcPr>
            <w:tcW w:w="1330" w:type="pct"/>
            <w:tcBorders>
              <w:top w:val="single" w:sz="4" w:space="0" w:color="auto"/>
              <w:left w:val="nil"/>
              <w:bottom w:val="single" w:sz="4" w:space="0" w:color="auto"/>
              <w:right w:val="single" w:sz="4" w:space="0" w:color="auto"/>
            </w:tcBorders>
            <w:shd w:val="clear" w:color="000000" w:fill="F2F2F2"/>
            <w:noWrap/>
            <w:vAlign w:val="bottom"/>
          </w:tcPr>
          <w:p w14:paraId="387C8592"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Drahé nájmy</w:t>
            </w:r>
          </w:p>
        </w:tc>
        <w:tc>
          <w:tcPr>
            <w:tcW w:w="940" w:type="pct"/>
            <w:tcBorders>
              <w:top w:val="single" w:sz="4" w:space="0" w:color="auto"/>
              <w:left w:val="nil"/>
              <w:bottom w:val="single" w:sz="4" w:space="0" w:color="auto"/>
              <w:right w:val="single" w:sz="4" w:space="0" w:color="auto"/>
            </w:tcBorders>
            <w:shd w:val="clear" w:color="auto" w:fill="auto"/>
            <w:noWrap/>
            <w:vAlign w:val="bottom"/>
          </w:tcPr>
          <w:p w14:paraId="1C1D1698"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45</w:t>
            </w:r>
          </w:p>
        </w:tc>
        <w:tc>
          <w:tcPr>
            <w:tcW w:w="234" w:type="pct"/>
            <w:tcBorders>
              <w:top w:val="single" w:sz="4" w:space="0" w:color="auto"/>
              <w:left w:val="nil"/>
              <w:bottom w:val="single" w:sz="4" w:space="0" w:color="auto"/>
              <w:right w:val="single" w:sz="4" w:space="0" w:color="auto"/>
            </w:tcBorders>
            <w:shd w:val="clear" w:color="000000" w:fill="F2F2F2"/>
            <w:noWrap/>
            <w:vAlign w:val="bottom"/>
            <w:hideMark/>
          </w:tcPr>
          <w:p w14:paraId="22F895EB"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13</w:t>
            </w:r>
          </w:p>
        </w:tc>
        <w:tc>
          <w:tcPr>
            <w:tcW w:w="1406" w:type="pct"/>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59C23E6"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Vyhláška o psech</w:t>
            </w:r>
          </w:p>
        </w:tc>
        <w:tc>
          <w:tcPr>
            <w:tcW w:w="857" w:type="pct"/>
            <w:tcBorders>
              <w:top w:val="single" w:sz="4" w:space="0" w:color="auto"/>
              <w:left w:val="nil"/>
              <w:bottom w:val="single" w:sz="4" w:space="0" w:color="auto"/>
              <w:right w:val="single" w:sz="4" w:space="0" w:color="auto"/>
            </w:tcBorders>
            <w:shd w:val="clear" w:color="auto" w:fill="auto"/>
            <w:noWrap/>
            <w:vAlign w:val="bottom"/>
          </w:tcPr>
          <w:p w14:paraId="421A0BFE"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8</w:t>
            </w:r>
          </w:p>
        </w:tc>
      </w:tr>
      <w:tr w:rsidR="007175FE" w:rsidRPr="00DA7ABE" w14:paraId="776D9D25"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E068FED"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4</w:t>
            </w:r>
          </w:p>
        </w:tc>
        <w:tc>
          <w:tcPr>
            <w:tcW w:w="1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CCC5762"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Drahé</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6410DBE"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37</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8B8DBE9"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14</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6D941BA"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Infrastruktura</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7BB4C5E"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8</w:t>
            </w:r>
          </w:p>
        </w:tc>
      </w:tr>
      <w:tr w:rsidR="007175FE" w:rsidRPr="00DA7ABE" w14:paraId="237CAAE4"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3327CF7"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5</w:t>
            </w:r>
          </w:p>
        </w:tc>
        <w:tc>
          <w:tcPr>
            <w:tcW w:w="1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2F0F88F"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Parkování</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17C3DD8"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30</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65D74A4"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15</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A509B03"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Drahé pozemky</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15776FD"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7</w:t>
            </w:r>
          </w:p>
        </w:tc>
      </w:tr>
      <w:tr w:rsidR="007175FE" w:rsidRPr="00DA7ABE" w14:paraId="0FF166EC"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0B4C4A6"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6</w:t>
            </w:r>
          </w:p>
        </w:tc>
        <w:tc>
          <w:tcPr>
            <w:tcW w:w="1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1E8C349"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Hluk</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989D17"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27</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ECF4AF7"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16</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17BD286"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Sousedé</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64854FE"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7</w:t>
            </w:r>
          </w:p>
        </w:tc>
      </w:tr>
      <w:tr w:rsidR="007175FE" w:rsidRPr="00DA7ABE" w14:paraId="3758503E"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B062C9F"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7</w:t>
            </w:r>
          </w:p>
        </w:tc>
        <w:tc>
          <w:tcPr>
            <w:tcW w:w="1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6EAB523"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Hustá doprava</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33F6B4"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14</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58C1BF3"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17</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B191AD5"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Péče o zeleň</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D274A41"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7</w:t>
            </w:r>
          </w:p>
        </w:tc>
      </w:tr>
      <w:tr w:rsidR="007175FE" w:rsidRPr="00DA7ABE" w14:paraId="2A48B5FA"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20B2FF1"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8</w:t>
            </w:r>
          </w:p>
        </w:tc>
        <w:tc>
          <w:tcPr>
            <w:tcW w:w="1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23B0D17"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Neúměrné mzdy</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E71EB57"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11</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35E6D73"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18</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899D6EE"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Špatná kvalita nemovitostí</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D72F92"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7</w:t>
            </w:r>
          </w:p>
        </w:tc>
      </w:tr>
      <w:tr w:rsidR="007175FE" w:rsidRPr="00DA7ABE" w14:paraId="3A6BE544"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27A0BAA"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9</w:t>
            </w:r>
          </w:p>
        </w:tc>
        <w:tc>
          <w:tcPr>
            <w:tcW w:w="1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F1E5C69"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Málo stav. pozemků</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ACC1850"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10</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2CD8BAD"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19</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2746B26"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Památková zóna</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73F8205"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7</w:t>
            </w:r>
          </w:p>
        </w:tc>
      </w:tr>
      <w:tr w:rsidR="007175FE" w:rsidRPr="00DA7ABE" w14:paraId="0E7D1F1F" w14:textId="77777777" w:rsidTr="000C49A5">
        <w:trPr>
          <w:trHeight w:hRule="exact" w:val="284"/>
        </w:trPr>
        <w:tc>
          <w:tcPr>
            <w:tcW w:w="232"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847274F"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10</w:t>
            </w:r>
          </w:p>
        </w:tc>
        <w:tc>
          <w:tcPr>
            <w:tcW w:w="1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CBBF816"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Špatný stav komunikací</w:t>
            </w:r>
          </w:p>
        </w:tc>
        <w:tc>
          <w:tcPr>
            <w:tcW w:w="9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2293D89"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10</w:t>
            </w:r>
          </w:p>
        </w:tc>
        <w:tc>
          <w:tcPr>
            <w:tcW w:w="234"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32A6691"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20</w:t>
            </w:r>
          </w:p>
        </w:tc>
        <w:tc>
          <w:tcPr>
            <w:tcW w:w="1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CADB28D" w14:textId="77777777" w:rsidR="007175FE" w:rsidRPr="003D492B" w:rsidRDefault="007175FE" w:rsidP="007175FE">
            <w:pPr>
              <w:keepNext/>
              <w:spacing w:before="0"/>
              <w:rPr>
                <w:rFonts w:cstheme="minorHAnsi"/>
                <w:b/>
                <w:color w:val="000000"/>
                <w:sz w:val="18"/>
                <w:szCs w:val="18"/>
              </w:rPr>
            </w:pPr>
            <w:r w:rsidRPr="003D492B">
              <w:rPr>
                <w:rFonts w:cstheme="minorHAnsi"/>
                <w:b/>
                <w:color w:val="000000"/>
                <w:sz w:val="18"/>
                <w:szCs w:val="18"/>
              </w:rPr>
              <w:t>Špatné řešení komunikací</w:t>
            </w:r>
          </w:p>
        </w:tc>
        <w:tc>
          <w:tcPr>
            <w:tcW w:w="8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EA797F3" w14:textId="77777777" w:rsidR="007175FE" w:rsidRPr="003D492B" w:rsidRDefault="007175FE" w:rsidP="007175FE">
            <w:pPr>
              <w:keepNext/>
              <w:spacing w:before="0"/>
              <w:rPr>
                <w:rFonts w:cstheme="minorHAnsi"/>
                <w:color w:val="000000"/>
                <w:sz w:val="18"/>
                <w:szCs w:val="18"/>
              </w:rPr>
            </w:pPr>
            <w:r w:rsidRPr="003D492B">
              <w:rPr>
                <w:rFonts w:cstheme="minorHAnsi"/>
                <w:color w:val="000000"/>
                <w:sz w:val="18"/>
                <w:szCs w:val="18"/>
              </w:rPr>
              <w:t>6</w:t>
            </w:r>
          </w:p>
        </w:tc>
      </w:tr>
    </w:tbl>
    <w:p w14:paraId="711F9391" w14:textId="36026D40"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CA57E6">
        <w:rPr>
          <w:rFonts w:asciiTheme="minorHAnsi" w:hAnsiTheme="minorHAnsi" w:cstheme="minorHAnsi"/>
        </w:rPr>
        <w:t>;</w:t>
      </w:r>
      <w:r w:rsidRPr="00DA7ABE">
        <w:rPr>
          <w:rFonts w:asciiTheme="minorHAnsi" w:hAnsiTheme="minorHAnsi" w:cstheme="minorHAnsi"/>
        </w:rPr>
        <w:t xml:space="preserve"> Otázka 8a.</w:t>
      </w:r>
      <w:r w:rsidR="00CA57E6">
        <w:rPr>
          <w:rFonts w:asciiTheme="minorHAnsi" w:hAnsiTheme="minorHAnsi" w:cstheme="minorHAnsi"/>
        </w:rPr>
        <w:t>:</w:t>
      </w:r>
      <w:r w:rsidRPr="00DA7ABE">
        <w:rPr>
          <w:rFonts w:asciiTheme="minorHAnsi" w:hAnsiTheme="minorHAnsi" w:cstheme="minorHAnsi"/>
        </w:rPr>
        <w:t xml:space="preserve"> Pokud jste nespokojen se stávajícím bydlením</w:t>
      </w:r>
      <w:r>
        <w:rPr>
          <w:rFonts w:asciiTheme="minorHAnsi" w:hAnsiTheme="minorHAnsi" w:cstheme="minorHAnsi"/>
        </w:rPr>
        <w:t> </w:t>
      </w:r>
      <w:r w:rsidRPr="00DA7ABE">
        <w:rPr>
          <w:rFonts w:asciiTheme="minorHAnsi" w:hAnsiTheme="minorHAnsi" w:cstheme="minorHAnsi"/>
        </w:rPr>
        <w:t>ve</w:t>
      </w:r>
      <w:r>
        <w:rPr>
          <w:rFonts w:asciiTheme="minorHAnsi" w:hAnsiTheme="minorHAnsi" w:cstheme="minorHAnsi"/>
        </w:rPr>
        <w:t> </w:t>
      </w:r>
      <w:r w:rsidRPr="00DA7ABE">
        <w:rPr>
          <w:rFonts w:asciiTheme="minorHAnsi" w:hAnsiTheme="minorHAnsi" w:cstheme="minorHAnsi"/>
        </w:rPr>
        <w:t>Zlíně,</w:t>
      </w:r>
      <w:r>
        <w:rPr>
          <w:rFonts w:asciiTheme="minorHAnsi" w:hAnsiTheme="minorHAnsi" w:cstheme="minorHAnsi"/>
        </w:rPr>
        <w:t> </w:t>
      </w:r>
      <w:r w:rsidRPr="00DA7ABE">
        <w:rPr>
          <w:rFonts w:asciiTheme="minorHAnsi" w:hAnsiTheme="minorHAnsi" w:cstheme="minorHAnsi"/>
        </w:rPr>
        <w:t>uveďte,</w:t>
      </w:r>
      <w:r>
        <w:rPr>
          <w:rFonts w:asciiTheme="minorHAnsi" w:hAnsiTheme="minorHAnsi" w:cstheme="minorHAnsi"/>
        </w:rPr>
        <w:t> </w:t>
      </w:r>
      <w:r w:rsidRPr="00DA7ABE">
        <w:rPr>
          <w:rFonts w:asciiTheme="minorHAnsi" w:hAnsiTheme="minorHAnsi" w:cstheme="minorHAnsi"/>
        </w:rPr>
        <w:t>proč.</w:t>
      </w:r>
      <w:r>
        <w:rPr>
          <w:rFonts w:asciiTheme="minorHAnsi" w:hAnsiTheme="minorHAnsi" w:cstheme="minorHAnsi"/>
        </w:rPr>
        <w:br/>
        <w:t>Pozn.: V kategorii „Málo bytů“ jsou započítány tyto typy odpovědí: málo bytů (všeobecně – 23), bydlení pro mladé (24), neodstupné městské byty (11), málo nových bytů (4), nedostatek velkých m. bytů (2), nedostatek velkých bytů (2), byty pro seniory (2).</w:t>
      </w:r>
    </w:p>
    <w:p w14:paraId="636D216D" w14:textId="77777777" w:rsidR="007175FE" w:rsidRDefault="007175FE" w:rsidP="007175FE">
      <w:pPr>
        <w:pStyle w:val="Nadpis3"/>
      </w:pPr>
      <w:bookmarkStart w:id="651" w:name="_Toc50116472"/>
      <w:bookmarkStart w:id="652" w:name="_Toc77074629"/>
      <w:r>
        <w:t>Jak hodnotím pracovní příležitosti</w:t>
      </w:r>
      <w:bookmarkEnd w:id="651"/>
      <w:bookmarkEnd w:id="652"/>
    </w:p>
    <w:p w14:paraId="6CA84742" w14:textId="77777777" w:rsidR="007175FE" w:rsidRPr="00DA7ABE" w:rsidRDefault="007175FE" w:rsidP="007175FE">
      <w:pPr>
        <w:rPr>
          <w:rFonts w:cstheme="minorHAnsi"/>
        </w:rPr>
      </w:pPr>
      <w:r w:rsidRPr="003D492B">
        <w:rPr>
          <w:rFonts w:cstheme="minorHAnsi"/>
        </w:rPr>
        <w:t xml:space="preserve">S nabídkou pracovních příležitostí jsou nejvíce spokojeni studenti UTB </w:t>
      </w:r>
      <w:r>
        <w:rPr>
          <w:rFonts w:cstheme="minorHAnsi"/>
        </w:rPr>
        <w:t>(</w:t>
      </w:r>
      <w:r w:rsidRPr="003D492B">
        <w:rPr>
          <w:rFonts w:cstheme="minorHAnsi"/>
        </w:rPr>
        <w:t>možnosti velmi spokojen/a a</w:t>
      </w:r>
      <w:r>
        <w:rPr>
          <w:rFonts w:cstheme="minorHAnsi"/>
        </w:rPr>
        <w:t> </w:t>
      </w:r>
      <w:r w:rsidRPr="003D492B">
        <w:rPr>
          <w:rFonts w:cstheme="minorHAnsi"/>
        </w:rPr>
        <w:t xml:space="preserve">spíše spokojen/a zvolilo </w:t>
      </w:r>
      <w:r>
        <w:rPr>
          <w:rFonts w:cstheme="minorHAnsi"/>
        </w:rPr>
        <w:t xml:space="preserve">celkem </w:t>
      </w:r>
      <w:r w:rsidRPr="003D492B">
        <w:rPr>
          <w:rFonts w:cstheme="minorHAnsi"/>
        </w:rPr>
        <w:t>35,6 %), následováni respondenty, kteří nemají ve Zlíně trvalé bydliště (32,9 %). Spokojenost občanů s nabídkou pracovních příležitostí je 25,3 %. Naopak nespokojenost (možnosti velmi nespokojen/a a spíše nespokojen/a) je nejvyšší u respondentů, kteří nemají ve Zlíně trvalé bydliště (25,4 %), poté u studentů UTB (24,5 %) a následují občané Zlína (21,2 %). U této otázky byla možnost volby odpovědi „nemohu posoudit“.</w:t>
      </w:r>
    </w:p>
    <w:p w14:paraId="0EC2A810" w14:textId="590FCBDD" w:rsidR="007175FE" w:rsidRPr="00DA7ABE" w:rsidRDefault="007175FE" w:rsidP="007175FE">
      <w:pPr>
        <w:pStyle w:val="Titulek"/>
        <w:rPr>
          <w:rFonts w:cstheme="minorHAnsi"/>
        </w:rPr>
      </w:pPr>
      <w:bookmarkStart w:id="653" w:name="_Toc54702788"/>
      <w:bookmarkStart w:id="654" w:name="_Toc56179594"/>
      <w:bookmarkStart w:id="655" w:name="_Toc77074936"/>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15</w:t>
      </w:r>
      <w:r w:rsidR="0096730F">
        <w:rPr>
          <w:rFonts w:cstheme="minorHAnsi"/>
        </w:rPr>
        <w:fldChar w:fldCharType="end"/>
      </w:r>
      <w:r w:rsidR="00CC0915">
        <w:rPr>
          <w:rFonts w:cstheme="minorHAnsi"/>
        </w:rPr>
        <w:t>:</w:t>
      </w:r>
      <w:r w:rsidRPr="00DA7ABE">
        <w:rPr>
          <w:rFonts w:cstheme="minorHAnsi"/>
        </w:rPr>
        <w:t xml:space="preserve"> Spokojenost s nabídkou pracovních příležitostí</w:t>
      </w:r>
      <w:bookmarkEnd w:id="653"/>
      <w:bookmarkEnd w:id="654"/>
      <w:bookmarkEnd w:id="655"/>
    </w:p>
    <w:p w14:paraId="5CB635AB" w14:textId="77777777" w:rsidR="007175FE" w:rsidRPr="00DA7ABE" w:rsidRDefault="007175FE" w:rsidP="007175FE">
      <w:pPr>
        <w:rPr>
          <w:rFonts w:cstheme="minorHAnsi"/>
        </w:rPr>
      </w:pPr>
      <w:r>
        <w:rPr>
          <w:rFonts w:cstheme="minorHAnsi"/>
          <w:noProof/>
          <w:lang w:eastAsia="cs-CZ"/>
        </w:rPr>
        <w:drawing>
          <wp:inline distT="0" distB="0" distL="0" distR="0" wp14:anchorId="377E6C65" wp14:editId="081140DA">
            <wp:extent cx="5767070" cy="2145665"/>
            <wp:effectExtent l="0" t="0" r="5080" b="6985"/>
            <wp:docPr id="363" name="Obráze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7070" cy="2145665"/>
                    </a:xfrm>
                    <a:prstGeom prst="rect">
                      <a:avLst/>
                    </a:prstGeom>
                    <a:noFill/>
                  </pic:spPr>
                </pic:pic>
              </a:graphicData>
            </a:graphic>
          </wp:inline>
        </w:drawing>
      </w:r>
    </w:p>
    <w:p w14:paraId="5535C261" w14:textId="521B2D52"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673332">
        <w:rPr>
          <w:rFonts w:asciiTheme="minorHAnsi" w:hAnsiTheme="minorHAnsi" w:cstheme="minorHAnsi"/>
        </w:rPr>
        <w:t>;</w:t>
      </w:r>
      <w:r w:rsidRPr="00DA7ABE">
        <w:rPr>
          <w:rFonts w:asciiTheme="minorHAnsi" w:hAnsiTheme="minorHAnsi" w:cstheme="minorHAnsi"/>
        </w:rPr>
        <w:t xml:space="preserve"> Otázka 9.</w:t>
      </w:r>
      <w:r w:rsidR="00673332">
        <w:rPr>
          <w:rFonts w:asciiTheme="minorHAnsi" w:hAnsiTheme="minorHAnsi" w:cstheme="minorHAnsi"/>
        </w:rPr>
        <w:t>:</w:t>
      </w:r>
      <w:r w:rsidRPr="00DA7ABE">
        <w:rPr>
          <w:rFonts w:asciiTheme="minorHAnsi" w:hAnsiTheme="minorHAnsi" w:cstheme="minorHAnsi"/>
        </w:rPr>
        <w:t xml:space="preserve"> Jak jste s pokojeni s nabídkou pracovních příležitostí ve Zlíně?</w:t>
      </w:r>
    </w:p>
    <w:p w14:paraId="0A6ED43D" w14:textId="5EE13A54" w:rsidR="007175FE" w:rsidRPr="00DA7ABE" w:rsidRDefault="007175FE" w:rsidP="007175FE">
      <w:pPr>
        <w:rPr>
          <w:rFonts w:cstheme="minorHAnsi"/>
        </w:rPr>
      </w:pPr>
      <w:r w:rsidRPr="003D492B">
        <w:rPr>
          <w:rFonts w:cstheme="minorHAnsi"/>
        </w:rPr>
        <w:t xml:space="preserve">V tabulce </w:t>
      </w:r>
      <w:r w:rsidR="0096730F">
        <w:rPr>
          <w:rFonts w:cstheme="minorHAnsi"/>
        </w:rPr>
        <w:t>2.14</w:t>
      </w:r>
      <w:r w:rsidRPr="003D492B">
        <w:rPr>
          <w:rFonts w:cstheme="minorHAnsi"/>
        </w:rPr>
        <w:t xml:space="preserve"> je spokojenost s nabídkou pracovních příležitostí členěna na muže a ženy, podle věkových kategorií a podle kategorií respondentů. U věkové kategorie do 35 let je vidět poměrně vysoká účast respondentů – pouze 16,2 % z nich zadalo možnost „nemohu posoudit“. Proto je také logické, že je u nich nejvyšší procentuální spokojenost (33,5 %) i nespokojenost (27,7 %).</w:t>
      </w:r>
      <w:r w:rsidRPr="00B544DF">
        <w:rPr>
          <w:rFonts w:cstheme="minorHAnsi"/>
        </w:rPr>
        <w:t xml:space="preserve"> Mezi spokojeností u mužů a u žen nejsou výrazné rozdíly.</w:t>
      </w:r>
    </w:p>
    <w:p w14:paraId="58D0E932" w14:textId="6BFD0F51" w:rsidR="007175FE" w:rsidRPr="00DA7ABE" w:rsidRDefault="007175FE" w:rsidP="007175FE">
      <w:pPr>
        <w:pStyle w:val="Titulek"/>
        <w:keepNext/>
        <w:rPr>
          <w:rFonts w:cstheme="minorHAnsi"/>
        </w:rPr>
      </w:pPr>
      <w:bookmarkStart w:id="656" w:name="_Toc54702628"/>
      <w:bookmarkStart w:id="657" w:name="_Toc56179435"/>
      <w:bookmarkStart w:id="658" w:name="_Toc57731793"/>
      <w:bookmarkStart w:id="659" w:name="_Toc77074777"/>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14</w:t>
      </w:r>
      <w:r w:rsidR="00DC277C">
        <w:rPr>
          <w:rFonts w:cstheme="minorHAnsi"/>
        </w:rPr>
        <w:fldChar w:fldCharType="end"/>
      </w:r>
      <w:r w:rsidR="00673332">
        <w:rPr>
          <w:rFonts w:cstheme="minorHAnsi"/>
        </w:rPr>
        <w:t>:</w:t>
      </w:r>
      <w:r w:rsidRPr="00DA7ABE">
        <w:rPr>
          <w:rFonts w:cstheme="minorHAnsi"/>
        </w:rPr>
        <w:t xml:space="preserve"> Spokojenost s nabídkou pracovních příležitostí podle pohlaví, věku a u studentů UTB</w:t>
      </w:r>
      <w:bookmarkEnd w:id="656"/>
      <w:bookmarkEnd w:id="657"/>
      <w:bookmarkEnd w:id="658"/>
      <w:bookmarkEnd w:id="659"/>
    </w:p>
    <w:tbl>
      <w:tblPr>
        <w:tblW w:w="0" w:type="auto"/>
        <w:tblInd w:w="-5" w:type="dxa"/>
        <w:tblCellMar>
          <w:left w:w="70" w:type="dxa"/>
          <w:right w:w="70" w:type="dxa"/>
        </w:tblCellMar>
        <w:tblLook w:val="04A0" w:firstRow="1" w:lastRow="0" w:firstColumn="1" w:lastColumn="0" w:noHBand="0" w:noVBand="1"/>
      </w:tblPr>
      <w:tblGrid>
        <w:gridCol w:w="2593"/>
        <w:gridCol w:w="694"/>
        <w:gridCol w:w="588"/>
        <w:gridCol w:w="588"/>
        <w:gridCol w:w="1087"/>
        <w:gridCol w:w="642"/>
        <w:gridCol w:w="789"/>
        <w:gridCol w:w="1285"/>
        <w:gridCol w:w="801"/>
      </w:tblGrid>
      <w:tr w:rsidR="007175FE" w:rsidRPr="00292E85" w14:paraId="541A4CF9" w14:textId="77777777" w:rsidTr="000C49A5">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18F167A"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495E3510"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E26927C"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CE798F"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Studenti UTB</w:t>
            </w:r>
          </w:p>
        </w:tc>
      </w:tr>
      <w:tr w:rsidR="007175FE" w:rsidRPr="00292E85" w14:paraId="6D13675D"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07C720"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156EC1DD"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550FE758"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5E2AED50"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DF07CE"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3B3956" w14:textId="77777777" w:rsidR="007175FE" w:rsidRPr="00292E85" w:rsidRDefault="007175FE" w:rsidP="000C49A5">
            <w:pPr>
              <w:keepNext/>
              <w:rPr>
                <w:rFonts w:ascii="Calibri" w:eastAsia="Times New Roman" w:hAnsi="Calibri" w:cs="Calibri"/>
                <w:b/>
                <w:bCs/>
                <w:color w:val="000000"/>
                <w:sz w:val="18"/>
                <w:szCs w:val="18"/>
                <w:lang w:eastAsia="cs-CZ"/>
              </w:rPr>
            </w:pPr>
          </w:p>
        </w:tc>
      </w:tr>
      <w:tr w:rsidR="007175FE" w:rsidRPr="00292E85" w14:paraId="010D3260"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7153CC"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42A87A13"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545FF0E2"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7FA900F7"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1196EF08"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665CBD93"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0EE1AF09"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049EB3"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48F5DE" w14:textId="77777777" w:rsidR="007175FE" w:rsidRPr="00292E85" w:rsidRDefault="007175FE" w:rsidP="000C49A5">
            <w:pPr>
              <w:keepNext/>
              <w:rPr>
                <w:rFonts w:ascii="Calibri" w:eastAsia="Times New Roman" w:hAnsi="Calibri" w:cs="Calibri"/>
                <w:b/>
                <w:bCs/>
                <w:color w:val="000000"/>
                <w:sz w:val="18"/>
                <w:szCs w:val="18"/>
                <w:lang w:eastAsia="cs-CZ"/>
              </w:rPr>
            </w:pPr>
          </w:p>
        </w:tc>
      </w:tr>
      <w:tr w:rsidR="007175FE" w:rsidRPr="00292E85" w14:paraId="0BB0B5C4"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52467E"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Velmi nespokojen/a</w:t>
            </w:r>
          </w:p>
        </w:tc>
        <w:tc>
          <w:tcPr>
            <w:tcW w:w="0" w:type="auto"/>
            <w:tcBorders>
              <w:top w:val="single" w:sz="4" w:space="0" w:color="auto"/>
              <w:left w:val="single" w:sz="4" w:space="0" w:color="auto"/>
              <w:bottom w:val="single" w:sz="4" w:space="0" w:color="auto"/>
              <w:right w:val="single" w:sz="4" w:space="0" w:color="auto"/>
            </w:tcBorders>
            <w:shd w:val="clear" w:color="000000" w:fill="87A9D5"/>
            <w:noWrap/>
            <w:hideMark/>
          </w:tcPr>
          <w:p w14:paraId="596743C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5,7%</w:t>
            </w:r>
          </w:p>
        </w:tc>
        <w:tc>
          <w:tcPr>
            <w:tcW w:w="0" w:type="auto"/>
            <w:tcBorders>
              <w:top w:val="single" w:sz="4" w:space="0" w:color="auto"/>
              <w:left w:val="single" w:sz="4" w:space="0" w:color="auto"/>
              <w:bottom w:val="single" w:sz="4" w:space="0" w:color="auto"/>
              <w:right w:val="single" w:sz="4" w:space="0" w:color="auto"/>
            </w:tcBorders>
            <w:shd w:val="clear" w:color="000000" w:fill="87A9D5"/>
            <w:noWrap/>
            <w:hideMark/>
          </w:tcPr>
          <w:p w14:paraId="699F7C1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5,7%</w:t>
            </w:r>
          </w:p>
        </w:tc>
        <w:tc>
          <w:tcPr>
            <w:tcW w:w="0" w:type="auto"/>
            <w:tcBorders>
              <w:top w:val="single" w:sz="4" w:space="0" w:color="auto"/>
              <w:left w:val="single" w:sz="4" w:space="0" w:color="auto"/>
              <w:bottom w:val="single" w:sz="4" w:space="0" w:color="auto"/>
              <w:right w:val="single" w:sz="4" w:space="0" w:color="auto"/>
            </w:tcBorders>
            <w:shd w:val="clear" w:color="000000" w:fill="87A9D5"/>
            <w:noWrap/>
            <w:hideMark/>
          </w:tcPr>
          <w:p w14:paraId="26692A1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5,7%</w:t>
            </w:r>
          </w:p>
        </w:tc>
        <w:tc>
          <w:tcPr>
            <w:tcW w:w="0" w:type="auto"/>
            <w:tcBorders>
              <w:top w:val="single" w:sz="4" w:space="0" w:color="auto"/>
              <w:left w:val="single" w:sz="4" w:space="0" w:color="auto"/>
              <w:bottom w:val="single" w:sz="4" w:space="0" w:color="auto"/>
              <w:right w:val="single" w:sz="4" w:space="0" w:color="auto"/>
            </w:tcBorders>
            <w:shd w:val="clear" w:color="000000" w:fill="8AACD7"/>
            <w:noWrap/>
            <w:hideMark/>
          </w:tcPr>
          <w:p w14:paraId="2B7FBD99"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6,1%</w:t>
            </w:r>
          </w:p>
        </w:tc>
        <w:tc>
          <w:tcPr>
            <w:tcW w:w="0" w:type="auto"/>
            <w:tcBorders>
              <w:top w:val="single" w:sz="4" w:space="0" w:color="auto"/>
              <w:left w:val="single" w:sz="4" w:space="0" w:color="auto"/>
              <w:bottom w:val="single" w:sz="4" w:space="0" w:color="auto"/>
              <w:right w:val="single" w:sz="4" w:space="0" w:color="auto"/>
            </w:tcBorders>
            <w:shd w:val="clear" w:color="000000" w:fill="94B3DA"/>
            <w:noWrap/>
            <w:hideMark/>
          </w:tcPr>
          <w:p w14:paraId="5E994DE1"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7,2%</w:t>
            </w:r>
          </w:p>
        </w:tc>
        <w:tc>
          <w:tcPr>
            <w:tcW w:w="0" w:type="auto"/>
            <w:tcBorders>
              <w:top w:val="single" w:sz="4" w:space="0" w:color="auto"/>
              <w:left w:val="single" w:sz="4" w:space="0" w:color="auto"/>
              <w:bottom w:val="single" w:sz="4" w:space="0" w:color="auto"/>
              <w:right w:val="single" w:sz="4" w:space="0" w:color="auto"/>
            </w:tcBorders>
            <w:shd w:val="clear" w:color="000000" w:fill="6B96CC"/>
            <w:noWrap/>
            <w:hideMark/>
          </w:tcPr>
          <w:p w14:paraId="3A4D8C8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2,6%</w:t>
            </w:r>
          </w:p>
        </w:tc>
        <w:tc>
          <w:tcPr>
            <w:tcW w:w="0" w:type="auto"/>
            <w:tcBorders>
              <w:top w:val="single" w:sz="4" w:space="0" w:color="auto"/>
              <w:left w:val="single" w:sz="4" w:space="0" w:color="auto"/>
              <w:bottom w:val="single" w:sz="4" w:space="0" w:color="auto"/>
              <w:right w:val="single" w:sz="4" w:space="0" w:color="auto"/>
            </w:tcBorders>
            <w:shd w:val="clear" w:color="000000" w:fill="89ABD6"/>
            <w:noWrap/>
            <w:hideMark/>
          </w:tcPr>
          <w:p w14:paraId="4C14DE1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5,9%</w:t>
            </w:r>
          </w:p>
        </w:tc>
        <w:tc>
          <w:tcPr>
            <w:tcW w:w="0" w:type="auto"/>
            <w:tcBorders>
              <w:top w:val="single" w:sz="4" w:space="0" w:color="auto"/>
              <w:left w:val="single" w:sz="4" w:space="0" w:color="auto"/>
              <w:bottom w:val="single" w:sz="4" w:space="0" w:color="auto"/>
              <w:right w:val="single" w:sz="4" w:space="0" w:color="auto"/>
            </w:tcBorders>
            <w:shd w:val="clear" w:color="000000" w:fill="89ABD6"/>
            <w:noWrap/>
            <w:hideMark/>
          </w:tcPr>
          <w:p w14:paraId="5798603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5,9%</w:t>
            </w:r>
          </w:p>
        </w:tc>
      </w:tr>
      <w:tr w:rsidR="007175FE" w:rsidRPr="00292E85" w14:paraId="20386448"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39DD1F"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Spíše nespokojen/a</w:t>
            </w:r>
          </w:p>
        </w:tc>
        <w:tc>
          <w:tcPr>
            <w:tcW w:w="0" w:type="auto"/>
            <w:tcBorders>
              <w:top w:val="single" w:sz="4" w:space="0" w:color="auto"/>
              <w:left w:val="single" w:sz="4" w:space="0" w:color="auto"/>
              <w:bottom w:val="single" w:sz="4" w:space="0" w:color="auto"/>
              <w:right w:val="single" w:sz="4" w:space="0" w:color="auto"/>
            </w:tcBorders>
            <w:shd w:val="clear" w:color="000000" w:fill="DFE8F5"/>
            <w:noWrap/>
            <w:hideMark/>
          </w:tcPr>
          <w:p w14:paraId="67E4BB96"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15,5%</w:t>
            </w:r>
          </w:p>
        </w:tc>
        <w:tc>
          <w:tcPr>
            <w:tcW w:w="0" w:type="auto"/>
            <w:tcBorders>
              <w:top w:val="single" w:sz="4" w:space="0" w:color="auto"/>
              <w:left w:val="single" w:sz="4" w:space="0" w:color="auto"/>
              <w:bottom w:val="single" w:sz="4" w:space="0" w:color="auto"/>
              <w:right w:val="single" w:sz="4" w:space="0" w:color="auto"/>
            </w:tcBorders>
            <w:shd w:val="clear" w:color="000000" w:fill="DFE8F5"/>
            <w:noWrap/>
            <w:hideMark/>
          </w:tcPr>
          <w:p w14:paraId="4CFD54B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15,5%</w:t>
            </w:r>
          </w:p>
        </w:tc>
        <w:tc>
          <w:tcPr>
            <w:tcW w:w="0" w:type="auto"/>
            <w:tcBorders>
              <w:top w:val="single" w:sz="4" w:space="0" w:color="auto"/>
              <w:left w:val="single" w:sz="4" w:space="0" w:color="auto"/>
              <w:bottom w:val="single" w:sz="4" w:space="0" w:color="auto"/>
              <w:right w:val="single" w:sz="4" w:space="0" w:color="auto"/>
            </w:tcBorders>
            <w:shd w:val="clear" w:color="000000" w:fill="E0E8F5"/>
            <w:noWrap/>
            <w:hideMark/>
          </w:tcPr>
          <w:p w14:paraId="2DA7C78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15,6%</w:t>
            </w:r>
          </w:p>
        </w:tc>
        <w:tc>
          <w:tcPr>
            <w:tcW w:w="0" w:type="auto"/>
            <w:tcBorders>
              <w:top w:val="single" w:sz="4" w:space="0" w:color="auto"/>
              <w:left w:val="single" w:sz="4" w:space="0" w:color="auto"/>
              <w:bottom w:val="single" w:sz="4" w:space="0" w:color="auto"/>
              <w:right w:val="single" w:sz="4" w:space="0" w:color="auto"/>
            </w:tcBorders>
            <w:shd w:val="clear" w:color="000000" w:fill="FCF2F5"/>
            <w:noWrap/>
            <w:hideMark/>
          </w:tcPr>
          <w:p w14:paraId="189F224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21,6%</w:t>
            </w:r>
          </w:p>
        </w:tc>
        <w:tc>
          <w:tcPr>
            <w:tcW w:w="0" w:type="auto"/>
            <w:tcBorders>
              <w:top w:val="single" w:sz="4" w:space="0" w:color="auto"/>
              <w:left w:val="single" w:sz="4" w:space="0" w:color="auto"/>
              <w:bottom w:val="single" w:sz="4" w:space="0" w:color="auto"/>
              <w:right w:val="single" w:sz="4" w:space="0" w:color="auto"/>
            </w:tcBorders>
            <w:shd w:val="clear" w:color="000000" w:fill="EEF2FA"/>
            <w:noWrap/>
            <w:hideMark/>
          </w:tcPr>
          <w:p w14:paraId="2BF1A34E"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17,1%</w:t>
            </w:r>
          </w:p>
        </w:tc>
        <w:tc>
          <w:tcPr>
            <w:tcW w:w="0" w:type="auto"/>
            <w:tcBorders>
              <w:top w:val="single" w:sz="4" w:space="0" w:color="auto"/>
              <w:left w:val="single" w:sz="4" w:space="0" w:color="auto"/>
              <w:bottom w:val="single" w:sz="4" w:space="0" w:color="auto"/>
              <w:right w:val="single" w:sz="4" w:space="0" w:color="auto"/>
            </w:tcBorders>
            <w:shd w:val="clear" w:color="000000" w:fill="95B4DB"/>
            <w:noWrap/>
            <w:hideMark/>
          </w:tcPr>
          <w:p w14:paraId="7012A7B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7,3%</w:t>
            </w:r>
          </w:p>
        </w:tc>
        <w:tc>
          <w:tcPr>
            <w:tcW w:w="0" w:type="auto"/>
            <w:tcBorders>
              <w:top w:val="single" w:sz="4" w:space="0" w:color="auto"/>
              <w:left w:val="single" w:sz="4" w:space="0" w:color="auto"/>
              <w:bottom w:val="single" w:sz="4" w:space="0" w:color="auto"/>
              <w:right w:val="single" w:sz="4" w:space="0" w:color="auto"/>
            </w:tcBorders>
            <w:shd w:val="clear" w:color="000000" w:fill="FCF9FC"/>
            <w:noWrap/>
            <w:hideMark/>
          </w:tcPr>
          <w:p w14:paraId="16B858FE"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19,5%</w:t>
            </w:r>
          </w:p>
        </w:tc>
        <w:tc>
          <w:tcPr>
            <w:tcW w:w="0" w:type="auto"/>
            <w:tcBorders>
              <w:top w:val="single" w:sz="4" w:space="0" w:color="auto"/>
              <w:left w:val="single" w:sz="4" w:space="0" w:color="auto"/>
              <w:bottom w:val="single" w:sz="4" w:space="0" w:color="auto"/>
              <w:right w:val="single" w:sz="4" w:space="0" w:color="auto"/>
            </w:tcBorders>
            <w:shd w:val="clear" w:color="000000" w:fill="FCFCFF"/>
            <w:noWrap/>
            <w:hideMark/>
          </w:tcPr>
          <w:p w14:paraId="393ACF88"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18,6%</w:t>
            </w:r>
          </w:p>
        </w:tc>
      </w:tr>
      <w:tr w:rsidR="007175FE" w:rsidRPr="00292E85" w14:paraId="3F726171"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6BE9C3"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Ani spokojen/a, ani nespokojen/a</w:t>
            </w:r>
          </w:p>
        </w:tc>
        <w:tc>
          <w:tcPr>
            <w:tcW w:w="0" w:type="auto"/>
            <w:tcBorders>
              <w:top w:val="single" w:sz="4" w:space="0" w:color="auto"/>
              <w:left w:val="single" w:sz="4" w:space="0" w:color="auto"/>
              <w:bottom w:val="single" w:sz="4" w:space="0" w:color="auto"/>
              <w:right w:val="single" w:sz="4" w:space="0" w:color="auto"/>
            </w:tcBorders>
            <w:shd w:val="clear" w:color="000000" w:fill="FCEFF2"/>
            <w:noWrap/>
            <w:hideMark/>
          </w:tcPr>
          <w:p w14:paraId="7CF39BE1"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22,5%</w:t>
            </w:r>
          </w:p>
        </w:tc>
        <w:tc>
          <w:tcPr>
            <w:tcW w:w="0" w:type="auto"/>
            <w:tcBorders>
              <w:top w:val="single" w:sz="4" w:space="0" w:color="auto"/>
              <w:left w:val="single" w:sz="4" w:space="0" w:color="auto"/>
              <w:bottom w:val="single" w:sz="4" w:space="0" w:color="auto"/>
              <w:right w:val="single" w:sz="4" w:space="0" w:color="auto"/>
            </w:tcBorders>
            <w:shd w:val="clear" w:color="000000" w:fill="FCE9EC"/>
            <w:noWrap/>
            <w:hideMark/>
          </w:tcPr>
          <w:p w14:paraId="28AFEFDD"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24,2%</w:t>
            </w:r>
          </w:p>
        </w:tc>
        <w:tc>
          <w:tcPr>
            <w:tcW w:w="0" w:type="auto"/>
            <w:tcBorders>
              <w:top w:val="single" w:sz="4" w:space="0" w:color="auto"/>
              <w:left w:val="single" w:sz="4" w:space="0" w:color="auto"/>
              <w:bottom w:val="single" w:sz="4" w:space="0" w:color="auto"/>
              <w:right w:val="single" w:sz="4" w:space="0" w:color="auto"/>
            </w:tcBorders>
            <w:shd w:val="clear" w:color="000000" w:fill="FCF4F7"/>
            <w:noWrap/>
            <w:hideMark/>
          </w:tcPr>
          <w:p w14:paraId="0091C52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21,0%</w:t>
            </w:r>
          </w:p>
        </w:tc>
        <w:tc>
          <w:tcPr>
            <w:tcW w:w="0" w:type="auto"/>
            <w:tcBorders>
              <w:top w:val="single" w:sz="4" w:space="0" w:color="auto"/>
              <w:left w:val="single" w:sz="4" w:space="0" w:color="auto"/>
              <w:bottom w:val="single" w:sz="4" w:space="0" w:color="auto"/>
              <w:right w:val="single" w:sz="4" w:space="0" w:color="auto"/>
            </w:tcBorders>
            <w:shd w:val="clear" w:color="000000" w:fill="FCEFF2"/>
            <w:noWrap/>
            <w:hideMark/>
          </w:tcPr>
          <w:p w14:paraId="734466A4"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22,6%</w:t>
            </w:r>
          </w:p>
        </w:tc>
        <w:tc>
          <w:tcPr>
            <w:tcW w:w="0" w:type="auto"/>
            <w:tcBorders>
              <w:top w:val="single" w:sz="4" w:space="0" w:color="auto"/>
              <w:left w:val="single" w:sz="4" w:space="0" w:color="auto"/>
              <w:bottom w:val="single" w:sz="4" w:space="0" w:color="auto"/>
              <w:right w:val="single" w:sz="4" w:space="0" w:color="auto"/>
            </w:tcBorders>
            <w:shd w:val="clear" w:color="000000" w:fill="FCE8EB"/>
            <w:noWrap/>
            <w:hideMark/>
          </w:tcPr>
          <w:p w14:paraId="222291C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24,5%</w:t>
            </w:r>
          </w:p>
        </w:tc>
        <w:tc>
          <w:tcPr>
            <w:tcW w:w="0" w:type="auto"/>
            <w:tcBorders>
              <w:top w:val="single" w:sz="4" w:space="0" w:color="auto"/>
              <w:left w:val="single" w:sz="4" w:space="0" w:color="auto"/>
              <w:bottom w:val="single" w:sz="4" w:space="0" w:color="auto"/>
              <w:right w:val="single" w:sz="4" w:space="0" w:color="auto"/>
            </w:tcBorders>
            <w:shd w:val="clear" w:color="000000" w:fill="FCFBFE"/>
            <w:noWrap/>
            <w:hideMark/>
          </w:tcPr>
          <w:p w14:paraId="233E2E9F"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18,9%</w:t>
            </w:r>
          </w:p>
        </w:tc>
        <w:tc>
          <w:tcPr>
            <w:tcW w:w="0" w:type="auto"/>
            <w:tcBorders>
              <w:top w:val="single" w:sz="4" w:space="0" w:color="auto"/>
              <w:left w:val="single" w:sz="4" w:space="0" w:color="auto"/>
              <w:bottom w:val="single" w:sz="4" w:space="0" w:color="auto"/>
              <w:right w:val="single" w:sz="4" w:space="0" w:color="auto"/>
            </w:tcBorders>
            <w:shd w:val="clear" w:color="000000" w:fill="FCF0F3"/>
            <w:noWrap/>
            <w:hideMark/>
          </w:tcPr>
          <w:p w14:paraId="238F424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22,2%</w:t>
            </w:r>
          </w:p>
        </w:tc>
        <w:tc>
          <w:tcPr>
            <w:tcW w:w="0" w:type="auto"/>
            <w:tcBorders>
              <w:top w:val="single" w:sz="4" w:space="0" w:color="auto"/>
              <w:left w:val="single" w:sz="4" w:space="0" w:color="auto"/>
              <w:bottom w:val="single" w:sz="4" w:space="0" w:color="auto"/>
              <w:right w:val="single" w:sz="4" w:space="0" w:color="auto"/>
            </w:tcBorders>
            <w:shd w:val="clear" w:color="000000" w:fill="FCFCFF"/>
            <w:noWrap/>
            <w:hideMark/>
          </w:tcPr>
          <w:p w14:paraId="49EDB62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18,6%</w:t>
            </w:r>
          </w:p>
        </w:tc>
      </w:tr>
      <w:tr w:rsidR="007175FE" w:rsidRPr="00292E85" w14:paraId="317DD8CC"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111361"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Spíše spokojen/a</w:t>
            </w:r>
          </w:p>
        </w:tc>
        <w:tc>
          <w:tcPr>
            <w:tcW w:w="0" w:type="auto"/>
            <w:tcBorders>
              <w:top w:val="single" w:sz="4" w:space="0" w:color="auto"/>
              <w:left w:val="single" w:sz="4" w:space="0" w:color="auto"/>
              <w:bottom w:val="single" w:sz="4" w:space="0" w:color="auto"/>
              <w:right w:val="single" w:sz="4" w:space="0" w:color="auto"/>
            </w:tcBorders>
            <w:shd w:val="clear" w:color="000000" w:fill="FCF1F4"/>
            <w:noWrap/>
            <w:hideMark/>
          </w:tcPr>
          <w:p w14:paraId="0421363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21,9%</w:t>
            </w:r>
          </w:p>
        </w:tc>
        <w:tc>
          <w:tcPr>
            <w:tcW w:w="0" w:type="auto"/>
            <w:tcBorders>
              <w:top w:val="single" w:sz="4" w:space="0" w:color="auto"/>
              <w:left w:val="single" w:sz="4" w:space="0" w:color="auto"/>
              <w:bottom w:val="single" w:sz="4" w:space="0" w:color="auto"/>
              <w:right w:val="single" w:sz="4" w:space="0" w:color="auto"/>
            </w:tcBorders>
            <w:shd w:val="clear" w:color="000000" w:fill="FCEFF2"/>
            <w:noWrap/>
            <w:hideMark/>
          </w:tcPr>
          <w:p w14:paraId="0929F536"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22,6%</w:t>
            </w:r>
          </w:p>
        </w:tc>
        <w:tc>
          <w:tcPr>
            <w:tcW w:w="0" w:type="auto"/>
            <w:tcBorders>
              <w:top w:val="single" w:sz="4" w:space="0" w:color="auto"/>
              <w:left w:val="single" w:sz="4" w:space="0" w:color="auto"/>
              <w:bottom w:val="single" w:sz="4" w:space="0" w:color="auto"/>
              <w:right w:val="single" w:sz="4" w:space="0" w:color="auto"/>
            </w:tcBorders>
            <w:shd w:val="clear" w:color="000000" w:fill="FCF3F6"/>
            <w:noWrap/>
            <w:hideMark/>
          </w:tcPr>
          <w:p w14:paraId="29B0DD8E"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21,3%</w:t>
            </w:r>
          </w:p>
        </w:tc>
        <w:tc>
          <w:tcPr>
            <w:tcW w:w="0" w:type="auto"/>
            <w:tcBorders>
              <w:top w:val="single" w:sz="4" w:space="0" w:color="auto"/>
              <w:left w:val="single" w:sz="4" w:space="0" w:color="auto"/>
              <w:bottom w:val="single" w:sz="4" w:space="0" w:color="auto"/>
              <w:right w:val="single" w:sz="4" w:space="0" w:color="auto"/>
            </w:tcBorders>
            <w:shd w:val="clear" w:color="000000" w:fill="FCDCDE"/>
            <w:noWrap/>
            <w:hideMark/>
          </w:tcPr>
          <w:p w14:paraId="0130484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28,1%</w:t>
            </w:r>
          </w:p>
        </w:tc>
        <w:tc>
          <w:tcPr>
            <w:tcW w:w="0" w:type="auto"/>
            <w:tcBorders>
              <w:top w:val="single" w:sz="4" w:space="0" w:color="auto"/>
              <w:left w:val="single" w:sz="4" w:space="0" w:color="auto"/>
              <w:bottom w:val="single" w:sz="4" w:space="0" w:color="auto"/>
              <w:right w:val="single" w:sz="4" w:space="0" w:color="auto"/>
            </w:tcBorders>
            <w:shd w:val="clear" w:color="000000" w:fill="FCE4E6"/>
            <w:noWrap/>
            <w:hideMark/>
          </w:tcPr>
          <w:p w14:paraId="3450E43E"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25,8%</w:t>
            </w:r>
          </w:p>
        </w:tc>
        <w:tc>
          <w:tcPr>
            <w:tcW w:w="0" w:type="auto"/>
            <w:tcBorders>
              <w:top w:val="single" w:sz="4" w:space="0" w:color="auto"/>
              <w:left w:val="single" w:sz="4" w:space="0" w:color="auto"/>
              <w:bottom w:val="single" w:sz="4" w:space="0" w:color="auto"/>
              <w:right w:val="single" w:sz="4" w:space="0" w:color="auto"/>
            </w:tcBorders>
            <w:shd w:val="clear" w:color="000000" w:fill="A8C1E1"/>
            <w:noWrap/>
            <w:hideMark/>
          </w:tcPr>
          <w:p w14:paraId="1E50F751"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9,4%</w:t>
            </w:r>
          </w:p>
        </w:tc>
        <w:tc>
          <w:tcPr>
            <w:tcW w:w="0" w:type="auto"/>
            <w:tcBorders>
              <w:top w:val="single" w:sz="4" w:space="0" w:color="auto"/>
              <w:left w:val="single" w:sz="4" w:space="0" w:color="auto"/>
              <w:bottom w:val="single" w:sz="4" w:space="0" w:color="auto"/>
              <w:right w:val="single" w:sz="4" w:space="0" w:color="auto"/>
            </w:tcBorders>
            <w:shd w:val="clear" w:color="000000" w:fill="FCDCDF"/>
            <w:noWrap/>
            <w:hideMark/>
          </w:tcPr>
          <w:p w14:paraId="232CA6C5"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27,9%</w:t>
            </w:r>
          </w:p>
        </w:tc>
        <w:tc>
          <w:tcPr>
            <w:tcW w:w="0" w:type="auto"/>
            <w:tcBorders>
              <w:top w:val="single" w:sz="4" w:space="0" w:color="auto"/>
              <w:left w:val="single" w:sz="4" w:space="0" w:color="auto"/>
              <w:bottom w:val="single" w:sz="4" w:space="0" w:color="auto"/>
              <w:right w:val="single" w:sz="4" w:space="0" w:color="auto"/>
            </w:tcBorders>
            <w:shd w:val="clear" w:color="000000" w:fill="FBD2D5"/>
            <w:noWrap/>
            <w:hideMark/>
          </w:tcPr>
          <w:p w14:paraId="0306A894"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30,8%</w:t>
            </w:r>
          </w:p>
        </w:tc>
      </w:tr>
      <w:tr w:rsidR="007175FE" w:rsidRPr="00292E85" w14:paraId="7CE668CF"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F2CD96"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Velmi spokojen/a</w:t>
            </w:r>
          </w:p>
        </w:tc>
        <w:tc>
          <w:tcPr>
            <w:tcW w:w="0" w:type="auto"/>
            <w:tcBorders>
              <w:top w:val="single" w:sz="4" w:space="0" w:color="auto"/>
              <w:left w:val="single" w:sz="4" w:space="0" w:color="auto"/>
              <w:bottom w:val="single" w:sz="4" w:space="0" w:color="auto"/>
              <w:right w:val="single" w:sz="4" w:space="0" w:color="auto"/>
            </w:tcBorders>
            <w:shd w:val="clear" w:color="000000" w:fill="729BCE"/>
            <w:noWrap/>
            <w:hideMark/>
          </w:tcPr>
          <w:p w14:paraId="54C5C08E"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3,4%</w:t>
            </w:r>
          </w:p>
        </w:tc>
        <w:tc>
          <w:tcPr>
            <w:tcW w:w="0" w:type="auto"/>
            <w:tcBorders>
              <w:top w:val="single" w:sz="4" w:space="0" w:color="auto"/>
              <w:left w:val="single" w:sz="4" w:space="0" w:color="auto"/>
              <w:bottom w:val="single" w:sz="4" w:space="0" w:color="auto"/>
              <w:right w:val="single" w:sz="4" w:space="0" w:color="auto"/>
            </w:tcBorders>
            <w:shd w:val="clear" w:color="000000" w:fill="789FD0"/>
            <w:noWrap/>
            <w:hideMark/>
          </w:tcPr>
          <w:p w14:paraId="4178EDA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4,1%</w:t>
            </w:r>
          </w:p>
        </w:tc>
        <w:tc>
          <w:tcPr>
            <w:tcW w:w="0" w:type="auto"/>
            <w:tcBorders>
              <w:top w:val="single" w:sz="4" w:space="0" w:color="auto"/>
              <w:left w:val="single" w:sz="4" w:space="0" w:color="auto"/>
              <w:bottom w:val="single" w:sz="4" w:space="0" w:color="auto"/>
              <w:right w:val="single" w:sz="4" w:space="0" w:color="auto"/>
            </w:tcBorders>
            <w:shd w:val="clear" w:color="000000" w:fill="6C96CC"/>
            <w:noWrap/>
            <w:hideMark/>
          </w:tcPr>
          <w:p w14:paraId="57416F3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2,7%</w:t>
            </w:r>
          </w:p>
        </w:tc>
        <w:tc>
          <w:tcPr>
            <w:tcW w:w="0" w:type="auto"/>
            <w:tcBorders>
              <w:top w:val="single" w:sz="4" w:space="0" w:color="auto"/>
              <w:left w:val="single" w:sz="4" w:space="0" w:color="auto"/>
              <w:bottom w:val="single" w:sz="4" w:space="0" w:color="auto"/>
              <w:right w:val="single" w:sz="4" w:space="0" w:color="auto"/>
            </w:tcBorders>
            <w:shd w:val="clear" w:color="000000" w:fill="84A7D4"/>
            <w:noWrap/>
            <w:hideMark/>
          </w:tcPr>
          <w:p w14:paraId="045370A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5,4%</w:t>
            </w:r>
          </w:p>
        </w:tc>
        <w:tc>
          <w:tcPr>
            <w:tcW w:w="0" w:type="auto"/>
            <w:tcBorders>
              <w:top w:val="single" w:sz="4" w:space="0" w:color="auto"/>
              <w:left w:val="single" w:sz="4" w:space="0" w:color="auto"/>
              <w:bottom w:val="single" w:sz="4" w:space="0" w:color="auto"/>
              <w:right w:val="single" w:sz="4" w:space="0" w:color="auto"/>
            </w:tcBorders>
            <w:shd w:val="clear" w:color="000000" w:fill="769ED0"/>
            <w:noWrap/>
            <w:hideMark/>
          </w:tcPr>
          <w:p w14:paraId="1014DBC9"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3,9%</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0B4054D6"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0,7%</w:t>
            </w:r>
          </w:p>
        </w:tc>
        <w:tc>
          <w:tcPr>
            <w:tcW w:w="0" w:type="auto"/>
            <w:tcBorders>
              <w:top w:val="single" w:sz="4" w:space="0" w:color="auto"/>
              <w:left w:val="single" w:sz="4" w:space="0" w:color="auto"/>
              <w:bottom w:val="single" w:sz="4" w:space="0" w:color="auto"/>
              <w:right w:val="single" w:sz="4" w:space="0" w:color="auto"/>
            </w:tcBorders>
            <w:shd w:val="clear" w:color="000000" w:fill="80A5D3"/>
            <w:noWrap/>
            <w:hideMark/>
          </w:tcPr>
          <w:p w14:paraId="3E034CA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5,0%</w:t>
            </w:r>
          </w:p>
        </w:tc>
        <w:tc>
          <w:tcPr>
            <w:tcW w:w="0" w:type="auto"/>
            <w:tcBorders>
              <w:top w:val="single" w:sz="4" w:space="0" w:color="auto"/>
              <w:left w:val="single" w:sz="4" w:space="0" w:color="auto"/>
              <w:bottom w:val="single" w:sz="4" w:space="0" w:color="auto"/>
              <w:right w:val="single" w:sz="4" w:space="0" w:color="auto"/>
            </w:tcBorders>
            <w:shd w:val="clear" w:color="000000" w:fill="7FA4D3"/>
            <w:noWrap/>
            <w:hideMark/>
          </w:tcPr>
          <w:p w14:paraId="1FA0F51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4,8%</w:t>
            </w:r>
          </w:p>
        </w:tc>
      </w:tr>
      <w:tr w:rsidR="007175FE" w:rsidRPr="00292E85" w14:paraId="2ED95B2B"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4FD306"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Nemohu posoudit</w:t>
            </w:r>
          </w:p>
        </w:tc>
        <w:tc>
          <w:tcPr>
            <w:tcW w:w="0" w:type="auto"/>
            <w:tcBorders>
              <w:top w:val="single" w:sz="4" w:space="0" w:color="auto"/>
              <w:left w:val="single" w:sz="4" w:space="0" w:color="auto"/>
              <w:bottom w:val="single" w:sz="4" w:space="0" w:color="auto"/>
              <w:right w:val="single" w:sz="4" w:space="0" w:color="auto"/>
            </w:tcBorders>
            <w:shd w:val="clear" w:color="000000" w:fill="FBD2D4"/>
            <w:noWrap/>
            <w:hideMark/>
          </w:tcPr>
          <w:p w14:paraId="475F508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31,0%</w:t>
            </w:r>
          </w:p>
        </w:tc>
        <w:tc>
          <w:tcPr>
            <w:tcW w:w="0" w:type="auto"/>
            <w:tcBorders>
              <w:top w:val="single" w:sz="4" w:space="0" w:color="auto"/>
              <w:left w:val="single" w:sz="4" w:space="0" w:color="auto"/>
              <w:bottom w:val="single" w:sz="4" w:space="0" w:color="auto"/>
              <w:right w:val="single" w:sz="4" w:space="0" w:color="auto"/>
            </w:tcBorders>
            <w:shd w:val="clear" w:color="000000" w:fill="FCDCDF"/>
            <w:noWrap/>
            <w:hideMark/>
          </w:tcPr>
          <w:p w14:paraId="2EA1A34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27,9%</w:t>
            </w:r>
          </w:p>
        </w:tc>
        <w:tc>
          <w:tcPr>
            <w:tcW w:w="0" w:type="auto"/>
            <w:tcBorders>
              <w:top w:val="single" w:sz="4" w:space="0" w:color="auto"/>
              <w:left w:val="single" w:sz="4" w:space="0" w:color="auto"/>
              <w:bottom w:val="single" w:sz="4" w:space="0" w:color="auto"/>
              <w:right w:val="single" w:sz="4" w:space="0" w:color="auto"/>
            </w:tcBorders>
            <w:shd w:val="clear" w:color="000000" w:fill="FBC8CB"/>
            <w:noWrap/>
            <w:hideMark/>
          </w:tcPr>
          <w:p w14:paraId="0A02099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33,7%</w:t>
            </w:r>
          </w:p>
        </w:tc>
        <w:tc>
          <w:tcPr>
            <w:tcW w:w="0" w:type="auto"/>
            <w:tcBorders>
              <w:top w:val="single" w:sz="4" w:space="0" w:color="auto"/>
              <w:left w:val="single" w:sz="4" w:space="0" w:color="auto"/>
              <w:bottom w:val="single" w:sz="4" w:space="0" w:color="auto"/>
              <w:right w:val="single" w:sz="4" w:space="0" w:color="auto"/>
            </w:tcBorders>
            <w:shd w:val="clear" w:color="000000" w:fill="E6ECF7"/>
            <w:noWrap/>
            <w:hideMark/>
          </w:tcPr>
          <w:p w14:paraId="0B3729DF"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16,2%</w:t>
            </w:r>
          </w:p>
        </w:tc>
        <w:tc>
          <w:tcPr>
            <w:tcW w:w="0" w:type="auto"/>
            <w:tcBorders>
              <w:top w:val="single" w:sz="4" w:space="0" w:color="auto"/>
              <w:left w:val="single" w:sz="4" w:space="0" w:color="auto"/>
              <w:bottom w:val="single" w:sz="4" w:space="0" w:color="auto"/>
              <w:right w:val="single" w:sz="4" w:space="0" w:color="auto"/>
            </w:tcBorders>
            <w:shd w:val="clear" w:color="000000" w:fill="FCF2F5"/>
            <w:noWrap/>
            <w:hideMark/>
          </w:tcPr>
          <w:p w14:paraId="5E4E0A14"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21,5%</w:t>
            </w:r>
          </w:p>
        </w:tc>
        <w:tc>
          <w:tcPr>
            <w:tcW w:w="0" w:type="auto"/>
            <w:tcBorders>
              <w:top w:val="single" w:sz="4" w:space="0" w:color="auto"/>
              <w:left w:val="single" w:sz="4" w:space="0" w:color="auto"/>
              <w:bottom w:val="single" w:sz="4" w:space="0" w:color="auto"/>
              <w:right w:val="single" w:sz="4" w:space="0" w:color="auto"/>
            </w:tcBorders>
            <w:shd w:val="clear" w:color="000000" w:fill="F8696B"/>
            <w:noWrap/>
            <w:hideMark/>
          </w:tcPr>
          <w:p w14:paraId="72E598B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61,1%</w:t>
            </w:r>
          </w:p>
        </w:tc>
        <w:tc>
          <w:tcPr>
            <w:tcW w:w="0" w:type="auto"/>
            <w:tcBorders>
              <w:top w:val="single" w:sz="4" w:space="0" w:color="auto"/>
              <w:left w:val="single" w:sz="4" w:space="0" w:color="auto"/>
              <w:bottom w:val="single" w:sz="4" w:space="0" w:color="auto"/>
              <w:right w:val="single" w:sz="4" w:space="0" w:color="auto"/>
            </w:tcBorders>
            <w:shd w:val="clear" w:color="000000" w:fill="FCF9FC"/>
            <w:noWrap/>
            <w:hideMark/>
          </w:tcPr>
          <w:p w14:paraId="6D1FF965"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19,5%</w:t>
            </w:r>
          </w:p>
        </w:tc>
        <w:tc>
          <w:tcPr>
            <w:tcW w:w="0" w:type="auto"/>
            <w:tcBorders>
              <w:top w:val="single" w:sz="4" w:space="0" w:color="auto"/>
              <w:left w:val="single" w:sz="4" w:space="0" w:color="auto"/>
              <w:bottom w:val="single" w:sz="4" w:space="0" w:color="auto"/>
              <w:right w:val="single" w:sz="4" w:space="0" w:color="auto"/>
            </w:tcBorders>
            <w:shd w:val="clear" w:color="000000" w:fill="FCF3F6"/>
            <w:noWrap/>
            <w:hideMark/>
          </w:tcPr>
          <w:p w14:paraId="7EAF86F5"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21,3%</w:t>
            </w:r>
          </w:p>
        </w:tc>
      </w:tr>
    </w:tbl>
    <w:p w14:paraId="638B4554" w14:textId="5BD24400" w:rsidR="007175FE" w:rsidRPr="00DA7AB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673332">
        <w:rPr>
          <w:rFonts w:asciiTheme="minorHAnsi" w:hAnsiTheme="minorHAnsi" w:cstheme="minorHAnsi"/>
        </w:rPr>
        <w:t>;</w:t>
      </w:r>
      <w:r w:rsidRPr="00DA7ABE">
        <w:rPr>
          <w:rFonts w:asciiTheme="minorHAnsi" w:hAnsiTheme="minorHAnsi" w:cstheme="minorHAnsi"/>
        </w:rPr>
        <w:t xml:space="preserve"> Otázka 9.</w:t>
      </w:r>
      <w:r w:rsidR="00673332">
        <w:rPr>
          <w:rFonts w:asciiTheme="minorHAnsi" w:hAnsiTheme="minorHAnsi" w:cstheme="minorHAnsi"/>
        </w:rPr>
        <w:t>:</w:t>
      </w:r>
      <w:r w:rsidRPr="00DA7ABE">
        <w:rPr>
          <w:rFonts w:asciiTheme="minorHAnsi" w:hAnsiTheme="minorHAnsi" w:cstheme="minorHAnsi"/>
        </w:rPr>
        <w:t xml:space="preserve"> Jak jste s pokojeni s nabídkou pracovních příležitostí ve Zlíně?</w:t>
      </w:r>
      <w:r w:rsidRPr="00DA7ABE">
        <w:rPr>
          <w:rFonts w:asciiTheme="minorHAnsi" w:hAnsiTheme="minorHAnsi" w:cstheme="minorHAnsi"/>
        </w:rPr>
        <w:br/>
        <w:t>Pozn.: Průměrné hodnocení na škále 0</w:t>
      </w:r>
      <w:r w:rsidR="00673332">
        <w:rPr>
          <w:rFonts w:asciiTheme="minorHAnsi" w:hAnsiTheme="minorHAnsi" w:cstheme="minorHAnsi"/>
        </w:rPr>
        <w:t xml:space="preserve"> </w:t>
      </w:r>
      <w:r w:rsidR="00673332">
        <w:rPr>
          <w:rFonts w:asciiTheme="minorHAnsi" w:hAnsiTheme="minorHAnsi" w:cstheme="minorHAnsi"/>
        </w:rPr>
        <w:sym w:font="Symbol" w:char="F02D"/>
      </w:r>
      <w:r w:rsidR="00673332">
        <w:rPr>
          <w:rFonts w:asciiTheme="minorHAnsi" w:hAnsiTheme="minorHAnsi" w:cstheme="minorHAnsi"/>
        </w:rPr>
        <w:t xml:space="preserve"> </w:t>
      </w:r>
      <w:r w:rsidRPr="00DA7ABE">
        <w:rPr>
          <w:rFonts w:asciiTheme="minorHAnsi" w:hAnsiTheme="minorHAnsi" w:cstheme="minorHAnsi"/>
        </w:rPr>
        <w:t>100 (0 velmi nespokojen 100 velmi spokojen).</w:t>
      </w:r>
    </w:p>
    <w:p w14:paraId="70EF9702" w14:textId="77777777" w:rsidR="007175FE" w:rsidRDefault="007175FE" w:rsidP="007175FE">
      <w:pPr>
        <w:rPr>
          <w:rFonts w:cstheme="minorHAnsi"/>
        </w:rPr>
      </w:pPr>
      <w:r>
        <w:rPr>
          <w:rFonts w:cstheme="minorHAnsi"/>
        </w:rPr>
        <w:t>Hlavním důvodem nespokojenosti respondentů s nabídkou pracovních příležitostí ve Zlíně jsou nízké mzdy a málo pracovních příležitostí v jimi zvoleném oboru, především také v oborech, které je ve Zlíně přímo možnost vystudovat. Také psali, že lepší nabídky jsou k nalezení v jiných městech. Chyběly jim větší firmy, uváděli špatné podmínky pro podnikatele a nedostupná zaměstnání pro různé skupiny obyvatel (zmiňovány téměř všechny skupiny obyvatel: vysokoškolsky vzdělaní, občané středního věku, studenti a mladí bez praxe, matky s dětmi, ZTP, ženy, středoškolsky vzdělaní, brigády pro penzisty).</w:t>
      </w:r>
    </w:p>
    <w:p w14:paraId="32810C5B" w14:textId="77777777" w:rsidR="007175FE" w:rsidRDefault="007175FE" w:rsidP="007175FE">
      <w:pPr>
        <w:rPr>
          <w:rFonts w:cstheme="minorHAnsi"/>
        </w:rPr>
      </w:pPr>
      <w:r>
        <w:rPr>
          <w:rFonts w:cstheme="minorHAnsi"/>
        </w:rPr>
        <w:t xml:space="preserve">Konkrétně studenti UTB jsou nejvíce nespokojeni s nedostatkem pracovních příležitostí v oboru a s nízkými mzdami. </w:t>
      </w:r>
    </w:p>
    <w:p w14:paraId="1BC3D6CD" w14:textId="3956FA70" w:rsidR="007175FE" w:rsidRPr="00DA7ABE" w:rsidRDefault="007175FE" w:rsidP="007175FE">
      <w:pPr>
        <w:pStyle w:val="Titulek"/>
        <w:keepNext/>
        <w:rPr>
          <w:rFonts w:cstheme="minorHAnsi"/>
        </w:rPr>
      </w:pPr>
      <w:bookmarkStart w:id="660" w:name="_Toc54702789"/>
      <w:bookmarkStart w:id="661" w:name="_Toc56179595"/>
      <w:bookmarkStart w:id="662" w:name="_Toc77074937"/>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16</w:t>
      </w:r>
      <w:r w:rsidR="0096730F">
        <w:rPr>
          <w:rFonts w:cstheme="minorHAnsi"/>
        </w:rPr>
        <w:fldChar w:fldCharType="end"/>
      </w:r>
      <w:r w:rsidR="00673332">
        <w:rPr>
          <w:rFonts w:cstheme="minorHAnsi"/>
        </w:rPr>
        <w:t>:</w:t>
      </w:r>
      <w:r w:rsidRPr="00DA7ABE">
        <w:rPr>
          <w:rFonts w:cstheme="minorHAnsi"/>
        </w:rPr>
        <w:t xml:space="preserve"> Důvody nespokojenosti s nabídkou pracovních příležitostí</w:t>
      </w:r>
      <w:bookmarkEnd w:id="660"/>
      <w:bookmarkEnd w:id="661"/>
      <w:bookmarkEnd w:id="662"/>
    </w:p>
    <w:p w14:paraId="431444D9" w14:textId="77777777" w:rsidR="007175FE" w:rsidRDefault="007175FE" w:rsidP="007175FE">
      <w:pPr>
        <w:pStyle w:val="zdroj0"/>
        <w:rPr>
          <w:rFonts w:asciiTheme="minorHAnsi" w:hAnsiTheme="minorHAnsi" w:cstheme="minorHAnsi"/>
        </w:rPr>
      </w:pPr>
      <w:r w:rsidRPr="00DA7ABE">
        <w:rPr>
          <w:rFonts w:asciiTheme="minorHAnsi" w:hAnsiTheme="minorHAnsi" w:cstheme="minorHAnsi"/>
          <w:noProof/>
        </w:rPr>
        <w:drawing>
          <wp:inline distT="0" distB="0" distL="0" distR="0" wp14:anchorId="18F19CBA" wp14:editId="08164186">
            <wp:extent cx="5760000" cy="4477965"/>
            <wp:effectExtent l="114300" t="114300" r="165100" b="170815"/>
            <wp:docPr id="364" name="Obrázek 364" descr="C:\Users\Linda Vyvialová\Desktop\Zlin_pruzkum\9a\9a_zlin_wordcl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nda Vyvialová\Desktop\Zlin_pruzkum\9a\9a_zlin_wordcloud.pn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13030" t="9636" r="12453" b="13113"/>
                    <a:stretch/>
                  </pic:blipFill>
                  <pic:spPr bwMode="auto">
                    <a:xfrm>
                      <a:off x="0" y="0"/>
                      <a:ext cx="5760000" cy="4477965"/>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BA21285" w14:textId="3143D157" w:rsidR="007175FE" w:rsidRDefault="007175FE" w:rsidP="007175FE">
      <w:pPr>
        <w:pStyle w:val="zdroj0"/>
        <w:rPr>
          <w:rFonts w:asciiTheme="minorHAnsi" w:hAnsiTheme="minorHAnsi" w:cstheme="minorHAnsi"/>
        </w:rPr>
      </w:pPr>
      <w:r w:rsidRPr="00DA7ABE">
        <w:rPr>
          <w:rFonts w:asciiTheme="minorHAnsi" w:hAnsiTheme="minorHAnsi" w:cstheme="minorHAnsi"/>
        </w:rPr>
        <w:t xml:space="preserve"> Zdroj: PROCES, Anketní šetření spokojenosti obyvatel města Zlín 2020</w:t>
      </w:r>
      <w:r w:rsidR="00673332">
        <w:rPr>
          <w:rFonts w:asciiTheme="minorHAnsi" w:hAnsiTheme="minorHAnsi" w:cstheme="minorHAnsi"/>
        </w:rPr>
        <w:t>;</w:t>
      </w:r>
      <w:r w:rsidRPr="00DA7ABE">
        <w:rPr>
          <w:rFonts w:asciiTheme="minorHAnsi" w:hAnsiTheme="minorHAnsi" w:cstheme="minorHAnsi"/>
        </w:rPr>
        <w:t xml:space="preserve"> Otázka 9.</w:t>
      </w:r>
      <w:r w:rsidR="00673332">
        <w:rPr>
          <w:rFonts w:asciiTheme="minorHAnsi" w:hAnsiTheme="minorHAnsi" w:cstheme="minorHAnsi"/>
        </w:rPr>
        <w:t>:</w:t>
      </w:r>
      <w:r w:rsidRPr="00DA7ABE">
        <w:rPr>
          <w:rFonts w:asciiTheme="minorHAnsi" w:hAnsiTheme="minorHAnsi" w:cstheme="minorHAnsi"/>
        </w:rPr>
        <w:t xml:space="preserve"> Jak jste s pokojeni s nabídkou pracovních příležitostí ve Zlíně? </w:t>
      </w:r>
      <w:r w:rsidRPr="00DA7ABE">
        <w:rPr>
          <w:rFonts w:asciiTheme="minorHAnsi" w:hAnsiTheme="minorHAnsi" w:cstheme="minorHAnsi"/>
        </w:rPr>
        <w:b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 Značka „...“ znamená „málo pracovních příležitostí“.</w:t>
      </w:r>
    </w:p>
    <w:p w14:paraId="13AD626B" w14:textId="7B7B7CBE" w:rsidR="007175FE" w:rsidRDefault="007175FE" w:rsidP="007175FE">
      <w:pPr>
        <w:pStyle w:val="Titulek"/>
        <w:keepNext/>
      </w:pPr>
      <w:bookmarkStart w:id="663" w:name="_Toc54702629"/>
      <w:bookmarkStart w:id="664" w:name="_Toc56179436"/>
      <w:bookmarkStart w:id="665" w:name="_Toc57731794"/>
      <w:bookmarkStart w:id="666" w:name="_Toc7707477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15</w:t>
      </w:r>
      <w:r w:rsidR="00081B47">
        <w:rPr>
          <w:noProof/>
        </w:rPr>
        <w:fldChar w:fldCharType="end"/>
      </w:r>
      <w:r w:rsidR="00673332">
        <w:rPr>
          <w:noProof/>
        </w:rPr>
        <w:t>:</w:t>
      </w:r>
      <w:r>
        <w:t xml:space="preserve"> Odpovědi dle počtu respondentů</w:t>
      </w:r>
      <w:bookmarkEnd w:id="663"/>
      <w:bookmarkEnd w:id="664"/>
      <w:bookmarkEnd w:id="665"/>
      <w:bookmarkEnd w:id="666"/>
    </w:p>
    <w:tbl>
      <w:tblPr>
        <w:tblW w:w="5000" w:type="pct"/>
        <w:tblLayout w:type="fixed"/>
        <w:tblCellMar>
          <w:left w:w="70" w:type="dxa"/>
          <w:right w:w="70" w:type="dxa"/>
        </w:tblCellMar>
        <w:tblLook w:val="04A0" w:firstRow="1" w:lastRow="0" w:firstColumn="1" w:lastColumn="0" w:noHBand="0" w:noVBand="1"/>
      </w:tblPr>
      <w:tblGrid>
        <w:gridCol w:w="449"/>
        <w:gridCol w:w="2668"/>
        <w:gridCol w:w="1698"/>
        <w:gridCol w:w="424"/>
        <w:gridCol w:w="2128"/>
        <w:gridCol w:w="1695"/>
      </w:tblGrid>
      <w:tr w:rsidR="007175FE" w:rsidRPr="009C663D" w14:paraId="1D0D85BE"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DA55E23"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w:t>
            </w:r>
          </w:p>
        </w:tc>
        <w:tc>
          <w:tcPr>
            <w:tcW w:w="1472" w:type="pct"/>
            <w:tcBorders>
              <w:top w:val="single" w:sz="4" w:space="0" w:color="auto"/>
              <w:left w:val="nil"/>
              <w:bottom w:val="single" w:sz="4" w:space="0" w:color="auto"/>
              <w:right w:val="single" w:sz="4" w:space="0" w:color="auto"/>
            </w:tcBorders>
            <w:shd w:val="clear" w:color="000000" w:fill="F2F2F2"/>
            <w:noWrap/>
            <w:vAlign w:val="center"/>
            <w:hideMark/>
          </w:tcPr>
          <w:p w14:paraId="4C19588E"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Co Vám chybí</w:t>
            </w:r>
          </w:p>
        </w:tc>
        <w:tc>
          <w:tcPr>
            <w:tcW w:w="937" w:type="pct"/>
            <w:tcBorders>
              <w:top w:val="single" w:sz="4" w:space="0" w:color="auto"/>
              <w:left w:val="nil"/>
              <w:bottom w:val="single" w:sz="4" w:space="0" w:color="auto"/>
              <w:right w:val="single" w:sz="4" w:space="0" w:color="auto"/>
            </w:tcBorders>
            <w:shd w:val="clear" w:color="000000" w:fill="F2F2F2"/>
            <w:noWrap/>
            <w:vAlign w:val="center"/>
            <w:hideMark/>
          </w:tcPr>
          <w:p w14:paraId="03671289"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Počet respondentů</w:t>
            </w:r>
          </w:p>
        </w:tc>
        <w:tc>
          <w:tcPr>
            <w:tcW w:w="234" w:type="pct"/>
            <w:tcBorders>
              <w:top w:val="single" w:sz="4" w:space="0" w:color="auto"/>
              <w:left w:val="nil"/>
              <w:bottom w:val="single" w:sz="4" w:space="0" w:color="auto"/>
              <w:right w:val="single" w:sz="4" w:space="0" w:color="auto"/>
            </w:tcBorders>
            <w:shd w:val="clear" w:color="000000" w:fill="F2F2F2"/>
            <w:vAlign w:val="center"/>
            <w:hideMark/>
          </w:tcPr>
          <w:p w14:paraId="243EC82B"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w:t>
            </w:r>
          </w:p>
        </w:tc>
        <w:tc>
          <w:tcPr>
            <w:tcW w:w="1174" w:type="pct"/>
            <w:tcBorders>
              <w:top w:val="single" w:sz="4" w:space="0" w:color="auto"/>
              <w:left w:val="nil"/>
              <w:bottom w:val="single" w:sz="4" w:space="0" w:color="auto"/>
              <w:right w:val="single" w:sz="4" w:space="0" w:color="auto"/>
            </w:tcBorders>
            <w:shd w:val="clear" w:color="000000" w:fill="F2F2F2"/>
            <w:noWrap/>
            <w:vAlign w:val="center"/>
            <w:hideMark/>
          </w:tcPr>
          <w:p w14:paraId="1791EE85"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Co Vám chybí</w:t>
            </w:r>
          </w:p>
        </w:tc>
        <w:tc>
          <w:tcPr>
            <w:tcW w:w="935" w:type="pct"/>
            <w:tcBorders>
              <w:top w:val="single" w:sz="4" w:space="0" w:color="auto"/>
              <w:left w:val="nil"/>
              <w:bottom w:val="single" w:sz="4" w:space="0" w:color="auto"/>
              <w:right w:val="single" w:sz="4" w:space="0" w:color="auto"/>
            </w:tcBorders>
            <w:shd w:val="clear" w:color="000000" w:fill="F2F2F2"/>
            <w:noWrap/>
            <w:vAlign w:val="center"/>
            <w:hideMark/>
          </w:tcPr>
          <w:p w14:paraId="54781013"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Počet respondentů</w:t>
            </w:r>
          </w:p>
        </w:tc>
      </w:tr>
      <w:tr w:rsidR="007175FE" w:rsidRPr="009C663D" w14:paraId="6ED78DEA"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AD07F86"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1BB905AF"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nízké mzdy</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BC16C"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98</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7D82493"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9</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19FFFB2A"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studenty</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332FB"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5</w:t>
            </w:r>
          </w:p>
        </w:tc>
      </w:tr>
      <w:tr w:rsidR="007175FE" w:rsidRPr="009C663D" w14:paraId="7FB2E0D1"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6C35D4"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2</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7859EE8A"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málo příležitostí (v oboru)</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10CE2"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95</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7F8118A"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10</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32C5DA5D"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mladé bez praxe</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6E598"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5</w:t>
            </w:r>
          </w:p>
        </w:tc>
      </w:tr>
      <w:tr w:rsidR="007175FE" w:rsidRPr="009C663D" w14:paraId="02FCFECE"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C67A1A6"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3</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7EB10A2F"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lepší nabídky jinde</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0A5B5"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21</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D41FBAE"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11</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3760FD68"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matky s dětmi</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6454B"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3</w:t>
            </w:r>
          </w:p>
        </w:tc>
      </w:tr>
      <w:tr w:rsidR="007175FE" w:rsidRPr="009C663D" w14:paraId="2D3856DD"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EC7CCEC"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4</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120D5A66"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vysokoškolsky vzdělané</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1AB4F"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17</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925CEA4"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12</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4A75345B"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práce pouze po známosti</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66B8A"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3</w:t>
            </w:r>
          </w:p>
        </w:tc>
      </w:tr>
      <w:tr w:rsidR="007175FE" w:rsidRPr="009C663D" w14:paraId="4AAD3C5D"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5692BEF"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5</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0EC74CE3"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chybí větší firmy</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D6ADF"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16</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59AEA6"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13</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0E8DF4A5"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ZTP</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F055A"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2</w:t>
            </w:r>
          </w:p>
        </w:tc>
      </w:tr>
      <w:tr w:rsidR="007175FE" w:rsidRPr="009C663D" w14:paraId="1CF23B6C"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F1A090"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6</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3AA999EA"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špatné podmínky pro podnikatele</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28B8A"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7</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62FE555"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14</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767DAA31"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ženy</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72278"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2</w:t>
            </w:r>
          </w:p>
        </w:tc>
      </w:tr>
      <w:tr w:rsidR="007175FE" w:rsidRPr="009C663D" w14:paraId="4D03D019"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3DE724F"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7</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57D3EC88"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doprava</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60135"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7</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5094C5B"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15</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30C333E0"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středoškoláky</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A9D2AB"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1</w:t>
            </w:r>
          </w:p>
        </w:tc>
      </w:tr>
      <w:tr w:rsidR="007175FE" w:rsidRPr="009C663D" w14:paraId="35A39821" w14:textId="77777777" w:rsidTr="000C49A5">
        <w:trPr>
          <w:trHeight w:val="283"/>
        </w:trPr>
        <w:tc>
          <w:tcPr>
            <w:tcW w:w="24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533117"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8</w:t>
            </w:r>
          </w:p>
        </w:tc>
        <w:tc>
          <w:tcPr>
            <w:tcW w:w="1472" w:type="pct"/>
            <w:tcBorders>
              <w:top w:val="nil"/>
              <w:left w:val="nil"/>
              <w:bottom w:val="single" w:sz="4" w:space="0" w:color="auto"/>
              <w:right w:val="single" w:sz="4" w:space="0" w:color="auto"/>
            </w:tcBorders>
            <w:shd w:val="clear" w:color="auto" w:fill="F2F2F2" w:themeFill="background1" w:themeFillShade="F2"/>
            <w:noWrap/>
            <w:vAlign w:val="bottom"/>
            <w:hideMark/>
          </w:tcPr>
          <w:p w14:paraId="608F094F"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 pro občany středního věku</w:t>
            </w:r>
          </w:p>
        </w:tc>
        <w:tc>
          <w:tcPr>
            <w:tcW w:w="9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50040"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6</w:t>
            </w:r>
          </w:p>
        </w:tc>
        <w:tc>
          <w:tcPr>
            <w:tcW w:w="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FC78E50" w14:textId="77777777" w:rsidR="007175FE" w:rsidRPr="003D492B" w:rsidRDefault="007175FE" w:rsidP="000C49A5">
            <w:pPr>
              <w:keepNext/>
              <w:jc w:val="center"/>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16</w:t>
            </w:r>
          </w:p>
        </w:tc>
        <w:tc>
          <w:tcPr>
            <w:tcW w:w="1174" w:type="pct"/>
            <w:tcBorders>
              <w:top w:val="nil"/>
              <w:left w:val="nil"/>
              <w:bottom w:val="single" w:sz="4" w:space="0" w:color="auto"/>
              <w:right w:val="single" w:sz="4" w:space="0" w:color="auto"/>
            </w:tcBorders>
            <w:shd w:val="clear" w:color="auto" w:fill="F2F2F2" w:themeFill="background1" w:themeFillShade="F2"/>
            <w:noWrap/>
            <w:vAlign w:val="bottom"/>
            <w:hideMark/>
          </w:tcPr>
          <w:p w14:paraId="65AB5E97" w14:textId="77777777" w:rsidR="007175FE" w:rsidRPr="003D492B" w:rsidRDefault="007175FE" w:rsidP="000C49A5">
            <w:pPr>
              <w:keepNext/>
              <w:rPr>
                <w:rFonts w:ascii="Calibri" w:eastAsia="Times New Roman" w:hAnsi="Calibri" w:cs="Calibri"/>
                <w:b/>
                <w:color w:val="000000"/>
                <w:sz w:val="18"/>
                <w:szCs w:val="18"/>
                <w:lang w:eastAsia="cs-CZ"/>
              </w:rPr>
            </w:pPr>
            <w:r w:rsidRPr="003D492B">
              <w:rPr>
                <w:rFonts w:ascii="Calibri" w:eastAsia="Times New Roman" w:hAnsi="Calibri" w:cs="Calibri"/>
                <w:b/>
                <w:color w:val="000000"/>
                <w:sz w:val="18"/>
                <w:szCs w:val="18"/>
                <w:lang w:eastAsia="cs-CZ"/>
              </w:rPr>
              <w:t>brigády pro penzisty</w:t>
            </w:r>
          </w:p>
        </w:tc>
        <w:tc>
          <w:tcPr>
            <w:tcW w:w="9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8A44A" w14:textId="77777777" w:rsidR="007175FE" w:rsidRPr="009C663D" w:rsidRDefault="007175FE" w:rsidP="000C49A5">
            <w:pPr>
              <w:keepNext/>
              <w:jc w:val="right"/>
              <w:rPr>
                <w:rFonts w:ascii="Calibri" w:eastAsia="Times New Roman" w:hAnsi="Calibri" w:cs="Calibri"/>
                <w:color w:val="000000"/>
                <w:sz w:val="18"/>
                <w:szCs w:val="18"/>
                <w:lang w:eastAsia="cs-CZ"/>
              </w:rPr>
            </w:pPr>
            <w:r w:rsidRPr="009C663D">
              <w:rPr>
                <w:rFonts w:ascii="Calibri" w:eastAsia="Times New Roman" w:hAnsi="Calibri" w:cs="Calibri"/>
                <w:color w:val="000000"/>
                <w:sz w:val="18"/>
                <w:szCs w:val="18"/>
                <w:lang w:eastAsia="cs-CZ"/>
              </w:rPr>
              <w:t>1</w:t>
            </w:r>
          </w:p>
        </w:tc>
      </w:tr>
    </w:tbl>
    <w:p w14:paraId="600FFD88" w14:textId="6A71FD53" w:rsidR="007175F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spokojenos</w:t>
      </w:r>
      <w:r w:rsidR="00673332">
        <w:rPr>
          <w:rFonts w:asciiTheme="minorHAnsi" w:hAnsiTheme="minorHAnsi" w:cstheme="minorHAnsi"/>
        </w:rPr>
        <w:t>ti obyvatel města Zlín 2020;</w:t>
      </w:r>
      <w:r w:rsidRPr="00DA7ABE">
        <w:rPr>
          <w:rFonts w:asciiTheme="minorHAnsi" w:hAnsiTheme="minorHAnsi" w:cstheme="minorHAnsi"/>
        </w:rPr>
        <w:t xml:space="preserve"> Otázka 9.</w:t>
      </w:r>
      <w:r w:rsidR="00673332">
        <w:rPr>
          <w:rFonts w:asciiTheme="minorHAnsi" w:hAnsiTheme="minorHAnsi" w:cstheme="minorHAnsi"/>
        </w:rPr>
        <w:t>:</w:t>
      </w:r>
      <w:r w:rsidRPr="00DA7ABE">
        <w:rPr>
          <w:rFonts w:asciiTheme="minorHAnsi" w:hAnsiTheme="minorHAnsi" w:cstheme="minorHAnsi"/>
        </w:rPr>
        <w:t xml:space="preserve"> Jak jste s pokojeni s nabídkou pracovních příležitostí ve Zlíně?</w:t>
      </w:r>
      <w:r w:rsidRPr="009C663D">
        <w:rPr>
          <w:rFonts w:asciiTheme="minorHAnsi" w:hAnsiTheme="minorHAnsi" w:cstheme="minorHAnsi"/>
        </w:rPr>
        <w:t xml:space="preserve"> </w:t>
      </w:r>
      <w:r>
        <w:rPr>
          <w:rFonts w:asciiTheme="minorHAnsi" w:hAnsiTheme="minorHAnsi" w:cstheme="minorHAnsi"/>
        </w:rPr>
        <w:br/>
      </w:r>
      <w:r w:rsidRPr="00DA7ABE">
        <w:rPr>
          <w:rFonts w:asciiTheme="minorHAnsi" w:hAnsiTheme="minorHAnsi" w:cstheme="minorHAnsi"/>
        </w:rPr>
        <w:t>Pozn.: Značka „...“ znamená „málo pracovních příležitostí“.</w:t>
      </w:r>
    </w:p>
    <w:p w14:paraId="607E388D" w14:textId="77777777" w:rsidR="007175FE" w:rsidRDefault="007175FE" w:rsidP="007175FE">
      <w:pPr>
        <w:keepNext/>
      </w:pPr>
      <w:r>
        <w:t>Seznam oborů, které respondentům ve Zlíně chybí (pokud byly v rámci odpovědi zmíněny):</w:t>
      </w:r>
    </w:p>
    <w:tbl>
      <w:tblPr>
        <w:tblW w:w="5000" w:type="pct"/>
        <w:tblCellMar>
          <w:left w:w="70" w:type="dxa"/>
          <w:right w:w="70" w:type="dxa"/>
        </w:tblCellMar>
        <w:tblLook w:val="04A0" w:firstRow="1" w:lastRow="0" w:firstColumn="1" w:lastColumn="0" w:noHBand="0" w:noVBand="1"/>
      </w:tblPr>
      <w:tblGrid>
        <w:gridCol w:w="2756"/>
        <w:gridCol w:w="11"/>
        <w:gridCol w:w="3550"/>
        <w:gridCol w:w="2755"/>
      </w:tblGrid>
      <w:tr w:rsidR="007175FE" w14:paraId="3B893C21" w14:textId="77777777" w:rsidTr="000C49A5">
        <w:trPr>
          <w:trHeight w:val="240"/>
        </w:trPr>
        <w:tc>
          <w:tcPr>
            <w:tcW w:w="1667" w:type="pct"/>
            <w:noWrap/>
            <w:vAlign w:val="bottom"/>
            <w:hideMark/>
          </w:tcPr>
          <w:p w14:paraId="654C5382"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administrativa (4x)</w:t>
            </w:r>
          </w:p>
        </w:tc>
        <w:tc>
          <w:tcPr>
            <w:tcW w:w="1667" w:type="pct"/>
            <w:gridSpan w:val="2"/>
            <w:noWrap/>
            <w:vAlign w:val="bottom"/>
            <w:hideMark/>
          </w:tcPr>
          <w:p w14:paraId="3C2C9DB5"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cestovní ruch</w:t>
            </w:r>
          </w:p>
        </w:tc>
        <w:tc>
          <w:tcPr>
            <w:tcW w:w="1667" w:type="pct"/>
            <w:noWrap/>
            <w:vAlign w:val="bottom"/>
            <w:hideMark/>
          </w:tcPr>
          <w:p w14:paraId="16AB0FC8"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průmysl</w:t>
            </w:r>
          </w:p>
        </w:tc>
      </w:tr>
      <w:tr w:rsidR="007175FE" w14:paraId="1132FB43" w14:textId="77777777" w:rsidTr="000C49A5">
        <w:trPr>
          <w:trHeight w:val="240"/>
        </w:trPr>
        <w:tc>
          <w:tcPr>
            <w:tcW w:w="1667" w:type="pct"/>
            <w:noWrap/>
            <w:vAlign w:val="bottom"/>
            <w:hideMark/>
          </w:tcPr>
          <w:p w14:paraId="1AD49AFA"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IT (4x)</w:t>
            </w:r>
          </w:p>
        </w:tc>
        <w:tc>
          <w:tcPr>
            <w:tcW w:w="1667" w:type="pct"/>
            <w:gridSpan w:val="2"/>
            <w:noWrap/>
            <w:vAlign w:val="bottom"/>
            <w:hideMark/>
          </w:tcPr>
          <w:p w14:paraId="694A2C41"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fotograf</w:t>
            </w:r>
          </w:p>
        </w:tc>
        <w:tc>
          <w:tcPr>
            <w:tcW w:w="1667" w:type="pct"/>
            <w:noWrap/>
            <w:vAlign w:val="bottom"/>
            <w:hideMark/>
          </w:tcPr>
          <w:p w14:paraId="5D90A5BC"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recepční</w:t>
            </w:r>
          </w:p>
        </w:tc>
      </w:tr>
      <w:tr w:rsidR="007175FE" w14:paraId="56CD6C91" w14:textId="77777777" w:rsidTr="000C49A5">
        <w:trPr>
          <w:trHeight w:val="240"/>
        </w:trPr>
        <w:tc>
          <w:tcPr>
            <w:tcW w:w="1667" w:type="pct"/>
            <w:noWrap/>
            <w:vAlign w:val="bottom"/>
            <w:hideMark/>
          </w:tcPr>
          <w:p w14:paraId="6BDDE445"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jazyky (3x)</w:t>
            </w:r>
          </w:p>
        </w:tc>
        <w:tc>
          <w:tcPr>
            <w:tcW w:w="1667" w:type="pct"/>
            <w:gridSpan w:val="2"/>
            <w:noWrap/>
            <w:vAlign w:val="bottom"/>
            <w:hideMark/>
          </w:tcPr>
          <w:p w14:paraId="3A8B2E57"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inovativní obory</w:t>
            </w:r>
          </w:p>
        </w:tc>
        <w:tc>
          <w:tcPr>
            <w:tcW w:w="1667" w:type="pct"/>
            <w:noWrap/>
            <w:vAlign w:val="bottom"/>
            <w:hideMark/>
          </w:tcPr>
          <w:p w14:paraId="087DA271"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řízení</w:t>
            </w:r>
          </w:p>
        </w:tc>
      </w:tr>
      <w:tr w:rsidR="007175FE" w14:paraId="23BE1865" w14:textId="77777777" w:rsidTr="000C49A5">
        <w:trPr>
          <w:trHeight w:val="240"/>
        </w:trPr>
        <w:tc>
          <w:tcPr>
            <w:tcW w:w="1667" w:type="pct"/>
            <w:noWrap/>
            <w:vAlign w:val="bottom"/>
            <w:hideMark/>
          </w:tcPr>
          <w:p w14:paraId="21CAD443"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účetnictví (3x)</w:t>
            </w:r>
          </w:p>
        </w:tc>
        <w:tc>
          <w:tcPr>
            <w:tcW w:w="1667" w:type="pct"/>
            <w:gridSpan w:val="2"/>
            <w:noWrap/>
            <w:vAlign w:val="bottom"/>
            <w:hideMark/>
          </w:tcPr>
          <w:p w14:paraId="7D3DE328"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kancelářská práce</w:t>
            </w:r>
          </w:p>
        </w:tc>
        <w:tc>
          <w:tcPr>
            <w:tcW w:w="1667" w:type="pct"/>
            <w:noWrap/>
            <w:vAlign w:val="bottom"/>
            <w:hideMark/>
          </w:tcPr>
          <w:p w14:paraId="4A40670C" w14:textId="32105C4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start</w:t>
            </w:r>
            <w:r w:rsidR="00673332">
              <w:rPr>
                <w:rFonts w:eastAsia="Times New Roman" w:cstheme="minorHAnsi"/>
                <w:sz w:val="18"/>
                <w:szCs w:val="18"/>
                <w:lang w:eastAsia="cs-CZ"/>
              </w:rPr>
              <w:t>-</w:t>
            </w:r>
            <w:r>
              <w:rPr>
                <w:rFonts w:eastAsia="Times New Roman" w:cstheme="minorHAnsi"/>
                <w:sz w:val="18"/>
                <w:szCs w:val="18"/>
                <w:lang w:eastAsia="cs-CZ"/>
              </w:rPr>
              <w:t>upy</w:t>
            </w:r>
          </w:p>
        </w:tc>
      </w:tr>
      <w:tr w:rsidR="007175FE" w14:paraId="4B9CA1C2" w14:textId="77777777" w:rsidTr="000C49A5">
        <w:trPr>
          <w:trHeight w:val="240"/>
        </w:trPr>
        <w:tc>
          <w:tcPr>
            <w:tcW w:w="1667" w:type="pct"/>
            <w:noWrap/>
            <w:vAlign w:val="bottom"/>
            <w:hideMark/>
          </w:tcPr>
          <w:p w14:paraId="4EBA96C9"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kreativní obory (2x)</w:t>
            </w:r>
          </w:p>
        </w:tc>
        <w:tc>
          <w:tcPr>
            <w:tcW w:w="1667" w:type="pct"/>
            <w:gridSpan w:val="2"/>
            <w:noWrap/>
            <w:vAlign w:val="bottom"/>
            <w:hideMark/>
          </w:tcPr>
          <w:p w14:paraId="67376A6B"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manažerské zdravotnické pozice</w:t>
            </w:r>
          </w:p>
        </w:tc>
        <w:tc>
          <w:tcPr>
            <w:tcW w:w="1667" w:type="pct"/>
            <w:noWrap/>
            <w:vAlign w:val="bottom"/>
            <w:hideMark/>
          </w:tcPr>
          <w:p w14:paraId="53FA7D10"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strojírenství</w:t>
            </w:r>
          </w:p>
        </w:tc>
      </w:tr>
      <w:tr w:rsidR="007175FE" w14:paraId="11A7CA18" w14:textId="77777777" w:rsidTr="000C49A5">
        <w:trPr>
          <w:trHeight w:val="240"/>
        </w:trPr>
        <w:tc>
          <w:tcPr>
            <w:tcW w:w="1667" w:type="pct"/>
            <w:noWrap/>
            <w:vAlign w:val="bottom"/>
            <w:hideMark/>
          </w:tcPr>
          <w:p w14:paraId="52F66C3D"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kreativní průmysl (2x)</w:t>
            </w:r>
          </w:p>
        </w:tc>
        <w:tc>
          <w:tcPr>
            <w:tcW w:w="1667" w:type="pct"/>
            <w:gridSpan w:val="2"/>
            <w:noWrap/>
            <w:vAlign w:val="bottom"/>
            <w:hideMark/>
          </w:tcPr>
          <w:p w14:paraId="52A3350E"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molekulární biologie, genetika, biochemie</w:t>
            </w:r>
          </w:p>
        </w:tc>
        <w:tc>
          <w:tcPr>
            <w:tcW w:w="1667" w:type="pct"/>
            <w:noWrap/>
            <w:vAlign w:val="bottom"/>
            <w:hideMark/>
          </w:tcPr>
          <w:p w14:paraId="5A372C35"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střední management</w:t>
            </w:r>
          </w:p>
        </w:tc>
      </w:tr>
      <w:tr w:rsidR="007175FE" w14:paraId="438D07EC" w14:textId="77777777" w:rsidTr="000C49A5">
        <w:trPr>
          <w:trHeight w:val="240"/>
        </w:trPr>
        <w:tc>
          <w:tcPr>
            <w:tcW w:w="1667" w:type="pct"/>
            <w:noWrap/>
            <w:vAlign w:val="bottom"/>
            <w:hideMark/>
          </w:tcPr>
          <w:p w14:paraId="6D00B037"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technologické firmy (2x)</w:t>
            </w:r>
          </w:p>
        </w:tc>
        <w:tc>
          <w:tcPr>
            <w:tcW w:w="1667" w:type="pct"/>
            <w:gridSpan w:val="2"/>
            <w:noWrap/>
            <w:vAlign w:val="bottom"/>
            <w:hideMark/>
          </w:tcPr>
          <w:p w14:paraId="4E752258"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pokojská</w:t>
            </w:r>
          </w:p>
        </w:tc>
        <w:tc>
          <w:tcPr>
            <w:tcW w:w="1667" w:type="pct"/>
            <w:noWrap/>
            <w:vAlign w:val="bottom"/>
            <w:hideMark/>
          </w:tcPr>
          <w:p w14:paraId="7EB36740"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umělecké obory</w:t>
            </w:r>
          </w:p>
        </w:tc>
      </w:tr>
      <w:tr w:rsidR="007175FE" w14:paraId="3837C6AB" w14:textId="77777777" w:rsidTr="000C49A5">
        <w:trPr>
          <w:trHeight w:val="240"/>
        </w:trPr>
        <w:tc>
          <w:tcPr>
            <w:tcW w:w="1672" w:type="pct"/>
            <w:gridSpan w:val="2"/>
            <w:noWrap/>
            <w:vAlign w:val="bottom"/>
            <w:hideMark/>
          </w:tcPr>
          <w:p w14:paraId="1475C460"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výroba (2x)</w:t>
            </w:r>
          </w:p>
        </w:tc>
        <w:tc>
          <w:tcPr>
            <w:tcW w:w="3328" w:type="pct"/>
            <w:gridSpan w:val="2"/>
            <w:noWrap/>
            <w:vAlign w:val="bottom"/>
            <w:hideMark/>
          </w:tcPr>
          <w:p w14:paraId="04FB4FF9"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pozice v psychiatrické nemocnici</w:t>
            </w:r>
          </w:p>
        </w:tc>
      </w:tr>
      <w:tr w:rsidR="007175FE" w14:paraId="25C550DA" w14:textId="77777777" w:rsidTr="000C49A5">
        <w:trPr>
          <w:trHeight w:val="240"/>
        </w:trPr>
        <w:tc>
          <w:tcPr>
            <w:tcW w:w="1672" w:type="pct"/>
            <w:gridSpan w:val="2"/>
            <w:noWrap/>
            <w:vAlign w:val="bottom"/>
            <w:hideMark/>
          </w:tcPr>
          <w:p w14:paraId="4ECD6556"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 xml:space="preserve">automatizace </w:t>
            </w:r>
          </w:p>
        </w:tc>
        <w:tc>
          <w:tcPr>
            <w:tcW w:w="3328" w:type="pct"/>
            <w:gridSpan w:val="2"/>
            <w:noWrap/>
            <w:vAlign w:val="bottom"/>
            <w:hideMark/>
          </w:tcPr>
          <w:p w14:paraId="38B57E91" w14:textId="77777777" w:rsidR="007175FE" w:rsidRDefault="007175FE" w:rsidP="00A55F7D">
            <w:pPr>
              <w:pStyle w:val="Odstavecseseznamem"/>
              <w:keepNext/>
              <w:numPr>
                <w:ilvl w:val="0"/>
                <w:numId w:val="75"/>
              </w:numPr>
              <w:spacing w:before="0"/>
              <w:jc w:val="left"/>
              <w:rPr>
                <w:rFonts w:eastAsia="Times New Roman" w:cstheme="minorHAnsi"/>
                <w:sz w:val="18"/>
                <w:szCs w:val="18"/>
                <w:lang w:eastAsia="cs-CZ"/>
              </w:rPr>
            </w:pPr>
            <w:r>
              <w:rPr>
                <w:rFonts w:eastAsia="Times New Roman" w:cstheme="minorHAnsi"/>
                <w:sz w:val="18"/>
                <w:szCs w:val="18"/>
                <w:lang w:eastAsia="cs-CZ"/>
              </w:rPr>
              <w:t>práce mimo výrobní linky</w:t>
            </w:r>
          </w:p>
        </w:tc>
      </w:tr>
    </w:tbl>
    <w:p w14:paraId="1DBB7C4F" w14:textId="77777777" w:rsidR="007175FE" w:rsidRPr="00DA7ABE" w:rsidRDefault="007175FE" w:rsidP="007175FE">
      <w:pPr>
        <w:pStyle w:val="zdroj0"/>
        <w:rPr>
          <w:rFonts w:asciiTheme="minorHAnsi" w:hAnsiTheme="minorHAnsi" w:cstheme="minorHAnsi"/>
        </w:rPr>
      </w:pPr>
    </w:p>
    <w:p w14:paraId="3C9CB69F" w14:textId="77777777" w:rsidR="007175FE" w:rsidRDefault="007175FE" w:rsidP="007175FE">
      <w:pPr>
        <w:pStyle w:val="Nadpis3"/>
      </w:pPr>
      <w:bookmarkStart w:id="667" w:name="_Toc50116473"/>
      <w:bookmarkStart w:id="668" w:name="_Toc77074630"/>
      <w:r>
        <w:t>Jak hodnotím bezpečnost</w:t>
      </w:r>
      <w:bookmarkEnd w:id="667"/>
      <w:bookmarkEnd w:id="668"/>
    </w:p>
    <w:p w14:paraId="6316B605" w14:textId="77777777" w:rsidR="007175FE" w:rsidRPr="00DA7ABE" w:rsidRDefault="007175FE" w:rsidP="007175FE">
      <w:pPr>
        <w:rPr>
          <w:rFonts w:cstheme="minorHAnsi"/>
        </w:rPr>
      </w:pPr>
      <w:r w:rsidRPr="003D492B">
        <w:rPr>
          <w:rFonts w:cstheme="minorHAnsi"/>
        </w:rPr>
        <w:t xml:space="preserve">Většina respondentů se cítí ve městě bezpečně. Pocit bezpečí v místě bydliště nemá 9,6 % občanů, dalších 9,0 % občanů se necítí v místě bydliště ani bezpečně ani nebezpečně. Pocit bezpečí v místě bydliště má 80,1 % </w:t>
      </w:r>
      <w:r>
        <w:rPr>
          <w:rFonts w:cstheme="minorHAnsi"/>
        </w:rPr>
        <w:t>občanů Zlína</w:t>
      </w:r>
      <w:r w:rsidRPr="003D492B">
        <w:rPr>
          <w:rFonts w:cstheme="minorHAnsi"/>
        </w:rPr>
        <w:t>.</w:t>
      </w:r>
      <w:r w:rsidRPr="000B2BC6">
        <w:rPr>
          <w:rFonts w:cstheme="minorHAnsi"/>
        </w:rPr>
        <w:t xml:space="preserve"> Pocit bezpečí u respondentů s trvalým bydlištěm mimo Zlín a u studentů UTB je mírně vyšší (80,8 % a 84,4 %).</w:t>
      </w:r>
    </w:p>
    <w:p w14:paraId="7951C9DC" w14:textId="62E1A2BE" w:rsidR="007175FE" w:rsidRPr="00DA7ABE" w:rsidRDefault="007175FE" w:rsidP="007175FE">
      <w:pPr>
        <w:pStyle w:val="Titulek"/>
        <w:keepNext/>
        <w:keepLines/>
        <w:rPr>
          <w:rFonts w:cstheme="minorHAnsi"/>
        </w:rPr>
      </w:pPr>
      <w:bookmarkStart w:id="669" w:name="_Toc54702790"/>
      <w:bookmarkStart w:id="670" w:name="_Toc56179596"/>
      <w:bookmarkStart w:id="671" w:name="_Toc77074938"/>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17</w:t>
      </w:r>
      <w:r w:rsidR="0096730F">
        <w:rPr>
          <w:rFonts w:cstheme="minorHAnsi"/>
        </w:rPr>
        <w:fldChar w:fldCharType="end"/>
      </w:r>
      <w:r w:rsidR="00673332">
        <w:rPr>
          <w:rFonts w:cstheme="minorHAnsi"/>
        </w:rPr>
        <w:t>:</w:t>
      </w:r>
      <w:r w:rsidRPr="00DA7ABE">
        <w:rPr>
          <w:rFonts w:cstheme="minorHAnsi"/>
        </w:rPr>
        <w:t xml:space="preserve"> Pocit bezpečí v místě bydliště</w:t>
      </w:r>
      <w:bookmarkEnd w:id="669"/>
      <w:bookmarkEnd w:id="670"/>
      <w:bookmarkEnd w:id="671"/>
    </w:p>
    <w:p w14:paraId="51B9FA47" w14:textId="77777777" w:rsidR="007175FE" w:rsidRPr="00DA7ABE" w:rsidRDefault="007175FE" w:rsidP="007175FE">
      <w:pPr>
        <w:rPr>
          <w:rFonts w:cstheme="minorHAnsi"/>
        </w:rPr>
      </w:pPr>
      <w:r>
        <w:rPr>
          <w:rFonts w:cstheme="minorHAnsi"/>
          <w:noProof/>
          <w:lang w:eastAsia="cs-CZ"/>
        </w:rPr>
        <w:drawing>
          <wp:inline distT="0" distB="0" distL="0" distR="0" wp14:anchorId="58DC5CC3" wp14:editId="18DF8FB1">
            <wp:extent cx="5773420" cy="2145665"/>
            <wp:effectExtent l="0" t="0" r="0" b="6985"/>
            <wp:docPr id="365" name="Obráze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3420" cy="2145665"/>
                    </a:xfrm>
                    <a:prstGeom prst="rect">
                      <a:avLst/>
                    </a:prstGeom>
                    <a:noFill/>
                  </pic:spPr>
                </pic:pic>
              </a:graphicData>
            </a:graphic>
          </wp:inline>
        </w:drawing>
      </w:r>
    </w:p>
    <w:p w14:paraId="66C34B49" w14:textId="77777777"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 Otázka 10. Cítíte se v OKOLÍ SVÉHO bydliště bezpečně?</w:t>
      </w:r>
    </w:p>
    <w:p w14:paraId="6D2C1306" w14:textId="4A668347" w:rsidR="007175FE" w:rsidRPr="00DA7ABE" w:rsidRDefault="007175FE" w:rsidP="007175FE">
      <w:pPr>
        <w:rPr>
          <w:rFonts w:cstheme="minorHAnsi"/>
        </w:rPr>
      </w:pPr>
      <w:r w:rsidRPr="003D492B">
        <w:rPr>
          <w:rFonts w:cstheme="minorHAnsi"/>
        </w:rPr>
        <w:t xml:space="preserve">Tabulka </w:t>
      </w:r>
      <w:r w:rsidR="0096730F">
        <w:rPr>
          <w:rFonts w:cstheme="minorHAnsi"/>
        </w:rPr>
        <w:t>2.16</w:t>
      </w:r>
      <w:r w:rsidRPr="003D492B">
        <w:rPr>
          <w:rFonts w:cstheme="minorHAnsi"/>
        </w:rPr>
        <w:t xml:space="preserve"> zobrazuje podíl respondentů podle pocitu bezpečí v místě bydliště v členění na muže a ženy a podle věkových kategorií a kategorií respondentů. Je vidět, že pocit bezpečí se u občanů Zlína snižuje u starších věkových kategorií obyvatel – 15,2 % obyvatel od 65 let se necítí v místě bydliště bezpečně. Naopak nejbezpečněji se cítí respondenti ve věku do 35 let.</w:t>
      </w:r>
      <w:r w:rsidR="00673332">
        <w:rPr>
          <w:rFonts w:cstheme="minorHAnsi"/>
        </w:rPr>
        <w:t xml:space="preserve"> O něco bezpečněji se cítí muži</w:t>
      </w:r>
      <w:r w:rsidRPr="003D492B">
        <w:rPr>
          <w:rFonts w:cstheme="minorHAnsi"/>
        </w:rPr>
        <w:t xml:space="preserve"> než ženy</w:t>
      </w:r>
      <w:r w:rsidRPr="00C36AEA">
        <w:rPr>
          <w:rFonts w:cstheme="minorHAnsi"/>
        </w:rPr>
        <w:t>.</w:t>
      </w:r>
    </w:p>
    <w:p w14:paraId="4EE2AF69" w14:textId="0345E4B2" w:rsidR="007175FE" w:rsidRPr="00DA7ABE" w:rsidRDefault="007175FE" w:rsidP="007175FE">
      <w:pPr>
        <w:pStyle w:val="Titulek"/>
        <w:keepNext/>
        <w:rPr>
          <w:rFonts w:cstheme="minorHAnsi"/>
        </w:rPr>
      </w:pPr>
      <w:bookmarkStart w:id="672" w:name="_Toc54702630"/>
      <w:bookmarkStart w:id="673" w:name="_Toc56179437"/>
      <w:bookmarkStart w:id="674" w:name="_Toc57731795"/>
      <w:bookmarkStart w:id="675" w:name="_Toc77074779"/>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16</w:t>
      </w:r>
      <w:r w:rsidR="00DC277C">
        <w:rPr>
          <w:rFonts w:cstheme="minorHAnsi"/>
        </w:rPr>
        <w:fldChar w:fldCharType="end"/>
      </w:r>
      <w:r w:rsidR="00673332">
        <w:rPr>
          <w:rFonts w:cstheme="minorHAnsi"/>
        </w:rPr>
        <w:t>:</w:t>
      </w:r>
      <w:r w:rsidRPr="00DA7ABE">
        <w:rPr>
          <w:rFonts w:cstheme="minorHAnsi"/>
        </w:rPr>
        <w:t xml:space="preserve"> Pocit bezpečí v místě bydliště podle pohlaví, věku a u studentů UTB</w:t>
      </w:r>
      <w:bookmarkEnd w:id="672"/>
      <w:bookmarkEnd w:id="673"/>
      <w:bookmarkEnd w:id="674"/>
      <w:bookmarkEnd w:id="675"/>
    </w:p>
    <w:tbl>
      <w:tblPr>
        <w:tblW w:w="9095" w:type="dxa"/>
        <w:tblInd w:w="-5" w:type="dxa"/>
        <w:tblCellMar>
          <w:left w:w="70" w:type="dxa"/>
          <w:right w:w="70" w:type="dxa"/>
        </w:tblCellMar>
        <w:tblLook w:val="04A0" w:firstRow="1" w:lastRow="0" w:firstColumn="1" w:lastColumn="0" w:noHBand="0" w:noVBand="1"/>
      </w:tblPr>
      <w:tblGrid>
        <w:gridCol w:w="2593"/>
        <w:gridCol w:w="694"/>
        <w:gridCol w:w="588"/>
        <w:gridCol w:w="588"/>
        <w:gridCol w:w="1087"/>
        <w:gridCol w:w="642"/>
        <w:gridCol w:w="789"/>
        <w:gridCol w:w="1310"/>
        <w:gridCol w:w="804"/>
      </w:tblGrid>
      <w:tr w:rsidR="007175FE" w:rsidRPr="00292E85" w14:paraId="559C5D86" w14:textId="77777777" w:rsidTr="007175FE">
        <w:trPr>
          <w:trHeight w:val="222"/>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9702E14"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0FA4946E"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7DEE74D"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D5C364F"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Studenti UTB</w:t>
            </w:r>
          </w:p>
        </w:tc>
      </w:tr>
      <w:tr w:rsidR="007175FE" w:rsidRPr="00292E85" w14:paraId="1A530DA7" w14:textId="77777777" w:rsidTr="007175FE">
        <w:trPr>
          <w:trHeight w:val="22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BCBC03"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6585B33A"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5539A6BD"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1FBE855E"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0F1F6B"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353585" w14:textId="77777777" w:rsidR="007175FE" w:rsidRPr="00292E85" w:rsidRDefault="007175FE" w:rsidP="000C49A5">
            <w:pPr>
              <w:keepNext/>
              <w:rPr>
                <w:rFonts w:ascii="Calibri" w:eastAsia="Times New Roman" w:hAnsi="Calibri" w:cs="Calibri"/>
                <w:b/>
                <w:bCs/>
                <w:color w:val="000000"/>
                <w:sz w:val="18"/>
                <w:szCs w:val="18"/>
                <w:lang w:eastAsia="cs-CZ"/>
              </w:rPr>
            </w:pPr>
          </w:p>
        </w:tc>
      </w:tr>
      <w:tr w:rsidR="007175FE" w:rsidRPr="00292E85" w14:paraId="03D42DF2" w14:textId="77777777" w:rsidTr="007175FE">
        <w:trPr>
          <w:trHeight w:val="22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3F8D71"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442216B8"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6ACE759F"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0D833A5E"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7E62E74F"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3350C6A0"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3CE0A498" w14:textId="77777777" w:rsidR="007175FE" w:rsidRPr="00292E85" w:rsidRDefault="007175FE" w:rsidP="000C49A5">
            <w:pPr>
              <w:keepNext/>
              <w:jc w:val="center"/>
              <w:rPr>
                <w:rFonts w:ascii="Calibri" w:eastAsia="Times New Roman" w:hAnsi="Calibri" w:cs="Calibri"/>
                <w:b/>
                <w:bCs/>
                <w:color w:val="000000"/>
                <w:sz w:val="18"/>
                <w:szCs w:val="18"/>
                <w:lang w:eastAsia="cs-CZ"/>
              </w:rPr>
            </w:pPr>
            <w:r w:rsidRPr="00292E85">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17251A" w14:textId="77777777" w:rsidR="007175FE" w:rsidRPr="00292E85"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F70DAB" w14:textId="77777777" w:rsidR="007175FE" w:rsidRPr="00292E85" w:rsidRDefault="007175FE" w:rsidP="000C49A5">
            <w:pPr>
              <w:keepNext/>
              <w:rPr>
                <w:rFonts w:ascii="Calibri" w:eastAsia="Times New Roman" w:hAnsi="Calibri" w:cs="Calibri"/>
                <w:b/>
                <w:bCs/>
                <w:color w:val="000000"/>
                <w:sz w:val="18"/>
                <w:szCs w:val="18"/>
                <w:lang w:eastAsia="cs-CZ"/>
              </w:rPr>
            </w:pPr>
          </w:p>
        </w:tc>
      </w:tr>
      <w:tr w:rsidR="007175FE" w:rsidRPr="00292E85" w14:paraId="45E26232" w14:textId="77777777" w:rsidTr="007175FE">
        <w:trPr>
          <w:trHeight w:val="22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F341B3"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Velmi nespokojen/a</w:t>
            </w:r>
          </w:p>
        </w:tc>
        <w:tc>
          <w:tcPr>
            <w:tcW w:w="0" w:type="auto"/>
            <w:tcBorders>
              <w:top w:val="single" w:sz="4" w:space="0" w:color="auto"/>
              <w:left w:val="single" w:sz="4" w:space="0" w:color="auto"/>
              <w:bottom w:val="single" w:sz="4" w:space="0" w:color="auto"/>
              <w:right w:val="single" w:sz="4" w:space="0" w:color="auto"/>
            </w:tcBorders>
            <w:shd w:val="clear" w:color="000000" w:fill="82A6D4"/>
            <w:noWrap/>
            <w:hideMark/>
          </w:tcPr>
          <w:p w14:paraId="782C7758"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2,4%</w:t>
            </w:r>
          </w:p>
        </w:tc>
        <w:tc>
          <w:tcPr>
            <w:tcW w:w="0" w:type="auto"/>
            <w:tcBorders>
              <w:top w:val="single" w:sz="4" w:space="0" w:color="auto"/>
              <w:left w:val="single" w:sz="4" w:space="0" w:color="auto"/>
              <w:bottom w:val="single" w:sz="4" w:space="0" w:color="auto"/>
              <w:right w:val="single" w:sz="4" w:space="0" w:color="auto"/>
            </w:tcBorders>
            <w:shd w:val="clear" w:color="000000" w:fill="89ABD6"/>
            <w:noWrap/>
            <w:hideMark/>
          </w:tcPr>
          <w:p w14:paraId="5CEB6CF8"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2,7%</w:t>
            </w:r>
          </w:p>
        </w:tc>
        <w:tc>
          <w:tcPr>
            <w:tcW w:w="0" w:type="auto"/>
            <w:tcBorders>
              <w:top w:val="single" w:sz="4" w:space="0" w:color="auto"/>
              <w:left w:val="single" w:sz="4" w:space="0" w:color="auto"/>
              <w:bottom w:val="single" w:sz="4" w:space="0" w:color="auto"/>
              <w:right w:val="single" w:sz="4" w:space="0" w:color="auto"/>
            </w:tcBorders>
            <w:shd w:val="clear" w:color="000000" w:fill="7DA2D2"/>
            <w:noWrap/>
            <w:hideMark/>
          </w:tcPr>
          <w:p w14:paraId="4EC045A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2,2%</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413BFBA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0,8%</w:t>
            </w:r>
          </w:p>
        </w:tc>
        <w:tc>
          <w:tcPr>
            <w:tcW w:w="0" w:type="auto"/>
            <w:tcBorders>
              <w:top w:val="single" w:sz="4" w:space="0" w:color="auto"/>
              <w:left w:val="single" w:sz="4" w:space="0" w:color="auto"/>
              <w:bottom w:val="single" w:sz="4" w:space="0" w:color="auto"/>
              <w:right w:val="single" w:sz="4" w:space="0" w:color="auto"/>
            </w:tcBorders>
            <w:shd w:val="clear" w:color="000000" w:fill="7FA4D3"/>
            <w:noWrap/>
            <w:hideMark/>
          </w:tcPr>
          <w:p w14:paraId="3532A238"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2,3%</w:t>
            </w:r>
          </w:p>
        </w:tc>
        <w:tc>
          <w:tcPr>
            <w:tcW w:w="0" w:type="auto"/>
            <w:tcBorders>
              <w:top w:val="single" w:sz="4" w:space="0" w:color="auto"/>
              <w:left w:val="single" w:sz="4" w:space="0" w:color="auto"/>
              <w:bottom w:val="single" w:sz="4" w:space="0" w:color="auto"/>
              <w:right w:val="single" w:sz="4" w:space="0" w:color="auto"/>
            </w:tcBorders>
            <w:shd w:val="clear" w:color="000000" w:fill="AAC2E2"/>
            <w:noWrap/>
            <w:hideMark/>
          </w:tcPr>
          <w:p w14:paraId="728602AD"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4,0%</w:t>
            </w:r>
          </w:p>
        </w:tc>
        <w:tc>
          <w:tcPr>
            <w:tcW w:w="0" w:type="auto"/>
            <w:tcBorders>
              <w:top w:val="single" w:sz="4" w:space="0" w:color="auto"/>
              <w:left w:val="single" w:sz="4" w:space="0" w:color="auto"/>
              <w:bottom w:val="single" w:sz="4" w:space="0" w:color="auto"/>
              <w:right w:val="single" w:sz="4" w:space="0" w:color="auto"/>
            </w:tcBorders>
            <w:shd w:val="clear" w:color="000000" w:fill="89ABD6"/>
            <w:noWrap/>
            <w:hideMark/>
          </w:tcPr>
          <w:p w14:paraId="1A2199DD"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2,7%</w:t>
            </w:r>
          </w:p>
        </w:tc>
        <w:tc>
          <w:tcPr>
            <w:tcW w:w="0" w:type="auto"/>
            <w:tcBorders>
              <w:top w:val="single" w:sz="4" w:space="0" w:color="auto"/>
              <w:left w:val="single" w:sz="4" w:space="0" w:color="auto"/>
              <w:bottom w:val="single" w:sz="4" w:space="0" w:color="auto"/>
              <w:right w:val="single" w:sz="4" w:space="0" w:color="auto"/>
            </w:tcBorders>
            <w:shd w:val="clear" w:color="000000" w:fill="6E98CD"/>
            <w:noWrap/>
            <w:hideMark/>
          </w:tcPr>
          <w:p w14:paraId="1618863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1,6%</w:t>
            </w:r>
          </w:p>
        </w:tc>
      </w:tr>
      <w:tr w:rsidR="007175FE" w:rsidRPr="00292E85" w14:paraId="6994C9AD" w14:textId="77777777" w:rsidTr="007175FE">
        <w:trPr>
          <w:trHeight w:val="22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DDED0F"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Spíše nespokojen/a</w:t>
            </w:r>
          </w:p>
        </w:tc>
        <w:tc>
          <w:tcPr>
            <w:tcW w:w="0" w:type="auto"/>
            <w:tcBorders>
              <w:top w:val="single" w:sz="4" w:space="0" w:color="auto"/>
              <w:left w:val="single" w:sz="4" w:space="0" w:color="auto"/>
              <w:bottom w:val="single" w:sz="4" w:space="0" w:color="auto"/>
              <w:right w:val="single" w:sz="4" w:space="0" w:color="auto"/>
            </w:tcBorders>
            <w:shd w:val="clear" w:color="000000" w:fill="FAFBFE"/>
            <w:noWrap/>
            <w:hideMark/>
          </w:tcPr>
          <w:p w14:paraId="14DC2A9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7,2%</w:t>
            </w:r>
          </w:p>
        </w:tc>
        <w:tc>
          <w:tcPr>
            <w:tcW w:w="0" w:type="auto"/>
            <w:tcBorders>
              <w:top w:val="single" w:sz="4" w:space="0" w:color="auto"/>
              <w:left w:val="single" w:sz="4" w:space="0" w:color="auto"/>
              <w:bottom w:val="single" w:sz="4" w:space="0" w:color="auto"/>
              <w:right w:val="single" w:sz="4" w:space="0" w:color="auto"/>
            </w:tcBorders>
            <w:shd w:val="clear" w:color="000000" w:fill="EEF2FA"/>
            <w:noWrap/>
            <w:hideMark/>
          </w:tcPr>
          <w:p w14:paraId="5D59FFE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6,7%</w:t>
            </w:r>
          </w:p>
        </w:tc>
        <w:tc>
          <w:tcPr>
            <w:tcW w:w="0" w:type="auto"/>
            <w:tcBorders>
              <w:top w:val="single" w:sz="4" w:space="0" w:color="auto"/>
              <w:left w:val="single" w:sz="4" w:space="0" w:color="auto"/>
              <w:bottom w:val="single" w:sz="4" w:space="0" w:color="auto"/>
              <w:right w:val="single" w:sz="4" w:space="0" w:color="auto"/>
            </w:tcBorders>
            <w:shd w:val="clear" w:color="000000" w:fill="FCFBFE"/>
            <w:noWrap/>
            <w:hideMark/>
          </w:tcPr>
          <w:p w14:paraId="60BA103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7,7%</w:t>
            </w:r>
          </w:p>
        </w:tc>
        <w:tc>
          <w:tcPr>
            <w:tcW w:w="0" w:type="auto"/>
            <w:tcBorders>
              <w:top w:val="single" w:sz="4" w:space="0" w:color="auto"/>
              <w:left w:val="single" w:sz="4" w:space="0" w:color="auto"/>
              <w:bottom w:val="single" w:sz="4" w:space="0" w:color="auto"/>
              <w:right w:val="single" w:sz="4" w:space="0" w:color="auto"/>
            </w:tcBorders>
            <w:shd w:val="clear" w:color="000000" w:fill="D7E2F2"/>
            <w:noWrap/>
            <w:hideMark/>
          </w:tcPr>
          <w:p w14:paraId="5D0DC229"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5,8%</w:t>
            </w:r>
          </w:p>
        </w:tc>
        <w:tc>
          <w:tcPr>
            <w:tcW w:w="0" w:type="auto"/>
            <w:tcBorders>
              <w:top w:val="single" w:sz="4" w:space="0" w:color="auto"/>
              <w:left w:val="single" w:sz="4" w:space="0" w:color="auto"/>
              <w:bottom w:val="single" w:sz="4" w:space="0" w:color="auto"/>
              <w:right w:val="single" w:sz="4" w:space="0" w:color="auto"/>
            </w:tcBorders>
            <w:shd w:val="clear" w:color="000000" w:fill="D5E0F1"/>
            <w:noWrap/>
            <w:hideMark/>
          </w:tcPr>
          <w:p w14:paraId="73DE7C1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5,7%</w:t>
            </w:r>
          </w:p>
        </w:tc>
        <w:tc>
          <w:tcPr>
            <w:tcW w:w="0" w:type="auto"/>
            <w:tcBorders>
              <w:top w:val="single" w:sz="4" w:space="0" w:color="auto"/>
              <w:left w:val="single" w:sz="4" w:space="0" w:color="auto"/>
              <w:bottom w:val="single" w:sz="4" w:space="0" w:color="auto"/>
              <w:right w:val="single" w:sz="4" w:space="0" w:color="auto"/>
            </w:tcBorders>
            <w:shd w:val="clear" w:color="000000" w:fill="FCF0F3"/>
            <w:noWrap/>
            <w:hideMark/>
          </w:tcPr>
          <w:p w14:paraId="394BF026"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11,2%</w:t>
            </w:r>
          </w:p>
        </w:tc>
        <w:tc>
          <w:tcPr>
            <w:tcW w:w="0" w:type="auto"/>
            <w:tcBorders>
              <w:top w:val="single" w:sz="4" w:space="0" w:color="auto"/>
              <w:left w:val="single" w:sz="4" w:space="0" w:color="auto"/>
              <w:bottom w:val="single" w:sz="4" w:space="0" w:color="auto"/>
              <w:right w:val="single" w:sz="4" w:space="0" w:color="auto"/>
            </w:tcBorders>
            <w:shd w:val="clear" w:color="000000" w:fill="AAC2E2"/>
            <w:noWrap/>
            <w:hideMark/>
          </w:tcPr>
          <w:p w14:paraId="3148C1A4"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4,0%</w:t>
            </w:r>
          </w:p>
        </w:tc>
        <w:tc>
          <w:tcPr>
            <w:tcW w:w="0" w:type="auto"/>
            <w:tcBorders>
              <w:top w:val="single" w:sz="4" w:space="0" w:color="auto"/>
              <w:left w:val="single" w:sz="4" w:space="0" w:color="auto"/>
              <w:bottom w:val="single" w:sz="4" w:space="0" w:color="auto"/>
              <w:right w:val="single" w:sz="4" w:space="0" w:color="auto"/>
            </w:tcBorders>
            <w:shd w:val="clear" w:color="000000" w:fill="C8D7EC"/>
            <w:noWrap/>
            <w:hideMark/>
          </w:tcPr>
          <w:p w14:paraId="4F397044"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5,2%</w:t>
            </w:r>
          </w:p>
        </w:tc>
      </w:tr>
      <w:tr w:rsidR="007175FE" w:rsidRPr="00292E85" w14:paraId="12982733" w14:textId="77777777" w:rsidTr="007175FE">
        <w:trPr>
          <w:trHeight w:val="22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09DE0C"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Ani spokojen/a, ani nespokojen/a</w:t>
            </w:r>
          </w:p>
        </w:tc>
        <w:tc>
          <w:tcPr>
            <w:tcW w:w="0" w:type="auto"/>
            <w:tcBorders>
              <w:top w:val="single" w:sz="4" w:space="0" w:color="auto"/>
              <w:left w:val="single" w:sz="4" w:space="0" w:color="auto"/>
              <w:bottom w:val="single" w:sz="4" w:space="0" w:color="auto"/>
              <w:right w:val="single" w:sz="4" w:space="0" w:color="auto"/>
            </w:tcBorders>
            <w:shd w:val="clear" w:color="000000" w:fill="FCF7FA"/>
            <w:noWrap/>
            <w:hideMark/>
          </w:tcPr>
          <w:p w14:paraId="719830E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9,0%</w:t>
            </w:r>
          </w:p>
        </w:tc>
        <w:tc>
          <w:tcPr>
            <w:tcW w:w="0" w:type="auto"/>
            <w:tcBorders>
              <w:top w:val="single" w:sz="4" w:space="0" w:color="auto"/>
              <w:left w:val="single" w:sz="4" w:space="0" w:color="auto"/>
              <w:bottom w:val="single" w:sz="4" w:space="0" w:color="auto"/>
              <w:right w:val="single" w:sz="4" w:space="0" w:color="auto"/>
            </w:tcBorders>
            <w:shd w:val="clear" w:color="000000" w:fill="FCFCFF"/>
            <w:noWrap/>
            <w:hideMark/>
          </w:tcPr>
          <w:p w14:paraId="7699C145"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7,3%</w:t>
            </w:r>
          </w:p>
        </w:tc>
        <w:tc>
          <w:tcPr>
            <w:tcW w:w="0" w:type="auto"/>
            <w:tcBorders>
              <w:top w:val="single" w:sz="4" w:space="0" w:color="auto"/>
              <w:left w:val="single" w:sz="4" w:space="0" w:color="auto"/>
              <w:bottom w:val="single" w:sz="4" w:space="0" w:color="auto"/>
              <w:right w:val="single" w:sz="4" w:space="0" w:color="auto"/>
            </w:tcBorders>
            <w:shd w:val="clear" w:color="000000" w:fill="FCF2F5"/>
            <w:noWrap/>
            <w:hideMark/>
          </w:tcPr>
          <w:p w14:paraId="039877DF"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10,5%</w:t>
            </w:r>
          </w:p>
        </w:tc>
        <w:tc>
          <w:tcPr>
            <w:tcW w:w="0" w:type="auto"/>
            <w:tcBorders>
              <w:top w:val="single" w:sz="4" w:space="0" w:color="auto"/>
              <w:left w:val="single" w:sz="4" w:space="0" w:color="auto"/>
              <w:bottom w:val="single" w:sz="4" w:space="0" w:color="auto"/>
              <w:right w:val="single" w:sz="4" w:space="0" w:color="auto"/>
            </w:tcBorders>
            <w:shd w:val="clear" w:color="000000" w:fill="D7E2F2"/>
            <w:noWrap/>
            <w:hideMark/>
          </w:tcPr>
          <w:p w14:paraId="0B3B469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5,8%</w:t>
            </w:r>
          </w:p>
        </w:tc>
        <w:tc>
          <w:tcPr>
            <w:tcW w:w="0" w:type="auto"/>
            <w:tcBorders>
              <w:top w:val="single" w:sz="4" w:space="0" w:color="auto"/>
              <w:left w:val="single" w:sz="4" w:space="0" w:color="auto"/>
              <w:bottom w:val="single" w:sz="4" w:space="0" w:color="auto"/>
              <w:right w:val="single" w:sz="4" w:space="0" w:color="auto"/>
            </w:tcBorders>
            <w:shd w:val="clear" w:color="000000" w:fill="FCF9FC"/>
            <w:noWrap/>
            <w:hideMark/>
          </w:tcPr>
          <w:p w14:paraId="7C1082A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8,5%</w:t>
            </w:r>
          </w:p>
        </w:tc>
        <w:tc>
          <w:tcPr>
            <w:tcW w:w="0" w:type="auto"/>
            <w:tcBorders>
              <w:top w:val="single" w:sz="4" w:space="0" w:color="auto"/>
              <w:left w:val="single" w:sz="4" w:space="0" w:color="auto"/>
              <w:bottom w:val="single" w:sz="4" w:space="0" w:color="auto"/>
              <w:right w:val="single" w:sz="4" w:space="0" w:color="auto"/>
            </w:tcBorders>
            <w:shd w:val="clear" w:color="000000" w:fill="FCEBEE"/>
            <w:noWrap/>
            <w:hideMark/>
          </w:tcPr>
          <w:p w14:paraId="2071DC9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12,7%</w:t>
            </w:r>
          </w:p>
        </w:tc>
        <w:tc>
          <w:tcPr>
            <w:tcW w:w="0" w:type="auto"/>
            <w:tcBorders>
              <w:top w:val="single" w:sz="4" w:space="0" w:color="auto"/>
              <w:left w:val="single" w:sz="4" w:space="0" w:color="auto"/>
              <w:bottom w:val="single" w:sz="4" w:space="0" w:color="auto"/>
              <w:right w:val="single" w:sz="4" w:space="0" w:color="auto"/>
            </w:tcBorders>
            <w:shd w:val="clear" w:color="000000" w:fill="FCF9FC"/>
            <w:noWrap/>
            <w:hideMark/>
          </w:tcPr>
          <w:p w14:paraId="4B27B005"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8,5%</w:t>
            </w:r>
          </w:p>
        </w:tc>
        <w:tc>
          <w:tcPr>
            <w:tcW w:w="0" w:type="auto"/>
            <w:tcBorders>
              <w:top w:val="single" w:sz="4" w:space="0" w:color="auto"/>
              <w:left w:val="single" w:sz="4" w:space="0" w:color="auto"/>
              <w:bottom w:val="single" w:sz="4" w:space="0" w:color="auto"/>
              <w:right w:val="single" w:sz="4" w:space="0" w:color="auto"/>
            </w:tcBorders>
            <w:shd w:val="clear" w:color="000000" w:fill="C8D7EC"/>
            <w:noWrap/>
            <w:hideMark/>
          </w:tcPr>
          <w:p w14:paraId="4C9887A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5,2%</w:t>
            </w:r>
          </w:p>
        </w:tc>
      </w:tr>
      <w:tr w:rsidR="007175FE" w:rsidRPr="00292E85" w14:paraId="6E4F641B" w14:textId="77777777" w:rsidTr="007175FE">
        <w:trPr>
          <w:trHeight w:val="22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247EBB"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Spíše spokojen/a</w:t>
            </w:r>
          </w:p>
        </w:tc>
        <w:tc>
          <w:tcPr>
            <w:tcW w:w="0" w:type="auto"/>
            <w:tcBorders>
              <w:top w:val="single" w:sz="4" w:space="0" w:color="auto"/>
              <w:left w:val="single" w:sz="4" w:space="0" w:color="auto"/>
              <w:bottom w:val="single" w:sz="4" w:space="0" w:color="auto"/>
              <w:right w:val="single" w:sz="4" w:space="0" w:color="auto"/>
            </w:tcBorders>
            <w:shd w:val="clear" w:color="000000" w:fill="F97173"/>
            <w:noWrap/>
            <w:hideMark/>
          </w:tcPr>
          <w:p w14:paraId="7D1EB66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51,2%</w:t>
            </w:r>
          </w:p>
        </w:tc>
        <w:tc>
          <w:tcPr>
            <w:tcW w:w="0" w:type="auto"/>
            <w:tcBorders>
              <w:top w:val="single" w:sz="4" w:space="0" w:color="auto"/>
              <w:left w:val="single" w:sz="4" w:space="0" w:color="auto"/>
              <w:bottom w:val="single" w:sz="4" w:space="0" w:color="auto"/>
              <w:right w:val="single" w:sz="4" w:space="0" w:color="auto"/>
            </w:tcBorders>
            <w:shd w:val="clear" w:color="000000" w:fill="F97779"/>
            <w:noWrap/>
            <w:hideMark/>
          </w:tcPr>
          <w:p w14:paraId="1E4891F8"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49,3%</w:t>
            </w:r>
          </w:p>
        </w:tc>
        <w:tc>
          <w:tcPr>
            <w:tcW w:w="0" w:type="auto"/>
            <w:tcBorders>
              <w:top w:val="single" w:sz="4" w:space="0" w:color="auto"/>
              <w:left w:val="single" w:sz="4" w:space="0" w:color="auto"/>
              <w:bottom w:val="single" w:sz="4" w:space="0" w:color="auto"/>
              <w:right w:val="single" w:sz="4" w:space="0" w:color="auto"/>
            </w:tcBorders>
            <w:shd w:val="clear" w:color="000000" w:fill="F96C6E"/>
            <w:noWrap/>
            <w:hideMark/>
          </w:tcPr>
          <w:p w14:paraId="6114970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52,7%</w:t>
            </w:r>
          </w:p>
        </w:tc>
        <w:tc>
          <w:tcPr>
            <w:tcW w:w="0" w:type="auto"/>
            <w:tcBorders>
              <w:top w:val="single" w:sz="4" w:space="0" w:color="auto"/>
              <w:left w:val="single" w:sz="4" w:space="0" w:color="auto"/>
              <w:bottom w:val="single" w:sz="4" w:space="0" w:color="auto"/>
              <w:right w:val="single" w:sz="4" w:space="0" w:color="auto"/>
            </w:tcBorders>
            <w:shd w:val="clear" w:color="000000" w:fill="F97F81"/>
            <w:noWrap/>
            <w:hideMark/>
          </w:tcPr>
          <w:p w14:paraId="6DF1FF3E"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46,9%</w:t>
            </w:r>
          </w:p>
        </w:tc>
        <w:tc>
          <w:tcPr>
            <w:tcW w:w="0" w:type="auto"/>
            <w:tcBorders>
              <w:top w:val="single" w:sz="4" w:space="0" w:color="auto"/>
              <w:left w:val="single" w:sz="4" w:space="0" w:color="auto"/>
              <w:bottom w:val="single" w:sz="4" w:space="0" w:color="auto"/>
              <w:right w:val="single" w:sz="4" w:space="0" w:color="auto"/>
            </w:tcBorders>
            <w:shd w:val="clear" w:color="000000" w:fill="F96F71"/>
            <w:noWrap/>
            <w:hideMark/>
          </w:tcPr>
          <w:p w14:paraId="77D9CD5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51,8%</w:t>
            </w:r>
          </w:p>
        </w:tc>
        <w:tc>
          <w:tcPr>
            <w:tcW w:w="0" w:type="auto"/>
            <w:tcBorders>
              <w:top w:val="single" w:sz="4" w:space="0" w:color="auto"/>
              <w:left w:val="single" w:sz="4" w:space="0" w:color="auto"/>
              <w:bottom w:val="single" w:sz="4" w:space="0" w:color="auto"/>
              <w:right w:val="single" w:sz="4" w:space="0" w:color="auto"/>
            </w:tcBorders>
            <w:shd w:val="clear" w:color="000000" w:fill="F8696B"/>
            <w:noWrap/>
            <w:hideMark/>
          </w:tcPr>
          <w:p w14:paraId="79A8022F"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53,6%</w:t>
            </w:r>
          </w:p>
        </w:tc>
        <w:tc>
          <w:tcPr>
            <w:tcW w:w="0" w:type="auto"/>
            <w:tcBorders>
              <w:top w:val="single" w:sz="4" w:space="0" w:color="auto"/>
              <w:left w:val="single" w:sz="4" w:space="0" w:color="auto"/>
              <w:bottom w:val="single" w:sz="4" w:space="0" w:color="auto"/>
              <w:right w:val="single" w:sz="4" w:space="0" w:color="auto"/>
            </w:tcBorders>
            <w:shd w:val="clear" w:color="000000" w:fill="F98587"/>
            <w:noWrap/>
            <w:hideMark/>
          </w:tcPr>
          <w:p w14:paraId="3D68B518"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44,9%</w:t>
            </w:r>
          </w:p>
        </w:tc>
        <w:tc>
          <w:tcPr>
            <w:tcW w:w="0" w:type="auto"/>
            <w:tcBorders>
              <w:top w:val="single" w:sz="4" w:space="0" w:color="auto"/>
              <w:left w:val="single" w:sz="4" w:space="0" w:color="auto"/>
              <w:bottom w:val="single" w:sz="4" w:space="0" w:color="auto"/>
              <w:right w:val="single" w:sz="4" w:space="0" w:color="auto"/>
            </w:tcBorders>
            <w:shd w:val="clear" w:color="000000" w:fill="F97C7E"/>
            <w:noWrap/>
            <w:hideMark/>
          </w:tcPr>
          <w:p w14:paraId="74F82279"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47,9%</w:t>
            </w:r>
          </w:p>
        </w:tc>
      </w:tr>
      <w:tr w:rsidR="007175FE" w:rsidRPr="00292E85" w14:paraId="07781D3F" w14:textId="77777777" w:rsidTr="007175FE">
        <w:trPr>
          <w:trHeight w:val="22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C04C3A"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Velmi spokojen/a</w:t>
            </w:r>
          </w:p>
        </w:tc>
        <w:tc>
          <w:tcPr>
            <w:tcW w:w="0" w:type="auto"/>
            <w:tcBorders>
              <w:top w:val="single" w:sz="4" w:space="0" w:color="auto"/>
              <w:left w:val="single" w:sz="4" w:space="0" w:color="auto"/>
              <w:bottom w:val="single" w:sz="4" w:space="0" w:color="auto"/>
              <w:right w:val="single" w:sz="4" w:space="0" w:color="auto"/>
            </w:tcBorders>
            <w:shd w:val="clear" w:color="000000" w:fill="FBB8BA"/>
            <w:noWrap/>
            <w:hideMark/>
          </w:tcPr>
          <w:p w14:paraId="4A3946F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28,9%</w:t>
            </w:r>
          </w:p>
        </w:tc>
        <w:tc>
          <w:tcPr>
            <w:tcW w:w="0" w:type="auto"/>
            <w:tcBorders>
              <w:top w:val="single" w:sz="4" w:space="0" w:color="auto"/>
              <w:left w:val="single" w:sz="4" w:space="0" w:color="auto"/>
              <w:bottom w:val="single" w:sz="4" w:space="0" w:color="auto"/>
              <w:right w:val="single" w:sz="4" w:space="0" w:color="auto"/>
            </w:tcBorders>
            <w:shd w:val="clear" w:color="000000" w:fill="FAABAE"/>
            <w:noWrap/>
            <w:hideMark/>
          </w:tcPr>
          <w:p w14:paraId="1264D30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32,9%</w:t>
            </w:r>
          </w:p>
        </w:tc>
        <w:tc>
          <w:tcPr>
            <w:tcW w:w="0" w:type="auto"/>
            <w:tcBorders>
              <w:top w:val="single" w:sz="4" w:space="0" w:color="auto"/>
              <w:left w:val="single" w:sz="4" w:space="0" w:color="auto"/>
              <w:bottom w:val="single" w:sz="4" w:space="0" w:color="auto"/>
              <w:right w:val="single" w:sz="4" w:space="0" w:color="auto"/>
            </w:tcBorders>
            <w:shd w:val="clear" w:color="000000" w:fill="FBC3C6"/>
            <w:noWrap/>
            <w:hideMark/>
          </w:tcPr>
          <w:p w14:paraId="410107E4"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25,4%</w:t>
            </w:r>
          </w:p>
        </w:tc>
        <w:tc>
          <w:tcPr>
            <w:tcW w:w="0" w:type="auto"/>
            <w:tcBorders>
              <w:top w:val="single" w:sz="4" w:space="0" w:color="auto"/>
              <w:left w:val="single" w:sz="4" w:space="0" w:color="auto"/>
              <w:bottom w:val="single" w:sz="4" w:space="0" w:color="auto"/>
              <w:right w:val="single" w:sz="4" w:space="0" w:color="auto"/>
            </w:tcBorders>
            <w:shd w:val="clear" w:color="000000" w:fill="FA9597"/>
            <w:noWrap/>
            <w:hideMark/>
          </w:tcPr>
          <w:p w14:paraId="5F9886D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39,9%</w:t>
            </w:r>
          </w:p>
        </w:tc>
        <w:tc>
          <w:tcPr>
            <w:tcW w:w="0" w:type="auto"/>
            <w:tcBorders>
              <w:top w:val="single" w:sz="4" w:space="0" w:color="auto"/>
              <w:left w:val="single" w:sz="4" w:space="0" w:color="auto"/>
              <w:bottom w:val="single" w:sz="4" w:space="0" w:color="auto"/>
              <w:right w:val="single" w:sz="4" w:space="0" w:color="auto"/>
            </w:tcBorders>
            <w:shd w:val="clear" w:color="000000" w:fill="FBB3B6"/>
            <w:noWrap/>
            <w:hideMark/>
          </w:tcPr>
          <w:p w14:paraId="7979340D"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30,4%</w:t>
            </w:r>
          </w:p>
        </w:tc>
        <w:tc>
          <w:tcPr>
            <w:tcW w:w="0" w:type="auto"/>
            <w:tcBorders>
              <w:top w:val="single" w:sz="4" w:space="0" w:color="auto"/>
              <w:left w:val="single" w:sz="4" w:space="0" w:color="auto"/>
              <w:bottom w:val="single" w:sz="4" w:space="0" w:color="auto"/>
              <w:right w:val="single" w:sz="4" w:space="0" w:color="auto"/>
            </w:tcBorders>
            <w:shd w:val="clear" w:color="000000" w:fill="FCDFE2"/>
            <w:noWrap/>
            <w:hideMark/>
          </w:tcPr>
          <w:p w14:paraId="39CECA0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16,5%</w:t>
            </w:r>
          </w:p>
        </w:tc>
        <w:tc>
          <w:tcPr>
            <w:tcW w:w="0" w:type="auto"/>
            <w:tcBorders>
              <w:top w:val="single" w:sz="4" w:space="0" w:color="auto"/>
              <w:left w:val="single" w:sz="4" w:space="0" w:color="auto"/>
              <w:bottom w:val="single" w:sz="4" w:space="0" w:color="auto"/>
              <w:right w:val="single" w:sz="4" w:space="0" w:color="auto"/>
            </w:tcBorders>
            <w:shd w:val="clear" w:color="000000" w:fill="FAA2A4"/>
            <w:noWrap/>
            <w:hideMark/>
          </w:tcPr>
          <w:p w14:paraId="4D29AA1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35,9%</w:t>
            </w:r>
          </w:p>
        </w:tc>
        <w:tc>
          <w:tcPr>
            <w:tcW w:w="0" w:type="auto"/>
            <w:tcBorders>
              <w:top w:val="single" w:sz="4" w:space="0" w:color="auto"/>
              <w:left w:val="single" w:sz="4" w:space="0" w:color="auto"/>
              <w:bottom w:val="single" w:sz="4" w:space="0" w:color="auto"/>
              <w:right w:val="single" w:sz="4" w:space="0" w:color="auto"/>
            </w:tcBorders>
            <w:shd w:val="clear" w:color="000000" w:fill="FAA0A2"/>
            <w:noWrap/>
            <w:hideMark/>
          </w:tcPr>
          <w:p w14:paraId="526F00A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36,5%</w:t>
            </w:r>
          </w:p>
        </w:tc>
      </w:tr>
      <w:tr w:rsidR="007175FE" w:rsidRPr="00292E85" w14:paraId="175E7B72" w14:textId="77777777" w:rsidTr="007175FE">
        <w:trPr>
          <w:trHeight w:val="22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606BDEC" w14:textId="77777777" w:rsidR="007175FE" w:rsidRPr="00292E85" w:rsidRDefault="007175FE" w:rsidP="000C49A5">
            <w:pPr>
              <w:keepNext/>
              <w:rPr>
                <w:rFonts w:ascii="Calibri" w:eastAsia="Times New Roman" w:hAnsi="Calibri" w:cs="Calibri"/>
                <w:color w:val="000000"/>
                <w:sz w:val="18"/>
                <w:szCs w:val="18"/>
                <w:lang w:eastAsia="cs-CZ"/>
              </w:rPr>
            </w:pPr>
            <w:r w:rsidRPr="00292E85">
              <w:rPr>
                <w:rFonts w:ascii="Calibri" w:eastAsia="Times New Roman" w:hAnsi="Calibri" w:cs="Calibri"/>
                <w:color w:val="000000"/>
                <w:sz w:val="18"/>
                <w:szCs w:val="18"/>
                <w:lang w:eastAsia="cs-CZ"/>
              </w:rPr>
              <w:t>Nemohu posoudit</w:t>
            </w:r>
          </w:p>
        </w:tc>
        <w:tc>
          <w:tcPr>
            <w:tcW w:w="0" w:type="auto"/>
            <w:tcBorders>
              <w:top w:val="single" w:sz="4" w:space="0" w:color="auto"/>
              <w:left w:val="single" w:sz="4" w:space="0" w:color="auto"/>
              <w:bottom w:val="single" w:sz="4" w:space="0" w:color="auto"/>
              <w:right w:val="single" w:sz="4" w:space="0" w:color="auto"/>
            </w:tcBorders>
            <w:shd w:val="clear" w:color="000000" w:fill="6692CA"/>
            <w:noWrap/>
            <w:hideMark/>
          </w:tcPr>
          <w:p w14:paraId="6BB0DDE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1,3%</w:t>
            </w:r>
          </w:p>
        </w:tc>
        <w:tc>
          <w:tcPr>
            <w:tcW w:w="0" w:type="auto"/>
            <w:tcBorders>
              <w:top w:val="single" w:sz="4" w:space="0" w:color="auto"/>
              <w:left w:val="single" w:sz="4" w:space="0" w:color="auto"/>
              <w:bottom w:val="single" w:sz="4" w:space="0" w:color="auto"/>
              <w:right w:val="single" w:sz="4" w:space="0" w:color="auto"/>
            </w:tcBorders>
            <w:shd w:val="clear" w:color="000000" w:fill="618FC8"/>
            <w:noWrap/>
            <w:hideMark/>
          </w:tcPr>
          <w:p w14:paraId="7B3CBDB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1,1%</w:t>
            </w:r>
          </w:p>
        </w:tc>
        <w:tc>
          <w:tcPr>
            <w:tcW w:w="0" w:type="auto"/>
            <w:tcBorders>
              <w:top w:val="single" w:sz="4" w:space="0" w:color="auto"/>
              <w:left w:val="single" w:sz="4" w:space="0" w:color="auto"/>
              <w:bottom w:val="single" w:sz="4" w:space="0" w:color="auto"/>
              <w:right w:val="single" w:sz="4" w:space="0" w:color="auto"/>
            </w:tcBorders>
            <w:shd w:val="clear" w:color="000000" w:fill="6B96CC"/>
            <w:noWrap/>
            <w:hideMark/>
          </w:tcPr>
          <w:p w14:paraId="6447836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1,5%</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2687EEFD"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0,8%</w:t>
            </w:r>
          </w:p>
        </w:tc>
        <w:tc>
          <w:tcPr>
            <w:tcW w:w="0" w:type="auto"/>
            <w:tcBorders>
              <w:top w:val="single" w:sz="4" w:space="0" w:color="auto"/>
              <w:left w:val="single" w:sz="4" w:space="0" w:color="auto"/>
              <w:bottom w:val="single" w:sz="4" w:space="0" w:color="auto"/>
              <w:right w:val="single" w:sz="4" w:space="0" w:color="auto"/>
            </w:tcBorders>
            <w:shd w:val="clear" w:color="000000" w:fill="6692CA"/>
            <w:noWrap/>
            <w:hideMark/>
          </w:tcPr>
          <w:p w14:paraId="47E83614"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1,3%</w:t>
            </w:r>
          </w:p>
        </w:tc>
        <w:tc>
          <w:tcPr>
            <w:tcW w:w="0" w:type="auto"/>
            <w:tcBorders>
              <w:top w:val="single" w:sz="4" w:space="0" w:color="auto"/>
              <w:left w:val="single" w:sz="4" w:space="0" w:color="auto"/>
              <w:bottom w:val="single" w:sz="4" w:space="0" w:color="auto"/>
              <w:right w:val="single" w:sz="4" w:space="0" w:color="auto"/>
            </w:tcBorders>
            <w:shd w:val="clear" w:color="000000" w:fill="789FD0"/>
            <w:noWrap/>
            <w:hideMark/>
          </w:tcPr>
          <w:p w14:paraId="326F72C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2,0%</w:t>
            </w:r>
          </w:p>
        </w:tc>
        <w:tc>
          <w:tcPr>
            <w:tcW w:w="0" w:type="auto"/>
            <w:tcBorders>
              <w:top w:val="single" w:sz="4" w:space="0" w:color="auto"/>
              <w:left w:val="single" w:sz="4" w:space="0" w:color="auto"/>
              <w:bottom w:val="single" w:sz="4" w:space="0" w:color="auto"/>
              <w:right w:val="single" w:sz="4" w:space="0" w:color="auto"/>
            </w:tcBorders>
            <w:shd w:val="clear" w:color="000000" w:fill="AAC2E2"/>
            <w:noWrap/>
            <w:hideMark/>
          </w:tcPr>
          <w:p w14:paraId="78925FF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4,0%</w:t>
            </w:r>
          </w:p>
        </w:tc>
        <w:tc>
          <w:tcPr>
            <w:tcW w:w="0" w:type="auto"/>
            <w:tcBorders>
              <w:top w:val="single" w:sz="4" w:space="0" w:color="auto"/>
              <w:left w:val="single" w:sz="4" w:space="0" w:color="auto"/>
              <w:bottom w:val="single" w:sz="4" w:space="0" w:color="auto"/>
              <w:right w:val="single" w:sz="4" w:space="0" w:color="auto"/>
            </w:tcBorders>
            <w:shd w:val="clear" w:color="000000" w:fill="A0BBDE"/>
            <w:noWrap/>
            <w:hideMark/>
          </w:tcPr>
          <w:p w14:paraId="2279026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3,6%</w:t>
            </w:r>
          </w:p>
        </w:tc>
      </w:tr>
    </w:tbl>
    <w:p w14:paraId="1EB27D36" w14:textId="55177ECC"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w:t>
      </w:r>
      <w:r w:rsidR="00673332">
        <w:rPr>
          <w:rFonts w:asciiTheme="minorHAnsi" w:hAnsiTheme="minorHAnsi" w:cstheme="minorHAnsi"/>
        </w:rPr>
        <w:t>enosti obyvatel města Zlín 2020;</w:t>
      </w:r>
      <w:r w:rsidRPr="00DA7ABE">
        <w:rPr>
          <w:rFonts w:asciiTheme="minorHAnsi" w:hAnsiTheme="minorHAnsi" w:cstheme="minorHAnsi"/>
        </w:rPr>
        <w:t xml:space="preserve"> Otázka 10.</w:t>
      </w:r>
      <w:r w:rsidR="00673332">
        <w:rPr>
          <w:rFonts w:asciiTheme="minorHAnsi" w:hAnsiTheme="minorHAnsi" w:cstheme="minorHAnsi"/>
        </w:rPr>
        <w:t>:</w:t>
      </w:r>
      <w:r w:rsidRPr="00DA7ABE">
        <w:rPr>
          <w:rFonts w:asciiTheme="minorHAnsi" w:hAnsiTheme="minorHAnsi" w:cstheme="minorHAnsi"/>
        </w:rPr>
        <w:t xml:space="preserve"> Cítíte se v OKOLÍ SVÉHO bydliště bezpečně?</w:t>
      </w:r>
      <w:r w:rsidRPr="00DA7ABE">
        <w:rPr>
          <w:rFonts w:asciiTheme="minorHAnsi" w:hAnsiTheme="minorHAnsi" w:cstheme="minorHAnsi"/>
        </w:rPr>
        <w:br/>
        <w:t xml:space="preserve">Pozn.: Průměrné hodnocení na škále </w:t>
      </w:r>
      <w:r w:rsidR="00673332">
        <w:rPr>
          <w:rFonts w:asciiTheme="minorHAnsi" w:hAnsiTheme="minorHAnsi" w:cstheme="minorHAnsi"/>
        </w:rPr>
        <w:t xml:space="preserve">0 </w:t>
      </w:r>
      <w:r w:rsidR="00673332">
        <w:rPr>
          <w:rFonts w:asciiTheme="minorHAnsi" w:hAnsiTheme="minorHAnsi" w:cstheme="minorHAnsi"/>
        </w:rPr>
        <w:sym w:font="Symbol" w:char="F02D"/>
      </w:r>
      <w:r w:rsidR="00673332">
        <w:rPr>
          <w:rFonts w:asciiTheme="minorHAnsi" w:hAnsiTheme="minorHAnsi" w:cstheme="minorHAnsi"/>
        </w:rPr>
        <w:t xml:space="preserve"> </w:t>
      </w:r>
      <w:r w:rsidRPr="00DA7ABE">
        <w:rPr>
          <w:rFonts w:asciiTheme="minorHAnsi" w:hAnsiTheme="minorHAnsi" w:cstheme="minorHAnsi"/>
        </w:rPr>
        <w:t>100 (0 velmi nespokojen 100 velmi spokojen).</w:t>
      </w:r>
    </w:p>
    <w:p w14:paraId="407A4E51" w14:textId="77777777" w:rsidR="007175FE" w:rsidRPr="00DA7ABE" w:rsidRDefault="007175FE" w:rsidP="007175FE">
      <w:pPr>
        <w:rPr>
          <w:rFonts w:cstheme="minorHAnsi"/>
        </w:rPr>
      </w:pPr>
      <w:r w:rsidRPr="00DA7ABE">
        <w:rPr>
          <w:rFonts w:cstheme="minorHAnsi"/>
        </w:rPr>
        <w:t>Hlavními důvody, proč se respondenti necítí v okolí svého bydliště bezpečně, je přítomnost lidí bez domova a dalších skupin nepřizpůsobivých obyvatel, především uživatel</w:t>
      </w:r>
      <w:r>
        <w:rPr>
          <w:rFonts w:cstheme="minorHAnsi"/>
        </w:rPr>
        <w:t>ů</w:t>
      </w:r>
      <w:r w:rsidRPr="00DA7ABE">
        <w:rPr>
          <w:rFonts w:cstheme="minorHAnsi"/>
        </w:rPr>
        <w:t xml:space="preserve"> návykových látek. Obyvatelé popisovali, že by uvítali větší množství (pěších) hlídek městské policie. Častými odpověďmi bylo také nedodržování dopravních předpisů a krádeže.</w:t>
      </w:r>
    </w:p>
    <w:p w14:paraId="2F1B6121" w14:textId="64F72F05" w:rsidR="007175FE" w:rsidRPr="00DA7ABE" w:rsidRDefault="007175FE" w:rsidP="007175FE">
      <w:pPr>
        <w:pStyle w:val="Titulek"/>
        <w:keepNext/>
        <w:keepLines/>
        <w:rPr>
          <w:rFonts w:cstheme="minorHAnsi"/>
        </w:rPr>
      </w:pPr>
      <w:bookmarkStart w:id="676" w:name="_Toc54702791"/>
      <w:bookmarkStart w:id="677" w:name="_Toc56179597"/>
      <w:bookmarkStart w:id="678" w:name="_Toc77074939"/>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18</w:t>
      </w:r>
      <w:r w:rsidR="0096730F">
        <w:rPr>
          <w:rFonts w:cstheme="minorHAnsi"/>
        </w:rPr>
        <w:fldChar w:fldCharType="end"/>
      </w:r>
      <w:r w:rsidR="00673332">
        <w:rPr>
          <w:rFonts w:cstheme="minorHAnsi"/>
        </w:rPr>
        <w:t>:</w:t>
      </w:r>
      <w:r w:rsidRPr="00DA7ABE">
        <w:rPr>
          <w:rFonts w:cstheme="minorHAnsi"/>
        </w:rPr>
        <w:t xml:space="preserve"> Důvody, proč se respondenti necítí bezpečně</w:t>
      </w:r>
      <w:bookmarkEnd w:id="676"/>
      <w:bookmarkEnd w:id="677"/>
      <w:bookmarkEnd w:id="678"/>
    </w:p>
    <w:p w14:paraId="4869F173" w14:textId="77777777" w:rsidR="007175FE" w:rsidRDefault="007175FE" w:rsidP="007175FE">
      <w:pPr>
        <w:pStyle w:val="zdroj0"/>
        <w:jc w:val="both"/>
        <w:rPr>
          <w:rFonts w:asciiTheme="minorHAnsi" w:hAnsiTheme="minorHAnsi" w:cstheme="minorHAnsi"/>
        </w:rPr>
      </w:pPr>
      <w:r w:rsidRPr="00DA7ABE">
        <w:rPr>
          <w:rFonts w:asciiTheme="minorHAnsi" w:hAnsiTheme="minorHAnsi" w:cstheme="minorHAnsi"/>
          <w:noProof/>
        </w:rPr>
        <w:drawing>
          <wp:inline distT="0" distB="0" distL="0" distR="0" wp14:anchorId="53982D86" wp14:editId="507270F5">
            <wp:extent cx="5638800" cy="3819274"/>
            <wp:effectExtent l="114300" t="114300" r="171450" b="162560"/>
            <wp:docPr id="366" name="Obrázek 366" descr="C:\Users\Linda Vyvialová\Desktop\Zlin_pruzkum\10a\10a_Z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a Vyvialová\Desktop\Zlin_pruzkum\10a\10a_Zlin.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2367" t="10341" r="11211" b="16528"/>
                    <a:stretch/>
                  </pic:blipFill>
                  <pic:spPr bwMode="auto">
                    <a:xfrm>
                      <a:off x="0" y="0"/>
                      <a:ext cx="5647603" cy="3825237"/>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A7ABE">
        <w:rPr>
          <w:rFonts w:asciiTheme="minorHAnsi" w:hAnsiTheme="minorHAnsi" w:cstheme="minorHAnsi"/>
        </w:rPr>
        <w:t xml:space="preserve"> </w:t>
      </w:r>
    </w:p>
    <w:p w14:paraId="2360A70A" w14:textId="084A1C19"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673332">
        <w:rPr>
          <w:rFonts w:asciiTheme="minorHAnsi" w:hAnsiTheme="minorHAnsi" w:cstheme="minorHAnsi"/>
        </w:rPr>
        <w:t>;</w:t>
      </w:r>
      <w:r w:rsidRPr="00DA7ABE">
        <w:rPr>
          <w:rFonts w:asciiTheme="minorHAnsi" w:hAnsiTheme="minorHAnsi" w:cstheme="minorHAnsi"/>
        </w:rPr>
        <w:t xml:space="preserve"> Otázka 10.</w:t>
      </w:r>
      <w:r w:rsidR="00673332">
        <w:rPr>
          <w:rFonts w:asciiTheme="minorHAnsi" w:hAnsiTheme="minorHAnsi" w:cstheme="minorHAnsi"/>
        </w:rPr>
        <w:t>:</w:t>
      </w:r>
      <w:r w:rsidRPr="00DA7ABE">
        <w:rPr>
          <w:rFonts w:asciiTheme="minorHAnsi" w:hAnsiTheme="minorHAnsi" w:cstheme="minorHAnsi"/>
        </w:rPr>
        <w:t xml:space="preserve"> Cítíte se v OKOLÍ SVÉHO bydliště bezpečně?</w:t>
      </w:r>
      <w:r w:rsidRPr="00DA7ABE">
        <w:rPr>
          <w:rFonts w:asciiTheme="minorHAnsi" w:hAnsiTheme="minorHAnsi" w:cstheme="minorHAnsi"/>
        </w:rPr>
        <w:br/>
        <w:t>Pozn.: Velikost písma značí četnost dané odpovědi</w:t>
      </w:r>
      <w:r>
        <w:rPr>
          <w:rFonts w:asciiTheme="minorHAnsi" w:hAnsiTheme="minorHAnsi" w:cstheme="minorHAnsi"/>
        </w:rPr>
        <w:t>, barvy jsou voleny náhodně</w:t>
      </w:r>
      <w:r w:rsidRPr="00DA7ABE">
        <w:rPr>
          <w:rFonts w:asciiTheme="minorHAnsi" w:hAnsiTheme="minorHAnsi" w:cstheme="minorHAnsi"/>
        </w:rPr>
        <w:t>.</w:t>
      </w:r>
    </w:p>
    <w:p w14:paraId="4DF4F171" w14:textId="12B40298" w:rsidR="007175FE" w:rsidRDefault="007175FE" w:rsidP="007175FE">
      <w:pPr>
        <w:pStyle w:val="Titulek"/>
        <w:keepNext/>
        <w:keepLines/>
        <w:rPr>
          <w:rFonts w:cstheme="minorHAnsi"/>
        </w:rPr>
      </w:pPr>
      <w:bookmarkStart w:id="679" w:name="_Toc54702631"/>
      <w:bookmarkStart w:id="680" w:name="_Toc56179438"/>
      <w:bookmarkStart w:id="681" w:name="_Toc57731796"/>
      <w:bookmarkStart w:id="682" w:name="_Toc77074780"/>
      <w:r>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17</w:t>
      </w:r>
      <w:r w:rsidR="00DC277C">
        <w:rPr>
          <w:rFonts w:cstheme="minorHAnsi"/>
        </w:rPr>
        <w:fldChar w:fldCharType="end"/>
      </w:r>
      <w:r w:rsidR="00673332">
        <w:rPr>
          <w:rFonts w:cstheme="minorHAnsi"/>
        </w:rPr>
        <w:t>:</w:t>
      </w:r>
      <w:r>
        <w:rPr>
          <w:rFonts w:cstheme="minorHAnsi"/>
        </w:rPr>
        <w:t xml:space="preserve"> Důvody, proč se respondenti necítí bezpečně – 22 nejčastějších odpovědí</w:t>
      </w:r>
      <w:bookmarkEnd w:id="679"/>
      <w:bookmarkEnd w:id="680"/>
      <w:bookmarkEnd w:id="681"/>
      <w:bookmarkEnd w:id="6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3"/>
        <w:gridCol w:w="2630"/>
        <w:gridCol w:w="1561"/>
        <w:gridCol w:w="442"/>
        <w:gridCol w:w="2545"/>
        <w:gridCol w:w="1561"/>
      </w:tblGrid>
      <w:tr w:rsidR="007175FE" w14:paraId="7F5D4FDC" w14:textId="77777777" w:rsidTr="000C49A5">
        <w:trPr>
          <w:trHeight w:val="255"/>
        </w:trPr>
        <w:tc>
          <w:tcPr>
            <w:tcW w:w="17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8DF487A" w14:textId="77777777" w:rsidR="007175FE" w:rsidRDefault="007175FE" w:rsidP="006B5B80">
            <w:pPr>
              <w:keepNext/>
              <w:spacing w:before="100" w:beforeAutospacing="1"/>
              <w:jc w:val="center"/>
              <w:rPr>
                <w:rFonts w:cstheme="minorHAnsi"/>
                <w:b/>
                <w:bCs/>
                <w:color w:val="000000"/>
                <w:sz w:val="18"/>
                <w:szCs w:val="18"/>
              </w:rPr>
            </w:pPr>
            <w:r>
              <w:rPr>
                <w:rFonts w:cstheme="minorHAnsi"/>
                <w:b/>
                <w:bCs/>
                <w:color w:val="000000"/>
                <w:sz w:val="18"/>
                <w:szCs w:val="18"/>
              </w:rPr>
              <w:t>#</w:t>
            </w:r>
          </w:p>
        </w:tc>
        <w:tc>
          <w:tcPr>
            <w:tcW w:w="1451"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38EC54A6" w14:textId="77777777" w:rsidR="007175FE" w:rsidRDefault="007175FE" w:rsidP="006B5B80">
            <w:pPr>
              <w:keepNext/>
              <w:spacing w:before="100" w:beforeAutospacing="1"/>
              <w:jc w:val="center"/>
              <w:rPr>
                <w:rFonts w:cstheme="minorHAnsi"/>
                <w:b/>
                <w:bCs/>
                <w:color w:val="000000"/>
                <w:sz w:val="18"/>
                <w:szCs w:val="18"/>
              </w:rPr>
            </w:pPr>
            <w:r>
              <w:rPr>
                <w:rFonts w:cstheme="minorHAnsi"/>
                <w:b/>
                <w:bCs/>
                <w:color w:val="000000"/>
                <w:sz w:val="18"/>
                <w:szCs w:val="18"/>
              </w:rPr>
              <w:t>Proč jste nespokojen/a</w:t>
            </w:r>
          </w:p>
        </w:tc>
        <w:tc>
          <w:tcPr>
            <w:tcW w:w="861"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5D784676" w14:textId="77777777" w:rsidR="007175FE" w:rsidRDefault="007175FE" w:rsidP="006B5B80">
            <w:pPr>
              <w:keepNext/>
              <w:spacing w:before="100" w:beforeAutospacing="1"/>
              <w:jc w:val="center"/>
              <w:rPr>
                <w:rFonts w:cstheme="minorHAnsi"/>
                <w:b/>
                <w:bCs/>
                <w:color w:val="000000"/>
                <w:sz w:val="18"/>
                <w:szCs w:val="18"/>
              </w:rPr>
            </w:pPr>
            <w:r>
              <w:rPr>
                <w:rFonts w:cstheme="minorHAnsi"/>
                <w:b/>
                <w:bCs/>
                <w:color w:val="000000"/>
                <w:sz w:val="18"/>
                <w:szCs w:val="18"/>
              </w:rPr>
              <w:t>Počet respondentů</w:t>
            </w:r>
          </w:p>
        </w:tc>
        <w:tc>
          <w:tcPr>
            <w:tcW w:w="24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A33F4C1" w14:textId="77777777" w:rsidR="007175FE" w:rsidRDefault="007175FE" w:rsidP="006B5B80">
            <w:pPr>
              <w:keepNext/>
              <w:spacing w:before="100" w:beforeAutospacing="1"/>
              <w:jc w:val="center"/>
              <w:rPr>
                <w:rFonts w:cstheme="minorHAnsi"/>
                <w:b/>
                <w:bCs/>
                <w:color w:val="000000"/>
                <w:sz w:val="18"/>
                <w:szCs w:val="18"/>
              </w:rPr>
            </w:pPr>
            <w:r>
              <w:rPr>
                <w:rFonts w:cstheme="minorHAnsi"/>
                <w:b/>
                <w:bCs/>
                <w:color w:val="000000"/>
                <w:sz w:val="18"/>
                <w:szCs w:val="18"/>
              </w:rPr>
              <w:t>#</w:t>
            </w:r>
          </w:p>
        </w:tc>
        <w:tc>
          <w:tcPr>
            <w:tcW w:w="1404"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64192C9" w14:textId="77777777" w:rsidR="007175FE" w:rsidRDefault="007175FE" w:rsidP="006B5B80">
            <w:pPr>
              <w:keepNext/>
              <w:spacing w:before="100" w:beforeAutospacing="1"/>
              <w:jc w:val="center"/>
              <w:rPr>
                <w:rFonts w:cstheme="minorHAnsi"/>
                <w:b/>
                <w:bCs/>
                <w:color w:val="000000"/>
                <w:sz w:val="18"/>
                <w:szCs w:val="18"/>
              </w:rPr>
            </w:pPr>
            <w:r>
              <w:rPr>
                <w:rFonts w:cstheme="minorHAnsi"/>
                <w:b/>
                <w:bCs/>
                <w:color w:val="000000"/>
                <w:sz w:val="18"/>
                <w:szCs w:val="18"/>
              </w:rPr>
              <w:t>Proč jste nespokojen/a</w:t>
            </w:r>
          </w:p>
        </w:tc>
        <w:tc>
          <w:tcPr>
            <w:tcW w:w="861"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7CA920D4" w14:textId="77777777" w:rsidR="007175FE" w:rsidRDefault="007175FE" w:rsidP="006B5B80">
            <w:pPr>
              <w:keepNext/>
              <w:spacing w:before="100" w:beforeAutospacing="1"/>
              <w:jc w:val="center"/>
              <w:rPr>
                <w:rFonts w:cstheme="minorHAnsi"/>
                <w:b/>
                <w:bCs/>
                <w:color w:val="000000"/>
                <w:sz w:val="18"/>
                <w:szCs w:val="18"/>
              </w:rPr>
            </w:pPr>
            <w:r>
              <w:rPr>
                <w:rFonts w:cstheme="minorHAnsi"/>
                <w:b/>
                <w:bCs/>
                <w:color w:val="000000"/>
                <w:sz w:val="18"/>
                <w:szCs w:val="18"/>
              </w:rPr>
              <w:t>Počet respondentů</w:t>
            </w:r>
          </w:p>
        </w:tc>
      </w:tr>
      <w:tr w:rsidR="007175FE" w14:paraId="60F20321"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39CDAC06"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24D3AD2"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Lidé bez domova</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07D65F90"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61</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461CBF8D"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12</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57ED4C74"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Jednosměrky</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459ADBE0"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7</w:t>
            </w:r>
          </w:p>
        </w:tc>
      </w:tr>
      <w:tr w:rsidR="007175FE" w14:paraId="48CA0EC5"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3F6EF243"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2</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E50D60C"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Drogy</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1E305ECE"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29</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40B1D383"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13</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010C17CB"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Individua</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47F979FF"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6</w:t>
            </w:r>
          </w:p>
        </w:tc>
      </w:tr>
      <w:tr w:rsidR="007175FE" w14:paraId="5C31E082"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0AA5666C"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3</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6570252"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Málo hlídek MP</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5300C966"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23</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603B1E14"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14</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56FDBECE"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Jižní svahy</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5F8DC0FF"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5</w:t>
            </w:r>
          </w:p>
        </w:tc>
      </w:tr>
      <w:tr w:rsidR="007175FE" w14:paraId="40DBC707"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007ECE52"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4</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BBDD344"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Opilci</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5C5EA960"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22</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3694ACC4"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15</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00B4B81E"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Nebezpečí pro děti</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3008135E"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4</w:t>
            </w:r>
          </w:p>
        </w:tc>
      </w:tr>
      <w:tr w:rsidR="007175FE" w14:paraId="03EA5BB5"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4A6F40A1"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5</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90F43FF"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Nádraží</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49B04981"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18</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0B00B8BA"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16</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35BB6966"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Špína</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71C73FE0"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4</w:t>
            </w:r>
          </w:p>
        </w:tc>
      </w:tr>
      <w:tr w:rsidR="007175FE" w14:paraId="26E5E73C"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50CCCE73"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6</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C18E53F"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Park</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421F8910"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18</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4EDA0939"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17</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1DA0A474"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Tma</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36D1BA54"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4</w:t>
            </w:r>
          </w:p>
        </w:tc>
      </w:tr>
      <w:tr w:rsidR="007175FE" w14:paraId="21DDEDB6"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5CE49D8C"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7</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97CD8E7"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Zloději</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5599F5FA"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16</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0E7E4C6B"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18</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1E465B1F"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Vandalové</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0C227B39"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4</w:t>
            </w:r>
          </w:p>
        </w:tc>
      </w:tr>
      <w:tr w:rsidR="007175FE" w14:paraId="4943DDB9"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59F514D7"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8</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A2D5F03"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Hluk</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29A2C6F0"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10</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64B6BEA6"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19</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51BCE1DC"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Chodníky</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5631A2EA"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3</w:t>
            </w:r>
          </w:p>
        </w:tc>
      </w:tr>
      <w:tr w:rsidR="007175FE" w14:paraId="0A83891D"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4B9DDF91"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9</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296A3F5"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Nedodržování rychlosti</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681C9F28"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9</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2D12A15E"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20</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3EC569D7"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Napadení</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367A3D04"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3</w:t>
            </w:r>
          </w:p>
        </w:tc>
      </w:tr>
      <w:tr w:rsidR="007175FE" w14:paraId="736B0F9C"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732FDC06"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10</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E18BEC1"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Centrum</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665AAD3B"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8</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3FB49656"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21</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0DF83C49"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Psi</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072D643C"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3</w:t>
            </w:r>
          </w:p>
        </w:tc>
      </w:tr>
      <w:tr w:rsidR="007175FE" w14:paraId="2E6C44E8" w14:textId="77777777" w:rsidTr="000C49A5">
        <w:trPr>
          <w:trHeight w:hRule="exact" w:val="284"/>
        </w:trPr>
        <w:tc>
          <w:tcPr>
            <w:tcW w:w="178"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6D42CE41"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11</w:t>
            </w:r>
          </w:p>
        </w:tc>
        <w:tc>
          <w:tcPr>
            <w:tcW w:w="1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EF73BF"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color w:val="000000"/>
                <w:sz w:val="18"/>
                <w:szCs w:val="18"/>
              </w:rPr>
              <w:t>Auta</w:t>
            </w:r>
          </w:p>
        </w:tc>
        <w:tc>
          <w:tcPr>
            <w:tcW w:w="861" w:type="pct"/>
            <w:tcBorders>
              <w:top w:val="single" w:sz="4" w:space="0" w:color="auto"/>
              <w:left w:val="single" w:sz="4" w:space="0" w:color="auto"/>
              <w:bottom w:val="single" w:sz="4" w:space="0" w:color="auto"/>
              <w:right w:val="single" w:sz="4" w:space="0" w:color="auto"/>
            </w:tcBorders>
            <w:noWrap/>
            <w:vAlign w:val="center"/>
            <w:hideMark/>
          </w:tcPr>
          <w:p w14:paraId="1B384207"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7</w:t>
            </w:r>
          </w:p>
        </w:tc>
        <w:tc>
          <w:tcPr>
            <w:tcW w:w="244"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5849BFA3" w14:textId="77777777" w:rsidR="007175FE" w:rsidRDefault="007175FE" w:rsidP="006B5B80">
            <w:pPr>
              <w:keepNext/>
              <w:spacing w:before="100" w:beforeAutospacing="1"/>
              <w:rPr>
                <w:rFonts w:cstheme="minorHAnsi"/>
                <w:b/>
                <w:color w:val="000000"/>
                <w:sz w:val="18"/>
                <w:szCs w:val="18"/>
              </w:rPr>
            </w:pPr>
            <w:r>
              <w:rPr>
                <w:rFonts w:cstheme="minorHAnsi"/>
                <w:b/>
                <w:color w:val="000000"/>
                <w:sz w:val="18"/>
                <w:szCs w:val="18"/>
              </w:rPr>
              <w:t>22</w:t>
            </w:r>
          </w:p>
        </w:tc>
        <w:tc>
          <w:tcPr>
            <w:tcW w:w="1404" w:type="pct"/>
            <w:tcBorders>
              <w:top w:val="single" w:sz="4" w:space="0" w:color="auto"/>
              <w:left w:val="single" w:sz="4" w:space="0" w:color="auto"/>
              <w:bottom w:val="single" w:sz="4" w:space="0" w:color="auto"/>
              <w:right w:val="single" w:sz="4" w:space="0" w:color="auto"/>
            </w:tcBorders>
            <w:shd w:val="clear" w:color="auto" w:fill="F2F2F2"/>
            <w:noWrap/>
            <w:hideMark/>
          </w:tcPr>
          <w:p w14:paraId="2049B9CB" w14:textId="77777777" w:rsidR="007175FE" w:rsidRPr="003D492B" w:rsidRDefault="007175FE" w:rsidP="006B5B80">
            <w:pPr>
              <w:keepNext/>
              <w:spacing w:before="100" w:beforeAutospacing="1"/>
              <w:rPr>
                <w:rFonts w:cstheme="minorHAnsi"/>
                <w:b/>
                <w:color w:val="000000"/>
                <w:sz w:val="18"/>
                <w:szCs w:val="18"/>
              </w:rPr>
            </w:pPr>
            <w:r w:rsidRPr="003D492B">
              <w:rPr>
                <w:rFonts w:cstheme="minorHAnsi"/>
                <w:b/>
                <w:sz w:val="18"/>
                <w:szCs w:val="18"/>
              </w:rPr>
              <w:t>Údržba zeleně</w:t>
            </w:r>
          </w:p>
        </w:tc>
        <w:tc>
          <w:tcPr>
            <w:tcW w:w="861" w:type="pct"/>
            <w:tcBorders>
              <w:top w:val="single" w:sz="4" w:space="0" w:color="auto"/>
              <w:left w:val="single" w:sz="4" w:space="0" w:color="auto"/>
              <w:bottom w:val="single" w:sz="4" w:space="0" w:color="auto"/>
              <w:right w:val="single" w:sz="4" w:space="0" w:color="auto"/>
            </w:tcBorders>
            <w:noWrap/>
            <w:vAlign w:val="bottom"/>
            <w:hideMark/>
          </w:tcPr>
          <w:p w14:paraId="47695199" w14:textId="77777777" w:rsidR="007175FE" w:rsidRDefault="007175FE" w:rsidP="006B5B80">
            <w:pPr>
              <w:keepNext/>
              <w:spacing w:before="100" w:beforeAutospacing="1"/>
              <w:jc w:val="center"/>
              <w:rPr>
                <w:rFonts w:cstheme="minorHAnsi"/>
                <w:color w:val="000000"/>
                <w:sz w:val="18"/>
                <w:szCs w:val="18"/>
              </w:rPr>
            </w:pPr>
            <w:r>
              <w:rPr>
                <w:rFonts w:cstheme="minorHAnsi"/>
                <w:color w:val="000000"/>
                <w:sz w:val="18"/>
                <w:szCs w:val="18"/>
              </w:rPr>
              <w:t>3</w:t>
            </w:r>
          </w:p>
        </w:tc>
      </w:tr>
    </w:tbl>
    <w:p w14:paraId="0A9C4875" w14:textId="2CA8900A" w:rsidR="007175FE" w:rsidRDefault="007175FE" w:rsidP="007175FE">
      <w:pPr>
        <w:pStyle w:val="zdroj0"/>
        <w:rPr>
          <w:rFonts w:asciiTheme="minorHAnsi" w:hAnsiTheme="minorHAnsi" w:cstheme="minorHAnsi"/>
        </w:rPr>
      </w:pPr>
      <w:r>
        <w:rPr>
          <w:rFonts w:asciiTheme="minorHAnsi" w:hAnsiTheme="minorHAnsi" w:cstheme="minorHAnsi"/>
        </w:rPr>
        <w:t>Zdroj: PROCES, Anketní šetření spokojenosti obyvatel města Zlín 2020</w:t>
      </w:r>
      <w:r w:rsidR="00673332">
        <w:rPr>
          <w:rFonts w:asciiTheme="minorHAnsi" w:hAnsiTheme="minorHAnsi" w:cstheme="minorHAnsi"/>
        </w:rPr>
        <w:t>;</w:t>
      </w:r>
      <w:r>
        <w:rPr>
          <w:rFonts w:asciiTheme="minorHAnsi" w:hAnsiTheme="minorHAnsi" w:cstheme="minorHAnsi"/>
        </w:rPr>
        <w:t xml:space="preserve"> Otázka 8a.</w:t>
      </w:r>
      <w:r w:rsidR="00673332">
        <w:rPr>
          <w:rFonts w:asciiTheme="minorHAnsi" w:hAnsiTheme="minorHAnsi" w:cstheme="minorHAnsi"/>
        </w:rPr>
        <w:t>:</w:t>
      </w:r>
      <w:r>
        <w:rPr>
          <w:rFonts w:asciiTheme="minorHAnsi" w:hAnsiTheme="minorHAnsi" w:cstheme="minorHAnsi"/>
        </w:rPr>
        <w:t xml:space="preserve"> Pokud</w:t>
      </w:r>
      <w:r w:rsidR="00673332">
        <w:rPr>
          <w:rFonts w:asciiTheme="minorHAnsi" w:hAnsiTheme="minorHAnsi" w:cstheme="minorHAnsi"/>
        </w:rPr>
        <w:t xml:space="preserve"> jste nespokojen se stávajícím</w:t>
      </w:r>
      <w:r w:rsidR="00673332">
        <w:rPr>
          <w:rFonts w:asciiTheme="minorHAnsi" w:hAnsiTheme="minorHAnsi" w:cstheme="minorHAnsi"/>
        </w:rPr>
        <w:br/>
      </w:r>
      <w:r>
        <w:rPr>
          <w:rFonts w:asciiTheme="minorHAnsi" w:hAnsiTheme="minorHAnsi" w:cstheme="minorHAnsi"/>
        </w:rPr>
        <w:t>bydlením ve Zlíně, uveďte, proč.</w:t>
      </w:r>
      <w:r>
        <w:rPr>
          <w:rFonts w:asciiTheme="minorHAnsi" w:hAnsiTheme="minorHAnsi" w:cstheme="minorHAnsi"/>
        </w:rPr>
        <w:br/>
        <w:t>Pozn.: Bylo uvedeno 22 nejčastějších odpovědí</w:t>
      </w:r>
      <w:r w:rsidR="00673332">
        <w:rPr>
          <w:rFonts w:asciiTheme="minorHAnsi" w:hAnsiTheme="minorHAnsi" w:cstheme="minorHAnsi"/>
        </w:rPr>
        <w:t>.</w:t>
      </w:r>
    </w:p>
    <w:p w14:paraId="61D78E51" w14:textId="44D42EF9" w:rsidR="007175FE" w:rsidRPr="007175FE" w:rsidRDefault="007175FE" w:rsidP="007175FE">
      <w:pPr>
        <w:rPr>
          <w:rFonts w:ascii="Times New Roman" w:hAnsi="Times New Roman" w:cs="Times New Roman"/>
          <w:sz w:val="24"/>
          <w:szCs w:val="24"/>
          <w:lang w:eastAsia="cs-CZ"/>
        </w:rPr>
      </w:pPr>
      <w:r w:rsidRPr="00DA7ABE">
        <w:t xml:space="preserve">Z části odpovědí přímo vyplynuly konkrétní lokality, kde se respondent necítí bezpečně, spolu se zdůvodněním. Tyto odpovědi jsou vypsány v tabulce </w:t>
      </w:r>
      <w:r w:rsidR="0096730F">
        <w:t>2.18</w:t>
      </w:r>
      <w:r>
        <w:rPr>
          <w:rStyle w:val="Znakapoznpodarou"/>
        </w:rPr>
        <w:footnoteReference w:id="108"/>
      </w:r>
      <w:r>
        <w:t xml:space="preserve">. </w:t>
      </w:r>
    </w:p>
    <w:p w14:paraId="257BA40D" w14:textId="028B5FFC" w:rsidR="007175FE" w:rsidRPr="00DA7ABE" w:rsidRDefault="007175FE" w:rsidP="007175FE">
      <w:pPr>
        <w:pStyle w:val="Titulek"/>
        <w:rPr>
          <w:rFonts w:cstheme="minorHAnsi"/>
        </w:rPr>
      </w:pPr>
      <w:bookmarkStart w:id="683" w:name="_Toc54702632"/>
      <w:bookmarkStart w:id="684" w:name="_Toc56179439"/>
      <w:bookmarkStart w:id="685" w:name="_Toc57731797"/>
      <w:bookmarkStart w:id="686" w:name="_Toc77074781"/>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18</w:t>
      </w:r>
      <w:r w:rsidR="00DC277C">
        <w:rPr>
          <w:rFonts w:cstheme="minorHAnsi"/>
        </w:rPr>
        <w:fldChar w:fldCharType="end"/>
      </w:r>
      <w:r w:rsidR="00673332">
        <w:rPr>
          <w:rFonts w:cstheme="minorHAnsi"/>
        </w:rPr>
        <w:t>:</w:t>
      </w:r>
      <w:r w:rsidRPr="00DA7ABE">
        <w:rPr>
          <w:rFonts w:cstheme="minorHAnsi"/>
        </w:rPr>
        <w:t xml:space="preserve"> Lokalizace a zdroje pocitu nebezpečí</w:t>
      </w:r>
      <w:bookmarkEnd w:id="683"/>
      <w:bookmarkEnd w:id="684"/>
      <w:bookmarkEnd w:id="685"/>
      <w:bookmarkEnd w:id="686"/>
    </w:p>
    <w:tbl>
      <w:tblPr>
        <w:tblStyle w:val="Mkatabulky"/>
        <w:tblW w:w="0" w:type="auto"/>
        <w:tblLook w:val="04A0" w:firstRow="1" w:lastRow="0" w:firstColumn="1" w:lastColumn="0" w:noHBand="0" w:noVBand="1"/>
      </w:tblPr>
      <w:tblGrid>
        <w:gridCol w:w="1555"/>
        <w:gridCol w:w="7507"/>
      </w:tblGrid>
      <w:tr w:rsidR="007175FE" w:rsidRPr="00DA7ABE" w14:paraId="1076695A" w14:textId="77777777" w:rsidTr="000C49A5">
        <w:trPr>
          <w:tblHeader/>
        </w:trPr>
        <w:tc>
          <w:tcPr>
            <w:tcW w:w="1555" w:type="dxa"/>
            <w:shd w:val="clear" w:color="auto" w:fill="F2F2F2" w:themeFill="background1" w:themeFillShade="F2"/>
            <w:vAlign w:val="center"/>
          </w:tcPr>
          <w:p w14:paraId="13514C69" w14:textId="77777777" w:rsidR="007175FE" w:rsidRPr="00DA7ABE" w:rsidRDefault="007175FE" w:rsidP="000C49A5">
            <w:pPr>
              <w:rPr>
                <w:rFonts w:cstheme="minorHAnsi"/>
                <w:b/>
                <w:sz w:val="18"/>
                <w:szCs w:val="18"/>
              </w:rPr>
            </w:pPr>
            <w:r w:rsidRPr="00DA7ABE">
              <w:rPr>
                <w:rFonts w:cstheme="minorHAnsi"/>
                <w:b/>
                <w:sz w:val="18"/>
                <w:szCs w:val="18"/>
              </w:rPr>
              <w:t>Proč se necítíte bezpečně</w:t>
            </w:r>
          </w:p>
        </w:tc>
        <w:tc>
          <w:tcPr>
            <w:tcW w:w="7507" w:type="dxa"/>
            <w:shd w:val="clear" w:color="auto" w:fill="F2F2F2" w:themeFill="background1" w:themeFillShade="F2"/>
          </w:tcPr>
          <w:p w14:paraId="30ED08C6" w14:textId="77777777" w:rsidR="007175FE" w:rsidRPr="00DA7ABE" w:rsidRDefault="007175FE" w:rsidP="000C49A5">
            <w:pPr>
              <w:rPr>
                <w:rFonts w:cstheme="minorHAnsi"/>
                <w:b/>
                <w:sz w:val="18"/>
                <w:szCs w:val="18"/>
              </w:rPr>
            </w:pPr>
            <w:r w:rsidRPr="00DA7ABE">
              <w:rPr>
                <w:rFonts w:cstheme="minorHAnsi"/>
                <w:b/>
                <w:sz w:val="18"/>
                <w:szCs w:val="18"/>
              </w:rPr>
              <w:t>Lokalita, upřesnění</w:t>
            </w:r>
          </w:p>
        </w:tc>
      </w:tr>
      <w:tr w:rsidR="007175FE" w:rsidRPr="00DA7ABE" w14:paraId="2107CC7D" w14:textId="77777777" w:rsidTr="000C49A5">
        <w:tc>
          <w:tcPr>
            <w:tcW w:w="1555" w:type="dxa"/>
          </w:tcPr>
          <w:p w14:paraId="29B457DF" w14:textId="77777777" w:rsidR="007175FE" w:rsidRPr="00DA7ABE" w:rsidRDefault="007175FE" w:rsidP="000C49A5">
            <w:pPr>
              <w:rPr>
                <w:rFonts w:cstheme="minorHAnsi"/>
                <w:b/>
                <w:sz w:val="18"/>
                <w:szCs w:val="18"/>
              </w:rPr>
            </w:pPr>
            <w:r w:rsidRPr="00DA7ABE">
              <w:rPr>
                <w:rFonts w:cstheme="minorHAnsi"/>
                <w:b/>
                <w:sz w:val="18"/>
                <w:szCs w:val="18"/>
              </w:rPr>
              <w:t>Cyklodoprava</w:t>
            </w:r>
          </w:p>
        </w:tc>
        <w:tc>
          <w:tcPr>
            <w:tcW w:w="7507" w:type="dxa"/>
          </w:tcPr>
          <w:p w14:paraId="069BC601" w14:textId="0D020F6D"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P</w:t>
            </w:r>
            <w:r w:rsidR="007175FE" w:rsidRPr="00DA7ABE">
              <w:rPr>
                <w:rFonts w:cstheme="minorHAnsi"/>
                <w:sz w:val="18"/>
                <w:szCs w:val="18"/>
              </w:rPr>
              <w:t>odjezdy pod mosty na Cigánově a u Čepkova – prosíme, ať jsou pro všechny: chodce, maminky s kočárky i pro cyklisty – ať cyklisté před podjezdem sesednou z</w:t>
            </w:r>
            <w:r>
              <w:rPr>
                <w:rFonts w:cstheme="minorHAnsi"/>
                <w:sz w:val="18"/>
                <w:szCs w:val="18"/>
              </w:rPr>
              <w:t> </w:t>
            </w:r>
            <w:r w:rsidR="007175FE" w:rsidRPr="00DA7ABE">
              <w:rPr>
                <w:rFonts w:cstheme="minorHAnsi"/>
                <w:sz w:val="18"/>
                <w:szCs w:val="18"/>
              </w:rPr>
              <w:t>kola</w:t>
            </w:r>
            <w:r>
              <w:rPr>
                <w:rFonts w:cstheme="minorHAnsi"/>
                <w:sz w:val="18"/>
                <w:szCs w:val="18"/>
              </w:rPr>
              <w:t>.</w:t>
            </w:r>
          </w:p>
        </w:tc>
      </w:tr>
      <w:tr w:rsidR="007175FE" w:rsidRPr="00DA7ABE" w14:paraId="2DADC5D2" w14:textId="77777777" w:rsidTr="000C49A5">
        <w:tc>
          <w:tcPr>
            <w:tcW w:w="1555" w:type="dxa"/>
          </w:tcPr>
          <w:p w14:paraId="433C8CC2" w14:textId="77777777" w:rsidR="007175FE" w:rsidRPr="00DA7ABE" w:rsidRDefault="007175FE" w:rsidP="000C49A5">
            <w:pPr>
              <w:rPr>
                <w:rFonts w:cstheme="minorHAnsi"/>
                <w:b/>
                <w:sz w:val="18"/>
                <w:szCs w:val="18"/>
              </w:rPr>
            </w:pPr>
            <w:r w:rsidRPr="00DA7ABE">
              <w:rPr>
                <w:rFonts w:cstheme="minorHAnsi"/>
                <w:b/>
                <w:sz w:val="18"/>
                <w:szCs w:val="18"/>
              </w:rPr>
              <w:t>Dopravní situace</w:t>
            </w:r>
          </w:p>
        </w:tc>
        <w:tc>
          <w:tcPr>
            <w:tcW w:w="7507" w:type="dxa"/>
          </w:tcPr>
          <w:p w14:paraId="04F0D4E8" w14:textId="33DBB175"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U</w:t>
            </w:r>
            <w:r w:rsidR="007175FE" w:rsidRPr="00DA7ABE">
              <w:rPr>
                <w:rFonts w:cstheme="minorHAnsi"/>
                <w:sz w:val="18"/>
                <w:szCs w:val="18"/>
              </w:rPr>
              <w:t>lice Pekárenská je trochu zvláštně řešená vzhledem k tomu, že chodník vede kolem Kostkovice od zastávky trol. 2 pouze nahoru, a pak již v žádném směru. Řidiči tam jezdí velmi rychle navzdory několika nepřehledným zatáčkám, chodník je místy opravdu velmi úzký a cedule doporučující rychlost 30 km/h tomu nepomohla.</w:t>
            </w:r>
          </w:p>
          <w:p w14:paraId="2624875F" w14:textId="73FCC22B"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R</w:t>
            </w:r>
            <w:r w:rsidR="007175FE" w:rsidRPr="00DA7ABE">
              <w:rPr>
                <w:rFonts w:cstheme="minorHAnsi"/>
                <w:sz w:val="18"/>
                <w:szCs w:val="18"/>
              </w:rPr>
              <w:t>ychlý provoz, nedodržování rychlosti na 30 km/h v</w:t>
            </w:r>
            <w:r>
              <w:rPr>
                <w:rFonts w:cstheme="minorHAnsi"/>
                <w:sz w:val="18"/>
                <w:szCs w:val="18"/>
              </w:rPr>
              <w:t> </w:t>
            </w:r>
            <w:r w:rsidR="007175FE" w:rsidRPr="00DA7ABE">
              <w:rPr>
                <w:rFonts w:cstheme="minorHAnsi"/>
                <w:sz w:val="18"/>
                <w:szCs w:val="18"/>
              </w:rPr>
              <w:t>Malenovicích</w:t>
            </w:r>
            <w:r>
              <w:rPr>
                <w:rFonts w:cstheme="minorHAnsi"/>
                <w:sz w:val="18"/>
                <w:szCs w:val="18"/>
              </w:rPr>
              <w:t>.</w:t>
            </w:r>
          </w:p>
          <w:p w14:paraId="626A1F1A" w14:textId="42B1E8AD"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Příkrá – nebezpečné zjednosměrnění a retardér</w:t>
            </w:r>
            <w:r w:rsidR="00673332">
              <w:rPr>
                <w:rFonts w:cstheme="minorHAnsi"/>
                <w:sz w:val="18"/>
                <w:szCs w:val="18"/>
              </w:rPr>
              <w:t>.</w:t>
            </w:r>
          </w:p>
          <w:p w14:paraId="1C380F40" w14:textId="1951041A" w:rsidR="007175FE" w:rsidRPr="00DA7ABE" w:rsidRDefault="00673332" w:rsidP="00673332">
            <w:pPr>
              <w:pStyle w:val="Odstavecseseznamem"/>
              <w:numPr>
                <w:ilvl w:val="0"/>
                <w:numId w:val="72"/>
              </w:numPr>
              <w:suppressAutoHyphens/>
              <w:ind w:left="318"/>
              <w:rPr>
                <w:rFonts w:cstheme="minorHAnsi"/>
                <w:sz w:val="18"/>
                <w:szCs w:val="18"/>
              </w:rPr>
            </w:pPr>
            <w:r>
              <w:rPr>
                <w:rFonts w:cstheme="minorHAnsi"/>
                <w:sz w:val="18"/>
                <w:szCs w:val="18"/>
              </w:rPr>
              <w:t>C</w:t>
            </w:r>
            <w:r w:rsidR="007175FE" w:rsidRPr="00DA7ABE">
              <w:rPr>
                <w:rFonts w:cstheme="minorHAnsi"/>
                <w:sz w:val="18"/>
                <w:szCs w:val="18"/>
              </w:rPr>
              <w:t>esty Lesní čtvrti -  chodníky ústí do dráhy projíždějících vozidel; velká rychlost vozidel v</w:t>
            </w:r>
            <w:r>
              <w:rPr>
                <w:rFonts w:cstheme="minorHAnsi"/>
                <w:sz w:val="18"/>
                <w:szCs w:val="18"/>
              </w:rPr>
              <w:t> </w:t>
            </w:r>
            <w:r w:rsidR="007175FE" w:rsidRPr="00DA7ABE">
              <w:rPr>
                <w:rFonts w:cstheme="minorHAnsi"/>
                <w:sz w:val="18"/>
                <w:szCs w:val="18"/>
              </w:rPr>
              <w:t>jednosměrkách</w:t>
            </w:r>
            <w:r>
              <w:rPr>
                <w:rFonts w:cstheme="minorHAnsi"/>
                <w:sz w:val="18"/>
                <w:szCs w:val="18"/>
              </w:rPr>
              <w:t>.</w:t>
            </w:r>
          </w:p>
        </w:tc>
      </w:tr>
      <w:tr w:rsidR="007175FE" w:rsidRPr="00DA7ABE" w14:paraId="665FD5FC" w14:textId="77777777" w:rsidTr="000C49A5">
        <w:tc>
          <w:tcPr>
            <w:tcW w:w="1555" w:type="dxa"/>
          </w:tcPr>
          <w:p w14:paraId="7E8ACC45" w14:textId="77777777" w:rsidR="007175FE" w:rsidRPr="00DA7ABE" w:rsidRDefault="007175FE" w:rsidP="000C49A5">
            <w:pPr>
              <w:rPr>
                <w:rFonts w:cstheme="minorHAnsi"/>
                <w:b/>
                <w:sz w:val="18"/>
                <w:szCs w:val="18"/>
              </w:rPr>
            </w:pPr>
            <w:r w:rsidRPr="00DA7ABE">
              <w:rPr>
                <w:rFonts w:cstheme="minorHAnsi"/>
                <w:b/>
                <w:sz w:val="18"/>
                <w:szCs w:val="18"/>
              </w:rPr>
              <w:t>Drogy</w:t>
            </w:r>
          </w:p>
        </w:tc>
        <w:tc>
          <w:tcPr>
            <w:tcW w:w="7507" w:type="dxa"/>
          </w:tcPr>
          <w:p w14:paraId="2DCB821B" w14:textId="1873E97E"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P</w:t>
            </w:r>
            <w:r w:rsidR="007175FE" w:rsidRPr="00DA7ABE">
              <w:rPr>
                <w:rFonts w:cstheme="minorHAnsi"/>
                <w:sz w:val="18"/>
                <w:szCs w:val="18"/>
              </w:rPr>
              <w:t>ěstování drog na balkonech (u Malenovic)</w:t>
            </w:r>
            <w:r>
              <w:rPr>
                <w:rFonts w:cstheme="minorHAnsi"/>
                <w:sz w:val="18"/>
                <w:szCs w:val="18"/>
              </w:rPr>
              <w:t>.</w:t>
            </w:r>
          </w:p>
          <w:p w14:paraId="734B1634" w14:textId="31D133BB"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Lešetín II (feťáci v objektu)</w:t>
            </w:r>
            <w:r w:rsidR="00673332">
              <w:rPr>
                <w:rFonts w:cstheme="minorHAnsi"/>
                <w:sz w:val="18"/>
                <w:szCs w:val="18"/>
              </w:rPr>
              <w:t>.</w:t>
            </w:r>
          </w:p>
          <w:p w14:paraId="229FC546" w14:textId="41BA662C"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Jižní svahy, centrum</w:t>
            </w:r>
            <w:r w:rsidR="00673332">
              <w:rPr>
                <w:rFonts w:cstheme="minorHAnsi"/>
                <w:sz w:val="18"/>
                <w:szCs w:val="18"/>
              </w:rPr>
              <w:t>.</w:t>
            </w:r>
          </w:p>
        </w:tc>
      </w:tr>
      <w:tr w:rsidR="007175FE" w:rsidRPr="00DA7ABE" w14:paraId="1CE76BFF" w14:textId="77777777" w:rsidTr="000C49A5">
        <w:tc>
          <w:tcPr>
            <w:tcW w:w="1555" w:type="dxa"/>
          </w:tcPr>
          <w:p w14:paraId="05A1104C" w14:textId="77777777" w:rsidR="007175FE" w:rsidRPr="00DA7ABE" w:rsidRDefault="007175FE" w:rsidP="000C49A5">
            <w:pPr>
              <w:rPr>
                <w:rFonts w:cstheme="minorHAnsi"/>
                <w:b/>
                <w:sz w:val="18"/>
                <w:szCs w:val="18"/>
              </w:rPr>
            </w:pPr>
            <w:r w:rsidRPr="00DA7ABE">
              <w:rPr>
                <w:rFonts w:cstheme="minorHAnsi"/>
                <w:b/>
                <w:sz w:val="18"/>
                <w:szCs w:val="18"/>
              </w:rPr>
              <w:t>Hluk opilých</w:t>
            </w:r>
          </w:p>
        </w:tc>
        <w:tc>
          <w:tcPr>
            <w:tcW w:w="7507" w:type="dxa"/>
          </w:tcPr>
          <w:p w14:paraId="0EFAEEBB" w14:textId="21EB6BD9"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H</w:t>
            </w:r>
            <w:r w:rsidR="007175FE" w:rsidRPr="00DA7ABE">
              <w:rPr>
                <w:rFonts w:cstheme="minorHAnsi"/>
                <w:sz w:val="18"/>
                <w:szCs w:val="18"/>
              </w:rPr>
              <w:t>ospoda mezi Letnou a Podhořím (hluk)</w:t>
            </w:r>
            <w:r>
              <w:rPr>
                <w:rFonts w:cstheme="minorHAnsi"/>
                <w:sz w:val="18"/>
                <w:szCs w:val="18"/>
              </w:rPr>
              <w:t>.</w:t>
            </w:r>
          </w:p>
          <w:p w14:paraId="4BA53B79" w14:textId="5EBFF058"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H</w:t>
            </w:r>
            <w:r w:rsidR="007175FE" w:rsidRPr="00DA7ABE">
              <w:rPr>
                <w:rFonts w:cstheme="minorHAnsi"/>
                <w:sz w:val="18"/>
                <w:szCs w:val="18"/>
              </w:rPr>
              <w:t>ospoda Kúty (scházení „partiček“)</w:t>
            </w:r>
            <w:r>
              <w:rPr>
                <w:rFonts w:cstheme="minorHAnsi"/>
                <w:sz w:val="18"/>
                <w:szCs w:val="18"/>
              </w:rPr>
              <w:t>.</w:t>
            </w:r>
          </w:p>
        </w:tc>
      </w:tr>
      <w:tr w:rsidR="007175FE" w:rsidRPr="00DA7ABE" w14:paraId="1ECAE919" w14:textId="77777777" w:rsidTr="000C49A5">
        <w:tc>
          <w:tcPr>
            <w:tcW w:w="1555" w:type="dxa"/>
          </w:tcPr>
          <w:p w14:paraId="7526E3B6" w14:textId="77777777" w:rsidR="007175FE" w:rsidRPr="00DA7ABE" w:rsidRDefault="007175FE" w:rsidP="000C49A5">
            <w:pPr>
              <w:rPr>
                <w:rFonts w:cstheme="minorHAnsi"/>
                <w:b/>
                <w:sz w:val="18"/>
                <w:szCs w:val="18"/>
              </w:rPr>
            </w:pPr>
            <w:r w:rsidRPr="00DA7ABE">
              <w:rPr>
                <w:rFonts w:cstheme="minorHAnsi"/>
                <w:b/>
                <w:sz w:val="18"/>
                <w:szCs w:val="18"/>
              </w:rPr>
              <w:t>Krádeže</w:t>
            </w:r>
          </w:p>
        </w:tc>
        <w:tc>
          <w:tcPr>
            <w:tcW w:w="7507" w:type="dxa"/>
          </w:tcPr>
          <w:p w14:paraId="6FFAA14B" w14:textId="04744E58"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Mokrá – krádeže v domech (zmíněno 3x)</w:t>
            </w:r>
            <w:r w:rsidR="00673332">
              <w:rPr>
                <w:rFonts w:cstheme="minorHAnsi"/>
                <w:sz w:val="18"/>
                <w:szCs w:val="18"/>
              </w:rPr>
              <w:t>.</w:t>
            </w:r>
          </w:p>
          <w:p w14:paraId="7D0AB4E6" w14:textId="7CEE286F"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Letná – podezření, že kradou lidé bez domova (metla, rohožka)</w:t>
            </w:r>
            <w:r w:rsidR="00673332">
              <w:rPr>
                <w:rFonts w:cstheme="minorHAnsi"/>
                <w:sz w:val="18"/>
                <w:szCs w:val="18"/>
              </w:rPr>
              <w:t>.</w:t>
            </w:r>
          </w:p>
        </w:tc>
      </w:tr>
      <w:tr w:rsidR="007175FE" w:rsidRPr="00DA7ABE" w14:paraId="12281C8A" w14:textId="77777777" w:rsidTr="000C49A5">
        <w:tc>
          <w:tcPr>
            <w:tcW w:w="1555" w:type="dxa"/>
          </w:tcPr>
          <w:p w14:paraId="695D1C33" w14:textId="77777777" w:rsidR="007175FE" w:rsidRPr="00DA7ABE" w:rsidRDefault="007175FE" w:rsidP="000C49A5">
            <w:pPr>
              <w:rPr>
                <w:rFonts w:cstheme="minorHAnsi"/>
                <w:b/>
                <w:sz w:val="18"/>
                <w:szCs w:val="18"/>
              </w:rPr>
            </w:pPr>
            <w:r w:rsidRPr="00DA7ABE">
              <w:rPr>
                <w:rFonts w:cstheme="minorHAnsi"/>
                <w:b/>
                <w:sz w:val="18"/>
                <w:szCs w:val="18"/>
              </w:rPr>
              <w:t>Lidé bez domova</w:t>
            </w:r>
          </w:p>
        </w:tc>
        <w:tc>
          <w:tcPr>
            <w:tcW w:w="7507" w:type="dxa"/>
          </w:tcPr>
          <w:p w14:paraId="340FD29B" w14:textId="2C1CD636"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A</w:t>
            </w:r>
            <w:r w:rsidR="007175FE" w:rsidRPr="00DA7ABE">
              <w:rPr>
                <w:rFonts w:cstheme="minorHAnsi"/>
                <w:sz w:val="18"/>
                <w:szCs w:val="18"/>
              </w:rPr>
              <w:t>utobusové a vlakové ná</w:t>
            </w:r>
            <w:r>
              <w:rPr>
                <w:rFonts w:cstheme="minorHAnsi"/>
                <w:sz w:val="18"/>
                <w:szCs w:val="18"/>
              </w:rPr>
              <w:t>draží, přilehlý podchod a park</w:t>
            </w:r>
          </w:p>
          <w:p w14:paraId="5E0F445F" w14:textId="2472698E"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Park u zámku</w:t>
            </w:r>
            <w:r w:rsidR="007175FE" w:rsidRPr="00DA7ABE">
              <w:rPr>
                <w:rFonts w:cstheme="minorHAnsi"/>
                <w:sz w:val="18"/>
                <w:szCs w:val="18"/>
              </w:rPr>
              <w:t xml:space="preserve"> </w:t>
            </w:r>
          </w:p>
          <w:p w14:paraId="0ABED5F8" w14:textId="73A5D68F"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D</w:t>
            </w:r>
            <w:r w:rsidR="007175FE" w:rsidRPr="00DA7ABE">
              <w:rPr>
                <w:rFonts w:cstheme="minorHAnsi"/>
                <w:sz w:val="18"/>
                <w:szCs w:val="18"/>
              </w:rPr>
              <w:t xml:space="preserve">alší parky </w:t>
            </w:r>
          </w:p>
          <w:p w14:paraId="56233C52" w14:textId="7977A1C6"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Pod mostem u Kudlovské přehrady</w:t>
            </w:r>
          </w:p>
          <w:p w14:paraId="20CDFC98" w14:textId="27AC112C" w:rsidR="007175FE" w:rsidRPr="00DA7ABE" w:rsidRDefault="00673332" w:rsidP="00A55F7D">
            <w:pPr>
              <w:pStyle w:val="Odstavecseseznamem"/>
              <w:numPr>
                <w:ilvl w:val="0"/>
                <w:numId w:val="72"/>
              </w:numPr>
              <w:suppressAutoHyphens/>
              <w:ind w:left="318"/>
              <w:rPr>
                <w:rFonts w:cstheme="minorHAnsi"/>
                <w:sz w:val="18"/>
                <w:szCs w:val="18"/>
              </w:rPr>
            </w:pPr>
            <w:r>
              <w:rPr>
                <w:rFonts w:cstheme="minorHAnsi"/>
                <w:sz w:val="18"/>
                <w:szCs w:val="18"/>
              </w:rPr>
              <w:t>Hornomlýnská</w:t>
            </w:r>
          </w:p>
          <w:p w14:paraId="19600ECA" w14:textId="21B5F526" w:rsidR="007175FE" w:rsidRPr="00DA7ABE" w:rsidRDefault="00BE36CC" w:rsidP="00A55F7D">
            <w:pPr>
              <w:pStyle w:val="Odstavecseseznamem"/>
              <w:numPr>
                <w:ilvl w:val="0"/>
                <w:numId w:val="72"/>
              </w:numPr>
              <w:suppressAutoHyphens/>
              <w:ind w:left="318"/>
              <w:rPr>
                <w:rFonts w:cstheme="minorHAnsi"/>
                <w:sz w:val="18"/>
                <w:szCs w:val="18"/>
              </w:rPr>
            </w:pPr>
            <w:r>
              <w:rPr>
                <w:rFonts w:cstheme="minorHAnsi"/>
                <w:sz w:val="18"/>
                <w:szCs w:val="18"/>
              </w:rPr>
              <w:t>L</w:t>
            </w:r>
            <w:r w:rsidR="007175FE" w:rsidRPr="00DA7ABE">
              <w:rPr>
                <w:rFonts w:cstheme="minorHAnsi"/>
                <w:sz w:val="18"/>
                <w:szCs w:val="18"/>
              </w:rPr>
              <w:t>avička před obchodním domem, spodní park, Kvítková</w:t>
            </w:r>
          </w:p>
          <w:p w14:paraId="15241E5F" w14:textId="64010D8E" w:rsidR="007175FE" w:rsidRPr="00DA7ABE" w:rsidRDefault="00BE36CC" w:rsidP="00A55F7D">
            <w:pPr>
              <w:pStyle w:val="Odstavecseseznamem"/>
              <w:numPr>
                <w:ilvl w:val="0"/>
                <w:numId w:val="72"/>
              </w:numPr>
              <w:suppressAutoHyphens/>
              <w:ind w:left="318"/>
              <w:rPr>
                <w:rFonts w:cstheme="minorHAnsi"/>
                <w:sz w:val="18"/>
                <w:szCs w:val="18"/>
              </w:rPr>
            </w:pPr>
            <w:r>
              <w:rPr>
                <w:rFonts w:cstheme="minorHAnsi"/>
                <w:sz w:val="18"/>
                <w:szCs w:val="18"/>
              </w:rPr>
              <w:t>A</w:t>
            </w:r>
            <w:r w:rsidR="007175FE" w:rsidRPr="00DA7ABE">
              <w:rPr>
                <w:rFonts w:cstheme="minorHAnsi"/>
                <w:sz w:val="18"/>
                <w:szCs w:val="18"/>
              </w:rPr>
              <w:t>reál bývalých stavebnin na Kocandě</w:t>
            </w:r>
          </w:p>
          <w:p w14:paraId="25ADE4D3" w14:textId="77777777"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Albert Díly, Díly IV</w:t>
            </w:r>
          </w:p>
          <w:p w14:paraId="1B3042FA" w14:textId="77777777"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Albert Prštné</w:t>
            </w:r>
          </w:p>
          <w:p w14:paraId="25863FDF" w14:textId="77777777"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Prodejny Baťa</w:t>
            </w:r>
          </w:p>
          <w:p w14:paraId="2A4D19B1" w14:textId="77777777"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Centrum všeobecně</w:t>
            </w:r>
          </w:p>
          <w:p w14:paraId="6ADF604F" w14:textId="06AFCF72"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Před obchodem v Jižních svazích, Billa</w:t>
            </w:r>
          </w:p>
          <w:p w14:paraId="167E9BB5" w14:textId="77777777"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V MHD</w:t>
            </w:r>
          </w:p>
        </w:tc>
      </w:tr>
      <w:tr w:rsidR="007175FE" w:rsidRPr="00DA7ABE" w14:paraId="0DFE0DD3" w14:textId="77777777" w:rsidTr="000C49A5">
        <w:tc>
          <w:tcPr>
            <w:tcW w:w="1555" w:type="dxa"/>
          </w:tcPr>
          <w:p w14:paraId="27DB8CF0" w14:textId="77777777" w:rsidR="007175FE" w:rsidRPr="00DA7ABE" w:rsidRDefault="007175FE" w:rsidP="000C49A5">
            <w:pPr>
              <w:rPr>
                <w:rFonts w:cstheme="minorHAnsi"/>
                <w:b/>
                <w:sz w:val="18"/>
                <w:szCs w:val="18"/>
              </w:rPr>
            </w:pPr>
            <w:r w:rsidRPr="00DA7ABE">
              <w:rPr>
                <w:rFonts w:cstheme="minorHAnsi"/>
                <w:b/>
                <w:sz w:val="18"/>
                <w:szCs w:val="18"/>
              </w:rPr>
              <w:t>Nebezpečí pro děti</w:t>
            </w:r>
          </w:p>
        </w:tc>
        <w:tc>
          <w:tcPr>
            <w:tcW w:w="7507" w:type="dxa"/>
          </w:tcPr>
          <w:p w14:paraId="2CBA8C82" w14:textId="5C8A7723" w:rsidR="007175FE" w:rsidRPr="00DA7ABE" w:rsidRDefault="00BE36CC" w:rsidP="00A55F7D">
            <w:pPr>
              <w:pStyle w:val="Odstavecseseznamem"/>
              <w:numPr>
                <w:ilvl w:val="0"/>
                <w:numId w:val="72"/>
              </w:numPr>
              <w:suppressAutoHyphens/>
              <w:ind w:left="318"/>
              <w:rPr>
                <w:rFonts w:cstheme="minorHAnsi"/>
                <w:sz w:val="18"/>
                <w:szCs w:val="18"/>
              </w:rPr>
            </w:pPr>
            <w:r>
              <w:rPr>
                <w:rFonts w:cstheme="minorHAnsi"/>
                <w:sz w:val="18"/>
                <w:szCs w:val="18"/>
              </w:rPr>
              <w:t>H</w:t>
            </w:r>
            <w:r w:rsidR="007175FE" w:rsidRPr="00DA7ABE">
              <w:rPr>
                <w:rFonts w:cstheme="minorHAnsi"/>
                <w:sz w:val="18"/>
                <w:szCs w:val="18"/>
              </w:rPr>
              <w:t>erny u škol v</w:t>
            </w:r>
            <w:r>
              <w:rPr>
                <w:rFonts w:cstheme="minorHAnsi"/>
                <w:sz w:val="18"/>
                <w:szCs w:val="18"/>
              </w:rPr>
              <w:t> </w:t>
            </w:r>
            <w:r w:rsidR="007175FE" w:rsidRPr="00DA7ABE">
              <w:rPr>
                <w:rFonts w:cstheme="minorHAnsi"/>
                <w:sz w:val="18"/>
                <w:szCs w:val="18"/>
              </w:rPr>
              <w:t>Kvítkové</w:t>
            </w:r>
          </w:p>
          <w:p w14:paraId="0BAD2F59" w14:textId="22E4A492" w:rsidR="007175FE" w:rsidRPr="00DA7ABE" w:rsidRDefault="007175FE" w:rsidP="00A55F7D">
            <w:pPr>
              <w:pStyle w:val="Odstavecseseznamem"/>
              <w:numPr>
                <w:ilvl w:val="0"/>
                <w:numId w:val="72"/>
              </w:numPr>
              <w:suppressAutoHyphens/>
              <w:ind w:left="318"/>
              <w:rPr>
                <w:rFonts w:cstheme="minorHAnsi"/>
                <w:sz w:val="18"/>
                <w:szCs w:val="18"/>
              </w:rPr>
            </w:pPr>
            <w:r w:rsidRPr="00DA7ABE">
              <w:rPr>
                <w:rFonts w:cstheme="minorHAnsi"/>
                <w:sz w:val="18"/>
                <w:szCs w:val="18"/>
              </w:rPr>
              <w:t>Letná – před školou jsou upozorňováni na dodávky, které lákají děti</w:t>
            </w:r>
            <w:r w:rsidR="00BE36CC">
              <w:rPr>
                <w:rFonts w:cstheme="minorHAnsi"/>
                <w:sz w:val="18"/>
                <w:szCs w:val="18"/>
              </w:rPr>
              <w:t>.</w:t>
            </w:r>
          </w:p>
        </w:tc>
      </w:tr>
      <w:tr w:rsidR="007175FE" w:rsidRPr="00DA7ABE" w14:paraId="0618DAE6" w14:textId="77777777" w:rsidTr="000C49A5">
        <w:tc>
          <w:tcPr>
            <w:tcW w:w="1555" w:type="dxa"/>
          </w:tcPr>
          <w:p w14:paraId="66651CBC" w14:textId="77777777" w:rsidR="007175FE" w:rsidRPr="00DA7ABE" w:rsidRDefault="007175FE" w:rsidP="000C49A5">
            <w:pPr>
              <w:rPr>
                <w:rFonts w:cstheme="minorHAnsi"/>
                <w:b/>
                <w:sz w:val="18"/>
                <w:szCs w:val="18"/>
              </w:rPr>
            </w:pPr>
            <w:r w:rsidRPr="00DA7ABE">
              <w:rPr>
                <w:rFonts w:cstheme="minorHAnsi"/>
                <w:b/>
                <w:sz w:val="18"/>
                <w:szCs w:val="18"/>
              </w:rPr>
              <w:t>Osvětlení</w:t>
            </w:r>
          </w:p>
        </w:tc>
        <w:tc>
          <w:tcPr>
            <w:tcW w:w="7507" w:type="dxa"/>
          </w:tcPr>
          <w:p w14:paraId="500C4445" w14:textId="4C563965" w:rsidR="007175FE" w:rsidRPr="00DA7ABE" w:rsidRDefault="00BE36CC" w:rsidP="00A55F7D">
            <w:pPr>
              <w:pStyle w:val="Odstavecseseznamem"/>
              <w:numPr>
                <w:ilvl w:val="0"/>
                <w:numId w:val="72"/>
              </w:numPr>
              <w:suppressAutoHyphens/>
              <w:ind w:left="318"/>
              <w:rPr>
                <w:rFonts w:cstheme="minorHAnsi"/>
                <w:sz w:val="18"/>
                <w:szCs w:val="18"/>
              </w:rPr>
            </w:pPr>
            <w:r>
              <w:rPr>
                <w:rFonts w:cstheme="minorHAnsi"/>
                <w:sz w:val="18"/>
                <w:szCs w:val="18"/>
              </w:rPr>
              <w:t>O</w:t>
            </w:r>
            <w:r w:rsidR="007175FE" w:rsidRPr="00DA7ABE">
              <w:rPr>
                <w:rFonts w:cstheme="minorHAnsi"/>
                <w:sz w:val="18"/>
                <w:szCs w:val="18"/>
              </w:rPr>
              <w:t>světlete prosím lávky večer přes Dřevnici na Benešově nábřeží</w:t>
            </w:r>
            <w:r>
              <w:rPr>
                <w:rFonts w:cstheme="minorHAnsi"/>
                <w:sz w:val="18"/>
                <w:szCs w:val="18"/>
              </w:rPr>
              <w:t>.</w:t>
            </w:r>
          </w:p>
          <w:p w14:paraId="01A3DB18" w14:textId="3E07CD27" w:rsidR="007175FE" w:rsidRPr="00DA7ABE" w:rsidRDefault="00BE36CC" w:rsidP="00A55F7D">
            <w:pPr>
              <w:pStyle w:val="Odstavecseseznamem"/>
              <w:numPr>
                <w:ilvl w:val="0"/>
                <w:numId w:val="72"/>
              </w:numPr>
              <w:suppressAutoHyphens/>
              <w:ind w:left="318"/>
              <w:rPr>
                <w:rFonts w:cstheme="minorHAnsi"/>
                <w:sz w:val="18"/>
                <w:szCs w:val="18"/>
              </w:rPr>
            </w:pPr>
            <w:r>
              <w:rPr>
                <w:rFonts w:cstheme="minorHAnsi"/>
                <w:sz w:val="18"/>
                <w:szCs w:val="18"/>
              </w:rPr>
              <w:t>N</w:t>
            </w:r>
            <w:r w:rsidR="007175FE" w:rsidRPr="00DA7ABE">
              <w:rPr>
                <w:rFonts w:cstheme="minorHAnsi"/>
                <w:sz w:val="18"/>
                <w:szCs w:val="18"/>
              </w:rPr>
              <w:t>efunkční světla v</w:t>
            </w:r>
            <w:r>
              <w:rPr>
                <w:rFonts w:cstheme="minorHAnsi"/>
                <w:sz w:val="18"/>
                <w:szCs w:val="18"/>
              </w:rPr>
              <w:t> </w:t>
            </w:r>
            <w:r w:rsidR="007175FE" w:rsidRPr="00DA7ABE">
              <w:rPr>
                <w:rFonts w:cstheme="minorHAnsi"/>
                <w:sz w:val="18"/>
                <w:szCs w:val="18"/>
              </w:rPr>
              <w:t>průchodech</w:t>
            </w:r>
            <w:r>
              <w:rPr>
                <w:rFonts w:cstheme="minorHAnsi"/>
                <w:sz w:val="18"/>
                <w:szCs w:val="18"/>
              </w:rPr>
              <w:t>.</w:t>
            </w:r>
          </w:p>
        </w:tc>
      </w:tr>
      <w:tr w:rsidR="007175FE" w:rsidRPr="00DA7ABE" w14:paraId="56A660EC" w14:textId="77777777" w:rsidTr="000C49A5">
        <w:tc>
          <w:tcPr>
            <w:tcW w:w="1555" w:type="dxa"/>
          </w:tcPr>
          <w:p w14:paraId="02925F5C" w14:textId="77777777" w:rsidR="007175FE" w:rsidRPr="00DA7ABE" w:rsidRDefault="007175FE" w:rsidP="000C49A5">
            <w:pPr>
              <w:rPr>
                <w:rFonts w:cstheme="minorHAnsi"/>
                <w:b/>
                <w:sz w:val="18"/>
                <w:szCs w:val="18"/>
              </w:rPr>
            </w:pPr>
            <w:r w:rsidRPr="00DA7ABE">
              <w:rPr>
                <w:rFonts w:cstheme="minorHAnsi"/>
                <w:b/>
                <w:sz w:val="18"/>
                <w:szCs w:val="18"/>
              </w:rPr>
              <w:t>Zeleň</w:t>
            </w:r>
          </w:p>
        </w:tc>
        <w:tc>
          <w:tcPr>
            <w:tcW w:w="7507" w:type="dxa"/>
          </w:tcPr>
          <w:p w14:paraId="4460F511" w14:textId="42FD7FF8" w:rsidR="007175FE" w:rsidRPr="00DA7ABE" w:rsidRDefault="00BE36CC" w:rsidP="00A55F7D">
            <w:pPr>
              <w:pStyle w:val="Odstavecseseznamem"/>
              <w:numPr>
                <w:ilvl w:val="0"/>
                <w:numId w:val="72"/>
              </w:numPr>
              <w:suppressAutoHyphens/>
              <w:ind w:left="318"/>
              <w:rPr>
                <w:rFonts w:cstheme="minorHAnsi"/>
                <w:sz w:val="18"/>
                <w:szCs w:val="18"/>
              </w:rPr>
            </w:pPr>
            <w:r>
              <w:rPr>
                <w:rFonts w:cstheme="minorHAnsi"/>
                <w:sz w:val="18"/>
                <w:szCs w:val="18"/>
              </w:rPr>
              <w:t>N</w:t>
            </w:r>
            <w:r w:rsidR="007175FE" w:rsidRPr="00DA7ABE">
              <w:rPr>
                <w:rFonts w:cstheme="minorHAnsi"/>
                <w:sz w:val="18"/>
                <w:szCs w:val="18"/>
              </w:rPr>
              <w:t>apř. zkratka pod Mladcovou nebo neudržovaná přerostlá zeleň u altánku podél cyklotrasy za Vršavou</w:t>
            </w:r>
            <w:r>
              <w:rPr>
                <w:rFonts w:cstheme="minorHAnsi"/>
                <w:sz w:val="18"/>
                <w:szCs w:val="18"/>
              </w:rPr>
              <w:t>.</w:t>
            </w:r>
          </w:p>
        </w:tc>
      </w:tr>
    </w:tbl>
    <w:p w14:paraId="47E131A6" w14:textId="507128DF"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BE36CC">
        <w:rPr>
          <w:rFonts w:asciiTheme="minorHAnsi" w:hAnsiTheme="minorHAnsi" w:cstheme="minorHAnsi"/>
        </w:rPr>
        <w:t>;</w:t>
      </w:r>
      <w:r w:rsidRPr="00DA7ABE">
        <w:rPr>
          <w:rFonts w:asciiTheme="minorHAnsi" w:hAnsiTheme="minorHAnsi" w:cstheme="minorHAnsi"/>
        </w:rPr>
        <w:t xml:space="preserve"> Otázka 10.</w:t>
      </w:r>
      <w:r w:rsidR="00BE36CC">
        <w:rPr>
          <w:rFonts w:asciiTheme="minorHAnsi" w:hAnsiTheme="minorHAnsi" w:cstheme="minorHAnsi"/>
        </w:rPr>
        <w:t>:</w:t>
      </w:r>
      <w:r w:rsidRPr="00DA7ABE">
        <w:rPr>
          <w:rFonts w:asciiTheme="minorHAnsi" w:hAnsiTheme="minorHAnsi" w:cstheme="minorHAnsi"/>
        </w:rPr>
        <w:t xml:space="preserve"> Cítíte se v OKOLÍ SVÉHO bydliště bezpečně?</w:t>
      </w:r>
    </w:p>
    <w:p w14:paraId="253A8712" w14:textId="77777777" w:rsidR="007175FE" w:rsidRDefault="007175FE" w:rsidP="007175FE">
      <w:pPr>
        <w:pStyle w:val="Nadpis3"/>
      </w:pPr>
      <w:bookmarkStart w:id="687" w:name="_Toc50116474"/>
      <w:bookmarkStart w:id="688" w:name="_Toc77074631"/>
      <w:r>
        <w:t>Jak ho</w:t>
      </w:r>
      <w:r w:rsidRPr="007175FE">
        <w:rPr>
          <w:rStyle w:val="Nadpis3Char"/>
        </w:rPr>
        <w:t>d</w:t>
      </w:r>
      <w:r>
        <w:t>notím práci Magistrátu města Zlín</w:t>
      </w:r>
      <w:bookmarkEnd w:id="687"/>
      <w:bookmarkEnd w:id="688"/>
    </w:p>
    <w:p w14:paraId="515C883E" w14:textId="77777777" w:rsidR="007175FE" w:rsidRPr="003D492B" w:rsidRDefault="007175FE" w:rsidP="007175FE">
      <w:pPr>
        <w:rPr>
          <w:rFonts w:cstheme="minorHAnsi"/>
        </w:rPr>
      </w:pPr>
      <w:r w:rsidRPr="003D492B">
        <w:rPr>
          <w:rFonts w:cstheme="minorHAnsi"/>
        </w:rPr>
        <w:t xml:space="preserve">Práce Magistrátu města Zlín není sice respondenty hodnocena negativně, ale celkově vychází spíše neutrálně/mírně pozitivně s nejvyšším hodnocením 54,7 u občanů, 58,0 z respondentů, kteří ve Zlíně </w:t>
      </w:r>
      <w:r w:rsidRPr="00115435">
        <w:rPr>
          <w:rFonts w:cstheme="minorHAnsi"/>
        </w:rPr>
        <w:t>trvalé</w:t>
      </w:r>
      <w:r w:rsidRPr="003D492B">
        <w:rPr>
          <w:rFonts w:cstheme="minorHAnsi"/>
        </w:rPr>
        <w:t xml:space="preserve"> bydliště nemají a 60,2 u studentů UTB. Zmíněné nejvyšší hodnoty jsou uváděny konkrétně pro kvalitu poskytovaných služeb. Vstřícnost úředníků hodnotí občané 53,9 a rychlost vyřízení požadavku pouze 49,0, přičemž u obou těchto kategorií jsou hodnoty odpovědí respondentů bez trvalého pobytu ve Zlíně a studentů UTB o něco vyšší.</w:t>
      </w:r>
    </w:p>
    <w:p w14:paraId="65E39008" w14:textId="0B326C70" w:rsidR="007175FE" w:rsidRPr="00DA7ABE" w:rsidRDefault="007175FE" w:rsidP="007175FE">
      <w:pPr>
        <w:pStyle w:val="Titulek"/>
        <w:rPr>
          <w:rFonts w:cstheme="minorHAnsi"/>
        </w:rPr>
      </w:pPr>
      <w:bookmarkStart w:id="689" w:name="_Toc54702792"/>
      <w:bookmarkStart w:id="690" w:name="_Toc56179598"/>
      <w:bookmarkStart w:id="691" w:name="_Toc77074940"/>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19</w:t>
      </w:r>
      <w:r w:rsidR="0096730F">
        <w:rPr>
          <w:rFonts w:cstheme="minorHAnsi"/>
        </w:rPr>
        <w:fldChar w:fldCharType="end"/>
      </w:r>
      <w:r w:rsidR="00BE36CC">
        <w:rPr>
          <w:rFonts w:cstheme="minorHAnsi"/>
        </w:rPr>
        <w:t>:</w:t>
      </w:r>
      <w:r w:rsidRPr="00DA7ABE">
        <w:rPr>
          <w:rFonts w:cstheme="minorHAnsi"/>
        </w:rPr>
        <w:t xml:space="preserve"> Hodnocení práce magistrátu</w:t>
      </w:r>
      <w:bookmarkEnd w:id="689"/>
      <w:bookmarkEnd w:id="690"/>
      <w:bookmarkEnd w:id="691"/>
    </w:p>
    <w:p w14:paraId="6619771E" w14:textId="77777777" w:rsidR="007175FE" w:rsidRPr="00DA7ABE" w:rsidRDefault="007175FE" w:rsidP="007175FE">
      <w:pPr>
        <w:rPr>
          <w:rFonts w:cstheme="minorHAnsi"/>
        </w:rPr>
      </w:pPr>
      <w:r>
        <w:rPr>
          <w:rFonts w:cstheme="minorHAnsi"/>
          <w:noProof/>
          <w:lang w:eastAsia="cs-CZ"/>
        </w:rPr>
        <w:drawing>
          <wp:inline distT="0" distB="0" distL="0" distR="0" wp14:anchorId="6B97C306" wp14:editId="3821B584">
            <wp:extent cx="5767070" cy="2816860"/>
            <wp:effectExtent l="0" t="0" r="5080" b="2540"/>
            <wp:docPr id="367"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67070" cy="2816860"/>
                    </a:xfrm>
                    <a:prstGeom prst="rect">
                      <a:avLst/>
                    </a:prstGeom>
                    <a:noFill/>
                  </pic:spPr>
                </pic:pic>
              </a:graphicData>
            </a:graphic>
          </wp:inline>
        </w:drawing>
      </w:r>
    </w:p>
    <w:p w14:paraId="79FBAF88" w14:textId="5CD61180"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BE36CC">
        <w:rPr>
          <w:rFonts w:asciiTheme="minorHAnsi" w:hAnsiTheme="minorHAnsi" w:cstheme="minorHAnsi"/>
        </w:rPr>
        <w:t>;</w:t>
      </w:r>
      <w:r w:rsidRPr="00DA7ABE">
        <w:rPr>
          <w:rFonts w:asciiTheme="minorHAnsi" w:hAnsiTheme="minorHAnsi" w:cstheme="minorHAnsi"/>
        </w:rPr>
        <w:t xml:space="preserve"> Otázka 11.</w:t>
      </w:r>
      <w:r w:rsidR="00BE36CC">
        <w:rPr>
          <w:rFonts w:asciiTheme="minorHAnsi" w:hAnsiTheme="minorHAnsi" w:cstheme="minorHAnsi"/>
        </w:rPr>
        <w:t>:</w:t>
      </w:r>
      <w:r w:rsidRPr="00DA7ABE">
        <w:rPr>
          <w:rFonts w:asciiTheme="minorHAnsi" w:hAnsiTheme="minorHAnsi" w:cstheme="minorHAnsi"/>
        </w:rPr>
        <w:t xml:space="preserve"> Jak hodnotíte práci Magistrátu města Zlín?</w:t>
      </w:r>
    </w:p>
    <w:p w14:paraId="4789FB5A" w14:textId="6EB19115" w:rsidR="007175FE" w:rsidRPr="00DA7ABE" w:rsidRDefault="007175FE" w:rsidP="007175FE">
      <w:pPr>
        <w:rPr>
          <w:rFonts w:cstheme="minorHAnsi"/>
        </w:rPr>
      </w:pPr>
      <w:r w:rsidRPr="003D492B">
        <w:rPr>
          <w:rFonts w:cstheme="minorHAnsi"/>
        </w:rPr>
        <w:t xml:space="preserve">Celkově lépe hodnotí práci Magistrátu města Zlín ženy a mladší skupiny obyvatel. S kvalitou poskytovaných služeb jsou nejvíce spokojeni studenti </w:t>
      </w:r>
      <w:r w:rsidR="00BE36CC">
        <w:rPr>
          <w:rFonts w:cstheme="minorHAnsi"/>
        </w:rPr>
        <w:t xml:space="preserve">a </w:t>
      </w:r>
      <w:r w:rsidRPr="003D492B">
        <w:rPr>
          <w:rFonts w:cstheme="minorHAnsi"/>
        </w:rPr>
        <w:t>obyvatelé do 35 let věku. U občanů ve věku 35</w:t>
      </w:r>
      <w:r w:rsidR="00BE36CC">
        <w:rPr>
          <w:rFonts w:cstheme="minorHAnsi"/>
        </w:rPr>
        <w:t> </w:t>
      </w:r>
      <w:r w:rsidR="00BE36CC">
        <w:rPr>
          <w:rFonts w:cstheme="minorHAnsi"/>
        </w:rPr>
        <w:sym w:font="Symbol" w:char="F02D"/>
      </w:r>
      <w:r w:rsidR="00BE36CC">
        <w:rPr>
          <w:rFonts w:cstheme="minorHAnsi"/>
        </w:rPr>
        <w:t xml:space="preserve"> </w:t>
      </w:r>
      <w:r w:rsidRPr="003D492B">
        <w:rPr>
          <w:rFonts w:cstheme="minorHAnsi"/>
        </w:rPr>
        <w:t xml:space="preserve">64 let je také v tabulce </w:t>
      </w:r>
      <w:r w:rsidR="0096730F">
        <w:rPr>
          <w:rFonts w:cstheme="minorHAnsi"/>
        </w:rPr>
        <w:t>2.19</w:t>
      </w:r>
      <w:r w:rsidRPr="003D492B">
        <w:rPr>
          <w:rFonts w:cstheme="minorHAnsi"/>
        </w:rPr>
        <w:t xml:space="preserve"> vidět, že jsou spokojeni se vstřícností úředníků. Nejhůře hodnotí práci Magistrátu města Zlín občané od 55 let výše.</w:t>
      </w:r>
    </w:p>
    <w:p w14:paraId="137C8AC8" w14:textId="79720A74" w:rsidR="007175FE" w:rsidRPr="00DA7ABE" w:rsidRDefault="007175FE" w:rsidP="007175FE">
      <w:pPr>
        <w:pStyle w:val="Titulek"/>
        <w:keepNext/>
        <w:keepLines/>
        <w:rPr>
          <w:rFonts w:cstheme="minorHAnsi"/>
        </w:rPr>
      </w:pPr>
      <w:bookmarkStart w:id="692" w:name="_Toc54702633"/>
      <w:bookmarkStart w:id="693" w:name="_Toc56179440"/>
      <w:bookmarkStart w:id="694" w:name="_Toc57731798"/>
      <w:bookmarkStart w:id="695" w:name="_Toc77074782"/>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19</w:t>
      </w:r>
      <w:r w:rsidR="00DC277C">
        <w:rPr>
          <w:rFonts w:cstheme="minorHAnsi"/>
        </w:rPr>
        <w:fldChar w:fldCharType="end"/>
      </w:r>
      <w:r w:rsidR="00BE36CC">
        <w:rPr>
          <w:rFonts w:cstheme="minorHAnsi"/>
        </w:rPr>
        <w:t>:</w:t>
      </w:r>
      <w:r w:rsidRPr="00DA7ABE">
        <w:rPr>
          <w:rFonts w:cstheme="minorHAnsi"/>
        </w:rPr>
        <w:t xml:space="preserve"> Hodnocení práce Magistrátu podle pohlaví, věku a u studentů UTB</w:t>
      </w:r>
      <w:bookmarkEnd w:id="692"/>
      <w:bookmarkEnd w:id="693"/>
      <w:bookmarkEnd w:id="694"/>
      <w:bookmarkEnd w:id="695"/>
    </w:p>
    <w:tbl>
      <w:tblPr>
        <w:tblW w:w="0" w:type="auto"/>
        <w:tblInd w:w="-5" w:type="dxa"/>
        <w:tblCellMar>
          <w:left w:w="70" w:type="dxa"/>
          <w:right w:w="70" w:type="dxa"/>
        </w:tblCellMar>
        <w:tblLook w:val="04A0" w:firstRow="1" w:lastRow="0" w:firstColumn="1" w:lastColumn="0" w:noHBand="0" w:noVBand="1"/>
      </w:tblPr>
      <w:tblGrid>
        <w:gridCol w:w="2745"/>
        <w:gridCol w:w="694"/>
        <w:gridCol w:w="466"/>
        <w:gridCol w:w="503"/>
        <w:gridCol w:w="1087"/>
        <w:gridCol w:w="642"/>
        <w:gridCol w:w="789"/>
        <w:gridCol w:w="1334"/>
        <w:gridCol w:w="807"/>
      </w:tblGrid>
      <w:tr w:rsidR="007175FE" w:rsidRPr="00940460" w14:paraId="31C87C4A" w14:textId="77777777" w:rsidTr="000C49A5">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BE4E164"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06A77ECA"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2B7CD78"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0525660"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Studenti UTB</w:t>
            </w:r>
          </w:p>
        </w:tc>
      </w:tr>
      <w:tr w:rsidR="007175FE" w:rsidRPr="00940460" w14:paraId="09D86953"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54ED6F" w14:textId="77777777" w:rsidR="007175FE" w:rsidRPr="00940460" w:rsidRDefault="007175FE" w:rsidP="000C49A5">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1C25B144"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6D0E2D94"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53F78997"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664563" w14:textId="77777777" w:rsidR="007175FE" w:rsidRPr="00940460"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80D782" w14:textId="77777777" w:rsidR="007175FE" w:rsidRPr="00940460" w:rsidRDefault="007175FE" w:rsidP="000C49A5">
            <w:pPr>
              <w:keepNext/>
              <w:rPr>
                <w:rFonts w:ascii="Calibri" w:eastAsia="Times New Roman" w:hAnsi="Calibri" w:cs="Calibri"/>
                <w:b/>
                <w:bCs/>
                <w:color w:val="000000"/>
                <w:sz w:val="18"/>
                <w:szCs w:val="18"/>
                <w:lang w:eastAsia="cs-CZ"/>
              </w:rPr>
            </w:pPr>
          </w:p>
        </w:tc>
      </w:tr>
      <w:tr w:rsidR="007175FE" w:rsidRPr="00940460" w14:paraId="3366D45A"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4D597D" w14:textId="77777777" w:rsidR="007175FE" w:rsidRPr="00940460" w:rsidRDefault="007175FE" w:rsidP="000C49A5">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086EDD11" w14:textId="77777777" w:rsidR="007175FE" w:rsidRPr="00940460" w:rsidRDefault="007175FE" w:rsidP="000C49A5">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202381AF"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0D32EC5F"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75A2AB29"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7C8D3C00"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5143D2CC" w14:textId="77777777" w:rsidR="007175FE" w:rsidRPr="00940460" w:rsidRDefault="007175FE" w:rsidP="000C49A5">
            <w:pPr>
              <w:keepNext/>
              <w:jc w:val="center"/>
              <w:rPr>
                <w:rFonts w:ascii="Calibri" w:eastAsia="Times New Roman" w:hAnsi="Calibri" w:cs="Calibri"/>
                <w:b/>
                <w:bCs/>
                <w:color w:val="000000"/>
                <w:sz w:val="18"/>
                <w:szCs w:val="18"/>
                <w:lang w:eastAsia="cs-CZ"/>
              </w:rPr>
            </w:pPr>
            <w:r w:rsidRPr="00940460">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FAAD42" w14:textId="77777777" w:rsidR="007175FE" w:rsidRPr="00940460"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D58BF3" w14:textId="77777777" w:rsidR="007175FE" w:rsidRPr="00940460" w:rsidRDefault="007175FE" w:rsidP="000C49A5">
            <w:pPr>
              <w:keepNext/>
              <w:rPr>
                <w:rFonts w:ascii="Calibri" w:eastAsia="Times New Roman" w:hAnsi="Calibri" w:cs="Calibri"/>
                <w:b/>
                <w:bCs/>
                <w:color w:val="000000"/>
                <w:sz w:val="18"/>
                <w:szCs w:val="18"/>
                <w:lang w:eastAsia="cs-CZ"/>
              </w:rPr>
            </w:pPr>
          </w:p>
        </w:tc>
      </w:tr>
      <w:tr w:rsidR="007175FE" w:rsidRPr="00940460" w14:paraId="24CC9008"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ED49E7" w14:textId="77777777" w:rsidR="007175FE" w:rsidRPr="00940460" w:rsidRDefault="007175FE" w:rsidP="000C49A5">
            <w:pPr>
              <w:keepNex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Kvalita poskytovaných služeb</w:t>
            </w:r>
          </w:p>
        </w:tc>
        <w:tc>
          <w:tcPr>
            <w:tcW w:w="0" w:type="auto"/>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4C38E82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54,7</w:t>
            </w:r>
          </w:p>
        </w:tc>
        <w:tc>
          <w:tcPr>
            <w:tcW w:w="0" w:type="auto"/>
            <w:tcBorders>
              <w:top w:val="single" w:sz="4" w:space="0" w:color="auto"/>
              <w:left w:val="single" w:sz="4" w:space="0" w:color="auto"/>
              <w:bottom w:val="single" w:sz="4" w:space="0" w:color="auto"/>
              <w:right w:val="single" w:sz="4" w:space="0" w:color="auto"/>
            </w:tcBorders>
            <w:shd w:val="clear" w:color="000000" w:fill="E3EAF6"/>
            <w:noWrap/>
            <w:vAlign w:val="center"/>
            <w:hideMark/>
          </w:tcPr>
          <w:p w14:paraId="3E2EF3B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52,2</w:t>
            </w:r>
          </w:p>
        </w:tc>
        <w:tc>
          <w:tcPr>
            <w:tcW w:w="0" w:type="auto"/>
            <w:tcBorders>
              <w:top w:val="single" w:sz="4" w:space="0" w:color="auto"/>
              <w:left w:val="single" w:sz="4" w:space="0" w:color="auto"/>
              <w:bottom w:val="single" w:sz="4" w:space="0" w:color="auto"/>
              <w:right w:val="single" w:sz="4" w:space="0" w:color="auto"/>
            </w:tcBorders>
            <w:shd w:val="clear" w:color="000000" w:fill="FAB1B4"/>
            <w:noWrap/>
            <w:vAlign w:val="center"/>
            <w:hideMark/>
          </w:tcPr>
          <w:p w14:paraId="2A487B43"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57,1</w:t>
            </w:r>
          </w:p>
        </w:tc>
        <w:tc>
          <w:tcPr>
            <w:tcW w:w="0" w:type="auto"/>
            <w:tcBorders>
              <w:top w:val="single" w:sz="4" w:space="0" w:color="auto"/>
              <w:left w:val="single" w:sz="4" w:space="0" w:color="auto"/>
              <w:bottom w:val="single" w:sz="4" w:space="0" w:color="auto"/>
              <w:right w:val="single" w:sz="4" w:space="0" w:color="auto"/>
            </w:tcBorders>
            <w:shd w:val="clear" w:color="000000" w:fill="FAA0A3"/>
            <w:noWrap/>
            <w:vAlign w:val="center"/>
            <w:hideMark/>
          </w:tcPr>
          <w:p w14:paraId="39AD93A1"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57,9</w:t>
            </w:r>
          </w:p>
        </w:tc>
        <w:tc>
          <w:tcPr>
            <w:tcW w:w="0" w:type="auto"/>
            <w:tcBorders>
              <w:top w:val="single" w:sz="4" w:space="0" w:color="auto"/>
              <w:left w:val="single" w:sz="4" w:space="0" w:color="auto"/>
              <w:bottom w:val="single" w:sz="4" w:space="0" w:color="auto"/>
              <w:right w:val="single" w:sz="4" w:space="0" w:color="auto"/>
            </w:tcBorders>
            <w:shd w:val="clear" w:color="000000" w:fill="FCDEE1"/>
            <w:noWrap/>
            <w:vAlign w:val="center"/>
            <w:hideMark/>
          </w:tcPr>
          <w:p w14:paraId="53055C9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55,3</w:t>
            </w:r>
          </w:p>
        </w:tc>
        <w:tc>
          <w:tcPr>
            <w:tcW w:w="0" w:type="auto"/>
            <w:tcBorders>
              <w:top w:val="single" w:sz="4" w:space="0" w:color="auto"/>
              <w:left w:val="single" w:sz="4" w:space="0" w:color="auto"/>
              <w:bottom w:val="single" w:sz="4" w:space="0" w:color="auto"/>
              <w:right w:val="single" w:sz="4" w:space="0" w:color="auto"/>
            </w:tcBorders>
            <w:shd w:val="clear" w:color="000000" w:fill="D4E0F1"/>
            <w:noWrap/>
            <w:vAlign w:val="center"/>
            <w:hideMark/>
          </w:tcPr>
          <w:p w14:paraId="0FBE8D5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51,1</w:t>
            </w:r>
          </w:p>
        </w:tc>
        <w:tc>
          <w:tcPr>
            <w:tcW w:w="0" w:type="auto"/>
            <w:tcBorders>
              <w:top w:val="single" w:sz="4" w:space="0" w:color="auto"/>
              <w:left w:val="single" w:sz="4" w:space="0" w:color="auto"/>
              <w:bottom w:val="single" w:sz="4" w:space="0" w:color="auto"/>
              <w:right w:val="single" w:sz="4" w:space="0" w:color="auto"/>
            </w:tcBorders>
            <w:shd w:val="clear" w:color="000000" w:fill="FA9EA0"/>
            <w:noWrap/>
            <w:vAlign w:val="center"/>
            <w:hideMark/>
          </w:tcPr>
          <w:p w14:paraId="1C40ECB8" w14:textId="77777777" w:rsidR="007175FE" w:rsidRPr="00940460" w:rsidRDefault="007175FE" w:rsidP="000C49A5">
            <w:pPr>
              <w:keepNext/>
              <w:jc w:val="righ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58,0</w:t>
            </w:r>
          </w:p>
        </w:tc>
        <w:tc>
          <w:tcPr>
            <w:tcW w:w="0" w:type="auto"/>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1C60578" w14:textId="77777777" w:rsidR="007175FE" w:rsidRPr="00940460" w:rsidRDefault="007175FE" w:rsidP="000C49A5">
            <w:pPr>
              <w:keepNext/>
              <w:jc w:val="righ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60,2</w:t>
            </w:r>
          </w:p>
        </w:tc>
      </w:tr>
      <w:tr w:rsidR="007175FE" w:rsidRPr="00940460" w14:paraId="2238F4F1"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BE48AA" w14:textId="77777777" w:rsidR="007175FE" w:rsidRPr="00940460" w:rsidRDefault="007175FE" w:rsidP="000C49A5">
            <w:pPr>
              <w:keepNex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Vstřícnost úředníků</w:t>
            </w:r>
          </w:p>
        </w:tc>
        <w:tc>
          <w:tcPr>
            <w:tcW w:w="0" w:type="auto"/>
            <w:tcBorders>
              <w:top w:val="single" w:sz="4" w:space="0" w:color="auto"/>
              <w:left w:val="single" w:sz="4" w:space="0" w:color="auto"/>
              <w:bottom w:val="single" w:sz="4" w:space="0" w:color="auto"/>
              <w:right w:val="single" w:sz="4" w:space="0" w:color="auto"/>
            </w:tcBorders>
            <w:shd w:val="clear" w:color="000000" w:fill="FBFBFE"/>
            <w:noWrap/>
            <w:vAlign w:val="center"/>
            <w:hideMark/>
          </w:tcPr>
          <w:p w14:paraId="5CF696B8"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53,9</w:t>
            </w:r>
          </w:p>
        </w:tc>
        <w:tc>
          <w:tcPr>
            <w:tcW w:w="0" w:type="auto"/>
            <w:tcBorders>
              <w:top w:val="single" w:sz="4" w:space="0" w:color="auto"/>
              <w:left w:val="single" w:sz="4" w:space="0" w:color="auto"/>
              <w:bottom w:val="single" w:sz="4" w:space="0" w:color="auto"/>
              <w:right w:val="single" w:sz="4" w:space="0" w:color="auto"/>
            </w:tcBorders>
            <w:shd w:val="clear" w:color="000000" w:fill="EBF0F9"/>
            <w:noWrap/>
            <w:vAlign w:val="center"/>
            <w:hideMark/>
          </w:tcPr>
          <w:p w14:paraId="7B00FF6F"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52,8</w:t>
            </w:r>
          </w:p>
        </w:tc>
        <w:tc>
          <w:tcPr>
            <w:tcW w:w="0" w:type="auto"/>
            <w:tcBorders>
              <w:top w:val="single" w:sz="4" w:space="0" w:color="auto"/>
              <w:left w:val="single" w:sz="4" w:space="0" w:color="auto"/>
              <w:bottom w:val="single" w:sz="4" w:space="0" w:color="auto"/>
              <w:right w:val="single" w:sz="4" w:space="0" w:color="auto"/>
            </w:tcBorders>
            <w:shd w:val="clear" w:color="000000" w:fill="FCE4E7"/>
            <w:noWrap/>
            <w:vAlign w:val="center"/>
            <w:hideMark/>
          </w:tcPr>
          <w:p w14:paraId="7054496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55,0</w:t>
            </w:r>
          </w:p>
        </w:tc>
        <w:tc>
          <w:tcPr>
            <w:tcW w:w="0" w:type="auto"/>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6C919710"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55,1</w:t>
            </w:r>
          </w:p>
        </w:tc>
        <w:tc>
          <w:tcPr>
            <w:tcW w:w="0" w:type="auto"/>
            <w:tcBorders>
              <w:top w:val="single" w:sz="4" w:space="0" w:color="auto"/>
              <w:left w:val="single" w:sz="4" w:space="0" w:color="auto"/>
              <w:bottom w:val="single" w:sz="4" w:space="0" w:color="auto"/>
              <w:right w:val="single" w:sz="4" w:space="0" w:color="auto"/>
            </w:tcBorders>
            <w:shd w:val="clear" w:color="000000" w:fill="FBB5B8"/>
            <w:noWrap/>
            <w:vAlign w:val="center"/>
            <w:hideMark/>
          </w:tcPr>
          <w:p w14:paraId="285D3122"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57,0</w:t>
            </w:r>
          </w:p>
        </w:tc>
        <w:tc>
          <w:tcPr>
            <w:tcW w:w="0" w:type="auto"/>
            <w:tcBorders>
              <w:top w:val="single" w:sz="4" w:space="0" w:color="auto"/>
              <w:left w:val="single" w:sz="4" w:space="0" w:color="auto"/>
              <w:bottom w:val="single" w:sz="4" w:space="0" w:color="auto"/>
              <w:right w:val="single" w:sz="4" w:space="0" w:color="auto"/>
            </w:tcBorders>
            <w:shd w:val="clear" w:color="000000" w:fill="9BB8DD"/>
            <w:noWrap/>
            <w:vAlign w:val="center"/>
            <w:hideMark/>
          </w:tcPr>
          <w:p w14:paraId="1A32A39F"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47,1</w:t>
            </w:r>
          </w:p>
        </w:tc>
        <w:tc>
          <w:tcPr>
            <w:tcW w:w="0" w:type="auto"/>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3BBBC11" w14:textId="77777777" w:rsidR="007175FE" w:rsidRPr="00940460" w:rsidRDefault="007175FE" w:rsidP="000C49A5">
            <w:pPr>
              <w:keepNext/>
              <w:jc w:val="righ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54,4</w:t>
            </w:r>
          </w:p>
        </w:tc>
        <w:tc>
          <w:tcPr>
            <w:tcW w:w="0" w:type="auto"/>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742A9F94" w14:textId="77777777" w:rsidR="007175FE" w:rsidRPr="00940460" w:rsidRDefault="007175FE" w:rsidP="000C49A5">
            <w:pPr>
              <w:keepNext/>
              <w:jc w:val="righ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54,0</w:t>
            </w:r>
          </w:p>
        </w:tc>
      </w:tr>
      <w:tr w:rsidR="007175FE" w:rsidRPr="00940460" w14:paraId="01BA4FBB"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E1984E8" w14:textId="77777777" w:rsidR="007175FE" w:rsidRPr="00940460" w:rsidRDefault="007175FE" w:rsidP="000C49A5">
            <w:pPr>
              <w:keepNex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Rychlost vyřízení vašeho požadavku</w:t>
            </w:r>
          </w:p>
        </w:tc>
        <w:tc>
          <w:tcPr>
            <w:tcW w:w="0" w:type="auto"/>
            <w:tcBorders>
              <w:top w:val="single" w:sz="4" w:space="0" w:color="auto"/>
              <w:left w:val="single" w:sz="4" w:space="0" w:color="auto"/>
              <w:bottom w:val="single" w:sz="4" w:space="0" w:color="auto"/>
              <w:right w:val="single" w:sz="4" w:space="0" w:color="auto"/>
            </w:tcBorders>
            <w:shd w:val="clear" w:color="000000" w:fill="B6CBE6"/>
            <w:noWrap/>
            <w:vAlign w:val="center"/>
            <w:hideMark/>
          </w:tcPr>
          <w:p w14:paraId="340CC3CC"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49,0</w:t>
            </w:r>
          </w:p>
        </w:tc>
        <w:tc>
          <w:tcPr>
            <w:tcW w:w="0" w:type="auto"/>
            <w:tcBorders>
              <w:top w:val="single" w:sz="4" w:space="0" w:color="auto"/>
              <w:left w:val="single" w:sz="4" w:space="0" w:color="auto"/>
              <w:bottom w:val="single" w:sz="4" w:space="0" w:color="auto"/>
              <w:right w:val="single" w:sz="4" w:space="0" w:color="auto"/>
            </w:tcBorders>
            <w:shd w:val="clear" w:color="000000" w:fill="94B2DA"/>
            <w:noWrap/>
            <w:vAlign w:val="center"/>
            <w:hideMark/>
          </w:tcPr>
          <w:p w14:paraId="68C04B5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46,6</w:t>
            </w:r>
          </w:p>
        </w:tc>
        <w:tc>
          <w:tcPr>
            <w:tcW w:w="0" w:type="auto"/>
            <w:tcBorders>
              <w:top w:val="single" w:sz="4" w:space="0" w:color="auto"/>
              <w:left w:val="single" w:sz="4" w:space="0" w:color="auto"/>
              <w:bottom w:val="single" w:sz="4" w:space="0" w:color="auto"/>
              <w:right w:val="single" w:sz="4" w:space="0" w:color="auto"/>
            </w:tcBorders>
            <w:shd w:val="clear" w:color="000000" w:fill="D6E1F1"/>
            <w:noWrap/>
            <w:vAlign w:val="center"/>
            <w:hideMark/>
          </w:tcPr>
          <w:p w14:paraId="34172777"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51,3</w:t>
            </w:r>
          </w:p>
        </w:tc>
        <w:tc>
          <w:tcPr>
            <w:tcW w:w="0" w:type="auto"/>
            <w:tcBorders>
              <w:top w:val="single" w:sz="4" w:space="0" w:color="auto"/>
              <w:left w:val="single" w:sz="4" w:space="0" w:color="auto"/>
              <w:bottom w:val="single" w:sz="4" w:space="0" w:color="auto"/>
              <w:right w:val="single" w:sz="4" w:space="0" w:color="auto"/>
            </w:tcBorders>
            <w:shd w:val="clear" w:color="000000" w:fill="FAFAFE"/>
            <w:noWrap/>
            <w:vAlign w:val="center"/>
            <w:hideMark/>
          </w:tcPr>
          <w:p w14:paraId="7751D86B"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53,8</w:t>
            </w:r>
          </w:p>
        </w:tc>
        <w:tc>
          <w:tcPr>
            <w:tcW w:w="0" w:type="auto"/>
            <w:tcBorders>
              <w:top w:val="single" w:sz="4" w:space="0" w:color="auto"/>
              <w:left w:val="single" w:sz="4" w:space="0" w:color="auto"/>
              <w:bottom w:val="single" w:sz="4" w:space="0" w:color="auto"/>
              <w:right w:val="single" w:sz="4" w:space="0" w:color="auto"/>
            </w:tcBorders>
            <w:shd w:val="clear" w:color="000000" w:fill="CBDAEE"/>
            <w:noWrap/>
            <w:vAlign w:val="center"/>
            <w:hideMark/>
          </w:tcPr>
          <w:p w14:paraId="19E8790F"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50,5</w:t>
            </w:r>
          </w:p>
        </w:tc>
        <w:tc>
          <w:tcPr>
            <w:tcW w:w="0" w:type="auto"/>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0678F56A" w14:textId="77777777" w:rsidR="007175FE" w:rsidRPr="001368EA" w:rsidRDefault="007175FE" w:rsidP="000C49A5">
            <w:pPr>
              <w:keepNext/>
              <w:jc w:val="right"/>
              <w:rPr>
                <w:rFonts w:ascii="Calibri" w:eastAsia="Times New Roman" w:hAnsi="Calibri" w:cs="Calibri"/>
                <w:color w:val="000000"/>
                <w:sz w:val="18"/>
                <w:szCs w:val="18"/>
                <w:lang w:eastAsia="cs-CZ"/>
              </w:rPr>
            </w:pPr>
            <w:r w:rsidRPr="003D492B">
              <w:rPr>
                <w:sz w:val="18"/>
              </w:rPr>
              <w:t>42,4</w:t>
            </w:r>
          </w:p>
        </w:tc>
        <w:tc>
          <w:tcPr>
            <w:tcW w:w="0" w:type="auto"/>
            <w:tcBorders>
              <w:top w:val="single" w:sz="4" w:space="0" w:color="auto"/>
              <w:left w:val="single" w:sz="4" w:space="0" w:color="auto"/>
              <w:bottom w:val="single" w:sz="4" w:space="0" w:color="auto"/>
              <w:right w:val="single" w:sz="4" w:space="0" w:color="auto"/>
            </w:tcBorders>
            <w:shd w:val="clear" w:color="000000" w:fill="CBD9ED"/>
            <w:noWrap/>
            <w:vAlign w:val="center"/>
            <w:hideMark/>
          </w:tcPr>
          <w:p w14:paraId="696BA97D" w14:textId="77777777" w:rsidR="007175FE" w:rsidRPr="00940460" w:rsidRDefault="007175FE" w:rsidP="000C49A5">
            <w:pPr>
              <w:keepNext/>
              <w:jc w:val="righ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50,5</w:t>
            </w:r>
          </w:p>
        </w:tc>
        <w:tc>
          <w:tcPr>
            <w:tcW w:w="0" w:type="auto"/>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62521346" w14:textId="77777777" w:rsidR="007175FE" w:rsidRPr="00940460" w:rsidRDefault="007175FE" w:rsidP="000C49A5">
            <w:pPr>
              <w:keepNext/>
              <w:jc w:val="right"/>
              <w:rPr>
                <w:rFonts w:ascii="Calibri" w:eastAsia="Times New Roman" w:hAnsi="Calibri" w:cs="Calibri"/>
                <w:color w:val="000000"/>
                <w:sz w:val="18"/>
                <w:szCs w:val="18"/>
                <w:lang w:eastAsia="cs-CZ"/>
              </w:rPr>
            </w:pPr>
            <w:r w:rsidRPr="00940460">
              <w:rPr>
                <w:rFonts w:ascii="Calibri" w:eastAsia="Times New Roman" w:hAnsi="Calibri" w:cs="Calibri"/>
                <w:color w:val="000000"/>
                <w:sz w:val="18"/>
                <w:szCs w:val="18"/>
                <w:lang w:eastAsia="cs-CZ"/>
              </w:rPr>
              <w:t>54,8</w:t>
            </w:r>
          </w:p>
        </w:tc>
      </w:tr>
    </w:tbl>
    <w:p w14:paraId="6391709A" w14:textId="32DF1299"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BE36CC">
        <w:rPr>
          <w:rFonts w:asciiTheme="minorHAnsi" w:hAnsiTheme="minorHAnsi" w:cstheme="minorHAnsi"/>
        </w:rPr>
        <w:t>;</w:t>
      </w:r>
      <w:r w:rsidRPr="00DA7ABE">
        <w:rPr>
          <w:rFonts w:asciiTheme="minorHAnsi" w:hAnsiTheme="minorHAnsi" w:cstheme="minorHAnsi"/>
        </w:rPr>
        <w:t xml:space="preserve"> Otázka 11.</w:t>
      </w:r>
      <w:r w:rsidR="00BE36CC">
        <w:rPr>
          <w:rFonts w:asciiTheme="minorHAnsi" w:hAnsiTheme="minorHAnsi" w:cstheme="minorHAnsi"/>
        </w:rPr>
        <w:t>:</w:t>
      </w:r>
      <w:r w:rsidRPr="00DA7ABE">
        <w:rPr>
          <w:rFonts w:asciiTheme="minorHAnsi" w:hAnsiTheme="minorHAnsi" w:cstheme="minorHAnsi"/>
        </w:rPr>
        <w:t xml:space="preserve"> Jak hodnotíte práci Magistrátu města Zlín?</w:t>
      </w:r>
      <w:r w:rsidRPr="00DA7ABE">
        <w:rPr>
          <w:rFonts w:asciiTheme="minorHAnsi" w:hAnsiTheme="minorHAnsi" w:cstheme="minorHAnsi"/>
        </w:rPr>
        <w:br/>
        <w:t>Pozn.: Průměrné hodnocení na škále 0</w:t>
      </w:r>
      <w:r w:rsidR="00BE36CC">
        <w:rPr>
          <w:rFonts w:asciiTheme="minorHAnsi" w:hAnsiTheme="minorHAnsi" w:cstheme="minorHAnsi"/>
        </w:rPr>
        <w:t xml:space="preserve"> </w:t>
      </w:r>
      <w:r w:rsidR="00BE36CC">
        <w:rPr>
          <w:rFonts w:asciiTheme="minorHAnsi" w:hAnsiTheme="minorHAnsi" w:cstheme="minorHAnsi"/>
        </w:rPr>
        <w:sym w:font="Symbol" w:char="F02D"/>
      </w:r>
      <w:r w:rsidR="00BE36CC">
        <w:rPr>
          <w:rFonts w:asciiTheme="minorHAnsi" w:hAnsiTheme="minorHAnsi" w:cstheme="minorHAnsi"/>
        </w:rPr>
        <w:t xml:space="preserve"> </w:t>
      </w:r>
      <w:r w:rsidRPr="00DA7ABE">
        <w:rPr>
          <w:rFonts w:asciiTheme="minorHAnsi" w:hAnsiTheme="minorHAnsi" w:cstheme="minorHAnsi"/>
        </w:rPr>
        <w:t>100 (0 velmi nespokojen 100 velmi spokojen).</w:t>
      </w:r>
    </w:p>
    <w:p w14:paraId="5D99C293" w14:textId="77777777" w:rsidR="007175FE" w:rsidRDefault="007175FE" w:rsidP="007175FE">
      <w:pPr>
        <w:pStyle w:val="Nadpis3"/>
      </w:pPr>
      <w:bookmarkStart w:id="696" w:name="_Toc50116475"/>
      <w:bookmarkStart w:id="697" w:name="_Toc77074632"/>
      <w:r>
        <w:t>Stěhování ze Zlína</w:t>
      </w:r>
      <w:bookmarkEnd w:id="696"/>
      <w:bookmarkEnd w:id="697"/>
    </w:p>
    <w:p w14:paraId="6ECA7131" w14:textId="73F35CEA" w:rsidR="007175FE" w:rsidRPr="003D492B" w:rsidRDefault="007175FE" w:rsidP="007175FE">
      <w:pPr>
        <w:rPr>
          <w:rFonts w:cstheme="minorHAnsi"/>
        </w:rPr>
      </w:pPr>
      <w:r w:rsidRPr="003D492B">
        <w:rPr>
          <w:rFonts w:cstheme="minorHAnsi"/>
        </w:rPr>
        <w:t>Odstěhovat se v budoucnu ze Zlína plánuje 15,0 % oslovených občanů. Více než polovina (55,3 %) občanů se dále ze Zlína stěhovat nehodlá a 29,7 % občanů o stěhování uvažuje. Ze studentů UTB se plánuje stěhovat 33,9 %, stěhovat se nebude 20,3 % a uvažuje o tom 4</w:t>
      </w:r>
      <w:r w:rsidR="003A743C">
        <w:rPr>
          <w:rFonts w:cstheme="minorHAnsi"/>
        </w:rPr>
        <w:t>5,8 % studentů UTB. V grafu na obrázku 2.20</w:t>
      </w:r>
      <w:r w:rsidRPr="003D492B">
        <w:rPr>
          <w:rFonts w:cstheme="minorHAnsi"/>
        </w:rPr>
        <w:t xml:space="preserve"> jsou zobrazeni také respondenti žijící ve Zlíně bez trvalého bydliště, u kterých jsou odpovědi obdobné jako u studentů UTB.</w:t>
      </w:r>
    </w:p>
    <w:p w14:paraId="6765654D" w14:textId="2DF70A05" w:rsidR="007175FE" w:rsidRPr="00DA7ABE" w:rsidRDefault="007175FE" w:rsidP="007175FE">
      <w:pPr>
        <w:pStyle w:val="Titulek"/>
        <w:rPr>
          <w:rFonts w:cstheme="minorHAnsi"/>
        </w:rPr>
      </w:pPr>
      <w:bookmarkStart w:id="698" w:name="_Toc54702793"/>
      <w:bookmarkStart w:id="699" w:name="_Toc56179599"/>
      <w:bookmarkStart w:id="700" w:name="_Toc77074941"/>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20</w:t>
      </w:r>
      <w:r w:rsidR="0096730F">
        <w:rPr>
          <w:rFonts w:cstheme="minorHAnsi"/>
        </w:rPr>
        <w:fldChar w:fldCharType="end"/>
      </w:r>
      <w:r w:rsidR="00BE36CC">
        <w:rPr>
          <w:rFonts w:cstheme="minorHAnsi"/>
        </w:rPr>
        <w:t>:</w:t>
      </w:r>
      <w:r w:rsidRPr="00DA7ABE">
        <w:rPr>
          <w:rFonts w:cstheme="minorHAnsi"/>
        </w:rPr>
        <w:t xml:space="preserve"> Respondenti podle plánu přestěhovat se mimo Zlín</w:t>
      </w:r>
      <w:bookmarkEnd w:id="698"/>
      <w:bookmarkEnd w:id="699"/>
      <w:bookmarkEnd w:id="700"/>
    </w:p>
    <w:p w14:paraId="37EC2898" w14:textId="77777777" w:rsidR="007175FE" w:rsidRPr="00DA7ABE" w:rsidRDefault="007175FE" w:rsidP="007175FE">
      <w:pPr>
        <w:keepNext/>
        <w:rPr>
          <w:rFonts w:cstheme="minorHAnsi"/>
        </w:rPr>
      </w:pPr>
      <w:r>
        <w:rPr>
          <w:rFonts w:cstheme="minorHAnsi"/>
          <w:noProof/>
          <w:lang w:eastAsia="cs-CZ"/>
        </w:rPr>
        <w:drawing>
          <wp:inline distT="0" distB="0" distL="0" distR="0" wp14:anchorId="003D5802" wp14:editId="4C65EA0A">
            <wp:extent cx="5773420" cy="1706880"/>
            <wp:effectExtent l="0" t="0" r="0" b="762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73420" cy="1706880"/>
                    </a:xfrm>
                    <a:prstGeom prst="rect">
                      <a:avLst/>
                    </a:prstGeom>
                    <a:noFill/>
                  </pic:spPr>
                </pic:pic>
              </a:graphicData>
            </a:graphic>
          </wp:inline>
        </w:drawing>
      </w:r>
    </w:p>
    <w:p w14:paraId="79DE1F17" w14:textId="0B9957E9"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w:t>
      </w:r>
      <w:r w:rsidR="00BE36CC">
        <w:rPr>
          <w:rFonts w:asciiTheme="minorHAnsi" w:hAnsiTheme="minorHAnsi" w:cstheme="minorHAnsi"/>
        </w:rPr>
        <w:t>enosti obyvatel města Zlín 2020;</w:t>
      </w:r>
      <w:r w:rsidRPr="00DA7ABE">
        <w:rPr>
          <w:rFonts w:asciiTheme="minorHAnsi" w:hAnsiTheme="minorHAnsi" w:cstheme="minorHAnsi"/>
        </w:rPr>
        <w:t xml:space="preserve"> Otázka 12.</w:t>
      </w:r>
      <w:r w:rsidR="00BE36CC">
        <w:rPr>
          <w:rFonts w:asciiTheme="minorHAnsi" w:hAnsiTheme="minorHAnsi" w:cstheme="minorHAnsi"/>
        </w:rPr>
        <w:t>:</w:t>
      </w:r>
      <w:r w:rsidRPr="00DA7ABE">
        <w:rPr>
          <w:rFonts w:asciiTheme="minorHAnsi" w:hAnsiTheme="minorHAnsi" w:cstheme="minorHAnsi"/>
        </w:rPr>
        <w:t xml:space="preserve"> Máte v plánu se někdy přestěhovat mimo Zlín?</w:t>
      </w:r>
    </w:p>
    <w:p w14:paraId="595BA752" w14:textId="10224B92" w:rsidR="007175FE" w:rsidRPr="00DA7ABE" w:rsidRDefault="007175FE" w:rsidP="007175FE">
      <w:pPr>
        <w:rPr>
          <w:rFonts w:cstheme="minorHAnsi"/>
        </w:rPr>
      </w:pPr>
      <w:r w:rsidRPr="003D492B">
        <w:rPr>
          <w:rFonts w:cstheme="minorHAnsi"/>
        </w:rPr>
        <w:t>U podrobnějšího dělení občanů je vidět, že odstěhovat se chtějí více muži, než ženy. Jedná se převážně o</w:t>
      </w:r>
      <w:r w:rsidR="00BE36CC">
        <w:rPr>
          <w:rFonts w:cstheme="minorHAnsi"/>
        </w:rPr>
        <w:t> </w:t>
      </w:r>
      <w:r w:rsidRPr="003D492B">
        <w:rPr>
          <w:rFonts w:cstheme="minorHAnsi"/>
        </w:rPr>
        <w:t>občany mladší, s přibývajícím věkem se zmenšuje podíl občanů s plánem se odstěhovat a roste podíl těch, kteří se odstěhovat nechtějí. U respondentů do 64 let je také podstatná část respondentů, kteří o</w:t>
      </w:r>
      <w:r w:rsidR="00BE36CC">
        <w:rPr>
          <w:rFonts w:cstheme="minorHAnsi"/>
        </w:rPr>
        <w:t> </w:t>
      </w:r>
      <w:r w:rsidRPr="003D492B">
        <w:rPr>
          <w:rFonts w:cstheme="minorHAnsi"/>
        </w:rPr>
        <w:t>odstěhování uvažují.</w:t>
      </w:r>
    </w:p>
    <w:p w14:paraId="2C2ED945" w14:textId="0E7FA917" w:rsidR="007175FE" w:rsidRPr="00DA7ABE" w:rsidRDefault="007175FE" w:rsidP="007175FE">
      <w:pPr>
        <w:pStyle w:val="Titulek"/>
        <w:rPr>
          <w:rFonts w:cstheme="minorHAnsi"/>
        </w:rPr>
      </w:pPr>
      <w:bookmarkStart w:id="701" w:name="_Toc54702634"/>
      <w:bookmarkStart w:id="702" w:name="_Toc56179441"/>
      <w:bookmarkStart w:id="703" w:name="_Toc57731799"/>
      <w:bookmarkStart w:id="704" w:name="_Toc77074783"/>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20</w:t>
      </w:r>
      <w:r w:rsidR="00DC277C">
        <w:rPr>
          <w:rFonts w:cstheme="minorHAnsi"/>
        </w:rPr>
        <w:fldChar w:fldCharType="end"/>
      </w:r>
      <w:r w:rsidR="00BE36CC">
        <w:rPr>
          <w:rFonts w:cstheme="minorHAnsi"/>
        </w:rPr>
        <w:t>:</w:t>
      </w:r>
      <w:r w:rsidRPr="00DA7ABE">
        <w:rPr>
          <w:rFonts w:cstheme="minorHAnsi"/>
        </w:rPr>
        <w:t xml:space="preserve"> Respondenti podle plánu přestěhovat se mimo Zlín podle pohlaví, věku a studenti UTB</w:t>
      </w:r>
      <w:bookmarkEnd w:id="701"/>
      <w:bookmarkEnd w:id="702"/>
      <w:bookmarkEnd w:id="703"/>
      <w:bookmarkEnd w:id="704"/>
    </w:p>
    <w:tbl>
      <w:tblPr>
        <w:tblW w:w="0" w:type="auto"/>
        <w:tblInd w:w="-5" w:type="dxa"/>
        <w:tblCellMar>
          <w:left w:w="70" w:type="dxa"/>
          <w:right w:w="70" w:type="dxa"/>
        </w:tblCellMar>
        <w:tblLook w:val="04A0" w:firstRow="1" w:lastRow="0" w:firstColumn="1" w:lastColumn="0" w:noHBand="0" w:noVBand="1"/>
      </w:tblPr>
      <w:tblGrid>
        <w:gridCol w:w="1189"/>
        <w:gridCol w:w="694"/>
        <w:gridCol w:w="588"/>
        <w:gridCol w:w="588"/>
        <w:gridCol w:w="1087"/>
        <w:gridCol w:w="642"/>
        <w:gridCol w:w="789"/>
        <w:gridCol w:w="2529"/>
        <w:gridCol w:w="961"/>
      </w:tblGrid>
      <w:tr w:rsidR="007175FE" w:rsidRPr="00FC11DE" w14:paraId="1F9698D9" w14:textId="77777777" w:rsidTr="000C49A5">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C51F5CC"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Hodnocení</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0F4F62C3"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38C8989"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1853D89"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Studenti UTB</w:t>
            </w:r>
          </w:p>
        </w:tc>
      </w:tr>
      <w:tr w:rsidR="007175FE" w:rsidRPr="00FC11DE" w14:paraId="3D539B87"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727BD8" w14:textId="77777777" w:rsidR="007175FE" w:rsidRPr="00FC11DE" w:rsidRDefault="007175FE" w:rsidP="000C49A5">
            <w:pPr>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16060475"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7FE5C10F"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2C2C645F"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13572B" w14:textId="77777777" w:rsidR="007175FE" w:rsidRPr="00FC11DE" w:rsidRDefault="007175FE" w:rsidP="000C49A5">
            <w:pPr>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03F17A" w14:textId="77777777" w:rsidR="007175FE" w:rsidRPr="00FC11DE" w:rsidRDefault="007175FE" w:rsidP="000C49A5">
            <w:pPr>
              <w:rPr>
                <w:rFonts w:ascii="Calibri" w:eastAsia="Times New Roman" w:hAnsi="Calibri" w:cs="Calibri"/>
                <w:b/>
                <w:bCs/>
                <w:color w:val="000000"/>
                <w:sz w:val="18"/>
                <w:szCs w:val="18"/>
                <w:lang w:eastAsia="cs-CZ"/>
              </w:rPr>
            </w:pPr>
          </w:p>
        </w:tc>
      </w:tr>
      <w:tr w:rsidR="007175FE" w:rsidRPr="00FC11DE" w14:paraId="27514640"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826B73" w14:textId="77777777" w:rsidR="007175FE" w:rsidRPr="00FC11DE" w:rsidRDefault="007175FE" w:rsidP="000C49A5">
            <w:pPr>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6560F9B6" w14:textId="77777777" w:rsidR="007175FE" w:rsidRPr="00FC11DE" w:rsidRDefault="007175FE" w:rsidP="000C49A5">
            <w:pPr>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54589A46"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6623637E"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76ACC079"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5C60CAC8"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085038FF" w14:textId="77777777" w:rsidR="007175FE" w:rsidRPr="00FC11DE" w:rsidRDefault="007175FE" w:rsidP="000C49A5">
            <w:pPr>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A7360D" w14:textId="77777777" w:rsidR="007175FE" w:rsidRPr="00FC11DE" w:rsidRDefault="007175FE" w:rsidP="000C49A5">
            <w:pPr>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D15908" w14:textId="77777777" w:rsidR="007175FE" w:rsidRPr="00FC11DE" w:rsidRDefault="007175FE" w:rsidP="000C49A5">
            <w:pPr>
              <w:rPr>
                <w:rFonts w:ascii="Calibri" w:eastAsia="Times New Roman" w:hAnsi="Calibri" w:cs="Calibri"/>
                <w:b/>
                <w:bCs/>
                <w:color w:val="000000"/>
                <w:sz w:val="18"/>
                <w:szCs w:val="18"/>
                <w:lang w:eastAsia="cs-CZ"/>
              </w:rPr>
            </w:pPr>
          </w:p>
        </w:tc>
      </w:tr>
      <w:tr w:rsidR="007175FE" w:rsidRPr="00FC11DE" w14:paraId="4A27ACD2"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400BD85" w14:textId="77777777" w:rsidR="007175FE" w:rsidRPr="00FC11DE" w:rsidRDefault="007175FE" w:rsidP="000C49A5">
            <w:pPr>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Ano</w:t>
            </w:r>
          </w:p>
        </w:tc>
        <w:tc>
          <w:tcPr>
            <w:tcW w:w="0" w:type="auto"/>
            <w:tcBorders>
              <w:top w:val="single" w:sz="4" w:space="0" w:color="auto"/>
              <w:left w:val="single" w:sz="4" w:space="0" w:color="auto"/>
              <w:bottom w:val="single" w:sz="4" w:space="0" w:color="auto"/>
              <w:right w:val="single" w:sz="4" w:space="0" w:color="auto"/>
            </w:tcBorders>
            <w:shd w:val="clear" w:color="000000" w:fill="99B6DC"/>
            <w:noWrap/>
            <w:vAlign w:val="center"/>
            <w:hideMark/>
          </w:tcPr>
          <w:p w14:paraId="5B7380F7"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15,0%</w:t>
            </w:r>
          </w:p>
        </w:tc>
        <w:tc>
          <w:tcPr>
            <w:tcW w:w="0" w:type="auto"/>
            <w:tcBorders>
              <w:top w:val="single" w:sz="4" w:space="0" w:color="auto"/>
              <w:left w:val="single" w:sz="4" w:space="0" w:color="auto"/>
              <w:bottom w:val="single" w:sz="4" w:space="0" w:color="auto"/>
              <w:right w:val="single" w:sz="4" w:space="0" w:color="auto"/>
            </w:tcBorders>
            <w:shd w:val="clear" w:color="000000" w:fill="9DB9DD"/>
            <w:noWrap/>
            <w:vAlign w:val="center"/>
            <w:hideMark/>
          </w:tcPr>
          <w:p w14:paraId="79276210"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15,7%</w:t>
            </w:r>
          </w:p>
        </w:tc>
        <w:tc>
          <w:tcPr>
            <w:tcW w:w="0" w:type="auto"/>
            <w:tcBorders>
              <w:top w:val="single" w:sz="4" w:space="0" w:color="auto"/>
              <w:left w:val="single" w:sz="4" w:space="0" w:color="auto"/>
              <w:bottom w:val="single" w:sz="4" w:space="0" w:color="auto"/>
              <w:right w:val="single" w:sz="4" w:space="0" w:color="auto"/>
            </w:tcBorders>
            <w:shd w:val="clear" w:color="000000" w:fill="95B3DA"/>
            <w:noWrap/>
            <w:vAlign w:val="center"/>
            <w:hideMark/>
          </w:tcPr>
          <w:p w14:paraId="76E9F3F3"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14,4%</w:t>
            </w:r>
          </w:p>
        </w:tc>
        <w:tc>
          <w:tcPr>
            <w:tcW w:w="0" w:type="auto"/>
            <w:tcBorders>
              <w:top w:val="single" w:sz="4" w:space="0" w:color="auto"/>
              <w:left w:val="single" w:sz="4" w:space="0" w:color="auto"/>
              <w:bottom w:val="single" w:sz="4" w:space="0" w:color="auto"/>
              <w:right w:val="single" w:sz="4" w:space="0" w:color="auto"/>
            </w:tcBorders>
            <w:shd w:val="clear" w:color="000000" w:fill="EBF0F9"/>
            <w:noWrap/>
            <w:vAlign w:val="center"/>
            <w:hideMark/>
          </w:tcPr>
          <w:p w14:paraId="0840A01A"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27,5%</w:t>
            </w:r>
          </w:p>
        </w:tc>
        <w:tc>
          <w:tcPr>
            <w:tcW w:w="0" w:type="auto"/>
            <w:tcBorders>
              <w:top w:val="single" w:sz="4" w:space="0" w:color="auto"/>
              <w:left w:val="single" w:sz="4" w:space="0" w:color="auto"/>
              <w:bottom w:val="single" w:sz="4" w:space="0" w:color="auto"/>
              <w:right w:val="single" w:sz="4" w:space="0" w:color="auto"/>
            </w:tcBorders>
            <w:shd w:val="clear" w:color="000000" w:fill="94B3DA"/>
            <w:noWrap/>
            <w:vAlign w:val="center"/>
            <w:hideMark/>
          </w:tcPr>
          <w:p w14:paraId="324AAB6F"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14,3%</w:t>
            </w:r>
          </w:p>
        </w:tc>
        <w:tc>
          <w:tcPr>
            <w:tcW w:w="0" w:type="auto"/>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759F9EAF"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5,4%</w:t>
            </w:r>
          </w:p>
        </w:tc>
        <w:tc>
          <w:tcPr>
            <w:tcW w:w="0" w:type="auto"/>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079785DB" w14:textId="77777777" w:rsidR="007175FE" w:rsidRPr="00D7639A" w:rsidRDefault="007175FE" w:rsidP="000C49A5">
            <w:pPr>
              <w:jc w:val="right"/>
              <w:rPr>
                <w:rFonts w:ascii="Calibri" w:eastAsia="Times New Roman" w:hAnsi="Calibri" w:cs="Calibri"/>
                <w:color w:val="000000"/>
                <w:sz w:val="18"/>
                <w:szCs w:val="18"/>
                <w:lang w:eastAsia="cs-CZ"/>
              </w:rPr>
            </w:pPr>
            <w:r w:rsidRPr="00D7639A">
              <w:rPr>
                <w:rFonts w:ascii="Calibri" w:eastAsia="Times New Roman" w:hAnsi="Calibri" w:cs="Calibri"/>
                <w:color w:val="000000"/>
                <w:sz w:val="18"/>
                <w:szCs w:val="18"/>
                <w:lang w:eastAsia="cs-CZ"/>
              </w:rPr>
              <w:t>35,4%</w:t>
            </w:r>
          </w:p>
        </w:tc>
        <w:tc>
          <w:tcPr>
            <w:tcW w:w="0" w:type="auto"/>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5AF6D3C9" w14:textId="77777777" w:rsidR="007175FE" w:rsidRPr="00D7639A" w:rsidRDefault="007175FE" w:rsidP="000C49A5">
            <w:pPr>
              <w:jc w:val="right"/>
              <w:rPr>
                <w:rFonts w:ascii="Calibri" w:eastAsia="Times New Roman" w:hAnsi="Calibri" w:cs="Calibri"/>
                <w:color w:val="000000"/>
                <w:sz w:val="18"/>
                <w:szCs w:val="18"/>
                <w:lang w:eastAsia="cs-CZ"/>
              </w:rPr>
            </w:pPr>
            <w:r w:rsidRPr="00D7639A">
              <w:rPr>
                <w:rFonts w:ascii="Calibri" w:eastAsia="Times New Roman" w:hAnsi="Calibri" w:cs="Calibri"/>
                <w:color w:val="000000"/>
                <w:sz w:val="18"/>
                <w:szCs w:val="18"/>
                <w:lang w:eastAsia="cs-CZ"/>
              </w:rPr>
              <w:t>33,9%</w:t>
            </w:r>
          </w:p>
        </w:tc>
      </w:tr>
      <w:tr w:rsidR="007175FE" w:rsidRPr="00FC11DE" w14:paraId="26142FFB"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1DD638" w14:textId="77777777" w:rsidR="007175FE" w:rsidRPr="00FC11DE" w:rsidRDefault="007175FE" w:rsidP="000C49A5">
            <w:pPr>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Ne</w:t>
            </w:r>
          </w:p>
        </w:tc>
        <w:tc>
          <w:tcPr>
            <w:tcW w:w="0" w:type="auto"/>
            <w:tcBorders>
              <w:top w:val="single" w:sz="4" w:space="0" w:color="auto"/>
              <w:left w:val="single" w:sz="4" w:space="0" w:color="auto"/>
              <w:bottom w:val="single" w:sz="4" w:space="0" w:color="auto"/>
              <w:right w:val="single" w:sz="4" w:space="0" w:color="auto"/>
            </w:tcBorders>
            <w:shd w:val="clear" w:color="000000" w:fill="FAB0B3"/>
            <w:noWrap/>
            <w:vAlign w:val="center"/>
            <w:hideMark/>
          </w:tcPr>
          <w:p w14:paraId="66B00BB1"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55,3%</w:t>
            </w:r>
          </w:p>
        </w:tc>
        <w:tc>
          <w:tcPr>
            <w:tcW w:w="0" w:type="auto"/>
            <w:tcBorders>
              <w:top w:val="single" w:sz="4" w:space="0" w:color="auto"/>
              <w:left w:val="single" w:sz="4" w:space="0" w:color="auto"/>
              <w:bottom w:val="single" w:sz="4" w:space="0" w:color="auto"/>
              <w:right w:val="single" w:sz="4" w:space="0" w:color="auto"/>
            </w:tcBorders>
            <w:shd w:val="clear" w:color="000000" w:fill="FBB4B7"/>
            <w:noWrap/>
            <w:vAlign w:val="center"/>
            <w:hideMark/>
          </w:tcPr>
          <w:p w14:paraId="0ABD6E21"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54,0%</w:t>
            </w:r>
          </w:p>
        </w:tc>
        <w:tc>
          <w:tcPr>
            <w:tcW w:w="0" w:type="auto"/>
            <w:tcBorders>
              <w:top w:val="single" w:sz="4" w:space="0" w:color="auto"/>
              <w:left w:val="single" w:sz="4" w:space="0" w:color="auto"/>
              <w:bottom w:val="single" w:sz="4" w:space="0" w:color="auto"/>
              <w:right w:val="single" w:sz="4" w:space="0" w:color="auto"/>
            </w:tcBorders>
            <w:shd w:val="clear" w:color="000000" w:fill="FAADB0"/>
            <w:noWrap/>
            <w:vAlign w:val="center"/>
            <w:hideMark/>
          </w:tcPr>
          <w:p w14:paraId="20369FE3"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56,3%</w:t>
            </w:r>
          </w:p>
        </w:tc>
        <w:tc>
          <w:tcPr>
            <w:tcW w:w="0" w:type="auto"/>
            <w:tcBorders>
              <w:top w:val="single" w:sz="4" w:space="0" w:color="auto"/>
              <w:left w:val="single" w:sz="4" w:space="0" w:color="auto"/>
              <w:bottom w:val="single" w:sz="4" w:space="0" w:color="auto"/>
              <w:right w:val="single" w:sz="4" w:space="0" w:color="auto"/>
            </w:tcBorders>
            <w:shd w:val="clear" w:color="000000" w:fill="F8F9FD"/>
            <w:noWrap/>
            <w:vAlign w:val="center"/>
            <w:hideMark/>
          </w:tcPr>
          <w:p w14:paraId="6AA08E45"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29,4%</w:t>
            </w:r>
          </w:p>
        </w:tc>
        <w:tc>
          <w:tcPr>
            <w:tcW w:w="0" w:type="auto"/>
            <w:tcBorders>
              <w:top w:val="single" w:sz="4" w:space="0" w:color="auto"/>
              <w:left w:val="single" w:sz="4" w:space="0" w:color="auto"/>
              <w:bottom w:val="single" w:sz="4" w:space="0" w:color="auto"/>
              <w:right w:val="single" w:sz="4" w:space="0" w:color="auto"/>
            </w:tcBorders>
            <w:shd w:val="clear" w:color="000000" w:fill="FAB2B5"/>
            <w:noWrap/>
            <w:vAlign w:val="center"/>
            <w:hideMark/>
          </w:tcPr>
          <w:p w14:paraId="2C7EDFDC"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54,7%</w:t>
            </w:r>
          </w:p>
        </w:tc>
        <w:tc>
          <w:tcPr>
            <w:tcW w:w="0" w:type="auto"/>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A5EB8E4"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78,9%</w:t>
            </w:r>
          </w:p>
        </w:tc>
        <w:tc>
          <w:tcPr>
            <w:tcW w:w="0" w:type="auto"/>
            <w:tcBorders>
              <w:top w:val="single" w:sz="4" w:space="0" w:color="auto"/>
              <w:left w:val="single" w:sz="4" w:space="0" w:color="auto"/>
              <w:bottom w:val="single" w:sz="4" w:space="0" w:color="auto"/>
              <w:right w:val="single" w:sz="4" w:space="0" w:color="auto"/>
            </w:tcBorders>
            <w:shd w:val="clear" w:color="000000" w:fill="AFC6E4"/>
            <w:noWrap/>
            <w:vAlign w:val="center"/>
            <w:hideMark/>
          </w:tcPr>
          <w:p w14:paraId="3EE7BE9F" w14:textId="77777777" w:rsidR="007175FE" w:rsidRPr="00D7639A" w:rsidRDefault="007175FE" w:rsidP="000C49A5">
            <w:pPr>
              <w:jc w:val="right"/>
              <w:rPr>
                <w:rFonts w:ascii="Calibri" w:eastAsia="Times New Roman" w:hAnsi="Calibri" w:cs="Calibri"/>
                <w:color w:val="000000"/>
                <w:sz w:val="18"/>
                <w:szCs w:val="18"/>
                <w:lang w:eastAsia="cs-CZ"/>
              </w:rPr>
            </w:pPr>
            <w:r w:rsidRPr="00D7639A">
              <w:rPr>
                <w:rFonts w:ascii="Calibri" w:eastAsia="Times New Roman" w:hAnsi="Calibri" w:cs="Calibri"/>
                <w:color w:val="000000"/>
                <w:sz w:val="18"/>
                <w:szCs w:val="18"/>
                <w:lang w:eastAsia="cs-CZ"/>
              </w:rPr>
              <w:t>18,4%</w:t>
            </w:r>
          </w:p>
        </w:tc>
        <w:tc>
          <w:tcPr>
            <w:tcW w:w="0" w:type="auto"/>
            <w:tcBorders>
              <w:top w:val="single" w:sz="4" w:space="0" w:color="auto"/>
              <w:left w:val="single" w:sz="4" w:space="0" w:color="auto"/>
              <w:bottom w:val="single" w:sz="4" w:space="0" w:color="auto"/>
              <w:right w:val="single" w:sz="4" w:space="0" w:color="auto"/>
            </w:tcBorders>
            <w:shd w:val="clear" w:color="000000" w:fill="BCCFE8"/>
            <w:noWrap/>
            <w:vAlign w:val="center"/>
            <w:hideMark/>
          </w:tcPr>
          <w:p w14:paraId="5B88B1A7" w14:textId="77777777" w:rsidR="007175FE" w:rsidRPr="00D7639A" w:rsidRDefault="007175FE" w:rsidP="000C49A5">
            <w:pPr>
              <w:jc w:val="right"/>
              <w:rPr>
                <w:rFonts w:ascii="Calibri" w:eastAsia="Times New Roman" w:hAnsi="Calibri" w:cs="Calibri"/>
                <w:color w:val="000000"/>
                <w:sz w:val="18"/>
                <w:szCs w:val="18"/>
                <w:lang w:eastAsia="cs-CZ"/>
              </w:rPr>
            </w:pPr>
            <w:r w:rsidRPr="00D7639A">
              <w:rPr>
                <w:rFonts w:ascii="Calibri" w:eastAsia="Times New Roman" w:hAnsi="Calibri" w:cs="Calibri"/>
                <w:color w:val="000000"/>
                <w:sz w:val="18"/>
                <w:szCs w:val="18"/>
                <w:lang w:eastAsia="cs-CZ"/>
              </w:rPr>
              <w:t>20,3%</w:t>
            </w:r>
          </w:p>
        </w:tc>
      </w:tr>
      <w:tr w:rsidR="007175FE" w:rsidRPr="00FC11DE" w14:paraId="390A39B5"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181A1" w14:textId="77777777" w:rsidR="007175FE" w:rsidRPr="00FC11DE" w:rsidRDefault="007175FE" w:rsidP="000C49A5">
            <w:pPr>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Nevím, možná</w:t>
            </w:r>
          </w:p>
        </w:tc>
        <w:tc>
          <w:tcPr>
            <w:tcW w:w="0" w:type="auto"/>
            <w:tcBorders>
              <w:top w:val="single" w:sz="4" w:space="0" w:color="auto"/>
              <w:left w:val="single" w:sz="4" w:space="0" w:color="auto"/>
              <w:bottom w:val="single" w:sz="4" w:space="0" w:color="auto"/>
              <w:right w:val="single" w:sz="4" w:space="0" w:color="auto"/>
            </w:tcBorders>
            <w:shd w:val="clear" w:color="000000" w:fill="FAFAFE"/>
            <w:noWrap/>
            <w:vAlign w:val="center"/>
            <w:hideMark/>
          </w:tcPr>
          <w:p w14:paraId="5656E856"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29,7%</w:t>
            </w:r>
          </w:p>
        </w:tc>
        <w:tc>
          <w:tcPr>
            <w:tcW w:w="0" w:type="auto"/>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5F1C05FB"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30,3%</w:t>
            </w:r>
          </w:p>
        </w:tc>
        <w:tc>
          <w:tcPr>
            <w:tcW w:w="0" w:type="auto"/>
            <w:tcBorders>
              <w:top w:val="single" w:sz="4" w:space="0" w:color="auto"/>
              <w:left w:val="single" w:sz="4" w:space="0" w:color="auto"/>
              <w:bottom w:val="single" w:sz="4" w:space="0" w:color="auto"/>
              <w:right w:val="single" w:sz="4" w:space="0" w:color="auto"/>
            </w:tcBorders>
            <w:shd w:val="clear" w:color="000000" w:fill="F7F8FD"/>
            <w:noWrap/>
            <w:vAlign w:val="center"/>
            <w:hideMark/>
          </w:tcPr>
          <w:p w14:paraId="511E46C0"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29,3%</w:t>
            </w:r>
          </w:p>
        </w:tc>
        <w:tc>
          <w:tcPr>
            <w:tcW w:w="0" w:type="auto"/>
            <w:tcBorders>
              <w:top w:val="single" w:sz="4" w:space="0" w:color="auto"/>
              <w:left w:val="single" w:sz="4" w:space="0" w:color="auto"/>
              <w:bottom w:val="single" w:sz="4" w:space="0" w:color="auto"/>
              <w:right w:val="single" w:sz="4" w:space="0" w:color="auto"/>
            </w:tcBorders>
            <w:shd w:val="clear" w:color="000000" w:fill="FBD5D8"/>
            <w:noWrap/>
            <w:vAlign w:val="center"/>
            <w:hideMark/>
          </w:tcPr>
          <w:p w14:paraId="118D020E"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43,1%</w:t>
            </w:r>
          </w:p>
        </w:tc>
        <w:tc>
          <w:tcPr>
            <w:tcW w:w="0" w:type="auto"/>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69947F71"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31,0%</w:t>
            </w:r>
          </w:p>
        </w:tc>
        <w:tc>
          <w:tcPr>
            <w:tcW w:w="0" w:type="auto"/>
            <w:tcBorders>
              <w:top w:val="single" w:sz="4" w:space="0" w:color="auto"/>
              <w:left w:val="single" w:sz="4" w:space="0" w:color="auto"/>
              <w:bottom w:val="single" w:sz="4" w:space="0" w:color="auto"/>
              <w:right w:val="single" w:sz="4" w:space="0" w:color="auto"/>
            </w:tcBorders>
            <w:shd w:val="clear" w:color="000000" w:fill="9DB9DD"/>
            <w:noWrap/>
            <w:vAlign w:val="center"/>
            <w:hideMark/>
          </w:tcPr>
          <w:p w14:paraId="00EA0046" w14:textId="77777777" w:rsidR="007175FE" w:rsidRPr="00D7639A" w:rsidRDefault="007175FE" w:rsidP="000C49A5">
            <w:pPr>
              <w:jc w:val="right"/>
              <w:rPr>
                <w:rFonts w:ascii="Calibri" w:eastAsia="Times New Roman" w:hAnsi="Calibri" w:cs="Calibri"/>
                <w:color w:val="000000"/>
                <w:sz w:val="18"/>
                <w:szCs w:val="18"/>
                <w:lang w:eastAsia="cs-CZ"/>
              </w:rPr>
            </w:pPr>
            <w:r w:rsidRPr="003D492B">
              <w:rPr>
                <w:sz w:val="18"/>
              </w:rPr>
              <w:t>15,7%</w:t>
            </w:r>
          </w:p>
        </w:tc>
        <w:tc>
          <w:tcPr>
            <w:tcW w:w="0" w:type="auto"/>
            <w:tcBorders>
              <w:top w:val="single" w:sz="4" w:space="0" w:color="auto"/>
              <w:left w:val="single" w:sz="4" w:space="0" w:color="auto"/>
              <w:bottom w:val="single" w:sz="4" w:space="0" w:color="auto"/>
              <w:right w:val="single" w:sz="4" w:space="0" w:color="auto"/>
            </w:tcBorders>
            <w:shd w:val="clear" w:color="000000" w:fill="FBCCCE"/>
            <w:noWrap/>
            <w:vAlign w:val="center"/>
            <w:hideMark/>
          </w:tcPr>
          <w:p w14:paraId="2C193853" w14:textId="77777777" w:rsidR="007175FE" w:rsidRPr="00D7639A" w:rsidRDefault="007175FE" w:rsidP="000C49A5">
            <w:pPr>
              <w:jc w:val="right"/>
              <w:rPr>
                <w:rFonts w:ascii="Calibri" w:eastAsia="Times New Roman" w:hAnsi="Calibri" w:cs="Calibri"/>
                <w:color w:val="000000"/>
                <w:sz w:val="18"/>
                <w:szCs w:val="18"/>
                <w:lang w:eastAsia="cs-CZ"/>
              </w:rPr>
            </w:pPr>
            <w:r w:rsidRPr="00D7639A">
              <w:rPr>
                <w:rFonts w:ascii="Calibri" w:eastAsia="Times New Roman" w:hAnsi="Calibri" w:cs="Calibri"/>
                <w:color w:val="000000"/>
                <w:sz w:val="18"/>
                <w:szCs w:val="18"/>
                <w:lang w:eastAsia="cs-CZ"/>
              </w:rPr>
              <w:t>46,2%</w:t>
            </w:r>
          </w:p>
        </w:tc>
        <w:tc>
          <w:tcPr>
            <w:tcW w:w="0" w:type="auto"/>
            <w:tcBorders>
              <w:top w:val="single" w:sz="4" w:space="0" w:color="auto"/>
              <w:left w:val="single" w:sz="4" w:space="0" w:color="auto"/>
              <w:bottom w:val="single" w:sz="4" w:space="0" w:color="auto"/>
              <w:right w:val="single" w:sz="4" w:space="0" w:color="auto"/>
            </w:tcBorders>
            <w:shd w:val="clear" w:color="000000" w:fill="FBCDD0"/>
            <w:noWrap/>
            <w:vAlign w:val="center"/>
            <w:hideMark/>
          </w:tcPr>
          <w:p w14:paraId="5E929926" w14:textId="77777777" w:rsidR="007175FE" w:rsidRPr="00D7639A" w:rsidRDefault="007175FE" w:rsidP="000C49A5">
            <w:pPr>
              <w:jc w:val="right"/>
              <w:rPr>
                <w:rFonts w:ascii="Calibri" w:eastAsia="Times New Roman" w:hAnsi="Calibri" w:cs="Calibri"/>
                <w:color w:val="000000"/>
                <w:sz w:val="18"/>
                <w:szCs w:val="18"/>
                <w:lang w:eastAsia="cs-CZ"/>
              </w:rPr>
            </w:pPr>
            <w:r w:rsidRPr="00D7639A">
              <w:rPr>
                <w:rFonts w:ascii="Calibri" w:eastAsia="Times New Roman" w:hAnsi="Calibri" w:cs="Calibri"/>
                <w:color w:val="000000"/>
                <w:sz w:val="18"/>
                <w:szCs w:val="18"/>
                <w:lang w:eastAsia="cs-CZ"/>
              </w:rPr>
              <w:t>45,8%</w:t>
            </w:r>
          </w:p>
        </w:tc>
      </w:tr>
    </w:tbl>
    <w:p w14:paraId="5854B051" w14:textId="26063D14" w:rsidR="007175FE" w:rsidRPr="00DA7AB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spokojenosti obyvatel města Zlín 2020</w:t>
      </w:r>
      <w:r w:rsidR="00BE36CC">
        <w:rPr>
          <w:rFonts w:asciiTheme="minorHAnsi" w:hAnsiTheme="minorHAnsi" w:cstheme="minorHAnsi"/>
        </w:rPr>
        <w:t>;</w:t>
      </w:r>
      <w:r w:rsidRPr="00DA7ABE">
        <w:rPr>
          <w:rFonts w:asciiTheme="minorHAnsi" w:hAnsiTheme="minorHAnsi" w:cstheme="minorHAnsi"/>
        </w:rPr>
        <w:t xml:space="preserve"> Otázka 12.</w:t>
      </w:r>
      <w:r w:rsidR="00BE36CC">
        <w:rPr>
          <w:rFonts w:asciiTheme="minorHAnsi" w:hAnsiTheme="minorHAnsi" w:cstheme="minorHAnsi"/>
        </w:rPr>
        <w:t>:</w:t>
      </w:r>
      <w:r w:rsidRPr="00DA7ABE">
        <w:rPr>
          <w:rFonts w:asciiTheme="minorHAnsi" w:hAnsiTheme="minorHAnsi" w:cstheme="minorHAnsi"/>
        </w:rPr>
        <w:t xml:space="preserve"> Máte v plánu se někdy přestěhovat mimo Zlín?</w:t>
      </w:r>
      <w:r w:rsidRPr="00DA7ABE">
        <w:rPr>
          <w:rFonts w:asciiTheme="minorHAnsi" w:hAnsiTheme="minorHAnsi" w:cstheme="minorHAnsi"/>
        </w:rPr>
        <w:br/>
        <w:t>Pozn.: Průměrné hodnocení na škále 0</w:t>
      </w:r>
      <w:r w:rsidR="00BE36CC">
        <w:rPr>
          <w:rFonts w:asciiTheme="minorHAnsi" w:hAnsiTheme="minorHAnsi" w:cstheme="minorHAnsi"/>
        </w:rPr>
        <w:t xml:space="preserve"> </w:t>
      </w:r>
      <w:r w:rsidR="00BE36CC">
        <w:rPr>
          <w:rFonts w:asciiTheme="minorHAnsi" w:hAnsiTheme="minorHAnsi" w:cstheme="minorHAnsi"/>
        </w:rPr>
        <w:sym w:font="Symbol" w:char="F02D"/>
      </w:r>
      <w:r w:rsidR="00BE36CC">
        <w:rPr>
          <w:rFonts w:asciiTheme="minorHAnsi" w:hAnsiTheme="minorHAnsi" w:cstheme="minorHAnsi"/>
        </w:rPr>
        <w:t xml:space="preserve"> </w:t>
      </w:r>
      <w:r w:rsidRPr="00DA7ABE">
        <w:rPr>
          <w:rFonts w:asciiTheme="minorHAnsi" w:hAnsiTheme="minorHAnsi" w:cstheme="minorHAnsi"/>
        </w:rPr>
        <w:t>100 (0 velmi nespokojen 100 velmi spokojen).</w:t>
      </w:r>
    </w:p>
    <w:p w14:paraId="43FCEBEB" w14:textId="77777777" w:rsidR="007175FE" w:rsidRPr="00DA7ABE" w:rsidRDefault="007175FE" w:rsidP="007175FE">
      <w:pPr>
        <w:rPr>
          <w:rFonts w:cstheme="minorHAnsi"/>
        </w:rPr>
      </w:pPr>
      <w:r w:rsidRPr="00DA7ABE">
        <w:rPr>
          <w:rFonts w:cstheme="minorHAnsi"/>
        </w:rPr>
        <w:t xml:space="preserve">Lidé nejčastěji uváděli, že se budou stěhovat za prací (156 respondentů) a kvůli lepšímu bydlení (116). Významným důvodem byla také doprava, ve které je zahrnuta také dopravní dostupnost, a hluk. </w:t>
      </w:r>
    </w:p>
    <w:p w14:paraId="58F35DB4" w14:textId="4FAC9B26" w:rsidR="007175FE" w:rsidRPr="00DA7ABE" w:rsidRDefault="007175FE" w:rsidP="007175FE">
      <w:pPr>
        <w:pStyle w:val="Titulek"/>
        <w:rPr>
          <w:rFonts w:cstheme="minorHAnsi"/>
        </w:rPr>
      </w:pPr>
      <w:bookmarkStart w:id="705" w:name="_Toc54702794"/>
      <w:bookmarkStart w:id="706" w:name="_Toc56179600"/>
      <w:bookmarkStart w:id="707" w:name="_Toc77074942"/>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21</w:t>
      </w:r>
      <w:r w:rsidR="0096730F">
        <w:rPr>
          <w:rFonts w:cstheme="minorHAnsi"/>
        </w:rPr>
        <w:fldChar w:fldCharType="end"/>
      </w:r>
      <w:r w:rsidR="00BE36CC">
        <w:rPr>
          <w:rFonts w:cstheme="minorHAnsi"/>
        </w:rPr>
        <w:t>:</w:t>
      </w:r>
      <w:r w:rsidRPr="00DA7ABE">
        <w:rPr>
          <w:rFonts w:cstheme="minorHAnsi"/>
        </w:rPr>
        <w:t xml:space="preserve"> Důvody k přestěhování respondentů</w:t>
      </w:r>
      <w:bookmarkEnd w:id="705"/>
      <w:bookmarkEnd w:id="706"/>
      <w:bookmarkEnd w:id="707"/>
    </w:p>
    <w:p w14:paraId="0B5E993C" w14:textId="77777777" w:rsidR="007175FE" w:rsidRDefault="007175FE" w:rsidP="007175FE">
      <w:pPr>
        <w:rPr>
          <w:rFonts w:cstheme="minorHAnsi"/>
        </w:rPr>
      </w:pPr>
      <w:r w:rsidRPr="00DA7ABE">
        <w:rPr>
          <w:rFonts w:cstheme="minorHAnsi"/>
          <w:noProof/>
          <w:lang w:eastAsia="cs-CZ"/>
        </w:rPr>
        <w:drawing>
          <wp:inline distT="0" distB="0" distL="0" distR="0" wp14:anchorId="7CD06D01" wp14:editId="62F2B2C0">
            <wp:extent cx="5760000" cy="5377886"/>
            <wp:effectExtent l="114300" t="114300" r="165100" b="165735"/>
            <wp:docPr id="368" name="Obrázek 368" descr="C:\Users\Linda Vyvialová\Desktop\Zlin_pruzkum\13\13_Zli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nda Vyvialová\Desktop\Zlin_pruzkum\13\13_Zlin (1).pn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1017" r="8665"/>
                    <a:stretch/>
                  </pic:blipFill>
                  <pic:spPr bwMode="auto">
                    <a:xfrm>
                      <a:off x="0" y="0"/>
                      <a:ext cx="5760000" cy="5377886"/>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A7ABE">
        <w:rPr>
          <w:rFonts w:cstheme="minorHAnsi"/>
        </w:rPr>
        <w:t xml:space="preserve"> </w:t>
      </w:r>
    </w:p>
    <w:p w14:paraId="47295A47" w14:textId="1A4F8692" w:rsidR="007175FE" w:rsidRPr="00DA7ABE" w:rsidRDefault="007175FE" w:rsidP="007175FE">
      <w:pPr>
        <w:rPr>
          <w:rFonts w:cstheme="minorHAnsi"/>
        </w:rPr>
      </w:pPr>
      <w:r w:rsidRPr="00DA7ABE">
        <w:rPr>
          <w:rFonts w:cstheme="minorHAnsi"/>
          <w:i/>
          <w:sz w:val="18"/>
        </w:rPr>
        <w:t>Zdroj: PROCES, Anketní šetření spokoj</w:t>
      </w:r>
      <w:r w:rsidR="00BE36CC">
        <w:rPr>
          <w:rFonts w:cstheme="minorHAnsi"/>
          <w:i/>
          <w:sz w:val="18"/>
        </w:rPr>
        <w:t>enosti obyvatel města Zlín 2020;</w:t>
      </w:r>
      <w:r w:rsidRPr="00DA7ABE">
        <w:rPr>
          <w:rFonts w:cstheme="minorHAnsi"/>
          <w:i/>
          <w:sz w:val="18"/>
        </w:rPr>
        <w:t xml:space="preserve"> Otázka 12.</w:t>
      </w:r>
      <w:r w:rsidR="00BE36CC">
        <w:rPr>
          <w:rFonts w:cstheme="minorHAnsi"/>
          <w:i/>
          <w:sz w:val="18"/>
        </w:rPr>
        <w:t>:</w:t>
      </w:r>
      <w:r w:rsidRPr="00DA7ABE">
        <w:rPr>
          <w:rFonts w:cstheme="minorHAnsi"/>
          <w:i/>
          <w:sz w:val="18"/>
        </w:rPr>
        <w:t xml:space="preserve"> Máte v plánu se někdy přestěhovat mimo Zlín? </w:t>
      </w:r>
      <w:r w:rsidRPr="00DA7ABE">
        <w:rPr>
          <w:rFonts w:cstheme="minorHAnsi"/>
          <w:i/>
          <w:sz w:val="18"/>
        </w:rPr>
        <w:br/>
        <w:t>Pozn.: Velikost písma značí četnost dané odpovědi</w:t>
      </w:r>
      <w:r w:rsidRPr="003D492B">
        <w:rPr>
          <w:rFonts w:cstheme="minorHAnsi"/>
          <w:i/>
          <w:sz w:val="18"/>
        </w:rPr>
        <w:t>, barvy jsou voleny náhodně.</w:t>
      </w:r>
    </w:p>
    <w:p w14:paraId="18793A93" w14:textId="77777777" w:rsidR="007175FE" w:rsidRDefault="007175FE" w:rsidP="007175FE">
      <w:pPr>
        <w:pStyle w:val="Nadpis3"/>
      </w:pPr>
      <w:bookmarkStart w:id="708" w:name="_Toc50116476"/>
      <w:bookmarkStart w:id="709" w:name="_Toc77074633"/>
      <w:r>
        <w:t>Co by mělo město přednostně podporovat</w:t>
      </w:r>
      <w:bookmarkEnd w:id="708"/>
      <w:bookmarkEnd w:id="709"/>
    </w:p>
    <w:p w14:paraId="7DC8D8A3" w14:textId="004DD639" w:rsidR="007175FE" w:rsidRPr="00DA7ABE" w:rsidRDefault="007175FE" w:rsidP="007175FE">
      <w:pPr>
        <w:rPr>
          <w:rFonts w:cstheme="minorHAnsi"/>
        </w:rPr>
      </w:pPr>
      <w:r w:rsidRPr="00725EE0">
        <w:rPr>
          <w:rFonts w:cstheme="minorHAnsi"/>
        </w:rPr>
        <w:t>U otázky, které</w:t>
      </w:r>
      <w:r w:rsidRPr="00DA7ABE">
        <w:rPr>
          <w:rFonts w:cstheme="minorHAnsi"/>
        </w:rPr>
        <w:t xml:space="preserve"> oblasti by mělo město přednostně podporovat, u které měl každý respondent možnost volby tří oblastí, zvolila více než polovina </w:t>
      </w:r>
      <w:r>
        <w:rPr>
          <w:rFonts w:cstheme="minorHAnsi"/>
        </w:rPr>
        <w:t>občanů Zlína</w:t>
      </w:r>
      <w:r w:rsidRPr="00DA7ABE">
        <w:rPr>
          <w:rFonts w:cstheme="minorHAnsi"/>
        </w:rPr>
        <w:t xml:space="preserve"> zlepšení dopravy</w:t>
      </w:r>
      <w:r>
        <w:rPr>
          <w:rFonts w:cstheme="minorHAnsi"/>
        </w:rPr>
        <w:t>. D</w:t>
      </w:r>
      <w:r w:rsidRPr="00DA7ABE">
        <w:rPr>
          <w:rFonts w:cstheme="minorHAnsi"/>
        </w:rPr>
        <w:t>ále se často vyskytovala možnost podpořit bytovou výstavbu, zlepšit životní prostředí</w:t>
      </w:r>
      <w:r>
        <w:rPr>
          <w:rFonts w:cstheme="minorHAnsi"/>
        </w:rPr>
        <w:t xml:space="preserve"> a </w:t>
      </w:r>
      <w:r w:rsidRPr="00DA7ABE">
        <w:rPr>
          <w:rFonts w:cstheme="minorHAnsi"/>
        </w:rPr>
        <w:t>rozvíjet možnosti pro volný čas</w:t>
      </w:r>
      <w:r>
        <w:rPr>
          <w:rFonts w:cstheme="minorHAnsi"/>
        </w:rPr>
        <w:t>. Větší počet kulturních aktivit by ocenili především respondenti, kteří ve Zlíně nemají trvalé bydliště a</w:t>
      </w:r>
      <w:r w:rsidR="00BE36CC">
        <w:rPr>
          <w:rFonts w:cstheme="minorHAnsi"/>
        </w:rPr>
        <w:t> </w:t>
      </w:r>
      <w:r>
        <w:rPr>
          <w:rFonts w:cstheme="minorHAnsi"/>
        </w:rPr>
        <w:t>studenti UTB.</w:t>
      </w:r>
      <w:r w:rsidRPr="00DA7ABE">
        <w:rPr>
          <w:rFonts w:cstheme="minorHAnsi"/>
        </w:rPr>
        <w:t xml:space="preserve"> </w:t>
      </w:r>
      <w:r>
        <w:rPr>
          <w:rFonts w:cstheme="minorHAnsi"/>
        </w:rPr>
        <w:t xml:space="preserve">Naopak rozvoj sociálních služeb se ukázal být důležitější pro občany Zlína. </w:t>
      </w:r>
      <w:r w:rsidRPr="00DA7ABE">
        <w:rPr>
          <w:rFonts w:cstheme="minorHAnsi"/>
        </w:rPr>
        <w:t xml:space="preserve">Veškeré možnosti spolu s jejich procentuálním zastoupením </w:t>
      </w:r>
      <w:r>
        <w:rPr>
          <w:rFonts w:cstheme="minorHAnsi"/>
        </w:rPr>
        <w:t xml:space="preserve">dle kategorií respondentů </w:t>
      </w:r>
      <w:r w:rsidR="003A743C">
        <w:rPr>
          <w:rFonts w:cstheme="minorHAnsi"/>
        </w:rPr>
        <w:t>jsou zobrazeny v grafu na obrázku 2.22.</w:t>
      </w:r>
    </w:p>
    <w:p w14:paraId="1D2BF11C" w14:textId="5C188AEB" w:rsidR="007175FE" w:rsidRPr="00DA7ABE" w:rsidRDefault="007175FE" w:rsidP="007175FE">
      <w:pPr>
        <w:pStyle w:val="Titulek"/>
        <w:keepNext/>
        <w:keepLines/>
        <w:rPr>
          <w:rFonts w:cstheme="minorHAnsi"/>
        </w:rPr>
      </w:pPr>
      <w:bookmarkStart w:id="710" w:name="_Toc54702795"/>
      <w:bookmarkStart w:id="711" w:name="_Toc56179601"/>
      <w:bookmarkStart w:id="712" w:name="_Toc77074943"/>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22</w:t>
      </w:r>
      <w:r w:rsidR="0096730F">
        <w:rPr>
          <w:rFonts w:cstheme="minorHAnsi"/>
        </w:rPr>
        <w:fldChar w:fldCharType="end"/>
      </w:r>
      <w:r w:rsidR="00BE36CC">
        <w:rPr>
          <w:rFonts w:cstheme="minorHAnsi"/>
        </w:rPr>
        <w:t>:</w:t>
      </w:r>
      <w:r w:rsidRPr="00DA7ABE">
        <w:rPr>
          <w:rFonts w:cstheme="minorHAnsi"/>
        </w:rPr>
        <w:t xml:space="preserve"> Oblasti, které by mělo město dle respondentů přednostně podporovat</w:t>
      </w:r>
      <w:bookmarkEnd w:id="710"/>
      <w:bookmarkEnd w:id="711"/>
      <w:bookmarkEnd w:id="712"/>
    </w:p>
    <w:p w14:paraId="39CD7772" w14:textId="77777777" w:rsidR="007175FE" w:rsidRPr="00DA7ABE" w:rsidRDefault="007175FE" w:rsidP="007175FE">
      <w:pPr>
        <w:rPr>
          <w:rFonts w:cstheme="minorHAnsi"/>
        </w:rPr>
      </w:pPr>
      <w:r>
        <w:rPr>
          <w:rFonts w:cstheme="minorHAnsi"/>
          <w:noProof/>
          <w:lang w:eastAsia="cs-CZ"/>
        </w:rPr>
        <w:drawing>
          <wp:inline distT="0" distB="0" distL="0" distR="0" wp14:anchorId="13C06577" wp14:editId="5701476B">
            <wp:extent cx="5773420" cy="4182110"/>
            <wp:effectExtent l="0" t="0" r="0" b="889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73420" cy="4182110"/>
                    </a:xfrm>
                    <a:prstGeom prst="rect">
                      <a:avLst/>
                    </a:prstGeom>
                    <a:noFill/>
                  </pic:spPr>
                </pic:pic>
              </a:graphicData>
            </a:graphic>
          </wp:inline>
        </w:drawing>
      </w:r>
    </w:p>
    <w:p w14:paraId="1A6C13B4" w14:textId="3FE70666" w:rsidR="007175FE" w:rsidRPr="00BE36CC" w:rsidRDefault="007175FE" w:rsidP="007175FE">
      <w:pPr>
        <w:pStyle w:val="zdroj0"/>
        <w:jc w:val="both"/>
        <w:rPr>
          <w:rFonts w:asciiTheme="minorHAnsi" w:hAnsiTheme="minorHAnsi" w:cstheme="minorHAnsi"/>
        </w:rPr>
      </w:pPr>
      <w:r w:rsidRPr="00BE36CC">
        <w:rPr>
          <w:rFonts w:asciiTheme="minorHAnsi" w:hAnsiTheme="minorHAnsi" w:cstheme="minorHAnsi"/>
        </w:rPr>
        <w:t>Zdroj: PROCES, Anketní šetření spokojenosti obyvatel města Zlín 2020</w:t>
      </w:r>
      <w:r w:rsidR="00BE36CC" w:rsidRPr="00BE36CC">
        <w:rPr>
          <w:rFonts w:asciiTheme="minorHAnsi" w:hAnsiTheme="minorHAnsi" w:cstheme="minorHAnsi"/>
        </w:rPr>
        <w:t xml:space="preserve">; </w:t>
      </w:r>
      <w:r w:rsidRPr="00BE36CC">
        <w:rPr>
          <w:rFonts w:asciiTheme="minorHAnsi" w:hAnsiTheme="minorHAnsi" w:cstheme="minorHAnsi"/>
        </w:rPr>
        <w:t>Otázka 14.</w:t>
      </w:r>
      <w:r w:rsidR="00BE36CC" w:rsidRPr="00BE36CC">
        <w:rPr>
          <w:rFonts w:asciiTheme="minorHAnsi" w:hAnsiTheme="minorHAnsi" w:cstheme="minorHAnsi"/>
        </w:rPr>
        <w:t>:</w:t>
      </w:r>
      <w:r w:rsidRPr="00BE36CC">
        <w:rPr>
          <w:rFonts w:asciiTheme="minorHAnsi" w:hAnsiTheme="minorHAnsi" w:cstheme="minorHAnsi"/>
        </w:rPr>
        <w:t xml:space="preserve"> Co by mělo město přednostně podporovat (</w:t>
      </w:r>
      <w:r w:rsidR="00BE36CC" w:rsidRPr="00BE36CC">
        <w:rPr>
          <w:rFonts w:asciiTheme="minorHAnsi" w:hAnsiTheme="minorHAnsi" w:cstheme="minorHAnsi"/>
        </w:rPr>
        <w:t>z</w:t>
      </w:r>
      <w:r w:rsidRPr="00BE36CC">
        <w:rPr>
          <w:rFonts w:asciiTheme="minorHAnsi" w:hAnsiTheme="minorHAnsi" w:cstheme="minorHAnsi"/>
        </w:rPr>
        <w:t>aškrtněte maximálně 3 možnosti)</w:t>
      </w:r>
      <w:r w:rsidR="00BE36CC" w:rsidRPr="00BE36CC">
        <w:rPr>
          <w:rFonts w:asciiTheme="minorHAnsi" w:hAnsiTheme="minorHAnsi" w:cstheme="minorHAnsi"/>
        </w:rPr>
        <w:t>.</w:t>
      </w:r>
      <w:r w:rsidRPr="00BE36CC">
        <w:rPr>
          <w:rFonts w:asciiTheme="minorHAnsi" w:hAnsiTheme="minorHAnsi" w:cstheme="minorHAnsi"/>
        </w:rPr>
        <w:br/>
        <w:t>Pozn.: Z důvodu možnosti volby 3 oblastí podpory, nedávají součty procent za jednotlivé kategorie výsledek 100%</w:t>
      </w:r>
      <w:r w:rsidR="00BE36CC" w:rsidRPr="00BE36CC">
        <w:rPr>
          <w:rFonts w:asciiTheme="minorHAnsi" w:hAnsiTheme="minorHAnsi" w:cstheme="minorHAnsi"/>
        </w:rPr>
        <w:t>.</w:t>
      </w:r>
    </w:p>
    <w:p w14:paraId="3F3C9836" w14:textId="00480E44" w:rsidR="007175FE" w:rsidRPr="00DA7ABE" w:rsidRDefault="007175FE" w:rsidP="007175FE">
      <w:pPr>
        <w:rPr>
          <w:rFonts w:cstheme="minorHAnsi"/>
        </w:rPr>
      </w:pPr>
      <w:r w:rsidRPr="00E13FEE">
        <w:rPr>
          <w:rFonts w:cstheme="minorHAnsi"/>
        </w:rPr>
        <w:t>Níže v</w:t>
      </w:r>
      <w:r w:rsidR="0096730F">
        <w:rPr>
          <w:rFonts w:cstheme="minorHAnsi"/>
        </w:rPr>
        <w:t> </w:t>
      </w:r>
      <w:r w:rsidRPr="00E13FEE">
        <w:rPr>
          <w:rFonts w:cstheme="minorHAnsi"/>
        </w:rPr>
        <w:t>tabulce</w:t>
      </w:r>
      <w:r w:rsidR="0096730F">
        <w:rPr>
          <w:rFonts w:cstheme="minorHAnsi"/>
        </w:rPr>
        <w:t xml:space="preserve"> 2.21</w:t>
      </w:r>
      <w:r w:rsidRPr="00E13FEE">
        <w:rPr>
          <w:rFonts w:cstheme="minorHAnsi"/>
        </w:rPr>
        <w:t xml:space="preserve"> jsou volby investičních oblastí rozčleněny také podle pohlaví a věkových kategorií. Jde vidět, že některé možnosti volili spíše muži (zlepšení dopravy, bytová výstavba, také rozvoj školství a</w:t>
      </w:r>
      <w:r w:rsidR="00BE36CC">
        <w:rPr>
          <w:rFonts w:cstheme="minorHAnsi"/>
        </w:rPr>
        <w:t> </w:t>
      </w:r>
      <w:r w:rsidRPr="00E13FEE">
        <w:rPr>
          <w:rFonts w:cstheme="minorHAnsi"/>
        </w:rPr>
        <w:t>cestovního ruchu). Naopak ženy častěji volily zlepšení životního prostředí, větší počet kulturních aktivit, rozvoj možností pro volný čas, rozvoj sociálních služeb, zvýšení bezpečnosti a větší počet sportovních aktivit. U každé oblasti lze dále vidět, které věkové kategorie respondentů ji preferují.</w:t>
      </w:r>
    </w:p>
    <w:p w14:paraId="12A835D3" w14:textId="23A6FFF6" w:rsidR="007175FE" w:rsidRPr="00DA7ABE" w:rsidRDefault="007175FE" w:rsidP="007175FE">
      <w:pPr>
        <w:pStyle w:val="Titulek"/>
        <w:keepNext/>
        <w:rPr>
          <w:rFonts w:cstheme="minorHAnsi"/>
        </w:rPr>
      </w:pPr>
      <w:bookmarkStart w:id="713" w:name="_Toc54702635"/>
      <w:bookmarkStart w:id="714" w:name="_Toc56179442"/>
      <w:bookmarkStart w:id="715" w:name="_Toc57731800"/>
      <w:bookmarkStart w:id="716" w:name="_Toc77074784"/>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21</w:t>
      </w:r>
      <w:r w:rsidR="00DC277C">
        <w:rPr>
          <w:rFonts w:cstheme="minorHAnsi"/>
        </w:rPr>
        <w:fldChar w:fldCharType="end"/>
      </w:r>
      <w:r w:rsidR="00BE36CC">
        <w:rPr>
          <w:rFonts w:cstheme="minorHAnsi"/>
        </w:rPr>
        <w:t>:</w:t>
      </w:r>
      <w:r w:rsidRPr="00DA7ABE">
        <w:rPr>
          <w:rFonts w:cstheme="minorHAnsi"/>
        </w:rPr>
        <w:t xml:space="preserve"> Oblasti, které by mělo město dle respondentů přednostně podporovat</w:t>
      </w:r>
      <w:bookmarkEnd w:id="713"/>
      <w:bookmarkEnd w:id="714"/>
      <w:bookmarkEnd w:id="715"/>
      <w:bookmarkEnd w:id="716"/>
    </w:p>
    <w:tbl>
      <w:tblPr>
        <w:tblW w:w="0" w:type="auto"/>
        <w:tblCellMar>
          <w:left w:w="70" w:type="dxa"/>
          <w:right w:w="70" w:type="dxa"/>
        </w:tblCellMar>
        <w:tblLook w:val="04A0" w:firstRow="1" w:lastRow="0" w:firstColumn="1" w:lastColumn="0" w:noHBand="0" w:noVBand="1"/>
      </w:tblPr>
      <w:tblGrid>
        <w:gridCol w:w="2360"/>
        <w:gridCol w:w="694"/>
        <w:gridCol w:w="588"/>
        <w:gridCol w:w="588"/>
        <w:gridCol w:w="1087"/>
        <w:gridCol w:w="642"/>
        <w:gridCol w:w="789"/>
        <w:gridCol w:w="1487"/>
        <w:gridCol w:w="827"/>
      </w:tblGrid>
      <w:tr w:rsidR="007175FE" w:rsidRPr="00FC11DE" w14:paraId="2DEE41C2" w14:textId="77777777" w:rsidTr="000C49A5">
        <w:trPr>
          <w:trHeight w:val="288"/>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A2589D6"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Oblast podpory</w:t>
            </w:r>
          </w:p>
        </w:tc>
        <w:tc>
          <w:tcPr>
            <w:tcW w:w="0" w:type="auto"/>
            <w:gridSpan w:val="6"/>
            <w:tcBorders>
              <w:top w:val="single" w:sz="4" w:space="0" w:color="auto"/>
              <w:left w:val="nil"/>
              <w:bottom w:val="single" w:sz="4" w:space="0" w:color="auto"/>
              <w:right w:val="single" w:sz="4" w:space="0" w:color="auto"/>
            </w:tcBorders>
            <w:shd w:val="clear" w:color="000000" w:fill="F2F2F2"/>
            <w:noWrap/>
            <w:vAlign w:val="center"/>
            <w:hideMark/>
          </w:tcPr>
          <w:p w14:paraId="6D25BAB2"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s trvalým bydlištěm ve Zlíně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782457"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Respondenti žijící ve Zlíně (bez trvalého bydliště)</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B170A2E"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Studenti UTB</w:t>
            </w:r>
          </w:p>
        </w:tc>
      </w:tr>
      <w:tr w:rsidR="007175FE" w:rsidRPr="00FC11DE" w14:paraId="07A1DC74"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5D680D" w14:textId="77777777" w:rsidR="007175FE" w:rsidRPr="00FC11DE" w:rsidRDefault="007175FE" w:rsidP="000C49A5">
            <w:pPr>
              <w:keepNext/>
              <w:rPr>
                <w:rFonts w:ascii="Calibri" w:eastAsia="Times New Roman" w:hAnsi="Calibri" w:cs="Calibri"/>
                <w:b/>
                <w:bCs/>
                <w:color w:val="000000"/>
                <w:sz w:val="18"/>
                <w:szCs w:val="18"/>
                <w:lang w:eastAsia="cs-CZ"/>
              </w:rPr>
            </w:pPr>
          </w:p>
        </w:tc>
        <w:tc>
          <w:tcPr>
            <w:tcW w:w="0" w:type="auto"/>
            <w:vMerge w:val="restart"/>
            <w:tcBorders>
              <w:top w:val="nil"/>
              <w:left w:val="single" w:sz="4" w:space="0" w:color="auto"/>
              <w:bottom w:val="single" w:sz="4" w:space="0" w:color="auto"/>
              <w:right w:val="single" w:sz="4" w:space="0" w:color="auto"/>
            </w:tcBorders>
            <w:shd w:val="clear" w:color="000000" w:fill="F2F2F2"/>
            <w:noWrap/>
            <w:vAlign w:val="center"/>
            <w:hideMark/>
          </w:tcPr>
          <w:p w14:paraId="226D7385"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Celkem</w:t>
            </w:r>
          </w:p>
        </w:tc>
        <w:tc>
          <w:tcPr>
            <w:tcW w:w="0" w:type="auto"/>
            <w:gridSpan w:val="2"/>
            <w:tcBorders>
              <w:top w:val="single" w:sz="4" w:space="0" w:color="auto"/>
              <w:left w:val="nil"/>
              <w:bottom w:val="single" w:sz="4" w:space="0" w:color="auto"/>
              <w:right w:val="single" w:sz="4" w:space="0" w:color="auto"/>
            </w:tcBorders>
            <w:shd w:val="clear" w:color="000000" w:fill="F2F2F2"/>
            <w:noWrap/>
            <w:vAlign w:val="center"/>
            <w:hideMark/>
          </w:tcPr>
          <w:p w14:paraId="5BF58304"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Pohlaví</w:t>
            </w:r>
          </w:p>
        </w:tc>
        <w:tc>
          <w:tcPr>
            <w:tcW w:w="0" w:type="auto"/>
            <w:gridSpan w:val="3"/>
            <w:tcBorders>
              <w:top w:val="single" w:sz="4" w:space="0" w:color="auto"/>
              <w:left w:val="nil"/>
              <w:bottom w:val="single" w:sz="4" w:space="0" w:color="auto"/>
              <w:right w:val="single" w:sz="4" w:space="0" w:color="auto"/>
            </w:tcBorders>
            <w:shd w:val="clear" w:color="000000" w:fill="F2F2F2"/>
            <w:noWrap/>
            <w:vAlign w:val="center"/>
            <w:hideMark/>
          </w:tcPr>
          <w:p w14:paraId="74B01827"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Věková kategorie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9B78FF" w14:textId="77777777" w:rsidR="007175FE" w:rsidRPr="00FC11DE"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7D869C" w14:textId="77777777" w:rsidR="007175FE" w:rsidRPr="00FC11DE" w:rsidRDefault="007175FE" w:rsidP="000C49A5">
            <w:pPr>
              <w:keepNext/>
              <w:rPr>
                <w:rFonts w:ascii="Calibri" w:eastAsia="Times New Roman" w:hAnsi="Calibri" w:cs="Calibri"/>
                <w:b/>
                <w:bCs/>
                <w:color w:val="000000"/>
                <w:sz w:val="18"/>
                <w:szCs w:val="18"/>
                <w:lang w:eastAsia="cs-CZ"/>
              </w:rPr>
            </w:pPr>
          </w:p>
        </w:tc>
      </w:tr>
      <w:tr w:rsidR="007175FE" w:rsidRPr="00FC11DE" w14:paraId="3FE0BED1" w14:textId="77777777" w:rsidTr="000C49A5">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92F015" w14:textId="77777777" w:rsidR="007175FE" w:rsidRPr="00FC11DE" w:rsidRDefault="007175FE" w:rsidP="000C49A5">
            <w:pPr>
              <w:keepNext/>
              <w:rPr>
                <w:rFonts w:ascii="Calibri" w:eastAsia="Times New Roman" w:hAnsi="Calibri" w:cs="Calibri"/>
                <w:b/>
                <w:bCs/>
                <w:color w:val="000000"/>
                <w:sz w:val="18"/>
                <w:szCs w:val="18"/>
                <w:lang w:eastAsia="cs-CZ"/>
              </w:rPr>
            </w:pPr>
          </w:p>
        </w:tc>
        <w:tc>
          <w:tcPr>
            <w:tcW w:w="0" w:type="auto"/>
            <w:vMerge/>
            <w:tcBorders>
              <w:top w:val="nil"/>
              <w:left w:val="single" w:sz="4" w:space="0" w:color="auto"/>
              <w:bottom w:val="single" w:sz="4" w:space="0" w:color="auto"/>
              <w:right w:val="single" w:sz="4" w:space="0" w:color="auto"/>
            </w:tcBorders>
            <w:vAlign w:val="center"/>
            <w:hideMark/>
          </w:tcPr>
          <w:p w14:paraId="0B113A56" w14:textId="77777777" w:rsidR="007175FE" w:rsidRPr="00FC11DE" w:rsidRDefault="007175FE" w:rsidP="000C49A5">
            <w:pPr>
              <w:keepNext/>
              <w:rPr>
                <w:rFonts w:ascii="Calibri" w:eastAsia="Times New Roman" w:hAnsi="Calibri" w:cs="Calibri"/>
                <w:b/>
                <w:bCs/>
                <w:color w:val="000000"/>
                <w:sz w:val="18"/>
                <w:szCs w:val="18"/>
                <w:lang w:eastAsia="cs-CZ"/>
              </w:rPr>
            </w:pPr>
          </w:p>
        </w:tc>
        <w:tc>
          <w:tcPr>
            <w:tcW w:w="0" w:type="auto"/>
            <w:tcBorders>
              <w:top w:val="nil"/>
              <w:left w:val="nil"/>
              <w:bottom w:val="single" w:sz="4" w:space="0" w:color="auto"/>
              <w:right w:val="single" w:sz="4" w:space="0" w:color="auto"/>
            </w:tcBorders>
            <w:shd w:val="clear" w:color="000000" w:fill="F2F2F2"/>
            <w:noWrap/>
            <w:vAlign w:val="center"/>
            <w:hideMark/>
          </w:tcPr>
          <w:p w14:paraId="2EF7AD84"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Muž</w:t>
            </w:r>
          </w:p>
        </w:tc>
        <w:tc>
          <w:tcPr>
            <w:tcW w:w="0" w:type="auto"/>
            <w:tcBorders>
              <w:top w:val="nil"/>
              <w:left w:val="nil"/>
              <w:bottom w:val="single" w:sz="4" w:space="0" w:color="auto"/>
              <w:right w:val="single" w:sz="4" w:space="0" w:color="auto"/>
            </w:tcBorders>
            <w:shd w:val="clear" w:color="000000" w:fill="F2F2F2"/>
            <w:noWrap/>
            <w:vAlign w:val="center"/>
            <w:hideMark/>
          </w:tcPr>
          <w:p w14:paraId="6EC8643C"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Žena</w:t>
            </w:r>
          </w:p>
        </w:tc>
        <w:tc>
          <w:tcPr>
            <w:tcW w:w="0" w:type="auto"/>
            <w:tcBorders>
              <w:top w:val="nil"/>
              <w:left w:val="nil"/>
              <w:bottom w:val="single" w:sz="4" w:space="0" w:color="auto"/>
              <w:right w:val="single" w:sz="4" w:space="0" w:color="auto"/>
            </w:tcBorders>
            <w:shd w:val="clear" w:color="000000" w:fill="F2F2F2"/>
            <w:noWrap/>
            <w:vAlign w:val="center"/>
            <w:hideMark/>
          </w:tcPr>
          <w:p w14:paraId="18BA5659"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méně než 35</w:t>
            </w:r>
          </w:p>
        </w:tc>
        <w:tc>
          <w:tcPr>
            <w:tcW w:w="0" w:type="auto"/>
            <w:tcBorders>
              <w:top w:val="nil"/>
              <w:left w:val="nil"/>
              <w:bottom w:val="single" w:sz="4" w:space="0" w:color="auto"/>
              <w:right w:val="single" w:sz="4" w:space="0" w:color="auto"/>
            </w:tcBorders>
            <w:shd w:val="clear" w:color="000000" w:fill="F2F2F2"/>
            <w:noWrap/>
            <w:vAlign w:val="center"/>
            <w:hideMark/>
          </w:tcPr>
          <w:p w14:paraId="3F8F543F"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35 - 64</w:t>
            </w:r>
          </w:p>
        </w:tc>
        <w:tc>
          <w:tcPr>
            <w:tcW w:w="0" w:type="auto"/>
            <w:tcBorders>
              <w:top w:val="nil"/>
              <w:left w:val="nil"/>
              <w:bottom w:val="single" w:sz="4" w:space="0" w:color="auto"/>
              <w:right w:val="single" w:sz="4" w:space="0" w:color="auto"/>
            </w:tcBorders>
            <w:shd w:val="clear" w:color="000000" w:fill="F2F2F2"/>
            <w:noWrap/>
            <w:vAlign w:val="center"/>
            <w:hideMark/>
          </w:tcPr>
          <w:p w14:paraId="789FCC66" w14:textId="77777777" w:rsidR="007175FE" w:rsidRPr="00FC11DE" w:rsidRDefault="007175FE" w:rsidP="000C49A5">
            <w:pPr>
              <w:keepNext/>
              <w:jc w:val="center"/>
              <w:rPr>
                <w:rFonts w:ascii="Calibri" w:eastAsia="Times New Roman" w:hAnsi="Calibri" w:cs="Calibri"/>
                <w:b/>
                <w:bCs/>
                <w:color w:val="000000"/>
                <w:sz w:val="18"/>
                <w:szCs w:val="18"/>
                <w:lang w:eastAsia="cs-CZ"/>
              </w:rPr>
            </w:pPr>
            <w:r w:rsidRPr="00FC11DE">
              <w:rPr>
                <w:rFonts w:ascii="Calibri" w:eastAsia="Times New Roman" w:hAnsi="Calibri" w:cs="Calibri"/>
                <w:b/>
                <w:bCs/>
                <w:color w:val="000000"/>
                <w:sz w:val="18"/>
                <w:szCs w:val="18"/>
                <w:lang w:eastAsia="cs-CZ"/>
              </w:rPr>
              <w:t>65 a více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716B41" w14:textId="77777777" w:rsidR="007175FE" w:rsidRPr="00FC11DE" w:rsidRDefault="007175FE" w:rsidP="000C49A5">
            <w:pPr>
              <w:keepNext/>
              <w:rPr>
                <w:rFonts w:ascii="Calibri" w:eastAsia="Times New Roman" w:hAnsi="Calibri" w:cs="Calibri"/>
                <w:b/>
                <w:bCs/>
                <w:color w:val="000000"/>
                <w:sz w:val="18"/>
                <w:szCs w:val="18"/>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2C5C61" w14:textId="77777777" w:rsidR="007175FE" w:rsidRPr="00FC11DE" w:rsidRDefault="007175FE" w:rsidP="000C49A5">
            <w:pPr>
              <w:keepNext/>
              <w:rPr>
                <w:rFonts w:ascii="Calibri" w:eastAsia="Times New Roman" w:hAnsi="Calibri" w:cs="Calibri"/>
                <w:b/>
                <w:bCs/>
                <w:color w:val="000000"/>
                <w:sz w:val="18"/>
                <w:szCs w:val="18"/>
                <w:lang w:eastAsia="cs-CZ"/>
              </w:rPr>
            </w:pPr>
          </w:p>
        </w:tc>
      </w:tr>
      <w:tr w:rsidR="007175FE" w:rsidRPr="00FC11DE" w14:paraId="79C1C3B4"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054001"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Zlepšení dopravy</w:t>
            </w:r>
          </w:p>
        </w:tc>
        <w:tc>
          <w:tcPr>
            <w:tcW w:w="0" w:type="auto"/>
            <w:tcBorders>
              <w:top w:val="single" w:sz="4" w:space="0" w:color="auto"/>
              <w:left w:val="single" w:sz="4" w:space="0" w:color="auto"/>
              <w:bottom w:val="single" w:sz="4" w:space="0" w:color="auto"/>
              <w:right w:val="single" w:sz="4" w:space="0" w:color="auto"/>
            </w:tcBorders>
            <w:shd w:val="clear" w:color="000000" w:fill="F98E90"/>
            <w:noWrap/>
            <w:hideMark/>
          </w:tcPr>
          <w:p w14:paraId="6075254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53,9%</w:t>
            </w:r>
          </w:p>
        </w:tc>
        <w:tc>
          <w:tcPr>
            <w:tcW w:w="0" w:type="auto"/>
            <w:tcBorders>
              <w:top w:val="single" w:sz="4" w:space="0" w:color="auto"/>
              <w:left w:val="single" w:sz="4" w:space="0" w:color="auto"/>
              <w:bottom w:val="single" w:sz="4" w:space="0" w:color="auto"/>
              <w:right w:val="single" w:sz="4" w:space="0" w:color="auto"/>
            </w:tcBorders>
            <w:shd w:val="clear" w:color="000000" w:fill="F8696B"/>
            <w:noWrap/>
            <w:hideMark/>
          </w:tcPr>
          <w:p w14:paraId="0924EAF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63,9%</w:t>
            </w:r>
          </w:p>
        </w:tc>
        <w:tc>
          <w:tcPr>
            <w:tcW w:w="0" w:type="auto"/>
            <w:tcBorders>
              <w:top w:val="single" w:sz="4" w:space="0" w:color="auto"/>
              <w:left w:val="single" w:sz="4" w:space="0" w:color="auto"/>
              <w:bottom w:val="single" w:sz="4" w:space="0" w:color="auto"/>
              <w:right w:val="single" w:sz="4" w:space="0" w:color="auto"/>
            </w:tcBorders>
            <w:shd w:val="clear" w:color="000000" w:fill="FAAFB2"/>
            <w:noWrap/>
            <w:hideMark/>
          </w:tcPr>
          <w:p w14:paraId="6857DAF4"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44,9%</w:t>
            </w:r>
          </w:p>
        </w:tc>
        <w:tc>
          <w:tcPr>
            <w:tcW w:w="0" w:type="auto"/>
            <w:tcBorders>
              <w:top w:val="single" w:sz="4" w:space="0" w:color="auto"/>
              <w:left w:val="single" w:sz="4" w:space="0" w:color="auto"/>
              <w:bottom w:val="single" w:sz="4" w:space="0" w:color="auto"/>
              <w:right w:val="single" w:sz="4" w:space="0" w:color="auto"/>
            </w:tcBorders>
            <w:shd w:val="clear" w:color="000000" w:fill="F98D8F"/>
            <w:noWrap/>
            <w:hideMark/>
          </w:tcPr>
          <w:p w14:paraId="0D77A3D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54,1%</w:t>
            </w:r>
          </w:p>
        </w:tc>
        <w:tc>
          <w:tcPr>
            <w:tcW w:w="0" w:type="auto"/>
            <w:tcBorders>
              <w:top w:val="single" w:sz="4" w:space="0" w:color="auto"/>
              <w:left w:val="single" w:sz="4" w:space="0" w:color="auto"/>
              <w:bottom w:val="single" w:sz="4" w:space="0" w:color="auto"/>
              <w:right w:val="single" w:sz="4" w:space="0" w:color="auto"/>
            </w:tcBorders>
            <w:shd w:val="clear" w:color="000000" w:fill="F97476"/>
            <w:noWrap/>
            <w:hideMark/>
          </w:tcPr>
          <w:p w14:paraId="41D49FA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61,0%</w:t>
            </w:r>
          </w:p>
        </w:tc>
        <w:tc>
          <w:tcPr>
            <w:tcW w:w="0" w:type="auto"/>
            <w:tcBorders>
              <w:top w:val="single" w:sz="4" w:space="0" w:color="auto"/>
              <w:left w:val="single" w:sz="4" w:space="0" w:color="auto"/>
              <w:bottom w:val="single" w:sz="4" w:space="0" w:color="auto"/>
              <w:right w:val="single" w:sz="4" w:space="0" w:color="auto"/>
            </w:tcBorders>
            <w:shd w:val="clear" w:color="000000" w:fill="FBBEC1"/>
            <w:noWrap/>
            <w:hideMark/>
          </w:tcPr>
          <w:p w14:paraId="14FEC1B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40,7%</w:t>
            </w:r>
          </w:p>
        </w:tc>
        <w:tc>
          <w:tcPr>
            <w:tcW w:w="0" w:type="auto"/>
            <w:tcBorders>
              <w:top w:val="single" w:sz="4" w:space="0" w:color="auto"/>
              <w:left w:val="single" w:sz="4" w:space="0" w:color="auto"/>
              <w:bottom w:val="single" w:sz="4" w:space="0" w:color="auto"/>
              <w:right w:val="single" w:sz="4" w:space="0" w:color="auto"/>
            </w:tcBorders>
            <w:shd w:val="clear" w:color="000000" w:fill="FBBBBD"/>
            <w:noWrap/>
            <w:hideMark/>
          </w:tcPr>
          <w:p w14:paraId="0C5B15E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41,7%</w:t>
            </w:r>
          </w:p>
        </w:tc>
        <w:tc>
          <w:tcPr>
            <w:tcW w:w="0" w:type="auto"/>
            <w:tcBorders>
              <w:top w:val="single" w:sz="4" w:space="0" w:color="auto"/>
              <w:left w:val="single" w:sz="4" w:space="0" w:color="auto"/>
              <w:bottom w:val="single" w:sz="4" w:space="0" w:color="auto"/>
              <w:right w:val="single" w:sz="4" w:space="0" w:color="auto"/>
            </w:tcBorders>
            <w:shd w:val="clear" w:color="000000" w:fill="FBB9BB"/>
            <w:noWrap/>
            <w:hideMark/>
          </w:tcPr>
          <w:p w14:paraId="1D62FE48"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42,2%</w:t>
            </w:r>
          </w:p>
        </w:tc>
      </w:tr>
      <w:tr w:rsidR="007175FE" w:rsidRPr="00FC11DE" w14:paraId="37F5CFFE"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7DCF66" w14:textId="7621BD86" w:rsidR="007175FE" w:rsidRPr="00FC11DE" w:rsidRDefault="007175FE" w:rsidP="00BE36CC">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Bytová výstavb</w:t>
            </w:r>
            <w:r w:rsidR="00BE36CC">
              <w:rPr>
                <w:rFonts w:ascii="Calibri" w:eastAsia="Times New Roman" w:hAnsi="Calibri" w:cs="Calibri"/>
                <w:color w:val="000000"/>
                <w:sz w:val="18"/>
                <w:szCs w:val="18"/>
                <w:lang w:eastAsia="cs-CZ"/>
              </w:rPr>
              <w:t>a</w:t>
            </w:r>
          </w:p>
        </w:tc>
        <w:tc>
          <w:tcPr>
            <w:tcW w:w="0" w:type="auto"/>
            <w:tcBorders>
              <w:top w:val="single" w:sz="4" w:space="0" w:color="auto"/>
              <w:left w:val="single" w:sz="4" w:space="0" w:color="auto"/>
              <w:bottom w:val="single" w:sz="4" w:space="0" w:color="auto"/>
              <w:right w:val="single" w:sz="4" w:space="0" w:color="auto"/>
            </w:tcBorders>
            <w:shd w:val="clear" w:color="000000" w:fill="FBBCBF"/>
            <w:noWrap/>
            <w:hideMark/>
          </w:tcPr>
          <w:p w14:paraId="0A8A2B0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41,2%</w:t>
            </w:r>
          </w:p>
        </w:tc>
        <w:tc>
          <w:tcPr>
            <w:tcW w:w="0" w:type="auto"/>
            <w:tcBorders>
              <w:top w:val="single" w:sz="4" w:space="0" w:color="auto"/>
              <w:left w:val="single" w:sz="4" w:space="0" w:color="auto"/>
              <w:bottom w:val="single" w:sz="4" w:space="0" w:color="auto"/>
              <w:right w:val="single" w:sz="4" w:space="0" w:color="auto"/>
            </w:tcBorders>
            <w:shd w:val="clear" w:color="000000" w:fill="FBB6B8"/>
            <w:noWrap/>
            <w:hideMark/>
          </w:tcPr>
          <w:p w14:paraId="71A1CDD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43,0%</w:t>
            </w:r>
          </w:p>
        </w:tc>
        <w:tc>
          <w:tcPr>
            <w:tcW w:w="0" w:type="auto"/>
            <w:tcBorders>
              <w:top w:val="single" w:sz="4" w:space="0" w:color="auto"/>
              <w:left w:val="single" w:sz="4" w:space="0" w:color="auto"/>
              <w:bottom w:val="single" w:sz="4" w:space="0" w:color="auto"/>
              <w:right w:val="single" w:sz="4" w:space="0" w:color="auto"/>
            </w:tcBorders>
            <w:shd w:val="clear" w:color="000000" w:fill="FBC2C5"/>
            <w:noWrap/>
            <w:hideMark/>
          </w:tcPr>
          <w:p w14:paraId="6762753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39,6%</w:t>
            </w:r>
          </w:p>
        </w:tc>
        <w:tc>
          <w:tcPr>
            <w:tcW w:w="0" w:type="auto"/>
            <w:tcBorders>
              <w:top w:val="single" w:sz="4" w:space="0" w:color="auto"/>
              <w:left w:val="single" w:sz="4" w:space="0" w:color="auto"/>
              <w:bottom w:val="single" w:sz="4" w:space="0" w:color="auto"/>
              <w:right w:val="single" w:sz="4" w:space="0" w:color="auto"/>
            </w:tcBorders>
            <w:shd w:val="clear" w:color="000000" w:fill="FBBEC1"/>
            <w:noWrap/>
            <w:hideMark/>
          </w:tcPr>
          <w:p w14:paraId="47379D2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40,6%</w:t>
            </w:r>
          </w:p>
        </w:tc>
        <w:tc>
          <w:tcPr>
            <w:tcW w:w="0" w:type="auto"/>
            <w:tcBorders>
              <w:top w:val="single" w:sz="4" w:space="0" w:color="auto"/>
              <w:left w:val="single" w:sz="4" w:space="0" w:color="auto"/>
              <w:bottom w:val="single" w:sz="4" w:space="0" w:color="auto"/>
              <w:right w:val="single" w:sz="4" w:space="0" w:color="auto"/>
            </w:tcBorders>
            <w:shd w:val="clear" w:color="000000" w:fill="FBC0C2"/>
            <w:noWrap/>
            <w:hideMark/>
          </w:tcPr>
          <w:p w14:paraId="3B953A7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40,3%</w:t>
            </w:r>
          </w:p>
        </w:tc>
        <w:tc>
          <w:tcPr>
            <w:tcW w:w="0" w:type="auto"/>
            <w:tcBorders>
              <w:top w:val="single" w:sz="4" w:space="0" w:color="auto"/>
              <w:left w:val="single" w:sz="4" w:space="0" w:color="auto"/>
              <w:bottom w:val="single" w:sz="4" w:space="0" w:color="auto"/>
              <w:right w:val="single" w:sz="4" w:space="0" w:color="auto"/>
            </w:tcBorders>
            <w:shd w:val="clear" w:color="000000" w:fill="FBB4B7"/>
            <w:noWrap/>
            <w:hideMark/>
          </w:tcPr>
          <w:p w14:paraId="66F0916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43,5%</w:t>
            </w:r>
          </w:p>
        </w:tc>
        <w:tc>
          <w:tcPr>
            <w:tcW w:w="0" w:type="auto"/>
            <w:tcBorders>
              <w:top w:val="single" w:sz="4" w:space="0" w:color="auto"/>
              <w:left w:val="single" w:sz="4" w:space="0" w:color="auto"/>
              <w:bottom w:val="single" w:sz="4" w:space="0" w:color="auto"/>
              <w:right w:val="single" w:sz="4" w:space="0" w:color="auto"/>
            </w:tcBorders>
            <w:shd w:val="clear" w:color="000000" w:fill="FAB1B3"/>
            <w:noWrap/>
            <w:hideMark/>
          </w:tcPr>
          <w:p w14:paraId="3607737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44,4%</w:t>
            </w:r>
          </w:p>
        </w:tc>
        <w:tc>
          <w:tcPr>
            <w:tcW w:w="0" w:type="auto"/>
            <w:tcBorders>
              <w:top w:val="single" w:sz="4" w:space="0" w:color="auto"/>
              <w:left w:val="single" w:sz="4" w:space="0" w:color="auto"/>
              <w:bottom w:val="single" w:sz="4" w:space="0" w:color="auto"/>
              <w:right w:val="single" w:sz="4" w:space="0" w:color="auto"/>
            </w:tcBorders>
            <w:shd w:val="clear" w:color="000000" w:fill="FBBEC1"/>
            <w:noWrap/>
            <w:hideMark/>
          </w:tcPr>
          <w:p w14:paraId="56E55B8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40,6%</w:t>
            </w:r>
          </w:p>
        </w:tc>
      </w:tr>
      <w:tr w:rsidR="007175FE" w:rsidRPr="00FC11DE" w14:paraId="1D8DEB87"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391DB6"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Zlepšení životního prostředí</w:t>
            </w:r>
          </w:p>
        </w:tc>
        <w:tc>
          <w:tcPr>
            <w:tcW w:w="0" w:type="auto"/>
            <w:tcBorders>
              <w:top w:val="single" w:sz="4" w:space="0" w:color="auto"/>
              <w:left w:val="single" w:sz="4" w:space="0" w:color="auto"/>
              <w:bottom w:val="single" w:sz="4" w:space="0" w:color="auto"/>
              <w:right w:val="single" w:sz="4" w:space="0" w:color="auto"/>
            </w:tcBorders>
            <w:shd w:val="clear" w:color="000000" w:fill="FCE3E6"/>
            <w:noWrap/>
            <w:hideMark/>
          </w:tcPr>
          <w:p w14:paraId="6635B22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30,7%</w:t>
            </w:r>
          </w:p>
        </w:tc>
        <w:tc>
          <w:tcPr>
            <w:tcW w:w="0" w:type="auto"/>
            <w:tcBorders>
              <w:top w:val="single" w:sz="4" w:space="0" w:color="auto"/>
              <w:left w:val="single" w:sz="4" w:space="0" w:color="auto"/>
              <w:bottom w:val="single" w:sz="4" w:space="0" w:color="auto"/>
              <w:right w:val="single" w:sz="4" w:space="0" w:color="auto"/>
            </w:tcBorders>
            <w:shd w:val="clear" w:color="000000" w:fill="FCECEF"/>
            <w:noWrap/>
            <w:hideMark/>
          </w:tcPr>
          <w:p w14:paraId="350120E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28,2%</w:t>
            </w:r>
          </w:p>
        </w:tc>
        <w:tc>
          <w:tcPr>
            <w:tcW w:w="0" w:type="auto"/>
            <w:tcBorders>
              <w:top w:val="single" w:sz="4" w:space="0" w:color="auto"/>
              <w:left w:val="single" w:sz="4" w:space="0" w:color="auto"/>
              <w:bottom w:val="single" w:sz="4" w:space="0" w:color="auto"/>
              <w:right w:val="single" w:sz="4" w:space="0" w:color="auto"/>
            </w:tcBorders>
            <w:shd w:val="clear" w:color="000000" w:fill="FCDBDE"/>
            <w:noWrap/>
            <w:hideMark/>
          </w:tcPr>
          <w:p w14:paraId="0758B68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32,9%</w:t>
            </w:r>
          </w:p>
        </w:tc>
        <w:tc>
          <w:tcPr>
            <w:tcW w:w="0" w:type="auto"/>
            <w:tcBorders>
              <w:top w:val="single" w:sz="4" w:space="0" w:color="auto"/>
              <w:left w:val="single" w:sz="4" w:space="0" w:color="auto"/>
              <w:bottom w:val="single" w:sz="4" w:space="0" w:color="auto"/>
              <w:right w:val="single" w:sz="4" w:space="0" w:color="auto"/>
            </w:tcBorders>
            <w:shd w:val="clear" w:color="000000" w:fill="FCE2E4"/>
            <w:noWrap/>
            <w:hideMark/>
          </w:tcPr>
          <w:p w14:paraId="715F4D1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31,0%</w:t>
            </w:r>
          </w:p>
        </w:tc>
        <w:tc>
          <w:tcPr>
            <w:tcW w:w="0" w:type="auto"/>
            <w:tcBorders>
              <w:top w:val="single" w:sz="4" w:space="0" w:color="auto"/>
              <w:left w:val="single" w:sz="4" w:space="0" w:color="auto"/>
              <w:bottom w:val="single" w:sz="4" w:space="0" w:color="auto"/>
              <w:right w:val="single" w:sz="4" w:space="0" w:color="auto"/>
            </w:tcBorders>
            <w:shd w:val="clear" w:color="000000" w:fill="FCEDF0"/>
            <w:noWrap/>
            <w:hideMark/>
          </w:tcPr>
          <w:p w14:paraId="701DEC82"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27,7%</w:t>
            </w:r>
          </w:p>
        </w:tc>
        <w:tc>
          <w:tcPr>
            <w:tcW w:w="0" w:type="auto"/>
            <w:tcBorders>
              <w:top w:val="single" w:sz="4" w:space="0" w:color="auto"/>
              <w:left w:val="single" w:sz="4" w:space="0" w:color="auto"/>
              <w:bottom w:val="single" w:sz="4" w:space="0" w:color="auto"/>
              <w:right w:val="single" w:sz="4" w:space="0" w:color="auto"/>
            </w:tcBorders>
            <w:shd w:val="clear" w:color="000000" w:fill="FBD0D3"/>
            <w:noWrap/>
            <w:hideMark/>
          </w:tcPr>
          <w:p w14:paraId="4707200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35,7%</w:t>
            </w:r>
          </w:p>
        </w:tc>
        <w:tc>
          <w:tcPr>
            <w:tcW w:w="0" w:type="auto"/>
            <w:tcBorders>
              <w:top w:val="single" w:sz="4" w:space="0" w:color="auto"/>
              <w:left w:val="single" w:sz="4" w:space="0" w:color="auto"/>
              <w:bottom w:val="single" w:sz="4" w:space="0" w:color="auto"/>
              <w:right w:val="single" w:sz="4" w:space="0" w:color="auto"/>
            </w:tcBorders>
            <w:shd w:val="clear" w:color="000000" w:fill="FCDFE1"/>
            <w:noWrap/>
            <w:hideMark/>
          </w:tcPr>
          <w:p w14:paraId="7765710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31,8%</w:t>
            </w:r>
          </w:p>
        </w:tc>
        <w:tc>
          <w:tcPr>
            <w:tcW w:w="0" w:type="auto"/>
            <w:tcBorders>
              <w:top w:val="single" w:sz="4" w:space="0" w:color="auto"/>
              <w:left w:val="single" w:sz="4" w:space="0" w:color="auto"/>
              <w:bottom w:val="single" w:sz="4" w:space="0" w:color="auto"/>
              <w:right w:val="single" w:sz="4" w:space="0" w:color="auto"/>
            </w:tcBorders>
            <w:shd w:val="clear" w:color="000000" w:fill="FCDFE2"/>
            <w:noWrap/>
            <w:hideMark/>
          </w:tcPr>
          <w:p w14:paraId="09AF1A3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31,8%</w:t>
            </w:r>
          </w:p>
        </w:tc>
      </w:tr>
      <w:tr w:rsidR="007175FE" w:rsidRPr="00FC11DE" w14:paraId="67534212"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916651"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Rozvoj sociálních služeb</w:t>
            </w:r>
          </w:p>
        </w:tc>
        <w:tc>
          <w:tcPr>
            <w:tcW w:w="0" w:type="auto"/>
            <w:tcBorders>
              <w:top w:val="single" w:sz="4" w:space="0" w:color="auto"/>
              <w:left w:val="single" w:sz="4" w:space="0" w:color="auto"/>
              <w:bottom w:val="single" w:sz="4" w:space="0" w:color="auto"/>
              <w:right w:val="single" w:sz="4" w:space="0" w:color="auto"/>
            </w:tcBorders>
            <w:shd w:val="clear" w:color="000000" w:fill="FCE3E6"/>
            <w:noWrap/>
            <w:hideMark/>
          </w:tcPr>
          <w:p w14:paraId="2D0F2E2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30,6%</w:t>
            </w:r>
          </w:p>
        </w:tc>
        <w:tc>
          <w:tcPr>
            <w:tcW w:w="0" w:type="auto"/>
            <w:tcBorders>
              <w:top w:val="single" w:sz="4" w:space="0" w:color="auto"/>
              <w:left w:val="single" w:sz="4" w:space="0" w:color="auto"/>
              <w:bottom w:val="single" w:sz="4" w:space="0" w:color="auto"/>
              <w:right w:val="single" w:sz="4" w:space="0" w:color="auto"/>
            </w:tcBorders>
            <w:shd w:val="clear" w:color="000000" w:fill="FCF7F9"/>
            <w:noWrap/>
            <w:hideMark/>
          </w:tcPr>
          <w:p w14:paraId="3A6B851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25,3%</w:t>
            </w:r>
          </w:p>
        </w:tc>
        <w:tc>
          <w:tcPr>
            <w:tcW w:w="0" w:type="auto"/>
            <w:tcBorders>
              <w:top w:val="single" w:sz="4" w:space="0" w:color="auto"/>
              <w:left w:val="single" w:sz="4" w:space="0" w:color="auto"/>
              <w:bottom w:val="single" w:sz="4" w:space="0" w:color="auto"/>
              <w:right w:val="single" w:sz="4" w:space="0" w:color="auto"/>
            </w:tcBorders>
            <w:shd w:val="clear" w:color="000000" w:fill="FBD2D4"/>
            <w:noWrap/>
            <w:hideMark/>
          </w:tcPr>
          <w:p w14:paraId="49DE5A5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35,4%</w:t>
            </w:r>
          </w:p>
        </w:tc>
        <w:tc>
          <w:tcPr>
            <w:tcW w:w="0" w:type="auto"/>
            <w:tcBorders>
              <w:top w:val="single" w:sz="4" w:space="0" w:color="auto"/>
              <w:left w:val="single" w:sz="4" w:space="0" w:color="auto"/>
              <w:bottom w:val="single" w:sz="4" w:space="0" w:color="auto"/>
              <w:right w:val="single" w:sz="4" w:space="0" w:color="auto"/>
            </w:tcBorders>
            <w:shd w:val="clear" w:color="000000" w:fill="B3C9E5"/>
            <w:noWrap/>
            <w:hideMark/>
          </w:tcPr>
          <w:p w14:paraId="723B926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14,6%</w:t>
            </w:r>
          </w:p>
        </w:tc>
        <w:tc>
          <w:tcPr>
            <w:tcW w:w="0" w:type="auto"/>
            <w:tcBorders>
              <w:top w:val="single" w:sz="4" w:space="0" w:color="auto"/>
              <w:left w:val="single" w:sz="4" w:space="0" w:color="auto"/>
              <w:bottom w:val="single" w:sz="4" w:space="0" w:color="auto"/>
              <w:right w:val="single" w:sz="4" w:space="0" w:color="auto"/>
            </w:tcBorders>
            <w:shd w:val="clear" w:color="000000" w:fill="FCEEF1"/>
            <w:noWrap/>
            <w:hideMark/>
          </w:tcPr>
          <w:p w14:paraId="726CE72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27,6%</w:t>
            </w:r>
          </w:p>
        </w:tc>
        <w:tc>
          <w:tcPr>
            <w:tcW w:w="0" w:type="auto"/>
            <w:tcBorders>
              <w:top w:val="single" w:sz="4" w:space="0" w:color="auto"/>
              <w:left w:val="single" w:sz="4" w:space="0" w:color="auto"/>
              <w:bottom w:val="single" w:sz="4" w:space="0" w:color="auto"/>
              <w:right w:val="single" w:sz="4" w:space="0" w:color="auto"/>
            </w:tcBorders>
            <w:shd w:val="clear" w:color="000000" w:fill="FA9B9E"/>
            <w:noWrap/>
            <w:hideMark/>
          </w:tcPr>
          <w:p w14:paraId="56ED1D6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50,3%</w:t>
            </w:r>
          </w:p>
        </w:tc>
        <w:tc>
          <w:tcPr>
            <w:tcW w:w="0" w:type="auto"/>
            <w:tcBorders>
              <w:top w:val="single" w:sz="4" w:space="0" w:color="auto"/>
              <w:left w:val="single" w:sz="4" w:space="0" w:color="auto"/>
              <w:bottom w:val="single" w:sz="4" w:space="0" w:color="auto"/>
              <w:right w:val="single" w:sz="4" w:space="0" w:color="auto"/>
            </w:tcBorders>
            <w:shd w:val="clear" w:color="000000" w:fill="A6C0E1"/>
            <w:noWrap/>
            <w:hideMark/>
          </w:tcPr>
          <w:p w14:paraId="618F09C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13,0%</w:t>
            </w:r>
          </w:p>
        </w:tc>
        <w:tc>
          <w:tcPr>
            <w:tcW w:w="0" w:type="auto"/>
            <w:tcBorders>
              <w:top w:val="single" w:sz="4" w:space="0" w:color="auto"/>
              <w:left w:val="single" w:sz="4" w:space="0" w:color="auto"/>
              <w:bottom w:val="single" w:sz="4" w:space="0" w:color="auto"/>
              <w:right w:val="single" w:sz="4" w:space="0" w:color="auto"/>
            </w:tcBorders>
            <w:shd w:val="clear" w:color="000000" w:fill="C4D4EB"/>
            <w:noWrap/>
            <w:hideMark/>
          </w:tcPr>
          <w:p w14:paraId="477825E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16,7%</w:t>
            </w:r>
          </w:p>
        </w:tc>
      </w:tr>
      <w:tr w:rsidR="007175FE" w:rsidRPr="00FC11DE" w14:paraId="6258767A"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1A91FF"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Rozvoj možností pro volný čas</w:t>
            </w:r>
          </w:p>
        </w:tc>
        <w:tc>
          <w:tcPr>
            <w:tcW w:w="0" w:type="auto"/>
            <w:tcBorders>
              <w:top w:val="single" w:sz="4" w:space="0" w:color="auto"/>
              <w:left w:val="single" w:sz="4" w:space="0" w:color="auto"/>
              <w:bottom w:val="single" w:sz="4" w:space="0" w:color="auto"/>
              <w:right w:val="single" w:sz="4" w:space="0" w:color="auto"/>
            </w:tcBorders>
            <w:shd w:val="clear" w:color="000000" w:fill="FCFBFE"/>
            <w:noWrap/>
            <w:hideMark/>
          </w:tcPr>
          <w:p w14:paraId="165F94D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24,1%</w:t>
            </w:r>
          </w:p>
        </w:tc>
        <w:tc>
          <w:tcPr>
            <w:tcW w:w="0" w:type="auto"/>
            <w:tcBorders>
              <w:top w:val="single" w:sz="4" w:space="0" w:color="auto"/>
              <w:left w:val="single" w:sz="4" w:space="0" w:color="auto"/>
              <w:bottom w:val="single" w:sz="4" w:space="0" w:color="auto"/>
              <w:right w:val="single" w:sz="4" w:space="0" w:color="auto"/>
            </w:tcBorders>
            <w:shd w:val="clear" w:color="000000" w:fill="F6F8FD"/>
            <w:noWrap/>
            <w:hideMark/>
          </w:tcPr>
          <w:p w14:paraId="6BDEC91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23,0%</w:t>
            </w:r>
          </w:p>
        </w:tc>
        <w:tc>
          <w:tcPr>
            <w:tcW w:w="0" w:type="auto"/>
            <w:tcBorders>
              <w:top w:val="single" w:sz="4" w:space="0" w:color="auto"/>
              <w:left w:val="single" w:sz="4" w:space="0" w:color="auto"/>
              <w:bottom w:val="single" w:sz="4" w:space="0" w:color="auto"/>
              <w:right w:val="single" w:sz="4" w:space="0" w:color="auto"/>
            </w:tcBorders>
            <w:shd w:val="clear" w:color="000000" w:fill="FCF7FA"/>
            <w:noWrap/>
            <w:hideMark/>
          </w:tcPr>
          <w:p w14:paraId="5CD5414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25,0%</w:t>
            </w:r>
          </w:p>
        </w:tc>
        <w:tc>
          <w:tcPr>
            <w:tcW w:w="0" w:type="auto"/>
            <w:tcBorders>
              <w:top w:val="single" w:sz="4" w:space="0" w:color="auto"/>
              <w:left w:val="single" w:sz="4" w:space="0" w:color="auto"/>
              <w:bottom w:val="single" w:sz="4" w:space="0" w:color="auto"/>
              <w:right w:val="single" w:sz="4" w:space="0" w:color="auto"/>
            </w:tcBorders>
            <w:shd w:val="clear" w:color="000000" w:fill="FCDDE0"/>
            <w:noWrap/>
            <w:hideMark/>
          </w:tcPr>
          <w:p w14:paraId="7C36A04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32,2%</w:t>
            </w:r>
          </w:p>
        </w:tc>
        <w:tc>
          <w:tcPr>
            <w:tcW w:w="0" w:type="auto"/>
            <w:tcBorders>
              <w:top w:val="single" w:sz="4" w:space="0" w:color="auto"/>
              <w:left w:val="single" w:sz="4" w:space="0" w:color="auto"/>
              <w:bottom w:val="single" w:sz="4" w:space="0" w:color="auto"/>
              <w:right w:val="single" w:sz="4" w:space="0" w:color="auto"/>
            </w:tcBorders>
            <w:shd w:val="clear" w:color="000000" w:fill="FCF4F6"/>
            <w:noWrap/>
            <w:hideMark/>
          </w:tcPr>
          <w:p w14:paraId="56B0A3C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26,1%</w:t>
            </w:r>
          </w:p>
        </w:tc>
        <w:tc>
          <w:tcPr>
            <w:tcW w:w="0" w:type="auto"/>
            <w:tcBorders>
              <w:top w:val="single" w:sz="4" w:space="0" w:color="auto"/>
              <w:left w:val="single" w:sz="4" w:space="0" w:color="auto"/>
              <w:bottom w:val="single" w:sz="4" w:space="0" w:color="auto"/>
              <w:right w:val="single" w:sz="4" w:space="0" w:color="auto"/>
            </w:tcBorders>
            <w:shd w:val="clear" w:color="000000" w:fill="A7C0E1"/>
            <w:noWrap/>
            <w:hideMark/>
          </w:tcPr>
          <w:p w14:paraId="5188FD2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13,1%</w:t>
            </w:r>
          </w:p>
        </w:tc>
        <w:tc>
          <w:tcPr>
            <w:tcW w:w="0" w:type="auto"/>
            <w:tcBorders>
              <w:top w:val="single" w:sz="4" w:space="0" w:color="auto"/>
              <w:left w:val="single" w:sz="4" w:space="0" w:color="auto"/>
              <w:bottom w:val="single" w:sz="4" w:space="0" w:color="auto"/>
              <w:right w:val="single" w:sz="4" w:space="0" w:color="auto"/>
            </w:tcBorders>
            <w:shd w:val="clear" w:color="000000" w:fill="FCE3E6"/>
            <w:noWrap/>
            <w:hideMark/>
          </w:tcPr>
          <w:p w14:paraId="0F64FA3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30,5%</w:t>
            </w:r>
          </w:p>
        </w:tc>
        <w:tc>
          <w:tcPr>
            <w:tcW w:w="0" w:type="auto"/>
            <w:tcBorders>
              <w:top w:val="single" w:sz="4" w:space="0" w:color="auto"/>
              <w:left w:val="single" w:sz="4" w:space="0" w:color="auto"/>
              <w:bottom w:val="single" w:sz="4" w:space="0" w:color="auto"/>
              <w:right w:val="single" w:sz="4" w:space="0" w:color="auto"/>
            </w:tcBorders>
            <w:shd w:val="clear" w:color="000000" w:fill="FCE1E4"/>
            <w:noWrap/>
            <w:hideMark/>
          </w:tcPr>
          <w:p w14:paraId="2FE0E90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31,3%</w:t>
            </w:r>
          </w:p>
        </w:tc>
      </w:tr>
      <w:tr w:rsidR="007175FE" w:rsidRPr="00FC11DE" w14:paraId="6C9BD52A"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C6045A"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Větší počet kulturních aktivit</w:t>
            </w:r>
          </w:p>
        </w:tc>
        <w:tc>
          <w:tcPr>
            <w:tcW w:w="0" w:type="auto"/>
            <w:tcBorders>
              <w:top w:val="single" w:sz="4" w:space="0" w:color="auto"/>
              <w:left w:val="single" w:sz="4" w:space="0" w:color="auto"/>
              <w:bottom w:val="single" w:sz="4" w:space="0" w:color="auto"/>
              <w:right w:val="single" w:sz="4" w:space="0" w:color="auto"/>
            </w:tcBorders>
            <w:shd w:val="clear" w:color="000000" w:fill="E6EDF7"/>
            <w:noWrap/>
            <w:hideMark/>
          </w:tcPr>
          <w:p w14:paraId="25A1EF5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21,0%</w:t>
            </w:r>
          </w:p>
        </w:tc>
        <w:tc>
          <w:tcPr>
            <w:tcW w:w="0" w:type="auto"/>
            <w:tcBorders>
              <w:top w:val="single" w:sz="4" w:space="0" w:color="auto"/>
              <w:left w:val="single" w:sz="4" w:space="0" w:color="auto"/>
              <w:bottom w:val="single" w:sz="4" w:space="0" w:color="auto"/>
              <w:right w:val="single" w:sz="4" w:space="0" w:color="auto"/>
            </w:tcBorders>
            <w:shd w:val="clear" w:color="000000" w:fill="C4D5EB"/>
            <w:noWrap/>
            <w:hideMark/>
          </w:tcPr>
          <w:p w14:paraId="50671C1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16,7%</w:t>
            </w:r>
          </w:p>
        </w:tc>
        <w:tc>
          <w:tcPr>
            <w:tcW w:w="0" w:type="auto"/>
            <w:tcBorders>
              <w:top w:val="single" w:sz="4" w:space="0" w:color="auto"/>
              <w:left w:val="single" w:sz="4" w:space="0" w:color="auto"/>
              <w:bottom w:val="single" w:sz="4" w:space="0" w:color="auto"/>
              <w:right w:val="single" w:sz="4" w:space="0" w:color="auto"/>
            </w:tcBorders>
            <w:shd w:val="clear" w:color="000000" w:fill="FCF8FB"/>
            <w:noWrap/>
            <w:hideMark/>
          </w:tcPr>
          <w:p w14:paraId="1EAD8F8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24,8%</w:t>
            </w:r>
          </w:p>
        </w:tc>
        <w:tc>
          <w:tcPr>
            <w:tcW w:w="0" w:type="auto"/>
            <w:tcBorders>
              <w:top w:val="single" w:sz="4" w:space="0" w:color="auto"/>
              <w:left w:val="single" w:sz="4" w:space="0" w:color="auto"/>
              <w:bottom w:val="single" w:sz="4" w:space="0" w:color="auto"/>
              <w:right w:val="single" w:sz="4" w:space="0" w:color="auto"/>
            </w:tcBorders>
            <w:shd w:val="clear" w:color="000000" w:fill="FCE8EB"/>
            <w:noWrap/>
            <w:hideMark/>
          </w:tcPr>
          <w:p w14:paraId="0366DF9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29,2%</w:t>
            </w:r>
          </w:p>
        </w:tc>
        <w:tc>
          <w:tcPr>
            <w:tcW w:w="0" w:type="auto"/>
            <w:tcBorders>
              <w:top w:val="single" w:sz="4" w:space="0" w:color="auto"/>
              <w:left w:val="single" w:sz="4" w:space="0" w:color="auto"/>
              <w:bottom w:val="single" w:sz="4" w:space="0" w:color="auto"/>
              <w:right w:val="single" w:sz="4" w:space="0" w:color="auto"/>
            </w:tcBorders>
            <w:shd w:val="clear" w:color="000000" w:fill="EEF2FA"/>
            <w:noWrap/>
            <w:hideMark/>
          </w:tcPr>
          <w:p w14:paraId="1C9D7A2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22,0%</w:t>
            </w:r>
          </w:p>
        </w:tc>
        <w:tc>
          <w:tcPr>
            <w:tcW w:w="0" w:type="auto"/>
            <w:tcBorders>
              <w:top w:val="single" w:sz="4" w:space="0" w:color="auto"/>
              <w:left w:val="single" w:sz="4" w:space="0" w:color="auto"/>
              <w:bottom w:val="single" w:sz="4" w:space="0" w:color="auto"/>
              <w:right w:val="single" w:sz="4" w:space="0" w:color="auto"/>
            </w:tcBorders>
            <w:shd w:val="clear" w:color="000000" w:fill="9DB9DD"/>
            <w:noWrap/>
            <w:hideMark/>
          </w:tcPr>
          <w:p w14:paraId="606313A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11,9%</w:t>
            </w:r>
          </w:p>
        </w:tc>
        <w:tc>
          <w:tcPr>
            <w:tcW w:w="0" w:type="auto"/>
            <w:tcBorders>
              <w:top w:val="single" w:sz="4" w:space="0" w:color="auto"/>
              <w:left w:val="single" w:sz="4" w:space="0" w:color="auto"/>
              <w:bottom w:val="single" w:sz="4" w:space="0" w:color="auto"/>
              <w:right w:val="single" w:sz="4" w:space="0" w:color="auto"/>
            </w:tcBorders>
            <w:shd w:val="clear" w:color="000000" w:fill="FBBCBF"/>
            <w:noWrap/>
            <w:hideMark/>
          </w:tcPr>
          <w:p w14:paraId="53F5314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41,3%</w:t>
            </w:r>
          </w:p>
        </w:tc>
        <w:tc>
          <w:tcPr>
            <w:tcW w:w="0" w:type="auto"/>
            <w:tcBorders>
              <w:top w:val="single" w:sz="4" w:space="0" w:color="auto"/>
              <w:left w:val="single" w:sz="4" w:space="0" w:color="auto"/>
              <w:bottom w:val="single" w:sz="4" w:space="0" w:color="auto"/>
              <w:right w:val="single" w:sz="4" w:space="0" w:color="auto"/>
            </w:tcBorders>
            <w:shd w:val="clear" w:color="000000" w:fill="FBD5D8"/>
            <w:noWrap/>
            <w:hideMark/>
          </w:tcPr>
          <w:p w14:paraId="00703B3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34,4%</w:t>
            </w:r>
          </w:p>
        </w:tc>
      </w:tr>
      <w:tr w:rsidR="007175FE" w:rsidRPr="00FC11DE" w14:paraId="572DB638"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4D8A98"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Zvýšení bezpečnosti</w:t>
            </w:r>
          </w:p>
        </w:tc>
        <w:tc>
          <w:tcPr>
            <w:tcW w:w="0" w:type="auto"/>
            <w:tcBorders>
              <w:top w:val="single" w:sz="4" w:space="0" w:color="auto"/>
              <w:left w:val="single" w:sz="4" w:space="0" w:color="auto"/>
              <w:bottom w:val="single" w:sz="4" w:space="0" w:color="auto"/>
              <w:right w:val="single" w:sz="4" w:space="0" w:color="auto"/>
            </w:tcBorders>
            <w:shd w:val="clear" w:color="000000" w:fill="D9E3F2"/>
            <w:noWrap/>
            <w:hideMark/>
          </w:tcPr>
          <w:p w14:paraId="06CAC29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19,3%</w:t>
            </w:r>
          </w:p>
        </w:tc>
        <w:tc>
          <w:tcPr>
            <w:tcW w:w="0" w:type="auto"/>
            <w:tcBorders>
              <w:top w:val="single" w:sz="4" w:space="0" w:color="auto"/>
              <w:left w:val="single" w:sz="4" w:space="0" w:color="auto"/>
              <w:bottom w:val="single" w:sz="4" w:space="0" w:color="auto"/>
              <w:right w:val="single" w:sz="4" w:space="0" w:color="auto"/>
            </w:tcBorders>
            <w:shd w:val="clear" w:color="000000" w:fill="C7D6EC"/>
            <w:noWrap/>
            <w:hideMark/>
          </w:tcPr>
          <w:p w14:paraId="2B98A8E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17,0%</w:t>
            </w:r>
          </w:p>
        </w:tc>
        <w:tc>
          <w:tcPr>
            <w:tcW w:w="0" w:type="auto"/>
            <w:tcBorders>
              <w:top w:val="single" w:sz="4" w:space="0" w:color="auto"/>
              <w:left w:val="single" w:sz="4" w:space="0" w:color="auto"/>
              <w:bottom w:val="single" w:sz="4" w:space="0" w:color="auto"/>
              <w:right w:val="single" w:sz="4" w:space="0" w:color="auto"/>
            </w:tcBorders>
            <w:shd w:val="clear" w:color="000000" w:fill="EAEFF8"/>
            <w:noWrap/>
            <w:hideMark/>
          </w:tcPr>
          <w:p w14:paraId="1A944B4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21,4%</w:t>
            </w:r>
          </w:p>
        </w:tc>
        <w:tc>
          <w:tcPr>
            <w:tcW w:w="0" w:type="auto"/>
            <w:tcBorders>
              <w:top w:val="single" w:sz="4" w:space="0" w:color="auto"/>
              <w:left w:val="single" w:sz="4" w:space="0" w:color="auto"/>
              <w:bottom w:val="single" w:sz="4" w:space="0" w:color="auto"/>
              <w:right w:val="single" w:sz="4" w:space="0" w:color="auto"/>
            </w:tcBorders>
            <w:shd w:val="clear" w:color="000000" w:fill="B4C9E5"/>
            <w:noWrap/>
            <w:hideMark/>
          </w:tcPr>
          <w:p w14:paraId="4619E1A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14,6%</w:t>
            </w:r>
          </w:p>
        </w:tc>
        <w:tc>
          <w:tcPr>
            <w:tcW w:w="0" w:type="auto"/>
            <w:tcBorders>
              <w:top w:val="single" w:sz="4" w:space="0" w:color="auto"/>
              <w:left w:val="single" w:sz="4" w:space="0" w:color="auto"/>
              <w:bottom w:val="single" w:sz="4" w:space="0" w:color="auto"/>
              <w:right w:val="single" w:sz="4" w:space="0" w:color="auto"/>
            </w:tcBorders>
            <w:shd w:val="clear" w:color="000000" w:fill="C3D4EB"/>
            <w:noWrap/>
            <w:hideMark/>
          </w:tcPr>
          <w:p w14:paraId="69F38ABA"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16,5%</w:t>
            </w:r>
          </w:p>
        </w:tc>
        <w:tc>
          <w:tcPr>
            <w:tcW w:w="0" w:type="auto"/>
            <w:tcBorders>
              <w:top w:val="single" w:sz="4" w:space="0" w:color="auto"/>
              <w:left w:val="single" w:sz="4" w:space="0" w:color="auto"/>
              <w:bottom w:val="single" w:sz="4" w:space="0" w:color="auto"/>
              <w:right w:val="single" w:sz="4" w:space="0" w:color="auto"/>
            </w:tcBorders>
            <w:shd w:val="clear" w:color="000000" w:fill="FCEBED"/>
            <w:noWrap/>
            <w:hideMark/>
          </w:tcPr>
          <w:p w14:paraId="3F1DFC74"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28,5%</w:t>
            </w:r>
          </w:p>
        </w:tc>
        <w:tc>
          <w:tcPr>
            <w:tcW w:w="0" w:type="auto"/>
            <w:tcBorders>
              <w:top w:val="single" w:sz="4" w:space="0" w:color="auto"/>
              <w:left w:val="single" w:sz="4" w:space="0" w:color="auto"/>
              <w:bottom w:val="single" w:sz="4" w:space="0" w:color="auto"/>
              <w:right w:val="single" w:sz="4" w:space="0" w:color="auto"/>
            </w:tcBorders>
            <w:shd w:val="clear" w:color="000000" w:fill="CEDBEE"/>
            <w:noWrap/>
            <w:hideMark/>
          </w:tcPr>
          <w:p w14:paraId="7C6AC3C8"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17,9%</w:t>
            </w:r>
          </w:p>
        </w:tc>
        <w:tc>
          <w:tcPr>
            <w:tcW w:w="0" w:type="auto"/>
            <w:tcBorders>
              <w:top w:val="single" w:sz="4" w:space="0" w:color="auto"/>
              <w:left w:val="single" w:sz="4" w:space="0" w:color="auto"/>
              <w:bottom w:val="single" w:sz="4" w:space="0" w:color="auto"/>
              <w:right w:val="single" w:sz="4" w:space="0" w:color="auto"/>
            </w:tcBorders>
            <w:shd w:val="clear" w:color="000000" w:fill="DDE6F4"/>
            <w:noWrap/>
            <w:hideMark/>
          </w:tcPr>
          <w:p w14:paraId="26E5C11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19,8%</w:t>
            </w:r>
          </w:p>
        </w:tc>
      </w:tr>
      <w:tr w:rsidR="007175FE" w:rsidRPr="00FC11DE" w14:paraId="56FF50A8"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B46FE4"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Rozvoj školství</w:t>
            </w:r>
          </w:p>
        </w:tc>
        <w:tc>
          <w:tcPr>
            <w:tcW w:w="0" w:type="auto"/>
            <w:tcBorders>
              <w:top w:val="single" w:sz="4" w:space="0" w:color="auto"/>
              <w:left w:val="single" w:sz="4" w:space="0" w:color="auto"/>
              <w:bottom w:val="single" w:sz="4" w:space="0" w:color="auto"/>
              <w:right w:val="single" w:sz="4" w:space="0" w:color="auto"/>
            </w:tcBorders>
            <w:shd w:val="clear" w:color="000000" w:fill="D9E3F2"/>
            <w:noWrap/>
            <w:hideMark/>
          </w:tcPr>
          <w:p w14:paraId="183546BC"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19,3%</w:t>
            </w:r>
          </w:p>
        </w:tc>
        <w:tc>
          <w:tcPr>
            <w:tcW w:w="0" w:type="auto"/>
            <w:tcBorders>
              <w:top w:val="single" w:sz="4" w:space="0" w:color="auto"/>
              <w:left w:val="single" w:sz="4" w:space="0" w:color="auto"/>
              <w:bottom w:val="single" w:sz="4" w:space="0" w:color="auto"/>
              <w:right w:val="single" w:sz="4" w:space="0" w:color="auto"/>
            </w:tcBorders>
            <w:shd w:val="clear" w:color="000000" w:fill="DFE7F4"/>
            <w:noWrap/>
            <w:hideMark/>
          </w:tcPr>
          <w:p w14:paraId="4EE76A05"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20,0%</w:t>
            </w:r>
          </w:p>
        </w:tc>
        <w:tc>
          <w:tcPr>
            <w:tcW w:w="0" w:type="auto"/>
            <w:tcBorders>
              <w:top w:val="single" w:sz="4" w:space="0" w:color="auto"/>
              <w:left w:val="single" w:sz="4" w:space="0" w:color="auto"/>
              <w:bottom w:val="single" w:sz="4" w:space="0" w:color="auto"/>
              <w:right w:val="single" w:sz="4" w:space="0" w:color="auto"/>
            </w:tcBorders>
            <w:shd w:val="clear" w:color="000000" w:fill="D4DFF0"/>
            <w:noWrap/>
            <w:hideMark/>
          </w:tcPr>
          <w:p w14:paraId="1EDB25D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18,7%</w:t>
            </w:r>
          </w:p>
        </w:tc>
        <w:tc>
          <w:tcPr>
            <w:tcW w:w="0" w:type="auto"/>
            <w:tcBorders>
              <w:top w:val="single" w:sz="4" w:space="0" w:color="auto"/>
              <w:left w:val="single" w:sz="4" w:space="0" w:color="auto"/>
              <w:bottom w:val="single" w:sz="4" w:space="0" w:color="auto"/>
              <w:right w:val="single" w:sz="4" w:space="0" w:color="auto"/>
            </w:tcBorders>
            <w:shd w:val="clear" w:color="000000" w:fill="F8F9FD"/>
            <w:noWrap/>
            <w:hideMark/>
          </w:tcPr>
          <w:p w14:paraId="5847BC1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23,2%</w:t>
            </w:r>
          </w:p>
        </w:tc>
        <w:tc>
          <w:tcPr>
            <w:tcW w:w="0" w:type="auto"/>
            <w:tcBorders>
              <w:top w:val="single" w:sz="4" w:space="0" w:color="auto"/>
              <w:left w:val="single" w:sz="4" w:space="0" w:color="auto"/>
              <w:bottom w:val="single" w:sz="4" w:space="0" w:color="auto"/>
              <w:right w:val="single" w:sz="4" w:space="0" w:color="auto"/>
            </w:tcBorders>
            <w:shd w:val="clear" w:color="000000" w:fill="EFF3FA"/>
            <w:noWrap/>
            <w:hideMark/>
          </w:tcPr>
          <w:p w14:paraId="53088CE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22,1%</w:t>
            </w:r>
          </w:p>
        </w:tc>
        <w:tc>
          <w:tcPr>
            <w:tcW w:w="0" w:type="auto"/>
            <w:tcBorders>
              <w:top w:val="single" w:sz="4" w:space="0" w:color="auto"/>
              <w:left w:val="single" w:sz="4" w:space="0" w:color="auto"/>
              <w:bottom w:val="single" w:sz="4" w:space="0" w:color="auto"/>
              <w:right w:val="single" w:sz="4" w:space="0" w:color="auto"/>
            </w:tcBorders>
            <w:shd w:val="clear" w:color="000000" w:fill="94B3DA"/>
            <w:noWrap/>
            <w:hideMark/>
          </w:tcPr>
          <w:p w14:paraId="0A12A17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10,7%</w:t>
            </w:r>
          </w:p>
        </w:tc>
        <w:tc>
          <w:tcPr>
            <w:tcW w:w="0" w:type="auto"/>
            <w:tcBorders>
              <w:top w:val="single" w:sz="4" w:space="0" w:color="auto"/>
              <w:left w:val="single" w:sz="4" w:space="0" w:color="auto"/>
              <w:bottom w:val="single" w:sz="4" w:space="0" w:color="auto"/>
              <w:right w:val="single" w:sz="4" w:space="0" w:color="auto"/>
            </w:tcBorders>
            <w:shd w:val="clear" w:color="000000" w:fill="BCCFE8"/>
            <w:noWrap/>
            <w:hideMark/>
          </w:tcPr>
          <w:p w14:paraId="07C8E50B"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15,7%</w:t>
            </w:r>
          </w:p>
        </w:tc>
        <w:tc>
          <w:tcPr>
            <w:tcW w:w="0" w:type="auto"/>
            <w:tcBorders>
              <w:top w:val="single" w:sz="4" w:space="0" w:color="auto"/>
              <w:left w:val="single" w:sz="4" w:space="0" w:color="auto"/>
              <w:bottom w:val="single" w:sz="4" w:space="0" w:color="auto"/>
              <w:right w:val="single" w:sz="4" w:space="0" w:color="auto"/>
            </w:tcBorders>
            <w:shd w:val="clear" w:color="000000" w:fill="E1E9F5"/>
            <w:noWrap/>
            <w:hideMark/>
          </w:tcPr>
          <w:p w14:paraId="41077AD0"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20,3%</w:t>
            </w:r>
          </w:p>
        </w:tc>
      </w:tr>
      <w:tr w:rsidR="007175FE" w:rsidRPr="00FC11DE" w14:paraId="296F9E88"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C627BB"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Rozvoj cestovního ruchu</w:t>
            </w:r>
          </w:p>
        </w:tc>
        <w:tc>
          <w:tcPr>
            <w:tcW w:w="0" w:type="auto"/>
            <w:tcBorders>
              <w:top w:val="single" w:sz="4" w:space="0" w:color="auto"/>
              <w:left w:val="single" w:sz="4" w:space="0" w:color="auto"/>
              <w:bottom w:val="single" w:sz="4" w:space="0" w:color="auto"/>
              <w:right w:val="single" w:sz="4" w:space="0" w:color="auto"/>
            </w:tcBorders>
            <w:shd w:val="clear" w:color="000000" w:fill="93B2DA"/>
            <w:noWrap/>
            <w:hideMark/>
          </w:tcPr>
          <w:p w14:paraId="1BEEFD96"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10,6%</w:t>
            </w:r>
          </w:p>
        </w:tc>
        <w:tc>
          <w:tcPr>
            <w:tcW w:w="0" w:type="auto"/>
            <w:tcBorders>
              <w:top w:val="single" w:sz="4" w:space="0" w:color="auto"/>
              <w:left w:val="single" w:sz="4" w:space="0" w:color="auto"/>
              <w:bottom w:val="single" w:sz="4" w:space="0" w:color="auto"/>
              <w:right w:val="single" w:sz="4" w:space="0" w:color="auto"/>
            </w:tcBorders>
            <w:shd w:val="clear" w:color="000000" w:fill="95B4DB"/>
            <w:noWrap/>
            <w:hideMark/>
          </w:tcPr>
          <w:p w14:paraId="3A83365D"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10,9%</w:t>
            </w:r>
          </w:p>
        </w:tc>
        <w:tc>
          <w:tcPr>
            <w:tcW w:w="0" w:type="auto"/>
            <w:tcBorders>
              <w:top w:val="single" w:sz="4" w:space="0" w:color="auto"/>
              <w:left w:val="single" w:sz="4" w:space="0" w:color="auto"/>
              <w:bottom w:val="single" w:sz="4" w:space="0" w:color="auto"/>
              <w:right w:val="single" w:sz="4" w:space="0" w:color="auto"/>
            </w:tcBorders>
            <w:shd w:val="clear" w:color="000000" w:fill="91B0D9"/>
            <w:noWrap/>
            <w:hideMark/>
          </w:tcPr>
          <w:p w14:paraId="56C96394"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10,3%</w:t>
            </w:r>
          </w:p>
        </w:tc>
        <w:tc>
          <w:tcPr>
            <w:tcW w:w="0" w:type="auto"/>
            <w:tcBorders>
              <w:top w:val="single" w:sz="4" w:space="0" w:color="auto"/>
              <w:left w:val="single" w:sz="4" w:space="0" w:color="auto"/>
              <w:bottom w:val="single" w:sz="4" w:space="0" w:color="auto"/>
              <w:right w:val="single" w:sz="4" w:space="0" w:color="auto"/>
            </w:tcBorders>
            <w:shd w:val="clear" w:color="000000" w:fill="B0C6E4"/>
            <w:noWrap/>
            <w:hideMark/>
          </w:tcPr>
          <w:p w14:paraId="06FDFDC9"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14,2%</w:t>
            </w:r>
          </w:p>
        </w:tc>
        <w:tc>
          <w:tcPr>
            <w:tcW w:w="0" w:type="auto"/>
            <w:tcBorders>
              <w:top w:val="single" w:sz="4" w:space="0" w:color="auto"/>
              <w:left w:val="single" w:sz="4" w:space="0" w:color="auto"/>
              <w:bottom w:val="single" w:sz="4" w:space="0" w:color="auto"/>
              <w:right w:val="single" w:sz="4" w:space="0" w:color="auto"/>
            </w:tcBorders>
            <w:shd w:val="clear" w:color="000000" w:fill="8BACD7"/>
            <w:noWrap/>
            <w:hideMark/>
          </w:tcPr>
          <w:p w14:paraId="58FDB36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9,6%</w:t>
            </w:r>
          </w:p>
        </w:tc>
        <w:tc>
          <w:tcPr>
            <w:tcW w:w="0" w:type="auto"/>
            <w:tcBorders>
              <w:top w:val="single" w:sz="4" w:space="0" w:color="auto"/>
              <w:left w:val="single" w:sz="4" w:space="0" w:color="auto"/>
              <w:bottom w:val="single" w:sz="4" w:space="0" w:color="auto"/>
              <w:right w:val="single" w:sz="4" w:space="0" w:color="auto"/>
            </w:tcBorders>
            <w:shd w:val="clear" w:color="000000" w:fill="88AAD6"/>
            <w:noWrap/>
            <w:hideMark/>
          </w:tcPr>
          <w:p w14:paraId="17D856C7"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9,2%</w:t>
            </w:r>
          </w:p>
        </w:tc>
        <w:tc>
          <w:tcPr>
            <w:tcW w:w="0" w:type="auto"/>
            <w:tcBorders>
              <w:top w:val="single" w:sz="4" w:space="0" w:color="auto"/>
              <w:left w:val="single" w:sz="4" w:space="0" w:color="auto"/>
              <w:bottom w:val="single" w:sz="4" w:space="0" w:color="auto"/>
              <w:right w:val="single" w:sz="4" w:space="0" w:color="auto"/>
            </w:tcBorders>
            <w:shd w:val="clear" w:color="000000" w:fill="AEC5E3"/>
            <w:noWrap/>
            <w:hideMark/>
          </w:tcPr>
          <w:p w14:paraId="6185DA65"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13,9%</w:t>
            </w:r>
          </w:p>
        </w:tc>
        <w:tc>
          <w:tcPr>
            <w:tcW w:w="0" w:type="auto"/>
            <w:tcBorders>
              <w:top w:val="single" w:sz="4" w:space="0" w:color="auto"/>
              <w:left w:val="single" w:sz="4" w:space="0" w:color="auto"/>
              <w:bottom w:val="single" w:sz="4" w:space="0" w:color="auto"/>
              <w:right w:val="single" w:sz="4" w:space="0" w:color="auto"/>
            </w:tcBorders>
            <w:shd w:val="clear" w:color="000000" w:fill="AFC6E4"/>
            <w:noWrap/>
            <w:hideMark/>
          </w:tcPr>
          <w:p w14:paraId="6718472E"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14,1%</w:t>
            </w:r>
          </w:p>
        </w:tc>
      </w:tr>
      <w:tr w:rsidR="007175FE" w:rsidRPr="00FC11DE" w14:paraId="11D4E664" w14:textId="77777777" w:rsidTr="000C49A5">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2193AF" w14:textId="77777777" w:rsidR="007175FE" w:rsidRPr="00FC11DE" w:rsidRDefault="007175FE" w:rsidP="000C49A5">
            <w:pPr>
              <w:keepNext/>
              <w:rPr>
                <w:rFonts w:ascii="Calibri" w:eastAsia="Times New Roman" w:hAnsi="Calibri" w:cs="Calibri"/>
                <w:color w:val="000000"/>
                <w:sz w:val="18"/>
                <w:szCs w:val="18"/>
                <w:lang w:eastAsia="cs-CZ"/>
              </w:rPr>
            </w:pPr>
            <w:r w:rsidRPr="00FC11DE">
              <w:rPr>
                <w:rFonts w:ascii="Calibri" w:eastAsia="Times New Roman" w:hAnsi="Calibri" w:cs="Calibri"/>
                <w:color w:val="000000"/>
                <w:sz w:val="18"/>
                <w:szCs w:val="18"/>
                <w:lang w:eastAsia="cs-CZ"/>
              </w:rPr>
              <w:t>Větší počet sportovních aktivit</w:t>
            </w:r>
          </w:p>
        </w:tc>
        <w:tc>
          <w:tcPr>
            <w:tcW w:w="0" w:type="auto"/>
            <w:tcBorders>
              <w:top w:val="single" w:sz="4" w:space="0" w:color="auto"/>
              <w:left w:val="single" w:sz="4" w:space="0" w:color="auto"/>
              <w:bottom w:val="single" w:sz="4" w:space="0" w:color="auto"/>
              <w:right w:val="single" w:sz="4" w:space="0" w:color="auto"/>
            </w:tcBorders>
            <w:shd w:val="clear" w:color="000000" w:fill="82A6D4"/>
            <w:noWrap/>
            <w:hideMark/>
          </w:tcPr>
          <w:p w14:paraId="352B76F8"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8,4%</w:t>
            </w:r>
          </w:p>
        </w:tc>
        <w:tc>
          <w:tcPr>
            <w:tcW w:w="0" w:type="auto"/>
            <w:tcBorders>
              <w:top w:val="single" w:sz="4" w:space="0" w:color="auto"/>
              <w:left w:val="single" w:sz="4" w:space="0" w:color="auto"/>
              <w:bottom w:val="single" w:sz="4" w:space="0" w:color="auto"/>
              <w:right w:val="single" w:sz="4" w:space="0" w:color="auto"/>
            </w:tcBorders>
            <w:shd w:val="clear" w:color="000000" w:fill="82A6D4"/>
            <w:noWrap/>
            <w:hideMark/>
          </w:tcPr>
          <w:p w14:paraId="5F7FCC2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8,4%</w:t>
            </w:r>
          </w:p>
        </w:tc>
        <w:tc>
          <w:tcPr>
            <w:tcW w:w="0" w:type="auto"/>
            <w:tcBorders>
              <w:top w:val="single" w:sz="4" w:space="0" w:color="auto"/>
              <w:left w:val="single" w:sz="4" w:space="0" w:color="auto"/>
              <w:bottom w:val="single" w:sz="4" w:space="0" w:color="auto"/>
              <w:right w:val="single" w:sz="4" w:space="0" w:color="auto"/>
            </w:tcBorders>
            <w:shd w:val="clear" w:color="000000" w:fill="82A6D4"/>
            <w:noWrap/>
            <w:hideMark/>
          </w:tcPr>
          <w:p w14:paraId="44C6E521"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8,5%</w:t>
            </w:r>
          </w:p>
        </w:tc>
        <w:tc>
          <w:tcPr>
            <w:tcW w:w="0" w:type="auto"/>
            <w:tcBorders>
              <w:top w:val="single" w:sz="4" w:space="0" w:color="auto"/>
              <w:left w:val="single" w:sz="4" w:space="0" w:color="auto"/>
              <w:bottom w:val="single" w:sz="4" w:space="0" w:color="auto"/>
              <w:right w:val="single" w:sz="4" w:space="0" w:color="auto"/>
            </w:tcBorders>
            <w:shd w:val="clear" w:color="000000" w:fill="A7C0E1"/>
            <w:noWrap/>
            <w:hideMark/>
          </w:tcPr>
          <w:p w14:paraId="1D510658"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13,1%</w:t>
            </w:r>
          </w:p>
        </w:tc>
        <w:tc>
          <w:tcPr>
            <w:tcW w:w="0" w:type="auto"/>
            <w:tcBorders>
              <w:top w:val="single" w:sz="4" w:space="0" w:color="auto"/>
              <w:left w:val="single" w:sz="4" w:space="0" w:color="auto"/>
              <w:bottom w:val="single" w:sz="4" w:space="0" w:color="auto"/>
              <w:right w:val="single" w:sz="4" w:space="0" w:color="auto"/>
            </w:tcBorders>
            <w:shd w:val="clear" w:color="000000" w:fill="86A9D5"/>
            <w:noWrap/>
            <w:hideMark/>
          </w:tcPr>
          <w:p w14:paraId="486D324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9,0%</w:t>
            </w:r>
          </w:p>
        </w:tc>
        <w:tc>
          <w:tcPr>
            <w:tcW w:w="0" w:type="auto"/>
            <w:tcBorders>
              <w:top w:val="single" w:sz="4" w:space="0" w:color="auto"/>
              <w:left w:val="single" w:sz="4" w:space="0" w:color="auto"/>
              <w:bottom w:val="single" w:sz="4" w:space="0" w:color="auto"/>
              <w:right w:val="single" w:sz="4" w:space="0" w:color="auto"/>
            </w:tcBorders>
            <w:shd w:val="clear" w:color="000000" w:fill="5A8AC6"/>
            <w:noWrap/>
            <w:hideMark/>
          </w:tcPr>
          <w:p w14:paraId="202E1B72"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3,4%</w:t>
            </w:r>
          </w:p>
        </w:tc>
        <w:tc>
          <w:tcPr>
            <w:tcW w:w="0" w:type="auto"/>
            <w:tcBorders>
              <w:top w:val="single" w:sz="4" w:space="0" w:color="auto"/>
              <w:left w:val="single" w:sz="4" w:space="0" w:color="auto"/>
              <w:bottom w:val="single" w:sz="4" w:space="0" w:color="auto"/>
              <w:right w:val="single" w:sz="4" w:space="0" w:color="auto"/>
            </w:tcBorders>
            <w:shd w:val="clear" w:color="000000" w:fill="9FBBDE"/>
            <w:noWrap/>
            <w:hideMark/>
          </w:tcPr>
          <w:p w14:paraId="23DF957F"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12,1%</w:t>
            </w:r>
          </w:p>
        </w:tc>
        <w:tc>
          <w:tcPr>
            <w:tcW w:w="0" w:type="auto"/>
            <w:tcBorders>
              <w:top w:val="single" w:sz="4" w:space="0" w:color="auto"/>
              <w:left w:val="single" w:sz="4" w:space="0" w:color="auto"/>
              <w:bottom w:val="single" w:sz="4" w:space="0" w:color="auto"/>
              <w:right w:val="single" w:sz="4" w:space="0" w:color="auto"/>
            </w:tcBorders>
            <w:shd w:val="clear" w:color="000000" w:fill="ABC3E2"/>
            <w:noWrap/>
            <w:hideMark/>
          </w:tcPr>
          <w:p w14:paraId="5376DBA3" w14:textId="77777777" w:rsidR="007175FE" w:rsidRPr="003D492B" w:rsidRDefault="007175FE" w:rsidP="000C49A5">
            <w:pPr>
              <w:keepNext/>
              <w:jc w:val="right"/>
              <w:rPr>
                <w:rFonts w:eastAsia="Times New Roman" w:cstheme="minorHAnsi"/>
                <w:color w:val="000000"/>
                <w:sz w:val="18"/>
                <w:szCs w:val="18"/>
                <w:lang w:eastAsia="cs-CZ"/>
              </w:rPr>
            </w:pPr>
            <w:r w:rsidRPr="003D492B">
              <w:rPr>
                <w:rFonts w:cstheme="minorHAnsi"/>
                <w:sz w:val="18"/>
                <w:szCs w:val="18"/>
              </w:rPr>
              <w:t>13,5%</w:t>
            </w:r>
          </w:p>
        </w:tc>
      </w:tr>
    </w:tbl>
    <w:p w14:paraId="2F974C91" w14:textId="1368CC19" w:rsidR="007175FE" w:rsidRPr="00DA7ABE" w:rsidRDefault="007175FE" w:rsidP="007175FE">
      <w:pPr>
        <w:pStyle w:val="zdroj0"/>
        <w:rPr>
          <w:rFonts w:asciiTheme="minorHAnsi" w:hAnsiTheme="minorHAnsi" w:cstheme="minorHAnsi"/>
        </w:rPr>
      </w:pPr>
      <w:r w:rsidRPr="00DA7ABE">
        <w:rPr>
          <w:rFonts w:asciiTheme="minorHAnsi" w:hAnsiTheme="minorHAnsi" w:cstheme="minorHAnsi"/>
        </w:rPr>
        <w:t>Zdroj: PROCES, Anketní šetření spokoj</w:t>
      </w:r>
      <w:r w:rsidR="00BE36CC">
        <w:rPr>
          <w:rFonts w:asciiTheme="minorHAnsi" w:hAnsiTheme="minorHAnsi" w:cstheme="minorHAnsi"/>
        </w:rPr>
        <w:t>enosti obyvatel města Zlín 2020;</w:t>
      </w:r>
      <w:r w:rsidRPr="00DA7ABE">
        <w:rPr>
          <w:rFonts w:asciiTheme="minorHAnsi" w:hAnsiTheme="minorHAnsi" w:cstheme="minorHAnsi"/>
        </w:rPr>
        <w:t xml:space="preserve"> Otázka 14.</w:t>
      </w:r>
      <w:r w:rsidR="00BE36CC">
        <w:rPr>
          <w:rFonts w:asciiTheme="minorHAnsi" w:hAnsiTheme="minorHAnsi" w:cstheme="minorHAnsi"/>
        </w:rPr>
        <w:t>:</w:t>
      </w:r>
      <w:r w:rsidRPr="00DA7ABE">
        <w:rPr>
          <w:rFonts w:asciiTheme="minorHAnsi" w:hAnsiTheme="minorHAnsi" w:cstheme="minorHAnsi"/>
        </w:rPr>
        <w:t xml:space="preserve"> Co by mělo město přednostně podporovat (</w:t>
      </w:r>
      <w:r w:rsidR="00BE36CC">
        <w:rPr>
          <w:rFonts w:asciiTheme="minorHAnsi" w:hAnsiTheme="minorHAnsi" w:cstheme="minorHAnsi"/>
        </w:rPr>
        <w:t>z</w:t>
      </w:r>
      <w:r w:rsidRPr="00DA7ABE">
        <w:rPr>
          <w:rFonts w:asciiTheme="minorHAnsi" w:hAnsiTheme="minorHAnsi" w:cstheme="minorHAnsi"/>
        </w:rPr>
        <w:t>aškrtněte maximálně 3 možnosti)</w:t>
      </w:r>
      <w:r w:rsidR="00BE36CC">
        <w:rPr>
          <w:rFonts w:asciiTheme="minorHAnsi" w:hAnsiTheme="minorHAnsi" w:cstheme="minorHAnsi"/>
        </w:rPr>
        <w:t>.</w:t>
      </w:r>
      <w:r w:rsidRPr="00DA7ABE">
        <w:rPr>
          <w:rFonts w:asciiTheme="minorHAnsi" w:hAnsiTheme="minorHAnsi" w:cstheme="minorHAnsi"/>
        </w:rPr>
        <w:br/>
        <w:t>Pozn.: Průměrné hodnocení na škále 0</w:t>
      </w:r>
      <w:r w:rsidR="00BE36CC">
        <w:rPr>
          <w:rFonts w:asciiTheme="minorHAnsi" w:hAnsiTheme="minorHAnsi" w:cstheme="minorHAnsi"/>
        </w:rPr>
        <w:t xml:space="preserve"> </w:t>
      </w:r>
      <w:r w:rsidR="00BE36CC">
        <w:rPr>
          <w:rFonts w:asciiTheme="minorHAnsi" w:hAnsiTheme="minorHAnsi" w:cstheme="minorHAnsi"/>
        </w:rPr>
        <w:sym w:font="Symbol" w:char="F02D"/>
      </w:r>
      <w:r w:rsidR="00BE36CC">
        <w:rPr>
          <w:rFonts w:asciiTheme="minorHAnsi" w:hAnsiTheme="minorHAnsi" w:cstheme="minorHAnsi"/>
        </w:rPr>
        <w:t xml:space="preserve"> </w:t>
      </w:r>
      <w:r w:rsidRPr="00DA7ABE">
        <w:rPr>
          <w:rFonts w:asciiTheme="minorHAnsi" w:hAnsiTheme="minorHAnsi" w:cstheme="minorHAnsi"/>
        </w:rPr>
        <w:t>100 (0 velmi nespokojen 100 velmi spokojen).</w:t>
      </w:r>
    </w:p>
    <w:p w14:paraId="5A612007" w14:textId="0267A70E" w:rsidR="007175FE" w:rsidRPr="00DA7ABE" w:rsidRDefault="007175FE" w:rsidP="007175FE">
      <w:pPr>
        <w:rPr>
          <w:rFonts w:cstheme="minorHAnsi"/>
        </w:rPr>
      </w:pPr>
      <w:r w:rsidRPr="00DA7ABE">
        <w:rPr>
          <w:rFonts w:cstheme="minorHAnsi"/>
        </w:rPr>
        <w:t>Respondenti měli dále možnost označit odpověď „jiné“. Níže v</w:t>
      </w:r>
      <w:r w:rsidR="0096730F">
        <w:rPr>
          <w:rFonts w:cstheme="minorHAnsi"/>
        </w:rPr>
        <w:t> </w:t>
      </w:r>
      <w:r w:rsidRPr="00DA7ABE">
        <w:rPr>
          <w:rFonts w:cstheme="minorHAnsi"/>
        </w:rPr>
        <w:t>tabulce</w:t>
      </w:r>
      <w:r w:rsidR="0096730F">
        <w:rPr>
          <w:rFonts w:cstheme="minorHAnsi"/>
        </w:rPr>
        <w:t xml:space="preserve"> 2.22</w:t>
      </w:r>
      <w:r w:rsidRPr="00DA7ABE">
        <w:rPr>
          <w:rFonts w:cstheme="minorHAnsi"/>
        </w:rPr>
        <w:t xml:space="preserve"> je seznam nejčastějších odpovědí. Víckrát byla zmiňována nutnost opravy ulice Slovenské, nejlépe bezhlučným povrchem, u</w:t>
      </w:r>
      <w:r w:rsidR="009875F8">
        <w:rPr>
          <w:rFonts w:cstheme="minorHAnsi"/>
        </w:rPr>
        <w:t> </w:t>
      </w:r>
      <w:r w:rsidRPr="00DA7ABE">
        <w:rPr>
          <w:rFonts w:cstheme="minorHAnsi"/>
        </w:rPr>
        <w:t>bezpečnosti cyklodopravy byly zmiňovány povinné zvonky. MHD by dle odpovědí mohla zlevnit a být rozšířena (Zbožensko, západ Mladcové...). Kromě parkovišť u obytných domů a v</w:t>
      </w:r>
      <w:r w:rsidR="009875F8">
        <w:rPr>
          <w:rFonts w:cstheme="minorHAnsi"/>
        </w:rPr>
        <w:t> </w:t>
      </w:r>
      <w:r w:rsidRPr="00DA7ABE">
        <w:rPr>
          <w:rFonts w:cstheme="minorHAnsi"/>
        </w:rPr>
        <w:t>centru</w:t>
      </w:r>
      <w:r w:rsidR="009875F8">
        <w:rPr>
          <w:rFonts w:cstheme="minorHAnsi"/>
        </w:rPr>
        <w:t>,</w:t>
      </w:r>
      <w:r w:rsidRPr="00DA7ABE">
        <w:rPr>
          <w:rFonts w:cstheme="minorHAnsi"/>
        </w:rPr>
        <w:t xml:space="preserve"> byla také žádost o záchytná parkoviště (P+R, K+R).</w:t>
      </w:r>
    </w:p>
    <w:p w14:paraId="5B16A613" w14:textId="09AD17B2" w:rsidR="007175FE" w:rsidRPr="00DA7ABE" w:rsidRDefault="007175FE" w:rsidP="007175FE">
      <w:pPr>
        <w:pStyle w:val="Titulek"/>
        <w:rPr>
          <w:rFonts w:cstheme="minorHAnsi"/>
        </w:rPr>
      </w:pPr>
      <w:bookmarkStart w:id="717" w:name="_Toc54702636"/>
      <w:bookmarkStart w:id="718" w:name="_Toc56179443"/>
      <w:bookmarkStart w:id="719" w:name="_Toc57731801"/>
      <w:bookmarkStart w:id="720" w:name="_Toc77074785"/>
      <w:r w:rsidRPr="00DA7ABE">
        <w:rPr>
          <w:rFonts w:cstheme="minorHAnsi"/>
        </w:rPr>
        <w:t xml:space="preserve">Tabulka </w:t>
      </w:r>
      <w:r w:rsidR="00DC277C">
        <w:rPr>
          <w:rFonts w:cstheme="minorHAnsi"/>
        </w:rPr>
        <w:fldChar w:fldCharType="begin"/>
      </w:r>
      <w:r w:rsidR="00DC277C">
        <w:rPr>
          <w:rFonts w:cstheme="minorHAnsi"/>
        </w:rPr>
        <w:instrText xml:space="preserve"> STYLEREF 1 \s </w:instrText>
      </w:r>
      <w:r w:rsidR="00DC277C">
        <w:rPr>
          <w:rFonts w:cstheme="minorHAnsi"/>
        </w:rPr>
        <w:fldChar w:fldCharType="separate"/>
      </w:r>
      <w:r w:rsidR="00332A29">
        <w:rPr>
          <w:rFonts w:cstheme="minorHAnsi"/>
          <w:noProof/>
        </w:rPr>
        <w:t>2</w:t>
      </w:r>
      <w:r w:rsidR="00DC277C">
        <w:rPr>
          <w:rFonts w:cstheme="minorHAnsi"/>
        </w:rPr>
        <w:fldChar w:fldCharType="end"/>
      </w:r>
      <w:r w:rsidR="00DC277C">
        <w:rPr>
          <w:rFonts w:cstheme="minorHAnsi"/>
        </w:rPr>
        <w:t>.</w:t>
      </w:r>
      <w:r w:rsidR="00DC277C">
        <w:rPr>
          <w:rFonts w:cstheme="minorHAnsi"/>
        </w:rPr>
        <w:fldChar w:fldCharType="begin"/>
      </w:r>
      <w:r w:rsidR="00DC277C">
        <w:rPr>
          <w:rFonts w:cstheme="minorHAnsi"/>
        </w:rPr>
        <w:instrText xml:space="preserve"> SEQ Tabulka \* ARABIC \s 1 </w:instrText>
      </w:r>
      <w:r w:rsidR="00DC277C">
        <w:rPr>
          <w:rFonts w:cstheme="minorHAnsi"/>
        </w:rPr>
        <w:fldChar w:fldCharType="separate"/>
      </w:r>
      <w:r w:rsidR="00332A29">
        <w:rPr>
          <w:rFonts w:cstheme="minorHAnsi"/>
          <w:noProof/>
        </w:rPr>
        <w:t>22</w:t>
      </w:r>
      <w:r w:rsidR="00DC277C">
        <w:rPr>
          <w:rFonts w:cstheme="minorHAnsi"/>
        </w:rPr>
        <w:fldChar w:fldCharType="end"/>
      </w:r>
      <w:r w:rsidR="009875F8">
        <w:rPr>
          <w:rFonts w:cstheme="minorHAnsi"/>
        </w:rPr>
        <w:t>:</w:t>
      </w:r>
      <w:r w:rsidRPr="00DA7ABE">
        <w:rPr>
          <w:rFonts w:cstheme="minorHAnsi"/>
        </w:rPr>
        <w:t xml:space="preserve"> Oblasti, které by mělo město dle respondentů přednostně podporovat (jiné)</w:t>
      </w:r>
      <w:bookmarkEnd w:id="717"/>
      <w:bookmarkEnd w:id="718"/>
      <w:bookmarkEnd w:id="719"/>
      <w:bookmarkEnd w:id="7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2463"/>
        <w:gridCol w:w="1223"/>
        <w:gridCol w:w="567"/>
        <w:gridCol w:w="2737"/>
        <w:gridCol w:w="1510"/>
      </w:tblGrid>
      <w:tr w:rsidR="007175FE" w:rsidRPr="00DA7ABE" w14:paraId="30282BEB" w14:textId="77777777" w:rsidTr="000C49A5">
        <w:trPr>
          <w:trHeight w:hRule="exact" w:val="284"/>
        </w:trPr>
        <w:tc>
          <w:tcPr>
            <w:tcW w:w="310" w:type="pct"/>
            <w:shd w:val="clear" w:color="auto" w:fill="F2F2F2" w:themeFill="background1" w:themeFillShade="F2"/>
            <w:noWrap/>
            <w:vAlign w:val="center"/>
          </w:tcPr>
          <w:p w14:paraId="0EEE1892" w14:textId="77777777" w:rsidR="007175FE" w:rsidRPr="00DA7ABE" w:rsidRDefault="007175FE" w:rsidP="007175FE">
            <w:pPr>
              <w:keepNext/>
              <w:spacing w:before="0"/>
              <w:rPr>
                <w:rFonts w:cstheme="minorHAnsi"/>
                <w:b/>
                <w:color w:val="000000"/>
                <w:sz w:val="18"/>
                <w:szCs w:val="18"/>
              </w:rPr>
            </w:pPr>
            <w:r w:rsidRPr="00BF7B16">
              <w:rPr>
                <w:rFonts w:cstheme="minorHAnsi"/>
                <w:b/>
                <w:bCs/>
                <w:color w:val="000000"/>
                <w:sz w:val="18"/>
                <w:szCs w:val="18"/>
              </w:rPr>
              <w:t>#</w:t>
            </w:r>
          </w:p>
        </w:tc>
        <w:tc>
          <w:tcPr>
            <w:tcW w:w="1359" w:type="pct"/>
            <w:shd w:val="clear" w:color="auto" w:fill="F2F2F2" w:themeFill="background1" w:themeFillShade="F2"/>
            <w:noWrap/>
            <w:vAlign w:val="center"/>
          </w:tcPr>
          <w:p w14:paraId="5F316191"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Co by mělo město podporovat</w:t>
            </w:r>
          </w:p>
        </w:tc>
        <w:tc>
          <w:tcPr>
            <w:tcW w:w="675" w:type="pct"/>
            <w:shd w:val="clear" w:color="auto" w:fill="F2F2F2" w:themeFill="background1" w:themeFillShade="F2"/>
            <w:noWrap/>
            <w:vAlign w:val="center"/>
          </w:tcPr>
          <w:p w14:paraId="0478F14A"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Četnost</w:t>
            </w:r>
          </w:p>
        </w:tc>
        <w:tc>
          <w:tcPr>
            <w:tcW w:w="313" w:type="pct"/>
            <w:shd w:val="clear" w:color="auto" w:fill="F2F2F2" w:themeFill="background1" w:themeFillShade="F2"/>
            <w:vAlign w:val="center"/>
          </w:tcPr>
          <w:p w14:paraId="2ECD4FCB" w14:textId="77777777" w:rsidR="007175FE" w:rsidRPr="00DA7ABE" w:rsidRDefault="007175FE" w:rsidP="007175FE">
            <w:pPr>
              <w:keepNext/>
              <w:spacing w:before="0"/>
              <w:rPr>
                <w:rFonts w:cstheme="minorHAnsi"/>
                <w:b/>
                <w:color w:val="000000"/>
                <w:sz w:val="18"/>
                <w:szCs w:val="18"/>
              </w:rPr>
            </w:pPr>
            <w:r w:rsidRPr="00BF7B16">
              <w:rPr>
                <w:rFonts w:cstheme="minorHAnsi"/>
                <w:b/>
                <w:bCs/>
                <w:color w:val="000000"/>
                <w:sz w:val="18"/>
                <w:szCs w:val="18"/>
              </w:rPr>
              <w:t>#</w:t>
            </w:r>
          </w:p>
        </w:tc>
        <w:tc>
          <w:tcPr>
            <w:tcW w:w="1510" w:type="pct"/>
            <w:shd w:val="clear" w:color="auto" w:fill="F2F2F2" w:themeFill="background1" w:themeFillShade="F2"/>
            <w:vAlign w:val="center"/>
          </w:tcPr>
          <w:p w14:paraId="157AE329"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Co by mělo město podporovat</w:t>
            </w:r>
          </w:p>
        </w:tc>
        <w:tc>
          <w:tcPr>
            <w:tcW w:w="833" w:type="pct"/>
            <w:shd w:val="clear" w:color="auto" w:fill="F2F2F2" w:themeFill="background1" w:themeFillShade="F2"/>
            <w:vAlign w:val="center"/>
          </w:tcPr>
          <w:p w14:paraId="26694927"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Četnost</w:t>
            </w:r>
          </w:p>
        </w:tc>
      </w:tr>
      <w:tr w:rsidR="007175FE" w:rsidRPr="00DA7ABE" w14:paraId="242655F4" w14:textId="77777777" w:rsidTr="000C49A5">
        <w:trPr>
          <w:trHeight w:hRule="exact" w:val="284"/>
        </w:trPr>
        <w:tc>
          <w:tcPr>
            <w:tcW w:w="310" w:type="pct"/>
            <w:shd w:val="clear" w:color="auto" w:fill="F2F2F2" w:themeFill="background1" w:themeFillShade="F2"/>
            <w:noWrap/>
            <w:vAlign w:val="bottom"/>
          </w:tcPr>
          <w:p w14:paraId="1029AC8B"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1</w:t>
            </w:r>
          </w:p>
        </w:tc>
        <w:tc>
          <w:tcPr>
            <w:tcW w:w="1359" w:type="pct"/>
            <w:shd w:val="clear" w:color="auto" w:fill="F2F2F2" w:themeFill="background1" w:themeFillShade="F2"/>
            <w:noWrap/>
            <w:vAlign w:val="bottom"/>
          </w:tcPr>
          <w:p w14:paraId="29CCFFA1"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Parkování</w:t>
            </w:r>
          </w:p>
        </w:tc>
        <w:tc>
          <w:tcPr>
            <w:tcW w:w="675" w:type="pct"/>
            <w:shd w:val="clear" w:color="auto" w:fill="auto"/>
            <w:noWrap/>
            <w:vAlign w:val="bottom"/>
          </w:tcPr>
          <w:p w14:paraId="387780A1"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14</w:t>
            </w:r>
          </w:p>
        </w:tc>
        <w:tc>
          <w:tcPr>
            <w:tcW w:w="313" w:type="pct"/>
            <w:shd w:val="clear" w:color="auto" w:fill="F2F2F2" w:themeFill="background1" w:themeFillShade="F2"/>
            <w:vAlign w:val="bottom"/>
          </w:tcPr>
          <w:p w14:paraId="5B8E82B8"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5</w:t>
            </w:r>
          </w:p>
        </w:tc>
        <w:tc>
          <w:tcPr>
            <w:tcW w:w="1510" w:type="pct"/>
            <w:shd w:val="clear" w:color="auto" w:fill="F2F2F2" w:themeFill="background1" w:themeFillShade="F2"/>
            <w:vAlign w:val="bottom"/>
          </w:tcPr>
          <w:p w14:paraId="0539ABB5"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Navazující cyklostezky</w:t>
            </w:r>
          </w:p>
        </w:tc>
        <w:tc>
          <w:tcPr>
            <w:tcW w:w="833" w:type="pct"/>
            <w:shd w:val="clear" w:color="auto" w:fill="auto"/>
            <w:vAlign w:val="bottom"/>
          </w:tcPr>
          <w:p w14:paraId="107CF096"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3</w:t>
            </w:r>
          </w:p>
        </w:tc>
      </w:tr>
      <w:tr w:rsidR="007175FE" w:rsidRPr="00DA7ABE" w14:paraId="09C9D2B8" w14:textId="77777777" w:rsidTr="000C49A5">
        <w:trPr>
          <w:trHeight w:hRule="exact" w:val="284"/>
        </w:trPr>
        <w:tc>
          <w:tcPr>
            <w:tcW w:w="310" w:type="pct"/>
            <w:shd w:val="clear" w:color="auto" w:fill="F2F2F2" w:themeFill="background1" w:themeFillShade="F2"/>
            <w:noWrap/>
            <w:vAlign w:val="bottom"/>
            <w:hideMark/>
          </w:tcPr>
          <w:p w14:paraId="6DBC329A"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2</w:t>
            </w:r>
          </w:p>
        </w:tc>
        <w:tc>
          <w:tcPr>
            <w:tcW w:w="1359" w:type="pct"/>
            <w:shd w:val="clear" w:color="auto" w:fill="F2F2F2" w:themeFill="background1" w:themeFillShade="F2"/>
            <w:noWrap/>
            <w:vAlign w:val="bottom"/>
            <w:hideMark/>
          </w:tcPr>
          <w:p w14:paraId="67EE2A4A"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Úpravy komunikací</w:t>
            </w:r>
          </w:p>
        </w:tc>
        <w:tc>
          <w:tcPr>
            <w:tcW w:w="675" w:type="pct"/>
            <w:shd w:val="clear" w:color="auto" w:fill="auto"/>
            <w:noWrap/>
            <w:vAlign w:val="bottom"/>
            <w:hideMark/>
          </w:tcPr>
          <w:p w14:paraId="36D94BE6"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12</w:t>
            </w:r>
          </w:p>
        </w:tc>
        <w:tc>
          <w:tcPr>
            <w:tcW w:w="313" w:type="pct"/>
            <w:shd w:val="clear" w:color="auto" w:fill="F2F2F2" w:themeFill="background1" w:themeFillShade="F2"/>
            <w:vAlign w:val="bottom"/>
          </w:tcPr>
          <w:p w14:paraId="4941896D"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5</w:t>
            </w:r>
          </w:p>
        </w:tc>
        <w:tc>
          <w:tcPr>
            <w:tcW w:w="1510" w:type="pct"/>
            <w:shd w:val="clear" w:color="auto" w:fill="F2F2F2" w:themeFill="background1" w:themeFillShade="F2"/>
            <w:vAlign w:val="bottom"/>
          </w:tcPr>
          <w:p w14:paraId="7241F063"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Nová nemocnice</w:t>
            </w:r>
          </w:p>
        </w:tc>
        <w:tc>
          <w:tcPr>
            <w:tcW w:w="833" w:type="pct"/>
            <w:shd w:val="clear" w:color="auto" w:fill="auto"/>
            <w:vAlign w:val="bottom"/>
          </w:tcPr>
          <w:p w14:paraId="66B00557"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3</w:t>
            </w:r>
          </w:p>
        </w:tc>
      </w:tr>
      <w:tr w:rsidR="007175FE" w:rsidRPr="00DA7ABE" w14:paraId="55E80DB1" w14:textId="77777777" w:rsidTr="000C49A5">
        <w:trPr>
          <w:trHeight w:hRule="exact" w:val="284"/>
        </w:trPr>
        <w:tc>
          <w:tcPr>
            <w:tcW w:w="310" w:type="pct"/>
            <w:shd w:val="clear" w:color="auto" w:fill="F2F2F2" w:themeFill="background1" w:themeFillShade="F2"/>
            <w:noWrap/>
            <w:vAlign w:val="bottom"/>
            <w:hideMark/>
          </w:tcPr>
          <w:p w14:paraId="1EA596D7"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3</w:t>
            </w:r>
          </w:p>
        </w:tc>
        <w:tc>
          <w:tcPr>
            <w:tcW w:w="1359" w:type="pct"/>
            <w:shd w:val="clear" w:color="auto" w:fill="F2F2F2" w:themeFill="background1" w:themeFillShade="F2"/>
            <w:noWrap/>
            <w:vAlign w:val="bottom"/>
            <w:hideMark/>
          </w:tcPr>
          <w:p w14:paraId="51988035"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Podpora, rozšíření MHD</w:t>
            </w:r>
          </w:p>
        </w:tc>
        <w:tc>
          <w:tcPr>
            <w:tcW w:w="675" w:type="pct"/>
            <w:shd w:val="clear" w:color="auto" w:fill="auto"/>
            <w:noWrap/>
            <w:vAlign w:val="bottom"/>
            <w:hideMark/>
          </w:tcPr>
          <w:p w14:paraId="627B63BE"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5</w:t>
            </w:r>
          </w:p>
        </w:tc>
        <w:tc>
          <w:tcPr>
            <w:tcW w:w="313" w:type="pct"/>
            <w:shd w:val="clear" w:color="auto" w:fill="F2F2F2" w:themeFill="background1" w:themeFillShade="F2"/>
            <w:vAlign w:val="bottom"/>
          </w:tcPr>
          <w:p w14:paraId="32AE5ED8"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5</w:t>
            </w:r>
          </w:p>
        </w:tc>
        <w:tc>
          <w:tcPr>
            <w:tcW w:w="1510" w:type="pct"/>
            <w:shd w:val="clear" w:color="auto" w:fill="F2F2F2" w:themeFill="background1" w:themeFillShade="F2"/>
            <w:vAlign w:val="bottom"/>
          </w:tcPr>
          <w:p w14:paraId="667950BE"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Reklama, image města</w:t>
            </w:r>
          </w:p>
        </w:tc>
        <w:tc>
          <w:tcPr>
            <w:tcW w:w="833" w:type="pct"/>
            <w:shd w:val="clear" w:color="auto" w:fill="auto"/>
            <w:vAlign w:val="bottom"/>
          </w:tcPr>
          <w:p w14:paraId="571B85C7"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3</w:t>
            </w:r>
          </w:p>
        </w:tc>
      </w:tr>
      <w:tr w:rsidR="007175FE" w:rsidRPr="00DA7ABE" w14:paraId="4C9DB75A" w14:textId="77777777" w:rsidTr="000C49A5">
        <w:trPr>
          <w:trHeight w:hRule="exact" w:val="284"/>
        </w:trPr>
        <w:tc>
          <w:tcPr>
            <w:tcW w:w="310" w:type="pct"/>
            <w:shd w:val="clear" w:color="auto" w:fill="F2F2F2" w:themeFill="background1" w:themeFillShade="F2"/>
            <w:noWrap/>
            <w:vAlign w:val="bottom"/>
            <w:hideMark/>
          </w:tcPr>
          <w:p w14:paraId="42621671"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3</w:t>
            </w:r>
          </w:p>
        </w:tc>
        <w:tc>
          <w:tcPr>
            <w:tcW w:w="1359" w:type="pct"/>
            <w:shd w:val="clear" w:color="auto" w:fill="F2F2F2" w:themeFill="background1" w:themeFillShade="F2"/>
            <w:noWrap/>
            <w:vAlign w:val="bottom"/>
            <w:hideMark/>
          </w:tcPr>
          <w:p w14:paraId="4803D068"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Nádraží</w:t>
            </w:r>
          </w:p>
        </w:tc>
        <w:tc>
          <w:tcPr>
            <w:tcW w:w="675" w:type="pct"/>
            <w:shd w:val="clear" w:color="auto" w:fill="auto"/>
            <w:noWrap/>
            <w:vAlign w:val="bottom"/>
            <w:hideMark/>
          </w:tcPr>
          <w:p w14:paraId="555EFA13"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5</w:t>
            </w:r>
          </w:p>
        </w:tc>
        <w:tc>
          <w:tcPr>
            <w:tcW w:w="313" w:type="pct"/>
            <w:shd w:val="clear" w:color="auto" w:fill="F2F2F2" w:themeFill="background1" w:themeFillShade="F2"/>
            <w:vAlign w:val="bottom"/>
          </w:tcPr>
          <w:p w14:paraId="37AC9201"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6</w:t>
            </w:r>
          </w:p>
        </w:tc>
        <w:tc>
          <w:tcPr>
            <w:tcW w:w="1510" w:type="pct"/>
            <w:shd w:val="clear" w:color="auto" w:fill="F2F2F2" w:themeFill="background1" w:themeFillShade="F2"/>
            <w:vAlign w:val="bottom"/>
          </w:tcPr>
          <w:p w14:paraId="726A07CD"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Oddělené cyklostezky, bezpečnost</w:t>
            </w:r>
          </w:p>
        </w:tc>
        <w:tc>
          <w:tcPr>
            <w:tcW w:w="833" w:type="pct"/>
            <w:shd w:val="clear" w:color="auto" w:fill="auto"/>
            <w:vAlign w:val="bottom"/>
          </w:tcPr>
          <w:p w14:paraId="68BA42B3"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2</w:t>
            </w:r>
          </w:p>
        </w:tc>
      </w:tr>
      <w:tr w:rsidR="007175FE" w:rsidRPr="00DA7ABE" w14:paraId="47D5FAB3" w14:textId="77777777" w:rsidTr="000C49A5">
        <w:trPr>
          <w:trHeight w:hRule="exact" w:val="284"/>
        </w:trPr>
        <w:tc>
          <w:tcPr>
            <w:tcW w:w="310" w:type="pct"/>
            <w:shd w:val="clear" w:color="auto" w:fill="F2F2F2" w:themeFill="background1" w:themeFillShade="F2"/>
            <w:noWrap/>
            <w:vAlign w:val="bottom"/>
            <w:hideMark/>
          </w:tcPr>
          <w:p w14:paraId="598FC7DE"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4</w:t>
            </w:r>
          </w:p>
        </w:tc>
        <w:tc>
          <w:tcPr>
            <w:tcW w:w="1359" w:type="pct"/>
            <w:shd w:val="clear" w:color="auto" w:fill="F2F2F2" w:themeFill="background1" w:themeFillShade="F2"/>
            <w:noWrap/>
            <w:vAlign w:val="bottom"/>
            <w:hideMark/>
          </w:tcPr>
          <w:p w14:paraId="7BF3771F" w14:textId="1E73B02E" w:rsidR="007175FE" w:rsidRPr="00DA7ABE" w:rsidRDefault="007175FE" w:rsidP="009875F8">
            <w:pPr>
              <w:keepNext/>
              <w:spacing w:before="0"/>
              <w:rPr>
                <w:rFonts w:cstheme="minorHAnsi"/>
                <w:b/>
                <w:color w:val="000000"/>
                <w:sz w:val="18"/>
                <w:szCs w:val="18"/>
              </w:rPr>
            </w:pPr>
            <w:r w:rsidRPr="00DA7ABE">
              <w:rPr>
                <w:rFonts w:cstheme="minorHAnsi"/>
                <w:b/>
                <w:color w:val="000000"/>
                <w:sz w:val="18"/>
                <w:szCs w:val="18"/>
              </w:rPr>
              <w:t>Prac</w:t>
            </w:r>
            <w:r w:rsidR="009875F8">
              <w:rPr>
                <w:rFonts w:cstheme="minorHAnsi"/>
                <w:b/>
                <w:color w:val="000000"/>
                <w:sz w:val="18"/>
                <w:szCs w:val="18"/>
              </w:rPr>
              <w:t xml:space="preserve">ovní </w:t>
            </w:r>
            <w:r w:rsidRPr="00DA7ABE">
              <w:rPr>
                <w:rFonts w:cstheme="minorHAnsi"/>
                <w:b/>
                <w:color w:val="000000"/>
                <w:sz w:val="18"/>
                <w:szCs w:val="18"/>
              </w:rPr>
              <w:t>příležitosti</w:t>
            </w:r>
          </w:p>
        </w:tc>
        <w:tc>
          <w:tcPr>
            <w:tcW w:w="675" w:type="pct"/>
            <w:shd w:val="clear" w:color="auto" w:fill="auto"/>
            <w:noWrap/>
            <w:vAlign w:val="bottom"/>
            <w:hideMark/>
          </w:tcPr>
          <w:p w14:paraId="462DDA8B"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4</w:t>
            </w:r>
          </w:p>
        </w:tc>
        <w:tc>
          <w:tcPr>
            <w:tcW w:w="313" w:type="pct"/>
            <w:shd w:val="clear" w:color="auto" w:fill="F2F2F2" w:themeFill="background1" w:themeFillShade="F2"/>
            <w:vAlign w:val="bottom"/>
          </w:tcPr>
          <w:p w14:paraId="6825F11E"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6</w:t>
            </w:r>
          </w:p>
        </w:tc>
        <w:tc>
          <w:tcPr>
            <w:tcW w:w="1510" w:type="pct"/>
            <w:shd w:val="clear" w:color="auto" w:fill="F2F2F2" w:themeFill="background1" w:themeFillShade="F2"/>
            <w:vAlign w:val="bottom"/>
          </w:tcPr>
          <w:p w14:paraId="129FF7F3"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Zlevnit</w:t>
            </w:r>
          </w:p>
        </w:tc>
        <w:tc>
          <w:tcPr>
            <w:tcW w:w="833" w:type="pct"/>
            <w:shd w:val="clear" w:color="auto" w:fill="auto"/>
            <w:vAlign w:val="bottom"/>
          </w:tcPr>
          <w:p w14:paraId="1DF7D5E9"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2</w:t>
            </w:r>
          </w:p>
        </w:tc>
      </w:tr>
      <w:tr w:rsidR="007175FE" w:rsidRPr="00DA7ABE" w14:paraId="0F5D803A" w14:textId="77777777" w:rsidTr="000C49A5">
        <w:trPr>
          <w:trHeight w:hRule="exact" w:val="284"/>
        </w:trPr>
        <w:tc>
          <w:tcPr>
            <w:tcW w:w="310" w:type="pct"/>
            <w:shd w:val="clear" w:color="auto" w:fill="F2F2F2" w:themeFill="background1" w:themeFillShade="F2"/>
            <w:noWrap/>
            <w:vAlign w:val="bottom"/>
            <w:hideMark/>
          </w:tcPr>
          <w:p w14:paraId="76FF8190"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4</w:t>
            </w:r>
          </w:p>
        </w:tc>
        <w:tc>
          <w:tcPr>
            <w:tcW w:w="1359" w:type="pct"/>
            <w:shd w:val="clear" w:color="auto" w:fill="F2F2F2" w:themeFill="background1" w:themeFillShade="F2"/>
            <w:noWrap/>
            <w:vAlign w:val="bottom"/>
            <w:hideMark/>
          </w:tcPr>
          <w:p w14:paraId="431A57AA"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Obchvat</w:t>
            </w:r>
          </w:p>
        </w:tc>
        <w:tc>
          <w:tcPr>
            <w:tcW w:w="675" w:type="pct"/>
            <w:shd w:val="clear" w:color="auto" w:fill="auto"/>
            <w:noWrap/>
            <w:vAlign w:val="bottom"/>
            <w:hideMark/>
          </w:tcPr>
          <w:p w14:paraId="64A1F364"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4</w:t>
            </w:r>
          </w:p>
        </w:tc>
        <w:tc>
          <w:tcPr>
            <w:tcW w:w="313" w:type="pct"/>
            <w:shd w:val="clear" w:color="auto" w:fill="F2F2F2" w:themeFill="background1" w:themeFillShade="F2"/>
            <w:vAlign w:val="bottom"/>
          </w:tcPr>
          <w:p w14:paraId="34032CFA"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6</w:t>
            </w:r>
          </w:p>
        </w:tc>
        <w:tc>
          <w:tcPr>
            <w:tcW w:w="1510" w:type="pct"/>
            <w:shd w:val="clear" w:color="auto" w:fill="F2F2F2" w:themeFill="background1" w:themeFillShade="F2"/>
            <w:vAlign w:val="bottom"/>
          </w:tcPr>
          <w:p w14:paraId="78E15101"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Výstavba domů (i povolení)</w:t>
            </w:r>
          </w:p>
        </w:tc>
        <w:tc>
          <w:tcPr>
            <w:tcW w:w="833" w:type="pct"/>
            <w:shd w:val="clear" w:color="auto" w:fill="auto"/>
            <w:vAlign w:val="bottom"/>
          </w:tcPr>
          <w:p w14:paraId="76ED7990"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2</w:t>
            </w:r>
          </w:p>
        </w:tc>
      </w:tr>
      <w:tr w:rsidR="007175FE" w:rsidRPr="00DA7ABE" w14:paraId="7F8C0ECA" w14:textId="77777777" w:rsidTr="000C49A5">
        <w:trPr>
          <w:trHeight w:hRule="exact" w:val="284"/>
        </w:trPr>
        <w:tc>
          <w:tcPr>
            <w:tcW w:w="310" w:type="pct"/>
            <w:shd w:val="clear" w:color="auto" w:fill="F2F2F2" w:themeFill="background1" w:themeFillShade="F2"/>
            <w:noWrap/>
            <w:vAlign w:val="bottom"/>
            <w:hideMark/>
          </w:tcPr>
          <w:p w14:paraId="110CEEBD"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5</w:t>
            </w:r>
          </w:p>
        </w:tc>
        <w:tc>
          <w:tcPr>
            <w:tcW w:w="1359" w:type="pct"/>
            <w:shd w:val="clear" w:color="auto" w:fill="F2F2F2" w:themeFill="background1" w:themeFillShade="F2"/>
            <w:noWrap/>
            <w:vAlign w:val="bottom"/>
            <w:hideMark/>
          </w:tcPr>
          <w:p w14:paraId="382F8EF2"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Zdravotnictví</w:t>
            </w:r>
          </w:p>
        </w:tc>
        <w:tc>
          <w:tcPr>
            <w:tcW w:w="675" w:type="pct"/>
            <w:shd w:val="clear" w:color="auto" w:fill="auto"/>
            <w:noWrap/>
            <w:vAlign w:val="bottom"/>
            <w:hideMark/>
          </w:tcPr>
          <w:p w14:paraId="138B9BEE"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3</w:t>
            </w:r>
          </w:p>
        </w:tc>
        <w:tc>
          <w:tcPr>
            <w:tcW w:w="313" w:type="pct"/>
            <w:shd w:val="clear" w:color="auto" w:fill="F2F2F2" w:themeFill="background1" w:themeFillShade="F2"/>
            <w:vAlign w:val="bottom"/>
          </w:tcPr>
          <w:p w14:paraId="6DE9ADE9"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6</w:t>
            </w:r>
          </w:p>
        </w:tc>
        <w:tc>
          <w:tcPr>
            <w:tcW w:w="1510" w:type="pct"/>
            <w:shd w:val="clear" w:color="auto" w:fill="F2F2F2" w:themeFill="background1" w:themeFillShade="F2"/>
            <w:vAlign w:val="bottom"/>
          </w:tcPr>
          <w:p w14:paraId="38C1A32E" w14:textId="77777777" w:rsidR="007175FE" w:rsidRPr="00DA7ABE" w:rsidRDefault="007175FE" w:rsidP="007175FE">
            <w:pPr>
              <w:keepNext/>
              <w:spacing w:before="0"/>
              <w:rPr>
                <w:rFonts w:cstheme="minorHAnsi"/>
                <w:b/>
                <w:color w:val="000000"/>
                <w:sz w:val="18"/>
                <w:szCs w:val="18"/>
              </w:rPr>
            </w:pPr>
            <w:r w:rsidRPr="00DA7ABE">
              <w:rPr>
                <w:rFonts w:cstheme="minorHAnsi"/>
                <w:b/>
                <w:color w:val="000000"/>
                <w:sz w:val="18"/>
                <w:szCs w:val="18"/>
              </w:rPr>
              <w:t>Spojení (Praha, Brno…)</w:t>
            </w:r>
          </w:p>
        </w:tc>
        <w:tc>
          <w:tcPr>
            <w:tcW w:w="833" w:type="pct"/>
            <w:shd w:val="clear" w:color="auto" w:fill="auto"/>
            <w:vAlign w:val="bottom"/>
          </w:tcPr>
          <w:p w14:paraId="779DE5F6" w14:textId="77777777" w:rsidR="007175FE" w:rsidRPr="00DA7ABE" w:rsidRDefault="007175FE" w:rsidP="007175FE">
            <w:pPr>
              <w:keepNext/>
              <w:spacing w:before="0"/>
              <w:rPr>
                <w:rFonts w:cstheme="minorHAnsi"/>
                <w:color w:val="000000"/>
                <w:sz w:val="18"/>
                <w:szCs w:val="18"/>
              </w:rPr>
            </w:pPr>
            <w:r w:rsidRPr="00DA7ABE">
              <w:rPr>
                <w:rFonts w:cstheme="minorHAnsi"/>
                <w:color w:val="000000"/>
                <w:sz w:val="18"/>
                <w:szCs w:val="18"/>
              </w:rPr>
              <w:t>2</w:t>
            </w:r>
          </w:p>
        </w:tc>
      </w:tr>
    </w:tbl>
    <w:p w14:paraId="3B206879" w14:textId="07F317A8" w:rsidR="007175FE" w:rsidRPr="00DA7ABE" w:rsidRDefault="007175FE" w:rsidP="007175FE">
      <w:pPr>
        <w:pStyle w:val="zdroj0"/>
        <w:jc w:val="both"/>
        <w:rPr>
          <w:rFonts w:asciiTheme="minorHAnsi" w:hAnsiTheme="minorHAnsi" w:cstheme="minorHAnsi"/>
        </w:rPr>
      </w:pPr>
      <w:r w:rsidRPr="00DA7ABE">
        <w:rPr>
          <w:rFonts w:asciiTheme="minorHAnsi" w:hAnsiTheme="minorHAnsi" w:cstheme="minorHAnsi"/>
        </w:rPr>
        <w:t>Zdroj: PROCES, Anketní šetření spokojenosti obyvatel města Zlín 2020</w:t>
      </w:r>
      <w:r w:rsidR="009875F8">
        <w:rPr>
          <w:rFonts w:asciiTheme="minorHAnsi" w:hAnsiTheme="minorHAnsi" w:cstheme="minorHAnsi"/>
        </w:rPr>
        <w:t>;</w:t>
      </w:r>
      <w:r w:rsidRPr="00DA7ABE">
        <w:rPr>
          <w:rFonts w:asciiTheme="minorHAnsi" w:hAnsiTheme="minorHAnsi" w:cstheme="minorHAnsi"/>
        </w:rPr>
        <w:t xml:space="preserve"> Otázka 14.</w:t>
      </w:r>
      <w:r w:rsidR="009875F8">
        <w:rPr>
          <w:rFonts w:asciiTheme="minorHAnsi" w:hAnsiTheme="minorHAnsi" w:cstheme="minorHAnsi"/>
        </w:rPr>
        <w:t>:</w:t>
      </w:r>
      <w:r w:rsidRPr="00DA7ABE">
        <w:rPr>
          <w:rFonts w:asciiTheme="minorHAnsi" w:hAnsiTheme="minorHAnsi" w:cstheme="minorHAnsi"/>
        </w:rPr>
        <w:t xml:space="preserve"> Co by mělo město přednostně podporovat</w:t>
      </w:r>
      <w:r w:rsidR="009875F8">
        <w:rPr>
          <w:rFonts w:asciiTheme="minorHAnsi" w:hAnsiTheme="minorHAnsi" w:cstheme="minorHAnsi"/>
        </w:rPr>
        <w:t>?</w:t>
      </w:r>
    </w:p>
    <w:p w14:paraId="6554C4FE" w14:textId="77777777" w:rsidR="007175FE" w:rsidRDefault="007175FE" w:rsidP="007175FE">
      <w:pPr>
        <w:pStyle w:val="Nadpis3"/>
      </w:pPr>
      <w:bookmarkStart w:id="721" w:name="_Toc50116477"/>
      <w:bookmarkStart w:id="722" w:name="_Toc77074634"/>
      <w:r>
        <w:t>Jak rozvíjet Zlín</w:t>
      </w:r>
      <w:bookmarkEnd w:id="721"/>
      <w:bookmarkEnd w:id="722"/>
    </w:p>
    <w:p w14:paraId="001638B7" w14:textId="081480B2" w:rsidR="007175FE" w:rsidRPr="00DA7ABE" w:rsidRDefault="007175FE" w:rsidP="007175FE">
      <w:pPr>
        <w:rPr>
          <w:rFonts w:cstheme="minorHAnsi"/>
        </w:rPr>
      </w:pPr>
      <w:r w:rsidRPr="00DA7ABE">
        <w:rPr>
          <w:rFonts w:cstheme="minorHAnsi"/>
        </w:rPr>
        <w:t>U poslední volné otázky mohli respondenti uvádět své podněty, co by mělo být podniknuto k rozvoji Zlína. Tyto podněty byly z velké části již zahrnuty v předchozích otázkách. Nejvíce se jich týkalo dopravy a</w:t>
      </w:r>
      <w:r w:rsidR="00191F16">
        <w:rPr>
          <w:rFonts w:cstheme="minorHAnsi"/>
        </w:rPr>
        <w:t> </w:t>
      </w:r>
      <w:r w:rsidRPr="00DA7ABE">
        <w:rPr>
          <w:rFonts w:cstheme="minorHAnsi"/>
        </w:rPr>
        <w:t xml:space="preserve">dopravní situace, kdy respondenti reagují na vysokou hustotu dopravy, špatné dopravní spojení Zlína, nebezpečné úseky a chybějící parkovací místa. Řešení u parkovacích míst jsou různorodá, nejčastěji jsou navrhována odstavná parkoviště, zdražení nebo naopak zlevnění parkování, vymezení parkovacích míst pro obyvatele domů, podzemní či vícepatrová parkoviště, zvýšení parkovací kapacity na úkor chodníku jedné strany silnice apod. </w:t>
      </w:r>
    </w:p>
    <w:p w14:paraId="6F8A824B" w14:textId="77777777" w:rsidR="007175FE" w:rsidRPr="00DA7ABE" w:rsidRDefault="007175FE" w:rsidP="007175FE">
      <w:pPr>
        <w:rPr>
          <w:rFonts w:cstheme="minorHAnsi"/>
        </w:rPr>
      </w:pPr>
      <w:r w:rsidRPr="00DA7ABE">
        <w:rPr>
          <w:rFonts w:cstheme="minorHAnsi"/>
        </w:rPr>
        <w:t>Ve více případech je navrhováno rozšíření spojů MHD do vzdálenějších lokalit, celkové zlevnění a propagace MHD, případně zvýhodněné jízdné pro obyvatele Zlína. Navrhovaná byla také integrace MHD a vlakové dopravy a chytrá řešení typu elektronického nákupu jízdenek.</w:t>
      </w:r>
    </w:p>
    <w:p w14:paraId="2FB571D5" w14:textId="37D9D1EA" w:rsidR="007175FE" w:rsidRPr="00DA7ABE" w:rsidRDefault="007175FE" w:rsidP="007175FE">
      <w:pPr>
        <w:rPr>
          <w:rFonts w:cstheme="minorHAnsi"/>
        </w:rPr>
      </w:pPr>
      <w:r w:rsidRPr="00DA7ABE">
        <w:rPr>
          <w:rFonts w:cstheme="minorHAnsi"/>
        </w:rPr>
        <w:t>Opakovaly se žádosti o opravy budov</w:t>
      </w:r>
      <w:r>
        <w:rPr>
          <w:rFonts w:cstheme="minorHAnsi"/>
        </w:rPr>
        <w:t xml:space="preserve"> a lokalit</w:t>
      </w:r>
      <w:r w:rsidRPr="00DA7ABE">
        <w:rPr>
          <w:rFonts w:cstheme="minorHAnsi"/>
        </w:rPr>
        <w:t>, především nádraží, kina, náměstí, budovy soudu a</w:t>
      </w:r>
      <w:r w:rsidR="00191F16">
        <w:rPr>
          <w:rFonts w:cstheme="minorHAnsi"/>
        </w:rPr>
        <w:t> </w:t>
      </w:r>
      <w:r w:rsidRPr="00DA7ABE">
        <w:rPr>
          <w:rFonts w:cstheme="minorHAnsi"/>
        </w:rPr>
        <w:t>tržiště. Mnoho názorů bylo o stavbě nové nemocnice, kdy 22 respondentů odpovídalo, že by si přálo zachovat současnou nemocnici a pouze ji rekonstruovat a 11 jich požadovalo stavbu nemocnice nové. V případě, že bude stavěna nemocnice nová, navrhli dva respondenti, že současné prostory by se mohly využít pro domy a bydlení pro seniory a na byty pro mladé. Žádosti byly také o sociální služby a</w:t>
      </w:r>
      <w:r w:rsidR="00191F16">
        <w:rPr>
          <w:rFonts w:cstheme="minorHAnsi"/>
        </w:rPr>
        <w:t> </w:t>
      </w:r>
      <w:r w:rsidRPr="00DA7ABE">
        <w:rPr>
          <w:rFonts w:cstheme="minorHAnsi"/>
        </w:rPr>
        <w:t>o</w:t>
      </w:r>
      <w:r w:rsidR="00191F16">
        <w:rPr>
          <w:rFonts w:cstheme="minorHAnsi"/>
        </w:rPr>
        <w:t> </w:t>
      </w:r>
      <w:r w:rsidRPr="00DA7ABE">
        <w:rPr>
          <w:rFonts w:cstheme="minorHAnsi"/>
        </w:rPr>
        <w:t>řešení problémů s nepřizpůsobivými občany.</w:t>
      </w:r>
    </w:p>
    <w:p w14:paraId="5EDCBFEF" w14:textId="245E3F71" w:rsidR="007175FE" w:rsidRPr="00DA7ABE" w:rsidRDefault="007175FE" w:rsidP="007175FE">
      <w:pPr>
        <w:pStyle w:val="Titulek"/>
        <w:keepNext/>
        <w:keepLines/>
        <w:rPr>
          <w:rFonts w:cstheme="minorHAnsi"/>
        </w:rPr>
      </w:pPr>
      <w:bookmarkStart w:id="723" w:name="_Toc54702796"/>
      <w:bookmarkStart w:id="724" w:name="_Toc56179602"/>
      <w:bookmarkStart w:id="725" w:name="_Toc77074944"/>
      <w:r w:rsidRPr="00DA7ABE">
        <w:rPr>
          <w:rFonts w:cstheme="minorHAnsi"/>
        </w:rPr>
        <w:t xml:space="preserve">Obrázek </w:t>
      </w:r>
      <w:r w:rsidR="0096730F">
        <w:rPr>
          <w:rFonts w:cstheme="minorHAnsi"/>
        </w:rPr>
        <w:fldChar w:fldCharType="begin"/>
      </w:r>
      <w:r w:rsidR="0096730F">
        <w:rPr>
          <w:rFonts w:cstheme="minorHAnsi"/>
        </w:rPr>
        <w:instrText xml:space="preserve"> STYLEREF 1 \s </w:instrText>
      </w:r>
      <w:r w:rsidR="0096730F">
        <w:rPr>
          <w:rFonts w:cstheme="minorHAnsi"/>
        </w:rPr>
        <w:fldChar w:fldCharType="separate"/>
      </w:r>
      <w:r w:rsidR="00332A29">
        <w:rPr>
          <w:rFonts w:cstheme="minorHAnsi"/>
          <w:noProof/>
        </w:rPr>
        <w:t>2</w:t>
      </w:r>
      <w:r w:rsidR="0096730F">
        <w:rPr>
          <w:rFonts w:cstheme="minorHAnsi"/>
        </w:rPr>
        <w:fldChar w:fldCharType="end"/>
      </w:r>
      <w:r w:rsidR="0096730F">
        <w:rPr>
          <w:rFonts w:cstheme="minorHAnsi"/>
        </w:rPr>
        <w:t>.</w:t>
      </w:r>
      <w:r w:rsidR="0096730F">
        <w:rPr>
          <w:rFonts w:cstheme="minorHAnsi"/>
        </w:rPr>
        <w:fldChar w:fldCharType="begin"/>
      </w:r>
      <w:r w:rsidR="0096730F">
        <w:rPr>
          <w:rFonts w:cstheme="minorHAnsi"/>
        </w:rPr>
        <w:instrText xml:space="preserve"> SEQ Obrázek \* ARABIC \s 1 </w:instrText>
      </w:r>
      <w:r w:rsidR="0096730F">
        <w:rPr>
          <w:rFonts w:cstheme="minorHAnsi"/>
        </w:rPr>
        <w:fldChar w:fldCharType="separate"/>
      </w:r>
      <w:r w:rsidR="00332A29">
        <w:rPr>
          <w:rFonts w:cstheme="minorHAnsi"/>
          <w:noProof/>
        </w:rPr>
        <w:t>23</w:t>
      </w:r>
      <w:r w:rsidR="0096730F">
        <w:rPr>
          <w:rFonts w:cstheme="minorHAnsi"/>
        </w:rPr>
        <w:fldChar w:fldCharType="end"/>
      </w:r>
      <w:r w:rsidR="00191F16">
        <w:rPr>
          <w:rFonts w:cstheme="minorHAnsi"/>
        </w:rPr>
        <w:t>:</w:t>
      </w:r>
      <w:r w:rsidRPr="00DA7ABE">
        <w:rPr>
          <w:rFonts w:cstheme="minorHAnsi"/>
        </w:rPr>
        <w:t xml:space="preserve"> Další podněty vedoucí k rozvoji Zlína</w:t>
      </w:r>
      <w:bookmarkEnd w:id="723"/>
      <w:bookmarkEnd w:id="724"/>
      <w:bookmarkEnd w:id="725"/>
    </w:p>
    <w:p w14:paraId="55BC1F92" w14:textId="29BDE760" w:rsidR="007175FE" w:rsidRDefault="007175FE" w:rsidP="007175FE">
      <w:pPr>
        <w:rPr>
          <w:rFonts w:eastAsia="Times New Roman" w:cstheme="minorHAnsi"/>
          <w:i/>
          <w:sz w:val="18"/>
          <w:szCs w:val="24"/>
          <w:lang w:eastAsia="cs-CZ"/>
        </w:rPr>
      </w:pPr>
      <w:r w:rsidRPr="00DA7ABE">
        <w:rPr>
          <w:rFonts w:cstheme="minorHAnsi"/>
          <w:noProof/>
          <w:lang w:eastAsia="cs-CZ"/>
        </w:rPr>
        <w:drawing>
          <wp:inline distT="0" distB="0" distL="0" distR="0" wp14:anchorId="671DAEC2" wp14:editId="78C62EFA">
            <wp:extent cx="5760000" cy="5196986"/>
            <wp:effectExtent l="114300" t="114300" r="165100" b="175260"/>
            <wp:docPr id="369" name="Obrázek 369" descr="C:\Users\Linda Vyvialová\Desktop\Zlin_pruzkum\15\wordcloud15_z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nda Vyvialová\Desktop\Zlin_pruzkum\15\wordcloud15_zlin.pn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4968" t="7561" r="17904" b="11703"/>
                    <a:stretch/>
                  </pic:blipFill>
                  <pic:spPr bwMode="auto">
                    <a:xfrm>
                      <a:off x="0" y="0"/>
                      <a:ext cx="5760000" cy="5196986"/>
                    </a:xfrm>
                    <a:prstGeom prst="rect">
                      <a:avLst/>
                    </a:prstGeom>
                    <a:noFill/>
                    <a:ln w="76200">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A7ABE">
        <w:rPr>
          <w:rFonts w:cstheme="minorHAnsi"/>
        </w:rPr>
        <w:t xml:space="preserve"> </w:t>
      </w:r>
      <w:r w:rsidRPr="00F83A79">
        <w:rPr>
          <w:rFonts w:eastAsia="Times New Roman" w:cstheme="minorHAnsi"/>
          <w:i/>
          <w:sz w:val="18"/>
          <w:szCs w:val="24"/>
          <w:lang w:eastAsia="cs-CZ"/>
        </w:rPr>
        <w:t>Zdroj: PROCES, Anketní šetření spokoj</w:t>
      </w:r>
      <w:r w:rsidR="00191F16">
        <w:rPr>
          <w:rFonts w:eastAsia="Times New Roman" w:cstheme="minorHAnsi"/>
          <w:i/>
          <w:sz w:val="18"/>
          <w:szCs w:val="24"/>
          <w:lang w:eastAsia="cs-CZ"/>
        </w:rPr>
        <w:t>enosti obyvatel města Zlín 2020;</w:t>
      </w:r>
      <w:r w:rsidRPr="00F83A79">
        <w:rPr>
          <w:rFonts w:eastAsia="Times New Roman" w:cstheme="minorHAnsi"/>
          <w:i/>
          <w:sz w:val="18"/>
          <w:szCs w:val="24"/>
          <w:lang w:eastAsia="cs-CZ"/>
        </w:rPr>
        <w:t xml:space="preserve"> Otázka 15.</w:t>
      </w:r>
      <w:r w:rsidR="00191F16">
        <w:rPr>
          <w:rFonts w:eastAsia="Times New Roman" w:cstheme="minorHAnsi"/>
          <w:i/>
          <w:sz w:val="18"/>
          <w:szCs w:val="24"/>
          <w:lang w:eastAsia="cs-CZ"/>
        </w:rPr>
        <w:t>:</w:t>
      </w:r>
      <w:r w:rsidRPr="00F83A79">
        <w:rPr>
          <w:rFonts w:eastAsia="Times New Roman" w:cstheme="minorHAnsi"/>
          <w:i/>
          <w:sz w:val="18"/>
          <w:szCs w:val="24"/>
          <w:lang w:eastAsia="cs-CZ"/>
        </w:rPr>
        <w:t xml:space="preserve"> Máte nějaké další podněty vedoucí k rozvoji Zlína? </w:t>
      </w:r>
      <w:r w:rsidRPr="00F83A79">
        <w:rPr>
          <w:rFonts w:eastAsia="Times New Roman" w:cstheme="minorHAnsi"/>
          <w:i/>
          <w:sz w:val="18"/>
          <w:szCs w:val="24"/>
          <w:lang w:eastAsia="cs-CZ"/>
        </w:rPr>
        <w:br/>
        <w:t>Pozn.: Velikost písma značí četnost dané odpovědi</w:t>
      </w:r>
      <w:r w:rsidRPr="003D492B">
        <w:rPr>
          <w:rFonts w:eastAsia="Times New Roman" w:cstheme="minorHAnsi"/>
          <w:i/>
          <w:sz w:val="18"/>
          <w:szCs w:val="24"/>
          <w:lang w:eastAsia="cs-CZ"/>
        </w:rPr>
        <w:t>, barvy jsou voleny náhodně.</w:t>
      </w:r>
    </w:p>
    <w:p w14:paraId="0C04BCCF" w14:textId="77777777" w:rsidR="007175FE" w:rsidRDefault="007175FE">
      <w:pPr>
        <w:spacing w:before="0" w:after="160" w:line="259" w:lineRule="auto"/>
        <w:jc w:val="left"/>
        <w:rPr>
          <w:rFonts w:eastAsia="Times New Roman" w:cstheme="minorHAnsi"/>
          <w:i/>
          <w:sz w:val="18"/>
          <w:szCs w:val="24"/>
          <w:lang w:eastAsia="cs-CZ"/>
        </w:rPr>
      </w:pPr>
      <w:r>
        <w:rPr>
          <w:rFonts w:eastAsia="Times New Roman" w:cstheme="minorHAnsi"/>
          <w:i/>
          <w:sz w:val="18"/>
          <w:szCs w:val="24"/>
          <w:lang w:eastAsia="cs-CZ"/>
        </w:rPr>
        <w:br w:type="page"/>
      </w:r>
    </w:p>
    <w:p w14:paraId="2D140586" w14:textId="77777777" w:rsidR="007175FE" w:rsidRDefault="007175FE" w:rsidP="006B5B80">
      <w:pPr>
        <w:pStyle w:val="Nadpis3"/>
      </w:pPr>
      <w:bookmarkStart w:id="726" w:name="_Toc50116478"/>
      <w:r w:rsidRPr="00DC4C65">
        <w:t xml:space="preserve"> </w:t>
      </w:r>
      <w:bookmarkStart w:id="727" w:name="_Toc77074635"/>
      <w:r>
        <w:t>Dílčí shrnutí</w:t>
      </w:r>
      <w:bookmarkEnd w:id="726"/>
      <w:bookmarkEnd w:id="727"/>
    </w:p>
    <w:tbl>
      <w:tblPr>
        <w:tblStyle w:val="Mkatabulky"/>
        <w:tblW w:w="0" w:type="auto"/>
        <w:shd w:val="clear" w:color="auto" w:fill="DEEAF6" w:themeFill="accent1" w:themeFillTint="33"/>
        <w:tblLook w:val="04A0" w:firstRow="1" w:lastRow="0" w:firstColumn="1" w:lastColumn="0" w:noHBand="0" w:noVBand="1"/>
      </w:tblPr>
      <w:tblGrid>
        <w:gridCol w:w="9062"/>
      </w:tblGrid>
      <w:tr w:rsidR="007175FE" w14:paraId="4326187A" w14:textId="77777777" w:rsidTr="000C49A5">
        <w:tc>
          <w:tcPr>
            <w:tcW w:w="9062" w:type="dxa"/>
            <w:tcBorders>
              <w:top w:val="nil"/>
              <w:left w:val="nil"/>
              <w:bottom w:val="nil"/>
              <w:right w:val="nil"/>
            </w:tcBorders>
            <w:shd w:val="clear" w:color="auto" w:fill="DEEAF6" w:themeFill="accent1" w:themeFillTint="33"/>
          </w:tcPr>
          <w:p w14:paraId="7424A537" w14:textId="77777777" w:rsidR="007175FE" w:rsidRDefault="007175FE" w:rsidP="000C49A5">
            <w:pPr>
              <w:rPr>
                <w:rFonts w:cstheme="minorHAnsi"/>
                <w:b/>
              </w:rPr>
            </w:pPr>
            <w:r>
              <w:rPr>
                <w:rFonts w:cstheme="minorHAnsi"/>
                <w:b/>
              </w:rPr>
              <w:t>Hlavní zjištění:</w:t>
            </w:r>
          </w:p>
          <w:p w14:paraId="3CE33062" w14:textId="77777777" w:rsidR="007175FE" w:rsidRDefault="007175FE" w:rsidP="00A55F7D">
            <w:pPr>
              <w:pStyle w:val="Odstavecseseznamem"/>
              <w:numPr>
                <w:ilvl w:val="0"/>
                <w:numId w:val="72"/>
              </w:numPr>
              <w:spacing w:before="0" w:after="120"/>
              <w:ind w:left="714" w:hanging="357"/>
              <w:contextualSpacing w:val="0"/>
              <w:rPr>
                <w:rFonts w:cstheme="minorHAnsi"/>
                <w:i/>
              </w:rPr>
            </w:pPr>
            <w:r w:rsidRPr="00205292">
              <w:rPr>
                <w:rFonts w:cstheme="minorHAnsi"/>
                <w:i/>
              </w:rPr>
              <w:t xml:space="preserve">S </w:t>
            </w:r>
            <w:r w:rsidRPr="003D492B">
              <w:rPr>
                <w:rFonts w:cstheme="minorHAnsi"/>
                <w:b/>
                <w:i/>
              </w:rPr>
              <w:t>kvalitou života</w:t>
            </w:r>
            <w:r w:rsidRPr="00205292">
              <w:rPr>
                <w:rFonts w:cstheme="minorHAnsi"/>
                <w:i/>
              </w:rPr>
              <w:t xml:space="preserve"> jsou nejvíce spokoj</w:t>
            </w:r>
            <w:r>
              <w:rPr>
                <w:rFonts w:cstheme="minorHAnsi"/>
                <w:i/>
              </w:rPr>
              <w:t>eni studenti UTB (možnost velmi</w:t>
            </w:r>
            <w:r w:rsidRPr="00205292">
              <w:rPr>
                <w:rFonts w:cstheme="minorHAnsi"/>
                <w:i/>
              </w:rPr>
              <w:t xml:space="preserve"> či spíše spokojen uvedlo 77,9 % respondentů), dále respondenti bez trvalého bydliště ve Z</w:t>
            </w:r>
            <w:r>
              <w:rPr>
                <w:rFonts w:cstheme="minorHAnsi"/>
                <w:i/>
              </w:rPr>
              <w:t>líně (74,6 %), nejméně spokojeni</w:t>
            </w:r>
            <w:r w:rsidRPr="00205292">
              <w:rPr>
                <w:rFonts w:cstheme="minorHAnsi"/>
                <w:i/>
              </w:rPr>
              <w:t xml:space="preserve"> pak byli obyvatelé Zlína (72,2 %). </w:t>
            </w:r>
          </w:p>
          <w:p w14:paraId="72C3EDC0" w14:textId="77777777" w:rsidR="007175FE" w:rsidRDefault="007175FE" w:rsidP="00A55F7D">
            <w:pPr>
              <w:pStyle w:val="Odstavecseseznamem"/>
              <w:numPr>
                <w:ilvl w:val="0"/>
                <w:numId w:val="72"/>
              </w:numPr>
              <w:spacing w:before="0" w:after="120"/>
              <w:ind w:left="714" w:hanging="357"/>
              <w:contextualSpacing w:val="0"/>
              <w:rPr>
                <w:rFonts w:cstheme="minorHAnsi"/>
                <w:i/>
              </w:rPr>
            </w:pPr>
            <w:r>
              <w:rPr>
                <w:rFonts w:cstheme="minorHAnsi"/>
                <w:i/>
              </w:rPr>
              <w:t xml:space="preserve">Respondentům se ve městě </w:t>
            </w:r>
            <w:r w:rsidRPr="003D492B">
              <w:rPr>
                <w:rFonts w:cstheme="minorHAnsi"/>
                <w:b/>
                <w:i/>
              </w:rPr>
              <w:t>nejvíce líbí</w:t>
            </w:r>
            <w:r>
              <w:rPr>
                <w:rFonts w:cstheme="minorHAnsi"/>
                <w:i/>
              </w:rPr>
              <w:t xml:space="preserve"> parky, zeleň a příroda, dále oceňují architekturu, celkový klid, kulturu a atmosféru města. Nejvíce jim </w:t>
            </w:r>
            <w:r w:rsidRPr="003D492B">
              <w:rPr>
                <w:rFonts w:cstheme="minorHAnsi"/>
                <w:b/>
                <w:i/>
              </w:rPr>
              <w:t>chybí</w:t>
            </w:r>
            <w:r>
              <w:rPr>
                <w:rFonts w:cstheme="minorHAnsi"/>
                <w:i/>
              </w:rPr>
              <w:t xml:space="preserve"> vetší počet kulturních akcí, rekonstrukce a zkrášlení nádraží, možnosti parkování a dořešení dopravní situace ve městě.</w:t>
            </w:r>
          </w:p>
          <w:p w14:paraId="6184C9E5" w14:textId="77777777" w:rsidR="007175FE" w:rsidRDefault="007175FE" w:rsidP="00A55F7D">
            <w:pPr>
              <w:pStyle w:val="Odstavecseseznamem"/>
              <w:numPr>
                <w:ilvl w:val="0"/>
                <w:numId w:val="72"/>
              </w:numPr>
              <w:spacing w:before="0" w:after="120"/>
              <w:ind w:left="714" w:hanging="357"/>
              <w:contextualSpacing w:val="0"/>
              <w:rPr>
                <w:rFonts w:cstheme="minorHAnsi"/>
                <w:i/>
              </w:rPr>
            </w:pPr>
            <w:r>
              <w:rPr>
                <w:rFonts w:cstheme="minorHAnsi"/>
                <w:i/>
              </w:rPr>
              <w:t xml:space="preserve">Pozitivně hodnotí </w:t>
            </w:r>
            <w:r w:rsidRPr="003D492B">
              <w:rPr>
                <w:rFonts w:cstheme="minorHAnsi"/>
                <w:b/>
                <w:i/>
              </w:rPr>
              <w:t>vývoj města</w:t>
            </w:r>
            <w:r>
              <w:rPr>
                <w:rFonts w:cstheme="minorHAnsi"/>
                <w:i/>
              </w:rPr>
              <w:t xml:space="preserve"> za posledních 5 let 57,9 % občanů Zlína, respondenti oceňují prováděné opravy, rozvoj cyklostezek, parků a zeleně i např. konané kulturní akce. Respondenti, kteří hodnotí vývoj města negativně, svou odpověď zdůvodňují tím, že město nemá vyřešenou dopravní situaci, nelíbí se jim nádraží, celkově zmiňují stagnaci města, velké množství nepřizpůsobivých osob a situaci okolo nové nemocnice.</w:t>
            </w:r>
          </w:p>
          <w:p w14:paraId="3E424CCE" w14:textId="501F5B85" w:rsidR="007175FE" w:rsidRDefault="007175FE" w:rsidP="00A55F7D">
            <w:pPr>
              <w:pStyle w:val="Odstavecseseznamem"/>
              <w:numPr>
                <w:ilvl w:val="0"/>
                <w:numId w:val="72"/>
              </w:numPr>
              <w:spacing w:before="0" w:after="120"/>
              <w:contextualSpacing w:val="0"/>
              <w:rPr>
                <w:rFonts w:cstheme="minorHAnsi"/>
                <w:i/>
              </w:rPr>
            </w:pPr>
            <w:r w:rsidRPr="003F408A">
              <w:rPr>
                <w:rFonts w:cstheme="minorHAnsi"/>
                <w:i/>
              </w:rPr>
              <w:t xml:space="preserve">Při </w:t>
            </w:r>
            <w:r w:rsidRPr="003D492B">
              <w:rPr>
                <w:rFonts w:cstheme="minorHAnsi"/>
                <w:b/>
                <w:i/>
              </w:rPr>
              <w:t>hodnocení občanské vybavenosti</w:t>
            </w:r>
            <w:r w:rsidRPr="003F408A">
              <w:rPr>
                <w:rFonts w:cstheme="minorHAnsi"/>
                <w:i/>
              </w:rPr>
              <w:t xml:space="preserve"> jsou respondenti nejvíce spokojeni </w:t>
            </w:r>
            <w:r>
              <w:rPr>
                <w:rFonts w:cstheme="minorHAnsi"/>
                <w:i/>
              </w:rPr>
              <w:t>s kvalitou životn</w:t>
            </w:r>
            <w:r w:rsidR="00E71EA8">
              <w:rPr>
                <w:rFonts w:cstheme="minorHAnsi"/>
                <w:i/>
              </w:rPr>
              <w:t>ího prostředí (spokojenost 69,8)</w:t>
            </w:r>
            <w:r>
              <w:rPr>
                <w:rStyle w:val="Znakapoznpodarou"/>
                <w:rFonts w:cstheme="minorHAnsi"/>
                <w:i/>
              </w:rPr>
              <w:t xml:space="preserve"> </w:t>
            </w:r>
            <w:r>
              <w:rPr>
                <w:rStyle w:val="Znakapoznpodarou"/>
                <w:rFonts w:cstheme="minorHAnsi"/>
                <w:i/>
              </w:rPr>
              <w:footnoteReference w:id="109"/>
            </w:r>
            <w:r w:rsidRPr="003F408A">
              <w:rPr>
                <w:rFonts w:cstheme="minorHAnsi"/>
                <w:i/>
              </w:rPr>
              <w:t xml:space="preserve">, </w:t>
            </w:r>
            <w:r>
              <w:rPr>
                <w:rFonts w:cstheme="minorHAnsi"/>
                <w:i/>
              </w:rPr>
              <w:t>méně</w:t>
            </w:r>
            <w:r w:rsidRPr="003F408A">
              <w:rPr>
                <w:rFonts w:cstheme="minorHAnsi"/>
                <w:i/>
              </w:rPr>
              <w:t xml:space="preserve"> s nabídkou možností aktivního sportovního vyžití</w:t>
            </w:r>
            <w:r>
              <w:rPr>
                <w:rFonts w:cstheme="minorHAnsi"/>
                <w:i/>
              </w:rPr>
              <w:t xml:space="preserve"> (66,2)</w:t>
            </w:r>
            <w:r w:rsidRPr="003F408A">
              <w:rPr>
                <w:rFonts w:cstheme="minorHAnsi"/>
                <w:i/>
              </w:rPr>
              <w:t xml:space="preserve">, </w:t>
            </w:r>
            <w:r>
              <w:rPr>
                <w:rFonts w:cstheme="minorHAnsi"/>
                <w:i/>
              </w:rPr>
              <w:t xml:space="preserve">dále </w:t>
            </w:r>
            <w:r w:rsidRPr="003F408A">
              <w:rPr>
                <w:rFonts w:cstheme="minorHAnsi"/>
                <w:i/>
              </w:rPr>
              <w:t>s nabídkou vyžití pro rodiny s</w:t>
            </w:r>
            <w:r>
              <w:rPr>
                <w:rFonts w:cstheme="minorHAnsi"/>
                <w:i/>
              </w:rPr>
              <w:t> </w:t>
            </w:r>
            <w:r w:rsidRPr="003F408A">
              <w:rPr>
                <w:rFonts w:cstheme="minorHAnsi"/>
                <w:i/>
              </w:rPr>
              <w:t>dětmi</w:t>
            </w:r>
            <w:r>
              <w:rPr>
                <w:rFonts w:cstheme="minorHAnsi"/>
                <w:i/>
              </w:rPr>
              <w:t xml:space="preserve"> (63,7)</w:t>
            </w:r>
            <w:r w:rsidRPr="003F408A">
              <w:rPr>
                <w:rFonts w:cstheme="minorHAnsi"/>
                <w:i/>
              </w:rPr>
              <w:t>, následuje nabídka kulturních akcí</w:t>
            </w:r>
            <w:r>
              <w:rPr>
                <w:rFonts w:cstheme="minorHAnsi"/>
                <w:i/>
              </w:rPr>
              <w:t xml:space="preserve"> (62,6)</w:t>
            </w:r>
            <w:r w:rsidRPr="003F408A">
              <w:rPr>
                <w:rFonts w:cstheme="minorHAnsi"/>
                <w:i/>
              </w:rPr>
              <w:t xml:space="preserve">, možnosti </w:t>
            </w:r>
            <w:r>
              <w:rPr>
                <w:rFonts w:cstheme="minorHAnsi"/>
                <w:i/>
              </w:rPr>
              <w:t xml:space="preserve">využití volného času (61,8), nabídka zdravotních služeb (59,6), </w:t>
            </w:r>
            <w:r w:rsidRPr="003F408A">
              <w:rPr>
                <w:rFonts w:cstheme="minorHAnsi"/>
                <w:i/>
              </w:rPr>
              <w:t xml:space="preserve">kvalita zdravotních služeb </w:t>
            </w:r>
            <w:r>
              <w:rPr>
                <w:rFonts w:cstheme="minorHAnsi"/>
                <w:i/>
              </w:rPr>
              <w:t xml:space="preserve">(54,0) </w:t>
            </w:r>
            <w:r w:rsidRPr="003F408A">
              <w:rPr>
                <w:rFonts w:cstheme="minorHAnsi"/>
                <w:i/>
              </w:rPr>
              <w:t>a nejméně jsou respondenti spokojeni s nabídkou sociálních služeb</w:t>
            </w:r>
            <w:r>
              <w:rPr>
                <w:rFonts w:cstheme="minorHAnsi"/>
                <w:i/>
              </w:rPr>
              <w:t xml:space="preserve"> (53,4)</w:t>
            </w:r>
            <w:r w:rsidRPr="003F408A">
              <w:rPr>
                <w:rFonts w:cstheme="minorHAnsi"/>
                <w:i/>
              </w:rPr>
              <w:t>.</w:t>
            </w:r>
          </w:p>
          <w:p w14:paraId="108942EC" w14:textId="77777777" w:rsidR="007175FE" w:rsidRDefault="007175FE" w:rsidP="00A55F7D">
            <w:pPr>
              <w:pStyle w:val="Odstavecseseznamem"/>
              <w:numPr>
                <w:ilvl w:val="0"/>
                <w:numId w:val="72"/>
              </w:numPr>
              <w:spacing w:before="0" w:after="120"/>
              <w:contextualSpacing w:val="0"/>
              <w:rPr>
                <w:rFonts w:cstheme="minorHAnsi"/>
                <w:i/>
              </w:rPr>
            </w:pPr>
            <w:r>
              <w:rPr>
                <w:rFonts w:cstheme="minorHAnsi"/>
                <w:i/>
              </w:rPr>
              <w:t xml:space="preserve">Respondenti s trvalým bydlištěm ve Zlíně jsou </w:t>
            </w:r>
            <w:r w:rsidRPr="003D492B">
              <w:rPr>
                <w:rFonts w:cstheme="minorHAnsi"/>
                <w:b/>
                <w:i/>
              </w:rPr>
              <w:t>v oblasti vzdělávání</w:t>
            </w:r>
            <w:r>
              <w:rPr>
                <w:rFonts w:cstheme="minorHAnsi"/>
                <w:i/>
              </w:rPr>
              <w:t xml:space="preserve"> nejvíce spokojeni s dostupností mateřských škol (spokojenost 66,0)</w:t>
            </w:r>
            <w:r>
              <w:rPr>
                <w:rFonts w:cstheme="minorHAnsi"/>
                <w:i/>
                <w:vertAlign w:val="superscript"/>
              </w:rPr>
              <w:t>2</w:t>
            </w:r>
            <w:r>
              <w:rPr>
                <w:rFonts w:cstheme="minorHAnsi"/>
                <w:i/>
              </w:rPr>
              <w:t>, dále s nabídkou oborů na středních školách (63,6) a nejméně jsou spokojeni s kvalitou výuky na základních školách (59,5).</w:t>
            </w:r>
          </w:p>
          <w:p w14:paraId="7CD9012B" w14:textId="77777777" w:rsidR="007175FE" w:rsidRDefault="007175FE" w:rsidP="00A55F7D">
            <w:pPr>
              <w:pStyle w:val="Odstavecseseznamem"/>
              <w:numPr>
                <w:ilvl w:val="0"/>
                <w:numId w:val="72"/>
              </w:numPr>
              <w:spacing w:before="0" w:after="120"/>
              <w:contextualSpacing w:val="0"/>
              <w:rPr>
                <w:rFonts w:cstheme="minorHAnsi"/>
                <w:i/>
              </w:rPr>
            </w:pPr>
            <w:r w:rsidRPr="003D492B">
              <w:rPr>
                <w:rFonts w:cstheme="minorHAnsi"/>
                <w:b/>
                <w:i/>
              </w:rPr>
              <w:t>V oblasti dopravy</w:t>
            </w:r>
            <w:r>
              <w:rPr>
                <w:rFonts w:cstheme="minorHAnsi"/>
                <w:i/>
              </w:rPr>
              <w:t xml:space="preserve"> jsou respondenti s trvalým pobytem ve Zlíně nejspokojenější s dostupností MHD (75,7)</w:t>
            </w:r>
            <w:r>
              <w:rPr>
                <w:rFonts w:cstheme="minorHAnsi"/>
                <w:i/>
                <w:vertAlign w:val="superscript"/>
              </w:rPr>
              <w:t>2</w:t>
            </w:r>
            <w:r>
              <w:rPr>
                <w:rFonts w:cstheme="minorHAnsi"/>
                <w:i/>
              </w:rPr>
              <w:t>, dále s kvalitou MHD (72,2), stavem místních komunikací (69,1) a nejméně s dostupností vlakové dopravy (46,2).</w:t>
            </w:r>
          </w:p>
          <w:p w14:paraId="2C0EB99F" w14:textId="38514720" w:rsidR="007175FE" w:rsidRDefault="007175FE" w:rsidP="00A55F7D">
            <w:pPr>
              <w:pStyle w:val="Odstavecseseznamem"/>
              <w:numPr>
                <w:ilvl w:val="0"/>
                <w:numId w:val="72"/>
              </w:numPr>
              <w:spacing w:before="0" w:after="120"/>
              <w:contextualSpacing w:val="0"/>
              <w:rPr>
                <w:rFonts w:cstheme="minorHAnsi"/>
                <w:i/>
              </w:rPr>
            </w:pPr>
            <w:r>
              <w:rPr>
                <w:rFonts w:cstheme="minorHAnsi"/>
                <w:i/>
              </w:rPr>
              <w:t>S </w:t>
            </w:r>
            <w:r w:rsidRPr="003D492B">
              <w:rPr>
                <w:rFonts w:cstheme="minorHAnsi"/>
                <w:b/>
                <w:i/>
              </w:rPr>
              <w:t>bydlením</w:t>
            </w:r>
            <w:r>
              <w:rPr>
                <w:rFonts w:cstheme="minorHAnsi"/>
                <w:i/>
              </w:rPr>
              <w:t xml:space="preserve"> ve Zlíně </w:t>
            </w:r>
            <w:r w:rsidRPr="00722DDF">
              <w:rPr>
                <w:rFonts w:cstheme="minorHAnsi"/>
                <w:i/>
              </w:rPr>
              <w:t xml:space="preserve">bylo </w:t>
            </w:r>
            <w:r>
              <w:rPr>
                <w:rFonts w:cstheme="minorHAnsi"/>
                <w:i/>
              </w:rPr>
              <w:t>s</w:t>
            </w:r>
            <w:r w:rsidRPr="00722DDF">
              <w:rPr>
                <w:rFonts w:cstheme="minorHAnsi"/>
                <w:i/>
              </w:rPr>
              <w:t>pokojeno 67,6 % občanů, 54,3 % respondentů, kteří nemají ve Zlíně trvalé bydliště a 63,5 % studentů UTB. Na rozvíjející otázku o</w:t>
            </w:r>
            <w:r>
              <w:rPr>
                <w:rFonts w:cstheme="minorHAnsi"/>
                <w:i/>
              </w:rPr>
              <w:t>dpovědělo téměř 30 % oslovených a uváděli tyto nejčastější důvody nespokojenosti: málo bytů, drahé nemovitosti a</w:t>
            </w:r>
            <w:r w:rsidR="00E71EA8">
              <w:rPr>
                <w:rFonts w:cstheme="minorHAnsi"/>
                <w:i/>
              </w:rPr>
              <w:t> </w:t>
            </w:r>
            <w:r>
              <w:rPr>
                <w:rFonts w:cstheme="minorHAnsi"/>
                <w:i/>
              </w:rPr>
              <w:t>nájmy a drahota všeobecně, problém s parkováním, problémy s hlučností a hustou dopravou.</w:t>
            </w:r>
          </w:p>
          <w:p w14:paraId="4BF3CAEC" w14:textId="77777777" w:rsidR="007175FE" w:rsidRDefault="007175FE" w:rsidP="00A55F7D">
            <w:pPr>
              <w:pStyle w:val="Odstavecseseznamem"/>
              <w:numPr>
                <w:ilvl w:val="0"/>
                <w:numId w:val="72"/>
              </w:numPr>
              <w:spacing w:before="0" w:after="120"/>
              <w:contextualSpacing w:val="0"/>
              <w:rPr>
                <w:rFonts w:cstheme="minorHAnsi"/>
                <w:i/>
              </w:rPr>
            </w:pPr>
            <w:r w:rsidRPr="00722DDF">
              <w:rPr>
                <w:rFonts w:cstheme="minorHAnsi"/>
                <w:i/>
              </w:rPr>
              <w:t xml:space="preserve">S nabídkou </w:t>
            </w:r>
            <w:r w:rsidRPr="003D492B">
              <w:rPr>
                <w:rFonts w:cstheme="minorHAnsi"/>
                <w:b/>
                <w:i/>
              </w:rPr>
              <w:t>pracovních příležitostí</w:t>
            </w:r>
            <w:r w:rsidRPr="00722DDF">
              <w:rPr>
                <w:rFonts w:cstheme="minorHAnsi"/>
                <w:i/>
              </w:rPr>
              <w:t xml:space="preserve"> jsou nejvíce spokojeni studenti UTB </w:t>
            </w:r>
            <w:r>
              <w:rPr>
                <w:rFonts w:cstheme="minorHAnsi"/>
                <w:i/>
              </w:rPr>
              <w:t>(</w:t>
            </w:r>
            <w:r w:rsidRPr="00722DDF">
              <w:rPr>
                <w:rFonts w:cstheme="minorHAnsi"/>
                <w:i/>
              </w:rPr>
              <w:t xml:space="preserve">35,6 %), následováni respondenty, kteří nemají ve Zlíně trvalé bydliště (32,9 %). Spokojenost občanů </w:t>
            </w:r>
            <w:r>
              <w:rPr>
                <w:rFonts w:cstheme="minorHAnsi"/>
                <w:i/>
              </w:rPr>
              <w:t>Zlína s </w:t>
            </w:r>
            <w:r w:rsidRPr="00722DDF">
              <w:rPr>
                <w:rFonts w:cstheme="minorHAnsi"/>
                <w:i/>
              </w:rPr>
              <w:t xml:space="preserve">nabídkou pracovních příležitostí je 25,3 %. </w:t>
            </w:r>
            <w:r>
              <w:rPr>
                <w:rFonts w:cstheme="minorHAnsi"/>
                <w:i/>
              </w:rPr>
              <w:t xml:space="preserve">Důvody respondentů k nespokojenosti v této oblasti jsou především nízké mzdy a málo pracovních příležitostí v jimi zvoleném oboru. </w:t>
            </w:r>
          </w:p>
          <w:p w14:paraId="62BCA87B" w14:textId="77777777" w:rsidR="007175FE" w:rsidRPr="003D492B" w:rsidRDefault="007175FE" w:rsidP="00A55F7D">
            <w:pPr>
              <w:pStyle w:val="Odstavecseseznamem"/>
              <w:numPr>
                <w:ilvl w:val="0"/>
                <w:numId w:val="72"/>
              </w:numPr>
              <w:spacing w:before="0" w:after="120"/>
              <w:contextualSpacing w:val="0"/>
              <w:rPr>
                <w:rFonts w:cstheme="minorHAnsi"/>
                <w:i/>
              </w:rPr>
            </w:pPr>
            <w:r w:rsidRPr="003D492B">
              <w:rPr>
                <w:rFonts w:cstheme="minorHAnsi"/>
                <w:i/>
              </w:rPr>
              <w:t xml:space="preserve">Většina respondentů se cítí ve městě bezpečně. </w:t>
            </w:r>
            <w:r w:rsidRPr="003D492B">
              <w:rPr>
                <w:rFonts w:cstheme="minorHAnsi"/>
                <w:b/>
                <w:i/>
              </w:rPr>
              <w:t>Pocit bezpečí</w:t>
            </w:r>
            <w:r w:rsidRPr="003D492B">
              <w:rPr>
                <w:rFonts w:cstheme="minorHAnsi"/>
                <w:i/>
              </w:rPr>
              <w:t xml:space="preserve"> v místě bydliště nemá 9,6 % občanů, dalších 9,0 % občanů se necítí v místě bydliště ani bezpečně</w:t>
            </w:r>
            <w:r>
              <w:rPr>
                <w:rFonts w:cstheme="minorHAnsi"/>
                <w:i/>
              </w:rPr>
              <w:t>,</w:t>
            </w:r>
            <w:r w:rsidRPr="003D492B">
              <w:rPr>
                <w:rFonts w:cstheme="minorHAnsi"/>
                <w:i/>
              </w:rPr>
              <w:t xml:space="preserve"> ani nebezpečně. Pocit bezpečí v místě bydliště má 80,1 % občanů Zlína. </w:t>
            </w:r>
            <w:r>
              <w:rPr>
                <w:rFonts w:cstheme="minorHAnsi"/>
                <w:i/>
              </w:rPr>
              <w:t>U</w:t>
            </w:r>
            <w:r w:rsidRPr="003D492B">
              <w:rPr>
                <w:rFonts w:cstheme="minorHAnsi"/>
                <w:i/>
              </w:rPr>
              <w:t xml:space="preserve"> respondentů s trvalým bydlištěm mimo Zlín a u studentů UTB je mírně vyšší (80,8 % a 84,4 %). Důvody k pocitu nebezpeční respondentů jsou především přítomnost lidí bez domova, drogy, málo hlídek MP a</w:t>
            </w:r>
            <w:r>
              <w:rPr>
                <w:rFonts w:cstheme="minorHAnsi"/>
                <w:i/>
              </w:rPr>
              <w:t> o</w:t>
            </w:r>
            <w:r w:rsidRPr="003D492B">
              <w:rPr>
                <w:rFonts w:cstheme="minorHAnsi"/>
                <w:i/>
              </w:rPr>
              <w:t>pilci</w:t>
            </w:r>
            <w:r>
              <w:rPr>
                <w:rFonts w:cstheme="minorHAnsi"/>
                <w:i/>
              </w:rPr>
              <w:t>.</w:t>
            </w:r>
          </w:p>
          <w:p w14:paraId="7A987456" w14:textId="77777777" w:rsidR="007175FE" w:rsidRDefault="007175FE" w:rsidP="00A55F7D">
            <w:pPr>
              <w:pStyle w:val="Odstavecseseznamem"/>
              <w:numPr>
                <w:ilvl w:val="0"/>
                <w:numId w:val="72"/>
              </w:numPr>
              <w:spacing w:before="0" w:after="120"/>
              <w:contextualSpacing w:val="0"/>
              <w:rPr>
                <w:rFonts w:cstheme="minorHAnsi"/>
                <w:i/>
              </w:rPr>
            </w:pPr>
            <w:r w:rsidRPr="003D492B">
              <w:rPr>
                <w:rFonts w:cstheme="minorHAnsi"/>
                <w:b/>
                <w:i/>
              </w:rPr>
              <w:t>Práce Magistrátu města Zlín</w:t>
            </w:r>
            <w:r w:rsidRPr="0048759D">
              <w:rPr>
                <w:rFonts w:cstheme="minorHAnsi"/>
                <w:i/>
              </w:rPr>
              <w:t xml:space="preserve"> není sice respondenty hodnocena negativně, ale celkově vychází spíše neutrálně</w:t>
            </w:r>
            <w:r>
              <w:rPr>
                <w:rFonts w:cstheme="minorHAnsi"/>
                <w:i/>
              </w:rPr>
              <w:t xml:space="preserve"> </w:t>
            </w:r>
            <w:r w:rsidRPr="0048759D">
              <w:rPr>
                <w:rFonts w:cstheme="minorHAnsi"/>
                <w:i/>
              </w:rPr>
              <w:t>/</w:t>
            </w:r>
            <w:r>
              <w:rPr>
                <w:rFonts w:cstheme="minorHAnsi"/>
                <w:i/>
              </w:rPr>
              <w:t xml:space="preserve"> </w:t>
            </w:r>
            <w:r w:rsidRPr="0048759D">
              <w:rPr>
                <w:rFonts w:cstheme="minorHAnsi"/>
                <w:i/>
              </w:rPr>
              <w:t>mírně pozitivně s nejvyšším hodnocením</w:t>
            </w:r>
            <w:r>
              <w:rPr>
                <w:rFonts w:cstheme="minorHAnsi"/>
                <w:i/>
              </w:rPr>
              <w:t xml:space="preserve"> v oblasti kvality poskytovaných služeb, která je hodnocena</w:t>
            </w:r>
            <w:r w:rsidRPr="0048759D">
              <w:rPr>
                <w:rFonts w:cstheme="minorHAnsi"/>
                <w:i/>
              </w:rPr>
              <w:t xml:space="preserve"> 54,7 u občanů</w:t>
            </w:r>
            <w:r>
              <w:rPr>
                <w:rFonts w:cstheme="minorHAnsi"/>
                <w:i/>
                <w:vertAlign w:val="superscript"/>
              </w:rPr>
              <w:t>2</w:t>
            </w:r>
            <w:r w:rsidRPr="0048759D">
              <w:rPr>
                <w:rFonts w:cstheme="minorHAnsi"/>
                <w:i/>
              </w:rPr>
              <w:t xml:space="preserve">, 58,0 </w:t>
            </w:r>
            <w:r>
              <w:rPr>
                <w:rFonts w:cstheme="minorHAnsi"/>
                <w:i/>
              </w:rPr>
              <w:t>u </w:t>
            </w:r>
            <w:r w:rsidRPr="0048759D">
              <w:rPr>
                <w:rFonts w:cstheme="minorHAnsi"/>
                <w:i/>
              </w:rPr>
              <w:t>respondentů, kteří ve Zlíně trvalé bydliště nemají a 60,2 u studentů UTB. Vstřícnost úředníků hodnotí občané 53,9 a</w:t>
            </w:r>
            <w:r>
              <w:rPr>
                <w:rFonts w:cstheme="minorHAnsi"/>
                <w:i/>
              </w:rPr>
              <w:t> </w:t>
            </w:r>
            <w:r w:rsidRPr="0048759D">
              <w:rPr>
                <w:rFonts w:cstheme="minorHAnsi"/>
                <w:i/>
              </w:rPr>
              <w:t>rychlost vyřízení požadavku pouze 49,0</w:t>
            </w:r>
            <w:r>
              <w:rPr>
                <w:rFonts w:cstheme="minorHAnsi"/>
                <w:i/>
              </w:rPr>
              <w:t>.</w:t>
            </w:r>
          </w:p>
          <w:p w14:paraId="45B3F889" w14:textId="21227AE2" w:rsidR="007175FE" w:rsidRDefault="007175FE" w:rsidP="00A55F7D">
            <w:pPr>
              <w:pStyle w:val="Odstavecseseznamem"/>
              <w:numPr>
                <w:ilvl w:val="0"/>
                <w:numId w:val="72"/>
              </w:numPr>
              <w:spacing w:before="0" w:after="120"/>
              <w:contextualSpacing w:val="0"/>
              <w:rPr>
                <w:rFonts w:cstheme="minorHAnsi"/>
                <w:i/>
              </w:rPr>
            </w:pPr>
            <w:r w:rsidRPr="003D492B">
              <w:rPr>
                <w:rFonts w:cstheme="minorHAnsi"/>
                <w:b/>
                <w:i/>
              </w:rPr>
              <w:t>Odstěhovat se</w:t>
            </w:r>
            <w:r w:rsidRPr="0048759D">
              <w:rPr>
                <w:rFonts w:cstheme="minorHAnsi"/>
                <w:i/>
              </w:rPr>
              <w:t xml:space="preserve"> v budoucnu ze Zlína plánuje 15,0 % oslovených občanů. Více než polovina (55,3 %) občanů se dále ze Zlína stěhovat nehodlá a 29,7 % občanů o stěhování uvažuje. Ze studentů UTB se plánuje stěhovat 33,9 %, stěhovat se neb</w:t>
            </w:r>
            <w:r>
              <w:rPr>
                <w:rFonts w:cstheme="minorHAnsi"/>
                <w:i/>
              </w:rPr>
              <w:t>ude 20,3 % a uvažuje o tom 45,8 </w:t>
            </w:r>
            <w:r w:rsidRPr="0048759D">
              <w:rPr>
                <w:rFonts w:cstheme="minorHAnsi"/>
                <w:i/>
              </w:rPr>
              <w:t xml:space="preserve">% studentů UTB. </w:t>
            </w:r>
            <w:r w:rsidRPr="00D51134">
              <w:rPr>
                <w:rFonts w:cstheme="minorHAnsi"/>
                <w:i/>
              </w:rPr>
              <w:t>Lidé nejčastěji uváděli, že se budou stěhov</w:t>
            </w:r>
            <w:r>
              <w:rPr>
                <w:rFonts w:cstheme="minorHAnsi"/>
                <w:i/>
              </w:rPr>
              <w:t>at za prací (156 respondentů) a </w:t>
            </w:r>
            <w:r w:rsidRPr="00D51134">
              <w:rPr>
                <w:rFonts w:cstheme="minorHAnsi"/>
                <w:i/>
              </w:rPr>
              <w:t>kvůli lepšímu bydlení (116). Významným důvodem byla také doprava, ve které je zahrnuta také dopravní dostupnost a hluk</w:t>
            </w:r>
            <w:r>
              <w:rPr>
                <w:rFonts w:cstheme="minorHAnsi"/>
                <w:i/>
              </w:rPr>
              <w:t xml:space="preserve"> z dopravy</w:t>
            </w:r>
            <w:r w:rsidRPr="00D51134">
              <w:rPr>
                <w:rFonts w:cstheme="minorHAnsi"/>
                <w:i/>
              </w:rPr>
              <w:t>.</w:t>
            </w:r>
          </w:p>
          <w:p w14:paraId="24526BD3" w14:textId="77777777" w:rsidR="007175FE" w:rsidRDefault="007175FE" w:rsidP="00A55F7D">
            <w:pPr>
              <w:pStyle w:val="Odstavecseseznamem"/>
              <w:numPr>
                <w:ilvl w:val="0"/>
                <w:numId w:val="72"/>
              </w:numPr>
              <w:spacing w:before="0" w:after="120"/>
              <w:contextualSpacing w:val="0"/>
              <w:rPr>
                <w:rFonts w:cstheme="minorHAnsi"/>
                <w:i/>
              </w:rPr>
            </w:pPr>
            <w:r w:rsidRPr="00D51134">
              <w:rPr>
                <w:rFonts w:cstheme="minorHAnsi"/>
                <w:i/>
              </w:rPr>
              <w:t xml:space="preserve">U otázky, </w:t>
            </w:r>
            <w:r w:rsidRPr="003D492B">
              <w:rPr>
                <w:rFonts w:cstheme="minorHAnsi"/>
                <w:b/>
                <w:i/>
              </w:rPr>
              <w:t>které oblasti by mělo město přednostně podporovat</w:t>
            </w:r>
            <w:r>
              <w:rPr>
                <w:rFonts w:cstheme="minorHAnsi"/>
                <w:b/>
                <w:i/>
              </w:rPr>
              <w:t>,</w:t>
            </w:r>
            <w:r>
              <w:rPr>
                <w:rFonts w:cstheme="minorHAnsi"/>
                <w:i/>
              </w:rPr>
              <w:t xml:space="preserve"> </w:t>
            </w:r>
            <w:r w:rsidRPr="00D51134">
              <w:rPr>
                <w:rFonts w:cstheme="minorHAnsi"/>
                <w:i/>
              </w:rPr>
              <w:t>zvolila více než polovina občanů Zlína zlepšení dopravy. Dále se často vyskytovala možnost podpořit bytovou výstavbu, zlepšit životní prostředí a rozvíjet možnosti pro volný čas. Větší počet kulturních aktivit by ocenili především respondenti, kteří ve Zlíně nemají trvalé bydliště</w:t>
            </w:r>
            <w:r>
              <w:rPr>
                <w:rFonts w:cstheme="minorHAnsi"/>
                <w:i/>
              </w:rPr>
              <w:t>,</w:t>
            </w:r>
            <w:r w:rsidRPr="00D51134">
              <w:rPr>
                <w:rFonts w:cstheme="minorHAnsi"/>
                <w:i/>
              </w:rPr>
              <w:t xml:space="preserve"> a studenti UTB. Naopak rozvoj sociálních služeb se ukázal být důležitější pro občany Zlína. </w:t>
            </w:r>
          </w:p>
          <w:p w14:paraId="08FF3F25" w14:textId="77777777" w:rsidR="007175FE" w:rsidRPr="003D492B" w:rsidRDefault="007175FE" w:rsidP="00A55F7D">
            <w:pPr>
              <w:pStyle w:val="Odstavecseseznamem"/>
              <w:numPr>
                <w:ilvl w:val="0"/>
                <w:numId w:val="72"/>
              </w:numPr>
              <w:spacing w:before="0" w:after="120"/>
              <w:rPr>
                <w:rFonts w:cstheme="minorHAnsi"/>
                <w:i/>
              </w:rPr>
            </w:pPr>
            <w:r w:rsidRPr="003D492B">
              <w:rPr>
                <w:rFonts w:cstheme="minorHAnsi"/>
                <w:i/>
              </w:rPr>
              <w:t xml:space="preserve">U poslední volné otázky mohli respondenti uvádět své podněty, </w:t>
            </w:r>
            <w:r w:rsidRPr="003D492B">
              <w:rPr>
                <w:rFonts w:cstheme="minorHAnsi"/>
                <w:b/>
                <w:i/>
              </w:rPr>
              <w:t>co by mělo být podniknuto k rozvoji Zlína</w:t>
            </w:r>
            <w:r w:rsidRPr="003D492B">
              <w:rPr>
                <w:rFonts w:cstheme="minorHAnsi"/>
                <w:i/>
              </w:rPr>
              <w:t>. Nejvíce se jich týkalo dopravy a dopravní situace, kdy respondenti reagují na vysokou hustotu dopravy, špatné dopravní spojení Zlína, nebezpečné úseky a chybějící parkovací místa. Ve více případech je navrhováno rozšíření spojů MHD do vzdálenějších lokalit, celkové zlevnění a propagace MHD, případně zvýhodněné jízdné pro obyvatele Zlína. Navrhovaná byla také integrace MHD a vlakové dopravy a chytrá řešení typu elektronického nákupu jízdenek.</w:t>
            </w:r>
            <w:r>
              <w:rPr>
                <w:rFonts w:cstheme="minorHAnsi"/>
                <w:i/>
              </w:rPr>
              <w:t xml:space="preserve"> </w:t>
            </w:r>
            <w:r w:rsidRPr="00D51134">
              <w:rPr>
                <w:rFonts w:cstheme="minorHAnsi"/>
                <w:i/>
              </w:rPr>
              <w:t>Opakovaly se žádosti o opravy budov</w:t>
            </w:r>
            <w:r>
              <w:rPr>
                <w:rFonts w:cstheme="minorHAnsi"/>
                <w:i/>
              </w:rPr>
              <w:t xml:space="preserve"> a lokalit</w:t>
            </w:r>
            <w:r w:rsidRPr="00D51134">
              <w:rPr>
                <w:rFonts w:cstheme="minorHAnsi"/>
                <w:i/>
              </w:rPr>
              <w:t>, především nádraží, kina, náměstí, budovy soudu a tržiště. Mnoho názorů bylo o stavbě nové nemocnice, kdy 22 respondentů odpovídalo, že by si přálo</w:t>
            </w:r>
            <w:r>
              <w:rPr>
                <w:rFonts w:cstheme="minorHAnsi"/>
                <w:i/>
              </w:rPr>
              <w:t xml:space="preserve"> zachovat současnou nemocnici a </w:t>
            </w:r>
            <w:r w:rsidRPr="00D51134">
              <w:rPr>
                <w:rFonts w:cstheme="minorHAnsi"/>
                <w:i/>
              </w:rPr>
              <w:t xml:space="preserve">pouze ji rekonstruovat a 11 jich požadovalo stavbu nemocnice nové. </w:t>
            </w:r>
            <w:r>
              <w:rPr>
                <w:rFonts w:cstheme="minorHAnsi"/>
                <w:i/>
              </w:rPr>
              <w:t>Žádosti byly také o </w:t>
            </w:r>
            <w:r w:rsidRPr="00D51134">
              <w:rPr>
                <w:rFonts w:cstheme="minorHAnsi"/>
                <w:i/>
              </w:rPr>
              <w:t>sociální služby a o řešení problémů s nepřizpůsobivými občany.</w:t>
            </w:r>
          </w:p>
        </w:tc>
      </w:tr>
    </w:tbl>
    <w:p w14:paraId="2785D657" w14:textId="43EA7507" w:rsidR="007175FE" w:rsidRDefault="007175FE" w:rsidP="007175FE">
      <w:pPr>
        <w:rPr>
          <w:rFonts w:cstheme="minorHAnsi"/>
          <w:b/>
        </w:rPr>
      </w:pPr>
    </w:p>
    <w:p w14:paraId="14986849" w14:textId="77777777" w:rsidR="007175FE" w:rsidRDefault="007175FE">
      <w:pPr>
        <w:spacing w:before="0" w:after="160" w:line="259" w:lineRule="auto"/>
        <w:jc w:val="left"/>
        <w:rPr>
          <w:rFonts w:cstheme="minorHAnsi"/>
          <w:b/>
        </w:rPr>
      </w:pPr>
      <w:r>
        <w:rPr>
          <w:rFonts w:cstheme="minorHAnsi"/>
          <w:b/>
        </w:rPr>
        <w:br w:type="page"/>
      </w:r>
    </w:p>
    <w:p w14:paraId="4FCB8C65" w14:textId="67050AEC" w:rsidR="009D068D" w:rsidRDefault="00BF26AA" w:rsidP="00A91C05">
      <w:pPr>
        <w:pStyle w:val="Nadpis2"/>
      </w:pPr>
      <w:bookmarkStart w:id="728" w:name="_Toc77074636"/>
      <w:r>
        <w:t>Analýza stakeholderů</w:t>
      </w:r>
      <w:bookmarkEnd w:id="728"/>
      <w:r>
        <w:t xml:space="preserve"> </w:t>
      </w:r>
    </w:p>
    <w:p w14:paraId="0055ACD8" w14:textId="6E39E0BD" w:rsidR="00A91C05" w:rsidRPr="00577E7E" w:rsidRDefault="00A91C05" w:rsidP="00A91C05">
      <w:pPr>
        <w:pStyle w:val="Nadpis3"/>
      </w:pPr>
      <w:bookmarkStart w:id="729" w:name="_Toc46218666"/>
      <w:bookmarkStart w:id="730" w:name="_Toc77074637"/>
      <w:r w:rsidRPr="00577E7E">
        <w:t>Ú</w:t>
      </w:r>
      <w:bookmarkEnd w:id="729"/>
      <w:r w:rsidR="00CD1295">
        <w:t>vod</w:t>
      </w:r>
      <w:bookmarkEnd w:id="730"/>
    </w:p>
    <w:p w14:paraId="1E674BC6" w14:textId="77777777" w:rsidR="00ED238E" w:rsidRPr="00577E7E" w:rsidRDefault="00ED238E" w:rsidP="00ED238E">
      <w:pPr>
        <w:rPr>
          <w:rFonts w:ascii="Georgia" w:hAnsi="Georgia"/>
          <w:spacing w:val="2"/>
          <w:shd w:val="clear" w:color="auto" w:fill="FFFFFF"/>
        </w:rPr>
      </w:pPr>
      <w:r w:rsidRPr="00577E7E">
        <w:rPr>
          <w:rFonts w:cstheme="minorHAnsi"/>
          <w:shd w:val="clear" w:color="auto" w:fill="FFFFFF"/>
        </w:rPr>
        <w:t xml:space="preserve">V rámci získání celkového pohledu na priority rozvoje města Zlín </w:t>
      </w:r>
      <w:r>
        <w:rPr>
          <w:rFonts w:cstheme="minorHAnsi"/>
          <w:shd w:val="clear" w:color="auto" w:fill="FFFFFF"/>
        </w:rPr>
        <w:t>bylo</w:t>
      </w:r>
      <w:r w:rsidRPr="00577E7E">
        <w:rPr>
          <w:rFonts w:cstheme="minorHAnsi"/>
          <w:shd w:val="clear" w:color="auto" w:fill="FFFFFF"/>
        </w:rPr>
        <w:t xml:space="preserve"> vhodné zapojit do procesu strategického plánování všechny zainteresované strany, tzv</w:t>
      </w:r>
      <w:r w:rsidRPr="00BE5F24">
        <w:rPr>
          <w:rFonts w:cstheme="minorHAnsi"/>
          <w:shd w:val="clear" w:color="auto" w:fill="FFFFFF"/>
        </w:rPr>
        <w:t xml:space="preserve">. </w:t>
      </w:r>
      <w:r w:rsidRPr="00BE5F24">
        <w:rPr>
          <w:rStyle w:val="Zdraznn"/>
          <w:rFonts w:cstheme="minorHAnsi"/>
          <w:b/>
          <w:bCs/>
          <w:i w:val="0"/>
          <w:iCs w:val="0"/>
          <w:shd w:val="clear" w:color="auto" w:fill="FFFFFF"/>
        </w:rPr>
        <w:t>stakeholdery</w:t>
      </w:r>
      <w:r w:rsidRPr="00577E7E">
        <w:rPr>
          <w:rFonts w:cstheme="minorHAnsi"/>
          <w:shd w:val="clear" w:color="auto" w:fill="FFFFFF"/>
        </w:rPr>
        <w:t xml:space="preserve">. </w:t>
      </w:r>
      <w:r w:rsidRPr="00577E7E">
        <w:t>Dle odborné literatury můžeme za stakeholdera považovat toho, kdo má na daných procesech určitý zájem, je danými procesy postižen/ovlivněn a má aktivní či pasivní vliv na rozhodování v rámci daných procesů.</w:t>
      </w:r>
      <w:r w:rsidRPr="00577E7E">
        <w:rPr>
          <w:rFonts w:cstheme="minorHAnsi"/>
          <w:shd w:val="clear" w:color="auto" w:fill="FFFFFF"/>
        </w:rPr>
        <w:t xml:space="preserve"> V tomto případě mohou být stakeholdeři jedinci, skupiny, subjekty či jiné organizace, které jsou nějakým způsobem svázané s daným územím, tedy s městem Zlín – aktivně přispívají k rozvoji a naplňování cílů města nebo je alespoň nějak ovlivňují. Jinými slovy jsou to všichni, kterých se nějak týká rozvoj města Zlín</w:t>
      </w:r>
      <w:r>
        <w:rPr>
          <w:rFonts w:cstheme="minorHAnsi"/>
          <w:shd w:val="clear" w:color="auto" w:fill="FFFFFF"/>
        </w:rPr>
        <w:t>,</w:t>
      </w:r>
      <w:r w:rsidRPr="00577E7E">
        <w:rPr>
          <w:rFonts w:cstheme="minorHAnsi"/>
          <w:shd w:val="clear" w:color="auto" w:fill="FFFFFF"/>
        </w:rPr>
        <w:t xml:space="preserve"> a proto by měly být jejich zájmy</w:t>
      </w:r>
      <w:r w:rsidRPr="00577E7E">
        <w:rPr>
          <w:rFonts w:cstheme="minorHAnsi"/>
          <w:spacing w:val="2"/>
          <w:shd w:val="clear" w:color="auto" w:fill="FFFFFF"/>
        </w:rPr>
        <w:t xml:space="preserve"> při rozhodování o strategických cílech města </w:t>
      </w:r>
      <w:r>
        <w:rPr>
          <w:rFonts w:cstheme="minorHAnsi"/>
          <w:spacing w:val="2"/>
          <w:shd w:val="clear" w:color="auto" w:fill="FFFFFF"/>
        </w:rPr>
        <w:t>alespoň</w:t>
      </w:r>
      <w:r w:rsidRPr="00577E7E">
        <w:rPr>
          <w:rFonts w:cstheme="minorHAnsi"/>
          <w:spacing w:val="2"/>
          <w:shd w:val="clear" w:color="auto" w:fill="FFFFFF"/>
        </w:rPr>
        <w:t xml:space="preserve"> zohledněny</w:t>
      </w:r>
      <w:r w:rsidRPr="00577E7E">
        <w:rPr>
          <w:rFonts w:ascii="Georgia" w:hAnsi="Georgia"/>
          <w:spacing w:val="2"/>
          <w:shd w:val="clear" w:color="auto" w:fill="FFFFFF"/>
        </w:rPr>
        <w:t>.</w:t>
      </w:r>
    </w:p>
    <w:p w14:paraId="7BD2BA0D" w14:textId="77777777" w:rsidR="00ED238E" w:rsidRPr="00577E7E" w:rsidRDefault="00ED238E" w:rsidP="00ED238E">
      <w:r w:rsidRPr="00577E7E">
        <w:t xml:space="preserve">„V mnoha případech může být osoba s odbornými znalostmi problematiky a klíčových institucí cenným členem týmu, někým, kdo dodává na důvěryhodnosti celému projektu. Vhodnost přímého či nepřímého zapojení identifikovaných osob do dané Pracovní skupiny pro tvorbu strategie je třeba pečlivě posoudit a schválit odpovědnou osobou. Zapojení klíčových zainteresovaných stran (ať již přímo či ne) je důležité z důvodu: </w:t>
      </w:r>
    </w:p>
    <w:p w14:paraId="5E387DBB" w14:textId="77777777" w:rsidR="00ED238E" w:rsidRPr="00E71EA8" w:rsidRDefault="00ED238E" w:rsidP="00ED238E">
      <w:pPr>
        <w:pStyle w:val="Odstavecseseznamem"/>
        <w:numPr>
          <w:ilvl w:val="0"/>
          <w:numId w:val="3"/>
        </w:numPr>
        <w:spacing w:before="0" w:after="160" w:line="259" w:lineRule="auto"/>
      </w:pPr>
      <w:r w:rsidRPr="00E71EA8">
        <w:t xml:space="preserve">zlepšení komunikace o průběhu tvorby strategického dokumentu, </w:t>
      </w:r>
    </w:p>
    <w:p w14:paraId="383C5643" w14:textId="77777777" w:rsidR="00ED238E" w:rsidRPr="00E71EA8" w:rsidRDefault="00ED238E" w:rsidP="00ED238E">
      <w:pPr>
        <w:pStyle w:val="Odstavecseseznamem"/>
        <w:numPr>
          <w:ilvl w:val="0"/>
          <w:numId w:val="3"/>
        </w:numPr>
        <w:spacing w:before="0" w:after="160" w:line="259" w:lineRule="auto"/>
      </w:pPr>
      <w:r w:rsidRPr="00E71EA8">
        <w:t xml:space="preserve">získání nutné podpory pro potřebu vytvoření strategie (např. ze strany veřejnosti, odborníků apod.), </w:t>
      </w:r>
    </w:p>
    <w:p w14:paraId="7DC60E52" w14:textId="77777777" w:rsidR="00ED238E" w:rsidRPr="00E71EA8" w:rsidRDefault="00ED238E" w:rsidP="00ED238E">
      <w:pPr>
        <w:pStyle w:val="Odstavecseseznamem"/>
        <w:numPr>
          <w:ilvl w:val="0"/>
          <w:numId w:val="3"/>
        </w:numPr>
        <w:spacing w:before="0" w:after="160" w:line="259" w:lineRule="auto"/>
      </w:pPr>
      <w:r w:rsidRPr="00E71EA8">
        <w:t xml:space="preserve">shromáždění užitečných zdrojů dat, informací a podnětů, </w:t>
      </w:r>
    </w:p>
    <w:p w14:paraId="322052A8" w14:textId="77777777" w:rsidR="00ED238E" w:rsidRPr="00E71EA8" w:rsidRDefault="00ED238E" w:rsidP="00ED238E">
      <w:pPr>
        <w:pStyle w:val="Odstavecseseznamem"/>
        <w:numPr>
          <w:ilvl w:val="0"/>
          <w:numId w:val="3"/>
        </w:numPr>
        <w:spacing w:before="0" w:after="160" w:line="259" w:lineRule="auto"/>
      </w:pPr>
      <w:r w:rsidRPr="00E71EA8">
        <w:t>zlepšení kvality rozhodnutí (díky širšímu konsenzu).“</w:t>
      </w:r>
      <w:r w:rsidRPr="00E71EA8">
        <w:rPr>
          <w:rStyle w:val="Znakapoznpodarou"/>
        </w:rPr>
        <w:footnoteReference w:id="110"/>
      </w:r>
      <w:r w:rsidRPr="00E71EA8">
        <w:t xml:space="preserve"> </w:t>
      </w:r>
    </w:p>
    <w:p w14:paraId="1D0FBC0B" w14:textId="121051C5" w:rsidR="00ED238E" w:rsidRPr="00A54E0F" w:rsidRDefault="00ED238E" w:rsidP="00ED238E">
      <w:pPr>
        <w:tabs>
          <w:tab w:val="left" w:pos="3828"/>
        </w:tabs>
      </w:pPr>
      <w:r w:rsidRPr="00A54E0F">
        <w:t>Analýza stakeholderů</w:t>
      </w:r>
      <w:r w:rsidRPr="00A54E0F">
        <w:rPr>
          <w:rFonts w:cstheme="minorHAnsi"/>
          <w:shd w:val="clear" w:color="auto" w:fill="FFFFFF"/>
        </w:rPr>
        <w:t xml:space="preserve"> představuje jednu z typických technik pro tvorbu a posuzování textu připravované strategie. Jedná se o kvalitativní, expertní metodu zaměřenou na subjekty, které mohou různou měrou ovlivnit budoucí úspěch přípravy a naplňování strategie rozvoje města. Analýza spočívá v</w:t>
      </w:r>
      <w:r w:rsidR="00E71EA8">
        <w:rPr>
          <w:rFonts w:cstheme="minorHAnsi"/>
          <w:shd w:val="clear" w:color="auto" w:fill="FFFFFF"/>
        </w:rPr>
        <w:t> </w:t>
      </w:r>
      <w:r w:rsidRPr="00A54E0F">
        <w:rPr>
          <w:rFonts w:cstheme="minorHAnsi"/>
          <w:shd w:val="clear" w:color="auto" w:fill="FFFFFF"/>
        </w:rPr>
        <w:t>i</w:t>
      </w:r>
      <w:r w:rsidRPr="00A54E0F">
        <w:t>dentifikaci a zmapování zainteresovaných stran za účelem jejich zapojení (případně nezapojení) do tvorby strategie.</w:t>
      </w:r>
    </w:p>
    <w:p w14:paraId="7FADB0A2" w14:textId="173920A4" w:rsidR="00ED238E" w:rsidRPr="00577E7E" w:rsidRDefault="00ED238E" w:rsidP="00ED238E">
      <w:pPr>
        <w:tabs>
          <w:tab w:val="left" w:pos="3828"/>
        </w:tabs>
      </w:pPr>
      <w:r w:rsidRPr="00A54E0F">
        <w:t>Analýza stakeholderů v menším rozsahu byla provedena při sestavování koordinačního výboru a</w:t>
      </w:r>
      <w:r w:rsidR="00E71EA8">
        <w:t> </w:t>
      </w:r>
      <w:r w:rsidRPr="00A54E0F">
        <w:t>pracovních skupin. Realizační tým přípravy strategie, složený zejména ze zaměstnanců oddělení koordinace projektů Magistrátu města Zlína, a garant strategie, člen Rady města Zlína odpovědný za oblast strategického rozvoje, jmenovaný Radou města Zlína a současně předseda Koordinačního výboru, navrhli významné aktéry, působící v území, kteří se stali členy koordinačního výboru. Realizační tým a předsedové pracovních skupin zvoleni Radou města Zlína navrhli členy pracovních skupin z řad stakeholderů. Pro tvorbu Strategie 2030 byly sestaveny pracovní skupiny pojmenované Kvalita</w:t>
      </w:r>
      <w:r w:rsidRPr="00577E7E">
        <w:t xml:space="preserve"> života, Vzdělá</w:t>
      </w:r>
      <w:r w:rsidR="00757ADA">
        <w:t>vá</w:t>
      </w:r>
      <w:r w:rsidRPr="00577E7E">
        <w:t>ní, Bezpečnost, Doprava a technická infrastruktura, Územní plánování a urbanismus, Vstřícné město a Vizionářská. Hlavní témata a hlavní cíle pracovních skupin byly stanoveny na základě výstupů z</w:t>
      </w:r>
      <w:r w:rsidR="00E71EA8">
        <w:t> </w:t>
      </w:r>
      <w:r w:rsidRPr="00577E7E">
        <w:t xml:space="preserve">vizionářské pracovní skupiny, která se skládá zejména </w:t>
      </w:r>
      <w:r w:rsidRPr="007C7263">
        <w:t>z</w:t>
      </w:r>
      <w:r>
        <w:t xml:space="preserve"> </w:t>
      </w:r>
      <w:r w:rsidRPr="00577E7E">
        <w:t>významných osobností podnikatelské sféry a</w:t>
      </w:r>
      <w:r w:rsidR="00E71EA8">
        <w:t> </w:t>
      </w:r>
      <w:r w:rsidRPr="00577E7E">
        <w:t>pracuje pod vedením primátora města Jiřího Korce.</w:t>
      </w:r>
    </w:p>
    <w:p w14:paraId="455E315C" w14:textId="6C4D5B87" w:rsidR="00ED238E" w:rsidRPr="00577E7E" w:rsidRDefault="00ED238E" w:rsidP="00ED238E">
      <w:pPr>
        <w:rPr>
          <w:lang w:eastAsia="cs-CZ"/>
        </w:rPr>
      </w:pPr>
      <w:r>
        <w:rPr>
          <w:lang w:eastAsia="cs-CZ"/>
        </w:rPr>
        <w:t>Na první výběr stakeholderů a jejich zapojení do přípravy strategie rozvoje města v rámci koordinačního výboru a pracovních skupin navazuje podrobnější an</w:t>
      </w:r>
      <w:r w:rsidRPr="00577E7E">
        <w:rPr>
          <w:lang w:eastAsia="cs-CZ"/>
        </w:rPr>
        <w:t>alýza zainteresovaných stran</w:t>
      </w:r>
      <w:r>
        <w:rPr>
          <w:lang w:eastAsia="cs-CZ"/>
        </w:rPr>
        <w:t>, která s</w:t>
      </w:r>
      <w:r w:rsidR="00E71EA8">
        <w:rPr>
          <w:lang w:eastAsia="cs-CZ"/>
        </w:rPr>
        <w:t> </w:t>
      </w:r>
      <w:r>
        <w:rPr>
          <w:lang w:eastAsia="cs-CZ"/>
        </w:rPr>
        <w:t>prvotní analýzou</w:t>
      </w:r>
      <w:r w:rsidRPr="00577E7E">
        <w:rPr>
          <w:lang w:eastAsia="cs-CZ"/>
        </w:rPr>
        <w:t xml:space="preserve"> </w:t>
      </w:r>
      <w:r>
        <w:rPr>
          <w:lang w:eastAsia="cs-CZ"/>
        </w:rPr>
        <w:t>pracuje, rozšiřuje ji a prioritizuje klíčové stakeholdery s využitím znalostí prostředí členů pracovních skupin. Podrobnější analýza proběhla v následujících krocích</w:t>
      </w:r>
      <w:r w:rsidRPr="00577E7E">
        <w:rPr>
          <w:lang w:eastAsia="cs-CZ"/>
        </w:rPr>
        <w:t>:</w:t>
      </w:r>
    </w:p>
    <w:p w14:paraId="49986FA9" w14:textId="77777777" w:rsidR="00ED238E" w:rsidRPr="000818D2" w:rsidRDefault="00ED238E" w:rsidP="00ED238E">
      <w:pPr>
        <w:keepNext/>
        <w:keepLines/>
        <w:rPr>
          <w:b/>
          <w:lang w:eastAsia="cs-CZ"/>
        </w:rPr>
      </w:pPr>
      <w:r>
        <w:rPr>
          <w:b/>
          <w:lang w:eastAsia="cs-CZ"/>
        </w:rPr>
        <w:t xml:space="preserve">1/ </w:t>
      </w:r>
      <w:r w:rsidRPr="00577E7E">
        <w:rPr>
          <w:b/>
          <w:lang w:eastAsia="cs-CZ"/>
        </w:rPr>
        <w:t xml:space="preserve">Identifikace </w:t>
      </w:r>
      <w:r w:rsidRPr="000818D2">
        <w:rPr>
          <w:b/>
          <w:lang w:eastAsia="cs-CZ"/>
        </w:rPr>
        <w:t xml:space="preserve">stakeholderů </w:t>
      </w:r>
    </w:p>
    <w:p w14:paraId="78008D0B" w14:textId="5EE52DEC" w:rsidR="00ED238E" w:rsidRPr="000818D2" w:rsidRDefault="00ED238E" w:rsidP="00ED238E">
      <w:pPr>
        <w:pStyle w:val="Odstavecseseznamem"/>
        <w:ind w:left="0"/>
        <w:rPr>
          <w:lang w:eastAsia="cs-CZ"/>
        </w:rPr>
      </w:pPr>
      <w:r w:rsidRPr="000818D2">
        <w:rPr>
          <w:lang w:eastAsia="cs-CZ"/>
        </w:rPr>
        <w:t xml:space="preserve">Jedná se o souhrn všech zainteresovaných stran, které mají přímý či nepřímý vliv na rozvoji města Zlín nebo jsou </w:t>
      </w:r>
      <w:r>
        <w:rPr>
          <w:lang w:eastAsia="cs-CZ"/>
        </w:rPr>
        <w:t>s ním nějakým způsobem spojeny</w:t>
      </w:r>
      <w:r w:rsidRPr="000818D2">
        <w:rPr>
          <w:lang w:eastAsia="cs-CZ"/>
        </w:rPr>
        <w:t xml:space="preserve">, s cílem vytvoření přehledu konkrétních zainteresovaných stran. </w:t>
      </w:r>
      <w:r w:rsidRPr="000818D2">
        <w:t>Aby došlo ke kompletní ident</w:t>
      </w:r>
      <w:r>
        <w:t>ifikaci zainteresovaných stran, byla</w:t>
      </w:r>
      <w:r w:rsidRPr="000818D2">
        <w:t xml:space="preserve"> pro </w:t>
      </w:r>
      <w:r w:rsidRPr="000818D2">
        <w:rPr>
          <w:lang w:eastAsia="cs-CZ"/>
        </w:rPr>
        <w:t>identifikaci využita kombinace metod.</w:t>
      </w:r>
    </w:p>
    <w:p w14:paraId="482FD95B" w14:textId="4C95F750" w:rsidR="00ED238E" w:rsidRPr="000818D2" w:rsidRDefault="00ED238E" w:rsidP="00ED238E">
      <w:pPr>
        <w:pStyle w:val="Odstavecseseznamem"/>
        <w:numPr>
          <w:ilvl w:val="1"/>
          <w:numId w:val="2"/>
        </w:numPr>
        <w:tabs>
          <w:tab w:val="clear" w:pos="1440"/>
        </w:tabs>
        <w:spacing w:before="100" w:beforeAutospacing="1" w:after="135"/>
        <w:ind w:left="851"/>
        <w:rPr>
          <w:rFonts w:eastAsia="Times New Roman" w:cstheme="minorHAnsi"/>
          <w:color w:val="001332"/>
          <w:spacing w:val="8"/>
          <w:szCs w:val="23"/>
          <w:lang w:eastAsia="cs-CZ"/>
        </w:rPr>
      </w:pPr>
      <w:r w:rsidRPr="000818D2">
        <w:rPr>
          <w:lang w:eastAsia="cs-CZ"/>
        </w:rPr>
        <w:t>Vytvoření seznamu zainteresovaných stran</w:t>
      </w:r>
      <w:r w:rsidRPr="000818D2">
        <w:rPr>
          <w:rFonts w:eastAsia="Times New Roman" w:cstheme="minorHAnsi"/>
          <w:color w:val="001332"/>
          <w:spacing w:val="8"/>
          <w:szCs w:val="23"/>
          <w:lang w:eastAsia="cs-CZ"/>
        </w:rPr>
        <w:t xml:space="preserve"> </w:t>
      </w:r>
      <w:r w:rsidR="00034AB0">
        <w:rPr>
          <w:rFonts w:eastAsia="Times New Roman" w:cstheme="minorHAnsi"/>
          <w:color w:val="001332"/>
          <w:spacing w:val="8"/>
          <w:szCs w:val="23"/>
          <w:lang w:eastAsia="cs-CZ"/>
        </w:rPr>
        <w:sym w:font="Symbol" w:char="F02D"/>
      </w:r>
      <w:r w:rsidRPr="000818D2">
        <w:rPr>
          <w:rFonts w:eastAsia="Times New Roman" w:cstheme="minorHAnsi"/>
          <w:color w:val="001332"/>
          <w:spacing w:val="8"/>
          <w:szCs w:val="23"/>
          <w:lang w:eastAsia="cs-CZ"/>
        </w:rPr>
        <w:t xml:space="preserve"> </w:t>
      </w:r>
      <w:r w:rsidRPr="000818D2">
        <w:t>seznam je členěn dle dimenzí tematické, geografické a sektorové.</w:t>
      </w:r>
    </w:p>
    <w:p w14:paraId="6EB2435C" w14:textId="77777777" w:rsidR="00ED238E" w:rsidRPr="000818D2" w:rsidRDefault="00ED238E" w:rsidP="00ED238E">
      <w:pPr>
        <w:pStyle w:val="Odstavecseseznamem"/>
        <w:numPr>
          <w:ilvl w:val="1"/>
          <w:numId w:val="2"/>
        </w:numPr>
        <w:tabs>
          <w:tab w:val="clear" w:pos="1440"/>
        </w:tabs>
        <w:spacing w:before="100" w:beforeAutospacing="1" w:after="135"/>
        <w:ind w:left="851"/>
        <w:rPr>
          <w:rFonts w:eastAsia="Times New Roman" w:cstheme="minorHAnsi"/>
          <w:color w:val="001332"/>
          <w:spacing w:val="8"/>
          <w:szCs w:val="23"/>
          <w:lang w:eastAsia="cs-CZ"/>
        </w:rPr>
      </w:pPr>
      <w:r w:rsidRPr="000818D2">
        <w:t xml:space="preserve">Doplnění seznamu členy pracovních skupin </w:t>
      </w:r>
      <w:r w:rsidRPr="000818D2">
        <w:rPr>
          <w:rFonts w:eastAsia="Times New Roman" w:cstheme="minorHAnsi"/>
          <w:color w:val="001332"/>
          <w:spacing w:val="8"/>
          <w:szCs w:val="23"/>
          <w:lang w:eastAsia="cs-CZ"/>
        </w:rPr>
        <w:t>– členové p</w:t>
      </w:r>
      <w:r w:rsidRPr="000818D2">
        <w:t xml:space="preserve">racovních skupin </w:t>
      </w:r>
      <w:r>
        <w:t xml:space="preserve">obdrželi </w:t>
      </w:r>
      <w:r w:rsidRPr="000818D2">
        <w:t xml:space="preserve">za svou tematickou oblast seznam zainteresovaných stran a dle potřeby jej </w:t>
      </w:r>
      <w:r>
        <w:t>doplnili</w:t>
      </w:r>
      <w:r w:rsidRPr="000818D2">
        <w:t xml:space="preserve">. </w:t>
      </w:r>
    </w:p>
    <w:p w14:paraId="47CF0F51" w14:textId="77777777" w:rsidR="00ED238E" w:rsidRPr="000818D2" w:rsidRDefault="00ED238E" w:rsidP="00ED238E">
      <w:r w:rsidRPr="000818D2">
        <w:t>Identifikace relevantních subjektů zahrnuje tři vzájemně propojené dimenze – tematickou, sektorovou, geografickou.</w:t>
      </w:r>
    </w:p>
    <w:tbl>
      <w:tblPr>
        <w:tblStyle w:val="Mkatabulky"/>
        <w:tblW w:w="0" w:type="auto"/>
        <w:tblInd w:w="-5" w:type="dxa"/>
        <w:tblLook w:val="04A0" w:firstRow="1" w:lastRow="0" w:firstColumn="1" w:lastColumn="0" w:noHBand="0" w:noVBand="1"/>
      </w:tblPr>
      <w:tblGrid>
        <w:gridCol w:w="4678"/>
        <w:gridCol w:w="4389"/>
      </w:tblGrid>
      <w:tr w:rsidR="00ED238E" w:rsidRPr="000818D2" w14:paraId="6E33777B" w14:textId="77777777" w:rsidTr="00B95064">
        <w:trPr>
          <w:trHeight w:val="2015"/>
        </w:trPr>
        <w:tc>
          <w:tcPr>
            <w:tcW w:w="4678" w:type="dxa"/>
          </w:tcPr>
          <w:p w14:paraId="6D8B69AB" w14:textId="77777777" w:rsidR="00ED238E" w:rsidRPr="000818D2" w:rsidRDefault="00ED238E" w:rsidP="00B95064">
            <w:pPr>
              <w:rPr>
                <w:b/>
              </w:rPr>
            </w:pPr>
            <w:r w:rsidRPr="000818D2">
              <w:rPr>
                <w:b/>
              </w:rPr>
              <w:t>1/ Tematická dimenze</w:t>
            </w:r>
          </w:p>
          <w:p w14:paraId="1861BDC2" w14:textId="77777777" w:rsidR="00ED238E" w:rsidRPr="000818D2" w:rsidRDefault="00ED238E" w:rsidP="00B95064">
            <w:r w:rsidRPr="000818D2">
              <w:t xml:space="preserve">Dimenze tematická je dána tématy, které byly specifikovány pracovní skupinou Vizionářskou jako prioritní pro rozvoj města: </w:t>
            </w:r>
          </w:p>
          <w:p w14:paraId="78B98008" w14:textId="77777777" w:rsidR="00ED238E" w:rsidRPr="000818D2" w:rsidRDefault="00ED238E" w:rsidP="00ED238E">
            <w:pPr>
              <w:pStyle w:val="Odstavecseseznamem"/>
              <w:numPr>
                <w:ilvl w:val="0"/>
                <w:numId w:val="5"/>
              </w:numPr>
              <w:spacing w:before="0"/>
              <w:jc w:val="left"/>
            </w:pPr>
            <w:r w:rsidRPr="000818D2">
              <w:t>Kvalita života</w:t>
            </w:r>
          </w:p>
          <w:p w14:paraId="7F71BAD3" w14:textId="77777777" w:rsidR="00ED238E" w:rsidRPr="000818D2" w:rsidRDefault="00ED238E" w:rsidP="00ED238E">
            <w:pPr>
              <w:pStyle w:val="Odstavecseseznamem"/>
              <w:numPr>
                <w:ilvl w:val="0"/>
                <w:numId w:val="5"/>
              </w:numPr>
              <w:spacing w:before="0"/>
              <w:jc w:val="left"/>
            </w:pPr>
            <w:r w:rsidRPr="000818D2">
              <w:t>Vzdělávání</w:t>
            </w:r>
          </w:p>
          <w:p w14:paraId="49191DAC" w14:textId="77777777" w:rsidR="00ED238E" w:rsidRPr="000818D2" w:rsidRDefault="00ED238E" w:rsidP="00ED238E">
            <w:pPr>
              <w:pStyle w:val="Odstavecseseznamem"/>
              <w:numPr>
                <w:ilvl w:val="0"/>
                <w:numId w:val="5"/>
              </w:numPr>
              <w:spacing w:before="0"/>
              <w:jc w:val="left"/>
            </w:pPr>
            <w:r w:rsidRPr="000818D2">
              <w:t>Bezpečnost</w:t>
            </w:r>
          </w:p>
          <w:p w14:paraId="63943469" w14:textId="77777777" w:rsidR="00ED238E" w:rsidRPr="000818D2" w:rsidRDefault="00ED238E" w:rsidP="00ED238E">
            <w:pPr>
              <w:pStyle w:val="Odstavecseseznamem"/>
              <w:numPr>
                <w:ilvl w:val="0"/>
                <w:numId w:val="5"/>
              </w:numPr>
              <w:spacing w:before="0"/>
              <w:jc w:val="left"/>
            </w:pPr>
            <w:r w:rsidRPr="000818D2">
              <w:t>Doprava a technická infrastruktura</w:t>
            </w:r>
          </w:p>
          <w:p w14:paraId="47AB93AF" w14:textId="77777777" w:rsidR="00ED238E" w:rsidRPr="000818D2" w:rsidRDefault="00ED238E" w:rsidP="00ED238E">
            <w:pPr>
              <w:pStyle w:val="Odstavecseseznamem"/>
              <w:numPr>
                <w:ilvl w:val="0"/>
                <w:numId w:val="5"/>
              </w:numPr>
              <w:spacing w:before="0"/>
              <w:jc w:val="left"/>
            </w:pPr>
            <w:r w:rsidRPr="000818D2">
              <w:t>Územní plánování a urbanismus</w:t>
            </w:r>
          </w:p>
          <w:p w14:paraId="1C4D7DDD" w14:textId="77777777" w:rsidR="00ED238E" w:rsidRPr="000818D2" w:rsidRDefault="00ED238E" w:rsidP="00ED238E">
            <w:pPr>
              <w:pStyle w:val="Odstavecseseznamem"/>
              <w:numPr>
                <w:ilvl w:val="0"/>
                <w:numId w:val="5"/>
              </w:numPr>
              <w:spacing w:before="0"/>
              <w:jc w:val="left"/>
            </w:pPr>
            <w:r w:rsidRPr="000818D2">
              <w:t>Vstřícné město</w:t>
            </w:r>
          </w:p>
        </w:tc>
        <w:tc>
          <w:tcPr>
            <w:tcW w:w="4389" w:type="dxa"/>
            <w:vMerge w:val="restart"/>
          </w:tcPr>
          <w:p w14:paraId="63E2403B" w14:textId="77777777" w:rsidR="00ED238E" w:rsidRPr="000818D2" w:rsidRDefault="00ED238E" w:rsidP="00B95064">
            <w:pPr>
              <w:rPr>
                <w:b/>
              </w:rPr>
            </w:pPr>
            <w:r w:rsidRPr="000818D2">
              <w:rPr>
                <w:b/>
              </w:rPr>
              <w:t>2/ Sektorová dimenze</w:t>
            </w:r>
          </w:p>
          <w:p w14:paraId="79C6F311" w14:textId="2E14B06D" w:rsidR="00ED238E" w:rsidRPr="000818D2" w:rsidRDefault="00ED238E" w:rsidP="00B95064">
            <w:r w:rsidRPr="000818D2">
              <w:t>V rámci sektorové dimenze lze v území v</w:t>
            </w:r>
            <w:r w:rsidR="00034AB0">
              <w:t> </w:t>
            </w:r>
            <w:r w:rsidRPr="000818D2">
              <w:t>zásadě identifikovat tři skupiny aktérů:</w:t>
            </w:r>
          </w:p>
          <w:p w14:paraId="6067D8FF" w14:textId="235E83B8" w:rsidR="00ED238E" w:rsidRPr="000818D2" w:rsidRDefault="00ED238E" w:rsidP="00ED238E">
            <w:pPr>
              <w:pStyle w:val="Odstavecseseznamem"/>
              <w:numPr>
                <w:ilvl w:val="0"/>
                <w:numId w:val="6"/>
              </w:numPr>
              <w:spacing w:before="0"/>
              <w:ind w:left="459"/>
            </w:pPr>
            <w:r w:rsidRPr="000818D2">
              <w:t xml:space="preserve">veřejný sektor </w:t>
            </w:r>
            <w:r w:rsidR="00034AB0">
              <w:sym w:font="Symbol" w:char="F02D"/>
            </w:r>
            <w:r w:rsidRPr="000818D2">
              <w:t xml:space="preserve">  tedy kraj, města a obce (samospráva), organizace státní správy a</w:t>
            </w:r>
            <w:r w:rsidR="00034AB0">
              <w:t> </w:t>
            </w:r>
            <w:r w:rsidRPr="000818D2">
              <w:t>veřejným sektorem zřizované nebo zakládané organizace,</w:t>
            </w:r>
          </w:p>
          <w:p w14:paraId="0AFC985D" w14:textId="77777777" w:rsidR="00ED238E" w:rsidRPr="000818D2" w:rsidRDefault="00ED238E" w:rsidP="00ED238E">
            <w:pPr>
              <w:pStyle w:val="Odstavecseseznamem"/>
              <w:numPr>
                <w:ilvl w:val="0"/>
                <w:numId w:val="6"/>
              </w:numPr>
              <w:spacing w:before="0"/>
              <w:ind w:left="459"/>
            </w:pPr>
            <w:r w:rsidRPr="000818D2">
              <w:t>podnikatelský sektor – zahrnuje podnikatelské subjekty,</w:t>
            </w:r>
          </w:p>
          <w:p w14:paraId="176DE694" w14:textId="415FC708" w:rsidR="00ED238E" w:rsidRPr="000818D2" w:rsidRDefault="00ED238E" w:rsidP="00034AB0">
            <w:pPr>
              <w:pStyle w:val="Odstavecseseznamem"/>
              <w:numPr>
                <w:ilvl w:val="0"/>
                <w:numId w:val="6"/>
              </w:numPr>
              <w:spacing w:before="0"/>
              <w:ind w:left="459"/>
              <w:rPr>
                <w:b/>
              </w:rPr>
            </w:pPr>
            <w:r w:rsidRPr="000818D2">
              <w:t xml:space="preserve">občanská společnost </w:t>
            </w:r>
            <w:r w:rsidR="00034AB0">
              <w:sym w:font="Symbol" w:char="F02D"/>
            </w:r>
            <w:r w:rsidRPr="000818D2">
              <w:t xml:space="preserve"> je organizována ve formě NNO, ale patří sem i neformální uskupení a zájmová sdružení.</w:t>
            </w:r>
            <w:r w:rsidRPr="000818D2">
              <w:rPr>
                <w:b/>
              </w:rPr>
              <w:t xml:space="preserve"> </w:t>
            </w:r>
          </w:p>
        </w:tc>
      </w:tr>
      <w:tr w:rsidR="00ED238E" w:rsidRPr="000818D2" w14:paraId="2BE8AA39" w14:textId="77777777" w:rsidTr="00B95064">
        <w:trPr>
          <w:trHeight w:val="2015"/>
        </w:trPr>
        <w:tc>
          <w:tcPr>
            <w:tcW w:w="4678" w:type="dxa"/>
          </w:tcPr>
          <w:p w14:paraId="477BA0F8" w14:textId="77777777" w:rsidR="00ED238E" w:rsidRPr="00034AB0" w:rsidRDefault="00ED238E" w:rsidP="00B95064">
            <w:pPr>
              <w:rPr>
                <w:b/>
              </w:rPr>
            </w:pPr>
            <w:r w:rsidRPr="00034AB0">
              <w:rPr>
                <w:b/>
              </w:rPr>
              <w:t>3/ Geografická dimenze</w:t>
            </w:r>
          </w:p>
          <w:p w14:paraId="6CDB2A86" w14:textId="77777777" w:rsidR="00ED238E" w:rsidRPr="00034AB0" w:rsidRDefault="00ED238E" w:rsidP="00B95064">
            <w:r w:rsidRPr="00034AB0">
              <w:t>Geografická dimenze v tomto případě může členit aktéry na interní a externí:</w:t>
            </w:r>
          </w:p>
          <w:p w14:paraId="45FC091E" w14:textId="77777777" w:rsidR="00034AB0" w:rsidRPr="00034AB0" w:rsidRDefault="00ED238E" w:rsidP="00034AB0">
            <w:pPr>
              <w:numPr>
                <w:ilvl w:val="0"/>
                <w:numId w:val="1"/>
              </w:numPr>
              <w:spacing w:before="0"/>
              <w:jc w:val="left"/>
            </w:pPr>
            <w:r w:rsidRPr="00034AB0">
              <w:rPr>
                <w:rFonts w:eastAsia="Times New Roman" w:cstheme="minorHAnsi"/>
                <w:spacing w:val="2"/>
                <w:szCs w:val="24"/>
                <w:lang w:eastAsia="cs-CZ"/>
              </w:rPr>
              <w:t>interní stakeholdeři - aktéři, kteří působí ve městě Zlín,</w:t>
            </w:r>
          </w:p>
          <w:p w14:paraId="79F09D0D" w14:textId="70F69FAF" w:rsidR="00ED238E" w:rsidRPr="00034AB0" w:rsidRDefault="00ED238E" w:rsidP="00034AB0">
            <w:pPr>
              <w:numPr>
                <w:ilvl w:val="0"/>
                <w:numId w:val="1"/>
              </w:numPr>
              <w:spacing w:before="0"/>
              <w:jc w:val="left"/>
            </w:pPr>
            <w:r w:rsidRPr="00034AB0">
              <w:rPr>
                <w:rFonts w:eastAsia="Times New Roman" w:cstheme="minorHAnsi"/>
                <w:spacing w:val="2"/>
                <w:szCs w:val="24"/>
                <w:lang w:eastAsia="cs-CZ"/>
              </w:rPr>
              <w:t>externí stakeholdeři- aktéři nacházející se mimo město Zlín, ale s vlivem na město Zlín.</w:t>
            </w:r>
          </w:p>
        </w:tc>
        <w:tc>
          <w:tcPr>
            <w:tcW w:w="4389" w:type="dxa"/>
            <w:vMerge/>
          </w:tcPr>
          <w:p w14:paraId="1EC5F8DB" w14:textId="77777777" w:rsidR="00ED238E" w:rsidRPr="000818D2" w:rsidRDefault="00ED238E" w:rsidP="00B95064">
            <w:pPr>
              <w:rPr>
                <w:b/>
              </w:rPr>
            </w:pPr>
          </w:p>
        </w:tc>
      </w:tr>
    </w:tbl>
    <w:p w14:paraId="17D71D2F" w14:textId="77777777" w:rsidR="00ED238E" w:rsidRPr="000818D2" w:rsidRDefault="00ED238E" w:rsidP="00ED238E">
      <w:pPr>
        <w:keepNext/>
        <w:rPr>
          <w:b/>
          <w:lang w:eastAsia="cs-CZ"/>
        </w:rPr>
      </w:pPr>
      <w:r w:rsidRPr="000818D2">
        <w:rPr>
          <w:b/>
          <w:lang w:eastAsia="cs-CZ"/>
        </w:rPr>
        <w:t>2/ Prioritizace zainteresovaných stran a jejich zapojení</w:t>
      </w:r>
    </w:p>
    <w:p w14:paraId="32874AB3" w14:textId="720AF44D" w:rsidR="00ED238E" w:rsidRPr="000818D2" w:rsidRDefault="00ED238E" w:rsidP="00ED238E">
      <w:pPr>
        <w:shd w:val="clear" w:color="auto" w:fill="FFFFFF" w:themeFill="background1"/>
        <w:rPr>
          <w:rFonts w:cstheme="minorHAnsi"/>
          <w:lang w:eastAsia="cs-CZ"/>
        </w:rPr>
      </w:pPr>
      <w:r w:rsidRPr="000818D2">
        <w:rPr>
          <w:rFonts w:cstheme="minorHAnsi"/>
          <w:lang w:eastAsia="cs-CZ"/>
        </w:rPr>
        <w:t xml:space="preserve">Prioritizace </w:t>
      </w:r>
      <w:r>
        <w:rPr>
          <w:rFonts w:cstheme="minorHAnsi"/>
          <w:lang w:eastAsia="cs-CZ"/>
        </w:rPr>
        <w:t>proběhla</w:t>
      </w:r>
      <w:r w:rsidRPr="000818D2">
        <w:rPr>
          <w:rFonts w:cstheme="minorHAnsi"/>
          <w:lang w:eastAsia="cs-CZ"/>
        </w:rPr>
        <w:t xml:space="preserve"> na základě vnímané úrovně zájmu a moci či vlivu zainteresovaných osob v</w:t>
      </w:r>
      <w:r>
        <w:rPr>
          <w:rFonts w:cstheme="minorHAnsi"/>
          <w:lang w:eastAsia="cs-CZ"/>
        </w:rPr>
        <w:t> </w:t>
      </w:r>
      <w:r w:rsidRPr="000818D2">
        <w:rPr>
          <w:rFonts w:cstheme="minorHAnsi"/>
          <w:lang w:eastAsia="cs-CZ"/>
        </w:rPr>
        <w:t>území</w:t>
      </w:r>
      <w:r>
        <w:rPr>
          <w:rFonts w:cstheme="minorHAnsi"/>
          <w:lang w:eastAsia="cs-CZ"/>
        </w:rPr>
        <w:t xml:space="preserve"> členy pracovních skupin.</w:t>
      </w:r>
      <w:r w:rsidRPr="000818D2">
        <w:rPr>
          <w:rFonts w:cstheme="minorHAnsi"/>
          <w:lang w:eastAsia="cs-CZ"/>
        </w:rPr>
        <w:t xml:space="preserve"> </w:t>
      </w:r>
      <w:r w:rsidRPr="000818D2">
        <w:rPr>
          <w:rFonts w:cstheme="minorHAnsi"/>
        </w:rPr>
        <w:t xml:space="preserve">Každý člen pracovní skupiny </w:t>
      </w:r>
      <w:r>
        <w:rPr>
          <w:rFonts w:cstheme="minorHAnsi"/>
        </w:rPr>
        <w:t>měl</w:t>
      </w:r>
      <w:r w:rsidRPr="000818D2">
        <w:rPr>
          <w:rFonts w:cstheme="minorHAnsi"/>
        </w:rPr>
        <w:t xml:space="preserve"> možnost prioritizovat 5 stakeholderů (aktérů, které </w:t>
      </w:r>
      <w:r>
        <w:rPr>
          <w:rFonts w:cstheme="minorHAnsi"/>
        </w:rPr>
        <w:t>považoval</w:t>
      </w:r>
      <w:r w:rsidRPr="000818D2">
        <w:rPr>
          <w:rFonts w:cstheme="minorHAnsi"/>
        </w:rPr>
        <w:t xml:space="preserve"> za klíčové). </w:t>
      </w:r>
      <w:r>
        <w:rPr>
          <w:rFonts w:cstheme="minorHAnsi"/>
        </w:rPr>
        <w:t>Následně byl</w:t>
      </w:r>
      <w:r w:rsidRPr="000818D2">
        <w:rPr>
          <w:rFonts w:cstheme="minorHAnsi"/>
        </w:rPr>
        <w:t xml:space="preserve"> vytvořen seznam klíčových stakeholderů dle priorit členů pracovních skupin.</w:t>
      </w:r>
    </w:p>
    <w:p w14:paraId="0B497877" w14:textId="77777777" w:rsidR="00ED238E" w:rsidRPr="000818D2" w:rsidRDefault="00ED238E" w:rsidP="00ED238E">
      <w:pPr>
        <w:rPr>
          <w:b/>
          <w:lang w:eastAsia="cs-CZ"/>
        </w:rPr>
      </w:pPr>
      <w:r>
        <w:rPr>
          <w:b/>
          <w:lang w:eastAsia="cs-CZ"/>
        </w:rPr>
        <w:t>3</w:t>
      </w:r>
      <w:r w:rsidRPr="000818D2">
        <w:rPr>
          <w:b/>
          <w:lang w:eastAsia="cs-CZ"/>
        </w:rPr>
        <w:t>/ Vyhodnocení</w:t>
      </w:r>
    </w:p>
    <w:p w14:paraId="1C9F32FE" w14:textId="77777777" w:rsidR="00ED238E" w:rsidRDefault="00ED238E" w:rsidP="00ED238E">
      <w:r w:rsidRPr="000818D2">
        <w:t xml:space="preserve">Provedená identifikace stakeholderů </w:t>
      </w:r>
      <w:r>
        <w:t>slouží</w:t>
      </w:r>
      <w:r w:rsidRPr="000818D2">
        <w:t xml:space="preserve"> pro další aktivity v rámci zpracování Strategie rozvoje statutárního města Zlína do roku 2030 – pro analytickou, návrhovou i implementační část.</w:t>
      </w:r>
      <w:r>
        <w:t xml:space="preserve"> </w:t>
      </w:r>
      <w:r w:rsidRPr="000818D2">
        <w:rPr>
          <w:rFonts w:cstheme="minorHAnsi"/>
          <w:lang w:eastAsia="cs-CZ"/>
        </w:rPr>
        <w:t xml:space="preserve">Podle potřeby může být některý z vybraných stakeholderů přizván do pracovní skupiny nebo může být zapojen do připomínkovacího procesu </w:t>
      </w:r>
      <w:r w:rsidRPr="000818D2">
        <w:t xml:space="preserve">(individuálně v průběhu tvorby strategie nebo v rámci procesu připomínkování širokou veřejností).  </w:t>
      </w:r>
    </w:p>
    <w:p w14:paraId="2273F1DF" w14:textId="77777777" w:rsidR="00ED238E" w:rsidRPr="000818D2" w:rsidRDefault="00ED238E" w:rsidP="00ED238E">
      <w:pPr>
        <w:shd w:val="clear" w:color="auto" w:fill="FFFFFF" w:themeFill="background1"/>
        <w:rPr>
          <w:b/>
          <w:lang w:eastAsia="cs-CZ"/>
        </w:rPr>
      </w:pPr>
      <w:r>
        <w:rPr>
          <w:b/>
          <w:lang w:eastAsia="cs-CZ"/>
        </w:rPr>
        <w:t>4</w:t>
      </w:r>
      <w:r w:rsidRPr="000818D2">
        <w:rPr>
          <w:b/>
          <w:lang w:eastAsia="cs-CZ"/>
        </w:rPr>
        <w:t>/ Rozhovory s významnými stakeholdery</w:t>
      </w:r>
      <w:r>
        <w:rPr>
          <w:b/>
          <w:lang w:eastAsia="cs-CZ"/>
        </w:rPr>
        <w:t xml:space="preserve"> a osobnostmi</w:t>
      </w:r>
    </w:p>
    <w:p w14:paraId="5512C94F" w14:textId="0A0F679D" w:rsidR="00ED238E" w:rsidRPr="000818D2" w:rsidRDefault="00ED238E" w:rsidP="00ED238E">
      <w:pPr>
        <w:shd w:val="clear" w:color="auto" w:fill="FFFFFF" w:themeFill="background1"/>
      </w:pPr>
      <w:r w:rsidRPr="000818D2">
        <w:t>Vybraní k</w:t>
      </w:r>
      <w:r w:rsidRPr="000818D2">
        <w:rPr>
          <w:rFonts w:cstheme="minorHAnsi"/>
          <w:lang w:eastAsia="cs-CZ"/>
        </w:rPr>
        <w:t>líčoví stakeholdeři</w:t>
      </w:r>
      <w:r>
        <w:rPr>
          <w:rFonts w:cstheme="minorHAnsi"/>
          <w:lang w:eastAsia="cs-CZ"/>
        </w:rPr>
        <w:t xml:space="preserve"> a významné osobnosti</w:t>
      </w:r>
      <w:r w:rsidRPr="000818D2">
        <w:rPr>
          <w:rFonts w:cstheme="minorHAnsi"/>
          <w:lang w:eastAsia="cs-CZ"/>
        </w:rPr>
        <w:t xml:space="preserve"> </w:t>
      </w:r>
      <w:r>
        <w:rPr>
          <w:rFonts w:cstheme="minorHAnsi"/>
          <w:lang w:eastAsia="cs-CZ"/>
        </w:rPr>
        <w:t xml:space="preserve">byli </w:t>
      </w:r>
      <w:r w:rsidRPr="000818D2">
        <w:rPr>
          <w:rFonts w:cstheme="minorHAnsi"/>
          <w:lang w:eastAsia="cs-CZ"/>
        </w:rPr>
        <w:t xml:space="preserve">do přípravy strategie zapojeni formou rozhovorů </w:t>
      </w:r>
      <w:r w:rsidRPr="000818D2">
        <w:t xml:space="preserve">s cílem zajistit jejich názory na město Zlín a </w:t>
      </w:r>
      <w:r>
        <w:t xml:space="preserve">náměty </w:t>
      </w:r>
      <w:r w:rsidRPr="000818D2">
        <w:t xml:space="preserve">či doporučení vedoucí k dalšímu rozvoji města. </w:t>
      </w:r>
    </w:p>
    <w:p w14:paraId="4CC1B89C" w14:textId="77777777" w:rsidR="00ED238E" w:rsidRPr="000818D2" w:rsidRDefault="00ED238E" w:rsidP="00ED238E">
      <w:pPr>
        <w:shd w:val="clear" w:color="auto" w:fill="FFFFFF" w:themeFill="background1"/>
      </w:pPr>
      <w:r w:rsidRPr="000818D2">
        <w:rPr>
          <w:rFonts w:cstheme="minorHAnsi"/>
          <w:lang w:eastAsia="cs-CZ"/>
        </w:rPr>
        <w:t xml:space="preserve">Ze seznamu </w:t>
      </w:r>
      <w:r w:rsidRPr="000818D2">
        <w:rPr>
          <w:rFonts w:cstheme="minorHAnsi"/>
        </w:rPr>
        <w:t>klíčových stakeholderů dle priorit členů pracovních skupin</w:t>
      </w:r>
      <w:r w:rsidRPr="000818D2">
        <w:rPr>
          <w:rFonts w:cstheme="minorHAnsi"/>
          <w:lang w:eastAsia="cs-CZ"/>
        </w:rPr>
        <w:t xml:space="preserve"> </w:t>
      </w:r>
      <w:r>
        <w:rPr>
          <w:rFonts w:cstheme="minorHAnsi"/>
          <w:lang w:eastAsia="cs-CZ"/>
        </w:rPr>
        <w:t>byl</w:t>
      </w:r>
      <w:r w:rsidRPr="000818D2">
        <w:rPr>
          <w:rFonts w:cstheme="minorHAnsi"/>
          <w:lang w:eastAsia="cs-CZ"/>
        </w:rPr>
        <w:t xml:space="preserve"> garantem strategie ve spolupráci s realizačním týmem přípravy strategie nominován </w:t>
      </w:r>
      <w:r w:rsidRPr="000818D2">
        <w:t>vždy alespoň jeden klíčový stakeholder</w:t>
      </w:r>
      <w:r>
        <w:t xml:space="preserve"> nebo jedna významná osobnost</w:t>
      </w:r>
      <w:r w:rsidRPr="000818D2">
        <w:t xml:space="preserve"> za danou pracovní skupinu a tematickou oblast. </w:t>
      </w:r>
    </w:p>
    <w:p w14:paraId="3ED41B81" w14:textId="75397B3A" w:rsidR="00ED238E" w:rsidRPr="000818D2" w:rsidRDefault="00ED238E" w:rsidP="00ED238E">
      <w:pPr>
        <w:shd w:val="clear" w:color="auto" w:fill="FFFFFF" w:themeFill="background1"/>
      </w:pPr>
      <w:r w:rsidRPr="000818D2">
        <w:t xml:space="preserve">V zjištěních </w:t>
      </w:r>
      <w:r>
        <w:t>dotazovaných osobností se mnohdy střetávaly</w:t>
      </w:r>
      <w:r w:rsidRPr="000818D2">
        <w:t xml:space="preserve"> různé ambice, zájmy, potřeby, motivy, očekávání a přesvědčení zainteresovaných. Zmapování zájmů a potřeb zainteresovaných však umožňuje jasnější obraz o situaci a poskytuje podklad a inspiraci pro rozvojovou strategii, její priority a</w:t>
      </w:r>
      <w:r w:rsidR="00486D67">
        <w:t> </w:t>
      </w:r>
      <w:r w:rsidRPr="000818D2">
        <w:t>témata, která vyplývají z očekávání zainteresovaných stran.</w:t>
      </w:r>
    </w:p>
    <w:p w14:paraId="6A2FEDBE" w14:textId="77777777" w:rsidR="00ED238E" w:rsidRPr="000818D2" w:rsidRDefault="00ED238E" w:rsidP="00ED238E"/>
    <w:p w14:paraId="7CF13AE8" w14:textId="675EE440" w:rsidR="00A91C05" w:rsidRPr="000818D2" w:rsidRDefault="00A91C05" w:rsidP="00A91C05"/>
    <w:p w14:paraId="4D6DD7FB" w14:textId="77777777" w:rsidR="00A91C05" w:rsidRPr="000818D2" w:rsidRDefault="00A91C05" w:rsidP="00A91C05">
      <w:r w:rsidRPr="000818D2">
        <w:br w:type="page"/>
      </w:r>
    </w:p>
    <w:p w14:paraId="0A03A236" w14:textId="5929B56E" w:rsidR="00A91C05" w:rsidRPr="000818D2" w:rsidRDefault="00A91C05" w:rsidP="00A91C05">
      <w:pPr>
        <w:pStyle w:val="Nadpis3"/>
      </w:pPr>
      <w:bookmarkStart w:id="731" w:name="_Toc46218667"/>
      <w:bookmarkStart w:id="732" w:name="_Toc77074638"/>
      <w:r w:rsidRPr="000818D2">
        <w:t>I</w:t>
      </w:r>
      <w:r w:rsidR="00CD1295" w:rsidRPr="000818D2">
        <w:t>dentifikace zaintereso</w:t>
      </w:r>
      <w:r w:rsidR="00ED238E">
        <w:t>vaných aktérů do rozvoje města Z</w:t>
      </w:r>
      <w:r w:rsidR="00CD1295" w:rsidRPr="000818D2">
        <w:t>lín</w:t>
      </w:r>
      <w:bookmarkEnd w:id="731"/>
      <w:bookmarkEnd w:id="732"/>
      <w:r w:rsidR="00CD1295" w:rsidRPr="000818D2">
        <w:t xml:space="preserve"> </w:t>
      </w:r>
    </w:p>
    <w:p w14:paraId="4872A5EB" w14:textId="77777777" w:rsidR="00A91C05" w:rsidRPr="000818D2" w:rsidRDefault="00A91C05" w:rsidP="00A91C05">
      <w:r w:rsidRPr="000818D2">
        <w:t>Níže je uveden přehled významných aktérů města Zlín dle jednotlivých pracovních skupin. Některé subjekty se vyskytují opakovaně vzhledem k tematickému rozdělení priorit rozvoje města. Šedě jsou podbarveny subjekty, jejichž zástupci jsou členy koordinačního výboru nebo pracovních skupin.</w:t>
      </w:r>
    </w:p>
    <w:p w14:paraId="7153F9F7" w14:textId="47072059" w:rsidR="00A91C05" w:rsidRPr="000818D2" w:rsidRDefault="00A91C05" w:rsidP="00A91C05">
      <w:pPr>
        <w:pStyle w:val="Nadpis4"/>
      </w:pPr>
      <w:bookmarkStart w:id="733" w:name="_Toc46218668"/>
      <w:r w:rsidRPr="000818D2">
        <w:t>T</w:t>
      </w:r>
      <w:r w:rsidR="00CD1295" w:rsidRPr="000818D2">
        <w:t>ema</w:t>
      </w:r>
      <w:r w:rsidR="00CD1295">
        <w:t>tická oblast K</w:t>
      </w:r>
      <w:r w:rsidR="00CD1295" w:rsidRPr="000818D2">
        <w:t>valita života</w:t>
      </w:r>
      <w:bookmarkEnd w:id="733"/>
    </w:p>
    <w:p w14:paraId="3DA97184" w14:textId="77777777" w:rsidR="00A91C05" w:rsidRPr="000818D2" w:rsidRDefault="00A91C05" w:rsidP="00A91C05">
      <w:r w:rsidRPr="000818D2">
        <w:t>Hlavní témata:</w:t>
      </w:r>
    </w:p>
    <w:p w14:paraId="2874A74D" w14:textId="77777777" w:rsidR="00A91C05" w:rsidRPr="000818D2" w:rsidRDefault="00A91C05" w:rsidP="006F3CC1">
      <w:pPr>
        <w:pStyle w:val="Odstavecseseznamem"/>
        <w:numPr>
          <w:ilvl w:val="0"/>
          <w:numId w:val="8"/>
        </w:numPr>
        <w:spacing w:before="0" w:after="120"/>
      </w:pPr>
      <w:r w:rsidRPr="000818D2">
        <w:t>občanská vybavenost</w:t>
      </w:r>
    </w:p>
    <w:p w14:paraId="1E43005A" w14:textId="77777777" w:rsidR="00A91C05" w:rsidRPr="000818D2" w:rsidRDefault="00A91C05" w:rsidP="006F3CC1">
      <w:pPr>
        <w:pStyle w:val="Odstavecseseznamem"/>
        <w:numPr>
          <w:ilvl w:val="0"/>
          <w:numId w:val="8"/>
        </w:numPr>
        <w:spacing w:before="0" w:after="120"/>
      </w:pPr>
      <w:r w:rsidRPr="000818D2">
        <w:t>sociální a zdravotní služby</w:t>
      </w:r>
    </w:p>
    <w:p w14:paraId="0B714C33" w14:textId="77777777" w:rsidR="00A91C05" w:rsidRPr="000818D2" w:rsidRDefault="00A91C05" w:rsidP="006F3CC1">
      <w:pPr>
        <w:pStyle w:val="Odstavecseseznamem"/>
        <w:numPr>
          <w:ilvl w:val="0"/>
          <w:numId w:val="8"/>
        </w:numPr>
        <w:spacing w:before="0" w:after="120"/>
      </w:pPr>
      <w:r w:rsidRPr="000818D2">
        <w:t>kultura, sport a volnočasové aktivity</w:t>
      </w:r>
    </w:p>
    <w:p w14:paraId="1484E94B" w14:textId="77777777" w:rsidR="00A91C05" w:rsidRPr="000818D2" w:rsidRDefault="00A91C05" w:rsidP="006F3CC1">
      <w:pPr>
        <w:pStyle w:val="Odstavecseseznamem"/>
        <w:numPr>
          <w:ilvl w:val="0"/>
          <w:numId w:val="8"/>
        </w:numPr>
        <w:spacing w:before="0" w:after="240"/>
        <w:ind w:left="714" w:hanging="357"/>
      </w:pPr>
      <w:r w:rsidRPr="000818D2">
        <w:t>životní prostředí (kvalita ovzduší, vod, hlukové zatížení, atd.)</w:t>
      </w:r>
    </w:p>
    <w:p w14:paraId="49F68E87" w14:textId="7BD5DB46" w:rsidR="00A91C05" w:rsidRPr="000818D2" w:rsidRDefault="009A2449" w:rsidP="009A2449">
      <w:pPr>
        <w:pStyle w:val="Titulek"/>
      </w:pPr>
      <w:bookmarkStart w:id="734" w:name="_Toc50549184"/>
      <w:bookmarkStart w:id="735" w:name="_Toc50989347"/>
      <w:bookmarkStart w:id="736" w:name="_Toc53388467"/>
      <w:bookmarkStart w:id="737" w:name="_Toc54702637"/>
      <w:bookmarkStart w:id="738" w:name="_Toc56179444"/>
      <w:bookmarkStart w:id="739" w:name="_Toc57731802"/>
      <w:bookmarkStart w:id="740" w:name="_Toc77074786"/>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23</w:t>
      </w:r>
      <w:r w:rsidR="00081B47">
        <w:rPr>
          <w:noProof/>
        </w:rPr>
        <w:fldChar w:fldCharType="end"/>
      </w:r>
      <w:r w:rsidR="00486D67">
        <w:rPr>
          <w:noProof/>
        </w:rPr>
        <w:t>:</w:t>
      </w:r>
      <w:r>
        <w:t xml:space="preserve"> </w:t>
      </w:r>
      <w:r w:rsidR="00A91C05" w:rsidRPr="000818D2">
        <w:t>Seznam stakeholderů v oblasti Kvalita života</w:t>
      </w:r>
      <w:bookmarkEnd w:id="734"/>
      <w:bookmarkEnd w:id="735"/>
      <w:bookmarkEnd w:id="736"/>
      <w:bookmarkEnd w:id="737"/>
      <w:bookmarkEnd w:id="738"/>
      <w:bookmarkEnd w:id="739"/>
      <w:bookmarkEnd w:id="740"/>
    </w:p>
    <w:tbl>
      <w:tblPr>
        <w:tblW w:w="9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569"/>
        <w:gridCol w:w="7835"/>
      </w:tblGrid>
      <w:tr w:rsidR="00A91C05" w:rsidRPr="00BC6914" w14:paraId="1129706A" w14:textId="77777777" w:rsidTr="003B6F27">
        <w:trPr>
          <w:trHeight w:val="327"/>
        </w:trPr>
        <w:tc>
          <w:tcPr>
            <w:tcW w:w="9111" w:type="dxa"/>
            <w:gridSpan w:val="3"/>
            <w:shd w:val="clear" w:color="auto" w:fill="C00000"/>
          </w:tcPr>
          <w:p w14:paraId="6AB732EC" w14:textId="77777777" w:rsidR="00A91C05" w:rsidRPr="00BC6914" w:rsidRDefault="00A91C05" w:rsidP="00A91C05">
            <w:pPr>
              <w:spacing w:before="0"/>
              <w:jc w:val="center"/>
              <w:rPr>
                <w:rFonts w:cstheme="minorHAnsi"/>
                <w:color w:val="000000" w:themeColor="text1"/>
              </w:rPr>
            </w:pPr>
            <w:r w:rsidRPr="00BC6914">
              <w:rPr>
                <w:rFonts w:cstheme="minorHAnsi"/>
                <w:color w:val="FFFFFF" w:themeColor="background1"/>
              </w:rPr>
              <w:t>KVALITA ŽIVOTA</w:t>
            </w:r>
          </w:p>
        </w:tc>
      </w:tr>
      <w:tr w:rsidR="00A91C05" w:rsidRPr="00BC6914" w14:paraId="2DA88FA5" w14:textId="77777777" w:rsidTr="003B6F27">
        <w:trPr>
          <w:trHeight w:hRule="exact" w:val="254"/>
        </w:trPr>
        <w:tc>
          <w:tcPr>
            <w:tcW w:w="707" w:type="dxa"/>
            <w:vMerge w:val="restart"/>
            <w:shd w:val="clear" w:color="auto" w:fill="FF8989"/>
            <w:textDirection w:val="btLr"/>
          </w:tcPr>
          <w:p w14:paraId="7DCA3C77" w14:textId="77777777" w:rsidR="00A91C05" w:rsidRPr="00BC6914" w:rsidRDefault="00A91C05" w:rsidP="00A91C05">
            <w:pPr>
              <w:spacing w:before="0"/>
              <w:ind w:left="113" w:right="113"/>
              <w:jc w:val="center"/>
              <w:rPr>
                <w:rFonts w:cstheme="minorHAnsi"/>
                <w:b/>
                <w:color w:val="000000" w:themeColor="text1"/>
              </w:rPr>
            </w:pPr>
            <w:r w:rsidRPr="00BC6914">
              <w:rPr>
                <w:rFonts w:cstheme="minorHAnsi"/>
                <w:b/>
                <w:color w:val="000000" w:themeColor="text1"/>
              </w:rPr>
              <w:t>Veřejný sektor</w:t>
            </w:r>
          </w:p>
        </w:tc>
        <w:tc>
          <w:tcPr>
            <w:tcW w:w="569" w:type="dxa"/>
            <w:vMerge w:val="restart"/>
            <w:shd w:val="clear" w:color="auto" w:fill="FF8989"/>
            <w:textDirection w:val="btLr"/>
          </w:tcPr>
          <w:p w14:paraId="527E96A4" w14:textId="77777777" w:rsidR="00A91C05" w:rsidRPr="00BC6914" w:rsidRDefault="00A91C05" w:rsidP="00A91C05">
            <w:pPr>
              <w:autoSpaceDE w:val="0"/>
              <w:autoSpaceDN w:val="0"/>
              <w:adjustRightInd w:val="0"/>
              <w:spacing w:before="0"/>
              <w:ind w:left="113" w:right="113"/>
              <w:jc w:val="center"/>
              <w:rPr>
                <w:rFonts w:cstheme="minorHAnsi"/>
                <w:color w:val="000000" w:themeColor="text1"/>
              </w:rPr>
            </w:pPr>
            <w:r w:rsidRPr="00BC6914">
              <w:rPr>
                <w:rFonts w:cstheme="minorHAnsi"/>
                <w:b/>
                <w:color w:val="000000" w:themeColor="text1"/>
              </w:rPr>
              <w:t>Interní</w:t>
            </w:r>
          </w:p>
        </w:tc>
        <w:tc>
          <w:tcPr>
            <w:tcW w:w="7834" w:type="dxa"/>
            <w:shd w:val="clear" w:color="auto" w:fill="D9D9D9" w:themeFill="background1" w:themeFillShade="D9"/>
          </w:tcPr>
          <w:p w14:paraId="5D6603B1"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Statutární město Zlín</w:t>
            </w:r>
          </w:p>
        </w:tc>
      </w:tr>
      <w:tr w:rsidR="00A91C05" w:rsidRPr="00BC6914" w14:paraId="7CC028C0" w14:textId="77777777" w:rsidTr="003B6F27">
        <w:trPr>
          <w:trHeight w:hRule="exact" w:val="254"/>
        </w:trPr>
        <w:tc>
          <w:tcPr>
            <w:tcW w:w="707" w:type="dxa"/>
            <w:vMerge/>
            <w:shd w:val="clear" w:color="auto" w:fill="FF8989"/>
            <w:textDirection w:val="btLr"/>
          </w:tcPr>
          <w:p w14:paraId="369B6776" w14:textId="77777777" w:rsidR="00A91C05" w:rsidRPr="00BC6914" w:rsidRDefault="00A91C05" w:rsidP="00A91C05">
            <w:pPr>
              <w:spacing w:before="0"/>
              <w:ind w:left="113" w:right="113"/>
              <w:jc w:val="center"/>
              <w:rPr>
                <w:rFonts w:cstheme="minorHAnsi"/>
                <w:b/>
                <w:color w:val="000000" w:themeColor="text1"/>
              </w:rPr>
            </w:pPr>
          </w:p>
        </w:tc>
        <w:tc>
          <w:tcPr>
            <w:tcW w:w="569" w:type="dxa"/>
            <w:vMerge/>
            <w:shd w:val="clear" w:color="auto" w:fill="FF8989"/>
            <w:textDirection w:val="btLr"/>
          </w:tcPr>
          <w:p w14:paraId="02DCEE64" w14:textId="77777777" w:rsidR="00A91C05" w:rsidRPr="00BC6914" w:rsidRDefault="00A91C05" w:rsidP="00A91C05">
            <w:pPr>
              <w:autoSpaceDE w:val="0"/>
              <w:autoSpaceDN w:val="0"/>
              <w:adjustRightInd w:val="0"/>
              <w:spacing w:before="0"/>
              <w:ind w:left="113" w:right="113"/>
              <w:jc w:val="center"/>
              <w:rPr>
                <w:rFonts w:cstheme="minorHAnsi"/>
                <w:b/>
                <w:color w:val="000000" w:themeColor="text1"/>
              </w:rPr>
            </w:pPr>
          </w:p>
        </w:tc>
        <w:tc>
          <w:tcPr>
            <w:tcW w:w="7834" w:type="dxa"/>
            <w:shd w:val="clear" w:color="auto" w:fill="D9D9D9" w:themeFill="background1" w:themeFillShade="D9"/>
          </w:tcPr>
          <w:p w14:paraId="70B2219B"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Zlínský kraj</w:t>
            </w:r>
          </w:p>
        </w:tc>
      </w:tr>
      <w:tr w:rsidR="00A91C05" w:rsidRPr="00BC6914" w14:paraId="15CB622C" w14:textId="77777777" w:rsidTr="003B6F27">
        <w:trPr>
          <w:trHeight w:hRule="exact" w:val="254"/>
        </w:trPr>
        <w:tc>
          <w:tcPr>
            <w:tcW w:w="707" w:type="dxa"/>
            <w:vMerge/>
            <w:shd w:val="clear" w:color="auto" w:fill="FF8989"/>
            <w:textDirection w:val="btLr"/>
          </w:tcPr>
          <w:p w14:paraId="72E83ED0" w14:textId="77777777" w:rsidR="00A91C05" w:rsidRPr="00BC6914" w:rsidRDefault="00A91C05" w:rsidP="00A91C05">
            <w:pPr>
              <w:spacing w:before="0"/>
              <w:ind w:left="113" w:right="113"/>
              <w:jc w:val="center"/>
              <w:rPr>
                <w:rFonts w:cstheme="minorHAnsi"/>
                <w:b/>
                <w:color w:val="000000" w:themeColor="text1"/>
              </w:rPr>
            </w:pPr>
          </w:p>
        </w:tc>
        <w:tc>
          <w:tcPr>
            <w:tcW w:w="569" w:type="dxa"/>
            <w:vMerge/>
            <w:shd w:val="clear" w:color="auto" w:fill="FF8989"/>
            <w:textDirection w:val="btLr"/>
          </w:tcPr>
          <w:p w14:paraId="52BEB583" w14:textId="77777777" w:rsidR="00A91C05" w:rsidRPr="00BC6914" w:rsidRDefault="00A91C05" w:rsidP="00A91C05">
            <w:pPr>
              <w:autoSpaceDE w:val="0"/>
              <w:autoSpaceDN w:val="0"/>
              <w:adjustRightInd w:val="0"/>
              <w:spacing w:before="0"/>
              <w:ind w:left="113" w:right="113"/>
              <w:jc w:val="center"/>
              <w:rPr>
                <w:rFonts w:cstheme="minorHAnsi"/>
                <w:b/>
                <w:color w:val="000000" w:themeColor="text1"/>
              </w:rPr>
            </w:pPr>
          </w:p>
        </w:tc>
        <w:tc>
          <w:tcPr>
            <w:tcW w:w="7834" w:type="dxa"/>
            <w:shd w:val="clear" w:color="auto" w:fill="D9D9D9" w:themeFill="background1" w:themeFillShade="D9"/>
          </w:tcPr>
          <w:p w14:paraId="7946377B"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Univerzita Tomáše Bati ve Zlíně</w:t>
            </w:r>
          </w:p>
        </w:tc>
      </w:tr>
      <w:tr w:rsidR="00A91C05" w:rsidRPr="00BC6914" w14:paraId="0E296F05" w14:textId="77777777" w:rsidTr="003B6F27">
        <w:trPr>
          <w:trHeight w:hRule="exact" w:val="254"/>
        </w:trPr>
        <w:tc>
          <w:tcPr>
            <w:tcW w:w="707" w:type="dxa"/>
            <w:vMerge/>
            <w:shd w:val="clear" w:color="auto" w:fill="FF8989"/>
          </w:tcPr>
          <w:p w14:paraId="3681E875"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30BFAC5E"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44446026"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Lesy města Zlína, spol. s r.o.</w:t>
            </w:r>
          </w:p>
        </w:tc>
      </w:tr>
      <w:tr w:rsidR="00A91C05" w:rsidRPr="00BC6914" w14:paraId="43DA6F16" w14:textId="77777777" w:rsidTr="003B6F27">
        <w:trPr>
          <w:trHeight w:hRule="exact" w:val="254"/>
        </w:trPr>
        <w:tc>
          <w:tcPr>
            <w:tcW w:w="707" w:type="dxa"/>
            <w:vMerge/>
            <w:shd w:val="clear" w:color="auto" w:fill="FF8989"/>
          </w:tcPr>
          <w:p w14:paraId="6694C4CB"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744E7F80"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027E56F4"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 xml:space="preserve">Lesy České republiky, s. p. - Krajské ředitelství Zlín </w:t>
            </w:r>
          </w:p>
        </w:tc>
      </w:tr>
      <w:tr w:rsidR="00A91C05" w:rsidRPr="00BC6914" w14:paraId="3DADE7E6" w14:textId="77777777" w:rsidTr="003B6F27">
        <w:trPr>
          <w:trHeight w:hRule="exact" w:val="254"/>
        </w:trPr>
        <w:tc>
          <w:tcPr>
            <w:tcW w:w="707" w:type="dxa"/>
            <w:vMerge/>
            <w:shd w:val="clear" w:color="auto" w:fill="FF8989"/>
          </w:tcPr>
          <w:p w14:paraId="2DE46B6C"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2EF9E334"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438E1AFB"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 xml:space="preserve">Energetická agentura Zlínského kraje, o.p.s. </w:t>
            </w:r>
          </w:p>
        </w:tc>
      </w:tr>
      <w:tr w:rsidR="00A91C05" w:rsidRPr="00BC6914" w14:paraId="44645810" w14:textId="77777777" w:rsidTr="003B6F27">
        <w:trPr>
          <w:trHeight w:hRule="exact" w:val="254"/>
        </w:trPr>
        <w:tc>
          <w:tcPr>
            <w:tcW w:w="707" w:type="dxa"/>
            <w:vMerge/>
            <w:shd w:val="clear" w:color="auto" w:fill="FF8989"/>
          </w:tcPr>
          <w:p w14:paraId="53A63ECA"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2BC3BC3A"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0F18C5AE" w14:textId="77777777" w:rsidR="00A91C05" w:rsidRPr="00BC6914" w:rsidRDefault="00A91C05" w:rsidP="00A91C05">
            <w:pPr>
              <w:autoSpaceDE w:val="0"/>
              <w:autoSpaceDN w:val="0"/>
              <w:adjustRightInd w:val="0"/>
              <w:spacing w:before="0"/>
              <w:rPr>
                <w:rFonts w:cstheme="minorHAnsi"/>
                <w:color w:val="000000"/>
              </w:rPr>
            </w:pPr>
            <w:r w:rsidRPr="00BC6914">
              <w:rPr>
                <w:rFonts w:cstheme="minorHAnsi"/>
                <w:color w:val="000000"/>
              </w:rPr>
              <w:t xml:space="preserve">Krajská správa ČSÚ ve Zlíně </w:t>
            </w:r>
          </w:p>
        </w:tc>
      </w:tr>
      <w:tr w:rsidR="00A91C05" w:rsidRPr="00BC6914" w14:paraId="44ABEA3B" w14:textId="77777777" w:rsidTr="003B6F27">
        <w:trPr>
          <w:trHeight w:hRule="exact" w:val="254"/>
        </w:trPr>
        <w:tc>
          <w:tcPr>
            <w:tcW w:w="707" w:type="dxa"/>
            <w:vMerge/>
            <w:shd w:val="clear" w:color="auto" w:fill="FF8989"/>
          </w:tcPr>
          <w:p w14:paraId="58932BF6"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210A6784"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2732030E" w14:textId="77777777" w:rsidR="00A91C05" w:rsidRPr="00BC6914" w:rsidRDefault="00A91C05" w:rsidP="00A91C05">
            <w:pPr>
              <w:autoSpaceDE w:val="0"/>
              <w:autoSpaceDN w:val="0"/>
              <w:adjustRightInd w:val="0"/>
              <w:spacing w:before="0"/>
              <w:rPr>
                <w:rFonts w:cstheme="minorHAnsi"/>
                <w:color w:val="000000"/>
              </w:rPr>
            </w:pPr>
            <w:r w:rsidRPr="00BC6914">
              <w:rPr>
                <w:rFonts w:cstheme="minorHAnsi"/>
                <w:bCs/>
                <w:color w:val="000000"/>
              </w:rPr>
              <w:t>Agrární komora Zlínského kraje</w:t>
            </w:r>
          </w:p>
        </w:tc>
      </w:tr>
      <w:tr w:rsidR="00A91C05" w:rsidRPr="00BC6914" w14:paraId="6122E719" w14:textId="77777777" w:rsidTr="003B6F27">
        <w:trPr>
          <w:trHeight w:hRule="exact" w:val="254"/>
        </w:trPr>
        <w:tc>
          <w:tcPr>
            <w:tcW w:w="707" w:type="dxa"/>
            <w:vMerge/>
            <w:shd w:val="clear" w:color="auto" w:fill="FF8989"/>
          </w:tcPr>
          <w:p w14:paraId="1245B17A"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16B65935"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6C890F75" w14:textId="77777777" w:rsidR="00A91C05" w:rsidRPr="00BC6914" w:rsidRDefault="00A91C05" w:rsidP="00A91C05">
            <w:pPr>
              <w:autoSpaceDE w:val="0"/>
              <w:autoSpaceDN w:val="0"/>
              <w:adjustRightInd w:val="0"/>
              <w:spacing w:before="0"/>
              <w:rPr>
                <w:rFonts w:cstheme="minorHAnsi"/>
                <w:color w:val="000000"/>
              </w:rPr>
            </w:pPr>
            <w:r w:rsidRPr="00BC6914">
              <w:rPr>
                <w:rFonts w:cstheme="minorHAnsi"/>
                <w:color w:val="000000"/>
              </w:rPr>
              <w:t>Krajská hygienická stanice Zlínského kraje se sídlem ve Zlíně</w:t>
            </w:r>
          </w:p>
        </w:tc>
      </w:tr>
      <w:tr w:rsidR="00A91C05" w:rsidRPr="00BC6914" w14:paraId="2B8245FF" w14:textId="77777777" w:rsidTr="003B6F27">
        <w:trPr>
          <w:trHeight w:hRule="exact" w:val="254"/>
        </w:trPr>
        <w:tc>
          <w:tcPr>
            <w:tcW w:w="707" w:type="dxa"/>
            <w:vMerge/>
            <w:shd w:val="clear" w:color="auto" w:fill="FF8989"/>
          </w:tcPr>
          <w:p w14:paraId="1308A3FE"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4D880F0E"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77B6665F"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Krajská nemocnice T. Bati, a. s.</w:t>
            </w:r>
          </w:p>
        </w:tc>
      </w:tr>
      <w:tr w:rsidR="00A91C05" w:rsidRPr="00BC6914" w14:paraId="4A8DEEDA" w14:textId="77777777" w:rsidTr="003B6F27">
        <w:trPr>
          <w:trHeight w:hRule="exact" w:val="254"/>
        </w:trPr>
        <w:tc>
          <w:tcPr>
            <w:tcW w:w="707" w:type="dxa"/>
            <w:vMerge/>
            <w:shd w:val="clear" w:color="auto" w:fill="FF8989"/>
          </w:tcPr>
          <w:p w14:paraId="3FC4084D"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5E7F4272"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5324EC66"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Městské lázně Zlín - Steza Zlín, spol.s r.o.</w:t>
            </w:r>
          </w:p>
        </w:tc>
      </w:tr>
      <w:tr w:rsidR="00A91C05" w:rsidRPr="00BC6914" w14:paraId="5DC89C40" w14:textId="77777777" w:rsidTr="003B6F27">
        <w:trPr>
          <w:trHeight w:hRule="exact" w:val="254"/>
        </w:trPr>
        <w:tc>
          <w:tcPr>
            <w:tcW w:w="707" w:type="dxa"/>
            <w:vMerge/>
            <w:shd w:val="clear" w:color="auto" w:fill="FF8989"/>
          </w:tcPr>
          <w:p w14:paraId="42110D51"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2338BA63"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52533943"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Rehabilitační stacionář Zlín</w:t>
            </w:r>
          </w:p>
        </w:tc>
      </w:tr>
      <w:tr w:rsidR="00A91C05" w:rsidRPr="00BC6914" w14:paraId="03431D20" w14:textId="77777777" w:rsidTr="003B6F27">
        <w:trPr>
          <w:trHeight w:hRule="exact" w:val="254"/>
        </w:trPr>
        <w:tc>
          <w:tcPr>
            <w:tcW w:w="707" w:type="dxa"/>
            <w:vMerge/>
            <w:shd w:val="clear" w:color="auto" w:fill="FF8989"/>
          </w:tcPr>
          <w:p w14:paraId="741F2614"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6A04BD82"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52E701F6" w14:textId="77777777" w:rsidR="00A91C05" w:rsidRPr="00BC6914" w:rsidRDefault="00A91C05" w:rsidP="00A91C05">
            <w:pPr>
              <w:autoSpaceDE w:val="0"/>
              <w:autoSpaceDN w:val="0"/>
              <w:adjustRightInd w:val="0"/>
              <w:spacing w:before="0"/>
              <w:rPr>
                <w:rFonts w:cstheme="minorHAnsi"/>
                <w:bCs/>
                <w:color w:val="000000" w:themeColor="text1"/>
              </w:rPr>
            </w:pPr>
            <w:r w:rsidRPr="00BC6914">
              <w:rPr>
                <w:rFonts w:cstheme="minorHAnsi"/>
                <w:color w:val="000000" w:themeColor="text1"/>
              </w:rPr>
              <w:t>Agentura ochrany přírody a krajiny České republiky</w:t>
            </w:r>
          </w:p>
        </w:tc>
      </w:tr>
      <w:tr w:rsidR="00A91C05" w:rsidRPr="00BC6914" w14:paraId="788FB62C" w14:textId="77777777" w:rsidTr="003B6F27">
        <w:trPr>
          <w:trHeight w:hRule="exact" w:val="254"/>
        </w:trPr>
        <w:tc>
          <w:tcPr>
            <w:tcW w:w="707" w:type="dxa"/>
            <w:vMerge/>
            <w:shd w:val="clear" w:color="auto" w:fill="FF8989"/>
          </w:tcPr>
          <w:p w14:paraId="40C11789"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4AB0C47A"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7A6E67C4"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Česká lékařská komora, Okresní sdružení Zlín</w:t>
            </w:r>
          </w:p>
        </w:tc>
      </w:tr>
      <w:tr w:rsidR="00A91C05" w:rsidRPr="00BC6914" w14:paraId="1D17FA12" w14:textId="77777777" w:rsidTr="003B6F27">
        <w:trPr>
          <w:trHeight w:hRule="exact" w:val="254"/>
        </w:trPr>
        <w:tc>
          <w:tcPr>
            <w:tcW w:w="707" w:type="dxa"/>
            <w:vMerge/>
            <w:shd w:val="clear" w:color="auto" w:fill="FF8989"/>
          </w:tcPr>
          <w:p w14:paraId="3C4CAC72"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648071FF"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2EA222A6"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Regionální rozvojová agentura Východní Moravy</w:t>
            </w:r>
          </w:p>
        </w:tc>
      </w:tr>
      <w:tr w:rsidR="00A91C05" w:rsidRPr="00BC6914" w14:paraId="1D92DF7F" w14:textId="77777777" w:rsidTr="003B6F27">
        <w:trPr>
          <w:trHeight w:hRule="exact" w:val="254"/>
        </w:trPr>
        <w:tc>
          <w:tcPr>
            <w:tcW w:w="707" w:type="dxa"/>
            <w:vMerge/>
            <w:shd w:val="clear" w:color="auto" w:fill="FF8989"/>
          </w:tcPr>
          <w:p w14:paraId="3BE14E1F"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4D7EBCF9"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122481C3" w14:textId="77777777" w:rsidR="00A91C05" w:rsidRPr="00BC6914" w:rsidRDefault="00183F7E" w:rsidP="00A91C05">
            <w:pPr>
              <w:autoSpaceDE w:val="0"/>
              <w:autoSpaceDN w:val="0"/>
              <w:adjustRightInd w:val="0"/>
              <w:spacing w:before="0"/>
              <w:rPr>
                <w:rFonts w:cstheme="minorHAnsi"/>
                <w:color w:val="000000" w:themeColor="text1"/>
              </w:rPr>
            </w:pPr>
            <w:hyperlink r:id="rId243" w:history="1">
              <w:r w:rsidR="00A91C05" w:rsidRPr="00BC6914">
                <w:rPr>
                  <w:rFonts w:cstheme="minorHAnsi"/>
                  <w:color w:val="000000" w:themeColor="text1"/>
                </w:rPr>
                <w:t>Berani Zlín, s.r.o.</w:t>
              </w:r>
            </w:hyperlink>
          </w:p>
        </w:tc>
      </w:tr>
      <w:tr w:rsidR="00A91C05" w:rsidRPr="00BC6914" w14:paraId="68C3460C" w14:textId="77777777" w:rsidTr="003B6F27">
        <w:trPr>
          <w:trHeight w:hRule="exact" w:val="254"/>
        </w:trPr>
        <w:tc>
          <w:tcPr>
            <w:tcW w:w="707" w:type="dxa"/>
            <w:vMerge/>
            <w:shd w:val="clear" w:color="auto" w:fill="FF8989"/>
          </w:tcPr>
          <w:p w14:paraId="2694D3D2"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368EDA1C"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21522E34" w14:textId="77777777" w:rsidR="00A91C05" w:rsidRPr="00BC6914" w:rsidRDefault="00183F7E" w:rsidP="00A91C05">
            <w:pPr>
              <w:autoSpaceDE w:val="0"/>
              <w:autoSpaceDN w:val="0"/>
              <w:adjustRightInd w:val="0"/>
              <w:spacing w:before="0"/>
              <w:rPr>
                <w:rFonts w:cstheme="minorHAnsi"/>
                <w:color w:val="000000" w:themeColor="text1"/>
              </w:rPr>
            </w:pPr>
            <w:hyperlink r:id="rId244" w:history="1">
              <w:r w:rsidR="00A91C05" w:rsidRPr="00BC6914">
                <w:rPr>
                  <w:rFonts w:cstheme="minorHAnsi"/>
                  <w:color w:val="000000" w:themeColor="text1"/>
                </w:rPr>
                <w:t>Pohřebnictví Zlín, spol. s r.o.</w:t>
              </w:r>
            </w:hyperlink>
          </w:p>
        </w:tc>
      </w:tr>
      <w:tr w:rsidR="00A91C05" w:rsidRPr="00BC6914" w14:paraId="58CA6C86" w14:textId="77777777" w:rsidTr="003B6F27">
        <w:trPr>
          <w:trHeight w:hRule="exact" w:val="254"/>
        </w:trPr>
        <w:tc>
          <w:tcPr>
            <w:tcW w:w="707" w:type="dxa"/>
            <w:vMerge/>
            <w:shd w:val="clear" w:color="auto" w:fill="FF8989"/>
          </w:tcPr>
          <w:p w14:paraId="26632D4D"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45CDAEE0"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7EBAA149" w14:textId="77777777" w:rsidR="00A91C05" w:rsidRPr="00BC6914" w:rsidRDefault="00A91C05" w:rsidP="00A91C05">
            <w:pPr>
              <w:spacing w:before="0"/>
              <w:jc w:val="left"/>
              <w:rPr>
                <w:rFonts w:cstheme="minorHAnsi"/>
                <w:color w:val="000000" w:themeColor="text1"/>
              </w:rPr>
            </w:pPr>
            <w:r w:rsidRPr="00BC6914">
              <w:rPr>
                <w:rFonts w:cstheme="minorHAnsi"/>
              </w:rPr>
              <w:t>Městské divadlo Zlín, příspěvková organizace</w:t>
            </w:r>
          </w:p>
        </w:tc>
      </w:tr>
      <w:tr w:rsidR="00A91C05" w:rsidRPr="00BC6914" w14:paraId="149C2C09" w14:textId="77777777" w:rsidTr="003B6F27">
        <w:trPr>
          <w:trHeight w:hRule="exact" w:val="254"/>
        </w:trPr>
        <w:tc>
          <w:tcPr>
            <w:tcW w:w="707" w:type="dxa"/>
            <w:vMerge/>
            <w:shd w:val="clear" w:color="auto" w:fill="FF8989"/>
          </w:tcPr>
          <w:p w14:paraId="68B22605"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156989C0"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0CD64EDD" w14:textId="77777777" w:rsidR="00A91C05" w:rsidRPr="00BC6914" w:rsidRDefault="00A91C05" w:rsidP="006F3CC1">
            <w:pPr>
              <w:numPr>
                <w:ilvl w:val="0"/>
                <w:numId w:val="7"/>
              </w:numPr>
              <w:shd w:val="clear" w:color="auto" w:fill="FFFFFF"/>
              <w:spacing w:before="0"/>
              <w:ind w:left="0"/>
              <w:jc w:val="left"/>
              <w:textAlignment w:val="baseline"/>
              <w:rPr>
                <w:rFonts w:cstheme="minorHAnsi"/>
                <w:color w:val="000000" w:themeColor="text1"/>
              </w:rPr>
            </w:pPr>
            <w:r w:rsidRPr="00BC6914">
              <w:rPr>
                <w:rFonts w:cstheme="minorHAnsi"/>
                <w:color w:val="000000" w:themeColor="text1"/>
                <w:shd w:val="clear" w:color="auto" w:fill="FFFFFF"/>
              </w:rPr>
              <w:t>ALTERNATIVA - Kulturní institut Zlín</w:t>
            </w:r>
          </w:p>
        </w:tc>
      </w:tr>
      <w:tr w:rsidR="00A91C05" w:rsidRPr="00BC6914" w14:paraId="63802DEE" w14:textId="77777777" w:rsidTr="003B6F27">
        <w:trPr>
          <w:trHeight w:hRule="exact" w:val="254"/>
        </w:trPr>
        <w:tc>
          <w:tcPr>
            <w:tcW w:w="707" w:type="dxa"/>
            <w:vMerge/>
            <w:shd w:val="clear" w:color="auto" w:fill="FF8989"/>
          </w:tcPr>
          <w:p w14:paraId="46520E24"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54F54FBF"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620135F7" w14:textId="77777777" w:rsidR="00A91C05" w:rsidRPr="00BC6914" w:rsidRDefault="00A91C05" w:rsidP="00A91C05">
            <w:pPr>
              <w:spacing w:before="0"/>
              <w:jc w:val="left"/>
              <w:rPr>
                <w:rFonts w:cstheme="minorHAnsi"/>
                <w:color w:val="000000" w:themeColor="text1"/>
              </w:rPr>
            </w:pPr>
            <w:r w:rsidRPr="00BC6914">
              <w:rPr>
                <w:rFonts w:cstheme="minorHAnsi"/>
              </w:rPr>
              <w:t>ZOO a zámek Zlín-Lešná,</w:t>
            </w:r>
            <w:r w:rsidRPr="00BC6914">
              <w:rPr>
                <w:rFonts w:cstheme="minorHAnsi"/>
                <w:b/>
                <w:bCs/>
              </w:rPr>
              <w:t xml:space="preserve"> </w:t>
            </w:r>
            <w:r w:rsidRPr="00BC6914">
              <w:rPr>
                <w:rFonts w:cstheme="minorHAnsi"/>
              </w:rPr>
              <w:t>příspěvková organizace</w:t>
            </w:r>
          </w:p>
        </w:tc>
      </w:tr>
      <w:tr w:rsidR="00A91C05" w:rsidRPr="00BC6914" w14:paraId="0246788B" w14:textId="77777777" w:rsidTr="003B6F27">
        <w:trPr>
          <w:trHeight w:hRule="exact" w:val="254"/>
        </w:trPr>
        <w:tc>
          <w:tcPr>
            <w:tcW w:w="707" w:type="dxa"/>
            <w:vMerge/>
            <w:shd w:val="clear" w:color="auto" w:fill="FF8989"/>
          </w:tcPr>
          <w:p w14:paraId="476EDE33"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034F2319"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0E021E06" w14:textId="77777777" w:rsidR="00A91C05" w:rsidRPr="00BC6914" w:rsidRDefault="00A91C05" w:rsidP="00A91C05">
            <w:pPr>
              <w:spacing w:before="0"/>
              <w:jc w:val="left"/>
              <w:rPr>
                <w:rFonts w:cstheme="minorHAnsi"/>
              </w:rPr>
            </w:pPr>
            <w:r w:rsidRPr="00BC6914">
              <w:rPr>
                <w:rFonts w:cstheme="minorHAnsi"/>
              </w:rPr>
              <w:t>Dům dětí a mládeže ASTRA Zlín, Tyršovo nábřeží 801, příspěvková organizace</w:t>
            </w:r>
          </w:p>
        </w:tc>
      </w:tr>
      <w:tr w:rsidR="00A91C05" w:rsidRPr="00BC6914" w14:paraId="6485D958" w14:textId="77777777" w:rsidTr="003B6F27">
        <w:trPr>
          <w:trHeight w:hRule="exact" w:val="254"/>
        </w:trPr>
        <w:tc>
          <w:tcPr>
            <w:tcW w:w="707" w:type="dxa"/>
            <w:vMerge/>
            <w:shd w:val="clear" w:color="auto" w:fill="FF8989"/>
          </w:tcPr>
          <w:p w14:paraId="648B24FD"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4916FC77"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11E04A0F" w14:textId="77777777" w:rsidR="00A91C05" w:rsidRPr="00BC6914" w:rsidRDefault="00A91C05" w:rsidP="006F3CC1">
            <w:pPr>
              <w:numPr>
                <w:ilvl w:val="0"/>
                <w:numId w:val="7"/>
              </w:numPr>
              <w:shd w:val="clear" w:color="auto" w:fill="FFFFFF"/>
              <w:spacing w:before="0"/>
              <w:ind w:left="0"/>
              <w:jc w:val="left"/>
              <w:textAlignment w:val="baseline"/>
              <w:rPr>
                <w:rFonts w:cstheme="minorHAnsi"/>
                <w:color w:val="000000" w:themeColor="text1"/>
                <w:shd w:val="clear" w:color="auto" w:fill="FFFFFF"/>
              </w:rPr>
            </w:pPr>
            <w:r w:rsidRPr="00BC6914">
              <w:rPr>
                <w:rFonts w:cstheme="minorHAnsi"/>
                <w:color w:val="000000" w:themeColor="text1"/>
                <w:shd w:val="clear" w:color="auto" w:fill="FFFFFF"/>
              </w:rPr>
              <w:t>Středisko volného času - Ostrov radosti</w:t>
            </w:r>
          </w:p>
        </w:tc>
      </w:tr>
      <w:tr w:rsidR="00A91C05" w:rsidRPr="00BC6914" w14:paraId="5D742208" w14:textId="77777777" w:rsidTr="003B6F27">
        <w:trPr>
          <w:trHeight w:hRule="exact" w:val="254"/>
        </w:trPr>
        <w:tc>
          <w:tcPr>
            <w:tcW w:w="707" w:type="dxa"/>
            <w:vMerge/>
            <w:shd w:val="clear" w:color="auto" w:fill="FF8989"/>
          </w:tcPr>
          <w:p w14:paraId="7DEFF223"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79291B80"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39110831" w14:textId="77777777" w:rsidR="00A91C05" w:rsidRPr="00BC6914" w:rsidRDefault="00A91C05" w:rsidP="006F3CC1">
            <w:pPr>
              <w:numPr>
                <w:ilvl w:val="0"/>
                <w:numId w:val="7"/>
              </w:numPr>
              <w:shd w:val="clear" w:color="auto" w:fill="FFFFFF"/>
              <w:spacing w:before="0"/>
              <w:ind w:left="0"/>
              <w:jc w:val="left"/>
              <w:textAlignment w:val="baseline"/>
              <w:rPr>
                <w:rFonts w:cstheme="minorHAnsi"/>
                <w:color w:val="000000" w:themeColor="text1"/>
                <w:shd w:val="clear" w:color="auto" w:fill="FFFFFF"/>
              </w:rPr>
            </w:pPr>
            <w:r w:rsidRPr="00BC6914">
              <w:rPr>
                <w:rFonts w:cstheme="minorHAnsi"/>
                <w:color w:val="000000" w:themeColor="text1"/>
                <w:shd w:val="clear" w:color="auto" w:fill="FFFFFF"/>
              </w:rPr>
              <w:t>Baťův institut, příspěvková organizace</w:t>
            </w:r>
          </w:p>
        </w:tc>
      </w:tr>
      <w:tr w:rsidR="00A91C05" w:rsidRPr="00BC6914" w14:paraId="6F4C72EA" w14:textId="77777777" w:rsidTr="003B6F27">
        <w:trPr>
          <w:trHeight w:hRule="exact" w:val="254"/>
        </w:trPr>
        <w:tc>
          <w:tcPr>
            <w:tcW w:w="707" w:type="dxa"/>
            <w:vMerge/>
            <w:shd w:val="clear" w:color="auto" w:fill="FF8989"/>
          </w:tcPr>
          <w:p w14:paraId="4B4A6BC4"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01151666"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2108F284" w14:textId="77777777" w:rsidR="00A91C05" w:rsidRPr="00BC6914" w:rsidRDefault="00A91C05" w:rsidP="00A91C05">
            <w:pPr>
              <w:shd w:val="clear" w:color="auto" w:fill="FFFFFF"/>
              <w:spacing w:before="0"/>
              <w:jc w:val="left"/>
              <w:textAlignment w:val="baseline"/>
              <w:rPr>
                <w:rFonts w:cstheme="minorHAnsi"/>
                <w:color w:val="000000" w:themeColor="text1"/>
                <w:shd w:val="clear" w:color="auto" w:fill="FFFFFF"/>
              </w:rPr>
            </w:pPr>
            <w:r w:rsidRPr="00BC6914">
              <w:rPr>
                <w:rFonts w:cstheme="minorHAnsi"/>
                <w:color w:val="000000" w:themeColor="text1"/>
                <w:shd w:val="clear" w:color="auto" w:fill="FFFFFF"/>
              </w:rPr>
              <w:t>Krajská galerie výtvarného umění ve Zlíně</w:t>
            </w:r>
          </w:p>
        </w:tc>
      </w:tr>
      <w:tr w:rsidR="00A91C05" w:rsidRPr="00BC6914" w14:paraId="09BF19FF" w14:textId="77777777" w:rsidTr="003B6F27">
        <w:trPr>
          <w:trHeight w:hRule="exact" w:val="254"/>
        </w:trPr>
        <w:tc>
          <w:tcPr>
            <w:tcW w:w="707" w:type="dxa"/>
            <w:vMerge/>
            <w:shd w:val="clear" w:color="auto" w:fill="FF8989"/>
          </w:tcPr>
          <w:p w14:paraId="62E172DB"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7E0016BE"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64757966" w14:textId="77777777" w:rsidR="00A91C05" w:rsidRPr="00BC6914" w:rsidRDefault="00A91C05" w:rsidP="00A91C05">
            <w:pPr>
              <w:shd w:val="clear" w:color="auto" w:fill="FFFFFF"/>
              <w:spacing w:before="0"/>
              <w:jc w:val="left"/>
              <w:textAlignment w:val="baseline"/>
              <w:rPr>
                <w:rFonts w:cstheme="minorHAnsi"/>
                <w:color w:val="000000" w:themeColor="text1"/>
                <w:shd w:val="clear" w:color="auto" w:fill="FFFFFF"/>
              </w:rPr>
            </w:pPr>
            <w:r w:rsidRPr="00BC6914">
              <w:rPr>
                <w:rFonts w:cstheme="minorHAnsi"/>
                <w:color w:val="000000" w:themeColor="text1"/>
                <w:shd w:val="clear" w:color="auto" w:fill="FFFFFF"/>
              </w:rPr>
              <w:t>Muzeum jihovýchodní Moravy ve Zlíně, příspěvková organizace</w:t>
            </w:r>
          </w:p>
        </w:tc>
      </w:tr>
      <w:tr w:rsidR="00A91C05" w:rsidRPr="00BC6914" w14:paraId="18AB9911" w14:textId="77777777" w:rsidTr="003B6F27">
        <w:trPr>
          <w:trHeight w:hRule="exact" w:val="254"/>
        </w:trPr>
        <w:tc>
          <w:tcPr>
            <w:tcW w:w="707" w:type="dxa"/>
            <w:vMerge/>
            <w:shd w:val="clear" w:color="auto" w:fill="FF8989"/>
          </w:tcPr>
          <w:p w14:paraId="0354FA3F"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6E10F59C"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1BAB60C1" w14:textId="77777777" w:rsidR="00A91C05" w:rsidRPr="00BC6914" w:rsidRDefault="00A91C05" w:rsidP="00A91C05">
            <w:pPr>
              <w:shd w:val="clear" w:color="auto" w:fill="FFFFFF"/>
              <w:spacing w:before="0"/>
              <w:jc w:val="left"/>
              <w:textAlignment w:val="baseline"/>
              <w:rPr>
                <w:rFonts w:cstheme="minorHAnsi"/>
                <w:color w:val="000000" w:themeColor="text1"/>
                <w:shd w:val="clear" w:color="auto" w:fill="FFFFFF"/>
              </w:rPr>
            </w:pPr>
            <w:r w:rsidRPr="00BC6914">
              <w:rPr>
                <w:rFonts w:cstheme="minorHAnsi"/>
                <w:color w:val="000000" w:themeColor="text1"/>
                <w:shd w:val="clear" w:color="auto" w:fill="FFFFFF"/>
              </w:rPr>
              <w:t>ALTERNATIVA - Kulturní institut Zlín</w:t>
            </w:r>
          </w:p>
        </w:tc>
      </w:tr>
      <w:tr w:rsidR="00A91C05" w:rsidRPr="00BC6914" w14:paraId="78AB436E" w14:textId="77777777" w:rsidTr="003B6F27">
        <w:trPr>
          <w:trHeight w:hRule="exact" w:val="254"/>
        </w:trPr>
        <w:tc>
          <w:tcPr>
            <w:tcW w:w="707" w:type="dxa"/>
            <w:vMerge/>
            <w:shd w:val="clear" w:color="auto" w:fill="FF8989"/>
          </w:tcPr>
          <w:p w14:paraId="0A1BE98F"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6BDBD841"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6C04367D" w14:textId="77777777" w:rsidR="00A91C05" w:rsidRPr="00BC6914" w:rsidRDefault="00A91C05" w:rsidP="00A91C05">
            <w:pPr>
              <w:shd w:val="clear" w:color="auto" w:fill="FFFFFF"/>
              <w:spacing w:before="0"/>
              <w:jc w:val="left"/>
              <w:textAlignment w:val="baseline"/>
              <w:rPr>
                <w:rFonts w:cstheme="minorHAnsi"/>
                <w:color w:val="000000" w:themeColor="text1"/>
                <w:shd w:val="clear" w:color="auto" w:fill="FFFFFF"/>
              </w:rPr>
            </w:pPr>
            <w:r w:rsidRPr="00BC6914">
              <w:rPr>
                <w:rFonts w:cstheme="minorHAnsi"/>
                <w:color w:val="000000" w:themeColor="text1"/>
                <w:shd w:val="clear" w:color="auto" w:fill="FFFFFF"/>
              </w:rPr>
              <w:t>Živý Zlín</w:t>
            </w:r>
          </w:p>
        </w:tc>
      </w:tr>
      <w:tr w:rsidR="00A91C05" w:rsidRPr="00BC6914" w14:paraId="170057C0" w14:textId="77777777" w:rsidTr="003B6F27">
        <w:trPr>
          <w:trHeight w:hRule="exact" w:val="254"/>
        </w:trPr>
        <w:tc>
          <w:tcPr>
            <w:tcW w:w="707" w:type="dxa"/>
            <w:vMerge/>
            <w:shd w:val="clear" w:color="auto" w:fill="FF8989"/>
          </w:tcPr>
          <w:p w14:paraId="5D46D410" w14:textId="77777777" w:rsidR="00A91C05" w:rsidRPr="00BC6914" w:rsidRDefault="00A91C05" w:rsidP="00A91C05">
            <w:pPr>
              <w:spacing w:before="0"/>
              <w:rPr>
                <w:rFonts w:cstheme="minorHAnsi"/>
                <w:b/>
                <w:color w:val="000000" w:themeColor="text1"/>
              </w:rPr>
            </w:pPr>
          </w:p>
        </w:tc>
        <w:tc>
          <w:tcPr>
            <w:tcW w:w="569" w:type="dxa"/>
            <w:vMerge/>
            <w:shd w:val="clear" w:color="auto" w:fill="FF8989"/>
          </w:tcPr>
          <w:p w14:paraId="01424275"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0CECE" w:themeFill="background2" w:themeFillShade="E6"/>
          </w:tcPr>
          <w:p w14:paraId="65FC3168" w14:textId="77777777" w:rsidR="00A91C05" w:rsidRPr="00BC6914" w:rsidRDefault="00A91C05" w:rsidP="00A91C05">
            <w:pPr>
              <w:autoSpaceDE w:val="0"/>
              <w:autoSpaceDN w:val="0"/>
              <w:adjustRightInd w:val="0"/>
              <w:spacing w:before="0"/>
              <w:rPr>
                <w:rFonts w:cstheme="minorHAnsi"/>
                <w:color w:val="000000"/>
                <w:shd w:val="clear" w:color="auto" w:fill="FFFFFF"/>
              </w:rPr>
            </w:pPr>
            <w:r w:rsidRPr="00BC6914">
              <w:rPr>
                <w:rFonts w:cstheme="minorHAnsi"/>
                <w:color w:val="000000" w:themeColor="text1"/>
              </w:rPr>
              <w:t>Technologické inovační centrum s.r.o.</w:t>
            </w:r>
          </w:p>
        </w:tc>
      </w:tr>
      <w:tr w:rsidR="00A91C05" w:rsidRPr="00BC6914" w14:paraId="2356571C" w14:textId="77777777" w:rsidTr="003B6F27">
        <w:trPr>
          <w:trHeight w:val="655"/>
        </w:trPr>
        <w:tc>
          <w:tcPr>
            <w:tcW w:w="707" w:type="dxa"/>
            <w:vMerge/>
            <w:shd w:val="clear" w:color="auto" w:fill="FF8989"/>
          </w:tcPr>
          <w:p w14:paraId="03330E16" w14:textId="77777777" w:rsidR="00A91C05" w:rsidRPr="00BC6914" w:rsidRDefault="00A91C05" w:rsidP="00A91C05">
            <w:pPr>
              <w:spacing w:before="0"/>
              <w:rPr>
                <w:rFonts w:cstheme="minorHAnsi"/>
                <w:b/>
                <w:color w:val="000000" w:themeColor="text1"/>
              </w:rPr>
            </w:pPr>
          </w:p>
        </w:tc>
        <w:tc>
          <w:tcPr>
            <w:tcW w:w="569" w:type="dxa"/>
            <w:shd w:val="clear" w:color="auto" w:fill="FF8989"/>
            <w:textDirection w:val="btLr"/>
          </w:tcPr>
          <w:p w14:paraId="58B01158" w14:textId="6D59A850" w:rsidR="00A91C05" w:rsidRPr="00BC6914" w:rsidRDefault="00A91C05" w:rsidP="00A91C05">
            <w:pPr>
              <w:autoSpaceDE w:val="0"/>
              <w:autoSpaceDN w:val="0"/>
              <w:adjustRightInd w:val="0"/>
              <w:spacing w:before="0"/>
              <w:ind w:left="113" w:right="113"/>
              <w:jc w:val="center"/>
              <w:rPr>
                <w:rFonts w:cstheme="minorHAnsi"/>
                <w:color w:val="000000" w:themeColor="text1"/>
              </w:rPr>
            </w:pPr>
            <w:r w:rsidRPr="003B6F27">
              <w:rPr>
                <w:rFonts w:cstheme="minorHAnsi"/>
                <w:b/>
                <w:color w:val="000000" w:themeColor="text1"/>
                <w:sz w:val="18"/>
              </w:rPr>
              <w:t>Externí</w:t>
            </w:r>
          </w:p>
        </w:tc>
        <w:tc>
          <w:tcPr>
            <w:tcW w:w="7834" w:type="dxa"/>
            <w:shd w:val="clear" w:color="auto" w:fill="D9D9D9" w:themeFill="background1" w:themeFillShade="D9"/>
          </w:tcPr>
          <w:p w14:paraId="75965561" w14:textId="77777777" w:rsidR="00A91C05" w:rsidRPr="00BC6914" w:rsidRDefault="00A91C05" w:rsidP="00A91C05">
            <w:pPr>
              <w:autoSpaceDE w:val="0"/>
              <w:autoSpaceDN w:val="0"/>
              <w:adjustRightInd w:val="0"/>
              <w:spacing w:before="0"/>
              <w:rPr>
                <w:rFonts w:cstheme="minorHAnsi"/>
                <w:color w:val="000000"/>
              </w:rPr>
            </w:pPr>
            <w:r w:rsidRPr="00BC6914">
              <w:rPr>
                <w:rFonts w:cstheme="minorHAnsi"/>
                <w:color w:val="000000" w:themeColor="text1"/>
              </w:rPr>
              <w:t>Povodí Moravy, s.p. - Závod Střední Morava</w:t>
            </w:r>
          </w:p>
        </w:tc>
      </w:tr>
      <w:tr w:rsidR="00A91C05" w:rsidRPr="00BC6914" w14:paraId="3287EEF4" w14:textId="77777777" w:rsidTr="003B6F27">
        <w:trPr>
          <w:trHeight w:hRule="exact" w:val="254"/>
        </w:trPr>
        <w:tc>
          <w:tcPr>
            <w:tcW w:w="707" w:type="dxa"/>
            <w:vMerge w:val="restart"/>
            <w:shd w:val="clear" w:color="auto" w:fill="FF8989"/>
            <w:textDirection w:val="btLr"/>
          </w:tcPr>
          <w:p w14:paraId="4258A42A" w14:textId="77777777" w:rsidR="00A91C05" w:rsidRPr="00BC6914" w:rsidRDefault="00A91C05" w:rsidP="00A91C05">
            <w:pPr>
              <w:spacing w:before="0"/>
              <w:ind w:left="113" w:right="113"/>
              <w:jc w:val="center"/>
              <w:rPr>
                <w:rFonts w:cstheme="minorHAnsi"/>
                <w:b/>
                <w:color w:val="000000" w:themeColor="text1"/>
              </w:rPr>
            </w:pPr>
            <w:r w:rsidRPr="00BC6914">
              <w:rPr>
                <w:rFonts w:cstheme="minorHAnsi"/>
                <w:b/>
                <w:color w:val="000000" w:themeColor="text1"/>
              </w:rPr>
              <w:t>Podnikatelský sektor</w:t>
            </w:r>
          </w:p>
        </w:tc>
        <w:tc>
          <w:tcPr>
            <w:tcW w:w="569" w:type="dxa"/>
            <w:vMerge w:val="restart"/>
            <w:shd w:val="clear" w:color="auto" w:fill="FF8989"/>
            <w:textDirection w:val="btLr"/>
          </w:tcPr>
          <w:p w14:paraId="5D9EB4AD" w14:textId="77777777" w:rsidR="00A91C05" w:rsidRPr="00BC6914" w:rsidRDefault="00A91C05" w:rsidP="00A91C05">
            <w:pPr>
              <w:autoSpaceDE w:val="0"/>
              <w:autoSpaceDN w:val="0"/>
              <w:adjustRightInd w:val="0"/>
              <w:spacing w:before="0"/>
              <w:ind w:left="113" w:right="113"/>
              <w:jc w:val="center"/>
              <w:rPr>
                <w:rFonts w:cstheme="minorHAnsi"/>
                <w:b/>
                <w:color w:val="000000" w:themeColor="text1"/>
              </w:rPr>
            </w:pPr>
            <w:r w:rsidRPr="00BC6914">
              <w:rPr>
                <w:rFonts w:cstheme="minorHAnsi"/>
                <w:b/>
                <w:color w:val="000000" w:themeColor="text1"/>
              </w:rPr>
              <w:t>Interní</w:t>
            </w:r>
          </w:p>
        </w:tc>
        <w:tc>
          <w:tcPr>
            <w:tcW w:w="7834" w:type="dxa"/>
            <w:shd w:val="clear" w:color="auto" w:fill="D9D9D9" w:themeFill="background1" w:themeFillShade="D9"/>
          </w:tcPr>
          <w:p w14:paraId="2C862D63"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Krajská hospodářská komora Zlínského kraje</w:t>
            </w:r>
          </w:p>
        </w:tc>
      </w:tr>
      <w:tr w:rsidR="00A91C05" w:rsidRPr="00BC6914" w14:paraId="7EEC22A5" w14:textId="77777777" w:rsidTr="003B6F27">
        <w:trPr>
          <w:trHeight w:hRule="exact" w:val="254"/>
        </w:trPr>
        <w:tc>
          <w:tcPr>
            <w:tcW w:w="707" w:type="dxa"/>
            <w:vMerge/>
            <w:shd w:val="clear" w:color="auto" w:fill="FF8989"/>
          </w:tcPr>
          <w:p w14:paraId="23E6E521"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6BF0D856"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11A841AC"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BUDOVATEL, stavební bytové družstvo se sídlem ve Zlíně</w:t>
            </w:r>
          </w:p>
        </w:tc>
      </w:tr>
      <w:tr w:rsidR="00A91C05" w:rsidRPr="00BC6914" w14:paraId="0CA01908" w14:textId="77777777" w:rsidTr="003B6F27">
        <w:trPr>
          <w:trHeight w:hRule="exact" w:val="254"/>
        </w:trPr>
        <w:tc>
          <w:tcPr>
            <w:tcW w:w="707" w:type="dxa"/>
            <w:vMerge/>
            <w:shd w:val="clear" w:color="auto" w:fill="FF8989"/>
          </w:tcPr>
          <w:p w14:paraId="43FA18DD"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6C98B91D"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3A027DC7"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Vaše laboratoře s.r.o.</w:t>
            </w:r>
          </w:p>
        </w:tc>
      </w:tr>
      <w:tr w:rsidR="00A91C05" w:rsidRPr="00BC6914" w14:paraId="1574DC84" w14:textId="77777777" w:rsidTr="003B6F27">
        <w:trPr>
          <w:trHeight w:hRule="exact" w:val="254"/>
        </w:trPr>
        <w:tc>
          <w:tcPr>
            <w:tcW w:w="707" w:type="dxa"/>
            <w:vMerge/>
            <w:shd w:val="clear" w:color="auto" w:fill="FF8989"/>
          </w:tcPr>
          <w:p w14:paraId="74ED044C"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43CAC0E2"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54567FE2"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JVM-RPIC, spol. s.r.o.</w:t>
            </w:r>
          </w:p>
        </w:tc>
      </w:tr>
      <w:tr w:rsidR="00A91C05" w:rsidRPr="00BC6914" w14:paraId="22A3AF34" w14:textId="77777777" w:rsidTr="003B6F27">
        <w:trPr>
          <w:trHeight w:hRule="exact" w:val="254"/>
        </w:trPr>
        <w:tc>
          <w:tcPr>
            <w:tcW w:w="707" w:type="dxa"/>
            <w:vMerge/>
            <w:shd w:val="clear" w:color="auto" w:fill="FF8989"/>
          </w:tcPr>
          <w:p w14:paraId="3F3C7E82"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0ECE10CE"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12675E92"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HP Tronic Zlín, spol.s.r.o.</w:t>
            </w:r>
          </w:p>
        </w:tc>
      </w:tr>
      <w:tr w:rsidR="00A91C05" w:rsidRPr="00BC6914" w14:paraId="51B1677C" w14:textId="77777777" w:rsidTr="003B6F27">
        <w:trPr>
          <w:trHeight w:hRule="exact" w:val="254"/>
        </w:trPr>
        <w:tc>
          <w:tcPr>
            <w:tcW w:w="707" w:type="dxa"/>
            <w:vMerge/>
            <w:shd w:val="clear" w:color="auto" w:fill="FF8989"/>
          </w:tcPr>
          <w:p w14:paraId="7C851F26"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1A08FD07"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65DFB1B5"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Institut pro testování a certifikaci, a.s.</w:t>
            </w:r>
          </w:p>
        </w:tc>
      </w:tr>
      <w:tr w:rsidR="00A91C05" w:rsidRPr="00BC6914" w14:paraId="62476BC7" w14:textId="77777777" w:rsidTr="003B6F27">
        <w:trPr>
          <w:trHeight w:hRule="exact" w:val="254"/>
        </w:trPr>
        <w:tc>
          <w:tcPr>
            <w:tcW w:w="707" w:type="dxa"/>
            <w:vMerge/>
            <w:shd w:val="clear" w:color="auto" w:fill="FF8989"/>
          </w:tcPr>
          <w:p w14:paraId="1DDBEE1E"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194AC839"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64EFE595"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Institut gumárenské technologie a testování, a.s.</w:t>
            </w:r>
          </w:p>
        </w:tc>
      </w:tr>
      <w:tr w:rsidR="00A91C05" w:rsidRPr="00BC6914" w14:paraId="1C3E7B44" w14:textId="77777777" w:rsidTr="003B6F27">
        <w:trPr>
          <w:trHeight w:hRule="exact" w:val="254"/>
        </w:trPr>
        <w:tc>
          <w:tcPr>
            <w:tcW w:w="707" w:type="dxa"/>
            <w:vMerge/>
            <w:shd w:val="clear" w:color="auto" w:fill="FF8989"/>
          </w:tcPr>
          <w:p w14:paraId="68FEABA6"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0D0BF0E6"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1E25691F"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Tajmac-ZPS, a.s.</w:t>
            </w:r>
          </w:p>
        </w:tc>
      </w:tr>
      <w:tr w:rsidR="00A91C05" w:rsidRPr="00BC6914" w14:paraId="47543DE6" w14:textId="77777777" w:rsidTr="003B6F27">
        <w:trPr>
          <w:trHeight w:hRule="exact" w:val="254"/>
        </w:trPr>
        <w:tc>
          <w:tcPr>
            <w:tcW w:w="707" w:type="dxa"/>
            <w:vMerge/>
            <w:shd w:val="clear" w:color="auto" w:fill="FF8989"/>
          </w:tcPr>
          <w:p w14:paraId="240BB19A"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6FA928E0"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4792019A"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COMERCIO TREND s.r.o.</w:t>
            </w:r>
          </w:p>
        </w:tc>
      </w:tr>
      <w:tr w:rsidR="00A91C05" w:rsidRPr="00BC6914" w14:paraId="67CB8853" w14:textId="77777777" w:rsidTr="003B6F27">
        <w:trPr>
          <w:trHeight w:hRule="exact" w:val="254"/>
        </w:trPr>
        <w:tc>
          <w:tcPr>
            <w:tcW w:w="707" w:type="dxa"/>
            <w:vMerge/>
            <w:shd w:val="clear" w:color="auto" w:fill="FF8989"/>
          </w:tcPr>
          <w:p w14:paraId="05D768F0"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33E1847F"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6DA4D6A6"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PROCESIA Zlín s.r.o.</w:t>
            </w:r>
          </w:p>
        </w:tc>
      </w:tr>
      <w:tr w:rsidR="00A91C05" w:rsidRPr="00BC6914" w14:paraId="64EA4FE2" w14:textId="77777777" w:rsidTr="003B6F27">
        <w:trPr>
          <w:trHeight w:hRule="exact" w:val="254"/>
        </w:trPr>
        <w:tc>
          <w:tcPr>
            <w:tcW w:w="707" w:type="dxa"/>
            <w:vMerge/>
            <w:shd w:val="clear" w:color="auto" w:fill="FF8989"/>
          </w:tcPr>
          <w:p w14:paraId="0639D942"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74506B2D"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tcPr>
          <w:p w14:paraId="4C2C9203"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Mediekos Ambulance, s.r.o.</w:t>
            </w:r>
          </w:p>
        </w:tc>
      </w:tr>
      <w:tr w:rsidR="00A91C05" w:rsidRPr="00BC6914" w14:paraId="024FF452" w14:textId="77777777" w:rsidTr="003B6F27">
        <w:trPr>
          <w:trHeight w:hRule="exact" w:val="254"/>
        </w:trPr>
        <w:tc>
          <w:tcPr>
            <w:tcW w:w="707" w:type="dxa"/>
            <w:vMerge/>
            <w:shd w:val="clear" w:color="auto" w:fill="FF8989"/>
          </w:tcPr>
          <w:p w14:paraId="0C07864B"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17B7A205"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7ACF6B2F" w14:textId="77777777" w:rsidR="00A91C05" w:rsidRPr="00BC6914" w:rsidRDefault="00A91C05" w:rsidP="00A91C05">
            <w:pPr>
              <w:spacing w:before="0"/>
              <w:jc w:val="left"/>
              <w:rPr>
                <w:rFonts w:cstheme="minorHAnsi"/>
                <w:color w:val="000000" w:themeColor="text1"/>
              </w:rPr>
            </w:pPr>
            <w:r w:rsidRPr="00BC6914">
              <w:rPr>
                <w:rFonts w:cstheme="minorHAnsi"/>
              </w:rPr>
              <w:t>FILMFEST, s.r.o.</w:t>
            </w:r>
          </w:p>
        </w:tc>
      </w:tr>
      <w:tr w:rsidR="00A91C05" w:rsidRPr="00BC6914" w14:paraId="3E24A79C" w14:textId="77777777" w:rsidTr="003B6F27">
        <w:trPr>
          <w:trHeight w:hRule="exact" w:val="254"/>
        </w:trPr>
        <w:tc>
          <w:tcPr>
            <w:tcW w:w="707" w:type="dxa"/>
            <w:vMerge/>
            <w:shd w:val="clear" w:color="auto" w:fill="FF8989"/>
          </w:tcPr>
          <w:p w14:paraId="505CA636"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0D6136D8"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6581C30D" w14:textId="77777777" w:rsidR="00A91C05" w:rsidRPr="00BC6914" w:rsidRDefault="00A91C05" w:rsidP="00A91C05">
            <w:pPr>
              <w:spacing w:before="0"/>
              <w:jc w:val="left"/>
              <w:rPr>
                <w:rFonts w:cstheme="minorHAnsi"/>
              </w:rPr>
            </w:pPr>
            <w:r w:rsidRPr="00BC6914">
              <w:rPr>
                <w:rFonts w:cstheme="minorHAnsi"/>
              </w:rPr>
              <w:t>Vita Sana Club</w:t>
            </w:r>
          </w:p>
        </w:tc>
      </w:tr>
      <w:tr w:rsidR="00A91C05" w:rsidRPr="00BC6914" w14:paraId="39FA3530" w14:textId="77777777" w:rsidTr="003B6F27">
        <w:trPr>
          <w:trHeight w:hRule="exact" w:val="254"/>
        </w:trPr>
        <w:tc>
          <w:tcPr>
            <w:tcW w:w="707" w:type="dxa"/>
            <w:vMerge/>
            <w:shd w:val="clear" w:color="auto" w:fill="FF8989"/>
          </w:tcPr>
          <w:p w14:paraId="1F3ED601"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48A49F08"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D9D9D9" w:themeFill="background1" w:themeFillShade="D9"/>
          </w:tcPr>
          <w:p w14:paraId="6E75D85C" w14:textId="77777777" w:rsidR="00A91C05" w:rsidRPr="00BC6914" w:rsidRDefault="00A91C05" w:rsidP="00A91C05">
            <w:pPr>
              <w:spacing w:before="0"/>
              <w:jc w:val="left"/>
              <w:rPr>
                <w:rFonts w:cstheme="minorHAnsi"/>
              </w:rPr>
            </w:pPr>
            <w:r w:rsidRPr="00BC6914">
              <w:rPr>
                <w:rFonts w:cstheme="minorHAnsi"/>
              </w:rPr>
              <w:t>Rallye Zlín, spol. s r. o.</w:t>
            </w:r>
          </w:p>
        </w:tc>
      </w:tr>
      <w:tr w:rsidR="00A91C05" w:rsidRPr="00BC6914" w14:paraId="610BEB45" w14:textId="77777777" w:rsidTr="003B6F27">
        <w:trPr>
          <w:trHeight w:hRule="exact" w:val="254"/>
        </w:trPr>
        <w:tc>
          <w:tcPr>
            <w:tcW w:w="707" w:type="dxa"/>
            <w:vMerge/>
            <w:shd w:val="clear" w:color="auto" w:fill="FF8989"/>
          </w:tcPr>
          <w:p w14:paraId="4ED73E57"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cPr>
          <w:p w14:paraId="327F6985" w14:textId="77777777" w:rsidR="00A91C05" w:rsidRPr="00BC6914" w:rsidRDefault="00A91C05" w:rsidP="00A91C05">
            <w:pPr>
              <w:autoSpaceDE w:val="0"/>
              <w:autoSpaceDN w:val="0"/>
              <w:adjustRightInd w:val="0"/>
              <w:spacing w:before="0"/>
              <w:rPr>
                <w:rFonts w:cstheme="minorHAnsi"/>
                <w:color w:val="000000" w:themeColor="text1"/>
              </w:rPr>
            </w:pPr>
          </w:p>
        </w:tc>
        <w:tc>
          <w:tcPr>
            <w:tcW w:w="7834" w:type="dxa"/>
            <w:shd w:val="clear" w:color="auto" w:fill="FFFFFF" w:themeFill="background1"/>
          </w:tcPr>
          <w:p w14:paraId="5CFFEBF5" w14:textId="77777777" w:rsidR="00A91C05" w:rsidRPr="00BC6914" w:rsidRDefault="00A91C05" w:rsidP="00A91C05">
            <w:pPr>
              <w:spacing w:before="0"/>
              <w:jc w:val="left"/>
              <w:rPr>
                <w:rFonts w:cstheme="minorHAnsi"/>
              </w:rPr>
            </w:pPr>
            <w:r w:rsidRPr="00BC6914">
              <w:rPr>
                <w:rFonts w:cstheme="minorHAnsi"/>
                <w:color w:val="000000" w:themeColor="text1"/>
              </w:rPr>
              <w:t>CREAM Real Estate, s.r.o.</w:t>
            </w:r>
          </w:p>
        </w:tc>
      </w:tr>
      <w:tr w:rsidR="00A91C05" w:rsidRPr="00BC6914" w14:paraId="15FDAEAF" w14:textId="77777777" w:rsidTr="003B6F27">
        <w:trPr>
          <w:trHeight w:hRule="exact" w:val="254"/>
        </w:trPr>
        <w:tc>
          <w:tcPr>
            <w:tcW w:w="707" w:type="dxa"/>
            <w:vMerge w:val="restart"/>
            <w:shd w:val="clear" w:color="auto" w:fill="FF8989"/>
            <w:textDirection w:val="btLr"/>
          </w:tcPr>
          <w:p w14:paraId="214DAB08" w14:textId="77777777" w:rsidR="00A91C05" w:rsidRPr="00BC6914" w:rsidRDefault="00A91C05" w:rsidP="00A91C05">
            <w:pPr>
              <w:spacing w:before="0"/>
              <w:ind w:left="113" w:right="113"/>
              <w:jc w:val="center"/>
              <w:rPr>
                <w:rFonts w:cstheme="minorHAnsi"/>
                <w:color w:val="000000" w:themeColor="text1"/>
              </w:rPr>
            </w:pPr>
          </w:p>
          <w:p w14:paraId="3BA71A23" w14:textId="77777777" w:rsidR="00A91C05" w:rsidRPr="00BC6914" w:rsidRDefault="00A91C05" w:rsidP="00A91C05">
            <w:pPr>
              <w:spacing w:before="0"/>
              <w:ind w:left="113" w:right="113"/>
              <w:jc w:val="center"/>
              <w:rPr>
                <w:rFonts w:cstheme="minorHAnsi"/>
                <w:b/>
                <w:color w:val="000000" w:themeColor="text1"/>
              </w:rPr>
            </w:pPr>
            <w:r w:rsidRPr="00BC6914">
              <w:rPr>
                <w:rFonts w:cstheme="minorHAnsi"/>
                <w:b/>
                <w:color w:val="000000" w:themeColor="text1"/>
              </w:rPr>
              <w:t>Občanská společnost</w:t>
            </w:r>
          </w:p>
        </w:tc>
        <w:tc>
          <w:tcPr>
            <w:tcW w:w="569" w:type="dxa"/>
            <w:vMerge w:val="restart"/>
            <w:shd w:val="clear" w:color="auto" w:fill="FF8989"/>
            <w:textDirection w:val="btLr"/>
          </w:tcPr>
          <w:p w14:paraId="14A28E74" w14:textId="77777777" w:rsidR="00A91C05" w:rsidRPr="00BC6914" w:rsidRDefault="00A91C05" w:rsidP="00A91C05">
            <w:pPr>
              <w:spacing w:before="0"/>
              <w:ind w:left="113" w:right="113"/>
              <w:jc w:val="center"/>
              <w:rPr>
                <w:rFonts w:cstheme="minorHAnsi"/>
                <w:color w:val="000000" w:themeColor="text1"/>
              </w:rPr>
            </w:pPr>
            <w:r w:rsidRPr="00BC6914">
              <w:rPr>
                <w:rFonts w:cstheme="minorHAnsi"/>
                <w:b/>
                <w:color w:val="000000" w:themeColor="text1"/>
              </w:rPr>
              <w:t>Interní</w:t>
            </w:r>
          </w:p>
        </w:tc>
        <w:tc>
          <w:tcPr>
            <w:tcW w:w="7834" w:type="dxa"/>
            <w:shd w:val="clear" w:color="auto" w:fill="FFFFFF" w:themeFill="background1"/>
          </w:tcPr>
          <w:p w14:paraId="3B3FB489"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bCs/>
                <w:color w:val="000000" w:themeColor="text1"/>
              </w:rPr>
              <w:t>Občanské sdružení Zelené bydlení</w:t>
            </w:r>
          </w:p>
        </w:tc>
      </w:tr>
      <w:tr w:rsidR="00A91C05" w:rsidRPr="00BC6914" w14:paraId="6442F825" w14:textId="77777777" w:rsidTr="003B6F27">
        <w:trPr>
          <w:trHeight w:hRule="exact" w:val="254"/>
        </w:trPr>
        <w:tc>
          <w:tcPr>
            <w:tcW w:w="707" w:type="dxa"/>
            <w:vMerge/>
            <w:shd w:val="clear" w:color="auto" w:fill="FF8989"/>
            <w:textDirection w:val="btLr"/>
          </w:tcPr>
          <w:p w14:paraId="40232AEB"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20324DD1" w14:textId="77777777" w:rsidR="00A91C05" w:rsidRPr="00BC6914" w:rsidRDefault="00A91C05" w:rsidP="00A91C05">
            <w:pPr>
              <w:spacing w:before="0"/>
              <w:ind w:left="113" w:right="113"/>
              <w:rPr>
                <w:rFonts w:cstheme="minorHAnsi"/>
                <w:color w:val="000000" w:themeColor="text1"/>
              </w:rPr>
            </w:pPr>
          </w:p>
        </w:tc>
        <w:tc>
          <w:tcPr>
            <w:tcW w:w="7834" w:type="dxa"/>
          </w:tcPr>
          <w:p w14:paraId="44E0199A"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ZO ČSOP Ekocentrum Čtyřlístek</w:t>
            </w:r>
          </w:p>
        </w:tc>
      </w:tr>
      <w:tr w:rsidR="00A91C05" w:rsidRPr="00BC6914" w14:paraId="5993DD44" w14:textId="77777777" w:rsidTr="003B6F27">
        <w:trPr>
          <w:trHeight w:hRule="exact" w:val="254"/>
        </w:trPr>
        <w:tc>
          <w:tcPr>
            <w:tcW w:w="707" w:type="dxa"/>
            <w:vMerge/>
            <w:shd w:val="clear" w:color="auto" w:fill="FF8989"/>
            <w:textDirection w:val="btLr"/>
          </w:tcPr>
          <w:p w14:paraId="78367D0D"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5D686537" w14:textId="77777777" w:rsidR="00A91C05" w:rsidRPr="00BC6914" w:rsidRDefault="00A91C05" w:rsidP="00A91C05">
            <w:pPr>
              <w:spacing w:before="0"/>
              <w:ind w:left="113" w:right="113"/>
              <w:rPr>
                <w:rFonts w:cstheme="minorHAnsi"/>
                <w:color w:val="000000" w:themeColor="text1"/>
              </w:rPr>
            </w:pPr>
          </w:p>
        </w:tc>
        <w:tc>
          <w:tcPr>
            <w:tcW w:w="7834" w:type="dxa"/>
          </w:tcPr>
          <w:p w14:paraId="08FFD4D0"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Katolická církev - Arcidiecéze olomoucká - Děkanský úřad Zlín</w:t>
            </w:r>
          </w:p>
        </w:tc>
      </w:tr>
      <w:tr w:rsidR="00A91C05" w:rsidRPr="00BC6914" w14:paraId="1A48E874" w14:textId="77777777" w:rsidTr="003B6F27">
        <w:trPr>
          <w:trHeight w:hRule="exact" w:val="254"/>
        </w:trPr>
        <w:tc>
          <w:tcPr>
            <w:tcW w:w="707" w:type="dxa"/>
            <w:vMerge/>
            <w:shd w:val="clear" w:color="auto" w:fill="FF8989"/>
            <w:textDirection w:val="btLr"/>
          </w:tcPr>
          <w:p w14:paraId="189C7244"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44D85825" w14:textId="77777777" w:rsidR="00A91C05" w:rsidRPr="00BC6914" w:rsidRDefault="00A91C05" w:rsidP="00A91C05">
            <w:pPr>
              <w:spacing w:before="0"/>
              <w:ind w:left="113" w:right="113"/>
              <w:rPr>
                <w:rFonts w:cstheme="minorHAnsi"/>
                <w:color w:val="000000" w:themeColor="text1"/>
              </w:rPr>
            </w:pPr>
          </w:p>
        </w:tc>
        <w:tc>
          <w:tcPr>
            <w:tcW w:w="7834" w:type="dxa"/>
          </w:tcPr>
          <w:p w14:paraId="3ABA5B2F"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HANDICAP Zlín, z.s.</w:t>
            </w:r>
          </w:p>
        </w:tc>
      </w:tr>
      <w:tr w:rsidR="00A91C05" w:rsidRPr="00BC6914" w14:paraId="5C25DF5B" w14:textId="77777777" w:rsidTr="003B6F27">
        <w:trPr>
          <w:trHeight w:hRule="exact" w:val="254"/>
        </w:trPr>
        <w:tc>
          <w:tcPr>
            <w:tcW w:w="707" w:type="dxa"/>
            <w:vMerge/>
            <w:shd w:val="clear" w:color="auto" w:fill="FF8989"/>
            <w:textDirection w:val="btLr"/>
          </w:tcPr>
          <w:p w14:paraId="7A0A5D77"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AB08853" w14:textId="77777777" w:rsidR="00A91C05" w:rsidRPr="00BC6914" w:rsidRDefault="00A91C05" w:rsidP="00A91C05">
            <w:pPr>
              <w:spacing w:before="0"/>
              <w:ind w:left="113" w:right="113"/>
              <w:rPr>
                <w:rFonts w:cstheme="minorHAnsi"/>
                <w:color w:val="000000" w:themeColor="text1"/>
              </w:rPr>
            </w:pPr>
          </w:p>
        </w:tc>
        <w:tc>
          <w:tcPr>
            <w:tcW w:w="7834" w:type="dxa"/>
          </w:tcPr>
          <w:p w14:paraId="616AE025"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Aktivně životem o.p.s.</w:t>
            </w:r>
          </w:p>
        </w:tc>
      </w:tr>
      <w:tr w:rsidR="00A91C05" w:rsidRPr="00BC6914" w14:paraId="1D2F1AE4" w14:textId="77777777" w:rsidTr="003B6F27">
        <w:trPr>
          <w:trHeight w:hRule="exact" w:val="254"/>
        </w:trPr>
        <w:tc>
          <w:tcPr>
            <w:tcW w:w="707" w:type="dxa"/>
            <w:vMerge/>
            <w:shd w:val="clear" w:color="auto" w:fill="FF8989"/>
            <w:textDirection w:val="btLr"/>
          </w:tcPr>
          <w:p w14:paraId="33F67FD3"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12928C5C" w14:textId="77777777" w:rsidR="00A91C05" w:rsidRPr="00BC6914" w:rsidRDefault="00A91C05" w:rsidP="00A91C05">
            <w:pPr>
              <w:spacing w:before="0"/>
              <w:ind w:left="113" w:right="113"/>
              <w:rPr>
                <w:rFonts w:cstheme="minorHAnsi"/>
                <w:color w:val="000000" w:themeColor="text1"/>
              </w:rPr>
            </w:pPr>
          </w:p>
        </w:tc>
        <w:tc>
          <w:tcPr>
            <w:tcW w:w="7834" w:type="dxa"/>
          </w:tcPr>
          <w:p w14:paraId="1B1F5C92"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ARGO, Společnost dobré vůle, Zlín</w:t>
            </w:r>
          </w:p>
        </w:tc>
      </w:tr>
      <w:tr w:rsidR="00A91C05" w:rsidRPr="00BC6914" w14:paraId="2C90F85A" w14:textId="77777777" w:rsidTr="003B6F27">
        <w:trPr>
          <w:trHeight w:hRule="exact" w:val="254"/>
        </w:trPr>
        <w:tc>
          <w:tcPr>
            <w:tcW w:w="707" w:type="dxa"/>
            <w:vMerge/>
            <w:shd w:val="clear" w:color="auto" w:fill="FF8989"/>
            <w:textDirection w:val="btLr"/>
          </w:tcPr>
          <w:p w14:paraId="33276C1A"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0A6B0208" w14:textId="77777777" w:rsidR="00A91C05" w:rsidRPr="00BC6914" w:rsidRDefault="00A91C05" w:rsidP="00A91C05">
            <w:pPr>
              <w:spacing w:before="0"/>
              <w:ind w:left="113" w:right="113"/>
              <w:rPr>
                <w:rFonts w:cstheme="minorHAnsi"/>
                <w:color w:val="000000" w:themeColor="text1"/>
              </w:rPr>
            </w:pPr>
          </w:p>
        </w:tc>
        <w:tc>
          <w:tcPr>
            <w:tcW w:w="7834" w:type="dxa"/>
          </w:tcPr>
          <w:p w14:paraId="4639A58D"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Azylový dům pro ženy a matky s dětmi o.p.s.</w:t>
            </w:r>
          </w:p>
        </w:tc>
      </w:tr>
      <w:tr w:rsidR="00A91C05" w:rsidRPr="00BC6914" w14:paraId="1AA97047" w14:textId="77777777" w:rsidTr="003B6F27">
        <w:trPr>
          <w:trHeight w:hRule="exact" w:val="254"/>
        </w:trPr>
        <w:tc>
          <w:tcPr>
            <w:tcW w:w="707" w:type="dxa"/>
            <w:vMerge/>
            <w:shd w:val="clear" w:color="auto" w:fill="FF8989"/>
            <w:textDirection w:val="btLr"/>
          </w:tcPr>
          <w:p w14:paraId="50945E46"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66F18B81" w14:textId="77777777" w:rsidR="00A91C05" w:rsidRPr="00BC6914" w:rsidRDefault="00A91C05" w:rsidP="00A91C05">
            <w:pPr>
              <w:spacing w:before="0"/>
              <w:ind w:left="113" w:right="113"/>
              <w:rPr>
                <w:rFonts w:cstheme="minorHAnsi"/>
                <w:color w:val="000000" w:themeColor="text1"/>
              </w:rPr>
            </w:pPr>
          </w:p>
        </w:tc>
        <w:tc>
          <w:tcPr>
            <w:tcW w:w="7834" w:type="dxa"/>
          </w:tcPr>
          <w:p w14:paraId="5B81B92A"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GRUNT, o.s. - Resocializační a terapeutická komunita</w:t>
            </w:r>
          </w:p>
        </w:tc>
      </w:tr>
      <w:tr w:rsidR="00A91C05" w:rsidRPr="00BC6914" w14:paraId="5972D133" w14:textId="77777777" w:rsidTr="003B6F27">
        <w:trPr>
          <w:trHeight w:hRule="exact" w:val="254"/>
        </w:trPr>
        <w:tc>
          <w:tcPr>
            <w:tcW w:w="707" w:type="dxa"/>
            <w:vMerge/>
            <w:shd w:val="clear" w:color="auto" w:fill="FF8989"/>
            <w:textDirection w:val="btLr"/>
          </w:tcPr>
          <w:p w14:paraId="71451C79"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03622F25" w14:textId="77777777" w:rsidR="00A91C05" w:rsidRPr="00BC6914" w:rsidRDefault="00A91C05" w:rsidP="00A91C05">
            <w:pPr>
              <w:spacing w:before="0"/>
              <w:ind w:left="113" w:right="113"/>
              <w:rPr>
                <w:rFonts w:cstheme="minorHAnsi"/>
                <w:color w:val="000000" w:themeColor="text1"/>
              </w:rPr>
            </w:pPr>
          </w:p>
        </w:tc>
        <w:tc>
          <w:tcPr>
            <w:tcW w:w="7834" w:type="dxa"/>
          </w:tcPr>
          <w:p w14:paraId="68B7422E"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HVĚZDA z. ú.</w:t>
            </w:r>
          </w:p>
        </w:tc>
      </w:tr>
      <w:tr w:rsidR="00A91C05" w:rsidRPr="00BC6914" w14:paraId="64127D49" w14:textId="77777777" w:rsidTr="003B6F27">
        <w:trPr>
          <w:trHeight w:hRule="exact" w:val="254"/>
        </w:trPr>
        <w:tc>
          <w:tcPr>
            <w:tcW w:w="707" w:type="dxa"/>
            <w:vMerge/>
            <w:shd w:val="clear" w:color="auto" w:fill="FF8989"/>
            <w:textDirection w:val="btLr"/>
          </w:tcPr>
          <w:p w14:paraId="24D08059"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6DD8A29B" w14:textId="77777777" w:rsidR="00A91C05" w:rsidRPr="00BC6914" w:rsidRDefault="00A91C05" w:rsidP="00A91C05">
            <w:pPr>
              <w:spacing w:before="0"/>
              <w:ind w:left="113" w:right="113"/>
              <w:rPr>
                <w:rFonts w:cstheme="minorHAnsi"/>
                <w:color w:val="000000" w:themeColor="text1"/>
              </w:rPr>
            </w:pPr>
          </w:p>
        </w:tc>
        <w:tc>
          <w:tcPr>
            <w:tcW w:w="7834" w:type="dxa"/>
          </w:tcPr>
          <w:p w14:paraId="2AE31111"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Charita Zlín</w:t>
            </w:r>
          </w:p>
        </w:tc>
      </w:tr>
      <w:tr w:rsidR="00A91C05" w:rsidRPr="00BC6914" w14:paraId="0CF0F81C" w14:textId="77777777" w:rsidTr="003B6F27">
        <w:trPr>
          <w:trHeight w:hRule="exact" w:val="254"/>
        </w:trPr>
        <w:tc>
          <w:tcPr>
            <w:tcW w:w="707" w:type="dxa"/>
            <w:vMerge/>
            <w:shd w:val="clear" w:color="auto" w:fill="FF8989"/>
            <w:textDirection w:val="btLr"/>
          </w:tcPr>
          <w:p w14:paraId="345D37A1"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72BFAB8" w14:textId="77777777" w:rsidR="00A91C05" w:rsidRPr="00BC6914" w:rsidRDefault="00A91C05" w:rsidP="00A91C05">
            <w:pPr>
              <w:spacing w:before="0"/>
              <w:ind w:left="113" w:right="113"/>
              <w:rPr>
                <w:rFonts w:cstheme="minorHAnsi"/>
                <w:color w:val="000000" w:themeColor="text1"/>
              </w:rPr>
            </w:pPr>
          </w:p>
        </w:tc>
        <w:tc>
          <w:tcPr>
            <w:tcW w:w="7834" w:type="dxa"/>
          </w:tcPr>
          <w:p w14:paraId="6D3E5FE0"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Centrum služeb a podpory Zlín, o.p.s. – Slunečnice</w:t>
            </w:r>
          </w:p>
        </w:tc>
      </w:tr>
      <w:tr w:rsidR="00A91C05" w:rsidRPr="00BC6914" w14:paraId="197A4783" w14:textId="77777777" w:rsidTr="003B6F27">
        <w:trPr>
          <w:trHeight w:hRule="exact" w:val="254"/>
        </w:trPr>
        <w:tc>
          <w:tcPr>
            <w:tcW w:w="707" w:type="dxa"/>
            <w:vMerge/>
            <w:shd w:val="clear" w:color="auto" w:fill="FF8989"/>
            <w:textDirection w:val="btLr"/>
          </w:tcPr>
          <w:p w14:paraId="136AF4A9"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0938AA80" w14:textId="77777777" w:rsidR="00A91C05" w:rsidRPr="00BC6914" w:rsidRDefault="00A91C05" w:rsidP="00A91C05">
            <w:pPr>
              <w:spacing w:before="0"/>
              <w:ind w:left="113" w:right="113"/>
              <w:rPr>
                <w:rFonts w:cstheme="minorHAnsi"/>
                <w:color w:val="000000" w:themeColor="text1"/>
              </w:rPr>
            </w:pPr>
          </w:p>
        </w:tc>
        <w:tc>
          <w:tcPr>
            <w:tcW w:w="7834" w:type="dxa"/>
          </w:tcPr>
          <w:p w14:paraId="5DF19F54"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NADĚJE</w:t>
            </w:r>
          </w:p>
        </w:tc>
      </w:tr>
      <w:tr w:rsidR="00A91C05" w:rsidRPr="00BC6914" w14:paraId="2FA43E3F" w14:textId="77777777" w:rsidTr="003B6F27">
        <w:trPr>
          <w:trHeight w:hRule="exact" w:val="254"/>
        </w:trPr>
        <w:tc>
          <w:tcPr>
            <w:tcW w:w="707" w:type="dxa"/>
            <w:vMerge/>
            <w:shd w:val="clear" w:color="auto" w:fill="FF8989"/>
            <w:textDirection w:val="btLr"/>
          </w:tcPr>
          <w:p w14:paraId="031638F2"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069352EA"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D9D9D9" w:themeFill="background1" w:themeFillShade="D9"/>
          </w:tcPr>
          <w:p w14:paraId="5CE09AEC"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 xml:space="preserve">Oblastní spolek Českého červeného kříže Zlín </w:t>
            </w:r>
          </w:p>
        </w:tc>
      </w:tr>
      <w:tr w:rsidR="00A91C05" w:rsidRPr="00BC6914" w14:paraId="294BDD8F" w14:textId="77777777" w:rsidTr="003B6F27">
        <w:trPr>
          <w:trHeight w:hRule="exact" w:val="254"/>
        </w:trPr>
        <w:tc>
          <w:tcPr>
            <w:tcW w:w="707" w:type="dxa"/>
            <w:vMerge/>
            <w:shd w:val="clear" w:color="auto" w:fill="FF8989"/>
            <w:textDirection w:val="btLr"/>
          </w:tcPr>
          <w:p w14:paraId="4AF4BE5E"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2A3800EE"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418869B3"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Společnost Podané ruce o.p.s. – Kontaktní centrum ve Zlíně</w:t>
            </w:r>
          </w:p>
        </w:tc>
      </w:tr>
      <w:tr w:rsidR="00A91C05" w:rsidRPr="00BC6914" w14:paraId="5D6E3480" w14:textId="77777777" w:rsidTr="003B6F27">
        <w:trPr>
          <w:trHeight w:hRule="exact" w:val="254"/>
        </w:trPr>
        <w:tc>
          <w:tcPr>
            <w:tcW w:w="707" w:type="dxa"/>
            <w:vMerge/>
            <w:shd w:val="clear" w:color="auto" w:fill="FF8989"/>
            <w:textDirection w:val="btLr"/>
          </w:tcPr>
          <w:p w14:paraId="5E7F6F25"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59D7C11F" w14:textId="77777777" w:rsidR="00A91C05" w:rsidRPr="00BC6914" w:rsidRDefault="00A91C05" w:rsidP="00A91C05">
            <w:pPr>
              <w:spacing w:before="0"/>
              <w:ind w:left="113" w:right="113"/>
              <w:rPr>
                <w:rFonts w:cstheme="minorHAnsi"/>
                <w:color w:val="000000" w:themeColor="text1"/>
              </w:rPr>
            </w:pPr>
          </w:p>
        </w:tc>
        <w:tc>
          <w:tcPr>
            <w:tcW w:w="7834" w:type="dxa"/>
          </w:tcPr>
          <w:p w14:paraId="4518A491"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Sjednocená organizace nevidomých a slabozrakých ČR</w:t>
            </w:r>
          </w:p>
        </w:tc>
      </w:tr>
      <w:tr w:rsidR="00A91C05" w:rsidRPr="00BC6914" w14:paraId="10971982" w14:textId="77777777" w:rsidTr="003B6F27">
        <w:trPr>
          <w:trHeight w:hRule="exact" w:val="254"/>
        </w:trPr>
        <w:tc>
          <w:tcPr>
            <w:tcW w:w="707" w:type="dxa"/>
            <w:vMerge/>
            <w:shd w:val="clear" w:color="auto" w:fill="FF8989"/>
            <w:textDirection w:val="btLr"/>
          </w:tcPr>
          <w:p w14:paraId="67E10CEE"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3FB9FF05" w14:textId="77777777" w:rsidR="00A91C05" w:rsidRPr="00BC6914" w:rsidRDefault="00A91C05" w:rsidP="00A91C05">
            <w:pPr>
              <w:spacing w:before="0"/>
              <w:ind w:left="113" w:right="113"/>
              <w:rPr>
                <w:rFonts w:cstheme="minorHAnsi"/>
                <w:color w:val="000000" w:themeColor="text1"/>
              </w:rPr>
            </w:pPr>
          </w:p>
        </w:tc>
        <w:tc>
          <w:tcPr>
            <w:tcW w:w="7834" w:type="dxa"/>
          </w:tcPr>
          <w:p w14:paraId="5D79469F"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STROP o.p.s.</w:t>
            </w:r>
          </w:p>
        </w:tc>
      </w:tr>
      <w:tr w:rsidR="00A91C05" w:rsidRPr="00BC6914" w14:paraId="6E753F17" w14:textId="77777777" w:rsidTr="003B6F27">
        <w:trPr>
          <w:trHeight w:hRule="exact" w:val="254"/>
        </w:trPr>
        <w:tc>
          <w:tcPr>
            <w:tcW w:w="707" w:type="dxa"/>
            <w:vMerge/>
            <w:shd w:val="clear" w:color="auto" w:fill="FF8989"/>
            <w:textDirection w:val="btLr"/>
          </w:tcPr>
          <w:p w14:paraId="0FBA383E"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60C55D9" w14:textId="77777777" w:rsidR="00A91C05" w:rsidRPr="00BC6914" w:rsidRDefault="00A91C05" w:rsidP="00A91C05">
            <w:pPr>
              <w:spacing w:before="0"/>
              <w:ind w:left="113" w:right="113"/>
              <w:rPr>
                <w:rFonts w:cstheme="minorHAnsi"/>
                <w:color w:val="000000" w:themeColor="text1"/>
              </w:rPr>
            </w:pPr>
          </w:p>
        </w:tc>
        <w:tc>
          <w:tcPr>
            <w:tcW w:w="7834" w:type="dxa"/>
          </w:tcPr>
          <w:p w14:paraId="52464FEE"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Středisko rané péče EDUCO Zlín z.s.</w:t>
            </w:r>
          </w:p>
        </w:tc>
      </w:tr>
      <w:tr w:rsidR="00A91C05" w:rsidRPr="00BC6914" w14:paraId="4D4AC1B8" w14:textId="77777777" w:rsidTr="003B6F27">
        <w:trPr>
          <w:trHeight w:hRule="exact" w:val="254"/>
        </w:trPr>
        <w:tc>
          <w:tcPr>
            <w:tcW w:w="707" w:type="dxa"/>
            <w:vMerge/>
            <w:shd w:val="clear" w:color="auto" w:fill="FF8989"/>
            <w:textDirection w:val="btLr"/>
          </w:tcPr>
          <w:p w14:paraId="23024932"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29BED61D" w14:textId="77777777" w:rsidR="00A91C05" w:rsidRPr="00BC6914" w:rsidRDefault="00A91C05" w:rsidP="00A91C05">
            <w:pPr>
              <w:spacing w:before="0"/>
              <w:ind w:left="113" w:right="113"/>
              <w:rPr>
                <w:rFonts w:cstheme="minorHAnsi"/>
                <w:color w:val="000000" w:themeColor="text1"/>
              </w:rPr>
            </w:pPr>
          </w:p>
        </w:tc>
        <w:tc>
          <w:tcPr>
            <w:tcW w:w="7834" w:type="dxa"/>
          </w:tcPr>
          <w:p w14:paraId="1928CCF0"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Svaz tělesně postižených v České republice, z.s., Zlín</w:t>
            </w:r>
          </w:p>
        </w:tc>
      </w:tr>
      <w:tr w:rsidR="00A91C05" w:rsidRPr="00BC6914" w14:paraId="35175F22" w14:textId="77777777" w:rsidTr="003B6F27">
        <w:trPr>
          <w:trHeight w:hRule="exact" w:val="254"/>
        </w:trPr>
        <w:tc>
          <w:tcPr>
            <w:tcW w:w="707" w:type="dxa"/>
            <w:vMerge/>
            <w:shd w:val="clear" w:color="auto" w:fill="FF8989"/>
            <w:textDirection w:val="btLr"/>
          </w:tcPr>
          <w:p w14:paraId="47F681F7"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56E4BD91" w14:textId="77777777" w:rsidR="00A91C05" w:rsidRPr="00BC6914" w:rsidRDefault="00A91C05" w:rsidP="00A91C05">
            <w:pPr>
              <w:spacing w:before="0"/>
              <w:ind w:left="113" w:right="113"/>
              <w:rPr>
                <w:rFonts w:cstheme="minorHAnsi"/>
                <w:color w:val="000000" w:themeColor="text1"/>
              </w:rPr>
            </w:pPr>
          </w:p>
        </w:tc>
        <w:tc>
          <w:tcPr>
            <w:tcW w:w="7834" w:type="dxa"/>
          </w:tcPr>
          <w:p w14:paraId="20493F8A"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Tyfloservis, o.p.s., krajské ambulantní středisko Zlín</w:t>
            </w:r>
          </w:p>
        </w:tc>
      </w:tr>
      <w:tr w:rsidR="00A91C05" w:rsidRPr="00BC6914" w14:paraId="00D7E6D6" w14:textId="77777777" w:rsidTr="003B6F27">
        <w:trPr>
          <w:trHeight w:hRule="exact" w:val="254"/>
        </w:trPr>
        <w:tc>
          <w:tcPr>
            <w:tcW w:w="707" w:type="dxa"/>
            <w:vMerge/>
            <w:shd w:val="clear" w:color="auto" w:fill="FF8989"/>
            <w:textDirection w:val="btLr"/>
          </w:tcPr>
          <w:p w14:paraId="5CA97890"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6C8304A7" w14:textId="77777777" w:rsidR="00A91C05" w:rsidRPr="00BC6914" w:rsidRDefault="00A91C05" w:rsidP="00A91C05">
            <w:pPr>
              <w:spacing w:before="0"/>
              <w:ind w:left="113" w:right="113"/>
              <w:rPr>
                <w:rFonts w:cstheme="minorHAnsi"/>
                <w:color w:val="000000" w:themeColor="text1"/>
              </w:rPr>
            </w:pPr>
          </w:p>
        </w:tc>
        <w:tc>
          <w:tcPr>
            <w:tcW w:w="7834" w:type="dxa"/>
          </w:tcPr>
          <w:p w14:paraId="79565A6C"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Unie Kompas, z.s.</w:t>
            </w:r>
          </w:p>
        </w:tc>
      </w:tr>
      <w:tr w:rsidR="00A91C05" w:rsidRPr="00BC6914" w14:paraId="748AF9FD" w14:textId="77777777" w:rsidTr="003B6F27">
        <w:trPr>
          <w:trHeight w:hRule="exact" w:val="254"/>
        </w:trPr>
        <w:tc>
          <w:tcPr>
            <w:tcW w:w="707" w:type="dxa"/>
            <w:vMerge/>
            <w:shd w:val="clear" w:color="auto" w:fill="FF8989"/>
            <w:textDirection w:val="btLr"/>
          </w:tcPr>
          <w:p w14:paraId="75BF4E1F"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4724E5D0" w14:textId="77777777" w:rsidR="00A91C05" w:rsidRPr="00BC6914" w:rsidRDefault="00A91C05" w:rsidP="00A91C05">
            <w:pPr>
              <w:spacing w:before="0"/>
              <w:ind w:left="113" w:right="113"/>
              <w:rPr>
                <w:rFonts w:cstheme="minorHAnsi"/>
                <w:color w:val="000000" w:themeColor="text1"/>
              </w:rPr>
            </w:pPr>
          </w:p>
        </w:tc>
        <w:tc>
          <w:tcPr>
            <w:tcW w:w="7834" w:type="dxa"/>
          </w:tcPr>
          <w:p w14:paraId="6D9126D0"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Malá scéna Zlín o.p.s.</w:t>
            </w:r>
          </w:p>
        </w:tc>
      </w:tr>
      <w:tr w:rsidR="00A91C05" w:rsidRPr="00BC6914" w14:paraId="3389A41E" w14:textId="77777777" w:rsidTr="003B6F27">
        <w:trPr>
          <w:trHeight w:hRule="exact" w:val="254"/>
        </w:trPr>
        <w:tc>
          <w:tcPr>
            <w:tcW w:w="707" w:type="dxa"/>
            <w:vMerge/>
            <w:shd w:val="clear" w:color="auto" w:fill="FF8989"/>
            <w:textDirection w:val="btLr"/>
          </w:tcPr>
          <w:p w14:paraId="12A545A4"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696D5940" w14:textId="77777777" w:rsidR="00A91C05" w:rsidRPr="00BC6914" w:rsidRDefault="00A91C05" w:rsidP="00A91C05">
            <w:pPr>
              <w:spacing w:before="0"/>
              <w:ind w:left="113" w:right="113"/>
              <w:rPr>
                <w:rFonts w:cstheme="minorHAnsi"/>
                <w:color w:val="000000" w:themeColor="text1"/>
              </w:rPr>
            </w:pPr>
          </w:p>
        </w:tc>
        <w:tc>
          <w:tcPr>
            <w:tcW w:w="7834" w:type="dxa"/>
          </w:tcPr>
          <w:p w14:paraId="2305E0B1"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Filharmonie Bohuslava Martinů, o.p.s.</w:t>
            </w:r>
          </w:p>
        </w:tc>
      </w:tr>
      <w:tr w:rsidR="00A91C05" w:rsidRPr="00BC6914" w14:paraId="679E043B" w14:textId="77777777" w:rsidTr="003B6F27">
        <w:trPr>
          <w:trHeight w:hRule="exact" w:val="254"/>
        </w:trPr>
        <w:tc>
          <w:tcPr>
            <w:tcW w:w="707" w:type="dxa"/>
            <w:vMerge/>
            <w:shd w:val="clear" w:color="auto" w:fill="FF8989"/>
            <w:textDirection w:val="btLr"/>
          </w:tcPr>
          <w:p w14:paraId="4269E71E"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3D44A07" w14:textId="77777777" w:rsidR="00A91C05" w:rsidRPr="00BC6914" w:rsidRDefault="00A91C05" w:rsidP="00A91C05">
            <w:pPr>
              <w:spacing w:before="0"/>
              <w:ind w:left="113" w:right="113"/>
              <w:rPr>
                <w:rFonts w:cstheme="minorHAnsi"/>
                <w:color w:val="000000" w:themeColor="text1"/>
              </w:rPr>
            </w:pPr>
          </w:p>
        </w:tc>
        <w:tc>
          <w:tcPr>
            <w:tcW w:w="7834" w:type="dxa"/>
          </w:tcPr>
          <w:p w14:paraId="3228F078"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Hvězdárna Zlín - Zlínská astronomická společnost</w:t>
            </w:r>
          </w:p>
        </w:tc>
      </w:tr>
      <w:tr w:rsidR="00A91C05" w:rsidRPr="00BC6914" w14:paraId="2FD8F16B" w14:textId="77777777" w:rsidTr="003B6F27">
        <w:trPr>
          <w:trHeight w:hRule="exact" w:val="254"/>
        </w:trPr>
        <w:tc>
          <w:tcPr>
            <w:tcW w:w="707" w:type="dxa"/>
            <w:vMerge/>
            <w:shd w:val="clear" w:color="auto" w:fill="FF8989"/>
            <w:textDirection w:val="btLr"/>
          </w:tcPr>
          <w:p w14:paraId="34154711"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2F5425C7"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D9D9D9" w:themeFill="background1" w:themeFillShade="D9"/>
          </w:tcPr>
          <w:p w14:paraId="4A3A0B86"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Nadace Tomáše Bati</w:t>
            </w:r>
          </w:p>
        </w:tc>
      </w:tr>
      <w:tr w:rsidR="00A91C05" w:rsidRPr="00BC6914" w14:paraId="61C91C57" w14:textId="77777777" w:rsidTr="003B6F27">
        <w:trPr>
          <w:trHeight w:hRule="exact" w:val="254"/>
        </w:trPr>
        <w:tc>
          <w:tcPr>
            <w:tcW w:w="707" w:type="dxa"/>
            <w:vMerge/>
            <w:shd w:val="clear" w:color="auto" w:fill="FF8989"/>
            <w:textDirection w:val="btLr"/>
          </w:tcPr>
          <w:p w14:paraId="30B25244"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440ABD9D"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D9D9D9" w:themeFill="background1" w:themeFillShade="D9"/>
          </w:tcPr>
          <w:p w14:paraId="6B1911BD" w14:textId="77777777" w:rsidR="00A91C05" w:rsidRPr="00BC6914" w:rsidRDefault="00A91C05" w:rsidP="00A91C05">
            <w:pPr>
              <w:spacing w:before="0" w:after="120"/>
              <w:rPr>
                <w:rFonts w:cstheme="minorHAnsi"/>
              </w:rPr>
            </w:pPr>
            <w:r w:rsidRPr="00BC6914">
              <w:rPr>
                <w:rFonts w:cstheme="minorHAnsi"/>
              </w:rPr>
              <w:t>Sportovní kluby Zlín, z.s.</w:t>
            </w:r>
          </w:p>
          <w:p w14:paraId="3BCA7A78" w14:textId="77777777" w:rsidR="00A91C05" w:rsidRPr="00BC6914" w:rsidRDefault="00A91C05" w:rsidP="00A91C05">
            <w:pPr>
              <w:autoSpaceDE w:val="0"/>
              <w:autoSpaceDN w:val="0"/>
              <w:adjustRightInd w:val="0"/>
              <w:spacing w:before="0"/>
              <w:rPr>
                <w:rFonts w:cstheme="minorHAnsi"/>
                <w:color w:val="000000" w:themeColor="text1"/>
              </w:rPr>
            </w:pPr>
          </w:p>
        </w:tc>
      </w:tr>
      <w:tr w:rsidR="00A91C05" w:rsidRPr="00BC6914" w14:paraId="1CD186A8" w14:textId="77777777" w:rsidTr="003B6F27">
        <w:trPr>
          <w:trHeight w:hRule="exact" w:val="254"/>
        </w:trPr>
        <w:tc>
          <w:tcPr>
            <w:tcW w:w="707" w:type="dxa"/>
            <w:vMerge/>
            <w:shd w:val="clear" w:color="auto" w:fill="FF8989"/>
            <w:textDirection w:val="btLr"/>
          </w:tcPr>
          <w:p w14:paraId="7B513222"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4FD3E35"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32485AD6" w14:textId="77777777" w:rsidR="00A91C05" w:rsidRPr="00BC6914" w:rsidRDefault="00A91C05" w:rsidP="00A91C05">
            <w:pPr>
              <w:autoSpaceDE w:val="0"/>
              <w:autoSpaceDN w:val="0"/>
              <w:adjustRightInd w:val="0"/>
              <w:spacing w:before="0"/>
              <w:rPr>
                <w:rFonts w:cstheme="minorHAnsi"/>
                <w:b/>
                <w:color w:val="000000" w:themeColor="text1"/>
              </w:rPr>
            </w:pPr>
            <w:r w:rsidRPr="00BC6914">
              <w:rPr>
                <w:rFonts w:cstheme="minorHAnsi"/>
                <w:bCs/>
                <w:color w:val="000000"/>
              </w:rPr>
              <w:t>Sportovní klub P+K Zlín, z.s.</w:t>
            </w:r>
          </w:p>
        </w:tc>
      </w:tr>
      <w:tr w:rsidR="00A91C05" w:rsidRPr="00BC6914" w14:paraId="06BB796F" w14:textId="77777777" w:rsidTr="003B6F27">
        <w:trPr>
          <w:trHeight w:hRule="exact" w:val="254"/>
        </w:trPr>
        <w:tc>
          <w:tcPr>
            <w:tcW w:w="707" w:type="dxa"/>
            <w:vMerge/>
            <w:shd w:val="clear" w:color="auto" w:fill="FF8989"/>
            <w:textDirection w:val="btLr"/>
          </w:tcPr>
          <w:p w14:paraId="2D279660"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62C0B551"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15F8D977"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PSG Berani Zlín</w:t>
            </w:r>
          </w:p>
        </w:tc>
      </w:tr>
      <w:tr w:rsidR="00A91C05" w:rsidRPr="00BC6914" w14:paraId="1F96E900" w14:textId="77777777" w:rsidTr="003B6F27">
        <w:trPr>
          <w:trHeight w:hRule="exact" w:val="254"/>
        </w:trPr>
        <w:tc>
          <w:tcPr>
            <w:tcW w:w="707" w:type="dxa"/>
            <w:vMerge/>
            <w:shd w:val="clear" w:color="auto" w:fill="FF8989"/>
            <w:textDirection w:val="btLr"/>
          </w:tcPr>
          <w:p w14:paraId="612E4A93"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47EFCC88"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55866328"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FC Fastav Zlín‎</w:t>
            </w:r>
          </w:p>
        </w:tc>
      </w:tr>
      <w:tr w:rsidR="00A91C05" w:rsidRPr="00BC6914" w14:paraId="76256C52" w14:textId="77777777" w:rsidTr="003B6F27">
        <w:trPr>
          <w:trHeight w:hRule="exact" w:val="254"/>
        </w:trPr>
        <w:tc>
          <w:tcPr>
            <w:tcW w:w="707" w:type="dxa"/>
            <w:vMerge/>
            <w:shd w:val="clear" w:color="auto" w:fill="FF8989"/>
            <w:textDirection w:val="btLr"/>
          </w:tcPr>
          <w:p w14:paraId="7B7554F3"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5F48F812"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0D61A5E1"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FC Malenovice</w:t>
            </w:r>
          </w:p>
        </w:tc>
      </w:tr>
      <w:tr w:rsidR="00A91C05" w:rsidRPr="00BC6914" w14:paraId="66AA02D3" w14:textId="77777777" w:rsidTr="003B6F27">
        <w:trPr>
          <w:trHeight w:hRule="exact" w:val="254"/>
        </w:trPr>
        <w:tc>
          <w:tcPr>
            <w:tcW w:w="707" w:type="dxa"/>
            <w:vMerge/>
            <w:shd w:val="clear" w:color="auto" w:fill="FF8989"/>
            <w:textDirection w:val="btLr"/>
          </w:tcPr>
          <w:p w14:paraId="14B97FDA"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2B6A7DA0"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2F623C24"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Sportovní klub basketbalu Zlín</w:t>
            </w:r>
          </w:p>
        </w:tc>
      </w:tr>
      <w:tr w:rsidR="00A91C05" w:rsidRPr="00BC6914" w14:paraId="6A90E9B3" w14:textId="77777777" w:rsidTr="003B6F27">
        <w:trPr>
          <w:trHeight w:hRule="exact" w:val="254"/>
        </w:trPr>
        <w:tc>
          <w:tcPr>
            <w:tcW w:w="707" w:type="dxa"/>
            <w:vMerge/>
            <w:shd w:val="clear" w:color="auto" w:fill="FF8989"/>
            <w:textDirection w:val="btLr"/>
          </w:tcPr>
          <w:p w14:paraId="233B3903"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3206F232"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4F86344A"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VSC Fatra Zlín</w:t>
            </w:r>
          </w:p>
        </w:tc>
      </w:tr>
      <w:tr w:rsidR="00A91C05" w:rsidRPr="00BC6914" w14:paraId="71B3F80D" w14:textId="77777777" w:rsidTr="003B6F27">
        <w:trPr>
          <w:trHeight w:hRule="exact" w:val="254"/>
        </w:trPr>
        <w:tc>
          <w:tcPr>
            <w:tcW w:w="707" w:type="dxa"/>
            <w:vMerge/>
            <w:shd w:val="clear" w:color="auto" w:fill="FF8989"/>
            <w:textDirection w:val="btLr"/>
          </w:tcPr>
          <w:p w14:paraId="54626AAB"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5EA2F883"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2D24A3FD"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RUGBY CLUB Zlín</w:t>
            </w:r>
          </w:p>
        </w:tc>
      </w:tr>
      <w:tr w:rsidR="00A91C05" w:rsidRPr="00BC6914" w14:paraId="0415CFF3" w14:textId="77777777" w:rsidTr="003B6F27">
        <w:trPr>
          <w:trHeight w:hRule="exact" w:val="254"/>
        </w:trPr>
        <w:tc>
          <w:tcPr>
            <w:tcW w:w="707" w:type="dxa"/>
            <w:vMerge/>
            <w:shd w:val="clear" w:color="auto" w:fill="FF8989"/>
            <w:textDirection w:val="btLr"/>
          </w:tcPr>
          <w:p w14:paraId="203FEE14"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4F9D49B6"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602199CA"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Ajax eVenture Zlín</w:t>
            </w:r>
          </w:p>
        </w:tc>
      </w:tr>
      <w:tr w:rsidR="00A91C05" w:rsidRPr="00BC6914" w14:paraId="41A6A6C3" w14:textId="77777777" w:rsidTr="003B6F27">
        <w:trPr>
          <w:trHeight w:hRule="exact" w:val="254"/>
        </w:trPr>
        <w:tc>
          <w:tcPr>
            <w:tcW w:w="707" w:type="dxa"/>
            <w:vMerge/>
            <w:shd w:val="clear" w:color="auto" w:fill="FF8989"/>
            <w:textDirection w:val="btLr"/>
          </w:tcPr>
          <w:p w14:paraId="53D75087"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06392E2D"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FFFFFF" w:themeFill="background1"/>
          </w:tcPr>
          <w:p w14:paraId="5AAD33BC" w14:textId="77777777" w:rsidR="00A91C05" w:rsidRPr="00BC6914" w:rsidRDefault="00A91C05" w:rsidP="00A91C05">
            <w:pPr>
              <w:autoSpaceDE w:val="0"/>
              <w:autoSpaceDN w:val="0"/>
              <w:adjustRightInd w:val="0"/>
              <w:spacing w:before="0"/>
              <w:rPr>
                <w:rFonts w:cstheme="minorHAnsi"/>
                <w:bCs/>
                <w:color w:val="000000"/>
              </w:rPr>
            </w:pPr>
            <w:r w:rsidRPr="00BC6914">
              <w:rPr>
                <w:rFonts w:cstheme="minorHAnsi"/>
                <w:bCs/>
                <w:color w:val="000000"/>
              </w:rPr>
              <w:t>Sportovní klub Jaroslavice</w:t>
            </w:r>
          </w:p>
        </w:tc>
      </w:tr>
      <w:tr w:rsidR="00A91C05" w:rsidRPr="00BC6914" w14:paraId="0CAAF57E" w14:textId="77777777" w:rsidTr="003B6F27">
        <w:trPr>
          <w:trHeight w:hRule="exact" w:val="254"/>
        </w:trPr>
        <w:tc>
          <w:tcPr>
            <w:tcW w:w="707" w:type="dxa"/>
            <w:vMerge/>
            <w:shd w:val="clear" w:color="auto" w:fill="FF8989"/>
            <w:textDirection w:val="btLr"/>
          </w:tcPr>
          <w:p w14:paraId="31585D29"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25FAAAF7" w14:textId="77777777" w:rsidR="00A91C05" w:rsidRPr="00BC6914" w:rsidRDefault="00A91C05" w:rsidP="00A91C05">
            <w:pPr>
              <w:spacing w:before="0"/>
              <w:ind w:left="113" w:right="113"/>
              <w:rPr>
                <w:rFonts w:cstheme="minorHAnsi"/>
                <w:color w:val="000000" w:themeColor="text1"/>
              </w:rPr>
            </w:pPr>
          </w:p>
        </w:tc>
        <w:tc>
          <w:tcPr>
            <w:tcW w:w="7834" w:type="dxa"/>
          </w:tcPr>
          <w:p w14:paraId="1C7D7AA2"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Středisko volného času - Ostrov radosti</w:t>
            </w:r>
          </w:p>
          <w:p w14:paraId="14D65579" w14:textId="77777777" w:rsidR="00A91C05" w:rsidRPr="00BC6914" w:rsidRDefault="00A91C05" w:rsidP="00A91C05">
            <w:pPr>
              <w:autoSpaceDE w:val="0"/>
              <w:autoSpaceDN w:val="0"/>
              <w:adjustRightInd w:val="0"/>
              <w:spacing w:before="0"/>
              <w:rPr>
                <w:rFonts w:cstheme="minorHAnsi"/>
                <w:color w:val="000000" w:themeColor="text1"/>
              </w:rPr>
            </w:pPr>
          </w:p>
          <w:p w14:paraId="7D99B468"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Více zde: http://www.ostrovzl.cz/kontakt/</w:t>
            </w:r>
          </w:p>
        </w:tc>
      </w:tr>
      <w:tr w:rsidR="00A91C05" w:rsidRPr="00BC6914" w14:paraId="15989F80" w14:textId="77777777" w:rsidTr="003B6F27">
        <w:trPr>
          <w:trHeight w:hRule="exact" w:val="254"/>
        </w:trPr>
        <w:tc>
          <w:tcPr>
            <w:tcW w:w="707" w:type="dxa"/>
            <w:vMerge/>
            <w:shd w:val="clear" w:color="auto" w:fill="FF8989"/>
            <w:textDirection w:val="btLr"/>
          </w:tcPr>
          <w:p w14:paraId="1598920E"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1927EE2B" w14:textId="77777777" w:rsidR="00A91C05" w:rsidRPr="00BC6914" w:rsidRDefault="00A91C05" w:rsidP="00A91C05">
            <w:pPr>
              <w:spacing w:before="0"/>
              <w:ind w:left="113" w:right="113"/>
              <w:rPr>
                <w:rFonts w:cstheme="minorHAnsi"/>
                <w:color w:val="000000" w:themeColor="text1"/>
              </w:rPr>
            </w:pPr>
          </w:p>
        </w:tc>
        <w:tc>
          <w:tcPr>
            <w:tcW w:w="7834" w:type="dxa"/>
          </w:tcPr>
          <w:p w14:paraId="2BE89B40"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SVČ RADOST ZLÍN</w:t>
            </w:r>
          </w:p>
        </w:tc>
      </w:tr>
      <w:tr w:rsidR="00A91C05" w:rsidRPr="00BC6914" w14:paraId="2A646D0A" w14:textId="77777777" w:rsidTr="003B6F27">
        <w:trPr>
          <w:trHeight w:hRule="exact" w:val="254"/>
        </w:trPr>
        <w:tc>
          <w:tcPr>
            <w:tcW w:w="707" w:type="dxa"/>
            <w:vMerge/>
            <w:shd w:val="clear" w:color="auto" w:fill="FF8989"/>
            <w:textDirection w:val="btLr"/>
          </w:tcPr>
          <w:p w14:paraId="1B2B9C49"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3176B7E" w14:textId="77777777" w:rsidR="00A91C05" w:rsidRPr="00BC6914" w:rsidRDefault="00A91C05" w:rsidP="00A91C05">
            <w:pPr>
              <w:spacing w:before="0"/>
              <w:ind w:left="113" w:right="113"/>
              <w:rPr>
                <w:rFonts w:cstheme="minorHAnsi"/>
                <w:color w:val="000000" w:themeColor="text1"/>
              </w:rPr>
            </w:pPr>
          </w:p>
        </w:tc>
        <w:tc>
          <w:tcPr>
            <w:tcW w:w="7834" w:type="dxa"/>
          </w:tcPr>
          <w:p w14:paraId="6483ABD8"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Centrum volnočasových aktivit - CVAK, z. s.</w:t>
            </w:r>
          </w:p>
        </w:tc>
      </w:tr>
      <w:tr w:rsidR="00A91C05" w:rsidRPr="00BC6914" w14:paraId="16F45835" w14:textId="77777777" w:rsidTr="003B6F27">
        <w:trPr>
          <w:trHeight w:hRule="exact" w:val="254"/>
        </w:trPr>
        <w:tc>
          <w:tcPr>
            <w:tcW w:w="707" w:type="dxa"/>
            <w:vMerge/>
            <w:shd w:val="clear" w:color="auto" w:fill="FF8989"/>
            <w:textDirection w:val="btLr"/>
          </w:tcPr>
          <w:p w14:paraId="69B7DDDD"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4DC76131" w14:textId="77777777" w:rsidR="00A91C05" w:rsidRPr="00BC6914" w:rsidRDefault="00A91C05" w:rsidP="00A91C05">
            <w:pPr>
              <w:spacing w:before="0"/>
              <w:ind w:left="113" w:right="113"/>
              <w:rPr>
                <w:rFonts w:cstheme="minorHAnsi"/>
                <w:color w:val="000000" w:themeColor="text1"/>
              </w:rPr>
            </w:pPr>
          </w:p>
        </w:tc>
        <w:tc>
          <w:tcPr>
            <w:tcW w:w="7834" w:type="dxa"/>
          </w:tcPr>
          <w:p w14:paraId="74E882F1"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Sluníčko, volný čas dětí a mládeže</w:t>
            </w:r>
          </w:p>
        </w:tc>
      </w:tr>
      <w:tr w:rsidR="00A91C05" w:rsidRPr="00BC6914" w14:paraId="48CFF6AE" w14:textId="77777777" w:rsidTr="003B6F27">
        <w:trPr>
          <w:trHeight w:hRule="exact" w:val="254"/>
        </w:trPr>
        <w:tc>
          <w:tcPr>
            <w:tcW w:w="707" w:type="dxa"/>
            <w:vMerge/>
            <w:shd w:val="clear" w:color="auto" w:fill="FF8989"/>
            <w:textDirection w:val="btLr"/>
          </w:tcPr>
          <w:p w14:paraId="36E89816"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141F4BA0" w14:textId="77777777" w:rsidR="00A91C05" w:rsidRPr="00BC6914" w:rsidRDefault="00A91C05" w:rsidP="00A91C05">
            <w:pPr>
              <w:spacing w:before="0"/>
              <w:ind w:left="113" w:right="113"/>
              <w:rPr>
                <w:rFonts w:cstheme="minorHAnsi"/>
                <w:color w:val="000000" w:themeColor="text1"/>
              </w:rPr>
            </w:pPr>
          </w:p>
        </w:tc>
        <w:tc>
          <w:tcPr>
            <w:tcW w:w="7834" w:type="dxa"/>
          </w:tcPr>
          <w:p w14:paraId="0FA5057B"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DOMINO cz, o.p.s.</w:t>
            </w:r>
          </w:p>
        </w:tc>
      </w:tr>
      <w:tr w:rsidR="00A91C05" w:rsidRPr="00BC6914" w14:paraId="4616DC97" w14:textId="77777777" w:rsidTr="003B6F27">
        <w:trPr>
          <w:trHeight w:hRule="exact" w:val="254"/>
        </w:trPr>
        <w:tc>
          <w:tcPr>
            <w:tcW w:w="707" w:type="dxa"/>
            <w:vMerge/>
            <w:shd w:val="clear" w:color="auto" w:fill="FF8989"/>
            <w:textDirection w:val="btLr"/>
          </w:tcPr>
          <w:p w14:paraId="6D37577C"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F242DEC" w14:textId="77777777" w:rsidR="00A91C05" w:rsidRPr="00BC6914" w:rsidRDefault="00A91C05" w:rsidP="00A91C05">
            <w:pPr>
              <w:spacing w:before="0"/>
              <w:ind w:left="113" w:right="113"/>
              <w:rPr>
                <w:rFonts w:cstheme="minorHAnsi"/>
                <w:color w:val="000000" w:themeColor="text1"/>
              </w:rPr>
            </w:pPr>
          </w:p>
        </w:tc>
        <w:tc>
          <w:tcPr>
            <w:tcW w:w="7834" w:type="dxa"/>
            <w:shd w:val="clear" w:color="auto" w:fill="D9D9D9" w:themeFill="background1" w:themeFillShade="D9"/>
          </w:tcPr>
          <w:p w14:paraId="2A02BCEF" w14:textId="77777777" w:rsidR="00A91C05" w:rsidRPr="00BC6914" w:rsidRDefault="00A91C05" w:rsidP="00A91C05">
            <w:pPr>
              <w:autoSpaceDE w:val="0"/>
              <w:autoSpaceDN w:val="0"/>
              <w:adjustRightInd w:val="0"/>
              <w:spacing w:before="0"/>
              <w:rPr>
                <w:rFonts w:cstheme="minorHAnsi"/>
                <w:color w:val="000000" w:themeColor="text1"/>
              </w:rPr>
            </w:pPr>
            <w:r w:rsidRPr="00BC6914">
              <w:rPr>
                <w:rFonts w:cstheme="minorHAnsi"/>
                <w:color w:val="000000" w:themeColor="text1"/>
              </w:rPr>
              <w:t>Studentská unie UTB</w:t>
            </w:r>
          </w:p>
        </w:tc>
      </w:tr>
      <w:tr w:rsidR="00A91C05" w:rsidRPr="00BC6914" w14:paraId="2DF030F3" w14:textId="77777777" w:rsidTr="003B6F27">
        <w:trPr>
          <w:trHeight w:hRule="exact" w:val="254"/>
        </w:trPr>
        <w:tc>
          <w:tcPr>
            <w:tcW w:w="707" w:type="dxa"/>
            <w:vMerge/>
            <w:shd w:val="clear" w:color="auto" w:fill="FF8989"/>
            <w:textDirection w:val="btLr"/>
          </w:tcPr>
          <w:p w14:paraId="7619566F" w14:textId="77777777" w:rsidR="00A91C05" w:rsidRPr="00BC6914" w:rsidRDefault="00A91C05" w:rsidP="00A91C05">
            <w:pPr>
              <w:spacing w:before="0"/>
              <w:ind w:left="113" w:right="113"/>
              <w:jc w:val="center"/>
              <w:rPr>
                <w:rFonts w:cstheme="minorHAnsi"/>
                <w:color w:val="000000" w:themeColor="text1"/>
              </w:rPr>
            </w:pPr>
          </w:p>
        </w:tc>
        <w:tc>
          <w:tcPr>
            <w:tcW w:w="569" w:type="dxa"/>
            <w:vMerge w:val="restart"/>
            <w:shd w:val="clear" w:color="auto" w:fill="FF8989"/>
            <w:textDirection w:val="btLr"/>
          </w:tcPr>
          <w:p w14:paraId="4515C866" w14:textId="77777777" w:rsidR="00A91C05" w:rsidRPr="00BC6914" w:rsidRDefault="00A91C05" w:rsidP="00A91C05">
            <w:pPr>
              <w:spacing w:before="0"/>
              <w:ind w:left="113" w:right="113"/>
              <w:jc w:val="center"/>
              <w:rPr>
                <w:rFonts w:cstheme="minorHAnsi"/>
                <w:b/>
                <w:color w:val="000000" w:themeColor="text1"/>
              </w:rPr>
            </w:pPr>
            <w:r w:rsidRPr="003B6F27">
              <w:rPr>
                <w:rFonts w:cstheme="minorHAnsi"/>
                <w:b/>
                <w:color w:val="000000" w:themeColor="text1"/>
                <w:sz w:val="20"/>
              </w:rPr>
              <w:t>Externí</w:t>
            </w:r>
          </w:p>
        </w:tc>
        <w:tc>
          <w:tcPr>
            <w:tcW w:w="7834" w:type="dxa"/>
          </w:tcPr>
          <w:p w14:paraId="6FB5D66E" w14:textId="77777777" w:rsidR="00A91C05" w:rsidRPr="00BC6914" w:rsidRDefault="00A91C05" w:rsidP="00A91C05">
            <w:pPr>
              <w:spacing w:before="0"/>
              <w:rPr>
                <w:rFonts w:cstheme="minorHAnsi"/>
                <w:color w:val="000000" w:themeColor="text1"/>
              </w:rPr>
            </w:pPr>
            <w:r w:rsidRPr="00BC6914">
              <w:rPr>
                <w:rFonts w:cstheme="minorHAnsi"/>
                <w:color w:val="000000" w:themeColor="text1"/>
              </w:rPr>
              <w:t>Region Bílé Karpaty</w:t>
            </w:r>
          </w:p>
        </w:tc>
      </w:tr>
      <w:tr w:rsidR="00A91C05" w:rsidRPr="00BC6914" w14:paraId="63D8F66A" w14:textId="77777777" w:rsidTr="003B6F27">
        <w:trPr>
          <w:trHeight w:hRule="exact" w:val="254"/>
        </w:trPr>
        <w:tc>
          <w:tcPr>
            <w:tcW w:w="707" w:type="dxa"/>
            <w:vMerge/>
            <w:shd w:val="clear" w:color="auto" w:fill="FF8989"/>
            <w:textDirection w:val="btLr"/>
          </w:tcPr>
          <w:p w14:paraId="72929ED5"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7DE4594C" w14:textId="77777777" w:rsidR="00A91C05" w:rsidRPr="00BC6914" w:rsidRDefault="00A91C05" w:rsidP="00A91C05">
            <w:pPr>
              <w:spacing w:before="0"/>
              <w:ind w:left="113" w:right="113"/>
              <w:jc w:val="center"/>
              <w:rPr>
                <w:rFonts w:cstheme="minorHAnsi"/>
                <w:b/>
                <w:color w:val="000000" w:themeColor="text1"/>
              </w:rPr>
            </w:pPr>
          </w:p>
        </w:tc>
        <w:tc>
          <w:tcPr>
            <w:tcW w:w="7834" w:type="dxa"/>
            <w:shd w:val="clear" w:color="auto" w:fill="D9D9D9" w:themeFill="background1" w:themeFillShade="D9"/>
          </w:tcPr>
          <w:p w14:paraId="3C42A5A1" w14:textId="77777777" w:rsidR="00A91C05" w:rsidRPr="00BC6914" w:rsidRDefault="00A91C05" w:rsidP="00A91C05">
            <w:pPr>
              <w:spacing w:before="0"/>
              <w:rPr>
                <w:rFonts w:cstheme="minorHAnsi"/>
                <w:color w:val="000000" w:themeColor="text1"/>
              </w:rPr>
            </w:pPr>
            <w:r w:rsidRPr="00BC6914">
              <w:rPr>
                <w:rFonts w:cstheme="minorHAnsi"/>
              </w:rPr>
              <w:t>Správa CHKO Bílé Karpaty</w:t>
            </w:r>
          </w:p>
        </w:tc>
      </w:tr>
      <w:tr w:rsidR="00A91C05" w:rsidRPr="00BC6914" w14:paraId="3497BCE3" w14:textId="77777777" w:rsidTr="003B6F27">
        <w:trPr>
          <w:trHeight w:hRule="exact" w:val="331"/>
        </w:trPr>
        <w:tc>
          <w:tcPr>
            <w:tcW w:w="707" w:type="dxa"/>
            <w:vMerge/>
            <w:shd w:val="clear" w:color="auto" w:fill="FF8989"/>
            <w:textDirection w:val="btLr"/>
          </w:tcPr>
          <w:p w14:paraId="1572340D" w14:textId="77777777" w:rsidR="00A91C05" w:rsidRPr="00BC6914" w:rsidRDefault="00A91C05" w:rsidP="00A91C05">
            <w:pPr>
              <w:spacing w:before="0"/>
              <w:ind w:left="113" w:right="113"/>
              <w:jc w:val="center"/>
              <w:rPr>
                <w:rFonts w:cstheme="minorHAnsi"/>
                <w:color w:val="000000" w:themeColor="text1"/>
              </w:rPr>
            </w:pPr>
          </w:p>
        </w:tc>
        <w:tc>
          <w:tcPr>
            <w:tcW w:w="569" w:type="dxa"/>
            <w:vMerge/>
            <w:shd w:val="clear" w:color="auto" w:fill="FF8989"/>
            <w:textDirection w:val="btLr"/>
          </w:tcPr>
          <w:p w14:paraId="59438DA5" w14:textId="77777777" w:rsidR="00A91C05" w:rsidRPr="00BC6914" w:rsidRDefault="00A91C05" w:rsidP="00A91C05">
            <w:pPr>
              <w:spacing w:before="0"/>
              <w:ind w:left="113" w:right="113"/>
              <w:rPr>
                <w:rFonts w:cstheme="minorHAnsi"/>
                <w:b/>
                <w:color w:val="000000" w:themeColor="text1"/>
              </w:rPr>
            </w:pPr>
          </w:p>
        </w:tc>
        <w:tc>
          <w:tcPr>
            <w:tcW w:w="7834" w:type="dxa"/>
          </w:tcPr>
          <w:p w14:paraId="0F9DD241" w14:textId="77777777" w:rsidR="00A91C05" w:rsidRPr="00BC6914" w:rsidRDefault="00A91C05" w:rsidP="00A91C05">
            <w:pPr>
              <w:autoSpaceDE w:val="0"/>
              <w:autoSpaceDN w:val="0"/>
              <w:adjustRightInd w:val="0"/>
              <w:spacing w:before="0"/>
              <w:rPr>
                <w:rFonts w:cstheme="minorHAnsi"/>
                <w:color w:val="000000"/>
              </w:rPr>
            </w:pPr>
            <w:r w:rsidRPr="00BC6914">
              <w:rPr>
                <w:rFonts w:cstheme="minorHAnsi"/>
                <w:color w:val="000000"/>
              </w:rPr>
              <w:t xml:space="preserve">Asociace nestátních neziskových organizací Zlínského kraje </w:t>
            </w:r>
          </w:p>
        </w:tc>
      </w:tr>
    </w:tbl>
    <w:p w14:paraId="36C3D619" w14:textId="2F72F4D8" w:rsidR="00A91C05" w:rsidRPr="000818D2" w:rsidRDefault="00A91C05" w:rsidP="00A91C05">
      <w:pPr>
        <w:rPr>
          <w:i/>
        </w:rPr>
      </w:pPr>
      <w:r w:rsidRPr="000818D2">
        <w:rPr>
          <w:i/>
          <w:sz w:val="20"/>
        </w:rPr>
        <w:t xml:space="preserve">Zdroj: </w:t>
      </w:r>
      <w:r w:rsidR="00486D67">
        <w:rPr>
          <w:i/>
          <w:sz w:val="20"/>
        </w:rPr>
        <w:t>V</w:t>
      </w:r>
      <w:r w:rsidRPr="000818D2">
        <w:rPr>
          <w:i/>
          <w:sz w:val="20"/>
        </w:rPr>
        <w:t>lastní zpracování dle</w:t>
      </w:r>
      <w:r w:rsidR="00486D67">
        <w:rPr>
          <w:i/>
          <w:sz w:val="20"/>
        </w:rPr>
        <w:t xml:space="preserve"> dokumentů</w:t>
      </w:r>
      <w:r w:rsidRPr="000818D2">
        <w:rPr>
          <w:i/>
          <w:sz w:val="20"/>
        </w:rPr>
        <w:t xml:space="preserve"> Integrovaný plán rozvoje území Zlín pro období 2014 – 2020, Strategie rozvoje Zlínského kraje 2030, seznam institucí webové stránky statutárního města Zlína a Krajského úřadu Zlínského kraje, obchodní rejstřík</w:t>
      </w:r>
      <w:r w:rsidR="00486D67">
        <w:rPr>
          <w:i/>
          <w:sz w:val="20"/>
        </w:rPr>
        <w:t>.</w:t>
      </w:r>
    </w:p>
    <w:p w14:paraId="248E58A9" w14:textId="44FCEF26" w:rsidR="00A91C05" w:rsidRPr="000818D2" w:rsidRDefault="00A91C05" w:rsidP="00A91C05">
      <w:pPr>
        <w:pStyle w:val="Nadpis4"/>
      </w:pPr>
      <w:bookmarkStart w:id="741" w:name="_Toc46218669"/>
      <w:r w:rsidRPr="000818D2">
        <w:t>T</w:t>
      </w:r>
      <w:r w:rsidR="00CD1295">
        <w:t>ematická oblast V</w:t>
      </w:r>
      <w:r w:rsidR="00CD1295" w:rsidRPr="000818D2">
        <w:t>zdělá</w:t>
      </w:r>
      <w:r w:rsidR="00757ADA">
        <w:t>vá</w:t>
      </w:r>
      <w:r w:rsidR="00CD1295" w:rsidRPr="000818D2">
        <w:t>ní</w:t>
      </w:r>
      <w:bookmarkEnd w:id="741"/>
    </w:p>
    <w:p w14:paraId="03EC0BB0" w14:textId="77777777" w:rsidR="00A91C05" w:rsidRPr="000818D2" w:rsidRDefault="00A91C05" w:rsidP="00A91C05">
      <w:r w:rsidRPr="000818D2">
        <w:t>Hlavní témata:</w:t>
      </w:r>
    </w:p>
    <w:p w14:paraId="11890C92" w14:textId="77777777" w:rsidR="00A91C05" w:rsidRPr="000818D2" w:rsidRDefault="00A91C05" w:rsidP="006F3CC1">
      <w:pPr>
        <w:pStyle w:val="Odstavecseseznamem"/>
        <w:numPr>
          <w:ilvl w:val="0"/>
          <w:numId w:val="9"/>
        </w:numPr>
        <w:spacing w:before="0"/>
      </w:pPr>
      <w:r w:rsidRPr="000818D2">
        <w:t>základní aspekty jednotlivých stupňů vzdělávání (MŠ, ZŠ, SŠ, VŠ)</w:t>
      </w:r>
    </w:p>
    <w:p w14:paraId="51B40844" w14:textId="77777777" w:rsidR="00A91C05" w:rsidRPr="000818D2" w:rsidRDefault="00A91C05" w:rsidP="006F3CC1">
      <w:pPr>
        <w:pStyle w:val="Odstavecseseznamem"/>
        <w:numPr>
          <w:ilvl w:val="0"/>
          <w:numId w:val="9"/>
        </w:numPr>
        <w:spacing w:before="0"/>
      </w:pPr>
      <w:r w:rsidRPr="000818D2">
        <w:t>spolupráce města a UTB</w:t>
      </w:r>
    </w:p>
    <w:p w14:paraId="02AE00A2" w14:textId="77777777" w:rsidR="00A91C05" w:rsidRPr="000818D2" w:rsidRDefault="00A91C05" w:rsidP="006F3CC1">
      <w:pPr>
        <w:pStyle w:val="Odstavecseseznamem"/>
        <w:numPr>
          <w:ilvl w:val="0"/>
          <w:numId w:val="9"/>
        </w:numPr>
        <w:spacing w:before="0"/>
      </w:pPr>
      <w:r w:rsidRPr="000818D2">
        <w:t>variabilita v rámci vzdělávacích programů</w:t>
      </w:r>
    </w:p>
    <w:p w14:paraId="685AF7DA" w14:textId="77777777" w:rsidR="00A91C05" w:rsidRPr="000818D2" w:rsidRDefault="00A91C05" w:rsidP="006F3CC1">
      <w:pPr>
        <w:pStyle w:val="Odstavecseseznamem"/>
        <w:numPr>
          <w:ilvl w:val="0"/>
          <w:numId w:val="9"/>
        </w:numPr>
        <w:spacing w:before="0"/>
      </w:pPr>
      <w:r w:rsidRPr="000818D2">
        <w:t>podpora technického vzdělávání na všech stupních</w:t>
      </w:r>
    </w:p>
    <w:p w14:paraId="04E35E76" w14:textId="77777777" w:rsidR="00A91C05" w:rsidRPr="000818D2" w:rsidRDefault="00A91C05" w:rsidP="006F3CC1">
      <w:pPr>
        <w:pStyle w:val="Odstavecseseznamem"/>
        <w:numPr>
          <w:ilvl w:val="0"/>
          <w:numId w:val="9"/>
        </w:numPr>
        <w:spacing w:before="0" w:after="120"/>
        <w:ind w:left="714" w:hanging="357"/>
      </w:pPr>
      <w:r w:rsidRPr="000818D2">
        <w:t>navázání na historický odkaz vzdělávacího systému fy Baťa (důraz na jazyky, manažerské dovednosti, technické dovednosti)</w:t>
      </w:r>
    </w:p>
    <w:p w14:paraId="21AB8D71" w14:textId="2C0C8373" w:rsidR="00A91C05" w:rsidRPr="000818D2" w:rsidRDefault="00A91C05" w:rsidP="00A91C05">
      <w:pPr>
        <w:pStyle w:val="Titulek"/>
      </w:pPr>
      <w:bookmarkStart w:id="742" w:name="_Toc50549185"/>
      <w:bookmarkStart w:id="743" w:name="_Toc50989348"/>
      <w:bookmarkStart w:id="744" w:name="_Toc53388468"/>
      <w:bookmarkStart w:id="745" w:name="_Toc54702638"/>
      <w:bookmarkStart w:id="746" w:name="_Toc56179445"/>
      <w:bookmarkStart w:id="747" w:name="_Toc57731803"/>
      <w:bookmarkStart w:id="748" w:name="_Toc77074787"/>
      <w:r w:rsidRPr="000818D2">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24</w:t>
      </w:r>
      <w:r w:rsidR="00081B47">
        <w:rPr>
          <w:noProof/>
        </w:rPr>
        <w:fldChar w:fldCharType="end"/>
      </w:r>
      <w:r w:rsidR="00EC35F2">
        <w:rPr>
          <w:noProof/>
        </w:rPr>
        <w:t>:</w:t>
      </w:r>
      <w:r w:rsidRPr="000818D2">
        <w:t xml:space="preserve"> Seznam stakeholderů v oblasti Vzdělá</w:t>
      </w:r>
      <w:r w:rsidR="00757ADA">
        <w:t>vá</w:t>
      </w:r>
      <w:r w:rsidRPr="000818D2">
        <w:t>ní</w:t>
      </w:r>
      <w:bookmarkEnd w:id="742"/>
      <w:bookmarkEnd w:id="743"/>
      <w:bookmarkEnd w:id="744"/>
      <w:bookmarkEnd w:id="745"/>
      <w:bookmarkEnd w:id="746"/>
      <w:bookmarkEnd w:id="747"/>
      <w:bookmarkEnd w:id="748"/>
    </w:p>
    <w:tbl>
      <w:tblPr>
        <w:tblStyle w:val="Svtltabulkasmkou11"/>
        <w:tblW w:w="9067" w:type="dxa"/>
        <w:tblLayout w:type="fixed"/>
        <w:tblLook w:val="04A0" w:firstRow="1" w:lastRow="0" w:firstColumn="1" w:lastColumn="0" w:noHBand="0" w:noVBand="1"/>
      </w:tblPr>
      <w:tblGrid>
        <w:gridCol w:w="704"/>
        <w:gridCol w:w="567"/>
        <w:gridCol w:w="7796"/>
      </w:tblGrid>
      <w:tr w:rsidR="00A91C05" w:rsidRPr="00A91C05" w14:paraId="12880FB0" w14:textId="77777777" w:rsidTr="00A91C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shd w:val="clear" w:color="auto" w:fill="70AD47" w:themeFill="accent6"/>
          </w:tcPr>
          <w:p w14:paraId="79782DF5" w14:textId="34C887D1" w:rsidR="00A91C05" w:rsidRPr="00A91C05" w:rsidRDefault="00A91C05" w:rsidP="00A91C05">
            <w:pPr>
              <w:spacing w:before="0"/>
              <w:jc w:val="center"/>
              <w:rPr>
                <w:rFonts w:cstheme="minorHAnsi"/>
                <w:color w:val="000000" w:themeColor="text1"/>
              </w:rPr>
            </w:pPr>
            <w:r w:rsidRPr="00A91C05">
              <w:rPr>
                <w:rFonts w:cstheme="minorHAnsi"/>
                <w:color w:val="FFFFFF" w:themeColor="background1"/>
              </w:rPr>
              <w:t>VZDĚLÁ</w:t>
            </w:r>
            <w:r w:rsidR="00757ADA">
              <w:rPr>
                <w:rFonts w:cstheme="minorHAnsi"/>
                <w:color w:val="FFFFFF" w:themeColor="background1"/>
              </w:rPr>
              <w:t>VÁ</w:t>
            </w:r>
            <w:r w:rsidRPr="00A91C05">
              <w:rPr>
                <w:rFonts w:cstheme="minorHAnsi"/>
                <w:color w:val="FFFFFF" w:themeColor="background1"/>
              </w:rPr>
              <w:t>NÍ</w:t>
            </w:r>
          </w:p>
        </w:tc>
      </w:tr>
      <w:tr w:rsidR="00A91C05" w:rsidRPr="00A91C05" w14:paraId="627977E9"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C7E1B5"/>
            <w:textDirection w:val="btLr"/>
          </w:tcPr>
          <w:p w14:paraId="08CE8AEA" w14:textId="77777777" w:rsidR="00A91C05" w:rsidRPr="00A91C05" w:rsidRDefault="00A91C05" w:rsidP="00A91C05">
            <w:pPr>
              <w:spacing w:before="0"/>
              <w:ind w:left="113" w:right="113"/>
              <w:jc w:val="center"/>
              <w:rPr>
                <w:rFonts w:cstheme="minorHAnsi"/>
                <w:b w:val="0"/>
                <w:color w:val="000000" w:themeColor="text1"/>
              </w:rPr>
            </w:pPr>
            <w:r w:rsidRPr="00A91C05">
              <w:rPr>
                <w:rFonts w:cstheme="minorHAnsi"/>
                <w:color w:val="000000" w:themeColor="text1"/>
              </w:rPr>
              <w:t>Veřejný sektor</w:t>
            </w:r>
          </w:p>
        </w:tc>
        <w:tc>
          <w:tcPr>
            <w:tcW w:w="567" w:type="dxa"/>
            <w:vMerge w:val="restart"/>
            <w:shd w:val="clear" w:color="auto" w:fill="C7E1B5"/>
            <w:textDirection w:val="btLr"/>
          </w:tcPr>
          <w:p w14:paraId="76B3DA6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796" w:type="dxa"/>
            <w:shd w:val="clear" w:color="auto" w:fill="D9D9D9" w:themeFill="background1" w:themeFillShade="D9"/>
          </w:tcPr>
          <w:p w14:paraId="6CCF298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Statutární město Zlín</w:t>
            </w:r>
          </w:p>
        </w:tc>
      </w:tr>
      <w:tr w:rsidR="00A91C05" w:rsidRPr="00A91C05" w14:paraId="1EF59910"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68FA0B52"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C7E1B5"/>
            <w:textDirection w:val="btLr"/>
          </w:tcPr>
          <w:p w14:paraId="5B913549"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6CB60BF5"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Zlínský kraj</w:t>
            </w:r>
          </w:p>
        </w:tc>
      </w:tr>
      <w:tr w:rsidR="00A91C05" w:rsidRPr="00A91C05" w14:paraId="108EC0E9"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4EFDB362"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C7E1B5"/>
            <w:textDirection w:val="btLr"/>
          </w:tcPr>
          <w:p w14:paraId="75D795C2"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6A99278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Univerzita Tomáše Bati ve Zlíně </w:t>
            </w:r>
          </w:p>
        </w:tc>
      </w:tr>
      <w:tr w:rsidR="00A91C05" w:rsidRPr="00A91C05" w14:paraId="1353159F"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4F8B7413"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33F0D70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3976882E"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Mateřské školy zřizované statutárním městem Zlínem </w:t>
            </w:r>
          </w:p>
        </w:tc>
      </w:tr>
      <w:tr w:rsidR="00A91C05" w:rsidRPr="00A91C05" w14:paraId="51DE414A"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75711E1F"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0F9D6F4B"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25C3569B"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Základní školy zřizované statutárním městem Zlínem </w:t>
            </w:r>
          </w:p>
        </w:tc>
      </w:tr>
      <w:tr w:rsidR="00A91C05" w:rsidRPr="00A91C05" w14:paraId="7E455FB2"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567B8A93"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5C80094F"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36F208B9"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Základní školy zřizované Zlínským krajem</w:t>
            </w:r>
          </w:p>
        </w:tc>
      </w:tr>
      <w:tr w:rsidR="00A91C05" w:rsidRPr="00A91C05" w14:paraId="2E02EFB4"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46751C3C"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15C90B48"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CC288B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Dětský domov, Mateřská škola, Základní škola a Praktická škola Zlín</w:t>
            </w:r>
          </w:p>
        </w:tc>
      </w:tr>
      <w:tr w:rsidR="00A91C05" w:rsidRPr="00A91C05" w14:paraId="715C62EA"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41B29A77"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7BDCAB68"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5BA8AF5D"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rPr>
              <w:t>Dům dětí a mládeže Astra Zlín, příspěvková organizace</w:t>
            </w:r>
          </w:p>
        </w:tc>
      </w:tr>
      <w:tr w:rsidR="00A91C05" w:rsidRPr="00A91C05" w14:paraId="4353DA7C"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004BACF0"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72362576"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22481B8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Rehabilitační stacionář Zlín</w:t>
            </w:r>
          </w:p>
        </w:tc>
      </w:tr>
      <w:tr w:rsidR="00A91C05" w:rsidRPr="00A91C05" w14:paraId="282E8A38"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02F1B0DA"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0D1A3A98"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424690D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color w:val="000000" w:themeColor="text1"/>
              </w:rPr>
              <w:t>Střední školy zřizované Zlínským krajem, nacházející se ve městě Zlín nebo v jeho okolí</w:t>
            </w:r>
          </w:p>
        </w:tc>
      </w:tr>
      <w:tr w:rsidR="00A91C05" w:rsidRPr="00A91C05" w14:paraId="09C4DB03"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1C794AE8"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743B6179"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25174BD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Střední školy zřizované jiným subjektem, nacházející se ve městě Zlín nebo v jeho okolí</w:t>
            </w:r>
          </w:p>
        </w:tc>
      </w:tr>
      <w:tr w:rsidR="00A91C05" w:rsidRPr="00A91C05" w14:paraId="04509379"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6012B125" w14:textId="77777777" w:rsidR="00A91C05" w:rsidRPr="00A91C05" w:rsidRDefault="00A91C05" w:rsidP="00A91C05">
            <w:pPr>
              <w:spacing w:before="0"/>
              <w:jc w:val="center"/>
              <w:rPr>
                <w:rFonts w:cstheme="minorHAnsi"/>
                <w:color w:val="000000" w:themeColor="text1"/>
              </w:rPr>
            </w:pPr>
          </w:p>
        </w:tc>
        <w:tc>
          <w:tcPr>
            <w:tcW w:w="567" w:type="dxa"/>
            <w:vMerge/>
            <w:shd w:val="clear" w:color="auto" w:fill="C7E1B5"/>
          </w:tcPr>
          <w:p w14:paraId="4822B4FA"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685C12B"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Gymnázia, nacházející se ve městě Zlín nebo v jeho okolí</w:t>
            </w:r>
          </w:p>
        </w:tc>
      </w:tr>
      <w:tr w:rsidR="00A91C05" w:rsidRPr="00A91C05" w14:paraId="39B0470A"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22363E62"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1603FCA3"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31FFB42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Centrum kariérového poradenství Zlín</w:t>
            </w:r>
          </w:p>
        </w:tc>
      </w:tr>
      <w:tr w:rsidR="00A91C05" w:rsidRPr="00A91C05" w14:paraId="0320F397"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3AA22DEA"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7AC83755"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DFFA31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Pakt zaměstnanosti Zlínského kraje</w:t>
            </w:r>
          </w:p>
        </w:tc>
      </w:tr>
      <w:tr w:rsidR="00A91C05" w:rsidRPr="00A91C05" w14:paraId="4F153E83"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222DA4ED"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4C1CCD00"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7F14CA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Národní pedagogický institut České republiky, pobočka Zlín</w:t>
            </w:r>
          </w:p>
        </w:tc>
      </w:tr>
      <w:tr w:rsidR="00A91C05" w:rsidRPr="00A91C05" w14:paraId="5C98B8AF"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7D0BFDC1"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5012D0F8"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CE79DA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szCs w:val="20"/>
              </w:rPr>
              <w:t>Regionální rozvojová agentura Východní Moravy</w:t>
            </w:r>
          </w:p>
        </w:tc>
      </w:tr>
      <w:tr w:rsidR="00A91C05" w:rsidRPr="00A91C05" w14:paraId="0FC3671C"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69F1EC4F"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010391A2"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0F69BCB"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t>Plavecká škola Zlín, příspěvková organizace</w:t>
            </w:r>
          </w:p>
        </w:tc>
      </w:tr>
      <w:tr w:rsidR="00A91C05" w:rsidRPr="00A91C05" w14:paraId="61FCD8CE"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56574A2A"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6DC50628"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3A8A2D6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pPr>
            <w:r w:rsidRPr="00A91C05">
              <w:rPr>
                <w:rFonts w:cstheme="minorHAnsi"/>
                <w:color w:val="000000" w:themeColor="text1"/>
              </w:rPr>
              <w:t xml:space="preserve">Technologické inovační centrum s.r.o. </w:t>
            </w:r>
          </w:p>
        </w:tc>
      </w:tr>
      <w:tr w:rsidR="00A91C05" w:rsidRPr="00A91C05" w14:paraId="3781C936"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3C163180"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3A75CD19"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544A0A8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szCs w:val="20"/>
              </w:rPr>
              <w:t>ZOO a zámek Zlín-Lešná, příspěvková organizace</w:t>
            </w:r>
          </w:p>
        </w:tc>
      </w:tr>
      <w:tr w:rsidR="00A91C05" w:rsidRPr="00A91C05" w14:paraId="65F3FCC0"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0910E800"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68A0F122"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14F9AD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szCs w:val="20"/>
              </w:rPr>
              <w:t>Krajská knihovna Františka Bartoše</w:t>
            </w:r>
          </w:p>
        </w:tc>
      </w:tr>
      <w:tr w:rsidR="00A91C05" w:rsidRPr="00A91C05" w14:paraId="1D266B1E"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5C343900"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5A7BA5D7"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5496181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rFonts w:cstheme="minorHAnsi"/>
                <w:color w:val="000000" w:themeColor="text1"/>
              </w:rPr>
              <w:t>Úřad práce ČR - krajská pobočka ve Zlíně</w:t>
            </w:r>
          </w:p>
        </w:tc>
      </w:tr>
      <w:tr w:rsidR="00A91C05" w:rsidRPr="00A91C05" w14:paraId="09881AAA"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65E82C0C"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16EEB382"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E69525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szCs w:val="20"/>
              </w:rPr>
              <w:t>14|15 Baťův institut, příspěvková organizace</w:t>
            </w:r>
          </w:p>
        </w:tc>
      </w:tr>
      <w:tr w:rsidR="00A91C05" w:rsidRPr="00A91C05" w14:paraId="4522B2FB"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45739D6F"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7F6B9592"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D55F19B"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szCs w:val="20"/>
              </w:rPr>
              <w:t>Národní pedagogický institut ČR, Zlín</w:t>
            </w:r>
          </w:p>
        </w:tc>
      </w:tr>
      <w:tr w:rsidR="00A91C05" w:rsidRPr="00A91C05" w14:paraId="71B8628A"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5F3921B2"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2DCE93B0"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904A19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szCs w:val="20"/>
              </w:rPr>
              <w:t>Hvězdárna Zlín</w:t>
            </w:r>
          </w:p>
        </w:tc>
      </w:tr>
      <w:tr w:rsidR="00A91C05" w:rsidRPr="00A91C05" w14:paraId="675DD15B"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49A940EB"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7D2C49B7"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2714E33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rFonts w:cstheme="minorHAnsi"/>
                <w:color w:val="000000" w:themeColor="text1"/>
              </w:rPr>
              <w:t>Základní umělecká škola Zlín, Štefánikova</w:t>
            </w:r>
          </w:p>
        </w:tc>
      </w:tr>
      <w:tr w:rsidR="00A91C05" w:rsidRPr="00A91C05" w14:paraId="195775D0" w14:textId="77777777" w:rsidTr="00A91C05">
        <w:trPr>
          <w:trHeight w:hRule="exact" w:val="300"/>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15356D1F"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3DA808AA"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26149C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Základní umělecká škola Zlín – Malenovice</w:t>
            </w:r>
          </w:p>
        </w:tc>
      </w:tr>
      <w:tr w:rsidR="00A91C05" w:rsidRPr="00A91C05" w14:paraId="7AEE332A"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cPr>
          <w:p w14:paraId="4B4F7A6A" w14:textId="77777777" w:rsidR="00A91C05" w:rsidRPr="00A91C05" w:rsidRDefault="00A91C05" w:rsidP="00A91C05">
            <w:pPr>
              <w:spacing w:before="0"/>
              <w:jc w:val="center"/>
              <w:rPr>
                <w:rFonts w:cstheme="minorHAnsi"/>
                <w:b w:val="0"/>
                <w:color w:val="000000" w:themeColor="text1"/>
              </w:rPr>
            </w:pPr>
          </w:p>
        </w:tc>
        <w:tc>
          <w:tcPr>
            <w:tcW w:w="567" w:type="dxa"/>
            <w:vMerge/>
            <w:shd w:val="clear" w:color="auto" w:fill="C7E1B5"/>
          </w:tcPr>
          <w:p w14:paraId="431803C8"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B55F03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Základní umělecká škola Zlín - Jižní Svahy</w:t>
            </w:r>
          </w:p>
        </w:tc>
      </w:tr>
      <w:tr w:rsidR="00A91C05" w:rsidRPr="00A91C05" w14:paraId="48EA530D"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C7E1B5"/>
            <w:textDirection w:val="btLr"/>
          </w:tcPr>
          <w:p w14:paraId="1F2DDEC0"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Podnikatelský sektor</w:t>
            </w:r>
          </w:p>
        </w:tc>
        <w:tc>
          <w:tcPr>
            <w:tcW w:w="567" w:type="dxa"/>
            <w:vMerge w:val="restart"/>
            <w:shd w:val="clear" w:color="auto" w:fill="C7E1B5"/>
            <w:textDirection w:val="btLr"/>
          </w:tcPr>
          <w:p w14:paraId="3DC73568"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796" w:type="dxa"/>
          </w:tcPr>
          <w:p w14:paraId="1E589F7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Jazyková škola Skřivánek</w:t>
            </w:r>
          </w:p>
        </w:tc>
      </w:tr>
      <w:tr w:rsidR="00A91C05" w:rsidRPr="00A91C05" w14:paraId="3EC462A1"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6080E3C0"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4BAE284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34BD20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Jazyková škola ZELENKA</w:t>
            </w:r>
          </w:p>
        </w:tc>
      </w:tr>
      <w:tr w:rsidR="00A91C05" w:rsidRPr="00A91C05" w14:paraId="0D0E61A6"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0F08947B"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5734EBE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244BDA9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Vzdělávání na míru</w:t>
            </w:r>
          </w:p>
        </w:tc>
      </w:tr>
      <w:tr w:rsidR="00A91C05" w:rsidRPr="00A91C05" w14:paraId="6F899E24"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7BC4E203"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4B1F7C95"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11FB44C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Brick by Brick Zlín</w:t>
            </w:r>
          </w:p>
        </w:tc>
      </w:tr>
      <w:tr w:rsidR="00A91C05" w:rsidRPr="00A91C05" w14:paraId="07DECC05"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0D84B8DA"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37B43AB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183D6F2D"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Czechitas Zlín</w:t>
            </w:r>
          </w:p>
        </w:tc>
      </w:tr>
      <w:tr w:rsidR="00A91C05" w:rsidRPr="00A91C05" w14:paraId="7694A761"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094597EA"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4DE1930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61D2FF2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Školící centrum Zlín</w:t>
            </w:r>
          </w:p>
        </w:tc>
      </w:tr>
      <w:tr w:rsidR="00A91C05" w:rsidRPr="00A91C05" w14:paraId="50F495A5"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3FE6375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7DE6BFD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185A081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Profima Education</w:t>
            </w:r>
          </w:p>
        </w:tc>
      </w:tr>
      <w:tr w:rsidR="00A91C05" w:rsidRPr="00A91C05" w14:paraId="664FE0B9"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521DC57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5B2E317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162D638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Zlínská soukromá vyšší odborná škola umění, o.p.s.</w:t>
            </w:r>
          </w:p>
        </w:tc>
      </w:tr>
      <w:tr w:rsidR="00A91C05" w:rsidRPr="00A91C05" w14:paraId="0FD15BAB"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216CF944"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6CA37A4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697923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Základní umělecká škola Morava, spol. s r.o.</w:t>
            </w:r>
          </w:p>
        </w:tc>
      </w:tr>
      <w:tr w:rsidR="00A91C05" w:rsidRPr="00A91C05" w14:paraId="7EF8C1E0"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6DB6631E"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0905785A"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31E6D15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ZUŠ Harmonie Zlín, s.r.o.</w:t>
            </w:r>
          </w:p>
        </w:tc>
      </w:tr>
      <w:tr w:rsidR="00A91C05" w:rsidRPr="00A91C05" w14:paraId="33EDE237"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2832AA15"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3AB3BD4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1C70F18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Základní umělecká škola klávesových nástrojů</w:t>
            </w:r>
          </w:p>
        </w:tc>
      </w:tr>
      <w:tr w:rsidR="00A91C05" w:rsidRPr="00A91C05" w14:paraId="2B606451"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480C3797"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17BD6D01"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590B8E56"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Střední škola filmová, multimediální a počítačových technologií, s.r.o.</w:t>
            </w:r>
          </w:p>
        </w:tc>
      </w:tr>
      <w:tr w:rsidR="00A91C05" w:rsidRPr="00A91C05" w14:paraId="250714DD"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2BF5408F"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7ABA6C3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5CD651A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rPr>
              <w:t>Střední škola pedagogická a sociální Zlín, s.r.o.</w:t>
            </w:r>
          </w:p>
        </w:tc>
      </w:tr>
      <w:tr w:rsidR="00A91C05" w:rsidRPr="00A91C05" w14:paraId="59BDE0DF"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1BB827AC"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02D6AC9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00A875D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Střední škola Baltaci s. r. o.</w:t>
            </w:r>
          </w:p>
        </w:tc>
      </w:tr>
      <w:tr w:rsidR="00A91C05" w:rsidRPr="00A91C05" w14:paraId="2E708023"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6468B015"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1F38040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42FE3CD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Církevní základní škola a mateřská škola ve Zlíně</w:t>
            </w:r>
          </w:p>
        </w:tc>
      </w:tr>
      <w:tr w:rsidR="00A91C05" w:rsidRPr="00A91C05" w14:paraId="70689548"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2CF0808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217E9AC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1104637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Montessori Zlín - Centrum přirozeného vzdělávání pro děti</w:t>
            </w:r>
          </w:p>
        </w:tc>
      </w:tr>
      <w:tr w:rsidR="00A91C05" w:rsidRPr="00A91C05" w14:paraId="0BA86265"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7733EF2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1E6B93A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200C1C5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Hudební škola Yamaha Zlín</w:t>
            </w:r>
          </w:p>
        </w:tc>
      </w:tr>
      <w:tr w:rsidR="00A91C05" w:rsidRPr="00A91C05" w14:paraId="4383163F"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55D36AEC"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2AB9BC59"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327B694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Virtuální realita Zlín</w:t>
            </w:r>
          </w:p>
        </w:tc>
      </w:tr>
      <w:tr w:rsidR="00A91C05" w:rsidRPr="00A91C05" w14:paraId="161C5D65" w14:textId="77777777" w:rsidTr="00A91C05">
        <w:trPr>
          <w:cantSplit/>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16F94AFA"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74BE155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3B4661A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Trexima, Zlín</w:t>
            </w:r>
          </w:p>
        </w:tc>
      </w:tr>
      <w:tr w:rsidR="00A91C05" w:rsidRPr="00A91C05" w14:paraId="234BA5BA" w14:textId="77777777" w:rsidTr="00A91C05">
        <w:trPr>
          <w:cantSplit/>
          <w:trHeight w:val="841"/>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5937A17D" w14:textId="77777777" w:rsidR="00A91C05" w:rsidRPr="00A91C05" w:rsidRDefault="00A91C05" w:rsidP="00A91C05">
            <w:pPr>
              <w:spacing w:before="0"/>
              <w:ind w:left="113" w:right="113"/>
              <w:jc w:val="center"/>
              <w:rPr>
                <w:rFonts w:cstheme="minorHAnsi"/>
                <w:color w:val="000000" w:themeColor="text1"/>
              </w:rPr>
            </w:pPr>
          </w:p>
        </w:tc>
        <w:tc>
          <w:tcPr>
            <w:tcW w:w="567" w:type="dxa"/>
            <w:shd w:val="clear" w:color="auto" w:fill="C7E1B5"/>
            <w:textDirection w:val="btLr"/>
          </w:tcPr>
          <w:p w14:paraId="463B2249"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ascii="Calibri" w:hAnsi="Calibri" w:cstheme="minorHAnsi"/>
                <w:b/>
                <w:color w:val="000000" w:themeColor="text1"/>
                <w:sz w:val="20"/>
                <w:szCs w:val="24"/>
              </w:rPr>
              <w:t>Externí</w:t>
            </w:r>
          </w:p>
        </w:tc>
        <w:tc>
          <w:tcPr>
            <w:tcW w:w="7796" w:type="dxa"/>
          </w:tcPr>
          <w:p w14:paraId="659F173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MESIT holding, a.s.</w:t>
            </w:r>
          </w:p>
        </w:tc>
      </w:tr>
      <w:tr w:rsidR="00A91C05" w:rsidRPr="00A91C05" w14:paraId="6504718C"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C7E1B5"/>
            <w:textDirection w:val="btLr"/>
          </w:tcPr>
          <w:p w14:paraId="2821A23E"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Občanská společnost</w:t>
            </w:r>
          </w:p>
        </w:tc>
        <w:tc>
          <w:tcPr>
            <w:tcW w:w="567" w:type="dxa"/>
            <w:vMerge w:val="restart"/>
            <w:shd w:val="clear" w:color="auto" w:fill="C7E1B5"/>
            <w:textDirection w:val="btLr"/>
          </w:tcPr>
          <w:p w14:paraId="2D59FDEA"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796" w:type="dxa"/>
            <w:shd w:val="clear" w:color="auto" w:fill="D9D9D9" w:themeFill="background1" w:themeFillShade="D9"/>
          </w:tcPr>
          <w:p w14:paraId="706EC83B"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Krajská hospodářská komora Zlínského kraje</w:t>
            </w:r>
          </w:p>
        </w:tc>
      </w:tr>
      <w:tr w:rsidR="00A91C05" w:rsidRPr="00A91C05" w14:paraId="1B6EFE59"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7684FA46"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66823747"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2C8F95B5"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ascii="Calibri" w:hAnsi="Calibri" w:cstheme="minorHAnsi"/>
                <w:color w:val="000000" w:themeColor="text1"/>
                <w:sz w:val="24"/>
                <w:szCs w:val="24"/>
              </w:rPr>
              <w:t>Nadace Tomáše Bati</w:t>
            </w:r>
          </w:p>
        </w:tc>
      </w:tr>
      <w:tr w:rsidR="00A91C05" w:rsidRPr="00A91C05" w14:paraId="55DF02AE"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0C205BA6"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5068B57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C05642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Junior Achievement, o.p.s. - Regionální kancelář Zlín</w:t>
            </w:r>
          </w:p>
        </w:tc>
      </w:tr>
      <w:tr w:rsidR="00A91C05" w:rsidRPr="00A91C05" w14:paraId="3364543D"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6776ABFE"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4EB126D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7D2C9BD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Studentská unie UTB</w:t>
            </w:r>
          </w:p>
        </w:tc>
      </w:tr>
      <w:tr w:rsidR="00A91C05" w:rsidRPr="00A91C05" w14:paraId="705C19CD"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2B0071D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4B1B279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BCB467D"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Region Bílé Karpaty</w:t>
            </w:r>
          </w:p>
        </w:tc>
      </w:tr>
      <w:tr w:rsidR="00A91C05" w:rsidRPr="00A91C05" w14:paraId="222559E9"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1856B8FF"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5203DB4A"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90078C0"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Sdružení pro rozvoj Zlínského kraje </w:t>
            </w:r>
          </w:p>
        </w:tc>
      </w:tr>
      <w:tr w:rsidR="00A91C05" w:rsidRPr="00A91C05" w14:paraId="3F82112E"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0DF6F260"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55BCFF3A"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4E98304E"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Centrum pro rodinu Zlín z.s</w:t>
            </w:r>
          </w:p>
        </w:tc>
      </w:tr>
      <w:tr w:rsidR="00A91C05" w:rsidRPr="00A91C05" w14:paraId="4C1BEECB"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C7E1B5"/>
            <w:textDirection w:val="btLr"/>
          </w:tcPr>
          <w:p w14:paraId="7BD9DA50"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C7E1B5"/>
            <w:textDirection w:val="btLr"/>
          </w:tcPr>
          <w:p w14:paraId="6F992FA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2C574B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Hvězdárna Zlín - Zlínská astronomická společnost</w:t>
            </w:r>
          </w:p>
        </w:tc>
      </w:tr>
    </w:tbl>
    <w:p w14:paraId="1D509FE0" w14:textId="23662952" w:rsidR="00A91C05" w:rsidRDefault="00A91C05" w:rsidP="00A91C05">
      <w:pPr>
        <w:rPr>
          <w:i/>
          <w:sz w:val="20"/>
        </w:rPr>
      </w:pPr>
      <w:r w:rsidRPr="000818D2">
        <w:rPr>
          <w:i/>
          <w:sz w:val="20"/>
        </w:rPr>
        <w:t xml:space="preserve">Zdroj: </w:t>
      </w:r>
      <w:r w:rsidR="00EC35F2">
        <w:rPr>
          <w:i/>
          <w:sz w:val="20"/>
        </w:rPr>
        <w:t>V</w:t>
      </w:r>
      <w:r w:rsidRPr="000818D2">
        <w:rPr>
          <w:i/>
          <w:sz w:val="20"/>
        </w:rPr>
        <w:t>lastní zpracování dle</w:t>
      </w:r>
      <w:r w:rsidR="00EC35F2">
        <w:rPr>
          <w:i/>
          <w:sz w:val="20"/>
        </w:rPr>
        <w:t xml:space="preserve"> dokumentů</w:t>
      </w:r>
      <w:r w:rsidRPr="000818D2">
        <w:rPr>
          <w:i/>
          <w:sz w:val="20"/>
        </w:rPr>
        <w:t xml:space="preserve"> Integrovaný plán rozvoje území Zlín pro období 2014 – 2020, Strategie rozvoje Zlínského kraje 2030, seznam institucí webové stránky statutárního města Zlína a Krajského úřadu Zlínského kraje, obchodní rejstřík</w:t>
      </w:r>
      <w:r w:rsidR="00EC35F2">
        <w:rPr>
          <w:i/>
          <w:sz w:val="20"/>
        </w:rPr>
        <w:t>.</w:t>
      </w:r>
    </w:p>
    <w:p w14:paraId="061FACB6" w14:textId="686DE791" w:rsidR="00A91C05" w:rsidRPr="000818D2" w:rsidRDefault="00A91C05" w:rsidP="00A91C05">
      <w:pPr>
        <w:pStyle w:val="Nadpis4"/>
      </w:pPr>
      <w:bookmarkStart w:id="749" w:name="_Toc46218670"/>
      <w:r w:rsidRPr="000818D2">
        <w:t>T</w:t>
      </w:r>
      <w:r w:rsidR="00CD1295" w:rsidRPr="000818D2">
        <w:t xml:space="preserve">ematická oblast </w:t>
      </w:r>
      <w:r w:rsidR="00CD1295">
        <w:t>B</w:t>
      </w:r>
      <w:r w:rsidR="00CD1295" w:rsidRPr="000818D2">
        <w:t>ezpečnost</w:t>
      </w:r>
      <w:bookmarkEnd w:id="749"/>
    </w:p>
    <w:p w14:paraId="08318615" w14:textId="77777777" w:rsidR="00A91C05" w:rsidRPr="000818D2" w:rsidRDefault="00A91C05" w:rsidP="00A91C05">
      <w:pPr>
        <w:rPr>
          <w:rFonts w:cstheme="minorHAnsi"/>
          <w:szCs w:val="20"/>
        </w:rPr>
      </w:pPr>
      <w:r w:rsidRPr="000818D2">
        <w:rPr>
          <w:rFonts w:cstheme="minorHAnsi"/>
          <w:szCs w:val="20"/>
        </w:rPr>
        <w:t>Hlavní témata:</w:t>
      </w:r>
    </w:p>
    <w:p w14:paraId="6EF17D70"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zachování současné úrovně bezpečnosti ve městě při zhoršujících se globálních bezpečnostních podmínkách</w:t>
      </w:r>
    </w:p>
    <w:p w14:paraId="4166192A" w14:textId="77777777" w:rsidR="00A91C05" w:rsidRPr="000818D2" w:rsidRDefault="00A91C05" w:rsidP="006F3CC1">
      <w:pPr>
        <w:pStyle w:val="Odstavecseseznamem"/>
        <w:numPr>
          <w:ilvl w:val="0"/>
          <w:numId w:val="8"/>
        </w:numPr>
        <w:spacing w:before="0" w:after="240"/>
        <w:ind w:left="714" w:hanging="357"/>
        <w:rPr>
          <w:rFonts w:cstheme="minorHAnsi"/>
          <w:szCs w:val="20"/>
        </w:rPr>
      </w:pPr>
      <w:r w:rsidRPr="000818D2">
        <w:rPr>
          <w:rFonts w:cstheme="minorHAnsi"/>
          <w:szCs w:val="20"/>
        </w:rPr>
        <w:t>kybernetická bezpečnost</w:t>
      </w:r>
    </w:p>
    <w:p w14:paraId="04E03442" w14:textId="77777777" w:rsidR="00A91C05" w:rsidRDefault="00A91C05" w:rsidP="006F3CC1">
      <w:pPr>
        <w:pStyle w:val="Odstavecseseznamem"/>
        <w:numPr>
          <w:ilvl w:val="0"/>
          <w:numId w:val="8"/>
        </w:numPr>
        <w:spacing w:before="0" w:after="240"/>
        <w:ind w:left="714" w:hanging="357"/>
        <w:rPr>
          <w:rFonts w:cstheme="minorHAnsi"/>
          <w:szCs w:val="20"/>
        </w:rPr>
      </w:pPr>
      <w:r w:rsidRPr="000818D2">
        <w:rPr>
          <w:rFonts w:cstheme="minorHAnsi"/>
          <w:szCs w:val="20"/>
        </w:rPr>
        <w:t>krizové řízení</w:t>
      </w:r>
    </w:p>
    <w:p w14:paraId="28416CD8" w14:textId="7FED8EF7" w:rsidR="00A91C05" w:rsidRPr="000818D2" w:rsidRDefault="00A91C05" w:rsidP="00A91C05">
      <w:pPr>
        <w:pStyle w:val="Titulek"/>
        <w:keepNext/>
      </w:pPr>
      <w:bookmarkStart w:id="750" w:name="_Toc50549186"/>
      <w:bookmarkStart w:id="751" w:name="_Toc50989349"/>
      <w:bookmarkStart w:id="752" w:name="_Toc53388469"/>
      <w:bookmarkStart w:id="753" w:name="_Toc54702639"/>
      <w:bookmarkStart w:id="754" w:name="_Toc56179446"/>
      <w:bookmarkStart w:id="755" w:name="_Toc57731804"/>
      <w:bookmarkStart w:id="756" w:name="_Toc77074788"/>
      <w:r w:rsidRPr="000818D2">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25</w:t>
      </w:r>
      <w:r w:rsidR="00081B47">
        <w:rPr>
          <w:noProof/>
        </w:rPr>
        <w:fldChar w:fldCharType="end"/>
      </w:r>
      <w:r w:rsidR="00EC35F2">
        <w:rPr>
          <w:noProof/>
        </w:rPr>
        <w:t>:</w:t>
      </w:r>
      <w:r w:rsidRPr="000818D2">
        <w:t xml:space="preserve"> Seznam stakeholderů v oblasti Bezpečnost</w:t>
      </w:r>
      <w:bookmarkEnd w:id="750"/>
      <w:bookmarkEnd w:id="751"/>
      <w:bookmarkEnd w:id="752"/>
      <w:bookmarkEnd w:id="753"/>
      <w:bookmarkEnd w:id="754"/>
      <w:bookmarkEnd w:id="755"/>
      <w:bookmarkEnd w:id="756"/>
    </w:p>
    <w:tbl>
      <w:tblPr>
        <w:tblStyle w:val="Svtltabulkasmkou12"/>
        <w:tblW w:w="9067" w:type="dxa"/>
        <w:tblLayout w:type="fixed"/>
        <w:tblLook w:val="04A0" w:firstRow="1" w:lastRow="0" w:firstColumn="1" w:lastColumn="0" w:noHBand="0" w:noVBand="1"/>
      </w:tblPr>
      <w:tblGrid>
        <w:gridCol w:w="704"/>
        <w:gridCol w:w="567"/>
        <w:gridCol w:w="7796"/>
      </w:tblGrid>
      <w:tr w:rsidR="00A91C05" w:rsidRPr="00A91C05" w14:paraId="290FD4BF" w14:textId="77777777" w:rsidTr="00A91C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shd w:val="clear" w:color="auto" w:fill="2E74B5" w:themeFill="accent1" w:themeFillShade="BF"/>
          </w:tcPr>
          <w:p w14:paraId="4A2C85A5" w14:textId="77777777" w:rsidR="00A91C05" w:rsidRPr="00A91C05" w:rsidRDefault="00A91C05" w:rsidP="00A91C05">
            <w:pPr>
              <w:spacing w:before="0"/>
              <w:jc w:val="center"/>
              <w:rPr>
                <w:rFonts w:cstheme="minorHAnsi"/>
                <w:color w:val="000000" w:themeColor="text1"/>
              </w:rPr>
            </w:pPr>
            <w:r w:rsidRPr="00A91C05">
              <w:rPr>
                <w:rFonts w:cstheme="minorHAnsi"/>
                <w:color w:val="FFFFFF" w:themeColor="background1"/>
              </w:rPr>
              <w:t>BEZPEČNOST</w:t>
            </w:r>
          </w:p>
        </w:tc>
      </w:tr>
      <w:tr w:rsidR="00A91C05" w:rsidRPr="00A91C05" w14:paraId="70D23EB8"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8AB8E2"/>
            <w:textDirection w:val="btLr"/>
          </w:tcPr>
          <w:p w14:paraId="5F617A01" w14:textId="77777777" w:rsidR="00A91C05" w:rsidRPr="00A91C05" w:rsidRDefault="00A91C05" w:rsidP="00A91C05">
            <w:pPr>
              <w:spacing w:before="0"/>
              <w:ind w:left="113" w:right="113"/>
              <w:jc w:val="center"/>
              <w:rPr>
                <w:rFonts w:cstheme="minorHAnsi"/>
                <w:b w:val="0"/>
                <w:color w:val="000000" w:themeColor="text1"/>
              </w:rPr>
            </w:pPr>
            <w:r w:rsidRPr="00A91C05">
              <w:rPr>
                <w:rFonts w:cstheme="minorHAnsi"/>
                <w:color w:val="000000" w:themeColor="text1"/>
              </w:rPr>
              <w:t>Veřejný sektor</w:t>
            </w:r>
          </w:p>
        </w:tc>
        <w:tc>
          <w:tcPr>
            <w:tcW w:w="567" w:type="dxa"/>
            <w:vMerge w:val="restart"/>
            <w:shd w:val="clear" w:color="auto" w:fill="8AB8E2"/>
            <w:textDirection w:val="btLr"/>
          </w:tcPr>
          <w:p w14:paraId="3992514E"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p w14:paraId="3D45E81D" w14:textId="77777777" w:rsidR="00A91C05" w:rsidRPr="00A91C05" w:rsidRDefault="00A91C05" w:rsidP="00A91C05">
            <w:pPr>
              <w:autoSpaceDE w:val="0"/>
              <w:autoSpaceDN w:val="0"/>
              <w:adjustRightInd w:val="0"/>
              <w:spacing w:before="0"/>
              <w:ind w:left="113" w:right="113"/>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p w14:paraId="3DE68504" w14:textId="77777777" w:rsidR="00A91C05" w:rsidRPr="00A91C05" w:rsidRDefault="00A91C05" w:rsidP="00A91C05">
            <w:pPr>
              <w:spacing w:before="0"/>
              <w:ind w:left="113" w:right="113"/>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4F89B42F"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Statutární město Zlín</w:t>
            </w:r>
          </w:p>
        </w:tc>
      </w:tr>
      <w:tr w:rsidR="00A91C05" w:rsidRPr="00A91C05" w14:paraId="30B26556"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4CBD1C44"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0DF24DA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23989C56"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Zlínský kraj</w:t>
            </w:r>
          </w:p>
        </w:tc>
      </w:tr>
      <w:tr w:rsidR="00A91C05" w:rsidRPr="00A91C05" w14:paraId="03F97B66"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46E662C4"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0F67E0D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1F2906E0"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Krajské vojenské velitelství Zlín</w:t>
            </w:r>
          </w:p>
        </w:tc>
      </w:tr>
      <w:tr w:rsidR="00A91C05" w:rsidRPr="00A91C05" w14:paraId="6810B0BD"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14FF9821"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2C7BD39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257080F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Okresní soud ve Zlíně</w:t>
            </w:r>
          </w:p>
        </w:tc>
      </w:tr>
      <w:tr w:rsidR="00A91C05" w:rsidRPr="00A91C05" w14:paraId="13FC44A2"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63592C28"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6EFFF12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6BD2E085"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Krajský soud Brno, pobočka ve Zlíně</w:t>
            </w:r>
          </w:p>
        </w:tc>
      </w:tr>
      <w:tr w:rsidR="00A91C05" w:rsidRPr="00A91C05" w14:paraId="18652FC7"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4FE1A722"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1ED5AA9B"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05FEBB54"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Městská policie Zlín</w:t>
            </w:r>
          </w:p>
        </w:tc>
      </w:tr>
      <w:tr w:rsidR="00A91C05" w:rsidRPr="00A91C05" w14:paraId="04644D6D"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7CE6A9D9"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380EF1C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auto"/>
          </w:tcPr>
          <w:p w14:paraId="305D3FC6"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Policie České republiky, Územní odbor Zlín</w:t>
            </w:r>
          </w:p>
        </w:tc>
      </w:tr>
      <w:tr w:rsidR="00A91C05" w:rsidRPr="00A91C05" w14:paraId="1C4208D9"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16FAEE72"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339A467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auto"/>
          </w:tcPr>
          <w:p w14:paraId="408DD570"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ascii="Calibri" w:hAnsi="Calibri" w:cs="Calibri"/>
              </w:rPr>
              <w:t>HZS Zlínského kraje - Hasičský záchranný sbor České republiky</w:t>
            </w:r>
          </w:p>
        </w:tc>
      </w:tr>
      <w:tr w:rsidR="00A91C05" w:rsidRPr="00A91C05" w14:paraId="74A03C1C"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2C5A3A89"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1C845B1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1CA803A3"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Zdravotnická záchranná služba Zlínského kraje, p.o.</w:t>
            </w:r>
          </w:p>
        </w:tc>
      </w:tr>
      <w:tr w:rsidR="00A91C05" w:rsidRPr="00A91C05" w14:paraId="298209DD"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422EEB58"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1D075B7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3E4CF5E4" w14:textId="77777777" w:rsidR="00A91C05" w:rsidRPr="00A91C05" w:rsidRDefault="00A91C05" w:rsidP="00A91C05">
            <w:pPr>
              <w:spacing w:before="0"/>
              <w:jc w:val="left"/>
              <w:cnfStyle w:val="000000000000" w:firstRow="0" w:lastRow="0" w:firstColumn="0" w:lastColumn="0" w:oddVBand="0" w:evenVBand="0" w:oddHBand="0" w:evenHBand="0" w:firstRowFirstColumn="0" w:firstRowLastColumn="0" w:lastRowFirstColumn="0" w:lastRowLastColumn="0"/>
              <w:rPr>
                <w:shd w:val="clear" w:color="auto" w:fill="FFFFFF"/>
              </w:rPr>
            </w:pPr>
            <w:r w:rsidRPr="00A91C05">
              <w:rPr>
                <w:rFonts w:cstheme="minorHAnsi"/>
                <w:color w:val="000000" w:themeColor="text1"/>
              </w:rPr>
              <w:t>Univerzita Tomáše Bati ve Zlíně</w:t>
            </w:r>
          </w:p>
        </w:tc>
      </w:tr>
      <w:tr w:rsidR="00A91C05" w:rsidRPr="00A91C05" w14:paraId="59D4B8D6" w14:textId="77777777" w:rsidTr="00820C9F">
        <w:trPr>
          <w:trHeight w:hRule="exact" w:val="31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7CC13B8C"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1C16690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22C77B5F" w14:textId="77777777" w:rsidR="00A91C05" w:rsidRPr="00A91C05" w:rsidRDefault="00A91C05" w:rsidP="00A91C05">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t>Základní (popř. i střední) školy dislokované na území města</w:t>
            </w:r>
          </w:p>
        </w:tc>
      </w:tr>
      <w:tr w:rsidR="00A91C05" w:rsidRPr="00A91C05" w14:paraId="07C4248E" w14:textId="77777777" w:rsidTr="00A91C05">
        <w:trPr>
          <w:cantSplit/>
          <w:trHeight w:hRule="exact" w:val="901"/>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50C3D4F7" w14:textId="77777777" w:rsidR="00A91C05" w:rsidRPr="00A91C05" w:rsidRDefault="00A91C05" w:rsidP="00A91C05">
            <w:pPr>
              <w:spacing w:before="0"/>
              <w:ind w:left="113" w:right="113"/>
              <w:rPr>
                <w:rFonts w:cstheme="minorHAnsi"/>
                <w:color w:val="000000" w:themeColor="text1"/>
              </w:rPr>
            </w:pPr>
          </w:p>
        </w:tc>
        <w:tc>
          <w:tcPr>
            <w:tcW w:w="567" w:type="dxa"/>
            <w:shd w:val="clear" w:color="auto" w:fill="8AB8E2"/>
            <w:textDirection w:val="btLr"/>
          </w:tcPr>
          <w:p w14:paraId="03CDDECD" w14:textId="77777777" w:rsidR="00A91C05" w:rsidRPr="00A91C05" w:rsidRDefault="00A91C05" w:rsidP="00A91C05">
            <w:pPr>
              <w:spacing w:before="0"/>
              <w:ind w:left="113" w:right="113"/>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b/>
                <w:color w:val="000000" w:themeColor="text1"/>
              </w:rPr>
              <w:t>Externí</w:t>
            </w:r>
          </w:p>
        </w:tc>
        <w:tc>
          <w:tcPr>
            <w:tcW w:w="7796" w:type="dxa"/>
            <w:shd w:val="clear" w:color="auto" w:fill="auto"/>
          </w:tcPr>
          <w:p w14:paraId="6107CED7" w14:textId="77777777" w:rsidR="00A91C05" w:rsidRDefault="00A91C05" w:rsidP="00A91C05">
            <w:pPr>
              <w:spacing w:before="0"/>
              <w:jc w:val="left"/>
              <w:cnfStyle w:val="000000000000" w:firstRow="0" w:lastRow="0" w:firstColumn="0" w:lastColumn="0" w:oddVBand="0" w:evenVBand="0" w:oddHBand="0" w:evenHBand="0" w:firstRowFirstColumn="0" w:firstRowLastColumn="0" w:lastRowFirstColumn="0" w:lastRowLastColumn="0"/>
            </w:pPr>
            <w:r w:rsidRPr="00A91C05">
              <w:t>Národní úřad pro kybernetickou a informační bezpečnost (NÚKIB)</w:t>
            </w:r>
          </w:p>
          <w:p w14:paraId="0396FBA8" w14:textId="77777777" w:rsidR="00820C9F" w:rsidRDefault="00820C9F" w:rsidP="00A91C05">
            <w:pPr>
              <w:spacing w:before="0"/>
              <w:jc w:val="left"/>
              <w:cnfStyle w:val="000000000000" w:firstRow="0" w:lastRow="0" w:firstColumn="0" w:lastColumn="0" w:oddVBand="0" w:evenVBand="0" w:oddHBand="0" w:evenHBand="0" w:firstRowFirstColumn="0" w:firstRowLastColumn="0" w:lastRowFirstColumn="0" w:lastRowLastColumn="0"/>
            </w:pPr>
          </w:p>
          <w:p w14:paraId="5240FE93" w14:textId="77777777" w:rsidR="00820C9F" w:rsidRDefault="00820C9F" w:rsidP="00A91C05">
            <w:pPr>
              <w:spacing w:before="0"/>
              <w:jc w:val="left"/>
              <w:cnfStyle w:val="000000000000" w:firstRow="0" w:lastRow="0" w:firstColumn="0" w:lastColumn="0" w:oddVBand="0" w:evenVBand="0" w:oddHBand="0" w:evenHBand="0" w:firstRowFirstColumn="0" w:firstRowLastColumn="0" w:lastRowFirstColumn="0" w:lastRowLastColumn="0"/>
            </w:pPr>
          </w:p>
          <w:p w14:paraId="22731D21" w14:textId="77777777" w:rsidR="00820C9F" w:rsidRDefault="00820C9F" w:rsidP="00A91C05">
            <w:pPr>
              <w:spacing w:before="0"/>
              <w:jc w:val="left"/>
              <w:cnfStyle w:val="000000000000" w:firstRow="0" w:lastRow="0" w:firstColumn="0" w:lastColumn="0" w:oddVBand="0" w:evenVBand="0" w:oddHBand="0" w:evenHBand="0" w:firstRowFirstColumn="0" w:firstRowLastColumn="0" w:lastRowFirstColumn="0" w:lastRowLastColumn="0"/>
            </w:pPr>
          </w:p>
          <w:p w14:paraId="0BE91480" w14:textId="77777777" w:rsidR="00820C9F" w:rsidRPr="00A91C05" w:rsidRDefault="00820C9F" w:rsidP="00A91C05">
            <w:pPr>
              <w:spacing w:before="0"/>
              <w:jc w:val="left"/>
              <w:cnfStyle w:val="000000000000" w:firstRow="0" w:lastRow="0" w:firstColumn="0" w:lastColumn="0" w:oddVBand="0" w:evenVBand="0" w:oddHBand="0" w:evenHBand="0" w:firstRowFirstColumn="0" w:firstRowLastColumn="0" w:lastRowFirstColumn="0" w:lastRowLastColumn="0"/>
            </w:pPr>
          </w:p>
        </w:tc>
      </w:tr>
      <w:tr w:rsidR="00A91C05" w:rsidRPr="00A91C05" w14:paraId="042BBE3C"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8AB8E2"/>
            <w:textDirection w:val="btLr"/>
          </w:tcPr>
          <w:p w14:paraId="0ABB1BF4"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Podnikatelský sektor</w:t>
            </w:r>
          </w:p>
        </w:tc>
        <w:tc>
          <w:tcPr>
            <w:tcW w:w="567" w:type="dxa"/>
            <w:vMerge w:val="restart"/>
            <w:shd w:val="clear" w:color="auto" w:fill="8AB8E2"/>
            <w:textDirection w:val="btLr"/>
          </w:tcPr>
          <w:p w14:paraId="472C143D"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p w14:paraId="011155A2" w14:textId="77777777" w:rsidR="00A91C05" w:rsidRPr="00A91C05" w:rsidRDefault="00A91C05" w:rsidP="00A91C05">
            <w:pPr>
              <w:spacing w:before="0"/>
              <w:ind w:left="113" w:right="113"/>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110EE9CB" w14:textId="77777777" w:rsidR="00A91C05" w:rsidRPr="00A91C05" w:rsidRDefault="00A91C05" w:rsidP="00A91C05">
            <w:pPr>
              <w:spacing w:before="0"/>
              <w:jc w:val="left"/>
              <w:cnfStyle w:val="000000000000" w:firstRow="0" w:lastRow="0" w:firstColumn="0" w:lastColumn="0" w:oddVBand="0" w:evenVBand="0" w:oddHBand="0" w:evenHBand="0" w:firstRowFirstColumn="0" w:firstRowLastColumn="0" w:lastRowFirstColumn="0" w:lastRowLastColumn="0"/>
              <w:rPr>
                <w:shd w:val="clear" w:color="auto" w:fill="FFFFFF"/>
              </w:rPr>
            </w:pPr>
            <w:r w:rsidRPr="00A91C05">
              <w:rPr>
                <w:rFonts w:cstheme="minorHAnsi"/>
                <w:color w:val="000000" w:themeColor="text1"/>
              </w:rPr>
              <w:t>NWT a.s.</w:t>
            </w:r>
          </w:p>
        </w:tc>
      </w:tr>
      <w:tr w:rsidR="00A91C05" w:rsidRPr="00A91C05" w14:paraId="47A139E0" w14:textId="77777777" w:rsidTr="00A91C05">
        <w:trPr>
          <w:trHeight w:hRule="exact" w:val="32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1D2DA63B"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8AB8E2"/>
            <w:textDirection w:val="btLr"/>
          </w:tcPr>
          <w:p w14:paraId="7B4ED785" w14:textId="77777777" w:rsidR="00A91C05" w:rsidRPr="00A91C05" w:rsidRDefault="00A91C05" w:rsidP="00A91C05">
            <w:pPr>
              <w:spacing w:before="0"/>
              <w:ind w:left="113" w:right="113"/>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1AAF06B6"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Bezpečnostní agentura - CZ-GUARD, s.r.o.</w:t>
            </w:r>
          </w:p>
        </w:tc>
      </w:tr>
      <w:tr w:rsidR="00A91C05" w:rsidRPr="00A91C05" w14:paraId="42210FD4" w14:textId="77777777" w:rsidTr="00A91C05">
        <w:trPr>
          <w:trHeight w:hRule="exact" w:val="270"/>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0F362457"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2B1CC88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0A46330C"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TOP security s.r.o.</w:t>
            </w:r>
          </w:p>
        </w:tc>
      </w:tr>
      <w:tr w:rsidR="00A91C05" w:rsidRPr="00A91C05" w14:paraId="582FF1B0" w14:textId="77777777" w:rsidTr="00A91C05">
        <w:trPr>
          <w:trHeight w:hRule="exact" w:val="246"/>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096901E6"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1C7A8BC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2451261D"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Bezpečnostní agentura Zlín | Astrema s.r.o.</w:t>
            </w:r>
          </w:p>
        </w:tc>
      </w:tr>
      <w:tr w:rsidR="00A91C05" w:rsidRPr="00A91C05" w14:paraId="188658C1" w14:textId="77777777" w:rsidTr="00A91C05">
        <w:trPr>
          <w:trHeight w:hRule="exact" w:val="278"/>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4257CDE5"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3D82A5A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581AD5BB"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EGO Zlín, spol. s r. o., U Pekárny 438, 763 14 Zlín - Štípa</w:t>
            </w:r>
          </w:p>
        </w:tc>
      </w:tr>
      <w:tr w:rsidR="00A91C05" w:rsidRPr="00A91C05" w14:paraId="7ECEF04B" w14:textId="77777777" w:rsidTr="00A91C05">
        <w:trPr>
          <w:trHeight w:hRule="exact" w:val="28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75079437" w14:textId="77777777" w:rsidR="00A91C05" w:rsidRPr="00A91C05" w:rsidRDefault="00A91C05" w:rsidP="00A91C05">
            <w:pPr>
              <w:spacing w:before="0"/>
              <w:ind w:left="113" w:right="113"/>
              <w:rPr>
                <w:rFonts w:cstheme="minorHAnsi"/>
                <w:color w:val="000000" w:themeColor="text1"/>
              </w:rPr>
            </w:pPr>
          </w:p>
        </w:tc>
        <w:tc>
          <w:tcPr>
            <w:tcW w:w="567" w:type="dxa"/>
            <w:vMerge/>
            <w:shd w:val="clear" w:color="auto" w:fill="8AB8E2"/>
          </w:tcPr>
          <w:p w14:paraId="3ECDF35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7DFD706D"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ECOPROTECT, spol. s r.o., Tečovská 1122, 763 02 Zlín</w:t>
            </w:r>
          </w:p>
        </w:tc>
      </w:tr>
      <w:tr w:rsidR="00A91C05" w:rsidRPr="00A91C05" w14:paraId="2249ED96" w14:textId="77777777" w:rsidTr="00A91C05">
        <w:trPr>
          <w:cantSplit/>
          <w:trHeight w:hRule="exact" w:val="278"/>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8AB8E2"/>
            <w:textDirection w:val="btLr"/>
          </w:tcPr>
          <w:p w14:paraId="63E56042" w14:textId="6822FFD1" w:rsidR="00A91C05" w:rsidRPr="00A91C05" w:rsidRDefault="00A91C05" w:rsidP="0096633B">
            <w:pPr>
              <w:spacing w:before="0"/>
              <w:ind w:left="113" w:right="113"/>
              <w:jc w:val="center"/>
              <w:rPr>
                <w:rFonts w:cstheme="minorHAnsi"/>
                <w:color w:val="000000" w:themeColor="text1"/>
              </w:rPr>
            </w:pPr>
            <w:r w:rsidRPr="00A91C05">
              <w:rPr>
                <w:rFonts w:cstheme="minorHAnsi"/>
                <w:color w:val="000000" w:themeColor="text1"/>
              </w:rPr>
              <w:t>Občanská společnos</w:t>
            </w:r>
            <w:r w:rsidR="0096633B">
              <w:rPr>
                <w:rFonts w:cstheme="minorHAnsi"/>
                <w:color w:val="000000" w:themeColor="text1"/>
              </w:rPr>
              <w:t>t</w:t>
            </w:r>
          </w:p>
        </w:tc>
        <w:tc>
          <w:tcPr>
            <w:tcW w:w="567" w:type="dxa"/>
            <w:vMerge w:val="restart"/>
            <w:shd w:val="clear" w:color="auto" w:fill="8AB8E2"/>
            <w:textDirection w:val="btLr"/>
          </w:tcPr>
          <w:p w14:paraId="71AABD48"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p w14:paraId="3E2C7648" w14:textId="77777777" w:rsidR="00A91C05" w:rsidRPr="00A91C05" w:rsidRDefault="00A91C05" w:rsidP="00A91C05">
            <w:pPr>
              <w:spacing w:before="0"/>
              <w:ind w:left="113" w:right="113"/>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4AC27D33"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rPr>
              <w:t>SH ČMS - Krajské sdružení hasičů Zlínského kraje</w:t>
            </w:r>
          </w:p>
        </w:tc>
      </w:tr>
      <w:tr w:rsidR="00A91C05" w:rsidRPr="00A91C05" w14:paraId="6BA6D810" w14:textId="77777777" w:rsidTr="00A91C05">
        <w:trPr>
          <w:cantSplit/>
          <w:trHeight w:hRule="exact" w:val="298"/>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092C6817"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8AB8E2"/>
            <w:textDirection w:val="btLr"/>
          </w:tcPr>
          <w:p w14:paraId="07A1F09B"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A983143"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szCs w:val="20"/>
                <w:shd w:val="clear" w:color="auto" w:fill="FFFFFF"/>
              </w:rPr>
              <w:t>SH ČMS - Okresní sdružení hasičů Zlín</w:t>
            </w:r>
          </w:p>
        </w:tc>
      </w:tr>
      <w:tr w:rsidR="00A91C05" w:rsidRPr="00A91C05" w14:paraId="7FD26185" w14:textId="77777777" w:rsidTr="00A91C05">
        <w:trPr>
          <w:cantSplit/>
          <w:trHeight w:hRule="exact" w:val="302"/>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7ABBE042"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8AB8E2"/>
            <w:textDirection w:val="btLr"/>
          </w:tcPr>
          <w:p w14:paraId="14974D53"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B7E1AAF"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Jednotky sboru dobrovolných hasičů SMZ a Místních částí města (cca 12)</w:t>
            </w:r>
          </w:p>
        </w:tc>
      </w:tr>
      <w:tr w:rsidR="00A91C05" w:rsidRPr="00A91C05" w14:paraId="08745062" w14:textId="77777777" w:rsidTr="0096633B">
        <w:trPr>
          <w:cantSplit/>
          <w:trHeight w:hRule="exact" w:val="408"/>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8AB8E2"/>
            <w:textDirection w:val="btLr"/>
          </w:tcPr>
          <w:p w14:paraId="44F42320"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8AB8E2"/>
            <w:textDirection w:val="btLr"/>
          </w:tcPr>
          <w:p w14:paraId="64F46D8C"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101B756B" w14:textId="5D6772C0" w:rsidR="00A91C05" w:rsidRPr="00A91C05" w:rsidRDefault="00A91C05" w:rsidP="0096633B">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shd w:val="clear" w:color="auto" w:fill="FFFFFF"/>
              </w:rPr>
            </w:pPr>
            <w:r w:rsidRPr="00A91C05">
              <w:rPr>
                <w:rFonts w:cstheme="minorHAnsi"/>
                <w:color w:val="000000" w:themeColor="text1"/>
                <w:szCs w:val="20"/>
                <w:shd w:val="clear" w:color="auto" w:fill="FFFFFF"/>
              </w:rPr>
              <w:t xml:space="preserve">Sportovní a branné </w:t>
            </w:r>
            <w:r w:rsidR="009C653C">
              <w:rPr>
                <w:rFonts w:cstheme="minorHAnsi"/>
                <w:color w:val="000000" w:themeColor="text1"/>
                <w:szCs w:val="20"/>
                <w:shd w:val="clear" w:color="auto" w:fill="FFFFFF"/>
              </w:rPr>
              <w:t>o</w:t>
            </w:r>
            <w:r w:rsidRPr="00A91C05">
              <w:rPr>
                <w:rFonts w:cstheme="minorHAnsi"/>
                <w:color w:val="000000" w:themeColor="text1"/>
                <w:szCs w:val="20"/>
                <w:shd w:val="clear" w:color="auto" w:fill="FFFFFF"/>
              </w:rPr>
              <w:t>rganizace (kluby) působící na území města</w:t>
            </w:r>
          </w:p>
        </w:tc>
      </w:tr>
    </w:tbl>
    <w:p w14:paraId="7A6E5A4E" w14:textId="4AD8F81B" w:rsidR="00A91C05" w:rsidRPr="000818D2" w:rsidRDefault="00A91C05" w:rsidP="00A91C05">
      <w:pPr>
        <w:rPr>
          <w:i/>
        </w:rPr>
      </w:pPr>
      <w:r w:rsidRPr="000818D2">
        <w:rPr>
          <w:i/>
          <w:sz w:val="20"/>
        </w:rPr>
        <w:t xml:space="preserve">Zdroj: </w:t>
      </w:r>
      <w:r w:rsidR="0096633B">
        <w:rPr>
          <w:i/>
          <w:sz w:val="20"/>
        </w:rPr>
        <w:t>V</w:t>
      </w:r>
      <w:r w:rsidRPr="000818D2">
        <w:rPr>
          <w:i/>
          <w:sz w:val="20"/>
        </w:rPr>
        <w:t>lastní zpracování dle</w:t>
      </w:r>
      <w:r w:rsidR="0096633B">
        <w:rPr>
          <w:i/>
          <w:sz w:val="20"/>
        </w:rPr>
        <w:t xml:space="preserve"> dokumentů</w:t>
      </w:r>
      <w:r w:rsidRPr="000818D2">
        <w:rPr>
          <w:i/>
          <w:sz w:val="20"/>
        </w:rPr>
        <w:t xml:space="preserve"> Integrovaný plán rozvoje území Zlín pro období 2014 – 2020, Strategie rozvoje Zlínského kraje 2030, seznam institucí webové stránky statutárního města Zlína a Krajského úřadu Zlínského kraje, obchodní rejstřík</w:t>
      </w:r>
      <w:r w:rsidR="0096633B">
        <w:rPr>
          <w:i/>
          <w:sz w:val="20"/>
        </w:rPr>
        <w:t>.</w:t>
      </w:r>
    </w:p>
    <w:p w14:paraId="5C2D9B6E" w14:textId="3A951867" w:rsidR="00A91C05" w:rsidRPr="000818D2" w:rsidRDefault="00A91C05" w:rsidP="00A91C05">
      <w:pPr>
        <w:pStyle w:val="Nadpis4"/>
      </w:pPr>
      <w:bookmarkStart w:id="757" w:name="_Toc46218671"/>
      <w:r w:rsidRPr="000818D2">
        <w:t>T</w:t>
      </w:r>
      <w:r w:rsidR="00CD1295" w:rsidRPr="000818D2">
        <w:t xml:space="preserve">ematická oblast </w:t>
      </w:r>
      <w:r w:rsidR="00CD1295">
        <w:t>D</w:t>
      </w:r>
      <w:r w:rsidR="00CD1295" w:rsidRPr="000818D2">
        <w:t>oprava a technická infrastruktura</w:t>
      </w:r>
      <w:bookmarkEnd w:id="757"/>
    </w:p>
    <w:p w14:paraId="5CB0B67B" w14:textId="77777777" w:rsidR="00A91C05" w:rsidRPr="000818D2" w:rsidRDefault="00A91C05" w:rsidP="00A91C05">
      <w:pPr>
        <w:rPr>
          <w:rFonts w:cstheme="minorHAnsi"/>
          <w:szCs w:val="20"/>
        </w:rPr>
      </w:pPr>
      <w:r w:rsidRPr="000818D2">
        <w:rPr>
          <w:rFonts w:cstheme="minorHAnsi"/>
          <w:szCs w:val="20"/>
        </w:rPr>
        <w:t>Hlavní témata:</w:t>
      </w:r>
    </w:p>
    <w:p w14:paraId="02557FA1"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silniční a železniční síť</w:t>
      </w:r>
    </w:p>
    <w:p w14:paraId="250DE908"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udržitelná městská mobilita</w:t>
      </w:r>
    </w:p>
    <w:p w14:paraId="21B18B76" w14:textId="77777777" w:rsidR="00A91C05" w:rsidRPr="000818D2" w:rsidRDefault="00A91C05" w:rsidP="006F3CC1">
      <w:pPr>
        <w:pStyle w:val="Odstavecseseznamem"/>
        <w:numPr>
          <w:ilvl w:val="0"/>
          <w:numId w:val="8"/>
        </w:numPr>
        <w:spacing w:before="0" w:after="240"/>
        <w:ind w:left="714" w:hanging="357"/>
        <w:rPr>
          <w:rFonts w:cstheme="minorHAnsi"/>
          <w:szCs w:val="20"/>
        </w:rPr>
      </w:pPr>
      <w:r w:rsidRPr="000818D2">
        <w:rPr>
          <w:rFonts w:cstheme="minorHAnsi"/>
          <w:szCs w:val="20"/>
        </w:rPr>
        <w:t>další technické sítě</w:t>
      </w:r>
    </w:p>
    <w:p w14:paraId="333FF726" w14:textId="7F9FCEE9" w:rsidR="00A91C05" w:rsidRPr="000818D2" w:rsidRDefault="00A91C05" w:rsidP="00A91C05">
      <w:pPr>
        <w:pStyle w:val="Titulek"/>
        <w:rPr>
          <w:rFonts w:cstheme="minorHAnsi"/>
          <w:szCs w:val="20"/>
        </w:rPr>
      </w:pPr>
      <w:bookmarkStart w:id="758" w:name="_Toc50549187"/>
      <w:bookmarkStart w:id="759" w:name="_Toc50989350"/>
      <w:bookmarkStart w:id="760" w:name="_Toc53388470"/>
      <w:bookmarkStart w:id="761" w:name="_Toc54702640"/>
      <w:bookmarkStart w:id="762" w:name="_Toc56179447"/>
      <w:bookmarkStart w:id="763" w:name="_Toc57731805"/>
      <w:bookmarkStart w:id="764" w:name="_Toc77074789"/>
      <w:r w:rsidRPr="000818D2">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26</w:t>
      </w:r>
      <w:r w:rsidR="00081B47">
        <w:rPr>
          <w:noProof/>
        </w:rPr>
        <w:fldChar w:fldCharType="end"/>
      </w:r>
      <w:r w:rsidR="0096633B">
        <w:rPr>
          <w:noProof/>
        </w:rPr>
        <w:t>:</w:t>
      </w:r>
      <w:r w:rsidRPr="000818D2">
        <w:t xml:space="preserve"> Seznam stakeholderů v oblas</w:t>
      </w:r>
      <w:r>
        <w:t>ti Doprava a technická infrastruktura</w:t>
      </w:r>
      <w:bookmarkEnd w:id="758"/>
      <w:bookmarkEnd w:id="759"/>
      <w:bookmarkEnd w:id="760"/>
      <w:bookmarkEnd w:id="761"/>
      <w:bookmarkEnd w:id="762"/>
      <w:bookmarkEnd w:id="763"/>
      <w:bookmarkEnd w:id="764"/>
    </w:p>
    <w:tbl>
      <w:tblPr>
        <w:tblStyle w:val="Svtltabulkasmkou13"/>
        <w:tblW w:w="9067" w:type="dxa"/>
        <w:tblLayout w:type="fixed"/>
        <w:tblLook w:val="04A0" w:firstRow="1" w:lastRow="0" w:firstColumn="1" w:lastColumn="0" w:noHBand="0" w:noVBand="1"/>
      </w:tblPr>
      <w:tblGrid>
        <w:gridCol w:w="704"/>
        <w:gridCol w:w="567"/>
        <w:gridCol w:w="7796"/>
      </w:tblGrid>
      <w:tr w:rsidR="00A91C05" w:rsidRPr="00A91C05" w14:paraId="08ED678C" w14:textId="77777777" w:rsidTr="00A91C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shd w:val="clear" w:color="auto" w:fill="BF8F00" w:themeFill="accent4" w:themeFillShade="BF"/>
          </w:tcPr>
          <w:p w14:paraId="40654AA5" w14:textId="77777777" w:rsidR="00A91C05" w:rsidRPr="00A91C05" w:rsidRDefault="00A91C05" w:rsidP="00A91C05">
            <w:pPr>
              <w:spacing w:before="0"/>
              <w:jc w:val="center"/>
              <w:rPr>
                <w:rFonts w:cstheme="minorHAnsi"/>
                <w:color w:val="000000" w:themeColor="text1"/>
              </w:rPr>
            </w:pPr>
            <w:r w:rsidRPr="00A91C05">
              <w:rPr>
                <w:rFonts w:cstheme="minorHAnsi"/>
                <w:color w:val="FFFFFF" w:themeColor="background1"/>
              </w:rPr>
              <w:t>DOPRAVA A TECHNICKÁ INFRASTRUKTURA</w:t>
            </w:r>
          </w:p>
        </w:tc>
      </w:tr>
      <w:tr w:rsidR="00A91C05" w:rsidRPr="00A91C05" w14:paraId="663516DE"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FFCE43"/>
            <w:textDirection w:val="btLr"/>
          </w:tcPr>
          <w:p w14:paraId="16AA23E7"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Veřejný sektor</w:t>
            </w:r>
          </w:p>
        </w:tc>
        <w:tc>
          <w:tcPr>
            <w:tcW w:w="567" w:type="dxa"/>
            <w:vMerge w:val="restart"/>
            <w:shd w:val="clear" w:color="auto" w:fill="FFCE43"/>
            <w:textDirection w:val="btLr"/>
          </w:tcPr>
          <w:p w14:paraId="183017AF"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796" w:type="dxa"/>
            <w:shd w:val="clear" w:color="auto" w:fill="D9D9D9" w:themeFill="background1" w:themeFillShade="D9"/>
          </w:tcPr>
          <w:p w14:paraId="080941FC"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Statutární město Zlín </w:t>
            </w:r>
          </w:p>
        </w:tc>
      </w:tr>
      <w:tr w:rsidR="00A91C05" w:rsidRPr="00A91C05" w14:paraId="7C58099D"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1DBB36F1"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32376B6E"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1321376D"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Zlínský kraj</w:t>
            </w:r>
          </w:p>
        </w:tc>
      </w:tr>
      <w:tr w:rsidR="00A91C05" w:rsidRPr="00A91C05" w14:paraId="4C318884"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5875D501"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3B7962B4"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3ACC56F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Dopravní společnost Zlín-Otrokovice, s.r.o. </w:t>
            </w:r>
          </w:p>
        </w:tc>
      </w:tr>
      <w:tr w:rsidR="00A91C05" w:rsidRPr="00A91C05" w14:paraId="274AC96A"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234F05AC"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29996988"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D725C45"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Krajská správa ČSÚ ve Zlíně</w:t>
            </w:r>
          </w:p>
        </w:tc>
      </w:tr>
      <w:tr w:rsidR="00A91C05" w:rsidRPr="00A91C05" w14:paraId="6EDFC97D"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7B1DB535"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3DBD99F5"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2DC80E77"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shd w:val="clear" w:color="auto" w:fill="D9D9D9" w:themeFill="background1" w:themeFillShade="D9"/>
              </w:rPr>
              <w:t>Ředitelství silnic Zlínského kraje</w:t>
            </w:r>
          </w:p>
        </w:tc>
      </w:tr>
      <w:tr w:rsidR="00A91C05" w:rsidRPr="00A91C05" w14:paraId="7DE67D0D"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1A41AD95"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64ACF9A1"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5AF180C9"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D9D9D9" w:themeFill="background1" w:themeFillShade="D9"/>
              </w:rPr>
            </w:pPr>
            <w:r w:rsidRPr="00A91C05">
              <w:rPr>
                <w:rFonts w:cstheme="minorHAnsi"/>
                <w:color w:val="000000" w:themeColor="text1"/>
                <w:shd w:val="clear" w:color="auto" w:fill="D9D9D9" w:themeFill="background1" w:themeFillShade="D9"/>
              </w:rPr>
              <w:t>KOVED, Koordinátor veřejné dopravy Zlínského kraje, s.r.o.</w:t>
            </w:r>
          </w:p>
        </w:tc>
      </w:tr>
      <w:tr w:rsidR="00A91C05" w:rsidRPr="00A91C05" w14:paraId="1D596EE8"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0E585A5B"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6E8F07A2"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0024C2FF"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Technické služby Zlín, s.r.o.</w:t>
            </w:r>
          </w:p>
        </w:tc>
      </w:tr>
      <w:tr w:rsidR="00A91C05" w:rsidRPr="00A91C05" w14:paraId="46FF4584"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0B006B97"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2A2C2F49"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7C1EDC88"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Teplo Zlín, a.s.</w:t>
            </w:r>
          </w:p>
        </w:tc>
      </w:tr>
      <w:tr w:rsidR="00A91C05" w:rsidRPr="00A91C05" w14:paraId="27EDE37C"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4A1AB963"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7E46DC09"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7F7433A3"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Vodovody a kanalizace Zlín, a.s.</w:t>
            </w:r>
          </w:p>
        </w:tc>
      </w:tr>
      <w:tr w:rsidR="00A91C05" w:rsidRPr="00A91C05" w14:paraId="6B1E15F0" w14:textId="77777777" w:rsidTr="00A91C05">
        <w:trPr>
          <w:trHeight w:hRule="exact" w:val="436"/>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6C3CDBD8"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75CAD877"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01DF35C2"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Univerzita Tomáše Bati ve Zlíně</w:t>
            </w:r>
          </w:p>
        </w:tc>
      </w:tr>
      <w:tr w:rsidR="00A91C05" w:rsidRPr="00A91C05" w14:paraId="3B86AFE5"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7C3C7672"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val="restart"/>
            <w:shd w:val="clear" w:color="auto" w:fill="FFCE43"/>
            <w:textDirection w:val="btLr"/>
          </w:tcPr>
          <w:p w14:paraId="3698F7AA"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Externí</w:t>
            </w:r>
          </w:p>
        </w:tc>
        <w:tc>
          <w:tcPr>
            <w:tcW w:w="7796" w:type="dxa"/>
            <w:shd w:val="clear" w:color="auto" w:fill="D9D9D9" w:themeFill="background1" w:themeFillShade="D9"/>
          </w:tcPr>
          <w:p w14:paraId="2561FF2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Ředitelství silnic a dálnic ČR - Správa Zlín</w:t>
            </w:r>
          </w:p>
        </w:tc>
      </w:tr>
      <w:tr w:rsidR="00A91C05" w:rsidRPr="00A91C05" w14:paraId="7E8FFDEB"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3916C287"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393182D2"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3B747A98"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Správa železnic, státní organizace </w:t>
            </w:r>
          </w:p>
        </w:tc>
      </w:tr>
      <w:tr w:rsidR="00A91C05" w:rsidRPr="00A91C05" w14:paraId="35CF9D6B"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750D255E"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145F70E0"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2C7A003E" w14:textId="77777777" w:rsidR="00A91C05" w:rsidRPr="00A91C05" w:rsidRDefault="00A91C05" w:rsidP="00A91C05">
            <w:pPr>
              <w:spacing w:before="0" w:after="120"/>
              <w:cnfStyle w:val="000000000000" w:firstRow="0" w:lastRow="0" w:firstColumn="0" w:lastColumn="0" w:oddVBand="0" w:evenVBand="0" w:oddHBand="0" w:evenHBand="0" w:firstRowFirstColumn="0" w:firstRowLastColumn="0" w:lastRowFirstColumn="0" w:lastRowLastColumn="0"/>
            </w:pPr>
            <w:r w:rsidRPr="00A91C05">
              <w:t>České dráhy, a.s., Generální ředitelství, Regionální obchodní centrum Zlín</w:t>
            </w:r>
          </w:p>
          <w:p w14:paraId="5F680D35"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A91C05" w:rsidRPr="00A91C05" w14:paraId="1C4408E3"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78D6F2AD"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6928CAC2"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5CF774AD" w14:textId="77777777" w:rsidR="00A91C05" w:rsidRPr="00A91C05" w:rsidRDefault="00A91C05" w:rsidP="00A91C05">
            <w:pPr>
              <w:spacing w:before="0" w:after="120"/>
              <w:cnfStyle w:val="000000000000" w:firstRow="0" w:lastRow="0" w:firstColumn="0" w:lastColumn="0" w:oddVBand="0" w:evenVBand="0" w:oddHBand="0" w:evenHBand="0" w:firstRowFirstColumn="0" w:firstRowLastColumn="0" w:lastRowFirstColumn="0" w:lastRowLastColumn="0"/>
            </w:pPr>
            <w:r w:rsidRPr="00A91C05">
              <w:rPr>
                <w:rFonts w:cstheme="minorHAnsi"/>
                <w:color w:val="000000" w:themeColor="text1"/>
              </w:rPr>
              <w:t>České dráhy, a.s. - Krajské centrum osobní dopravy Zlín</w:t>
            </w:r>
          </w:p>
        </w:tc>
      </w:tr>
      <w:tr w:rsidR="00A91C05" w:rsidRPr="00A91C05" w14:paraId="2466C218"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79159F7D" w14:textId="77777777" w:rsidR="00A91C05" w:rsidRPr="00A91C05" w:rsidRDefault="00A91C05" w:rsidP="00A91C05">
            <w:pPr>
              <w:spacing w:before="0"/>
              <w:ind w:left="113" w:right="113"/>
              <w:jc w:val="center"/>
              <w:rPr>
                <w:rFonts w:cstheme="minorHAnsi"/>
                <w:b w:val="0"/>
                <w:color w:val="000000" w:themeColor="text1"/>
              </w:rPr>
            </w:pPr>
          </w:p>
        </w:tc>
        <w:tc>
          <w:tcPr>
            <w:tcW w:w="567" w:type="dxa"/>
            <w:vMerge/>
            <w:shd w:val="clear" w:color="auto" w:fill="FFCE43"/>
            <w:textDirection w:val="btLr"/>
          </w:tcPr>
          <w:p w14:paraId="4D947300"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530C92C0" w14:textId="77777777" w:rsidR="00A91C05" w:rsidRPr="00A91C05" w:rsidRDefault="00A91C05" w:rsidP="00A91C05">
            <w:pPr>
              <w:spacing w:before="0" w:after="12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Energetická agentura Zlínského kraje</w:t>
            </w:r>
          </w:p>
        </w:tc>
      </w:tr>
      <w:tr w:rsidR="00A91C05" w:rsidRPr="00A91C05" w14:paraId="44339DA3"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1530CD3E" w14:textId="77777777" w:rsidR="00A91C05" w:rsidRPr="00A91C05" w:rsidRDefault="00A91C05" w:rsidP="00A91C05">
            <w:pPr>
              <w:spacing w:before="0"/>
              <w:rPr>
                <w:rFonts w:cstheme="minorHAnsi"/>
                <w:b w:val="0"/>
                <w:color w:val="000000" w:themeColor="text1"/>
              </w:rPr>
            </w:pPr>
          </w:p>
        </w:tc>
        <w:tc>
          <w:tcPr>
            <w:tcW w:w="567" w:type="dxa"/>
            <w:vMerge/>
            <w:shd w:val="clear" w:color="auto" w:fill="FFCE43"/>
          </w:tcPr>
          <w:p w14:paraId="0C3E71A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29BF5D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Centrála cestovního ruchu Východní Moravy, o.p.s. </w:t>
            </w:r>
          </w:p>
        </w:tc>
      </w:tr>
      <w:tr w:rsidR="00A91C05" w:rsidRPr="00A91C05" w14:paraId="4EDB5C47"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0B335035" w14:textId="77777777" w:rsidR="00A91C05" w:rsidRPr="00A91C05" w:rsidRDefault="00A91C05" w:rsidP="00A91C05">
            <w:pPr>
              <w:spacing w:before="0"/>
              <w:rPr>
                <w:rFonts w:cstheme="minorHAnsi"/>
                <w:b w:val="0"/>
                <w:color w:val="000000" w:themeColor="text1"/>
              </w:rPr>
            </w:pPr>
          </w:p>
        </w:tc>
        <w:tc>
          <w:tcPr>
            <w:tcW w:w="567" w:type="dxa"/>
            <w:vMerge/>
            <w:shd w:val="clear" w:color="auto" w:fill="FFCE43"/>
          </w:tcPr>
          <w:p w14:paraId="4A98BA8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03791A5"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Ředitelství vodních cest ČR</w:t>
            </w:r>
          </w:p>
        </w:tc>
      </w:tr>
      <w:tr w:rsidR="00A91C05" w:rsidRPr="00A91C05" w14:paraId="75F96A79"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506FFADD" w14:textId="77777777" w:rsidR="00A91C05" w:rsidRPr="00A91C05" w:rsidRDefault="00A91C05" w:rsidP="00A91C05">
            <w:pPr>
              <w:spacing w:before="0"/>
              <w:rPr>
                <w:rFonts w:cstheme="minorHAnsi"/>
                <w:b w:val="0"/>
                <w:color w:val="000000" w:themeColor="text1"/>
              </w:rPr>
            </w:pPr>
          </w:p>
        </w:tc>
        <w:tc>
          <w:tcPr>
            <w:tcW w:w="567" w:type="dxa"/>
            <w:vMerge/>
            <w:shd w:val="clear" w:color="auto" w:fill="FFCE43"/>
          </w:tcPr>
          <w:p w14:paraId="72F7DFC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2A50B9EC"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E.ON Distribuce, a.s.</w:t>
            </w:r>
          </w:p>
        </w:tc>
      </w:tr>
      <w:tr w:rsidR="00A91C05" w:rsidRPr="00A91C05" w14:paraId="127D3D1C" w14:textId="77777777" w:rsidTr="00A91C05">
        <w:trPr>
          <w:trHeight w:hRule="exact" w:val="28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7C7698B1" w14:textId="77777777" w:rsidR="00A91C05" w:rsidRPr="00A91C05" w:rsidRDefault="00A91C05" w:rsidP="00A91C05">
            <w:pPr>
              <w:spacing w:before="0"/>
              <w:rPr>
                <w:rFonts w:cstheme="minorHAnsi"/>
                <w:b w:val="0"/>
                <w:color w:val="000000" w:themeColor="text1"/>
              </w:rPr>
            </w:pPr>
          </w:p>
        </w:tc>
        <w:tc>
          <w:tcPr>
            <w:tcW w:w="567" w:type="dxa"/>
            <w:vMerge/>
            <w:shd w:val="clear" w:color="auto" w:fill="FFCE43"/>
          </w:tcPr>
          <w:p w14:paraId="6CCCBE8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5B52C9D"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ČD - Telematika a.s.</w:t>
            </w:r>
          </w:p>
        </w:tc>
      </w:tr>
      <w:tr w:rsidR="00A91C05" w:rsidRPr="00A91C05" w14:paraId="3AA68D1F"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FFCE43"/>
            <w:textDirection w:val="btLr"/>
          </w:tcPr>
          <w:p w14:paraId="699E05E1"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Podnikatelský sektor</w:t>
            </w:r>
          </w:p>
        </w:tc>
        <w:tc>
          <w:tcPr>
            <w:tcW w:w="567" w:type="dxa"/>
            <w:vMerge w:val="restart"/>
            <w:shd w:val="clear" w:color="auto" w:fill="FFCE43"/>
            <w:textDirection w:val="btLr"/>
          </w:tcPr>
          <w:p w14:paraId="6E54771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796" w:type="dxa"/>
            <w:shd w:val="clear" w:color="auto" w:fill="D9D9D9" w:themeFill="background1" w:themeFillShade="D9"/>
          </w:tcPr>
          <w:p w14:paraId="396A360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Krajská hospodářská komora Zlínského kraje</w:t>
            </w:r>
          </w:p>
        </w:tc>
      </w:tr>
      <w:tr w:rsidR="00A91C05" w:rsidRPr="00A91C05" w14:paraId="65429305"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2280A00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3B88D8A2"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BEB846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CREAM Real Estate, s.r.o.</w:t>
            </w:r>
          </w:p>
        </w:tc>
      </w:tr>
      <w:tr w:rsidR="00A91C05" w:rsidRPr="00A91C05" w14:paraId="7FA77938"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460F047A"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492B981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2877313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Kovárna VIVA, a.s.</w:t>
            </w:r>
          </w:p>
        </w:tc>
      </w:tr>
      <w:tr w:rsidR="00A91C05" w:rsidRPr="00A91C05" w14:paraId="198A5641"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56E257AC"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444A44EA"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7042A045" w14:textId="77777777" w:rsidR="00A91C05" w:rsidRPr="00A91C05" w:rsidRDefault="00A91C05" w:rsidP="00A91C05">
            <w:pPr>
              <w:spacing w:before="0" w:after="120"/>
              <w:cnfStyle w:val="000000000000" w:firstRow="0" w:lastRow="0" w:firstColumn="0" w:lastColumn="0" w:oddVBand="0" w:evenVBand="0" w:oddHBand="0" w:evenHBand="0" w:firstRowFirstColumn="0" w:firstRowLastColumn="0" w:lastRowFirstColumn="0" w:lastRowLastColumn="0"/>
            </w:pPr>
            <w:r w:rsidRPr="00A91C05">
              <w:t>E.ON Česká republika, s.r.o.</w:t>
            </w:r>
          </w:p>
          <w:p w14:paraId="470B5A0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A91C05" w:rsidRPr="00A91C05" w14:paraId="5F4FD59C"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6B1BB18F"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2077B2C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2B11A76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Moravská vodárenská, a.s.</w:t>
            </w:r>
          </w:p>
        </w:tc>
      </w:tr>
      <w:tr w:rsidR="00A91C05" w:rsidRPr="00A91C05" w14:paraId="51F1EE9F"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6D3CA95F"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4B3A8384"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1ED44F46"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Správa a údržba silnic Zlínska, s.r.o.</w:t>
            </w:r>
          </w:p>
        </w:tc>
      </w:tr>
      <w:tr w:rsidR="00A91C05" w:rsidRPr="00A91C05" w14:paraId="3E5A04F2"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495C1A76"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6D6FEC64"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9CCBC2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SPBAZ, družstvo</w:t>
            </w:r>
          </w:p>
        </w:tc>
      </w:tr>
      <w:tr w:rsidR="00A91C05" w:rsidRPr="00A91C05" w14:paraId="08F05DFF"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1E7C925B"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2C0769C1"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3370C98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HP TRONIC Zlín, spol. s.r.o.</w:t>
            </w:r>
          </w:p>
        </w:tc>
      </w:tr>
      <w:tr w:rsidR="00A91C05" w:rsidRPr="00A91C05" w14:paraId="70961BAC"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035D753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33657BC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74AEDE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CZECH STYLE, spol. s r.o.</w:t>
            </w:r>
          </w:p>
        </w:tc>
      </w:tr>
      <w:tr w:rsidR="00A91C05" w:rsidRPr="00A91C05" w14:paraId="61C54932"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49B0846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13D3507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2CC3775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Staviga CZ, s.r.o. stavební firma</w:t>
            </w:r>
          </w:p>
        </w:tc>
      </w:tr>
      <w:tr w:rsidR="00A91C05" w:rsidRPr="00A91C05" w14:paraId="3078BB9C"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6895FD25"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5D1D698E"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4C6742C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Stavosvit Zlín, s.r.o.</w:t>
            </w:r>
          </w:p>
        </w:tc>
      </w:tr>
      <w:tr w:rsidR="00A91C05" w:rsidRPr="00A91C05" w14:paraId="20336580"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22C20CD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097269C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05516F9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EB - stav, s.r.o.</w:t>
            </w:r>
          </w:p>
        </w:tc>
      </w:tr>
      <w:tr w:rsidR="00A91C05" w:rsidRPr="00A91C05" w14:paraId="0EBC2C7A"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6EC9B152"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4AA47E1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23870AF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MANAG, a.s.</w:t>
            </w:r>
          </w:p>
        </w:tc>
      </w:tr>
      <w:tr w:rsidR="00A91C05" w:rsidRPr="00A91C05" w14:paraId="340736AE"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64030522"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62E8C7C2"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17445896"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JMS Stavební, s.r.o.</w:t>
            </w:r>
          </w:p>
        </w:tc>
      </w:tr>
      <w:tr w:rsidR="00A91C05" w:rsidRPr="00A91C05" w14:paraId="3B8CB174"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13C96FEE"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31D7B23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3ADC96A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Euro C.T.S., s.r.o.</w:t>
            </w:r>
          </w:p>
        </w:tc>
      </w:tr>
      <w:tr w:rsidR="00A91C05" w:rsidRPr="00A91C05" w14:paraId="22B71250"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1F8083B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204A9FE9"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9E5749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DAS Transport, s.r.o.</w:t>
            </w:r>
          </w:p>
        </w:tc>
      </w:tr>
      <w:tr w:rsidR="00A91C05" w:rsidRPr="00A91C05" w14:paraId="43F79674"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64463CC9"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7596CDE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3566CDF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Autodoprava LS</w:t>
            </w:r>
          </w:p>
        </w:tc>
      </w:tr>
      <w:tr w:rsidR="00A91C05" w:rsidRPr="00A91C05" w14:paraId="713AABC9"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0C53BC4E"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036BBFDA"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7ABB48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Z-group, a.s.</w:t>
            </w:r>
          </w:p>
        </w:tc>
      </w:tr>
      <w:tr w:rsidR="00A91C05" w:rsidRPr="00A91C05" w14:paraId="57288843"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72DD360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2B6F90A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20C265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TELETECH Zlín, spol. s r. o.</w:t>
            </w:r>
          </w:p>
        </w:tc>
      </w:tr>
      <w:tr w:rsidR="00A91C05" w:rsidRPr="00A91C05" w14:paraId="1F67EF0D"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49006175"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2EA7ADA8"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71BDCBF0" w14:textId="77777777" w:rsidR="00A91C05" w:rsidRPr="00A91C05" w:rsidRDefault="00A91C05" w:rsidP="00A91C05">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TELEST, spol. s r.o.</w:t>
            </w:r>
          </w:p>
          <w:p w14:paraId="1945A216"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A91C05" w:rsidRPr="00A91C05" w14:paraId="2C914BCF"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714A7D04"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51AB049A"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28DC756B" w14:textId="77777777" w:rsidR="00A91C05" w:rsidRPr="00A91C05" w:rsidRDefault="00A91C05" w:rsidP="00A91C05">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Suntel Czech s.r.o.</w:t>
            </w:r>
          </w:p>
        </w:tc>
      </w:tr>
      <w:tr w:rsidR="00A91C05" w:rsidRPr="00A91C05" w14:paraId="21789194"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5D16180B"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33A541A7"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65D46D78" w14:textId="77777777" w:rsidR="00A91C05" w:rsidRPr="00A91C05" w:rsidRDefault="00A91C05" w:rsidP="00A91C05">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RM Gas S.r.o.</w:t>
            </w:r>
          </w:p>
        </w:tc>
      </w:tr>
      <w:tr w:rsidR="00A91C05" w:rsidRPr="00A91C05" w14:paraId="7A1FB060"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29758D58"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1DBC33C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tcPr>
          <w:p w14:paraId="581A0ADD"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Navláčil stavební firma, s.r.o.</w:t>
            </w:r>
          </w:p>
        </w:tc>
      </w:tr>
      <w:tr w:rsidR="00A91C05" w:rsidRPr="00A91C05" w14:paraId="7E04494D"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2CBE48E3" w14:textId="77777777" w:rsidR="00A91C05" w:rsidRPr="00A91C05" w:rsidRDefault="00A91C05" w:rsidP="00A91C05">
            <w:pPr>
              <w:spacing w:before="0"/>
              <w:ind w:left="113" w:right="113"/>
              <w:jc w:val="center"/>
              <w:rPr>
                <w:rFonts w:cstheme="minorHAnsi"/>
                <w:color w:val="000000" w:themeColor="text1"/>
              </w:rPr>
            </w:pPr>
          </w:p>
        </w:tc>
        <w:tc>
          <w:tcPr>
            <w:tcW w:w="567" w:type="dxa"/>
            <w:vMerge w:val="restart"/>
            <w:shd w:val="clear" w:color="auto" w:fill="FFCE43"/>
            <w:textDirection w:val="btLr"/>
          </w:tcPr>
          <w:p w14:paraId="1AFF099A"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ascii="Calibri" w:hAnsi="Calibri" w:cstheme="minorHAnsi"/>
                <w:b/>
                <w:color w:val="000000" w:themeColor="text1"/>
                <w:szCs w:val="24"/>
              </w:rPr>
              <w:t>Externí</w:t>
            </w:r>
          </w:p>
        </w:tc>
        <w:tc>
          <w:tcPr>
            <w:tcW w:w="7796" w:type="dxa"/>
            <w:shd w:val="clear" w:color="auto" w:fill="D9D9D9" w:themeFill="background1" w:themeFillShade="D9"/>
          </w:tcPr>
          <w:p w14:paraId="45202A5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Dopravní společnost Zlín-Otrokovice, s.r.o.</w:t>
            </w:r>
          </w:p>
        </w:tc>
      </w:tr>
      <w:tr w:rsidR="00A91C05" w:rsidRPr="00A91C05" w14:paraId="19F10CA9"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057D140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2A76DA9D"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szCs w:val="24"/>
              </w:rPr>
            </w:pPr>
          </w:p>
        </w:tc>
        <w:tc>
          <w:tcPr>
            <w:tcW w:w="7796" w:type="dxa"/>
          </w:tcPr>
          <w:p w14:paraId="2CAD931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ČSAD Vsetín a.s.</w:t>
            </w:r>
          </w:p>
        </w:tc>
      </w:tr>
      <w:tr w:rsidR="00A91C05" w:rsidRPr="00A91C05" w14:paraId="3F5C3719"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4F7F7C6C"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68D50A95"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szCs w:val="24"/>
              </w:rPr>
            </w:pPr>
          </w:p>
        </w:tc>
        <w:tc>
          <w:tcPr>
            <w:tcW w:w="7796" w:type="dxa"/>
          </w:tcPr>
          <w:p w14:paraId="5003DDA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ARRIVA Morava a.s.</w:t>
            </w:r>
          </w:p>
        </w:tc>
      </w:tr>
      <w:tr w:rsidR="00A91C05" w:rsidRPr="00A91C05" w14:paraId="5147717A"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extDirection w:val="btLr"/>
          </w:tcPr>
          <w:p w14:paraId="4FBAA095"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FCE43"/>
            <w:textDirection w:val="btLr"/>
          </w:tcPr>
          <w:p w14:paraId="45AF608D" w14:textId="77777777" w:rsidR="00A91C05" w:rsidRPr="00A91C05" w:rsidRDefault="00A91C05" w:rsidP="00A91C05">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szCs w:val="24"/>
              </w:rPr>
            </w:pPr>
          </w:p>
        </w:tc>
        <w:tc>
          <w:tcPr>
            <w:tcW w:w="7796" w:type="dxa"/>
          </w:tcPr>
          <w:p w14:paraId="7417D4B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Autodoprava LS</w:t>
            </w:r>
          </w:p>
        </w:tc>
      </w:tr>
      <w:tr w:rsidR="00A91C05" w:rsidRPr="00A91C05" w14:paraId="4A899C0C"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3CD933CE" w14:textId="77777777" w:rsidR="00A91C05" w:rsidRPr="00A91C05" w:rsidRDefault="00A91C05" w:rsidP="00A91C05">
            <w:pPr>
              <w:spacing w:before="0"/>
              <w:jc w:val="center"/>
              <w:rPr>
                <w:rFonts w:cstheme="minorHAnsi"/>
                <w:color w:val="000000" w:themeColor="text1"/>
              </w:rPr>
            </w:pPr>
          </w:p>
        </w:tc>
        <w:tc>
          <w:tcPr>
            <w:tcW w:w="567" w:type="dxa"/>
            <w:vMerge/>
            <w:shd w:val="clear" w:color="auto" w:fill="FFCE43"/>
          </w:tcPr>
          <w:p w14:paraId="73A5418C"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25D07E4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ZLIN AIRCRAFT a.s.</w:t>
            </w:r>
          </w:p>
        </w:tc>
      </w:tr>
      <w:tr w:rsidR="00A91C05" w:rsidRPr="00A91C05" w14:paraId="373B6B5F"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1C3456EC" w14:textId="77777777" w:rsidR="00A91C05" w:rsidRPr="00A91C05" w:rsidRDefault="00A91C05" w:rsidP="00A91C05">
            <w:pPr>
              <w:spacing w:before="0"/>
              <w:jc w:val="center"/>
              <w:rPr>
                <w:rFonts w:cstheme="minorHAnsi"/>
                <w:color w:val="000000" w:themeColor="text1"/>
              </w:rPr>
            </w:pPr>
          </w:p>
        </w:tc>
        <w:tc>
          <w:tcPr>
            <w:tcW w:w="567" w:type="dxa"/>
            <w:vMerge/>
            <w:shd w:val="clear" w:color="auto" w:fill="FFCE43"/>
          </w:tcPr>
          <w:p w14:paraId="1EF7580E"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11F9CD0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Neveřejné vnitrostátní letiště LKZL – Zlín</w:t>
            </w:r>
          </w:p>
        </w:tc>
      </w:tr>
      <w:tr w:rsidR="00A91C05" w:rsidRPr="00A91C05" w14:paraId="0CF7169E"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7D92EF94" w14:textId="77777777" w:rsidR="00A91C05" w:rsidRPr="00A91C05" w:rsidRDefault="00A91C05" w:rsidP="00A91C05">
            <w:pPr>
              <w:spacing w:before="0"/>
              <w:jc w:val="center"/>
              <w:rPr>
                <w:rFonts w:cstheme="minorHAnsi"/>
                <w:color w:val="000000" w:themeColor="text1"/>
              </w:rPr>
            </w:pPr>
          </w:p>
        </w:tc>
        <w:tc>
          <w:tcPr>
            <w:tcW w:w="567" w:type="dxa"/>
            <w:vMerge/>
            <w:shd w:val="clear" w:color="auto" w:fill="FFCE43"/>
          </w:tcPr>
          <w:p w14:paraId="08FDF954"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1252C90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SMO a.s.</w:t>
            </w:r>
          </w:p>
        </w:tc>
      </w:tr>
      <w:tr w:rsidR="00A91C05" w:rsidRPr="00A91C05" w14:paraId="4C6A135B"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7E2B75A6" w14:textId="77777777" w:rsidR="00A91C05" w:rsidRPr="00A91C05" w:rsidRDefault="00A91C05" w:rsidP="00A91C05">
            <w:pPr>
              <w:spacing w:before="0"/>
              <w:jc w:val="center"/>
              <w:rPr>
                <w:rFonts w:cstheme="minorHAnsi"/>
                <w:color w:val="000000" w:themeColor="text1"/>
              </w:rPr>
            </w:pPr>
          </w:p>
        </w:tc>
        <w:tc>
          <w:tcPr>
            <w:tcW w:w="567" w:type="dxa"/>
            <w:vMerge/>
            <w:shd w:val="clear" w:color="auto" w:fill="FFCE43"/>
          </w:tcPr>
          <w:p w14:paraId="644D61BB"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FFFFFF" w:themeFill="background1"/>
          </w:tcPr>
          <w:p w14:paraId="07AB29A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t>Teplárna Kladno s.r.o.</w:t>
            </w:r>
          </w:p>
        </w:tc>
      </w:tr>
      <w:tr w:rsidR="00A91C05" w:rsidRPr="00A91C05" w14:paraId="192FF438"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FFCE43"/>
            <w:textDirection w:val="btLr"/>
          </w:tcPr>
          <w:p w14:paraId="1C757788"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Občanská společnost</w:t>
            </w:r>
          </w:p>
        </w:tc>
        <w:tc>
          <w:tcPr>
            <w:tcW w:w="567" w:type="dxa"/>
            <w:vMerge w:val="restart"/>
            <w:shd w:val="clear" w:color="auto" w:fill="FFCE43"/>
            <w:textDirection w:val="btLr"/>
          </w:tcPr>
          <w:p w14:paraId="61775E57"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796" w:type="dxa"/>
            <w:shd w:val="clear" w:color="auto" w:fill="FFFFFF" w:themeFill="background1"/>
          </w:tcPr>
          <w:p w14:paraId="3B6B29D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Děti země</w:t>
            </w:r>
          </w:p>
        </w:tc>
      </w:tr>
      <w:tr w:rsidR="00A91C05" w:rsidRPr="00A91C05" w14:paraId="04705321"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5FB8D226" w14:textId="77777777" w:rsidR="00A91C05" w:rsidRPr="00A91C05" w:rsidRDefault="00A91C05" w:rsidP="00A91C05">
            <w:pPr>
              <w:spacing w:before="0"/>
              <w:rPr>
                <w:rFonts w:cstheme="minorHAnsi"/>
                <w:color w:val="000000" w:themeColor="text1"/>
              </w:rPr>
            </w:pPr>
          </w:p>
        </w:tc>
        <w:tc>
          <w:tcPr>
            <w:tcW w:w="567" w:type="dxa"/>
            <w:vMerge/>
            <w:shd w:val="clear" w:color="auto" w:fill="FFCE43"/>
            <w:textDirection w:val="btLr"/>
          </w:tcPr>
          <w:p w14:paraId="5062D26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7A2F522C"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Hnutí DUHA</w:t>
            </w:r>
          </w:p>
        </w:tc>
      </w:tr>
      <w:tr w:rsidR="00A91C05" w:rsidRPr="00A91C05" w14:paraId="27E54F20"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6431D740" w14:textId="77777777" w:rsidR="00A91C05" w:rsidRPr="00A91C05" w:rsidRDefault="00A91C05" w:rsidP="00A91C05">
            <w:pPr>
              <w:spacing w:before="0"/>
              <w:rPr>
                <w:rFonts w:cstheme="minorHAnsi"/>
                <w:color w:val="000000" w:themeColor="text1"/>
              </w:rPr>
            </w:pPr>
          </w:p>
        </w:tc>
        <w:tc>
          <w:tcPr>
            <w:tcW w:w="567" w:type="dxa"/>
            <w:vMerge/>
            <w:shd w:val="clear" w:color="auto" w:fill="FFCE43"/>
            <w:textDirection w:val="btLr"/>
          </w:tcPr>
          <w:p w14:paraId="671BB04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2C468190"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Sdružení pro rozvoj Zlínského kraje </w:t>
            </w:r>
          </w:p>
        </w:tc>
      </w:tr>
      <w:tr w:rsidR="00A91C05" w:rsidRPr="00A91C05" w14:paraId="736FF117"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231941FD" w14:textId="77777777" w:rsidR="00A91C05" w:rsidRPr="00A91C05" w:rsidRDefault="00A91C05" w:rsidP="00A91C05">
            <w:pPr>
              <w:spacing w:before="0"/>
              <w:rPr>
                <w:rFonts w:cstheme="minorHAnsi"/>
                <w:color w:val="000000" w:themeColor="text1"/>
              </w:rPr>
            </w:pPr>
          </w:p>
        </w:tc>
        <w:tc>
          <w:tcPr>
            <w:tcW w:w="567" w:type="dxa"/>
            <w:vMerge/>
            <w:shd w:val="clear" w:color="auto" w:fill="FFCE43"/>
            <w:textDirection w:val="btLr"/>
          </w:tcPr>
          <w:p w14:paraId="1B0545B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344FC61C"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CykloZLÍN - Iniciativa cyklistů pro Zlínský kraj CykloZLÍN</w:t>
            </w:r>
          </w:p>
        </w:tc>
      </w:tr>
      <w:tr w:rsidR="00A91C05" w:rsidRPr="00A91C05" w14:paraId="4FB8ED47"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28810627" w14:textId="77777777" w:rsidR="00A91C05" w:rsidRPr="00A91C05" w:rsidRDefault="00A91C05" w:rsidP="00A91C05">
            <w:pPr>
              <w:spacing w:before="0"/>
              <w:rPr>
                <w:rFonts w:cstheme="minorHAnsi"/>
                <w:color w:val="000000" w:themeColor="text1"/>
              </w:rPr>
            </w:pPr>
          </w:p>
        </w:tc>
        <w:tc>
          <w:tcPr>
            <w:tcW w:w="567" w:type="dxa"/>
            <w:vMerge w:val="restart"/>
            <w:shd w:val="clear" w:color="auto" w:fill="FFCE43"/>
            <w:textDirection w:val="btLr"/>
          </w:tcPr>
          <w:p w14:paraId="78D5D75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ascii="Calibri" w:hAnsi="Calibri" w:cstheme="minorHAnsi"/>
                <w:b/>
                <w:color w:val="000000" w:themeColor="text1"/>
                <w:szCs w:val="24"/>
              </w:rPr>
              <w:t>Externí</w:t>
            </w:r>
          </w:p>
        </w:tc>
        <w:tc>
          <w:tcPr>
            <w:tcW w:w="7796" w:type="dxa"/>
          </w:tcPr>
          <w:p w14:paraId="3EB20D6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Region Bílé Karpaty</w:t>
            </w:r>
          </w:p>
        </w:tc>
      </w:tr>
      <w:tr w:rsidR="00A91C05" w:rsidRPr="00A91C05" w14:paraId="7F9C2542"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047393DD" w14:textId="77777777" w:rsidR="00A91C05" w:rsidRPr="00A91C05" w:rsidRDefault="00A91C05" w:rsidP="00A91C05">
            <w:pPr>
              <w:spacing w:before="0"/>
              <w:rPr>
                <w:rFonts w:cstheme="minorHAnsi"/>
                <w:color w:val="000000" w:themeColor="text1"/>
              </w:rPr>
            </w:pPr>
          </w:p>
        </w:tc>
        <w:tc>
          <w:tcPr>
            <w:tcW w:w="567" w:type="dxa"/>
            <w:vMerge/>
            <w:shd w:val="clear" w:color="auto" w:fill="FFCE43"/>
            <w:textDirection w:val="btLr"/>
          </w:tcPr>
          <w:p w14:paraId="60FC3B4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477C1E1D"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Sdružení pro rozvoj dopravní infrastruktury na Moravě </w:t>
            </w:r>
          </w:p>
        </w:tc>
      </w:tr>
      <w:tr w:rsidR="00A91C05" w:rsidRPr="00A91C05" w14:paraId="29305C79"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244E564E" w14:textId="77777777" w:rsidR="00A91C05" w:rsidRPr="00A91C05" w:rsidRDefault="00A91C05" w:rsidP="00A91C05">
            <w:pPr>
              <w:spacing w:before="0"/>
              <w:rPr>
                <w:rFonts w:cstheme="minorHAnsi"/>
                <w:color w:val="000000" w:themeColor="text1"/>
              </w:rPr>
            </w:pPr>
          </w:p>
        </w:tc>
        <w:tc>
          <w:tcPr>
            <w:tcW w:w="567" w:type="dxa"/>
            <w:vMerge/>
            <w:shd w:val="clear" w:color="auto" w:fill="FFCE43"/>
            <w:textDirection w:val="btLr"/>
          </w:tcPr>
          <w:p w14:paraId="6C51B59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15B05818"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Sdružení pro rozvoj Baťova kanálu Povodí Moravy, s.p.</w:t>
            </w:r>
          </w:p>
        </w:tc>
      </w:tr>
      <w:tr w:rsidR="00A91C05" w:rsidRPr="00A91C05" w14:paraId="5EFCAD12"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FCE43"/>
          </w:tcPr>
          <w:p w14:paraId="3F5859EF" w14:textId="77777777" w:rsidR="00A91C05" w:rsidRPr="00A91C05" w:rsidRDefault="00A91C05" w:rsidP="00A91C05">
            <w:pPr>
              <w:spacing w:before="0"/>
              <w:rPr>
                <w:rFonts w:cstheme="minorHAnsi"/>
                <w:color w:val="000000" w:themeColor="text1"/>
              </w:rPr>
            </w:pPr>
          </w:p>
        </w:tc>
        <w:tc>
          <w:tcPr>
            <w:tcW w:w="567" w:type="dxa"/>
            <w:vMerge/>
            <w:shd w:val="clear" w:color="auto" w:fill="FFCE43"/>
            <w:textDirection w:val="btLr"/>
          </w:tcPr>
          <w:p w14:paraId="3B7F06B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13312247"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ascii="Calibri" w:hAnsi="Calibri" w:cs="Calibri"/>
                <w:color w:val="000000"/>
                <w:szCs w:val="24"/>
              </w:rPr>
              <w:t>Partnerství pro městskou mobilitu</w:t>
            </w:r>
          </w:p>
        </w:tc>
      </w:tr>
    </w:tbl>
    <w:p w14:paraId="4A0CD9B9" w14:textId="75F16330" w:rsidR="00A91C05" w:rsidRPr="000818D2" w:rsidRDefault="00A91C05" w:rsidP="00A91C05">
      <w:pPr>
        <w:rPr>
          <w:i/>
          <w:sz w:val="20"/>
        </w:rPr>
      </w:pPr>
      <w:r w:rsidRPr="000818D2">
        <w:rPr>
          <w:i/>
          <w:sz w:val="20"/>
        </w:rPr>
        <w:t xml:space="preserve">Zdroj: </w:t>
      </w:r>
      <w:r w:rsidR="0096633B">
        <w:rPr>
          <w:i/>
          <w:sz w:val="20"/>
        </w:rPr>
        <w:t>V</w:t>
      </w:r>
      <w:r w:rsidRPr="000818D2">
        <w:rPr>
          <w:i/>
          <w:sz w:val="20"/>
        </w:rPr>
        <w:t>lastní zpracování dle</w:t>
      </w:r>
      <w:r w:rsidR="0096633B">
        <w:rPr>
          <w:i/>
          <w:sz w:val="20"/>
        </w:rPr>
        <w:t xml:space="preserve"> dokumentů</w:t>
      </w:r>
      <w:r w:rsidRPr="000818D2">
        <w:rPr>
          <w:i/>
          <w:sz w:val="20"/>
        </w:rPr>
        <w:t xml:space="preserve"> Integrovaný plán rozvoje území Zlín pro období 2014 – 2020, Strategie rozvoje Zlínského kraje 2030, seznam institucí webové stránky statutárního města Zlína a Krajského úřadu Zlínského kraje, obchodní rejstřík</w:t>
      </w:r>
      <w:r w:rsidR="0096633B">
        <w:rPr>
          <w:i/>
          <w:sz w:val="20"/>
        </w:rPr>
        <w:t>.</w:t>
      </w:r>
    </w:p>
    <w:p w14:paraId="6A09681E" w14:textId="464FD193" w:rsidR="00A91C05" w:rsidRPr="000818D2" w:rsidRDefault="00A91C05" w:rsidP="00A91C05">
      <w:pPr>
        <w:pStyle w:val="Nadpis4"/>
      </w:pPr>
      <w:bookmarkStart w:id="765" w:name="_Toc46218672"/>
      <w:r w:rsidRPr="000818D2">
        <w:t>T</w:t>
      </w:r>
      <w:r w:rsidR="00CD1295" w:rsidRPr="000818D2">
        <w:t xml:space="preserve">ematická oblast </w:t>
      </w:r>
      <w:r w:rsidR="00CD1295">
        <w:t>Ú</w:t>
      </w:r>
      <w:r w:rsidR="00CD1295" w:rsidRPr="000818D2">
        <w:t>zemní plánování a urbanismus</w:t>
      </w:r>
      <w:bookmarkEnd w:id="765"/>
    </w:p>
    <w:p w14:paraId="05EC45E8" w14:textId="77777777" w:rsidR="00A91C05" w:rsidRPr="000818D2" w:rsidRDefault="00A91C05" w:rsidP="00A91C05">
      <w:pPr>
        <w:rPr>
          <w:rFonts w:cstheme="minorHAnsi"/>
          <w:szCs w:val="20"/>
        </w:rPr>
      </w:pPr>
      <w:r w:rsidRPr="000818D2">
        <w:rPr>
          <w:rFonts w:cstheme="minorHAnsi"/>
          <w:szCs w:val="20"/>
        </w:rPr>
        <w:t>Hlavní témata:</w:t>
      </w:r>
    </w:p>
    <w:p w14:paraId="5442842F"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vytváření podmínek pro vznik lokalit pro rozvoj různých forem podnikání s důrazem na podnikání s vysokou přidanou hodnotou</w:t>
      </w:r>
    </w:p>
    <w:p w14:paraId="16D5F40A"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bydlení</w:t>
      </w:r>
    </w:p>
    <w:p w14:paraId="28FFEBDE"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veřejná prostranství</w:t>
      </w:r>
    </w:p>
    <w:p w14:paraId="7D085B04"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zeleň</w:t>
      </w:r>
    </w:p>
    <w:p w14:paraId="4498B192"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výšková omezení</w:t>
      </w:r>
    </w:p>
    <w:p w14:paraId="30E11777" w14:textId="77777777" w:rsidR="00A91C05" w:rsidRPr="000818D2" w:rsidRDefault="00A91C05" w:rsidP="006F3CC1">
      <w:pPr>
        <w:pStyle w:val="Odstavecseseznamem"/>
        <w:numPr>
          <w:ilvl w:val="0"/>
          <w:numId w:val="8"/>
        </w:numPr>
        <w:spacing w:before="0" w:after="240"/>
        <w:ind w:left="714" w:hanging="357"/>
        <w:rPr>
          <w:rFonts w:cstheme="minorHAnsi"/>
          <w:szCs w:val="20"/>
        </w:rPr>
      </w:pPr>
      <w:r w:rsidRPr="000818D2">
        <w:rPr>
          <w:rFonts w:cstheme="minorHAnsi"/>
          <w:szCs w:val="20"/>
        </w:rPr>
        <w:t>plochy pro plošnou a liniovou infrastrukturu</w:t>
      </w:r>
    </w:p>
    <w:p w14:paraId="464DF983" w14:textId="132B35E4" w:rsidR="00A91C05" w:rsidRPr="000818D2" w:rsidRDefault="00A91C05" w:rsidP="00820C9F">
      <w:pPr>
        <w:pStyle w:val="Titulek"/>
        <w:keepNext/>
        <w:keepLines/>
        <w:rPr>
          <w:rFonts w:cstheme="minorHAnsi"/>
          <w:szCs w:val="20"/>
        </w:rPr>
      </w:pPr>
      <w:bookmarkStart w:id="766" w:name="_Toc50549188"/>
      <w:bookmarkStart w:id="767" w:name="_Toc50989351"/>
      <w:bookmarkStart w:id="768" w:name="_Toc53388471"/>
      <w:bookmarkStart w:id="769" w:name="_Toc54702641"/>
      <w:bookmarkStart w:id="770" w:name="_Toc56179448"/>
      <w:bookmarkStart w:id="771" w:name="_Toc57731806"/>
      <w:bookmarkStart w:id="772" w:name="_Toc77074790"/>
      <w:r w:rsidRPr="000818D2">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27</w:t>
      </w:r>
      <w:r w:rsidR="00081B47">
        <w:rPr>
          <w:noProof/>
        </w:rPr>
        <w:fldChar w:fldCharType="end"/>
      </w:r>
      <w:r w:rsidR="0096633B">
        <w:rPr>
          <w:noProof/>
        </w:rPr>
        <w:t>:</w:t>
      </w:r>
      <w:r w:rsidRPr="000818D2">
        <w:t xml:space="preserve"> Seznam stakeholderů v oblasti Územní plánování a urbanismus</w:t>
      </w:r>
      <w:bookmarkEnd w:id="766"/>
      <w:bookmarkEnd w:id="767"/>
      <w:bookmarkEnd w:id="768"/>
      <w:bookmarkEnd w:id="769"/>
      <w:bookmarkEnd w:id="770"/>
      <w:bookmarkEnd w:id="771"/>
      <w:bookmarkEnd w:id="772"/>
    </w:p>
    <w:tbl>
      <w:tblPr>
        <w:tblStyle w:val="Svtltabulkasmkou14"/>
        <w:tblW w:w="9067" w:type="dxa"/>
        <w:tblLayout w:type="fixed"/>
        <w:tblLook w:val="04A0" w:firstRow="1" w:lastRow="0" w:firstColumn="1" w:lastColumn="0" w:noHBand="0" w:noVBand="1"/>
      </w:tblPr>
      <w:tblGrid>
        <w:gridCol w:w="704"/>
        <w:gridCol w:w="567"/>
        <w:gridCol w:w="7796"/>
      </w:tblGrid>
      <w:tr w:rsidR="00A91C05" w:rsidRPr="00A91C05" w14:paraId="141713B4" w14:textId="77777777" w:rsidTr="00A91C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shd w:val="clear" w:color="auto" w:fill="C45911" w:themeFill="accent2" w:themeFillShade="BF"/>
          </w:tcPr>
          <w:p w14:paraId="410C68A3" w14:textId="77777777" w:rsidR="00A91C05" w:rsidRPr="00A91C05" w:rsidRDefault="00A91C05" w:rsidP="00820C9F">
            <w:pPr>
              <w:keepNext/>
              <w:spacing w:before="0"/>
              <w:jc w:val="center"/>
              <w:rPr>
                <w:rFonts w:cstheme="minorHAnsi"/>
                <w:color w:val="000000" w:themeColor="text1"/>
              </w:rPr>
            </w:pPr>
            <w:r w:rsidRPr="00A91C05">
              <w:rPr>
                <w:rFonts w:cstheme="minorHAnsi"/>
                <w:color w:val="FFFFFF" w:themeColor="background1"/>
              </w:rPr>
              <w:t>ÚZEMNÍ PLÁNOVÁNÍ A URBANISMUS</w:t>
            </w:r>
          </w:p>
        </w:tc>
      </w:tr>
      <w:tr w:rsidR="00A91C05" w:rsidRPr="00A91C05" w14:paraId="279B6A31"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F7CAAC" w:themeFill="accent2" w:themeFillTint="66"/>
            <w:textDirection w:val="btLr"/>
          </w:tcPr>
          <w:p w14:paraId="545B95BD" w14:textId="77777777" w:rsidR="00A91C05" w:rsidRPr="00A91C05" w:rsidRDefault="00A91C05" w:rsidP="00820C9F">
            <w:pPr>
              <w:keepNext/>
              <w:spacing w:before="0"/>
              <w:ind w:left="113" w:right="113"/>
              <w:jc w:val="center"/>
              <w:rPr>
                <w:rFonts w:cstheme="minorHAnsi"/>
                <w:b w:val="0"/>
                <w:color w:val="000000" w:themeColor="text1"/>
              </w:rPr>
            </w:pPr>
            <w:r w:rsidRPr="00A91C05">
              <w:rPr>
                <w:rFonts w:cstheme="minorHAnsi"/>
                <w:color w:val="000000" w:themeColor="text1"/>
              </w:rPr>
              <w:t>Veřejný sektor</w:t>
            </w:r>
          </w:p>
        </w:tc>
        <w:tc>
          <w:tcPr>
            <w:tcW w:w="567" w:type="dxa"/>
            <w:vMerge w:val="restart"/>
            <w:shd w:val="clear" w:color="auto" w:fill="F7CAAC" w:themeFill="accent2" w:themeFillTint="66"/>
            <w:textDirection w:val="btLr"/>
          </w:tcPr>
          <w:p w14:paraId="588C5A16" w14:textId="77777777" w:rsidR="00A91C05" w:rsidRPr="00A91C05" w:rsidRDefault="00A91C05" w:rsidP="00820C9F">
            <w:pPr>
              <w:keepNext/>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p w14:paraId="1B68E373" w14:textId="77777777" w:rsidR="00A91C05" w:rsidRPr="00A91C05" w:rsidRDefault="00A91C05" w:rsidP="00820C9F">
            <w:pPr>
              <w:keepNext/>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p w14:paraId="21EA6402" w14:textId="77777777" w:rsidR="00A91C05" w:rsidRPr="00A91C05" w:rsidRDefault="00A91C05" w:rsidP="00820C9F">
            <w:pPr>
              <w:keepNext/>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380B612A" w14:textId="77777777" w:rsidR="00A91C05" w:rsidRPr="00A91C05" w:rsidRDefault="00A91C05" w:rsidP="00820C9F">
            <w:pPr>
              <w:keepNext/>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Statutární město Zlín</w:t>
            </w:r>
          </w:p>
        </w:tc>
      </w:tr>
      <w:tr w:rsidR="00A91C05" w:rsidRPr="00A91C05" w14:paraId="6E224FF5"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10459CCA" w14:textId="77777777" w:rsidR="00A91C05" w:rsidRPr="00A91C05" w:rsidRDefault="00A91C05" w:rsidP="00820C9F">
            <w:pPr>
              <w:keepNext/>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599CB3B1" w14:textId="77777777" w:rsidR="00A91C05" w:rsidRPr="00A91C05" w:rsidRDefault="00A91C05" w:rsidP="00820C9F">
            <w:pPr>
              <w:keepNext/>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0CECE" w:themeFill="background2" w:themeFillShade="E6"/>
          </w:tcPr>
          <w:p w14:paraId="6BA683FC" w14:textId="77777777" w:rsidR="00A91C05" w:rsidRPr="00A91C05" w:rsidRDefault="00A91C05" w:rsidP="00820C9F">
            <w:pPr>
              <w:keepNext/>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Zlínský kraj</w:t>
            </w:r>
          </w:p>
        </w:tc>
      </w:tr>
      <w:tr w:rsidR="00A91C05" w:rsidRPr="00A91C05" w14:paraId="4BFD3A68"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35625C1F"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1974DD51"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335B2DEA"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Katastrální úřad pro Zlínský kraj, Katastrální pracoviště Zlín</w:t>
            </w:r>
          </w:p>
        </w:tc>
      </w:tr>
      <w:tr w:rsidR="00A91C05" w:rsidRPr="00A91C05" w14:paraId="0CDB015E"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4CB67DCC"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1004E908"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276C9D4B"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Nemovitosti města Zlína, spol. s r.o.</w:t>
            </w:r>
          </w:p>
        </w:tc>
      </w:tr>
      <w:tr w:rsidR="00A91C05" w:rsidRPr="00A91C05" w14:paraId="49496D85" w14:textId="77777777" w:rsidTr="00A91C05">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48D032B0"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763564F9"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796F98E4"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Agentura pro podporu podnikání a investic CzechInvest - Regionální kancelář pro Zlínský kraj</w:t>
            </w:r>
          </w:p>
        </w:tc>
      </w:tr>
      <w:tr w:rsidR="00A91C05" w:rsidRPr="00A91C05" w14:paraId="44587817"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20FB698D"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680CFEB7"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5594B109"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Správa domů Zlín, spol. s r.o.</w:t>
            </w:r>
          </w:p>
        </w:tc>
      </w:tr>
      <w:tr w:rsidR="00A91C05" w:rsidRPr="00A91C05" w14:paraId="74662512"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1103F1AF"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5F5B8C8E"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tcPr>
          <w:p w14:paraId="562C1673"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Bytové družstvo Podlesí</w:t>
            </w:r>
          </w:p>
        </w:tc>
      </w:tr>
      <w:tr w:rsidR="00A91C05" w:rsidRPr="00A91C05" w14:paraId="42F9538F"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0DA927F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2D6DFA88"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6F30ECCC"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Lesy města Zlína, spol. s r.o.</w:t>
            </w:r>
          </w:p>
        </w:tc>
      </w:tr>
      <w:tr w:rsidR="00A91C05" w:rsidRPr="00A91C05" w14:paraId="61A6A20B" w14:textId="77777777" w:rsidTr="00A91C05">
        <w:trPr>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72075BC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1F57EDE8"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D9D9D9" w:themeFill="background1" w:themeFillShade="D9"/>
          </w:tcPr>
          <w:p w14:paraId="0B4E9B40"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Univerzita Tomáše Bati ve Zlíně</w:t>
            </w:r>
          </w:p>
        </w:tc>
      </w:tr>
      <w:tr w:rsidR="00A91C05" w:rsidRPr="00A91C05" w14:paraId="452F0782" w14:textId="77777777" w:rsidTr="00A91C05">
        <w:trPr>
          <w:cantSplit/>
          <w:trHeight w:val="528"/>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50A357E3" w14:textId="77777777" w:rsidR="00A91C05" w:rsidRPr="00A91C05" w:rsidRDefault="00A91C05" w:rsidP="00A91C05">
            <w:pPr>
              <w:spacing w:before="0"/>
              <w:ind w:left="113" w:right="113"/>
              <w:jc w:val="center"/>
              <w:rPr>
                <w:rFonts w:cstheme="minorHAnsi"/>
                <w:color w:val="000000" w:themeColor="text1"/>
              </w:rPr>
            </w:pPr>
          </w:p>
        </w:tc>
        <w:tc>
          <w:tcPr>
            <w:tcW w:w="567" w:type="dxa"/>
            <w:vMerge w:val="restart"/>
            <w:shd w:val="clear" w:color="auto" w:fill="F7CAAC" w:themeFill="accent2" w:themeFillTint="66"/>
            <w:textDirection w:val="btLr"/>
          </w:tcPr>
          <w:p w14:paraId="256F7BC7"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b/>
                <w:color w:val="000000" w:themeColor="text1"/>
              </w:rPr>
              <w:t>Externí</w:t>
            </w:r>
          </w:p>
        </w:tc>
        <w:tc>
          <w:tcPr>
            <w:tcW w:w="7796" w:type="dxa"/>
            <w:shd w:val="clear" w:color="auto" w:fill="D9D9D9" w:themeFill="background1" w:themeFillShade="D9"/>
          </w:tcPr>
          <w:p w14:paraId="40EC52BE"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rPr>
              <w:t>Národní památkový ústav - Územní odborné pracoviště v Kroměříži</w:t>
            </w:r>
            <w:r w:rsidRPr="00A91C05">
              <w:rPr>
                <w:rFonts w:cstheme="minorHAnsi"/>
              </w:rPr>
              <w:tab/>
            </w:r>
          </w:p>
        </w:tc>
      </w:tr>
      <w:tr w:rsidR="00A91C05" w:rsidRPr="00A91C05" w14:paraId="717805F5" w14:textId="77777777" w:rsidTr="00A91C05">
        <w:trPr>
          <w:cantSplit/>
          <w:trHeight w:val="419"/>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383FE0D1"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05A07C8F"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78D72A20"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t>Povodí Moravy, s.p.</w:t>
            </w:r>
          </w:p>
        </w:tc>
      </w:tr>
      <w:tr w:rsidR="00A91C05" w:rsidRPr="00A91C05" w14:paraId="524E9954"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F7CAAC" w:themeFill="accent2" w:themeFillTint="66"/>
            <w:textDirection w:val="btLr"/>
          </w:tcPr>
          <w:p w14:paraId="24897D6B"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Podnikatelský sektor</w:t>
            </w:r>
          </w:p>
        </w:tc>
        <w:tc>
          <w:tcPr>
            <w:tcW w:w="567" w:type="dxa"/>
            <w:vMerge w:val="restart"/>
            <w:shd w:val="clear" w:color="auto" w:fill="F7CAAC" w:themeFill="accent2" w:themeFillTint="66"/>
            <w:textDirection w:val="btLr"/>
          </w:tcPr>
          <w:p w14:paraId="499D3DA0"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796" w:type="dxa"/>
            <w:shd w:val="clear" w:color="auto" w:fill="D9D9D9" w:themeFill="background1" w:themeFillShade="D9"/>
          </w:tcPr>
          <w:p w14:paraId="3051EF1B"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pPr>
            <w:r w:rsidRPr="00A91C05">
              <w:t>Downtown Invest s.r.o.</w:t>
            </w:r>
          </w:p>
        </w:tc>
      </w:tr>
      <w:tr w:rsidR="00A91C05" w:rsidRPr="00A91C05" w14:paraId="24042FFC"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2C5D0009"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06D72EEB"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082F9217"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pPr>
            <w:r w:rsidRPr="00A91C05">
              <w:t>ateliér CHLÁDEK ARCHITEKTI</w:t>
            </w:r>
          </w:p>
        </w:tc>
      </w:tr>
      <w:tr w:rsidR="00A91C05" w:rsidRPr="00A91C05" w14:paraId="215FBD55"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4FB18FCB"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69E62FE4"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3EC8332B"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pPr>
            <w:r w:rsidRPr="00A91C05">
              <w:t>CREAM Real Estate, s.r.o.</w:t>
            </w:r>
          </w:p>
        </w:tc>
      </w:tr>
      <w:tr w:rsidR="00A91C05" w:rsidRPr="00A91C05" w14:paraId="39D23CD9"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70EF2F02"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22EB445B"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36AA2ECD"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OBZOR, výrobní družstvo Zlín</w:t>
            </w:r>
          </w:p>
        </w:tc>
      </w:tr>
      <w:tr w:rsidR="00A91C05" w:rsidRPr="00A91C05" w14:paraId="2BF8D08E"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51752A85"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16ED1A6B"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211B3624"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Navláčil stavební firma, s.r.o.</w:t>
            </w:r>
          </w:p>
        </w:tc>
      </w:tr>
      <w:tr w:rsidR="00A91C05" w:rsidRPr="00A91C05" w14:paraId="7C9867BE"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0365AA63"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6E46406C"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182272BC"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Pozemní stavitelství Zlín a.s.</w:t>
            </w:r>
          </w:p>
        </w:tc>
      </w:tr>
      <w:tr w:rsidR="00A91C05" w:rsidRPr="00A91C05" w14:paraId="01F76A9A"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7DD0CEDE"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4E9D1BC0"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7C3E6D63"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CENTROPROJEKT GROUP a.s.</w:t>
            </w:r>
          </w:p>
        </w:tc>
      </w:tr>
      <w:tr w:rsidR="00A91C05" w:rsidRPr="00A91C05" w14:paraId="41A7C906"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0BC13E56"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0F81190D"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66AACDD8"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BUDOVATEL, stavební bytové družstvo</w:t>
            </w:r>
          </w:p>
        </w:tc>
      </w:tr>
      <w:tr w:rsidR="00A91C05" w:rsidRPr="00A91C05" w14:paraId="5C26F561"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5CD7BC67"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5B63915C"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15CC5D60"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MANAG development, a.s.</w:t>
            </w:r>
          </w:p>
        </w:tc>
      </w:tr>
      <w:tr w:rsidR="00A91C05" w:rsidRPr="00A91C05" w14:paraId="24E533D0"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5DA06B58"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6E42F864"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1A4003F9"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 xml:space="preserve">Incinity s.r.o.  </w:t>
            </w:r>
          </w:p>
        </w:tc>
      </w:tr>
      <w:tr w:rsidR="00A91C05" w:rsidRPr="00A91C05" w14:paraId="432CC353"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08016990"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393B793A"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39A67D96"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Pozimos, a.s.</w:t>
            </w:r>
          </w:p>
        </w:tc>
      </w:tr>
      <w:tr w:rsidR="00A91C05" w:rsidRPr="00A91C05" w14:paraId="576B619C"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274E2D35" w14:textId="77777777" w:rsidR="00A91C05" w:rsidRPr="00A91C05" w:rsidRDefault="00A91C05" w:rsidP="00A91C05">
            <w:pPr>
              <w:spacing w:before="0"/>
              <w:ind w:left="113" w:right="113"/>
              <w:jc w:val="center"/>
              <w:rPr>
                <w:rFonts w:cstheme="minorHAnsi"/>
                <w:color w:val="000000" w:themeColor="text1"/>
              </w:rPr>
            </w:pPr>
          </w:p>
        </w:tc>
        <w:tc>
          <w:tcPr>
            <w:tcW w:w="567" w:type="dxa"/>
            <w:vMerge w:val="restart"/>
            <w:shd w:val="clear" w:color="auto" w:fill="F7CAAC" w:themeFill="accent2" w:themeFillTint="66"/>
            <w:textDirection w:val="btLr"/>
          </w:tcPr>
          <w:p w14:paraId="7D290CDD"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Externí</w:t>
            </w:r>
          </w:p>
        </w:tc>
        <w:tc>
          <w:tcPr>
            <w:tcW w:w="7796" w:type="dxa"/>
            <w:shd w:val="clear" w:color="auto" w:fill="D9D9D9" w:themeFill="background1" w:themeFillShade="D9"/>
          </w:tcPr>
          <w:p w14:paraId="2ADF667C"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KOMA MODULAR s.r.o.</w:t>
            </w:r>
          </w:p>
        </w:tc>
      </w:tr>
      <w:tr w:rsidR="00A91C05" w:rsidRPr="00A91C05" w14:paraId="27825EB6"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4D8C9136"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24ABA1E8"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D9D9D9" w:themeFill="background1" w:themeFillShade="D9"/>
          </w:tcPr>
          <w:p w14:paraId="676EFA3A"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SMO a.s.</w:t>
            </w:r>
          </w:p>
        </w:tc>
      </w:tr>
      <w:tr w:rsidR="00A91C05" w:rsidRPr="00A91C05" w14:paraId="5DD818C6"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4F782536"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4F387231"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43819904"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Quanti s.r.o. – Vladimír Blažek</w:t>
            </w:r>
          </w:p>
        </w:tc>
      </w:tr>
      <w:tr w:rsidR="00A91C05" w:rsidRPr="00A91C05" w14:paraId="1222561C"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463B5A77"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6E0A6EB4"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2145E9AD" w14:textId="77777777" w:rsidR="00A91C05" w:rsidRPr="00A91C05" w:rsidRDefault="00A91C05" w:rsidP="00A91C05">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Developer Jan Kaspar</w:t>
            </w:r>
          </w:p>
        </w:tc>
      </w:tr>
      <w:tr w:rsidR="00A91C05" w:rsidRPr="00A91C05" w14:paraId="20CFBF1E" w14:textId="77777777" w:rsidTr="009A2449">
        <w:trPr>
          <w:cantSplit/>
          <w:trHeight w:hRule="exact" w:val="255"/>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4A4E35DB"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3574E98D"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61309BA4" w14:textId="77777777" w:rsidR="00A91C05" w:rsidRPr="00A91C05" w:rsidRDefault="00A91C05" w:rsidP="00A91C05">
            <w:pPr>
              <w:tabs>
                <w:tab w:val="left" w:pos="1980"/>
              </w:tabs>
              <w:spacing w:before="0"/>
              <w:cnfStyle w:val="000000000000" w:firstRow="0" w:lastRow="0" w:firstColumn="0" w:lastColumn="0" w:oddVBand="0" w:evenVBand="0" w:oddHBand="0" w:evenHBand="0" w:firstRowFirstColumn="0" w:firstRowLastColumn="0" w:lastRowFirstColumn="0" w:lastRowLastColumn="0"/>
              <w:rPr>
                <w:rFonts w:cstheme="minorHAnsi"/>
              </w:rPr>
            </w:pPr>
            <w:r w:rsidRPr="00A91C05">
              <w:rPr>
                <w:rFonts w:cstheme="minorHAnsi"/>
              </w:rPr>
              <w:t>AIP, spol. s r.o.</w:t>
            </w:r>
          </w:p>
        </w:tc>
      </w:tr>
      <w:tr w:rsidR="00A91C05" w:rsidRPr="00A91C05" w14:paraId="362760B2" w14:textId="77777777" w:rsidTr="00A91C05">
        <w:trPr>
          <w:cantSplit/>
          <w:trHeight w:val="280"/>
        </w:trPr>
        <w:tc>
          <w:tcPr>
            <w:cnfStyle w:val="001000000000" w:firstRow="0" w:lastRow="0" w:firstColumn="1" w:lastColumn="0" w:oddVBand="0" w:evenVBand="0" w:oddHBand="0" w:evenHBand="0" w:firstRowFirstColumn="0" w:firstRowLastColumn="0" w:lastRowFirstColumn="0" w:lastRowLastColumn="0"/>
            <w:tcW w:w="704" w:type="dxa"/>
            <w:vMerge w:val="restart"/>
            <w:shd w:val="clear" w:color="auto" w:fill="F7CAAC" w:themeFill="accent2" w:themeFillTint="66"/>
            <w:textDirection w:val="btLr"/>
          </w:tcPr>
          <w:p w14:paraId="5CE3A1E3"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Občanská společnost</w:t>
            </w:r>
          </w:p>
        </w:tc>
        <w:tc>
          <w:tcPr>
            <w:tcW w:w="567" w:type="dxa"/>
            <w:vMerge w:val="restart"/>
            <w:shd w:val="clear" w:color="auto" w:fill="F7CAAC" w:themeFill="accent2" w:themeFillTint="66"/>
            <w:textDirection w:val="btLr"/>
          </w:tcPr>
          <w:p w14:paraId="23C65FF4"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p w14:paraId="0C5BC8FE"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796" w:type="dxa"/>
            <w:shd w:val="clear" w:color="auto" w:fill="FFFFFF" w:themeFill="background1"/>
          </w:tcPr>
          <w:p w14:paraId="383A785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Zlínský kreativní klastr, z.s.</w:t>
            </w:r>
          </w:p>
        </w:tc>
      </w:tr>
      <w:tr w:rsidR="00A91C05" w:rsidRPr="00A91C05" w14:paraId="522E9E09" w14:textId="77777777" w:rsidTr="00A91C05">
        <w:trPr>
          <w:cantSplit/>
          <w:trHeight w:val="554"/>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1FB56442" w14:textId="77777777" w:rsidR="00A91C05" w:rsidRPr="00A91C05" w:rsidRDefault="00A91C05" w:rsidP="00A91C05">
            <w:pPr>
              <w:spacing w:before="0"/>
              <w:ind w:left="113" w:right="113"/>
              <w:jc w:val="center"/>
              <w:rPr>
                <w:rFonts w:cstheme="minorHAnsi"/>
                <w:color w:val="000000" w:themeColor="text1"/>
              </w:rPr>
            </w:pPr>
          </w:p>
        </w:tc>
        <w:tc>
          <w:tcPr>
            <w:tcW w:w="567" w:type="dxa"/>
            <w:vMerge/>
            <w:shd w:val="clear" w:color="auto" w:fill="F7CAAC" w:themeFill="accent2" w:themeFillTint="66"/>
            <w:textDirection w:val="btLr"/>
          </w:tcPr>
          <w:p w14:paraId="0CD3F86B"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796" w:type="dxa"/>
            <w:shd w:val="clear" w:color="auto" w:fill="FFFFFF" w:themeFill="background1"/>
          </w:tcPr>
          <w:p w14:paraId="3AEDDC7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t>aARCHITEKTURA, spolek</w:t>
            </w:r>
          </w:p>
        </w:tc>
      </w:tr>
      <w:tr w:rsidR="00A91C05" w:rsidRPr="00A91C05" w14:paraId="0C1D214C" w14:textId="77777777" w:rsidTr="00A91C05">
        <w:trPr>
          <w:cantSplit/>
          <w:trHeight w:val="986"/>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CAAC" w:themeFill="accent2" w:themeFillTint="66"/>
            <w:textDirection w:val="btLr"/>
          </w:tcPr>
          <w:p w14:paraId="6171A7F1" w14:textId="77777777" w:rsidR="00A91C05" w:rsidRPr="00A91C05" w:rsidRDefault="00A91C05" w:rsidP="00A91C05">
            <w:pPr>
              <w:spacing w:before="0"/>
              <w:ind w:left="113" w:right="113"/>
              <w:rPr>
                <w:rFonts w:cstheme="minorHAnsi"/>
                <w:color w:val="000000" w:themeColor="text1"/>
              </w:rPr>
            </w:pPr>
          </w:p>
        </w:tc>
        <w:tc>
          <w:tcPr>
            <w:tcW w:w="567" w:type="dxa"/>
            <w:shd w:val="clear" w:color="auto" w:fill="F7CAAC" w:themeFill="accent2" w:themeFillTint="66"/>
            <w:textDirection w:val="btLr"/>
          </w:tcPr>
          <w:p w14:paraId="6044BF3C"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b/>
                <w:color w:val="000000" w:themeColor="text1"/>
              </w:rPr>
              <w:t>Externí</w:t>
            </w:r>
          </w:p>
        </w:tc>
        <w:tc>
          <w:tcPr>
            <w:tcW w:w="7796" w:type="dxa"/>
          </w:tcPr>
          <w:p w14:paraId="48695636"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Region Bílé Karpaty</w:t>
            </w:r>
          </w:p>
        </w:tc>
      </w:tr>
    </w:tbl>
    <w:p w14:paraId="57B05AA0" w14:textId="6DEEA7E4" w:rsidR="00A91C05" w:rsidRPr="000818D2" w:rsidRDefault="00A91C05" w:rsidP="00A91C05">
      <w:pPr>
        <w:rPr>
          <w:i/>
          <w:sz w:val="20"/>
        </w:rPr>
      </w:pPr>
      <w:r w:rsidRPr="000818D2">
        <w:rPr>
          <w:i/>
          <w:sz w:val="20"/>
        </w:rPr>
        <w:t xml:space="preserve">Zdroj: </w:t>
      </w:r>
      <w:r w:rsidR="0096633B">
        <w:rPr>
          <w:i/>
          <w:sz w:val="20"/>
        </w:rPr>
        <w:t>V</w:t>
      </w:r>
      <w:r w:rsidRPr="000818D2">
        <w:rPr>
          <w:i/>
          <w:sz w:val="20"/>
        </w:rPr>
        <w:t>lastní zpracování dle</w:t>
      </w:r>
      <w:r w:rsidR="0096633B">
        <w:rPr>
          <w:i/>
          <w:sz w:val="20"/>
        </w:rPr>
        <w:t xml:space="preserve"> dokumentů</w:t>
      </w:r>
      <w:r w:rsidRPr="000818D2">
        <w:rPr>
          <w:i/>
          <w:sz w:val="20"/>
        </w:rPr>
        <w:t xml:space="preserve"> Integrovaný plán rozvoje území Zlín pro období 2014 – 2020, Strategie rozvoje Zlínského kraje 2030, seznam institucí webové stránky statutárního města Zlína a Krajského úřadu Zlínského kraje, obchodní rejstřík</w:t>
      </w:r>
      <w:r w:rsidR="0096633B">
        <w:rPr>
          <w:i/>
          <w:sz w:val="20"/>
        </w:rPr>
        <w:t>.</w:t>
      </w:r>
    </w:p>
    <w:p w14:paraId="239192B4" w14:textId="629247D2" w:rsidR="00A91C05" w:rsidRPr="000818D2" w:rsidRDefault="00CD1295" w:rsidP="00A91C05">
      <w:pPr>
        <w:pStyle w:val="Nadpis4"/>
      </w:pPr>
      <w:bookmarkStart w:id="773" w:name="_Toc46218673"/>
      <w:r>
        <w:t>Tematická oblast V</w:t>
      </w:r>
      <w:r w:rsidRPr="000818D2">
        <w:t>střícné město</w:t>
      </w:r>
      <w:bookmarkEnd w:id="773"/>
    </w:p>
    <w:p w14:paraId="22B5D06B" w14:textId="77777777" w:rsidR="00A91C05" w:rsidRPr="000818D2" w:rsidRDefault="00A91C05" w:rsidP="00A91C05">
      <w:pPr>
        <w:rPr>
          <w:rFonts w:cstheme="minorHAnsi"/>
          <w:szCs w:val="20"/>
        </w:rPr>
      </w:pPr>
      <w:r w:rsidRPr="000818D2">
        <w:rPr>
          <w:rFonts w:cstheme="minorHAnsi"/>
          <w:szCs w:val="20"/>
        </w:rPr>
        <w:t>Hlavní témata:</w:t>
      </w:r>
    </w:p>
    <w:p w14:paraId="34096839"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snížení byrokratické zátěže a zjednodušení procesů</w:t>
      </w:r>
    </w:p>
    <w:p w14:paraId="67F013E4"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vstřícnost vůči občanům a podnikatelům</w:t>
      </w:r>
    </w:p>
    <w:p w14:paraId="00381315"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vytváření přívětivého prostředí pro podnikání, trh práce, ekonomický rozvoj</w:t>
      </w:r>
    </w:p>
    <w:p w14:paraId="0240CCC6"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implementace „smart“ technologií do řízení a správy města</w:t>
      </w:r>
    </w:p>
    <w:p w14:paraId="0AFC67A1" w14:textId="77777777" w:rsidR="00A91C05" w:rsidRPr="000818D2" w:rsidRDefault="00A91C05" w:rsidP="006F3CC1">
      <w:pPr>
        <w:pStyle w:val="Odstavecseseznamem"/>
        <w:numPr>
          <w:ilvl w:val="0"/>
          <w:numId w:val="8"/>
        </w:numPr>
        <w:spacing w:before="0" w:after="120"/>
        <w:rPr>
          <w:rFonts w:cstheme="minorHAnsi"/>
          <w:szCs w:val="20"/>
        </w:rPr>
      </w:pPr>
      <w:r w:rsidRPr="000818D2">
        <w:rPr>
          <w:rFonts w:cstheme="minorHAnsi"/>
          <w:szCs w:val="20"/>
        </w:rPr>
        <w:t>eGovernment</w:t>
      </w:r>
    </w:p>
    <w:p w14:paraId="102046F9" w14:textId="77777777" w:rsidR="00A91C05" w:rsidRPr="000818D2" w:rsidRDefault="00A91C05" w:rsidP="006F3CC1">
      <w:pPr>
        <w:pStyle w:val="Odstavecseseznamem"/>
        <w:numPr>
          <w:ilvl w:val="0"/>
          <w:numId w:val="8"/>
        </w:numPr>
        <w:spacing w:before="0" w:after="240"/>
        <w:ind w:left="714" w:hanging="357"/>
        <w:rPr>
          <w:rFonts w:cstheme="minorHAnsi"/>
          <w:szCs w:val="20"/>
        </w:rPr>
      </w:pPr>
      <w:r w:rsidRPr="000818D2">
        <w:rPr>
          <w:rFonts w:cstheme="minorHAnsi"/>
          <w:szCs w:val="20"/>
        </w:rPr>
        <w:t>vnější komunikace a image města</w:t>
      </w:r>
    </w:p>
    <w:p w14:paraId="414F7A96" w14:textId="79A1974D" w:rsidR="00A91C05" w:rsidRPr="000818D2" w:rsidRDefault="00A91C05" w:rsidP="003B6F27">
      <w:pPr>
        <w:pStyle w:val="Titulek"/>
        <w:keepNext/>
        <w:rPr>
          <w:rFonts w:cstheme="minorHAnsi"/>
          <w:szCs w:val="20"/>
        </w:rPr>
      </w:pPr>
      <w:bookmarkStart w:id="774" w:name="_Toc50549189"/>
      <w:bookmarkStart w:id="775" w:name="_Toc50989352"/>
      <w:bookmarkStart w:id="776" w:name="_Toc53388472"/>
      <w:bookmarkStart w:id="777" w:name="_Toc54702642"/>
      <w:bookmarkStart w:id="778" w:name="_Toc56179449"/>
      <w:bookmarkStart w:id="779" w:name="_Toc57731807"/>
      <w:bookmarkStart w:id="780" w:name="_Toc77074791"/>
      <w:r w:rsidRPr="000818D2">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28</w:t>
      </w:r>
      <w:r w:rsidR="00081B47">
        <w:rPr>
          <w:noProof/>
        </w:rPr>
        <w:fldChar w:fldCharType="end"/>
      </w:r>
      <w:r w:rsidR="0096633B">
        <w:rPr>
          <w:noProof/>
        </w:rPr>
        <w:t>:</w:t>
      </w:r>
      <w:r w:rsidRPr="000818D2">
        <w:t xml:space="preserve"> Seznam stakeholderů v oblasti Vstřícné město</w:t>
      </w:r>
      <w:bookmarkEnd w:id="774"/>
      <w:bookmarkEnd w:id="775"/>
      <w:bookmarkEnd w:id="776"/>
      <w:bookmarkEnd w:id="777"/>
      <w:bookmarkEnd w:id="778"/>
      <w:bookmarkEnd w:id="779"/>
      <w:bookmarkEnd w:id="780"/>
    </w:p>
    <w:tbl>
      <w:tblPr>
        <w:tblStyle w:val="Svtltabulkasmkou15"/>
        <w:tblW w:w="9126" w:type="dxa"/>
        <w:tblLayout w:type="fixed"/>
        <w:tblLook w:val="04A0" w:firstRow="1" w:lastRow="0" w:firstColumn="1" w:lastColumn="0" w:noHBand="0" w:noVBand="1"/>
      </w:tblPr>
      <w:tblGrid>
        <w:gridCol w:w="708"/>
        <w:gridCol w:w="570"/>
        <w:gridCol w:w="7848"/>
      </w:tblGrid>
      <w:tr w:rsidR="00A91C05" w:rsidRPr="00A91C05" w14:paraId="535FD3C9" w14:textId="77777777" w:rsidTr="00820C9F">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126" w:type="dxa"/>
            <w:gridSpan w:val="3"/>
            <w:shd w:val="clear" w:color="auto" w:fill="7030A0"/>
          </w:tcPr>
          <w:p w14:paraId="6618757B" w14:textId="77777777" w:rsidR="00A91C05" w:rsidRPr="00A91C05" w:rsidRDefault="00A91C05" w:rsidP="003B6F27">
            <w:pPr>
              <w:keepNext/>
              <w:spacing w:before="0"/>
              <w:jc w:val="center"/>
              <w:rPr>
                <w:rFonts w:cstheme="minorHAnsi"/>
                <w:color w:val="000000" w:themeColor="text1"/>
              </w:rPr>
            </w:pPr>
            <w:r w:rsidRPr="00A91C05">
              <w:rPr>
                <w:rFonts w:cstheme="minorHAnsi"/>
                <w:color w:val="FFFFFF" w:themeColor="background1"/>
              </w:rPr>
              <w:t>VSTŘÍCNÉ MĚSTO</w:t>
            </w:r>
          </w:p>
        </w:tc>
      </w:tr>
      <w:tr w:rsidR="00A91C05" w:rsidRPr="00A91C05" w14:paraId="4B7000A6"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val="restart"/>
            <w:shd w:val="clear" w:color="auto" w:fill="B889DB"/>
            <w:textDirection w:val="btLr"/>
          </w:tcPr>
          <w:p w14:paraId="1E4CB9A3" w14:textId="77777777" w:rsidR="00A91C05" w:rsidRPr="00A91C05" w:rsidRDefault="00A91C05" w:rsidP="003B6F27">
            <w:pPr>
              <w:keepNext/>
              <w:spacing w:before="0"/>
              <w:ind w:left="113" w:right="113"/>
              <w:jc w:val="center"/>
              <w:rPr>
                <w:rFonts w:cstheme="minorHAnsi"/>
                <w:b w:val="0"/>
                <w:color w:val="000000" w:themeColor="text1"/>
              </w:rPr>
            </w:pPr>
            <w:r w:rsidRPr="00A91C05">
              <w:rPr>
                <w:rFonts w:cstheme="minorHAnsi"/>
                <w:color w:val="000000" w:themeColor="text1"/>
              </w:rPr>
              <w:t>Veřejný sektor</w:t>
            </w:r>
          </w:p>
        </w:tc>
        <w:tc>
          <w:tcPr>
            <w:tcW w:w="570" w:type="dxa"/>
            <w:vMerge w:val="restart"/>
            <w:shd w:val="clear" w:color="auto" w:fill="B889DB"/>
            <w:textDirection w:val="btLr"/>
          </w:tcPr>
          <w:p w14:paraId="007A601C" w14:textId="77777777" w:rsidR="00A91C05" w:rsidRPr="00A91C05" w:rsidRDefault="00A91C05" w:rsidP="003B6F27">
            <w:pPr>
              <w:keepNext/>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tc>
        <w:tc>
          <w:tcPr>
            <w:tcW w:w="7847" w:type="dxa"/>
            <w:shd w:val="clear" w:color="auto" w:fill="D9D9D9" w:themeFill="background1" w:themeFillShade="D9"/>
          </w:tcPr>
          <w:p w14:paraId="71C5C6FE" w14:textId="77777777" w:rsidR="00A91C05" w:rsidRPr="00A91C05" w:rsidRDefault="00A91C05" w:rsidP="003B6F27">
            <w:pPr>
              <w:keepNext/>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Statutární město Zlín</w:t>
            </w:r>
          </w:p>
        </w:tc>
      </w:tr>
      <w:tr w:rsidR="00A91C05" w:rsidRPr="00A91C05" w14:paraId="7E86CB4C"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2D5C7C8" w14:textId="77777777" w:rsidR="00A91C05" w:rsidRPr="00A91C05" w:rsidRDefault="00A91C05" w:rsidP="003B6F27">
            <w:pPr>
              <w:keepNext/>
              <w:spacing w:before="0"/>
              <w:ind w:left="113" w:right="113"/>
              <w:jc w:val="center"/>
              <w:rPr>
                <w:rFonts w:cstheme="minorHAnsi"/>
                <w:b w:val="0"/>
                <w:color w:val="000000" w:themeColor="text1"/>
              </w:rPr>
            </w:pPr>
          </w:p>
        </w:tc>
        <w:tc>
          <w:tcPr>
            <w:tcW w:w="570" w:type="dxa"/>
            <w:vMerge/>
            <w:shd w:val="clear" w:color="auto" w:fill="B889DB"/>
            <w:textDirection w:val="btLr"/>
          </w:tcPr>
          <w:p w14:paraId="7E5E1793" w14:textId="77777777" w:rsidR="00A91C05" w:rsidRPr="00A91C05" w:rsidRDefault="00A91C05" w:rsidP="003B6F27">
            <w:pPr>
              <w:keepNext/>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shd w:val="clear" w:color="auto" w:fill="D9D9D9" w:themeFill="background1" w:themeFillShade="D9"/>
          </w:tcPr>
          <w:p w14:paraId="7ABB4D06" w14:textId="77777777" w:rsidR="00A91C05" w:rsidRPr="00A91C05" w:rsidRDefault="00A91C05" w:rsidP="003B6F27">
            <w:pPr>
              <w:keepNext/>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Zlínský kraj</w:t>
            </w:r>
          </w:p>
        </w:tc>
      </w:tr>
      <w:tr w:rsidR="00A91C05" w:rsidRPr="00A91C05" w14:paraId="7EC25EE8"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4322703" w14:textId="77777777" w:rsidR="00A91C05" w:rsidRPr="00A91C05" w:rsidRDefault="00A91C05" w:rsidP="00A91C05">
            <w:pPr>
              <w:spacing w:before="0"/>
              <w:ind w:left="113" w:right="113"/>
              <w:jc w:val="center"/>
              <w:rPr>
                <w:rFonts w:cstheme="minorHAnsi"/>
                <w:b w:val="0"/>
                <w:color w:val="000000" w:themeColor="text1"/>
              </w:rPr>
            </w:pPr>
          </w:p>
        </w:tc>
        <w:tc>
          <w:tcPr>
            <w:tcW w:w="570" w:type="dxa"/>
            <w:vMerge/>
            <w:shd w:val="clear" w:color="auto" w:fill="B889DB"/>
            <w:textDirection w:val="btLr"/>
          </w:tcPr>
          <w:p w14:paraId="630F5011"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shd w:val="clear" w:color="auto" w:fill="D9D9D9" w:themeFill="background1" w:themeFillShade="D9"/>
          </w:tcPr>
          <w:p w14:paraId="5D7F7BEF"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Agentura pro podporu podnikání a investic CzechInvest - Regionální kancelář pro Zlínský kraj </w:t>
            </w:r>
          </w:p>
        </w:tc>
      </w:tr>
      <w:tr w:rsidR="00A91C05" w:rsidRPr="00A91C05" w14:paraId="194DE352"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1BFD762" w14:textId="77777777" w:rsidR="00A91C05" w:rsidRPr="00A91C05" w:rsidRDefault="00A91C05" w:rsidP="00A91C05">
            <w:pPr>
              <w:spacing w:before="0"/>
              <w:ind w:left="113" w:right="113"/>
              <w:jc w:val="center"/>
              <w:rPr>
                <w:rFonts w:cstheme="minorHAnsi"/>
                <w:b w:val="0"/>
                <w:color w:val="000000" w:themeColor="text1"/>
              </w:rPr>
            </w:pPr>
          </w:p>
        </w:tc>
        <w:tc>
          <w:tcPr>
            <w:tcW w:w="570" w:type="dxa"/>
            <w:vMerge/>
            <w:shd w:val="clear" w:color="auto" w:fill="B889DB"/>
            <w:textDirection w:val="btLr"/>
          </w:tcPr>
          <w:p w14:paraId="37B669B3"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shd w:val="clear" w:color="auto" w:fill="D9D9D9" w:themeFill="background1" w:themeFillShade="D9"/>
          </w:tcPr>
          <w:p w14:paraId="6C01BA1D"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Technologické inovační centrum s.r.o.</w:t>
            </w:r>
          </w:p>
        </w:tc>
      </w:tr>
      <w:tr w:rsidR="00A91C05" w:rsidRPr="00A91C05" w14:paraId="004FB479"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5C169322" w14:textId="77777777" w:rsidR="00A91C05" w:rsidRPr="00A91C05" w:rsidRDefault="00A91C05" w:rsidP="00A91C05">
            <w:pPr>
              <w:spacing w:before="0"/>
              <w:ind w:left="113" w:right="113"/>
              <w:jc w:val="center"/>
              <w:rPr>
                <w:rFonts w:cstheme="minorHAnsi"/>
                <w:b w:val="0"/>
                <w:color w:val="000000" w:themeColor="text1"/>
              </w:rPr>
            </w:pPr>
          </w:p>
        </w:tc>
        <w:tc>
          <w:tcPr>
            <w:tcW w:w="570" w:type="dxa"/>
            <w:vMerge/>
            <w:shd w:val="clear" w:color="auto" w:fill="B889DB"/>
            <w:textDirection w:val="btLr"/>
          </w:tcPr>
          <w:p w14:paraId="69177117"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shd w:val="clear" w:color="auto" w:fill="D9D9D9" w:themeFill="background1" w:themeFillShade="D9"/>
          </w:tcPr>
          <w:p w14:paraId="435A7538"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Univerzita Tomáše Bati ve Zlíně</w:t>
            </w:r>
          </w:p>
        </w:tc>
      </w:tr>
      <w:tr w:rsidR="00A91C05" w:rsidRPr="00A91C05" w14:paraId="2B0A8A76"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CCB323E" w14:textId="77777777" w:rsidR="00A91C05" w:rsidRPr="00A91C05" w:rsidRDefault="00A91C05" w:rsidP="00A91C05">
            <w:pPr>
              <w:spacing w:before="0"/>
              <w:ind w:left="113" w:right="113"/>
              <w:jc w:val="center"/>
              <w:rPr>
                <w:rFonts w:cstheme="minorHAnsi"/>
                <w:b w:val="0"/>
                <w:color w:val="000000" w:themeColor="text1"/>
              </w:rPr>
            </w:pPr>
          </w:p>
        </w:tc>
        <w:tc>
          <w:tcPr>
            <w:tcW w:w="570" w:type="dxa"/>
            <w:vMerge/>
            <w:shd w:val="clear" w:color="auto" w:fill="B889DB"/>
            <w:textDirection w:val="btLr"/>
          </w:tcPr>
          <w:p w14:paraId="6A533569"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tcPr>
          <w:p w14:paraId="1534F0E7"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Finanční úřad pro Zlínský kraj </w:t>
            </w:r>
          </w:p>
        </w:tc>
      </w:tr>
      <w:tr w:rsidR="00A91C05" w:rsidRPr="00A91C05" w14:paraId="771D60CD"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E6EA1B7" w14:textId="77777777" w:rsidR="00A91C05" w:rsidRPr="00A91C05" w:rsidRDefault="00A91C05" w:rsidP="00A91C05">
            <w:pPr>
              <w:spacing w:before="0"/>
              <w:ind w:left="113" w:right="113"/>
              <w:jc w:val="center"/>
              <w:rPr>
                <w:rFonts w:cstheme="minorHAnsi"/>
                <w:b w:val="0"/>
                <w:color w:val="000000" w:themeColor="text1"/>
              </w:rPr>
            </w:pPr>
          </w:p>
        </w:tc>
        <w:tc>
          <w:tcPr>
            <w:tcW w:w="570" w:type="dxa"/>
            <w:vMerge/>
            <w:shd w:val="clear" w:color="auto" w:fill="B889DB"/>
            <w:textDirection w:val="btLr"/>
          </w:tcPr>
          <w:p w14:paraId="053EC2F3"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shd w:val="clear" w:color="auto" w:fill="D9D9D9" w:themeFill="background1" w:themeFillShade="D9"/>
          </w:tcPr>
          <w:p w14:paraId="53C9931B"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Úřad práce ČR - krajská pobočka ve Zlíně </w:t>
            </w:r>
          </w:p>
        </w:tc>
      </w:tr>
      <w:tr w:rsidR="00A91C05" w:rsidRPr="00A91C05" w14:paraId="061F6460"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3D178B30" w14:textId="77777777" w:rsidR="00A91C05" w:rsidRPr="00A91C05" w:rsidRDefault="00A91C05" w:rsidP="00A91C05">
            <w:pPr>
              <w:spacing w:before="0"/>
              <w:ind w:left="113" w:right="113"/>
              <w:jc w:val="center"/>
              <w:rPr>
                <w:rFonts w:cstheme="minorHAnsi"/>
                <w:b w:val="0"/>
                <w:color w:val="000000" w:themeColor="text1"/>
              </w:rPr>
            </w:pPr>
          </w:p>
        </w:tc>
        <w:tc>
          <w:tcPr>
            <w:tcW w:w="570" w:type="dxa"/>
            <w:vMerge/>
            <w:shd w:val="clear" w:color="auto" w:fill="B889DB"/>
            <w:textDirection w:val="btLr"/>
          </w:tcPr>
          <w:p w14:paraId="4B438DDF"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tcPr>
          <w:p w14:paraId="79A69141"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Krajská správa ČSÚ ve Zlíně</w:t>
            </w:r>
          </w:p>
        </w:tc>
      </w:tr>
      <w:tr w:rsidR="00A91C05" w:rsidRPr="00A91C05" w14:paraId="67D890CB"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7D5A70CB" w14:textId="77777777" w:rsidR="00A91C05" w:rsidRPr="00A91C05" w:rsidRDefault="00A91C05" w:rsidP="00A91C05">
            <w:pPr>
              <w:spacing w:before="0"/>
              <w:ind w:left="113" w:right="113"/>
              <w:jc w:val="center"/>
              <w:rPr>
                <w:rFonts w:cstheme="minorHAnsi"/>
                <w:b w:val="0"/>
                <w:color w:val="000000" w:themeColor="text1"/>
              </w:rPr>
            </w:pPr>
          </w:p>
        </w:tc>
        <w:tc>
          <w:tcPr>
            <w:tcW w:w="570" w:type="dxa"/>
            <w:vMerge/>
            <w:shd w:val="clear" w:color="auto" w:fill="B889DB"/>
            <w:textDirection w:val="btLr"/>
          </w:tcPr>
          <w:p w14:paraId="11A60540"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shd w:val="clear" w:color="auto" w:fill="D9D9D9" w:themeFill="background1" w:themeFillShade="D9"/>
          </w:tcPr>
          <w:p w14:paraId="2924122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Městská policie Zlín</w:t>
            </w:r>
          </w:p>
        </w:tc>
      </w:tr>
      <w:tr w:rsidR="00A91C05" w:rsidRPr="00A91C05" w14:paraId="5770C42D"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7A37B1E8" w14:textId="77777777" w:rsidR="00A91C05" w:rsidRPr="00A91C05" w:rsidRDefault="00A91C05" w:rsidP="00A91C05">
            <w:pPr>
              <w:spacing w:before="0"/>
              <w:ind w:left="113" w:right="113"/>
              <w:jc w:val="center"/>
              <w:rPr>
                <w:rFonts w:cstheme="minorHAnsi"/>
                <w:color w:val="000000" w:themeColor="text1"/>
              </w:rPr>
            </w:pPr>
          </w:p>
        </w:tc>
        <w:tc>
          <w:tcPr>
            <w:tcW w:w="570" w:type="dxa"/>
            <w:vMerge/>
            <w:shd w:val="clear" w:color="auto" w:fill="B889DB"/>
            <w:textDirection w:val="btLr"/>
          </w:tcPr>
          <w:p w14:paraId="45B0FC47"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Pr>
          <w:p w14:paraId="31CB185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Katastrální úřad pro Zlínský kraj, Katastrální pracoviště Zlín</w:t>
            </w:r>
          </w:p>
        </w:tc>
      </w:tr>
      <w:tr w:rsidR="00A91C05" w:rsidRPr="00A91C05" w14:paraId="2DCE11B8"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C22C9A4" w14:textId="77777777" w:rsidR="00A91C05" w:rsidRPr="00A91C05" w:rsidRDefault="00A91C05" w:rsidP="00A91C05">
            <w:pPr>
              <w:spacing w:before="0"/>
              <w:ind w:left="113" w:right="113"/>
              <w:jc w:val="center"/>
              <w:rPr>
                <w:rFonts w:cstheme="minorHAnsi"/>
                <w:color w:val="000000" w:themeColor="text1"/>
              </w:rPr>
            </w:pPr>
          </w:p>
        </w:tc>
        <w:tc>
          <w:tcPr>
            <w:tcW w:w="570" w:type="dxa"/>
            <w:vMerge/>
            <w:shd w:val="clear" w:color="auto" w:fill="B889DB"/>
            <w:textDirection w:val="btLr"/>
          </w:tcPr>
          <w:p w14:paraId="7D9E6381"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Pr>
          <w:p w14:paraId="405C3E4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szCs w:val="20"/>
              </w:rPr>
              <w:t>Regionální rozvojová agentura Východní Moravy</w:t>
            </w:r>
          </w:p>
        </w:tc>
      </w:tr>
      <w:tr w:rsidR="00A91C05" w:rsidRPr="00A91C05" w14:paraId="3C599D54"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558A9736" w14:textId="77777777" w:rsidR="00A91C05" w:rsidRPr="00A91C05" w:rsidRDefault="00A91C05" w:rsidP="00A91C05">
            <w:pPr>
              <w:spacing w:before="0"/>
              <w:ind w:left="113" w:right="113"/>
              <w:jc w:val="center"/>
              <w:rPr>
                <w:rFonts w:cstheme="minorHAnsi"/>
                <w:color w:val="000000" w:themeColor="text1"/>
              </w:rPr>
            </w:pPr>
          </w:p>
        </w:tc>
        <w:tc>
          <w:tcPr>
            <w:tcW w:w="570" w:type="dxa"/>
            <w:vMerge/>
            <w:shd w:val="clear" w:color="auto" w:fill="B889DB"/>
            <w:textDirection w:val="btLr"/>
          </w:tcPr>
          <w:p w14:paraId="40D7C484"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bottom w:val="single" w:sz="4" w:space="0" w:color="999999"/>
            </w:tcBorders>
          </w:tcPr>
          <w:p w14:paraId="309AC3E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szCs w:val="20"/>
              </w:rPr>
              <w:t>ÚO IROP pro Zlínský kraj</w:t>
            </w:r>
          </w:p>
        </w:tc>
      </w:tr>
      <w:tr w:rsidR="00A91C05" w:rsidRPr="00A91C05" w14:paraId="55367F4C"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54F56C64" w14:textId="77777777" w:rsidR="00A91C05" w:rsidRPr="00A91C05" w:rsidRDefault="00A91C05" w:rsidP="00A91C05">
            <w:pPr>
              <w:spacing w:before="0"/>
              <w:ind w:left="113" w:right="113"/>
              <w:jc w:val="center"/>
              <w:rPr>
                <w:rFonts w:cstheme="minorHAnsi"/>
                <w:color w:val="000000" w:themeColor="text1"/>
              </w:rPr>
            </w:pPr>
          </w:p>
        </w:tc>
        <w:tc>
          <w:tcPr>
            <w:tcW w:w="570" w:type="dxa"/>
            <w:vMerge/>
            <w:shd w:val="clear" w:color="auto" w:fill="B889DB"/>
            <w:textDirection w:val="btLr"/>
          </w:tcPr>
          <w:p w14:paraId="664C201A" w14:textId="77777777" w:rsidR="00A91C05" w:rsidRPr="00A91C05" w:rsidRDefault="00A91C05" w:rsidP="00A91C05">
            <w:pPr>
              <w:autoSpaceDE w:val="0"/>
              <w:autoSpaceDN w:val="0"/>
              <w:adjustRightInd w:val="0"/>
              <w:spacing w:before="0"/>
              <w:ind w:left="113" w:right="113"/>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bottom w:val="single" w:sz="4" w:space="0" w:color="999999"/>
            </w:tcBorders>
          </w:tcPr>
          <w:p w14:paraId="1178753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szCs w:val="20"/>
              </w:rPr>
            </w:pPr>
            <w:r w:rsidRPr="00A91C05">
              <w:rPr>
                <w:rFonts w:cstheme="minorHAnsi"/>
                <w:color w:val="000000" w:themeColor="text1"/>
              </w:rPr>
              <w:t>Centrála cestovního ruchu Východní Moravy, o.p.s.</w:t>
            </w:r>
          </w:p>
        </w:tc>
      </w:tr>
      <w:tr w:rsidR="00A91C05" w:rsidRPr="00A91C05" w14:paraId="196E5B2D"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6BE7428" w14:textId="77777777" w:rsidR="00A91C05" w:rsidRPr="00A91C05" w:rsidRDefault="00A91C05" w:rsidP="00A91C05">
            <w:pPr>
              <w:spacing w:before="0"/>
              <w:ind w:left="113" w:right="113"/>
              <w:jc w:val="center"/>
              <w:rPr>
                <w:rFonts w:cstheme="minorHAnsi"/>
                <w:color w:val="000000" w:themeColor="text1"/>
              </w:rPr>
            </w:pPr>
          </w:p>
        </w:tc>
        <w:tc>
          <w:tcPr>
            <w:tcW w:w="570" w:type="dxa"/>
            <w:vMerge/>
            <w:shd w:val="clear" w:color="auto" w:fill="B889DB"/>
            <w:textDirection w:val="btLr"/>
          </w:tcPr>
          <w:p w14:paraId="737AEB6F" w14:textId="77777777" w:rsidR="00A91C05" w:rsidRPr="00A91C05" w:rsidRDefault="00A91C05" w:rsidP="00A91C05">
            <w:pPr>
              <w:autoSpaceDE w:val="0"/>
              <w:autoSpaceDN w:val="0"/>
              <w:adjustRightInd w:val="0"/>
              <w:spacing w:before="0"/>
              <w:ind w:left="113" w:right="113"/>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bottom w:val="single" w:sz="4" w:space="0" w:color="999999"/>
            </w:tcBorders>
            <w:shd w:val="clear" w:color="auto" w:fill="D9D9D9" w:themeFill="background1" w:themeFillShade="D9"/>
          </w:tcPr>
          <w:p w14:paraId="4DA6F76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t>ZOO a zámek Zlín-Lešná,</w:t>
            </w:r>
            <w:r w:rsidRPr="00A91C05">
              <w:rPr>
                <w:b/>
                <w:bCs/>
              </w:rPr>
              <w:t xml:space="preserve"> </w:t>
            </w:r>
            <w:r w:rsidRPr="00A91C05">
              <w:t>příspěvková organizace</w:t>
            </w:r>
          </w:p>
        </w:tc>
      </w:tr>
      <w:tr w:rsidR="00A91C05" w:rsidRPr="00A91C05" w14:paraId="08EC3A9F"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39AC93A2" w14:textId="77777777" w:rsidR="00A91C05" w:rsidRPr="00A91C05" w:rsidRDefault="00A91C05" w:rsidP="00A91C05">
            <w:pPr>
              <w:spacing w:before="0"/>
              <w:ind w:left="113" w:right="113"/>
              <w:jc w:val="center"/>
              <w:rPr>
                <w:rFonts w:cstheme="minorHAnsi"/>
                <w:color w:val="000000" w:themeColor="text1"/>
              </w:rPr>
            </w:pPr>
          </w:p>
        </w:tc>
        <w:tc>
          <w:tcPr>
            <w:tcW w:w="570" w:type="dxa"/>
            <w:vMerge/>
            <w:shd w:val="clear" w:color="auto" w:fill="B889DB"/>
            <w:textDirection w:val="btLr"/>
          </w:tcPr>
          <w:p w14:paraId="2CA86FDD" w14:textId="77777777" w:rsidR="00A91C05" w:rsidRPr="00A91C05" w:rsidRDefault="00A91C05" w:rsidP="00A91C05">
            <w:pPr>
              <w:autoSpaceDE w:val="0"/>
              <w:autoSpaceDN w:val="0"/>
              <w:adjustRightInd w:val="0"/>
              <w:spacing w:before="0"/>
              <w:ind w:left="113" w:right="113"/>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bottom w:val="single" w:sz="4" w:space="0" w:color="999999"/>
            </w:tcBorders>
            <w:shd w:val="clear" w:color="auto" w:fill="D9D9D9" w:themeFill="background1" w:themeFillShade="D9"/>
          </w:tcPr>
          <w:p w14:paraId="54D84C1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pPr>
            <w:r w:rsidRPr="00A91C05">
              <w:t>Městské informační a turistické středisko</w:t>
            </w:r>
          </w:p>
        </w:tc>
      </w:tr>
      <w:tr w:rsidR="00A91C05" w:rsidRPr="00A91C05" w14:paraId="1DB6676A" w14:textId="77777777" w:rsidTr="00820C9F">
        <w:trPr>
          <w:trHeight w:val="24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69918993" w14:textId="77777777" w:rsidR="00A91C05" w:rsidRPr="00A91C05" w:rsidRDefault="00A91C05" w:rsidP="00A91C05">
            <w:pPr>
              <w:spacing w:before="0"/>
              <w:ind w:left="113" w:right="113"/>
              <w:jc w:val="center"/>
              <w:rPr>
                <w:rFonts w:cstheme="minorHAnsi"/>
                <w:color w:val="000000" w:themeColor="text1"/>
              </w:rPr>
            </w:pPr>
          </w:p>
        </w:tc>
        <w:tc>
          <w:tcPr>
            <w:tcW w:w="570" w:type="dxa"/>
            <w:vMerge/>
            <w:shd w:val="clear" w:color="auto" w:fill="B889DB"/>
            <w:textDirection w:val="btLr"/>
          </w:tcPr>
          <w:p w14:paraId="0F57C5DD" w14:textId="77777777" w:rsidR="00A91C05" w:rsidRPr="00A91C05" w:rsidRDefault="00A91C05" w:rsidP="00A91C05">
            <w:pPr>
              <w:autoSpaceDE w:val="0"/>
              <w:autoSpaceDN w:val="0"/>
              <w:adjustRightInd w:val="0"/>
              <w:spacing w:before="0"/>
              <w:ind w:left="113" w:right="113"/>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bottom w:val="single" w:sz="4" w:space="0" w:color="999999"/>
            </w:tcBorders>
            <w:shd w:val="clear" w:color="auto" w:fill="auto"/>
          </w:tcPr>
          <w:p w14:paraId="354E739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color w:val="000000" w:themeColor="text1"/>
              </w:rPr>
            </w:pPr>
            <w:r w:rsidRPr="00A91C05">
              <w:rPr>
                <w:color w:val="000000" w:themeColor="text1"/>
              </w:rPr>
              <w:t>Informační centrum Baťa</w:t>
            </w:r>
          </w:p>
        </w:tc>
      </w:tr>
      <w:tr w:rsidR="00A91C05" w:rsidRPr="00A91C05" w14:paraId="5F8B69EE"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val="restart"/>
            <w:shd w:val="clear" w:color="auto" w:fill="B889DB"/>
            <w:textDirection w:val="btLr"/>
          </w:tcPr>
          <w:p w14:paraId="79AA2060" w14:textId="77777777" w:rsidR="00A91C05" w:rsidRPr="00A91C05" w:rsidRDefault="00A91C05" w:rsidP="00A91C05">
            <w:pPr>
              <w:spacing w:before="0"/>
              <w:ind w:left="113" w:right="113"/>
              <w:jc w:val="center"/>
              <w:rPr>
                <w:rFonts w:cstheme="minorHAnsi"/>
                <w:color w:val="000000" w:themeColor="text1"/>
              </w:rPr>
            </w:pPr>
            <w:r w:rsidRPr="00A91C05">
              <w:rPr>
                <w:rFonts w:cstheme="minorHAnsi"/>
                <w:color w:val="000000" w:themeColor="text1"/>
              </w:rPr>
              <w:t>Podnikatelský sektor</w:t>
            </w:r>
          </w:p>
        </w:tc>
        <w:tc>
          <w:tcPr>
            <w:tcW w:w="570" w:type="dxa"/>
            <w:vMerge w:val="restart"/>
            <w:tcBorders>
              <w:right w:val="single" w:sz="4" w:space="0" w:color="BFBFBF" w:themeColor="background1" w:themeShade="BF"/>
            </w:tcBorders>
            <w:shd w:val="clear" w:color="auto" w:fill="B889DB"/>
            <w:textDirection w:val="btLr"/>
          </w:tcPr>
          <w:p w14:paraId="0EA8FF09"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ascii="Calibri" w:hAnsi="Calibri" w:cstheme="minorHAnsi"/>
                <w:b/>
                <w:color w:val="000000" w:themeColor="text1"/>
              </w:rPr>
              <w:t>Interní</w:t>
            </w:r>
          </w:p>
        </w:tc>
        <w:tc>
          <w:tcPr>
            <w:tcW w:w="7847" w:type="dxa"/>
            <w:tcBorders>
              <w:top w:val="single" w:sz="4" w:space="0" w:color="999999"/>
              <w:left w:val="single" w:sz="4" w:space="0" w:color="BFBFBF" w:themeColor="background1" w:themeShade="BF"/>
              <w:bottom w:val="single" w:sz="4" w:space="0" w:color="999999"/>
              <w:right w:val="single" w:sz="4" w:space="0" w:color="999999"/>
            </w:tcBorders>
          </w:tcPr>
          <w:p w14:paraId="044CAF0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Sdružení podnikatelů Zlínského kraje </w:t>
            </w:r>
          </w:p>
          <w:p w14:paraId="0CE2455B"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A91C05" w:rsidRPr="00A91C05" w14:paraId="1986F76F"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26BC04F"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7ABD38F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tcPr>
          <w:p w14:paraId="483E4FC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Virtuální realita Zlín</w:t>
            </w:r>
          </w:p>
        </w:tc>
      </w:tr>
      <w:tr w:rsidR="00A91C05" w:rsidRPr="00A91C05" w14:paraId="3ED350C4"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69CF2002"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4A0BDFE4"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vAlign w:val="center"/>
          </w:tcPr>
          <w:p w14:paraId="44990EA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HP TRONIC Zlín, spol. s.r.o.</w:t>
            </w:r>
          </w:p>
        </w:tc>
      </w:tr>
      <w:tr w:rsidR="00A91C05" w:rsidRPr="00A91C05" w14:paraId="2F09F09D"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BCE48F8"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43D21CC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6EA79B9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Trelleborg Wheel Systems Czech Republic a.s. - Výrobní závod Zlín</w:t>
            </w:r>
          </w:p>
        </w:tc>
      </w:tr>
      <w:tr w:rsidR="00A91C05" w:rsidRPr="00A91C05" w14:paraId="3B233397"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B608663"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31104527"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vAlign w:val="center"/>
          </w:tcPr>
          <w:p w14:paraId="5839C40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Krajská nemocnice T. Bati, a. s.</w:t>
            </w:r>
          </w:p>
        </w:tc>
      </w:tr>
      <w:tr w:rsidR="00A91C05" w:rsidRPr="00A91C05" w14:paraId="78FE9E8B"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507EEDEA"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3079FD7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2FE187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BAŤA, akciová společnost</w:t>
            </w:r>
          </w:p>
        </w:tc>
      </w:tr>
      <w:tr w:rsidR="00A91C05" w:rsidRPr="00A91C05" w14:paraId="06FD5534"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5B15359A"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57B63F91"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5B189BA"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ELKOV elektro a.s. Zlín</w:t>
            </w:r>
          </w:p>
        </w:tc>
      </w:tr>
      <w:tr w:rsidR="00A91C05" w:rsidRPr="00A91C05" w14:paraId="6F360C9F"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3FBA5AF2"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6B3FD27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A796C2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TAJMAC-ZPS, a. s.</w:t>
            </w:r>
          </w:p>
        </w:tc>
      </w:tr>
      <w:tr w:rsidR="00A91C05" w:rsidRPr="00A91C05" w14:paraId="71D9AA2C"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78F196A"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7CEAF7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6F2ECF7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OBZOR, výrobní družstvo Zlín</w:t>
            </w:r>
          </w:p>
        </w:tc>
      </w:tr>
      <w:tr w:rsidR="00A91C05" w:rsidRPr="00A91C05" w14:paraId="594A3E37"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6623EC3"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420EA485"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vAlign w:val="center"/>
          </w:tcPr>
          <w:p w14:paraId="46CA487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Dopravní společnost Zlín-Otrokovice, s.r.o.</w:t>
            </w:r>
          </w:p>
        </w:tc>
      </w:tr>
      <w:tr w:rsidR="00A91C05" w:rsidRPr="00A91C05" w14:paraId="6C81E9A4"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041A70A"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41B1E30E"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6060614E"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GRASPO CZ, a.s.</w:t>
            </w:r>
          </w:p>
        </w:tc>
      </w:tr>
      <w:tr w:rsidR="00A91C05" w:rsidRPr="00A91C05" w14:paraId="671AD71A"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EED1F87"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79DF6E0F"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B8E247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Jednota, spotřební družstvo ve Zlíně</w:t>
            </w:r>
          </w:p>
        </w:tc>
      </w:tr>
      <w:tr w:rsidR="00A91C05" w:rsidRPr="00A91C05" w14:paraId="27B419C6"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BBAFEC7"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FCCD53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101C45F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Promens a.s.</w:t>
            </w:r>
          </w:p>
        </w:tc>
      </w:tr>
      <w:tr w:rsidR="00A91C05" w:rsidRPr="00A91C05" w14:paraId="19F291F3"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34D97FF"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2CCEE07"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AD4349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Institut pro testování a certifikaci, a.s.</w:t>
            </w:r>
          </w:p>
        </w:tc>
      </w:tr>
      <w:tr w:rsidR="00A91C05" w:rsidRPr="00A91C05" w14:paraId="684CAC69"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9D5CBE1"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69FB3DD8"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66806FC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Kovárna VIVA a.s.</w:t>
            </w:r>
          </w:p>
        </w:tc>
      </w:tr>
      <w:tr w:rsidR="00A91C05" w:rsidRPr="00A91C05" w14:paraId="51768015"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607F1BCC"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075A5148"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2EECE76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TESCOMA s.r.o.</w:t>
            </w:r>
          </w:p>
        </w:tc>
      </w:tr>
      <w:tr w:rsidR="00A91C05" w:rsidRPr="00A91C05" w14:paraId="3DEEE801"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A1C96C5"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45D0E80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7A62DE16"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ZPS - SLÉVÁRNA, a.s.</w:t>
            </w:r>
          </w:p>
        </w:tc>
      </w:tr>
      <w:tr w:rsidR="00A91C05" w:rsidRPr="00A91C05" w14:paraId="60F40D9C"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1474B81"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77283EDE"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E00D4E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AGC Fenestra a.s., člen AGC Group</w:t>
            </w:r>
          </w:p>
        </w:tc>
      </w:tr>
      <w:tr w:rsidR="00A91C05" w:rsidRPr="00A91C05" w14:paraId="1F63B5A9"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DBB1143"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5C91E6E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vAlign w:val="center"/>
          </w:tcPr>
          <w:p w14:paraId="6454AC52"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NWT a.s.</w:t>
            </w:r>
          </w:p>
        </w:tc>
      </w:tr>
      <w:tr w:rsidR="00A91C05" w:rsidRPr="00A91C05" w14:paraId="4F3ABEC6"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F3CCF23"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6AE35B2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2F2C3D5C"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KOMPONENTY, a.s. ZLÍN</w:t>
            </w:r>
          </w:p>
        </w:tc>
      </w:tr>
      <w:tr w:rsidR="00A91C05" w:rsidRPr="00A91C05" w14:paraId="404C97FA"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BB58F4B"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F46F02A"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7F782C6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SPUR a.s.</w:t>
            </w:r>
          </w:p>
        </w:tc>
      </w:tr>
      <w:tr w:rsidR="00A91C05" w:rsidRPr="00A91C05" w14:paraId="60A37F27"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556F37F2"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26C22ED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28C6FA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Navláčil stavební firma, s.r.o.</w:t>
            </w:r>
          </w:p>
        </w:tc>
      </w:tr>
      <w:tr w:rsidR="00A91C05" w:rsidRPr="00A91C05" w14:paraId="64868CF6"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7B51EB2F"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0B8702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EB22D75"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ELKOPLAST CZ, s.r.o.</w:t>
            </w:r>
          </w:p>
        </w:tc>
      </w:tr>
      <w:tr w:rsidR="00A91C05" w:rsidRPr="00A91C05" w14:paraId="37CAE822"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8DAA0B2"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65392A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1F2DB6C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Holík International s.r.o.</w:t>
            </w:r>
          </w:p>
        </w:tc>
      </w:tr>
      <w:tr w:rsidR="00A91C05" w:rsidRPr="00A91C05" w14:paraId="35D6F1A8"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7E383E62"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4EBE343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71E6945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Integra VD Zlín</w:t>
            </w:r>
          </w:p>
        </w:tc>
      </w:tr>
      <w:tr w:rsidR="00A91C05" w:rsidRPr="00A91C05" w14:paraId="02D50C57"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201784D"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5D70D346"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4C661233"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Vaše laboratoře s.r.o.</w:t>
            </w:r>
          </w:p>
        </w:tc>
      </w:tr>
      <w:tr w:rsidR="00A91C05" w:rsidRPr="00A91C05" w14:paraId="141D044C"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24728F7"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3EFB70E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4F26872F"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 STUDIO, spol. s r.o.</w:t>
            </w:r>
          </w:p>
        </w:tc>
      </w:tr>
      <w:tr w:rsidR="00A91C05" w:rsidRPr="00A91C05" w14:paraId="1DA0271B"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383A9281"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3A132FD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D1FF254"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ZAKO Turčín, spol. s r.o.</w:t>
            </w:r>
          </w:p>
        </w:tc>
      </w:tr>
      <w:tr w:rsidR="00A91C05" w:rsidRPr="00A91C05" w14:paraId="1FB93F9A"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408FF31"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0832C01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1E00CCB0"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Zlín Precision, s.r.o.</w:t>
            </w:r>
          </w:p>
        </w:tc>
      </w:tr>
      <w:tr w:rsidR="00A91C05" w:rsidRPr="00A91C05" w14:paraId="328D61F1"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0C9AB3F"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73BB617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7697A47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ZPS - FRÉZOVACÍ NÁSTROJE, a.s.</w:t>
            </w:r>
          </w:p>
        </w:tc>
      </w:tr>
      <w:tr w:rsidR="00A91C05" w:rsidRPr="00A91C05" w14:paraId="0510FA5E"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74F32600"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2F05CAD5"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C431889"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CROSS Zlín, a.s.</w:t>
            </w:r>
          </w:p>
        </w:tc>
      </w:tr>
      <w:tr w:rsidR="00A91C05" w:rsidRPr="00A91C05" w14:paraId="7A192A42" w14:textId="77777777" w:rsidTr="00820C9F">
        <w:trPr>
          <w:trHeight w:hRule="exact" w:val="27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77619D45"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76DB57F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b/>
                <w:color w:val="000000" w:themeColor="text1"/>
              </w:rPr>
            </w:pPr>
          </w:p>
        </w:tc>
        <w:tc>
          <w:tcPr>
            <w:tcW w:w="784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7C9F718"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Edhouse s.r.o.</w:t>
            </w:r>
          </w:p>
        </w:tc>
      </w:tr>
      <w:tr w:rsidR="00A91C05" w:rsidRPr="00A91C05" w14:paraId="0A7ED8FE" w14:textId="77777777" w:rsidTr="00820C9F">
        <w:trPr>
          <w:trHeight w:val="299"/>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32771E50"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ED2B21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top w:val="single" w:sz="4" w:space="0" w:color="999999"/>
              <w:left w:val="single" w:sz="4" w:space="0" w:color="BFBFBF" w:themeColor="background1" w:themeShade="BF"/>
            </w:tcBorders>
            <w:shd w:val="clear" w:color="auto" w:fill="D9D9D9" w:themeFill="background1" w:themeFillShade="D9"/>
          </w:tcPr>
          <w:p w14:paraId="1407CE37" w14:textId="77777777" w:rsidR="00A91C05" w:rsidRPr="00A91C05" w:rsidRDefault="00A91C05" w:rsidP="00A91C05">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Krajská hospodářská komora Zlínského kraje</w:t>
            </w:r>
          </w:p>
        </w:tc>
      </w:tr>
      <w:tr w:rsidR="00A91C05" w:rsidRPr="00A91C05" w14:paraId="643A148F"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3F5746EA"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2485328"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D9D9D9" w:themeFill="background1" w:themeFillShade="D9"/>
          </w:tcPr>
          <w:p w14:paraId="7BAAD854"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rPr>
            </w:pPr>
            <w:r w:rsidRPr="00A91C05">
              <w:rPr>
                <w:rFonts w:cstheme="minorHAnsi"/>
                <w:color w:val="000000" w:themeColor="text1"/>
              </w:rPr>
              <w:t>Plastikářský klastr</w:t>
            </w:r>
          </w:p>
        </w:tc>
      </w:tr>
      <w:tr w:rsidR="00A91C05" w:rsidRPr="00A91C05" w14:paraId="4AF449E7"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333B081"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10716B0"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auto"/>
          </w:tcPr>
          <w:p w14:paraId="57FE1EE6"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Laser Game Zlín</w:t>
            </w:r>
          </w:p>
        </w:tc>
      </w:tr>
      <w:tr w:rsidR="00A91C05" w:rsidRPr="00A91C05" w14:paraId="104EF74D"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8C3EF6C"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2FC4C72B"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auto"/>
          </w:tcPr>
          <w:p w14:paraId="2B199AA8"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E-strike aréna Zlín</w:t>
            </w:r>
          </w:p>
        </w:tc>
      </w:tr>
      <w:tr w:rsidR="00A91C05" w:rsidRPr="00A91C05" w14:paraId="1F1D8B16"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071F766"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6F2CE742"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auto"/>
          </w:tcPr>
          <w:p w14:paraId="28B0BBB3"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Interhotel Moskva</w:t>
            </w:r>
          </w:p>
        </w:tc>
      </w:tr>
      <w:tr w:rsidR="00A91C05" w:rsidRPr="00A91C05" w14:paraId="5F3A6E49"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4B6D824A"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432C2CAC"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auto"/>
          </w:tcPr>
          <w:p w14:paraId="10BA8985"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Hotel Baltaci Atrium</w:t>
            </w:r>
          </w:p>
        </w:tc>
      </w:tr>
      <w:tr w:rsidR="00A91C05" w:rsidRPr="00A91C05" w14:paraId="3C120854"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5FA5BE7C"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74897E53"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auto"/>
          </w:tcPr>
          <w:p w14:paraId="59C029D7"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Hotel Tomášov</w:t>
            </w:r>
          </w:p>
        </w:tc>
      </w:tr>
      <w:tr w:rsidR="00A91C05" w:rsidRPr="00A91C05" w14:paraId="6E5D75DF"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AD65596"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2B9E1184"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auto"/>
          </w:tcPr>
          <w:p w14:paraId="6A12CD5E"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Lesní hotel</w:t>
            </w:r>
          </w:p>
        </w:tc>
      </w:tr>
      <w:tr w:rsidR="00A91C05" w:rsidRPr="00A91C05" w14:paraId="7692577F" w14:textId="77777777" w:rsidTr="00820C9F">
        <w:trPr>
          <w:trHeight w:val="313"/>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127FED57" w14:textId="77777777" w:rsidR="00A91C05" w:rsidRPr="00A91C05" w:rsidRDefault="00A91C05"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50C0E9DD" w14:textId="77777777" w:rsidR="00A91C05" w:rsidRPr="00A91C05" w:rsidRDefault="00A91C05"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auto"/>
          </w:tcPr>
          <w:p w14:paraId="13D89329" w14:textId="77777777" w:rsidR="00A91C05" w:rsidRPr="00A91C05" w:rsidRDefault="00A91C05"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Incinity s.r.o.</w:t>
            </w:r>
          </w:p>
        </w:tc>
      </w:tr>
      <w:tr w:rsidR="00820C9F" w:rsidRPr="00A91C05" w14:paraId="4B7C8BD4" w14:textId="77777777" w:rsidTr="00820C9F">
        <w:trPr>
          <w:trHeight w:val="232"/>
        </w:trPr>
        <w:tc>
          <w:tcPr>
            <w:cnfStyle w:val="001000000000" w:firstRow="0" w:lastRow="0" w:firstColumn="1" w:lastColumn="0" w:oddVBand="0" w:evenVBand="0" w:oddHBand="0" w:evenHBand="0" w:firstRowFirstColumn="0" w:firstRowLastColumn="0" w:lastRowFirstColumn="0" w:lastRowLastColumn="0"/>
            <w:tcW w:w="708" w:type="dxa"/>
            <w:vMerge w:val="restart"/>
            <w:shd w:val="clear" w:color="auto" w:fill="B889DB"/>
            <w:textDirection w:val="btLr"/>
          </w:tcPr>
          <w:p w14:paraId="6733878A" w14:textId="77777777" w:rsidR="00820C9F" w:rsidRPr="00A91C05" w:rsidRDefault="00820C9F" w:rsidP="00A91C05">
            <w:pPr>
              <w:spacing w:before="0"/>
              <w:ind w:left="113" w:right="113"/>
              <w:jc w:val="center"/>
              <w:rPr>
                <w:rFonts w:cstheme="minorHAnsi"/>
                <w:color w:val="000000" w:themeColor="text1"/>
              </w:rPr>
            </w:pPr>
            <w:r w:rsidRPr="00A91C05">
              <w:rPr>
                <w:rFonts w:cstheme="minorHAnsi"/>
                <w:color w:val="000000" w:themeColor="text1"/>
              </w:rPr>
              <w:t>Občanská společnost</w:t>
            </w:r>
          </w:p>
        </w:tc>
        <w:tc>
          <w:tcPr>
            <w:tcW w:w="570" w:type="dxa"/>
            <w:vMerge w:val="restart"/>
            <w:tcBorders>
              <w:right w:val="single" w:sz="4" w:space="0" w:color="BFBFBF" w:themeColor="background1" w:themeShade="BF"/>
            </w:tcBorders>
            <w:shd w:val="clear" w:color="auto" w:fill="B889DB"/>
            <w:textDirection w:val="btLr"/>
          </w:tcPr>
          <w:p w14:paraId="3EE3A242" w14:textId="77777777" w:rsidR="00820C9F" w:rsidRPr="00A91C05" w:rsidRDefault="00820C9F"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Interní</w:t>
            </w:r>
          </w:p>
          <w:p w14:paraId="3DD491BF" w14:textId="77777777" w:rsidR="00820C9F" w:rsidRPr="00A91C05" w:rsidRDefault="00820C9F" w:rsidP="00A91C05">
            <w:pPr>
              <w:autoSpaceDE w:val="0"/>
              <w:autoSpaceDN w:val="0"/>
              <w:adjustRightInd w:val="0"/>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7847" w:type="dxa"/>
            <w:tcBorders>
              <w:left w:val="single" w:sz="4" w:space="0" w:color="BFBFBF" w:themeColor="background1" w:themeShade="BF"/>
            </w:tcBorders>
            <w:shd w:val="clear" w:color="auto" w:fill="D9D9D9" w:themeFill="background1" w:themeFillShade="D9"/>
          </w:tcPr>
          <w:p w14:paraId="1EE82913" w14:textId="77777777" w:rsidR="00820C9F" w:rsidRPr="00A91C05" w:rsidRDefault="00820C9F"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ascii="Calibri" w:hAnsi="Calibri" w:cstheme="minorHAnsi"/>
                <w:color w:val="000000" w:themeColor="text1"/>
              </w:rPr>
              <w:t>Zlínský kreativní klastr, z.s.</w:t>
            </w:r>
          </w:p>
        </w:tc>
      </w:tr>
      <w:tr w:rsidR="00820C9F" w:rsidRPr="00A91C05" w14:paraId="6AF3DF24" w14:textId="77777777" w:rsidTr="00820C9F">
        <w:trPr>
          <w:trHeight w:val="232"/>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040D1A43" w14:textId="77777777" w:rsidR="00820C9F" w:rsidRPr="00A91C05" w:rsidRDefault="00820C9F"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05B53271" w14:textId="77777777" w:rsidR="00820C9F" w:rsidRPr="00A91C05" w:rsidRDefault="00820C9F"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tcBorders>
              <w:left w:val="single" w:sz="4" w:space="0" w:color="BFBFBF" w:themeColor="background1" w:themeShade="BF"/>
            </w:tcBorders>
            <w:shd w:val="clear" w:color="auto" w:fill="auto"/>
          </w:tcPr>
          <w:p w14:paraId="135CD213" w14:textId="77777777" w:rsidR="00820C9F" w:rsidRPr="00A91C05" w:rsidRDefault="00820C9F"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rPr>
            </w:pPr>
            <w:r w:rsidRPr="00A91C05">
              <w:rPr>
                <w:rFonts w:ascii="Calibri" w:hAnsi="Calibri" w:cstheme="minorHAnsi"/>
                <w:color w:val="000000" w:themeColor="text1"/>
              </w:rPr>
              <w:t>Centrála cestovního ruchu Východní Moravy, o.p.s.</w:t>
            </w:r>
          </w:p>
        </w:tc>
      </w:tr>
      <w:tr w:rsidR="00820C9F" w:rsidRPr="00A91C05" w14:paraId="171032F5" w14:textId="77777777" w:rsidTr="00820C9F">
        <w:trPr>
          <w:trHeight w:val="306"/>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8C469C8" w14:textId="77777777" w:rsidR="00820C9F" w:rsidRPr="00A91C05" w:rsidRDefault="00820C9F"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121AE152" w14:textId="77777777" w:rsidR="00820C9F" w:rsidRPr="00A91C05" w:rsidRDefault="00820C9F"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tcBorders>
              <w:left w:val="single" w:sz="4" w:space="0" w:color="BFBFBF" w:themeColor="background1" w:themeShade="BF"/>
            </w:tcBorders>
            <w:shd w:val="clear" w:color="auto" w:fill="auto"/>
          </w:tcPr>
          <w:p w14:paraId="2C42BB17" w14:textId="77777777" w:rsidR="00820C9F" w:rsidRPr="00A91C05" w:rsidRDefault="00820C9F"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rPr>
            </w:pPr>
            <w:r w:rsidRPr="00A91C05">
              <w:rPr>
                <w:rFonts w:ascii="Calibri" w:hAnsi="Calibri" w:cstheme="minorHAnsi"/>
                <w:color w:val="000000" w:themeColor="text1"/>
              </w:rPr>
              <w:t>Golf Club Lázně Kostelec, z.s.</w:t>
            </w:r>
          </w:p>
        </w:tc>
      </w:tr>
      <w:tr w:rsidR="00820C9F" w:rsidRPr="00A91C05" w14:paraId="528935EE" w14:textId="77777777" w:rsidTr="00820C9F">
        <w:trPr>
          <w:trHeight w:val="167"/>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637F8D0F" w14:textId="77777777" w:rsidR="00820C9F" w:rsidRPr="00A91C05" w:rsidRDefault="00820C9F"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2F537129" w14:textId="77777777" w:rsidR="00820C9F" w:rsidRPr="00A91C05" w:rsidRDefault="00820C9F"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tcBorders>
              <w:left w:val="single" w:sz="4" w:space="0" w:color="BFBFBF" w:themeColor="background1" w:themeShade="BF"/>
            </w:tcBorders>
            <w:shd w:val="clear" w:color="auto" w:fill="FFFFFF" w:themeFill="background1"/>
          </w:tcPr>
          <w:p w14:paraId="2F28FD46" w14:textId="77777777" w:rsidR="00820C9F" w:rsidRPr="00A91C05" w:rsidRDefault="00820C9F"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 xml:space="preserve">Sdružení pro rozvoj Zlínského kraje </w:t>
            </w:r>
          </w:p>
        </w:tc>
      </w:tr>
      <w:tr w:rsidR="00820C9F" w:rsidRPr="00A91C05" w14:paraId="4BAC50FB" w14:textId="77777777" w:rsidTr="00820C9F">
        <w:trPr>
          <w:trHeight w:val="167"/>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74E6BA95" w14:textId="77777777" w:rsidR="00820C9F" w:rsidRPr="00A91C05" w:rsidRDefault="00820C9F" w:rsidP="00A91C05">
            <w:pPr>
              <w:spacing w:before="0"/>
              <w:ind w:left="113" w:right="113"/>
              <w:jc w:val="center"/>
              <w:rPr>
                <w:rFonts w:cstheme="minorHAnsi"/>
                <w:color w:val="000000" w:themeColor="text1"/>
              </w:rPr>
            </w:pPr>
          </w:p>
        </w:tc>
        <w:tc>
          <w:tcPr>
            <w:tcW w:w="570" w:type="dxa"/>
            <w:vMerge/>
            <w:tcBorders>
              <w:right w:val="single" w:sz="4" w:space="0" w:color="BFBFBF" w:themeColor="background1" w:themeShade="BF"/>
            </w:tcBorders>
            <w:shd w:val="clear" w:color="auto" w:fill="B889DB"/>
            <w:textDirection w:val="btLr"/>
          </w:tcPr>
          <w:p w14:paraId="5290DF23" w14:textId="77777777" w:rsidR="00820C9F" w:rsidRPr="00A91C05" w:rsidRDefault="00820C9F"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p>
        </w:tc>
        <w:tc>
          <w:tcPr>
            <w:tcW w:w="7847" w:type="dxa"/>
            <w:tcBorders>
              <w:left w:val="single" w:sz="4" w:space="0" w:color="BFBFBF" w:themeColor="background1" w:themeShade="BF"/>
            </w:tcBorders>
            <w:shd w:val="clear" w:color="auto" w:fill="FFFFFF" w:themeFill="background1"/>
          </w:tcPr>
          <w:p w14:paraId="1ACD290B" w14:textId="77777777" w:rsidR="00820C9F" w:rsidRPr="00A91C05" w:rsidRDefault="00820C9F" w:rsidP="00A91C05">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Římsko-katolická farnost Filipa a Jakuba, Zlín</w:t>
            </w:r>
          </w:p>
        </w:tc>
      </w:tr>
      <w:tr w:rsidR="00A91C05" w:rsidRPr="00A91C05" w14:paraId="7DE5CA9F" w14:textId="77777777" w:rsidTr="00820C9F">
        <w:trPr>
          <w:trHeight w:val="960"/>
        </w:trPr>
        <w:tc>
          <w:tcPr>
            <w:cnfStyle w:val="001000000000" w:firstRow="0" w:lastRow="0" w:firstColumn="1" w:lastColumn="0" w:oddVBand="0" w:evenVBand="0" w:oddHBand="0" w:evenHBand="0" w:firstRowFirstColumn="0" w:firstRowLastColumn="0" w:lastRowFirstColumn="0" w:lastRowLastColumn="0"/>
            <w:tcW w:w="708" w:type="dxa"/>
            <w:vMerge/>
            <w:shd w:val="clear" w:color="auto" w:fill="B889DB"/>
            <w:textDirection w:val="btLr"/>
          </w:tcPr>
          <w:p w14:paraId="2CAB79B0" w14:textId="77777777" w:rsidR="00A91C05" w:rsidRPr="00A91C05" w:rsidRDefault="00A91C05" w:rsidP="00A91C05">
            <w:pPr>
              <w:spacing w:before="0"/>
              <w:ind w:left="113" w:right="113"/>
              <w:jc w:val="center"/>
              <w:rPr>
                <w:rFonts w:cstheme="minorHAnsi"/>
                <w:color w:val="000000" w:themeColor="text1"/>
              </w:rPr>
            </w:pPr>
          </w:p>
        </w:tc>
        <w:tc>
          <w:tcPr>
            <w:tcW w:w="570" w:type="dxa"/>
            <w:tcBorders>
              <w:right w:val="single" w:sz="4" w:space="0" w:color="BFBFBF" w:themeColor="background1" w:themeShade="BF"/>
            </w:tcBorders>
            <w:shd w:val="clear" w:color="auto" w:fill="B889DB"/>
            <w:textDirection w:val="btLr"/>
          </w:tcPr>
          <w:p w14:paraId="496819DF" w14:textId="77777777" w:rsidR="00A91C05" w:rsidRPr="00A91C05" w:rsidRDefault="00A91C05" w:rsidP="00A91C05">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A91C05">
              <w:rPr>
                <w:rFonts w:cstheme="minorHAnsi"/>
                <w:b/>
                <w:color w:val="000000" w:themeColor="text1"/>
              </w:rPr>
              <w:t>Externí</w:t>
            </w:r>
          </w:p>
        </w:tc>
        <w:tc>
          <w:tcPr>
            <w:tcW w:w="7847" w:type="dxa"/>
            <w:tcBorders>
              <w:left w:val="single" w:sz="4" w:space="0" w:color="BFBFBF" w:themeColor="background1" w:themeShade="BF"/>
            </w:tcBorders>
            <w:shd w:val="clear" w:color="auto" w:fill="FFFFFF" w:themeFill="background1"/>
          </w:tcPr>
          <w:p w14:paraId="39B55E0C" w14:textId="503932A6" w:rsidR="00A91C05" w:rsidRPr="00A91C05" w:rsidRDefault="00A91C05" w:rsidP="0096633B">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A91C05">
              <w:rPr>
                <w:rFonts w:cstheme="minorHAnsi"/>
                <w:color w:val="000000" w:themeColor="text1"/>
              </w:rPr>
              <w:t>Luhačovské Zálesí, o.p.s. - Destinační management pro turistickou oblasti Zlínsko a</w:t>
            </w:r>
            <w:r w:rsidR="0096633B">
              <w:rPr>
                <w:rFonts w:cstheme="minorHAnsi"/>
                <w:color w:val="000000" w:themeColor="text1"/>
              </w:rPr>
              <w:t> </w:t>
            </w:r>
            <w:r w:rsidRPr="00A91C05">
              <w:rPr>
                <w:rFonts w:cstheme="minorHAnsi"/>
                <w:color w:val="000000" w:themeColor="text1"/>
              </w:rPr>
              <w:t>Luhačovicko</w:t>
            </w:r>
          </w:p>
        </w:tc>
      </w:tr>
    </w:tbl>
    <w:p w14:paraId="20537D72" w14:textId="564B886B" w:rsidR="00A91C05" w:rsidRPr="00577E7E" w:rsidRDefault="0096633B" w:rsidP="00A91C05">
      <w:pPr>
        <w:rPr>
          <w:i/>
        </w:rPr>
      </w:pPr>
      <w:r>
        <w:rPr>
          <w:i/>
          <w:sz w:val="20"/>
        </w:rPr>
        <w:t>Zdroj: V</w:t>
      </w:r>
      <w:r w:rsidR="00A91C05" w:rsidRPr="00577E7E">
        <w:rPr>
          <w:i/>
          <w:sz w:val="20"/>
        </w:rPr>
        <w:t>lastní zpracování dle</w:t>
      </w:r>
      <w:r>
        <w:rPr>
          <w:i/>
          <w:sz w:val="20"/>
        </w:rPr>
        <w:t xml:space="preserve"> dokumentů</w:t>
      </w:r>
      <w:r w:rsidR="00A91C05" w:rsidRPr="00577E7E">
        <w:rPr>
          <w:i/>
          <w:sz w:val="20"/>
        </w:rPr>
        <w:t xml:space="preserve"> Integrovaný plán rozvoje území Zlín pro období 2014 – 2020, Strategie rozvoje Zlínského kraje 2030, seznam institucí webové stránky statutárního města Zlína a Krajského úřadu Zlínského kraje, obchodní rejstřík</w:t>
      </w:r>
      <w:r>
        <w:rPr>
          <w:i/>
          <w:sz w:val="20"/>
        </w:rPr>
        <w:t>.</w:t>
      </w:r>
    </w:p>
    <w:p w14:paraId="3E0043B9" w14:textId="77777777" w:rsidR="00A91C05" w:rsidRPr="00577E7E" w:rsidRDefault="00A91C05" w:rsidP="00A91C05">
      <w:r w:rsidRPr="00577E7E">
        <w:br w:type="page"/>
      </w:r>
    </w:p>
    <w:p w14:paraId="2B32EAB9" w14:textId="62FF6EDC" w:rsidR="00A91C05" w:rsidRPr="00577E7E" w:rsidRDefault="00A91C05" w:rsidP="00CD1295">
      <w:pPr>
        <w:pStyle w:val="Nadpis3"/>
        <w:rPr>
          <w:lang w:eastAsia="cs-CZ"/>
        </w:rPr>
      </w:pPr>
      <w:bookmarkStart w:id="781" w:name="_Toc46218674"/>
      <w:bookmarkStart w:id="782" w:name="_Toc77074639"/>
      <w:r w:rsidRPr="00577E7E">
        <w:rPr>
          <w:lang w:eastAsia="cs-CZ"/>
        </w:rPr>
        <w:t>P</w:t>
      </w:r>
      <w:r w:rsidR="00CD1295" w:rsidRPr="00577E7E">
        <w:rPr>
          <w:lang w:eastAsia="cs-CZ"/>
        </w:rPr>
        <w:t>rioritizace zainteresovaných stran a jejich zapojení</w:t>
      </w:r>
      <w:bookmarkEnd w:id="781"/>
      <w:bookmarkEnd w:id="782"/>
    </w:p>
    <w:p w14:paraId="5B637EDE" w14:textId="77777777" w:rsidR="00A91C05" w:rsidRDefault="00A91C05" w:rsidP="00A91C05">
      <w:r w:rsidRPr="00BE5F24">
        <w:t>Níže je uveden přehled významných aktérů města Zlín seřazených podle prioritizace členů jednotlivých pracovních skupin. Některé subjekty se vyskytují opakovaně vzhledem k tematickému rozdělení priorit rozvoje města. Šedě jsou podbarveny subjekty, jejichž zástupci jsou členy koordinačního výboru nebo pracovních skupin.</w:t>
      </w:r>
    </w:p>
    <w:p w14:paraId="1306E551" w14:textId="522147FF" w:rsidR="00A91C05" w:rsidRDefault="00A91C05" w:rsidP="004E1A5C">
      <w:pPr>
        <w:pStyle w:val="Nadpis4"/>
        <w:rPr>
          <w:lang w:eastAsia="cs-CZ"/>
        </w:rPr>
      </w:pPr>
      <w:bookmarkStart w:id="783" w:name="_Toc46218675"/>
      <w:r w:rsidRPr="00577E7E">
        <w:rPr>
          <w:lang w:eastAsia="cs-CZ"/>
        </w:rPr>
        <w:t>P</w:t>
      </w:r>
      <w:r w:rsidR="00CD1295" w:rsidRPr="00577E7E">
        <w:rPr>
          <w:lang w:eastAsia="cs-CZ"/>
        </w:rPr>
        <w:t>rioritizace zainteresovaných stran</w:t>
      </w:r>
      <w:r w:rsidR="00CD1295">
        <w:rPr>
          <w:lang w:eastAsia="cs-CZ"/>
        </w:rPr>
        <w:t xml:space="preserve"> členy pracovních skupin</w:t>
      </w:r>
      <w:bookmarkEnd w:id="783"/>
    </w:p>
    <w:p w14:paraId="0A97FFAA" w14:textId="77777777" w:rsidR="00A91C05" w:rsidRDefault="00A91C05" w:rsidP="00A91C05">
      <w:pPr>
        <w:rPr>
          <w:lang w:eastAsia="cs-CZ"/>
        </w:rPr>
      </w:pPr>
      <w:r>
        <w:t xml:space="preserve">Pro výběr klíčových stakeholderů členové pracovních skupin obdrželi seznamy stakeholderů, do který měli možnost aktéry doplnit a prioritizovat 5 z nich, které shledávají za klíčové. </w:t>
      </w:r>
      <w:r>
        <w:rPr>
          <w:lang w:eastAsia="cs-CZ"/>
        </w:rPr>
        <w:t>K prioritizaci stakeholderů se vyjádřilo 70 členů pracovních skupin. V pracovních skupinách se opakovali aktéři, kteří celkově obdrželi následující počet bodů:</w:t>
      </w:r>
    </w:p>
    <w:p w14:paraId="0437C8D2" w14:textId="77777777" w:rsidR="00A91C05" w:rsidRDefault="00A91C05" w:rsidP="006F3CC1">
      <w:pPr>
        <w:pStyle w:val="Odstavecseseznamem"/>
        <w:numPr>
          <w:ilvl w:val="0"/>
          <w:numId w:val="10"/>
        </w:numPr>
        <w:spacing w:before="0" w:after="160" w:line="259" w:lineRule="auto"/>
        <w:rPr>
          <w:lang w:eastAsia="cs-CZ"/>
        </w:rPr>
      </w:pPr>
      <w:r w:rsidRPr="00506677">
        <w:rPr>
          <w:lang w:eastAsia="cs-CZ"/>
        </w:rPr>
        <w:t>Statutární město Zlín</w:t>
      </w:r>
      <w:r>
        <w:rPr>
          <w:lang w:eastAsia="cs-CZ"/>
        </w:rPr>
        <w:t xml:space="preserve"> – celkem 67 hlasů,</w:t>
      </w:r>
    </w:p>
    <w:p w14:paraId="6B1FCC45" w14:textId="77777777" w:rsidR="00A91C05" w:rsidRDefault="00A91C05" w:rsidP="006F3CC1">
      <w:pPr>
        <w:pStyle w:val="Odstavecseseznamem"/>
        <w:numPr>
          <w:ilvl w:val="0"/>
          <w:numId w:val="10"/>
        </w:numPr>
        <w:spacing w:before="0" w:after="160" w:line="259" w:lineRule="auto"/>
        <w:rPr>
          <w:lang w:eastAsia="cs-CZ"/>
        </w:rPr>
      </w:pPr>
      <w:r w:rsidRPr="00506677">
        <w:rPr>
          <w:lang w:eastAsia="cs-CZ"/>
        </w:rPr>
        <w:t>Univerzita Tomáše Bati ve Zlíně</w:t>
      </w:r>
      <w:r>
        <w:rPr>
          <w:lang w:eastAsia="cs-CZ"/>
        </w:rPr>
        <w:t xml:space="preserve"> – celkem 42 hlasů,</w:t>
      </w:r>
    </w:p>
    <w:p w14:paraId="3DEC64CF" w14:textId="77777777" w:rsidR="00A91C05" w:rsidRDefault="00A91C05" w:rsidP="006F3CC1">
      <w:pPr>
        <w:pStyle w:val="Odstavecseseznamem"/>
        <w:numPr>
          <w:ilvl w:val="0"/>
          <w:numId w:val="10"/>
        </w:numPr>
        <w:spacing w:before="0" w:after="160" w:line="259" w:lineRule="auto"/>
        <w:rPr>
          <w:lang w:eastAsia="cs-CZ"/>
        </w:rPr>
      </w:pPr>
      <w:r w:rsidRPr="00506677">
        <w:rPr>
          <w:lang w:eastAsia="cs-CZ"/>
        </w:rPr>
        <w:t>Zlínský kraj</w:t>
      </w:r>
      <w:r>
        <w:rPr>
          <w:lang w:eastAsia="cs-CZ"/>
        </w:rPr>
        <w:t xml:space="preserve"> – celkem 39 hlasů,</w:t>
      </w:r>
    </w:p>
    <w:p w14:paraId="30E428D9" w14:textId="77777777" w:rsidR="00A91C05" w:rsidRDefault="00A91C05" w:rsidP="006F3CC1">
      <w:pPr>
        <w:pStyle w:val="Odstavecseseznamem"/>
        <w:numPr>
          <w:ilvl w:val="0"/>
          <w:numId w:val="10"/>
        </w:numPr>
        <w:spacing w:before="0" w:after="160" w:line="259" w:lineRule="auto"/>
        <w:rPr>
          <w:lang w:eastAsia="cs-CZ"/>
        </w:rPr>
      </w:pPr>
      <w:r w:rsidRPr="00506677">
        <w:rPr>
          <w:lang w:eastAsia="cs-CZ"/>
        </w:rPr>
        <w:t>Krajská hospodářská komora Zlínského kraje</w:t>
      </w:r>
      <w:r>
        <w:rPr>
          <w:lang w:eastAsia="cs-CZ"/>
        </w:rPr>
        <w:t xml:space="preserve"> – celkem 11 hlasů.</w:t>
      </w:r>
    </w:p>
    <w:p w14:paraId="3BFFE9E5" w14:textId="18DF9410" w:rsidR="00A91C05" w:rsidRDefault="00A91C05" w:rsidP="009A2449">
      <w:pPr>
        <w:pStyle w:val="Titulek"/>
      </w:pPr>
      <w:r>
        <w:t xml:space="preserve"> </w:t>
      </w:r>
      <w:bookmarkStart w:id="784" w:name="_Toc50549190"/>
      <w:bookmarkStart w:id="785" w:name="_Toc50989353"/>
      <w:bookmarkStart w:id="786" w:name="_Toc53388473"/>
      <w:bookmarkStart w:id="787" w:name="_Toc54702643"/>
      <w:bookmarkStart w:id="788" w:name="_Toc56179450"/>
      <w:bookmarkStart w:id="789" w:name="_Toc57731808"/>
      <w:bookmarkStart w:id="790" w:name="_Toc7707479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29</w:t>
      </w:r>
      <w:r w:rsidR="00081B47">
        <w:rPr>
          <w:noProof/>
        </w:rPr>
        <w:fldChar w:fldCharType="end"/>
      </w:r>
      <w:r w:rsidR="00F430B9">
        <w:rPr>
          <w:noProof/>
        </w:rPr>
        <w:t>:</w:t>
      </w:r>
      <w:r>
        <w:t xml:space="preserve"> Přehled členů PS, kteří provedli prioritizaci a počtu hlasů</w:t>
      </w:r>
      <w:bookmarkEnd w:id="784"/>
      <w:bookmarkEnd w:id="785"/>
      <w:bookmarkEnd w:id="786"/>
      <w:bookmarkEnd w:id="787"/>
      <w:bookmarkEnd w:id="788"/>
      <w:bookmarkEnd w:id="789"/>
      <w:bookmarkEnd w:id="790"/>
    </w:p>
    <w:tbl>
      <w:tblPr>
        <w:tblStyle w:val="Svtltabulkasmkou112"/>
        <w:tblW w:w="9067" w:type="dxa"/>
        <w:tblLook w:val="04A0" w:firstRow="1" w:lastRow="0" w:firstColumn="1" w:lastColumn="0" w:noHBand="0" w:noVBand="1"/>
      </w:tblPr>
      <w:tblGrid>
        <w:gridCol w:w="3397"/>
        <w:gridCol w:w="1843"/>
        <w:gridCol w:w="2410"/>
        <w:gridCol w:w="1417"/>
      </w:tblGrid>
      <w:tr w:rsidR="009A2449" w:rsidRPr="009A2449" w14:paraId="2EDD0FDD" w14:textId="77777777" w:rsidTr="006A6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shd w:val="clear" w:color="auto" w:fill="2E74B5" w:themeFill="accent1" w:themeFillShade="BF"/>
          </w:tcPr>
          <w:p w14:paraId="6037AC9B" w14:textId="77777777" w:rsidR="009A2449" w:rsidRPr="009A2449" w:rsidRDefault="009A2449" w:rsidP="009A2449">
            <w:pPr>
              <w:spacing w:before="0"/>
              <w:jc w:val="left"/>
              <w:rPr>
                <w:color w:val="FFFFFF" w:themeColor="background1"/>
              </w:rPr>
            </w:pPr>
            <w:r w:rsidRPr="009A2449">
              <w:rPr>
                <w:color w:val="FFFFFF" w:themeColor="background1"/>
              </w:rPr>
              <w:t>NÁZEV PRACOVNÍ SKUPINY (PS)</w:t>
            </w:r>
          </w:p>
        </w:tc>
        <w:tc>
          <w:tcPr>
            <w:tcW w:w="1843" w:type="dxa"/>
            <w:shd w:val="clear" w:color="auto" w:fill="2E74B5" w:themeFill="accent1" w:themeFillShade="BF"/>
          </w:tcPr>
          <w:p w14:paraId="52E5A919" w14:textId="77777777" w:rsidR="009A2449" w:rsidRPr="009A2449" w:rsidRDefault="009A2449" w:rsidP="009A2449">
            <w:pPr>
              <w:spacing w:before="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sidRPr="009A2449">
              <w:rPr>
                <w:color w:val="FFFFFF" w:themeColor="background1"/>
              </w:rPr>
              <w:t>POČET ČLENŮ PS</w:t>
            </w:r>
          </w:p>
        </w:tc>
        <w:tc>
          <w:tcPr>
            <w:tcW w:w="2410" w:type="dxa"/>
            <w:shd w:val="clear" w:color="auto" w:fill="2E74B5" w:themeFill="accent1" w:themeFillShade="BF"/>
          </w:tcPr>
          <w:p w14:paraId="4F950869" w14:textId="77777777" w:rsidR="009A2449" w:rsidRPr="009A2449" w:rsidRDefault="009A2449" w:rsidP="009A2449">
            <w:pPr>
              <w:spacing w:before="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sidRPr="009A2449">
              <w:rPr>
                <w:color w:val="FFFFFF" w:themeColor="background1"/>
              </w:rPr>
              <w:t>POČET ČLENŮ, KTEŘÍ PROVEDLI PRIORITIZACI</w:t>
            </w:r>
          </w:p>
        </w:tc>
        <w:tc>
          <w:tcPr>
            <w:tcW w:w="1417" w:type="dxa"/>
            <w:shd w:val="clear" w:color="auto" w:fill="2E74B5" w:themeFill="accent1" w:themeFillShade="BF"/>
          </w:tcPr>
          <w:p w14:paraId="2370864D" w14:textId="77777777" w:rsidR="009A2449" w:rsidRPr="009A2449" w:rsidRDefault="009A2449" w:rsidP="009A2449">
            <w:pPr>
              <w:spacing w:before="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sidRPr="009A2449">
              <w:rPr>
                <w:color w:val="FFFFFF" w:themeColor="background1"/>
              </w:rPr>
              <w:t>POČET HLASŮ</w:t>
            </w:r>
          </w:p>
        </w:tc>
      </w:tr>
      <w:tr w:rsidR="009A2449" w:rsidRPr="009A2449" w14:paraId="1860B0C4" w14:textId="77777777" w:rsidTr="006A6228">
        <w:tc>
          <w:tcPr>
            <w:cnfStyle w:val="001000000000" w:firstRow="0" w:lastRow="0" w:firstColumn="1" w:lastColumn="0" w:oddVBand="0" w:evenVBand="0" w:oddHBand="0" w:evenHBand="0" w:firstRowFirstColumn="0" w:firstRowLastColumn="0" w:lastRowFirstColumn="0" w:lastRowLastColumn="0"/>
            <w:tcW w:w="3397" w:type="dxa"/>
          </w:tcPr>
          <w:p w14:paraId="71B66D98" w14:textId="77777777" w:rsidR="009A2449" w:rsidRPr="009A2449" w:rsidRDefault="009A2449" w:rsidP="009A2449">
            <w:pPr>
              <w:spacing w:before="0"/>
              <w:jc w:val="left"/>
              <w:rPr>
                <w:b w:val="0"/>
              </w:rPr>
            </w:pPr>
            <w:r w:rsidRPr="009A2449">
              <w:rPr>
                <w:b w:val="0"/>
              </w:rPr>
              <w:t>Kvalita života</w:t>
            </w:r>
          </w:p>
        </w:tc>
        <w:tc>
          <w:tcPr>
            <w:tcW w:w="1843" w:type="dxa"/>
          </w:tcPr>
          <w:p w14:paraId="7E975807"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29</w:t>
            </w:r>
          </w:p>
        </w:tc>
        <w:tc>
          <w:tcPr>
            <w:tcW w:w="2410" w:type="dxa"/>
          </w:tcPr>
          <w:p w14:paraId="0F18EF78"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20</w:t>
            </w:r>
          </w:p>
        </w:tc>
        <w:tc>
          <w:tcPr>
            <w:tcW w:w="1417" w:type="dxa"/>
          </w:tcPr>
          <w:p w14:paraId="4AA789DD"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94</w:t>
            </w:r>
          </w:p>
        </w:tc>
      </w:tr>
      <w:tr w:rsidR="009A2449" w:rsidRPr="009A2449" w14:paraId="7BA56C10" w14:textId="77777777" w:rsidTr="006A6228">
        <w:tc>
          <w:tcPr>
            <w:cnfStyle w:val="001000000000" w:firstRow="0" w:lastRow="0" w:firstColumn="1" w:lastColumn="0" w:oddVBand="0" w:evenVBand="0" w:oddHBand="0" w:evenHBand="0" w:firstRowFirstColumn="0" w:firstRowLastColumn="0" w:lastRowFirstColumn="0" w:lastRowLastColumn="0"/>
            <w:tcW w:w="3397" w:type="dxa"/>
          </w:tcPr>
          <w:p w14:paraId="5069FBA3" w14:textId="0C0F1D5E" w:rsidR="009A2449" w:rsidRPr="009A2449" w:rsidRDefault="009A2449" w:rsidP="009A2449">
            <w:pPr>
              <w:spacing w:before="0"/>
              <w:jc w:val="left"/>
              <w:rPr>
                <w:b w:val="0"/>
              </w:rPr>
            </w:pPr>
            <w:r w:rsidRPr="009A2449">
              <w:rPr>
                <w:b w:val="0"/>
              </w:rPr>
              <w:t>Vzdělá</w:t>
            </w:r>
            <w:r w:rsidR="00757ADA">
              <w:rPr>
                <w:b w:val="0"/>
              </w:rPr>
              <w:t>vá</w:t>
            </w:r>
            <w:r w:rsidRPr="009A2449">
              <w:rPr>
                <w:b w:val="0"/>
              </w:rPr>
              <w:t>ní</w:t>
            </w:r>
          </w:p>
        </w:tc>
        <w:tc>
          <w:tcPr>
            <w:tcW w:w="1843" w:type="dxa"/>
          </w:tcPr>
          <w:p w14:paraId="0CE76B0B"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15</w:t>
            </w:r>
          </w:p>
        </w:tc>
        <w:tc>
          <w:tcPr>
            <w:tcW w:w="2410" w:type="dxa"/>
          </w:tcPr>
          <w:p w14:paraId="25023BC5"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11</w:t>
            </w:r>
          </w:p>
        </w:tc>
        <w:tc>
          <w:tcPr>
            <w:tcW w:w="1417" w:type="dxa"/>
          </w:tcPr>
          <w:p w14:paraId="61BBC5F0"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52</w:t>
            </w:r>
          </w:p>
        </w:tc>
      </w:tr>
      <w:tr w:rsidR="009A2449" w:rsidRPr="009A2449" w14:paraId="16BDF5F4" w14:textId="77777777" w:rsidTr="006A6228">
        <w:tc>
          <w:tcPr>
            <w:cnfStyle w:val="001000000000" w:firstRow="0" w:lastRow="0" w:firstColumn="1" w:lastColumn="0" w:oddVBand="0" w:evenVBand="0" w:oddHBand="0" w:evenHBand="0" w:firstRowFirstColumn="0" w:firstRowLastColumn="0" w:lastRowFirstColumn="0" w:lastRowLastColumn="0"/>
            <w:tcW w:w="3397" w:type="dxa"/>
          </w:tcPr>
          <w:p w14:paraId="142FA6E3" w14:textId="77777777" w:rsidR="009A2449" w:rsidRPr="009A2449" w:rsidRDefault="009A2449" w:rsidP="009A2449">
            <w:pPr>
              <w:spacing w:before="0"/>
              <w:jc w:val="left"/>
              <w:rPr>
                <w:b w:val="0"/>
              </w:rPr>
            </w:pPr>
            <w:r w:rsidRPr="009A2449">
              <w:rPr>
                <w:b w:val="0"/>
              </w:rPr>
              <w:t>Bezpečnost</w:t>
            </w:r>
          </w:p>
        </w:tc>
        <w:tc>
          <w:tcPr>
            <w:tcW w:w="1843" w:type="dxa"/>
          </w:tcPr>
          <w:p w14:paraId="03221CB9"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13</w:t>
            </w:r>
          </w:p>
        </w:tc>
        <w:tc>
          <w:tcPr>
            <w:tcW w:w="2410" w:type="dxa"/>
          </w:tcPr>
          <w:p w14:paraId="4EB498E8"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7</w:t>
            </w:r>
          </w:p>
        </w:tc>
        <w:tc>
          <w:tcPr>
            <w:tcW w:w="1417" w:type="dxa"/>
          </w:tcPr>
          <w:p w14:paraId="015AE2DD"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32</w:t>
            </w:r>
          </w:p>
        </w:tc>
      </w:tr>
      <w:tr w:rsidR="009A2449" w:rsidRPr="009A2449" w14:paraId="56720EF8" w14:textId="77777777" w:rsidTr="006A6228">
        <w:tc>
          <w:tcPr>
            <w:cnfStyle w:val="001000000000" w:firstRow="0" w:lastRow="0" w:firstColumn="1" w:lastColumn="0" w:oddVBand="0" w:evenVBand="0" w:oddHBand="0" w:evenHBand="0" w:firstRowFirstColumn="0" w:firstRowLastColumn="0" w:lastRowFirstColumn="0" w:lastRowLastColumn="0"/>
            <w:tcW w:w="3397" w:type="dxa"/>
          </w:tcPr>
          <w:p w14:paraId="109157EE" w14:textId="77777777" w:rsidR="009A2449" w:rsidRPr="009A2449" w:rsidRDefault="009A2449" w:rsidP="009A2449">
            <w:pPr>
              <w:spacing w:before="0"/>
              <w:jc w:val="left"/>
              <w:rPr>
                <w:b w:val="0"/>
              </w:rPr>
            </w:pPr>
            <w:r w:rsidRPr="009A2449">
              <w:rPr>
                <w:b w:val="0"/>
              </w:rPr>
              <w:t>Doprava a technická infrastruktura</w:t>
            </w:r>
          </w:p>
        </w:tc>
        <w:tc>
          <w:tcPr>
            <w:tcW w:w="1843" w:type="dxa"/>
          </w:tcPr>
          <w:p w14:paraId="32E6EC9D"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22</w:t>
            </w:r>
          </w:p>
        </w:tc>
        <w:tc>
          <w:tcPr>
            <w:tcW w:w="2410" w:type="dxa"/>
          </w:tcPr>
          <w:p w14:paraId="60100622"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16</w:t>
            </w:r>
          </w:p>
        </w:tc>
        <w:tc>
          <w:tcPr>
            <w:tcW w:w="1417" w:type="dxa"/>
          </w:tcPr>
          <w:p w14:paraId="61C8264C"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78</w:t>
            </w:r>
          </w:p>
        </w:tc>
      </w:tr>
      <w:tr w:rsidR="009A2449" w:rsidRPr="009A2449" w14:paraId="6B4C2AF1" w14:textId="77777777" w:rsidTr="006A6228">
        <w:tc>
          <w:tcPr>
            <w:cnfStyle w:val="001000000000" w:firstRow="0" w:lastRow="0" w:firstColumn="1" w:lastColumn="0" w:oddVBand="0" w:evenVBand="0" w:oddHBand="0" w:evenHBand="0" w:firstRowFirstColumn="0" w:firstRowLastColumn="0" w:lastRowFirstColumn="0" w:lastRowLastColumn="0"/>
            <w:tcW w:w="3397" w:type="dxa"/>
          </w:tcPr>
          <w:p w14:paraId="70B5265E" w14:textId="77777777" w:rsidR="009A2449" w:rsidRPr="009A2449" w:rsidRDefault="009A2449" w:rsidP="009A2449">
            <w:pPr>
              <w:spacing w:before="0"/>
              <w:jc w:val="left"/>
              <w:rPr>
                <w:b w:val="0"/>
              </w:rPr>
            </w:pPr>
            <w:r w:rsidRPr="009A2449">
              <w:rPr>
                <w:b w:val="0"/>
              </w:rPr>
              <w:t>Územní plánování a urbanismus</w:t>
            </w:r>
          </w:p>
        </w:tc>
        <w:tc>
          <w:tcPr>
            <w:tcW w:w="1843" w:type="dxa"/>
          </w:tcPr>
          <w:p w14:paraId="708DE206"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21</w:t>
            </w:r>
          </w:p>
        </w:tc>
        <w:tc>
          <w:tcPr>
            <w:tcW w:w="2410" w:type="dxa"/>
          </w:tcPr>
          <w:p w14:paraId="0E250661"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9</w:t>
            </w:r>
          </w:p>
        </w:tc>
        <w:tc>
          <w:tcPr>
            <w:tcW w:w="1417" w:type="dxa"/>
          </w:tcPr>
          <w:p w14:paraId="3D727701"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42</w:t>
            </w:r>
          </w:p>
        </w:tc>
      </w:tr>
      <w:tr w:rsidR="009A2449" w:rsidRPr="009A2449" w14:paraId="445E8DBA" w14:textId="77777777" w:rsidTr="006A6228">
        <w:tc>
          <w:tcPr>
            <w:cnfStyle w:val="001000000000" w:firstRow="0" w:lastRow="0" w:firstColumn="1" w:lastColumn="0" w:oddVBand="0" w:evenVBand="0" w:oddHBand="0" w:evenHBand="0" w:firstRowFirstColumn="0" w:firstRowLastColumn="0" w:lastRowFirstColumn="0" w:lastRowLastColumn="0"/>
            <w:tcW w:w="3397" w:type="dxa"/>
          </w:tcPr>
          <w:p w14:paraId="641847A0" w14:textId="77777777" w:rsidR="009A2449" w:rsidRPr="009A2449" w:rsidRDefault="009A2449" w:rsidP="009A2449">
            <w:pPr>
              <w:spacing w:before="0"/>
              <w:jc w:val="left"/>
              <w:rPr>
                <w:b w:val="0"/>
              </w:rPr>
            </w:pPr>
            <w:r w:rsidRPr="009A2449">
              <w:rPr>
                <w:b w:val="0"/>
              </w:rPr>
              <w:t>Vstřícné město</w:t>
            </w:r>
          </w:p>
        </w:tc>
        <w:tc>
          <w:tcPr>
            <w:tcW w:w="1843" w:type="dxa"/>
          </w:tcPr>
          <w:p w14:paraId="1280AA82"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22</w:t>
            </w:r>
          </w:p>
        </w:tc>
        <w:tc>
          <w:tcPr>
            <w:tcW w:w="2410" w:type="dxa"/>
          </w:tcPr>
          <w:p w14:paraId="6D19E77C"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14</w:t>
            </w:r>
          </w:p>
        </w:tc>
        <w:tc>
          <w:tcPr>
            <w:tcW w:w="1417" w:type="dxa"/>
          </w:tcPr>
          <w:p w14:paraId="15D26AF9" w14:textId="77777777" w:rsidR="009A2449" w:rsidRPr="009A2449" w:rsidRDefault="009A2449" w:rsidP="009A2449">
            <w:pPr>
              <w:spacing w:before="0"/>
              <w:jc w:val="right"/>
              <w:cnfStyle w:val="000000000000" w:firstRow="0" w:lastRow="0" w:firstColumn="0" w:lastColumn="0" w:oddVBand="0" w:evenVBand="0" w:oddHBand="0" w:evenHBand="0" w:firstRowFirstColumn="0" w:firstRowLastColumn="0" w:lastRowFirstColumn="0" w:lastRowLastColumn="0"/>
            </w:pPr>
            <w:r w:rsidRPr="009A2449">
              <w:t>68</w:t>
            </w:r>
          </w:p>
        </w:tc>
      </w:tr>
    </w:tbl>
    <w:p w14:paraId="039C8AC5" w14:textId="20E5C961" w:rsidR="00A91C05" w:rsidRDefault="00A91C05" w:rsidP="004E1A5C">
      <w:pPr>
        <w:pStyle w:val="Nadpis5"/>
        <w:rPr>
          <w:lang w:eastAsia="cs-CZ"/>
        </w:rPr>
      </w:pPr>
      <w:bookmarkStart w:id="791" w:name="_Toc46218676"/>
      <w:r>
        <w:rPr>
          <w:lang w:eastAsia="cs-CZ"/>
        </w:rPr>
        <w:t>PS K</w:t>
      </w:r>
      <w:r w:rsidR="00CD1295">
        <w:rPr>
          <w:lang w:eastAsia="cs-CZ"/>
        </w:rPr>
        <w:t>valita života</w:t>
      </w:r>
      <w:bookmarkEnd w:id="791"/>
    </w:p>
    <w:p w14:paraId="27845B45" w14:textId="4FABC5CF" w:rsidR="00A91C05" w:rsidRDefault="00A91C05" w:rsidP="00A91C05">
      <w:pPr>
        <w:pStyle w:val="Titulek"/>
        <w:rPr>
          <w:lang w:eastAsia="cs-CZ"/>
        </w:rPr>
      </w:pPr>
      <w:bookmarkStart w:id="792" w:name="_Toc50549191"/>
      <w:bookmarkStart w:id="793" w:name="_Toc50989354"/>
      <w:bookmarkStart w:id="794" w:name="_Toc53388474"/>
      <w:bookmarkStart w:id="795" w:name="_Toc54702644"/>
      <w:bookmarkStart w:id="796" w:name="_Toc56179451"/>
      <w:bookmarkStart w:id="797" w:name="_Toc57731809"/>
      <w:bookmarkStart w:id="798" w:name="_Toc7707479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30</w:t>
      </w:r>
      <w:r w:rsidR="00081B47">
        <w:rPr>
          <w:noProof/>
        </w:rPr>
        <w:fldChar w:fldCharType="end"/>
      </w:r>
      <w:r w:rsidR="00F430B9">
        <w:rPr>
          <w:noProof/>
        </w:rPr>
        <w:t>:</w:t>
      </w:r>
      <w:r>
        <w:t xml:space="preserve"> Prioritizace stakeholderů členy PS Kvalita života</w:t>
      </w:r>
      <w:bookmarkEnd w:id="792"/>
      <w:bookmarkEnd w:id="793"/>
      <w:bookmarkEnd w:id="794"/>
      <w:bookmarkEnd w:id="795"/>
      <w:bookmarkEnd w:id="796"/>
      <w:bookmarkEnd w:id="797"/>
      <w:bookmarkEnd w:id="798"/>
    </w:p>
    <w:tbl>
      <w:tblPr>
        <w:tblStyle w:val="Svtltabulkasmkou16"/>
        <w:tblW w:w="9067" w:type="dxa"/>
        <w:tblLayout w:type="fixed"/>
        <w:tblLook w:val="04A0" w:firstRow="1" w:lastRow="0" w:firstColumn="1" w:lastColumn="0" w:noHBand="0" w:noVBand="1"/>
      </w:tblPr>
      <w:tblGrid>
        <w:gridCol w:w="8217"/>
        <w:gridCol w:w="850"/>
      </w:tblGrid>
      <w:tr w:rsidR="009A2449" w:rsidRPr="009A2449" w14:paraId="465CC58E" w14:textId="77777777" w:rsidTr="006A6228">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217" w:type="dxa"/>
            <w:shd w:val="clear" w:color="auto" w:fill="C00000"/>
          </w:tcPr>
          <w:p w14:paraId="5131B4D1" w14:textId="77777777" w:rsidR="009A2449" w:rsidRPr="009A2449" w:rsidRDefault="009A2449" w:rsidP="009A2449">
            <w:pPr>
              <w:spacing w:before="0"/>
              <w:jc w:val="center"/>
              <w:rPr>
                <w:rFonts w:cstheme="minorHAnsi"/>
                <w:color w:val="000000" w:themeColor="text1"/>
              </w:rPr>
            </w:pPr>
            <w:r w:rsidRPr="009A2449">
              <w:rPr>
                <w:rFonts w:cstheme="minorHAnsi"/>
                <w:color w:val="FFFFFF" w:themeColor="background1"/>
              </w:rPr>
              <w:t>KVALITA ŽIVOTA</w:t>
            </w:r>
          </w:p>
        </w:tc>
        <w:tc>
          <w:tcPr>
            <w:tcW w:w="850" w:type="dxa"/>
            <w:shd w:val="clear" w:color="auto" w:fill="C00000"/>
          </w:tcPr>
          <w:p w14:paraId="7AF28ECA" w14:textId="77777777" w:rsidR="009A2449" w:rsidRPr="009A2449" w:rsidRDefault="009A2449" w:rsidP="009A2449">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9A2449">
              <w:rPr>
                <w:rFonts w:cstheme="minorHAnsi"/>
                <w:color w:val="FFFFFF" w:themeColor="background1"/>
              </w:rPr>
              <w:t>Počty hlasů</w:t>
            </w:r>
          </w:p>
        </w:tc>
      </w:tr>
      <w:tr w:rsidR="009A2449" w:rsidRPr="009A2449" w14:paraId="6ACF03C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013C14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Statutární město Zlín</w:t>
            </w:r>
          </w:p>
        </w:tc>
        <w:tc>
          <w:tcPr>
            <w:tcW w:w="850" w:type="dxa"/>
            <w:shd w:val="clear" w:color="auto" w:fill="D9D9D9" w:themeFill="background1" w:themeFillShade="D9"/>
          </w:tcPr>
          <w:p w14:paraId="40E9F7A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17</w:t>
            </w:r>
          </w:p>
        </w:tc>
      </w:tr>
      <w:tr w:rsidR="009A2449" w:rsidRPr="009A2449" w14:paraId="08D3AF2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2D1E7E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Univerzita Tomáše Bati ve Zlíně</w:t>
            </w:r>
          </w:p>
        </w:tc>
        <w:tc>
          <w:tcPr>
            <w:tcW w:w="850" w:type="dxa"/>
            <w:shd w:val="clear" w:color="auto" w:fill="D9D9D9" w:themeFill="background1" w:themeFillShade="D9"/>
          </w:tcPr>
          <w:p w14:paraId="69B967E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15</w:t>
            </w:r>
          </w:p>
        </w:tc>
      </w:tr>
      <w:tr w:rsidR="009A2449" w:rsidRPr="009A2449" w14:paraId="28FA5DA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BF2774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Krajská nemocnice T. Bati, a. s.</w:t>
            </w:r>
          </w:p>
        </w:tc>
        <w:tc>
          <w:tcPr>
            <w:tcW w:w="850" w:type="dxa"/>
            <w:shd w:val="clear" w:color="auto" w:fill="D9D9D9" w:themeFill="background1" w:themeFillShade="D9"/>
          </w:tcPr>
          <w:p w14:paraId="5FD5D28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10</w:t>
            </w:r>
          </w:p>
        </w:tc>
      </w:tr>
      <w:tr w:rsidR="009A2449" w:rsidRPr="009A2449" w14:paraId="54B2A2C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7E8D7D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Zlínský kraj</w:t>
            </w:r>
          </w:p>
        </w:tc>
        <w:tc>
          <w:tcPr>
            <w:tcW w:w="850" w:type="dxa"/>
            <w:shd w:val="clear" w:color="auto" w:fill="D9D9D9" w:themeFill="background1" w:themeFillShade="D9"/>
          </w:tcPr>
          <w:p w14:paraId="2AAD481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8</w:t>
            </w:r>
          </w:p>
        </w:tc>
      </w:tr>
      <w:tr w:rsidR="009A2449" w:rsidRPr="009A2449" w14:paraId="4B7BE9D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41B3D4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ZOO a zámek Zlín-Lešná,</w:t>
            </w:r>
            <w:r w:rsidRPr="009A2449">
              <w:rPr>
                <w:rFonts w:cstheme="minorHAnsi"/>
                <w:b w:val="0"/>
                <w:bCs w:val="0"/>
                <w:color w:val="000000"/>
              </w:rPr>
              <w:t xml:space="preserve"> </w:t>
            </w:r>
            <w:r w:rsidRPr="009A2449">
              <w:rPr>
                <w:rFonts w:cstheme="minorHAnsi"/>
                <w:b w:val="0"/>
                <w:color w:val="000000"/>
              </w:rPr>
              <w:t>příspěvková organizace</w:t>
            </w:r>
          </w:p>
        </w:tc>
        <w:tc>
          <w:tcPr>
            <w:tcW w:w="850" w:type="dxa"/>
            <w:shd w:val="clear" w:color="auto" w:fill="D9D9D9" w:themeFill="background1" w:themeFillShade="D9"/>
          </w:tcPr>
          <w:p w14:paraId="040B95B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4</w:t>
            </w:r>
          </w:p>
        </w:tc>
      </w:tr>
      <w:tr w:rsidR="009A2449" w:rsidRPr="009A2449" w14:paraId="2A2E117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BC6E52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Agentura ochrany přírody a krajiny České republiky</w:t>
            </w:r>
          </w:p>
        </w:tc>
        <w:tc>
          <w:tcPr>
            <w:tcW w:w="850" w:type="dxa"/>
            <w:shd w:val="clear" w:color="auto" w:fill="D9D9D9" w:themeFill="background1" w:themeFillShade="D9"/>
          </w:tcPr>
          <w:p w14:paraId="4852C3C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3</w:t>
            </w:r>
          </w:p>
        </w:tc>
      </w:tr>
      <w:tr w:rsidR="009A2449" w:rsidRPr="009A2449" w14:paraId="5EEC9C8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4620B4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HP Tronic Zlín, spol.s.r.o.</w:t>
            </w:r>
          </w:p>
        </w:tc>
        <w:tc>
          <w:tcPr>
            <w:tcW w:w="850" w:type="dxa"/>
            <w:shd w:val="clear" w:color="auto" w:fill="D9D9D9" w:themeFill="background1" w:themeFillShade="D9"/>
          </w:tcPr>
          <w:p w14:paraId="005884D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3</w:t>
            </w:r>
          </w:p>
        </w:tc>
      </w:tr>
      <w:tr w:rsidR="009A2449" w:rsidRPr="009A2449" w14:paraId="7DA4833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363D7C8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Charita Zlín</w:t>
            </w:r>
          </w:p>
        </w:tc>
        <w:tc>
          <w:tcPr>
            <w:tcW w:w="850" w:type="dxa"/>
            <w:shd w:val="clear" w:color="auto" w:fill="FFFFFF" w:themeFill="background1"/>
          </w:tcPr>
          <w:p w14:paraId="6FDFF41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3</w:t>
            </w:r>
          </w:p>
        </w:tc>
      </w:tr>
      <w:tr w:rsidR="009A2449" w:rsidRPr="009A2449" w14:paraId="6465F42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B4A422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Městské divadlo Zlín, příspěvková organizace</w:t>
            </w:r>
          </w:p>
        </w:tc>
        <w:tc>
          <w:tcPr>
            <w:tcW w:w="850" w:type="dxa"/>
            <w:shd w:val="clear" w:color="auto" w:fill="FFFFFF" w:themeFill="background1"/>
          </w:tcPr>
          <w:p w14:paraId="5AD97B8F"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3</w:t>
            </w:r>
          </w:p>
        </w:tc>
      </w:tr>
      <w:tr w:rsidR="009A2449" w:rsidRPr="009A2449" w14:paraId="6207E67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3654D995"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themeColor="text1"/>
              </w:rPr>
              <w:t>Regionální rozvojová agentura Východní Moravy</w:t>
            </w:r>
          </w:p>
        </w:tc>
        <w:tc>
          <w:tcPr>
            <w:tcW w:w="850" w:type="dxa"/>
            <w:shd w:val="clear" w:color="auto" w:fill="FFFFFF" w:themeFill="background1"/>
          </w:tcPr>
          <w:p w14:paraId="702BF94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themeColor="text1"/>
              </w:rPr>
              <w:t>3</w:t>
            </w:r>
          </w:p>
        </w:tc>
      </w:tr>
      <w:tr w:rsidR="009A2449" w:rsidRPr="009A2449" w14:paraId="0C9D6DE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4209DC5" w14:textId="77777777" w:rsidR="009A2449" w:rsidRPr="009A2449" w:rsidRDefault="009A2449" w:rsidP="009A2449">
            <w:pPr>
              <w:spacing w:before="0" w:after="120"/>
              <w:rPr>
                <w:rFonts w:cstheme="minorHAnsi"/>
                <w:b w:val="0"/>
              </w:rPr>
            </w:pPr>
            <w:r w:rsidRPr="009A2449">
              <w:rPr>
                <w:rFonts w:cstheme="minorHAnsi"/>
                <w:b w:val="0"/>
              </w:rPr>
              <w:t>Sportovní kluby Zlín, z.s.</w:t>
            </w:r>
          </w:p>
          <w:p w14:paraId="52518028" w14:textId="77777777" w:rsidR="009A2449" w:rsidRPr="009A2449" w:rsidRDefault="009A2449" w:rsidP="009A2449">
            <w:pPr>
              <w:autoSpaceDE w:val="0"/>
              <w:autoSpaceDN w:val="0"/>
              <w:adjustRightInd w:val="0"/>
              <w:spacing w:before="0"/>
              <w:rPr>
                <w:rFonts w:cstheme="minorHAnsi"/>
                <w:b w:val="0"/>
                <w:color w:val="000000"/>
              </w:rPr>
            </w:pPr>
          </w:p>
        </w:tc>
        <w:tc>
          <w:tcPr>
            <w:tcW w:w="850" w:type="dxa"/>
            <w:shd w:val="clear" w:color="auto" w:fill="D9D9D9" w:themeFill="background1" w:themeFillShade="D9"/>
          </w:tcPr>
          <w:p w14:paraId="1BAE667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rPr>
              <w:t>3</w:t>
            </w:r>
          </w:p>
        </w:tc>
      </w:tr>
      <w:tr w:rsidR="009A2449" w:rsidRPr="009A2449" w14:paraId="60B6D6A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E8CD5E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Krajská hygienická stanice Zlínského kraje se sídlem ve Zlíně</w:t>
            </w:r>
          </w:p>
        </w:tc>
        <w:tc>
          <w:tcPr>
            <w:tcW w:w="850" w:type="dxa"/>
            <w:shd w:val="clear" w:color="auto" w:fill="D9D9D9" w:themeFill="background1" w:themeFillShade="D9"/>
          </w:tcPr>
          <w:p w14:paraId="4BF7139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2</w:t>
            </w:r>
          </w:p>
        </w:tc>
      </w:tr>
      <w:tr w:rsidR="009A2449" w:rsidRPr="009A2449" w14:paraId="7285BBB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154AB5D"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themeColor="text1"/>
              </w:rPr>
              <w:t>Krajská hospodářská komora Zlínského kraje</w:t>
            </w:r>
          </w:p>
        </w:tc>
        <w:tc>
          <w:tcPr>
            <w:tcW w:w="850" w:type="dxa"/>
            <w:shd w:val="clear" w:color="auto" w:fill="D9D9D9" w:themeFill="background1" w:themeFillShade="D9"/>
          </w:tcPr>
          <w:p w14:paraId="083EF69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themeColor="text1"/>
              </w:rPr>
              <w:t>2</w:t>
            </w:r>
          </w:p>
        </w:tc>
      </w:tr>
      <w:tr w:rsidR="009A2449" w:rsidRPr="009A2449" w14:paraId="6027F3D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F80422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FILMFEST, s.r.o.</w:t>
            </w:r>
          </w:p>
        </w:tc>
        <w:tc>
          <w:tcPr>
            <w:tcW w:w="850" w:type="dxa"/>
            <w:shd w:val="clear" w:color="auto" w:fill="D9D9D9" w:themeFill="background1" w:themeFillShade="D9"/>
          </w:tcPr>
          <w:p w14:paraId="46770C8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2</w:t>
            </w:r>
          </w:p>
        </w:tc>
      </w:tr>
      <w:tr w:rsidR="009A2449" w:rsidRPr="009A2449" w14:paraId="70E71D9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7C1D79D"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themeColor="text1"/>
              </w:rPr>
              <w:t>NADĚJE</w:t>
            </w:r>
          </w:p>
        </w:tc>
        <w:tc>
          <w:tcPr>
            <w:tcW w:w="850" w:type="dxa"/>
            <w:shd w:val="clear" w:color="auto" w:fill="FFFFFF" w:themeFill="background1"/>
          </w:tcPr>
          <w:p w14:paraId="6279ACC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themeColor="text1"/>
              </w:rPr>
              <w:t>2</w:t>
            </w:r>
          </w:p>
        </w:tc>
      </w:tr>
      <w:tr w:rsidR="009A2449" w:rsidRPr="009A2449" w14:paraId="3AA4AC5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D674A5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Filharmonie Bohuslava Martinů, o.p.s.</w:t>
            </w:r>
          </w:p>
        </w:tc>
        <w:tc>
          <w:tcPr>
            <w:tcW w:w="850" w:type="dxa"/>
            <w:shd w:val="clear" w:color="auto" w:fill="FFFFFF" w:themeFill="background1"/>
          </w:tcPr>
          <w:p w14:paraId="2E9C3B8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42AB8C8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A7480F0"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 xml:space="preserve">Asociace nestátních neziskových organizací Zlínského kraje </w:t>
            </w:r>
          </w:p>
        </w:tc>
        <w:tc>
          <w:tcPr>
            <w:tcW w:w="850" w:type="dxa"/>
            <w:shd w:val="clear" w:color="auto" w:fill="FFFFFF" w:themeFill="background1"/>
          </w:tcPr>
          <w:p w14:paraId="4283504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2</w:t>
            </w:r>
          </w:p>
        </w:tc>
      </w:tr>
      <w:tr w:rsidR="009A2449" w:rsidRPr="009A2449" w14:paraId="4D3ADCB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A3A337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Lesy města Zlína, spol. s r.o.</w:t>
            </w:r>
          </w:p>
        </w:tc>
        <w:tc>
          <w:tcPr>
            <w:tcW w:w="850" w:type="dxa"/>
            <w:shd w:val="clear" w:color="auto" w:fill="D9D9D9" w:themeFill="background1" w:themeFillShade="D9"/>
          </w:tcPr>
          <w:p w14:paraId="35D526B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089A3AC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6327F6B"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Energetická agentura Zlínského kraje, o.p.s. </w:t>
            </w:r>
          </w:p>
        </w:tc>
        <w:tc>
          <w:tcPr>
            <w:tcW w:w="850" w:type="dxa"/>
            <w:shd w:val="clear" w:color="auto" w:fill="FFFFFF" w:themeFill="background1"/>
          </w:tcPr>
          <w:p w14:paraId="3A4F206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5F8FB1A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FCCA7D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shd w:val="clear" w:color="auto" w:fill="FFFFFF"/>
              </w:rPr>
              <w:t>Baťův institut, příspěvková organizace</w:t>
            </w:r>
          </w:p>
        </w:tc>
        <w:tc>
          <w:tcPr>
            <w:tcW w:w="850" w:type="dxa"/>
            <w:shd w:val="clear" w:color="auto" w:fill="FFFFFF" w:themeFill="background1"/>
          </w:tcPr>
          <w:p w14:paraId="0950105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shd w:val="clear" w:color="auto" w:fill="FFFFFF"/>
              </w:rPr>
              <w:t>1</w:t>
            </w:r>
          </w:p>
        </w:tc>
      </w:tr>
      <w:tr w:rsidR="009A2449" w:rsidRPr="009A2449" w14:paraId="67FB47F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69EF131" w14:textId="77777777" w:rsidR="009A2449" w:rsidRPr="009A2449" w:rsidRDefault="009A2449" w:rsidP="009A2449">
            <w:pPr>
              <w:autoSpaceDE w:val="0"/>
              <w:autoSpaceDN w:val="0"/>
              <w:adjustRightInd w:val="0"/>
              <w:spacing w:before="0"/>
              <w:rPr>
                <w:rFonts w:cstheme="minorHAnsi"/>
                <w:b w:val="0"/>
                <w:color w:val="000000" w:themeColor="text1"/>
                <w:shd w:val="clear" w:color="auto" w:fill="FFFFFF"/>
              </w:rPr>
            </w:pPr>
            <w:r w:rsidRPr="009A2449">
              <w:rPr>
                <w:rFonts w:cstheme="minorHAnsi"/>
                <w:b w:val="0"/>
                <w:color w:val="000000" w:themeColor="text1"/>
                <w:shd w:val="clear" w:color="auto" w:fill="FFFFFF"/>
              </w:rPr>
              <w:t>Živý Zlín</w:t>
            </w:r>
          </w:p>
        </w:tc>
        <w:tc>
          <w:tcPr>
            <w:tcW w:w="850" w:type="dxa"/>
            <w:shd w:val="clear" w:color="auto" w:fill="FFFFFF" w:themeFill="background1"/>
          </w:tcPr>
          <w:p w14:paraId="3A97AE0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FFFFFF"/>
              </w:rPr>
            </w:pPr>
            <w:r w:rsidRPr="009A2449">
              <w:rPr>
                <w:rFonts w:cstheme="minorHAnsi"/>
                <w:color w:val="000000" w:themeColor="text1"/>
                <w:shd w:val="clear" w:color="auto" w:fill="FFFFFF"/>
              </w:rPr>
              <w:t>1</w:t>
            </w:r>
          </w:p>
        </w:tc>
      </w:tr>
      <w:tr w:rsidR="009A2449" w:rsidRPr="009A2449" w14:paraId="4AF02AAC"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E047BEA" w14:textId="77777777" w:rsidR="009A2449" w:rsidRPr="009A2449" w:rsidRDefault="009A2449" w:rsidP="009A2449">
            <w:pPr>
              <w:autoSpaceDE w:val="0"/>
              <w:autoSpaceDN w:val="0"/>
              <w:adjustRightInd w:val="0"/>
              <w:spacing w:before="0"/>
              <w:rPr>
                <w:rFonts w:cstheme="minorHAnsi"/>
                <w:b w:val="0"/>
                <w:color w:val="000000" w:themeColor="text1"/>
                <w:shd w:val="clear" w:color="auto" w:fill="FFFFFF"/>
              </w:rPr>
            </w:pPr>
            <w:r w:rsidRPr="009A2449">
              <w:rPr>
                <w:rFonts w:cstheme="minorHAnsi"/>
                <w:b w:val="0"/>
                <w:color w:val="000000" w:themeColor="text1"/>
              </w:rPr>
              <w:t>Technologické inovační centrum s.r.o.</w:t>
            </w:r>
          </w:p>
        </w:tc>
        <w:tc>
          <w:tcPr>
            <w:tcW w:w="850" w:type="dxa"/>
            <w:shd w:val="clear" w:color="auto" w:fill="D9D9D9" w:themeFill="background1" w:themeFillShade="D9"/>
          </w:tcPr>
          <w:p w14:paraId="7D1287C9"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FFFFFF"/>
              </w:rPr>
            </w:pPr>
            <w:r w:rsidRPr="009A2449">
              <w:rPr>
                <w:rFonts w:cstheme="minorHAnsi"/>
                <w:color w:val="000000" w:themeColor="text1"/>
              </w:rPr>
              <w:t>1</w:t>
            </w:r>
          </w:p>
        </w:tc>
      </w:tr>
      <w:tr w:rsidR="009A2449" w:rsidRPr="009A2449" w14:paraId="68E5E1D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AA1DDA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Povodí Moravy, s.p. - Závod Střední Morava</w:t>
            </w:r>
          </w:p>
        </w:tc>
        <w:tc>
          <w:tcPr>
            <w:tcW w:w="850" w:type="dxa"/>
            <w:shd w:val="clear" w:color="auto" w:fill="D9D9D9" w:themeFill="background1" w:themeFillShade="D9"/>
          </w:tcPr>
          <w:p w14:paraId="2EC223D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26153BA6"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61512A6"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Tajmac-ZPS, a.s.</w:t>
            </w:r>
          </w:p>
        </w:tc>
        <w:tc>
          <w:tcPr>
            <w:tcW w:w="850" w:type="dxa"/>
            <w:shd w:val="clear" w:color="auto" w:fill="FFFFFF" w:themeFill="background1"/>
          </w:tcPr>
          <w:p w14:paraId="0179509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7BE4B74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79E08C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Rallye Zlín, spol. s r. o.</w:t>
            </w:r>
            <w:r w:rsidRPr="009A2449">
              <w:rPr>
                <w:rFonts w:cstheme="minorHAnsi"/>
                <w:b w:val="0"/>
                <w:color w:val="000000"/>
              </w:rPr>
              <w:tab/>
            </w:r>
          </w:p>
        </w:tc>
        <w:tc>
          <w:tcPr>
            <w:tcW w:w="850" w:type="dxa"/>
            <w:shd w:val="clear" w:color="auto" w:fill="D9D9D9" w:themeFill="background1" w:themeFillShade="D9"/>
          </w:tcPr>
          <w:p w14:paraId="24C3857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1</w:t>
            </w:r>
          </w:p>
        </w:tc>
      </w:tr>
      <w:tr w:rsidR="009A2449" w:rsidRPr="009A2449" w14:paraId="0A06E3C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05917F3"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themeColor="text1"/>
              </w:rPr>
              <w:t xml:space="preserve">Oblastní spolek Českého červeného kříže Zlín </w:t>
            </w:r>
          </w:p>
        </w:tc>
        <w:tc>
          <w:tcPr>
            <w:tcW w:w="850" w:type="dxa"/>
            <w:shd w:val="clear" w:color="auto" w:fill="D9D9D9" w:themeFill="background1" w:themeFillShade="D9"/>
          </w:tcPr>
          <w:p w14:paraId="44F870A9"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themeColor="text1"/>
              </w:rPr>
              <w:t>1</w:t>
            </w:r>
          </w:p>
        </w:tc>
      </w:tr>
      <w:tr w:rsidR="009A2449" w:rsidRPr="009A2449" w14:paraId="2C89AF6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55C2D3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Nadace Tomáše Bati</w:t>
            </w:r>
          </w:p>
        </w:tc>
        <w:tc>
          <w:tcPr>
            <w:tcW w:w="850" w:type="dxa"/>
            <w:shd w:val="clear" w:color="auto" w:fill="D9D9D9" w:themeFill="background1" w:themeFillShade="D9"/>
          </w:tcPr>
          <w:p w14:paraId="7C3F897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3CBF1A6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391B41D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Lesy České republiky, s. p. - Krajské ředitelství Zlín </w:t>
            </w:r>
          </w:p>
        </w:tc>
        <w:tc>
          <w:tcPr>
            <w:tcW w:w="850" w:type="dxa"/>
          </w:tcPr>
          <w:p w14:paraId="65BA724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980BB3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A65EBD8"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rPr>
              <w:t xml:space="preserve">Krajská správa ČSÚ ve Zlíně </w:t>
            </w:r>
          </w:p>
        </w:tc>
        <w:tc>
          <w:tcPr>
            <w:tcW w:w="850" w:type="dxa"/>
          </w:tcPr>
          <w:p w14:paraId="031576F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p>
        </w:tc>
      </w:tr>
      <w:tr w:rsidR="009A2449" w:rsidRPr="009A2449" w14:paraId="223CA816"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A9BFC24"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bCs w:val="0"/>
                <w:color w:val="000000"/>
              </w:rPr>
              <w:t>Agrární komora Zlínského kraje</w:t>
            </w:r>
          </w:p>
        </w:tc>
        <w:tc>
          <w:tcPr>
            <w:tcW w:w="850" w:type="dxa"/>
          </w:tcPr>
          <w:p w14:paraId="1D24A78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5B556F6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C0921F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Městské lázně Zlín - Steza Zlín, spol.s r.o.</w:t>
            </w:r>
          </w:p>
        </w:tc>
        <w:tc>
          <w:tcPr>
            <w:tcW w:w="850" w:type="dxa"/>
          </w:tcPr>
          <w:p w14:paraId="5569EA7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C2C840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79F08B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Rehabilitační stacionář Zlín</w:t>
            </w:r>
          </w:p>
        </w:tc>
        <w:tc>
          <w:tcPr>
            <w:tcW w:w="850" w:type="dxa"/>
            <w:shd w:val="clear" w:color="auto" w:fill="D9D9D9" w:themeFill="background1" w:themeFillShade="D9"/>
          </w:tcPr>
          <w:p w14:paraId="2B1E804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27FCB86"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2D2D98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Česká lékařská komora, Okresní sdružení Zlín</w:t>
            </w:r>
          </w:p>
        </w:tc>
        <w:tc>
          <w:tcPr>
            <w:tcW w:w="850" w:type="dxa"/>
          </w:tcPr>
          <w:p w14:paraId="4DEF5AE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EC9E20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2BAFD1EF" w14:textId="77777777" w:rsidR="009A2449" w:rsidRPr="009A2449" w:rsidRDefault="00183F7E" w:rsidP="009A2449">
            <w:pPr>
              <w:autoSpaceDE w:val="0"/>
              <w:autoSpaceDN w:val="0"/>
              <w:adjustRightInd w:val="0"/>
              <w:spacing w:before="0"/>
              <w:rPr>
                <w:rFonts w:cstheme="minorHAnsi"/>
                <w:b w:val="0"/>
                <w:color w:val="000000" w:themeColor="text1"/>
              </w:rPr>
            </w:pPr>
            <w:hyperlink r:id="rId245" w:history="1">
              <w:r w:rsidR="009A2449" w:rsidRPr="009A2449">
                <w:rPr>
                  <w:rFonts w:cstheme="minorHAnsi"/>
                  <w:b w:val="0"/>
                  <w:color w:val="000000" w:themeColor="text1"/>
                </w:rPr>
                <w:t>Berani Zlín, s.r.o.</w:t>
              </w:r>
            </w:hyperlink>
          </w:p>
        </w:tc>
        <w:tc>
          <w:tcPr>
            <w:tcW w:w="850" w:type="dxa"/>
          </w:tcPr>
          <w:p w14:paraId="13159A3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097210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1F133A2" w14:textId="77777777" w:rsidR="009A2449" w:rsidRPr="009A2449" w:rsidRDefault="00183F7E" w:rsidP="009A2449">
            <w:pPr>
              <w:autoSpaceDE w:val="0"/>
              <w:autoSpaceDN w:val="0"/>
              <w:adjustRightInd w:val="0"/>
              <w:spacing w:before="0"/>
              <w:rPr>
                <w:rFonts w:cstheme="minorHAnsi"/>
                <w:b w:val="0"/>
                <w:color w:val="000000" w:themeColor="text1"/>
              </w:rPr>
            </w:pPr>
            <w:hyperlink r:id="rId246" w:history="1">
              <w:r w:rsidR="009A2449" w:rsidRPr="009A2449">
                <w:rPr>
                  <w:rFonts w:cstheme="minorHAnsi"/>
                  <w:b w:val="0"/>
                  <w:color w:val="000000" w:themeColor="text1"/>
                </w:rPr>
                <w:t>Pohřebnictví Zlín, spol. s r.o.</w:t>
              </w:r>
            </w:hyperlink>
          </w:p>
        </w:tc>
        <w:tc>
          <w:tcPr>
            <w:tcW w:w="850" w:type="dxa"/>
          </w:tcPr>
          <w:p w14:paraId="7D56A8D0"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9DE811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0DB1848" w14:textId="77777777" w:rsidR="009A2449" w:rsidRPr="009A2449" w:rsidRDefault="009A2449" w:rsidP="006F3CC1">
            <w:pPr>
              <w:numPr>
                <w:ilvl w:val="0"/>
                <w:numId w:val="7"/>
              </w:numPr>
              <w:shd w:val="clear" w:color="auto" w:fill="FFFFFF"/>
              <w:spacing w:before="0"/>
              <w:ind w:left="0"/>
              <w:jc w:val="left"/>
              <w:textAlignment w:val="baseline"/>
              <w:rPr>
                <w:rFonts w:eastAsia="Times New Roman" w:cstheme="minorHAnsi"/>
                <w:b w:val="0"/>
                <w:color w:val="000000" w:themeColor="text1"/>
                <w:lang w:eastAsia="cs-CZ"/>
              </w:rPr>
            </w:pPr>
            <w:r w:rsidRPr="009A2449">
              <w:rPr>
                <w:rFonts w:cstheme="minorHAnsi"/>
                <w:b w:val="0"/>
                <w:color w:val="000000" w:themeColor="text1"/>
                <w:shd w:val="clear" w:color="auto" w:fill="FFFFFF"/>
              </w:rPr>
              <w:t>ALTERNATIVA - Kulturní institut Zlín</w:t>
            </w:r>
          </w:p>
        </w:tc>
        <w:tc>
          <w:tcPr>
            <w:tcW w:w="850" w:type="dxa"/>
          </w:tcPr>
          <w:p w14:paraId="303F5CF9" w14:textId="77777777" w:rsidR="009A2449" w:rsidRPr="009A2449" w:rsidRDefault="009A2449" w:rsidP="006F3CC1">
            <w:pPr>
              <w:numPr>
                <w:ilvl w:val="0"/>
                <w:numId w:val="7"/>
              </w:numPr>
              <w:shd w:val="clear" w:color="auto" w:fill="FFFFFF"/>
              <w:spacing w:before="0"/>
              <w:ind w:left="0"/>
              <w:jc w:val="left"/>
              <w:textAlignment w:val="baseline"/>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FFFFFF"/>
              </w:rPr>
            </w:pPr>
          </w:p>
        </w:tc>
      </w:tr>
      <w:tr w:rsidR="009A2449" w:rsidRPr="009A2449" w14:paraId="3838E1B4"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80B37E2" w14:textId="77777777" w:rsidR="009A2449" w:rsidRPr="009A2449" w:rsidRDefault="009A2449" w:rsidP="009A2449">
            <w:pPr>
              <w:spacing w:before="0"/>
              <w:jc w:val="left"/>
              <w:rPr>
                <w:rFonts w:eastAsia="Times New Roman" w:cstheme="minorHAnsi"/>
                <w:b w:val="0"/>
                <w:lang w:eastAsia="cs-CZ"/>
              </w:rPr>
            </w:pPr>
            <w:r w:rsidRPr="009A2449">
              <w:rPr>
                <w:rFonts w:cstheme="minorHAnsi"/>
                <w:b w:val="0"/>
              </w:rPr>
              <w:t>Dům dětí a mládeže ASTRA Zlín, Tyršovo nábřeží 801, příspěvková organizace</w:t>
            </w:r>
          </w:p>
        </w:tc>
        <w:tc>
          <w:tcPr>
            <w:tcW w:w="850" w:type="dxa"/>
            <w:shd w:val="clear" w:color="auto" w:fill="D9D9D9" w:themeFill="background1" w:themeFillShade="D9"/>
          </w:tcPr>
          <w:p w14:paraId="216B9B7D" w14:textId="77777777" w:rsidR="009A2449" w:rsidRPr="009A2449" w:rsidRDefault="009A2449" w:rsidP="009A2449">
            <w:pPr>
              <w:spacing w:before="0"/>
              <w:jc w:val="left"/>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12390A0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9378151" w14:textId="77777777" w:rsidR="009A2449" w:rsidRPr="009A2449" w:rsidRDefault="009A2449" w:rsidP="006F3CC1">
            <w:pPr>
              <w:numPr>
                <w:ilvl w:val="0"/>
                <w:numId w:val="7"/>
              </w:numPr>
              <w:shd w:val="clear" w:color="auto" w:fill="FFFFFF"/>
              <w:spacing w:before="0"/>
              <w:ind w:left="0"/>
              <w:jc w:val="left"/>
              <w:textAlignment w:val="baseline"/>
              <w:rPr>
                <w:rFonts w:cstheme="minorHAnsi"/>
                <w:b w:val="0"/>
                <w:color w:val="000000" w:themeColor="text1"/>
                <w:shd w:val="clear" w:color="auto" w:fill="FFFFFF"/>
              </w:rPr>
            </w:pPr>
            <w:r w:rsidRPr="009A2449">
              <w:rPr>
                <w:rFonts w:cstheme="minorHAnsi"/>
                <w:b w:val="0"/>
                <w:color w:val="000000" w:themeColor="text1"/>
                <w:shd w:val="clear" w:color="auto" w:fill="FFFFFF"/>
              </w:rPr>
              <w:t>Středisko volného času - Ostrov radosti</w:t>
            </w:r>
          </w:p>
        </w:tc>
        <w:tc>
          <w:tcPr>
            <w:tcW w:w="850" w:type="dxa"/>
          </w:tcPr>
          <w:p w14:paraId="6168F2D7" w14:textId="77777777" w:rsidR="009A2449" w:rsidRPr="009A2449" w:rsidRDefault="009A2449" w:rsidP="006F3CC1">
            <w:pPr>
              <w:numPr>
                <w:ilvl w:val="0"/>
                <w:numId w:val="7"/>
              </w:numPr>
              <w:shd w:val="clear" w:color="auto" w:fill="FFFFFF"/>
              <w:spacing w:before="0"/>
              <w:ind w:left="0"/>
              <w:jc w:val="left"/>
              <w:textAlignment w:val="baseline"/>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FFFFFF"/>
              </w:rPr>
            </w:pPr>
          </w:p>
        </w:tc>
      </w:tr>
      <w:tr w:rsidR="009A2449" w:rsidRPr="009A2449" w14:paraId="22A01D7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3142AC46" w14:textId="77777777" w:rsidR="009A2449" w:rsidRPr="009A2449" w:rsidRDefault="009A2449" w:rsidP="009A2449">
            <w:pPr>
              <w:shd w:val="clear" w:color="auto" w:fill="FFFFFF"/>
              <w:spacing w:before="0"/>
              <w:jc w:val="left"/>
              <w:textAlignment w:val="baseline"/>
              <w:rPr>
                <w:rFonts w:cstheme="minorHAnsi"/>
                <w:b w:val="0"/>
                <w:color w:val="000000" w:themeColor="text1"/>
                <w:shd w:val="clear" w:color="auto" w:fill="FFFFFF"/>
              </w:rPr>
            </w:pPr>
            <w:r w:rsidRPr="009A2449">
              <w:rPr>
                <w:rFonts w:cstheme="minorHAnsi"/>
                <w:b w:val="0"/>
                <w:color w:val="000000" w:themeColor="text1"/>
                <w:shd w:val="clear" w:color="auto" w:fill="FFFFFF"/>
              </w:rPr>
              <w:t>Krajská galerie výtvarného umění ve Zlíně</w:t>
            </w:r>
          </w:p>
        </w:tc>
        <w:tc>
          <w:tcPr>
            <w:tcW w:w="850" w:type="dxa"/>
          </w:tcPr>
          <w:p w14:paraId="65D7CB53" w14:textId="77777777" w:rsidR="009A2449" w:rsidRPr="009A2449" w:rsidRDefault="009A2449" w:rsidP="009A2449">
            <w:pPr>
              <w:shd w:val="clear" w:color="auto" w:fill="FFFFFF"/>
              <w:spacing w:before="0"/>
              <w:jc w:val="left"/>
              <w:textAlignment w:val="baseline"/>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FFFFFF"/>
              </w:rPr>
            </w:pPr>
          </w:p>
        </w:tc>
      </w:tr>
      <w:tr w:rsidR="009A2449" w:rsidRPr="009A2449" w14:paraId="600F6011" w14:textId="77777777" w:rsidTr="006A6228">
        <w:trPr>
          <w:trHeight w:hRule="exact" w:val="256"/>
        </w:trPr>
        <w:tc>
          <w:tcPr>
            <w:cnfStyle w:val="001000000000" w:firstRow="0" w:lastRow="0" w:firstColumn="1" w:lastColumn="0" w:oddVBand="0" w:evenVBand="0" w:oddHBand="0" w:evenHBand="0" w:firstRowFirstColumn="0" w:firstRowLastColumn="0" w:lastRowFirstColumn="0" w:lastRowLastColumn="0"/>
            <w:tcW w:w="8217" w:type="dxa"/>
          </w:tcPr>
          <w:p w14:paraId="739686A3" w14:textId="77777777" w:rsidR="009A2449" w:rsidRPr="009A2449" w:rsidRDefault="009A2449" w:rsidP="009A2449">
            <w:pPr>
              <w:shd w:val="clear" w:color="auto" w:fill="FFFFFF"/>
              <w:spacing w:before="0"/>
              <w:jc w:val="left"/>
              <w:textAlignment w:val="baseline"/>
              <w:rPr>
                <w:rFonts w:cstheme="minorHAnsi"/>
                <w:b w:val="0"/>
                <w:color w:val="000000" w:themeColor="text1"/>
                <w:shd w:val="clear" w:color="auto" w:fill="FFFFFF"/>
              </w:rPr>
            </w:pPr>
            <w:r w:rsidRPr="009A2449">
              <w:rPr>
                <w:rFonts w:cstheme="minorHAnsi"/>
                <w:b w:val="0"/>
                <w:color w:val="000000" w:themeColor="text1"/>
                <w:shd w:val="clear" w:color="auto" w:fill="FFFFFF"/>
              </w:rPr>
              <w:t>Muzeum jihovýchodní Moravy ve Zlíně, příspěvková organizace</w:t>
            </w:r>
          </w:p>
        </w:tc>
        <w:tc>
          <w:tcPr>
            <w:tcW w:w="850" w:type="dxa"/>
          </w:tcPr>
          <w:p w14:paraId="70B80E74" w14:textId="77777777" w:rsidR="009A2449" w:rsidRPr="009A2449" w:rsidRDefault="009A2449" w:rsidP="009A2449">
            <w:pPr>
              <w:shd w:val="clear" w:color="auto" w:fill="FFFFFF"/>
              <w:spacing w:before="0"/>
              <w:jc w:val="left"/>
              <w:textAlignment w:val="baseline"/>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FFFFFF"/>
              </w:rPr>
            </w:pPr>
          </w:p>
        </w:tc>
      </w:tr>
      <w:tr w:rsidR="009A2449" w:rsidRPr="009A2449" w14:paraId="5EB83D83" w14:textId="77777777" w:rsidTr="006A6228">
        <w:trPr>
          <w:trHeight w:hRule="exact" w:val="290"/>
        </w:trPr>
        <w:tc>
          <w:tcPr>
            <w:cnfStyle w:val="001000000000" w:firstRow="0" w:lastRow="0" w:firstColumn="1" w:lastColumn="0" w:oddVBand="0" w:evenVBand="0" w:oddHBand="0" w:evenHBand="0" w:firstRowFirstColumn="0" w:firstRowLastColumn="0" w:lastRowFirstColumn="0" w:lastRowLastColumn="0"/>
            <w:tcW w:w="8217" w:type="dxa"/>
          </w:tcPr>
          <w:p w14:paraId="48E5439E" w14:textId="77777777" w:rsidR="009A2449" w:rsidRPr="009A2449" w:rsidRDefault="009A2449" w:rsidP="009A2449">
            <w:pPr>
              <w:shd w:val="clear" w:color="auto" w:fill="FFFFFF"/>
              <w:spacing w:before="0"/>
              <w:jc w:val="left"/>
              <w:textAlignment w:val="baseline"/>
              <w:rPr>
                <w:rFonts w:cstheme="minorHAnsi"/>
                <w:b w:val="0"/>
                <w:color w:val="000000" w:themeColor="text1"/>
                <w:shd w:val="clear" w:color="auto" w:fill="FFFFFF"/>
              </w:rPr>
            </w:pPr>
            <w:r w:rsidRPr="009A2449">
              <w:rPr>
                <w:rFonts w:cstheme="minorHAnsi"/>
                <w:b w:val="0"/>
                <w:color w:val="000000" w:themeColor="text1"/>
                <w:shd w:val="clear" w:color="auto" w:fill="FFFFFF"/>
              </w:rPr>
              <w:t>ALTERNATIVA - Kulturní institut Zlín</w:t>
            </w:r>
          </w:p>
        </w:tc>
        <w:tc>
          <w:tcPr>
            <w:tcW w:w="850" w:type="dxa"/>
          </w:tcPr>
          <w:p w14:paraId="1E5FDD44" w14:textId="77777777" w:rsidR="009A2449" w:rsidRPr="009A2449" w:rsidRDefault="009A2449" w:rsidP="009A2449">
            <w:pPr>
              <w:shd w:val="clear" w:color="auto" w:fill="FFFFFF"/>
              <w:spacing w:before="0"/>
              <w:jc w:val="left"/>
              <w:textAlignment w:val="baseline"/>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FFFFFF"/>
              </w:rPr>
            </w:pPr>
          </w:p>
        </w:tc>
      </w:tr>
      <w:tr w:rsidR="009A2449" w:rsidRPr="009A2449" w14:paraId="46F859B4" w14:textId="77777777" w:rsidTr="006A6228">
        <w:trPr>
          <w:trHeight w:val="226"/>
        </w:trPr>
        <w:tc>
          <w:tcPr>
            <w:cnfStyle w:val="001000000000" w:firstRow="0" w:lastRow="0" w:firstColumn="1" w:lastColumn="0" w:oddVBand="0" w:evenVBand="0" w:oddHBand="0" w:evenHBand="0" w:firstRowFirstColumn="0" w:firstRowLastColumn="0" w:lastRowFirstColumn="0" w:lastRowLastColumn="0"/>
            <w:tcW w:w="8217" w:type="dxa"/>
          </w:tcPr>
          <w:p w14:paraId="5D1CB33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BUDOVATEL, stavební bytové družstvo se sídlem ve Zlíně</w:t>
            </w:r>
          </w:p>
        </w:tc>
        <w:tc>
          <w:tcPr>
            <w:tcW w:w="850" w:type="dxa"/>
          </w:tcPr>
          <w:p w14:paraId="31132828"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116736A" w14:textId="77777777" w:rsidTr="006A6228">
        <w:trPr>
          <w:trHeight w:val="283"/>
        </w:trPr>
        <w:tc>
          <w:tcPr>
            <w:cnfStyle w:val="001000000000" w:firstRow="0" w:lastRow="0" w:firstColumn="1" w:lastColumn="0" w:oddVBand="0" w:evenVBand="0" w:oddHBand="0" w:evenHBand="0" w:firstRowFirstColumn="0" w:firstRowLastColumn="0" w:lastRowFirstColumn="0" w:lastRowLastColumn="0"/>
            <w:tcW w:w="8217" w:type="dxa"/>
          </w:tcPr>
          <w:p w14:paraId="409619B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Vaše laboratoře s.r.o.</w:t>
            </w:r>
          </w:p>
        </w:tc>
        <w:tc>
          <w:tcPr>
            <w:tcW w:w="850" w:type="dxa"/>
          </w:tcPr>
          <w:p w14:paraId="59648A3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385DF3D" w14:textId="77777777" w:rsidTr="006A6228">
        <w:trPr>
          <w:trHeight w:val="283"/>
        </w:trPr>
        <w:tc>
          <w:tcPr>
            <w:cnfStyle w:val="001000000000" w:firstRow="0" w:lastRow="0" w:firstColumn="1" w:lastColumn="0" w:oddVBand="0" w:evenVBand="0" w:oddHBand="0" w:evenHBand="0" w:firstRowFirstColumn="0" w:firstRowLastColumn="0" w:lastRowFirstColumn="0" w:lastRowLastColumn="0"/>
            <w:tcW w:w="8217" w:type="dxa"/>
          </w:tcPr>
          <w:p w14:paraId="5556556A"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JVM-RPIC, spol. s.r.o.</w:t>
            </w:r>
          </w:p>
        </w:tc>
        <w:tc>
          <w:tcPr>
            <w:tcW w:w="850" w:type="dxa"/>
          </w:tcPr>
          <w:p w14:paraId="6C17AE48"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06B0DAA" w14:textId="77777777" w:rsidTr="006A6228">
        <w:trPr>
          <w:trHeight w:val="277"/>
        </w:trPr>
        <w:tc>
          <w:tcPr>
            <w:cnfStyle w:val="001000000000" w:firstRow="0" w:lastRow="0" w:firstColumn="1" w:lastColumn="0" w:oddVBand="0" w:evenVBand="0" w:oddHBand="0" w:evenHBand="0" w:firstRowFirstColumn="0" w:firstRowLastColumn="0" w:lastRowFirstColumn="0" w:lastRowLastColumn="0"/>
            <w:tcW w:w="8217" w:type="dxa"/>
          </w:tcPr>
          <w:p w14:paraId="21D2145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Institut pro testování a certifikaci, a.s.</w:t>
            </w:r>
          </w:p>
        </w:tc>
        <w:tc>
          <w:tcPr>
            <w:tcW w:w="850" w:type="dxa"/>
          </w:tcPr>
          <w:p w14:paraId="1362CD4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A924FDF" w14:textId="77777777" w:rsidTr="006A6228">
        <w:trPr>
          <w:trHeight w:val="280"/>
        </w:trPr>
        <w:tc>
          <w:tcPr>
            <w:cnfStyle w:val="001000000000" w:firstRow="0" w:lastRow="0" w:firstColumn="1" w:lastColumn="0" w:oddVBand="0" w:evenVBand="0" w:oddHBand="0" w:evenHBand="0" w:firstRowFirstColumn="0" w:firstRowLastColumn="0" w:lastRowFirstColumn="0" w:lastRowLastColumn="0"/>
            <w:tcW w:w="8217" w:type="dxa"/>
          </w:tcPr>
          <w:p w14:paraId="35F814EA"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Institut gumárenské technologie a testování, a.s.</w:t>
            </w:r>
          </w:p>
        </w:tc>
        <w:tc>
          <w:tcPr>
            <w:tcW w:w="850" w:type="dxa"/>
          </w:tcPr>
          <w:p w14:paraId="09472CE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A94FD44" w14:textId="77777777" w:rsidTr="006A6228">
        <w:trPr>
          <w:trHeight w:val="257"/>
        </w:trPr>
        <w:tc>
          <w:tcPr>
            <w:cnfStyle w:val="001000000000" w:firstRow="0" w:lastRow="0" w:firstColumn="1" w:lastColumn="0" w:oddVBand="0" w:evenVBand="0" w:oddHBand="0" w:evenHBand="0" w:firstRowFirstColumn="0" w:firstRowLastColumn="0" w:lastRowFirstColumn="0" w:lastRowLastColumn="0"/>
            <w:tcW w:w="8217" w:type="dxa"/>
          </w:tcPr>
          <w:p w14:paraId="2A0EC91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COMERCIO TREND s.r.o.</w:t>
            </w:r>
          </w:p>
        </w:tc>
        <w:tc>
          <w:tcPr>
            <w:tcW w:w="850" w:type="dxa"/>
          </w:tcPr>
          <w:p w14:paraId="1445889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2246C35" w14:textId="77777777" w:rsidTr="006A6228">
        <w:trPr>
          <w:trHeight w:val="257"/>
        </w:trPr>
        <w:tc>
          <w:tcPr>
            <w:cnfStyle w:val="001000000000" w:firstRow="0" w:lastRow="0" w:firstColumn="1" w:lastColumn="0" w:oddVBand="0" w:evenVBand="0" w:oddHBand="0" w:evenHBand="0" w:firstRowFirstColumn="0" w:firstRowLastColumn="0" w:lastRowFirstColumn="0" w:lastRowLastColumn="0"/>
            <w:tcW w:w="8217" w:type="dxa"/>
          </w:tcPr>
          <w:p w14:paraId="50C4E45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PROCESIA Zlín s.r.o.</w:t>
            </w:r>
          </w:p>
        </w:tc>
        <w:tc>
          <w:tcPr>
            <w:tcW w:w="850" w:type="dxa"/>
          </w:tcPr>
          <w:p w14:paraId="2C78676C"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0EE72AF" w14:textId="77777777" w:rsidTr="006A6228">
        <w:trPr>
          <w:trHeight w:val="257"/>
        </w:trPr>
        <w:tc>
          <w:tcPr>
            <w:cnfStyle w:val="001000000000" w:firstRow="0" w:lastRow="0" w:firstColumn="1" w:lastColumn="0" w:oddVBand="0" w:evenVBand="0" w:oddHBand="0" w:evenHBand="0" w:firstRowFirstColumn="0" w:firstRowLastColumn="0" w:lastRowFirstColumn="0" w:lastRowLastColumn="0"/>
            <w:tcW w:w="8217" w:type="dxa"/>
          </w:tcPr>
          <w:p w14:paraId="6A57FC27"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Mediekos Ambulance, s.r.o.</w:t>
            </w:r>
          </w:p>
        </w:tc>
        <w:tc>
          <w:tcPr>
            <w:tcW w:w="850" w:type="dxa"/>
          </w:tcPr>
          <w:p w14:paraId="4C714846"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60DFDE3" w14:textId="77777777" w:rsidTr="006A6228">
        <w:trPr>
          <w:trHeight w:val="296"/>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6B26177" w14:textId="77777777" w:rsidR="009A2449" w:rsidRPr="009A2449" w:rsidRDefault="009A2449" w:rsidP="009A2449">
            <w:pPr>
              <w:spacing w:before="0"/>
              <w:jc w:val="left"/>
              <w:rPr>
                <w:rFonts w:cstheme="minorHAnsi"/>
                <w:b w:val="0"/>
              </w:rPr>
            </w:pPr>
            <w:r w:rsidRPr="009A2449">
              <w:rPr>
                <w:rFonts w:cstheme="minorHAnsi"/>
                <w:b w:val="0"/>
              </w:rPr>
              <w:t>Vita Sana Club</w:t>
            </w:r>
          </w:p>
        </w:tc>
        <w:tc>
          <w:tcPr>
            <w:tcW w:w="850" w:type="dxa"/>
            <w:shd w:val="clear" w:color="auto" w:fill="D9D9D9" w:themeFill="background1" w:themeFillShade="D9"/>
          </w:tcPr>
          <w:p w14:paraId="4451ED6B" w14:textId="77777777" w:rsidR="009A2449" w:rsidRPr="009A2449" w:rsidRDefault="009A2449" w:rsidP="009A2449">
            <w:pPr>
              <w:spacing w:before="0"/>
              <w:jc w:val="left"/>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0FC06C0A" w14:textId="77777777" w:rsidTr="006A6228">
        <w:trPr>
          <w:trHeight w:val="296"/>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31D1A30A" w14:textId="77777777" w:rsidR="009A2449" w:rsidRPr="009A2449" w:rsidRDefault="009A2449" w:rsidP="009A2449">
            <w:pPr>
              <w:spacing w:before="0"/>
              <w:jc w:val="left"/>
              <w:rPr>
                <w:rFonts w:cstheme="minorHAnsi"/>
                <w:b w:val="0"/>
              </w:rPr>
            </w:pPr>
            <w:r w:rsidRPr="009A2449">
              <w:rPr>
                <w:rFonts w:cstheme="minorHAnsi"/>
                <w:b w:val="0"/>
                <w:color w:val="000000" w:themeColor="text1"/>
              </w:rPr>
              <w:t>CREAM Real Estate, s.r.o.</w:t>
            </w:r>
          </w:p>
        </w:tc>
        <w:tc>
          <w:tcPr>
            <w:tcW w:w="850" w:type="dxa"/>
            <w:shd w:val="clear" w:color="auto" w:fill="FFFFFF" w:themeFill="background1"/>
          </w:tcPr>
          <w:p w14:paraId="52688B9A" w14:textId="77777777" w:rsidR="009A2449" w:rsidRPr="009A2449" w:rsidRDefault="009A2449" w:rsidP="009A2449">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E9C417F"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3FD6DF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bCs w:val="0"/>
                <w:color w:val="000000" w:themeColor="text1"/>
              </w:rPr>
              <w:t>Občanské sdružení Zelené bydlení</w:t>
            </w:r>
          </w:p>
        </w:tc>
        <w:tc>
          <w:tcPr>
            <w:tcW w:w="850" w:type="dxa"/>
            <w:shd w:val="clear" w:color="auto" w:fill="FFFFFF" w:themeFill="background1"/>
          </w:tcPr>
          <w:p w14:paraId="0C7138C9"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themeColor="text1"/>
              </w:rPr>
            </w:pPr>
          </w:p>
        </w:tc>
      </w:tr>
      <w:tr w:rsidR="009A2449" w:rsidRPr="009A2449" w14:paraId="6FA15646"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7B89941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ZO ČSOP Ekocentrum Čtyřlístek</w:t>
            </w:r>
          </w:p>
        </w:tc>
        <w:tc>
          <w:tcPr>
            <w:tcW w:w="850" w:type="dxa"/>
          </w:tcPr>
          <w:p w14:paraId="6803AA1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764F5A3"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1B77A96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Katolická církev - Arcidiecéze olomoucká - Děkanský úřad Zlín</w:t>
            </w:r>
          </w:p>
        </w:tc>
        <w:tc>
          <w:tcPr>
            <w:tcW w:w="850" w:type="dxa"/>
          </w:tcPr>
          <w:p w14:paraId="58AB86F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A0A1FB8"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0730547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HANDICAP Zlín, z.s.</w:t>
            </w:r>
          </w:p>
        </w:tc>
        <w:tc>
          <w:tcPr>
            <w:tcW w:w="850" w:type="dxa"/>
          </w:tcPr>
          <w:p w14:paraId="64263D4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3CC546F"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616F958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Aktivně životem o.p.s.</w:t>
            </w:r>
          </w:p>
        </w:tc>
        <w:tc>
          <w:tcPr>
            <w:tcW w:w="850" w:type="dxa"/>
          </w:tcPr>
          <w:p w14:paraId="10C86B6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B51C78A"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00D00B4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ARGO, Společnost dobré vůle, Zlín</w:t>
            </w:r>
          </w:p>
        </w:tc>
        <w:tc>
          <w:tcPr>
            <w:tcW w:w="850" w:type="dxa"/>
          </w:tcPr>
          <w:p w14:paraId="484C89D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E6BC2AE"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4B60DFC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Azylový dům pro ženy a matky s dětmi o.p.s.</w:t>
            </w:r>
          </w:p>
        </w:tc>
        <w:tc>
          <w:tcPr>
            <w:tcW w:w="850" w:type="dxa"/>
          </w:tcPr>
          <w:p w14:paraId="5E75F60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B7DB266"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3718752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GRUNT, o.s. - Resocializační a terapeutická komunita</w:t>
            </w:r>
          </w:p>
        </w:tc>
        <w:tc>
          <w:tcPr>
            <w:tcW w:w="850" w:type="dxa"/>
          </w:tcPr>
          <w:p w14:paraId="4052972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430E1D2"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6031B6D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HVĚZDA z. ú.</w:t>
            </w:r>
          </w:p>
        </w:tc>
        <w:tc>
          <w:tcPr>
            <w:tcW w:w="850" w:type="dxa"/>
          </w:tcPr>
          <w:p w14:paraId="6E4124E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F6A648F"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7254088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Centrum služeb a podpory Zlín, o.p.s. – Slunečnice</w:t>
            </w:r>
          </w:p>
        </w:tc>
        <w:tc>
          <w:tcPr>
            <w:tcW w:w="850" w:type="dxa"/>
          </w:tcPr>
          <w:p w14:paraId="1CD8420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D29D332"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FA07D25"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Společnost Podané ruce o.p.s. – Kontaktní centrum ve Zlíně</w:t>
            </w:r>
          </w:p>
        </w:tc>
        <w:tc>
          <w:tcPr>
            <w:tcW w:w="850" w:type="dxa"/>
            <w:shd w:val="clear" w:color="auto" w:fill="FFFFFF" w:themeFill="background1"/>
          </w:tcPr>
          <w:p w14:paraId="6AEDBAF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95FA248"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0897F39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Sjednocená organizace nevidomých a slabozrakých ČR</w:t>
            </w:r>
          </w:p>
        </w:tc>
        <w:tc>
          <w:tcPr>
            <w:tcW w:w="850" w:type="dxa"/>
          </w:tcPr>
          <w:p w14:paraId="4869AEB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84E0B28"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04E15FC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STROP o.p.s.</w:t>
            </w:r>
          </w:p>
        </w:tc>
        <w:tc>
          <w:tcPr>
            <w:tcW w:w="850" w:type="dxa"/>
          </w:tcPr>
          <w:p w14:paraId="5525056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3FB8AC8"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350EA7D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Středisko rané péče EDUCO Zlín z.s.</w:t>
            </w:r>
          </w:p>
        </w:tc>
        <w:tc>
          <w:tcPr>
            <w:tcW w:w="850" w:type="dxa"/>
          </w:tcPr>
          <w:p w14:paraId="0E4ABB2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6936946"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440807E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Svaz tělesně postižených v České republice, z.s., Zlín</w:t>
            </w:r>
          </w:p>
        </w:tc>
        <w:tc>
          <w:tcPr>
            <w:tcW w:w="850" w:type="dxa"/>
          </w:tcPr>
          <w:p w14:paraId="0323FC5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080BBA4"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303A5E9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Tyfloservis, o.p.s., krajské ambulantní středisko Zlín</w:t>
            </w:r>
          </w:p>
        </w:tc>
        <w:tc>
          <w:tcPr>
            <w:tcW w:w="850" w:type="dxa"/>
          </w:tcPr>
          <w:p w14:paraId="4A4BFEF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5C7436"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45AB7D16"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Unie Kompas, z.s.</w:t>
            </w:r>
          </w:p>
        </w:tc>
        <w:tc>
          <w:tcPr>
            <w:tcW w:w="850" w:type="dxa"/>
          </w:tcPr>
          <w:p w14:paraId="5EEA8E2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EC30B45"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60E33A1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Malá scéna Zlín o.p.s.</w:t>
            </w:r>
          </w:p>
        </w:tc>
        <w:tc>
          <w:tcPr>
            <w:tcW w:w="850" w:type="dxa"/>
          </w:tcPr>
          <w:p w14:paraId="08389BF0"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9376B70"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1B94420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Hvězdárna Zlín - Zlínská astronomická společnost</w:t>
            </w:r>
          </w:p>
        </w:tc>
        <w:tc>
          <w:tcPr>
            <w:tcW w:w="850" w:type="dxa"/>
          </w:tcPr>
          <w:p w14:paraId="21B649B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7B6C584"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0E21A618" w14:textId="77777777" w:rsidR="009A2449" w:rsidRPr="009A2449" w:rsidRDefault="009A2449" w:rsidP="009A2449">
            <w:pPr>
              <w:autoSpaceDE w:val="0"/>
              <w:autoSpaceDN w:val="0"/>
              <w:adjustRightInd w:val="0"/>
              <w:spacing w:before="0"/>
              <w:rPr>
                <w:rFonts w:cstheme="minorHAnsi"/>
                <w:color w:val="000000" w:themeColor="text1"/>
              </w:rPr>
            </w:pPr>
            <w:r w:rsidRPr="009A2449">
              <w:rPr>
                <w:rFonts w:cstheme="minorHAnsi"/>
                <w:b w:val="0"/>
                <w:bCs w:val="0"/>
                <w:color w:val="000000"/>
              </w:rPr>
              <w:t>Sportovní klub P+K Zlín, z.s.</w:t>
            </w:r>
          </w:p>
        </w:tc>
        <w:tc>
          <w:tcPr>
            <w:tcW w:w="850" w:type="dxa"/>
            <w:shd w:val="clear" w:color="auto" w:fill="FFFFFF" w:themeFill="background1"/>
          </w:tcPr>
          <w:p w14:paraId="3BEDAA9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61318D54"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9C41E30"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PSG Berani Zlín</w:t>
            </w:r>
          </w:p>
        </w:tc>
        <w:tc>
          <w:tcPr>
            <w:tcW w:w="850" w:type="dxa"/>
            <w:shd w:val="clear" w:color="auto" w:fill="FFFFFF" w:themeFill="background1"/>
          </w:tcPr>
          <w:p w14:paraId="63C6EAF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686C2FAA"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4507A9CE"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FC Fastav Zlín‎</w:t>
            </w:r>
          </w:p>
        </w:tc>
        <w:tc>
          <w:tcPr>
            <w:tcW w:w="850" w:type="dxa"/>
            <w:shd w:val="clear" w:color="auto" w:fill="FFFFFF" w:themeFill="background1"/>
          </w:tcPr>
          <w:p w14:paraId="520A18F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4F1223B0"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96D8399"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FC Malenovice</w:t>
            </w:r>
          </w:p>
        </w:tc>
        <w:tc>
          <w:tcPr>
            <w:tcW w:w="850" w:type="dxa"/>
            <w:shd w:val="clear" w:color="auto" w:fill="FFFFFF" w:themeFill="background1"/>
          </w:tcPr>
          <w:p w14:paraId="195E3B3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46917171"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05F00310"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Sportovní klub basketbalu Zlín</w:t>
            </w:r>
          </w:p>
        </w:tc>
        <w:tc>
          <w:tcPr>
            <w:tcW w:w="850" w:type="dxa"/>
            <w:shd w:val="clear" w:color="auto" w:fill="FFFFFF" w:themeFill="background1"/>
          </w:tcPr>
          <w:p w14:paraId="63B2346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4109C668"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4B9D8F6"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VSC Fatra Zlín</w:t>
            </w:r>
          </w:p>
        </w:tc>
        <w:tc>
          <w:tcPr>
            <w:tcW w:w="850" w:type="dxa"/>
            <w:shd w:val="clear" w:color="auto" w:fill="FFFFFF" w:themeFill="background1"/>
          </w:tcPr>
          <w:p w14:paraId="78C5383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005FF408"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F0D6185"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RUGBY CLUB Zlín</w:t>
            </w:r>
          </w:p>
        </w:tc>
        <w:tc>
          <w:tcPr>
            <w:tcW w:w="850" w:type="dxa"/>
            <w:shd w:val="clear" w:color="auto" w:fill="FFFFFF" w:themeFill="background1"/>
          </w:tcPr>
          <w:p w14:paraId="2F62E7B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73540ACC"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C21923F"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Ajax eVenture Zlín</w:t>
            </w:r>
          </w:p>
        </w:tc>
        <w:tc>
          <w:tcPr>
            <w:tcW w:w="850" w:type="dxa"/>
            <w:shd w:val="clear" w:color="auto" w:fill="FFFFFF" w:themeFill="background1"/>
          </w:tcPr>
          <w:p w14:paraId="2EF475B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0924B1DD"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A2F2BD7" w14:textId="77777777" w:rsidR="009A2449" w:rsidRPr="009A2449" w:rsidRDefault="009A2449" w:rsidP="009A2449">
            <w:pPr>
              <w:autoSpaceDE w:val="0"/>
              <w:autoSpaceDN w:val="0"/>
              <w:adjustRightInd w:val="0"/>
              <w:spacing w:before="0"/>
              <w:rPr>
                <w:rFonts w:cstheme="minorHAnsi"/>
                <w:b w:val="0"/>
                <w:bCs w:val="0"/>
                <w:color w:val="000000"/>
              </w:rPr>
            </w:pPr>
            <w:r w:rsidRPr="009A2449">
              <w:rPr>
                <w:rFonts w:cstheme="minorHAnsi"/>
                <w:b w:val="0"/>
                <w:bCs w:val="0"/>
                <w:color w:val="000000"/>
              </w:rPr>
              <w:t>Sportovní klub Jaroslavice</w:t>
            </w:r>
          </w:p>
        </w:tc>
        <w:tc>
          <w:tcPr>
            <w:tcW w:w="850" w:type="dxa"/>
            <w:shd w:val="clear" w:color="auto" w:fill="FFFFFF" w:themeFill="background1"/>
          </w:tcPr>
          <w:p w14:paraId="7EB1E17F"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bCs/>
                <w:color w:val="000000"/>
              </w:rPr>
            </w:pPr>
          </w:p>
        </w:tc>
      </w:tr>
      <w:tr w:rsidR="009A2449" w:rsidRPr="009A2449" w14:paraId="0C396E3F"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5FC80DF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Středisko volného času - Ostrov radosti</w:t>
            </w:r>
          </w:p>
          <w:p w14:paraId="18CD0D7C" w14:textId="77777777" w:rsidR="009A2449" w:rsidRPr="009A2449" w:rsidRDefault="009A2449" w:rsidP="009A2449">
            <w:pPr>
              <w:autoSpaceDE w:val="0"/>
              <w:autoSpaceDN w:val="0"/>
              <w:adjustRightInd w:val="0"/>
              <w:spacing w:before="0"/>
              <w:rPr>
                <w:rFonts w:cstheme="minorHAnsi"/>
                <w:b w:val="0"/>
                <w:color w:val="000000" w:themeColor="text1"/>
              </w:rPr>
            </w:pPr>
          </w:p>
          <w:p w14:paraId="0D8B037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Více zde: http://www.ostrovzl.cz/kontakt/</w:t>
            </w:r>
          </w:p>
        </w:tc>
        <w:tc>
          <w:tcPr>
            <w:tcW w:w="850" w:type="dxa"/>
          </w:tcPr>
          <w:p w14:paraId="2910FFF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5A191A0"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1247187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SVČ RADOST ZLÍN</w:t>
            </w:r>
          </w:p>
        </w:tc>
        <w:tc>
          <w:tcPr>
            <w:tcW w:w="850" w:type="dxa"/>
          </w:tcPr>
          <w:p w14:paraId="4C8356B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6C52071"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025C925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Centrum volnočasových aktivit - CVAK, z. s.</w:t>
            </w:r>
          </w:p>
        </w:tc>
        <w:tc>
          <w:tcPr>
            <w:tcW w:w="850" w:type="dxa"/>
          </w:tcPr>
          <w:p w14:paraId="3467376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5B73C46"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037A7E7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Sluníčko, volný čas dětí a mládeže</w:t>
            </w:r>
          </w:p>
        </w:tc>
        <w:tc>
          <w:tcPr>
            <w:tcW w:w="850" w:type="dxa"/>
          </w:tcPr>
          <w:p w14:paraId="0D529F5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35A9C82"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tcPr>
          <w:p w14:paraId="51900C5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DOMINO cz, o.p.s.</w:t>
            </w:r>
          </w:p>
        </w:tc>
        <w:tc>
          <w:tcPr>
            <w:tcW w:w="850" w:type="dxa"/>
          </w:tcPr>
          <w:p w14:paraId="1E364750"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D5D4E84" w14:textId="77777777" w:rsidTr="006A6228">
        <w:trPr>
          <w:trHeight w:hRule="exact" w:val="301"/>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632F5E6"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Studentská unie UTB</w:t>
            </w:r>
          </w:p>
        </w:tc>
        <w:tc>
          <w:tcPr>
            <w:tcW w:w="850" w:type="dxa"/>
            <w:shd w:val="clear" w:color="auto" w:fill="D9D9D9" w:themeFill="background1" w:themeFillShade="D9"/>
          </w:tcPr>
          <w:p w14:paraId="4C106E1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6657CD5" w14:textId="77777777" w:rsidTr="006A6228">
        <w:trPr>
          <w:trHeight w:val="279"/>
        </w:trPr>
        <w:tc>
          <w:tcPr>
            <w:cnfStyle w:val="001000000000" w:firstRow="0" w:lastRow="0" w:firstColumn="1" w:lastColumn="0" w:oddVBand="0" w:evenVBand="0" w:oddHBand="0" w:evenHBand="0" w:firstRowFirstColumn="0" w:firstRowLastColumn="0" w:lastRowFirstColumn="0" w:lastRowLastColumn="0"/>
            <w:tcW w:w="8217" w:type="dxa"/>
          </w:tcPr>
          <w:p w14:paraId="6F99DAB8"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Region Bílé Karpaty</w:t>
            </w:r>
          </w:p>
        </w:tc>
        <w:tc>
          <w:tcPr>
            <w:tcW w:w="850" w:type="dxa"/>
          </w:tcPr>
          <w:p w14:paraId="7C68AA98"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1BB1288" w14:textId="77777777" w:rsidTr="006A6228">
        <w:trPr>
          <w:trHeigh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E72DBB6" w14:textId="77777777" w:rsidR="009A2449" w:rsidRPr="009A2449" w:rsidRDefault="009A2449" w:rsidP="009A2449">
            <w:pPr>
              <w:spacing w:before="0"/>
              <w:rPr>
                <w:rFonts w:cstheme="minorHAnsi"/>
                <w:b w:val="0"/>
                <w:color w:val="000000" w:themeColor="text1"/>
              </w:rPr>
            </w:pPr>
            <w:r w:rsidRPr="009A2449">
              <w:rPr>
                <w:rFonts w:cstheme="minorHAnsi"/>
                <w:b w:val="0"/>
              </w:rPr>
              <w:t>Správa CHKO Bílé Karpaty</w:t>
            </w:r>
          </w:p>
        </w:tc>
        <w:tc>
          <w:tcPr>
            <w:tcW w:w="850" w:type="dxa"/>
            <w:shd w:val="clear" w:color="auto" w:fill="D9D9D9" w:themeFill="background1" w:themeFillShade="D9"/>
          </w:tcPr>
          <w:p w14:paraId="676390E8"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bl>
    <w:p w14:paraId="613B53BF" w14:textId="0FAFBCA8" w:rsidR="00A91C05" w:rsidRDefault="00A91C05" w:rsidP="004E1A5C">
      <w:pPr>
        <w:pStyle w:val="Nadpis5"/>
        <w:rPr>
          <w:lang w:eastAsia="cs-CZ"/>
        </w:rPr>
      </w:pPr>
      <w:bookmarkStart w:id="799" w:name="_Toc46218677"/>
      <w:r>
        <w:rPr>
          <w:lang w:eastAsia="cs-CZ"/>
        </w:rPr>
        <w:t>PS V</w:t>
      </w:r>
      <w:r w:rsidR="00CD1295">
        <w:rPr>
          <w:lang w:eastAsia="cs-CZ"/>
        </w:rPr>
        <w:t>zdělá</w:t>
      </w:r>
      <w:r w:rsidR="00757ADA">
        <w:rPr>
          <w:lang w:eastAsia="cs-CZ"/>
        </w:rPr>
        <w:t>vá</w:t>
      </w:r>
      <w:r w:rsidR="00CD1295">
        <w:rPr>
          <w:lang w:eastAsia="cs-CZ"/>
        </w:rPr>
        <w:t>ní</w:t>
      </w:r>
      <w:bookmarkEnd w:id="799"/>
    </w:p>
    <w:p w14:paraId="3C08ABFD" w14:textId="2F98E55B" w:rsidR="00A91C05" w:rsidRDefault="00A91C05" w:rsidP="00A91C05">
      <w:pPr>
        <w:pStyle w:val="Titulek"/>
      </w:pPr>
      <w:bookmarkStart w:id="800" w:name="_Toc50549192"/>
      <w:bookmarkStart w:id="801" w:name="_Toc50989355"/>
      <w:bookmarkStart w:id="802" w:name="_Toc53388475"/>
      <w:bookmarkStart w:id="803" w:name="_Toc54702645"/>
      <w:bookmarkStart w:id="804" w:name="_Toc56179452"/>
      <w:bookmarkStart w:id="805" w:name="_Toc57731810"/>
      <w:bookmarkStart w:id="806" w:name="_Toc77074794"/>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31</w:t>
      </w:r>
      <w:r w:rsidR="00081B47">
        <w:rPr>
          <w:noProof/>
        </w:rPr>
        <w:fldChar w:fldCharType="end"/>
      </w:r>
      <w:r w:rsidR="00F430B9">
        <w:rPr>
          <w:noProof/>
        </w:rPr>
        <w:t>:</w:t>
      </w:r>
      <w:r>
        <w:t xml:space="preserve"> Prioritizace stakeholderů členy PS Vzdělá</w:t>
      </w:r>
      <w:r w:rsidR="00757ADA">
        <w:t>vá</w:t>
      </w:r>
      <w:r>
        <w:t>ní</w:t>
      </w:r>
      <w:bookmarkEnd w:id="800"/>
      <w:bookmarkEnd w:id="801"/>
      <w:bookmarkEnd w:id="802"/>
      <w:bookmarkEnd w:id="803"/>
      <w:bookmarkEnd w:id="804"/>
      <w:bookmarkEnd w:id="805"/>
      <w:bookmarkEnd w:id="806"/>
    </w:p>
    <w:tbl>
      <w:tblPr>
        <w:tblStyle w:val="Svtltabulkasmkou17"/>
        <w:tblW w:w="9067" w:type="dxa"/>
        <w:tblLayout w:type="fixed"/>
        <w:tblLook w:val="04A0" w:firstRow="1" w:lastRow="0" w:firstColumn="1" w:lastColumn="0" w:noHBand="0" w:noVBand="1"/>
      </w:tblPr>
      <w:tblGrid>
        <w:gridCol w:w="8217"/>
        <w:gridCol w:w="850"/>
      </w:tblGrid>
      <w:tr w:rsidR="009A2449" w:rsidRPr="009A2449" w14:paraId="3F8716A4" w14:textId="77777777" w:rsidTr="006A6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shd w:val="clear" w:color="auto" w:fill="70AD47" w:themeFill="accent6"/>
          </w:tcPr>
          <w:p w14:paraId="482F38E3" w14:textId="34F697E1" w:rsidR="009A2449" w:rsidRPr="009A2449" w:rsidRDefault="009A2449" w:rsidP="009A2449">
            <w:pPr>
              <w:spacing w:before="0"/>
              <w:jc w:val="center"/>
              <w:rPr>
                <w:rFonts w:cstheme="minorHAnsi"/>
                <w:color w:val="000000" w:themeColor="text1"/>
              </w:rPr>
            </w:pPr>
            <w:r w:rsidRPr="009A2449">
              <w:rPr>
                <w:rFonts w:cstheme="minorHAnsi"/>
                <w:color w:val="FFFFFF" w:themeColor="background1"/>
              </w:rPr>
              <w:t>VZDĚLÁ</w:t>
            </w:r>
            <w:r w:rsidR="00757ADA">
              <w:rPr>
                <w:rFonts w:cstheme="minorHAnsi"/>
                <w:color w:val="FFFFFF" w:themeColor="background1"/>
              </w:rPr>
              <w:t>VÁ</w:t>
            </w:r>
            <w:r w:rsidRPr="009A2449">
              <w:rPr>
                <w:rFonts w:cstheme="minorHAnsi"/>
                <w:color w:val="FFFFFF" w:themeColor="background1"/>
              </w:rPr>
              <w:t>NÍ</w:t>
            </w:r>
          </w:p>
        </w:tc>
        <w:tc>
          <w:tcPr>
            <w:tcW w:w="850" w:type="dxa"/>
            <w:shd w:val="clear" w:color="auto" w:fill="70AD47" w:themeFill="accent6"/>
          </w:tcPr>
          <w:p w14:paraId="56A62931" w14:textId="77777777" w:rsidR="009A2449" w:rsidRPr="009A2449" w:rsidRDefault="009A2449" w:rsidP="009A2449">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9A2449">
              <w:rPr>
                <w:rFonts w:cstheme="minorHAnsi"/>
                <w:color w:val="FFFFFF" w:themeColor="background1"/>
              </w:rPr>
              <w:t>Počet hlasů</w:t>
            </w:r>
          </w:p>
        </w:tc>
      </w:tr>
      <w:tr w:rsidR="009A2449" w:rsidRPr="009A2449" w14:paraId="76ACCCC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C7C6340"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Statutární město Zlín</w:t>
            </w:r>
          </w:p>
        </w:tc>
        <w:tc>
          <w:tcPr>
            <w:tcW w:w="850" w:type="dxa"/>
            <w:shd w:val="clear" w:color="auto" w:fill="D9D9D9" w:themeFill="background1" w:themeFillShade="D9"/>
          </w:tcPr>
          <w:p w14:paraId="0AF867A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10</w:t>
            </w:r>
          </w:p>
        </w:tc>
      </w:tr>
      <w:tr w:rsidR="009A2449" w:rsidRPr="009A2449" w14:paraId="15A05E2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E39C696"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Univerzita Tomáše Bati ve Zlíně </w:t>
            </w:r>
          </w:p>
        </w:tc>
        <w:tc>
          <w:tcPr>
            <w:tcW w:w="850" w:type="dxa"/>
            <w:shd w:val="clear" w:color="auto" w:fill="D9D9D9" w:themeFill="background1" w:themeFillShade="D9"/>
          </w:tcPr>
          <w:p w14:paraId="69845AE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8</w:t>
            </w:r>
          </w:p>
        </w:tc>
      </w:tr>
      <w:tr w:rsidR="009A2449" w:rsidRPr="009A2449" w14:paraId="67329A1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4480EC0"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Zlínský kraj</w:t>
            </w:r>
          </w:p>
        </w:tc>
        <w:tc>
          <w:tcPr>
            <w:tcW w:w="850" w:type="dxa"/>
            <w:shd w:val="clear" w:color="auto" w:fill="D9D9D9" w:themeFill="background1" w:themeFillShade="D9"/>
          </w:tcPr>
          <w:p w14:paraId="1B6AB1C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6</w:t>
            </w:r>
          </w:p>
        </w:tc>
      </w:tr>
      <w:tr w:rsidR="009A2449" w:rsidRPr="009A2449" w14:paraId="45D7682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B4F830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Základní školy zřizované statutárním městem Zlínem </w:t>
            </w:r>
          </w:p>
        </w:tc>
        <w:tc>
          <w:tcPr>
            <w:tcW w:w="850" w:type="dxa"/>
            <w:shd w:val="clear" w:color="auto" w:fill="D9D9D9" w:themeFill="background1" w:themeFillShade="D9"/>
          </w:tcPr>
          <w:p w14:paraId="5461C53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6</w:t>
            </w:r>
          </w:p>
        </w:tc>
      </w:tr>
      <w:tr w:rsidR="009A2449" w:rsidRPr="009A2449" w14:paraId="0E1B38D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3C3A19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Krajská hospodářská komora Zlínského kraje</w:t>
            </w:r>
          </w:p>
        </w:tc>
        <w:tc>
          <w:tcPr>
            <w:tcW w:w="850" w:type="dxa"/>
            <w:shd w:val="clear" w:color="auto" w:fill="D9D9D9" w:themeFill="background1" w:themeFillShade="D9"/>
          </w:tcPr>
          <w:p w14:paraId="331A2C1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5</w:t>
            </w:r>
          </w:p>
        </w:tc>
      </w:tr>
      <w:tr w:rsidR="009A2449" w:rsidRPr="009A2449" w14:paraId="5FCBFFDC"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561587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Střední školy zřizované Zlínským krajem, nacházející se ve městě Zlín nebo v jeho okolí</w:t>
            </w:r>
          </w:p>
        </w:tc>
        <w:tc>
          <w:tcPr>
            <w:tcW w:w="850" w:type="dxa"/>
            <w:shd w:val="clear" w:color="auto" w:fill="D9D9D9" w:themeFill="background1" w:themeFillShade="D9"/>
          </w:tcPr>
          <w:p w14:paraId="428ABEF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4</w:t>
            </w:r>
          </w:p>
        </w:tc>
      </w:tr>
      <w:tr w:rsidR="009A2449" w:rsidRPr="009A2449" w14:paraId="0961A54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02392B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Dům dětí a mládeže Astra Zlín, příspěvková organizace</w:t>
            </w:r>
          </w:p>
        </w:tc>
        <w:tc>
          <w:tcPr>
            <w:tcW w:w="850" w:type="dxa"/>
            <w:shd w:val="clear" w:color="auto" w:fill="D9D9D9" w:themeFill="background1" w:themeFillShade="D9"/>
          </w:tcPr>
          <w:p w14:paraId="5FC0FAC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3</w:t>
            </w:r>
          </w:p>
        </w:tc>
      </w:tr>
      <w:tr w:rsidR="009A2449" w:rsidRPr="009A2449" w14:paraId="7740CC1C"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20D2C85"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Mateřské školy zřizované statutárním městem Zlínem </w:t>
            </w:r>
          </w:p>
        </w:tc>
        <w:tc>
          <w:tcPr>
            <w:tcW w:w="850" w:type="dxa"/>
            <w:shd w:val="clear" w:color="auto" w:fill="D9D9D9" w:themeFill="background1" w:themeFillShade="D9"/>
          </w:tcPr>
          <w:p w14:paraId="4E719A7F"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3</w:t>
            </w:r>
          </w:p>
        </w:tc>
      </w:tr>
      <w:tr w:rsidR="009A2449" w:rsidRPr="009A2449" w14:paraId="233EC6A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0BE33414"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Gymnázia, nacházející se ve městě Zlín nebo v jeho okolí</w:t>
            </w:r>
          </w:p>
        </w:tc>
        <w:tc>
          <w:tcPr>
            <w:tcW w:w="850" w:type="dxa"/>
            <w:shd w:val="clear" w:color="auto" w:fill="FFFFFF" w:themeFill="background1"/>
          </w:tcPr>
          <w:p w14:paraId="265197F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2D6447B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3A56CC4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Regionální rozvojová agentura Východní Moravy</w:t>
            </w:r>
          </w:p>
        </w:tc>
        <w:tc>
          <w:tcPr>
            <w:tcW w:w="850" w:type="dxa"/>
            <w:shd w:val="clear" w:color="auto" w:fill="FFFFFF" w:themeFill="background1"/>
          </w:tcPr>
          <w:p w14:paraId="2EE8A08F"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1</w:t>
            </w:r>
          </w:p>
        </w:tc>
      </w:tr>
      <w:tr w:rsidR="009A2449" w:rsidRPr="009A2449" w14:paraId="2A20FBD7"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B203967"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rPr>
              <w:t>Krajská knihovna Františka Bartoše</w:t>
            </w:r>
          </w:p>
        </w:tc>
        <w:tc>
          <w:tcPr>
            <w:tcW w:w="850" w:type="dxa"/>
            <w:shd w:val="clear" w:color="auto" w:fill="FFFFFF" w:themeFill="background1"/>
          </w:tcPr>
          <w:p w14:paraId="1E47234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rPr>
              <w:t>1</w:t>
            </w:r>
          </w:p>
        </w:tc>
      </w:tr>
      <w:tr w:rsidR="009A2449" w:rsidRPr="009A2449" w14:paraId="4F82591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4E6A1E8D"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themeColor="text1"/>
              </w:rPr>
              <w:t>Profima Education</w:t>
            </w:r>
          </w:p>
        </w:tc>
        <w:tc>
          <w:tcPr>
            <w:tcW w:w="850" w:type="dxa"/>
            <w:shd w:val="clear" w:color="auto" w:fill="FFFFFF" w:themeFill="background1"/>
          </w:tcPr>
          <w:p w14:paraId="5822F0F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themeColor="text1"/>
              </w:rPr>
              <w:t>1</w:t>
            </w:r>
          </w:p>
        </w:tc>
      </w:tr>
      <w:tr w:rsidR="009A2449" w:rsidRPr="009A2449" w14:paraId="448DD6F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69FC34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Trexima, Zlín</w:t>
            </w:r>
          </w:p>
        </w:tc>
        <w:tc>
          <w:tcPr>
            <w:tcW w:w="850" w:type="dxa"/>
            <w:shd w:val="clear" w:color="auto" w:fill="FFFFFF" w:themeFill="background1"/>
          </w:tcPr>
          <w:p w14:paraId="4A128BE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193BC76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07D78F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Sdružení pro rozvoj Zlínského kraje </w:t>
            </w:r>
          </w:p>
        </w:tc>
        <w:tc>
          <w:tcPr>
            <w:tcW w:w="850" w:type="dxa"/>
            <w:shd w:val="clear" w:color="auto" w:fill="FFFFFF" w:themeFill="background1"/>
          </w:tcPr>
          <w:p w14:paraId="3897238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26997FB4"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55E1CA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Základní školy zřizované Zlínským krajem</w:t>
            </w:r>
          </w:p>
        </w:tc>
        <w:tc>
          <w:tcPr>
            <w:tcW w:w="850" w:type="dxa"/>
            <w:shd w:val="clear" w:color="auto" w:fill="FFFFFF" w:themeFill="background1"/>
          </w:tcPr>
          <w:p w14:paraId="267D0E4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BBE57D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9C4E1EC"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Dětský domov, Mateřská škola, Základní škola a Praktická škola Zlín</w:t>
            </w:r>
          </w:p>
        </w:tc>
        <w:tc>
          <w:tcPr>
            <w:tcW w:w="850" w:type="dxa"/>
          </w:tcPr>
          <w:p w14:paraId="411C0A2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06349D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03C3BCF" w14:textId="77777777" w:rsidR="009A2449" w:rsidRPr="009A2449" w:rsidRDefault="009A2449" w:rsidP="009A2449">
            <w:pPr>
              <w:spacing w:before="0"/>
              <w:rPr>
                <w:rFonts w:cstheme="minorHAnsi"/>
                <w:b w:val="0"/>
              </w:rPr>
            </w:pPr>
            <w:r w:rsidRPr="009A2449">
              <w:rPr>
                <w:rFonts w:cstheme="minorHAnsi"/>
                <w:b w:val="0"/>
              </w:rPr>
              <w:t>Rehabilitační stacionář Zlín</w:t>
            </w:r>
          </w:p>
        </w:tc>
        <w:tc>
          <w:tcPr>
            <w:tcW w:w="850" w:type="dxa"/>
            <w:shd w:val="clear" w:color="auto" w:fill="D9D9D9" w:themeFill="background1" w:themeFillShade="D9"/>
          </w:tcPr>
          <w:p w14:paraId="21CF14F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534766B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C15126E"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Střední školy zřizované jiným subjektem, nacházející se ve městě Zlín nebo v jeho okolí</w:t>
            </w:r>
          </w:p>
        </w:tc>
        <w:tc>
          <w:tcPr>
            <w:tcW w:w="850" w:type="dxa"/>
            <w:shd w:val="clear" w:color="auto" w:fill="FFFFFF" w:themeFill="background1"/>
          </w:tcPr>
          <w:p w14:paraId="6F70BE74"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6568AC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53B8C8F"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Centrum kariérového poradenství Zlín</w:t>
            </w:r>
          </w:p>
        </w:tc>
        <w:tc>
          <w:tcPr>
            <w:tcW w:w="850" w:type="dxa"/>
          </w:tcPr>
          <w:p w14:paraId="088C383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CE9785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115B4A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Pakt zaměstnanosti Zlínského kraje</w:t>
            </w:r>
          </w:p>
        </w:tc>
        <w:tc>
          <w:tcPr>
            <w:tcW w:w="850" w:type="dxa"/>
          </w:tcPr>
          <w:p w14:paraId="78BF45E6"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731DAFC"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3BAC87A"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Národní pedagogický institut České republiky, pobočka Zlín</w:t>
            </w:r>
          </w:p>
        </w:tc>
        <w:tc>
          <w:tcPr>
            <w:tcW w:w="850" w:type="dxa"/>
          </w:tcPr>
          <w:p w14:paraId="2FA99124"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7C8A17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EAAC545" w14:textId="77777777" w:rsidR="009A2449" w:rsidRPr="009A2449" w:rsidRDefault="009A2449" w:rsidP="009A2449">
            <w:pPr>
              <w:spacing w:before="0"/>
              <w:rPr>
                <w:rFonts w:cstheme="minorHAnsi"/>
                <w:b w:val="0"/>
              </w:rPr>
            </w:pPr>
            <w:r w:rsidRPr="009A2449">
              <w:rPr>
                <w:rFonts w:cstheme="minorHAnsi"/>
                <w:b w:val="0"/>
              </w:rPr>
              <w:t>Plavecká škola Zlín, příspěvková organizace</w:t>
            </w:r>
          </w:p>
        </w:tc>
        <w:tc>
          <w:tcPr>
            <w:tcW w:w="850" w:type="dxa"/>
          </w:tcPr>
          <w:p w14:paraId="285ECC1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2F73AF7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6E63508" w14:textId="77777777" w:rsidR="009A2449" w:rsidRPr="009A2449" w:rsidRDefault="009A2449" w:rsidP="009A2449">
            <w:pPr>
              <w:spacing w:before="0"/>
              <w:rPr>
                <w:rFonts w:cstheme="minorHAnsi"/>
                <w:b w:val="0"/>
              </w:rPr>
            </w:pPr>
            <w:r w:rsidRPr="009A2449">
              <w:rPr>
                <w:rFonts w:cstheme="minorHAnsi"/>
                <w:b w:val="0"/>
                <w:color w:val="000000" w:themeColor="text1"/>
              </w:rPr>
              <w:t xml:space="preserve">Technologické inovační centrum s.r.o. </w:t>
            </w:r>
          </w:p>
        </w:tc>
        <w:tc>
          <w:tcPr>
            <w:tcW w:w="850" w:type="dxa"/>
            <w:shd w:val="clear" w:color="auto" w:fill="D9D9D9" w:themeFill="background1" w:themeFillShade="D9"/>
          </w:tcPr>
          <w:p w14:paraId="088D4A9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EF54B2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4203B6F" w14:textId="77777777" w:rsidR="009A2449" w:rsidRPr="009A2449" w:rsidRDefault="009A2449" w:rsidP="009A2449">
            <w:pPr>
              <w:spacing w:before="0"/>
              <w:rPr>
                <w:rFonts w:cstheme="minorHAnsi"/>
                <w:b w:val="0"/>
              </w:rPr>
            </w:pPr>
            <w:r w:rsidRPr="009A2449">
              <w:rPr>
                <w:rFonts w:cstheme="minorHAnsi"/>
                <w:b w:val="0"/>
              </w:rPr>
              <w:t>ZOO a zámek Zlín-Lešná, příspěvková organizace</w:t>
            </w:r>
          </w:p>
        </w:tc>
        <w:tc>
          <w:tcPr>
            <w:tcW w:w="850" w:type="dxa"/>
            <w:shd w:val="clear" w:color="auto" w:fill="D9D9D9" w:themeFill="background1" w:themeFillShade="D9"/>
          </w:tcPr>
          <w:p w14:paraId="6394CFD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4E73204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35038C3" w14:textId="77777777" w:rsidR="009A2449" w:rsidRPr="009A2449" w:rsidRDefault="009A2449" w:rsidP="009A2449">
            <w:pPr>
              <w:spacing w:before="0"/>
              <w:rPr>
                <w:rFonts w:cstheme="minorHAnsi"/>
                <w:b w:val="0"/>
              </w:rPr>
            </w:pPr>
            <w:r w:rsidRPr="009A2449">
              <w:rPr>
                <w:rFonts w:cstheme="minorHAnsi"/>
                <w:b w:val="0"/>
                <w:color w:val="000000" w:themeColor="text1"/>
              </w:rPr>
              <w:t>Úřad práce ČR - krajská pobočka ve Zlíně</w:t>
            </w:r>
          </w:p>
        </w:tc>
        <w:tc>
          <w:tcPr>
            <w:tcW w:w="850" w:type="dxa"/>
            <w:shd w:val="clear" w:color="auto" w:fill="D9D9D9" w:themeFill="background1" w:themeFillShade="D9"/>
          </w:tcPr>
          <w:p w14:paraId="379E496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1D0DD5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31AB350A" w14:textId="77777777" w:rsidR="009A2449" w:rsidRPr="009A2449" w:rsidRDefault="009A2449" w:rsidP="009A2449">
            <w:pPr>
              <w:spacing w:before="0"/>
              <w:rPr>
                <w:rFonts w:cstheme="minorHAnsi"/>
                <w:b w:val="0"/>
              </w:rPr>
            </w:pPr>
            <w:r w:rsidRPr="009A2449">
              <w:rPr>
                <w:rFonts w:cstheme="minorHAnsi"/>
                <w:b w:val="0"/>
              </w:rPr>
              <w:t>14|15 Baťův institut, příspěvková organizace</w:t>
            </w:r>
          </w:p>
        </w:tc>
        <w:tc>
          <w:tcPr>
            <w:tcW w:w="850" w:type="dxa"/>
          </w:tcPr>
          <w:p w14:paraId="101E9F4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254D091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4C8A3E1" w14:textId="77777777" w:rsidR="009A2449" w:rsidRPr="009A2449" w:rsidRDefault="009A2449" w:rsidP="009A2449">
            <w:pPr>
              <w:spacing w:before="0"/>
              <w:rPr>
                <w:rFonts w:cstheme="minorHAnsi"/>
                <w:b w:val="0"/>
              </w:rPr>
            </w:pPr>
            <w:r w:rsidRPr="009A2449">
              <w:rPr>
                <w:rFonts w:cstheme="minorHAnsi"/>
                <w:b w:val="0"/>
              </w:rPr>
              <w:t>Národní pedagogický institut ČR, Zlín</w:t>
            </w:r>
          </w:p>
        </w:tc>
        <w:tc>
          <w:tcPr>
            <w:tcW w:w="850" w:type="dxa"/>
          </w:tcPr>
          <w:p w14:paraId="6043D4F1"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740D99A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17630556" w14:textId="77777777" w:rsidR="009A2449" w:rsidRPr="009A2449" w:rsidRDefault="009A2449" w:rsidP="009A2449">
            <w:pPr>
              <w:spacing w:before="0"/>
              <w:rPr>
                <w:rFonts w:cstheme="minorHAnsi"/>
                <w:b w:val="0"/>
              </w:rPr>
            </w:pPr>
            <w:r w:rsidRPr="009A2449">
              <w:rPr>
                <w:rFonts w:cstheme="minorHAnsi"/>
                <w:b w:val="0"/>
              </w:rPr>
              <w:t>Hvězdárna Zlín</w:t>
            </w:r>
          </w:p>
        </w:tc>
        <w:tc>
          <w:tcPr>
            <w:tcW w:w="850" w:type="dxa"/>
          </w:tcPr>
          <w:p w14:paraId="4CD07461"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2367F10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8CCBBDD" w14:textId="77777777" w:rsidR="009A2449" w:rsidRPr="009A2449" w:rsidRDefault="009A2449" w:rsidP="009A2449">
            <w:pPr>
              <w:spacing w:before="0"/>
              <w:rPr>
                <w:rFonts w:cstheme="minorHAnsi"/>
                <w:b w:val="0"/>
              </w:rPr>
            </w:pPr>
            <w:r w:rsidRPr="009A2449">
              <w:rPr>
                <w:rFonts w:cstheme="minorHAnsi"/>
                <w:b w:val="0"/>
                <w:color w:val="000000" w:themeColor="text1"/>
              </w:rPr>
              <w:t>Základní umělecká škola Zlín, Štefánikova</w:t>
            </w:r>
          </w:p>
        </w:tc>
        <w:tc>
          <w:tcPr>
            <w:tcW w:w="850" w:type="dxa"/>
          </w:tcPr>
          <w:p w14:paraId="714FF49C"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highlight w:val="yellow"/>
              </w:rPr>
            </w:pPr>
          </w:p>
        </w:tc>
      </w:tr>
      <w:tr w:rsidR="009A2449" w:rsidRPr="009A2449" w14:paraId="42322206" w14:textId="77777777" w:rsidTr="006A6228">
        <w:trPr>
          <w:trHeight w:hRule="exact" w:val="300"/>
        </w:trPr>
        <w:tc>
          <w:tcPr>
            <w:cnfStyle w:val="001000000000" w:firstRow="0" w:lastRow="0" w:firstColumn="1" w:lastColumn="0" w:oddVBand="0" w:evenVBand="0" w:oddHBand="0" w:evenHBand="0" w:firstRowFirstColumn="0" w:firstRowLastColumn="0" w:lastRowFirstColumn="0" w:lastRowLastColumn="0"/>
            <w:tcW w:w="8217" w:type="dxa"/>
          </w:tcPr>
          <w:p w14:paraId="65961977"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Základní umělecká škola Zlín – Malenovice</w:t>
            </w:r>
          </w:p>
        </w:tc>
        <w:tc>
          <w:tcPr>
            <w:tcW w:w="850" w:type="dxa"/>
          </w:tcPr>
          <w:p w14:paraId="4A5BE37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highlight w:val="yellow"/>
              </w:rPr>
            </w:pPr>
          </w:p>
        </w:tc>
      </w:tr>
      <w:tr w:rsidR="009A2449" w:rsidRPr="009A2449" w14:paraId="55A31F0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1850193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Základní umělecká škola Zlín - Jižní Svahy</w:t>
            </w:r>
          </w:p>
        </w:tc>
        <w:tc>
          <w:tcPr>
            <w:tcW w:w="850" w:type="dxa"/>
          </w:tcPr>
          <w:p w14:paraId="53E364E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highlight w:val="yellow"/>
              </w:rPr>
            </w:pPr>
          </w:p>
        </w:tc>
      </w:tr>
      <w:tr w:rsidR="009A2449" w:rsidRPr="009A2449" w14:paraId="0AA0D7AB"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DE93377"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Jazyková škola Skřivánek</w:t>
            </w:r>
          </w:p>
        </w:tc>
        <w:tc>
          <w:tcPr>
            <w:tcW w:w="850" w:type="dxa"/>
          </w:tcPr>
          <w:p w14:paraId="26684EB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91E79CA"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577E610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Jazyková škola ZELENKA</w:t>
            </w:r>
          </w:p>
        </w:tc>
        <w:tc>
          <w:tcPr>
            <w:tcW w:w="850" w:type="dxa"/>
          </w:tcPr>
          <w:p w14:paraId="265D6CA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B516696"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513337E3"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Vzdělávání na míru</w:t>
            </w:r>
          </w:p>
        </w:tc>
        <w:tc>
          <w:tcPr>
            <w:tcW w:w="850" w:type="dxa"/>
          </w:tcPr>
          <w:p w14:paraId="34F3E2D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261F13D"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CD9493B"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Brick by Brick Zlín</w:t>
            </w:r>
          </w:p>
        </w:tc>
        <w:tc>
          <w:tcPr>
            <w:tcW w:w="850" w:type="dxa"/>
          </w:tcPr>
          <w:p w14:paraId="46DB33E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3C6DC0A"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2709B5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Czechitas Zlín</w:t>
            </w:r>
          </w:p>
        </w:tc>
        <w:tc>
          <w:tcPr>
            <w:tcW w:w="850" w:type="dxa"/>
          </w:tcPr>
          <w:p w14:paraId="1503F47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6B59D9C"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EF43ECE"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Školící centrum Zlín</w:t>
            </w:r>
          </w:p>
        </w:tc>
        <w:tc>
          <w:tcPr>
            <w:tcW w:w="850" w:type="dxa"/>
          </w:tcPr>
          <w:p w14:paraId="4B1A3023"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E35DF59"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06C3CEB"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Zlínská soukromá vyšší odborná škola umění, o.p.s.</w:t>
            </w:r>
          </w:p>
        </w:tc>
        <w:tc>
          <w:tcPr>
            <w:tcW w:w="850" w:type="dxa"/>
          </w:tcPr>
          <w:p w14:paraId="1369D5A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60DA984"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53C6535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Základní umělecká škola Morava, spol. s r.o.</w:t>
            </w:r>
          </w:p>
        </w:tc>
        <w:tc>
          <w:tcPr>
            <w:tcW w:w="850" w:type="dxa"/>
          </w:tcPr>
          <w:p w14:paraId="7A77192C"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D409763"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152D029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ZUŠ Harmonie Zlín, s.r.o.</w:t>
            </w:r>
          </w:p>
        </w:tc>
        <w:tc>
          <w:tcPr>
            <w:tcW w:w="850" w:type="dxa"/>
          </w:tcPr>
          <w:p w14:paraId="7AC972A8"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9EA1A11"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51FC6A4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Základní umělecká škola klávesových nástrojů</w:t>
            </w:r>
          </w:p>
        </w:tc>
        <w:tc>
          <w:tcPr>
            <w:tcW w:w="850" w:type="dxa"/>
          </w:tcPr>
          <w:p w14:paraId="5B864AA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2BE5053"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4F6E9A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Střední škola filmová, multimediální a počítačových technologií, s.r.o.</w:t>
            </w:r>
          </w:p>
        </w:tc>
        <w:tc>
          <w:tcPr>
            <w:tcW w:w="850" w:type="dxa"/>
            <w:shd w:val="clear" w:color="auto" w:fill="D9D9D9" w:themeFill="background1" w:themeFillShade="D9"/>
          </w:tcPr>
          <w:p w14:paraId="7F6D64B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91C4BDE"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A1C3353" w14:textId="77777777" w:rsidR="009A2449" w:rsidRPr="009A2449" w:rsidRDefault="009A2449" w:rsidP="009A2449">
            <w:pPr>
              <w:spacing w:before="0"/>
              <w:rPr>
                <w:rFonts w:cstheme="minorHAnsi"/>
                <w:b w:val="0"/>
                <w:color w:val="000000" w:themeColor="text1"/>
              </w:rPr>
            </w:pPr>
            <w:r w:rsidRPr="009A2449">
              <w:rPr>
                <w:rFonts w:cstheme="minorHAnsi"/>
                <w:b w:val="0"/>
              </w:rPr>
              <w:t>Střední škola pedagogická a sociální Zlín, s.r.o.</w:t>
            </w:r>
          </w:p>
        </w:tc>
        <w:tc>
          <w:tcPr>
            <w:tcW w:w="850" w:type="dxa"/>
            <w:shd w:val="clear" w:color="auto" w:fill="FFFFFF" w:themeFill="background1"/>
          </w:tcPr>
          <w:p w14:paraId="26E9F9AE"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7CD55193"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4D9784AD" w14:textId="77777777" w:rsidR="009A2449" w:rsidRPr="009A2449" w:rsidRDefault="009A2449" w:rsidP="009A2449">
            <w:pPr>
              <w:spacing w:before="0"/>
              <w:rPr>
                <w:rFonts w:cstheme="minorHAnsi"/>
                <w:b w:val="0"/>
              </w:rPr>
            </w:pPr>
            <w:r w:rsidRPr="009A2449">
              <w:rPr>
                <w:rFonts w:cstheme="minorHAnsi"/>
                <w:b w:val="0"/>
              </w:rPr>
              <w:t>Střední škola Baltaci s. r. o.</w:t>
            </w:r>
          </w:p>
        </w:tc>
        <w:tc>
          <w:tcPr>
            <w:tcW w:w="850" w:type="dxa"/>
            <w:shd w:val="clear" w:color="auto" w:fill="FFFFFF" w:themeFill="background1"/>
          </w:tcPr>
          <w:p w14:paraId="48C9B298"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194A8C68"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EA764DF" w14:textId="77777777" w:rsidR="009A2449" w:rsidRPr="009A2449" w:rsidRDefault="009A2449" w:rsidP="009A2449">
            <w:pPr>
              <w:spacing w:before="0"/>
              <w:rPr>
                <w:rFonts w:cstheme="minorHAnsi"/>
                <w:b w:val="0"/>
              </w:rPr>
            </w:pPr>
            <w:r w:rsidRPr="009A2449">
              <w:rPr>
                <w:rFonts w:cstheme="minorHAnsi"/>
                <w:b w:val="0"/>
              </w:rPr>
              <w:t>Církevní základní škola a mateřská škola ve Zlíně</w:t>
            </w:r>
          </w:p>
        </w:tc>
        <w:tc>
          <w:tcPr>
            <w:tcW w:w="850" w:type="dxa"/>
            <w:shd w:val="clear" w:color="auto" w:fill="FFFFFF" w:themeFill="background1"/>
          </w:tcPr>
          <w:p w14:paraId="16D58B3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771CB184"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BF939F0" w14:textId="77777777" w:rsidR="009A2449" w:rsidRPr="009A2449" w:rsidRDefault="009A2449" w:rsidP="009A2449">
            <w:pPr>
              <w:spacing w:before="0"/>
              <w:rPr>
                <w:rFonts w:cstheme="minorHAnsi"/>
                <w:b w:val="0"/>
              </w:rPr>
            </w:pPr>
            <w:r w:rsidRPr="009A2449">
              <w:rPr>
                <w:rFonts w:cstheme="minorHAnsi"/>
                <w:b w:val="0"/>
              </w:rPr>
              <w:t>Montessori Zlín - Centrum přirozeného vzdělávání pro děti</w:t>
            </w:r>
          </w:p>
        </w:tc>
        <w:tc>
          <w:tcPr>
            <w:tcW w:w="850" w:type="dxa"/>
            <w:shd w:val="clear" w:color="auto" w:fill="FFFFFF" w:themeFill="background1"/>
          </w:tcPr>
          <w:p w14:paraId="033082F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20F16574"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2D2FDDB" w14:textId="77777777" w:rsidR="009A2449" w:rsidRPr="009A2449" w:rsidRDefault="009A2449" w:rsidP="009A2449">
            <w:pPr>
              <w:spacing w:before="0"/>
              <w:rPr>
                <w:rFonts w:cstheme="minorHAnsi"/>
                <w:b w:val="0"/>
              </w:rPr>
            </w:pPr>
            <w:r w:rsidRPr="009A2449">
              <w:rPr>
                <w:rFonts w:cstheme="minorHAnsi"/>
                <w:b w:val="0"/>
              </w:rPr>
              <w:t>Hudební škola Yamaha Zlín</w:t>
            </w:r>
          </w:p>
        </w:tc>
        <w:tc>
          <w:tcPr>
            <w:tcW w:w="850" w:type="dxa"/>
            <w:shd w:val="clear" w:color="auto" w:fill="FFFFFF" w:themeFill="background1"/>
          </w:tcPr>
          <w:p w14:paraId="13619081"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2CC7C0C9" w14:textId="77777777" w:rsidTr="006A6228">
        <w:trPr>
          <w:cantSplit/>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7CDDCA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Virtuální realita Zlín</w:t>
            </w:r>
          </w:p>
        </w:tc>
        <w:tc>
          <w:tcPr>
            <w:tcW w:w="850" w:type="dxa"/>
            <w:shd w:val="clear" w:color="auto" w:fill="FFFFFF" w:themeFill="background1"/>
          </w:tcPr>
          <w:p w14:paraId="5F96870C"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78DB3C5" w14:textId="77777777" w:rsidTr="006A6228">
        <w:trPr>
          <w:cantSplit/>
          <w:trHeight w:val="246"/>
        </w:trPr>
        <w:tc>
          <w:tcPr>
            <w:cnfStyle w:val="001000000000" w:firstRow="0" w:lastRow="0" w:firstColumn="1" w:lastColumn="0" w:oddVBand="0" w:evenVBand="0" w:oddHBand="0" w:evenHBand="0" w:firstRowFirstColumn="0" w:firstRowLastColumn="0" w:lastRowFirstColumn="0" w:lastRowLastColumn="0"/>
            <w:tcW w:w="8217" w:type="dxa"/>
          </w:tcPr>
          <w:p w14:paraId="063BA84E"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MESIT holding, a.s.</w:t>
            </w:r>
          </w:p>
        </w:tc>
        <w:tc>
          <w:tcPr>
            <w:tcW w:w="850" w:type="dxa"/>
          </w:tcPr>
          <w:p w14:paraId="39B45E2D"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FA7E68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2367B15"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Nadace Tomáše Bati</w:t>
            </w:r>
          </w:p>
        </w:tc>
        <w:tc>
          <w:tcPr>
            <w:tcW w:w="850" w:type="dxa"/>
            <w:shd w:val="clear" w:color="auto" w:fill="D9D9D9" w:themeFill="background1" w:themeFillShade="D9"/>
          </w:tcPr>
          <w:p w14:paraId="2F1CD1C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47BA59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742B356"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Junior Achievement, o.p.s. - Regionální kancelář Zlín</w:t>
            </w:r>
          </w:p>
        </w:tc>
        <w:tc>
          <w:tcPr>
            <w:tcW w:w="850" w:type="dxa"/>
          </w:tcPr>
          <w:p w14:paraId="04E6C76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263DB1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68D358D"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Studentská unie UTB</w:t>
            </w:r>
          </w:p>
        </w:tc>
        <w:tc>
          <w:tcPr>
            <w:tcW w:w="850" w:type="dxa"/>
            <w:shd w:val="clear" w:color="auto" w:fill="D9D9D9" w:themeFill="background1" w:themeFillShade="D9"/>
          </w:tcPr>
          <w:p w14:paraId="624C40EE"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59276D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BD86854"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Region Bílé Karpaty</w:t>
            </w:r>
          </w:p>
        </w:tc>
        <w:tc>
          <w:tcPr>
            <w:tcW w:w="850" w:type="dxa"/>
          </w:tcPr>
          <w:p w14:paraId="6827451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B0142E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1EE52C9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Centrum pro rodinu Zlín z.s</w:t>
            </w:r>
          </w:p>
        </w:tc>
        <w:tc>
          <w:tcPr>
            <w:tcW w:w="850" w:type="dxa"/>
          </w:tcPr>
          <w:p w14:paraId="58ED19B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38976F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1A713AB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Hvězdárna Zlín - Zlínská astronomická společnost</w:t>
            </w:r>
          </w:p>
        </w:tc>
        <w:tc>
          <w:tcPr>
            <w:tcW w:w="850" w:type="dxa"/>
          </w:tcPr>
          <w:p w14:paraId="04E6564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bl>
    <w:p w14:paraId="2D4BE8A2" w14:textId="5244ED8C" w:rsidR="00A91C05" w:rsidRDefault="00A91C05" w:rsidP="004E1A5C">
      <w:pPr>
        <w:pStyle w:val="Nadpis5"/>
        <w:rPr>
          <w:lang w:eastAsia="cs-CZ"/>
        </w:rPr>
      </w:pPr>
      <w:bookmarkStart w:id="807" w:name="_Toc46218678"/>
      <w:r>
        <w:rPr>
          <w:lang w:eastAsia="cs-CZ"/>
        </w:rPr>
        <w:t>PS B</w:t>
      </w:r>
      <w:r w:rsidR="00CD1295">
        <w:rPr>
          <w:lang w:eastAsia="cs-CZ"/>
        </w:rPr>
        <w:t>ezpečnost</w:t>
      </w:r>
      <w:bookmarkEnd w:id="807"/>
    </w:p>
    <w:p w14:paraId="54284CD1" w14:textId="2F87C936" w:rsidR="00A91C05" w:rsidRPr="0091057F" w:rsidRDefault="00A91C05" w:rsidP="00A91C05">
      <w:pPr>
        <w:pStyle w:val="Titulek"/>
        <w:rPr>
          <w:lang w:eastAsia="cs-CZ"/>
        </w:rPr>
      </w:pPr>
      <w:bookmarkStart w:id="808" w:name="_Toc50549193"/>
      <w:bookmarkStart w:id="809" w:name="_Toc50989356"/>
      <w:bookmarkStart w:id="810" w:name="_Toc53388476"/>
      <w:bookmarkStart w:id="811" w:name="_Toc54702646"/>
      <w:bookmarkStart w:id="812" w:name="_Toc56179453"/>
      <w:bookmarkStart w:id="813" w:name="_Toc57731811"/>
      <w:bookmarkStart w:id="814" w:name="_Toc7707479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32</w:t>
      </w:r>
      <w:r w:rsidR="00081B47">
        <w:rPr>
          <w:noProof/>
        </w:rPr>
        <w:fldChar w:fldCharType="end"/>
      </w:r>
      <w:r w:rsidR="00F430B9">
        <w:rPr>
          <w:noProof/>
        </w:rPr>
        <w:t>:</w:t>
      </w:r>
      <w:r>
        <w:t xml:space="preserve"> Prioritizace stakeholderů členy PS Bezpečnost</w:t>
      </w:r>
      <w:bookmarkEnd w:id="808"/>
      <w:bookmarkEnd w:id="809"/>
      <w:bookmarkEnd w:id="810"/>
      <w:bookmarkEnd w:id="811"/>
      <w:bookmarkEnd w:id="812"/>
      <w:bookmarkEnd w:id="813"/>
      <w:bookmarkEnd w:id="814"/>
    </w:p>
    <w:tbl>
      <w:tblPr>
        <w:tblStyle w:val="Svtltabulkasmkou18"/>
        <w:tblW w:w="9067" w:type="dxa"/>
        <w:tblLayout w:type="fixed"/>
        <w:tblLook w:val="04A0" w:firstRow="1" w:lastRow="0" w:firstColumn="1" w:lastColumn="0" w:noHBand="0" w:noVBand="1"/>
      </w:tblPr>
      <w:tblGrid>
        <w:gridCol w:w="8217"/>
        <w:gridCol w:w="850"/>
      </w:tblGrid>
      <w:tr w:rsidR="009A2449" w:rsidRPr="009A2449" w14:paraId="50731C5D" w14:textId="77777777" w:rsidTr="006A6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shd w:val="clear" w:color="auto" w:fill="2E74B5" w:themeFill="accent1" w:themeFillShade="BF"/>
          </w:tcPr>
          <w:p w14:paraId="0A78F1D0" w14:textId="77777777" w:rsidR="009A2449" w:rsidRPr="009A2449" w:rsidRDefault="009A2449" w:rsidP="009A2449">
            <w:pPr>
              <w:spacing w:before="0"/>
              <w:jc w:val="center"/>
              <w:rPr>
                <w:rFonts w:cstheme="minorHAnsi"/>
                <w:color w:val="000000" w:themeColor="text1"/>
              </w:rPr>
            </w:pPr>
            <w:r w:rsidRPr="009A2449">
              <w:rPr>
                <w:rFonts w:cstheme="minorHAnsi"/>
                <w:color w:val="FFFFFF" w:themeColor="background1"/>
              </w:rPr>
              <w:t>BEZPEČNOST</w:t>
            </w:r>
          </w:p>
        </w:tc>
        <w:tc>
          <w:tcPr>
            <w:tcW w:w="850" w:type="dxa"/>
            <w:shd w:val="clear" w:color="auto" w:fill="2E74B5" w:themeFill="accent1" w:themeFillShade="BF"/>
          </w:tcPr>
          <w:p w14:paraId="5CE175DA" w14:textId="77777777" w:rsidR="009A2449" w:rsidRPr="009A2449" w:rsidRDefault="009A2449" w:rsidP="009A2449">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9A2449">
              <w:rPr>
                <w:rFonts w:cstheme="minorHAnsi"/>
                <w:color w:val="FFFFFF" w:themeColor="background1"/>
              </w:rPr>
              <w:t>Počet hlasů</w:t>
            </w:r>
          </w:p>
        </w:tc>
      </w:tr>
      <w:tr w:rsidR="009A2449" w:rsidRPr="009A2449" w14:paraId="0163BE48"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auto"/>
          </w:tcPr>
          <w:p w14:paraId="6B13F266"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Policie České republiky, Územní odbor Zlín</w:t>
            </w:r>
          </w:p>
        </w:tc>
        <w:tc>
          <w:tcPr>
            <w:tcW w:w="850" w:type="dxa"/>
          </w:tcPr>
          <w:p w14:paraId="7747325B"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6</w:t>
            </w:r>
          </w:p>
        </w:tc>
      </w:tr>
      <w:tr w:rsidR="009A2449" w:rsidRPr="009A2449" w14:paraId="025D62B7"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A876EF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Statutární město Zlín</w:t>
            </w:r>
          </w:p>
        </w:tc>
        <w:tc>
          <w:tcPr>
            <w:tcW w:w="850" w:type="dxa"/>
            <w:shd w:val="clear" w:color="auto" w:fill="D9D9D9" w:themeFill="background1" w:themeFillShade="D9"/>
          </w:tcPr>
          <w:p w14:paraId="68B85337"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5</w:t>
            </w:r>
          </w:p>
        </w:tc>
      </w:tr>
      <w:tr w:rsidR="009A2449" w:rsidRPr="009A2449" w14:paraId="05F3ADD5"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3A0B20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Městská policie Zlín</w:t>
            </w:r>
          </w:p>
        </w:tc>
        <w:tc>
          <w:tcPr>
            <w:tcW w:w="850" w:type="dxa"/>
            <w:shd w:val="clear" w:color="auto" w:fill="D9D9D9" w:themeFill="background1" w:themeFillShade="D9"/>
          </w:tcPr>
          <w:p w14:paraId="56DA0B63"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4</w:t>
            </w:r>
          </w:p>
        </w:tc>
      </w:tr>
      <w:tr w:rsidR="009A2449" w:rsidRPr="009A2449" w14:paraId="656A82FC"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auto"/>
          </w:tcPr>
          <w:p w14:paraId="70608830"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ascii="Calibri" w:hAnsi="Calibri" w:cs="Calibri"/>
                <w:b w:val="0"/>
              </w:rPr>
              <w:t>HZS Zlínského kraje - Hasičský záchranný sbor České republiky</w:t>
            </w:r>
          </w:p>
        </w:tc>
        <w:tc>
          <w:tcPr>
            <w:tcW w:w="850" w:type="dxa"/>
          </w:tcPr>
          <w:p w14:paraId="4255820A"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A2449">
              <w:rPr>
                <w:rFonts w:ascii="Calibri" w:hAnsi="Calibri" w:cs="Calibri"/>
              </w:rPr>
              <w:t>4</w:t>
            </w:r>
          </w:p>
        </w:tc>
      </w:tr>
      <w:tr w:rsidR="009A2449" w:rsidRPr="009A2449" w14:paraId="779EB85A"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422FF715" w14:textId="77777777" w:rsidR="009A2449" w:rsidRPr="009A2449" w:rsidRDefault="009A2449" w:rsidP="009A2449">
            <w:pPr>
              <w:autoSpaceDE w:val="0"/>
              <w:autoSpaceDN w:val="0"/>
              <w:adjustRightInd w:val="0"/>
              <w:spacing w:before="0"/>
              <w:rPr>
                <w:rFonts w:ascii="Calibri" w:hAnsi="Calibri" w:cs="Calibri"/>
                <w:b w:val="0"/>
              </w:rPr>
            </w:pPr>
            <w:r w:rsidRPr="009A2449">
              <w:rPr>
                <w:rFonts w:ascii="Calibri" w:hAnsi="Calibri" w:cs="Calibri"/>
                <w:b w:val="0"/>
              </w:rPr>
              <w:t>Univerzita Tomáše Bati ve Zlíně</w:t>
            </w:r>
          </w:p>
        </w:tc>
        <w:tc>
          <w:tcPr>
            <w:tcW w:w="850" w:type="dxa"/>
            <w:shd w:val="clear" w:color="auto" w:fill="D9D9D9" w:themeFill="background1" w:themeFillShade="D9"/>
          </w:tcPr>
          <w:p w14:paraId="4526ABEF"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A2449">
              <w:rPr>
                <w:rFonts w:ascii="Calibri" w:hAnsi="Calibri" w:cs="Calibri"/>
              </w:rPr>
              <w:t>3</w:t>
            </w:r>
          </w:p>
        </w:tc>
      </w:tr>
      <w:tr w:rsidR="009A2449" w:rsidRPr="009A2449" w14:paraId="6F187CF3"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F134E4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Zlínský kraj</w:t>
            </w:r>
          </w:p>
        </w:tc>
        <w:tc>
          <w:tcPr>
            <w:tcW w:w="850" w:type="dxa"/>
            <w:shd w:val="clear" w:color="auto" w:fill="D9D9D9" w:themeFill="background1" w:themeFillShade="D9"/>
          </w:tcPr>
          <w:p w14:paraId="42AFD8AF"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126B2D69"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tcPr>
          <w:p w14:paraId="197E6C24"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Okresní soud ve Zlíně </w:t>
            </w:r>
          </w:p>
        </w:tc>
        <w:tc>
          <w:tcPr>
            <w:tcW w:w="850" w:type="dxa"/>
          </w:tcPr>
          <w:p w14:paraId="22077048"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188CBF29"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4B9D1E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Základní (popř. i střední) školy dislokované na území města</w:t>
            </w:r>
          </w:p>
        </w:tc>
        <w:tc>
          <w:tcPr>
            <w:tcW w:w="850" w:type="dxa"/>
            <w:shd w:val="clear" w:color="auto" w:fill="D9D9D9" w:themeFill="background1" w:themeFillShade="D9"/>
          </w:tcPr>
          <w:p w14:paraId="57B6BD65"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6949DC9A" w14:textId="77777777" w:rsidTr="006A6228">
        <w:trPr>
          <w:cantSplit/>
          <w:trHeight w:hRule="exact" w:val="274"/>
        </w:trPr>
        <w:tc>
          <w:tcPr>
            <w:cnfStyle w:val="001000000000" w:firstRow="0" w:lastRow="0" w:firstColumn="1" w:lastColumn="0" w:oddVBand="0" w:evenVBand="0" w:oddHBand="0" w:evenHBand="0" w:firstRowFirstColumn="0" w:firstRowLastColumn="0" w:lastRowFirstColumn="0" w:lastRowLastColumn="0"/>
            <w:tcW w:w="8217" w:type="dxa"/>
            <w:shd w:val="clear" w:color="auto" w:fill="auto"/>
          </w:tcPr>
          <w:p w14:paraId="6A8E37D9" w14:textId="77777777" w:rsidR="009A2449" w:rsidRPr="009A2449" w:rsidRDefault="009A2449" w:rsidP="009A2449">
            <w:pPr>
              <w:spacing w:before="0"/>
              <w:jc w:val="left"/>
              <w:rPr>
                <w:b w:val="0"/>
              </w:rPr>
            </w:pPr>
            <w:r w:rsidRPr="009A2449">
              <w:rPr>
                <w:b w:val="0"/>
              </w:rPr>
              <w:t>Národní úřad pro kybernetickou a informační bezpečnost (NÚKIB)</w:t>
            </w:r>
          </w:p>
        </w:tc>
        <w:tc>
          <w:tcPr>
            <w:tcW w:w="850" w:type="dxa"/>
          </w:tcPr>
          <w:p w14:paraId="6D016342" w14:textId="77777777" w:rsidR="009A2449" w:rsidRPr="009A2449" w:rsidRDefault="009A2449" w:rsidP="009A2449">
            <w:pPr>
              <w:spacing w:before="0"/>
              <w:jc w:val="center"/>
              <w:cnfStyle w:val="000000000000" w:firstRow="0" w:lastRow="0" w:firstColumn="0" w:lastColumn="0" w:oddVBand="0" w:evenVBand="0" w:oddHBand="0" w:evenHBand="0" w:firstRowFirstColumn="0" w:firstRowLastColumn="0" w:lastRowFirstColumn="0" w:lastRowLastColumn="0"/>
            </w:pPr>
            <w:r w:rsidRPr="009A2449">
              <w:t>1</w:t>
            </w:r>
          </w:p>
        </w:tc>
      </w:tr>
      <w:tr w:rsidR="009A2449" w:rsidRPr="009A2449" w14:paraId="01FB3B23" w14:textId="77777777" w:rsidTr="006A6228">
        <w:trPr>
          <w:trHeight w:hRule="exact" w:val="292"/>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1A0E313" w14:textId="77777777" w:rsidR="009A2449" w:rsidRPr="009A2449" w:rsidRDefault="009A2449" w:rsidP="009A2449">
            <w:pPr>
              <w:spacing w:before="0"/>
              <w:jc w:val="left"/>
              <w:rPr>
                <w:b w:val="0"/>
                <w:shd w:val="clear" w:color="auto" w:fill="FFFFFF"/>
              </w:rPr>
            </w:pPr>
            <w:r w:rsidRPr="009A2449">
              <w:rPr>
                <w:rFonts w:cstheme="minorHAnsi"/>
                <w:b w:val="0"/>
                <w:color w:val="000000" w:themeColor="text1"/>
              </w:rPr>
              <w:t>NWT a.s.</w:t>
            </w:r>
          </w:p>
        </w:tc>
        <w:tc>
          <w:tcPr>
            <w:tcW w:w="850" w:type="dxa"/>
            <w:shd w:val="clear" w:color="auto" w:fill="D9D9D9" w:themeFill="background1" w:themeFillShade="D9"/>
          </w:tcPr>
          <w:p w14:paraId="243435A8" w14:textId="77777777" w:rsidR="009A2449" w:rsidRPr="009A2449" w:rsidRDefault="009A2449" w:rsidP="009A2449">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305BAF7D"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1E185DAC"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rPr>
              <w:t>SH ČMS - Krajské sdružení hasičů Zlínského kraje</w:t>
            </w:r>
          </w:p>
        </w:tc>
        <w:tc>
          <w:tcPr>
            <w:tcW w:w="850" w:type="dxa"/>
          </w:tcPr>
          <w:p w14:paraId="27CE4C8E"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4B59D104"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4868285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Krajské vojenské velitelství Zlín</w:t>
            </w:r>
          </w:p>
        </w:tc>
        <w:tc>
          <w:tcPr>
            <w:tcW w:w="850" w:type="dxa"/>
          </w:tcPr>
          <w:p w14:paraId="5EDFD0CA"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473E7B29"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4FB4550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szCs w:val="20"/>
                <w:shd w:val="clear" w:color="auto" w:fill="FFFFFF"/>
              </w:rPr>
              <w:t>SH ČMS - Okresní sdružení hasičů Zlín</w:t>
            </w:r>
          </w:p>
        </w:tc>
        <w:tc>
          <w:tcPr>
            <w:tcW w:w="850" w:type="dxa"/>
          </w:tcPr>
          <w:p w14:paraId="542FC251"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301EFA79"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4307B6A6"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Zdravotnická záchranná služba Zlínského kraje, p.o.</w:t>
            </w:r>
          </w:p>
        </w:tc>
        <w:tc>
          <w:tcPr>
            <w:tcW w:w="850" w:type="dxa"/>
          </w:tcPr>
          <w:p w14:paraId="19F6E795"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085EF5EC"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2F7BC86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Krajský soud Brno, pobočka ve Zlíně</w:t>
            </w:r>
          </w:p>
        </w:tc>
        <w:tc>
          <w:tcPr>
            <w:tcW w:w="850" w:type="dxa"/>
          </w:tcPr>
          <w:p w14:paraId="3AC3E618"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E00799B"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3E0D11F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ascii="Calibri" w:hAnsi="Calibri" w:cs="Calibri"/>
                <w:b w:val="0"/>
              </w:rPr>
              <w:t>HZS Zlínského kraje - Hasičský záchranný sbor České republiky</w:t>
            </w:r>
          </w:p>
        </w:tc>
        <w:tc>
          <w:tcPr>
            <w:tcW w:w="850" w:type="dxa"/>
          </w:tcPr>
          <w:p w14:paraId="1677D3AE"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656B048"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4345D60C"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Bezpečnostní agentura - CZ-GUARD, s.r.o.</w:t>
            </w:r>
          </w:p>
        </w:tc>
        <w:tc>
          <w:tcPr>
            <w:tcW w:w="850" w:type="dxa"/>
          </w:tcPr>
          <w:p w14:paraId="693160AD"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15016FF"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66B56F0E"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TOP security s.r.o.</w:t>
            </w:r>
          </w:p>
        </w:tc>
        <w:tc>
          <w:tcPr>
            <w:tcW w:w="850" w:type="dxa"/>
          </w:tcPr>
          <w:p w14:paraId="59724F11"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5886334"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488EE39E"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Bezpečnostní agentura Zlín | Astrema s.r.o.</w:t>
            </w:r>
          </w:p>
        </w:tc>
        <w:tc>
          <w:tcPr>
            <w:tcW w:w="850" w:type="dxa"/>
          </w:tcPr>
          <w:p w14:paraId="2CBEF9F8"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4DC7578"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4C52A000"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EGO Zlín, spol. s r. o., U Pekárny 438, 763 14 Zlín - Štípa</w:t>
            </w:r>
          </w:p>
        </w:tc>
        <w:tc>
          <w:tcPr>
            <w:tcW w:w="850" w:type="dxa"/>
          </w:tcPr>
          <w:p w14:paraId="18D0FF3D"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3125ACC"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389339D0"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ECOPROTECT, spol. s r.o., Tečovská 1122, 763 02 Zlín</w:t>
            </w:r>
          </w:p>
        </w:tc>
        <w:tc>
          <w:tcPr>
            <w:tcW w:w="850" w:type="dxa"/>
          </w:tcPr>
          <w:p w14:paraId="031DA367"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A891FCD"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1231F651"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Jednotky sboru dobrovolných hasičů SMZ a Místních částí města (cca 12)</w:t>
            </w:r>
          </w:p>
        </w:tc>
        <w:tc>
          <w:tcPr>
            <w:tcW w:w="850" w:type="dxa"/>
          </w:tcPr>
          <w:p w14:paraId="21C3405E"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97C27BE" w14:textId="77777777" w:rsidTr="006A6228">
        <w:trPr>
          <w:cantSplit/>
          <w:trHeight w:hRule="exact" w:val="296"/>
        </w:trPr>
        <w:tc>
          <w:tcPr>
            <w:cnfStyle w:val="001000000000" w:firstRow="0" w:lastRow="0" w:firstColumn="1" w:lastColumn="0" w:oddVBand="0" w:evenVBand="0" w:oddHBand="0" w:evenHBand="0" w:firstRowFirstColumn="0" w:firstRowLastColumn="0" w:lastRowFirstColumn="0" w:lastRowLastColumn="0"/>
            <w:tcW w:w="8217" w:type="dxa"/>
          </w:tcPr>
          <w:p w14:paraId="5995EA84" w14:textId="77777777" w:rsidR="009A2449" w:rsidRPr="009A2449" w:rsidRDefault="009A2449" w:rsidP="009A2449">
            <w:pPr>
              <w:autoSpaceDE w:val="0"/>
              <w:autoSpaceDN w:val="0"/>
              <w:adjustRightInd w:val="0"/>
              <w:spacing w:before="0"/>
              <w:rPr>
                <w:rFonts w:cstheme="minorHAnsi"/>
                <w:b w:val="0"/>
                <w:color w:val="000000" w:themeColor="text1"/>
                <w:szCs w:val="20"/>
                <w:shd w:val="clear" w:color="auto" w:fill="FFFFFF"/>
              </w:rPr>
            </w:pPr>
            <w:r w:rsidRPr="009A2449">
              <w:rPr>
                <w:rFonts w:cstheme="minorHAnsi"/>
                <w:b w:val="0"/>
                <w:color w:val="000000" w:themeColor="text1"/>
                <w:szCs w:val="20"/>
                <w:shd w:val="clear" w:color="auto" w:fill="FFFFFF"/>
              </w:rPr>
              <w:t>Sportovní a branné organizace (kluby) působící na území města</w:t>
            </w:r>
          </w:p>
        </w:tc>
        <w:tc>
          <w:tcPr>
            <w:tcW w:w="850" w:type="dxa"/>
          </w:tcPr>
          <w:p w14:paraId="6752AB22" w14:textId="77777777" w:rsidR="009A2449" w:rsidRPr="009A2449" w:rsidRDefault="009A2449" w:rsidP="009A2449">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bl>
    <w:p w14:paraId="3966941F" w14:textId="1E869FA9" w:rsidR="00A91C05" w:rsidRDefault="00A91C05" w:rsidP="004E1A5C">
      <w:pPr>
        <w:pStyle w:val="Nadpis5"/>
        <w:rPr>
          <w:lang w:eastAsia="cs-CZ"/>
        </w:rPr>
      </w:pPr>
      <w:bookmarkStart w:id="815" w:name="_Toc46218679"/>
      <w:r>
        <w:rPr>
          <w:lang w:eastAsia="cs-CZ"/>
        </w:rPr>
        <w:t>PS D</w:t>
      </w:r>
      <w:r w:rsidR="00CD1295">
        <w:rPr>
          <w:lang w:eastAsia="cs-CZ"/>
        </w:rPr>
        <w:t>oprava</w:t>
      </w:r>
      <w:bookmarkEnd w:id="815"/>
    </w:p>
    <w:p w14:paraId="2F4D2B5A" w14:textId="4C1E90B4" w:rsidR="00A91C05" w:rsidRPr="0091057F" w:rsidRDefault="00A91C05" w:rsidP="00A91C05">
      <w:pPr>
        <w:pStyle w:val="Titulek"/>
        <w:rPr>
          <w:lang w:eastAsia="cs-CZ"/>
        </w:rPr>
      </w:pPr>
      <w:bookmarkStart w:id="816" w:name="_Toc50549194"/>
      <w:bookmarkStart w:id="817" w:name="_Toc50989357"/>
      <w:bookmarkStart w:id="818" w:name="_Toc53388477"/>
      <w:bookmarkStart w:id="819" w:name="_Toc54702647"/>
      <w:bookmarkStart w:id="820" w:name="_Toc56179454"/>
      <w:bookmarkStart w:id="821" w:name="_Toc57731812"/>
      <w:bookmarkStart w:id="822" w:name="_Toc77074796"/>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33</w:t>
      </w:r>
      <w:r w:rsidR="00081B47">
        <w:rPr>
          <w:noProof/>
        </w:rPr>
        <w:fldChar w:fldCharType="end"/>
      </w:r>
      <w:r w:rsidR="00F430B9">
        <w:rPr>
          <w:noProof/>
        </w:rPr>
        <w:t>:</w:t>
      </w:r>
      <w:r>
        <w:t xml:space="preserve"> Prioritizace stakeholderů členy PS Doprava a technická infrastruktura</w:t>
      </w:r>
      <w:bookmarkEnd w:id="816"/>
      <w:bookmarkEnd w:id="817"/>
      <w:bookmarkEnd w:id="818"/>
      <w:bookmarkEnd w:id="819"/>
      <w:bookmarkEnd w:id="820"/>
      <w:bookmarkEnd w:id="821"/>
      <w:bookmarkEnd w:id="822"/>
    </w:p>
    <w:tbl>
      <w:tblPr>
        <w:tblStyle w:val="Svtltabulkasmkou19"/>
        <w:tblW w:w="9067" w:type="dxa"/>
        <w:tblLayout w:type="fixed"/>
        <w:tblLook w:val="04A0" w:firstRow="1" w:lastRow="0" w:firstColumn="1" w:lastColumn="0" w:noHBand="0" w:noVBand="1"/>
      </w:tblPr>
      <w:tblGrid>
        <w:gridCol w:w="8217"/>
        <w:gridCol w:w="850"/>
      </w:tblGrid>
      <w:tr w:rsidR="009A2449" w:rsidRPr="009A2449" w14:paraId="05B6076B" w14:textId="77777777" w:rsidTr="006A6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shd w:val="clear" w:color="auto" w:fill="BF8F00" w:themeFill="accent4" w:themeFillShade="BF"/>
          </w:tcPr>
          <w:p w14:paraId="6FB930F1" w14:textId="77777777" w:rsidR="009A2449" w:rsidRPr="009A2449" w:rsidRDefault="009A2449" w:rsidP="009A2449">
            <w:pPr>
              <w:spacing w:before="0"/>
              <w:jc w:val="center"/>
              <w:rPr>
                <w:rFonts w:cstheme="minorHAnsi"/>
                <w:color w:val="000000" w:themeColor="text1"/>
              </w:rPr>
            </w:pPr>
            <w:r w:rsidRPr="009A2449">
              <w:rPr>
                <w:rFonts w:cstheme="minorHAnsi"/>
                <w:color w:val="FFFFFF" w:themeColor="background1"/>
              </w:rPr>
              <w:t>DOPRAVA A TECHNICKÁ INFRASTRUKTURA</w:t>
            </w:r>
          </w:p>
        </w:tc>
        <w:tc>
          <w:tcPr>
            <w:tcW w:w="850" w:type="dxa"/>
            <w:shd w:val="clear" w:color="auto" w:fill="BF8F00" w:themeFill="accent4" w:themeFillShade="BF"/>
          </w:tcPr>
          <w:p w14:paraId="2E97842A" w14:textId="77777777" w:rsidR="009A2449" w:rsidRPr="009A2449" w:rsidRDefault="009A2449" w:rsidP="009A2449">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9A2449">
              <w:rPr>
                <w:rFonts w:cstheme="minorHAnsi"/>
                <w:color w:val="FFFFFF" w:themeColor="background1"/>
              </w:rPr>
              <w:t>Počet hlasů</w:t>
            </w:r>
          </w:p>
        </w:tc>
      </w:tr>
      <w:tr w:rsidR="009A2449" w:rsidRPr="009A2449" w14:paraId="0798513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347444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Statutární město Zlín </w:t>
            </w:r>
          </w:p>
        </w:tc>
        <w:tc>
          <w:tcPr>
            <w:tcW w:w="850" w:type="dxa"/>
            <w:shd w:val="clear" w:color="auto" w:fill="D9D9D9" w:themeFill="background1" w:themeFillShade="D9"/>
          </w:tcPr>
          <w:p w14:paraId="5013184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16</w:t>
            </w:r>
          </w:p>
        </w:tc>
      </w:tr>
      <w:tr w:rsidR="009A2449" w:rsidRPr="009A2449" w14:paraId="2DDBA76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9715006"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Dopravní společnost Zlín-Otrokovice, s.r.o. </w:t>
            </w:r>
          </w:p>
        </w:tc>
        <w:tc>
          <w:tcPr>
            <w:tcW w:w="850" w:type="dxa"/>
            <w:shd w:val="clear" w:color="auto" w:fill="D9D9D9" w:themeFill="background1" w:themeFillShade="D9"/>
          </w:tcPr>
          <w:p w14:paraId="0B17DF3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12</w:t>
            </w:r>
          </w:p>
        </w:tc>
      </w:tr>
      <w:tr w:rsidR="009A2449" w:rsidRPr="009A2449" w14:paraId="06BA8E1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EB14958"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Zlínský kraj</w:t>
            </w:r>
          </w:p>
        </w:tc>
        <w:tc>
          <w:tcPr>
            <w:tcW w:w="850" w:type="dxa"/>
            <w:shd w:val="clear" w:color="auto" w:fill="D9D9D9" w:themeFill="background1" w:themeFillShade="D9"/>
          </w:tcPr>
          <w:p w14:paraId="5257A0A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9</w:t>
            </w:r>
          </w:p>
        </w:tc>
      </w:tr>
      <w:tr w:rsidR="009A2449" w:rsidRPr="009A2449" w14:paraId="672D688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DE9F26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shd w:val="clear" w:color="auto" w:fill="D9D9D9" w:themeFill="background1" w:themeFillShade="D9"/>
              </w:rPr>
              <w:t>Ředitelství silnic Zlínského kraje</w:t>
            </w:r>
          </w:p>
        </w:tc>
        <w:tc>
          <w:tcPr>
            <w:tcW w:w="850" w:type="dxa"/>
            <w:shd w:val="clear" w:color="auto" w:fill="D9D9D9" w:themeFill="background1" w:themeFillShade="D9"/>
          </w:tcPr>
          <w:p w14:paraId="53044DE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shd w:val="clear" w:color="auto" w:fill="D9D9D9" w:themeFill="background1" w:themeFillShade="D9"/>
              </w:rPr>
              <w:t>7</w:t>
            </w:r>
          </w:p>
        </w:tc>
      </w:tr>
      <w:tr w:rsidR="009A2449" w:rsidRPr="009A2449" w14:paraId="7743891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40F6260" w14:textId="77777777" w:rsidR="009A2449" w:rsidRPr="009A2449" w:rsidRDefault="009A2449" w:rsidP="009A2449">
            <w:pPr>
              <w:autoSpaceDE w:val="0"/>
              <w:autoSpaceDN w:val="0"/>
              <w:adjustRightInd w:val="0"/>
              <w:spacing w:before="0"/>
              <w:rPr>
                <w:rFonts w:cstheme="minorHAnsi"/>
                <w:b w:val="0"/>
                <w:color w:val="000000" w:themeColor="text1"/>
                <w:shd w:val="clear" w:color="auto" w:fill="D9D9D9" w:themeFill="background1" w:themeFillShade="D9"/>
              </w:rPr>
            </w:pPr>
            <w:r w:rsidRPr="009A2449">
              <w:rPr>
                <w:rFonts w:cstheme="minorHAnsi"/>
                <w:b w:val="0"/>
                <w:color w:val="000000" w:themeColor="text1"/>
              </w:rPr>
              <w:t>Ředitelství silnic a dálnic ČR - Správa Zlín</w:t>
            </w:r>
          </w:p>
        </w:tc>
        <w:tc>
          <w:tcPr>
            <w:tcW w:w="850" w:type="dxa"/>
            <w:shd w:val="clear" w:color="auto" w:fill="D9D9D9" w:themeFill="background1" w:themeFillShade="D9"/>
          </w:tcPr>
          <w:p w14:paraId="6D3DCF3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D9D9D9" w:themeFill="background1" w:themeFillShade="D9"/>
              </w:rPr>
            </w:pPr>
            <w:r w:rsidRPr="009A2449">
              <w:rPr>
                <w:rFonts w:cstheme="minorHAnsi"/>
                <w:color w:val="000000" w:themeColor="text1"/>
              </w:rPr>
              <w:t>7</w:t>
            </w:r>
          </w:p>
        </w:tc>
      </w:tr>
      <w:tr w:rsidR="009A2449" w:rsidRPr="009A2449" w14:paraId="514FCDE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4EEE0A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KOVED, Koordinátor veřejné dopravy Zlínského kraje, s.r.o.</w:t>
            </w:r>
          </w:p>
        </w:tc>
        <w:tc>
          <w:tcPr>
            <w:tcW w:w="850" w:type="dxa"/>
            <w:shd w:val="clear" w:color="auto" w:fill="FFFFFF" w:themeFill="background1"/>
          </w:tcPr>
          <w:p w14:paraId="0B2CD0B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5</w:t>
            </w:r>
          </w:p>
        </w:tc>
      </w:tr>
      <w:tr w:rsidR="009A2449" w:rsidRPr="009A2449" w14:paraId="585F649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D9BE7F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Správa železnic, státní organizace </w:t>
            </w:r>
          </w:p>
        </w:tc>
        <w:tc>
          <w:tcPr>
            <w:tcW w:w="850" w:type="dxa"/>
            <w:shd w:val="clear" w:color="auto" w:fill="D9D9D9" w:themeFill="background1" w:themeFillShade="D9"/>
          </w:tcPr>
          <w:p w14:paraId="611E0980"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4</w:t>
            </w:r>
          </w:p>
        </w:tc>
      </w:tr>
      <w:tr w:rsidR="009A2449" w:rsidRPr="009A2449" w14:paraId="5593D52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EA1EC2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Technické služby Zlín, s.r.o.</w:t>
            </w:r>
          </w:p>
        </w:tc>
        <w:tc>
          <w:tcPr>
            <w:tcW w:w="850" w:type="dxa"/>
            <w:shd w:val="clear" w:color="auto" w:fill="D9D9D9" w:themeFill="background1" w:themeFillShade="D9"/>
          </w:tcPr>
          <w:p w14:paraId="04EEBB4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D9D9D9" w:themeFill="background1" w:themeFillShade="D9"/>
              </w:rPr>
            </w:pPr>
            <w:r w:rsidRPr="009A2449">
              <w:rPr>
                <w:rFonts w:cstheme="minorHAnsi"/>
                <w:color w:val="000000" w:themeColor="text1"/>
              </w:rPr>
              <w:t>2</w:t>
            </w:r>
          </w:p>
        </w:tc>
      </w:tr>
      <w:tr w:rsidR="009A2449" w:rsidRPr="009A2449" w14:paraId="494BF5A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365401E" w14:textId="77777777" w:rsidR="009A2449" w:rsidRPr="009A2449" w:rsidRDefault="009A2449" w:rsidP="009A2449">
            <w:pPr>
              <w:autoSpaceDE w:val="0"/>
              <w:autoSpaceDN w:val="0"/>
              <w:adjustRightInd w:val="0"/>
              <w:spacing w:before="0"/>
              <w:rPr>
                <w:rFonts w:cstheme="minorHAnsi"/>
                <w:b w:val="0"/>
                <w:color w:val="000000" w:themeColor="text1"/>
                <w:shd w:val="clear" w:color="auto" w:fill="D9D9D9" w:themeFill="background1" w:themeFillShade="D9"/>
              </w:rPr>
            </w:pPr>
            <w:r w:rsidRPr="009A2449">
              <w:rPr>
                <w:rFonts w:cstheme="minorHAnsi"/>
                <w:b w:val="0"/>
                <w:color w:val="000000" w:themeColor="text1"/>
              </w:rPr>
              <w:t>Teplo Zlín, a.s.</w:t>
            </w:r>
          </w:p>
        </w:tc>
        <w:tc>
          <w:tcPr>
            <w:tcW w:w="850" w:type="dxa"/>
            <w:shd w:val="clear" w:color="auto" w:fill="D9D9D9" w:themeFill="background1" w:themeFillShade="D9"/>
          </w:tcPr>
          <w:p w14:paraId="7E59778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shd w:val="clear" w:color="auto" w:fill="D9D9D9" w:themeFill="background1" w:themeFillShade="D9"/>
              </w:rPr>
            </w:pPr>
            <w:r w:rsidRPr="009A2449">
              <w:rPr>
                <w:rFonts w:cstheme="minorHAnsi"/>
                <w:color w:val="000000" w:themeColor="text1"/>
              </w:rPr>
              <w:t>2</w:t>
            </w:r>
          </w:p>
        </w:tc>
      </w:tr>
      <w:tr w:rsidR="009A2449" w:rsidRPr="009A2449" w14:paraId="77FFC56C"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021AC4C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Sdružení pro rozvoj dopravní infrastruktury na Moravě </w:t>
            </w:r>
          </w:p>
        </w:tc>
        <w:tc>
          <w:tcPr>
            <w:tcW w:w="850" w:type="dxa"/>
            <w:shd w:val="clear" w:color="auto" w:fill="FFFFFF" w:themeFill="background1"/>
          </w:tcPr>
          <w:p w14:paraId="57FBF55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23A5EA3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A45C7A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Partnerství pro městskou mobilitu</w:t>
            </w:r>
          </w:p>
        </w:tc>
        <w:tc>
          <w:tcPr>
            <w:tcW w:w="850" w:type="dxa"/>
            <w:shd w:val="clear" w:color="auto" w:fill="D9D9D9" w:themeFill="background1" w:themeFillShade="D9"/>
          </w:tcPr>
          <w:p w14:paraId="52084E0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2</w:t>
            </w:r>
          </w:p>
        </w:tc>
      </w:tr>
      <w:tr w:rsidR="009A2449" w:rsidRPr="009A2449" w14:paraId="225B4B1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F15FB25"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Vodovody a kanalizace Zlín, a.s.</w:t>
            </w:r>
          </w:p>
        </w:tc>
        <w:tc>
          <w:tcPr>
            <w:tcW w:w="850" w:type="dxa"/>
            <w:shd w:val="clear" w:color="auto" w:fill="D9D9D9" w:themeFill="background1" w:themeFillShade="D9"/>
          </w:tcPr>
          <w:p w14:paraId="79508DC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31638E4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35C24F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Univerzita Tomáše Bati ve Zlíně</w:t>
            </w:r>
          </w:p>
        </w:tc>
        <w:tc>
          <w:tcPr>
            <w:tcW w:w="850" w:type="dxa"/>
            <w:shd w:val="clear" w:color="auto" w:fill="D9D9D9" w:themeFill="background1" w:themeFillShade="D9"/>
          </w:tcPr>
          <w:p w14:paraId="2103FF3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1D610DE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355AF0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České dráhy, a.s. - Krajské centrum osobní dopravy Zlín</w:t>
            </w:r>
          </w:p>
        </w:tc>
        <w:tc>
          <w:tcPr>
            <w:tcW w:w="850" w:type="dxa"/>
            <w:shd w:val="clear" w:color="auto" w:fill="FFFFFF" w:themeFill="background1"/>
          </w:tcPr>
          <w:p w14:paraId="19278D3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641A1AA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F5F6D7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Centrála cestovního ruchu Východní Moravy, o.p.s. </w:t>
            </w:r>
          </w:p>
        </w:tc>
        <w:tc>
          <w:tcPr>
            <w:tcW w:w="850" w:type="dxa"/>
            <w:shd w:val="clear" w:color="auto" w:fill="FFFFFF" w:themeFill="background1"/>
          </w:tcPr>
          <w:p w14:paraId="7AF6AB6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07FCACB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87C83B4"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E.ON Distribuce, a.s.</w:t>
            </w:r>
          </w:p>
        </w:tc>
        <w:tc>
          <w:tcPr>
            <w:tcW w:w="850" w:type="dxa"/>
            <w:shd w:val="clear" w:color="auto" w:fill="FFFFFF" w:themeFill="background1"/>
          </w:tcPr>
          <w:p w14:paraId="3BD57BD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59D37994"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37AB88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Krajská hospodářská komora Zlínského kraje</w:t>
            </w:r>
          </w:p>
        </w:tc>
        <w:tc>
          <w:tcPr>
            <w:tcW w:w="850" w:type="dxa"/>
            <w:shd w:val="clear" w:color="auto" w:fill="D9D9D9" w:themeFill="background1" w:themeFillShade="D9"/>
          </w:tcPr>
          <w:p w14:paraId="1605066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11AE4E06"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0EC0CA4" w14:textId="77777777" w:rsidR="009A2449" w:rsidRPr="009A2449" w:rsidRDefault="009A2449" w:rsidP="009A2449">
            <w:pPr>
              <w:spacing w:before="0" w:after="120"/>
              <w:rPr>
                <w:rFonts w:cstheme="minorHAnsi"/>
                <w:b w:val="0"/>
              </w:rPr>
            </w:pPr>
            <w:r w:rsidRPr="009A2449">
              <w:rPr>
                <w:rFonts w:cstheme="minorHAnsi"/>
                <w:b w:val="0"/>
              </w:rPr>
              <w:t>E.ON Česká republika, s.r.o.</w:t>
            </w:r>
          </w:p>
          <w:p w14:paraId="1AADBC4F" w14:textId="77777777" w:rsidR="009A2449" w:rsidRPr="009A2449" w:rsidRDefault="009A2449" w:rsidP="009A2449">
            <w:pPr>
              <w:autoSpaceDE w:val="0"/>
              <w:autoSpaceDN w:val="0"/>
              <w:adjustRightInd w:val="0"/>
              <w:spacing w:before="0"/>
              <w:rPr>
                <w:rFonts w:cstheme="minorHAnsi"/>
                <w:b w:val="0"/>
                <w:color w:val="000000" w:themeColor="text1"/>
              </w:rPr>
            </w:pPr>
          </w:p>
        </w:tc>
        <w:tc>
          <w:tcPr>
            <w:tcW w:w="850" w:type="dxa"/>
            <w:shd w:val="clear" w:color="auto" w:fill="D9D9D9" w:themeFill="background1" w:themeFillShade="D9"/>
          </w:tcPr>
          <w:p w14:paraId="161DD62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1</w:t>
            </w:r>
          </w:p>
        </w:tc>
      </w:tr>
      <w:tr w:rsidR="009A2449" w:rsidRPr="009A2449" w14:paraId="43FC447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6F3EF34" w14:textId="77777777" w:rsidR="009A2449" w:rsidRPr="009A2449" w:rsidRDefault="009A2449" w:rsidP="009A2449">
            <w:pPr>
              <w:spacing w:before="0" w:after="120"/>
              <w:rPr>
                <w:rFonts w:cstheme="minorHAnsi"/>
                <w:b w:val="0"/>
              </w:rPr>
            </w:pPr>
            <w:r w:rsidRPr="009A2449">
              <w:rPr>
                <w:rFonts w:cstheme="minorHAnsi"/>
                <w:b w:val="0"/>
              </w:rPr>
              <w:t>Teplárna Kladno s.r.o.</w:t>
            </w:r>
          </w:p>
        </w:tc>
        <w:tc>
          <w:tcPr>
            <w:tcW w:w="850" w:type="dxa"/>
            <w:shd w:val="clear" w:color="auto" w:fill="FFFFFF" w:themeFill="background1"/>
          </w:tcPr>
          <w:p w14:paraId="372C927B"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rPr>
              <w:t>1</w:t>
            </w:r>
          </w:p>
        </w:tc>
      </w:tr>
      <w:tr w:rsidR="009A2449" w:rsidRPr="009A2449" w14:paraId="6C296EB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FDA48AA" w14:textId="77777777" w:rsidR="009A2449" w:rsidRPr="009A2449" w:rsidRDefault="009A2449" w:rsidP="009A2449">
            <w:pPr>
              <w:spacing w:before="0" w:after="120"/>
              <w:rPr>
                <w:rFonts w:cstheme="minorHAnsi"/>
                <w:b w:val="0"/>
              </w:rPr>
            </w:pPr>
            <w:r w:rsidRPr="009A2449">
              <w:rPr>
                <w:rFonts w:cstheme="minorHAnsi"/>
                <w:b w:val="0"/>
              </w:rPr>
              <w:t>České dráhy, a.s., Generální ředitelství, Regionální obchodní centrum Zlín</w:t>
            </w:r>
          </w:p>
          <w:p w14:paraId="342282A4" w14:textId="77777777" w:rsidR="009A2449" w:rsidRPr="009A2449" w:rsidRDefault="009A2449" w:rsidP="009A2449">
            <w:pPr>
              <w:spacing w:before="0" w:after="120"/>
              <w:rPr>
                <w:rFonts w:cstheme="minorHAnsi"/>
                <w:b w:val="0"/>
              </w:rPr>
            </w:pPr>
          </w:p>
        </w:tc>
        <w:tc>
          <w:tcPr>
            <w:tcW w:w="850" w:type="dxa"/>
            <w:shd w:val="clear" w:color="auto" w:fill="D9D9D9" w:themeFill="background1" w:themeFillShade="D9"/>
          </w:tcPr>
          <w:p w14:paraId="2AFAA219"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ascii="Calibri" w:hAnsi="Calibri" w:cstheme="minorHAnsi"/>
                <w:color w:val="000000"/>
                <w:sz w:val="24"/>
                <w:szCs w:val="24"/>
              </w:rPr>
              <w:t>1</w:t>
            </w:r>
          </w:p>
        </w:tc>
      </w:tr>
      <w:tr w:rsidR="009A2449" w:rsidRPr="009A2449" w14:paraId="649D0E9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auto"/>
          </w:tcPr>
          <w:p w14:paraId="0C89A0A7" w14:textId="77777777" w:rsidR="009A2449" w:rsidRPr="009A2449" w:rsidRDefault="009A2449" w:rsidP="009A2449">
            <w:pPr>
              <w:spacing w:before="0" w:after="120"/>
              <w:rPr>
                <w:rFonts w:cstheme="minorHAnsi"/>
                <w:b w:val="0"/>
              </w:rPr>
            </w:pPr>
            <w:r w:rsidRPr="009A2449">
              <w:rPr>
                <w:rFonts w:cstheme="minorHAnsi"/>
                <w:b w:val="0"/>
                <w:color w:val="000000" w:themeColor="text1"/>
              </w:rPr>
              <w:t>CykloZLÍN - Iniciativa cyklistů pro Zlínský kraj CykloZLÍN</w:t>
            </w:r>
          </w:p>
        </w:tc>
        <w:tc>
          <w:tcPr>
            <w:tcW w:w="850" w:type="dxa"/>
            <w:shd w:val="clear" w:color="auto" w:fill="auto"/>
          </w:tcPr>
          <w:p w14:paraId="16E4DA7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sz w:val="24"/>
                <w:szCs w:val="24"/>
              </w:rPr>
            </w:pPr>
            <w:r w:rsidRPr="009A2449">
              <w:rPr>
                <w:rFonts w:ascii="Calibri" w:hAnsi="Calibri" w:cstheme="minorHAnsi"/>
                <w:color w:val="000000"/>
                <w:sz w:val="24"/>
                <w:szCs w:val="24"/>
              </w:rPr>
              <w:t>1</w:t>
            </w:r>
          </w:p>
        </w:tc>
      </w:tr>
      <w:tr w:rsidR="009A2449" w:rsidRPr="009A2449" w14:paraId="4E92A76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845CC7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Krajská správa ČSÚ ve Zlíně</w:t>
            </w:r>
          </w:p>
        </w:tc>
        <w:tc>
          <w:tcPr>
            <w:tcW w:w="850" w:type="dxa"/>
            <w:shd w:val="clear" w:color="auto" w:fill="FFFFFF" w:themeFill="background1"/>
          </w:tcPr>
          <w:p w14:paraId="28C2A72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5C63136"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B2C20E2" w14:textId="77777777" w:rsidR="009A2449" w:rsidRPr="009A2449" w:rsidRDefault="009A2449" w:rsidP="009A2449">
            <w:pPr>
              <w:spacing w:before="0" w:after="120"/>
              <w:rPr>
                <w:rFonts w:cstheme="minorHAnsi"/>
                <w:b w:val="0"/>
                <w:color w:val="000000" w:themeColor="text1"/>
              </w:rPr>
            </w:pPr>
            <w:r w:rsidRPr="009A2449">
              <w:rPr>
                <w:rFonts w:cstheme="minorHAnsi"/>
                <w:b w:val="0"/>
                <w:color w:val="000000" w:themeColor="text1"/>
              </w:rPr>
              <w:t>Energetická agentura Zlínského kraje</w:t>
            </w:r>
          </w:p>
        </w:tc>
        <w:tc>
          <w:tcPr>
            <w:tcW w:w="850" w:type="dxa"/>
            <w:shd w:val="clear" w:color="auto" w:fill="FFFFFF" w:themeFill="background1"/>
          </w:tcPr>
          <w:p w14:paraId="16F6667B" w14:textId="77777777" w:rsidR="009A2449" w:rsidRPr="009A2449" w:rsidRDefault="009A2449" w:rsidP="009A2449">
            <w:pPr>
              <w:spacing w:before="0" w:after="12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4A3973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1F5AA4C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Ředitelství vodních cest ČR</w:t>
            </w:r>
          </w:p>
        </w:tc>
        <w:tc>
          <w:tcPr>
            <w:tcW w:w="850" w:type="dxa"/>
          </w:tcPr>
          <w:p w14:paraId="736F6C8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C4B623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2EDE67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ČD - Telematika a.s.</w:t>
            </w:r>
          </w:p>
        </w:tc>
        <w:tc>
          <w:tcPr>
            <w:tcW w:w="850" w:type="dxa"/>
          </w:tcPr>
          <w:p w14:paraId="5BB00F6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4D0E52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302DD1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CREAM Real Estate, s.r.o.</w:t>
            </w:r>
          </w:p>
        </w:tc>
        <w:tc>
          <w:tcPr>
            <w:tcW w:w="850" w:type="dxa"/>
          </w:tcPr>
          <w:p w14:paraId="5FE8E61E"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09D10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CF4550C"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Kovárna VIVA, a.s.</w:t>
            </w:r>
          </w:p>
        </w:tc>
        <w:tc>
          <w:tcPr>
            <w:tcW w:w="850" w:type="dxa"/>
            <w:shd w:val="clear" w:color="auto" w:fill="D9D9D9" w:themeFill="background1" w:themeFillShade="D9"/>
          </w:tcPr>
          <w:p w14:paraId="246F9091"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3305D8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EA50F3F"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Moravská vodárenská, a.s.</w:t>
            </w:r>
          </w:p>
        </w:tc>
        <w:tc>
          <w:tcPr>
            <w:tcW w:w="850" w:type="dxa"/>
          </w:tcPr>
          <w:p w14:paraId="1D46E0F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042C12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31811E6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Moravská vodárenská, a.s.</w:t>
            </w:r>
          </w:p>
        </w:tc>
        <w:tc>
          <w:tcPr>
            <w:tcW w:w="850" w:type="dxa"/>
          </w:tcPr>
          <w:p w14:paraId="4177E96D"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6265DA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BF9DF9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Správa a údržba silnic Zlínska, s.r.o.</w:t>
            </w:r>
          </w:p>
        </w:tc>
        <w:tc>
          <w:tcPr>
            <w:tcW w:w="850" w:type="dxa"/>
          </w:tcPr>
          <w:p w14:paraId="0C03BAE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D4FDF7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8E4984F"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SPBAZ, družstvo</w:t>
            </w:r>
          </w:p>
        </w:tc>
        <w:tc>
          <w:tcPr>
            <w:tcW w:w="850" w:type="dxa"/>
          </w:tcPr>
          <w:p w14:paraId="44B3B5BD"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20A492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C3D915B"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HP TRONIC Zlín, spol. s.r.o.</w:t>
            </w:r>
          </w:p>
        </w:tc>
        <w:tc>
          <w:tcPr>
            <w:tcW w:w="850" w:type="dxa"/>
            <w:shd w:val="clear" w:color="auto" w:fill="D9D9D9" w:themeFill="background1" w:themeFillShade="D9"/>
          </w:tcPr>
          <w:p w14:paraId="20FE2CD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4F0DCF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FA66231"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Správa a údržba silnic Zlínska, s.r.o.</w:t>
            </w:r>
          </w:p>
        </w:tc>
        <w:tc>
          <w:tcPr>
            <w:tcW w:w="850" w:type="dxa"/>
          </w:tcPr>
          <w:p w14:paraId="5D11F50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9673F8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758B827"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CZECH STYLE, spol. s r.o.</w:t>
            </w:r>
          </w:p>
        </w:tc>
        <w:tc>
          <w:tcPr>
            <w:tcW w:w="850" w:type="dxa"/>
          </w:tcPr>
          <w:p w14:paraId="219DAFA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86B6BC4"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8FDE76D"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Staviga CZ, s.r.o. stavební firma</w:t>
            </w:r>
          </w:p>
        </w:tc>
        <w:tc>
          <w:tcPr>
            <w:tcW w:w="850" w:type="dxa"/>
          </w:tcPr>
          <w:p w14:paraId="4FA42D51"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844F51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C123B41"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Stavosvit Zlín, s.r.o.</w:t>
            </w:r>
          </w:p>
        </w:tc>
        <w:tc>
          <w:tcPr>
            <w:tcW w:w="850" w:type="dxa"/>
          </w:tcPr>
          <w:p w14:paraId="627832E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1FD213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87C8B1D"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EB - stav, s.r.o.</w:t>
            </w:r>
          </w:p>
        </w:tc>
        <w:tc>
          <w:tcPr>
            <w:tcW w:w="850" w:type="dxa"/>
          </w:tcPr>
          <w:p w14:paraId="6CF1C41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516105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36F019EA"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MANAG, a.s.</w:t>
            </w:r>
          </w:p>
        </w:tc>
        <w:tc>
          <w:tcPr>
            <w:tcW w:w="850" w:type="dxa"/>
          </w:tcPr>
          <w:p w14:paraId="341F052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CCF390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5A7D017D"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JMS Stavební, s.r.o.</w:t>
            </w:r>
          </w:p>
        </w:tc>
        <w:tc>
          <w:tcPr>
            <w:tcW w:w="850" w:type="dxa"/>
          </w:tcPr>
          <w:p w14:paraId="08AF013D"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04816C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4CCBB41"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Euro C.T.S., s.r.o.</w:t>
            </w:r>
          </w:p>
        </w:tc>
        <w:tc>
          <w:tcPr>
            <w:tcW w:w="850" w:type="dxa"/>
          </w:tcPr>
          <w:p w14:paraId="6D389F6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F914F2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589D7F9E"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DAS Transport, s.r.o.</w:t>
            </w:r>
          </w:p>
        </w:tc>
        <w:tc>
          <w:tcPr>
            <w:tcW w:w="850" w:type="dxa"/>
          </w:tcPr>
          <w:p w14:paraId="2D35AF4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ADB333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496F67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Autodoprava LS</w:t>
            </w:r>
          </w:p>
        </w:tc>
        <w:tc>
          <w:tcPr>
            <w:tcW w:w="850" w:type="dxa"/>
          </w:tcPr>
          <w:p w14:paraId="2E793461"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77D192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4648DE3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Z-group, a.s.</w:t>
            </w:r>
          </w:p>
        </w:tc>
        <w:tc>
          <w:tcPr>
            <w:tcW w:w="850" w:type="dxa"/>
          </w:tcPr>
          <w:p w14:paraId="748182A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08727A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539DB23"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TELETECH Zlín, spol. s r. o.</w:t>
            </w:r>
          </w:p>
        </w:tc>
        <w:tc>
          <w:tcPr>
            <w:tcW w:w="850" w:type="dxa"/>
          </w:tcPr>
          <w:p w14:paraId="1798808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9241114"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C087054" w14:textId="77777777" w:rsidR="009A2449" w:rsidRPr="009A2449" w:rsidRDefault="009A2449" w:rsidP="009A2449">
            <w:pPr>
              <w:spacing w:before="0"/>
              <w:jc w:val="left"/>
              <w:rPr>
                <w:rFonts w:cstheme="minorHAnsi"/>
                <w:b w:val="0"/>
                <w:color w:val="000000" w:themeColor="text1"/>
              </w:rPr>
            </w:pPr>
            <w:r w:rsidRPr="009A2449">
              <w:rPr>
                <w:rFonts w:cstheme="minorHAnsi"/>
                <w:b w:val="0"/>
                <w:color w:val="000000" w:themeColor="text1"/>
              </w:rPr>
              <w:t>TELEST, spol. s r.o.</w:t>
            </w:r>
          </w:p>
          <w:p w14:paraId="1ACA37BC" w14:textId="77777777" w:rsidR="009A2449" w:rsidRPr="009A2449" w:rsidRDefault="009A2449" w:rsidP="009A2449">
            <w:pPr>
              <w:spacing w:before="0"/>
              <w:rPr>
                <w:rFonts w:cstheme="minorHAnsi"/>
                <w:b w:val="0"/>
                <w:color w:val="000000" w:themeColor="text1"/>
              </w:rPr>
            </w:pPr>
          </w:p>
        </w:tc>
        <w:tc>
          <w:tcPr>
            <w:tcW w:w="850" w:type="dxa"/>
          </w:tcPr>
          <w:p w14:paraId="5AC8EC74" w14:textId="77777777" w:rsidR="009A2449" w:rsidRPr="009A2449" w:rsidRDefault="009A2449" w:rsidP="009A2449">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65B1F6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27B01E88" w14:textId="77777777" w:rsidR="009A2449" w:rsidRPr="009A2449" w:rsidRDefault="009A2449" w:rsidP="009A2449">
            <w:pPr>
              <w:spacing w:before="0"/>
              <w:jc w:val="left"/>
              <w:rPr>
                <w:rFonts w:cstheme="minorHAnsi"/>
                <w:b w:val="0"/>
                <w:color w:val="000000" w:themeColor="text1"/>
              </w:rPr>
            </w:pPr>
            <w:r w:rsidRPr="009A2449">
              <w:rPr>
                <w:rFonts w:cstheme="minorHAnsi"/>
                <w:b w:val="0"/>
                <w:color w:val="000000" w:themeColor="text1"/>
              </w:rPr>
              <w:t>Suntel Czech s.r.o.</w:t>
            </w:r>
          </w:p>
        </w:tc>
        <w:tc>
          <w:tcPr>
            <w:tcW w:w="850" w:type="dxa"/>
          </w:tcPr>
          <w:p w14:paraId="2A902152" w14:textId="77777777" w:rsidR="009A2449" w:rsidRPr="009A2449" w:rsidRDefault="009A2449" w:rsidP="009A2449">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366633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20D1943B" w14:textId="77777777" w:rsidR="009A2449" w:rsidRPr="009A2449" w:rsidRDefault="009A2449" w:rsidP="009A2449">
            <w:pPr>
              <w:spacing w:before="0"/>
              <w:jc w:val="left"/>
              <w:rPr>
                <w:rFonts w:cstheme="minorHAnsi"/>
                <w:b w:val="0"/>
                <w:color w:val="000000" w:themeColor="text1"/>
              </w:rPr>
            </w:pPr>
            <w:r w:rsidRPr="009A2449">
              <w:rPr>
                <w:rFonts w:cstheme="minorHAnsi"/>
                <w:b w:val="0"/>
                <w:color w:val="000000" w:themeColor="text1"/>
              </w:rPr>
              <w:t>RM Gas S.r.o.</w:t>
            </w:r>
          </w:p>
        </w:tc>
        <w:tc>
          <w:tcPr>
            <w:tcW w:w="850" w:type="dxa"/>
          </w:tcPr>
          <w:p w14:paraId="23306A2F" w14:textId="77777777" w:rsidR="009A2449" w:rsidRPr="009A2449" w:rsidRDefault="009A2449" w:rsidP="009A2449">
            <w:pPr>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0D6B43C"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59FA1704"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Navláčil stavební firma, s.r.o.</w:t>
            </w:r>
          </w:p>
        </w:tc>
        <w:tc>
          <w:tcPr>
            <w:tcW w:w="850" w:type="dxa"/>
          </w:tcPr>
          <w:p w14:paraId="6A51D7F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50A6D8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27CD40A8"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Dopravní společnost Zlín-Otrokovice, s.r.o.</w:t>
            </w:r>
          </w:p>
        </w:tc>
        <w:tc>
          <w:tcPr>
            <w:tcW w:w="850" w:type="dxa"/>
            <w:shd w:val="clear" w:color="auto" w:fill="D9D9D9" w:themeFill="background1" w:themeFillShade="D9"/>
          </w:tcPr>
          <w:p w14:paraId="0836453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CB561A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1C18BB5F"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ČSAD Vsetín a.s.</w:t>
            </w:r>
          </w:p>
        </w:tc>
        <w:tc>
          <w:tcPr>
            <w:tcW w:w="850" w:type="dxa"/>
          </w:tcPr>
          <w:p w14:paraId="7BD8F17E"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B05C47"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656F9596"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ARRIVA Morava a.s.</w:t>
            </w:r>
          </w:p>
        </w:tc>
        <w:tc>
          <w:tcPr>
            <w:tcW w:w="850" w:type="dxa"/>
          </w:tcPr>
          <w:p w14:paraId="04CA808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790A626"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3D10F51"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Autodoprava LS</w:t>
            </w:r>
          </w:p>
        </w:tc>
        <w:tc>
          <w:tcPr>
            <w:tcW w:w="850" w:type="dxa"/>
          </w:tcPr>
          <w:p w14:paraId="36459C7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3ACFE3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342D1A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ZLIN AIRCRAFT a.s.</w:t>
            </w:r>
          </w:p>
        </w:tc>
        <w:tc>
          <w:tcPr>
            <w:tcW w:w="850" w:type="dxa"/>
          </w:tcPr>
          <w:p w14:paraId="6570CE73"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DC8F7F9"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EA0BE0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Neveřejné vnitrostátní letiště LKZL – Zlín</w:t>
            </w:r>
          </w:p>
        </w:tc>
        <w:tc>
          <w:tcPr>
            <w:tcW w:w="850" w:type="dxa"/>
          </w:tcPr>
          <w:p w14:paraId="47A5C6D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45690F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1DDE033"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SMO a.s.</w:t>
            </w:r>
          </w:p>
        </w:tc>
        <w:tc>
          <w:tcPr>
            <w:tcW w:w="850" w:type="dxa"/>
            <w:shd w:val="clear" w:color="auto" w:fill="D9D9D9" w:themeFill="background1" w:themeFillShade="D9"/>
          </w:tcPr>
          <w:p w14:paraId="17EEEF14"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6AB46B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4804C84C"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Děti země</w:t>
            </w:r>
          </w:p>
        </w:tc>
        <w:tc>
          <w:tcPr>
            <w:tcW w:w="850" w:type="dxa"/>
            <w:shd w:val="clear" w:color="auto" w:fill="FFFFFF" w:themeFill="background1"/>
          </w:tcPr>
          <w:p w14:paraId="7A84E0A6"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35BE2C1"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03C5225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Hnutí DUHA</w:t>
            </w:r>
          </w:p>
        </w:tc>
        <w:tc>
          <w:tcPr>
            <w:tcW w:w="850" w:type="dxa"/>
          </w:tcPr>
          <w:p w14:paraId="3CC2419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B06C7A6"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7716BAD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Sdružení pro rozvoj Zlínského kraje </w:t>
            </w:r>
          </w:p>
        </w:tc>
        <w:tc>
          <w:tcPr>
            <w:tcW w:w="850" w:type="dxa"/>
          </w:tcPr>
          <w:p w14:paraId="3E0B855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B696B6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2E2606DE"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Region Bílé Karpaty</w:t>
            </w:r>
          </w:p>
        </w:tc>
        <w:tc>
          <w:tcPr>
            <w:tcW w:w="850" w:type="dxa"/>
          </w:tcPr>
          <w:p w14:paraId="03E24B2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ABE71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Pr>
          <w:p w14:paraId="364A71F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Sdružení pro rozvoj Baťova kanálu Povodí Moravy, s.p.</w:t>
            </w:r>
          </w:p>
        </w:tc>
        <w:tc>
          <w:tcPr>
            <w:tcW w:w="850" w:type="dxa"/>
          </w:tcPr>
          <w:p w14:paraId="6103BE6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bl>
    <w:p w14:paraId="661ED4BF" w14:textId="78574339" w:rsidR="00A91C05" w:rsidRDefault="00A91C05" w:rsidP="004E1A5C">
      <w:pPr>
        <w:pStyle w:val="Nadpis5"/>
        <w:rPr>
          <w:lang w:eastAsia="cs-CZ"/>
        </w:rPr>
      </w:pPr>
      <w:bookmarkStart w:id="823" w:name="_Toc46218680"/>
      <w:r>
        <w:rPr>
          <w:lang w:eastAsia="cs-CZ"/>
        </w:rPr>
        <w:t xml:space="preserve">PS </w:t>
      </w:r>
      <w:r w:rsidRPr="002B2812">
        <w:rPr>
          <w:lang w:eastAsia="cs-CZ"/>
        </w:rPr>
        <w:t>Ú</w:t>
      </w:r>
      <w:r w:rsidR="00CD1295" w:rsidRPr="002B2812">
        <w:rPr>
          <w:lang w:eastAsia="cs-CZ"/>
        </w:rPr>
        <w:t>zemní plánování a urbanismus</w:t>
      </w:r>
      <w:bookmarkEnd w:id="823"/>
    </w:p>
    <w:p w14:paraId="47D4883D" w14:textId="726C9162" w:rsidR="00A91C05" w:rsidRDefault="00A91C05" w:rsidP="00A91C05">
      <w:pPr>
        <w:pStyle w:val="Titulek"/>
      </w:pPr>
      <w:bookmarkStart w:id="824" w:name="_Toc50549195"/>
      <w:bookmarkStart w:id="825" w:name="_Toc50989358"/>
      <w:bookmarkStart w:id="826" w:name="_Toc53388478"/>
      <w:bookmarkStart w:id="827" w:name="_Toc54702648"/>
      <w:bookmarkStart w:id="828" w:name="_Toc56179455"/>
      <w:bookmarkStart w:id="829" w:name="_Toc57731813"/>
      <w:bookmarkStart w:id="830" w:name="_Toc7707479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34</w:t>
      </w:r>
      <w:r w:rsidR="00081B47">
        <w:rPr>
          <w:noProof/>
        </w:rPr>
        <w:fldChar w:fldCharType="end"/>
      </w:r>
      <w:r w:rsidR="00F430B9">
        <w:rPr>
          <w:noProof/>
        </w:rPr>
        <w:t>:</w:t>
      </w:r>
      <w:r>
        <w:t xml:space="preserve"> Prioritizace stakeholderů členy PS Územní plánování a urbanismus</w:t>
      </w:r>
      <w:bookmarkEnd w:id="824"/>
      <w:bookmarkEnd w:id="825"/>
      <w:bookmarkEnd w:id="826"/>
      <w:bookmarkEnd w:id="827"/>
      <w:bookmarkEnd w:id="828"/>
      <w:bookmarkEnd w:id="829"/>
      <w:bookmarkEnd w:id="830"/>
    </w:p>
    <w:tbl>
      <w:tblPr>
        <w:tblStyle w:val="Svtltabulkasmkou110"/>
        <w:tblW w:w="9067" w:type="dxa"/>
        <w:tblLayout w:type="fixed"/>
        <w:tblLook w:val="04A0" w:firstRow="1" w:lastRow="0" w:firstColumn="1" w:lastColumn="0" w:noHBand="0" w:noVBand="1"/>
      </w:tblPr>
      <w:tblGrid>
        <w:gridCol w:w="8217"/>
        <w:gridCol w:w="850"/>
      </w:tblGrid>
      <w:tr w:rsidR="009A2449" w:rsidRPr="009A2449" w14:paraId="3E059CE4" w14:textId="77777777" w:rsidTr="006A6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shd w:val="clear" w:color="auto" w:fill="C45911" w:themeFill="accent2" w:themeFillShade="BF"/>
          </w:tcPr>
          <w:p w14:paraId="68A2CD1A" w14:textId="77777777" w:rsidR="009A2449" w:rsidRPr="009A2449" w:rsidRDefault="009A2449" w:rsidP="009A2449">
            <w:pPr>
              <w:spacing w:before="0"/>
              <w:jc w:val="center"/>
              <w:rPr>
                <w:rFonts w:cstheme="minorHAnsi"/>
                <w:color w:val="000000" w:themeColor="text1"/>
              </w:rPr>
            </w:pPr>
            <w:r w:rsidRPr="009A2449">
              <w:rPr>
                <w:rFonts w:cstheme="minorHAnsi"/>
                <w:color w:val="FFFFFF" w:themeColor="background1"/>
              </w:rPr>
              <w:t>ÚZEMNÍ PLÁNOVÁNÍ A URBANISMUS</w:t>
            </w:r>
          </w:p>
        </w:tc>
        <w:tc>
          <w:tcPr>
            <w:tcW w:w="850" w:type="dxa"/>
            <w:shd w:val="clear" w:color="auto" w:fill="C45911" w:themeFill="accent2" w:themeFillShade="BF"/>
          </w:tcPr>
          <w:p w14:paraId="48A35BCD" w14:textId="77777777" w:rsidR="009A2449" w:rsidRPr="009A2449" w:rsidRDefault="009A2449" w:rsidP="009A2449">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9A2449">
              <w:rPr>
                <w:rFonts w:cstheme="minorHAnsi"/>
                <w:color w:val="FFFFFF" w:themeColor="background1"/>
              </w:rPr>
              <w:t>Počet hlasů</w:t>
            </w:r>
          </w:p>
        </w:tc>
      </w:tr>
      <w:tr w:rsidR="009A2449" w:rsidRPr="009A2449" w14:paraId="64A96659"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860B35D"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Statutární město Zlín</w:t>
            </w:r>
          </w:p>
        </w:tc>
        <w:tc>
          <w:tcPr>
            <w:tcW w:w="850" w:type="dxa"/>
            <w:shd w:val="clear" w:color="auto" w:fill="D9D9D9" w:themeFill="background1" w:themeFillShade="D9"/>
          </w:tcPr>
          <w:p w14:paraId="30CDDD2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9</w:t>
            </w:r>
          </w:p>
        </w:tc>
      </w:tr>
      <w:tr w:rsidR="009A2449" w:rsidRPr="009A2449" w14:paraId="04D1205B"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51C84DFB"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Zlínský kraj</w:t>
            </w:r>
          </w:p>
        </w:tc>
        <w:tc>
          <w:tcPr>
            <w:tcW w:w="850" w:type="dxa"/>
            <w:shd w:val="clear" w:color="auto" w:fill="D0CECE" w:themeFill="background2" w:themeFillShade="E6"/>
          </w:tcPr>
          <w:p w14:paraId="0C64745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7</w:t>
            </w:r>
          </w:p>
        </w:tc>
      </w:tr>
      <w:tr w:rsidR="009A2449" w:rsidRPr="009A2449" w14:paraId="3B96F900"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65D2ED3E" w14:textId="77777777" w:rsidR="009A2449" w:rsidRPr="009A2449" w:rsidRDefault="009A2449" w:rsidP="009A2449">
            <w:pPr>
              <w:spacing w:before="0"/>
              <w:rPr>
                <w:rFonts w:cstheme="minorHAnsi"/>
                <w:b w:val="0"/>
                <w:color w:val="000000" w:themeColor="text1"/>
              </w:rPr>
            </w:pPr>
            <w:r w:rsidRPr="009A2449">
              <w:rPr>
                <w:rFonts w:cstheme="minorHAnsi"/>
                <w:b w:val="0"/>
              </w:rPr>
              <w:t>CREAM Real Estate, s.r.o.</w:t>
            </w:r>
          </w:p>
        </w:tc>
        <w:tc>
          <w:tcPr>
            <w:tcW w:w="850" w:type="dxa"/>
            <w:shd w:val="clear" w:color="auto" w:fill="D0CECE" w:themeFill="background2" w:themeFillShade="E6"/>
          </w:tcPr>
          <w:p w14:paraId="67E4477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rPr>
              <w:t>6</w:t>
            </w:r>
          </w:p>
        </w:tc>
      </w:tr>
      <w:tr w:rsidR="009A2449" w:rsidRPr="009A2449" w14:paraId="574C6570"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29DB3B2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Univerzita Tomáše Bati ve Zlíně</w:t>
            </w:r>
          </w:p>
        </w:tc>
        <w:tc>
          <w:tcPr>
            <w:tcW w:w="850" w:type="dxa"/>
            <w:shd w:val="clear" w:color="auto" w:fill="D0CECE" w:themeFill="background2" w:themeFillShade="E6"/>
          </w:tcPr>
          <w:p w14:paraId="5A7861C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5</w:t>
            </w:r>
          </w:p>
        </w:tc>
      </w:tr>
      <w:tr w:rsidR="009A2449" w:rsidRPr="009A2449" w14:paraId="775D19A7"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28DC5879" w14:textId="77777777" w:rsidR="009A2449" w:rsidRPr="009A2449" w:rsidRDefault="009A2449" w:rsidP="009A2449">
            <w:pPr>
              <w:spacing w:before="0"/>
              <w:rPr>
                <w:rFonts w:cstheme="minorHAnsi"/>
                <w:b w:val="0"/>
                <w:color w:val="000000" w:themeColor="text1"/>
              </w:rPr>
            </w:pPr>
            <w:r w:rsidRPr="009A2449">
              <w:rPr>
                <w:rFonts w:cstheme="minorHAnsi"/>
                <w:b w:val="0"/>
              </w:rPr>
              <w:t>Národní památkový ústav - Územní odborné pracoviště v Kroměříži</w:t>
            </w:r>
            <w:r w:rsidRPr="009A2449">
              <w:rPr>
                <w:rFonts w:cstheme="minorHAnsi"/>
                <w:b w:val="0"/>
              </w:rPr>
              <w:tab/>
            </w:r>
          </w:p>
        </w:tc>
        <w:tc>
          <w:tcPr>
            <w:tcW w:w="850" w:type="dxa"/>
            <w:shd w:val="clear" w:color="auto" w:fill="D0CECE" w:themeFill="background2" w:themeFillShade="E6"/>
          </w:tcPr>
          <w:p w14:paraId="283AEB2E"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rPr>
              <w:t>5</w:t>
            </w:r>
          </w:p>
        </w:tc>
      </w:tr>
      <w:tr w:rsidR="009A2449" w:rsidRPr="009A2449" w14:paraId="35D16C8D"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49AE029F" w14:textId="77777777" w:rsidR="009A2449" w:rsidRPr="009A2449" w:rsidRDefault="009A2449" w:rsidP="009A2449">
            <w:pPr>
              <w:spacing w:before="0"/>
              <w:rPr>
                <w:rFonts w:cstheme="minorHAnsi"/>
                <w:b w:val="0"/>
              </w:rPr>
            </w:pPr>
            <w:r w:rsidRPr="009A2449">
              <w:rPr>
                <w:rFonts w:cstheme="minorHAnsi"/>
                <w:b w:val="0"/>
              </w:rPr>
              <w:t>Downtown Invest s.r.o.</w:t>
            </w:r>
          </w:p>
        </w:tc>
        <w:tc>
          <w:tcPr>
            <w:tcW w:w="850" w:type="dxa"/>
            <w:shd w:val="clear" w:color="auto" w:fill="D0CECE" w:themeFill="background2" w:themeFillShade="E6"/>
          </w:tcPr>
          <w:p w14:paraId="33A7576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9A2449">
              <w:rPr>
                <w:rFonts w:cstheme="minorHAnsi"/>
              </w:rPr>
              <w:t>3</w:t>
            </w:r>
          </w:p>
        </w:tc>
      </w:tr>
      <w:tr w:rsidR="009A2449" w:rsidRPr="009A2449" w14:paraId="3F3921B9"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3E3E3E68" w14:textId="77777777" w:rsidR="009A2449" w:rsidRPr="009A2449" w:rsidRDefault="009A2449" w:rsidP="009A2449">
            <w:pPr>
              <w:spacing w:before="0"/>
              <w:rPr>
                <w:rFonts w:cstheme="minorHAnsi"/>
                <w:b w:val="0"/>
              </w:rPr>
            </w:pPr>
            <w:r w:rsidRPr="009A2449">
              <w:rPr>
                <w:rFonts w:cstheme="minorHAnsi"/>
                <w:b w:val="0"/>
              </w:rPr>
              <w:t>Povodí Moravy, s.p.</w:t>
            </w:r>
          </w:p>
        </w:tc>
        <w:tc>
          <w:tcPr>
            <w:tcW w:w="850" w:type="dxa"/>
            <w:shd w:val="clear" w:color="auto" w:fill="D0CECE" w:themeFill="background2" w:themeFillShade="E6"/>
          </w:tcPr>
          <w:p w14:paraId="74ECE5C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9A2449">
              <w:rPr>
                <w:rFonts w:cstheme="minorHAnsi"/>
              </w:rPr>
              <w:t>2</w:t>
            </w:r>
          </w:p>
        </w:tc>
      </w:tr>
      <w:tr w:rsidR="009A2449" w:rsidRPr="009A2449" w14:paraId="4FB0B58A" w14:textId="77777777" w:rsidTr="006A6228">
        <w:trPr>
          <w:trHeight w:hRule="exact" w:val="534"/>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0DCF82DD" w14:textId="77777777" w:rsidR="009A2449" w:rsidRPr="009A2449" w:rsidRDefault="009A2449" w:rsidP="009A2449">
            <w:pPr>
              <w:spacing w:before="0"/>
              <w:rPr>
                <w:rFonts w:cstheme="minorHAnsi"/>
                <w:b w:val="0"/>
              </w:rPr>
            </w:pPr>
            <w:r w:rsidRPr="009A2449">
              <w:rPr>
                <w:rFonts w:cstheme="minorHAnsi"/>
                <w:b w:val="0"/>
                <w:color w:val="000000" w:themeColor="text1"/>
              </w:rPr>
              <w:t>Agentura pro podporu podnikání a investic CzechInvest - Regionální kancelář pro Zlínský kraj</w:t>
            </w:r>
          </w:p>
        </w:tc>
        <w:tc>
          <w:tcPr>
            <w:tcW w:w="850" w:type="dxa"/>
            <w:shd w:val="clear" w:color="auto" w:fill="D0CECE" w:themeFill="background2" w:themeFillShade="E6"/>
          </w:tcPr>
          <w:p w14:paraId="6CDC04C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9A2449">
              <w:rPr>
                <w:rFonts w:cstheme="minorHAnsi"/>
                <w:color w:val="000000" w:themeColor="text1"/>
              </w:rPr>
              <w:t>1</w:t>
            </w:r>
          </w:p>
        </w:tc>
      </w:tr>
      <w:tr w:rsidR="009A2449" w:rsidRPr="009A2449" w14:paraId="306D8A79" w14:textId="77777777" w:rsidTr="006A6228">
        <w:trPr>
          <w:trHeight w:hRule="exact" w:val="272"/>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4931483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Lesy města Zlína, spol. s r.o.</w:t>
            </w:r>
          </w:p>
        </w:tc>
        <w:tc>
          <w:tcPr>
            <w:tcW w:w="850" w:type="dxa"/>
            <w:shd w:val="clear" w:color="auto" w:fill="D0CECE" w:themeFill="background2" w:themeFillShade="E6"/>
          </w:tcPr>
          <w:p w14:paraId="02AC8B6D"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53453AC2" w14:textId="77777777" w:rsidTr="006A6228">
        <w:trPr>
          <w:trHeight w:hRule="exact" w:val="291"/>
        </w:trPr>
        <w:tc>
          <w:tcPr>
            <w:cnfStyle w:val="001000000000" w:firstRow="0" w:lastRow="0" w:firstColumn="1" w:lastColumn="0" w:oddVBand="0" w:evenVBand="0" w:oddHBand="0" w:evenHBand="0" w:firstRowFirstColumn="0" w:firstRowLastColumn="0" w:lastRowFirstColumn="0" w:lastRowLastColumn="0"/>
            <w:tcW w:w="8217" w:type="dxa"/>
            <w:shd w:val="clear" w:color="auto" w:fill="D0CECE" w:themeFill="background2" w:themeFillShade="E6"/>
          </w:tcPr>
          <w:p w14:paraId="75660E6F" w14:textId="77777777" w:rsidR="009A2449" w:rsidRPr="009A2449" w:rsidRDefault="009A2449" w:rsidP="009A2449">
            <w:pPr>
              <w:spacing w:before="0"/>
              <w:rPr>
                <w:rFonts w:cstheme="minorHAnsi"/>
                <w:b w:val="0"/>
                <w:color w:val="000000" w:themeColor="text1"/>
              </w:rPr>
            </w:pPr>
            <w:r w:rsidRPr="009A2449">
              <w:rPr>
                <w:rFonts w:cstheme="minorHAnsi"/>
                <w:b w:val="0"/>
              </w:rPr>
              <w:t>ateliér CHLÁDEK ARCHITEKTI</w:t>
            </w:r>
          </w:p>
        </w:tc>
        <w:tc>
          <w:tcPr>
            <w:tcW w:w="850" w:type="dxa"/>
            <w:shd w:val="clear" w:color="auto" w:fill="D0CECE" w:themeFill="background2" w:themeFillShade="E6"/>
          </w:tcPr>
          <w:p w14:paraId="6744BE4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rPr>
              <w:t>1</w:t>
            </w:r>
          </w:p>
        </w:tc>
      </w:tr>
      <w:tr w:rsidR="009A2449" w:rsidRPr="009A2449" w14:paraId="106E0D54" w14:textId="77777777" w:rsidTr="006A6228">
        <w:trPr>
          <w:trHeight w:hRule="exact" w:val="291"/>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1EBF374" w14:textId="77777777" w:rsidR="009A2449" w:rsidRPr="009A2449" w:rsidRDefault="009A2449" w:rsidP="009A2449">
            <w:pPr>
              <w:spacing w:before="0"/>
              <w:rPr>
                <w:rFonts w:cstheme="minorHAnsi"/>
                <w:b w:val="0"/>
              </w:rPr>
            </w:pPr>
            <w:r w:rsidRPr="009A2449">
              <w:rPr>
                <w:rFonts w:cstheme="minorHAnsi"/>
                <w:b w:val="0"/>
              </w:rPr>
              <w:t>Navláčil stavební firma, s.r.o.</w:t>
            </w:r>
          </w:p>
        </w:tc>
        <w:tc>
          <w:tcPr>
            <w:tcW w:w="850" w:type="dxa"/>
            <w:shd w:val="clear" w:color="auto" w:fill="FFFFFF" w:themeFill="background1"/>
          </w:tcPr>
          <w:p w14:paraId="73E76DD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9A2449">
              <w:rPr>
                <w:rFonts w:cstheme="minorHAnsi"/>
              </w:rPr>
              <w:t>1</w:t>
            </w:r>
          </w:p>
        </w:tc>
      </w:tr>
      <w:tr w:rsidR="009A2449" w:rsidRPr="009A2449" w14:paraId="7DBBFC8E" w14:textId="77777777" w:rsidTr="006A6228">
        <w:trPr>
          <w:trHeight w:hRule="exact" w:val="291"/>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9020DC7" w14:textId="77777777" w:rsidR="009A2449" w:rsidRPr="009A2449" w:rsidRDefault="009A2449" w:rsidP="009A2449">
            <w:pPr>
              <w:spacing w:before="0"/>
              <w:rPr>
                <w:rFonts w:cstheme="minorHAnsi"/>
                <w:b w:val="0"/>
              </w:rPr>
            </w:pPr>
            <w:r w:rsidRPr="009A2449">
              <w:rPr>
                <w:rFonts w:cstheme="minorHAnsi"/>
                <w:b w:val="0"/>
              </w:rPr>
              <w:t>KOMA MODULAR s.r.o.</w:t>
            </w:r>
          </w:p>
        </w:tc>
        <w:tc>
          <w:tcPr>
            <w:tcW w:w="850" w:type="dxa"/>
            <w:shd w:val="clear" w:color="auto" w:fill="D9D9D9" w:themeFill="background1" w:themeFillShade="D9"/>
          </w:tcPr>
          <w:p w14:paraId="0ED78953"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r w:rsidRPr="009A2449">
              <w:rPr>
                <w:rFonts w:cstheme="minorHAnsi"/>
              </w:rPr>
              <w:t>1</w:t>
            </w:r>
          </w:p>
        </w:tc>
      </w:tr>
      <w:tr w:rsidR="009A2449" w:rsidRPr="009A2449" w14:paraId="4E94E4AE"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tcPr>
          <w:p w14:paraId="2FD4D7C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Katastrální úřad pro Zlínský kraj, Katastrální pracoviště Zlín</w:t>
            </w:r>
          </w:p>
        </w:tc>
        <w:tc>
          <w:tcPr>
            <w:tcW w:w="850" w:type="dxa"/>
          </w:tcPr>
          <w:p w14:paraId="1366173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B64390E"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tcPr>
          <w:p w14:paraId="4115C94B"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Nemovitosti města Zlína, spol. s r.o.</w:t>
            </w:r>
          </w:p>
        </w:tc>
        <w:tc>
          <w:tcPr>
            <w:tcW w:w="850" w:type="dxa"/>
          </w:tcPr>
          <w:p w14:paraId="7BD8132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65263A4"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tcPr>
          <w:p w14:paraId="3EED9F3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Správa domů Zlín, spol. s r.o.</w:t>
            </w:r>
          </w:p>
        </w:tc>
        <w:tc>
          <w:tcPr>
            <w:tcW w:w="850" w:type="dxa"/>
          </w:tcPr>
          <w:p w14:paraId="3D028FC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8722645" w14:textId="77777777" w:rsidTr="006A6228">
        <w:trPr>
          <w:trHeight w:hRule="exact" w:val="255"/>
        </w:trPr>
        <w:tc>
          <w:tcPr>
            <w:cnfStyle w:val="001000000000" w:firstRow="0" w:lastRow="0" w:firstColumn="1" w:lastColumn="0" w:oddVBand="0" w:evenVBand="0" w:oddHBand="0" w:evenHBand="0" w:firstRowFirstColumn="0" w:firstRowLastColumn="0" w:lastRowFirstColumn="0" w:lastRowLastColumn="0"/>
            <w:tcW w:w="8217" w:type="dxa"/>
          </w:tcPr>
          <w:p w14:paraId="41C553B5"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Bytové družstvo Podlesí</w:t>
            </w:r>
          </w:p>
        </w:tc>
        <w:tc>
          <w:tcPr>
            <w:tcW w:w="850" w:type="dxa"/>
          </w:tcPr>
          <w:p w14:paraId="4A292B6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17E37EE" w14:textId="77777777" w:rsidTr="006A6228">
        <w:trPr>
          <w:cantSplit/>
          <w:trHeigh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3E32EC79" w14:textId="77777777" w:rsidR="009A2449" w:rsidRPr="009A2449" w:rsidRDefault="009A2449" w:rsidP="009A2449">
            <w:pPr>
              <w:tabs>
                <w:tab w:val="left" w:pos="6375"/>
              </w:tabs>
              <w:spacing w:before="0"/>
              <w:rPr>
                <w:rFonts w:cstheme="minorHAnsi"/>
                <w:b w:val="0"/>
              </w:rPr>
            </w:pPr>
            <w:r w:rsidRPr="009A2449">
              <w:rPr>
                <w:rFonts w:cstheme="minorHAnsi"/>
                <w:b w:val="0"/>
              </w:rPr>
              <w:t>OBZOR, výrobní družstvo Zlín</w:t>
            </w:r>
          </w:p>
        </w:tc>
        <w:tc>
          <w:tcPr>
            <w:tcW w:w="850" w:type="dxa"/>
            <w:shd w:val="clear" w:color="auto" w:fill="FFFFFF" w:themeFill="background1"/>
          </w:tcPr>
          <w:p w14:paraId="42A6BBC4"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7D3006CC" w14:textId="77777777" w:rsidTr="006A6228">
        <w:trPr>
          <w:cantSplit/>
          <w:trHeigh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32346441" w14:textId="77777777" w:rsidR="009A2449" w:rsidRPr="009A2449" w:rsidRDefault="009A2449" w:rsidP="009A2449">
            <w:pPr>
              <w:tabs>
                <w:tab w:val="left" w:pos="6375"/>
              </w:tabs>
              <w:spacing w:before="0"/>
              <w:rPr>
                <w:rFonts w:cstheme="minorHAnsi"/>
                <w:b w:val="0"/>
              </w:rPr>
            </w:pPr>
            <w:r w:rsidRPr="009A2449">
              <w:rPr>
                <w:rFonts w:cstheme="minorHAnsi"/>
                <w:b w:val="0"/>
              </w:rPr>
              <w:t>Pozemní stavitelství Zlín a.s.</w:t>
            </w:r>
          </w:p>
        </w:tc>
        <w:tc>
          <w:tcPr>
            <w:tcW w:w="850" w:type="dxa"/>
            <w:shd w:val="clear" w:color="auto" w:fill="FFFFFF" w:themeFill="background1"/>
          </w:tcPr>
          <w:p w14:paraId="1EF6CD55"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6096E1EF" w14:textId="77777777" w:rsidTr="006A6228">
        <w:trPr>
          <w:cantSplit/>
          <w:trHeigh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3681C6E8" w14:textId="77777777" w:rsidR="009A2449" w:rsidRPr="009A2449" w:rsidRDefault="009A2449" w:rsidP="009A2449">
            <w:pPr>
              <w:tabs>
                <w:tab w:val="left" w:pos="6375"/>
              </w:tabs>
              <w:spacing w:before="0"/>
              <w:rPr>
                <w:rFonts w:cstheme="minorHAnsi"/>
                <w:b w:val="0"/>
              </w:rPr>
            </w:pPr>
            <w:r w:rsidRPr="009A2449">
              <w:rPr>
                <w:rFonts w:cstheme="minorHAnsi"/>
                <w:b w:val="0"/>
              </w:rPr>
              <w:t>CENTROPROJEKT GROUP a.s.</w:t>
            </w:r>
          </w:p>
        </w:tc>
        <w:tc>
          <w:tcPr>
            <w:tcW w:w="850" w:type="dxa"/>
            <w:shd w:val="clear" w:color="auto" w:fill="FFFFFF" w:themeFill="background1"/>
          </w:tcPr>
          <w:p w14:paraId="2BB8836E"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0CDD9635" w14:textId="77777777" w:rsidTr="006A6228">
        <w:trPr>
          <w:cantSplit/>
          <w:trHeigh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76678E6" w14:textId="77777777" w:rsidR="009A2449" w:rsidRPr="009A2449" w:rsidRDefault="009A2449" w:rsidP="009A2449">
            <w:pPr>
              <w:tabs>
                <w:tab w:val="left" w:pos="6375"/>
              </w:tabs>
              <w:spacing w:before="0"/>
              <w:rPr>
                <w:rFonts w:cstheme="minorHAnsi"/>
                <w:b w:val="0"/>
              </w:rPr>
            </w:pPr>
            <w:r w:rsidRPr="009A2449">
              <w:rPr>
                <w:rFonts w:cstheme="minorHAnsi"/>
                <w:b w:val="0"/>
              </w:rPr>
              <w:t>BUDOVATEL, stavební bytové družstvo</w:t>
            </w:r>
          </w:p>
        </w:tc>
        <w:tc>
          <w:tcPr>
            <w:tcW w:w="850" w:type="dxa"/>
            <w:shd w:val="clear" w:color="auto" w:fill="FFFFFF" w:themeFill="background1"/>
          </w:tcPr>
          <w:p w14:paraId="5138D8AF"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66B6E1DE" w14:textId="77777777" w:rsidTr="006A6228">
        <w:trPr>
          <w:cantSplit/>
          <w:trHeigh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BD8208F" w14:textId="77777777" w:rsidR="009A2449" w:rsidRPr="009A2449" w:rsidRDefault="009A2449" w:rsidP="009A2449">
            <w:pPr>
              <w:tabs>
                <w:tab w:val="left" w:pos="6375"/>
              </w:tabs>
              <w:spacing w:before="0"/>
              <w:rPr>
                <w:rFonts w:cstheme="minorHAnsi"/>
                <w:b w:val="0"/>
              </w:rPr>
            </w:pPr>
            <w:r w:rsidRPr="009A2449">
              <w:rPr>
                <w:rFonts w:cstheme="minorHAnsi"/>
                <w:b w:val="0"/>
              </w:rPr>
              <w:t>MANAG development, a.s.</w:t>
            </w:r>
          </w:p>
        </w:tc>
        <w:tc>
          <w:tcPr>
            <w:tcW w:w="850" w:type="dxa"/>
            <w:shd w:val="clear" w:color="auto" w:fill="FFFFFF" w:themeFill="background1"/>
          </w:tcPr>
          <w:p w14:paraId="1D65D55C"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highlight w:val="yellow"/>
              </w:rPr>
            </w:pPr>
          </w:p>
        </w:tc>
      </w:tr>
      <w:tr w:rsidR="009A2449" w:rsidRPr="009A2449" w14:paraId="1079DBD8" w14:textId="77777777" w:rsidTr="006A6228">
        <w:trPr>
          <w:cantSplit/>
          <w:trHeigh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103EB60" w14:textId="77777777" w:rsidR="009A2449" w:rsidRPr="009A2449" w:rsidRDefault="009A2449" w:rsidP="009A2449">
            <w:pPr>
              <w:tabs>
                <w:tab w:val="left" w:pos="6375"/>
              </w:tabs>
              <w:spacing w:before="0"/>
              <w:rPr>
                <w:rFonts w:cstheme="minorHAnsi"/>
                <w:b w:val="0"/>
              </w:rPr>
            </w:pPr>
            <w:r w:rsidRPr="009A2449">
              <w:rPr>
                <w:rFonts w:cstheme="minorHAnsi"/>
                <w:b w:val="0"/>
              </w:rPr>
              <w:t xml:space="preserve">Incinity s.r.o.  </w:t>
            </w:r>
          </w:p>
        </w:tc>
        <w:tc>
          <w:tcPr>
            <w:tcW w:w="850" w:type="dxa"/>
            <w:shd w:val="clear" w:color="auto" w:fill="FFFFFF" w:themeFill="background1"/>
          </w:tcPr>
          <w:p w14:paraId="5E6980AA"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highlight w:val="yellow"/>
              </w:rPr>
            </w:pPr>
          </w:p>
        </w:tc>
      </w:tr>
      <w:tr w:rsidR="009A2449" w:rsidRPr="009A2449" w14:paraId="53C35BE4" w14:textId="77777777" w:rsidTr="006A6228">
        <w:trPr>
          <w:cantSplit/>
          <w:trHeight w:val="255"/>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DF39808" w14:textId="77777777" w:rsidR="009A2449" w:rsidRPr="009A2449" w:rsidRDefault="009A2449" w:rsidP="009A2449">
            <w:pPr>
              <w:tabs>
                <w:tab w:val="left" w:pos="6375"/>
              </w:tabs>
              <w:spacing w:before="0"/>
              <w:rPr>
                <w:rFonts w:cstheme="minorHAnsi"/>
                <w:b w:val="0"/>
              </w:rPr>
            </w:pPr>
            <w:r w:rsidRPr="009A2449">
              <w:rPr>
                <w:rFonts w:cstheme="minorHAnsi"/>
                <w:b w:val="0"/>
              </w:rPr>
              <w:t>Pozimos, a.s.</w:t>
            </w:r>
          </w:p>
        </w:tc>
        <w:tc>
          <w:tcPr>
            <w:tcW w:w="850" w:type="dxa"/>
            <w:shd w:val="clear" w:color="auto" w:fill="FFFFFF" w:themeFill="background1"/>
          </w:tcPr>
          <w:p w14:paraId="751C24F9"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highlight w:val="yellow"/>
              </w:rPr>
            </w:pPr>
          </w:p>
        </w:tc>
      </w:tr>
      <w:tr w:rsidR="009A2449" w:rsidRPr="009A2449" w14:paraId="5D9966F5" w14:textId="77777777" w:rsidTr="006A6228">
        <w:trPr>
          <w:cantSplit/>
          <w:trHeight w:val="180"/>
        </w:trPr>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08A9285A" w14:textId="77777777" w:rsidR="009A2449" w:rsidRPr="009A2449" w:rsidRDefault="009A2449" w:rsidP="009A2449">
            <w:pPr>
              <w:tabs>
                <w:tab w:val="left" w:pos="6375"/>
              </w:tabs>
              <w:spacing w:before="0"/>
              <w:rPr>
                <w:rFonts w:cstheme="minorHAnsi"/>
                <w:b w:val="0"/>
              </w:rPr>
            </w:pPr>
            <w:r w:rsidRPr="009A2449">
              <w:rPr>
                <w:rFonts w:cstheme="minorHAnsi"/>
                <w:b w:val="0"/>
              </w:rPr>
              <w:t>SMO a.s.</w:t>
            </w:r>
          </w:p>
        </w:tc>
        <w:tc>
          <w:tcPr>
            <w:tcW w:w="850" w:type="dxa"/>
            <w:shd w:val="clear" w:color="auto" w:fill="D9D9D9" w:themeFill="background1" w:themeFillShade="D9"/>
          </w:tcPr>
          <w:p w14:paraId="5C7DB519"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63CEE07D" w14:textId="77777777" w:rsidTr="006A6228">
        <w:trPr>
          <w:cantSplit/>
          <w:trHeight w:val="292"/>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10FADE7" w14:textId="77777777" w:rsidR="009A2449" w:rsidRPr="009A2449" w:rsidRDefault="009A2449" w:rsidP="009A2449">
            <w:pPr>
              <w:tabs>
                <w:tab w:val="left" w:pos="6375"/>
              </w:tabs>
              <w:spacing w:before="0"/>
              <w:rPr>
                <w:rFonts w:cstheme="minorHAnsi"/>
                <w:b w:val="0"/>
              </w:rPr>
            </w:pPr>
            <w:r w:rsidRPr="009A2449">
              <w:rPr>
                <w:rFonts w:cstheme="minorHAnsi"/>
                <w:b w:val="0"/>
              </w:rPr>
              <w:t>Quanti s.r.o. – Vladimír Blažek</w:t>
            </w:r>
          </w:p>
        </w:tc>
        <w:tc>
          <w:tcPr>
            <w:tcW w:w="850" w:type="dxa"/>
            <w:shd w:val="clear" w:color="auto" w:fill="FFFFFF" w:themeFill="background1"/>
          </w:tcPr>
          <w:p w14:paraId="318F5C26"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highlight w:val="yellow"/>
              </w:rPr>
            </w:pPr>
          </w:p>
        </w:tc>
      </w:tr>
      <w:tr w:rsidR="009A2449" w:rsidRPr="009A2449" w14:paraId="58932B2B" w14:textId="77777777" w:rsidTr="006A6228">
        <w:trPr>
          <w:cantSplit/>
          <w:trHeight w:val="25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12870E94" w14:textId="77777777" w:rsidR="009A2449" w:rsidRPr="009A2449" w:rsidRDefault="009A2449" w:rsidP="009A2449">
            <w:pPr>
              <w:tabs>
                <w:tab w:val="left" w:pos="6375"/>
              </w:tabs>
              <w:spacing w:before="0"/>
              <w:rPr>
                <w:rFonts w:cstheme="minorHAnsi"/>
                <w:b w:val="0"/>
              </w:rPr>
            </w:pPr>
            <w:r w:rsidRPr="009A2449">
              <w:rPr>
                <w:rFonts w:cstheme="minorHAnsi"/>
                <w:b w:val="0"/>
              </w:rPr>
              <w:t>Developer Jan Kaspar</w:t>
            </w:r>
          </w:p>
        </w:tc>
        <w:tc>
          <w:tcPr>
            <w:tcW w:w="850" w:type="dxa"/>
            <w:shd w:val="clear" w:color="auto" w:fill="FFFFFF" w:themeFill="background1"/>
          </w:tcPr>
          <w:p w14:paraId="6246FE35" w14:textId="77777777" w:rsidR="009A2449" w:rsidRPr="009A2449" w:rsidRDefault="009A2449" w:rsidP="009A2449">
            <w:pPr>
              <w:tabs>
                <w:tab w:val="left" w:pos="6375"/>
              </w:tabs>
              <w:spacing w:before="0"/>
              <w:cnfStyle w:val="000000000000" w:firstRow="0" w:lastRow="0" w:firstColumn="0" w:lastColumn="0" w:oddVBand="0" w:evenVBand="0" w:oddHBand="0" w:evenHBand="0" w:firstRowFirstColumn="0" w:firstRowLastColumn="0" w:lastRowFirstColumn="0" w:lastRowLastColumn="0"/>
              <w:rPr>
                <w:rFonts w:cstheme="minorHAnsi"/>
                <w:highlight w:val="yellow"/>
              </w:rPr>
            </w:pPr>
          </w:p>
        </w:tc>
      </w:tr>
      <w:tr w:rsidR="009A2449" w:rsidRPr="009A2449" w14:paraId="28EC57A2" w14:textId="77777777" w:rsidTr="006A6228">
        <w:trPr>
          <w:cantSplit/>
          <w:trHeight w:val="25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0EBEA63" w14:textId="77777777" w:rsidR="009A2449" w:rsidRPr="009A2449" w:rsidRDefault="009A2449" w:rsidP="009A2449">
            <w:pPr>
              <w:tabs>
                <w:tab w:val="left" w:pos="1980"/>
              </w:tabs>
              <w:spacing w:before="0"/>
              <w:rPr>
                <w:rFonts w:cstheme="minorHAnsi"/>
                <w:b w:val="0"/>
              </w:rPr>
            </w:pPr>
            <w:r w:rsidRPr="009A2449">
              <w:rPr>
                <w:rFonts w:cstheme="minorHAnsi"/>
                <w:b w:val="0"/>
              </w:rPr>
              <w:t>AIP, spol. s r.o.</w:t>
            </w:r>
          </w:p>
        </w:tc>
        <w:tc>
          <w:tcPr>
            <w:tcW w:w="850" w:type="dxa"/>
            <w:shd w:val="clear" w:color="auto" w:fill="FFFFFF" w:themeFill="background1"/>
          </w:tcPr>
          <w:p w14:paraId="158BA2AC" w14:textId="77777777" w:rsidR="009A2449" w:rsidRPr="009A2449" w:rsidRDefault="009A2449" w:rsidP="009A2449">
            <w:pPr>
              <w:tabs>
                <w:tab w:val="left" w:pos="1980"/>
              </w:tabs>
              <w:spacing w:before="0"/>
              <w:cnfStyle w:val="000000000000" w:firstRow="0" w:lastRow="0" w:firstColumn="0" w:lastColumn="0" w:oddVBand="0" w:evenVBand="0" w:oddHBand="0" w:evenHBand="0" w:firstRowFirstColumn="0" w:firstRowLastColumn="0" w:lastRowFirstColumn="0" w:lastRowLastColumn="0"/>
              <w:rPr>
                <w:rFonts w:cstheme="minorHAnsi"/>
                <w:highlight w:val="yellow"/>
              </w:rPr>
            </w:pPr>
          </w:p>
        </w:tc>
      </w:tr>
      <w:tr w:rsidR="009A2449" w:rsidRPr="009A2449" w14:paraId="21C06958" w14:textId="77777777" w:rsidTr="006A6228">
        <w:trPr>
          <w:cantSplit/>
          <w:trHeight w:val="280"/>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0DEAAFB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Zlínský kreativní klastr, z.s.</w:t>
            </w:r>
          </w:p>
        </w:tc>
        <w:tc>
          <w:tcPr>
            <w:tcW w:w="850" w:type="dxa"/>
            <w:shd w:val="clear" w:color="auto" w:fill="FFFFFF" w:themeFill="background1"/>
          </w:tcPr>
          <w:p w14:paraId="7F635BA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32C4CBA" w14:textId="77777777" w:rsidTr="006A6228">
        <w:trPr>
          <w:cantSplit/>
          <w:trHeight w:val="314"/>
        </w:trPr>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D960DB0" w14:textId="77777777" w:rsidR="009A2449" w:rsidRPr="009A2449" w:rsidRDefault="009A2449" w:rsidP="009A2449">
            <w:pPr>
              <w:spacing w:before="0"/>
              <w:rPr>
                <w:rFonts w:cstheme="minorHAnsi"/>
                <w:b w:val="0"/>
                <w:color w:val="000000" w:themeColor="text1"/>
              </w:rPr>
            </w:pPr>
            <w:r w:rsidRPr="009A2449">
              <w:rPr>
                <w:rFonts w:cstheme="minorHAnsi"/>
                <w:b w:val="0"/>
              </w:rPr>
              <w:t>aARCHITEKTURA, spolek</w:t>
            </w:r>
          </w:p>
        </w:tc>
        <w:tc>
          <w:tcPr>
            <w:tcW w:w="850" w:type="dxa"/>
            <w:shd w:val="clear" w:color="auto" w:fill="FFFFFF" w:themeFill="background1"/>
          </w:tcPr>
          <w:p w14:paraId="3098060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highlight w:val="yellow"/>
              </w:rPr>
            </w:pPr>
          </w:p>
        </w:tc>
      </w:tr>
      <w:tr w:rsidR="009A2449" w:rsidRPr="009A2449" w14:paraId="7AE7C9FE" w14:textId="77777777" w:rsidTr="006A6228">
        <w:trPr>
          <w:cantSplit/>
          <w:trHeight w:val="262"/>
        </w:trPr>
        <w:tc>
          <w:tcPr>
            <w:cnfStyle w:val="001000000000" w:firstRow="0" w:lastRow="0" w:firstColumn="1" w:lastColumn="0" w:oddVBand="0" w:evenVBand="0" w:oddHBand="0" w:evenHBand="0" w:firstRowFirstColumn="0" w:firstRowLastColumn="0" w:lastRowFirstColumn="0" w:lastRowLastColumn="0"/>
            <w:tcW w:w="8217" w:type="dxa"/>
          </w:tcPr>
          <w:p w14:paraId="6588640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Region Bílé Karpaty</w:t>
            </w:r>
          </w:p>
        </w:tc>
        <w:tc>
          <w:tcPr>
            <w:tcW w:w="850" w:type="dxa"/>
          </w:tcPr>
          <w:p w14:paraId="3C71F59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bl>
    <w:p w14:paraId="4E7112FB" w14:textId="57403815" w:rsidR="00A91C05" w:rsidRDefault="00A91C05" w:rsidP="004E1A5C">
      <w:pPr>
        <w:pStyle w:val="Nadpis5"/>
        <w:rPr>
          <w:lang w:eastAsia="cs-CZ"/>
        </w:rPr>
      </w:pPr>
      <w:bookmarkStart w:id="831" w:name="_Toc46218681"/>
      <w:r>
        <w:rPr>
          <w:lang w:eastAsia="cs-CZ"/>
        </w:rPr>
        <w:t xml:space="preserve">PS </w:t>
      </w:r>
      <w:bookmarkEnd w:id="831"/>
      <w:r w:rsidR="00CD1295">
        <w:rPr>
          <w:lang w:eastAsia="cs-CZ"/>
        </w:rPr>
        <w:t>Vstřícné město</w:t>
      </w:r>
    </w:p>
    <w:p w14:paraId="62F21314" w14:textId="454D96FB" w:rsidR="00A91C05" w:rsidRDefault="00A91C05" w:rsidP="00A91C05">
      <w:pPr>
        <w:pStyle w:val="Titulek"/>
      </w:pPr>
      <w:bookmarkStart w:id="832" w:name="_Toc50549196"/>
      <w:bookmarkStart w:id="833" w:name="_Toc50989359"/>
      <w:bookmarkStart w:id="834" w:name="_Toc53388479"/>
      <w:bookmarkStart w:id="835" w:name="_Toc54702649"/>
      <w:bookmarkStart w:id="836" w:name="_Toc56179456"/>
      <w:bookmarkStart w:id="837" w:name="_Toc57731814"/>
      <w:bookmarkStart w:id="838" w:name="_Toc77074798"/>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35</w:t>
      </w:r>
      <w:r w:rsidR="00081B47">
        <w:rPr>
          <w:noProof/>
        </w:rPr>
        <w:fldChar w:fldCharType="end"/>
      </w:r>
      <w:r w:rsidR="00F430B9">
        <w:rPr>
          <w:noProof/>
        </w:rPr>
        <w:t>:</w:t>
      </w:r>
      <w:r w:rsidRPr="004E7B1C">
        <w:t xml:space="preserve"> </w:t>
      </w:r>
      <w:r>
        <w:t>Prioritizace stakeholderů členy PS Vstřícné město</w:t>
      </w:r>
      <w:bookmarkEnd w:id="832"/>
      <w:bookmarkEnd w:id="833"/>
      <w:bookmarkEnd w:id="834"/>
      <w:bookmarkEnd w:id="835"/>
      <w:bookmarkEnd w:id="836"/>
      <w:bookmarkEnd w:id="837"/>
      <w:bookmarkEnd w:id="838"/>
    </w:p>
    <w:tbl>
      <w:tblPr>
        <w:tblStyle w:val="Svtltabulkasmkou111"/>
        <w:tblW w:w="9067" w:type="dxa"/>
        <w:tblLayout w:type="fixed"/>
        <w:tblLook w:val="04A0" w:firstRow="1" w:lastRow="0" w:firstColumn="1" w:lastColumn="0" w:noHBand="0" w:noVBand="1"/>
      </w:tblPr>
      <w:tblGrid>
        <w:gridCol w:w="8217"/>
        <w:gridCol w:w="850"/>
      </w:tblGrid>
      <w:tr w:rsidR="009A2449" w:rsidRPr="009A2449" w14:paraId="46C3D573" w14:textId="77777777" w:rsidTr="006A6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shd w:val="clear" w:color="auto" w:fill="7030A0"/>
          </w:tcPr>
          <w:p w14:paraId="11272DB2" w14:textId="77777777" w:rsidR="009A2449" w:rsidRPr="009A2449" w:rsidRDefault="009A2449" w:rsidP="009A2449">
            <w:pPr>
              <w:spacing w:before="0"/>
              <w:jc w:val="center"/>
              <w:rPr>
                <w:rFonts w:cstheme="minorHAnsi"/>
                <w:color w:val="000000" w:themeColor="text1"/>
              </w:rPr>
            </w:pPr>
            <w:r w:rsidRPr="009A2449">
              <w:rPr>
                <w:rFonts w:cstheme="minorHAnsi"/>
                <w:color w:val="FFFFFF" w:themeColor="background1"/>
              </w:rPr>
              <w:t>VSTŘÍCNÉ MĚSTO</w:t>
            </w:r>
          </w:p>
        </w:tc>
        <w:tc>
          <w:tcPr>
            <w:tcW w:w="850" w:type="dxa"/>
            <w:shd w:val="clear" w:color="auto" w:fill="7030A0"/>
          </w:tcPr>
          <w:p w14:paraId="2710B386" w14:textId="77777777" w:rsidR="009A2449" w:rsidRPr="009A2449" w:rsidRDefault="009A2449" w:rsidP="009A2449">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9A2449">
              <w:rPr>
                <w:rFonts w:cstheme="minorHAnsi"/>
                <w:color w:val="FFFFFF" w:themeColor="background1"/>
              </w:rPr>
              <w:t>Počet hlasů</w:t>
            </w:r>
          </w:p>
        </w:tc>
      </w:tr>
      <w:tr w:rsidR="009A2449" w:rsidRPr="009A2449" w14:paraId="64D9D869"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1E0785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Statutární město Zlín</w:t>
            </w:r>
          </w:p>
        </w:tc>
        <w:tc>
          <w:tcPr>
            <w:tcW w:w="850" w:type="dxa"/>
            <w:shd w:val="clear" w:color="auto" w:fill="D9D9D9" w:themeFill="background1" w:themeFillShade="D9"/>
          </w:tcPr>
          <w:p w14:paraId="7B757A1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11</w:t>
            </w:r>
          </w:p>
        </w:tc>
      </w:tr>
      <w:tr w:rsidR="009A2449" w:rsidRPr="009A2449" w14:paraId="0FD9D021"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450315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Univerzita Tomáše Bati ve Zlíně</w:t>
            </w:r>
          </w:p>
        </w:tc>
        <w:tc>
          <w:tcPr>
            <w:tcW w:w="850" w:type="dxa"/>
            <w:shd w:val="clear" w:color="auto" w:fill="D9D9D9" w:themeFill="background1" w:themeFillShade="D9"/>
          </w:tcPr>
          <w:p w14:paraId="6382112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10</w:t>
            </w:r>
          </w:p>
        </w:tc>
      </w:tr>
      <w:tr w:rsidR="009A2449" w:rsidRPr="009A2449" w14:paraId="6F915324"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212413B"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Zlínský kraj</w:t>
            </w:r>
          </w:p>
        </w:tc>
        <w:tc>
          <w:tcPr>
            <w:tcW w:w="850" w:type="dxa"/>
            <w:shd w:val="clear" w:color="auto" w:fill="D9D9D9" w:themeFill="background1" w:themeFillShade="D9"/>
          </w:tcPr>
          <w:p w14:paraId="015D339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7</w:t>
            </w:r>
          </w:p>
        </w:tc>
      </w:tr>
      <w:tr w:rsidR="009A2449" w:rsidRPr="009A2449" w14:paraId="0DD16C71"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52F6EC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Technologické inovační centrum s.r.o.</w:t>
            </w:r>
          </w:p>
        </w:tc>
        <w:tc>
          <w:tcPr>
            <w:tcW w:w="850" w:type="dxa"/>
            <w:shd w:val="clear" w:color="auto" w:fill="D9D9D9" w:themeFill="background1" w:themeFillShade="D9"/>
          </w:tcPr>
          <w:p w14:paraId="77B8F66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4</w:t>
            </w:r>
          </w:p>
        </w:tc>
      </w:tr>
      <w:tr w:rsidR="009A2449" w:rsidRPr="009A2449" w14:paraId="18E1F480"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vAlign w:val="center"/>
          </w:tcPr>
          <w:p w14:paraId="3639E65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NWT a.s.</w:t>
            </w:r>
          </w:p>
        </w:tc>
        <w:tc>
          <w:tcPr>
            <w:tcW w:w="850" w:type="dxa"/>
            <w:shd w:val="clear" w:color="auto" w:fill="D9D9D9" w:themeFill="background1" w:themeFillShade="D9"/>
          </w:tcPr>
          <w:p w14:paraId="6645A543"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4</w:t>
            </w:r>
          </w:p>
        </w:tc>
      </w:tr>
      <w:tr w:rsidR="009A2449" w:rsidRPr="009A2449" w14:paraId="00A74A42"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F6DA153" w14:textId="6A935F19" w:rsidR="009A2449" w:rsidRPr="00F430B9" w:rsidRDefault="009A2449" w:rsidP="00F430B9">
            <w:pPr>
              <w:autoSpaceDE w:val="0"/>
              <w:autoSpaceDN w:val="0"/>
              <w:adjustRightInd w:val="0"/>
              <w:spacing w:before="0"/>
              <w:rPr>
                <w:rFonts w:cstheme="minorHAnsi"/>
                <w:b w:val="0"/>
                <w:color w:val="000000" w:themeColor="text1"/>
              </w:rPr>
            </w:pPr>
            <w:r w:rsidRPr="00F430B9">
              <w:rPr>
                <w:rFonts w:ascii="Calibri" w:hAnsi="Calibri" w:cstheme="minorHAnsi"/>
                <w:b w:val="0"/>
                <w:color w:val="000000" w:themeColor="text1"/>
              </w:rPr>
              <w:t>Luhačovské Zálesí, o.p.s. - Destinační management pro turistickou oblasti Zlínsko a</w:t>
            </w:r>
            <w:r w:rsidR="00F430B9">
              <w:rPr>
                <w:rFonts w:ascii="Calibri" w:hAnsi="Calibri" w:cstheme="minorHAnsi"/>
                <w:b w:val="0"/>
                <w:color w:val="000000" w:themeColor="text1"/>
              </w:rPr>
              <w:t> </w:t>
            </w:r>
            <w:r w:rsidRPr="00F430B9">
              <w:rPr>
                <w:rFonts w:ascii="Calibri" w:hAnsi="Calibri" w:cstheme="minorHAnsi"/>
                <w:b w:val="0"/>
                <w:color w:val="000000" w:themeColor="text1"/>
              </w:rPr>
              <w:t>Luhačovicko</w:t>
            </w:r>
          </w:p>
        </w:tc>
        <w:tc>
          <w:tcPr>
            <w:tcW w:w="850" w:type="dxa"/>
            <w:shd w:val="clear" w:color="auto" w:fill="FFFFFF" w:themeFill="background1"/>
          </w:tcPr>
          <w:p w14:paraId="1BD2CA4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4</w:t>
            </w:r>
          </w:p>
        </w:tc>
      </w:tr>
      <w:tr w:rsidR="009A2449" w:rsidRPr="009A2449" w14:paraId="77DE05CD"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2CD8837F" w14:textId="77777777" w:rsidR="009A2449" w:rsidRPr="00F430B9" w:rsidRDefault="009A2449" w:rsidP="009A2449">
            <w:pPr>
              <w:autoSpaceDE w:val="0"/>
              <w:autoSpaceDN w:val="0"/>
              <w:adjustRightInd w:val="0"/>
              <w:spacing w:before="0"/>
              <w:rPr>
                <w:rFonts w:ascii="Calibri" w:hAnsi="Calibri" w:cstheme="minorHAnsi"/>
                <w:b w:val="0"/>
                <w:color w:val="000000" w:themeColor="text1"/>
              </w:rPr>
            </w:pPr>
            <w:r w:rsidRPr="00F430B9">
              <w:rPr>
                <w:rFonts w:ascii="Calibri" w:hAnsi="Calibri" w:cstheme="minorHAnsi"/>
                <w:b w:val="0"/>
                <w:color w:val="000000" w:themeColor="text1"/>
              </w:rPr>
              <w:t xml:space="preserve">Sdružení podnikatelů Zlínského kraje </w:t>
            </w:r>
          </w:p>
        </w:tc>
        <w:tc>
          <w:tcPr>
            <w:tcW w:w="850" w:type="dxa"/>
            <w:shd w:val="clear" w:color="auto" w:fill="FFFFFF" w:themeFill="background1"/>
          </w:tcPr>
          <w:p w14:paraId="0939577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4</w:t>
            </w:r>
          </w:p>
        </w:tc>
      </w:tr>
      <w:tr w:rsidR="009A2449" w:rsidRPr="009A2449" w14:paraId="7B9821EA"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B917230"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Agentura pro podporu podnikání a investic CzechInvest - Regionální kancelář pro Zlínský kraj </w:t>
            </w:r>
          </w:p>
        </w:tc>
        <w:tc>
          <w:tcPr>
            <w:tcW w:w="850" w:type="dxa"/>
            <w:shd w:val="clear" w:color="auto" w:fill="D9D9D9" w:themeFill="background1" w:themeFillShade="D9"/>
          </w:tcPr>
          <w:p w14:paraId="35D65C1A"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3</w:t>
            </w:r>
          </w:p>
        </w:tc>
      </w:tr>
      <w:tr w:rsidR="009A2449" w:rsidRPr="009A2449" w14:paraId="1EE1D28E"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65A115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Krajská hospodářská komora Zlínského kraje</w:t>
            </w:r>
          </w:p>
        </w:tc>
        <w:tc>
          <w:tcPr>
            <w:tcW w:w="850" w:type="dxa"/>
            <w:shd w:val="clear" w:color="auto" w:fill="D9D9D9" w:themeFill="background1" w:themeFillShade="D9"/>
          </w:tcPr>
          <w:p w14:paraId="1858B9EF"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3</w:t>
            </w:r>
          </w:p>
        </w:tc>
      </w:tr>
      <w:tr w:rsidR="009A2449" w:rsidRPr="009A2449" w14:paraId="7746966F"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5857450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Zlínský kreativní klastr, z.s.</w:t>
            </w:r>
          </w:p>
        </w:tc>
        <w:tc>
          <w:tcPr>
            <w:tcW w:w="850" w:type="dxa"/>
            <w:shd w:val="clear" w:color="auto" w:fill="D9D9D9" w:themeFill="background1" w:themeFillShade="D9"/>
          </w:tcPr>
          <w:p w14:paraId="2701487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3DBEA4D1"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vAlign w:val="center"/>
          </w:tcPr>
          <w:p w14:paraId="6A0614E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TESCOMA s.r.o.</w:t>
            </w:r>
          </w:p>
        </w:tc>
        <w:tc>
          <w:tcPr>
            <w:tcW w:w="850" w:type="dxa"/>
            <w:shd w:val="clear" w:color="auto" w:fill="FFFFFF" w:themeFill="background1"/>
          </w:tcPr>
          <w:p w14:paraId="065D20C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11C2B37D"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5C5C6C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Centrála cestovního ruchu Východní Moravy, o.p.s.</w:t>
            </w:r>
          </w:p>
        </w:tc>
        <w:tc>
          <w:tcPr>
            <w:tcW w:w="850" w:type="dxa"/>
            <w:shd w:val="clear" w:color="auto" w:fill="FFFFFF" w:themeFill="background1"/>
          </w:tcPr>
          <w:p w14:paraId="1F68C7B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2F06FEBD"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vAlign w:val="center"/>
          </w:tcPr>
          <w:p w14:paraId="756C8D7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SPUR a.s.</w:t>
            </w:r>
          </w:p>
        </w:tc>
        <w:tc>
          <w:tcPr>
            <w:tcW w:w="850" w:type="dxa"/>
            <w:shd w:val="clear" w:color="auto" w:fill="FFFFFF" w:themeFill="background1"/>
          </w:tcPr>
          <w:p w14:paraId="607CCE6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2</w:t>
            </w:r>
          </w:p>
        </w:tc>
      </w:tr>
      <w:tr w:rsidR="009A2449" w:rsidRPr="009A2449" w14:paraId="15C26FE4"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vAlign w:val="center"/>
          </w:tcPr>
          <w:p w14:paraId="3A6770C7"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Kovárna VIVA a.s.</w:t>
            </w:r>
          </w:p>
        </w:tc>
        <w:tc>
          <w:tcPr>
            <w:tcW w:w="850" w:type="dxa"/>
            <w:shd w:val="clear" w:color="auto" w:fill="FFFFFF" w:themeFill="background1"/>
          </w:tcPr>
          <w:p w14:paraId="2D5E4D2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3906F2A8"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F4B436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Incinity s.r.o.</w:t>
            </w:r>
          </w:p>
        </w:tc>
        <w:tc>
          <w:tcPr>
            <w:tcW w:w="850" w:type="dxa"/>
            <w:shd w:val="clear" w:color="auto" w:fill="FFFFFF" w:themeFill="background1"/>
          </w:tcPr>
          <w:p w14:paraId="6566EFB5"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0FDD2194"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5A97F33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Římsko-katolická farnost Filipa a Jakuba, Zlín</w:t>
            </w:r>
          </w:p>
        </w:tc>
        <w:tc>
          <w:tcPr>
            <w:tcW w:w="850" w:type="dxa"/>
            <w:shd w:val="clear" w:color="auto" w:fill="FFFFFF" w:themeFill="background1"/>
          </w:tcPr>
          <w:p w14:paraId="125988A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6BDDD18D"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15DDE3E"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Úřad práce ČR - krajská pobočka ve Zlíně </w:t>
            </w:r>
          </w:p>
        </w:tc>
        <w:tc>
          <w:tcPr>
            <w:tcW w:w="850" w:type="dxa"/>
            <w:shd w:val="clear" w:color="auto" w:fill="D9D9D9" w:themeFill="background1" w:themeFillShade="D9"/>
          </w:tcPr>
          <w:p w14:paraId="7923C23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3AE5862A"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37BD02E3"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ZOO a zámek Zlín-Lešná,</w:t>
            </w:r>
            <w:r w:rsidRPr="009A2449">
              <w:rPr>
                <w:rFonts w:cstheme="minorHAnsi"/>
                <w:b w:val="0"/>
                <w:bCs w:val="0"/>
                <w:color w:val="000000"/>
              </w:rPr>
              <w:t xml:space="preserve"> </w:t>
            </w:r>
            <w:r w:rsidRPr="009A2449">
              <w:rPr>
                <w:rFonts w:cstheme="minorHAnsi"/>
                <w:b w:val="0"/>
                <w:color w:val="000000"/>
              </w:rPr>
              <w:t>příspěvková organizace</w:t>
            </w:r>
          </w:p>
        </w:tc>
        <w:tc>
          <w:tcPr>
            <w:tcW w:w="850" w:type="dxa"/>
            <w:shd w:val="clear" w:color="auto" w:fill="D9D9D9" w:themeFill="background1" w:themeFillShade="D9"/>
          </w:tcPr>
          <w:p w14:paraId="69249142"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1</w:t>
            </w:r>
          </w:p>
        </w:tc>
      </w:tr>
      <w:tr w:rsidR="009A2449" w:rsidRPr="009A2449" w14:paraId="422CF3B1"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1258D666"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Městské informační a turistické středisko</w:t>
            </w:r>
          </w:p>
        </w:tc>
        <w:tc>
          <w:tcPr>
            <w:tcW w:w="850" w:type="dxa"/>
            <w:shd w:val="clear" w:color="auto" w:fill="D9D9D9" w:themeFill="background1" w:themeFillShade="D9"/>
          </w:tcPr>
          <w:p w14:paraId="7525B210"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1</w:t>
            </w:r>
          </w:p>
        </w:tc>
      </w:tr>
      <w:tr w:rsidR="009A2449" w:rsidRPr="009A2449" w14:paraId="4875A8EC"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vAlign w:val="center"/>
          </w:tcPr>
          <w:p w14:paraId="518DAC16" w14:textId="77777777" w:rsidR="009A2449" w:rsidRPr="009A2449" w:rsidRDefault="009A2449" w:rsidP="009A2449">
            <w:pPr>
              <w:autoSpaceDE w:val="0"/>
              <w:autoSpaceDN w:val="0"/>
              <w:adjustRightInd w:val="0"/>
              <w:spacing w:before="0"/>
              <w:rPr>
                <w:rFonts w:cstheme="minorHAnsi"/>
                <w:b w:val="0"/>
                <w:color w:val="000000"/>
              </w:rPr>
            </w:pPr>
            <w:r w:rsidRPr="009A2449">
              <w:rPr>
                <w:rFonts w:cstheme="minorHAnsi"/>
                <w:b w:val="0"/>
                <w:color w:val="000000" w:themeColor="text1"/>
              </w:rPr>
              <w:t>Krajská nemocnice T. Bati, a. s.</w:t>
            </w:r>
          </w:p>
        </w:tc>
        <w:tc>
          <w:tcPr>
            <w:tcW w:w="850" w:type="dxa"/>
            <w:shd w:val="clear" w:color="auto" w:fill="D9D9D9" w:themeFill="background1" w:themeFillShade="D9"/>
          </w:tcPr>
          <w:p w14:paraId="430F993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9A2449">
              <w:rPr>
                <w:rFonts w:cstheme="minorHAnsi"/>
                <w:color w:val="000000" w:themeColor="text1"/>
              </w:rPr>
              <w:t>1</w:t>
            </w:r>
          </w:p>
        </w:tc>
      </w:tr>
      <w:tr w:rsidR="009A2449" w:rsidRPr="009A2449" w14:paraId="4D136128"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64DE4CAF"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Plastikářský klastr</w:t>
            </w:r>
          </w:p>
        </w:tc>
        <w:tc>
          <w:tcPr>
            <w:tcW w:w="850" w:type="dxa"/>
            <w:shd w:val="clear" w:color="auto" w:fill="D9D9D9" w:themeFill="background1" w:themeFillShade="D9"/>
          </w:tcPr>
          <w:p w14:paraId="3F30C571"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7C9E80DE"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7B8324F4"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rPr>
              <w:t>Regionální rozvojová agentura Východní Moravy</w:t>
            </w:r>
          </w:p>
        </w:tc>
        <w:tc>
          <w:tcPr>
            <w:tcW w:w="850" w:type="dxa"/>
            <w:shd w:val="clear" w:color="auto" w:fill="FFFFFF" w:themeFill="background1"/>
          </w:tcPr>
          <w:p w14:paraId="712D944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rPr>
              <w:t>1</w:t>
            </w:r>
          </w:p>
        </w:tc>
      </w:tr>
      <w:tr w:rsidR="009A2449" w:rsidRPr="009A2449" w14:paraId="66F2C8A9"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FFFFFF" w:themeFill="background1"/>
          </w:tcPr>
          <w:p w14:paraId="67C2C872"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Sdružení pro rozvoj Zlínského kraje</w:t>
            </w:r>
          </w:p>
        </w:tc>
        <w:tc>
          <w:tcPr>
            <w:tcW w:w="850" w:type="dxa"/>
            <w:shd w:val="clear" w:color="auto" w:fill="FFFFFF" w:themeFill="background1"/>
          </w:tcPr>
          <w:p w14:paraId="3690AAB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9A2449">
              <w:rPr>
                <w:rFonts w:cstheme="minorHAnsi"/>
                <w:color w:val="000000" w:themeColor="text1"/>
              </w:rPr>
              <w:t>1</w:t>
            </w:r>
          </w:p>
        </w:tc>
      </w:tr>
      <w:tr w:rsidR="009A2449" w:rsidRPr="009A2449" w14:paraId="3535ADB4" w14:textId="77777777" w:rsidTr="006A6228">
        <w:tc>
          <w:tcPr>
            <w:cnfStyle w:val="001000000000" w:firstRow="0" w:lastRow="0" w:firstColumn="1" w:lastColumn="0" w:oddVBand="0" w:evenVBand="0" w:oddHBand="0" w:evenHBand="0" w:firstRowFirstColumn="0" w:firstRowLastColumn="0" w:lastRowFirstColumn="0" w:lastRowLastColumn="0"/>
            <w:tcW w:w="8217" w:type="dxa"/>
          </w:tcPr>
          <w:p w14:paraId="0B08D77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 xml:space="preserve">Finanční úřad pro Zlínský kraj </w:t>
            </w:r>
          </w:p>
        </w:tc>
        <w:tc>
          <w:tcPr>
            <w:tcW w:w="850" w:type="dxa"/>
          </w:tcPr>
          <w:p w14:paraId="6D3F6C96"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62BAEA3" w14:textId="77777777" w:rsidTr="006A6228">
        <w:tc>
          <w:tcPr>
            <w:cnfStyle w:val="001000000000" w:firstRow="0" w:lastRow="0" w:firstColumn="1" w:lastColumn="0" w:oddVBand="0" w:evenVBand="0" w:oddHBand="0" w:evenHBand="0" w:firstRowFirstColumn="0" w:firstRowLastColumn="0" w:lastRowFirstColumn="0" w:lastRowLastColumn="0"/>
            <w:tcW w:w="8217" w:type="dxa"/>
          </w:tcPr>
          <w:p w14:paraId="6755ABEE"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Krajská správa ČSÚ ve Zlíně</w:t>
            </w:r>
          </w:p>
        </w:tc>
        <w:tc>
          <w:tcPr>
            <w:tcW w:w="850" w:type="dxa"/>
          </w:tcPr>
          <w:p w14:paraId="5CB1A59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BA8B013" w14:textId="77777777" w:rsidTr="006A6228">
        <w:tc>
          <w:tcPr>
            <w:cnfStyle w:val="001000000000" w:firstRow="0" w:lastRow="0" w:firstColumn="1" w:lastColumn="0" w:oddVBand="0" w:evenVBand="0" w:oddHBand="0" w:evenHBand="0" w:firstRowFirstColumn="0" w:firstRowLastColumn="0" w:lastRowFirstColumn="0" w:lastRowLastColumn="0"/>
            <w:tcW w:w="8217" w:type="dxa"/>
            <w:shd w:val="clear" w:color="auto" w:fill="D9D9D9" w:themeFill="background1" w:themeFillShade="D9"/>
          </w:tcPr>
          <w:p w14:paraId="74D76FF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Městská policie Zlín</w:t>
            </w:r>
          </w:p>
        </w:tc>
        <w:tc>
          <w:tcPr>
            <w:tcW w:w="850" w:type="dxa"/>
            <w:shd w:val="clear" w:color="auto" w:fill="D9D9D9" w:themeFill="background1" w:themeFillShade="D9"/>
          </w:tcPr>
          <w:p w14:paraId="07EE4A6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B99969D" w14:textId="77777777" w:rsidTr="006A6228">
        <w:tc>
          <w:tcPr>
            <w:cnfStyle w:val="001000000000" w:firstRow="0" w:lastRow="0" w:firstColumn="1" w:lastColumn="0" w:oddVBand="0" w:evenVBand="0" w:oddHBand="0" w:evenHBand="0" w:firstRowFirstColumn="0" w:firstRowLastColumn="0" w:lastRowFirstColumn="0" w:lastRowLastColumn="0"/>
            <w:tcW w:w="8217" w:type="dxa"/>
          </w:tcPr>
          <w:p w14:paraId="7177A94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Katastrální úřad pro Zlínský kraj, Katastrální pracoviště Zlín</w:t>
            </w:r>
          </w:p>
        </w:tc>
        <w:tc>
          <w:tcPr>
            <w:tcW w:w="850" w:type="dxa"/>
          </w:tcPr>
          <w:p w14:paraId="16A5397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DD233F7" w14:textId="77777777" w:rsidTr="006A6228">
        <w:tc>
          <w:tcPr>
            <w:cnfStyle w:val="001000000000" w:firstRow="0" w:lastRow="0" w:firstColumn="1" w:lastColumn="0" w:oddVBand="0" w:evenVBand="0" w:oddHBand="0" w:evenHBand="0" w:firstRowFirstColumn="0" w:firstRowLastColumn="0" w:lastRowFirstColumn="0" w:lastRowLastColumn="0"/>
            <w:tcW w:w="8217" w:type="dxa"/>
            <w:tcBorders>
              <w:bottom w:val="single" w:sz="4" w:space="0" w:color="999999"/>
            </w:tcBorders>
          </w:tcPr>
          <w:p w14:paraId="2E33FAD3" w14:textId="77777777" w:rsidR="009A2449" w:rsidRPr="009A2449" w:rsidRDefault="009A2449" w:rsidP="009A2449">
            <w:pPr>
              <w:spacing w:before="0"/>
              <w:rPr>
                <w:rFonts w:cstheme="minorHAnsi"/>
                <w:b w:val="0"/>
              </w:rPr>
            </w:pPr>
            <w:r w:rsidRPr="009A2449">
              <w:rPr>
                <w:rFonts w:cstheme="minorHAnsi"/>
                <w:b w:val="0"/>
              </w:rPr>
              <w:t>ÚO IROP pro Zlínský kraj</w:t>
            </w:r>
          </w:p>
        </w:tc>
        <w:tc>
          <w:tcPr>
            <w:tcW w:w="850" w:type="dxa"/>
            <w:tcBorders>
              <w:bottom w:val="single" w:sz="4" w:space="0" w:color="999999"/>
            </w:tcBorders>
          </w:tcPr>
          <w:p w14:paraId="1B2A38D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rPr>
            </w:pPr>
          </w:p>
        </w:tc>
      </w:tr>
      <w:tr w:rsidR="009A2449" w:rsidRPr="009A2449" w14:paraId="144D467C" w14:textId="77777777" w:rsidTr="006A6228">
        <w:tc>
          <w:tcPr>
            <w:cnfStyle w:val="001000000000" w:firstRow="0" w:lastRow="0" w:firstColumn="1" w:lastColumn="0" w:oddVBand="0" w:evenVBand="0" w:oddHBand="0" w:evenHBand="0" w:firstRowFirstColumn="0" w:firstRowLastColumn="0" w:lastRowFirstColumn="0" w:lastRowLastColumn="0"/>
            <w:tcW w:w="8217" w:type="dxa"/>
            <w:tcBorders>
              <w:bottom w:val="single" w:sz="4" w:space="0" w:color="999999"/>
            </w:tcBorders>
            <w:shd w:val="clear" w:color="auto" w:fill="auto"/>
          </w:tcPr>
          <w:p w14:paraId="4420719B"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Informační centrum Baťa</w:t>
            </w:r>
          </w:p>
        </w:tc>
        <w:tc>
          <w:tcPr>
            <w:tcW w:w="850" w:type="dxa"/>
            <w:tcBorders>
              <w:bottom w:val="single" w:sz="4" w:space="0" w:color="999999"/>
            </w:tcBorders>
          </w:tcPr>
          <w:p w14:paraId="2BB33036"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BF1C1F7"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tcPr>
          <w:p w14:paraId="7395C5BB"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Virtuální realita Zlín</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53CF8A19"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277B54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vAlign w:val="center"/>
          </w:tcPr>
          <w:p w14:paraId="64AAF53F"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HP TRONIC Zlín, spol.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tcPr>
          <w:p w14:paraId="0D8F6DE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C8897C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571F20E"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Trelleborg Wheel Systems Czech Republic a.s. - Výrobní závod Zlín</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0F5FE2B3"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A018E5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4F34D589"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BAŤA, akciová společnost</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38F0D3FE"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E7321A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78BE7BFD"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ELKOV elektro a.s. Zlín</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3EA797B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1F2FE5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61DF51B8"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TAJMAC-ZPS, a. s.</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4F4EED50"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745DA3F"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21509A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OBZOR, výrobní družstvo Zlín</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7C1F4924"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F91000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vAlign w:val="center"/>
          </w:tcPr>
          <w:p w14:paraId="2DD2908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Dopravní společnost Zlín-Otrokovice,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shd w:val="clear" w:color="auto" w:fill="D9D9D9" w:themeFill="background1" w:themeFillShade="D9"/>
          </w:tcPr>
          <w:p w14:paraId="01FE9B1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A257CC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18BBB0C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GRASPO CZ, a.s.</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737928F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C47D033"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B317BB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Jednota, spotřební družstvo ve Zlíně</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1463307C"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C61864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2A0B157C"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Promens a.s.</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0644118A"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FEFE02"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4469B6B3"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Institut pro testování a certifikaci, a.s.</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2692C79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24E63BB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3C6387FD"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ZPS - SLÉVÁRNA, a.s.</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5164D903"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6E39B0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2F8D4CA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AGC Fenestra a.s., člen AGC Group</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5AC23121"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E65ED9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44BE2AF0"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KOMPONENTY, a.s. ZLÍN</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4E820E28"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BB6F96D"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759C57A"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Navláčil stavební firma,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29F9B58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202DDDA"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658BB991"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ELKOPLAST CZ,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3C5AC9F7"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CC12A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4305B4DC"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Holík International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4CF82C66"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E74AD05"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1AF57DF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Integra VD Zlín</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56ED737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529EC36E"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D1E8983"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Vaše laboratoře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678E2142"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36C5310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2FBC46BA"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 STUDIO, spol. s 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64F2196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A04686C"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45F5A9C3"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ZAKO Turčín, spol. s 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7C7E72B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D037F67"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3626ADB5"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Zlín Precision,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04E2D49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72341BC0"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A3B4944"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ZPS - FRÉZOVACÍ NÁSTROJE, a.s.</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2F768E0B"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E3278AB"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54199A32"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CROSS Zlín, a.s.</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753D5D55"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6DD2DB8" w14:textId="77777777" w:rsidTr="006A6228">
        <w:trPr>
          <w:trHeight w:hRule="exact" w:val="284"/>
        </w:trPr>
        <w:tc>
          <w:tcPr>
            <w:cnfStyle w:val="001000000000" w:firstRow="0" w:lastRow="0" w:firstColumn="1" w:lastColumn="0" w:oddVBand="0" w:evenVBand="0" w:oddHBand="0" w:evenHBand="0" w:firstRowFirstColumn="0" w:firstRowLastColumn="0" w:lastRowFirstColumn="0" w:lastRowLastColumn="0"/>
            <w:tcW w:w="8217" w:type="dxa"/>
            <w:tcBorders>
              <w:top w:val="single" w:sz="4" w:space="0" w:color="999999"/>
              <w:left w:val="single" w:sz="4" w:space="0" w:color="BFBFBF" w:themeColor="background1" w:themeShade="BF"/>
              <w:bottom w:val="single" w:sz="4" w:space="0" w:color="999999"/>
              <w:right w:val="single" w:sz="4" w:space="0" w:color="999999"/>
            </w:tcBorders>
            <w:shd w:val="clear" w:color="auto" w:fill="auto"/>
            <w:vAlign w:val="center"/>
          </w:tcPr>
          <w:p w14:paraId="014C1C74" w14:textId="77777777" w:rsidR="009A2449" w:rsidRPr="009A2449" w:rsidRDefault="009A2449" w:rsidP="009A2449">
            <w:pPr>
              <w:spacing w:before="0"/>
              <w:rPr>
                <w:rFonts w:cstheme="minorHAnsi"/>
                <w:b w:val="0"/>
                <w:color w:val="000000" w:themeColor="text1"/>
              </w:rPr>
            </w:pPr>
            <w:r w:rsidRPr="009A2449">
              <w:rPr>
                <w:rFonts w:cstheme="minorHAnsi"/>
                <w:b w:val="0"/>
                <w:color w:val="000000" w:themeColor="text1"/>
              </w:rPr>
              <w:t>Edhouse s.r.o.</w:t>
            </w:r>
          </w:p>
        </w:tc>
        <w:tc>
          <w:tcPr>
            <w:tcW w:w="850" w:type="dxa"/>
            <w:tcBorders>
              <w:top w:val="single" w:sz="4" w:space="0" w:color="999999"/>
              <w:left w:val="single" w:sz="4" w:space="0" w:color="BFBFBF" w:themeColor="background1" w:themeShade="BF"/>
              <w:bottom w:val="single" w:sz="4" w:space="0" w:color="999999"/>
              <w:right w:val="single" w:sz="4" w:space="0" w:color="999999"/>
            </w:tcBorders>
          </w:tcPr>
          <w:p w14:paraId="5FEC49EF" w14:textId="77777777" w:rsidR="009A2449" w:rsidRPr="009A2449" w:rsidRDefault="009A2449" w:rsidP="009A2449">
            <w:pPr>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192F1DEC" w14:textId="77777777" w:rsidTr="006A6228">
        <w:trPr>
          <w:trHeight w:val="329"/>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6E2FAD41"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Laser Game Zlín</w:t>
            </w:r>
          </w:p>
        </w:tc>
        <w:tc>
          <w:tcPr>
            <w:tcW w:w="850" w:type="dxa"/>
            <w:tcBorders>
              <w:left w:val="single" w:sz="4" w:space="0" w:color="BFBFBF" w:themeColor="background1" w:themeShade="BF"/>
            </w:tcBorders>
          </w:tcPr>
          <w:p w14:paraId="3616866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E7B4885" w14:textId="77777777" w:rsidTr="006A6228">
        <w:trPr>
          <w:trHeight w:val="329"/>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3F9BADEB"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E-strike aréna Zlín</w:t>
            </w:r>
          </w:p>
        </w:tc>
        <w:tc>
          <w:tcPr>
            <w:tcW w:w="850" w:type="dxa"/>
            <w:tcBorders>
              <w:left w:val="single" w:sz="4" w:space="0" w:color="BFBFBF" w:themeColor="background1" w:themeShade="BF"/>
            </w:tcBorders>
          </w:tcPr>
          <w:p w14:paraId="526BD94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D6C1D63" w14:textId="77777777" w:rsidTr="006A6228">
        <w:trPr>
          <w:trHeight w:val="329"/>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2A99D3F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Interhotel Moskva</w:t>
            </w:r>
          </w:p>
        </w:tc>
        <w:tc>
          <w:tcPr>
            <w:tcW w:w="850" w:type="dxa"/>
            <w:tcBorders>
              <w:left w:val="single" w:sz="4" w:space="0" w:color="BFBFBF" w:themeColor="background1" w:themeShade="BF"/>
            </w:tcBorders>
          </w:tcPr>
          <w:p w14:paraId="6A6630D4"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3A6536" w14:textId="77777777" w:rsidTr="006A6228">
        <w:trPr>
          <w:trHeight w:val="329"/>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67B06024"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Hotel Baltaci Atrium</w:t>
            </w:r>
          </w:p>
        </w:tc>
        <w:tc>
          <w:tcPr>
            <w:tcW w:w="850" w:type="dxa"/>
            <w:tcBorders>
              <w:left w:val="single" w:sz="4" w:space="0" w:color="BFBFBF" w:themeColor="background1" w:themeShade="BF"/>
            </w:tcBorders>
          </w:tcPr>
          <w:p w14:paraId="7465249C"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57FDD62" w14:textId="77777777" w:rsidTr="006A6228">
        <w:trPr>
          <w:trHeight w:val="329"/>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4649C23A"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Hotel Tomášov</w:t>
            </w:r>
          </w:p>
        </w:tc>
        <w:tc>
          <w:tcPr>
            <w:tcW w:w="850" w:type="dxa"/>
            <w:tcBorders>
              <w:left w:val="single" w:sz="4" w:space="0" w:color="BFBFBF" w:themeColor="background1" w:themeShade="BF"/>
            </w:tcBorders>
          </w:tcPr>
          <w:p w14:paraId="16ACFD58"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0CBA17A8" w14:textId="77777777" w:rsidTr="006A6228">
        <w:trPr>
          <w:trHeight w:val="329"/>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155CA5DC"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Lesní hotel</w:t>
            </w:r>
          </w:p>
        </w:tc>
        <w:tc>
          <w:tcPr>
            <w:tcW w:w="850" w:type="dxa"/>
            <w:tcBorders>
              <w:left w:val="single" w:sz="4" w:space="0" w:color="BFBFBF" w:themeColor="background1" w:themeShade="BF"/>
            </w:tcBorders>
          </w:tcPr>
          <w:p w14:paraId="1E53B7AD"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42F64249" w14:textId="77777777" w:rsidTr="006A6228">
        <w:trPr>
          <w:trHeight w:val="244"/>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5A2A3729"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Centrála cestovního ruchu Východní Moravy, o.p.s.</w:t>
            </w:r>
          </w:p>
        </w:tc>
        <w:tc>
          <w:tcPr>
            <w:tcW w:w="850" w:type="dxa"/>
            <w:tcBorders>
              <w:left w:val="single" w:sz="4" w:space="0" w:color="BFBFBF" w:themeColor="background1" w:themeShade="BF"/>
            </w:tcBorders>
          </w:tcPr>
          <w:p w14:paraId="20930367"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r w:rsidR="009A2449" w:rsidRPr="009A2449" w14:paraId="67595BDB" w14:textId="77777777" w:rsidTr="006A6228">
        <w:trPr>
          <w:trHeight w:val="322"/>
        </w:trPr>
        <w:tc>
          <w:tcPr>
            <w:cnfStyle w:val="001000000000" w:firstRow="0" w:lastRow="0" w:firstColumn="1" w:lastColumn="0" w:oddVBand="0" w:evenVBand="0" w:oddHBand="0" w:evenHBand="0" w:firstRowFirstColumn="0" w:firstRowLastColumn="0" w:lastRowFirstColumn="0" w:lastRowLastColumn="0"/>
            <w:tcW w:w="8217" w:type="dxa"/>
            <w:tcBorders>
              <w:left w:val="single" w:sz="4" w:space="0" w:color="BFBFBF" w:themeColor="background1" w:themeShade="BF"/>
            </w:tcBorders>
            <w:shd w:val="clear" w:color="auto" w:fill="auto"/>
          </w:tcPr>
          <w:p w14:paraId="7C59C960" w14:textId="77777777" w:rsidR="009A2449" w:rsidRPr="009A2449" w:rsidRDefault="009A2449" w:rsidP="009A2449">
            <w:pPr>
              <w:autoSpaceDE w:val="0"/>
              <w:autoSpaceDN w:val="0"/>
              <w:adjustRightInd w:val="0"/>
              <w:spacing w:before="0"/>
              <w:rPr>
                <w:rFonts w:cstheme="minorHAnsi"/>
                <w:b w:val="0"/>
                <w:color w:val="000000" w:themeColor="text1"/>
              </w:rPr>
            </w:pPr>
            <w:r w:rsidRPr="009A2449">
              <w:rPr>
                <w:rFonts w:cstheme="minorHAnsi"/>
                <w:b w:val="0"/>
                <w:color w:val="000000" w:themeColor="text1"/>
              </w:rPr>
              <w:t>Golf Club Lázně Kostelec, z.s.</w:t>
            </w:r>
          </w:p>
        </w:tc>
        <w:tc>
          <w:tcPr>
            <w:tcW w:w="850" w:type="dxa"/>
            <w:tcBorders>
              <w:left w:val="single" w:sz="4" w:space="0" w:color="BFBFBF" w:themeColor="background1" w:themeShade="BF"/>
            </w:tcBorders>
          </w:tcPr>
          <w:p w14:paraId="1B8F666E" w14:textId="77777777" w:rsidR="009A2449" w:rsidRPr="009A2449" w:rsidRDefault="009A2449" w:rsidP="009A2449">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r>
    </w:tbl>
    <w:p w14:paraId="6FDBCB96" w14:textId="77777777" w:rsidR="00BC6914" w:rsidRDefault="00BC6914">
      <w:pPr>
        <w:spacing w:before="0" w:after="160" w:line="259" w:lineRule="auto"/>
        <w:jc w:val="left"/>
        <w:rPr>
          <w:rFonts w:eastAsiaTheme="majorEastAsia" w:cstheme="majorBidi"/>
          <w:color w:val="5B9BD5" w:themeColor="accent1"/>
          <w:sz w:val="24"/>
          <w:szCs w:val="24"/>
        </w:rPr>
      </w:pPr>
      <w:bookmarkStart w:id="839" w:name="_Toc46218682"/>
      <w:r>
        <w:br w:type="page"/>
      </w:r>
    </w:p>
    <w:p w14:paraId="0544A5E4" w14:textId="3A692C78" w:rsidR="00A91C05" w:rsidRPr="00577E7E" w:rsidRDefault="00A91C05" w:rsidP="009A2449">
      <w:pPr>
        <w:pStyle w:val="Nadpis3"/>
      </w:pPr>
      <w:bookmarkStart w:id="840" w:name="_Toc77074640"/>
      <w:r w:rsidRPr="00577E7E">
        <w:t>Z</w:t>
      </w:r>
      <w:bookmarkEnd w:id="839"/>
      <w:r w:rsidR="00CD1295">
        <w:t>droje</w:t>
      </w:r>
      <w:bookmarkEnd w:id="840"/>
    </w:p>
    <w:p w14:paraId="359CD021" w14:textId="32B42BBB" w:rsidR="00A91C05" w:rsidRPr="00F430B9" w:rsidRDefault="00A91C05" w:rsidP="00A91C05">
      <w:pPr>
        <w:rPr>
          <w:lang w:eastAsia="cs-CZ"/>
        </w:rPr>
      </w:pPr>
      <w:r>
        <w:rPr>
          <w:lang w:eastAsia="cs-CZ"/>
        </w:rPr>
        <w:t>MMR (2019) Metodika přípravy veřejných strategií ve znění aktualizace 2019. Dostupná z</w:t>
      </w:r>
      <w:r w:rsidR="00F430B9">
        <w:rPr>
          <w:lang w:eastAsia="cs-CZ"/>
        </w:rPr>
        <w:t>:</w:t>
      </w:r>
      <w:r>
        <w:rPr>
          <w:lang w:eastAsia="cs-CZ"/>
        </w:rPr>
        <w:t xml:space="preserve"> </w:t>
      </w:r>
      <w:hyperlink r:id="rId247" w:history="1">
        <w:r w:rsidRPr="00F430B9">
          <w:rPr>
            <w:rStyle w:val="Hypertextovodkaz"/>
            <w:color w:val="auto"/>
            <w:u w:val="none"/>
            <w:lang w:eastAsia="cs-CZ"/>
          </w:rPr>
          <w:t>https://mmr.cz/cs/microsites/portal-strategicke-prace-v-ceske-republice/nastroje-a-metodicka-podpora/vystupy-projektu</w:t>
        </w:r>
      </w:hyperlink>
      <w:r w:rsidRPr="00F430B9">
        <w:rPr>
          <w:lang w:eastAsia="cs-CZ"/>
        </w:rPr>
        <w:t xml:space="preserve"> </w:t>
      </w:r>
    </w:p>
    <w:p w14:paraId="5BE95395" w14:textId="77777777" w:rsidR="00A91C05" w:rsidRPr="00577E7E" w:rsidRDefault="00A91C05" w:rsidP="00A91C05">
      <w:pPr>
        <w:rPr>
          <w:lang w:eastAsia="cs-CZ"/>
        </w:rPr>
      </w:pPr>
      <w:r w:rsidRPr="00577E7E">
        <w:t>Integrovaný plán rozvoje území Zlín pro období 2014 – 2020</w:t>
      </w:r>
    </w:p>
    <w:p w14:paraId="213873EA" w14:textId="77777777" w:rsidR="00A91C05" w:rsidRPr="00577E7E" w:rsidRDefault="00A91C05" w:rsidP="00A91C05">
      <w:r w:rsidRPr="00577E7E">
        <w:t>Strategie rozvoje Zlínského kraje 2030</w:t>
      </w:r>
    </w:p>
    <w:p w14:paraId="0DC3AA5B" w14:textId="6EF0C68C" w:rsidR="00A91C05" w:rsidRPr="00577E7E" w:rsidRDefault="00A91C05" w:rsidP="00A91C05">
      <w:r w:rsidRPr="00577E7E">
        <w:t xml:space="preserve">Webové stránky </w:t>
      </w:r>
      <w:r w:rsidR="005668E1">
        <w:t>s</w:t>
      </w:r>
      <w:r w:rsidRPr="00577E7E">
        <w:t>tatutárního města Zlín</w:t>
      </w:r>
    </w:p>
    <w:p w14:paraId="266B3070" w14:textId="77777777" w:rsidR="00A91C05" w:rsidRPr="00577E7E" w:rsidRDefault="00A91C05" w:rsidP="00A91C05">
      <w:r w:rsidRPr="00577E7E">
        <w:t>Webové stránky Krajského úřadu Zlínského kraje</w:t>
      </w:r>
    </w:p>
    <w:p w14:paraId="792E082F" w14:textId="4C6A187D" w:rsidR="00BC6914" w:rsidRDefault="00A91C05" w:rsidP="00A91C05">
      <w:r w:rsidRPr="00577E7E">
        <w:t>Obchodní rejstřík, portál</w:t>
      </w:r>
      <w:r>
        <w:t xml:space="preserve"> </w:t>
      </w:r>
    </w:p>
    <w:p w14:paraId="1D3A422A" w14:textId="77777777" w:rsidR="00BC6914" w:rsidRDefault="00BC6914">
      <w:pPr>
        <w:spacing w:before="0" w:after="160" w:line="259" w:lineRule="auto"/>
        <w:jc w:val="left"/>
      </w:pPr>
      <w:r>
        <w:br w:type="page"/>
      </w:r>
    </w:p>
    <w:p w14:paraId="4A6ACEC8" w14:textId="30221275" w:rsidR="006E1FCB" w:rsidRPr="009E07FD" w:rsidRDefault="006E1FCB" w:rsidP="006E1FCB">
      <w:pPr>
        <w:pStyle w:val="Nadpis2"/>
      </w:pPr>
      <w:bookmarkStart w:id="841" w:name="_Toc50471485"/>
      <w:bookmarkStart w:id="842" w:name="_Toc77074641"/>
      <w:r>
        <w:t xml:space="preserve">Zpráva o realizaci průzkumu </w:t>
      </w:r>
      <w:r w:rsidR="00ED238E">
        <w:t xml:space="preserve">stakeholderů a </w:t>
      </w:r>
      <w:r>
        <w:t>osobností</w:t>
      </w:r>
      <w:bookmarkEnd w:id="841"/>
      <w:bookmarkEnd w:id="842"/>
    </w:p>
    <w:p w14:paraId="0D93ED64" w14:textId="77777777" w:rsidR="0057266A" w:rsidRPr="000818D2" w:rsidRDefault="0057266A" w:rsidP="0057266A">
      <w:pPr>
        <w:shd w:val="clear" w:color="auto" w:fill="FFFFFF" w:themeFill="background1"/>
      </w:pPr>
      <w:bookmarkStart w:id="843" w:name="_Toc50549197"/>
      <w:r>
        <w:t xml:space="preserve">Pro potřeby zpracování strategického plánu rozvoje města Zlín 2030 byly provedeny osobní rozhovory se zástupci klíčových institucí a organizací, které působí na území města, a s osobnostmi, které mají k městu blízký vztah. </w:t>
      </w:r>
      <w:r w:rsidRPr="000818D2">
        <w:rPr>
          <w:rFonts w:cstheme="minorHAnsi"/>
          <w:lang w:eastAsia="cs-CZ"/>
        </w:rPr>
        <w:t xml:space="preserve">Ze seznamu </w:t>
      </w:r>
      <w:r w:rsidRPr="000818D2">
        <w:rPr>
          <w:rFonts w:cstheme="minorHAnsi"/>
        </w:rPr>
        <w:t>klíčových stakeholderů dle priorit členů pracovních skupin</w:t>
      </w:r>
      <w:r>
        <w:rPr>
          <w:rFonts w:cstheme="minorHAnsi"/>
          <w:lang w:eastAsia="cs-CZ"/>
        </w:rPr>
        <w:t xml:space="preserve"> byl</w:t>
      </w:r>
      <w:r w:rsidRPr="000818D2">
        <w:rPr>
          <w:rFonts w:cstheme="minorHAnsi"/>
          <w:lang w:eastAsia="cs-CZ"/>
        </w:rPr>
        <w:t xml:space="preserve"> garantem strategie ve spolupráci s realizačním týmem přípravy strategie nominován </w:t>
      </w:r>
      <w:r w:rsidRPr="000818D2">
        <w:t xml:space="preserve">vždy alespoň jeden klíčový stakeholder </w:t>
      </w:r>
      <w:r>
        <w:t>nebo jedna významná osobnost</w:t>
      </w:r>
      <w:r w:rsidRPr="000818D2">
        <w:t xml:space="preserve"> za danou pracovní skupinu a tematickou oblast</w:t>
      </w:r>
      <w:r>
        <w:t>.</w:t>
      </w:r>
      <w:r w:rsidRPr="000818D2">
        <w:t xml:space="preserve"> </w:t>
      </w:r>
    </w:p>
    <w:p w14:paraId="7F06CD72" w14:textId="77777777" w:rsidR="0057266A" w:rsidRPr="006C4F45" w:rsidRDefault="0057266A" w:rsidP="0057266A">
      <w:r>
        <w:t xml:space="preserve">Cílem průzkumu bylo zjistit jejich názory na město Zlín i jejich doporučení směrem k dalšímu rozvoji města. </w:t>
      </w:r>
      <w:r w:rsidRPr="006C4F45">
        <w:t>Otázky byly sestaveny dle metodologie sociologického výzkumu tak, aby průběh rozhovoru směřoval od obecných asociačních otázek ke konkrétním doporučením.</w:t>
      </w:r>
    </w:p>
    <w:p w14:paraId="4304907D" w14:textId="77777777" w:rsidR="0057266A" w:rsidRDefault="0057266A" w:rsidP="0057266A">
      <w:r>
        <w:t xml:space="preserve">Rozhovory probíhaly od 27. 7. 2020 do 5. 8. 2020. Metoda sběru dat byla: polo-strukturovaný rozhovor face-to-face dle scénáře uvedeného v příloze. Pouze </w:t>
      </w:r>
      <w:r>
        <w:rPr>
          <w:rFonts w:ascii="Calibri" w:eastAsia="Times New Roman" w:hAnsi="Calibri" w:cs="Calibri"/>
          <w:color w:val="000000"/>
          <w:lang w:eastAsia="cs-CZ"/>
        </w:rPr>
        <w:t>s prof. Ing. arch. Evou</w:t>
      </w:r>
      <w:r w:rsidRPr="00A33895">
        <w:rPr>
          <w:rFonts w:ascii="Calibri" w:eastAsia="Times New Roman" w:hAnsi="Calibri" w:cs="Calibri"/>
          <w:color w:val="000000"/>
          <w:lang w:eastAsia="cs-CZ"/>
        </w:rPr>
        <w:t xml:space="preserve"> Jiřičn</w:t>
      </w:r>
      <w:r>
        <w:rPr>
          <w:rFonts w:ascii="Calibri" w:eastAsia="Times New Roman" w:hAnsi="Calibri" w:cs="Calibri"/>
          <w:color w:val="000000"/>
          <w:lang w:eastAsia="cs-CZ"/>
        </w:rPr>
        <w:t>ou</w:t>
      </w:r>
      <w:r w:rsidRPr="00A33895">
        <w:rPr>
          <w:rFonts w:ascii="Calibri" w:eastAsia="Times New Roman" w:hAnsi="Calibri" w:cs="Calibri"/>
          <w:color w:val="000000"/>
          <w:lang w:eastAsia="cs-CZ"/>
        </w:rPr>
        <w:t>, CBE</w:t>
      </w:r>
      <w:r>
        <w:rPr>
          <w:rFonts w:ascii="Calibri" w:eastAsia="Times New Roman" w:hAnsi="Calibri" w:cs="Calibri"/>
          <w:color w:val="000000"/>
          <w:lang w:eastAsia="cs-CZ"/>
        </w:rPr>
        <w:t>, žijící v Londýně, proběhl rozhovor telefonicky. Průměrná délka rozhovoru byla 60 minut. Všechny vybrané osobnosti své výroky autorizovaly a souhlasily s využitím rozhovoru pro tvorbu strategického plánu rozvoje města Zlín.</w:t>
      </w:r>
    </w:p>
    <w:p w14:paraId="6241A05D" w14:textId="44511C4A" w:rsidR="006E1FCB" w:rsidRDefault="006E1FCB" w:rsidP="006E1FCB">
      <w:pPr>
        <w:pStyle w:val="Titulek"/>
        <w:keepNext/>
      </w:pPr>
      <w:bookmarkStart w:id="844" w:name="_Toc50989360"/>
      <w:bookmarkStart w:id="845" w:name="_Toc53388480"/>
      <w:bookmarkStart w:id="846" w:name="_Toc54702650"/>
      <w:bookmarkStart w:id="847" w:name="_Toc56179457"/>
      <w:bookmarkStart w:id="848" w:name="_Toc57731815"/>
      <w:bookmarkStart w:id="849" w:name="_Toc7707479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36</w:t>
      </w:r>
      <w:r w:rsidR="00081B47">
        <w:rPr>
          <w:noProof/>
        </w:rPr>
        <w:fldChar w:fldCharType="end"/>
      </w:r>
      <w:r w:rsidR="00866212">
        <w:rPr>
          <w:noProof/>
        </w:rPr>
        <w:t>:</w:t>
      </w:r>
      <w:r>
        <w:t xml:space="preserve"> Osobnosti vybrané pro realizaci rozhovoru</w:t>
      </w:r>
      <w:bookmarkEnd w:id="843"/>
      <w:bookmarkEnd w:id="844"/>
      <w:bookmarkEnd w:id="845"/>
      <w:bookmarkEnd w:id="846"/>
      <w:bookmarkEnd w:id="847"/>
      <w:bookmarkEnd w:id="848"/>
      <w:bookmarkEnd w:id="849"/>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1"/>
        <w:gridCol w:w="5073"/>
        <w:gridCol w:w="3543"/>
      </w:tblGrid>
      <w:tr w:rsidR="006E1FCB" w:rsidRPr="007C03A8" w14:paraId="0E3031E3" w14:textId="77777777" w:rsidTr="000931EA">
        <w:trPr>
          <w:trHeight w:val="300"/>
        </w:trPr>
        <w:tc>
          <w:tcPr>
            <w:tcW w:w="451" w:type="dxa"/>
            <w:shd w:val="clear" w:color="auto" w:fill="F2F2F2" w:themeFill="background1" w:themeFillShade="F2"/>
            <w:noWrap/>
            <w:vAlign w:val="center"/>
            <w:hideMark/>
          </w:tcPr>
          <w:p w14:paraId="0AB2038E" w14:textId="77777777" w:rsidR="006E1FCB" w:rsidRPr="007C03A8" w:rsidRDefault="006E1FCB" w:rsidP="000931EA">
            <w:pPr>
              <w:spacing w:before="0"/>
              <w:jc w:val="left"/>
              <w:rPr>
                <w:rFonts w:eastAsia="Times New Roman" w:cstheme="minorHAnsi"/>
                <w:sz w:val="20"/>
                <w:szCs w:val="20"/>
                <w:lang w:eastAsia="cs-CZ"/>
              </w:rPr>
            </w:pPr>
            <w:r w:rsidRPr="007C03A8">
              <w:rPr>
                <w:rFonts w:eastAsia="Times New Roman" w:cstheme="minorHAnsi"/>
                <w:sz w:val="20"/>
                <w:szCs w:val="20"/>
                <w:lang w:eastAsia="cs-CZ"/>
              </w:rPr>
              <w:t>#</w:t>
            </w:r>
          </w:p>
        </w:tc>
        <w:tc>
          <w:tcPr>
            <w:tcW w:w="5073" w:type="dxa"/>
            <w:shd w:val="clear" w:color="auto" w:fill="F2F2F2" w:themeFill="background1" w:themeFillShade="F2"/>
            <w:noWrap/>
            <w:vAlign w:val="center"/>
            <w:hideMark/>
          </w:tcPr>
          <w:p w14:paraId="6A3F040C" w14:textId="7E587E80" w:rsidR="006E1FCB" w:rsidRPr="007C03A8" w:rsidRDefault="006E1FCB" w:rsidP="000931EA">
            <w:pPr>
              <w:spacing w:before="0"/>
              <w:jc w:val="left"/>
              <w:rPr>
                <w:rFonts w:eastAsia="Times New Roman" w:cstheme="minorHAnsi"/>
                <w:sz w:val="20"/>
                <w:szCs w:val="20"/>
                <w:lang w:eastAsia="cs-CZ"/>
              </w:rPr>
            </w:pPr>
            <w:r w:rsidRPr="007C03A8">
              <w:rPr>
                <w:rFonts w:eastAsia="Times New Roman" w:cstheme="minorHAnsi"/>
                <w:sz w:val="20"/>
                <w:szCs w:val="20"/>
                <w:lang w:eastAsia="cs-CZ"/>
              </w:rPr>
              <w:t>Osobnosti</w:t>
            </w:r>
            <w:r w:rsidR="00866212">
              <w:rPr>
                <w:rFonts w:eastAsia="Times New Roman" w:cstheme="minorHAnsi"/>
                <w:sz w:val="20"/>
                <w:szCs w:val="20"/>
                <w:lang w:eastAsia="cs-CZ"/>
              </w:rPr>
              <w:t xml:space="preserve"> </w:t>
            </w:r>
            <w:r w:rsidRPr="007C03A8">
              <w:rPr>
                <w:rFonts w:eastAsia="Times New Roman" w:cstheme="minorHAnsi"/>
                <w:sz w:val="20"/>
                <w:szCs w:val="20"/>
                <w:lang w:eastAsia="cs-CZ"/>
              </w:rPr>
              <w:t>/</w:t>
            </w:r>
            <w:r w:rsidR="00866212">
              <w:rPr>
                <w:rFonts w:eastAsia="Times New Roman" w:cstheme="minorHAnsi"/>
                <w:sz w:val="20"/>
                <w:szCs w:val="20"/>
                <w:lang w:eastAsia="cs-CZ"/>
              </w:rPr>
              <w:t xml:space="preserve"> </w:t>
            </w:r>
            <w:r w:rsidRPr="007C03A8">
              <w:rPr>
                <w:rFonts w:eastAsia="Times New Roman" w:cstheme="minorHAnsi"/>
                <w:sz w:val="20"/>
                <w:szCs w:val="20"/>
                <w:lang w:eastAsia="cs-CZ"/>
              </w:rPr>
              <w:t>Stakeholdeři</w:t>
            </w:r>
          </w:p>
        </w:tc>
        <w:tc>
          <w:tcPr>
            <w:tcW w:w="3543" w:type="dxa"/>
            <w:shd w:val="clear" w:color="auto" w:fill="F2F2F2" w:themeFill="background1" w:themeFillShade="F2"/>
            <w:noWrap/>
            <w:vAlign w:val="center"/>
            <w:hideMark/>
          </w:tcPr>
          <w:p w14:paraId="0E8B39AC" w14:textId="77777777" w:rsidR="006E1FCB" w:rsidRPr="007C03A8" w:rsidRDefault="006E1FCB" w:rsidP="000931EA">
            <w:pPr>
              <w:spacing w:before="0"/>
              <w:jc w:val="left"/>
              <w:rPr>
                <w:rFonts w:eastAsia="Times New Roman" w:cstheme="minorHAnsi"/>
                <w:sz w:val="20"/>
                <w:szCs w:val="20"/>
                <w:lang w:eastAsia="cs-CZ"/>
              </w:rPr>
            </w:pPr>
            <w:r w:rsidRPr="007C03A8">
              <w:rPr>
                <w:rFonts w:eastAsia="Times New Roman" w:cstheme="minorHAnsi"/>
                <w:sz w:val="20"/>
                <w:szCs w:val="20"/>
                <w:lang w:eastAsia="cs-CZ"/>
              </w:rPr>
              <w:t>Oblast zájmu</w:t>
            </w:r>
          </w:p>
        </w:tc>
      </w:tr>
      <w:tr w:rsidR="006E1FCB" w:rsidRPr="007C03A8" w14:paraId="04D06EEE" w14:textId="77777777" w:rsidTr="000931EA">
        <w:trPr>
          <w:trHeight w:val="300"/>
        </w:trPr>
        <w:tc>
          <w:tcPr>
            <w:tcW w:w="451" w:type="dxa"/>
            <w:shd w:val="clear" w:color="auto" w:fill="auto"/>
            <w:noWrap/>
            <w:vAlign w:val="center"/>
            <w:hideMark/>
          </w:tcPr>
          <w:p w14:paraId="69F67FFE"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1.</w:t>
            </w:r>
          </w:p>
        </w:tc>
        <w:tc>
          <w:tcPr>
            <w:tcW w:w="5073" w:type="dxa"/>
            <w:shd w:val="clear" w:color="auto" w:fill="auto"/>
            <w:noWrap/>
            <w:vAlign w:val="center"/>
            <w:hideMark/>
          </w:tcPr>
          <w:p w14:paraId="30992BC2" w14:textId="732D5FC3"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Ing. et Ing. Jiří Korec, primátor SMZ (garant, předseda Koordinačního výboru a člen PS "Vzdělá</w:t>
            </w:r>
            <w:r w:rsidR="00757ADA">
              <w:rPr>
                <w:rFonts w:eastAsia="Times New Roman" w:cstheme="minorHAnsi"/>
                <w:color w:val="000000"/>
                <w:sz w:val="20"/>
                <w:szCs w:val="20"/>
                <w:lang w:eastAsia="cs-CZ"/>
              </w:rPr>
              <w:t>vá</w:t>
            </w:r>
            <w:r w:rsidRPr="007C03A8">
              <w:rPr>
                <w:rFonts w:eastAsia="Times New Roman" w:cstheme="minorHAnsi"/>
                <w:color w:val="000000"/>
                <w:sz w:val="20"/>
                <w:szCs w:val="20"/>
                <w:lang w:eastAsia="cs-CZ"/>
              </w:rPr>
              <w:t>ní")</w:t>
            </w:r>
          </w:p>
        </w:tc>
        <w:tc>
          <w:tcPr>
            <w:tcW w:w="3543" w:type="dxa"/>
            <w:shd w:val="clear" w:color="auto" w:fill="auto"/>
            <w:noWrap/>
            <w:vAlign w:val="center"/>
            <w:hideMark/>
          </w:tcPr>
          <w:p w14:paraId="7F308E4F"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Rozvoj města a občanská vybavenost</w:t>
            </w:r>
          </w:p>
        </w:tc>
      </w:tr>
      <w:tr w:rsidR="006E1FCB" w:rsidRPr="007C03A8" w14:paraId="5C3D7FA8" w14:textId="77777777" w:rsidTr="000931EA">
        <w:trPr>
          <w:trHeight w:val="300"/>
        </w:trPr>
        <w:tc>
          <w:tcPr>
            <w:tcW w:w="451" w:type="dxa"/>
            <w:shd w:val="clear" w:color="auto" w:fill="auto"/>
            <w:noWrap/>
            <w:vAlign w:val="center"/>
            <w:hideMark/>
          </w:tcPr>
          <w:p w14:paraId="4B3C483F"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2.</w:t>
            </w:r>
          </w:p>
        </w:tc>
        <w:tc>
          <w:tcPr>
            <w:tcW w:w="5073" w:type="dxa"/>
            <w:shd w:val="clear" w:color="auto" w:fill="auto"/>
            <w:noWrap/>
            <w:vAlign w:val="center"/>
            <w:hideMark/>
          </w:tcPr>
          <w:p w14:paraId="62AC8408"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 xml:space="preserve">Prim. MUDr. Pavel Stodůlka, Ph.D., FEBOS-CR, lékař </w:t>
            </w:r>
          </w:p>
        </w:tc>
        <w:tc>
          <w:tcPr>
            <w:tcW w:w="3543" w:type="dxa"/>
            <w:shd w:val="clear" w:color="auto" w:fill="auto"/>
            <w:noWrap/>
            <w:vAlign w:val="center"/>
            <w:hideMark/>
          </w:tcPr>
          <w:p w14:paraId="0F521D5F" w14:textId="77777777" w:rsidR="006E1FCB" w:rsidRPr="007C03A8" w:rsidRDefault="006E1FCB" w:rsidP="000931EA">
            <w:pPr>
              <w:spacing w:before="0"/>
              <w:jc w:val="left"/>
              <w:rPr>
                <w:rFonts w:eastAsia="Times New Roman" w:cstheme="minorHAnsi"/>
                <w:color w:val="000000"/>
                <w:sz w:val="20"/>
                <w:szCs w:val="20"/>
                <w:highlight w:val="yellow"/>
                <w:lang w:eastAsia="cs-CZ"/>
              </w:rPr>
            </w:pPr>
            <w:r w:rsidRPr="007C03A8">
              <w:rPr>
                <w:rFonts w:eastAsia="Times New Roman" w:cstheme="minorHAnsi"/>
                <w:color w:val="000000"/>
                <w:sz w:val="20"/>
                <w:szCs w:val="20"/>
                <w:lang w:eastAsia="cs-CZ"/>
              </w:rPr>
              <w:t>Sociální a zdravotní služby</w:t>
            </w:r>
          </w:p>
        </w:tc>
      </w:tr>
      <w:tr w:rsidR="006E1FCB" w:rsidRPr="007C03A8" w14:paraId="4E3CC017" w14:textId="77777777" w:rsidTr="000931EA">
        <w:trPr>
          <w:trHeight w:val="300"/>
        </w:trPr>
        <w:tc>
          <w:tcPr>
            <w:tcW w:w="451" w:type="dxa"/>
            <w:shd w:val="clear" w:color="auto" w:fill="auto"/>
            <w:noWrap/>
            <w:vAlign w:val="center"/>
            <w:hideMark/>
          </w:tcPr>
          <w:p w14:paraId="3E572813"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3.</w:t>
            </w:r>
          </w:p>
        </w:tc>
        <w:tc>
          <w:tcPr>
            <w:tcW w:w="5073" w:type="dxa"/>
            <w:shd w:val="clear" w:color="auto" w:fill="auto"/>
            <w:noWrap/>
            <w:vAlign w:val="center"/>
            <w:hideMark/>
          </w:tcPr>
          <w:p w14:paraId="30A924CA"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Petr Čajánek, bývalý český lední hokejista a reprezentant</w:t>
            </w:r>
          </w:p>
        </w:tc>
        <w:tc>
          <w:tcPr>
            <w:tcW w:w="3543" w:type="dxa"/>
            <w:shd w:val="clear" w:color="auto" w:fill="auto"/>
            <w:noWrap/>
            <w:vAlign w:val="center"/>
            <w:hideMark/>
          </w:tcPr>
          <w:p w14:paraId="63F52296"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Kultura, sport a volnočasové aktivity</w:t>
            </w:r>
          </w:p>
        </w:tc>
      </w:tr>
      <w:tr w:rsidR="006E1FCB" w:rsidRPr="007C03A8" w14:paraId="7A0A378B" w14:textId="77777777" w:rsidTr="000931EA">
        <w:trPr>
          <w:trHeight w:val="300"/>
        </w:trPr>
        <w:tc>
          <w:tcPr>
            <w:tcW w:w="451" w:type="dxa"/>
            <w:shd w:val="clear" w:color="auto" w:fill="auto"/>
            <w:noWrap/>
            <w:vAlign w:val="center"/>
            <w:hideMark/>
          </w:tcPr>
          <w:p w14:paraId="0BA205E7"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4.</w:t>
            </w:r>
          </w:p>
        </w:tc>
        <w:tc>
          <w:tcPr>
            <w:tcW w:w="5073" w:type="dxa"/>
            <w:shd w:val="clear" w:color="auto" w:fill="auto"/>
            <w:noWrap/>
            <w:vAlign w:val="center"/>
            <w:hideMark/>
          </w:tcPr>
          <w:p w14:paraId="61C936B3"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Ing. Jiřina Gaťáková, ředitelka regionálního pracoviště Správa CHKO Bílé Karpaty, AOPK (členka PS "Kvalita života")</w:t>
            </w:r>
          </w:p>
        </w:tc>
        <w:tc>
          <w:tcPr>
            <w:tcW w:w="3543" w:type="dxa"/>
            <w:shd w:val="clear" w:color="auto" w:fill="auto"/>
            <w:noWrap/>
            <w:vAlign w:val="center"/>
            <w:hideMark/>
          </w:tcPr>
          <w:p w14:paraId="7F444B50"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 xml:space="preserve">Životní prostředí </w:t>
            </w:r>
          </w:p>
        </w:tc>
      </w:tr>
      <w:tr w:rsidR="006E1FCB" w:rsidRPr="007C03A8" w14:paraId="382327BB" w14:textId="77777777" w:rsidTr="000931EA">
        <w:trPr>
          <w:trHeight w:val="300"/>
        </w:trPr>
        <w:tc>
          <w:tcPr>
            <w:tcW w:w="451" w:type="dxa"/>
            <w:shd w:val="clear" w:color="auto" w:fill="auto"/>
            <w:noWrap/>
            <w:vAlign w:val="center"/>
            <w:hideMark/>
          </w:tcPr>
          <w:p w14:paraId="7501B685"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5.</w:t>
            </w:r>
          </w:p>
        </w:tc>
        <w:tc>
          <w:tcPr>
            <w:tcW w:w="5073" w:type="dxa"/>
            <w:shd w:val="clear" w:color="auto" w:fill="auto"/>
            <w:noWrap/>
            <w:vAlign w:val="center"/>
            <w:hideMark/>
          </w:tcPr>
          <w:p w14:paraId="5DC4033A" w14:textId="2EBFB18E"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Prof. Ing. Vladimír Sedlařík, Ph.D., rektor UTB (člen Koordinačního výboru, PS "Vzdělá</w:t>
            </w:r>
            <w:r w:rsidR="00757ADA">
              <w:rPr>
                <w:rFonts w:eastAsia="Times New Roman" w:cstheme="minorHAnsi"/>
                <w:color w:val="000000"/>
                <w:sz w:val="20"/>
                <w:szCs w:val="20"/>
                <w:lang w:eastAsia="cs-CZ"/>
              </w:rPr>
              <w:t>vá</w:t>
            </w:r>
            <w:r w:rsidRPr="007C03A8">
              <w:rPr>
                <w:rFonts w:eastAsia="Times New Roman" w:cstheme="minorHAnsi"/>
                <w:color w:val="000000"/>
                <w:sz w:val="20"/>
                <w:szCs w:val="20"/>
                <w:lang w:eastAsia="cs-CZ"/>
              </w:rPr>
              <w:t>ní" a PS "Vizionářská")</w:t>
            </w:r>
          </w:p>
        </w:tc>
        <w:tc>
          <w:tcPr>
            <w:tcW w:w="3543" w:type="dxa"/>
            <w:shd w:val="clear" w:color="auto" w:fill="auto"/>
            <w:noWrap/>
            <w:vAlign w:val="center"/>
            <w:hideMark/>
          </w:tcPr>
          <w:p w14:paraId="43BCAC1A" w14:textId="0B0B55DA"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Vzdělá</w:t>
            </w:r>
            <w:r w:rsidR="00757ADA">
              <w:rPr>
                <w:rFonts w:eastAsia="Times New Roman" w:cstheme="minorHAnsi"/>
                <w:color w:val="000000"/>
                <w:sz w:val="20"/>
                <w:szCs w:val="20"/>
                <w:lang w:eastAsia="cs-CZ"/>
              </w:rPr>
              <w:t>vá</w:t>
            </w:r>
            <w:r w:rsidRPr="007C03A8">
              <w:rPr>
                <w:rFonts w:eastAsia="Times New Roman" w:cstheme="minorHAnsi"/>
                <w:color w:val="000000"/>
                <w:sz w:val="20"/>
                <w:szCs w:val="20"/>
                <w:lang w:eastAsia="cs-CZ"/>
              </w:rPr>
              <w:t>ní</w:t>
            </w:r>
          </w:p>
        </w:tc>
      </w:tr>
      <w:tr w:rsidR="006E1FCB" w:rsidRPr="007C03A8" w14:paraId="459680FD" w14:textId="77777777" w:rsidTr="000931EA">
        <w:trPr>
          <w:trHeight w:val="300"/>
        </w:trPr>
        <w:tc>
          <w:tcPr>
            <w:tcW w:w="451" w:type="dxa"/>
            <w:shd w:val="clear" w:color="auto" w:fill="auto"/>
            <w:noWrap/>
            <w:vAlign w:val="center"/>
            <w:hideMark/>
          </w:tcPr>
          <w:p w14:paraId="37B7F2F2"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6.</w:t>
            </w:r>
          </w:p>
        </w:tc>
        <w:tc>
          <w:tcPr>
            <w:tcW w:w="5073" w:type="dxa"/>
            <w:shd w:val="clear" w:color="auto" w:fill="auto"/>
            <w:noWrap/>
            <w:vAlign w:val="center"/>
            <w:hideMark/>
          </w:tcPr>
          <w:p w14:paraId="26F008BB"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plk. Mgr. Bc. Tomáš Indra, ředitel Územního odboru Zlín PČR  – KŘP Zlínského kraje (člen Bezpečnostní rady ORP Zlín)</w:t>
            </w:r>
          </w:p>
        </w:tc>
        <w:tc>
          <w:tcPr>
            <w:tcW w:w="3543" w:type="dxa"/>
            <w:shd w:val="clear" w:color="auto" w:fill="auto"/>
            <w:noWrap/>
            <w:vAlign w:val="center"/>
            <w:hideMark/>
          </w:tcPr>
          <w:p w14:paraId="618BA71A"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Bezpečnost</w:t>
            </w:r>
          </w:p>
        </w:tc>
      </w:tr>
      <w:tr w:rsidR="006E1FCB" w:rsidRPr="007C03A8" w14:paraId="12E35C1B" w14:textId="77777777" w:rsidTr="000931EA">
        <w:trPr>
          <w:trHeight w:val="300"/>
        </w:trPr>
        <w:tc>
          <w:tcPr>
            <w:tcW w:w="451" w:type="dxa"/>
            <w:shd w:val="clear" w:color="auto" w:fill="auto"/>
            <w:noWrap/>
            <w:vAlign w:val="center"/>
            <w:hideMark/>
          </w:tcPr>
          <w:p w14:paraId="39DF3D02"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 xml:space="preserve">7. </w:t>
            </w:r>
          </w:p>
        </w:tc>
        <w:tc>
          <w:tcPr>
            <w:tcW w:w="5073" w:type="dxa"/>
            <w:shd w:val="clear" w:color="auto" w:fill="auto"/>
            <w:noWrap/>
            <w:vAlign w:val="center"/>
            <w:hideMark/>
          </w:tcPr>
          <w:p w14:paraId="44343A10"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Ing. Josef Kocháň, výkonný ředitel DSZO, s. r. o. (člen Koordinačního výboru, předseda PS "Doprava a technická infrastruktura")</w:t>
            </w:r>
          </w:p>
        </w:tc>
        <w:tc>
          <w:tcPr>
            <w:tcW w:w="3543" w:type="dxa"/>
            <w:shd w:val="clear" w:color="auto" w:fill="auto"/>
            <w:noWrap/>
            <w:vAlign w:val="center"/>
            <w:hideMark/>
          </w:tcPr>
          <w:p w14:paraId="22A44477"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Doprava a technická infrastruktura</w:t>
            </w:r>
          </w:p>
        </w:tc>
      </w:tr>
      <w:tr w:rsidR="006E1FCB" w:rsidRPr="007C03A8" w14:paraId="3BA63114" w14:textId="77777777" w:rsidTr="000931EA">
        <w:trPr>
          <w:trHeight w:val="300"/>
        </w:trPr>
        <w:tc>
          <w:tcPr>
            <w:tcW w:w="451" w:type="dxa"/>
            <w:shd w:val="clear" w:color="auto" w:fill="auto"/>
            <w:noWrap/>
            <w:vAlign w:val="center"/>
            <w:hideMark/>
          </w:tcPr>
          <w:p w14:paraId="3751273D"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8.</w:t>
            </w:r>
          </w:p>
        </w:tc>
        <w:tc>
          <w:tcPr>
            <w:tcW w:w="5073" w:type="dxa"/>
            <w:shd w:val="clear" w:color="auto" w:fill="auto"/>
            <w:noWrap/>
            <w:vAlign w:val="center"/>
            <w:hideMark/>
          </w:tcPr>
          <w:p w14:paraId="3F5B282D"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Prof. Ing. arch. Eva Jiřičná, CBE, architektka</w:t>
            </w:r>
          </w:p>
        </w:tc>
        <w:tc>
          <w:tcPr>
            <w:tcW w:w="3543" w:type="dxa"/>
            <w:shd w:val="clear" w:color="auto" w:fill="auto"/>
            <w:noWrap/>
            <w:vAlign w:val="center"/>
            <w:hideMark/>
          </w:tcPr>
          <w:p w14:paraId="27211819"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Územní plánování a urbanismus</w:t>
            </w:r>
          </w:p>
        </w:tc>
      </w:tr>
      <w:tr w:rsidR="006E1FCB" w:rsidRPr="007C03A8" w14:paraId="7025C78B" w14:textId="77777777" w:rsidTr="000931EA">
        <w:trPr>
          <w:trHeight w:val="300"/>
        </w:trPr>
        <w:tc>
          <w:tcPr>
            <w:tcW w:w="451" w:type="dxa"/>
            <w:shd w:val="clear" w:color="auto" w:fill="auto"/>
            <w:noWrap/>
            <w:vAlign w:val="center"/>
            <w:hideMark/>
          </w:tcPr>
          <w:p w14:paraId="71B5965E"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9.</w:t>
            </w:r>
          </w:p>
        </w:tc>
        <w:tc>
          <w:tcPr>
            <w:tcW w:w="5073" w:type="dxa"/>
            <w:shd w:val="clear" w:color="auto" w:fill="auto"/>
            <w:noWrap/>
            <w:vAlign w:val="center"/>
            <w:hideMark/>
          </w:tcPr>
          <w:p w14:paraId="5E5686A3"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Bc. Iveta Táborská, ředitelka Krajské hospodářské komory Zlínského kraje (člen Koordinačního výboru a PS "Vstřícné město")</w:t>
            </w:r>
          </w:p>
        </w:tc>
        <w:tc>
          <w:tcPr>
            <w:tcW w:w="3543" w:type="dxa"/>
            <w:shd w:val="clear" w:color="auto" w:fill="auto"/>
            <w:noWrap/>
            <w:vAlign w:val="center"/>
            <w:hideMark/>
          </w:tcPr>
          <w:p w14:paraId="38780A09"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Podnikatelské prostředí</w:t>
            </w:r>
          </w:p>
        </w:tc>
      </w:tr>
      <w:tr w:rsidR="006E1FCB" w:rsidRPr="007C03A8" w14:paraId="78069287" w14:textId="77777777" w:rsidTr="000931EA">
        <w:trPr>
          <w:trHeight w:val="300"/>
        </w:trPr>
        <w:tc>
          <w:tcPr>
            <w:tcW w:w="451" w:type="dxa"/>
            <w:shd w:val="clear" w:color="auto" w:fill="auto"/>
            <w:noWrap/>
            <w:vAlign w:val="center"/>
            <w:hideMark/>
          </w:tcPr>
          <w:p w14:paraId="74651C40"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10.</w:t>
            </w:r>
          </w:p>
        </w:tc>
        <w:tc>
          <w:tcPr>
            <w:tcW w:w="5073" w:type="dxa"/>
            <w:shd w:val="clear" w:color="auto" w:fill="auto"/>
            <w:noWrap/>
            <w:vAlign w:val="center"/>
            <w:hideMark/>
          </w:tcPr>
          <w:p w14:paraId="65F9ADB9"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Ing. Vladimír Kutý, bývalý ředitel Krajského úřadu Zlínského kraje, Správa a údržby silnic Zlín</w:t>
            </w:r>
          </w:p>
        </w:tc>
        <w:tc>
          <w:tcPr>
            <w:tcW w:w="3543" w:type="dxa"/>
            <w:shd w:val="clear" w:color="auto" w:fill="auto"/>
            <w:noWrap/>
            <w:vAlign w:val="center"/>
            <w:hideMark/>
          </w:tcPr>
          <w:p w14:paraId="368A7065"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Doprava a technická infrastruktura</w:t>
            </w:r>
          </w:p>
        </w:tc>
      </w:tr>
      <w:tr w:rsidR="006E1FCB" w:rsidRPr="007C03A8" w14:paraId="54745E94" w14:textId="77777777" w:rsidTr="000931EA">
        <w:trPr>
          <w:trHeight w:val="300"/>
        </w:trPr>
        <w:tc>
          <w:tcPr>
            <w:tcW w:w="451" w:type="dxa"/>
            <w:shd w:val="clear" w:color="auto" w:fill="auto"/>
            <w:noWrap/>
            <w:vAlign w:val="center"/>
          </w:tcPr>
          <w:p w14:paraId="2F303BF5"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11.</w:t>
            </w:r>
          </w:p>
        </w:tc>
        <w:tc>
          <w:tcPr>
            <w:tcW w:w="5073" w:type="dxa"/>
            <w:shd w:val="clear" w:color="auto" w:fill="auto"/>
            <w:noWrap/>
            <w:vAlign w:val="center"/>
          </w:tcPr>
          <w:p w14:paraId="6878E3AB"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 xml:space="preserve">Ing. Tomáš Goláň, senátor za obvod Zlín </w:t>
            </w:r>
          </w:p>
        </w:tc>
        <w:tc>
          <w:tcPr>
            <w:tcW w:w="3543" w:type="dxa"/>
            <w:shd w:val="clear" w:color="auto" w:fill="auto"/>
            <w:noWrap/>
            <w:vAlign w:val="center"/>
          </w:tcPr>
          <w:p w14:paraId="00C303C5"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Rozvoj města a občanská vybavenost</w:t>
            </w:r>
          </w:p>
        </w:tc>
      </w:tr>
      <w:tr w:rsidR="006E1FCB" w:rsidRPr="007C03A8" w14:paraId="5C569389" w14:textId="77777777" w:rsidTr="000931EA">
        <w:trPr>
          <w:trHeight w:val="300"/>
        </w:trPr>
        <w:tc>
          <w:tcPr>
            <w:tcW w:w="451" w:type="dxa"/>
            <w:shd w:val="clear" w:color="auto" w:fill="auto"/>
            <w:noWrap/>
            <w:vAlign w:val="center"/>
            <w:hideMark/>
          </w:tcPr>
          <w:p w14:paraId="0F5D2E95"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12.</w:t>
            </w:r>
          </w:p>
        </w:tc>
        <w:tc>
          <w:tcPr>
            <w:tcW w:w="5073" w:type="dxa"/>
            <w:shd w:val="clear" w:color="auto" w:fill="auto"/>
            <w:noWrap/>
            <w:vAlign w:val="center"/>
            <w:hideMark/>
          </w:tcPr>
          <w:p w14:paraId="04D0CEC4"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Michal Žáček, AGENTURA VELRYBA s.r.o.</w:t>
            </w:r>
          </w:p>
        </w:tc>
        <w:tc>
          <w:tcPr>
            <w:tcW w:w="3543" w:type="dxa"/>
            <w:shd w:val="clear" w:color="auto" w:fill="auto"/>
            <w:noWrap/>
            <w:vAlign w:val="center"/>
            <w:hideMark/>
          </w:tcPr>
          <w:p w14:paraId="5998F75D"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Kultura, sport a volnočasové aktivity</w:t>
            </w:r>
          </w:p>
        </w:tc>
      </w:tr>
      <w:tr w:rsidR="006E1FCB" w:rsidRPr="007C03A8" w14:paraId="5D5A6E20" w14:textId="77777777" w:rsidTr="000931EA">
        <w:trPr>
          <w:trHeight w:val="300"/>
        </w:trPr>
        <w:tc>
          <w:tcPr>
            <w:tcW w:w="451" w:type="dxa"/>
            <w:shd w:val="clear" w:color="auto" w:fill="auto"/>
            <w:noWrap/>
            <w:vAlign w:val="center"/>
          </w:tcPr>
          <w:p w14:paraId="0066C611"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13.</w:t>
            </w:r>
          </w:p>
        </w:tc>
        <w:tc>
          <w:tcPr>
            <w:tcW w:w="5073" w:type="dxa"/>
            <w:shd w:val="clear" w:color="auto" w:fill="auto"/>
            <w:noWrap/>
            <w:vAlign w:val="center"/>
          </w:tcPr>
          <w:p w14:paraId="01C91EBF"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Ing. Jana Ježíková, Institut Krajské hospodářské komory, Senior expert krajské platformy Zlínského kraje</w:t>
            </w:r>
          </w:p>
        </w:tc>
        <w:tc>
          <w:tcPr>
            <w:tcW w:w="3543" w:type="dxa"/>
            <w:shd w:val="clear" w:color="auto" w:fill="auto"/>
            <w:noWrap/>
            <w:vAlign w:val="center"/>
          </w:tcPr>
          <w:p w14:paraId="1BAD2B14" w14:textId="77777777" w:rsidR="006E1FCB" w:rsidRPr="007C03A8" w:rsidRDefault="006E1FCB" w:rsidP="000931EA">
            <w:pPr>
              <w:spacing w:before="0"/>
              <w:jc w:val="left"/>
              <w:rPr>
                <w:rFonts w:eastAsia="Times New Roman" w:cstheme="minorHAnsi"/>
                <w:color w:val="000000"/>
                <w:sz w:val="20"/>
                <w:szCs w:val="20"/>
                <w:lang w:eastAsia="cs-CZ"/>
              </w:rPr>
            </w:pPr>
            <w:r w:rsidRPr="007C03A8">
              <w:rPr>
                <w:rFonts w:eastAsia="Times New Roman" w:cstheme="minorHAnsi"/>
                <w:color w:val="000000"/>
                <w:sz w:val="20"/>
                <w:szCs w:val="20"/>
                <w:lang w:eastAsia="cs-CZ"/>
              </w:rPr>
              <w:t>Regionální trh práce</w:t>
            </w:r>
          </w:p>
        </w:tc>
      </w:tr>
    </w:tbl>
    <w:p w14:paraId="713FB3B3" w14:textId="7B5D49C0" w:rsidR="0057266A" w:rsidRDefault="0057266A" w:rsidP="006E1FCB"/>
    <w:p w14:paraId="44E357EA" w14:textId="77777777" w:rsidR="0057266A" w:rsidRDefault="0057266A">
      <w:pPr>
        <w:spacing w:before="0" w:after="160" w:line="259" w:lineRule="auto"/>
        <w:jc w:val="left"/>
      </w:pPr>
      <w:r>
        <w:br w:type="page"/>
      </w:r>
    </w:p>
    <w:p w14:paraId="33DDDC1B" w14:textId="77777777" w:rsidR="006E1FCB" w:rsidRPr="009E07FD" w:rsidRDefault="006E1FCB" w:rsidP="00BC6914">
      <w:pPr>
        <w:pStyle w:val="Nadpis3"/>
      </w:pPr>
      <w:bookmarkStart w:id="850" w:name="_Toc50471486"/>
      <w:bookmarkStart w:id="851" w:name="_Toc77074642"/>
      <w:r>
        <w:t>Výsledky průzkumu</w:t>
      </w:r>
      <w:bookmarkEnd w:id="850"/>
      <w:bookmarkEnd w:id="851"/>
    </w:p>
    <w:p w14:paraId="6151B7DF" w14:textId="77777777" w:rsidR="006E1FCB" w:rsidRDefault="006E1FCB" w:rsidP="00BC6914">
      <w:pPr>
        <w:pStyle w:val="Nadpis4"/>
      </w:pPr>
      <w:bookmarkStart w:id="852" w:name="_Toc50471487"/>
      <w:r>
        <w:t>Asociace</w:t>
      </w:r>
      <w:bookmarkEnd w:id="852"/>
    </w:p>
    <w:p w14:paraId="1707CB78" w14:textId="77777777" w:rsidR="006E1FCB" w:rsidRDefault="006E1FCB" w:rsidP="006E1FCB">
      <w:r>
        <w:t>Na úvod rozhovoru byla zvolena technika volných asociací, tzn., co se osobnostem vybaví, když se řekne Zlín. Důležitá je první asociace (první na mysli), která je zásadní pro tvorbu image města. O</w:t>
      </w:r>
      <w:r w:rsidRPr="009B48A5">
        <w:t xml:space="preserve">sobnosti mají </w:t>
      </w:r>
      <w:r>
        <w:t>n</w:t>
      </w:r>
      <w:r w:rsidRPr="009B48A5">
        <w:t xml:space="preserve">ejčastěji </w:t>
      </w:r>
      <w:r>
        <w:t xml:space="preserve">asociaci </w:t>
      </w:r>
      <w:r w:rsidRPr="009B48A5">
        <w:t xml:space="preserve">Zlína </w:t>
      </w:r>
      <w:r>
        <w:t xml:space="preserve">spojenou </w:t>
      </w:r>
      <w:r w:rsidRPr="009B48A5">
        <w:t>s</w:t>
      </w:r>
      <w:r>
        <w:t xml:space="preserve"> Tomášem </w:t>
      </w:r>
      <w:r w:rsidRPr="009B48A5">
        <w:t>B</w:t>
      </w:r>
      <w:r>
        <w:t>a</w:t>
      </w:r>
      <w:r w:rsidRPr="009B48A5">
        <w:t>ťou</w:t>
      </w:r>
      <w:r>
        <w:t>, který se výrazně podepsal na funkcionalistické struktuře Zlína, a další asociaci Zlína jako zelené město (parky, zajímavé biotopy), také</w:t>
      </w:r>
      <w:r w:rsidRPr="009B48A5">
        <w:t xml:space="preserve"> jako bezpečné město</w:t>
      </w:r>
      <w:r>
        <w:t xml:space="preserve"> a moderní město s potenciálem rozvoje. Převažují zcela pozitivní asociace, které vypovídají, že lidé ve Zlíně žijí rádi, případně rádi do něj jezdí.</w:t>
      </w:r>
    </w:p>
    <w:p w14:paraId="4DD63E17" w14:textId="77777777" w:rsidR="006E1FCB" w:rsidRPr="00115359" w:rsidRDefault="006E1FCB" w:rsidP="006E1FCB">
      <w:pPr>
        <w:rPr>
          <w:b/>
        </w:rPr>
      </w:pPr>
      <w:r>
        <w:rPr>
          <w:b/>
        </w:rPr>
        <w:t xml:space="preserve">O1: </w:t>
      </w:r>
      <w:r w:rsidRPr="00115359">
        <w:rPr>
          <w:b/>
        </w:rPr>
        <w:t>Jaké slovní spojení se Vám vybaví, když se řekne Zlín?</w:t>
      </w:r>
    </w:p>
    <w:p w14:paraId="2F18DA4A" w14:textId="77777777" w:rsidR="006E1FCB" w:rsidRPr="00235EDE" w:rsidRDefault="006E1FCB" w:rsidP="00A55F7D">
      <w:pPr>
        <w:pStyle w:val="Odstavecseseznamem"/>
        <w:numPr>
          <w:ilvl w:val="0"/>
          <w:numId w:val="78"/>
        </w:numPr>
        <w:rPr>
          <w:rFonts w:cstheme="minorHAnsi"/>
          <w:b/>
        </w:rPr>
      </w:pPr>
      <w:r>
        <w:rPr>
          <w:rFonts w:cstheme="minorHAnsi"/>
          <w:b/>
        </w:rPr>
        <w:t xml:space="preserve">Odkaz Tomáše </w:t>
      </w:r>
      <w:r w:rsidRPr="00235EDE">
        <w:rPr>
          <w:rFonts w:cstheme="minorHAnsi"/>
          <w:b/>
        </w:rPr>
        <w:t>B</w:t>
      </w:r>
      <w:r>
        <w:rPr>
          <w:rFonts w:cstheme="minorHAnsi"/>
          <w:b/>
        </w:rPr>
        <w:t>ati</w:t>
      </w:r>
      <w:r w:rsidRPr="00235EDE">
        <w:rPr>
          <w:rFonts w:cstheme="minorHAnsi"/>
          <w:b/>
        </w:rPr>
        <w:t xml:space="preserve"> a zel</w:t>
      </w:r>
      <w:r>
        <w:rPr>
          <w:rFonts w:cstheme="minorHAnsi"/>
          <w:b/>
        </w:rPr>
        <w:t>eň, bezpečné město</w:t>
      </w:r>
    </w:p>
    <w:p w14:paraId="677B0BDE" w14:textId="77777777" w:rsidR="006E1FCB" w:rsidRPr="00115359" w:rsidRDefault="006E1FCB" w:rsidP="00A55F7D">
      <w:pPr>
        <w:pStyle w:val="Odstavecseseznamem"/>
        <w:numPr>
          <w:ilvl w:val="1"/>
          <w:numId w:val="78"/>
        </w:numPr>
        <w:rPr>
          <w:rFonts w:cstheme="minorHAnsi"/>
          <w:i/>
        </w:rPr>
      </w:pPr>
      <w:r w:rsidRPr="00115359">
        <w:rPr>
          <w:rFonts w:cstheme="minorHAnsi"/>
          <w:i/>
        </w:rPr>
        <w:t>Vzpomenu si na jednoho chytrého muže, který za</w:t>
      </w:r>
      <w:r w:rsidRPr="00115359">
        <w:rPr>
          <w:rFonts w:eastAsia="MS Gothic" w:cstheme="minorHAnsi"/>
          <w:i/>
        </w:rPr>
        <w:t>č</w:t>
      </w:r>
      <w:r w:rsidRPr="00115359">
        <w:rPr>
          <w:rFonts w:cstheme="minorHAnsi"/>
          <w:i/>
        </w:rPr>
        <w:t>al pracovat z ni</w:t>
      </w:r>
      <w:r w:rsidRPr="00115359">
        <w:rPr>
          <w:rFonts w:eastAsia="MS Gothic" w:cstheme="minorHAnsi"/>
          <w:i/>
        </w:rPr>
        <w:t>č</w:t>
      </w:r>
      <w:r w:rsidRPr="00115359">
        <w:rPr>
          <w:rFonts w:cstheme="minorHAnsi"/>
          <w:i/>
        </w:rPr>
        <w:t xml:space="preserve">eho a postupně změnil </w:t>
      </w:r>
      <w:r w:rsidRPr="00115359">
        <w:rPr>
          <w:rFonts w:eastAsia="Calibri" w:cstheme="minorHAnsi"/>
          <w:i/>
        </w:rPr>
        <w:t>ž</w:t>
      </w:r>
      <w:r w:rsidRPr="00115359">
        <w:rPr>
          <w:rFonts w:cstheme="minorHAnsi"/>
          <w:i/>
        </w:rPr>
        <w:t>ivoty mnoha lidí i místo</w:t>
      </w:r>
      <w:r>
        <w:rPr>
          <w:rFonts w:cstheme="minorHAnsi"/>
          <w:i/>
        </w:rPr>
        <w:t>,</w:t>
      </w:r>
      <w:r w:rsidRPr="00115359">
        <w:rPr>
          <w:rFonts w:cstheme="minorHAnsi"/>
          <w:i/>
        </w:rPr>
        <w:t xml:space="preserve"> kde žili a pracovali</w:t>
      </w:r>
      <w:r>
        <w:rPr>
          <w:rFonts w:cstheme="minorHAnsi"/>
          <w:i/>
        </w:rPr>
        <w:t>,</w:t>
      </w:r>
      <w:r w:rsidRPr="00115359">
        <w:rPr>
          <w:rFonts w:cstheme="minorHAnsi"/>
          <w:i/>
        </w:rPr>
        <w:t xml:space="preserve"> a vychovával generaci vzd</w:t>
      </w:r>
      <w:r w:rsidRPr="00115359">
        <w:rPr>
          <w:rFonts w:eastAsia="MS Gothic" w:cstheme="minorHAnsi"/>
          <w:i/>
        </w:rPr>
        <w:t>ě</w:t>
      </w:r>
      <w:r w:rsidRPr="00115359">
        <w:rPr>
          <w:rFonts w:cstheme="minorHAnsi"/>
          <w:i/>
        </w:rPr>
        <w:t>laných lidí. Procestovala jsem celý sv</w:t>
      </w:r>
      <w:r w:rsidRPr="00115359">
        <w:rPr>
          <w:rFonts w:eastAsia="MS Gothic" w:cstheme="minorHAnsi"/>
          <w:i/>
        </w:rPr>
        <w:t>ě</w:t>
      </w:r>
      <w:r w:rsidRPr="00115359">
        <w:rPr>
          <w:rFonts w:cstheme="minorHAnsi"/>
          <w:i/>
        </w:rPr>
        <w:t>t a v</w:t>
      </w:r>
      <w:r w:rsidRPr="00115359">
        <w:rPr>
          <w:rFonts w:eastAsia="Calibri" w:cstheme="minorHAnsi"/>
          <w:i/>
        </w:rPr>
        <w:t>š</w:t>
      </w:r>
      <w:r w:rsidRPr="00115359">
        <w:rPr>
          <w:rFonts w:cstheme="minorHAnsi"/>
          <w:i/>
        </w:rPr>
        <w:t>ude najdu někoho, kdo o Ba</w:t>
      </w:r>
      <w:r w:rsidRPr="00115359">
        <w:rPr>
          <w:rFonts w:eastAsia="MS Gothic" w:cstheme="minorHAnsi"/>
          <w:i/>
        </w:rPr>
        <w:t>ť</w:t>
      </w:r>
      <w:r w:rsidRPr="00115359">
        <w:rPr>
          <w:rFonts w:cstheme="minorHAnsi"/>
          <w:i/>
        </w:rPr>
        <w:t>ovi ví a má s ním n</w:t>
      </w:r>
      <w:r w:rsidRPr="00115359">
        <w:rPr>
          <w:rFonts w:eastAsia="MS Gothic" w:cstheme="minorHAnsi"/>
          <w:i/>
        </w:rPr>
        <w:t>ě</w:t>
      </w:r>
      <w:r w:rsidRPr="00115359">
        <w:rPr>
          <w:rFonts w:cstheme="minorHAnsi"/>
          <w:i/>
        </w:rPr>
        <w:t>co spole</w:t>
      </w:r>
      <w:r w:rsidRPr="00115359">
        <w:rPr>
          <w:rFonts w:eastAsia="MS Gothic" w:cstheme="minorHAnsi"/>
          <w:i/>
        </w:rPr>
        <w:t>č</w:t>
      </w:r>
      <w:r w:rsidRPr="00115359">
        <w:rPr>
          <w:rFonts w:cstheme="minorHAnsi"/>
          <w:i/>
        </w:rPr>
        <w:t>ného. Pracoval se schopnými lidmi, kte</w:t>
      </w:r>
      <w:r w:rsidRPr="00115359">
        <w:rPr>
          <w:rFonts w:eastAsia="MS Gothic" w:cstheme="minorHAnsi"/>
          <w:i/>
        </w:rPr>
        <w:t>ř</w:t>
      </w:r>
      <w:r w:rsidRPr="00115359">
        <w:rPr>
          <w:rFonts w:cstheme="minorHAnsi"/>
          <w:i/>
        </w:rPr>
        <w:t>í ho pochopili a podpo</w:t>
      </w:r>
      <w:r w:rsidRPr="00115359">
        <w:rPr>
          <w:rFonts w:eastAsia="MS Gothic" w:cstheme="minorHAnsi"/>
          <w:i/>
        </w:rPr>
        <w:t>ř</w:t>
      </w:r>
      <w:r w:rsidRPr="00115359">
        <w:rPr>
          <w:rFonts w:cstheme="minorHAnsi"/>
          <w:i/>
        </w:rPr>
        <w:t>ili. M</w:t>
      </w:r>
      <w:r w:rsidRPr="00115359">
        <w:rPr>
          <w:rFonts w:eastAsia="MS Gothic" w:cstheme="minorHAnsi"/>
          <w:i/>
        </w:rPr>
        <w:t>ě</w:t>
      </w:r>
      <w:r w:rsidRPr="00115359">
        <w:rPr>
          <w:rFonts w:cstheme="minorHAnsi"/>
          <w:i/>
        </w:rPr>
        <w:t>l radost ze spole</w:t>
      </w:r>
      <w:r w:rsidRPr="00115359">
        <w:rPr>
          <w:rFonts w:eastAsia="MS Gothic" w:cstheme="minorHAnsi"/>
          <w:i/>
        </w:rPr>
        <w:t>č</w:t>
      </w:r>
      <w:r w:rsidRPr="00115359">
        <w:rPr>
          <w:rFonts w:cstheme="minorHAnsi"/>
          <w:i/>
        </w:rPr>
        <w:t>né práce s lidmi, kte</w:t>
      </w:r>
      <w:r w:rsidRPr="00115359">
        <w:rPr>
          <w:rFonts w:eastAsia="MS Gothic" w:cstheme="minorHAnsi"/>
          <w:i/>
        </w:rPr>
        <w:t>ř</w:t>
      </w:r>
      <w:r w:rsidRPr="00115359">
        <w:rPr>
          <w:rFonts w:cstheme="minorHAnsi"/>
          <w:i/>
        </w:rPr>
        <w:t>í se nechali nadchnout. Zlín je ú</w:t>
      </w:r>
      <w:r w:rsidRPr="00115359">
        <w:rPr>
          <w:rFonts w:eastAsia="Calibri" w:cstheme="minorHAnsi"/>
          <w:i/>
        </w:rPr>
        <w:t>ž</w:t>
      </w:r>
      <w:r w:rsidRPr="00115359">
        <w:rPr>
          <w:rFonts w:cstheme="minorHAnsi"/>
          <w:i/>
        </w:rPr>
        <w:t>asné a nedocen</w:t>
      </w:r>
      <w:r w:rsidRPr="00115359">
        <w:rPr>
          <w:rFonts w:eastAsia="MS Gothic" w:cstheme="minorHAnsi"/>
          <w:i/>
        </w:rPr>
        <w:t>ě</w:t>
      </w:r>
      <w:r w:rsidRPr="00115359">
        <w:rPr>
          <w:rFonts w:cstheme="minorHAnsi"/>
          <w:i/>
        </w:rPr>
        <w:t>né m</w:t>
      </w:r>
      <w:r w:rsidRPr="00115359">
        <w:rPr>
          <w:rFonts w:eastAsia="MS Gothic" w:cstheme="minorHAnsi"/>
          <w:i/>
        </w:rPr>
        <w:t>ě</w:t>
      </w:r>
      <w:r w:rsidRPr="00115359">
        <w:rPr>
          <w:rFonts w:cstheme="minorHAnsi"/>
          <w:i/>
        </w:rPr>
        <w:t>sto. Vyrostlo z rukou schopných neoby</w:t>
      </w:r>
      <w:r w:rsidRPr="00115359">
        <w:rPr>
          <w:rFonts w:eastAsia="MS Gothic" w:cstheme="minorHAnsi"/>
          <w:i/>
        </w:rPr>
        <w:t>č</w:t>
      </w:r>
      <w:r w:rsidRPr="00115359">
        <w:rPr>
          <w:rFonts w:cstheme="minorHAnsi"/>
          <w:i/>
        </w:rPr>
        <w:t>ejn</w:t>
      </w:r>
      <w:r w:rsidRPr="00115359">
        <w:rPr>
          <w:rFonts w:eastAsia="MS Gothic" w:cstheme="minorHAnsi"/>
          <w:i/>
        </w:rPr>
        <w:t>ě</w:t>
      </w:r>
      <w:r w:rsidRPr="00115359">
        <w:rPr>
          <w:rFonts w:cstheme="minorHAnsi"/>
          <w:i/>
        </w:rPr>
        <w:t xml:space="preserve"> pracovitých lidí, kterých si vá</w:t>
      </w:r>
      <w:r w:rsidRPr="00115359">
        <w:rPr>
          <w:rFonts w:eastAsia="Calibri" w:cstheme="minorHAnsi"/>
          <w:i/>
        </w:rPr>
        <w:t>ž</w:t>
      </w:r>
      <w:r w:rsidRPr="00115359">
        <w:rPr>
          <w:rFonts w:cstheme="minorHAnsi"/>
          <w:i/>
        </w:rPr>
        <w:t>ím. (Jiřičná)</w:t>
      </w:r>
    </w:p>
    <w:p w14:paraId="76832C52" w14:textId="77777777" w:rsidR="006E1FCB" w:rsidRPr="00115359" w:rsidRDefault="006E1FCB" w:rsidP="00A55F7D">
      <w:pPr>
        <w:pStyle w:val="Odstavecseseznamem"/>
        <w:numPr>
          <w:ilvl w:val="1"/>
          <w:numId w:val="78"/>
        </w:numPr>
        <w:rPr>
          <w:rFonts w:cstheme="minorHAnsi"/>
          <w:i/>
        </w:rPr>
      </w:pPr>
      <w:r w:rsidRPr="00115359">
        <w:rPr>
          <w:rFonts w:cstheme="minorHAnsi"/>
          <w:i/>
        </w:rPr>
        <w:t>Zelené město, město příležitostí, bezpečné město. (</w:t>
      </w:r>
      <w:r>
        <w:rPr>
          <w:rFonts w:cstheme="minorHAnsi"/>
          <w:i/>
        </w:rPr>
        <w:t>Sedlařík</w:t>
      </w:r>
      <w:r w:rsidRPr="00115359">
        <w:rPr>
          <w:rFonts w:cstheme="minorHAnsi"/>
          <w:i/>
        </w:rPr>
        <w:t>)</w:t>
      </w:r>
    </w:p>
    <w:p w14:paraId="21483C7A" w14:textId="77777777" w:rsidR="006E1FCB" w:rsidRPr="00115359" w:rsidRDefault="006E1FCB" w:rsidP="00A55F7D">
      <w:pPr>
        <w:pStyle w:val="Odstavecseseznamem"/>
        <w:numPr>
          <w:ilvl w:val="1"/>
          <w:numId w:val="78"/>
        </w:numPr>
        <w:rPr>
          <w:rFonts w:cstheme="minorHAnsi"/>
          <w:i/>
        </w:rPr>
      </w:pPr>
      <w:r w:rsidRPr="00115359">
        <w:rPr>
          <w:rFonts w:cstheme="minorHAnsi"/>
          <w:i/>
        </w:rPr>
        <w:t>Bezpečné město. Baťa a jeho odkaz. (Indra)</w:t>
      </w:r>
    </w:p>
    <w:p w14:paraId="6B44E35E" w14:textId="77777777" w:rsidR="006E1FCB" w:rsidRPr="00115359" w:rsidRDefault="006E1FCB" w:rsidP="00A55F7D">
      <w:pPr>
        <w:pStyle w:val="Odstavecseseznamem"/>
        <w:numPr>
          <w:ilvl w:val="1"/>
          <w:numId w:val="78"/>
        </w:numPr>
        <w:rPr>
          <w:rFonts w:cstheme="minorHAnsi"/>
          <w:i/>
        </w:rPr>
      </w:pPr>
      <w:r w:rsidRPr="00115359">
        <w:rPr>
          <w:rFonts w:cstheme="minorHAnsi"/>
          <w:i/>
        </w:rPr>
        <w:t>Baťa, zelené město, červené cihly, nadčasovost uspořádání města v architektuře, ideální velikost. Provázanost architektury s okolní krásnou krajinou. Lidé sedící v parku na trávě.</w:t>
      </w:r>
      <w:r>
        <w:rPr>
          <w:rFonts w:cstheme="minorHAnsi"/>
          <w:i/>
        </w:rPr>
        <w:t xml:space="preserve"> </w:t>
      </w:r>
      <w:r w:rsidRPr="00115359">
        <w:rPr>
          <w:rFonts w:cstheme="minorHAnsi"/>
          <w:i/>
        </w:rPr>
        <w:t>(Žáček)</w:t>
      </w:r>
    </w:p>
    <w:p w14:paraId="4CD37F30" w14:textId="77777777" w:rsidR="006E1FCB" w:rsidRPr="00115359" w:rsidRDefault="006E1FCB" w:rsidP="00A55F7D">
      <w:pPr>
        <w:pStyle w:val="Odstavecseseznamem"/>
        <w:numPr>
          <w:ilvl w:val="1"/>
          <w:numId w:val="78"/>
        </w:numPr>
        <w:rPr>
          <w:rFonts w:cstheme="minorHAnsi"/>
          <w:i/>
        </w:rPr>
      </w:pPr>
      <w:r w:rsidRPr="00115359">
        <w:rPr>
          <w:rFonts w:cstheme="minorHAnsi"/>
          <w:i/>
        </w:rPr>
        <w:t>Zelené město, kde je UTB se spoustou fakult</w:t>
      </w:r>
      <w:r>
        <w:rPr>
          <w:rFonts w:cstheme="minorHAnsi"/>
          <w:i/>
        </w:rPr>
        <w:t>;</w:t>
      </w:r>
      <w:r w:rsidRPr="00115359">
        <w:rPr>
          <w:rFonts w:cstheme="minorHAnsi"/>
          <w:i/>
        </w:rPr>
        <w:t xml:space="preserve"> za vzděláním přijíždí do Zlína spousta mladých lidí. (Ježíková)</w:t>
      </w:r>
    </w:p>
    <w:p w14:paraId="68C33FF5" w14:textId="77777777" w:rsidR="006E1FCB" w:rsidRPr="00115359" w:rsidRDefault="006E1FCB" w:rsidP="00A55F7D">
      <w:pPr>
        <w:pStyle w:val="Odstavecseseznamem"/>
        <w:numPr>
          <w:ilvl w:val="1"/>
          <w:numId w:val="78"/>
        </w:numPr>
        <w:rPr>
          <w:rFonts w:cstheme="minorHAnsi"/>
          <w:i/>
        </w:rPr>
      </w:pPr>
      <w:r w:rsidRPr="00115359">
        <w:rPr>
          <w:rFonts w:cstheme="minorHAnsi"/>
          <w:i/>
        </w:rPr>
        <w:t>Město zeleně s odkazem T. Bati.</w:t>
      </w:r>
      <w:r>
        <w:rPr>
          <w:rFonts w:cstheme="minorHAnsi"/>
          <w:i/>
        </w:rPr>
        <w:t xml:space="preserve"> </w:t>
      </w:r>
      <w:r w:rsidRPr="00115359">
        <w:rPr>
          <w:rFonts w:cstheme="minorHAnsi"/>
          <w:i/>
        </w:rPr>
        <w:t>(</w:t>
      </w:r>
      <w:r>
        <w:rPr>
          <w:rFonts w:cstheme="minorHAnsi"/>
          <w:i/>
        </w:rPr>
        <w:t>Korec</w:t>
      </w:r>
      <w:r w:rsidRPr="00115359">
        <w:rPr>
          <w:rFonts w:cstheme="minorHAnsi"/>
          <w:i/>
        </w:rPr>
        <w:t>)</w:t>
      </w:r>
    </w:p>
    <w:p w14:paraId="25798CF2" w14:textId="77777777" w:rsidR="006E1FCB" w:rsidRPr="00115359" w:rsidRDefault="006E1FCB" w:rsidP="00A55F7D">
      <w:pPr>
        <w:pStyle w:val="Odstavecseseznamem"/>
        <w:numPr>
          <w:ilvl w:val="1"/>
          <w:numId w:val="78"/>
        </w:numPr>
        <w:rPr>
          <w:rFonts w:cstheme="minorHAnsi"/>
          <w:i/>
        </w:rPr>
      </w:pPr>
      <w:r w:rsidRPr="00115359">
        <w:rPr>
          <w:rFonts w:cstheme="minorHAnsi"/>
          <w:i/>
        </w:rPr>
        <w:t>Zelené město v údolí. (Čajánek)</w:t>
      </w:r>
    </w:p>
    <w:p w14:paraId="4320EBD1" w14:textId="77777777" w:rsidR="006E1FCB" w:rsidRDefault="006E1FCB" w:rsidP="00A55F7D">
      <w:pPr>
        <w:pStyle w:val="Odstavecseseznamem"/>
        <w:numPr>
          <w:ilvl w:val="1"/>
          <w:numId w:val="78"/>
        </w:numPr>
        <w:rPr>
          <w:rFonts w:cstheme="minorHAnsi"/>
          <w:i/>
        </w:rPr>
      </w:pPr>
      <w:r w:rsidRPr="00115359">
        <w:rPr>
          <w:rFonts w:cstheme="minorHAnsi"/>
          <w:i/>
        </w:rPr>
        <w:t>Nejprve se mi vybaví moje pracoviště. Dále moderní nové město, které nemá klasické historické centrum. Město</w:t>
      </w:r>
      <w:r>
        <w:rPr>
          <w:rFonts w:cstheme="minorHAnsi"/>
          <w:i/>
        </w:rPr>
        <w:t>,</w:t>
      </w:r>
      <w:r w:rsidRPr="00115359">
        <w:rPr>
          <w:rFonts w:cstheme="minorHAnsi"/>
          <w:i/>
        </w:rPr>
        <w:t xml:space="preserve"> kde je hodně zeleně. Baťovský areál.</w:t>
      </w:r>
      <w:r>
        <w:rPr>
          <w:rFonts w:cstheme="minorHAnsi"/>
          <w:i/>
        </w:rPr>
        <w:t xml:space="preserve"> </w:t>
      </w:r>
      <w:r w:rsidRPr="00115359">
        <w:rPr>
          <w:rFonts w:cstheme="minorHAnsi"/>
          <w:i/>
        </w:rPr>
        <w:t>(Gaťáková)</w:t>
      </w:r>
    </w:p>
    <w:p w14:paraId="61038AD7" w14:textId="77777777" w:rsidR="006E1FCB" w:rsidRPr="00115359" w:rsidRDefault="006E1FCB" w:rsidP="00A55F7D">
      <w:pPr>
        <w:pStyle w:val="Odstavecseseznamem"/>
        <w:numPr>
          <w:ilvl w:val="1"/>
          <w:numId w:val="78"/>
        </w:numPr>
        <w:rPr>
          <w:rFonts w:cstheme="minorHAnsi"/>
          <w:i/>
        </w:rPr>
      </w:pPr>
      <w:r w:rsidRPr="00115359">
        <w:rPr>
          <w:rFonts w:cstheme="minorHAnsi"/>
          <w:i/>
        </w:rPr>
        <w:t>Všichni vzpomínají na historický Baťův odkaz. Vše zde skloubil dohromady. Založil vše, co bylo potřeba. Zlín je Baťovo dítě. Kdyby nebyl Baťa</w:t>
      </w:r>
      <w:r>
        <w:rPr>
          <w:rFonts w:cstheme="minorHAnsi"/>
          <w:i/>
        </w:rPr>
        <w:t>,</w:t>
      </w:r>
      <w:r w:rsidRPr="00115359">
        <w:rPr>
          <w:rFonts w:cstheme="minorHAnsi"/>
          <w:i/>
        </w:rPr>
        <w:t xml:space="preserve"> nebyl by Zlín. Ve Zlíně však nejsou cesty, nikam se nejede.</w:t>
      </w:r>
      <w:r>
        <w:rPr>
          <w:rFonts w:cstheme="minorHAnsi"/>
          <w:i/>
        </w:rPr>
        <w:t xml:space="preserve"> </w:t>
      </w:r>
      <w:r w:rsidRPr="00115359">
        <w:rPr>
          <w:rFonts w:cstheme="minorHAnsi"/>
          <w:i/>
        </w:rPr>
        <w:t>(Goláň)</w:t>
      </w:r>
    </w:p>
    <w:p w14:paraId="5FF232BE" w14:textId="77777777" w:rsidR="006E1FCB" w:rsidRDefault="006E1FCB" w:rsidP="00A55F7D">
      <w:pPr>
        <w:pStyle w:val="Odstavecseseznamem"/>
        <w:numPr>
          <w:ilvl w:val="1"/>
          <w:numId w:val="78"/>
        </w:numPr>
        <w:rPr>
          <w:rFonts w:cstheme="minorHAnsi"/>
          <w:i/>
        </w:rPr>
      </w:pPr>
      <w:r>
        <w:rPr>
          <w:rFonts w:cstheme="minorHAnsi"/>
          <w:i/>
        </w:rPr>
        <w:t xml:space="preserve">Za </w:t>
      </w:r>
      <w:r w:rsidRPr="00115359">
        <w:rPr>
          <w:rFonts w:cstheme="minorHAnsi"/>
          <w:i/>
        </w:rPr>
        <w:t>prv</w:t>
      </w:r>
      <w:r>
        <w:rPr>
          <w:rFonts w:cstheme="minorHAnsi"/>
          <w:i/>
        </w:rPr>
        <w:t>é</w:t>
      </w:r>
      <w:r w:rsidRPr="00115359">
        <w:rPr>
          <w:rFonts w:cstheme="minorHAnsi"/>
          <w:i/>
        </w:rPr>
        <w:t xml:space="preserve"> DOMOV. Je to můj domov už 30 let. Město poskytující kvalitní prostředí pro rodinný život. Není to megapole s ucpanou dopravou, ale místo, kde je možno dosahovat rovnováhu mezi podnikáním a rodinným životem. Za druhé BAŤOVSKÁ TRADICE, kdy pracovitost a podnikavost obyvatel přináší úspěch a prospěch celému městu. (Stodůlka)</w:t>
      </w:r>
    </w:p>
    <w:p w14:paraId="69919EA7" w14:textId="77777777" w:rsidR="006E1FCB" w:rsidRPr="00115359" w:rsidRDefault="006E1FCB" w:rsidP="00A55F7D">
      <w:pPr>
        <w:pStyle w:val="Odstavecseseznamem"/>
        <w:numPr>
          <w:ilvl w:val="1"/>
          <w:numId w:val="78"/>
        </w:numPr>
        <w:rPr>
          <w:rFonts w:cstheme="minorHAnsi"/>
          <w:i/>
        </w:rPr>
      </w:pPr>
      <w:r w:rsidRPr="00115359">
        <w:rPr>
          <w:rFonts w:cstheme="minorHAnsi"/>
          <w:i/>
        </w:rPr>
        <w:t>Vybaví se mi 1. republika a osobnost Tomáše Bati. Vzpomínám také, že za bývalého režimu se zde mluvilo o údolí otroků.</w:t>
      </w:r>
      <w:r>
        <w:rPr>
          <w:rFonts w:cstheme="minorHAnsi"/>
          <w:i/>
        </w:rPr>
        <w:t xml:space="preserve"> </w:t>
      </w:r>
      <w:r w:rsidRPr="00115359">
        <w:rPr>
          <w:rFonts w:cstheme="minorHAnsi"/>
          <w:i/>
        </w:rPr>
        <w:t>(Kocháň)</w:t>
      </w:r>
    </w:p>
    <w:p w14:paraId="128061A2" w14:textId="77777777" w:rsidR="006E1FCB" w:rsidRPr="00235EDE" w:rsidRDefault="006E1FCB" w:rsidP="00A55F7D">
      <w:pPr>
        <w:pStyle w:val="Odstavecseseznamem"/>
        <w:numPr>
          <w:ilvl w:val="0"/>
          <w:numId w:val="78"/>
        </w:numPr>
        <w:rPr>
          <w:rFonts w:cstheme="minorHAnsi"/>
          <w:b/>
        </w:rPr>
      </w:pPr>
      <w:r w:rsidRPr="00235EDE">
        <w:rPr>
          <w:rFonts w:cstheme="minorHAnsi"/>
          <w:b/>
        </w:rPr>
        <w:t>Moderní město s potenciálem rozvoje</w:t>
      </w:r>
    </w:p>
    <w:p w14:paraId="622E4C15" w14:textId="77777777" w:rsidR="006E1FCB" w:rsidRPr="00115359" w:rsidRDefault="006E1FCB" w:rsidP="00A55F7D">
      <w:pPr>
        <w:pStyle w:val="Odstavecseseznamem"/>
        <w:numPr>
          <w:ilvl w:val="1"/>
          <w:numId w:val="78"/>
        </w:numPr>
        <w:rPr>
          <w:rFonts w:cstheme="minorHAnsi"/>
          <w:i/>
        </w:rPr>
      </w:pPr>
      <w:r w:rsidRPr="00115359">
        <w:rPr>
          <w:rFonts w:cstheme="minorHAnsi"/>
          <w:i/>
        </w:rPr>
        <w:t>Moderní město s upřímnou snahou rozvíjet se. Je patrné odhodlání řešit problematické oblasti, ve kterých neuspěla předchozí zastupitelstva. (Kutý)</w:t>
      </w:r>
    </w:p>
    <w:p w14:paraId="25299F5E" w14:textId="77777777" w:rsidR="006E1FCB" w:rsidRPr="00115359" w:rsidRDefault="006E1FCB" w:rsidP="00A55F7D">
      <w:pPr>
        <w:pStyle w:val="Odstavecseseznamem"/>
        <w:numPr>
          <w:ilvl w:val="1"/>
          <w:numId w:val="78"/>
        </w:numPr>
        <w:rPr>
          <w:rFonts w:cstheme="minorHAnsi"/>
          <w:i/>
        </w:rPr>
      </w:pPr>
      <w:r w:rsidRPr="00115359">
        <w:rPr>
          <w:rFonts w:cstheme="minorHAnsi"/>
          <w:i/>
        </w:rPr>
        <w:t>Město s velkým potenciálem, které má svého ducha a je výjimečné. Dále se mi vybaví centrum. (Táborská)</w:t>
      </w:r>
    </w:p>
    <w:p w14:paraId="781CB867" w14:textId="77777777" w:rsidR="006E1FCB" w:rsidRDefault="006E1FCB" w:rsidP="00BC6914">
      <w:pPr>
        <w:pStyle w:val="Nadpis4"/>
      </w:pPr>
      <w:bookmarkStart w:id="853" w:name="_Toc50471488"/>
      <w:r>
        <w:t>Identita</w:t>
      </w:r>
      <w:bookmarkEnd w:id="853"/>
    </w:p>
    <w:p w14:paraId="00DB4F7E" w14:textId="77777777" w:rsidR="006E1FCB" w:rsidRPr="00D93B7F" w:rsidRDefault="006E1FCB" w:rsidP="006E1FCB">
      <w:r>
        <w:t xml:space="preserve">Skupinová územní </w:t>
      </w:r>
      <w:r w:rsidRPr="00B95EA5">
        <w:t xml:space="preserve">identita (z lat. </w:t>
      </w:r>
      <w:r w:rsidRPr="00B95EA5">
        <w:rPr>
          <w:i/>
        </w:rPr>
        <w:t>identicus</w:t>
      </w:r>
      <w:r w:rsidRPr="00B95EA5">
        <w:t xml:space="preserve"> = totožný, stejný) </w:t>
      </w:r>
      <w:r>
        <w:t xml:space="preserve">se </w:t>
      </w:r>
      <w:r w:rsidRPr="00961CE6">
        <w:t>zvyšuje s hustotou sousedských sítí, s</w:t>
      </w:r>
      <w:r>
        <w:t> </w:t>
      </w:r>
      <w:r w:rsidRPr="00961CE6">
        <w:t xml:space="preserve">intenzitou a funkčním bohatstvím </w:t>
      </w:r>
      <w:r>
        <w:t xml:space="preserve">lidských </w:t>
      </w:r>
      <w:r w:rsidRPr="00961CE6">
        <w:t>interakcí. Intenzita, funkční spektrum a význam sídla pro jeho členy a pro širší společnost jsou historicky proměnlivé a liší se také v závislosti na velikosti a</w:t>
      </w:r>
      <w:r>
        <w:t> </w:t>
      </w:r>
      <w:r w:rsidRPr="00961CE6">
        <w:t>funkcích sídla (větší význam mívá sídlo v malých venkovských obcích, tvořících vlastně jedinou sousedskou skupinu), na délce trvání sousedství (rozdílné funkce má ve starších obytných čtvrtích měst</w:t>
      </w:r>
      <w:r>
        <w:t> </w:t>
      </w:r>
      <w:r w:rsidRPr="00961CE6">
        <w:t>a</w:t>
      </w:r>
      <w:r>
        <w:t> </w:t>
      </w:r>
      <w:r w:rsidRPr="00961CE6">
        <w:t>v</w:t>
      </w:r>
      <w:r>
        <w:t> </w:t>
      </w:r>
      <w:r w:rsidRPr="00961CE6">
        <w:t>nových „sídlištích“), na charakteru zástavby (rodinné domky – „činžáky“) a sociální skladbě obyvatel (např. zvl</w:t>
      </w:r>
      <w:r>
        <w:t>áštní</w:t>
      </w:r>
      <w:r w:rsidRPr="00961CE6">
        <w:t xml:space="preserve"> význam mělo sousedství v tradičních dělnických čtvrtích</w:t>
      </w:r>
      <w:r w:rsidRPr="00D95E6D">
        <w:t>). (Kotačka,</w:t>
      </w:r>
      <w:r>
        <w:t xml:space="preserve"> </w:t>
      </w:r>
      <w:r w:rsidRPr="00D95E6D">
        <w:t>1996)</w:t>
      </w:r>
    </w:p>
    <w:p w14:paraId="788542DA" w14:textId="0C23D3E1" w:rsidR="006E1FCB" w:rsidRDefault="006E1FCB" w:rsidP="006E1FCB">
      <w:r>
        <w:t>Mezi další faktory, které zesilují územní identitu, lze považovat dlouhodobost pobytu, existenci historicky významného objektu, kulturní památky, lidové (nebo i moderní) architektury, svázanost místa se slavnými rodáky, existenci tradic, harmonické životní prostředí a fungující infrastrukturu, generační zakořeněnost (fyzicky projevena např. rodovými jmény na hřbitově, názvy ulic, pamětními deskami), jedinečnost prostředí a krajiny (Patočka, Heřmanová, 2008, str. 122). Jeden z projevu územní identity je hrdost na město, v</w:t>
      </w:r>
      <w:r w:rsidR="00F94486">
        <w:t>e</w:t>
      </w:r>
      <w:r>
        <w:t> kterém žiji.</w:t>
      </w:r>
    </w:p>
    <w:p w14:paraId="2B629A3C" w14:textId="77777777" w:rsidR="006E1FCB" w:rsidRPr="00115359" w:rsidRDefault="006E1FCB" w:rsidP="006E1FCB"/>
    <w:p w14:paraId="00C3CA8A" w14:textId="77777777" w:rsidR="006E1FCB" w:rsidRDefault="006E1FCB" w:rsidP="006E1FCB">
      <w:pPr>
        <w:rPr>
          <w:b/>
        </w:rPr>
      </w:pPr>
      <w:r>
        <w:rPr>
          <w:b/>
        </w:rPr>
        <w:t>O2:</w:t>
      </w:r>
      <w:r w:rsidRPr="00343CC2">
        <w:rPr>
          <w:b/>
        </w:rPr>
        <w:t xml:space="preserve"> </w:t>
      </w:r>
      <w:r w:rsidRPr="00154D62">
        <w:rPr>
          <w:b/>
        </w:rPr>
        <w:t>Na co jste ve Zlíně nejvíce hrdí? (např. společenské a kulturní akce, možnosti trávení volného času, krásná příroda v okolí, kvalitní služby, podpora podnikání apod.)</w:t>
      </w:r>
    </w:p>
    <w:p w14:paraId="723DC255" w14:textId="55841D27" w:rsidR="006E1FCB" w:rsidRPr="001074AE" w:rsidRDefault="006E1FCB" w:rsidP="00A55F7D">
      <w:pPr>
        <w:pStyle w:val="Odstavecseseznamem"/>
        <w:numPr>
          <w:ilvl w:val="0"/>
          <w:numId w:val="79"/>
        </w:numPr>
        <w:rPr>
          <w:b/>
        </w:rPr>
      </w:pPr>
      <w:r w:rsidRPr="001074AE">
        <w:rPr>
          <w:rFonts w:cstheme="minorHAnsi"/>
          <w:b/>
        </w:rPr>
        <w:t>Osobnosti</w:t>
      </w:r>
      <w:r w:rsidRPr="001074AE">
        <w:rPr>
          <w:b/>
        </w:rPr>
        <w:t xml:space="preserve"> žijící ve Zlíně</w:t>
      </w:r>
    </w:p>
    <w:p w14:paraId="46552B8B" w14:textId="77777777" w:rsidR="006E1FCB" w:rsidRPr="001074AE" w:rsidRDefault="006E1FCB" w:rsidP="00A55F7D">
      <w:pPr>
        <w:pStyle w:val="Odstavecseseznamem"/>
        <w:numPr>
          <w:ilvl w:val="1"/>
          <w:numId w:val="79"/>
        </w:numPr>
        <w:rPr>
          <w:rFonts w:cstheme="minorHAnsi"/>
          <w:i/>
        </w:rPr>
      </w:pPr>
      <w:r w:rsidRPr="001074AE">
        <w:rPr>
          <w:rFonts w:cstheme="minorHAnsi"/>
          <w:i/>
        </w:rPr>
        <w:t>Jsem hrdý na to, že jsem Zlíňák. (Kocháň)</w:t>
      </w:r>
    </w:p>
    <w:p w14:paraId="4C7451D5" w14:textId="77777777" w:rsidR="006E1FCB" w:rsidRPr="001074AE" w:rsidRDefault="006E1FCB" w:rsidP="00A55F7D">
      <w:pPr>
        <w:pStyle w:val="Odstavecseseznamem"/>
        <w:numPr>
          <w:ilvl w:val="1"/>
          <w:numId w:val="79"/>
        </w:numPr>
        <w:rPr>
          <w:rFonts w:cstheme="minorHAnsi"/>
          <w:i/>
        </w:rPr>
      </w:pPr>
      <w:r w:rsidRPr="001074AE">
        <w:rPr>
          <w:rFonts w:cstheme="minorHAnsi"/>
          <w:i/>
        </w:rPr>
        <w:t>Lidi, město pracujících lidí, odkaz Tomáše Bati. (</w:t>
      </w:r>
      <w:r>
        <w:rPr>
          <w:rFonts w:cstheme="minorHAnsi"/>
          <w:i/>
        </w:rPr>
        <w:t>Sedlařík</w:t>
      </w:r>
      <w:r w:rsidRPr="001074AE">
        <w:rPr>
          <w:rFonts w:cstheme="minorHAnsi"/>
          <w:i/>
        </w:rPr>
        <w:t>)</w:t>
      </w:r>
    </w:p>
    <w:p w14:paraId="25742628" w14:textId="77777777" w:rsidR="006E1FCB" w:rsidRPr="001074AE" w:rsidRDefault="006E1FCB" w:rsidP="00A55F7D">
      <w:pPr>
        <w:pStyle w:val="Odstavecseseznamem"/>
        <w:numPr>
          <w:ilvl w:val="1"/>
          <w:numId w:val="79"/>
        </w:numPr>
        <w:rPr>
          <w:rFonts w:cstheme="minorHAnsi"/>
          <w:i/>
        </w:rPr>
      </w:pPr>
      <w:r w:rsidRPr="001074AE">
        <w:rPr>
          <w:rFonts w:cstheme="minorHAnsi"/>
          <w:i/>
        </w:rPr>
        <w:t>Zlín má krásné zelené centrum a krásnou architekturu, krásné parky. Dětský filmový festival je velkou rodinnou atrakcí, kde všichni vyrážejí společně. Jsou zde zajímavé aktivity pro děti, hry v parcích. Je příjemné cítit, že jsou zde lidé spokojeni. Je zde vysoká návštěvnost, město žije a lidé jsou rádi. Prorodinná politika města je z mého pohledu důležitá. Jsou zde také jiné aktivity, ale dětský filmový festival považuji za nejúspěšnější. (Goláň)</w:t>
      </w:r>
    </w:p>
    <w:p w14:paraId="73E894D6" w14:textId="19EB41DE" w:rsidR="006E1FCB" w:rsidRPr="001074AE" w:rsidRDefault="00B85615" w:rsidP="00A55F7D">
      <w:pPr>
        <w:pStyle w:val="Odstavecseseznamem"/>
        <w:numPr>
          <w:ilvl w:val="1"/>
          <w:numId w:val="79"/>
        </w:numPr>
        <w:rPr>
          <w:rFonts w:cstheme="minorHAnsi"/>
          <w:i/>
        </w:rPr>
      </w:pPr>
      <w:r>
        <w:rPr>
          <w:rFonts w:cstheme="minorHAnsi"/>
          <w:i/>
        </w:rPr>
        <w:t>Unikátní b</w:t>
      </w:r>
      <w:r w:rsidR="006E1FCB" w:rsidRPr="001074AE">
        <w:rPr>
          <w:rFonts w:cstheme="minorHAnsi"/>
          <w:i/>
        </w:rPr>
        <w:t>aťovská architektura. Podnikaví lidé a firmy přinášející inovace. Tradice oční chirurgie. Krásné zelené okolní kopce výborné pro horská kola. (Stodůlka)</w:t>
      </w:r>
    </w:p>
    <w:p w14:paraId="3CA2BA72" w14:textId="50EE162B" w:rsidR="006E1FCB" w:rsidRPr="001074AE" w:rsidRDefault="006E1FCB" w:rsidP="00A55F7D">
      <w:pPr>
        <w:pStyle w:val="Odstavecseseznamem"/>
        <w:numPr>
          <w:ilvl w:val="1"/>
          <w:numId w:val="79"/>
        </w:numPr>
        <w:rPr>
          <w:rFonts w:cstheme="minorHAnsi"/>
          <w:i/>
        </w:rPr>
      </w:pPr>
      <w:r w:rsidRPr="001074AE">
        <w:rPr>
          <w:rFonts w:cstheme="minorHAnsi"/>
          <w:i/>
        </w:rPr>
        <w:t>Životní prostředí, krásné okolí města, všude je blízko do lesa. Bezpečné město. Ve městě je dostatek aktivit pro kulturní a společenské vyžití</w:t>
      </w:r>
      <w:r>
        <w:rPr>
          <w:rFonts w:cstheme="minorHAnsi"/>
          <w:i/>
        </w:rPr>
        <w:t>,</w:t>
      </w:r>
      <w:r w:rsidRPr="001074AE">
        <w:rPr>
          <w:rFonts w:cstheme="minorHAnsi"/>
          <w:i/>
        </w:rPr>
        <w:t xml:space="preserve"> např. divadlo, hokej, fotbal.</w:t>
      </w:r>
      <w:r w:rsidR="00F94486">
        <w:rPr>
          <w:rFonts w:cstheme="minorHAnsi"/>
          <w:i/>
        </w:rPr>
        <w:t xml:space="preserve"> </w:t>
      </w:r>
      <w:r w:rsidRPr="001074AE">
        <w:rPr>
          <w:rFonts w:cstheme="minorHAnsi"/>
          <w:i/>
        </w:rPr>
        <w:t>(</w:t>
      </w:r>
      <w:r>
        <w:rPr>
          <w:rFonts w:cstheme="minorHAnsi"/>
          <w:i/>
        </w:rPr>
        <w:t>Korec</w:t>
      </w:r>
      <w:r w:rsidRPr="001074AE">
        <w:rPr>
          <w:rFonts w:cstheme="minorHAnsi"/>
          <w:i/>
        </w:rPr>
        <w:t>)</w:t>
      </w:r>
    </w:p>
    <w:p w14:paraId="49D7860C" w14:textId="77777777" w:rsidR="006E1FCB" w:rsidRPr="001074AE" w:rsidRDefault="006E1FCB" w:rsidP="00A55F7D">
      <w:pPr>
        <w:pStyle w:val="Odstavecseseznamem"/>
        <w:numPr>
          <w:ilvl w:val="1"/>
          <w:numId w:val="79"/>
        </w:numPr>
        <w:rPr>
          <w:rFonts w:cstheme="minorHAnsi"/>
          <w:i/>
        </w:rPr>
      </w:pPr>
      <w:r w:rsidRPr="001074AE">
        <w:rPr>
          <w:rFonts w:cstheme="minorHAnsi"/>
          <w:i/>
        </w:rPr>
        <w:t>Krásná příroda, Baťův odkaz jako místního rodáka i jeho rodiny. Zlínské divadlo. Kongresové centrum</w:t>
      </w:r>
      <w:r>
        <w:rPr>
          <w:rFonts w:cstheme="minorHAnsi"/>
          <w:i/>
        </w:rPr>
        <w:t>, n</w:t>
      </w:r>
      <w:r w:rsidRPr="001074AE">
        <w:rPr>
          <w:rFonts w:cstheme="minorHAnsi"/>
          <w:i/>
        </w:rPr>
        <w:t>astavení logistiky města. Kulturní aktivity. Gahurův prospekt patří k urbanisticky nejcennějším místům ve funkcionalistickém městě Zlíně</w:t>
      </w:r>
      <w:r w:rsidRPr="001074AE">
        <w:rPr>
          <w:i/>
        </w:rPr>
        <w:t xml:space="preserve">. </w:t>
      </w:r>
      <w:r w:rsidRPr="001074AE">
        <w:rPr>
          <w:rFonts w:cstheme="minorHAnsi"/>
          <w:i/>
        </w:rPr>
        <w:t>Je zde různorodá příroda. Byl zde krásný projekt „Tvoříme Zlín“, líbila se mi iniciace lidí k zapojení. (Žáček)</w:t>
      </w:r>
    </w:p>
    <w:p w14:paraId="6C3E6402" w14:textId="77777777" w:rsidR="006E1FCB" w:rsidRPr="001074AE" w:rsidRDefault="006E1FCB" w:rsidP="00A55F7D">
      <w:pPr>
        <w:pStyle w:val="Odstavecseseznamem"/>
        <w:numPr>
          <w:ilvl w:val="1"/>
          <w:numId w:val="79"/>
        </w:numPr>
        <w:rPr>
          <w:rFonts w:cstheme="minorHAnsi"/>
          <w:i/>
        </w:rPr>
      </w:pPr>
      <w:r w:rsidRPr="001074AE">
        <w:rPr>
          <w:rFonts w:cstheme="minorHAnsi"/>
          <w:i/>
        </w:rPr>
        <w:t>Je zde hodně kulturních aktivit, filmový festival. Zlín je zaměřen na školní a předškolní vzdělávání. Krásná architektura paní Jiřičné. (Ježíková)</w:t>
      </w:r>
    </w:p>
    <w:p w14:paraId="308F7EEA" w14:textId="77777777" w:rsidR="006E1FCB" w:rsidRDefault="006E1FCB" w:rsidP="00A55F7D">
      <w:pPr>
        <w:pStyle w:val="Odstavecseseznamem"/>
        <w:numPr>
          <w:ilvl w:val="1"/>
          <w:numId w:val="79"/>
        </w:numPr>
        <w:rPr>
          <w:rStyle w:val="st"/>
          <w:i/>
        </w:rPr>
      </w:pPr>
      <w:r>
        <w:rPr>
          <w:rFonts w:cstheme="minorHAnsi"/>
          <w:i/>
        </w:rPr>
        <w:t>ZOO</w:t>
      </w:r>
      <w:r w:rsidRPr="001074AE">
        <w:rPr>
          <w:rFonts w:cstheme="minorHAnsi"/>
          <w:i/>
        </w:rPr>
        <w:t xml:space="preserve">, </w:t>
      </w:r>
      <w:r>
        <w:rPr>
          <w:rFonts w:cstheme="minorHAnsi"/>
          <w:i/>
        </w:rPr>
        <w:t>f</w:t>
      </w:r>
      <w:r w:rsidRPr="001074AE">
        <w:rPr>
          <w:rFonts w:cstheme="minorHAnsi"/>
          <w:i/>
        </w:rPr>
        <w:t xml:space="preserve">ilmový festival, </w:t>
      </w:r>
      <w:r w:rsidRPr="001074AE">
        <w:rPr>
          <w:rStyle w:val="Zdraznn"/>
        </w:rPr>
        <w:t>Barum</w:t>
      </w:r>
      <w:r w:rsidRPr="001074AE">
        <w:rPr>
          <w:rStyle w:val="st"/>
          <w:i/>
        </w:rPr>
        <w:t xml:space="preserve"> Czech </w:t>
      </w:r>
      <w:r w:rsidRPr="001074AE">
        <w:rPr>
          <w:rStyle w:val="Zdraznn"/>
        </w:rPr>
        <w:t>Rally</w:t>
      </w:r>
      <w:r w:rsidRPr="001074AE">
        <w:rPr>
          <w:rStyle w:val="st"/>
          <w:i/>
        </w:rPr>
        <w:t xml:space="preserve"> Zlín. Krásná zeleň ve městě. Člověk </w:t>
      </w:r>
      <w:r>
        <w:rPr>
          <w:rStyle w:val="st"/>
          <w:i/>
        </w:rPr>
        <w:t>s</w:t>
      </w:r>
      <w:r w:rsidRPr="001074AE">
        <w:rPr>
          <w:rStyle w:val="st"/>
          <w:i/>
        </w:rPr>
        <w:t>e rychle</w:t>
      </w:r>
      <w:r>
        <w:rPr>
          <w:rStyle w:val="st"/>
          <w:i/>
        </w:rPr>
        <w:t xml:space="preserve"> dostane</w:t>
      </w:r>
      <w:r w:rsidRPr="001074AE">
        <w:rPr>
          <w:rStyle w:val="st"/>
          <w:i/>
        </w:rPr>
        <w:t xml:space="preserve"> všude</w:t>
      </w:r>
      <w:r>
        <w:rPr>
          <w:rStyle w:val="st"/>
          <w:i/>
        </w:rPr>
        <w:t xml:space="preserve"> tam,</w:t>
      </w:r>
      <w:r w:rsidRPr="001074AE">
        <w:rPr>
          <w:rStyle w:val="st"/>
          <w:i/>
        </w:rPr>
        <w:t xml:space="preserve"> k</w:t>
      </w:r>
      <w:r>
        <w:rPr>
          <w:rStyle w:val="st"/>
          <w:i/>
        </w:rPr>
        <w:t>am</w:t>
      </w:r>
      <w:r w:rsidRPr="001074AE">
        <w:rPr>
          <w:rStyle w:val="st"/>
          <w:i/>
        </w:rPr>
        <w:t xml:space="preserve"> potřebuje. (Čajánek)</w:t>
      </w:r>
    </w:p>
    <w:p w14:paraId="0C0496ED" w14:textId="77777777" w:rsidR="006E1FCB" w:rsidRPr="001074AE" w:rsidRDefault="006E1FCB" w:rsidP="00A55F7D">
      <w:pPr>
        <w:pStyle w:val="Odstavecseseznamem"/>
        <w:numPr>
          <w:ilvl w:val="0"/>
          <w:numId w:val="79"/>
        </w:numPr>
        <w:rPr>
          <w:rStyle w:val="st"/>
          <w:b/>
        </w:rPr>
      </w:pPr>
      <w:r w:rsidRPr="001074AE">
        <w:rPr>
          <w:rFonts w:cstheme="minorHAnsi"/>
          <w:b/>
        </w:rPr>
        <w:t>Osobnosti pracující ve Zlíně nebo v jeho okolí</w:t>
      </w:r>
    </w:p>
    <w:p w14:paraId="271EB341" w14:textId="77777777" w:rsidR="006E1FCB" w:rsidRPr="001074AE" w:rsidRDefault="006E1FCB" w:rsidP="00A55F7D">
      <w:pPr>
        <w:pStyle w:val="Odstavecseseznamem"/>
        <w:numPr>
          <w:ilvl w:val="1"/>
          <w:numId w:val="79"/>
        </w:numPr>
        <w:rPr>
          <w:rFonts w:cstheme="minorHAnsi"/>
          <w:i/>
        </w:rPr>
      </w:pPr>
      <w:r w:rsidRPr="001074AE">
        <w:rPr>
          <w:rFonts w:cstheme="minorHAnsi"/>
          <w:i/>
        </w:rPr>
        <w:t>Zlínská filharmonie, kterou jsem pomáhal rozvíjet. Město bezprostředně obklopené krásnou přírodou.</w:t>
      </w:r>
      <w:r>
        <w:rPr>
          <w:rFonts w:cstheme="minorHAnsi"/>
          <w:i/>
        </w:rPr>
        <w:t xml:space="preserve"> </w:t>
      </w:r>
      <w:r w:rsidRPr="001074AE">
        <w:rPr>
          <w:rFonts w:cstheme="minorHAnsi"/>
          <w:i/>
        </w:rPr>
        <w:t>(Kutý)</w:t>
      </w:r>
    </w:p>
    <w:p w14:paraId="5FCF7E15" w14:textId="77777777" w:rsidR="006E1FCB" w:rsidRPr="001074AE" w:rsidRDefault="006E1FCB" w:rsidP="00A55F7D">
      <w:pPr>
        <w:pStyle w:val="Odstavecseseznamem"/>
        <w:numPr>
          <w:ilvl w:val="1"/>
          <w:numId w:val="79"/>
        </w:numPr>
        <w:rPr>
          <w:rFonts w:cstheme="minorHAnsi"/>
          <w:i/>
        </w:rPr>
      </w:pPr>
      <w:r w:rsidRPr="001074AE">
        <w:rPr>
          <w:rFonts w:cstheme="minorHAnsi"/>
          <w:i/>
        </w:rPr>
        <w:t xml:space="preserve">Vnímám zde jako velice pozitivní stopy paní Jiřičné v moderní architektuře. V architektuře města je také odkaz Baťova ducha. Jako důležitý bod považuji Univerzitu </w:t>
      </w:r>
      <w:r>
        <w:rPr>
          <w:rFonts w:cstheme="minorHAnsi"/>
          <w:i/>
        </w:rPr>
        <w:t>Tomáše Bati</w:t>
      </w:r>
      <w:r w:rsidRPr="001074AE">
        <w:rPr>
          <w:rFonts w:cstheme="minorHAnsi"/>
          <w:i/>
        </w:rPr>
        <w:t>, která je také kulturní centrum. Ve městě je kultura, za kterou se jezdí. (Táborská)</w:t>
      </w:r>
    </w:p>
    <w:p w14:paraId="3624D1AF" w14:textId="77777777" w:rsidR="006E1FCB" w:rsidRDefault="006E1FCB" w:rsidP="00A55F7D">
      <w:pPr>
        <w:pStyle w:val="Odstavecseseznamem"/>
        <w:numPr>
          <w:ilvl w:val="1"/>
          <w:numId w:val="79"/>
        </w:numPr>
        <w:rPr>
          <w:rFonts w:cstheme="minorHAnsi"/>
          <w:i/>
        </w:rPr>
      </w:pPr>
      <w:r w:rsidRPr="001074AE">
        <w:rPr>
          <w:rFonts w:cstheme="minorHAnsi"/>
          <w:i/>
        </w:rPr>
        <w:t>Cenné kulturní akce. Velmi hezké okolí</w:t>
      </w:r>
      <w:r>
        <w:rPr>
          <w:rFonts w:cstheme="minorHAnsi"/>
          <w:i/>
        </w:rPr>
        <w:t>,</w:t>
      </w:r>
      <w:r w:rsidRPr="001074AE">
        <w:rPr>
          <w:rFonts w:cstheme="minorHAnsi"/>
          <w:i/>
        </w:rPr>
        <w:t xml:space="preserve"> kam se dá vyjet na zajímavé výlety do přírody. Cenné lokality a biotopy, zajímaví živočichové.</w:t>
      </w:r>
      <w:r>
        <w:rPr>
          <w:rFonts w:cstheme="minorHAnsi"/>
          <w:i/>
        </w:rPr>
        <w:t xml:space="preserve"> </w:t>
      </w:r>
      <w:r w:rsidRPr="001074AE">
        <w:rPr>
          <w:rFonts w:cstheme="minorHAnsi"/>
          <w:i/>
        </w:rPr>
        <w:t xml:space="preserve">(Gaťáková) </w:t>
      </w:r>
    </w:p>
    <w:p w14:paraId="3D8CE930" w14:textId="77777777" w:rsidR="006E1FCB" w:rsidRPr="001074AE" w:rsidRDefault="006E1FCB" w:rsidP="00A55F7D">
      <w:pPr>
        <w:pStyle w:val="Odstavecseseznamem"/>
        <w:numPr>
          <w:ilvl w:val="1"/>
          <w:numId w:val="79"/>
        </w:numPr>
        <w:rPr>
          <w:rFonts w:cstheme="minorHAnsi"/>
          <w:i/>
          <w:strike/>
        </w:rPr>
      </w:pPr>
      <w:r w:rsidRPr="001074AE">
        <w:rPr>
          <w:rFonts w:cstheme="minorHAnsi"/>
          <w:i/>
        </w:rPr>
        <w:t>Ve Zlíně se koná oproti jiným městům více kulturních a společenských akcí. Na mnohé z</w:t>
      </w:r>
      <w:r>
        <w:rPr>
          <w:rFonts w:cstheme="minorHAnsi"/>
          <w:i/>
        </w:rPr>
        <w:t> </w:t>
      </w:r>
      <w:r w:rsidRPr="001074AE">
        <w:rPr>
          <w:rFonts w:cstheme="minorHAnsi"/>
          <w:i/>
        </w:rPr>
        <w:t>nich</w:t>
      </w:r>
      <w:r>
        <w:rPr>
          <w:rFonts w:cstheme="minorHAnsi"/>
          <w:i/>
        </w:rPr>
        <w:t>,</w:t>
      </w:r>
      <w:r w:rsidRPr="001074AE">
        <w:rPr>
          <w:rFonts w:cstheme="minorHAnsi"/>
          <w:i/>
        </w:rPr>
        <w:t xml:space="preserve"> jako například na </w:t>
      </w:r>
      <w:r w:rsidRPr="001074AE">
        <w:rPr>
          <w:rFonts w:cstheme="minorHAnsi"/>
          <w:i/>
          <w:iCs/>
        </w:rPr>
        <w:t>Barum</w:t>
      </w:r>
      <w:r w:rsidRPr="001074AE">
        <w:rPr>
          <w:rFonts w:cstheme="minorHAnsi"/>
          <w:i/>
        </w:rPr>
        <w:t xml:space="preserve"> Czech </w:t>
      </w:r>
      <w:r w:rsidRPr="001074AE">
        <w:rPr>
          <w:rFonts w:cstheme="minorHAnsi"/>
          <w:i/>
          <w:iCs/>
        </w:rPr>
        <w:t>Rally</w:t>
      </w:r>
      <w:r w:rsidRPr="001074AE">
        <w:rPr>
          <w:rFonts w:cstheme="minorHAnsi"/>
          <w:i/>
        </w:rPr>
        <w:t xml:space="preserve"> Zlín či Dětský filmový festival</w:t>
      </w:r>
      <w:r>
        <w:rPr>
          <w:rFonts w:cstheme="minorHAnsi"/>
          <w:i/>
        </w:rPr>
        <w:t>,</w:t>
      </w:r>
      <w:r w:rsidRPr="001074AE">
        <w:rPr>
          <w:rFonts w:cstheme="minorHAnsi"/>
          <w:i/>
        </w:rPr>
        <w:t xml:space="preserve"> dohlíží také Policie ČR (najíždí sem organizované loupeživé skupiny, zajišťujeme zde proto bezpečnost lidí, a to se stále větším úspěchem). V centru města jsou krásné parky, které vybízí k trávení volného času. Lidé tu mají možnost odpočinku v trávě, leží na dekách, dělají pikniky. Líbí se mi, že zde tráví svůj volný čas hlavně mladí lidé a studenti. Působí to osvěžujícím dojmem. Velkým úspěchem je, že Zlíňáci hrají 1. ligu ve fotbale i v hokeji. (Indra)</w:t>
      </w:r>
    </w:p>
    <w:p w14:paraId="61DA9C45" w14:textId="77777777" w:rsidR="006E1FCB" w:rsidRPr="001074AE" w:rsidRDefault="006E1FCB" w:rsidP="00A55F7D">
      <w:pPr>
        <w:pStyle w:val="Odstavecseseznamem"/>
        <w:numPr>
          <w:ilvl w:val="0"/>
          <w:numId w:val="79"/>
        </w:numPr>
        <w:rPr>
          <w:rStyle w:val="st"/>
          <w:b/>
        </w:rPr>
      </w:pPr>
      <w:r w:rsidRPr="001074AE">
        <w:rPr>
          <w:rFonts w:cstheme="minorHAnsi"/>
          <w:b/>
        </w:rPr>
        <w:t xml:space="preserve">Osobnosti </w:t>
      </w:r>
      <w:r>
        <w:rPr>
          <w:rFonts w:cstheme="minorHAnsi"/>
          <w:b/>
        </w:rPr>
        <w:t>s blízkým vztahem ke Zlínu</w:t>
      </w:r>
    </w:p>
    <w:p w14:paraId="1AA9E7FF" w14:textId="77777777" w:rsidR="006E1FCB" w:rsidRPr="001074AE" w:rsidRDefault="006E1FCB" w:rsidP="00A55F7D">
      <w:pPr>
        <w:pStyle w:val="Odstavecseseznamem"/>
        <w:numPr>
          <w:ilvl w:val="1"/>
          <w:numId w:val="79"/>
        </w:numPr>
        <w:rPr>
          <w:rFonts w:cstheme="minorHAnsi"/>
          <w:i/>
        </w:rPr>
      </w:pPr>
      <w:r w:rsidRPr="001074AE">
        <w:rPr>
          <w:rFonts w:cstheme="minorHAnsi"/>
          <w:i/>
        </w:rPr>
        <w:t>Kolem Zlína je krásná p</w:t>
      </w:r>
      <w:r w:rsidRPr="001074AE">
        <w:rPr>
          <w:rFonts w:eastAsia="MS Gothic" w:cstheme="minorHAnsi"/>
          <w:i/>
        </w:rPr>
        <w:t>ř</w:t>
      </w:r>
      <w:r w:rsidRPr="001074AE">
        <w:rPr>
          <w:rFonts w:cstheme="minorHAnsi"/>
          <w:i/>
        </w:rPr>
        <w:t>íroda. V</w:t>
      </w:r>
      <w:r w:rsidRPr="001074AE">
        <w:rPr>
          <w:rFonts w:eastAsia="Calibri" w:cstheme="minorHAnsi"/>
          <w:i/>
        </w:rPr>
        <w:t>š</w:t>
      </w:r>
      <w:r w:rsidRPr="001074AE">
        <w:rPr>
          <w:rFonts w:cstheme="minorHAnsi"/>
          <w:i/>
        </w:rPr>
        <w:t xml:space="preserve">ude kolem </w:t>
      </w:r>
      <w:r w:rsidRPr="001074AE">
        <w:rPr>
          <w:rFonts w:eastAsia="MS Gothic" w:cstheme="minorHAnsi"/>
          <w:i/>
        </w:rPr>
        <w:t>č</w:t>
      </w:r>
      <w:r w:rsidRPr="001074AE">
        <w:rPr>
          <w:rFonts w:cstheme="minorHAnsi"/>
          <w:i/>
        </w:rPr>
        <w:t>lov</w:t>
      </w:r>
      <w:r w:rsidRPr="001074AE">
        <w:rPr>
          <w:rFonts w:eastAsia="MS Gothic" w:cstheme="minorHAnsi"/>
          <w:i/>
        </w:rPr>
        <w:t>ě</w:t>
      </w:r>
      <w:r w:rsidRPr="001074AE">
        <w:rPr>
          <w:rFonts w:cstheme="minorHAnsi"/>
          <w:i/>
        </w:rPr>
        <w:t>k vidí n</w:t>
      </w:r>
      <w:r w:rsidRPr="001074AE">
        <w:rPr>
          <w:rFonts w:eastAsia="MS Gothic" w:cstheme="minorHAnsi"/>
          <w:i/>
        </w:rPr>
        <w:t>ě</w:t>
      </w:r>
      <w:r w:rsidRPr="001074AE">
        <w:rPr>
          <w:rFonts w:cstheme="minorHAnsi"/>
          <w:i/>
        </w:rPr>
        <w:t>co krásného a to je dar. A</w:t>
      </w:r>
      <w:r>
        <w:rPr>
          <w:rFonts w:cstheme="minorHAnsi"/>
          <w:i/>
        </w:rPr>
        <w:t> </w:t>
      </w:r>
      <w:r w:rsidRPr="001074AE">
        <w:rPr>
          <w:rFonts w:cstheme="minorHAnsi"/>
          <w:i/>
        </w:rPr>
        <w:t xml:space="preserve">uprostřed krásné přírody najdete neobyčejné město, které </w:t>
      </w:r>
      <w:r>
        <w:rPr>
          <w:rFonts w:cstheme="minorHAnsi"/>
          <w:i/>
        </w:rPr>
        <w:t xml:space="preserve">si </w:t>
      </w:r>
      <w:r w:rsidRPr="001074AE">
        <w:rPr>
          <w:rFonts w:cstheme="minorHAnsi"/>
          <w:i/>
        </w:rPr>
        <w:t>přes všechny překážky a</w:t>
      </w:r>
      <w:r>
        <w:rPr>
          <w:rFonts w:cstheme="minorHAnsi"/>
          <w:i/>
        </w:rPr>
        <w:t> </w:t>
      </w:r>
      <w:r w:rsidRPr="001074AE">
        <w:rPr>
          <w:rFonts w:cstheme="minorHAnsi"/>
          <w:i/>
        </w:rPr>
        <w:t>nemilosrdnost historie zachovalo ducha T. Bati, kterého uznával celý sv</w:t>
      </w:r>
      <w:r w:rsidRPr="001074AE">
        <w:rPr>
          <w:rFonts w:eastAsia="MS Gothic" w:cstheme="minorHAnsi"/>
          <w:i/>
        </w:rPr>
        <w:t>ě</w:t>
      </w:r>
      <w:r w:rsidRPr="001074AE">
        <w:rPr>
          <w:rFonts w:cstheme="minorHAnsi"/>
          <w:i/>
        </w:rPr>
        <w:t>t. Jsou tam schopn</w:t>
      </w:r>
      <w:r>
        <w:rPr>
          <w:rFonts w:cstheme="minorHAnsi"/>
          <w:i/>
        </w:rPr>
        <w:t>í</w:t>
      </w:r>
      <w:r w:rsidRPr="001074AE">
        <w:rPr>
          <w:rFonts w:cstheme="minorHAnsi"/>
          <w:i/>
        </w:rPr>
        <w:t xml:space="preserve"> lid</w:t>
      </w:r>
      <w:r>
        <w:rPr>
          <w:rFonts w:cstheme="minorHAnsi"/>
          <w:i/>
        </w:rPr>
        <w:t>é</w:t>
      </w:r>
      <w:r w:rsidRPr="001074AE">
        <w:rPr>
          <w:rFonts w:cstheme="minorHAnsi"/>
          <w:i/>
        </w:rPr>
        <w:t>, kvete tam zájem o vzdělání, konají se tam festivaly a jsou tam pln</w:t>
      </w:r>
      <w:r w:rsidRPr="001074AE">
        <w:rPr>
          <w:rFonts w:eastAsia="MS Gothic" w:cstheme="minorHAnsi"/>
          <w:i/>
        </w:rPr>
        <w:t>ě</w:t>
      </w:r>
      <w:r w:rsidRPr="001074AE">
        <w:rPr>
          <w:rFonts w:cstheme="minorHAnsi"/>
          <w:i/>
        </w:rPr>
        <w:t xml:space="preserve"> obsazené koncerty. Rozvinula se univerzita UTB. Je zde p</w:t>
      </w:r>
      <w:r w:rsidRPr="001074AE">
        <w:rPr>
          <w:rFonts w:eastAsia="MS Gothic" w:cstheme="minorHAnsi"/>
          <w:i/>
        </w:rPr>
        <w:t>ř</w:t>
      </w:r>
      <w:r w:rsidRPr="001074AE">
        <w:rPr>
          <w:rFonts w:cstheme="minorHAnsi"/>
          <w:i/>
        </w:rPr>
        <w:t>ítomna velká energie lidí. Stále se tam staví. M</w:t>
      </w:r>
      <w:r w:rsidRPr="001074AE">
        <w:rPr>
          <w:rFonts w:eastAsia="MS Gothic" w:cstheme="minorHAnsi"/>
          <w:i/>
        </w:rPr>
        <w:t>ě</w:t>
      </w:r>
      <w:r w:rsidRPr="001074AE">
        <w:rPr>
          <w:rFonts w:cstheme="minorHAnsi"/>
          <w:i/>
        </w:rPr>
        <w:t xml:space="preserve">sto stále </w:t>
      </w:r>
      <w:r w:rsidRPr="001074AE">
        <w:rPr>
          <w:rFonts w:eastAsia="Calibri" w:cstheme="minorHAnsi"/>
          <w:i/>
        </w:rPr>
        <w:t>ž</w:t>
      </w:r>
      <w:r w:rsidRPr="001074AE">
        <w:rPr>
          <w:rFonts w:cstheme="minorHAnsi"/>
          <w:i/>
        </w:rPr>
        <w:t>ije i po úpadku a zni</w:t>
      </w:r>
      <w:r w:rsidRPr="001074AE">
        <w:rPr>
          <w:rFonts w:eastAsia="MS Gothic" w:cstheme="minorHAnsi"/>
          <w:i/>
        </w:rPr>
        <w:t>č</w:t>
      </w:r>
      <w:r w:rsidRPr="001074AE">
        <w:rPr>
          <w:rFonts w:cstheme="minorHAnsi"/>
          <w:i/>
        </w:rPr>
        <w:t>ení výroby. M</w:t>
      </w:r>
      <w:r w:rsidRPr="001074AE">
        <w:rPr>
          <w:rFonts w:eastAsia="MS Gothic" w:cstheme="minorHAnsi"/>
          <w:i/>
        </w:rPr>
        <w:t>ě</w:t>
      </w:r>
      <w:r w:rsidRPr="001074AE">
        <w:rPr>
          <w:rFonts w:cstheme="minorHAnsi"/>
          <w:i/>
        </w:rPr>
        <w:t>sto jde dop</w:t>
      </w:r>
      <w:r w:rsidRPr="001074AE">
        <w:rPr>
          <w:rFonts w:eastAsia="MS Gothic" w:cstheme="minorHAnsi"/>
          <w:i/>
        </w:rPr>
        <w:t>ř</w:t>
      </w:r>
      <w:r w:rsidRPr="001074AE">
        <w:rPr>
          <w:rFonts w:cstheme="minorHAnsi"/>
          <w:i/>
        </w:rPr>
        <w:t>edu. Uchvacuje mne energie stále pracovat a pokračovat. (Jiřičná)</w:t>
      </w:r>
    </w:p>
    <w:p w14:paraId="47177ED9" w14:textId="77777777" w:rsidR="006E1FCB" w:rsidRDefault="006E1FCB" w:rsidP="00BC6914">
      <w:pPr>
        <w:pStyle w:val="Nadpis4"/>
      </w:pPr>
      <w:bookmarkStart w:id="854" w:name="_Toc50471489"/>
      <w:r>
        <w:t>Co městu chybí</w:t>
      </w:r>
      <w:bookmarkEnd w:id="854"/>
    </w:p>
    <w:p w14:paraId="6B6A2A24" w14:textId="0892AF80" w:rsidR="006E1FCB" w:rsidRDefault="006E1FCB" w:rsidP="006E1FCB">
      <w:r>
        <w:t>V těchto odpovědích převažovala shoda v názoru na zastaralé silniční i železniční sítě, nedostatečné napojení na krajské komunikace. Začlenění elektromobility do města. Větší potřeba parkovacích ploch. Lepší</w:t>
      </w:r>
      <w:r w:rsidR="00F94486">
        <w:t xml:space="preserve"> dopravní infrastruktura</w:t>
      </w:r>
      <w:r>
        <w:t>.</w:t>
      </w:r>
    </w:p>
    <w:p w14:paraId="62DF99B7" w14:textId="77777777" w:rsidR="006E1FCB" w:rsidRPr="00B05848" w:rsidRDefault="006E1FCB" w:rsidP="006E1FCB">
      <w:pPr>
        <w:rPr>
          <w:b/>
        </w:rPr>
      </w:pPr>
      <w:r>
        <w:rPr>
          <w:b/>
        </w:rPr>
        <w:t xml:space="preserve">O3: </w:t>
      </w:r>
      <w:r w:rsidRPr="00B05848">
        <w:rPr>
          <w:b/>
        </w:rPr>
        <w:t xml:space="preserve">Co postrádáte ve městě Zlín, co Vám zde chybí? </w:t>
      </w:r>
    </w:p>
    <w:p w14:paraId="3718FE63" w14:textId="77777777" w:rsidR="006E1FCB" w:rsidRPr="00401354" w:rsidRDefault="006E1FCB" w:rsidP="00A55F7D">
      <w:pPr>
        <w:pStyle w:val="Odstavecseseznamem"/>
        <w:numPr>
          <w:ilvl w:val="0"/>
          <w:numId w:val="80"/>
        </w:numPr>
        <w:rPr>
          <w:rFonts w:cstheme="minorHAnsi"/>
          <w:i/>
        </w:rPr>
      </w:pPr>
      <w:r w:rsidRPr="00401354">
        <w:rPr>
          <w:rFonts w:cstheme="minorHAnsi"/>
          <w:i/>
        </w:rPr>
        <w:t>Zelené střechy, zelené stěny, lepší hospodaření s  dešťovou vodou. Využití k zalévání zeleně a</w:t>
      </w:r>
      <w:r>
        <w:rPr>
          <w:rFonts w:cstheme="minorHAnsi"/>
          <w:i/>
        </w:rPr>
        <w:t> </w:t>
      </w:r>
      <w:r w:rsidRPr="00401354">
        <w:rPr>
          <w:rFonts w:cstheme="minorHAnsi"/>
          <w:i/>
        </w:rPr>
        <w:t>možnosti kropení cest pro snížení prašnosti. Zpřístupnění řeky Dřevnice pro obecné využití. V parcích vhodné lavičky</w:t>
      </w:r>
      <w:r>
        <w:rPr>
          <w:rFonts w:cstheme="minorHAnsi"/>
          <w:i/>
        </w:rPr>
        <w:t>,</w:t>
      </w:r>
      <w:r w:rsidRPr="00401354">
        <w:rPr>
          <w:rFonts w:cstheme="minorHAnsi"/>
          <w:i/>
        </w:rPr>
        <w:t xml:space="preserve"> aby nebyly vyhřáté a dalo se na nich sedět.</w:t>
      </w:r>
      <w:r>
        <w:rPr>
          <w:rFonts w:cstheme="minorHAnsi"/>
          <w:i/>
        </w:rPr>
        <w:t xml:space="preserve"> </w:t>
      </w:r>
      <w:r w:rsidRPr="00401354">
        <w:rPr>
          <w:rFonts w:cstheme="minorHAnsi"/>
          <w:i/>
        </w:rPr>
        <w:t>(Gaťáková)</w:t>
      </w:r>
    </w:p>
    <w:p w14:paraId="54E3EDEF" w14:textId="77777777" w:rsidR="006E1FCB" w:rsidRPr="00401354" w:rsidRDefault="006E1FCB" w:rsidP="00A55F7D">
      <w:pPr>
        <w:pStyle w:val="Odstavecseseznamem"/>
        <w:numPr>
          <w:ilvl w:val="0"/>
          <w:numId w:val="80"/>
        </w:numPr>
        <w:rPr>
          <w:rFonts w:cstheme="minorHAnsi"/>
          <w:i/>
        </w:rPr>
      </w:pPr>
      <w:r w:rsidRPr="00401354">
        <w:rPr>
          <w:rFonts w:cstheme="minorHAnsi"/>
          <w:i/>
        </w:rPr>
        <w:t>Někteří volení zástupci politických stran nebo i zaměstnanci úřadu jsou natolik opojeni jim svěřenou mocí, že neumí komunikovat s lidmi a jejich názory nezohledňují. Nárůst kverulantů je dokladem toho, že město neumí komunikovat s lidmi. Mělo by zde být větší množství kulturních akcí a podpora rodinné politiky. Město by mohlo nastavit edukační program pro občany zaměřený na chov psů ve městě a jejich možnosti života. Současná vyhláška je natolik tvrdá, že blokuje život psů a jejich chov. (Goláň)</w:t>
      </w:r>
    </w:p>
    <w:p w14:paraId="472BDF16" w14:textId="77777777" w:rsidR="006E1FCB" w:rsidRPr="00401354" w:rsidRDefault="006E1FCB" w:rsidP="00A55F7D">
      <w:pPr>
        <w:pStyle w:val="Odstavecseseznamem"/>
        <w:numPr>
          <w:ilvl w:val="0"/>
          <w:numId w:val="80"/>
        </w:numPr>
        <w:rPr>
          <w:rFonts w:cstheme="minorHAnsi"/>
          <w:i/>
        </w:rPr>
      </w:pPr>
      <w:r w:rsidRPr="00401354">
        <w:rPr>
          <w:rFonts w:cstheme="minorHAnsi"/>
          <w:i/>
        </w:rPr>
        <w:t>Obslužnost v dopravě, jednokolejová trať je málo, vše je zastaralé - silniční i železniční síť.</w:t>
      </w:r>
      <w:r>
        <w:rPr>
          <w:rFonts w:cstheme="minorHAnsi"/>
          <w:i/>
        </w:rPr>
        <w:t xml:space="preserve"> </w:t>
      </w:r>
      <w:r w:rsidRPr="00401354">
        <w:rPr>
          <w:rFonts w:cstheme="minorHAnsi"/>
          <w:i/>
        </w:rPr>
        <w:t>Vytvořit integrovaný systém dopravy.</w:t>
      </w:r>
      <w:r>
        <w:rPr>
          <w:rFonts w:cstheme="minorHAnsi"/>
          <w:i/>
        </w:rPr>
        <w:t xml:space="preserve"> </w:t>
      </w:r>
      <w:r w:rsidRPr="00401354">
        <w:rPr>
          <w:rFonts w:cstheme="minorHAnsi"/>
          <w:i/>
        </w:rPr>
        <w:t>Postavit nový hokejový a fotbalový stadión vzhledem k úspěchům v 1. lize. S tím souvisí také nedostatek parkovacích míst v blízkosti stadionu, je zde špatná obslužnost a tím trpí místní obyvatelé. (Indra)</w:t>
      </w:r>
    </w:p>
    <w:p w14:paraId="791A3318" w14:textId="48D77285" w:rsidR="006E1FCB" w:rsidRPr="00401354" w:rsidRDefault="006E1FCB" w:rsidP="00A55F7D">
      <w:pPr>
        <w:pStyle w:val="Odstavecseseznamem"/>
        <w:numPr>
          <w:ilvl w:val="0"/>
          <w:numId w:val="80"/>
        </w:numPr>
        <w:rPr>
          <w:rFonts w:cstheme="minorHAnsi"/>
          <w:i/>
        </w:rPr>
      </w:pPr>
      <w:r w:rsidRPr="00401354">
        <w:rPr>
          <w:rFonts w:cstheme="minorHAnsi"/>
          <w:i/>
        </w:rPr>
        <w:t>Je t</w:t>
      </w:r>
      <w:r w:rsidRPr="00401354">
        <w:rPr>
          <w:rFonts w:eastAsia="MS Gothic" w:cstheme="minorHAnsi"/>
          <w:i/>
        </w:rPr>
        <w:t>ř</w:t>
      </w:r>
      <w:r w:rsidRPr="00401354">
        <w:rPr>
          <w:rFonts w:cstheme="minorHAnsi"/>
          <w:i/>
        </w:rPr>
        <w:t>eba zlep</w:t>
      </w:r>
      <w:r w:rsidRPr="00401354">
        <w:rPr>
          <w:rFonts w:eastAsia="Calibri" w:cstheme="minorHAnsi"/>
          <w:i/>
        </w:rPr>
        <w:t>š</w:t>
      </w:r>
      <w:r w:rsidRPr="00401354">
        <w:rPr>
          <w:rFonts w:cstheme="minorHAnsi"/>
          <w:i/>
        </w:rPr>
        <w:t>it cesty a chodníky a veřejné prostory</w:t>
      </w:r>
      <w:r>
        <w:rPr>
          <w:rFonts w:cstheme="minorHAnsi"/>
          <w:i/>
        </w:rPr>
        <w:t>,</w:t>
      </w:r>
      <w:r w:rsidRPr="00401354">
        <w:rPr>
          <w:rFonts w:cstheme="minorHAnsi"/>
          <w:i/>
        </w:rPr>
        <w:t xml:space="preserve"> tam je vidět</w:t>
      </w:r>
      <w:r>
        <w:rPr>
          <w:rFonts w:cstheme="minorHAnsi"/>
          <w:i/>
        </w:rPr>
        <w:t>,</w:t>
      </w:r>
      <w:r w:rsidRPr="00401354">
        <w:rPr>
          <w:rFonts w:cstheme="minorHAnsi"/>
          <w:i/>
        </w:rPr>
        <w:t xml:space="preserve"> </w:t>
      </w:r>
      <w:r>
        <w:rPr>
          <w:rFonts w:cstheme="minorHAnsi"/>
          <w:i/>
        </w:rPr>
        <w:t>ž</w:t>
      </w:r>
      <w:r w:rsidRPr="00401354">
        <w:rPr>
          <w:rFonts w:cstheme="minorHAnsi"/>
          <w:i/>
        </w:rPr>
        <w:t>e m</w:t>
      </w:r>
      <w:r w:rsidRPr="00401354">
        <w:rPr>
          <w:rFonts w:eastAsia="MS Gothic" w:cstheme="minorHAnsi"/>
          <w:i/>
        </w:rPr>
        <w:t>ě</w:t>
      </w:r>
      <w:r w:rsidRPr="00401354">
        <w:rPr>
          <w:rFonts w:cstheme="minorHAnsi"/>
          <w:i/>
        </w:rPr>
        <w:t>sto upadá. Urbanismus trpí problémy, jak se postavit k historické architektuře, která byla mnohdy koncipovaná jako provizorium (typické cihlové domečky), její nekoncep</w:t>
      </w:r>
      <w:r w:rsidRPr="00401354">
        <w:rPr>
          <w:rFonts w:eastAsia="MS Gothic" w:cstheme="minorHAnsi"/>
          <w:i/>
        </w:rPr>
        <w:t>č</w:t>
      </w:r>
      <w:r w:rsidRPr="00401354">
        <w:rPr>
          <w:rFonts w:cstheme="minorHAnsi"/>
          <w:i/>
        </w:rPr>
        <w:t>ností, a jak přistoupit k budoucí přestavbě Zlína a jeho podoby ve třetím miléniu. Je pot</w:t>
      </w:r>
      <w:r w:rsidRPr="00401354">
        <w:rPr>
          <w:rFonts w:eastAsia="MS Gothic" w:cstheme="minorHAnsi"/>
          <w:i/>
        </w:rPr>
        <w:t>ř</w:t>
      </w:r>
      <w:r w:rsidRPr="00401354">
        <w:rPr>
          <w:rFonts w:cstheme="minorHAnsi"/>
          <w:i/>
        </w:rPr>
        <w:t>eba za</w:t>
      </w:r>
      <w:r w:rsidRPr="00401354">
        <w:rPr>
          <w:rFonts w:eastAsia="MS Gothic" w:cstheme="minorHAnsi"/>
          <w:i/>
        </w:rPr>
        <w:t>č</w:t>
      </w:r>
      <w:r w:rsidRPr="00401354">
        <w:rPr>
          <w:rFonts w:cstheme="minorHAnsi"/>
          <w:i/>
        </w:rPr>
        <w:t>lenit do strategie m</w:t>
      </w:r>
      <w:r w:rsidRPr="00401354">
        <w:rPr>
          <w:rFonts w:eastAsia="MS Gothic" w:cstheme="minorHAnsi"/>
          <w:i/>
        </w:rPr>
        <w:t>ě</w:t>
      </w:r>
      <w:r w:rsidRPr="00401354">
        <w:rPr>
          <w:rFonts w:cstheme="minorHAnsi"/>
          <w:i/>
        </w:rPr>
        <w:t xml:space="preserve">sta snahu o </w:t>
      </w:r>
      <w:r w:rsidRPr="00401354">
        <w:rPr>
          <w:rFonts w:eastAsia="MS Gothic" w:cstheme="minorHAnsi"/>
          <w:i/>
        </w:rPr>
        <w:t>č</w:t>
      </w:r>
      <w:r w:rsidRPr="00401354">
        <w:rPr>
          <w:rFonts w:cstheme="minorHAnsi"/>
          <w:i/>
        </w:rPr>
        <w:t>istotu ovzdu</w:t>
      </w:r>
      <w:r w:rsidRPr="00401354">
        <w:rPr>
          <w:rFonts w:eastAsia="Calibri" w:cstheme="minorHAnsi"/>
          <w:i/>
        </w:rPr>
        <w:t>š</w:t>
      </w:r>
      <w:r w:rsidRPr="00401354">
        <w:rPr>
          <w:rFonts w:cstheme="minorHAnsi"/>
          <w:i/>
        </w:rPr>
        <w:t>í, za</w:t>
      </w:r>
      <w:r w:rsidRPr="00401354">
        <w:rPr>
          <w:rFonts w:eastAsia="MS Gothic" w:cstheme="minorHAnsi"/>
          <w:i/>
        </w:rPr>
        <w:t>č</w:t>
      </w:r>
      <w:r w:rsidRPr="00401354">
        <w:rPr>
          <w:rFonts w:cstheme="minorHAnsi"/>
          <w:i/>
        </w:rPr>
        <w:t>lenit elektromobilitu, zlepšit hromadnou dopravu a limitovat množství aut. Vytvo</w:t>
      </w:r>
      <w:r w:rsidRPr="00401354">
        <w:rPr>
          <w:rFonts w:eastAsia="MS Gothic" w:cstheme="minorHAnsi"/>
          <w:i/>
        </w:rPr>
        <w:t>ř</w:t>
      </w:r>
      <w:r w:rsidRPr="00401354">
        <w:rPr>
          <w:rFonts w:cstheme="minorHAnsi"/>
          <w:i/>
        </w:rPr>
        <w:t>it koncept zeleného m</w:t>
      </w:r>
      <w:r w:rsidRPr="00401354">
        <w:rPr>
          <w:rFonts w:eastAsia="MS Gothic" w:cstheme="minorHAnsi"/>
          <w:i/>
        </w:rPr>
        <w:t>ě</w:t>
      </w:r>
      <w:r w:rsidRPr="00401354">
        <w:rPr>
          <w:rFonts w:cstheme="minorHAnsi"/>
          <w:i/>
        </w:rPr>
        <w:t>sta a neni</w:t>
      </w:r>
      <w:r w:rsidRPr="00401354">
        <w:rPr>
          <w:rFonts w:eastAsia="MS Gothic" w:cstheme="minorHAnsi"/>
          <w:i/>
        </w:rPr>
        <w:t>č</w:t>
      </w:r>
      <w:r w:rsidRPr="00401354">
        <w:rPr>
          <w:rFonts w:cstheme="minorHAnsi"/>
          <w:i/>
        </w:rPr>
        <w:t xml:space="preserve">it </w:t>
      </w:r>
      <w:r w:rsidRPr="00401354">
        <w:rPr>
          <w:rFonts w:eastAsia="Calibri" w:cstheme="minorHAnsi"/>
          <w:i/>
        </w:rPr>
        <w:t>ž</w:t>
      </w:r>
      <w:r w:rsidRPr="00401354">
        <w:rPr>
          <w:rFonts w:cstheme="minorHAnsi"/>
          <w:i/>
        </w:rPr>
        <w:t>ivotní prost</w:t>
      </w:r>
      <w:r w:rsidRPr="00401354">
        <w:rPr>
          <w:rFonts w:eastAsia="MS Gothic" w:cstheme="minorHAnsi"/>
          <w:i/>
        </w:rPr>
        <w:t>ř</w:t>
      </w:r>
      <w:r w:rsidRPr="00401354">
        <w:rPr>
          <w:rFonts w:cstheme="minorHAnsi"/>
          <w:i/>
        </w:rPr>
        <w:t>edí. Lidé musí zm</w:t>
      </w:r>
      <w:r w:rsidRPr="00401354">
        <w:rPr>
          <w:rFonts w:eastAsia="MS Gothic" w:cstheme="minorHAnsi"/>
          <w:i/>
        </w:rPr>
        <w:t>ě</w:t>
      </w:r>
      <w:r w:rsidRPr="00401354">
        <w:rPr>
          <w:rFonts w:cstheme="minorHAnsi"/>
          <w:i/>
        </w:rPr>
        <w:t>nit my</w:t>
      </w:r>
      <w:r w:rsidRPr="00401354">
        <w:rPr>
          <w:rFonts w:eastAsia="Calibri" w:cstheme="minorHAnsi"/>
          <w:i/>
        </w:rPr>
        <w:t>š</w:t>
      </w:r>
      <w:r w:rsidRPr="00401354">
        <w:rPr>
          <w:rFonts w:cstheme="minorHAnsi"/>
          <w:i/>
        </w:rPr>
        <w:t>lení, pokra</w:t>
      </w:r>
      <w:r w:rsidRPr="00401354">
        <w:rPr>
          <w:rFonts w:eastAsia="MS Gothic" w:cstheme="minorHAnsi"/>
          <w:i/>
        </w:rPr>
        <w:t>č</w:t>
      </w:r>
      <w:r w:rsidRPr="00401354">
        <w:rPr>
          <w:rFonts w:cstheme="minorHAnsi"/>
          <w:i/>
        </w:rPr>
        <w:t>ovat</w:t>
      </w:r>
      <w:r>
        <w:rPr>
          <w:rFonts w:cstheme="minorHAnsi"/>
          <w:i/>
        </w:rPr>
        <w:t xml:space="preserve"> v </w:t>
      </w:r>
      <w:r w:rsidRPr="00401354">
        <w:rPr>
          <w:rFonts w:cstheme="minorHAnsi"/>
          <w:i/>
        </w:rPr>
        <w:t>hled</w:t>
      </w:r>
      <w:r>
        <w:rPr>
          <w:rFonts w:cstheme="minorHAnsi"/>
          <w:i/>
        </w:rPr>
        <w:t>á</w:t>
      </w:r>
      <w:r w:rsidRPr="00401354">
        <w:rPr>
          <w:rFonts w:cstheme="minorHAnsi"/>
          <w:i/>
        </w:rPr>
        <w:t>ní cest</w:t>
      </w:r>
      <w:r>
        <w:rPr>
          <w:rFonts w:cstheme="minorHAnsi"/>
          <w:i/>
        </w:rPr>
        <w:t>,</w:t>
      </w:r>
      <w:r w:rsidRPr="00401354">
        <w:rPr>
          <w:rFonts w:cstheme="minorHAnsi"/>
          <w:i/>
        </w:rPr>
        <w:t xml:space="preserve"> jak zdravě žít a neničit přírod</w:t>
      </w:r>
      <w:r>
        <w:rPr>
          <w:rFonts w:cstheme="minorHAnsi"/>
          <w:i/>
        </w:rPr>
        <w:t>u</w:t>
      </w:r>
      <w:r w:rsidRPr="00401354">
        <w:rPr>
          <w:rFonts w:cstheme="minorHAnsi"/>
          <w:i/>
        </w:rPr>
        <w:t>. To se musíme učit od p</w:t>
      </w:r>
      <w:r>
        <w:rPr>
          <w:rFonts w:cstheme="minorHAnsi"/>
          <w:i/>
        </w:rPr>
        <w:t>í</w:t>
      </w:r>
      <w:r w:rsidRPr="00401354">
        <w:rPr>
          <w:rFonts w:cstheme="minorHAnsi"/>
          <w:i/>
        </w:rPr>
        <w:t>ky všichni. M</w:t>
      </w:r>
      <w:r w:rsidRPr="00401354">
        <w:rPr>
          <w:rFonts w:eastAsia="MS Gothic" w:cstheme="minorHAnsi"/>
          <w:i/>
        </w:rPr>
        <w:t>ě</w:t>
      </w:r>
      <w:r w:rsidRPr="00401354">
        <w:rPr>
          <w:rFonts w:cstheme="minorHAnsi"/>
          <w:i/>
        </w:rPr>
        <w:t>sto musí stále tvo</w:t>
      </w:r>
      <w:r w:rsidRPr="00401354">
        <w:rPr>
          <w:rFonts w:eastAsia="MS Gothic" w:cstheme="minorHAnsi"/>
          <w:i/>
        </w:rPr>
        <w:t>ř</w:t>
      </w:r>
      <w:r w:rsidRPr="00401354">
        <w:rPr>
          <w:rFonts w:cstheme="minorHAnsi"/>
          <w:i/>
        </w:rPr>
        <w:t>it vizi, aby bylo slavné i za 100 nebo i za 1</w:t>
      </w:r>
      <w:r w:rsidR="00151D71">
        <w:rPr>
          <w:rFonts w:cstheme="minorHAnsi"/>
          <w:i/>
        </w:rPr>
        <w:t xml:space="preserve"> </w:t>
      </w:r>
      <w:r w:rsidRPr="00401354">
        <w:rPr>
          <w:rFonts w:cstheme="minorHAnsi"/>
          <w:i/>
        </w:rPr>
        <w:t>000 let. Dvacáté století je jenom pár dní za námi, budoucnost pokračuje velmi rychle. (Jiřičná)</w:t>
      </w:r>
    </w:p>
    <w:p w14:paraId="7D271354" w14:textId="77777777" w:rsidR="006E1FCB" w:rsidRPr="00401354" w:rsidRDefault="006E1FCB" w:rsidP="00A55F7D">
      <w:pPr>
        <w:pStyle w:val="Odstavecseseznamem"/>
        <w:numPr>
          <w:ilvl w:val="0"/>
          <w:numId w:val="80"/>
        </w:numPr>
        <w:rPr>
          <w:rFonts w:cstheme="minorHAnsi"/>
          <w:i/>
        </w:rPr>
      </w:pPr>
      <w:r w:rsidRPr="00401354">
        <w:rPr>
          <w:rFonts w:cstheme="minorHAnsi"/>
          <w:i/>
        </w:rPr>
        <w:t>Paralelní variantu páteřní městské komunikace (bohužel reálně obtížně řešitelné). Vícebodové napojení města na nadřazenou silniční síť. (Kutý)</w:t>
      </w:r>
    </w:p>
    <w:p w14:paraId="5F1D8835" w14:textId="77777777" w:rsidR="006E1FCB" w:rsidRPr="00401354" w:rsidRDefault="006E1FCB" w:rsidP="00A55F7D">
      <w:pPr>
        <w:pStyle w:val="Odstavecseseznamem"/>
        <w:numPr>
          <w:ilvl w:val="0"/>
          <w:numId w:val="80"/>
        </w:numPr>
        <w:rPr>
          <w:rFonts w:cstheme="minorHAnsi"/>
          <w:i/>
        </w:rPr>
      </w:pPr>
      <w:r w:rsidRPr="00401354">
        <w:rPr>
          <w:rFonts w:cstheme="minorHAnsi"/>
          <w:i/>
        </w:rPr>
        <w:t>Lepší dopravní infrastruktura, dálniční obchvat kolem Zlína. Nádraží je ostudné, zvláště pro zahraniční klienty, které raději vozíme z Otrokovic autem do Zlína, aby se nezděsili a neotočili</w:t>
      </w:r>
      <w:r>
        <w:rPr>
          <w:rFonts w:cstheme="minorHAnsi"/>
          <w:i/>
        </w:rPr>
        <w:t xml:space="preserve"> se </w:t>
      </w:r>
      <w:r w:rsidRPr="00401354">
        <w:rPr>
          <w:rFonts w:cstheme="minorHAnsi"/>
          <w:i/>
        </w:rPr>
        <w:t>zpátky. Propojení železnicí na ostatní krajská města. Evropské propojení. Podpora elektromobility – jak nabíjecí stanice pro auta, tak pro elektrokola. Elektrokola je třeba mít možnost bezpečně parkovat a nabíjet. Lokální letiště s napojením na letiště ve Vídni, Praze a</w:t>
      </w:r>
      <w:r>
        <w:rPr>
          <w:rFonts w:cstheme="minorHAnsi"/>
          <w:i/>
        </w:rPr>
        <w:t> </w:t>
      </w:r>
      <w:r w:rsidRPr="00401354">
        <w:rPr>
          <w:rFonts w:cstheme="minorHAnsi"/>
          <w:i/>
        </w:rPr>
        <w:t>Katovicích. (Stodůlka)</w:t>
      </w:r>
    </w:p>
    <w:p w14:paraId="0AFF3B7D" w14:textId="77777777" w:rsidR="006E1FCB" w:rsidRPr="00401354" w:rsidRDefault="006E1FCB" w:rsidP="00A55F7D">
      <w:pPr>
        <w:pStyle w:val="Odstavecseseznamem"/>
        <w:numPr>
          <w:ilvl w:val="0"/>
          <w:numId w:val="80"/>
        </w:numPr>
        <w:rPr>
          <w:rFonts w:cstheme="minorHAnsi"/>
          <w:i/>
        </w:rPr>
      </w:pPr>
      <w:r w:rsidRPr="00401354">
        <w:rPr>
          <w:rFonts w:cstheme="minorHAnsi"/>
          <w:i/>
        </w:rPr>
        <w:t>Dopravní obslužnost, napojení, možnost parkování, které je zde nedostupné a drahé. Ulice jsou plné aut, dopravní obslužnost firem je obtížná. Nové nádraží a dopravní dostupnost do Zlína. (Táborská)</w:t>
      </w:r>
    </w:p>
    <w:p w14:paraId="7C99E2E7" w14:textId="77777777" w:rsidR="006E1FCB" w:rsidRPr="00401354" w:rsidRDefault="006E1FCB" w:rsidP="00A55F7D">
      <w:pPr>
        <w:pStyle w:val="Odstavecseseznamem"/>
        <w:numPr>
          <w:ilvl w:val="0"/>
          <w:numId w:val="80"/>
        </w:numPr>
        <w:rPr>
          <w:rFonts w:cstheme="minorHAnsi"/>
          <w:i/>
        </w:rPr>
      </w:pPr>
      <w:r w:rsidRPr="00401354">
        <w:rPr>
          <w:rFonts w:cstheme="minorHAnsi"/>
          <w:i/>
        </w:rPr>
        <w:t>Zlepšení dopravní situace. Více atraktivních zaměstnavatelů pro kvalifikovanou pracovní sílu. (Korec)</w:t>
      </w:r>
    </w:p>
    <w:p w14:paraId="36A2B679" w14:textId="77777777" w:rsidR="006E1FCB" w:rsidRPr="00401354" w:rsidRDefault="006E1FCB" w:rsidP="00A55F7D">
      <w:pPr>
        <w:pStyle w:val="Odstavecseseznamem"/>
        <w:numPr>
          <w:ilvl w:val="0"/>
          <w:numId w:val="80"/>
        </w:numPr>
        <w:rPr>
          <w:rFonts w:cstheme="minorHAnsi"/>
          <w:i/>
        </w:rPr>
      </w:pPr>
      <w:r w:rsidRPr="00401354">
        <w:rPr>
          <w:rFonts w:cstheme="minorHAnsi"/>
          <w:i/>
        </w:rPr>
        <w:t>Rozvinout příležitost spolupráce UTB s městem. Udržet chytré lidi</w:t>
      </w:r>
      <w:r>
        <w:rPr>
          <w:rFonts w:cstheme="minorHAnsi"/>
          <w:i/>
        </w:rPr>
        <w:t>,</w:t>
      </w:r>
      <w:r w:rsidRPr="00401354">
        <w:rPr>
          <w:rFonts w:cstheme="minorHAnsi"/>
          <w:i/>
        </w:rPr>
        <w:t xml:space="preserve"> tzn. podpořit startovací bydlení. UTB vlastní ve Zlíně několik vlastních bytů, kde jsou jasná pravidla pro jejich přidělování. (Sedlařík)</w:t>
      </w:r>
    </w:p>
    <w:p w14:paraId="1B3F11DB" w14:textId="77777777" w:rsidR="006E1FCB" w:rsidRPr="00401354" w:rsidRDefault="006E1FCB" w:rsidP="00A55F7D">
      <w:pPr>
        <w:pStyle w:val="Odstavecseseznamem"/>
        <w:numPr>
          <w:ilvl w:val="0"/>
          <w:numId w:val="80"/>
        </w:numPr>
        <w:rPr>
          <w:rFonts w:cstheme="minorHAnsi"/>
          <w:i/>
        </w:rPr>
      </w:pPr>
      <w:r w:rsidRPr="00401354">
        <w:rPr>
          <w:rFonts w:cstheme="minorHAnsi"/>
          <w:i/>
        </w:rPr>
        <w:t>Dopravní obslužnost, průjezdnost Zlína a parkovací plochy. Více vizí osobností a méně anket. Jsou zásadní věci, kde ankety nepomohou. Někdo musí stát za vizí a to musí být silná osobnost. Město se bojí rozhodovat ve strategických projektech a schovává se za ankety. (Žáček)</w:t>
      </w:r>
    </w:p>
    <w:p w14:paraId="5D9CC67D" w14:textId="77777777" w:rsidR="006E1FCB" w:rsidRPr="00401354" w:rsidRDefault="006E1FCB" w:rsidP="00A55F7D">
      <w:pPr>
        <w:pStyle w:val="Odstavecseseznamem"/>
        <w:numPr>
          <w:ilvl w:val="0"/>
          <w:numId w:val="80"/>
        </w:numPr>
        <w:rPr>
          <w:rFonts w:cstheme="minorHAnsi"/>
          <w:i/>
        </w:rPr>
      </w:pPr>
      <w:r w:rsidRPr="00401354">
        <w:rPr>
          <w:rFonts w:cstheme="minorHAnsi"/>
          <w:i/>
        </w:rPr>
        <w:t>Odkaz T. Bati vymizel, zůstaly jen budovy. Špatná dopravní dostupnost, návaznost na větší města. Chybí přímé spoje. Přejedu 38 semaforů, než se dostanu na dálniční převaděč. Parkování chybí, je drahé. Ceny i startovacích bytů jsou vysoké. (Ježíková)</w:t>
      </w:r>
    </w:p>
    <w:p w14:paraId="627791A2" w14:textId="77777777" w:rsidR="006E1FCB" w:rsidRPr="00401354" w:rsidRDefault="006E1FCB" w:rsidP="00A55F7D">
      <w:pPr>
        <w:pStyle w:val="Odstavecseseznamem"/>
        <w:numPr>
          <w:ilvl w:val="0"/>
          <w:numId w:val="80"/>
        </w:numPr>
        <w:rPr>
          <w:rFonts w:cstheme="minorHAnsi"/>
          <w:i/>
        </w:rPr>
      </w:pPr>
      <w:r w:rsidRPr="00401354">
        <w:rPr>
          <w:rFonts w:cstheme="minorHAnsi"/>
          <w:i/>
        </w:rPr>
        <w:t>Kvalitní napojení na celostátní a celoevropskou dopravní síť. Síť krajských komunikací, které by se napojily na nadřazené sítě (dálnice, letiště.) Lepší péče o místní komunikace. Např. u</w:t>
      </w:r>
      <w:r>
        <w:rPr>
          <w:rFonts w:cstheme="minorHAnsi"/>
          <w:i/>
        </w:rPr>
        <w:t> </w:t>
      </w:r>
      <w:r w:rsidRPr="00401354">
        <w:rPr>
          <w:rFonts w:cstheme="minorHAnsi"/>
          <w:i/>
        </w:rPr>
        <w:t>Baťových domků jsou rozbité komunikace, špatně průjezdné pro čistění, pro policii i</w:t>
      </w:r>
      <w:r>
        <w:rPr>
          <w:rFonts w:cstheme="minorHAnsi"/>
          <w:i/>
        </w:rPr>
        <w:t> </w:t>
      </w:r>
      <w:r w:rsidRPr="00401354">
        <w:rPr>
          <w:rFonts w:cstheme="minorHAnsi"/>
          <w:i/>
        </w:rPr>
        <w:t>zdravotníky. (Kocháň)</w:t>
      </w:r>
    </w:p>
    <w:p w14:paraId="201AE718" w14:textId="77777777" w:rsidR="006E1FCB" w:rsidRPr="00401354" w:rsidRDefault="006E1FCB" w:rsidP="00A55F7D">
      <w:pPr>
        <w:pStyle w:val="Odstavecseseznamem"/>
        <w:numPr>
          <w:ilvl w:val="0"/>
          <w:numId w:val="80"/>
        </w:numPr>
        <w:rPr>
          <w:rFonts w:cstheme="minorHAnsi"/>
          <w:i/>
        </w:rPr>
      </w:pPr>
      <w:r w:rsidRPr="00401354">
        <w:rPr>
          <w:rFonts w:cstheme="minorHAnsi"/>
          <w:i/>
        </w:rPr>
        <w:t>Pestřejší společenský život. Živější centrum. Více možností pro setkávání. (Čajánek)</w:t>
      </w:r>
    </w:p>
    <w:p w14:paraId="4808F2C8" w14:textId="77777777" w:rsidR="006E1FCB" w:rsidRDefault="006E1FCB" w:rsidP="00BC6914">
      <w:pPr>
        <w:pStyle w:val="Nadpis4"/>
      </w:pPr>
      <w:bookmarkStart w:id="855" w:name="_Toc50471490"/>
      <w:r>
        <w:t>Rozvoj města</w:t>
      </w:r>
      <w:bookmarkEnd w:id="855"/>
    </w:p>
    <w:p w14:paraId="1A56BCCC" w14:textId="77777777" w:rsidR="006E1FCB" w:rsidRPr="00401354" w:rsidRDefault="006E1FCB" w:rsidP="006E1FCB">
      <w:r>
        <w:t>U osobností výrazně převažuje pozitivní názor na vývoj města. Přičemž velmi pozitivní očekávání budoucího vývoje má 31 % osobností, přestože probíhá krize způsobena COVID-19. To znamená, že všichni vidí rozvojový potenciál města přes očekávaný dopad krize.</w:t>
      </w:r>
    </w:p>
    <w:p w14:paraId="0C95A54B" w14:textId="2419BB27" w:rsidR="006E1FCB" w:rsidRDefault="006E1FCB" w:rsidP="006E1FCB">
      <w:pPr>
        <w:pStyle w:val="Titulek"/>
        <w:keepNext/>
      </w:pPr>
      <w:bookmarkStart w:id="856" w:name="_Toc50549198"/>
      <w:bookmarkStart w:id="857" w:name="_Toc50989361"/>
      <w:bookmarkStart w:id="858" w:name="_Toc53388481"/>
      <w:bookmarkStart w:id="859" w:name="_Toc54702651"/>
      <w:bookmarkStart w:id="860" w:name="_Toc56179458"/>
      <w:bookmarkStart w:id="861" w:name="_Toc57731816"/>
      <w:bookmarkStart w:id="862" w:name="_Toc7707480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37</w:t>
      </w:r>
      <w:r w:rsidR="00081B47">
        <w:rPr>
          <w:noProof/>
        </w:rPr>
        <w:fldChar w:fldCharType="end"/>
      </w:r>
      <w:r w:rsidR="00151D71">
        <w:rPr>
          <w:noProof/>
        </w:rPr>
        <w:t>:</w:t>
      </w:r>
      <w:r>
        <w:t xml:space="preserve"> Vyhodnocení odpovědí k rozvoji města Zlín</w:t>
      </w:r>
      <w:bookmarkEnd w:id="856"/>
      <w:bookmarkEnd w:id="857"/>
      <w:bookmarkEnd w:id="858"/>
      <w:bookmarkEnd w:id="859"/>
      <w:bookmarkEnd w:id="860"/>
      <w:bookmarkEnd w:id="861"/>
      <w:bookmarkEnd w:id="862"/>
    </w:p>
    <w:tbl>
      <w:tblPr>
        <w:tblW w:w="72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1"/>
        <w:gridCol w:w="1920"/>
        <w:gridCol w:w="871"/>
        <w:gridCol w:w="1920"/>
        <w:gridCol w:w="871"/>
      </w:tblGrid>
      <w:tr w:rsidR="006E1FCB" w:rsidRPr="00E369B9" w14:paraId="7100C647" w14:textId="77777777" w:rsidTr="000931EA">
        <w:trPr>
          <w:trHeight w:val="290"/>
        </w:trPr>
        <w:tc>
          <w:tcPr>
            <w:tcW w:w="1701" w:type="dxa"/>
            <w:vMerge w:val="restart"/>
            <w:shd w:val="clear" w:color="auto" w:fill="auto"/>
            <w:noWrap/>
            <w:vAlign w:val="bottom"/>
            <w:hideMark/>
          </w:tcPr>
          <w:p w14:paraId="63F2F726" w14:textId="77777777" w:rsidR="006E1FCB" w:rsidRPr="00E369B9" w:rsidRDefault="006E1FCB" w:rsidP="000931EA">
            <w:pPr>
              <w:spacing w:before="0"/>
              <w:jc w:val="left"/>
              <w:rPr>
                <w:rFonts w:ascii="Calibri" w:eastAsia="Times New Roman" w:hAnsi="Calibri" w:cs="Calibri"/>
                <w:color w:val="000000"/>
                <w:sz w:val="20"/>
                <w:szCs w:val="20"/>
                <w:lang w:eastAsia="cs-CZ"/>
              </w:rPr>
            </w:pPr>
          </w:p>
        </w:tc>
        <w:tc>
          <w:tcPr>
            <w:tcW w:w="2791" w:type="dxa"/>
            <w:gridSpan w:val="2"/>
            <w:shd w:val="clear" w:color="auto" w:fill="auto"/>
            <w:noWrap/>
            <w:vAlign w:val="bottom"/>
            <w:hideMark/>
          </w:tcPr>
          <w:p w14:paraId="7B0062E3" w14:textId="77777777" w:rsidR="006E1FCB" w:rsidRPr="00E369B9" w:rsidRDefault="006E1FCB" w:rsidP="000931EA">
            <w:pPr>
              <w:spacing w:before="0"/>
              <w:jc w:val="center"/>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Vývoj města za posledních 5 let</w:t>
            </w:r>
          </w:p>
        </w:tc>
        <w:tc>
          <w:tcPr>
            <w:tcW w:w="2791" w:type="dxa"/>
            <w:gridSpan w:val="2"/>
            <w:shd w:val="clear" w:color="auto" w:fill="auto"/>
            <w:noWrap/>
            <w:vAlign w:val="bottom"/>
            <w:hideMark/>
          </w:tcPr>
          <w:p w14:paraId="58DEA8DB" w14:textId="77777777" w:rsidR="006E1FCB" w:rsidRPr="00E369B9" w:rsidRDefault="006E1FCB" w:rsidP="000931EA">
            <w:pPr>
              <w:spacing w:before="0"/>
              <w:jc w:val="center"/>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Budoucnost města</w:t>
            </w:r>
          </w:p>
        </w:tc>
      </w:tr>
      <w:tr w:rsidR="006E1FCB" w:rsidRPr="00E369B9" w14:paraId="54E3F685" w14:textId="77777777" w:rsidTr="000931EA">
        <w:trPr>
          <w:trHeight w:val="290"/>
        </w:trPr>
        <w:tc>
          <w:tcPr>
            <w:tcW w:w="1701" w:type="dxa"/>
            <w:vMerge/>
            <w:shd w:val="clear" w:color="auto" w:fill="auto"/>
            <w:noWrap/>
            <w:vAlign w:val="bottom"/>
            <w:hideMark/>
          </w:tcPr>
          <w:p w14:paraId="45C38123" w14:textId="77777777" w:rsidR="006E1FCB" w:rsidRPr="00E369B9" w:rsidRDefault="006E1FCB" w:rsidP="000931EA">
            <w:pPr>
              <w:spacing w:before="0"/>
              <w:jc w:val="left"/>
              <w:rPr>
                <w:rFonts w:ascii="Calibri" w:eastAsia="Times New Roman" w:hAnsi="Calibri" w:cs="Calibri"/>
                <w:color w:val="000000"/>
                <w:sz w:val="20"/>
                <w:szCs w:val="20"/>
                <w:lang w:eastAsia="cs-CZ"/>
              </w:rPr>
            </w:pPr>
          </w:p>
        </w:tc>
        <w:tc>
          <w:tcPr>
            <w:tcW w:w="1920" w:type="dxa"/>
            <w:shd w:val="clear" w:color="auto" w:fill="auto"/>
            <w:noWrap/>
            <w:vAlign w:val="bottom"/>
            <w:hideMark/>
          </w:tcPr>
          <w:p w14:paraId="783DF28E" w14:textId="77777777" w:rsidR="006E1FCB" w:rsidRPr="00E369B9" w:rsidRDefault="006E1FCB" w:rsidP="000931EA">
            <w:pPr>
              <w:spacing w:before="0"/>
              <w:jc w:val="center"/>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Četnost</w:t>
            </w:r>
          </w:p>
        </w:tc>
        <w:tc>
          <w:tcPr>
            <w:tcW w:w="871" w:type="dxa"/>
            <w:shd w:val="clear" w:color="auto" w:fill="auto"/>
            <w:noWrap/>
            <w:vAlign w:val="bottom"/>
            <w:hideMark/>
          </w:tcPr>
          <w:p w14:paraId="7B8F1F6D" w14:textId="77777777" w:rsidR="006E1FCB" w:rsidRPr="00E369B9" w:rsidRDefault="006E1FCB" w:rsidP="000931EA">
            <w:pPr>
              <w:spacing w:before="0"/>
              <w:jc w:val="center"/>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Procenta</w:t>
            </w:r>
          </w:p>
        </w:tc>
        <w:tc>
          <w:tcPr>
            <w:tcW w:w="1920" w:type="dxa"/>
            <w:shd w:val="clear" w:color="auto" w:fill="auto"/>
            <w:noWrap/>
            <w:vAlign w:val="bottom"/>
            <w:hideMark/>
          </w:tcPr>
          <w:p w14:paraId="3CB5A3E4" w14:textId="77777777" w:rsidR="006E1FCB" w:rsidRPr="00E369B9" w:rsidRDefault="006E1FCB" w:rsidP="000931EA">
            <w:pPr>
              <w:spacing w:before="0"/>
              <w:jc w:val="center"/>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Četnost</w:t>
            </w:r>
          </w:p>
        </w:tc>
        <w:tc>
          <w:tcPr>
            <w:tcW w:w="871" w:type="dxa"/>
            <w:shd w:val="clear" w:color="auto" w:fill="auto"/>
            <w:noWrap/>
            <w:vAlign w:val="bottom"/>
            <w:hideMark/>
          </w:tcPr>
          <w:p w14:paraId="1F5D2F15" w14:textId="77777777" w:rsidR="006E1FCB" w:rsidRPr="00E369B9" w:rsidRDefault="006E1FCB" w:rsidP="000931EA">
            <w:pPr>
              <w:spacing w:before="0"/>
              <w:jc w:val="center"/>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Procenta</w:t>
            </w:r>
          </w:p>
        </w:tc>
      </w:tr>
      <w:tr w:rsidR="006E1FCB" w:rsidRPr="00E369B9" w14:paraId="28365C5B" w14:textId="77777777" w:rsidTr="000931EA">
        <w:trPr>
          <w:trHeight w:val="290"/>
        </w:trPr>
        <w:tc>
          <w:tcPr>
            <w:tcW w:w="1701" w:type="dxa"/>
            <w:shd w:val="clear" w:color="auto" w:fill="auto"/>
            <w:noWrap/>
            <w:vAlign w:val="bottom"/>
            <w:hideMark/>
          </w:tcPr>
          <w:p w14:paraId="48752781" w14:textId="77777777" w:rsidR="006E1FCB" w:rsidRPr="00E369B9" w:rsidRDefault="006E1FCB" w:rsidP="000931EA">
            <w:pPr>
              <w:spacing w:before="0"/>
              <w:jc w:val="lef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Velmi negativně</w:t>
            </w:r>
          </w:p>
        </w:tc>
        <w:tc>
          <w:tcPr>
            <w:tcW w:w="1920" w:type="dxa"/>
            <w:shd w:val="clear" w:color="auto" w:fill="auto"/>
            <w:noWrap/>
            <w:vAlign w:val="bottom"/>
            <w:hideMark/>
          </w:tcPr>
          <w:p w14:paraId="51795BE0"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0</w:t>
            </w:r>
          </w:p>
        </w:tc>
        <w:tc>
          <w:tcPr>
            <w:tcW w:w="871" w:type="dxa"/>
            <w:shd w:val="clear" w:color="000000" w:fill="FCFCFF"/>
            <w:noWrap/>
            <w:vAlign w:val="bottom"/>
            <w:hideMark/>
          </w:tcPr>
          <w:p w14:paraId="37C67C50"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0%</w:t>
            </w:r>
          </w:p>
        </w:tc>
        <w:tc>
          <w:tcPr>
            <w:tcW w:w="1920" w:type="dxa"/>
            <w:shd w:val="clear" w:color="auto" w:fill="auto"/>
            <w:noWrap/>
            <w:vAlign w:val="bottom"/>
            <w:hideMark/>
          </w:tcPr>
          <w:p w14:paraId="549BDE08"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0</w:t>
            </w:r>
          </w:p>
        </w:tc>
        <w:tc>
          <w:tcPr>
            <w:tcW w:w="871" w:type="dxa"/>
            <w:shd w:val="clear" w:color="000000" w:fill="FCFCFF"/>
            <w:noWrap/>
            <w:vAlign w:val="bottom"/>
            <w:hideMark/>
          </w:tcPr>
          <w:p w14:paraId="7AA1B1FE"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0%</w:t>
            </w:r>
          </w:p>
        </w:tc>
      </w:tr>
      <w:tr w:rsidR="006E1FCB" w:rsidRPr="00E369B9" w14:paraId="574006D7" w14:textId="77777777" w:rsidTr="000931EA">
        <w:trPr>
          <w:trHeight w:val="290"/>
        </w:trPr>
        <w:tc>
          <w:tcPr>
            <w:tcW w:w="1701" w:type="dxa"/>
            <w:shd w:val="clear" w:color="auto" w:fill="auto"/>
            <w:noWrap/>
            <w:vAlign w:val="bottom"/>
            <w:hideMark/>
          </w:tcPr>
          <w:p w14:paraId="4881C4EF" w14:textId="77777777" w:rsidR="006E1FCB" w:rsidRPr="00E369B9" w:rsidRDefault="006E1FCB" w:rsidP="000931EA">
            <w:pPr>
              <w:spacing w:before="0"/>
              <w:jc w:val="lef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Spíše negativně</w:t>
            </w:r>
          </w:p>
        </w:tc>
        <w:tc>
          <w:tcPr>
            <w:tcW w:w="1920" w:type="dxa"/>
            <w:shd w:val="clear" w:color="auto" w:fill="auto"/>
            <w:noWrap/>
            <w:vAlign w:val="bottom"/>
            <w:hideMark/>
          </w:tcPr>
          <w:p w14:paraId="356CCF4E"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2</w:t>
            </w:r>
          </w:p>
        </w:tc>
        <w:tc>
          <w:tcPr>
            <w:tcW w:w="871" w:type="dxa"/>
            <w:shd w:val="clear" w:color="000000" w:fill="FBD8DA"/>
            <w:noWrap/>
            <w:vAlign w:val="bottom"/>
            <w:hideMark/>
          </w:tcPr>
          <w:p w14:paraId="2A59ABF1"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15%</w:t>
            </w:r>
          </w:p>
        </w:tc>
        <w:tc>
          <w:tcPr>
            <w:tcW w:w="1920" w:type="dxa"/>
            <w:shd w:val="clear" w:color="auto" w:fill="auto"/>
            <w:noWrap/>
            <w:vAlign w:val="bottom"/>
            <w:hideMark/>
          </w:tcPr>
          <w:p w14:paraId="4D2616C4"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0</w:t>
            </w:r>
          </w:p>
        </w:tc>
        <w:tc>
          <w:tcPr>
            <w:tcW w:w="871" w:type="dxa"/>
            <w:shd w:val="clear" w:color="000000" w:fill="FCFCFF"/>
            <w:noWrap/>
            <w:vAlign w:val="bottom"/>
            <w:hideMark/>
          </w:tcPr>
          <w:p w14:paraId="49442B5A"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0%</w:t>
            </w:r>
          </w:p>
        </w:tc>
      </w:tr>
      <w:tr w:rsidR="006E1FCB" w:rsidRPr="00E369B9" w14:paraId="62BE2031" w14:textId="77777777" w:rsidTr="000931EA">
        <w:trPr>
          <w:trHeight w:val="290"/>
        </w:trPr>
        <w:tc>
          <w:tcPr>
            <w:tcW w:w="1701" w:type="dxa"/>
            <w:shd w:val="clear" w:color="auto" w:fill="auto"/>
            <w:noWrap/>
            <w:vAlign w:val="bottom"/>
            <w:hideMark/>
          </w:tcPr>
          <w:p w14:paraId="4E535C91" w14:textId="77777777" w:rsidR="006E1FCB" w:rsidRPr="00E369B9" w:rsidRDefault="006E1FCB" w:rsidP="000931EA">
            <w:pPr>
              <w:spacing w:before="0"/>
              <w:jc w:val="lef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Spíše pozitivně</w:t>
            </w:r>
          </w:p>
        </w:tc>
        <w:tc>
          <w:tcPr>
            <w:tcW w:w="1920" w:type="dxa"/>
            <w:shd w:val="clear" w:color="auto" w:fill="auto"/>
            <w:noWrap/>
            <w:vAlign w:val="bottom"/>
            <w:hideMark/>
          </w:tcPr>
          <w:p w14:paraId="6F13072E"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8</w:t>
            </w:r>
          </w:p>
        </w:tc>
        <w:tc>
          <w:tcPr>
            <w:tcW w:w="871" w:type="dxa"/>
            <w:shd w:val="clear" w:color="000000" w:fill="F8696B"/>
            <w:noWrap/>
            <w:vAlign w:val="bottom"/>
            <w:hideMark/>
          </w:tcPr>
          <w:p w14:paraId="48076E1D"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62%</w:t>
            </w:r>
          </w:p>
        </w:tc>
        <w:tc>
          <w:tcPr>
            <w:tcW w:w="1920" w:type="dxa"/>
            <w:shd w:val="clear" w:color="auto" w:fill="auto"/>
            <w:noWrap/>
            <w:vAlign w:val="bottom"/>
            <w:hideMark/>
          </w:tcPr>
          <w:p w14:paraId="601838DB"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8</w:t>
            </w:r>
          </w:p>
        </w:tc>
        <w:tc>
          <w:tcPr>
            <w:tcW w:w="871" w:type="dxa"/>
            <w:shd w:val="clear" w:color="000000" w:fill="F8696B"/>
            <w:noWrap/>
            <w:vAlign w:val="bottom"/>
            <w:hideMark/>
          </w:tcPr>
          <w:p w14:paraId="1C4A2019"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62%</w:t>
            </w:r>
          </w:p>
        </w:tc>
      </w:tr>
      <w:tr w:rsidR="006E1FCB" w:rsidRPr="00E369B9" w14:paraId="5882A452" w14:textId="77777777" w:rsidTr="000931EA">
        <w:trPr>
          <w:trHeight w:val="290"/>
        </w:trPr>
        <w:tc>
          <w:tcPr>
            <w:tcW w:w="1701" w:type="dxa"/>
            <w:shd w:val="clear" w:color="auto" w:fill="auto"/>
            <w:noWrap/>
            <w:vAlign w:val="bottom"/>
            <w:hideMark/>
          </w:tcPr>
          <w:p w14:paraId="32E5F216" w14:textId="77777777" w:rsidR="006E1FCB" w:rsidRPr="00E369B9" w:rsidRDefault="006E1FCB" w:rsidP="000931EA">
            <w:pPr>
              <w:spacing w:before="0"/>
              <w:jc w:val="lef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Velmi pozitivně</w:t>
            </w:r>
          </w:p>
        </w:tc>
        <w:tc>
          <w:tcPr>
            <w:tcW w:w="1920" w:type="dxa"/>
            <w:shd w:val="clear" w:color="auto" w:fill="auto"/>
            <w:noWrap/>
            <w:vAlign w:val="bottom"/>
            <w:hideMark/>
          </w:tcPr>
          <w:p w14:paraId="3A84FA41"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2</w:t>
            </w:r>
          </w:p>
        </w:tc>
        <w:tc>
          <w:tcPr>
            <w:tcW w:w="871" w:type="dxa"/>
            <w:shd w:val="clear" w:color="000000" w:fill="FBD8DA"/>
            <w:noWrap/>
            <w:vAlign w:val="bottom"/>
            <w:hideMark/>
          </w:tcPr>
          <w:p w14:paraId="1A81554D"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15%</w:t>
            </w:r>
          </w:p>
        </w:tc>
        <w:tc>
          <w:tcPr>
            <w:tcW w:w="1920" w:type="dxa"/>
            <w:shd w:val="clear" w:color="auto" w:fill="auto"/>
            <w:noWrap/>
            <w:vAlign w:val="bottom"/>
            <w:hideMark/>
          </w:tcPr>
          <w:p w14:paraId="6EB21B99"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4</w:t>
            </w:r>
          </w:p>
        </w:tc>
        <w:tc>
          <w:tcPr>
            <w:tcW w:w="871" w:type="dxa"/>
            <w:shd w:val="clear" w:color="000000" w:fill="FAB3B5"/>
            <w:noWrap/>
            <w:vAlign w:val="bottom"/>
            <w:hideMark/>
          </w:tcPr>
          <w:p w14:paraId="41D9B85D"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31%</w:t>
            </w:r>
          </w:p>
        </w:tc>
      </w:tr>
      <w:tr w:rsidR="006E1FCB" w:rsidRPr="00E369B9" w14:paraId="3AF1D66F" w14:textId="77777777" w:rsidTr="000931EA">
        <w:trPr>
          <w:trHeight w:val="29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6C425" w14:textId="77777777" w:rsidR="006E1FCB" w:rsidRPr="00E369B9" w:rsidRDefault="006E1FCB" w:rsidP="000931EA">
            <w:pPr>
              <w:spacing w:before="0"/>
              <w:jc w:val="lef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Nevím</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FF778F"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1</w:t>
            </w:r>
          </w:p>
        </w:tc>
        <w:tc>
          <w:tcPr>
            <w:tcW w:w="871" w:type="dxa"/>
            <w:tcBorders>
              <w:top w:val="single" w:sz="4" w:space="0" w:color="auto"/>
              <w:left w:val="single" w:sz="4" w:space="0" w:color="auto"/>
              <w:bottom w:val="single" w:sz="4" w:space="0" w:color="auto"/>
              <w:right w:val="single" w:sz="4" w:space="0" w:color="auto"/>
            </w:tcBorders>
            <w:shd w:val="clear" w:color="000000" w:fill="FBD8DA"/>
            <w:noWrap/>
            <w:vAlign w:val="bottom"/>
            <w:hideMark/>
          </w:tcPr>
          <w:p w14:paraId="4C9AAB06"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8%</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9FEB9B"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1</w:t>
            </w:r>
          </w:p>
        </w:tc>
        <w:tc>
          <w:tcPr>
            <w:tcW w:w="871" w:type="dxa"/>
            <w:tcBorders>
              <w:top w:val="single" w:sz="4" w:space="0" w:color="auto"/>
              <w:left w:val="single" w:sz="4" w:space="0" w:color="auto"/>
              <w:bottom w:val="single" w:sz="4" w:space="0" w:color="auto"/>
              <w:right w:val="single" w:sz="4" w:space="0" w:color="auto"/>
            </w:tcBorders>
            <w:shd w:val="clear" w:color="000000" w:fill="FAB3B5"/>
            <w:noWrap/>
            <w:vAlign w:val="bottom"/>
            <w:hideMark/>
          </w:tcPr>
          <w:p w14:paraId="661E7EC2" w14:textId="77777777" w:rsidR="006E1FCB" w:rsidRPr="00E369B9" w:rsidRDefault="006E1FCB" w:rsidP="000931EA">
            <w:pPr>
              <w:spacing w:before="0"/>
              <w:jc w:val="right"/>
              <w:rPr>
                <w:rFonts w:ascii="Calibri" w:eastAsia="Times New Roman" w:hAnsi="Calibri" w:cs="Calibri"/>
                <w:color w:val="000000"/>
                <w:sz w:val="20"/>
                <w:szCs w:val="20"/>
                <w:lang w:eastAsia="cs-CZ"/>
              </w:rPr>
            </w:pPr>
            <w:r w:rsidRPr="00E369B9">
              <w:rPr>
                <w:rFonts w:ascii="Calibri" w:eastAsia="Times New Roman" w:hAnsi="Calibri" w:cs="Calibri"/>
                <w:color w:val="000000"/>
                <w:sz w:val="20"/>
                <w:szCs w:val="20"/>
                <w:lang w:eastAsia="cs-CZ"/>
              </w:rPr>
              <w:t>8%</w:t>
            </w:r>
          </w:p>
        </w:tc>
      </w:tr>
    </w:tbl>
    <w:p w14:paraId="6ABC20C3" w14:textId="77777777" w:rsidR="006E1FCB" w:rsidRDefault="006E1FCB" w:rsidP="006E1FCB">
      <w:pPr>
        <w:pStyle w:val="Zdroj"/>
      </w:pPr>
      <w:r>
        <w:t>Zdroj: PROCES, 2020. Výzkum osobností města Zlín.</w:t>
      </w:r>
    </w:p>
    <w:p w14:paraId="4E41BAC5" w14:textId="77777777" w:rsidR="006E1FCB" w:rsidRDefault="006E1FCB" w:rsidP="006E1FCB"/>
    <w:p w14:paraId="4AA700EA" w14:textId="3024EE38" w:rsidR="006E1FCB" w:rsidRDefault="006E1FCB" w:rsidP="006E1FCB">
      <w:pPr>
        <w:pStyle w:val="Titulek"/>
        <w:keepNext/>
      </w:pPr>
      <w:bookmarkStart w:id="863" w:name="_Toc50549046"/>
      <w:bookmarkStart w:id="864" w:name="_Toc50989496"/>
      <w:bookmarkStart w:id="865" w:name="_Toc53388666"/>
      <w:bookmarkStart w:id="866" w:name="_Toc54702797"/>
      <w:bookmarkStart w:id="867" w:name="_Toc56179603"/>
      <w:bookmarkStart w:id="868" w:name="_Toc7707494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24</w:t>
      </w:r>
      <w:r w:rsidR="00804AF3">
        <w:rPr>
          <w:noProof/>
        </w:rPr>
        <w:fldChar w:fldCharType="end"/>
      </w:r>
      <w:r w:rsidR="00151D71">
        <w:rPr>
          <w:noProof/>
        </w:rPr>
        <w:t>:</w:t>
      </w:r>
      <w:r>
        <w:t xml:space="preserve"> Porovnání názorů na minulý a budoucí vývoj města Zlín</w:t>
      </w:r>
      <w:bookmarkEnd w:id="863"/>
      <w:bookmarkEnd w:id="864"/>
      <w:bookmarkEnd w:id="865"/>
      <w:bookmarkEnd w:id="866"/>
      <w:bookmarkEnd w:id="867"/>
      <w:bookmarkEnd w:id="868"/>
      <w:r>
        <w:t xml:space="preserve"> </w:t>
      </w:r>
    </w:p>
    <w:p w14:paraId="03DAF9B0" w14:textId="77777777" w:rsidR="006E1FCB" w:rsidRDefault="006E1FCB" w:rsidP="006E1FCB">
      <w:r w:rsidRPr="00E006E6">
        <w:rPr>
          <w:noProof/>
          <w:lang w:eastAsia="cs-CZ"/>
        </w:rPr>
        <w:drawing>
          <wp:inline distT="0" distB="0" distL="0" distR="0" wp14:anchorId="1243F73D" wp14:editId="54709D20">
            <wp:extent cx="5760720" cy="3715959"/>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760720" cy="3715959"/>
                    </a:xfrm>
                    <a:prstGeom prst="rect">
                      <a:avLst/>
                    </a:prstGeom>
                    <a:noFill/>
                    <a:ln>
                      <a:noFill/>
                    </a:ln>
                  </pic:spPr>
                </pic:pic>
              </a:graphicData>
            </a:graphic>
          </wp:inline>
        </w:drawing>
      </w:r>
    </w:p>
    <w:p w14:paraId="3B760C9B" w14:textId="066E7F99" w:rsidR="006E1FCB" w:rsidRPr="00401354" w:rsidRDefault="006E1FCB" w:rsidP="00BC6914">
      <w:pPr>
        <w:pStyle w:val="Zdroj"/>
      </w:pPr>
      <w:r>
        <w:t xml:space="preserve">Zdroj: PROCES, 2020. Výzkum osobností města </w:t>
      </w:r>
      <w:r w:rsidR="00BC6914">
        <w:t>Zlín.</w:t>
      </w:r>
    </w:p>
    <w:p w14:paraId="3ACE61FD" w14:textId="77777777" w:rsidR="006E1FCB" w:rsidRPr="00154D62" w:rsidRDefault="006E1FCB" w:rsidP="006E1FCB">
      <w:pPr>
        <w:rPr>
          <w:b/>
        </w:rPr>
      </w:pPr>
      <w:r>
        <w:rPr>
          <w:b/>
        </w:rPr>
        <w:t xml:space="preserve">O8a: </w:t>
      </w:r>
      <w:r w:rsidRPr="00154D62">
        <w:rPr>
          <w:b/>
        </w:rPr>
        <w:t>Jak hodnotíte vývoj města za posledních 5 let?</w:t>
      </w:r>
    </w:p>
    <w:p w14:paraId="1A9202ED" w14:textId="77777777" w:rsidR="006E1FCB" w:rsidRPr="00E006E6" w:rsidRDefault="006E1FCB" w:rsidP="00A55F7D">
      <w:pPr>
        <w:pStyle w:val="Odstavecseseznamem"/>
        <w:numPr>
          <w:ilvl w:val="0"/>
          <w:numId w:val="80"/>
        </w:numPr>
        <w:rPr>
          <w:rFonts w:cstheme="minorHAnsi"/>
          <w:i/>
        </w:rPr>
      </w:pPr>
      <w:r w:rsidRPr="00E006E6">
        <w:rPr>
          <w:rFonts w:cstheme="minorHAnsi"/>
          <w:i/>
        </w:rPr>
        <w:t>Dochází k obnově staveb, pečuje se o zele</w:t>
      </w:r>
      <w:r>
        <w:rPr>
          <w:rFonts w:cstheme="minorHAnsi"/>
          <w:i/>
        </w:rPr>
        <w:t>ň</w:t>
      </w:r>
      <w:r w:rsidRPr="00E006E6">
        <w:rPr>
          <w:rFonts w:cstheme="minorHAnsi"/>
          <w:i/>
        </w:rPr>
        <w:t>, byl opraven Prior. (Gaťáková)</w:t>
      </w:r>
    </w:p>
    <w:p w14:paraId="6E86F3AB" w14:textId="77777777" w:rsidR="006E1FCB" w:rsidRPr="00E006E6" w:rsidRDefault="006E1FCB" w:rsidP="00A55F7D">
      <w:pPr>
        <w:pStyle w:val="Odstavecseseznamem"/>
        <w:numPr>
          <w:ilvl w:val="0"/>
          <w:numId w:val="80"/>
        </w:numPr>
        <w:rPr>
          <w:rFonts w:cstheme="minorHAnsi"/>
          <w:i/>
        </w:rPr>
      </w:pPr>
      <w:r w:rsidRPr="00E006E6">
        <w:rPr>
          <w:rFonts w:cstheme="minorHAnsi"/>
          <w:i/>
        </w:rPr>
        <w:t>Zlín má obrovský potenciál v kultuře, turistice, stavby, ten ale není využit. Radnice je v hrozném stavu. Bývalé vedení města nic nedělalo a nic nepoškodilo. Je zde nedostatek sportovního využití. Zastavil se zde čas a nic se zde neděje. (Goláň)</w:t>
      </w:r>
    </w:p>
    <w:p w14:paraId="4A3EE274" w14:textId="77777777" w:rsidR="006E1FCB" w:rsidRPr="00E006E6" w:rsidRDefault="006E1FCB" w:rsidP="00A55F7D">
      <w:pPr>
        <w:pStyle w:val="Odstavecseseznamem"/>
        <w:numPr>
          <w:ilvl w:val="0"/>
          <w:numId w:val="80"/>
        </w:numPr>
        <w:rPr>
          <w:rFonts w:cstheme="minorHAnsi"/>
          <w:i/>
        </w:rPr>
      </w:pPr>
      <w:r w:rsidRPr="00E006E6">
        <w:rPr>
          <w:rFonts w:cstheme="minorHAnsi"/>
          <w:i/>
        </w:rPr>
        <w:t>Město se snaží revitalizovat a vše jde dopředu. Chtělo by t</w:t>
      </w:r>
      <w:r>
        <w:rPr>
          <w:rFonts w:cstheme="minorHAnsi"/>
          <w:i/>
        </w:rPr>
        <w:t>u</w:t>
      </w:r>
      <w:r w:rsidRPr="00E006E6">
        <w:rPr>
          <w:rFonts w:cstheme="minorHAnsi"/>
          <w:i/>
        </w:rPr>
        <w:t xml:space="preserve"> však více dlouhodobých a velkých investičních projektů. (Indra)</w:t>
      </w:r>
    </w:p>
    <w:p w14:paraId="69825561" w14:textId="77777777" w:rsidR="006E1FCB" w:rsidRPr="00E006E6" w:rsidRDefault="006E1FCB" w:rsidP="00A55F7D">
      <w:pPr>
        <w:pStyle w:val="Odstavecseseznamem"/>
        <w:numPr>
          <w:ilvl w:val="0"/>
          <w:numId w:val="80"/>
        </w:numPr>
        <w:rPr>
          <w:rFonts w:cstheme="minorHAnsi"/>
          <w:i/>
        </w:rPr>
      </w:pPr>
      <w:r w:rsidRPr="00E006E6">
        <w:rPr>
          <w:rFonts w:cstheme="minorHAnsi"/>
          <w:i/>
        </w:rPr>
        <w:t>Tovární trakt, park, museum, UTB, Tescoma, výroba kontejnerů, oční klinika, výzkumná pracoviště - člověk může pokračovat pěkně dlouho, vše má úspěšný rozvojový potenciál. (Jiřičná)</w:t>
      </w:r>
    </w:p>
    <w:p w14:paraId="481250E4" w14:textId="77777777" w:rsidR="006E1FCB" w:rsidRPr="00E006E6" w:rsidRDefault="006E1FCB" w:rsidP="00A55F7D">
      <w:pPr>
        <w:pStyle w:val="Odstavecseseznamem"/>
        <w:numPr>
          <w:ilvl w:val="0"/>
          <w:numId w:val="80"/>
        </w:numPr>
        <w:rPr>
          <w:rFonts w:cstheme="minorHAnsi"/>
          <w:i/>
        </w:rPr>
      </w:pPr>
      <w:r w:rsidRPr="00E006E6">
        <w:rPr>
          <w:rFonts w:cstheme="minorHAnsi"/>
          <w:i/>
        </w:rPr>
        <w:t>Snaha pečovat a starat se o město, efektivně hospodařit. Byť se zásadní kroky zatím zcela nedaří, trvalý posun je patrný.</w:t>
      </w:r>
      <w:r>
        <w:rPr>
          <w:rFonts w:cstheme="minorHAnsi"/>
          <w:i/>
        </w:rPr>
        <w:t xml:space="preserve"> </w:t>
      </w:r>
      <w:r w:rsidRPr="00E006E6">
        <w:rPr>
          <w:rFonts w:cstheme="minorHAnsi"/>
          <w:i/>
        </w:rPr>
        <w:t>(Kutý)</w:t>
      </w:r>
    </w:p>
    <w:p w14:paraId="01B60ED4" w14:textId="77777777" w:rsidR="006E1FCB" w:rsidRPr="00E006E6" w:rsidRDefault="006E1FCB" w:rsidP="00A55F7D">
      <w:pPr>
        <w:pStyle w:val="Odstavecseseznamem"/>
        <w:numPr>
          <w:ilvl w:val="0"/>
          <w:numId w:val="80"/>
        </w:numPr>
        <w:rPr>
          <w:rFonts w:cstheme="minorHAnsi"/>
          <w:i/>
        </w:rPr>
      </w:pPr>
      <w:r w:rsidRPr="00E006E6">
        <w:rPr>
          <w:rFonts w:cstheme="minorHAnsi"/>
          <w:i/>
        </w:rPr>
        <w:t>Probíhají zde rozsáhlé revitalizace a město má potenciál řešit i bydlení, dopravu. (Stodůlka)</w:t>
      </w:r>
    </w:p>
    <w:p w14:paraId="40637FE1" w14:textId="77777777" w:rsidR="006E1FCB" w:rsidRPr="00E006E6" w:rsidRDefault="006E1FCB" w:rsidP="00A55F7D">
      <w:pPr>
        <w:pStyle w:val="Odstavecseseznamem"/>
        <w:numPr>
          <w:ilvl w:val="0"/>
          <w:numId w:val="80"/>
        </w:numPr>
        <w:rPr>
          <w:rFonts w:cstheme="minorHAnsi"/>
          <w:i/>
        </w:rPr>
      </w:pPr>
      <w:r w:rsidRPr="00E006E6">
        <w:rPr>
          <w:rFonts w:cstheme="minorHAnsi"/>
          <w:i/>
        </w:rPr>
        <w:t>Pozoruji rozvíjející se potenciál v lidech, postupuje revitalizace parků, obnova zchátralých budov. Město vizuálně rozkvetlo a postupně odstraňuje nedostatky. IPR</w:t>
      </w:r>
      <w:r>
        <w:rPr>
          <w:rFonts w:cstheme="minorHAnsi"/>
          <w:i/>
        </w:rPr>
        <w:t>Ú</w:t>
      </w:r>
      <w:r w:rsidRPr="00E006E6">
        <w:rPr>
          <w:rFonts w:cstheme="minorHAnsi"/>
          <w:i/>
        </w:rPr>
        <w:t>, kterého se účastníme, neohrožuje plány rozvoje zájmů firem. (Táborská)</w:t>
      </w:r>
    </w:p>
    <w:p w14:paraId="442DC2AB" w14:textId="77777777" w:rsidR="006E1FCB" w:rsidRPr="00E006E6" w:rsidRDefault="006E1FCB" w:rsidP="00A55F7D">
      <w:pPr>
        <w:pStyle w:val="Odstavecseseznamem"/>
        <w:numPr>
          <w:ilvl w:val="0"/>
          <w:numId w:val="80"/>
        </w:numPr>
        <w:rPr>
          <w:rFonts w:cstheme="minorHAnsi"/>
          <w:i/>
        </w:rPr>
      </w:pPr>
      <w:r>
        <w:rPr>
          <w:rFonts w:cstheme="minorHAnsi"/>
          <w:i/>
        </w:rPr>
        <w:t>O</w:t>
      </w:r>
      <w:r w:rsidRPr="00E006E6">
        <w:rPr>
          <w:rFonts w:cstheme="minorHAnsi"/>
          <w:i/>
        </w:rPr>
        <w:t xml:space="preserve">pravilo se hodně veřejných prostranství. Snížil se dluh města k veřejnosti. </w:t>
      </w:r>
      <w:r>
        <w:rPr>
          <w:rFonts w:cstheme="minorHAnsi"/>
          <w:i/>
        </w:rPr>
        <w:t>O</w:t>
      </w:r>
      <w:r w:rsidRPr="00E006E6">
        <w:rPr>
          <w:rFonts w:cstheme="minorHAnsi"/>
          <w:i/>
        </w:rPr>
        <w:t>pravily se rozpadlé chodníky. (Korec)</w:t>
      </w:r>
    </w:p>
    <w:p w14:paraId="2A91E221" w14:textId="77777777" w:rsidR="006E1FCB" w:rsidRPr="00E006E6" w:rsidRDefault="006E1FCB" w:rsidP="00A55F7D">
      <w:pPr>
        <w:pStyle w:val="Odstavecseseznamem"/>
        <w:numPr>
          <w:ilvl w:val="0"/>
          <w:numId w:val="80"/>
        </w:numPr>
        <w:rPr>
          <w:rFonts w:cstheme="minorHAnsi"/>
          <w:i/>
        </w:rPr>
      </w:pPr>
      <w:r w:rsidRPr="00E006E6">
        <w:rPr>
          <w:rFonts w:cstheme="minorHAnsi"/>
          <w:i/>
        </w:rPr>
        <w:t>Na území města jsou změny, něco se vybudovalo, ale domnívám se, že se plně nevyužilo příležitostí spojených s dotačními tituly ze zdrojů operačních programů. Také je zde nízká efektivita v oblasti řešení vleklých majetkových sporů objektů na území města</w:t>
      </w:r>
      <w:r>
        <w:rPr>
          <w:rFonts w:cstheme="minorHAnsi"/>
          <w:i/>
        </w:rPr>
        <w:t>.</w:t>
      </w:r>
      <w:r w:rsidRPr="00E006E6">
        <w:rPr>
          <w:rFonts w:cstheme="minorHAnsi"/>
          <w:i/>
        </w:rPr>
        <w:t xml:space="preserve"> (Sedlařík)</w:t>
      </w:r>
    </w:p>
    <w:p w14:paraId="399CD4D2" w14:textId="77777777" w:rsidR="006E1FCB" w:rsidRPr="00E006E6" w:rsidRDefault="006E1FCB" w:rsidP="00A55F7D">
      <w:pPr>
        <w:pStyle w:val="Odstavecseseznamem"/>
        <w:numPr>
          <w:ilvl w:val="0"/>
          <w:numId w:val="80"/>
        </w:numPr>
        <w:rPr>
          <w:rFonts w:cstheme="minorHAnsi"/>
          <w:i/>
        </w:rPr>
      </w:pPr>
      <w:r w:rsidRPr="00E006E6">
        <w:rPr>
          <w:rFonts w:cstheme="minorHAnsi"/>
          <w:i/>
        </w:rPr>
        <w:t>Více činů, více vizí, méně anket. (Žáček)</w:t>
      </w:r>
    </w:p>
    <w:p w14:paraId="509D450B" w14:textId="77777777" w:rsidR="006E1FCB" w:rsidRPr="00E006E6" w:rsidRDefault="006E1FCB" w:rsidP="00A55F7D">
      <w:pPr>
        <w:pStyle w:val="Odstavecseseznamem"/>
        <w:numPr>
          <w:ilvl w:val="0"/>
          <w:numId w:val="80"/>
        </w:numPr>
        <w:rPr>
          <w:rFonts w:cstheme="minorHAnsi"/>
          <w:i/>
        </w:rPr>
      </w:pPr>
      <w:r w:rsidRPr="00E006E6">
        <w:rPr>
          <w:rFonts w:cstheme="minorHAnsi"/>
          <w:i/>
        </w:rPr>
        <w:t>Probíhá revitalizace města. To co probíhá nyní, jsou jen zbytky revitalizací. Je zde mnoho aktivit pro děti, stále se něco chystá. Je zde dostatek ZŠ, MŠ.</w:t>
      </w:r>
      <w:r>
        <w:rPr>
          <w:rFonts w:cstheme="minorHAnsi"/>
          <w:i/>
        </w:rPr>
        <w:t xml:space="preserve"> </w:t>
      </w:r>
      <w:r w:rsidRPr="00E006E6">
        <w:rPr>
          <w:rFonts w:cstheme="minorHAnsi"/>
          <w:i/>
        </w:rPr>
        <w:t>(Ježíková)</w:t>
      </w:r>
    </w:p>
    <w:p w14:paraId="3C6E9F26" w14:textId="77777777" w:rsidR="006E1FCB" w:rsidRPr="00E006E6" w:rsidRDefault="006E1FCB" w:rsidP="00A55F7D">
      <w:pPr>
        <w:pStyle w:val="Odstavecseseznamem"/>
        <w:numPr>
          <w:ilvl w:val="0"/>
          <w:numId w:val="80"/>
        </w:numPr>
        <w:rPr>
          <w:rFonts w:cstheme="minorHAnsi"/>
          <w:i/>
        </w:rPr>
      </w:pPr>
      <w:r w:rsidRPr="00E006E6">
        <w:rPr>
          <w:rFonts w:cstheme="minorHAnsi"/>
          <w:i/>
        </w:rPr>
        <w:t>Ve městě se nestaví, vše stojí a nevznikají nová pracovní místa. Největší zaměstnavatelé jsou zde stále státní podniky (nemocnice, univerzita), neinvestuje se. (Kocháň)</w:t>
      </w:r>
    </w:p>
    <w:p w14:paraId="7ADC3AB6" w14:textId="77777777" w:rsidR="006E1FCB" w:rsidRPr="00E006E6" w:rsidRDefault="006E1FCB" w:rsidP="00A55F7D">
      <w:pPr>
        <w:pStyle w:val="Odstavecseseznamem"/>
        <w:numPr>
          <w:ilvl w:val="0"/>
          <w:numId w:val="80"/>
        </w:numPr>
        <w:rPr>
          <w:rFonts w:cstheme="minorHAnsi"/>
          <w:i/>
        </w:rPr>
      </w:pPr>
      <w:r w:rsidRPr="00E006E6">
        <w:rPr>
          <w:rFonts w:cstheme="minorHAnsi"/>
          <w:i/>
        </w:rPr>
        <w:t>Nedokážu zhodnotit zásluhy jednotlivců na rozvoji města. (Čajánek)</w:t>
      </w:r>
    </w:p>
    <w:p w14:paraId="6DC54403" w14:textId="77777777" w:rsidR="006E1FCB" w:rsidRPr="00154D62" w:rsidRDefault="006E1FCB" w:rsidP="006E1FCB">
      <w:pPr>
        <w:rPr>
          <w:b/>
        </w:rPr>
      </w:pPr>
      <w:r>
        <w:rPr>
          <w:b/>
        </w:rPr>
        <w:t>O</w:t>
      </w:r>
      <w:r w:rsidRPr="00154D62">
        <w:rPr>
          <w:b/>
        </w:rPr>
        <w:t>9</w:t>
      </w:r>
      <w:r>
        <w:rPr>
          <w:b/>
        </w:rPr>
        <w:t xml:space="preserve">a: </w:t>
      </w:r>
      <w:r w:rsidRPr="00154D62">
        <w:rPr>
          <w:b/>
        </w:rPr>
        <w:t>Jak vnímáte budoucnost města Zlín?</w:t>
      </w:r>
    </w:p>
    <w:p w14:paraId="43CF1682" w14:textId="77777777" w:rsidR="006E1FCB" w:rsidRPr="00E006E6" w:rsidRDefault="006E1FCB" w:rsidP="00A55F7D">
      <w:pPr>
        <w:pStyle w:val="Odstavecseseznamem"/>
        <w:numPr>
          <w:ilvl w:val="0"/>
          <w:numId w:val="80"/>
        </w:numPr>
        <w:rPr>
          <w:rFonts w:cstheme="minorHAnsi"/>
          <w:i/>
        </w:rPr>
      </w:pPr>
      <w:r w:rsidRPr="00E006E6">
        <w:rPr>
          <w:rFonts w:cstheme="minorHAnsi"/>
          <w:i/>
        </w:rPr>
        <w:t>Jestli se podaří udržet současný trend rozvoje, bude to fajn. Zlín má projekty, které vedou k jeho dalšímu rozvoji. (Gaťáková)</w:t>
      </w:r>
    </w:p>
    <w:p w14:paraId="7A9F56F5" w14:textId="77777777" w:rsidR="006E1FCB" w:rsidRPr="00E006E6" w:rsidRDefault="006E1FCB" w:rsidP="00A55F7D">
      <w:pPr>
        <w:pStyle w:val="Odstavecseseznamem"/>
        <w:numPr>
          <w:ilvl w:val="0"/>
          <w:numId w:val="80"/>
        </w:numPr>
        <w:rPr>
          <w:rFonts w:cstheme="minorHAnsi"/>
          <w:i/>
        </w:rPr>
      </w:pPr>
      <w:r w:rsidRPr="00E006E6">
        <w:rPr>
          <w:rFonts w:cstheme="minorHAnsi"/>
          <w:i/>
        </w:rPr>
        <w:t>Město má výbornou geografickou polohu, má potenciál ke změnám, výborný odkaz Tomáše Bati. Město má stále svou tvář od Bati. (Goláň)</w:t>
      </w:r>
    </w:p>
    <w:p w14:paraId="4DD7FE1F" w14:textId="77777777" w:rsidR="006E1FCB" w:rsidRPr="00E006E6" w:rsidRDefault="006E1FCB" w:rsidP="00A55F7D">
      <w:pPr>
        <w:pStyle w:val="Odstavecseseznamem"/>
        <w:numPr>
          <w:ilvl w:val="0"/>
          <w:numId w:val="80"/>
        </w:numPr>
        <w:rPr>
          <w:rFonts w:cstheme="minorHAnsi"/>
          <w:i/>
        </w:rPr>
      </w:pPr>
      <w:r w:rsidRPr="00E006E6">
        <w:rPr>
          <w:rFonts w:cstheme="minorHAnsi"/>
          <w:i/>
        </w:rPr>
        <w:t>Je tu potenciál rozvoje v mladých lidech, přitáhla je zde UTB. Město může vzkvétat.</w:t>
      </w:r>
      <w:r>
        <w:rPr>
          <w:rFonts w:cstheme="minorHAnsi"/>
          <w:i/>
        </w:rPr>
        <w:t xml:space="preserve"> </w:t>
      </w:r>
      <w:r w:rsidRPr="00E006E6">
        <w:rPr>
          <w:rFonts w:cstheme="minorHAnsi"/>
          <w:i/>
        </w:rPr>
        <w:t>(Indra)</w:t>
      </w:r>
    </w:p>
    <w:p w14:paraId="723CD4AF" w14:textId="77777777" w:rsidR="006E1FCB" w:rsidRPr="00E006E6" w:rsidRDefault="006E1FCB" w:rsidP="00A55F7D">
      <w:pPr>
        <w:pStyle w:val="Odstavecseseznamem"/>
        <w:numPr>
          <w:ilvl w:val="0"/>
          <w:numId w:val="80"/>
        </w:numPr>
        <w:rPr>
          <w:rFonts w:cstheme="minorHAnsi"/>
          <w:i/>
        </w:rPr>
      </w:pPr>
      <w:r w:rsidRPr="00E006E6">
        <w:rPr>
          <w:rFonts w:cstheme="minorHAnsi"/>
          <w:i/>
        </w:rPr>
        <w:t>Zde jen doufám, že to bude velmi pozitivní. Za těch 20 nebo i víc let</w:t>
      </w:r>
      <w:r>
        <w:rPr>
          <w:rFonts w:cstheme="minorHAnsi"/>
          <w:i/>
        </w:rPr>
        <w:t>,</w:t>
      </w:r>
      <w:r w:rsidRPr="00E006E6">
        <w:rPr>
          <w:rFonts w:cstheme="minorHAnsi"/>
          <w:i/>
        </w:rPr>
        <w:t xml:space="preserve"> co do Zlína jezdím, vidím pokrok a nem</w:t>
      </w:r>
      <w:r>
        <w:rPr>
          <w:rFonts w:cstheme="minorHAnsi"/>
          <w:i/>
        </w:rPr>
        <w:t>á</w:t>
      </w:r>
      <w:r w:rsidRPr="00E006E6">
        <w:rPr>
          <w:rFonts w:cstheme="minorHAnsi"/>
          <w:i/>
        </w:rPr>
        <w:t>m důvod vidět černě. (Jiřičná)</w:t>
      </w:r>
    </w:p>
    <w:p w14:paraId="22B82D38" w14:textId="09A08130" w:rsidR="006E1FCB" w:rsidRPr="00E006E6" w:rsidRDefault="006E1FCB" w:rsidP="00A55F7D">
      <w:pPr>
        <w:pStyle w:val="Odstavecseseznamem"/>
        <w:numPr>
          <w:ilvl w:val="0"/>
          <w:numId w:val="80"/>
        </w:numPr>
        <w:rPr>
          <w:rFonts w:cstheme="minorHAnsi"/>
          <w:i/>
        </w:rPr>
      </w:pPr>
      <w:r w:rsidRPr="00E006E6">
        <w:rPr>
          <w:rFonts w:cstheme="minorHAnsi"/>
          <w:i/>
        </w:rPr>
        <w:t>Dostatečný lidský potenciál, dostupné vzdělá</w:t>
      </w:r>
      <w:r w:rsidR="00757ADA">
        <w:rPr>
          <w:rFonts w:cstheme="minorHAnsi"/>
          <w:i/>
        </w:rPr>
        <w:t>vá</w:t>
      </w:r>
      <w:r w:rsidRPr="00E006E6">
        <w:rPr>
          <w:rFonts w:cstheme="minorHAnsi"/>
          <w:i/>
        </w:rPr>
        <w:t>ní, průmyslová tradice, podnikatelský duch, pracovitost.</w:t>
      </w:r>
      <w:r>
        <w:rPr>
          <w:rFonts w:cstheme="minorHAnsi"/>
          <w:i/>
        </w:rPr>
        <w:t xml:space="preserve"> </w:t>
      </w:r>
      <w:r w:rsidRPr="00E006E6">
        <w:rPr>
          <w:rFonts w:cstheme="minorHAnsi"/>
          <w:i/>
        </w:rPr>
        <w:t>(Kutý)</w:t>
      </w:r>
    </w:p>
    <w:p w14:paraId="0EAB89B3" w14:textId="77777777" w:rsidR="006E1FCB" w:rsidRPr="00E006E6" w:rsidRDefault="006E1FCB" w:rsidP="00A55F7D">
      <w:pPr>
        <w:pStyle w:val="Odstavecseseznamem"/>
        <w:numPr>
          <w:ilvl w:val="0"/>
          <w:numId w:val="80"/>
        </w:numPr>
        <w:rPr>
          <w:rFonts w:cstheme="minorHAnsi"/>
          <w:i/>
        </w:rPr>
      </w:pPr>
      <w:r w:rsidRPr="00E006E6">
        <w:rPr>
          <w:rFonts w:cstheme="minorHAnsi"/>
          <w:i/>
        </w:rPr>
        <w:t>Je zde rovnováha mezi podnikavostí a životem lidí. Vlivem pracovitosti zde vnikají nové firmy. Pro budoucnost je právě v tom důležitý odkaz T. Bati. (Stodůlka)</w:t>
      </w:r>
    </w:p>
    <w:p w14:paraId="65CE4F06" w14:textId="77777777" w:rsidR="006E1FCB" w:rsidRPr="00E006E6" w:rsidRDefault="006E1FCB" w:rsidP="00A55F7D">
      <w:pPr>
        <w:pStyle w:val="Odstavecseseznamem"/>
        <w:numPr>
          <w:ilvl w:val="0"/>
          <w:numId w:val="80"/>
        </w:numPr>
        <w:rPr>
          <w:rFonts w:cstheme="minorHAnsi"/>
          <w:i/>
        </w:rPr>
      </w:pPr>
      <w:r w:rsidRPr="00E006E6">
        <w:rPr>
          <w:rFonts w:cstheme="minorHAnsi"/>
          <w:i/>
        </w:rPr>
        <w:t>Do rozvoje města vstupuje více faktorů a Zlín má předpoklady pro rozvoj. Zlín se snaží najít svou vizi. Prezentují město v kreativním průmyslu, designu, snaží se o to, aby nebyli jednostranní. (Táborská)</w:t>
      </w:r>
    </w:p>
    <w:p w14:paraId="36BA7F75" w14:textId="5292551E" w:rsidR="006E1FCB" w:rsidRPr="00E006E6" w:rsidRDefault="006E1FCB" w:rsidP="00A55F7D">
      <w:pPr>
        <w:pStyle w:val="Odstavecseseznamem"/>
        <w:numPr>
          <w:ilvl w:val="0"/>
          <w:numId w:val="80"/>
        </w:numPr>
        <w:rPr>
          <w:rFonts w:cstheme="minorHAnsi"/>
          <w:i/>
        </w:rPr>
      </w:pPr>
      <w:r w:rsidRPr="00E006E6">
        <w:rPr>
          <w:rFonts w:cstheme="minorHAnsi"/>
          <w:i/>
        </w:rPr>
        <w:t>Chystají se zde velké rozvojové projekty. Týká se to dopravních staveb, (křižovatky, Prštensk</w:t>
      </w:r>
      <w:r>
        <w:rPr>
          <w:rFonts w:cstheme="minorHAnsi"/>
          <w:i/>
        </w:rPr>
        <w:t>á</w:t>
      </w:r>
      <w:r w:rsidRPr="00E006E6">
        <w:rPr>
          <w:rFonts w:cstheme="minorHAnsi"/>
          <w:i/>
        </w:rPr>
        <w:t xml:space="preserve"> příčka, zlepší se dopravní napojení místní části Příluky, vybuduje se Pravobřežní komunikace). Bude modernizován dopravní terminál, který přispěje ke zlepšení vzhledu města. Nové využití plochy pod sportovní halou</w:t>
      </w:r>
      <w:r>
        <w:rPr>
          <w:rFonts w:cstheme="minorHAnsi"/>
          <w:i/>
        </w:rPr>
        <w:t>,</w:t>
      </w:r>
      <w:r w:rsidRPr="00E006E6">
        <w:rPr>
          <w:rFonts w:cstheme="minorHAnsi"/>
          <w:i/>
        </w:rPr>
        <w:t xml:space="preserve"> např. městský bulvár. Další rozvojová plocha je bývalé torzo nedostavěného obchodního centra na Jižních svazích. Město Zlín musí růst především do výšky a</w:t>
      </w:r>
      <w:r>
        <w:rPr>
          <w:rFonts w:cstheme="minorHAnsi"/>
          <w:i/>
        </w:rPr>
        <w:t> </w:t>
      </w:r>
      <w:r w:rsidRPr="00E006E6">
        <w:rPr>
          <w:rFonts w:cstheme="minorHAnsi"/>
          <w:i/>
        </w:rPr>
        <w:t>ne do šířky. Chceme podporovat rozvoj bydlení v centru. Budoucnost metropolitního Zlína znamená propojení s dalšími městy v okolí (Otrokovice, Vizovice, Napajedla), otázkou je</w:t>
      </w:r>
      <w:r>
        <w:rPr>
          <w:rFonts w:cstheme="minorHAnsi"/>
          <w:i/>
        </w:rPr>
        <w:t>,</w:t>
      </w:r>
      <w:r w:rsidRPr="00E006E6">
        <w:rPr>
          <w:rFonts w:cstheme="minorHAnsi"/>
          <w:i/>
        </w:rPr>
        <w:t xml:space="preserve"> zda se budou chtít okolní obce a v čem propojovat s krajským městem, zda k tomu nalezneme shodu či dostatečnou motivaci přinášející klady jak pro krajské město, tak pro okolní obce. (Korec)</w:t>
      </w:r>
    </w:p>
    <w:p w14:paraId="2BB88306" w14:textId="4C541785" w:rsidR="006E1FCB" w:rsidRPr="00E006E6" w:rsidRDefault="006E1FCB" w:rsidP="00A55F7D">
      <w:pPr>
        <w:pStyle w:val="Odstavecseseznamem"/>
        <w:numPr>
          <w:ilvl w:val="0"/>
          <w:numId w:val="80"/>
        </w:numPr>
        <w:rPr>
          <w:rFonts w:cstheme="minorHAnsi"/>
          <w:i/>
        </w:rPr>
      </w:pPr>
      <w:r w:rsidRPr="00E006E6">
        <w:rPr>
          <w:rFonts w:cstheme="minorHAnsi"/>
          <w:i/>
        </w:rPr>
        <w:t>Město má potenciál k rozvoji, když se jasně naformuluje a hlavně vy</w:t>
      </w:r>
      <w:r w:rsidR="00151D71">
        <w:rPr>
          <w:rFonts w:cstheme="minorHAnsi"/>
          <w:i/>
        </w:rPr>
        <w:t>jedná</w:t>
      </w:r>
      <w:r w:rsidRPr="00E006E6">
        <w:rPr>
          <w:rFonts w:cstheme="minorHAnsi"/>
          <w:i/>
        </w:rPr>
        <w:t xml:space="preserve"> koncepce rozvoje města a s ní související akční plán a následné nastavení finančních toků v rámci rozpočtu města Zlína. (Sedlařík)</w:t>
      </w:r>
    </w:p>
    <w:p w14:paraId="608736A6" w14:textId="77777777" w:rsidR="006E1FCB" w:rsidRPr="00E006E6" w:rsidRDefault="006E1FCB" w:rsidP="00A55F7D">
      <w:pPr>
        <w:pStyle w:val="Odstavecseseznamem"/>
        <w:numPr>
          <w:ilvl w:val="0"/>
          <w:numId w:val="80"/>
        </w:numPr>
        <w:rPr>
          <w:rFonts w:cstheme="minorHAnsi"/>
          <w:i/>
        </w:rPr>
      </w:pPr>
      <w:r w:rsidRPr="00E006E6">
        <w:rPr>
          <w:rFonts w:cstheme="minorHAnsi"/>
          <w:i/>
        </w:rPr>
        <w:t>Ve městě je velký potenciál k rozvoji. (Žáček)</w:t>
      </w:r>
    </w:p>
    <w:p w14:paraId="3E48645C" w14:textId="77777777" w:rsidR="006E1FCB" w:rsidRPr="00E006E6" w:rsidRDefault="006E1FCB" w:rsidP="00A55F7D">
      <w:pPr>
        <w:pStyle w:val="Odstavecseseznamem"/>
        <w:numPr>
          <w:ilvl w:val="0"/>
          <w:numId w:val="80"/>
        </w:numPr>
        <w:rPr>
          <w:rFonts w:cstheme="minorHAnsi"/>
          <w:i/>
        </w:rPr>
      </w:pPr>
      <w:r w:rsidRPr="00E006E6">
        <w:rPr>
          <w:rFonts w:cstheme="minorHAnsi"/>
          <w:i/>
        </w:rPr>
        <w:t>Je třeba pracovat na tom, aby zde zůstávali mladí lidé. Bude záležet, jak k tomu přistoupí politická reprezentace.</w:t>
      </w:r>
      <w:r>
        <w:rPr>
          <w:rFonts w:cstheme="minorHAnsi"/>
          <w:i/>
        </w:rPr>
        <w:t xml:space="preserve"> </w:t>
      </w:r>
      <w:r w:rsidRPr="00E006E6">
        <w:rPr>
          <w:rFonts w:cstheme="minorHAnsi"/>
          <w:i/>
        </w:rPr>
        <w:t>(Ježíková)</w:t>
      </w:r>
    </w:p>
    <w:p w14:paraId="7A3EE008" w14:textId="77777777" w:rsidR="006E1FCB" w:rsidRPr="00E006E6" w:rsidRDefault="006E1FCB" w:rsidP="00A55F7D">
      <w:pPr>
        <w:pStyle w:val="Odstavecseseznamem"/>
        <w:numPr>
          <w:ilvl w:val="0"/>
          <w:numId w:val="80"/>
        </w:numPr>
        <w:rPr>
          <w:rFonts w:cstheme="minorHAnsi"/>
          <w:i/>
        </w:rPr>
      </w:pPr>
      <w:r w:rsidRPr="00E006E6">
        <w:rPr>
          <w:rFonts w:cstheme="minorHAnsi"/>
          <w:i/>
        </w:rPr>
        <w:t>Netuším, jaký směr vývoje zvítězí. (Kocháň)</w:t>
      </w:r>
    </w:p>
    <w:p w14:paraId="59257F1A" w14:textId="77777777" w:rsidR="006E1FCB" w:rsidRPr="00E006E6" w:rsidRDefault="006E1FCB" w:rsidP="00A55F7D">
      <w:pPr>
        <w:pStyle w:val="Odstavecseseznamem"/>
        <w:numPr>
          <w:ilvl w:val="0"/>
          <w:numId w:val="80"/>
        </w:numPr>
        <w:rPr>
          <w:rFonts w:cstheme="minorHAnsi"/>
          <w:i/>
        </w:rPr>
      </w:pPr>
      <w:r w:rsidRPr="00E006E6">
        <w:rPr>
          <w:rFonts w:cstheme="minorHAnsi"/>
          <w:i/>
        </w:rPr>
        <w:t>Budoucnost zde mají lidé ve svých rukou.</w:t>
      </w:r>
      <w:r>
        <w:rPr>
          <w:rFonts w:cstheme="minorHAnsi"/>
          <w:i/>
        </w:rPr>
        <w:t xml:space="preserve"> </w:t>
      </w:r>
      <w:r w:rsidRPr="00E006E6">
        <w:rPr>
          <w:rFonts w:cstheme="minorHAnsi"/>
          <w:i/>
        </w:rPr>
        <w:t>(Čajánek)</w:t>
      </w:r>
    </w:p>
    <w:p w14:paraId="0E89ED61" w14:textId="77777777" w:rsidR="006E1FCB" w:rsidRDefault="006E1FCB" w:rsidP="006E1FCB">
      <w:pPr>
        <w:rPr>
          <w:rFonts w:cstheme="minorHAnsi"/>
        </w:rPr>
      </w:pPr>
    </w:p>
    <w:p w14:paraId="5C64490D" w14:textId="77777777" w:rsidR="006E1FCB" w:rsidRDefault="006E1FCB" w:rsidP="006E1FCB">
      <w:pPr>
        <w:spacing w:before="0" w:after="160" w:line="259" w:lineRule="auto"/>
        <w:jc w:val="left"/>
      </w:pPr>
      <w:r>
        <w:br w:type="page"/>
      </w:r>
    </w:p>
    <w:p w14:paraId="0E535503" w14:textId="77777777" w:rsidR="006E1FCB" w:rsidRDefault="006E1FCB" w:rsidP="00BC6914">
      <w:pPr>
        <w:pStyle w:val="Nadpis4"/>
      </w:pPr>
      <w:bookmarkStart w:id="869" w:name="_Toc50471491"/>
      <w:r>
        <w:t>Dalš</w:t>
      </w:r>
      <w:r w:rsidRPr="00BC6914">
        <w:rPr>
          <w:rStyle w:val="Nadpis4Char"/>
        </w:rPr>
        <w:t>í</w:t>
      </w:r>
      <w:r>
        <w:t xml:space="preserve"> příležitosti rozvoje města</w:t>
      </w:r>
      <w:bookmarkEnd w:id="869"/>
    </w:p>
    <w:p w14:paraId="2DF10D09" w14:textId="77777777" w:rsidR="006E1FCB" w:rsidRDefault="006E1FCB" w:rsidP="006E1FCB">
      <w:r>
        <w:t>Vybrané osobnosti vidí, že klíčovou roli v rozvoji města má univerzita UTB. Vzdělanost přinášející potenciál, mladí lidé, pracovní příležitosti, výstavba bytů pro mladé. Rozvoj vědy a výzkumu. Možnosti rozpohybovat mladou generaci kulturou, sportem, volnočasovými aktivitami.</w:t>
      </w:r>
    </w:p>
    <w:p w14:paraId="138DEDE9" w14:textId="77777777" w:rsidR="006E1FCB" w:rsidRPr="001C7649" w:rsidRDefault="006E1FCB" w:rsidP="006E1FCB">
      <w:pPr>
        <w:keepNext/>
        <w:rPr>
          <w:b/>
        </w:rPr>
      </w:pPr>
      <w:r w:rsidRPr="001C7649">
        <w:rPr>
          <w:b/>
        </w:rPr>
        <w:t>O4</w:t>
      </w:r>
      <w:r>
        <w:rPr>
          <w:b/>
        </w:rPr>
        <w:t>:</w:t>
      </w:r>
      <w:r w:rsidRPr="001C7649">
        <w:rPr>
          <w:b/>
        </w:rPr>
        <w:t xml:space="preserve"> Jaké má město Zlín dle Vašeho názoru příležitosti rozvoje? </w:t>
      </w:r>
    </w:p>
    <w:p w14:paraId="46ECBCBD" w14:textId="77777777" w:rsidR="006E1FCB" w:rsidRPr="00B05848" w:rsidRDefault="006E1FCB" w:rsidP="00A55F7D">
      <w:pPr>
        <w:pStyle w:val="Odstavecseseznamem"/>
        <w:numPr>
          <w:ilvl w:val="0"/>
          <w:numId w:val="81"/>
        </w:numPr>
        <w:rPr>
          <w:rFonts w:cstheme="minorHAnsi"/>
          <w:b/>
          <w:i/>
        </w:rPr>
      </w:pPr>
      <w:r w:rsidRPr="00B05848">
        <w:rPr>
          <w:rFonts w:cstheme="minorHAnsi"/>
          <w:b/>
          <w:i/>
        </w:rPr>
        <w:t>Rozvoj univerzity (UTB</w:t>
      </w:r>
      <w:r>
        <w:rPr>
          <w:rFonts w:cstheme="minorHAnsi"/>
          <w:b/>
          <w:i/>
        </w:rPr>
        <w:t>), nové technologie, aplikovaný výzkum</w:t>
      </w:r>
    </w:p>
    <w:p w14:paraId="0311883D" w14:textId="77777777" w:rsidR="006E1FCB" w:rsidRPr="00B05848" w:rsidRDefault="006E1FCB" w:rsidP="00A55F7D">
      <w:pPr>
        <w:pStyle w:val="Odstavecseseznamem"/>
        <w:numPr>
          <w:ilvl w:val="1"/>
          <w:numId w:val="81"/>
        </w:numPr>
        <w:rPr>
          <w:rFonts w:cstheme="minorHAnsi"/>
          <w:i/>
        </w:rPr>
      </w:pPr>
      <w:r w:rsidRPr="00B05848">
        <w:rPr>
          <w:rFonts w:cstheme="minorHAnsi"/>
          <w:i/>
        </w:rPr>
        <w:t>Tak</w:t>
      </w:r>
      <w:r>
        <w:rPr>
          <w:rFonts w:cstheme="minorHAnsi"/>
          <w:i/>
        </w:rPr>
        <w:t>,</w:t>
      </w:r>
      <w:r w:rsidRPr="00B05848">
        <w:rPr>
          <w:rFonts w:cstheme="minorHAnsi"/>
          <w:i/>
        </w:rPr>
        <w:t xml:space="preserve"> jak jeho zakladatel za</w:t>
      </w:r>
      <w:r w:rsidRPr="00B05848">
        <w:rPr>
          <w:rFonts w:eastAsia="MS Gothic" w:cstheme="minorHAnsi"/>
          <w:i/>
        </w:rPr>
        <w:t>č</w:t>
      </w:r>
      <w:r w:rsidRPr="00B05848">
        <w:rPr>
          <w:rFonts w:cstheme="minorHAnsi"/>
          <w:i/>
        </w:rPr>
        <w:t>al rozvíjet a vzd</w:t>
      </w:r>
      <w:r w:rsidRPr="00B05848">
        <w:rPr>
          <w:rFonts w:eastAsia="MS Gothic" w:cstheme="minorHAnsi"/>
          <w:i/>
        </w:rPr>
        <w:t>ě</w:t>
      </w:r>
      <w:r w:rsidRPr="00B05848">
        <w:rPr>
          <w:rFonts w:cstheme="minorHAnsi"/>
          <w:i/>
        </w:rPr>
        <w:t>lávat m</w:t>
      </w:r>
      <w:r w:rsidRPr="00B05848">
        <w:rPr>
          <w:rFonts w:eastAsia="MS Gothic" w:cstheme="minorHAnsi"/>
          <w:i/>
        </w:rPr>
        <w:t>ě</w:t>
      </w:r>
      <w:r w:rsidRPr="00B05848">
        <w:rPr>
          <w:rFonts w:cstheme="minorHAnsi"/>
          <w:i/>
        </w:rPr>
        <w:t>sto, je t</w:t>
      </w:r>
      <w:r w:rsidRPr="00B05848">
        <w:rPr>
          <w:rFonts w:eastAsia="MS Gothic" w:cstheme="minorHAnsi"/>
          <w:i/>
        </w:rPr>
        <w:t>ř</w:t>
      </w:r>
      <w:r w:rsidRPr="00B05848">
        <w:rPr>
          <w:rFonts w:cstheme="minorHAnsi"/>
          <w:i/>
        </w:rPr>
        <w:t>eba v tom pokra</w:t>
      </w:r>
      <w:r w:rsidRPr="00B05848">
        <w:rPr>
          <w:rFonts w:eastAsia="MS Gothic" w:cstheme="minorHAnsi"/>
          <w:i/>
        </w:rPr>
        <w:t>č</w:t>
      </w:r>
      <w:r w:rsidRPr="00B05848">
        <w:rPr>
          <w:rFonts w:cstheme="minorHAnsi"/>
          <w:i/>
        </w:rPr>
        <w:t>ovat. Je nutné p</w:t>
      </w:r>
      <w:r w:rsidRPr="00B05848">
        <w:rPr>
          <w:rFonts w:eastAsia="MS Gothic" w:cstheme="minorHAnsi"/>
          <w:i/>
        </w:rPr>
        <w:t>ů</w:t>
      </w:r>
      <w:r w:rsidRPr="00B05848">
        <w:rPr>
          <w:rFonts w:cstheme="minorHAnsi"/>
          <w:i/>
        </w:rPr>
        <w:t>sobit na rozvoj pracovních p</w:t>
      </w:r>
      <w:r w:rsidRPr="00B05848">
        <w:rPr>
          <w:rFonts w:eastAsia="MS Gothic" w:cstheme="minorHAnsi"/>
          <w:i/>
        </w:rPr>
        <w:t>ř</w:t>
      </w:r>
      <w:r w:rsidRPr="00B05848">
        <w:rPr>
          <w:rFonts w:cstheme="minorHAnsi"/>
          <w:i/>
        </w:rPr>
        <w:t>íle</w:t>
      </w:r>
      <w:r w:rsidRPr="00B05848">
        <w:rPr>
          <w:rFonts w:eastAsia="Calibri" w:cstheme="minorHAnsi"/>
          <w:i/>
        </w:rPr>
        <w:t>ž</w:t>
      </w:r>
      <w:r w:rsidRPr="00B05848">
        <w:rPr>
          <w:rFonts w:cstheme="minorHAnsi"/>
          <w:i/>
        </w:rPr>
        <w:t>itostí. Rozvoj UTB, rozvoj výzkumných ústav</w:t>
      </w:r>
      <w:r w:rsidRPr="00B05848">
        <w:rPr>
          <w:rFonts w:eastAsia="MS Gothic" w:cstheme="minorHAnsi"/>
          <w:i/>
        </w:rPr>
        <w:t>ů</w:t>
      </w:r>
      <w:r w:rsidRPr="00B05848">
        <w:rPr>
          <w:rFonts w:cstheme="minorHAnsi"/>
          <w:i/>
        </w:rPr>
        <w:t xml:space="preserve"> rozvoj výrobních jednotek. P</w:t>
      </w:r>
      <w:r w:rsidRPr="00B05848">
        <w:rPr>
          <w:rFonts w:eastAsia="MS Gothic" w:cstheme="minorHAnsi"/>
          <w:i/>
        </w:rPr>
        <w:t>ů</w:t>
      </w:r>
      <w:r w:rsidRPr="00B05848">
        <w:rPr>
          <w:rFonts w:cstheme="minorHAnsi"/>
          <w:i/>
        </w:rPr>
        <w:t>sobit na lidi</w:t>
      </w:r>
      <w:r>
        <w:rPr>
          <w:rFonts w:cstheme="minorHAnsi"/>
          <w:i/>
        </w:rPr>
        <w:t>,</w:t>
      </w:r>
      <w:r w:rsidRPr="00B05848">
        <w:rPr>
          <w:rFonts w:cstheme="minorHAnsi"/>
          <w:i/>
        </w:rPr>
        <w:t xml:space="preserve"> aby z</w:t>
      </w:r>
      <w:r w:rsidRPr="00B05848">
        <w:rPr>
          <w:rFonts w:eastAsia="MS Gothic" w:cstheme="minorHAnsi"/>
          <w:i/>
        </w:rPr>
        <w:t>ů</w:t>
      </w:r>
      <w:r w:rsidRPr="00B05848">
        <w:rPr>
          <w:rFonts w:cstheme="minorHAnsi"/>
          <w:i/>
        </w:rPr>
        <w:t>stali a neopou</w:t>
      </w:r>
      <w:r w:rsidRPr="00B05848">
        <w:rPr>
          <w:rFonts w:eastAsia="Calibri" w:cstheme="minorHAnsi"/>
          <w:i/>
        </w:rPr>
        <w:t>š</w:t>
      </w:r>
      <w:r w:rsidRPr="00B05848">
        <w:rPr>
          <w:rFonts w:cstheme="minorHAnsi"/>
          <w:i/>
        </w:rPr>
        <w:t>t</w:t>
      </w:r>
      <w:r w:rsidRPr="00B05848">
        <w:rPr>
          <w:rFonts w:eastAsia="MS Gothic" w:cstheme="minorHAnsi"/>
          <w:i/>
        </w:rPr>
        <w:t>ě</w:t>
      </w:r>
      <w:r w:rsidRPr="00B05848">
        <w:rPr>
          <w:rFonts w:cstheme="minorHAnsi"/>
          <w:i/>
        </w:rPr>
        <w:t>li m</w:t>
      </w:r>
      <w:r w:rsidRPr="00B05848">
        <w:rPr>
          <w:rFonts w:eastAsia="MS Gothic" w:cstheme="minorHAnsi"/>
          <w:i/>
        </w:rPr>
        <w:t>ě</w:t>
      </w:r>
      <w:r w:rsidRPr="00B05848">
        <w:rPr>
          <w:rFonts w:cstheme="minorHAnsi"/>
          <w:i/>
        </w:rPr>
        <w:t>sto, naopak spole</w:t>
      </w:r>
      <w:r w:rsidRPr="00B05848">
        <w:rPr>
          <w:rFonts w:eastAsia="MS Gothic" w:cstheme="minorHAnsi"/>
          <w:i/>
        </w:rPr>
        <w:t>č</w:t>
      </w:r>
      <w:r w:rsidRPr="00B05848">
        <w:rPr>
          <w:rFonts w:cstheme="minorHAnsi"/>
          <w:i/>
        </w:rPr>
        <w:t>n</w:t>
      </w:r>
      <w:r w:rsidRPr="00B05848">
        <w:rPr>
          <w:rFonts w:eastAsia="MS Gothic" w:cstheme="minorHAnsi"/>
          <w:i/>
        </w:rPr>
        <w:t>ě</w:t>
      </w:r>
      <w:r w:rsidRPr="00B05848">
        <w:rPr>
          <w:rFonts w:cstheme="minorHAnsi"/>
          <w:i/>
        </w:rPr>
        <w:t xml:space="preserve"> ho rozvíjeli. (Jiřičná)</w:t>
      </w:r>
    </w:p>
    <w:p w14:paraId="52A43D03" w14:textId="77777777" w:rsidR="006E1FCB" w:rsidRPr="00B05848" w:rsidRDefault="006E1FCB" w:rsidP="00A55F7D">
      <w:pPr>
        <w:pStyle w:val="Odstavecseseznamem"/>
        <w:numPr>
          <w:ilvl w:val="1"/>
          <w:numId w:val="81"/>
        </w:numPr>
        <w:rPr>
          <w:rFonts w:cstheme="minorHAnsi"/>
          <w:i/>
        </w:rPr>
      </w:pPr>
      <w:r w:rsidRPr="00B05848">
        <w:rPr>
          <w:rFonts w:cstheme="minorHAnsi"/>
          <w:i/>
        </w:rPr>
        <w:t>Rozvoj moderních technologií, nanotechnologie. Vybudované polymerní centrum na UTB, tradice vývoje zpracování plastů, dostatek studentů. (Kutý)</w:t>
      </w:r>
    </w:p>
    <w:p w14:paraId="01C5866B" w14:textId="77777777" w:rsidR="006E1FCB" w:rsidRPr="00B05848" w:rsidRDefault="006E1FCB" w:rsidP="00A55F7D">
      <w:pPr>
        <w:pStyle w:val="Odstavecseseznamem"/>
        <w:numPr>
          <w:ilvl w:val="1"/>
          <w:numId w:val="81"/>
        </w:numPr>
        <w:rPr>
          <w:rFonts w:cstheme="minorHAnsi"/>
          <w:i/>
        </w:rPr>
      </w:pPr>
      <w:r w:rsidRPr="00B05848">
        <w:rPr>
          <w:rFonts w:cstheme="minorHAnsi"/>
          <w:i/>
        </w:rPr>
        <w:t>Důležitá je role Univerzity UTB, která přitahuje mladé a posouvá město dále. Z univerzity by mělo vznikat více spin</w:t>
      </w:r>
      <w:r>
        <w:rPr>
          <w:rFonts w:cstheme="minorHAnsi"/>
          <w:i/>
        </w:rPr>
        <w:t>-</w:t>
      </w:r>
      <w:r w:rsidRPr="00B05848">
        <w:rPr>
          <w:rFonts w:cstheme="minorHAnsi"/>
          <w:i/>
        </w:rPr>
        <w:t>off technologických firem. Naše oční klinika například</w:t>
      </w:r>
      <w:r>
        <w:rPr>
          <w:rFonts w:cstheme="minorHAnsi"/>
          <w:i/>
        </w:rPr>
        <w:t xml:space="preserve"> ve spojitosti se švédskou spin-</w:t>
      </w:r>
      <w:r w:rsidRPr="00B05848">
        <w:rPr>
          <w:rFonts w:cstheme="minorHAnsi"/>
          <w:i/>
        </w:rPr>
        <w:t>off firmou vyvinula mikro</w:t>
      </w:r>
      <w:r>
        <w:rPr>
          <w:rFonts w:cstheme="minorHAnsi"/>
          <w:i/>
        </w:rPr>
        <w:t xml:space="preserve"> </w:t>
      </w:r>
      <w:r w:rsidRPr="00B05848">
        <w:rPr>
          <w:rFonts w:cstheme="minorHAnsi"/>
          <w:i/>
        </w:rPr>
        <w:t>čočku, která se laserem implantuje do rohovky a která je schopna odstranit potřebu brýlí na čtení.  Ve Zlíně je dobré průmyslové zázemí pro nové technologie. Krajské město by mohlo mít malé letiště např. pro zahraniční klienty. Důležité pro Zlín je tedy být součástí světa. (Stodůlka)</w:t>
      </w:r>
    </w:p>
    <w:p w14:paraId="11C277B0" w14:textId="19942ADE" w:rsidR="006E1FCB" w:rsidRPr="00B05848" w:rsidRDefault="006E1FCB" w:rsidP="00A55F7D">
      <w:pPr>
        <w:pStyle w:val="Odstavecseseznamem"/>
        <w:numPr>
          <w:ilvl w:val="1"/>
          <w:numId w:val="81"/>
        </w:numPr>
        <w:rPr>
          <w:rFonts w:cstheme="minorHAnsi"/>
          <w:i/>
        </w:rPr>
      </w:pPr>
      <w:r w:rsidRPr="00B05848">
        <w:rPr>
          <w:rFonts w:cstheme="minorHAnsi"/>
          <w:i/>
        </w:rPr>
        <w:t>Lidé zde mají v genech podnikavost. Velký potenciál zde vidím v rozvoji průmysl</w:t>
      </w:r>
      <w:r>
        <w:rPr>
          <w:rFonts w:cstheme="minorHAnsi"/>
          <w:i/>
        </w:rPr>
        <w:t>u</w:t>
      </w:r>
      <w:r w:rsidRPr="00B05848">
        <w:rPr>
          <w:rFonts w:cstheme="minorHAnsi"/>
          <w:i/>
        </w:rPr>
        <w:t xml:space="preserve"> v mal</w:t>
      </w:r>
      <w:r>
        <w:rPr>
          <w:rFonts w:cstheme="minorHAnsi"/>
          <w:i/>
        </w:rPr>
        <w:t xml:space="preserve">ých a středních firmách. Rozvoj </w:t>
      </w:r>
      <w:r w:rsidRPr="00B05848">
        <w:rPr>
          <w:rFonts w:cstheme="minorHAnsi"/>
          <w:i/>
        </w:rPr>
        <w:t>UTB – rozvoj vzdělanosti. Schopnost oslovit donátory zabezpečuje uskutečnění festival</w:t>
      </w:r>
      <w:r w:rsidR="00275411">
        <w:rPr>
          <w:rFonts w:cstheme="minorHAnsi"/>
          <w:i/>
        </w:rPr>
        <w:t>ů</w:t>
      </w:r>
      <w:r w:rsidRPr="00B05848">
        <w:rPr>
          <w:rFonts w:cstheme="minorHAnsi"/>
          <w:i/>
        </w:rPr>
        <w:t>. Další potenciál je ve výstavbě nových bytů pro mladé. Nyní je zde zastaralý bytový fond. Za důležitou považuji také snahu TIC (</w:t>
      </w:r>
      <w:r>
        <w:rPr>
          <w:rFonts w:cstheme="minorHAnsi"/>
          <w:i/>
        </w:rPr>
        <w:t xml:space="preserve">Technologické </w:t>
      </w:r>
      <w:r w:rsidRPr="00B05848">
        <w:rPr>
          <w:rFonts w:cstheme="minorHAnsi"/>
          <w:i/>
        </w:rPr>
        <w:t>inovační centrum) vytvořit pro Zlín novou značku – Metropole Zlín. (Táborská)</w:t>
      </w:r>
    </w:p>
    <w:p w14:paraId="6C7652FC" w14:textId="77777777" w:rsidR="006E1FCB" w:rsidRPr="00B05848" w:rsidRDefault="006E1FCB" w:rsidP="00A55F7D">
      <w:pPr>
        <w:pStyle w:val="Odstavecseseznamem"/>
        <w:numPr>
          <w:ilvl w:val="1"/>
          <w:numId w:val="81"/>
        </w:numPr>
        <w:rPr>
          <w:rFonts w:cstheme="minorHAnsi"/>
          <w:i/>
        </w:rPr>
      </w:pPr>
      <w:r w:rsidRPr="00B05848">
        <w:rPr>
          <w:rFonts w:cstheme="minorHAnsi"/>
          <w:i/>
        </w:rPr>
        <w:t>Navázat na tradici Batismu, aplikovat tuto tradici s využitím nových technologií. (Sedlařík)</w:t>
      </w:r>
    </w:p>
    <w:p w14:paraId="125A794C" w14:textId="77777777" w:rsidR="006E1FCB" w:rsidRPr="00B05848" w:rsidRDefault="006E1FCB" w:rsidP="00A55F7D">
      <w:pPr>
        <w:pStyle w:val="Odstavecseseznamem"/>
        <w:numPr>
          <w:ilvl w:val="1"/>
          <w:numId w:val="81"/>
        </w:numPr>
        <w:rPr>
          <w:rFonts w:cstheme="minorHAnsi"/>
          <w:i/>
        </w:rPr>
      </w:pPr>
      <w:r w:rsidRPr="00B05848">
        <w:rPr>
          <w:rFonts w:cstheme="minorHAnsi"/>
          <w:i/>
        </w:rPr>
        <w:t>Významný je systém školství UTB, střední školy, další vzdělávání a vše dobře využít.</w:t>
      </w:r>
      <w:r>
        <w:rPr>
          <w:rFonts w:cstheme="minorHAnsi"/>
          <w:i/>
        </w:rPr>
        <w:t xml:space="preserve"> </w:t>
      </w:r>
      <w:r w:rsidRPr="00B05848">
        <w:rPr>
          <w:rFonts w:cstheme="minorHAnsi"/>
          <w:i/>
        </w:rPr>
        <w:t>(Žáček)</w:t>
      </w:r>
    </w:p>
    <w:p w14:paraId="33EC13E1" w14:textId="77777777" w:rsidR="006E1FCB" w:rsidRPr="00B05848" w:rsidRDefault="006E1FCB" w:rsidP="00A55F7D">
      <w:pPr>
        <w:pStyle w:val="Odstavecseseznamem"/>
        <w:numPr>
          <w:ilvl w:val="0"/>
          <w:numId w:val="81"/>
        </w:numPr>
        <w:rPr>
          <w:rFonts w:cstheme="minorHAnsi"/>
          <w:b/>
        </w:rPr>
      </w:pPr>
      <w:r w:rsidRPr="00B05848">
        <w:rPr>
          <w:rFonts w:cstheme="minorHAnsi"/>
          <w:b/>
        </w:rPr>
        <w:t>Zeleň sport a volnočasové aktivity</w:t>
      </w:r>
      <w:r>
        <w:rPr>
          <w:rFonts w:cstheme="minorHAnsi"/>
          <w:b/>
        </w:rPr>
        <w:t>, kultura</w:t>
      </w:r>
    </w:p>
    <w:p w14:paraId="02C36C38" w14:textId="6FC932A2" w:rsidR="006E1FCB" w:rsidRPr="00B05848" w:rsidRDefault="006E1FCB" w:rsidP="00A55F7D">
      <w:pPr>
        <w:pStyle w:val="Odstavecseseznamem"/>
        <w:numPr>
          <w:ilvl w:val="1"/>
          <w:numId w:val="81"/>
        </w:numPr>
        <w:rPr>
          <w:rFonts w:cstheme="minorHAnsi"/>
          <w:i/>
        </w:rPr>
      </w:pPr>
      <w:r w:rsidRPr="00B05848">
        <w:rPr>
          <w:rFonts w:cstheme="minorHAnsi"/>
          <w:i/>
        </w:rPr>
        <w:t>Seznámení občanů s cennými biotopy formou stezky, informačními materiály, interaktivní webov</w:t>
      </w:r>
      <w:r w:rsidR="00275411">
        <w:rPr>
          <w:rFonts w:cstheme="minorHAnsi"/>
          <w:i/>
        </w:rPr>
        <w:t>é stránky</w:t>
      </w:r>
      <w:r w:rsidRPr="00B05848">
        <w:rPr>
          <w:rFonts w:cstheme="minorHAnsi"/>
          <w:i/>
        </w:rPr>
        <w:t>, informační tabule. Lidé se mohou seznámit např. s</w:t>
      </w:r>
      <w:r w:rsidR="00275411">
        <w:rPr>
          <w:rFonts w:cstheme="minorHAnsi"/>
          <w:i/>
        </w:rPr>
        <w:t> </w:t>
      </w:r>
      <w:r w:rsidRPr="00B05848">
        <w:rPr>
          <w:rFonts w:cstheme="minorHAnsi"/>
          <w:i/>
        </w:rPr>
        <w:t>projekty LIFE na podporu života hmyzu, motýlů, biotopů.  Možnost navázání užší spolupráce mezi Agenturou ochrany přírody a krajiny ČR a Centrálou cestovního ruchu Východní Morava. Vyřešení parkování (auta stojí na chodnících).</w:t>
      </w:r>
      <w:r>
        <w:rPr>
          <w:rFonts w:cstheme="minorHAnsi"/>
          <w:i/>
        </w:rPr>
        <w:t xml:space="preserve"> </w:t>
      </w:r>
      <w:r w:rsidRPr="00B05848">
        <w:rPr>
          <w:rFonts w:cstheme="minorHAnsi"/>
          <w:i/>
        </w:rPr>
        <w:t>(Gaťáková)</w:t>
      </w:r>
    </w:p>
    <w:p w14:paraId="1E1B4CC7" w14:textId="77777777" w:rsidR="006E1FCB" w:rsidRDefault="006E1FCB" w:rsidP="00A55F7D">
      <w:pPr>
        <w:pStyle w:val="Odstavecseseznamem"/>
        <w:numPr>
          <w:ilvl w:val="1"/>
          <w:numId w:val="81"/>
        </w:numPr>
        <w:rPr>
          <w:rFonts w:cstheme="minorHAnsi"/>
          <w:i/>
        </w:rPr>
      </w:pPr>
      <w:r w:rsidRPr="00B05848">
        <w:rPr>
          <w:rFonts w:cstheme="minorHAnsi"/>
          <w:i/>
        </w:rPr>
        <w:t>Více využívat silné stránky města</w:t>
      </w:r>
      <w:r>
        <w:rPr>
          <w:rFonts w:cstheme="minorHAnsi"/>
          <w:i/>
        </w:rPr>
        <w:t>,</w:t>
      </w:r>
      <w:r w:rsidRPr="00B05848">
        <w:rPr>
          <w:rFonts w:cstheme="minorHAnsi"/>
          <w:i/>
        </w:rPr>
        <w:t xml:space="preserve"> a to je krásné životní prostředí, mnoho zeleně ve městě a v okolí, které lze využít pro sport a volnočasové aktivity. (Korec)</w:t>
      </w:r>
    </w:p>
    <w:p w14:paraId="185D3D1F" w14:textId="77777777" w:rsidR="006E1FCB" w:rsidRDefault="006E1FCB" w:rsidP="00A55F7D">
      <w:pPr>
        <w:pStyle w:val="Odstavecseseznamem"/>
        <w:numPr>
          <w:ilvl w:val="1"/>
          <w:numId w:val="81"/>
        </w:numPr>
        <w:rPr>
          <w:rFonts w:cstheme="minorHAnsi"/>
          <w:i/>
        </w:rPr>
      </w:pPr>
      <w:r w:rsidRPr="00B05848">
        <w:rPr>
          <w:rFonts w:cstheme="minorHAnsi"/>
          <w:i/>
        </w:rPr>
        <w:t>Vytvořit prostředí, kde budou děti samy dělat to, co chtějí a budou zde sami sebou. Jižní svahy a jejich revitalizace je šance pro nové příležitosti. Vybudovat více sportovišť. Rozpohybovat mladou generaci. Vytvořit podmínky pro zdravý pohyb ve městě. (Čajánek)</w:t>
      </w:r>
    </w:p>
    <w:p w14:paraId="4BFE9C09" w14:textId="77777777" w:rsidR="006E1FCB" w:rsidRPr="00B05848" w:rsidRDefault="006E1FCB" w:rsidP="00A55F7D">
      <w:pPr>
        <w:pStyle w:val="Odstavecseseznamem"/>
        <w:numPr>
          <w:ilvl w:val="1"/>
          <w:numId w:val="81"/>
        </w:numPr>
        <w:rPr>
          <w:rFonts w:cstheme="minorHAnsi"/>
          <w:i/>
        </w:rPr>
      </w:pPr>
      <w:r w:rsidRPr="00B05848">
        <w:rPr>
          <w:rFonts w:cstheme="minorHAnsi"/>
          <w:i/>
        </w:rPr>
        <w:t>Kultura, která propojuje více generací. Využít potenciálu odkazu Tomáše Bati. Vytvořit Baťovy dny, které by zároveň byly podporou turistického ruchu. Součást</w:t>
      </w:r>
      <w:r>
        <w:rPr>
          <w:rFonts w:cstheme="minorHAnsi"/>
          <w:i/>
        </w:rPr>
        <w:t>í</w:t>
      </w:r>
      <w:r w:rsidRPr="00B05848">
        <w:rPr>
          <w:rFonts w:cstheme="minorHAnsi"/>
          <w:i/>
        </w:rPr>
        <w:t xml:space="preserve"> by mohly být společensko-historické hry, výstavy, scénky, kostýmy z 1. republiky. Mohla by se vytvořit Baťova cyklostezka např. z Vizovic až do Valašské Polanky. (Goláň)</w:t>
      </w:r>
    </w:p>
    <w:p w14:paraId="01B4F3F1" w14:textId="77777777" w:rsidR="006E1FCB" w:rsidRPr="00B05848" w:rsidRDefault="006E1FCB" w:rsidP="00A55F7D">
      <w:pPr>
        <w:pStyle w:val="Odstavecseseznamem"/>
        <w:numPr>
          <w:ilvl w:val="0"/>
          <w:numId w:val="81"/>
        </w:numPr>
        <w:rPr>
          <w:rFonts w:cstheme="minorHAnsi"/>
          <w:b/>
        </w:rPr>
      </w:pPr>
      <w:r w:rsidRPr="00B05848">
        <w:rPr>
          <w:rFonts w:cstheme="minorHAnsi"/>
          <w:b/>
        </w:rPr>
        <w:t>Bezpečnost města</w:t>
      </w:r>
    </w:p>
    <w:p w14:paraId="15FF22E5" w14:textId="77777777" w:rsidR="006E1FCB" w:rsidRPr="00B05848" w:rsidRDefault="006E1FCB" w:rsidP="00A55F7D">
      <w:pPr>
        <w:pStyle w:val="Odstavecseseznamem"/>
        <w:numPr>
          <w:ilvl w:val="1"/>
          <w:numId w:val="81"/>
        </w:numPr>
        <w:rPr>
          <w:rFonts w:cstheme="minorHAnsi"/>
          <w:i/>
        </w:rPr>
      </w:pPr>
      <w:r w:rsidRPr="00B05848">
        <w:rPr>
          <w:rFonts w:cstheme="minorHAnsi"/>
          <w:i/>
        </w:rPr>
        <w:t>Modernizace kamerového systému se zaměřením na sportoviště, včetně zohlednění bezpečnostních hledisek při řešení a zavedení. (Indra)</w:t>
      </w:r>
    </w:p>
    <w:p w14:paraId="77EA6376" w14:textId="77777777" w:rsidR="006E1FCB" w:rsidRPr="00B05848" w:rsidRDefault="006E1FCB" w:rsidP="00A55F7D">
      <w:pPr>
        <w:pStyle w:val="Odstavecseseznamem"/>
        <w:numPr>
          <w:ilvl w:val="0"/>
          <w:numId w:val="81"/>
        </w:numPr>
        <w:rPr>
          <w:rFonts w:cstheme="minorHAnsi"/>
          <w:b/>
        </w:rPr>
      </w:pPr>
      <w:r w:rsidRPr="00B05848">
        <w:rPr>
          <w:rFonts w:cstheme="minorHAnsi"/>
          <w:b/>
        </w:rPr>
        <w:t>Výstavba bytů</w:t>
      </w:r>
    </w:p>
    <w:p w14:paraId="75F6A684" w14:textId="77777777" w:rsidR="006E1FCB" w:rsidRPr="00B05848" w:rsidRDefault="006E1FCB" w:rsidP="00A55F7D">
      <w:pPr>
        <w:pStyle w:val="Odstavecseseznamem"/>
        <w:numPr>
          <w:ilvl w:val="1"/>
          <w:numId w:val="81"/>
        </w:numPr>
        <w:rPr>
          <w:rFonts w:cstheme="minorHAnsi"/>
          <w:i/>
        </w:rPr>
      </w:pPr>
      <w:r w:rsidRPr="00B05848">
        <w:rPr>
          <w:rFonts w:cstheme="minorHAnsi"/>
          <w:i/>
        </w:rPr>
        <w:t>Výstavba nových bytů za přijatelné ceny. Nájmy v městských bytech jsou také drahé. Přilákání mladých lidí, kteří by ve Zlíně zůstávali. Navrácení ducha do filmových ateliérů patří ke Zlínu.</w:t>
      </w:r>
      <w:r>
        <w:rPr>
          <w:rFonts w:cstheme="minorHAnsi"/>
          <w:i/>
        </w:rPr>
        <w:t xml:space="preserve"> </w:t>
      </w:r>
      <w:r w:rsidRPr="00B05848">
        <w:rPr>
          <w:rFonts w:cstheme="minorHAnsi"/>
          <w:i/>
        </w:rPr>
        <w:t>(Ježíková)</w:t>
      </w:r>
    </w:p>
    <w:p w14:paraId="125F1183" w14:textId="77777777" w:rsidR="006E1FCB" w:rsidRPr="00B05848" w:rsidRDefault="006E1FCB" w:rsidP="00A55F7D">
      <w:pPr>
        <w:pStyle w:val="Odstavecseseznamem"/>
        <w:numPr>
          <w:ilvl w:val="0"/>
          <w:numId w:val="81"/>
        </w:numPr>
        <w:rPr>
          <w:rFonts w:cstheme="minorHAnsi"/>
          <w:b/>
        </w:rPr>
      </w:pPr>
      <w:r w:rsidRPr="00B05848">
        <w:rPr>
          <w:rFonts w:cstheme="minorHAnsi"/>
          <w:b/>
        </w:rPr>
        <w:t>Rozvoj širšího zázemí</w:t>
      </w:r>
    </w:p>
    <w:p w14:paraId="642F964B" w14:textId="77777777" w:rsidR="006E1FCB" w:rsidRPr="00B05848" w:rsidRDefault="006E1FCB" w:rsidP="00A55F7D">
      <w:pPr>
        <w:pStyle w:val="Odstavecseseznamem"/>
        <w:numPr>
          <w:ilvl w:val="1"/>
          <w:numId w:val="81"/>
        </w:numPr>
        <w:rPr>
          <w:rFonts w:cstheme="minorHAnsi"/>
          <w:i/>
        </w:rPr>
      </w:pPr>
      <w:r w:rsidRPr="00B05848">
        <w:rPr>
          <w:rFonts w:cstheme="minorHAnsi"/>
          <w:i/>
        </w:rPr>
        <w:t>Využití přírodních geografických a rozvojových oblastí Zlínské aglomerace. (Kocháň)</w:t>
      </w:r>
    </w:p>
    <w:p w14:paraId="10A5B4EF" w14:textId="77777777" w:rsidR="006E1FCB" w:rsidRDefault="006E1FCB" w:rsidP="00BC6914">
      <w:pPr>
        <w:pStyle w:val="Nadpis4"/>
      </w:pPr>
      <w:bookmarkStart w:id="870" w:name="_Toc50471492"/>
      <w:r>
        <w:t>Směřování investic</w:t>
      </w:r>
      <w:bookmarkEnd w:id="870"/>
    </w:p>
    <w:p w14:paraId="401AE7B3" w14:textId="77777777" w:rsidR="006E1FCB" w:rsidRDefault="006E1FCB" w:rsidP="006E1FCB">
      <w:r>
        <w:t>Všechny osobnosti vidí prioritu ve směřování investic města do zlepšení dopravní infrastruktury včetně parkování. Další klíčovou prioritou je rozvoj bytové výstavby především pro mladé obyvatele. Na druhou stranu dle prof. Jiřičné: „</w:t>
      </w:r>
      <w:r w:rsidRPr="00BA0172">
        <w:rPr>
          <w:rFonts w:cstheme="minorHAnsi"/>
          <w:i/>
        </w:rPr>
        <w:t>Nesmí se nic zanedbat. Město je organismus a ani jedno tykadlo nesmí zůstat pozadu. Vše je dohromady potřeba. Všechny aspekty musí jít ruku v ruce</w:t>
      </w:r>
      <w:r>
        <w:rPr>
          <w:rFonts w:cstheme="minorHAnsi"/>
        </w:rPr>
        <w:t>.“ Další názory, které rozvádí vybrané priority:</w:t>
      </w:r>
    </w:p>
    <w:p w14:paraId="6337A4AD" w14:textId="77777777" w:rsidR="006E1FCB" w:rsidRPr="007B5F9A" w:rsidRDefault="006E1FCB" w:rsidP="00A55F7D">
      <w:pPr>
        <w:pStyle w:val="Odstavecseseznamem"/>
        <w:numPr>
          <w:ilvl w:val="0"/>
          <w:numId w:val="82"/>
        </w:numPr>
        <w:rPr>
          <w:rFonts w:cstheme="minorHAnsi"/>
          <w:i/>
        </w:rPr>
      </w:pPr>
      <w:r w:rsidRPr="007B5F9A">
        <w:rPr>
          <w:rFonts w:cstheme="minorHAnsi"/>
          <w:i/>
        </w:rPr>
        <w:t>Nedostatek bydlení pro mladé.</w:t>
      </w:r>
      <w:r>
        <w:rPr>
          <w:rFonts w:cstheme="minorHAnsi"/>
          <w:i/>
        </w:rPr>
        <w:t xml:space="preserve"> </w:t>
      </w:r>
      <w:r w:rsidRPr="007B5F9A">
        <w:rPr>
          <w:rFonts w:cstheme="minorHAnsi"/>
          <w:i/>
        </w:rPr>
        <w:t>(Stodůlka)</w:t>
      </w:r>
    </w:p>
    <w:p w14:paraId="68B57B34" w14:textId="77777777" w:rsidR="006E1FCB" w:rsidRPr="007B5F9A" w:rsidRDefault="006E1FCB" w:rsidP="00A55F7D">
      <w:pPr>
        <w:pStyle w:val="Odstavecseseznamem"/>
        <w:numPr>
          <w:ilvl w:val="0"/>
          <w:numId w:val="82"/>
        </w:numPr>
        <w:rPr>
          <w:rFonts w:cstheme="minorHAnsi"/>
          <w:i/>
        </w:rPr>
      </w:pPr>
      <w:r w:rsidRPr="007B5F9A">
        <w:rPr>
          <w:rFonts w:cstheme="minorHAnsi"/>
          <w:i/>
        </w:rPr>
        <w:t>Potřebnost řešení dopravy, oprava zchátralých budov</w:t>
      </w:r>
      <w:r>
        <w:rPr>
          <w:rFonts w:cstheme="minorHAnsi"/>
          <w:i/>
        </w:rPr>
        <w:t>.</w:t>
      </w:r>
      <w:r w:rsidRPr="007B5F9A">
        <w:rPr>
          <w:rFonts w:cstheme="minorHAnsi"/>
          <w:i/>
        </w:rPr>
        <w:t xml:space="preserve"> (Žáček)</w:t>
      </w:r>
    </w:p>
    <w:p w14:paraId="7CDC359B" w14:textId="5528FC98" w:rsidR="006E1FCB" w:rsidRDefault="006E1FCB" w:rsidP="006E1FCB">
      <w:pPr>
        <w:pStyle w:val="Titulek"/>
        <w:keepNext/>
      </w:pPr>
      <w:bookmarkStart w:id="871" w:name="_Toc50549199"/>
      <w:bookmarkStart w:id="872" w:name="_Toc50989362"/>
      <w:bookmarkStart w:id="873" w:name="_Toc53388482"/>
      <w:bookmarkStart w:id="874" w:name="_Toc54702652"/>
      <w:bookmarkStart w:id="875" w:name="_Toc56179459"/>
      <w:bookmarkStart w:id="876" w:name="_Toc57731817"/>
      <w:bookmarkStart w:id="877" w:name="_Toc77074801"/>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38</w:t>
      </w:r>
      <w:r w:rsidR="00081B47">
        <w:rPr>
          <w:noProof/>
        </w:rPr>
        <w:fldChar w:fldCharType="end"/>
      </w:r>
      <w:r w:rsidR="00275411">
        <w:rPr>
          <w:noProof/>
        </w:rPr>
        <w:t>:</w:t>
      </w:r>
      <w:r>
        <w:t xml:space="preserve"> Preference oblastí pro investice města Zlín</w:t>
      </w:r>
      <w:bookmarkEnd w:id="871"/>
      <w:bookmarkEnd w:id="872"/>
      <w:bookmarkEnd w:id="873"/>
      <w:bookmarkEnd w:id="874"/>
      <w:bookmarkEnd w:id="875"/>
      <w:bookmarkEnd w:id="876"/>
      <w:bookmarkEnd w:id="877"/>
    </w:p>
    <w:tbl>
      <w:tblPr>
        <w:tblW w:w="4820" w:type="dxa"/>
        <w:tblInd w:w="-5" w:type="dxa"/>
        <w:tblCellMar>
          <w:left w:w="70" w:type="dxa"/>
          <w:right w:w="70" w:type="dxa"/>
        </w:tblCellMar>
        <w:tblLook w:val="04A0" w:firstRow="1" w:lastRow="0" w:firstColumn="1" w:lastColumn="0" w:noHBand="0" w:noVBand="1"/>
      </w:tblPr>
      <w:tblGrid>
        <w:gridCol w:w="2900"/>
        <w:gridCol w:w="960"/>
        <w:gridCol w:w="960"/>
      </w:tblGrid>
      <w:tr w:rsidR="006E1FCB" w:rsidRPr="00600ADD" w14:paraId="22627A67" w14:textId="77777777" w:rsidTr="000931EA">
        <w:trPr>
          <w:trHeight w:val="290"/>
        </w:trPr>
        <w:tc>
          <w:tcPr>
            <w:tcW w:w="2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1790A" w14:textId="77777777" w:rsidR="006E1FCB" w:rsidRPr="00600ADD" w:rsidRDefault="006E1FCB" w:rsidP="000931EA">
            <w:pPr>
              <w:spacing w:before="0"/>
              <w:jc w:val="left"/>
              <w:rPr>
                <w:rFonts w:ascii="Calibri" w:eastAsia="Times New Roman" w:hAnsi="Calibri" w:cs="Calibri"/>
                <w:color w:val="000000"/>
                <w:lang w:eastAsia="cs-CZ"/>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E8D46AD"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Četnost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CDD5715"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Procenta</w:t>
            </w:r>
          </w:p>
        </w:tc>
      </w:tr>
      <w:tr w:rsidR="006E1FCB" w:rsidRPr="00600ADD" w14:paraId="1512A0BD"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6FE769E"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zlepšení dopravy</w:t>
            </w:r>
          </w:p>
        </w:tc>
        <w:tc>
          <w:tcPr>
            <w:tcW w:w="960" w:type="dxa"/>
            <w:tcBorders>
              <w:top w:val="nil"/>
              <w:left w:val="nil"/>
              <w:bottom w:val="single" w:sz="4" w:space="0" w:color="auto"/>
              <w:right w:val="single" w:sz="4" w:space="0" w:color="auto"/>
            </w:tcBorders>
            <w:shd w:val="clear" w:color="auto" w:fill="auto"/>
            <w:noWrap/>
            <w:vAlign w:val="bottom"/>
            <w:hideMark/>
          </w:tcPr>
          <w:p w14:paraId="5B1963E3"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12</w:t>
            </w:r>
          </w:p>
        </w:tc>
        <w:tc>
          <w:tcPr>
            <w:tcW w:w="96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819E928"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92%</w:t>
            </w:r>
          </w:p>
        </w:tc>
      </w:tr>
      <w:tr w:rsidR="006E1FCB" w:rsidRPr="00600ADD" w14:paraId="441748A0"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6AD3A38"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bytová výstavba</w:t>
            </w:r>
          </w:p>
        </w:tc>
        <w:tc>
          <w:tcPr>
            <w:tcW w:w="960" w:type="dxa"/>
            <w:tcBorders>
              <w:top w:val="nil"/>
              <w:left w:val="nil"/>
              <w:bottom w:val="single" w:sz="4" w:space="0" w:color="auto"/>
              <w:right w:val="single" w:sz="4" w:space="0" w:color="auto"/>
            </w:tcBorders>
            <w:shd w:val="clear" w:color="auto" w:fill="auto"/>
            <w:noWrap/>
            <w:vAlign w:val="bottom"/>
            <w:hideMark/>
          </w:tcPr>
          <w:p w14:paraId="3E9F3BBA"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11</w:t>
            </w:r>
          </w:p>
        </w:tc>
        <w:tc>
          <w:tcPr>
            <w:tcW w:w="960" w:type="dxa"/>
            <w:tcBorders>
              <w:top w:val="single" w:sz="4" w:space="0" w:color="auto"/>
              <w:left w:val="single" w:sz="4" w:space="0" w:color="auto"/>
              <w:bottom w:val="single" w:sz="4" w:space="0" w:color="auto"/>
              <w:right w:val="single" w:sz="4" w:space="0" w:color="auto"/>
            </w:tcBorders>
            <w:shd w:val="clear" w:color="000000" w:fill="F97779"/>
            <w:noWrap/>
            <w:vAlign w:val="bottom"/>
            <w:hideMark/>
          </w:tcPr>
          <w:p w14:paraId="7DC3300C"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85%</w:t>
            </w:r>
          </w:p>
        </w:tc>
      </w:tr>
      <w:tr w:rsidR="006E1FCB" w:rsidRPr="00600ADD" w14:paraId="15D222AC"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4C49FD2A"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rozvoj možností pro volný čas</w:t>
            </w:r>
          </w:p>
        </w:tc>
        <w:tc>
          <w:tcPr>
            <w:tcW w:w="960" w:type="dxa"/>
            <w:tcBorders>
              <w:top w:val="nil"/>
              <w:left w:val="nil"/>
              <w:bottom w:val="single" w:sz="4" w:space="0" w:color="auto"/>
              <w:right w:val="single" w:sz="4" w:space="0" w:color="auto"/>
            </w:tcBorders>
            <w:shd w:val="clear" w:color="auto" w:fill="auto"/>
            <w:noWrap/>
            <w:vAlign w:val="bottom"/>
            <w:hideMark/>
          </w:tcPr>
          <w:p w14:paraId="4D820255"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6</w:t>
            </w:r>
          </w:p>
        </w:tc>
        <w:tc>
          <w:tcPr>
            <w:tcW w:w="960" w:type="dxa"/>
            <w:tcBorders>
              <w:top w:val="single" w:sz="4" w:space="0" w:color="auto"/>
              <w:left w:val="single" w:sz="4" w:space="0" w:color="auto"/>
              <w:bottom w:val="single" w:sz="4" w:space="0" w:color="auto"/>
              <w:right w:val="single" w:sz="4" w:space="0" w:color="auto"/>
            </w:tcBorders>
            <w:shd w:val="clear" w:color="000000" w:fill="FBBABC"/>
            <w:noWrap/>
            <w:vAlign w:val="bottom"/>
            <w:hideMark/>
          </w:tcPr>
          <w:p w14:paraId="0FA05B10"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46%</w:t>
            </w:r>
          </w:p>
        </w:tc>
      </w:tr>
      <w:tr w:rsidR="006E1FCB" w:rsidRPr="00600ADD" w14:paraId="2C3DE070"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988DA41"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podpora drobného a středního podnikání</w:t>
            </w:r>
          </w:p>
        </w:tc>
        <w:tc>
          <w:tcPr>
            <w:tcW w:w="960" w:type="dxa"/>
            <w:tcBorders>
              <w:top w:val="nil"/>
              <w:left w:val="nil"/>
              <w:bottom w:val="single" w:sz="4" w:space="0" w:color="auto"/>
              <w:right w:val="single" w:sz="4" w:space="0" w:color="auto"/>
            </w:tcBorders>
            <w:shd w:val="clear" w:color="auto" w:fill="auto"/>
            <w:noWrap/>
            <w:vAlign w:val="bottom"/>
            <w:hideMark/>
          </w:tcPr>
          <w:p w14:paraId="5229CB2D"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6</w:t>
            </w:r>
          </w:p>
        </w:tc>
        <w:tc>
          <w:tcPr>
            <w:tcW w:w="960" w:type="dxa"/>
            <w:tcBorders>
              <w:top w:val="single" w:sz="4" w:space="0" w:color="auto"/>
              <w:left w:val="single" w:sz="4" w:space="0" w:color="auto"/>
              <w:bottom w:val="single" w:sz="4" w:space="0" w:color="auto"/>
              <w:right w:val="single" w:sz="4" w:space="0" w:color="auto"/>
            </w:tcBorders>
            <w:shd w:val="clear" w:color="000000" w:fill="FBBABC"/>
            <w:noWrap/>
            <w:vAlign w:val="bottom"/>
            <w:hideMark/>
          </w:tcPr>
          <w:p w14:paraId="286455D7"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46%</w:t>
            </w:r>
          </w:p>
        </w:tc>
      </w:tr>
      <w:tr w:rsidR="006E1FCB" w:rsidRPr="00600ADD" w14:paraId="4DB73820"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CD7FF87"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rozvoj školství</w:t>
            </w:r>
          </w:p>
        </w:tc>
        <w:tc>
          <w:tcPr>
            <w:tcW w:w="960" w:type="dxa"/>
            <w:tcBorders>
              <w:top w:val="nil"/>
              <w:left w:val="nil"/>
              <w:bottom w:val="single" w:sz="4" w:space="0" w:color="auto"/>
              <w:right w:val="single" w:sz="4" w:space="0" w:color="auto"/>
            </w:tcBorders>
            <w:shd w:val="clear" w:color="auto" w:fill="auto"/>
            <w:noWrap/>
            <w:vAlign w:val="bottom"/>
            <w:hideMark/>
          </w:tcPr>
          <w:p w14:paraId="6572CBE3"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5</w:t>
            </w:r>
          </w:p>
        </w:tc>
        <w:tc>
          <w:tcPr>
            <w:tcW w:w="960" w:type="dxa"/>
            <w:tcBorders>
              <w:top w:val="single" w:sz="4" w:space="0" w:color="auto"/>
              <w:left w:val="single" w:sz="4" w:space="0" w:color="auto"/>
              <w:bottom w:val="single" w:sz="4" w:space="0" w:color="auto"/>
              <w:right w:val="single" w:sz="4" w:space="0" w:color="auto"/>
            </w:tcBorders>
            <w:shd w:val="clear" w:color="000000" w:fill="FBC7CA"/>
            <w:noWrap/>
            <w:vAlign w:val="bottom"/>
            <w:hideMark/>
          </w:tcPr>
          <w:p w14:paraId="0004A83F"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38%</w:t>
            </w:r>
          </w:p>
        </w:tc>
      </w:tr>
      <w:tr w:rsidR="006E1FCB" w:rsidRPr="00600ADD" w14:paraId="795F8C53"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8F10928"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rozvoj sociálních služeb</w:t>
            </w:r>
          </w:p>
        </w:tc>
        <w:tc>
          <w:tcPr>
            <w:tcW w:w="960" w:type="dxa"/>
            <w:tcBorders>
              <w:top w:val="nil"/>
              <w:left w:val="nil"/>
              <w:bottom w:val="single" w:sz="4" w:space="0" w:color="auto"/>
              <w:right w:val="single" w:sz="4" w:space="0" w:color="auto"/>
            </w:tcBorders>
            <w:shd w:val="clear" w:color="auto" w:fill="auto"/>
            <w:noWrap/>
            <w:vAlign w:val="bottom"/>
            <w:hideMark/>
          </w:tcPr>
          <w:p w14:paraId="21F90997"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4</w:t>
            </w:r>
          </w:p>
        </w:tc>
        <w:tc>
          <w:tcPr>
            <w:tcW w:w="960" w:type="dxa"/>
            <w:tcBorders>
              <w:top w:val="single" w:sz="4" w:space="0" w:color="auto"/>
              <w:left w:val="single" w:sz="4" w:space="0" w:color="auto"/>
              <w:bottom w:val="single" w:sz="4" w:space="0" w:color="auto"/>
              <w:right w:val="single" w:sz="4" w:space="0" w:color="auto"/>
            </w:tcBorders>
            <w:shd w:val="clear" w:color="000000" w:fill="FBD4D7"/>
            <w:noWrap/>
            <w:vAlign w:val="bottom"/>
            <w:hideMark/>
          </w:tcPr>
          <w:p w14:paraId="69F1B953"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31%</w:t>
            </w:r>
          </w:p>
        </w:tc>
      </w:tr>
      <w:tr w:rsidR="006E1FCB" w:rsidRPr="00600ADD" w14:paraId="6DF8EDBE"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19750EC"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větší počet sportovních aktivit</w:t>
            </w:r>
          </w:p>
        </w:tc>
        <w:tc>
          <w:tcPr>
            <w:tcW w:w="960" w:type="dxa"/>
            <w:tcBorders>
              <w:top w:val="nil"/>
              <w:left w:val="nil"/>
              <w:bottom w:val="single" w:sz="4" w:space="0" w:color="auto"/>
              <w:right w:val="single" w:sz="4" w:space="0" w:color="auto"/>
            </w:tcBorders>
            <w:shd w:val="clear" w:color="auto" w:fill="auto"/>
            <w:noWrap/>
            <w:vAlign w:val="bottom"/>
            <w:hideMark/>
          </w:tcPr>
          <w:p w14:paraId="050868D8"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3</w:t>
            </w:r>
          </w:p>
        </w:tc>
        <w:tc>
          <w:tcPr>
            <w:tcW w:w="960" w:type="dxa"/>
            <w:tcBorders>
              <w:top w:val="single" w:sz="4" w:space="0" w:color="auto"/>
              <w:left w:val="single" w:sz="4" w:space="0" w:color="auto"/>
              <w:bottom w:val="single" w:sz="4" w:space="0" w:color="auto"/>
              <w:right w:val="single" w:sz="4" w:space="0" w:color="auto"/>
            </w:tcBorders>
            <w:shd w:val="clear" w:color="000000" w:fill="FCE2E5"/>
            <w:noWrap/>
            <w:vAlign w:val="bottom"/>
            <w:hideMark/>
          </w:tcPr>
          <w:p w14:paraId="2EAAEAA8"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23%</w:t>
            </w:r>
          </w:p>
        </w:tc>
      </w:tr>
      <w:tr w:rsidR="006E1FCB" w:rsidRPr="00600ADD" w14:paraId="2F25D12F"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1C59381"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zvýšení bezpečnosti</w:t>
            </w:r>
          </w:p>
        </w:tc>
        <w:tc>
          <w:tcPr>
            <w:tcW w:w="960" w:type="dxa"/>
            <w:tcBorders>
              <w:top w:val="nil"/>
              <w:left w:val="nil"/>
              <w:bottom w:val="single" w:sz="4" w:space="0" w:color="auto"/>
              <w:right w:val="single" w:sz="4" w:space="0" w:color="auto"/>
            </w:tcBorders>
            <w:shd w:val="clear" w:color="auto" w:fill="auto"/>
            <w:noWrap/>
            <w:vAlign w:val="bottom"/>
            <w:hideMark/>
          </w:tcPr>
          <w:p w14:paraId="13B86A8C"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3</w:t>
            </w:r>
          </w:p>
        </w:tc>
        <w:tc>
          <w:tcPr>
            <w:tcW w:w="960" w:type="dxa"/>
            <w:tcBorders>
              <w:top w:val="single" w:sz="4" w:space="0" w:color="auto"/>
              <w:left w:val="single" w:sz="4" w:space="0" w:color="auto"/>
              <w:bottom w:val="single" w:sz="4" w:space="0" w:color="auto"/>
              <w:right w:val="single" w:sz="4" w:space="0" w:color="auto"/>
            </w:tcBorders>
            <w:shd w:val="clear" w:color="000000" w:fill="FCE2E5"/>
            <w:noWrap/>
            <w:vAlign w:val="bottom"/>
            <w:hideMark/>
          </w:tcPr>
          <w:p w14:paraId="24DC368F"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23%</w:t>
            </w:r>
          </w:p>
        </w:tc>
      </w:tr>
      <w:tr w:rsidR="006E1FCB" w:rsidRPr="00600ADD" w14:paraId="4D31D423"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8D6CB9E"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rozvoj zdravotnictví</w:t>
            </w:r>
          </w:p>
        </w:tc>
        <w:tc>
          <w:tcPr>
            <w:tcW w:w="960" w:type="dxa"/>
            <w:tcBorders>
              <w:top w:val="nil"/>
              <w:left w:val="nil"/>
              <w:bottom w:val="single" w:sz="4" w:space="0" w:color="auto"/>
              <w:right w:val="single" w:sz="4" w:space="0" w:color="auto"/>
            </w:tcBorders>
            <w:shd w:val="clear" w:color="auto" w:fill="auto"/>
            <w:noWrap/>
            <w:vAlign w:val="bottom"/>
            <w:hideMark/>
          </w:tcPr>
          <w:p w14:paraId="434E5A8B"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3</w:t>
            </w:r>
          </w:p>
        </w:tc>
        <w:tc>
          <w:tcPr>
            <w:tcW w:w="960" w:type="dxa"/>
            <w:tcBorders>
              <w:top w:val="single" w:sz="4" w:space="0" w:color="auto"/>
              <w:left w:val="single" w:sz="4" w:space="0" w:color="auto"/>
              <w:bottom w:val="single" w:sz="4" w:space="0" w:color="auto"/>
              <w:right w:val="single" w:sz="4" w:space="0" w:color="auto"/>
            </w:tcBorders>
            <w:shd w:val="clear" w:color="000000" w:fill="FCE2E5"/>
            <w:noWrap/>
            <w:vAlign w:val="bottom"/>
            <w:hideMark/>
          </w:tcPr>
          <w:p w14:paraId="2FF460C9"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23%</w:t>
            </w:r>
          </w:p>
        </w:tc>
      </w:tr>
      <w:tr w:rsidR="006E1FCB" w:rsidRPr="00600ADD" w14:paraId="3C31DE10"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BA429BF"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větší počet kulturních aktivit</w:t>
            </w:r>
          </w:p>
        </w:tc>
        <w:tc>
          <w:tcPr>
            <w:tcW w:w="960" w:type="dxa"/>
            <w:tcBorders>
              <w:top w:val="nil"/>
              <w:left w:val="nil"/>
              <w:bottom w:val="single" w:sz="4" w:space="0" w:color="auto"/>
              <w:right w:val="single" w:sz="4" w:space="0" w:color="auto"/>
            </w:tcBorders>
            <w:shd w:val="clear" w:color="auto" w:fill="auto"/>
            <w:noWrap/>
            <w:vAlign w:val="bottom"/>
            <w:hideMark/>
          </w:tcPr>
          <w:p w14:paraId="33E22E7F"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2</w:t>
            </w:r>
          </w:p>
        </w:tc>
        <w:tc>
          <w:tcPr>
            <w:tcW w:w="960"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071E9B20"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15%</w:t>
            </w:r>
          </w:p>
        </w:tc>
      </w:tr>
      <w:tr w:rsidR="006E1FCB" w:rsidRPr="00600ADD" w14:paraId="12FD3986"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020D192"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cestovní ruch</w:t>
            </w:r>
          </w:p>
        </w:tc>
        <w:tc>
          <w:tcPr>
            <w:tcW w:w="960" w:type="dxa"/>
            <w:tcBorders>
              <w:top w:val="nil"/>
              <w:left w:val="nil"/>
              <w:bottom w:val="single" w:sz="4" w:space="0" w:color="auto"/>
              <w:right w:val="single" w:sz="4" w:space="0" w:color="auto"/>
            </w:tcBorders>
            <w:shd w:val="clear" w:color="auto" w:fill="auto"/>
            <w:noWrap/>
            <w:vAlign w:val="bottom"/>
            <w:hideMark/>
          </w:tcPr>
          <w:p w14:paraId="6614ABFF"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2</w:t>
            </w:r>
          </w:p>
        </w:tc>
        <w:tc>
          <w:tcPr>
            <w:tcW w:w="960"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42174D4C"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15%</w:t>
            </w:r>
          </w:p>
        </w:tc>
      </w:tr>
      <w:tr w:rsidR="006E1FCB" w:rsidRPr="00600ADD" w14:paraId="619885B6"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7948626"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zlepšení životního prostředí</w:t>
            </w:r>
          </w:p>
        </w:tc>
        <w:tc>
          <w:tcPr>
            <w:tcW w:w="960" w:type="dxa"/>
            <w:tcBorders>
              <w:top w:val="nil"/>
              <w:left w:val="nil"/>
              <w:bottom w:val="single" w:sz="4" w:space="0" w:color="auto"/>
              <w:right w:val="single" w:sz="4" w:space="0" w:color="auto"/>
            </w:tcBorders>
            <w:shd w:val="clear" w:color="auto" w:fill="auto"/>
            <w:noWrap/>
            <w:vAlign w:val="bottom"/>
            <w:hideMark/>
          </w:tcPr>
          <w:p w14:paraId="37EB29AF"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2</w:t>
            </w:r>
          </w:p>
        </w:tc>
        <w:tc>
          <w:tcPr>
            <w:tcW w:w="960"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14:paraId="53AAFC29"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15%</w:t>
            </w:r>
          </w:p>
        </w:tc>
      </w:tr>
      <w:tr w:rsidR="006E1FCB" w:rsidRPr="00600ADD" w14:paraId="4716D876"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34E88A2"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rozvoj služeb</w:t>
            </w:r>
          </w:p>
        </w:tc>
        <w:tc>
          <w:tcPr>
            <w:tcW w:w="960" w:type="dxa"/>
            <w:tcBorders>
              <w:top w:val="nil"/>
              <w:left w:val="nil"/>
              <w:bottom w:val="single" w:sz="4" w:space="0" w:color="auto"/>
              <w:right w:val="single" w:sz="4" w:space="0" w:color="auto"/>
            </w:tcBorders>
            <w:shd w:val="clear" w:color="auto" w:fill="auto"/>
            <w:noWrap/>
            <w:vAlign w:val="bottom"/>
            <w:hideMark/>
          </w:tcPr>
          <w:p w14:paraId="66DC8FCF"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1</w:t>
            </w:r>
          </w:p>
        </w:tc>
        <w:tc>
          <w:tcPr>
            <w:tcW w:w="960"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3685D3B0"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8%</w:t>
            </w:r>
          </w:p>
        </w:tc>
      </w:tr>
      <w:tr w:rsidR="006E1FCB" w:rsidRPr="00600ADD" w14:paraId="23148035" w14:textId="77777777" w:rsidTr="000931EA">
        <w:trPr>
          <w:trHeight w:val="29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27AF252" w14:textId="77777777" w:rsidR="006E1FCB" w:rsidRPr="00600ADD" w:rsidRDefault="006E1FCB" w:rsidP="000931EA">
            <w:pPr>
              <w:spacing w:before="0"/>
              <w:jc w:val="left"/>
              <w:rPr>
                <w:rFonts w:ascii="Calibri" w:eastAsia="Times New Roman" w:hAnsi="Calibri" w:cs="Calibri"/>
                <w:color w:val="000000"/>
                <w:lang w:eastAsia="cs-CZ"/>
              </w:rPr>
            </w:pPr>
            <w:r w:rsidRPr="00600ADD">
              <w:rPr>
                <w:rFonts w:ascii="Calibri" w:eastAsia="Times New Roman" w:hAnsi="Calibri" w:cs="Calibri"/>
                <w:color w:val="000000"/>
                <w:lang w:eastAsia="cs-CZ"/>
              </w:rPr>
              <w:t>další rozvoj průmyslové zóny</w:t>
            </w:r>
          </w:p>
        </w:tc>
        <w:tc>
          <w:tcPr>
            <w:tcW w:w="960" w:type="dxa"/>
            <w:tcBorders>
              <w:top w:val="nil"/>
              <w:left w:val="nil"/>
              <w:bottom w:val="single" w:sz="4" w:space="0" w:color="auto"/>
              <w:right w:val="single" w:sz="4" w:space="0" w:color="auto"/>
            </w:tcBorders>
            <w:shd w:val="clear" w:color="auto" w:fill="auto"/>
            <w:noWrap/>
            <w:vAlign w:val="bottom"/>
            <w:hideMark/>
          </w:tcPr>
          <w:p w14:paraId="51AF0A41"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1</w:t>
            </w:r>
          </w:p>
        </w:tc>
        <w:tc>
          <w:tcPr>
            <w:tcW w:w="960"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32950FB" w14:textId="77777777" w:rsidR="006E1FCB" w:rsidRPr="00600ADD" w:rsidRDefault="006E1FCB" w:rsidP="000931EA">
            <w:pPr>
              <w:spacing w:before="0"/>
              <w:jc w:val="right"/>
              <w:rPr>
                <w:rFonts w:ascii="Calibri" w:eastAsia="Times New Roman" w:hAnsi="Calibri" w:cs="Calibri"/>
                <w:color w:val="000000"/>
                <w:lang w:eastAsia="cs-CZ"/>
              </w:rPr>
            </w:pPr>
            <w:r w:rsidRPr="00600ADD">
              <w:rPr>
                <w:rFonts w:ascii="Calibri" w:eastAsia="Times New Roman" w:hAnsi="Calibri" w:cs="Calibri"/>
                <w:color w:val="000000"/>
                <w:lang w:eastAsia="cs-CZ"/>
              </w:rPr>
              <w:t>8%</w:t>
            </w:r>
          </w:p>
        </w:tc>
      </w:tr>
    </w:tbl>
    <w:p w14:paraId="64872E9E" w14:textId="77777777" w:rsidR="006E1FCB" w:rsidRDefault="006E1FCB" w:rsidP="00275411">
      <w:pPr>
        <w:pStyle w:val="Zdroj"/>
        <w:spacing w:before="0" w:after="0"/>
        <w:contextualSpacing/>
      </w:pPr>
      <w:r>
        <w:t>Zdroj: PROCES, 2020. Výzkum osobností města Zlín.</w:t>
      </w:r>
    </w:p>
    <w:p w14:paraId="31145A89" w14:textId="77777777" w:rsidR="006E1FCB" w:rsidRPr="00600ADD" w:rsidRDefault="006E1FCB" w:rsidP="00275411">
      <w:pPr>
        <w:pStyle w:val="Zdroj"/>
        <w:spacing w:before="0" w:after="0"/>
        <w:contextualSpacing/>
      </w:pPr>
      <w:r w:rsidRPr="00600ADD">
        <w:t xml:space="preserve">Pozn.: </w:t>
      </w:r>
      <w:r>
        <w:t xml:space="preserve"> Odpovědi na otázku: O11</w:t>
      </w:r>
      <w:r w:rsidRPr="00600ADD">
        <w:t xml:space="preserve"> Do jaké oblasti byste nejvíce směřoval/a prostředky z rozpočtu města? </w:t>
      </w:r>
    </w:p>
    <w:p w14:paraId="74E20C43" w14:textId="77777777" w:rsidR="006E1FCB" w:rsidRPr="00897D31" w:rsidRDefault="006E1FCB" w:rsidP="006E1FCB">
      <w:pPr>
        <w:rPr>
          <w:b/>
        </w:rPr>
      </w:pPr>
      <w:r w:rsidRPr="00897D31">
        <w:rPr>
          <w:b/>
        </w:rPr>
        <w:t xml:space="preserve">V rámci konkrétních opatření pro rozvoj města osobnosti </w:t>
      </w:r>
      <w:r>
        <w:rPr>
          <w:b/>
        </w:rPr>
        <w:t xml:space="preserve">uvedly </w:t>
      </w:r>
      <w:r w:rsidRPr="00897D31">
        <w:rPr>
          <w:b/>
        </w:rPr>
        <w:t>níže uvedené výroky.</w:t>
      </w:r>
    </w:p>
    <w:p w14:paraId="1EFD6605" w14:textId="77777777" w:rsidR="006E1FCB" w:rsidRPr="002D1075" w:rsidRDefault="006E1FCB" w:rsidP="006E1FCB">
      <w:pPr>
        <w:rPr>
          <w:b/>
        </w:rPr>
      </w:pPr>
      <w:r w:rsidRPr="007B5F9A">
        <w:rPr>
          <w:b/>
        </w:rPr>
        <w:t>O12</w:t>
      </w:r>
      <w:r>
        <w:rPr>
          <w:b/>
        </w:rPr>
        <w:t>:</w:t>
      </w:r>
      <w:r>
        <w:t xml:space="preserve"> </w:t>
      </w:r>
      <w:r w:rsidRPr="002D1075">
        <w:rPr>
          <w:b/>
        </w:rPr>
        <w:t>Napadají Vás opatření, která byste městu Zlín doporučil/a k tomu, aby se úspěšně rozvíjelo, např. po vzoru jiných měst u nás i v zahraničí?</w:t>
      </w:r>
    </w:p>
    <w:p w14:paraId="7A3F9512" w14:textId="77777777" w:rsidR="006E1FCB" w:rsidRPr="007B5F9A" w:rsidRDefault="006E1FCB" w:rsidP="00A55F7D">
      <w:pPr>
        <w:pStyle w:val="Odstavecseseznamem"/>
        <w:numPr>
          <w:ilvl w:val="0"/>
          <w:numId w:val="83"/>
        </w:numPr>
        <w:rPr>
          <w:rFonts w:cstheme="minorHAnsi"/>
          <w:i/>
        </w:rPr>
      </w:pPr>
      <w:r w:rsidRPr="007B5F9A">
        <w:rPr>
          <w:rFonts w:cstheme="minorHAnsi"/>
          <w:i/>
        </w:rPr>
        <w:t>V</w:t>
      </w:r>
      <w:r>
        <w:rPr>
          <w:rFonts w:cstheme="minorHAnsi"/>
          <w:i/>
        </w:rPr>
        <w:t>ě</w:t>
      </w:r>
      <w:r w:rsidRPr="007B5F9A">
        <w:rPr>
          <w:rFonts w:cstheme="minorHAnsi"/>
          <w:i/>
        </w:rPr>
        <w:t>tší možnosti využití veřejných ploch včetně Dřevnice pro lidi. V rámci města   by bylo vhodné zkombinovat informace o přírodních fenoménech např. s naučnou stezkou případně dalšími hracími prvky. (Gaťáková)</w:t>
      </w:r>
    </w:p>
    <w:p w14:paraId="7446C9C6" w14:textId="77777777" w:rsidR="006E1FCB" w:rsidRPr="007B5F9A" w:rsidRDefault="006E1FCB" w:rsidP="00A55F7D">
      <w:pPr>
        <w:pStyle w:val="Odstavecseseznamem"/>
        <w:numPr>
          <w:ilvl w:val="0"/>
          <w:numId w:val="83"/>
        </w:numPr>
        <w:rPr>
          <w:rFonts w:cstheme="minorHAnsi"/>
          <w:i/>
        </w:rPr>
      </w:pPr>
      <w:r w:rsidRPr="007B5F9A">
        <w:rPr>
          <w:rFonts w:cstheme="minorHAnsi"/>
          <w:i/>
        </w:rPr>
        <w:t>Jsem rozhodně odpůrce slučování obcí, jsem pro decentralizaci. Využít potenciál, který spí a</w:t>
      </w:r>
      <w:r>
        <w:rPr>
          <w:rFonts w:cstheme="minorHAnsi"/>
          <w:i/>
        </w:rPr>
        <w:t> </w:t>
      </w:r>
      <w:r w:rsidRPr="007B5F9A">
        <w:rPr>
          <w:rFonts w:cstheme="minorHAnsi"/>
          <w:i/>
        </w:rPr>
        <w:t>mohl by žít.</w:t>
      </w:r>
      <w:r>
        <w:rPr>
          <w:rFonts w:cstheme="minorHAnsi"/>
          <w:i/>
        </w:rPr>
        <w:t xml:space="preserve"> </w:t>
      </w:r>
      <w:r w:rsidRPr="007B5F9A">
        <w:rPr>
          <w:rFonts w:cstheme="minorHAnsi"/>
          <w:i/>
        </w:rPr>
        <w:t>(Goláň)</w:t>
      </w:r>
    </w:p>
    <w:p w14:paraId="5AB7A30B" w14:textId="5E8FEC65" w:rsidR="006E1FCB" w:rsidRPr="007B5F9A" w:rsidRDefault="006E1FCB" w:rsidP="00A55F7D">
      <w:pPr>
        <w:pStyle w:val="Odstavecseseznamem"/>
        <w:numPr>
          <w:ilvl w:val="0"/>
          <w:numId w:val="83"/>
        </w:numPr>
        <w:rPr>
          <w:rFonts w:cstheme="minorHAnsi"/>
          <w:i/>
        </w:rPr>
      </w:pPr>
      <w:r w:rsidRPr="007B5F9A">
        <w:rPr>
          <w:rFonts w:cstheme="minorHAnsi"/>
          <w:i/>
        </w:rPr>
        <w:t>Při jakékoliv výstavbě sportovišť je nutné se zaměřit na bezpečnost a funkčnost</w:t>
      </w:r>
      <w:r w:rsidR="00275411">
        <w:rPr>
          <w:rFonts w:cstheme="minorHAnsi"/>
          <w:i/>
        </w:rPr>
        <w:t xml:space="preserve"> a</w:t>
      </w:r>
      <w:r w:rsidRPr="007B5F9A">
        <w:rPr>
          <w:rFonts w:cstheme="minorHAnsi"/>
          <w:i/>
        </w:rPr>
        <w:t xml:space="preserve"> konzultovat s odborníky a s policií. Je nezbytné myslet také na bezpečné únikové cesty, a to nejen ze stadionu. (Indra)</w:t>
      </w:r>
    </w:p>
    <w:p w14:paraId="51F6CF69" w14:textId="77777777" w:rsidR="006E1FCB" w:rsidRPr="007B5F9A" w:rsidRDefault="006E1FCB" w:rsidP="00A55F7D">
      <w:pPr>
        <w:pStyle w:val="Odstavecseseznamem"/>
        <w:numPr>
          <w:ilvl w:val="0"/>
          <w:numId w:val="83"/>
        </w:numPr>
        <w:rPr>
          <w:rFonts w:cstheme="minorHAnsi"/>
          <w:i/>
        </w:rPr>
      </w:pPr>
      <w:r w:rsidRPr="007B5F9A">
        <w:rPr>
          <w:rFonts w:cstheme="minorHAnsi"/>
          <w:i/>
        </w:rPr>
        <w:t>Je nutné řešit transport, životní prostředí, veřejný prostor, zelené město. Už se to děje, ale je potřeba rozvíjet vše více a zároveň ukazovat světu. Nemusí nikdo nic kopírovat, Zlín je schopen si vytvořit vize sám. (Jiřičná)</w:t>
      </w:r>
    </w:p>
    <w:p w14:paraId="047FD700" w14:textId="77777777" w:rsidR="006E1FCB" w:rsidRPr="007B5F9A" w:rsidRDefault="006E1FCB" w:rsidP="00A55F7D">
      <w:pPr>
        <w:pStyle w:val="Odstavecseseznamem"/>
        <w:numPr>
          <w:ilvl w:val="0"/>
          <w:numId w:val="83"/>
        </w:numPr>
        <w:rPr>
          <w:i/>
        </w:rPr>
      </w:pPr>
      <w:r w:rsidRPr="007B5F9A">
        <w:rPr>
          <w:i/>
        </w:rPr>
        <w:t>Rozvoj dopravy, systematické budování podmínek pro cyklodopravu, elektrokola. (Kutý)</w:t>
      </w:r>
    </w:p>
    <w:p w14:paraId="3767C509" w14:textId="77777777" w:rsidR="006E1FCB" w:rsidRPr="007B5F9A" w:rsidRDefault="006E1FCB" w:rsidP="00A55F7D">
      <w:pPr>
        <w:pStyle w:val="Odstavecseseznamem"/>
        <w:numPr>
          <w:ilvl w:val="0"/>
          <w:numId w:val="83"/>
        </w:numPr>
        <w:rPr>
          <w:rFonts w:cstheme="minorHAnsi"/>
          <w:i/>
        </w:rPr>
      </w:pPr>
      <w:r w:rsidRPr="007B5F9A">
        <w:rPr>
          <w:rFonts w:cstheme="minorHAnsi"/>
          <w:i/>
        </w:rPr>
        <w:t>Komunikovat více s obyvateli a dělat věci, které lidé chtějí. Podpora elektromobility. (Stodůlka)</w:t>
      </w:r>
    </w:p>
    <w:p w14:paraId="22FEC04A" w14:textId="335703E5" w:rsidR="006E1FCB" w:rsidRPr="007B5F9A" w:rsidRDefault="006E1FCB" w:rsidP="00A55F7D">
      <w:pPr>
        <w:pStyle w:val="Odstavecseseznamem"/>
        <w:numPr>
          <w:ilvl w:val="0"/>
          <w:numId w:val="83"/>
        </w:numPr>
        <w:rPr>
          <w:rFonts w:cstheme="minorHAnsi"/>
          <w:i/>
        </w:rPr>
      </w:pPr>
      <w:r w:rsidRPr="007B5F9A">
        <w:rPr>
          <w:rFonts w:cstheme="minorHAnsi"/>
          <w:i/>
        </w:rPr>
        <w:t>Zlín má družbu s </w:t>
      </w:r>
      <w:r>
        <w:rPr>
          <w:rFonts w:cstheme="minorHAnsi"/>
          <w:i/>
        </w:rPr>
        <w:t>h</w:t>
      </w:r>
      <w:r w:rsidRPr="007B5F9A">
        <w:rPr>
          <w:rFonts w:cstheme="minorHAnsi"/>
          <w:i/>
        </w:rPr>
        <w:t>olandským městem, pracovníci úřadu jezdili na výměnu a lidi se</w:t>
      </w:r>
      <w:r>
        <w:rPr>
          <w:rFonts w:cstheme="minorHAnsi"/>
          <w:i/>
        </w:rPr>
        <w:t xml:space="preserve"> při návrhu</w:t>
      </w:r>
      <w:r w:rsidRPr="007B5F9A">
        <w:rPr>
          <w:rFonts w:cstheme="minorHAnsi"/>
          <w:i/>
        </w:rPr>
        <w:t xml:space="preserve"> revitalizac</w:t>
      </w:r>
      <w:r w:rsidR="00275411">
        <w:rPr>
          <w:rFonts w:cstheme="minorHAnsi"/>
          <w:i/>
        </w:rPr>
        <w:t>í</w:t>
      </w:r>
      <w:r w:rsidRPr="007B5F9A">
        <w:rPr>
          <w:rFonts w:cstheme="minorHAnsi"/>
          <w:i/>
        </w:rPr>
        <w:t xml:space="preserve"> ve městě inspirovali v Holandsku. Doporučovala bych tedy prohlubování inspirace v zahraničí. Při revitalizacích</w:t>
      </w:r>
      <w:r>
        <w:rPr>
          <w:rFonts w:cstheme="minorHAnsi"/>
          <w:i/>
        </w:rPr>
        <w:t xml:space="preserve"> se</w:t>
      </w:r>
      <w:r w:rsidRPr="007B5F9A">
        <w:rPr>
          <w:rFonts w:cstheme="minorHAnsi"/>
          <w:i/>
        </w:rPr>
        <w:t xml:space="preserve"> spoléhat na renomovaná jména. (Táborská)</w:t>
      </w:r>
    </w:p>
    <w:p w14:paraId="22239E71" w14:textId="77777777" w:rsidR="006E1FCB" w:rsidRPr="007B5F9A" w:rsidRDefault="006E1FCB" w:rsidP="00A55F7D">
      <w:pPr>
        <w:pStyle w:val="Odstavecseseznamem"/>
        <w:numPr>
          <w:ilvl w:val="0"/>
          <w:numId w:val="83"/>
        </w:numPr>
        <w:rPr>
          <w:rFonts w:cstheme="minorHAnsi"/>
          <w:i/>
        </w:rPr>
      </w:pPr>
      <w:r w:rsidRPr="007B5F9A">
        <w:rPr>
          <w:rFonts w:cstheme="minorHAnsi"/>
          <w:i/>
        </w:rPr>
        <w:t>Startovací byty, intenzivní spolupráce s UTB, podpora inovací a rozvoj výzkumných center zaměřených na klíčové oblasti (viz RIS 3 strategie). S ohledem na situaci kolem COVID</w:t>
      </w:r>
      <w:r>
        <w:rPr>
          <w:rFonts w:cstheme="minorHAnsi"/>
          <w:i/>
        </w:rPr>
        <w:t>-</w:t>
      </w:r>
      <w:r w:rsidRPr="007B5F9A">
        <w:rPr>
          <w:rFonts w:cstheme="minorHAnsi"/>
          <w:i/>
        </w:rPr>
        <w:t>19 se zaměřit na revizi a podporu klíčové infrastruktury (spolupráce také s UTB). Je nezbytné nastavit systém pro efektivní využívání dotačních titulů v rámci nového programového období. (Sedlařík)</w:t>
      </w:r>
    </w:p>
    <w:p w14:paraId="4B821A6F" w14:textId="77777777" w:rsidR="006E1FCB" w:rsidRPr="007B5F9A" w:rsidRDefault="006E1FCB" w:rsidP="00A55F7D">
      <w:pPr>
        <w:pStyle w:val="Odstavecseseznamem"/>
        <w:numPr>
          <w:ilvl w:val="0"/>
          <w:numId w:val="83"/>
        </w:numPr>
        <w:rPr>
          <w:rFonts w:cstheme="minorHAnsi"/>
          <w:i/>
        </w:rPr>
      </w:pPr>
      <w:r w:rsidRPr="007B5F9A">
        <w:rPr>
          <w:rFonts w:cstheme="minorHAnsi"/>
          <w:i/>
        </w:rPr>
        <w:t>Více nositelů nových projektů, osvícených lidí s novými projekty a vizemi. (Žáček)</w:t>
      </w:r>
    </w:p>
    <w:p w14:paraId="593CF5CE" w14:textId="77777777" w:rsidR="006E1FCB" w:rsidRPr="007B5F9A" w:rsidRDefault="006E1FCB" w:rsidP="00A55F7D">
      <w:pPr>
        <w:pStyle w:val="Odstavecseseznamem"/>
        <w:numPr>
          <w:ilvl w:val="0"/>
          <w:numId w:val="83"/>
        </w:numPr>
        <w:rPr>
          <w:rFonts w:cstheme="minorHAnsi"/>
          <w:i/>
        </w:rPr>
      </w:pPr>
      <w:r w:rsidRPr="007B5F9A">
        <w:rPr>
          <w:rFonts w:cstheme="minorHAnsi"/>
          <w:i/>
        </w:rPr>
        <w:t>Jít směrem SMART city řešení. (Ježíková)</w:t>
      </w:r>
    </w:p>
    <w:p w14:paraId="12AEC5BE" w14:textId="77777777" w:rsidR="006E1FCB" w:rsidRPr="007B5F9A" w:rsidRDefault="006E1FCB" w:rsidP="00A55F7D">
      <w:pPr>
        <w:pStyle w:val="Odstavecseseznamem"/>
        <w:numPr>
          <w:ilvl w:val="0"/>
          <w:numId w:val="83"/>
        </w:numPr>
        <w:rPr>
          <w:rFonts w:cstheme="minorHAnsi"/>
          <w:i/>
        </w:rPr>
      </w:pPr>
      <w:r w:rsidRPr="007B5F9A">
        <w:rPr>
          <w:rFonts w:cstheme="minorHAnsi"/>
          <w:i/>
        </w:rPr>
        <w:t>Snaha o integraci okolních obcí v jeden celek.</w:t>
      </w:r>
      <w:r>
        <w:rPr>
          <w:rFonts w:cstheme="minorHAnsi"/>
          <w:i/>
        </w:rPr>
        <w:t xml:space="preserve"> </w:t>
      </w:r>
      <w:r w:rsidRPr="007B5F9A">
        <w:rPr>
          <w:rFonts w:cstheme="minorHAnsi"/>
          <w:i/>
        </w:rPr>
        <w:t>(Kocháň)</w:t>
      </w:r>
    </w:p>
    <w:p w14:paraId="55E4BEB2" w14:textId="77777777" w:rsidR="006E1FCB" w:rsidRPr="007B5F9A" w:rsidRDefault="006E1FCB" w:rsidP="00A55F7D">
      <w:pPr>
        <w:pStyle w:val="Odstavecseseznamem"/>
        <w:numPr>
          <w:ilvl w:val="0"/>
          <w:numId w:val="83"/>
        </w:numPr>
        <w:rPr>
          <w:i/>
        </w:rPr>
      </w:pPr>
      <w:r w:rsidRPr="007B5F9A">
        <w:rPr>
          <w:rFonts w:cstheme="minorHAnsi"/>
          <w:i/>
        </w:rPr>
        <w:t>Napojit obchvat, dálnice, zlepšit dopravní situaci. (Čajánek)</w:t>
      </w:r>
    </w:p>
    <w:p w14:paraId="4374A71A" w14:textId="77777777" w:rsidR="006E1FCB" w:rsidRDefault="006E1FCB" w:rsidP="00BC6914">
      <w:pPr>
        <w:pStyle w:val="Nadpis4"/>
      </w:pPr>
      <w:bookmarkStart w:id="878" w:name="_Toc50471493"/>
      <w:r>
        <w:t>Hrozby</w:t>
      </w:r>
      <w:bookmarkEnd w:id="878"/>
    </w:p>
    <w:p w14:paraId="6D3B749F" w14:textId="77777777" w:rsidR="006E1FCB" w:rsidRPr="00BA0172" w:rsidRDefault="006E1FCB" w:rsidP="006E1FCB">
      <w:r>
        <w:t>Za hrozby pro město vybrané osobnosti považují nejčastěji odchod mladých lidí pro nedostatek pracovních příležitostí a nedostatek bytů. Řešení dopravní situace a parkování. Město bez rozvojového potenciálu, které se stane skanzenem.</w:t>
      </w:r>
    </w:p>
    <w:p w14:paraId="1CF5F259" w14:textId="77777777" w:rsidR="006E1FCB" w:rsidRPr="00154D62" w:rsidRDefault="006E1FCB" w:rsidP="006E1FCB">
      <w:pPr>
        <w:rPr>
          <w:b/>
        </w:rPr>
      </w:pPr>
      <w:r>
        <w:rPr>
          <w:b/>
        </w:rPr>
        <w:t xml:space="preserve">O5: </w:t>
      </w:r>
      <w:r w:rsidRPr="00154D62">
        <w:rPr>
          <w:b/>
        </w:rPr>
        <w:t xml:space="preserve">Vidíte pro město Zlín nějakou hrozbu? </w:t>
      </w:r>
    </w:p>
    <w:p w14:paraId="225EFA1B" w14:textId="77777777" w:rsidR="006E1FCB" w:rsidRPr="007B5F9A" w:rsidRDefault="006E1FCB" w:rsidP="00A55F7D">
      <w:pPr>
        <w:pStyle w:val="Odstavecseseznamem"/>
        <w:numPr>
          <w:ilvl w:val="0"/>
          <w:numId w:val="85"/>
        </w:numPr>
        <w:rPr>
          <w:rFonts w:cstheme="minorHAnsi"/>
          <w:i/>
        </w:rPr>
      </w:pPr>
      <w:r w:rsidRPr="007B5F9A">
        <w:rPr>
          <w:rFonts w:cstheme="minorHAnsi"/>
          <w:i/>
        </w:rPr>
        <w:t>Intenzivní doprava, je nutné hledat řešení, které by vedlo ke zlepšení.</w:t>
      </w:r>
      <w:r>
        <w:rPr>
          <w:rFonts w:cstheme="minorHAnsi"/>
          <w:i/>
        </w:rPr>
        <w:t xml:space="preserve"> </w:t>
      </w:r>
      <w:r w:rsidRPr="007B5F9A">
        <w:rPr>
          <w:rFonts w:cstheme="minorHAnsi"/>
          <w:i/>
        </w:rPr>
        <w:t>(Gaťáková)</w:t>
      </w:r>
    </w:p>
    <w:p w14:paraId="30AD9302" w14:textId="77777777" w:rsidR="006E1FCB" w:rsidRPr="007B5F9A" w:rsidRDefault="006E1FCB" w:rsidP="00A55F7D">
      <w:pPr>
        <w:pStyle w:val="Odstavecseseznamem"/>
        <w:numPr>
          <w:ilvl w:val="0"/>
          <w:numId w:val="85"/>
        </w:numPr>
        <w:rPr>
          <w:rFonts w:cstheme="minorHAnsi"/>
          <w:i/>
        </w:rPr>
      </w:pPr>
      <w:r w:rsidRPr="007B5F9A">
        <w:rPr>
          <w:rFonts w:cstheme="minorHAnsi"/>
          <w:i/>
        </w:rPr>
        <w:t>Výstavba nové nemocnice ve Zlíně je developersk</w:t>
      </w:r>
      <w:r>
        <w:rPr>
          <w:rFonts w:cstheme="minorHAnsi"/>
          <w:i/>
        </w:rPr>
        <w:t>y</w:t>
      </w:r>
      <w:r w:rsidRPr="007B5F9A">
        <w:rPr>
          <w:rFonts w:cstheme="minorHAnsi"/>
          <w:i/>
        </w:rPr>
        <w:t xml:space="preserve"> špatný projekt, který změní charakter Zlína, taktéž se obrátí doprava ve Zlíně. (Goláň)</w:t>
      </w:r>
    </w:p>
    <w:p w14:paraId="0DED8C38" w14:textId="77777777" w:rsidR="006E1FCB" w:rsidRPr="007B5F9A" w:rsidRDefault="006E1FCB" w:rsidP="00A55F7D">
      <w:pPr>
        <w:pStyle w:val="Odstavecseseznamem"/>
        <w:numPr>
          <w:ilvl w:val="0"/>
          <w:numId w:val="85"/>
        </w:numPr>
        <w:rPr>
          <w:rFonts w:cstheme="minorHAnsi"/>
          <w:i/>
        </w:rPr>
      </w:pPr>
      <w:r w:rsidRPr="007B5F9A">
        <w:rPr>
          <w:rFonts w:cstheme="minorHAnsi"/>
          <w:i/>
        </w:rPr>
        <w:t>Velmi špatná dopravní obslužnost. (Indra)</w:t>
      </w:r>
    </w:p>
    <w:p w14:paraId="6D2907AC" w14:textId="77777777" w:rsidR="006E1FCB" w:rsidRPr="007B5F9A" w:rsidRDefault="006E1FCB" w:rsidP="00A55F7D">
      <w:pPr>
        <w:pStyle w:val="Odstavecseseznamem"/>
        <w:numPr>
          <w:ilvl w:val="0"/>
          <w:numId w:val="85"/>
        </w:numPr>
        <w:rPr>
          <w:rFonts w:cstheme="minorHAnsi"/>
          <w:i/>
        </w:rPr>
      </w:pPr>
      <w:r w:rsidRPr="007B5F9A">
        <w:rPr>
          <w:rFonts w:cstheme="minorHAnsi"/>
          <w:i/>
        </w:rPr>
        <w:t>Nesmí se z města stát skanzen, který se nebude rozvíjet, ale bude stagnovat. Když se vývoj a</w:t>
      </w:r>
      <w:r>
        <w:rPr>
          <w:rFonts w:cstheme="minorHAnsi"/>
          <w:i/>
        </w:rPr>
        <w:t> </w:t>
      </w:r>
      <w:r w:rsidRPr="007B5F9A">
        <w:rPr>
          <w:rFonts w:cstheme="minorHAnsi"/>
          <w:i/>
        </w:rPr>
        <w:t>požadavky na změny zablokují, umře energie i pracovní p</w:t>
      </w:r>
      <w:r w:rsidRPr="007B5F9A">
        <w:rPr>
          <w:rFonts w:eastAsia="MS Gothic" w:cstheme="minorHAnsi"/>
          <w:i/>
        </w:rPr>
        <w:t>ř</w:t>
      </w:r>
      <w:r w:rsidRPr="007B5F9A">
        <w:rPr>
          <w:rFonts w:cstheme="minorHAnsi"/>
          <w:i/>
        </w:rPr>
        <w:t>íle</w:t>
      </w:r>
      <w:r w:rsidRPr="007B5F9A">
        <w:rPr>
          <w:rFonts w:eastAsia="Calibri" w:cstheme="minorHAnsi"/>
          <w:i/>
        </w:rPr>
        <w:t>ž</w:t>
      </w:r>
      <w:r w:rsidRPr="007B5F9A">
        <w:rPr>
          <w:rFonts w:cstheme="minorHAnsi"/>
          <w:i/>
        </w:rPr>
        <w:t>itosti a výstavba. (Jiřičná)</w:t>
      </w:r>
    </w:p>
    <w:p w14:paraId="5A184EB0" w14:textId="77777777" w:rsidR="006E1FCB" w:rsidRPr="007B5F9A" w:rsidRDefault="006E1FCB" w:rsidP="00A55F7D">
      <w:pPr>
        <w:pStyle w:val="Odstavecseseznamem"/>
        <w:numPr>
          <w:ilvl w:val="0"/>
          <w:numId w:val="85"/>
        </w:numPr>
        <w:rPr>
          <w:rFonts w:cstheme="minorHAnsi"/>
          <w:i/>
        </w:rPr>
      </w:pPr>
      <w:r w:rsidRPr="007B5F9A">
        <w:rPr>
          <w:rFonts w:cstheme="minorHAnsi"/>
          <w:i/>
        </w:rPr>
        <w:t>Nedostatek rozvojových ploch, město sevřené v údolí. Nebezpečí odchodu mladých, vzdělaných lidí.</w:t>
      </w:r>
      <w:r>
        <w:rPr>
          <w:rFonts w:cstheme="minorHAnsi"/>
          <w:i/>
        </w:rPr>
        <w:t xml:space="preserve"> </w:t>
      </w:r>
      <w:r w:rsidRPr="007B5F9A">
        <w:rPr>
          <w:rFonts w:cstheme="minorHAnsi"/>
          <w:i/>
        </w:rPr>
        <w:t>(Kutý)</w:t>
      </w:r>
    </w:p>
    <w:p w14:paraId="718FA3DB" w14:textId="77777777" w:rsidR="006E1FCB" w:rsidRPr="007B5F9A" w:rsidRDefault="006E1FCB" w:rsidP="00A55F7D">
      <w:pPr>
        <w:pStyle w:val="Odstavecseseznamem"/>
        <w:numPr>
          <w:ilvl w:val="0"/>
          <w:numId w:val="85"/>
        </w:numPr>
        <w:rPr>
          <w:rFonts w:cstheme="minorHAnsi"/>
          <w:i/>
        </w:rPr>
      </w:pPr>
      <w:r w:rsidRPr="007B5F9A">
        <w:rPr>
          <w:rFonts w:cstheme="minorHAnsi"/>
          <w:i/>
        </w:rPr>
        <w:t>Odchod mladých a nadějných lidí, kteří zde nenajdou práci a bydlení. (Stodůlka)</w:t>
      </w:r>
    </w:p>
    <w:p w14:paraId="2E8DF44F" w14:textId="5734CA05" w:rsidR="006E1FCB" w:rsidRPr="007B5F9A" w:rsidRDefault="006E1FCB" w:rsidP="00A55F7D">
      <w:pPr>
        <w:pStyle w:val="Odstavecseseznamem"/>
        <w:numPr>
          <w:ilvl w:val="0"/>
          <w:numId w:val="85"/>
        </w:numPr>
        <w:rPr>
          <w:rFonts w:cstheme="minorHAnsi"/>
          <w:i/>
        </w:rPr>
      </w:pPr>
      <w:r w:rsidRPr="007B5F9A">
        <w:rPr>
          <w:rFonts w:cstheme="minorHAnsi"/>
          <w:i/>
        </w:rPr>
        <w:t>Pokud zde nebudou byty, nebudou mít mladí lidé kde bydlet a pravděpodobně zde nezůstanou. V myšlení Zlíňák</w:t>
      </w:r>
      <w:r w:rsidR="007C6DC6">
        <w:rPr>
          <w:rFonts w:cstheme="minorHAnsi"/>
          <w:i/>
        </w:rPr>
        <w:t>ů</w:t>
      </w:r>
      <w:r w:rsidRPr="007B5F9A">
        <w:rPr>
          <w:rFonts w:cstheme="minorHAnsi"/>
          <w:i/>
        </w:rPr>
        <w:t xml:space="preserve"> pozoruji, že mají raději postupující revitalizaci ve městě než výstavbu nových budov. Za nebezpečné považuji bezdomovectví v okolí nádraží. (Táborská)</w:t>
      </w:r>
    </w:p>
    <w:p w14:paraId="16E235F8" w14:textId="77777777" w:rsidR="006E1FCB" w:rsidRPr="007B5F9A" w:rsidRDefault="006E1FCB" w:rsidP="00A55F7D">
      <w:pPr>
        <w:pStyle w:val="Odstavecseseznamem"/>
        <w:numPr>
          <w:ilvl w:val="0"/>
          <w:numId w:val="85"/>
        </w:numPr>
        <w:rPr>
          <w:rFonts w:cstheme="minorHAnsi"/>
          <w:i/>
        </w:rPr>
      </w:pPr>
      <w:r w:rsidRPr="007B5F9A">
        <w:rPr>
          <w:rFonts w:cstheme="minorHAnsi"/>
          <w:i/>
        </w:rPr>
        <w:t>Další snižování počtu obyvatel města může vést k omezení financování infrastruktury pro volnočasové aktivity, kulturní a společenské akce, což by vedlo ke snížení atraktivity města. (Korec)</w:t>
      </w:r>
    </w:p>
    <w:p w14:paraId="7F3D3891" w14:textId="77777777" w:rsidR="006E1FCB" w:rsidRPr="007B5F9A" w:rsidRDefault="006E1FCB" w:rsidP="00A55F7D">
      <w:pPr>
        <w:pStyle w:val="Odstavecseseznamem"/>
        <w:numPr>
          <w:ilvl w:val="0"/>
          <w:numId w:val="85"/>
        </w:numPr>
        <w:rPr>
          <w:rFonts w:cstheme="minorHAnsi"/>
          <w:i/>
        </w:rPr>
      </w:pPr>
      <w:r w:rsidRPr="007B5F9A">
        <w:rPr>
          <w:rFonts w:cstheme="minorHAnsi"/>
          <w:i/>
        </w:rPr>
        <w:t>Hrozbou je řízení města Zlína, které by bylo podřízeno politickým cílům a ne potřebám města a</w:t>
      </w:r>
      <w:r>
        <w:rPr>
          <w:rFonts w:cstheme="minorHAnsi"/>
          <w:i/>
        </w:rPr>
        <w:t> </w:t>
      </w:r>
      <w:r w:rsidRPr="007B5F9A">
        <w:rPr>
          <w:rFonts w:cstheme="minorHAnsi"/>
          <w:i/>
        </w:rPr>
        <w:t>obyvatel. Další hrozbou může být regionální myšlení bez potřebného nadhledu. Malým lokálním problémům je přiřazena nepřiměřená důležitost. (Sedlařík)</w:t>
      </w:r>
    </w:p>
    <w:p w14:paraId="6AB00BD5" w14:textId="77777777" w:rsidR="006E1FCB" w:rsidRPr="007B5F9A" w:rsidRDefault="006E1FCB" w:rsidP="00A55F7D">
      <w:pPr>
        <w:pStyle w:val="Odstavecseseznamem"/>
        <w:numPr>
          <w:ilvl w:val="0"/>
          <w:numId w:val="85"/>
        </w:numPr>
        <w:rPr>
          <w:rFonts w:cstheme="minorHAnsi"/>
          <w:i/>
        </w:rPr>
      </w:pPr>
      <w:r w:rsidRPr="007B5F9A">
        <w:rPr>
          <w:rFonts w:cstheme="minorHAnsi"/>
          <w:i/>
        </w:rPr>
        <w:t>Málo vizí a moc anket. Také</w:t>
      </w:r>
      <w:r>
        <w:rPr>
          <w:rFonts w:cstheme="minorHAnsi"/>
          <w:i/>
        </w:rPr>
        <w:t>,</w:t>
      </w:r>
      <w:r w:rsidRPr="007B5F9A">
        <w:rPr>
          <w:rFonts w:cstheme="minorHAnsi"/>
          <w:i/>
        </w:rPr>
        <w:t xml:space="preserve"> aby se město neutopilo v rostoucí zástavbě. (Žáček)</w:t>
      </w:r>
    </w:p>
    <w:p w14:paraId="7EC2DFA3" w14:textId="77777777" w:rsidR="006E1FCB" w:rsidRPr="007B5F9A" w:rsidRDefault="006E1FCB" w:rsidP="00A55F7D">
      <w:pPr>
        <w:pStyle w:val="Odstavecseseznamem"/>
        <w:numPr>
          <w:ilvl w:val="0"/>
          <w:numId w:val="85"/>
        </w:numPr>
        <w:rPr>
          <w:rFonts w:cstheme="minorHAnsi"/>
          <w:i/>
        </w:rPr>
      </w:pPr>
      <w:r w:rsidRPr="007B5F9A">
        <w:rPr>
          <w:rFonts w:cstheme="minorHAnsi"/>
          <w:i/>
        </w:rPr>
        <w:t>Bezdomovci v okolí autobusového nádraží, v parku, v areálu UTB. Odchod mladých lidí. Mentalita lidí, nové věci je zaujmou pouze na chvíli. Úplně nové věci nepřijímají</w:t>
      </w:r>
      <w:r>
        <w:rPr>
          <w:rFonts w:cstheme="minorHAnsi"/>
          <w:i/>
        </w:rPr>
        <w:t>,</w:t>
      </w:r>
      <w:r w:rsidRPr="007B5F9A">
        <w:rPr>
          <w:rFonts w:cstheme="minorHAnsi"/>
          <w:i/>
        </w:rPr>
        <w:t xml:space="preserve"> např. nemocnice, nové obchodní centrum. (Ježíková)</w:t>
      </w:r>
    </w:p>
    <w:p w14:paraId="150A7AAF" w14:textId="77777777" w:rsidR="006E1FCB" w:rsidRPr="007B5F9A" w:rsidRDefault="006E1FCB" w:rsidP="00A55F7D">
      <w:pPr>
        <w:pStyle w:val="Odstavecseseznamem"/>
        <w:numPr>
          <w:ilvl w:val="0"/>
          <w:numId w:val="85"/>
        </w:numPr>
        <w:rPr>
          <w:rFonts w:cstheme="minorHAnsi"/>
          <w:i/>
        </w:rPr>
      </w:pPr>
      <w:r w:rsidRPr="007B5F9A">
        <w:rPr>
          <w:rFonts w:cstheme="minorHAnsi"/>
          <w:i/>
        </w:rPr>
        <w:t>V odchodu mladé generace. (Kocháň)</w:t>
      </w:r>
    </w:p>
    <w:p w14:paraId="4E1158D3" w14:textId="77777777" w:rsidR="006E1FCB" w:rsidRPr="007B5F9A" w:rsidRDefault="006E1FCB" w:rsidP="00A55F7D">
      <w:pPr>
        <w:pStyle w:val="Odstavecseseznamem"/>
        <w:numPr>
          <w:ilvl w:val="0"/>
          <w:numId w:val="85"/>
        </w:numPr>
        <w:rPr>
          <w:rFonts w:cstheme="minorHAnsi"/>
          <w:i/>
        </w:rPr>
      </w:pPr>
      <w:r w:rsidRPr="007B5F9A">
        <w:rPr>
          <w:rFonts w:cstheme="minorHAnsi"/>
          <w:i/>
        </w:rPr>
        <w:t>Umístění města v dolině přináší stavební omezení. Nedostatečné napojení na dálnice.</w:t>
      </w:r>
      <w:r>
        <w:rPr>
          <w:rFonts w:cstheme="minorHAnsi"/>
          <w:i/>
        </w:rPr>
        <w:t xml:space="preserve"> </w:t>
      </w:r>
      <w:r w:rsidRPr="007B5F9A">
        <w:rPr>
          <w:rFonts w:cstheme="minorHAnsi"/>
          <w:i/>
        </w:rPr>
        <w:t>(Čajánek)</w:t>
      </w:r>
    </w:p>
    <w:p w14:paraId="0A897AE9" w14:textId="77777777" w:rsidR="006E1FCB" w:rsidRDefault="006E1FCB" w:rsidP="00BC6914">
      <w:pPr>
        <w:pStyle w:val="Nadpis4"/>
      </w:pPr>
      <w:bookmarkStart w:id="879" w:name="_Toc50471494"/>
      <w:r>
        <w:t>Hodnocení konkrétních míst</w:t>
      </w:r>
      <w:bookmarkEnd w:id="879"/>
    </w:p>
    <w:p w14:paraId="573CF178" w14:textId="77777777" w:rsidR="006E1FCB" w:rsidRPr="00CE677B" w:rsidRDefault="006E1FCB" w:rsidP="006E1FCB">
      <w:r>
        <w:t>Za nejoblíbenější, nejzajímavější místa ve Zlíně jsou shodně uváděny revitalizované parky. Urbanistické uspořádání města ve stylu, který mu vtiskl T. Baťa. Za důležité pro Zlín jsou považovány revitalizace níže jmenovaných budov. Za hodnotné jsou považovány také okolní kopce a krajina v okolí Zlína. Osobnosti se shodovaly na vztahu k tradicím, které Zlín tvoří, a na důležitosti udržování památné architektury. Za v současnosti špatné a potřebné změnit považují všichni chátrající památné budovy, ale také vlakové i autobusové nádraží.</w:t>
      </w:r>
    </w:p>
    <w:p w14:paraId="5808649B" w14:textId="77777777" w:rsidR="006E1FCB" w:rsidRPr="00154D62" w:rsidRDefault="006E1FCB" w:rsidP="006E1FCB">
      <w:pPr>
        <w:rPr>
          <w:b/>
        </w:rPr>
      </w:pPr>
      <w:r>
        <w:rPr>
          <w:b/>
        </w:rPr>
        <w:t>O</w:t>
      </w:r>
      <w:r w:rsidRPr="00154D62">
        <w:rPr>
          <w:b/>
        </w:rPr>
        <w:t>6</w:t>
      </w:r>
      <w:r>
        <w:rPr>
          <w:b/>
        </w:rPr>
        <w:t xml:space="preserve">: </w:t>
      </w:r>
      <w:r w:rsidRPr="00154D62">
        <w:rPr>
          <w:b/>
        </w:rPr>
        <w:t>Uveďte prosím, kter</w:t>
      </w:r>
      <w:r>
        <w:rPr>
          <w:b/>
        </w:rPr>
        <w:t>á</w:t>
      </w:r>
      <w:r w:rsidRPr="00154D62">
        <w:rPr>
          <w:b/>
        </w:rPr>
        <w:t xml:space="preserve"> místa/objekty ve městě se Vám líbí nejvíce?</w:t>
      </w:r>
    </w:p>
    <w:p w14:paraId="55086A3F" w14:textId="77777777" w:rsidR="006E1FCB" w:rsidRPr="007B5F9A" w:rsidRDefault="006E1FCB" w:rsidP="00A55F7D">
      <w:pPr>
        <w:pStyle w:val="Odstavecseseznamem"/>
        <w:numPr>
          <w:ilvl w:val="0"/>
          <w:numId w:val="86"/>
        </w:numPr>
        <w:rPr>
          <w:rFonts w:cstheme="minorHAnsi"/>
          <w:i/>
        </w:rPr>
      </w:pPr>
      <w:r w:rsidRPr="007B5F9A">
        <w:rPr>
          <w:rFonts w:cstheme="minorHAnsi"/>
          <w:i/>
        </w:rPr>
        <w:t>Střed Zlína a složení města po urbanistické stránce. To vše vytváří charakter Zlína. Radnice, zámek, zeleň, park, vše je v souladu. Jsou zde s citem umístěné stavby. (Gaťáková)</w:t>
      </w:r>
    </w:p>
    <w:p w14:paraId="3EE0C7DB" w14:textId="77777777" w:rsidR="006E1FCB" w:rsidRPr="007B5F9A" w:rsidRDefault="006E1FCB" w:rsidP="00A55F7D">
      <w:pPr>
        <w:pStyle w:val="Odstavecseseznamem"/>
        <w:numPr>
          <w:ilvl w:val="0"/>
          <w:numId w:val="86"/>
        </w:numPr>
        <w:rPr>
          <w:rFonts w:cstheme="minorHAnsi"/>
          <w:i/>
        </w:rPr>
      </w:pPr>
      <w:r w:rsidRPr="007B5F9A">
        <w:rPr>
          <w:rFonts w:cstheme="minorHAnsi"/>
          <w:i/>
        </w:rPr>
        <w:t xml:space="preserve">Kavárna </w:t>
      </w:r>
      <w:r>
        <w:rPr>
          <w:rFonts w:cstheme="minorHAnsi"/>
          <w:i/>
        </w:rPr>
        <w:t>ve</w:t>
      </w:r>
      <w:r w:rsidRPr="007B5F9A">
        <w:rPr>
          <w:rFonts w:cstheme="minorHAnsi"/>
          <w:i/>
        </w:rPr>
        <w:t xml:space="preserve"> 21</w:t>
      </w:r>
      <w:r>
        <w:rPr>
          <w:rFonts w:cstheme="minorHAnsi"/>
          <w:i/>
        </w:rPr>
        <w:t>.</w:t>
      </w:r>
      <w:r w:rsidRPr="007B5F9A">
        <w:rPr>
          <w:rFonts w:cstheme="minorHAnsi"/>
          <w:i/>
        </w:rPr>
        <w:t xml:space="preserve"> budově ve 25</w:t>
      </w:r>
      <w:r>
        <w:rPr>
          <w:rFonts w:cstheme="minorHAnsi"/>
          <w:i/>
        </w:rPr>
        <w:t>.</w:t>
      </w:r>
      <w:r w:rsidRPr="007B5F9A">
        <w:rPr>
          <w:rFonts w:cstheme="minorHAnsi"/>
          <w:i/>
        </w:rPr>
        <w:t xml:space="preserve"> patře. Je zde nádherný výhled. Opravený Prior. Park Komenského. (Goláň)</w:t>
      </w:r>
    </w:p>
    <w:p w14:paraId="505FF5A6" w14:textId="77777777" w:rsidR="006E1FCB" w:rsidRPr="007B5F9A" w:rsidRDefault="006E1FCB" w:rsidP="00A55F7D">
      <w:pPr>
        <w:pStyle w:val="Odstavecseseznamem"/>
        <w:numPr>
          <w:ilvl w:val="0"/>
          <w:numId w:val="86"/>
        </w:numPr>
        <w:rPr>
          <w:rFonts w:cstheme="minorHAnsi"/>
          <w:i/>
        </w:rPr>
      </w:pPr>
      <w:r w:rsidRPr="007B5F9A">
        <w:rPr>
          <w:rFonts w:cstheme="minorHAnsi"/>
          <w:i/>
        </w:rPr>
        <w:t>Parky a jejich revitalizace. Rozvoj UTB, na který může být Zlín hrdý. Rozrůstá se, je zde spousta mladých lidí, které je ve městě a v parcích vidět na lavičkách. Krásné je nové kongresové centrum. (Indra)</w:t>
      </w:r>
    </w:p>
    <w:p w14:paraId="0C5FBA06" w14:textId="77777777" w:rsidR="006E1FCB" w:rsidRPr="007B5F9A" w:rsidRDefault="006E1FCB" w:rsidP="00A55F7D">
      <w:pPr>
        <w:pStyle w:val="Odstavecseseznamem"/>
        <w:numPr>
          <w:ilvl w:val="0"/>
          <w:numId w:val="86"/>
        </w:numPr>
        <w:rPr>
          <w:rFonts w:cstheme="minorHAnsi"/>
          <w:i/>
        </w:rPr>
      </w:pPr>
      <w:r w:rsidRPr="007B5F9A">
        <w:rPr>
          <w:rFonts w:cstheme="minorHAnsi"/>
          <w:i/>
        </w:rPr>
        <w:t>Památník T. Bati. Věžák 21. Obnova obchodního domu Zlín (bývalý Prior) je potěšením i nadějí. Líbí se mi HOTEL MOSKVA</w:t>
      </w:r>
      <w:r>
        <w:rPr>
          <w:rFonts w:cstheme="minorHAnsi"/>
          <w:i/>
        </w:rPr>
        <w:t xml:space="preserve"> </w:t>
      </w:r>
      <w:r w:rsidRPr="007B5F9A">
        <w:rPr>
          <w:rFonts w:cstheme="minorHAnsi"/>
          <w:i/>
        </w:rPr>
        <w:t>ze sentimentálních důvodů a doufám, že se dočká podobné revitalizace jako Obchodní dům Zlín. (Jiřičná)</w:t>
      </w:r>
    </w:p>
    <w:p w14:paraId="4F702E0D" w14:textId="77777777" w:rsidR="006E1FCB" w:rsidRPr="007B5F9A" w:rsidRDefault="006E1FCB" w:rsidP="00A55F7D">
      <w:pPr>
        <w:pStyle w:val="Odstavecseseznamem"/>
        <w:numPr>
          <w:ilvl w:val="0"/>
          <w:numId w:val="86"/>
        </w:numPr>
        <w:rPr>
          <w:rFonts w:cstheme="minorHAnsi"/>
          <w:i/>
        </w:rPr>
      </w:pPr>
      <w:r w:rsidRPr="007B5F9A">
        <w:rPr>
          <w:rFonts w:cstheme="minorHAnsi"/>
          <w:i/>
        </w:rPr>
        <w:t>Budova filharmonie a univerzitního kampusu, zdařená výstavba řady rodinných domů.</w:t>
      </w:r>
      <w:r>
        <w:rPr>
          <w:rFonts w:cstheme="minorHAnsi"/>
          <w:i/>
        </w:rPr>
        <w:t xml:space="preserve"> </w:t>
      </w:r>
      <w:r w:rsidRPr="007B5F9A">
        <w:rPr>
          <w:rFonts w:cstheme="minorHAnsi"/>
          <w:i/>
        </w:rPr>
        <w:t>(Kutý)</w:t>
      </w:r>
    </w:p>
    <w:p w14:paraId="1DA39991" w14:textId="77777777" w:rsidR="006E1FCB" w:rsidRPr="007B5F9A" w:rsidRDefault="006E1FCB" w:rsidP="00A55F7D">
      <w:pPr>
        <w:pStyle w:val="Odstavecseseznamem"/>
        <w:numPr>
          <w:ilvl w:val="0"/>
          <w:numId w:val="86"/>
        </w:numPr>
        <w:rPr>
          <w:rFonts w:cstheme="minorHAnsi"/>
          <w:i/>
        </w:rPr>
      </w:pPr>
      <w:r w:rsidRPr="007B5F9A">
        <w:rPr>
          <w:rFonts w:cstheme="minorHAnsi"/>
          <w:i/>
        </w:rPr>
        <w:t>Baťovská architektura typická pro Zlín. (Stodůlka)</w:t>
      </w:r>
    </w:p>
    <w:p w14:paraId="28471848" w14:textId="77777777" w:rsidR="006E1FCB" w:rsidRPr="007B5F9A" w:rsidRDefault="006E1FCB" w:rsidP="00A55F7D">
      <w:pPr>
        <w:pStyle w:val="Odstavecseseznamem"/>
        <w:numPr>
          <w:ilvl w:val="0"/>
          <w:numId w:val="86"/>
        </w:numPr>
        <w:rPr>
          <w:rFonts w:cstheme="minorHAnsi"/>
          <w:i/>
        </w:rPr>
      </w:pPr>
      <w:r w:rsidRPr="007B5F9A">
        <w:rPr>
          <w:rFonts w:cstheme="minorHAnsi"/>
          <w:i/>
        </w:rPr>
        <w:t>Zlíňáci obnovili filmové ateliéry, mají zde filmovou kancelář, která vyhledává lokace tohoto kraje k pronajmutí pro filmování. Dále je krásný park Komenského. Kongresové centrum. Město má cyklostezky, které se budují a rozrůstají. (Táborská)</w:t>
      </w:r>
    </w:p>
    <w:p w14:paraId="4A7B5C5F" w14:textId="59F0A8A0" w:rsidR="006E1FCB" w:rsidRPr="007B5F9A" w:rsidRDefault="00B85615" w:rsidP="00A55F7D">
      <w:pPr>
        <w:pStyle w:val="Odstavecseseznamem"/>
        <w:numPr>
          <w:ilvl w:val="0"/>
          <w:numId w:val="86"/>
        </w:numPr>
        <w:rPr>
          <w:rFonts w:cstheme="minorHAnsi"/>
          <w:i/>
        </w:rPr>
      </w:pPr>
      <w:r>
        <w:rPr>
          <w:rFonts w:cstheme="minorHAnsi"/>
          <w:i/>
        </w:rPr>
        <w:t>Obecně se mi líbí typická b</w:t>
      </w:r>
      <w:r w:rsidR="006E1FCB" w:rsidRPr="007B5F9A">
        <w:rPr>
          <w:rFonts w:cstheme="minorHAnsi"/>
          <w:i/>
        </w:rPr>
        <w:t>aťovská architektura ve Zlíně, obnovený obchodní dům Zlín bývalý Prior, nové Kongresové centrum. (Korec)</w:t>
      </w:r>
    </w:p>
    <w:p w14:paraId="799376A9" w14:textId="77777777" w:rsidR="006E1FCB" w:rsidRPr="007B5F9A" w:rsidRDefault="006E1FCB" w:rsidP="00A55F7D">
      <w:pPr>
        <w:pStyle w:val="Odstavecseseznamem"/>
        <w:numPr>
          <w:ilvl w:val="0"/>
          <w:numId w:val="86"/>
        </w:numPr>
        <w:rPr>
          <w:rFonts w:cstheme="minorHAnsi"/>
          <w:i/>
        </w:rPr>
      </w:pPr>
      <w:r w:rsidRPr="007B5F9A">
        <w:rPr>
          <w:rFonts w:cstheme="minorHAnsi"/>
          <w:i/>
        </w:rPr>
        <w:t>ZOO, památník Tomáše Bati, Gahurův prospekt, obchodní dům Zlín-bývalý Prior. (Sedlařík)</w:t>
      </w:r>
    </w:p>
    <w:p w14:paraId="293C1C8B" w14:textId="77777777" w:rsidR="006E1FCB" w:rsidRPr="007B5F9A" w:rsidRDefault="006E1FCB" w:rsidP="00A55F7D">
      <w:pPr>
        <w:pStyle w:val="Odstavecseseznamem"/>
        <w:numPr>
          <w:ilvl w:val="0"/>
          <w:numId w:val="86"/>
        </w:numPr>
        <w:rPr>
          <w:rFonts w:cstheme="minorHAnsi"/>
          <w:i/>
        </w:rPr>
      </w:pPr>
      <w:r w:rsidRPr="007B5F9A">
        <w:rPr>
          <w:rFonts w:cstheme="minorHAnsi"/>
          <w:i/>
        </w:rPr>
        <w:t>21. budova - Baťova budova, místní mrakodrap. Obchodní dům Prior. Kongresové centrum. Památník T. Bati. (Žáček)</w:t>
      </w:r>
    </w:p>
    <w:p w14:paraId="021FD0C0" w14:textId="77777777" w:rsidR="006E1FCB" w:rsidRPr="007B5F9A" w:rsidRDefault="006E1FCB" w:rsidP="00A55F7D">
      <w:pPr>
        <w:pStyle w:val="Odstavecseseznamem"/>
        <w:numPr>
          <w:ilvl w:val="0"/>
          <w:numId w:val="86"/>
        </w:numPr>
        <w:rPr>
          <w:rFonts w:cstheme="minorHAnsi"/>
          <w:i/>
        </w:rPr>
      </w:pPr>
      <w:r w:rsidRPr="007B5F9A">
        <w:rPr>
          <w:rFonts w:cstheme="minorHAnsi"/>
          <w:i/>
        </w:rPr>
        <w:t>Park Komenského. Filmové ateliéry, filmový uzel je zrekonstruovaný. (Ježíková)</w:t>
      </w:r>
    </w:p>
    <w:p w14:paraId="1997F778" w14:textId="77777777" w:rsidR="006E1FCB" w:rsidRPr="007B5F9A" w:rsidRDefault="006E1FCB" w:rsidP="00A55F7D">
      <w:pPr>
        <w:pStyle w:val="Odstavecseseznamem"/>
        <w:numPr>
          <w:ilvl w:val="0"/>
          <w:numId w:val="86"/>
        </w:numPr>
        <w:rPr>
          <w:rFonts w:cstheme="minorHAnsi"/>
          <w:i/>
        </w:rPr>
      </w:pPr>
      <w:r w:rsidRPr="007B5F9A">
        <w:rPr>
          <w:rFonts w:cstheme="minorHAnsi"/>
          <w:i/>
        </w:rPr>
        <w:t>Jsou zde krásné parky, které má málokteré město. Baťa spojil domy s parky. (Kocháň)</w:t>
      </w:r>
    </w:p>
    <w:p w14:paraId="75FD8664" w14:textId="77777777" w:rsidR="006E1FCB" w:rsidRPr="007B5F9A" w:rsidRDefault="006E1FCB" w:rsidP="00A55F7D">
      <w:pPr>
        <w:pStyle w:val="Odstavecseseznamem"/>
        <w:numPr>
          <w:ilvl w:val="0"/>
          <w:numId w:val="86"/>
        </w:numPr>
        <w:rPr>
          <w:i/>
        </w:rPr>
      </w:pPr>
      <w:r w:rsidRPr="007B5F9A">
        <w:rPr>
          <w:rFonts w:cstheme="minorHAnsi"/>
          <w:i/>
        </w:rPr>
        <w:t>Mrakodrap 21, revitalizovaný park, prostor pod Baťovým památníkem. Okolní kopce a krajina. (Čajánek)</w:t>
      </w:r>
    </w:p>
    <w:p w14:paraId="1A19AC55" w14:textId="77777777" w:rsidR="006E1FCB" w:rsidRPr="00154D62" w:rsidRDefault="006E1FCB" w:rsidP="006E1FCB">
      <w:pPr>
        <w:rPr>
          <w:b/>
        </w:rPr>
      </w:pPr>
      <w:r>
        <w:rPr>
          <w:b/>
        </w:rPr>
        <w:t>O</w:t>
      </w:r>
      <w:r w:rsidRPr="00154D62">
        <w:rPr>
          <w:b/>
        </w:rPr>
        <w:t>7</w:t>
      </w:r>
      <w:r>
        <w:rPr>
          <w:b/>
        </w:rPr>
        <w:t xml:space="preserve">: </w:t>
      </w:r>
      <w:r w:rsidRPr="00154D62">
        <w:rPr>
          <w:b/>
        </w:rPr>
        <w:t>Uveďte prosím, kter</w:t>
      </w:r>
      <w:r>
        <w:rPr>
          <w:b/>
        </w:rPr>
        <w:t>á</w:t>
      </w:r>
      <w:r w:rsidRPr="00154D62">
        <w:rPr>
          <w:b/>
        </w:rPr>
        <w:t xml:space="preserve"> místa/objekty ve městě se Vám líbí nejméně?</w:t>
      </w:r>
    </w:p>
    <w:p w14:paraId="65F4F20C" w14:textId="77777777" w:rsidR="006E1FCB" w:rsidRPr="007B5F9A" w:rsidRDefault="006E1FCB" w:rsidP="00A55F7D">
      <w:pPr>
        <w:pStyle w:val="Odstavecseseznamem"/>
        <w:numPr>
          <w:ilvl w:val="0"/>
          <w:numId w:val="87"/>
        </w:numPr>
        <w:rPr>
          <w:b/>
          <w:i/>
        </w:rPr>
      </w:pPr>
      <w:r w:rsidRPr="007B5F9A">
        <w:rPr>
          <w:rFonts w:cstheme="minorHAnsi"/>
          <w:i/>
        </w:rPr>
        <w:t>Chybí přechody pro chodce, chybí dostavěné cyklostezky. Problém je pouliční osvětlení</w:t>
      </w:r>
      <w:r>
        <w:rPr>
          <w:rFonts w:cstheme="minorHAnsi"/>
          <w:i/>
        </w:rPr>
        <w:t>,</w:t>
      </w:r>
      <w:r w:rsidRPr="007B5F9A">
        <w:rPr>
          <w:rFonts w:cstheme="minorHAnsi"/>
          <w:i/>
        </w:rPr>
        <w:t xml:space="preserve"> a</w:t>
      </w:r>
      <w:r>
        <w:rPr>
          <w:rFonts w:cstheme="minorHAnsi"/>
          <w:i/>
        </w:rPr>
        <w:t> </w:t>
      </w:r>
      <w:r w:rsidRPr="007B5F9A">
        <w:rPr>
          <w:rFonts w:cstheme="minorHAnsi"/>
          <w:i/>
        </w:rPr>
        <w:t>to lampy, které by měly mířit daný kužel světla tak, aby ve vyšších patrech paneláků nesvítily lidem do  oken a nepřispívaly ke zvýšení světelného znečištění. Velmi vhodné by bylo korigovat intenzitu světla v daný čas, tj. snížení svitu v nočních hodinách, což mimo jiné také šetří hmyz. (Gaťáková)</w:t>
      </w:r>
    </w:p>
    <w:p w14:paraId="00F6A6E8" w14:textId="77777777" w:rsidR="006E1FCB" w:rsidRPr="007B5F9A" w:rsidRDefault="006E1FCB" w:rsidP="00A55F7D">
      <w:pPr>
        <w:pStyle w:val="Odstavecseseznamem"/>
        <w:numPr>
          <w:ilvl w:val="0"/>
          <w:numId w:val="87"/>
        </w:numPr>
        <w:rPr>
          <w:rFonts w:cstheme="minorHAnsi"/>
          <w:i/>
        </w:rPr>
      </w:pPr>
      <w:r w:rsidRPr="007B5F9A">
        <w:rPr>
          <w:rFonts w:cstheme="minorHAnsi"/>
          <w:i/>
        </w:rPr>
        <w:t>SVIT – Baťovy bývalé závody. Hrůza minulosti, ukradený majetek. Vlakové nádraží – TOP negativní. Ohyzdná budova bývalého soudu. (Goláň)</w:t>
      </w:r>
    </w:p>
    <w:p w14:paraId="116DBF04" w14:textId="77777777" w:rsidR="006E1FCB" w:rsidRPr="007B5F9A" w:rsidRDefault="006E1FCB" w:rsidP="00A55F7D">
      <w:pPr>
        <w:pStyle w:val="Odstavecseseznamem"/>
        <w:numPr>
          <w:ilvl w:val="0"/>
          <w:numId w:val="87"/>
        </w:numPr>
        <w:rPr>
          <w:rFonts w:cstheme="minorHAnsi"/>
          <w:i/>
        </w:rPr>
      </w:pPr>
      <w:r w:rsidRPr="007B5F9A">
        <w:rPr>
          <w:rFonts w:cstheme="minorHAnsi"/>
          <w:i/>
        </w:rPr>
        <w:t>Bývalá budova okresního soudu kazí dobrý dojem centra města. Jsou zde zastaralá sportoviště. Zlínské nádraží je rovněž v hrozném stavu. Také autobusové nádraží potřebuje rekonstrukci. (Indra)</w:t>
      </w:r>
    </w:p>
    <w:p w14:paraId="3A45C0CA" w14:textId="77777777" w:rsidR="006E1FCB" w:rsidRPr="007B5F9A" w:rsidRDefault="006E1FCB" w:rsidP="00A55F7D">
      <w:pPr>
        <w:pStyle w:val="Odstavecseseznamem"/>
        <w:numPr>
          <w:ilvl w:val="0"/>
          <w:numId w:val="87"/>
        </w:numPr>
        <w:rPr>
          <w:rFonts w:cstheme="minorHAnsi"/>
          <w:i/>
        </w:rPr>
      </w:pPr>
      <w:r w:rsidRPr="007B5F9A">
        <w:rPr>
          <w:rFonts w:cstheme="minorHAnsi"/>
          <w:i/>
        </w:rPr>
        <w:t>Nevzpomínám si, kromě tunelu, který vede pod hlavní ulicí</w:t>
      </w:r>
      <w:r>
        <w:rPr>
          <w:rFonts w:cstheme="minorHAnsi"/>
          <w:i/>
        </w:rPr>
        <w:t>,</w:t>
      </w:r>
      <w:r w:rsidRPr="007B5F9A">
        <w:rPr>
          <w:rFonts w:cstheme="minorHAnsi"/>
          <w:i/>
        </w:rPr>
        <w:t xml:space="preserve"> a pak ty chodníky a pak tržnice, také potřebuje trochu péče.</w:t>
      </w:r>
      <w:r>
        <w:rPr>
          <w:rFonts w:cstheme="minorHAnsi"/>
          <w:i/>
        </w:rPr>
        <w:t xml:space="preserve"> </w:t>
      </w:r>
      <w:r w:rsidRPr="007B5F9A">
        <w:rPr>
          <w:rFonts w:cstheme="minorHAnsi"/>
          <w:i/>
        </w:rPr>
        <w:t>(Jiřičná)</w:t>
      </w:r>
    </w:p>
    <w:p w14:paraId="2101DD8A" w14:textId="77777777" w:rsidR="006E1FCB" w:rsidRPr="007B5F9A" w:rsidRDefault="006E1FCB" w:rsidP="00A55F7D">
      <w:pPr>
        <w:pStyle w:val="Odstavecseseznamem"/>
        <w:numPr>
          <w:ilvl w:val="0"/>
          <w:numId w:val="87"/>
        </w:numPr>
        <w:rPr>
          <w:rFonts w:cstheme="minorHAnsi"/>
          <w:i/>
        </w:rPr>
      </w:pPr>
      <w:r w:rsidRPr="007B5F9A">
        <w:rPr>
          <w:rFonts w:cstheme="minorHAnsi"/>
          <w:i/>
        </w:rPr>
        <w:t>Stará budova okresního soudu.</w:t>
      </w:r>
      <w:r>
        <w:rPr>
          <w:rFonts w:cstheme="minorHAnsi"/>
          <w:i/>
        </w:rPr>
        <w:t xml:space="preserve"> </w:t>
      </w:r>
      <w:r w:rsidRPr="007B5F9A">
        <w:rPr>
          <w:rFonts w:cstheme="minorHAnsi"/>
          <w:i/>
        </w:rPr>
        <w:t>(Kutý)</w:t>
      </w:r>
    </w:p>
    <w:p w14:paraId="5F9CB253" w14:textId="77777777" w:rsidR="006E1FCB" w:rsidRPr="007B5F9A" w:rsidRDefault="006E1FCB" w:rsidP="00A55F7D">
      <w:pPr>
        <w:pStyle w:val="Odstavecseseznamem"/>
        <w:numPr>
          <w:ilvl w:val="0"/>
          <w:numId w:val="87"/>
        </w:numPr>
        <w:rPr>
          <w:rFonts w:cstheme="minorHAnsi"/>
          <w:i/>
        </w:rPr>
      </w:pPr>
      <w:r w:rsidRPr="007B5F9A">
        <w:rPr>
          <w:rFonts w:cstheme="minorHAnsi"/>
          <w:i/>
        </w:rPr>
        <w:t>Tranzitní doprava ničí ovzduší ve městě. Nádraží je ostuda. Ruina bývalého hotelu Sole. (Stodůlka)</w:t>
      </w:r>
    </w:p>
    <w:p w14:paraId="19720707" w14:textId="77777777" w:rsidR="006E1FCB" w:rsidRPr="007B5F9A" w:rsidRDefault="006E1FCB" w:rsidP="00A55F7D">
      <w:pPr>
        <w:pStyle w:val="Odstavecseseznamem"/>
        <w:numPr>
          <w:ilvl w:val="0"/>
          <w:numId w:val="87"/>
        </w:numPr>
        <w:rPr>
          <w:rFonts w:cstheme="minorHAnsi"/>
          <w:i/>
        </w:rPr>
      </w:pPr>
      <w:r w:rsidRPr="007B5F9A">
        <w:rPr>
          <w:rFonts w:cstheme="minorHAnsi"/>
          <w:i/>
        </w:rPr>
        <w:t>Návštěva nádraží je jako nepříjemný návrat v čase o mnoho desítek let. Další takovouto budovou je část Svitovského areálu. (Táborská)</w:t>
      </w:r>
    </w:p>
    <w:p w14:paraId="46844819" w14:textId="77777777" w:rsidR="006E1FCB" w:rsidRPr="007B5F9A" w:rsidRDefault="006E1FCB" w:rsidP="00A55F7D">
      <w:pPr>
        <w:pStyle w:val="Odstavecseseznamem"/>
        <w:numPr>
          <w:ilvl w:val="0"/>
          <w:numId w:val="87"/>
        </w:numPr>
        <w:rPr>
          <w:rFonts w:cstheme="minorHAnsi"/>
          <w:i/>
        </w:rPr>
      </w:pPr>
      <w:r w:rsidRPr="007B5F9A">
        <w:rPr>
          <w:rFonts w:cstheme="minorHAnsi"/>
          <w:i/>
        </w:rPr>
        <w:t>Torza některých objektů, kde jsou nevyřešené vlastnické vztahy z důvodu soudních sporů. Bývalý Hotel Družba. Neživé chátrající objekty, které jsou i na náměstí. (Korec)</w:t>
      </w:r>
    </w:p>
    <w:p w14:paraId="5BCEB588" w14:textId="77777777" w:rsidR="006E1FCB" w:rsidRPr="007B5F9A" w:rsidRDefault="006E1FCB" w:rsidP="00A55F7D">
      <w:pPr>
        <w:pStyle w:val="Odstavecseseznamem"/>
        <w:numPr>
          <w:ilvl w:val="0"/>
          <w:numId w:val="87"/>
        </w:numPr>
        <w:rPr>
          <w:rFonts w:cstheme="minorHAnsi"/>
          <w:i/>
        </w:rPr>
      </w:pPr>
      <w:r w:rsidRPr="007B5F9A">
        <w:rPr>
          <w:rFonts w:cstheme="minorHAnsi"/>
          <w:i/>
        </w:rPr>
        <w:t>Budova bývalého soudu, nádraží vlakové i autobusové, chátrá koupaliště Riviéra. (Sedlařík)</w:t>
      </w:r>
    </w:p>
    <w:p w14:paraId="24170311" w14:textId="77777777" w:rsidR="006E1FCB" w:rsidRPr="007B5F9A" w:rsidRDefault="006E1FCB" w:rsidP="00A55F7D">
      <w:pPr>
        <w:pStyle w:val="Odstavecseseznamem"/>
        <w:numPr>
          <w:ilvl w:val="0"/>
          <w:numId w:val="87"/>
        </w:numPr>
        <w:rPr>
          <w:rFonts w:cstheme="minorHAnsi"/>
          <w:i/>
        </w:rPr>
      </w:pPr>
      <w:r w:rsidRPr="007B5F9A">
        <w:rPr>
          <w:rFonts w:cstheme="minorHAnsi"/>
          <w:i/>
        </w:rPr>
        <w:t>Centrální podchod od Svitu. Současný stav historické budovy tržnice. Současný stav budovy bývalého soudu. Projekt dostavby Zlínského náměstí. (Žáček)</w:t>
      </w:r>
    </w:p>
    <w:p w14:paraId="21DD62CB" w14:textId="77777777" w:rsidR="006E1FCB" w:rsidRPr="007B5F9A" w:rsidRDefault="006E1FCB" w:rsidP="00A55F7D">
      <w:pPr>
        <w:pStyle w:val="Odstavecseseznamem"/>
        <w:numPr>
          <w:ilvl w:val="0"/>
          <w:numId w:val="87"/>
        </w:numPr>
        <w:rPr>
          <w:rFonts w:cstheme="minorHAnsi"/>
          <w:i/>
        </w:rPr>
      </w:pPr>
      <w:r w:rsidRPr="007B5F9A">
        <w:rPr>
          <w:rFonts w:cstheme="minorHAnsi"/>
          <w:i/>
        </w:rPr>
        <w:t>Park v centru. Nádraží vlakové i autobusové s bezdomovci.</w:t>
      </w:r>
      <w:r>
        <w:rPr>
          <w:rFonts w:cstheme="minorHAnsi"/>
          <w:i/>
        </w:rPr>
        <w:t xml:space="preserve"> </w:t>
      </w:r>
      <w:r w:rsidRPr="007B5F9A">
        <w:rPr>
          <w:rFonts w:cstheme="minorHAnsi"/>
          <w:i/>
        </w:rPr>
        <w:t>(Ježíková)</w:t>
      </w:r>
    </w:p>
    <w:p w14:paraId="4523C164" w14:textId="77777777" w:rsidR="006E1FCB" w:rsidRPr="007B5F9A" w:rsidRDefault="006E1FCB" w:rsidP="00A55F7D">
      <w:pPr>
        <w:pStyle w:val="Odstavecseseznamem"/>
        <w:numPr>
          <w:ilvl w:val="0"/>
          <w:numId w:val="87"/>
        </w:numPr>
        <w:rPr>
          <w:rFonts w:cstheme="minorHAnsi"/>
          <w:i/>
        </w:rPr>
      </w:pPr>
      <w:r w:rsidRPr="007B5F9A">
        <w:rPr>
          <w:rFonts w:cstheme="minorHAnsi"/>
          <w:i/>
        </w:rPr>
        <w:t>Skládka Suchý důl.</w:t>
      </w:r>
      <w:r>
        <w:rPr>
          <w:rFonts w:cstheme="minorHAnsi"/>
          <w:i/>
        </w:rPr>
        <w:t xml:space="preserve"> </w:t>
      </w:r>
      <w:r w:rsidRPr="007B5F9A">
        <w:rPr>
          <w:rFonts w:cstheme="minorHAnsi"/>
          <w:i/>
        </w:rPr>
        <w:t>(Kocháň)</w:t>
      </w:r>
    </w:p>
    <w:p w14:paraId="412225B6" w14:textId="35850DA0" w:rsidR="006E1FCB" w:rsidRPr="00BC6914" w:rsidRDefault="006E1FCB" w:rsidP="00A55F7D">
      <w:pPr>
        <w:pStyle w:val="Odstavecseseznamem"/>
        <w:numPr>
          <w:ilvl w:val="0"/>
          <w:numId w:val="87"/>
        </w:numPr>
        <w:rPr>
          <w:rFonts w:cstheme="minorHAnsi"/>
          <w:i/>
        </w:rPr>
      </w:pPr>
      <w:r w:rsidRPr="007B5F9A">
        <w:rPr>
          <w:rFonts w:cstheme="minorHAnsi"/>
          <w:i/>
        </w:rPr>
        <w:t>Nádraží. Budova soudu.</w:t>
      </w:r>
      <w:r>
        <w:rPr>
          <w:rFonts w:cstheme="minorHAnsi"/>
          <w:i/>
        </w:rPr>
        <w:t xml:space="preserve"> </w:t>
      </w:r>
      <w:r w:rsidRPr="007B5F9A">
        <w:rPr>
          <w:rFonts w:cstheme="minorHAnsi"/>
          <w:i/>
        </w:rPr>
        <w:t>(Čajánek)</w:t>
      </w:r>
    </w:p>
    <w:p w14:paraId="560D87D0" w14:textId="77777777" w:rsidR="006E1FCB" w:rsidRDefault="006E1FCB" w:rsidP="00BC6914">
      <w:pPr>
        <w:pStyle w:val="Nadpis4"/>
      </w:pPr>
      <w:bookmarkStart w:id="880" w:name="_Toc50471495"/>
      <w:r>
        <w:t>Vize Zlín 2030</w:t>
      </w:r>
      <w:bookmarkEnd w:id="880"/>
    </w:p>
    <w:p w14:paraId="60202874" w14:textId="77777777" w:rsidR="006E1FCB" w:rsidRDefault="006E1FCB" w:rsidP="006E1FCB">
      <w:r>
        <w:t>Vybrané osobnosti se shodly na potřebě vytvořit dostatek prostoru pro zdravý, aktivní a společenský život ve městě. Vytvořit možnost bezpečně chodit pěšky i jezdit na kole. Chtějí žít ve městě bez větších problémů s dopravními zácpami, hlukem, znečištěním a dalšími zdravotními riziky. Za důležité považují pokračovat v Baťově konceptu, který je příkladem pro celý svět. Chtějí udržovat tradice, podporovat rodinu a setkávat se s přáteli. Vytvářet přátelské, otevřené město pro občany, kteří se chtějí rozvíjet.</w:t>
      </w:r>
    </w:p>
    <w:p w14:paraId="4CBCC793" w14:textId="77777777" w:rsidR="006E1FCB" w:rsidRPr="007B5F9A" w:rsidRDefault="006E1FCB" w:rsidP="006E1FCB">
      <w:pPr>
        <w:rPr>
          <w:b/>
        </w:rPr>
      </w:pPr>
      <w:r w:rsidRPr="007B5F9A">
        <w:rPr>
          <w:b/>
        </w:rPr>
        <w:t>O10</w:t>
      </w:r>
      <w:r>
        <w:rPr>
          <w:b/>
        </w:rPr>
        <w:t>:</w:t>
      </w:r>
      <w:r w:rsidRPr="007B5F9A">
        <w:rPr>
          <w:b/>
        </w:rPr>
        <w:t xml:space="preserve"> Jaká je Vaše ideální vize města Zlín v roce 2030?</w:t>
      </w:r>
    </w:p>
    <w:p w14:paraId="01413FA7" w14:textId="77777777" w:rsidR="006E1FCB" w:rsidRPr="007B5F9A" w:rsidRDefault="006E1FCB" w:rsidP="00A55F7D">
      <w:pPr>
        <w:pStyle w:val="Odstavecseseznamem"/>
        <w:numPr>
          <w:ilvl w:val="0"/>
          <w:numId w:val="88"/>
        </w:numPr>
        <w:rPr>
          <w:rFonts w:cstheme="minorHAnsi"/>
          <w:i/>
        </w:rPr>
      </w:pPr>
      <w:r w:rsidRPr="007B5F9A">
        <w:rPr>
          <w:rFonts w:cstheme="minorHAnsi"/>
          <w:i/>
        </w:rPr>
        <w:t>Zlepšená doprava a parkování. Budou navrženy a podány projekty, díky kterým bude možné realizovat péči o přírodu a krajinu, což povede ke zlepšení životního prostředí Zlína. (Gaťáková)</w:t>
      </w:r>
    </w:p>
    <w:p w14:paraId="3F3396B3" w14:textId="77777777" w:rsidR="006E1FCB" w:rsidRPr="007B5F9A" w:rsidRDefault="006E1FCB" w:rsidP="00A55F7D">
      <w:pPr>
        <w:pStyle w:val="Odstavecseseznamem"/>
        <w:numPr>
          <w:ilvl w:val="0"/>
          <w:numId w:val="88"/>
        </w:numPr>
        <w:rPr>
          <w:rFonts w:cstheme="minorHAnsi"/>
          <w:i/>
        </w:rPr>
      </w:pPr>
      <w:r w:rsidRPr="007B5F9A">
        <w:rPr>
          <w:rFonts w:cstheme="minorHAnsi"/>
          <w:i/>
        </w:rPr>
        <w:t>Město otevřené kultuře, rodině, své historii, celému světu. Město přístupné po železnici. Otevřené a přátelské pro všechny kultury světa. Lidé vjedou do Zlína, který je bude vítat, ne do zchátralých objektů. (Goláň)</w:t>
      </w:r>
    </w:p>
    <w:p w14:paraId="3929313D" w14:textId="77777777" w:rsidR="006E1FCB" w:rsidRPr="007B5F9A" w:rsidRDefault="006E1FCB" w:rsidP="00A55F7D">
      <w:pPr>
        <w:pStyle w:val="Odstavecseseznamem"/>
        <w:numPr>
          <w:ilvl w:val="0"/>
          <w:numId w:val="88"/>
        </w:numPr>
        <w:rPr>
          <w:rFonts w:cstheme="minorHAnsi"/>
          <w:i/>
        </w:rPr>
      </w:pPr>
      <w:r w:rsidRPr="007B5F9A">
        <w:rPr>
          <w:rFonts w:cstheme="minorHAnsi"/>
          <w:i/>
        </w:rPr>
        <w:t>Bezpečné město, plné zeleně, kde se budou občané cítit dobře jako dosud. (Indra)</w:t>
      </w:r>
    </w:p>
    <w:p w14:paraId="7C52B8CA" w14:textId="4659D3C1" w:rsidR="006E1FCB" w:rsidRPr="007B5F9A" w:rsidRDefault="006E1FCB" w:rsidP="00A55F7D">
      <w:pPr>
        <w:pStyle w:val="Odstavecseseznamem"/>
        <w:numPr>
          <w:ilvl w:val="0"/>
          <w:numId w:val="88"/>
        </w:numPr>
        <w:rPr>
          <w:rFonts w:cstheme="minorHAnsi"/>
          <w:i/>
        </w:rPr>
      </w:pPr>
      <w:r w:rsidRPr="007B5F9A">
        <w:rPr>
          <w:rFonts w:cstheme="minorHAnsi"/>
          <w:i/>
        </w:rPr>
        <w:t>Aby pokračovala tendence udržet Baťův koncept, je to příklad pro celý svět, symbol vzdělání, město v zeleni, kde se dobře žije a úspěšně pracuje. Místo</w:t>
      </w:r>
      <w:r>
        <w:rPr>
          <w:rFonts w:cstheme="minorHAnsi"/>
          <w:i/>
        </w:rPr>
        <w:t>,</w:t>
      </w:r>
      <w:r w:rsidRPr="007B5F9A">
        <w:rPr>
          <w:rFonts w:cstheme="minorHAnsi"/>
          <w:i/>
        </w:rPr>
        <w:t xml:space="preserve"> kde se všem dobře daří a kde se podporuje originalita, kvalita a dobr</w:t>
      </w:r>
      <w:r>
        <w:rPr>
          <w:rFonts w:cstheme="minorHAnsi"/>
          <w:i/>
        </w:rPr>
        <w:t>á</w:t>
      </w:r>
      <w:r w:rsidRPr="007B5F9A">
        <w:rPr>
          <w:rFonts w:cstheme="minorHAnsi"/>
          <w:i/>
        </w:rPr>
        <w:t xml:space="preserve"> vůle. A kde je čas a místo jak na neustál</w:t>
      </w:r>
      <w:r w:rsidR="0060513D">
        <w:rPr>
          <w:rFonts w:cstheme="minorHAnsi"/>
          <w:i/>
        </w:rPr>
        <w:t>é</w:t>
      </w:r>
      <w:r w:rsidRPr="007B5F9A">
        <w:rPr>
          <w:rFonts w:cstheme="minorHAnsi"/>
          <w:i/>
        </w:rPr>
        <w:t xml:space="preserve"> vzdělávaní, tak i</w:t>
      </w:r>
      <w:r>
        <w:rPr>
          <w:rFonts w:cstheme="minorHAnsi"/>
          <w:i/>
        </w:rPr>
        <w:t> </w:t>
      </w:r>
      <w:r w:rsidRPr="007B5F9A">
        <w:rPr>
          <w:rFonts w:cstheme="minorHAnsi"/>
          <w:i/>
        </w:rPr>
        <w:t>sport a</w:t>
      </w:r>
      <w:r>
        <w:rPr>
          <w:rFonts w:cstheme="minorHAnsi"/>
          <w:i/>
        </w:rPr>
        <w:t> </w:t>
      </w:r>
      <w:r w:rsidRPr="007B5F9A">
        <w:rPr>
          <w:rFonts w:cstheme="minorHAnsi"/>
          <w:i/>
        </w:rPr>
        <w:t>zábavu. Když se lidem dobře žije, mají potenciál vykonat úžasné věci a zachovat si úžasný moravsk</w:t>
      </w:r>
      <w:r>
        <w:rPr>
          <w:rFonts w:cstheme="minorHAnsi"/>
          <w:i/>
        </w:rPr>
        <w:t>ý</w:t>
      </w:r>
      <w:r w:rsidRPr="007B5F9A">
        <w:rPr>
          <w:rFonts w:cstheme="minorHAnsi"/>
          <w:i/>
        </w:rPr>
        <w:t xml:space="preserve"> humor.</w:t>
      </w:r>
      <w:r>
        <w:rPr>
          <w:rFonts w:cstheme="minorHAnsi"/>
          <w:i/>
        </w:rPr>
        <w:t xml:space="preserve"> </w:t>
      </w:r>
      <w:r w:rsidRPr="007B5F9A">
        <w:rPr>
          <w:rFonts w:cstheme="minorHAnsi"/>
          <w:i/>
        </w:rPr>
        <w:t>(Jiřičná)</w:t>
      </w:r>
    </w:p>
    <w:p w14:paraId="0C88101A" w14:textId="77777777" w:rsidR="006E1FCB" w:rsidRPr="007B5F9A" w:rsidRDefault="006E1FCB" w:rsidP="00A55F7D">
      <w:pPr>
        <w:pStyle w:val="Odstavecseseznamem"/>
        <w:numPr>
          <w:ilvl w:val="0"/>
          <w:numId w:val="88"/>
        </w:numPr>
        <w:rPr>
          <w:rFonts w:cstheme="minorHAnsi"/>
          <w:i/>
        </w:rPr>
      </w:pPr>
      <w:r w:rsidRPr="007B5F9A">
        <w:rPr>
          <w:rFonts w:cstheme="minorHAnsi"/>
          <w:i/>
        </w:rPr>
        <w:t>Město přátelské, otevřené, zelené, rozvíjející se pro občany. (Kutý)</w:t>
      </w:r>
    </w:p>
    <w:p w14:paraId="5ADE6C84" w14:textId="77777777" w:rsidR="006E1FCB" w:rsidRPr="007B5F9A" w:rsidRDefault="006E1FCB" w:rsidP="00A55F7D">
      <w:pPr>
        <w:pStyle w:val="Odstavecseseznamem"/>
        <w:numPr>
          <w:ilvl w:val="0"/>
          <w:numId w:val="88"/>
        </w:numPr>
        <w:rPr>
          <w:rFonts w:cstheme="minorHAnsi"/>
          <w:i/>
        </w:rPr>
      </w:pPr>
      <w:r w:rsidRPr="007B5F9A">
        <w:rPr>
          <w:rFonts w:cstheme="minorHAnsi"/>
          <w:i/>
        </w:rPr>
        <w:t>Město, kde budou lidé šťastně žít, mít příležitost pracovat v technologických oborech a najdou ve městě a jeho okolí možnosti rekreace a sportu. Město bezpečné, s čistou a tichou dopravou propojenou na zbytek ČR a Evropu. Lidé napojeni na celosvětovou ekonomiku. Rodiny budou mít jistotu, že děti v bezpečí dorazí do školy a zpět domů.</w:t>
      </w:r>
      <w:r>
        <w:rPr>
          <w:rFonts w:cstheme="minorHAnsi"/>
          <w:i/>
        </w:rPr>
        <w:t xml:space="preserve"> </w:t>
      </w:r>
      <w:r w:rsidRPr="007B5F9A">
        <w:rPr>
          <w:rFonts w:cstheme="minorHAnsi"/>
          <w:i/>
        </w:rPr>
        <w:t>(Stodůlka)</w:t>
      </w:r>
    </w:p>
    <w:p w14:paraId="21F5F133" w14:textId="77777777" w:rsidR="006E1FCB" w:rsidRPr="007B5F9A" w:rsidRDefault="006E1FCB" w:rsidP="00A55F7D">
      <w:pPr>
        <w:pStyle w:val="Odstavecseseznamem"/>
        <w:numPr>
          <w:ilvl w:val="0"/>
          <w:numId w:val="88"/>
        </w:numPr>
        <w:rPr>
          <w:rFonts w:cstheme="minorHAnsi"/>
          <w:i/>
        </w:rPr>
      </w:pPr>
      <w:r w:rsidRPr="007B5F9A">
        <w:rPr>
          <w:rFonts w:cstheme="minorHAnsi"/>
          <w:i/>
        </w:rPr>
        <w:t>Město s lepší dopravní obslužností, s klidným centrem. Lepší informovanost občanů. Město univerzity a mladých lidí. (Táborská)</w:t>
      </w:r>
    </w:p>
    <w:p w14:paraId="733304EB" w14:textId="77777777" w:rsidR="006E1FCB" w:rsidRPr="007B5F9A" w:rsidRDefault="006E1FCB" w:rsidP="00A55F7D">
      <w:pPr>
        <w:pStyle w:val="Odstavecseseznamem"/>
        <w:numPr>
          <w:ilvl w:val="0"/>
          <w:numId w:val="88"/>
        </w:numPr>
        <w:rPr>
          <w:rFonts w:cstheme="minorHAnsi"/>
          <w:i/>
        </w:rPr>
      </w:pPr>
      <w:r w:rsidRPr="007B5F9A">
        <w:rPr>
          <w:rFonts w:cstheme="minorHAnsi"/>
          <w:i/>
        </w:rPr>
        <w:t>Úspěšné rodinné město plné produktivních a mladých lidí. (Korec)</w:t>
      </w:r>
    </w:p>
    <w:p w14:paraId="0750B1F2" w14:textId="77777777" w:rsidR="006E1FCB" w:rsidRPr="007B5F9A" w:rsidRDefault="006E1FCB" w:rsidP="00A55F7D">
      <w:pPr>
        <w:pStyle w:val="Odstavecseseznamem"/>
        <w:numPr>
          <w:ilvl w:val="0"/>
          <w:numId w:val="88"/>
        </w:numPr>
        <w:rPr>
          <w:rFonts w:cstheme="minorHAnsi"/>
          <w:i/>
        </w:rPr>
      </w:pPr>
      <w:r w:rsidRPr="007B5F9A">
        <w:rPr>
          <w:rFonts w:cstheme="minorHAnsi"/>
          <w:i/>
        </w:rPr>
        <w:t>Bezpečné město, které umožní lidem být úspěšn</w:t>
      </w:r>
      <w:r>
        <w:rPr>
          <w:rFonts w:cstheme="minorHAnsi"/>
          <w:i/>
        </w:rPr>
        <w:t>í</w:t>
      </w:r>
      <w:r w:rsidRPr="007B5F9A">
        <w:rPr>
          <w:rFonts w:cstheme="minorHAnsi"/>
          <w:i/>
        </w:rPr>
        <w:t>.</w:t>
      </w:r>
      <w:r>
        <w:rPr>
          <w:rFonts w:cstheme="minorHAnsi"/>
          <w:i/>
        </w:rPr>
        <w:t xml:space="preserve"> </w:t>
      </w:r>
      <w:r w:rsidRPr="007B5F9A">
        <w:rPr>
          <w:rFonts w:cstheme="minorHAnsi"/>
          <w:i/>
        </w:rPr>
        <w:t>(Sedlařík)</w:t>
      </w:r>
    </w:p>
    <w:p w14:paraId="3DC74D15" w14:textId="77777777" w:rsidR="006E1FCB" w:rsidRPr="007B5F9A" w:rsidRDefault="006E1FCB" w:rsidP="00A55F7D">
      <w:pPr>
        <w:pStyle w:val="Odstavecseseznamem"/>
        <w:numPr>
          <w:ilvl w:val="0"/>
          <w:numId w:val="88"/>
        </w:numPr>
        <w:rPr>
          <w:rFonts w:cstheme="minorHAnsi"/>
          <w:i/>
        </w:rPr>
      </w:pPr>
      <w:r w:rsidRPr="007B5F9A">
        <w:rPr>
          <w:rFonts w:cstheme="minorHAnsi"/>
          <w:i/>
        </w:rPr>
        <w:t>Přátelské, vstřícné, nehektické fungující město. (Žáček)</w:t>
      </w:r>
    </w:p>
    <w:p w14:paraId="21E4F300" w14:textId="77777777" w:rsidR="006E1FCB" w:rsidRPr="007B5F9A" w:rsidRDefault="006E1FCB" w:rsidP="00A55F7D">
      <w:pPr>
        <w:pStyle w:val="Odstavecseseznamem"/>
        <w:numPr>
          <w:ilvl w:val="0"/>
          <w:numId w:val="88"/>
        </w:numPr>
        <w:rPr>
          <w:rFonts w:cstheme="minorHAnsi"/>
          <w:i/>
        </w:rPr>
      </w:pPr>
      <w:r w:rsidRPr="007B5F9A">
        <w:rPr>
          <w:rFonts w:cstheme="minorHAnsi"/>
          <w:i/>
        </w:rPr>
        <w:t>Krásné nádraží, vyřešená dopravní dostupnost, dostupná okolní města. Lepší prestiž UTB. (Ježíková)</w:t>
      </w:r>
    </w:p>
    <w:p w14:paraId="674B0EB4" w14:textId="77777777" w:rsidR="006E1FCB" w:rsidRPr="007B5F9A" w:rsidRDefault="006E1FCB" w:rsidP="00A55F7D">
      <w:pPr>
        <w:pStyle w:val="Odstavecseseznamem"/>
        <w:numPr>
          <w:ilvl w:val="0"/>
          <w:numId w:val="88"/>
        </w:numPr>
        <w:rPr>
          <w:rFonts w:cstheme="minorHAnsi"/>
          <w:i/>
        </w:rPr>
      </w:pPr>
      <w:r w:rsidRPr="007B5F9A">
        <w:rPr>
          <w:rFonts w:cstheme="minorHAnsi"/>
          <w:i/>
        </w:rPr>
        <w:t>Mladé svěží město, věkový průměr 30 let, integrované s okolím také městskými a příměstskými informacemi. Celé území bude napojeno na velké aglomerace v okolí Zlína např. Vídeň, Wroclaw, Ostrava. (Kocháň)</w:t>
      </w:r>
    </w:p>
    <w:p w14:paraId="45800913" w14:textId="77777777" w:rsidR="006E1FCB" w:rsidRPr="007B5F9A" w:rsidRDefault="006E1FCB" w:rsidP="00A55F7D">
      <w:pPr>
        <w:pStyle w:val="Odstavecseseznamem"/>
        <w:numPr>
          <w:ilvl w:val="0"/>
          <w:numId w:val="88"/>
        </w:numPr>
        <w:rPr>
          <w:i/>
        </w:rPr>
      </w:pPr>
      <w:r w:rsidRPr="007B5F9A">
        <w:rPr>
          <w:rFonts w:cstheme="minorHAnsi"/>
          <w:i/>
        </w:rPr>
        <w:t>Rodinné město pro mladé nabízející spoustu aktivit. Je potřeba lidi vychovávat. Zlíňáci by si měli vážit svého města. Město by mělo tvořit svoji identitu</w:t>
      </w:r>
      <w:r>
        <w:rPr>
          <w:rFonts w:cstheme="minorHAnsi"/>
          <w:i/>
        </w:rPr>
        <w:t xml:space="preserve"> </w:t>
      </w:r>
      <w:r w:rsidRPr="007B5F9A">
        <w:rPr>
          <w:rFonts w:cstheme="minorHAnsi"/>
          <w:i/>
        </w:rPr>
        <w:t>jak pro své obyvatele, tak pro návštěvníky. Tvář/vizuál/jak se bude prezentovat. (Čajánek)</w:t>
      </w:r>
    </w:p>
    <w:p w14:paraId="5BE8F724" w14:textId="77777777" w:rsidR="006E1FCB" w:rsidRDefault="006E1FCB" w:rsidP="00BC6914">
      <w:pPr>
        <w:pStyle w:val="Nadpis4"/>
      </w:pPr>
      <w:bookmarkStart w:id="881" w:name="_Toc50471496"/>
      <w:r>
        <w:t>Závěrečné sdělení jednotlivých osobností</w:t>
      </w:r>
      <w:bookmarkEnd w:id="881"/>
    </w:p>
    <w:p w14:paraId="135E06BC" w14:textId="77777777" w:rsidR="006E1FCB" w:rsidRPr="00EE2381" w:rsidRDefault="006E1FCB" w:rsidP="006E1FCB">
      <w:r>
        <w:t xml:space="preserve">Na závěr měly osobnosti ještě prostor sdělit městu, co považují za podstatné. </w:t>
      </w:r>
    </w:p>
    <w:p w14:paraId="193507EE" w14:textId="77777777" w:rsidR="006E1FCB" w:rsidRPr="007B5F9A" w:rsidRDefault="006E1FCB" w:rsidP="006E1FCB">
      <w:pPr>
        <w:rPr>
          <w:b/>
        </w:rPr>
      </w:pPr>
      <w:r w:rsidRPr="007B5F9A">
        <w:rPr>
          <w:b/>
        </w:rPr>
        <w:t>O13</w:t>
      </w:r>
      <w:r>
        <w:rPr>
          <w:b/>
        </w:rPr>
        <w:t>:</w:t>
      </w:r>
      <w:r w:rsidRPr="007B5F9A">
        <w:rPr>
          <w:b/>
        </w:rPr>
        <w:t xml:space="preserve"> Co byste ještě chtěli sdělit?</w:t>
      </w:r>
    </w:p>
    <w:p w14:paraId="227E00B1" w14:textId="77777777" w:rsidR="006E1FCB" w:rsidRPr="007B5F9A" w:rsidRDefault="006E1FCB" w:rsidP="00A55F7D">
      <w:pPr>
        <w:pStyle w:val="Odstavecseseznamem"/>
        <w:numPr>
          <w:ilvl w:val="0"/>
          <w:numId w:val="84"/>
        </w:numPr>
        <w:rPr>
          <w:rFonts w:cstheme="minorHAnsi"/>
          <w:i/>
        </w:rPr>
      </w:pPr>
      <w:r w:rsidRPr="007B5F9A">
        <w:rPr>
          <w:rFonts w:cstheme="minorHAnsi"/>
          <w:i/>
        </w:rPr>
        <w:t xml:space="preserve">Zajistit lidi, kteří se budou projektům věnovat a zajistit finance na následnou udržitelnost realizovaných projektů. (Gaťáková) </w:t>
      </w:r>
    </w:p>
    <w:p w14:paraId="56ED47DD" w14:textId="77777777" w:rsidR="006E1FCB" w:rsidRPr="007B5F9A" w:rsidRDefault="006E1FCB" w:rsidP="00A55F7D">
      <w:pPr>
        <w:pStyle w:val="Odstavecseseznamem"/>
        <w:numPr>
          <w:ilvl w:val="0"/>
          <w:numId w:val="84"/>
        </w:numPr>
        <w:rPr>
          <w:rFonts w:cstheme="minorHAnsi"/>
          <w:i/>
        </w:rPr>
      </w:pPr>
      <w:r w:rsidRPr="007B5F9A">
        <w:rPr>
          <w:rFonts w:cstheme="minorHAnsi"/>
          <w:i/>
        </w:rPr>
        <w:t>Změnit myšlení na pozitivní.</w:t>
      </w:r>
      <w:r>
        <w:rPr>
          <w:rFonts w:cstheme="minorHAnsi"/>
          <w:i/>
        </w:rPr>
        <w:t xml:space="preserve"> </w:t>
      </w:r>
      <w:r w:rsidRPr="007B5F9A">
        <w:rPr>
          <w:rFonts w:cstheme="minorHAnsi"/>
          <w:i/>
        </w:rPr>
        <w:t>(Goláň)</w:t>
      </w:r>
    </w:p>
    <w:p w14:paraId="67EAC0A6" w14:textId="77777777" w:rsidR="006E1FCB" w:rsidRPr="007B5F9A" w:rsidRDefault="006E1FCB" w:rsidP="00A55F7D">
      <w:pPr>
        <w:pStyle w:val="Odstavecseseznamem"/>
        <w:numPr>
          <w:ilvl w:val="0"/>
          <w:numId w:val="84"/>
        </w:numPr>
        <w:rPr>
          <w:rFonts w:cstheme="minorHAnsi"/>
          <w:i/>
        </w:rPr>
      </w:pPr>
      <w:r w:rsidRPr="007B5F9A">
        <w:rPr>
          <w:rFonts w:cstheme="minorHAnsi"/>
          <w:i/>
        </w:rPr>
        <w:t>Vážím si velmi dobré spolupráce s městskou policií při společných akcích a rovněž výborné součinnosti s hasiči, kteří nám umožňují využívat jejich speciální techniku. Myslím si, že spolupráci se všemi složkami IZS (také s RZS) nám většina měst může závidět. (Indra)</w:t>
      </w:r>
    </w:p>
    <w:p w14:paraId="33ED9891" w14:textId="77777777" w:rsidR="006E1FCB" w:rsidRPr="007B5F9A" w:rsidRDefault="006E1FCB" w:rsidP="00A55F7D">
      <w:pPr>
        <w:pStyle w:val="Odstavecseseznamem"/>
        <w:numPr>
          <w:ilvl w:val="0"/>
          <w:numId w:val="84"/>
        </w:numPr>
        <w:rPr>
          <w:rFonts w:ascii="Calibri" w:hAnsi="Calibri" w:cs="Calibri"/>
          <w:i/>
        </w:rPr>
      </w:pPr>
      <w:r w:rsidRPr="007B5F9A">
        <w:rPr>
          <w:rFonts w:cstheme="minorHAnsi"/>
          <w:i/>
        </w:rPr>
        <w:t>Držím městu palce a věřím, že i za 100 let se bude o městu mluvit jako před 2. světovou válkou,</w:t>
      </w:r>
      <w:r w:rsidRPr="007B5F9A">
        <w:rPr>
          <w:rFonts w:ascii="Calibri" w:hAnsi="Calibri" w:cs="Calibri"/>
          <w:i/>
        </w:rPr>
        <w:t xml:space="preserve"> kdy jméno Baťa ovládlo svět. (Jiřičná)</w:t>
      </w:r>
    </w:p>
    <w:p w14:paraId="3D02BA9C" w14:textId="77777777" w:rsidR="006E1FCB" w:rsidRPr="007B5F9A" w:rsidRDefault="006E1FCB" w:rsidP="00A55F7D">
      <w:pPr>
        <w:pStyle w:val="Odstavecseseznamem"/>
        <w:numPr>
          <w:ilvl w:val="0"/>
          <w:numId w:val="84"/>
        </w:numPr>
        <w:rPr>
          <w:rFonts w:cstheme="minorHAnsi"/>
          <w:i/>
        </w:rPr>
      </w:pPr>
      <w:r w:rsidRPr="007B5F9A">
        <w:rPr>
          <w:rFonts w:cstheme="minorHAnsi"/>
          <w:i/>
        </w:rPr>
        <w:t>Rád bych</w:t>
      </w:r>
      <w:r>
        <w:rPr>
          <w:rFonts w:cstheme="minorHAnsi"/>
          <w:i/>
        </w:rPr>
        <w:t>,</w:t>
      </w:r>
      <w:r w:rsidRPr="007B5F9A">
        <w:rPr>
          <w:rFonts w:cstheme="minorHAnsi"/>
          <w:i/>
        </w:rPr>
        <w:t xml:space="preserve"> aby tato práce </w:t>
      </w:r>
      <w:r w:rsidRPr="00EE2381">
        <w:rPr>
          <w:rFonts w:cstheme="minorHAnsi"/>
        </w:rPr>
        <w:t>(</w:t>
      </w:r>
      <w:r>
        <w:rPr>
          <w:rFonts w:cstheme="minorHAnsi"/>
        </w:rPr>
        <w:t xml:space="preserve">byla míněna </w:t>
      </w:r>
      <w:r w:rsidRPr="00EE2381">
        <w:rPr>
          <w:rFonts w:cstheme="minorHAnsi"/>
        </w:rPr>
        <w:t>tvorba</w:t>
      </w:r>
      <w:r>
        <w:rPr>
          <w:rFonts w:cstheme="minorHAnsi"/>
        </w:rPr>
        <w:t xml:space="preserve"> strategického plánu) </w:t>
      </w:r>
      <w:r w:rsidRPr="007B5F9A">
        <w:rPr>
          <w:rFonts w:cstheme="minorHAnsi"/>
          <w:i/>
        </w:rPr>
        <w:t>neskončila v šuplíku. (Stodůlka)</w:t>
      </w:r>
    </w:p>
    <w:p w14:paraId="2CBDB489" w14:textId="781740C9" w:rsidR="006E1FCB" w:rsidRPr="007B5F9A" w:rsidRDefault="006E1FCB" w:rsidP="00A55F7D">
      <w:pPr>
        <w:pStyle w:val="Odstavecseseznamem"/>
        <w:numPr>
          <w:ilvl w:val="0"/>
          <w:numId w:val="84"/>
        </w:numPr>
        <w:rPr>
          <w:rFonts w:cstheme="minorHAnsi"/>
          <w:i/>
        </w:rPr>
      </w:pPr>
      <w:r w:rsidRPr="007B5F9A">
        <w:rPr>
          <w:rFonts w:cstheme="minorHAnsi"/>
          <w:i/>
        </w:rPr>
        <w:t xml:space="preserve">Dobře zpracované a </w:t>
      </w:r>
      <w:r w:rsidR="0060513D">
        <w:rPr>
          <w:rFonts w:cstheme="minorHAnsi"/>
          <w:i/>
        </w:rPr>
        <w:t>vyjednané</w:t>
      </w:r>
      <w:r w:rsidRPr="007B5F9A">
        <w:rPr>
          <w:rFonts w:cstheme="minorHAnsi"/>
          <w:i/>
        </w:rPr>
        <w:t xml:space="preserve"> strategické dokumenty, ze kterých vyvstanou dobře vypracované projekty. (Táborská)</w:t>
      </w:r>
    </w:p>
    <w:p w14:paraId="04C3B8A6" w14:textId="77777777" w:rsidR="006E1FCB" w:rsidRPr="007B5F9A" w:rsidRDefault="006E1FCB" w:rsidP="00A55F7D">
      <w:pPr>
        <w:pStyle w:val="Odstavecseseznamem"/>
        <w:numPr>
          <w:ilvl w:val="0"/>
          <w:numId w:val="84"/>
        </w:numPr>
        <w:rPr>
          <w:rFonts w:cstheme="minorHAnsi"/>
          <w:i/>
        </w:rPr>
      </w:pPr>
      <w:r w:rsidRPr="007B5F9A">
        <w:rPr>
          <w:rFonts w:cstheme="minorHAnsi"/>
          <w:i/>
        </w:rPr>
        <w:t>UTB by chtěla být užitečným partnerem regionů, centrem vzdělání. UTB je schopna flexibilně reagovat na potřeby města. (Sedlařík)</w:t>
      </w:r>
    </w:p>
    <w:p w14:paraId="638F79B7" w14:textId="77777777" w:rsidR="006E1FCB" w:rsidRPr="007B5F9A" w:rsidRDefault="006E1FCB" w:rsidP="00A55F7D">
      <w:pPr>
        <w:pStyle w:val="Odstavecseseznamem"/>
        <w:numPr>
          <w:ilvl w:val="0"/>
          <w:numId w:val="84"/>
        </w:numPr>
        <w:rPr>
          <w:rFonts w:cstheme="minorHAnsi"/>
          <w:i/>
        </w:rPr>
      </w:pPr>
      <w:r w:rsidRPr="007B5F9A">
        <w:rPr>
          <w:rFonts w:cstheme="minorHAnsi"/>
          <w:i/>
        </w:rPr>
        <w:t>Zlín je moc pěkné město pro život. (Žáček)</w:t>
      </w:r>
    </w:p>
    <w:p w14:paraId="123D5147" w14:textId="77777777" w:rsidR="006E1FCB" w:rsidRPr="007B5F9A" w:rsidRDefault="006E1FCB" w:rsidP="00A55F7D">
      <w:pPr>
        <w:pStyle w:val="Odstavecseseznamem"/>
        <w:numPr>
          <w:ilvl w:val="0"/>
          <w:numId w:val="84"/>
        </w:numPr>
        <w:rPr>
          <w:rFonts w:cstheme="minorHAnsi"/>
          <w:i/>
        </w:rPr>
      </w:pPr>
      <w:r w:rsidRPr="007B5F9A">
        <w:rPr>
          <w:rFonts w:cstheme="minorHAnsi"/>
          <w:i/>
        </w:rPr>
        <w:t>Ať se strategie rozvíjí a nezůstane pouze na papíře v šuplíku. (Ježíková)</w:t>
      </w:r>
    </w:p>
    <w:p w14:paraId="5563C491" w14:textId="6953EA23" w:rsidR="00BC6914" w:rsidRDefault="006E1FCB" w:rsidP="00A55F7D">
      <w:pPr>
        <w:pStyle w:val="Odstavecseseznamem"/>
        <w:numPr>
          <w:ilvl w:val="0"/>
          <w:numId w:val="84"/>
        </w:numPr>
        <w:rPr>
          <w:rFonts w:cstheme="minorHAnsi"/>
          <w:i/>
        </w:rPr>
      </w:pPr>
      <w:r w:rsidRPr="007B5F9A">
        <w:rPr>
          <w:rFonts w:cstheme="minorHAnsi"/>
          <w:i/>
        </w:rPr>
        <w:t>Společná vize by měla být delší než 10 let. (Čajánek)</w:t>
      </w:r>
    </w:p>
    <w:p w14:paraId="534A41BE" w14:textId="77777777" w:rsidR="00BC6914" w:rsidRDefault="00BC6914">
      <w:pPr>
        <w:spacing w:before="0" w:after="160" w:line="259" w:lineRule="auto"/>
        <w:jc w:val="left"/>
        <w:rPr>
          <w:rFonts w:cstheme="minorHAnsi"/>
          <w:i/>
        </w:rPr>
      </w:pPr>
      <w:r>
        <w:rPr>
          <w:rFonts w:cstheme="minorHAnsi"/>
          <w:i/>
        </w:rPr>
        <w:br w:type="page"/>
      </w:r>
    </w:p>
    <w:p w14:paraId="0AA53F9E" w14:textId="19B7CBF8" w:rsidR="006E1FCB" w:rsidRDefault="00BC6914" w:rsidP="00BC6914">
      <w:pPr>
        <w:pStyle w:val="Nadpis3"/>
      </w:pPr>
      <w:bookmarkStart w:id="882" w:name="_Toc50471498"/>
      <w:bookmarkStart w:id="883" w:name="_Toc77074643"/>
      <w:r>
        <w:t>Příloha: Scénář rozhovoru</w:t>
      </w:r>
      <w:bookmarkEnd w:id="882"/>
      <w:bookmarkEnd w:id="883"/>
    </w:p>
    <w:p w14:paraId="008639D7" w14:textId="77777777" w:rsidR="006E1FCB" w:rsidRPr="00F51B06" w:rsidRDefault="006E1FCB" w:rsidP="006E1FCB">
      <w:pPr>
        <w:pStyle w:val="Nzev"/>
        <w:rPr>
          <w:rFonts w:asciiTheme="minorHAnsi" w:hAnsiTheme="minorHAnsi" w:cstheme="minorHAnsi"/>
          <w:caps/>
          <w:sz w:val="22"/>
          <w:szCs w:val="22"/>
          <w14:shadow w14:blurRad="50800" w14:dist="38100" w14:dir="2700000" w14:sx="100000" w14:sy="100000" w14:kx="0" w14:ky="0" w14:algn="tl">
            <w14:srgbClr w14:val="000000">
              <w14:alpha w14:val="60000"/>
            </w14:srgbClr>
          </w14:shadow>
        </w:rPr>
      </w:pPr>
      <w:r w:rsidRPr="00F51B06">
        <w:rPr>
          <w:rFonts w:asciiTheme="minorHAnsi" w:hAnsiTheme="minorHAnsi" w:cstheme="minorHAnsi"/>
          <w:caps/>
          <w:sz w:val="22"/>
          <w:szCs w:val="22"/>
          <w14:shadow w14:blurRad="50800" w14:dist="38100" w14:dir="2700000" w14:sx="100000" w14:sy="100000" w14:kx="0" w14:ky="0" w14:algn="tl">
            <w14:srgbClr w14:val="000000">
              <w14:alpha w14:val="60000"/>
            </w14:srgbClr>
          </w14:shadow>
        </w:rPr>
        <w:t>Průzkum Osobností</w:t>
      </w:r>
    </w:p>
    <w:p w14:paraId="38658B61" w14:textId="77777777" w:rsidR="006E1FCB" w:rsidRPr="00F51B06" w:rsidRDefault="006E1FCB" w:rsidP="006E1FCB">
      <w:pPr>
        <w:spacing w:after="120"/>
        <w:rPr>
          <w:rFonts w:cstheme="minorHAnsi"/>
        </w:rPr>
      </w:pPr>
      <w:r w:rsidRPr="00F51B06">
        <w:rPr>
          <w:rFonts w:cstheme="minorHAnsi"/>
        </w:rPr>
        <w:t>Vážený pane, vážená paní,</w:t>
      </w:r>
    </w:p>
    <w:p w14:paraId="2AA0CA67" w14:textId="77777777" w:rsidR="006E1FCB" w:rsidRPr="00F51B06" w:rsidRDefault="006E1FCB" w:rsidP="006E1FCB">
      <w:pPr>
        <w:spacing w:after="120"/>
        <w:rPr>
          <w:rFonts w:cstheme="minorHAnsi"/>
        </w:rPr>
      </w:pPr>
      <w:r w:rsidRPr="00F51B06">
        <w:rPr>
          <w:rFonts w:cstheme="minorHAnsi"/>
        </w:rPr>
        <w:t xml:space="preserve">obracíme se na Vás s žádostí o spolupráci při tvorbě </w:t>
      </w:r>
      <w:r w:rsidRPr="00F51B06">
        <w:rPr>
          <w:rFonts w:cstheme="minorHAnsi"/>
          <w:b/>
        </w:rPr>
        <w:t>Strategie rozvoje statutárního města Zlína do roku 2030</w:t>
      </w:r>
      <w:r w:rsidRPr="00F51B06">
        <w:rPr>
          <w:rFonts w:cstheme="minorHAnsi"/>
        </w:rPr>
        <w:t>. V předkládaném dotazníku máte možnost vyjádřit se k otázkám týkajícím se budoucího rozvoje města. Vaše názory a připomínky jsou pro tvorbu tohoto dokumentu velmi důležité. Proto Vás prosíme o zodpovězení několika otázek. Vaše spolupráce je dobrovolná, a proto na otázky, které považujete z</w:t>
      </w:r>
      <w:r>
        <w:rPr>
          <w:rFonts w:cstheme="minorHAnsi"/>
        </w:rPr>
        <w:t>a důvěrné, nemusíte odpovídat. Ú</w:t>
      </w:r>
      <w:r w:rsidRPr="00F51B06">
        <w:rPr>
          <w:rFonts w:cstheme="minorHAnsi"/>
        </w:rPr>
        <w:t>daje, které nám poskytnete, zůstanou anony</w:t>
      </w:r>
      <w:r>
        <w:rPr>
          <w:rFonts w:cstheme="minorHAnsi"/>
        </w:rPr>
        <w:t xml:space="preserve">mní a nebudou komerčně využity. Ke zveřejnění Vašeho názoru pod Vašim jménem dojde pouze v případě udělení Vašeho výslovného souhlasu. </w:t>
      </w:r>
    </w:p>
    <w:p w14:paraId="75819F44" w14:textId="77777777" w:rsidR="006E1FCB" w:rsidRPr="00F51B06" w:rsidRDefault="006E1FCB" w:rsidP="006E1FCB">
      <w:pPr>
        <w:spacing w:after="120"/>
        <w:rPr>
          <w:rFonts w:cstheme="minorHAnsi"/>
        </w:rPr>
      </w:pPr>
      <w:r w:rsidRPr="00F51B06">
        <w:rPr>
          <w:rFonts w:cstheme="minorHAnsi"/>
        </w:rPr>
        <w:t>Společnost PROCES – Centrum pro rozvoj obcí a regionů, s.r.o., která zpracovává tento průzkum pro město Zlín, je registrována Úřadem pro ochranu osobních údajů a jako správce se řídí zákonem č.</w:t>
      </w:r>
      <w:r>
        <w:rPr>
          <w:rFonts w:cstheme="minorHAnsi"/>
        </w:rPr>
        <w:t> </w:t>
      </w:r>
      <w:r w:rsidRPr="00F51B06">
        <w:rPr>
          <w:rFonts w:cstheme="minorHAnsi"/>
        </w:rPr>
        <w:t>101/2000 Sb. o ochraně osobních údajů a dodržuje standardy kvality a etický kodex mezinárodní asociace ESOMAR.</w:t>
      </w:r>
    </w:p>
    <w:p w14:paraId="08C7E958" w14:textId="77777777" w:rsidR="006E1FCB" w:rsidRPr="00F51B06" w:rsidRDefault="006E1FCB" w:rsidP="006E1FCB">
      <w:pPr>
        <w:spacing w:line="276" w:lineRule="auto"/>
        <w:rPr>
          <w:rFonts w:cstheme="minorHAnsi"/>
        </w:rPr>
      </w:pPr>
      <w:r w:rsidRPr="00F51B06">
        <w:rPr>
          <w:rFonts w:cstheme="minorHAnsi"/>
        </w:rPr>
        <w:t>Pokud budete potřebovat bližší informace, uvádíme kontaktní osoby:</w:t>
      </w:r>
    </w:p>
    <w:p w14:paraId="784F8F56" w14:textId="77777777" w:rsidR="006E1FCB" w:rsidRPr="00F51B06" w:rsidRDefault="006E1FCB" w:rsidP="006E1FCB">
      <w:pPr>
        <w:spacing w:line="276" w:lineRule="auto"/>
        <w:rPr>
          <w:rFonts w:cstheme="minorHAnsi"/>
          <w:b/>
        </w:rPr>
      </w:pPr>
      <w:r w:rsidRPr="00F51B06">
        <w:rPr>
          <w:rFonts w:cstheme="minorHAnsi"/>
        </w:rPr>
        <w:t>Za společnost PROCES:</w:t>
      </w:r>
      <w:r w:rsidRPr="00F51B06">
        <w:rPr>
          <w:rFonts w:cstheme="minorHAnsi"/>
          <w:b/>
        </w:rPr>
        <w:t xml:space="preserve"> </w:t>
      </w:r>
    </w:p>
    <w:p w14:paraId="1F3AC331" w14:textId="77777777" w:rsidR="006E1FCB" w:rsidRPr="00C26320" w:rsidRDefault="006E1FCB" w:rsidP="006E1FCB">
      <w:pPr>
        <w:pStyle w:val="Zhlav"/>
        <w:rPr>
          <w:rStyle w:val="Hypertextovodkaz"/>
          <w:rFonts w:cstheme="minorHAnsi"/>
          <w:color w:val="auto"/>
        </w:rPr>
      </w:pPr>
      <w:r w:rsidRPr="0036729F">
        <w:rPr>
          <w:rFonts w:cstheme="minorHAnsi"/>
          <w:bCs/>
        </w:rPr>
        <w:t>Doc. Ing. Lubor Hruška, Ph.D.</w:t>
      </w:r>
      <w:r w:rsidRPr="00F51B06">
        <w:rPr>
          <w:rFonts w:cstheme="minorHAnsi"/>
          <w:bCs/>
        </w:rPr>
        <w:t xml:space="preserve"> - </w:t>
      </w:r>
      <w:r w:rsidRPr="0036729F">
        <w:rPr>
          <w:rFonts w:cstheme="minorHAnsi"/>
          <w:bCs/>
        </w:rPr>
        <w:t>metodologie výzkumu</w:t>
      </w:r>
      <w:r w:rsidRPr="00F51B06">
        <w:rPr>
          <w:rFonts w:cstheme="minorHAnsi"/>
          <w:lang w:val="de-DE"/>
        </w:rPr>
        <w:t xml:space="preserve"> </w:t>
      </w:r>
      <w:r w:rsidRPr="0036729F">
        <w:rPr>
          <w:rFonts w:cstheme="minorHAnsi"/>
          <w:bCs/>
        </w:rPr>
        <w:t xml:space="preserve">Tel.: </w:t>
      </w:r>
      <w:r w:rsidRPr="00F51B06">
        <w:rPr>
          <w:rFonts w:cstheme="minorHAnsi"/>
          <w:lang w:val="de-DE"/>
        </w:rPr>
        <w:t>604 279</w:t>
      </w:r>
      <w:r>
        <w:rPr>
          <w:rFonts w:cstheme="minorHAnsi"/>
          <w:lang w:val="de-DE"/>
        </w:rPr>
        <w:t> </w:t>
      </w:r>
      <w:r w:rsidRPr="00F51B06">
        <w:rPr>
          <w:rFonts w:cstheme="minorHAnsi"/>
          <w:lang w:val="de-DE"/>
        </w:rPr>
        <w:t>758</w:t>
      </w:r>
      <w:r>
        <w:rPr>
          <w:rFonts w:cstheme="minorHAnsi"/>
          <w:lang w:val="de-DE"/>
        </w:rPr>
        <w:t>;</w:t>
      </w:r>
      <w:r w:rsidRPr="00F51B06">
        <w:rPr>
          <w:rFonts w:cstheme="minorHAnsi"/>
        </w:rPr>
        <w:t xml:space="preserve"> </w:t>
      </w:r>
      <w:r w:rsidRPr="0036729F">
        <w:rPr>
          <w:rFonts w:cstheme="minorHAnsi"/>
          <w:bCs/>
        </w:rPr>
        <w:t xml:space="preserve">E-mail: </w:t>
      </w:r>
      <w:hyperlink r:id="rId249" w:history="1">
        <w:r w:rsidRPr="00C26320">
          <w:rPr>
            <w:rStyle w:val="Hypertextovodkaz"/>
            <w:rFonts w:cstheme="minorHAnsi"/>
            <w:color w:val="auto"/>
          </w:rPr>
          <w:t>lubor.hruska@rozvoj-obce.cz</w:t>
        </w:r>
      </w:hyperlink>
    </w:p>
    <w:p w14:paraId="2C5EE679" w14:textId="77777777" w:rsidR="006E1FCB" w:rsidRPr="00C26320" w:rsidRDefault="006E1FCB" w:rsidP="006E1FCB">
      <w:pPr>
        <w:rPr>
          <w:rFonts w:cstheme="minorHAnsi"/>
        </w:rPr>
      </w:pPr>
      <w:r w:rsidRPr="00F51B06">
        <w:rPr>
          <w:rFonts w:cstheme="minorHAnsi"/>
        </w:rPr>
        <w:t xml:space="preserve">Mgr. Martina Melárová - realizace výzkumu </w:t>
      </w:r>
      <w:r w:rsidRPr="003B41F9">
        <w:rPr>
          <w:rFonts w:cstheme="minorHAnsi"/>
          <w:bCs/>
        </w:rPr>
        <w:t xml:space="preserve">Tel.: </w:t>
      </w:r>
      <w:r w:rsidRPr="00F51B06">
        <w:rPr>
          <w:rFonts w:cstheme="minorHAnsi"/>
        </w:rPr>
        <w:t>732 831</w:t>
      </w:r>
      <w:r>
        <w:rPr>
          <w:rFonts w:cstheme="minorHAnsi"/>
        </w:rPr>
        <w:t> </w:t>
      </w:r>
      <w:r w:rsidRPr="00F51B06">
        <w:rPr>
          <w:rFonts w:cstheme="minorHAnsi"/>
        </w:rPr>
        <w:t>761</w:t>
      </w:r>
      <w:r>
        <w:rPr>
          <w:rFonts w:cstheme="minorHAnsi"/>
        </w:rPr>
        <w:t>;</w:t>
      </w:r>
      <w:r w:rsidRPr="00F51B06">
        <w:rPr>
          <w:rFonts w:cstheme="minorHAnsi"/>
        </w:rPr>
        <w:t xml:space="preserve"> </w:t>
      </w:r>
      <w:r w:rsidRPr="003B41F9">
        <w:rPr>
          <w:rFonts w:cstheme="minorHAnsi"/>
          <w:bCs/>
        </w:rPr>
        <w:t xml:space="preserve">E-mail: </w:t>
      </w:r>
      <w:hyperlink r:id="rId250" w:history="1">
        <w:r w:rsidRPr="00C26320">
          <w:rPr>
            <w:rStyle w:val="Hypertextovodkaz"/>
            <w:rFonts w:cstheme="minorHAnsi"/>
            <w:color w:val="auto"/>
          </w:rPr>
          <w:t>martina.melarova@rozvoj-obce.cz</w:t>
        </w:r>
      </w:hyperlink>
    </w:p>
    <w:p w14:paraId="0EC2CB80" w14:textId="77777777" w:rsidR="006E1FCB" w:rsidRPr="00F51B06" w:rsidRDefault="006E1FCB" w:rsidP="006E1FCB">
      <w:pPr>
        <w:rPr>
          <w:rFonts w:cstheme="minorHAnsi"/>
        </w:rPr>
      </w:pPr>
      <w:r w:rsidRPr="00F51B06">
        <w:rPr>
          <w:rFonts w:cstheme="minorHAnsi"/>
        </w:rPr>
        <w:t xml:space="preserve">Za město Zlín:  </w:t>
      </w:r>
    </w:p>
    <w:p w14:paraId="6205AA57" w14:textId="77777777" w:rsidR="006E1FCB" w:rsidRPr="00C26320" w:rsidRDefault="006E1FCB" w:rsidP="006E1FCB">
      <w:pPr>
        <w:rPr>
          <w:rFonts w:cstheme="minorHAnsi"/>
        </w:rPr>
      </w:pPr>
      <w:r w:rsidRPr="00F51B06">
        <w:rPr>
          <w:rFonts w:cstheme="minorHAnsi"/>
        </w:rPr>
        <w:t xml:space="preserve">Ing. Petr Stiglitz  </w:t>
      </w:r>
      <w:r w:rsidRPr="003B41F9">
        <w:rPr>
          <w:rFonts w:cstheme="minorHAnsi"/>
          <w:bCs/>
          <w:lang w:val="en-US"/>
        </w:rPr>
        <w:t xml:space="preserve">Tel.: </w:t>
      </w:r>
      <w:r w:rsidRPr="00F51B06">
        <w:rPr>
          <w:rFonts w:cstheme="minorHAnsi"/>
        </w:rPr>
        <w:t>577 630</w:t>
      </w:r>
      <w:r>
        <w:rPr>
          <w:rFonts w:cstheme="minorHAnsi"/>
        </w:rPr>
        <w:t> </w:t>
      </w:r>
      <w:r w:rsidRPr="00F51B06">
        <w:rPr>
          <w:rFonts w:cstheme="minorHAnsi"/>
        </w:rPr>
        <w:t>166</w:t>
      </w:r>
      <w:r>
        <w:rPr>
          <w:rFonts w:cstheme="minorHAnsi"/>
        </w:rPr>
        <w:t>;</w:t>
      </w:r>
      <w:r w:rsidRPr="00F51B06">
        <w:rPr>
          <w:rFonts w:cstheme="minorHAnsi"/>
        </w:rPr>
        <w:t xml:space="preserve"> </w:t>
      </w:r>
      <w:r w:rsidRPr="003B41F9">
        <w:rPr>
          <w:rFonts w:cstheme="minorHAnsi"/>
          <w:bCs/>
          <w:lang w:val="en-US"/>
        </w:rPr>
        <w:t>E-mail:</w:t>
      </w:r>
      <w:r w:rsidRPr="00F51B06">
        <w:rPr>
          <w:rFonts w:cstheme="minorHAnsi"/>
        </w:rPr>
        <w:t xml:space="preserve"> </w:t>
      </w:r>
      <w:hyperlink r:id="rId251" w:history="1">
        <w:r w:rsidRPr="00C26320">
          <w:rPr>
            <w:rStyle w:val="Hypertextovodkaz"/>
            <w:rFonts w:cstheme="minorHAnsi"/>
            <w:color w:val="auto"/>
          </w:rPr>
          <w:t>petrstiglitz@zlin.eu</w:t>
        </w:r>
      </w:hyperlink>
      <w:r w:rsidRPr="00C26320">
        <w:rPr>
          <w:rFonts w:cstheme="minorHAnsi"/>
        </w:rPr>
        <w:t xml:space="preserve"> </w:t>
      </w:r>
    </w:p>
    <w:p w14:paraId="0E64B854" w14:textId="77777777" w:rsidR="006E1FCB" w:rsidRPr="00F51B06" w:rsidRDefault="006E1FCB" w:rsidP="006E1FCB">
      <w:pPr>
        <w:rPr>
          <w:rFonts w:cstheme="minorHAnsi"/>
        </w:rPr>
      </w:pPr>
    </w:p>
    <w:p w14:paraId="4900377F" w14:textId="77777777" w:rsidR="006E1FCB" w:rsidRPr="00F51B06" w:rsidRDefault="006E1FCB" w:rsidP="006E1FCB">
      <w:pPr>
        <w:spacing w:after="120"/>
        <w:jc w:val="center"/>
        <w:rPr>
          <w:rFonts w:cstheme="minorHAnsi"/>
          <w:b/>
        </w:rPr>
      </w:pPr>
      <w:r w:rsidRPr="00F51B06">
        <w:rPr>
          <w:rFonts w:cstheme="minorHAnsi"/>
          <w:b/>
        </w:rPr>
        <w:t>Předem děkujeme za Vaši laskavost a věnovaný čas.</w:t>
      </w:r>
    </w:p>
    <w:p w14:paraId="285DD9D5" w14:textId="77777777" w:rsidR="006E1FCB" w:rsidRPr="00F51B06" w:rsidRDefault="006E1FCB" w:rsidP="006E1FCB">
      <w:pPr>
        <w:spacing w:after="120"/>
        <w:jc w:val="center"/>
        <w:rPr>
          <w:rFonts w:cstheme="minorHAnsi"/>
          <w:b/>
        </w:rPr>
      </w:pPr>
    </w:p>
    <w:p w14:paraId="337A79ED" w14:textId="77777777" w:rsidR="006E1FCB" w:rsidRPr="00F51B06" w:rsidRDefault="006E1FCB" w:rsidP="006E1FCB">
      <w:pPr>
        <w:shd w:val="clear" w:color="auto" w:fill="A6A6A6" w:themeFill="background1" w:themeFillShade="A6"/>
        <w:spacing w:after="120"/>
        <w:jc w:val="center"/>
        <w:rPr>
          <w:rFonts w:cstheme="minorHAnsi"/>
          <w:b/>
        </w:rPr>
      </w:pPr>
      <w:r w:rsidRPr="00F51B06">
        <w:rPr>
          <w:rFonts w:cstheme="minorHAnsi"/>
          <w:b/>
        </w:rPr>
        <w:t>Blok identita, spokojenost a rozvoj města</w:t>
      </w:r>
    </w:p>
    <w:p w14:paraId="7CA43FC0" w14:textId="77777777" w:rsidR="006E1FCB" w:rsidRPr="00F51B06" w:rsidRDefault="006E1FCB" w:rsidP="006E1FCB">
      <w:pPr>
        <w:jc w:val="center"/>
        <w:rPr>
          <w:rFonts w:cstheme="minorHAnsi"/>
          <w:b/>
          <w:caps/>
          <w:u w:val="single"/>
        </w:rPr>
      </w:pPr>
    </w:p>
    <w:p w14:paraId="442EB3F8" w14:textId="77777777" w:rsidR="006E1FCB" w:rsidRPr="0005497E" w:rsidRDefault="006E1FCB" w:rsidP="00A55F7D">
      <w:pPr>
        <w:pStyle w:val="Odstavecseseznamem"/>
        <w:keepNext/>
        <w:numPr>
          <w:ilvl w:val="0"/>
          <w:numId w:val="77"/>
        </w:numPr>
        <w:shd w:val="clear" w:color="auto" w:fill="E7E6E6" w:themeFill="background2"/>
        <w:ind w:left="283" w:hanging="357"/>
        <w:rPr>
          <w:b/>
          <w:i/>
        </w:rPr>
      </w:pPr>
      <w:r w:rsidRPr="00F51B06">
        <w:t>Jaké slovní spojení se Vám vybaví, když se řekne Zlín?</w:t>
      </w:r>
    </w:p>
    <w:p w14:paraId="4EBAF773" w14:textId="77777777" w:rsidR="006E1FCB" w:rsidRPr="00F51B06" w:rsidRDefault="006E1FCB" w:rsidP="006E1FCB">
      <w:pPr>
        <w:spacing w:line="360" w:lineRule="auto"/>
        <w:rPr>
          <w:rFonts w:cstheme="minorHAnsi"/>
        </w:rPr>
      </w:pPr>
      <w:r w:rsidRPr="00F51B06">
        <w:rPr>
          <w:rFonts w:cstheme="minorHAnsi"/>
        </w:rPr>
        <w:t>………………………………………………………………………………………………………………………………………………………………………………………………………………………………………………………………………………………………………………………..</w:t>
      </w:r>
    </w:p>
    <w:p w14:paraId="75B3E61E" w14:textId="77777777" w:rsidR="006E1FCB" w:rsidRPr="0005497E" w:rsidRDefault="006E1FCB" w:rsidP="00A55F7D">
      <w:pPr>
        <w:pStyle w:val="Odstavecseseznamem"/>
        <w:numPr>
          <w:ilvl w:val="0"/>
          <w:numId w:val="77"/>
        </w:numPr>
        <w:shd w:val="clear" w:color="auto" w:fill="E7E6E6" w:themeFill="background2"/>
        <w:ind w:left="284"/>
      </w:pPr>
      <w:r w:rsidRPr="0005497E">
        <w:t>Na co jste ve Zlíně nejvíce hrdí? (např. společenské a kulturní akce, možnosti trávení volného času, krásná příroda v okolí, kvalitní služby, podpora podnikání apod.)</w:t>
      </w:r>
    </w:p>
    <w:p w14:paraId="119009F5" w14:textId="77777777" w:rsidR="006E1FCB" w:rsidRPr="00F51B06" w:rsidRDefault="006E1FCB" w:rsidP="006E1FCB">
      <w:pPr>
        <w:spacing w:line="360" w:lineRule="auto"/>
        <w:rPr>
          <w:rFonts w:cstheme="minorHAnsi"/>
        </w:rPr>
      </w:pPr>
      <w:r w:rsidRPr="00F51B06">
        <w:rPr>
          <w:rFonts w:cstheme="minorHAnsi"/>
        </w:rPr>
        <w:t>……………………………………………………………………………………………………………………………………………………………………………………………………………………………………………………………………………………………………………………….</w:t>
      </w:r>
    </w:p>
    <w:p w14:paraId="5DDAB59F" w14:textId="77777777" w:rsidR="006E1FCB" w:rsidRPr="0005497E" w:rsidRDefault="006E1FCB" w:rsidP="00A55F7D">
      <w:pPr>
        <w:pStyle w:val="Odstavecseseznamem"/>
        <w:keepNext/>
        <w:numPr>
          <w:ilvl w:val="0"/>
          <w:numId w:val="77"/>
        </w:numPr>
        <w:shd w:val="clear" w:color="auto" w:fill="E7E6E6" w:themeFill="background2"/>
        <w:ind w:left="283" w:hanging="357"/>
      </w:pPr>
      <w:r w:rsidRPr="0005497E">
        <w:t xml:space="preserve">Co postrádáte ve městě Zlín, co Vám zde chybí? </w:t>
      </w:r>
    </w:p>
    <w:p w14:paraId="20690E7C" w14:textId="77777777" w:rsidR="006E1FCB" w:rsidRPr="00F51B06" w:rsidRDefault="006E1FCB" w:rsidP="006E1FCB">
      <w:pPr>
        <w:rPr>
          <w:rFonts w:cstheme="minorHAnsi"/>
          <w:bCs/>
        </w:rPr>
      </w:pPr>
      <w:r w:rsidRPr="00F51B06">
        <w:rPr>
          <w:rFonts w:cstheme="minorHAnsi"/>
          <w:bCs/>
        </w:rPr>
        <w:t xml:space="preserve">1. .............................................................................. </w:t>
      </w:r>
    </w:p>
    <w:p w14:paraId="795D71A0" w14:textId="77777777" w:rsidR="006E1FCB" w:rsidRPr="00F51B06" w:rsidRDefault="006E1FCB" w:rsidP="006E1FCB">
      <w:pPr>
        <w:rPr>
          <w:rFonts w:cstheme="minorHAnsi"/>
          <w:bCs/>
        </w:rPr>
      </w:pPr>
      <w:r w:rsidRPr="00F51B06">
        <w:rPr>
          <w:rFonts w:cstheme="minorHAnsi"/>
          <w:bCs/>
        </w:rPr>
        <w:t xml:space="preserve">2. .............................................................................. </w:t>
      </w:r>
    </w:p>
    <w:p w14:paraId="10DD0B60" w14:textId="77777777" w:rsidR="006E1FCB" w:rsidRPr="00F51B06" w:rsidRDefault="006E1FCB" w:rsidP="006E1FCB">
      <w:pPr>
        <w:spacing w:after="200" w:line="276" w:lineRule="auto"/>
        <w:rPr>
          <w:rFonts w:cstheme="minorHAnsi"/>
          <w:bCs/>
        </w:rPr>
      </w:pPr>
      <w:r w:rsidRPr="00F51B06">
        <w:rPr>
          <w:rFonts w:cstheme="minorHAnsi"/>
          <w:bCs/>
        </w:rPr>
        <w:t>3. .......................................................................................</w:t>
      </w:r>
      <w:r w:rsidRPr="00F51B06">
        <w:rPr>
          <w:rFonts w:cstheme="minorHAnsi"/>
          <w:bCs/>
        </w:rPr>
        <w:cr/>
      </w:r>
    </w:p>
    <w:p w14:paraId="0B0A2C48" w14:textId="77777777" w:rsidR="006E1FCB" w:rsidRPr="0005497E" w:rsidRDefault="006E1FCB" w:rsidP="00A55F7D">
      <w:pPr>
        <w:pStyle w:val="Odstavecseseznamem"/>
        <w:numPr>
          <w:ilvl w:val="0"/>
          <w:numId w:val="77"/>
        </w:numPr>
        <w:shd w:val="clear" w:color="auto" w:fill="E7E6E6" w:themeFill="background2"/>
        <w:ind w:left="284"/>
      </w:pPr>
      <w:r w:rsidRPr="0005497E">
        <w:t xml:space="preserve">Jaké má město Zlín dle Vašeho názoru příležitosti rozvoje? </w:t>
      </w:r>
    </w:p>
    <w:p w14:paraId="205187CC" w14:textId="77777777" w:rsidR="006E1FCB" w:rsidRDefault="006E1FCB" w:rsidP="006E1FCB">
      <w:pPr>
        <w:pStyle w:val="Odstavecseseznamem"/>
        <w:spacing w:line="360" w:lineRule="auto"/>
        <w:ind w:left="360"/>
        <w:rPr>
          <w:rFonts w:cstheme="minorHAnsi"/>
        </w:rPr>
      </w:pPr>
      <w:r w:rsidRPr="006E5B32">
        <w:rPr>
          <w:rFonts w:cstheme="minorHAnsi"/>
        </w:rPr>
        <w:t>………………………………………………………………………………………………………………………………………………………………………………………………………………………………………………………………………………………………………………</w:t>
      </w:r>
    </w:p>
    <w:p w14:paraId="72D35514" w14:textId="77777777" w:rsidR="006E1FCB" w:rsidRPr="0005497E" w:rsidRDefault="006E1FCB" w:rsidP="00A55F7D">
      <w:pPr>
        <w:pStyle w:val="Odstavecseseznamem"/>
        <w:numPr>
          <w:ilvl w:val="0"/>
          <w:numId w:val="77"/>
        </w:numPr>
        <w:shd w:val="clear" w:color="auto" w:fill="E7E6E6" w:themeFill="background2"/>
        <w:ind w:left="284"/>
      </w:pPr>
      <w:r w:rsidRPr="0005497E">
        <w:t xml:space="preserve">Vidíte pro město Zlín nějakou hrozbu? </w:t>
      </w:r>
    </w:p>
    <w:p w14:paraId="3073D468" w14:textId="77777777" w:rsidR="006E1FCB" w:rsidRDefault="006E1FCB" w:rsidP="006E1FCB">
      <w:pPr>
        <w:pStyle w:val="Odstavecseseznamem"/>
        <w:spacing w:line="360" w:lineRule="auto"/>
        <w:ind w:left="360"/>
        <w:rPr>
          <w:rFonts w:cstheme="minorHAnsi"/>
        </w:rPr>
      </w:pPr>
      <w:r w:rsidRPr="006E5B32">
        <w:rPr>
          <w:rFonts w:cstheme="minorHAnsi"/>
        </w:rPr>
        <w:t>………………………………………………………………………………………………………………………………………………………………………………………………………………………………………………………………………………………………………………</w:t>
      </w:r>
    </w:p>
    <w:p w14:paraId="66A8623C" w14:textId="77777777" w:rsidR="006E1FCB" w:rsidRPr="006E5B32" w:rsidRDefault="006E1FCB" w:rsidP="006E1FCB"/>
    <w:p w14:paraId="64CD8A6F" w14:textId="77777777" w:rsidR="006E1FCB" w:rsidRPr="0005497E" w:rsidRDefault="006E1FCB" w:rsidP="00A55F7D">
      <w:pPr>
        <w:pStyle w:val="Odstavecseseznamem"/>
        <w:numPr>
          <w:ilvl w:val="0"/>
          <w:numId w:val="77"/>
        </w:numPr>
        <w:shd w:val="clear" w:color="auto" w:fill="E7E6E6" w:themeFill="background2"/>
        <w:ind w:left="284"/>
      </w:pPr>
      <w:r w:rsidRPr="0005497E">
        <w:t>Uveďte prosím, kter</w:t>
      </w:r>
      <w:r>
        <w:t>á</w:t>
      </w:r>
      <w:r w:rsidRPr="0005497E">
        <w:t xml:space="preserve"> místa/objekty ve městě se Vám líbí nejvíce?</w:t>
      </w:r>
    </w:p>
    <w:p w14:paraId="3C44C115" w14:textId="77777777" w:rsidR="006E1FCB" w:rsidRPr="00F51B06" w:rsidRDefault="006E1FCB" w:rsidP="006E1FCB">
      <w:pPr>
        <w:spacing w:line="360" w:lineRule="auto"/>
        <w:rPr>
          <w:rFonts w:cstheme="minorHAnsi"/>
        </w:rPr>
      </w:pPr>
      <w:r w:rsidRPr="00F51B06">
        <w:rPr>
          <w:rFonts w:cstheme="minorHAnsi"/>
        </w:rPr>
        <w:t>……………………………………………………………………………………………………………………………………………………………………………………………………………………………………………………………………………………………………………………….</w:t>
      </w:r>
    </w:p>
    <w:p w14:paraId="34B006AA" w14:textId="77777777" w:rsidR="006E1FCB" w:rsidRPr="00F51B06" w:rsidRDefault="006E1FCB" w:rsidP="006E1FCB">
      <w:pPr>
        <w:spacing w:after="200" w:line="276" w:lineRule="auto"/>
        <w:rPr>
          <w:rFonts w:cstheme="minorHAnsi"/>
          <w:bCs/>
        </w:rPr>
      </w:pPr>
    </w:p>
    <w:p w14:paraId="5FFC7EE6" w14:textId="77777777" w:rsidR="006E1FCB" w:rsidRPr="0005497E" w:rsidRDefault="006E1FCB" w:rsidP="00A55F7D">
      <w:pPr>
        <w:pStyle w:val="Odstavecseseznamem"/>
        <w:numPr>
          <w:ilvl w:val="0"/>
          <w:numId w:val="77"/>
        </w:numPr>
        <w:shd w:val="clear" w:color="auto" w:fill="E7E6E6" w:themeFill="background2"/>
        <w:ind w:left="284"/>
      </w:pPr>
      <w:r w:rsidRPr="0005497E">
        <w:t>Uveďte prosím, kter</w:t>
      </w:r>
      <w:r>
        <w:t>á</w:t>
      </w:r>
      <w:r w:rsidRPr="0005497E">
        <w:t xml:space="preserve"> místa/objekty ve městě se Vám líbí nejméně?</w:t>
      </w:r>
    </w:p>
    <w:p w14:paraId="749D20E8" w14:textId="77777777" w:rsidR="006E1FCB" w:rsidRPr="00F51B06" w:rsidRDefault="006E1FCB" w:rsidP="006E1FCB">
      <w:pPr>
        <w:spacing w:line="360" w:lineRule="auto"/>
        <w:rPr>
          <w:rFonts w:cstheme="minorHAnsi"/>
        </w:rPr>
      </w:pPr>
      <w:r w:rsidRPr="00F51B06">
        <w:rPr>
          <w:rFonts w:cstheme="minorHAnsi"/>
        </w:rPr>
        <w:t>……………………………………………………………………………………………………………………………………………………………………………………………………………………………………………………………………………………………………………………….</w:t>
      </w:r>
    </w:p>
    <w:p w14:paraId="01BB045E" w14:textId="77777777" w:rsidR="006E1FCB" w:rsidRPr="0005497E" w:rsidRDefault="006E1FCB" w:rsidP="00A55F7D">
      <w:pPr>
        <w:pStyle w:val="Odstavecseseznamem"/>
        <w:numPr>
          <w:ilvl w:val="0"/>
          <w:numId w:val="77"/>
        </w:numPr>
        <w:shd w:val="clear" w:color="auto" w:fill="E7E6E6" w:themeFill="background2"/>
        <w:ind w:left="284"/>
      </w:pPr>
      <w:r w:rsidRPr="0005497E">
        <w:t>Jak hodnotíte vývoj města za posledních 5 let?</w:t>
      </w:r>
    </w:p>
    <w:p w14:paraId="7EA34231" w14:textId="77777777" w:rsidR="006E1FCB" w:rsidRPr="00F51B06" w:rsidRDefault="006E1FCB" w:rsidP="006E1FCB">
      <w:pPr>
        <w:ind w:left="360"/>
        <w:rPr>
          <w:rFonts w:cstheme="minorHAnsi"/>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1359"/>
        <w:gridCol w:w="1359"/>
        <w:gridCol w:w="1359"/>
        <w:gridCol w:w="1360"/>
      </w:tblGrid>
      <w:tr w:rsidR="006E1FCB" w:rsidRPr="00F51B06" w14:paraId="76CCFC71" w14:textId="77777777" w:rsidTr="000931EA">
        <w:trPr>
          <w:jc w:val="center"/>
        </w:trPr>
        <w:tc>
          <w:tcPr>
            <w:tcW w:w="1359" w:type="dxa"/>
            <w:vAlign w:val="center"/>
          </w:tcPr>
          <w:p w14:paraId="582F4CE9" w14:textId="77777777" w:rsidR="006E1FCB" w:rsidRPr="00F51B06" w:rsidRDefault="006E1FCB" w:rsidP="000931EA">
            <w:pPr>
              <w:jc w:val="center"/>
              <w:rPr>
                <w:rFonts w:cstheme="minorHAnsi"/>
                <w:color w:val="000000" w:themeColor="text1"/>
              </w:rPr>
            </w:pPr>
            <w:r w:rsidRPr="00F51B06">
              <w:rPr>
                <w:rFonts w:cstheme="minorHAnsi"/>
                <w:color w:val="000000" w:themeColor="text1"/>
              </w:rPr>
              <w:t>Velmi negativně</w:t>
            </w:r>
          </w:p>
        </w:tc>
        <w:tc>
          <w:tcPr>
            <w:tcW w:w="1359" w:type="dxa"/>
            <w:vAlign w:val="center"/>
          </w:tcPr>
          <w:p w14:paraId="29A661D5" w14:textId="77777777" w:rsidR="006E1FCB" w:rsidRPr="00F51B06" w:rsidRDefault="006E1FCB" w:rsidP="000931EA">
            <w:pPr>
              <w:jc w:val="center"/>
              <w:rPr>
                <w:rFonts w:cstheme="minorHAnsi"/>
                <w:color w:val="000000" w:themeColor="text1"/>
              </w:rPr>
            </w:pPr>
            <w:r w:rsidRPr="00F51B06">
              <w:rPr>
                <w:rFonts w:cstheme="minorHAnsi"/>
                <w:color w:val="000000" w:themeColor="text1"/>
              </w:rPr>
              <w:t>Spíše negativně</w:t>
            </w:r>
          </w:p>
        </w:tc>
        <w:tc>
          <w:tcPr>
            <w:tcW w:w="1359" w:type="dxa"/>
            <w:vAlign w:val="center"/>
          </w:tcPr>
          <w:p w14:paraId="6F040463" w14:textId="77777777" w:rsidR="006E1FCB" w:rsidRPr="00F51B06" w:rsidRDefault="006E1FCB" w:rsidP="000931EA">
            <w:pPr>
              <w:jc w:val="center"/>
              <w:rPr>
                <w:rFonts w:cstheme="minorHAnsi"/>
                <w:color w:val="000000" w:themeColor="text1"/>
              </w:rPr>
            </w:pPr>
            <w:r w:rsidRPr="00F51B06">
              <w:rPr>
                <w:rFonts w:cstheme="minorHAnsi"/>
                <w:color w:val="000000" w:themeColor="text1"/>
              </w:rPr>
              <w:t>Spíše pozitivně</w:t>
            </w:r>
          </w:p>
        </w:tc>
        <w:tc>
          <w:tcPr>
            <w:tcW w:w="1359" w:type="dxa"/>
            <w:vAlign w:val="center"/>
          </w:tcPr>
          <w:p w14:paraId="08294C45" w14:textId="77777777" w:rsidR="006E1FCB" w:rsidRPr="00F51B06" w:rsidRDefault="006E1FCB" w:rsidP="000931EA">
            <w:pPr>
              <w:jc w:val="center"/>
              <w:rPr>
                <w:rFonts w:cstheme="minorHAnsi"/>
                <w:color w:val="000000" w:themeColor="text1"/>
              </w:rPr>
            </w:pPr>
            <w:r w:rsidRPr="00F51B06">
              <w:rPr>
                <w:rFonts w:cstheme="minorHAnsi"/>
                <w:color w:val="000000" w:themeColor="text1"/>
              </w:rPr>
              <w:t>Velmi pozitivně</w:t>
            </w:r>
          </w:p>
        </w:tc>
        <w:tc>
          <w:tcPr>
            <w:tcW w:w="1360" w:type="dxa"/>
            <w:vAlign w:val="center"/>
          </w:tcPr>
          <w:p w14:paraId="335FA1BF" w14:textId="77777777" w:rsidR="006E1FCB" w:rsidRPr="00F51B06" w:rsidRDefault="006E1FCB" w:rsidP="000931EA">
            <w:pPr>
              <w:jc w:val="center"/>
              <w:rPr>
                <w:rFonts w:cstheme="minorHAnsi"/>
                <w:color w:val="000000" w:themeColor="text1"/>
              </w:rPr>
            </w:pPr>
            <w:r w:rsidRPr="00F51B06">
              <w:rPr>
                <w:rFonts w:cstheme="minorHAnsi"/>
                <w:color w:val="000000" w:themeColor="text1"/>
              </w:rPr>
              <w:t>Nevím</w:t>
            </w:r>
          </w:p>
        </w:tc>
      </w:tr>
      <w:tr w:rsidR="006E1FCB" w:rsidRPr="00F51B06" w14:paraId="6063583F" w14:textId="77777777" w:rsidTr="000931EA">
        <w:trPr>
          <w:jc w:val="center"/>
        </w:trPr>
        <w:tc>
          <w:tcPr>
            <w:tcW w:w="1359" w:type="dxa"/>
          </w:tcPr>
          <w:p w14:paraId="30FD7602" w14:textId="77777777" w:rsidR="006E1FCB" w:rsidRPr="00F51B06" w:rsidRDefault="006E1FCB" w:rsidP="000931EA">
            <w:pPr>
              <w:jc w:val="center"/>
              <w:rPr>
                <w:rFonts w:cstheme="minorHAnsi"/>
                <w:color w:val="000000" w:themeColor="text1"/>
              </w:rPr>
            </w:pPr>
            <w:r w:rsidRPr="00F51B06">
              <w:rPr>
                <w:rFonts w:cstheme="minorHAnsi"/>
                <w:color w:val="000000" w:themeColor="text1"/>
              </w:rPr>
              <w:t>1</w:t>
            </w:r>
          </w:p>
        </w:tc>
        <w:tc>
          <w:tcPr>
            <w:tcW w:w="1359" w:type="dxa"/>
          </w:tcPr>
          <w:p w14:paraId="06A5076B" w14:textId="77777777" w:rsidR="006E1FCB" w:rsidRPr="00F51B06" w:rsidRDefault="006E1FCB" w:rsidP="000931EA">
            <w:pPr>
              <w:jc w:val="center"/>
              <w:rPr>
                <w:rFonts w:cstheme="minorHAnsi"/>
                <w:color w:val="000000" w:themeColor="text1"/>
              </w:rPr>
            </w:pPr>
            <w:r w:rsidRPr="00F51B06">
              <w:rPr>
                <w:rFonts w:cstheme="minorHAnsi"/>
                <w:color w:val="000000" w:themeColor="text1"/>
              </w:rPr>
              <w:t>2</w:t>
            </w:r>
          </w:p>
        </w:tc>
        <w:tc>
          <w:tcPr>
            <w:tcW w:w="1359" w:type="dxa"/>
          </w:tcPr>
          <w:p w14:paraId="041A3B70" w14:textId="77777777" w:rsidR="006E1FCB" w:rsidRPr="00F51B06" w:rsidRDefault="006E1FCB" w:rsidP="000931EA">
            <w:pPr>
              <w:jc w:val="center"/>
              <w:rPr>
                <w:rFonts w:cstheme="minorHAnsi"/>
                <w:color w:val="000000" w:themeColor="text1"/>
              </w:rPr>
            </w:pPr>
            <w:r w:rsidRPr="00F51B06">
              <w:rPr>
                <w:rFonts w:cstheme="minorHAnsi"/>
                <w:color w:val="000000" w:themeColor="text1"/>
              </w:rPr>
              <w:t>3</w:t>
            </w:r>
          </w:p>
        </w:tc>
        <w:tc>
          <w:tcPr>
            <w:tcW w:w="1359" w:type="dxa"/>
          </w:tcPr>
          <w:p w14:paraId="7D66E790" w14:textId="77777777" w:rsidR="006E1FCB" w:rsidRPr="00F51B06" w:rsidRDefault="006E1FCB" w:rsidP="000931EA">
            <w:pPr>
              <w:jc w:val="center"/>
              <w:rPr>
                <w:rFonts w:cstheme="minorHAnsi"/>
                <w:color w:val="000000" w:themeColor="text1"/>
              </w:rPr>
            </w:pPr>
            <w:r w:rsidRPr="00F51B06">
              <w:rPr>
                <w:rFonts w:cstheme="minorHAnsi"/>
                <w:color w:val="000000" w:themeColor="text1"/>
              </w:rPr>
              <w:t>4</w:t>
            </w:r>
          </w:p>
        </w:tc>
        <w:tc>
          <w:tcPr>
            <w:tcW w:w="1360" w:type="dxa"/>
          </w:tcPr>
          <w:p w14:paraId="6FCE8222" w14:textId="77777777" w:rsidR="006E1FCB" w:rsidRPr="00F51B06" w:rsidRDefault="006E1FCB" w:rsidP="000931EA">
            <w:pPr>
              <w:jc w:val="center"/>
              <w:rPr>
                <w:rFonts w:cstheme="minorHAnsi"/>
                <w:color w:val="000000" w:themeColor="text1"/>
              </w:rPr>
            </w:pPr>
            <w:r w:rsidRPr="00F51B06">
              <w:rPr>
                <w:rFonts w:cstheme="minorHAnsi"/>
                <w:color w:val="000000" w:themeColor="text1"/>
              </w:rPr>
              <w:t>-1</w:t>
            </w:r>
          </w:p>
        </w:tc>
      </w:tr>
    </w:tbl>
    <w:p w14:paraId="5E3D5981" w14:textId="77777777" w:rsidR="006E1FCB" w:rsidRPr="00F51B06" w:rsidRDefault="006E1FCB" w:rsidP="006E1FCB">
      <w:pPr>
        <w:keepNext/>
        <w:shd w:val="clear" w:color="auto" w:fill="F2F2F2" w:themeFill="background1" w:themeFillShade="F2"/>
        <w:spacing w:line="360" w:lineRule="auto"/>
        <w:rPr>
          <w:rFonts w:cstheme="minorHAnsi"/>
          <w:b/>
        </w:rPr>
      </w:pPr>
      <w:r>
        <w:rPr>
          <w:rFonts w:cstheme="minorHAnsi"/>
          <w:b/>
        </w:rPr>
        <w:t>8a</w:t>
      </w:r>
      <w:r w:rsidRPr="00F51B06">
        <w:rPr>
          <w:rFonts w:cstheme="minorHAnsi"/>
          <w:b/>
        </w:rPr>
        <w:t>.</w:t>
      </w:r>
      <w:r>
        <w:rPr>
          <w:rFonts w:cstheme="minorHAnsi"/>
          <w:b/>
        </w:rPr>
        <w:t xml:space="preserve"> </w:t>
      </w:r>
      <w:r w:rsidRPr="00F51B06">
        <w:rPr>
          <w:rFonts w:cstheme="minorHAnsi"/>
          <w:b/>
        </w:rPr>
        <w:t>Rozveďte proč</w:t>
      </w:r>
    </w:p>
    <w:p w14:paraId="729F83ED" w14:textId="77777777" w:rsidR="006E1FCB" w:rsidRPr="00F51B06" w:rsidRDefault="006E1FCB" w:rsidP="006E1FCB">
      <w:pPr>
        <w:spacing w:line="360" w:lineRule="auto"/>
        <w:rPr>
          <w:rFonts w:cstheme="minorHAnsi"/>
        </w:rPr>
      </w:pPr>
      <w:r w:rsidRPr="00F51B06">
        <w:rPr>
          <w:rFonts w:cstheme="minorHAnsi"/>
        </w:rPr>
        <w:t>………………………………………………………………………………………………………………………………………………………….</w:t>
      </w:r>
    </w:p>
    <w:p w14:paraId="2B6E16F3" w14:textId="77777777" w:rsidR="006E1FCB" w:rsidRPr="0005497E" w:rsidRDefault="006E1FCB" w:rsidP="00A55F7D">
      <w:pPr>
        <w:pStyle w:val="Odstavecseseznamem"/>
        <w:numPr>
          <w:ilvl w:val="0"/>
          <w:numId w:val="77"/>
        </w:numPr>
        <w:shd w:val="clear" w:color="auto" w:fill="E7E6E6" w:themeFill="background2"/>
        <w:ind w:left="284"/>
      </w:pPr>
      <w:r w:rsidRPr="0005497E">
        <w:t>Jak vnímáte budoucnost města Zlín?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1359"/>
        <w:gridCol w:w="1359"/>
        <w:gridCol w:w="1359"/>
        <w:gridCol w:w="1360"/>
      </w:tblGrid>
      <w:tr w:rsidR="006E1FCB" w:rsidRPr="00F51B06" w14:paraId="3DA22D15" w14:textId="77777777" w:rsidTr="000931EA">
        <w:trPr>
          <w:jc w:val="center"/>
        </w:trPr>
        <w:tc>
          <w:tcPr>
            <w:tcW w:w="1359" w:type="dxa"/>
            <w:vAlign w:val="center"/>
          </w:tcPr>
          <w:p w14:paraId="39733EAC" w14:textId="77777777" w:rsidR="006E1FCB" w:rsidRPr="00F51B06" w:rsidRDefault="006E1FCB" w:rsidP="000931EA">
            <w:pPr>
              <w:jc w:val="center"/>
              <w:rPr>
                <w:rFonts w:cstheme="minorHAnsi"/>
                <w:color w:val="000000" w:themeColor="text1"/>
              </w:rPr>
            </w:pPr>
            <w:r w:rsidRPr="00F51B06">
              <w:rPr>
                <w:rFonts w:cstheme="minorHAnsi"/>
                <w:color w:val="000000" w:themeColor="text1"/>
              </w:rPr>
              <w:t>Velmi negativně</w:t>
            </w:r>
          </w:p>
        </w:tc>
        <w:tc>
          <w:tcPr>
            <w:tcW w:w="1359" w:type="dxa"/>
            <w:vAlign w:val="center"/>
          </w:tcPr>
          <w:p w14:paraId="15381086" w14:textId="77777777" w:rsidR="006E1FCB" w:rsidRPr="00F51B06" w:rsidRDefault="006E1FCB" w:rsidP="000931EA">
            <w:pPr>
              <w:jc w:val="center"/>
              <w:rPr>
                <w:rFonts w:cstheme="minorHAnsi"/>
                <w:color w:val="000000" w:themeColor="text1"/>
              </w:rPr>
            </w:pPr>
            <w:r w:rsidRPr="00F51B06">
              <w:rPr>
                <w:rFonts w:cstheme="minorHAnsi"/>
                <w:color w:val="000000" w:themeColor="text1"/>
              </w:rPr>
              <w:t>Spíše negativně</w:t>
            </w:r>
          </w:p>
        </w:tc>
        <w:tc>
          <w:tcPr>
            <w:tcW w:w="1359" w:type="dxa"/>
            <w:vAlign w:val="center"/>
          </w:tcPr>
          <w:p w14:paraId="22DE9576" w14:textId="77777777" w:rsidR="006E1FCB" w:rsidRPr="00F51B06" w:rsidRDefault="006E1FCB" w:rsidP="000931EA">
            <w:pPr>
              <w:jc w:val="center"/>
              <w:rPr>
                <w:rFonts w:cstheme="minorHAnsi"/>
                <w:color w:val="000000" w:themeColor="text1"/>
              </w:rPr>
            </w:pPr>
            <w:r w:rsidRPr="00F51B06">
              <w:rPr>
                <w:rFonts w:cstheme="minorHAnsi"/>
                <w:color w:val="000000" w:themeColor="text1"/>
              </w:rPr>
              <w:t>Spíše pozitivně</w:t>
            </w:r>
          </w:p>
        </w:tc>
        <w:tc>
          <w:tcPr>
            <w:tcW w:w="1359" w:type="dxa"/>
            <w:vAlign w:val="center"/>
          </w:tcPr>
          <w:p w14:paraId="50188CDC" w14:textId="77777777" w:rsidR="006E1FCB" w:rsidRPr="00F51B06" w:rsidRDefault="006E1FCB" w:rsidP="000931EA">
            <w:pPr>
              <w:jc w:val="center"/>
              <w:rPr>
                <w:rFonts w:cstheme="minorHAnsi"/>
                <w:color w:val="000000" w:themeColor="text1"/>
              </w:rPr>
            </w:pPr>
            <w:r w:rsidRPr="00F51B06">
              <w:rPr>
                <w:rFonts w:cstheme="minorHAnsi"/>
                <w:color w:val="000000" w:themeColor="text1"/>
              </w:rPr>
              <w:t>Velmi pozitivně</w:t>
            </w:r>
          </w:p>
        </w:tc>
        <w:tc>
          <w:tcPr>
            <w:tcW w:w="1360" w:type="dxa"/>
            <w:vAlign w:val="center"/>
          </w:tcPr>
          <w:p w14:paraId="58E0A837" w14:textId="77777777" w:rsidR="006E1FCB" w:rsidRPr="00F51B06" w:rsidRDefault="006E1FCB" w:rsidP="000931EA">
            <w:pPr>
              <w:jc w:val="center"/>
              <w:rPr>
                <w:rFonts w:cstheme="minorHAnsi"/>
                <w:color w:val="000000" w:themeColor="text1"/>
              </w:rPr>
            </w:pPr>
            <w:r w:rsidRPr="00F51B06">
              <w:rPr>
                <w:rFonts w:cstheme="minorHAnsi"/>
                <w:color w:val="000000" w:themeColor="text1"/>
              </w:rPr>
              <w:t>Nevím</w:t>
            </w:r>
          </w:p>
        </w:tc>
      </w:tr>
      <w:tr w:rsidR="006E1FCB" w:rsidRPr="00F51B06" w14:paraId="6767BB60" w14:textId="77777777" w:rsidTr="000931EA">
        <w:trPr>
          <w:jc w:val="center"/>
        </w:trPr>
        <w:tc>
          <w:tcPr>
            <w:tcW w:w="1359" w:type="dxa"/>
          </w:tcPr>
          <w:p w14:paraId="11A85613" w14:textId="77777777" w:rsidR="006E1FCB" w:rsidRPr="00F51B06" w:rsidRDefault="006E1FCB" w:rsidP="000931EA">
            <w:pPr>
              <w:jc w:val="center"/>
              <w:rPr>
                <w:rFonts w:cstheme="minorHAnsi"/>
                <w:color w:val="000000" w:themeColor="text1"/>
              </w:rPr>
            </w:pPr>
            <w:r w:rsidRPr="00F51B06">
              <w:rPr>
                <w:rFonts w:cstheme="minorHAnsi"/>
                <w:color w:val="000000" w:themeColor="text1"/>
              </w:rPr>
              <w:t>1</w:t>
            </w:r>
          </w:p>
        </w:tc>
        <w:tc>
          <w:tcPr>
            <w:tcW w:w="1359" w:type="dxa"/>
          </w:tcPr>
          <w:p w14:paraId="01FAC968" w14:textId="77777777" w:rsidR="006E1FCB" w:rsidRPr="00F51B06" w:rsidRDefault="006E1FCB" w:rsidP="000931EA">
            <w:pPr>
              <w:jc w:val="center"/>
              <w:rPr>
                <w:rFonts w:cstheme="minorHAnsi"/>
                <w:color w:val="000000" w:themeColor="text1"/>
              </w:rPr>
            </w:pPr>
            <w:r w:rsidRPr="00F51B06">
              <w:rPr>
                <w:rFonts w:cstheme="minorHAnsi"/>
                <w:color w:val="000000" w:themeColor="text1"/>
              </w:rPr>
              <w:t>2</w:t>
            </w:r>
          </w:p>
        </w:tc>
        <w:tc>
          <w:tcPr>
            <w:tcW w:w="1359" w:type="dxa"/>
          </w:tcPr>
          <w:p w14:paraId="0D0D5E98" w14:textId="77777777" w:rsidR="006E1FCB" w:rsidRPr="00F51B06" w:rsidRDefault="006E1FCB" w:rsidP="000931EA">
            <w:pPr>
              <w:jc w:val="center"/>
              <w:rPr>
                <w:rFonts w:cstheme="minorHAnsi"/>
                <w:color w:val="000000" w:themeColor="text1"/>
              </w:rPr>
            </w:pPr>
            <w:r w:rsidRPr="00F51B06">
              <w:rPr>
                <w:rFonts w:cstheme="minorHAnsi"/>
                <w:color w:val="000000" w:themeColor="text1"/>
              </w:rPr>
              <w:t>3</w:t>
            </w:r>
          </w:p>
        </w:tc>
        <w:tc>
          <w:tcPr>
            <w:tcW w:w="1359" w:type="dxa"/>
          </w:tcPr>
          <w:p w14:paraId="54F2AF75" w14:textId="77777777" w:rsidR="006E1FCB" w:rsidRPr="00F51B06" w:rsidRDefault="006E1FCB" w:rsidP="000931EA">
            <w:pPr>
              <w:jc w:val="center"/>
              <w:rPr>
                <w:rFonts w:cstheme="minorHAnsi"/>
                <w:color w:val="000000" w:themeColor="text1"/>
              </w:rPr>
            </w:pPr>
            <w:r w:rsidRPr="00F51B06">
              <w:rPr>
                <w:rFonts w:cstheme="minorHAnsi"/>
                <w:color w:val="000000" w:themeColor="text1"/>
              </w:rPr>
              <w:t>4</w:t>
            </w:r>
          </w:p>
        </w:tc>
        <w:tc>
          <w:tcPr>
            <w:tcW w:w="1360" w:type="dxa"/>
          </w:tcPr>
          <w:p w14:paraId="7D41FBD9" w14:textId="77777777" w:rsidR="006E1FCB" w:rsidRPr="00F51B06" w:rsidRDefault="006E1FCB" w:rsidP="000931EA">
            <w:pPr>
              <w:jc w:val="center"/>
              <w:rPr>
                <w:rFonts w:cstheme="minorHAnsi"/>
                <w:color w:val="000000" w:themeColor="text1"/>
              </w:rPr>
            </w:pPr>
            <w:r w:rsidRPr="00F51B06">
              <w:rPr>
                <w:rFonts w:cstheme="minorHAnsi"/>
                <w:color w:val="000000" w:themeColor="text1"/>
              </w:rPr>
              <w:t>-1</w:t>
            </w:r>
          </w:p>
        </w:tc>
      </w:tr>
    </w:tbl>
    <w:p w14:paraId="118C4258" w14:textId="77777777" w:rsidR="006E1FCB" w:rsidRPr="00F51B06" w:rsidRDefault="006E1FCB" w:rsidP="006E1FCB">
      <w:pPr>
        <w:rPr>
          <w:rFonts w:cstheme="minorHAnsi"/>
        </w:rPr>
      </w:pPr>
    </w:p>
    <w:p w14:paraId="4CD9F618" w14:textId="77777777" w:rsidR="006E1FCB" w:rsidRPr="00F51B06" w:rsidRDefault="006E1FCB" w:rsidP="006E1FCB">
      <w:pPr>
        <w:keepNext/>
        <w:shd w:val="clear" w:color="auto" w:fill="F2F2F2" w:themeFill="background1" w:themeFillShade="F2"/>
        <w:spacing w:line="360" w:lineRule="auto"/>
        <w:rPr>
          <w:rFonts w:cstheme="minorHAnsi"/>
          <w:b/>
        </w:rPr>
      </w:pPr>
      <w:r>
        <w:rPr>
          <w:rFonts w:cstheme="minorHAnsi"/>
          <w:b/>
        </w:rPr>
        <w:t>9a</w:t>
      </w:r>
      <w:r w:rsidRPr="00F51B06">
        <w:rPr>
          <w:rFonts w:cstheme="minorHAnsi"/>
          <w:b/>
        </w:rPr>
        <w:t>.</w:t>
      </w:r>
      <w:r>
        <w:rPr>
          <w:rFonts w:cstheme="minorHAnsi"/>
          <w:b/>
        </w:rPr>
        <w:t xml:space="preserve"> </w:t>
      </w:r>
      <w:r w:rsidRPr="00F51B06">
        <w:rPr>
          <w:rFonts w:cstheme="minorHAnsi"/>
          <w:b/>
        </w:rPr>
        <w:t>Rozveďte proč</w:t>
      </w:r>
    </w:p>
    <w:p w14:paraId="60C2E589" w14:textId="77777777" w:rsidR="006E1FCB" w:rsidRPr="00F51B06" w:rsidRDefault="006E1FCB" w:rsidP="006E1FCB">
      <w:pPr>
        <w:spacing w:line="360" w:lineRule="auto"/>
        <w:rPr>
          <w:rFonts w:cstheme="minorHAnsi"/>
        </w:rPr>
      </w:pPr>
      <w:r w:rsidRPr="00F51B06">
        <w:rPr>
          <w:rFonts w:cstheme="minorHAnsi"/>
        </w:rPr>
        <w:t>………………………………………………………………………………………………………………………………………………………….</w:t>
      </w:r>
    </w:p>
    <w:p w14:paraId="2FECAB69" w14:textId="77777777" w:rsidR="006E1FCB" w:rsidRPr="00F51B06" w:rsidRDefault="006E1FCB" w:rsidP="006E1FCB">
      <w:pPr>
        <w:rPr>
          <w:rFonts w:cstheme="minorHAnsi"/>
        </w:rPr>
      </w:pPr>
    </w:p>
    <w:p w14:paraId="2578B18A" w14:textId="77777777" w:rsidR="006E1FCB" w:rsidRPr="0005497E" w:rsidRDefault="006E1FCB" w:rsidP="00A55F7D">
      <w:pPr>
        <w:pStyle w:val="Odstavecseseznamem"/>
        <w:numPr>
          <w:ilvl w:val="0"/>
          <w:numId w:val="77"/>
        </w:numPr>
        <w:shd w:val="clear" w:color="auto" w:fill="E7E6E6" w:themeFill="background2"/>
        <w:ind w:left="284"/>
      </w:pPr>
      <w:r w:rsidRPr="0005497E">
        <w:t xml:space="preserve">Jaká je Vaše ideální vize města Zlín v roce 2030? </w:t>
      </w:r>
    </w:p>
    <w:p w14:paraId="223FBF2B" w14:textId="77777777" w:rsidR="006E1FCB" w:rsidRDefault="006E1FCB" w:rsidP="006E1FCB">
      <w:pPr>
        <w:rPr>
          <w:rFonts w:cstheme="minorHAnsi"/>
        </w:rPr>
      </w:pPr>
      <w:r w:rsidRPr="00A05395">
        <w:rPr>
          <w:rFonts w:cstheme="minorHAnsi"/>
        </w:rPr>
        <w:t>……………………………………………………………………………………………………………………………………………………………</w:t>
      </w:r>
    </w:p>
    <w:p w14:paraId="0295ABC4" w14:textId="77777777" w:rsidR="006E1FCB" w:rsidRPr="00F51B06" w:rsidRDefault="006E1FCB" w:rsidP="006E1FCB">
      <w:pPr>
        <w:rPr>
          <w:rFonts w:cstheme="minorHAnsi"/>
        </w:rPr>
      </w:pPr>
      <w:r w:rsidRPr="00A05395">
        <w:rPr>
          <w:rFonts w:cstheme="minorHAnsi"/>
        </w:rPr>
        <w:t>……………………………………………………………………………………………………………………………………………………………</w:t>
      </w:r>
    </w:p>
    <w:p w14:paraId="42EB3B32" w14:textId="77777777" w:rsidR="006E1FCB" w:rsidRPr="0005497E" w:rsidRDefault="006E1FCB" w:rsidP="00A55F7D">
      <w:pPr>
        <w:pStyle w:val="Odstavecseseznamem"/>
        <w:numPr>
          <w:ilvl w:val="0"/>
          <w:numId w:val="77"/>
        </w:numPr>
        <w:shd w:val="clear" w:color="auto" w:fill="E7E6E6" w:themeFill="background2"/>
        <w:ind w:left="284"/>
      </w:pPr>
      <w:r w:rsidRPr="0005497E">
        <w:t xml:space="preserve">Do jaké oblasti byste nejvíce směřoval/a prostředky z rozpočtu města? </w:t>
      </w:r>
    </w:p>
    <w:p w14:paraId="554AC176" w14:textId="77777777" w:rsidR="006E1FCB" w:rsidRPr="000C336E" w:rsidRDefault="006E1FCB" w:rsidP="006E1FCB">
      <w:r w:rsidRPr="00F51B06">
        <w:rPr>
          <w:rFonts w:cstheme="minorHAnsi"/>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172"/>
        <w:gridCol w:w="890"/>
      </w:tblGrid>
      <w:tr w:rsidR="006E1FCB" w:rsidRPr="00F51B06" w14:paraId="4850B40C" w14:textId="77777777" w:rsidTr="000931EA">
        <w:trPr>
          <w:trHeight w:val="284"/>
        </w:trPr>
        <w:tc>
          <w:tcPr>
            <w:tcW w:w="4509" w:type="pct"/>
            <w:shd w:val="clear" w:color="auto" w:fill="auto"/>
            <w:noWrap/>
            <w:vAlign w:val="center"/>
            <w:hideMark/>
          </w:tcPr>
          <w:p w14:paraId="2FECA39C" w14:textId="77777777" w:rsidR="006E1FCB" w:rsidRPr="00F51B06" w:rsidRDefault="006E1FCB" w:rsidP="00A55F7D">
            <w:pPr>
              <w:numPr>
                <w:ilvl w:val="0"/>
                <w:numId w:val="76"/>
              </w:numPr>
              <w:spacing w:before="0"/>
              <w:ind w:left="426" w:hanging="426"/>
              <w:jc w:val="left"/>
              <w:rPr>
                <w:rFonts w:cstheme="minorHAnsi"/>
                <w:color w:val="000000"/>
              </w:rPr>
            </w:pPr>
            <w:r w:rsidRPr="00F51B06">
              <w:rPr>
                <w:rFonts w:cstheme="minorHAnsi"/>
              </w:rPr>
              <w:t>bytová výstavba</w:t>
            </w:r>
          </w:p>
        </w:tc>
        <w:tc>
          <w:tcPr>
            <w:tcW w:w="491" w:type="pct"/>
            <w:shd w:val="clear" w:color="auto" w:fill="auto"/>
            <w:noWrap/>
            <w:vAlign w:val="center"/>
            <w:hideMark/>
          </w:tcPr>
          <w:p w14:paraId="244D660D" w14:textId="77777777" w:rsidR="006E1FCB" w:rsidRPr="00F51B06" w:rsidRDefault="006E1FCB" w:rsidP="000931EA">
            <w:pPr>
              <w:jc w:val="center"/>
              <w:rPr>
                <w:rFonts w:cstheme="minorHAnsi"/>
                <w:color w:val="000000"/>
              </w:rPr>
            </w:pPr>
            <w:r w:rsidRPr="00F51B06">
              <w:rPr>
                <w:rFonts w:cstheme="minorHAnsi"/>
                <w:bCs/>
              </w:rPr>
              <w:sym w:font="Wingdings" w:char="F0A1"/>
            </w:r>
          </w:p>
        </w:tc>
      </w:tr>
      <w:tr w:rsidR="006E1FCB" w:rsidRPr="00F51B06" w14:paraId="2FF8F831" w14:textId="77777777" w:rsidTr="000931EA">
        <w:trPr>
          <w:trHeight w:val="284"/>
        </w:trPr>
        <w:tc>
          <w:tcPr>
            <w:tcW w:w="4509" w:type="pct"/>
            <w:shd w:val="clear" w:color="auto" w:fill="auto"/>
            <w:noWrap/>
            <w:vAlign w:val="center"/>
            <w:hideMark/>
          </w:tcPr>
          <w:p w14:paraId="5B181A75" w14:textId="77777777" w:rsidR="006E1FCB" w:rsidRPr="00F51B06" w:rsidRDefault="006E1FCB" w:rsidP="00A55F7D">
            <w:pPr>
              <w:numPr>
                <w:ilvl w:val="0"/>
                <w:numId w:val="76"/>
              </w:numPr>
              <w:spacing w:before="0"/>
              <w:ind w:left="426" w:hanging="426"/>
              <w:jc w:val="left"/>
              <w:rPr>
                <w:rFonts w:cstheme="minorHAnsi"/>
                <w:color w:val="000000"/>
              </w:rPr>
            </w:pPr>
            <w:r w:rsidRPr="00F51B06">
              <w:rPr>
                <w:rFonts w:cstheme="minorHAnsi"/>
              </w:rPr>
              <w:t>rozvoj sociálních služeb</w:t>
            </w:r>
          </w:p>
        </w:tc>
        <w:tc>
          <w:tcPr>
            <w:tcW w:w="491" w:type="pct"/>
            <w:shd w:val="clear" w:color="auto" w:fill="auto"/>
            <w:noWrap/>
            <w:vAlign w:val="center"/>
            <w:hideMark/>
          </w:tcPr>
          <w:p w14:paraId="46BBDC23" w14:textId="77777777" w:rsidR="006E1FCB" w:rsidRPr="00F51B06" w:rsidRDefault="006E1FCB" w:rsidP="000931EA">
            <w:pPr>
              <w:jc w:val="center"/>
              <w:rPr>
                <w:rFonts w:cstheme="minorHAnsi"/>
                <w:color w:val="000000"/>
              </w:rPr>
            </w:pPr>
            <w:r w:rsidRPr="00F51B06">
              <w:rPr>
                <w:rFonts w:cstheme="minorHAnsi"/>
                <w:bCs/>
              </w:rPr>
              <w:sym w:font="Wingdings" w:char="F0A1"/>
            </w:r>
          </w:p>
        </w:tc>
      </w:tr>
      <w:tr w:rsidR="006E1FCB" w:rsidRPr="00F51B06" w14:paraId="1A7390EB" w14:textId="77777777" w:rsidTr="000931EA">
        <w:trPr>
          <w:trHeight w:val="284"/>
        </w:trPr>
        <w:tc>
          <w:tcPr>
            <w:tcW w:w="4509" w:type="pct"/>
            <w:shd w:val="clear" w:color="auto" w:fill="auto"/>
            <w:noWrap/>
            <w:vAlign w:val="center"/>
          </w:tcPr>
          <w:p w14:paraId="7D564298"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větší počet kulturních aktivit</w:t>
            </w:r>
          </w:p>
        </w:tc>
        <w:tc>
          <w:tcPr>
            <w:tcW w:w="491" w:type="pct"/>
            <w:shd w:val="clear" w:color="auto" w:fill="auto"/>
            <w:noWrap/>
            <w:vAlign w:val="center"/>
          </w:tcPr>
          <w:p w14:paraId="7145B667"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4E846A84" w14:textId="77777777" w:rsidTr="000931EA">
        <w:trPr>
          <w:trHeight w:val="284"/>
        </w:trPr>
        <w:tc>
          <w:tcPr>
            <w:tcW w:w="4509" w:type="pct"/>
            <w:shd w:val="clear" w:color="auto" w:fill="auto"/>
            <w:noWrap/>
            <w:vAlign w:val="center"/>
          </w:tcPr>
          <w:p w14:paraId="5E8B58D1"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větší počet sportovních aktivit</w:t>
            </w:r>
          </w:p>
        </w:tc>
        <w:tc>
          <w:tcPr>
            <w:tcW w:w="491" w:type="pct"/>
            <w:shd w:val="clear" w:color="auto" w:fill="auto"/>
            <w:noWrap/>
            <w:vAlign w:val="center"/>
          </w:tcPr>
          <w:p w14:paraId="22DB34C7"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5BBF5679" w14:textId="77777777" w:rsidTr="000931EA">
        <w:trPr>
          <w:trHeight w:val="284"/>
        </w:trPr>
        <w:tc>
          <w:tcPr>
            <w:tcW w:w="4509" w:type="pct"/>
            <w:shd w:val="clear" w:color="auto" w:fill="auto"/>
            <w:noWrap/>
            <w:vAlign w:val="center"/>
          </w:tcPr>
          <w:p w14:paraId="48F73AF2" w14:textId="77777777" w:rsidR="006E1FCB" w:rsidRPr="00F51B06" w:rsidRDefault="006E1FCB" w:rsidP="00A55F7D">
            <w:pPr>
              <w:pStyle w:val="Odstavecseseznamem"/>
              <w:numPr>
                <w:ilvl w:val="0"/>
                <w:numId w:val="76"/>
              </w:numPr>
              <w:spacing w:before="0"/>
              <w:ind w:left="426" w:hanging="426"/>
              <w:jc w:val="left"/>
              <w:rPr>
                <w:rFonts w:cstheme="minorHAnsi"/>
              </w:rPr>
            </w:pPr>
            <w:r w:rsidRPr="00F51B06">
              <w:rPr>
                <w:rFonts w:cstheme="minorHAnsi"/>
              </w:rPr>
              <w:t>zlepšení dopravy</w:t>
            </w:r>
          </w:p>
        </w:tc>
        <w:tc>
          <w:tcPr>
            <w:tcW w:w="491" w:type="pct"/>
            <w:shd w:val="clear" w:color="auto" w:fill="auto"/>
            <w:noWrap/>
            <w:vAlign w:val="center"/>
          </w:tcPr>
          <w:p w14:paraId="4F9D2C75"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2AD9EE08" w14:textId="77777777" w:rsidTr="000931EA">
        <w:trPr>
          <w:trHeight w:val="284"/>
        </w:trPr>
        <w:tc>
          <w:tcPr>
            <w:tcW w:w="4509" w:type="pct"/>
            <w:shd w:val="clear" w:color="auto" w:fill="auto"/>
            <w:noWrap/>
            <w:vAlign w:val="center"/>
          </w:tcPr>
          <w:p w14:paraId="56655538"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zvýšení bezpečnosti</w:t>
            </w:r>
          </w:p>
        </w:tc>
        <w:tc>
          <w:tcPr>
            <w:tcW w:w="491" w:type="pct"/>
            <w:shd w:val="clear" w:color="auto" w:fill="auto"/>
            <w:noWrap/>
            <w:vAlign w:val="center"/>
          </w:tcPr>
          <w:p w14:paraId="08832974"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465FEE9F" w14:textId="77777777" w:rsidTr="000931EA">
        <w:trPr>
          <w:trHeight w:val="284"/>
        </w:trPr>
        <w:tc>
          <w:tcPr>
            <w:tcW w:w="4509" w:type="pct"/>
            <w:shd w:val="clear" w:color="auto" w:fill="auto"/>
            <w:noWrap/>
            <w:vAlign w:val="center"/>
          </w:tcPr>
          <w:p w14:paraId="058D66CD"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podpora drobného a středního podnikání</w:t>
            </w:r>
          </w:p>
        </w:tc>
        <w:tc>
          <w:tcPr>
            <w:tcW w:w="491" w:type="pct"/>
            <w:shd w:val="clear" w:color="auto" w:fill="auto"/>
            <w:noWrap/>
            <w:vAlign w:val="center"/>
          </w:tcPr>
          <w:p w14:paraId="1CAD7B4D"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4D34C7BA" w14:textId="77777777" w:rsidTr="000931EA">
        <w:trPr>
          <w:trHeight w:val="284"/>
        </w:trPr>
        <w:tc>
          <w:tcPr>
            <w:tcW w:w="4509" w:type="pct"/>
            <w:shd w:val="clear" w:color="auto" w:fill="auto"/>
            <w:noWrap/>
            <w:vAlign w:val="center"/>
          </w:tcPr>
          <w:p w14:paraId="695225B2"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cestovní ruch</w:t>
            </w:r>
          </w:p>
        </w:tc>
        <w:tc>
          <w:tcPr>
            <w:tcW w:w="491" w:type="pct"/>
            <w:shd w:val="clear" w:color="auto" w:fill="auto"/>
            <w:noWrap/>
            <w:vAlign w:val="center"/>
          </w:tcPr>
          <w:p w14:paraId="0F7D1900"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68675407" w14:textId="77777777" w:rsidTr="000931EA">
        <w:trPr>
          <w:trHeight w:val="284"/>
        </w:trPr>
        <w:tc>
          <w:tcPr>
            <w:tcW w:w="4509" w:type="pct"/>
            <w:shd w:val="clear" w:color="auto" w:fill="auto"/>
            <w:noWrap/>
            <w:vAlign w:val="center"/>
          </w:tcPr>
          <w:p w14:paraId="7CDF0348"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rozvoj školství</w:t>
            </w:r>
          </w:p>
        </w:tc>
        <w:tc>
          <w:tcPr>
            <w:tcW w:w="491" w:type="pct"/>
            <w:shd w:val="clear" w:color="auto" w:fill="auto"/>
            <w:noWrap/>
            <w:vAlign w:val="center"/>
          </w:tcPr>
          <w:p w14:paraId="128DE3C2"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2CBC8AD2" w14:textId="77777777" w:rsidTr="000931EA">
        <w:trPr>
          <w:trHeight w:val="284"/>
        </w:trPr>
        <w:tc>
          <w:tcPr>
            <w:tcW w:w="4509" w:type="pct"/>
            <w:shd w:val="clear" w:color="auto" w:fill="auto"/>
            <w:noWrap/>
            <w:vAlign w:val="center"/>
          </w:tcPr>
          <w:p w14:paraId="5F0F867B"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rozvoj zdravotnictví</w:t>
            </w:r>
          </w:p>
        </w:tc>
        <w:tc>
          <w:tcPr>
            <w:tcW w:w="491" w:type="pct"/>
            <w:shd w:val="clear" w:color="auto" w:fill="auto"/>
            <w:noWrap/>
            <w:vAlign w:val="center"/>
          </w:tcPr>
          <w:p w14:paraId="71A6F2C6"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6F296BA5" w14:textId="77777777" w:rsidTr="000931EA">
        <w:trPr>
          <w:trHeight w:val="284"/>
        </w:trPr>
        <w:tc>
          <w:tcPr>
            <w:tcW w:w="4509" w:type="pct"/>
            <w:shd w:val="clear" w:color="auto" w:fill="auto"/>
            <w:noWrap/>
            <w:vAlign w:val="center"/>
          </w:tcPr>
          <w:p w14:paraId="58265B8D"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rozvoj možností pro volný čas</w:t>
            </w:r>
          </w:p>
        </w:tc>
        <w:tc>
          <w:tcPr>
            <w:tcW w:w="491" w:type="pct"/>
            <w:shd w:val="clear" w:color="auto" w:fill="auto"/>
            <w:noWrap/>
            <w:vAlign w:val="center"/>
          </w:tcPr>
          <w:p w14:paraId="52931214"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42A5FA3E" w14:textId="77777777" w:rsidTr="000931EA">
        <w:trPr>
          <w:trHeight w:val="284"/>
        </w:trPr>
        <w:tc>
          <w:tcPr>
            <w:tcW w:w="4509" w:type="pct"/>
            <w:shd w:val="clear" w:color="auto" w:fill="auto"/>
            <w:noWrap/>
            <w:vAlign w:val="center"/>
          </w:tcPr>
          <w:p w14:paraId="231385BD"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rozvoj služeb</w:t>
            </w:r>
          </w:p>
        </w:tc>
        <w:tc>
          <w:tcPr>
            <w:tcW w:w="491" w:type="pct"/>
            <w:shd w:val="clear" w:color="auto" w:fill="auto"/>
            <w:noWrap/>
            <w:vAlign w:val="center"/>
          </w:tcPr>
          <w:p w14:paraId="3EFE739C"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77A8377D" w14:textId="77777777" w:rsidTr="000931EA">
        <w:trPr>
          <w:trHeight w:val="284"/>
        </w:trPr>
        <w:tc>
          <w:tcPr>
            <w:tcW w:w="4509" w:type="pct"/>
            <w:shd w:val="clear" w:color="auto" w:fill="auto"/>
            <w:noWrap/>
            <w:vAlign w:val="center"/>
          </w:tcPr>
          <w:p w14:paraId="747DFCCE"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další rozvoj průmyslové zóny</w:t>
            </w:r>
          </w:p>
        </w:tc>
        <w:tc>
          <w:tcPr>
            <w:tcW w:w="491" w:type="pct"/>
            <w:shd w:val="clear" w:color="auto" w:fill="auto"/>
            <w:noWrap/>
            <w:vAlign w:val="center"/>
          </w:tcPr>
          <w:p w14:paraId="20585456"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197B8ECD" w14:textId="77777777" w:rsidTr="000931EA">
        <w:trPr>
          <w:trHeight w:val="284"/>
        </w:trPr>
        <w:tc>
          <w:tcPr>
            <w:tcW w:w="4509" w:type="pct"/>
            <w:shd w:val="clear" w:color="auto" w:fill="auto"/>
            <w:noWrap/>
            <w:vAlign w:val="center"/>
          </w:tcPr>
          <w:p w14:paraId="0B65A4DC"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zlepšení životního prostředí</w:t>
            </w:r>
          </w:p>
        </w:tc>
        <w:tc>
          <w:tcPr>
            <w:tcW w:w="491" w:type="pct"/>
            <w:shd w:val="clear" w:color="auto" w:fill="auto"/>
            <w:noWrap/>
            <w:vAlign w:val="center"/>
          </w:tcPr>
          <w:p w14:paraId="55723582" w14:textId="77777777" w:rsidR="006E1FCB" w:rsidRPr="00F51B06" w:rsidRDefault="006E1FCB" w:rsidP="000931EA">
            <w:pPr>
              <w:jc w:val="center"/>
              <w:rPr>
                <w:rFonts w:cstheme="minorHAnsi"/>
                <w:bCs/>
              </w:rPr>
            </w:pPr>
            <w:r w:rsidRPr="00F51B06">
              <w:rPr>
                <w:rFonts w:cstheme="minorHAnsi"/>
                <w:bCs/>
              </w:rPr>
              <w:sym w:font="Wingdings" w:char="F0A1"/>
            </w:r>
          </w:p>
        </w:tc>
      </w:tr>
      <w:tr w:rsidR="006E1FCB" w:rsidRPr="00F51B06" w14:paraId="07490ECA" w14:textId="77777777" w:rsidTr="000931EA">
        <w:trPr>
          <w:trHeight w:val="284"/>
        </w:trPr>
        <w:tc>
          <w:tcPr>
            <w:tcW w:w="4509" w:type="pct"/>
            <w:shd w:val="clear" w:color="auto" w:fill="auto"/>
            <w:noWrap/>
            <w:vAlign w:val="center"/>
          </w:tcPr>
          <w:p w14:paraId="34220865" w14:textId="77777777" w:rsidR="006E1FCB" w:rsidRPr="00F51B06" w:rsidRDefault="006E1FCB" w:rsidP="00A55F7D">
            <w:pPr>
              <w:numPr>
                <w:ilvl w:val="0"/>
                <w:numId w:val="76"/>
              </w:numPr>
              <w:spacing w:before="0"/>
              <w:ind w:left="426" w:hanging="426"/>
              <w:jc w:val="left"/>
              <w:rPr>
                <w:rFonts w:cstheme="minorHAnsi"/>
              </w:rPr>
            </w:pPr>
            <w:r w:rsidRPr="00F51B06">
              <w:rPr>
                <w:rFonts w:cstheme="minorHAnsi"/>
              </w:rPr>
              <w:t>jiné, uveďte:</w:t>
            </w:r>
          </w:p>
          <w:p w14:paraId="18A8CDD4" w14:textId="77777777" w:rsidR="006E1FCB" w:rsidRPr="00F51B06" w:rsidRDefault="006E1FCB" w:rsidP="000931EA">
            <w:pPr>
              <w:rPr>
                <w:rFonts w:cstheme="minorHAnsi"/>
              </w:rPr>
            </w:pPr>
          </w:p>
        </w:tc>
        <w:tc>
          <w:tcPr>
            <w:tcW w:w="491" w:type="pct"/>
            <w:shd w:val="clear" w:color="auto" w:fill="auto"/>
            <w:noWrap/>
            <w:vAlign w:val="center"/>
          </w:tcPr>
          <w:p w14:paraId="1EED0E44" w14:textId="77777777" w:rsidR="006E1FCB" w:rsidRPr="00F51B06" w:rsidRDefault="006E1FCB" w:rsidP="000931EA">
            <w:pPr>
              <w:jc w:val="center"/>
              <w:rPr>
                <w:rFonts w:cstheme="minorHAnsi"/>
                <w:bCs/>
              </w:rPr>
            </w:pPr>
            <w:r w:rsidRPr="00F51B06">
              <w:rPr>
                <w:rFonts w:cstheme="minorHAnsi"/>
                <w:bCs/>
              </w:rPr>
              <w:sym w:font="Wingdings" w:char="F0A1"/>
            </w:r>
          </w:p>
        </w:tc>
      </w:tr>
    </w:tbl>
    <w:p w14:paraId="18C904D2" w14:textId="77777777" w:rsidR="006E1FCB" w:rsidRPr="0005497E" w:rsidRDefault="006E1FCB" w:rsidP="00A55F7D">
      <w:pPr>
        <w:pStyle w:val="Odstavecseseznamem"/>
        <w:numPr>
          <w:ilvl w:val="0"/>
          <w:numId w:val="77"/>
        </w:numPr>
        <w:shd w:val="clear" w:color="auto" w:fill="E7E6E6" w:themeFill="background2"/>
        <w:ind w:left="284"/>
      </w:pPr>
      <w:r w:rsidRPr="0005497E">
        <w:t>Napadají Vás opatření, která byste městu Zlín doporučil/a k tomu, aby se úspěšně rozvíjelo, např. po vzoru jiných měst u nás i v zahraničí?</w:t>
      </w:r>
    </w:p>
    <w:p w14:paraId="72CAB0EC" w14:textId="77777777" w:rsidR="006E1FCB" w:rsidRPr="00A05395" w:rsidRDefault="006E1FCB" w:rsidP="006E1FCB">
      <w:pPr>
        <w:spacing w:line="360" w:lineRule="auto"/>
        <w:rPr>
          <w:rFonts w:cstheme="minorHAnsi"/>
        </w:rPr>
      </w:pPr>
      <w:r w:rsidRPr="00A05395">
        <w:rPr>
          <w:rFonts w:cstheme="minorHAnsi"/>
        </w:rPr>
        <w:t>………………………………………………………………………………………………………………………………………………………………………………………………………………………………………………………………………………………………………………………………………………………………………………………………………………………………………………………………………………………</w:t>
      </w:r>
    </w:p>
    <w:p w14:paraId="64F23642" w14:textId="77777777" w:rsidR="006E1FCB" w:rsidRPr="007434D4" w:rsidRDefault="006E1FCB" w:rsidP="006E1FCB"/>
    <w:p w14:paraId="3B186ACD" w14:textId="77777777" w:rsidR="006E1FCB" w:rsidRPr="0005497E" w:rsidRDefault="006E1FCB" w:rsidP="00A55F7D">
      <w:pPr>
        <w:pStyle w:val="Odstavecseseznamem"/>
        <w:numPr>
          <w:ilvl w:val="0"/>
          <w:numId w:val="77"/>
        </w:numPr>
        <w:shd w:val="clear" w:color="auto" w:fill="E7E6E6" w:themeFill="background2"/>
        <w:ind w:left="284"/>
      </w:pPr>
      <w:r w:rsidRPr="0005497E">
        <w:t>Co byste ještě chtěli sdělit?</w:t>
      </w:r>
    </w:p>
    <w:p w14:paraId="32C618BC" w14:textId="77777777" w:rsidR="006E1FCB" w:rsidRPr="00A05395" w:rsidRDefault="006E1FCB" w:rsidP="006E1FCB">
      <w:pPr>
        <w:spacing w:line="360" w:lineRule="auto"/>
        <w:rPr>
          <w:rFonts w:cstheme="minorHAnsi"/>
        </w:rPr>
      </w:pPr>
      <w:r w:rsidRPr="00A05395">
        <w:rPr>
          <w:rFonts w:cstheme="minorHAnsi"/>
        </w:rPr>
        <w:t>……………………………………………………………………………………………………………………………………………………………………………………………………………………………………………………………………………………………………………………………………………………………………………………………………………………………………………………………………………………………………………………………………………………………………………………………………………………………………………………</w:t>
      </w:r>
    </w:p>
    <w:p w14:paraId="74AFAB1A" w14:textId="77777777" w:rsidR="006E1FCB" w:rsidRPr="00F51B06" w:rsidRDefault="006E1FCB" w:rsidP="006E1FCB">
      <w:pPr>
        <w:pStyle w:val="Zkladn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rPr>
          <w:rFonts w:asciiTheme="minorHAnsi" w:hAnsiTheme="minorHAnsi" w:cstheme="minorHAnsi"/>
          <w:b/>
          <w:sz w:val="22"/>
          <w:szCs w:val="22"/>
        </w:rPr>
      </w:pPr>
    </w:p>
    <w:p w14:paraId="2111FEDB" w14:textId="618B3DC0" w:rsidR="00737B4F" w:rsidRDefault="00737B4F">
      <w:pPr>
        <w:spacing w:before="0" w:after="160" w:line="259" w:lineRule="auto"/>
        <w:jc w:val="left"/>
      </w:pPr>
      <w:r>
        <w:br w:type="page"/>
      </w:r>
    </w:p>
    <w:p w14:paraId="7EE613CC" w14:textId="77777777" w:rsidR="009D068D" w:rsidRDefault="00BF26AA" w:rsidP="009A2449">
      <w:pPr>
        <w:pStyle w:val="Nadpis2"/>
      </w:pPr>
      <w:bookmarkStart w:id="884" w:name="_Toc77074644"/>
      <w:r>
        <w:t>Průzkum podni</w:t>
      </w:r>
      <w:r w:rsidRPr="009A2449">
        <w:rPr>
          <w:rStyle w:val="Nadpis2Char"/>
        </w:rPr>
        <w:t>k</w:t>
      </w:r>
      <w:r>
        <w:t>atelského prostředí</w:t>
      </w:r>
      <w:bookmarkEnd w:id="884"/>
      <w:r>
        <w:t xml:space="preserve"> </w:t>
      </w:r>
    </w:p>
    <w:p w14:paraId="2D9B79F7" w14:textId="09D70350" w:rsidR="006B5B80" w:rsidRPr="001A3416" w:rsidRDefault="006B5B80" w:rsidP="006B5B80">
      <w:pPr>
        <w:rPr>
          <w:rFonts w:cstheme="minorHAnsi"/>
        </w:rPr>
      </w:pPr>
      <w:r w:rsidRPr="001A3416">
        <w:rPr>
          <w:rFonts w:cstheme="minorHAnsi"/>
        </w:rPr>
        <w:t>Průzkum byl realizován na základě potřeb zjištění subjektivního pocitu vnímání podnikatelského prostředí ve městě Zlíně. Cílem průzkumu bylo získat jiným způsobem obtížně získatelná data o</w:t>
      </w:r>
      <w:r w:rsidR="0060513D">
        <w:rPr>
          <w:rFonts w:cstheme="minorHAnsi"/>
        </w:rPr>
        <w:t> </w:t>
      </w:r>
      <w:r w:rsidRPr="001A3416">
        <w:rPr>
          <w:rFonts w:cstheme="minorHAnsi"/>
        </w:rPr>
        <w:t xml:space="preserve">podnicích (ohledně nemovitostí, exportní orientace), poznat názory subjektů o podnikatelském klimatu ve městě, poznat problémy a plány rozvoje podnikatelských subjektů, které investují a vytvářejí pracovní příležitosti pro místní obyvatele a získat podněty pro přípravu Strategie rozvoje statutárního města Zlína do roku 2030 – Zlín 2030. </w:t>
      </w:r>
      <w:r>
        <w:rPr>
          <w:rFonts w:cstheme="minorHAnsi"/>
        </w:rPr>
        <w:t>Dotazník byl strukturován do dvou hlavních částí, kdy respondenti hodnotili podnikatelské</w:t>
      </w:r>
      <w:r w:rsidRPr="003431C8">
        <w:rPr>
          <w:rFonts w:cstheme="minorHAnsi"/>
        </w:rPr>
        <w:t xml:space="preserve"> prostředí ve městě</w:t>
      </w:r>
      <w:r>
        <w:rPr>
          <w:rFonts w:cstheme="minorHAnsi"/>
        </w:rPr>
        <w:t xml:space="preserve"> a v druhé části se věnovali hodnocení </w:t>
      </w:r>
      <w:r w:rsidRPr="003431C8">
        <w:rPr>
          <w:rFonts w:cstheme="minorHAnsi"/>
        </w:rPr>
        <w:t>vlastního podnikání</w:t>
      </w:r>
      <w:r>
        <w:rPr>
          <w:rFonts w:cstheme="minorHAnsi"/>
        </w:rPr>
        <w:t xml:space="preserve">. </w:t>
      </w:r>
      <w:r w:rsidRPr="001A3416">
        <w:rPr>
          <w:rFonts w:cstheme="minorHAnsi"/>
        </w:rPr>
        <w:t>Otázky v dotazníku se týkaly současné ekonomické situace podniků, bariér a příležitostí rozvoje podnikání ve městě, informací o nemovitostech a investicích, názorů na služby veřejné správy a</w:t>
      </w:r>
      <w:r w:rsidR="0060513D">
        <w:rPr>
          <w:rFonts w:cstheme="minorHAnsi"/>
        </w:rPr>
        <w:t> </w:t>
      </w:r>
      <w:r w:rsidRPr="001A3416">
        <w:rPr>
          <w:rFonts w:cstheme="minorHAnsi"/>
        </w:rPr>
        <w:t xml:space="preserve">celkového dojmu z města Zlína jako místa pro podnikání. </w:t>
      </w:r>
    </w:p>
    <w:p w14:paraId="40A2BC04" w14:textId="77777777" w:rsidR="006B5B80" w:rsidRPr="001A3416" w:rsidRDefault="006B5B80" w:rsidP="006B5B80">
      <w:pPr>
        <w:rPr>
          <w:rFonts w:cstheme="minorHAnsi"/>
        </w:rPr>
      </w:pPr>
      <w:r w:rsidRPr="001A3416">
        <w:rPr>
          <w:rFonts w:cstheme="minorHAnsi"/>
        </w:rPr>
        <w:t xml:space="preserve">Dotazníkové šetření a příprava dotazníku byla provedena společností PROCES – Centrum pro rozvoj obcí a regionů, s.r.o. Finální podoba dotazníku byla schválena ze strany města. Realizace průzkumu byla nastavena takovým způsobem, aby zpracovatel získal od podnikatelů potřebné informace k tvorbě strategického dokumentu. </w:t>
      </w:r>
      <w:r w:rsidRPr="005B032A">
        <w:rPr>
          <w:rFonts w:cstheme="minorHAnsi"/>
        </w:rPr>
        <w:t xml:space="preserve">Tazatelé, kteří </w:t>
      </w:r>
      <w:r>
        <w:rPr>
          <w:rFonts w:cstheme="minorHAnsi"/>
        </w:rPr>
        <w:t>průzkum prováděli</w:t>
      </w:r>
      <w:r w:rsidRPr="005B032A">
        <w:rPr>
          <w:rFonts w:cstheme="minorHAnsi"/>
        </w:rPr>
        <w:t>, dodržují etický kodex výzkumníka mezinárodní asociace ESOMAR a respektují zásady ochrany dat Úřadu pro ochranu osobních údajů.</w:t>
      </w:r>
    </w:p>
    <w:p w14:paraId="3E13C3A3" w14:textId="77777777" w:rsidR="006B5B80" w:rsidRPr="005B032A" w:rsidRDefault="006B5B80" w:rsidP="006B5B80">
      <w:pPr>
        <w:rPr>
          <w:b/>
        </w:rPr>
      </w:pPr>
      <w:r w:rsidRPr="005B032A">
        <w:rPr>
          <w:b/>
        </w:rPr>
        <w:t xml:space="preserve">Způsob vyhodnocení </w:t>
      </w:r>
    </w:p>
    <w:p w14:paraId="17452A6B" w14:textId="18A6BD6D" w:rsidR="006B5B80" w:rsidRPr="00FB3461" w:rsidRDefault="006B5B80" w:rsidP="006B5B80">
      <w:pPr>
        <w:rPr>
          <w:rFonts w:cs="Segoe UI"/>
        </w:rPr>
      </w:pPr>
      <w:r w:rsidRPr="005B032A">
        <w:t>Výsledky za jednotlivé</w:t>
      </w:r>
      <w:r>
        <w:rPr>
          <w:rFonts w:cs="Segoe UI"/>
        </w:rPr>
        <w:t xml:space="preserve"> typy šetření jsou shrnuty v jednotlivých kapitolách. Textový popis je zaměřen na </w:t>
      </w:r>
      <w:r w:rsidRPr="005B032A">
        <w:rPr>
          <w:rFonts w:cs="Segoe UI"/>
        </w:rPr>
        <w:t>identifikaci nejdůležitějších (pozitivních a  negativních) informací a  jevů, které by</w:t>
      </w:r>
      <w:r>
        <w:rPr>
          <w:rFonts w:cs="Segoe UI"/>
        </w:rPr>
        <w:t xml:space="preserve">ly v rámci průzkumu zjištěny.   </w:t>
      </w:r>
      <w:r w:rsidRPr="00300F7B">
        <w:rPr>
          <w:rFonts w:cs="Segoe UI"/>
        </w:rPr>
        <w:t xml:space="preserve">Za účelem zpracování nestrukturovaných dat/textů </w:t>
      </w:r>
      <w:r>
        <w:rPr>
          <w:rFonts w:cs="Segoe UI"/>
        </w:rPr>
        <w:t>bylo využito principu</w:t>
      </w:r>
      <w:r w:rsidRPr="00300F7B">
        <w:rPr>
          <w:rFonts w:cs="Segoe UI"/>
        </w:rPr>
        <w:t xml:space="preserve"> </w:t>
      </w:r>
      <w:r w:rsidRPr="00A6638B">
        <w:rPr>
          <w:rFonts w:cs="Segoe UI"/>
        </w:rPr>
        <w:t>analýz</w:t>
      </w:r>
      <w:r>
        <w:rPr>
          <w:rFonts w:cs="Segoe UI"/>
        </w:rPr>
        <w:t>y</w:t>
      </w:r>
      <w:r w:rsidRPr="00A6638B">
        <w:rPr>
          <w:rFonts w:cs="Segoe UI"/>
        </w:rPr>
        <w:t xml:space="preserve"> zakotvené teorie</w:t>
      </w:r>
      <w:r>
        <w:rPr>
          <w:rFonts w:cs="Segoe UI"/>
        </w:rPr>
        <w:t>, v  rámci které jsou</w:t>
      </w:r>
      <w:r w:rsidRPr="00300F7B">
        <w:rPr>
          <w:rFonts w:cs="Segoe UI"/>
        </w:rPr>
        <w:t xml:space="preserve"> zachycen</w:t>
      </w:r>
      <w:r>
        <w:rPr>
          <w:rFonts w:cs="Segoe UI"/>
        </w:rPr>
        <w:t>y</w:t>
      </w:r>
      <w:r w:rsidRPr="00300F7B">
        <w:rPr>
          <w:rFonts w:cs="Segoe UI"/>
        </w:rPr>
        <w:t xml:space="preserve"> jev</w:t>
      </w:r>
      <w:r>
        <w:rPr>
          <w:rFonts w:cs="Segoe UI"/>
        </w:rPr>
        <w:t>y</w:t>
      </w:r>
      <w:r w:rsidRPr="00300F7B">
        <w:rPr>
          <w:rFonts w:cs="Segoe UI"/>
        </w:rPr>
        <w:t xml:space="preserve"> a</w:t>
      </w:r>
      <w:r>
        <w:rPr>
          <w:rFonts w:cs="Segoe UI"/>
        </w:rPr>
        <w:t> </w:t>
      </w:r>
      <w:r w:rsidRPr="00300F7B">
        <w:rPr>
          <w:rFonts w:cs="Segoe UI"/>
        </w:rPr>
        <w:t xml:space="preserve"> </w:t>
      </w:r>
      <w:r>
        <w:rPr>
          <w:rFonts w:cs="Segoe UI"/>
        </w:rPr>
        <w:t>jejich souvislosti</w:t>
      </w:r>
      <w:r w:rsidRPr="00300F7B">
        <w:rPr>
          <w:rFonts w:cs="Segoe UI"/>
        </w:rPr>
        <w:t xml:space="preserve">. Analýza dat </w:t>
      </w:r>
      <w:r>
        <w:rPr>
          <w:rFonts w:cs="Segoe UI"/>
        </w:rPr>
        <w:t>je</w:t>
      </w:r>
      <w:r w:rsidRPr="00300F7B">
        <w:rPr>
          <w:rFonts w:cs="Segoe UI"/>
        </w:rPr>
        <w:t xml:space="preserve"> postavena na hledání pojmů, které se zkoumaným jevem souvisí</w:t>
      </w:r>
      <w:r w:rsidR="0060513D">
        <w:rPr>
          <w:rFonts w:cs="Segoe UI"/>
        </w:rPr>
        <w:t>,</w:t>
      </w:r>
      <w:r w:rsidRPr="00300F7B">
        <w:rPr>
          <w:rFonts w:cs="Segoe UI"/>
        </w:rPr>
        <w:t xml:space="preserve"> a</w:t>
      </w:r>
      <w:r>
        <w:rPr>
          <w:rFonts w:cs="Segoe UI"/>
        </w:rPr>
        <w:t> </w:t>
      </w:r>
      <w:r w:rsidRPr="00300F7B">
        <w:rPr>
          <w:rFonts w:cs="Segoe UI"/>
        </w:rPr>
        <w:t xml:space="preserve"> dále byl</w:t>
      </w:r>
      <w:r>
        <w:rPr>
          <w:rFonts w:cs="Segoe UI"/>
        </w:rPr>
        <w:t xml:space="preserve">y odhalovány vztahy mezi nimi. </w:t>
      </w:r>
      <w:r w:rsidRPr="009F79A4">
        <w:t xml:space="preserve">Vyhodnocení získaných dat </w:t>
      </w:r>
      <w:r>
        <w:t>je</w:t>
      </w:r>
      <w:r w:rsidRPr="009F79A4">
        <w:t xml:space="preserve"> zpracován</w:t>
      </w:r>
      <w:r>
        <w:t>o</w:t>
      </w:r>
      <w:r w:rsidRPr="009F79A4">
        <w:t xml:space="preserve"> do několika způsobů vizualizace pomocí moderních metod s možností jejich vzájemného propojení (např. tabulky, grafy), které zachycují nejrůznější oblasti zájmů, cílů, priorit</w:t>
      </w:r>
      <w:r>
        <w:t>.</w:t>
      </w:r>
    </w:p>
    <w:p w14:paraId="53791B6B" w14:textId="07FDDB51" w:rsidR="006B5B80" w:rsidRDefault="006B5B80" w:rsidP="006B5B80">
      <w:pPr>
        <w:spacing w:after="120"/>
      </w:pPr>
      <w:r w:rsidRPr="009F79A4">
        <w:t>Veškerá t</w:t>
      </w:r>
      <w:r w:rsidR="0060513D">
        <w:t>a</w:t>
      </w:r>
      <w:r w:rsidRPr="009F79A4">
        <w:t>to data b</w:t>
      </w:r>
      <w:r w:rsidR="0060513D">
        <w:t>yla</w:t>
      </w:r>
      <w:r w:rsidRPr="009F79A4">
        <w:t xml:space="preserve"> zpracována pomocí </w:t>
      </w:r>
      <w:r w:rsidRPr="009F79A4">
        <w:rPr>
          <w:b/>
        </w:rPr>
        <w:t>statistického software IBM SPSS 20</w:t>
      </w:r>
      <w:r w:rsidRPr="009F79A4">
        <w:t>, který disponuje pokročilými matematicko-statistickými funkcemi včetně vhodných metod pro stanovení validity a</w:t>
      </w:r>
      <w:r w:rsidR="0060513D">
        <w:t> </w:t>
      </w:r>
      <w:r w:rsidRPr="009F79A4">
        <w:t xml:space="preserve">reliability jednotlivých průzkumů. </w:t>
      </w:r>
    </w:p>
    <w:p w14:paraId="681DBBD3" w14:textId="77777777" w:rsidR="006B5B80" w:rsidRDefault="006B5B80" w:rsidP="006B5B80">
      <w:pPr>
        <w:spacing w:after="120"/>
      </w:pPr>
      <w:r>
        <w:t>Vybrané výstupy průzkumu jsou ve vhodných případech (totožnost otázky, srovnatelný vzorek respondentů) porovnávány se zjištěními v rámci Průzkumu podnikatelského prostředí, provedeného v roce 2006 společností Berman Group s.r.o.</w:t>
      </w:r>
    </w:p>
    <w:p w14:paraId="57BB7354" w14:textId="77777777" w:rsidR="006B5B80" w:rsidRPr="005B032A" w:rsidRDefault="006B5B80" w:rsidP="006B5B80">
      <w:pPr>
        <w:rPr>
          <w:b/>
        </w:rPr>
      </w:pPr>
      <w:r w:rsidRPr="005B032A">
        <w:rPr>
          <w:b/>
        </w:rPr>
        <w:t>Průběh průzkumu</w:t>
      </w:r>
    </w:p>
    <w:p w14:paraId="4D444A03" w14:textId="245C5EA8" w:rsidR="006B5B80" w:rsidRPr="001A3416" w:rsidRDefault="006B5B80" w:rsidP="006B5B80">
      <w:pPr>
        <w:rPr>
          <w:rFonts w:cstheme="minorHAnsi"/>
        </w:rPr>
      </w:pPr>
      <w:r w:rsidRPr="001A3416">
        <w:rPr>
          <w:rFonts w:cstheme="minorHAnsi"/>
        </w:rPr>
        <w:t xml:space="preserve">Průzkum byl proveden na reprezentativním výběrovém souboru podnikatelských subjektů z řad nejvýznamnějších zaměstnavatelů, který byl doplněn skupinou malých firem s růstovým potenciálem. </w:t>
      </w:r>
      <w:r>
        <w:rPr>
          <w:rFonts w:cstheme="minorHAnsi"/>
        </w:rPr>
        <w:t xml:space="preserve">Nejvýznamnější firmy tvoří </w:t>
      </w:r>
      <w:r>
        <w:t>vytipované firmy ze zástupců největších zaměstnavatelů ve městě Zlíně a</w:t>
      </w:r>
      <w:r w:rsidR="0060513D">
        <w:t> </w:t>
      </w:r>
      <w:r>
        <w:t>v rámci této zprávy jsou označeny jako „střední a velké firmy“ (firmy nad 50 zaměstnanců). U</w:t>
      </w:r>
      <w:r w:rsidR="0060513D">
        <w:t> </w:t>
      </w:r>
      <w:r>
        <w:t xml:space="preserve">vybraných malých firem s růstovým potenciálem byl sledován počet zaměstnanců (firmy do 50 zaměstnanců) a vývoj obratu za poslední 5 let. Zdrojem dat byl Úřad práce (nejvýznamnější zaměstnavatelé v kraji) a Registr ekonomických subjektů z Českého statistického úřadu. </w:t>
      </w:r>
      <w:r w:rsidRPr="001A3416">
        <w:rPr>
          <w:rFonts w:cstheme="minorHAnsi"/>
        </w:rPr>
        <w:t>Podnikatelské subjekty byly v první fázi osloveny e-mailem a následně telefonicky pro vyplnění dotazníku. O</w:t>
      </w:r>
      <w:r w:rsidR="0060513D">
        <w:rPr>
          <w:rFonts w:cstheme="minorHAnsi"/>
        </w:rPr>
        <w:t> </w:t>
      </w:r>
      <w:r w:rsidRPr="001A3416">
        <w:rPr>
          <w:rFonts w:cstheme="minorHAnsi"/>
        </w:rPr>
        <w:t>průzkumu podnikatelského prostředí byla veřejnost i podnikatelské subjekty rovněž informováni prostřednictvím tiskové zprávy, uvedené na webových stránkách města Zlína.</w:t>
      </w:r>
    </w:p>
    <w:p w14:paraId="4FD82F87" w14:textId="77777777" w:rsidR="006B5B80" w:rsidRPr="001A3416" w:rsidRDefault="006B5B80" w:rsidP="006B5B80">
      <w:pPr>
        <w:rPr>
          <w:rFonts w:cstheme="minorHAnsi"/>
        </w:rPr>
      </w:pPr>
      <w:r w:rsidRPr="001A3416">
        <w:rPr>
          <w:rFonts w:cstheme="minorHAnsi"/>
        </w:rPr>
        <w:t xml:space="preserve">Datum sběru: </w:t>
      </w:r>
      <w:r w:rsidRPr="001A3416">
        <w:rPr>
          <w:rFonts w:cstheme="minorHAnsi"/>
        </w:rPr>
        <w:tab/>
      </w:r>
      <w:r w:rsidRPr="001A3416">
        <w:rPr>
          <w:rFonts w:cstheme="minorHAnsi"/>
        </w:rPr>
        <w:tab/>
        <w:t>03. 07. - 17. 08. 2020</w:t>
      </w:r>
    </w:p>
    <w:p w14:paraId="33A43119" w14:textId="77777777" w:rsidR="006B5B80" w:rsidRPr="001A3416" w:rsidRDefault="006B5B80" w:rsidP="006B5B80">
      <w:pPr>
        <w:rPr>
          <w:rFonts w:cstheme="minorHAnsi"/>
        </w:rPr>
      </w:pPr>
      <w:r w:rsidRPr="001A3416">
        <w:rPr>
          <w:rFonts w:cstheme="minorHAnsi"/>
        </w:rPr>
        <w:t>Počet respondentů:</w:t>
      </w:r>
      <w:r w:rsidRPr="001A3416">
        <w:rPr>
          <w:rFonts w:cstheme="minorHAnsi"/>
        </w:rPr>
        <w:tab/>
        <w:t>45</w:t>
      </w:r>
    </w:p>
    <w:p w14:paraId="3CFC6ADE" w14:textId="7A785395" w:rsidR="006B5B80" w:rsidRPr="001A3416" w:rsidRDefault="006B5B80" w:rsidP="006B5B80">
      <w:pPr>
        <w:rPr>
          <w:rFonts w:cstheme="minorHAnsi"/>
        </w:rPr>
      </w:pPr>
      <w:r w:rsidRPr="001A3416">
        <w:rPr>
          <w:rFonts w:cstheme="minorHAnsi"/>
        </w:rPr>
        <w:t>Dotazníky byly zaslány 100 vybraným subjektům. Celkem 16 subjektů se průzkumu odmítlo zúčastnit a</w:t>
      </w:r>
      <w:r w:rsidR="0060513D">
        <w:rPr>
          <w:rFonts w:cstheme="minorHAnsi"/>
        </w:rPr>
        <w:t> </w:t>
      </w:r>
      <w:r w:rsidRPr="001A3416">
        <w:rPr>
          <w:rFonts w:cstheme="minorHAnsi"/>
        </w:rPr>
        <w:t xml:space="preserve">39 subjektů se nevyjádřilo vůbec (nebyli ochotni vyplnit dotazník telefonicky a ani neodpověděli </w:t>
      </w:r>
      <w:r w:rsidRPr="001A3416">
        <w:t>na žádost prostřednictvím e-mailu</w:t>
      </w:r>
      <w:r w:rsidRPr="001A3416">
        <w:rPr>
          <w:rFonts w:cstheme="minorHAnsi"/>
        </w:rPr>
        <w:t>).</w:t>
      </w:r>
    </w:p>
    <w:p w14:paraId="3A9C97DF" w14:textId="2F68C044" w:rsidR="006B5B80" w:rsidRPr="001A3416" w:rsidRDefault="006B5B80" w:rsidP="006B5B80">
      <w:pPr>
        <w:pStyle w:val="Titulek"/>
        <w:rPr>
          <w:rFonts w:cstheme="minorHAnsi"/>
          <w:sz w:val="22"/>
          <w:szCs w:val="22"/>
        </w:rPr>
      </w:pPr>
      <w:bookmarkStart w:id="885" w:name="_Toc49152890"/>
      <w:bookmarkStart w:id="886" w:name="_Toc54702653"/>
      <w:bookmarkStart w:id="887" w:name="_Toc56179460"/>
      <w:bookmarkStart w:id="888" w:name="_Toc57731818"/>
      <w:bookmarkStart w:id="889" w:name="_Toc77074802"/>
      <w:r w:rsidRPr="001A3416">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39</w:t>
      </w:r>
      <w:r w:rsidR="00081B47">
        <w:rPr>
          <w:noProof/>
        </w:rPr>
        <w:fldChar w:fldCharType="end"/>
      </w:r>
      <w:r w:rsidR="00E220FB">
        <w:rPr>
          <w:noProof/>
        </w:rPr>
        <w:t>:</w:t>
      </w:r>
      <w:r w:rsidRPr="001A3416">
        <w:t xml:space="preserve"> Přehled oslovení podnikatelských subjektů a jejich reakcí</w:t>
      </w:r>
      <w:bookmarkEnd w:id="885"/>
      <w:bookmarkEnd w:id="886"/>
      <w:bookmarkEnd w:id="887"/>
      <w:bookmarkEnd w:id="888"/>
      <w:bookmarkEnd w:id="889"/>
    </w:p>
    <w:tbl>
      <w:tblPr>
        <w:tblW w:w="6946" w:type="dxa"/>
        <w:tblInd w:w="-5" w:type="dxa"/>
        <w:tblCellMar>
          <w:left w:w="70" w:type="dxa"/>
          <w:right w:w="70" w:type="dxa"/>
        </w:tblCellMar>
        <w:tblLook w:val="04A0" w:firstRow="1" w:lastRow="0" w:firstColumn="1" w:lastColumn="0" w:noHBand="0" w:noVBand="1"/>
      </w:tblPr>
      <w:tblGrid>
        <w:gridCol w:w="4395"/>
        <w:gridCol w:w="2551"/>
      </w:tblGrid>
      <w:tr w:rsidR="006B5B80" w:rsidRPr="00811829" w14:paraId="005CFEBA" w14:textId="77777777" w:rsidTr="000C49A5">
        <w:trPr>
          <w:trHeight w:val="567"/>
        </w:trPr>
        <w:tc>
          <w:tcPr>
            <w:tcW w:w="4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7B1BF5" w14:textId="77777777" w:rsidR="006B5B80" w:rsidRPr="00811829" w:rsidRDefault="006B5B80" w:rsidP="000C49A5">
            <w:pPr>
              <w:pStyle w:val="Tab"/>
              <w:rPr>
                <w:rFonts w:asciiTheme="minorHAnsi" w:hAnsiTheme="minorHAnsi" w:cstheme="minorHAnsi"/>
                <w:b/>
                <w:szCs w:val="22"/>
              </w:rPr>
            </w:pPr>
            <w:r w:rsidRPr="00811829">
              <w:rPr>
                <w:rFonts w:asciiTheme="minorHAnsi" w:hAnsiTheme="minorHAnsi" w:cstheme="minorHAnsi"/>
                <w:b/>
                <w:szCs w:val="22"/>
              </w:rPr>
              <w:t>Dotazníkové šetření</w:t>
            </w:r>
          </w:p>
        </w:tc>
        <w:tc>
          <w:tcPr>
            <w:tcW w:w="2551"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1EC4698" w14:textId="77777777" w:rsidR="006B5B80" w:rsidRPr="00811829" w:rsidRDefault="006B5B80" w:rsidP="000C49A5">
            <w:pPr>
              <w:pStyle w:val="Tab"/>
              <w:rPr>
                <w:rFonts w:asciiTheme="minorHAnsi" w:hAnsiTheme="minorHAnsi" w:cstheme="minorHAnsi"/>
                <w:b/>
                <w:szCs w:val="22"/>
              </w:rPr>
            </w:pPr>
            <w:r w:rsidRPr="00811829">
              <w:rPr>
                <w:rFonts w:asciiTheme="minorHAnsi" w:hAnsiTheme="minorHAnsi" w:cstheme="minorHAnsi"/>
                <w:b/>
                <w:szCs w:val="22"/>
              </w:rPr>
              <w:t xml:space="preserve">Počet </w:t>
            </w:r>
          </w:p>
        </w:tc>
      </w:tr>
      <w:tr w:rsidR="006B5B80" w:rsidRPr="00811829" w14:paraId="5A230111" w14:textId="77777777" w:rsidTr="000C49A5">
        <w:trPr>
          <w:trHeight w:val="20"/>
        </w:trPr>
        <w:tc>
          <w:tcPr>
            <w:tcW w:w="4395" w:type="dxa"/>
            <w:tcBorders>
              <w:top w:val="nil"/>
              <w:left w:val="single" w:sz="4" w:space="0" w:color="auto"/>
              <w:bottom w:val="single" w:sz="4" w:space="0" w:color="auto"/>
              <w:right w:val="single" w:sz="4" w:space="0" w:color="auto"/>
            </w:tcBorders>
            <w:shd w:val="clear" w:color="auto" w:fill="auto"/>
            <w:vAlign w:val="bottom"/>
          </w:tcPr>
          <w:p w14:paraId="0AA4E051" w14:textId="77777777" w:rsidR="006B5B80" w:rsidRPr="00811829" w:rsidRDefault="006B5B80" w:rsidP="000C49A5">
            <w:pPr>
              <w:pStyle w:val="Tab"/>
              <w:jc w:val="left"/>
              <w:rPr>
                <w:rFonts w:asciiTheme="minorHAnsi" w:hAnsiTheme="minorHAnsi" w:cstheme="minorHAnsi"/>
                <w:szCs w:val="22"/>
              </w:rPr>
            </w:pPr>
            <w:r w:rsidRPr="00811829">
              <w:rPr>
                <w:rFonts w:asciiTheme="minorHAnsi" w:hAnsiTheme="minorHAnsi" w:cstheme="minorHAnsi"/>
                <w:szCs w:val="22"/>
              </w:rPr>
              <w:t>Celkem osloveno</w:t>
            </w:r>
          </w:p>
        </w:tc>
        <w:tc>
          <w:tcPr>
            <w:tcW w:w="2551" w:type="dxa"/>
            <w:tcBorders>
              <w:top w:val="nil"/>
              <w:left w:val="nil"/>
              <w:bottom w:val="single" w:sz="4" w:space="0" w:color="auto"/>
              <w:right w:val="single" w:sz="4" w:space="0" w:color="auto"/>
            </w:tcBorders>
            <w:shd w:val="clear" w:color="auto" w:fill="auto"/>
            <w:noWrap/>
            <w:vAlign w:val="center"/>
          </w:tcPr>
          <w:p w14:paraId="723E467C" w14:textId="77777777" w:rsidR="006B5B80" w:rsidRPr="00811829" w:rsidRDefault="006B5B80" w:rsidP="000C49A5">
            <w:pPr>
              <w:pStyle w:val="Tab"/>
              <w:jc w:val="right"/>
              <w:rPr>
                <w:rFonts w:asciiTheme="minorHAnsi" w:hAnsiTheme="minorHAnsi" w:cstheme="minorHAnsi"/>
                <w:szCs w:val="22"/>
              </w:rPr>
            </w:pPr>
            <w:r w:rsidRPr="00811829">
              <w:rPr>
                <w:rFonts w:asciiTheme="minorHAnsi" w:hAnsiTheme="minorHAnsi" w:cstheme="minorHAnsi"/>
                <w:szCs w:val="22"/>
              </w:rPr>
              <w:t>100</w:t>
            </w:r>
          </w:p>
        </w:tc>
      </w:tr>
      <w:tr w:rsidR="006B5B80" w:rsidRPr="00811829" w14:paraId="244A1805" w14:textId="77777777" w:rsidTr="000C49A5">
        <w:trPr>
          <w:trHeight w:val="20"/>
        </w:trPr>
        <w:tc>
          <w:tcPr>
            <w:tcW w:w="4395" w:type="dxa"/>
            <w:tcBorders>
              <w:top w:val="nil"/>
              <w:left w:val="single" w:sz="4" w:space="0" w:color="auto"/>
              <w:bottom w:val="single" w:sz="4" w:space="0" w:color="auto"/>
              <w:right w:val="single" w:sz="4" w:space="0" w:color="auto"/>
            </w:tcBorders>
            <w:shd w:val="clear" w:color="auto" w:fill="auto"/>
            <w:vAlign w:val="bottom"/>
          </w:tcPr>
          <w:p w14:paraId="0BECC7D0" w14:textId="77777777" w:rsidR="006B5B80" w:rsidRPr="00811829" w:rsidRDefault="006B5B80" w:rsidP="000C49A5">
            <w:pPr>
              <w:pStyle w:val="Tab"/>
              <w:jc w:val="left"/>
              <w:rPr>
                <w:rFonts w:asciiTheme="minorHAnsi" w:hAnsiTheme="minorHAnsi" w:cstheme="minorHAnsi"/>
                <w:szCs w:val="22"/>
              </w:rPr>
            </w:pPr>
            <w:r w:rsidRPr="00811829">
              <w:rPr>
                <w:rFonts w:asciiTheme="minorHAnsi" w:hAnsiTheme="minorHAnsi" w:cstheme="minorHAnsi"/>
                <w:szCs w:val="22"/>
              </w:rPr>
              <w:t>Odmítli zúčastnit se průzkumu</w:t>
            </w:r>
          </w:p>
        </w:tc>
        <w:tc>
          <w:tcPr>
            <w:tcW w:w="2551" w:type="dxa"/>
            <w:tcBorders>
              <w:top w:val="nil"/>
              <w:left w:val="nil"/>
              <w:bottom w:val="single" w:sz="4" w:space="0" w:color="auto"/>
              <w:right w:val="single" w:sz="4" w:space="0" w:color="auto"/>
            </w:tcBorders>
            <w:shd w:val="clear" w:color="auto" w:fill="auto"/>
            <w:noWrap/>
            <w:vAlign w:val="center"/>
          </w:tcPr>
          <w:p w14:paraId="15BA39DA" w14:textId="77777777" w:rsidR="006B5B80" w:rsidRPr="00811829" w:rsidRDefault="006B5B80" w:rsidP="000C49A5">
            <w:pPr>
              <w:pStyle w:val="Tab"/>
              <w:jc w:val="right"/>
              <w:rPr>
                <w:rFonts w:asciiTheme="minorHAnsi" w:hAnsiTheme="minorHAnsi" w:cstheme="minorHAnsi"/>
                <w:szCs w:val="22"/>
              </w:rPr>
            </w:pPr>
            <w:r w:rsidRPr="00811829">
              <w:rPr>
                <w:rFonts w:asciiTheme="minorHAnsi" w:hAnsiTheme="minorHAnsi" w:cstheme="minorHAnsi"/>
                <w:szCs w:val="22"/>
              </w:rPr>
              <w:t>16</w:t>
            </w:r>
          </w:p>
        </w:tc>
      </w:tr>
      <w:tr w:rsidR="006B5B80" w:rsidRPr="00811829" w14:paraId="710C29B8" w14:textId="77777777" w:rsidTr="000C49A5">
        <w:trPr>
          <w:trHeight w:val="20"/>
        </w:trPr>
        <w:tc>
          <w:tcPr>
            <w:tcW w:w="4395" w:type="dxa"/>
            <w:tcBorders>
              <w:top w:val="nil"/>
              <w:left w:val="single" w:sz="4" w:space="0" w:color="auto"/>
              <w:bottom w:val="single" w:sz="4" w:space="0" w:color="auto"/>
              <w:right w:val="single" w:sz="4" w:space="0" w:color="auto"/>
            </w:tcBorders>
            <w:shd w:val="clear" w:color="auto" w:fill="auto"/>
            <w:vAlign w:val="bottom"/>
          </w:tcPr>
          <w:p w14:paraId="498837A8" w14:textId="77777777" w:rsidR="006B5B80" w:rsidRPr="00811829" w:rsidRDefault="006B5B80" w:rsidP="000C49A5">
            <w:pPr>
              <w:pStyle w:val="Tab"/>
              <w:jc w:val="left"/>
              <w:rPr>
                <w:rFonts w:asciiTheme="minorHAnsi" w:hAnsiTheme="minorHAnsi" w:cstheme="minorHAnsi"/>
                <w:szCs w:val="22"/>
              </w:rPr>
            </w:pPr>
            <w:r w:rsidRPr="00811829">
              <w:rPr>
                <w:rFonts w:asciiTheme="minorHAnsi" w:hAnsiTheme="minorHAnsi" w:cstheme="minorHAnsi"/>
                <w:szCs w:val="22"/>
              </w:rPr>
              <w:t>Bez reakce</w:t>
            </w:r>
          </w:p>
        </w:tc>
        <w:tc>
          <w:tcPr>
            <w:tcW w:w="2551" w:type="dxa"/>
            <w:tcBorders>
              <w:top w:val="nil"/>
              <w:left w:val="nil"/>
              <w:bottom w:val="single" w:sz="4" w:space="0" w:color="auto"/>
              <w:right w:val="single" w:sz="4" w:space="0" w:color="auto"/>
            </w:tcBorders>
            <w:shd w:val="clear" w:color="auto" w:fill="auto"/>
            <w:noWrap/>
            <w:vAlign w:val="center"/>
          </w:tcPr>
          <w:p w14:paraId="09CBF895" w14:textId="77777777" w:rsidR="006B5B80" w:rsidRPr="00811829" w:rsidRDefault="006B5B80" w:rsidP="000C49A5">
            <w:pPr>
              <w:pStyle w:val="Tab"/>
              <w:jc w:val="right"/>
              <w:rPr>
                <w:rFonts w:asciiTheme="minorHAnsi" w:hAnsiTheme="minorHAnsi" w:cstheme="minorHAnsi"/>
                <w:szCs w:val="22"/>
              </w:rPr>
            </w:pPr>
            <w:r w:rsidRPr="00811829">
              <w:rPr>
                <w:rFonts w:asciiTheme="minorHAnsi" w:hAnsiTheme="minorHAnsi" w:cstheme="minorHAnsi"/>
                <w:szCs w:val="22"/>
              </w:rPr>
              <w:t>39</w:t>
            </w:r>
          </w:p>
        </w:tc>
      </w:tr>
      <w:tr w:rsidR="006B5B80" w:rsidRPr="00811829" w14:paraId="121D1CF3" w14:textId="77777777" w:rsidTr="000C49A5">
        <w:trPr>
          <w:trHeight w:val="20"/>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7AA95D85" w14:textId="77777777" w:rsidR="006B5B80" w:rsidRPr="00811829" w:rsidRDefault="006B5B80" w:rsidP="000C49A5">
            <w:pPr>
              <w:pStyle w:val="Tab"/>
              <w:jc w:val="left"/>
              <w:rPr>
                <w:rFonts w:asciiTheme="minorHAnsi" w:hAnsiTheme="minorHAnsi" w:cstheme="minorHAnsi"/>
                <w:b/>
                <w:szCs w:val="22"/>
              </w:rPr>
            </w:pPr>
            <w:r w:rsidRPr="00811829">
              <w:rPr>
                <w:rFonts w:asciiTheme="minorHAnsi" w:hAnsiTheme="minorHAnsi" w:cstheme="minorHAnsi"/>
                <w:b/>
                <w:szCs w:val="22"/>
              </w:rPr>
              <w:t>Celkem vyplněno dotazníků</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4E75A3E3" w14:textId="77777777" w:rsidR="006B5B80" w:rsidRPr="00811829" w:rsidRDefault="006B5B80" w:rsidP="000C49A5">
            <w:pPr>
              <w:pStyle w:val="Tab"/>
              <w:jc w:val="right"/>
              <w:rPr>
                <w:rFonts w:asciiTheme="minorHAnsi" w:hAnsiTheme="minorHAnsi" w:cstheme="minorHAnsi"/>
                <w:b/>
                <w:szCs w:val="22"/>
              </w:rPr>
            </w:pPr>
            <w:r w:rsidRPr="00811829">
              <w:rPr>
                <w:rFonts w:asciiTheme="minorHAnsi" w:hAnsiTheme="minorHAnsi" w:cstheme="minorHAnsi"/>
                <w:b/>
                <w:szCs w:val="22"/>
              </w:rPr>
              <w:t>45</w:t>
            </w:r>
          </w:p>
        </w:tc>
      </w:tr>
    </w:tbl>
    <w:p w14:paraId="01EC55D2" w14:textId="7A1D4B3C" w:rsidR="006B5B80" w:rsidRPr="001A3416" w:rsidRDefault="006B5B80" w:rsidP="006B5B80">
      <w:pPr>
        <w:pStyle w:val="zdroj0"/>
      </w:pPr>
      <w:r w:rsidRPr="001A3416">
        <w:t>Zdroj: PROCES, Průzkum podnikatelského prostředí města Zlína, 2020</w:t>
      </w:r>
      <w:r w:rsidR="00E220FB">
        <w:t>.</w:t>
      </w:r>
    </w:p>
    <w:p w14:paraId="62A50DF6" w14:textId="23B9E986" w:rsidR="006B5B80" w:rsidRPr="001A3416" w:rsidRDefault="006B5B80" w:rsidP="006B5B80">
      <w:pPr>
        <w:rPr>
          <w:rFonts w:cstheme="minorHAnsi"/>
        </w:rPr>
      </w:pPr>
      <w:r w:rsidRPr="001A3416">
        <w:rPr>
          <w:rFonts w:cstheme="minorHAnsi"/>
        </w:rPr>
        <w:t xml:space="preserve">Dotazníkového šetření se zúčastnilo celkem 45 respondentů. Celkem 31 respondentů je z řad </w:t>
      </w:r>
      <w:r>
        <w:t>středních a</w:t>
      </w:r>
      <w:r w:rsidR="00E220FB">
        <w:t> </w:t>
      </w:r>
      <w:r>
        <w:t>velkých</w:t>
      </w:r>
      <w:r w:rsidRPr="001A3416">
        <w:rPr>
          <w:rFonts w:cstheme="minorHAnsi"/>
        </w:rPr>
        <w:t xml:space="preserve"> firem podnikajících nebo působících ve městě Zlíně a celkem 14 z řad malých firem (viz následující tabulka</w:t>
      </w:r>
      <w:r w:rsidR="0096730F">
        <w:rPr>
          <w:rFonts w:cstheme="minorHAnsi"/>
        </w:rPr>
        <w:t xml:space="preserve"> 2.40</w:t>
      </w:r>
      <w:r w:rsidRPr="001A3416">
        <w:rPr>
          <w:rFonts w:cstheme="minorHAnsi"/>
        </w:rPr>
        <w:t xml:space="preserve">). </w:t>
      </w:r>
    </w:p>
    <w:p w14:paraId="71158ACE" w14:textId="031A006B" w:rsidR="006B5B80" w:rsidRPr="001A3416" w:rsidRDefault="006B5B80" w:rsidP="006B5B80">
      <w:pPr>
        <w:pStyle w:val="Titulek"/>
        <w:rPr>
          <w:rFonts w:cstheme="minorHAnsi"/>
          <w:sz w:val="22"/>
          <w:szCs w:val="22"/>
        </w:rPr>
      </w:pPr>
      <w:bookmarkStart w:id="890" w:name="_Toc49152891"/>
      <w:bookmarkStart w:id="891" w:name="_Toc54702654"/>
      <w:bookmarkStart w:id="892" w:name="_Toc56179461"/>
      <w:bookmarkStart w:id="893" w:name="_Toc57731819"/>
      <w:bookmarkStart w:id="894" w:name="_Toc77074803"/>
      <w:r w:rsidRPr="001A3416">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40</w:t>
      </w:r>
      <w:r w:rsidR="00081B47">
        <w:rPr>
          <w:noProof/>
        </w:rPr>
        <w:fldChar w:fldCharType="end"/>
      </w:r>
      <w:r w:rsidR="00E220FB">
        <w:rPr>
          <w:noProof/>
        </w:rPr>
        <w:t>:</w:t>
      </w:r>
      <w:r w:rsidRPr="001A3416">
        <w:rPr>
          <w:rFonts w:cstheme="minorHAnsi"/>
          <w:sz w:val="22"/>
          <w:szCs w:val="22"/>
        </w:rPr>
        <w:t xml:space="preserve"> </w:t>
      </w:r>
      <w:r w:rsidRPr="001A3416">
        <w:t>Velikos</w:t>
      </w:r>
      <w:r w:rsidR="00E220FB">
        <w:t>t</w:t>
      </w:r>
      <w:r w:rsidRPr="001A3416">
        <w:t>ní struktura respondentů</w:t>
      </w:r>
      <w:bookmarkEnd w:id="890"/>
      <w:bookmarkEnd w:id="891"/>
      <w:bookmarkEnd w:id="892"/>
      <w:bookmarkEnd w:id="893"/>
      <w:bookmarkEnd w:id="894"/>
    </w:p>
    <w:tbl>
      <w:tblPr>
        <w:tblW w:w="9118" w:type="dxa"/>
        <w:tblCellMar>
          <w:left w:w="70" w:type="dxa"/>
          <w:right w:w="70" w:type="dxa"/>
        </w:tblCellMar>
        <w:tblLook w:val="04A0" w:firstRow="1" w:lastRow="0" w:firstColumn="1" w:lastColumn="0" w:noHBand="0" w:noVBand="1"/>
      </w:tblPr>
      <w:tblGrid>
        <w:gridCol w:w="2761"/>
        <w:gridCol w:w="1327"/>
        <w:gridCol w:w="1006"/>
        <w:gridCol w:w="1253"/>
        <w:gridCol w:w="758"/>
        <w:gridCol w:w="1253"/>
        <w:gridCol w:w="760"/>
      </w:tblGrid>
      <w:tr w:rsidR="006B5B80" w:rsidRPr="008D2790" w14:paraId="5E52D023" w14:textId="77777777" w:rsidTr="000C49A5">
        <w:trPr>
          <w:trHeight w:val="256"/>
        </w:trPr>
        <w:tc>
          <w:tcPr>
            <w:tcW w:w="2761"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14:paraId="627AFC04"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sidRPr="008D2790">
              <w:rPr>
                <w:rFonts w:ascii="Calibri" w:eastAsia="Times New Roman" w:hAnsi="Calibri" w:cs="Calibri"/>
                <w:b/>
                <w:bCs/>
                <w:color w:val="000000"/>
                <w:sz w:val="18"/>
                <w:szCs w:val="18"/>
                <w:lang w:eastAsia="cs-CZ"/>
              </w:rPr>
              <w:t>Počet zaměstnanců</w:t>
            </w:r>
          </w:p>
        </w:tc>
        <w:tc>
          <w:tcPr>
            <w:tcW w:w="1327"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14:paraId="232316F9"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sidRPr="008D2790">
              <w:rPr>
                <w:rFonts w:ascii="Calibri" w:eastAsia="Times New Roman" w:hAnsi="Calibri" w:cs="Calibri"/>
                <w:b/>
                <w:bCs/>
                <w:color w:val="000000"/>
                <w:sz w:val="18"/>
                <w:szCs w:val="18"/>
                <w:lang w:eastAsia="cs-CZ"/>
              </w:rPr>
              <w:t>Počet respondentů</w:t>
            </w:r>
          </w:p>
        </w:tc>
        <w:tc>
          <w:tcPr>
            <w:tcW w:w="1006" w:type="dxa"/>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14:paraId="1435090E"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sidRPr="008D2790">
              <w:rPr>
                <w:rFonts w:ascii="Calibri" w:eastAsia="Times New Roman" w:hAnsi="Calibri" w:cs="Calibri"/>
                <w:b/>
                <w:bCs/>
                <w:color w:val="000000"/>
                <w:sz w:val="18"/>
                <w:szCs w:val="18"/>
                <w:lang w:eastAsia="cs-CZ"/>
              </w:rPr>
              <w:t>%</w:t>
            </w:r>
          </w:p>
        </w:tc>
        <w:tc>
          <w:tcPr>
            <w:tcW w:w="4024" w:type="dxa"/>
            <w:gridSpan w:val="4"/>
            <w:tcBorders>
              <w:top w:val="single" w:sz="8" w:space="0" w:color="auto"/>
              <w:left w:val="nil"/>
              <w:bottom w:val="single" w:sz="8" w:space="0" w:color="auto"/>
              <w:right w:val="single" w:sz="8" w:space="0" w:color="000000"/>
            </w:tcBorders>
            <w:shd w:val="clear" w:color="000000" w:fill="F2F2F2"/>
            <w:vAlign w:val="center"/>
            <w:hideMark/>
          </w:tcPr>
          <w:p w14:paraId="51A91336"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sidRPr="008D2790">
              <w:rPr>
                <w:rFonts w:ascii="Calibri" w:eastAsia="Times New Roman" w:hAnsi="Calibri" w:cs="Calibri"/>
                <w:b/>
                <w:bCs/>
                <w:color w:val="000000"/>
                <w:sz w:val="18"/>
                <w:szCs w:val="18"/>
                <w:lang w:eastAsia="cs-CZ"/>
              </w:rPr>
              <w:t>Z toho:</w:t>
            </w:r>
          </w:p>
        </w:tc>
      </w:tr>
      <w:tr w:rsidR="006B5B80" w:rsidRPr="008D2790" w14:paraId="0232BA31" w14:textId="77777777" w:rsidTr="000C49A5">
        <w:trPr>
          <w:trHeight w:val="498"/>
        </w:trPr>
        <w:tc>
          <w:tcPr>
            <w:tcW w:w="2761" w:type="dxa"/>
            <w:vMerge/>
            <w:tcBorders>
              <w:top w:val="single" w:sz="8" w:space="0" w:color="auto"/>
              <w:left w:val="single" w:sz="8" w:space="0" w:color="auto"/>
              <w:bottom w:val="single" w:sz="8" w:space="0" w:color="000000"/>
              <w:right w:val="single" w:sz="8" w:space="0" w:color="auto"/>
            </w:tcBorders>
            <w:vAlign w:val="center"/>
            <w:hideMark/>
          </w:tcPr>
          <w:p w14:paraId="2A07C088" w14:textId="77777777" w:rsidR="006B5B80" w:rsidRPr="008D2790" w:rsidRDefault="006B5B80" w:rsidP="000C49A5">
            <w:pPr>
              <w:spacing w:before="0"/>
              <w:jc w:val="left"/>
              <w:rPr>
                <w:rFonts w:ascii="Calibri" w:eastAsia="Times New Roman" w:hAnsi="Calibri" w:cs="Calibri"/>
                <w:b/>
                <w:bCs/>
                <w:color w:val="000000"/>
                <w:sz w:val="18"/>
                <w:szCs w:val="18"/>
                <w:lang w:eastAsia="cs-CZ"/>
              </w:rPr>
            </w:pPr>
          </w:p>
        </w:tc>
        <w:tc>
          <w:tcPr>
            <w:tcW w:w="1327" w:type="dxa"/>
            <w:vMerge/>
            <w:tcBorders>
              <w:top w:val="single" w:sz="8" w:space="0" w:color="auto"/>
              <w:left w:val="single" w:sz="8" w:space="0" w:color="auto"/>
              <w:bottom w:val="single" w:sz="8" w:space="0" w:color="000000"/>
              <w:right w:val="single" w:sz="8" w:space="0" w:color="auto"/>
            </w:tcBorders>
            <w:vAlign w:val="center"/>
            <w:hideMark/>
          </w:tcPr>
          <w:p w14:paraId="0671F7E1" w14:textId="77777777" w:rsidR="006B5B80" w:rsidRPr="008D2790" w:rsidRDefault="006B5B80" w:rsidP="000C49A5">
            <w:pPr>
              <w:spacing w:before="0"/>
              <w:jc w:val="left"/>
              <w:rPr>
                <w:rFonts w:ascii="Calibri" w:eastAsia="Times New Roman" w:hAnsi="Calibri" w:cs="Calibri"/>
                <w:b/>
                <w:bCs/>
                <w:color w:val="000000"/>
                <w:sz w:val="18"/>
                <w:szCs w:val="18"/>
                <w:lang w:eastAsia="cs-CZ"/>
              </w:rPr>
            </w:pPr>
          </w:p>
        </w:tc>
        <w:tc>
          <w:tcPr>
            <w:tcW w:w="1006" w:type="dxa"/>
            <w:vMerge/>
            <w:tcBorders>
              <w:top w:val="single" w:sz="8" w:space="0" w:color="auto"/>
              <w:left w:val="single" w:sz="8" w:space="0" w:color="auto"/>
              <w:bottom w:val="single" w:sz="8" w:space="0" w:color="000000"/>
              <w:right w:val="single" w:sz="8" w:space="0" w:color="auto"/>
            </w:tcBorders>
            <w:vAlign w:val="center"/>
            <w:hideMark/>
          </w:tcPr>
          <w:p w14:paraId="5D3F1760" w14:textId="77777777" w:rsidR="006B5B80" w:rsidRPr="008D2790" w:rsidRDefault="006B5B80" w:rsidP="000C49A5">
            <w:pPr>
              <w:spacing w:before="0"/>
              <w:jc w:val="left"/>
              <w:rPr>
                <w:rFonts w:ascii="Calibri" w:eastAsia="Times New Roman" w:hAnsi="Calibri" w:cs="Calibri"/>
                <w:b/>
                <w:bCs/>
                <w:color w:val="000000"/>
                <w:sz w:val="18"/>
                <w:szCs w:val="18"/>
                <w:lang w:eastAsia="cs-CZ"/>
              </w:rPr>
            </w:pPr>
          </w:p>
        </w:tc>
        <w:tc>
          <w:tcPr>
            <w:tcW w:w="1253" w:type="dxa"/>
            <w:tcBorders>
              <w:top w:val="nil"/>
              <w:left w:val="nil"/>
              <w:bottom w:val="single" w:sz="8" w:space="0" w:color="auto"/>
              <w:right w:val="single" w:sz="8" w:space="0" w:color="auto"/>
            </w:tcBorders>
            <w:shd w:val="clear" w:color="000000" w:fill="F2F2F2"/>
            <w:vAlign w:val="center"/>
            <w:hideMark/>
          </w:tcPr>
          <w:p w14:paraId="5870B742"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sidRPr="008D2790">
              <w:rPr>
                <w:rFonts w:ascii="Calibri" w:eastAsia="Times New Roman" w:hAnsi="Calibri" w:cs="Calibri"/>
                <w:b/>
                <w:bCs/>
                <w:color w:val="000000"/>
                <w:sz w:val="18"/>
                <w:szCs w:val="18"/>
                <w:lang w:eastAsia="cs-CZ"/>
              </w:rPr>
              <w:t>Malé firmy</w:t>
            </w:r>
          </w:p>
        </w:tc>
        <w:tc>
          <w:tcPr>
            <w:tcW w:w="758" w:type="dxa"/>
            <w:tcBorders>
              <w:top w:val="nil"/>
              <w:left w:val="nil"/>
              <w:bottom w:val="single" w:sz="8" w:space="0" w:color="auto"/>
              <w:right w:val="single" w:sz="8" w:space="0" w:color="auto"/>
            </w:tcBorders>
            <w:shd w:val="clear" w:color="000000" w:fill="F2F2F2"/>
            <w:noWrap/>
            <w:vAlign w:val="center"/>
            <w:hideMark/>
          </w:tcPr>
          <w:p w14:paraId="773342B4"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sidRPr="008D2790">
              <w:rPr>
                <w:rFonts w:ascii="Calibri" w:eastAsia="Times New Roman" w:hAnsi="Calibri" w:cs="Calibri"/>
                <w:b/>
                <w:bCs/>
                <w:color w:val="000000"/>
                <w:sz w:val="18"/>
                <w:szCs w:val="18"/>
                <w:lang w:eastAsia="cs-CZ"/>
              </w:rPr>
              <w:t>%</w:t>
            </w:r>
          </w:p>
        </w:tc>
        <w:tc>
          <w:tcPr>
            <w:tcW w:w="1253" w:type="dxa"/>
            <w:tcBorders>
              <w:top w:val="nil"/>
              <w:left w:val="nil"/>
              <w:bottom w:val="single" w:sz="8" w:space="0" w:color="auto"/>
              <w:right w:val="single" w:sz="8" w:space="0" w:color="auto"/>
            </w:tcBorders>
            <w:shd w:val="clear" w:color="000000" w:fill="F2F2F2"/>
            <w:vAlign w:val="center"/>
            <w:hideMark/>
          </w:tcPr>
          <w:p w14:paraId="0492EA88"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Pr>
                <w:rFonts w:ascii="Calibri" w:eastAsia="Times New Roman" w:hAnsi="Calibri" w:cs="Calibri"/>
                <w:b/>
                <w:bCs/>
                <w:color w:val="000000"/>
                <w:sz w:val="18"/>
                <w:szCs w:val="18"/>
                <w:lang w:eastAsia="cs-CZ"/>
              </w:rPr>
              <w:t>Střední a velké</w:t>
            </w:r>
            <w:r w:rsidRPr="008D2790">
              <w:rPr>
                <w:rFonts w:ascii="Calibri" w:eastAsia="Times New Roman" w:hAnsi="Calibri" w:cs="Calibri"/>
                <w:b/>
                <w:bCs/>
                <w:color w:val="000000"/>
                <w:sz w:val="18"/>
                <w:szCs w:val="18"/>
                <w:lang w:eastAsia="cs-CZ"/>
              </w:rPr>
              <w:t xml:space="preserve"> firmy</w:t>
            </w:r>
          </w:p>
        </w:tc>
        <w:tc>
          <w:tcPr>
            <w:tcW w:w="758" w:type="dxa"/>
            <w:tcBorders>
              <w:top w:val="nil"/>
              <w:left w:val="nil"/>
              <w:bottom w:val="single" w:sz="8" w:space="0" w:color="auto"/>
              <w:right w:val="single" w:sz="8" w:space="0" w:color="auto"/>
            </w:tcBorders>
            <w:shd w:val="clear" w:color="000000" w:fill="F2F2F2"/>
            <w:noWrap/>
            <w:vAlign w:val="center"/>
            <w:hideMark/>
          </w:tcPr>
          <w:p w14:paraId="133C0FB1" w14:textId="77777777" w:rsidR="006B5B80" w:rsidRPr="008D2790" w:rsidRDefault="006B5B80" w:rsidP="000C49A5">
            <w:pPr>
              <w:spacing w:before="0"/>
              <w:jc w:val="center"/>
              <w:rPr>
                <w:rFonts w:ascii="Calibri" w:eastAsia="Times New Roman" w:hAnsi="Calibri" w:cs="Calibri"/>
                <w:b/>
                <w:bCs/>
                <w:color w:val="000000"/>
                <w:sz w:val="18"/>
                <w:szCs w:val="18"/>
                <w:lang w:eastAsia="cs-CZ"/>
              </w:rPr>
            </w:pPr>
            <w:r w:rsidRPr="008D2790">
              <w:rPr>
                <w:rFonts w:ascii="Calibri" w:eastAsia="Times New Roman" w:hAnsi="Calibri" w:cs="Calibri"/>
                <w:b/>
                <w:bCs/>
                <w:color w:val="000000"/>
                <w:sz w:val="18"/>
                <w:szCs w:val="18"/>
                <w:lang w:eastAsia="cs-CZ"/>
              </w:rPr>
              <w:t>%</w:t>
            </w:r>
          </w:p>
        </w:tc>
      </w:tr>
      <w:tr w:rsidR="006B5B80" w:rsidRPr="008D2790" w14:paraId="1E4E7F28" w14:textId="77777777" w:rsidTr="000C49A5">
        <w:trPr>
          <w:trHeight w:val="256"/>
        </w:trPr>
        <w:tc>
          <w:tcPr>
            <w:tcW w:w="2761" w:type="dxa"/>
            <w:tcBorders>
              <w:top w:val="nil"/>
              <w:left w:val="single" w:sz="8" w:space="0" w:color="auto"/>
              <w:bottom w:val="single" w:sz="8" w:space="0" w:color="auto"/>
              <w:right w:val="single" w:sz="8" w:space="0" w:color="auto"/>
            </w:tcBorders>
            <w:shd w:val="clear" w:color="auto" w:fill="auto"/>
            <w:vAlign w:val="center"/>
            <w:hideMark/>
          </w:tcPr>
          <w:p w14:paraId="6F1DA8D0" w14:textId="77777777" w:rsidR="006B5B80" w:rsidRPr="008D2790" w:rsidRDefault="006B5B80" w:rsidP="000C49A5">
            <w:pPr>
              <w:spacing w:before="0"/>
              <w:jc w:val="lef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do 10 zaměstnanců</w:t>
            </w:r>
          </w:p>
        </w:tc>
        <w:tc>
          <w:tcPr>
            <w:tcW w:w="1327" w:type="dxa"/>
            <w:tcBorders>
              <w:top w:val="nil"/>
              <w:left w:val="nil"/>
              <w:bottom w:val="single" w:sz="8" w:space="0" w:color="auto"/>
              <w:right w:val="single" w:sz="8" w:space="0" w:color="auto"/>
            </w:tcBorders>
            <w:shd w:val="clear" w:color="auto" w:fill="auto"/>
            <w:noWrap/>
            <w:vAlign w:val="center"/>
            <w:hideMark/>
          </w:tcPr>
          <w:p w14:paraId="5FE22A8D"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2</w:t>
            </w:r>
          </w:p>
        </w:tc>
        <w:tc>
          <w:tcPr>
            <w:tcW w:w="1006" w:type="dxa"/>
            <w:tcBorders>
              <w:top w:val="nil"/>
              <w:left w:val="nil"/>
              <w:bottom w:val="single" w:sz="8" w:space="0" w:color="auto"/>
              <w:right w:val="single" w:sz="8" w:space="0" w:color="auto"/>
            </w:tcBorders>
            <w:shd w:val="clear" w:color="000000" w:fill="FCEFF2"/>
            <w:noWrap/>
            <w:vAlign w:val="center"/>
            <w:hideMark/>
          </w:tcPr>
          <w:p w14:paraId="02873EDD"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4,44%</w:t>
            </w:r>
          </w:p>
        </w:tc>
        <w:tc>
          <w:tcPr>
            <w:tcW w:w="1253" w:type="dxa"/>
            <w:tcBorders>
              <w:top w:val="nil"/>
              <w:left w:val="nil"/>
              <w:bottom w:val="single" w:sz="8" w:space="0" w:color="auto"/>
              <w:right w:val="single" w:sz="8" w:space="0" w:color="auto"/>
            </w:tcBorders>
            <w:shd w:val="clear" w:color="auto" w:fill="auto"/>
            <w:noWrap/>
            <w:vAlign w:val="center"/>
            <w:hideMark/>
          </w:tcPr>
          <w:p w14:paraId="19835D62"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2</w:t>
            </w:r>
          </w:p>
        </w:tc>
        <w:tc>
          <w:tcPr>
            <w:tcW w:w="758" w:type="dxa"/>
            <w:tcBorders>
              <w:top w:val="nil"/>
              <w:left w:val="nil"/>
              <w:bottom w:val="single" w:sz="8" w:space="0" w:color="auto"/>
              <w:right w:val="single" w:sz="8" w:space="0" w:color="auto"/>
            </w:tcBorders>
            <w:shd w:val="clear" w:color="000000" w:fill="FCEFF2"/>
            <w:noWrap/>
            <w:vAlign w:val="center"/>
            <w:hideMark/>
          </w:tcPr>
          <w:p w14:paraId="5FA23BD0"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4,44%</w:t>
            </w:r>
          </w:p>
        </w:tc>
        <w:tc>
          <w:tcPr>
            <w:tcW w:w="1253" w:type="dxa"/>
            <w:tcBorders>
              <w:top w:val="nil"/>
              <w:left w:val="nil"/>
              <w:bottom w:val="single" w:sz="8" w:space="0" w:color="auto"/>
              <w:right w:val="single" w:sz="8" w:space="0" w:color="auto"/>
            </w:tcBorders>
            <w:shd w:val="clear" w:color="auto" w:fill="auto"/>
            <w:noWrap/>
            <w:vAlign w:val="center"/>
            <w:hideMark/>
          </w:tcPr>
          <w:p w14:paraId="6DDD88C8"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c>
          <w:tcPr>
            <w:tcW w:w="758" w:type="dxa"/>
            <w:tcBorders>
              <w:top w:val="nil"/>
              <w:left w:val="nil"/>
              <w:bottom w:val="single" w:sz="8" w:space="0" w:color="auto"/>
              <w:right w:val="single" w:sz="8" w:space="0" w:color="auto"/>
            </w:tcBorders>
            <w:shd w:val="clear" w:color="000000" w:fill="FCFCFF"/>
            <w:noWrap/>
            <w:vAlign w:val="center"/>
            <w:hideMark/>
          </w:tcPr>
          <w:p w14:paraId="66D541E9"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r>
      <w:tr w:rsidR="006B5B80" w:rsidRPr="008D2790" w14:paraId="3AB27B8D" w14:textId="77777777" w:rsidTr="000C49A5">
        <w:trPr>
          <w:trHeight w:val="256"/>
        </w:trPr>
        <w:tc>
          <w:tcPr>
            <w:tcW w:w="2761" w:type="dxa"/>
            <w:tcBorders>
              <w:top w:val="nil"/>
              <w:left w:val="single" w:sz="8" w:space="0" w:color="auto"/>
              <w:bottom w:val="single" w:sz="8" w:space="0" w:color="auto"/>
              <w:right w:val="single" w:sz="8" w:space="0" w:color="auto"/>
            </w:tcBorders>
            <w:shd w:val="clear" w:color="auto" w:fill="auto"/>
            <w:vAlign w:val="center"/>
            <w:hideMark/>
          </w:tcPr>
          <w:p w14:paraId="4470F081" w14:textId="77777777" w:rsidR="006B5B80" w:rsidRPr="008D2790" w:rsidRDefault="006B5B80" w:rsidP="000C49A5">
            <w:pPr>
              <w:spacing w:before="0"/>
              <w:jc w:val="lef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do 25 zaměstnanců</w:t>
            </w:r>
          </w:p>
        </w:tc>
        <w:tc>
          <w:tcPr>
            <w:tcW w:w="1327" w:type="dxa"/>
            <w:tcBorders>
              <w:top w:val="nil"/>
              <w:left w:val="nil"/>
              <w:bottom w:val="single" w:sz="8" w:space="0" w:color="auto"/>
              <w:right w:val="single" w:sz="8" w:space="0" w:color="auto"/>
            </w:tcBorders>
            <w:shd w:val="clear" w:color="auto" w:fill="auto"/>
            <w:noWrap/>
            <w:vAlign w:val="center"/>
            <w:hideMark/>
          </w:tcPr>
          <w:p w14:paraId="3BC76FF0"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3</w:t>
            </w:r>
          </w:p>
        </w:tc>
        <w:tc>
          <w:tcPr>
            <w:tcW w:w="1006" w:type="dxa"/>
            <w:tcBorders>
              <w:top w:val="nil"/>
              <w:left w:val="nil"/>
              <w:bottom w:val="single" w:sz="8" w:space="0" w:color="auto"/>
              <w:right w:val="single" w:sz="8" w:space="0" w:color="auto"/>
            </w:tcBorders>
            <w:shd w:val="clear" w:color="000000" w:fill="FCE8EB"/>
            <w:noWrap/>
            <w:vAlign w:val="center"/>
            <w:hideMark/>
          </w:tcPr>
          <w:p w14:paraId="6D1E1351"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6,67%</w:t>
            </w:r>
          </w:p>
        </w:tc>
        <w:tc>
          <w:tcPr>
            <w:tcW w:w="1253" w:type="dxa"/>
            <w:tcBorders>
              <w:top w:val="nil"/>
              <w:left w:val="nil"/>
              <w:bottom w:val="single" w:sz="8" w:space="0" w:color="auto"/>
              <w:right w:val="single" w:sz="8" w:space="0" w:color="auto"/>
            </w:tcBorders>
            <w:shd w:val="clear" w:color="auto" w:fill="auto"/>
            <w:noWrap/>
            <w:vAlign w:val="center"/>
            <w:hideMark/>
          </w:tcPr>
          <w:p w14:paraId="35D7EF0E"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3</w:t>
            </w:r>
          </w:p>
        </w:tc>
        <w:tc>
          <w:tcPr>
            <w:tcW w:w="758" w:type="dxa"/>
            <w:tcBorders>
              <w:top w:val="nil"/>
              <w:left w:val="nil"/>
              <w:bottom w:val="single" w:sz="8" w:space="0" w:color="auto"/>
              <w:right w:val="single" w:sz="8" w:space="0" w:color="auto"/>
            </w:tcBorders>
            <w:shd w:val="clear" w:color="000000" w:fill="FCE8EB"/>
            <w:noWrap/>
            <w:vAlign w:val="center"/>
            <w:hideMark/>
          </w:tcPr>
          <w:p w14:paraId="37FAC3D4"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6,67%</w:t>
            </w:r>
          </w:p>
        </w:tc>
        <w:tc>
          <w:tcPr>
            <w:tcW w:w="1253" w:type="dxa"/>
            <w:tcBorders>
              <w:top w:val="nil"/>
              <w:left w:val="nil"/>
              <w:bottom w:val="single" w:sz="8" w:space="0" w:color="auto"/>
              <w:right w:val="single" w:sz="8" w:space="0" w:color="auto"/>
            </w:tcBorders>
            <w:shd w:val="clear" w:color="auto" w:fill="auto"/>
            <w:noWrap/>
            <w:vAlign w:val="center"/>
            <w:hideMark/>
          </w:tcPr>
          <w:p w14:paraId="2A376A64"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c>
          <w:tcPr>
            <w:tcW w:w="758" w:type="dxa"/>
            <w:tcBorders>
              <w:top w:val="nil"/>
              <w:left w:val="nil"/>
              <w:bottom w:val="single" w:sz="8" w:space="0" w:color="auto"/>
              <w:right w:val="single" w:sz="8" w:space="0" w:color="auto"/>
            </w:tcBorders>
            <w:shd w:val="clear" w:color="000000" w:fill="FCFCFF"/>
            <w:noWrap/>
            <w:vAlign w:val="center"/>
            <w:hideMark/>
          </w:tcPr>
          <w:p w14:paraId="2AF95805"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r>
      <w:tr w:rsidR="006B5B80" w:rsidRPr="008D2790" w14:paraId="7C65D688" w14:textId="77777777" w:rsidTr="000C49A5">
        <w:trPr>
          <w:trHeight w:val="256"/>
        </w:trPr>
        <w:tc>
          <w:tcPr>
            <w:tcW w:w="2761" w:type="dxa"/>
            <w:tcBorders>
              <w:top w:val="nil"/>
              <w:left w:val="single" w:sz="8" w:space="0" w:color="auto"/>
              <w:bottom w:val="single" w:sz="8" w:space="0" w:color="auto"/>
              <w:right w:val="single" w:sz="8" w:space="0" w:color="auto"/>
            </w:tcBorders>
            <w:shd w:val="clear" w:color="auto" w:fill="auto"/>
            <w:vAlign w:val="center"/>
            <w:hideMark/>
          </w:tcPr>
          <w:p w14:paraId="6C3AB1DA" w14:textId="77777777" w:rsidR="006B5B80" w:rsidRPr="008D2790" w:rsidRDefault="006B5B80" w:rsidP="000C49A5">
            <w:pPr>
              <w:spacing w:before="0"/>
              <w:jc w:val="lef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do 50 zaměstnanců</w:t>
            </w:r>
          </w:p>
        </w:tc>
        <w:tc>
          <w:tcPr>
            <w:tcW w:w="1327" w:type="dxa"/>
            <w:tcBorders>
              <w:top w:val="nil"/>
              <w:left w:val="nil"/>
              <w:bottom w:val="single" w:sz="8" w:space="0" w:color="auto"/>
              <w:right w:val="single" w:sz="8" w:space="0" w:color="auto"/>
            </w:tcBorders>
            <w:shd w:val="clear" w:color="auto" w:fill="auto"/>
            <w:noWrap/>
            <w:vAlign w:val="center"/>
            <w:hideMark/>
          </w:tcPr>
          <w:p w14:paraId="22C5EC09"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9</w:t>
            </w:r>
          </w:p>
        </w:tc>
        <w:tc>
          <w:tcPr>
            <w:tcW w:w="1006" w:type="dxa"/>
            <w:tcBorders>
              <w:top w:val="nil"/>
              <w:left w:val="nil"/>
              <w:bottom w:val="single" w:sz="8" w:space="0" w:color="auto"/>
              <w:right w:val="single" w:sz="8" w:space="0" w:color="auto"/>
            </w:tcBorders>
            <w:shd w:val="clear" w:color="000000" w:fill="FAA6A8"/>
            <w:noWrap/>
            <w:vAlign w:val="center"/>
            <w:hideMark/>
          </w:tcPr>
          <w:p w14:paraId="1DFCE838"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20,00%</w:t>
            </w:r>
          </w:p>
        </w:tc>
        <w:tc>
          <w:tcPr>
            <w:tcW w:w="1253" w:type="dxa"/>
            <w:tcBorders>
              <w:top w:val="nil"/>
              <w:left w:val="nil"/>
              <w:bottom w:val="single" w:sz="8" w:space="0" w:color="auto"/>
              <w:right w:val="single" w:sz="8" w:space="0" w:color="auto"/>
            </w:tcBorders>
            <w:shd w:val="clear" w:color="auto" w:fill="auto"/>
            <w:noWrap/>
            <w:vAlign w:val="center"/>
            <w:hideMark/>
          </w:tcPr>
          <w:p w14:paraId="0A6562BF"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9</w:t>
            </w:r>
          </w:p>
        </w:tc>
        <w:tc>
          <w:tcPr>
            <w:tcW w:w="758" w:type="dxa"/>
            <w:tcBorders>
              <w:top w:val="nil"/>
              <w:left w:val="nil"/>
              <w:bottom w:val="single" w:sz="8" w:space="0" w:color="auto"/>
              <w:right w:val="single" w:sz="8" w:space="0" w:color="auto"/>
            </w:tcBorders>
            <w:shd w:val="clear" w:color="000000" w:fill="FBC0C3"/>
            <w:noWrap/>
            <w:vAlign w:val="center"/>
            <w:hideMark/>
          </w:tcPr>
          <w:p w14:paraId="6E89E7EA"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20,00%</w:t>
            </w:r>
          </w:p>
        </w:tc>
        <w:tc>
          <w:tcPr>
            <w:tcW w:w="1253" w:type="dxa"/>
            <w:tcBorders>
              <w:top w:val="nil"/>
              <w:left w:val="nil"/>
              <w:bottom w:val="single" w:sz="8" w:space="0" w:color="auto"/>
              <w:right w:val="single" w:sz="8" w:space="0" w:color="auto"/>
            </w:tcBorders>
            <w:shd w:val="clear" w:color="auto" w:fill="auto"/>
            <w:noWrap/>
            <w:vAlign w:val="center"/>
            <w:hideMark/>
          </w:tcPr>
          <w:p w14:paraId="3B92F47E"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r w:rsidRPr="008D2790">
              <w:rPr>
                <w:rFonts w:ascii="Calibri" w:eastAsia="Times New Roman" w:hAnsi="Calibri" w:cs="Calibri"/>
                <w:color w:val="000000"/>
                <w:sz w:val="18"/>
                <w:szCs w:val="18"/>
                <w:lang w:eastAsia="cs-CZ"/>
              </w:rPr>
              <w:t> </w:t>
            </w:r>
          </w:p>
        </w:tc>
        <w:tc>
          <w:tcPr>
            <w:tcW w:w="758" w:type="dxa"/>
            <w:tcBorders>
              <w:top w:val="nil"/>
              <w:left w:val="nil"/>
              <w:bottom w:val="single" w:sz="8" w:space="0" w:color="auto"/>
              <w:right w:val="single" w:sz="8" w:space="0" w:color="auto"/>
            </w:tcBorders>
            <w:shd w:val="clear" w:color="auto" w:fill="auto"/>
            <w:noWrap/>
            <w:vAlign w:val="center"/>
            <w:hideMark/>
          </w:tcPr>
          <w:p w14:paraId="0FBA629D"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r>
      <w:tr w:rsidR="006B5B80" w:rsidRPr="008D2790" w14:paraId="641C3FB5" w14:textId="77777777" w:rsidTr="000C49A5">
        <w:trPr>
          <w:trHeight w:val="256"/>
        </w:trPr>
        <w:tc>
          <w:tcPr>
            <w:tcW w:w="2761" w:type="dxa"/>
            <w:tcBorders>
              <w:top w:val="nil"/>
              <w:left w:val="single" w:sz="8" w:space="0" w:color="auto"/>
              <w:bottom w:val="single" w:sz="8" w:space="0" w:color="auto"/>
              <w:right w:val="single" w:sz="8" w:space="0" w:color="auto"/>
            </w:tcBorders>
            <w:shd w:val="clear" w:color="auto" w:fill="auto"/>
            <w:vAlign w:val="center"/>
            <w:hideMark/>
          </w:tcPr>
          <w:p w14:paraId="69E413C5" w14:textId="77777777" w:rsidR="006B5B80" w:rsidRPr="008D2790" w:rsidRDefault="006B5B80" w:rsidP="000C49A5">
            <w:pPr>
              <w:spacing w:before="0"/>
              <w:jc w:val="lef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do 250 zaměstnanců</w:t>
            </w:r>
          </w:p>
        </w:tc>
        <w:tc>
          <w:tcPr>
            <w:tcW w:w="1327" w:type="dxa"/>
            <w:tcBorders>
              <w:top w:val="nil"/>
              <w:left w:val="nil"/>
              <w:bottom w:val="single" w:sz="8" w:space="0" w:color="auto"/>
              <w:right w:val="single" w:sz="8" w:space="0" w:color="auto"/>
            </w:tcBorders>
            <w:shd w:val="clear" w:color="auto" w:fill="auto"/>
            <w:noWrap/>
            <w:vAlign w:val="center"/>
            <w:hideMark/>
          </w:tcPr>
          <w:p w14:paraId="6DD749DA"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26</w:t>
            </w:r>
          </w:p>
        </w:tc>
        <w:tc>
          <w:tcPr>
            <w:tcW w:w="1006" w:type="dxa"/>
            <w:tcBorders>
              <w:top w:val="nil"/>
              <w:left w:val="nil"/>
              <w:bottom w:val="single" w:sz="8" w:space="0" w:color="auto"/>
              <w:right w:val="single" w:sz="8" w:space="0" w:color="auto"/>
            </w:tcBorders>
            <w:shd w:val="clear" w:color="000000" w:fill="F8696B"/>
            <w:noWrap/>
            <w:vAlign w:val="center"/>
            <w:hideMark/>
          </w:tcPr>
          <w:p w14:paraId="77390F80"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57,78%</w:t>
            </w:r>
          </w:p>
        </w:tc>
        <w:tc>
          <w:tcPr>
            <w:tcW w:w="1253" w:type="dxa"/>
            <w:tcBorders>
              <w:top w:val="nil"/>
              <w:left w:val="nil"/>
              <w:bottom w:val="single" w:sz="8" w:space="0" w:color="auto"/>
              <w:right w:val="single" w:sz="8" w:space="0" w:color="auto"/>
            </w:tcBorders>
            <w:shd w:val="clear" w:color="auto" w:fill="auto"/>
            <w:noWrap/>
            <w:vAlign w:val="center"/>
            <w:hideMark/>
          </w:tcPr>
          <w:p w14:paraId="6314A380"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c>
          <w:tcPr>
            <w:tcW w:w="758" w:type="dxa"/>
            <w:tcBorders>
              <w:top w:val="nil"/>
              <w:left w:val="nil"/>
              <w:bottom w:val="single" w:sz="8" w:space="0" w:color="auto"/>
              <w:right w:val="single" w:sz="8" w:space="0" w:color="auto"/>
            </w:tcBorders>
            <w:shd w:val="clear" w:color="000000" w:fill="FCFCFF"/>
            <w:noWrap/>
            <w:vAlign w:val="center"/>
            <w:hideMark/>
          </w:tcPr>
          <w:p w14:paraId="29D14509"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c>
          <w:tcPr>
            <w:tcW w:w="1253" w:type="dxa"/>
            <w:tcBorders>
              <w:top w:val="nil"/>
              <w:left w:val="nil"/>
              <w:bottom w:val="single" w:sz="8" w:space="0" w:color="auto"/>
              <w:right w:val="single" w:sz="8" w:space="0" w:color="auto"/>
            </w:tcBorders>
            <w:shd w:val="clear" w:color="auto" w:fill="auto"/>
            <w:noWrap/>
            <w:vAlign w:val="center"/>
            <w:hideMark/>
          </w:tcPr>
          <w:p w14:paraId="5C523472"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26</w:t>
            </w:r>
          </w:p>
        </w:tc>
        <w:tc>
          <w:tcPr>
            <w:tcW w:w="758" w:type="dxa"/>
            <w:tcBorders>
              <w:top w:val="nil"/>
              <w:left w:val="nil"/>
              <w:bottom w:val="single" w:sz="8" w:space="0" w:color="auto"/>
              <w:right w:val="single" w:sz="8" w:space="0" w:color="auto"/>
            </w:tcBorders>
            <w:shd w:val="clear" w:color="000000" w:fill="F8696B"/>
            <w:noWrap/>
            <w:vAlign w:val="center"/>
            <w:hideMark/>
          </w:tcPr>
          <w:p w14:paraId="58B2F2DF"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57,78%</w:t>
            </w:r>
          </w:p>
        </w:tc>
      </w:tr>
      <w:tr w:rsidR="006B5B80" w:rsidRPr="008D2790" w14:paraId="44BC240A" w14:textId="77777777" w:rsidTr="000C49A5">
        <w:trPr>
          <w:trHeight w:val="256"/>
        </w:trPr>
        <w:tc>
          <w:tcPr>
            <w:tcW w:w="2761" w:type="dxa"/>
            <w:tcBorders>
              <w:top w:val="nil"/>
              <w:left w:val="single" w:sz="8" w:space="0" w:color="auto"/>
              <w:bottom w:val="single" w:sz="8" w:space="0" w:color="auto"/>
              <w:right w:val="single" w:sz="8" w:space="0" w:color="auto"/>
            </w:tcBorders>
            <w:shd w:val="clear" w:color="auto" w:fill="auto"/>
            <w:vAlign w:val="center"/>
            <w:hideMark/>
          </w:tcPr>
          <w:p w14:paraId="2AC4F5C5" w14:textId="77777777" w:rsidR="006B5B80" w:rsidRPr="008D2790" w:rsidRDefault="006B5B80" w:rsidP="000C49A5">
            <w:pPr>
              <w:spacing w:before="0"/>
              <w:jc w:val="lef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více než 250 zaměstnanců</w:t>
            </w:r>
          </w:p>
        </w:tc>
        <w:tc>
          <w:tcPr>
            <w:tcW w:w="1327" w:type="dxa"/>
            <w:tcBorders>
              <w:top w:val="nil"/>
              <w:left w:val="nil"/>
              <w:bottom w:val="single" w:sz="8" w:space="0" w:color="auto"/>
              <w:right w:val="single" w:sz="8" w:space="0" w:color="auto"/>
            </w:tcBorders>
            <w:shd w:val="clear" w:color="auto" w:fill="auto"/>
            <w:noWrap/>
            <w:vAlign w:val="center"/>
            <w:hideMark/>
          </w:tcPr>
          <w:p w14:paraId="6115596F"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5</w:t>
            </w:r>
          </w:p>
        </w:tc>
        <w:tc>
          <w:tcPr>
            <w:tcW w:w="1006" w:type="dxa"/>
            <w:tcBorders>
              <w:top w:val="nil"/>
              <w:left w:val="nil"/>
              <w:bottom w:val="single" w:sz="8" w:space="0" w:color="auto"/>
              <w:right w:val="single" w:sz="8" w:space="0" w:color="auto"/>
            </w:tcBorders>
            <w:shd w:val="clear" w:color="000000" w:fill="FCDBDE"/>
            <w:noWrap/>
            <w:vAlign w:val="center"/>
            <w:hideMark/>
          </w:tcPr>
          <w:p w14:paraId="0B14F37C"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11,11%</w:t>
            </w:r>
          </w:p>
        </w:tc>
        <w:tc>
          <w:tcPr>
            <w:tcW w:w="1253" w:type="dxa"/>
            <w:tcBorders>
              <w:top w:val="nil"/>
              <w:left w:val="nil"/>
              <w:bottom w:val="single" w:sz="8" w:space="0" w:color="auto"/>
              <w:right w:val="single" w:sz="8" w:space="0" w:color="auto"/>
            </w:tcBorders>
            <w:shd w:val="clear" w:color="auto" w:fill="auto"/>
            <w:noWrap/>
            <w:vAlign w:val="center"/>
            <w:hideMark/>
          </w:tcPr>
          <w:p w14:paraId="3DCD8EB3"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c>
          <w:tcPr>
            <w:tcW w:w="758" w:type="dxa"/>
            <w:tcBorders>
              <w:top w:val="nil"/>
              <w:left w:val="nil"/>
              <w:bottom w:val="single" w:sz="8" w:space="0" w:color="auto"/>
              <w:right w:val="single" w:sz="8" w:space="0" w:color="auto"/>
            </w:tcBorders>
            <w:shd w:val="clear" w:color="000000" w:fill="FCFCFF"/>
            <w:noWrap/>
            <w:vAlign w:val="center"/>
            <w:hideMark/>
          </w:tcPr>
          <w:p w14:paraId="11E83AC7" w14:textId="77777777" w:rsidR="006B5B80" w:rsidRPr="008D2790" w:rsidRDefault="006B5B80"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w:t>
            </w:r>
          </w:p>
        </w:tc>
        <w:tc>
          <w:tcPr>
            <w:tcW w:w="1253" w:type="dxa"/>
            <w:tcBorders>
              <w:top w:val="nil"/>
              <w:left w:val="nil"/>
              <w:bottom w:val="single" w:sz="8" w:space="0" w:color="auto"/>
              <w:right w:val="single" w:sz="8" w:space="0" w:color="auto"/>
            </w:tcBorders>
            <w:shd w:val="clear" w:color="auto" w:fill="auto"/>
            <w:noWrap/>
            <w:vAlign w:val="center"/>
            <w:hideMark/>
          </w:tcPr>
          <w:p w14:paraId="15239E4A"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5</w:t>
            </w:r>
          </w:p>
        </w:tc>
        <w:tc>
          <w:tcPr>
            <w:tcW w:w="758" w:type="dxa"/>
            <w:tcBorders>
              <w:top w:val="nil"/>
              <w:left w:val="nil"/>
              <w:bottom w:val="single" w:sz="8" w:space="0" w:color="auto"/>
              <w:right w:val="single" w:sz="8" w:space="0" w:color="auto"/>
            </w:tcBorders>
            <w:shd w:val="clear" w:color="000000" w:fill="FCDBDE"/>
            <w:noWrap/>
            <w:vAlign w:val="center"/>
            <w:hideMark/>
          </w:tcPr>
          <w:p w14:paraId="127C46FD" w14:textId="77777777" w:rsidR="006B5B80" w:rsidRPr="008D2790" w:rsidRDefault="006B5B80" w:rsidP="000C49A5">
            <w:pPr>
              <w:spacing w:before="0"/>
              <w:jc w:val="right"/>
              <w:rPr>
                <w:rFonts w:ascii="Calibri" w:eastAsia="Times New Roman" w:hAnsi="Calibri" w:cs="Calibri"/>
                <w:color w:val="000000"/>
                <w:sz w:val="18"/>
                <w:szCs w:val="18"/>
                <w:lang w:eastAsia="cs-CZ"/>
              </w:rPr>
            </w:pPr>
            <w:r w:rsidRPr="008D2790">
              <w:rPr>
                <w:rFonts w:ascii="Calibri" w:eastAsia="Times New Roman" w:hAnsi="Calibri" w:cs="Calibri"/>
                <w:color w:val="000000"/>
                <w:sz w:val="18"/>
                <w:szCs w:val="18"/>
                <w:lang w:eastAsia="cs-CZ"/>
              </w:rPr>
              <w:t>11,11%</w:t>
            </w:r>
          </w:p>
        </w:tc>
      </w:tr>
      <w:tr w:rsidR="006B5B80" w:rsidRPr="008D2790" w14:paraId="09D880A2" w14:textId="77777777" w:rsidTr="000C49A5">
        <w:trPr>
          <w:trHeight w:val="256"/>
        </w:trPr>
        <w:tc>
          <w:tcPr>
            <w:tcW w:w="2761" w:type="dxa"/>
            <w:tcBorders>
              <w:top w:val="nil"/>
              <w:left w:val="single" w:sz="8" w:space="0" w:color="auto"/>
              <w:bottom w:val="single" w:sz="8" w:space="0" w:color="auto"/>
              <w:right w:val="single" w:sz="8" w:space="0" w:color="auto"/>
            </w:tcBorders>
            <w:shd w:val="clear" w:color="auto" w:fill="auto"/>
            <w:noWrap/>
            <w:vAlign w:val="center"/>
            <w:hideMark/>
          </w:tcPr>
          <w:p w14:paraId="00BF5C18" w14:textId="77777777" w:rsidR="006B5B80" w:rsidRPr="008D2790" w:rsidRDefault="006B5B80" w:rsidP="000C49A5">
            <w:pPr>
              <w:spacing w:before="0"/>
              <w:jc w:val="left"/>
              <w:rPr>
                <w:rFonts w:ascii="Calibri" w:eastAsia="Times New Roman" w:hAnsi="Calibri" w:cs="Calibri"/>
                <w:b/>
                <w:color w:val="000000"/>
                <w:sz w:val="18"/>
                <w:szCs w:val="18"/>
                <w:lang w:eastAsia="cs-CZ"/>
              </w:rPr>
            </w:pPr>
            <w:r w:rsidRPr="008D2790">
              <w:rPr>
                <w:rFonts w:ascii="Calibri" w:eastAsia="Times New Roman" w:hAnsi="Calibri" w:cs="Calibri"/>
                <w:b/>
                <w:color w:val="000000"/>
                <w:sz w:val="18"/>
                <w:szCs w:val="18"/>
                <w:lang w:eastAsia="cs-CZ"/>
              </w:rPr>
              <w:t>Celkem</w:t>
            </w:r>
          </w:p>
        </w:tc>
        <w:tc>
          <w:tcPr>
            <w:tcW w:w="1327" w:type="dxa"/>
            <w:tcBorders>
              <w:top w:val="nil"/>
              <w:left w:val="nil"/>
              <w:bottom w:val="single" w:sz="8" w:space="0" w:color="auto"/>
              <w:right w:val="single" w:sz="8" w:space="0" w:color="auto"/>
            </w:tcBorders>
            <w:shd w:val="clear" w:color="auto" w:fill="auto"/>
            <w:noWrap/>
            <w:vAlign w:val="center"/>
            <w:hideMark/>
          </w:tcPr>
          <w:p w14:paraId="483CAAA2" w14:textId="77777777" w:rsidR="006B5B80" w:rsidRPr="008D2790" w:rsidRDefault="006B5B80" w:rsidP="000C49A5">
            <w:pPr>
              <w:spacing w:before="0"/>
              <w:jc w:val="right"/>
              <w:rPr>
                <w:rFonts w:ascii="Calibri" w:eastAsia="Times New Roman" w:hAnsi="Calibri" w:cs="Calibri"/>
                <w:b/>
                <w:color w:val="000000"/>
                <w:sz w:val="18"/>
                <w:szCs w:val="18"/>
                <w:lang w:eastAsia="cs-CZ"/>
              </w:rPr>
            </w:pPr>
            <w:r w:rsidRPr="008D2790">
              <w:rPr>
                <w:rFonts w:ascii="Calibri" w:eastAsia="Times New Roman" w:hAnsi="Calibri" w:cs="Calibri"/>
                <w:b/>
                <w:color w:val="000000"/>
                <w:sz w:val="18"/>
                <w:szCs w:val="18"/>
                <w:lang w:eastAsia="cs-CZ"/>
              </w:rPr>
              <w:t>45</w:t>
            </w:r>
          </w:p>
        </w:tc>
        <w:tc>
          <w:tcPr>
            <w:tcW w:w="1006" w:type="dxa"/>
            <w:tcBorders>
              <w:top w:val="nil"/>
              <w:left w:val="nil"/>
              <w:bottom w:val="single" w:sz="8" w:space="0" w:color="auto"/>
              <w:right w:val="single" w:sz="8" w:space="0" w:color="auto"/>
            </w:tcBorders>
            <w:shd w:val="clear" w:color="auto" w:fill="auto"/>
            <w:noWrap/>
            <w:vAlign w:val="center"/>
            <w:hideMark/>
          </w:tcPr>
          <w:p w14:paraId="5A6ADF3E" w14:textId="77777777" w:rsidR="006B5B80" w:rsidRPr="008D2790" w:rsidRDefault="006B5B80" w:rsidP="000C49A5">
            <w:pPr>
              <w:spacing w:before="0"/>
              <w:jc w:val="right"/>
              <w:rPr>
                <w:rFonts w:ascii="Calibri" w:eastAsia="Times New Roman" w:hAnsi="Calibri" w:cs="Calibri"/>
                <w:b/>
                <w:color w:val="000000"/>
                <w:sz w:val="18"/>
                <w:szCs w:val="18"/>
                <w:lang w:eastAsia="cs-CZ"/>
              </w:rPr>
            </w:pPr>
            <w:r w:rsidRPr="008D2790">
              <w:rPr>
                <w:rFonts w:ascii="Calibri" w:eastAsia="Times New Roman" w:hAnsi="Calibri" w:cs="Calibri"/>
                <w:b/>
                <w:color w:val="000000"/>
                <w:sz w:val="18"/>
                <w:szCs w:val="18"/>
                <w:lang w:eastAsia="cs-CZ"/>
              </w:rPr>
              <w:t>100,00%</w:t>
            </w:r>
          </w:p>
        </w:tc>
        <w:tc>
          <w:tcPr>
            <w:tcW w:w="1253" w:type="dxa"/>
            <w:tcBorders>
              <w:top w:val="nil"/>
              <w:left w:val="nil"/>
              <w:bottom w:val="single" w:sz="8" w:space="0" w:color="auto"/>
              <w:right w:val="single" w:sz="8" w:space="0" w:color="auto"/>
            </w:tcBorders>
            <w:shd w:val="clear" w:color="auto" w:fill="auto"/>
            <w:noWrap/>
            <w:vAlign w:val="center"/>
            <w:hideMark/>
          </w:tcPr>
          <w:p w14:paraId="51034363" w14:textId="77777777" w:rsidR="006B5B80" w:rsidRPr="008D2790" w:rsidRDefault="006B5B80" w:rsidP="000C49A5">
            <w:pPr>
              <w:spacing w:before="0"/>
              <w:jc w:val="right"/>
              <w:rPr>
                <w:rFonts w:ascii="Calibri" w:eastAsia="Times New Roman" w:hAnsi="Calibri" w:cs="Calibri"/>
                <w:b/>
                <w:color w:val="000000"/>
                <w:sz w:val="18"/>
                <w:szCs w:val="18"/>
                <w:lang w:eastAsia="cs-CZ"/>
              </w:rPr>
            </w:pPr>
            <w:r w:rsidRPr="008D2790">
              <w:rPr>
                <w:rFonts w:ascii="Calibri" w:eastAsia="Times New Roman" w:hAnsi="Calibri" w:cs="Calibri"/>
                <w:b/>
                <w:color w:val="000000"/>
                <w:sz w:val="18"/>
                <w:szCs w:val="18"/>
                <w:lang w:eastAsia="cs-CZ"/>
              </w:rPr>
              <w:t>14</w:t>
            </w:r>
          </w:p>
        </w:tc>
        <w:tc>
          <w:tcPr>
            <w:tcW w:w="758" w:type="dxa"/>
            <w:tcBorders>
              <w:top w:val="nil"/>
              <w:left w:val="nil"/>
              <w:bottom w:val="single" w:sz="8" w:space="0" w:color="auto"/>
              <w:right w:val="single" w:sz="8" w:space="0" w:color="auto"/>
            </w:tcBorders>
            <w:shd w:val="clear" w:color="auto" w:fill="auto"/>
            <w:noWrap/>
            <w:vAlign w:val="center"/>
            <w:hideMark/>
          </w:tcPr>
          <w:p w14:paraId="053CFC18" w14:textId="77777777" w:rsidR="006B5B80" w:rsidRPr="008D2790" w:rsidRDefault="006B5B80" w:rsidP="000C49A5">
            <w:pPr>
              <w:spacing w:before="0"/>
              <w:jc w:val="right"/>
              <w:rPr>
                <w:rFonts w:ascii="Calibri" w:eastAsia="Times New Roman" w:hAnsi="Calibri" w:cs="Calibri"/>
                <w:b/>
                <w:color w:val="000000"/>
                <w:sz w:val="18"/>
                <w:szCs w:val="18"/>
                <w:lang w:eastAsia="cs-CZ"/>
              </w:rPr>
            </w:pPr>
            <w:r w:rsidRPr="008D2790">
              <w:rPr>
                <w:rFonts w:ascii="Calibri" w:eastAsia="Times New Roman" w:hAnsi="Calibri" w:cs="Calibri"/>
                <w:b/>
                <w:color w:val="000000"/>
                <w:sz w:val="18"/>
                <w:szCs w:val="18"/>
                <w:lang w:eastAsia="cs-CZ"/>
              </w:rPr>
              <w:t>31,11%</w:t>
            </w:r>
          </w:p>
        </w:tc>
        <w:tc>
          <w:tcPr>
            <w:tcW w:w="1253" w:type="dxa"/>
            <w:tcBorders>
              <w:top w:val="nil"/>
              <w:left w:val="nil"/>
              <w:bottom w:val="single" w:sz="8" w:space="0" w:color="auto"/>
              <w:right w:val="single" w:sz="8" w:space="0" w:color="auto"/>
            </w:tcBorders>
            <w:shd w:val="clear" w:color="auto" w:fill="auto"/>
            <w:noWrap/>
            <w:vAlign w:val="center"/>
            <w:hideMark/>
          </w:tcPr>
          <w:p w14:paraId="0F9FD101" w14:textId="77777777" w:rsidR="006B5B80" w:rsidRPr="008D2790" w:rsidRDefault="006B5B80" w:rsidP="000C49A5">
            <w:pPr>
              <w:spacing w:before="0"/>
              <w:jc w:val="right"/>
              <w:rPr>
                <w:rFonts w:ascii="Calibri" w:eastAsia="Times New Roman" w:hAnsi="Calibri" w:cs="Calibri"/>
                <w:b/>
                <w:color w:val="000000"/>
                <w:sz w:val="18"/>
                <w:szCs w:val="18"/>
                <w:lang w:eastAsia="cs-CZ"/>
              </w:rPr>
            </w:pPr>
            <w:r w:rsidRPr="008D2790">
              <w:rPr>
                <w:rFonts w:ascii="Calibri" w:eastAsia="Times New Roman" w:hAnsi="Calibri" w:cs="Calibri"/>
                <w:b/>
                <w:color w:val="000000"/>
                <w:sz w:val="18"/>
                <w:szCs w:val="18"/>
                <w:lang w:eastAsia="cs-CZ"/>
              </w:rPr>
              <w:t>31</w:t>
            </w:r>
          </w:p>
        </w:tc>
        <w:tc>
          <w:tcPr>
            <w:tcW w:w="758" w:type="dxa"/>
            <w:tcBorders>
              <w:top w:val="nil"/>
              <w:left w:val="nil"/>
              <w:bottom w:val="single" w:sz="8" w:space="0" w:color="auto"/>
              <w:right w:val="single" w:sz="8" w:space="0" w:color="auto"/>
            </w:tcBorders>
            <w:shd w:val="clear" w:color="auto" w:fill="auto"/>
            <w:noWrap/>
            <w:vAlign w:val="center"/>
            <w:hideMark/>
          </w:tcPr>
          <w:p w14:paraId="0121D441" w14:textId="77777777" w:rsidR="006B5B80" w:rsidRPr="008D2790" w:rsidRDefault="006B5B80" w:rsidP="000C49A5">
            <w:pPr>
              <w:spacing w:before="0"/>
              <w:jc w:val="right"/>
              <w:rPr>
                <w:rFonts w:ascii="Calibri" w:eastAsia="Times New Roman" w:hAnsi="Calibri" w:cs="Calibri"/>
                <w:b/>
                <w:color w:val="000000"/>
                <w:sz w:val="18"/>
                <w:szCs w:val="18"/>
                <w:lang w:eastAsia="cs-CZ"/>
              </w:rPr>
            </w:pPr>
            <w:r w:rsidRPr="008D2790">
              <w:rPr>
                <w:rFonts w:ascii="Calibri" w:eastAsia="Times New Roman" w:hAnsi="Calibri" w:cs="Calibri"/>
                <w:b/>
                <w:color w:val="000000"/>
                <w:sz w:val="18"/>
                <w:szCs w:val="18"/>
                <w:lang w:eastAsia="cs-CZ"/>
              </w:rPr>
              <w:t>68,89%</w:t>
            </w:r>
          </w:p>
        </w:tc>
      </w:tr>
    </w:tbl>
    <w:p w14:paraId="51CB711D" w14:textId="1E1D8F6A" w:rsidR="006B5B80" w:rsidRPr="001A3416" w:rsidRDefault="006B5B80" w:rsidP="006B5B80">
      <w:pPr>
        <w:pStyle w:val="zdroj0"/>
      </w:pPr>
      <w:r w:rsidRPr="001A3416">
        <w:t>Zdroj: PROCES, Průzkum podnikatelského prostředí města Zlína, 2020</w:t>
      </w:r>
      <w:r w:rsidR="00E220FB">
        <w:t>.</w:t>
      </w:r>
    </w:p>
    <w:p w14:paraId="04BF359A" w14:textId="5D80729D" w:rsidR="006B5B80" w:rsidRPr="001A3416" w:rsidRDefault="006B5B80" w:rsidP="006B5B80">
      <w:pPr>
        <w:rPr>
          <w:rFonts w:cstheme="minorHAnsi"/>
        </w:rPr>
      </w:pPr>
      <w:r w:rsidRPr="001A3416">
        <w:rPr>
          <w:rFonts w:cstheme="minorHAnsi"/>
        </w:rPr>
        <w:t xml:space="preserve">Mezi respondenty byly nejvíce zastoupeny firmy působící ve zpracovatelském průmyslu, tvoří 51,1 % respondentů. Oblast činnost ve zpracovatelském průmyslu převažovala jak u </w:t>
      </w:r>
      <w:r>
        <w:t>středních a velkých</w:t>
      </w:r>
      <w:r w:rsidR="00E220FB">
        <w:t>,</w:t>
      </w:r>
      <w:r w:rsidRPr="001A3416">
        <w:rPr>
          <w:rFonts w:cstheme="minorHAnsi"/>
        </w:rPr>
        <w:t xml:space="preserve"> tak u</w:t>
      </w:r>
      <w:r w:rsidR="00E220FB">
        <w:rPr>
          <w:rFonts w:cstheme="minorHAnsi"/>
        </w:rPr>
        <w:t> </w:t>
      </w:r>
      <w:r w:rsidRPr="001A3416">
        <w:rPr>
          <w:rFonts w:cstheme="minorHAnsi"/>
        </w:rPr>
        <w:t>malých firem z řad respondentů. Druhou nejpočetnější skupinu tvoří subjekty působící v odvětví Obchod, opravy motor. vozidel a výrobků (17,8 % všech respondentů) a následně subjekty z odvětví Stavebnictví (15,6 %). Celkový přehled respondentů dle odvětví podnikatelské činnosti je uveden v následující tabulce</w:t>
      </w:r>
      <w:r w:rsidR="0096730F">
        <w:rPr>
          <w:rFonts w:cstheme="minorHAnsi"/>
        </w:rPr>
        <w:t xml:space="preserve"> 2.41</w:t>
      </w:r>
      <w:r w:rsidRPr="001A3416">
        <w:rPr>
          <w:rFonts w:cstheme="minorHAnsi"/>
        </w:rPr>
        <w:t>.</w:t>
      </w:r>
    </w:p>
    <w:p w14:paraId="3677F876" w14:textId="4D93EEFC" w:rsidR="006B5B80" w:rsidRPr="001A3416" w:rsidRDefault="006B5B80" w:rsidP="006B5B80">
      <w:pPr>
        <w:pStyle w:val="Titulek"/>
        <w:keepNext/>
        <w:keepLines/>
        <w:rPr>
          <w:rFonts w:cstheme="minorHAnsi"/>
          <w:sz w:val="22"/>
          <w:szCs w:val="22"/>
        </w:rPr>
      </w:pPr>
      <w:bookmarkStart w:id="895" w:name="_Toc49152892"/>
      <w:bookmarkStart w:id="896" w:name="_Toc54702655"/>
      <w:bookmarkStart w:id="897" w:name="_Toc56179462"/>
      <w:bookmarkStart w:id="898" w:name="_Toc57731820"/>
      <w:bookmarkStart w:id="899" w:name="_Toc77074804"/>
      <w:r w:rsidRPr="001A3416">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41</w:t>
      </w:r>
      <w:r w:rsidR="00081B47">
        <w:rPr>
          <w:noProof/>
        </w:rPr>
        <w:fldChar w:fldCharType="end"/>
      </w:r>
      <w:r w:rsidR="00E220FB">
        <w:rPr>
          <w:noProof/>
        </w:rPr>
        <w:t>:</w:t>
      </w:r>
      <w:r w:rsidRPr="001A3416">
        <w:t xml:space="preserve"> Odvětví podnikatelské činnosti respondentů</w:t>
      </w:r>
      <w:bookmarkEnd w:id="895"/>
      <w:bookmarkEnd w:id="896"/>
      <w:bookmarkEnd w:id="897"/>
      <w:bookmarkEnd w:id="898"/>
      <w:bookmarkEnd w:id="899"/>
    </w:p>
    <w:tbl>
      <w:tblPr>
        <w:tblW w:w="9078" w:type="dxa"/>
        <w:tblCellMar>
          <w:left w:w="70" w:type="dxa"/>
          <w:right w:w="70" w:type="dxa"/>
        </w:tblCellMar>
        <w:tblLook w:val="04A0" w:firstRow="1" w:lastRow="0" w:firstColumn="1" w:lastColumn="0" w:noHBand="0" w:noVBand="1"/>
      </w:tblPr>
      <w:tblGrid>
        <w:gridCol w:w="4632"/>
        <w:gridCol w:w="972"/>
        <w:gridCol w:w="1530"/>
        <w:gridCol w:w="972"/>
        <w:gridCol w:w="972"/>
      </w:tblGrid>
      <w:tr w:rsidR="006B5B80" w:rsidRPr="008E0E13" w14:paraId="0C4179A3" w14:textId="77777777" w:rsidTr="000C49A5">
        <w:trPr>
          <w:trHeight w:val="723"/>
        </w:trPr>
        <w:tc>
          <w:tcPr>
            <w:tcW w:w="463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383A474" w14:textId="77777777" w:rsidR="006B5B80" w:rsidRPr="008E0E13" w:rsidRDefault="006B5B80" w:rsidP="000C49A5">
            <w:pPr>
              <w:spacing w:before="0"/>
              <w:jc w:val="center"/>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 xml:space="preserve">Odvětví </w:t>
            </w:r>
          </w:p>
        </w:tc>
        <w:tc>
          <w:tcPr>
            <w:tcW w:w="972" w:type="dxa"/>
            <w:tcBorders>
              <w:top w:val="single" w:sz="4" w:space="0" w:color="auto"/>
              <w:left w:val="nil"/>
              <w:bottom w:val="single" w:sz="4" w:space="0" w:color="auto"/>
              <w:right w:val="single" w:sz="4" w:space="0" w:color="auto"/>
            </w:tcBorders>
            <w:shd w:val="clear" w:color="000000" w:fill="F2F2F2"/>
            <w:noWrap/>
            <w:vAlign w:val="center"/>
            <w:hideMark/>
          </w:tcPr>
          <w:p w14:paraId="5C48CAF5" w14:textId="77777777" w:rsidR="006B5B80" w:rsidRPr="008E0E13" w:rsidRDefault="006B5B80" w:rsidP="000C49A5">
            <w:pPr>
              <w:spacing w:before="0"/>
              <w:jc w:val="center"/>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Počet</w:t>
            </w:r>
          </w:p>
        </w:tc>
        <w:tc>
          <w:tcPr>
            <w:tcW w:w="1530" w:type="dxa"/>
            <w:tcBorders>
              <w:top w:val="single" w:sz="4" w:space="0" w:color="auto"/>
              <w:left w:val="nil"/>
              <w:bottom w:val="single" w:sz="4" w:space="0" w:color="auto"/>
              <w:right w:val="single" w:sz="4" w:space="0" w:color="auto"/>
            </w:tcBorders>
            <w:shd w:val="clear" w:color="000000" w:fill="F2F2F2"/>
            <w:vAlign w:val="center"/>
            <w:hideMark/>
          </w:tcPr>
          <w:p w14:paraId="6F9F0A85" w14:textId="77777777" w:rsidR="006B5B80" w:rsidRPr="008E0E13" w:rsidRDefault="006B5B80" w:rsidP="000C49A5">
            <w:pPr>
              <w:spacing w:before="0"/>
              <w:jc w:val="center"/>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Podíl veškerých respondentů</w:t>
            </w:r>
          </w:p>
        </w:tc>
        <w:tc>
          <w:tcPr>
            <w:tcW w:w="972" w:type="dxa"/>
            <w:tcBorders>
              <w:top w:val="single" w:sz="4" w:space="0" w:color="auto"/>
              <w:left w:val="nil"/>
              <w:bottom w:val="single" w:sz="4" w:space="0" w:color="auto"/>
              <w:right w:val="single" w:sz="4" w:space="0" w:color="auto"/>
            </w:tcBorders>
            <w:shd w:val="clear" w:color="000000" w:fill="F2F2F2"/>
            <w:vAlign w:val="center"/>
            <w:hideMark/>
          </w:tcPr>
          <w:p w14:paraId="43637146" w14:textId="77777777" w:rsidR="006B5B80" w:rsidRPr="008E0E13" w:rsidRDefault="006B5B80" w:rsidP="000C49A5">
            <w:pPr>
              <w:spacing w:before="0"/>
              <w:jc w:val="center"/>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Podíl malých firem</w:t>
            </w:r>
          </w:p>
        </w:tc>
        <w:tc>
          <w:tcPr>
            <w:tcW w:w="972" w:type="dxa"/>
            <w:tcBorders>
              <w:top w:val="single" w:sz="4" w:space="0" w:color="auto"/>
              <w:left w:val="nil"/>
              <w:bottom w:val="single" w:sz="4" w:space="0" w:color="auto"/>
              <w:right w:val="single" w:sz="4" w:space="0" w:color="auto"/>
            </w:tcBorders>
            <w:shd w:val="clear" w:color="000000" w:fill="F2F2F2"/>
            <w:vAlign w:val="center"/>
            <w:hideMark/>
          </w:tcPr>
          <w:p w14:paraId="58FD6611" w14:textId="336B286C" w:rsidR="006B5B80" w:rsidRPr="008E0E13" w:rsidRDefault="006B5B80" w:rsidP="00E220FB">
            <w:pPr>
              <w:spacing w:before="0"/>
              <w:jc w:val="center"/>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 xml:space="preserve">Podíl </w:t>
            </w:r>
            <w:r w:rsidRPr="0043207E">
              <w:rPr>
                <w:rFonts w:ascii="Calibri" w:eastAsia="Times New Roman" w:hAnsi="Calibri" w:cs="Calibri"/>
                <w:b/>
                <w:bCs/>
                <w:color w:val="000000"/>
                <w:sz w:val="18"/>
                <w:szCs w:val="18"/>
                <w:lang w:eastAsia="cs-CZ"/>
              </w:rPr>
              <w:t>středních a</w:t>
            </w:r>
            <w:r w:rsidR="00E220FB">
              <w:rPr>
                <w:rFonts w:ascii="Calibri" w:eastAsia="Times New Roman" w:hAnsi="Calibri" w:cs="Calibri"/>
                <w:b/>
                <w:bCs/>
                <w:color w:val="000000"/>
                <w:sz w:val="18"/>
                <w:szCs w:val="18"/>
                <w:lang w:eastAsia="cs-CZ"/>
              </w:rPr>
              <w:t> </w:t>
            </w:r>
            <w:r w:rsidRPr="0043207E">
              <w:rPr>
                <w:rFonts w:ascii="Calibri" w:eastAsia="Times New Roman" w:hAnsi="Calibri" w:cs="Calibri"/>
                <w:b/>
                <w:bCs/>
                <w:color w:val="000000"/>
                <w:sz w:val="18"/>
                <w:szCs w:val="18"/>
                <w:lang w:eastAsia="cs-CZ"/>
              </w:rPr>
              <w:t>velkých</w:t>
            </w:r>
            <w:r w:rsidRPr="008E0E13">
              <w:rPr>
                <w:rFonts w:ascii="Calibri" w:eastAsia="Times New Roman" w:hAnsi="Calibri" w:cs="Calibri"/>
                <w:b/>
                <w:bCs/>
                <w:color w:val="000000"/>
                <w:sz w:val="18"/>
                <w:szCs w:val="18"/>
                <w:lang w:eastAsia="cs-CZ"/>
              </w:rPr>
              <w:t xml:space="preserve"> firem</w:t>
            </w:r>
          </w:p>
        </w:tc>
      </w:tr>
      <w:tr w:rsidR="006B5B80" w:rsidRPr="008E0E13" w14:paraId="11A8A7F7" w14:textId="77777777" w:rsidTr="000C49A5">
        <w:trPr>
          <w:trHeight w:val="241"/>
        </w:trPr>
        <w:tc>
          <w:tcPr>
            <w:tcW w:w="4632" w:type="dxa"/>
            <w:tcBorders>
              <w:top w:val="nil"/>
              <w:left w:val="single" w:sz="4" w:space="0" w:color="auto"/>
              <w:bottom w:val="single" w:sz="4" w:space="0" w:color="auto"/>
              <w:right w:val="single" w:sz="4" w:space="0" w:color="auto"/>
            </w:tcBorders>
            <w:shd w:val="clear" w:color="auto" w:fill="auto"/>
            <w:vAlign w:val="center"/>
            <w:hideMark/>
          </w:tcPr>
          <w:p w14:paraId="46E4256D"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Zpracovatelský průmysl</w:t>
            </w:r>
          </w:p>
        </w:tc>
        <w:tc>
          <w:tcPr>
            <w:tcW w:w="972" w:type="dxa"/>
            <w:tcBorders>
              <w:top w:val="nil"/>
              <w:left w:val="nil"/>
              <w:bottom w:val="single" w:sz="4" w:space="0" w:color="auto"/>
              <w:right w:val="single" w:sz="4" w:space="0" w:color="auto"/>
            </w:tcBorders>
            <w:shd w:val="clear" w:color="auto" w:fill="auto"/>
            <w:noWrap/>
            <w:vAlign w:val="bottom"/>
            <w:hideMark/>
          </w:tcPr>
          <w:p w14:paraId="397C9DD1"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23</w:t>
            </w:r>
          </w:p>
        </w:tc>
        <w:tc>
          <w:tcPr>
            <w:tcW w:w="153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CBF1EE2"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51,1%</w:t>
            </w:r>
          </w:p>
        </w:tc>
        <w:tc>
          <w:tcPr>
            <w:tcW w:w="972" w:type="dxa"/>
            <w:tcBorders>
              <w:top w:val="single" w:sz="4" w:space="0" w:color="auto"/>
              <w:left w:val="single" w:sz="4" w:space="0" w:color="auto"/>
              <w:bottom w:val="single" w:sz="4" w:space="0" w:color="auto"/>
              <w:right w:val="single" w:sz="4" w:space="0" w:color="auto"/>
            </w:tcBorders>
            <w:shd w:val="clear" w:color="000000" w:fill="FBD6D9"/>
            <w:noWrap/>
            <w:vAlign w:val="bottom"/>
            <w:hideMark/>
          </w:tcPr>
          <w:p w14:paraId="4B10BAA3"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13,3%</w:t>
            </w:r>
          </w:p>
        </w:tc>
        <w:tc>
          <w:tcPr>
            <w:tcW w:w="972" w:type="dxa"/>
            <w:tcBorders>
              <w:top w:val="single" w:sz="4" w:space="0" w:color="auto"/>
              <w:left w:val="single" w:sz="4" w:space="0" w:color="auto"/>
              <w:bottom w:val="single" w:sz="4" w:space="0" w:color="auto"/>
              <w:right w:val="single" w:sz="4" w:space="0" w:color="auto"/>
            </w:tcBorders>
            <w:shd w:val="clear" w:color="000000" w:fill="FA9092"/>
            <w:noWrap/>
            <w:vAlign w:val="bottom"/>
            <w:hideMark/>
          </w:tcPr>
          <w:p w14:paraId="5BD4E6D7"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37,8%</w:t>
            </w:r>
          </w:p>
        </w:tc>
      </w:tr>
      <w:tr w:rsidR="006B5B80" w:rsidRPr="008E0E13" w14:paraId="49AB5725" w14:textId="77777777" w:rsidTr="000C49A5">
        <w:trPr>
          <w:trHeight w:val="241"/>
        </w:trPr>
        <w:tc>
          <w:tcPr>
            <w:tcW w:w="4632" w:type="dxa"/>
            <w:tcBorders>
              <w:top w:val="nil"/>
              <w:left w:val="single" w:sz="4" w:space="0" w:color="auto"/>
              <w:bottom w:val="single" w:sz="4" w:space="0" w:color="auto"/>
              <w:right w:val="single" w:sz="4" w:space="0" w:color="auto"/>
            </w:tcBorders>
            <w:shd w:val="clear" w:color="auto" w:fill="auto"/>
            <w:vAlign w:val="center"/>
            <w:hideMark/>
          </w:tcPr>
          <w:p w14:paraId="0E406AC0"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Obchod, opravy motor. vozidel a výrobků</w:t>
            </w:r>
          </w:p>
        </w:tc>
        <w:tc>
          <w:tcPr>
            <w:tcW w:w="972" w:type="dxa"/>
            <w:tcBorders>
              <w:top w:val="nil"/>
              <w:left w:val="nil"/>
              <w:bottom w:val="single" w:sz="4" w:space="0" w:color="auto"/>
              <w:right w:val="single" w:sz="4" w:space="0" w:color="auto"/>
            </w:tcBorders>
            <w:shd w:val="clear" w:color="auto" w:fill="auto"/>
            <w:noWrap/>
            <w:vAlign w:val="bottom"/>
            <w:hideMark/>
          </w:tcPr>
          <w:p w14:paraId="584C0E2E"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8</w:t>
            </w:r>
          </w:p>
        </w:tc>
        <w:tc>
          <w:tcPr>
            <w:tcW w:w="1530" w:type="dxa"/>
            <w:tcBorders>
              <w:top w:val="single" w:sz="4" w:space="0" w:color="auto"/>
              <w:left w:val="single" w:sz="4" w:space="0" w:color="auto"/>
              <w:bottom w:val="single" w:sz="4" w:space="0" w:color="auto"/>
              <w:right w:val="single" w:sz="4" w:space="0" w:color="auto"/>
            </w:tcBorders>
            <w:shd w:val="clear" w:color="000000" w:fill="FBC9CC"/>
            <w:noWrap/>
            <w:vAlign w:val="bottom"/>
            <w:hideMark/>
          </w:tcPr>
          <w:p w14:paraId="78C8F105"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17,8%</w:t>
            </w:r>
          </w:p>
        </w:tc>
        <w:tc>
          <w:tcPr>
            <w:tcW w:w="972"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14:paraId="4FD345C0"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4,4%</w:t>
            </w:r>
          </w:p>
        </w:tc>
        <w:tc>
          <w:tcPr>
            <w:tcW w:w="972" w:type="dxa"/>
            <w:tcBorders>
              <w:top w:val="single" w:sz="4" w:space="0" w:color="auto"/>
              <w:left w:val="single" w:sz="4" w:space="0" w:color="auto"/>
              <w:bottom w:val="single" w:sz="4" w:space="0" w:color="auto"/>
              <w:right w:val="single" w:sz="4" w:space="0" w:color="auto"/>
            </w:tcBorders>
            <w:shd w:val="clear" w:color="000000" w:fill="FBD6D9"/>
            <w:noWrap/>
            <w:vAlign w:val="bottom"/>
            <w:hideMark/>
          </w:tcPr>
          <w:p w14:paraId="7727B72E"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13,3%</w:t>
            </w:r>
          </w:p>
        </w:tc>
      </w:tr>
      <w:tr w:rsidR="006B5B80" w:rsidRPr="008E0E13" w14:paraId="26A6A3BB" w14:textId="77777777" w:rsidTr="000C49A5">
        <w:trPr>
          <w:trHeight w:val="241"/>
        </w:trPr>
        <w:tc>
          <w:tcPr>
            <w:tcW w:w="4632" w:type="dxa"/>
            <w:tcBorders>
              <w:top w:val="nil"/>
              <w:left w:val="single" w:sz="4" w:space="0" w:color="auto"/>
              <w:bottom w:val="single" w:sz="4" w:space="0" w:color="auto"/>
              <w:right w:val="single" w:sz="4" w:space="0" w:color="auto"/>
            </w:tcBorders>
            <w:shd w:val="clear" w:color="auto" w:fill="auto"/>
            <w:vAlign w:val="center"/>
            <w:hideMark/>
          </w:tcPr>
          <w:p w14:paraId="4D3B14F6"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Stavebnictví</w:t>
            </w:r>
          </w:p>
        </w:tc>
        <w:tc>
          <w:tcPr>
            <w:tcW w:w="972" w:type="dxa"/>
            <w:tcBorders>
              <w:top w:val="nil"/>
              <w:left w:val="nil"/>
              <w:bottom w:val="single" w:sz="4" w:space="0" w:color="auto"/>
              <w:right w:val="single" w:sz="4" w:space="0" w:color="auto"/>
            </w:tcBorders>
            <w:shd w:val="clear" w:color="auto" w:fill="auto"/>
            <w:noWrap/>
            <w:vAlign w:val="bottom"/>
            <w:hideMark/>
          </w:tcPr>
          <w:p w14:paraId="6E9FF822"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7</w:t>
            </w:r>
          </w:p>
        </w:tc>
        <w:tc>
          <w:tcPr>
            <w:tcW w:w="1530" w:type="dxa"/>
            <w:tcBorders>
              <w:top w:val="single" w:sz="4" w:space="0" w:color="auto"/>
              <w:left w:val="single" w:sz="4" w:space="0" w:color="auto"/>
              <w:bottom w:val="single" w:sz="4" w:space="0" w:color="auto"/>
              <w:right w:val="single" w:sz="4" w:space="0" w:color="auto"/>
            </w:tcBorders>
            <w:shd w:val="clear" w:color="000000" w:fill="FBD0D2"/>
            <w:noWrap/>
            <w:vAlign w:val="bottom"/>
            <w:hideMark/>
          </w:tcPr>
          <w:p w14:paraId="09FF173B"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15,6%</w:t>
            </w:r>
          </w:p>
        </w:tc>
        <w:tc>
          <w:tcPr>
            <w:tcW w:w="972" w:type="dxa"/>
            <w:tcBorders>
              <w:top w:val="single" w:sz="4" w:space="0" w:color="auto"/>
              <w:left w:val="single" w:sz="4" w:space="0" w:color="auto"/>
              <w:bottom w:val="single" w:sz="4" w:space="0" w:color="auto"/>
              <w:right w:val="single" w:sz="4" w:space="0" w:color="auto"/>
            </w:tcBorders>
            <w:shd w:val="clear" w:color="000000" w:fill="FCE3E6"/>
            <w:noWrap/>
            <w:vAlign w:val="bottom"/>
            <w:hideMark/>
          </w:tcPr>
          <w:p w14:paraId="1A2AF50C"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8,9%</w:t>
            </w:r>
          </w:p>
        </w:tc>
        <w:tc>
          <w:tcPr>
            <w:tcW w:w="972" w:type="dxa"/>
            <w:tcBorders>
              <w:top w:val="single" w:sz="4" w:space="0" w:color="auto"/>
              <w:left w:val="single" w:sz="4" w:space="0" w:color="auto"/>
              <w:bottom w:val="single" w:sz="4" w:space="0" w:color="auto"/>
              <w:right w:val="single" w:sz="4" w:space="0" w:color="auto"/>
            </w:tcBorders>
            <w:shd w:val="clear" w:color="000000" w:fill="FCE9EC"/>
            <w:noWrap/>
            <w:vAlign w:val="bottom"/>
            <w:hideMark/>
          </w:tcPr>
          <w:p w14:paraId="7D079330"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6,7%</w:t>
            </w:r>
          </w:p>
        </w:tc>
      </w:tr>
      <w:tr w:rsidR="006B5B80" w:rsidRPr="008E0E13" w14:paraId="3BB68A07" w14:textId="77777777" w:rsidTr="000C49A5">
        <w:trPr>
          <w:trHeight w:val="241"/>
        </w:trPr>
        <w:tc>
          <w:tcPr>
            <w:tcW w:w="4632" w:type="dxa"/>
            <w:tcBorders>
              <w:top w:val="nil"/>
              <w:left w:val="single" w:sz="4" w:space="0" w:color="auto"/>
              <w:bottom w:val="single" w:sz="4" w:space="0" w:color="auto"/>
              <w:right w:val="single" w:sz="4" w:space="0" w:color="auto"/>
            </w:tcBorders>
            <w:shd w:val="clear" w:color="auto" w:fill="auto"/>
            <w:vAlign w:val="center"/>
            <w:hideMark/>
          </w:tcPr>
          <w:p w14:paraId="61E40A2F"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Zdrav. a sociální péče, veterinární činnost</w:t>
            </w:r>
          </w:p>
        </w:tc>
        <w:tc>
          <w:tcPr>
            <w:tcW w:w="972" w:type="dxa"/>
            <w:tcBorders>
              <w:top w:val="nil"/>
              <w:left w:val="nil"/>
              <w:bottom w:val="single" w:sz="4" w:space="0" w:color="auto"/>
              <w:right w:val="single" w:sz="4" w:space="0" w:color="auto"/>
            </w:tcBorders>
            <w:shd w:val="clear" w:color="auto" w:fill="auto"/>
            <w:noWrap/>
            <w:vAlign w:val="bottom"/>
            <w:hideMark/>
          </w:tcPr>
          <w:p w14:paraId="04679155"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w:t>
            </w:r>
          </w:p>
        </w:tc>
        <w:tc>
          <w:tcPr>
            <w:tcW w:w="1530"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14:paraId="143F1EB5"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4,4%</w:t>
            </w:r>
          </w:p>
        </w:tc>
        <w:tc>
          <w:tcPr>
            <w:tcW w:w="9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5489BB67"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0,0%</w:t>
            </w:r>
          </w:p>
        </w:tc>
        <w:tc>
          <w:tcPr>
            <w:tcW w:w="972"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14:paraId="42E73A5B"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4,4%</w:t>
            </w:r>
          </w:p>
        </w:tc>
      </w:tr>
      <w:tr w:rsidR="006B5B80" w:rsidRPr="008E0E13" w14:paraId="19FB12AB" w14:textId="77777777" w:rsidTr="000C49A5">
        <w:trPr>
          <w:trHeight w:val="241"/>
        </w:trPr>
        <w:tc>
          <w:tcPr>
            <w:tcW w:w="4632" w:type="dxa"/>
            <w:tcBorders>
              <w:top w:val="nil"/>
              <w:left w:val="single" w:sz="4" w:space="0" w:color="auto"/>
              <w:bottom w:val="single" w:sz="4" w:space="0" w:color="auto"/>
              <w:right w:val="single" w:sz="4" w:space="0" w:color="auto"/>
            </w:tcBorders>
            <w:shd w:val="clear" w:color="auto" w:fill="auto"/>
            <w:vAlign w:val="center"/>
            <w:hideMark/>
          </w:tcPr>
          <w:p w14:paraId="64DA07A1"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Ostatní veřejné, sociální a osobní služby</w:t>
            </w:r>
          </w:p>
        </w:tc>
        <w:tc>
          <w:tcPr>
            <w:tcW w:w="972" w:type="dxa"/>
            <w:tcBorders>
              <w:top w:val="nil"/>
              <w:left w:val="nil"/>
              <w:bottom w:val="single" w:sz="4" w:space="0" w:color="auto"/>
              <w:right w:val="single" w:sz="4" w:space="0" w:color="auto"/>
            </w:tcBorders>
            <w:shd w:val="clear" w:color="auto" w:fill="auto"/>
            <w:noWrap/>
            <w:vAlign w:val="bottom"/>
            <w:hideMark/>
          </w:tcPr>
          <w:p w14:paraId="1B63AA92"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w:t>
            </w:r>
          </w:p>
        </w:tc>
        <w:tc>
          <w:tcPr>
            <w:tcW w:w="1530"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14:paraId="599358E9"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4,4%</w:t>
            </w:r>
          </w:p>
        </w:tc>
        <w:tc>
          <w:tcPr>
            <w:tcW w:w="972"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04C6D37E"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c>
          <w:tcPr>
            <w:tcW w:w="972"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5AAC2B04"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r>
      <w:tr w:rsidR="006B5B80" w:rsidRPr="008E0E13" w14:paraId="6093826A" w14:textId="77777777" w:rsidTr="000C49A5">
        <w:trPr>
          <w:trHeight w:val="241"/>
        </w:trPr>
        <w:tc>
          <w:tcPr>
            <w:tcW w:w="4632" w:type="dxa"/>
            <w:tcBorders>
              <w:top w:val="nil"/>
              <w:left w:val="single" w:sz="4" w:space="0" w:color="auto"/>
              <w:bottom w:val="single" w:sz="4" w:space="0" w:color="auto"/>
              <w:right w:val="single" w:sz="4" w:space="0" w:color="auto"/>
            </w:tcBorders>
            <w:shd w:val="clear" w:color="auto" w:fill="auto"/>
            <w:vAlign w:val="center"/>
            <w:hideMark/>
          </w:tcPr>
          <w:p w14:paraId="5007F845"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Zemědělství, myslivost, lesnictví</w:t>
            </w:r>
          </w:p>
        </w:tc>
        <w:tc>
          <w:tcPr>
            <w:tcW w:w="972" w:type="dxa"/>
            <w:tcBorders>
              <w:top w:val="nil"/>
              <w:left w:val="nil"/>
              <w:bottom w:val="single" w:sz="4" w:space="0" w:color="auto"/>
              <w:right w:val="single" w:sz="4" w:space="0" w:color="auto"/>
            </w:tcBorders>
            <w:shd w:val="clear" w:color="auto" w:fill="auto"/>
            <w:noWrap/>
            <w:vAlign w:val="bottom"/>
            <w:hideMark/>
          </w:tcPr>
          <w:p w14:paraId="5CCC5A36"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1</w:t>
            </w:r>
          </w:p>
        </w:tc>
        <w:tc>
          <w:tcPr>
            <w:tcW w:w="1530"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26ADC015"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c>
          <w:tcPr>
            <w:tcW w:w="9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2AE9FC5"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0,0%</w:t>
            </w:r>
          </w:p>
        </w:tc>
        <w:tc>
          <w:tcPr>
            <w:tcW w:w="972"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303446F9"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r>
      <w:tr w:rsidR="006B5B80" w:rsidRPr="008E0E13" w14:paraId="51CB7A91" w14:textId="77777777" w:rsidTr="000C49A5">
        <w:trPr>
          <w:trHeight w:val="241"/>
        </w:trPr>
        <w:tc>
          <w:tcPr>
            <w:tcW w:w="4632" w:type="dxa"/>
            <w:tcBorders>
              <w:top w:val="nil"/>
              <w:left w:val="single" w:sz="4" w:space="0" w:color="auto"/>
              <w:bottom w:val="single" w:sz="4" w:space="0" w:color="auto"/>
              <w:right w:val="single" w:sz="4" w:space="0" w:color="auto"/>
            </w:tcBorders>
            <w:shd w:val="clear" w:color="auto" w:fill="auto"/>
            <w:vAlign w:val="center"/>
            <w:hideMark/>
          </w:tcPr>
          <w:p w14:paraId="15FF130C"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Výroba a rozvod elektřiny, plynu a vody</w:t>
            </w:r>
          </w:p>
        </w:tc>
        <w:tc>
          <w:tcPr>
            <w:tcW w:w="972" w:type="dxa"/>
            <w:tcBorders>
              <w:top w:val="nil"/>
              <w:left w:val="nil"/>
              <w:bottom w:val="single" w:sz="4" w:space="0" w:color="auto"/>
              <w:right w:val="single" w:sz="4" w:space="0" w:color="auto"/>
            </w:tcBorders>
            <w:shd w:val="clear" w:color="auto" w:fill="auto"/>
            <w:noWrap/>
            <w:vAlign w:val="bottom"/>
            <w:hideMark/>
          </w:tcPr>
          <w:p w14:paraId="758A7478"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1</w:t>
            </w:r>
          </w:p>
        </w:tc>
        <w:tc>
          <w:tcPr>
            <w:tcW w:w="1530"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5BA319E0"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c>
          <w:tcPr>
            <w:tcW w:w="972" w:type="dxa"/>
            <w:tcBorders>
              <w:top w:val="single" w:sz="4" w:space="0" w:color="auto"/>
              <w:left w:val="single" w:sz="4" w:space="0" w:color="auto"/>
              <w:bottom w:val="single" w:sz="4" w:space="0" w:color="auto"/>
              <w:right w:val="single" w:sz="4" w:space="0" w:color="auto"/>
            </w:tcBorders>
            <w:shd w:val="clear" w:color="000000" w:fill="FCF6F9"/>
            <w:noWrap/>
            <w:vAlign w:val="bottom"/>
            <w:hideMark/>
          </w:tcPr>
          <w:p w14:paraId="1B249100"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c>
          <w:tcPr>
            <w:tcW w:w="972"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64DB72AE"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0,0%</w:t>
            </w:r>
          </w:p>
        </w:tc>
      </w:tr>
      <w:tr w:rsidR="006B5B80" w:rsidRPr="008E0E13" w14:paraId="5995E1BA" w14:textId="77777777" w:rsidTr="000C49A5">
        <w:trPr>
          <w:trHeight w:val="241"/>
        </w:trPr>
        <w:tc>
          <w:tcPr>
            <w:tcW w:w="4632" w:type="dxa"/>
            <w:tcBorders>
              <w:top w:val="nil"/>
              <w:left w:val="single" w:sz="4" w:space="0" w:color="auto"/>
              <w:bottom w:val="nil"/>
              <w:right w:val="single" w:sz="4" w:space="0" w:color="auto"/>
            </w:tcBorders>
            <w:shd w:val="clear" w:color="auto" w:fill="auto"/>
            <w:vAlign w:val="center"/>
            <w:hideMark/>
          </w:tcPr>
          <w:p w14:paraId="0629E219" w14:textId="77777777" w:rsidR="006B5B80" w:rsidRPr="008E0E13" w:rsidRDefault="006B5B80" w:rsidP="000C49A5">
            <w:pPr>
              <w:spacing w:before="0"/>
              <w:jc w:val="lef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Doprava, skladování a spoje</w:t>
            </w:r>
          </w:p>
        </w:tc>
        <w:tc>
          <w:tcPr>
            <w:tcW w:w="972" w:type="dxa"/>
            <w:tcBorders>
              <w:top w:val="nil"/>
              <w:left w:val="nil"/>
              <w:bottom w:val="nil"/>
              <w:right w:val="single" w:sz="4" w:space="0" w:color="auto"/>
            </w:tcBorders>
            <w:shd w:val="clear" w:color="auto" w:fill="auto"/>
            <w:noWrap/>
            <w:vAlign w:val="bottom"/>
            <w:hideMark/>
          </w:tcPr>
          <w:p w14:paraId="0FD38F42"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1</w:t>
            </w:r>
          </w:p>
        </w:tc>
        <w:tc>
          <w:tcPr>
            <w:tcW w:w="1530" w:type="dxa"/>
            <w:tcBorders>
              <w:top w:val="single" w:sz="4" w:space="0" w:color="auto"/>
              <w:left w:val="single" w:sz="4" w:space="0" w:color="auto"/>
              <w:bottom w:val="nil"/>
              <w:right w:val="single" w:sz="4" w:space="0" w:color="auto"/>
            </w:tcBorders>
            <w:shd w:val="clear" w:color="000000" w:fill="FCF6F9"/>
            <w:noWrap/>
            <w:vAlign w:val="bottom"/>
            <w:hideMark/>
          </w:tcPr>
          <w:p w14:paraId="422B96F7"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c>
          <w:tcPr>
            <w:tcW w:w="972" w:type="dxa"/>
            <w:tcBorders>
              <w:top w:val="single" w:sz="4" w:space="0" w:color="auto"/>
              <w:left w:val="single" w:sz="4" w:space="0" w:color="auto"/>
              <w:bottom w:val="nil"/>
              <w:right w:val="single" w:sz="4" w:space="0" w:color="auto"/>
            </w:tcBorders>
            <w:shd w:val="clear" w:color="000000" w:fill="FCFCFF"/>
            <w:noWrap/>
            <w:vAlign w:val="bottom"/>
            <w:hideMark/>
          </w:tcPr>
          <w:p w14:paraId="1D4B6038"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0,0%</w:t>
            </w:r>
          </w:p>
        </w:tc>
        <w:tc>
          <w:tcPr>
            <w:tcW w:w="972" w:type="dxa"/>
            <w:tcBorders>
              <w:top w:val="single" w:sz="4" w:space="0" w:color="auto"/>
              <w:left w:val="single" w:sz="4" w:space="0" w:color="auto"/>
              <w:bottom w:val="nil"/>
              <w:right w:val="single" w:sz="4" w:space="0" w:color="auto"/>
            </w:tcBorders>
            <w:shd w:val="clear" w:color="000000" w:fill="FCF6F9"/>
            <w:noWrap/>
            <w:vAlign w:val="bottom"/>
            <w:hideMark/>
          </w:tcPr>
          <w:p w14:paraId="6FB6F9B1" w14:textId="77777777" w:rsidR="006B5B80" w:rsidRPr="008E0E13" w:rsidRDefault="006B5B80" w:rsidP="000C49A5">
            <w:pPr>
              <w:spacing w:before="0"/>
              <w:jc w:val="right"/>
              <w:rPr>
                <w:rFonts w:ascii="Calibri" w:eastAsia="Times New Roman" w:hAnsi="Calibri" w:cs="Calibri"/>
                <w:color w:val="000000"/>
                <w:sz w:val="18"/>
                <w:szCs w:val="18"/>
                <w:lang w:eastAsia="cs-CZ"/>
              </w:rPr>
            </w:pPr>
            <w:r w:rsidRPr="008E0E13">
              <w:rPr>
                <w:rFonts w:ascii="Calibri" w:eastAsia="Times New Roman" w:hAnsi="Calibri" w:cs="Calibri"/>
                <w:color w:val="000000"/>
                <w:sz w:val="18"/>
                <w:szCs w:val="18"/>
                <w:lang w:eastAsia="cs-CZ"/>
              </w:rPr>
              <w:t>2,2%</w:t>
            </w:r>
          </w:p>
        </w:tc>
      </w:tr>
      <w:tr w:rsidR="006B5B80" w:rsidRPr="008E0E13" w14:paraId="225A75B2" w14:textId="77777777" w:rsidTr="000C49A5">
        <w:trPr>
          <w:trHeight w:val="241"/>
        </w:trPr>
        <w:tc>
          <w:tcPr>
            <w:tcW w:w="46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18219" w14:textId="77777777" w:rsidR="006B5B80" w:rsidRPr="008E0E13" w:rsidRDefault="006B5B80" w:rsidP="000C49A5">
            <w:pPr>
              <w:spacing w:before="0"/>
              <w:jc w:val="left"/>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 xml:space="preserve">Celkem </w:t>
            </w:r>
          </w:p>
        </w:tc>
        <w:tc>
          <w:tcPr>
            <w:tcW w:w="972" w:type="dxa"/>
            <w:tcBorders>
              <w:top w:val="single" w:sz="4" w:space="0" w:color="auto"/>
              <w:left w:val="nil"/>
              <w:bottom w:val="single" w:sz="4" w:space="0" w:color="auto"/>
              <w:right w:val="single" w:sz="4" w:space="0" w:color="auto"/>
            </w:tcBorders>
            <w:shd w:val="clear" w:color="auto" w:fill="auto"/>
            <w:noWrap/>
            <w:vAlign w:val="bottom"/>
            <w:hideMark/>
          </w:tcPr>
          <w:p w14:paraId="62E8D7A4" w14:textId="77777777" w:rsidR="006B5B80" w:rsidRPr="008E0E13" w:rsidRDefault="006B5B80" w:rsidP="000C49A5">
            <w:pPr>
              <w:spacing w:before="0"/>
              <w:jc w:val="right"/>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45</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19A59143" w14:textId="77777777" w:rsidR="006B5B80" w:rsidRPr="008E0E13" w:rsidRDefault="006B5B80" w:rsidP="000C49A5">
            <w:pPr>
              <w:spacing w:before="0"/>
              <w:jc w:val="right"/>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100,0%</w:t>
            </w:r>
          </w:p>
        </w:tc>
        <w:tc>
          <w:tcPr>
            <w:tcW w:w="972" w:type="dxa"/>
            <w:tcBorders>
              <w:top w:val="single" w:sz="4" w:space="0" w:color="auto"/>
              <w:left w:val="nil"/>
              <w:bottom w:val="single" w:sz="4" w:space="0" w:color="auto"/>
              <w:right w:val="single" w:sz="4" w:space="0" w:color="auto"/>
            </w:tcBorders>
            <w:shd w:val="clear" w:color="auto" w:fill="auto"/>
            <w:noWrap/>
            <w:vAlign w:val="bottom"/>
            <w:hideMark/>
          </w:tcPr>
          <w:p w14:paraId="7FC27347" w14:textId="77777777" w:rsidR="006B5B80" w:rsidRPr="008E0E13" w:rsidRDefault="006B5B80" w:rsidP="000C49A5">
            <w:pPr>
              <w:spacing w:before="0"/>
              <w:jc w:val="right"/>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31,1%</w:t>
            </w:r>
          </w:p>
        </w:tc>
        <w:tc>
          <w:tcPr>
            <w:tcW w:w="972" w:type="dxa"/>
            <w:tcBorders>
              <w:top w:val="single" w:sz="4" w:space="0" w:color="auto"/>
              <w:left w:val="nil"/>
              <w:bottom w:val="single" w:sz="4" w:space="0" w:color="auto"/>
              <w:right w:val="single" w:sz="4" w:space="0" w:color="auto"/>
            </w:tcBorders>
            <w:shd w:val="clear" w:color="auto" w:fill="auto"/>
            <w:noWrap/>
            <w:vAlign w:val="bottom"/>
            <w:hideMark/>
          </w:tcPr>
          <w:p w14:paraId="61CD76FB" w14:textId="77777777" w:rsidR="006B5B80" w:rsidRPr="008E0E13" w:rsidRDefault="006B5B80" w:rsidP="000C49A5">
            <w:pPr>
              <w:spacing w:before="0"/>
              <w:jc w:val="right"/>
              <w:rPr>
                <w:rFonts w:ascii="Calibri" w:eastAsia="Times New Roman" w:hAnsi="Calibri" w:cs="Calibri"/>
                <w:b/>
                <w:bCs/>
                <w:color w:val="000000"/>
                <w:sz w:val="18"/>
                <w:szCs w:val="18"/>
                <w:lang w:eastAsia="cs-CZ"/>
              </w:rPr>
            </w:pPr>
            <w:r w:rsidRPr="008E0E13">
              <w:rPr>
                <w:rFonts w:ascii="Calibri" w:eastAsia="Times New Roman" w:hAnsi="Calibri" w:cs="Calibri"/>
                <w:b/>
                <w:bCs/>
                <w:color w:val="000000"/>
                <w:sz w:val="18"/>
                <w:szCs w:val="18"/>
                <w:lang w:eastAsia="cs-CZ"/>
              </w:rPr>
              <w:t>68,9%</w:t>
            </w:r>
          </w:p>
        </w:tc>
      </w:tr>
    </w:tbl>
    <w:p w14:paraId="0361E078" w14:textId="30FA7A26" w:rsidR="006B5B80" w:rsidRPr="001A3416" w:rsidRDefault="006B5B80" w:rsidP="006B5B80">
      <w:pPr>
        <w:pStyle w:val="zdroj0"/>
      </w:pPr>
      <w:r w:rsidRPr="001A3416">
        <w:t>Zdroj: PROCES, Průzkum podnikatelského prostředí města Zlína, 2020</w:t>
      </w:r>
      <w:r w:rsidR="00E220FB">
        <w:t>.</w:t>
      </w:r>
    </w:p>
    <w:p w14:paraId="5CED14EA" w14:textId="02AD8190" w:rsidR="006B5B80" w:rsidRPr="001A3416" w:rsidRDefault="006B5B80" w:rsidP="006B5B80">
      <w:pPr>
        <w:rPr>
          <w:rFonts w:cstheme="minorHAnsi"/>
        </w:rPr>
      </w:pPr>
      <w:r w:rsidRPr="001A3416">
        <w:rPr>
          <w:rFonts w:cstheme="minorHAnsi"/>
        </w:rPr>
        <w:t xml:space="preserve">Z obrázku </w:t>
      </w:r>
      <w:r w:rsidR="003C47B2">
        <w:rPr>
          <w:rFonts w:cstheme="minorHAnsi"/>
        </w:rPr>
        <w:t>2.2</w:t>
      </w:r>
      <w:r w:rsidR="0096730F">
        <w:rPr>
          <w:rFonts w:cstheme="minorHAnsi"/>
        </w:rPr>
        <w:t>6</w:t>
      </w:r>
      <w:r w:rsidRPr="001A3416">
        <w:rPr>
          <w:rFonts w:cstheme="minorHAnsi"/>
        </w:rPr>
        <w:t xml:space="preserve"> vyplývá, že naprostá většina respondentů podniká ve Zlíně více než 15 let, z čehož je zřejmé, že město Zlín nabízí stabilní podnikatelské prostředí. Délka podnikání více než 15 let převažuje jak u respondentů z řad </w:t>
      </w:r>
      <w:r>
        <w:t>středních a velkých</w:t>
      </w:r>
      <w:r w:rsidRPr="001A3416">
        <w:rPr>
          <w:rFonts w:cstheme="minorHAnsi"/>
        </w:rPr>
        <w:t xml:space="preserve"> firem (94 % respondentů), tak malých firem (86 % respondentů). Průzkumu se účastnilo 7 % respondentů malých firem, jejichž podnikání netrvá déle než 5 let. </w:t>
      </w:r>
    </w:p>
    <w:p w14:paraId="0E482D20" w14:textId="77777777" w:rsidR="006B5B80" w:rsidRPr="001A3416" w:rsidRDefault="006B5B80" w:rsidP="006B5B80">
      <w:pPr>
        <w:rPr>
          <w:rFonts w:cstheme="minorHAnsi"/>
        </w:rPr>
      </w:pPr>
      <w:r w:rsidRPr="001A3416">
        <w:rPr>
          <w:rFonts w:cstheme="minorHAnsi"/>
        </w:rPr>
        <w:t>Všichni respondenti ve Zlíně provozují svou podnikatelskou činnost jako právnická osoba.</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36"/>
        <w:gridCol w:w="4536"/>
      </w:tblGrid>
      <w:tr w:rsidR="006B5B80" w:rsidRPr="001A3416" w14:paraId="7F2F792C" w14:textId="77777777" w:rsidTr="000C49A5">
        <w:tc>
          <w:tcPr>
            <w:tcW w:w="4536" w:type="dxa"/>
          </w:tcPr>
          <w:p w14:paraId="01F7EF7C" w14:textId="2BF033E5" w:rsidR="006B5B80" w:rsidRPr="001A3416" w:rsidRDefault="006B5B80" w:rsidP="000C49A5">
            <w:pPr>
              <w:pStyle w:val="Titulek"/>
              <w:jc w:val="left"/>
              <w:rPr>
                <w:rFonts w:cstheme="minorHAnsi"/>
                <w:sz w:val="22"/>
                <w:szCs w:val="22"/>
              </w:rPr>
            </w:pPr>
            <w:bookmarkStart w:id="900" w:name="_Toc50449007"/>
            <w:bookmarkStart w:id="901" w:name="_Toc54702798"/>
            <w:bookmarkStart w:id="902" w:name="_Toc56179604"/>
            <w:bookmarkStart w:id="903" w:name="_Toc77074946"/>
            <w:r w:rsidRPr="001A3416">
              <w:rPr>
                <w:rFonts w:cstheme="minorHAnsi"/>
                <w:noProof/>
                <w:sz w:val="22"/>
                <w:szCs w:val="22"/>
                <w:lang w:eastAsia="cs-CZ"/>
              </w:rPr>
              <w:drawing>
                <wp:anchor distT="0" distB="0" distL="114300" distR="114300" simplePos="0" relativeHeight="251749376" behindDoc="0" locked="0" layoutInCell="1" allowOverlap="1" wp14:anchorId="7407718E" wp14:editId="5C9C4594">
                  <wp:simplePos x="0" y="0"/>
                  <wp:positionH relativeFrom="column">
                    <wp:posOffset>-68580</wp:posOffset>
                  </wp:positionH>
                  <wp:positionV relativeFrom="paragraph">
                    <wp:posOffset>541020</wp:posOffset>
                  </wp:positionV>
                  <wp:extent cx="2647950" cy="2339975"/>
                  <wp:effectExtent l="0" t="0" r="0" b="3175"/>
                  <wp:wrapSquare wrapText="bothSides"/>
                  <wp:docPr id="370" name="Obráze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47950" cy="2339975"/>
                          </a:xfrm>
                          <a:prstGeom prst="rect">
                            <a:avLst/>
                          </a:prstGeom>
                          <a:noFill/>
                        </pic:spPr>
                      </pic:pic>
                    </a:graphicData>
                  </a:graphic>
                  <wp14:sizeRelH relativeFrom="margin">
                    <wp14:pctWidth>0</wp14:pctWidth>
                  </wp14:sizeRelH>
                  <wp14:sizeRelV relativeFrom="margin">
                    <wp14:pctHeight>0</wp14:pctHeight>
                  </wp14:sizeRelV>
                </wp:anchor>
              </w:drawing>
            </w:r>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25</w:t>
            </w:r>
            <w:r w:rsidR="00804AF3">
              <w:rPr>
                <w:noProof/>
              </w:rPr>
              <w:fldChar w:fldCharType="end"/>
            </w:r>
            <w:r w:rsidR="00E220FB">
              <w:rPr>
                <w:noProof/>
              </w:rPr>
              <w:t>:</w:t>
            </w:r>
            <w:r w:rsidRPr="001A3416">
              <w:rPr>
                <w:rFonts w:cstheme="minorHAnsi"/>
                <w:sz w:val="22"/>
                <w:szCs w:val="22"/>
              </w:rPr>
              <w:t xml:space="preserve"> </w:t>
            </w:r>
            <w:r w:rsidRPr="001A3416">
              <w:t>Délka podnikání veškerých respondentů</w:t>
            </w:r>
            <w:bookmarkEnd w:id="900"/>
            <w:bookmarkEnd w:id="901"/>
            <w:bookmarkEnd w:id="902"/>
            <w:bookmarkEnd w:id="903"/>
          </w:p>
        </w:tc>
        <w:tc>
          <w:tcPr>
            <w:tcW w:w="4536" w:type="dxa"/>
          </w:tcPr>
          <w:p w14:paraId="4C527148" w14:textId="77777777" w:rsidR="00332A29" w:rsidRDefault="006B5B80" w:rsidP="000C49A5">
            <w:pPr>
              <w:pStyle w:val="Titulek"/>
            </w:pPr>
            <w:bookmarkStart w:id="904" w:name="_Toc77074947"/>
            <w:bookmarkStart w:id="905" w:name="_Toc50449008"/>
            <w:bookmarkStart w:id="906" w:name="_Toc54702799"/>
            <w:bookmarkStart w:id="907" w:name="_Toc56179605"/>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26</w:t>
            </w:r>
            <w:r w:rsidR="00804AF3">
              <w:rPr>
                <w:noProof/>
              </w:rPr>
              <w:fldChar w:fldCharType="end"/>
            </w:r>
            <w:r w:rsidR="00E220FB">
              <w:rPr>
                <w:noProof/>
              </w:rPr>
              <w:t>:</w:t>
            </w:r>
            <w:r w:rsidRPr="001A3416">
              <w:rPr>
                <w:rFonts w:cstheme="minorHAnsi"/>
                <w:sz w:val="22"/>
                <w:szCs w:val="22"/>
              </w:rPr>
              <w:t xml:space="preserve"> </w:t>
            </w:r>
            <w:r w:rsidRPr="001A3416">
              <w:t>Délka podnikání respondentů podle velikosti firem</w:t>
            </w:r>
            <w:bookmarkEnd w:id="904"/>
          </w:p>
          <w:p w14:paraId="1FAB06C5" w14:textId="11D0C23B" w:rsidR="006B5B80" w:rsidRPr="001A3416" w:rsidRDefault="006B5B80" w:rsidP="000C49A5">
            <w:pPr>
              <w:pStyle w:val="Titulek"/>
              <w:rPr>
                <w:rFonts w:cstheme="minorHAnsi"/>
                <w:sz w:val="22"/>
                <w:szCs w:val="22"/>
              </w:rPr>
            </w:pPr>
            <w:r>
              <w:rPr>
                <w:noProof/>
                <w:lang w:eastAsia="cs-CZ"/>
              </w:rPr>
              <w:drawing>
                <wp:inline distT="0" distB="0" distL="0" distR="0" wp14:anchorId="7226154E" wp14:editId="3A0C49AC">
                  <wp:extent cx="2725420" cy="2481580"/>
                  <wp:effectExtent l="0" t="0" r="0" b="0"/>
                  <wp:docPr id="371" name="Obráze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725420" cy="2481580"/>
                          </a:xfrm>
                          <a:prstGeom prst="rect">
                            <a:avLst/>
                          </a:prstGeom>
                          <a:noFill/>
                        </pic:spPr>
                      </pic:pic>
                    </a:graphicData>
                  </a:graphic>
                </wp:inline>
              </w:drawing>
            </w:r>
            <w:bookmarkEnd w:id="905"/>
            <w:bookmarkEnd w:id="906"/>
            <w:bookmarkEnd w:id="907"/>
          </w:p>
        </w:tc>
      </w:tr>
    </w:tbl>
    <w:p w14:paraId="5B489A5F" w14:textId="11DA0AEE" w:rsidR="006B5B80" w:rsidRPr="001A3416" w:rsidRDefault="006B5B80" w:rsidP="006B5B80">
      <w:pPr>
        <w:pStyle w:val="zdroj0"/>
      </w:pPr>
      <w:r w:rsidRPr="001A3416">
        <w:t>Zdroj: PROCES, Průzkum podnikatelského prostředí města Zlína, 2020</w:t>
      </w:r>
      <w:r w:rsidR="00E220FB">
        <w:t>.</w:t>
      </w:r>
    </w:p>
    <w:p w14:paraId="0B57256D" w14:textId="77777777" w:rsidR="006B5B80" w:rsidRPr="001A3416" w:rsidRDefault="006B5B80" w:rsidP="006B5B80">
      <w:pPr>
        <w:pStyle w:val="Nadpis3"/>
      </w:pPr>
      <w:bookmarkStart w:id="908" w:name="_Toc50449103"/>
      <w:bookmarkStart w:id="909" w:name="_Toc77074645"/>
      <w:r w:rsidRPr="001A3416">
        <w:t>Hodnocení podnikatelského prostředí ve městě</w:t>
      </w:r>
      <w:bookmarkEnd w:id="908"/>
      <w:bookmarkEnd w:id="909"/>
    </w:p>
    <w:p w14:paraId="29438431" w14:textId="77777777" w:rsidR="006B5B80" w:rsidRPr="001A3416" w:rsidRDefault="006B5B80" w:rsidP="006B5B80">
      <w:pPr>
        <w:pStyle w:val="Nadpis4"/>
      </w:pPr>
      <w:bookmarkStart w:id="910" w:name="_Toc50449104"/>
      <w:r w:rsidRPr="001A3416">
        <w:t>Bariéry rozvoje</w:t>
      </w:r>
      <w:bookmarkEnd w:id="910"/>
    </w:p>
    <w:p w14:paraId="1E330B1E" w14:textId="7DFC526D" w:rsidR="006B5B80" w:rsidRPr="001A3416" w:rsidRDefault="006B5B80" w:rsidP="006B5B80">
      <w:pPr>
        <w:rPr>
          <w:rFonts w:cstheme="minorHAnsi"/>
        </w:rPr>
      </w:pPr>
      <w:r w:rsidRPr="001A3416">
        <w:rPr>
          <w:rFonts w:cstheme="minorHAnsi"/>
        </w:rPr>
        <w:t xml:space="preserve">Zhruba polovina (53,3 %) respondentů v posledních měsících pocítila negativní dopad na své podnikání vlivem ekonomické recese (spíše se jedná o </w:t>
      </w:r>
      <w:r>
        <w:t>střední a velké</w:t>
      </w:r>
      <w:r w:rsidRPr="001A3416">
        <w:rPr>
          <w:rFonts w:cstheme="minorHAnsi"/>
        </w:rPr>
        <w:t xml:space="preserve"> firmy). </w:t>
      </w:r>
      <w:r>
        <w:rPr>
          <w:rFonts w:cstheme="minorHAnsi"/>
        </w:rPr>
        <w:t>Ekonomická recese je způsobena dopade</w:t>
      </w:r>
      <w:r w:rsidRPr="000C537B">
        <w:rPr>
          <w:rFonts w:cstheme="minorHAnsi"/>
        </w:rPr>
        <w:t>m globáln</w:t>
      </w:r>
      <w:r>
        <w:rPr>
          <w:rFonts w:cstheme="minorHAnsi"/>
        </w:rPr>
        <w:t xml:space="preserve">í pandemie nemoci </w:t>
      </w:r>
      <w:r w:rsidR="00E220FB">
        <w:rPr>
          <w:rFonts w:cstheme="minorHAnsi"/>
        </w:rPr>
        <w:t>C</w:t>
      </w:r>
      <w:r>
        <w:rPr>
          <w:rFonts w:cstheme="minorHAnsi"/>
        </w:rPr>
        <w:t xml:space="preserve">ovid-19. </w:t>
      </w:r>
      <w:r w:rsidRPr="001A3416">
        <w:rPr>
          <w:rFonts w:cstheme="minorHAnsi"/>
        </w:rPr>
        <w:t>Celkem u 24,4 % respondentů došlo k dočasnému snížení odbytu a u 28,9 % respondentů stále trvá snížený odbyt a podnik uvažuje o propouštění</w:t>
      </w:r>
      <w:r>
        <w:rPr>
          <w:rFonts w:cstheme="minorHAnsi"/>
        </w:rPr>
        <w:t xml:space="preserve"> zaměstnanců</w:t>
      </w:r>
      <w:r w:rsidRPr="001A3416">
        <w:rPr>
          <w:rFonts w:cstheme="minorHAnsi"/>
        </w:rPr>
        <w:t>. Celkem 17,8 % odpovídajících subjektů negativní dopad současné ekonomické situace nepocítilo (spíše se jedná o malé firmy) a 8,9 % dokonce zaznamenalo v posledních měsících růst. Nikdo z respondentů neuvedl, že má vážné existenční problémy (viz graf v</w:t>
      </w:r>
      <w:r w:rsidR="003C47B2">
        <w:rPr>
          <w:rFonts w:cstheme="minorHAnsi"/>
        </w:rPr>
        <w:t> </w:t>
      </w:r>
      <w:r w:rsidRPr="001A3416">
        <w:rPr>
          <w:rFonts w:cstheme="minorHAnsi"/>
        </w:rPr>
        <w:t>obrázku</w:t>
      </w:r>
      <w:r w:rsidR="003C47B2">
        <w:rPr>
          <w:rFonts w:cstheme="minorHAnsi"/>
        </w:rPr>
        <w:t xml:space="preserve"> 2.2</w:t>
      </w:r>
      <w:r w:rsidR="0096730F">
        <w:rPr>
          <w:rFonts w:cstheme="minorHAnsi"/>
        </w:rPr>
        <w:t>7</w:t>
      </w:r>
      <w:r w:rsidRPr="001A3416">
        <w:rPr>
          <w:rFonts w:cstheme="minorHAnsi"/>
        </w:rPr>
        <w:t xml:space="preserve">). </w:t>
      </w:r>
      <w:r>
        <w:rPr>
          <w:rFonts w:cstheme="minorHAnsi"/>
        </w:rPr>
        <w:t>V možnosti jiné 3 podniky uvedly, že stále snížený odbyt trvá a 3 podniky uvedly, že snížený odbyt trvá, ale neplánují propouštění.</w:t>
      </w:r>
    </w:p>
    <w:p w14:paraId="273E4408" w14:textId="0876E87C" w:rsidR="006B5B80" w:rsidRPr="001A3416" w:rsidRDefault="006B5B80" w:rsidP="006B5B80">
      <w:pPr>
        <w:pStyle w:val="Titulek"/>
        <w:keepNext/>
        <w:keepLines/>
        <w:rPr>
          <w:rFonts w:cstheme="minorHAnsi"/>
          <w:sz w:val="22"/>
          <w:szCs w:val="22"/>
        </w:rPr>
      </w:pPr>
      <w:bookmarkStart w:id="911" w:name="_Toc50449009"/>
      <w:bookmarkStart w:id="912" w:name="_Toc54702800"/>
      <w:bookmarkStart w:id="913" w:name="_Toc56179606"/>
      <w:bookmarkStart w:id="914" w:name="_Toc77074948"/>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27</w:t>
      </w:r>
      <w:r w:rsidR="00804AF3">
        <w:rPr>
          <w:noProof/>
        </w:rPr>
        <w:fldChar w:fldCharType="end"/>
      </w:r>
      <w:r w:rsidR="00E220FB">
        <w:rPr>
          <w:noProof/>
        </w:rPr>
        <w:t>:</w:t>
      </w:r>
      <w:r w:rsidRPr="001A3416">
        <w:t xml:space="preserve"> Vliv ekonomické situace na podnikání respondentů</w:t>
      </w:r>
      <w:bookmarkEnd w:id="911"/>
      <w:bookmarkEnd w:id="912"/>
      <w:bookmarkEnd w:id="913"/>
      <w:bookmarkEnd w:id="914"/>
    </w:p>
    <w:p w14:paraId="1AC4C159" w14:textId="77777777" w:rsidR="006B5B80" w:rsidRPr="001A3416" w:rsidRDefault="006B5B80" w:rsidP="006B5B80">
      <w:r>
        <w:rPr>
          <w:noProof/>
          <w:lang w:eastAsia="cs-CZ"/>
        </w:rPr>
        <w:drawing>
          <wp:inline distT="0" distB="0" distL="0" distR="0" wp14:anchorId="04731A8A" wp14:editId="4ECDC572">
            <wp:extent cx="5773420" cy="2341245"/>
            <wp:effectExtent l="0" t="0" r="0" b="1905"/>
            <wp:docPr id="372" name="Obráze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73420" cy="2341245"/>
                    </a:xfrm>
                    <a:prstGeom prst="rect">
                      <a:avLst/>
                    </a:prstGeom>
                    <a:noFill/>
                  </pic:spPr>
                </pic:pic>
              </a:graphicData>
            </a:graphic>
          </wp:inline>
        </w:drawing>
      </w:r>
    </w:p>
    <w:p w14:paraId="093A3007" w14:textId="43985B63" w:rsidR="006B5B80" w:rsidRPr="001A3416" w:rsidRDefault="006B5B80" w:rsidP="006B5B80">
      <w:pPr>
        <w:pStyle w:val="Zdroj"/>
      </w:pPr>
      <w:r w:rsidRPr="001A3416">
        <w:t>Zdroj: PROCES, Průzkum podnikatelského prostředí města Zlína, 2020</w:t>
      </w:r>
      <w:r w:rsidR="00E220FB">
        <w:t>;</w:t>
      </w:r>
      <w:r>
        <w:t xml:space="preserve"> </w:t>
      </w:r>
      <w:r>
        <w:rPr>
          <w:rFonts w:cstheme="minorHAnsi"/>
        </w:rPr>
        <w:t xml:space="preserve">Otázka č. 1: </w:t>
      </w:r>
      <w:r w:rsidRPr="000D6DDF">
        <w:rPr>
          <w:rFonts w:cstheme="minorHAnsi"/>
        </w:rPr>
        <w:t>Nakolik současná ekonomická situace ovlivnila Vaše podnikání?</w:t>
      </w:r>
    </w:p>
    <w:p w14:paraId="185134F7" w14:textId="2F6E605C" w:rsidR="006B5B80" w:rsidRPr="001A3416" w:rsidRDefault="006B5B80" w:rsidP="006B5B80">
      <w:pPr>
        <w:rPr>
          <w:rFonts w:cstheme="minorHAnsi"/>
        </w:rPr>
      </w:pPr>
      <w:r>
        <w:rPr>
          <w:rFonts w:cstheme="minorHAnsi"/>
        </w:rPr>
        <w:t xml:space="preserve">Respondenti hodnotili bariéry rozvoje podnikání ve městě v uzavřené otázce. Měli možnost vybírat bariéry z 19 faktorů. </w:t>
      </w:r>
      <w:r w:rsidRPr="001A3416">
        <w:rPr>
          <w:rFonts w:cstheme="minorHAnsi"/>
        </w:rPr>
        <w:t>Nejčastěji zmiňovaným negativním faktorem pro rozvoj podnikání ve městě Zlín byl nedostatek kvalifikované pracovní síly (85 % respondentů uvedlo, že tento faktor negativně ovlivňuje jejich podnikání) a náklady na mzdy (81 % respondentů). Pro 77 % respondentů je překážkou rozvoje jejich podnikání domácí konkurence. Celkem 72 % dotázaných označilo za negativní vliv současnou ekonomickou situaci ČR a 60 % ceny vstupů (materiál, energie atd.). Téměř polovina respondentů pociťuje při svém podnikání jako limitující faktor nedostatečné prostory – budovy a</w:t>
      </w:r>
      <w:r w:rsidR="00E220FB">
        <w:rPr>
          <w:rFonts w:cstheme="minorHAnsi"/>
        </w:rPr>
        <w:t> </w:t>
      </w:r>
      <w:r w:rsidRPr="001A3416">
        <w:rPr>
          <w:rFonts w:cstheme="minorHAnsi"/>
        </w:rPr>
        <w:t>pozemky a také zahraniční konkurenci. Ostatní faktory, které jsou uvedeny v grafu na obrázku</w:t>
      </w:r>
      <w:r w:rsidR="003C47B2">
        <w:rPr>
          <w:rFonts w:cstheme="minorHAnsi"/>
        </w:rPr>
        <w:t xml:space="preserve"> 2.2</w:t>
      </w:r>
      <w:r w:rsidR="0096730F">
        <w:rPr>
          <w:rFonts w:cstheme="minorHAnsi"/>
        </w:rPr>
        <w:t>8</w:t>
      </w:r>
      <w:r w:rsidRPr="001A3416">
        <w:rPr>
          <w:rFonts w:cstheme="minorHAnsi"/>
        </w:rPr>
        <w:t>, většina podnikatelských subjektů nevnímá jako zásadní bariéru pro rozvoj svého podnikání.</w:t>
      </w:r>
    </w:p>
    <w:p w14:paraId="7E69B8F3" w14:textId="77777777" w:rsidR="006B5B80" w:rsidRPr="001A3416" w:rsidRDefault="006B5B80" w:rsidP="006B5B80">
      <w:pPr>
        <w:rPr>
          <w:rFonts w:cstheme="minorHAnsi"/>
        </w:rPr>
      </w:pPr>
      <w:r w:rsidRPr="001A3416">
        <w:rPr>
          <w:rFonts w:cstheme="minorHAnsi"/>
        </w:rPr>
        <w:t xml:space="preserve">Zatímco </w:t>
      </w:r>
      <w:r>
        <w:rPr>
          <w:rFonts w:cstheme="minorHAnsi"/>
        </w:rPr>
        <w:t xml:space="preserve">zástupci </w:t>
      </w:r>
      <w:r>
        <w:t>středních a velkých</w:t>
      </w:r>
      <w:r w:rsidRPr="001A3416">
        <w:rPr>
          <w:rFonts w:cstheme="minorHAnsi"/>
        </w:rPr>
        <w:t xml:space="preserve"> fir</w:t>
      </w:r>
      <w:r>
        <w:rPr>
          <w:rFonts w:cstheme="minorHAnsi"/>
        </w:rPr>
        <w:t>em</w:t>
      </w:r>
      <w:r w:rsidRPr="001A3416">
        <w:rPr>
          <w:rFonts w:cstheme="minorHAnsi"/>
        </w:rPr>
        <w:t xml:space="preserve"> vidí největší bariéry rozvoje podnikání v nedostatku kvalifikovaných pracovních sil, náklady na mzdy, domácí konkurenci a ceny vstupů, malé firmy nejčastěji uváděly na prvním místě ekonomickou situaci ČR.</w:t>
      </w:r>
    </w:p>
    <w:p w14:paraId="38E93E96" w14:textId="11771596" w:rsidR="006B5B80" w:rsidRPr="001A3416" w:rsidRDefault="006B5B80" w:rsidP="006B5B80">
      <w:pPr>
        <w:rPr>
          <w:rFonts w:cstheme="minorHAnsi"/>
        </w:rPr>
      </w:pPr>
      <w:r w:rsidRPr="001A3416">
        <w:rPr>
          <w:rFonts w:cstheme="minorHAnsi"/>
        </w:rPr>
        <w:t>Z výstupů průzkumu podnikatelského prostředí, který byl proveden firmou Bergman Group v</w:t>
      </w:r>
      <w:r>
        <w:rPr>
          <w:rFonts w:cstheme="minorHAnsi"/>
        </w:rPr>
        <w:t> roce 2006, vyplývá, že firmy ve městě Zlíně</w:t>
      </w:r>
      <w:r w:rsidRPr="001A3416">
        <w:rPr>
          <w:rFonts w:cstheme="minorHAnsi"/>
        </w:rPr>
        <w:t xml:space="preserve"> dlouhodobě řeší problém nedostupnosti kvalifikovaných pracovníků, jako bariéru v podnikání stále vidí náklady na mzdy, což patřilo mezi nejčastější 4 odpovědi </w:t>
      </w:r>
      <w:r w:rsidR="00E220FB">
        <w:rPr>
          <w:rFonts w:cstheme="minorHAnsi"/>
        </w:rPr>
        <w:t>v </w:t>
      </w:r>
      <w:r w:rsidRPr="001A3416">
        <w:rPr>
          <w:rFonts w:cstheme="minorHAnsi"/>
        </w:rPr>
        <w:t>roce 2006.  Oproti současnému šetření v roce 2006 podniky označily za bariéru nejčastěji cenu vstupů a</w:t>
      </w:r>
      <w:r w:rsidR="00E220FB">
        <w:rPr>
          <w:rFonts w:cstheme="minorHAnsi"/>
        </w:rPr>
        <w:t> </w:t>
      </w:r>
      <w:r w:rsidRPr="001A3416">
        <w:rPr>
          <w:rFonts w:cstheme="minorHAnsi"/>
        </w:rPr>
        <w:t>také kurs koruny.</w:t>
      </w:r>
    </w:p>
    <w:p w14:paraId="6712C127" w14:textId="7ADEA651" w:rsidR="006B5B80" w:rsidRPr="001A3416" w:rsidRDefault="006B5B80" w:rsidP="006B5B80">
      <w:pPr>
        <w:rPr>
          <w:rFonts w:cstheme="minorHAnsi"/>
        </w:rPr>
      </w:pPr>
      <w:r w:rsidRPr="001A3416">
        <w:rPr>
          <w:rFonts w:cstheme="minorHAnsi"/>
        </w:rPr>
        <w:t>Respondenti měli možnost uvést další omezující faktory rozvoje podnikání v rámci otevřené otázky. K</w:t>
      </w:r>
      <w:r w:rsidR="00E220FB">
        <w:rPr>
          <w:rFonts w:cstheme="minorHAnsi"/>
        </w:rPr>
        <w:t> </w:t>
      </w:r>
      <w:r w:rsidRPr="001A3416">
        <w:rPr>
          <w:rFonts w:cstheme="minorHAnsi"/>
        </w:rPr>
        <w:t xml:space="preserve">oblastem, na které podnikatelské subjekty nejčastěji v rámci této otázky upozorňovali, patřila nedostatečná dopravní infrastruktura a </w:t>
      </w:r>
      <w:r>
        <w:rPr>
          <w:rFonts w:cstheme="minorHAnsi"/>
        </w:rPr>
        <w:t>nevyhovující stav komunikací</w:t>
      </w:r>
      <w:r w:rsidRPr="001A3416">
        <w:rPr>
          <w:rFonts w:cstheme="minorHAnsi"/>
        </w:rPr>
        <w:t xml:space="preserve"> (např. </w:t>
      </w:r>
      <w:r w:rsidRPr="001A3416">
        <w:rPr>
          <w:rFonts w:cstheme="minorHAnsi"/>
          <w:i/>
        </w:rPr>
        <w:t>přetížená tř. T. Bati, přístup do areálu SVIT od Prštného, řídká dálniční síť v ČR a špatný stav dálnic, špatné dopravní napojení průmyslové zóny Příluk pro nákladní přepravu - havarijní stav mostu do průmyslové zóny Příluky, napojení průmyslového areálu Zlín Rybníky na silniční síť, špatný přístup pro pěší</w:t>
      </w:r>
      <w:r w:rsidRPr="001A3416">
        <w:rPr>
          <w:rFonts w:cstheme="minorHAnsi"/>
        </w:rPr>
        <w:t xml:space="preserve">). Následně byla za bariéru označena nepružná a měnící se legislativa, zákony a také nedostatek rozvojových ploch pro podnikání. Krajská nemocnice zmínila dopad pandemie koronaviru na ekonomiku nemocnice. </w:t>
      </w:r>
    </w:p>
    <w:p w14:paraId="5588EC01" w14:textId="77777777" w:rsidR="006B5B80" w:rsidRPr="001A3416" w:rsidRDefault="006B5B80" w:rsidP="006B5B80">
      <w:pPr>
        <w:keepNext/>
        <w:rPr>
          <w:rFonts w:cstheme="minorHAnsi"/>
        </w:rPr>
      </w:pPr>
      <w:r w:rsidRPr="001A3416">
        <w:rPr>
          <w:rFonts w:cstheme="minorHAnsi"/>
        </w:rPr>
        <w:t xml:space="preserve">Jako </w:t>
      </w:r>
      <w:r w:rsidRPr="001A3416">
        <w:rPr>
          <w:rFonts w:cstheme="minorHAnsi"/>
          <w:b/>
        </w:rPr>
        <w:t>ostatní faktory</w:t>
      </w:r>
      <w:r w:rsidRPr="001A3416">
        <w:rPr>
          <w:rFonts w:cstheme="minorHAnsi"/>
        </w:rPr>
        <w:t xml:space="preserve"> omezující podnikání respondenti uvedli (jedná se o odpovědi jednotlivců): </w:t>
      </w:r>
    </w:p>
    <w:p w14:paraId="00D2BF5A" w14:textId="61349694" w:rsidR="006B5B80" w:rsidRPr="001A3416" w:rsidRDefault="006B5B80" w:rsidP="00A55F7D">
      <w:pPr>
        <w:pStyle w:val="Odstavecseseznamem"/>
        <w:numPr>
          <w:ilvl w:val="0"/>
          <w:numId w:val="89"/>
        </w:numPr>
        <w:rPr>
          <w:rFonts w:cstheme="minorHAnsi"/>
          <w:i/>
        </w:rPr>
      </w:pPr>
      <w:r w:rsidRPr="001A3416">
        <w:rPr>
          <w:rFonts w:cstheme="minorHAnsi"/>
          <w:i/>
        </w:rPr>
        <w:t>nepřítomnost větších firem</w:t>
      </w:r>
      <w:r w:rsidR="00E220FB">
        <w:rPr>
          <w:rFonts w:cstheme="minorHAnsi"/>
          <w:i/>
        </w:rPr>
        <w:t>,</w:t>
      </w:r>
    </w:p>
    <w:p w14:paraId="3003A322" w14:textId="39819245" w:rsidR="006B5B80" w:rsidRPr="001A3416" w:rsidRDefault="006B5B80" w:rsidP="00A55F7D">
      <w:pPr>
        <w:pStyle w:val="Odstavecseseznamem"/>
        <w:numPr>
          <w:ilvl w:val="0"/>
          <w:numId w:val="89"/>
        </w:numPr>
        <w:rPr>
          <w:rFonts w:cstheme="minorHAnsi"/>
          <w:i/>
        </w:rPr>
      </w:pPr>
      <w:r w:rsidRPr="001A3416">
        <w:rPr>
          <w:rFonts w:cstheme="minorHAnsi"/>
          <w:i/>
        </w:rPr>
        <w:t>malá podpora ze strany MMZ pro rozvoj podnikání v bývalém areálu Baťových závodů</w:t>
      </w:r>
      <w:r w:rsidR="00E220FB">
        <w:rPr>
          <w:rFonts w:cstheme="minorHAnsi"/>
          <w:i/>
        </w:rPr>
        <w:t>,</w:t>
      </w:r>
    </w:p>
    <w:p w14:paraId="1696151D" w14:textId="1E4ACA19" w:rsidR="006B5B80" w:rsidRPr="001A3416" w:rsidRDefault="006B5B80" w:rsidP="00A55F7D">
      <w:pPr>
        <w:pStyle w:val="Odstavecseseznamem"/>
        <w:numPr>
          <w:ilvl w:val="0"/>
          <w:numId w:val="89"/>
        </w:numPr>
        <w:rPr>
          <w:rFonts w:cstheme="minorHAnsi"/>
          <w:i/>
        </w:rPr>
      </w:pPr>
      <w:r w:rsidRPr="001A3416">
        <w:rPr>
          <w:rFonts w:cstheme="minorHAnsi"/>
          <w:i/>
        </w:rPr>
        <w:t>obecná délka a finanční náročnost stavebního řízení</w:t>
      </w:r>
      <w:r w:rsidR="00E220FB">
        <w:rPr>
          <w:rFonts w:cstheme="minorHAnsi"/>
          <w:i/>
        </w:rPr>
        <w:t>,</w:t>
      </w:r>
    </w:p>
    <w:p w14:paraId="16B4BCA3" w14:textId="3AD52720" w:rsidR="006B5B80" w:rsidRPr="001A3416" w:rsidRDefault="006B5B80" w:rsidP="00A55F7D">
      <w:pPr>
        <w:pStyle w:val="Odstavecseseznamem"/>
        <w:numPr>
          <w:ilvl w:val="0"/>
          <w:numId w:val="89"/>
        </w:numPr>
        <w:rPr>
          <w:rFonts w:cstheme="minorHAnsi"/>
          <w:i/>
        </w:rPr>
      </w:pPr>
      <w:r w:rsidRPr="001A3416">
        <w:rPr>
          <w:rFonts w:cstheme="minorHAnsi"/>
          <w:i/>
        </w:rPr>
        <w:t>neúnosné množství místní správou povolené konkurence tedy zahraničních řetězců provozujících maloobchodní činnost</w:t>
      </w:r>
      <w:r w:rsidR="00E220FB">
        <w:rPr>
          <w:rFonts w:cstheme="minorHAnsi"/>
          <w:i/>
        </w:rPr>
        <w:t>,</w:t>
      </w:r>
    </w:p>
    <w:p w14:paraId="2EB572CC" w14:textId="77777777" w:rsidR="006B5B80" w:rsidRPr="001A3416" w:rsidRDefault="006B5B80" w:rsidP="00A55F7D">
      <w:pPr>
        <w:pStyle w:val="Odstavecseseznamem"/>
        <w:numPr>
          <w:ilvl w:val="0"/>
          <w:numId w:val="89"/>
        </w:numPr>
        <w:rPr>
          <w:rFonts w:cstheme="minorHAnsi"/>
          <w:i/>
        </w:rPr>
      </w:pPr>
      <w:r w:rsidRPr="001A3416">
        <w:rPr>
          <w:rFonts w:cstheme="minorHAnsi"/>
          <w:i/>
        </w:rPr>
        <w:t xml:space="preserve">digitalizace a elektronické propojení orgánů veřejné správy na všech úrovních, </w:t>
      </w:r>
    </w:p>
    <w:p w14:paraId="0201D970" w14:textId="4A9F6D65" w:rsidR="006B5B80" w:rsidRPr="001A3416" w:rsidRDefault="006B5B80" w:rsidP="00A55F7D">
      <w:pPr>
        <w:pStyle w:val="Odstavecseseznamem"/>
        <w:numPr>
          <w:ilvl w:val="0"/>
          <w:numId w:val="89"/>
        </w:numPr>
        <w:rPr>
          <w:rFonts w:cstheme="minorHAnsi"/>
          <w:i/>
        </w:rPr>
      </w:pPr>
      <w:r w:rsidRPr="001A3416">
        <w:rPr>
          <w:rFonts w:cstheme="minorHAnsi"/>
          <w:i/>
        </w:rPr>
        <w:t>přehlížení soukromého zdravotnického zařízení v mnoha ohledech, zejména z pohledu Odboru zdravotnictví Zlínského kraje</w:t>
      </w:r>
      <w:r w:rsidR="00E220FB">
        <w:rPr>
          <w:rFonts w:cstheme="minorHAnsi"/>
          <w:i/>
        </w:rPr>
        <w:t>.</w:t>
      </w:r>
      <w:r w:rsidRPr="001A3416">
        <w:rPr>
          <w:rFonts w:cstheme="minorHAnsi"/>
          <w:i/>
        </w:rPr>
        <w:t xml:space="preserve"> </w:t>
      </w:r>
    </w:p>
    <w:p w14:paraId="1BFF46F0" w14:textId="2AA795D8" w:rsidR="006B5B80" w:rsidRPr="001A3416" w:rsidRDefault="006B5B80" w:rsidP="006B5B80">
      <w:pPr>
        <w:pStyle w:val="Titulek"/>
        <w:keepNext/>
        <w:keepLines/>
      </w:pPr>
      <w:bookmarkStart w:id="915" w:name="_Toc50449010"/>
      <w:bookmarkStart w:id="916" w:name="_Toc54702801"/>
      <w:bookmarkStart w:id="917" w:name="_Toc56179607"/>
      <w:bookmarkStart w:id="918" w:name="_Toc77074949"/>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28</w:t>
      </w:r>
      <w:r w:rsidR="00804AF3">
        <w:rPr>
          <w:noProof/>
        </w:rPr>
        <w:fldChar w:fldCharType="end"/>
      </w:r>
      <w:r w:rsidR="00E220FB">
        <w:rPr>
          <w:noProof/>
        </w:rPr>
        <w:t>:</w:t>
      </w:r>
      <w:r w:rsidRPr="001A3416">
        <w:t xml:space="preserve"> Bariéry rozvoje podnikání firem Zlína</w:t>
      </w:r>
      <w:bookmarkEnd w:id="915"/>
      <w:bookmarkEnd w:id="916"/>
      <w:bookmarkEnd w:id="917"/>
      <w:bookmarkEnd w:id="918"/>
    </w:p>
    <w:p w14:paraId="2B512B96" w14:textId="2E3EA4B1" w:rsidR="006B5B80" w:rsidRPr="001A3416" w:rsidRDefault="006B5B80" w:rsidP="006B5B80">
      <w:pPr>
        <w:pStyle w:val="Zdroj"/>
      </w:pPr>
      <w:r w:rsidRPr="001A3416">
        <w:rPr>
          <w:noProof/>
          <w:sz w:val="22"/>
        </w:rPr>
        <w:drawing>
          <wp:inline distT="0" distB="0" distL="0" distR="0" wp14:anchorId="471C91C9" wp14:editId="2E11B106">
            <wp:extent cx="5760000" cy="4285251"/>
            <wp:effectExtent l="0" t="0" r="0" b="1270"/>
            <wp:docPr id="373" name="Obráze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0000" cy="4285251"/>
                    </a:xfrm>
                    <a:prstGeom prst="rect">
                      <a:avLst/>
                    </a:prstGeom>
                    <a:noFill/>
                  </pic:spPr>
                </pic:pic>
              </a:graphicData>
            </a:graphic>
          </wp:inline>
        </w:drawing>
      </w:r>
      <w:r w:rsidRPr="001A3416">
        <w:t xml:space="preserve"> Zdroj: PROCES, Průzkum podnikatelského prostředí města Zlína, 2020</w:t>
      </w:r>
      <w:r w:rsidR="00E220FB">
        <w:t>;</w:t>
      </w:r>
      <w:r>
        <w:t xml:space="preserve"> </w:t>
      </w:r>
      <w:r>
        <w:rPr>
          <w:rFonts w:cstheme="minorHAnsi"/>
        </w:rPr>
        <w:t xml:space="preserve">Otázka č. 2: </w:t>
      </w:r>
      <w:r w:rsidRPr="000D6DDF">
        <w:rPr>
          <w:rFonts w:cstheme="minorHAnsi"/>
        </w:rPr>
        <w:t>Jaké jsou bariéry rozvoje Vašeho podnikání?</w:t>
      </w:r>
    </w:p>
    <w:p w14:paraId="6401E9C7" w14:textId="77777777" w:rsidR="006B5B80" w:rsidRPr="001A3416" w:rsidRDefault="006B5B80" w:rsidP="006B5B80">
      <w:pPr>
        <w:pStyle w:val="Nadpis4"/>
      </w:pPr>
      <w:bookmarkStart w:id="919" w:name="_Toc50449105"/>
      <w:r w:rsidRPr="001A3416">
        <w:t>Spokojenost s podnikatelským prostředí</w:t>
      </w:r>
      <w:r>
        <w:t>m</w:t>
      </w:r>
      <w:bookmarkEnd w:id="919"/>
    </w:p>
    <w:p w14:paraId="3872560A" w14:textId="42E40E7C" w:rsidR="006B5B80" w:rsidRPr="001A3416" w:rsidRDefault="006B5B80" w:rsidP="006B5B80">
      <w:pPr>
        <w:rPr>
          <w:rFonts w:cstheme="minorHAnsi"/>
        </w:rPr>
      </w:pPr>
      <w:r w:rsidRPr="001A3416">
        <w:rPr>
          <w:rFonts w:cstheme="minorHAnsi"/>
        </w:rPr>
        <w:t xml:space="preserve">Celkově lze říci, že podnikatelé nejsou ve městě Zlíně nespokojeni, ale nevyjádřili v rámci tohoto průzkumu ani výraznou spokojenost. Na škále 0 </w:t>
      </w:r>
      <w:r w:rsidR="00E220FB">
        <w:rPr>
          <w:rFonts w:cstheme="minorHAnsi"/>
        </w:rPr>
        <w:sym w:font="Symbol" w:char="F02D"/>
      </w:r>
      <w:r w:rsidRPr="001A3416">
        <w:rPr>
          <w:rFonts w:cstheme="minorHAnsi"/>
        </w:rPr>
        <w:t xml:space="preserve"> 100 ohodnotili podnikatelé celkovou spokojenost průměrně 55,1 body</w:t>
      </w:r>
      <w:r>
        <w:rPr>
          <w:rFonts w:cstheme="minorHAnsi"/>
        </w:rPr>
        <w:t xml:space="preserve"> ((0 velmi nespokojen, 100 velmi spokojen)</w:t>
      </w:r>
      <w:r w:rsidRPr="001A3416">
        <w:rPr>
          <w:rFonts w:cstheme="minorHAnsi"/>
        </w:rPr>
        <w:t>. Nejvíce jsou spokojeni s kvalitou života na území města a s dodavateli v regionu. Mírně nadprůměrně jsou spokojeni také se spoluprací se školami a nabídkou podnikatelských služeb. Nejméně spokojeni jsou respondenti s dostupností pracovní síly a s náklady na pracovní sílu, což se potvrdilo i v rámci předešlé otázky.  Ideální situace ve městě není dle názoru podnikatelů ani v oblasti dopravy. Míra spokojenosti respondentů s uvedenými oblastmi je uvedena v grafu v</w:t>
      </w:r>
      <w:r w:rsidR="003C47B2">
        <w:rPr>
          <w:rFonts w:cstheme="minorHAnsi"/>
        </w:rPr>
        <w:t> </w:t>
      </w:r>
      <w:r w:rsidRPr="001A3416">
        <w:rPr>
          <w:rFonts w:cstheme="minorHAnsi"/>
        </w:rPr>
        <w:t>obrázku</w:t>
      </w:r>
      <w:r w:rsidR="003C47B2">
        <w:rPr>
          <w:rFonts w:cstheme="minorHAnsi"/>
        </w:rPr>
        <w:t xml:space="preserve"> 2.</w:t>
      </w:r>
      <w:r w:rsidR="0096730F">
        <w:rPr>
          <w:rFonts w:cstheme="minorHAnsi"/>
        </w:rPr>
        <w:t>29</w:t>
      </w:r>
      <w:r w:rsidRPr="001A3416">
        <w:rPr>
          <w:rFonts w:cstheme="minorHAnsi"/>
        </w:rPr>
        <w:t>.</w:t>
      </w:r>
      <w:r>
        <w:rPr>
          <w:rFonts w:cstheme="minorHAnsi"/>
        </w:rPr>
        <w:t xml:space="preserve"> M</w:t>
      </w:r>
      <w:r w:rsidRPr="00F72C8E">
        <w:rPr>
          <w:rFonts w:cstheme="minorHAnsi"/>
        </w:rPr>
        <w:t>ezi hod</w:t>
      </w:r>
      <w:r>
        <w:rPr>
          <w:rFonts w:cstheme="minorHAnsi"/>
        </w:rPr>
        <w:t xml:space="preserve">nocením respondentů z řad </w:t>
      </w:r>
      <w:r>
        <w:t>středních a velkých</w:t>
      </w:r>
      <w:r>
        <w:rPr>
          <w:rFonts w:cstheme="minorHAnsi"/>
        </w:rPr>
        <w:t xml:space="preserve"> firem a z řad </w:t>
      </w:r>
      <w:r w:rsidRPr="00F72C8E">
        <w:rPr>
          <w:rFonts w:cstheme="minorHAnsi"/>
        </w:rPr>
        <w:t>malých firem se u těchto faktorů nevyskytují významné rozdíly.</w:t>
      </w:r>
      <w:r>
        <w:rPr>
          <w:rFonts w:cstheme="minorHAnsi"/>
        </w:rPr>
        <w:t xml:space="preserve"> Hodnocení spokojenosti s podnikatelským prostředím dopadlo obdobně jako v roce 2006, kdy firmy nejlépe hodnotily také kvalitu života a dodavatele v regionu a nejhůře dopravu a náklady na pracovní sílu. Zlepšilo se mínění firem ohledně image města, která byla v roce 2006 po dopravě hodnocena nejhůře.</w:t>
      </w:r>
    </w:p>
    <w:p w14:paraId="155B9E98" w14:textId="76A31B01" w:rsidR="006B5B80" w:rsidRPr="001A3416" w:rsidRDefault="006B5B80" w:rsidP="006B5B80">
      <w:pPr>
        <w:rPr>
          <w:rFonts w:cstheme="minorHAnsi"/>
        </w:rPr>
      </w:pPr>
      <w:r w:rsidRPr="001A3416">
        <w:rPr>
          <w:rFonts w:cstheme="minorHAnsi"/>
        </w:rPr>
        <w:t xml:space="preserve">Respondenti měli možnost uvést další významná pozitiva místního podnikatelského prostředí. Možnosti vyjádřit se v rámci této otázky využilo 42 % respondentů. Respondenti nejčastěji zmiňovali pozitivum podnikatelské tradice ve městě spojená s osobností Tomáše Bati, ze které vychází pracovitost místních lidí. Hodnotili pozitivně spolupráci a vzájemnou podporu mezi podnikateli v regionu, s místními vysokými školami, s Úřadem práce. Výhodu vidí také v tom, že se ve městě navzájem podniky znají a mají spolu úzké vztahy. Výčet pozitiv města z pohledu podnikatelských subjektů je znázorněn hesly na obrázku </w:t>
      </w:r>
      <w:r w:rsidR="003C47B2">
        <w:rPr>
          <w:rFonts w:cstheme="minorHAnsi"/>
        </w:rPr>
        <w:t>2.3</w:t>
      </w:r>
      <w:r w:rsidR="0096730F">
        <w:rPr>
          <w:rFonts w:cstheme="minorHAnsi"/>
        </w:rPr>
        <w:t>0</w:t>
      </w:r>
      <w:r w:rsidRPr="001A3416">
        <w:rPr>
          <w:rFonts w:cstheme="minorHAnsi"/>
        </w:rPr>
        <w:t>.</w:t>
      </w:r>
    </w:p>
    <w:p w14:paraId="76DFE257" w14:textId="73CCEAC2" w:rsidR="006B5B80" w:rsidRPr="001A3416" w:rsidRDefault="006B5B80" w:rsidP="006B5B80">
      <w:pPr>
        <w:pStyle w:val="Titulek"/>
        <w:keepNext/>
        <w:keepLines/>
      </w:pPr>
      <w:bookmarkStart w:id="920" w:name="_Toc50449011"/>
      <w:bookmarkStart w:id="921" w:name="_Toc54702802"/>
      <w:bookmarkStart w:id="922" w:name="_Toc56179608"/>
      <w:bookmarkStart w:id="923" w:name="_Toc77074950"/>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29</w:t>
      </w:r>
      <w:r w:rsidR="00804AF3">
        <w:rPr>
          <w:noProof/>
        </w:rPr>
        <w:fldChar w:fldCharType="end"/>
      </w:r>
      <w:r w:rsidR="00E220FB">
        <w:rPr>
          <w:noProof/>
        </w:rPr>
        <w:t>:</w:t>
      </w:r>
      <w:r w:rsidRPr="001A3416">
        <w:t xml:space="preserve"> Spokojenost s podnikatelským prostředím ve městě Zlín</w:t>
      </w:r>
      <w:bookmarkEnd w:id="920"/>
      <w:bookmarkEnd w:id="921"/>
      <w:bookmarkEnd w:id="922"/>
      <w:bookmarkEnd w:id="923"/>
    </w:p>
    <w:p w14:paraId="05FB1B7F" w14:textId="20CF3320" w:rsidR="006B5B80" w:rsidRPr="001A3416" w:rsidRDefault="006B5B80" w:rsidP="006B5B80">
      <w:pPr>
        <w:rPr>
          <w:rStyle w:val="ZdrojChar"/>
          <w:rFonts w:eastAsiaTheme="minorHAnsi"/>
        </w:rPr>
      </w:pPr>
      <w:r>
        <w:rPr>
          <w:rStyle w:val="zdrojChar0"/>
          <w:rFonts w:eastAsiaTheme="minorHAnsi"/>
          <w:noProof/>
        </w:rPr>
        <w:drawing>
          <wp:inline distT="0" distB="0" distL="0" distR="0" wp14:anchorId="77C10752" wp14:editId="4342D451">
            <wp:extent cx="5742940" cy="4371975"/>
            <wp:effectExtent l="0" t="0" r="0" b="9525"/>
            <wp:docPr id="374" name="Obráze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42940" cy="4371975"/>
                    </a:xfrm>
                    <a:prstGeom prst="rect">
                      <a:avLst/>
                    </a:prstGeom>
                    <a:noFill/>
                  </pic:spPr>
                </pic:pic>
              </a:graphicData>
            </a:graphic>
          </wp:inline>
        </w:drawing>
      </w:r>
      <w:r w:rsidRPr="001A3416">
        <w:rPr>
          <w:rStyle w:val="zdrojChar0"/>
          <w:rFonts w:eastAsiaTheme="minorHAnsi"/>
        </w:rPr>
        <w:t>Zdroj: PROCES, Průzkum podnikatelského prostředí města Zlína, 2020</w:t>
      </w:r>
      <w:r w:rsidR="00E220FB">
        <w:rPr>
          <w:rStyle w:val="zdrojChar0"/>
          <w:rFonts w:eastAsiaTheme="minorHAnsi"/>
        </w:rPr>
        <w:t>;</w:t>
      </w:r>
      <w:r>
        <w:rPr>
          <w:rStyle w:val="zdrojChar0"/>
          <w:rFonts w:eastAsiaTheme="minorHAnsi"/>
        </w:rPr>
        <w:t xml:space="preserve"> Otázka č. 4: </w:t>
      </w:r>
      <w:r w:rsidRPr="000D6DDF">
        <w:rPr>
          <w:rStyle w:val="zdrojChar0"/>
          <w:rFonts w:eastAsiaTheme="minorHAnsi"/>
        </w:rPr>
        <w:t>Jak jste spokojen/a s</w:t>
      </w:r>
      <w:r w:rsidR="00E220FB">
        <w:rPr>
          <w:rStyle w:val="zdrojChar0"/>
          <w:rFonts w:eastAsiaTheme="minorHAnsi"/>
        </w:rPr>
        <w:t> </w:t>
      </w:r>
      <w:r w:rsidRPr="000D6DDF">
        <w:rPr>
          <w:rStyle w:val="zdrojChar0"/>
          <w:rFonts w:eastAsiaTheme="minorHAnsi"/>
        </w:rPr>
        <w:t>podnikatelským prostředím ve městě Zlín?</w:t>
      </w:r>
    </w:p>
    <w:p w14:paraId="0D5A7C3B" w14:textId="27E44AEC" w:rsidR="006B5B80" w:rsidRPr="001A3416" w:rsidRDefault="006B5B80" w:rsidP="006B5B80">
      <w:pPr>
        <w:pStyle w:val="Titulek"/>
        <w:keepNext/>
        <w:keepLines/>
        <w:rPr>
          <w:rFonts w:cstheme="minorHAnsi"/>
        </w:rPr>
      </w:pPr>
      <w:bookmarkStart w:id="924" w:name="_Toc50449012"/>
      <w:bookmarkStart w:id="925" w:name="_Toc54702803"/>
      <w:bookmarkStart w:id="926" w:name="_Toc56179609"/>
      <w:bookmarkStart w:id="927" w:name="_Toc77074951"/>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30</w:t>
      </w:r>
      <w:r w:rsidR="00804AF3">
        <w:rPr>
          <w:noProof/>
        </w:rPr>
        <w:fldChar w:fldCharType="end"/>
      </w:r>
      <w:r w:rsidR="00E220FB">
        <w:rPr>
          <w:noProof/>
        </w:rPr>
        <w:t>:</w:t>
      </w:r>
      <w:r w:rsidRPr="001A3416">
        <w:t xml:space="preserve"> </w:t>
      </w:r>
      <w:r w:rsidRPr="001A3416">
        <w:rPr>
          <w:rFonts w:cstheme="minorHAnsi"/>
          <w:szCs w:val="22"/>
        </w:rPr>
        <w:t>Pozitiva podnikatelského prostředí podle respondentů</w:t>
      </w:r>
      <w:bookmarkEnd w:id="924"/>
      <w:bookmarkEnd w:id="925"/>
      <w:bookmarkEnd w:id="926"/>
      <w:bookmarkEnd w:id="927"/>
    </w:p>
    <w:p w14:paraId="635C9389" w14:textId="77777777" w:rsidR="006B5B80" w:rsidRPr="001A3416" w:rsidRDefault="006B5B80" w:rsidP="006B5B80">
      <w:pPr>
        <w:rPr>
          <w:rFonts w:cstheme="minorHAnsi"/>
        </w:rPr>
      </w:pPr>
      <w:r w:rsidRPr="001A3416">
        <w:rPr>
          <w:rFonts w:cstheme="minorHAnsi"/>
          <w:noProof/>
          <w:lang w:eastAsia="cs-CZ"/>
        </w:rPr>
        <w:drawing>
          <wp:inline distT="0" distB="0" distL="0" distR="0" wp14:anchorId="75D80742" wp14:editId="7B9B5507">
            <wp:extent cx="4122292" cy="2619375"/>
            <wp:effectExtent l="0" t="0" r="0" b="0"/>
            <wp:docPr id="375" name="Obrázek 375" descr="C:\Users\MARTIN~1\AppData\Local\Temp\wordcloudZlin_pod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1\AppData\Local\Temp\wordcloudZlin_podnik.pn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10417" t="11905" r="10219" b="20855"/>
                    <a:stretch/>
                  </pic:blipFill>
                  <pic:spPr bwMode="auto">
                    <a:xfrm>
                      <a:off x="0" y="0"/>
                      <a:ext cx="4126398" cy="2621984"/>
                    </a:xfrm>
                    <a:prstGeom prst="rect">
                      <a:avLst/>
                    </a:prstGeom>
                    <a:noFill/>
                    <a:ln>
                      <a:noFill/>
                    </a:ln>
                    <a:extLst>
                      <a:ext uri="{53640926-AAD7-44D8-BBD7-CCE9431645EC}">
                        <a14:shadowObscured xmlns:a14="http://schemas.microsoft.com/office/drawing/2010/main"/>
                      </a:ext>
                    </a:extLst>
                  </pic:spPr>
                </pic:pic>
              </a:graphicData>
            </a:graphic>
          </wp:inline>
        </w:drawing>
      </w:r>
    </w:p>
    <w:p w14:paraId="7194E022" w14:textId="12A17BDE" w:rsidR="006B5B80" w:rsidRDefault="006B5B80" w:rsidP="006B5B80">
      <w:pPr>
        <w:pStyle w:val="zdroj0"/>
        <w:spacing w:after="0"/>
        <w:rPr>
          <w:rStyle w:val="ZdrojChar"/>
          <w:rFonts w:eastAsiaTheme="minorHAnsi"/>
          <w:i/>
        </w:rPr>
      </w:pPr>
      <w:r w:rsidRPr="001A3416">
        <w:rPr>
          <w:rStyle w:val="ZdrojChar"/>
          <w:rFonts w:eastAsiaTheme="minorHAnsi"/>
        </w:rPr>
        <w:t>Zdroj: PROCES, Průzkum podnikatelského prostředí města Zlína, 2020</w:t>
      </w:r>
      <w:r w:rsidR="00E220FB">
        <w:rPr>
          <w:rStyle w:val="ZdrojChar"/>
          <w:rFonts w:eastAsiaTheme="minorHAnsi"/>
        </w:rPr>
        <w:t>;</w:t>
      </w:r>
      <w:r>
        <w:rPr>
          <w:rStyle w:val="ZdrojChar"/>
          <w:rFonts w:eastAsiaTheme="minorHAnsi"/>
        </w:rPr>
        <w:t xml:space="preserve"> </w:t>
      </w:r>
      <w:r w:rsidRPr="000D6DDF">
        <w:rPr>
          <w:rStyle w:val="ZdrojChar"/>
          <w:rFonts w:eastAsiaTheme="minorHAnsi"/>
        </w:rPr>
        <w:t>Otázka č. 4: Jak jste spokojen/a s</w:t>
      </w:r>
      <w:r w:rsidR="00E220FB">
        <w:rPr>
          <w:rStyle w:val="ZdrojChar"/>
          <w:rFonts w:eastAsiaTheme="minorHAnsi"/>
        </w:rPr>
        <w:t> </w:t>
      </w:r>
      <w:r w:rsidRPr="000D6DDF">
        <w:rPr>
          <w:rStyle w:val="ZdrojChar"/>
          <w:rFonts w:eastAsiaTheme="minorHAnsi"/>
        </w:rPr>
        <w:t>podnikatelským prostředím ve městě Zlín?</w:t>
      </w:r>
    </w:p>
    <w:p w14:paraId="776771BB" w14:textId="1C574D86" w:rsidR="006B5B80" w:rsidRPr="001A3416" w:rsidRDefault="006B5B80" w:rsidP="006B5B80">
      <w:pPr>
        <w:pStyle w:val="zdroj0"/>
        <w:spacing w:after="0"/>
        <w:rPr>
          <w:rStyle w:val="ZdrojChar"/>
          <w:rFonts w:eastAsiaTheme="minorHAnsi"/>
          <w:i/>
        </w:rPr>
      </w:pPr>
      <w:r>
        <w:rPr>
          <w:rStyle w:val="ZdrojChar"/>
          <w:rFonts w:eastAsiaTheme="minorHAnsi"/>
        </w:rPr>
        <w:t>Pozn.</w:t>
      </w:r>
      <w:r w:rsidR="00B64A00">
        <w:rPr>
          <w:rStyle w:val="ZdrojChar"/>
          <w:rFonts w:eastAsiaTheme="minorHAnsi"/>
        </w:rPr>
        <w:t>:</w:t>
      </w:r>
      <w:r>
        <w:rPr>
          <w:rStyle w:val="ZdrojChar"/>
          <w:rFonts w:eastAsiaTheme="minorHAnsi"/>
        </w:rPr>
        <w:t xml:space="preserve"> </w:t>
      </w:r>
      <w:r w:rsidR="00B64A00">
        <w:rPr>
          <w:rStyle w:val="ZdrojChar"/>
          <w:rFonts w:eastAsiaTheme="minorHAnsi"/>
        </w:rPr>
        <w:t>P</w:t>
      </w:r>
      <w:r>
        <w:rPr>
          <w:rStyle w:val="ZdrojChar"/>
          <w:rFonts w:eastAsiaTheme="minorHAnsi"/>
        </w:rPr>
        <w:t>ojmy větším písmem byly respondenty zmiňovány častěji, barevné označení j</w:t>
      </w:r>
      <w:r w:rsidR="00B64A00">
        <w:rPr>
          <w:rStyle w:val="ZdrojChar"/>
          <w:rFonts w:eastAsiaTheme="minorHAnsi"/>
        </w:rPr>
        <w:t>e</w:t>
      </w:r>
      <w:r>
        <w:rPr>
          <w:rStyle w:val="ZdrojChar"/>
          <w:rFonts w:eastAsiaTheme="minorHAnsi"/>
        </w:rPr>
        <w:t xml:space="preserve"> náhodné</w:t>
      </w:r>
      <w:r w:rsidR="00B64A00">
        <w:rPr>
          <w:rStyle w:val="ZdrojChar"/>
          <w:rFonts w:eastAsiaTheme="minorHAnsi"/>
        </w:rPr>
        <w:t>.</w:t>
      </w:r>
    </w:p>
    <w:p w14:paraId="56831D06" w14:textId="77777777" w:rsidR="006B5B80" w:rsidRPr="001A3416" w:rsidRDefault="006B5B80" w:rsidP="006B5B80">
      <w:pPr>
        <w:pStyle w:val="Nadpis4"/>
      </w:pPr>
      <w:bookmarkStart w:id="928" w:name="_Toc50449106"/>
      <w:r w:rsidRPr="001A3416">
        <w:t>Prioritní oblasti rozvoje</w:t>
      </w:r>
      <w:bookmarkEnd w:id="928"/>
    </w:p>
    <w:p w14:paraId="7EFD6663" w14:textId="7AF71391" w:rsidR="006B5B80" w:rsidRPr="001A3416" w:rsidRDefault="006B5B80" w:rsidP="006B5B80">
      <w:r w:rsidRPr="001A3416">
        <w:t>Prioritní oblasti, na které by se mělo město dle respondentů při rozvoji zaměřit, jsou uvedeny v</w:t>
      </w:r>
      <w:r w:rsidR="0096730F">
        <w:t> </w:t>
      </w:r>
      <w:r w:rsidRPr="001A3416">
        <w:t>tabulce</w:t>
      </w:r>
      <w:r w:rsidR="0096730F">
        <w:t xml:space="preserve"> 2.42</w:t>
      </w:r>
      <w:r w:rsidRPr="001A3416">
        <w:t>. V rámci tohoto výzkumu se pro místní podnikatele projevilo z nabízených oblastí jako nejtíživější téma dopravy</w:t>
      </w:r>
      <w:r>
        <w:t xml:space="preserve"> (respondenti vybírali z pře</w:t>
      </w:r>
      <w:r w:rsidR="00B64A00">
        <w:t>d</w:t>
      </w:r>
      <w:r>
        <w:t>definovaných oblastí)</w:t>
      </w:r>
      <w:r w:rsidRPr="001A3416">
        <w:t>. Respondenti doporučili prioritně řešit dopravu ve městě, parkování, údržbu a opravy silnic (82,2 % respondentů) i</w:t>
      </w:r>
      <w:r w:rsidR="00B64A00">
        <w:t> </w:t>
      </w:r>
      <w:r w:rsidRPr="001A3416">
        <w:t>dopravu do města (53,3 % respondentů). Jako prioritní viděli podnikatelé rozvoj oblasti dopravy i</w:t>
      </w:r>
      <w:r w:rsidR="00B64A00">
        <w:t> </w:t>
      </w:r>
      <w:r w:rsidRPr="001A3416">
        <w:t>v roce 2006. Jejich odpovědi se shodovaly i v následujících oblastech. Další klíčovou oblastí je v rámci současného průzkumu podpora malého a středního podnikání (možnost vybralo 51,1 % respondentů, 78,6 % ze zástupců malých firem). Celkem 40 % respondentů shledává důležité přilákání investorů a</w:t>
      </w:r>
      <w:r w:rsidR="00B64A00">
        <w:t> </w:t>
      </w:r>
      <w:r w:rsidRPr="001A3416">
        <w:t xml:space="preserve">třetina podnikatelských subjektů zapojených do průzkumu by podpořila propagaci města jako atraktivního místa pro život a podnikání, vzdělávání a individuální bydlení – vhodné pozemky, tech. infrastruktura. </w:t>
      </w:r>
    </w:p>
    <w:p w14:paraId="5A4DE3CB" w14:textId="250781D5" w:rsidR="006B5B80" w:rsidRPr="001A3416" w:rsidRDefault="006B5B80" w:rsidP="006B5B80">
      <w:pPr>
        <w:pStyle w:val="Titulek"/>
        <w:rPr>
          <w:rFonts w:cstheme="minorHAnsi"/>
          <w:sz w:val="22"/>
          <w:szCs w:val="22"/>
        </w:rPr>
      </w:pPr>
      <w:bookmarkStart w:id="929" w:name="_Toc49152893"/>
      <w:bookmarkStart w:id="930" w:name="_Toc54702656"/>
      <w:bookmarkStart w:id="931" w:name="_Toc56179463"/>
      <w:bookmarkStart w:id="932" w:name="_Toc57731821"/>
      <w:bookmarkStart w:id="933" w:name="_Toc77074805"/>
      <w:r w:rsidRPr="001A3416">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42</w:t>
      </w:r>
      <w:r w:rsidR="00081B47">
        <w:rPr>
          <w:noProof/>
        </w:rPr>
        <w:fldChar w:fldCharType="end"/>
      </w:r>
      <w:r w:rsidR="00B64A00">
        <w:rPr>
          <w:noProof/>
        </w:rPr>
        <w:t>:</w:t>
      </w:r>
      <w:r w:rsidRPr="001A3416">
        <w:t xml:space="preserve"> Preference rozvojových oblastí města podle respondentů</w:t>
      </w:r>
      <w:bookmarkEnd w:id="929"/>
      <w:bookmarkEnd w:id="930"/>
      <w:bookmarkEnd w:id="931"/>
      <w:bookmarkEnd w:id="932"/>
      <w:bookmarkEnd w:id="933"/>
    </w:p>
    <w:tbl>
      <w:tblPr>
        <w:tblW w:w="5000" w:type="pct"/>
        <w:tblLayout w:type="fixed"/>
        <w:tblCellMar>
          <w:left w:w="70" w:type="dxa"/>
          <w:right w:w="70" w:type="dxa"/>
        </w:tblCellMar>
        <w:tblLook w:val="04A0" w:firstRow="1" w:lastRow="0" w:firstColumn="1" w:lastColumn="0" w:noHBand="0" w:noVBand="1"/>
      </w:tblPr>
      <w:tblGrid>
        <w:gridCol w:w="5240"/>
        <w:gridCol w:w="1274"/>
        <w:gridCol w:w="1274"/>
        <w:gridCol w:w="1274"/>
      </w:tblGrid>
      <w:tr w:rsidR="006B5B80" w:rsidRPr="001A3416" w14:paraId="53748B5B" w14:textId="77777777" w:rsidTr="000C49A5">
        <w:trPr>
          <w:trHeight w:val="255"/>
        </w:trPr>
        <w:tc>
          <w:tcPr>
            <w:tcW w:w="2891"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928B816" w14:textId="77777777" w:rsidR="006B5B80" w:rsidRPr="001A3416" w:rsidRDefault="006B5B80" w:rsidP="000C49A5">
            <w:pPr>
              <w:spacing w:before="0"/>
              <w:jc w:val="center"/>
              <w:rPr>
                <w:rFonts w:ascii="Calibri" w:hAnsi="Calibri" w:cs="Calibri"/>
                <w:b/>
                <w:bCs/>
                <w:color w:val="000000"/>
                <w:sz w:val="18"/>
                <w:szCs w:val="18"/>
              </w:rPr>
            </w:pPr>
            <w:r w:rsidRPr="001A3416">
              <w:rPr>
                <w:rFonts w:ascii="Calibri" w:hAnsi="Calibri" w:cs="Calibri"/>
                <w:b/>
                <w:bCs/>
                <w:color w:val="000000"/>
                <w:sz w:val="18"/>
                <w:szCs w:val="18"/>
              </w:rPr>
              <w:t>Oblast rozvoje</w:t>
            </w:r>
          </w:p>
        </w:tc>
        <w:tc>
          <w:tcPr>
            <w:tcW w:w="2109" w:type="pct"/>
            <w:gridSpan w:val="3"/>
            <w:tcBorders>
              <w:top w:val="single" w:sz="4" w:space="0" w:color="auto"/>
              <w:left w:val="nil"/>
              <w:bottom w:val="single" w:sz="4" w:space="0" w:color="auto"/>
              <w:right w:val="single" w:sz="4" w:space="0" w:color="auto"/>
            </w:tcBorders>
            <w:shd w:val="clear" w:color="000000" w:fill="F2F2F2"/>
            <w:noWrap/>
            <w:vAlign w:val="center"/>
            <w:hideMark/>
          </w:tcPr>
          <w:p w14:paraId="2A2B1FED" w14:textId="77777777" w:rsidR="006B5B80" w:rsidRPr="001A3416" w:rsidRDefault="006B5B80" w:rsidP="000C49A5">
            <w:pPr>
              <w:spacing w:before="0"/>
              <w:jc w:val="center"/>
              <w:rPr>
                <w:rFonts w:ascii="Calibri" w:hAnsi="Calibri" w:cs="Calibri"/>
                <w:b/>
                <w:bCs/>
                <w:color w:val="000000"/>
                <w:sz w:val="18"/>
                <w:szCs w:val="18"/>
              </w:rPr>
            </w:pPr>
            <w:r w:rsidRPr="001A3416">
              <w:rPr>
                <w:rFonts w:ascii="Calibri" w:hAnsi="Calibri" w:cs="Calibri"/>
                <w:b/>
                <w:bCs/>
                <w:color w:val="000000"/>
                <w:sz w:val="18"/>
                <w:szCs w:val="18"/>
              </w:rPr>
              <w:t>Podíl respondentů</w:t>
            </w:r>
          </w:p>
        </w:tc>
      </w:tr>
      <w:tr w:rsidR="006B5B80" w:rsidRPr="001A3416" w14:paraId="2699EE24" w14:textId="77777777" w:rsidTr="000C49A5">
        <w:trPr>
          <w:trHeight w:val="255"/>
        </w:trPr>
        <w:tc>
          <w:tcPr>
            <w:tcW w:w="2891" w:type="pct"/>
            <w:vMerge/>
            <w:tcBorders>
              <w:top w:val="single" w:sz="4" w:space="0" w:color="auto"/>
              <w:left w:val="single" w:sz="4" w:space="0" w:color="auto"/>
              <w:bottom w:val="single" w:sz="4" w:space="0" w:color="auto"/>
              <w:right w:val="single" w:sz="4" w:space="0" w:color="auto"/>
            </w:tcBorders>
            <w:vAlign w:val="center"/>
            <w:hideMark/>
          </w:tcPr>
          <w:p w14:paraId="39130E1B" w14:textId="77777777" w:rsidR="006B5B80" w:rsidRPr="001A3416" w:rsidRDefault="006B5B80" w:rsidP="000C49A5">
            <w:pPr>
              <w:spacing w:before="0"/>
              <w:jc w:val="center"/>
              <w:rPr>
                <w:rFonts w:ascii="Calibri" w:hAnsi="Calibri" w:cs="Calibri"/>
                <w:b/>
                <w:bCs/>
                <w:color w:val="000000"/>
                <w:sz w:val="18"/>
                <w:szCs w:val="18"/>
              </w:rPr>
            </w:pPr>
          </w:p>
        </w:tc>
        <w:tc>
          <w:tcPr>
            <w:tcW w:w="703" w:type="pct"/>
            <w:tcBorders>
              <w:top w:val="nil"/>
              <w:left w:val="nil"/>
              <w:bottom w:val="single" w:sz="4" w:space="0" w:color="auto"/>
              <w:right w:val="single" w:sz="4" w:space="0" w:color="auto"/>
            </w:tcBorders>
            <w:shd w:val="clear" w:color="000000" w:fill="F2F2F2"/>
            <w:noWrap/>
            <w:vAlign w:val="center"/>
            <w:hideMark/>
          </w:tcPr>
          <w:p w14:paraId="2B10F8CD" w14:textId="77777777" w:rsidR="006B5B80" w:rsidRPr="001A3416" w:rsidRDefault="006B5B80" w:rsidP="000C49A5">
            <w:pPr>
              <w:spacing w:before="0"/>
              <w:jc w:val="center"/>
              <w:rPr>
                <w:rFonts w:ascii="Calibri" w:hAnsi="Calibri" w:cs="Calibri"/>
                <w:b/>
                <w:bCs/>
                <w:color w:val="000000"/>
                <w:sz w:val="18"/>
                <w:szCs w:val="18"/>
              </w:rPr>
            </w:pPr>
            <w:r w:rsidRPr="001A3416">
              <w:rPr>
                <w:rFonts w:ascii="Calibri" w:hAnsi="Calibri" w:cs="Calibri"/>
                <w:b/>
                <w:bCs/>
                <w:color w:val="000000"/>
                <w:sz w:val="18"/>
                <w:szCs w:val="18"/>
              </w:rPr>
              <w:t>Veškeré firmy</w:t>
            </w:r>
          </w:p>
        </w:tc>
        <w:tc>
          <w:tcPr>
            <w:tcW w:w="703" w:type="pct"/>
            <w:tcBorders>
              <w:top w:val="nil"/>
              <w:left w:val="nil"/>
              <w:bottom w:val="single" w:sz="4" w:space="0" w:color="auto"/>
              <w:right w:val="single" w:sz="4" w:space="0" w:color="auto"/>
            </w:tcBorders>
            <w:shd w:val="clear" w:color="000000" w:fill="F2F2F2"/>
            <w:noWrap/>
            <w:vAlign w:val="center"/>
            <w:hideMark/>
          </w:tcPr>
          <w:p w14:paraId="4525A5E4" w14:textId="77777777" w:rsidR="006B5B80" w:rsidRPr="001A3416" w:rsidRDefault="006B5B80" w:rsidP="000C49A5">
            <w:pPr>
              <w:spacing w:before="0"/>
              <w:jc w:val="center"/>
              <w:rPr>
                <w:rFonts w:ascii="Calibri" w:hAnsi="Calibri" w:cs="Calibri"/>
                <w:b/>
                <w:bCs/>
                <w:color w:val="000000"/>
                <w:sz w:val="18"/>
                <w:szCs w:val="18"/>
              </w:rPr>
            </w:pPr>
            <w:r>
              <w:rPr>
                <w:rFonts w:ascii="Calibri" w:hAnsi="Calibri" w:cs="Calibri"/>
                <w:b/>
                <w:bCs/>
                <w:color w:val="000000"/>
                <w:sz w:val="18"/>
                <w:szCs w:val="18"/>
              </w:rPr>
              <w:t>Střední a velké</w:t>
            </w:r>
            <w:r w:rsidRPr="001A3416">
              <w:rPr>
                <w:rFonts w:ascii="Calibri" w:hAnsi="Calibri" w:cs="Calibri"/>
                <w:b/>
                <w:bCs/>
                <w:color w:val="000000"/>
                <w:sz w:val="18"/>
                <w:szCs w:val="18"/>
              </w:rPr>
              <w:t xml:space="preserve"> firmy</w:t>
            </w:r>
          </w:p>
        </w:tc>
        <w:tc>
          <w:tcPr>
            <w:tcW w:w="703" w:type="pct"/>
            <w:tcBorders>
              <w:top w:val="nil"/>
              <w:left w:val="nil"/>
              <w:bottom w:val="single" w:sz="4" w:space="0" w:color="auto"/>
              <w:right w:val="single" w:sz="4" w:space="0" w:color="auto"/>
            </w:tcBorders>
            <w:shd w:val="clear" w:color="000000" w:fill="F2F2F2"/>
            <w:noWrap/>
            <w:vAlign w:val="center"/>
            <w:hideMark/>
          </w:tcPr>
          <w:p w14:paraId="5059F85D" w14:textId="77777777" w:rsidR="006B5B80" w:rsidRPr="001A3416" w:rsidRDefault="006B5B80" w:rsidP="000C49A5">
            <w:pPr>
              <w:spacing w:before="0"/>
              <w:jc w:val="center"/>
              <w:rPr>
                <w:rFonts w:ascii="Calibri" w:hAnsi="Calibri" w:cs="Calibri"/>
                <w:b/>
                <w:bCs/>
                <w:color w:val="000000"/>
                <w:sz w:val="18"/>
                <w:szCs w:val="18"/>
              </w:rPr>
            </w:pPr>
            <w:r w:rsidRPr="001A3416">
              <w:rPr>
                <w:rFonts w:ascii="Calibri" w:hAnsi="Calibri" w:cs="Calibri"/>
                <w:b/>
                <w:bCs/>
                <w:color w:val="000000"/>
                <w:sz w:val="18"/>
                <w:szCs w:val="18"/>
              </w:rPr>
              <w:t>Malé firmy</w:t>
            </w:r>
          </w:p>
        </w:tc>
      </w:tr>
      <w:tr w:rsidR="006B5B80" w:rsidRPr="001A3416" w14:paraId="50F8FBA8"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7A519332"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Doprava ve městě, parkování, údržba a opravy silnic</w:t>
            </w:r>
          </w:p>
        </w:tc>
        <w:tc>
          <w:tcPr>
            <w:tcW w:w="703" w:type="pct"/>
            <w:tcBorders>
              <w:top w:val="single" w:sz="4" w:space="0" w:color="auto"/>
              <w:left w:val="single" w:sz="4" w:space="0" w:color="auto"/>
              <w:bottom w:val="single" w:sz="4" w:space="0" w:color="auto"/>
              <w:right w:val="single" w:sz="4" w:space="0" w:color="auto"/>
            </w:tcBorders>
            <w:shd w:val="clear" w:color="000000" w:fill="F97A7C"/>
            <w:noWrap/>
            <w:vAlign w:val="bottom"/>
            <w:hideMark/>
          </w:tcPr>
          <w:p w14:paraId="2688E73E"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82,2%</w:t>
            </w:r>
          </w:p>
        </w:tc>
        <w:tc>
          <w:tcPr>
            <w:tcW w:w="703" w:type="pct"/>
            <w:tcBorders>
              <w:top w:val="single" w:sz="4" w:space="0" w:color="auto"/>
              <w:left w:val="single" w:sz="4" w:space="0" w:color="auto"/>
              <w:bottom w:val="single" w:sz="4" w:space="0" w:color="auto"/>
              <w:right w:val="single" w:sz="4" w:space="0" w:color="auto"/>
            </w:tcBorders>
            <w:shd w:val="clear" w:color="000000" w:fill="F98284"/>
            <w:noWrap/>
            <w:vAlign w:val="bottom"/>
            <w:hideMark/>
          </w:tcPr>
          <w:p w14:paraId="6D1BF596"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77,4%</w:t>
            </w:r>
          </w:p>
        </w:tc>
        <w:tc>
          <w:tcPr>
            <w:tcW w:w="70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4A960F1"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92,9%</w:t>
            </w:r>
          </w:p>
        </w:tc>
      </w:tr>
      <w:tr w:rsidR="006B5B80" w:rsidRPr="001A3416" w14:paraId="2B7DB531"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7ADB2A67"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 xml:space="preserve">Doprava do města </w:t>
            </w:r>
          </w:p>
        </w:tc>
        <w:tc>
          <w:tcPr>
            <w:tcW w:w="703" w:type="pct"/>
            <w:tcBorders>
              <w:top w:val="single" w:sz="4" w:space="0" w:color="auto"/>
              <w:left w:val="single" w:sz="4" w:space="0" w:color="auto"/>
              <w:bottom w:val="single" w:sz="4" w:space="0" w:color="auto"/>
              <w:right w:val="single" w:sz="4" w:space="0" w:color="auto"/>
            </w:tcBorders>
            <w:shd w:val="clear" w:color="000000" w:fill="FAA8AA"/>
            <w:noWrap/>
            <w:vAlign w:val="bottom"/>
            <w:hideMark/>
          </w:tcPr>
          <w:p w14:paraId="44F6B178"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53,3%</w:t>
            </w:r>
          </w:p>
        </w:tc>
        <w:tc>
          <w:tcPr>
            <w:tcW w:w="703" w:type="pct"/>
            <w:tcBorders>
              <w:top w:val="single" w:sz="4" w:space="0" w:color="auto"/>
              <w:left w:val="single" w:sz="4" w:space="0" w:color="auto"/>
              <w:bottom w:val="single" w:sz="4" w:space="0" w:color="auto"/>
              <w:right w:val="single" w:sz="4" w:space="0" w:color="auto"/>
            </w:tcBorders>
            <w:shd w:val="clear" w:color="000000" w:fill="FAA6A8"/>
            <w:noWrap/>
            <w:vAlign w:val="bottom"/>
            <w:hideMark/>
          </w:tcPr>
          <w:p w14:paraId="470332C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54,8%</w:t>
            </w:r>
          </w:p>
        </w:tc>
        <w:tc>
          <w:tcPr>
            <w:tcW w:w="703" w:type="pct"/>
            <w:tcBorders>
              <w:top w:val="single" w:sz="4" w:space="0" w:color="auto"/>
              <w:left w:val="single" w:sz="4" w:space="0" w:color="auto"/>
              <w:bottom w:val="single" w:sz="4" w:space="0" w:color="auto"/>
              <w:right w:val="single" w:sz="4" w:space="0" w:color="auto"/>
            </w:tcBorders>
            <w:shd w:val="clear" w:color="000000" w:fill="FAADB0"/>
            <w:noWrap/>
            <w:vAlign w:val="bottom"/>
            <w:hideMark/>
          </w:tcPr>
          <w:p w14:paraId="60BF71CD"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50,0%</w:t>
            </w:r>
          </w:p>
        </w:tc>
      </w:tr>
      <w:tr w:rsidR="006B5B80" w:rsidRPr="001A3416" w14:paraId="0EAB82C0"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109CEBF9"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Podpora malého a středního podnikání</w:t>
            </w:r>
          </w:p>
        </w:tc>
        <w:tc>
          <w:tcPr>
            <w:tcW w:w="703" w:type="pct"/>
            <w:tcBorders>
              <w:top w:val="single" w:sz="4" w:space="0" w:color="auto"/>
              <w:left w:val="single" w:sz="4" w:space="0" w:color="auto"/>
              <w:bottom w:val="single" w:sz="4" w:space="0" w:color="auto"/>
              <w:right w:val="single" w:sz="4" w:space="0" w:color="auto"/>
            </w:tcBorders>
            <w:shd w:val="clear" w:color="000000" w:fill="FAACAE"/>
            <w:noWrap/>
            <w:vAlign w:val="bottom"/>
            <w:hideMark/>
          </w:tcPr>
          <w:p w14:paraId="6F157AC2"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51,1%</w:t>
            </w:r>
          </w:p>
        </w:tc>
        <w:tc>
          <w:tcPr>
            <w:tcW w:w="703" w:type="pct"/>
            <w:tcBorders>
              <w:top w:val="single" w:sz="4" w:space="0" w:color="auto"/>
              <w:left w:val="single" w:sz="4" w:space="0" w:color="auto"/>
              <w:bottom w:val="single" w:sz="4" w:space="0" w:color="auto"/>
              <w:right w:val="single" w:sz="4" w:space="0" w:color="auto"/>
            </w:tcBorders>
            <w:shd w:val="clear" w:color="000000" w:fill="FBBFC2"/>
            <w:noWrap/>
            <w:vAlign w:val="bottom"/>
            <w:hideMark/>
          </w:tcPr>
          <w:p w14:paraId="2613535F"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38,7%</w:t>
            </w:r>
          </w:p>
        </w:tc>
        <w:tc>
          <w:tcPr>
            <w:tcW w:w="703" w:type="pct"/>
            <w:tcBorders>
              <w:top w:val="single" w:sz="4" w:space="0" w:color="auto"/>
              <w:left w:val="single" w:sz="4" w:space="0" w:color="auto"/>
              <w:bottom w:val="single" w:sz="4" w:space="0" w:color="auto"/>
              <w:right w:val="single" w:sz="4" w:space="0" w:color="auto"/>
            </w:tcBorders>
            <w:shd w:val="clear" w:color="000000" w:fill="F98082"/>
            <w:noWrap/>
            <w:vAlign w:val="bottom"/>
            <w:hideMark/>
          </w:tcPr>
          <w:p w14:paraId="4E7236C2"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78,6%</w:t>
            </w:r>
          </w:p>
        </w:tc>
      </w:tr>
      <w:tr w:rsidR="006B5B80" w:rsidRPr="001A3416" w14:paraId="6F741871"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64C3C428"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Přilákání investorů</w:t>
            </w:r>
          </w:p>
        </w:tc>
        <w:tc>
          <w:tcPr>
            <w:tcW w:w="703" w:type="pct"/>
            <w:tcBorders>
              <w:top w:val="single" w:sz="4" w:space="0" w:color="auto"/>
              <w:left w:val="single" w:sz="4" w:space="0" w:color="auto"/>
              <w:bottom w:val="single" w:sz="4" w:space="0" w:color="auto"/>
              <w:right w:val="single" w:sz="4" w:space="0" w:color="auto"/>
            </w:tcBorders>
            <w:shd w:val="clear" w:color="000000" w:fill="FBBDC0"/>
            <w:noWrap/>
            <w:vAlign w:val="bottom"/>
            <w:hideMark/>
          </w:tcPr>
          <w:p w14:paraId="45492C8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40,0%</w:t>
            </w:r>
          </w:p>
        </w:tc>
        <w:tc>
          <w:tcPr>
            <w:tcW w:w="703" w:type="pct"/>
            <w:tcBorders>
              <w:top w:val="single" w:sz="4" w:space="0" w:color="auto"/>
              <w:left w:val="single" w:sz="4" w:space="0" w:color="auto"/>
              <w:bottom w:val="single" w:sz="4" w:space="0" w:color="auto"/>
              <w:right w:val="single" w:sz="4" w:space="0" w:color="auto"/>
            </w:tcBorders>
            <w:shd w:val="clear" w:color="000000" w:fill="FBBABD"/>
            <w:noWrap/>
            <w:vAlign w:val="bottom"/>
            <w:hideMark/>
          </w:tcPr>
          <w:p w14:paraId="233D92B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41,9%</w:t>
            </w:r>
          </w:p>
        </w:tc>
        <w:tc>
          <w:tcPr>
            <w:tcW w:w="703" w:type="pct"/>
            <w:tcBorders>
              <w:top w:val="single" w:sz="4" w:space="0" w:color="auto"/>
              <w:left w:val="single" w:sz="4" w:space="0" w:color="auto"/>
              <w:bottom w:val="single" w:sz="4" w:space="0" w:color="auto"/>
              <w:right w:val="single" w:sz="4" w:space="0" w:color="auto"/>
            </w:tcBorders>
            <w:shd w:val="clear" w:color="000000" w:fill="FBC4C7"/>
            <w:noWrap/>
            <w:vAlign w:val="bottom"/>
            <w:hideMark/>
          </w:tcPr>
          <w:p w14:paraId="0C31D990"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35,7%</w:t>
            </w:r>
          </w:p>
        </w:tc>
      </w:tr>
      <w:tr w:rsidR="006B5B80" w:rsidRPr="001A3416" w14:paraId="451FE271"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53DA8A8E"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Propagace města jako atraktivního místa pro život a podnikání</w:t>
            </w:r>
          </w:p>
        </w:tc>
        <w:tc>
          <w:tcPr>
            <w:tcW w:w="703" w:type="pct"/>
            <w:tcBorders>
              <w:top w:val="single" w:sz="4" w:space="0" w:color="auto"/>
              <w:left w:val="single" w:sz="4" w:space="0" w:color="auto"/>
              <w:bottom w:val="single" w:sz="4" w:space="0" w:color="auto"/>
              <w:right w:val="single" w:sz="4" w:space="0" w:color="auto"/>
            </w:tcBorders>
            <w:shd w:val="clear" w:color="000000" w:fill="FBCBCE"/>
            <w:noWrap/>
            <w:vAlign w:val="bottom"/>
            <w:hideMark/>
          </w:tcPr>
          <w:p w14:paraId="02024BD2"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31,1%</w:t>
            </w:r>
          </w:p>
        </w:tc>
        <w:tc>
          <w:tcPr>
            <w:tcW w:w="703" w:type="pct"/>
            <w:tcBorders>
              <w:top w:val="single" w:sz="4" w:space="0" w:color="auto"/>
              <w:left w:val="single" w:sz="4" w:space="0" w:color="auto"/>
              <w:bottom w:val="single" w:sz="4" w:space="0" w:color="auto"/>
              <w:right w:val="single" w:sz="4" w:space="0" w:color="auto"/>
            </w:tcBorders>
            <w:shd w:val="clear" w:color="000000" w:fill="FBBFC2"/>
            <w:noWrap/>
            <w:vAlign w:val="bottom"/>
            <w:hideMark/>
          </w:tcPr>
          <w:p w14:paraId="2D236FC9"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38,7%</w:t>
            </w:r>
          </w:p>
        </w:tc>
        <w:tc>
          <w:tcPr>
            <w:tcW w:w="703" w:type="pct"/>
            <w:tcBorders>
              <w:top w:val="single" w:sz="4" w:space="0" w:color="auto"/>
              <w:left w:val="single" w:sz="4" w:space="0" w:color="auto"/>
              <w:bottom w:val="single" w:sz="4" w:space="0" w:color="auto"/>
              <w:right w:val="single" w:sz="4" w:space="0" w:color="auto"/>
            </w:tcBorders>
            <w:shd w:val="clear" w:color="000000" w:fill="FCE6E9"/>
            <w:noWrap/>
            <w:vAlign w:val="bottom"/>
            <w:hideMark/>
          </w:tcPr>
          <w:p w14:paraId="43844A36"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14,3%</w:t>
            </w:r>
          </w:p>
        </w:tc>
      </w:tr>
      <w:tr w:rsidR="006B5B80" w:rsidRPr="001A3416" w14:paraId="27CD5380"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733EE74F"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Vzdělávání</w:t>
            </w:r>
          </w:p>
        </w:tc>
        <w:tc>
          <w:tcPr>
            <w:tcW w:w="703" w:type="pct"/>
            <w:tcBorders>
              <w:top w:val="single" w:sz="4" w:space="0" w:color="auto"/>
              <w:left w:val="single" w:sz="4" w:space="0" w:color="auto"/>
              <w:bottom w:val="single" w:sz="4" w:space="0" w:color="auto"/>
              <w:right w:val="single" w:sz="4" w:space="0" w:color="auto"/>
            </w:tcBorders>
            <w:shd w:val="clear" w:color="000000" w:fill="FBCBCE"/>
            <w:noWrap/>
            <w:vAlign w:val="bottom"/>
            <w:hideMark/>
          </w:tcPr>
          <w:p w14:paraId="4F3CAEDF"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31,1%</w:t>
            </w:r>
          </w:p>
        </w:tc>
        <w:tc>
          <w:tcPr>
            <w:tcW w:w="703" w:type="pct"/>
            <w:tcBorders>
              <w:top w:val="single" w:sz="4" w:space="0" w:color="auto"/>
              <w:left w:val="single" w:sz="4" w:space="0" w:color="auto"/>
              <w:bottom w:val="single" w:sz="4" w:space="0" w:color="auto"/>
              <w:right w:val="single" w:sz="4" w:space="0" w:color="auto"/>
            </w:tcBorders>
            <w:shd w:val="clear" w:color="000000" w:fill="FBBFC2"/>
            <w:noWrap/>
            <w:vAlign w:val="bottom"/>
            <w:hideMark/>
          </w:tcPr>
          <w:p w14:paraId="660D6D83"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38,7%</w:t>
            </w:r>
          </w:p>
        </w:tc>
        <w:tc>
          <w:tcPr>
            <w:tcW w:w="703" w:type="pct"/>
            <w:tcBorders>
              <w:top w:val="single" w:sz="4" w:space="0" w:color="auto"/>
              <w:left w:val="single" w:sz="4" w:space="0" w:color="auto"/>
              <w:bottom w:val="single" w:sz="4" w:space="0" w:color="auto"/>
              <w:right w:val="single" w:sz="4" w:space="0" w:color="auto"/>
            </w:tcBorders>
            <w:shd w:val="clear" w:color="000000" w:fill="FCE6E9"/>
            <w:noWrap/>
            <w:vAlign w:val="bottom"/>
            <w:hideMark/>
          </w:tcPr>
          <w:p w14:paraId="2C2F25E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14,3%</w:t>
            </w:r>
          </w:p>
        </w:tc>
      </w:tr>
      <w:tr w:rsidR="006B5B80" w:rsidRPr="001A3416" w14:paraId="080E4AFB"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0B092DC5" w14:textId="46A4279C"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Podpora individuální bydlení – vhodné pozemky, tech.</w:t>
            </w:r>
            <w:r w:rsidR="00B64A00">
              <w:rPr>
                <w:rFonts w:ascii="Calibri" w:hAnsi="Calibri" w:cs="Calibri"/>
                <w:color w:val="000000"/>
                <w:sz w:val="18"/>
                <w:szCs w:val="18"/>
              </w:rPr>
              <w:t xml:space="preserve"> </w:t>
            </w:r>
            <w:r w:rsidRPr="001A3416">
              <w:rPr>
                <w:rFonts w:ascii="Calibri" w:hAnsi="Calibri" w:cs="Calibri"/>
                <w:color w:val="000000"/>
                <w:sz w:val="18"/>
                <w:szCs w:val="18"/>
              </w:rPr>
              <w:t>infrastruktura</w:t>
            </w:r>
          </w:p>
        </w:tc>
        <w:tc>
          <w:tcPr>
            <w:tcW w:w="703" w:type="pct"/>
            <w:tcBorders>
              <w:top w:val="single" w:sz="4" w:space="0" w:color="auto"/>
              <w:left w:val="single" w:sz="4" w:space="0" w:color="auto"/>
              <w:bottom w:val="single" w:sz="4" w:space="0" w:color="auto"/>
              <w:right w:val="single" w:sz="4" w:space="0" w:color="auto"/>
            </w:tcBorders>
            <w:shd w:val="clear" w:color="000000" w:fill="FBCBCE"/>
            <w:noWrap/>
            <w:vAlign w:val="bottom"/>
            <w:hideMark/>
          </w:tcPr>
          <w:p w14:paraId="7A2D90FD"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31,1%</w:t>
            </w:r>
          </w:p>
        </w:tc>
        <w:tc>
          <w:tcPr>
            <w:tcW w:w="703" w:type="pct"/>
            <w:tcBorders>
              <w:top w:val="single" w:sz="4" w:space="0" w:color="auto"/>
              <w:left w:val="single" w:sz="4" w:space="0" w:color="auto"/>
              <w:bottom w:val="single" w:sz="4" w:space="0" w:color="auto"/>
              <w:right w:val="single" w:sz="4" w:space="0" w:color="auto"/>
            </w:tcBorders>
            <w:shd w:val="clear" w:color="000000" w:fill="FBCFD1"/>
            <w:noWrap/>
            <w:vAlign w:val="bottom"/>
            <w:hideMark/>
          </w:tcPr>
          <w:p w14:paraId="4120437B"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29,0%</w:t>
            </w:r>
          </w:p>
        </w:tc>
        <w:tc>
          <w:tcPr>
            <w:tcW w:w="703" w:type="pct"/>
            <w:tcBorders>
              <w:top w:val="single" w:sz="4" w:space="0" w:color="auto"/>
              <w:left w:val="single" w:sz="4" w:space="0" w:color="auto"/>
              <w:bottom w:val="single" w:sz="4" w:space="0" w:color="auto"/>
              <w:right w:val="single" w:sz="4" w:space="0" w:color="auto"/>
            </w:tcBorders>
            <w:shd w:val="clear" w:color="000000" w:fill="FBC4C7"/>
            <w:noWrap/>
            <w:vAlign w:val="bottom"/>
            <w:hideMark/>
          </w:tcPr>
          <w:p w14:paraId="0DC98C0B"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35,7%</w:t>
            </w:r>
          </w:p>
        </w:tc>
      </w:tr>
      <w:tr w:rsidR="006B5B80" w:rsidRPr="001A3416" w14:paraId="7DAB542B"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275F2F84"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Modernizace infrastruktury (např. vodovody, kanalizace)</w:t>
            </w:r>
          </w:p>
        </w:tc>
        <w:tc>
          <w:tcPr>
            <w:tcW w:w="703" w:type="pct"/>
            <w:tcBorders>
              <w:top w:val="single" w:sz="4" w:space="0" w:color="auto"/>
              <w:left w:val="single" w:sz="4" w:space="0" w:color="auto"/>
              <w:bottom w:val="single" w:sz="4" w:space="0" w:color="auto"/>
              <w:right w:val="single" w:sz="4" w:space="0" w:color="auto"/>
            </w:tcBorders>
            <w:shd w:val="clear" w:color="000000" w:fill="FBD2D5"/>
            <w:noWrap/>
            <w:vAlign w:val="bottom"/>
            <w:hideMark/>
          </w:tcPr>
          <w:p w14:paraId="09AE9480"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26,7%</w:t>
            </w:r>
          </w:p>
        </w:tc>
        <w:tc>
          <w:tcPr>
            <w:tcW w:w="703" w:type="pct"/>
            <w:tcBorders>
              <w:top w:val="single" w:sz="4" w:space="0" w:color="auto"/>
              <w:left w:val="single" w:sz="4" w:space="0" w:color="auto"/>
              <w:bottom w:val="single" w:sz="4" w:space="0" w:color="auto"/>
              <w:right w:val="single" w:sz="4" w:space="0" w:color="auto"/>
            </w:tcBorders>
            <w:shd w:val="clear" w:color="000000" w:fill="FBD4D6"/>
            <w:noWrap/>
            <w:vAlign w:val="bottom"/>
            <w:hideMark/>
          </w:tcPr>
          <w:p w14:paraId="0983B929"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25,8%</w:t>
            </w:r>
          </w:p>
        </w:tc>
        <w:tc>
          <w:tcPr>
            <w:tcW w:w="703" w:type="pct"/>
            <w:tcBorders>
              <w:top w:val="single" w:sz="4" w:space="0" w:color="auto"/>
              <w:left w:val="single" w:sz="4" w:space="0" w:color="auto"/>
              <w:bottom w:val="single" w:sz="4" w:space="0" w:color="auto"/>
              <w:right w:val="single" w:sz="4" w:space="0" w:color="auto"/>
            </w:tcBorders>
            <w:shd w:val="clear" w:color="000000" w:fill="FBCFD2"/>
            <w:noWrap/>
            <w:vAlign w:val="bottom"/>
            <w:hideMark/>
          </w:tcPr>
          <w:p w14:paraId="1D631863"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28,6%</w:t>
            </w:r>
          </w:p>
        </w:tc>
      </w:tr>
      <w:tr w:rsidR="006B5B80" w:rsidRPr="001A3416" w14:paraId="58A1DD3A"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30C8FD64"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Nabídka nájemního bydlení ve městě</w:t>
            </w:r>
          </w:p>
        </w:tc>
        <w:tc>
          <w:tcPr>
            <w:tcW w:w="703" w:type="pct"/>
            <w:tcBorders>
              <w:top w:val="single" w:sz="4" w:space="0" w:color="auto"/>
              <w:left w:val="single" w:sz="4" w:space="0" w:color="auto"/>
              <w:bottom w:val="single" w:sz="4" w:space="0" w:color="auto"/>
              <w:right w:val="single" w:sz="4" w:space="0" w:color="auto"/>
            </w:tcBorders>
            <w:shd w:val="clear" w:color="000000" w:fill="FCDDE0"/>
            <w:noWrap/>
            <w:vAlign w:val="bottom"/>
            <w:hideMark/>
          </w:tcPr>
          <w:p w14:paraId="29ADC44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20,0%</w:t>
            </w:r>
          </w:p>
        </w:tc>
        <w:tc>
          <w:tcPr>
            <w:tcW w:w="703" w:type="pct"/>
            <w:tcBorders>
              <w:top w:val="single" w:sz="4" w:space="0" w:color="auto"/>
              <w:left w:val="single" w:sz="4" w:space="0" w:color="auto"/>
              <w:bottom w:val="single" w:sz="4" w:space="0" w:color="auto"/>
              <w:right w:val="single" w:sz="4" w:space="0" w:color="auto"/>
            </w:tcBorders>
            <w:shd w:val="clear" w:color="000000" w:fill="FBD4D6"/>
            <w:noWrap/>
            <w:vAlign w:val="bottom"/>
            <w:hideMark/>
          </w:tcPr>
          <w:p w14:paraId="0A4F1D81"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25,8%</w:t>
            </w:r>
          </w:p>
        </w:tc>
        <w:tc>
          <w:tcPr>
            <w:tcW w:w="703" w:type="pct"/>
            <w:tcBorders>
              <w:top w:val="single" w:sz="4" w:space="0" w:color="auto"/>
              <w:left w:val="single" w:sz="4" w:space="0" w:color="auto"/>
              <w:bottom w:val="single" w:sz="4" w:space="0" w:color="auto"/>
              <w:right w:val="single" w:sz="4" w:space="0" w:color="auto"/>
            </w:tcBorders>
            <w:shd w:val="clear" w:color="000000" w:fill="FCF1F4"/>
            <w:noWrap/>
            <w:vAlign w:val="bottom"/>
            <w:hideMark/>
          </w:tcPr>
          <w:p w14:paraId="182B853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7,1%</w:t>
            </w:r>
          </w:p>
        </w:tc>
      </w:tr>
      <w:tr w:rsidR="006B5B80" w:rsidRPr="001A3416" w14:paraId="613C50B8"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54B0E2E5"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 xml:space="preserve">Zefektivnění správy města </w:t>
            </w:r>
          </w:p>
        </w:tc>
        <w:tc>
          <w:tcPr>
            <w:tcW w:w="703" w:type="pct"/>
            <w:tcBorders>
              <w:top w:val="single" w:sz="4" w:space="0" w:color="auto"/>
              <w:left w:val="single" w:sz="4" w:space="0" w:color="auto"/>
              <w:bottom w:val="single" w:sz="4" w:space="0" w:color="auto"/>
              <w:right w:val="single" w:sz="4" w:space="0" w:color="auto"/>
            </w:tcBorders>
            <w:shd w:val="clear" w:color="000000" w:fill="FCDDE0"/>
            <w:noWrap/>
            <w:vAlign w:val="bottom"/>
            <w:hideMark/>
          </w:tcPr>
          <w:p w14:paraId="20FD497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20,0%</w:t>
            </w:r>
          </w:p>
        </w:tc>
        <w:tc>
          <w:tcPr>
            <w:tcW w:w="703" w:type="pct"/>
            <w:tcBorders>
              <w:top w:val="single" w:sz="4" w:space="0" w:color="auto"/>
              <w:left w:val="single" w:sz="4" w:space="0" w:color="auto"/>
              <w:bottom w:val="single" w:sz="4" w:space="0" w:color="auto"/>
              <w:right w:val="single" w:sz="4" w:space="0" w:color="auto"/>
            </w:tcBorders>
            <w:shd w:val="clear" w:color="000000" w:fill="FCE3E6"/>
            <w:noWrap/>
            <w:vAlign w:val="bottom"/>
            <w:hideMark/>
          </w:tcPr>
          <w:p w14:paraId="2FF7ADF3"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16,1%</w:t>
            </w:r>
          </w:p>
        </w:tc>
        <w:tc>
          <w:tcPr>
            <w:tcW w:w="703" w:type="pct"/>
            <w:tcBorders>
              <w:top w:val="single" w:sz="4" w:space="0" w:color="auto"/>
              <w:left w:val="single" w:sz="4" w:space="0" w:color="auto"/>
              <w:bottom w:val="single" w:sz="4" w:space="0" w:color="auto"/>
              <w:right w:val="single" w:sz="4" w:space="0" w:color="auto"/>
            </w:tcBorders>
            <w:shd w:val="clear" w:color="000000" w:fill="FBCFD2"/>
            <w:noWrap/>
            <w:vAlign w:val="bottom"/>
            <w:hideMark/>
          </w:tcPr>
          <w:p w14:paraId="4BD90FB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28,6%</w:t>
            </w:r>
          </w:p>
        </w:tc>
      </w:tr>
      <w:tr w:rsidR="006B5B80" w:rsidRPr="001A3416" w14:paraId="74C2E486"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61F18500"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Rekonstrukce centra města</w:t>
            </w:r>
          </w:p>
        </w:tc>
        <w:tc>
          <w:tcPr>
            <w:tcW w:w="703" w:type="pct"/>
            <w:tcBorders>
              <w:top w:val="single" w:sz="4" w:space="0" w:color="auto"/>
              <w:left w:val="single" w:sz="4" w:space="0" w:color="auto"/>
              <w:bottom w:val="single" w:sz="4" w:space="0" w:color="auto"/>
              <w:right w:val="single" w:sz="4" w:space="0" w:color="auto"/>
            </w:tcBorders>
            <w:shd w:val="clear" w:color="000000" w:fill="FCDDE0"/>
            <w:noWrap/>
            <w:vAlign w:val="bottom"/>
            <w:hideMark/>
          </w:tcPr>
          <w:p w14:paraId="098828E5"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20,0%</w:t>
            </w:r>
          </w:p>
        </w:tc>
        <w:tc>
          <w:tcPr>
            <w:tcW w:w="703" w:type="pct"/>
            <w:tcBorders>
              <w:top w:val="single" w:sz="4" w:space="0" w:color="auto"/>
              <w:left w:val="single" w:sz="4" w:space="0" w:color="auto"/>
              <w:bottom w:val="single" w:sz="4" w:space="0" w:color="auto"/>
              <w:right w:val="single" w:sz="4" w:space="0" w:color="auto"/>
            </w:tcBorders>
            <w:shd w:val="clear" w:color="000000" w:fill="FBD4D6"/>
            <w:noWrap/>
            <w:vAlign w:val="bottom"/>
            <w:hideMark/>
          </w:tcPr>
          <w:p w14:paraId="47958F2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25,8%</w:t>
            </w:r>
          </w:p>
        </w:tc>
        <w:tc>
          <w:tcPr>
            <w:tcW w:w="703" w:type="pct"/>
            <w:tcBorders>
              <w:top w:val="single" w:sz="4" w:space="0" w:color="auto"/>
              <w:left w:val="single" w:sz="4" w:space="0" w:color="auto"/>
              <w:bottom w:val="single" w:sz="4" w:space="0" w:color="auto"/>
              <w:right w:val="single" w:sz="4" w:space="0" w:color="auto"/>
            </w:tcBorders>
            <w:shd w:val="clear" w:color="000000" w:fill="FCF1F4"/>
            <w:noWrap/>
            <w:vAlign w:val="bottom"/>
            <w:hideMark/>
          </w:tcPr>
          <w:p w14:paraId="4FA12986"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7,1%</w:t>
            </w:r>
          </w:p>
        </w:tc>
      </w:tr>
      <w:tr w:rsidR="006B5B80" w:rsidRPr="001A3416" w14:paraId="36B580FD"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73C5E9A1"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Životní prostředí</w:t>
            </w:r>
          </w:p>
        </w:tc>
        <w:tc>
          <w:tcPr>
            <w:tcW w:w="703" w:type="pct"/>
            <w:tcBorders>
              <w:top w:val="single" w:sz="4" w:space="0" w:color="auto"/>
              <w:left w:val="single" w:sz="4" w:space="0" w:color="auto"/>
              <w:bottom w:val="single" w:sz="4" w:space="0" w:color="auto"/>
              <w:right w:val="single" w:sz="4" w:space="0" w:color="auto"/>
            </w:tcBorders>
            <w:shd w:val="clear" w:color="000000" w:fill="FCE0E3"/>
            <w:noWrap/>
            <w:vAlign w:val="bottom"/>
            <w:hideMark/>
          </w:tcPr>
          <w:p w14:paraId="0AA0B68F"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17,8%</w:t>
            </w:r>
          </w:p>
        </w:tc>
        <w:tc>
          <w:tcPr>
            <w:tcW w:w="703" w:type="pct"/>
            <w:tcBorders>
              <w:top w:val="single" w:sz="4" w:space="0" w:color="auto"/>
              <w:left w:val="single" w:sz="4" w:space="0" w:color="auto"/>
              <w:bottom w:val="single" w:sz="4" w:space="0" w:color="auto"/>
              <w:right w:val="single" w:sz="4" w:space="0" w:color="auto"/>
            </w:tcBorders>
            <w:shd w:val="clear" w:color="000000" w:fill="FCE3E6"/>
            <w:noWrap/>
            <w:vAlign w:val="bottom"/>
            <w:hideMark/>
          </w:tcPr>
          <w:p w14:paraId="5288432C"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16,1%</w:t>
            </w:r>
          </w:p>
        </w:tc>
        <w:tc>
          <w:tcPr>
            <w:tcW w:w="703" w:type="pct"/>
            <w:tcBorders>
              <w:top w:val="single" w:sz="4" w:space="0" w:color="auto"/>
              <w:left w:val="single" w:sz="4" w:space="0" w:color="auto"/>
              <w:bottom w:val="single" w:sz="4" w:space="0" w:color="auto"/>
              <w:right w:val="single" w:sz="4" w:space="0" w:color="auto"/>
            </w:tcBorders>
            <w:shd w:val="clear" w:color="000000" w:fill="FCDBDD"/>
            <w:noWrap/>
            <w:vAlign w:val="bottom"/>
            <w:hideMark/>
          </w:tcPr>
          <w:p w14:paraId="5085C3CD"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21,4%</w:t>
            </w:r>
          </w:p>
        </w:tc>
      </w:tr>
      <w:tr w:rsidR="006B5B80" w:rsidRPr="001A3416" w14:paraId="6D891443"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6C224ADD"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Vytváření nových pracovních míst</w:t>
            </w:r>
          </w:p>
        </w:tc>
        <w:tc>
          <w:tcPr>
            <w:tcW w:w="703" w:type="pct"/>
            <w:tcBorders>
              <w:top w:val="single" w:sz="4" w:space="0" w:color="auto"/>
              <w:left w:val="single" w:sz="4" w:space="0" w:color="auto"/>
              <w:bottom w:val="single" w:sz="4" w:space="0" w:color="auto"/>
              <w:right w:val="single" w:sz="4" w:space="0" w:color="auto"/>
            </w:tcBorders>
            <w:shd w:val="clear" w:color="000000" w:fill="FCE0E3"/>
            <w:noWrap/>
            <w:vAlign w:val="bottom"/>
            <w:hideMark/>
          </w:tcPr>
          <w:p w14:paraId="7A9F0222"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17,8%</w:t>
            </w:r>
          </w:p>
        </w:tc>
        <w:tc>
          <w:tcPr>
            <w:tcW w:w="703" w:type="pct"/>
            <w:tcBorders>
              <w:top w:val="single" w:sz="4" w:space="0" w:color="auto"/>
              <w:left w:val="single" w:sz="4" w:space="0" w:color="auto"/>
              <w:bottom w:val="single" w:sz="4" w:space="0" w:color="auto"/>
              <w:right w:val="single" w:sz="4" w:space="0" w:color="auto"/>
            </w:tcBorders>
            <w:shd w:val="clear" w:color="000000" w:fill="FCE8EB"/>
            <w:noWrap/>
            <w:vAlign w:val="bottom"/>
            <w:hideMark/>
          </w:tcPr>
          <w:p w14:paraId="4121CA50"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12,9%</w:t>
            </w:r>
          </w:p>
        </w:tc>
        <w:tc>
          <w:tcPr>
            <w:tcW w:w="703" w:type="pct"/>
            <w:tcBorders>
              <w:top w:val="single" w:sz="4" w:space="0" w:color="auto"/>
              <w:left w:val="single" w:sz="4" w:space="0" w:color="auto"/>
              <w:bottom w:val="single" w:sz="4" w:space="0" w:color="auto"/>
              <w:right w:val="single" w:sz="4" w:space="0" w:color="auto"/>
            </w:tcBorders>
            <w:shd w:val="clear" w:color="000000" w:fill="FBCFD2"/>
            <w:noWrap/>
            <w:vAlign w:val="bottom"/>
            <w:hideMark/>
          </w:tcPr>
          <w:p w14:paraId="485B318F"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28,6%</w:t>
            </w:r>
          </w:p>
        </w:tc>
      </w:tr>
      <w:tr w:rsidR="006B5B80" w:rsidRPr="001A3416" w14:paraId="645AC79C"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3EDB3BF6"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Odpadové hospodářství (např. likvidace tuhých odpadů)</w:t>
            </w:r>
          </w:p>
        </w:tc>
        <w:tc>
          <w:tcPr>
            <w:tcW w:w="703" w:type="pct"/>
            <w:tcBorders>
              <w:top w:val="single" w:sz="4" w:space="0" w:color="auto"/>
              <w:left w:val="single" w:sz="4" w:space="0" w:color="auto"/>
              <w:bottom w:val="single" w:sz="4" w:space="0" w:color="auto"/>
              <w:right w:val="single" w:sz="4" w:space="0" w:color="auto"/>
            </w:tcBorders>
            <w:shd w:val="clear" w:color="000000" w:fill="FCE0E3"/>
            <w:noWrap/>
            <w:vAlign w:val="bottom"/>
            <w:hideMark/>
          </w:tcPr>
          <w:p w14:paraId="7B981C50"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17,8%</w:t>
            </w:r>
          </w:p>
        </w:tc>
        <w:tc>
          <w:tcPr>
            <w:tcW w:w="703" w:type="pct"/>
            <w:tcBorders>
              <w:top w:val="single" w:sz="4" w:space="0" w:color="auto"/>
              <w:left w:val="single" w:sz="4" w:space="0" w:color="auto"/>
              <w:bottom w:val="single" w:sz="4" w:space="0" w:color="auto"/>
              <w:right w:val="single" w:sz="4" w:space="0" w:color="auto"/>
            </w:tcBorders>
            <w:shd w:val="clear" w:color="000000" w:fill="FCE3E6"/>
            <w:noWrap/>
            <w:vAlign w:val="bottom"/>
            <w:hideMark/>
          </w:tcPr>
          <w:p w14:paraId="15832200"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16,1%</w:t>
            </w:r>
          </w:p>
        </w:tc>
        <w:tc>
          <w:tcPr>
            <w:tcW w:w="703" w:type="pct"/>
            <w:tcBorders>
              <w:top w:val="single" w:sz="4" w:space="0" w:color="auto"/>
              <w:left w:val="single" w:sz="4" w:space="0" w:color="auto"/>
              <w:bottom w:val="single" w:sz="4" w:space="0" w:color="auto"/>
              <w:right w:val="single" w:sz="4" w:space="0" w:color="auto"/>
            </w:tcBorders>
            <w:shd w:val="clear" w:color="000000" w:fill="FCDBDD"/>
            <w:noWrap/>
            <w:vAlign w:val="bottom"/>
            <w:hideMark/>
          </w:tcPr>
          <w:p w14:paraId="62BC1411"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21,4%</w:t>
            </w:r>
          </w:p>
        </w:tc>
      </w:tr>
      <w:tr w:rsidR="006B5B80" w:rsidRPr="001A3416" w14:paraId="22A786C1"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09A89A0B"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 xml:space="preserve">Rekonstrukce sportovních zařízení </w:t>
            </w:r>
          </w:p>
        </w:tc>
        <w:tc>
          <w:tcPr>
            <w:tcW w:w="703" w:type="pct"/>
            <w:tcBorders>
              <w:top w:val="single" w:sz="4" w:space="0" w:color="auto"/>
              <w:left w:val="single" w:sz="4" w:space="0" w:color="auto"/>
              <w:bottom w:val="single" w:sz="4" w:space="0" w:color="auto"/>
              <w:right w:val="single" w:sz="4" w:space="0" w:color="auto"/>
            </w:tcBorders>
            <w:shd w:val="clear" w:color="000000" w:fill="FCE7EA"/>
            <w:noWrap/>
            <w:vAlign w:val="bottom"/>
            <w:hideMark/>
          </w:tcPr>
          <w:p w14:paraId="242A60D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13,3%</w:t>
            </w:r>
          </w:p>
        </w:tc>
        <w:tc>
          <w:tcPr>
            <w:tcW w:w="703" w:type="pct"/>
            <w:tcBorders>
              <w:top w:val="single" w:sz="4" w:space="0" w:color="auto"/>
              <w:left w:val="single" w:sz="4" w:space="0" w:color="auto"/>
              <w:bottom w:val="single" w:sz="4" w:space="0" w:color="auto"/>
              <w:right w:val="single" w:sz="4" w:space="0" w:color="auto"/>
            </w:tcBorders>
            <w:shd w:val="clear" w:color="000000" w:fill="FCE8EB"/>
            <w:noWrap/>
            <w:vAlign w:val="bottom"/>
            <w:hideMark/>
          </w:tcPr>
          <w:p w14:paraId="08D16DC6"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12,9%</w:t>
            </w:r>
          </w:p>
        </w:tc>
        <w:tc>
          <w:tcPr>
            <w:tcW w:w="703" w:type="pct"/>
            <w:tcBorders>
              <w:top w:val="single" w:sz="4" w:space="0" w:color="auto"/>
              <w:left w:val="single" w:sz="4" w:space="0" w:color="auto"/>
              <w:bottom w:val="single" w:sz="4" w:space="0" w:color="auto"/>
              <w:right w:val="single" w:sz="4" w:space="0" w:color="auto"/>
            </w:tcBorders>
            <w:shd w:val="clear" w:color="000000" w:fill="FCE6E9"/>
            <w:noWrap/>
            <w:vAlign w:val="bottom"/>
            <w:hideMark/>
          </w:tcPr>
          <w:p w14:paraId="656D06B7"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14,3%</w:t>
            </w:r>
          </w:p>
        </w:tc>
      </w:tr>
      <w:tr w:rsidR="006B5B80" w:rsidRPr="001A3416" w14:paraId="5FCF27E7"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0FE95FA6"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Rozvoj cestovního ruchu</w:t>
            </w:r>
          </w:p>
        </w:tc>
        <w:tc>
          <w:tcPr>
            <w:tcW w:w="703" w:type="pct"/>
            <w:tcBorders>
              <w:top w:val="single" w:sz="4" w:space="0" w:color="auto"/>
              <w:left w:val="single" w:sz="4" w:space="0" w:color="auto"/>
              <w:bottom w:val="single" w:sz="4" w:space="0" w:color="auto"/>
              <w:right w:val="single" w:sz="4" w:space="0" w:color="auto"/>
            </w:tcBorders>
            <w:shd w:val="clear" w:color="000000" w:fill="FCEBEE"/>
            <w:noWrap/>
            <w:vAlign w:val="bottom"/>
            <w:hideMark/>
          </w:tcPr>
          <w:p w14:paraId="07072C5D"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11,1%</w:t>
            </w:r>
          </w:p>
        </w:tc>
        <w:tc>
          <w:tcPr>
            <w:tcW w:w="703" w:type="pct"/>
            <w:tcBorders>
              <w:top w:val="single" w:sz="4" w:space="0" w:color="auto"/>
              <w:left w:val="single" w:sz="4" w:space="0" w:color="auto"/>
              <w:bottom w:val="single" w:sz="4" w:space="0" w:color="auto"/>
              <w:right w:val="single" w:sz="4" w:space="0" w:color="auto"/>
            </w:tcBorders>
            <w:shd w:val="clear" w:color="000000" w:fill="FCE8EB"/>
            <w:noWrap/>
            <w:vAlign w:val="bottom"/>
            <w:hideMark/>
          </w:tcPr>
          <w:p w14:paraId="393DA315"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12,9%</w:t>
            </w:r>
          </w:p>
        </w:tc>
        <w:tc>
          <w:tcPr>
            <w:tcW w:w="703" w:type="pct"/>
            <w:tcBorders>
              <w:top w:val="single" w:sz="4" w:space="0" w:color="auto"/>
              <w:left w:val="single" w:sz="4" w:space="0" w:color="auto"/>
              <w:bottom w:val="single" w:sz="4" w:space="0" w:color="auto"/>
              <w:right w:val="single" w:sz="4" w:space="0" w:color="auto"/>
            </w:tcBorders>
            <w:shd w:val="clear" w:color="000000" w:fill="FCF1F4"/>
            <w:noWrap/>
            <w:vAlign w:val="bottom"/>
            <w:hideMark/>
          </w:tcPr>
          <w:p w14:paraId="0CA6386B"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7,1%</w:t>
            </w:r>
          </w:p>
        </w:tc>
      </w:tr>
      <w:tr w:rsidR="006B5B80" w:rsidRPr="001A3416" w14:paraId="60C35DFB"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293AAA40"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Sociální služby</w:t>
            </w:r>
          </w:p>
        </w:tc>
        <w:tc>
          <w:tcPr>
            <w:tcW w:w="703" w:type="pct"/>
            <w:tcBorders>
              <w:top w:val="single" w:sz="4" w:space="0" w:color="auto"/>
              <w:left w:val="single" w:sz="4" w:space="0" w:color="auto"/>
              <w:bottom w:val="single" w:sz="4" w:space="0" w:color="auto"/>
              <w:right w:val="single" w:sz="4" w:space="0" w:color="auto"/>
            </w:tcBorders>
            <w:shd w:val="clear" w:color="000000" w:fill="FCEEF1"/>
            <w:noWrap/>
            <w:vAlign w:val="bottom"/>
            <w:hideMark/>
          </w:tcPr>
          <w:p w14:paraId="4AA23137"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8,9%</w:t>
            </w:r>
          </w:p>
        </w:tc>
        <w:tc>
          <w:tcPr>
            <w:tcW w:w="703" w:type="pct"/>
            <w:tcBorders>
              <w:top w:val="single" w:sz="4" w:space="0" w:color="auto"/>
              <w:left w:val="single" w:sz="4" w:space="0" w:color="auto"/>
              <w:bottom w:val="single" w:sz="4" w:space="0" w:color="auto"/>
              <w:right w:val="single" w:sz="4" w:space="0" w:color="auto"/>
            </w:tcBorders>
            <w:shd w:val="clear" w:color="000000" w:fill="FCEDF0"/>
            <w:noWrap/>
            <w:vAlign w:val="bottom"/>
            <w:hideMark/>
          </w:tcPr>
          <w:p w14:paraId="4B46EE43"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9,7%</w:t>
            </w:r>
          </w:p>
        </w:tc>
        <w:tc>
          <w:tcPr>
            <w:tcW w:w="703" w:type="pct"/>
            <w:tcBorders>
              <w:top w:val="single" w:sz="4" w:space="0" w:color="auto"/>
              <w:left w:val="single" w:sz="4" w:space="0" w:color="auto"/>
              <w:bottom w:val="single" w:sz="4" w:space="0" w:color="auto"/>
              <w:right w:val="single" w:sz="4" w:space="0" w:color="auto"/>
            </w:tcBorders>
            <w:shd w:val="clear" w:color="000000" w:fill="FCF1F4"/>
            <w:noWrap/>
            <w:vAlign w:val="bottom"/>
            <w:hideMark/>
          </w:tcPr>
          <w:p w14:paraId="7B2F4DAA"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7,1%</w:t>
            </w:r>
          </w:p>
        </w:tc>
      </w:tr>
      <w:tr w:rsidR="006B5B80" w:rsidRPr="001A3416" w14:paraId="6AB5B44F"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41F93D53"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Bezpečnost ve městě</w:t>
            </w:r>
          </w:p>
        </w:tc>
        <w:tc>
          <w:tcPr>
            <w:tcW w:w="703" w:type="pct"/>
            <w:tcBorders>
              <w:top w:val="single" w:sz="4" w:space="0" w:color="auto"/>
              <w:left w:val="single" w:sz="4" w:space="0" w:color="auto"/>
              <w:bottom w:val="single" w:sz="4" w:space="0" w:color="auto"/>
              <w:right w:val="single" w:sz="4" w:space="0" w:color="auto"/>
            </w:tcBorders>
            <w:shd w:val="clear" w:color="000000" w:fill="FCF5F8"/>
            <w:noWrap/>
            <w:vAlign w:val="bottom"/>
            <w:hideMark/>
          </w:tcPr>
          <w:p w14:paraId="11B27C83"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4,4%</w:t>
            </w:r>
          </w:p>
        </w:tc>
        <w:tc>
          <w:tcPr>
            <w:tcW w:w="703" w:type="pct"/>
            <w:tcBorders>
              <w:top w:val="single" w:sz="4" w:space="0" w:color="auto"/>
              <w:left w:val="single" w:sz="4" w:space="0" w:color="auto"/>
              <w:bottom w:val="single" w:sz="4" w:space="0" w:color="auto"/>
              <w:right w:val="single" w:sz="4" w:space="0" w:color="auto"/>
            </w:tcBorders>
            <w:shd w:val="clear" w:color="000000" w:fill="FCF2F5"/>
            <w:noWrap/>
            <w:vAlign w:val="bottom"/>
            <w:hideMark/>
          </w:tcPr>
          <w:p w14:paraId="075F5B86"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6,5%</w:t>
            </w:r>
          </w:p>
        </w:tc>
        <w:tc>
          <w:tcPr>
            <w:tcW w:w="703"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7046E46A"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0,0%</w:t>
            </w:r>
          </w:p>
        </w:tc>
      </w:tr>
      <w:tr w:rsidR="006B5B80" w:rsidRPr="001A3416" w14:paraId="79503DDB" w14:textId="77777777" w:rsidTr="000C49A5">
        <w:trPr>
          <w:trHeight w:val="255"/>
        </w:trPr>
        <w:tc>
          <w:tcPr>
            <w:tcW w:w="2891" w:type="pct"/>
            <w:tcBorders>
              <w:top w:val="nil"/>
              <w:left w:val="single" w:sz="4" w:space="0" w:color="auto"/>
              <w:bottom w:val="single" w:sz="4" w:space="0" w:color="auto"/>
              <w:right w:val="single" w:sz="4" w:space="0" w:color="auto"/>
            </w:tcBorders>
            <w:shd w:val="clear" w:color="auto" w:fill="auto"/>
            <w:noWrap/>
            <w:vAlign w:val="bottom"/>
            <w:hideMark/>
          </w:tcPr>
          <w:p w14:paraId="57D33A00" w14:textId="77777777" w:rsidR="006B5B80" w:rsidRPr="001A3416" w:rsidRDefault="006B5B80" w:rsidP="000C49A5">
            <w:pPr>
              <w:spacing w:before="0"/>
              <w:jc w:val="left"/>
              <w:rPr>
                <w:rFonts w:ascii="Calibri" w:hAnsi="Calibri" w:cs="Calibri"/>
                <w:color w:val="000000"/>
                <w:sz w:val="18"/>
                <w:szCs w:val="18"/>
              </w:rPr>
            </w:pPr>
            <w:r w:rsidRPr="001A3416">
              <w:rPr>
                <w:rFonts w:ascii="Calibri" w:hAnsi="Calibri" w:cs="Calibri"/>
                <w:color w:val="000000"/>
                <w:sz w:val="18"/>
                <w:szCs w:val="18"/>
              </w:rPr>
              <w:t>Jiné (prosím specifikujte)</w:t>
            </w:r>
          </w:p>
        </w:tc>
        <w:tc>
          <w:tcPr>
            <w:tcW w:w="703"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5D650324"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0,0%</w:t>
            </w:r>
          </w:p>
        </w:tc>
        <w:tc>
          <w:tcPr>
            <w:tcW w:w="703"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07366090"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0,0%</w:t>
            </w:r>
          </w:p>
        </w:tc>
        <w:tc>
          <w:tcPr>
            <w:tcW w:w="703"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C2317AE" w14:textId="77777777" w:rsidR="006B5B80" w:rsidRPr="001A3416" w:rsidRDefault="006B5B80" w:rsidP="000C49A5">
            <w:pPr>
              <w:spacing w:before="0"/>
              <w:jc w:val="right"/>
              <w:rPr>
                <w:rFonts w:ascii="Calibri" w:hAnsi="Calibri" w:cs="Calibri"/>
                <w:color w:val="000000"/>
                <w:sz w:val="18"/>
                <w:szCs w:val="18"/>
              </w:rPr>
            </w:pPr>
            <w:r w:rsidRPr="001A3416">
              <w:rPr>
                <w:rFonts w:ascii="Calibri" w:hAnsi="Calibri" w:cs="Calibri"/>
                <w:color w:val="000000"/>
                <w:sz w:val="18"/>
                <w:szCs w:val="18"/>
              </w:rPr>
              <w:t>0,0%</w:t>
            </w:r>
          </w:p>
        </w:tc>
      </w:tr>
    </w:tbl>
    <w:p w14:paraId="1661FDFC" w14:textId="1814A9F4" w:rsidR="006B5B80" w:rsidRDefault="006B5B80" w:rsidP="006B5B80">
      <w:pPr>
        <w:pStyle w:val="zdroj0"/>
      </w:pPr>
      <w:r w:rsidRPr="001A3416">
        <w:t>Zdroj: PROCES, Průzkum podnikatelského prostředí města Zlína, 2020</w:t>
      </w:r>
      <w:r w:rsidR="00B64A00">
        <w:t>;</w:t>
      </w:r>
      <w:r>
        <w:t xml:space="preserve"> </w:t>
      </w:r>
      <w:r w:rsidRPr="000D6DDF">
        <w:t xml:space="preserve">Otázka č. </w:t>
      </w:r>
      <w:r>
        <w:t>6</w:t>
      </w:r>
      <w:r w:rsidRPr="000D6DDF">
        <w:t xml:space="preserve">: </w:t>
      </w:r>
      <w:r>
        <w:t>Které oblasti rozvoje by mělo město podle Vašeho názoru prioritně řešit? (Prioritizujte nejdůležitějších 5 oblastí rozvoje.)</w:t>
      </w:r>
    </w:p>
    <w:p w14:paraId="4859771A" w14:textId="380CA366" w:rsidR="006B5B80" w:rsidRPr="001A3416" w:rsidRDefault="006B5B80" w:rsidP="006B5B80">
      <w:r>
        <w:t xml:space="preserve">Respondenti dále odpovídali na otevřenou otázku „Co od města nejvíce očekáváte, s čím by Vám mohlo nejvíce pomoci?“. Na otázku odpovědělo celkem 24 respondentů. </w:t>
      </w:r>
      <w:r w:rsidRPr="001A3416">
        <w:t>Podnikatelské subjekty od města nejvíce očekávají řešení nevyhovující dopravní infrastruktury. Ohledně potřeby zlepšení dopravní situace ve městě se vyjádřilo 12 respondentů. Očekávají zklidnění dopravní situace v centru města, řešení problematiky parkování (</w:t>
      </w:r>
      <w:r>
        <w:t xml:space="preserve">konkrétně </w:t>
      </w:r>
      <w:r w:rsidRPr="001A3416">
        <w:rPr>
          <w:i/>
        </w:rPr>
        <w:t>povolení výstavby parkoviště u nákupního střediska „Januštice“, vybudování rezidentních parkovacích míst pro trvale bydlící občany v centru města a</w:t>
      </w:r>
      <w:r w:rsidR="00B64A00">
        <w:rPr>
          <w:i/>
        </w:rPr>
        <w:t> </w:t>
      </w:r>
      <w:r w:rsidRPr="001A3416">
        <w:rPr>
          <w:i/>
        </w:rPr>
        <w:t>vybudování pomocných veřejných parkování pro občany a záchytných parkovišť před Zlínem pro lidi, kteří mohou jezdit MHD a železnicí (trať Vizovice – Otrokovice</w:t>
      </w:r>
      <w:r w:rsidRPr="001A3416">
        <w:t>) a řešení dopravní obslužnosti průmyslových zón (</w:t>
      </w:r>
      <w:r w:rsidRPr="001A3416">
        <w:rPr>
          <w:i/>
        </w:rPr>
        <w:t>dopravní obslužnost průmyslové zóny Příluky – vč. MHD a napojení pro nákladní přepravu, rekonstrukce páteřní cesty v průmyslovém areálu ve Štípě, ulice K Farmě</w:t>
      </w:r>
      <w:r w:rsidRPr="001A3416">
        <w:t xml:space="preserve">).  </w:t>
      </w:r>
    </w:p>
    <w:p w14:paraId="2B3AF005" w14:textId="77777777" w:rsidR="006B5B80" w:rsidRPr="001A3416" w:rsidRDefault="006B5B80" w:rsidP="006B5B80">
      <w:pPr>
        <w:rPr>
          <w:rFonts w:cstheme="minorHAnsi"/>
        </w:rPr>
      </w:pPr>
      <w:r>
        <w:rPr>
          <w:rFonts w:cstheme="minorHAnsi"/>
        </w:rPr>
        <w:t>Celkem 6 podnikatelů</w:t>
      </w:r>
      <w:r w:rsidRPr="001A3416">
        <w:rPr>
          <w:rFonts w:cstheme="minorHAnsi"/>
        </w:rPr>
        <w:t xml:space="preserve"> by si přál</w:t>
      </w:r>
      <w:r>
        <w:rPr>
          <w:rFonts w:cstheme="minorHAnsi"/>
        </w:rPr>
        <w:t xml:space="preserve">o </w:t>
      </w:r>
      <w:r w:rsidRPr="001A3416">
        <w:rPr>
          <w:rFonts w:cstheme="minorHAnsi"/>
        </w:rPr>
        <w:t>podporu v záležitostech agend samosprávy a státní správy (</w:t>
      </w:r>
      <w:r>
        <w:rPr>
          <w:rFonts w:cstheme="minorHAnsi"/>
        </w:rPr>
        <w:t xml:space="preserve">konkrétně </w:t>
      </w:r>
      <w:r w:rsidRPr="001A3416">
        <w:rPr>
          <w:rFonts w:cstheme="minorHAnsi"/>
          <w:i/>
        </w:rPr>
        <w:t>digitalizace státní správy, propojení všech státních úřadů, zprostředkování vztahu se státní správou, proaktivní přístup vůči místním firmám, které se podílejí na rozvoji města, přidělení drobných zakázek (drobné manuální práce pro OZZ, zefektivnění legislativních procesů při povolování staveb, podpora využití/rekonstrukce stávajících budov v areálu „Svit“, bezplatná propagace firem či živnostníků</w:t>
      </w:r>
      <w:r w:rsidRPr="001A3416">
        <w:rPr>
          <w:rFonts w:cstheme="minorHAnsi"/>
        </w:rPr>
        <w:t>).</w:t>
      </w:r>
    </w:p>
    <w:p w14:paraId="0F16C5EA" w14:textId="77777777" w:rsidR="006B5B80" w:rsidRPr="001A3416" w:rsidRDefault="006B5B80" w:rsidP="006B5B80">
      <w:pPr>
        <w:rPr>
          <w:rFonts w:cstheme="minorHAnsi"/>
        </w:rPr>
      </w:pPr>
      <w:r w:rsidRPr="001A3416">
        <w:rPr>
          <w:rFonts w:cstheme="minorHAnsi"/>
        </w:rPr>
        <w:t>Podporu od města očekávají i ve vytváření zázemí pro zaměstnance v oblasti bydlení, škol, nemocnice, vzhledu města (zeleň), pořádání kulturních a společenských akcí pro širokou veřejnost, propagaci učňovského školství již v rámci studia na ZŠ a udržení mladých lidí ve městě.</w:t>
      </w:r>
      <w:r>
        <w:rPr>
          <w:rFonts w:cstheme="minorHAnsi"/>
        </w:rPr>
        <w:t xml:space="preserve"> Jednalo se již o názory jednotlivců.</w:t>
      </w:r>
    </w:p>
    <w:p w14:paraId="77B34A2B" w14:textId="77777777" w:rsidR="006B5B80" w:rsidRPr="001A3416" w:rsidRDefault="006B5B80" w:rsidP="006B5B80">
      <w:pPr>
        <w:pStyle w:val="Nadpis4"/>
      </w:pPr>
      <w:bookmarkStart w:id="934" w:name="_Toc50449107"/>
      <w:r w:rsidRPr="001A3416">
        <w:t>Nabízené služby a kvalita úřadů/institucí</w:t>
      </w:r>
      <w:bookmarkEnd w:id="934"/>
    </w:p>
    <w:p w14:paraId="34313B3F" w14:textId="482CFA72" w:rsidR="006B5B80" w:rsidRPr="001A3416" w:rsidRDefault="006B5B80" w:rsidP="006B5B80">
      <w:pPr>
        <w:rPr>
          <w:rFonts w:cstheme="minorHAnsi"/>
        </w:rPr>
      </w:pPr>
      <w:r w:rsidRPr="001A3416">
        <w:rPr>
          <w:rFonts w:cstheme="minorHAnsi"/>
        </w:rPr>
        <w:t xml:space="preserve">V rámci dotazníku bylo zjišťováno, jaké služby by podle názoru podniků měla místní správa poskytovat. Dle průzkumu by 42,2 % respondentů ocenilo jejich zapojení do tvorby a realizace rozvojových plánů města. Spíše se </w:t>
      </w:r>
      <w:r>
        <w:rPr>
          <w:rFonts w:cstheme="minorHAnsi"/>
        </w:rPr>
        <w:t xml:space="preserve">jednalo o názor zástupců </w:t>
      </w:r>
      <w:r>
        <w:t>středních a velkých</w:t>
      </w:r>
      <w:r w:rsidRPr="001A3416">
        <w:rPr>
          <w:rFonts w:cstheme="minorHAnsi"/>
        </w:rPr>
        <w:t xml:space="preserve"> firem. Asi třetina všech zapojených firem by také uvítala, kdyby probíhala lepší komunikace města o rozvojových záměrech. Zástupci </w:t>
      </w:r>
      <w:r>
        <w:t>středních a</w:t>
      </w:r>
      <w:r w:rsidR="00B64A00">
        <w:t> </w:t>
      </w:r>
      <w:r>
        <w:t>velkých</w:t>
      </w:r>
      <w:r w:rsidRPr="001A3416">
        <w:rPr>
          <w:rFonts w:cstheme="minorHAnsi"/>
        </w:rPr>
        <w:t xml:space="preserve"> firem doporučují poskytovat pravidelné detailní informace o investičních záměrech, strategii územního rozvoje města, koncepcích města </w:t>
      </w:r>
      <w:r w:rsidRPr="001A3416">
        <w:rPr>
          <w:rFonts w:cstheme="minorHAnsi"/>
          <w:i/>
        </w:rPr>
        <w:t>zasíláním informací na KHK či jiná podnikatelská sdružení, či zasílání informačních e-mailů přímo podnikům s odkazem na webové stránky s těmito informacemi (pravidelně aktualizovanými, včetně termínu projednávání záměru v dané lokalitě)</w:t>
      </w:r>
      <w:r w:rsidRPr="001A3416">
        <w:rPr>
          <w:rFonts w:cstheme="minorHAnsi"/>
        </w:rPr>
        <w:t>. Dále zmiňovali konkrétní rozvojové záměry, které by si zasloužily pozornost a o kterých by uvítali informace</w:t>
      </w:r>
      <w:r>
        <w:rPr>
          <w:rFonts w:cstheme="minorHAnsi"/>
        </w:rPr>
        <w:t xml:space="preserve"> (jedná se</w:t>
      </w:r>
      <w:r w:rsidR="00B64A00">
        <w:rPr>
          <w:rFonts w:cstheme="minorHAnsi"/>
        </w:rPr>
        <w:t xml:space="preserve"> o </w:t>
      </w:r>
      <w:r>
        <w:rPr>
          <w:rFonts w:cstheme="minorHAnsi"/>
        </w:rPr>
        <w:t>názory jednotlivců)</w:t>
      </w:r>
      <w:r w:rsidRPr="001A3416">
        <w:rPr>
          <w:rFonts w:cstheme="minorHAnsi"/>
        </w:rPr>
        <w:t>:</w:t>
      </w:r>
    </w:p>
    <w:p w14:paraId="5FBAC1D1" w14:textId="0090CE12" w:rsidR="006B5B80" w:rsidRPr="001A3416" w:rsidRDefault="006B5B80" w:rsidP="00A55F7D">
      <w:pPr>
        <w:pStyle w:val="Odstavecseseznamem"/>
        <w:numPr>
          <w:ilvl w:val="0"/>
          <w:numId w:val="90"/>
        </w:numPr>
        <w:rPr>
          <w:rFonts w:cstheme="minorHAnsi"/>
          <w:i/>
        </w:rPr>
      </w:pPr>
      <w:r w:rsidRPr="001A3416">
        <w:rPr>
          <w:rFonts w:cstheme="minorHAnsi"/>
          <w:i/>
        </w:rPr>
        <w:t>zchátralý fotbalový stadion, zimní stadion, nereprezentační sportovní hala (jediná ve městě pro soutěžní utkání) a atletický stadion (jen je zde nový ovál)</w:t>
      </w:r>
      <w:r w:rsidR="00B64A00">
        <w:rPr>
          <w:rFonts w:cstheme="minorHAnsi"/>
          <w:i/>
        </w:rPr>
        <w:t>,</w:t>
      </w:r>
    </w:p>
    <w:p w14:paraId="1AAA5847" w14:textId="4E3E362B" w:rsidR="006B5B80" w:rsidRPr="001A3416" w:rsidRDefault="006B5B80" w:rsidP="00A55F7D">
      <w:pPr>
        <w:pStyle w:val="Odstavecseseznamem"/>
        <w:numPr>
          <w:ilvl w:val="0"/>
          <w:numId w:val="90"/>
        </w:numPr>
        <w:rPr>
          <w:rFonts w:cstheme="minorHAnsi"/>
          <w:i/>
        </w:rPr>
      </w:pPr>
      <w:r w:rsidRPr="001A3416">
        <w:rPr>
          <w:rFonts w:cstheme="minorHAnsi"/>
          <w:i/>
        </w:rPr>
        <w:t>dopravní dostupnost</w:t>
      </w:r>
      <w:r w:rsidR="00B64A00">
        <w:rPr>
          <w:rFonts w:cstheme="minorHAnsi"/>
          <w:i/>
        </w:rPr>
        <w:t>,</w:t>
      </w:r>
    </w:p>
    <w:p w14:paraId="14095E1C" w14:textId="43B10137" w:rsidR="006B5B80" w:rsidRPr="001A3416" w:rsidRDefault="006B5B80" w:rsidP="00A55F7D">
      <w:pPr>
        <w:pStyle w:val="Odstavecseseznamem"/>
        <w:numPr>
          <w:ilvl w:val="0"/>
          <w:numId w:val="90"/>
        </w:numPr>
        <w:rPr>
          <w:rFonts w:cstheme="minorHAnsi"/>
          <w:i/>
        </w:rPr>
      </w:pPr>
      <w:r w:rsidRPr="001A3416">
        <w:rPr>
          <w:rFonts w:cstheme="minorHAnsi"/>
          <w:i/>
        </w:rPr>
        <w:t>projekt rekonstrukce náměstí (jasně stanovené priority, dotažení projektů)</w:t>
      </w:r>
      <w:r w:rsidR="00B64A00">
        <w:rPr>
          <w:rFonts w:cstheme="minorHAnsi"/>
          <w:i/>
        </w:rPr>
        <w:t>.</w:t>
      </w:r>
    </w:p>
    <w:p w14:paraId="466C0222" w14:textId="77777777" w:rsidR="006B5B80" w:rsidRPr="001A3416" w:rsidRDefault="006B5B80" w:rsidP="006B5B80">
      <w:pPr>
        <w:rPr>
          <w:rFonts w:cstheme="minorHAnsi"/>
        </w:rPr>
      </w:pPr>
      <w:r w:rsidRPr="001A3416">
        <w:rPr>
          <w:rFonts w:cstheme="minorHAnsi"/>
        </w:rPr>
        <w:t xml:space="preserve">Pro 40 % podnikatelů, kteří se průzkumu zúčastnili, je důležitá podpora praxí studentů v podnicích. Vzhledem k tomu, že mají klastry ve městě velký význam, očekávají podniky podporu organizace klastru ve svém oboru podnikání i ze strany města. </w:t>
      </w:r>
    </w:p>
    <w:p w14:paraId="389AA167" w14:textId="29825B6E" w:rsidR="006B5B80" w:rsidRPr="001A3416" w:rsidRDefault="006B5B80" w:rsidP="006B5B80">
      <w:pPr>
        <w:rPr>
          <w:rFonts w:cstheme="minorHAnsi"/>
        </w:rPr>
      </w:pPr>
      <w:r w:rsidRPr="001A3416">
        <w:rPr>
          <w:rFonts w:cstheme="minorHAnsi"/>
        </w:rPr>
        <w:t>Kompletní pořadí preference služeb města dle respondentů je uvedeno v</w:t>
      </w:r>
      <w:r w:rsidR="0096730F">
        <w:rPr>
          <w:rFonts w:cstheme="minorHAnsi"/>
        </w:rPr>
        <w:t> </w:t>
      </w:r>
      <w:r w:rsidRPr="001A3416">
        <w:rPr>
          <w:rFonts w:cstheme="minorHAnsi"/>
        </w:rPr>
        <w:t>tabulce</w:t>
      </w:r>
      <w:r w:rsidR="0096730F">
        <w:rPr>
          <w:rFonts w:cstheme="minorHAnsi"/>
        </w:rPr>
        <w:t xml:space="preserve"> 2.43</w:t>
      </w:r>
      <w:r w:rsidRPr="001A3416">
        <w:rPr>
          <w:rFonts w:cstheme="minorHAnsi"/>
        </w:rPr>
        <w:t>. V porovnání s průzkumem z roku 2006 lze hodnotit, že se respondenti shodli na potřebě informovanosti o rozvojových záměrech města, společné propagaci a účasti firem na tvorbě a realizaci rozvojových plánů města.</w:t>
      </w:r>
    </w:p>
    <w:p w14:paraId="1F2EB819" w14:textId="299B05B1" w:rsidR="006B5B80" w:rsidRPr="001A3416" w:rsidRDefault="006B5B80" w:rsidP="006B5B80">
      <w:pPr>
        <w:pStyle w:val="Titulek"/>
        <w:rPr>
          <w:rFonts w:cstheme="minorHAnsi"/>
          <w:sz w:val="22"/>
          <w:szCs w:val="22"/>
        </w:rPr>
      </w:pPr>
      <w:bookmarkStart w:id="935" w:name="_Toc49152894"/>
      <w:bookmarkStart w:id="936" w:name="_Toc54702657"/>
      <w:bookmarkStart w:id="937" w:name="_Toc56179464"/>
      <w:bookmarkStart w:id="938" w:name="_Toc57731822"/>
      <w:bookmarkStart w:id="939" w:name="_Toc77074806"/>
      <w:r w:rsidRPr="001A3416">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43</w:t>
      </w:r>
      <w:r w:rsidR="00081B47">
        <w:rPr>
          <w:noProof/>
        </w:rPr>
        <w:fldChar w:fldCharType="end"/>
      </w:r>
      <w:r w:rsidR="00B64A00">
        <w:rPr>
          <w:noProof/>
        </w:rPr>
        <w:t>:</w:t>
      </w:r>
      <w:r w:rsidRPr="001A3416">
        <w:t xml:space="preserve"> Preference služeb města podle respondentů</w:t>
      </w:r>
      <w:bookmarkEnd w:id="935"/>
      <w:bookmarkEnd w:id="936"/>
      <w:bookmarkEnd w:id="937"/>
      <w:bookmarkEnd w:id="938"/>
      <w:bookmarkEnd w:id="939"/>
    </w:p>
    <w:tbl>
      <w:tblPr>
        <w:tblW w:w="5000" w:type="pct"/>
        <w:tblLayout w:type="fixed"/>
        <w:tblCellMar>
          <w:left w:w="70" w:type="dxa"/>
          <w:right w:w="70" w:type="dxa"/>
        </w:tblCellMar>
        <w:tblLook w:val="04A0" w:firstRow="1" w:lastRow="0" w:firstColumn="1" w:lastColumn="0" w:noHBand="0" w:noVBand="1"/>
      </w:tblPr>
      <w:tblGrid>
        <w:gridCol w:w="4877"/>
        <w:gridCol w:w="1345"/>
        <w:gridCol w:w="1722"/>
        <w:gridCol w:w="1118"/>
      </w:tblGrid>
      <w:tr w:rsidR="006B5B80" w:rsidRPr="001A3416" w14:paraId="0E097492" w14:textId="77777777" w:rsidTr="000C49A5">
        <w:trPr>
          <w:trHeight w:val="255"/>
        </w:trPr>
        <w:tc>
          <w:tcPr>
            <w:tcW w:w="2691" w:type="pct"/>
            <w:vMerge w:val="restart"/>
            <w:tcBorders>
              <w:top w:val="single" w:sz="4" w:space="0" w:color="auto"/>
              <w:left w:val="single" w:sz="4" w:space="0" w:color="auto"/>
              <w:bottom w:val="single" w:sz="4" w:space="0" w:color="000000"/>
              <w:right w:val="single" w:sz="4" w:space="0" w:color="auto"/>
            </w:tcBorders>
            <w:shd w:val="clear" w:color="000000" w:fill="F2F2F2"/>
            <w:noWrap/>
            <w:vAlign w:val="center"/>
            <w:hideMark/>
          </w:tcPr>
          <w:p w14:paraId="5E595C17" w14:textId="77777777" w:rsidR="006B5B80" w:rsidRPr="001A3416" w:rsidRDefault="006B5B80" w:rsidP="000C49A5">
            <w:pPr>
              <w:keepNext/>
              <w:spacing w:before="0"/>
              <w:jc w:val="center"/>
              <w:rPr>
                <w:rFonts w:ascii="Calibri" w:hAnsi="Calibri" w:cs="Calibri"/>
                <w:b/>
                <w:bCs/>
                <w:color w:val="000000"/>
                <w:sz w:val="18"/>
                <w:szCs w:val="18"/>
              </w:rPr>
            </w:pPr>
            <w:r w:rsidRPr="001A3416">
              <w:rPr>
                <w:rFonts w:ascii="Calibri" w:hAnsi="Calibri" w:cs="Calibri"/>
                <w:b/>
                <w:bCs/>
                <w:color w:val="000000"/>
                <w:sz w:val="18"/>
                <w:szCs w:val="18"/>
              </w:rPr>
              <w:t>Druh podpory</w:t>
            </w:r>
          </w:p>
        </w:tc>
        <w:tc>
          <w:tcPr>
            <w:tcW w:w="2309" w:type="pct"/>
            <w:gridSpan w:val="3"/>
            <w:tcBorders>
              <w:top w:val="single" w:sz="4" w:space="0" w:color="auto"/>
              <w:left w:val="nil"/>
              <w:bottom w:val="single" w:sz="4" w:space="0" w:color="auto"/>
              <w:right w:val="single" w:sz="4" w:space="0" w:color="auto"/>
            </w:tcBorders>
            <w:shd w:val="clear" w:color="000000" w:fill="F2F2F2"/>
            <w:noWrap/>
            <w:vAlign w:val="center"/>
            <w:hideMark/>
          </w:tcPr>
          <w:p w14:paraId="252EC35C" w14:textId="77777777" w:rsidR="006B5B80" w:rsidRPr="001A3416" w:rsidRDefault="006B5B80" w:rsidP="000C49A5">
            <w:pPr>
              <w:keepNext/>
              <w:spacing w:before="0"/>
              <w:jc w:val="center"/>
              <w:rPr>
                <w:rFonts w:ascii="Calibri" w:hAnsi="Calibri" w:cs="Calibri"/>
                <w:b/>
                <w:bCs/>
                <w:color w:val="000000"/>
                <w:sz w:val="18"/>
                <w:szCs w:val="18"/>
              </w:rPr>
            </w:pPr>
            <w:r w:rsidRPr="001A3416">
              <w:rPr>
                <w:rFonts w:ascii="Calibri" w:hAnsi="Calibri" w:cs="Calibri"/>
                <w:b/>
                <w:bCs/>
                <w:color w:val="000000"/>
                <w:sz w:val="18"/>
                <w:szCs w:val="18"/>
              </w:rPr>
              <w:t>Podíl respondentů</w:t>
            </w:r>
          </w:p>
        </w:tc>
      </w:tr>
      <w:tr w:rsidR="006B5B80" w:rsidRPr="001A3416" w14:paraId="70197C37" w14:textId="77777777" w:rsidTr="000C49A5">
        <w:trPr>
          <w:trHeight w:val="255"/>
        </w:trPr>
        <w:tc>
          <w:tcPr>
            <w:tcW w:w="2691" w:type="pct"/>
            <w:vMerge/>
            <w:tcBorders>
              <w:top w:val="single" w:sz="4" w:space="0" w:color="auto"/>
              <w:left w:val="single" w:sz="4" w:space="0" w:color="auto"/>
              <w:bottom w:val="single" w:sz="4" w:space="0" w:color="000000"/>
              <w:right w:val="single" w:sz="4" w:space="0" w:color="auto"/>
            </w:tcBorders>
            <w:vAlign w:val="center"/>
            <w:hideMark/>
          </w:tcPr>
          <w:p w14:paraId="1BC9B7D8" w14:textId="77777777" w:rsidR="006B5B80" w:rsidRPr="001A3416" w:rsidRDefault="006B5B80" w:rsidP="000C49A5">
            <w:pPr>
              <w:keepNext/>
              <w:spacing w:before="0"/>
              <w:jc w:val="left"/>
              <w:rPr>
                <w:rFonts w:ascii="Calibri" w:hAnsi="Calibri" w:cs="Calibri"/>
                <w:b/>
                <w:bCs/>
                <w:color w:val="000000"/>
                <w:sz w:val="18"/>
                <w:szCs w:val="18"/>
              </w:rPr>
            </w:pPr>
          </w:p>
        </w:tc>
        <w:tc>
          <w:tcPr>
            <w:tcW w:w="742" w:type="pct"/>
            <w:tcBorders>
              <w:top w:val="nil"/>
              <w:left w:val="nil"/>
              <w:bottom w:val="single" w:sz="4" w:space="0" w:color="auto"/>
              <w:right w:val="single" w:sz="4" w:space="0" w:color="auto"/>
            </w:tcBorders>
            <w:shd w:val="clear" w:color="000000" w:fill="F2F2F2"/>
            <w:noWrap/>
            <w:vAlign w:val="bottom"/>
            <w:hideMark/>
          </w:tcPr>
          <w:p w14:paraId="249E92CA" w14:textId="77777777" w:rsidR="006B5B80" w:rsidRPr="001A3416" w:rsidRDefault="006B5B80" w:rsidP="000C49A5">
            <w:pPr>
              <w:keepNext/>
              <w:spacing w:before="0"/>
              <w:jc w:val="left"/>
              <w:rPr>
                <w:rFonts w:ascii="Calibri" w:hAnsi="Calibri" w:cs="Calibri"/>
                <w:b/>
                <w:bCs/>
                <w:color w:val="000000"/>
                <w:sz w:val="18"/>
                <w:szCs w:val="18"/>
              </w:rPr>
            </w:pPr>
            <w:r w:rsidRPr="001A3416">
              <w:rPr>
                <w:rFonts w:ascii="Calibri" w:hAnsi="Calibri" w:cs="Calibri"/>
                <w:b/>
                <w:bCs/>
                <w:color w:val="000000"/>
                <w:sz w:val="18"/>
                <w:szCs w:val="18"/>
              </w:rPr>
              <w:t>Veškeré firmy</w:t>
            </w:r>
          </w:p>
        </w:tc>
        <w:tc>
          <w:tcPr>
            <w:tcW w:w="950" w:type="pct"/>
            <w:tcBorders>
              <w:top w:val="nil"/>
              <w:left w:val="nil"/>
              <w:bottom w:val="single" w:sz="4" w:space="0" w:color="auto"/>
              <w:right w:val="single" w:sz="4" w:space="0" w:color="auto"/>
            </w:tcBorders>
            <w:shd w:val="clear" w:color="000000" w:fill="F2F2F2"/>
            <w:noWrap/>
            <w:vAlign w:val="bottom"/>
            <w:hideMark/>
          </w:tcPr>
          <w:p w14:paraId="7272277F" w14:textId="77777777" w:rsidR="006B5B80" w:rsidRPr="001A3416" w:rsidRDefault="006B5B80" w:rsidP="000C49A5">
            <w:pPr>
              <w:keepNext/>
              <w:spacing w:before="0"/>
              <w:jc w:val="left"/>
              <w:rPr>
                <w:rFonts w:ascii="Calibri" w:hAnsi="Calibri" w:cs="Calibri"/>
                <w:b/>
                <w:bCs/>
                <w:color w:val="000000"/>
                <w:sz w:val="18"/>
                <w:szCs w:val="18"/>
              </w:rPr>
            </w:pPr>
            <w:r>
              <w:rPr>
                <w:rFonts w:ascii="Calibri" w:hAnsi="Calibri" w:cs="Calibri"/>
                <w:b/>
                <w:bCs/>
                <w:color w:val="000000"/>
                <w:sz w:val="18"/>
                <w:szCs w:val="18"/>
              </w:rPr>
              <w:t>Střední a velké</w:t>
            </w:r>
            <w:r w:rsidRPr="0043207E">
              <w:rPr>
                <w:rFonts w:ascii="Calibri" w:hAnsi="Calibri" w:cs="Calibri"/>
                <w:b/>
                <w:bCs/>
                <w:color w:val="000000"/>
                <w:sz w:val="18"/>
                <w:szCs w:val="18"/>
              </w:rPr>
              <w:t xml:space="preserve"> </w:t>
            </w:r>
            <w:r w:rsidRPr="001A3416">
              <w:rPr>
                <w:rFonts w:ascii="Calibri" w:hAnsi="Calibri" w:cs="Calibri"/>
                <w:b/>
                <w:bCs/>
                <w:color w:val="000000"/>
                <w:sz w:val="18"/>
                <w:szCs w:val="18"/>
              </w:rPr>
              <w:t>firmy</w:t>
            </w:r>
          </w:p>
        </w:tc>
        <w:tc>
          <w:tcPr>
            <w:tcW w:w="617" w:type="pct"/>
            <w:tcBorders>
              <w:top w:val="nil"/>
              <w:left w:val="nil"/>
              <w:bottom w:val="single" w:sz="4" w:space="0" w:color="auto"/>
              <w:right w:val="single" w:sz="4" w:space="0" w:color="auto"/>
            </w:tcBorders>
            <w:shd w:val="clear" w:color="000000" w:fill="F2F2F2"/>
            <w:noWrap/>
            <w:vAlign w:val="bottom"/>
            <w:hideMark/>
          </w:tcPr>
          <w:p w14:paraId="2062245B" w14:textId="77777777" w:rsidR="006B5B80" w:rsidRPr="001A3416" w:rsidRDefault="006B5B80" w:rsidP="000C49A5">
            <w:pPr>
              <w:keepNext/>
              <w:spacing w:before="0"/>
              <w:jc w:val="left"/>
              <w:rPr>
                <w:rFonts w:ascii="Calibri" w:hAnsi="Calibri" w:cs="Calibri"/>
                <w:b/>
                <w:bCs/>
                <w:color w:val="000000"/>
                <w:sz w:val="18"/>
                <w:szCs w:val="18"/>
              </w:rPr>
            </w:pPr>
            <w:r w:rsidRPr="001A3416">
              <w:rPr>
                <w:rFonts w:ascii="Calibri" w:hAnsi="Calibri" w:cs="Calibri"/>
                <w:b/>
                <w:bCs/>
                <w:color w:val="000000"/>
                <w:sz w:val="18"/>
                <w:szCs w:val="18"/>
              </w:rPr>
              <w:t>Malé firmy</w:t>
            </w:r>
          </w:p>
        </w:tc>
      </w:tr>
      <w:tr w:rsidR="006B5B80" w:rsidRPr="001A3416" w14:paraId="46223FE7"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1CBF3CEC"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Účast firem na tvorbě a realizaci rozvojových plánů města</w:t>
            </w:r>
          </w:p>
        </w:tc>
        <w:tc>
          <w:tcPr>
            <w:tcW w:w="742" w:type="pct"/>
            <w:tcBorders>
              <w:top w:val="single" w:sz="4" w:space="0" w:color="auto"/>
              <w:left w:val="single" w:sz="4" w:space="0" w:color="auto"/>
              <w:bottom w:val="single" w:sz="4" w:space="0" w:color="auto"/>
              <w:right w:val="single" w:sz="4" w:space="0" w:color="auto"/>
            </w:tcBorders>
            <w:shd w:val="clear" w:color="000000" w:fill="F98B8E"/>
            <w:noWrap/>
            <w:vAlign w:val="bottom"/>
            <w:hideMark/>
          </w:tcPr>
          <w:p w14:paraId="6F90F5C9" w14:textId="240AE414"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42,2</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73207DF" w14:textId="0671E6EE"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54,8</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BD6D9"/>
            <w:noWrap/>
            <w:vAlign w:val="bottom"/>
            <w:hideMark/>
          </w:tcPr>
          <w:p w14:paraId="4564C68F" w14:textId="30BC28BB"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14,3</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71C16187"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2AFA6699"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 xml:space="preserve">Podpora praxí studentů v podnicích </w:t>
            </w:r>
          </w:p>
        </w:tc>
        <w:tc>
          <w:tcPr>
            <w:tcW w:w="742" w:type="pct"/>
            <w:tcBorders>
              <w:top w:val="single" w:sz="4" w:space="0" w:color="auto"/>
              <w:left w:val="single" w:sz="4" w:space="0" w:color="auto"/>
              <w:bottom w:val="single" w:sz="4" w:space="0" w:color="auto"/>
              <w:right w:val="single" w:sz="4" w:space="0" w:color="auto"/>
            </w:tcBorders>
            <w:shd w:val="clear" w:color="000000" w:fill="FA9194"/>
            <w:noWrap/>
            <w:vAlign w:val="bottom"/>
            <w:hideMark/>
          </w:tcPr>
          <w:p w14:paraId="633EC1B7" w14:textId="50DC9487"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40,0</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A9597"/>
            <w:noWrap/>
            <w:vAlign w:val="bottom"/>
            <w:hideMark/>
          </w:tcPr>
          <w:p w14:paraId="799A63EA" w14:textId="5AB4E1E5"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38,7</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98A8C"/>
            <w:noWrap/>
            <w:vAlign w:val="bottom"/>
            <w:hideMark/>
          </w:tcPr>
          <w:p w14:paraId="32F8116D" w14:textId="3D7363BA"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42,9</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33232ED0"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22C77D91"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Podporu klastrů a dalších forem spolupráce firem</w:t>
            </w:r>
          </w:p>
        </w:tc>
        <w:tc>
          <w:tcPr>
            <w:tcW w:w="742" w:type="pct"/>
            <w:tcBorders>
              <w:top w:val="single" w:sz="4" w:space="0" w:color="auto"/>
              <w:left w:val="single" w:sz="4" w:space="0" w:color="auto"/>
              <w:bottom w:val="single" w:sz="4" w:space="0" w:color="auto"/>
              <w:right w:val="single" w:sz="4" w:space="0" w:color="auto"/>
            </w:tcBorders>
            <w:shd w:val="clear" w:color="000000" w:fill="FA9DA0"/>
            <w:noWrap/>
            <w:vAlign w:val="bottom"/>
            <w:hideMark/>
          </w:tcPr>
          <w:p w14:paraId="5A28F186" w14:textId="393AE0E6"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35,6</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98C8E"/>
            <w:noWrap/>
            <w:vAlign w:val="bottom"/>
            <w:hideMark/>
          </w:tcPr>
          <w:p w14:paraId="6FC69751" w14:textId="684AF930"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41,9</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BC3C6"/>
            <w:noWrap/>
            <w:vAlign w:val="bottom"/>
            <w:hideMark/>
          </w:tcPr>
          <w:p w14:paraId="30A7DF02" w14:textId="0EC5AF97"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21,4</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64F9F76F"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67C7A84B"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Lepší komunikace poskytovaných informací o rozvojových záměrech města</w:t>
            </w:r>
          </w:p>
        </w:tc>
        <w:tc>
          <w:tcPr>
            <w:tcW w:w="742" w:type="pct"/>
            <w:tcBorders>
              <w:top w:val="single" w:sz="4" w:space="0" w:color="auto"/>
              <w:left w:val="single" w:sz="4" w:space="0" w:color="auto"/>
              <w:bottom w:val="single" w:sz="4" w:space="0" w:color="auto"/>
              <w:right w:val="single" w:sz="4" w:space="0" w:color="auto"/>
            </w:tcBorders>
            <w:shd w:val="clear" w:color="000000" w:fill="FAA3A6"/>
            <w:noWrap/>
            <w:vAlign w:val="bottom"/>
            <w:hideMark/>
          </w:tcPr>
          <w:p w14:paraId="71903111" w14:textId="22D2B9F0"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33,3</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98C8E"/>
            <w:noWrap/>
            <w:vAlign w:val="bottom"/>
            <w:hideMark/>
          </w:tcPr>
          <w:p w14:paraId="43B741A0" w14:textId="1F468EF7"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41,9</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BD6D9"/>
            <w:noWrap/>
            <w:vAlign w:val="bottom"/>
            <w:hideMark/>
          </w:tcPr>
          <w:p w14:paraId="685D790E" w14:textId="50EDDF3D"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14,3</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39D2B0FF"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649645FF"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Dostupnost mateřských škol</w:t>
            </w:r>
          </w:p>
        </w:tc>
        <w:tc>
          <w:tcPr>
            <w:tcW w:w="742" w:type="pct"/>
            <w:tcBorders>
              <w:top w:val="single" w:sz="4" w:space="0" w:color="auto"/>
              <w:left w:val="single" w:sz="4" w:space="0" w:color="auto"/>
              <w:bottom w:val="single" w:sz="4" w:space="0" w:color="auto"/>
              <w:right w:val="single" w:sz="4" w:space="0" w:color="auto"/>
            </w:tcBorders>
            <w:shd w:val="clear" w:color="000000" w:fill="FBB5B8"/>
            <w:noWrap/>
            <w:vAlign w:val="bottom"/>
            <w:hideMark/>
          </w:tcPr>
          <w:p w14:paraId="74083E52" w14:textId="0933F2A0"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26,7</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AAFB1"/>
            <w:noWrap/>
            <w:vAlign w:val="bottom"/>
            <w:hideMark/>
          </w:tcPr>
          <w:p w14:paraId="7B4BC533" w14:textId="70E75C1D"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29,0</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BC3C6"/>
            <w:noWrap/>
            <w:vAlign w:val="bottom"/>
            <w:hideMark/>
          </w:tcPr>
          <w:p w14:paraId="24D927A5" w14:textId="509A0784"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21,4</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14015D61"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62DCE81F"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Zlepšení dopravně – navigačního systému pro lepší orientaci ve městě</w:t>
            </w:r>
          </w:p>
        </w:tc>
        <w:tc>
          <w:tcPr>
            <w:tcW w:w="742" w:type="pct"/>
            <w:tcBorders>
              <w:top w:val="single" w:sz="4" w:space="0" w:color="auto"/>
              <w:left w:val="single" w:sz="4" w:space="0" w:color="auto"/>
              <w:bottom w:val="single" w:sz="4" w:space="0" w:color="auto"/>
              <w:right w:val="single" w:sz="4" w:space="0" w:color="auto"/>
            </w:tcBorders>
            <w:shd w:val="clear" w:color="000000" w:fill="FBC1C4"/>
            <w:noWrap/>
            <w:vAlign w:val="bottom"/>
            <w:hideMark/>
          </w:tcPr>
          <w:p w14:paraId="4FC1E406" w14:textId="28EF8DB6"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22,2</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BD1D4"/>
            <w:noWrap/>
            <w:vAlign w:val="bottom"/>
            <w:hideMark/>
          </w:tcPr>
          <w:p w14:paraId="5C559032" w14:textId="76C5C230"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16,1</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A9D9F"/>
            <w:noWrap/>
            <w:vAlign w:val="bottom"/>
            <w:hideMark/>
          </w:tcPr>
          <w:p w14:paraId="5989BC15" w14:textId="401F436C"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35,7</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310369BD"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13680D5C"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 xml:space="preserve">Společná propagace podniků a města </w:t>
            </w:r>
          </w:p>
        </w:tc>
        <w:tc>
          <w:tcPr>
            <w:tcW w:w="742" w:type="pct"/>
            <w:tcBorders>
              <w:top w:val="single" w:sz="4" w:space="0" w:color="auto"/>
              <w:left w:val="single" w:sz="4" w:space="0" w:color="auto"/>
              <w:bottom w:val="single" w:sz="4" w:space="0" w:color="auto"/>
              <w:right w:val="single" w:sz="4" w:space="0" w:color="auto"/>
            </w:tcBorders>
            <w:shd w:val="clear" w:color="000000" w:fill="FBC1C4"/>
            <w:noWrap/>
            <w:vAlign w:val="bottom"/>
            <w:hideMark/>
          </w:tcPr>
          <w:p w14:paraId="19D541F7" w14:textId="091C51B1"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22,2</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BC0C3"/>
            <w:noWrap/>
            <w:vAlign w:val="bottom"/>
            <w:hideMark/>
          </w:tcPr>
          <w:p w14:paraId="25505568" w14:textId="1BB79CCE"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22,6</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BC3C6"/>
            <w:noWrap/>
            <w:vAlign w:val="bottom"/>
            <w:hideMark/>
          </w:tcPr>
          <w:p w14:paraId="15E944DC" w14:textId="0A6A525D"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21,4</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6A478948"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6AFC4BE1"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 xml:space="preserve">Asistenční služba při jednání s úřady </w:t>
            </w:r>
          </w:p>
        </w:tc>
        <w:tc>
          <w:tcPr>
            <w:tcW w:w="742" w:type="pct"/>
            <w:tcBorders>
              <w:top w:val="single" w:sz="4" w:space="0" w:color="auto"/>
              <w:left w:val="single" w:sz="4" w:space="0" w:color="auto"/>
              <w:bottom w:val="single" w:sz="4" w:space="0" w:color="auto"/>
              <w:right w:val="single" w:sz="4" w:space="0" w:color="auto"/>
            </w:tcBorders>
            <w:shd w:val="clear" w:color="000000" w:fill="FCDFE2"/>
            <w:noWrap/>
            <w:vAlign w:val="bottom"/>
            <w:hideMark/>
          </w:tcPr>
          <w:p w14:paraId="6BF7D6DE" w14:textId="1E76AD39"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11,1</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CE3E5"/>
            <w:noWrap/>
            <w:vAlign w:val="bottom"/>
            <w:hideMark/>
          </w:tcPr>
          <w:p w14:paraId="1DFB04A7" w14:textId="6E075DEE"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9,7</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BD6D9"/>
            <w:noWrap/>
            <w:vAlign w:val="bottom"/>
            <w:hideMark/>
          </w:tcPr>
          <w:p w14:paraId="41EE33D7" w14:textId="2BE6823E"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14,3</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20F88578"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556A889D"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 xml:space="preserve">Inkubátor pro začínající podnikatele </w:t>
            </w:r>
          </w:p>
        </w:tc>
        <w:tc>
          <w:tcPr>
            <w:tcW w:w="742" w:type="pct"/>
            <w:tcBorders>
              <w:top w:val="single" w:sz="4" w:space="0" w:color="auto"/>
              <w:left w:val="single" w:sz="4" w:space="0" w:color="auto"/>
              <w:bottom w:val="single" w:sz="4" w:space="0" w:color="auto"/>
              <w:right w:val="single" w:sz="4" w:space="0" w:color="auto"/>
            </w:tcBorders>
            <w:shd w:val="clear" w:color="000000" w:fill="FCF1F4"/>
            <w:noWrap/>
            <w:vAlign w:val="bottom"/>
            <w:hideMark/>
          </w:tcPr>
          <w:p w14:paraId="7307D9BB" w14:textId="49E026D8"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4,4</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CF4F7"/>
            <w:noWrap/>
            <w:vAlign w:val="bottom"/>
            <w:hideMark/>
          </w:tcPr>
          <w:p w14:paraId="0F38CDF4" w14:textId="2BAB5E29"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3,2</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CE9EC"/>
            <w:noWrap/>
            <w:vAlign w:val="bottom"/>
            <w:hideMark/>
          </w:tcPr>
          <w:p w14:paraId="1141B63A" w14:textId="451F50CD"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7,1</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r w:rsidR="006B5B80" w:rsidRPr="001A3416" w14:paraId="3207D1F7" w14:textId="77777777" w:rsidTr="000C49A5">
        <w:trPr>
          <w:trHeight w:val="255"/>
        </w:trPr>
        <w:tc>
          <w:tcPr>
            <w:tcW w:w="2691" w:type="pct"/>
            <w:tcBorders>
              <w:top w:val="nil"/>
              <w:left w:val="single" w:sz="4" w:space="0" w:color="auto"/>
              <w:bottom w:val="single" w:sz="4" w:space="0" w:color="auto"/>
              <w:right w:val="single" w:sz="4" w:space="0" w:color="auto"/>
            </w:tcBorders>
            <w:shd w:val="clear" w:color="auto" w:fill="auto"/>
            <w:noWrap/>
            <w:vAlign w:val="bottom"/>
            <w:hideMark/>
          </w:tcPr>
          <w:p w14:paraId="7925217C" w14:textId="77777777" w:rsidR="006B5B80" w:rsidRPr="001A3416" w:rsidRDefault="006B5B80" w:rsidP="000C49A5">
            <w:pPr>
              <w:keepNext/>
              <w:spacing w:before="0"/>
              <w:jc w:val="left"/>
              <w:rPr>
                <w:rFonts w:ascii="Calibri" w:hAnsi="Calibri" w:cs="Calibri"/>
                <w:color w:val="000000"/>
                <w:sz w:val="18"/>
                <w:szCs w:val="18"/>
              </w:rPr>
            </w:pPr>
            <w:r w:rsidRPr="001A3416">
              <w:rPr>
                <w:rFonts w:ascii="Calibri" w:hAnsi="Calibri" w:cs="Calibri"/>
                <w:color w:val="000000"/>
                <w:sz w:val="18"/>
                <w:szCs w:val="18"/>
              </w:rPr>
              <w:t>Jiné</w:t>
            </w:r>
          </w:p>
        </w:tc>
        <w:tc>
          <w:tcPr>
            <w:tcW w:w="742"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20828A89" w14:textId="373EFCB8"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0,0</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950"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B09603E" w14:textId="6848178B"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0,0</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c>
          <w:tcPr>
            <w:tcW w:w="617" w:type="pct"/>
            <w:tcBorders>
              <w:top w:val="single" w:sz="4" w:space="0" w:color="auto"/>
              <w:left w:val="single" w:sz="4" w:space="0" w:color="auto"/>
              <w:bottom w:val="single" w:sz="4" w:space="0" w:color="auto"/>
              <w:right w:val="single" w:sz="4" w:space="0" w:color="auto"/>
            </w:tcBorders>
            <w:shd w:val="clear" w:color="000000" w:fill="FCFCFF"/>
            <w:noWrap/>
            <w:vAlign w:val="bottom"/>
            <w:hideMark/>
          </w:tcPr>
          <w:p w14:paraId="41BE0663" w14:textId="5D6B9EDD" w:rsidR="006B5B80" w:rsidRPr="001A3416" w:rsidRDefault="006B5B80" w:rsidP="000C49A5">
            <w:pPr>
              <w:keepNext/>
              <w:spacing w:before="0"/>
              <w:jc w:val="right"/>
              <w:rPr>
                <w:rFonts w:ascii="Calibri" w:hAnsi="Calibri" w:cs="Calibri"/>
                <w:color w:val="000000"/>
                <w:sz w:val="18"/>
                <w:szCs w:val="18"/>
              </w:rPr>
            </w:pPr>
            <w:r w:rsidRPr="001A3416">
              <w:rPr>
                <w:rFonts w:ascii="Calibri" w:hAnsi="Calibri" w:cs="Calibri"/>
                <w:color w:val="000000"/>
                <w:sz w:val="18"/>
                <w:szCs w:val="18"/>
              </w:rPr>
              <w:t>0,0</w:t>
            </w:r>
            <w:r w:rsidR="00B64A00">
              <w:rPr>
                <w:rFonts w:ascii="Calibri" w:hAnsi="Calibri" w:cs="Calibri"/>
                <w:color w:val="000000"/>
                <w:sz w:val="18"/>
                <w:szCs w:val="18"/>
              </w:rPr>
              <w:t xml:space="preserve"> </w:t>
            </w:r>
            <w:r w:rsidRPr="001A3416">
              <w:rPr>
                <w:rFonts w:ascii="Calibri" w:hAnsi="Calibri" w:cs="Calibri"/>
                <w:color w:val="000000"/>
                <w:sz w:val="18"/>
                <w:szCs w:val="18"/>
              </w:rPr>
              <w:t>%</w:t>
            </w:r>
          </w:p>
        </w:tc>
      </w:tr>
    </w:tbl>
    <w:p w14:paraId="710ECDF0" w14:textId="304F7DD6" w:rsidR="006B5B80" w:rsidRPr="001A3416" w:rsidRDefault="006B5B80" w:rsidP="006B5B80">
      <w:pPr>
        <w:pStyle w:val="zdroj0"/>
      </w:pPr>
      <w:r w:rsidRPr="001A3416">
        <w:t>Zdroj: PROCES, Průzkum podnikatelského prostředí města Zlína, 2020</w:t>
      </w:r>
      <w:r w:rsidR="00B64A00">
        <w:t>;</w:t>
      </w:r>
      <w:r>
        <w:t xml:space="preserve"> Otázka č. 8: Jakou podporu od města Zlín ve vztahu k nabízeným službám očekáváte? Vyberte z nabízeného seznamu, popř. upřesněte či doplňte</w:t>
      </w:r>
      <w:r w:rsidR="00B64A00">
        <w:t>.</w:t>
      </w:r>
    </w:p>
    <w:p w14:paraId="5FFF6EE4" w14:textId="77777777" w:rsidR="006B5B80" w:rsidRPr="001A3416" w:rsidRDefault="006B5B80" w:rsidP="006B5B80">
      <w:pPr>
        <w:rPr>
          <w:rFonts w:cstheme="minorHAnsi"/>
        </w:rPr>
      </w:pPr>
      <w:r w:rsidRPr="001A3416">
        <w:rPr>
          <w:rFonts w:cstheme="minorHAnsi"/>
        </w:rPr>
        <w:t>Respondenti blíže popisovali výběr služeb Společná propagace podniků a města a Asistenční služba při jednání s úřady následovně viz níže.</w:t>
      </w:r>
    </w:p>
    <w:p w14:paraId="654E00A9" w14:textId="77777777" w:rsidR="006B5B80" w:rsidRPr="001A3416" w:rsidRDefault="006B5B80" w:rsidP="006B5B80">
      <w:pPr>
        <w:rPr>
          <w:rFonts w:cstheme="minorHAnsi"/>
        </w:rPr>
      </w:pPr>
      <w:r w:rsidRPr="001A3416">
        <w:rPr>
          <w:rFonts w:cstheme="minorHAnsi"/>
        </w:rPr>
        <w:t>Společná propagace podniků a města:</w:t>
      </w:r>
    </w:p>
    <w:p w14:paraId="7C7C3972" w14:textId="0539B31E" w:rsidR="006B5B80" w:rsidRPr="001A3416" w:rsidRDefault="006B5B80" w:rsidP="00A55F7D">
      <w:pPr>
        <w:pStyle w:val="Odstavecseseznamem"/>
        <w:numPr>
          <w:ilvl w:val="0"/>
          <w:numId w:val="91"/>
        </w:numPr>
        <w:rPr>
          <w:rFonts w:cstheme="minorHAnsi"/>
          <w:i/>
        </w:rPr>
      </w:pPr>
      <w:r w:rsidRPr="001A3416">
        <w:rPr>
          <w:rFonts w:cstheme="minorHAnsi"/>
          <w:i/>
        </w:rPr>
        <w:t>určitá forma strategického partnerství s cílem zajištění kvalitních pracovních sil, podpory ze strany státu / samosprávy v krizových situacích (viz aktuální situace), rozvoji podnikání atd.</w:t>
      </w:r>
      <w:r w:rsidR="00B64A00">
        <w:rPr>
          <w:rFonts w:cstheme="minorHAnsi"/>
          <w:i/>
        </w:rPr>
        <w:t>,</w:t>
      </w:r>
    </w:p>
    <w:p w14:paraId="44B4B363" w14:textId="11992EE3" w:rsidR="006B5B80" w:rsidRPr="001A3416" w:rsidRDefault="006B5B80" w:rsidP="00A55F7D">
      <w:pPr>
        <w:pStyle w:val="Odstavecseseznamem"/>
        <w:numPr>
          <w:ilvl w:val="0"/>
          <w:numId w:val="91"/>
        </w:numPr>
        <w:rPr>
          <w:rFonts w:cstheme="minorHAnsi"/>
          <w:i/>
        </w:rPr>
      </w:pPr>
      <w:r w:rsidRPr="001A3416">
        <w:rPr>
          <w:rFonts w:cstheme="minorHAnsi"/>
          <w:i/>
        </w:rPr>
        <w:t>kulaté stoly pořádané městem</w:t>
      </w:r>
      <w:r w:rsidR="00B64A00">
        <w:rPr>
          <w:rFonts w:cstheme="minorHAnsi"/>
          <w:i/>
        </w:rPr>
        <w:t>,</w:t>
      </w:r>
      <w:r w:rsidRPr="001A3416">
        <w:rPr>
          <w:rFonts w:cstheme="minorHAnsi"/>
          <w:i/>
        </w:rPr>
        <w:t xml:space="preserve"> </w:t>
      </w:r>
    </w:p>
    <w:p w14:paraId="6352C93C" w14:textId="3CA87BA7" w:rsidR="006B5B80" w:rsidRPr="001A3416" w:rsidRDefault="006B5B80" w:rsidP="00A55F7D">
      <w:pPr>
        <w:pStyle w:val="Odstavecseseznamem"/>
        <w:numPr>
          <w:ilvl w:val="0"/>
          <w:numId w:val="91"/>
        </w:numPr>
        <w:rPr>
          <w:rFonts w:cstheme="minorHAnsi"/>
          <w:i/>
        </w:rPr>
      </w:pPr>
      <w:r w:rsidRPr="001A3416">
        <w:rPr>
          <w:rFonts w:cstheme="minorHAnsi"/>
          <w:i/>
        </w:rPr>
        <w:t>vstřícnost a loajalita vůči místním podnikům</w:t>
      </w:r>
      <w:r w:rsidR="00B64A00">
        <w:rPr>
          <w:rFonts w:cstheme="minorHAnsi"/>
          <w:i/>
        </w:rPr>
        <w:t>,</w:t>
      </w:r>
    </w:p>
    <w:p w14:paraId="79FEEEB1" w14:textId="269C908F" w:rsidR="006B5B80" w:rsidRPr="001A3416" w:rsidRDefault="006B5B80" w:rsidP="00A55F7D">
      <w:pPr>
        <w:pStyle w:val="Odstavecseseznamem"/>
        <w:numPr>
          <w:ilvl w:val="0"/>
          <w:numId w:val="91"/>
        </w:numPr>
        <w:rPr>
          <w:rFonts w:cstheme="minorHAnsi"/>
          <w:i/>
        </w:rPr>
      </w:pPr>
      <w:r w:rsidRPr="001A3416">
        <w:rPr>
          <w:rFonts w:cstheme="minorHAnsi"/>
          <w:i/>
        </w:rPr>
        <w:t>přes internetové stránky města s možností odkazu na firmy</w:t>
      </w:r>
      <w:r w:rsidR="00B64A00">
        <w:rPr>
          <w:rFonts w:cstheme="minorHAnsi"/>
          <w:i/>
        </w:rPr>
        <w:t>.</w:t>
      </w:r>
      <w:r w:rsidRPr="001A3416">
        <w:rPr>
          <w:rFonts w:cstheme="minorHAnsi"/>
          <w:i/>
        </w:rPr>
        <w:t xml:space="preserve"> </w:t>
      </w:r>
    </w:p>
    <w:p w14:paraId="4417EBB8" w14:textId="77777777" w:rsidR="006B5B80" w:rsidRPr="001A3416" w:rsidRDefault="006B5B80" w:rsidP="006B5B80">
      <w:pPr>
        <w:rPr>
          <w:rFonts w:cstheme="minorHAnsi"/>
        </w:rPr>
      </w:pPr>
      <w:r w:rsidRPr="001A3416">
        <w:rPr>
          <w:rFonts w:cstheme="minorHAnsi"/>
        </w:rPr>
        <w:t>Asistenční služba při jednání s úřady:</w:t>
      </w:r>
    </w:p>
    <w:p w14:paraId="64BACF94" w14:textId="5F627E16" w:rsidR="006B5B80" w:rsidRPr="001A3416" w:rsidRDefault="006B5B80" w:rsidP="00A55F7D">
      <w:pPr>
        <w:pStyle w:val="Odstavecseseznamem"/>
        <w:numPr>
          <w:ilvl w:val="0"/>
          <w:numId w:val="93"/>
        </w:numPr>
        <w:rPr>
          <w:rFonts w:cstheme="minorHAnsi"/>
        </w:rPr>
      </w:pPr>
      <w:r w:rsidRPr="001A3416">
        <w:rPr>
          <w:rFonts w:cstheme="minorHAnsi"/>
          <w:i/>
        </w:rPr>
        <w:t>pomoc se stále se měnící legislativou ze strany úředníků (podpora úředníků při řešení problémové situace)</w:t>
      </w:r>
      <w:r w:rsidR="00B64A00">
        <w:rPr>
          <w:rFonts w:cstheme="minorHAnsi"/>
          <w:i/>
        </w:rPr>
        <w:t>,</w:t>
      </w:r>
    </w:p>
    <w:p w14:paraId="6DBA4385" w14:textId="77777777" w:rsidR="006B5B80" w:rsidRPr="001A3416" w:rsidRDefault="006B5B80" w:rsidP="00A55F7D">
      <w:pPr>
        <w:pStyle w:val="Odstavecseseznamem"/>
        <w:numPr>
          <w:ilvl w:val="0"/>
          <w:numId w:val="92"/>
        </w:numPr>
        <w:rPr>
          <w:rFonts w:cstheme="minorHAnsi"/>
        </w:rPr>
      </w:pPr>
      <w:r w:rsidRPr="001A3416">
        <w:rPr>
          <w:rFonts w:cstheme="minorHAnsi"/>
          <w:i/>
        </w:rPr>
        <w:t>bezplatné konzultační i právní služby, např. při žádosti o dotace, různé příspěvky apod.</w:t>
      </w:r>
    </w:p>
    <w:p w14:paraId="1DBD2E98" w14:textId="1536D3E9" w:rsidR="006B5B80" w:rsidRPr="001A3416" w:rsidRDefault="006B5B80" w:rsidP="006B5B80">
      <w:r w:rsidRPr="001A3416">
        <w:t>Většina respondentů je spokojena s kvalitou úřadů a institucí ve Z</w:t>
      </w:r>
      <w:r w:rsidR="003C47B2">
        <w:t>líně, jak je uvedeno v grafu na</w:t>
      </w:r>
      <w:r w:rsidRPr="001A3416">
        <w:t xml:space="preserve"> obrázku</w:t>
      </w:r>
      <w:r w:rsidR="003C47B2">
        <w:t xml:space="preserve"> 2.3</w:t>
      </w:r>
      <w:r w:rsidR="0096730F">
        <w:t>1</w:t>
      </w:r>
      <w:r w:rsidRPr="001A3416">
        <w:t xml:space="preserve">. Odpovědi rozhodně spokojeni a spíše spokojeni převažují u všech uvedených úřadů/institucí. </w:t>
      </w:r>
      <w:r>
        <w:t>Střední a velké</w:t>
      </w:r>
      <w:r w:rsidRPr="001A3416">
        <w:t xml:space="preserve"> podniky hodnotily nejlépe kvalitu Živnostenského úřadu, Magistrátu města Zlína, Okresní správy sociálního zabezpečení a Krajské hospodářské komory Zlínského kraje</w:t>
      </w:r>
      <w:r>
        <w:t>. Celkem 40 % středních a velkých</w:t>
      </w:r>
      <w:r w:rsidRPr="001A3416">
        <w:t xml:space="preserve"> firem je nespokojeno či spíše nespokojeno s kvalitou soudů, 39 % s kvalitou Agentury pro podporu podnikání a investic CzechInvest a 32 % z nich s kvalitou Finančního úřadu. Malé firmy vyjádřily 100% spokojenost (odpovědi rozhodně spokojeni a spíše spokojeni) s</w:t>
      </w:r>
      <w:r w:rsidR="004F7877">
        <w:t> </w:t>
      </w:r>
      <w:r w:rsidRPr="001A3416">
        <w:t xml:space="preserve">Krajskou hospodářskou komorou Zlínského kraje, s kvalitou soudů a Úřadu práce. Celkem 29 % respondentů z řad malých firem je spíše nespokojeno s kvalitou Stavebního úřadu, 22 % s Krajským úřadem Zlínského kraje a 20 % s agenturou CzechInvest. </w:t>
      </w:r>
    </w:p>
    <w:p w14:paraId="7DB138A2" w14:textId="13757778" w:rsidR="006B5B80" w:rsidRPr="001A3416" w:rsidRDefault="006B5B80" w:rsidP="006B5B80">
      <w:pPr>
        <w:pStyle w:val="Titulek"/>
        <w:keepNext/>
        <w:keepLines/>
      </w:pPr>
      <w:bookmarkStart w:id="940" w:name="_Toc50449013"/>
      <w:bookmarkStart w:id="941" w:name="_Toc54702804"/>
      <w:bookmarkStart w:id="942" w:name="_Toc56179610"/>
      <w:bookmarkStart w:id="943" w:name="_Toc77074952"/>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31</w:t>
      </w:r>
      <w:r w:rsidR="00804AF3">
        <w:rPr>
          <w:noProof/>
        </w:rPr>
        <w:fldChar w:fldCharType="end"/>
      </w:r>
      <w:r w:rsidR="004F7877">
        <w:rPr>
          <w:noProof/>
        </w:rPr>
        <w:t>:</w:t>
      </w:r>
      <w:r w:rsidRPr="001A3416">
        <w:t xml:space="preserve"> Spokojenost s kvalitou úřadů a institucí ve Zlíně</w:t>
      </w:r>
      <w:bookmarkEnd w:id="940"/>
      <w:bookmarkEnd w:id="941"/>
      <w:bookmarkEnd w:id="942"/>
      <w:bookmarkEnd w:id="943"/>
    </w:p>
    <w:p w14:paraId="12D6A0A1" w14:textId="77777777" w:rsidR="006B5B80" w:rsidRPr="001A3416" w:rsidRDefault="006B5B80" w:rsidP="006B5B80">
      <w:r w:rsidRPr="001A3416">
        <w:rPr>
          <w:noProof/>
          <w:lang w:eastAsia="cs-CZ"/>
        </w:rPr>
        <w:drawing>
          <wp:inline distT="0" distB="0" distL="0" distR="0" wp14:anchorId="1119D6AC" wp14:editId="274D31F8">
            <wp:extent cx="5742940" cy="3481070"/>
            <wp:effectExtent l="0" t="0" r="0" b="5080"/>
            <wp:docPr id="376" name="Obráze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42940" cy="3481070"/>
                    </a:xfrm>
                    <a:prstGeom prst="rect">
                      <a:avLst/>
                    </a:prstGeom>
                    <a:noFill/>
                  </pic:spPr>
                </pic:pic>
              </a:graphicData>
            </a:graphic>
          </wp:inline>
        </w:drawing>
      </w:r>
    </w:p>
    <w:p w14:paraId="4EDD0B0B" w14:textId="19524B3F" w:rsidR="006B5B80" w:rsidRPr="001A3416" w:rsidRDefault="006B5B80" w:rsidP="006B5B80">
      <w:pPr>
        <w:pStyle w:val="zdroj0"/>
      </w:pPr>
      <w:r w:rsidRPr="001A3416">
        <w:t xml:space="preserve"> Zdroj: PROCES, Průzkum podnikatelského prostředí města Zlína, 2020</w:t>
      </w:r>
      <w:r w:rsidR="004F7877">
        <w:t>;</w:t>
      </w:r>
      <w:r>
        <w:t xml:space="preserve"> Otázka č. 9: </w:t>
      </w:r>
      <w:r w:rsidRPr="00B05DCF">
        <w:t>Ohodnoťte, jak jste spokojeni s</w:t>
      </w:r>
      <w:r w:rsidR="004F7877">
        <w:t> </w:t>
      </w:r>
      <w:r w:rsidRPr="00B05DCF">
        <w:t>kvalitou následujících úřadů a institucí sídlících ve Zlíně?</w:t>
      </w:r>
    </w:p>
    <w:p w14:paraId="10FD7493" w14:textId="77777777" w:rsidR="006B5B80" w:rsidRPr="001A3416" w:rsidRDefault="006B5B80" w:rsidP="006B5B80">
      <w:pPr>
        <w:pStyle w:val="Nadpis4"/>
      </w:pPr>
      <w:bookmarkStart w:id="944" w:name="_Toc50449108"/>
      <w:r w:rsidRPr="001A3416">
        <w:t>Pozemky, objekty a kancelářské prostory</w:t>
      </w:r>
      <w:bookmarkEnd w:id="944"/>
    </w:p>
    <w:p w14:paraId="666DDB21" w14:textId="250D514A" w:rsidR="006B5B80" w:rsidRPr="001A3416" w:rsidRDefault="006B5B80" w:rsidP="006B5B80">
      <w:pPr>
        <w:rPr>
          <w:rFonts w:cstheme="minorHAnsi"/>
        </w:rPr>
      </w:pPr>
      <w:r w:rsidRPr="001A3416">
        <w:t>Respondenti měli možnost vyjádřit se</w:t>
      </w:r>
      <w:r w:rsidRPr="00E27858">
        <w:t xml:space="preserve"> </w:t>
      </w:r>
      <w:r>
        <w:t>na pětibodové škále (viz níže)</w:t>
      </w:r>
      <w:r w:rsidR="004F7877">
        <w:t xml:space="preserve"> </w:t>
      </w:r>
      <w:r w:rsidRPr="001A3416">
        <w:t>k pozemkům, objektům a</w:t>
      </w:r>
      <w:r w:rsidR="004F7877">
        <w:t> </w:t>
      </w:r>
      <w:r w:rsidRPr="001A3416">
        <w:t>kancelářským prostorám ve městě Zlíně a jeho nejbližším okolí, které jsou využitelné pro podnikání. Hodnocení respondentů je uvedeno v</w:t>
      </w:r>
      <w:r>
        <w:t> grafech</w:t>
      </w:r>
      <w:r w:rsidR="003C47B2">
        <w:t xml:space="preserve"> na </w:t>
      </w:r>
      <w:r w:rsidRPr="001A3416">
        <w:t xml:space="preserve">obrázcích </w:t>
      </w:r>
      <w:r w:rsidR="003C47B2">
        <w:t>2.3</w:t>
      </w:r>
      <w:r w:rsidR="0096730F">
        <w:t>2</w:t>
      </w:r>
      <w:r w:rsidR="003C47B2">
        <w:t>, 2.3</w:t>
      </w:r>
      <w:r w:rsidR="0096730F">
        <w:t>3</w:t>
      </w:r>
      <w:r w:rsidR="003C47B2">
        <w:t xml:space="preserve"> a 2.3</w:t>
      </w:r>
      <w:r w:rsidR="0096730F">
        <w:t>4</w:t>
      </w:r>
      <w:r w:rsidR="003C47B2">
        <w:t xml:space="preserve"> </w:t>
      </w:r>
      <w:r w:rsidRPr="001A3416">
        <w:t xml:space="preserve">dle jednotlivých kritérií – množství, lokalizace, cena, celkové hodnocení pozemků, objektů a </w:t>
      </w:r>
      <w:r w:rsidRPr="001A3416">
        <w:rPr>
          <w:rFonts w:cstheme="minorHAnsi"/>
        </w:rPr>
        <w:t>kancelářských prostor. U pozemků je rovněž uveden názor respondentů ohledně vybavení pozemků infrastrukturou a u kancelářských prostor je hodnocena jejich kvalita. Celkově se k těmto otázkám vyjádřilo méně respondentů. U</w:t>
      </w:r>
      <w:r w:rsidR="004F7877">
        <w:rPr>
          <w:rFonts w:cstheme="minorHAnsi"/>
        </w:rPr>
        <w:t> </w:t>
      </w:r>
      <w:r w:rsidRPr="001A3416">
        <w:rPr>
          <w:rFonts w:cstheme="minorHAnsi"/>
        </w:rPr>
        <w:t xml:space="preserve">některých kritérií se vyjádřila cca třetina z respondentů a u ceny a množství pozemků a objektů cca polovina respondentů. Většina podnikatelských subjektů, které se ke kritériím vyjádřily, hodnotí pozemky ve městě nebo v jeho okolí převážně za nevyhovující. Hodnotí, že jsou velmi drahé, je jich spíše nedostatek, jsou nevhodně lokalizované a nejsou dostatečně vybaveny infrastrukturou. Podobně respondenti hodnotili i objekty, které se ve městě nebo jeho okolí nachází. Celkové hodnocení kancelářských prostor je spíše pozitivní nebo neutrální než negativní. Celkem 35,7 % odpovídajících uvedlo, že jsou kancelářské prostory ve městě či jeho okolí v dostatečném množství a 33,3 % uvedlo, že jsou kancelářské prostory kvalitní. Nejhůře byla opět hodnocena jejich cena, kdy 56,3 % respondentů uvedlo, </w:t>
      </w:r>
      <w:r>
        <w:rPr>
          <w:rFonts w:cstheme="minorHAnsi"/>
        </w:rPr>
        <w:t xml:space="preserve">že </w:t>
      </w:r>
      <w:r w:rsidRPr="001A3416">
        <w:rPr>
          <w:rFonts w:cstheme="minorHAnsi"/>
        </w:rPr>
        <w:t>jsou kancelářské prostory velmi drahé nebo drahé.</w:t>
      </w:r>
    </w:p>
    <w:p w14:paraId="1F7C75E1" w14:textId="228D9C79" w:rsidR="006B5B80" w:rsidRPr="001A3416" w:rsidRDefault="006B5B80" w:rsidP="003C47B2">
      <w:pPr>
        <w:pStyle w:val="Titulek"/>
        <w:keepNext/>
        <w:keepLines/>
        <w:spacing w:after="0"/>
        <w:rPr>
          <w:rFonts w:cstheme="minorHAnsi"/>
          <w:sz w:val="22"/>
          <w:szCs w:val="22"/>
        </w:rPr>
      </w:pPr>
      <w:bookmarkStart w:id="945" w:name="_Toc50449014"/>
      <w:bookmarkStart w:id="946" w:name="_Toc54702805"/>
      <w:bookmarkStart w:id="947" w:name="_Toc56179611"/>
      <w:bookmarkStart w:id="948" w:name="_Toc77074953"/>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32</w:t>
      </w:r>
      <w:r w:rsidR="00804AF3">
        <w:rPr>
          <w:noProof/>
        </w:rPr>
        <w:fldChar w:fldCharType="end"/>
      </w:r>
      <w:r w:rsidR="004F7877">
        <w:rPr>
          <w:noProof/>
        </w:rPr>
        <w:t>:</w:t>
      </w:r>
      <w:r w:rsidRPr="001A3416">
        <w:t xml:space="preserve"> Charakteristika pozemků využitelných pro podnikání podle respondentů</w:t>
      </w:r>
      <w:bookmarkEnd w:id="945"/>
      <w:bookmarkEnd w:id="946"/>
      <w:bookmarkEnd w:id="947"/>
      <w:bookmarkEnd w:id="948"/>
    </w:p>
    <w:p w14:paraId="04C2FA01" w14:textId="77777777" w:rsidR="006B5B80" w:rsidRPr="001A3416" w:rsidRDefault="006B5B80" w:rsidP="006B5B80">
      <w:pPr>
        <w:rPr>
          <w:rFonts w:cstheme="minorHAnsi"/>
        </w:rPr>
      </w:pPr>
      <w:r w:rsidRPr="001A3416">
        <w:rPr>
          <w:rFonts w:cstheme="minorHAnsi"/>
          <w:noProof/>
          <w:lang w:eastAsia="cs-CZ"/>
        </w:rPr>
        <w:drawing>
          <wp:inline distT="0" distB="0" distL="0" distR="0" wp14:anchorId="5782B462" wp14:editId="6BE0ED71">
            <wp:extent cx="5759450" cy="2543175"/>
            <wp:effectExtent l="0" t="0" r="0" b="9525"/>
            <wp:docPr id="377" name="Obráze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59450" cy="2543175"/>
                    </a:xfrm>
                    <a:prstGeom prst="rect">
                      <a:avLst/>
                    </a:prstGeom>
                    <a:noFill/>
                  </pic:spPr>
                </pic:pic>
              </a:graphicData>
            </a:graphic>
          </wp:inline>
        </w:drawing>
      </w:r>
    </w:p>
    <w:p w14:paraId="46FDB3DB" w14:textId="7B6C54D6" w:rsidR="006B5B80" w:rsidRPr="001A3416" w:rsidRDefault="006B5B80" w:rsidP="006B5B80">
      <w:pPr>
        <w:pStyle w:val="zdroj0"/>
      </w:pPr>
      <w:r w:rsidRPr="001A3416">
        <w:t>Zdroj: PROCES, Průzkum podnikatelského prostředí města Zlína, 2020</w:t>
      </w:r>
      <w:r w:rsidR="004F7877">
        <w:t>;</w:t>
      </w:r>
      <w:r>
        <w:t xml:space="preserve"> Otázka č. 10: Pozemky ve Zlíně a nejbližším okolí využitelné pro podnikání jsou dle Vašeho názoru: </w:t>
      </w:r>
    </w:p>
    <w:p w14:paraId="0DE9BAF1" w14:textId="4A845B53" w:rsidR="006B5B80" w:rsidRPr="001A3416" w:rsidRDefault="006B5B80" w:rsidP="003C47B2">
      <w:pPr>
        <w:pStyle w:val="Titulek"/>
        <w:spacing w:after="0"/>
        <w:rPr>
          <w:rFonts w:cstheme="minorHAnsi"/>
          <w:sz w:val="22"/>
          <w:szCs w:val="22"/>
        </w:rPr>
      </w:pPr>
      <w:bookmarkStart w:id="949" w:name="_Toc50449015"/>
      <w:bookmarkStart w:id="950" w:name="_Toc54702806"/>
      <w:bookmarkStart w:id="951" w:name="_Toc56179612"/>
      <w:bookmarkStart w:id="952" w:name="_Toc77074954"/>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33</w:t>
      </w:r>
      <w:r w:rsidR="00804AF3">
        <w:rPr>
          <w:noProof/>
        </w:rPr>
        <w:fldChar w:fldCharType="end"/>
      </w:r>
      <w:r w:rsidR="004F7877">
        <w:rPr>
          <w:noProof/>
        </w:rPr>
        <w:t>:</w:t>
      </w:r>
      <w:r w:rsidRPr="001A3416">
        <w:t xml:space="preserve"> Charakteristika objektů využitelných pro podnikání podle respondentů</w:t>
      </w:r>
      <w:bookmarkEnd w:id="949"/>
      <w:bookmarkEnd w:id="950"/>
      <w:bookmarkEnd w:id="951"/>
      <w:bookmarkEnd w:id="952"/>
    </w:p>
    <w:p w14:paraId="5AB575FB" w14:textId="77777777" w:rsidR="006B5B80" w:rsidRPr="001A3416" w:rsidRDefault="006B5B80" w:rsidP="006B5B80">
      <w:r w:rsidRPr="001A3416">
        <w:rPr>
          <w:noProof/>
          <w:lang w:eastAsia="cs-CZ"/>
        </w:rPr>
        <w:drawing>
          <wp:inline distT="0" distB="0" distL="0" distR="0" wp14:anchorId="0E507330" wp14:editId="469AF40B">
            <wp:extent cx="5759450" cy="2200275"/>
            <wp:effectExtent l="0" t="0" r="0" b="9525"/>
            <wp:docPr id="378" name="Obráze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59450" cy="2200275"/>
                    </a:xfrm>
                    <a:prstGeom prst="rect">
                      <a:avLst/>
                    </a:prstGeom>
                    <a:noFill/>
                  </pic:spPr>
                </pic:pic>
              </a:graphicData>
            </a:graphic>
          </wp:inline>
        </w:drawing>
      </w:r>
    </w:p>
    <w:p w14:paraId="7E7C147E" w14:textId="30C015A3" w:rsidR="006B5B80" w:rsidRPr="001A3416" w:rsidRDefault="006B5B80" w:rsidP="006B5B80">
      <w:pPr>
        <w:pStyle w:val="zdroj0"/>
      </w:pPr>
      <w:r w:rsidRPr="001A3416">
        <w:t>Zdroj: PROCES, Průzkum podnikatelského prostředí města Zlína, 2020</w:t>
      </w:r>
      <w:r w:rsidR="004F7877">
        <w:t>;</w:t>
      </w:r>
      <w:r>
        <w:t xml:space="preserve"> Otázka č. 11: </w:t>
      </w:r>
      <w:r w:rsidRPr="00B05DCF">
        <w:t>Objekty ve Zlíně a</w:t>
      </w:r>
      <w:r w:rsidR="004F7877">
        <w:t> </w:t>
      </w:r>
      <w:r w:rsidRPr="00B05DCF">
        <w:t>nejbližším okolí využitelné pro podnikání jsou dle Vašeho názoru:</w:t>
      </w:r>
    </w:p>
    <w:p w14:paraId="792B1EB4" w14:textId="0397E95E" w:rsidR="006B5B80" w:rsidRPr="001A3416" w:rsidRDefault="006B5B80" w:rsidP="006B5B80">
      <w:pPr>
        <w:pStyle w:val="Titulek"/>
        <w:keepNext/>
        <w:keepLines/>
        <w:rPr>
          <w:rFonts w:cstheme="minorHAnsi"/>
          <w:sz w:val="22"/>
          <w:szCs w:val="22"/>
        </w:rPr>
      </w:pPr>
      <w:bookmarkStart w:id="953" w:name="_Toc50449016"/>
      <w:bookmarkStart w:id="954" w:name="_Toc54702807"/>
      <w:bookmarkStart w:id="955" w:name="_Toc56179613"/>
      <w:bookmarkStart w:id="956" w:name="_Toc77074955"/>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34</w:t>
      </w:r>
      <w:r w:rsidR="00804AF3">
        <w:rPr>
          <w:noProof/>
        </w:rPr>
        <w:fldChar w:fldCharType="end"/>
      </w:r>
      <w:r w:rsidR="004F7877">
        <w:t xml:space="preserve">: </w:t>
      </w:r>
      <w:r w:rsidRPr="001A3416">
        <w:t>Charakteristika kancelářských prostor využitelných pro podnikání podle respondentů</w:t>
      </w:r>
      <w:bookmarkEnd w:id="953"/>
      <w:bookmarkEnd w:id="954"/>
      <w:bookmarkEnd w:id="955"/>
      <w:bookmarkEnd w:id="956"/>
    </w:p>
    <w:p w14:paraId="0645E631" w14:textId="77777777" w:rsidR="006B5B80" w:rsidRPr="001A3416" w:rsidRDefault="006B5B80" w:rsidP="006B5B80">
      <w:pPr>
        <w:rPr>
          <w:rFonts w:cstheme="minorHAnsi"/>
        </w:rPr>
      </w:pPr>
      <w:r w:rsidRPr="001A3416">
        <w:rPr>
          <w:rFonts w:cstheme="minorHAnsi"/>
          <w:noProof/>
          <w:lang w:eastAsia="cs-CZ"/>
        </w:rPr>
        <w:drawing>
          <wp:inline distT="0" distB="0" distL="0" distR="0" wp14:anchorId="5430833B" wp14:editId="642752E9">
            <wp:extent cx="5759450" cy="2552700"/>
            <wp:effectExtent l="0" t="0" r="0" b="0"/>
            <wp:docPr id="379" name="Obráze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59450" cy="2552700"/>
                    </a:xfrm>
                    <a:prstGeom prst="rect">
                      <a:avLst/>
                    </a:prstGeom>
                    <a:noFill/>
                  </pic:spPr>
                </pic:pic>
              </a:graphicData>
            </a:graphic>
          </wp:inline>
        </w:drawing>
      </w:r>
    </w:p>
    <w:p w14:paraId="429C9096" w14:textId="0F516660" w:rsidR="006B5B80" w:rsidRPr="001A3416" w:rsidRDefault="006B5B80" w:rsidP="006B5B80">
      <w:pPr>
        <w:pStyle w:val="zdroj0"/>
      </w:pPr>
      <w:r w:rsidRPr="001A3416">
        <w:t>Zdroj: PROCES, Průzkum podnikatelského prostředí města Zlína, 2020</w:t>
      </w:r>
      <w:r w:rsidR="004F7877">
        <w:t>;</w:t>
      </w:r>
      <w:r>
        <w:t xml:space="preserve"> Otázka č. 12: </w:t>
      </w:r>
      <w:r w:rsidRPr="00B05DCF">
        <w:t>Kancelářské prostory ve Zlíně a</w:t>
      </w:r>
      <w:r w:rsidR="004F7877">
        <w:t> </w:t>
      </w:r>
      <w:r w:rsidRPr="00B05DCF">
        <w:t>nejbližším okolí využitelné pro podnikání jsou dle Vašeho názoru:</w:t>
      </w:r>
    </w:p>
    <w:p w14:paraId="0B639978" w14:textId="77777777" w:rsidR="006B5B80" w:rsidRPr="001A3416" w:rsidRDefault="006B5B80" w:rsidP="006B5B80">
      <w:pPr>
        <w:rPr>
          <w:rFonts w:cstheme="minorHAnsi"/>
          <w:i/>
        </w:rPr>
      </w:pPr>
      <w:r w:rsidRPr="001A3416">
        <w:rPr>
          <w:rFonts w:cstheme="minorHAnsi"/>
        </w:rPr>
        <w:t xml:space="preserve">Další poznatky respondentů k pozemkům, objektům, kancelářským prostorám ve Zlíně a nejbližším okolí využitelných pro podnikání pouze potvrzují či upřesňují výše uvedené. </w:t>
      </w:r>
      <w:r w:rsidRPr="001A3416">
        <w:rPr>
          <w:rFonts w:cstheme="minorHAnsi"/>
          <w:i/>
        </w:rPr>
        <w:t xml:space="preserve">Kancelářských prostor pro podnikání je dostatek. </w:t>
      </w:r>
      <w:r w:rsidRPr="001A3416">
        <w:rPr>
          <w:rFonts w:cstheme="minorHAnsi"/>
        </w:rPr>
        <w:t>Respondenti pociťují</w:t>
      </w:r>
      <w:r w:rsidRPr="001A3416">
        <w:rPr>
          <w:rFonts w:cstheme="minorHAnsi"/>
          <w:i/>
        </w:rPr>
        <w:t xml:space="preserve"> nedostatek rozvojových ploch pro průmysl, nedostatek výrobních hal a skladů k okamžitému využití. </w:t>
      </w:r>
      <w:r w:rsidRPr="001A3416">
        <w:rPr>
          <w:rFonts w:cstheme="minorHAnsi"/>
        </w:rPr>
        <w:t xml:space="preserve">Opět zmiňují </w:t>
      </w:r>
      <w:r w:rsidRPr="001A3416">
        <w:rPr>
          <w:rFonts w:cstheme="minorHAnsi"/>
          <w:i/>
        </w:rPr>
        <w:t xml:space="preserve">příliš vysoké ceny pozemků i budov přímo ve Zlíně a nejbližším okolí (Otrokovice). </w:t>
      </w:r>
      <w:r w:rsidRPr="001A3416">
        <w:rPr>
          <w:rFonts w:cstheme="minorHAnsi"/>
        </w:rPr>
        <w:t>Upozorňují na</w:t>
      </w:r>
      <w:r w:rsidRPr="001A3416">
        <w:rPr>
          <w:rFonts w:cstheme="minorHAnsi"/>
          <w:i/>
        </w:rPr>
        <w:t xml:space="preserve"> špatnou dostupnost na dálniční síť,</w:t>
      </w:r>
      <w:r w:rsidRPr="001A3416">
        <w:rPr>
          <w:rFonts w:cstheme="minorHAnsi"/>
        </w:rPr>
        <w:t xml:space="preserve"> </w:t>
      </w:r>
      <w:r w:rsidRPr="001A3416">
        <w:rPr>
          <w:rFonts w:cstheme="minorHAnsi"/>
          <w:i/>
        </w:rPr>
        <w:t>ztíženou dostupnost pro klienty v areálu Svit, špatný stav komunikace v průmyslové zóně Štípa, ulice K Farmě (což označují za důvod k odchodu z této zóny vzhledem k tomu, že se tím nebude zóna dále rozvíjet)</w:t>
      </w:r>
      <w:r w:rsidRPr="001A3416">
        <w:rPr>
          <w:rFonts w:cstheme="minorHAnsi"/>
        </w:rPr>
        <w:t xml:space="preserve">. Jedním z doporučení bylo </w:t>
      </w:r>
      <w:r w:rsidRPr="001A3416">
        <w:rPr>
          <w:rFonts w:cstheme="minorHAnsi"/>
          <w:i/>
        </w:rPr>
        <w:t>přístupnější k odprodeji pozemků města, pro které nemá smysluplné využití, pokud to poslouží rozvoji podnikání a podpora využití/rekonstrukce stávajících budov v areálu Svit.</w:t>
      </w:r>
    </w:p>
    <w:p w14:paraId="0703554F" w14:textId="416C9325" w:rsidR="006B5B80" w:rsidRPr="001A3416" w:rsidRDefault="006B5B80" w:rsidP="006B5B80">
      <w:pPr>
        <w:rPr>
          <w:rFonts w:cstheme="minorHAnsi"/>
        </w:rPr>
      </w:pPr>
      <w:r w:rsidRPr="001A3416">
        <w:rPr>
          <w:rFonts w:cstheme="minorHAnsi"/>
        </w:rPr>
        <w:t>Mezi důvody podnikatelských subjektů, které se k výše uvedeným kritériím ohledně pozemků, objektů a</w:t>
      </w:r>
      <w:r w:rsidR="004F7877">
        <w:rPr>
          <w:rFonts w:cstheme="minorHAnsi"/>
        </w:rPr>
        <w:t> </w:t>
      </w:r>
      <w:r w:rsidRPr="001A3416">
        <w:rPr>
          <w:rFonts w:cstheme="minorHAnsi"/>
        </w:rPr>
        <w:t>kancelářských prostor nevyjádřili, mohla patřit skutečnost, že tyto podniky nehledají nové lokality/ objekty k podnikání a nemají tedy pro hodnocení dostatečné informace.</w:t>
      </w:r>
    </w:p>
    <w:p w14:paraId="25EC5A78" w14:textId="77777777" w:rsidR="006B5B80" w:rsidRPr="001A3416" w:rsidRDefault="006B5B80" w:rsidP="006B5B80">
      <w:pPr>
        <w:pStyle w:val="Nadpis3"/>
      </w:pPr>
      <w:bookmarkStart w:id="957" w:name="_Toc50449109"/>
      <w:bookmarkStart w:id="958" w:name="_Toc77074646"/>
      <w:r w:rsidRPr="001A3416">
        <w:t>Hodnocení vlastního podnikání</w:t>
      </w:r>
      <w:bookmarkEnd w:id="957"/>
      <w:bookmarkEnd w:id="958"/>
    </w:p>
    <w:p w14:paraId="77576BDB" w14:textId="77777777" w:rsidR="006B5B80" w:rsidRPr="001A3416" w:rsidRDefault="006B5B80" w:rsidP="006B5B80">
      <w:pPr>
        <w:pStyle w:val="Nadpis4"/>
      </w:pPr>
      <w:bookmarkStart w:id="959" w:name="_Toc50449110"/>
      <w:r w:rsidRPr="001A3416">
        <w:t>Dodavatelská a exportní orientace</w:t>
      </w:r>
      <w:bookmarkEnd w:id="959"/>
    </w:p>
    <w:p w14:paraId="6FD1AE96" w14:textId="592171E2" w:rsidR="006B5B80" w:rsidRPr="001A3416" w:rsidRDefault="006B5B80" w:rsidP="006B5B80">
      <w:pPr>
        <w:pStyle w:val="Titulek"/>
        <w:rPr>
          <w:rFonts w:cstheme="minorHAnsi"/>
          <w:b w:val="0"/>
          <w:sz w:val="22"/>
          <w:szCs w:val="22"/>
        </w:rPr>
      </w:pPr>
      <w:r w:rsidRPr="001A3416">
        <w:rPr>
          <w:rFonts w:cstheme="minorHAnsi"/>
          <w:b w:val="0"/>
          <w:sz w:val="22"/>
          <w:szCs w:val="22"/>
        </w:rPr>
        <w:t>Dodavatelská a exportní orientace firem, které se dotazníkového šetření zúčastnily, je znázorněna v grafu na obrázku</w:t>
      </w:r>
      <w:r w:rsidR="005302C0">
        <w:rPr>
          <w:rFonts w:cstheme="minorHAnsi"/>
          <w:b w:val="0"/>
          <w:sz w:val="22"/>
          <w:szCs w:val="22"/>
        </w:rPr>
        <w:t xml:space="preserve"> 2.3</w:t>
      </w:r>
      <w:r w:rsidR="0096730F">
        <w:rPr>
          <w:rFonts w:cstheme="minorHAnsi"/>
          <w:b w:val="0"/>
          <w:sz w:val="22"/>
          <w:szCs w:val="22"/>
        </w:rPr>
        <w:t>5</w:t>
      </w:r>
      <w:r w:rsidRPr="001A3416">
        <w:rPr>
          <w:rFonts w:cstheme="minorHAnsi"/>
          <w:b w:val="0"/>
          <w:sz w:val="22"/>
          <w:szCs w:val="22"/>
        </w:rPr>
        <w:t xml:space="preserve">. </w:t>
      </w:r>
      <w:r>
        <w:rPr>
          <w:rFonts w:cstheme="minorHAnsi"/>
          <w:b w:val="0"/>
          <w:sz w:val="22"/>
          <w:szCs w:val="22"/>
        </w:rPr>
        <w:t>Respondenti uváděli podíl dodavatelů a podíl tržeb odběratelů dle místa jejich výskytu (Zlínský kraj, Jinde v ČR, EU +</w:t>
      </w:r>
      <w:r w:rsidRPr="001A3416">
        <w:rPr>
          <w:rFonts w:cstheme="minorHAnsi"/>
          <w:b w:val="0"/>
          <w:sz w:val="22"/>
          <w:szCs w:val="22"/>
        </w:rPr>
        <w:t xml:space="preserve"> EFTA</w:t>
      </w:r>
      <w:r>
        <w:rPr>
          <w:rFonts w:cstheme="minorHAnsi"/>
          <w:b w:val="0"/>
          <w:sz w:val="22"/>
          <w:szCs w:val="22"/>
        </w:rPr>
        <w:t xml:space="preserve">, ostatní Evropa, zbytek světa). </w:t>
      </w:r>
      <w:r w:rsidRPr="001A3416">
        <w:rPr>
          <w:rFonts w:cstheme="minorHAnsi"/>
          <w:b w:val="0"/>
          <w:sz w:val="22"/>
          <w:szCs w:val="22"/>
        </w:rPr>
        <w:t xml:space="preserve">Průměrně se dodavatelé všech firem z 36,6 % nachází mimo Zlínský kraj jinde v ČR. Následně se téměř třetina </w:t>
      </w:r>
      <w:r>
        <w:rPr>
          <w:rFonts w:cstheme="minorHAnsi"/>
          <w:b w:val="0"/>
          <w:sz w:val="22"/>
          <w:szCs w:val="22"/>
        </w:rPr>
        <w:t xml:space="preserve">dodavatelů </w:t>
      </w:r>
      <w:r w:rsidRPr="001A3416">
        <w:rPr>
          <w:rFonts w:cstheme="minorHAnsi"/>
          <w:b w:val="0"/>
          <w:sz w:val="22"/>
          <w:szCs w:val="22"/>
        </w:rPr>
        <w:t>(29,6 %) podniků ve Zlíně nachází v zemích EU a EFTA a téměř třetina v jiných krajích v</w:t>
      </w:r>
      <w:r w:rsidR="00283CFF">
        <w:rPr>
          <w:rFonts w:cstheme="minorHAnsi"/>
          <w:b w:val="0"/>
          <w:sz w:val="22"/>
          <w:szCs w:val="22"/>
        </w:rPr>
        <w:t> </w:t>
      </w:r>
      <w:r w:rsidRPr="001A3416">
        <w:rPr>
          <w:rFonts w:cstheme="minorHAnsi"/>
          <w:b w:val="0"/>
          <w:sz w:val="22"/>
          <w:szCs w:val="22"/>
        </w:rPr>
        <w:t>rámci České republiky (25,4 %). U malých firem průměrně převládají dodavatelé ze zemí EU a EFTA.</w:t>
      </w:r>
    </w:p>
    <w:p w14:paraId="5A239E69" w14:textId="77777777" w:rsidR="006B5B80" w:rsidRPr="001A3416" w:rsidRDefault="006B5B80" w:rsidP="006B5B80">
      <w:pPr>
        <w:pStyle w:val="Titulek"/>
        <w:rPr>
          <w:rFonts w:cstheme="minorHAnsi"/>
          <w:b w:val="0"/>
          <w:sz w:val="22"/>
          <w:szCs w:val="22"/>
        </w:rPr>
      </w:pPr>
      <w:r w:rsidRPr="001A3416">
        <w:rPr>
          <w:rFonts w:cstheme="minorHAnsi"/>
          <w:b w:val="0"/>
          <w:sz w:val="22"/>
          <w:szCs w:val="22"/>
        </w:rPr>
        <w:t xml:space="preserve">Co se týče exportní orientace, je situace za všechny firmy procentuálně obdobná jako u dodavatelské orientace. </w:t>
      </w:r>
      <w:r>
        <w:rPr>
          <w:rFonts w:cstheme="minorHAnsi"/>
          <w:b w:val="0"/>
          <w:sz w:val="22"/>
          <w:szCs w:val="22"/>
        </w:rPr>
        <w:t>Střední</w:t>
      </w:r>
      <w:r w:rsidRPr="0043207E">
        <w:rPr>
          <w:rFonts w:cstheme="minorHAnsi"/>
          <w:b w:val="0"/>
          <w:sz w:val="22"/>
          <w:szCs w:val="22"/>
        </w:rPr>
        <w:t xml:space="preserve"> a velk</w:t>
      </w:r>
      <w:r>
        <w:rPr>
          <w:rFonts w:cstheme="minorHAnsi"/>
          <w:b w:val="0"/>
          <w:sz w:val="22"/>
          <w:szCs w:val="22"/>
        </w:rPr>
        <w:t>é</w:t>
      </w:r>
      <w:r w:rsidRPr="0043207E">
        <w:rPr>
          <w:rFonts w:cstheme="minorHAnsi"/>
          <w:b w:val="0"/>
          <w:sz w:val="22"/>
          <w:szCs w:val="22"/>
        </w:rPr>
        <w:t xml:space="preserve"> </w:t>
      </w:r>
      <w:r w:rsidRPr="001A3416">
        <w:rPr>
          <w:rFonts w:cstheme="minorHAnsi"/>
          <w:b w:val="0"/>
          <w:sz w:val="22"/>
          <w:szCs w:val="22"/>
        </w:rPr>
        <w:t>firmy se více v exportu orientují na země EU a EFTA (37,5 %) a malé firmy na Českou republiku mimo Zlínský kraj. Následně se průměrně za malé firmy nachází 37,4 % odběratelů ve Zlínském kraji.</w:t>
      </w:r>
    </w:p>
    <w:p w14:paraId="23810DF8" w14:textId="77777777" w:rsidR="006B5B80" w:rsidRPr="001A3416" w:rsidRDefault="006B5B80" w:rsidP="006B5B80">
      <w:r>
        <w:t>Stav</w:t>
      </w:r>
      <w:r w:rsidRPr="001A3416">
        <w:t xml:space="preserve"> v exportní orientaci podniků se od průzkumu z roce 2006 výrazně nezměnil. </w:t>
      </w:r>
    </w:p>
    <w:p w14:paraId="2901A52F" w14:textId="409454C3" w:rsidR="006B5B80" w:rsidRPr="001A3416" w:rsidRDefault="006B5B80" w:rsidP="006B5B80">
      <w:pPr>
        <w:pStyle w:val="Titulek"/>
        <w:keepNext/>
        <w:keepLines/>
        <w:rPr>
          <w:rFonts w:cstheme="minorHAnsi"/>
          <w:sz w:val="22"/>
          <w:szCs w:val="22"/>
        </w:rPr>
      </w:pPr>
      <w:bookmarkStart w:id="960" w:name="_Toc50449017"/>
      <w:bookmarkStart w:id="961" w:name="_Toc54702808"/>
      <w:bookmarkStart w:id="962" w:name="_Toc56179614"/>
      <w:bookmarkStart w:id="963" w:name="_Toc77074956"/>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35</w:t>
      </w:r>
      <w:r w:rsidR="00804AF3">
        <w:rPr>
          <w:noProof/>
        </w:rPr>
        <w:fldChar w:fldCharType="end"/>
      </w:r>
      <w:r w:rsidR="00283CFF">
        <w:rPr>
          <w:noProof/>
        </w:rPr>
        <w:t>:</w:t>
      </w:r>
      <w:r w:rsidRPr="001A3416">
        <w:t xml:space="preserve"> Dodavatelská a exportní orientace dle lokality</w:t>
      </w:r>
      <w:bookmarkEnd w:id="960"/>
      <w:bookmarkEnd w:id="961"/>
      <w:bookmarkEnd w:id="962"/>
      <w:bookmarkEnd w:id="963"/>
    </w:p>
    <w:p w14:paraId="3F2AB77E" w14:textId="77777777" w:rsidR="006B5B80" w:rsidRPr="001A3416" w:rsidRDefault="006B5B80" w:rsidP="006B5B80">
      <w:r w:rsidRPr="001A3416">
        <w:rPr>
          <w:noProof/>
          <w:lang w:eastAsia="cs-CZ"/>
        </w:rPr>
        <w:drawing>
          <wp:inline distT="0" distB="0" distL="0" distR="0" wp14:anchorId="53A4A4BD" wp14:editId="6E50B64E">
            <wp:extent cx="5773420" cy="2170430"/>
            <wp:effectExtent l="0" t="0" r="0" b="127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73420" cy="2170430"/>
                    </a:xfrm>
                    <a:prstGeom prst="rect">
                      <a:avLst/>
                    </a:prstGeom>
                    <a:noFill/>
                  </pic:spPr>
                </pic:pic>
              </a:graphicData>
            </a:graphic>
          </wp:inline>
        </w:drawing>
      </w:r>
    </w:p>
    <w:p w14:paraId="64CE382F" w14:textId="1C93ECCD" w:rsidR="006B5B80" w:rsidRDefault="006B5B80" w:rsidP="006B5B80">
      <w:pPr>
        <w:pStyle w:val="zdroj0"/>
      </w:pPr>
      <w:r w:rsidRPr="001A3416">
        <w:t>Zdroj: PROCES, Průzkum podnikatelského prostředí města Zlína, 2020</w:t>
      </w:r>
      <w:r w:rsidR="00283CFF">
        <w:t xml:space="preserve">; </w:t>
      </w:r>
      <w:r>
        <w:t>Otázk</w:t>
      </w:r>
      <w:r w:rsidR="00283CFF">
        <w:t>a č. 14: Dodavatelská orientace;</w:t>
      </w:r>
      <w:r>
        <w:t xml:space="preserve"> Vyplňte podíl Vašich dodavatelů v % dle místa jejich výskytu: a Otázka č. 15: Exportní orientace</w:t>
      </w:r>
      <w:r w:rsidR="00283CFF">
        <w:t>;</w:t>
      </w:r>
      <w:r>
        <w:t xml:space="preserve"> Vyplňte podíl tržeb v</w:t>
      </w:r>
      <w:r w:rsidR="00283CFF">
        <w:t> </w:t>
      </w:r>
      <w:r>
        <w:t>% odběratelů:</w:t>
      </w:r>
    </w:p>
    <w:p w14:paraId="564E53FD" w14:textId="77777777" w:rsidR="006B5B80" w:rsidRPr="001A3416" w:rsidRDefault="006B5B80" w:rsidP="006B5B80">
      <w:pPr>
        <w:pStyle w:val="Nadpis4"/>
      </w:pPr>
      <w:bookmarkStart w:id="964" w:name="_Toc50449111"/>
      <w:r w:rsidRPr="001A3416">
        <w:t>Nemovitosti a investice</w:t>
      </w:r>
      <w:bookmarkEnd w:id="964"/>
    </w:p>
    <w:p w14:paraId="15F906DA" w14:textId="647DE92B" w:rsidR="006B5B80" w:rsidRPr="001A3416" w:rsidRDefault="006B5B80" w:rsidP="006B5B80">
      <w:pPr>
        <w:rPr>
          <w:rFonts w:cstheme="minorHAnsi"/>
        </w:rPr>
      </w:pPr>
      <w:r w:rsidRPr="001A3416">
        <w:rPr>
          <w:rFonts w:cstheme="minorHAnsi"/>
        </w:rPr>
        <w:t>Z dotazů ohledně nemovitostí (viz obrázek</w:t>
      </w:r>
      <w:r w:rsidR="005302C0">
        <w:rPr>
          <w:rFonts w:cstheme="minorHAnsi"/>
        </w:rPr>
        <w:t xml:space="preserve"> 2.3</w:t>
      </w:r>
      <w:r w:rsidR="0096730F">
        <w:rPr>
          <w:rFonts w:cstheme="minorHAnsi"/>
        </w:rPr>
        <w:t>6</w:t>
      </w:r>
      <w:r w:rsidRPr="001A3416">
        <w:rPr>
          <w:rFonts w:cstheme="minorHAnsi"/>
        </w:rPr>
        <w:t>) vyplývá, že většina respondentů neplánuje přemístění podnikání do jiného území či ukončení podnikání ve městě Zlíně. Celkem 9,5 % uvedlo, že o</w:t>
      </w:r>
      <w:r w:rsidR="00283CFF">
        <w:rPr>
          <w:rFonts w:cstheme="minorHAnsi"/>
        </w:rPr>
        <w:t> </w:t>
      </w:r>
      <w:r w:rsidRPr="001A3416">
        <w:rPr>
          <w:rFonts w:cstheme="minorHAnsi"/>
        </w:rPr>
        <w:t xml:space="preserve">této možnosti uvažuje. Jedná se </w:t>
      </w:r>
      <w:r>
        <w:rPr>
          <w:rFonts w:cstheme="minorHAnsi"/>
        </w:rPr>
        <w:t xml:space="preserve">o </w:t>
      </w:r>
      <w:r w:rsidRPr="001A3416">
        <w:rPr>
          <w:rFonts w:cstheme="minorHAnsi"/>
        </w:rPr>
        <w:t>4 firmy v kategorii od 50 do 250 zaměstnanců</w:t>
      </w:r>
      <w:r>
        <w:rPr>
          <w:rFonts w:cstheme="minorHAnsi"/>
        </w:rPr>
        <w:t xml:space="preserve"> (jedná se o firmy, které podnikají v odvětví zpracovatelský průmysl a </w:t>
      </w:r>
      <w:r w:rsidRPr="00932561">
        <w:rPr>
          <w:rFonts w:ascii="Calibri" w:eastAsia="Times New Roman" w:hAnsi="Calibri" w:cs="Calibri"/>
          <w:lang w:eastAsia="cs-CZ"/>
        </w:rPr>
        <w:t>obchod, opravy motor. vozidel a výrobků</w:t>
      </w:r>
      <w:r>
        <w:rPr>
          <w:rFonts w:ascii="Calibri" w:eastAsia="Times New Roman" w:hAnsi="Calibri" w:cs="Calibri"/>
          <w:lang w:eastAsia="cs-CZ"/>
        </w:rPr>
        <w:t>)</w:t>
      </w:r>
      <w:r w:rsidRPr="001A3416">
        <w:rPr>
          <w:rFonts w:cstheme="minorHAnsi"/>
        </w:rPr>
        <w:t xml:space="preserve">.  Jeden podnik z řad </w:t>
      </w:r>
      <w:r>
        <w:t>středních a velkých</w:t>
      </w:r>
      <w:r w:rsidRPr="001A3416">
        <w:rPr>
          <w:rFonts w:cstheme="minorHAnsi"/>
        </w:rPr>
        <w:t xml:space="preserve"> firem hodlá přemístit svůj podnik z</w:t>
      </w:r>
      <w:r>
        <w:rPr>
          <w:rFonts w:cstheme="minorHAnsi"/>
        </w:rPr>
        <w:t> </w:t>
      </w:r>
      <w:r w:rsidRPr="001A3416">
        <w:rPr>
          <w:rFonts w:cstheme="minorHAnsi"/>
        </w:rPr>
        <w:t>města</w:t>
      </w:r>
      <w:r>
        <w:rPr>
          <w:rFonts w:cstheme="minorHAnsi"/>
        </w:rPr>
        <w:t xml:space="preserve"> (odvětví zpracovatelský průmysl)</w:t>
      </w:r>
      <w:r w:rsidRPr="001A3416">
        <w:rPr>
          <w:rFonts w:cstheme="minorHAnsi"/>
        </w:rPr>
        <w:t xml:space="preserve">. Celkem 11,9 %, což je 5 firem z řad </w:t>
      </w:r>
      <w:r>
        <w:t>středních a velkých</w:t>
      </w:r>
      <w:r w:rsidRPr="001A3416">
        <w:rPr>
          <w:rFonts w:cstheme="minorHAnsi"/>
        </w:rPr>
        <w:t xml:space="preserve"> podniků, které se průzkumu zúčastnily, plánují rozšiřovat svůj podnik jinde v České republice. </w:t>
      </w:r>
    </w:p>
    <w:p w14:paraId="0D8888EE" w14:textId="46ACB39B" w:rsidR="006B5B80" w:rsidRPr="001A3416" w:rsidRDefault="006B5B80" w:rsidP="006B5B80">
      <w:pPr>
        <w:pStyle w:val="Titulek"/>
        <w:rPr>
          <w:rFonts w:cstheme="minorHAnsi"/>
          <w:sz w:val="22"/>
          <w:szCs w:val="22"/>
        </w:rPr>
      </w:pPr>
      <w:bookmarkStart w:id="965" w:name="_Toc50449018"/>
      <w:bookmarkStart w:id="966" w:name="_Toc54702809"/>
      <w:bookmarkStart w:id="967" w:name="_Toc56179615"/>
      <w:bookmarkStart w:id="968" w:name="_Toc7707495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36</w:t>
      </w:r>
      <w:r w:rsidR="00804AF3">
        <w:rPr>
          <w:noProof/>
        </w:rPr>
        <w:fldChar w:fldCharType="end"/>
      </w:r>
      <w:r w:rsidR="00283CFF">
        <w:rPr>
          <w:noProof/>
        </w:rPr>
        <w:t>:</w:t>
      </w:r>
      <w:r>
        <w:t xml:space="preserve"> </w:t>
      </w:r>
      <w:r w:rsidRPr="001A3416">
        <w:t>Informace o investicích a nemovitostech</w:t>
      </w:r>
      <w:bookmarkEnd w:id="965"/>
      <w:bookmarkEnd w:id="966"/>
      <w:bookmarkEnd w:id="967"/>
      <w:bookmarkEnd w:id="968"/>
    </w:p>
    <w:p w14:paraId="49F9BA9F" w14:textId="77777777" w:rsidR="006B5B80" w:rsidRPr="001A3416" w:rsidRDefault="006B5B80" w:rsidP="006B5B80">
      <w:pPr>
        <w:rPr>
          <w:rFonts w:cstheme="minorHAnsi"/>
        </w:rPr>
      </w:pPr>
      <w:r w:rsidRPr="001A3416">
        <w:rPr>
          <w:rFonts w:cstheme="minorHAnsi"/>
          <w:noProof/>
          <w:lang w:eastAsia="cs-CZ"/>
        </w:rPr>
        <w:drawing>
          <wp:inline distT="0" distB="0" distL="0" distR="0" wp14:anchorId="296ED1C3" wp14:editId="1B71F065">
            <wp:extent cx="5773420" cy="3627120"/>
            <wp:effectExtent l="0" t="0" r="0" b="0"/>
            <wp:docPr id="380" name="Obráze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73420" cy="3627120"/>
                    </a:xfrm>
                    <a:prstGeom prst="rect">
                      <a:avLst/>
                    </a:prstGeom>
                    <a:noFill/>
                  </pic:spPr>
                </pic:pic>
              </a:graphicData>
            </a:graphic>
          </wp:inline>
        </w:drawing>
      </w:r>
    </w:p>
    <w:p w14:paraId="0C794D64" w14:textId="04B2FB50" w:rsidR="006B5B80" w:rsidRPr="001A3416" w:rsidRDefault="006B5B80" w:rsidP="006B5B80">
      <w:pPr>
        <w:pStyle w:val="zdroj0"/>
      </w:pPr>
      <w:r w:rsidRPr="001A3416">
        <w:t>Zdroj: PROCES, Průzkum podnikatelského prostředí města Zlína, 2020</w:t>
      </w:r>
      <w:r w:rsidR="00283CFF">
        <w:t>;</w:t>
      </w:r>
      <w:r>
        <w:t xml:space="preserve"> Otázka č. 16: </w:t>
      </w:r>
      <w:r w:rsidRPr="00AE6CD5">
        <w:t>Nemovitosti a investice</w:t>
      </w:r>
    </w:p>
    <w:p w14:paraId="249AB0D3" w14:textId="2297A1B7" w:rsidR="006B5B80" w:rsidRPr="001A3416" w:rsidRDefault="006B5B80" w:rsidP="006B5B80">
      <w:pPr>
        <w:rPr>
          <w:rFonts w:cstheme="minorHAnsi"/>
        </w:rPr>
      </w:pPr>
      <w:r w:rsidRPr="001A3416">
        <w:rPr>
          <w:rFonts w:cstheme="minorHAnsi"/>
        </w:rPr>
        <w:t xml:space="preserve">Pro rozšíření svých podnikatelských aktivit potřebuje další nemovitosti 27,5 % respondentů a dalších 10 % respondentů o rozšíření uvažuje (viz graf v obrázku </w:t>
      </w:r>
      <w:r w:rsidR="005302C0">
        <w:rPr>
          <w:rFonts w:cstheme="minorHAnsi"/>
        </w:rPr>
        <w:t>2.3</w:t>
      </w:r>
      <w:r w:rsidR="0066067B">
        <w:rPr>
          <w:rFonts w:cstheme="minorHAnsi"/>
        </w:rPr>
        <w:t>6</w:t>
      </w:r>
      <w:r w:rsidRPr="001A3416">
        <w:rPr>
          <w:rFonts w:cstheme="minorHAnsi"/>
        </w:rPr>
        <w:t xml:space="preserve">). Celkem 38,7 % respondentů ze skupiny </w:t>
      </w:r>
      <w:r>
        <w:t>středních a velkých</w:t>
      </w:r>
      <w:r w:rsidRPr="001A3416">
        <w:rPr>
          <w:rFonts w:cstheme="minorHAnsi"/>
        </w:rPr>
        <w:t xml:space="preserve"> firem (15 firem) potřebuje k rozšíření výrobní nemovitosti a 35,5 % (12 firem) pozemek pro výstavbu. Z řad malých firem potřebuje 21,4 % z nich (3 firmy) pro své rozšíření výrobní nemovitosti. Graf na obrázku</w:t>
      </w:r>
      <w:r w:rsidR="0066067B">
        <w:rPr>
          <w:rFonts w:cstheme="minorHAnsi"/>
        </w:rPr>
        <w:t xml:space="preserve"> 2.37</w:t>
      </w:r>
      <w:r w:rsidRPr="001A3416">
        <w:rPr>
          <w:rFonts w:cstheme="minorHAnsi"/>
        </w:rPr>
        <w:t xml:space="preserve"> reflektuje potřeby podnikatelských subjektů na nemovitosti či pozemky.</w:t>
      </w:r>
    </w:p>
    <w:p w14:paraId="5D7E4AAB" w14:textId="6B2F7978" w:rsidR="006B5B80" w:rsidRPr="001A3416" w:rsidRDefault="006B5B80" w:rsidP="006B5B80">
      <w:pPr>
        <w:pStyle w:val="Titulek"/>
        <w:rPr>
          <w:rFonts w:cstheme="minorHAnsi"/>
          <w:sz w:val="22"/>
          <w:szCs w:val="22"/>
        </w:rPr>
      </w:pPr>
      <w:bookmarkStart w:id="969" w:name="_Toc50449019"/>
      <w:bookmarkStart w:id="970" w:name="_Toc54702810"/>
      <w:bookmarkStart w:id="971" w:name="_Toc56179616"/>
      <w:bookmarkStart w:id="972" w:name="_Toc77074958"/>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37</w:t>
      </w:r>
      <w:r w:rsidR="00804AF3">
        <w:rPr>
          <w:noProof/>
        </w:rPr>
        <w:fldChar w:fldCharType="end"/>
      </w:r>
      <w:r w:rsidR="00283CFF">
        <w:rPr>
          <w:noProof/>
        </w:rPr>
        <w:t>:</w:t>
      </w:r>
      <w:r w:rsidRPr="001A3416">
        <w:t xml:space="preserve"> Přehled potřebných nemovitostí a pozemků</w:t>
      </w:r>
      <w:bookmarkEnd w:id="969"/>
      <w:bookmarkEnd w:id="970"/>
      <w:bookmarkEnd w:id="971"/>
      <w:bookmarkEnd w:id="972"/>
    </w:p>
    <w:p w14:paraId="51036EEB" w14:textId="795DAAEF" w:rsidR="006B5B80" w:rsidRPr="001A3416" w:rsidRDefault="006B5B80" w:rsidP="006B5B80">
      <w:pPr>
        <w:pStyle w:val="Zdroj"/>
      </w:pPr>
      <w:r>
        <w:rPr>
          <w:noProof/>
        </w:rPr>
        <w:drawing>
          <wp:inline distT="0" distB="0" distL="0" distR="0" wp14:anchorId="7D202243" wp14:editId="54CF60CB">
            <wp:extent cx="5773420" cy="2109470"/>
            <wp:effectExtent l="0" t="0" r="0" b="508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73420" cy="2109470"/>
                    </a:xfrm>
                    <a:prstGeom prst="rect">
                      <a:avLst/>
                    </a:prstGeom>
                    <a:noFill/>
                  </pic:spPr>
                </pic:pic>
              </a:graphicData>
            </a:graphic>
          </wp:inline>
        </w:drawing>
      </w:r>
      <w:r w:rsidRPr="001A3416">
        <w:t>Zdroj: PROCES, Průzkum podnikatelského prostředí města Zlína, 2020</w:t>
      </w:r>
      <w:r w:rsidR="00283CFF">
        <w:t xml:space="preserve">; </w:t>
      </w:r>
      <w:r>
        <w:t xml:space="preserve">Otázka č. 17: </w:t>
      </w:r>
      <w:r w:rsidRPr="00AE6CD5">
        <w:t>Pokud zvažujete expanzi v následujících letech a máte potřebu nalezení vhodné nemovitosti či pozemku, o jakou nemovitost se jedná?</w:t>
      </w:r>
    </w:p>
    <w:p w14:paraId="0BC2FD53" w14:textId="29BBD87C" w:rsidR="006B5B80" w:rsidRPr="001A3416" w:rsidRDefault="006B5B80" w:rsidP="006B5B80">
      <w:r w:rsidRPr="001A3416">
        <w:t xml:space="preserve">Většina z respondentů vlastní podnikatelské nemovitosti (87,1 % zástupců </w:t>
      </w:r>
      <w:r>
        <w:t>středních a velkých</w:t>
      </w:r>
      <w:r w:rsidRPr="001A3416">
        <w:t xml:space="preserve"> firem a</w:t>
      </w:r>
      <w:r w:rsidR="00283CFF">
        <w:t> </w:t>
      </w:r>
      <w:r w:rsidRPr="001A3416">
        <w:t xml:space="preserve">58,3 % zástupců malých firem). Graf na obrázku </w:t>
      </w:r>
      <w:r w:rsidR="005302C0">
        <w:t>2.3</w:t>
      </w:r>
      <w:r w:rsidR="0066067B">
        <w:t>8</w:t>
      </w:r>
      <w:r w:rsidRPr="001A3416">
        <w:t xml:space="preserve"> zobrazuje záměr firem prodat/pronajmout vlastněnou podnikatelskou nemovitost. Procentuálně jsou vyjádřeny pouze záměry firem, které vlastní podnikatelskou nemovitost a na otázku ohledně pronájmu či prodeje odpověděli ano nebo ne. V otázce prodeje se vyjádřilo 6 </w:t>
      </w:r>
      <w:r>
        <w:t>středních a velkých</w:t>
      </w:r>
      <w:r w:rsidRPr="001A3416">
        <w:t xml:space="preserve"> a 3 malé firmy a v otázce pronájmu 11 </w:t>
      </w:r>
      <w:r>
        <w:t>středních a velkých</w:t>
      </w:r>
      <w:r w:rsidRPr="001A3416">
        <w:t xml:space="preserve"> a</w:t>
      </w:r>
      <w:r w:rsidR="00283CFF">
        <w:t> </w:t>
      </w:r>
      <w:r w:rsidRPr="001A3416">
        <w:t xml:space="preserve">2 malé firmy. Ve zkoumaném vzorku jsou tedy z řad </w:t>
      </w:r>
      <w:r>
        <w:t>středních a velkých</w:t>
      </w:r>
      <w:r w:rsidRPr="001A3416">
        <w:t xml:space="preserve"> firem celkem 3 firmy, které se chystají nemovitost prodat a 9 </w:t>
      </w:r>
      <w:r>
        <w:t>středních a velkých</w:t>
      </w:r>
      <w:r w:rsidRPr="001A3416">
        <w:t xml:space="preserve"> firem má v plánu nemovitost pronajmout. Z</w:t>
      </w:r>
      <w:r w:rsidR="00283CFF">
        <w:t> </w:t>
      </w:r>
      <w:r w:rsidRPr="001A3416">
        <w:t>řad malých firem se chystá jedna nemovitost prodat a jedna nemovitost pronajmout.</w:t>
      </w:r>
    </w:p>
    <w:p w14:paraId="527D055C" w14:textId="77777777" w:rsidR="006B5B80" w:rsidRPr="001A3416" w:rsidRDefault="006B5B80" w:rsidP="006B5B80">
      <w:r w:rsidRPr="001A3416">
        <w:t>Z průzkumu podnikatelského prostředí z roku 2006 vyplynulo, že se tehdy chystalo svou nemovitost prodat či pronajmout 16 firem.</w:t>
      </w:r>
    </w:p>
    <w:p w14:paraId="21437AB5" w14:textId="69AD2AF0" w:rsidR="006B5B80" w:rsidRPr="001A3416" w:rsidRDefault="006B5B80" w:rsidP="006B5B80">
      <w:pPr>
        <w:pStyle w:val="Titulek"/>
        <w:keepNext/>
        <w:keepLines/>
        <w:rPr>
          <w:rFonts w:cstheme="minorHAnsi"/>
          <w:sz w:val="22"/>
          <w:szCs w:val="22"/>
        </w:rPr>
      </w:pPr>
      <w:bookmarkStart w:id="973" w:name="_Toc50449020"/>
      <w:bookmarkStart w:id="974" w:name="_Toc54702811"/>
      <w:bookmarkStart w:id="975" w:name="_Toc56179617"/>
      <w:bookmarkStart w:id="976" w:name="_Toc77074959"/>
      <w:r w:rsidRPr="001A3416">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38</w:t>
      </w:r>
      <w:r w:rsidR="00804AF3">
        <w:rPr>
          <w:noProof/>
        </w:rPr>
        <w:fldChar w:fldCharType="end"/>
      </w:r>
      <w:r w:rsidR="00283CFF">
        <w:t xml:space="preserve">: </w:t>
      </w:r>
      <w:r w:rsidRPr="001A3416">
        <w:t>Záměr firem prodat/pronajmout podnikatelskou nemovitost</w:t>
      </w:r>
      <w:bookmarkEnd w:id="973"/>
      <w:bookmarkEnd w:id="974"/>
      <w:bookmarkEnd w:id="975"/>
      <w:bookmarkEnd w:id="976"/>
    </w:p>
    <w:tbl>
      <w:tblPr>
        <w:tblStyle w:val="Mkatabulky"/>
        <w:tblW w:w="95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744"/>
        <w:gridCol w:w="4776"/>
      </w:tblGrid>
      <w:tr w:rsidR="006B5B80" w:rsidRPr="001A3416" w14:paraId="422ECA59" w14:textId="77777777" w:rsidTr="000C49A5">
        <w:trPr>
          <w:trHeight w:val="2650"/>
        </w:trPr>
        <w:tc>
          <w:tcPr>
            <w:tcW w:w="4744" w:type="dxa"/>
          </w:tcPr>
          <w:p w14:paraId="34C734E4" w14:textId="77777777" w:rsidR="006B5B80" w:rsidRPr="001A3416" w:rsidRDefault="006B5B80" w:rsidP="000C49A5">
            <w:r>
              <w:rPr>
                <w:noProof/>
                <w:lang w:eastAsia="cs-CZ"/>
              </w:rPr>
              <w:drawing>
                <wp:inline distT="0" distB="0" distL="0" distR="0" wp14:anchorId="32C140B6" wp14:editId="41A7E671">
                  <wp:extent cx="2880000" cy="1971675"/>
                  <wp:effectExtent l="0" t="0" r="15875" b="9525"/>
                  <wp:docPr id="381" name="Graf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tc>
        <w:tc>
          <w:tcPr>
            <w:tcW w:w="4776" w:type="dxa"/>
          </w:tcPr>
          <w:p w14:paraId="5944DF13" w14:textId="77777777" w:rsidR="006B5B80" w:rsidRPr="001A3416" w:rsidRDefault="006B5B80" w:rsidP="000C49A5">
            <w:r>
              <w:rPr>
                <w:noProof/>
                <w:lang w:eastAsia="cs-CZ"/>
              </w:rPr>
              <w:drawing>
                <wp:inline distT="0" distB="0" distL="0" distR="0" wp14:anchorId="30B68A12" wp14:editId="6140552A">
                  <wp:extent cx="2880000" cy="1971675"/>
                  <wp:effectExtent l="0" t="0" r="15875" b="9525"/>
                  <wp:docPr id="382" name="Graf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tc>
      </w:tr>
    </w:tbl>
    <w:p w14:paraId="18158822" w14:textId="47F05E8A" w:rsidR="006B5B80" w:rsidRPr="001A3416" w:rsidRDefault="006B5B80" w:rsidP="006B5B80">
      <w:pPr>
        <w:pStyle w:val="zdroj0"/>
      </w:pPr>
      <w:r w:rsidRPr="001A3416">
        <w:t>Zdroj: PROCES, Průzkum podnikatelského prostředí města Zlína, 2020</w:t>
      </w:r>
      <w:r w:rsidR="00283CFF">
        <w:t>;</w:t>
      </w:r>
      <w:r>
        <w:t xml:space="preserve"> Otázka č. 18:  </w:t>
      </w:r>
      <w:r w:rsidRPr="00AE6CD5">
        <w:t>Pokud jste vlastníky nějaké podnikatelské nemovitosti, chystáte se tuto nemovitost:</w:t>
      </w:r>
    </w:p>
    <w:p w14:paraId="0D1444FD" w14:textId="77777777" w:rsidR="006B5B80" w:rsidRPr="001A3416" w:rsidRDefault="006B5B80" w:rsidP="006B5B80">
      <w:r w:rsidRPr="001A3416">
        <w:t>Oddělení výzkumu a/nebo vývoje má ve svém podniku 13</w:t>
      </w:r>
      <w:r>
        <w:t xml:space="preserve"> respondentů z řad středních a velkých</w:t>
      </w:r>
      <w:r w:rsidRPr="001A3416">
        <w:t xml:space="preserve"> firem, 2 respondenti z řad malých firem. Další dvě malé firmy o zřízení oddělení výzkumu a/nebo vývoje uvažují.</w:t>
      </w:r>
    </w:p>
    <w:p w14:paraId="5DA76012" w14:textId="77777777" w:rsidR="006B5B80" w:rsidRPr="001A3416" w:rsidRDefault="006B5B80" w:rsidP="006B5B80">
      <w:pPr>
        <w:rPr>
          <w:rFonts w:cstheme="minorHAnsi"/>
        </w:rPr>
      </w:pPr>
      <w:r w:rsidRPr="001A3416">
        <w:rPr>
          <w:rFonts w:cstheme="minorHAnsi"/>
        </w:rPr>
        <w:t xml:space="preserve">Investovat do výstavby v rámci svého podniku plánuje 71,4 % (převážně mají tento plán nebo tuto možnost zvažují spíše </w:t>
      </w:r>
      <w:r>
        <w:t>střední a velké</w:t>
      </w:r>
      <w:r w:rsidRPr="001A3416">
        <w:rPr>
          <w:rFonts w:cstheme="minorHAnsi"/>
        </w:rPr>
        <w:t xml:space="preserve"> firmy). Většina respondentů se také shodla na tom, že bude investovat do zvýšení efektivity a kvality výroby/služeb. Celkem 57,5 % všech respondentů je připraveno ucházet se o spolufinancování rozvoje svého podniku z prostředků EU a 17,5 % tuto možnost zvažuje. Jedná se spíše o zástupce </w:t>
      </w:r>
      <w:r>
        <w:t>středních a velkých</w:t>
      </w:r>
      <w:r w:rsidRPr="001A3416">
        <w:rPr>
          <w:rFonts w:cstheme="minorHAnsi"/>
        </w:rPr>
        <w:t xml:space="preserve"> firem. </w:t>
      </w:r>
    </w:p>
    <w:p w14:paraId="791D7B49" w14:textId="77777777" w:rsidR="006B5B80" w:rsidRPr="001A3416" w:rsidRDefault="006B5B80" w:rsidP="006B5B80">
      <w:pPr>
        <w:pStyle w:val="Nadpis4"/>
      </w:pPr>
      <w:bookmarkStart w:id="977" w:name="_Toc50449112"/>
      <w:r w:rsidRPr="001A3416">
        <w:t>Pracovní síla</w:t>
      </w:r>
      <w:bookmarkEnd w:id="977"/>
    </w:p>
    <w:p w14:paraId="7B0F9D2C" w14:textId="77777777" w:rsidR="006B5B80" w:rsidRPr="001A3416" w:rsidRDefault="006B5B80" w:rsidP="006B5B80">
      <w:r>
        <w:t xml:space="preserve">Na uzavřenou otázku ohledně úspěšnosti obsazenosti pracovních pozic odpovědělo všech 45 firem. </w:t>
      </w:r>
      <w:r w:rsidRPr="001A3416">
        <w:t xml:space="preserve">Situace s úspěšností obsazování pracovních firem je dle průzkumu méně přívětivá pro </w:t>
      </w:r>
      <w:r>
        <w:t>střední a velké</w:t>
      </w:r>
      <w:r w:rsidRPr="001A3416">
        <w:t xml:space="preserve"> firmy. V rámci průzkumu se 24 firem (77,4 %) vyjádřilo, že se jim dlouhodobě všechny pracovní pozice obsazovat nedaří. Malé firmy jsou na tom o něco lépe. Celkem 10 firem ze 14 zhodnotilo, že se jim pracovní pozice obsazovat daří.</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296"/>
      </w:tblGrid>
      <w:tr w:rsidR="006B5B80" w:rsidRPr="001A3416" w14:paraId="3934F407" w14:textId="77777777" w:rsidTr="000C49A5">
        <w:tc>
          <w:tcPr>
            <w:tcW w:w="4776" w:type="dxa"/>
          </w:tcPr>
          <w:p w14:paraId="755AFDF9" w14:textId="77777777" w:rsidR="00332A29" w:rsidRPr="00332A29" w:rsidRDefault="006B5B80" w:rsidP="00332A29">
            <w:pPr>
              <w:pStyle w:val="Titulek"/>
              <w:keepNext/>
              <w:keepLines/>
              <w:ind w:left="-108"/>
            </w:pPr>
            <w:bookmarkStart w:id="978" w:name="_Toc77074960"/>
            <w:bookmarkStart w:id="979" w:name="_Toc50449021"/>
            <w:bookmarkStart w:id="980" w:name="_Toc54702812"/>
            <w:bookmarkStart w:id="981" w:name="_Toc56179618"/>
            <w:r w:rsidRPr="00332A29">
              <w:t xml:space="preserve">Obrázek </w:t>
            </w:r>
            <w:r w:rsidR="001277CE">
              <w:fldChar w:fldCharType="begin"/>
            </w:r>
            <w:r w:rsidR="001277CE">
              <w:instrText xml:space="preserve"> STYLEREF 1 \s </w:instrText>
            </w:r>
            <w:r w:rsidR="001277CE">
              <w:fldChar w:fldCharType="separate"/>
            </w:r>
            <w:r w:rsidR="00332A29">
              <w:rPr>
                <w:noProof/>
              </w:rPr>
              <w:t>2</w:t>
            </w:r>
            <w:r w:rsidR="001277CE">
              <w:rPr>
                <w:noProof/>
              </w:rPr>
              <w:fldChar w:fldCharType="end"/>
            </w:r>
            <w:r w:rsidR="0096730F" w:rsidRPr="00332A29">
              <w:t>.</w:t>
            </w:r>
            <w:r w:rsidR="00183F7E">
              <w:fldChar w:fldCharType="begin"/>
            </w:r>
            <w:r w:rsidR="00183F7E">
              <w:instrText xml:space="preserve"> SEQ Obrázek \* ARABIC \s 1 </w:instrText>
            </w:r>
            <w:r w:rsidR="00183F7E">
              <w:fldChar w:fldCharType="separate"/>
            </w:r>
            <w:r w:rsidR="00332A29">
              <w:rPr>
                <w:noProof/>
              </w:rPr>
              <w:t>39</w:t>
            </w:r>
            <w:r w:rsidR="00183F7E">
              <w:rPr>
                <w:noProof/>
              </w:rPr>
              <w:fldChar w:fldCharType="end"/>
            </w:r>
            <w:r w:rsidR="00283CFF" w:rsidRPr="00332A29">
              <w:t>:</w:t>
            </w:r>
            <w:r w:rsidRPr="00332A29">
              <w:t xml:space="preserve"> Přehled, zda se firmám dlouhodobě daří obsazovat veškeré pracovní pozice</w:t>
            </w:r>
            <w:bookmarkEnd w:id="978"/>
          </w:p>
          <w:p w14:paraId="210D925A" w14:textId="3ECE26B4" w:rsidR="006B5B80" w:rsidRPr="001A3416" w:rsidRDefault="006B5B80" w:rsidP="000C49A5">
            <w:pPr>
              <w:ind w:left="-108"/>
              <w:jc w:val="left"/>
              <w:rPr>
                <w:noProof/>
              </w:rPr>
            </w:pPr>
            <w:r>
              <w:rPr>
                <w:noProof/>
                <w:lang w:eastAsia="cs-CZ"/>
              </w:rPr>
              <w:drawing>
                <wp:inline distT="0" distB="0" distL="0" distR="0" wp14:anchorId="3353E3BC" wp14:editId="34548501">
                  <wp:extent cx="2895600" cy="1987550"/>
                  <wp:effectExtent l="0" t="0" r="0" b="0"/>
                  <wp:docPr id="383" name="Obráze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95600" cy="1987550"/>
                          </a:xfrm>
                          <a:prstGeom prst="rect">
                            <a:avLst/>
                          </a:prstGeom>
                          <a:noFill/>
                        </pic:spPr>
                      </pic:pic>
                    </a:graphicData>
                  </a:graphic>
                </wp:inline>
              </w:drawing>
            </w:r>
            <w:bookmarkEnd w:id="979"/>
            <w:bookmarkEnd w:id="980"/>
            <w:bookmarkEnd w:id="981"/>
          </w:p>
          <w:p w14:paraId="20B459CB" w14:textId="6CC436F9" w:rsidR="006B5B80" w:rsidRPr="001A3416" w:rsidRDefault="006B5B80" w:rsidP="000C49A5">
            <w:pPr>
              <w:pStyle w:val="zdroj0"/>
            </w:pPr>
            <w:r w:rsidRPr="001A3416">
              <w:t>Zdroj: PROCES, Průzkum podnikatelského prostředí města Zlína, 2020</w:t>
            </w:r>
            <w:r w:rsidR="00283CFF">
              <w:t>;</w:t>
            </w:r>
            <w:r>
              <w:t xml:space="preserve"> Otázka č. 19: </w:t>
            </w:r>
            <w:r w:rsidRPr="00EC000F">
              <w:t>Daří se Vám dlouhodobě obsazovat všechny pracovní pozice?</w:t>
            </w:r>
          </w:p>
        </w:tc>
        <w:tc>
          <w:tcPr>
            <w:tcW w:w="4296" w:type="dxa"/>
          </w:tcPr>
          <w:p w14:paraId="41E58515" w14:textId="77777777" w:rsidR="006B5B80" w:rsidRPr="001A3416" w:rsidRDefault="006B5B80" w:rsidP="000C49A5"/>
          <w:p w14:paraId="1D2F4348" w14:textId="46E5FF27" w:rsidR="006B5B80" w:rsidRPr="001A3416" w:rsidRDefault="006B5B80" w:rsidP="00283CFF">
            <w:r w:rsidRPr="001A3416">
              <w:t>Firmy nejvíce dlouhodobě postrádají technické a dělnické profese, konkrétně pak strojaře, strojní konstruktéry, obsluhu CNC strojů, zámečníky, IT pracovníky, obráběče (strojů, kovů), odborníky na automatizaci a</w:t>
            </w:r>
            <w:r w:rsidR="00283CFF">
              <w:t> </w:t>
            </w:r>
            <w:r w:rsidRPr="001A3416">
              <w:t>robotizaci, programátory, průmyslové inženýry, technology zpracování plastů, tesaře a</w:t>
            </w:r>
            <w:r w:rsidR="00283CFF">
              <w:t> </w:t>
            </w:r>
            <w:r w:rsidRPr="001A3416">
              <w:t xml:space="preserve">zedníky. Kompletní výčet profesí, které firmy dlouhodobě postrádají je uveden v příloze. Firmy se také vyjadřovaly, že jim chybí </w:t>
            </w:r>
            <w:r>
              <w:t xml:space="preserve">kvalifikovaní </w:t>
            </w:r>
            <w:r w:rsidRPr="001A3416">
              <w:t>odborníci v daných profesích.</w:t>
            </w:r>
          </w:p>
        </w:tc>
      </w:tr>
    </w:tbl>
    <w:p w14:paraId="3F828656" w14:textId="0E5EE721" w:rsidR="006B5B80" w:rsidRPr="001A3416" w:rsidRDefault="006B5B80" w:rsidP="006B5B80">
      <w:r>
        <w:t xml:space="preserve">Na uzavřenou otázku, která se týkala budoucího plánu ohledně zaměstnanců, odpovědělo 43 firem (31 středních a velkých firem a 12 malých firem). </w:t>
      </w:r>
      <w:r w:rsidRPr="001A3416">
        <w:t>Vzhledem k nastávající ekonomické recesi mají firmy v plánu hlavně udržet stabilní stav zaměstnanců (32,3 % z</w:t>
      </w:r>
      <w:r w:rsidR="00283CFF">
        <w:t>e</w:t>
      </w:r>
      <w:r w:rsidRPr="001A3416">
        <w:t> </w:t>
      </w:r>
      <w:r>
        <w:t>středních a velkých</w:t>
      </w:r>
      <w:r w:rsidRPr="001A3416">
        <w:t xml:space="preserve"> firem a 57,1 % z malých firem). Plán přijímat nové zaměstnance má 22,2 % respondentů (25,8 % </w:t>
      </w:r>
      <w:r>
        <w:t>středních a velkých</w:t>
      </w:r>
      <w:r w:rsidRPr="001A3416">
        <w:t xml:space="preserve"> firem a</w:t>
      </w:r>
      <w:r w:rsidR="00283CFF">
        <w:t> </w:t>
      </w:r>
      <w:r w:rsidRPr="001A3416">
        <w:t xml:space="preserve">14,3 % malých firem). Vzhledem k nejasnému vývoji v následujících letech se 28,9 % podnikatelských subjektů v průzkumu vyjádřilo, že vývoj zaměstnanců v současné době nemohou posoudit. Propouštět zaměstnance hodlají pouze 2 podniky z řad </w:t>
      </w:r>
      <w:r>
        <w:t>středních a velkých</w:t>
      </w:r>
      <w:r w:rsidRPr="00440BAC">
        <w:t xml:space="preserve"> </w:t>
      </w:r>
      <w:r w:rsidRPr="001A3416">
        <w:t>firem.</w:t>
      </w:r>
    </w:p>
    <w:p w14:paraId="0D686A43" w14:textId="3E80A655" w:rsidR="006B5B80" w:rsidRPr="00332A29" w:rsidRDefault="006B5B80" w:rsidP="00332A29">
      <w:pPr>
        <w:pStyle w:val="Titulek"/>
        <w:keepNext/>
        <w:keepLines/>
      </w:pPr>
      <w:bookmarkStart w:id="982" w:name="_Toc50449022"/>
      <w:bookmarkStart w:id="983" w:name="_Toc54702813"/>
      <w:bookmarkStart w:id="984" w:name="_Toc56179619"/>
      <w:bookmarkStart w:id="985" w:name="_Toc77074961"/>
      <w:r w:rsidRPr="00332A29">
        <w:t xml:space="preserve">Obrázek </w:t>
      </w:r>
      <w:r w:rsidR="001277CE">
        <w:fldChar w:fldCharType="begin"/>
      </w:r>
      <w:r w:rsidR="001277CE">
        <w:instrText xml:space="preserve"> STYLEREF 1 \s </w:instrText>
      </w:r>
      <w:r w:rsidR="001277CE">
        <w:fldChar w:fldCharType="separate"/>
      </w:r>
      <w:r w:rsidR="00332A29">
        <w:rPr>
          <w:noProof/>
        </w:rPr>
        <w:t>2</w:t>
      </w:r>
      <w:r w:rsidR="001277CE">
        <w:rPr>
          <w:noProof/>
        </w:rPr>
        <w:fldChar w:fldCharType="end"/>
      </w:r>
      <w:r w:rsidR="0096730F" w:rsidRPr="00332A29">
        <w:t>.</w:t>
      </w:r>
      <w:r w:rsidR="00183F7E">
        <w:fldChar w:fldCharType="begin"/>
      </w:r>
      <w:r w:rsidR="00183F7E">
        <w:instrText xml:space="preserve"> SEQ Obrázek \* ARABIC \s 1 </w:instrText>
      </w:r>
      <w:r w:rsidR="00183F7E">
        <w:fldChar w:fldCharType="separate"/>
      </w:r>
      <w:r w:rsidR="00332A29">
        <w:rPr>
          <w:noProof/>
        </w:rPr>
        <w:t>40</w:t>
      </w:r>
      <w:r w:rsidR="00183F7E">
        <w:rPr>
          <w:noProof/>
        </w:rPr>
        <w:fldChar w:fldCharType="end"/>
      </w:r>
      <w:r w:rsidR="00283CFF" w:rsidRPr="00332A29">
        <w:t>:</w:t>
      </w:r>
      <w:r w:rsidRPr="00332A29">
        <w:t xml:space="preserve"> Přehled plánů firem ohledně zaměstnanců</w:t>
      </w:r>
      <w:bookmarkEnd w:id="982"/>
      <w:bookmarkEnd w:id="983"/>
      <w:bookmarkEnd w:id="984"/>
      <w:bookmarkEnd w:id="985"/>
    </w:p>
    <w:p w14:paraId="79C137B8" w14:textId="043783CA" w:rsidR="006B5B80" w:rsidRPr="001A3416" w:rsidRDefault="006B5B80" w:rsidP="006B5B80">
      <w:pPr>
        <w:pStyle w:val="Zdroj"/>
      </w:pPr>
      <w:r>
        <w:rPr>
          <w:noProof/>
        </w:rPr>
        <w:drawing>
          <wp:inline distT="0" distB="0" distL="0" distR="0" wp14:anchorId="297F4BCF" wp14:editId="138C12E1">
            <wp:extent cx="5773420" cy="2109470"/>
            <wp:effectExtent l="0" t="0" r="0" b="508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73420" cy="2109470"/>
                    </a:xfrm>
                    <a:prstGeom prst="rect">
                      <a:avLst/>
                    </a:prstGeom>
                    <a:noFill/>
                  </pic:spPr>
                </pic:pic>
              </a:graphicData>
            </a:graphic>
          </wp:inline>
        </w:drawing>
      </w:r>
      <w:r w:rsidRPr="001A3416">
        <w:t xml:space="preserve"> Zdroj: PROCES, Průzkum podnikatelského prostředí města Zlína, 2020</w:t>
      </w:r>
      <w:r w:rsidR="00283CFF">
        <w:t>;</w:t>
      </w:r>
      <w:r>
        <w:t xml:space="preserve"> Otázka č. 20:</w:t>
      </w:r>
      <w:r w:rsidRPr="00DC36A1">
        <w:t xml:space="preserve"> Předpokládáte, že budete v nejbližší budoucnosti:</w:t>
      </w:r>
    </w:p>
    <w:p w14:paraId="04839492" w14:textId="04C10EC6" w:rsidR="006B5B80" w:rsidRPr="001A3416" w:rsidRDefault="006B5B80" w:rsidP="006B5B80">
      <w:r w:rsidRPr="001A3416">
        <w:t>Firmy, které plánují v</w:t>
      </w:r>
      <w:r>
        <w:t> následujícím roce</w:t>
      </w:r>
      <w:r w:rsidRPr="001A3416">
        <w:t xml:space="preserve"> přijímat nové zaměstnance, by mohly ve městě nabídnout cca 210 nových pracovních míst (viz tabulka</w:t>
      </w:r>
      <w:r w:rsidR="0096730F">
        <w:t xml:space="preserve"> 2.44</w:t>
      </w:r>
      <w:r w:rsidRPr="001A3416">
        <w:t xml:space="preserve">). </w:t>
      </w:r>
      <w:r>
        <w:t xml:space="preserve">Na otevřenou otázku odpovědělo celkem 19 firem. </w:t>
      </w:r>
      <w:r w:rsidRPr="001A3416">
        <w:t>P</w:t>
      </w:r>
      <w:r>
        <w:t>řevážně se jedná o záměr středních a velkých</w:t>
      </w:r>
      <w:r w:rsidRPr="001A3416">
        <w:t xml:space="preserve"> firem</w:t>
      </w:r>
      <w:r>
        <w:t xml:space="preserve">, které podnikají v odvětví zpracovatelský průmysl, </w:t>
      </w:r>
      <w:r w:rsidRPr="00932561">
        <w:rPr>
          <w:rFonts w:ascii="Calibri" w:eastAsia="Times New Roman" w:hAnsi="Calibri" w:cs="Calibri"/>
          <w:lang w:eastAsia="cs-CZ"/>
        </w:rPr>
        <w:t>doprava, skladování a spoje</w:t>
      </w:r>
      <w:r>
        <w:t xml:space="preserve"> a </w:t>
      </w:r>
      <w:r w:rsidRPr="00932561">
        <w:rPr>
          <w:rFonts w:ascii="Calibri" w:eastAsia="Times New Roman" w:hAnsi="Calibri" w:cs="Calibri"/>
          <w:lang w:eastAsia="cs-CZ"/>
        </w:rPr>
        <w:t>zdrav. a sociální péče, veterinární činnost</w:t>
      </w:r>
      <w:r w:rsidRPr="001A3416">
        <w:t xml:space="preserve">. </w:t>
      </w:r>
    </w:p>
    <w:p w14:paraId="46E748EE" w14:textId="3E3A86C0" w:rsidR="006B5B80" w:rsidRPr="001A3416" w:rsidRDefault="006B5B80" w:rsidP="006B5B80">
      <w:pPr>
        <w:pStyle w:val="Titulek"/>
      </w:pPr>
      <w:bookmarkStart w:id="986" w:name="_Toc49152895"/>
      <w:bookmarkStart w:id="987" w:name="_Toc54702658"/>
      <w:bookmarkStart w:id="988" w:name="_Toc56179465"/>
      <w:bookmarkStart w:id="989" w:name="_Toc57731823"/>
      <w:bookmarkStart w:id="990" w:name="_Toc77074807"/>
      <w:r w:rsidRPr="001A3416">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44</w:t>
      </w:r>
      <w:r w:rsidR="00081B47">
        <w:rPr>
          <w:noProof/>
        </w:rPr>
        <w:fldChar w:fldCharType="end"/>
      </w:r>
      <w:r w:rsidR="00283CFF">
        <w:rPr>
          <w:noProof/>
        </w:rPr>
        <w:t>:</w:t>
      </w:r>
      <w:r w:rsidRPr="001A3416">
        <w:t xml:space="preserve"> Průměrný počet nově přijímaných zaměstnanců</w:t>
      </w:r>
      <w:bookmarkEnd w:id="986"/>
      <w:bookmarkEnd w:id="987"/>
      <w:bookmarkEnd w:id="988"/>
      <w:bookmarkEnd w:id="989"/>
      <w:bookmarkEnd w:id="990"/>
    </w:p>
    <w:tbl>
      <w:tblPr>
        <w:tblW w:w="7881" w:type="dxa"/>
        <w:tblCellMar>
          <w:left w:w="70" w:type="dxa"/>
          <w:right w:w="70" w:type="dxa"/>
        </w:tblCellMar>
        <w:tblLook w:val="04A0" w:firstRow="1" w:lastRow="0" w:firstColumn="1" w:lastColumn="0" w:noHBand="0" w:noVBand="1"/>
      </w:tblPr>
      <w:tblGrid>
        <w:gridCol w:w="4660"/>
        <w:gridCol w:w="960"/>
        <w:gridCol w:w="1321"/>
        <w:gridCol w:w="940"/>
      </w:tblGrid>
      <w:tr w:rsidR="006B5B80" w:rsidRPr="001A3416" w14:paraId="6CA3EC00" w14:textId="77777777" w:rsidTr="000C49A5">
        <w:trPr>
          <w:trHeight w:val="255"/>
        </w:trPr>
        <w:tc>
          <w:tcPr>
            <w:tcW w:w="466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1E5AC87" w14:textId="77777777" w:rsidR="006B5B80" w:rsidRPr="001A3416" w:rsidRDefault="006B5B80" w:rsidP="000C49A5">
            <w:pPr>
              <w:spacing w:before="0"/>
              <w:jc w:val="center"/>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 </w:t>
            </w:r>
          </w:p>
        </w:tc>
        <w:tc>
          <w:tcPr>
            <w:tcW w:w="3221"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53187741" w14:textId="77777777" w:rsidR="006B5B80" w:rsidRPr="001A3416" w:rsidRDefault="006B5B80" w:rsidP="000C49A5">
            <w:pPr>
              <w:spacing w:before="0"/>
              <w:jc w:val="center"/>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Podíl respondentů</w:t>
            </w:r>
          </w:p>
        </w:tc>
      </w:tr>
      <w:tr w:rsidR="006B5B80" w:rsidRPr="001A3416" w14:paraId="31EE69B2" w14:textId="77777777" w:rsidTr="000C49A5">
        <w:trPr>
          <w:trHeight w:val="480"/>
        </w:trPr>
        <w:tc>
          <w:tcPr>
            <w:tcW w:w="4660" w:type="dxa"/>
            <w:vMerge/>
            <w:tcBorders>
              <w:top w:val="single" w:sz="4" w:space="0" w:color="auto"/>
              <w:left w:val="single" w:sz="4" w:space="0" w:color="auto"/>
              <w:bottom w:val="single" w:sz="4" w:space="0" w:color="auto"/>
              <w:right w:val="single" w:sz="4" w:space="0" w:color="auto"/>
            </w:tcBorders>
            <w:vAlign w:val="center"/>
            <w:hideMark/>
          </w:tcPr>
          <w:p w14:paraId="67A1B1B6"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p>
        </w:tc>
        <w:tc>
          <w:tcPr>
            <w:tcW w:w="960" w:type="dxa"/>
            <w:tcBorders>
              <w:top w:val="nil"/>
              <w:left w:val="nil"/>
              <w:bottom w:val="single" w:sz="4" w:space="0" w:color="auto"/>
              <w:right w:val="single" w:sz="4" w:space="0" w:color="auto"/>
            </w:tcBorders>
            <w:shd w:val="clear" w:color="000000" w:fill="F2F2F2"/>
            <w:vAlign w:val="bottom"/>
            <w:hideMark/>
          </w:tcPr>
          <w:p w14:paraId="412B7ABE"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Veškeré firmy</w:t>
            </w:r>
          </w:p>
        </w:tc>
        <w:tc>
          <w:tcPr>
            <w:tcW w:w="1321" w:type="dxa"/>
            <w:tcBorders>
              <w:top w:val="nil"/>
              <w:left w:val="nil"/>
              <w:bottom w:val="single" w:sz="4" w:space="0" w:color="auto"/>
              <w:right w:val="single" w:sz="4" w:space="0" w:color="auto"/>
            </w:tcBorders>
            <w:shd w:val="clear" w:color="000000" w:fill="F2F2F2"/>
            <w:vAlign w:val="bottom"/>
            <w:hideMark/>
          </w:tcPr>
          <w:p w14:paraId="3C10ACE1"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Pr>
                <w:rFonts w:ascii="Calibri" w:eastAsia="Times New Roman" w:hAnsi="Calibri" w:cs="Calibri"/>
                <w:b/>
                <w:bCs/>
                <w:color w:val="000000"/>
                <w:sz w:val="18"/>
                <w:szCs w:val="18"/>
                <w:lang w:eastAsia="cs-CZ"/>
              </w:rPr>
              <w:t>Střední</w:t>
            </w:r>
            <w:r w:rsidRPr="0043207E">
              <w:rPr>
                <w:rFonts w:ascii="Calibri" w:eastAsia="Times New Roman" w:hAnsi="Calibri" w:cs="Calibri"/>
                <w:b/>
                <w:bCs/>
                <w:color w:val="000000"/>
                <w:sz w:val="18"/>
                <w:szCs w:val="18"/>
                <w:lang w:eastAsia="cs-CZ"/>
              </w:rPr>
              <w:t xml:space="preserve"> a velk</w:t>
            </w:r>
            <w:r>
              <w:rPr>
                <w:rFonts w:ascii="Calibri" w:eastAsia="Times New Roman" w:hAnsi="Calibri" w:cs="Calibri"/>
                <w:b/>
                <w:bCs/>
                <w:color w:val="000000"/>
                <w:sz w:val="18"/>
                <w:szCs w:val="18"/>
                <w:lang w:eastAsia="cs-CZ"/>
              </w:rPr>
              <w:t>é</w:t>
            </w:r>
            <w:r w:rsidRPr="0043207E">
              <w:rPr>
                <w:rFonts w:ascii="Calibri" w:eastAsia="Times New Roman" w:hAnsi="Calibri" w:cs="Calibri"/>
                <w:b/>
                <w:bCs/>
                <w:color w:val="000000"/>
                <w:sz w:val="18"/>
                <w:szCs w:val="18"/>
                <w:lang w:eastAsia="cs-CZ"/>
              </w:rPr>
              <w:t xml:space="preserve"> </w:t>
            </w:r>
            <w:r w:rsidRPr="001A3416">
              <w:rPr>
                <w:rFonts w:ascii="Calibri" w:eastAsia="Times New Roman" w:hAnsi="Calibri" w:cs="Calibri"/>
                <w:b/>
                <w:bCs/>
                <w:color w:val="000000"/>
                <w:sz w:val="18"/>
                <w:szCs w:val="18"/>
                <w:lang w:eastAsia="cs-CZ"/>
              </w:rPr>
              <w:t>firmy</w:t>
            </w:r>
          </w:p>
        </w:tc>
        <w:tc>
          <w:tcPr>
            <w:tcW w:w="940" w:type="dxa"/>
            <w:tcBorders>
              <w:top w:val="nil"/>
              <w:left w:val="nil"/>
              <w:bottom w:val="single" w:sz="4" w:space="0" w:color="auto"/>
              <w:right w:val="single" w:sz="4" w:space="0" w:color="auto"/>
            </w:tcBorders>
            <w:shd w:val="clear" w:color="000000" w:fill="F2F2F2"/>
            <w:vAlign w:val="bottom"/>
            <w:hideMark/>
          </w:tcPr>
          <w:p w14:paraId="66C5161E"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Malé firmy</w:t>
            </w:r>
          </w:p>
        </w:tc>
      </w:tr>
      <w:tr w:rsidR="006B5B80" w:rsidRPr="001A3416" w14:paraId="1D3B2D4F" w14:textId="77777777" w:rsidTr="000C49A5">
        <w:trPr>
          <w:trHeight w:val="25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14:paraId="2259A19D"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Předpokládaný počet nově vytvořených pracovních míst</w:t>
            </w:r>
          </w:p>
        </w:tc>
        <w:tc>
          <w:tcPr>
            <w:tcW w:w="960" w:type="dxa"/>
            <w:tcBorders>
              <w:top w:val="nil"/>
              <w:left w:val="nil"/>
              <w:bottom w:val="single" w:sz="4" w:space="0" w:color="auto"/>
              <w:right w:val="single" w:sz="4" w:space="0" w:color="auto"/>
            </w:tcBorders>
            <w:shd w:val="clear" w:color="auto" w:fill="auto"/>
            <w:noWrap/>
            <w:vAlign w:val="bottom"/>
            <w:hideMark/>
          </w:tcPr>
          <w:p w14:paraId="6399D69B" w14:textId="71E6A7E9"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209</w:t>
            </w:r>
            <w:r w:rsidR="00283CFF">
              <w:rPr>
                <w:rFonts w:ascii="Calibri" w:eastAsia="Times New Roman" w:hAnsi="Calibri" w:cs="Calibri"/>
                <w:color w:val="000000"/>
                <w:sz w:val="18"/>
                <w:szCs w:val="18"/>
                <w:lang w:eastAsia="cs-CZ"/>
              </w:rPr>
              <w:t xml:space="preserve"> </w:t>
            </w:r>
            <w:r w:rsidRPr="001A3416">
              <w:rPr>
                <w:rFonts w:ascii="Calibri" w:eastAsia="Times New Roman" w:hAnsi="Calibri" w:cs="Calibri"/>
                <w:color w:val="000000"/>
                <w:sz w:val="18"/>
                <w:szCs w:val="18"/>
                <w:lang w:eastAsia="cs-CZ"/>
              </w:rPr>
              <w:t>-</w:t>
            </w:r>
            <w:r w:rsidR="00283CFF">
              <w:rPr>
                <w:rFonts w:ascii="Calibri" w:eastAsia="Times New Roman" w:hAnsi="Calibri" w:cs="Calibri"/>
                <w:color w:val="000000"/>
                <w:sz w:val="18"/>
                <w:szCs w:val="18"/>
                <w:lang w:eastAsia="cs-CZ"/>
              </w:rPr>
              <w:t xml:space="preserve"> </w:t>
            </w:r>
            <w:r w:rsidRPr="001A3416">
              <w:rPr>
                <w:rFonts w:ascii="Calibri" w:eastAsia="Times New Roman" w:hAnsi="Calibri" w:cs="Calibri"/>
                <w:color w:val="000000"/>
                <w:sz w:val="18"/>
                <w:szCs w:val="18"/>
                <w:lang w:eastAsia="cs-CZ"/>
              </w:rPr>
              <w:t>210</w:t>
            </w:r>
          </w:p>
        </w:tc>
        <w:tc>
          <w:tcPr>
            <w:tcW w:w="1321" w:type="dxa"/>
            <w:tcBorders>
              <w:top w:val="nil"/>
              <w:left w:val="nil"/>
              <w:bottom w:val="single" w:sz="4" w:space="0" w:color="auto"/>
              <w:right w:val="single" w:sz="4" w:space="0" w:color="auto"/>
            </w:tcBorders>
            <w:shd w:val="clear" w:color="auto" w:fill="auto"/>
            <w:noWrap/>
            <w:vAlign w:val="bottom"/>
            <w:hideMark/>
          </w:tcPr>
          <w:p w14:paraId="1FCAD898"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203</w:t>
            </w:r>
          </w:p>
        </w:tc>
        <w:tc>
          <w:tcPr>
            <w:tcW w:w="940" w:type="dxa"/>
            <w:tcBorders>
              <w:top w:val="nil"/>
              <w:left w:val="nil"/>
              <w:bottom w:val="single" w:sz="4" w:space="0" w:color="auto"/>
              <w:right w:val="single" w:sz="4" w:space="0" w:color="auto"/>
            </w:tcBorders>
            <w:shd w:val="clear" w:color="auto" w:fill="auto"/>
            <w:noWrap/>
            <w:vAlign w:val="bottom"/>
            <w:hideMark/>
          </w:tcPr>
          <w:p w14:paraId="43E4025B" w14:textId="21183495" w:rsidR="006B5B80" w:rsidRPr="001A3416" w:rsidRDefault="00283CFF" w:rsidP="000C49A5">
            <w:pPr>
              <w:spacing w:before="0"/>
              <w:jc w:val="righ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 </w:t>
            </w:r>
            <w:r w:rsidR="006B5B80" w:rsidRPr="001A3416">
              <w:rPr>
                <w:rFonts w:ascii="Calibri" w:eastAsia="Times New Roman" w:hAnsi="Calibri" w:cs="Calibri"/>
                <w:color w:val="000000"/>
                <w:sz w:val="18"/>
                <w:szCs w:val="18"/>
                <w:lang w:eastAsia="cs-CZ"/>
              </w:rPr>
              <w:t>6</w:t>
            </w:r>
            <w:r>
              <w:rPr>
                <w:rFonts w:ascii="Calibri" w:eastAsia="Times New Roman" w:hAnsi="Calibri" w:cs="Calibri"/>
                <w:color w:val="000000"/>
                <w:sz w:val="18"/>
                <w:szCs w:val="18"/>
                <w:lang w:eastAsia="cs-CZ"/>
              </w:rPr>
              <w:t xml:space="preserve"> </w:t>
            </w:r>
            <w:r w:rsidR="006B5B80" w:rsidRPr="001A3416">
              <w:rPr>
                <w:rFonts w:ascii="Calibri" w:eastAsia="Times New Roman" w:hAnsi="Calibri" w:cs="Calibri"/>
                <w:color w:val="000000"/>
                <w:sz w:val="18"/>
                <w:szCs w:val="18"/>
                <w:lang w:eastAsia="cs-CZ"/>
              </w:rPr>
              <w:t>-</w:t>
            </w:r>
            <w:r>
              <w:rPr>
                <w:rFonts w:ascii="Calibri" w:eastAsia="Times New Roman" w:hAnsi="Calibri" w:cs="Calibri"/>
                <w:color w:val="000000"/>
                <w:sz w:val="18"/>
                <w:szCs w:val="18"/>
                <w:lang w:eastAsia="cs-CZ"/>
              </w:rPr>
              <w:t xml:space="preserve"> </w:t>
            </w:r>
            <w:r w:rsidR="006B5B80" w:rsidRPr="001A3416">
              <w:rPr>
                <w:rFonts w:ascii="Calibri" w:eastAsia="Times New Roman" w:hAnsi="Calibri" w:cs="Calibri"/>
                <w:color w:val="000000"/>
                <w:sz w:val="18"/>
                <w:szCs w:val="18"/>
                <w:lang w:eastAsia="cs-CZ"/>
              </w:rPr>
              <w:t>7</w:t>
            </w:r>
          </w:p>
        </w:tc>
      </w:tr>
      <w:tr w:rsidR="006B5B80" w:rsidRPr="001A3416" w14:paraId="7023B434" w14:textId="77777777" w:rsidTr="000C49A5">
        <w:trPr>
          <w:trHeight w:val="25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14:paraId="0245F7C9"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Průměrný počet nově přijímaných zaměstnanců</w:t>
            </w:r>
          </w:p>
        </w:tc>
        <w:tc>
          <w:tcPr>
            <w:tcW w:w="960" w:type="dxa"/>
            <w:tcBorders>
              <w:top w:val="nil"/>
              <w:left w:val="nil"/>
              <w:bottom w:val="single" w:sz="4" w:space="0" w:color="auto"/>
              <w:right w:val="single" w:sz="4" w:space="0" w:color="auto"/>
            </w:tcBorders>
            <w:shd w:val="clear" w:color="auto" w:fill="auto"/>
            <w:noWrap/>
            <w:vAlign w:val="bottom"/>
            <w:hideMark/>
          </w:tcPr>
          <w:p w14:paraId="513F8374"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11,0</w:t>
            </w:r>
          </w:p>
        </w:tc>
        <w:tc>
          <w:tcPr>
            <w:tcW w:w="1321" w:type="dxa"/>
            <w:tcBorders>
              <w:top w:val="nil"/>
              <w:left w:val="nil"/>
              <w:bottom w:val="single" w:sz="4" w:space="0" w:color="auto"/>
              <w:right w:val="single" w:sz="4" w:space="0" w:color="auto"/>
            </w:tcBorders>
            <w:shd w:val="clear" w:color="auto" w:fill="auto"/>
            <w:noWrap/>
            <w:vAlign w:val="bottom"/>
            <w:hideMark/>
          </w:tcPr>
          <w:p w14:paraId="0CA2E425"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13,5</w:t>
            </w:r>
          </w:p>
        </w:tc>
        <w:tc>
          <w:tcPr>
            <w:tcW w:w="940" w:type="dxa"/>
            <w:tcBorders>
              <w:top w:val="nil"/>
              <w:left w:val="nil"/>
              <w:bottom w:val="single" w:sz="4" w:space="0" w:color="auto"/>
              <w:right w:val="single" w:sz="4" w:space="0" w:color="auto"/>
            </w:tcBorders>
            <w:shd w:val="clear" w:color="auto" w:fill="auto"/>
            <w:noWrap/>
            <w:vAlign w:val="bottom"/>
            <w:hideMark/>
          </w:tcPr>
          <w:p w14:paraId="6017123E"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1,6</w:t>
            </w:r>
          </w:p>
        </w:tc>
      </w:tr>
      <w:tr w:rsidR="006B5B80" w:rsidRPr="001A3416" w14:paraId="11CF0FE2" w14:textId="77777777" w:rsidTr="000C49A5">
        <w:trPr>
          <w:trHeight w:val="255"/>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14:paraId="24C52D5F"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Podíl firem, které na otázku odpověděly</w:t>
            </w:r>
          </w:p>
        </w:tc>
        <w:tc>
          <w:tcPr>
            <w:tcW w:w="960" w:type="dxa"/>
            <w:tcBorders>
              <w:top w:val="nil"/>
              <w:left w:val="nil"/>
              <w:bottom w:val="single" w:sz="4" w:space="0" w:color="auto"/>
              <w:right w:val="single" w:sz="4" w:space="0" w:color="auto"/>
            </w:tcBorders>
            <w:shd w:val="clear" w:color="auto" w:fill="auto"/>
            <w:noWrap/>
            <w:vAlign w:val="bottom"/>
            <w:hideMark/>
          </w:tcPr>
          <w:p w14:paraId="3B6A605E" w14:textId="38C47D92"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42,2</w:t>
            </w:r>
            <w:r w:rsidR="00283CFF">
              <w:rPr>
                <w:rFonts w:ascii="Calibri" w:eastAsia="Times New Roman" w:hAnsi="Calibri" w:cs="Calibri"/>
                <w:color w:val="000000"/>
                <w:sz w:val="18"/>
                <w:szCs w:val="18"/>
                <w:lang w:eastAsia="cs-CZ"/>
              </w:rPr>
              <w:t xml:space="preserve"> </w:t>
            </w:r>
            <w:r w:rsidRPr="001A3416">
              <w:rPr>
                <w:rFonts w:ascii="Calibri" w:eastAsia="Times New Roman" w:hAnsi="Calibri" w:cs="Calibri"/>
                <w:color w:val="000000"/>
                <w:sz w:val="18"/>
                <w:szCs w:val="18"/>
                <w:lang w:eastAsia="cs-CZ"/>
              </w:rPr>
              <w:t>%</w:t>
            </w:r>
          </w:p>
        </w:tc>
        <w:tc>
          <w:tcPr>
            <w:tcW w:w="1321" w:type="dxa"/>
            <w:tcBorders>
              <w:top w:val="nil"/>
              <w:left w:val="nil"/>
              <w:bottom w:val="single" w:sz="4" w:space="0" w:color="auto"/>
              <w:right w:val="single" w:sz="4" w:space="0" w:color="auto"/>
            </w:tcBorders>
            <w:shd w:val="clear" w:color="auto" w:fill="auto"/>
            <w:noWrap/>
            <w:vAlign w:val="bottom"/>
            <w:hideMark/>
          </w:tcPr>
          <w:p w14:paraId="7AFFBB3B" w14:textId="6512217A"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48,4</w:t>
            </w:r>
            <w:r w:rsidR="00283CFF">
              <w:rPr>
                <w:rFonts w:ascii="Calibri" w:eastAsia="Times New Roman" w:hAnsi="Calibri" w:cs="Calibri"/>
                <w:color w:val="000000"/>
                <w:sz w:val="18"/>
                <w:szCs w:val="18"/>
                <w:lang w:eastAsia="cs-CZ"/>
              </w:rPr>
              <w:t xml:space="preserve"> </w:t>
            </w:r>
            <w:r w:rsidRPr="001A3416">
              <w:rPr>
                <w:rFonts w:ascii="Calibri" w:eastAsia="Times New Roman" w:hAnsi="Calibri" w:cs="Calibri"/>
                <w:color w:val="000000"/>
                <w:sz w:val="18"/>
                <w:szCs w:val="18"/>
                <w:lang w:eastAsia="cs-CZ"/>
              </w:rPr>
              <w:t>%</w:t>
            </w:r>
          </w:p>
        </w:tc>
        <w:tc>
          <w:tcPr>
            <w:tcW w:w="940" w:type="dxa"/>
            <w:tcBorders>
              <w:top w:val="nil"/>
              <w:left w:val="nil"/>
              <w:bottom w:val="single" w:sz="4" w:space="0" w:color="auto"/>
              <w:right w:val="single" w:sz="4" w:space="0" w:color="auto"/>
            </w:tcBorders>
            <w:shd w:val="clear" w:color="auto" w:fill="auto"/>
            <w:noWrap/>
            <w:vAlign w:val="bottom"/>
            <w:hideMark/>
          </w:tcPr>
          <w:p w14:paraId="3FBEB268" w14:textId="039B448D"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28,6</w:t>
            </w:r>
            <w:r w:rsidR="00283CFF">
              <w:rPr>
                <w:rFonts w:ascii="Calibri" w:eastAsia="Times New Roman" w:hAnsi="Calibri" w:cs="Calibri"/>
                <w:color w:val="000000"/>
                <w:sz w:val="18"/>
                <w:szCs w:val="18"/>
                <w:lang w:eastAsia="cs-CZ"/>
              </w:rPr>
              <w:t xml:space="preserve"> </w:t>
            </w:r>
            <w:r w:rsidRPr="001A3416">
              <w:rPr>
                <w:rFonts w:ascii="Calibri" w:eastAsia="Times New Roman" w:hAnsi="Calibri" w:cs="Calibri"/>
                <w:color w:val="000000"/>
                <w:sz w:val="18"/>
                <w:szCs w:val="18"/>
                <w:lang w:eastAsia="cs-CZ"/>
              </w:rPr>
              <w:t>%</w:t>
            </w:r>
          </w:p>
        </w:tc>
      </w:tr>
    </w:tbl>
    <w:p w14:paraId="4FA10B3F" w14:textId="446D3FC4" w:rsidR="006B5B80" w:rsidRPr="001A3416" w:rsidRDefault="006B5B80" w:rsidP="006B5B80">
      <w:pPr>
        <w:pStyle w:val="Zdroj"/>
      </w:pPr>
      <w:r w:rsidRPr="001A3416">
        <w:t>Zdroj: PROCES, Průzkum podnikatelského prostředí města Zlína, 2020</w:t>
      </w:r>
      <w:r w:rsidR="00283CFF">
        <w:t>;</w:t>
      </w:r>
      <w:r>
        <w:t xml:space="preserve"> Otázka č. 20a:</w:t>
      </w:r>
      <w:r w:rsidRPr="00EC000F">
        <w:t xml:space="preserve"> Pokud se chystáte přijímat nové zaměstnance, uveďte orientačně počet zaměstnanců, které chcete</w:t>
      </w:r>
      <w:r w:rsidR="0038474E">
        <w:t xml:space="preserve"> přijmout v následujícím 1 roce.</w:t>
      </w:r>
    </w:p>
    <w:p w14:paraId="703947ED" w14:textId="77777777" w:rsidR="006B5B80" w:rsidRPr="001A3416" w:rsidRDefault="006B5B80" w:rsidP="006B5B80">
      <w:pPr>
        <w:pStyle w:val="Nadpis4"/>
      </w:pPr>
      <w:bookmarkStart w:id="991" w:name="_Toc50449113"/>
      <w:r w:rsidRPr="001A3416">
        <w:t>Doplňující otázky</w:t>
      </w:r>
      <w:bookmarkEnd w:id="991"/>
    </w:p>
    <w:p w14:paraId="60893958" w14:textId="79557365" w:rsidR="006B5B80" w:rsidRPr="001A3416" w:rsidRDefault="006B5B80" w:rsidP="006B5B80">
      <w:r w:rsidRPr="001A3416">
        <w:t xml:space="preserve">Na otázku „Jakým způsobem se Vaše podnikatelská činnost může podílet na rozvoji Zlína v následujících pěti letech?“ podnikatelské subjekty nejčastěji odpovídaly </w:t>
      </w:r>
      <w:r w:rsidRPr="001A3416">
        <w:rPr>
          <w:i/>
        </w:rPr>
        <w:t>udržením zaměstnanosti a</w:t>
      </w:r>
      <w:r w:rsidR="00283CFF">
        <w:rPr>
          <w:i/>
        </w:rPr>
        <w:t> </w:t>
      </w:r>
      <w:r w:rsidRPr="001A3416">
        <w:rPr>
          <w:i/>
        </w:rPr>
        <w:t>vytvářením nových pracovních míst</w:t>
      </w:r>
      <w:r w:rsidRPr="001A3416">
        <w:t xml:space="preserve"> (takto odpovědělo 10 podnikatelských subjektů). Dva podniky uvedly, že jsou jejich přínosem </w:t>
      </w:r>
      <w:r w:rsidRPr="001A3416">
        <w:rPr>
          <w:i/>
        </w:rPr>
        <w:t>řádně odvedené daně a zvyšování kupní síly místního obyvatelstva</w:t>
      </w:r>
      <w:r w:rsidRPr="001A3416">
        <w:t>.</w:t>
      </w:r>
    </w:p>
    <w:p w14:paraId="0B69D4B1" w14:textId="77777777" w:rsidR="006B5B80" w:rsidRPr="001A3416" w:rsidRDefault="006B5B80" w:rsidP="006B5B80">
      <w:pPr>
        <w:keepNext/>
        <w:rPr>
          <w:rFonts w:cstheme="minorHAnsi"/>
        </w:rPr>
      </w:pPr>
      <w:r w:rsidRPr="001A3416">
        <w:t>Jako další způsoby, kterými se podnikatelská činnost může podílet na rozvoji Zlína v následujících pěti letech,</w:t>
      </w:r>
      <w:r w:rsidRPr="001A3416">
        <w:rPr>
          <w:rFonts w:cstheme="minorHAnsi"/>
        </w:rPr>
        <w:t xml:space="preserve"> respondenti uváděli (jedná se o odpovědi jednotlivců): </w:t>
      </w:r>
    </w:p>
    <w:p w14:paraId="7611371B" w14:textId="77777777" w:rsidR="006B5B80" w:rsidRPr="001A3416" w:rsidRDefault="006B5B80" w:rsidP="00A55F7D">
      <w:pPr>
        <w:pStyle w:val="Odstavecseseznamem"/>
        <w:numPr>
          <w:ilvl w:val="0"/>
          <w:numId w:val="92"/>
        </w:numPr>
        <w:rPr>
          <w:i/>
        </w:rPr>
      </w:pPr>
      <w:r w:rsidRPr="001A3416">
        <w:rPr>
          <w:i/>
        </w:rPr>
        <w:t xml:space="preserve">Připravuje se výstavba nové nemocnice ve Zlíně-Malenovicích. Po její dostavbě dostane region špičkové zdravotnické zařízení, které výrazně zvýší možnosti léčby a péče o pacienty. </w:t>
      </w:r>
    </w:p>
    <w:p w14:paraId="0D7BF87A" w14:textId="77777777" w:rsidR="006B5B80" w:rsidRPr="001A3416" w:rsidRDefault="006B5B80" w:rsidP="00A55F7D">
      <w:pPr>
        <w:pStyle w:val="Odstavecseseznamem"/>
        <w:numPr>
          <w:ilvl w:val="0"/>
          <w:numId w:val="92"/>
        </w:numPr>
        <w:rPr>
          <w:i/>
        </w:rPr>
      </w:pPr>
      <w:r w:rsidRPr="001A3416">
        <w:rPr>
          <w:i/>
        </w:rPr>
        <w:t>Nabídkou našich výrobků.</w:t>
      </w:r>
    </w:p>
    <w:p w14:paraId="67F828EC" w14:textId="77777777" w:rsidR="006B5B80" w:rsidRPr="001A3416" w:rsidRDefault="006B5B80" w:rsidP="00A55F7D">
      <w:pPr>
        <w:pStyle w:val="Odstavecseseznamem"/>
        <w:numPr>
          <w:ilvl w:val="0"/>
          <w:numId w:val="92"/>
        </w:numPr>
        <w:rPr>
          <w:i/>
        </w:rPr>
      </w:pPr>
      <w:r w:rsidRPr="001A3416">
        <w:rPr>
          <w:i/>
        </w:rPr>
        <w:t>Měníme tvář Zlína. V současnos</w:t>
      </w:r>
      <w:r>
        <w:rPr>
          <w:i/>
        </w:rPr>
        <w:t>ti stavíme developerský projekt.</w:t>
      </w:r>
    </w:p>
    <w:p w14:paraId="3646E650" w14:textId="77777777" w:rsidR="006B5B80" w:rsidRPr="001A3416" w:rsidRDefault="006B5B80" w:rsidP="00A55F7D">
      <w:pPr>
        <w:pStyle w:val="Odstavecseseznamem"/>
        <w:numPr>
          <w:ilvl w:val="0"/>
          <w:numId w:val="92"/>
        </w:numPr>
        <w:rPr>
          <w:i/>
        </w:rPr>
      </w:pPr>
      <w:r w:rsidRPr="001A3416">
        <w:rPr>
          <w:i/>
        </w:rPr>
        <w:t>Rozvoj nových provozoven, komunitních center atd.</w:t>
      </w:r>
    </w:p>
    <w:p w14:paraId="58FE5936" w14:textId="3734E460" w:rsidR="006B5B80" w:rsidRPr="001A3416" w:rsidRDefault="006B5B80" w:rsidP="00A55F7D">
      <w:pPr>
        <w:pStyle w:val="Odstavecseseznamem"/>
        <w:numPr>
          <w:ilvl w:val="0"/>
          <w:numId w:val="92"/>
        </w:numPr>
        <w:rPr>
          <w:i/>
        </w:rPr>
      </w:pPr>
      <w:r w:rsidRPr="001A3416">
        <w:rPr>
          <w:i/>
        </w:rPr>
        <w:t>Účast na definování strategie rozvoje města a územního plánu. Zpracování studií, projektů i</w:t>
      </w:r>
      <w:r w:rsidR="0038474E">
        <w:rPr>
          <w:i/>
        </w:rPr>
        <w:t> </w:t>
      </w:r>
      <w:r w:rsidRPr="001A3416">
        <w:rPr>
          <w:i/>
        </w:rPr>
        <w:t>realizace v rámci městské investiční výstavby.</w:t>
      </w:r>
    </w:p>
    <w:p w14:paraId="30B157C4" w14:textId="77777777" w:rsidR="006B5B80" w:rsidRPr="001A3416" w:rsidRDefault="006B5B80" w:rsidP="00A55F7D">
      <w:pPr>
        <w:pStyle w:val="Odstavecseseznamem"/>
        <w:numPr>
          <w:ilvl w:val="0"/>
          <w:numId w:val="92"/>
        </w:numPr>
        <w:rPr>
          <w:i/>
        </w:rPr>
      </w:pPr>
      <w:r w:rsidRPr="001A3416">
        <w:rPr>
          <w:i/>
        </w:rPr>
        <w:t>Přilákání investorů ze zahraničí.</w:t>
      </w:r>
    </w:p>
    <w:p w14:paraId="1E80CA4E" w14:textId="77777777" w:rsidR="006B5B80" w:rsidRPr="001A3416" w:rsidRDefault="006B5B80" w:rsidP="00A55F7D">
      <w:pPr>
        <w:pStyle w:val="Odstavecseseznamem"/>
        <w:numPr>
          <w:ilvl w:val="0"/>
          <w:numId w:val="92"/>
        </w:numPr>
        <w:rPr>
          <w:i/>
        </w:rPr>
      </w:pPr>
      <w:r w:rsidRPr="001A3416">
        <w:rPr>
          <w:i/>
        </w:rPr>
        <w:t>Podpora sportu, sportovní a dobročinné činnosti.</w:t>
      </w:r>
    </w:p>
    <w:p w14:paraId="4DDDCC7B" w14:textId="77777777" w:rsidR="006B5B80" w:rsidRPr="001A3416" w:rsidRDefault="006B5B80" w:rsidP="00A55F7D">
      <w:pPr>
        <w:pStyle w:val="Odstavecseseznamem"/>
        <w:numPr>
          <w:ilvl w:val="0"/>
          <w:numId w:val="92"/>
        </w:numPr>
        <w:rPr>
          <w:i/>
        </w:rPr>
      </w:pPr>
      <w:r w:rsidRPr="001A3416">
        <w:rPr>
          <w:i/>
        </w:rPr>
        <w:t>Investicemi do rozšiřování sítě zásobování teplem směrem k nově budovaným budovám a do zřizování fotovoltaických zdrojů elektrické energie a dobíjecích stanic pro elektromobily.</w:t>
      </w:r>
    </w:p>
    <w:p w14:paraId="50FA62B9" w14:textId="77777777" w:rsidR="006B5B80" w:rsidRPr="001A3416" w:rsidRDefault="006B5B80" w:rsidP="00A55F7D">
      <w:pPr>
        <w:pStyle w:val="Odstavecseseznamem"/>
        <w:numPr>
          <w:ilvl w:val="0"/>
          <w:numId w:val="92"/>
        </w:numPr>
        <w:rPr>
          <w:i/>
        </w:rPr>
      </w:pPr>
      <w:r w:rsidRPr="001A3416">
        <w:rPr>
          <w:i/>
        </w:rPr>
        <w:t>Projektování staveb bytových, administrativních, průmyslových.</w:t>
      </w:r>
    </w:p>
    <w:p w14:paraId="30AA3D75" w14:textId="77777777" w:rsidR="006B5B80" w:rsidRPr="001A3416" w:rsidRDefault="006B5B80" w:rsidP="006B5B80">
      <w:pPr>
        <w:spacing w:before="0"/>
        <w:rPr>
          <w:rFonts w:cstheme="minorHAnsi"/>
        </w:rPr>
      </w:pPr>
    </w:p>
    <w:p w14:paraId="0E047AB6" w14:textId="77777777" w:rsidR="006B5B80" w:rsidRPr="001A3416" w:rsidRDefault="006B5B80" w:rsidP="006B5B80">
      <w:pPr>
        <w:spacing w:before="0"/>
        <w:rPr>
          <w:rFonts w:cstheme="minorHAnsi"/>
        </w:rPr>
      </w:pPr>
      <w:r w:rsidRPr="001A3416">
        <w:rPr>
          <w:rFonts w:cstheme="minorHAnsi"/>
        </w:rPr>
        <w:t xml:space="preserve">Možnost sdělit cokoli dalšího k podnikatelskému prostředí, otázka </w:t>
      </w:r>
      <w:r w:rsidRPr="001A3416">
        <w:rPr>
          <w:rFonts w:cstheme="minorHAnsi"/>
          <w:b/>
        </w:rPr>
        <w:t>„Co byste ještě chtěli sdělit?“</w:t>
      </w:r>
      <w:r w:rsidRPr="001A3416">
        <w:rPr>
          <w:rFonts w:cstheme="minorHAnsi"/>
        </w:rPr>
        <w:t>, využilo 10 respondentů. Výčet některých interpretací věcných podnětů:</w:t>
      </w:r>
    </w:p>
    <w:p w14:paraId="5CE45D59" w14:textId="77777777" w:rsidR="006B5B80" w:rsidRPr="001A3416" w:rsidRDefault="006B5B80" w:rsidP="00A55F7D">
      <w:pPr>
        <w:pStyle w:val="Odstavecseseznamem"/>
        <w:numPr>
          <w:ilvl w:val="0"/>
          <w:numId w:val="94"/>
        </w:numPr>
        <w:rPr>
          <w:rFonts w:cstheme="minorHAnsi"/>
          <w:i/>
        </w:rPr>
      </w:pPr>
      <w:r w:rsidRPr="001A3416">
        <w:rPr>
          <w:rFonts w:cstheme="minorHAnsi"/>
          <w:i/>
        </w:rPr>
        <w:t>Obecně bychom uvítali vyšší míru komunikace s občany a firmami ve všech oblastech souvisejících se strategií rozvoje města, dlouhodobých plánech apod.</w:t>
      </w:r>
    </w:p>
    <w:p w14:paraId="3FDE193E" w14:textId="3DBA1DE1" w:rsidR="006B5B80" w:rsidRPr="001A3416" w:rsidRDefault="006B5B80" w:rsidP="00A55F7D">
      <w:pPr>
        <w:pStyle w:val="Odstavecseseznamem"/>
        <w:numPr>
          <w:ilvl w:val="0"/>
          <w:numId w:val="94"/>
        </w:numPr>
        <w:rPr>
          <w:rFonts w:cstheme="minorHAnsi"/>
          <w:i/>
        </w:rPr>
      </w:pPr>
      <w:r w:rsidRPr="001A3416">
        <w:rPr>
          <w:rFonts w:cstheme="minorHAnsi"/>
          <w:i/>
        </w:rPr>
        <w:t>Společnost patří mezi stabilní a funkční. Majitelé a zároveň zaměstnanci patří mezi odborníky ve svém oboru, což v dnešní době již není obvyklý jev. Bylo by dobré, i přesto, že se jedná o</w:t>
      </w:r>
      <w:r w:rsidR="0038474E">
        <w:rPr>
          <w:rFonts w:cstheme="minorHAnsi"/>
          <w:i/>
        </w:rPr>
        <w:t> </w:t>
      </w:r>
      <w:r w:rsidRPr="001A3416">
        <w:rPr>
          <w:rFonts w:cstheme="minorHAnsi"/>
          <w:i/>
        </w:rPr>
        <w:t>střední společnost (současný stav 27 zaměstnanců)</w:t>
      </w:r>
      <w:r w:rsidR="0038474E">
        <w:rPr>
          <w:rFonts w:cstheme="minorHAnsi"/>
          <w:i/>
        </w:rPr>
        <w:t>,</w:t>
      </w:r>
      <w:r w:rsidRPr="001A3416">
        <w:rPr>
          <w:rFonts w:cstheme="minorHAnsi"/>
          <w:i/>
        </w:rPr>
        <w:t xml:space="preserve"> dokázat tyto společnosti vyzdvihnout a</w:t>
      </w:r>
      <w:r w:rsidR="0038474E">
        <w:rPr>
          <w:rFonts w:cstheme="minorHAnsi"/>
          <w:i/>
        </w:rPr>
        <w:t> </w:t>
      </w:r>
      <w:r w:rsidRPr="001A3416">
        <w:rPr>
          <w:rFonts w:cstheme="minorHAnsi"/>
          <w:i/>
        </w:rPr>
        <w:t>veřejnosti představit – např. ve zpravodaji Zlínského kraje.</w:t>
      </w:r>
    </w:p>
    <w:p w14:paraId="467B274E" w14:textId="28190766" w:rsidR="006B5B80" w:rsidRPr="001A3416" w:rsidRDefault="006B5B80" w:rsidP="00A55F7D">
      <w:pPr>
        <w:pStyle w:val="Odstavecseseznamem"/>
        <w:numPr>
          <w:ilvl w:val="0"/>
          <w:numId w:val="94"/>
        </w:numPr>
        <w:rPr>
          <w:rFonts w:cstheme="minorHAnsi"/>
          <w:i/>
        </w:rPr>
      </w:pPr>
      <w:r w:rsidRPr="001A3416">
        <w:rPr>
          <w:rFonts w:cstheme="minorHAnsi"/>
          <w:i/>
        </w:rPr>
        <w:t>Zlepšení komunikace úřadů s firmami, neprotahování záležitostí týkající</w:t>
      </w:r>
      <w:r w:rsidR="0038474E">
        <w:rPr>
          <w:rFonts w:cstheme="minorHAnsi"/>
          <w:i/>
        </w:rPr>
        <w:t>ch</w:t>
      </w:r>
      <w:r w:rsidRPr="001A3416">
        <w:rPr>
          <w:rFonts w:cstheme="minorHAnsi"/>
          <w:i/>
        </w:rPr>
        <w:t xml:space="preserve"> se podnikání.</w:t>
      </w:r>
    </w:p>
    <w:p w14:paraId="7D9FB59F" w14:textId="77777777" w:rsidR="006B5B80" w:rsidRPr="001A3416" w:rsidRDefault="006B5B80" w:rsidP="00A55F7D">
      <w:pPr>
        <w:pStyle w:val="Odstavecseseznamem"/>
        <w:numPr>
          <w:ilvl w:val="0"/>
          <w:numId w:val="94"/>
        </w:numPr>
        <w:rPr>
          <w:rFonts w:cstheme="minorHAnsi"/>
          <w:i/>
        </w:rPr>
      </w:pPr>
      <w:r w:rsidRPr="001A3416">
        <w:rPr>
          <w:rFonts w:cstheme="minorHAnsi"/>
          <w:i/>
        </w:rPr>
        <w:t xml:space="preserve">Špatná dostupnost nákladní dopravy pro průmyslovou zónu Příluk může být do budoucna velké riziko pro zde sídlící podniky. </w:t>
      </w:r>
    </w:p>
    <w:p w14:paraId="7307903E" w14:textId="77777777" w:rsidR="006B5B80" w:rsidRPr="00F558D7" w:rsidRDefault="006B5B80" w:rsidP="00A55F7D">
      <w:pPr>
        <w:pStyle w:val="Odstavecseseznamem"/>
        <w:numPr>
          <w:ilvl w:val="0"/>
          <w:numId w:val="94"/>
        </w:numPr>
        <w:spacing w:before="0" w:after="160" w:line="259" w:lineRule="auto"/>
        <w:jc w:val="left"/>
        <w:rPr>
          <w:rFonts w:cstheme="minorHAnsi"/>
          <w:i/>
        </w:rPr>
      </w:pPr>
      <w:r w:rsidRPr="00F558D7">
        <w:rPr>
          <w:rFonts w:cstheme="minorHAnsi"/>
          <w:i/>
        </w:rPr>
        <w:t xml:space="preserve">Bylo by vhodné více podpořit cyklodopravu ve městě a okolí. Na kole do práce by jezdilo víc lidí, kdyby byly cyklostezky bezpečné a měli si kde umístit kolo. </w:t>
      </w:r>
      <w:r w:rsidRPr="00F558D7">
        <w:rPr>
          <w:rFonts w:cstheme="minorHAnsi"/>
          <w:i/>
        </w:rPr>
        <w:br w:type="page"/>
      </w:r>
    </w:p>
    <w:p w14:paraId="0435818E" w14:textId="77777777" w:rsidR="006B5B80" w:rsidRPr="001A3416" w:rsidRDefault="006B5B80" w:rsidP="006B5B80">
      <w:pPr>
        <w:pStyle w:val="Nadpis3"/>
      </w:pPr>
      <w:bookmarkStart w:id="992" w:name="_Toc50449114"/>
      <w:bookmarkStart w:id="993" w:name="_Toc77074647"/>
      <w:r w:rsidRPr="001A3416">
        <w:t>Dílčí shrnutí</w:t>
      </w:r>
      <w:bookmarkEnd w:id="992"/>
      <w:bookmarkEnd w:id="993"/>
    </w:p>
    <w:p w14:paraId="13B7CEC6" w14:textId="77777777" w:rsidR="006B5B80" w:rsidRPr="001A3416" w:rsidRDefault="006B5B80" w:rsidP="006B5B80">
      <w:pPr>
        <w:pBdr>
          <w:top w:val="single" w:sz="4" w:space="1" w:color="auto"/>
          <w:left w:val="single" w:sz="4" w:space="3" w:color="auto"/>
          <w:bottom w:val="single" w:sz="4" w:space="31" w:color="auto"/>
          <w:right w:val="single" w:sz="4" w:space="4" w:color="auto"/>
        </w:pBdr>
        <w:shd w:val="clear" w:color="auto" w:fill="D5DCE4" w:themeFill="text2" w:themeFillTint="33"/>
        <w:rPr>
          <w:rFonts w:cstheme="minorHAnsi"/>
          <w:b/>
        </w:rPr>
      </w:pPr>
      <w:r w:rsidRPr="001A3416">
        <w:rPr>
          <w:rFonts w:cstheme="minorHAnsi"/>
          <w:b/>
        </w:rPr>
        <w:t>Hlavní zjištění:</w:t>
      </w:r>
    </w:p>
    <w:p w14:paraId="0D843F86" w14:textId="77777777" w:rsidR="006B5B80" w:rsidRPr="001A3416" w:rsidRDefault="006B5B80" w:rsidP="006B5B80">
      <w:pPr>
        <w:pBdr>
          <w:top w:val="single" w:sz="4" w:space="1" w:color="auto"/>
          <w:left w:val="single" w:sz="4" w:space="3" w:color="auto"/>
          <w:bottom w:val="single" w:sz="4" w:space="31" w:color="auto"/>
          <w:right w:val="single" w:sz="4" w:space="4" w:color="auto"/>
        </w:pBdr>
        <w:shd w:val="clear" w:color="auto" w:fill="D5DCE4" w:themeFill="text2" w:themeFillTint="33"/>
        <w:rPr>
          <w:rFonts w:cstheme="minorHAnsi"/>
          <w:b/>
          <w:sz w:val="4"/>
        </w:rPr>
      </w:pPr>
    </w:p>
    <w:p w14:paraId="2585B6FF"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240"/>
        <w:ind w:left="567" w:hanging="567"/>
        <w:contextualSpacing w:val="0"/>
        <w:rPr>
          <w:rFonts w:cstheme="minorHAnsi"/>
          <w:i/>
        </w:rPr>
      </w:pPr>
      <w:r w:rsidRPr="001A3416">
        <w:rPr>
          <w:rFonts w:cstheme="minorHAnsi"/>
          <w:i/>
        </w:rPr>
        <w:t xml:space="preserve">Podnikatelé nejsou ve městě Zlíně nespokojeni, ale nevyjádřili ani výraznou spokojenost. Jsou </w:t>
      </w:r>
      <w:r>
        <w:rPr>
          <w:rFonts w:cstheme="minorHAnsi"/>
          <w:i/>
        </w:rPr>
        <w:t xml:space="preserve">zejména </w:t>
      </w:r>
      <w:r w:rsidRPr="001A3416">
        <w:rPr>
          <w:rFonts w:cstheme="minorHAnsi"/>
          <w:i/>
        </w:rPr>
        <w:t>spokojeni s kvalitou života na území města a s dodavateli v regionu.</w:t>
      </w:r>
    </w:p>
    <w:p w14:paraId="15CA1AC6"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240"/>
        <w:ind w:left="567" w:hanging="567"/>
        <w:contextualSpacing w:val="0"/>
        <w:rPr>
          <w:rFonts w:cstheme="minorHAnsi"/>
          <w:i/>
        </w:rPr>
      </w:pPr>
      <w:r w:rsidRPr="001A3416">
        <w:rPr>
          <w:rFonts w:cstheme="minorHAnsi"/>
          <w:i/>
        </w:rPr>
        <w:t>Mezi nejčastěji uváděná pozitiva místního podnikatelského prostředí patří pozitivum podnikatelské tradice ve městě spojená s osobností Tomáše Bati, ze které vychází pracovitost místních lidí, také spolupráce a vzájemná</w:t>
      </w:r>
      <w:r>
        <w:rPr>
          <w:rFonts w:cstheme="minorHAnsi"/>
          <w:i/>
        </w:rPr>
        <w:t xml:space="preserve"> podpora</w:t>
      </w:r>
      <w:r w:rsidRPr="001A3416">
        <w:rPr>
          <w:rFonts w:cstheme="minorHAnsi"/>
          <w:i/>
        </w:rPr>
        <w:t xml:space="preserve"> mezi podnikateli v regionu,</w:t>
      </w:r>
      <w:r>
        <w:rPr>
          <w:rFonts w:cstheme="minorHAnsi"/>
          <w:i/>
        </w:rPr>
        <w:t xml:space="preserve"> s místní vysokou školou</w:t>
      </w:r>
      <w:r w:rsidRPr="001A3416">
        <w:rPr>
          <w:rFonts w:cstheme="minorHAnsi"/>
          <w:i/>
        </w:rPr>
        <w:t>, s Úřadem práce.</w:t>
      </w:r>
    </w:p>
    <w:p w14:paraId="0571D202"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240"/>
        <w:ind w:left="567" w:hanging="567"/>
        <w:contextualSpacing w:val="0"/>
        <w:rPr>
          <w:rFonts w:cstheme="minorHAnsi"/>
          <w:i/>
        </w:rPr>
      </w:pPr>
      <w:r w:rsidRPr="001A3416">
        <w:rPr>
          <w:rFonts w:cstheme="minorHAnsi"/>
          <w:i/>
        </w:rPr>
        <w:t>Většina podnikatelských subjektů vidí bariéry rozvoje v nedostatku kvalifikované pracovní síly (85</w:t>
      </w:r>
      <w:r>
        <w:rPr>
          <w:rFonts w:cstheme="minorHAnsi"/>
          <w:i/>
        </w:rPr>
        <w:t> </w:t>
      </w:r>
      <w:r w:rsidRPr="001A3416">
        <w:rPr>
          <w:rFonts w:cstheme="minorHAnsi"/>
          <w:i/>
        </w:rPr>
        <w:t xml:space="preserve">% respondentů) a náklady na mzdy (81 % respondentů). Pro malé firmy je </w:t>
      </w:r>
      <w:r>
        <w:rPr>
          <w:rFonts w:cstheme="minorHAnsi"/>
          <w:i/>
        </w:rPr>
        <w:t xml:space="preserve">největší </w:t>
      </w:r>
      <w:r w:rsidRPr="001A3416">
        <w:rPr>
          <w:rFonts w:cstheme="minorHAnsi"/>
          <w:i/>
        </w:rPr>
        <w:t>bariérou ekonomická situace ČR.</w:t>
      </w:r>
    </w:p>
    <w:p w14:paraId="7A92536A"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240"/>
        <w:ind w:left="567" w:hanging="567"/>
        <w:contextualSpacing w:val="0"/>
        <w:rPr>
          <w:rFonts w:cstheme="minorHAnsi"/>
          <w:i/>
        </w:rPr>
      </w:pPr>
      <w:r w:rsidRPr="001A3416">
        <w:rPr>
          <w:rFonts w:cstheme="minorHAnsi"/>
          <w:i/>
        </w:rPr>
        <w:t>Podnikatelské subjekty trápí problematika nedostatečné dopravní infrastruktury města, dopravního napojení a řešení dopravní obslužnosti průmyslových zón.</w:t>
      </w:r>
    </w:p>
    <w:p w14:paraId="5A970EA7"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240"/>
        <w:ind w:left="567" w:hanging="567"/>
        <w:contextualSpacing w:val="0"/>
        <w:rPr>
          <w:rFonts w:cstheme="minorHAnsi"/>
          <w:i/>
        </w:rPr>
      </w:pPr>
      <w:r w:rsidRPr="001A3416">
        <w:rPr>
          <w:rFonts w:cstheme="minorHAnsi"/>
          <w:i/>
        </w:rPr>
        <w:t xml:space="preserve">Většina respondentů doporučuje prioritně řešit dopravu ve městě - parkování, údržbu a opravy silnic (82,2 %) i dopravu do města (53,3 %). Další klíčovou oblastí je podpora malého a středního podnikání (51,1 %). </w:t>
      </w:r>
    </w:p>
    <w:p w14:paraId="701A1453"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240"/>
        <w:ind w:left="567" w:hanging="567"/>
        <w:contextualSpacing w:val="0"/>
        <w:rPr>
          <w:rFonts w:cstheme="minorHAnsi"/>
          <w:i/>
        </w:rPr>
      </w:pPr>
      <w:r w:rsidRPr="001A3416">
        <w:rPr>
          <w:rFonts w:cstheme="minorHAnsi"/>
          <w:i/>
        </w:rPr>
        <w:t>Téměř polovina respondentů by ocenila jejich zapojení do tvorby a realizace rozvojových plánů města. Jako podstatnou vidí také podporu praxí studentů v podnicích.</w:t>
      </w:r>
    </w:p>
    <w:p w14:paraId="338AB76E"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240"/>
        <w:ind w:left="567" w:hanging="567"/>
        <w:contextualSpacing w:val="0"/>
        <w:rPr>
          <w:rFonts w:cstheme="minorHAnsi"/>
          <w:i/>
        </w:rPr>
      </w:pPr>
      <w:r w:rsidRPr="001A3416">
        <w:rPr>
          <w:i/>
        </w:rPr>
        <w:t>Většina respondentů je spokojena s kvalitou úřadů a institucí ve Zlíně.</w:t>
      </w:r>
    </w:p>
    <w:p w14:paraId="6BABB36D"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160" w:line="259" w:lineRule="auto"/>
        <w:ind w:left="567" w:hanging="567"/>
        <w:contextualSpacing w:val="0"/>
        <w:jc w:val="left"/>
        <w:rPr>
          <w:rFonts w:eastAsiaTheme="majorEastAsia" w:cstheme="majorBidi"/>
          <w:b/>
          <w:color w:val="2E74B5" w:themeColor="accent1" w:themeShade="BF"/>
          <w:sz w:val="26"/>
          <w:szCs w:val="26"/>
        </w:rPr>
      </w:pPr>
      <w:r w:rsidRPr="001A3416">
        <w:rPr>
          <w:rFonts w:cstheme="minorHAnsi"/>
          <w:i/>
        </w:rPr>
        <w:t>Pozemky a objekty ve městě nebo v jeho okolí jsou dle převažujícího názoru označovány za nevyhovující. Podnikatelé hodnotí, že jsou velmi drahé, je jich spíše nedostatek, jsou nevhodně lokalizované a pozemky nejsou dostatečně vybaveny infrastrukturou.</w:t>
      </w:r>
      <w:r w:rsidRPr="001A3416">
        <w:rPr>
          <w:rFonts w:cstheme="minorHAnsi"/>
        </w:rPr>
        <w:t xml:space="preserve"> </w:t>
      </w:r>
    </w:p>
    <w:p w14:paraId="350F4CD7"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160" w:line="259" w:lineRule="auto"/>
        <w:ind w:left="567" w:hanging="567"/>
        <w:contextualSpacing w:val="0"/>
        <w:jc w:val="left"/>
        <w:rPr>
          <w:rFonts w:eastAsiaTheme="majorEastAsia" w:cstheme="majorBidi"/>
          <w:b/>
          <w:color w:val="2E74B5" w:themeColor="accent1" w:themeShade="BF"/>
          <w:sz w:val="26"/>
          <w:szCs w:val="26"/>
        </w:rPr>
      </w:pPr>
      <w:r w:rsidRPr="001A3416">
        <w:rPr>
          <w:rFonts w:cstheme="minorHAnsi"/>
          <w:i/>
        </w:rPr>
        <w:t>Většina respondentů neplánuje přemístění podnikání do jiného území či ukončení podnikání ve městě Zlíně. Téměř třetina respondentů potřebuje pro rozšíření svých podnikatelských aktivit další nemovitosti.</w:t>
      </w:r>
    </w:p>
    <w:p w14:paraId="2703B1D8" w14:textId="77777777" w:rsidR="006B5B80" w:rsidRPr="001A3DA7"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160" w:line="259" w:lineRule="auto"/>
        <w:ind w:left="567" w:hanging="567"/>
        <w:contextualSpacing w:val="0"/>
        <w:jc w:val="left"/>
        <w:rPr>
          <w:rFonts w:eastAsiaTheme="majorEastAsia" w:cstheme="majorBidi"/>
          <w:b/>
          <w:i/>
          <w:color w:val="2E74B5" w:themeColor="accent1" w:themeShade="BF"/>
          <w:sz w:val="26"/>
          <w:szCs w:val="26"/>
        </w:rPr>
      </w:pPr>
      <w:r w:rsidRPr="001A3416">
        <w:rPr>
          <w:i/>
        </w:rPr>
        <w:t xml:space="preserve">Většina z respondentů vlastní podnikatelské nemovitosti (87,1 % zástupců </w:t>
      </w:r>
      <w:r w:rsidRPr="0043207E">
        <w:rPr>
          <w:i/>
        </w:rPr>
        <w:t>středních a velkých</w:t>
      </w:r>
      <w:r w:rsidRPr="001A3416">
        <w:rPr>
          <w:i/>
        </w:rPr>
        <w:t xml:space="preserve"> firem a 58,3 % zástupců malých firem). Některé z nich je plánují prodat či pronajmout.</w:t>
      </w:r>
    </w:p>
    <w:p w14:paraId="53CA67DC" w14:textId="77777777" w:rsidR="006B5B80" w:rsidRPr="001A3DA7"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160" w:line="259" w:lineRule="auto"/>
        <w:ind w:left="567" w:hanging="567"/>
        <w:contextualSpacing w:val="0"/>
        <w:jc w:val="left"/>
        <w:rPr>
          <w:rFonts w:eastAsiaTheme="majorEastAsia" w:cstheme="majorBidi"/>
          <w:b/>
          <w:i/>
          <w:color w:val="2E74B5" w:themeColor="accent1" w:themeShade="BF"/>
          <w:sz w:val="26"/>
          <w:szCs w:val="26"/>
        </w:rPr>
      </w:pPr>
      <w:r w:rsidRPr="001A3DA7">
        <w:rPr>
          <w:i/>
        </w:rPr>
        <w:t xml:space="preserve">Většině </w:t>
      </w:r>
      <w:r w:rsidRPr="0043207E">
        <w:rPr>
          <w:i/>
        </w:rPr>
        <w:t>středních a velkých</w:t>
      </w:r>
      <w:r w:rsidRPr="001A3DA7">
        <w:rPr>
          <w:i/>
        </w:rPr>
        <w:t xml:space="preserve"> firem se dlouhodobě nedaří obsazovat všechny pracovní pozice. Firmy nejvíce dlouhodobě postrádají technické a dělnické profese a </w:t>
      </w:r>
      <w:r>
        <w:rPr>
          <w:i/>
        </w:rPr>
        <w:t xml:space="preserve">kvalifikované </w:t>
      </w:r>
      <w:r w:rsidRPr="001A3DA7">
        <w:rPr>
          <w:i/>
        </w:rPr>
        <w:t>odborníky v daných profesích.</w:t>
      </w:r>
    </w:p>
    <w:p w14:paraId="16FF4C33" w14:textId="77777777" w:rsidR="006B5B80" w:rsidRPr="001A3416" w:rsidRDefault="006B5B80" w:rsidP="00A55F7D">
      <w:pPr>
        <w:pStyle w:val="Odstavecseseznamem"/>
        <w:numPr>
          <w:ilvl w:val="0"/>
          <w:numId w:val="70"/>
        </w:numPr>
        <w:pBdr>
          <w:top w:val="single" w:sz="4" w:space="1" w:color="auto"/>
          <w:left w:val="single" w:sz="4" w:space="3" w:color="auto"/>
          <w:bottom w:val="single" w:sz="4" w:space="31" w:color="auto"/>
          <w:right w:val="single" w:sz="4" w:space="4" w:color="auto"/>
        </w:pBdr>
        <w:shd w:val="clear" w:color="auto" w:fill="D5DCE4" w:themeFill="text2" w:themeFillTint="33"/>
        <w:autoSpaceDE w:val="0"/>
        <w:autoSpaceDN w:val="0"/>
        <w:adjustRightInd w:val="0"/>
        <w:spacing w:before="0" w:after="160" w:line="259" w:lineRule="auto"/>
        <w:ind w:left="567" w:hanging="567"/>
        <w:contextualSpacing w:val="0"/>
        <w:jc w:val="left"/>
        <w:rPr>
          <w:rFonts w:eastAsiaTheme="majorEastAsia" w:cstheme="majorBidi"/>
          <w:b/>
          <w:i/>
          <w:color w:val="2E74B5" w:themeColor="accent1" w:themeShade="BF"/>
          <w:sz w:val="26"/>
          <w:szCs w:val="26"/>
        </w:rPr>
      </w:pPr>
      <w:r w:rsidRPr="001A3416">
        <w:rPr>
          <w:i/>
        </w:rPr>
        <w:t>Firmy, které plánují v následující</w:t>
      </w:r>
      <w:r>
        <w:rPr>
          <w:i/>
        </w:rPr>
        <w:t>m</w:t>
      </w:r>
      <w:r w:rsidRPr="001A3416">
        <w:rPr>
          <w:i/>
        </w:rPr>
        <w:t xml:space="preserve"> </w:t>
      </w:r>
      <w:r>
        <w:rPr>
          <w:i/>
        </w:rPr>
        <w:t>roce</w:t>
      </w:r>
      <w:r w:rsidRPr="001A3416">
        <w:rPr>
          <w:i/>
        </w:rPr>
        <w:t xml:space="preserve"> přijímat nové zaměstnance, by mohly ve městě nabídnout cca 210 nových pracovních míst.</w:t>
      </w:r>
    </w:p>
    <w:p w14:paraId="5B1AFBDF" w14:textId="77777777" w:rsidR="006B5B80" w:rsidRPr="001A3416" w:rsidRDefault="006B5B80" w:rsidP="006B5B80">
      <w:pPr>
        <w:spacing w:before="0" w:after="160" w:line="259" w:lineRule="auto"/>
        <w:jc w:val="left"/>
        <w:rPr>
          <w:rFonts w:eastAsiaTheme="majorEastAsia" w:cstheme="majorBidi"/>
          <w:b/>
          <w:color w:val="2E74B5" w:themeColor="accent1" w:themeShade="BF"/>
          <w:sz w:val="26"/>
          <w:szCs w:val="26"/>
        </w:rPr>
      </w:pPr>
      <w:r w:rsidRPr="001A3416">
        <w:br w:type="page"/>
      </w:r>
    </w:p>
    <w:p w14:paraId="353D6E75" w14:textId="77777777" w:rsidR="006B5B80" w:rsidRPr="001A3416" w:rsidRDefault="006B5B80" w:rsidP="006B5B80">
      <w:pPr>
        <w:pStyle w:val="Nadpis3"/>
      </w:pPr>
      <w:bookmarkStart w:id="994" w:name="_Toc77074648"/>
      <w:r w:rsidRPr="001A3416">
        <w:t>Příloha</w:t>
      </w:r>
      <w:r>
        <w:t xml:space="preserve"> – doplňující tabulky a grafy</w:t>
      </w:r>
      <w:bookmarkEnd w:id="994"/>
    </w:p>
    <w:p w14:paraId="10C34D2F" w14:textId="2ABE7BF8" w:rsidR="006B5B80" w:rsidRPr="001A3416" w:rsidRDefault="006B5B80" w:rsidP="006B5B80">
      <w:pPr>
        <w:pStyle w:val="Titulek"/>
      </w:pPr>
      <w:bookmarkStart w:id="995" w:name="_Toc54702659"/>
      <w:bookmarkStart w:id="996" w:name="_Toc56179466"/>
      <w:bookmarkStart w:id="997" w:name="_Toc57731824"/>
      <w:bookmarkStart w:id="998" w:name="_Toc77074808"/>
      <w:r w:rsidRPr="001A3416">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2</w:t>
      </w:r>
      <w:r w:rsidR="004857C6">
        <w:rPr>
          <w:noProof/>
        </w:rPr>
        <w:fldChar w:fldCharType="end"/>
      </w:r>
      <w:r w:rsidR="00DC277C">
        <w:t>.</w:t>
      </w:r>
      <w:r w:rsidR="00081B47">
        <w:rPr>
          <w:noProof/>
        </w:rPr>
        <w:fldChar w:fldCharType="begin"/>
      </w:r>
      <w:r w:rsidR="00081B47">
        <w:rPr>
          <w:noProof/>
        </w:rPr>
        <w:instrText xml:space="preserve"> SEQ Tabulka \* ARABIC \s 1 </w:instrText>
      </w:r>
      <w:r w:rsidR="00081B47">
        <w:rPr>
          <w:noProof/>
        </w:rPr>
        <w:fldChar w:fldCharType="separate"/>
      </w:r>
      <w:r w:rsidR="00332A29">
        <w:rPr>
          <w:noProof/>
        </w:rPr>
        <w:t>45</w:t>
      </w:r>
      <w:r w:rsidR="00081B47">
        <w:rPr>
          <w:noProof/>
        </w:rPr>
        <w:fldChar w:fldCharType="end"/>
      </w:r>
      <w:r w:rsidR="0038474E">
        <w:rPr>
          <w:noProof/>
        </w:rPr>
        <w:t>:</w:t>
      </w:r>
      <w:r w:rsidRPr="001A3416">
        <w:t xml:space="preserve"> Kompletní výčet profesí, které firmy dlouhodobě postrádají</w:t>
      </w:r>
      <w:bookmarkEnd w:id="995"/>
      <w:bookmarkEnd w:id="996"/>
      <w:bookmarkEnd w:id="997"/>
      <w:bookmarkEnd w:id="998"/>
    </w:p>
    <w:tbl>
      <w:tblPr>
        <w:tblW w:w="9007" w:type="dxa"/>
        <w:tblCellMar>
          <w:left w:w="70" w:type="dxa"/>
          <w:right w:w="70" w:type="dxa"/>
        </w:tblCellMar>
        <w:tblLook w:val="04A0" w:firstRow="1" w:lastRow="0" w:firstColumn="1" w:lastColumn="0" w:noHBand="0" w:noVBand="1"/>
      </w:tblPr>
      <w:tblGrid>
        <w:gridCol w:w="2263"/>
        <w:gridCol w:w="761"/>
        <w:gridCol w:w="2127"/>
        <w:gridCol w:w="851"/>
        <w:gridCol w:w="2195"/>
        <w:gridCol w:w="810"/>
      </w:tblGrid>
      <w:tr w:rsidR="006B5B80" w:rsidRPr="001A3416" w14:paraId="1619EF16" w14:textId="77777777" w:rsidTr="000C49A5">
        <w:trPr>
          <w:trHeight w:val="308"/>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4ACE9"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Profese</w:t>
            </w:r>
          </w:p>
        </w:tc>
        <w:tc>
          <w:tcPr>
            <w:tcW w:w="761" w:type="dxa"/>
            <w:tcBorders>
              <w:top w:val="single" w:sz="4" w:space="0" w:color="auto"/>
              <w:left w:val="nil"/>
              <w:bottom w:val="single" w:sz="4" w:space="0" w:color="auto"/>
              <w:right w:val="single" w:sz="4" w:space="0" w:color="auto"/>
            </w:tcBorders>
            <w:shd w:val="clear" w:color="auto" w:fill="auto"/>
            <w:vAlign w:val="bottom"/>
            <w:hideMark/>
          </w:tcPr>
          <w:p w14:paraId="2A1A4043"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Četnost výskytu</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14:paraId="4C20071B"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Profese</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03BD7C91"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Četnost výskytu</w:t>
            </w:r>
          </w:p>
        </w:tc>
        <w:tc>
          <w:tcPr>
            <w:tcW w:w="2195" w:type="dxa"/>
            <w:tcBorders>
              <w:top w:val="single" w:sz="4" w:space="0" w:color="auto"/>
              <w:left w:val="nil"/>
              <w:bottom w:val="single" w:sz="4" w:space="0" w:color="auto"/>
              <w:right w:val="single" w:sz="4" w:space="0" w:color="auto"/>
            </w:tcBorders>
            <w:shd w:val="clear" w:color="auto" w:fill="auto"/>
            <w:noWrap/>
            <w:vAlign w:val="bottom"/>
            <w:hideMark/>
          </w:tcPr>
          <w:p w14:paraId="17606D6B"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Profese</w:t>
            </w:r>
          </w:p>
        </w:tc>
        <w:tc>
          <w:tcPr>
            <w:tcW w:w="810" w:type="dxa"/>
            <w:tcBorders>
              <w:top w:val="single" w:sz="4" w:space="0" w:color="auto"/>
              <w:left w:val="nil"/>
              <w:bottom w:val="single" w:sz="4" w:space="0" w:color="auto"/>
              <w:right w:val="single" w:sz="4" w:space="0" w:color="auto"/>
            </w:tcBorders>
            <w:shd w:val="clear" w:color="auto" w:fill="auto"/>
            <w:vAlign w:val="bottom"/>
            <w:hideMark/>
          </w:tcPr>
          <w:p w14:paraId="695251D3" w14:textId="77777777" w:rsidR="006B5B80" w:rsidRPr="001A3416" w:rsidRDefault="006B5B80" w:rsidP="000C49A5">
            <w:pPr>
              <w:spacing w:before="0"/>
              <w:jc w:val="left"/>
              <w:rPr>
                <w:rFonts w:ascii="Calibri" w:eastAsia="Times New Roman" w:hAnsi="Calibri" w:cs="Calibri"/>
                <w:b/>
                <w:bCs/>
                <w:color w:val="000000"/>
                <w:sz w:val="18"/>
                <w:szCs w:val="18"/>
                <w:lang w:eastAsia="cs-CZ"/>
              </w:rPr>
            </w:pPr>
            <w:r w:rsidRPr="001A3416">
              <w:rPr>
                <w:rFonts w:ascii="Calibri" w:eastAsia="Times New Roman" w:hAnsi="Calibri" w:cs="Calibri"/>
                <w:b/>
                <w:bCs/>
                <w:color w:val="000000"/>
                <w:sz w:val="18"/>
                <w:szCs w:val="18"/>
                <w:lang w:eastAsia="cs-CZ"/>
              </w:rPr>
              <w:t>Četnost výskytu</w:t>
            </w:r>
          </w:p>
        </w:tc>
      </w:tr>
      <w:tr w:rsidR="006B5B80" w:rsidRPr="001A3416" w14:paraId="2359306C"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7BF5D3E3"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Strojní konstruktér</w:t>
            </w:r>
          </w:p>
        </w:tc>
        <w:tc>
          <w:tcPr>
            <w:tcW w:w="761" w:type="dxa"/>
            <w:tcBorders>
              <w:top w:val="nil"/>
              <w:left w:val="nil"/>
              <w:bottom w:val="single" w:sz="4" w:space="0" w:color="auto"/>
              <w:right w:val="single" w:sz="4" w:space="0" w:color="auto"/>
            </w:tcBorders>
            <w:shd w:val="clear" w:color="auto" w:fill="auto"/>
            <w:vAlign w:val="bottom"/>
            <w:hideMark/>
          </w:tcPr>
          <w:p w14:paraId="20CEB4D0"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4</w:t>
            </w:r>
          </w:p>
        </w:tc>
        <w:tc>
          <w:tcPr>
            <w:tcW w:w="2127" w:type="dxa"/>
            <w:tcBorders>
              <w:top w:val="nil"/>
              <w:left w:val="nil"/>
              <w:bottom w:val="single" w:sz="4" w:space="0" w:color="auto"/>
              <w:right w:val="single" w:sz="4" w:space="0" w:color="auto"/>
            </w:tcBorders>
            <w:shd w:val="clear" w:color="auto" w:fill="auto"/>
            <w:vAlign w:val="bottom"/>
            <w:hideMark/>
          </w:tcPr>
          <w:p w14:paraId="34FB4117"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Elektro konstruktér</w:t>
            </w:r>
          </w:p>
        </w:tc>
        <w:tc>
          <w:tcPr>
            <w:tcW w:w="851" w:type="dxa"/>
            <w:tcBorders>
              <w:top w:val="nil"/>
              <w:left w:val="nil"/>
              <w:bottom w:val="single" w:sz="4" w:space="0" w:color="auto"/>
              <w:right w:val="single" w:sz="4" w:space="0" w:color="auto"/>
            </w:tcBorders>
            <w:shd w:val="clear" w:color="auto" w:fill="auto"/>
            <w:vAlign w:val="bottom"/>
            <w:hideMark/>
          </w:tcPr>
          <w:p w14:paraId="25FCEBAB"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72E9D091"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Skladník</w:t>
            </w:r>
          </w:p>
        </w:tc>
        <w:tc>
          <w:tcPr>
            <w:tcW w:w="810" w:type="dxa"/>
            <w:tcBorders>
              <w:top w:val="nil"/>
              <w:left w:val="nil"/>
              <w:bottom w:val="single" w:sz="4" w:space="0" w:color="auto"/>
              <w:right w:val="single" w:sz="4" w:space="0" w:color="auto"/>
            </w:tcBorders>
            <w:shd w:val="clear" w:color="auto" w:fill="auto"/>
            <w:noWrap/>
            <w:vAlign w:val="bottom"/>
            <w:hideMark/>
          </w:tcPr>
          <w:p w14:paraId="0EF33587"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5A273964"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2FA35170"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Obsluha CNC strojů</w:t>
            </w:r>
          </w:p>
        </w:tc>
        <w:tc>
          <w:tcPr>
            <w:tcW w:w="761" w:type="dxa"/>
            <w:tcBorders>
              <w:top w:val="nil"/>
              <w:left w:val="nil"/>
              <w:bottom w:val="single" w:sz="4" w:space="0" w:color="auto"/>
              <w:right w:val="single" w:sz="4" w:space="0" w:color="auto"/>
            </w:tcBorders>
            <w:shd w:val="clear" w:color="auto" w:fill="auto"/>
            <w:vAlign w:val="bottom"/>
            <w:hideMark/>
          </w:tcPr>
          <w:p w14:paraId="277803FD"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3</w:t>
            </w:r>
          </w:p>
        </w:tc>
        <w:tc>
          <w:tcPr>
            <w:tcW w:w="2127" w:type="dxa"/>
            <w:tcBorders>
              <w:top w:val="nil"/>
              <w:left w:val="nil"/>
              <w:bottom w:val="single" w:sz="4" w:space="0" w:color="auto"/>
              <w:right w:val="single" w:sz="4" w:space="0" w:color="auto"/>
            </w:tcBorders>
            <w:shd w:val="clear" w:color="auto" w:fill="auto"/>
            <w:vAlign w:val="bottom"/>
            <w:hideMark/>
          </w:tcPr>
          <w:p w14:paraId="423DD3A2"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Elektronik</w:t>
            </w:r>
          </w:p>
        </w:tc>
        <w:tc>
          <w:tcPr>
            <w:tcW w:w="851" w:type="dxa"/>
            <w:tcBorders>
              <w:top w:val="nil"/>
              <w:left w:val="nil"/>
              <w:bottom w:val="single" w:sz="4" w:space="0" w:color="auto"/>
              <w:right w:val="single" w:sz="4" w:space="0" w:color="auto"/>
            </w:tcBorders>
            <w:shd w:val="clear" w:color="auto" w:fill="auto"/>
            <w:vAlign w:val="bottom"/>
            <w:hideMark/>
          </w:tcPr>
          <w:p w14:paraId="58ECB5B5"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0C03C204"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Slévárenský dělník</w:t>
            </w:r>
          </w:p>
        </w:tc>
        <w:tc>
          <w:tcPr>
            <w:tcW w:w="810" w:type="dxa"/>
            <w:tcBorders>
              <w:top w:val="nil"/>
              <w:left w:val="nil"/>
              <w:bottom w:val="single" w:sz="4" w:space="0" w:color="auto"/>
              <w:right w:val="single" w:sz="4" w:space="0" w:color="auto"/>
            </w:tcBorders>
            <w:shd w:val="clear" w:color="auto" w:fill="auto"/>
            <w:noWrap/>
            <w:vAlign w:val="bottom"/>
            <w:hideMark/>
          </w:tcPr>
          <w:p w14:paraId="0736BE17"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6F42C3F5"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2DD1A4A5"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Zámečník</w:t>
            </w:r>
          </w:p>
        </w:tc>
        <w:tc>
          <w:tcPr>
            <w:tcW w:w="761" w:type="dxa"/>
            <w:tcBorders>
              <w:top w:val="nil"/>
              <w:left w:val="nil"/>
              <w:bottom w:val="single" w:sz="4" w:space="0" w:color="auto"/>
              <w:right w:val="single" w:sz="4" w:space="0" w:color="auto"/>
            </w:tcBorders>
            <w:shd w:val="clear" w:color="auto" w:fill="auto"/>
            <w:vAlign w:val="bottom"/>
            <w:hideMark/>
          </w:tcPr>
          <w:p w14:paraId="5EA61652"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3</w:t>
            </w:r>
          </w:p>
        </w:tc>
        <w:tc>
          <w:tcPr>
            <w:tcW w:w="2127" w:type="dxa"/>
            <w:tcBorders>
              <w:top w:val="nil"/>
              <w:left w:val="nil"/>
              <w:bottom w:val="single" w:sz="4" w:space="0" w:color="auto"/>
              <w:right w:val="single" w:sz="4" w:space="0" w:color="auto"/>
            </w:tcBorders>
            <w:shd w:val="clear" w:color="auto" w:fill="auto"/>
            <w:vAlign w:val="bottom"/>
            <w:hideMark/>
          </w:tcPr>
          <w:p w14:paraId="24B33377"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Chemik</w:t>
            </w:r>
          </w:p>
        </w:tc>
        <w:tc>
          <w:tcPr>
            <w:tcW w:w="851" w:type="dxa"/>
            <w:tcBorders>
              <w:top w:val="nil"/>
              <w:left w:val="nil"/>
              <w:bottom w:val="single" w:sz="4" w:space="0" w:color="auto"/>
              <w:right w:val="single" w:sz="4" w:space="0" w:color="auto"/>
            </w:tcBorders>
            <w:shd w:val="clear" w:color="auto" w:fill="auto"/>
            <w:vAlign w:val="bottom"/>
            <w:hideMark/>
          </w:tcPr>
          <w:p w14:paraId="09CA1062"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27E34343"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Stavební dělník</w:t>
            </w:r>
          </w:p>
        </w:tc>
        <w:tc>
          <w:tcPr>
            <w:tcW w:w="810" w:type="dxa"/>
            <w:tcBorders>
              <w:top w:val="nil"/>
              <w:left w:val="nil"/>
              <w:bottom w:val="single" w:sz="4" w:space="0" w:color="auto"/>
              <w:right w:val="single" w:sz="4" w:space="0" w:color="auto"/>
            </w:tcBorders>
            <w:shd w:val="clear" w:color="auto" w:fill="auto"/>
            <w:noWrap/>
            <w:vAlign w:val="bottom"/>
            <w:hideMark/>
          </w:tcPr>
          <w:p w14:paraId="54983C01"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4EA59371"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6F6486C9"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IT</w:t>
            </w:r>
          </w:p>
        </w:tc>
        <w:tc>
          <w:tcPr>
            <w:tcW w:w="761" w:type="dxa"/>
            <w:tcBorders>
              <w:top w:val="nil"/>
              <w:left w:val="nil"/>
              <w:bottom w:val="single" w:sz="4" w:space="0" w:color="auto"/>
              <w:right w:val="single" w:sz="4" w:space="0" w:color="auto"/>
            </w:tcBorders>
            <w:shd w:val="clear" w:color="auto" w:fill="auto"/>
            <w:vAlign w:val="bottom"/>
            <w:hideMark/>
          </w:tcPr>
          <w:p w14:paraId="7E93C5BA"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06156264"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Konstruktér</w:t>
            </w:r>
          </w:p>
        </w:tc>
        <w:tc>
          <w:tcPr>
            <w:tcW w:w="851" w:type="dxa"/>
            <w:tcBorders>
              <w:top w:val="nil"/>
              <w:left w:val="nil"/>
              <w:bottom w:val="single" w:sz="4" w:space="0" w:color="auto"/>
              <w:right w:val="single" w:sz="4" w:space="0" w:color="auto"/>
            </w:tcBorders>
            <w:shd w:val="clear" w:color="auto" w:fill="auto"/>
            <w:vAlign w:val="bottom"/>
            <w:hideMark/>
          </w:tcPr>
          <w:p w14:paraId="7D6C4681"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3DD9BB33"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Stavební inženýr</w:t>
            </w:r>
          </w:p>
        </w:tc>
        <w:tc>
          <w:tcPr>
            <w:tcW w:w="810" w:type="dxa"/>
            <w:tcBorders>
              <w:top w:val="nil"/>
              <w:left w:val="nil"/>
              <w:bottom w:val="single" w:sz="4" w:space="0" w:color="auto"/>
              <w:right w:val="single" w:sz="4" w:space="0" w:color="auto"/>
            </w:tcBorders>
            <w:shd w:val="clear" w:color="auto" w:fill="auto"/>
            <w:noWrap/>
            <w:vAlign w:val="bottom"/>
            <w:hideMark/>
          </w:tcPr>
          <w:p w14:paraId="64EF6293"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205299A8"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4116416C"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Obráběč (strojů, kovů)</w:t>
            </w:r>
          </w:p>
        </w:tc>
        <w:tc>
          <w:tcPr>
            <w:tcW w:w="761" w:type="dxa"/>
            <w:tcBorders>
              <w:top w:val="nil"/>
              <w:left w:val="nil"/>
              <w:bottom w:val="single" w:sz="4" w:space="0" w:color="auto"/>
              <w:right w:val="single" w:sz="4" w:space="0" w:color="auto"/>
            </w:tcBorders>
            <w:shd w:val="clear" w:color="auto" w:fill="auto"/>
            <w:vAlign w:val="bottom"/>
            <w:hideMark/>
          </w:tcPr>
          <w:p w14:paraId="0DD8B13E"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4D14454E" w14:textId="4FC073A5" w:rsidR="006B5B80" w:rsidRPr="001A3416" w:rsidRDefault="0038474E"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Obchodník</w:t>
            </w:r>
          </w:p>
        </w:tc>
        <w:tc>
          <w:tcPr>
            <w:tcW w:w="851" w:type="dxa"/>
            <w:tcBorders>
              <w:top w:val="nil"/>
              <w:left w:val="nil"/>
              <w:bottom w:val="single" w:sz="4" w:space="0" w:color="auto"/>
              <w:right w:val="single" w:sz="4" w:space="0" w:color="auto"/>
            </w:tcBorders>
            <w:shd w:val="clear" w:color="auto" w:fill="auto"/>
            <w:vAlign w:val="bottom"/>
            <w:hideMark/>
          </w:tcPr>
          <w:p w14:paraId="1DB39A81"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0E3B0030"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Strojník</w:t>
            </w:r>
          </w:p>
        </w:tc>
        <w:tc>
          <w:tcPr>
            <w:tcW w:w="810" w:type="dxa"/>
            <w:tcBorders>
              <w:top w:val="nil"/>
              <w:left w:val="nil"/>
              <w:bottom w:val="single" w:sz="4" w:space="0" w:color="auto"/>
              <w:right w:val="single" w:sz="4" w:space="0" w:color="auto"/>
            </w:tcBorders>
            <w:shd w:val="clear" w:color="auto" w:fill="auto"/>
            <w:noWrap/>
            <w:vAlign w:val="bottom"/>
            <w:hideMark/>
          </w:tcPr>
          <w:p w14:paraId="0882E332"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7483863C" w14:textId="77777777" w:rsidTr="000C49A5">
        <w:trPr>
          <w:trHeight w:val="458"/>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1BDD871E" w14:textId="471A2C95" w:rsidR="006B5B80" w:rsidRPr="001A3416" w:rsidRDefault="006B5B80" w:rsidP="0038474E">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Odborník na automatizace a</w:t>
            </w:r>
            <w:r w:rsidR="0038474E">
              <w:rPr>
                <w:rFonts w:ascii="Calibri" w:eastAsia="Times New Roman" w:hAnsi="Calibri" w:cs="Calibri"/>
                <w:color w:val="000000"/>
                <w:sz w:val="18"/>
                <w:szCs w:val="18"/>
                <w:lang w:eastAsia="cs-CZ"/>
              </w:rPr>
              <w:t> </w:t>
            </w:r>
            <w:r w:rsidRPr="001A3416">
              <w:rPr>
                <w:rFonts w:ascii="Calibri" w:eastAsia="Times New Roman" w:hAnsi="Calibri" w:cs="Calibri"/>
                <w:color w:val="000000"/>
                <w:sz w:val="18"/>
                <w:szCs w:val="18"/>
                <w:lang w:eastAsia="cs-CZ"/>
              </w:rPr>
              <w:t>robotizace</w:t>
            </w:r>
          </w:p>
        </w:tc>
        <w:tc>
          <w:tcPr>
            <w:tcW w:w="761" w:type="dxa"/>
            <w:tcBorders>
              <w:top w:val="nil"/>
              <w:left w:val="nil"/>
              <w:bottom w:val="single" w:sz="4" w:space="0" w:color="auto"/>
              <w:right w:val="single" w:sz="4" w:space="0" w:color="auto"/>
            </w:tcBorders>
            <w:shd w:val="clear" w:color="auto" w:fill="auto"/>
            <w:vAlign w:val="bottom"/>
            <w:hideMark/>
          </w:tcPr>
          <w:p w14:paraId="1C954F82"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2717FE40"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Obsluha konvenčního soustruhu</w:t>
            </w:r>
          </w:p>
        </w:tc>
        <w:tc>
          <w:tcPr>
            <w:tcW w:w="851" w:type="dxa"/>
            <w:tcBorders>
              <w:top w:val="nil"/>
              <w:left w:val="nil"/>
              <w:bottom w:val="single" w:sz="4" w:space="0" w:color="auto"/>
              <w:right w:val="single" w:sz="4" w:space="0" w:color="auto"/>
            </w:tcBorders>
            <w:shd w:val="clear" w:color="auto" w:fill="auto"/>
            <w:vAlign w:val="bottom"/>
            <w:hideMark/>
          </w:tcPr>
          <w:p w14:paraId="5E81B6CA"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314E3F8C"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Svářeč</w:t>
            </w:r>
          </w:p>
        </w:tc>
        <w:tc>
          <w:tcPr>
            <w:tcW w:w="810" w:type="dxa"/>
            <w:tcBorders>
              <w:top w:val="nil"/>
              <w:left w:val="nil"/>
              <w:bottom w:val="single" w:sz="4" w:space="0" w:color="auto"/>
              <w:right w:val="single" w:sz="4" w:space="0" w:color="auto"/>
            </w:tcBorders>
            <w:shd w:val="clear" w:color="auto" w:fill="auto"/>
            <w:noWrap/>
            <w:vAlign w:val="bottom"/>
            <w:hideMark/>
          </w:tcPr>
          <w:p w14:paraId="21E8A15F"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1983EE86" w14:textId="77777777" w:rsidTr="000C49A5">
        <w:trPr>
          <w:trHeight w:val="308"/>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74C1ABFF"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Programátor</w:t>
            </w:r>
          </w:p>
        </w:tc>
        <w:tc>
          <w:tcPr>
            <w:tcW w:w="761" w:type="dxa"/>
            <w:tcBorders>
              <w:top w:val="nil"/>
              <w:left w:val="nil"/>
              <w:bottom w:val="single" w:sz="4" w:space="0" w:color="auto"/>
              <w:right w:val="single" w:sz="4" w:space="0" w:color="auto"/>
            </w:tcBorders>
            <w:shd w:val="clear" w:color="auto" w:fill="auto"/>
            <w:vAlign w:val="bottom"/>
            <w:hideMark/>
          </w:tcPr>
          <w:p w14:paraId="44F04DBF"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51E378D2"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Operátor knihařských strojů a zařízení</w:t>
            </w:r>
          </w:p>
        </w:tc>
        <w:tc>
          <w:tcPr>
            <w:tcW w:w="851" w:type="dxa"/>
            <w:tcBorders>
              <w:top w:val="nil"/>
              <w:left w:val="nil"/>
              <w:bottom w:val="single" w:sz="4" w:space="0" w:color="auto"/>
              <w:right w:val="single" w:sz="4" w:space="0" w:color="auto"/>
            </w:tcBorders>
            <w:shd w:val="clear" w:color="auto" w:fill="auto"/>
            <w:vAlign w:val="bottom"/>
            <w:hideMark/>
          </w:tcPr>
          <w:p w14:paraId="1E9EE15D"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503874CA"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Šička</w:t>
            </w:r>
          </w:p>
        </w:tc>
        <w:tc>
          <w:tcPr>
            <w:tcW w:w="810" w:type="dxa"/>
            <w:tcBorders>
              <w:top w:val="nil"/>
              <w:left w:val="nil"/>
              <w:bottom w:val="single" w:sz="4" w:space="0" w:color="auto"/>
              <w:right w:val="single" w:sz="4" w:space="0" w:color="auto"/>
            </w:tcBorders>
            <w:shd w:val="clear" w:color="auto" w:fill="auto"/>
            <w:noWrap/>
            <w:vAlign w:val="bottom"/>
            <w:hideMark/>
          </w:tcPr>
          <w:p w14:paraId="20E55894"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7AD2AEF7"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75624C77"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 xml:space="preserve">Průmyslový inženýr </w:t>
            </w:r>
          </w:p>
        </w:tc>
        <w:tc>
          <w:tcPr>
            <w:tcW w:w="761" w:type="dxa"/>
            <w:tcBorders>
              <w:top w:val="nil"/>
              <w:left w:val="nil"/>
              <w:bottom w:val="single" w:sz="4" w:space="0" w:color="auto"/>
              <w:right w:val="single" w:sz="4" w:space="0" w:color="auto"/>
            </w:tcBorders>
            <w:shd w:val="clear" w:color="auto" w:fill="auto"/>
            <w:vAlign w:val="bottom"/>
            <w:hideMark/>
          </w:tcPr>
          <w:p w14:paraId="571C5D80"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763BE378"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Operátor ve výrobě</w:t>
            </w:r>
          </w:p>
        </w:tc>
        <w:tc>
          <w:tcPr>
            <w:tcW w:w="851" w:type="dxa"/>
            <w:tcBorders>
              <w:top w:val="nil"/>
              <w:left w:val="nil"/>
              <w:bottom w:val="single" w:sz="4" w:space="0" w:color="auto"/>
              <w:right w:val="single" w:sz="4" w:space="0" w:color="auto"/>
            </w:tcBorders>
            <w:shd w:val="clear" w:color="auto" w:fill="auto"/>
            <w:vAlign w:val="bottom"/>
            <w:hideMark/>
          </w:tcPr>
          <w:p w14:paraId="729268FA"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75D23EB8"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Tavič</w:t>
            </w:r>
          </w:p>
        </w:tc>
        <w:tc>
          <w:tcPr>
            <w:tcW w:w="810" w:type="dxa"/>
            <w:tcBorders>
              <w:top w:val="nil"/>
              <w:left w:val="nil"/>
              <w:bottom w:val="single" w:sz="4" w:space="0" w:color="auto"/>
              <w:right w:val="single" w:sz="4" w:space="0" w:color="auto"/>
            </w:tcBorders>
            <w:shd w:val="clear" w:color="auto" w:fill="auto"/>
            <w:noWrap/>
            <w:vAlign w:val="bottom"/>
            <w:hideMark/>
          </w:tcPr>
          <w:p w14:paraId="1DBD1B72"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465F689B" w14:textId="77777777" w:rsidTr="000C49A5">
        <w:trPr>
          <w:trHeight w:val="308"/>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7F8F2FAA"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Technolog zpracování plastů</w:t>
            </w:r>
          </w:p>
        </w:tc>
        <w:tc>
          <w:tcPr>
            <w:tcW w:w="761" w:type="dxa"/>
            <w:tcBorders>
              <w:top w:val="nil"/>
              <w:left w:val="nil"/>
              <w:bottom w:val="single" w:sz="4" w:space="0" w:color="auto"/>
              <w:right w:val="single" w:sz="4" w:space="0" w:color="auto"/>
            </w:tcBorders>
            <w:shd w:val="clear" w:color="auto" w:fill="auto"/>
            <w:vAlign w:val="bottom"/>
            <w:hideMark/>
          </w:tcPr>
          <w:p w14:paraId="3324895D"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1BB69153"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 xml:space="preserve">Pokladní </w:t>
            </w:r>
          </w:p>
        </w:tc>
        <w:tc>
          <w:tcPr>
            <w:tcW w:w="851" w:type="dxa"/>
            <w:tcBorders>
              <w:top w:val="nil"/>
              <w:left w:val="nil"/>
              <w:bottom w:val="single" w:sz="4" w:space="0" w:color="auto"/>
              <w:right w:val="single" w:sz="4" w:space="0" w:color="auto"/>
            </w:tcBorders>
            <w:shd w:val="clear" w:color="auto" w:fill="auto"/>
            <w:vAlign w:val="bottom"/>
            <w:hideMark/>
          </w:tcPr>
          <w:p w14:paraId="45F1DD24"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6ABD8C8F"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Technické zařízení budov</w:t>
            </w:r>
          </w:p>
        </w:tc>
        <w:tc>
          <w:tcPr>
            <w:tcW w:w="810" w:type="dxa"/>
            <w:tcBorders>
              <w:top w:val="nil"/>
              <w:left w:val="nil"/>
              <w:bottom w:val="single" w:sz="4" w:space="0" w:color="auto"/>
              <w:right w:val="single" w:sz="4" w:space="0" w:color="auto"/>
            </w:tcBorders>
            <w:shd w:val="clear" w:color="auto" w:fill="auto"/>
            <w:noWrap/>
            <w:vAlign w:val="bottom"/>
            <w:hideMark/>
          </w:tcPr>
          <w:p w14:paraId="04C64C07"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0D3829CB"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553CE7C3"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Tesař</w:t>
            </w:r>
          </w:p>
        </w:tc>
        <w:tc>
          <w:tcPr>
            <w:tcW w:w="761" w:type="dxa"/>
            <w:tcBorders>
              <w:top w:val="nil"/>
              <w:left w:val="nil"/>
              <w:bottom w:val="single" w:sz="4" w:space="0" w:color="auto"/>
              <w:right w:val="single" w:sz="4" w:space="0" w:color="auto"/>
            </w:tcBorders>
            <w:shd w:val="clear" w:color="auto" w:fill="auto"/>
            <w:vAlign w:val="bottom"/>
            <w:hideMark/>
          </w:tcPr>
          <w:p w14:paraId="1C93FB6F"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742191C2"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Prodavačka</w:t>
            </w:r>
          </w:p>
        </w:tc>
        <w:tc>
          <w:tcPr>
            <w:tcW w:w="851" w:type="dxa"/>
            <w:tcBorders>
              <w:top w:val="nil"/>
              <w:left w:val="nil"/>
              <w:bottom w:val="single" w:sz="4" w:space="0" w:color="auto"/>
              <w:right w:val="single" w:sz="4" w:space="0" w:color="auto"/>
            </w:tcBorders>
            <w:shd w:val="clear" w:color="auto" w:fill="auto"/>
            <w:vAlign w:val="bottom"/>
            <w:hideMark/>
          </w:tcPr>
          <w:p w14:paraId="46E1C7C5"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5EB9B9FD"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Technik elektro</w:t>
            </w:r>
          </w:p>
        </w:tc>
        <w:tc>
          <w:tcPr>
            <w:tcW w:w="810" w:type="dxa"/>
            <w:tcBorders>
              <w:top w:val="nil"/>
              <w:left w:val="nil"/>
              <w:bottom w:val="single" w:sz="4" w:space="0" w:color="auto"/>
              <w:right w:val="single" w:sz="4" w:space="0" w:color="auto"/>
            </w:tcBorders>
            <w:shd w:val="clear" w:color="auto" w:fill="auto"/>
            <w:noWrap/>
            <w:vAlign w:val="bottom"/>
            <w:hideMark/>
          </w:tcPr>
          <w:p w14:paraId="16210E8E"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0548D63D" w14:textId="77777777" w:rsidTr="000C49A5">
        <w:trPr>
          <w:trHeight w:val="308"/>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3EA7F9CF"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Zedník</w:t>
            </w:r>
          </w:p>
        </w:tc>
        <w:tc>
          <w:tcPr>
            <w:tcW w:w="761" w:type="dxa"/>
            <w:tcBorders>
              <w:top w:val="nil"/>
              <w:left w:val="nil"/>
              <w:bottom w:val="single" w:sz="4" w:space="0" w:color="auto"/>
              <w:right w:val="single" w:sz="4" w:space="0" w:color="auto"/>
            </w:tcBorders>
            <w:shd w:val="clear" w:color="auto" w:fill="auto"/>
            <w:vAlign w:val="bottom"/>
            <w:hideMark/>
          </w:tcPr>
          <w:p w14:paraId="4D27425B"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2</w:t>
            </w:r>
          </w:p>
        </w:tc>
        <w:tc>
          <w:tcPr>
            <w:tcW w:w="2127" w:type="dxa"/>
            <w:tcBorders>
              <w:top w:val="nil"/>
              <w:left w:val="nil"/>
              <w:bottom w:val="single" w:sz="4" w:space="0" w:color="auto"/>
              <w:right w:val="single" w:sz="4" w:space="0" w:color="auto"/>
            </w:tcBorders>
            <w:shd w:val="clear" w:color="auto" w:fill="auto"/>
            <w:vAlign w:val="bottom"/>
            <w:hideMark/>
          </w:tcPr>
          <w:p w14:paraId="762973D3"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Projektanti</w:t>
            </w:r>
          </w:p>
        </w:tc>
        <w:tc>
          <w:tcPr>
            <w:tcW w:w="851" w:type="dxa"/>
            <w:tcBorders>
              <w:top w:val="nil"/>
              <w:left w:val="nil"/>
              <w:bottom w:val="single" w:sz="4" w:space="0" w:color="auto"/>
              <w:right w:val="single" w:sz="4" w:space="0" w:color="auto"/>
            </w:tcBorders>
            <w:shd w:val="clear" w:color="auto" w:fill="auto"/>
            <w:vAlign w:val="bottom"/>
            <w:hideMark/>
          </w:tcPr>
          <w:p w14:paraId="2F4D4C88"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437DC005"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Tiskaři na ofsetových strojích</w:t>
            </w:r>
          </w:p>
        </w:tc>
        <w:tc>
          <w:tcPr>
            <w:tcW w:w="810" w:type="dxa"/>
            <w:tcBorders>
              <w:top w:val="nil"/>
              <w:left w:val="nil"/>
              <w:bottom w:val="single" w:sz="4" w:space="0" w:color="auto"/>
              <w:right w:val="single" w:sz="4" w:space="0" w:color="auto"/>
            </w:tcBorders>
            <w:shd w:val="clear" w:color="auto" w:fill="auto"/>
            <w:noWrap/>
            <w:vAlign w:val="bottom"/>
            <w:hideMark/>
          </w:tcPr>
          <w:p w14:paraId="4A3C45A6"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242EFACE" w14:textId="77777777" w:rsidTr="000C49A5">
        <w:trPr>
          <w:trHeight w:val="187"/>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564F88F9" w14:textId="2602B929" w:rsidR="006B5B80" w:rsidRPr="001A3416" w:rsidRDefault="0038474E"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Brusič kovů</w:t>
            </w:r>
          </w:p>
        </w:tc>
        <w:tc>
          <w:tcPr>
            <w:tcW w:w="761" w:type="dxa"/>
            <w:tcBorders>
              <w:top w:val="nil"/>
              <w:left w:val="nil"/>
              <w:bottom w:val="single" w:sz="4" w:space="0" w:color="auto"/>
              <w:right w:val="single" w:sz="4" w:space="0" w:color="auto"/>
            </w:tcBorders>
            <w:shd w:val="clear" w:color="auto" w:fill="auto"/>
            <w:vAlign w:val="bottom"/>
            <w:hideMark/>
          </w:tcPr>
          <w:p w14:paraId="444695BE"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27" w:type="dxa"/>
            <w:tcBorders>
              <w:top w:val="nil"/>
              <w:left w:val="nil"/>
              <w:bottom w:val="single" w:sz="4" w:space="0" w:color="auto"/>
              <w:right w:val="single" w:sz="4" w:space="0" w:color="auto"/>
            </w:tcBorders>
            <w:shd w:val="clear" w:color="auto" w:fill="auto"/>
            <w:vAlign w:val="bottom"/>
            <w:hideMark/>
          </w:tcPr>
          <w:p w14:paraId="62EB7955" w14:textId="55B7B53C" w:rsidR="006B5B80" w:rsidRPr="001A3416" w:rsidRDefault="0038474E"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Servisní technik</w:t>
            </w:r>
            <w:r w:rsidR="006B5B80" w:rsidRPr="001A3416">
              <w:rPr>
                <w:rFonts w:ascii="Calibri" w:eastAsia="Times New Roman" w:hAnsi="Calibri" w:cs="Calibri"/>
                <w:color w:val="000000"/>
                <w:sz w:val="18"/>
                <w:szCs w:val="18"/>
                <w:lang w:eastAsia="cs-CZ"/>
              </w:rPr>
              <w:t xml:space="preserve"> </w:t>
            </w:r>
          </w:p>
        </w:tc>
        <w:tc>
          <w:tcPr>
            <w:tcW w:w="851" w:type="dxa"/>
            <w:tcBorders>
              <w:top w:val="nil"/>
              <w:left w:val="nil"/>
              <w:bottom w:val="single" w:sz="4" w:space="0" w:color="auto"/>
              <w:right w:val="single" w:sz="4" w:space="0" w:color="auto"/>
            </w:tcBorders>
            <w:shd w:val="clear" w:color="auto" w:fill="auto"/>
            <w:vAlign w:val="bottom"/>
            <w:hideMark/>
          </w:tcPr>
          <w:p w14:paraId="7E9A8D83"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0A33E06A"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Zdravotní laborant</w:t>
            </w:r>
          </w:p>
        </w:tc>
        <w:tc>
          <w:tcPr>
            <w:tcW w:w="810" w:type="dxa"/>
            <w:tcBorders>
              <w:top w:val="nil"/>
              <w:left w:val="nil"/>
              <w:bottom w:val="single" w:sz="4" w:space="0" w:color="auto"/>
              <w:right w:val="single" w:sz="4" w:space="0" w:color="auto"/>
            </w:tcBorders>
            <w:shd w:val="clear" w:color="auto" w:fill="auto"/>
            <w:noWrap/>
            <w:vAlign w:val="bottom"/>
            <w:hideMark/>
          </w:tcPr>
          <w:p w14:paraId="033505DF"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18590B38" w14:textId="77777777" w:rsidTr="000C49A5">
        <w:trPr>
          <w:trHeight w:val="458"/>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39586C8F"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 xml:space="preserve">Dělnické </w:t>
            </w:r>
          </w:p>
        </w:tc>
        <w:tc>
          <w:tcPr>
            <w:tcW w:w="761" w:type="dxa"/>
            <w:tcBorders>
              <w:top w:val="nil"/>
              <w:left w:val="nil"/>
              <w:bottom w:val="single" w:sz="4" w:space="0" w:color="auto"/>
              <w:right w:val="single" w:sz="4" w:space="0" w:color="auto"/>
            </w:tcBorders>
            <w:shd w:val="clear" w:color="auto" w:fill="auto"/>
            <w:vAlign w:val="bottom"/>
            <w:hideMark/>
          </w:tcPr>
          <w:p w14:paraId="10496B84"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27" w:type="dxa"/>
            <w:tcBorders>
              <w:top w:val="nil"/>
              <w:left w:val="nil"/>
              <w:bottom w:val="single" w:sz="4" w:space="0" w:color="auto"/>
              <w:right w:val="single" w:sz="4" w:space="0" w:color="auto"/>
            </w:tcBorders>
            <w:shd w:val="clear" w:color="auto" w:fill="auto"/>
            <w:vAlign w:val="bottom"/>
            <w:hideMark/>
          </w:tcPr>
          <w:p w14:paraId="6BAE57F4"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 xml:space="preserve">Seřizovač </w:t>
            </w:r>
          </w:p>
        </w:tc>
        <w:tc>
          <w:tcPr>
            <w:tcW w:w="851" w:type="dxa"/>
            <w:tcBorders>
              <w:top w:val="nil"/>
              <w:left w:val="nil"/>
              <w:bottom w:val="single" w:sz="4" w:space="0" w:color="auto"/>
              <w:right w:val="single" w:sz="4" w:space="0" w:color="auto"/>
            </w:tcBorders>
            <w:shd w:val="clear" w:color="auto" w:fill="auto"/>
            <w:vAlign w:val="bottom"/>
            <w:hideMark/>
          </w:tcPr>
          <w:p w14:paraId="1A7123E7"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017B1CEE" w14:textId="0CE38DFA" w:rsidR="006B5B80" w:rsidRPr="001A3416" w:rsidRDefault="006B5B80" w:rsidP="0038474E">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Zdravotnické i</w:t>
            </w:r>
            <w:r w:rsidR="0038474E">
              <w:rPr>
                <w:rFonts w:ascii="Calibri" w:eastAsia="Times New Roman" w:hAnsi="Calibri" w:cs="Calibri"/>
                <w:color w:val="000000"/>
                <w:sz w:val="18"/>
                <w:szCs w:val="18"/>
                <w:lang w:eastAsia="cs-CZ"/>
              </w:rPr>
              <w:t> </w:t>
            </w:r>
            <w:r w:rsidRPr="001A3416">
              <w:rPr>
                <w:rFonts w:ascii="Calibri" w:eastAsia="Times New Roman" w:hAnsi="Calibri" w:cs="Calibri"/>
                <w:color w:val="000000"/>
                <w:sz w:val="18"/>
                <w:szCs w:val="18"/>
                <w:lang w:eastAsia="cs-CZ"/>
              </w:rPr>
              <w:t>nezdravotnické profese</w:t>
            </w:r>
          </w:p>
        </w:tc>
        <w:tc>
          <w:tcPr>
            <w:tcW w:w="810" w:type="dxa"/>
            <w:tcBorders>
              <w:top w:val="nil"/>
              <w:left w:val="nil"/>
              <w:bottom w:val="single" w:sz="4" w:space="0" w:color="auto"/>
              <w:right w:val="single" w:sz="4" w:space="0" w:color="auto"/>
            </w:tcBorders>
            <w:shd w:val="clear" w:color="auto" w:fill="auto"/>
            <w:noWrap/>
            <w:vAlign w:val="bottom"/>
            <w:hideMark/>
          </w:tcPr>
          <w:p w14:paraId="6B1178ED"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r>
      <w:tr w:rsidR="006B5B80" w:rsidRPr="001A3416" w14:paraId="00159833" w14:textId="77777777" w:rsidTr="000C49A5">
        <w:trPr>
          <w:trHeight w:val="308"/>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2B1030BF"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Elektrikář</w:t>
            </w:r>
          </w:p>
        </w:tc>
        <w:tc>
          <w:tcPr>
            <w:tcW w:w="761" w:type="dxa"/>
            <w:tcBorders>
              <w:top w:val="nil"/>
              <w:left w:val="nil"/>
              <w:bottom w:val="single" w:sz="4" w:space="0" w:color="auto"/>
              <w:right w:val="single" w:sz="4" w:space="0" w:color="auto"/>
            </w:tcBorders>
            <w:shd w:val="clear" w:color="auto" w:fill="auto"/>
            <w:vAlign w:val="bottom"/>
            <w:hideMark/>
          </w:tcPr>
          <w:p w14:paraId="272ADB37"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27" w:type="dxa"/>
            <w:tcBorders>
              <w:top w:val="nil"/>
              <w:left w:val="nil"/>
              <w:bottom w:val="single" w:sz="4" w:space="0" w:color="auto"/>
              <w:right w:val="single" w:sz="4" w:space="0" w:color="auto"/>
            </w:tcBorders>
            <w:shd w:val="clear" w:color="auto" w:fill="auto"/>
            <w:vAlign w:val="bottom"/>
            <w:hideMark/>
          </w:tcPr>
          <w:p w14:paraId="32289FED" w14:textId="77777777" w:rsidR="006B5B80" w:rsidRPr="001A3416" w:rsidRDefault="006B5B80" w:rsidP="000C49A5">
            <w:pPr>
              <w:spacing w:before="0"/>
              <w:jc w:val="lef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Skladový manipulant-řidič</w:t>
            </w:r>
          </w:p>
        </w:tc>
        <w:tc>
          <w:tcPr>
            <w:tcW w:w="851" w:type="dxa"/>
            <w:tcBorders>
              <w:top w:val="nil"/>
              <w:left w:val="nil"/>
              <w:bottom w:val="single" w:sz="4" w:space="0" w:color="auto"/>
              <w:right w:val="single" w:sz="4" w:space="0" w:color="auto"/>
            </w:tcBorders>
            <w:shd w:val="clear" w:color="auto" w:fill="auto"/>
            <w:vAlign w:val="bottom"/>
            <w:hideMark/>
          </w:tcPr>
          <w:p w14:paraId="5B8C23DC" w14:textId="77777777" w:rsidR="006B5B80" w:rsidRPr="001A3416" w:rsidRDefault="006B5B80" w:rsidP="000C49A5">
            <w:pPr>
              <w:spacing w:before="0"/>
              <w:jc w:val="right"/>
              <w:rPr>
                <w:rFonts w:ascii="Calibri" w:eastAsia="Times New Roman" w:hAnsi="Calibri" w:cs="Calibri"/>
                <w:color w:val="000000"/>
                <w:sz w:val="18"/>
                <w:szCs w:val="18"/>
                <w:lang w:eastAsia="cs-CZ"/>
              </w:rPr>
            </w:pPr>
            <w:r w:rsidRPr="001A3416">
              <w:rPr>
                <w:rFonts w:ascii="Calibri" w:eastAsia="Times New Roman" w:hAnsi="Calibri" w:cs="Calibri"/>
                <w:color w:val="000000"/>
                <w:sz w:val="18"/>
                <w:szCs w:val="18"/>
                <w:lang w:eastAsia="cs-CZ"/>
              </w:rPr>
              <w:t>1</w:t>
            </w:r>
          </w:p>
        </w:tc>
        <w:tc>
          <w:tcPr>
            <w:tcW w:w="2195" w:type="dxa"/>
            <w:tcBorders>
              <w:top w:val="nil"/>
              <w:left w:val="nil"/>
              <w:bottom w:val="single" w:sz="4" w:space="0" w:color="auto"/>
              <w:right w:val="single" w:sz="4" w:space="0" w:color="auto"/>
            </w:tcBorders>
            <w:shd w:val="clear" w:color="auto" w:fill="auto"/>
            <w:vAlign w:val="bottom"/>
            <w:hideMark/>
          </w:tcPr>
          <w:p w14:paraId="2A4883D1" w14:textId="77777777" w:rsidR="006B5B80" w:rsidRPr="001A3416" w:rsidRDefault="006B5B80" w:rsidP="000C49A5">
            <w:pPr>
              <w:spacing w:before="0"/>
              <w:jc w:val="left"/>
              <w:rPr>
                <w:rFonts w:ascii="Calibri" w:eastAsia="Times New Roman" w:hAnsi="Calibri" w:cs="Calibri"/>
                <w:color w:val="000000"/>
                <w:lang w:eastAsia="cs-CZ"/>
              </w:rPr>
            </w:pPr>
            <w:r w:rsidRPr="001A3416">
              <w:rPr>
                <w:rFonts w:ascii="Calibri" w:eastAsia="Times New Roman" w:hAnsi="Calibri" w:cs="Calibri"/>
                <w:color w:val="000000"/>
                <w:lang w:eastAsia="cs-CZ"/>
              </w:rPr>
              <w:t> </w:t>
            </w:r>
          </w:p>
        </w:tc>
        <w:tc>
          <w:tcPr>
            <w:tcW w:w="810" w:type="dxa"/>
            <w:tcBorders>
              <w:top w:val="nil"/>
              <w:left w:val="nil"/>
              <w:bottom w:val="single" w:sz="4" w:space="0" w:color="auto"/>
              <w:right w:val="single" w:sz="4" w:space="0" w:color="auto"/>
            </w:tcBorders>
            <w:shd w:val="clear" w:color="auto" w:fill="auto"/>
            <w:noWrap/>
            <w:vAlign w:val="bottom"/>
            <w:hideMark/>
          </w:tcPr>
          <w:p w14:paraId="3AF5BB0C" w14:textId="77777777" w:rsidR="006B5B80" w:rsidRPr="001A3416" w:rsidRDefault="006B5B80" w:rsidP="000C49A5">
            <w:pPr>
              <w:spacing w:before="0"/>
              <w:jc w:val="left"/>
              <w:rPr>
                <w:rFonts w:ascii="Calibri" w:eastAsia="Times New Roman" w:hAnsi="Calibri" w:cs="Calibri"/>
                <w:color w:val="000000"/>
                <w:lang w:eastAsia="cs-CZ"/>
              </w:rPr>
            </w:pPr>
            <w:r w:rsidRPr="001A3416">
              <w:rPr>
                <w:rFonts w:ascii="Calibri" w:eastAsia="Times New Roman" w:hAnsi="Calibri" w:cs="Calibri"/>
                <w:color w:val="000000"/>
                <w:lang w:eastAsia="cs-CZ"/>
              </w:rPr>
              <w:t> </w:t>
            </w:r>
          </w:p>
        </w:tc>
      </w:tr>
    </w:tbl>
    <w:p w14:paraId="577C9206" w14:textId="4DBEB6EC" w:rsidR="006B5B80" w:rsidRDefault="006B5B80" w:rsidP="006B5B80">
      <w:pPr>
        <w:pStyle w:val="zdroj0"/>
      </w:pPr>
      <w:r w:rsidRPr="001A3416">
        <w:t>Zdroj: PROCES, Průzkum podnikatelského prostředí města Zlína, 2020</w:t>
      </w:r>
      <w:r w:rsidR="0038474E">
        <w:t>;</w:t>
      </w:r>
      <w:r>
        <w:t xml:space="preserve"> Otázka č. </w:t>
      </w:r>
      <w:r w:rsidRPr="00DC36A1">
        <w:t>19a.</w:t>
      </w:r>
      <w:r w:rsidR="0038474E">
        <w:t>:</w:t>
      </w:r>
      <w:r w:rsidRPr="00DC36A1">
        <w:t xml:space="preserve"> Které profese dlouhodobě postrádáte</w:t>
      </w:r>
      <w:r w:rsidR="0038474E">
        <w:t>?</w:t>
      </w:r>
      <w:r w:rsidRPr="00DC36A1">
        <w:t xml:space="preserve">  </w:t>
      </w:r>
    </w:p>
    <w:p w14:paraId="60FAE48B" w14:textId="621FB027" w:rsidR="006B5B80" w:rsidRDefault="006B5B80" w:rsidP="006B5B80">
      <w:pPr>
        <w:pStyle w:val="Titulek"/>
        <w:keepNext/>
        <w:keepLines/>
      </w:pPr>
      <w:bookmarkStart w:id="999" w:name="_Toc54702814"/>
      <w:bookmarkStart w:id="1000" w:name="_Toc56179620"/>
      <w:bookmarkStart w:id="1001" w:name="_Toc7707496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2</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41</w:t>
      </w:r>
      <w:r w:rsidR="00804AF3">
        <w:rPr>
          <w:noProof/>
        </w:rPr>
        <w:fldChar w:fldCharType="end"/>
      </w:r>
      <w:r w:rsidR="0038474E">
        <w:rPr>
          <w:noProof/>
        </w:rPr>
        <w:t>:</w:t>
      </w:r>
      <w:r>
        <w:t xml:space="preserve"> S</w:t>
      </w:r>
      <w:r w:rsidRPr="001A3416">
        <w:t>pokojenost s podnika</w:t>
      </w:r>
      <w:r>
        <w:t>telským prostředím ve městě Zlín – dělení dle firem zpracovatelského průmyslu</w:t>
      </w:r>
      <w:bookmarkEnd w:id="999"/>
      <w:bookmarkEnd w:id="1000"/>
      <w:bookmarkEnd w:id="1001"/>
      <w:r>
        <w:t xml:space="preserve"> </w:t>
      </w:r>
    </w:p>
    <w:p w14:paraId="141E9359" w14:textId="29941EC5" w:rsidR="006B5B80" w:rsidRPr="001A3416" w:rsidRDefault="006B5B80" w:rsidP="006B5B80">
      <w:pPr>
        <w:rPr>
          <w:rStyle w:val="ZdrojChar"/>
          <w:rFonts w:eastAsiaTheme="minorHAnsi"/>
        </w:rPr>
      </w:pPr>
      <w:r>
        <w:rPr>
          <w:rStyle w:val="ZdrojChar"/>
          <w:rFonts w:eastAsiaTheme="minorHAnsi"/>
          <w:noProof/>
        </w:rPr>
        <w:drawing>
          <wp:inline distT="0" distB="0" distL="0" distR="0" wp14:anchorId="7FBCEA92" wp14:editId="0D7FE305">
            <wp:extent cx="5742940" cy="4846955"/>
            <wp:effectExtent l="0" t="0" r="0" b="0"/>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42940" cy="4846955"/>
                    </a:xfrm>
                    <a:prstGeom prst="rect">
                      <a:avLst/>
                    </a:prstGeom>
                    <a:noFill/>
                  </pic:spPr>
                </pic:pic>
              </a:graphicData>
            </a:graphic>
          </wp:inline>
        </w:drawing>
      </w:r>
      <w:r w:rsidRPr="00D22198">
        <w:rPr>
          <w:rStyle w:val="zdrojChar0"/>
          <w:rFonts w:eastAsiaTheme="minorHAnsi"/>
        </w:rPr>
        <w:t xml:space="preserve"> </w:t>
      </w:r>
      <w:r w:rsidRPr="001A3416">
        <w:rPr>
          <w:rStyle w:val="zdrojChar0"/>
          <w:rFonts w:eastAsiaTheme="minorHAnsi"/>
        </w:rPr>
        <w:t>Zdroj: PROCES, Průzkum podnikatelského prostředí města Zlína, 2020</w:t>
      </w:r>
      <w:r w:rsidR="0038474E">
        <w:rPr>
          <w:rStyle w:val="zdrojChar0"/>
          <w:rFonts w:eastAsiaTheme="minorHAnsi"/>
        </w:rPr>
        <w:t>;</w:t>
      </w:r>
      <w:r>
        <w:rPr>
          <w:rStyle w:val="zdrojChar0"/>
          <w:rFonts w:eastAsiaTheme="minorHAnsi"/>
        </w:rPr>
        <w:t xml:space="preserve"> Otázka č. 4: </w:t>
      </w:r>
      <w:r w:rsidRPr="000D6DDF">
        <w:rPr>
          <w:rStyle w:val="zdrojChar0"/>
          <w:rFonts w:eastAsiaTheme="minorHAnsi"/>
        </w:rPr>
        <w:t>Jak jste spokojen/a s</w:t>
      </w:r>
      <w:r w:rsidR="0038474E">
        <w:rPr>
          <w:rStyle w:val="zdrojChar0"/>
          <w:rFonts w:eastAsiaTheme="minorHAnsi"/>
        </w:rPr>
        <w:t> </w:t>
      </w:r>
      <w:r w:rsidRPr="000D6DDF">
        <w:rPr>
          <w:rStyle w:val="zdrojChar0"/>
          <w:rFonts w:eastAsiaTheme="minorHAnsi"/>
        </w:rPr>
        <w:t>podnikatelským prostředím ve městě Zlín?</w:t>
      </w:r>
    </w:p>
    <w:p w14:paraId="1C96338B" w14:textId="6B69BB1B" w:rsidR="006B5B80" w:rsidRDefault="006B5B80">
      <w:pPr>
        <w:spacing w:before="0" w:after="160" w:line="259" w:lineRule="auto"/>
        <w:jc w:val="left"/>
        <w:rPr>
          <w:rFonts w:eastAsiaTheme="majorEastAsia" w:cstheme="majorBidi"/>
          <w:b/>
          <w:color w:val="2E74B5" w:themeColor="accent1" w:themeShade="BF"/>
          <w:sz w:val="26"/>
          <w:szCs w:val="26"/>
        </w:rPr>
      </w:pPr>
      <w:r>
        <w:rPr>
          <w:rFonts w:eastAsiaTheme="majorEastAsia" w:cstheme="majorBidi"/>
          <w:b/>
          <w:color w:val="2E74B5" w:themeColor="accent1" w:themeShade="BF"/>
          <w:sz w:val="26"/>
          <w:szCs w:val="26"/>
        </w:rPr>
        <w:br w:type="page"/>
      </w:r>
    </w:p>
    <w:p w14:paraId="3566AE2C" w14:textId="77777777" w:rsidR="006E1FCB" w:rsidRPr="00932561" w:rsidRDefault="006E1FCB" w:rsidP="004C504F">
      <w:pPr>
        <w:pStyle w:val="Nadpis3"/>
      </w:pPr>
      <w:bookmarkStart w:id="1002" w:name="_Toc50449116"/>
      <w:bookmarkStart w:id="1003" w:name="_Toc77074649"/>
      <w:r w:rsidRPr="00932561">
        <w:t>Příloha</w:t>
      </w:r>
      <w:r>
        <w:t xml:space="preserve"> - dotazník</w:t>
      </w:r>
      <w:bookmarkEnd w:id="1002"/>
      <w:bookmarkEnd w:id="1003"/>
    </w:p>
    <w:p w14:paraId="3F34A3DA" w14:textId="77777777" w:rsidR="006E1FCB" w:rsidRPr="00932561" w:rsidRDefault="006E1FCB" w:rsidP="006E1FCB">
      <w:pPr>
        <w:spacing w:before="0"/>
        <w:jc w:val="center"/>
        <w:rPr>
          <w:rFonts w:ascii="Calibri" w:eastAsia="Times New Roman" w:hAnsi="Calibri" w:cs="Calibri"/>
          <w:b/>
          <w:caps/>
          <w:sz w:val="32"/>
          <w:szCs w:val="24"/>
          <w:lang w:eastAsia="cs-CZ"/>
          <w14:shadow w14:blurRad="50800" w14:dist="38100" w14:dir="2700000" w14:sx="100000" w14:sy="100000" w14:kx="0" w14:ky="0" w14:algn="tl">
            <w14:srgbClr w14:val="000000">
              <w14:alpha w14:val="60000"/>
            </w14:srgbClr>
          </w14:shadow>
        </w:rPr>
      </w:pPr>
      <w:r w:rsidRPr="00932561">
        <w:rPr>
          <w:rFonts w:ascii="Calibri" w:eastAsia="Times New Roman" w:hAnsi="Calibri" w:cs="Calibri"/>
          <w:b/>
          <w:caps/>
          <w:sz w:val="32"/>
          <w:szCs w:val="24"/>
          <w:lang w:eastAsia="cs-CZ"/>
          <w14:shadow w14:blurRad="50800" w14:dist="38100" w14:dir="2700000" w14:sx="100000" w14:sy="100000" w14:kx="0" w14:ky="0" w14:algn="tl">
            <w14:srgbClr w14:val="000000">
              <w14:alpha w14:val="60000"/>
            </w14:srgbClr>
          </w14:shadow>
        </w:rPr>
        <w:t>Průzkum podnikatelského prostředí</w:t>
      </w:r>
    </w:p>
    <w:p w14:paraId="617EC22D" w14:textId="77777777" w:rsidR="006E1FCB" w:rsidRPr="00932561" w:rsidRDefault="006E1FCB" w:rsidP="006E1FCB">
      <w:pPr>
        <w:spacing w:before="0"/>
        <w:jc w:val="left"/>
        <w:rPr>
          <w:rFonts w:ascii="Calibri" w:eastAsia="Times New Roman" w:hAnsi="Calibri" w:cs="Calibri"/>
          <w:szCs w:val="24"/>
          <w:lang w:eastAsia="cs-CZ"/>
        </w:rPr>
      </w:pPr>
    </w:p>
    <w:p w14:paraId="56EC2C56" w14:textId="77777777" w:rsidR="006E1FCB" w:rsidRPr="00932561" w:rsidRDefault="006E1FCB" w:rsidP="006E1FCB">
      <w:pPr>
        <w:spacing w:before="0" w:after="120"/>
        <w:jc w:val="left"/>
        <w:rPr>
          <w:rFonts w:ascii="Calibri" w:eastAsia="Times New Roman" w:hAnsi="Calibri" w:cs="Calibri"/>
          <w:sz w:val="20"/>
          <w:szCs w:val="20"/>
          <w:lang w:eastAsia="cs-CZ"/>
        </w:rPr>
      </w:pPr>
      <w:r w:rsidRPr="00932561">
        <w:rPr>
          <w:rFonts w:ascii="Calibri" w:eastAsia="Times New Roman" w:hAnsi="Calibri" w:cs="Calibri"/>
          <w:sz w:val="20"/>
          <w:szCs w:val="20"/>
          <w:lang w:eastAsia="cs-CZ"/>
        </w:rPr>
        <w:t>Vážený pane, vážená paní,</w:t>
      </w:r>
    </w:p>
    <w:p w14:paraId="3D6DBFFA" w14:textId="01F35918" w:rsidR="006E1FCB" w:rsidRPr="00932561" w:rsidRDefault="006E1FCB" w:rsidP="006E1FCB">
      <w:pPr>
        <w:spacing w:before="0" w:after="120"/>
        <w:rPr>
          <w:rFonts w:ascii="Calibri" w:eastAsia="Times New Roman" w:hAnsi="Calibri" w:cs="Calibri"/>
          <w:sz w:val="20"/>
          <w:szCs w:val="20"/>
          <w:lang w:eastAsia="cs-CZ"/>
        </w:rPr>
      </w:pPr>
      <w:r w:rsidRPr="00932561">
        <w:rPr>
          <w:rFonts w:ascii="Calibri" w:eastAsia="Times New Roman" w:hAnsi="Calibri" w:cs="Calibri"/>
          <w:sz w:val="20"/>
          <w:szCs w:val="20"/>
          <w:lang w:eastAsia="cs-CZ"/>
        </w:rPr>
        <w:t xml:space="preserve">obracíme se na Vás s žádostí o spolupráci při tvorbě </w:t>
      </w:r>
      <w:r w:rsidRPr="00932561">
        <w:rPr>
          <w:rFonts w:ascii="Calibri" w:eastAsia="Times New Roman" w:hAnsi="Calibri" w:cs="Calibri"/>
          <w:b/>
          <w:sz w:val="20"/>
          <w:szCs w:val="20"/>
          <w:lang w:eastAsia="cs-CZ"/>
        </w:rPr>
        <w:t>Strategie rozvoje statutárního města Zlína do roku 2030</w:t>
      </w:r>
      <w:r w:rsidRPr="00932561">
        <w:rPr>
          <w:rFonts w:ascii="Calibri" w:eastAsia="Times New Roman" w:hAnsi="Calibri" w:cs="Calibri"/>
          <w:sz w:val="20"/>
          <w:szCs w:val="20"/>
          <w:lang w:eastAsia="cs-CZ"/>
        </w:rPr>
        <w:t>. V předkládaném dotazníku máte možnost vyjádřit se k otázkám týkajícím se budoucího rozvoje města v oblasti podnikání. Vaše názory a připomínky jsou pro tvorbu tohoto dokumentu velmi důležité. Proto Vás prosíme o</w:t>
      </w:r>
      <w:r w:rsidR="00F63C14">
        <w:rPr>
          <w:rFonts w:ascii="Calibri" w:eastAsia="Times New Roman" w:hAnsi="Calibri" w:cs="Calibri"/>
          <w:sz w:val="20"/>
          <w:szCs w:val="20"/>
          <w:lang w:eastAsia="cs-CZ"/>
        </w:rPr>
        <w:t> </w:t>
      </w:r>
      <w:r w:rsidRPr="00932561">
        <w:rPr>
          <w:rFonts w:ascii="Calibri" w:eastAsia="Times New Roman" w:hAnsi="Calibri" w:cs="Calibri"/>
          <w:sz w:val="20"/>
          <w:szCs w:val="20"/>
          <w:lang w:eastAsia="cs-CZ"/>
        </w:rPr>
        <w:t>zodpovězení několika otázek. Vaše spolupráce je dobrovolná, a proto na otázky, které považujete za důvěrné, nemusíte odpovídat. Zároveň Vás však ujišťujeme, že údaje, které nám poskytnete, budou anonymizovány a</w:t>
      </w:r>
      <w:r w:rsidR="00F63C14">
        <w:rPr>
          <w:rFonts w:ascii="Calibri" w:eastAsia="Times New Roman" w:hAnsi="Calibri" w:cs="Calibri"/>
          <w:sz w:val="20"/>
          <w:szCs w:val="20"/>
          <w:lang w:eastAsia="cs-CZ"/>
        </w:rPr>
        <w:t> </w:t>
      </w:r>
      <w:r w:rsidRPr="00932561">
        <w:rPr>
          <w:rFonts w:ascii="Calibri" w:eastAsia="Times New Roman" w:hAnsi="Calibri" w:cs="Calibri"/>
          <w:sz w:val="20"/>
          <w:szCs w:val="20"/>
          <w:lang w:eastAsia="cs-CZ"/>
        </w:rPr>
        <w:t xml:space="preserve">nebudou komerčně využity. </w:t>
      </w:r>
    </w:p>
    <w:p w14:paraId="366AA067" w14:textId="77777777" w:rsidR="006E1FCB" w:rsidRPr="00932561" w:rsidRDefault="006E1FCB" w:rsidP="006E1FCB">
      <w:pPr>
        <w:spacing w:before="0" w:after="120"/>
        <w:rPr>
          <w:rFonts w:ascii="Calibri" w:eastAsia="Times New Roman" w:hAnsi="Calibri" w:cs="Calibri"/>
          <w:sz w:val="20"/>
          <w:szCs w:val="20"/>
          <w:lang w:eastAsia="cs-CZ"/>
        </w:rPr>
      </w:pPr>
      <w:r w:rsidRPr="00932561">
        <w:rPr>
          <w:rFonts w:ascii="Calibri" w:eastAsia="Times New Roman" w:hAnsi="Calibri" w:cs="Calibri"/>
          <w:sz w:val="20"/>
          <w:szCs w:val="20"/>
          <w:lang w:eastAsia="cs-CZ"/>
        </w:rPr>
        <w:t>Společnost PROCES – Centrum pro rozvoj obcí a regionů, s.r.o., která zpracovává tento průzkum pro město Zlín, je registrována Úřadem pro ochranu osobních údajů a jako správce se řídí zákonem č. 101/2000 Sb. o ochraně osobních údajů a dodržuje standardy kvality a etický kodex mezinárodní asociace ESOMAR.</w:t>
      </w:r>
    </w:p>
    <w:p w14:paraId="33986D4E" w14:textId="77777777" w:rsidR="006E1FCB" w:rsidRPr="00932561" w:rsidRDefault="006E1FCB" w:rsidP="006E1FCB">
      <w:pPr>
        <w:spacing w:line="276" w:lineRule="auto"/>
        <w:rPr>
          <w:rFonts w:ascii="Calibri" w:eastAsia="Times New Roman" w:hAnsi="Calibri" w:cs="Calibri"/>
          <w:sz w:val="20"/>
          <w:szCs w:val="20"/>
          <w:lang w:eastAsia="cs-CZ"/>
        </w:rPr>
      </w:pPr>
      <w:r w:rsidRPr="00932561">
        <w:rPr>
          <w:rFonts w:ascii="Calibri" w:eastAsia="Times New Roman" w:hAnsi="Calibri" w:cs="Calibri"/>
          <w:sz w:val="20"/>
          <w:szCs w:val="20"/>
          <w:lang w:eastAsia="cs-CZ"/>
        </w:rPr>
        <w:t>Pokud budete potřebovat bližší informace, uvádíme kontaktní osoby:</w:t>
      </w:r>
    </w:p>
    <w:p w14:paraId="79A613A9" w14:textId="77777777" w:rsidR="006E1FCB" w:rsidRPr="00932561" w:rsidRDefault="006E1FCB" w:rsidP="006E1FCB">
      <w:pPr>
        <w:spacing w:before="0" w:line="276" w:lineRule="auto"/>
        <w:rPr>
          <w:rFonts w:ascii="Calibri" w:eastAsia="Times New Roman" w:hAnsi="Calibri" w:cs="Calibri"/>
          <w:b/>
          <w:sz w:val="20"/>
          <w:szCs w:val="20"/>
          <w:lang w:eastAsia="cs-CZ"/>
        </w:rPr>
      </w:pPr>
      <w:r w:rsidRPr="00932561">
        <w:rPr>
          <w:rFonts w:ascii="Calibri" w:eastAsia="Times New Roman" w:hAnsi="Calibri" w:cs="Calibri"/>
          <w:sz w:val="20"/>
          <w:szCs w:val="20"/>
          <w:lang w:eastAsia="cs-CZ"/>
        </w:rPr>
        <w:t>Za společnost PROCES:</w:t>
      </w:r>
      <w:r w:rsidRPr="00932561">
        <w:rPr>
          <w:rFonts w:ascii="Calibri" w:eastAsia="Times New Roman" w:hAnsi="Calibri" w:cs="Calibri"/>
          <w:b/>
          <w:sz w:val="20"/>
          <w:szCs w:val="20"/>
          <w:lang w:eastAsia="cs-CZ"/>
        </w:rPr>
        <w:t xml:space="preserve"> </w:t>
      </w:r>
    </w:p>
    <w:p w14:paraId="734D41CA" w14:textId="77777777" w:rsidR="006E1FCB" w:rsidRPr="00932561" w:rsidRDefault="006E1FCB" w:rsidP="006E1FCB">
      <w:pPr>
        <w:tabs>
          <w:tab w:val="center" w:pos="4536"/>
          <w:tab w:val="right" w:pos="9072"/>
        </w:tabs>
        <w:spacing w:before="0"/>
        <w:jc w:val="left"/>
        <w:rPr>
          <w:rFonts w:ascii="Calibri" w:eastAsia="Times New Roman" w:hAnsi="Calibri" w:cs="Calibri"/>
          <w:color w:val="0000FF"/>
          <w:sz w:val="20"/>
          <w:szCs w:val="20"/>
          <w:u w:val="single"/>
          <w:lang w:eastAsia="cs-CZ"/>
        </w:rPr>
      </w:pPr>
      <w:r w:rsidRPr="00932561">
        <w:rPr>
          <w:rFonts w:ascii="Calibri" w:eastAsia="Times New Roman" w:hAnsi="Calibri" w:cs="Calibri"/>
          <w:bCs/>
          <w:sz w:val="20"/>
          <w:szCs w:val="20"/>
          <w:lang w:val="pl-PL" w:eastAsia="cs-CZ"/>
        </w:rPr>
        <w:t xml:space="preserve">Doc. Ing. </w:t>
      </w:r>
      <w:r w:rsidRPr="009E5648">
        <w:rPr>
          <w:rFonts w:ascii="Calibri" w:eastAsia="Times New Roman" w:hAnsi="Calibri" w:cs="Calibri"/>
          <w:bCs/>
          <w:sz w:val="20"/>
          <w:szCs w:val="20"/>
          <w:lang w:val="en-US" w:eastAsia="cs-CZ"/>
        </w:rPr>
        <w:t>Lubor Hruška, Ph.D.</w:t>
      </w:r>
      <w:r w:rsidRPr="00932561">
        <w:rPr>
          <w:rFonts w:ascii="Calibri" w:eastAsia="Times New Roman" w:hAnsi="Calibri" w:cs="Calibri"/>
          <w:bCs/>
          <w:sz w:val="20"/>
          <w:szCs w:val="20"/>
          <w:lang w:eastAsia="cs-CZ"/>
        </w:rPr>
        <w:t xml:space="preserve"> - </w:t>
      </w:r>
      <w:r w:rsidRPr="009E5648">
        <w:rPr>
          <w:rFonts w:ascii="Calibri" w:eastAsia="Times New Roman" w:hAnsi="Calibri" w:cs="Calibri"/>
          <w:bCs/>
          <w:sz w:val="20"/>
          <w:szCs w:val="20"/>
          <w:lang w:val="en-US" w:eastAsia="cs-CZ"/>
        </w:rPr>
        <w:t>garant výzkumu</w:t>
      </w:r>
      <w:r w:rsidRPr="00932561">
        <w:rPr>
          <w:rFonts w:ascii="Calibri" w:eastAsia="Times New Roman" w:hAnsi="Calibri" w:cs="Calibri"/>
          <w:sz w:val="20"/>
          <w:szCs w:val="20"/>
          <w:lang w:val="de-DE" w:eastAsia="cs-CZ"/>
        </w:rPr>
        <w:t xml:space="preserve"> </w:t>
      </w:r>
      <w:r w:rsidRPr="009E5648">
        <w:rPr>
          <w:rFonts w:ascii="Calibri" w:eastAsia="Times New Roman" w:hAnsi="Calibri" w:cs="Calibri"/>
          <w:bCs/>
          <w:sz w:val="20"/>
          <w:szCs w:val="20"/>
          <w:lang w:val="en-US" w:eastAsia="cs-CZ"/>
        </w:rPr>
        <w:t xml:space="preserve">Tel.: </w:t>
      </w:r>
      <w:r w:rsidRPr="00932561">
        <w:rPr>
          <w:rFonts w:ascii="Calibri" w:eastAsia="Times New Roman" w:hAnsi="Calibri" w:cs="Calibri"/>
          <w:sz w:val="20"/>
          <w:szCs w:val="20"/>
          <w:lang w:val="de-DE" w:eastAsia="cs-CZ"/>
        </w:rPr>
        <w:t>604 279 758</w:t>
      </w:r>
      <w:r w:rsidRPr="00932561">
        <w:rPr>
          <w:rFonts w:ascii="Calibri" w:eastAsia="Times New Roman" w:hAnsi="Calibri" w:cs="Calibri"/>
          <w:sz w:val="20"/>
          <w:szCs w:val="20"/>
          <w:lang w:eastAsia="cs-CZ"/>
        </w:rPr>
        <w:t xml:space="preserve"> </w:t>
      </w:r>
      <w:r w:rsidRPr="009E5648">
        <w:rPr>
          <w:rFonts w:ascii="Calibri" w:eastAsia="Times New Roman" w:hAnsi="Calibri" w:cs="Calibri"/>
          <w:bCs/>
          <w:sz w:val="20"/>
          <w:szCs w:val="20"/>
          <w:lang w:val="en-US" w:eastAsia="cs-CZ"/>
        </w:rPr>
        <w:t xml:space="preserve">E-mail: </w:t>
      </w:r>
      <w:hyperlink r:id="rId268" w:history="1">
        <w:r w:rsidRPr="00932561">
          <w:rPr>
            <w:rFonts w:ascii="Calibri" w:eastAsia="Times New Roman" w:hAnsi="Calibri" w:cs="Calibri"/>
            <w:color w:val="0000FF"/>
            <w:sz w:val="20"/>
            <w:szCs w:val="20"/>
            <w:u w:val="single"/>
            <w:lang w:eastAsia="cs-CZ"/>
          </w:rPr>
          <w:t>lubor.hruska@rozvoj-obce.cz</w:t>
        </w:r>
      </w:hyperlink>
    </w:p>
    <w:p w14:paraId="75E1C4E9" w14:textId="77777777" w:rsidR="006E1FCB" w:rsidRPr="00932561" w:rsidRDefault="006E1FCB" w:rsidP="006E1FCB">
      <w:pPr>
        <w:spacing w:before="0"/>
        <w:jc w:val="left"/>
        <w:rPr>
          <w:rFonts w:ascii="Calibri" w:eastAsia="Times New Roman" w:hAnsi="Calibri" w:cs="Calibri"/>
          <w:sz w:val="20"/>
          <w:szCs w:val="20"/>
          <w:lang w:eastAsia="cs-CZ"/>
        </w:rPr>
      </w:pPr>
      <w:r w:rsidRPr="00932561">
        <w:rPr>
          <w:rFonts w:ascii="Calibri" w:eastAsia="Times New Roman" w:hAnsi="Calibri" w:cs="Calibri"/>
          <w:sz w:val="20"/>
          <w:szCs w:val="20"/>
          <w:lang w:eastAsia="cs-CZ"/>
        </w:rPr>
        <w:t xml:space="preserve">Mgr. Martina Melárová - vedoucí výzkumu </w:t>
      </w:r>
      <w:r w:rsidRPr="009E5648">
        <w:rPr>
          <w:rFonts w:ascii="Calibri" w:eastAsia="Times New Roman" w:hAnsi="Calibri" w:cs="Calibri"/>
          <w:bCs/>
          <w:sz w:val="20"/>
          <w:szCs w:val="20"/>
          <w:lang w:val="en-US" w:eastAsia="cs-CZ"/>
        </w:rPr>
        <w:t xml:space="preserve">Tel.: </w:t>
      </w:r>
      <w:r w:rsidRPr="00932561">
        <w:rPr>
          <w:rFonts w:ascii="Calibri" w:eastAsia="Times New Roman" w:hAnsi="Calibri" w:cs="Calibri"/>
          <w:sz w:val="20"/>
          <w:szCs w:val="20"/>
          <w:lang w:eastAsia="cs-CZ"/>
        </w:rPr>
        <w:t xml:space="preserve">732 831 761 </w:t>
      </w:r>
      <w:r w:rsidRPr="009E5648">
        <w:rPr>
          <w:rFonts w:ascii="Calibri" w:eastAsia="Times New Roman" w:hAnsi="Calibri" w:cs="Calibri"/>
          <w:bCs/>
          <w:sz w:val="20"/>
          <w:szCs w:val="20"/>
          <w:lang w:val="en-US" w:eastAsia="cs-CZ"/>
        </w:rPr>
        <w:t xml:space="preserve">E-mail: </w:t>
      </w:r>
      <w:hyperlink r:id="rId269" w:history="1">
        <w:r w:rsidRPr="00932561">
          <w:rPr>
            <w:rFonts w:ascii="Calibri" w:eastAsia="Times New Roman" w:hAnsi="Calibri" w:cs="Calibri"/>
            <w:color w:val="0000FF"/>
            <w:sz w:val="20"/>
            <w:szCs w:val="20"/>
            <w:u w:val="single"/>
            <w:lang w:eastAsia="cs-CZ"/>
          </w:rPr>
          <w:t>martina.melarova@rozvoj-obce.cz</w:t>
        </w:r>
      </w:hyperlink>
    </w:p>
    <w:p w14:paraId="714C1973" w14:textId="77777777" w:rsidR="006E1FCB" w:rsidRPr="00932561" w:rsidRDefault="006E1FCB" w:rsidP="006E1FCB">
      <w:pPr>
        <w:spacing w:before="0"/>
        <w:jc w:val="left"/>
        <w:rPr>
          <w:rFonts w:ascii="Calibri" w:eastAsia="Times New Roman" w:hAnsi="Calibri" w:cs="Calibri"/>
          <w:sz w:val="20"/>
          <w:szCs w:val="20"/>
          <w:lang w:eastAsia="cs-CZ"/>
        </w:rPr>
      </w:pPr>
    </w:p>
    <w:p w14:paraId="0F7945E5" w14:textId="77777777" w:rsidR="006E1FCB" w:rsidRPr="00932561" w:rsidRDefault="006E1FCB" w:rsidP="006E1FCB">
      <w:pPr>
        <w:spacing w:before="0"/>
        <w:jc w:val="left"/>
        <w:rPr>
          <w:rFonts w:ascii="Calibri" w:eastAsia="Times New Roman" w:hAnsi="Calibri" w:cs="Calibri"/>
          <w:sz w:val="20"/>
          <w:szCs w:val="20"/>
          <w:lang w:eastAsia="cs-CZ"/>
        </w:rPr>
      </w:pPr>
      <w:r w:rsidRPr="00932561">
        <w:rPr>
          <w:rFonts w:ascii="Calibri" w:eastAsia="Times New Roman" w:hAnsi="Calibri" w:cs="Calibri"/>
          <w:sz w:val="20"/>
          <w:szCs w:val="20"/>
          <w:lang w:eastAsia="cs-CZ"/>
        </w:rPr>
        <w:t xml:space="preserve">Za město Zlín:  </w:t>
      </w:r>
    </w:p>
    <w:p w14:paraId="3A7B1212" w14:textId="77777777" w:rsidR="006E1FCB" w:rsidRPr="00932561" w:rsidRDefault="006E1FCB" w:rsidP="006E1FCB">
      <w:pPr>
        <w:spacing w:before="0"/>
        <w:jc w:val="left"/>
        <w:rPr>
          <w:rFonts w:ascii="Calibri" w:eastAsia="Times New Roman" w:hAnsi="Calibri" w:cs="Calibri"/>
          <w:sz w:val="20"/>
          <w:szCs w:val="20"/>
          <w:lang w:eastAsia="cs-CZ"/>
        </w:rPr>
      </w:pPr>
      <w:r w:rsidRPr="00932561">
        <w:rPr>
          <w:rFonts w:ascii="Calibri" w:eastAsia="Times New Roman" w:hAnsi="Calibri" w:cs="Calibri"/>
          <w:sz w:val="20"/>
          <w:szCs w:val="20"/>
          <w:lang w:eastAsia="cs-CZ"/>
        </w:rPr>
        <w:t xml:space="preserve">Ing. Petr Stiglitz  </w:t>
      </w:r>
      <w:r w:rsidRPr="009E5648">
        <w:rPr>
          <w:rFonts w:ascii="Calibri" w:eastAsia="Times New Roman" w:hAnsi="Calibri" w:cs="Calibri"/>
          <w:bCs/>
          <w:sz w:val="20"/>
          <w:szCs w:val="20"/>
          <w:lang w:val="en-US" w:eastAsia="cs-CZ"/>
        </w:rPr>
        <w:t xml:space="preserve">Tel.: </w:t>
      </w:r>
      <w:r w:rsidRPr="00932561">
        <w:rPr>
          <w:rFonts w:ascii="Calibri" w:eastAsia="Times New Roman" w:hAnsi="Calibri" w:cs="Calibri"/>
          <w:sz w:val="20"/>
          <w:szCs w:val="20"/>
          <w:lang w:eastAsia="cs-CZ"/>
        </w:rPr>
        <w:t xml:space="preserve">577 630 166 </w:t>
      </w:r>
      <w:r w:rsidRPr="009E5648">
        <w:rPr>
          <w:rFonts w:ascii="Calibri" w:eastAsia="Times New Roman" w:hAnsi="Calibri" w:cs="Calibri"/>
          <w:bCs/>
          <w:sz w:val="20"/>
          <w:szCs w:val="20"/>
          <w:lang w:val="en-US" w:eastAsia="cs-CZ"/>
        </w:rPr>
        <w:t>E-mail:</w:t>
      </w:r>
      <w:r w:rsidRPr="00932561">
        <w:rPr>
          <w:rFonts w:ascii="Calibri" w:eastAsia="Times New Roman" w:hAnsi="Calibri" w:cs="Calibri"/>
          <w:sz w:val="20"/>
          <w:szCs w:val="20"/>
          <w:lang w:eastAsia="cs-CZ"/>
        </w:rPr>
        <w:t xml:space="preserve">: </w:t>
      </w:r>
      <w:hyperlink r:id="rId270" w:history="1">
        <w:r w:rsidRPr="00932561">
          <w:rPr>
            <w:rFonts w:ascii="Calibri" w:eastAsia="Times New Roman" w:hAnsi="Calibri" w:cs="Calibri"/>
            <w:color w:val="0000FF"/>
            <w:sz w:val="20"/>
            <w:szCs w:val="20"/>
            <w:u w:val="single"/>
            <w:lang w:eastAsia="cs-CZ"/>
          </w:rPr>
          <w:t>petrstiglitz@zlin.eu</w:t>
        </w:r>
      </w:hyperlink>
      <w:r w:rsidRPr="00932561">
        <w:rPr>
          <w:rFonts w:ascii="Calibri" w:eastAsia="Times New Roman" w:hAnsi="Calibri" w:cs="Calibri"/>
          <w:sz w:val="20"/>
          <w:szCs w:val="20"/>
          <w:lang w:eastAsia="cs-CZ"/>
        </w:rPr>
        <w:t xml:space="preserve"> </w:t>
      </w:r>
    </w:p>
    <w:p w14:paraId="1E711901" w14:textId="77777777" w:rsidR="006E1FCB" w:rsidRPr="00932561" w:rsidRDefault="006E1FCB" w:rsidP="006E1FCB">
      <w:pPr>
        <w:spacing w:before="0"/>
        <w:jc w:val="left"/>
        <w:rPr>
          <w:rFonts w:ascii="Calibri" w:eastAsia="Times New Roman" w:hAnsi="Calibri" w:cs="Calibri"/>
          <w:lang w:eastAsia="cs-CZ"/>
        </w:rPr>
      </w:pPr>
    </w:p>
    <w:p w14:paraId="73D8F462" w14:textId="77777777" w:rsidR="006E1FCB" w:rsidRPr="00932561" w:rsidRDefault="006E1FCB" w:rsidP="006E1FCB">
      <w:pPr>
        <w:spacing w:after="120"/>
        <w:jc w:val="center"/>
        <w:rPr>
          <w:rFonts w:ascii="Calibri" w:eastAsia="Times New Roman" w:hAnsi="Calibri" w:cs="Calibri"/>
          <w:b/>
          <w:lang w:eastAsia="cs-CZ"/>
        </w:rPr>
      </w:pPr>
      <w:r w:rsidRPr="00932561">
        <w:rPr>
          <w:rFonts w:ascii="Calibri" w:eastAsia="Times New Roman" w:hAnsi="Calibri" w:cs="Calibri"/>
          <w:b/>
          <w:lang w:eastAsia="cs-CZ"/>
        </w:rPr>
        <w:t>Předem děkujeme za Vaši laskavost a věnovaný čas.</w:t>
      </w:r>
    </w:p>
    <w:p w14:paraId="65243635" w14:textId="77777777" w:rsidR="006E1FCB" w:rsidRPr="00932561" w:rsidRDefault="006E1FCB" w:rsidP="006E1FCB">
      <w:pPr>
        <w:spacing w:after="120"/>
        <w:jc w:val="center"/>
        <w:rPr>
          <w:rFonts w:ascii="Times New Roman" w:eastAsia="Times New Roman" w:hAnsi="Times New Roman" w:cs="Times New Roman"/>
          <w:b/>
          <w:lang w:eastAsia="cs-CZ"/>
        </w:rPr>
      </w:pPr>
      <w:r w:rsidRPr="00932561">
        <w:rPr>
          <w:rFonts w:ascii="Times New Roman" w:eastAsia="Times New Roman" w:hAnsi="Times New Roman" w:cs="Times New Roman"/>
          <w:b/>
          <w:lang w:eastAsia="cs-CZ"/>
        </w:rPr>
        <w:t xml:space="preserve">Vaše odpovědi označte písmenem </w:t>
      </w:r>
      <w:r w:rsidRPr="00932561">
        <w:rPr>
          <w:rFonts w:ascii="Times New Roman" w:eastAsia="Times New Roman" w:hAnsi="Times New Roman" w:cs="Times New Roman"/>
          <w:b/>
          <w:bdr w:val="single" w:sz="8" w:space="0" w:color="auto"/>
          <w:lang w:eastAsia="cs-CZ"/>
        </w:rPr>
        <w:t xml:space="preserve"> X </w:t>
      </w:r>
      <w:r w:rsidRPr="00932561">
        <w:rPr>
          <w:rFonts w:ascii="Times New Roman" w:eastAsia="Times New Roman" w:hAnsi="Times New Roman" w:cs="Times New Roman"/>
          <w:b/>
          <w:lang w:eastAsia="cs-CZ"/>
        </w:rPr>
        <w:t xml:space="preserve"> do připravených polí.</w:t>
      </w:r>
    </w:p>
    <w:p w14:paraId="39406A98" w14:textId="77777777" w:rsidR="006E1FCB" w:rsidRPr="00932561" w:rsidRDefault="006E1FCB" w:rsidP="006E1FCB">
      <w:pPr>
        <w:shd w:val="clear" w:color="auto" w:fill="D9D9D9"/>
        <w:spacing w:after="120"/>
        <w:jc w:val="center"/>
        <w:rPr>
          <w:rFonts w:ascii="Calibri" w:eastAsia="Times New Roman" w:hAnsi="Calibri" w:cs="Calibri"/>
          <w:b/>
          <w:lang w:eastAsia="cs-CZ"/>
        </w:rPr>
      </w:pPr>
      <w:r w:rsidRPr="00932561">
        <w:rPr>
          <w:rFonts w:ascii="Calibri" w:eastAsia="Times New Roman" w:hAnsi="Calibri" w:cs="Calibri"/>
          <w:b/>
          <w:lang w:eastAsia="cs-CZ"/>
        </w:rPr>
        <w:t>Hodnocení podnikatelského prostředí ve městě</w:t>
      </w:r>
    </w:p>
    <w:p w14:paraId="77460CCD"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55660E88"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 xml:space="preserve">Nakolik současná ekonomická situace ovlivnila Vaše podnikání? </w:t>
      </w:r>
    </w:p>
    <w:tbl>
      <w:tblPr>
        <w:tblW w:w="51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4"/>
        <w:gridCol w:w="1266"/>
      </w:tblGrid>
      <w:tr w:rsidR="006E1FCB" w:rsidRPr="00932561" w14:paraId="47BE843E" w14:textId="77777777" w:rsidTr="000931EA">
        <w:tc>
          <w:tcPr>
            <w:tcW w:w="4323" w:type="pct"/>
            <w:shd w:val="clear" w:color="auto" w:fill="F2F2F2"/>
          </w:tcPr>
          <w:p w14:paraId="47484D33" w14:textId="77777777" w:rsidR="006E1FCB" w:rsidRPr="00932561" w:rsidRDefault="006E1FCB" w:rsidP="00A55F7D">
            <w:pPr>
              <w:numPr>
                <w:ilvl w:val="0"/>
                <w:numId w:val="97"/>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zaznamenali jsme růst</w:t>
            </w:r>
          </w:p>
        </w:tc>
        <w:tc>
          <w:tcPr>
            <w:tcW w:w="677" w:type="pct"/>
            <w:shd w:val="clear" w:color="auto" w:fill="F2F2F2"/>
          </w:tcPr>
          <w:p w14:paraId="3BC6768B"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69395374" w14:textId="77777777" w:rsidTr="000931EA">
        <w:tc>
          <w:tcPr>
            <w:tcW w:w="4323" w:type="pct"/>
            <w:shd w:val="clear" w:color="auto" w:fill="auto"/>
          </w:tcPr>
          <w:p w14:paraId="72E41EE1" w14:textId="77777777" w:rsidR="006E1FCB" w:rsidRPr="00932561" w:rsidRDefault="006E1FCB" w:rsidP="00A55F7D">
            <w:pPr>
              <w:numPr>
                <w:ilvl w:val="0"/>
                <w:numId w:val="97"/>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negativní dopad jsme nepocítili</w:t>
            </w:r>
          </w:p>
        </w:tc>
        <w:tc>
          <w:tcPr>
            <w:tcW w:w="677" w:type="pct"/>
            <w:shd w:val="clear" w:color="auto" w:fill="auto"/>
          </w:tcPr>
          <w:p w14:paraId="34818E35"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06ADDC2B" w14:textId="77777777" w:rsidTr="000931EA">
        <w:tc>
          <w:tcPr>
            <w:tcW w:w="4323" w:type="pct"/>
            <w:shd w:val="clear" w:color="auto" w:fill="F2F2F2"/>
          </w:tcPr>
          <w:p w14:paraId="57437EED" w14:textId="77777777" w:rsidR="006E1FCB" w:rsidRPr="00932561" w:rsidRDefault="006E1FCB" w:rsidP="00A55F7D">
            <w:pPr>
              <w:numPr>
                <w:ilvl w:val="0"/>
                <w:numId w:val="97"/>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došlo k přechodnému snížení odbytu, ale už je to za námi</w:t>
            </w:r>
          </w:p>
        </w:tc>
        <w:tc>
          <w:tcPr>
            <w:tcW w:w="677" w:type="pct"/>
            <w:shd w:val="clear" w:color="auto" w:fill="F2F2F2"/>
          </w:tcPr>
          <w:p w14:paraId="5369389E"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2208677B" w14:textId="77777777" w:rsidTr="000931EA">
        <w:tc>
          <w:tcPr>
            <w:tcW w:w="4323" w:type="pct"/>
            <w:shd w:val="clear" w:color="auto" w:fill="auto"/>
          </w:tcPr>
          <w:p w14:paraId="56E41E22" w14:textId="77777777" w:rsidR="006E1FCB" w:rsidRPr="00932561" w:rsidRDefault="006E1FCB" w:rsidP="00A55F7D">
            <w:pPr>
              <w:numPr>
                <w:ilvl w:val="0"/>
                <w:numId w:val="97"/>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stále trvá snížený odbyt, uvažujeme o propouštění</w:t>
            </w:r>
          </w:p>
        </w:tc>
        <w:tc>
          <w:tcPr>
            <w:tcW w:w="677" w:type="pct"/>
            <w:shd w:val="clear" w:color="auto" w:fill="auto"/>
          </w:tcPr>
          <w:p w14:paraId="0864E741"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788D9EDE" w14:textId="77777777" w:rsidTr="000931EA">
        <w:tc>
          <w:tcPr>
            <w:tcW w:w="4323" w:type="pct"/>
            <w:shd w:val="clear" w:color="auto" w:fill="auto"/>
          </w:tcPr>
          <w:p w14:paraId="37769C5F" w14:textId="77777777" w:rsidR="006E1FCB" w:rsidRPr="00932561" w:rsidRDefault="006E1FCB" w:rsidP="00A55F7D">
            <w:pPr>
              <w:numPr>
                <w:ilvl w:val="0"/>
                <w:numId w:val="97"/>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máme vážné existenční problémy</w:t>
            </w:r>
          </w:p>
        </w:tc>
        <w:tc>
          <w:tcPr>
            <w:tcW w:w="677" w:type="pct"/>
            <w:shd w:val="clear" w:color="auto" w:fill="auto"/>
          </w:tcPr>
          <w:p w14:paraId="5C59B550"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18BD2220" w14:textId="77777777" w:rsidTr="000931EA">
        <w:tc>
          <w:tcPr>
            <w:tcW w:w="4323" w:type="pct"/>
            <w:shd w:val="clear" w:color="auto" w:fill="F2F2F2"/>
          </w:tcPr>
          <w:p w14:paraId="6C149E8F" w14:textId="77777777" w:rsidR="006E1FCB" w:rsidRPr="00932561" w:rsidRDefault="006E1FCB" w:rsidP="00A55F7D">
            <w:pPr>
              <w:numPr>
                <w:ilvl w:val="0"/>
                <w:numId w:val="97"/>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jiné (prosím uveďte)</w:t>
            </w:r>
          </w:p>
          <w:p w14:paraId="6E13D426" w14:textId="77777777" w:rsidR="006E1FCB" w:rsidRPr="00932561" w:rsidRDefault="006E1FCB" w:rsidP="000931EA">
            <w:pPr>
              <w:tabs>
                <w:tab w:val="left" w:pos="1620"/>
              </w:tabs>
              <w:spacing w:before="0"/>
              <w:ind w:left="720"/>
              <w:jc w:val="left"/>
              <w:rPr>
                <w:rFonts w:ascii="Calibri" w:eastAsia="Times New Roman" w:hAnsi="Calibri" w:cs="Calibri"/>
                <w:lang w:eastAsia="cs-CZ"/>
              </w:rPr>
            </w:pPr>
          </w:p>
          <w:p w14:paraId="09BEADEB" w14:textId="77777777" w:rsidR="006E1FCB" w:rsidRPr="00932561" w:rsidRDefault="006E1FCB" w:rsidP="000931EA">
            <w:pPr>
              <w:tabs>
                <w:tab w:val="left" w:pos="1620"/>
              </w:tabs>
              <w:spacing w:before="0"/>
              <w:ind w:left="720"/>
              <w:jc w:val="left"/>
              <w:rPr>
                <w:rFonts w:ascii="Calibri" w:eastAsia="Times New Roman" w:hAnsi="Calibri" w:cs="Calibri"/>
                <w:lang w:eastAsia="cs-CZ"/>
              </w:rPr>
            </w:pPr>
          </w:p>
        </w:tc>
        <w:tc>
          <w:tcPr>
            <w:tcW w:w="677" w:type="pct"/>
            <w:shd w:val="clear" w:color="auto" w:fill="F2F2F2"/>
          </w:tcPr>
          <w:p w14:paraId="7322CA70" w14:textId="77777777" w:rsidR="006E1FCB" w:rsidRPr="00932561" w:rsidRDefault="006E1FCB" w:rsidP="000931EA">
            <w:pPr>
              <w:spacing w:before="0"/>
              <w:jc w:val="center"/>
              <w:rPr>
                <w:rFonts w:ascii="Calibri" w:eastAsia="Times New Roman" w:hAnsi="Calibri" w:cs="Calibri"/>
                <w:bCs/>
                <w:lang w:eastAsia="cs-CZ"/>
              </w:rPr>
            </w:pPr>
          </w:p>
        </w:tc>
      </w:tr>
    </w:tbl>
    <w:p w14:paraId="2AD2EDC8"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78F8E86C"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Jaké jsou bariéry rozvoje Vašeho podnikání?</w:t>
      </w:r>
    </w:p>
    <w:tbl>
      <w:tblPr>
        <w:tblStyle w:val="Prosttabulka11"/>
        <w:tblW w:w="9387" w:type="dxa"/>
        <w:tblLayout w:type="fixed"/>
        <w:tblLook w:val="0400" w:firstRow="0" w:lastRow="0" w:firstColumn="0" w:lastColumn="0" w:noHBand="0" w:noVBand="1"/>
      </w:tblPr>
      <w:tblGrid>
        <w:gridCol w:w="3823"/>
        <w:gridCol w:w="1134"/>
        <w:gridCol w:w="850"/>
        <w:gridCol w:w="851"/>
        <w:gridCol w:w="1275"/>
        <w:gridCol w:w="1454"/>
      </w:tblGrid>
      <w:tr w:rsidR="006E1FCB" w:rsidRPr="00932561" w14:paraId="283323D1"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7FF95E1B" w14:textId="77777777" w:rsidR="006E1FCB" w:rsidRPr="00932561" w:rsidRDefault="006E1FCB" w:rsidP="000931EA">
            <w:pPr>
              <w:spacing w:before="0"/>
              <w:jc w:val="center"/>
              <w:rPr>
                <w:rFonts w:ascii="Calibri" w:hAnsi="Calibri" w:cs="Calibri"/>
              </w:rPr>
            </w:pPr>
            <w:r w:rsidRPr="00932561">
              <w:rPr>
                <w:rFonts w:ascii="Calibri" w:hAnsi="Calibri" w:cs="Calibri"/>
              </w:rPr>
              <w:t>Faktory</w:t>
            </w:r>
          </w:p>
        </w:tc>
        <w:tc>
          <w:tcPr>
            <w:tcW w:w="1134" w:type="dxa"/>
          </w:tcPr>
          <w:p w14:paraId="1C9C4126" w14:textId="77777777" w:rsidR="006E1FCB" w:rsidRPr="00932561" w:rsidRDefault="006E1FCB" w:rsidP="000931EA">
            <w:pPr>
              <w:spacing w:before="0"/>
              <w:jc w:val="center"/>
              <w:rPr>
                <w:rFonts w:ascii="Calibri" w:hAnsi="Calibri" w:cs="Calibri"/>
              </w:rPr>
            </w:pPr>
            <w:r w:rsidRPr="00932561">
              <w:rPr>
                <w:rFonts w:ascii="Calibri" w:hAnsi="Calibri" w:cs="Calibri"/>
              </w:rPr>
              <w:t>Rozhodně ne</w:t>
            </w:r>
          </w:p>
        </w:tc>
        <w:tc>
          <w:tcPr>
            <w:tcW w:w="850" w:type="dxa"/>
          </w:tcPr>
          <w:p w14:paraId="317C14B7" w14:textId="77777777" w:rsidR="006E1FCB" w:rsidRPr="00932561" w:rsidRDefault="006E1FCB" w:rsidP="000931EA">
            <w:pPr>
              <w:spacing w:before="0"/>
              <w:jc w:val="center"/>
              <w:rPr>
                <w:rFonts w:ascii="Calibri" w:hAnsi="Calibri" w:cs="Calibri"/>
              </w:rPr>
            </w:pPr>
            <w:r w:rsidRPr="00932561">
              <w:rPr>
                <w:rFonts w:ascii="Calibri" w:hAnsi="Calibri" w:cs="Calibri"/>
              </w:rPr>
              <w:t>Spíše</w:t>
            </w:r>
            <w:r w:rsidRPr="00932561">
              <w:rPr>
                <w:rFonts w:ascii="Calibri" w:hAnsi="Calibri" w:cs="Calibri"/>
              </w:rPr>
              <w:br/>
              <w:t>ne</w:t>
            </w:r>
          </w:p>
        </w:tc>
        <w:tc>
          <w:tcPr>
            <w:tcW w:w="851" w:type="dxa"/>
          </w:tcPr>
          <w:p w14:paraId="00337605" w14:textId="77777777" w:rsidR="006E1FCB" w:rsidRPr="00932561" w:rsidRDefault="006E1FCB" w:rsidP="000931EA">
            <w:pPr>
              <w:spacing w:before="0"/>
              <w:jc w:val="center"/>
              <w:rPr>
                <w:rFonts w:ascii="Calibri" w:hAnsi="Calibri" w:cs="Calibri"/>
              </w:rPr>
            </w:pPr>
            <w:r w:rsidRPr="00932561">
              <w:rPr>
                <w:rFonts w:ascii="Calibri" w:hAnsi="Calibri" w:cs="Calibri"/>
              </w:rPr>
              <w:t>Spíše</w:t>
            </w:r>
            <w:r w:rsidRPr="00932561">
              <w:rPr>
                <w:rFonts w:ascii="Calibri" w:hAnsi="Calibri" w:cs="Calibri"/>
              </w:rPr>
              <w:br/>
              <w:t>ano</w:t>
            </w:r>
          </w:p>
        </w:tc>
        <w:tc>
          <w:tcPr>
            <w:tcW w:w="1275" w:type="dxa"/>
          </w:tcPr>
          <w:p w14:paraId="51434082" w14:textId="77777777" w:rsidR="006E1FCB" w:rsidRPr="00932561" w:rsidRDefault="006E1FCB" w:rsidP="000931EA">
            <w:pPr>
              <w:spacing w:before="0"/>
              <w:jc w:val="center"/>
              <w:rPr>
                <w:rFonts w:ascii="Calibri" w:hAnsi="Calibri" w:cs="Calibri"/>
              </w:rPr>
            </w:pPr>
            <w:r w:rsidRPr="00932561">
              <w:rPr>
                <w:rFonts w:ascii="Calibri" w:hAnsi="Calibri" w:cs="Calibri"/>
              </w:rPr>
              <w:t>Rozhodně ano</w:t>
            </w:r>
          </w:p>
        </w:tc>
        <w:tc>
          <w:tcPr>
            <w:tcW w:w="1454" w:type="dxa"/>
          </w:tcPr>
          <w:p w14:paraId="1C0E98E4" w14:textId="77777777" w:rsidR="006E1FCB" w:rsidRPr="00932561" w:rsidRDefault="006E1FCB" w:rsidP="000931EA">
            <w:pPr>
              <w:spacing w:before="0"/>
              <w:jc w:val="center"/>
              <w:rPr>
                <w:rFonts w:ascii="Calibri" w:hAnsi="Calibri" w:cs="Calibri"/>
              </w:rPr>
            </w:pPr>
            <w:r w:rsidRPr="00932561">
              <w:rPr>
                <w:rFonts w:ascii="Calibri" w:hAnsi="Calibri" w:cs="Calibri"/>
              </w:rPr>
              <w:t>Nevím,</w:t>
            </w:r>
          </w:p>
          <w:p w14:paraId="770C26A3" w14:textId="77777777" w:rsidR="006E1FCB" w:rsidRPr="00932561" w:rsidRDefault="006E1FCB" w:rsidP="000931EA">
            <w:pPr>
              <w:spacing w:before="0"/>
              <w:jc w:val="center"/>
              <w:rPr>
                <w:rFonts w:ascii="Calibri" w:hAnsi="Calibri" w:cs="Calibri"/>
              </w:rPr>
            </w:pPr>
            <w:r w:rsidRPr="00932561">
              <w:rPr>
                <w:rFonts w:ascii="Calibri" w:hAnsi="Calibri" w:cs="Calibri"/>
              </w:rPr>
              <w:t>Nerelevantní</w:t>
            </w:r>
          </w:p>
        </w:tc>
      </w:tr>
      <w:tr w:rsidR="006E1FCB" w:rsidRPr="00932561" w14:paraId="74FC9B9B" w14:textId="77777777" w:rsidTr="000931EA">
        <w:tc>
          <w:tcPr>
            <w:tcW w:w="3823" w:type="dxa"/>
          </w:tcPr>
          <w:p w14:paraId="4CF1D248"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Geografická poloha</w:t>
            </w:r>
          </w:p>
        </w:tc>
        <w:tc>
          <w:tcPr>
            <w:tcW w:w="1134" w:type="dxa"/>
          </w:tcPr>
          <w:p w14:paraId="741CE753" w14:textId="77777777" w:rsidR="006E1FCB" w:rsidRPr="00932561" w:rsidRDefault="006E1FCB" w:rsidP="000931EA">
            <w:pPr>
              <w:spacing w:before="0"/>
              <w:jc w:val="center"/>
              <w:rPr>
                <w:rFonts w:ascii="Calibri" w:hAnsi="Calibri" w:cs="Calibri"/>
              </w:rPr>
            </w:pPr>
          </w:p>
        </w:tc>
        <w:tc>
          <w:tcPr>
            <w:tcW w:w="850" w:type="dxa"/>
          </w:tcPr>
          <w:p w14:paraId="13E34CD2" w14:textId="77777777" w:rsidR="006E1FCB" w:rsidRPr="00932561" w:rsidRDefault="006E1FCB" w:rsidP="000931EA">
            <w:pPr>
              <w:spacing w:before="0"/>
              <w:jc w:val="center"/>
              <w:rPr>
                <w:rFonts w:ascii="Calibri" w:hAnsi="Calibri" w:cs="Calibri"/>
              </w:rPr>
            </w:pPr>
          </w:p>
        </w:tc>
        <w:tc>
          <w:tcPr>
            <w:tcW w:w="851" w:type="dxa"/>
          </w:tcPr>
          <w:p w14:paraId="1206DCE6" w14:textId="77777777" w:rsidR="006E1FCB" w:rsidRPr="00932561" w:rsidRDefault="006E1FCB" w:rsidP="000931EA">
            <w:pPr>
              <w:spacing w:before="0"/>
              <w:jc w:val="center"/>
              <w:rPr>
                <w:rFonts w:ascii="Calibri" w:hAnsi="Calibri" w:cs="Calibri"/>
              </w:rPr>
            </w:pPr>
          </w:p>
        </w:tc>
        <w:tc>
          <w:tcPr>
            <w:tcW w:w="1275" w:type="dxa"/>
          </w:tcPr>
          <w:p w14:paraId="2C551768" w14:textId="77777777" w:rsidR="006E1FCB" w:rsidRPr="00932561" w:rsidRDefault="006E1FCB" w:rsidP="000931EA">
            <w:pPr>
              <w:spacing w:before="0"/>
              <w:jc w:val="center"/>
              <w:rPr>
                <w:rFonts w:ascii="Calibri" w:hAnsi="Calibri" w:cs="Calibri"/>
              </w:rPr>
            </w:pPr>
          </w:p>
        </w:tc>
        <w:tc>
          <w:tcPr>
            <w:tcW w:w="1454" w:type="dxa"/>
          </w:tcPr>
          <w:p w14:paraId="576FBEEE" w14:textId="77777777" w:rsidR="006E1FCB" w:rsidRPr="00932561" w:rsidRDefault="006E1FCB" w:rsidP="000931EA">
            <w:pPr>
              <w:spacing w:before="0"/>
              <w:jc w:val="center"/>
              <w:rPr>
                <w:rFonts w:ascii="Calibri" w:hAnsi="Calibri" w:cs="Calibri"/>
              </w:rPr>
            </w:pPr>
          </w:p>
        </w:tc>
      </w:tr>
      <w:tr w:rsidR="006E1FCB" w:rsidRPr="00932561" w14:paraId="4EA6FEC1"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19EA7FC6"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Dopravní napojení</w:t>
            </w:r>
          </w:p>
        </w:tc>
        <w:tc>
          <w:tcPr>
            <w:tcW w:w="1134" w:type="dxa"/>
          </w:tcPr>
          <w:p w14:paraId="54348926" w14:textId="77777777" w:rsidR="006E1FCB" w:rsidRPr="00932561" w:rsidRDefault="006E1FCB" w:rsidP="000931EA">
            <w:pPr>
              <w:spacing w:before="0"/>
              <w:jc w:val="center"/>
              <w:rPr>
                <w:rFonts w:ascii="Calibri" w:hAnsi="Calibri" w:cs="Calibri"/>
              </w:rPr>
            </w:pPr>
          </w:p>
        </w:tc>
        <w:tc>
          <w:tcPr>
            <w:tcW w:w="850" w:type="dxa"/>
          </w:tcPr>
          <w:p w14:paraId="7E7E55CF" w14:textId="77777777" w:rsidR="006E1FCB" w:rsidRPr="00932561" w:rsidRDefault="006E1FCB" w:rsidP="000931EA">
            <w:pPr>
              <w:spacing w:before="0"/>
              <w:jc w:val="center"/>
              <w:rPr>
                <w:rFonts w:ascii="Calibri" w:hAnsi="Calibri" w:cs="Calibri"/>
              </w:rPr>
            </w:pPr>
          </w:p>
        </w:tc>
        <w:tc>
          <w:tcPr>
            <w:tcW w:w="851" w:type="dxa"/>
          </w:tcPr>
          <w:p w14:paraId="4FAEF2B0" w14:textId="77777777" w:rsidR="006E1FCB" w:rsidRPr="00932561" w:rsidRDefault="006E1FCB" w:rsidP="000931EA">
            <w:pPr>
              <w:spacing w:before="0"/>
              <w:jc w:val="center"/>
              <w:rPr>
                <w:rFonts w:ascii="Calibri" w:hAnsi="Calibri" w:cs="Calibri"/>
              </w:rPr>
            </w:pPr>
          </w:p>
        </w:tc>
        <w:tc>
          <w:tcPr>
            <w:tcW w:w="1275" w:type="dxa"/>
          </w:tcPr>
          <w:p w14:paraId="05A139F6" w14:textId="77777777" w:rsidR="006E1FCB" w:rsidRPr="00932561" w:rsidRDefault="006E1FCB" w:rsidP="000931EA">
            <w:pPr>
              <w:spacing w:before="0"/>
              <w:jc w:val="center"/>
              <w:rPr>
                <w:rFonts w:ascii="Calibri" w:hAnsi="Calibri" w:cs="Calibri"/>
              </w:rPr>
            </w:pPr>
          </w:p>
        </w:tc>
        <w:tc>
          <w:tcPr>
            <w:tcW w:w="1454" w:type="dxa"/>
          </w:tcPr>
          <w:p w14:paraId="153934B0" w14:textId="77777777" w:rsidR="006E1FCB" w:rsidRPr="00932561" w:rsidRDefault="006E1FCB" w:rsidP="000931EA">
            <w:pPr>
              <w:spacing w:before="0"/>
              <w:jc w:val="center"/>
              <w:rPr>
                <w:rFonts w:ascii="Calibri" w:hAnsi="Calibri" w:cs="Calibri"/>
              </w:rPr>
            </w:pPr>
          </w:p>
        </w:tc>
      </w:tr>
      <w:tr w:rsidR="006E1FCB" w:rsidRPr="00932561" w14:paraId="222A0CB8" w14:textId="77777777" w:rsidTr="000931EA">
        <w:tc>
          <w:tcPr>
            <w:tcW w:w="3823" w:type="dxa"/>
          </w:tcPr>
          <w:p w14:paraId="77882281"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Dodavatelsko-odběratelské vztahy</w:t>
            </w:r>
          </w:p>
        </w:tc>
        <w:tc>
          <w:tcPr>
            <w:tcW w:w="1134" w:type="dxa"/>
          </w:tcPr>
          <w:p w14:paraId="3CA09A63" w14:textId="77777777" w:rsidR="006E1FCB" w:rsidRPr="00932561" w:rsidRDefault="006E1FCB" w:rsidP="000931EA">
            <w:pPr>
              <w:spacing w:before="0"/>
              <w:jc w:val="center"/>
              <w:rPr>
                <w:rFonts w:ascii="Calibri" w:hAnsi="Calibri" w:cs="Calibri"/>
              </w:rPr>
            </w:pPr>
          </w:p>
        </w:tc>
        <w:tc>
          <w:tcPr>
            <w:tcW w:w="850" w:type="dxa"/>
          </w:tcPr>
          <w:p w14:paraId="784F949D" w14:textId="77777777" w:rsidR="006E1FCB" w:rsidRPr="00932561" w:rsidRDefault="006E1FCB" w:rsidP="000931EA">
            <w:pPr>
              <w:spacing w:before="0"/>
              <w:jc w:val="center"/>
              <w:rPr>
                <w:rFonts w:ascii="Calibri" w:hAnsi="Calibri" w:cs="Calibri"/>
              </w:rPr>
            </w:pPr>
          </w:p>
        </w:tc>
        <w:tc>
          <w:tcPr>
            <w:tcW w:w="851" w:type="dxa"/>
          </w:tcPr>
          <w:p w14:paraId="20054445" w14:textId="77777777" w:rsidR="006E1FCB" w:rsidRPr="00932561" w:rsidRDefault="006E1FCB" w:rsidP="000931EA">
            <w:pPr>
              <w:spacing w:before="0"/>
              <w:jc w:val="center"/>
              <w:rPr>
                <w:rFonts w:ascii="Calibri" w:hAnsi="Calibri" w:cs="Calibri"/>
              </w:rPr>
            </w:pPr>
          </w:p>
        </w:tc>
        <w:tc>
          <w:tcPr>
            <w:tcW w:w="1275" w:type="dxa"/>
          </w:tcPr>
          <w:p w14:paraId="0518E103" w14:textId="77777777" w:rsidR="006E1FCB" w:rsidRPr="00932561" w:rsidRDefault="006E1FCB" w:rsidP="000931EA">
            <w:pPr>
              <w:spacing w:before="0"/>
              <w:jc w:val="center"/>
              <w:rPr>
                <w:rFonts w:ascii="Calibri" w:hAnsi="Calibri" w:cs="Calibri"/>
              </w:rPr>
            </w:pPr>
          </w:p>
        </w:tc>
        <w:tc>
          <w:tcPr>
            <w:tcW w:w="1454" w:type="dxa"/>
          </w:tcPr>
          <w:p w14:paraId="267CF0AE" w14:textId="77777777" w:rsidR="006E1FCB" w:rsidRPr="00932561" w:rsidRDefault="006E1FCB" w:rsidP="000931EA">
            <w:pPr>
              <w:spacing w:before="0"/>
              <w:jc w:val="center"/>
              <w:rPr>
                <w:rFonts w:ascii="Calibri" w:hAnsi="Calibri" w:cs="Calibri"/>
              </w:rPr>
            </w:pPr>
          </w:p>
        </w:tc>
      </w:tr>
      <w:tr w:rsidR="006E1FCB" w:rsidRPr="00932561" w14:paraId="5682513C"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4236A996"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Kupní síla obyvatel</w:t>
            </w:r>
          </w:p>
        </w:tc>
        <w:tc>
          <w:tcPr>
            <w:tcW w:w="1134" w:type="dxa"/>
          </w:tcPr>
          <w:p w14:paraId="4614C8EB" w14:textId="77777777" w:rsidR="006E1FCB" w:rsidRPr="00932561" w:rsidRDefault="006E1FCB" w:rsidP="000931EA">
            <w:pPr>
              <w:spacing w:before="0"/>
              <w:jc w:val="center"/>
              <w:rPr>
                <w:rFonts w:ascii="Calibri" w:hAnsi="Calibri" w:cs="Calibri"/>
              </w:rPr>
            </w:pPr>
          </w:p>
        </w:tc>
        <w:tc>
          <w:tcPr>
            <w:tcW w:w="850" w:type="dxa"/>
          </w:tcPr>
          <w:p w14:paraId="266CA8A7" w14:textId="77777777" w:rsidR="006E1FCB" w:rsidRPr="00932561" w:rsidRDefault="006E1FCB" w:rsidP="000931EA">
            <w:pPr>
              <w:spacing w:before="0"/>
              <w:jc w:val="center"/>
              <w:rPr>
                <w:rFonts w:ascii="Calibri" w:hAnsi="Calibri" w:cs="Calibri"/>
              </w:rPr>
            </w:pPr>
          </w:p>
        </w:tc>
        <w:tc>
          <w:tcPr>
            <w:tcW w:w="851" w:type="dxa"/>
          </w:tcPr>
          <w:p w14:paraId="318EDADF" w14:textId="77777777" w:rsidR="006E1FCB" w:rsidRPr="00932561" w:rsidRDefault="006E1FCB" w:rsidP="000931EA">
            <w:pPr>
              <w:spacing w:before="0"/>
              <w:jc w:val="center"/>
              <w:rPr>
                <w:rFonts w:ascii="Calibri" w:hAnsi="Calibri" w:cs="Calibri"/>
              </w:rPr>
            </w:pPr>
          </w:p>
        </w:tc>
        <w:tc>
          <w:tcPr>
            <w:tcW w:w="1275" w:type="dxa"/>
          </w:tcPr>
          <w:p w14:paraId="506F6C6F" w14:textId="77777777" w:rsidR="006E1FCB" w:rsidRPr="00932561" w:rsidRDefault="006E1FCB" w:rsidP="000931EA">
            <w:pPr>
              <w:spacing w:before="0"/>
              <w:jc w:val="center"/>
              <w:rPr>
                <w:rFonts w:ascii="Calibri" w:hAnsi="Calibri" w:cs="Calibri"/>
              </w:rPr>
            </w:pPr>
          </w:p>
        </w:tc>
        <w:tc>
          <w:tcPr>
            <w:tcW w:w="1454" w:type="dxa"/>
          </w:tcPr>
          <w:p w14:paraId="5D9FCCD8" w14:textId="77777777" w:rsidR="006E1FCB" w:rsidRPr="00932561" w:rsidRDefault="006E1FCB" w:rsidP="000931EA">
            <w:pPr>
              <w:spacing w:before="0"/>
              <w:jc w:val="center"/>
              <w:rPr>
                <w:rFonts w:ascii="Calibri" w:hAnsi="Calibri" w:cs="Calibri"/>
              </w:rPr>
            </w:pPr>
          </w:p>
        </w:tc>
      </w:tr>
      <w:tr w:rsidR="006E1FCB" w:rsidRPr="00932561" w14:paraId="77153F68" w14:textId="77777777" w:rsidTr="000931EA">
        <w:tc>
          <w:tcPr>
            <w:tcW w:w="3823" w:type="dxa"/>
          </w:tcPr>
          <w:p w14:paraId="607351AC"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Dostupnost kvalifikovaných pracovníků</w:t>
            </w:r>
          </w:p>
        </w:tc>
        <w:tc>
          <w:tcPr>
            <w:tcW w:w="1134" w:type="dxa"/>
          </w:tcPr>
          <w:p w14:paraId="43111C62" w14:textId="77777777" w:rsidR="006E1FCB" w:rsidRPr="00932561" w:rsidRDefault="006E1FCB" w:rsidP="000931EA">
            <w:pPr>
              <w:spacing w:before="0"/>
              <w:jc w:val="center"/>
              <w:rPr>
                <w:rFonts w:ascii="Calibri" w:hAnsi="Calibri" w:cs="Calibri"/>
              </w:rPr>
            </w:pPr>
          </w:p>
        </w:tc>
        <w:tc>
          <w:tcPr>
            <w:tcW w:w="850" w:type="dxa"/>
          </w:tcPr>
          <w:p w14:paraId="027AC0D5" w14:textId="77777777" w:rsidR="006E1FCB" w:rsidRPr="00932561" w:rsidRDefault="006E1FCB" w:rsidP="000931EA">
            <w:pPr>
              <w:spacing w:before="0"/>
              <w:jc w:val="center"/>
              <w:rPr>
                <w:rFonts w:ascii="Calibri" w:hAnsi="Calibri" w:cs="Calibri"/>
              </w:rPr>
            </w:pPr>
          </w:p>
        </w:tc>
        <w:tc>
          <w:tcPr>
            <w:tcW w:w="851" w:type="dxa"/>
          </w:tcPr>
          <w:p w14:paraId="3A446E11" w14:textId="77777777" w:rsidR="006E1FCB" w:rsidRPr="00932561" w:rsidRDefault="006E1FCB" w:rsidP="000931EA">
            <w:pPr>
              <w:spacing w:before="0"/>
              <w:jc w:val="center"/>
              <w:rPr>
                <w:rFonts w:ascii="Calibri" w:hAnsi="Calibri" w:cs="Calibri"/>
              </w:rPr>
            </w:pPr>
          </w:p>
        </w:tc>
        <w:tc>
          <w:tcPr>
            <w:tcW w:w="1275" w:type="dxa"/>
          </w:tcPr>
          <w:p w14:paraId="6E3F4EFA" w14:textId="77777777" w:rsidR="006E1FCB" w:rsidRPr="00932561" w:rsidRDefault="006E1FCB" w:rsidP="000931EA">
            <w:pPr>
              <w:spacing w:before="0"/>
              <w:jc w:val="center"/>
              <w:rPr>
                <w:rFonts w:ascii="Calibri" w:hAnsi="Calibri" w:cs="Calibri"/>
              </w:rPr>
            </w:pPr>
          </w:p>
        </w:tc>
        <w:tc>
          <w:tcPr>
            <w:tcW w:w="1454" w:type="dxa"/>
          </w:tcPr>
          <w:p w14:paraId="0DC5C4A2" w14:textId="77777777" w:rsidR="006E1FCB" w:rsidRPr="00932561" w:rsidRDefault="006E1FCB" w:rsidP="000931EA">
            <w:pPr>
              <w:spacing w:before="0"/>
              <w:jc w:val="center"/>
              <w:rPr>
                <w:rFonts w:ascii="Calibri" w:hAnsi="Calibri" w:cs="Calibri"/>
              </w:rPr>
            </w:pPr>
          </w:p>
        </w:tc>
      </w:tr>
      <w:tr w:rsidR="006E1FCB" w:rsidRPr="00932561" w14:paraId="30BB6EA7"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052E80B5" w14:textId="77777777" w:rsidR="006E1FCB" w:rsidRPr="00932561" w:rsidRDefault="006E1FCB" w:rsidP="00A55F7D">
            <w:pPr>
              <w:numPr>
                <w:ilvl w:val="0"/>
                <w:numId w:val="99"/>
              </w:numPr>
              <w:spacing w:before="0"/>
              <w:ind w:left="492"/>
              <w:jc w:val="left"/>
              <w:rPr>
                <w:rFonts w:ascii="Calibri" w:hAnsi="Calibri" w:cs="Calibri"/>
              </w:rPr>
            </w:pPr>
            <w:r w:rsidRPr="00932561">
              <w:rPr>
                <w:rFonts w:ascii="Calibri" w:hAnsi="Calibri" w:cs="Calibri"/>
              </w:rPr>
              <w:t>Cena vstupů (materiál, energie atd.)</w:t>
            </w:r>
          </w:p>
        </w:tc>
        <w:tc>
          <w:tcPr>
            <w:tcW w:w="1134" w:type="dxa"/>
          </w:tcPr>
          <w:p w14:paraId="640C400C" w14:textId="77777777" w:rsidR="006E1FCB" w:rsidRPr="00932561" w:rsidRDefault="006E1FCB" w:rsidP="000931EA">
            <w:pPr>
              <w:spacing w:before="0"/>
              <w:jc w:val="center"/>
              <w:rPr>
                <w:rFonts w:ascii="Calibri" w:hAnsi="Calibri" w:cs="Calibri"/>
              </w:rPr>
            </w:pPr>
          </w:p>
        </w:tc>
        <w:tc>
          <w:tcPr>
            <w:tcW w:w="850" w:type="dxa"/>
          </w:tcPr>
          <w:p w14:paraId="4501F136" w14:textId="77777777" w:rsidR="006E1FCB" w:rsidRPr="00932561" w:rsidRDefault="006E1FCB" w:rsidP="000931EA">
            <w:pPr>
              <w:spacing w:before="0"/>
              <w:jc w:val="center"/>
              <w:rPr>
                <w:rFonts w:ascii="Calibri" w:hAnsi="Calibri" w:cs="Calibri"/>
              </w:rPr>
            </w:pPr>
          </w:p>
        </w:tc>
        <w:tc>
          <w:tcPr>
            <w:tcW w:w="851" w:type="dxa"/>
          </w:tcPr>
          <w:p w14:paraId="768F912F" w14:textId="77777777" w:rsidR="006E1FCB" w:rsidRPr="00932561" w:rsidRDefault="006E1FCB" w:rsidP="000931EA">
            <w:pPr>
              <w:spacing w:before="0"/>
              <w:jc w:val="center"/>
              <w:rPr>
                <w:rFonts w:ascii="Calibri" w:hAnsi="Calibri" w:cs="Calibri"/>
              </w:rPr>
            </w:pPr>
          </w:p>
        </w:tc>
        <w:tc>
          <w:tcPr>
            <w:tcW w:w="1275" w:type="dxa"/>
          </w:tcPr>
          <w:p w14:paraId="7CC1BFD7" w14:textId="77777777" w:rsidR="006E1FCB" w:rsidRPr="00932561" w:rsidRDefault="006E1FCB" w:rsidP="000931EA">
            <w:pPr>
              <w:spacing w:before="0"/>
              <w:jc w:val="center"/>
              <w:rPr>
                <w:rFonts w:ascii="Calibri" w:hAnsi="Calibri" w:cs="Calibri"/>
              </w:rPr>
            </w:pPr>
          </w:p>
        </w:tc>
        <w:tc>
          <w:tcPr>
            <w:tcW w:w="1454" w:type="dxa"/>
          </w:tcPr>
          <w:p w14:paraId="2FE9A067" w14:textId="77777777" w:rsidR="006E1FCB" w:rsidRPr="00932561" w:rsidRDefault="006E1FCB" w:rsidP="000931EA">
            <w:pPr>
              <w:spacing w:before="0"/>
              <w:jc w:val="center"/>
              <w:rPr>
                <w:rFonts w:ascii="Calibri" w:hAnsi="Calibri" w:cs="Calibri"/>
              </w:rPr>
            </w:pPr>
          </w:p>
        </w:tc>
      </w:tr>
      <w:tr w:rsidR="006E1FCB" w:rsidRPr="00932561" w14:paraId="6C7A3A2C" w14:textId="77777777" w:rsidTr="000931EA">
        <w:tc>
          <w:tcPr>
            <w:tcW w:w="3823" w:type="dxa"/>
          </w:tcPr>
          <w:p w14:paraId="2190D157"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Dodržování bezpečnosti</w:t>
            </w:r>
          </w:p>
        </w:tc>
        <w:tc>
          <w:tcPr>
            <w:tcW w:w="1134" w:type="dxa"/>
          </w:tcPr>
          <w:p w14:paraId="4BBBB3D2" w14:textId="77777777" w:rsidR="006E1FCB" w:rsidRPr="00932561" w:rsidRDefault="006E1FCB" w:rsidP="000931EA">
            <w:pPr>
              <w:spacing w:before="0"/>
              <w:jc w:val="center"/>
              <w:rPr>
                <w:rFonts w:ascii="Calibri" w:hAnsi="Calibri" w:cs="Calibri"/>
                <w:bCs/>
              </w:rPr>
            </w:pPr>
          </w:p>
        </w:tc>
        <w:tc>
          <w:tcPr>
            <w:tcW w:w="850" w:type="dxa"/>
          </w:tcPr>
          <w:p w14:paraId="7AEE687C" w14:textId="77777777" w:rsidR="006E1FCB" w:rsidRPr="00932561" w:rsidRDefault="006E1FCB" w:rsidP="000931EA">
            <w:pPr>
              <w:spacing w:before="0"/>
              <w:jc w:val="center"/>
              <w:rPr>
                <w:rFonts w:ascii="Calibri" w:hAnsi="Calibri" w:cs="Calibri"/>
                <w:bCs/>
              </w:rPr>
            </w:pPr>
          </w:p>
        </w:tc>
        <w:tc>
          <w:tcPr>
            <w:tcW w:w="851" w:type="dxa"/>
          </w:tcPr>
          <w:p w14:paraId="272B5E26" w14:textId="77777777" w:rsidR="006E1FCB" w:rsidRPr="00932561" w:rsidRDefault="006E1FCB" w:rsidP="000931EA">
            <w:pPr>
              <w:spacing w:before="0"/>
              <w:jc w:val="center"/>
              <w:rPr>
                <w:rFonts w:ascii="Calibri" w:hAnsi="Calibri" w:cs="Calibri"/>
                <w:bCs/>
              </w:rPr>
            </w:pPr>
          </w:p>
        </w:tc>
        <w:tc>
          <w:tcPr>
            <w:tcW w:w="1275" w:type="dxa"/>
          </w:tcPr>
          <w:p w14:paraId="45C7B072" w14:textId="77777777" w:rsidR="006E1FCB" w:rsidRPr="00932561" w:rsidRDefault="006E1FCB" w:rsidP="000931EA">
            <w:pPr>
              <w:spacing w:before="0"/>
              <w:jc w:val="center"/>
              <w:rPr>
                <w:rFonts w:ascii="Calibri" w:hAnsi="Calibri" w:cs="Calibri"/>
                <w:bCs/>
              </w:rPr>
            </w:pPr>
          </w:p>
        </w:tc>
        <w:tc>
          <w:tcPr>
            <w:tcW w:w="1454" w:type="dxa"/>
          </w:tcPr>
          <w:p w14:paraId="18C8DAAF" w14:textId="77777777" w:rsidR="006E1FCB" w:rsidRPr="00932561" w:rsidRDefault="006E1FCB" w:rsidP="000931EA">
            <w:pPr>
              <w:spacing w:before="0"/>
              <w:jc w:val="center"/>
              <w:rPr>
                <w:rFonts w:ascii="Calibri" w:hAnsi="Calibri" w:cs="Calibri"/>
                <w:bCs/>
              </w:rPr>
            </w:pPr>
          </w:p>
        </w:tc>
      </w:tr>
      <w:tr w:rsidR="006E1FCB" w:rsidRPr="00932561" w14:paraId="2F3442A3"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28169895"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Zahraniční konkurence</w:t>
            </w:r>
          </w:p>
        </w:tc>
        <w:tc>
          <w:tcPr>
            <w:tcW w:w="1134" w:type="dxa"/>
          </w:tcPr>
          <w:p w14:paraId="05E84381" w14:textId="77777777" w:rsidR="006E1FCB" w:rsidRPr="00932561" w:rsidRDefault="006E1FCB" w:rsidP="000931EA">
            <w:pPr>
              <w:spacing w:before="0"/>
              <w:jc w:val="center"/>
              <w:rPr>
                <w:rFonts w:ascii="Calibri" w:hAnsi="Calibri" w:cs="Calibri"/>
              </w:rPr>
            </w:pPr>
          </w:p>
        </w:tc>
        <w:tc>
          <w:tcPr>
            <w:tcW w:w="850" w:type="dxa"/>
          </w:tcPr>
          <w:p w14:paraId="3A726842" w14:textId="77777777" w:rsidR="006E1FCB" w:rsidRPr="00932561" w:rsidRDefault="006E1FCB" w:rsidP="000931EA">
            <w:pPr>
              <w:spacing w:before="0"/>
              <w:jc w:val="center"/>
              <w:rPr>
                <w:rFonts w:ascii="Calibri" w:hAnsi="Calibri" w:cs="Calibri"/>
              </w:rPr>
            </w:pPr>
          </w:p>
        </w:tc>
        <w:tc>
          <w:tcPr>
            <w:tcW w:w="851" w:type="dxa"/>
          </w:tcPr>
          <w:p w14:paraId="52166EE3" w14:textId="77777777" w:rsidR="006E1FCB" w:rsidRPr="00932561" w:rsidRDefault="006E1FCB" w:rsidP="000931EA">
            <w:pPr>
              <w:spacing w:before="0"/>
              <w:jc w:val="center"/>
              <w:rPr>
                <w:rFonts w:ascii="Calibri" w:hAnsi="Calibri" w:cs="Calibri"/>
              </w:rPr>
            </w:pPr>
          </w:p>
        </w:tc>
        <w:tc>
          <w:tcPr>
            <w:tcW w:w="1275" w:type="dxa"/>
          </w:tcPr>
          <w:p w14:paraId="41A8DC2C" w14:textId="77777777" w:rsidR="006E1FCB" w:rsidRPr="00932561" w:rsidRDefault="006E1FCB" w:rsidP="000931EA">
            <w:pPr>
              <w:spacing w:before="0"/>
              <w:jc w:val="center"/>
              <w:rPr>
                <w:rFonts w:ascii="Calibri" w:hAnsi="Calibri" w:cs="Calibri"/>
              </w:rPr>
            </w:pPr>
          </w:p>
        </w:tc>
        <w:tc>
          <w:tcPr>
            <w:tcW w:w="1454" w:type="dxa"/>
          </w:tcPr>
          <w:p w14:paraId="0613586F" w14:textId="77777777" w:rsidR="006E1FCB" w:rsidRPr="00932561" w:rsidRDefault="006E1FCB" w:rsidP="000931EA">
            <w:pPr>
              <w:spacing w:before="0"/>
              <w:jc w:val="center"/>
              <w:rPr>
                <w:rFonts w:ascii="Calibri" w:hAnsi="Calibri" w:cs="Calibri"/>
              </w:rPr>
            </w:pPr>
          </w:p>
        </w:tc>
      </w:tr>
      <w:tr w:rsidR="006E1FCB" w:rsidRPr="00932561" w14:paraId="4B67C4D2" w14:textId="77777777" w:rsidTr="000931EA">
        <w:tc>
          <w:tcPr>
            <w:tcW w:w="3823" w:type="dxa"/>
          </w:tcPr>
          <w:p w14:paraId="02ED366B"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Domácí konkurence</w:t>
            </w:r>
          </w:p>
        </w:tc>
        <w:tc>
          <w:tcPr>
            <w:tcW w:w="1134" w:type="dxa"/>
          </w:tcPr>
          <w:p w14:paraId="614D5A1F" w14:textId="77777777" w:rsidR="006E1FCB" w:rsidRPr="00932561" w:rsidRDefault="006E1FCB" w:rsidP="000931EA">
            <w:pPr>
              <w:spacing w:before="0"/>
              <w:jc w:val="center"/>
              <w:rPr>
                <w:rFonts w:ascii="Calibri" w:hAnsi="Calibri" w:cs="Calibri"/>
              </w:rPr>
            </w:pPr>
          </w:p>
        </w:tc>
        <w:tc>
          <w:tcPr>
            <w:tcW w:w="850" w:type="dxa"/>
          </w:tcPr>
          <w:p w14:paraId="6F873A64" w14:textId="77777777" w:rsidR="006E1FCB" w:rsidRPr="00932561" w:rsidRDefault="006E1FCB" w:rsidP="000931EA">
            <w:pPr>
              <w:spacing w:before="0"/>
              <w:jc w:val="center"/>
              <w:rPr>
                <w:rFonts w:ascii="Calibri" w:hAnsi="Calibri" w:cs="Calibri"/>
              </w:rPr>
            </w:pPr>
          </w:p>
        </w:tc>
        <w:tc>
          <w:tcPr>
            <w:tcW w:w="851" w:type="dxa"/>
          </w:tcPr>
          <w:p w14:paraId="31D80B16" w14:textId="77777777" w:rsidR="006E1FCB" w:rsidRPr="00932561" w:rsidRDefault="006E1FCB" w:rsidP="000931EA">
            <w:pPr>
              <w:spacing w:before="0"/>
              <w:jc w:val="center"/>
              <w:rPr>
                <w:rFonts w:ascii="Calibri" w:hAnsi="Calibri" w:cs="Calibri"/>
              </w:rPr>
            </w:pPr>
          </w:p>
        </w:tc>
        <w:tc>
          <w:tcPr>
            <w:tcW w:w="1275" w:type="dxa"/>
          </w:tcPr>
          <w:p w14:paraId="482E0F1A" w14:textId="77777777" w:rsidR="006E1FCB" w:rsidRPr="00932561" w:rsidRDefault="006E1FCB" w:rsidP="000931EA">
            <w:pPr>
              <w:spacing w:before="0"/>
              <w:jc w:val="center"/>
              <w:rPr>
                <w:rFonts w:ascii="Calibri" w:hAnsi="Calibri" w:cs="Calibri"/>
              </w:rPr>
            </w:pPr>
          </w:p>
        </w:tc>
        <w:tc>
          <w:tcPr>
            <w:tcW w:w="1454" w:type="dxa"/>
          </w:tcPr>
          <w:p w14:paraId="2A06368F" w14:textId="77777777" w:rsidR="006E1FCB" w:rsidRPr="00932561" w:rsidRDefault="006E1FCB" w:rsidP="000931EA">
            <w:pPr>
              <w:spacing w:before="0"/>
              <w:jc w:val="center"/>
              <w:rPr>
                <w:rFonts w:ascii="Calibri" w:hAnsi="Calibri" w:cs="Calibri"/>
              </w:rPr>
            </w:pPr>
          </w:p>
        </w:tc>
      </w:tr>
      <w:tr w:rsidR="006E1FCB" w:rsidRPr="00932561" w14:paraId="556E26D0"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66F680F5"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Ekonomická situace ČR</w:t>
            </w:r>
          </w:p>
        </w:tc>
        <w:tc>
          <w:tcPr>
            <w:tcW w:w="1134" w:type="dxa"/>
          </w:tcPr>
          <w:p w14:paraId="19BE1A96" w14:textId="77777777" w:rsidR="006E1FCB" w:rsidRPr="00932561" w:rsidRDefault="006E1FCB" w:rsidP="000931EA">
            <w:pPr>
              <w:spacing w:before="0"/>
              <w:jc w:val="center"/>
              <w:rPr>
                <w:rFonts w:ascii="Calibri" w:hAnsi="Calibri" w:cs="Calibri"/>
              </w:rPr>
            </w:pPr>
          </w:p>
        </w:tc>
        <w:tc>
          <w:tcPr>
            <w:tcW w:w="850" w:type="dxa"/>
          </w:tcPr>
          <w:p w14:paraId="2D0EAF54" w14:textId="77777777" w:rsidR="006E1FCB" w:rsidRPr="00932561" w:rsidRDefault="006E1FCB" w:rsidP="000931EA">
            <w:pPr>
              <w:spacing w:before="0"/>
              <w:jc w:val="center"/>
              <w:rPr>
                <w:rFonts w:ascii="Calibri" w:hAnsi="Calibri" w:cs="Calibri"/>
              </w:rPr>
            </w:pPr>
          </w:p>
        </w:tc>
        <w:tc>
          <w:tcPr>
            <w:tcW w:w="851" w:type="dxa"/>
          </w:tcPr>
          <w:p w14:paraId="27690441" w14:textId="77777777" w:rsidR="006E1FCB" w:rsidRPr="00932561" w:rsidRDefault="006E1FCB" w:rsidP="000931EA">
            <w:pPr>
              <w:spacing w:before="0"/>
              <w:jc w:val="center"/>
              <w:rPr>
                <w:rFonts w:ascii="Calibri" w:hAnsi="Calibri" w:cs="Calibri"/>
              </w:rPr>
            </w:pPr>
          </w:p>
        </w:tc>
        <w:tc>
          <w:tcPr>
            <w:tcW w:w="1275" w:type="dxa"/>
          </w:tcPr>
          <w:p w14:paraId="02D50A2F" w14:textId="77777777" w:rsidR="006E1FCB" w:rsidRPr="00932561" w:rsidRDefault="006E1FCB" w:rsidP="000931EA">
            <w:pPr>
              <w:spacing w:before="0"/>
              <w:jc w:val="center"/>
              <w:rPr>
                <w:rFonts w:ascii="Calibri" w:hAnsi="Calibri" w:cs="Calibri"/>
              </w:rPr>
            </w:pPr>
          </w:p>
        </w:tc>
        <w:tc>
          <w:tcPr>
            <w:tcW w:w="1454" w:type="dxa"/>
          </w:tcPr>
          <w:p w14:paraId="41F45503" w14:textId="77777777" w:rsidR="006E1FCB" w:rsidRPr="00932561" w:rsidRDefault="006E1FCB" w:rsidP="000931EA">
            <w:pPr>
              <w:spacing w:before="0"/>
              <w:jc w:val="center"/>
              <w:rPr>
                <w:rFonts w:ascii="Calibri" w:hAnsi="Calibri" w:cs="Calibri"/>
              </w:rPr>
            </w:pPr>
          </w:p>
        </w:tc>
      </w:tr>
      <w:tr w:rsidR="006E1FCB" w:rsidRPr="00932561" w14:paraId="36D87F06" w14:textId="77777777" w:rsidTr="000931EA">
        <w:tc>
          <w:tcPr>
            <w:tcW w:w="3823" w:type="dxa"/>
          </w:tcPr>
          <w:p w14:paraId="7DD3D86B"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Náklady na mzdy</w:t>
            </w:r>
          </w:p>
        </w:tc>
        <w:tc>
          <w:tcPr>
            <w:tcW w:w="1134" w:type="dxa"/>
          </w:tcPr>
          <w:p w14:paraId="43227F6D" w14:textId="77777777" w:rsidR="006E1FCB" w:rsidRPr="00932561" w:rsidRDefault="006E1FCB" w:rsidP="000931EA">
            <w:pPr>
              <w:spacing w:before="0"/>
              <w:jc w:val="center"/>
              <w:rPr>
                <w:rFonts w:ascii="Calibri" w:hAnsi="Calibri" w:cs="Calibri"/>
              </w:rPr>
            </w:pPr>
          </w:p>
        </w:tc>
        <w:tc>
          <w:tcPr>
            <w:tcW w:w="850" w:type="dxa"/>
          </w:tcPr>
          <w:p w14:paraId="1D7F4A7F" w14:textId="77777777" w:rsidR="006E1FCB" w:rsidRPr="00932561" w:rsidRDefault="006E1FCB" w:rsidP="000931EA">
            <w:pPr>
              <w:spacing w:before="0"/>
              <w:jc w:val="center"/>
              <w:rPr>
                <w:rFonts w:ascii="Calibri" w:hAnsi="Calibri" w:cs="Calibri"/>
              </w:rPr>
            </w:pPr>
          </w:p>
        </w:tc>
        <w:tc>
          <w:tcPr>
            <w:tcW w:w="851" w:type="dxa"/>
          </w:tcPr>
          <w:p w14:paraId="3759B212" w14:textId="77777777" w:rsidR="006E1FCB" w:rsidRPr="00932561" w:rsidRDefault="006E1FCB" w:rsidP="000931EA">
            <w:pPr>
              <w:spacing w:before="0"/>
              <w:jc w:val="center"/>
              <w:rPr>
                <w:rFonts w:ascii="Calibri" w:hAnsi="Calibri" w:cs="Calibri"/>
              </w:rPr>
            </w:pPr>
          </w:p>
        </w:tc>
        <w:tc>
          <w:tcPr>
            <w:tcW w:w="1275" w:type="dxa"/>
          </w:tcPr>
          <w:p w14:paraId="07111E68" w14:textId="77777777" w:rsidR="006E1FCB" w:rsidRPr="00932561" w:rsidRDefault="006E1FCB" w:rsidP="000931EA">
            <w:pPr>
              <w:spacing w:before="0"/>
              <w:jc w:val="center"/>
              <w:rPr>
                <w:rFonts w:ascii="Calibri" w:hAnsi="Calibri" w:cs="Calibri"/>
              </w:rPr>
            </w:pPr>
          </w:p>
        </w:tc>
        <w:tc>
          <w:tcPr>
            <w:tcW w:w="1454" w:type="dxa"/>
          </w:tcPr>
          <w:p w14:paraId="36C8224C" w14:textId="77777777" w:rsidR="006E1FCB" w:rsidRPr="00932561" w:rsidRDefault="006E1FCB" w:rsidP="000931EA">
            <w:pPr>
              <w:spacing w:before="0"/>
              <w:jc w:val="center"/>
              <w:rPr>
                <w:rFonts w:ascii="Calibri" w:hAnsi="Calibri" w:cs="Calibri"/>
              </w:rPr>
            </w:pPr>
          </w:p>
        </w:tc>
      </w:tr>
      <w:tr w:rsidR="006E1FCB" w:rsidRPr="00932561" w14:paraId="3EFAE1E8"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2A8DD29C"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Kurs koruny</w:t>
            </w:r>
          </w:p>
        </w:tc>
        <w:tc>
          <w:tcPr>
            <w:tcW w:w="1134" w:type="dxa"/>
          </w:tcPr>
          <w:p w14:paraId="1DD584D0" w14:textId="77777777" w:rsidR="006E1FCB" w:rsidRPr="00932561" w:rsidRDefault="006E1FCB" w:rsidP="000931EA">
            <w:pPr>
              <w:spacing w:before="0"/>
              <w:jc w:val="center"/>
              <w:rPr>
                <w:rFonts w:ascii="Calibri" w:hAnsi="Calibri" w:cs="Calibri"/>
              </w:rPr>
            </w:pPr>
          </w:p>
        </w:tc>
        <w:tc>
          <w:tcPr>
            <w:tcW w:w="850" w:type="dxa"/>
          </w:tcPr>
          <w:p w14:paraId="2354E6BF" w14:textId="77777777" w:rsidR="006E1FCB" w:rsidRPr="00932561" w:rsidRDefault="006E1FCB" w:rsidP="000931EA">
            <w:pPr>
              <w:spacing w:before="0"/>
              <w:jc w:val="center"/>
              <w:rPr>
                <w:rFonts w:ascii="Calibri" w:hAnsi="Calibri" w:cs="Calibri"/>
              </w:rPr>
            </w:pPr>
          </w:p>
        </w:tc>
        <w:tc>
          <w:tcPr>
            <w:tcW w:w="851" w:type="dxa"/>
          </w:tcPr>
          <w:p w14:paraId="0B24F64C" w14:textId="77777777" w:rsidR="006E1FCB" w:rsidRPr="00932561" w:rsidRDefault="006E1FCB" w:rsidP="000931EA">
            <w:pPr>
              <w:spacing w:before="0"/>
              <w:jc w:val="center"/>
              <w:rPr>
                <w:rFonts w:ascii="Calibri" w:hAnsi="Calibri" w:cs="Calibri"/>
              </w:rPr>
            </w:pPr>
          </w:p>
        </w:tc>
        <w:tc>
          <w:tcPr>
            <w:tcW w:w="1275" w:type="dxa"/>
          </w:tcPr>
          <w:p w14:paraId="24096AF9" w14:textId="77777777" w:rsidR="006E1FCB" w:rsidRPr="00932561" w:rsidRDefault="006E1FCB" w:rsidP="000931EA">
            <w:pPr>
              <w:spacing w:before="0"/>
              <w:jc w:val="center"/>
              <w:rPr>
                <w:rFonts w:ascii="Calibri" w:hAnsi="Calibri" w:cs="Calibri"/>
              </w:rPr>
            </w:pPr>
          </w:p>
        </w:tc>
        <w:tc>
          <w:tcPr>
            <w:tcW w:w="1454" w:type="dxa"/>
          </w:tcPr>
          <w:p w14:paraId="18599020" w14:textId="77777777" w:rsidR="006E1FCB" w:rsidRPr="00932561" w:rsidRDefault="006E1FCB" w:rsidP="000931EA">
            <w:pPr>
              <w:spacing w:before="0"/>
              <w:jc w:val="center"/>
              <w:rPr>
                <w:rFonts w:ascii="Calibri" w:hAnsi="Calibri" w:cs="Calibri"/>
              </w:rPr>
            </w:pPr>
          </w:p>
        </w:tc>
      </w:tr>
      <w:tr w:rsidR="006E1FCB" w:rsidRPr="00932561" w14:paraId="39CABC3D" w14:textId="77777777" w:rsidTr="000931EA">
        <w:tc>
          <w:tcPr>
            <w:tcW w:w="3823" w:type="dxa"/>
          </w:tcPr>
          <w:p w14:paraId="39B969A8"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Politická situace (nestabilita) v ČR</w:t>
            </w:r>
          </w:p>
        </w:tc>
        <w:tc>
          <w:tcPr>
            <w:tcW w:w="1134" w:type="dxa"/>
          </w:tcPr>
          <w:p w14:paraId="19172CD9" w14:textId="77777777" w:rsidR="006E1FCB" w:rsidRPr="00932561" w:rsidRDefault="006E1FCB" w:rsidP="000931EA">
            <w:pPr>
              <w:spacing w:before="0"/>
              <w:jc w:val="center"/>
              <w:rPr>
                <w:rFonts w:ascii="Calibri" w:hAnsi="Calibri" w:cs="Calibri"/>
              </w:rPr>
            </w:pPr>
          </w:p>
        </w:tc>
        <w:tc>
          <w:tcPr>
            <w:tcW w:w="850" w:type="dxa"/>
          </w:tcPr>
          <w:p w14:paraId="29203A01" w14:textId="77777777" w:rsidR="006E1FCB" w:rsidRPr="00932561" w:rsidRDefault="006E1FCB" w:rsidP="000931EA">
            <w:pPr>
              <w:spacing w:before="0"/>
              <w:jc w:val="center"/>
              <w:rPr>
                <w:rFonts w:ascii="Calibri" w:hAnsi="Calibri" w:cs="Calibri"/>
              </w:rPr>
            </w:pPr>
          </w:p>
        </w:tc>
        <w:tc>
          <w:tcPr>
            <w:tcW w:w="851" w:type="dxa"/>
          </w:tcPr>
          <w:p w14:paraId="545E028B" w14:textId="77777777" w:rsidR="006E1FCB" w:rsidRPr="00932561" w:rsidRDefault="006E1FCB" w:rsidP="000931EA">
            <w:pPr>
              <w:spacing w:before="0"/>
              <w:jc w:val="center"/>
              <w:rPr>
                <w:rFonts w:ascii="Calibri" w:hAnsi="Calibri" w:cs="Calibri"/>
              </w:rPr>
            </w:pPr>
          </w:p>
        </w:tc>
        <w:tc>
          <w:tcPr>
            <w:tcW w:w="1275" w:type="dxa"/>
          </w:tcPr>
          <w:p w14:paraId="35946198" w14:textId="77777777" w:rsidR="006E1FCB" w:rsidRPr="00932561" w:rsidRDefault="006E1FCB" w:rsidP="000931EA">
            <w:pPr>
              <w:spacing w:before="0"/>
              <w:jc w:val="center"/>
              <w:rPr>
                <w:rFonts w:ascii="Calibri" w:hAnsi="Calibri" w:cs="Calibri"/>
              </w:rPr>
            </w:pPr>
          </w:p>
        </w:tc>
        <w:tc>
          <w:tcPr>
            <w:tcW w:w="1454" w:type="dxa"/>
          </w:tcPr>
          <w:p w14:paraId="1870C88E" w14:textId="77777777" w:rsidR="006E1FCB" w:rsidRPr="00932561" w:rsidRDefault="006E1FCB" w:rsidP="000931EA">
            <w:pPr>
              <w:spacing w:before="0"/>
              <w:jc w:val="center"/>
              <w:rPr>
                <w:rFonts w:ascii="Calibri" w:hAnsi="Calibri" w:cs="Calibri"/>
              </w:rPr>
            </w:pPr>
          </w:p>
        </w:tc>
      </w:tr>
      <w:tr w:rsidR="006E1FCB" w:rsidRPr="00932561" w14:paraId="3C7A339F"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31A44308"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Nedostatečné prostory – budovy a pozemky</w:t>
            </w:r>
          </w:p>
        </w:tc>
        <w:tc>
          <w:tcPr>
            <w:tcW w:w="1134" w:type="dxa"/>
          </w:tcPr>
          <w:p w14:paraId="05AC5FB4" w14:textId="77777777" w:rsidR="006E1FCB" w:rsidRPr="00932561" w:rsidRDefault="006E1FCB" w:rsidP="000931EA">
            <w:pPr>
              <w:spacing w:before="0"/>
              <w:jc w:val="center"/>
              <w:rPr>
                <w:rFonts w:ascii="Calibri" w:hAnsi="Calibri" w:cs="Calibri"/>
              </w:rPr>
            </w:pPr>
          </w:p>
        </w:tc>
        <w:tc>
          <w:tcPr>
            <w:tcW w:w="850" w:type="dxa"/>
          </w:tcPr>
          <w:p w14:paraId="40E02F0B" w14:textId="77777777" w:rsidR="006E1FCB" w:rsidRPr="00932561" w:rsidRDefault="006E1FCB" w:rsidP="000931EA">
            <w:pPr>
              <w:spacing w:before="0"/>
              <w:jc w:val="center"/>
              <w:rPr>
                <w:rFonts w:ascii="Calibri" w:hAnsi="Calibri" w:cs="Calibri"/>
              </w:rPr>
            </w:pPr>
          </w:p>
        </w:tc>
        <w:tc>
          <w:tcPr>
            <w:tcW w:w="851" w:type="dxa"/>
          </w:tcPr>
          <w:p w14:paraId="73798ABD" w14:textId="77777777" w:rsidR="006E1FCB" w:rsidRPr="00932561" w:rsidRDefault="006E1FCB" w:rsidP="000931EA">
            <w:pPr>
              <w:spacing w:before="0"/>
              <w:jc w:val="center"/>
              <w:rPr>
                <w:rFonts w:ascii="Calibri" w:hAnsi="Calibri" w:cs="Calibri"/>
              </w:rPr>
            </w:pPr>
          </w:p>
        </w:tc>
        <w:tc>
          <w:tcPr>
            <w:tcW w:w="1275" w:type="dxa"/>
          </w:tcPr>
          <w:p w14:paraId="18CC7B62" w14:textId="77777777" w:rsidR="006E1FCB" w:rsidRPr="00932561" w:rsidRDefault="006E1FCB" w:rsidP="000931EA">
            <w:pPr>
              <w:spacing w:before="0"/>
              <w:jc w:val="center"/>
              <w:rPr>
                <w:rFonts w:ascii="Calibri" w:hAnsi="Calibri" w:cs="Calibri"/>
              </w:rPr>
            </w:pPr>
          </w:p>
        </w:tc>
        <w:tc>
          <w:tcPr>
            <w:tcW w:w="1454" w:type="dxa"/>
          </w:tcPr>
          <w:p w14:paraId="77A628DA" w14:textId="77777777" w:rsidR="006E1FCB" w:rsidRPr="00932561" w:rsidRDefault="006E1FCB" w:rsidP="000931EA">
            <w:pPr>
              <w:spacing w:before="0"/>
              <w:jc w:val="center"/>
              <w:rPr>
                <w:rFonts w:ascii="Calibri" w:hAnsi="Calibri" w:cs="Calibri"/>
              </w:rPr>
            </w:pPr>
          </w:p>
        </w:tc>
      </w:tr>
      <w:tr w:rsidR="006E1FCB" w:rsidRPr="00932561" w14:paraId="662E45B8" w14:textId="77777777" w:rsidTr="000931EA">
        <w:tc>
          <w:tcPr>
            <w:tcW w:w="3823" w:type="dxa"/>
          </w:tcPr>
          <w:p w14:paraId="371B417D"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Dostupnost finančních prostředků</w:t>
            </w:r>
          </w:p>
        </w:tc>
        <w:tc>
          <w:tcPr>
            <w:tcW w:w="1134" w:type="dxa"/>
          </w:tcPr>
          <w:p w14:paraId="2BAC3360" w14:textId="77777777" w:rsidR="006E1FCB" w:rsidRPr="00932561" w:rsidRDefault="006E1FCB" w:rsidP="000931EA">
            <w:pPr>
              <w:spacing w:before="0"/>
              <w:jc w:val="center"/>
              <w:rPr>
                <w:rFonts w:ascii="Calibri" w:hAnsi="Calibri" w:cs="Calibri"/>
              </w:rPr>
            </w:pPr>
          </w:p>
        </w:tc>
        <w:tc>
          <w:tcPr>
            <w:tcW w:w="850" w:type="dxa"/>
          </w:tcPr>
          <w:p w14:paraId="083BB0FC" w14:textId="77777777" w:rsidR="006E1FCB" w:rsidRPr="00932561" w:rsidRDefault="006E1FCB" w:rsidP="000931EA">
            <w:pPr>
              <w:spacing w:before="0"/>
              <w:jc w:val="center"/>
              <w:rPr>
                <w:rFonts w:ascii="Calibri" w:hAnsi="Calibri" w:cs="Calibri"/>
              </w:rPr>
            </w:pPr>
          </w:p>
        </w:tc>
        <w:tc>
          <w:tcPr>
            <w:tcW w:w="851" w:type="dxa"/>
          </w:tcPr>
          <w:p w14:paraId="7501757B" w14:textId="77777777" w:rsidR="006E1FCB" w:rsidRPr="00932561" w:rsidRDefault="006E1FCB" w:rsidP="000931EA">
            <w:pPr>
              <w:spacing w:before="0"/>
              <w:jc w:val="center"/>
              <w:rPr>
                <w:rFonts w:ascii="Calibri" w:hAnsi="Calibri" w:cs="Calibri"/>
              </w:rPr>
            </w:pPr>
          </w:p>
        </w:tc>
        <w:tc>
          <w:tcPr>
            <w:tcW w:w="1275" w:type="dxa"/>
          </w:tcPr>
          <w:p w14:paraId="5404E9E4" w14:textId="77777777" w:rsidR="006E1FCB" w:rsidRPr="00932561" w:rsidRDefault="006E1FCB" w:rsidP="000931EA">
            <w:pPr>
              <w:spacing w:before="0"/>
              <w:jc w:val="center"/>
              <w:rPr>
                <w:rFonts w:ascii="Calibri" w:hAnsi="Calibri" w:cs="Calibri"/>
              </w:rPr>
            </w:pPr>
          </w:p>
        </w:tc>
        <w:tc>
          <w:tcPr>
            <w:tcW w:w="1454" w:type="dxa"/>
          </w:tcPr>
          <w:p w14:paraId="5B8DB38E" w14:textId="77777777" w:rsidR="006E1FCB" w:rsidRPr="00932561" w:rsidRDefault="006E1FCB" w:rsidP="000931EA">
            <w:pPr>
              <w:spacing w:before="0"/>
              <w:jc w:val="center"/>
              <w:rPr>
                <w:rFonts w:ascii="Calibri" w:hAnsi="Calibri" w:cs="Calibri"/>
              </w:rPr>
            </w:pPr>
          </w:p>
        </w:tc>
      </w:tr>
      <w:tr w:rsidR="006E1FCB" w:rsidRPr="00932561" w14:paraId="4AA43E48"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18359CB5"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Zastaralá technická zařízení</w:t>
            </w:r>
          </w:p>
        </w:tc>
        <w:tc>
          <w:tcPr>
            <w:tcW w:w="1134" w:type="dxa"/>
          </w:tcPr>
          <w:p w14:paraId="5BC97EB4" w14:textId="77777777" w:rsidR="006E1FCB" w:rsidRPr="00932561" w:rsidRDefault="006E1FCB" w:rsidP="000931EA">
            <w:pPr>
              <w:spacing w:before="0"/>
              <w:jc w:val="center"/>
              <w:rPr>
                <w:rFonts w:ascii="Calibri" w:hAnsi="Calibri" w:cs="Calibri"/>
              </w:rPr>
            </w:pPr>
          </w:p>
        </w:tc>
        <w:tc>
          <w:tcPr>
            <w:tcW w:w="850" w:type="dxa"/>
          </w:tcPr>
          <w:p w14:paraId="5C0EAD02" w14:textId="77777777" w:rsidR="006E1FCB" w:rsidRPr="00932561" w:rsidRDefault="006E1FCB" w:rsidP="000931EA">
            <w:pPr>
              <w:spacing w:before="0"/>
              <w:jc w:val="center"/>
              <w:rPr>
                <w:rFonts w:ascii="Calibri" w:hAnsi="Calibri" w:cs="Calibri"/>
              </w:rPr>
            </w:pPr>
          </w:p>
        </w:tc>
        <w:tc>
          <w:tcPr>
            <w:tcW w:w="851" w:type="dxa"/>
          </w:tcPr>
          <w:p w14:paraId="3A101BF7" w14:textId="77777777" w:rsidR="006E1FCB" w:rsidRPr="00932561" w:rsidRDefault="006E1FCB" w:rsidP="000931EA">
            <w:pPr>
              <w:spacing w:before="0"/>
              <w:jc w:val="center"/>
              <w:rPr>
                <w:rFonts w:ascii="Calibri" w:hAnsi="Calibri" w:cs="Calibri"/>
              </w:rPr>
            </w:pPr>
          </w:p>
        </w:tc>
        <w:tc>
          <w:tcPr>
            <w:tcW w:w="1275" w:type="dxa"/>
          </w:tcPr>
          <w:p w14:paraId="170D9E56" w14:textId="77777777" w:rsidR="006E1FCB" w:rsidRPr="00932561" w:rsidRDefault="006E1FCB" w:rsidP="000931EA">
            <w:pPr>
              <w:spacing w:before="0"/>
              <w:jc w:val="center"/>
              <w:rPr>
                <w:rFonts w:ascii="Calibri" w:hAnsi="Calibri" w:cs="Calibri"/>
              </w:rPr>
            </w:pPr>
          </w:p>
        </w:tc>
        <w:tc>
          <w:tcPr>
            <w:tcW w:w="1454" w:type="dxa"/>
          </w:tcPr>
          <w:p w14:paraId="00800749" w14:textId="77777777" w:rsidR="006E1FCB" w:rsidRPr="00932561" w:rsidRDefault="006E1FCB" w:rsidP="000931EA">
            <w:pPr>
              <w:spacing w:before="0"/>
              <w:jc w:val="center"/>
              <w:rPr>
                <w:rFonts w:ascii="Calibri" w:hAnsi="Calibri" w:cs="Calibri"/>
              </w:rPr>
            </w:pPr>
          </w:p>
        </w:tc>
      </w:tr>
      <w:tr w:rsidR="006E1FCB" w:rsidRPr="00932561" w14:paraId="10048253" w14:textId="77777777" w:rsidTr="000931EA">
        <w:tc>
          <w:tcPr>
            <w:tcW w:w="3823" w:type="dxa"/>
          </w:tcPr>
          <w:p w14:paraId="19F623EE"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Přístup místní správy</w:t>
            </w:r>
          </w:p>
        </w:tc>
        <w:tc>
          <w:tcPr>
            <w:tcW w:w="1134" w:type="dxa"/>
          </w:tcPr>
          <w:p w14:paraId="12CD2340" w14:textId="77777777" w:rsidR="006E1FCB" w:rsidRPr="00932561" w:rsidRDefault="006E1FCB" w:rsidP="000931EA">
            <w:pPr>
              <w:spacing w:before="0"/>
              <w:jc w:val="center"/>
              <w:rPr>
                <w:rFonts w:ascii="Calibri" w:hAnsi="Calibri" w:cs="Calibri"/>
              </w:rPr>
            </w:pPr>
          </w:p>
        </w:tc>
        <w:tc>
          <w:tcPr>
            <w:tcW w:w="850" w:type="dxa"/>
          </w:tcPr>
          <w:p w14:paraId="62CE1428" w14:textId="77777777" w:rsidR="006E1FCB" w:rsidRPr="00932561" w:rsidRDefault="006E1FCB" w:rsidP="000931EA">
            <w:pPr>
              <w:spacing w:before="0"/>
              <w:jc w:val="center"/>
              <w:rPr>
                <w:rFonts w:ascii="Calibri" w:hAnsi="Calibri" w:cs="Calibri"/>
              </w:rPr>
            </w:pPr>
          </w:p>
        </w:tc>
        <w:tc>
          <w:tcPr>
            <w:tcW w:w="851" w:type="dxa"/>
          </w:tcPr>
          <w:p w14:paraId="16E82E6E" w14:textId="77777777" w:rsidR="006E1FCB" w:rsidRPr="00932561" w:rsidRDefault="006E1FCB" w:rsidP="000931EA">
            <w:pPr>
              <w:spacing w:before="0"/>
              <w:jc w:val="center"/>
              <w:rPr>
                <w:rFonts w:ascii="Calibri" w:hAnsi="Calibri" w:cs="Calibri"/>
              </w:rPr>
            </w:pPr>
          </w:p>
        </w:tc>
        <w:tc>
          <w:tcPr>
            <w:tcW w:w="1275" w:type="dxa"/>
          </w:tcPr>
          <w:p w14:paraId="6449FB04" w14:textId="77777777" w:rsidR="006E1FCB" w:rsidRPr="00932561" w:rsidRDefault="006E1FCB" w:rsidP="000931EA">
            <w:pPr>
              <w:spacing w:before="0"/>
              <w:jc w:val="center"/>
              <w:rPr>
                <w:rFonts w:ascii="Calibri" w:hAnsi="Calibri" w:cs="Calibri"/>
              </w:rPr>
            </w:pPr>
          </w:p>
        </w:tc>
        <w:tc>
          <w:tcPr>
            <w:tcW w:w="1454" w:type="dxa"/>
          </w:tcPr>
          <w:p w14:paraId="052FA61E" w14:textId="77777777" w:rsidR="006E1FCB" w:rsidRPr="00932561" w:rsidRDefault="006E1FCB" w:rsidP="000931EA">
            <w:pPr>
              <w:spacing w:before="0"/>
              <w:jc w:val="center"/>
              <w:rPr>
                <w:rFonts w:ascii="Calibri" w:hAnsi="Calibri" w:cs="Calibri"/>
              </w:rPr>
            </w:pPr>
          </w:p>
        </w:tc>
      </w:tr>
      <w:tr w:rsidR="006E1FCB" w:rsidRPr="00932561" w14:paraId="3D83E55B" w14:textId="77777777" w:rsidTr="000931EA">
        <w:trPr>
          <w:cnfStyle w:val="000000100000" w:firstRow="0" w:lastRow="0" w:firstColumn="0" w:lastColumn="0" w:oddVBand="0" w:evenVBand="0" w:oddHBand="1" w:evenHBand="0" w:firstRowFirstColumn="0" w:firstRowLastColumn="0" w:lastRowFirstColumn="0" w:lastRowLastColumn="0"/>
        </w:trPr>
        <w:tc>
          <w:tcPr>
            <w:tcW w:w="3823" w:type="dxa"/>
          </w:tcPr>
          <w:p w14:paraId="18087130"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Úrokové sazby</w:t>
            </w:r>
          </w:p>
        </w:tc>
        <w:tc>
          <w:tcPr>
            <w:tcW w:w="1134" w:type="dxa"/>
          </w:tcPr>
          <w:p w14:paraId="16EAF969" w14:textId="77777777" w:rsidR="006E1FCB" w:rsidRPr="00932561" w:rsidRDefault="006E1FCB" w:rsidP="000931EA">
            <w:pPr>
              <w:spacing w:before="0"/>
              <w:jc w:val="center"/>
              <w:rPr>
                <w:rFonts w:ascii="Calibri" w:hAnsi="Calibri" w:cs="Calibri"/>
                <w:bCs/>
              </w:rPr>
            </w:pPr>
          </w:p>
        </w:tc>
        <w:tc>
          <w:tcPr>
            <w:tcW w:w="850" w:type="dxa"/>
          </w:tcPr>
          <w:p w14:paraId="4F6EE2BF" w14:textId="77777777" w:rsidR="006E1FCB" w:rsidRPr="00932561" w:rsidRDefault="006E1FCB" w:rsidP="000931EA">
            <w:pPr>
              <w:spacing w:before="0"/>
              <w:jc w:val="center"/>
              <w:rPr>
                <w:rFonts w:ascii="Calibri" w:hAnsi="Calibri" w:cs="Calibri"/>
                <w:bCs/>
              </w:rPr>
            </w:pPr>
          </w:p>
        </w:tc>
        <w:tc>
          <w:tcPr>
            <w:tcW w:w="851" w:type="dxa"/>
          </w:tcPr>
          <w:p w14:paraId="6BFD9CAA" w14:textId="77777777" w:rsidR="006E1FCB" w:rsidRPr="00932561" w:rsidRDefault="006E1FCB" w:rsidP="000931EA">
            <w:pPr>
              <w:spacing w:before="0"/>
              <w:jc w:val="center"/>
              <w:rPr>
                <w:rFonts w:ascii="Calibri" w:hAnsi="Calibri" w:cs="Calibri"/>
                <w:bCs/>
              </w:rPr>
            </w:pPr>
          </w:p>
        </w:tc>
        <w:tc>
          <w:tcPr>
            <w:tcW w:w="1275" w:type="dxa"/>
          </w:tcPr>
          <w:p w14:paraId="7B701972" w14:textId="77777777" w:rsidR="006E1FCB" w:rsidRPr="00932561" w:rsidRDefault="006E1FCB" w:rsidP="000931EA">
            <w:pPr>
              <w:spacing w:before="0"/>
              <w:jc w:val="center"/>
              <w:rPr>
                <w:rFonts w:ascii="Calibri" w:hAnsi="Calibri" w:cs="Calibri"/>
                <w:bCs/>
              </w:rPr>
            </w:pPr>
          </w:p>
        </w:tc>
        <w:tc>
          <w:tcPr>
            <w:tcW w:w="1454" w:type="dxa"/>
          </w:tcPr>
          <w:p w14:paraId="168D15A4" w14:textId="77777777" w:rsidR="006E1FCB" w:rsidRPr="00932561" w:rsidRDefault="006E1FCB" w:rsidP="000931EA">
            <w:pPr>
              <w:spacing w:before="0"/>
              <w:jc w:val="center"/>
              <w:rPr>
                <w:rFonts w:ascii="Calibri" w:hAnsi="Calibri" w:cs="Calibri"/>
                <w:bCs/>
              </w:rPr>
            </w:pPr>
          </w:p>
        </w:tc>
      </w:tr>
      <w:tr w:rsidR="006E1FCB" w:rsidRPr="00932561" w14:paraId="512A3752" w14:textId="77777777" w:rsidTr="000931EA">
        <w:tc>
          <w:tcPr>
            <w:tcW w:w="3823" w:type="dxa"/>
          </w:tcPr>
          <w:p w14:paraId="0802B76B" w14:textId="77777777" w:rsidR="006E1FCB" w:rsidRPr="00932561" w:rsidRDefault="006E1FCB" w:rsidP="00A55F7D">
            <w:pPr>
              <w:numPr>
                <w:ilvl w:val="0"/>
                <w:numId w:val="99"/>
              </w:numPr>
              <w:spacing w:before="0"/>
              <w:ind w:left="458" w:hanging="283"/>
              <w:jc w:val="left"/>
              <w:rPr>
                <w:rFonts w:ascii="Calibri" w:hAnsi="Calibri" w:cs="Calibri"/>
              </w:rPr>
            </w:pPr>
            <w:r w:rsidRPr="00932561">
              <w:rPr>
                <w:rFonts w:ascii="Calibri" w:hAnsi="Calibri" w:cs="Calibri"/>
              </w:rPr>
              <w:t>Vzdálenost na trh</w:t>
            </w:r>
          </w:p>
        </w:tc>
        <w:tc>
          <w:tcPr>
            <w:tcW w:w="1134" w:type="dxa"/>
          </w:tcPr>
          <w:p w14:paraId="6B4331CD" w14:textId="77777777" w:rsidR="006E1FCB" w:rsidRPr="00932561" w:rsidRDefault="006E1FCB" w:rsidP="000931EA">
            <w:pPr>
              <w:spacing w:before="0"/>
              <w:jc w:val="center"/>
              <w:rPr>
                <w:rFonts w:ascii="Calibri" w:hAnsi="Calibri" w:cs="Calibri"/>
                <w:bCs/>
              </w:rPr>
            </w:pPr>
          </w:p>
        </w:tc>
        <w:tc>
          <w:tcPr>
            <w:tcW w:w="850" w:type="dxa"/>
          </w:tcPr>
          <w:p w14:paraId="0BDA6C94" w14:textId="77777777" w:rsidR="006E1FCB" w:rsidRPr="00932561" w:rsidRDefault="006E1FCB" w:rsidP="000931EA">
            <w:pPr>
              <w:spacing w:before="0"/>
              <w:jc w:val="center"/>
              <w:rPr>
                <w:rFonts w:ascii="Calibri" w:hAnsi="Calibri" w:cs="Calibri"/>
                <w:bCs/>
              </w:rPr>
            </w:pPr>
          </w:p>
        </w:tc>
        <w:tc>
          <w:tcPr>
            <w:tcW w:w="851" w:type="dxa"/>
          </w:tcPr>
          <w:p w14:paraId="55841AD8" w14:textId="77777777" w:rsidR="006E1FCB" w:rsidRPr="00932561" w:rsidRDefault="006E1FCB" w:rsidP="000931EA">
            <w:pPr>
              <w:spacing w:before="0"/>
              <w:jc w:val="center"/>
              <w:rPr>
                <w:rFonts w:ascii="Calibri" w:hAnsi="Calibri" w:cs="Calibri"/>
                <w:bCs/>
              </w:rPr>
            </w:pPr>
          </w:p>
        </w:tc>
        <w:tc>
          <w:tcPr>
            <w:tcW w:w="1275" w:type="dxa"/>
          </w:tcPr>
          <w:p w14:paraId="4806A955" w14:textId="77777777" w:rsidR="006E1FCB" w:rsidRPr="00932561" w:rsidRDefault="006E1FCB" w:rsidP="000931EA">
            <w:pPr>
              <w:spacing w:before="0"/>
              <w:jc w:val="center"/>
              <w:rPr>
                <w:rFonts w:ascii="Calibri" w:hAnsi="Calibri" w:cs="Calibri"/>
                <w:bCs/>
              </w:rPr>
            </w:pPr>
          </w:p>
        </w:tc>
        <w:tc>
          <w:tcPr>
            <w:tcW w:w="1454" w:type="dxa"/>
          </w:tcPr>
          <w:p w14:paraId="429B0C0D" w14:textId="77777777" w:rsidR="006E1FCB" w:rsidRPr="00932561" w:rsidRDefault="006E1FCB" w:rsidP="000931EA">
            <w:pPr>
              <w:spacing w:before="0"/>
              <w:jc w:val="center"/>
              <w:rPr>
                <w:rFonts w:ascii="Calibri" w:hAnsi="Calibri" w:cs="Calibri"/>
                <w:bCs/>
              </w:rPr>
            </w:pPr>
          </w:p>
        </w:tc>
      </w:tr>
    </w:tbl>
    <w:p w14:paraId="5B993481" w14:textId="77777777" w:rsidR="006E1FCB" w:rsidRPr="00932561" w:rsidRDefault="006E1FCB" w:rsidP="006E1FCB">
      <w:pPr>
        <w:spacing w:before="0"/>
        <w:jc w:val="left"/>
        <w:rPr>
          <w:rFonts w:ascii="Calibri" w:eastAsia="Times New Roman" w:hAnsi="Calibri" w:cs="Calibri"/>
          <w:lang w:eastAsia="cs-CZ"/>
        </w:rPr>
      </w:pPr>
    </w:p>
    <w:p w14:paraId="1F803266" w14:textId="77777777" w:rsidR="006E1FCB" w:rsidRPr="00932561" w:rsidRDefault="006E1FCB" w:rsidP="006E1FCB">
      <w:pPr>
        <w:spacing w:before="0"/>
        <w:jc w:val="left"/>
        <w:rPr>
          <w:rFonts w:ascii="Calibri" w:eastAsia="Times New Roman" w:hAnsi="Calibri" w:cs="Calibri"/>
          <w:lang w:eastAsia="cs-CZ"/>
        </w:rPr>
      </w:pPr>
    </w:p>
    <w:p w14:paraId="141A3E5C"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698176" behindDoc="0" locked="0" layoutInCell="1" allowOverlap="1" wp14:anchorId="2BB463C6" wp14:editId="426479D9">
                <wp:simplePos x="0" y="0"/>
                <wp:positionH relativeFrom="margin">
                  <wp:align>left</wp:align>
                </wp:positionH>
                <wp:positionV relativeFrom="paragraph">
                  <wp:posOffset>262255</wp:posOffset>
                </wp:positionV>
                <wp:extent cx="5734050" cy="590550"/>
                <wp:effectExtent l="0" t="0" r="19050" b="19050"/>
                <wp:wrapSquare wrapText="bothSides"/>
                <wp:docPr id="8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90550"/>
                        </a:xfrm>
                        <a:prstGeom prst="rect">
                          <a:avLst/>
                        </a:prstGeom>
                        <a:solidFill>
                          <a:srgbClr val="FFFFFF"/>
                        </a:solidFill>
                        <a:ln w="9525">
                          <a:solidFill>
                            <a:srgbClr val="000000"/>
                          </a:solidFill>
                          <a:miter lim="800000"/>
                          <a:headEnd/>
                          <a:tailEnd/>
                        </a:ln>
                      </wps:spPr>
                      <wps:txbx>
                        <w:txbxContent>
                          <w:p w14:paraId="3F496A42"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463C6" id="_x0000_s1030" type="#_x0000_t202" style="position:absolute;left:0;text-align:left;margin-left:0;margin-top:20.65pt;width:451.5pt;height:46.5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">
                <v:textbox>
                  <w:txbxContent>
                    <w:p w14:paraId="3F496A42" w14:textId="77777777" w:rsidR="00332A29" w:rsidRDefault="00332A29" w:rsidP="006E1FCB"/>
                  </w:txbxContent>
                </v:textbox>
                <w10:wrap type="square" anchorx="margin"/>
              </v:shape>
            </w:pict>
          </mc:Fallback>
        </mc:AlternateContent>
      </w:r>
      <w:r w:rsidRPr="00932561">
        <w:rPr>
          <w:rFonts w:ascii="Calibri" w:eastAsia="Times New Roman" w:hAnsi="Calibri" w:cs="Calibri"/>
          <w:b/>
          <w:lang w:eastAsia="cs-CZ"/>
        </w:rPr>
        <w:t>Uveďte další omezující faktory místního podnikatelského prostředí</w:t>
      </w:r>
    </w:p>
    <w:p w14:paraId="4DD717F4" w14:textId="77777777" w:rsidR="006E1FCB" w:rsidRPr="00932561" w:rsidRDefault="006E1FCB" w:rsidP="006E1FCB">
      <w:pPr>
        <w:spacing w:before="0"/>
        <w:jc w:val="left"/>
        <w:rPr>
          <w:rFonts w:ascii="Calibri" w:eastAsia="Times New Roman" w:hAnsi="Calibri" w:cs="Calibri"/>
          <w:lang w:eastAsia="cs-CZ"/>
        </w:rPr>
      </w:pPr>
    </w:p>
    <w:p w14:paraId="4FBEBEE3"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Jak jste spokojen s podnikatelským prostředím ve městě Zlín?</w:t>
      </w:r>
    </w:p>
    <w:tbl>
      <w:tblPr>
        <w:tblStyle w:val="Prosttabulka11"/>
        <w:tblW w:w="0" w:type="auto"/>
        <w:tblLook w:val="04A0" w:firstRow="1" w:lastRow="0" w:firstColumn="1" w:lastColumn="0" w:noHBand="0" w:noVBand="1"/>
      </w:tblPr>
      <w:tblGrid>
        <w:gridCol w:w="4894"/>
        <w:gridCol w:w="1278"/>
        <w:gridCol w:w="413"/>
        <w:gridCol w:w="413"/>
        <w:gridCol w:w="413"/>
        <w:gridCol w:w="1049"/>
      </w:tblGrid>
      <w:tr w:rsidR="006E1FCB" w:rsidRPr="00932561" w14:paraId="0B807FE7" w14:textId="77777777" w:rsidTr="0009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ADDCBC" w14:textId="77777777" w:rsidR="006E1FCB" w:rsidRPr="00932561" w:rsidRDefault="006E1FCB" w:rsidP="000931EA">
            <w:pPr>
              <w:spacing w:before="0"/>
              <w:jc w:val="left"/>
              <w:rPr>
                <w:rFonts w:ascii="Calibri" w:hAnsi="Calibri" w:cs="Calibri"/>
                <w:b w:val="0"/>
              </w:rPr>
            </w:pPr>
          </w:p>
        </w:tc>
        <w:tc>
          <w:tcPr>
            <w:tcW w:w="1278" w:type="dxa"/>
          </w:tcPr>
          <w:p w14:paraId="1FFA0312" w14:textId="77777777" w:rsidR="006E1FCB" w:rsidRPr="00932561" w:rsidRDefault="006E1FCB" w:rsidP="000931EA">
            <w:pPr>
              <w:spacing w:before="0"/>
              <w:jc w:val="lef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1 Velmi</w:t>
            </w:r>
          </w:p>
          <w:p w14:paraId="55549D28" w14:textId="77777777" w:rsidR="006E1FCB" w:rsidRPr="00932561" w:rsidRDefault="006E1FCB" w:rsidP="000931EA">
            <w:pPr>
              <w:spacing w:before="0"/>
              <w:jc w:val="lef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nespokojen</w:t>
            </w:r>
          </w:p>
        </w:tc>
        <w:tc>
          <w:tcPr>
            <w:tcW w:w="413" w:type="dxa"/>
          </w:tcPr>
          <w:p w14:paraId="2A1DFCA5" w14:textId="77777777" w:rsidR="006E1FCB" w:rsidRPr="00932561" w:rsidRDefault="006E1FCB" w:rsidP="000931EA">
            <w:pPr>
              <w:spacing w:before="0"/>
              <w:jc w:val="lef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2</w:t>
            </w:r>
          </w:p>
        </w:tc>
        <w:tc>
          <w:tcPr>
            <w:tcW w:w="413" w:type="dxa"/>
          </w:tcPr>
          <w:p w14:paraId="5B721C1C" w14:textId="77777777" w:rsidR="006E1FCB" w:rsidRPr="00932561" w:rsidRDefault="006E1FCB" w:rsidP="000931EA">
            <w:pPr>
              <w:spacing w:before="0"/>
              <w:jc w:val="lef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3</w:t>
            </w:r>
          </w:p>
        </w:tc>
        <w:tc>
          <w:tcPr>
            <w:tcW w:w="413" w:type="dxa"/>
          </w:tcPr>
          <w:p w14:paraId="43AD33AA" w14:textId="77777777" w:rsidR="006E1FCB" w:rsidRPr="00932561" w:rsidRDefault="006E1FCB" w:rsidP="000931EA">
            <w:pPr>
              <w:spacing w:before="0"/>
              <w:jc w:val="lef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4</w:t>
            </w:r>
          </w:p>
        </w:tc>
        <w:tc>
          <w:tcPr>
            <w:tcW w:w="1049" w:type="dxa"/>
          </w:tcPr>
          <w:p w14:paraId="66A3E443" w14:textId="77777777" w:rsidR="006E1FCB" w:rsidRPr="00932561" w:rsidRDefault="006E1FCB" w:rsidP="000931EA">
            <w:pPr>
              <w:spacing w:before="0"/>
              <w:jc w:val="lef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5 Velmi</w:t>
            </w:r>
          </w:p>
          <w:p w14:paraId="3878C092" w14:textId="77777777" w:rsidR="006E1FCB" w:rsidRPr="00932561" w:rsidRDefault="006E1FCB" w:rsidP="000931EA">
            <w:pPr>
              <w:spacing w:before="0"/>
              <w:jc w:val="lef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spokojen</w:t>
            </w:r>
          </w:p>
        </w:tc>
      </w:tr>
      <w:tr w:rsidR="006E1FCB" w:rsidRPr="00932561" w14:paraId="0FFFF2B7"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BB772BE" w14:textId="77777777" w:rsidR="006E1FCB" w:rsidRPr="00932561" w:rsidRDefault="006E1FCB" w:rsidP="00A55F7D">
            <w:pPr>
              <w:numPr>
                <w:ilvl w:val="0"/>
                <w:numId w:val="105"/>
              </w:numPr>
              <w:spacing w:before="0"/>
              <w:ind w:left="454"/>
              <w:jc w:val="left"/>
              <w:rPr>
                <w:rFonts w:ascii="Calibri" w:hAnsi="Calibri" w:cs="Calibri"/>
                <w:b w:val="0"/>
              </w:rPr>
            </w:pPr>
            <w:r w:rsidRPr="00932561">
              <w:rPr>
                <w:rFonts w:ascii="Calibri" w:hAnsi="Calibri" w:cs="Calibri"/>
                <w:b w:val="0"/>
              </w:rPr>
              <w:t>Vaši dodavatelé v regionu</w:t>
            </w:r>
          </w:p>
        </w:tc>
        <w:tc>
          <w:tcPr>
            <w:tcW w:w="1278" w:type="dxa"/>
          </w:tcPr>
          <w:p w14:paraId="27B9DB36" w14:textId="77777777" w:rsidR="006E1FCB" w:rsidRPr="00932561" w:rsidRDefault="006E1FCB" w:rsidP="000931EA">
            <w:pPr>
              <w:spacing w:befor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201B6795"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5661851C"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763C7609"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049" w:type="dxa"/>
          </w:tcPr>
          <w:p w14:paraId="08892292"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r>
      <w:tr w:rsidR="006E1FCB" w:rsidRPr="00932561" w14:paraId="152FCC26" w14:textId="77777777" w:rsidTr="000931EA">
        <w:tc>
          <w:tcPr>
            <w:cnfStyle w:val="001000000000" w:firstRow="0" w:lastRow="0" w:firstColumn="1" w:lastColumn="0" w:oddVBand="0" w:evenVBand="0" w:oddHBand="0" w:evenHBand="0" w:firstRowFirstColumn="0" w:firstRowLastColumn="0" w:lastRowFirstColumn="0" w:lastRowLastColumn="0"/>
            <w:tcW w:w="0" w:type="auto"/>
          </w:tcPr>
          <w:p w14:paraId="690F0861"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Nabídka podnikatelských služeb</w:t>
            </w:r>
          </w:p>
        </w:tc>
        <w:tc>
          <w:tcPr>
            <w:tcW w:w="1278" w:type="dxa"/>
          </w:tcPr>
          <w:p w14:paraId="00C17065" w14:textId="77777777" w:rsidR="006E1FCB" w:rsidRPr="00932561" w:rsidRDefault="006E1FCB" w:rsidP="000931EA">
            <w:pPr>
              <w:spacing w:befor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18018F89"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0EEC4122"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188B6379"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049" w:type="dxa"/>
          </w:tcPr>
          <w:p w14:paraId="3673D7EF"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r>
      <w:tr w:rsidR="006E1FCB" w:rsidRPr="00932561" w14:paraId="431C681F"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5B78134"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Image města jako zajímavé investiční lokality</w:t>
            </w:r>
          </w:p>
        </w:tc>
        <w:tc>
          <w:tcPr>
            <w:tcW w:w="1278" w:type="dxa"/>
          </w:tcPr>
          <w:p w14:paraId="4BE498F5" w14:textId="77777777" w:rsidR="006E1FCB" w:rsidRPr="00932561" w:rsidRDefault="006E1FCB" w:rsidP="000931EA">
            <w:pPr>
              <w:spacing w:befor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1BCCCC84"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1ACEB1CE"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0687FB1D"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049" w:type="dxa"/>
          </w:tcPr>
          <w:p w14:paraId="29B941C2"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r>
      <w:tr w:rsidR="006E1FCB" w:rsidRPr="00932561" w14:paraId="6707331D" w14:textId="77777777" w:rsidTr="000931EA">
        <w:tc>
          <w:tcPr>
            <w:cnfStyle w:val="001000000000" w:firstRow="0" w:lastRow="0" w:firstColumn="1" w:lastColumn="0" w:oddVBand="0" w:evenVBand="0" w:oddHBand="0" w:evenHBand="0" w:firstRowFirstColumn="0" w:firstRowLastColumn="0" w:lastRowFirstColumn="0" w:lastRowLastColumn="0"/>
            <w:tcW w:w="0" w:type="auto"/>
          </w:tcPr>
          <w:p w14:paraId="33D35364"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Spolupráce se školami</w:t>
            </w:r>
          </w:p>
        </w:tc>
        <w:tc>
          <w:tcPr>
            <w:tcW w:w="1278" w:type="dxa"/>
          </w:tcPr>
          <w:p w14:paraId="4D32ECE8" w14:textId="77777777" w:rsidR="006E1FCB" w:rsidRPr="00932561" w:rsidRDefault="006E1FCB" w:rsidP="000931EA">
            <w:pPr>
              <w:spacing w:befor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35B7685C"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582B505C"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10B6C971"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049" w:type="dxa"/>
          </w:tcPr>
          <w:p w14:paraId="4F5ABCBB"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r>
      <w:tr w:rsidR="006E1FCB" w:rsidRPr="00932561" w14:paraId="5909111C"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A40CFEE"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Náklady na pracovní sílu</w:t>
            </w:r>
          </w:p>
        </w:tc>
        <w:tc>
          <w:tcPr>
            <w:tcW w:w="1278" w:type="dxa"/>
          </w:tcPr>
          <w:p w14:paraId="4375A29F" w14:textId="77777777" w:rsidR="006E1FCB" w:rsidRPr="00932561" w:rsidRDefault="006E1FCB" w:rsidP="000931EA">
            <w:pPr>
              <w:spacing w:befor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12EC7A57"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151E2783"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40DE8024"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049" w:type="dxa"/>
          </w:tcPr>
          <w:p w14:paraId="32E6BDB8"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r>
      <w:tr w:rsidR="006E1FCB" w:rsidRPr="00932561" w14:paraId="4DB0953C" w14:textId="77777777" w:rsidTr="000931EA">
        <w:tc>
          <w:tcPr>
            <w:cnfStyle w:val="001000000000" w:firstRow="0" w:lastRow="0" w:firstColumn="1" w:lastColumn="0" w:oddVBand="0" w:evenVBand="0" w:oddHBand="0" w:evenHBand="0" w:firstRowFirstColumn="0" w:firstRowLastColumn="0" w:lastRowFirstColumn="0" w:lastRowLastColumn="0"/>
            <w:tcW w:w="0" w:type="auto"/>
          </w:tcPr>
          <w:p w14:paraId="4BE25422"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Potenciál výzkumu a vývoje pro Vaše podnikání</w:t>
            </w:r>
          </w:p>
        </w:tc>
        <w:tc>
          <w:tcPr>
            <w:tcW w:w="1278" w:type="dxa"/>
          </w:tcPr>
          <w:p w14:paraId="44C28AF2" w14:textId="77777777" w:rsidR="006E1FCB" w:rsidRPr="00932561" w:rsidRDefault="006E1FCB" w:rsidP="000931EA">
            <w:pPr>
              <w:spacing w:befor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765943A5"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59851A0F"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62459ADF"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049" w:type="dxa"/>
          </w:tcPr>
          <w:p w14:paraId="23534CA8"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r>
      <w:tr w:rsidR="006E1FCB" w:rsidRPr="00932561" w14:paraId="050B6AB3"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A59EE39"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Dobrá úroveň podnikatelské infrastruktury</w:t>
            </w:r>
          </w:p>
        </w:tc>
        <w:tc>
          <w:tcPr>
            <w:tcW w:w="1278" w:type="dxa"/>
          </w:tcPr>
          <w:p w14:paraId="3714C8DD" w14:textId="77777777" w:rsidR="006E1FCB" w:rsidRPr="00932561" w:rsidRDefault="006E1FCB" w:rsidP="000931EA">
            <w:pPr>
              <w:spacing w:befor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336A9D0E"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1C17E29A"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5B5CF07B"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049" w:type="dxa"/>
          </w:tcPr>
          <w:p w14:paraId="178283EA"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r>
      <w:tr w:rsidR="006E1FCB" w:rsidRPr="00932561" w14:paraId="648811F7" w14:textId="77777777" w:rsidTr="000931EA">
        <w:tc>
          <w:tcPr>
            <w:cnfStyle w:val="001000000000" w:firstRow="0" w:lastRow="0" w:firstColumn="1" w:lastColumn="0" w:oddVBand="0" w:evenVBand="0" w:oddHBand="0" w:evenHBand="0" w:firstRowFirstColumn="0" w:firstRowLastColumn="0" w:lastRowFirstColumn="0" w:lastRowLastColumn="0"/>
            <w:tcW w:w="0" w:type="auto"/>
          </w:tcPr>
          <w:p w14:paraId="2208FB78"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Dovednosti / kvalifikace pracovní síly</w:t>
            </w:r>
          </w:p>
        </w:tc>
        <w:tc>
          <w:tcPr>
            <w:tcW w:w="1278" w:type="dxa"/>
          </w:tcPr>
          <w:p w14:paraId="4DA3E50A" w14:textId="77777777" w:rsidR="006E1FCB" w:rsidRPr="00932561" w:rsidRDefault="006E1FCB" w:rsidP="000931EA">
            <w:pPr>
              <w:spacing w:befor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23967E30"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5F73AAD6"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736DC4CE"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049" w:type="dxa"/>
          </w:tcPr>
          <w:p w14:paraId="552416B5"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r>
      <w:tr w:rsidR="006E1FCB" w:rsidRPr="00932561" w14:paraId="680D29CE"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326265E"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Doprava – obslužnost / dostupnost</w:t>
            </w:r>
          </w:p>
        </w:tc>
        <w:tc>
          <w:tcPr>
            <w:tcW w:w="1278" w:type="dxa"/>
          </w:tcPr>
          <w:p w14:paraId="799AC4BA" w14:textId="77777777" w:rsidR="006E1FCB" w:rsidRPr="00932561" w:rsidRDefault="006E1FCB" w:rsidP="000931EA">
            <w:pPr>
              <w:spacing w:befor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417A18F1"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041BBBAF"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36FBCBCB"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049" w:type="dxa"/>
          </w:tcPr>
          <w:p w14:paraId="74C5EC75"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r>
      <w:tr w:rsidR="006E1FCB" w:rsidRPr="00932561" w14:paraId="130B7C11" w14:textId="77777777" w:rsidTr="000931EA">
        <w:tc>
          <w:tcPr>
            <w:cnfStyle w:val="001000000000" w:firstRow="0" w:lastRow="0" w:firstColumn="1" w:lastColumn="0" w:oddVBand="0" w:evenVBand="0" w:oddHBand="0" w:evenHBand="0" w:firstRowFirstColumn="0" w:firstRowLastColumn="0" w:lastRowFirstColumn="0" w:lastRowLastColumn="0"/>
            <w:tcW w:w="0" w:type="auto"/>
          </w:tcPr>
          <w:p w14:paraId="5C09B3DA"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Dostupnost pracovní síly</w:t>
            </w:r>
          </w:p>
        </w:tc>
        <w:tc>
          <w:tcPr>
            <w:tcW w:w="1278" w:type="dxa"/>
          </w:tcPr>
          <w:p w14:paraId="7B45A13C" w14:textId="77777777" w:rsidR="006E1FCB" w:rsidRPr="00932561" w:rsidRDefault="006E1FCB" w:rsidP="000931EA">
            <w:pPr>
              <w:spacing w:befor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39478258"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07603414"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10BA8908"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049" w:type="dxa"/>
          </w:tcPr>
          <w:p w14:paraId="5F27C05C"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r>
      <w:tr w:rsidR="006E1FCB" w:rsidRPr="00932561" w14:paraId="57459473"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AA34835"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Kvalita života na území města</w:t>
            </w:r>
          </w:p>
        </w:tc>
        <w:tc>
          <w:tcPr>
            <w:tcW w:w="1278" w:type="dxa"/>
          </w:tcPr>
          <w:p w14:paraId="2515DD4A" w14:textId="77777777" w:rsidR="006E1FCB" w:rsidRPr="00932561" w:rsidRDefault="006E1FCB" w:rsidP="000931EA">
            <w:pPr>
              <w:spacing w:befor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52D73706"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2566C489"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413" w:type="dxa"/>
          </w:tcPr>
          <w:p w14:paraId="728E9010"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049" w:type="dxa"/>
          </w:tcPr>
          <w:p w14:paraId="62399CE9"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r>
      <w:tr w:rsidR="006E1FCB" w:rsidRPr="00932561" w14:paraId="3603508F" w14:textId="77777777" w:rsidTr="000931EA">
        <w:tc>
          <w:tcPr>
            <w:cnfStyle w:val="001000000000" w:firstRow="0" w:lastRow="0" w:firstColumn="1" w:lastColumn="0" w:oddVBand="0" w:evenVBand="0" w:oddHBand="0" w:evenHBand="0" w:firstRowFirstColumn="0" w:firstRowLastColumn="0" w:lastRowFirstColumn="0" w:lastRowLastColumn="0"/>
            <w:tcW w:w="0" w:type="auto"/>
          </w:tcPr>
          <w:p w14:paraId="235CD8A5" w14:textId="77777777" w:rsidR="006E1FCB" w:rsidRPr="00932561" w:rsidRDefault="006E1FCB" w:rsidP="00A55F7D">
            <w:pPr>
              <w:numPr>
                <w:ilvl w:val="0"/>
                <w:numId w:val="105"/>
              </w:numPr>
              <w:spacing w:before="0"/>
              <w:ind w:left="458" w:hanging="283"/>
              <w:jc w:val="left"/>
              <w:rPr>
                <w:rFonts w:ascii="Calibri" w:hAnsi="Calibri" w:cs="Calibri"/>
                <w:b w:val="0"/>
              </w:rPr>
            </w:pPr>
            <w:r w:rsidRPr="00932561">
              <w:rPr>
                <w:rFonts w:ascii="Calibri" w:hAnsi="Calibri" w:cs="Calibri"/>
                <w:b w:val="0"/>
              </w:rPr>
              <w:t>Celková spokojenost s podnikáním</w:t>
            </w:r>
          </w:p>
        </w:tc>
        <w:tc>
          <w:tcPr>
            <w:tcW w:w="1278" w:type="dxa"/>
          </w:tcPr>
          <w:p w14:paraId="3BEFF5C1" w14:textId="77777777" w:rsidR="006E1FCB" w:rsidRPr="00932561" w:rsidRDefault="006E1FCB" w:rsidP="000931EA">
            <w:pPr>
              <w:spacing w:befor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7FB3AF59"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2B5AD90D"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413" w:type="dxa"/>
          </w:tcPr>
          <w:p w14:paraId="57459AF8"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049" w:type="dxa"/>
          </w:tcPr>
          <w:p w14:paraId="2456EE5E" w14:textId="77777777" w:rsidR="006E1FCB" w:rsidRPr="00932561" w:rsidRDefault="006E1FCB" w:rsidP="000931EA">
            <w:pPr>
              <w:spacing w:before="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r>
    </w:tbl>
    <w:p w14:paraId="38365192"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16E41CCB"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699200" behindDoc="0" locked="0" layoutInCell="1" allowOverlap="1" wp14:anchorId="23A34849" wp14:editId="4A18D2D0">
                <wp:simplePos x="0" y="0"/>
                <wp:positionH relativeFrom="margin">
                  <wp:align>left</wp:align>
                </wp:positionH>
                <wp:positionV relativeFrom="paragraph">
                  <wp:posOffset>262890</wp:posOffset>
                </wp:positionV>
                <wp:extent cx="5734050" cy="904875"/>
                <wp:effectExtent l="0" t="0" r="19050" b="28575"/>
                <wp:wrapSquare wrapText="bothSides"/>
                <wp:docPr id="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904875"/>
                        </a:xfrm>
                        <a:prstGeom prst="rect">
                          <a:avLst/>
                        </a:prstGeom>
                        <a:solidFill>
                          <a:srgbClr val="FFFFFF"/>
                        </a:solidFill>
                        <a:ln w="9525">
                          <a:solidFill>
                            <a:srgbClr val="000000"/>
                          </a:solidFill>
                          <a:miter lim="800000"/>
                          <a:headEnd/>
                          <a:tailEnd/>
                        </a:ln>
                      </wps:spPr>
                      <wps:txbx>
                        <w:txbxContent>
                          <w:p w14:paraId="4E4BB09D"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A34849" id="_x0000_s1031" type="#_x0000_t202" style="position:absolute;left:0;text-align:left;margin-left:0;margin-top:20.7pt;width:451.5pt;height:71.25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">
                <v:textbox>
                  <w:txbxContent>
                    <w:p w14:paraId="4E4BB09D" w14:textId="77777777" w:rsidR="00332A29" w:rsidRDefault="00332A29" w:rsidP="006E1FCB"/>
                  </w:txbxContent>
                </v:textbox>
                <w10:wrap type="square" anchorx="margin"/>
              </v:shape>
            </w:pict>
          </mc:Fallback>
        </mc:AlternateContent>
      </w:r>
      <w:r w:rsidRPr="00932561">
        <w:rPr>
          <w:rFonts w:ascii="Calibri" w:eastAsia="Times New Roman" w:hAnsi="Calibri" w:cs="Calibri"/>
          <w:b/>
          <w:lang w:eastAsia="cs-CZ"/>
        </w:rPr>
        <w:t>Uveďte významná pozitiva místního podnikatelského prostředí</w:t>
      </w:r>
    </w:p>
    <w:p w14:paraId="4831478D" w14:textId="77777777" w:rsidR="006E1FCB" w:rsidRPr="00932561" w:rsidRDefault="006E1FCB" w:rsidP="006E1FCB">
      <w:pPr>
        <w:spacing w:before="0"/>
        <w:jc w:val="left"/>
        <w:rPr>
          <w:rFonts w:ascii="Calibri" w:eastAsia="Times New Roman" w:hAnsi="Calibri" w:cs="Calibri"/>
          <w:lang w:eastAsia="cs-CZ"/>
        </w:rPr>
      </w:pPr>
    </w:p>
    <w:p w14:paraId="2592C1B8" w14:textId="77777777" w:rsidR="006E1FCB" w:rsidRDefault="006E1FCB" w:rsidP="006E1FCB">
      <w:pPr>
        <w:spacing w:before="0" w:line="360" w:lineRule="auto"/>
        <w:jc w:val="left"/>
        <w:rPr>
          <w:rFonts w:ascii="Calibri" w:eastAsia="Times New Roman" w:hAnsi="Calibri" w:cs="Calibri"/>
          <w:lang w:eastAsia="cs-CZ"/>
        </w:rPr>
      </w:pPr>
    </w:p>
    <w:p w14:paraId="0A1E6CFD" w14:textId="77777777" w:rsidR="006E1FCB" w:rsidRDefault="006E1FCB" w:rsidP="006E1FCB">
      <w:pPr>
        <w:spacing w:before="0" w:line="360" w:lineRule="auto"/>
        <w:jc w:val="left"/>
        <w:rPr>
          <w:rFonts w:ascii="Calibri" w:eastAsia="Times New Roman" w:hAnsi="Calibri" w:cs="Calibri"/>
          <w:lang w:eastAsia="cs-CZ"/>
        </w:rPr>
      </w:pPr>
    </w:p>
    <w:p w14:paraId="4C47E1C7" w14:textId="77777777" w:rsidR="006E1FCB" w:rsidRPr="00932561" w:rsidRDefault="006E1FCB" w:rsidP="006E1FCB">
      <w:pPr>
        <w:spacing w:before="0" w:line="360" w:lineRule="auto"/>
        <w:jc w:val="left"/>
        <w:rPr>
          <w:rFonts w:ascii="Calibri" w:eastAsia="Times New Roman" w:hAnsi="Calibri" w:cs="Calibri"/>
          <w:lang w:eastAsia="cs-CZ"/>
        </w:rPr>
      </w:pPr>
    </w:p>
    <w:p w14:paraId="7CAD6E26"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Které oblasti rozvoje by mělo město podle Vašeho názoru prioritně řešit? Prioritizujte nejdůležitějších 5 oblastí rozvoje.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0"/>
        <w:gridCol w:w="1412"/>
      </w:tblGrid>
      <w:tr w:rsidR="006E1FCB" w:rsidRPr="00932561" w14:paraId="5BB4B6B8" w14:textId="77777777" w:rsidTr="000931EA">
        <w:tc>
          <w:tcPr>
            <w:tcW w:w="4221" w:type="pct"/>
            <w:shd w:val="clear" w:color="auto" w:fill="auto"/>
          </w:tcPr>
          <w:p w14:paraId="2467A65C"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doprava ve městě, parkování, údržba a opravy silnic</w:t>
            </w:r>
          </w:p>
        </w:tc>
        <w:tc>
          <w:tcPr>
            <w:tcW w:w="779" w:type="pct"/>
            <w:shd w:val="clear" w:color="auto" w:fill="auto"/>
          </w:tcPr>
          <w:p w14:paraId="3765E952"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31E70E49" w14:textId="77777777" w:rsidTr="000931EA">
        <w:tc>
          <w:tcPr>
            <w:tcW w:w="4221" w:type="pct"/>
            <w:shd w:val="clear" w:color="auto" w:fill="F2F2F2"/>
          </w:tcPr>
          <w:p w14:paraId="3ED29912"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 xml:space="preserve">doprava do města </w:t>
            </w:r>
          </w:p>
        </w:tc>
        <w:tc>
          <w:tcPr>
            <w:tcW w:w="779" w:type="pct"/>
            <w:shd w:val="clear" w:color="auto" w:fill="F2F2F2"/>
          </w:tcPr>
          <w:p w14:paraId="3047146B"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22C30B0E" w14:textId="77777777" w:rsidTr="000931EA">
        <w:tc>
          <w:tcPr>
            <w:tcW w:w="4221" w:type="pct"/>
            <w:shd w:val="clear" w:color="auto" w:fill="auto"/>
          </w:tcPr>
          <w:p w14:paraId="081BCFF4"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přilákání investorů</w:t>
            </w:r>
          </w:p>
        </w:tc>
        <w:tc>
          <w:tcPr>
            <w:tcW w:w="779" w:type="pct"/>
            <w:shd w:val="clear" w:color="auto" w:fill="auto"/>
          </w:tcPr>
          <w:p w14:paraId="2E05776B"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42FAFDAB" w14:textId="77777777" w:rsidTr="000931EA">
        <w:tc>
          <w:tcPr>
            <w:tcW w:w="4221" w:type="pct"/>
            <w:shd w:val="clear" w:color="auto" w:fill="F2F2F2"/>
          </w:tcPr>
          <w:p w14:paraId="2F8BE0FE"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rozvoj cestovního ruchu</w:t>
            </w:r>
          </w:p>
        </w:tc>
        <w:tc>
          <w:tcPr>
            <w:tcW w:w="779" w:type="pct"/>
            <w:shd w:val="clear" w:color="auto" w:fill="F2F2F2"/>
          </w:tcPr>
          <w:p w14:paraId="24434000"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5963E88F" w14:textId="77777777" w:rsidTr="000931EA">
        <w:tc>
          <w:tcPr>
            <w:tcW w:w="4221" w:type="pct"/>
            <w:shd w:val="clear" w:color="auto" w:fill="auto"/>
          </w:tcPr>
          <w:p w14:paraId="31E24F68"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propagace města jako atraktivního místa pro život a podnikání</w:t>
            </w:r>
          </w:p>
        </w:tc>
        <w:tc>
          <w:tcPr>
            <w:tcW w:w="779" w:type="pct"/>
            <w:shd w:val="clear" w:color="auto" w:fill="auto"/>
          </w:tcPr>
          <w:p w14:paraId="520D0ACB"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3590042B" w14:textId="77777777" w:rsidTr="000931EA">
        <w:tc>
          <w:tcPr>
            <w:tcW w:w="4221" w:type="pct"/>
            <w:shd w:val="clear" w:color="auto" w:fill="F2F2F2"/>
          </w:tcPr>
          <w:p w14:paraId="68DD957B"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modernizace infrastruktury (např. vodovody, kanalizace)</w:t>
            </w:r>
          </w:p>
        </w:tc>
        <w:tc>
          <w:tcPr>
            <w:tcW w:w="779" w:type="pct"/>
            <w:shd w:val="clear" w:color="auto" w:fill="F2F2F2"/>
          </w:tcPr>
          <w:p w14:paraId="17BC803B"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2BBA47FA" w14:textId="77777777" w:rsidTr="000931EA">
        <w:tc>
          <w:tcPr>
            <w:tcW w:w="4221" w:type="pct"/>
            <w:shd w:val="clear" w:color="auto" w:fill="FFFFFF"/>
          </w:tcPr>
          <w:p w14:paraId="70FCA9F4"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životní prostředí</w:t>
            </w:r>
          </w:p>
        </w:tc>
        <w:tc>
          <w:tcPr>
            <w:tcW w:w="779" w:type="pct"/>
            <w:shd w:val="clear" w:color="auto" w:fill="FFFFFF"/>
          </w:tcPr>
          <w:p w14:paraId="2810E8A8"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04CF2B4E" w14:textId="77777777" w:rsidTr="000931EA">
        <w:tc>
          <w:tcPr>
            <w:tcW w:w="4221" w:type="pct"/>
            <w:shd w:val="clear" w:color="auto" w:fill="F2F2F2"/>
          </w:tcPr>
          <w:p w14:paraId="24681E95"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sociální služby</w:t>
            </w:r>
          </w:p>
        </w:tc>
        <w:tc>
          <w:tcPr>
            <w:tcW w:w="779" w:type="pct"/>
            <w:shd w:val="clear" w:color="auto" w:fill="F2F2F2"/>
          </w:tcPr>
          <w:p w14:paraId="496A0F06"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437FDDD0" w14:textId="77777777" w:rsidTr="000931EA">
        <w:tc>
          <w:tcPr>
            <w:tcW w:w="4221" w:type="pct"/>
            <w:shd w:val="clear" w:color="auto" w:fill="F2F2F2"/>
          </w:tcPr>
          <w:p w14:paraId="1ABD05D0"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vzdělávání</w:t>
            </w:r>
          </w:p>
        </w:tc>
        <w:tc>
          <w:tcPr>
            <w:tcW w:w="779" w:type="pct"/>
            <w:shd w:val="clear" w:color="auto" w:fill="F2F2F2"/>
          </w:tcPr>
          <w:p w14:paraId="6094B20F"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75C2C3D2" w14:textId="77777777" w:rsidTr="000931EA">
        <w:tc>
          <w:tcPr>
            <w:tcW w:w="4221" w:type="pct"/>
            <w:shd w:val="clear" w:color="auto" w:fill="FFFFFF"/>
          </w:tcPr>
          <w:p w14:paraId="1B6D51C7"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podpora malého a středního podnikání</w:t>
            </w:r>
          </w:p>
        </w:tc>
        <w:tc>
          <w:tcPr>
            <w:tcW w:w="779" w:type="pct"/>
            <w:shd w:val="clear" w:color="auto" w:fill="FFFFFF"/>
          </w:tcPr>
          <w:p w14:paraId="4BE6F145"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321FD106" w14:textId="77777777" w:rsidTr="000931EA">
        <w:tc>
          <w:tcPr>
            <w:tcW w:w="4221" w:type="pct"/>
            <w:shd w:val="clear" w:color="auto" w:fill="F2F2F2"/>
          </w:tcPr>
          <w:p w14:paraId="4BDF54BC"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nabídka nájemního bydlení ve městě</w:t>
            </w:r>
          </w:p>
        </w:tc>
        <w:tc>
          <w:tcPr>
            <w:tcW w:w="779" w:type="pct"/>
            <w:shd w:val="clear" w:color="auto" w:fill="F2F2F2"/>
          </w:tcPr>
          <w:p w14:paraId="51C29D77"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71B43778" w14:textId="77777777" w:rsidTr="000931EA">
        <w:tc>
          <w:tcPr>
            <w:tcW w:w="4221" w:type="pct"/>
            <w:shd w:val="clear" w:color="auto" w:fill="auto"/>
          </w:tcPr>
          <w:p w14:paraId="09A29126"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podpora individuální bydlení – vhodné pozemky, technická infrastruktura</w:t>
            </w:r>
          </w:p>
        </w:tc>
        <w:tc>
          <w:tcPr>
            <w:tcW w:w="779" w:type="pct"/>
            <w:shd w:val="clear" w:color="auto" w:fill="auto"/>
          </w:tcPr>
          <w:p w14:paraId="3CA71A99"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69D2956F" w14:textId="77777777" w:rsidTr="000931EA">
        <w:tc>
          <w:tcPr>
            <w:tcW w:w="4221" w:type="pct"/>
            <w:shd w:val="clear" w:color="auto" w:fill="F2F2F2"/>
          </w:tcPr>
          <w:p w14:paraId="29C0F945"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 xml:space="preserve">zefektivnění správy města </w:t>
            </w:r>
          </w:p>
        </w:tc>
        <w:tc>
          <w:tcPr>
            <w:tcW w:w="779" w:type="pct"/>
            <w:shd w:val="clear" w:color="auto" w:fill="F2F2F2"/>
          </w:tcPr>
          <w:p w14:paraId="6B279D83"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76A1B38E" w14:textId="77777777" w:rsidTr="000931EA">
        <w:tc>
          <w:tcPr>
            <w:tcW w:w="4221" w:type="pct"/>
            <w:shd w:val="clear" w:color="auto" w:fill="FFFFFF"/>
          </w:tcPr>
          <w:p w14:paraId="4EBBC46D"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vytváření nových pracovních míst</w:t>
            </w:r>
          </w:p>
        </w:tc>
        <w:tc>
          <w:tcPr>
            <w:tcW w:w="779" w:type="pct"/>
            <w:shd w:val="clear" w:color="auto" w:fill="FFFFFF"/>
          </w:tcPr>
          <w:p w14:paraId="146B622A"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36543FDD" w14:textId="77777777" w:rsidTr="000931EA">
        <w:tc>
          <w:tcPr>
            <w:tcW w:w="4221" w:type="pct"/>
            <w:shd w:val="clear" w:color="auto" w:fill="F2F2F2"/>
          </w:tcPr>
          <w:p w14:paraId="347247AC"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rekonstrukce centra města</w:t>
            </w:r>
          </w:p>
        </w:tc>
        <w:tc>
          <w:tcPr>
            <w:tcW w:w="779" w:type="pct"/>
            <w:shd w:val="clear" w:color="auto" w:fill="F2F2F2"/>
          </w:tcPr>
          <w:p w14:paraId="1F345958"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566469E6" w14:textId="77777777" w:rsidTr="000931EA">
        <w:tc>
          <w:tcPr>
            <w:tcW w:w="4221" w:type="pct"/>
            <w:shd w:val="clear" w:color="auto" w:fill="FFFFFF"/>
          </w:tcPr>
          <w:p w14:paraId="5922D248"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 xml:space="preserve">rekonstrukce sportovních zařízení </w:t>
            </w:r>
          </w:p>
        </w:tc>
        <w:tc>
          <w:tcPr>
            <w:tcW w:w="779" w:type="pct"/>
            <w:shd w:val="clear" w:color="auto" w:fill="FFFFFF"/>
          </w:tcPr>
          <w:p w14:paraId="27E9FB8F"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2C297AAC" w14:textId="77777777" w:rsidTr="000931EA">
        <w:tc>
          <w:tcPr>
            <w:tcW w:w="4221" w:type="pct"/>
            <w:shd w:val="clear" w:color="auto" w:fill="F2F2F2"/>
          </w:tcPr>
          <w:p w14:paraId="653F8B4C"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odpadové hospodářství (např. likvidace tuhých odpadů)</w:t>
            </w:r>
          </w:p>
        </w:tc>
        <w:tc>
          <w:tcPr>
            <w:tcW w:w="779" w:type="pct"/>
            <w:shd w:val="clear" w:color="auto" w:fill="F2F2F2"/>
          </w:tcPr>
          <w:p w14:paraId="51CFCE48"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3927A768" w14:textId="77777777" w:rsidTr="000931EA">
        <w:tc>
          <w:tcPr>
            <w:tcW w:w="4221" w:type="pct"/>
            <w:shd w:val="clear" w:color="auto" w:fill="FFFFFF"/>
          </w:tcPr>
          <w:p w14:paraId="4E53DC25"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bezpečnost ve městě</w:t>
            </w:r>
          </w:p>
        </w:tc>
        <w:tc>
          <w:tcPr>
            <w:tcW w:w="779" w:type="pct"/>
            <w:shd w:val="clear" w:color="auto" w:fill="FFFFFF"/>
          </w:tcPr>
          <w:p w14:paraId="0231521C"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1BA75BD6" w14:textId="77777777" w:rsidTr="000931EA">
        <w:tc>
          <w:tcPr>
            <w:tcW w:w="4221" w:type="pct"/>
            <w:shd w:val="clear" w:color="auto" w:fill="F2F2F2"/>
          </w:tcPr>
          <w:p w14:paraId="414E1334" w14:textId="77777777" w:rsidR="006E1FCB" w:rsidRPr="00932561" w:rsidRDefault="006E1FCB" w:rsidP="00A55F7D">
            <w:pPr>
              <w:numPr>
                <w:ilvl w:val="0"/>
                <w:numId w:val="102"/>
              </w:numPr>
              <w:spacing w:before="0"/>
              <w:jc w:val="left"/>
              <w:rPr>
                <w:rFonts w:ascii="Calibri" w:eastAsia="Times New Roman" w:hAnsi="Calibri" w:cs="Calibri"/>
                <w:lang w:eastAsia="cs-CZ"/>
              </w:rPr>
            </w:pPr>
            <w:r w:rsidRPr="00932561">
              <w:rPr>
                <w:rFonts w:ascii="Calibri" w:eastAsia="Times New Roman" w:hAnsi="Calibri" w:cs="Calibri"/>
                <w:lang w:eastAsia="cs-CZ"/>
              </w:rPr>
              <w:t>jiné (prosím specifikujte)</w:t>
            </w:r>
          </w:p>
        </w:tc>
        <w:tc>
          <w:tcPr>
            <w:tcW w:w="779" w:type="pct"/>
            <w:shd w:val="clear" w:color="auto" w:fill="F2F2F2"/>
          </w:tcPr>
          <w:p w14:paraId="6B439B3D" w14:textId="77777777" w:rsidR="006E1FCB" w:rsidRPr="00932561" w:rsidRDefault="006E1FCB" w:rsidP="000931EA">
            <w:pPr>
              <w:spacing w:before="0"/>
              <w:jc w:val="center"/>
              <w:rPr>
                <w:rFonts w:ascii="Calibri" w:eastAsia="Times New Roman" w:hAnsi="Calibri" w:cs="Calibri"/>
                <w:bCs/>
                <w:lang w:eastAsia="cs-CZ"/>
              </w:rPr>
            </w:pPr>
          </w:p>
        </w:tc>
      </w:tr>
    </w:tbl>
    <w:p w14:paraId="7E7AF123" w14:textId="77777777" w:rsidR="006E1FCB" w:rsidRPr="00932561" w:rsidRDefault="006E1FCB" w:rsidP="006E1FCB">
      <w:pPr>
        <w:spacing w:before="0"/>
        <w:jc w:val="left"/>
        <w:rPr>
          <w:rFonts w:ascii="Calibri" w:eastAsia="Times New Roman" w:hAnsi="Calibri" w:cs="Calibri"/>
          <w:lang w:eastAsia="cs-CZ"/>
        </w:rPr>
      </w:pPr>
    </w:p>
    <w:p w14:paraId="4D81C818" w14:textId="77777777" w:rsidR="006E1FCB" w:rsidRPr="00932561" w:rsidRDefault="006E1FCB" w:rsidP="00A55F7D">
      <w:pPr>
        <w:numPr>
          <w:ilvl w:val="0"/>
          <w:numId w:val="96"/>
        </w:numPr>
        <w:shd w:val="clear" w:color="auto" w:fill="F2F2F2"/>
        <w:spacing w:before="0"/>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700224" behindDoc="0" locked="0" layoutInCell="1" allowOverlap="1" wp14:anchorId="355C5B8A" wp14:editId="33309F24">
                <wp:simplePos x="0" y="0"/>
                <wp:positionH relativeFrom="margin">
                  <wp:align>left</wp:align>
                </wp:positionH>
                <wp:positionV relativeFrom="paragraph">
                  <wp:posOffset>262255</wp:posOffset>
                </wp:positionV>
                <wp:extent cx="5734050" cy="828675"/>
                <wp:effectExtent l="0" t="0" r="19050" b="28575"/>
                <wp:wrapSquare wrapText="bothSides"/>
                <wp:docPr id="8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28675"/>
                        </a:xfrm>
                        <a:prstGeom prst="rect">
                          <a:avLst/>
                        </a:prstGeom>
                        <a:solidFill>
                          <a:srgbClr val="FFFFFF"/>
                        </a:solidFill>
                        <a:ln w="9525">
                          <a:solidFill>
                            <a:srgbClr val="000000"/>
                          </a:solidFill>
                          <a:miter lim="800000"/>
                          <a:headEnd/>
                          <a:tailEnd/>
                        </a:ln>
                      </wps:spPr>
                      <wps:txbx>
                        <w:txbxContent>
                          <w:p w14:paraId="06700528"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C5B8A" id="_x0000_s1032" type="#_x0000_t202" style="position:absolute;left:0;text-align:left;margin-left:0;margin-top:20.65pt;width:451.5pt;height:65.25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">
                <v:textbox>
                  <w:txbxContent>
                    <w:p w14:paraId="06700528" w14:textId="77777777" w:rsidR="00332A29" w:rsidRDefault="00332A29" w:rsidP="006E1FCB"/>
                  </w:txbxContent>
                </v:textbox>
                <w10:wrap type="square" anchorx="margin"/>
              </v:shape>
            </w:pict>
          </mc:Fallback>
        </mc:AlternateContent>
      </w:r>
      <w:r w:rsidRPr="00932561">
        <w:rPr>
          <w:rFonts w:ascii="Calibri" w:eastAsia="Times New Roman" w:hAnsi="Calibri" w:cs="Calibri"/>
          <w:b/>
          <w:shd w:val="clear" w:color="auto" w:fill="F2F2F2"/>
          <w:lang w:eastAsia="cs-CZ"/>
        </w:rPr>
        <w:t>Co od města nejvíce očekáváte, s čím by Vám mohlo nejvíce pomoci?</w:t>
      </w:r>
    </w:p>
    <w:p w14:paraId="06E62EA4" w14:textId="77777777" w:rsidR="006E1FCB" w:rsidRPr="00932561" w:rsidRDefault="006E1FCB" w:rsidP="00A55F7D">
      <w:pPr>
        <w:numPr>
          <w:ilvl w:val="0"/>
          <w:numId w:val="96"/>
        </w:numPr>
        <w:shd w:val="clear" w:color="auto" w:fill="F2F2F2"/>
        <w:spacing w:before="0"/>
        <w:jc w:val="left"/>
        <w:rPr>
          <w:rFonts w:ascii="Calibri" w:eastAsia="Times New Roman" w:hAnsi="Calibri" w:cs="Calibri"/>
          <w:b/>
          <w:lang w:eastAsia="cs-CZ"/>
        </w:rPr>
      </w:pPr>
      <w:r w:rsidRPr="00932561">
        <w:rPr>
          <w:rFonts w:ascii="Calibri" w:eastAsia="Times New Roman" w:hAnsi="Calibri" w:cs="Calibri"/>
          <w:b/>
          <w:shd w:val="clear" w:color="auto" w:fill="F2F2F2"/>
          <w:lang w:eastAsia="cs-CZ"/>
        </w:rPr>
        <w:t>Jakou podporu od města Zlín ve vztahu k nabízeným službám očekáváte</w:t>
      </w:r>
      <w:r w:rsidRPr="00932561">
        <w:rPr>
          <w:rFonts w:ascii="Calibri" w:eastAsia="Times New Roman" w:hAnsi="Calibri" w:cs="Calibri"/>
          <w:b/>
          <w:lang w:eastAsia="cs-CZ"/>
        </w:rPr>
        <w:t>? Vyberte z nabízeného seznamu, popř. upřesněte či doplňte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792"/>
        <w:gridCol w:w="1066"/>
      </w:tblGrid>
      <w:tr w:rsidR="006E1FCB" w:rsidRPr="00932561" w14:paraId="492C6EBC" w14:textId="77777777" w:rsidTr="000931EA">
        <w:trPr>
          <w:jc w:val="center"/>
        </w:trPr>
        <w:tc>
          <w:tcPr>
            <w:tcW w:w="7792" w:type="dxa"/>
            <w:shd w:val="clear" w:color="auto" w:fill="F2F2F2"/>
          </w:tcPr>
          <w:p w14:paraId="47980EF6"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Zlepšení dopravně – navigačního systému pro lepší orientaci ve městě</w:t>
            </w:r>
          </w:p>
        </w:tc>
        <w:tc>
          <w:tcPr>
            <w:tcW w:w="1066" w:type="dxa"/>
            <w:shd w:val="clear" w:color="auto" w:fill="F2F2F2"/>
            <w:vAlign w:val="center"/>
          </w:tcPr>
          <w:p w14:paraId="2F82D4DA"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1CBD43EA" w14:textId="77777777" w:rsidTr="000931EA">
        <w:trPr>
          <w:jc w:val="center"/>
        </w:trPr>
        <w:tc>
          <w:tcPr>
            <w:tcW w:w="7792" w:type="dxa"/>
          </w:tcPr>
          <w:p w14:paraId="48A0FD56"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 xml:space="preserve">Asistenční služba při jednání s úřady </w:t>
            </w:r>
          </w:p>
          <w:p w14:paraId="63239A51" w14:textId="77777777" w:rsidR="006E1FCB" w:rsidRPr="00932561" w:rsidRDefault="006E1FCB" w:rsidP="000931EA">
            <w:pPr>
              <w:spacing w:before="0"/>
              <w:ind w:left="33"/>
              <w:jc w:val="left"/>
              <w:rPr>
                <w:rFonts w:ascii="Calibri" w:eastAsia="Times New Roman" w:hAnsi="Calibri" w:cs="Calibri"/>
                <w:lang w:eastAsia="cs-CZ"/>
              </w:rPr>
            </w:pPr>
            <w:r w:rsidRPr="00932561">
              <w:rPr>
                <w:rFonts w:ascii="Calibri" w:eastAsia="Times New Roman" w:hAnsi="Calibri" w:cs="Calibri"/>
                <w:lang w:eastAsia="cs-CZ"/>
              </w:rPr>
              <w:t>Pokud ano, uveďte agendu a upřesněte, jak by služba měla vypadat:</w:t>
            </w:r>
          </w:p>
          <w:p w14:paraId="67E3F99A" w14:textId="77777777" w:rsidR="006E1FCB" w:rsidRPr="00932561" w:rsidRDefault="006E1FCB" w:rsidP="000931EA">
            <w:pPr>
              <w:spacing w:before="0"/>
              <w:ind w:left="-70"/>
              <w:jc w:val="left"/>
              <w:rPr>
                <w:rFonts w:ascii="Calibri" w:eastAsia="Times New Roman" w:hAnsi="Calibri" w:cs="Calibri"/>
                <w:lang w:eastAsia="cs-CZ"/>
              </w:rPr>
            </w:pPr>
          </w:p>
          <w:p w14:paraId="2FEB8388" w14:textId="77777777" w:rsidR="006E1FCB" w:rsidRPr="00932561" w:rsidRDefault="006E1FCB" w:rsidP="000931EA">
            <w:pPr>
              <w:spacing w:before="0"/>
              <w:ind w:left="33"/>
              <w:jc w:val="left"/>
              <w:rPr>
                <w:rFonts w:ascii="Calibri" w:eastAsia="Times New Roman" w:hAnsi="Calibri" w:cs="Calibri"/>
                <w:lang w:eastAsia="cs-CZ"/>
              </w:rPr>
            </w:pPr>
          </w:p>
        </w:tc>
        <w:tc>
          <w:tcPr>
            <w:tcW w:w="1066" w:type="dxa"/>
            <w:vAlign w:val="center"/>
          </w:tcPr>
          <w:p w14:paraId="7921B22C"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303F2D08" w14:textId="77777777" w:rsidTr="000931EA">
        <w:trPr>
          <w:jc w:val="center"/>
        </w:trPr>
        <w:tc>
          <w:tcPr>
            <w:tcW w:w="7792" w:type="dxa"/>
            <w:shd w:val="clear" w:color="auto" w:fill="F2F2F2"/>
          </w:tcPr>
          <w:p w14:paraId="23E31A49"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 xml:space="preserve">Lepší komunikace poskytovaných informací o rozvojových záměrech města </w:t>
            </w:r>
          </w:p>
          <w:p w14:paraId="5A7437C9" w14:textId="77777777" w:rsidR="006E1FCB" w:rsidRPr="00932561" w:rsidRDefault="006E1FCB" w:rsidP="000931EA">
            <w:pPr>
              <w:spacing w:before="0"/>
              <w:ind w:left="33"/>
              <w:jc w:val="left"/>
              <w:rPr>
                <w:rFonts w:ascii="Calibri" w:eastAsia="Times New Roman" w:hAnsi="Calibri" w:cs="Calibri"/>
                <w:lang w:eastAsia="cs-CZ"/>
              </w:rPr>
            </w:pPr>
            <w:r w:rsidRPr="00932561">
              <w:rPr>
                <w:rFonts w:ascii="Calibri" w:eastAsia="Times New Roman" w:hAnsi="Calibri" w:cs="Calibri"/>
                <w:lang w:eastAsia="cs-CZ"/>
              </w:rPr>
              <w:t>Pokud ano, uveďte jakou:</w:t>
            </w:r>
          </w:p>
          <w:p w14:paraId="378D0EFC" w14:textId="77777777" w:rsidR="006E1FCB" w:rsidRPr="00932561" w:rsidRDefault="006E1FCB" w:rsidP="000931EA">
            <w:pPr>
              <w:spacing w:before="0"/>
              <w:ind w:left="33"/>
              <w:jc w:val="left"/>
              <w:rPr>
                <w:rFonts w:ascii="Calibri" w:eastAsia="Times New Roman" w:hAnsi="Calibri" w:cs="Calibri"/>
                <w:lang w:eastAsia="cs-CZ"/>
              </w:rPr>
            </w:pPr>
          </w:p>
        </w:tc>
        <w:tc>
          <w:tcPr>
            <w:tcW w:w="1066" w:type="dxa"/>
            <w:shd w:val="clear" w:color="auto" w:fill="F2F2F2"/>
            <w:vAlign w:val="center"/>
          </w:tcPr>
          <w:p w14:paraId="3984A1C7"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395E10EA" w14:textId="77777777" w:rsidTr="000931EA">
        <w:trPr>
          <w:jc w:val="center"/>
        </w:trPr>
        <w:tc>
          <w:tcPr>
            <w:tcW w:w="7792" w:type="dxa"/>
          </w:tcPr>
          <w:p w14:paraId="02AF484D"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 xml:space="preserve">Společná propagace podniků a města </w:t>
            </w:r>
          </w:p>
          <w:p w14:paraId="197574E3" w14:textId="77777777" w:rsidR="006E1FCB" w:rsidRPr="00932561" w:rsidRDefault="006E1FCB" w:rsidP="000931EA">
            <w:pPr>
              <w:spacing w:before="0"/>
              <w:ind w:left="33"/>
              <w:jc w:val="left"/>
              <w:rPr>
                <w:rFonts w:ascii="Calibri" w:eastAsia="Times New Roman" w:hAnsi="Calibri" w:cs="Calibri"/>
                <w:lang w:eastAsia="cs-CZ"/>
              </w:rPr>
            </w:pPr>
            <w:r w:rsidRPr="00932561">
              <w:rPr>
                <w:rFonts w:ascii="Calibri" w:eastAsia="Times New Roman" w:hAnsi="Calibri" w:cs="Calibri"/>
                <w:lang w:eastAsia="cs-CZ"/>
              </w:rPr>
              <w:t>Pokud ano, uveďte jakou:</w:t>
            </w:r>
          </w:p>
          <w:p w14:paraId="4A11E3CF" w14:textId="77777777" w:rsidR="006E1FCB" w:rsidRPr="00932561" w:rsidRDefault="006E1FCB" w:rsidP="000931EA">
            <w:pPr>
              <w:spacing w:before="0"/>
              <w:ind w:left="33"/>
              <w:jc w:val="left"/>
              <w:rPr>
                <w:rFonts w:ascii="Calibri" w:eastAsia="Times New Roman" w:hAnsi="Calibri" w:cs="Calibri"/>
                <w:lang w:eastAsia="cs-CZ"/>
              </w:rPr>
            </w:pPr>
          </w:p>
        </w:tc>
        <w:tc>
          <w:tcPr>
            <w:tcW w:w="1066" w:type="dxa"/>
            <w:vAlign w:val="center"/>
          </w:tcPr>
          <w:p w14:paraId="2B5D67A6"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610B4693" w14:textId="77777777" w:rsidTr="000931EA">
        <w:trPr>
          <w:jc w:val="center"/>
        </w:trPr>
        <w:tc>
          <w:tcPr>
            <w:tcW w:w="7792" w:type="dxa"/>
            <w:shd w:val="clear" w:color="auto" w:fill="F2F2F2"/>
          </w:tcPr>
          <w:p w14:paraId="68BBB107"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 xml:space="preserve">Inkubátor pro začínající podnikatele </w:t>
            </w:r>
          </w:p>
        </w:tc>
        <w:tc>
          <w:tcPr>
            <w:tcW w:w="1066" w:type="dxa"/>
            <w:shd w:val="clear" w:color="auto" w:fill="F2F2F2"/>
            <w:vAlign w:val="center"/>
          </w:tcPr>
          <w:p w14:paraId="03835973"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3C890F28" w14:textId="77777777" w:rsidTr="000931EA">
        <w:trPr>
          <w:jc w:val="center"/>
        </w:trPr>
        <w:tc>
          <w:tcPr>
            <w:tcW w:w="7792" w:type="dxa"/>
            <w:shd w:val="clear" w:color="auto" w:fill="FFFFFF"/>
          </w:tcPr>
          <w:p w14:paraId="089F5F48"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Účast firem na tvorbě a realizaci rozvojových plánů města</w:t>
            </w:r>
          </w:p>
        </w:tc>
        <w:tc>
          <w:tcPr>
            <w:tcW w:w="1066" w:type="dxa"/>
            <w:shd w:val="clear" w:color="auto" w:fill="FFFFFF"/>
            <w:vAlign w:val="center"/>
          </w:tcPr>
          <w:p w14:paraId="6516F385"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76A9C774" w14:textId="77777777" w:rsidTr="000931EA">
        <w:trPr>
          <w:jc w:val="center"/>
        </w:trPr>
        <w:tc>
          <w:tcPr>
            <w:tcW w:w="7792" w:type="dxa"/>
            <w:shd w:val="clear" w:color="auto" w:fill="F2F2F2"/>
          </w:tcPr>
          <w:p w14:paraId="71174333" w14:textId="77777777" w:rsidR="006E1FCB" w:rsidRPr="00932561" w:rsidRDefault="006E1FCB" w:rsidP="00A55F7D">
            <w:pPr>
              <w:numPr>
                <w:ilvl w:val="0"/>
                <w:numId w:val="100"/>
              </w:numPr>
              <w:spacing w:before="0"/>
              <w:ind w:left="351"/>
              <w:jc w:val="left"/>
              <w:rPr>
                <w:rFonts w:ascii="Calibri" w:eastAsia="Times New Roman" w:hAnsi="Calibri" w:cs="Calibri"/>
                <w:lang w:eastAsia="cs-CZ"/>
              </w:rPr>
            </w:pPr>
            <w:r w:rsidRPr="00932561">
              <w:rPr>
                <w:rFonts w:ascii="Calibri" w:eastAsia="Times New Roman" w:hAnsi="Calibri" w:cs="Calibri"/>
                <w:lang w:eastAsia="cs-CZ"/>
              </w:rPr>
              <w:t>Podporu klastrů a dalších forem spolupráce firem</w:t>
            </w:r>
          </w:p>
        </w:tc>
        <w:tc>
          <w:tcPr>
            <w:tcW w:w="1066" w:type="dxa"/>
            <w:shd w:val="clear" w:color="auto" w:fill="F2F2F2"/>
            <w:vAlign w:val="center"/>
          </w:tcPr>
          <w:p w14:paraId="2479FB48"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349A535B" w14:textId="77777777" w:rsidTr="000931EA">
        <w:trPr>
          <w:jc w:val="center"/>
        </w:trPr>
        <w:tc>
          <w:tcPr>
            <w:tcW w:w="7792" w:type="dxa"/>
            <w:shd w:val="clear" w:color="auto" w:fill="FFFFFF"/>
          </w:tcPr>
          <w:p w14:paraId="6A55A639"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Dostupnost mateřských škol</w:t>
            </w:r>
          </w:p>
        </w:tc>
        <w:tc>
          <w:tcPr>
            <w:tcW w:w="1066" w:type="dxa"/>
            <w:shd w:val="clear" w:color="auto" w:fill="FFFFFF"/>
            <w:vAlign w:val="center"/>
          </w:tcPr>
          <w:p w14:paraId="72D6C6EC"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62640F24" w14:textId="77777777" w:rsidTr="000931EA">
        <w:trPr>
          <w:jc w:val="center"/>
        </w:trPr>
        <w:tc>
          <w:tcPr>
            <w:tcW w:w="7792" w:type="dxa"/>
            <w:shd w:val="clear" w:color="auto" w:fill="F2F2F2"/>
          </w:tcPr>
          <w:p w14:paraId="1F7C9B35"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 xml:space="preserve">Podpora praxí studentů v podnicích </w:t>
            </w:r>
          </w:p>
        </w:tc>
        <w:tc>
          <w:tcPr>
            <w:tcW w:w="1066" w:type="dxa"/>
            <w:shd w:val="clear" w:color="auto" w:fill="F2F2F2"/>
            <w:vAlign w:val="center"/>
          </w:tcPr>
          <w:p w14:paraId="0A5B0F3B"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2BA8FDF0" w14:textId="77777777" w:rsidTr="000931EA">
        <w:trPr>
          <w:jc w:val="center"/>
        </w:trPr>
        <w:tc>
          <w:tcPr>
            <w:tcW w:w="7792" w:type="dxa"/>
            <w:shd w:val="clear" w:color="auto" w:fill="FFFFFF"/>
          </w:tcPr>
          <w:p w14:paraId="33A5C793" w14:textId="77777777" w:rsidR="006E1FCB" w:rsidRPr="00932561" w:rsidRDefault="006E1FCB" w:rsidP="00A55F7D">
            <w:pPr>
              <w:numPr>
                <w:ilvl w:val="0"/>
                <w:numId w:val="100"/>
              </w:numPr>
              <w:spacing w:before="0"/>
              <w:ind w:left="317" w:hanging="284"/>
              <w:jc w:val="left"/>
              <w:rPr>
                <w:rFonts w:ascii="Calibri" w:eastAsia="Times New Roman" w:hAnsi="Calibri" w:cs="Calibri"/>
                <w:lang w:eastAsia="cs-CZ"/>
              </w:rPr>
            </w:pPr>
            <w:r w:rsidRPr="00932561">
              <w:rPr>
                <w:rFonts w:ascii="Calibri" w:eastAsia="Times New Roman" w:hAnsi="Calibri" w:cs="Calibri"/>
                <w:lang w:eastAsia="cs-CZ"/>
              </w:rPr>
              <w:t>Jiné</w:t>
            </w:r>
          </w:p>
          <w:p w14:paraId="79E610AA" w14:textId="77777777" w:rsidR="006E1FCB" w:rsidRPr="00932561" w:rsidRDefault="006E1FCB" w:rsidP="000931EA">
            <w:pPr>
              <w:spacing w:before="0"/>
              <w:ind w:left="33"/>
              <w:jc w:val="left"/>
              <w:rPr>
                <w:rFonts w:ascii="Calibri" w:eastAsia="Times New Roman" w:hAnsi="Calibri" w:cs="Calibri"/>
                <w:lang w:eastAsia="cs-CZ"/>
              </w:rPr>
            </w:pPr>
            <w:r w:rsidRPr="00932561">
              <w:rPr>
                <w:rFonts w:ascii="Calibri" w:eastAsia="Times New Roman" w:hAnsi="Calibri" w:cs="Calibri"/>
                <w:lang w:eastAsia="cs-CZ"/>
              </w:rPr>
              <w:t>Pokud ano, uveďte jaké:</w:t>
            </w:r>
          </w:p>
          <w:p w14:paraId="0A1A47CA" w14:textId="77777777" w:rsidR="006E1FCB" w:rsidRPr="00932561" w:rsidRDefault="006E1FCB" w:rsidP="000931EA">
            <w:pPr>
              <w:spacing w:before="0"/>
              <w:ind w:left="33"/>
              <w:jc w:val="left"/>
              <w:rPr>
                <w:rFonts w:ascii="Calibri" w:eastAsia="Times New Roman" w:hAnsi="Calibri" w:cs="Calibri"/>
                <w:lang w:eastAsia="cs-CZ"/>
              </w:rPr>
            </w:pPr>
          </w:p>
        </w:tc>
        <w:tc>
          <w:tcPr>
            <w:tcW w:w="1066" w:type="dxa"/>
            <w:shd w:val="clear" w:color="auto" w:fill="FFFFFF"/>
            <w:vAlign w:val="center"/>
          </w:tcPr>
          <w:p w14:paraId="2D40D7F1" w14:textId="77777777" w:rsidR="006E1FCB" w:rsidRPr="00932561" w:rsidRDefault="006E1FCB" w:rsidP="000931EA">
            <w:pPr>
              <w:spacing w:before="0"/>
              <w:jc w:val="center"/>
              <w:rPr>
                <w:rFonts w:ascii="Calibri" w:eastAsia="Times New Roman" w:hAnsi="Calibri" w:cs="Calibri"/>
                <w:bCs/>
                <w:lang w:eastAsia="cs-CZ"/>
              </w:rPr>
            </w:pPr>
          </w:p>
        </w:tc>
      </w:tr>
    </w:tbl>
    <w:p w14:paraId="0D229B4F"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03ACE53E"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Ohodnoťte, jak jste spokojeni s kvalitou následujících úřadů a institucí sídlících ve Zlíně?</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89"/>
        <w:gridCol w:w="1066"/>
        <w:gridCol w:w="731"/>
        <w:gridCol w:w="1009"/>
        <w:gridCol w:w="1077"/>
        <w:gridCol w:w="887"/>
      </w:tblGrid>
      <w:tr w:rsidR="006E1FCB" w:rsidRPr="00932561" w14:paraId="7E7EA1B7" w14:textId="77777777" w:rsidTr="000931EA">
        <w:trPr>
          <w:jc w:val="center"/>
        </w:trPr>
        <w:tc>
          <w:tcPr>
            <w:tcW w:w="4289" w:type="dxa"/>
            <w:vAlign w:val="center"/>
          </w:tcPr>
          <w:p w14:paraId="1AE33033" w14:textId="77777777" w:rsidR="006E1FCB" w:rsidRPr="00932561" w:rsidRDefault="006E1FCB" w:rsidP="000931EA">
            <w:pPr>
              <w:spacing w:before="0"/>
              <w:jc w:val="center"/>
              <w:rPr>
                <w:rFonts w:ascii="Calibri" w:eastAsia="Times New Roman" w:hAnsi="Calibri" w:cs="Calibri"/>
                <w:lang w:eastAsia="cs-CZ"/>
              </w:rPr>
            </w:pPr>
            <w:r w:rsidRPr="00932561">
              <w:rPr>
                <w:rFonts w:ascii="Calibri" w:eastAsia="Times New Roman" w:hAnsi="Calibri" w:cs="Calibri"/>
                <w:lang w:eastAsia="cs-CZ"/>
              </w:rPr>
              <w:t>Úřad/instituce</w:t>
            </w:r>
          </w:p>
        </w:tc>
        <w:tc>
          <w:tcPr>
            <w:tcW w:w="1066" w:type="dxa"/>
            <w:vAlign w:val="center"/>
          </w:tcPr>
          <w:p w14:paraId="18BCE29B" w14:textId="77777777" w:rsidR="006E1FCB" w:rsidRPr="00932561" w:rsidRDefault="006E1FCB" w:rsidP="000931EA">
            <w:pPr>
              <w:spacing w:before="0"/>
              <w:jc w:val="center"/>
              <w:rPr>
                <w:rFonts w:ascii="Calibri" w:eastAsia="Times New Roman" w:hAnsi="Calibri" w:cs="Calibri"/>
                <w:lang w:eastAsia="cs-CZ"/>
              </w:rPr>
            </w:pPr>
            <w:r w:rsidRPr="00932561">
              <w:rPr>
                <w:rFonts w:ascii="Calibri" w:eastAsia="Times New Roman" w:hAnsi="Calibri" w:cs="Calibri"/>
                <w:lang w:eastAsia="cs-CZ"/>
              </w:rPr>
              <w:t>Rozhodně ne</w:t>
            </w:r>
          </w:p>
        </w:tc>
        <w:tc>
          <w:tcPr>
            <w:tcW w:w="731" w:type="dxa"/>
            <w:vAlign w:val="center"/>
          </w:tcPr>
          <w:p w14:paraId="214E1220" w14:textId="77777777" w:rsidR="006E1FCB" w:rsidRPr="00932561" w:rsidRDefault="006E1FCB" w:rsidP="000931EA">
            <w:pPr>
              <w:spacing w:before="0"/>
              <w:jc w:val="center"/>
              <w:rPr>
                <w:rFonts w:ascii="Calibri" w:eastAsia="Times New Roman" w:hAnsi="Calibri" w:cs="Calibri"/>
                <w:lang w:eastAsia="cs-CZ"/>
              </w:rPr>
            </w:pPr>
            <w:r w:rsidRPr="00932561">
              <w:rPr>
                <w:rFonts w:ascii="Calibri" w:eastAsia="Times New Roman" w:hAnsi="Calibri" w:cs="Calibri"/>
                <w:lang w:eastAsia="cs-CZ"/>
              </w:rPr>
              <w:t>Spíše</w:t>
            </w:r>
            <w:r w:rsidRPr="00932561">
              <w:rPr>
                <w:rFonts w:ascii="Calibri" w:eastAsia="Times New Roman" w:hAnsi="Calibri" w:cs="Calibri"/>
                <w:lang w:eastAsia="cs-CZ"/>
              </w:rPr>
              <w:br/>
              <w:t>ne</w:t>
            </w:r>
          </w:p>
        </w:tc>
        <w:tc>
          <w:tcPr>
            <w:tcW w:w="1009" w:type="dxa"/>
            <w:vAlign w:val="center"/>
          </w:tcPr>
          <w:p w14:paraId="4B1A29D8" w14:textId="77777777" w:rsidR="006E1FCB" w:rsidRPr="00932561" w:rsidRDefault="006E1FCB" w:rsidP="000931EA">
            <w:pPr>
              <w:spacing w:before="0"/>
              <w:jc w:val="center"/>
              <w:rPr>
                <w:rFonts w:ascii="Calibri" w:eastAsia="Times New Roman" w:hAnsi="Calibri" w:cs="Calibri"/>
                <w:lang w:eastAsia="cs-CZ"/>
              </w:rPr>
            </w:pPr>
            <w:r w:rsidRPr="00932561">
              <w:rPr>
                <w:rFonts w:ascii="Calibri" w:eastAsia="Times New Roman" w:hAnsi="Calibri" w:cs="Calibri"/>
                <w:lang w:eastAsia="cs-CZ"/>
              </w:rPr>
              <w:t>Spíše</w:t>
            </w:r>
            <w:r w:rsidRPr="00932561">
              <w:rPr>
                <w:rFonts w:ascii="Calibri" w:eastAsia="Times New Roman" w:hAnsi="Calibri" w:cs="Calibri"/>
                <w:lang w:eastAsia="cs-CZ"/>
              </w:rPr>
              <w:br/>
              <w:t>ano</w:t>
            </w:r>
          </w:p>
        </w:tc>
        <w:tc>
          <w:tcPr>
            <w:tcW w:w="1077" w:type="dxa"/>
            <w:vAlign w:val="center"/>
          </w:tcPr>
          <w:p w14:paraId="45C4239A" w14:textId="77777777" w:rsidR="006E1FCB" w:rsidRPr="00932561" w:rsidRDefault="006E1FCB" w:rsidP="000931EA">
            <w:pPr>
              <w:spacing w:before="0"/>
              <w:jc w:val="center"/>
              <w:rPr>
                <w:rFonts w:ascii="Calibri" w:eastAsia="Times New Roman" w:hAnsi="Calibri" w:cs="Calibri"/>
                <w:lang w:eastAsia="cs-CZ"/>
              </w:rPr>
            </w:pPr>
            <w:r w:rsidRPr="00932561">
              <w:rPr>
                <w:rFonts w:ascii="Calibri" w:eastAsia="Times New Roman" w:hAnsi="Calibri" w:cs="Calibri"/>
                <w:lang w:eastAsia="cs-CZ"/>
              </w:rPr>
              <w:t>Rozhodně ano</w:t>
            </w:r>
          </w:p>
        </w:tc>
        <w:tc>
          <w:tcPr>
            <w:tcW w:w="887" w:type="dxa"/>
            <w:vAlign w:val="center"/>
          </w:tcPr>
          <w:p w14:paraId="1096A683" w14:textId="77777777" w:rsidR="006E1FCB" w:rsidRPr="00932561" w:rsidRDefault="006E1FCB" w:rsidP="000931EA">
            <w:pPr>
              <w:spacing w:before="0"/>
              <w:jc w:val="center"/>
              <w:rPr>
                <w:rFonts w:ascii="Calibri" w:eastAsia="Times New Roman" w:hAnsi="Calibri" w:cs="Calibri"/>
                <w:lang w:eastAsia="cs-CZ"/>
              </w:rPr>
            </w:pPr>
            <w:r w:rsidRPr="00932561">
              <w:rPr>
                <w:rFonts w:ascii="Calibri" w:eastAsia="Times New Roman" w:hAnsi="Calibri" w:cs="Calibri"/>
                <w:lang w:eastAsia="cs-CZ"/>
              </w:rPr>
              <w:t>Nevím</w:t>
            </w:r>
          </w:p>
        </w:tc>
      </w:tr>
      <w:tr w:rsidR="006E1FCB" w:rsidRPr="00932561" w14:paraId="490BA42F" w14:textId="77777777" w:rsidTr="000931EA">
        <w:trPr>
          <w:jc w:val="center"/>
        </w:trPr>
        <w:tc>
          <w:tcPr>
            <w:tcW w:w="4289" w:type="dxa"/>
          </w:tcPr>
          <w:p w14:paraId="5B0ED72D" w14:textId="77777777" w:rsidR="006E1FCB" w:rsidRPr="00932561" w:rsidRDefault="006E1FCB" w:rsidP="000931EA">
            <w:pPr>
              <w:shd w:val="clear" w:color="auto" w:fill="FFFFFF"/>
              <w:spacing w:before="0"/>
              <w:ind w:left="426"/>
              <w:rPr>
                <w:rFonts w:ascii="Calibri" w:eastAsia="Times New Roman" w:hAnsi="Calibri" w:cs="Calibri"/>
                <w:lang w:eastAsia="cs-CZ"/>
              </w:rPr>
            </w:pPr>
            <w:r w:rsidRPr="00932561">
              <w:rPr>
                <w:rFonts w:ascii="Calibri" w:eastAsia="Times New Roman" w:hAnsi="Calibri" w:cs="Calibri"/>
                <w:lang w:eastAsia="cs-CZ"/>
              </w:rPr>
              <w:t>Magistrát města Zlína</w:t>
            </w:r>
          </w:p>
        </w:tc>
        <w:tc>
          <w:tcPr>
            <w:tcW w:w="1066" w:type="dxa"/>
            <w:vAlign w:val="center"/>
          </w:tcPr>
          <w:p w14:paraId="6361B030" w14:textId="77777777" w:rsidR="006E1FCB" w:rsidRPr="00932561" w:rsidRDefault="006E1FCB" w:rsidP="000931EA">
            <w:pPr>
              <w:spacing w:before="0"/>
              <w:jc w:val="center"/>
              <w:rPr>
                <w:rFonts w:ascii="Calibri" w:eastAsia="Times New Roman" w:hAnsi="Calibri" w:cs="Calibri"/>
                <w:lang w:eastAsia="cs-CZ"/>
              </w:rPr>
            </w:pPr>
          </w:p>
        </w:tc>
        <w:tc>
          <w:tcPr>
            <w:tcW w:w="731" w:type="dxa"/>
            <w:vAlign w:val="center"/>
          </w:tcPr>
          <w:p w14:paraId="35B10F49" w14:textId="77777777" w:rsidR="006E1FCB" w:rsidRPr="00932561" w:rsidRDefault="006E1FCB" w:rsidP="000931EA">
            <w:pPr>
              <w:spacing w:before="0"/>
              <w:jc w:val="center"/>
              <w:rPr>
                <w:rFonts w:ascii="Calibri" w:eastAsia="Times New Roman" w:hAnsi="Calibri" w:cs="Calibri"/>
                <w:lang w:eastAsia="cs-CZ"/>
              </w:rPr>
            </w:pPr>
          </w:p>
        </w:tc>
        <w:tc>
          <w:tcPr>
            <w:tcW w:w="1009" w:type="dxa"/>
            <w:vAlign w:val="center"/>
          </w:tcPr>
          <w:p w14:paraId="64A421EF" w14:textId="77777777" w:rsidR="006E1FCB" w:rsidRPr="00932561" w:rsidRDefault="006E1FCB" w:rsidP="000931EA">
            <w:pPr>
              <w:spacing w:before="0"/>
              <w:jc w:val="center"/>
              <w:rPr>
                <w:rFonts w:ascii="Calibri" w:eastAsia="Times New Roman" w:hAnsi="Calibri" w:cs="Calibri"/>
                <w:lang w:eastAsia="cs-CZ"/>
              </w:rPr>
            </w:pPr>
          </w:p>
        </w:tc>
        <w:tc>
          <w:tcPr>
            <w:tcW w:w="1077" w:type="dxa"/>
            <w:vAlign w:val="center"/>
          </w:tcPr>
          <w:p w14:paraId="07B6B36E" w14:textId="77777777" w:rsidR="006E1FCB" w:rsidRPr="00932561" w:rsidRDefault="006E1FCB" w:rsidP="000931EA">
            <w:pPr>
              <w:spacing w:before="0"/>
              <w:jc w:val="center"/>
              <w:rPr>
                <w:rFonts w:ascii="Calibri" w:eastAsia="Times New Roman" w:hAnsi="Calibri" w:cs="Calibri"/>
                <w:lang w:eastAsia="cs-CZ"/>
              </w:rPr>
            </w:pPr>
          </w:p>
        </w:tc>
        <w:tc>
          <w:tcPr>
            <w:tcW w:w="887" w:type="dxa"/>
            <w:vAlign w:val="center"/>
          </w:tcPr>
          <w:p w14:paraId="070E4221"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31758953" w14:textId="77777777" w:rsidTr="000931EA">
        <w:trPr>
          <w:jc w:val="center"/>
        </w:trPr>
        <w:tc>
          <w:tcPr>
            <w:tcW w:w="4289" w:type="dxa"/>
            <w:shd w:val="clear" w:color="auto" w:fill="F2F2F2"/>
          </w:tcPr>
          <w:p w14:paraId="5EA681C1" w14:textId="77777777" w:rsidR="006E1FCB" w:rsidRPr="00932561" w:rsidRDefault="006E1FCB" w:rsidP="000931EA">
            <w:pPr>
              <w:spacing w:before="0"/>
              <w:ind w:left="426"/>
              <w:jc w:val="left"/>
              <w:rPr>
                <w:rFonts w:ascii="Calibri" w:eastAsia="Times New Roman" w:hAnsi="Calibri" w:cs="Calibri"/>
                <w:lang w:eastAsia="cs-CZ"/>
              </w:rPr>
            </w:pPr>
            <w:r w:rsidRPr="00932561">
              <w:rPr>
                <w:rFonts w:ascii="Calibri" w:eastAsia="Times New Roman" w:hAnsi="Calibri" w:cs="Calibri"/>
                <w:lang w:eastAsia="cs-CZ"/>
              </w:rPr>
              <w:t>Krajský úřad Zlínského kraje</w:t>
            </w:r>
          </w:p>
        </w:tc>
        <w:tc>
          <w:tcPr>
            <w:tcW w:w="1066" w:type="dxa"/>
            <w:shd w:val="clear" w:color="auto" w:fill="F2F2F2"/>
            <w:vAlign w:val="center"/>
          </w:tcPr>
          <w:p w14:paraId="34CCAB6C" w14:textId="77777777" w:rsidR="006E1FCB" w:rsidRPr="00932561" w:rsidRDefault="006E1FCB" w:rsidP="000931EA">
            <w:pPr>
              <w:spacing w:before="0"/>
              <w:jc w:val="center"/>
              <w:rPr>
                <w:rFonts w:ascii="Calibri" w:eastAsia="Times New Roman" w:hAnsi="Calibri" w:cs="Calibri"/>
                <w:lang w:eastAsia="cs-CZ"/>
              </w:rPr>
            </w:pPr>
          </w:p>
        </w:tc>
        <w:tc>
          <w:tcPr>
            <w:tcW w:w="731" w:type="dxa"/>
            <w:shd w:val="clear" w:color="auto" w:fill="F2F2F2"/>
            <w:vAlign w:val="center"/>
          </w:tcPr>
          <w:p w14:paraId="2AD90DB3" w14:textId="77777777" w:rsidR="006E1FCB" w:rsidRPr="00932561" w:rsidRDefault="006E1FCB" w:rsidP="000931EA">
            <w:pPr>
              <w:spacing w:before="0"/>
              <w:jc w:val="center"/>
              <w:rPr>
                <w:rFonts w:ascii="Calibri" w:eastAsia="Times New Roman" w:hAnsi="Calibri" w:cs="Calibri"/>
                <w:lang w:eastAsia="cs-CZ"/>
              </w:rPr>
            </w:pPr>
          </w:p>
        </w:tc>
        <w:tc>
          <w:tcPr>
            <w:tcW w:w="1009" w:type="dxa"/>
            <w:shd w:val="clear" w:color="auto" w:fill="F2F2F2"/>
            <w:vAlign w:val="center"/>
          </w:tcPr>
          <w:p w14:paraId="63EF6018" w14:textId="77777777" w:rsidR="006E1FCB" w:rsidRPr="00932561" w:rsidRDefault="006E1FCB" w:rsidP="000931EA">
            <w:pPr>
              <w:spacing w:before="0"/>
              <w:jc w:val="center"/>
              <w:rPr>
                <w:rFonts w:ascii="Calibri" w:eastAsia="Times New Roman" w:hAnsi="Calibri" w:cs="Calibri"/>
                <w:lang w:eastAsia="cs-CZ"/>
              </w:rPr>
            </w:pPr>
          </w:p>
        </w:tc>
        <w:tc>
          <w:tcPr>
            <w:tcW w:w="1077" w:type="dxa"/>
            <w:shd w:val="clear" w:color="auto" w:fill="F2F2F2"/>
            <w:vAlign w:val="center"/>
          </w:tcPr>
          <w:p w14:paraId="71467147" w14:textId="77777777" w:rsidR="006E1FCB" w:rsidRPr="00932561" w:rsidRDefault="006E1FCB" w:rsidP="000931EA">
            <w:pPr>
              <w:spacing w:before="0"/>
              <w:jc w:val="center"/>
              <w:rPr>
                <w:rFonts w:ascii="Calibri" w:eastAsia="Times New Roman" w:hAnsi="Calibri" w:cs="Calibri"/>
                <w:lang w:eastAsia="cs-CZ"/>
              </w:rPr>
            </w:pPr>
          </w:p>
        </w:tc>
        <w:tc>
          <w:tcPr>
            <w:tcW w:w="887" w:type="dxa"/>
            <w:shd w:val="clear" w:color="auto" w:fill="F2F2F2"/>
            <w:vAlign w:val="center"/>
          </w:tcPr>
          <w:p w14:paraId="36749499"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7AE4076A" w14:textId="77777777" w:rsidTr="000931EA">
        <w:trPr>
          <w:jc w:val="center"/>
        </w:trPr>
        <w:tc>
          <w:tcPr>
            <w:tcW w:w="4289" w:type="dxa"/>
          </w:tcPr>
          <w:p w14:paraId="05220388" w14:textId="77777777" w:rsidR="006E1FCB" w:rsidRPr="00932561" w:rsidRDefault="006E1FCB" w:rsidP="000931EA">
            <w:pPr>
              <w:shd w:val="clear" w:color="auto" w:fill="FFFFFF"/>
              <w:spacing w:before="0"/>
              <w:ind w:left="426"/>
              <w:rPr>
                <w:rFonts w:ascii="Calibri" w:eastAsia="Times New Roman" w:hAnsi="Calibri" w:cs="Calibri"/>
                <w:lang w:eastAsia="cs-CZ"/>
              </w:rPr>
            </w:pPr>
            <w:r w:rsidRPr="00932561">
              <w:rPr>
                <w:rFonts w:ascii="Calibri" w:eastAsia="Times New Roman" w:hAnsi="Calibri" w:cs="Calibri"/>
                <w:lang w:eastAsia="cs-CZ"/>
              </w:rPr>
              <w:t>Úřad práce</w:t>
            </w:r>
          </w:p>
        </w:tc>
        <w:tc>
          <w:tcPr>
            <w:tcW w:w="1066" w:type="dxa"/>
            <w:vAlign w:val="center"/>
          </w:tcPr>
          <w:p w14:paraId="04EE2BBC" w14:textId="77777777" w:rsidR="006E1FCB" w:rsidRPr="00932561" w:rsidRDefault="006E1FCB" w:rsidP="000931EA">
            <w:pPr>
              <w:spacing w:before="0"/>
              <w:jc w:val="center"/>
              <w:rPr>
                <w:rFonts w:ascii="Calibri" w:eastAsia="Times New Roman" w:hAnsi="Calibri" w:cs="Calibri"/>
                <w:lang w:eastAsia="cs-CZ"/>
              </w:rPr>
            </w:pPr>
          </w:p>
        </w:tc>
        <w:tc>
          <w:tcPr>
            <w:tcW w:w="731" w:type="dxa"/>
            <w:vAlign w:val="center"/>
          </w:tcPr>
          <w:p w14:paraId="40108F08" w14:textId="77777777" w:rsidR="006E1FCB" w:rsidRPr="00932561" w:rsidRDefault="006E1FCB" w:rsidP="000931EA">
            <w:pPr>
              <w:spacing w:before="0"/>
              <w:jc w:val="center"/>
              <w:rPr>
                <w:rFonts w:ascii="Calibri" w:eastAsia="Times New Roman" w:hAnsi="Calibri" w:cs="Calibri"/>
                <w:lang w:eastAsia="cs-CZ"/>
              </w:rPr>
            </w:pPr>
          </w:p>
        </w:tc>
        <w:tc>
          <w:tcPr>
            <w:tcW w:w="1009" w:type="dxa"/>
            <w:vAlign w:val="center"/>
          </w:tcPr>
          <w:p w14:paraId="564C0789" w14:textId="77777777" w:rsidR="006E1FCB" w:rsidRPr="00932561" w:rsidRDefault="006E1FCB" w:rsidP="000931EA">
            <w:pPr>
              <w:spacing w:before="0"/>
              <w:jc w:val="center"/>
              <w:rPr>
                <w:rFonts w:ascii="Calibri" w:eastAsia="Times New Roman" w:hAnsi="Calibri" w:cs="Calibri"/>
                <w:lang w:eastAsia="cs-CZ"/>
              </w:rPr>
            </w:pPr>
          </w:p>
        </w:tc>
        <w:tc>
          <w:tcPr>
            <w:tcW w:w="1077" w:type="dxa"/>
            <w:vAlign w:val="center"/>
          </w:tcPr>
          <w:p w14:paraId="3DCA069C" w14:textId="77777777" w:rsidR="006E1FCB" w:rsidRPr="00932561" w:rsidRDefault="006E1FCB" w:rsidP="000931EA">
            <w:pPr>
              <w:spacing w:before="0"/>
              <w:jc w:val="center"/>
              <w:rPr>
                <w:rFonts w:ascii="Calibri" w:eastAsia="Times New Roman" w:hAnsi="Calibri" w:cs="Calibri"/>
                <w:lang w:eastAsia="cs-CZ"/>
              </w:rPr>
            </w:pPr>
          </w:p>
        </w:tc>
        <w:tc>
          <w:tcPr>
            <w:tcW w:w="887" w:type="dxa"/>
            <w:vAlign w:val="center"/>
          </w:tcPr>
          <w:p w14:paraId="0A6C6179"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6B82529C" w14:textId="77777777" w:rsidTr="000931EA">
        <w:trPr>
          <w:jc w:val="center"/>
        </w:trPr>
        <w:tc>
          <w:tcPr>
            <w:tcW w:w="4289" w:type="dxa"/>
            <w:shd w:val="clear" w:color="auto" w:fill="F2F2F2"/>
          </w:tcPr>
          <w:p w14:paraId="18FD7102" w14:textId="77777777" w:rsidR="006E1FCB" w:rsidRPr="00932561" w:rsidRDefault="006E1FCB" w:rsidP="000931EA">
            <w:pPr>
              <w:spacing w:before="0"/>
              <w:ind w:left="426"/>
              <w:jc w:val="left"/>
              <w:rPr>
                <w:rFonts w:ascii="Calibri" w:eastAsia="Times New Roman" w:hAnsi="Calibri" w:cs="Calibri"/>
                <w:lang w:eastAsia="cs-CZ"/>
              </w:rPr>
            </w:pPr>
            <w:r w:rsidRPr="00932561">
              <w:rPr>
                <w:rFonts w:ascii="Calibri" w:eastAsia="Times New Roman" w:hAnsi="Calibri" w:cs="Calibri"/>
                <w:lang w:eastAsia="cs-CZ"/>
              </w:rPr>
              <w:t>Finanční úřad</w:t>
            </w:r>
          </w:p>
        </w:tc>
        <w:tc>
          <w:tcPr>
            <w:tcW w:w="1066" w:type="dxa"/>
            <w:shd w:val="clear" w:color="auto" w:fill="F2F2F2"/>
            <w:vAlign w:val="center"/>
          </w:tcPr>
          <w:p w14:paraId="4DE52B2C" w14:textId="77777777" w:rsidR="006E1FCB" w:rsidRPr="00932561" w:rsidRDefault="006E1FCB" w:rsidP="000931EA">
            <w:pPr>
              <w:spacing w:before="0"/>
              <w:jc w:val="center"/>
              <w:rPr>
                <w:rFonts w:ascii="Calibri" w:eastAsia="Times New Roman" w:hAnsi="Calibri" w:cs="Calibri"/>
                <w:bCs/>
                <w:lang w:eastAsia="cs-CZ"/>
              </w:rPr>
            </w:pPr>
          </w:p>
        </w:tc>
        <w:tc>
          <w:tcPr>
            <w:tcW w:w="731" w:type="dxa"/>
            <w:shd w:val="clear" w:color="auto" w:fill="F2F2F2"/>
            <w:vAlign w:val="center"/>
          </w:tcPr>
          <w:p w14:paraId="6BB621D4" w14:textId="77777777" w:rsidR="006E1FCB" w:rsidRPr="00932561" w:rsidRDefault="006E1FCB" w:rsidP="000931EA">
            <w:pPr>
              <w:spacing w:before="0"/>
              <w:jc w:val="center"/>
              <w:rPr>
                <w:rFonts w:ascii="Calibri" w:eastAsia="Times New Roman" w:hAnsi="Calibri" w:cs="Calibri"/>
                <w:bCs/>
                <w:lang w:eastAsia="cs-CZ"/>
              </w:rPr>
            </w:pPr>
          </w:p>
        </w:tc>
        <w:tc>
          <w:tcPr>
            <w:tcW w:w="1009" w:type="dxa"/>
            <w:shd w:val="clear" w:color="auto" w:fill="F2F2F2"/>
            <w:vAlign w:val="center"/>
          </w:tcPr>
          <w:p w14:paraId="453CC2F8" w14:textId="77777777" w:rsidR="006E1FCB" w:rsidRPr="00932561" w:rsidRDefault="006E1FCB" w:rsidP="000931EA">
            <w:pPr>
              <w:spacing w:before="0"/>
              <w:jc w:val="center"/>
              <w:rPr>
                <w:rFonts w:ascii="Calibri" w:eastAsia="Times New Roman" w:hAnsi="Calibri" w:cs="Calibri"/>
                <w:bCs/>
                <w:lang w:eastAsia="cs-CZ"/>
              </w:rPr>
            </w:pPr>
          </w:p>
        </w:tc>
        <w:tc>
          <w:tcPr>
            <w:tcW w:w="1077" w:type="dxa"/>
            <w:shd w:val="clear" w:color="auto" w:fill="F2F2F2"/>
            <w:vAlign w:val="center"/>
          </w:tcPr>
          <w:p w14:paraId="47106ECC" w14:textId="77777777" w:rsidR="006E1FCB" w:rsidRPr="00932561" w:rsidRDefault="006E1FCB" w:rsidP="000931EA">
            <w:pPr>
              <w:spacing w:before="0"/>
              <w:jc w:val="center"/>
              <w:rPr>
                <w:rFonts w:ascii="Calibri" w:eastAsia="Times New Roman" w:hAnsi="Calibri" w:cs="Calibri"/>
                <w:bCs/>
                <w:lang w:eastAsia="cs-CZ"/>
              </w:rPr>
            </w:pPr>
          </w:p>
        </w:tc>
        <w:tc>
          <w:tcPr>
            <w:tcW w:w="887" w:type="dxa"/>
            <w:shd w:val="clear" w:color="auto" w:fill="F2F2F2"/>
            <w:vAlign w:val="center"/>
          </w:tcPr>
          <w:p w14:paraId="5C77659E"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647F9E1D" w14:textId="77777777" w:rsidTr="000931EA">
        <w:trPr>
          <w:jc w:val="center"/>
        </w:trPr>
        <w:tc>
          <w:tcPr>
            <w:tcW w:w="4289" w:type="dxa"/>
          </w:tcPr>
          <w:p w14:paraId="01A82050" w14:textId="77777777" w:rsidR="006E1FCB" w:rsidRPr="00932561" w:rsidRDefault="006E1FCB" w:rsidP="000931EA">
            <w:pPr>
              <w:shd w:val="clear" w:color="auto" w:fill="FFFFFF"/>
              <w:spacing w:before="0"/>
              <w:ind w:left="426"/>
              <w:rPr>
                <w:rFonts w:ascii="Calibri" w:eastAsia="Times New Roman" w:hAnsi="Calibri" w:cs="Calibri"/>
                <w:lang w:eastAsia="cs-CZ"/>
              </w:rPr>
            </w:pPr>
            <w:r w:rsidRPr="00932561">
              <w:rPr>
                <w:rFonts w:ascii="Calibri" w:eastAsia="Times New Roman" w:hAnsi="Calibri" w:cs="Calibri"/>
                <w:lang w:eastAsia="cs-CZ"/>
              </w:rPr>
              <w:t>Okresní správa sociálního zabezpečení</w:t>
            </w:r>
          </w:p>
        </w:tc>
        <w:tc>
          <w:tcPr>
            <w:tcW w:w="1066" w:type="dxa"/>
            <w:vAlign w:val="center"/>
          </w:tcPr>
          <w:p w14:paraId="29EC576F" w14:textId="77777777" w:rsidR="006E1FCB" w:rsidRPr="00932561" w:rsidRDefault="006E1FCB" w:rsidP="000931EA">
            <w:pPr>
              <w:spacing w:before="0"/>
              <w:jc w:val="center"/>
              <w:rPr>
                <w:rFonts w:ascii="Calibri" w:eastAsia="Times New Roman" w:hAnsi="Calibri" w:cs="Calibri"/>
                <w:bCs/>
                <w:lang w:eastAsia="cs-CZ"/>
              </w:rPr>
            </w:pPr>
          </w:p>
        </w:tc>
        <w:tc>
          <w:tcPr>
            <w:tcW w:w="731" w:type="dxa"/>
            <w:vAlign w:val="center"/>
          </w:tcPr>
          <w:p w14:paraId="6AE303E8" w14:textId="77777777" w:rsidR="006E1FCB" w:rsidRPr="00932561" w:rsidRDefault="006E1FCB" w:rsidP="000931EA">
            <w:pPr>
              <w:spacing w:before="0"/>
              <w:jc w:val="center"/>
              <w:rPr>
                <w:rFonts w:ascii="Calibri" w:eastAsia="Times New Roman" w:hAnsi="Calibri" w:cs="Calibri"/>
                <w:bCs/>
                <w:lang w:eastAsia="cs-CZ"/>
              </w:rPr>
            </w:pPr>
          </w:p>
        </w:tc>
        <w:tc>
          <w:tcPr>
            <w:tcW w:w="1009" w:type="dxa"/>
            <w:vAlign w:val="center"/>
          </w:tcPr>
          <w:p w14:paraId="2219C4AC" w14:textId="77777777" w:rsidR="006E1FCB" w:rsidRPr="00932561" w:rsidRDefault="006E1FCB" w:rsidP="000931EA">
            <w:pPr>
              <w:spacing w:before="0"/>
              <w:jc w:val="center"/>
              <w:rPr>
                <w:rFonts w:ascii="Calibri" w:eastAsia="Times New Roman" w:hAnsi="Calibri" w:cs="Calibri"/>
                <w:bCs/>
                <w:lang w:eastAsia="cs-CZ"/>
              </w:rPr>
            </w:pPr>
          </w:p>
        </w:tc>
        <w:tc>
          <w:tcPr>
            <w:tcW w:w="1077" w:type="dxa"/>
            <w:vAlign w:val="center"/>
          </w:tcPr>
          <w:p w14:paraId="519AAD36" w14:textId="77777777" w:rsidR="006E1FCB" w:rsidRPr="00932561" w:rsidRDefault="006E1FCB" w:rsidP="000931EA">
            <w:pPr>
              <w:spacing w:before="0"/>
              <w:jc w:val="center"/>
              <w:rPr>
                <w:rFonts w:ascii="Calibri" w:eastAsia="Times New Roman" w:hAnsi="Calibri" w:cs="Calibri"/>
                <w:bCs/>
                <w:lang w:eastAsia="cs-CZ"/>
              </w:rPr>
            </w:pPr>
          </w:p>
        </w:tc>
        <w:tc>
          <w:tcPr>
            <w:tcW w:w="887" w:type="dxa"/>
            <w:vAlign w:val="center"/>
          </w:tcPr>
          <w:p w14:paraId="35F3C955"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6DDF3557" w14:textId="77777777" w:rsidTr="000931EA">
        <w:trPr>
          <w:jc w:val="center"/>
        </w:trPr>
        <w:tc>
          <w:tcPr>
            <w:tcW w:w="4289" w:type="dxa"/>
            <w:shd w:val="clear" w:color="auto" w:fill="F2F2F2"/>
          </w:tcPr>
          <w:p w14:paraId="0EE1AF61" w14:textId="77777777" w:rsidR="006E1FCB" w:rsidRPr="00932561" w:rsidRDefault="006E1FCB" w:rsidP="000931EA">
            <w:pPr>
              <w:spacing w:before="0"/>
              <w:ind w:left="426"/>
              <w:jc w:val="left"/>
              <w:rPr>
                <w:rFonts w:ascii="Calibri" w:eastAsia="Times New Roman" w:hAnsi="Calibri" w:cs="Calibri"/>
                <w:lang w:eastAsia="cs-CZ"/>
              </w:rPr>
            </w:pPr>
            <w:r w:rsidRPr="00932561">
              <w:rPr>
                <w:rFonts w:ascii="Calibri" w:eastAsia="Times New Roman" w:hAnsi="Calibri" w:cs="Calibri"/>
                <w:lang w:eastAsia="cs-CZ"/>
              </w:rPr>
              <w:t>Živnostenský úřad</w:t>
            </w:r>
          </w:p>
        </w:tc>
        <w:tc>
          <w:tcPr>
            <w:tcW w:w="1066" w:type="dxa"/>
            <w:shd w:val="clear" w:color="auto" w:fill="F2F2F2"/>
            <w:vAlign w:val="center"/>
          </w:tcPr>
          <w:p w14:paraId="0311E4D9" w14:textId="77777777" w:rsidR="006E1FCB" w:rsidRPr="00932561" w:rsidRDefault="006E1FCB" w:rsidP="000931EA">
            <w:pPr>
              <w:spacing w:before="0"/>
              <w:jc w:val="center"/>
              <w:rPr>
                <w:rFonts w:ascii="Calibri" w:eastAsia="Times New Roman" w:hAnsi="Calibri" w:cs="Calibri"/>
                <w:bCs/>
                <w:lang w:eastAsia="cs-CZ"/>
              </w:rPr>
            </w:pPr>
          </w:p>
        </w:tc>
        <w:tc>
          <w:tcPr>
            <w:tcW w:w="731" w:type="dxa"/>
            <w:shd w:val="clear" w:color="auto" w:fill="F2F2F2"/>
            <w:vAlign w:val="center"/>
          </w:tcPr>
          <w:p w14:paraId="60850CAE" w14:textId="77777777" w:rsidR="006E1FCB" w:rsidRPr="00932561" w:rsidRDefault="006E1FCB" w:rsidP="000931EA">
            <w:pPr>
              <w:spacing w:before="0"/>
              <w:jc w:val="center"/>
              <w:rPr>
                <w:rFonts w:ascii="Calibri" w:eastAsia="Times New Roman" w:hAnsi="Calibri" w:cs="Calibri"/>
                <w:bCs/>
                <w:lang w:eastAsia="cs-CZ"/>
              </w:rPr>
            </w:pPr>
          </w:p>
        </w:tc>
        <w:tc>
          <w:tcPr>
            <w:tcW w:w="1009" w:type="dxa"/>
            <w:shd w:val="clear" w:color="auto" w:fill="F2F2F2"/>
            <w:vAlign w:val="center"/>
          </w:tcPr>
          <w:p w14:paraId="6B4463B9" w14:textId="77777777" w:rsidR="006E1FCB" w:rsidRPr="00932561" w:rsidRDefault="006E1FCB" w:rsidP="000931EA">
            <w:pPr>
              <w:spacing w:before="0"/>
              <w:jc w:val="center"/>
              <w:rPr>
                <w:rFonts w:ascii="Calibri" w:eastAsia="Times New Roman" w:hAnsi="Calibri" w:cs="Calibri"/>
                <w:bCs/>
                <w:lang w:eastAsia="cs-CZ"/>
              </w:rPr>
            </w:pPr>
          </w:p>
        </w:tc>
        <w:tc>
          <w:tcPr>
            <w:tcW w:w="1077" w:type="dxa"/>
            <w:shd w:val="clear" w:color="auto" w:fill="F2F2F2"/>
            <w:vAlign w:val="center"/>
          </w:tcPr>
          <w:p w14:paraId="39B2B25C" w14:textId="77777777" w:rsidR="006E1FCB" w:rsidRPr="00932561" w:rsidRDefault="006E1FCB" w:rsidP="000931EA">
            <w:pPr>
              <w:spacing w:before="0"/>
              <w:jc w:val="center"/>
              <w:rPr>
                <w:rFonts w:ascii="Calibri" w:eastAsia="Times New Roman" w:hAnsi="Calibri" w:cs="Calibri"/>
                <w:bCs/>
                <w:lang w:eastAsia="cs-CZ"/>
              </w:rPr>
            </w:pPr>
          </w:p>
        </w:tc>
        <w:tc>
          <w:tcPr>
            <w:tcW w:w="887" w:type="dxa"/>
            <w:shd w:val="clear" w:color="auto" w:fill="F2F2F2"/>
            <w:vAlign w:val="center"/>
          </w:tcPr>
          <w:p w14:paraId="17713A88"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2ABC26E7" w14:textId="77777777" w:rsidTr="000931EA">
        <w:trPr>
          <w:jc w:val="center"/>
        </w:trPr>
        <w:tc>
          <w:tcPr>
            <w:tcW w:w="4289" w:type="dxa"/>
          </w:tcPr>
          <w:p w14:paraId="270E44D1" w14:textId="77777777" w:rsidR="006E1FCB" w:rsidRPr="00932561" w:rsidRDefault="006E1FCB" w:rsidP="000931EA">
            <w:pPr>
              <w:shd w:val="clear" w:color="auto" w:fill="FFFFFF"/>
              <w:spacing w:before="0"/>
              <w:ind w:left="426"/>
              <w:rPr>
                <w:rFonts w:ascii="Calibri" w:eastAsia="Times New Roman" w:hAnsi="Calibri" w:cs="Calibri"/>
                <w:lang w:eastAsia="cs-CZ"/>
              </w:rPr>
            </w:pPr>
            <w:r w:rsidRPr="00932561">
              <w:rPr>
                <w:rFonts w:ascii="Calibri" w:eastAsia="Times New Roman" w:hAnsi="Calibri" w:cs="Calibri"/>
                <w:lang w:eastAsia="cs-CZ"/>
              </w:rPr>
              <w:t>Stavební úřad</w:t>
            </w:r>
          </w:p>
        </w:tc>
        <w:tc>
          <w:tcPr>
            <w:tcW w:w="1066" w:type="dxa"/>
            <w:vAlign w:val="center"/>
          </w:tcPr>
          <w:p w14:paraId="6972C34A" w14:textId="77777777" w:rsidR="006E1FCB" w:rsidRPr="00932561" w:rsidRDefault="006E1FCB" w:rsidP="000931EA">
            <w:pPr>
              <w:spacing w:before="0"/>
              <w:jc w:val="center"/>
              <w:rPr>
                <w:rFonts w:ascii="Calibri" w:eastAsia="Times New Roman" w:hAnsi="Calibri" w:cs="Calibri"/>
                <w:bCs/>
                <w:lang w:eastAsia="cs-CZ"/>
              </w:rPr>
            </w:pPr>
          </w:p>
        </w:tc>
        <w:tc>
          <w:tcPr>
            <w:tcW w:w="731" w:type="dxa"/>
            <w:vAlign w:val="center"/>
          </w:tcPr>
          <w:p w14:paraId="72BAE504" w14:textId="77777777" w:rsidR="006E1FCB" w:rsidRPr="00932561" w:rsidRDefault="006E1FCB" w:rsidP="000931EA">
            <w:pPr>
              <w:spacing w:before="0"/>
              <w:jc w:val="center"/>
              <w:rPr>
                <w:rFonts w:ascii="Calibri" w:eastAsia="Times New Roman" w:hAnsi="Calibri" w:cs="Calibri"/>
                <w:bCs/>
                <w:lang w:eastAsia="cs-CZ"/>
              </w:rPr>
            </w:pPr>
          </w:p>
        </w:tc>
        <w:tc>
          <w:tcPr>
            <w:tcW w:w="1009" w:type="dxa"/>
            <w:vAlign w:val="center"/>
          </w:tcPr>
          <w:p w14:paraId="06F0C351" w14:textId="77777777" w:rsidR="006E1FCB" w:rsidRPr="00932561" w:rsidRDefault="006E1FCB" w:rsidP="000931EA">
            <w:pPr>
              <w:spacing w:before="0"/>
              <w:jc w:val="center"/>
              <w:rPr>
                <w:rFonts w:ascii="Calibri" w:eastAsia="Times New Roman" w:hAnsi="Calibri" w:cs="Calibri"/>
                <w:bCs/>
                <w:lang w:eastAsia="cs-CZ"/>
              </w:rPr>
            </w:pPr>
          </w:p>
        </w:tc>
        <w:tc>
          <w:tcPr>
            <w:tcW w:w="1077" w:type="dxa"/>
            <w:vAlign w:val="center"/>
          </w:tcPr>
          <w:p w14:paraId="5D81AD73" w14:textId="77777777" w:rsidR="006E1FCB" w:rsidRPr="00932561" w:rsidRDefault="006E1FCB" w:rsidP="000931EA">
            <w:pPr>
              <w:spacing w:before="0"/>
              <w:jc w:val="center"/>
              <w:rPr>
                <w:rFonts w:ascii="Calibri" w:eastAsia="Times New Roman" w:hAnsi="Calibri" w:cs="Calibri"/>
                <w:bCs/>
                <w:lang w:eastAsia="cs-CZ"/>
              </w:rPr>
            </w:pPr>
          </w:p>
        </w:tc>
        <w:tc>
          <w:tcPr>
            <w:tcW w:w="887" w:type="dxa"/>
            <w:vAlign w:val="center"/>
          </w:tcPr>
          <w:p w14:paraId="52E8095D"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53B79B9E" w14:textId="77777777" w:rsidTr="000931EA">
        <w:trPr>
          <w:jc w:val="center"/>
        </w:trPr>
        <w:tc>
          <w:tcPr>
            <w:tcW w:w="4289" w:type="dxa"/>
            <w:shd w:val="clear" w:color="auto" w:fill="F2F2F2"/>
          </w:tcPr>
          <w:p w14:paraId="0F2D37E6" w14:textId="77777777" w:rsidR="006E1FCB" w:rsidRPr="00932561" w:rsidRDefault="006E1FCB" w:rsidP="000931EA">
            <w:pPr>
              <w:spacing w:before="0"/>
              <w:ind w:left="426"/>
              <w:jc w:val="left"/>
              <w:rPr>
                <w:rFonts w:ascii="Calibri" w:eastAsia="Times New Roman" w:hAnsi="Calibri" w:cs="Calibri"/>
                <w:lang w:eastAsia="cs-CZ"/>
              </w:rPr>
            </w:pPr>
            <w:r w:rsidRPr="00932561">
              <w:rPr>
                <w:rFonts w:ascii="Calibri" w:eastAsia="Times New Roman" w:hAnsi="Calibri" w:cs="Calibri"/>
                <w:lang w:eastAsia="cs-CZ"/>
              </w:rPr>
              <w:t>Městská policie</w:t>
            </w:r>
          </w:p>
        </w:tc>
        <w:tc>
          <w:tcPr>
            <w:tcW w:w="1066" w:type="dxa"/>
            <w:shd w:val="clear" w:color="auto" w:fill="F2F2F2"/>
            <w:vAlign w:val="center"/>
          </w:tcPr>
          <w:p w14:paraId="54C62D13" w14:textId="77777777" w:rsidR="006E1FCB" w:rsidRPr="00932561" w:rsidRDefault="006E1FCB" w:rsidP="000931EA">
            <w:pPr>
              <w:spacing w:before="0"/>
              <w:jc w:val="center"/>
              <w:rPr>
                <w:rFonts w:ascii="Calibri" w:eastAsia="Times New Roman" w:hAnsi="Calibri" w:cs="Calibri"/>
                <w:bCs/>
                <w:lang w:eastAsia="cs-CZ"/>
              </w:rPr>
            </w:pPr>
          </w:p>
        </w:tc>
        <w:tc>
          <w:tcPr>
            <w:tcW w:w="731" w:type="dxa"/>
            <w:shd w:val="clear" w:color="auto" w:fill="F2F2F2"/>
            <w:vAlign w:val="center"/>
          </w:tcPr>
          <w:p w14:paraId="51BC066C" w14:textId="77777777" w:rsidR="006E1FCB" w:rsidRPr="00932561" w:rsidRDefault="006E1FCB" w:rsidP="000931EA">
            <w:pPr>
              <w:spacing w:before="0"/>
              <w:jc w:val="center"/>
              <w:rPr>
                <w:rFonts w:ascii="Calibri" w:eastAsia="Times New Roman" w:hAnsi="Calibri" w:cs="Calibri"/>
                <w:bCs/>
                <w:lang w:eastAsia="cs-CZ"/>
              </w:rPr>
            </w:pPr>
          </w:p>
        </w:tc>
        <w:tc>
          <w:tcPr>
            <w:tcW w:w="1009" w:type="dxa"/>
            <w:shd w:val="clear" w:color="auto" w:fill="F2F2F2"/>
            <w:vAlign w:val="center"/>
          </w:tcPr>
          <w:p w14:paraId="354F32E1" w14:textId="77777777" w:rsidR="006E1FCB" w:rsidRPr="00932561" w:rsidRDefault="006E1FCB" w:rsidP="000931EA">
            <w:pPr>
              <w:spacing w:before="0"/>
              <w:jc w:val="center"/>
              <w:rPr>
                <w:rFonts w:ascii="Calibri" w:eastAsia="Times New Roman" w:hAnsi="Calibri" w:cs="Calibri"/>
                <w:bCs/>
                <w:lang w:eastAsia="cs-CZ"/>
              </w:rPr>
            </w:pPr>
          </w:p>
        </w:tc>
        <w:tc>
          <w:tcPr>
            <w:tcW w:w="1077" w:type="dxa"/>
            <w:shd w:val="clear" w:color="auto" w:fill="F2F2F2"/>
            <w:vAlign w:val="center"/>
          </w:tcPr>
          <w:p w14:paraId="3A5FACD1" w14:textId="77777777" w:rsidR="006E1FCB" w:rsidRPr="00932561" w:rsidRDefault="006E1FCB" w:rsidP="000931EA">
            <w:pPr>
              <w:spacing w:before="0"/>
              <w:jc w:val="center"/>
              <w:rPr>
                <w:rFonts w:ascii="Calibri" w:eastAsia="Times New Roman" w:hAnsi="Calibri" w:cs="Calibri"/>
                <w:bCs/>
                <w:lang w:eastAsia="cs-CZ"/>
              </w:rPr>
            </w:pPr>
          </w:p>
        </w:tc>
        <w:tc>
          <w:tcPr>
            <w:tcW w:w="887" w:type="dxa"/>
            <w:shd w:val="clear" w:color="auto" w:fill="F2F2F2"/>
            <w:vAlign w:val="center"/>
          </w:tcPr>
          <w:p w14:paraId="0375A7EB"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2074724A" w14:textId="77777777" w:rsidTr="000931EA">
        <w:trPr>
          <w:jc w:val="center"/>
        </w:trPr>
        <w:tc>
          <w:tcPr>
            <w:tcW w:w="4289" w:type="dxa"/>
          </w:tcPr>
          <w:p w14:paraId="45D9CD8C" w14:textId="77777777" w:rsidR="006E1FCB" w:rsidRPr="00932561" w:rsidRDefault="006E1FCB" w:rsidP="000931EA">
            <w:pPr>
              <w:shd w:val="clear" w:color="auto" w:fill="FFFFFF"/>
              <w:spacing w:before="0"/>
              <w:ind w:left="426"/>
              <w:rPr>
                <w:rFonts w:ascii="Calibri" w:eastAsia="Times New Roman" w:hAnsi="Calibri" w:cs="Calibri"/>
                <w:lang w:eastAsia="cs-CZ"/>
              </w:rPr>
            </w:pPr>
            <w:r w:rsidRPr="00932561">
              <w:rPr>
                <w:rFonts w:ascii="Calibri" w:eastAsia="Times New Roman" w:hAnsi="Calibri" w:cs="Calibri"/>
                <w:lang w:eastAsia="cs-CZ"/>
              </w:rPr>
              <w:t>Soudy</w:t>
            </w:r>
          </w:p>
        </w:tc>
        <w:tc>
          <w:tcPr>
            <w:tcW w:w="1066" w:type="dxa"/>
            <w:vAlign w:val="center"/>
          </w:tcPr>
          <w:p w14:paraId="4FAF42D5" w14:textId="77777777" w:rsidR="006E1FCB" w:rsidRPr="00932561" w:rsidRDefault="006E1FCB" w:rsidP="000931EA">
            <w:pPr>
              <w:spacing w:before="0"/>
              <w:jc w:val="center"/>
              <w:rPr>
                <w:rFonts w:ascii="Calibri" w:eastAsia="Times New Roman" w:hAnsi="Calibri" w:cs="Calibri"/>
                <w:bCs/>
                <w:lang w:eastAsia="cs-CZ"/>
              </w:rPr>
            </w:pPr>
          </w:p>
        </w:tc>
        <w:tc>
          <w:tcPr>
            <w:tcW w:w="731" w:type="dxa"/>
            <w:vAlign w:val="center"/>
          </w:tcPr>
          <w:p w14:paraId="11A3D074" w14:textId="77777777" w:rsidR="006E1FCB" w:rsidRPr="00932561" w:rsidRDefault="006E1FCB" w:rsidP="000931EA">
            <w:pPr>
              <w:spacing w:before="0"/>
              <w:jc w:val="center"/>
              <w:rPr>
                <w:rFonts w:ascii="Calibri" w:eastAsia="Times New Roman" w:hAnsi="Calibri" w:cs="Calibri"/>
                <w:bCs/>
                <w:lang w:eastAsia="cs-CZ"/>
              </w:rPr>
            </w:pPr>
          </w:p>
        </w:tc>
        <w:tc>
          <w:tcPr>
            <w:tcW w:w="1009" w:type="dxa"/>
            <w:vAlign w:val="center"/>
          </w:tcPr>
          <w:p w14:paraId="5480BB45" w14:textId="77777777" w:rsidR="006E1FCB" w:rsidRPr="00932561" w:rsidRDefault="006E1FCB" w:rsidP="000931EA">
            <w:pPr>
              <w:spacing w:before="0"/>
              <w:jc w:val="center"/>
              <w:rPr>
                <w:rFonts w:ascii="Calibri" w:eastAsia="Times New Roman" w:hAnsi="Calibri" w:cs="Calibri"/>
                <w:bCs/>
                <w:lang w:eastAsia="cs-CZ"/>
              </w:rPr>
            </w:pPr>
          </w:p>
        </w:tc>
        <w:tc>
          <w:tcPr>
            <w:tcW w:w="1077" w:type="dxa"/>
            <w:vAlign w:val="center"/>
          </w:tcPr>
          <w:p w14:paraId="699D2AB1" w14:textId="77777777" w:rsidR="006E1FCB" w:rsidRPr="00932561" w:rsidRDefault="006E1FCB" w:rsidP="000931EA">
            <w:pPr>
              <w:spacing w:before="0"/>
              <w:jc w:val="center"/>
              <w:rPr>
                <w:rFonts w:ascii="Calibri" w:eastAsia="Times New Roman" w:hAnsi="Calibri" w:cs="Calibri"/>
                <w:bCs/>
                <w:lang w:eastAsia="cs-CZ"/>
              </w:rPr>
            </w:pPr>
          </w:p>
        </w:tc>
        <w:tc>
          <w:tcPr>
            <w:tcW w:w="887" w:type="dxa"/>
            <w:vAlign w:val="center"/>
          </w:tcPr>
          <w:p w14:paraId="4D7BC654"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31FC4DD3" w14:textId="77777777" w:rsidTr="000931EA">
        <w:trPr>
          <w:jc w:val="center"/>
        </w:trPr>
        <w:tc>
          <w:tcPr>
            <w:tcW w:w="4289" w:type="dxa"/>
            <w:shd w:val="clear" w:color="auto" w:fill="F2F2F2"/>
          </w:tcPr>
          <w:p w14:paraId="2E513855" w14:textId="77777777" w:rsidR="006E1FCB" w:rsidRPr="00932561" w:rsidRDefault="006E1FCB" w:rsidP="000931EA">
            <w:pPr>
              <w:spacing w:before="0"/>
              <w:ind w:left="426"/>
              <w:jc w:val="left"/>
              <w:rPr>
                <w:rFonts w:ascii="Calibri" w:eastAsia="Times New Roman" w:hAnsi="Calibri" w:cs="Calibri"/>
                <w:lang w:eastAsia="cs-CZ"/>
              </w:rPr>
            </w:pPr>
            <w:r w:rsidRPr="00932561">
              <w:rPr>
                <w:rFonts w:ascii="Calibri" w:eastAsia="Times New Roman" w:hAnsi="Calibri" w:cs="Calibri"/>
                <w:lang w:eastAsia="cs-CZ"/>
              </w:rPr>
              <w:t>Hospodářská komora Zlín</w:t>
            </w:r>
          </w:p>
        </w:tc>
        <w:tc>
          <w:tcPr>
            <w:tcW w:w="1066" w:type="dxa"/>
            <w:shd w:val="clear" w:color="auto" w:fill="F2F2F2"/>
            <w:vAlign w:val="center"/>
          </w:tcPr>
          <w:p w14:paraId="7CEAD83C" w14:textId="77777777" w:rsidR="006E1FCB" w:rsidRPr="00932561" w:rsidRDefault="006E1FCB" w:rsidP="000931EA">
            <w:pPr>
              <w:spacing w:before="0"/>
              <w:jc w:val="center"/>
              <w:rPr>
                <w:rFonts w:ascii="Calibri" w:eastAsia="Times New Roman" w:hAnsi="Calibri" w:cs="Calibri"/>
                <w:bCs/>
                <w:lang w:eastAsia="cs-CZ"/>
              </w:rPr>
            </w:pPr>
          </w:p>
        </w:tc>
        <w:tc>
          <w:tcPr>
            <w:tcW w:w="731" w:type="dxa"/>
            <w:shd w:val="clear" w:color="auto" w:fill="F2F2F2"/>
            <w:vAlign w:val="center"/>
          </w:tcPr>
          <w:p w14:paraId="58768150" w14:textId="77777777" w:rsidR="006E1FCB" w:rsidRPr="00932561" w:rsidRDefault="006E1FCB" w:rsidP="000931EA">
            <w:pPr>
              <w:spacing w:before="0"/>
              <w:jc w:val="center"/>
              <w:rPr>
                <w:rFonts w:ascii="Calibri" w:eastAsia="Times New Roman" w:hAnsi="Calibri" w:cs="Calibri"/>
                <w:bCs/>
                <w:lang w:eastAsia="cs-CZ"/>
              </w:rPr>
            </w:pPr>
          </w:p>
        </w:tc>
        <w:tc>
          <w:tcPr>
            <w:tcW w:w="1009" w:type="dxa"/>
            <w:shd w:val="clear" w:color="auto" w:fill="F2F2F2"/>
            <w:vAlign w:val="center"/>
          </w:tcPr>
          <w:p w14:paraId="554BBC4B" w14:textId="77777777" w:rsidR="006E1FCB" w:rsidRPr="00932561" w:rsidRDefault="006E1FCB" w:rsidP="000931EA">
            <w:pPr>
              <w:spacing w:before="0"/>
              <w:jc w:val="center"/>
              <w:rPr>
                <w:rFonts w:ascii="Calibri" w:eastAsia="Times New Roman" w:hAnsi="Calibri" w:cs="Calibri"/>
                <w:bCs/>
                <w:lang w:eastAsia="cs-CZ"/>
              </w:rPr>
            </w:pPr>
          </w:p>
        </w:tc>
        <w:tc>
          <w:tcPr>
            <w:tcW w:w="1077" w:type="dxa"/>
            <w:shd w:val="clear" w:color="auto" w:fill="F2F2F2"/>
            <w:vAlign w:val="center"/>
          </w:tcPr>
          <w:p w14:paraId="5583681B" w14:textId="77777777" w:rsidR="006E1FCB" w:rsidRPr="00932561" w:rsidRDefault="006E1FCB" w:rsidP="000931EA">
            <w:pPr>
              <w:spacing w:before="0"/>
              <w:jc w:val="center"/>
              <w:rPr>
                <w:rFonts w:ascii="Calibri" w:eastAsia="Times New Roman" w:hAnsi="Calibri" w:cs="Calibri"/>
                <w:bCs/>
                <w:lang w:eastAsia="cs-CZ"/>
              </w:rPr>
            </w:pPr>
          </w:p>
        </w:tc>
        <w:tc>
          <w:tcPr>
            <w:tcW w:w="887" w:type="dxa"/>
            <w:shd w:val="clear" w:color="auto" w:fill="F2F2F2"/>
            <w:vAlign w:val="center"/>
          </w:tcPr>
          <w:p w14:paraId="2D3DAC00"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4D162A24" w14:textId="77777777" w:rsidTr="000931EA">
        <w:trPr>
          <w:jc w:val="center"/>
        </w:trPr>
        <w:tc>
          <w:tcPr>
            <w:tcW w:w="4289" w:type="dxa"/>
          </w:tcPr>
          <w:p w14:paraId="3742589E" w14:textId="77777777" w:rsidR="006E1FCB" w:rsidRPr="00932561" w:rsidRDefault="006E1FCB" w:rsidP="000931EA">
            <w:pPr>
              <w:shd w:val="clear" w:color="auto" w:fill="FFFFFF"/>
              <w:spacing w:before="0"/>
              <w:ind w:left="426"/>
              <w:rPr>
                <w:rFonts w:ascii="Calibri" w:eastAsia="Times New Roman" w:hAnsi="Calibri" w:cs="Calibri"/>
                <w:lang w:eastAsia="cs-CZ"/>
              </w:rPr>
            </w:pPr>
            <w:r w:rsidRPr="00932561">
              <w:rPr>
                <w:rFonts w:ascii="Calibri" w:eastAsia="Times New Roman" w:hAnsi="Calibri" w:cs="Calibri"/>
                <w:lang w:eastAsia="cs-CZ"/>
              </w:rPr>
              <w:t>CzechInvest</w:t>
            </w:r>
          </w:p>
        </w:tc>
        <w:tc>
          <w:tcPr>
            <w:tcW w:w="1066" w:type="dxa"/>
            <w:vAlign w:val="center"/>
          </w:tcPr>
          <w:p w14:paraId="074E6B63" w14:textId="77777777" w:rsidR="006E1FCB" w:rsidRPr="00932561" w:rsidRDefault="006E1FCB" w:rsidP="000931EA">
            <w:pPr>
              <w:spacing w:before="0"/>
              <w:jc w:val="center"/>
              <w:rPr>
                <w:rFonts w:ascii="Calibri" w:eastAsia="Times New Roman" w:hAnsi="Calibri" w:cs="Calibri"/>
                <w:bCs/>
                <w:lang w:eastAsia="cs-CZ"/>
              </w:rPr>
            </w:pPr>
          </w:p>
        </w:tc>
        <w:tc>
          <w:tcPr>
            <w:tcW w:w="731" w:type="dxa"/>
            <w:vAlign w:val="center"/>
          </w:tcPr>
          <w:p w14:paraId="667A5B1A" w14:textId="77777777" w:rsidR="006E1FCB" w:rsidRPr="00932561" w:rsidRDefault="006E1FCB" w:rsidP="000931EA">
            <w:pPr>
              <w:spacing w:before="0"/>
              <w:jc w:val="center"/>
              <w:rPr>
                <w:rFonts w:ascii="Calibri" w:eastAsia="Times New Roman" w:hAnsi="Calibri" w:cs="Calibri"/>
                <w:bCs/>
                <w:lang w:eastAsia="cs-CZ"/>
              </w:rPr>
            </w:pPr>
          </w:p>
        </w:tc>
        <w:tc>
          <w:tcPr>
            <w:tcW w:w="1009" w:type="dxa"/>
            <w:vAlign w:val="center"/>
          </w:tcPr>
          <w:p w14:paraId="7F05DFBD" w14:textId="77777777" w:rsidR="006E1FCB" w:rsidRPr="00932561" w:rsidRDefault="006E1FCB" w:rsidP="000931EA">
            <w:pPr>
              <w:spacing w:before="0"/>
              <w:jc w:val="center"/>
              <w:rPr>
                <w:rFonts w:ascii="Calibri" w:eastAsia="Times New Roman" w:hAnsi="Calibri" w:cs="Calibri"/>
                <w:bCs/>
                <w:lang w:eastAsia="cs-CZ"/>
              </w:rPr>
            </w:pPr>
          </w:p>
        </w:tc>
        <w:tc>
          <w:tcPr>
            <w:tcW w:w="1077" w:type="dxa"/>
            <w:vAlign w:val="center"/>
          </w:tcPr>
          <w:p w14:paraId="1F655A10" w14:textId="77777777" w:rsidR="006E1FCB" w:rsidRPr="00932561" w:rsidRDefault="006E1FCB" w:rsidP="000931EA">
            <w:pPr>
              <w:spacing w:before="0"/>
              <w:jc w:val="center"/>
              <w:rPr>
                <w:rFonts w:ascii="Calibri" w:eastAsia="Times New Roman" w:hAnsi="Calibri" w:cs="Calibri"/>
                <w:bCs/>
                <w:lang w:eastAsia="cs-CZ"/>
              </w:rPr>
            </w:pPr>
          </w:p>
        </w:tc>
        <w:tc>
          <w:tcPr>
            <w:tcW w:w="887" w:type="dxa"/>
            <w:vAlign w:val="center"/>
          </w:tcPr>
          <w:p w14:paraId="0E3CC9CB" w14:textId="77777777" w:rsidR="006E1FCB" w:rsidRPr="00932561" w:rsidRDefault="006E1FCB" w:rsidP="000931EA">
            <w:pPr>
              <w:spacing w:before="0"/>
              <w:jc w:val="center"/>
              <w:rPr>
                <w:rFonts w:ascii="Calibri" w:eastAsia="Times New Roman" w:hAnsi="Calibri" w:cs="Calibri"/>
                <w:bCs/>
                <w:lang w:eastAsia="cs-CZ"/>
              </w:rPr>
            </w:pPr>
          </w:p>
        </w:tc>
      </w:tr>
    </w:tbl>
    <w:p w14:paraId="665B8629"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6036BFFD"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Pozemky ve Zlíně a nejbližším okolí využitelné pro podnikání jsou dle Vašeho názoru:</w:t>
      </w:r>
    </w:p>
    <w:p w14:paraId="2F7038BC" w14:textId="77777777" w:rsidR="006E1FCB" w:rsidRPr="00932561" w:rsidRDefault="006E1FCB" w:rsidP="006E1FCB">
      <w:pPr>
        <w:spacing w:before="0"/>
        <w:ind w:left="426"/>
        <w:jc w:val="left"/>
        <w:rPr>
          <w:rFonts w:ascii="Calibri" w:eastAsia="Times New Roman" w:hAnsi="Calibri" w:cs="Calibri"/>
          <w:i/>
          <w:lang w:eastAsia="cs-CZ"/>
        </w:rPr>
      </w:pPr>
      <w:r w:rsidRPr="00932561">
        <w:rPr>
          <w:rFonts w:ascii="Calibri" w:eastAsia="Times New Roman" w:hAnsi="Calibri" w:cs="Calibri"/>
          <w:i/>
          <w:lang w:eastAsia="cs-CZ"/>
        </w:rPr>
        <w:t>Odpovídejte pouze v případě, že je pro Vás otázka relevantní</w:t>
      </w:r>
    </w:p>
    <w:tbl>
      <w:tblPr>
        <w:tblW w:w="896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78"/>
        <w:gridCol w:w="404"/>
        <w:gridCol w:w="404"/>
        <w:gridCol w:w="405"/>
        <w:gridCol w:w="404"/>
        <w:gridCol w:w="405"/>
        <w:gridCol w:w="3562"/>
      </w:tblGrid>
      <w:tr w:rsidR="006E1FCB" w:rsidRPr="00932561" w14:paraId="4323ACEE" w14:textId="77777777" w:rsidTr="000931EA">
        <w:tc>
          <w:tcPr>
            <w:tcW w:w="3378" w:type="dxa"/>
          </w:tcPr>
          <w:p w14:paraId="7F3D4661"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6CC1FF61"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1</w:t>
            </w:r>
          </w:p>
        </w:tc>
        <w:tc>
          <w:tcPr>
            <w:tcW w:w="404" w:type="dxa"/>
          </w:tcPr>
          <w:p w14:paraId="696F2E16"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2</w:t>
            </w:r>
          </w:p>
        </w:tc>
        <w:tc>
          <w:tcPr>
            <w:tcW w:w="405" w:type="dxa"/>
          </w:tcPr>
          <w:p w14:paraId="6947F9F3"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3</w:t>
            </w:r>
          </w:p>
        </w:tc>
        <w:tc>
          <w:tcPr>
            <w:tcW w:w="404" w:type="dxa"/>
          </w:tcPr>
          <w:p w14:paraId="094CD811"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4</w:t>
            </w:r>
          </w:p>
        </w:tc>
        <w:tc>
          <w:tcPr>
            <w:tcW w:w="405" w:type="dxa"/>
          </w:tcPr>
          <w:p w14:paraId="6409B028"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5</w:t>
            </w:r>
          </w:p>
        </w:tc>
        <w:tc>
          <w:tcPr>
            <w:tcW w:w="3562" w:type="dxa"/>
          </w:tcPr>
          <w:p w14:paraId="62B7E045" w14:textId="77777777" w:rsidR="006E1FCB" w:rsidRPr="00932561" w:rsidRDefault="006E1FCB" w:rsidP="000931EA">
            <w:pPr>
              <w:spacing w:before="0"/>
              <w:jc w:val="left"/>
              <w:rPr>
                <w:rFonts w:ascii="Calibri" w:eastAsia="Times New Roman" w:hAnsi="Calibri" w:cs="Calibri"/>
                <w:lang w:eastAsia="cs-CZ"/>
              </w:rPr>
            </w:pPr>
          </w:p>
        </w:tc>
      </w:tr>
      <w:tr w:rsidR="006E1FCB" w:rsidRPr="00932561" w14:paraId="3A0C5EB8" w14:textId="77777777" w:rsidTr="000931EA">
        <w:tc>
          <w:tcPr>
            <w:tcW w:w="3378" w:type="dxa"/>
          </w:tcPr>
          <w:p w14:paraId="4AADF596"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špatně vybavené infrastrukturou</w:t>
            </w:r>
          </w:p>
        </w:tc>
        <w:tc>
          <w:tcPr>
            <w:tcW w:w="404" w:type="dxa"/>
          </w:tcPr>
          <w:p w14:paraId="0EB34E24"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0FC97BF8"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3FA5981C"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4EC93ACB"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18E168AC" w14:textId="77777777" w:rsidR="006E1FCB" w:rsidRPr="00932561" w:rsidRDefault="006E1FCB" w:rsidP="000931EA">
            <w:pPr>
              <w:spacing w:before="0"/>
              <w:jc w:val="left"/>
              <w:rPr>
                <w:rFonts w:ascii="Calibri" w:eastAsia="Times New Roman" w:hAnsi="Calibri" w:cs="Calibri"/>
                <w:lang w:eastAsia="cs-CZ"/>
              </w:rPr>
            </w:pPr>
          </w:p>
        </w:tc>
        <w:tc>
          <w:tcPr>
            <w:tcW w:w="3562" w:type="dxa"/>
          </w:tcPr>
          <w:p w14:paraId="1A7949AE"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dobře vybavené infrastrukturou</w:t>
            </w:r>
          </w:p>
        </w:tc>
      </w:tr>
      <w:tr w:rsidR="006E1FCB" w:rsidRPr="00932561" w14:paraId="1F4B2EF7" w14:textId="77777777" w:rsidTr="000931EA">
        <w:tc>
          <w:tcPr>
            <w:tcW w:w="3378" w:type="dxa"/>
            <w:shd w:val="clear" w:color="auto" w:fill="F2F2F2"/>
          </w:tcPr>
          <w:p w14:paraId="079A8FC4"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velmi drahé</w:t>
            </w:r>
          </w:p>
        </w:tc>
        <w:tc>
          <w:tcPr>
            <w:tcW w:w="404" w:type="dxa"/>
            <w:shd w:val="clear" w:color="auto" w:fill="F2F2F2"/>
          </w:tcPr>
          <w:p w14:paraId="4F89FA4A"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7B53C989"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5867991C"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1969A941"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058EF38A"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2F2F2"/>
          </w:tcPr>
          <w:p w14:paraId="5821AF33"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velmi levné</w:t>
            </w:r>
          </w:p>
        </w:tc>
      </w:tr>
      <w:tr w:rsidR="006E1FCB" w:rsidRPr="00932561" w14:paraId="75EC92AE" w14:textId="77777777" w:rsidTr="000931EA">
        <w:tc>
          <w:tcPr>
            <w:tcW w:w="3378" w:type="dxa"/>
          </w:tcPr>
          <w:p w14:paraId="225581BD"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nevhodně lokalizované</w:t>
            </w:r>
          </w:p>
        </w:tc>
        <w:tc>
          <w:tcPr>
            <w:tcW w:w="404" w:type="dxa"/>
          </w:tcPr>
          <w:p w14:paraId="455EF87E"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676FC287"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45869D31"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58494D12"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0F1E9770" w14:textId="77777777" w:rsidR="006E1FCB" w:rsidRPr="00932561" w:rsidRDefault="006E1FCB" w:rsidP="000931EA">
            <w:pPr>
              <w:spacing w:before="0"/>
              <w:jc w:val="left"/>
              <w:rPr>
                <w:rFonts w:ascii="Calibri" w:eastAsia="Times New Roman" w:hAnsi="Calibri" w:cs="Calibri"/>
                <w:lang w:eastAsia="cs-CZ"/>
              </w:rPr>
            </w:pPr>
          </w:p>
        </w:tc>
        <w:tc>
          <w:tcPr>
            <w:tcW w:w="3562" w:type="dxa"/>
          </w:tcPr>
          <w:p w14:paraId="23A46CBF"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vhodně lokalizované</w:t>
            </w:r>
          </w:p>
        </w:tc>
      </w:tr>
      <w:tr w:rsidR="006E1FCB" w:rsidRPr="00932561" w14:paraId="73C69D41" w14:textId="77777777" w:rsidTr="000931EA">
        <w:tc>
          <w:tcPr>
            <w:tcW w:w="3378" w:type="dxa"/>
            <w:shd w:val="clear" w:color="auto" w:fill="F2F2F2"/>
          </w:tcPr>
          <w:p w14:paraId="0FC41F5D"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 nedostatečném množství</w:t>
            </w:r>
          </w:p>
        </w:tc>
        <w:tc>
          <w:tcPr>
            <w:tcW w:w="404" w:type="dxa"/>
            <w:shd w:val="clear" w:color="auto" w:fill="F2F2F2"/>
          </w:tcPr>
          <w:p w14:paraId="71F3F9E4"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37C68821"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56612DD5"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69282808"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4494AB13"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2F2F2"/>
          </w:tcPr>
          <w:p w14:paraId="1673CE86"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 dostatečném množství</w:t>
            </w:r>
          </w:p>
        </w:tc>
      </w:tr>
      <w:tr w:rsidR="006E1FCB" w:rsidRPr="00932561" w14:paraId="065E650F" w14:textId="77777777" w:rsidTr="000931EA">
        <w:tc>
          <w:tcPr>
            <w:tcW w:w="3378" w:type="dxa"/>
            <w:shd w:val="clear" w:color="auto" w:fill="FFFFFF"/>
          </w:tcPr>
          <w:p w14:paraId="258BB7C2"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celkově nevyhovující</w:t>
            </w:r>
          </w:p>
        </w:tc>
        <w:tc>
          <w:tcPr>
            <w:tcW w:w="404" w:type="dxa"/>
            <w:shd w:val="clear" w:color="auto" w:fill="FFFFFF"/>
          </w:tcPr>
          <w:p w14:paraId="7C154BBD"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FFFFF"/>
          </w:tcPr>
          <w:p w14:paraId="58078FB0"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FFFFF"/>
          </w:tcPr>
          <w:p w14:paraId="352040DC"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FFFFF"/>
          </w:tcPr>
          <w:p w14:paraId="3164FD4F"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FFFFF"/>
          </w:tcPr>
          <w:p w14:paraId="0A567AD2"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FFFFF"/>
          </w:tcPr>
          <w:p w14:paraId="32B289D4"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celkově vyhovující</w:t>
            </w:r>
          </w:p>
        </w:tc>
      </w:tr>
    </w:tbl>
    <w:p w14:paraId="6E579829" w14:textId="77777777" w:rsidR="006E1FCB" w:rsidRPr="00932561" w:rsidRDefault="006E1FCB" w:rsidP="006E1FCB">
      <w:pPr>
        <w:spacing w:before="0"/>
        <w:jc w:val="left"/>
        <w:rPr>
          <w:rFonts w:ascii="Calibri" w:eastAsia="Times New Roman" w:hAnsi="Calibri" w:cs="Calibri"/>
          <w:i/>
          <w:lang w:eastAsia="cs-CZ"/>
        </w:rPr>
      </w:pPr>
    </w:p>
    <w:p w14:paraId="31754113"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Objekty ve Zlíně a nejbližším okolí využitelné pro podnikání jsou dle Vašeho názoru:</w:t>
      </w:r>
    </w:p>
    <w:p w14:paraId="7A4E4A32" w14:textId="77777777" w:rsidR="006E1FCB" w:rsidRPr="00932561" w:rsidRDefault="006E1FCB" w:rsidP="006E1FCB">
      <w:pPr>
        <w:spacing w:before="0"/>
        <w:ind w:left="360"/>
        <w:jc w:val="left"/>
        <w:rPr>
          <w:rFonts w:ascii="Calibri" w:eastAsia="Times New Roman" w:hAnsi="Calibri" w:cs="Calibri"/>
          <w:i/>
          <w:lang w:eastAsia="cs-CZ"/>
        </w:rPr>
      </w:pPr>
      <w:r w:rsidRPr="00932561">
        <w:rPr>
          <w:rFonts w:ascii="Calibri" w:eastAsia="Times New Roman" w:hAnsi="Calibri" w:cs="Calibri"/>
          <w:i/>
          <w:lang w:eastAsia="cs-CZ"/>
        </w:rPr>
        <w:t>Odpovídejte pouze v případě, že je pro Vás otázka relevantní</w:t>
      </w:r>
    </w:p>
    <w:tbl>
      <w:tblPr>
        <w:tblW w:w="896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78"/>
        <w:gridCol w:w="404"/>
        <w:gridCol w:w="404"/>
        <w:gridCol w:w="405"/>
        <w:gridCol w:w="404"/>
        <w:gridCol w:w="405"/>
        <w:gridCol w:w="3562"/>
      </w:tblGrid>
      <w:tr w:rsidR="006E1FCB" w:rsidRPr="00932561" w14:paraId="114AFC21" w14:textId="77777777" w:rsidTr="000931EA">
        <w:tc>
          <w:tcPr>
            <w:tcW w:w="3378" w:type="dxa"/>
            <w:shd w:val="clear" w:color="auto" w:fill="auto"/>
          </w:tcPr>
          <w:p w14:paraId="28814744"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auto"/>
          </w:tcPr>
          <w:p w14:paraId="0297D326"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1</w:t>
            </w:r>
          </w:p>
        </w:tc>
        <w:tc>
          <w:tcPr>
            <w:tcW w:w="404" w:type="dxa"/>
            <w:shd w:val="clear" w:color="auto" w:fill="auto"/>
          </w:tcPr>
          <w:p w14:paraId="158C0B4F"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2</w:t>
            </w:r>
          </w:p>
        </w:tc>
        <w:tc>
          <w:tcPr>
            <w:tcW w:w="405" w:type="dxa"/>
            <w:shd w:val="clear" w:color="auto" w:fill="auto"/>
          </w:tcPr>
          <w:p w14:paraId="389A9983"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3</w:t>
            </w:r>
          </w:p>
        </w:tc>
        <w:tc>
          <w:tcPr>
            <w:tcW w:w="404" w:type="dxa"/>
            <w:shd w:val="clear" w:color="auto" w:fill="auto"/>
          </w:tcPr>
          <w:p w14:paraId="1E000FD5"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4</w:t>
            </w:r>
          </w:p>
        </w:tc>
        <w:tc>
          <w:tcPr>
            <w:tcW w:w="405" w:type="dxa"/>
            <w:shd w:val="clear" w:color="auto" w:fill="auto"/>
          </w:tcPr>
          <w:p w14:paraId="036C1EAC"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5</w:t>
            </w:r>
          </w:p>
        </w:tc>
        <w:tc>
          <w:tcPr>
            <w:tcW w:w="3562" w:type="dxa"/>
            <w:shd w:val="clear" w:color="auto" w:fill="auto"/>
          </w:tcPr>
          <w:p w14:paraId="65E15A1D" w14:textId="77777777" w:rsidR="006E1FCB" w:rsidRPr="00932561" w:rsidRDefault="006E1FCB" w:rsidP="000931EA">
            <w:pPr>
              <w:spacing w:before="0"/>
              <w:jc w:val="left"/>
              <w:rPr>
                <w:rFonts w:ascii="Calibri" w:eastAsia="Times New Roman" w:hAnsi="Calibri" w:cs="Calibri"/>
                <w:lang w:eastAsia="cs-CZ"/>
              </w:rPr>
            </w:pPr>
          </w:p>
        </w:tc>
      </w:tr>
      <w:tr w:rsidR="006E1FCB" w:rsidRPr="00932561" w14:paraId="2F3DF2B6" w14:textId="77777777" w:rsidTr="000931EA">
        <w:tc>
          <w:tcPr>
            <w:tcW w:w="3378" w:type="dxa"/>
            <w:shd w:val="clear" w:color="auto" w:fill="F2F2F2"/>
          </w:tcPr>
          <w:p w14:paraId="04B73F8E"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velmi drahé</w:t>
            </w:r>
          </w:p>
        </w:tc>
        <w:tc>
          <w:tcPr>
            <w:tcW w:w="404" w:type="dxa"/>
            <w:shd w:val="clear" w:color="auto" w:fill="F2F2F2"/>
          </w:tcPr>
          <w:p w14:paraId="050DDB98"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7FAE01C0"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5186110B"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1F48BB39"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44434695"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2F2F2"/>
          </w:tcPr>
          <w:p w14:paraId="63F7A9E7"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velmi levné</w:t>
            </w:r>
          </w:p>
        </w:tc>
      </w:tr>
      <w:tr w:rsidR="006E1FCB" w:rsidRPr="00932561" w14:paraId="06C7D303" w14:textId="77777777" w:rsidTr="000931EA">
        <w:tc>
          <w:tcPr>
            <w:tcW w:w="3378" w:type="dxa"/>
          </w:tcPr>
          <w:p w14:paraId="76950A41"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nevhodně lokalizované</w:t>
            </w:r>
          </w:p>
        </w:tc>
        <w:tc>
          <w:tcPr>
            <w:tcW w:w="404" w:type="dxa"/>
          </w:tcPr>
          <w:p w14:paraId="4EB74D28"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6917E6F3"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5503D5F0"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0F3333FA"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3A5DC4DA" w14:textId="77777777" w:rsidR="006E1FCB" w:rsidRPr="00932561" w:rsidRDefault="006E1FCB" w:rsidP="000931EA">
            <w:pPr>
              <w:spacing w:before="0"/>
              <w:jc w:val="left"/>
              <w:rPr>
                <w:rFonts w:ascii="Calibri" w:eastAsia="Times New Roman" w:hAnsi="Calibri" w:cs="Calibri"/>
                <w:lang w:eastAsia="cs-CZ"/>
              </w:rPr>
            </w:pPr>
          </w:p>
        </w:tc>
        <w:tc>
          <w:tcPr>
            <w:tcW w:w="3562" w:type="dxa"/>
          </w:tcPr>
          <w:p w14:paraId="3A55C087"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vhodně lokalizované</w:t>
            </w:r>
          </w:p>
        </w:tc>
      </w:tr>
      <w:tr w:rsidR="006E1FCB" w:rsidRPr="00932561" w14:paraId="4CD5E59C" w14:textId="77777777" w:rsidTr="000931EA">
        <w:tc>
          <w:tcPr>
            <w:tcW w:w="3378" w:type="dxa"/>
            <w:shd w:val="clear" w:color="auto" w:fill="F2F2F2"/>
          </w:tcPr>
          <w:p w14:paraId="3AF6D702"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 nedostatečném množství</w:t>
            </w:r>
          </w:p>
        </w:tc>
        <w:tc>
          <w:tcPr>
            <w:tcW w:w="404" w:type="dxa"/>
            <w:shd w:val="clear" w:color="auto" w:fill="F2F2F2"/>
          </w:tcPr>
          <w:p w14:paraId="2AA3350E"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52371EF2"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27AB00FC"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66517991"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5EB1AE74"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2F2F2"/>
          </w:tcPr>
          <w:p w14:paraId="617E7EDE"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 dostatečném množství</w:t>
            </w:r>
          </w:p>
        </w:tc>
      </w:tr>
      <w:tr w:rsidR="006E1FCB" w:rsidRPr="00932561" w14:paraId="3FE03D60" w14:textId="77777777" w:rsidTr="000931EA">
        <w:tc>
          <w:tcPr>
            <w:tcW w:w="3378" w:type="dxa"/>
            <w:shd w:val="clear" w:color="auto" w:fill="FFFFFF"/>
          </w:tcPr>
          <w:p w14:paraId="44D67F24"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celkově nevyhovující</w:t>
            </w:r>
          </w:p>
        </w:tc>
        <w:tc>
          <w:tcPr>
            <w:tcW w:w="404" w:type="dxa"/>
            <w:shd w:val="clear" w:color="auto" w:fill="FFFFFF"/>
          </w:tcPr>
          <w:p w14:paraId="73D87060"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FFFFF"/>
          </w:tcPr>
          <w:p w14:paraId="515C0D15"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FFFFF"/>
          </w:tcPr>
          <w:p w14:paraId="536EC25C"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FFFFF"/>
          </w:tcPr>
          <w:p w14:paraId="5B231431"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FFFFF"/>
          </w:tcPr>
          <w:p w14:paraId="6BCA94A8"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FFFFF"/>
          </w:tcPr>
          <w:p w14:paraId="55B5F0B5"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celkově vyhovující</w:t>
            </w:r>
          </w:p>
        </w:tc>
      </w:tr>
    </w:tbl>
    <w:p w14:paraId="189F5BC0" w14:textId="77777777" w:rsidR="006E1FCB" w:rsidRPr="00932561" w:rsidRDefault="006E1FCB" w:rsidP="006E1FCB">
      <w:pPr>
        <w:spacing w:before="0"/>
        <w:jc w:val="left"/>
        <w:rPr>
          <w:rFonts w:ascii="Calibri" w:eastAsia="Times New Roman" w:hAnsi="Calibri" w:cs="Calibri"/>
          <w:lang w:eastAsia="cs-CZ"/>
        </w:rPr>
      </w:pPr>
    </w:p>
    <w:p w14:paraId="348FA05B"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Kancelářské prostory ve Zlíně a nejbližším okolí využitelné pro podnikání jsou dle Vašeho názoru:</w:t>
      </w:r>
    </w:p>
    <w:p w14:paraId="0507811A" w14:textId="77777777" w:rsidR="006E1FCB" w:rsidRPr="00932561" w:rsidRDefault="006E1FCB" w:rsidP="006E1FCB">
      <w:pPr>
        <w:spacing w:before="0"/>
        <w:ind w:left="360"/>
        <w:jc w:val="left"/>
        <w:rPr>
          <w:rFonts w:ascii="Calibri" w:eastAsia="Times New Roman" w:hAnsi="Calibri" w:cs="Calibri"/>
          <w:i/>
          <w:lang w:eastAsia="cs-CZ"/>
        </w:rPr>
      </w:pPr>
      <w:r w:rsidRPr="00932561">
        <w:rPr>
          <w:rFonts w:ascii="Calibri" w:eastAsia="Times New Roman" w:hAnsi="Calibri" w:cs="Calibri"/>
          <w:i/>
          <w:lang w:eastAsia="cs-CZ"/>
        </w:rPr>
        <w:t>Odpovídejte pouze v případě, že je pro Vás otázka relevantní</w:t>
      </w:r>
    </w:p>
    <w:tbl>
      <w:tblPr>
        <w:tblW w:w="896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78"/>
        <w:gridCol w:w="404"/>
        <w:gridCol w:w="404"/>
        <w:gridCol w:w="405"/>
        <w:gridCol w:w="404"/>
        <w:gridCol w:w="405"/>
        <w:gridCol w:w="3562"/>
      </w:tblGrid>
      <w:tr w:rsidR="006E1FCB" w:rsidRPr="00932561" w14:paraId="1B8B7A15" w14:textId="77777777" w:rsidTr="000931EA">
        <w:tc>
          <w:tcPr>
            <w:tcW w:w="3378" w:type="dxa"/>
          </w:tcPr>
          <w:p w14:paraId="0BF08536"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25331607"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1</w:t>
            </w:r>
          </w:p>
        </w:tc>
        <w:tc>
          <w:tcPr>
            <w:tcW w:w="404" w:type="dxa"/>
          </w:tcPr>
          <w:p w14:paraId="33E0C0DE"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2</w:t>
            </w:r>
          </w:p>
        </w:tc>
        <w:tc>
          <w:tcPr>
            <w:tcW w:w="405" w:type="dxa"/>
          </w:tcPr>
          <w:p w14:paraId="5053D293"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3</w:t>
            </w:r>
          </w:p>
        </w:tc>
        <w:tc>
          <w:tcPr>
            <w:tcW w:w="404" w:type="dxa"/>
          </w:tcPr>
          <w:p w14:paraId="3AC227A5"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4</w:t>
            </w:r>
          </w:p>
        </w:tc>
        <w:tc>
          <w:tcPr>
            <w:tcW w:w="405" w:type="dxa"/>
          </w:tcPr>
          <w:p w14:paraId="4577C167"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5</w:t>
            </w:r>
          </w:p>
        </w:tc>
        <w:tc>
          <w:tcPr>
            <w:tcW w:w="3562" w:type="dxa"/>
          </w:tcPr>
          <w:p w14:paraId="1E436BCE" w14:textId="77777777" w:rsidR="006E1FCB" w:rsidRPr="00932561" w:rsidRDefault="006E1FCB" w:rsidP="000931EA">
            <w:pPr>
              <w:spacing w:before="0"/>
              <w:jc w:val="left"/>
              <w:rPr>
                <w:rFonts w:ascii="Calibri" w:eastAsia="Times New Roman" w:hAnsi="Calibri" w:cs="Calibri"/>
                <w:lang w:eastAsia="cs-CZ"/>
              </w:rPr>
            </w:pPr>
          </w:p>
        </w:tc>
      </w:tr>
      <w:tr w:rsidR="006E1FCB" w:rsidRPr="00932561" w14:paraId="1F9D8E16" w14:textId="77777777" w:rsidTr="000931EA">
        <w:tc>
          <w:tcPr>
            <w:tcW w:w="3378" w:type="dxa"/>
          </w:tcPr>
          <w:p w14:paraId="50D72C9A"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vysoká kvalita kancelářských prostor</w:t>
            </w:r>
          </w:p>
        </w:tc>
        <w:tc>
          <w:tcPr>
            <w:tcW w:w="404" w:type="dxa"/>
          </w:tcPr>
          <w:p w14:paraId="69D6F9E4"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773D99E2"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11456F30"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2FC7301F"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078DEB22" w14:textId="77777777" w:rsidR="006E1FCB" w:rsidRPr="00932561" w:rsidRDefault="006E1FCB" w:rsidP="000931EA">
            <w:pPr>
              <w:spacing w:before="0"/>
              <w:jc w:val="left"/>
              <w:rPr>
                <w:rFonts w:ascii="Calibri" w:eastAsia="Times New Roman" w:hAnsi="Calibri" w:cs="Calibri"/>
                <w:lang w:eastAsia="cs-CZ"/>
              </w:rPr>
            </w:pPr>
          </w:p>
        </w:tc>
        <w:tc>
          <w:tcPr>
            <w:tcW w:w="3562" w:type="dxa"/>
          </w:tcPr>
          <w:p w14:paraId="6A8230F8"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nízká kvalita kancelářských prostor</w:t>
            </w:r>
          </w:p>
        </w:tc>
      </w:tr>
      <w:tr w:rsidR="006E1FCB" w:rsidRPr="00932561" w14:paraId="306B22FD" w14:textId="77777777" w:rsidTr="000931EA">
        <w:tc>
          <w:tcPr>
            <w:tcW w:w="3378" w:type="dxa"/>
            <w:shd w:val="clear" w:color="auto" w:fill="F2F2F2"/>
          </w:tcPr>
          <w:p w14:paraId="7A609C5C"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velmi drahé</w:t>
            </w:r>
          </w:p>
        </w:tc>
        <w:tc>
          <w:tcPr>
            <w:tcW w:w="404" w:type="dxa"/>
            <w:shd w:val="clear" w:color="auto" w:fill="F2F2F2"/>
          </w:tcPr>
          <w:p w14:paraId="675B625E"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37D98E2F"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30307957"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4EABD765"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317320E6"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2F2F2"/>
          </w:tcPr>
          <w:p w14:paraId="28C1DDEA"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velmi levné</w:t>
            </w:r>
          </w:p>
        </w:tc>
      </w:tr>
      <w:tr w:rsidR="006E1FCB" w:rsidRPr="00932561" w14:paraId="3FA156C1" w14:textId="77777777" w:rsidTr="000931EA">
        <w:tc>
          <w:tcPr>
            <w:tcW w:w="3378" w:type="dxa"/>
          </w:tcPr>
          <w:p w14:paraId="192A1A9B"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nevhodně lokalizované</w:t>
            </w:r>
          </w:p>
        </w:tc>
        <w:tc>
          <w:tcPr>
            <w:tcW w:w="404" w:type="dxa"/>
          </w:tcPr>
          <w:p w14:paraId="7F4B65DA"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0A8F4938"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35F8A7E9" w14:textId="77777777" w:rsidR="006E1FCB" w:rsidRPr="00932561" w:rsidRDefault="006E1FCB" w:rsidP="000931EA">
            <w:pPr>
              <w:spacing w:before="0"/>
              <w:jc w:val="left"/>
              <w:rPr>
                <w:rFonts w:ascii="Calibri" w:eastAsia="Times New Roman" w:hAnsi="Calibri" w:cs="Calibri"/>
                <w:lang w:eastAsia="cs-CZ"/>
              </w:rPr>
            </w:pPr>
          </w:p>
        </w:tc>
        <w:tc>
          <w:tcPr>
            <w:tcW w:w="404" w:type="dxa"/>
          </w:tcPr>
          <w:p w14:paraId="1F4E62D3" w14:textId="77777777" w:rsidR="006E1FCB" w:rsidRPr="00932561" w:rsidRDefault="006E1FCB" w:rsidP="000931EA">
            <w:pPr>
              <w:spacing w:before="0"/>
              <w:jc w:val="left"/>
              <w:rPr>
                <w:rFonts w:ascii="Calibri" w:eastAsia="Times New Roman" w:hAnsi="Calibri" w:cs="Calibri"/>
                <w:lang w:eastAsia="cs-CZ"/>
              </w:rPr>
            </w:pPr>
          </w:p>
        </w:tc>
        <w:tc>
          <w:tcPr>
            <w:tcW w:w="405" w:type="dxa"/>
          </w:tcPr>
          <w:p w14:paraId="1D31EF94" w14:textId="77777777" w:rsidR="006E1FCB" w:rsidRPr="00932561" w:rsidRDefault="006E1FCB" w:rsidP="000931EA">
            <w:pPr>
              <w:spacing w:before="0"/>
              <w:jc w:val="left"/>
              <w:rPr>
                <w:rFonts w:ascii="Calibri" w:eastAsia="Times New Roman" w:hAnsi="Calibri" w:cs="Calibri"/>
                <w:lang w:eastAsia="cs-CZ"/>
              </w:rPr>
            </w:pPr>
          </w:p>
        </w:tc>
        <w:tc>
          <w:tcPr>
            <w:tcW w:w="3562" w:type="dxa"/>
          </w:tcPr>
          <w:p w14:paraId="1FC0B9B7"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vhodně lokalizované</w:t>
            </w:r>
          </w:p>
        </w:tc>
      </w:tr>
      <w:tr w:rsidR="006E1FCB" w:rsidRPr="00932561" w14:paraId="1264859A" w14:textId="77777777" w:rsidTr="000931EA">
        <w:tc>
          <w:tcPr>
            <w:tcW w:w="3378" w:type="dxa"/>
            <w:shd w:val="clear" w:color="auto" w:fill="F2F2F2"/>
          </w:tcPr>
          <w:p w14:paraId="2B8A0993"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 nedostatečném množství</w:t>
            </w:r>
          </w:p>
        </w:tc>
        <w:tc>
          <w:tcPr>
            <w:tcW w:w="404" w:type="dxa"/>
            <w:shd w:val="clear" w:color="auto" w:fill="F2F2F2"/>
          </w:tcPr>
          <w:p w14:paraId="699E0F9C"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6FC9D140"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2C6D6E93"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2F2F2"/>
          </w:tcPr>
          <w:p w14:paraId="7D37CDA6"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2F2F2"/>
          </w:tcPr>
          <w:p w14:paraId="60D947BF"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2F2F2"/>
          </w:tcPr>
          <w:p w14:paraId="0AA260B4"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v dostatečném množství</w:t>
            </w:r>
          </w:p>
        </w:tc>
      </w:tr>
      <w:tr w:rsidR="006E1FCB" w:rsidRPr="00932561" w14:paraId="348E9616" w14:textId="77777777" w:rsidTr="000931EA">
        <w:tc>
          <w:tcPr>
            <w:tcW w:w="3378" w:type="dxa"/>
            <w:shd w:val="clear" w:color="auto" w:fill="FFFFFF"/>
          </w:tcPr>
          <w:p w14:paraId="35661EDE"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celkově nevyhovující</w:t>
            </w:r>
          </w:p>
        </w:tc>
        <w:tc>
          <w:tcPr>
            <w:tcW w:w="404" w:type="dxa"/>
            <w:shd w:val="clear" w:color="auto" w:fill="FFFFFF"/>
          </w:tcPr>
          <w:p w14:paraId="29BAEDC9"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FFFFF"/>
          </w:tcPr>
          <w:p w14:paraId="03410846"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FFFFF"/>
          </w:tcPr>
          <w:p w14:paraId="70E70725" w14:textId="77777777" w:rsidR="006E1FCB" w:rsidRPr="00932561" w:rsidRDefault="006E1FCB" w:rsidP="000931EA">
            <w:pPr>
              <w:spacing w:before="0"/>
              <w:jc w:val="left"/>
              <w:rPr>
                <w:rFonts w:ascii="Calibri" w:eastAsia="Times New Roman" w:hAnsi="Calibri" w:cs="Calibri"/>
                <w:lang w:eastAsia="cs-CZ"/>
              </w:rPr>
            </w:pPr>
          </w:p>
        </w:tc>
        <w:tc>
          <w:tcPr>
            <w:tcW w:w="404" w:type="dxa"/>
            <w:shd w:val="clear" w:color="auto" w:fill="FFFFFF"/>
          </w:tcPr>
          <w:p w14:paraId="6A0A0C9A" w14:textId="77777777" w:rsidR="006E1FCB" w:rsidRPr="00932561" w:rsidRDefault="006E1FCB" w:rsidP="000931EA">
            <w:pPr>
              <w:spacing w:before="0"/>
              <w:jc w:val="left"/>
              <w:rPr>
                <w:rFonts w:ascii="Calibri" w:eastAsia="Times New Roman" w:hAnsi="Calibri" w:cs="Calibri"/>
                <w:lang w:eastAsia="cs-CZ"/>
              </w:rPr>
            </w:pPr>
          </w:p>
        </w:tc>
        <w:tc>
          <w:tcPr>
            <w:tcW w:w="405" w:type="dxa"/>
            <w:shd w:val="clear" w:color="auto" w:fill="FFFFFF"/>
          </w:tcPr>
          <w:p w14:paraId="1E9271F3" w14:textId="77777777" w:rsidR="006E1FCB" w:rsidRPr="00932561" w:rsidRDefault="006E1FCB" w:rsidP="000931EA">
            <w:pPr>
              <w:spacing w:before="0"/>
              <w:jc w:val="left"/>
              <w:rPr>
                <w:rFonts w:ascii="Calibri" w:eastAsia="Times New Roman" w:hAnsi="Calibri" w:cs="Calibri"/>
                <w:lang w:eastAsia="cs-CZ"/>
              </w:rPr>
            </w:pPr>
          </w:p>
        </w:tc>
        <w:tc>
          <w:tcPr>
            <w:tcW w:w="3562" w:type="dxa"/>
            <w:shd w:val="clear" w:color="auto" w:fill="FFFFFF"/>
          </w:tcPr>
          <w:p w14:paraId="732A305F" w14:textId="77777777" w:rsidR="006E1FCB" w:rsidRPr="00932561" w:rsidRDefault="006E1FCB" w:rsidP="000931EA">
            <w:pPr>
              <w:spacing w:before="0"/>
              <w:jc w:val="left"/>
              <w:rPr>
                <w:rFonts w:ascii="Calibri" w:eastAsia="Times New Roman" w:hAnsi="Calibri" w:cs="Calibri"/>
                <w:lang w:eastAsia="cs-CZ"/>
              </w:rPr>
            </w:pPr>
            <w:r w:rsidRPr="00932561">
              <w:rPr>
                <w:rFonts w:ascii="Calibri" w:eastAsia="Times New Roman" w:hAnsi="Calibri" w:cs="Calibri"/>
                <w:lang w:eastAsia="cs-CZ"/>
              </w:rPr>
              <w:t>celkově vyhovující</w:t>
            </w:r>
          </w:p>
        </w:tc>
      </w:tr>
    </w:tbl>
    <w:p w14:paraId="5D20A148"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47D83873"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Vaše další poznatky ohledně pozemků, objektů, kancelářských prostor ve Zlíně a nejbližším okolí využitelných pro podnikání:</w:t>
      </w:r>
      <w:r w:rsidRPr="00932561">
        <w:rPr>
          <w:rFonts w:ascii="Calibri" w:eastAsia="Times New Roman" w:hAnsi="Calibri" w:cs="Calibri"/>
          <w:b/>
          <w:noProof/>
          <w:lang w:eastAsia="cs-CZ"/>
        </w:rPr>
        <mc:AlternateContent>
          <mc:Choice Requires="wps">
            <w:drawing>
              <wp:anchor distT="45720" distB="45720" distL="114300" distR="114300" simplePos="0" relativeHeight="251701248" behindDoc="0" locked="0" layoutInCell="1" allowOverlap="1" wp14:anchorId="6B55F208" wp14:editId="5B330175">
                <wp:simplePos x="0" y="0"/>
                <wp:positionH relativeFrom="margin">
                  <wp:posOffset>0</wp:posOffset>
                </wp:positionH>
                <wp:positionV relativeFrom="paragraph">
                  <wp:posOffset>397510</wp:posOffset>
                </wp:positionV>
                <wp:extent cx="5734050" cy="828675"/>
                <wp:effectExtent l="0" t="0" r="19050" b="28575"/>
                <wp:wrapSquare wrapText="bothSides"/>
                <wp:docPr id="8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28675"/>
                        </a:xfrm>
                        <a:prstGeom prst="rect">
                          <a:avLst/>
                        </a:prstGeom>
                        <a:solidFill>
                          <a:srgbClr val="FFFFFF"/>
                        </a:solidFill>
                        <a:ln w="9525">
                          <a:solidFill>
                            <a:srgbClr val="000000"/>
                          </a:solidFill>
                          <a:miter lim="800000"/>
                          <a:headEnd/>
                          <a:tailEnd/>
                        </a:ln>
                      </wps:spPr>
                      <wps:txbx>
                        <w:txbxContent>
                          <w:p w14:paraId="3410F397"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5F208" id="_x0000_s1033" type="#_x0000_t202" style="position:absolute;left:0;text-align:left;margin-left:0;margin-top:31.3pt;width:451.5pt;height:65.2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">
                <v:textbox>
                  <w:txbxContent>
                    <w:p w14:paraId="3410F397" w14:textId="77777777" w:rsidR="00332A29" w:rsidRDefault="00332A29" w:rsidP="006E1FCB"/>
                  </w:txbxContent>
                </v:textbox>
                <w10:wrap type="square" anchorx="margin"/>
              </v:shape>
            </w:pict>
          </mc:Fallback>
        </mc:AlternateContent>
      </w:r>
    </w:p>
    <w:p w14:paraId="4CFA5FD4" w14:textId="77777777" w:rsidR="006E1FCB" w:rsidRPr="00932561" w:rsidRDefault="006E1FCB" w:rsidP="006E1FCB">
      <w:pPr>
        <w:spacing w:before="0"/>
        <w:jc w:val="center"/>
        <w:rPr>
          <w:rFonts w:ascii="Calibri" w:eastAsia="Times New Roman" w:hAnsi="Calibri" w:cs="Calibri"/>
          <w:b/>
          <w:lang w:eastAsia="cs-CZ"/>
        </w:rPr>
      </w:pPr>
    </w:p>
    <w:p w14:paraId="3C3B2FDE" w14:textId="77777777" w:rsidR="006E1FCB" w:rsidRPr="00932561" w:rsidRDefault="006E1FCB" w:rsidP="006E1FCB">
      <w:pPr>
        <w:shd w:val="clear" w:color="auto" w:fill="D9D9D9"/>
        <w:spacing w:before="0"/>
        <w:jc w:val="center"/>
        <w:rPr>
          <w:rFonts w:ascii="Calibri" w:eastAsia="Times New Roman" w:hAnsi="Calibri" w:cs="Calibri"/>
          <w:b/>
          <w:lang w:eastAsia="cs-CZ"/>
        </w:rPr>
      </w:pPr>
      <w:r w:rsidRPr="00932561">
        <w:rPr>
          <w:rFonts w:ascii="Calibri" w:eastAsia="Times New Roman" w:hAnsi="Calibri" w:cs="Calibri"/>
          <w:b/>
          <w:lang w:eastAsia="cs-CZ"/>
        </w:rPr>
        <w:t>Hodnocení vlastního podnikání</w:t>
      </w:r>
    </w:p>
    <w:p w14:paraId="45A8280C"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5F152A60"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 xml:space="preserve"> Dodavatelská orientace </w:t>
      </w:r>
    </w:p>
    <w:tbl>
      <w:tblPr>
        <w:tblStyle w:val="Prosttabulka11"/>
        <w:tblW w:w="0" w:type="auto"/>
        <w:tblLook w:val="04A0" w:firstRow="1" w:lastRow="0" w:firstColumn="1" w:lastColumn="0" w:noHBand="0" w:noVBand="1"/>
      </w:tblPr>
      <w:tblGrid>
        <w:gridCol w:w="1543"/>
        <w:gridCol w:w="1545"/>
        <w:gridCol w:w="1506"/>
        <w:gridCol w:w="1598"/>
        <w:gridCol w:w="1384"/>
        <w:gridCol w:w="1486"/>
      </w:tblGrid>
      <w:tr w:rsidR="006E1FCB" w:rsidRPr="00932561" w14:paraId="004F4184" w14:textId="77777777" w:rsidTr="0009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dxa"/>
          </w:tcPr>
          <w:p w14:paraId="4A0792CB" w14:textId="77777777" w:rsidR="006E1FCB" w:rsidRPr="00932561" w:rsidRDefault="006E1FCB" w:rsidP="000931EA">
            <w:pPr>
              <w:spacing w:before="0"/>
              <w:jc w:val="left"/>
              <w:rPr>
                <w:rFonts w:ascii="Calibri" w:hAnsi="Calibri" w:cs="Calibri"/>
              </w:rPr>
            </w:pPr>
          </w:p>
        </w:tc>
        <w:tc>
          <w:tcPr>
            <w:tcW w:w="1545" w:type="dxa"/>
            <w:vAlign w:val="center"/>
          </w:tcPr>
          <w:p w14:paraId="1F97617F"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Zlínský kraj</w:t>
            </w:r>
          </w:p>
        </w:tc>
        <w:tc>
          <w:tcPr>
            <w:tcW w:w="1506" w:type="dxa"/>
            <w:vAlign w:val="center"/>
          </w:tcPr>
          <w:p w14:paraId="0D840042"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Jinde v ČR</w:t>
            </w:r>
          </w:p>
        </w:tc>
        <w:tc>
          <w:tcPr>
            <w:tcW w:w="1598" w:type="dxa"/>
            <w:vAlign w:val="center"/>
          </w:tcPr>
          <w:p w14:paraId="1C0AA385"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EU+EFTA</w:t>
            </w:r>
          </w:p>
        </w:tc>
        <w:tc>
          <w:tcPr>
            <w:tcW w:w="1384" w:type="dxa"/>
            <w:vAlign w:val="center"/>
          </w:tcPr>
          <w:p w14:paraId="5F2FD9FD"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Ostatní Evropa</w:t>
            </w:r>
          </w:p>
        </w:tc>
        <w:tc>
          <w:tcPr>
            <w:tcW w:w="1486" w:type="dxa"/>
            <w:vAlign w:val="center"/>
          </w:tcPr>
          <w:p w14:paraId="49CAB359"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Zbytek světa</w:t>
            </w:r>
          </w:p>
        </w:tc>
      </w:tr>
      <w:tr w:rsidR="006E1FCB" w:rsidRPr="00932561" w14:paraId="6A2EBD7D"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dxa"/>
          </w:tcPr>
          <w:p w14:paraId="7B9112CE" w14:textId="77777777" w:rsidR="006E1FCB" w:rsidRPr="00932561" w:rsidRDefault="006E1FCB" w:rsidP="000931EA">
            <w:pPr>
              <w:spacing w:before="0"/>
              <w:jc w:val="left"/>
              <w:rPr>
                <w:rFonts w:ascii="Calibri" w:hAnsi="Calibri" w:cs="Calibri"/>
              </w:rPr>
            </w:pPr>
            <w:r w:rsidRPr="00932561">
              <w:rPr>
                <w:rFonts w:ascii="Calibri" w:hAnsi="Calibri" w:cs="Calibri"/>
              </w:rPr>
              <w:t>Vyplňte podíl Vašich dodavatelů v % dle místa jejich výskytu</w:t>
            </w:r>
          </w:p>
        </w:tc>
        <w:tc>
          <w:tcPr>
            <w:tcW w:w="1545" w:type="dxa"/>
          </w:tcPr>
          <w:p w14:paraId="078B6F56"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506" w:type="dxa"/>
          </w:tcPr>
          <w:p w14:paraId="0B3AF9E8"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598" w:type="dxa"/>
          </w:tcPr>
          <w:p w14:paraId="7091ED94"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384" w:type="dxa"/>
          </w:tcPr>
          <w:p w14:paraId="29543EBA"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486" w:type="dxa"/>
          </w:tcPr>
          <w:p w14:paraId="1FF73812"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bl>
    <w:p w14:paraId="1E285208" w14:textId="77777777" w:rsidR="006E1FCB" w:rsidRPr="00932561" w:rsidRDefault="006E1FCB" w:rsidP="006E1FCB">
      <w:pPr>
        <w:spacing w:before="0" w:line="360" w:lineRule="auto"/>
        <w:jc w:val="left"/>
        <w:rPr>
          <w:rFonts w:ascii="Calibri" w:eastAsia="Times New Roman" w:hAnsi="Calibri" w:cs="Calibri"/>
          <w:lang w:eastAsia="cs-CZ"/>
        </w:rPr>
      </w:pPr>
    </w:p>
    <w:p w14:paraId="0BDFCCC9"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 xml:space="preserve"> Exportní orientace </w:t>
      </w:r>
    </w:p>
    <w:tbl>
      <w:tblPr>
        <w:tblStyle w:val="Prosttabulka11"/>
        <w:tblW w:w="0" w:type="auto"/>
        <w:tblLook w:val="04A0" w:firstRow="1" w:lastRow="0" w:firstColumn="1" w:lastColumn="0" w:noHBand="0" w:noVBand="1"/>
      </w:tblPr>
      <w:tblGrid>
        <w:gridCol w:w="1543"/>
        <w:gridCol w:w="1545"/>
        <w:gridCol w:w="1506"/>
        <w:gridCol w:w="1598"/>
        <w:gridCol w:w="1384"/>
        <w:gridCol w:w="1486"/>
      </w:tblGrid>
      <w:tr w:rsidR="006E1FCB" w:rsidRPr="00932561" w14:paraId="5DECE54D" w14:textId="77777777" w:rsidTr="0009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dxa"/>
          </w:tcPr>
          <w:p w14:paraId="23BFE043" w14:textId="77777777" w:rsidR="006E1FCB" w:rsidRPr="00932561" w:rsidRDefault="006E1FCB" w:rsidP="000931EA">
            <w:pPr>
              <w:spacing w:before="0"/>
              <w:jc w:val="left"/>
              <w:rPr>
                <w:rFonts w:ascii="Calibri" w:hAnsi="Calibri" w:cs="Calibri"/>
              </w:rPr>
            </w:pPr>
          </w:p>
        </w:tc>
        <w:tc>
          <w:tcPr>
            <w:tcW w:w="1545" w:type="dxa"/>
            <w:vAlign w:val="center"/>
          </w:tcPr>
          <w:p w14:paraId="130B2862"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Zlínský kraj</w:t>
            </w:r>
          </w:p>
        </w:tc>
        <w:tc>
          <w:tcPr>
            <w:tcW w:w="1506" w:type="dxa"/>
            <w:vAlign w:val="center"/>
          </w:tcPr>
          <w:p w14:paraId="2E18FA5D"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Jinde v ČR</w:t>
            </w:r>
          </w:p>
        </w:tc>
        <w:tc>
          <w:tcPr>
            <w:tcW w:w="1598" w:type="dxa"/>
            <w:vAlign w:val="center"/>
          </w:tcPr>
          <w:p w14:paraId="0F49958F"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EU+EFTA</w:t>
            </w:r>
          </w:p>
        </w:tc>
        <w:tc>
          <w:tcPr>
            <w:tcW w:w="1384" w:type="dxa"/>
            <w:vAlign w:val="center"/>
          </w:tcPr>
          <w:p w14:paraId="14FB4546"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Ostatní Evropa</w:t>
            </w:r>
          </w:p>
        </w:tc>
        <w:tc>
          <w:tcPr>
            <w:tcW w:w="1486" w:type="dxa"/>
            <w:vAlign w:val="center"/>
          </w:tcPr>
          <w:p w14:paraId="069D5C5C"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Zbytek světa</w:t>
            </w:r>
          </w:p>
        </w:tc>
      </w:tr>
      <w:tr w:rsidR="006E1FCB" w:rsidRPr="00932561" w14:paraId="604DECF7"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dxa"/>
          </w:tcPr>
          <w:p w14:paraId="6425976F" w14:textId="77777777" w:rsidR="006E1FCB" w:rsidRPr="00932561" w:rsidRDefault="006E1FCB" w:rsidP="000931EA">
            <w:pPr>
              <w:spacing w:before="0"/>
              <w:jc w:val="left"/>
              <w:rPr>
                <w:rFonts w:ascii="Calibri" w:hAnsi="Calibri" w:cs="Calibri"/>
              </w:rPr>
            </w:pPr>
            <w:r w:rsidRPr="00932561">
              <w:rPr>
                <w:rFonts w:ascii="Calibri" w:hAnsi="Calibri" w:cs="Calibri"/>
              </w:rPr>
              <w:t>Vyplňte podíl tržeb v % odběratelů</w:t>
            </w:r>
          </w:p>
        </w:tc>
        <w:tc>
          <w:tcPr>
            <w:tcW w:w="1545" w:type="dxa"/>
          </w:tcPr>
          <w:p w14:paraId="112F5CB6"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506" w:type="dxa"/>
          </w:tcPr>
          <w:p w14:paraId="61046E5C"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598" w:type="dxa"/>
          </w:tcPr>
          <w:p w14:paraId="020A9AC3"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384" w:type="dxa"/>
          </w:tcPr>
          <w:p w14:paraId="6BDFEE6C"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486" w:type="dxa"/>
          </w:tcPr>
          <w:p w14:paraId="08CA9F4C" w14:textId="77777777" w:rsidR="006E1FCB" w:rsidRPr="00932561" w:rsidRDefault="006E1FCB" w:rsidP="000931EA">
            <w:pPr>
              <w:spacing w:before="0"/>
              <w:jc w:val="left"/>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bl>
    <w:p w14:paraId="2888AF13" w14:textId="77777777" w:rsidR="006E1FCB" w:rsidRPr="00932561" w:rsidRDefault="006E1FCB" w:rsidP="006E1FCB">
      <w:pPr>
        <w:spacing w:before="0"/>
        <w:jc w:val="left"/>
        <w:rPr>
          <w:rFonts w:ascii="Times New Roman" w:eastAsia="Times New Roman" w:hAnsi="Times New Roman" w:cs="Times New Roman"/>
          <w:sz w:val="24"/>
          <w:szCs w:val="24"/>
          <w:lang w:eastAsia="cs-CZ"/>
        </w:rPr>
      </w:pPr>
    </w:p>
    <w:p w14:paraId="1EB14299" w14:textId="77777777" w:rsidR="006E1FCB" w:rsidRPr="00932561" w:rsidRDefault="006E1FCB" w:rsidP="00A55F7D">
      <w:pPr>
        <w:keepNext/>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 xml:space="preserve"> Nemovitosti a investice</w:t>
      </w:r>
    </w:p>
    <w:tbl>
      <w:tblPr>
        <w:tblStyle w:val="Prosttabulka11"/>
        <w:tblW w:w="9062" w:type="dxa"/>
        <w:tblLook w:val="04A0" w:firstRow="1" w:lastRow="0" w:firstColumn="1" w:lastColumn="0" w:noHBand="0" w:noVBand="1"/>
      </w:tblPr>
      <w:tblGrid>
        <w:gridCol w:w="4638"/>
        <w:gridCol w:w="945"/>
        <w:gridCol w:w="1392"/>
        <w:gridCol w:w="1058"/>
        <w:gridCol w:w="1029"/>
      </w:tblGrid>
      <w:tr w:rsidR="006E1FCB" w:rsidRPr="00932561" w14:paraId="02A88519" w14:textId="77777777" w:rsidTr="0009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8" w:type="dxa"/>
            <w:vAlign w:val="center"/>
          </w:tcPr>
          <w:p w14:paraId="1154A121" w14:textId="77777777" w:rsidR="006E1FCB" w:rsidRPr="00932561" w:rsidRDefault="006E1FCB" w:rsidP="000931EA">
            <w:pPr>
              <w:spacing w:before="0"/>
              <w:jc w:val="center"/>
              <w:rPr>
                <w:rFonts w:ascii="Calibri" w:hAnsi="Calibri" w:cs="Calibri"/>
              </w:rPr>
            </w:pPr>
          </w:p>
        </w:tc>
        <w:tc>
          <w:tcPr>
            <w:tcW w:w="945" w:type="dxa"/>
            <w:vAlign w:val="center"/>
          </w:tcPr>
          <w:p w14:paraId="76B635A5"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Ano</w:t>
            </w:r>
          </w:p>
        </w:tc>
        <w:tc>
          <w:tcPr>
            <w:tcW w:w="1392" w:type="dxa"/>
            <w:vAlign w:val="center"/>
          </w:tcPr>
          <w:p w14:paraId="4734DFCB"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Zvažujeme tuto možnost</w:t>
            </w:r>
          </w:p>
        </w:tc>
        <w:tc>
          <w:tcPr>
            <w:tcW w:w="1058" w:type="dxa"/>
            <w:vAlign w:val="center"/>
          </w:tcPr>
          <w:p w14:paraId="527A5B77"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Ne</w:t>
            </w:r>
          </w:p>
        </w:tc>
        <w:tc>
          <w:tcPr>
            <w:tcW w:w="1029" w:type="dxa"/>
          </w:tcPr>
          <w:p w14:paraId="3B13D393"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Nemohu posoudit</w:t>
            </w:r>
          </w:p>
        </w:tc>
      </w:tr>
      <w:tr w:rsidR="006E1FCB" w:rsidRPr="00932561" w14:paraId="504D5E23"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8" w:type="dxa"/>
          </w:tcPr>
          <w:p w14:paraId="1606C9A1" w14:textId="77777777" w:rsidR="006E1FCB" w:rsidRPr="00932561" w:rsidRDefault="006E1FCB" w:rsidP="00A55F7D">
            <w:pPr>
              <w:numPr>
                <w:ilvl w:val="0"/>
                <w:numId w:val="108"/>
              </w:numPr>
              <w:spacing w:before="0"/>
              <w:ind w:left="454"/>
              <w:jc w:val="left"/>
              <w:rPr>
                <w:rFonts w:ascii="Calibri" w:hAnsi="Calibri" w:cs="Calibri"/>
                <w:b w:val="0"/>
              </w:rPr>
            </w:pPr>
            <w:r w:rsidRPr="00932561">
              <w:rPr>
                <w:rFonts w:ascii="Calibri" w:hAnsi="Calibri" w:cs="Calibri"/>
                <w:b w:val="0"/>
              </w:rPr>
              <w:t>Máte ve Vašem podniku oddělení výzkumu a/nebo vývoje?</w:t>
            </w:r>
          </w:p>
        </w:tc>
        <w:tc>
          <w:tcPr>
            <w:tcW w:w="945" w:type="dxa"/>
            <w:vAlign w:val="center"/>
          </w:tcPr>
          <w:p w14:paraId="1D71EC27"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392" w:type="dxa"/>
            <w:vAlign w:val="center"/>
          </w:tcPr>
          <w:p w14:paraId="367D434C"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058" w:type="dxa"/>
            <w:vAlign w:val="center"/>
          </w:tcPr>
          <w:p w14:paraId="7E8B9E1C"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029" w:type="dxa"/>
            <w:vAlign w:val="center"/>
          </w:tcPr>
          <w:p w14:paraId="4D3DA0C4"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r>
      <w:tr w:rsidR="006E1FCB" w:rsidRPr="00932561" w14:paraId="13F3B4D3" w14:textId="77777777" w:rsidTr="000931EA">
        <w:tc>
          <w:tcPr>
            <w:cnfStyle w:val="001000000000" w:firstRow="0" w:lastRow="0" w:firstColumn="1" w:lastColumn="0" w:oddVBand="0" w:evenVBand="0" w:oddHBand="0" w:evenHBand="0" w:firstRowFirstColumn="0" w:firstRowLastColumn="0" w:lastRowFirstColumn="0" w:lastRowLastColumn="0"/>
            <w:tcW w:w="4638" w:type="dxa"/>
          </w:tcPr>
          <w:p w14:paraId="432143E0" w14:textId="6DEDD67B" w:rsidR="006E1FCB" w:rsidRPr="00932561" w:rsidRDefault="006E1FCB" w:rsidP="00F63C14">
            <w:pPr>
              <w:numPr>
                <w:ilvl w:val="0"/>
                <w:numId w:val="108"/>
              </w:numPr>
              <w:spacing w:before="0"/>
              <w:ind w:left="454"/>
              <w:jc w:val="left"/>
              <w:rPr>
                <w:rFonts w:ascii="Calibri" w:hAnsi="Calibri" w:cs="Calibri"/>
                <w:b w:val="0"/>
              </w:rPr>
            </w:pPr>
            <w:r w:rsidRPr="00932561">
              <w:rPr>
                <w:rFonts w:ascii="Calibri" w:hAnsi="Calibri" w:cs="Calibri"/>
                <w:b w:val="0"/>
              </w:rPr>
              <w:t>Jste připraveni ucházet se o</w:t>
            </w:r>
            <w:r w:rsidR="00F63C14">
              <w:rPr>
                <w:rFonts w:ascii="Calibri" w:hAnsi="Calibri" w:cs="Calibri"/>
                <w:b w:val="0"/>
              </w:rPr>
              <w:t> </w:t>
            </w:r>
            <w:r w:rsidRPr="00932561">
              <w:rPr>
                <w:rFonts w:ascii="Calibri" w:hAnsi="Calibri" w:cs="Calibri"/>
                <w:b w:val="0"/>
              </w:rPr>
              <w:t>spolufinancování rozvoje Vašeho podniku z</w:t>
            </w:r>
            <w:r w:rsidR="00F63C14">
              <w:rPr>
                <w:rFonts w:ascii="Calibri" w:hAnsi="Calibri" w:cs="Calibri"/>
                <w:b w:val="0"/>
              </w:rPr>
              <w:t> </w:t>
            </w:r>
            <w:r w:rsidRPr="00932561">
              <w:rPr>
                <w:rFonts w:ascii="Calibri" w:hAnsi="Calibri" w:cs="Calibri"/>
                <w:b w:val="0"/>
              </w:rPr>
              <w:t>prostředků EU?</w:t>
            </w:r>
          </w:p>
        </w:tc>
        <w:tc>
          <w:tcPr>
            <w:tcW w:w="945" w:type="dxa"/>
            <w:vAlign w:val="center"/>
          </w:tcPr>
          <w:p w14:paraId="6E35B613"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392" w:type="dxa"/>
            <w:vAlign w:val="center"/>
          </w:tcPr>
          <w:p w14:paraId="1D96DE9B"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058" w:type="dxa"/>
            <w:vAlign w:val="center"/>
          </w:tcPr>
          <w:p w14:paraId="3FE6A2C5"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029" w:type="dxa"/>
            <w:vAlign w:val="center"/>
          </w:tcPr>
          <w:p w14:paraId="0DFF3DD4"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r>
      <w:tr w:rsidR="006E1FCB" w:rsidRPr="00932561" w14:paraId="47C0A92E"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8" w:type="dxa"/>
          </w:tcPr>
          <w:p w14:paraId="076CCF15" w14:textId="77777777" w:rsidR="006E1FCB" w:rsidRPr="00932561" w:rsidRDefault="006E1FCB" w:rsidP="00A55F7D">
            <w:pPr>
              <w:numPr>
                <w:ilvl w:val="0"/>
                <w:numId w:val="108"/>
              </w:numPr>
              <w:spacing w:before="0"/>
              <w:ind w:left="454"/>
              <w:jc w:val="left"/>
              <w:rPr>
                <w:rFonts w:ascii="Calibri" w:hAnsi="Calibri" w:cs="Calibri"/>
                <w:b w:val="0"/>
              </w:rPr>
            </w:pPr>
            <w:r w:rsidRPr="00932561">
              <w:rPr>
                <w:rFonts w:ascii="Calibri" w:hAnsi="Calibri" w:cs="Calibri"/>
                <w:b w:val="0"/>
              </w:rPr>
              <w:t>Chystáte se investovat do zvýšení efektivity výroby/služby?</w:t>
            </w:r>
          </w:p>
        </w:tc>
        <w:tc>
          <w:tcPr>
            <w:tcW w:w="945" w:type="dxa"/>
            <w:vAlign w:val="center"/>
          </w:tcPr>
          <w:p w14:paraId="74511697"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c>
          <w:tcPr>
            <w:tcW w:w="1392" w:type="dxa"/>
            <w:vAlign w:val="center"/>
          </w:tcPr>
          <w:p w14:paraId="65DCA75F"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c>
          <w:tcPr>
            <w:tcW w:w="1058" w:type="dxa"/>
            <w:vAlign w:val="center"/>
          </w:tcPr>
          <w:p w14:paraId="5D0DE5EA"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c>
          <w:tcPr>
            <w:tcW w:w="1029" w:type="dxa"/>
            <w:vAlign w:val="center"/>
          </w:tcPr>
          <w:p w14:paraId="793A2C41"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r>
      <w:tr w:rsidR="006E1FCB" w:rsidRPr="00932561" w14:paraId="669B9E45" w14:textId="77777777" w:rsidTr="000931EA">
        <w:tc>
          <w:tcPr>
            <w:cnfStyle w:val="001000000000" w:firstRow="0" w:lastRow="0" w:firstColumn="1" w:lastColumn="0" w:oddVBand="0" w:evenVBand="0" w:oddHBand="0" w:evenHBand="0" w:firstRowFirstColumn="0" w:firstRowLastColumn="0" w:lastRowFirstColumn="0" w:lastRowLastColumn="0"/>
            <w:tcW w:w="4638" w:type="dxa"/>
          </w:tcPr>
          <w:p w14:paraId="45273562" w14:textId="77777777" w:rsidR="006E1FCB" w:rsidRPr="00932561" w:rsidRDefault="006E1FCB" w:rsidP="00A55F7D">
            <w:pPr>
              <w:numPr>
                <w:ilvl w:val="0"/>
                <w:numId w:val="108"/>
              </w:numPr>
              <w:spacing w:before="0"/>
              <w:ind w:left="454"/>
              <w:jc w:val="left"/>
              <w:rPr>
                <w:rFonts w:ascii="Calibri" w:hAnsi="Calibri" w:cs="Calibri"/>
                <w:b w:val="0"/>
              </w:rPr>
            </w:pPr>
            <w:r w:rsidRPr="00932561">
              <w:rPr>
                <w:rFonts w:ascii="Calibri" w:hAnsi="Calibri" w:cs="Calibri"/>
                <w:b w:val="0"/>
              </w:rPr>
              <w:t>Chystáte se investovat do zvýšení kvality výroby/služby?</w:t>
            </w:r>
          </w:p>
        </w:tc>
        <w:tc>
          <w:tcPr>
            <w:tcW w:w="945" w:type="dxa"/>
            <w:vAlign w:val="center"/>
          </w:tcPr>
          <w:p w14:paraId="0C37CB1E"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c>
          <w:tcPr>
            <w:tcW w:w="1392" w:type="dxa"/>
            <w:vAlign w:val="center"/>
          </w:tcPr>
          <w:p w14:paraId="5378018F"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c>
          <w:tcPr>
            <w:tcW w:w="1058" w:type="dxa"/>
            <w:vAlign w:val="center"/>
          </w:tcPr>
          <w:p w14:paraId="3DE0A59D"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c>
          <w:tcPr>
            <w:tcW w:w="1029" w:type="dxa"/>
            <w:vAlign w:val="center"/>
          </w:tcPr>
          <w:p w14:paraId="6E3E49A1"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r>
      <w:tr w:rsidR="006E1FCB" w:rsidRPr="00932561" w14:paraId="362D57A5"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8" w:type="dxa"/>
          </w:tcPr>
          <w:p w14:paraId="7B13B5C6" w14:textId="77777777" w:rsidR="006E1FCB" w:rsidRPr="00932561" w:rsidRDefault="006E1FCB" w:rsidP="00A55F7D">
            <w:pPr>
              <w:numPr>
                <w:ilvl w:val="0"/>
                <w:numId w:val="108"/>
              </w:numPr>
              <w:spacing w:before="0"/>
              <w:ind w:left="454"/>
              <w:jc w:val="left"/>
              <w:rPr>
                <w:rFonts w:ascii="Calibri" w:hAnsi="Calibri" w:cs="Calibri"/>
                <w:b w:val="0"/>
              </w:rPr>
            </w:pPr>
            <w:r w:rsidRPr="00932561">
              <w:rPr>
                <w:rFonts w:ascii="Calibri" w:hAnsi="Calibri" w:cs="Calibri"/>
                <w:b w:val="0"/>
              </w:rPr>
              <w:t>Chystáte se investovat do výstavby v rámci Vašeho podniku?</w:t>
            </w:r>
          </w:p>
        </w:tc>
        <w:tc>
          <w:tcPr>
            <w:tcW w:w="945" w:type="dxa"/>
            <w:vAlign w:val="center"/>
          </w:tcPr>
          <w:p w14:paraId="3E315EAC"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392" w:type="dxa"/>
            <w:vAlign w:val="center"/>
          </w:tcPr>
          <w:p w14:paraId="0709BC23"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058" w:type="dxa"/>
            <w:vAlign w:val="center"/>
          </w:tcPr>
          <w:p w14:paraId="1B83416A"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029" w:type="dxa"/>
            <w:vAlign w:val="center"/>
          </w:tcPr>
          <w:p w14:paraId="157149EA"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r>
      <w:tr w:rsidR="006E1FCB" w:rsidRPr="00932561" w14:paraId="0BF83C71" w14:textId="77777777" w:rsidTr="000931EA">
        <w:tc>
          <w:tcPr>
            <w:cnfStyle w:val="001000000000" w:firstRow="0" w:lastRow="0" w:firstColumn="1" w:lastColumn="0" w:oddVBand="0" w:evenVBand="0" w:oddHBand="0" w:evenHBand="0" w:firstRowFirstColumn="0" w:firstRowLastColumn="0" w:lastRowFirstColumn="0" w:lastRowLastColumn="0"/>
            <w:tcW w:w="4638" w:type="dxa"/>
          </w:tcPr>
          <w:p w14:paraId="04883348" w14:textId="77777777" w:rsidR="006E1FCB" w:rsidRPr="00932561" w:rsidRDefault="006E1FCB" w:rsidP="00A55F7D">
            <w:pPr>
              <w:numPr>
                <w:ilvl w:val="0"/>
                <w:numId w:val="108"/>
              </w:numPr>
              <w:spacing w:before="0"/>
              <w:ind w:left="454"/>
              <w:jc w:val="left"/>
              <w:rPr>
                <w:rFonts w:ascii="Calibri" w:hAnsi="Calibri" w:cs="Calibri"/>
                <w:b w:val="0"/>
              </w:rPr>
            </w:pPr>
            <w:r w:rsidRPr="00932561">
              <w:rPr>
                <w:rFonts w:ascii="Calibri" w:hAnsi="Calibri" w:cs="Calibri"/>
                <w:b w:val="0"/>
              </w:rPr>
              <w:t>Chystáte se rozšířit Váš podnik jinde v České republice?</w:t>
            </w:r>
          </w:p>
        </w:tc>
        <w:tc>
          <w:tcPr>
            <w:tcW w:w="945" w:type="dxa"/>
            <w:vAlign w:val="center"/>
          </w:tcPr>
          <w:p w14:paraId="7823F891"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392" w:type="dxa"/>
            <w:vAlign w:val="center"/>
          </w:tcPr>
          <w:p w14:paraId="1703C159"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058" w:type="dxa"/>
            <w:vAlign w:val="center"/>
          </w:tcPr>
          <w:p w14:paraId="061D31C0"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029" w:type="dxa"/>
            <w:vAlign w:val="center"/>
          </w:tcPr>
          <w:p w14:paraId="290A51FE"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r>
      <w:tr w:rsidR="006E1FCB" w:rsidRPr="00932561" w14:paraId="5310E317"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8" w:type="dxa"/>
          </w:tcPr>
          <w:p w14:paraId="4D33733F" w14:textId="77777777" w:rsidR="006E1FCB" w:rsidRPr="00932561" w:rsidRDefault="006E1FCB" w:rsidP="00A55F7D">
            <w:pPr>
              <w:numPr>
                <w:ilvl w:val="0"/>
                <w:numId w:val="108"/>
              </w:numPr>
              <w:spacing w:before="0"/>
              <w:ind w:left="454"/>
              <w:jc w:val="left"/>
              <w:rPr>
                <w:rFonts w:ascii="Calibri" w:hAnsi="Calibri" w:cs="Calibri"/>
                <w:b w:val="0"/>
              </w:rPr>
            </w:pPr>
            <w:r w:rsidRPr="00932561">
              <w:rPr>
                <w:rFonts w:ascii="Calibri" w:hAnsi="Calibri" w:cs="Calibri"/>
                <w:b w:val="0"/>
              </w:rPr>
              <w:t xml:space="preserve">Potřebujete další podnikatelské nemovitosti pro rozšíření Vašich podnikatelských aktivit ve městě Zlín? </w:t>
            </w:r>
          </w:p>
        </w:tc>
        <w:tc>
          <w:tcPr>
            <w:tcW w:w="945" w:type="dxa"/>
            <w:vAlign w:val="center"/>
          </w:tcPr>
          <w:p w14:paraId="49D91A91"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392" w:type="dxa"/>
            <w:vAlign w:val="center"/>
          </w:tcPr>
          <w:p w14:paraId="28DD0EFC"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058" w:type="dxa"/>
            <w:vAlign w:val="center"/>
          </w:tcPr>
          <w:p w14:paraId="43949903"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029" w:type="dxa"/>
            <w:vAlign w:val="center"/>
          </w:tcPr>
          <w:p w14:paraId="36BEDC29"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r>
      <w:tr w:rsidR="006E1FCB" w:rsidRPr="00932561" w14:paraId="409A24DA" w14:textId="77777777" w:rsidTr="000931EA">
        <w:tc>
          <w:tcPr>
            <w:cnfStyle w:val="001000000000" w:firstRow="0" w:lastRow="0" w:firstColumn="1" w:lastColumn="0" w:oddVBand="0" w:evenVBand="0" w:oddHBand="0" w:evenHBand="0" w:firstRowFirstColumn="0" w:firstRowLastColumn="0" w:lastRowFirstColumn="0" w:lastRowLastColumn="0"/>
            <w:tcW w:w="4638" w:type="dxa"/>
          </w:tcPr>
          <w:p w14:paraId="49E4CD29" w14:textId="77777777" w:rsidR="006E1FCB" w:rsidRPr="00932561" w:rsidRDefault="006E1FCB" w:rsidP="00A55F7D">
            <w:pPr>
              <w:numPr>
                <w:ilvl w:val="0"/>
                <w:numId w:val="108"/>
              </w:numPr>
              <w:spacing w:before="0"/>
              <w:ind w:left="454"/>
              <w:jc w:val="left"/>
              <w:rPr>
                <w:rFonts w:ascii="Calibri" w:hAnsi="Calibri" w:cs="Calibri"/>
                <w:b w:val="0"/>
              </w:rPr>
            </w:pPr>
            <w:r w:rsidRPr="00932561">
              <w:rPr>
                <w:rFonts w:ascii="Calibri" w:hAnsi="Calibri" w:cs="Calibri"/>
                <w:b w:val="0"/>
              </w:rPr>
              <w:t>Hodláte přemístit Váš podnik z města / mikroregionu, tj. skončit s podnikáním ve Zlíně?</w:t>
            </w:r>
          </w:p>
        </w:tc>
        <w:tc>
          <w:tcPr>
            <w:tcW w:w="945" w:type="dxa"/>
            <w:vAlign w:val="center"/>
          </w:tcPr>
          <w:p w14:paraId="699F75A2"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c>
          <w:tcPr>
            <w:tcW w:w="1392" w:type="dxa"/>
            <w:vAlign w:val="center"/>
          </w:tcPr>
          <w:p w14:paraId="2570BC97"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c>
          <w:tcPr>
            <w:tcW w:w="1058" w:type="dxa"/>
            <w:vAlign w:val="center"/>
          </w:tcPr>
          <w:p w14:paraId="70FFC68B"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c>
          <w:tcPr>
            <w:tcW w:w="1029" w:type="dxa"/>
            <w:vAlign w:val="center"/>
          </w:tcPr>
          <w:p w14:paraId="1F70AC99"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r>
      <w:tr w:rsidR="006E1FCB" w:rsidRPr="00932561" w14:paraId="43016EFA"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8" w:type="dxa"/>
          </w:tcPr>
          <w:p w14:paraId="74848CAB" w14:textId="77777777" w:rsidR="006E1FCB" w:rsidRPr="00932561" w:rsidRDefault="006E1FCB" w:rsidP="00A55F7D">
            <w:pPr>
              <w:numPr>
                <w:ilvl w:val="0"/>
                <w:numId w:val="108"/>
              </w:numPr>
              <w:spacing w:before="0"/>
              <w:ind w:left="454"/>
              <w:contextualSpacing/>
              <w:jc w:val="left"/>
              <w:rPr>
                <w:rFonts w:ascii="Calibri" w:hAnsi="Calibri" w:cs="Calibri"/>
                <w:b w:val="0"/>
              </w:rPr>
            </w:pPr>
            <w:r w:rsidRPr="00932561">
              <w:rPr>
                <w:rFonts w:ascii="Calibri" w:hAnsi="Calibri" w:cs="Calibri"/>
                <w:b w:val="0"/>
              </w:rPr>
              <w:t>Jste vlastníky nějakých podnikatelských nemovitostí?</w:t>
            </w:r>
          </w:p>
        </w:tc>
        <w:tc>
          <w:tcPr>
            <w:tcW w:w="945" w:type="dxa"/>
            <w:vAlign w:val="center"/>
          </w:tcPr>
          <w:p w14:paraId="1C157548"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c>
          <w:tcPr>
            <w:tcW w:w="1392" w:type="dxa"/>
            <w:vAlign w:val="center"/>
          </w:tcPr>
          <w:p w14:paraId="7E411A0D"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c>
          <w:tcPr>
            <w:tcW w:w="1058" w:type="dxa"/>
            <w:vAlign w:val="center"/>
          </w:tcPr>
          <w:p w14:paraId="22916F31"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c>
          <w:tcPr>
            <w:tcW w:w="1029" w:type="dxa"/>
            <w:vAlign w:val="center"/>
          </w:tcPr>
          <w:p w14:paraId="4063780D"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r>
    </w:tbl>
    <w:p w14:paraId="30D650BD" w14:textId="77777777" w:rsidR="006E1FCB" w:rsidRDefault="006E1FCB" w:rsidP="006E1FCB">
      <w:pPr>
        <w:spacing w:before="0"/>
        <w:jc w:val="left"/>
        <w:rPr>
          <w:rFonts w:ascii="Calibri" w:eastAsia="Times New Roman" w:hAnsi="Calibri" w:cs="Calibri"/>
          <w:sz w:val="24"/>
          <w:szCs w:val="24"/>
          <w:lang w:eastAsia="cs-CZ"/>
        </w:rPr>
      </w:pPr>
    </w:p>
    <w:p w14:paraId="5742488D" w14:textId="77777777" w:rsidR="006E1FCB" w:rsidRPr="00932561" w:rsidRDefault="006E1FCB" w:rsidP="00A55F7D">
      <w:pPr>
        <w:numPr>
          <w:ilvl w:val="0"/>
          <w:numId w:val="96"/>
        </w:numPr>
        <w:shd w:val="pct10" w:color="000000" w:fill="FFFFFF"/>
        <w:spacing w:before="0"/>
        <w:ind w:left="426"/>
        <w:jc w:val="left"/>
        <w:rPr>
          <w:rFonts w:ascii="Calibri" w:eastAsia="Times New Roman" w:hAnsi="Calibri" w:cs="Calibri"/>
          <w:b/>
          <w:lang w:eastAsia="cs-CZ"/>
        </w:rPr>
      </w:pPr>
      <w:r w:rsidRPr="00932561">
        <w:rPr>
          <w:rFonts w:ascii="Calibri" w:eastAsia="Times New Roman" w:hAnsi="Calibri" w:cs="Calibri"/>
          <w:b/>
          <w:lang w:eastAsia="cs-CZ"/>
        </w:rPr>
        <w:t>Pokud zvažujete expanzi v následujících letech a máte potřebu nalezení vhodné nemovitosti či pozemku, o jakou nemovitost se jedná?</w:t>
      </w:r>
    </w:p>
    <w:p w14:paraId="24E62250" w14:textId="77777777" w:rsidR="006E1FCB" w:rsidRPr="00932561" w:rsidRDefault="006E1FCB" w:rsidP="006E1FCB">
      <w:pPr>
        <w:spacing w:before="0"/>
        <w:jc w:val="left"/>
        <w:rPr>
          <w:rFonts w:ascii="Calibri" w:eastAsia="Times New Roman" w:hAnsi="Calibri" w:cs="Calibri"/>
          <w:i/>
          <w:lang w:eastAsia="cs-CZ"/>
        </w:rPr>
      </w:pPr>
      <w:r w:rsidRPr="00932561">
        <w:rPr>
          <w:rFonts w:ascii="Calibri" w:eastAsia="Times New Roman" w:hAnsi="Calibri" w:cs="Calibri"/>
          <w:i/>
          <w:sz w:val="24"/>
          <w:szCs w:val="24"/>
          <w:lang w:eastAsia="cs-CZ"/>
        </w:rPr>
        <w:t>Odpovídejte na otázku pouze v případě, že jste na výše vedenou otázku 16g odpověděli ano nebo zvažujeme tuto možnost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2"/>
        <w:gridCol w:w="1080"/>
      </w:tblGrid>
      <w:tr w:rsidR="006E1FCB" w:rsidRPr="00932561" w14:paraId="5F4548E2" w14:textId="77777777" w:rsidTr="000931EA">
        <w:tc>
          <w:tcPr>
            <w:tcW w:w="4404" w:type="pct"/>
            <w:shd w:val="clear" w:color="auto" w:fill="auto"/>
          </w:tcPr>
          <w:p w14:paraId="2BBF2FC7" w14:textId="77777777" w:rsidR="006E1FCB" w:rsidRPr="00932561" w:rsidRDefault="006E1FCB" w:rsidP="00A55F7D">
            <w:pPr>
              <w:numPr>
                <w:ilvl w:val="0"/>
                <w:numId w:val="98"/>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administrativní nemovitosti</w:t>
            </w:r>
          </w:p>
        </w:tc>
        <w:tc>
          <w:tcPr>
            <w:tcW w:w="596" w:type="pct"/>
            <w:shd w:val="clear" w:color="auto" w:fill="auto"/>
          </w:tcPr>
          <w:p w14:paraId="6098C187"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6B49F343" w14:textId="77777777" w:rsidTr="000931EA">
        <w:tc>
          <w:tcPr>
            <w:tcW w:w="4404" w:type="pct"/>
            <w:shd w:val="clear" w:color="auto" w:fill="F2F2F2"/>
          </w:tcPr>
          <w:p w14:paraId="0009F513" w14:textId="77777777" w:rsidR="006E1FCB" w:rsidRPr="00932561" w:rsidRDefault="006E1FCB" w:rsidP="00A55F7D">
            <w:pPr>
              <w:numPr>
                <w:ilvl w:val="0"/>
                <w:numId w:val="98"/>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výrobní nemovitosti</w:t>
            </w:r>
          </w:p>
        </w:tc>
        <w:tc>
          <w:tcPr>
            <w:tcW w:w="596" w:type="pct"/>
            <w:shd w:val="clear" w:color="auto" w:fill="F2F2F2"/>
          </w:tcPr>
          <w:p w14:paraId="190B8DC1"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500C0136" w14:textId="77777777" w:rsidTr="000931EA">
        <w:tc>
          <w:tcPr>
            <w:tcW w:w="4404" w:type="pct"/>
            <w:shd w:val="clear" w:color="auto" w:fill="auto"/>
          </w:tcPr>
          <w:p w14:paraId="0F064A25" w14:textId="77777777" w:rsidR="006E1FCB" w:rsidRPr="00932561" w:rsidRDefault="006E1FCB" w:rsidP="00A55F7D">
            <w:pPr>
              <w:numPr>
                <w:ilvl w:val="0"/>
                <w:numId w:val="98"/>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nemovitosti k účelu poskytování služeb</w:t>
            </w:r>
          </w:p>
        </w:tc>
        <w:tc>
          <w:tcPr>
            <w:tcW w:w="596" w:type="pct"/>
            <w:shd w:val="clear" w:color="auto" w:fill="auto"/>
          </w:tcPr>
          <w:p w14:paraId="7F5737FE"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15A4AD23" w14:textId="77777777" w:rsidTr="000931EA">
        <w:tc>
          <w:tcPr>
            <w:tcW w:w="4404" w:type="pct"/>
            <w:shd w:val="clear" w:color="auto" w:fill="F2F2F2"/>
          </w:tcPr>
          <w:p w14:paraId="77974ADB" w14:textId="77777777" w:rsidR="006E1FCB" w:rsidRPr="00932561" w:rsidRDefault="006E1FCB" w:rsidP="00A55F7D">
            <w:pPr>
              <w:numPr>
                <w:ilvl w:val="0"/>
                <w:numId w:val="98"/>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nemovitosti k účelu obchodu</w:t>
            </w:r>
          </w:p>
        </w:tc>
        <w:tc>
          <w:tcPr>
            <w:tcW w:w="596" w:type="pct"/>
            <w:shd w:val="clear" w:color="auto" w:fill="F2F2F2"/>
          </w:tcPr>
          <w:p w14:paraId="021FB663"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31721084" w14:textId="77777777" w:rsidTr="000931EA">
        <w:tc>
          <w:tcPr>
            <w:tcW w:w="4404" w:type="pct"/>
            <w:shd w:val="clear" w:color="auto" w:fill="auto"/>
          </w:tcPr>
          <w:p w14:paraId="6992E1E5" w14:textId="77777777" w:rsidR="006E1FCB" w:rsidRPr="00932561" w:rsidRDefault="006E1FCB" w:rsidP="00A55F7D">
            <w:pPr>
              <w:numPr>
                <w:ilvl w:val="0"/>
                <w:numId w:val="98"/>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pozemek na výstavbu</w:t>
            </w:r>
          </w:p>
        </w:tc>
        <w:tc>
          <w:tcPr>
            <w:tcW w:w="596" w:type="pct"/>
            <w:shd w:val="clear" w:color="auto" w:fill="auto"/>
          </w:tcPr>
          <w:p w14:paraId="42F0F84A" w14:textId="77777777" w:rsidR="006E1FCB" w:rsidRPr="00932561" w:rsidRDefault="006E1FCB" w:rsidP="000931EA">
            <w:pPr>
              <w:spacing w:before="0"/>
              <w:jc w:val="center"/>
              <w:rPr>
                <w:rFonts w:ascii="Calibri" w:eastAsia="Times New Roman" w:hAnsi="Calibri" w:cs="Calibri"/>
                <w:lang w:eastAsia="cs-CZ"/>
              </w:rPr>
            </w:pPr>
          </w:p>
        </w:tc>
      </w:tr>
    </w:tbl>
    <w:p w14:paraId="7FF0656D" w14:textId="77777777" w:rsidR="006E1FCB" w:rsidRPr="00932561" w:rsidRDefault="006E1FCB" w:rsidP="006E1FCB">
      <w:pPr>
        <w:spacing w:before="0"/>
        <w:jc w:val="left"/>
        <w:rPr>
          <w:rFonts w:ascii="Calibri" w:eastAsia="Times New Roman" w:hAnsi="Calibri" w:cs="Calibri"/>
          <w:sz w:val="24"/>
          <w:szCs w:val="24"/>
          <w:lang w:eastAsia="cs-CZ"/>
        </w:rPr>
      </w:pPr>
    </w:p>
    <w:p w14:paraId="446FFFC2" w14:textId="77777777" w:rsidR="006E1FCB" w:rsidRPr="00932561" w:rsidRDefault="006E1FCB" w:rsidP="00A55F7D">
      <w:pPr>
        <w:numPr>
          <w:ilvl w:val="0"/>
          <w:numId w:val="96"/>
        </w:numPr>
        <w:shd w:val="clear" w:color="auto" w:fill="D9D9D9"/>
        <w:spacing w:before="0"/>
        <w:ind w:left="426"/>
        <w:contextualSpacing/>
        <w:jc w:val="left"/>
        <w:rPr>
          <w:rFonts w:ascii="Calibri" w:eastAsia="Times New Roman" w:hAnsi="Calibri" w:cs="Calibri"/>
          <w:sz w:val="24"/>
          <w:szCs w:val="24"/>
          <w:lang w:eastAsia="cs-CZ"/>
        </w:rPr>
      </w:pPr>
      <w:r w:rsidRPr="00932561">
        <w:rPr>
          <w:rFonts w:ascii="Calibri" w:eastAsia="Times New Roman" w:hAnsi="Calibri" w:cs="Calibri"/>
          <w:b/>
          <w:lang w:eastAsia="cs-CZ"/>
        </w:rPr>
        <w:t>Pokud jste vlastníky nějaké podnikatelské nemovitosti, chystáte se tuto nemovitost:</w:t>
      </w:r>
    </w:p>
    <w:p w14:paraId="17B38461" w14:textId="77777777" w:rsidR="006E1FCB" w:rsidRPr="00932561" w:rsidRDefault="006E1FCB" w:rsidP="006E1FCB">
      <w:pPr>
        <w:spacing w:before="0"/>
        <w:ind w:left="426"/>
        <w:contextualSpacing/>
        <w:jc w:val="left"/>
        <w:rPr>
          <w:rFonts w:ascii="Calibri" w:eastAsia="Times New Roman" w:hAnsi="Calibri" w:cs="Calibri"/>
          <w:sz w:val="24"/>
          <w:szCs w:val="24"/>
          <w:lang w:eastAsia="cs-CZ"/>
        </w:rPr>
      </w:pPr>
      <w:r w:rsidRPr="00932561">
        <w:rPr>
          <w:rFonts w:ascii="Calibri" w:eastAsia="Times New Roman" w:hAnsi="Calibri" w:cs="Calibri"/>
          <w:i/>
          <w:sz w:val="24"/>
          <w:szCs w:val="24"/>
          <w:lang w:eastAsia="cs-CZ"/>
        </w:rPr>
        <w:t>Odpovídejte na otázku pouze v případě, že jste na výše vedenou otázku 16i odpověděli ano</w:t>
      </w:r>
    </w:p>
    <w:tbl>
      <w:tblPr>
        <w:tblStyle w:val="Prosttabulka11"/>
        <w:tblW w:w="9062" w:type="dxa"/>
        <w:tblLook w:val="04A0" w:firstRow="1" w:lastRow="0" w:firstColumn="1" w:lastColumn="0" w:noHBand="0" w:noVBand="1"/>
      </w:tblPr>
      <w:tblGrid>
        <w:gridCol w:w="4691"/>
        <w:gridCol w:w="1471"/>
        <w:gridCol w:w="1461"/>
        <w:gridCol w:w="1439"/>
      </w:tblGrid>
      <w:tr w:rsidR="006E1FCB" w:rsidRPr="00932561" w14:paraId="5B92F6A7" w14:textId="77777777" w:rsidTr="0009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1" w:type="dxa"/>
            <w:vAlign w:val="center"/>
          </w:tcPr>
          <w:p w14:paraId="5CEA3AFA" w14:textId="77777777" w:rsidR="006E1FCB" w:rsidRPr="00932561" w:rsidRDefault="006E1FCB" w:rsidP="000931EA">
            <w:pPr>
              <w:spacing w:before="0"/>
              <w:jc w:val="center"/>
              <w:rPr>
                <w:rFonts w:ascii="Calibri" w:hAnsi="Calibri" w:cs="Calibri"/>
              </w:rPr>
            </w:pPr>
          </w:p>
        </w:tc>
        <w:tc>
          <w:tcPr>
            <w:tcW w:w="1471" w:type="dxa"/>
            <w:vAlign w:val="center"/>
          </w:tcPr>
          <w:p w14:paraId="20E57C70"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Ano</w:t>
            </w:r>
          </w:p>
        </w:tc>
        <w:tc>
          <w:tcPr>
            <w:tcW w:w="1461" w:type="dxa"/>
            <w:vAlign w:val="center"/>
          </w:tcPr>
          <w:p w14:paraId="1EE39295"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Ne</w:t>
            </w:r>
          </w:p>
        </w:tc>
        <w:tc>
          <w:tcPr>
            <w:tcW w:w="1439" w:type="dxa"/>
          </w:tcPr>
          <w:p w14:paraId="1B7B12F5"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932561">
              <w:rPr>
                <w:rFonts w:ascii="Calibri" w:hAnsi="Calibri" w:cs="Calibri"/>
              </w:rPr>
              <w:t>Nemohu posoudit</w:t>
            </w:r>
          </w:p>
        </w:tc>
      </w:tr>
      <w:tr w:rsidR="006E1FCB" w:rsidRPr="00932561" w14:paraId="2A22332A"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1" w:type="dxa"/>
          </w:tcPr>
          <w:p w14:paraId="300D409B" w14:textId="77777777" w:rsidR="006E1FCB" w:rsidRPr="00932561" w:rsidRDefault="006E1FCB" w:rsidP="00A55F7D">
            <w:pPr>
              <w:numPr>
                <w:ilvl w:val="0"/>
                <w:numId w:val="107"/>
              </w:numPr>
              <w:spacing w:before="0"/>
              <w:jc w:val="left"/>
              <w:rPr>
                <w:rFonts w:ascii="Calibri" w:hAnsi="Calibri" w:cs="Calibri"/>
                <w:b w:val="0"/>
              </w:rPr>
            </w:pPr>
            <w:r w:rsidRPr="00932561">
              <w:rPr>
                <w:rFonts w:ascii="Calibri" w:hAnsi="Calibri" w:cs="Calibri"/>
                <w:b w:val="0"/>
              </w:rPr>
              <w:t>prodat</w:t>
            </w:r>
          </w:p>
        </w:tc>
        <w:tc>
          <w:tcPr>
            <w:tcW w:w="1471" w:type="dxa"/>
            <w:vAlign w:val="center"/>
          </w:tcPr>
          <w:p w14:paraId="07744F48"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461" w:type="dxa"/>
            <w:vAlign w:val="center"/>
          </w:tcPr>
          <w:p w14:paraId="14122FE3"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439" w:type="dxa"/>
            <w:vAlign w:val="center"/>
          </w:tcPr>
          <w:p w14:paraId="18C3C9D2"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r>
      <w:tr w:rsidR="006E1FCB" w:rsidRPr="00932561" w14:paraId="5F19D15A" w14:textId="77777777" w:rsidTr="000931EA">
        <w:tc>
          <w:tcPr>
            <w:cnfStyle w:val="001000000000" w:firstRow="0" w:lastRow="0" w:firstColumn="1" w:lastColumn="0" w:oddVBand="0" w:evenVBand="0" w:oddHBand="0" w:evenHBand="0" w:firstRowFirstColumn="0" w:firstRowLastColumn="0" w:lastRowFirstColumn="0" w:lastRowLastColumn="0"/>
            <w:tcW w:w="4691" w:type="dxa"/>
          </w:tcPr>
          <w:p w14:paraId="7D119CBC" w14:textId="77777777" w:rsidR="006E1FCB" w:rsidRPr="00932561" w:rsidRDefault="006E1FCB" w:rsidP="00A55F7D">
            <w:pPr>
              <w:numPr>
                <w:ilvl w:val="0"/>
                <w:numId w:val="107"/>
              </w:numPr>
              <w:spacing w:before="0"/>
              <w:jc w:val="left"/>
              <w:rPr>
                <w:rFonts w:ascii="Calibri" w:hAnsi="Calibri" w:cs="Calibri"/>
                <w:b w:val="0"/>
              </w:rPr>
            </w:pPr>
            <w:r w:rsidRPr="00932561">
              <w:rPr>
                <w:rFonts w:ascii="Calibri" w:hAnsi="Calibri" w:cs="Calibri"/>
                <w:b w:val="0"/>
              </w:rPr>
              <w:t>pronajmout</w:t>
            </w:r>
          </w:p>
        </w:tc>
        <w:tc>
          <w:tcPr>
            <w:tcW w:w="1471" w:type="dxa"/>
            <w:vAlign w:val="center"/>
          </w:tcPr>
          <w:p w14:paraId="27B6C744"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461" w:type="dxa"/>
            <w:vAlign w:val="center"/>
          </w:tcPr>
          <w:p w14:paraId="2A0755FE"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439" w:type="dxa"/>
            <w:vAlign w:val="center"/>
          </w:tcPr>
          <w:p w14:paraId="767AC664"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r>
    </w:tbl>
    <w:p w14:paraId="7C81609A" w14:textId="77777777" w:rsidR="006E1FCB" w:rsidRPr="00932561" w:rsidRDefault="006E1FCB" w:rsidP="006E1FCB">
      <w:pPr>
        <w:shd w:val="clear" w:color="auto" w:fill="FFFFFF"/>
        <w:spacing w:before="0"/>
        <w:ind w:left="426"/>
        <w:jc w:val="left"/>
        <w:rPr>
          <w:rFonts w:ascii="Calibri" w:eastAsia="Times New Roman" w:hAnsi="Calibri" w:cs="Calibri"/>
          <w:b/>
          <w:lang w:eastAsia="cs-CZ"/>
        </w:rPr>
      </w:pPr>
    </w:p>
    <w:p w14:paraId="0A63FE44"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 xml:space="preserve"> Daří se Vám dlouhodobě obsazovat všechny pracovní pozice? </w:t>
      </w:r>
    </w:p>
    <w:tbl>
      <w:tblPr>
        <w:tblStyle w:val="Prosttabulka11"/>
        <w:tblW w:w="9072" w:type="dxa"/>
        <w:tblInd w:w="-5" w:type="dxa"/>
        <w:tblLook w:val="04A0" w:firstRow="1" w:lastRow="0" w:firstColumn="1" w:lastColumn="0" w:noHBand="0" w:noVBand="1"/>
      </w:tblPr>
      <w:tblGrid>
        <w:gridCol w:w="8080"/>
        <w:gridCol w:w="992"/>
      </w:tblGrid>
      <w:tr w:rsidR="006E1FCB" w:rsidRPr="00932561" w14:paraId="3DFBCF7F" w14:textId="77777777" w:rsidTr="0009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tcPr>
          <w:p w14:paraId="391E362B" w14:textId="77777777" w:rsidR="006E1FCB" w:rsidRPr="00932561" w:rsidRDefault="006E1FCB" w:rsidP="00A55F7D">
            <w:pPr>
              <w:numPr>
                <w:ilvl w:val="0"/>
                <w:numId w:val="106"/>
              </w:numPr>
              <w:spacing w:before="0"/>
              <w:jc w:val="left"/>
              <w:rPr>
                <w:rFonts w:ascii="Calibri" w:hAnsi="Calibri" w:cs="Calibri"/>
                <w:b w:val="0"/>
              </w:rPr>
            </w:pPr>
            <w:r w:rsidRPr="00932561">
              <w:rPr>
                <w:rFonts w:ascii="Calibri" w:hAnsi="Calibri" w:cs="Calibri"/>
                <w:b w:val="0"/>
              </w:rPr>
              <w:t>Ano</w:t>
            </w:r>
          </w:p>
        </w:tc>
        <w:tc>
          <w:tcPr>
            <w:tcW w:w="992" w:type="dxa"/>
            <w:vAlign w:val="center"/>
          </w:tcPr>
          <w:p w14:paraId="5710E3B1"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b w:val="0"/>
                <w:sz w:val="24"/>
                <w:szCs w:val="24"/>
              </w:rPr>
            </w:pPr>
          </w:p>
        </w:tc>
      </w:tr>
      <w:tr w:rsidR="006E1FCB" w:rsidRPr="00932561" w14:paraId="7E709A9E"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tcPr>
          <w:p w14:paraId="00541EF2" w14:textId="77777777" w:rsidR="006E1FCB" w:rsidRPr="00932561" w:rsidRDefault="006E1FCB" w:rsidP="00A55F7D">
            <w:pPr>
              <w:numPr>
                <w:ilvl w:val="0"/>
                <w:numId w:val="106"/>
              </w:numPr>
              <w:spacing w:before="0"/>
              <w:jc w:val="left"/>
              <w:rPr>
                <w:rFonts w:ascii="Calibri" w:hAnsi="Calibri" w:cs="Calibri"/>
                <w:b w:val="0"/>
              </w:rPr>
            </w:pPr>
            <w:r w:rsidRPr="00932561">
              <w:rPr>
                <w:rFonts w:ascii="Calibri" w:hAnsi="Calibri" w:cs="Calibri"/>
                <w:b w:val="0"/>
              </w:rPr>
              <w:t>Ne</w:t>
            </w:r>
          </w:p>
        </w:tc>
        <w:tc>
          <w:tcPr>
            <w:tcW w:w="992" w:type="dxa"/>
            <w:vAlign w:val="center"/>
          </w:tcPr>
          <w:p w14:paraId="3633DB4B"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r>
    </w:tbl>
    <w:p w14:paraId="40E8ADD6" w14:textId="77777777" w:rsidR="006E1FCB" w:rsidRPr="00932561" w:rsidRDefault="006E1FCB" w:rsidP="006E1FCB">
      <w:pPr>
        <w:autoSpaceDE w:val="0"/>
        <w:autoSpaceDN w:val="0"/>
        <w:adjustRightInd w:val="0"/>
        <w:spacing w:before="0"/>
        <w:jc w:val="left"/>
        <w:rPr>
          <w:rFonts w:ascii="Calibri Light" w:eastAsia="Times New Roman" w:hAnsi="Calibri Light" w:cs="Times New Roman"/>
          <w:color w:val="000000"/>
          <w:sz w:val="24"/>
          <w:szCs w:val="24"/>
          <w:lang w:eastAsia="cs-CZ"/>
        </w:rPr>
      </w:pPr>
    </w:p>
    <w:p w14:paraId="3961D01F" w14:textId="77777777" w:rsidR="006E1FCB" w:rsidRPr="00932561" w:rsidRDefault="006E1FCB" w:rsidP="006E1FCB">
      <w:pPr>
        <w:autoSpaceDE w:val="0"/>
        <w:autoSpaceDN w:val="0"/>
        <w:adjustRightInd w:val="0"/>
        <w:spacing w:before="0" w:after="120" w:line="360" w:lineRule="auto"/>
        <w:jc w:val="left"/>
        <w:rPr>
          <w:rFonts w:ascii="Calibri Light" w:eastAsia="Times New Roman" w:hAnsi="Calibri Light" w:cs="Times New Roman"/>
          <w:color w:val="000000"/>
          <w:sz w:val="24"/>
          <w:szCs w:val="24"/>
          <w:lang w:eastAsia="cs-CZ"/>
        </w:rPr>
      </w:pPr>
      <w:r w:rsidRPr="00932561">
        <w:rPr>
          <w:rFonts w:ascii="Calibri" w:eastAsia="Times New Roman" w:hAnsi="Calibri" w:cs="Calibri"/>
          <w:noProof/>
          <w:lang w:eastAsia="cs-CZ"/>
        </w:rPr>
        <mc:AlternateContent>
          <mc:Choice Requires="wps">
            <w:drawing>
              <wp:anchor distT="45720" distB="45720" distL="114300" distR="114300" simplePos="0" relativeHeight="251702272" behindDoc="0" locked="0" layoutInCell="1" allowOverlap="1" wp14:anchorId="4ECBDCB7" wp14:editId="7DDF31F1">
                <wp:simplePos x="0" y="0"/>
                <wp:positionH relativeFrom="margin">
                  <wp:align>left</wp:align>
                </wp:positionH>
                <wp:positionV relativeFrom="paragraph">
                  <wp:posOffset>263525</wp:posOffset>
                </wp:positionV>
                <wp:extent cx="5734050" cy="828675"/>
                <wp:effectExtent l="0" t="0" r="19050" b="28575"/>
                <wp:wrapSquare wrapText="bothSides"/>
                <wp:docPr id="8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28675"/>
                        </a:xfrm>
                        <a:prstGeom prst="rect">
                          <a:avLst/>
                        </a:prstGeom>
                        <a:solidFill>
                          <a:srgbClr val="FFFFFF"/>
                        </a:solidFill>
                        <a:ln w="9525">
                          <a:solidFill>
                            <a:srgbClr val="000000"/>
                          </a:solidFill>
                          <a:miter lim="800000"/>
                          <a:headEnd/>
                          <a:tailEnd/>
                        </a:ln>
                      </wps:spPr>
                      <wps:txbx>
                        <w:txbxContent>
                          <w:p w14:paraId="69E5BD7A"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BDCB7" id="_x0000_s1034" type="#_x0000_t202" style="position:absolute;margin-left:0;margin-top:20.75pt;width:451.5pt;height:65.25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">
                <v:textbox>
                  <w:txbxContent>
                    <w:p w14:paraId="69E5BD7A" w14:textId="77777777" w:rsidR="00332A29" w:rsidRDefault="00332A29" w:rsidP="006E1FCB"/>
                  </w:txbxContent>
                </v:textbox>
                <w10:wrap type="square" anchorx="margin"/>
              </v:shape>
            </w:pict>
          </mc:Fallback>
        </mc:AlternateContent>
      </w:r>
      <w:r w:rsidRPr="00932561">
        <w:rPr>
          <w:rFonts w:ascii="Calibri" w:eastAsia="Times New Roman" w:hAnsi="Calibri" w:cs="Calibri"/>
          <w:b/>
          <w:shd w:val="clear" w:color="auto" w:fill="F2F2F2"/>
          <w:lang w:eastAsia="cs-CZ"/>
        </w:rPr>
        <w:t xml:space="preserve">19a Které profese dlouhodobě postrádáte:  </w:t>
      </w:r>
    </w:p>
    <w:p w14:paraId="787A05E2" w14:textId="77777777" w:rsidR="006E1FCB" w:rsidRPr="00932561" w:rsidRDefault="006E1FCB" w:rsidP="00A55F7D">
      <w:pPr>
        <w:numPr>
          <w:ilvl w:val="0"/>
          <w:numId w:val="96"/>
        </w:numPr>
        <w:shd w:val="pct10" w:color="000000" w:fill="FFFFFF"/>
        <w:spacing w:before="0"/>
        <w:ind w:left="284" w:hanging="284"/>
        <w:jc w:val="left"/>
        <w:rPr>
          <w:rFonts w:ascii="Calibri" w:eastAsia="Times New Roman" w:hAnsi="Calibri" w:cs="Calibri"/>
          <w:b/>
          <w:lang w:eastAsia="cs-CZ"/>
        </w:rPr>
      </w:pPr>
      <w:r w:rsidRPr="00932561">
        <w:rPr>
          <w:rFonts w:ascii="Calibri" w:eastAsia="Times New Roman" w:hAnsi="Calibri" w:cs="Calibri"/>
          <w:b/>
          <w:lang w:eastAsia="cs-CZ"/>
        </w:rPr>
        <w:t xml:space="preserve"> Předpokládáte, že budete v nejbližší budoucnosti:</w:t>
      </w:r>
    </w:p>
    <w:tbl>
      <w:tblPr>
        <w:tblStyle w:val="Prosttabulka11"/>
        <w:tblW w:w="9072" w:type="dxa"/>
        <w:tblInd w:w="-5" w:type="dxa"/>
        <w:tblLook w:val="04A0" w:firstRow="1" w:lastRow="0" w:firstColumn="1" w:lastColumn="0" w:noHBand="0" w:noVBand="1"/>
      </w:tblPr>
      <w:tblGrid>
        <w:gridCol w:w="8222"/>
        <w:gridCol w:w="850"/>
      </w:tblGrid>
      <w:tr w:rsidR="006E1FCB" w:rsidRPr="00932561" w14:paraId="21222E1E" w14:textId="77777777" w:rsidTr="000931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22" w:type="dxa"/>
          </w:tcPr>
          <w:p w14:paraId="7C409A05" w14:textId="77777777" w:rsidR="006E1FCB" w:rsidRPr="00932561" w:rsidRDefault="006E1FCB" w:rsidP="00A55F7D">
            <w:pPr>
              <w:numPr>
                <w:ilvl w:val="0"/>
                <w:numId w:val="109"/>
              </w:numPr>
              <w:spacing w:before="0"/>
              <w:jc w:val="left"/>
              <w:rPr>
                <w:rFonts w:ascii="Calibri" w:hAnsi="Calibri" w:cs="Calibri"/>
                <w:b w:val="0"/>
              </w:rPr>
            </w:pPr>
            <w:r w:rsidRPr="00932561">
              <w:rPr>
                <w:rFonts w:ascii="Calibri" w:hAnsi="Calibri" w:cs="Calibri"/>
                <w:b w:val="0"/>
              </w:rPr>
              <w:t>Přijímat nové zaměstnance</w:t>
            </w:r>
          </w:p>
        </w:tc>
        <w:tc>
          <w:tcPr>
            <w:tcW w:w="850" w:type="dxa"/>
            <w:vAlign w:val="center"/>
          </w:tcPr>
          <w:p w14:paraId="5561B9CF" w14:textId="77777777" w:rsidR="006E1FCB" w:rsidRPr="00932561" w:rsidRDefault="006E1FCB" w:rsidP="000931EA">
            <w:pPr>
              <w:spacing w:before="0"/>
              <w:jc w:val="center"/>
              <w:cnfStyle w:val="100000000000" w:firstRow="1" w:lastRow="0" w:firstColumn="0" w:lastColumn="0" w:oddVBand="0" w:evenVBand="0" w:oddHBand="0" w:evenHBand="0" w:firstRowFirstColumn="0" w:firstRowLastColumn="0" w:lastRowFirstColumn="0" w:lastRowLastColumn="0"/>
              <w:rPr>
                <w:b w:val="0"/>
                <w:sz w:val="24"/>
                <w:szCs w:val="24"/>
              </w:rPr>
            </w:pPr>
          </w:p>
        </w:tc>
      </w:tr>
      <w:tr w:rsidR="006E1FCB" w:rsidRPr="00932561" w14:paraId="137A765C"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22" w:type="dxa"/>
          </w:tcPr>
          <w:p w14:paraId="374FE84D" w14:textId="77777777" w:rsidR="006E1FCB" w:rsidRPr="00932561" w:rsidRDefault="006E1FCB" w:rsidP="00A55F7D">
            <w:pPr>
              <w:numPr>
                <w:ilvl w:val="0"/>
                <w:numId w:val="109"/>
              </w:numPr>
              <w:spacing w:before="0"/>
              <w:contextualSpacing/>
              <w:jc w:val="left"/>
              <w:rPr>
                <w:rFonts w:ascii="Calibri" w:hAnsi="Calibri" w:cs="Calibri"/>
                <w:b w:val="0"/>
              </w:rPr>
            </w:pPr>
            <w:r w:rsidRPr="00932561">
              <w:rPr>
                <w:rFonts w:ascii="Calibri" w:hAnsi="Calibri" w:cs="Calibri"/>
                <w:b w:val="0"/>
              </w:rPr>
              <w:t>Propouštět zaměstnance</w:t>
            </w:r>
          </w:p>
        </w:tc>
        <w:tc>
          <w:tcPr>
            <w:tcW w:w="850" w:type="dxa"/>
            <w:vAlign w:val="center"/>
          </w:tcPr>
          <w:p w14:paraId="0F8F9CAE"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E1FCB" w:rsidRPr="00932561" w14:paraId="49D652F9" w14:textId="77777777" w:rsidTr="000931EA">
        <w:tc>
          <w:tcPr>
            <w:cnfStyle w:val="001000000000" w:firstRow="0" w:lastRow="0" w:firstColumn="1" w:lastColumn="0" w:oddVBand="0" w:evenVBand="0" w:oddHBand="0" w:evenHBand="0" w:firstRowFirstColumn="0" w:firstRowLastColumn="0" w:lastRowFirstColumn="0" w:lastRowLastColumn="0"/>
            <w:tcW w:w="8222" w:type="dxa"/>
          </w:tcPr>
          <w:p w14:paraId="5C1B7545" w14:textId="77777777" w:rsidR="006E1FCB" w:rsidRPr="00932561" w:rsidRDefault="006E1FCB" w:rsidP="00A55F7D">
            <w:pPr>
              <w:numPr>
                <w:ilvl w:val="0"/>
                <w:numId w:val="109"/>
              </w:numPr>
              <w:spacing w:before="0"/>
              <w:contextualSpacing/>
              <w:jc w:val="left"/>
              <w:rPr>
                <w:rFonts w:ascii="Calibri" w:hAnsi="Calibri" w:cs="Calibri"/>
                <w:b w:val="0"/>
              </w:rPr>
            </w:pPr>
            <w:r w:rsidRPr="00932561">
              <w:rPr>
                <w:rFonts w:ascii="Calibri" w:hAnsi="Calibri" w:cs="Calibri"/>
                <w:b w:val="0"/>
              </w:rPr>
              <w:t>Udržíte stabilní stav zaměstnanců</w:t>
            </w:r>
          </w:p>
        </w:tc>
        <w:tc>
          <w:tcPr>
            <w:tcW w:w="850" w:type="dxa"/>
            <w:vAlign w:val="center"/>
          </w:tcPr>
          <w:p w14:paraId="246ECDB5" w14:textId="77777777" w:rsidR="006E1FCB" w:rsidRPr="00932561" w:rsidRDefault="006E1FCB" w:rsidP="000931EA">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p>
        </w:tc>
      </w:tr>
      <w:tr w:rsidR="006E1FCB" w:rsidRPr="00932561" w14:paraId="74600300" w14:textId="77777777" w:rsidTr="00093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22" w:type="dxa"/>
          </w:tcPr>
          <w:p w14:paraId="3E39F977" w14:textId="77777777" w:rsidR="006E1FCB" w:rsidRPr="00932561" w:rsidRDefault="006E1FCB" w:rsidP="00A55F7D">
            <w:pPr>
              <w:numPr>
                <w:ilvl w:val="0"/>
                <w:numId w:val="109"/>
              </w:numPr>
              <w:spacing w:before="0"/>
              <w:jc w:val="left"/>
              <w:rPr>
                <w:rFonts w:ascii="Calibri" w:hAnsi="Calibri" w:cs="Calibri"/>
                <w:b w:val="0"/>
              </w:rPr>
            </w:pPr>
            <w:r w:rsidRPr="00932561">
              <w:rPr>
                <w:rFonts w:ascii="Calibri" w:hAnsi="Calibri" w:cs="Calibri"/>
                <w:b w:val="0"/>
              </w:rPr>
              <w:t>V současné době nedokážu posoudit</w:t>
            </w:r>
          </w:p>
        </w:tc>
        <w:tc>
          <w:tcPr>
            <w:tcW w:w="850" w:type="dxa"/>
            <w:vAlign w:val="center"/>
          </w:tcPr>
          <w:p w14:paraId="5124305B" w14:textId="77777777" w:rsidR="006E1FCB" w:rsidRPr="00932561" w:rsidRDefault="006E1FCB" w:rsidP="000931EA">
            <w:pPr>
              <w:spacing w:befor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p>
        </w:tc>
      </w:tr>
    </w:tbl>
    <w:p w14:paraId="225FFF14" w14:textId="77777777" w:rsidR="006E1FCB" w:rsidRPr="00932561" w:rsidRDefault="006E1FCB" w:rsidP="006E1FCB">
      <w:pPr>
        <w:spacing w:before="0"/>
        <w:jc w:val="left"/>
        <w:rPr>
          <w:rFonts w:ascii="Calibri" w:eastAsia="Times New Roman" w:hAnsi="Calibri" w:cs="Calibri"/>
          <w:b/>
          <w:shd w:val="clear" w:color="auto" w:fill="F2F2F2"/>
          <w:lang w:eastAsia="cs-CZ"/>
        </w:rPr>
      </w:pPr>
    </w:p>
    <w:p w14:paraId="57C96147" w14:textId="77777777" w:rsidR="006E1FCB" w:rsidRPr="00932561" w:rsidRDefault="006E1FCB" w:rsidP="006E1FCB">
      <w:pPr>
        <w:spacing w:before="0"/>
        <w:jc w:val="left"/>
        <w:rPr>
          <w:rFonts w:ascii="Calibri Light" w:eastAsia="Times New Roman" w:hAnsi="Calibri Light" w:cs="Times New Roman"/>
          <w:sz w:val="24"/>
          <w:szCs w:val="24"/>
          <w:lang w:eastAsia="cs-CZ"/>
        </w:rPr>
      </w:pPr>
      <w:r w:rsidRPr="00932561">
        <w:rPr>
          <w:rFonts w:ascii="Calibri" w:eastAsia="Times New Roman" w:hAnsi="Calibri" w:cs="Calibri"/>
          <w:noProof/>
          <w:lang w:eastAsia="cs-CZ"/>
        </w:rPr>
        <mc:AlternateContent>
          <mc:Choice Requires="wps">
            <w:drawing>
              <wp:anchor distT="45720" distB="45720" distL="114300" distR="114300" simplePos="0" relativeHeight="251703296" behindDoc="0" locked="0" layoutInCell="1" allowOverlap="1" wp14:anchorId="768BE61B" wp14:editId="700787E0">
                <wp:simplePos x="0" y="0"/>
                <wp:positionH relativeFrom="margin">
                  <wp:align>left</wp:align>
                </wp:positionH>
                <wp:positionV relativeFrom="paragraph">
                  <wp:posOffset>445135</wp:posOffset>
                </wp:positionV>
                <wp:extent cx="5734050" cy="828675"/>
                <wp:effectExtent l="0" t="0" r="19050" b="28575"/>
                <wp:wrapSquare wrapText="bothSides"/>
                <wp:docPr id="8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28675"/>
                        </a:xfrm>
                        <a:prstGeom prst="rect">
                          <a:avLst/>
                        </a:prstGeom>
                        <a:solidFill>
                          <a:srgbClr val="FFFFFF"/>
                        </a:solidFill>
                        <a:ln w="9525">
                          <a:solidFill>
                            <a:srgbClr val="000000"/>
                          </a:solidFill>
                          <a:miter lim="800000"/>
                          <a:headEnd/>
                          <a:tailEnd/>
                        </a:ln>
                      </wps:spPr>
                      <wps:txbx>
                        <w:txbxContent>
                          <w:p w14:paraId="5B585E8C"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BE61B" id="_x0000_s1035" type="#_x0000_t202" style="position:absolute;margin-left:0;margin-top:35.05pt;width:451.5pt;height:65.25pt;z-index:251703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">
                <v:textbox>
                  <w:txbxContent>
                    <w:p w14:paraId="5B585E8C" w14:textId="77777777" w:rsidR="00332A29" w:rsidRDefault="00332A29" w:rsidP="006E1FCB"/>
                  </w:txbxContent>
                </v:textbox>
                <w10:wrap type="square" anchorx="margin"/>
              </v:shape>
            </w:pict>
          </mc:Fallback>
        </mc:AlternateContent>
      </w:r>
      <w:r w:rsidRPr="00932561">
        <w:rPr>
          <w:rFonts w:ascii="Calibri" w:eastAsia="Times New Roman" w:hAnsi="Calibri" w:cs="Calibri"/>
          <w:b/>
          <w:shd w:val="clear" w:color="auto" w:fill="F2F2F2"/>
          <w:lang w:eastAsia="cs-CZ"/>
        </w:rPr>
        <w:t>20a Pokud se chystáte přijímat nové zaměstnance, uveďte orientačně počet zaměstnanců, které chcete přijmout v následujícím 1 roce</w:t>
      </w:r>
      <w:r w:rsidRPr="00932561">
        <w:rPr>
          <w:rFonts w:ascii="Calibri Light" w:eastAsia="Times New Roman" w:hAnsi="Calibri Light" w:cs="Times New Roman"/>
          <w:sz w:val="24"/>
          <w:szCs w:val="24"/>
          <w:lang w:eastAsia="cs-CZ"/>
        </w:rPr>
        <w:t>:</w:t>
      </w:r>
    </w:p>
    <w:p w14:paraId="63A5D7C7" w14:textId="77777777" w:rsidR="006E1FCB" w:rsidRDefault="006E1FCB" w:rsidP="006E1FCB">
      <w:pPr>
        <w:spacing w:before="0"/>
        <w:jc w:val="left"/>
        <w:rPr>
          <w:rFonts w:ascii="Calibri" w:eastAsia="Times New Roman" w:hAnsi="Calibri" w:cs="Calibri"/>
          <w:lang w:eastAsia="cs-CZ"/>
        </w:rPr>
      </w:pPr>
    </w:p>
    <w:p w14:paraId="6C53D837" w14:textId="77777777" w:rsidR="006E1FCB" w:rsidRDefault="006E1FCB" w:rsidP="006E1FCB">
      <w:pPr>
        <w:spacing w:before="0"/>
        <w:jc w:val="left"/>
        <w:rPr>
          <w:rFonts w:ascii="Calibri" w:eastAsia="Times New Roman" w:hAnsi="Calibri" w:cs="Calibri"/>
          <w:lang w:eastAsia="cs-CZ"/>
        </w:rPr>
      </w:pPr>
    </w:p>
    <w:p w14:paraId="679A9789" w14:textId="77777777" w:rsidR="006E1FCB" w:rsidRDefault="006E1FCB" w:rsidP="006E1FCB">
      <w:pPr>
        <w:spacing w:before="0"/>
        <w:jc w:val="left"/>
        <w:rPr>
          <w:rFonts w:ascii="Calibri" w:eastAsia="Times New Roman" w:hAnsi="Calibri" w:cs="Calibri"/>
          <w:lang w:eastAsia="cs-CZ"/>
        </w:rPr>
      </w:pPr>
    </w:p>
    <w:p w14:paraId="30B44FCB" w14:textId="77777777" w:rsidR="006E1FCB" w:rsidRDefault="006E1FCB" w:rsidP="006E1FCB">
      <w:pPr>
        <w:spacing w:before="0"/>
        <w:jc w:val="left"/>
        <w:rPr>
          <w:rFonts w:ascii="Calibri" w:eastAsia="Times New Roman" w:hAnsi="Calibri" w:cs="Calibri"/>
          <w:lang w:eastAsia="cs-CZ"/>
        </w:rPr>
      </w:pPr>
    </w:p>
    <w:p w14:paraId="0A33EC86" w14:textId="07C538D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vanish/>
          <w:lang w:eastAsia="cs-CZ"/>
        </w:rPr>
      </w:pPr>
      <w:r w:rsidRPr="00932561">
        <w:rPr>
          <w:rFonts w:ascii="Calibri" w:eastAsia="Times New Roman" w:hAnsi="Calibri" w:cs="Calibri"/>
          <w:b/>
          <w:lang w:eastAsia="cs-CZ"/>
        </w:rPr>
        <w:t>Jakým způsobem se Vaše podnikatelská činnost může podílet na rozvoji Zlína v</w:t>
      </w:r>
      <w:r w:rsidR="00F63C14">
        <w:rPr>
          <w:rFonts w:ascii="Calibri" w:eastAsia="Times New Roman" w:hAnsi="Calibri" w:cs="Calibri"/>
          <w:b/>
          <w:lang w:eastAsia="cs-CZ"/>
        </w:rPr>
        <w:t> </w:t>
      </w:r>
      <w:r w:rsidRPr="00932561">
        <w:rPr>
          <w:rFonts w:ascii="Calibri" w:eastAsia="Times New Roman" w:hAnsi="Calibri" w:cs="Calibri"/>
          <w:b/>
          <w:lang w:eastAsia="cs-CZ"/>
        </w:rPr>
        <w:t>následujících</w:t>
      </w:r>
      <w:r w:rsidR="00F63C14">
        <w:rPr>
          <w:rFonts w:ascii="Calibri" w:eastAsia="Times New Roman" w:hAnsi="Calibri" w:cs="Calibri"/>
          <w:b/>
          <w:lang w:eastAsia="cs-CZ"/>
        </w:rPr>
        <w:t xml:space="preserve"> </w:t>
      </w:r>
      <w:r w:rsidRPr="00932561">
        <w:rPr>
          <w:rFonts w:ascii="Calibri" w:eastAsia="Times New Roman" w:hAnsi="Calibri" w:cs="Calibri"/>
          <w:b/>
          <w:lang w:eastAsia="cs-CZ"/>
        </w:rPr>
        <w:t>5</w:t>
      </w:r>
      <w:r w:rsidR="00F63C14">
        <w:rPr>
          <w:rFonts w:ascii="Calibri" w:eastAsia="Times New Roman" w:hAnsi="Calibri" w:cs="Calibri"/>
          <w:b/>
          <w:lang w:eastAsia="cs-CZ"/>
        </w:rPr>
        <w:t> </w:t>
      </w:r>
      <w:r w:rsidRPr="00932561">
        <w:rPr>
          <w:rFonts w:ascii="Calibri" w:eastAsia="Times New Roman" w:hAnsi="Calibri" w:cs="Calibri"/>
          <w:b/>
          <w:lang w:eastAsia="cs-CZ"/>
        </w:rPr>
        <w:t>letech?</w:t>
      </w:r>
    </w:p>
    <w:p w14:paraId="0505897B" w14:textId="77777777" w:rsidR="006E1FCB" w:rsidRPr="00932561" w:rsidRDefault="006E1FCB" w:rsidP="006E1F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spacing w:before="0"/>
        <w:jc w:val="left"/>
        <w:rPr>
          <w:rFonts w:ascii="Calibri" w:eastAsia="Times New Roman" w:hAnsi="Calibri" w:cs="Calibri"/>
          <w:b/>
          <w:lang w:eastAsia="cs-CZ"/>
        </w:rPr>
      </w:pPr>
      <w:r w:rsidRPr="00932561">
        <w:rPr>
          <w:rFonts w:ascii="Calibri" w:eastAsia="Times New Roman" w:hAnsi="Calibri" w:cs="Calibri"/>
          <w:b/>
          <w:lang w:eastAsia="cs-CZ"/>
        </w:rPr>
        <w:t xml:space="preserve"> </w:t>
      </w:r>
    </w:p>
    <w:p w14:paraId="4077DB05" w14:textId="77777777" w:rsidR="006E1FCB" w:rsidRPr="00932561" w:rsidRDefault="006E1FCB" w:rsidP="006E1FCB">
      <w:pPr>
        <w:spacing w:before="0"/>
        <w:jc w:val="left"/>
        <w:rPr>
          <w:rFonts w:ascii="Calibri" w:eastAsia="Times New Roman" w:hAnsi="Calibri" w:cs="Calibri"/>
          <w:lang w:eastAsia="cs-CZ"/>
        </w:rPr>
      </w:pPr>
      <w:r w:rsidRPr="00932561">
        <w:rPr>
          <w:rFonts w:ascii="Calibri" w:eastAsia="Times New Roman" w:hAnsi="Calibri" w:cs="Calibri"/>
          <w:noProof/>
          <w:lang w:eastAsia="cs-CZ"/>
        </w:rPr>
        <mc:AlternateContent>
          <mc:Choice Requires="wps">
            <w:drawing>
              <wp:anchor distT="45720" distB="45720" distL="114300" distR="114300" simplePos="0" relativeHeight="251704320" behindDoc="0" locked="0" layoutInCell="1" allowOverlap="1" wp14:anchorId="6BF49622" wp14:editId="213076A3">
                <wp:simplePos x="0" y="0"/>
                <wp:positionH relativeFrom="margin">
                  <wp:posOffset>0</wp:posOffset>
                </wp:positionH>
                <wp:positionV relativeFrom="paragraph">
                  <wp:posOffset>217170</wp:posOffset>
                </wp:positionV>
                <wp:extent cx="5734050" cy="828675"/>
                <wp:effectExtent l="0" t="0" r="19050" b="28575"/>
                <wp:wrapSquare wrapText="bothSides"/>
                <wp:docPr id="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28675"/>
                        </a:xfrm>
                        <a:prstGeom prst="rect">
                          <a:avLst/>
                        </a:prstGeom>
                        <a:solidFill>
                          <a:srgbClr val="FFFFFF"/>
                        </a:solidFill>
                        <a:ln w="9525">
                          <a:solidFill>
                            <a:srgbClr val="000000"/>
                          </a:solidFill>
                          <a:miter lim="800000"/>
                          <a:headEnd/>
                          <a:tailEnd/>
                        </a:ln>
                      </wps:spPr>
                      <wps:txbx>
                        <w:txbxContent>
                          <w:p w14:paraId="12EDFF7F"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49622" id="_x0000_s1036" type="#_x0000_t202" style="position:absolute;margin-left:0;margin-top:17.1pt;width:451.5pt;height:65.2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">
                <v:textbox>
                  <w:txbxContent>
                    <w:p w14:paraId="12EDFF7F" w14:textId="77777777" w:rsidR="00332A29" w:rsidRDefault="00332A29" w:rsidP="006E1FCB"/>
                  </w:txbxContent>
                </v:textbox>
                <w10:wrap type="square" anchorx="margin"/>
              </v:shape>
            </w:pict>
          </mc:Fallback>
        </mc:AlternateContent>
      </w:r>
    </w:p>
    <w:p w14:paraId="511A3684" w14:textId="77777777" w:rsidR="006E1FCB" w:rsidRPr="00932561" w:rsidRDefault="006E1FCB" w:rsidP="006E1FCB">
      <w:pPr>
        <w:spacing w:before="0"/>
        <w:jc w:val="left"/>
        <w:rPr>
          <w:rFonts w:ascii="Calibri" w:eastAsia="Times New Roman" w:hAnsi="Calibri" w:cs="Calibri"/>
          <w:lang w:eastAsia="cs-CZ"/>
        </w:rPr>
      </w:pPr>
    </w:p>
    <w:p w14:paraId="75AA4EC6"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705344" behindDoc="0" locked="0" layoutInCell="1" allowOverlap="1" wp14:anchorId="5B440E6D" wp14:editId="5CEA42D0">
                <wp:simplePos x="0" y="0"/>
                <wp:positionH relativeFrom="margin">
                  <wp:align>left</wp:align>
                </wp:positionH>
                <wp:positionV relativeFrom="paragraph">
                  <wp:posOffset>310515</wp:posOffset>
                </wp:positionV>
                <wp:extent cx="5734050" cy="828675"/>
                <wp:effectExtent l="0" t="0" r="19050" b="28575"/>
                <wp:wrapSquare wrapText="bothSides"/>
                <wp:docPr id="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28675"/>
                        </a:xfrm>
                        <a:prstGeom prst="rect">
                          <a:avLst/>
                        </a:prstGeom>
                        <a:solidFill>
                          <a:srgbClr val="FFFFFF"/>
                        </a:solidFill>
                        <a:ln w="9525">
                          <a:solidFill>
                            <a:srgbClr val="000000"/>
                          </a:solidFill>
                          <a:miter lim="800000"/>
                          <a:headEnd/>
                          <a:tailEnd/>
                        </a:ln>
                      </wps:spPr>
                      <wps:txbx>
                        <w:txbxContent>
                          <w:p w14:paraId="003CAB50"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40E6D" id="_x0000_s1037" type="#_x0000_t202" style="position:absolute;left:0;text-align:left;margin-left:0;margin-top:24.45pt;width:451.5pt;height:65.25pt;z-index:2517053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">
                <v:textbox>
                  <w:txbxContent>
                    <w:p w14:paraId="003CAB50" w14:textId="77777777" w:rsidR="00332A29" w:rsidRDefault="00332A29" w:rsidP="006E1FCB"/>
                  </w:txbxContent>
                </v:textbox>
                <w10:wrap type="square" anchorx="margin"/>
              </v:shape>
            </w:pict>
          </mc:Fallback>
        </mc:AlternateContent>
      </w:r>
      <w:r w:rsidRPr="00932561">
        <w:rPr>
          <w:rFonts w:ascii="Calibri" w:eastAsia="Times New Roman" w:hAnsi="Calibri" w:cs="Calibri"/>
          <w:b/>
          <w:lang w:eastAsia="cs-CZ"/>
        </w:rPr>
        <w:t>Co byste ještě chtěli sdělit?</w:t>
      </w:r>
    </w:p>
    <w:p w14:paraId="219D068E" w14:textId="77777777" w:rsidR="006E1FCB" w:rsidRPr="00932561" w:rsidRDefault="006E1FCB" w:rsidP="006E1F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spacing w:before="0"/>
        <w:jc w:val="left"/>
        <w:rPr>
          <w:rFonts w:ascii="Calibri" w:eastAsia="Times New Roman" w:hAnsi="Calibri" w:cs="Calibri"/>
          <w:b/>
          <w:lang w:eastAsia="cs-CZ"/>
        </w:rPr>
      </w:pPr>
    </w:p>
    <w:p w14:paraId="20113C8C" w14:textId="77777777" w:rsidR="006E1FCB" w:rsidRPr="00595741" w:rsidRDefault="006E1FCB" w:rsidP="006E1FCB">
      <w:pPr>
        <w:jc w:val="center"/>
        <w:rPr>
          <w:b/>
          <w:u w:val="single"/>
          <w:lang w:eastAsia="cs-CZ"/>
        </w:rPr>
      </w:pPr>
      <w:bookmarkStart w:id="1004" w:name="_Toc50449117"/>
      <w:r w:rsidRPr="00595741">
        <w:rPr>
          <w:b/>
          <w:u w:val="single"/>
          <w:lang w:eastAsia="cs-CZ"/>
        </w:rPr>
        <w:t>Následující údaje slouží pro zpracování odpovědí</w:t>
      </w:r>
      <w:bookmarkEnd w:id="1004"/>
    </w:p>
    <w:p w14:paraId="504C7ADC" w14:textId="77777777" w:rsidR="006E1FCB" w:rsidRPr="00932561" w:rsidRDefault="006E1FCB" w:rsidP="006E1FCB">
      <w:pPr>
        <w:spacing w:before="0"/>
        <w:jc w:val="left"/>
        <w:rPr>
          <w:rFonts w:ascii="Calibri" w:eastAsia="Times New Roman" w:hAnsi="Calibri" w:cs="Calibri"/>
          <w:lang w:eastAsia="cs-CZ"/>
        </w:rPr>
      </w:pPr>
    </w:p>
    <w:p w14:paraId="21122603"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Převažující odvětví podnikatelské činnosti na základě obratu je:</w:t>
      </w:r>
    </w:p>
    <w:p w14:paraId="5048FDA2" w14:textId="77777777" w:rsidR="006E1FCB" w:rsidRPr="00932561" w:rsidRDefault="006E1FCB" w:rsidP="006E1FCB">
      <w:pPr>
        <w:tabs>
          <w:tab w:val="left" w:pos="1620"/>
        </w:tabs>
        <w:spacing w:before="0"/>
        <w:jc w:val="left"/>
        <w:rPr>
          <w:rFonts w:ascii="Calibri" w:eastAsia="Times New Roman" w:hAnsi="Calibri" w:cs="Calibri"/>
          <w:b/>
          <w:lang w:eastAsia="cs-CZ"/>
        </w:rPr>
      </w:pPr>
    </w:p>
    <w:tbl>
      <w:tblPr>
        <w:tblW w:w="0" w:type="auto"/>
        <w:tblLayout w:type="fixed"/>
        <w:tblCellMar>
          <w:left w:w="70" w:type="dxa"/>
          <w:right w:w="70" w:type="dxa"/>
        </w:tblCellMar>
        <w:tblLook w:val="0000" w:firstRow="0" w:lastRow="0" w:firstColumn="0" w:lastColumn="0" w:noHBand="0" w:noVBand="0"/>
      </w:tblPr>
      <w:tblGrid>
        <w:gridCol w:w="430"/>
        <w:gridCol w:w="4176"/>
        <w:gridCol w:w="504"/>
        <w:gridCol w:w="4102"/>
      </w:tblGrid>
      <w:tr w:rsidR="006E1FCB" w:rsidRPr="00932561" w14:paraId="08647AED" w14:textId="77777777" w:rsidTr="000931EA">
        <w:tc>
          <w:tcPr>
            <w:tcW w:w="430" w:type="dxa"/>
          </w:tcPr>
          <w:p w14:paraId="1B3700B4"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1</w:t>
            </w:r>
          </w:p>
        </w:tc>
        <w:tc>
          <w:tcPr>
            <w:tcW w:w="4176" w:type="dxa"/>
          </w:tcPr>
          <w:p w14:paraId="2822AC7E"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zemědělství, myslivost, lesnictví</w:t>
            </w:r>
          </w:p>
        </w:tc>
        <w:tc>
          <w:tcPr>
            <w:tcW w:w="504" w:type="dxa"/>
          </w:tcPr>
          <w:p w14:paraId="554032F7"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7</w:t>
            </w:r>
          </w:p>
        </w:tc>
        <w:tc>
          <w:tcPr>
            <w:tcW w:w="4102" w:type="dxa"/>
          </w:tcPr>
          <w:p w14:paraId="1AF01BBA"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doprava, skladování a spoje</w:t>
            </w:r>
          </w:p>
        </w:tc>
      </w:tr>
      <w:tr w:rsidR="006E1FCB" w:rsidRPr="00932561" w14:paraId="6F124F0D" w14:textId="77777777" w:rsidTr="000931EA">
        <w:tc>
          <w:tcPr>
            <w:tcW w:w="430" w:type="dxa"/>
          </w:tcPr>
          <w:p w14:paraId="11CC8D19"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2</w:t>
            </w:r>
          </w:p>
        </w:tc>
        <w:tc>
          <w:tcPr>
            <w:tcW w:w="4176" w:type="dxa"/>
          </w:tcPr>
          <w:p w14:paraId="6F4DB7FE"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zpracovatelský průmysl</w:t>
            </w:r>
          </w:p>
        </w:tc>
        <w:tc>
          <w:tcPr>
            <w:tcW w:w="504" w:type="dxa"/>
          </w:tcPr>
          <w:p w14:paraId="13988928"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8</w:t>
            </w:r>
          </w:p>
        </w:tc>
        <w:tc>
          <w:tcPr>
            <w:tcW w:w="4102" w:type="dxa"/>
          </w:tcPr>
          <w:p w14:paraId="5DD27D00"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finanční zprostředkování</w:t>
            </w:r>
          </w:p>
        </w:tc>
      </w:tr>
      <w:tr w:rsidR="006E1FCB" w:rsidRPr="00932561" w14:paraId="3BE4A400" w14:textId="77777777" w:rsidTr="000931EA">
        <w:tc>
          <w:tcPr>
            <w:tcW w:w="430" w:type="dxa"/>
          </w:tcPr>
          <w:p w14:paraId="2C6F8EB3"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3</w:t>
            </w:r>
          </w:p>
        </w:tc>
        <w:tc>
          <w:tcPr>
            <w:tcW w:w="4176" w:type="dxa"/>
          </w:tcPr>
          <w:p w14:paraId="4EC22EEF"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výroba a rozvod elektřiny, plynu a vody</w:t>
            </w:r>
          </w:p>
        </w:tc>
        <w:tc>
          <w:tcPr>
            <w:tcW w:w="504" w:type="dxa"/>
          </w:tcPr>
          <w:p w14:paraId="0A8F72B9"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9</w:t>
            </w:r>
          </w:p>
        </w:tc>
        <w:tc>
          <w:tcPr>
            <w:tcW w:w="4102" w:type="dxa"/>
          </w:tcPr>
          <w:p w14:paraId="3C30EC43"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činnosti v oblasti nemovitostí, pronájmu</w:t>
            </w:r>
          </w:p>
        </w:tc>
      </w:tr>
      <w:tr w:rsidR="006E1FCB" w:rsidRPr="00932561" w14:paraId="2F495BF8" w14:textId="77777777" w:rsidTr="000931EA">
        <w:tc>
          <w:tcPr>
            <w:tcW w:w="430" w:type="dxa"/>
          </w:tcPr>
          <w:p w14:paraId="4D746FC9"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4</w:t>
            </w:r>
          </w:p>
        </w:tc>
        <w:tc>
          <w:tcPr>
            <w:tcW w:w="4176" w:type="dxa"/>
          </w:tcPr>
          <w:p w14:paraId="06F15F6B"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stavebnictví</w:t>
            </w:r>
          </w:p>
        </w:tc>
        <w:tc>
          <w:tcPr>
            <w:tcW w:w="504" w:type="dxa"/>
          </w:tcPr>
          <w:p w14:paraId="74E646D6"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10</w:t>
            </w:r>
          </w:p>
        </w:tc>
        <w:tc>
          <w:tcPr>
            <w:tcW w:w="4102" w:type="dxa"/>
          </w:tcPr>
          <w:p w14:paraId="41387E12"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vzdělávání</w:t>
            </w:r>
          </w:p>
        </w:tc>
      </w:tr>
      <w:tr w:rsidR="006E1FCB" w:rsidRPr="00932561" w14:paraId="4ECBE8D4" w14:textId="77777777" w:rsidTr="000931EA">
        <w:tc>
          <w:tcPr>
            <w:tcW w:w="430" w:type="dxa"/>
          </w:tcPr>
          <w:p w14:paraId="2C5A145C"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5</w:t>
            </w:r>
          </w:p>
        </w:tc>
        <w:tc>
          <w:tcPr>
            <w:tcW w:w="4176" w:type="dxa"/>
          </w:tcPr>
          <w:p w14:paraId="16CBCA0B"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obchod, opravy motor. vozidel a výrobků</w:t>
            </w:r>
          </w:p>
        </w:tc>
        <w:tc>
          <w:tcPr>
            <w:tcW w:w="504" w:type="dxa"/>
          </w:tcPr>
          <w:p w14:paraId="2312B973"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11</w:t>
            </w:r>
          </w:p>
        </w:tc>
        <w:tc>
          <w:tcPr>
            <w:tcW w:w="4102" w:type="dxa"/>
          </w:tcPr>
          <w:p w14:paraId="2061461F"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zdrav. a sociální péče, veterinární činnost</w:t>
            </w:r>
          </w:p>
        </w:tc>
      </w:tr>
      <w:tr w:rsidR="006E1FCB" w:rsidRPr="00932561" w14:paraId="352CA869" w14:textId="77777777" w:rsidTr="000931EA">
        <w:tc>
          <w:tcPr>
            <w:tcW w:w="430" w:type="dxa"/>
          </w:tcPr>
          <w:p w14:paraId="7FAFF77C"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6</w:t>
            </w:r>
          </w:p>
        </w:tc>
        <w:tc>
          <w:tcPr>
            <w:tcW w:w="4176" w:type="dxa"/>
          </w:tcPr>
          <w:p w14:paraId="1CB65486"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ubytování a stravování</w:t>
            </w:r>
          </w:p>
        </w:tc>
        <w:tc>
          <w:tcPr>
            <w:tcW w:w="504" w:type="dxa"/>
          </w:tcPr>
          <w:p w14:paraId="19D5518E"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12</w:t>
            </w:r>
          </w:p>
        </w:tc>
        <w:tc>
          <w:tcPr>
            <w:tcW w:w="4102" w:type="dxa"/>
          </w:tcPr>
          <w:p w14:paraId="27A662E5" w14:textId="77777777" w:rsidR="006E1FCB" w:rsidRPr="00932561" w:rsidRDefault="006E1FCB" w:rsidP="000931EA">
            <w:p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ostatní veřejné, sociální a osobní služby</w:t>
            </w:r>
          </w:p>
        </w:tc>
      </w:tr>
    </w:tbl>
    <w:p w14:paraId="0D4586FC" w14:textId="77777777" w:rsidR="006E1FCB" w:rsidRPr="00932561" w:rsidRDefault="006E1FCB" w:rsidP="006E1FCB">
      <w:pPr>
        <w:tabs>
          <w:tab w:val="left" w:pos="1620"/>
        </w:tabs>
        <w:spacing w:before="0"/>
        <w:jc w:val="left"/>
        <w:rPr>
          <w:rFonts w:ascii="Calibri" w:eastAsia="Times New Roman" w:hAnsi="Calibri" w:cs="Calibri"/>
          <w:lang w:eastAsia="cs-CZ"/>
        </w:rPr>
      </w:pPr>
    </w:p>
    <w:p w14:paraId="3F5825EC"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Zvolte velikost Vašeho podniku podle počtu zaměstnanců:</w:t>
      </w:r>
    </w:p>
    <w:p w14:paraId="33B3A74D" w14:textId="77777777" w:rsidR="006E1FCB" w:rsidRPr="00932561" w:rsidRDefault="006E1FCB" w:rsidP="006E1FCB">
      <w:pPr>
        <w:spacing w:before="0"/>
        <w:jc w:val="left"/>
        <w:rPr>
          <w:rFonts w:ascii="Calibri" w:eastAsia="Times New Roman" w:hAnsi="Calibri" w:cs="Calibri"/>
          <w:lang w:eastAsia="cs-C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2"/>
        <w:gridCol w:w="1080"/>
      </w:tblGrid>
      <w:tr w:rsidR="006E1FCB" w:rsidRPr="00932561" w14:paraId="517A0B06" w14:textId="77777777" w:rsidTr="000931EA">
        <w:tc>
          <w:tcPr>
            <w:tcW w:w="4404" w:type="pct"/>
            <w:shd w:val="clear" w:color="auto" w:fill="auto"/>
          </w:tcPr>
          <w:p w14:paraId="0E260347" w14:textId="77777777" w:rsidR="006E1FCB" w:rsidRPr="00932561" w:rsidRDefault="006E1FCB" w:rsidP="00A55F7D">
            <w:pPr>
              <w:numPr>
                <w:ilvl w:val="0"/>
                <w:numId w:val="101"/>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do 10 zaměstnanců</w:t>
            </w:r>
          </w:p>
        </w:tc>
        <w:tc>
          <w:tcPr>
            <w:tcW w:w="596" w:type="pct"/>
            <w:shd w:val="clear" w:color="auto" w:fill="auto"/>
          </w:tcPr>
          <w:p w14:paraId="63586726" w14:textId="77777777" w:rsidR="006E1FCB" w:rsidRPr="00932561" w:rsidRDefault="006E1FCB" w:rsidP="000931EA">
            <w:pPr>
              <w:spacing w:before="0"/>
              <w:jc w:val="center"/>
              <w:rPr>
                <w:rFonts w:ascii="Calibri" w:eastAsia="Times New Roman" w:hAnsi="Calibri" w:cs="Calibri"/>
                <w:bCs/>
                <w:lang w:eastAsia="cs-CZ"/>
              </w:rPr>
            </w:pPr>
          </w:p>
        </w:tc>
      </w:tr>
      <w:tr w:rsidR="006E1FCB" w:rsidRPr="00932561" w14:paraId="3D542BFA" w14:textId="77777777" w:rsidTr="000931EA">
        <w:tc>
          <w:tcPr>
            <w:tcW w:w="4404" w:type="pct"/>
            <w:shd w:val="clear" w:color="auto" w:fill="auto"/>
          </w:tcPr>
          <w:p w14:paraId="5205C670" w14:textId="77777777" w:rsidR="006E1FCB" w:rsidRPr="00932561" w:rsidRDefault="006E1FCB" w:rsidP="00A55F7D">
            <w:pPr>
              <w:numPr>
                <w:ilvl w:val="0"/>
                <w:numId w:val="101"/>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do 25 zaměstnanců</w:t>
            </w:r>
          </w:p>
        </w:tc>
        <w:tc>
          <w:tcPr>
            <w:tcW w:w="596" w:type="pct"/>
            <w:shd w:val="clear" w:color="auto" w:fill="auto"/>
          </w:tcPr>
          <w:p w14:paraId="429A87AF"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1EE75860" w14:textId="77777777" w:rsidTr="000931EA">
        <w:tc>
          <w:tcPr>
            <w:tcW w:w="4404" w:type="pct"/>
            <w:shd w:val="clear" w:color="auto" w:fill="auto"/>
          </w:tcPr>
          <w:p w14:paraId="6127E2C5" w14:textId="77777777" w:rsidR="006E1FCB" w:rsidRPr="00932561" w:rsidRDefault="006E1FCB" w:rsidP="00A55F7D">
            <w:pPr>
              <w:numPr>
                <w:ilvl w:val="0"/>
                <w:numId w:val="101"/>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do 50 zaměstnanců</w:t>
            </w:r>
          </w:p>
        </w:tc>
        <w:tc>
          <w:tcPr>
            <w:tcW w:w="596" w:type="pct"/>
            <w:shd w:val="clear" w:color="auto" w:fill="auto"/>
          </w:tcPr>
          <w:p w14:paraId="52338E4F"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4C7DFC8E" w14:textId="77777777" w:rsidTr="000931EA">
        <w:tc>
          <w:tcPr>
            <w:tcW w:w="4404" w:type="pct"/>
            <w:shd w:val="clear" w:color="auto" w:fill="auto"/>
          </w:tcPr>
          <w:p w14:paraId="2C360F07" w14:textId="77777777" w:rsidR="006E1FCB" w:rsidRPr="00932561" w:rsidRDefault="006E1FCB" w:rsidP="00A55F7D">
            <w:pPr>
              <w:numPr>
                <w:ilvl w:val="0"/>
                <w:numId w:val="101"/>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do 250 zaměstnanců</w:t>
            </w:r>
          </w:p>
        </w:tc>
        <w:tc>
          <w:tcPr>
            <w:tcW w:w="596" w:type="pct"/>
            <w:shd w:val="clear" w:color="auto" w:fill="auto"/>
          </w:tcPr>
          <w:p w14:paraId="30EB4334"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24B5B07C" w14:textId="77777777" w:rsidTr="000931EA">
        <w:tc>
          <w:tcPr>
            <w:tcW w:w="4404" w:type="pct"/>
            <w:shd w:val="clear" w:color="auto" w:fill="auto"/>
          </w:tcPr>
          <w:p w14:paraId="184EA530" w14:textId="77777777" w:rsidR="006E1FCB" w:rsidRPr="00932561" w:rsidRDefault="006E1FCB" w:rsidP="00A55F7D">
            <w:pPr>
              <w:numPr>
                <w:ilvl w:val="0"/>
                <w:numId w:val="101"/>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více než 250 zaměstnanců</w:t>
            </w:r>
          </w:p>
        </w:tc>
        <w:tc>
          <w:tcPr>
            <w:tcW w:w="596" w:type="pct"/>
            <w:shd w:val="clear" w:color="auto" w:fill="auto"/>
          </w:tcPr>
          <w:p w14:paraId="1C23CE7F" w14:textId="77777777" w:rsidR="006E1FCB" w:rsidRPr="00932561" w:rsidRDefault="006E1FCB" w:rsidP="000931EA">
            <w:pPr>
              <w:spacing w:before="0"/>
              <w:jc w:val="center"/>
              <w:rPr>
                <w:rFonts w:ascii="Calibri" w:eastAsia="Times New Roman" w:hAnsi="Calibri" w:cs="Calibri"/>
                <w:bCs/>
                <w:lang w:eastAsia="cs-CZ"/>
              </w:rPr>
            </w:pPr>
          </w:p>
        </w:tc>
      </w:tr>
    </w:tbl>
    <w:p w14:paraId="6940506C" w14:textId="77777777" w:rsidR="006E1FCB" w:rsidRPr="00932561" w:rsidRDefault="006E1FCB" w:rsidP="006E1FCB">
      <w:pPr>
        <w:tabs>
          <w:tab w:val="left" w:pos="1620"/>
        </w:tabs>
        <w:spacing w:before="0"/>
        <w:jc w:val="left"/>
        <w:rPr>
          <w:rFonts w:ascii="Calibri" w:eastAsia="Times New Roman" w:hAnsi="Calibri" w:cs="Calibri"/>
          <w:lang w:eastAsia="cs-CZ"/>
        </w:rPr>
      </w:pPr>
    </w:p>
    <w:p w14:paraId="635A3518"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706368" behindDoc="0" locked="0" layoutInCell="1" allowOverlap="1" wp14:anchorId="22120FE3" wp14:editId="29F847A4">
                <wp:simplePos x="0" y="0"/>
                <wp:positionH relativeFrom="margin">
                  <wp:align>left</wp:align>
                </wp:positionH>
                <wp:positionV relativeFrom="paragraph">
                  <wp:posOffset>281305</wp:posOffset>
                </wp:positionV>
                <wp:extent cx="5734050" cy="333375"/>
                <wp:effectExtent l="0" t="0" r="19050" b="28575"/>
                <wp:wrapSquare wrapText="bothSides"/>
                <wp:docPr id="9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33375"/>
                        </a:xfrm>
                        <a:prstGeom prst="rect">
                          <a:avLst/>
                        </a:prstGeom>
                        <a:solidFill>
                          <a:srgbClr val="FFFFFF"/>
                        </a:solidFill>
                        <a:ln w="9525">
                          <a:solidFill>
                            <a:srgbClr val="000000"/>
                          </a:solidFill>
                          <a:miter lim="800000"/>
                          <a:headEnd/>
                          <a:tailEnd/>
                        </a:ln>
                      </wps:spPr>
                      <wps:txbx>
                        <w:txbxContent>
                          <w:p w14:paraId="2B62BB16"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20FE3" id="_x0000_s1038" type="#_x0000_t202" style="position:absolute;left:0;text-align:left;margin-left:0;margin-top:22.15pt;width:451.5pt;height:26.25pt;z-index:251706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">
                <v:textbox>
                  <w:txbxContent>
                    <w:p w14:paraId="2B62BB16" w14:textId="77777777" w:rsidR="00332A29" w:rsidRDefault="00332A29" w:rsidP="006E1FCB"/>
                  </w:txbxContent>
                </v:textbox>
                <w10:wrap type="square" anchorx="margin"/>
              </v:shape>
            </w:pict>
          </mc:Fallback>
        </mc:AlternateContent>
      </w:r>
      <w:r w:rsidRPr="00932561">
        <w:rPr>
          <w:rFonts w:ascii="Calibri" w:eastAsia="Times New Roman" w:hAnsi="Calibri" w:cs="Calibri"/>
          <w:b/>
          <w:lang w:eastAsia="cs-CZ"/>
        </w:rPr>
        <w:t>Jméno a příjmení osoby, která dotazník vyplnila</w:t>
      </w:r>
    </w:p>
    <w:p w14:paraId="16B3CF36"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707392" behindDoc="0" locked="0" layoutInCell="1" allowOverlap="1" wp14:anchorId="34E11FB1" wp14:editId="3B899D39">
                <wp:simplePos x="0" y="0"/>
                <wp:positionH relativeFrom="margin">
                  <wp:align>left</wp:align>
                </wp:positionH>
                <wp:positionV relativeFrom="paragraph">
                  <wp:posOffset>790575</wp:posOffset>
                </wp:positionV>
                <wp:extent cx="5734050" cy="333375"/>
                <wp:effectExtent l="0" t="0" r="19050" b="28575"/>
                <wp:wrapSquare wrapText="bothSides"/>
                <wp:docPr id="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33375"/>
                        </a:xfrm>
                        <a:prstGeom prst="rect">
                          <a:avLst/>
                        </a:prstGeom>
                        <a:solidFill>
                          <a:srgbClr val="FFFFFF"/>
                        </a:solidFill>
                        <a:ln w="9525">
                          <a:solidFill>
                            <a:srgbClr val="000000"/>
                          </a:solidFill>
                          <a:miter lim="800000"/>
                          <a:headEnd/>
                          <a:tailEnd/>
                        </a:ln>
                      </wps:spPr>
                      <wps:txbx>
                        <w:txbxContent>
                          <w:p w14:paraId="4ABAF37D"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11FB1" id="_x0000_s1039" type="#_x0000_t202" style="position:absolute;left:0;text-align:left;margin-left:0;margin-top:62.25pt;width:451.5pt;height:26.25pt;z-index:251707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">
                <v:textbox>
                  <w:txbxContent>
                    <w:p w14:paraId="4ABAF37D" w14:textId="77777777" w:rsidR="00332A29" w:rsidRDefault="00332A29" w:rsidP="006E1FCB"/>
                  </w:txbxContent>
                </v:textbox>
                <w10:wrap type="square" anchorx="margin"/>
              </v:shape>
            </w:pict>
          </mc:Fallback>
        </mc:AlternateContent>
      </w:r>
      <w:r w:rsidRPr="00932561">
        <w:rPr>
          <w:rFonts w:ascii="Calibri" w:eastAsia="Times New Roman" w:hAnsi="Calibri" w:cs="Calibri"/>
          <w:b/>
          <w:lang w:eastAsia="cs-CZ"/>
        </w:rPr>
        <w:t>Telefonní kontakt</w:t>
      </w:r>
    </w:p>
    <w:p w14:paraId="0B20F6E7"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708416" behindDoc="0" locked="0" layoutInCell="1" allowOverlap="1" wp14:anchorId="296157F8" wp14:editId="16788AC8">
                <wp:simplePos x="0" y="0"/>
                <wp:positionH relativeFrom="margin">
                  <wp:align>left</wp:align>
                </wp:positionH>
                <wp:positionV relativeFrom="paragraph">
                  <wp:posOffset>763270</wp:posOffset>
                </wp:positionV>
                <wp:extent cx="5734050" cy="333375"/>
                <wp:effectExtent l="0" t="0" r="19050" b="28575"/>
                <wp:wrapSquare wrapText="bothSides"/>
                <wp:docPr id="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33375"/>
                        </a:xfrm>
                        <a:prstGeom prst="rect">
                          <a:avLst/>
                        </a:prstGeom>
                        <a:solidFill>
                          <a:srgbClr val="FFFFFF"/>
                        </a:solidFill>
                        <a:ln w="9525">
                          <a:solidFill>
                            <a:srgbClr val="000000"/>
                          </a:solidFill>
                          <a:miter lim="800000"/>
                          <a:headEnd/>
                          <a:tailEnd/>
                        </a:ln>
                      </wps:spPr>
                      <wps:txbx>
                        <w:txbxContent>
                          <w:p w14:paraId="2430DCAF"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157F8" id="_x0000_s1040" type="#_x0000_t202" style="position:absolute;left:0;text-align:left;margin-left:0;margin-top:60.1pt;width:451.5pt;height:26.25pt;z-index:251708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">
                <v:textbox>
                  <w:txbxContent>
                    <w:p w14:paraId="2430DCAF" w14:textId="77777777" w:rsidR="00332A29" w:rsidRDefault="00332A29" w:rsidP="006E1FCB"/>
                  </w:txbxContent>
                </v:textbox>
                <w10:wrap type="square" anchorx="margin"/>
              </v:shape>
            </w:pict>
          </mc:Fallback>
        </mc:AlternateContent>
      </w:r>
      <w:r w:rsidRPr="00932561">
        <w:rPr>
          <w:rFonts w:ascii="Calibri" w:eastAsia="Times New Roman" w:hAnsi="Calibri" w:cs="Calibri"/>
          <w:b/>
          <w:lang w:eastAsia="cs-CZ"/>
        </w:rPr>
        <w:t>Název podniku</w:t>
      </w:r>
    </w:p>
    <w:p w14:paraId="0AACBCCF" w14:textId="77777777" w:rsidR="006E1FCB" w:rsidRPr="00932561" w:rsidRDefault="006E1FCB" w:rsidP="006E1FCB">
      <w:pPr>
        <w:tabs>
          <w:tab w:val="left" w:pos="1620"/>
        </w:tabs>
        <w:spacing w:before="0"/>
        <w:jc w:val="left"/>
        <w:rPr>
          <w:rFonts w:ascii="Calibri" w:eastAsia="Times New Roman" w:hAnsi="Calibri" w:cs="Calibri"/>
          <w:lang w:eastAsia="cs-CZ"/>
        </w:rPr>
      </w:pPr>
    </w:p>
    <w:p w14:paraId="1FD41037"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noProof/>
          <w:lang w:eastAsia="cs-CZ"/>
        </w:rPr>
        <mc:AlternateContent>
          <mc:Choice Requires="wps">
            <w:drawing>
              <wp:anchor distT="45720" distB="45720" distL="114300" distR="114300" simplePos="0" relativeHeight="251709440" behindDoc="0" locked="0" layoutInCell="1" allowOverlap="1" wp14:anchorId="2970CB49" wp14:editId="673384F0">
                <wp:simplePos x="0" y="0"/>
                <wp:positionH relativeFrom="margin">
                  <wp:align>left</wp:align>
                </wp:positionH>
                <wp:positionV relativeFrom="paragraph">
                  <wp:posOffset>253365</wp:posOffset>
                </wp:positionV>
                <wp:extent cx="5734050" cy="333375"/>
                <wp:effectExtent l="0" t="0" r="19050" b="28575"/>
                <wp:wrapSquare wrapText="bothSides"/>
                <wp:docPr id="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33375"/>
                        </a:xfrm>
                        <a:prstGeom prst="rect">
                          <a:avLst/>
                        </a:prstGeom>
                        <a:solidFill>
                          <a:srgbClr val="FFFFFF"/>
                        </a:solidFill>
                        <a:ln w="9525">
                          <a:solidFill>
                            <a:srgbClr val="000000"/>
                          </a:solidFill>
                          <a:miter lim="800000"/>
                          <a:headEnd/>
                          <a:tailEnd/>
                        </a:ln>
                      </wps:spPr>
                      <wps:txbx>
                        <w:txbxContent>
                          <w:p w14:paraId="62A7C82F" w14:textId="77777777" w:rsidR="00332A29" w:rsidRDefault="00332A29" w:rsidP="006E1F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0CB49" id="_x0000_s1041" type="#_x0000_t202" style="position:absolute;left:0;text-align:left;margin-left:0;margin-top:19.95pt;width:451.5pt;height:26.25pt;z-index:2517094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">
                <v:textbox>
                  <w:txbxContent>
                    <w:p w14:paraId="62A7C82F" w14:textId="77777777" w:rsidR="00332A29" w:rsidRDefault="00332A29" w:rsidP="006E1FCB"/>
                  </w:txbxContent>
                </v:textbox>
                <w10:wrap type="square" anchorx="margin"/>
              </v:shape>
            </w:pict>
          </mc:Fallback>
        </mc:AlternateContent>
      </w:r>
      <w:r w:rsidRPr="00932561">
        <w:rPr>
          <w:rFonts w:ascii="Calibri" w:eastAsia="Times New Roman" w:hAnsi="Calibri" w:cs="Calibri"/>
          <w:b/>
          <w:lang w:eastAsia="cs-CZ"/>
        </w:rPr>
        <w:t>IČO</w:t>
      </w:r>
    </w:p>
    <w:p w14:paraId="257EDE9B" w14:textId="77777777" w:rsidR="006E1FCB" w:rsidRPr="00932561" w:rsidRDefault="006E1FCB" w:rsidP="00A55F7D">
      <w:pPr>
        <w:numPr>
          <w:ilvl w:val="0"/>
          <w:numId w:val="96"/>
        </w:numPr>
        <w:shd w:val="pct10" w:color="000000" w:fill="FFFFFF"/>
        <w:spacing w:before="0"/>
        <w:ind w:left="426" w:hanging="426"/>
        <w:jc w:val="left"/>
        <w:rPr>
          <w:rFonts w:ascii="Calibri" w:eastAsia="Times New Roman" w:hAnsi="Calibri" w:cs="Calibri"/>
          <w:b/>
          <w:lang w:eastAsia="cs-CZ"/>
        </w:rPr>
      </w:pPr>
      <w:r w:rsidRPr="00932561">
        <w:rPr>
          <w:rFonts w:ascii="Calibri" w:eastAsia="Times New Roman" w:hAnsi="Calibri" w:cs="Calibri"/>
          <w:b/>
          <w:lang w:eastAsia="cs-CZ"/>
        </w:rPr>
        <w:t>Svou podnikatelskou činnost provozujete jako:</w:t>
      </w:r>
    </w:p>
    <w:p w14:paraId="0F2EA4DF" w14:textId="77777777" w:rsidR="006E1FCB" w:rsidRPr="00932561" w:rsidRDefault="006E1FCB" w:rsidP="006E1FCB">
      <w:pPr>
        <w:spacing w:before="0"/>
        <w:jc w:val="left"/>
        <w:rPr>
          <w:rFonts w:ascii="Calibri" w:eastAsia="Times New Roman" w:hAnsi="Calibri" w:cs="Calibri"/>
          <w:lang w:eastAsia="cs-C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2"/>
        <w:gridCol w:w="1080"/>
      </w:tblGrid>
      <w:tr w:rsidR="006E1FCB" w:rsidRPr="00932561" w14:paraId="302D94C2" w14:textId="77777777" w:rsidTr="000931EA">
        <w:tc>
          <w:tcPr>
            <w:tcW w:w="4404" w:type="pct"/>
            <w:shd w:val="clear" w:color="auto" w:fill="auto"/>
          </w:tcPr>
          <w:p w14:paraId="0B77BA35" w14:textId="77777777" w:rsidR="006E1FCB" w:rsidRPr="00932561" w:rsidRDefault="006E1FCB" w:rsidP="00A55F7D">
            <w:pPr>
              <w:numPr>
                <w:ilvl w:val="0"/>
                <w:numId w:val="103"/>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právnická osoba</w:t>
            </w:r>
          </w:p>
        </w:tc>
        <w:tc>
          <w:tcPr>
            <w:tcW w:w="596" w:type="pct"/>
            <w:shd w:val="clear" w:color="auto" w:fill="auto"/>
          </w:tcPr>
          <w:p w14:paraId="0B2F49C4" w14:textId="77777777" w:rsidR="006E1FCB" w:rsidRPr="00932561" w:rsidRDefault="006E1FCB" w:rsidP="000931EA">
            <w:pPr>
              <w:spacing w:before="0"/>
              <w:jc w:val="center"/>
              <w:rPr>
                <w:rFonts w:ascii="Calibri" w:eastAsia="Times New Roman" w:hAnsi="Calibri" w:cs="Calibri"/>
                <w:lang w:eastAsia="cs-CZ"/>
              </w:rPr>
            </w:pPr>
          </w:p>
        </w:tc>
      </w:tr>
      <w:tr w:rsidR="006E1FCB" w:rsidRPr="00932561" w14:paraId="115AEA18" w14:textId="77777777" w:rsidTr="000931EA">
        <w:tc>
          <w:tcPr>
            <w:tcW w:w="4404" w:type="pct"/>
            <w:shd w:val="clear" w:color="auto" w:fill="auto"/>
          </w:tcPr>
          <w:p w14:paraId="5FB0A4ED" w14:textId="77777777" w:rsidR="006E1FCB" w:rsidRPr="00932561" w:rsidRDefault="006E1FCB" w:rsidP="00A55F7D">
            <w:pPr>
              <w:numPr>
                <w:ilvl w:val="0"/>
                <w:numId w:val="103"/>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fyzická osoba</w:t>
            </w:r>
          </w:p>
        </w:tc>
        <w:tc>
          <w:tcPr>
            <w:tcW w:w="596" w:type="pct"/>
            <w:shd w:val="clear" w:color="auto" w:fill="auto"/>
          </w:tcPr>
          <w:p w14:paraId="16B3F8C2" w14:textId="77777777" w:rsidR="006E1FCB" w:rsidRPr="00932561" w:rsidRDefault="006E1FCB" w:rsidP="000931EA">
            <w:pPr>
              <w:spacing w:before="0"/>
              <w:jc w:val="center"/>
              <w:rPr>
                <w:rFonts w:ascii="Calibri" w:eastAsia="Times New Roman" w:hAnsi="Calibri" w:cs="Calibri"/>
                <w:lang w:eastAsia="cs-CZ"/>
              </w:rPr>
            </w:pPr>
          </w:p>
        </w:tc>
      </w:tr>
    </w:tbl>
    <w:p w14:paraId="67D3565C" w14:textId="77777777" w:rsidR="006E1FCB" w:rsidRPr="00932561" w:rsidRDefault="006E1FCB" w:rsidP="006E1FCB">
      <w:pPr>
        <w:tabs>
          <w:tab w:val="left" w:pos="1620"/>
        </w:tabs>
        <w:spacing w:before="0"/>
        <w:jc w:val="left"/>
        <w:rPr>
          <w:rFonts w:ascii="Calibri" w:eastAsia="Times New Roman" w:hAnsi="Calibri" w:cs="Calibri"/>
          <w:lang w:eastAsia="cs-CZ"/>
        </w:rPr>
      </w:pPr>
    </w:p>
    <w:p w14:paraId="31A4F7BE" w14:textId="77777777" w:rsidR="006E1FCB" w:rsidRPr="00932561" w:rsidRDefault="006E1FCB" w:rsidP="00A55F7D">
      <w:pPr>
        <w:keepNext/>
        <w:numPr>
          <w:ilvl w:val="0"/>
          <w:numId w:val="96"/>
        </w:numPr>
        <w:shd w:val="pct10" w:color="000000" w:fill="FFFFFF"/>
        <w:spacing w:before="0"/>
        <w:ind w:left="425" w:hanging="425"/>
        <w:jc w:val="left"/>
        <w:rPr>
          <w:rFonts w:ascii="Calibri" w:eastAsia="Times New Roman" w:hAnsi="Calibri" w:cs="Calibri"/>
          <w:b/>
          <w:lang w:eastAsia="cs-CZ"/>
        </w:rPr>
      </w:pPr>
      <w:r w:rsidRPr="00932561">
        <w:rPr>
          <w:rFonts w:ascii="Calibri" w:eastAsia="Times New Roman" w:hAnsi="Calibri" w:cs="Calibri"/>
          <w:b/>
          <w:lang w:eastAsia="cs-CZ"/>
        </w:rPr>
        <w:t>Jaká je délka podnikání Vaší firmy?</w:t>
      </w:r>
    </w:p>
    <w:p w14:paraId="20C0F237" w14:textId="77777777" w:rsidR="006E1FCB" w:rsidRPr="00932561" w:rsidRDefault="006E1FCB" w:rsidP="006E1FCB">
      <w:pPr>
        <w:keepNext/>
        <w:spacing w:before="0"/>
        <w:jc w:val="left"/>
        <w:rPr>
          <w:rFonts w:ascii="Calibri" w:eastAsia="Times New Roman" w:hAnsi="Calibri" w:cs="Calibri"/>
          <w:b/>
          <w:sz w:val="14"/>
          <w:lang w:eastAsia="cs-C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2"/>
        <w:gridCol w:w="1080"/>
      </w:tblGrid>
      <w:tr w:rsidR="006E1FCB" w:rsidRPr="00932561" w14:paraId="54EE8E18" w14:textId="77777777" w:rsidTr="000931EA">
        <w:tc>
          <w:tcPr>
            <w:tcW w:w="4404" w:type="pct"/>
            <w:shd w:val="clear" w:color="auto" w:fill="auto"/>
          </w:tcPr>
          <w:p w14:paraId="2518F8AE" w14:textId="77777777" w:rsidR="006E1FCB" w:rsidRPr="00932561" w:rsidRDefault="006E1FCB" w:rsidP="00A55F7D">
            <w:pPr>
              <w:keepNext/>
              <w:numPr>
                <w:ilvl w:val="0"/>
                <w:numId w:val="104"/>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do 5 let (včetně)</w:t>
            </w:r>
          </w:p>
        </w:tc>
        <w:tc>
          <w:tcPr>
            <w:tcW w:w="596" w:type="pct"/>
            <w:shd w:val="clear" w:color="auto" w:fill="auto"/>
          </w:tcPr>
          <w:p w14:paraId="4A08F6BD" w14:textId="77777777" w:rsidR="006E1FCB" w:rsidRPr="00932561" w:rsidRDefault="006E1FCB" w:rsidP="000931EA">
            <w:pPr>
              <w:keepNext/>
              <w:spacing w:before="0"/>
              <w:jc w:val="center"/>
              <w:rPr>
                <w:rFonts w:ascii="Calibri" w:eastAsia="Times New Roman" w:hAnsi="Calibri" w:cs="Calibri"/>
                <w:lang w:eastAsia="cs-CZ"/>
              </w:rPr>
            </w:pPr>
          </w:p>
        </w:tc>
      </w:tr>
      <w:tr w:rsidR="006E1FCB" w:rsidRPr="00932561" w14:paraId="20D8F9D6" w14:textId="77777777" w:rsidTr="000931EA">
        <w:tc>
          <w:tcPr>
            <w:tcW w:w="4404" w:type="pct"/>
            <w:shd w:val="clear" w:color="auto" w:fill="auto"/>
          </w:tcPr>
          <w:p w14:paraId="5ECE1BF6" w14:textId="77777777" w:rsidR="006E1FCB" w:rsidRPr="00932561" w:rsidRDefault="006E1FCB" w:rsidP="00A55F7D">
            <w:pPr>
              <w:keepNext/>
              <w:numPr>
                <w:ilvl w:val="0"/>
                <w:numId w:val="104"/>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od 6 do 15 let (včetně)</w:t>
            </w:r>
          </w:p>
        </w:tc>
        <w:tc>
          <w:tcPr>
            <w:tcW w:w="596" w:type="pct"/>
            <w:shd w:val="clear" w:color="auto" w:fill="auto"/>
          </w:tcPr>
          <w:p w14:paraId="2413A621" w14:textId="77777777" w:rsidR="006E1FCB" w:rsidRPr="00932561" w:rsidRDefault="006E1FCB" w:rsidP="000931EA">
            <w:pPr>
              <w:keepNext/>
              <w:spacing w:before="0"/>
              <w:jc w:val="center"/>
              <w:rPr>
                <w:rFonts w:ascii="Calibri" w:eastAsia="Times New Roman" w:hAnsi="Calibri" w:cs="Calibri"/>
                <w:lang w:eastAsia="cs-CZ"/>
              </w:rPr>
            </w:pPr>
          </w:p>
        </w:tc>
      </w:tr>
      <w:tr w:rsidR="006E1FCB" w:rsidRPr="00932561" w14:paraId="500A9629" w14:textId="77777777" w:rsidTr="000931EA">
        <w:tc>
          <w:tcPr>
            <w:tcW w:w="4404" w:type="pct"/>
            <w:shd w:val="clear" w:color="auto" w:fill="auto"/>
          </w:tcPr>
          <w:p w14:paraId="3EF542E9" w14:textId="77777777" w:rsidR="006E1FCB" w:rsidRPr="00932561" w:rsidRDefault="006E1FCB" w:rsidP="00A55F7D">
            <w:pPr>
              <w:keepNext/>
              <w:numPr>
                <w:ilvl w:val="0"/>
                <w:numId w:val="104"/>
              </w:numPr>
              <w:tabs>
                <w:tab w:val="left" w:pos="1620"/>
              </w:tabs>
              <w:spacing w:before="0"/>
              <w:jc w:val="left"/>
              <w:rPr>
                <w:rFonts w:ascii="Calibri" w:eastAsia="Times New Roman" w:hAnsi="Calibri" w:cs="Calibri"/>
                <w:lang w:eastAsia="cs-CZ"/>
              </w:rPr>
            </w:pPr>
            <w:r w:rsidRPr="00932561">
              <w:rPr>
                <w:rFonts w:ascii="Calibri" w:eastAsia="Times New Roman" w:hAnsi="Calibri" w:cs="Calibri"/>
                <w:lang w:eastAsia="cs-CZ"/>
              </w:rPr>
              <w:t>více než 15 let</w:t>
            </w:r>
          </w:p>
        </w:tc>
        <w:tc>
          <w:tcPr>
            <w:tcW w:w="596" w:type="pct"/>
            <w:shd w:val="clear" w:color="auto" w:fill="auto"/>
          </w:tcPr>
          <w:p w14:paraId="6214B903" w14:textId="77777777" w:rsidR="006E1FCB" w:rsidRPr="00932561" w:rsidRDefault="006E1FCB" w:rsidP="000931EA">
            <w:pPr>
              <w:keepNext/>
              <w:spacing w:before="0"/>
              <w:jc w:val="center"/>
              <w:rPr>
                <w:rFonts w:ascii="Calibri" w:eastAsia="Times New Roman" w:hAnsi="Calibri" w:cs="Calibri"/>
                <w:bCs/>
                <w:lang w:eastAsia="cs-CZ"/>
              </w:rPr>
            </w:pPr>
          </w:p>
        </w:tc>
      </w:tr>
    </w:tbl>
    <w:p w14:paraId="412F7637" w14:textId="77777777" w:rsidR="006E1FCB" w:rsidRPr="00932561" w:rsidRDefault="006E1FCB" w:rsidP="006E1FCB">
      <w:pPr>
        <w:spacing w:before="0"/>
        <w:jc w:val="left"/>
        <w:rPr>
          <w:rFonts w:ascii="Calibri" w:eastAsia="Times New Roman" w:hAnsi="Calibri" w:cs="Calibri"/>
          <w:lang w:eastAsia="cs-CZ"/>
        </w:rPr>
      </w:pPr>
    </w:p>
    <w:tbl>
      <w:tblPr>
        <w:tblStyle w:val="Mkatabulky"/>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26"/>
      </w:tblGrid>
      <w:tr w:rsidR="006E1FCB" w14:paraId="45112ABC" w14:textId="77777777" w:rsidTr="006E1FCB">
        <w:tc>
          <w:tcPr>
            <w:tcW w:w="9062" w:type="dxa"/>
          </w:tcPr>
          <w:p w14:paraId="6B3756FD" w14:textId="52BC770B" w:rsidR="006E1FCB" w:rsidRPr="006E1FCB" w:rsidRDefault="006E1FCB" w:rsidP="006E1FCB">
            <w:pPr>
              <w:jc w:val="center"/>
              <w:rPr>
                <w:b/>
                <w:sz w:val="24"/>
                <w:bdr w:val="single" w:sz="18" w:space="0" w:color="auto"/>
                <w:lang w:eastAsia="cs-CZ"/>
              </w:rPr>
            </w:pPr>
            <w:bookmarkStart w:id="1005" w:name="_Toc50449118"/>
            <w:r w:rsidRPr="006E1FCB">
              <w:rPr>
                <w:b/>
                <w:sz w:val="24"/>
                <w:lang w:eastAsia="cs-CZ"/>
              </w:rPr>
              <w:t>DĚKUJEME ZA VYPLNĚNÍ DOTAZNÍKU.</w:t>
            </w:r>
          </w:p>
        </w:tc>
      </w:tr>
      <w:bookmarkEnd w:id="1005"/>
    </w:tbl>
    <w:p w14:paraId="558A4BFF" w14:textId="77777777" w:rsidR="006E1FCB" w:rsidRPr="001A3416" w:rsidRDefault="006E1FCB" w:rsidP="006E1FCB"/>
    <w:p w14:paraId="359249A2" w14:textId="77777777" w:rsidR="006E1FCB" w:rsidRPr="001A3416" w:rsidRDefault="006E1FCB" w:rsidP="006E1FCB">
      <w:pPr>
        <w:spacing w:before="0" w:after="160" w:line="259" w:lineRule="auto"/>
        <w:jc w:val="left"/>
      </w:pPr>
      <w:r w:rsidRPr="001A3416">
        <w:br w:type="page"/>
      </w:r>
    </w:p>
    <w:p w14:paraId="0D639702" w14:textId="7658C362" w:rsidR="00BF26AA" w:rsidRDefault="00BF26AA" w:rsidP="00B55FB4">
      <w:pPr>
        <w:pStyle w:val="Nadpis1"/>
      </w:pPr>
      <w:bookmarkStart w:id="1006" w:name="_Toc77074650"/>
      <w:r>
        <w:t>Analýza vnějšího prostředí</w:t>
      </w:r>
      <w:bookmarkEnd w:id="1006"/>
    </w:p>
    <w:p w14:paraId="5079476E" w14:textId="77777777" w:rsidR="000C49A5" w:rsidRDefault="000C49A5" w:rsidP="000C49A5">
      <w:pPr>
        <w:pStyle w:val="Nadpis2"/>
        <w:rPr>
          <w:sz w:val="22"/>
        </w:rPr>
      </w:pPr>
      <w:bookmarkStart w:id="1007" w:name="_Toc50472088"/>
      <w:bookmarkStart w:id="1008" w:name="_Toc77074651"/>
      <w:r>
        <w:t>PESTLE analýza</w:t>
      </w:r>
      <w:bookmarkEnd w:id="1007"/>
      <w:bookmarkEnd w:id="1008"/>
    </w:p>
    <w:p w14:paraId="57B634BB" w14:textId="77777777" w:rsidR="000C49A5" w:rsidRDefault="000C49A5" w:rsidP="000C49A5">
      <w:r w:rsidRPr="00BE3097">
        <w:t>PEST</w:t>
      </w:r>
      <w:r>
        <w:t>LE</w:t>
      </w:r>
      <w:r w:rsidRPr="00BE3097">
        <w:t xml:space="preserve"> analýza je součást strategického managementu, která přichází ke slovu obvykle tehdy, kdy se společnost rozhoduje nad svým dlouhodobým strategickým záměrem a/nebo kdy plánuje realizovat nějaký velký projekt. </w:t>
      </w:r>
      <w:r>
        <w:t>V tomto případě je cílem identifikovat nejvýznamnější mechanismy změn v podobě vnějších jevů, trendů a rizik, které ovlivňují nebo pravděpodobně budou ovlivňovat město Zlín. Analýza se zaměřuje na</w:t>
      </w:r>
      <w:r w:rsidRPr="00BE3097">
        <w:t xml:space="preserve"> vnější faktory v těchto oblastech:</w:t>
      </w:r>
    </w:p>
    <w:p w14:paraId="0411C7BF" w14:textId="77777777" w:rsidR="000C49A5" w:rsidRDefault="000C49A5" w:rsidP="00A55F7D">
      <w:pPr>
        <w:pStyle w:val="Odstavecseseznamem"/>
        <w:numPr>
          <w:ilvl w:val="0"/>
          <w:numId w:val="110"/>
        </w:numPr>
        <w:spacing w:after="60" w:line="259" w:lineRule="auto"/>
      </w:pPr>
      <w:r>
        <w:t>Politické faktory</w:t>
      </w:r>
    </w:p>
    <w:p w14:paraId="3928ADBF" w14:textId="77777777" w:rsidR="000C49A5" w:rsidRDefault="000C49A5" w:rsidP="00A55F7D">
      <w:pPr>
        <w:pStyle w:val="Odstavecseseznamem"/>
        <w:numPr>
          <w:ilvl w:val="0"/>
          <w:numId w:val="110"/>
        </w:numPr>
        <w:spacing w:after="60" w:line="259" w:lineRule="auto"/>
      </w:pPr>
      <w:r>
        <w:t>Ekonomické faktory</w:t>
      </w:r>
    </w:p>
    <w:p w14:paraId="689E5D8A" w14:textId="77777777" w:rsidR="000C49A5" w:rsidRDefault="000C49A5" w:rsidP="00A55F7D">
      <w:pPr>
        <w:pStyle w:val="Odstavecseseznamem"/>
        <w:numPr>
          <w:ilvl w:val="0"/>
          <w:numId w:val="110"/>
        </w:numPr>
        <w:spacing w:after="60" w:line="259" w:lineRule="auto"/>
      </w:pPr>
      <w:r>
        <w:t>Sociální faktory</w:t>
      </w:r>
    </w:p>
    <w:p w14:paraId="1E775937" w14:textId="77777777" w:rsidR="000C49A5" w:rsidRDefault="000C49A5" w:rsidP="00A55F7D">
      <w:pPr>
        <w:pStyle w:val="Odstavecseseznamem"/>
        <w:numPr>
          <w:ilvl w:val="0"/>
          <w:numId w:val="110"/>
        </w:numPr>
        <w:spacing w:after="60" w:line="259" w:lineRule="auto"/>
      </w:pPr>
      <w:r>
        <w:t>Technologické faktory</w:t>
      </w:r>
    </w:p>
    <w:p w14:paraId="63A663E7" w14:textId="77777777" w:rsidR="000C49A5" w:rsidRDefault="000C49A5" w:rsidP="00A55F7D">
      <w:pPr>
        <w:pStyle w:val="Odstavecseseznamem"/>
        <w:numPr>
          <w:ilvl w:val="0"/>
          <w:numId w:val="110"/>
        </w:numPr>
        <w:spacing w:after="60" w:line="259" w:lineRule="auto"/>
      </w:pPr>
      <w:r>
        <w:t>Legislativní faktory</w:t>
      </w:r>
    </w:p>
    <w:p w14:paraId="0153755B" w14:textId="77777777" w:rsidR="000C49A5" w:rsidRDefault="000C49A5" w:rsidP="00A55F7D">
      <w:pPr>
        <w:pStyle w:val="Odstavecseseznamem"/>
        <w:numPr>
          <w:ilvl w:val="0"/>
          <w:numId w:val="110"/>
        </w:numPr>
        <w:spacing w:after="60" w:line="259" w:lineRule="auto"/>
      </w:pPr>
      <w:r>
        <w:t>Ekologické faktory</w:t>
      </w:r>
    </w:p>
    <w:p w14:paraId="79C9CEC4" w14:textId="77777777" w:rsidR="000C49A5" w:rsidRDefault="000C49A5" w:rsidP="000C49A5">
      <w:pPr>
        <w:pStyle w:val="Nadpis3"/>
        <w:ind w:left="720"/>
      </w:pPr>
      <w:bookmarkStart w:id="1009" w:name="_Toc50472089"/>
      <w:bookmarkStart w:id="1010" w:name="_Toc77074652"/>
      <w:r w:rsidRPr="00BE3097">
        <w:t>Politické faktory</w:t>
      </w:r>
      <w:bookmarkEnd w:id="1009"/>
      <w:bookmarkEnd w:id="1010"/>
    </w:p>
    <w:p w14:paraId="4E0E2393" w14:textId="77777777" w:rsidR="000C49A5" w:rsidRPr="00110D6D" w:rsidRDefault="000C49A5" w:rsidP="000C49A5">
      <w:pPr>
        <w:rPr>
          <w:i/>
        </w:rPr>
      </w:pPr>
      <w:r w:rsidRPr="00110D6D">
        <w:rPr>
          <w:i/>
        </w:rPr>
        <w:t xml:space="preserve">Politické </w:t>
      </w:r>
      <w:r>
        <w:rPr>
          <w:i/>
        </w:rPr>
        <w:t>prostředí</w:t>
      </w:r>
      <w:r w:rsidRPr="00110D6D">
        <w:rPr>
          <w:i/>
        </w:rPr>
        <w:t xml:space="preserve"> ČR</w:t>
      </w:r>
    </w:p>
    <w:p w14:paraId="0F7792DA" w14:textId="2FFE43AE" w:rsidR="000C49A5" w:rsidRDefault="000C49A5" w:rsidP="000C49A5">
      <w:r w:rsidRPr="00110D6D">
        <w:t>Politické prostředí v České republice je značně nestabilní, již od 90. let nevznikají dostatečně konzistentní většinové vlády, dochází ke střídání pravicových a levicových vlád, což má za následek neochotu přijímat dlouhodobá a koncepční řešení (např. při nepopulárních restriktivních opatřeních). Dosáhnout politické shody při prosazování zásadnějších reforem je velmi obtížné. Lepší situace je v</w:t>
      </w:r>
      <w:r w:rsidR="00F63C14">
        <w:t> </w:t>
      </w:r>
      <w:r w:rsidRPr="00110D6D">
        <w:t>municipálním politickém prostředí, i když se v regionální politice objevují situace, kdy skutečně prosazované rozvojové tendence jsou mnohdy podřízeny stranickým hlediskům bez zohlednění skutečných potřeb území.</w:t>
      </w:r>
      <w:r>
        <w:t xml:space="preserve"> </w:t>
      </w:r>
      <w:r w:rsidRPr="00686D57">
        <w:t>Míra důvěry občanů v politiky je celorepublikově nízká</w:t>
      </w:r>
      <w:r>
        <w:t>, za výjimku lze považovat mírné příznivější stav na úrovni obecní politiky</w:t>
      </w:r>
      <w:r>
        <w:rPr>
          <w:rStyle w:val="Znakapoznpodarou"/>
        </w:rPr>
        <w:footnoteReference w:id="111"/>
      </w:r>
      <w:r>
        <w:t>.</w:t>
      </w:r>
    </w:p>
    <w:p w14:paraId="79495D81" w14:textId="0BEEC39C" w:rsidR="000C49A5" w:rsidRDefault="000C49A5" w:rsidP="000C49A5">
      <w:r w:rsidRPr="00C305B2">
        <w:t>V posledních letech lez pozorovat centralizační tendence. Finanční autonomie obcí je slabá a dále dochází k jejímu oslabování (na jedné straně aktuální státní politický zásah do příjmové stránky, na druhé straně tvorba nových a nových státních dotačních programů pro obce</w:t>
      </w:r>
      <w:r w:rsidR="00A93313">
        <w:t>)</w:t>
      </w:r>
      <w:r w:rsidRPr="00C305B2">
        <w:t>. V oblasti přenesené působnosti postupně dochází k odebírání agend</w:t>
      </w:r>
      <w:r>
        <w:t>, například stavebních úřadů.</w:t>
      </w:r>
    </w:p>
    <w:p w14:paraId="0E95136E" w14:textId="77777777" w:rsidR="000C49A5" w:rsidRDefault="000C49A5" w:rsidP="000C49A5">
      <w:pPr>
        <w:rPr>
          <w:i/>
        </w:rPr>
      </w:pPr>
      <w:r w:rsidRPr="00686D57">
        <w:rPr>
          <w:i/>
        </w:rPr>
        <w:t>Politické prostředí v</w:t>
      </w:r>
      <w:r>
        <w:rPr>
          <w:i/>
        </w:rPr>
        <w:t> </w:t>
      </w:r>
      <w:r w:rsidRPr="00686D57">
        <w:rPr>
          <w:i/>
        </w:rPr>
        <w:t>EU</w:t>
      </w:r>
    </w:p>
    <w:p w14:paraId="0817164A" w14:textId="1F2DFE16" w:rsidR="000C49A5" w:rsidRDefault="000C49A5" w:rsidP="000C49A5">
      <w:r>
        <w:t xml:space="preserve">Regionální rozvoj a politika soudržnosti se řadí mezi nejvýznamnější politiky Evropské unie, zajišťuje rozvoj regionů zaostávajících za evropským průměrem a dnes představuje hlavní investiční nástroj EU k dosažení cílů v oblasti regionálního rozvoje. </w:t>
      </w:r>
      <w:r w:rsidRPr="00A22A62">
        <w:t>Pro příští dlouhodobý rozpočet EU na období 2021</w:t>
      </w:r>
      <w:r w:rsidR="00F63C14">
        <w:t> </w:t>
      </w:r>
      <w:r w:rsidR="00F63C14">
        <w:sym w:font="Symbol" w:char="F02D"/>
      </w:r>
      <w:r w:rsidR="00F63C14">
        <w:t> </w:t>
      </w:r>
      <w:r w:rsidRPr="00A22A62">
        <w:t>2027 Evropská komise navrhuje modernizovat politiku soudržnosti, což je hlavní investiční politika EU a jeden z jejích nejkonkrétnějších projevů solidarity.</w:t>
      </w:r>
      <w:r>
        <w:t xml:space="preserve"> </w:t>
      </w:r>
      <w:r w:rsidRPr="00A22A62">
        <w:t>Hlavní prvky návrhu Komise pro modernizovanou politiku soudržnosti jsou tyto</w:t>
      </w:r>
      <w:r>
        <w:rPr>
          <w:rStyle w:val="Znakapoznpodarou"/>
        </w:rPr>
        <w:footnoteReference w:id="112"/>
      </w:r>
      <w:r w:rsidRPr="00A22A62">
        <w:t>:</w:t>
      </w:r>
    </w:p>
    <w:p w14:paraId="78BED89D" w14:textId="77777777" w:rsidR="000C49A5" w:rsidRDefault="000C49A5" w:rsidP="00A55F7D">
      <w:pPr>
        <w:pStyle w:val="Odstavecseseznamem"/>
        <w:numPr>
          <w:ilvl w:val="0"/>
          <w:numId w:val="111"/>
        </w:numPr>
        <w:spacing w:after="60" w:line="259" w:lineRule="auto"/>
      </w:pPr>
      <w:r>
        <w:t>Zaměření na klíčové investiční priority, kde může EU nejvíce pomoci</w:t>
      </w:r>
    </w:p>
    <w:p w14:paraId="4C890708" w14:textId="77777777" w:rsidR="000C49A5" w:rsidRDefault="000C49A5" w:rsidP="00A55F7D">
      <w:pPr>
        <w:pStyle w:val="Odstavecseseznamem"/>
        <w:numPr>
          <w:ilvl w:val="0"/>
          <w:numId w:val="111"/>
        </w:numPr>
        <w:spacing w:after="60" w:line="259" w:lineRule="auto"/>
      </w:pPr>
      <w:r>
        <w:t>Politika soudržnosti pro všechny regiony a individuálnější přístup k regionálnímu rozvoji</w:t>
      </w:r>
    </w:p>
    <w:p w14:paraId="3FDF8B75" w14:textId="77777777" w:rsidR="000C49A5" w:rsidRDefault="000C49A5" w:rsidP="00A55F7D">
      <w:pPr>
        <w:pStyle w:val="Odstavecseseznamem"/>
        <w:numPr>
          <w:ilvl w:val="0"/>
          <w:numId w:val="111"/>
        </w:numPr>
        <w:spacing w:after="60" w:line="259" w:lineRule="auto"/>
      </w:pPr>
      <w:r>
        <w:t>Méně početná, jasnější a stručnější pravidla a pružnější rámec</w:t>
      </w:r>
    </w:p>
    <w:p w14:paraId="7DF5E144" w14:textId="61D2FE54" w:rsidR="000C49A5" w:rsidRPr="00686D57" w:rsidRDefault="000C49A5" w:rsidP="00A55F7D">
      <w:pPr>
        <w:pStyle w:val="Odstavecseseznamem"/>
        <w:numPr>
          <w:ilvl w:val="0"/>
          <w:numId w:val="111"/>
        </w:numPr>
        <w:spacing w:after="60" w:line="259" w:lineRule="auto"/>
      </w:pPr>
      <w:r>
        <w:t xml:space="preserve">Posílení vazby na evropský semestr pro zlepšení investičního prostředí </w:t>
      </w:r>
      <w:r w:rsidR="00A93313">
        <w:t xml:space="preserve">v </w:t>
      </w:r>
      <w:r>
        <w:t>Evropě</w:t>
      </w:r>
    </w:p>
    <w:p w14:paraId="5CCFDEC5" w14:textId="60F98629" w:rsidR="000C49A5" w:rsidRDefault="000C49A5" w:rsidP="000C49A5">
      <w:pPr>
        <w:keepNext/>
      </w:pPr>
      <w:r>
        <w:t>Pro Českou republiku je regionální politika stěže</w:t>
      </w:r>
      <w:r w:rsidR="00F63C14">
        <w:t>j</w:t>
      </w:r>
      <w:r>
        <w:t>ním prostředkem zajištujícím přísun dotací z</w:t>
      </w:r>
      <w:r w:rsidR="00F63C14">
        <w:t> </w:t>
      </w:r>
      <w:r>
        <w:t>evropských strukturálních fondů. V rámci dohody o partnerství pro období 2021 – 2027 jsou identifkovány Cíle politiky ČR, v souladu s cíli EU pro toto období. Jedná se o následující cíle</w:t>
      </w:r>
      <w:r>
        <w:rPr>
          <w:rStyle w:val="Znakapoznpodarou"/>
        </w:rPr>
        <w:footnoteReference w:id="113"/>
      </w:r>
      <w:r>
        <w:t>:</w:t>
      </w:r>
    </w:p>
    <w:p w14:paraId="2DA20927" w14:textId="77777777" w:rsidR="000C49A5" w:rsidRDefault="000C49A5" w:rsidP="00A55F7D">
      <w:pPr>
        <w:pStyle w:val="Odstavecseseznamem"/>
        <w:keepNext/>
        <w:numPr>
          <w:ilvl w:val="0"/>
          <w:numId w:val="112"/>
        </w:numPr>
        <w:spacing w:before="0" w:after="60"/>
        <w:ind w:left="714" w:hanging="357"/>
      </w:pPr>
      <w:r>
        <w:t>Inteligentnější Evropa díky podpoře inovativní a inteligentní ekonomické transformace</w:t>
      </w:r>
    </w:p>
    <w:p w14:paraId="3C45F1FD" w14:textId="1A53462F" w:rsidR="000C49A5" w:rsidRDefault="000C49A5" w:rsidP="00A55F7D">
      <w:pPr>
        <w:pStyle w:val="Odstavecseseznamem"/>
        <w:numPr>
          <w:ilvl w:val="0"/>
          <w:numId w:val="112"/>
        </w:numPr>
        <w:spacing w:before="0" w:after="60"/>
        <w:ind w:left="714" w:hanging="357"/>
      </w:pPr>
      <w:r>
        <w:t>Zelenější, nízkouhlíková Evropa díky podpoře přechodu na čistou a spravedlivou energii, zelených a modrých investic, oběhového hospodářství, přizpůsobení se změnám klimatu a</w:t>
      </w:r>
      <w:r w:rsidR="00F63C14">
        <w:t> </w:t>
      </w:r>
      <w:r>
        <w:t>prevence a řízení rizik</w:t>
      </w:r>
    </w:p>
    <w:p w14:paraId="62614210" w14:textId="77777777" w:rsidR="000C49A5" w:rsidRDefault="000C49A5" w:rsidP="00A55F7D">
      <w:pPr>
        <w:pStyle w:val="Odstavecseseznamem"/>
        <w:numPr>
          <w:ilvl w:val="0"/>
          <w:numId w:val="112"/>
        </w:numPr>
        <w:spacing w:before="0" w:after="60"/>
        <w:ind w:left="714" w:hanging="357"/>
      </w:pPr>
      <w:r>
        <w:t>Propojenější Evropa díky zvyšování mobilit a regionálního propojení IKT</w:t>
      </w:r>
    </w:p>
    <w:p w14:paraId="483040C5" w14:textId="77777777" w:rsidR="000C49A5" w:rsidRDefault="000C49A5" w:rsidP="00A55F7D">
      <w:pPr>
        <w:pStyle w:val="Odstavecseseznamem"/>
        <w:numPr>
          <w:ilvl w:val="0"/>
          <w:numId w:val="112"/>
        </w:numPr>
        <w:spacing w:before="0" w:after="60"/>
        <w:ind w:left="714" w:hanging="357"/>
      </w:pPr>
      <w:r>
        <w:t>Sociálnější Evropa díky provádění evropského pilíře sociálních práv</w:t>
      </w:r>
    </w:p>
    <w:p w14:paraId="7E31A10D" w14:textId="77777777" w:rsidR="000C49A5" w:rsidRDefault="000C49A5" w:rsidP="00A55F7D">
      <w:pPr>
        <w:pStyle w:val="Odstavecseseznamem"/>
        <w:numPr>
          <w:ilvl w:val="0"/>
          <w:numId w:val="112"/>
        </w:numPr>
        <w:spacing w:before="0" w:after="60"/>
        <w:ind w:left="714" w:hanging="357"/>
      </w:pPr>
      <w:r>
        <w:t>Evropa blíž občanům díky podpoře udržitelného a integrovaného rozvoje městských, venkovských a pobřežních oblastí a místních iniciativ</w:t>
      </w:r>
    </w:p>
    <w:p w14:paraId="50FC679B" w14:textId="7673C15E" w:rsidR="000C49A5" w:rsidRDefault="000C49A5" w:rsidP="000C49A5">
      <w:r>
        <w:t>N</w:t>
      </w:r>
      <w:r w:rsidRPr="00773043">
        <w:t xml:space="preserve">ásledující programovací období </w:t>
      </w:r>
      <w:r w:rsidR="001A657F">
        <w:t xml:space="preserve">je </w:t>
      </w:r>
      <w:r w:rsidRPr="00773043">
        <w:t>charakteristické omezenými finančními zdroji z OP, což výrazně ovlivní také rozvojové aktivity v</w:t>
      </w:r>
      <w:r>
        <w:t> řešeném území statutárního města Zlína a jeho okolí</w:t>
      </w:r>
      <w:r w:rsidRPr="00773043">
        <w:t xml:space="preserve">. </w:t>
      </w:r>
      <w:r>
        <w:t>Důraz dle EU by měl být kladen především na výzkum a inovace, digitalizaci a problematiku životního prostředí, v ČR však stále existuje potřeba investice do dopravní infrastruktury či vzdělávání. Finální podoba dohody o</w:t>
      </w:r>
      <w:r w:rsidR="001A657F">
        <w:t> </w:t>
      </w:r>
      <w:r>
        <w:t>partnerství tak bude představovat limity</w:t>
      </w:r>
      <w:r w:rsidR="00A93313">
        <w:t xml:space="preserve"> pro</w:t>
      </w:r>
      <w:r>
        <w:t xml:space="preserve"> alokaci na jednotlivé typy podpořených aktivit. </w:t>
      </w:r>
      <w:r w:rsidRPr="00773043">
        <w:t>Aktéři v</w:t>
      </w:r>
      <w:r w:rsidR="001A657F">
        <w:t> </w:t>
      </w:r>
      <w:r w:rsidRPr="00773043">
        <w:t>tomto území tak musí zacílit své aktivity na omezený počet realizovaných projektů a lépe vážit jejich výběr. Další příčinou je nedostatečný institucionální rámec a pravidla fungování unie (např. způsob řešení krize, institut vystoupení země z eurozóny). Postupně dochází k posilování euroskeptických stanovisek ve společnosti a stoupá míra nedůvěry vůči institucím EU.</w:t>
      </w:r>
    </w:p>
    <w:p w14:paraId="7E1F971F" w14:textId="77777777" w:rsidR="000C49A5" w:rsidRDefault="000C49A5" w:rsidP="000C49A5">
      <w:pPr>
        <w:pStyle w:val="Nadpis3"/>
        <w:ind w:left="720"/>
      </w:pPr>
      <w:bookmarkStart w:id="1011" w:name="_Toc50472090"/>
      <w:bookmarkStart w:id="1012" w:name="_Toc77074653"/>
      <w:r w:rsidRPr="00BE3097">
        <w:t>Ekonomické faktory</w:t>
      </w:r>
      <w:bookmarkEnd w:id="1011"/>
      <w:bookmarkEnd w:id="1012"/>
    </w:p>
    <w:p w14:paraId="1CF57D18" w14:textId="77777777" w:rsidR="000C49A5" w:rsidRDefault="000C49A5" w:rsidP="000C49A5">
      <w:pPr>
        <w:rPr>
          <w:i/>
        </w:rPr>
      </w:pPr>
      <w:r w:rsidRPr="00C52510">
        <w:rPr>
          <w:i/>
        </w:rPr>
        <w:t>Konkurenceschopnost České republiky</w:t>
      </w:r>
    </w:p>
    <w:p w14:paraId="10CCCCE0" w14:textId="4A4FEAA3" w:rsidR="000C49A5" w:rsidRDefault="000C49A5" w:rsidP="000C49A5">
      <w:r w:rsidRPr="00C52510">
        <w:t>Činnost každé organizace ovlivňuje ekonomická stabilita daného území (stát, region). Soubor</w:t>
      </w:r>
      <w:r>
        <w:t xml:space="preserve"> </w:t>
      </w:r>
      <w:r w:rsidRPr="00C52510">
        <w:t>institucí, politik a faktorů, jež určují úroveň produktivity ekonomiky, charakterizuje pojem</w:t>
      </w:r>
      <w:r>
        <w:t xml:space="preserve"> </w:t>
      </w:r>
      <w:r w:rsidRPr="00C52510">
        <w:t xml:space="preserve">konkurenceschopnost. </w:t>
      </w:r>
      <w:r w:rsidRPr="00C52510">
        <w:cr/>
      </w:r>
      <w:r>
        <w:t>Hodnocení</w:t>
      </w:r>
      <w:r w:rsidR="001A657F">
        <w:t>m</w:t>
      </w:r>
      <w:r>
        <w:t xml:space="preserve"> konkurenceschopnost</w:t>
      </w:r>
      <w:r w:rsidR="001A657F">
        <w:t>i</w:t>
      </w:r>
      <w:r>
        <w:t xml:space="preserve"> státu se zabývá řada institucí, jednou z nich je Světové ekonomické fórum (WEF). V hodnocení na období let 2019/2020 zaujala Česká republika 32. pozici, což znamená zhoršení o tři pozice oproti předchozímu období 2017/2018. K pozitivním ukazatelům v případě ČR patří výborná makroekonomická stabilita a dynamika ekonomického růstu, nicméně je nutné podoktnout, že na konkurenceschopnost všech států budou dopadat následky pandemie Co</w:t>
      </w:r>
      <w:r w:rsidR="001A657F">
        <w:t>vid</w:t>
      </w:r>
      <w:r>
        <w:t>-19, které mohou s hodnocením konkurenceschopnosti v následujícím období výrazně zamíchat.</w:t>
      </w:r>
    </w:p>
    <w:p w14:paraId="1BDC67F9" w14:textId="77777777" w:rsidR="000C49A5" w:rsidRDefault="000C49A5" w:rsidP="000C49A5">
      <w:r>
        <w:t xml:space="preserve">Konkurenceschopností ČR v mezinárodním měřítku se v období 2014 – 2020 zabývala </w:t>
      </w:r>
      <w:r w:rsidRPr="00E943F3">
        <w:t>Strategie mezinárodní konkurenceschopnosti ČR pro období let 2012 až 2020</w:t>
      </w:r>
      <w:r>
        <w:t>. Dokument si kladl za cíl prostřednictvím navržených opatření posunout ČR mezi 20 nejvíce konkurenceschopných ekonomik světa, což se, jak ukazují výše uvedená data v daném období, nepodařilo.</w:t>
      </w:r>
    </w:p>
    <w:p w14:paraId="718D7094" w14:textId="51CE1FB8" w:rsidR="000C49A5" w:rsidRDefault="000C49A5" w:rsidP="000C49A5">
      <w:r w:rsidRPr="00FA11A0">
        <w:t>V příštích letech lze z hlediska predikce očekávat další zvyšování konkurence na evropském i</w:t>
      </w:r>
      <w:r w:rsidR="001A657F">
        <w:t> </w:t>
      </w:r>
      <w:r w:rsidRPr="00FA11A0">
        <w:t>celosvětovém trhu. Z hlediska ovlivnitelnosti lze z pohledu města ekonomický faktor ovlivňovat spoluprací s podnikatelskými subjekty a ekonomickým fungování</w:t>
      </w:r>
      <w:r w:rsidR="00A93313">
        <w:t>m</w:t>
      </w:r>
      <w:r w:rsidRPr="00FA11A0">
        <w:t xml:space="preserve"> veřejné správy.</w:t>
      </w:r>
    </w:p>
    <w:p w14:paraId="5A24D5A6" w14:textId="4CDA6833" w:rsidR="000C49A5" w:rsidRDefault="000C49A5" w:rsidP="000C49A5">
      <w:r>
        <w:t>Trend rozvoje konkurenceschopnosti je předpokládám především prostřednictvím trend</w:t>
      </w:r>
      <w:r w:rsidR="001A657F">
        <w:t>ů</w:t>
      </w:r>
      <w:r>
        <w:t xml:space="preserve"> v</w:t>
      </w:r>
      <w:r w:rsidR="001A657F">
        <w:t> </w:t>
      </w:r>
      <w:r>
        <w:t>oblasti digitalizace a zrychleným tempem automatizace v souvislosti se změnami na poli aplikovaných digitálních technologií. Ze zrychlené digitalizace automatizace však plynou také určitá rizika. Prvním je současná profesní struktura ČR, kterou proces automatizace může více či méně zasáhnout. ČR je v rozložení tohoto rizika negativního dopadu digitalizace v rámci EU mírně nadprůměrně ohrožena, přičemž míra ohrožení má tendenci stoupat při pohybu od severozápadu k jihovýchodu EU. Druhým aspektem ovlivňujícím budoucí výnosy české ekonomiky z procesu digitalizace je ekonomická a</w:t>
      </w:r>
      <w:r w:rsidR="001A657F">
        <w:t> </w:t>
      </w:r>
      <w:r>
        <w:t>kapitálová struktura české ekonomiky, která podmiňuje schopnost vytvářet a spravovat fyzický kapitál (který bude použit jako substitut za zaniklá pracovní místa) a především schopnost spotřebovat či investovat kapitálové výnosy. Tato struktura vzhledem k relativně malé úrovni domácího vlastnictví, klesající úrovni reinvestic a nízké úrovni výzkumu a vývoje na území ČR v porovnání s EU není nakloněná co nejvyšší absorpci pozitivních externalit v oblasti kapitálové substituce. Pokud nedojde k zásadní změně struktury české ekonomiky, tyto aktivity budou mít tendenci se koncentrovat v kapitálově bohatších zemích s vyvinutou výzkumnou infrastrukturou ať už v rámci EU nebo globálně.</w:t>
      </w:r>
      <w:r>
        <w:rPr>
          <w:rStyle w:val="Znakapoznpodarou"/>
        </w:rPr>
        <w:footnoteReference w:id="114"/>
      </w:r>
    </w:p>
    <w:p w14:paraId="5225331F" w14:textId="77777777" w:rsidR="000C49A5" w:rsidRDefault="000C49A5" w:rsidP="000C49A5">
      <w:pPr>
        <w:rPr>
          <w:i/>
        </w:rPr>
      </w:pPr>
      <w:r w:rsidRPr="00FA11A0">
        <w:rPr>
          <w:i/>
        </w:rPr>
        <w:t>Veřejné rozpočty ČR</w:t>
      </w:r>
    </w:p>
    <w:p w14:paraId="782702BA" w14:textId="77777777" w:rsidR="000C49A5" w:rsidRDefault="000C49A5" w:rsidP="000C49A5">
      <w:r>
        <w:t>Veřejné rozpočty budou v letošním roce silně ovlivněny průběhem celosvětové pandemické krize a jí vyvolanými opatřeními přijatými ČR i ostatními zeměmi, s nimiž je ekonomika ČR přímo či nepřímo ekonomicky spojená. Kromě celé řady dílčích opatření připravila vláda ČR novelu zákona o státním rozpočtu schválenou Poslaneckou sněmovnou dne 24. března 2020. V průběhu dubna se ukázalo, že původně zamýšlené navýšení schodku na 200 mld. Kč nebude dostatečné. Z tohoto důvodu vláda schválila dne 20. dubna 2020 druhou novelu zákona o státním rozpočtu. Z původního rozpočtovaného schodku ve výši 40 mld. Kč měl deficit státního rozpočtu ČR dosáhnout v letošním roce 300 mld.</w:t>
      </w:r>
      <w:r>
        <w:rPr>
          <w:rStyle w:val="Znakapoznpodarou"/>
        </w:rPr>
        <w:footnoteReference w:id="115"/>
      </w:r>
      <w:r>
        <w:t xml:space="preserve"> V průběhu následujícího období byla výše schodku rozpočtu ještě navýšena na 500 mld. korun, novelou zákona schválenou dne 8. 7. 2020</w:t>
      </w:r>
      <w:r>
        <w:rPr>
          <w:rStyle w:val="Znakapoznpodarou"/>
        </w:rPr>
        <w:footnoteReference w:id="116"/>
      </w:r>
      <w:r>
        <w:t xml:space="preserve">. </w:t>
      </w:r>
    </w:p>
    <w:p w14:paraId="0BA08AF1" w14:textId="77777777" w:rsidR="000C49A5" w:rsidRPr="00DD1D07" w:rsidRDefault="000C49A5" w:rsidP="000C49A5">
      <w:r w:rsidRPr="00B45AE9">
        <w:t>Nedostate</w:t>
      </w:r>
      <w:r>
        <w:t>k veřejných financí se pravděpodobně projeví</w:t>
      </w:r>
      <w:r w:rsidRPr="00B45AE9">
        <w:t xml:space="preserve"> napříč všemi úrovněmi veřejných rozpočtů, nejmarkantnější</w:t>
      </w:r>
      <w:r>
        <w:t xml:space="preserve"> dopady lze</w:t>
      </w:r>
      <w:r w:rsidRPr="00B45AE9">
        <w:t xml:space="preserve"> však</w:t>
      </w:r>
      <w:r>
        <w:t xml:space="preserve"> očekávat </w:t>
      </w:r>
      <w:r w:rsidRPr="00B45AE9">
        <w:t>na nejnižší úrovni – zejména u malých obcí, které jsou ze svých rozpočtů schopny hradit pouze běžný provoz obce (a to mnohdy s obtížemi). Často tak nedochází k</w:t>
      </w:r>
      <w:r>
        <w:t> </w:t>
      </w:r>
      <w:r w:rsidRPr="00B45AE9">
        <w:t>dlouhodobým strategickým rozvojovým investicím, či investicím do oprav a rekonstrukcí obecního majetku.</w:t>
      </w:r>
    </w:p>
    <w:p w14:paraId="28FEEC49" w14:textId="77777777" w:rsidR="000C49A5" w:rsidRDefault="000C49A5" w:rsidP="000C49A5">
      <w:pPr>
        <w:pStyle w:val="Nadpis3"/>
        <w:ind w:left="720"/>
      </w:pPr>
      <w:bookmarkStart w:id="1013" w:name="_Toc50472091"/>
      <w:bookmarkStart w:id="1014" w:name="_Toc77074654"/>
      <w:r w:rsidRPr="00BE3097">
        <w:t>Sociální faktory</w:t>
      </w:r>
      <w:bookmarkEnd w:id="1013"/>
      <w:bookmarkEnd w:id="1014"/>
    </w:p>
    <w:p w14:paraId="56BB70DA" w14:textId="77777777" w:rsidR="000C49A5" w:rsidRDefault="000C49A5" w:rsidP="000C49A5">
      <w:pPr>
        <w:rPr>
          <w:i/>
        </w:rPr>
      </w:pPr>
      <w:r w:rsidRPr="00FA11A0">
        <w:rPr>
          <w:i/>
        </w:rPr>
        <w:t>Demografický vývoj</w:t>
      </w:r>
    </w:p>
    <w:p w14:paraId="6FE54E35" w14:textId="77777777" w:rsidR="000C49A5" w:rsidRDefault="000C49A5" w:rsidP="000C49A5">
      <w:r w:rsidRPr="00FA11A0">
        <w:t>V</w:t>
      </w:r>
      <w:r>
        <w:t> </w:t>
      </w:r>
      <w:r w:rsidRPr="00FA11A0">
        <w:t>poslední</w:t>
      </w:r>
      <w:r>
        <w:t xml:space="preserve">ch letech lze sledovat na území ČR demografické trendy, </w:t>
      </w:r>
      <w:r w:rsidRPr="00FA11A0">
        <w:t>které</w:t>
      </w:r>
      <w:r>
        <w:t xml:space="preserve"> paralelně probíhají v rámci všech států Evropské unie. Jako nejzásadnější lze označit následující trendy:</w:t>
      </w:r>
    </w:p>
    <w:p w14:paraId="4AF6407D" w14:textId="77777777" w:rsidR="000C49A5" w:rsidRDefault="000C49A5" w:rsidP="00A55F7D">
      <w:pPr>
        <w:pStyle w:val="Odstavecseseznamem"/>
        <w:numPr>
          <w:ilvl w:val="0"/>
          <w:numId w:val="113"/>
        </w:numPr>
        <w:spacing w:after="60" w:line="259" w:lineRule="auto"/>
      </w:pPr>
      <w:r>
        <w:t>Prodlužující se střední délka života</w:t>
      </w:r>
    </w:p>
    <w:p w14:paraId="6414D15A" w14:textId="77777777" w:rsidR="000C49A5" w:rsidRDefault="000C49A5" w:rsidP="00A55F7D">
      <w:pPr>
        <w:pStyle w:val="Odstavecseseznamem"/>
        <w:numPr>
          <w:ilvl w:val="0"/>
          <w:numId w:val="113"/>
        </w:numPr>
        <w:spacing w:after="60" w:line="259" w:lineRule="auto"/>
      </w:pPr>
      <w:r>
        <w:t>Zvyšující se průměrný věk obyvatelstva</w:t>
      </w:r>
    </w:p>
    <w:p w14:paraId="0DB050A6" w14:textId="45200BB1" w:rsidR="000C49A5" w:rsidRDefault="000C49A5" w:rsidP="000C49A5">
      <w:pPr>
        <w:spacing w:after="60" w:line="259" w:lineRule="auto"/>
      </w:pPr>
      <w:r>
        <w:t>Počet obyvatel na území České republiky od roku 2013 dlouhodobě mírně roste, a to zejména vzhledem k pozitivnímu migračnímu přírůstku cizinců do ČR. Vysoká varianta prognózy počtu obyvatel ČR Českého statistického úřadu navíc předpokládá, že tento trend bude dále pokračovat, viz následující graf</w:t>
      </w:r>
      <w:r w:rsidR="003A743C">
        <w:t xml:space="preserve"> 3.1</w:t>
      </w:r>
      <w:r>
        <w:t>.</w:t>
      </w:r>
    </w:p>
    <w:p w14:paraId="4012B9CF" w14:textId="32ABF1AC" w:rsidR="000C49A5" w:rsidRPr="00B45DEA" w:rsidRDefault="000C49A5" w:rsidP="00410D43">
      <w:pPr>
        <w:pStyle w:val="Titulek"/>
        <w:keepNext/>
        <w:rPr>
          <w:b w:val="0"/>
          <w:i/>
          <w:color w:val="000000" w:themeColor="text1"/>
        </w:rPr>
      </w:pPr>
      <w:bookmarkStart w:id="1015" w:name="_Toc50472015"/>
      <w:bookmarkStart w:id="1016" w:name="_Toc54702815"/>
      <w:bookmarkStart w:id="1017" w:name="_Toc56179621"/>
      <w:bookmarkStart w:id="1018" w:name="_Toc7707496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3</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w:t>
      </w:r>
      <w:r w:rsidR="00804AF3">
        <w:rPr>
          <w:noProof/>
        </w:rPr>
        <w:fldChar w:fldCharType="end"/>
      </w:r>
      <w:r w:rsidR="00342F44">
        <w:rPr>
          <w:noProof/>
        </w:rPr>
        <w:t>:</w:t>
      </w:r>
      <w:r>
        <w:t xml:space="preserve"> </w:t>
      </w:r>
      <w:r w:rsidRPr="00B45DEA">
        <w:rPr>
          <w:color w:val="000000" w:themeColor="text1"/>
        </w:rPr>
        <w:t>Predikce populačního vývoje v ČR</w:t>
      </w:r>
      <w:bookmarkEnd w:id="1015"/>
      <w:bookmarkEnd w:id="1016"/>
      <w:bookmarkEnd w:id="1017"/>
      <w:bookmarkEnd w:id="1018"/>
    </w:p>
    <w:p w14:paraId="296F1B4F" w14:textId="77777777" w:rsidR="000C49A5" w:rsidRDefault="000C49A5" w:rsidP="000C49A5">
      <w:r>
        <w:rPr>
          <w:noProof/>
          <w:lang w:eastAsia="cs-CZ"/>
        </w:rPr>
        <w:drawing>
          <wp:inline distT="0" distB="0" distL="0" distR="0" wp14:anchorId="57A6A8CF" wp14:editId="2FA6FB58">
            <wp:extent cx="5619750" cy="2524125"/>
            <wp:effectExtent l="0" t="0" r="0" b="9525"/>
            <wp:docPr id="385" name="Obráze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1">
                      <a:extLst>
                        <a:ext uri="{28A0092B-C50C-407E-A947-70E740481C1C}">
                          <a14:useLocalDpi xmlns:a14="http://schemas.microsoft.com/office/drawing/2010/main" val="0"/>
                        </a:ext>
                      </a:extLst>
                    </a:blip>
                    <a:srcRect l="1154" t="1728" r="1507" b="6681"/>
                    <a:stretch/>
                  </pic:blipFill>
                  <pic:spPr bwMode="auto">
                    <a:xfrm>
                      <a:off x="0" y="0"/>
                      <a:ext cx="5619750" cy="2524125"/>
                    </a:xfrm>
                    <a:prstGeom prst="rect">
                      <a:avLst/>
                    </a:prstGeom>
                    <a:noFill/>
                    <a:ln>
                      <a:noFill/>
                    </a:ln>
                    <a:extLst>
                      <a:ext uri="{53640926-AAD7-44D8-BBD7-CCE9431645EC}">
                        <a14:shadowObscured xmlns:a14="http://schemas.microsoft.com/office/drawing/2010/main"/>
                      </a:ext>
                    </a:extLst>
                  </pic:spPr>
                </pic:pic>
              </a:graphicData>
            </a:graphic>
          </wp:inline>
        </w:drawing>
      </w:r>
    </w:p>
    <w:p w14:paraId="267768C3" w14:textId="77777777" w:rsidR="000C49A5" w:rsidRPr="00342F44" w:rsidRDefault="000C49A5" w:rsidP="000C49A5">
      <w:pPr>
        <w:spacing w:before="0" w:after="240"/>
        <w:rPr>
          <w:i/>
          <w:sz w:val="18"/>
          <w:szCs w:val="18"/>
        </w:rPr>
      </w:pPr>
      <w:r w:rsidRPr="00B45DEA">
        <w:rPr>
          <w:i/>
          <w:sz w:val="18"/>
          <w:szCs w:val="18"/>
        </w:rPr>
        <w:t xml:space="preserve">Zdroj: ČSÚ, Projekce obyvatelstva České republiky - 2018 – 2100. Dostupné na: </w:t>
      </w:r>
      <w:hyperlink r:id="rId272" w:history="1">
        <w:r w:rsidRPr="00342F44">
          <w:rPr>
            <w:rStyle w:val="Hypertextovodkaz"/>
            <w:color w:val="auto"/>
            <w:sz w:val="18"/>
            <w:szCs w:val="18"/>
            <w:u w:val="none"/>
          </w:rPr>
          <w:t>https://www.czso.cz/csu/czso/projekce-obyvatelstva-ceske-republiky-2018-2100</w:t>
        </w:r>
      </w:hyperlink>
      <w:r w:rsidRPr="00342F44">
        <w:rPr>
          <w:i/>
          <w:sz w:val="18"/>
          <w:szCs w:val="18"/>
        </w:rPr>
        <w:t xml:space="preserve"> </w:t>
      </w:r>
    </w:p>
    <w:p w14:paraId="4DFACA1F" w14:textId="77777777" w:rsidR="000C49A5" w:rsidRDefault="000C49A5" w:rsidP="000C49A5">
      <w:r>
        <w:t xml:space="preserve">Na území města Zlína se tento trend zatím neprojevuje, dochází zde k mírnému poklesu počtu obyvatel, nárůst obyvatel ve Zlíně nepředpokládá ani prognóza zpracovaná v rámci strategie Zlín 2030. </w:t>
      </w:r>
    </w:p>
    <w:p w14:paraId="2928D377" w14:textId="45A51CCB" w:rsidR="000C49A5" w:rsidRDefault="000C49A5" w:rsidP="000C49A5">
      <w:r w:rsidRPr="00B45DEA">
        <w:t>Klíčovým procesem ovlivňujícím vývoj socioprostorové struktury regionů je demografický vývoj a</w:t>
      </w:r>
      <w:r w:rsidR="00342F44">
        <w:t> </w:t>
      </w:r>
      <w:r w:rsidRPr="00B45DEA">
        <w:t>především stárnutí populace. Hlavní příčinou je zejména snižující se porodnost, snižování měr úmrtnosti a prodlužující se délka života. V České republice však dochází k trvalému podceňování tohoto trendu a k odkládání přijetí potřebných reforem (zejména důchodové), což může mít za následek kolaps sociálního systému státu a následně i prudký nárůst podílu obyvatel přímo ohrožených sociálním vyloučením v obou správních obvodech.</w:t>
      </w:r>
      <w:r>
        <w:t xml:space="preserve"> </w:t>
      </w:r>
      <w:r w:rsidRPr="00B45DEA">
        <w:t>Jedním z negativních faktorů je destabilizace sociálního prostředí v ČR, roste sociálně-ekonomický tlak zejména na mladé rodiny, seniory, samoživitele a jednočlenné a velmi početné domácnosti (zejména nárůst finančních nároků na zajištění domácnosti a životních potřeb),</w:t>
      </w:r>
      <w:r>
        <w:t xml:space="preserve"> což vede k nárůstu potřebnosti kapacit relevantních sociálních služeb.</w:t>
      </w:r>
    </w:p>
    <w:p w14:paraId="1E454BA8" w14:textId="6A4E6FA2" w:rsidR="000C49A5" w:rsidRPr="00FF01E3" w:rsidRDefault="000C49A5" w:rsidP="000C49A5">
      <w:pPr>
        <w:rPr>
          <w:i/>
        </w:rPr>
      </w:pPr>
      <w:r w:rsidRPr="00FF01E3">
        <w:rPr>
          <w:i/>
        </w:rPr>
        <w:t>Sociální sy</w:t>
      </w:r>
      <w:r w:rsidR="00342F44">
        <w:rPr>
          <w:i/>
        </w:rPr>
        <w:t>s</w:t>
      </w:r>
      <w:r w:rsidRPr="00FF01E3">
        <w:rPr>
          <w:i/>
        </w:rPr>
        <w:t>tém</w:t>
      </w:r>
    </w:p>
    <w:p w14:paraId="6374342F" w14:textId="7B893C80" w:rsidR="000C49A5" w:rsidRDefault="000C49A5" w:rsidP="000C49A5">
      <w:r>
        <w:t>Spolu se sociálními potřebami souvisí také na úrovni ČR stále nedořešená problematika sociálního bydlení. Práce na zákoně o sociálním bydlení, které byly stanoveny plánem legislativních prací v roce 2018, byly později téhož roku ukončeny. Podpora sociálního bydlení je řešena prostřednictvím dotačních programů na inv</w:t>
      </w:r>
      <w:r w:rsidR="00252776">
        <w:t>estice do bytového fondu, řešení</w:t>
      </w:r>
      <w:r>
        <w:t xml:space="preserve"> této oblasti se však již nezabývá podporou sociální práce. Neřešení problémů sociální agendy a zhoršená dostupnost důstojného bydlení vede k obchodu s chudobou a přetěžování dávkového systému.</w:t>
      </w:r>
    </w:p>
    <w:p w14:paraId="7C02EC33" w14:textId="5E1D9C86" w:rsidR="000C49A5" w:rsidRDefault="000C49A5" w:rsidP="000C49A5">
      <w:r>
        <w:t>Sociální systém ohrožuje také vysoký počet vedených exekucí. Ačkoliv v posledních letech počet exekucí klesá, v roce 2019 bylo evidováno 783 tisíc osob v exekuci. Tato vysoká čísla představují rizika pro sociální systém, vzhledem k nastavení exekučního systému může docházet k dalšímu prohlubování sociálního vyloučení osob a vznik navazujících problémů (nedostupnost bydlení, kriminalita atd.).</w:t>
      </w:r>
    </w:p>
    <w:p w14:paraId="172C6DC5" w14:textId="4CE947B0" w:rsidR="000C49A5" w:rsidRDefault="000C49A5" w:rsidP="000C49A5">
      <w:pPr>
        <w:rPr>
          <w:i/>
        </w:rPr>
      </w:pPr>
      <w:r w:rsidRPr="0074041E">
        <w:rPr>
          <w:i/>
        </w:rPr>
        <w:t>Vzdělá</w:t>
      </w:r>
      <w:r w:rsidR="00757ADA">
        <w:rPr>
          <w:i/>
        </w:rPr>
        <w:t>vá</w:t>
      </w:r>
      <w:r w:rsidRPr="0074041E">
        <w:rPr>
          <w:i/>
        </w:rPr>
        <w:t>ní obyvatelstva</w:t>
      </w:r>
    </w:p>
    <w:p w14:paraId="1E7BE12E" w14:textId="03547E43" w:rsidR="000C49A5" w:rsidRDefault="000C49A5" w:rsidP="000C49A5">
      <w:r w:rsidRPr="00CC06CC">
        <w:t>Vzdělávací systém a jeho kvalita je jedním z klíčových faktorů ovlivňující úroveň lidských zdrojů a jejich uplatnitelnost na trhu práce. Současný vzdělávací systém se potýká s nedostatkem financí</w:t>
      </w:r>
      <w:r>
        <w:rPr>
          <w:rStyle w:val="Znakapoznpodarou"/>
        </w:rPr>
        <w:footnoteReference w:id="117"/>
      </w:r>
      <w:r w:rsidRPr="00CC06CC">
        <w:t xml:space="preserve"> na straně jedné a na straně druhé s nesouladem mezi požadavky trhu práce a nabídkou vzdělávacích oborů a</w:t>
      </w:r>
      <w:r w:rsidR="00342F44">
        <w:t> </w:t>
      </w:r>
      <w:r w:rsidRPr="00CC06CC">
        <w:t>následně absolventů.</w:t>
      </w:r>
      <w:r>
        <w:t xml:space="preserve"> Zvyšuje se zájem o studium na vysoké škole a dochází ke zvyšování podílu osob s vysokoškolským vzděláním.  </w:t>
      </w:r>
    </w:p>
    <w:p w14:paraId="117A678C" w14:textId="65EB6136" w:rsidR="000C49A5" w:rsidRPr="00CC06CC" w:rsidRDefault="000C49A5" w:rsidP="000C49A5">
      <w:pPr>
        <w:pStyle w:val="Titulek"/>
        <w:rPr>
          <w:b w:val="0"/>
          <w:i/>
          <w:color w:val="000000" w:themeColor="text1"/>
        </w:rPr>
      </w:pPr>
      <w:bookmarkStart w:id="1019" w:name="_Toc50472016"/>
      <w:bookmarkStart w:id="1020" w:name="_Toc54702816"/>
      <w:bookmarkStart w:id="1021" w:name="_Toc56179622"/>
      <w:bookmarkStart w:id="1022" w:name="_Toc7707496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3</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w:t>
      </w:r>
      <w:r w:rsidR="00804AF3">
        <w:rPr>
          <w:noProof/>
        </w:rPr>
        <w:fldChar w:fldCharType="end"/>
      </w:r>
      <w:r w:rsidR="00342F44">
        <w:rPr>
          <w:noProof/>
        </w:rPr>
        <w:t>:</w:t>
      </w:r>
      <w:r>
        <w:t xml:space="preserve"> </w:t>
      </w:r>
      <w:r>
        <w:rPr>
          <w:color w:val="000000" w:themeColor="text1"/>
        </w:rPr>
        <w:t>Vývoj vzdělanostní struktury obyvatelstva ČR</w:t>
      </w:r>
      <w:bookmarkEnd w:id="1019"/>
      <w:bookmarkEnd w:id="1020"/>
      <w:bookmarkEnd w:id="1021"/>
      <w:bookmarkEnd w:id="1022"/>
    </w:p>
    <w:p w14:paraId="1FE3246D" w14:textId="77777777" w:rsidR="000C49A5" w:rsidRDefault="000C49A5" w:rsidP="000C49A5">
      <w:r>
        <w:rPr>
          <w:noProof/>
          <w:lang w:eastAsia="cs-CZ"/>
        </w:rPr>
        <w:drawing>
          <wp:inline distT="0" distB="0" distL="0" distR="0" wp14:anchorId="34053942" wp14:editId="47726E18">
            <wp:extent cx="5773420" cy="2755900"/>
            <wp:effectExtent l="0" t="0" r="0" b="6350"/>
            <wp:docPr id="386" name="Obráze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67F936C6" w14:textId="549892E1" w:rsidR="000C49A5" w:rsidRDefault="00342F44" w:rsidP="000C49A5">
      <w:pPr>
        <w:spacing w:before="0" w:after="240"/>
        <w:contextualSpacing/>
        <w:rPr>
          <w:i/>
          <w:sz w:val="18"/>
          <w:szCs w:val="18"/>
        </w:rPr>
      </w:pPr>
      <w:r>
        <w:rPr>
          <w:i/>
          <w:sz w:val="18"/>
          <w:szCs w:val="18"/>
        </w:rPr>
        <w:t>Zdroj: EUROSTAT, 2019.</w:t>
      </w:r>
    </w:p>
    <w:p w14:paraId="5EB72737" w14:textId="77777777" w:rsidR="000C49A5" w:rsidRPr="00CC06CC" w:rsidRDefault="000C49A5" w:rsidP="000C49A5">
      <w:pPr>
        <w:spacing w:before="0" w:after="240"/>
        <w:rPr>
          <w:i/>
          <w:sz w:val="18"/>
          <w:szCs w:val="18"/>
        </w:rPr>
      </w:pPr>
      <w:r>
        <w:rPr>
          <w:i/>
          <w:sz w:val="18"/>
          <w:szCs w:val="18"/>
        </w:rPr>
        <w:t>Pozn.: Jedná se o podíl osob ve věkové skupině 15 až 64 let.</w:t>
      </w:r>
    </w:p>
    <w:p w14:paraId="3368484A" w14:textId="77777777" w:rsidR="000C49A5" w:rsidRDefault="000C49A5" w:rsidP="000C49A5">
      <w:pPr>
        <w:pStyle w:val="Nadpis3"/>
        <w:ind w:left="720"/>
      </w:pPr>
      <w:bookmarkStart w:id="1023" w:name="_Toc50472092"/>
      <w:bookmarkStart w:id="1024" w:name="_Toc77074655"/>
      <w:r w:rsidRPr="00BE3097">
        <w:t>Technologické faktory</w:t>
      </w:r>
      <w:bookmarkEnd w:id="1023"/>
      <w:bookmarkEnd w:id="1024"/>
    </w:p>
    <w:p w14:paraId="42AA1A85" w14:textId="77777777" w:rsidR="000C49A5" w:rsidRPr="006B3D30" w:rsidRDefault="000C49A5" w:rsidP="000C49A5">
      <w:pPr>
        <w:rPr>
          <w:i/>
        </w:rPr>
      </w:pPr>
      <w:r w:rsidRPr="006B3D30">
        <w:rPr>
          <w:i/>
        </w:rPr>
        <w:t>Podpora vědy a výzkumu</w:t>
      </w:r>
    </w:p>
    <w:p w14:paraId="12C83FC7" w14:textId="655E6973" w:rsidR="000C49A5" w:rsidRDefault="000C49A5" w:rsidP="000C49A5">
      <w:r w:rsidRPr="00D6712C">
        <w:t>Výzkum, vývoj, inovace a nové technologie jsou akcelerátorem ekonomického rozvoje, Česká republika se však v této oblasti nachází pod úrovní evropského průměru. Nedostatečná je zejména úroveň výdajů podniků na aplikovaný výzkum, vývoj a inovace</w:t>
      </w:r>
      <w:r>
        <w:rPr>
          <w:rStyle w:val="Znakapoznpodarou"/>
        </w:rPr>
        <w:footnoteReference w:id="118"/>
      </w:r>
      <w:r w:rsidRPr="00D6712C">
        <w:t>, spolupráce průmyslového sektoru s výzkumem a</w:t>
      </w:r>
      <w:r w:rsidR="00342F44">
        <w:t> </w:t>
      </w:r>
      <w:r w:rsidRPr="00D6712C">
        <w:t xml:space="preserve">rozvoj lidských zdrojů v této oblasti. Na národní i regionální úrovni jsou proto vytvářeny a realizovány politiky na podporu inovačních aktivit. Dochází ke změně systému financování vědy a výzkumu, kdy je posílena podpora kvality na úkor kvantity a podporován </w:t>
      </w:r>
      <w:r>
        <w:t>je především aplikovaný výzkum.</w:t>
      </w:r>
    </w:p>
    <w:p w14:paraId="27437881" w14:textId="77777777" w:rsidR="000C49A5" w:rsidRDefault="000C49A5" w:rsidP="000C49A5">
      <w:pPr>
        <w:keepNext/>
        <w:rPr>
          <w:i/>
        </w:rPr>
      </w:pPr>
      <w:r w:rsidRPr="006B3D30">
        <w:rPr>
          <w:i/>
        </w:rPr>
        <w:t>Význam technologií</w:t>
      </w:r>
    </w:p>
    <w:p w14:paraId="6272C414" w14:textId="7186FE3F" w:rsidR="000C49A5" w:rsidRDefault="000C49A5" w:rsidP="000C49A5">
      <w:r w:rsidRPr="00BA5C32">
        <w:t>Jedním z významných faktorů je neustálý rozvoj informačních technologií, které mění charakter komunikace a způsob získávání informací ve společnosti. Trvale pokračuje elektronizace veřejné správy, dochází k posilování role e</w:t>
      </w:r>
      <w:r w:rsidR="00252776">
        <w:t>G</w:t>
      </w:r>
      <w:r w:rsidRPr="00BA5C32">
        <w:t>overnmentu.</w:t>
      </w:r>
    </w:p>
    <w:p w14:paraId="67D91D96" w14:textId="77777777" w:rsidR="000C49A5" w:rsidRPr="00BA5C32" w:rsidRDefault="000C49A5" w:rsidP="000C49A5">
      <w:r w:rsidRPr="00BA5C32">
        <w:t xml:space="preserve"> </w:t>
      </w:r>
      <w:r>
        <w:t>Za současných podmínek se jeví pro budoucí aplikaci jako nejslibnější ty technologie, které autonomizují uživatele, přináší mu vyšší míru nezávislosti a osvobozují jej od rostoucích nákladů na provoz a degradaci prostředí v důsledku jejich využívání. Nové technologie současně s obecnou globalizací posilují lokální a regionální soběstačnost. Pravděpodobně nejvýznamnějším příkladem jsou technologie z oblasti informačních a komunikačních technologií (ICT), které přímo ovlivňují inovační obchodní modely a otvírají prostor i pro své další společenské využití s přímým dopadem na regionální ekonomiku i společnost. Technologie internetu, vysoké výpočetní kapacity, digitálních komunikací, síťových organizačních struktur apod. již do praxe pronikly a radikálně mění chování celé společnosti</w:t>
      </w:r>
      <w:r>
        <w:rPr>
          <w:rStyle w:val="Znakapoznpodarou"/>
        </w:rPr>
        <w:footnoteReference w:id="119"/>
      </w:r>
      <w:r>
        <w:t>.</w:t>
      </w:r>
    </w:p>
    <w:p w14:paraId="0F50FA08" w14:textId="77777777" w:rsidR="000C49A5" w:rsidRDefault="000C49A5" w:rsidP="000C49A5">
      <w:r w:rsidRPr="00BA5C32">
        <w:t xml:space="preserve">Dalším významným faktorem je environmentální politika státu spolu s pozitivní změnou postoje společnosti ke kvalitnímu životnímu prostředí. Je zvyšován tlak na podnikatelské aktivity, aby byly využívány materiály a postupy co nejvíce šetrné k životnímu prostředí </w:t>
      </w:r>
      <w:r>
        <w:t>a zároveň</w:t>
      </w:r>
      <w:r w:rsidRPr="00BA5C32">
        <w:t xml:space="preserve"> rostou požadavky na redukci čerpání přírodních zdrojů a omezování množství vzniku odpadu. Tyto trendy jsou doprovázeny legislativními změnami, jako je např. novela zákona o ovzduší nařizující výměnu neekologických kotlů (topných zařízení).</w:t>
      </w:r>
    </w:p>
    <w:p w14:paraId="3094C605" w14:textId="77777777" w:rsidR="000C49A5" w:rsidRDefault="000C49A5" w:rsidP="000C49A5">
      <w:pPr>
        <w:pStyle w:val="Nadpis3"/>
        <w:ind w:left="720"/>
      </w:pPr>
      <w:bookmarkStart w:id="1025" w:name="_Toc50472093"/>
      <w:bookmarkStart w:id="1026" w:name="_Toc77074656"/>
      <w:r w:rsidRPr="00BE3097">
        <w:t>Legislativní faktory</w:t>
      </w:r>
      <w:bookmarkEnd w:id="1025"/>
      <w:bookmarkEnd w:id="1026"/>
    </w:p>
    <w:p w14:paraId="567D81BC" w14:textId="77777777" w:rsidR="000C49A5" w:rsidRDefault="000C49A5" w:rsidP="000C49A5">
      <w:r>
        <w:t>Obec je ovlivňována externími legislativními vlivy, tzn., že je povinna jednat v souladu s právními předpisy, které předurčují činnosti, které obce mohou realizovat. Přehled zákonů ovlivňujících činnost obcí je uveden v následujícím přehledu (nejedná se o taxativní výčet):</w:t>
      </w:r>
    </w:p>
    <w:p w14:paraId="27E6F3EC" w14:textId="77777777" w:rsidR="000C49A5" w:rsidRPr="003D460C" w:rsidRDefault="000C49A5" w:rsidP="000C49A5">
      <w:pPr>
        <w:rPr>
          <w:i/>
        </w:rPr>
      </w:pPr>
      <w:r w:rsidRPr="003D460C">
        <w:rPr>
          <w:i/>
        </w:rPr>
        <w:t>Zákon o obcích a úřednicích:</w:t>
      </w:r>
    </w:p>
    <w:p w14:paraId="62286A6A" w14:textId="77777777" w:rsidR="000C49A5" w:rsidRDefault="000C49A5" w:rsidP="00A55F7D">
      <w:pPr>
        <w:pStyle w:val="Odstavecseseznamem"/>
        <w:numPr>
          <w:ilvl w:val="0"/>
          <w:numId w:val="114"/>
        </w:numPr>
        <w:spacing w:after="60" w:line="259" w:lineRule="auto"/>
      </w:pPr>
      <w:r>
        <w:t>Zákon č. 367/1990 Sb., o obcích</w:t>
      </w:r>
    </w:p>
    <w:p w14:paraId="438761DD" w14:textId="77777777" w:rsidR="000C49A5" w:rsidRDefault="000C49A5" w:rsidP="00A55F7D">
      <w:pPr>
        <w:pStyle w:val="Odstavecseseznamem"/>
        <w:numPr>
          <w:ilvl w:val="0"/>
          <w:numId w:val="114"/>
        </w:numPr>
        <w:spacing w:after="60" w:line="259" w:lineRule="auto"/>
      </w:pPr>
      <w:r>
        <w:t>Zákon č. 312/2002 Sb., o úřednících územních samosprávných celků</w:t>
      </w:r>
    </w:p>
    <w:p w14:paraId="3BC230B4" w14:textId="77777777" w:rsidR="000C49A5" w:rsidRPr="003D460C" w:rsidRDefault="000C49A5" w:rsidP="000C49A5">
      <w:pPr>
        <w:keepNext/>
        <w:rPr>
          <w:i/>
        </w:rPr>
      </w:pPr>
      <w:r w:rsidRPr="003D460C">
        <w:rPr>
          <w:i/>
        </w:rPr>
        <w:t>Hospodaření obce a finance:</w:t>
      </w:r>
    </w:p>
    <w:p w14:paraId="23D345EE" w14:textId="77777777" w:rsidR="000C49A5" w:rsidRDefault="000C49A5" w:rsidP="00A55F7D">
      <w:pPr>
        <w:pStyle w:val="Odstavecseseznamem"/>
        <w:numPr>
          <w:ilvl w:val="0"/>
          <w:numId w:val="114"/>
        </w:numPr>
        <w:spacing w:after="60" w:line="259" w:lineRule="auto"/>
      </w:pPr>
      <w:r>
        <w:t>Zákon č. 565/1990 Sb., o místních poplatcích</w:t>
      </w:r>
    </w:p>
    <w:p w14:paraId="7B2E7B72" w14:textId="77777777" w:rsidR="000C49A5" w:rsidRDefault="000C49A5" w:rsidP="00A55F7D">
      <w:pPr>
        <w:pStyle w:val="Odstavecseseznamem"/>
        <w:numPr>
          <w:ilvl w:val="0"/>
          <w:numId w:val="114"/>
        </w:numPr>
        <w:spacing w:after="60" w:line="259" w:lineRule="auto"/>
      </w:pPr>
      <w:r>
        <w:t xml:space="preserve">Zákon č. 338/1992 Sb., o dani z nemovitých věcí </w:t>
      </w:r>
    </w:p>
    <w:p w14:paraId="4142C943" w14:textId="77777777" w:rsidR="000C49A5" w:rsidRDefault="000C49A5" w:rsidP="00A55F7D">
      <w:pPr>
        <w:pStyle w:val="Odstavecseseznamem"/>
        <w:numPr>
          <w:ilvl w:val="0"/>
          <w:numId w:val="114"/>
        </w:numPr>
        <w:spacing w:after="60" w:line="259" w:lineRule="auto"/>
      </w:pPr>
      <w:r>
        <w:t xml:space="preserve">Zákon č. 185/2001 Sb., o odpadech </w:t>
      </w:r>
    </w:p>
    <w:p w14:paraId="3A2FEB21" w14:textId="77777777" w:rsidR="000C49A5" w:rsidRDefault="000C49A5" w:rsidP="00A55F7D">
      <w:pPr>
        <w:pStyle w:val="Odstavecseseznamem"/>
        <w:numPr>
          <w:ilvl w:val="0"/>
          <w:numId w:val="114"/>
        </w:numPr>
        <w:spacing w:after="60" w:line="259" w:lineRule="auto"/>
      </w:pPr>
      <w:r>
        <w:t>Zákon č. 634/2004 Sb., o správních poplatcích</w:t>
      </w:r>
    </w:p>
    <w:p w14:paraId="5B5C1805" w14:textId="77777777" w:rsidR="000C49A5" w:rsidRDefault="000C49A5" w:rsidP="00A55F7D">
      <w:pPr>
        <w:pStyle w:val="Odstavecseseznamem"/>
        <w:numPr>
          <w:ilvl w:val="0"/>
          <w:numId w:val="114"/>
        </w:numPr>
        <w:spacing w:after="60" w:line="259" w:lineRule="auto"/>
      </w:pPr>
      <w:r>
        <w:t>Zákon č. 151/1997 Sb., o oceňování majetku</w:t>
      </w:r>
    </w:p>
    <w:p w14:paraId="77125925" w14:textId="77777777" w:rsidR="000C49A5" w:rsidRDefault="000C49A5" w:rsidP="00A55F7D">
      <w:pPr>
        <w:pStyle w:val="Odstavecseseznamem"/>
        <w:numPr>
          <w:ilvl w:val="0"/>
          <w:numId w:val="114"/>
        </w:numPr>
        <w:spacing w:after="60" w:line="259" w:lineRule="auto"/>
      </w:pPr>
      <w:r>
        <w:t>Zákon č. 250/2000 Sb., o rozpočtových pravidlech územních rozpočtů</w:t>
      </w:r>
    </w:p>
    <w:p w14:paraId="15F2DEC6" w14:textId="77777777" w:rsidR="000C49A5" w:rsidRDefault="000C49A5" w:rsidP="00A55F7D">
      <w:pPr>
        <w:pStyle w:val="Odstavecseseznamem"/>
        <w:numPr>
          <w:ilvl w:val="0"/>
          <w:numId w:val="114"/>
        </w:numPr>
        <w:spacing w:after="60" w:line="259" w:lineRule="auto"/>
      </w:pPr>
      <w:r>
        <w:t>Předpis č. 37/2003 Sb., nařízení vlády o odměnách za výkon funkce členům zastupitelstev</w:t>
      </w:r>
    </w:p>
    <w:p w14:paraId="21590F00" w14:textId="77777777" w:rsidR="000C49A5" w:rsidRDefault="000C49A5" w:rsidP="00A55F7D">
      <w:pPr>
        <w:pStyle w:val="Odstavecseseznamem"/>
        <w:numPr>
          <w:ilvl w:val="0"/>
          <w:numId w:val="114"/>
        </w:numPr>
        <w:spacing w:after="60" w:line="259" w:lineRule="auto"/>
      </w:pPr>
      <w:r>
        <w:t>Zákon č. 320/2001 Sb., o finanční kontrole ve veřejné správě</w:t>
      </w:r>
    </w:p>
    <w:p w14:paraId="70A127E6" w14:textId="77777777" w:rsidR="000C49A5" w:rsidRDefault="000C49A5" w:rsidP="00A55F7D">
      <w:pPr>
        <w:pStyle w:val="Odstavecseseznamem"/>
        <w:numPr>
          <w:ilvl w:val="0"/>
          <w:numId w:val="114"/>
        </w:numPr>
        <w:spacing w:after="60" w:line="259" w:lineRule="auto"/>
      </w:pPr>
      <w:r>
        <w:t>Zákon č. 137/2006 Sb., o veřejných zakázkách</w:t>
      </w:r>
    </w:p>
    <w:p w14:paraId="71848588" w14:textId="77777777" w:rsidR="000C49A5" w:rsidRPr="003D460C" w:rsidRDefault="000C49A5" w:rsidP="000C49A5">
      <w:pPr>
        <w:rPr>
          <w:i/>
        </w:rPr>
      </w:pPr>
      <w:r w:rsidRPr="003D460C">
        <w:rPr>
          <w:i/>
        </w:rPr>
        <w:t>Obec ve funkci zřizovatele:</w:t>
      </w:r>
    </w:p>
    <w:p w14:paraId="0403B0AA" w14:textId="77777777" w:rsidR="000C49A5" w:rsidRDefault="000C49A5" w:rsidP="00A55F7D">
      <w:pPr>
        <w:pStyle w:val="Odstavecseseznamem"/>
        <w:numPr>
          <w:ilvl w:val="0"/>
          <w:numId w:val="114"/>
        </w:numPr>
        <w:spacing w:after="60" w:line="259" w:lineRule="auto"/>
      </w:pPr>
      <w:r>
        <w:t>Zákon č. 553/1991 Sb., o obecní policii</w:t>
      </w:r>
    </w:p>
    <w:p w14:paraId="1C9D1FC9" w14:textId="77777777" w:rsidR="000C49A5" w:rsidRDefault="000C49A5" w:rsidP="00A55F7D">
      <w:pPr>
        <w:pStyle w:val="Odstavecseseznamem"/>
        <w:numPr>
          <w:ilvl w:val="0"/>
          <w:numId w:val="114"/>
        </w:numPr>
        <w:spacing w:after="60" w:line="259" w:lineRule="auto"/>
      </w:pPr>
      <w:r>
        <w:t>Zákon č. 257/2001 Sb., knihovní zákon</w:t>
      </w:r>
    </w:p>
    <w:p w14:paraId="52D91412" w14:textId="77777777" w:rsidR="000C49A5" w:rsidRDefault="000C49A5" w:rsidP="00A55F7D">
      <w:pPr>
        <w:pStyle w:val="Odstavecseseznamem"/>
        <w:numPr>
          <w:ilvl w:val="0"/>
          <w:numId w:val="114"/>
        </w:numPr>
        <w:spacing w:after="60" w:line="259" w:lineRule="auto"/>
      </w:pPr>
      <w:r>
        <w:t>Zákon č. 115/2001 Sb., o podpoře sportu</w:t>
      </w:r>
    </w:p>
    <w:p w14:paraId="6CE3DD43" w14:textId="77777777" w:rsidR="000C49A5" w:rsidRDefault="000C49A5" w:rsidP="00A55F7D">
      <w:pPr>
        <w:pStyle w:val="Odstavecseseznamem"/>
        <w:numPr>
          <w:ilvl w:val="0"/>
          <w:numId w:val="114"/>
        </w:numPr>
        <w:spacing w:after="60" w:line="259" w:lineRule="auto"/>
      </w:pPr>
      <w:r>
        <w:t>Zákon č. 561/2004 Sb., školský zákon</w:t>
      </w:r>
    </w:p>
    <w:p w14:paraId="7CAC54AA" w14:textId="77777777" w:rsidR="000C49A5" w:rsidRDefault="000C49A5" w:rsidP="00A55F7D">
      <w:pPr>
        <w:pStyle w:val="Odstavecseseznamem"/>
        <w:numPr>
          <w:ilvl w:val="0"/>
          <w:numId w:val="114"/>
        </w:numPr>
        <w:spacing w:after="60" w:line="259" w:lineRule="auto"/>
      </w:pPr>
      <w:r>
        <w:t>Zákon č. 133/1985 Sb., o požární ochraně</w:t>
      </w:r>
    </w:p>
    <w:p w14:paraId="7A38EB60" w14:textId="77777777" w:rsidR="000C49A5" w:rsidRDefault="000C49A5" w:rsidP="00A55F7D">
      <w:pPr>
        <w:pStyle w:val="Odstavecseseznamem"/>
        <w:numPr>
          <w:ilvl w:val="0"/>
          <w:numId w:val="114"/>
        </w:numPr>
        <w:spacing w:after="60" w:line="259" w:lineRule="auto"/>
      </w:pPr>
      <w:r>
        <w:t>Ústavní zákon č. 3/1993 Sb., o státních symbolech České republiky</w:t>
      </w:r>
    </w:p>
    <w:p w14:paraId="74AAB82F" w14:textId="77777777" w:rsidR="000C49A5" w:rsidRDefault="000C49A5" w:rsidP="00A55F7D">
      <w:pPr>
        <w:pStyle w:val="Odstavecseseznamem"/>
        <w:numPr>
          <w:ilvl w:val="0"/>
          <w:numId w:val="114"/>
        </w:numPr>
        <w:spacing w:after="60" w:line="259" w:lineRule="auto"/>
      </w:pPr>
      <w:r>
        <w:t>Zákon č. 372/2011 Sb., o zdravotních službách</w:t>
      </w:r>
    </w:p>
    <w:p w14:paraId="5468DC15" w14:textId="77777777" w:rsidR="000C49A5" w:rsidRDefault="000C49A5" w:rsidP="00A55F7D">
      <w:pPr>
        <w:pStyle w:val="Odstavecseseznamem"/>
        <w:numPr>
          <w:ilvl w:val="0"/>
          <w:numId w:val="114"/>
        </w:numPr>
        <w:spacing w:after="60" w:line="259" w:lineRule="auto"/>
      </w:pPr>
      <w:r>
        <w:t>Zákon č. 108/2006 Sb., o sociálních službách</w:t>
      </w:r>
    </w:p>
    <w:p w14:paraId="55CFF8F4" w14:textId="77777777" w:rsidR="000C49A5" w:rsidRDefault="000C49A5" w:rsidP="00A55F7D">
      <w:pPr>
        <w:pStyle w:val="Odstavecseseznamem"/>
        <w:numPr>
          <w:ilvl w:val="0"/>
          <w:numId w:val="114"/>
        </w:numPr>
        <w:spacing w:after="60" w:line="259" w:lineRule="auto"/>
      </w:pPr>
      <w:r>
        <w:t>Zákon č. 256/2001 Sb., o pohřebnictví</w:t>
      </w:r>
    </w:p>
    <w:p w14:paraId="268E94FD" w14:textId="77777777" w:rsidR="000C49A5" w:rsidRPr="003D460C" w:rsidRDefault="000C49A5" w:rsidP="000C49A5">
      <w:pPr>
        <w:rPr>
          <w:i/>
        </w:rPr>
      </w:pPr>
      <w:r w:rsidRPr="003D460C">
        <w:rPr>
          <w:i/>
        </w:rPr>
        <w:t>Vyjádření a stanoviska obcí</w:t>
      </w:r>
    </w:p>
    <w:p w14:paraId="46F67A69" w14:textId="77777777" w:rsidR="000C49A5" w:rsidRDefault="000C49A5" w:rsidP="00A55F7D">
      <w:pPr>
        <w:pStyle w:val="Odstavecseseznamem"/>
        <w:numPr>
          <w:ilvl w:val="0"/>
          <w:numId w:val="114"/>
        </w:numPr>
        <w:spacing w:after="60" w:line="259" w:lineRule="auto"/>
      </w:pPr>
      <w:r>
        <w:t>Zákon č. 100/2001 Sb., o posuzování vlivů na životní prostředí</w:t>
      </w:r>
    </w:p>
    <w:p w14:paraId="78C2F970" w14:textId="77777777" w:rsidR="000C49A5" w:rsidRDefault="000C49A5" w:rsidP="00A55F7D">
      <w:pPr>
        <w:pStyle w:val="Odstavecseseznamem"/>
        <w:numPr>
          <w:ilvl w:val="0"/>
          <w:numId w:val="114"/>
        </w:numPr>
        <w:spacing w:after="60" w:line="259" w:lineRule="auto"/>
      </w:pPr>
      <w:r>
        <w:t>Zákon č. 266/1994 Sb., o drahách</w:t>
      </w:r>
    </w:p>
    <w:p w14:paraId="6AE84215" w14:textId="77777777" w:rsidR="000C49A5" w:rsidRDefault="000C49A5" w:rsidP="00A55F7D">
      <w:pPr>
        <w:pStyle w:val="Odstavecseseznamem"/>
        <w:numPr>
          <w:ilvl w:val="0"/>
          <w:numId w:val="114"/>
        </w:numPr>
        <w:spacing w:after="60" w:line="259" w:lineRule="auto"/>
      </w:pPr>
      <w:r>
        <w:t>Zákon č. 72/2000 Sb., o investičních pobídkách</w:t>
      </w:r>
    </w:p>
    <w:p w14:paraId="6B3C1E55" w14:textId="77777777" w:rsidR="000C49A5" w:rsidRDefault="000C49A5" w:rsidP="00A55F7D">
      <w:pPr>
        <w:pStyle w:val="Odstavecseseznamem"/>
        <w:numPr>
          <w:ilvl w:val="0"/>
          <w:numId w:val="114"/>
        </w:numPr>
        <w:spacing w:after="60" w:line="259" w:lineRule="auto"/>
      </w:pPr>
      <w:r>
        <w:t>Zákon č. 164/2001 Sb., lázeňský zákon</w:t>
      </w:r>
    </w:p>
    <w:p w14:paraId="7C6482B5" w14:textId="77777777" w:rsidR="000C49A5" w:rsidRPr="00704952" w:rsidRDefault="000C49A5" w:rsidP="000C49A5">
      <w:pPr>
        <w:keepNext/>
        <w:rPr>
          <w:i/>
        </w:rPr>
      </w:pPr>
      <w:r w:rsidRPr="00704952">
        <w:rPr>
          <w:i/>
        </w:rPr>
        <w:t>Veřejná služba</w:t>
      </w:r>
    </w:p>
    <w:p w14:paraId="36F7663F" w14:textId="77777777" w:rsidR="000C49A5" w:rsidRDefault="000C49A5" w:rsidP="00A55F7D">
      <w:pPr>
        <w:pStyle w:val="Odstavecseseznamem"/>
        <w:numPr>
          <w:ilvl w:val="0"/>
          <w:numId w:val="114"/>
        </w:numPr>
        <w:spacing w:after="60" w:line="259" w:lineRule="auto"/>
      </w:pPr>
      <w:r>
        <w:t>Zákon č. 561/2004 Sb., o předškolním, základním, středním, vyšším odborném a jiném vzdělávání (školský zákon)</w:t>
      </w:r>
    </w:p>
    <w:p w14:paraId="4C1A488A" w14:textId="77777777" w:rsidR="000C49A5" w:rsidRDefault="000C49A5" w:rsidP="00A55F7D">
      <w:pPr>
        <w:pStyle w:val="Odstavecseseznamem"/>
        <w:numPr>
          <w:ilvl w:val="0"/>
          <w:numId w:val="114"/>
        </w:numPr>
        <w:spacing w:after="60" w:line="259" w:lineRule="auto"/>
      </w:pPr>
      <w:r>
        <w:t>Zákon č. 185/2001 Sb., o odpadech a o změně některých dalších zákonů</w:t>
      </w:r>
    </w:p>
    <w:p w14:paraId="275DC52E" w14:textId="77777777" w:rsidR="000C49A5" w:rsidRPr="00704952" w:rsidRDefault="000C49A5" w:rsidP="000C49A5">
      <w:pPr>
        <w:keepNext/>
        <w:rPr>
          <w:i/>
        </w:rPr>
      </w:pPr>
      <w:r w:rsidRPr="00704952">
        <w:rPr>
          <w:i/>
        </w:rPr>
        <w:t>Územní plánování a rozvoj infrastruktury</w:t>
      </w:r>
    </w:p>
    <w:p w14:paraId="53623087" w14:textId="77777777" w:rsidR="000C49A5" w:rsidRDefault="000C49A5" w:rsidP="00A55F7D">
      <w:pPr>
        <w:pStyle w:val="Odstavecseseznamem"/>
        <w:numPr>
          <w:ilvl w:val="0"/>
          <w:numId w:val="115"/>
        </w:numPr>
        <w:spacing w:after="60" w:line="259" w:lineRule="auto"/>
      </w:pPr>
      <w:r>
        <w:t>Zákon č. 183/2006 Sb., stavební zákon</w:t>
      </w:r>
    </w:p>
    <w:p w14:paraId="78EC9B6F" w14:textId="77777777" w:rsidR="000C49A5" w:rsidRDefault="000C49A5" w:rsidP="00A55F7D">
      <w:pPr>
        <w:pStyle w:val="Odstavecseseznamem"/>
        <w:numPr>
          <w:ilvl w:val="0"/>
          <w:numId w:val="115"/>
        </w:numPr>
        <w:spacing w:after="60" w:line="259" w:lineRule="auto"/>
      </w:pPr>
      <w:r>
        <w:t>Zákon č. 406/2000 Sb., o hospodaření energií</w:t>
      </w:r>
    </w:p>
    <w:p w14:paraId="2813DCD9" w14:textId="77777777" w:rsidR="000C49A5" w:rsidRDefault="000C49A5" w:rsidP="00A55F7D">
      <w:pPr>
        <w:pStyle w:val="Odstavecseseznamem"/>
        <w:numPr>
          <w:ilvl w:val="0"/>
          <w:numId w:val="115"/>
        </w:numPr>
        <w:spacing w:after="60" w:line="259" w:lineRule="auto"/>
      </w:pPr>
      <w:r>
        <w:t>Zákon č. 254/2001 Sb., vodní zákon</w:t>
      </w:r>
    </w:p>
    <w:p w14:paraId="1D0C3D7C" w14:textId="77777777" w:rsidR="000C49A5" w:rsidRPr="00704952" w:rsidRDefault="000C49A5" w:rsidP="000C49A5">
      <w:pPr>
        <w:keepNext/>
        <w:rPr>
          <w:i/>
        </w:rPr>
      </w:pPr>
      <w:r w:rsidRPr="00704952">
        <w:rPr>
          <w:i/>
        </w:rPr>
        <w:t>Sociální činnost</w:t>
      </w:r>
    </w:p>
    <w:p w14:paraId="799F90EA" w14:textId="77777777" w:rsidR="000C49A5" w:rsidRDefault="000C49A5" w:rsidP="00A55F7D">
      <w:pPr>
        <w:pStyle w:val="Odstavecseseznamem"/>
        <w:keepNext/>
        <w:numPr>
          <w:ilvl w:val="0"/>
          <w:numId w:val="115"/>
        </w:numPr>
        <w:spacing w:after="60" w:line="259" w:lineRule="auto"/>
      </w:pPr>
      <w:r>
        <w:t>Zákon č. 329/2011 Sb., o poskytování dávek osobám se zdravotním postižením</w:t>
      </w:r>
    </w:p>
    <w:p w14:paraId="79875D29" w14:textId="77777777" w:rsidR="000C49A5" w:rsidRDefault="000C49A5" w:rsidP="00A55F7D">
      <w:pPr>
        <w:pStyle w:val="Odstavecseseznamem"/>
        <w:numPr>
          <w:ilvl w:val="0"/>
          <w:numId w:val="115"/>
        </w:numPr>
        <w:spacing w:after="60" w:line="259" w:lineRule="auto"/>
      </w:pPr>
      <w:r>
        <w:t>Zákon č. 582/1991 Sb., o organizaci a provádění sociálního zabezpečení</w:t>
      </w:r>
    </w:p>
    <w:p w14:paraId="590DED59" w14:textId="77777777" w:rsidR="000C49A5" w:rsidRDefault="000C49A5" w:rsidP="00A55F7D">
      <w:pPr>
        <w:pStyle w:val="Odstavecseseznamem"/>
        <w:numPr>
          <w:ilvl w:val="0"/>
          <w:numId w:val="115"/>
        </w:numPr>
        <w:spacing w:after="60" w:line="259" w:lineRule="auto"/>
      </w:pPr>
      <w:r>
        <w:t>Zákon č. 359/1999 Sb., o sociálně-právní ochraně dětí</w:t>
      </w:r>
    </w:p>
    <w:p w14:paraId="06574820" w14:textId="77777777" w:rsidR="000C49A5" w:rsidRDefault="000C49A5" w:rsidP="00A55F7D">
      <w:pPr>
        <w:pStyle w:val="Odstavecseseznamem"/>
        <w:numPr>
          <w:ilvl w:val="0"/>
          <w:numId w:val="115"/>
        </w:numPr>
        <w:spacing w:after="60" w:line="259" w:lineRule="auto"/>
      </w:pPr>
      <w:r>
        <w:t>Zákon č. 435/2004 Sb., o zaměstnanosti</w:t>
      </w:r>
    </w:p>
    <w:p w14:paraId="5D76B077" w14:textId="77777777" w:rsidR="000C49A5" w:rsidRPr="00704952" w:rsidRDefault="000C49A5" w:rsidP="000C49A5">
      <w:pPr>
        <w:keepNext/>
        <w:rPr>
          <w:i/>
        </w:rPr>
      </w:pPr>
      <w:r w:rsidRPr="00704952">
        <w:rPr>
          <w:i/>
        </w:rPr>
        <w:t>Doprava</w:t>
      </w:r>
    </w:p>
    <w:p w14:paraId="2D5CB1F4" w14:textId="77777777" w:rsidR="000C49A5" w:rsidRDefault="000C49A5" w:rsidP="00A55F7D">
      <w:pPr>
        <w:pStyle w:val="Odstavecseseznamem"/>
        <w:numPr>
          <w:ilvl w:val="0"/>
          <w:numId w:val="115"/>
        </w:numPr>
        <w:spacing w:after="60" w:line="259" w:lineRule="auto"/>
      </w:pPr>
      <w:r>
        <w:t>Zákon č. 13/1997 Sb., o pozemních komunikacích</w:t>
      </w:r>
    </w:p>
    <w:p w14:paraId="5823A69F" w14:textId="77777777" w:rsidR="000C49A5" w:rsidRDefault="000C49A5" w:rsidP="00A55F7D">
      <w:pPr>
        <w:pStyle w:val="Odstavecseseznamem"/>
        <w:numPr>
          <w:ilvl w:val="0"/>
          <w:numId w:val="115"/>
        </w:numPr>
        <w:spacing w:after="60" w:line="259" w:lineRule="auto"/>
      </w:pPr>
      <w:r>
        <w:t>Zákon č. 111/1994 Sb., o silniční dopravě</w:t>
      </w:r>
    </w:p>
    <w:p w14:paraId="6ABBF874" w14:textId="77777777" w:rsidR="000C49A5" w:rsidRDefault="000C49A5" w:rsidP="00A55F7D">
      <w:pPr>
        <w:pStyle w:val="Odstavecseseznamem"/>
        <w:numPr>
          <w:ilvl w:val="0"/>
          <w:numId w:val="115"/>
        </w:numPr>
        <w:spacing w:after="60" w:line="259" w:lineRule="auto"/>
      </w:pPr>
      <w:r>
        <w:t>Zákon č. 266/1994 Sb., o drahách</w:t>
      </w:r>
    </w:p>
    <w:p w14:paraId="48375A0C" w14:textId="77777777" w:rsidR="000C49A5" w:rsidRDefault="000C49A5" w:rsidP="00A55F7D">
      <w:pPr>
        <w:pStyle w:val="Odstavecseseznamem"/>
        <w:numPr>
          <w:ilvl w:val="0"/>
          <w:numId w:val="115"/>
        </w:numPr>
        <w:spacing w:after="60" w:line="259" w:lineRule="auto"/>
      </w:pPr>
      <w:r>
        <w:t>Zákon č. 361/2000 Sb., o provozu na pozemních komunikacích</w:t>
      </w:r>
    </w:p>
    <w:p w14:paraId="0E866B62" w14:textId="77777777" w:rsidR="000C49A5" w:rsidRPr="00704952" w:rsidRDefault="000C49A5" w:rsidP="000C49A5">
      <w:pPr>
        <w:keepNext/>
        <w:rPr>
          <w:i/>
        </w:rPr>
      </w:pPr>
      <w:r w:rsidRPr="00704952">
        <w:rPr>
          <w:i/>
        </w:rPr>
        <w:t>Životní prostředí</w:t>
      </w:r>
    </w:p>
    <w:p w14:paraId="55D24D17" w14:textId="77777777" w:rsidR="000C49A5" w:rsidRDefault="000C49A5" w:rsidP="00A55F7D">
      <w:pPr>
        <w:pStyle w:val="Odstavecseseznamem"/>
        <w:numPr>
          <w:ilvl w:val="0"/>
          <w:numId w:val="115"/>
        </w:numPr>
        <w:spacing w:after="60" w:line="259" w:lineRule="auto"/>
      </w:pPr>
      <w:r>
        <w:t>Zákon č. 185/2001 Sb. o odpadech</w:t>
      </w:r>
    </w:p>
    <w:p w14:paraId="7FE457EC" w14:textId="77777777" w:rsidR="000C49A5" w:rsidRDefault="000C49A5" w:rsidP="00A55F7D">
      <w:pPr>
        <w:pStyle w:val="Odstavecseseznamem"/>
        <w:numPr>
          <w:ilvl w:val="0"/>
          <w:numId w:val="115"/>
        </w:numPr>
        <w:spacing w:after="60" w:line="259" w:lineRule="auto"/>
      </w:pPr>
      <w:r>
        <w:t>Zákon č. 201/2012 Sb., o ochraně ovzduší</w:t>
      </w:r>
    </w:p>
    <w:p w14:paraId="760E0080" w14:textId="77777777" w:rsidR="000C49A5" w:rsidRDefault="000C49A5" w:rsidP="00A55F7D">
      <w:pPr>
        <w:pStyle w:val="Odstavecseseznamem"/>
        <w:numPr>
          <w:ilvl w:val="0"/>
          <w:numId w:val="115"/>
        </w:numPr>
        <w:spacing w:after="60" w:line="259" w:lineRule="auto"/>
      </w:pPr>
      <w:r>
        <w:t>Zákon č. 254/2001 Sb., vodní zákon</w:t>
      </w:r>
    </w:p>
    <w:p w14:paraId="123633CD" w14:textId="77777777" w:rsidR="000C49A5" w:rsidRDefault="000C49A5" w:rsidP="00A55F7D">
      <w:pPr>
        <w:pStyle w:val="Odstavecseseznamem"/>
        <w:numPr>
          <w:ilvl w:val="0"/>
          <w:numId w:val="115"/>
        </w:numPr>
        <w:spacing w:after="60" w:line="259" w:lineRule="auto"/>
      </w:pPr>
      <w:r>
        <w:t>Zákon č. 274/2001 Sb., o vodovodech a kanalizacích</w:t>
      </w:r>
    </w:p>
    <w:p w14:paraId="446DF858" w14:textId="77777777" w:rsidR="000C49A5" w:rsidRDefault="000C49A5" w:rsidP="000C49A5">
      <w:pPr>
        <w:spacing w:after="60" w:line="259" w:lineRule="auto"/>
      </w:pPr>
      <w:r>
        <w:t>Zároveň probíhá proces přípravy novelizace některých zákonů, které představují externí ovlivnění činností obcí, jedná se například o:</w:t>
      </w:r>
    </w:p>
    <w:p w14:paraId="49DD1CA3" w14:textId="77777777" w:rsidR="000C49A5" w:rsidRDefault="000C49A5" w:rsidP="00A55F7D">
      <w:pPr>
        <w:pStyle w:val="Odstavecseseznamem"/>
        <w:numPr>
          <w:ilvl w:val="0"/>
          <w:numId w:val="115"/>
        </w:numPr>
        <w:spacing w:after="60" w:line="259" w:lineRule="auto"/>
      </w:pPr>
      <w:r>
        <w:t>Návrh novely stavebního zákona</w:t>
      </w:r>
    </w:p>
    <w:p w14:paraId="42A07CCB" w14:textId="77777777" w:rsidR="000C49A5" w:rsidRDefault="000C49A5" w:rsidP="00A55F7D">
      <w:pPr>
        <w:pStyle w:val="Odstavecseseznamem"/>
        <w:numPr>
          <w:ilvl w:val="0"/>
          <w:numId w:val="115"/>
        </w:numPr>
        <w:spacing w:after="60" w:line="259" w:lineRule="auto"/>
      </w:pPr>
      <w:r w:rsidRPr="00124AE3">
        <w:t>Návrh zákona, kterým se mění některé zákony v souvislosti s přijetím stavebního zákona</w:t>
      </w:r>
    </w:p>
    <w:p w14:paraId="21E060F3" w14:textId="77777777" w:rsidR="000C49A5" w:rsidRDefault="000C49A5" w:rsidP="00A55F7D">
      <w:pPr>
        <w:pStyle w:val="Odstavecseseznamem"/>
        <w:numPr>
          <w:ilvl w:val="0"/>
          <w:numId w:val="115"/>
        </w:numPr>
        <w:spacing w:after="60" w:line="259" w:lineRule="auto"/>
      </w:pPr>
      <w:r w:rsidRPr="00124AE3">
        <w:t>Návrh zákona, kterým se mění zákon č. 435/2004 Sb., o zaměstnanosti, ve znění pozdějších předpisů, a některé další související zákony</w:t>
      </w:r>
    </w:p>
    <w:p w14:paraId="37F3FEA7" w14:textId="77777777" w:rsidR="000C49A5" w:rsidRPr="00BE3097" w:rsidRDefault="000C49A5" w:rsidP="000C49A5">
      <w:pPr>
        <w:pStyle w:val="Nadpis3"/>
        <w:ind w:left="720"/>
      </w:pPr>
      <w:bookmarkStart w:id="1027" w:name="_Toc50472094"/>
      <w:bookmarkStart w:id="1028" w:name="_Toc77074657"/>
      <w:r w:rsidRPr="00BE3097">
        <w:t>Ekologické faktory</w:t>
      </w:r>
      <w:bookmarkEnd w:id="1027"/>
      <w:bookmarkEnd w:id="1028"/>
    </w:p>
    <w:p w14:paraId="267D253C" w14:textId="77777777" w:rsidR="000C49A5" w:rsidRDefault="000C49A5" w:rsidP="000C49A5">
      <w:r>
        <w:t xml:space="preserve">Ochrana životního prostředí má položené základy v Ústavě ČR a Listině základních práv a svobod, stěžejním legislativním dokumentem v této oblasti je pak Zákon č. 17/1992 Sb., o životním prostředí. Ten definuje životní prostředí jako </w:t>
      </w:r>
      <w:r w:rsidRPr="00DB33FF">
        <w:t>vše, co vytváří přirozené podmínky existence organismů včetně člověka a je předpokladem jejich dalšího vývoje. Jeho složkami jsou zejména ovzduší, voda, horniny, půda, organismy, ekosystémy a energie.</w:t>
      </w:r>
      <w:r>
        <w:t xml:space="preserve"> Ochrana životního prostředí je poté tímto zákonem definována jako soubor činností</w:t>
      </w:r>
      <w:r w:rsidRPr="00DB33FF">
        <w:t>, jimiž se předchází znečišťování nebo poškozování životního prostředí, nebo se toto znečišťování nebo poškozování omezuje a odstraňuje. Zahrnuje ochranu jeho jednotlivých složek, druhů organismů nebo konkrétních ekosystémů a jejich vzájemných vazeb, ale i ochranu životního prostředí jako celku.</w:t>
      </w:r>
    </w:p>
    <w:p w14:paraId="2A0A3D19" w14:textId="77777777" w:rsidR="000C49A5" w:rsidRDefault="000C49A5" w:rsidP="000C49A5">
      <w:r>
        <w:t>Jedním z nejdůležitějších problémů životního prostředí v ČR je dlouhodobě znečištění ovzduší. V posledních letech se i přes růst ekonomiky prostřednictvím cílených opatření daří snižovat množství emisí znečišťujících látek do ovzduší, v roce 2018 současně došlo i ke snížení podílu stanic, na kterých byly překročeny imisní limity pro roční průměrnou koncentraci benzo(a)pyrenu.</w:t>
      </w:r>
    </w:p>
    <w:p w14:paraId="65D6BACD" w14:textId="7B5FBCB3" w:rsidR="000C49A5" w:rsidRPr="00CC06CC" w:rsidRDefault="000C49A5" w:rsidP="000C49A5">
      <w:pPr>
        <w:pStyle w:val="Titulek"/>
        <w:keepNext/>
        <w:keepLines/>
        <w:rPr>
          <w:b w:val="0"/>
          <w:i/>
          <w:color w:val="000000" w:themeColor="text1"/>
        </w:rPr>
      </w:pPr>
      <w:bookmarkStart w:id="1029" w:name="_Toc50472017"/>
      <w:bookmarkStart w:id="1030" w:name="_Toc54702817"/>
      <w:bookmarkStart w:id="1031" w:name="_Toc56179623"/>
      <w:bookmarkStart w:id="1032" w:name="_Toc7707496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3</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w:t>
      </w:r>
      <w:r w:rsidR="00804AF3">
        <w:rPr>
          <w:noProof/>
        </w:rPr>
        <w:fldChar w:fldCharType="end"/>
      </w:r>
      <w:r w:rsidR="00E37765">
        <w:rPr>
          <w:noProof/>
        </w:rPr>
        <w:t>:</w:t>
      </w:r>
      <w:r>
        <w:rPr>
          <w:color w:val="000000" w:themeColor="text1"/>
        </w:rPr>
        <w:t xml:space="preserve"> Vývoj vybraných emisí látek znečišťujících ovzduší na území ČR</w:t>
      </w:r>
      <w:bookmarkEnd w:id="1029"/>
      <w:bookmarkEnd w:id="1030"/>
      <w:bookmarkEnd w:id="1031"/>
      <w:bookmarkEnd w:id="1032"/>
    </w:p>
    <w:p w14:paraId="79C938B0" w14:textId="77777777" w:rsidR="000C49A5" w:rsidRDefault="000C49A5" w:rsidP="000C49A5">
      <w:r>
        <w:rPr>
          <w:noProof/>
          <w:lang w:eastAsia="cs-CZ"/>
        </w:rPr>
        <w:drawing>
          <wp:inline distT="0" distB="0" distL="0" distR="0" wp14:anchorId="0BF675C0" wp14:editId="090FF0DD">
            <wp:extent cx="5549162" cy="2484000"/>
            <wp:effectExtent l="0" t="0" r="0" b="0"/>
            <wp:docPr id="387" name="Obráze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4">
                      <a:extLst>
                        <a:ext uri="{28A0092B-C50C-407E-A947-70E740481C1C}">
                          <a14:useLocalDpi xmlns:a14="http://schemas.microsoft.com/office/drawing/2010/main" val="0"/>
                        </a:ext>
                      </a:extLst>
                    </a:blip>
                    <a:srcRect l="825" t="3456" r="1507" b="4953"/>
                    <a:stretch/>
                  </pic:blipFill>
                  <pic:spPr bwMode="auto">
                    <a:xfrm>
                      <a:off x="0" y="0"/>
                      <a:ext cx="5549162" cy="2484000"/>
                    </a:xfrm>
                    <a:prstGeom prst="rect">
                      <a:avLst/>
                    </a:prstGeom>
                    <a:noFill/>
                    <a:ln>
                      <a:noFill/>
                    </a:ln>
                    <a:extLst>
                      <a:ext uri="{53640926-AAD7-44D8-BBD7-CCE9431645EC}">
                        <a14:shadowObscured xmlns:a14="http://schemas.microsoft.com/office/drawing/2010/main"/>
                      </a:ext>
                    </a:extLst>
                  </pic:spPr>
                </pic:pic>
              </a:graphicData>
            </a:graphic>
          </wp:inline>
        </w:drawing>
      </w:r>
    </w:p>
    <w:p w14:paraId="3790BF8F" w14:textId="5F82B456" w:rsidR="000C49A5" w:rsidRDefault="000C49A5" w:rsidP="000C49A5">
      <w:pPr>
        <w:pStyle w:val="Zdroj"/>
      </w:pPr>
      <w:r>
        <w:t>Zdroj: Ministerstvo životního prostředí; Statistická ročenka životního prostředí za rok 2018</w:t>
      </w:r>
      <w:r w:rsidR="00E37765">
        <w:t>.</w:t>
      </w:r>
    </w:p>
    <w:p w14:paraId="4711A219" w14:textId="77777777" w:rsidR="000C49A5" w:rsidRDefault="000C49A5" w:rsidP="000C49A5">
      <w:r>
        <w:t>Dalším z problémů je nadměrný zábor kvalitní zemědělské půdy soukromými subjekty, které tyto ceněné krajinné složky posléze přemění v obytné zóny, průmyslové lokality. Dalším faktorem, jenž negativně ovlivňuje rozmanitost krajinných ekosystémů a jejich přirozený chod je zvyšující se fragmentace krajiny v důsledku výstavby dálnic a silnic, či jiných nepropustných komplexů.</w:t>
      </w:r>
    </w:p>
    <w:p w14:paraId="0A84680F" w14:textId="07766EEF" w:rsidR="000C49A5" w:rsidRDefault="000C49A5" w:rsidP="000C49A5">
      <w:r>
        <w:t>V posledních letech já také stále více řešen problém sucha. Kombinace vysokých teplot, nedostatku srážek a nízké retenční schopnosti krajiny včetně městského prostředí, která byla umocněna tím, že rok 2019 byl již šestým suchým v řadě, vedla k rozvoji extrémních projevů hydrologického a půdního sucha. Dlouhodobé sucho mělo zásadní vliv na stav povrchových a podzemních vod (na mnohých místech byla dosažena odtoková a stavová minima) a na sektory zemědělství, lesnictví a vodního hospodářství.</w:t>
      </w:r>
    </w:p>
    <w:p w14:paraId="1498CC29" w14:textId="77777777" w:rsidR="000C49A5" w:rsidRDefault="000C49A5" w:rsidP="000C49A5">
      <w:r>
        <w:t>Ochranou životního prostředí v České republice se zabývá řada sektorových dokumentů, mezi které patří například:</w:t>
      </w:r>
    </w:p>
    <w:p w14:paraId="44DD0A06" w14:textId="77777777" w:rsidR="000C49A5" w:rsidRDefault="000C49A5" w:rsidP="00A55F7D">
      <w:pPr>
        <w:pStyle w:val="Odstavecseseznamem"/>
        <w:numPr>
          <w:ilvl w:val="0"/>
          <w:numId w:val="116"/>
        </w:numPr>
        <w:spacing w:after="60" w:line="259" w:lineRule="auto"/>
      </w:pPr>
      <w:r>
        <w:t>S</w:t>
      </w:r>
      <w:r w:rsidRPr="008A0874">
        <w:t xml:space="preserve">tátní politiky životního prostředí ČR </w:t>
      </w:r>
      <w:r>
        <w:t>2020 – 2030 (v přípravě)</w:t>
      </w:r>
    </w:p>
    <w:p w14:paraId="6ED66CCE" w14:textId="77777777" w:rsidR="000C49A5" w:rsidRDefault="000C49A5" w:rsidP="00A55F7D">
      <w:pPr>
        <w:pStyle w:val="Odstavecseseznamem"/>
        <w:numPr>
          <w:ilvl w:val="0"/>
          <w:numId w:val="116"/>
        </w:numPr>
        <w:spacing w:after="60" w:line="259" w:lineRule="auto"/>
      </w:pPr>
      <w:r w:rsidRPr="008A0874">
        <w:t>Státní program ochrany přírody a krajiny České republiky pro období 2020 – 2025</w:t>
      </w:r>
    </w:p>
    <w:p w14:paraId="331918DE" w14:textId="77777777" w:rsidR="000C49A5" w:rsidRDefault="000C49A5" w:rsidP="00A55F7D">
      <w:pPr>
        <w:pStyle w:val="Odstavecseseznamem"/>
        <w:numPr>
          <w:ilvl w:val="0"/>
          <w:numId w:val="116"/>
        </w:numPr>
        <w:spacing w:after="60" w:line="259" w:lineRule="auto"/>
      </w:pPr>
      <w:r w:rsidRPr="008A0874">
        <w:t>Strategie přizpůsobení se změně klimatu v podmínkách ČR</w:t>
      </w:r>
      <w:r>
        <w:t xml:space="preserve"> (s výhledem do roku 2030).</w:t>
      </w:r>
    </w:p>
    <w:p w14:paraId="64DBC434" w14:textId="3D9FB4F9" w:rsidR="000C49A5" w:rsidRDefault="000C49A5" w:rsidP="000C49A5">
      <w:r>
        <w:t>Veřejné výdaje na ochranu životního prostředí má dlouhodobě stoupající trend, s výjimkou v letech 2013 a 2016, viz graf na obrázku</w:t>
      </w:r>
      <w:r w:rsidR="005302C0">
        <w:t xml:space="preserve"> 3.4</w:t>
      </w:r>
      <w:r>
        <w:t>.</w:t>
      </w:r>
    </w:p>
    <w:p w14:paraId="5E02EAA3" w14:textId="1A6E266D" w:rsidR="000C49A5" w:rsidRPr="00502075" w:rsidRDefault="000C49A5" w:rsidP="000C49A5">
      <w:pPr>
        <w:pStyle w:val="Titulek"/>
        <w:keepNext/>
        <w:spacing w:after="60"/>
        <w:rPr>
          <w:b w:val="0"/>
          <w:i/>
          <w:color w:val="000000" w:themeColor="text1"/>
        </w:rPr>
      </w:pPr>
      <w:bookmarkStart w:id="1033" w:name="_Toc50472018"/>
      <w:bookmarkStart w:id="1034" w:name="_Toc54702818"/>
      <w:bookmarkStart w:id="1035" w:name="_Toc56179624"/>
      <w:bookmarkStart w:id="1036" w:name="_Toc77074966"/>
      <w:r>
        <w:rPr>
          <w:color w:val="000000" w:themeColor="text1"/>
        </w:rPr>
        <w:t>Obrázek</w:t>
      </w:r>
      <w:r w:rsidRPr="00B45DEA">
        <w:rPr>
          <w:color w:val="000000" w:themeColor="text1"/>
        </w:rPr>
        <w:t xml:space="preserve"> </w:t>
      </w:r>
      <w:r w:rsidR="0096730F">
        <w:rPr>
          <w:color w:val="000000" w:themeColor="text1"/>
        </w:rPr>
        <w:fldChar w:fldCharType="begin"/>
      </w:r>
      <w:r w:rsidR="0096730F">
        <w:rPr>
          <w:color w:val="000000" w:themeColor="text1"/>
        </w:rPr>
        <w:instrText xml:space="preserve"> STYLEREF 1 \s </w:instrText>
      </w:r>
      <w:r w:rsidR="0096730F">
        <w:rPr>
          <w:color w:val="000000" w:themeColor="text1"/>
        </w:rPr>
        <w:fldChar w:fldCharType="separate"/>
      </w:r>
      <w:r w:rsidR="00332A29">
        <w:rPr>
          <w:noProof/>
          <w:color w:val="000000" w:themeColor="text1"/>
        </w:rPr>
        <w:t>3</w:t>
      </w:r>
      <w:r w:rsidR="0096730F">
        <w:rPr>
          <w:color w:val="000000" w:themeColor="text1"/>
        </w:rPr>
        <w:fldChar w:fldCharType="end"/>
      </w:r>
      <w:r w:rsidR="0096730F">
        <w:rPr>
          <w:color w:val="000000" w:themeColor="text1"/>
        </w:rPr>
        <w:t>.</w:t>
      </w:r>
      <w:r w:rsidR="0096730F">
        <w:rPr>
          <w:color w:val="000000" w:themeColor="text1"/>
        </w:rPr>
        <w:fldChar w:fldCharType="begin"/>
      </w:r>
      <w:r w:rsidR="0096730F">
        <w:rPr>
          <w:color w:val="000000" w:themeColor="text1"/>
        </w:rPr>
        <w:instrText xml:space="preserve"> SEQ Obrázek \* ARABIC \s 1 </w:instrText>
      </w:r>
      <w:r w:rsidR="0096730F">
        <w:rPr>
          <w:color w:val="000000" w:themeColor="text1"/>
        </w:rPr>
        <w:fldChar w:fldCharType="separate"/>
      </w:r>
      <w:r w:rsidR="00332A29">
        <w:rPr>
          <w:noProof/>
          <w:color w:val="000000" w:themeColor="text1"/>
        </w:rPr>
        <w:t>4</w:t>
      </w:r>
      <w:r w:rsidR="0096730F">
        <w:rPr>
          <w:color w:val="000000" w:themeColor="text1"/>
        </w:rPr>
        <w:fldChar w:fldCharType="end"/>
      </w:r>
      <w:r w:rsidR="00E37765">
        <w:rPr>
          <w:color w:val="000000" w:themeColor="text1"/>
        </w:rPr>
        <w:t>:</w:t>
      </w:r>
      <w:r>
        <w:rPr>
          <w:color w:val="000000" w:themeColor="text1"/>
        </w:rPr>
        <w:t xml:space="preserve"> Veřejné výdaje na ochranu životního prostředí v ČR (mil. Kč)</w:t>
      </w:r>
      <w:bookmarkEnd w:id="1033"/>
      <w:bookmarkEnd w:id="1034"/>
      <w:bookmarkEnd w:id="1035"/>
      <w:bookmarkEnd w:id="1036"/>
    </w:p>
    <w:p w14:paraId="30F050B3" w14:textId="77777777" w:rsidR="000C49A5" w:rsidRDefault="000C49A5" w:rsidP="000C49A5">
      <w:r>
        <w:rPr>
          <w:noProof/>
          <w:lang w:eastAsia="cs-CZ"/>
        </w:rPr>
        <w:drawing>
          <wp:inline distT="0" distB="0" distL="0" distR="0" wp14:anchorId="439804E8" wp14:editId="3A012215">
            <wp:extent cx="5572125" cy="2571750"/>
            <wp:effectExtent l="0" t="0" r="9525" b="0"/>
            <wp:docPr id="388" name="Obráze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5">
                      <a:extLst>
                        <a:ext uri="{28A0092B-C50C-407E-A947-70E740481C1C}">
                          <a14:useLocalDpi xmlns:a14="http://schemas.microsoft.com/office/drawing/2010/main" val="0"/>
                        </a:ext>
                      </a:extLst>
                    </a:blip>
                    <a:srcRect l="2145" t="1727" r="1342" b="4954"/>
                    <a:stretch/>
                  </pic:blipFill>
                  <pic:spPr bwMode="auto">
                    <a:xfrm>
                      <a:off x="0" y="0"/>
                      <a:ext cx="5572125" cy="2571750"/>
                    </a:xfrm>
                    <a:prstGeom prst="rect">
                      <a:avLst/>
                    </a:prstGeom>
                    <a:noFill/>
                    <a:ln>
                      <a:noFill/>
                    </a:ln>
                    <a:extLst>
                      <a:ext uri="{53640926-AAD7-44D8-BBD7-CCE9431645EC}">
                        <a14:shadowObscured xmlns:a14="http://schemas.microsoft.com/office/drawing/2010/main"/>
                      </a:ext>
                    </a:extLst>
                  </pic:spPr>
                </pic:pic>
              </a:graphicData>
            </a:graphic>
          </wp:inline>
        </w:drawing>
      </w:r>
    </w:p>
    <w:p w14:paraId="0E54A292" w14:textId="0EFAC8CB" w:rsidR="000C49A5" w:rsidRDefault="000C49A5" w:rsidP="000C49A5">
      <w:pPr>
        <w:spacing w:before="0" w:after="240"/>
        <w:contextualSpacing/>
        <w:rPr>
          <w:i/>
          <w:sz w:val="18"/>
          <w:szCs w:val="18"/>
        </w:rPr>
      </w:pPr>
      <w:r>
        <w:t xml:space="preserve"> </w:t>
      </w:r>
      <w:r>
        <w:rPr>
          <w:i/>
          <w:sz w:val="18"/>
          <w:szCs w:val="18"/>
        </w:rPr>
        <w:t>Zdroj: Ministerstvo životního prostředí; Statistická ročenka životního prostředí za rok 2018</w:t>
      </w:r>
      <w:r w:rsidR="00E37765">
        <w:rPr>
          <w:i/>
          <w:sz w:val="18"/>
          <w:szCs w:val="18"/>
        </w:rPr>
        <w:t>.</w:t>
      </w:r>
    </w:p>
    <w:p w14:paraId="5FED6FB6" w14:textId="77777777" w:rsidR="000C49A5" w:rsidRDefault="000C49A5" w:rsidP="000C49A5">
      <w:pPr>
        <w:spacing w:before="0" w:after="160" w:line="259" w:lineRule="auto"/>
        <w:jc w:val="left"/>
        <w:rPr>
          <w:i/>
          <w:sz w:val="18"/>
          <w:szCs w:val="18"/>
        </w:rPr>
      </w:pPr>
      <w:r>
        <w:rPr>
          <w:i/>
          <w:sz w:val="18"/>
          <w:szCs w:val="18"/>
        </w:rPr>
        <w:br w:type="page"/>
      </w:r>
    </w:p>
    <w:p w14:paraId="32E38D8F" w14:textId="77777777" w:rsidR="000C49A5" w:rsidRDefault="000C49A5" w:rsidP="000C49A5">
      <w:pPr>
        <w:pStyle w:val="Nadpis2"/>
        <w:pageBreakBefore/>
        <w:ind w:left="576" w:hanging="576"/>
      </w:pPr>
      <w:bookmarkStart w:id="1037" w:name="_Toc46988131"/>
      <w:bookmarkStart w:id="1038" w:name="_Toc50472095"/>
      <w:bookmarkStart w:id="1039" w:name="_Toc77074658"/>
      <w:r>
        <w:t>Identifikace nejvýznamnějších nadřazených a související strategických dokumentů</w:t>
      </w:r>
      <w:bookmarkEnd w:id="1037"/>
      <w:bookmarkEnd w:id="1038"/>
      <w:bookmarkEnd w:id="1039"/>
      <w:r>
        <w:t xml:space="preserve"> </w:t>
      </w:r>
    </w:p>
    <w:p w14:paraId="5EBA64C3" w14:textId="658A7C05" w:rsidR="000C49A5" w:rsidRDefault="000C49A5" w:rsidP="000C49A5">
      <w:r>
        <w:t>Na národní a regionální úrovni existuje řada strategických a koncepčních dokumentů, které mohou svým obsahem ovlivnit Strategii rozvoje statutárního města Zlín do roku 2030 – Zlín 2030. Jednotlivé dokumenty definují problémy a potřeby na území, jehož je statutární město Zlín součástí, a mohou tak obsahovat řadu identifikovaných potřeb, které lze řešit na úrovni strategického plánování měst. Dokumenty tak mohou být jedním z dalších zdrojů, využitelných jako východiska pro návrhovou část strategie Zlín 2030. Související dokumenty zároveň mohou představovat mantinely pro plánované aktivity a opatření v případě, že by byly v rozporu s cíli z nadřazených dokumentů. Při tvorbě návrhové části strategie Zlín 2030 je tak nutné pracovat s obsahem níže uvedených dokumentů:</w:t>
      </w:r>
    </w:p>
    <w:p w14:paraId="2FB8876D" w14:textId="584D4871" w:rsidR="000C49A5" w:rsidRPr="008F0A8E" w:rsidRDefault="00410D43" w:rsidP="00410D43">
      <w:pPr>
        <w:pStyle w:val="Titulek"/>
        <w:rPr>
          <w:b w:val="0"/>
          <w:i/>
          <w:color w:val="000000" w:themeColor="text1"/>
        </w:rPr>
      </w:pPr>
      <w:bookmarkStart w:id="1040" w:name="_Toc50472024"/>
      <w:bookmarkStart w:id="1041" w:name="_Toc54702660"/>
      <w:bookmarkStart w:id="1042" w:name="_Toc56179467"/>
      <w:bookmarkStart w:id="1043" w:name="_Toc57731825"/>
      <w:bookmarkStart w:id="1044" w:name="_Toc77074809"/>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3</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1</w:t>
      </w:r>
      <w:r w:rsidR="004857C6">
        <w:rPr>
          <w:noProof/>
        </w:rPr>
        <w:fldChar w:fldCharType="end"/>
      </w:r>
      <w:r w:rsidR="002F528D">
        <w:rPr>
          <w:noProof/>
        </w:rPr>
        <w:t xml:space="preserve">: </w:t>
      </w:r>
      <w:r w:rsidR="000C49A5" w:rsidRPr="008F0A8E">
        <w:rPr>
          <w:color w:val="000000" w:themeColor="text1"/>
        </w:rPr>
        <w:t>Přehled nadřazených dokumentů s vazbou na strategii "Zlín 2030"</w:t>
      </w:r>
      <w:bookmarkEnd w:id="1040"/>
      <w:bookmarkEnd w:id="1041"/>
      <w:bookmarkEnd w:id="1042"/>
      <w:bookmarkEnd w:id="1043"/>
      <w:bookmarkEnd w:id="10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9"/>
        <w:gridCol w:w="2928"/>
        <w:gridCol w:w="5075"/>
      </w:tblGrid>
      <w:tr w:rsidR="000C49A5" w:rsidRPr="00EE2AEF" w14:paraId="147FC902" w14:textId="77777777" w:rsidTr="000C49A5">
        <w:trPr>
          <w:cantSplit/>
          <w:trHeight w:val="20"/>
          <w:tblHeader/>
        </w:trPr>
        <w:tc>
          <w:tcPr>
            <w:tcW w:w="584" w:type="pct"/>
            <w:shd w:val="clear" w:color="000000" w:fill="EDEDED"/>
            <w:vAlign w:val="center"/>
            <w:hideMark/>
          </w:tcPr>
          <w:p w14:paraId="55301A5E" w14:textId="77777777" w:rsidR="000C49A5" w:rsidRPr="00EE2AEF" w:rsidRDefault="000C49A5" w:rsidP="000C49A5">
            <w:pPr>
              <w:spacing w:before="0"/>
              <w:jc w:val="left"/>
              <w:rPr>
                <w:rFonts w:ascii="Calibri" w:eastAsia="Times New Roman" w:hAnsi="Calibri" w:cs="Calibri"/>
                <w:b/>
                <w:bCs/>
                <w:color w:val="000000"/>
                <w:sz w:val="18"/>
                <w:szCs w:val="18"/>
                <w:lang w:eastAsia="cs-CZ"/>
              </w:rPr>
            </w:pPr>
            <w:r w:rsidRPr="00EE2AEF">
              <w:rPr>
                <w:rFonts w:ascii="Calibri" w:eastAsia="Times New Roman" w:hAnsi="Calibri" w:cs="Calibri"/>
                <w:b/>
                <w:bCs/>
                <w:color w:val="000000"/>
                <w:sz w:val="18"/>
                <w:szCs w:val="18"/>
                <w:lang w:eastAsia="cs-CZ"/>
              </w:rPr>
              <w:t>Úroveň dokumentu:</w:t>
            </w:r>
          </w:p>
        </w:tc>
        <w:tc>
          <w:tcPr>
            <w:tcW w:w="1616" w:type="pct"/>
            <w:shd w:val="clear" w:color="000000" w:fill="EDEDED"/>
            <w:vAlign w:val="center"/>
            <w:hideMark/>
          </w:tcPr>
          <w:p w14:paraId="317063B6" w14:textId="77777777" w:rsidR="000C49A5" w:rsidRPr="00EE2AEF" w:rsidRDefault="000C49A5" w:rsidP="000C49A5">
            <w:pPr>
              <w:spacing w:before="0"/>
              <w:jc w:val="left"/>
              <w:rPr>
                <w:rFonts w:ascii="Calibri" w:eastAsia="Times New Roman" w:hAnsi="Calibri" w:cs="Calibri"/>
                <w:b/>
                <w:bCs/>
                <w:color w:val="000000"/>
                <w:sz w:val="18"/>
                <w:szCs w:val="18"/>
                <w:lang w:eastAsia="cs-CZ"/>
              </w:rPr>
            </w:pPr>
            <w:r w:rsidRPr="00EE2AEF">
              <w:rPr>
                <w:rFonts w:ascii="Calibri" w:eastAsia="Times New Roman" w:hAnsi="Calibri" w:cs="Calibri"/>
                <w:b/>
                <w:bCs/>
                <w:color w:val="000000"/>
                <w:sz w:val="18"/>
                <w:szCs w:val="18"/>
                <w:lang w:eastAsia="cs-CZ"/>
              </w:rPr>
              <w:t>Název dokumentu:</w:t>
            </w:r>
          </w:p>
        </w:tc>
        <w:tc>
          <w:tcPr>
            <w:tcW w:w="2800" w:type="pct"/>
            <w:shd w:val="clear" w:color="000000" w:fill="EDEDED"/>
            <w:vAlign w:val="center"/>
            <w:hideMark/>
          </w:tcPr>
          <w:p w14:paraId="3FAE159C" w14:textId="77777777" w:rsidR="000C49A5" w:rsidRPr="00EE2AEF" w:rsidRDefault="000C49A5" w:rsidP="000C49A5">
            <w:pPr>
              <w:spacing w:before="0"/>
              <w:jc w:val="left"/>
              <w:rPr>
                <w:rFonts w:ascii="Calibri" w:eastAsia="Times New Roman" w:hAnsi="Calibri" w:cs="Calibri"/>
                <w:b/>
                <w:bCs/>
                <w:color w:val="000000"/>
                <w:sz w:val="18"/>
                <w:szCs w:val="18"/>
                <w:lang w:eastAsia="cs-CZ"/>
              </w:rPr>
            </w:pPr>
            <w:r w:rsidRPr="00EE2AEF">
              <w:rPr>
                <w:rFonts w:ascii="Calibri" w:eastAsia="Times New Roman" w:hAnsi="Calibri" w:cs="Calibri"/>
                <w:b/>
                <w:bCs/>
                <w:color w:val="000000"/>
                <w:sz w:val="18"/>
                <w:szCs w:val="18"/>
                <w:lang w:eastAsia="cs-CZ"/>
              </w:rPr>
              <w:t>Charakteristika</w:t>
            </w:r>
          </w:p>
        </w:tc>
      </w:tr>
      <w:tr w:rsidR="000C49A5" w:rsidRPr="00EE2AEF" w14:paraId="62B86D81" w14:textId="77777777" w:rsidTr="000C49A5">
        <w:trPr>
          <w:cantSplit/>
          <w:trHeight w:val="20"/>
        </w:trPr>
        <w:tc>
          <w:tcPr>
            <w:tcW w:w="584" w:type="pct"/>
            <w:vMerge w:val="restart"/>
            <w:shd w:val="clear" w:color="auto" w:fill="auto"/>
            <w:textDirection w:val="btLr"/>
            <w:vAlign w:val="center"/>
          </w:tcPr>
          <w:p w14:paraId="054F0236" w14:textId="77777777" w:rsidR="000C49A5" w:rsidRPr="00EE2AEF" w:rsidRDefault="000C49A5" w:rsidP="000C49A5">
            <w:pPr>
              <w:spacing w:before="0"/>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Evropská</w:t>
            </w:r>
          </w:p>
        </w:tc>
        <w:tc>
          <w:tcPr>
            <w:tcW w:w="1616" w:type="pct"/>
            <w:shd w:val="clear" w:color="auto" w:fill="auto"/>
          </w:tcPr>
          <w:p w14:paraId="431472BC" w14:textId="42CC1887" w:rsidR="000C49A5" w:rsidRPr="00EE2AEF" w:rsidRDefault="000C49A5" w:rsidP="00F804DE">
            <w:pPr>
              <w:spacing w:before="0"/>
              <w:jc w:val="left"/>
              <w:rPr>
                <w:rFonts w:ascii="Calibri" w:eastAsia="Times New Roman" w:hAnsi="Calibri" w:cs="Calibri"/>
                <w:color w:val="000000"/>
                <w:sz w:val="18"/>
                <w:szCs w:val="18"/>
                <w:lang w:eastAsia="cs-CZ"/>
              </w:rPr>
            </w:pPr>
            <w:r w:rsidRPr="00CB6909">
              <w:rPr>
                <w:rFonts w:ascii="Calibri" w:eastAsia="Times New Roman" w:hAnsi="Calibri" w:cs="Calibri"/>
                <w:color w:val="000000"/>
                <w:sz w:val="18"/>
                <w:szCs w:val="18"/>
                <w:lang w:eastAsia="cs-CZ"/>
              </w:rPr>
              <w:t>Regionální rozvoj a politika soudržnosti 2021</w:t>
            </w:r>
            <w:r w:rsidR="00F804DE">
              <w:rPr>
                <w:rFonts w:ascii="Calibri" w:eastAsia="Times New Roman" w:hAnsi="Calibri" w:cs="Calibri"/>
                <w:color w:val="000000"/>
                <w:sz w:val="18"/>
                <w:szCs w:val="18"/>
                <w:lang w:eastAsia="cs-CZ"/>
              </w:rPr>
              <w:t xml:space="preserve"> </w:t>
            </w:r>
            <w:r w:rsidR="00F804DE">
              <w:rPr>
                <w:rFonts w:ascii="Calibri" w:eastAsia="Times New Roman" w:hAnsi="Calibri" w:cs="Calibri"/>
                <w:color w:val="000000"/>
                <w:sz w:val="18"/>
                <w:szCs w:val="18"/>
                <w:lang w:eastAsia="cs-CZ"/>
              </w:rPr>
              <w:sym w:font="Symbol" w:char="F02D"/>
            </w:r>
            <w:r w:rsidR="00F804DE">
              <w:rPr>
                <w:rFonts w:ascii="Calibri" w:eastAsia="Times New Roman" w:hAnsi="Calibri" w:cs="Calibri"/>
                <w:color w:val="000000"/>
                <w:sz w:val="18"/>
                <w:szCs w:val="18"/>
                <w:lang w:eastAsia="cs-CZ"/>
              </w:rPr>
              <w:t xml:space="preserve"> </w:t>
            </w:r>
            <w:r w:rsidRPr="00CB6909">
              <w:rPr>
                <w:rFonts w:ascii="Calibri" w:eastAsia="Times New Roman" w:hAnsi="Calibri" w:cs="Calibri"/>
                <w:color w:val="000000"/>
                <w:sz w:val="18"/>
                <w:szCs w:val="18"/>
                <w:lang w:eastAsia="cs-CZ"/>
              </w:rPr>
              <w:t>2027</w:t>
            </w:r>
          </w:p>
        </w:tc>
        <w:tc>
          <w:tcPr>
            <w:tcW w:w="2800" w:type="pct"/>
            <w:shd w:val="clear" w:color="auto" w:fill="auto"/>
          </w:tcPr>
          <w:p w14:paraId="02827B14" w14:textId="77777777" w:rsidR="000C49A5" w:rsidRPr="00EE2AEF"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Dokument Evropské unie stanovující rozpočet na programové období. Dle aktuálního návrhu je z tohoto rozpočtu pro Českou republiku předpokládána částka cca 20 mld. EUR, které budou mimo jiné využity také na aktivity regionálního rozvoje. </w:t>
            </w:r>
          </w:p>
        </w:tc>
      </w:tr>
      <w:tr w:rsidR="000C49A5" w:rsidRPr="00EE2AEF" w14:paraId="3D911255" w14:textId="77777777" w:rsidTr="000C49A5">
        <w:trPr>
          <w:cantSplit/>
          <w:trHeight w:val="20"/>
        </w:trPr>
        <w:tc>
          <w:tcPr>
            <w:tcW w:w="584" w:type="pct"/>
            <w:vMerge/>
            <w:shd w:val="clear" w:color="auto" w:fill="auto"/>
            <w:textDirection w:val="btLr"/>
            <w:vAlign w:val="center"/>
          </w:tcPr>
          <w:p w14:paraId="584DD364" w14:textId="77777777" w:rsidR="000C49A5" w:rsidRPr="00EE2AEF" w:rsidRDefault="000C49A5" w:rsidP="000C49A5">
            <w:pPr>
              <w:spacing w:before="0"/>
              <w:jc w:val="center"/>
              <w:rPr>
                <w:rFonts w:ascii="Calibri" w:eastAsia="Times New Roman" w:hAnsi="Calibri" w:cs="Calibri"/>
                <w:color w:val="000000"/>
                <w:sz w:val="18"/>
                <w:szCs w:val="18"/>
                <w:lang w:eastAsia="cs-CZ"/>
              </w:rPr>
            </w:pPr>
          </w:p>
        </w:tc>
        <w:tc>
          <w:tcPr>
            <w:tcW w:w="1616" w:type="pct"/>
            <w:shd w:val="clear" w:color="auto" w:fill="auto"/>
          </w:tcPr>
          <w:p w14:paraId="3CB398E4" w14:textId="39C91A59" w:rsidR="000C49A5" w:rsidRPr="00EE2AEF" w:rsidRDefault="000C49A5" w:rsidP="00F804DE">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Evropský fond regionálního rozvoje a</w:t>
            </w:r>
            <w:r w:rsidR="00F804DE">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Fond soudržnosti 2021</w:t>
            </w:r>
            <w:r w:rsidR="00F804DE">
              <w:rPr>
                <w:rFonts w:ascii="Calibri" w:eastAsia="Times New Roman" w:hAnsi="Calibri" w:cs="Calibri"/>
                <w:color w:val="000000"/>
                <w:sz w:val="18"/>
                <w:szCs w:val="18"/>
                <w:lang w:eastAsia="cs-CZ"/>
              </w:rPr>
              <w:t xml:space="preserve"> </w:t>
            </w:r>
            <w:r w:rsidR="00F804DE">
              <w:rPr>
                <w:rFonts w:ascii="Calibri" w:eastAsia="Times New Roman" w:hAnsi="Calibri" w:cs="Calibri"/>
                <w:color w:val="000000"/>
                <w:sz w:val="18"/>
                <w:szCs w:val="18"/>
                <w:lang w:eastAsia="cs-CZ"/>
              </w:rPr>
              <w:sym w:font="Symbol" w:char="F02D"/>
            </w:r>
            <w:r w:rsidR="00F804DE">
              <w:rPr>
                <w:rFonts w:ascii="Calibri" w:eastAsia="Times New Roman" w:hAnsi="Calibri" w:cs="Calibri"/>
                <w:color w:val="000000"/>
                <w:sz w:val="18"/>
                <w:szCs w:val="18"/>
                <w:lang w:eastAsia="cs-CZ"/>
              </w:rPr>
              <w:t xml:space="preserve"> </w:t>
            </w:r>
            <w:r>
              <w:rPr>
                <w:rFonts w:ascii="Calibri" w:eastAsia="Times New Roman" w:hAnsi="Calibri" w:cs="Calibri"/>
                <w:color w:val="000000"/>
                <w:sz w:val="18"/>
                <w:szCs w:val="18"/>
                <w:lang w:eastAsia="cs-CZ"/>
              </w:rPr>
              <w:t>2027</w:t>
            </w:r>
          </w:p>
        </w:tc>
        <w:tc>
          <w:tcPr>
            <w:tcW w:w="2800" w:type="pct"/>
            <w:shd w:val="clear" w:color="auto" w:fill="auto"/>
          </w:tcPr>
          <w:p w14:paraId="50FD3C71" w14:textId="3CD71C0E" w:rsidR="000C49A5"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Evropský fond regionálního rozvoje je zdrojem financí pro intervence změřené na výzkum a vývoj, ICT, podporu malých a</w:t>
            </w:r>
            <w:r w:rsidR="00F804DE">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středních podniků a nízkouhlíkovou ekonomiku. Fond tak udává pravidla pro poskytnutí podpory pro tento typ intervencí, v programovém období 2021</w:t>
            </w:r>
            <w:r w:rsidR="00F804DE">
              <w:rPr>
                <w:rFonts w:ascii="Calibri" w:eastAsia="Times New Roman" w:hAnsi="Calibri" w:cs="Calibri"/>
                <w:color w:val="000000"/>
                <w:sz w:val="18"/>
                <w:szCs w:val="18"/>
                <w:lang w:eastAsia="cs-CZ"/>
              </w:rPr>
              <w:t xml:space="preserve"> </w:t>
            </w:r>
            <w:r w:rsidR="00F804DE">
              <w:rPr>
                <w:rFonts w:ascii="Calibri" w:eastAsia="Times New Roman" w:hAnsi="Calibri" w:cs="Calibri"/>
                <w:color w:val="000000"/>
                <w:sz w:val="18"/>
                <w:szCs w:val="18"/>
                <w:lang w:eastAsia="cs-CZ"/>
              </w:rPr>
              <w:sym w:font="Symbol" w:char="F02D"/>
            </w:r>
            <w:r w:rsidR="00F804DE">
              <w:rPr>
                <w:rFonts w:ascii="Calibri" w:eastAsia="Times New Roman" w:hAnsi="Calibri" w:cs="Calibri"/>
                <w:color w:val="000000"/>
                <w:sz w:val="18"/>
                <w:szCs w:val="18"/>
                <w:lang w:eastAsia="cs-CZ"/>
              </w:rPr>
              <w:t xml:space="preserve"> </w:t>
            </w:r>
            <w:r>
              <w:rPr>
                <w:rFonts w:ascii="Calibri" w:eastAsia="Times New Roman" w:hAnsi="Calibri" w:cs="Calibri"/>
                <w:color w:val="000000"/>
                <w:sz w:val="18"/>
                <w:szCs w:val="18"/>
                <w:lang w:eastAsia="cs-CZ"/>
              </w:rPr>
              <w:t>2027 budou z tohoto fondu financovány Operační programy Technologie a Aplikace pro Konkurenceschopnost (MPO), Doprava (MD), Životní prostředí (MŽP), Jan Amos Komenský (MŠMT), a Integrovaný regionální operační program (MMR).</w:t>
            </w:r>
          </w:p>
          <w:p w14:paraId="1E049E2F" w14:textId="36BFFBC5" w:rsidR="000C49A5"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Fond soudržnosti je zaměřen na financování intervencí v oblasti nízkouhlíkové ekonomiky, změny klimatu, životní prostředí a</w:t>
            </w:r>
            <w:r w:rsidR="00F804DE">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efektivita zdrojů a oblast dopravy</w:t>
            </w:r>
            <w:r w:rsidR="00F804DE">
              <w:rPr>
                <w:rFonts w:ascii="Calibri" w:eastAsia="Times New Roman" w:hAnsi="Calibri" w:cs="Calibri"/>
                <w:color w:val="000000"/>
                <w:sz w:val="18"/>
                <w:szCs w:val="18"/>
                <w:lang w:eastAsia="cs-CZ"/>
              </w:rPr>
              <w:t>.</w:t>
            </w:r>
            <w:r>
              <w:rPr>
                <w:rFonts w:ascii="Calibri" w:eastAsia="Times New Roman" w:hAnsi="Calibri" w:cs="Calibri"/>
                <w:color w:val="000000"/>
                <w:sz w:val="18"/>
                <w:szCs w:val="18"/>
                <w:lang w:eastAsia="cs-CZ"/>
              </w:rPr>
              <w:t xml:space="preserve"> Podpora z tohoto fondu je v ČR poskytována v rámci Operační</w:t>
            </w:r>
            <w:r w:rsidR="008C0697">
              <w:rPr>
                <w:rFonts w:ascii="Calibri" w:eastAsia="Times New Roman" w:hAnsi="Calibri" w:cs="Calibri"/>
                <w:color w:val="000000"/>
                <w:sz w:val="18"/>
                <w:szCs w:val="18"/>
                <w:lang w:eastAsia="cs-CZ"/>
              </w:rPr>
              <w:t>ch</w:t>
            </w:r>
            <w:r>
              <w:rPr>
                <w:rFonts w:ascii="Calibri" w:eastAsia="Times New Roman" w:hAnsi="Calibri" w:cs="Calibri"/>
                <w:color w:val="000000"/>
                <w:sz w:val="18"/>
                <w:szCs w:val="18"/>
                <w:lang w:eastAsia="cs-CZ"/>
              </w:rPr>
              <w:t xml:space="preserve"> prog</w:t>
            </w:r>
            <w:r w:rsidR="00F804DE">
              <w:rPr>
                <w:rFonts w:ascii="Calibri" w:eastAsia="Times New Roman" w:hAnsi="Calibri" w:cs="Calibri"/>
                <w:color w:val="000000"/>
                <w:sz w:val="18"/>
                <w:szCs w:val="18"/>
                <w:lang w:eastAsia="cs-CZ"/>
              </w:rPr>
              <w:t>ramů Doprava, Životní prostředí.</w:t>
            </w:r>
            <w:r>
              <w:rPr>
                <w:rFonts w:ascii="Calibri" w:eastAsia="Times New Roman" w:hAnsi="Calibri" w:cs="Calibri"/>
                <w:color w:val="000000"/>
                <w:sz w:val="18"/>
                <w:szCs w:val="18"/>
                <w:lang w:eastAsia="cs-CZ"/>
              </w:rPr>
              <w:t xml:space="preserve"> </w:t>
            </w:r>
          </w:p>
          <w:p w14:paraId="32353077" w14:textId="77777777" w:rsidR="000C49A5" w:rsidRPr="00EE2AEF"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Tyto operační programy představují potenciál pro čerpání podpory v rámci intervencí realizovaných na území statutárního města Zlína. Významným nástrojem pro využití této podpory pro statutární město Zlín, respektive jeho vymezenou aglomeraci, jsou Integrované teritoriální investice.</w:t>
            </w:r>
          </w:p>
        </w:tc>
      </w:tr>
      <w:tr w:rsidR="000C49A5" w:rsidRPr="00EE2AEF" w14:paraId="0D93BEBA" w14:textId="77777777" w:rsidTr="000C49A5">
        <w:trPr>
          <w:cantSplit/>
          <w:trHeight w:val="20"/>
        </w:trPr>
        <w:tc>
          <w:tcPr>
            <w:tcW w:w="584" w:type="pct"/>
            <w:vMerge/>
            <w:shd w:val="clear" w:color="auto" w:fill="auto"/>
            <w:textDirection w:val="btLr"/>
            <w:vAlign w:val="center"/>
          </w:tcPr>
          <w:p w14:paraId="01791D33" w14:textId="77777777" w:rsidR="000C49A5" w:rsidRPr="00EE2AEF" w:rsidRDefault="000C49A5" w:rsidP="000C49A5">
            <w:pPr>
              <w:spacing w:before="0"/>
              <w:jc w:val="center"/>
              <w:rPr>
                <w:rFonts w:ascii="Calibri" w:eastAsia="Times New Roman" w:hAnsi="Calibri" w:cs="Calibri"/>
                <w:color w:val="000000"/>
                <w:sz w:val="18"/>
                <w:szCs w:val="18"/>
                <w:lang w:eastAsia="cs-CZ"/>
              </w:rPr>
            </w:pPr>
          </w:p>
        </w:tc>
        <w:tc>
          <w:tcPr>
            <w:tcW w:w="1616" w:type="pct"/>
            <w:shd w:val="clear" w:color="auto" w:fill="auto"/>
          </w:tcPr>
          <w:p w14:paraId="1E61EA99" w14:textId="77777777" w:rsidR="000C49A5" w:rsidRPr="00EE2AEF"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Evropský sociální fond (ESF+) </w:t>
            </w:r>
          </w:p>
        </w:tc>
        <w:tc>
          <w:tcPr>
            <w:tcW w:w="2800" w:type="pct"/>
            <w:shd w:val="clear" w:color="auto" w:fill="auto"/>
          </w:tcPr>
          <w:p w14:paraId="2D71A47C" w14:textId="7EF4CFA0" w:rsidR="000C49A5"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Fond Evropské unie, zaměřený na podporu zaměstnanosti a</w:t>
            </w:r>
            <w:r w:rsidR="00F804DE">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prosazování hospodářské a sociální soudržnosti. Podpora tohoto fondu v ČR je poskytována prostřednictvím Operačních programů Zaměstnanost a Jan Amos Komenský.</w:t>
            </w:r>
          </w:p>
          <w:p w14:paraId="7BBFF129" w14:textId="77777777" w:rsidR="000C49A5" w:rsidRPr="00EE2AEF"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Tyto operační programy představují potenciál pro čerpání podpory v rámci intervencí realizovaných na území statutárního města Zlína. Významným nástrojem pro využití této podpory pro statutární město Zlín, respektive jeho vymezenou aglomeraci, jsou Integrované teritoriální investice. </w:t>
            </w:r>
          </w:p>
        </w:tc>
      </w:tr>
      <w:tr w:rsidR="000C49A5" w:rsidRPr="00EE2AEF" w14:paraId="68B4ADF5" w14:textId="77777777" w:rsidTr="000C49A5">
        <w:trPr>
          <w:cantSplit/>
          <w:trHeight w:val="20"/>
        </w:trPr>
        <w:tc>
          <w:tcPr>
            <w:tcW w:w="584" w:type="pct"/>
            <w:shd w:val="clear" w:color="auto" w:fill="auto"/>
            <w:textDirection w:val="btLr"/>
            <w:vAlign w:val="center"/>
          </w:tcPr>
          <w:p w14:paraId="780894FF" w14:textId="77777777" w:rsidR="000C49A5" w:rsidRPr="00EE2AEF" w:rsidRDefault="000C49A5" w:rsidP="000C49A5">
            <w:pPr>
              <w:spacing w:before="0"/>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Evropská</w:t>
            </w:r>
          </w:p>
        </w:tc>
        <w:tc>
          <w:tcPr>
            <w:tcW w:w="1616" w:type="pct"/>
            <w:shd w:val="clear" w:color="auto" w:fill="auto"/>
          </w:tcPr>
          <w:p w14:paraId="7C48FA03" w14:textId="77777777" w:rsidR="000C49A5"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N</w:t>
            </w:r>
            <w:r w:rsidRPr="00FC7E1D">
              <w:rPr>
                <w:rFonts w:ascii="Calibri" w:eastAsia="Times New Roman" w:hAnsi="Calibri" w:cs="Calibri"/>
                <w:color w:val="000000"/>
                <w:sz w:val="18"/>
                <w:szCs w:val="18"/>
                <w:lang w:eastAsia="cs-CZ"/>
              </w:rPr>
              <w:t>ávrhu obecného nařízení Evropského parlamentu a Rady</w:t>
            </w:r>
            <w:r w:rsidRPr="00FC7E1D">
              <w:rPr>
                <w:rFonts w:ascii="Calibri" w:eastAsia="Times New Roman" w:hAnsi="Calibri" w:cs="Calibri"/>
                <w:color w:val="000000"/>
                <w:sz w:val="18"/>
                <w:szCs w:val="18"/>
                <w:vertAlign w:val="superscript"/>
                <w:lang w:eastAsia="cs-CZ"/>
              </w:rPr>
              <w:footnoteReference w:id="120"/>
            </w:r>
          </w:p>
        </w:tc>
        <w:tc>
          <w:tcPr>
            <w:tcW w:w="2800" w:type="pct"/>
            <w:shd w:val="clear" w:color="auto" w:fill="auto"/>
          </w:tcPr>
          <w:p w14:paraId="16AC3D34" w14:textId="3EE89D02" w:rsidR="000C49A5" w:rsidRDefault="000C49A5" w:rsidP="00F804DE">
            <w:pPr>
              <w:spacing w:before="0"/>
              <w:rPr>
                <w:rFonts w:ascii="Calibri" w:eastAsia="Times New Roman" w:hAnsi="Calibri" w:cs="Calibri"/>
                <w:color w:val="000000"/>
                <w:sz w:val="18"/>
                <w:szCs w:val="18"/>
                <w:lang w:eastAsia="cs-CZ"/>
              </w:rPr>
            </w:pPr>
            <w:r w:rsidRPr="00FC7E1D">
              <w:rPr>
                <w:rFonts w:ascii="Calibri" w:eastAsia="Times New Roman" w:hAnsi="Calibri" w:cs="Calibri"/>
                <w:color w:val="000000"/>
                <w:sz w:val="18"/>
                <w:szCs w:val="18"/>
                <w:lang w:eastAsia="cs-CZ"/>
              </w:rPr>
              <w:t>Evropská komise zároveň prostřednictvím návrhu obecného nařízení Evropského parlamentu a Rady nastavuje regionální zaměření financí do tří typů území: alokace pro méně rozvinuté regiony (NUTS2 – Severozápad, Severovýchod, Střední Morava</w:t>
            </w:r>
            <w:r>
              <w:rPr>
                <w:rFonts w:ascii="Calibri" w:eastAsia="Times New Roman" w:hAnsi="Calibri" w:cs="Calibri"/>
                <w:color w:val="000000"/>
                <w:sz w:val="18"/>
                <w:szCs w:val="18"/>
                <w:lang w:eastAsia="cs-CZ"/>
              </w:rPr>
              <w:t>, do které spadá statutární město Zlín</w:t>
            </w:r>
            <w:r w:rsidRPr="00FC7E1D">
              <w:rPr>
                <w:rFonts w:ascii="Calibri" w:eastAsia="Times New Roman" w:hAnsi="Calibri" w:cs="Calibri"/>
                <w:color w:val="000000"/>
                <w:sz w:val="18"/>
                <w:szCs w:val="18"/>
                <w:lang w:eastAsia="cs-CZ"/>
              </w:rPr>
              <w:t xml:space="preserve"> a Moravskoslezsko), alokace pro přechodové regiony (NUTS2 – Jihovýchod, Střední Čechy a</w:t>
            </w:r>
            <w:r w:rsidR="00F804DE">
              <w:rPr>
                <w:rFonts w:ascii="Calibri" w:eastAsia="Times New Roman" w:hAnsi="Calibri" w:cs="Calibri"/>
                <w:color w:val="000000"/>
                <w:sz w:val="18"/>
                <w:szCs w:val="18"/>
                <w:lang w:eastAsia="cs-CZ"/>
              </w:rPr>
              <w:t> </w:t>
            </w:r>
            <w:r w:rsidRPr="00FC7E1D">
              <w:rPr>
                <w:rFonts w:ascii="Calibri" w:eastAsia="Times New Roman" w:hAnsi="Calibri" w:cs="Calibri"/>
                <w:color w:val="000000"/>
                <w:sz w:val="18"/>
                <w:szCs w:val="18"/>
                <w:lang w:eastAsia="cs-CZ"/>
              </w:rPr>
              <w:t>Jihozá</w:t>
            </w:r>
            <w:r w:rsidR="008C0697">
              <w:rPr>
                <w:rFonts w:ascii="Calibri" w:eastAsia="Times New Roman" w:hAnsi="Calibri" w:cs="Calibri"/>
                <w:color w:val="000000"/>
                <w:sz w:val="18"/>
                <w:szCs w:val="18"/>
                <w:lang w:eastAsia="cs-CZ"/>
              </w:rPr>
              <w:t>pad) a více rozvinuté regiony (h</w:t>
            </w:r>
            <w:r w:rsidRPr="00FC7E1D">
              <w:rPr>
                <w:rFonts w:ascii="Calibri" w:eastAsia="Times New Roman" w:hAnsi="Calibri" w:cs="Calibri"/>
                <w:color w:val="000000"/>
                <w:sz w:val="18"/>
                <w:szCs w:val="18"/>
                <w:lang w:eastAsia="cs-CZ"/>
              </w:rPr>
              <w:t xml:space="preserve">l. m. Praha).  </w:t>
            </w:r>
            <w:r>
              <w:rPr>
                <w:rFonts w:ascii="Calibri" w:eastAsia="Times New Roman" w:hAnsi="Calibri" w:cs="Calibri"/>
                <w:color w:val="000000"/>
                <w:sz w:val="18"/>
                <w:szCs w:val="18"/>
                <w:lang w:eastAsia="cs-CZ"/>
              </w:rPr>
              <w:t>Dokument tak představuje omezení pro velikost alokace do intervencí realizovaných z evropských fondů.</w:t>
            </w:r>
          </w:p>
        </w:tc>
      </w:tr>
      <w:tr w:rsidR="000C49A5" w:rsidRPr="00EE2AEF" w14:paraId="68D558AF" w14:textId="77777777" w:rsidTr="000C49A5">
        <w:trPr>
          <w:cantSplit/>
          <w:trHeight w:val="20"/>
        </w:trPr>
        <w:tc>
          <w:tcPr>
            <w:tcW w:w="584" w:type="pct"/>
            <w:vMerge w:val="restart"/>
            <w:shd w:val="clear" w:color="auto" w:fill="auto"/>
            <w:textDirection w:val="btLr"/>
            <w:vAlign w:val="center"/>
            <w:hideMark/>
          </w:tcPr>
          <w:p w14:paraId="76828770" w14:textId="77777777" w:rsidR="000C49A5" w:rsidRPr="00EE2AEF" w:rsidRDefault="000C49A5" w:rsidP="000C49A5">
            <w:pPr>
              <w:spacing w:before="0"/>
              <w:jc w:val="center"/>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Národní</w:t>
            </w:r>
          </w:p>
        </w:tc>
        <w:tc>
          <w:tcPr>
            <w:tcW w:w="1616" w:type="pct"/>
            <w:shd w:val="clear" w:color="auto" w:fill="auto"/>
            <w:hideMark/>
          </w:tcPr>
          <w:p w14:paraId="0892C210" w14:textId="77777777" w:rsidR="000C49A5" w:rsidRPr="00EE2AEF" w:rsidRDefault="000C49A5" w:rsidP="000C49A5">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Strategie regionálního rozvoje ČR 2021+</w:t>
            </w:r>
          </w:p>
        </w:tc>
        <w:tc>
          <w:tcPr>
            <w:tcW w:w="2800" w:type="pct"/>
            <w:shd w:val="clear" w:color="auto" w:fill="auto"/>
            <w:hideMark/>
          </w:tcPr>
          <w:p w14:paraId="012B825C" w14:textId="5C4D934F" w:rsidR="000C49A5" w:rsidRDefault="000C49A5" w:rsidP="000C49A5">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Národní strategický dokument stanovující hlavní cíle regionální politiky s ohledem na podporu dynamického, vyváženého a</w:t>
            </w:r>
            <w:r w:rsidR="00F804DE">
              <w:rPr>
                <w:rFonts w:ascii="Calibri" w:eastAsia="Times New Roman" w:hAnsi="Calibri" w:cs="Calibri"/>
                <w:color w:val="000000"/>
                <w:sz w:val="18"/>
                <w:szCs w:val="18"/>
                <w:lang w:eastAsia="cs-CZ"/>
              </w:rPr>
              <w:t> </w:t>
            </w:r>
            <w:r w:rsidRPr="00EE2AEF">
              <w:rPr>
                <w:rFonts w:ascii="Calibri" w:eastAsia="Times New Roman" w:hAnsi="Calibri" w:cs="Calibri"/>
                <w:color w:val="000000"/>
                <w:sz w:val="18"/>
                <w:szCs w:val="18"/>
                <w:lang w:eastAsia="cs-CZ"/>
              </w:rPr>
              <w:t>udržitelného rozvoje území. Dokument by měl představovat nadřazený rámec pro rozvojové aktivity na území regionů a měst. Relevance lze sledovat především v rámci Specifického cíle 6: Kvalitní plánování regionálního rozvoje přispívající k plnění cílů regionální politiky.</w:t>
            </w:r>
          </w:p>
          <w:p w14:paraId="7D34ACC7" w14:textId="77777777" w:rsidR="000C49A5" w:rsidRPr="00EE2AEF"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Statutární město Zlín jakožto krajské město v rámci vymezení typů regionů definováno jako centrum Zlínské aglomerace, stejně jako všechna krajská města s výjimkou Prahy, Brna a Ostravy. Pro aglomerace SRR definuje </w:t>
            </w:r>
            <w:r w:rsidRPr="00A0128A">
              <w:rPr>
                <w:rFonts w:ascii="Calibri" w:eastAsia="Times New Roman" w:hAnsi="Calibri" w:cs="Calibri"/>
                <w:color w:val="000000"/>
                <w:sz w:val="18"/>
                <w:szCs w:val="18"/>
                <w:lang w:eastAsia="cs-CZ"/>
              </w:rPr>
              <w:t>Strategický cíl 2: Aglomerace využívající svůj růstový potenciál a plnící úlohu významných krajských hospodářských, kulturních a akademických center</w:t>
            </w:r>
            <w:r>
              <w:rPr>
                <w:rFonts w:ascii="Calibri" w:eastAsia="Times New Roman" w:hAnsi="Calibri" w:cs="Calibri"/>
                <w:color w:val="000000"/>
                <w:sz w:val="18"/>
                <w:szCs w:val="18"/>
                <w:lang w:eastAsia="cs-CZ"/>
              </w:rPr>
              <w:t>, včetně typových opatření určených pro dosažení tohoto cíle.</w:t>
            </w:r>
          </w:p>
        </w:tc>
      </w:tr>
      <w:tr w:rsidR="000C49A5" w:rsidRPr="00EE2AEF" w14:paraId="051576FF" w14:textId="77777777" w:rsidTr="000C49A5">
        <w:trPr>
          <w:cantSplit/>
          <w:trHeight w:val="20"/>
        </w:trPr>
        <w:tc>
          <w:tcPr>
            <w:tcW w:w="584" w:type="pct"/>
            <w:vMerge/>
            <w:vAlign w:val="center"/>
            <w:hideMark/>
          </w:tcPr>
          <w:p w14:paraId="5BB829D5"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4329BEAC" w14:textId="0A9D044E" w:rsidR="000C49A5" w:rsidRPr="00EE2AEF" w:rsidRDefault="000C49A5" w:rsidP="00F804DE">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 xml:space="preserve">Strategický rámec udržitelného rozvoje ČR 2010 </w:t>
            </w:r>
            <w:r w:rsidR="00F804DE">
              <w:rPr>
                <w:rFonts w:ascii="Calibri" w:eastAsia="Times New Roman" w:hAnsi="Calibri" w:cs="Calibri"/>
                <w:color w:val="000000"/>
                <w:sz w:val="18"/>
                <w:szCs w:val="18"/>
                <w:lang w:eastAsia="cs-CZ"/>
              </w:rPr>
              <w:sym w:font="Symbol" w:char="F02D"/>
            </w:r>
            <w:r w:rsidRPr="00EE2AEF">
              <w:rPr>
                <w:rFonts w:ascii="Calibri" w:eastAsia="Times New Roman" w:hAnsi="Calibri" w:cs="Calibri"/>
                <w:color w:val="000000"/>
                <w:sz w:val="18"/>
                <w:szCs w:val="18"/>
                <w:lang w:eastAsia="cs-CZ"/>
              </w:rPr>
              <w:t xml:space="preserve"> 2030</w:t>
            </w:r>
          </w:p>
        </w:tc>
        <w:tc>
          <w:tcPr>
            <w:tcW w:w="2800" w:type="pct"/>
            <w:shd w:val="clear" w:color="auto" w:fill="auto"/>
            <w:hideMark/>
          </w:tcPr>
          <w:p w14:paraId="3384B4B6" w14:textId="77777777" w:rsidR="000C49A5" w:rsidRPr="00EE2AEF" w:rsidRDefault="000C49A5" w:rsidP="000C49A5">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Cílem Strategického rámce udržitelného rozvoje České republiky je vytvořit konsensuální rámec pro zpracování dalších materiálů koncepčního charakteru (včetně strategického rozvoje obcí) a být tak důležitým východiskem pro strategické rozhodování v rámci jednotlivých úrovní strategického a koncepčního plánování</w:t>
            </w:r>
            <w:r>
              <w:rPr>
                <w:rFonts w:ascii="Calibri" w:eastAsia="Times New Roman" w:hAnsi="Calibri" w:cs="Calibri"/>
                <w:color w:val="000000"/>
                <w:sz w:val="18"/>
                <w:szCs w:val="18"/>
                <w:lang w:eastAsia="cs-CZ"/>
              </w:rPr>
              <w:t>, tzn. také pro strategické plánování v rámci strategie Zlín 2030.</w:t>
            </w:r>
          </w:p>
        </w:tc>
      </w:tr>
      <w:tr w:rsidR="000C49A5" w:rsidRPr="00EE2AEF" w14:paraId="656B11F4" w14:textId="77777777" w:rsidTr="000C49A5">
        <w:trPr>
          <w:cantSplit/>
          <w:trHeight w:val="20"/>
        </w:trPr>
        <w:tc>
          <w:tcPr>
            <w:tcW w:w="584" w:type="pct"/>
            <w:vMerge/>
            <w:vAlign w:val="center"/>
            <w:hideMark/>
          </w:tcPr>
          <w:p w14:paraId="2382D60D"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6D5A7A26" w14:textId="50AB0493" w:rsidR="000C49A5" w:rsidRPr="00EE2AEF" w:rsidRDefault="000C49A5" w:rsidP="00F804DE">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 xml:space="preserve">Dohoda o partnerství pro programové období 2021 </w:t>
            </w:r>
            <w:r w:rsidR="00F804DE">
              <w:rPr>
                <w:rFonts w:ascii="Calibri" w:eastAsia="Times New Roman" w:hAnsi="Calibri" w:cs="Calibri"/>
                <w:color w:val="000000"/>
                <w:sz w:val="18"/>
                <w:szCs w:val="18"/>
                <w:lang w:eastAsia="cs-CZ"/>
              </w:rPr>
              <w:sym w:font="Symbol" w:char="F02D"/>
            </w:r>
            <w:r w:rsidRPr="00EE2AEF">
              <w:rPr>
                <w:rFonts w:ascii="Calibri" w:eastAsia="Times New Roman" w:hAnsi="Calibri" w:cs="Calibri"/>
                <w:color w:val="000000"/>
                <w:sz w:val="18"/>
                <w:szCs w:val="18"/>
                <w:lang w:eastAsia="cs-CZ"/>
              </w:rPr>
              <w:t xml:space="preserve"> 2027</w:t>
            </w:r>
          </w:p>
        </w:tc>
        <w:tc>
          <w:tcPr>
            <w:tcW w:w="2800" w:type="pct"/>
            <w:shd w:val="clear" w:color="auto" w:fill="auto"/>
            <w:hideMark/>
          </w:tcPr>
          <w:p w14:paraId="430D044F" w14:textId="3C2D917C" w:rsidR="000C49A5" w:rsidRPr="00EE2AEF" w:rsidRDefault="000C49A5" w:rsidP="00F804DE">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Dohoda o partnerství analyzuje na základě evropských, národních i</w:t>
            </w:r>
            <w:r w:rsidR="00F804DE">
              <w:rPr>
                <w:rFonts w:ascii="Calibri" w:eastAsia="Times New Roman" w:hAnsi="Calibri" w:cs="Calibri"/>
                <w:color w:val="000000"/>
                <w:sz w:val="18"/>
                <w:szCs w:val="18"/>
                <w:lang w:eastAsia="cs-CZ"/>
              </w:rPr>
              <w:t> </w:t>
            </w:r>
            <w:r w:rsidRPr="00EE2AEF">
              <w:rPr>
                <w:rFonts w:ascii="Calibri" w:eastAsia="Times New Roman" w:hAnsi="Calibri" w:cs="Calibri"/>
                <w:color w:val="000000"/>
                <w:sz w:val="18"/>
                <w:szCs w:val="18"/>
                <w:lang w:eastAsia="cs-CZ"/>
              </w:rPr>
              <w:t>regionálních strategických dokumentů současnou socioekonomickou situaci České republiky, zdejší disparity, rozvojové potřeby a potenciál. Definuje priority a očekávané výsledky pro celé programové období. Tato analýza je klíčovým ukazatelem, kam bude směřována podpora z ESI fondů, tzn., že dokument představuje možnosti, jak využít ESI fondy k rozvoji statutárního města Zlína, včetně využití v rámci integrovaných teritoriálních investic (ITI).</w:t>
            </w:r>
          </w:p>
        </w:tc>
      </w:tr>
      <w:tr w:rsidR="000C49A5" w:rsidRPr="00EE2AEF" w14:paraId="0F5FAB4E" w14:textId="77777777" w:rsidTr="000C49A5">
        <w:trPr>
          <w:cantSplit/>
          <w:trHeight w:val="20"/>
        </w:trPr>
        <w:tc>
          <w:tcPr>
            <w:tcW w:w="584" w:type="pct"/>
            <w:vMerge/>
            <w:vAlign w:val="center"/>
          </w:tcPr>
          <w:p w14:paraId="579CB3E0"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tcPr>
          <w:p w14:paraId="31AD8A58" w14:textId="6F2BBDC7" w:rsidR="000C49A5" w:rsidRPr="00EE2AEF"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Inovační</w:t>
            </w:r>
            <w:r w:rsidR="00F804DE">
              <w:rPr>
                <w:rFonts w:ascii="Calibri" w:eastAsia="Times New Roman" w:hAnsi="Calibri" w:cs="Calibri"/>
                <w:color w:val="000000"/>
                <w:sz w:val="18"/>
                <w:szCs w:val="18"/>
                <w:lang w:eastAsia="cs-CZ"/>
              </w:rPr>
              <w:t xml:space="preserve"> strategie České republiky 2019 </w:t>
            </w:r>
            <w:r w:rsidR="00F804DE">
              <w:rPr>
                <w:rFonts w:ascii="Calibri" w:eastAsia="Times New Roman" w:hAnsi="Calibri" w:cs="Calibri"/>
                <w:color w:val="000000"/>
                <w:sz w:val="18"/>
                <w:szCs w:val="18"/>
                <w:lang w:eastAsia="cs-CZ"/>
              </w:rPr>
              <w:sym w:font="Symbol" w:char="F02D"/>
            </w:r>
            <w:r w:rsidR="00F804DE">
              <w:rPr>
                <w:rFonts w:ascii="Calibri" w:eastAsia="Times New Roman" w:hAnsi="Calibri" w:cs="Calibri"/>
                <w:color w:val="000000"/>
                <w:sz w:val="18"/>
                <w:szCs w:val="18"/>
                <w:lang w:eastAsia="cs-CZ"/>
              </w:rPr>
              <w:t xml:space="preserve"> </w:t>
            </w:r>
            <w:r>
              <w:rPr>
                <w:rFonts w:ascii="Calibri" w:eastAsia="Times New Roman" w:hAnsi="Calibri" w:cs="Calibri"/>
                <w:color w:val="000000"/>
                <w:sz w:val="18"/>
                <w:szCs w:val="18"/>
                <w:lang w:eastAsia="cs-CZ"/>
              </w:rPr>
              <w:t>2030 (Country for the Future)</w:t>
            </w:r>
          </w:p>
        </w:tc>
        <w:tc>
          <w:tcPr>
            <w:tcW w:w="2800" w:type="pct"/>
            <w:shd w:val="clear" w:color="auto" w:fill="auto"/>
          </w:tcPr>
          <w:p w14:paraId="69A11002" w14:textId="27C0FB20" w:rsidR="000C49A5"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Inovační strategie stanovující cíle a nástroje k jejich dosažení v</w:t>
            </w:r>
            <w:r w:rsidR="00F804DE">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9</w:t>
            </w:r>
            <w:r w:rsidR="00F804DE">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pilířích:</w:t>
            </w:r>
          </w:p>
          <w:p w14:paraId="62F005D9"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Financování a hodnocení výzkumu a vývoje</w:t>
            </w:r>
          </w:p>
          <w:p w14:paraId="2D1D4FF7"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Polytechnické vzdělávání</w:t>
            </w:r>
          </w:p>
          <w:p w14:paraId="5891936A"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Digitální stát, výroba a služby</w:t>
            </w:r>
          </w:p>
          <w:p w14:paraId="63D13DCB"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Mobilita a stavební prostředí</w:t>
            </w:r>
          </w:p>
          <w:p w14:paraId="6D3C9159"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Chytrý marketing</w:t>
            </w:r>
          </w:p>
          <w:p w14:paraId="47A10628"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Ochrana duševního vlastnictví</w:t>
            </w:r>
          </w:p>
          <w:p w14:paraId="07760C12"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Chytré investice</w:t>
            </w:r>
          </w:p>
          <w:p w14:paraId="56B9B25B" w14:textId="77777777" w:rsidR="000C49A5" w:rsidRPr="00A0128A"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Inovační a výzkumná centra</w:t>
            </w:r>
          </w:p>
          <w:p w14:paraId="2CFC2028" w14:textId="77777777" w:rsidR="000C49A5" w:rsidRDefault="000C49A5" w:rsidP="00A55F7D">
            <w:pPr>
              <w:pStyle w:val="Odstavecseseznamem"/>
              <w:numPr>
                <w:ilvl w:val="0"/>
                <w:numId w:val="119"/>
              </w:numPr>
              <w:spacing w:before="0"/>
              <w:rPr>
                <w:rFonts w:ascii="Calibri" w:eastAsia="Times New Roman" w:hAnsi="Calibri" w:cs="Calibri"/>
                <w:color w:val="000000"/>
                <w:sz w:val="18"/>
                <w:szCs w:val="18"/>
                <w:lang w:eastAsia="cs-CZ"/>
              </w:rPr>
            </w:pPr>
            <w:r w:rsidRPr="00A0128A">
              <w:rPr>
                <w:rFonts w:ascii="Calibri" w:eastAsia="Times New Roman" w:hAnsi="Calibri" w:cs="Calibri"/>
                <w:color w:val="000000"/>
                <w:sz w:val="18"/>
                <w:szCs w:val="18"/>
                <w:lang w:eastAsia="cs-CZ"/>
              </w:rPr>
              <w:t>Národní startup a spin-off prostředí</w:t>
            </w:r>
          </w:p>
          <w:p w14:paraId="5F6A62DD" w14:textId="4B1130AC" w:rsidR="000C49A5" w:rsidRPr="00200D32" w:rsidRDefault="000C49A5" w:rsidP="00D04A28">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Strategie definuje možnosti financování výzkumu a vývoje v oblasti inovačního podnikání (</w:t>
            </w:r>
            <w:r w:rsidR="00D04A28">
              <w:rPr>
                <w:rFonts w:ascii="Calibri" w:eastAsia="Times New Roman" w:hAnsi="Calibri" w:cs="Calibri"/>
                <w:color w:val="000000"/>
                <w:sz w:val="18"/>
                <w:szCs w:val="18"/>
                <w:lang w:eastAsia="cs-CZ"/>
              </w:rPr>
              <w:t>o</w:t>
            </w:r>
            <w:r>
              <w:rPr>
                <w:rFonts w:ascii="Calibri" w:eastAsia="Times New Roman" w:hAnsi="Calibri" w:cs="Calibri"/>
                <w:color w:val="000000"/>
                <w:sz w:val="18"/>
                <w:szCs w:val="18"/>
                <w:lang w:eastAsia="cs-CZ"/>
              </w:rPr>
              <w:t>perační programy, národní podpora, účelové programy na podporu excelence, apod.).</w:t>
            </w:r>
          </w:p>
        </w:tc>
      </w:tr>
      <w:tr w:rsidR="000C49A5" w:rsidRPr="00EE2AEF" w14:paraId="401D8D32" w14:textId="77777777" w:rsidTr="000C49A5">
        <w:trPr>
          <w:cantSplit/>
          <w:trHeight w:val="20"/>
        </w:trPr>
        <w:tc>
          <w:tcPr>
            <w:tcW w:w="584" w:type="pct"/>
            <w:vMerge w:val="restart"/>
            <w:textDirection w:val="btLr"/>
            <w:vAlign w:val="center"/>
          </w:tcPr>
          <w:p w14:paraId="643B7BD7" w14:textId="77777777" w:rsidR="000C49A5" w:rsidRPr="00EE2AEF" w:rsidRDefault="000C49A5" w:rsidP="000C49A5">
            <w:pPr>
              <w:spacing w:before="0"/>
              <w:ind w:left="113" w:right="113"/>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Národní</w:t>
            </w:r>
          </w:p>
        </w:tc>
        <w:tc>
          <w:tcPr>
            <w:tcW w:w="1616" w:type="pct"/>
            <w:shd w:val="clear" w:color="auto" w:fill="auto"/>
          </w:tcPr>
          <w:p w14:paraId="590AE343" w14:textId="77777777" w:rsidR="000C49A5" w:rsidRPr="00EE2AEF"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Politika územního rozvoje ČR</w:t>
            </w:r>
          </w:p>
        </w:tc>
        <w:tc>
          <w:tcPr>
            <w:tcW w:w="2800" w:type="pct"/>
            <w:shd w:val="clear" w:color="auto" w:fill="auto"/>
          </w:tcPr>
          <w:p w14:paraId="11BD5A5C" w14:textId="1987B80F" w:rsidR="000C49A5" w:rsidRDefault="000C49A5" w:rsidP="000C49A5">
            <w:pPr>
              <w:spacing w:before="0"/>
              <w:rPr>
                <w:rFonts w:ascii="Calibri" w:eastAsia="Times New Roman" w:hAnsi="Calibri" w:cs="Calibri"/>
                <w:color w:val="000000"/>
                <w:sz w:val="18"/>
                <w:szCs w:val="18"/>
                <w:lang w:eastAsia="cs-CZ"/>
              </w:rPr>
            </w:pPr>
            <w:r w:rsidRPr="00200A75">
              <w:rPr>
                <w:rFonts w:ascii="Calibri" w:eastAsia="Times New Roman" w:hAnsi="Calibri" w:cs="Calibri"/>
                <w:color w:val="000000"/>
                <w:sz w:val="18"/>
                <w:szCs w:val="18"/>
                <w:lang w:eastAsia="cs-CZ"/>
              </w:rPr>
              <w:t>Politika územního rozvoje ČR (PÚR) je strategický dokument, který určuje požadavky na konkretizaci úkolů územního plánování v</w:t>
            </w:r>
            <w:r w:rsidR="00F804DE">
              <w:rPr>
                <w:rFonts w:ascii="Calibri" w:eastAsia="Times New Roman" w:hAnsi="Calibri" w:cs="Calibri"/>
                <w:color w:val="000000"/>
                <w:sz w:val="18"/>
                <w:szCs w:val="18"/>
                <w:lang w:eastAsia="cs-CZ"/>
              </w:rPr>
              <w:t> </w:t>
            </w:r>
            <w:r w:rsidRPr="00200A75">
              <w:rPr>
                <w:rFonts w:ascii="Calibri" w:eastAsia="Times New Roman" w:hAnsi="Calibri" w:cs="Calibri"/>
                <w:color w:val="000000"/>
                <w:sz w:val="18"/>
                <w:szCs w:val="18"/>
                <w:lang w:eastAsia="cs-CZ"/>
              </w:rPr>
              <w:t>republikových, mezinárodních, nadregionálních a přeshraničních souvislostech, určuje strategii a základní podmínky pro naplňování těchto úkolů a stanovuje republikové priority územního plánování pro zajištění udržitelného rozvoje území.</w:t>
            </w:r>
          </w:p>
          <w:p w14:paraId="284026CF" w14:textId="743D4397" w:rsidR="000C49A5" w:rsidRPr="00EE2AEF" w:rsidRDefault="000C49A5" w:rsidP="00F804DE">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V rámci PÚR je vymezena OB9 Rozvojová oblast Zlín, na území obcí z ORP Zlín, Holešov, Otrokovice, Vizovice a Uherské Hradiště. Tato oblast je vymezena vzhledem k silné koncentraci obyvatelstva a</w:t>
            </w:r>
            <w:r w:rsidR="00F804DE">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 xml:space="preserve">ekonomických činností, z nichž značná část má republikový význam. Pro tuto rozvojovou oblast </w:t>
            </w:r>
            <w:r w:rsidR="00F804DE">
              <w:rPr>
                <w:rFonts w:ascii="Calibri" w:eastAsia="Times New Roman" w:hAnsi="Calibri" w:cs="Calibri"/>
                <w:color w:val="000000"/>
                <w:sz w:val="18"/>
                <w:szCs w:val="18"/>
                <w:lang w:eastAsia="cs-CZ"/>
              </w:rPr>
              <w:t>j</w:t>
            </w:r>
            <w:r>
              <w:rPr>
                <w:rFonts w:ascii="Calibri" w:eastAsia="Times New Roman" w:hAnsi="Calibri" w:cs="Calibri"/>
                <w:color w:val="000000"/>
                <w:sz w:val="18"/>
                <w:szCs w:val="18"/>
                <w:lang w:eastAsia="cs-CZ"/>
              </w:rPr>
              <w:t xml:space="preserve">sou dále v ZÚR stanoveny zásady pro rozhodování o změnách v území a úkoly pro územní plánování. </w:t>
            </w:r>
          </w:p>
        </w:tc>
      </w:tr>
      <w:tr w:rsidR="000C49A5" w:rsidRPr="00EE2AEF" w14:paraId="7E680E09" w14:textId="77777777" w:rsidTr="000C49A5">
        <w:trPr>
          <w:cantSplit/>
          <w:trHeight w:val="20"/>
        </w:trPr>
        <w:tc>
          <w:tcPr>
            <w:tcW w:w="584" w:type="pct"/>
            <w:vMerge/>
            <w:vAlign w:val="center"/>
          </w:tcPr>
          <w:p w14:paraId="48BE8145"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tcPr>
          <w:p w14:paraId="4F720031" w14:textId="77777777" w:rsidR="000C49A5" w:rsidRPr="00EE2AEF"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Strategický rámec Česká republika 2030</w:t>
            </w:r>
          </w:p>
        </w:tc>
        <w:tc>
          <w:tcPr>
            <w:tcW w:w="2800" w:type="pct"/>
            <w:shd w:val="clear" w:color="auto" w:fill="auto"/>
          </w:tcPr>
          <w:p w14:paraId="637E469E" w14:textId="3BED2F67" w:rsidR="000C49A5" w:rsidRPr="00EE2AEF" w:rsidRDefault="000C49A5" w:rsidP="00F804DE">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Dokument definující </w:t>
            </w:r>
            <w:r w:rsidRPr="00200D32">
              <w:rPr>
                <w:rFonts w:ascii="Calibri" w:eastAsia="Times New Roman" w:hAnsi="Calibri" w:cs="Calibri"/>
                <w:color w:val="000000"/>
                <w:sz w:val="18"/>
                <w:szCs w:val="18"/>
                <w:lang w:eastAsia="cs-CZ"/>
              </w:rPr>
              <w:t>rozvoj České republiky do roku 2030 za účelem zvýšení kvality života prostřednictvím udržitelného rozvoje po sociální, ekonomické i environmentální stránce. Vytváří základní rámec pro ostatní strategické dokumenty na národní, krajské a</w:t>
            </w:r>
            <w:r w:rsidR="00F804DE">
              <w:rPr>
                <w:rFonts w:ascii="Calibri" w:eastAsia="Times New Roman" w:hAnsi="Calibri" w:cs="Calibri"/>
                <w:color w:val="000000"/>
                <w:sz w:val="18"/>
                <w:szCs w:val="18"/>
                <w:lang w:eastAsia="cs-CZ"/>
              </w:rPr>
              <w:t> </w:t>
            </w:r>
            <w:r w:rsidRPr="00200D32">
              <w:rPr>
                <w:rFonts w:ascii="Calibri" w:eastAsia="Times New Roman" w:hAnsi="Calibri" w:cs="Calibri"/>
                <w:color w:val="000000"/>
                <w:sz w:val="18"/>
                <w:szCs w:val="18"/>
                <w:lang w:eastAsia="cs-CZ"/>
              </w:rPr>
              <w:t>místní úrovni.</w:t>
            </w:r>
            <w:r>
              <w:rPr>
                <w:rFonts w:ascii="Calibri" w:eastAsia="Times New Roman" w:hAnsi="Calibri" w:cs="Calibri"/>
                <w:color w:val="000000"/>
                <w:sz w:val="18"/>
                <w:szCs w:val="18"/>
                <w:lang w:eastAsia="cs-CZ"/>
              </w:rPr>
              <w:t xml:space="preserve"> V rámci průřezové oblasti „Obce a regiony“ definuje východiska pro vyvážený a harmonický rozvoj obcí a regionů, včetně zvyšování územní soudržnosti, usměrňování suburbanizačního trendu a omezení nucené mobility, přičemž by k těmto východiskům mělo být přihlédnuto při plánování rozvoje statutárního města Zlína.</w:t>
            </w:r>
          </w:p>
        </w:tc>
      </w:tr>
      <w:tr w:rsidR="000C49A5" w:rsidRPr="00EE2AEF" w14:paraId="253ED166" w14:textId="77777777" w:rsidTr="000C49A5">
        <w:trPr>
          <w:cantSplit/>
          <w:trHeight w:val="20"/>
        </w:trPr>
        <w:tc>
          <w:tcPr>
            <w:tcW w:w="584" w:type="pct"/>
            <w:vMerge/>
            <w:vAlign w:val="center"/>
          </w:tcPr>
          <w:p w14:paraId="78EF6C06"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tcPr>
          <w:p w14:paraId="14100CA8" w14:textId="77777777" w:rsidR="000C49A5" w:rsidRDefault="000C49A5" w:rsidP="000C49A5">
            <w:pPr>
              <w:spacing w:before="0"/>
              <w:jc w:val="left"/>
              <w:rPr>
                <w:rFonts w:ascii="Calibri" w:eastAsia="Times New Roman" w:hAnsi="Calibri" w:cs="Calibri"/>
                <w:color w:val="000000"/>
                <w:sz w:val="18"/>
                <w:szCs w:val="18"/>
                <w:lang w:eastAsia="cs-CZ"/>
              </w:rPr>
            </w:pPr>
            <w:r w:rsidRPr="000A251C">
              <w:rPr>
                <w:rFonts w:ascii="Calibri" w:eastAsia="Times New Roman" w:hAnsi="Calibri" w:cs="Calibri"/>
                <w:color w:val="000000"/>
                <w:sz w:val="18"/>
                <w:szCs w:val="18"/>
                <w:lang w:eastAsia="cs-CZ"/>
              </w:rPr>
              <w:t>Střednědobý plán rozvoje dopravní infrastruktury s dlouhodobým výhledem</w:t>
            </w:r>
          </w:p>
        </w:tc>
        <w:tc>
          <w:tcPr>
            <w:tcW w:w="2800" w:type="pct"/>
            <w:shd w:val="clear" w:color="auto" w:fill="auto"/>
          </w:tcPr>
          <w:p w14:paraId="46C240DA" w14:textId="77777777" w:rsidR="000C49A5"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Implementační dokument Dopravní politiky</w:t>
            </w:r>
            <w:r w:rsidRPr="000A251C">
              <w:rPr>
                <w:rFonts w:ascii="Calibri" w:eastAsia="Times New Roman" w:hAnsi="Calibri" w:cs="Calibri"/>
                <w:color w:val="000000"/>
                <w:sz w:val="18"/>
                <w:szCs w:val="18"/>
                <w:lang w:eastAsia="cs-CZ"/>
              </w:rPr>
              <w:t xml:space="preserve"> ČR pro období 2014 – 2020 s výhledem do roku 2050</w:t>
            </w:r>
            <w:r>
              <w:rPr>
                <w:rFonts w:ascii="Calibri" w:eastAsia="Times New Roman" w:hAnsi="Calibri" w:cs="Calibri"/>
                <w:color w:val="000000"/>
                <w:sz w:val="18"/>
                <w:szCs w:val="18"/>
                <w:lang w:eastAsia="cs-CZ"/>
              </w:rPr>
              <w:t xml:space="preserve">. V rámci implementačního dokumentu jsou definovány nedostatky silniční sítě, přičemž pro statutárního města Zlín je relevantní dostavba silnice D49 v úseku Hulín – Fryšták – státní hranice ČR/SK. Dále dokument definuje problémy na železniční síti, respektive potřebu modernizace trati 331 </w:t>
            </w:r>
            <w:r w:rsidRPr="00F94B96">
              <w:rPr>
                <w:rFonts w:ascii="Calibri" w:eastAsia="Times New Roman" w:hAnsi="Calibri" w:cs="Calibri"/>
                <w:color w:val="000000"/>
                <w:sz w:val="18"/>
                <w:szCs w:val="18"/>
                <w:lang w:eastAsia="cs-CZ"/>
              </w:rPr>
              <w:t xml:space="preserve">Vizovice - Zlín střed </w:t>
            </w:r>
            <w:r>
              <w:rPr>
                <w:rFonts w:ascii="Calibri" w:eastAsia="Times New Roman" w:hAnsi="Calibri" w:cs="Calibri"/>
                <w:color w:val="000000"/>
                <w:sz w:val="18"/>
                <w:szCs w:val="18"/>
                <w:lang w:eastAsia="cs-CZ"/>
              </w:rPr>
              <w:t>–</w:t>
            </w:r>
            <w:r w:rsidRPr="00F94B96">
              <w:rPr>
                <w:rFonts w:ascii="Calibri" w:eastAsia="Times New Roman" w:hAnsi="Calibri" w:cs="Calibri"/>
                <w:color w:val="000000"/>
                <w:sz w:val="18"/>
                <w:szCs w:val="18"/>
                <w:lang w:eastAsia="cs-CZ"/>
              </w:rPr>
              <w:t xml:space="preserve"> Otrokovice</w:t>
            </w:r>
            <w:r>
              <w:rPr>
                <w:rFonts w:ascii="Calibri" w:eastAsia="Times New Roman" w:hAnsi="Calibri" w:cs="Calibri"/>
                <w:color w:val="000000"/>
                <w:sz w:val="18"/>
                <w:szCs w:val="18"/>
                <w:lang w:eastAsia="cs-CZ"/>
              </w:rPr>
              <w:t xml:space="preserve"> z důvodu nedostatečné kapacity.</w:t>
            </w:r>
          </w:p>
        </w:tc>
      </w:tr>
      <w:tr w:rsidR="000C49A5" w:rsidRPr="00EE2AEF" w14:paraId="0D2A59AD" w14:textId="77777777" w:rsidTr="000C49A5">
        <w:trPr>
          <w:cantSplit/>
          <w:trHeight w:val="20"/>
        </w:trPr>
        <w:tc>
          <w:tcPr>
            <w:tcW w:w="584" w:type="pct"/>
            <w:vMerge w:val="restart"/>
            <w:shd w:val="clear" w:color="auto" w:fill="auto"/>
            <w:textDirection w:val="btLr"/>
            <w:vAlign w:val="center"/>
            <w:hideMark/>
          </w:tcPr>
          <w:p w14:paraId="75F4069A" w14:textId="77777777" w:rsidR="000C49A5" w:rsidRPr="00EE2AEF" w:rsidRDefault="000C49A5" w:rsidP="000C49A5">
            <w:pPr>
              <w:spacing w:before="0"/>
              <w:jc w:val="center"/>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Regionální</w:t>
            </w:r>
          </w:p>
        </w:tc>
        <w:tc>
          <w:tcPr>
            <w:tcW w:w="1616" w:type="pct"/>
            <w:shd w:val="clear" w:color="auto" w:fill="auto"/>
            <w:hideMark/>
          </w:tcPr>
          <w:p w14:paraId="2DAE25E7" w14:textId="77777777" w:rsidR="000C49A5" w:rsidRPr="00EE2AEF"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Strategie</w:t>
            </w:r>
            <w:r w:rsidRPr="00EE2AEF">
              <w:rPr>
                <w:rFonts w:ascii="Calibri" w:eastAsia="Times New Roman" w:hAnsi="Calibri" w:cs="Calibri"/>
                <w:color w:val="000000"/>
                <w:sz w:val="18"/>
                <w:szCs w:val="18"/>
                <w:lang w:eastAsia="cs-CZ"/>
              </w:rPr>
              <w:t xml:space="preserve"> rozvoje Zlínského kraje 2030</w:t>
            </w:r>
          </w:p>
        </w:tc>
        <w:tc>
          <w:tcPr>
            <w:tcW w:w="2800" w:type="pct"/>
            <w:shd w:val="clear" w:color="auto" w:fill="auto"/>
            <w:hideMark/>
          </w:tcPr>
          <w:p w14:paraId="0CF0CE63" w14:textId="06ED3454" w:rsidR="000C49A5" w:rsidRPr="00EE2AEF" w:rsidRDefault="000C49A5" w:rsidP="00F804DE">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Základní strategický rozvojový dokument Zlínského kraje pro ob</w:t>
            </w:r>
            <w:r>
              <w:rPr>
                <w:rFonts w:ascii="Calibri" w:eastAsia="Times New Roman" w:hAnsi="Calibri" w:cs="Calibri"/>
                <w:color w:val="000000"/>
                <w:sz w:val="18"/>
                <w:szCs w:val="18"/>
                <w:lang w:eastAsia="cs-CZ"/>
              </w:rPr>
              <w:t>dobí do roku 2030 zpracovaný v</w:t>
            </w:r>
            <w:r w:rsidRPr="00EE2AEF">
              <w:rPr>
                <w:rFonts w:ascii="Calibri" w:eastAsia="Times New Roman" w:hAnsi="Calibri" w:cs="Calibri"/>
                <w:color w:val="000000"/>
                <w:sz w:val="18"/>
                <w:szCs w:val="18"/>
                <w:lang w:eastAsia="cs-CZ"/>
              </w:rPr>
              <w:t xml:space="preserve"> souladu se zákonem o podpoře regionálního rozvoje (zákon č. 248/2000 Sb.). Program rozvoje</w:t>
            </w:r>
            <w:r w:rsidR="00F804DE">
              <w:rPr>
                <w:rFonts w:ascii="Calibri" w:eastAsia="Times New Roman" w:hAnsi="Calibri" w:cs="Calibri"/>
                <w:color w:val="000000"/>
                <w:sz w:val="18"/>
                <w:szCs w:val="18"/>
                <w:lang w:eastAsia="cs-CZ"/>
              </w:rPr>
              <w:t xml:space="preserve"> obsahuje</w:t>
            </w:r>
            <w:r w:rsidRPr="00EE2AEF">
              <w:rPr>
                <w:rFonts w:ascii="Calibri" w:eastAsia="Times New Roman" w:hAnsi="Calibri" w:cs="Calibri"/>
                <w:color w:val="000000"/>
                <w:sz w:val="18"/>
                <w:szCs w:val="18"/>
                <w:lang w:eastAsia="cs-CZ"/>
              </w:rPr>
              <w:t xml:space="preserve"> specifické cíle, k jejichž plnění může v rámci svých kompetencí připívat také město Zlín jakožto významné regionální centrum.</w:t>
            </w:r>
          </w:p>
        </w:tc>
      </w:tr>
      <w:tr w:rsidR="000C49A5" w:rsidRPr="00EE2AEF" w14:paraId="2C91E98A" w14:textId="77777777" w:rsidTr="000C49A5">
        <w:trPr>
          <w:cantSplit/>
          <w:trHeight w:val="20"/>
        </w:trPr>
        <w:tc>
          <w:tcPr>
            <w:tcW w:w="584" w:type="pct"/>
            <w:vMerge/>
            <w:shd w:val="clear" w:color="auto" w:fill="auto"/>
            <w:vAlign w:val="center"/>
            <w:hideMark/>
          </w:tcPr>
          <w:p w14:paraId="2CBEEDAF"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33B11004" w14:textId="77777777" w:rsidR="000C49A5" w:rsidRPr="00EE2AEF" w:rsidRDefault="000C49A5" w:rsidP="000C49A5">
            <w:pPr>
              <w:spacing w:before="0"/>
              <w:jc w:val="left"/>
              <w:rPr>
                <w:rFonts w:ascii="Calibri" w:eastAsia="Times New Roman" w:hAnsi="Calibri" w:cs="Calibri"/>
                <w:color w:val="000000"/>
                <w:sz w:val="18"/>
                <w:szCs w:val="18"/>
                <w:lang w:eastAsia="cs-CZ"/>
              </w:rPr>
            </w:pPr>
            <w:r w:rsidRPr="003F1079">
              <w:rPr>
                <w:rFonts w:ascii="Calibri" w:eastAsia="Times New Roman" w:hAnsi="Calibri" w:cs="Calibri"/>
                <w:color w:val="000000"/>
                <w:sz w:val="18"/>
                <w:szCs w:val="18"/>
                <w:lang w:eastAsia="cs-CZ"/>
              </w:rPr>
              <w:t>Krajská příloha Národní RIS3 strategie za Zlínský kraj (Regionální inovační strategie)</w:t>
            </w:r>
          </w:p>
        </w:tc>
        <w:tc>
          <w:tcPr>
            <w:tcW w:w="2800" w:type="pct"/>
            <w:shd w:val="clear" w:color="auto" w:fill="auto"/>
            <w:hideMark/>
          </w:tcPr>
          <w:p w14:paraId="2AC04132" w14:textId="274547F8" w:rsidR="000C49A5" w:rsidRPr="00EE2AEF" w:rsidRDefault="000C49A5" w:rsidP="00F804DE">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Strategický dokument pro realizaci podpory konkurenceschopnosti založené na inovacích a maximalizaci hospodářských přínosů veřejných investic do výzkumu a vzdělávání. Definuje priority a</w:t>
            </w:r>
            <w:r w:rsidR="00F804DE">
              <w:rPr>
                <w:rFonts w:ascii="Calibri" w:eastAsia="Times New Roman" w:hAnsi="Calibri" w:cs="Calibri"/>
                <w:color w:val="000000"/>
                <w:sz w:val="18"/>
                <w:szCs w:val="18"/>
                <w:lang w:eastAsia="cs-CZ"/>
              </w:rPr>
              <w:t> </w:t>
            </w:r>
            <w:r w:rsidRPr="00EE2AEF">
              <w:rPr>
                <w:rFonts w:ascii="Calibri" w:eastAsia="Times New Roman" w:hAnsi="Calibri" w:cs="Calibri"/>
                <w:color w:val="000000"/>
                <w:sz w:val="18"/>
                <w:szCs w:val="18"/>
                <w:lang w:eastAsia="cs-CZ"/>
              </w:rPr>
              <w:t>nástroje k podpoře podnikání založeného na investicích</w:t>
            </w:r>
            <w:r>
              <w:rPr>
                <w:rFonts w:ascii="Calibri" w:eastAsia="Times New Roman" w:hAnsi="Calibri" w:cs="Calibri"/>
                <w:color w:val="000000"/>
                <w:sz w:val="18"/>
                <w:szCs w:val="18"/>
                <w:lang w:eastAsia="cs-CZ"/>
              </w:rPr>
              <w:t xml:space="preserve"> na území Zlínského kraje</w:t>
            </w:r>
            <w:r w:rsidRPr="00EE2AEF">
              <w:rPr>
                <w:rFonts w:ascii="Calibri" w:eastAsia="Times New Roman" w:hAnsi="Calibri" w:cs="Calibri"/>
                <w:color w:val="000000"/>
                <w:sz w:val="18"/>
                <w:szCs w:val="18"/>
                <w:lang w:eastAsia="cs-CZ"/>
              </w:rPr>
              <w:t>, a to v</w:t>
            </w:r>
            <w:r w:rsidR="00F804DE">
              <w:rPr>
                <w:rFonts w:ascii="Calibri" w:eastAsia="Times New Roman" w:hAnsi="Calibri" w:cs="Calibri"/>
                <w:color w:val="000000"/>
                <w:sz w:val="18"/>
                <w:szCs w:val="18"/>
                <w:lang w:eastAsia="cs-CZ"/>
              </w:rPr>
              <w:t> </w:t>
            </w:r>
            <w:r w:rsidRPr="00EE2AEF">
              <w:rPr>
                <w:rFonts w:ascii="Calibri" w:eastAsia="Times New Roman" w:hAnsi="Calibri" w:cs="Calibri"/>
                <w:color w:val="000000"/>
                <w:sz w:val="18"/>
                <w:szCs w:val="18"/>
                <w:lang w:eastAsia="cs-CZ"/>
              </w:rPr>
              <w:t>souladu</w:t>
            </w:r>
            <w:r w:rsidR="00F804DE">
              <w:rPr>
                <w:rFonts w:ascii="Calibri" w:eastAsia="Times New Roman" w:hAnsi="Calibri" w:cs="Calibri"/>
                <w:color w:val="000000"/>
                <w:sz w:val="18"/>
                <w:szCs w:val="18"/>
                <w:lang w:eastAsia="cs-CZ"/>
              </w:rPr>
              <w:t xml:space="preserve"> s</w:t>
            </w:r>
            <w:r w:rsidRPr="00EE2AEF">
              <w:rPr>
                <w:rFonts w:ascii="Calibri" w:eastAsia="Times New Roman" w:hAnsi="Calibri" w:cs="Calibri"/>
                <w:color w:val="000000"/>
                <w:sz w:val="18"/>
                <w:szCs w:val="18"/>
                <w:lang w:eastAsia="cs-CZ"/>
              </w:rPr>
              <w:t xml:space="preserve"> cíli Evropské unie a České republiky. </w:t>
            </w:r>
          </w:p>
        </w:tc>
      </w:tr>
      <w:tr w:rsidR="000C49A5" w:rsidRPr="00EE2AEF" w14:paraId="429498C4" w14:textId="77777777" w:rsidTr="000C49A5">
        <w:trPr>
          <w:cantSplit/>
          <w:trHeight w:val="20"/>
        </w:trPr>
        <w:tc>
          <w:tcPr>
            <w:tcW w:w="584" w:type="pct"/>
            <w:vMerge w:val="restart"/>
            <w:shd w:val="clear" w:color="auto" w:fill="auto"/>
            <w:textDirection w:val="btLr"/>
            <w:vAlign w:val="center"/>
            <w:hideMark/>
          </w:tcPr>
          <w:p w14:paraId="74B92CD2" w14:textId="77777777" w:rsidR="000C49A5" w:rsidRPr="00EE2AEF" w:rsidRDefault="000C49A5" w:rsidP="000C49A5">
            <w:pPr>
              <w:spacing w:before="0"/>
              <w:ind w:left="113" w:right="113"/>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Regionální</w:t>
            </w:r>
          </w:p>
        </w:tc>
        <w:tc>
          <w:tcPr>
            <w:tcW w:w="1616" w:type="pct"/>
            <w:shd w:val="clear" w:color="auto" w:fill="auto"/>
            <w:hideMark/>
          </w:tcPr>
          <w:p w14:paraId="7EF95E62" w14:textId="77777777" w:rsidR="000C49A5" w:rsidRPr="00EE2AEF" w:rsidRDefault="000C49A5" w:rsidP="000C49A5">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Zásady územního rozvoje Zlínského kraje</w:t>
            </w:r>
          </w:p>
        </w:tc>
        <w:tc>
          <w:tcPr>
            <w:tcW w:w="2800" w:type="pct"/>
            <w:shd w:val="clear" w:color="auto" w:fill="auto"/>
            <w:hideMark/>
          </w:tcPr>
          <w:p w14:paraId="3FA6DD99" w14:textId="36284C31" w:rsidR="000C49A5"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ZÚR</w:t>
            </w:r>
            <w:r w:rsidRPr="00EE2AEF">
              <w:rPr>
                <w:rFonts w:ascii="Calibri" w:eastAsia="Times New Roman" w:hAnsi="Calibri" w:cs="Calibri"/>
                <w:color w:val="000000"/>
                <w:sz w:val="18"/>
                <w:szCs w:val="18"/>
                <w:lang w:eastAsia="cs-CZ"/>
              </w:rPr>
              <w:t xml:space="preserve"> jsou součástí územně plánovací dokumentace, které stanovují požadavky na účelné a hospodárné uspořádání území kraje, plochy nebo koridory nadmístního významu včetně jejich využití. Náležitosti uvedené v ZÚR mohou b</w:t>
            </w:r>
            <w:r w:rsidR="00F804DE">
              <w:rPr>
                <w:rFonts w:ascii="Calibri" w:eastAsia="Times New Roman" w:hAnsi="Calibri" w:cs="Calibri"/>
                <w:color w:val="000000"/>
                <w:sz w:val="18"/>
                <w:szCs w:val="18"/>
                <w:lang w:eastAsia="cs-CZ"/>
              </w:rPr>
              <w:t>ý</w:t>
            </w:r>
            <w:r w:rsidRPr="00EE2AEF">
              <w:rPr>
                <w:rFonts w:ascii="Calibri" w:eastAsia="Times New Roman" w:hAnsi="Calibri" w:cs="Calibri"/>
                <w:color w:val="000000"/>
                <w:sz w:val="18"/>
                <w:szCs w:val="18"/>
                <w:lang w:eastAsia="cs-CZ"/>
              </w:rPr>
              <w:t>t bariérou pro plánované aktivity rozvoje města, pokud nejsou v souladu s využitím území uvedeným v ZÚR.</w:t>
            </w:r>
            <w:r>
              <w:rPr>
                <w:rFonts w:ascii="Calibri" w:eastAsia="Times New Roman" w:hAnsi="Calibri" w:cs="Calibri"/>
                <w:color w:val="000000"/>
                <w:sz w:val="18"/>
                <w:szCs w:val="18"/>
                <w:lang w:eastAsia="cs-CZ"/>
              </w:rPr>
              <w:t xml:space="preserve"> Pro rozvojovou oblast OB9 Zlín (viz PÚR) definuje dokument následující zásady pro rozhodování o změnách v území:</w:t>
            </w:r>
          </w:p>
          <w:p w14:paraId="7F900421" w14:textId="77777777" w:rsidR="000C49A5" w:rsidRPr="00022DC7" w:rsidRDefault="000C49A5" w:rsidP="00A55F7D">
            <w:pPr>
              <w:pStyle w:val="Odstavecseseznamem"/>
              <w:numPr>
                <w:ilvl w:val="0"/>
                <w:numId w:val="117"/>
              </w:numPr>
              <w:spacing w:before="0"/>
              <w:rPr>
                <w:rFonts w:ascii="Calibri" w:eastAsia="Times New Roman" w:hAnsi="Calibri" w:cs="Calibri"/>
                <w:color w:val="000000"/>
                <w:sz w:val="18"/>
                <w:szCs w:val="18"/>
                <w:lang w:eastAsia="cs-CZ"/>
              </w:rPr>
            </w:pPr>
            <w:r w:rsidRPr="00022DC7">
              <w:rPr>
                <w:rFonts w:ascii="Calibri" w:eastAsia="Times New Roman" w:hAnsi="Calibri" w:cs="Calibri"/>
                <w:color w:val="000000"/>
                <w:sz w:val="18"/>
                <w:szCs w:val="18"/>
                <w:lang w:eastAsia="cs-CZ"/>
              </w:rPr>
              <w:t>Podporovat kapacitní dopravní napojení OB9 na významné vnitrostátní silniční a železniční tahy a na Slovensko;</w:t>
            </w:r>
          </w:p>
          <w:p w14:paraId="52FB661D" w14:textId="69A66814" w:rsidR="000C49A5" w:rsidRPr="00022DC7" w:rsidRDefault="000C49A5" w:rsidP="00A55F7D">
            <w:pPr>
              <w:pStyle w:val="Odstavecseseznamem"/>
              <w:numPr>
                <w:ilvl w:val="0"/>
                <w:numId w:val="117"/>
              </w:numPr>
              <w:spacing w:before="0"/>
              <w:rPr>
                <w:rFonts w:ascii="Calibri" w:eastAsia="Times New Roman" w:hAnsi="Calibri" w:cs="Calibri"/>
                <w:color w:val="000000"/>
                <w:sz w:val="18"/>
                <w:szCs w:val="18"/>
                <w:lang w:eastAsia="cs-CZ"/>
              </w:rPr>
            </w:pPr>
            <w:r w:rsidRPr="00022DC7">
              <w:rPr>
                <w:rFonts w:ascii="Calibri" w:eastAsia="Times New Roman" w:hAnsi="Calibri" w:cs="Calibri"/>
                <w:color w:val="000000"/>
                <w:sz w:val="18"/>
                <w:szCs w:val="18"/>
                <w:lang w:eastAsia="cs-CZ"/>
              </w:rPr>
              <w:t>Podporovat přednostně rozvoj hospodářských a sociálních aktivit v prostoru Zlín – Otrokovice a v území Fryšták a</w:t>
            </w:r>
            <w:r w:rsidR="00F804DE">
              <w:rPr>
                <w:rFonts w:ascii="Calibri" w:eastAsia="Times New Roman" w:hAnsi="Calibri" w:cs="Calibri"/>
                <w:color w:val="000000"/>
                <w:sz w:val="18"/>
                <w:szCs w:val="18"/>
                <w:lang w:eastAsia="cs-CZ"/>
              </w:rPr>
              <w:t> </w:t>
            </w:r>
            <w:r w:rsidRPr="00022DC7">
              <w:rPr>
                <w:rFonts w:ascii="Calibri" w:eastAsia="Times New Roman" w:hAnsi="Calibri" w:cs="Calibri"/>
                <w:color w:val="000000"/>
                <w:sz w:val="18"/>
                <w:szCs w:val="18"/>
                <w:lang w:eastAsia="cs-CZ"/>
              </w:rPr>
              <w:t>Holešov</w:t>
            </w:r>
            <w:r>
              <w:rPr>
                <w:rFonts w:ascii="Calibri" w:eastAsia="Times New Roman" w:hAnsi="Calibri" w:cs="Calibri"/>
                <w:color w:val="000000"/>
                <w:sz w:val="18"/>
                <w:szCs w:val="18"/>
                <w:lang w:eastAsia="cs-CZ"/>
              </w:rPr>
              <w:t>;</w:t>
            </w:r>
          </w:p>
          <w:p w14:paraId="118957C1" w14:textId="08BCE1A0" w:rsidR="000C49A5" w:rsidRDefault="000C49A5" w:rsidP="00A55F7D">
            <w:pPr>
              <w:pStyle w:val="Odstavecseseznamem"/>
              <w:numPr>
                <w:ilvl w:val="0"/>
                <w:numId w:val="117"/>
              </w:numPr>
              <w:spacing w:before="0"/>
              <w:rPr>
                <w:rFonts w:ascii="Calibri" w:eastAsia="Times New Roman" w:hAnsi="Calibri" w:cs="Calibri"/>
                <w:color w:val="000000"/>
                <w:sz w:val="18"/>
                <w:szCs w:val="18"/>
                <w:lang w:eastAsia="cs-CZ"/>
              </w:rPr>
            </w:pPr>
            <w:r w:rsidRPr="00022DC7">
              <w:rPr>
                <w:rFonts w:ascii="Calibri" w:eastAsia="Times New Roman" w:hAnsi="Calibri" w:cs="Calibri"/>
                <w:color w:val="000000"/>
                <w:sz w:val="18"/>
                <w:szCs w:val="18"/>
                <w:lang w:eastAsia="cs-CZ"/>
              </w:rPr>
              <w:t>V přírod</w:t>
            </w:r>
            <w:r w:rsidR="0050092B">
              <w:rPr>
                <w:rFonts w:ascii="Calibri" w:eastAsia="Times New Roman" w:hAnsi="Calibri" w:cs="Calibri"/>
                <w:color w:val="000000"/>
                <w:sz w:val="18"/>
                <w:szCs w:val="18"/>
                <w:lang w:eastAsia="cs-CZ"/>
              </w:rPr>
              <w:t>n</w:t>
            </w:r>
            <w:r w:rsidRPr="00022DC7">
              <w:rPr>
                <w:rFonts w:ascii="Calibri" w:eastAsia="Times New Roman" w:hAnsi="Calibri" w:cs="Calibri"/>
                <w:color w:val="000000"/>
                <w:sz w:val="18"/>
                <w:szCs w:val="18"/>
                <w:lang w:eastAsia="cs-CZ"/>
              </w:rPr>
              <w:t>ě citlivém území Zlín – Vizovice věnovat zvláštní pozornost územně technickým a územně funkčním limitům rozvoje</w:t>
            </w:r>
            <w:r w:rsidR="0050092B">
              <w:rPr>
                <w:rFonts w:ascii="Calibri" w:eastAsia="Times New Roman" w:hAnsi="Calibri" w:cs="Calibri"/>
                <w:color w:val="000000"/>
                <w:sz w:val="18"/>
                <w:szCs w:val="18"/>
                <w:lang w:eastAsia="cs-CZ"/>
              </w:rPr>
              <w:t>;</w:t>
            </w:r>
          </w:p>
          <w:p w14:paraId="5CF84C32" w14:textId="77777777" w:rsidR="000C49A5"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a úkoly pro územní plánování:</w:t>
            </w:r>
          </w:p>
          <w:p w14:paraId="3C900623" w14:textId="14C83C0E" w:rsidR="000C49A5" w:rsidRDefault="000C49A5" w:rsidP="00A55F7D">
            <w:pPr>
              <w:pStyle w:val="Odstavecseseznamem"/>
              <w:numPr>
                <w:ilvl w:val="0"/>
                <w:numId w:val="118"/>
              </w:num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Řešit přednostně územní souvislosti zpřesnění ploch a</w:t>
            </w:r>
            <w:r w:rsidR="0050092B">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koridorů vymezených ZÚR v území OB9;</w:t>
            </w:r>
          </w:p>
          <w:p w14:paraId="7C483CBC" w14:textId="77777777" w:rsidR="000C49A5" w:rsidRPr="00CF17BD" w:rsidRDefault="000C49A5" w:rsidP="00A55F7D">
            <w:pPr>
              <w:pStyle w:val="Odstavecseseznamem"/>
              <w:numPr>
                <w:ilvl w:val="0"/>
                <w:numId w:val="118"/>
              </w:numPr>
              <w:spacing w:before="0"/>
              <w:rPr>
                <w:rFonts w:ascii="Calibri" w:eastAsia="Times New Roman" w:hAnsi="Calibri" w:cs="Calibri"/>
                <w:color w:val="000000"/>
                <w:sz w:val="18"/>
                <w:szCs w:val="18"/>
                <w:lang w:eastAsia="cs-CZ"/>
              </w:rPr>
            </w:pPr>
            <w:r w:rsidRPr="00CF17BD">
              <w:rPr>
                <w:rFonts w:ascii="Calibri" w:eastAsia="Times New Roman" w:hAnsi="Calibri" w:cs="Calibri"/>
                <w:color w:val="000000"/>
                <w:sz w:val="18"/>
                <w:szCs w:val="18"/>
                <w:lang w:eastAsia="cs-CZ"/>
              </w:rPr>
              <w:t>Prověřit rozsah zastavitelných ploch v území obcí dotčených vymezením OB9 a stanovit pravidla pro jejich využití;</w:t>
            </w:r>
          </w:p>
          <w:p w14:paraId="7A4EF832" w14:textId="1E79B831" w:rsidR="000C49A5" w:rsidRPr="00CF17BD" w:rsidRDefault="000C49A5" w:rsidP="0050092B">
            <w:pPr>
              <w:pStyle w:val="Odstavecseseznamem"/>
              <w:numPr>
                <w:ilvl w:val="0"/>
                <w:numId w:val="118"/>
              </w:numPr>
              <w:spacing w:before="0"/>
              <w:rPr>
                <w:rFonts w:ascii="Calibri" w:eastAsia="Times New Roman" w:hAnsi="Calibri" w:cs="Calibri"/>
                <w:color w:val="000000"/>
                <w:sz w:val="18"/>
                <w:szCs w:val="18"/>
                <w:lang w:eastAsia="cs-CZ"/>
              </w:rPr>
            </w:pPr>
            <w:r w:rsidRPr="00CF17BD">
              <w:rPr>
                <w:rFonts w:ascii="Calibri" w:eastAsia="Times New Roman" w:hAnsi="Calibri" w:cs="Calibri"/>
                <w:color w:val="000000"/>
                <w:sz w:val="18"/>
                <w:szCs w:val="18"/>
                <w:lang w:eastAsia="cs-CZ"/>
              </w:rPr>
              <w:t>Dbát na minimalizaci negativních vlivů rozvoje (prostorová sociální segregace, fragmentace krajiny, nově vymezenými zastavitelnými plochami) na kulturní a</w:t>
            </w:r>
            <w:r w:rsidR="0050092B">
              <w:rPr>
                <w:rFonts w:ascii="Calibri" w:eastAsia="Times New Roman" w:hAnsi="Calibri" w:cs="Calibri"/>
                <w:color w:val="000000"/>
                <w:sz w:val="18"/>
                <w:szCs w:val="18"/>
                <w:lang w:eastAsia="cs-CZ"/>
              </w:rPr>
              <w:t> </w:t>
            </w:r>
            <w:r w:rsidRPr="00CF17BD">
              <w:rPr>
                <w:rFonts w:ascii="Calibri" w:eastAsia="Times New Roman" w:hAnsi="Calibri" w:cs="Calibri"/>
                <w:color w:val="000000"/>
                <w:sz w:val="18"/>
                <w:szCs w:val="18"/>
                <w:lang w:eastAsia="cs-CZ"/>
              </w:rPr>
              <w:t>civilizační hodnoty území OB9, včetně urbanistického a</w:t>
            </w:r>
            <w:r w:rsidR="0050092B">
              <w:rPr>
                <w:rFonts w:ascii="Calibri" w:eastAsia="Times New Roman" w:hAnsi="Calibri" w:cs="Calibri"/>
                <w:color w:val="000000"/>
                <w:sz w:val="18"/>
                <w:szCs w:val="18"/>
                <w:lang w:eastAsia="cs-CZ"/>
              </w:rPr>
              <w:t> </w:t>
            </w:r>
            <w:r w:rsidRPr="00CF17BD">
              <w:rPr>
                <w:rFonts w:ascii="Calibri" w:eastAsia="Times New Roman" w:hAnsi="Calibri" w:cs="Calibri"/>
                <w:color w:val="000000"/>
                <w:sz w:val="18"/>
                <w:szCs w:val="18"/>
                <w:lang w:eastAsia="cs-CZ"/>
              </w:rPr>
              <w:t>archeologického dědictví, na jeho přírodní a krajinné hodnoty a na dostatečné zastoupení veřejné zeleně v jeho urbanizovaných částech.</w:t>
            </w:r>
          </w:p>
        </w:tc>
      </w:tr>
      <w:tr w:rsidR="000C49A5" w:rsidRPr="00EE2AEF" w14:paraId="664A1F73" w14:textId="77777777" w:rsidTr="000C49A5">
        <w:trPr>
          <w:cantSplit/>
          <w:trHeight w:val="20"/>
        </w:trPr>
        <w:tc>
          <w:tcPr>
            <w:tcW w:w="584" w:type="pct"/>
            <w:vMerge/>
            <w:shd w:val="clear" w:color="auto" w:fill="auto"/>
            <w:vAlign w:val="center"/>
            <w:hideMark/>
          </w:tcPr>
          <w:p w14:paraId="59B561C1"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1E741F0E" w14:textId="7E9B9EC1" w:rsidR="000C49A5" w:rsidRPr="00EE2AEF" w:rsidRDefault="000C49A5" w:rsidP="0050092B">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 xml:space="preserve">Střednědobý plán rozvoje sociálních služeb ve Zlínském kraji pro období 2020 </w:t>
            </w:r>
            <w:r w:rsidR="0050092B">
              <w:rPr>
                <w:rFonts w:ascii="Calibri" w:eastAsia="Times New Roman" w:hAnsi="Calibri" w:cs="Calibri"/>
                <w:color w:val="000000"/>
                <w:sz w:val="18"/>
                <w:szCs w:val="18"/>
                <w:lang w:eastAsia="cs-CZ"/>
              </w:rPr>
              <w:sym w:font="Symbol" w:char="F02D"/>
            </w:r>
            <w:r w:rsidRPr="00EE2AEF">
              <w:rPr>
                <w:rFonts w:ascii="Calibri" w:eastAsia="Times New Roman" w:hAnsi="Calibri" w:cs="Calibri"/>
                <w:color w:val="000000"/>
                <w:sz w:val="18"/>
                <w:szCs w:val="18"/>
                <w:lang w:eastAsia="cs-CZ"/>
              </w:rPr>
              <w:t xml:space="preserve"> 2022</w:t>
            </w:r>
          </w:p>
        </w:tc>
        <w:tc>
          <w:tcPr>
            <w:tcW w:w="2800" w:type="pct"/>
            <w:shd w:val="clear" w:color="auto" w:fill="auto"/>
            <w:hideMark/>
          </w:tcPr>
          <w:p w14:paraId="67D80BD0" w14:textId="756C33D9" w:rsidR="000C49A5" w:rsidRPr="00EE2AEF" w:rsidRDefault="000C49A5" w:rsidP="00F84A63">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 xml:space="preserve">Strategický dokument Zlínského kraje pro oblast poskytování sociálních služeb. Jednou ze systémových priorit tohoto dokumentu je také </w:t>
            </w:r>
            <w:r w:rsidR="00F84A63">
              <w:rPr>
                <w:rFonts w:ascii="Calibri" w:eastAsia="Times New Roman" w:hAnsi="Calibri" w:cs="Calibri"/>
                <w:color w:val="000000"/>
                <w:sz w:val="18"/>
                <w:szCs w:val="18"/>
                <w:lang w:eastAsia="cs-CZ"/>
              </w:rPr>
              <w:t xml:space="preserve">2) </w:t>
            </w:r>
            <w:r w:rsidRPr="00EE2AEF">
              <w:rPr>
                <w:rFonts w:ascii="Calibri" w:eastAsia="Times New Roman" w:hAnsi="Calibri" w:cs="Calibri"/>
                <w:color w:val="000000"/>
                <w:sz w:val="18"/>
                <w:szCs w:val="18"/>
                <w:lang w:eastAsia="cs-CZ"/>
              </w:rPr>
              <w:t>Vytvoření rámce pro zapojení obcí při zjišťování potřeb osob daného území. Dokument v rámci všech svých priorit stanovuje cíle sociální politiky a je nutné, aby tyto cíle byly brány v potaz při strategickém plánování obcí.</w:t>
            </w:r>
          </w:p>
        </w:tc>
      </w:tr>
      <w:tr w:rsidR="000C49A5" w:rsidRPr="00EE2AEF" w14:paraId="2BB70BFF" w14:textId="77777777" w:rsidTr="000C49A5">
        <w:trPr>
          <w:cantSplit/>
          <w:trHeight w:val="20"/>
        </w:trPr>
        <w:tc>
          <w:tcPr>
            <w:tcW w:w="584" w:type="pct"/>
            <w:vMerge/>
            <w:shd w:val="clear" w:color="auto" w:fill="auto"/>
            <w:vAlign w:val="center"/>
          </w:tcPr>
          <w:p w14:paraId="44A56667"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tcPr>
          <w:p w14:paraId="18565F47" w14:textId="77777777" w:rsidR="000C49A5" w:rsidRPr="00EE2AEF"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Koncepce rozvoje kolejové dopravy Zlínského kraje</w:t>
            </w:r>
          </w:p>
        </w:tc>
        <w:tc>
          <w:tcPr>
            <w:tcW w:w="2800" w:type="pct"/>
            <w:shd w:val="clear" w:color="auto" w:fill="auto"/>
          </w:tcPr>
          <w:p w14:paraId="4491E2D0" w14:textId="77777777" w:rsidR="000C49A5" w:rsidRPr="00EE2AEF" w:rsidRDefault="000C49A5" w:rsidP="000C49A5">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Dokument detekující v rámci analytické části problémy kolejové dopravy, a to včetně návrhu infrastrukturních a provozních opatření. V rámci strategie Zlín 2030 je potřeba zajistit soulad s případnými opatřeními návrhové části v této oblasti.</w:t>
            </w:r>
          </w:p>
        </w:tc>
      </w:tr>
      <w:tr w:rsidR="000C49A5" w:rsidRPr="00EE2AEF" w14:paraId="121D7E39" w14:textId="77777777" w:rsidTr="000C49A5">
        <w:trPr>
          <w:cantSplit/>
          <w:trHeight w:val="20"/>
        </w:trPr>
        <w:tc>
          <w:tcPr>
            <w:tcW w:w="584" w:type="pct"/>
            <w:vMerge/>
            <w:shd w:val="clear" w:color="auto" w:fill="auto"/>
            <w:vAlign w:val="center"/>
          </w:tcPr>
          <w:p w14:paraId="28540596"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tcPr>
          <w:p w14:paraId="3A671E10" w14:textId="77777777" w:rsidR="000C49A5" w:rsidRPr="00EE2AEF"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Krajský akční plán rozvoje vzdělávání pro území Zlínského kraje</w:t>
            </w:r>
          </w:p>
        </w:tc>
        <w:tc>
          <w:tcPr>
            <w:tcW w:w="2800" w:type="pct"/>
            <w:shd w:val="clear" w:color="auto" w:fill="auto"/>
          </w:tcPr>
          <w:p w14:paraId="20F92C19" w14:textId="5DE6598E" w:rsidR="000C49A5" w:rsidRPr="00EE2AEF" w:rsidRDefault="000C49A5" w:rsidP="0050092B">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 xml:space="preserve">Dokument stanovující </w:t>
            </w:r>
            <w:r w:rsidRPr="00343D6A">
              <w:rPr>
                <w:rFonts w:ascii="Calibri" w:eastAsia="Times New Roman" w:hAnsi="Calibri" w:cs="Calibri"/>
                <w:color w:val="000000"/>
                <w:sz w:val="18"/>
                <w:szCs w:val="18"/>
                <w:lang w:eastAsia="cs-CZ"/>
              </w:rPr>
              <w:t>priority a jednotlivé kroky vedoucí k dosažení cílů vzdělávací politiky na území Zlínského kraje na základě potřebnosti, naléhavosti a přínosů.</w:t>
            </w:r>
            <w:r>
              <w:rPr>
                <w:rFonts w:ascii="Calibri" w:eastAsia="Times New Roman" w:hAnsi="Calibri" w:cs="Calibri"/>
                <w:color w:val="000000"/>
                <w:sz w:val="18"/>
                <w:szCs w:val="18"/>
                <w:lang w:eastAsia="cs-CZ"/>
              </w:rPr>
              <w:t xml:space="preserve"> V rámci analytické části definuje potřeby v území včetně statutárního města Zlína a škol na jeho území, v rámci návrhové části pak přináší řešení pro tyto potřeby a</w:t>
            </w:r>
            <w:r w:rsidR="0050092B">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problémy. V rámci tvorby návrhové části strategie Zlín 2030 je nutné identifkovat případné potřeby a řešení vycházející z KAP, které lze potenciálně řešit na úrovni strategického plánování města.</w:t>
            </w:r>
          </w:p>
        </w:tc>
      </w:tr>
      <w:tr w:rsidR="000C49A5" w:rsidRPr="00EE2AEF" w14:paraId="2C86EE91" w14:textId="77777777" w:rsidTr="000C49A5">
        <w:trPr>
          <w:cantSplit/>
          <w:trHeight w:val="20"/>
        </w:trPr>
        <w:tc>
          <w:tcPr>
            <w:tcW w:w="584" w:type="pct"/>
            <w:vMerge/>
            <w:shd w:val="clear" w:color="auto" w:fill="auto"/>
            <w:vAlign w:val="center"/>
          </w:tcPr>
          <w:p w14:paraId="107FFA98"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tcPr>
          <w:p w14:paraId="18BD614D" w14:textId="77777777" w:rsidR="000C49A5" w:rsidRDefault="000C49A5" w:rsidP="000C49A5">
            <w:pPr>
              <w:spacing w:before="0"/>
              <w:jc w:val="left"/>
              <w:rPr>
                <w:rFonts w:ascii="Calibri" w:eastAsia="Times New Roman" w:hAnsi="Calibri" w:cs="Calibri"/>
                <w:color w:val="000000"/>
                <w:sz w:val="18"/>
                <w:szCs w:val="18"/>
                <w:lang w:eastAsia="cs-CZ"/>
              </w:rPr>
            </w:pPr>
            <w:r w:rsidRPr="007F2C74">
              <w:rPr>
                <w:rFonts w:ascii="Calibri" w:eastAsia="Times New Roman" w:hAnsi="Calibri" w:cs="Calibri"/>
                <w:color w:val="000000"/>
                <w:sz w:val="18"/>
                <w:szCs w:val="18"/>
                <w:lang w:eastAsia="cs-CZ"/>
              </w:rPr>
              <w:t>Koncepce rozvoje</w:t>
            </w:r>
            <w:r>
              <w:rPr>
                <w:rFonts w:ascii="Calibri" w:eastAsia="Times New Roman" w:hAnsi="Calibri" w:cs="Calibri"/>
                <w:color w:val="000000"/>
                <w:sz w:val="18"/>
                <w:szCs w:val="18"/>
                <w:lang w:eastAsia="cs-CZ"/>
              </w:rPr>
              <w:t xml:space="preserve"> c</w:t>
            </w:r>
            <w:r w:rsidRPr="007F2C74">
              <w:rPr>
                <w:rFonts w:ascii="Calibri" w:eastAsia="Times New Roman" w:hAnsi="Calibri" w:cs="Calibri"/>
                <w:color w:val="000000"/>
                <w:sz w:val="18"/>
                <w:szCs w:val="18"/>
                <w:lang w:eastAsia="cs-CZ"/>
              </w:rPr>
              <w:t>yklistiky na území</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Zlínského kraje</w:t>
            </w:r>
          </w:p>
        </w:tc>
        <w:tc>
          <w:tcPr>
            <w:tcW w:w="2800" w:type="pct"/>
            <w:shd w:val="clear" w:color="auto" w:fill="auto"/>
          </w:tcPr>
          <w:p w14:paraId="344A96C6" w14:textId="6586D048" w:rsidR="000C49A5" w:rsidRDefault="000C49A5" w:rsidP="0050092B">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Cílem dokumentu</w:t>
            </w:r>
            <w:r w:rsidR="0050092B">
              <w:rPr>
                <w:rFonts w:ascii="Calibri" w:eastAsia="Times New Roman" w:hAnsi="Calibri" w:cs="Calibri"/>
                <w:color w:val="000000"/>
                <w:sz w:val="18"/>
                <w:szCs w:val="18"/>
                <w:lang w:eastAsia="cs-CZ"/>
              </w:rPr>
              <w:t xml:space="preserve"> je</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podporovat rozvoj cyklistické dopravy a</w:t>
            </w:r>
            <w:r w:rsidR="0050092B">
              <w:rPr>
                <w:rFonts w:ascii="Calibri" w:eastAsia="Times New Roman" w:hAnsi="Calibri" w:cs="Calibri"/>
                <w:color w:val="000000"/>
                <w:sz w:val="18"/>
                <w:szCs w:val="18"/>
                <w:lang w:eastAsia="cs-CZ"/>
              </w:rPr>
              <w:t> </w:t>
            </w:r>
            <w:r w:rsidRPr="007F2C74">
              <w:rPr>
                <w:rFonts w:ascii="Calibri" w:eastAsia="Times New Roman" w:hAnsi="Calibri" w:cs="Calibri"/>
                <w:color w:val="000000"/>
                <w:sz w:val="18"/>
                <w:szCs w:val="18"/>
                <w:lang w:eastAsia="cs-CZ"/>
              </w:rPr>
              <w:t>cykloturistiky</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na území Zlínského kraje. Základním smyslem a</w:t>
            </w:r>
            <w:r w:rsidR="0050092B">
              <w:rPr>
                <w:rFonts w:ascii="Calibri" w:eastAsia="Times New Roman" w:hAnsi="Calibri" w:cs="Calibri"/>
                <w:color w:val="000000"/>
                <w:sz w:val="18"/>
                <w:szCs w:val="18"/>
                <w:lang w:eastAsia="cs-CZ"/>
              </w:rPr>
              <w:t> </w:t>
            </w:r>
            <w:r w:rsidRPr="007F2C74">
              <w:rPr>
                <w:rFonts w:ascii="Calibri" w:eastAsia="Times New Roman" w:hAnsi="Calibri" w:cs="Calibri"/>
                <w:color w:val="000000"/>
                <w:sz w:val="18"/>
                <w:szCs w:val="18"/>
                <w:lang w:eastAsia="cs-CZ"/>
              </w:rPr>
              <w:t>zaměřením Koncepce je analyzovat stav a potřeby</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cyklodopravy a</w:t>
            </w:r>
            <w:r w:rsidR="0050092B">
              <w:rPr>
                <w:rFonts w:ascii="Calibri" w:eastAsia="Times New Roman" w:hAnsi="Calibri" w:cs="Calibri"/>
                <w:color w:val="000000"/>
                <w:sz w:val="18"/>
                <w:szCs w:val="18"/>
                <w:lang w:eastAsia="cs-CZ"/>
              </w:rPr>
              <w:t> </w:t>
            </w:r>
            <w:r w:rsidRPr="007F2C74">
              <w:rPr>
                <w:rFonts w:ascii="Calibri" w:eastAsia="Times New Roman" w:hAnsi="Calibri" w:cs="Calibri"/>
                <w:color w:val="000000"/>
                <w:sz w:val="18"/>
                <w:szCs w:val="18"/>
                <w:lang w:eastAsia="cs-CZ"/>
              </w:rPr>
              <w:t>cykloturistiky na území kraje včetně zjištění aktuálního stavu sítě cyklistických tras</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a</w:t>
            </w:r>
            <w:r>
              <w:rPr>
                <w:rFonts w:ascii="Calibri" w:eastAsia="Times New Roman" w:hAnsi="Calibri" w:cs="Calibri"/>
                <w:color w:val="000000"/>
                <w:sz w:val="18"/>
                <w:szCs w:val="18"/>
                <w:lang w:eastAsia="cs-CZ"/>
              </w:rPr>
              <w:t xml:space="preserve"> cyklistických komunikací</w:t>
            </w:r>
            <w:r w:rsidRPr="007F2C74">
              <w:rPr>
                <w:rFonts w:ascii="Calibri" w:eastAsia="Times New Roman" w:hAnsi="Calibri" w:cs="Calibri"/>
                <w:color w:val="000000"/>
                <w:sz w:val="18"/>
                <w:szCs w:val="18"/>
                <w:lang w:eastAsia="cs-CZ"/>
              </w:rPr>
              <w:t xml:space="preserve"> a</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navrhnout optimalizaci a kategorizaci sítě dálkových a regionálních cyklotras a</w:t>
            </w:r>
            <w:r w:rsidR="0050092B">
              <w:rPr>
                <w:rFonts w:ascii="Calibri" w:eastAsia="Times New Roman" w:hAnsi="Calibri" w:cs="Calibri"/>
                <w:color w:val="000000"/>
                <w:sz w:val="18"/>
                <w:szCs w:val="18"/>
                <w:lang w:eastAsia="cs-CZ"/>
              </w:rPr>
              <w:t> </w:t>
            </w:r>
            <w:r w:rsidRPr="007F2C74">
              <w:rPr>
                <w:rFonts w:ascii="Calibri" w:eastAsia="Times New Roman" w:hAnsi="Calibri" w:cs="Calibri"/>
                <w:color w:val="000000"/>
                <w:sz w:val="18"/>
                <w:szCs w:val="18"/>
                <w:lang w:eastAsia="cs-CZ"/>
              </w:rPr>
              <w:t>dále navrhnout</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krátkodobá a dlouhodobá řešení, která povedou ke zlepšení a dalšímu posilování pozice</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cyklistiky v obou základních směrech.</w:t>
            </w:r>
            <w:r>
              <w:rPr>
                <w:rFonts w:ascii="Calibri" w:eastAsia="Times New Roman" w:hAnsi="Calibri" w:cs="Calibri"/>
                <w:color w:val="000000"/>
                <w:sz w:val="18"/>
                <w:szCs w:val="18"/>
                <w:lang w:eastAsia="cs-CZ"/>
              </w:rPr>
              <w:t xml:space="preserve"> </w:t>
            </w:r>
            <w:r w:rsidRPr="007F2C74">
              <w:rPr>
                <w:rFonts w:ascii="Calibri" w:eastAsia="Times New Roman" w:hAnsi="Calibri" w:cs="Calibri"/>
                <w:color w:val="000000"/>
                <w:sz w:val="18"/>
                <w:szCs w:val="18"/>
                <w:lang w:eastAsia="cs-CZ"/>
              </w:rPr>
              <w:t xml:space="preserve">V rámci tvorby návrhové části strategie Zlín 2030 je nutné identifkovat případné </w:t>
            </w:r>
            <w:r>
              <w:rPr>
                <w:rFonts w:ascii="Calibri" w:eastAsia="Times New Roman" w:hAnsi="Calibri" w:cs="Calibri"/>
                <w:color w:val="000000"/>
                <w:sz w:val="18"/>
                <w:szCs w:val="18"/>
                <w:lang w:eastAsia="cs-CZ"/>
              </w:rPr>
              <w:t>potřeby a řešení vycházející z koncepce rozvoje cykloturistiky</w:t>
            </w:r>
            <w:r w:rsidRPr="007F2C74">
              <w:rPr>
                <w:rFonts w:ascii="Calibri" w:eastAsia="Times New Roman" w:hAnsi="Calibri" w:cs="Calibri"/>
                <w:color w:val="000000"/>
                <w:sz w:val="18"/>
                <w:szCs w:val="18"/>
                <w:lang w:eastAsia="cs-CZ"/>
              </w:rPr>
              <w:t>, které lze potenciálně řešit na úrovni strategického plánování města.</w:t>
            </w:r>
          </w:p>
        </w:tc>
      </w:tr>
      <w:tr w:rsidR="000C49A5" w:rsidRPr="00EE2AEF" w14:paraId="4C64901B" w14:textId="77777777" w:rsidTr="000C49A5">
        <w:trPr>
          <w:cantSplit/>
          <w:trHeight w:val="1134"/>
        </w:trPr>
        <w:tc>
          <w:tcPr>
            <w:tcW w:w="584" w:type="pct"/>
            <w:vMerge w:val="restart"/>
            <w:shd w:val="clear" w:color="auto" w:fill="auto"/>
            <w:textDirection w:val="btLr"/>
            <w:vAlign w:val="center"/>
          </w:tcPr>
          <w:p w14:paraId="4F7AF2D6" w14:textId="77777777" w:rsidR="000C49A5" w:rsidRPr="00EE2AEF" w:rsidRDefault="000C49A5" w:rsidP="000C49A5">
            <w:pPr>
              <w:spacing w:before="0"/>
              <w:ind w:left="113" w:right="113"/>
              <w:jc w:val="center"/>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Regionální</w:t>
            </w:r>
          </w:p>
        </w:tc>
        <w:tc>
          <w:tcPr>
            <w:tcW w:w="1616" w:type="pct"/>
            <w:shd w:val="clear" w:color="auto" w:fill="auto"/>
          </w:tcPr>
          <w:p w14:paraId="3AC2E47E" w14:textId="77777777" w:rsidR="000C49A5" w:rsidRPr="007F2C74" w:rsidRDefault="000C49A5" w:rsidP="000C49A5">
            <w:pPr>
              <w:spacing w:before="0"/>
              <w:jc w:val="left"/>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Koncepce rozvoje silniční sítě II. a III. tříd Zlínského kraje</w:t>
            </w:r>
          </w:p>
        </w:tc>
        <w:tc>
          <w:tcPr>
            <w:tcW w:w="2800" w:type="pct"/>
            <w:shd w:val="clear" w:color="auto" w:fill="auto"/>
          </w:tcPr>
          <w:p w14:paraId="61C48D10" w14:textId="530E1087" w:rsidR="000C49A5" w:rsidRDefault="000C49A5" w:rsidP="0050092B">
            <w:pPr>
              <w:spacing w:before="0"/>
              <w:rPr>
                <w:rFonts w:ascii="Calibri" w:eastAsia="Times New Roman" w:hAnsi="Calibri" w:cs="Calibri"/>
                <w:color w:val="000000"/>
                <w:sz w:val="18"/>
                <w:szCs w:val="18"/>
                <w:lang w:eastAsia="cs-CZ"/>
              </w:rPr>
            </w:pPr>
            <w:r>
              <w:rPr>
                <w:rFonts w:ascii="Calibri" w:eastAsia="Times New Roman" w:hAnsi="Calibri" w:cs="Calibri"/>
                <w:color w:val="000000"/>
                <w:sz w:val="18"/>
                <w:szCs w:val="18"/>
                <w:lang w:eastAsia="cs-CZ"/>
              </w:rPr>
              <w:t>Dokument představuje širší výběr aktuálních investičních a</w:t>
            </w:r>
            <w:r w:rsidR="0050092B">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neinvestičních záměrů v oblasti silniční sítě na území kraje. Plánované záměr</w:t>
            </w:r>
            <w:r w:rsidR="0050092B">
              <w:rPr>
                <w:rFonts w:ascii="Calibri" w:eastAsia="Times New Roman" w:hAnsi="Calibri" w:cs="Calibri"/>
                <w:color w:val="000000"/>
                <w:sz w:val="18"/>
                <w:szCs w:val="18"/>
                <w:lang w:eastAsia="cs-CZ"/>
              </w:rPr>
              <w:t>y</w:t>
            </w:r>
            <w:r>
              <w:rPr>
                <w:rFonts w:ascii="Calibri" w:eastAsia="Times New Roman" w:hAnsi="Calibri" w:cs="Calibri"/>
                <w:color w:val="000000"/>
                <w:sz w:val="18"/>
                <w:szCs w:val="18"/>
                <w:lang w:eastAsia="cs-CZ"/>
              </w:rPr>
              <w:t xml:space="preserve"> je nutné zohlednit při plánování v oblasti komplexního řešení dopravy na území města (hlavní důraz bude kladen v rámci plánu udržitelné městské mobility, nicméně jde také o</w:t>
            </w:r>
            <w:r w:rsidR="0050092B">
              <w:rPr>
                <w:rFonts w:ascii="Calibri" w:eastAsia="Times New Roman" w:hAnsi="Calibri" w:cs="Calibri"/>
                <w:color w:val="000000"/>
                <w:sz w:val="18"/>
                <w:szCs w:val="18"/>
                <w:lang w:eastAsia="cs-CZ"/>
              </w:rPr>
              <w:t> </w:t>
            </w:r>
            <w:r>
              <w:rPr>
                <w:rFonts w:ascii="Calibri" w:eastAsia="Times New Roman" w:hAnsi="Calibri" w:cs="Calibri"/>
                <w:color w:val="000000"/>
                <w:sz w:val="18"/>
                <w:szCs w:val="18"/>
                <w:lang w:eastAsia="cs-CZ"/>
              </w:rPr>
              <w:t xml:space="preserve">potenciální důležité téma v rámci strategie Zlín </w:t>
            </w:r>
            <w:r w:rsidR="00F84A63">
              <w:rPr>
                <w:rFonts w:ascii="Calibri" w:eastAsia="Times New Roman" w:hAnsi="Calibri" w:cs="Calibri"/>
                <w:color w:val="000000"/>
                <w:sz w:val="18"/>
                <w:szCs w:val="18"/>
                <w:lang w:eastAsia="cs-CZ"/>
              </w:rPr>
              <w:t>20</w:t>
            </w:r>
            <w:r>
              <w:rPr>
                <w:rFonts w:ascii="Calibri" w:eastAsia="Times New Roman" w:hAnsi="Calibri" w:cs="Calibri"/>
                <w:color w:val="000000"/>
                <w:sz w:val="18"/>
                <w:szCs w:val="18"/>
                <w:lang w:eastAsia="cs-CZ"/>
              </w:rPr>
              <w:t>30).</w:t>
            </w:r>
          </w:p>
        </w:tc>
      </w:tr>
      <w:tr w:rsidR="000C49A5" w:rsidRPr="00EE2AEF" w14:paraId="15ED5289" w14:textId="77777777" w:rsidTr="000C49A5">
        <w:trPr>
          <w:cantSplit/>
          <w:trHeight w:val="20"/>
        </w:trPr>
        <w:tc>
          <w:tcPr>
            <w:tcW w:w="584" w:type="pct"/>
            <w:vMerge/>
            <w:shd w:val="clear" w:color="auto" w:fill="auto"/>
            <w:textDirection w:val="btLr"/>
            <w:vAlign w:val="center"/>
            <w:hideMark/>
          </w:tcPr>
          <w:p w14:paraId="48F927DC" w14:textId="77777777" w:rsidR="000C49A5" w:rsidRPr="00EE2AEF" w:rsidRDefault="000C49A5" w:rsidP="000C49A5">
            <w:pPr>
              <w:spacing w:before="0"/>
              <w:ind w:left="113" w:right="113"/>
              <w:jc w:val="center"/>
              <w:rPr>
                <w:rFonts w:ascii="Calibri" w:eastAsia="Times New Roman" w:hAnsi="Calibri" w:cs="Calibri"/>
                <w:color w:val="000000"/>
                <w:sz w:val="18"/>
                <w:szCs w:val="18"/>
                <w:lang w:eastAsia="cs-CZ"/>
              </w:rPr>
            </w:pPr>
          </w:p>
        </w:tc>
        <w:tc>
          <w:tcPr>
            <w:tcW w:w="1616" w:type="pct"/>
            <w:shd w:val="clear" w:color="auto" w:fill="auto"/>
            <w:vAlign w:val="center"/>
            <w:hideMark/>
          </w:tcPr>
          <w:p w14:paraId="197B0AC6" w14:textId="62518FF0" w:rsidR="000C49A5" w:rsidRPr="00EE2AEF" w:rsidRDefault="000C49A5" w:rsidP="0050092B">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Koncepce rodinné a seniorské politiky pro období 2020</w:t>
            </w:r>
            <w:r w:rsidR="0050092B">
              <w:rPr>
                <w:rFonts w:ascii="Calibri" w:eastAsia="Times New Roman" w:hAnsi="Calibri" w:cs="Calibri"/>
                <w:color w:val="000000"/>
                <w:sz w:val="18"/>
                <w:szCs w:val="18"/>
                <w:lang w:eastAsia="cs-CZ"/>
              </w:rPr>
              <w:t xml:space="preserve"> </w:t>
            </w:r>
            <w:r w:rsidR="0050092B">
              <w:rPr>
                <w:rFonts w:ascii="Calibri" w:eastAsia="Times New Roman" w:hAnsi="Calibri" w:cs="Calibri"/>
                <w:color w:val="000000"/>
                <w:sz w:val="18"/>
                <w:szCs w:val="18"/>
                <w:lang w:eastAsia="cs-CZ"/>
              </w:rPr>
              <w:sym w:font="Symbol" w:char="F02D"/>
            </w:r>
            <w:r w:rsidR="0050092B">
              <w:rPr>
                <w:rFonts w:ascii="Calibri" w:eastAsia="Times New Roman" w:hAnsi="Calibri" w:cs="Calibri"/>
                <w:color w:val="000000"/>
                <w:sz w:val="18"/>
                <w:szCs w:val="18"/>
                <w:lang w:eastAsia="cs-CZ"/>
              </w:rPr>
              <w:t xml:space="preserve"> </w:t>
            </w:r>
            <w:r w:rsidRPr="00EE2AEF">
              <w:rPr>
                <w:rFonts w:ascii="Calibri" w:eastAsia="Times New Roman" w:hAnsi="Calibri" w:cs="Calibri"/>
                <w:color w:val="000000"/>
                <w:sz w:val="18"/>
                <w:szCs w:val="18"/>
                <w:lang w:eastAsia="cs-CZ"/>
              </w:rPr>
              <w:t>2022</w:t>
            </w:r>
          </w:p>
        </w:tc>
        <w:tc>
          <w:tcPr>
            <w:tcW w:w="2800" w:type="pct"/>
            <w:shd w:val="clear" w:color="auto" w:fill="auto"/>
            <w:vAlign w:val="center"/>
            <w:hideMark/>
          </w:tcPr>
          <w:p w14:paraId="20591E54" w14:textId="77777777" w:rsidR="000C49A5" w:rsidRPr="00EE2AEF" w:rsidRDefault="000C49A5" w:rsidP="000C49A5">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Koncepční dokument, zaměřený na řešení rodinné a seniorské politiky na území Zlínského kraje. Obce na území Zlínského kraje jsou cílovou skupinou, která je v dokumentu explicitně zmíněna jako cílová skupina, se kterou je nutné spolupracovat v rámci řešení krajské seniorské a rodinné politiky. Při strategickém plánování města Zlína by tak měla být reflektována také krajská rodinná politika.</w:t>
            </w:r>
          </w:p>
        </w:tc>
      </w:tr>
      <w:tr w:rsidR="000C49A5" w:rsidRPr="00EE2AEF" w14:paraId="33AB842D" w14:textId="77777777" w:rsidTr="000C49A5">
        <w:trPr>
          <w:cantSplit/>
          <w:trHeight w:val="20"/>
        </w:trPr>
        <w:tc>
          <w:tcPr>
            <w:tcW w:w="584" w:type="pct"/>
            <w:vMerge/>
            <w:shd w:val="clear" w:color="auto" w:fill="auto"/>
            <w:vAlign w:val="center"/>
            <w:hideMark/>
          </w:tcPr>
          <w:p w14:paraId="4C841953"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02CC70E7" w14:textId="584325FC" w:rsidR="000C49A5" w:rsidRPr="00EE2AEF" w:rsidRDefault="000C49A5" w:rsidP="0050092B">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 xml:space="preserve">Koncepce vývoje sociálních služeb ve Zlínském kraji 2020 </w:t>
            </w:r>
            <w:r w:rsidR="0050092B">
              <w:rPr>
                <w:rFonts w:ascii="Calibri" w:eastAsia="Times New Roman" w:hAnsi="Calibri" w:cs="Calibri"/>
                <w:color w:val="000000"/>
                <w:sz w:val="18"/>
                <w:szCs w:val="18"/>
                <w:lang w:eastAsia="cs-CZ"/>
              </w:rPr>
              <w:sym w:font="Symbol" w:char="F02D"/>
            </w:r>
            <w:r w:rsidRPr="00EE2AEF">
              <w:rPr>
                <w:rFonts w:ascii="Calibri" w:eastAsia="Times New Roman" w:hAnsi="Calibri" w:cs="Calibri"/>
                <w:color w:val="000000"/>
                <w:sz w:val="18"/>
                <w:szCs w:val="18"/>
                <w:lang w:eastAsia="cs-CZ"/>
              </w:rPr>
              <w:t xml:space="preserve"> 2030</w:t>
            </w:r>
          </w:p>
        </w:tc>
        <w:tc>
          <w:tcPr>
            <w:tcW w:w="2800" w:type="pct"/>
            <w:shd w:val="clear" w:color="auto" w:fill="auto"/>
            <w:hideMark/>
          </w:tcPr>
          <w:p w14:paraId="78140909" w14:textId="6AF95640" w:rsidR="000C49A5" w:rsidRPr="00EE2AEF" w:rsidRDefault="000C49A5" w:rsidP="00F84A63">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Koncepční dokument, který definuje a kvantifikuje optimální kapacity sítě sociálních služeb ve Zlínském kraji na základě komplexní analýzy potřeb obyvatel, realizované na úrovni SO ORP. Strategický plán rozvoje města Zlína by měl v oblasti sociální na takto identifikované potřeby reagovat za účelem dlouhodobého plnění cílů krajské koncepce, a tím plnění potřeb obyvatel na svém území, respektive na území svého správního obvodu.</w:t>
            </w:r>
          </w:p>
        </w:tc>
      </w:tr>
      <w:tr w:rsidR="000C49A5" w:rsidRPr="00EE2AEF" w14:paraId="211C926B" w14:textId="77777777" w:rsidTr="000C49A5">
        <w:trPr>
          <w:cantSplit/>
          <w:trHeight w:val="20"/>
        </w:trPr>
        <w:tc>
          <w:tcPr>
            <w:tcW w:w="584" w:type="pct"/>
            <w:vMerge/>
            <w:shd w:val="clear" w:color="auto" w:fill="auto"/>
            <w:vAlign w:val="center"/>
            <w:hideMark/>
          </w:tcPr>
          <w:p w14:paraId="55FA7E19"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05C4776D" w14:textId="7B45AD14" w:rsidR="000C49A5" w:rsidRPr="00EE2AEF" w:rsidRDefault="000C49A5" w:rsidP="0050092B">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 xml:space="preserve">Koncepce rozvoje cyklistiky na území Zlínského kraje 2020 </w:t>
            </w:r>
            <w:r w:rsidR="0050092B">
              <w:rPr>
                <w:rFonts w:ascii="Calibri" w:eastAsia="Times New Roman" w:hAnsi="Calibri" w:cs="Calibri"/>
                <w:color w:val="000000"/>
                <w:sz w:val="18"/>
                <w:szCs w:val="18"/>
                <w:lang w:eastAsia="cs-CZ"/>
              </w:rPr>
              <w:sym w:font="Symbol" w:char="F02D"/>
            </w:r>
            <w:r w:rsidRPr="00EE2AEF">
              <w:rPr>
                <w:rFonts w:ascii="Calibri" w:eastAsia="Times New Roman" w:hAnsi="Calibri" w:cs="Calibri"/>
                <w:color w:val="000000"/>
                <w:sz w:val="18"/>
                <w:szCs w:val="18"/>
                <w:lang w:eastAsia="cs-CZ"/>
              </w:rPr>
              <w:t xml:space="preserve"> 2030</w:t>
            </w:r>
          </w:p>
        </w:tc>
        <w:tc>
          <w:tcPr>
            <w:tcW w:w="2800" w:type="pct"/>
            <w:shd w:val="clear" w:color="auto" w:fill="auto"/>
            <w:hideMark/>
          </w:tcPr>
          <w:p w14:paraId="5D264B1D" w14:textId="5A1CD892" w:rsidR="000C49A5" w:rsidRPr="00EE2AEF" w:rsidRDefault="000C49A5" w:rsidP="0050092B">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Sektorový koncepční dokument, který podporuje rozvoj cyklistické dopravy a cykloturistiky na území kraje. Obce jsou důležitým partnerem řešení krajské koncepce cyklistické dopravy a</w:t>
            </w:r>
            <w:r w:rsidR="0050092B">
              <w:rPr>
                <w:rFonts w:ascii="Calibri" w:eastAsia="Times New Roman" w:hAnsi="Calibri" w:cs="Calibri"/>
                <w:color w:val="000000"/>
                <w:sz w:val="18"/>
                <w:szCs w:val="18"/>
                <w:lang w:eastAsia="cs-CZ"/>
              </w:rPr>
              <w:t> </w:t>
            </w:r>
            <w:r w:rsidRPr="00EE2AEF">
              <w:rPr>
                <w:rFonts w:ascii="Calibri" w:eastAsia="Times New Roman" w:hAnsi="Calibri" w:cs="Calibri"/>
                <w:color w:val="000000"/>
                <w:sz w:val="18"/>
                <w:szCs w:val="18"/>
                <w:lang w:eastAsia="cs-CZ"/>
              </w:rPr>
              <w:t>cykloturistiky, zároveň jsou také potenciálním budovatelem a</w:t>
            </w:r>
            <w:r w:rsidR="0050092B">
              <w:rPr>
                <w:rFonts w:ascii="Calibri" w:eastAsia="Times New Roman" w:hAnsi="Calibri" w:cs="Calibri"/>
                <w:color w:val="000000"/>
                <w:sz w:val="18"/>
                <w:szCs w:val="18"/>
                <w:lang w:eastAsia="cs-CZ"/>
              </w:rPr>
              <w:t> </w:t>
            </w:r>
            <w:r w:rsidRPr="00EE2AEF">
              <w:rPr>
                <w:rFonts w:ascii="Calibri" w:eastAsia="Times New Roman" w:hAnsi="Calibri" w:cs="Calibri"/>
                <w:color w:val="000000"/>
                <w:sz w:val="18"/>
                <w:szCs w:val="18"/>
                <w:lang w:eastAsia="cs-CZ"/>
              </w:rPr>
              <w:t>zřizovatelem cyklistických stezek a tras. Vzhledem k tomu, že základním principem cyklotras a cyklostezek je propojenost území, je zohlednění krajských cílů v rámci obecního strategického plánování nezbytností.</w:t>
            </w:r>
          </w:p>
        </w:tc>
      </w:tr>
      <w:tr w:rsidR="000C49A5" w:rsidRPr="00EE2AEF" w14:paraId="613D7FCC" w14:textId="77777777" w:rsidTr="000C49A5">
        <w:trPr>
          <w:cantSplit/>
          <w:trHeight w:val="20"/>
        </w:trPr>
        <w:tc>
          <w:tcPr>
            <w:tcW w:w="584" w:type="pct"/>
            <w:vMerge/>
            <w:shd w:val="clear" w:color="auto" w:fill="auto"/>
            <w:vAlign w:val="center"/>
            <w:hideMark/>
          </w:tcPr>
          <w:p w14:paraId="6029E883"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42C9DB08" w14:textId="77777777" w:rsidR="000C49A5" w:rsidRPr="00EE2AEF" w:rsidRDefault="000C49A5" w:rsidP="000C49A5">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Koncepce rozvoje cestovního ruchu Zlínského kraje na období 2020 – 2030</w:t>
            </w:r>
          </w:p>
        </w:tc>
        <w:tc>
          <w:tcPr>
            <w:tcW w:w="2800" w:type="pct"/>
            <w:shd w:val="clear" w:color="auto" w:fill="auto"/>
            <w:hideMark/>
          </w:tcPr>
          <w:p w14:paraId="54E49BE5" w14:textId="2E331B10" w:rsidR="000C49A5" w:rsidRPr="00EE2AEF" w:rsidRDefault="000C49A5" w:rsidP="00F84A63">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 xml:space="preserve">Koncepční dokument Zlínského kraje řešící problematiku cestovního ruchu. Dle této koncepce Zlínský kraj vytváří dlouhodobě stabilní podmínky navazování partnerství, efektivní využívání dostupných zdrojů a udržitelný způsob rozvoje potenciálu cestovního ruchu na svém území. Obce </w:t>
            </w:r>
            <w:r w:rsidR="00F84A63">
              <w:rPr>
                <w:rFonts w:ascii="Calibri" w:eastAsia="Times New Roman" w:hAnsi="Calibri" w:cs="Calibri"/>
                <w:color w:val="000000"/>
                <w:sz w:val="18"/>
                <w:szCs w:val="18"/>
                <w:lang w:eastAsia="cs-CZ"/>
              </w:rPr>
              <w:t xml:space="preserve">jsou </w:t>
            </w:r>
            <w:r w:rsidRPr="00EE2AEF">
              <w:rPr>
                <w:rFonts w:ascii="Calibri" w:eastAsia="Times New Roman" w:hAnsi="Calibri" w:cs="Calibri"/>
                <w:color w:val="000000"/>
                <w:sz w:val="18"/>
                <w:szCs w:val="18"/>
                <w:lang w:eastAsia="cs-CZ"/>
              </w:rPr>
              <w:t>důležit</w:t>
            </w:r>
            <w:r w:rsidR="00F84A63">
              <w:rPr>
                <w:rFonts w:ascii="Calibri" w:eastAsia="Times New Roman" w:hAnsi="Calibri" w:cs="Calibri"/>
                <w:color w:val="000000"/>
                <w:sz w:val="18"/>
                <w:szCs w:val="18"/>
                <w:lang w:eastAsia="cs-CZ"/>
              </w:rPr>
              <w:t>ými</w:t>
            </w:r>
            <w:r w:rsidRPr="00EE2AEF">
              <w:rPr>
                <w:rFonts w:ascii="Calibri" w:eastAsia="Times New Roman" w:hAnsi="Calibri" w:cs="Calibri"/>
                <w:color w:val="000000"/>
                <w:sz w:val="18"/>
                <w:szCs w:val="18"/>
                <w:lang w:eastAsia="cs-CZ"/>
              </w:rPr>
              <w:t xml:space="preserve"> členy tohoto partnerství pro turistické atraktivity na svém vlastním území, jednou z rolí kraje dle dokumentu je metodické podpora obcí pro řešení problematiky cestovního ruchu na vlastním území a jeho propojení s ostatními aktéry na území kraje. Je tak důležité, aby krajské priority a potřeby cestovního ruchu byly zohledněny také na úrovní strategického plánování obcí.</w:t>
            </w:r>
          </w:p>
        </w:tc>
      </w:tr>
      <w:tr w:rsidR="000C49A5" w:rsidRPr="00EE2AEF" w14:paraId="42FEEEB8" w14:textId="77777777" w:rsidTr="000C49A5">
        <w:trPr>
          <w:cantSplit/>
          <w:trHeight w:val="20"/>
        </w:trPr>
        <w:tc>
          <w:tcPr>
            <w:tcW w:w="584" w:type="pct"/>
            <w:vMerge/>
            <w:shd w:val="clear" w:color="auto" w:fill="auto"/>
            <w:vAlign w:val="center"/>
            <w:hideMark/>
          </w:tcPr>
          <w:p w14:paraId="0F5CACA0" w14:textId="77777777" w:rsidR="000C49A5" w:rsidRPr="00EE2AEF" w:rsidRDefault="000C49A5" w:rsidP="000C49A5">
            <w:pPr>
              <w:spacing w:before="0"/>
              <w:jc w:val="left"/>
              <w:rPr>
                <w:rFonts w:ascii="Calibri" w:eastAsia="Times New Roman" w:hAnsi="Calibri" w:cs="Calibri"/>
                <w:color w:val="000000"/>
                <w:sz w:val="18"/>
                <w:szCs w:val="18"/>
                <w:lang w:eastAsia="cs-CZ"/>
              </w:rPr>
            </w:pPr>
          </w:p>
        </w:tc>
        <w:tc>
          <w:tcPr>
            <w:tcW w:w="1616" w:type="pct"/>
            <w:shd w:val="clear" w:color="auto" w:fill="auto"/>
            <w:hideMark/>
          </w:tcPr>
          <w:p w14:paraId="71571EBC" w14:textId="71725826" w:rsidR="000C49A5" w:rsidRPr="00EE2AEF" w:rsidRDefault="000C49A5" w:rsidP="0050092B">
            <w:pPr>
              <w:spacing w:before="0"/>
              <w:jc w:val="left"/>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Koncepce rozvoje místní kultury ve ZK na léta 2015</w:t>
            </w:r>
            <w:r w:rsidR="0050092B">
              <w:rPr>
                <w:rFonts w:ascii="Calibri" w:eastAsia="Times New Roman" w:hAnsi="Calibri" w:cs="Calibri"/>
                <w:color w:val="000000"/>
                <w:sz w:val="18"/>
                <w:szCs w:val="18"/>
                <w:lang w:eastAsia="cs-CZ"/>
              </w:rPr>
              <w:t xml:space="preserve"> </w:t>
            </w:r>
            <w:r w:rsidR="0050092B">
              <w:rPr>
                <w:rFonts w:ascii="Calibri" w:eastAsia="Times New Roman" w:hAnsi="Calibri" w:cs="Calibri"/>
                <w:color w:val="000000"/>
                <w:sz w:val="18"/>
                <w:szCs w:val="18"/>
                <w:lang w:eastAsia="cs-CZ"/>
              </w:rPr>
              <w:sym w:font="Symbol" w:char="F02D"/>
            </w:r>
            <w:r w:rsidR="0050092B">
              <w:rPr>
                <w:rFonts w:ascii="Calibri" w:eastAsia="Times New Roman" w:hAnsi="Calibri" w:cs="Calibri"/>
                <w:color w:val="000000"/>
                <w:sz w:val="18"/>
                <w:szCs w:val="18"/>
                <w:lang w:eastAsia="cs-CZ"/>
              </w:rPr>
              <w:t xml:space="preserve"> </w:t>
            </w:r>
            <w:r w:rsidRPr="00EE2AEF">
              <w:rPr>
                <w:rFonts w:ascii="Calibri" w:eastAsia="Times New Roman" w:hAnsi="Calibri" w:cs="Calibri"/>
                <w:color w:val="000000"/>
                <w:sz w:val="18"/>
                <w:szCs w:val="18"/>
                <w:lang w:eastAsia="cs-CZ"/>
              </w:rPr>
              <w:t>2024</w:t>
            </w:r>
          </w:p>
        </w:tc>
        <w:tc>
          <w:tcPr>
            <w:tcW w:w="2800" w:type="pct"/>
            <w:shd w:val="clear" w:color="auto" w:fill="auto"/>
            <w:hideMark/>
          </w:tcPr>
          <w:p w14:paraId="3642FD5F" w14:textId="77777777" w:rsidR="000C49A5" w:rsidRPr="00EE2AEF" w:rsidRDefault="000C49A5" w:rsidP="000C49A5">
            <w:pPr>
              <w:spacing w:before="0"/>
              <w:rPr>
                <w:rFonts w:ascii="Calibri" w:eastAsia="Times New Roman" w:hAnsi="Calibri" w:cs="Calibri"/>
                <w:color w:val="000000"/>
                <w:sz w:val="18"/>
                <w:szCs w:val="18"/>
                <w:lang w:eastAsia="cs-CZ"/>
              </w:rPr>
            </w:pPr>
            <w:r w:rsidRPr="00EE2AEF">
              <w:rPr>
                <w:rFonts w:ascii="Calibri" w:eastAsia="Times New Roman" w:hAnsi="Calibri" w:cs="Calibri"/>
                <w:color w:val="000000"/>
                <w:sz w:val="18"/>
                <w:szCs w:val="18"/>
                <w:lang w:eastAsia="cs-CZ"/>
              </w:rPr>
              <w:t>Koncepční dokument, který si klade za cíl rozvíjet místní kulturu na území kraje v souladu s významnými folklórními tradicemi. Specifické cíle koncepce jsou definovány především v oblasti financování místní kultury a propojování jejích aktérů, mezi které patří také obce na území kraje. Dosahování těchto cílů by tak mělo být prioritou na úrovni strategického rozvoje obcí.</w:t>
            </w:r>
          </w:p>
        </w:tc>
      </w:tr>
    </w:tbl>
    <w:p w14:paraId="4918CE14" w14:textId="6E41FE47" w:rsidR="000C49A5" w:rsidRDefault="000C49A5" w:rsidP="000C49A5">
      <w:pPr>
        <w:pStyle w:val="Zdroj"/>
      </w:pPr>
      <w:r>
        <w:t xml:space="preserve">Zdroj: </w:t>
      </w:r>
      <w:r w:rsidR="0050092B">
        <w:t>J</w:t>
      </w:r>
      <w:r>
        <w:t>ednotlivé strategické a koncepční dokumenty, zpracování PROCES, 2020</w:t>
      </w:r>
      <w:r w:rsidR="0050092B">
        <w:t>.</w:t>
      </w:r>
    </w:p>
    <w:p w14:paraId="06F4CD80" w14:textId="77777777" w:rsidR="00BE084D" w:rsidRDefault="00BE084D" w:rsidP="00BE084D"/>
    <w:p w14:paraId="214CDA40" w14:textId="1CFB76C1" w:rsidR="000C57C8" w:rsidRPr="00577E7E" w:rsidRDefault="000C57C8" w:rsidP="000C57C8"/>
    <w:p w14:paraId="1C5D8C2A" w14:textId="77777777" w:rsidR="000C57C8" w:rsidRDefault="000C57C8" w:rsidP="000C57C8">
      <w:pPr>
        <w:jc w:val="left"/>
      </w:pPr>
      <w:r w:rsidRPr="00577E7E">
        <w:br w:type="page"/>
      </w:r>
    </w:p>
    <w:p w14:paraId="4BD6E29A" w14:textId="77777777" w:rsidR="000C57C8" w:rsidRDefault="000C57C8" w:rsidP="000C57C8">
      <w:pPr>
        <w:pStyle w:val="Nadpis1"/>
        <w:pageBreakBefore/>
      </w:pPr>
      <w:bookmarkStart w:id="1045" w:name="_Toc53349014"/>
      <w:bookmarkStart w:id="1046" w:name="_Toc77074659"/>
      <w:r>
        <w:t>Východiska pro návrhovou část</w:t>
      </w:r>
      <w:bookmarkEnd w:id="1045"/>
      <w:bookmarkEnd w:id="1046"/>
    </w:p>
    <w:p w14:paraId="0DC00265" w14:textId="3C8364BC" w:rsidR="000C57C8" w:rsidRDefault="000C57C8" w:rsidP="000C57C8">
      <w:pPr>
        <w:pStyle w:val="Nadpis2"/>
      </w:pPr>
      <w:bookmarkStart w:id="1047" w:name="_Toc53349015"/>
      <w:bookmarkStart w:id="1048" w:name="_Toc77074660"/>
      <w:r>
        <w:t xml:space="preserve">Vyhodnocení plnění cílů Strategie rozvoje statutárního města Zlína do roku 2020 </w:t>
      </w:r>
      <w:r w:rsidR="0050092B">
        <w:sym w:font="Symbol" w:char="F02D"/>
      </w:r>
      <w:r>
        <w:t xml:space="preserve"> Zlín 2020</w:t>
      </w:r>
      <w:bookmarkEnd w:id="1047"/>
      <w:bookmarkEnd w:id="1048"/>
    </w:p>
    <w:p w14:paraId="1A288501" w14:textId="3347990C" w:rsidR="000C57C8" w:rsidRDefault="000C57C8" w:rsidP="000C57C8">
      <w:r>
        <w:t xml:space="preserve">Cílem této kapitoly je v rámci analytické části zhodnotit realizaci Strategie rozvoje statutárního města Zlína do roku 2020 </w:t>
      </w:r>
      <w:r w:rsidR="0050092B">
        <w:sym w:font="Symbol" w:char="F02D"/>
      </w:r>
      <w:r>
        <w:t xml:space="preserve"> Zlín 2020. Strategie byla schválen</w:t>
      </w:r>
      <w:r w:rsidR="0050092B">
        <w:t>a</w:t>
      </w:r>
      <w:r>
        <w:t xml:space="preserve"> </w:t>
      </w:r>
      <w:r w:rsidRPr="00E34DB8">
        <w:t>dne 13. prosince 2012 usnesením Zastupitelstva města Zlína č. 9/16Z/2012.</w:t>
      </w:r>
    </w:p>
    <w:p w14:paraId="1F834691" w14:textId="5EFDEA50" w:rsidR="000C57C8" w:rsidRDefault="000C57C8" w:rsidP="000C57C8">
      <w:r>
        <w:t>Vyhodnocení předchozí strategie rozvoje je limitováno faktem, že dokument neobsahuje implementační část ani soustavu indikátorů pro jeho monitorování. Návrhová část sice pro každou tematickou oblast definuje ukazatele kontextu, k těm však nejsou stanovené cílové hodnoty, kterých má být realizací strategie rozvoje dosaženo. Společně s absencí monitorovacích indikátorů výstupů a</w:t>
      </w:r>
      <w:r w:rsidR="0050092B">
        <w:t> </w:t>
      </w:r>
      <w:r>
        <w:t>výsledků tak nelze jednoznačně, tzn. kvantitativně, popsat stav, který lze označit za naplnění cílů strategie Zlín 2020. Dokument Zlín 2020 tak nastiňuje pouze směry rozvoje města, nesplňuj</w:t>
      </w:r>
      <w:r w:rsidR="00EB143D">
        <w:t>e</w:t>
      </w:r>
      <w:r>
        <w:t xml:space="preserve"> požadavky na strukturu strategického dokumentu, lze jej považovat pouze za dokument koncepční.</w:t>
      </w:r>
    </w:p>
    <w:p w14:paraId="0A36DBEE" w14:textId="48CC5167" w:rsidR="000C57C8" w:rsidRDefault="000C57C8" w:rsidP="000C57C8">
      <w:r>
        <w:t>Z důvodu výše uvedených bariér byl</w:t>
      </w:r>
      <w:r w:rsidR="0050092B">
        <w:t>o</w:t>
      </w:r>
      <w:r>
        <w:t xml:space="preserve"> pro vyhodnocení strategie Zlín 2020 zvoleno vyhodnocení u</w:t>
      </w:r>
      <w:r w:rsidR="0031087E">
        <w:t>kazatelů kontextu z pohledu jeji</w:t>
      </w:r>
      <w:r>
        <w:t>ch vývoje v období 2013 – 2020, tzn., v období platnosti strategie. Jednotlivé ukazatele jsou vyhodnoceny na základě dostupných dat, přičemž je výsledek interpretován informací, zda je aktuální trend v souladu se zněním souvisejících cílů strategie.</w:t>
      </w:r>
    </w:p>
    <w:p w14:paraId="759FF63A" w14:textId="77777777" w:rsidR="000C57C8" w:rsidRDefault="000C57C8" w:rsidP="000C57C8">
      <w:r>
        <w:t>Vyhodnocení kontextových ukazatelů je doplněno také kvalitativním hodnocením, v podobě výčtu aktivit, které město v uvedeném období realizovalo a které přispívají k jednotlivým opatřením. Zdrojem pro zpracování tohoto výčtu byly především následující dokumenty:</w:t>
      </w:r>
    </w:p>
    <w:p w14:paraId="14B5F4D3" w14:textId="77777777" w:rsidR="000C57C8" w:rsidRDefault="000C57C8" w:rsidP="00A55F7D">
      <w:pPr>
        <w:numPr>
          <w:ilvl w:val="0"/>
          <w:numId w:val="126"/>
        </w:numPr>
        <w:spacing w:before="0" w:after="120"/>
      </w:pPr>
      <w:r>
        <w:t>Akční plány rozvoje města Zlína (roční akční plány, dostupné od roku 2014 do roku 2017).</w:t>
      </w:r>
    </w:p>
    <w:p w14:paraId="237E0FE8" w14:textId="77777777" w:rsidR="000C57C8" w:rsidRDefault="000C57C8" w:rsidP="00A55F7D">
      <w:pPr>
        <w:numPr>
          <w:ilvl w:val="0"/>
          <w:numId w:val="126"/>
        </w:numPr>
        <w:spacing w:before="0" w:after="120"/>
      </w:pPr>
      <w:r>
        <w:t xml:space="preserve">Přehled investičních akcí realizovaných městem v období od roku 2013 do poloviny roku 2020. </w:t>
      </w:r>
    </w:p>
    <w:p w14:paraId="3634F52C" w14:textId="77777777" w:rsidR="000C57C8" w:rsidRDefault="000C57C8" w:rsidP="00A55F7D">
      <w:pPr>
        <w:numPr>
          <w:ilvl w:val="0"/>
          <w:numId w:val="126"/>
        </w:numPr>
        <w:spacing w:before="0" w:after="120"/>
      </w:pPr>
      <w:r>
        <w:t>Přehled neinvestičních akcí realizovaných v období od roku 2013 do roku 2020.</w:t>
      </w:r>
    </w:p>
    <w:p w14:paraId="28AE742D" w14:textId="77777777" w:rsidR="000C57C8" w:rsidRDefault="000C57C8" w:rsidP="00A55F7D">
      <w:pPr>
        <w:numPr>
          <w:ilvl w:val="0"/>
          <w:numId w:val="126"/>
        </w:numPr>
        <w:spacing w:before="0" w:after="120"/>
      </w:pPr>
      <w:r w:rsidRPr="004A62FC">
        <w:t>Přehled dotačních projektů podpořených v rámci programů EU a ze zdrojů mimo programy EU</w:t>
      </w:r>
      <w:r>
        <w:t>, aktuální k měsíci srpnu 2020.</w:t>
      </w:r>
    </w:p>
    <w:p w14:paraId="47AB97FF" w14:textId="164C3513" w:rsidR="000C57C8" w:rsidRDefault="000C57C8" w:rsidP="000C57C8">
      <w:r>
        <w:t>Každý specifický cíl dokumentu „</w:t>
      </w:r>
      <w:r w:rsidRPr="00D17E49">
        <w:t>Strategie rozvoje statutárního města</w:t>
      </w:r>
      <w:r>
        <w:t xml:space="preserve"> Zlína do roku 2020 </w:t>
      </w:r>
      <w:r w:rsidR="0050092B">
        <w:sym w:font="Symbol" w:char="F02D"/>
      </w:r>
      <w:r>
        <w:t xml:space="preserve"> Zlín 2020“ je vyhodnocen prostřednictvím následujících informací:</w:t>
      </w:r>
    </w:p>
    <w:p w14:paraId="1CF2ED94" w14:textId="77777777" w:rsidR="000C57C8" w:rsidRDefault="000C57C8" w:rsidP="00A55F7D">
      <w:pPr>
        <w:pStyle w:val="Odstavecseseznamem"/>
        <w:numPr>
          <w:ilvl w:val="0"/>
          <w:numId w:val="128"/>
        </w:numPr>
      </w:pPr>
      <w:r w:rsidRPr="00CF3FB0">
        <w:rPr>
          <w:b/>
        </w:rPr>
        <w:t>Vyhodnocení ukazatelů kontextu:</w:t>
      </w:r>
      <w:r>
        <w:t xml:space="preserve"> Slovní interpretace vývoje trendů u ukazatelů kontextu ve sledovaném období.</w:t>
      </w:r>
    </w:p>
    <w:p w14:paraId="2E90F55F" w14:textId="77777777" w:rsidR="000C57C8" w:rsidRDefault="000C57C8" w:rsidP="00A55F7D">
      <w:pPr>
        <w:pStyle w:val="Odstavecseseznamem"/>
        <w:numPr>
          <w:ilvl w:val="0"/>
          <w:numId w:val="128"/>
        </w:numPr>
      </w:pPr>
      <w:r w:rsidRPr="00CF3FB0">
        <w:rPr>
          <w:b/>
        </w:rPr>
        <w:t>Podkladová data k hodnocení ukazatelů kontextu:</w:t>
      </w:r>
      <w:r>
        <w:t xml:space="preserve"> Statistická data ukazatelů kontextu ve formě tabulek nebo grafů.</w:t>
      </w:r>
    </w:p>
    <w:p w14:paraId="0A22169B" w14:textId="77777777" w:rsidR="000C57C8" w:rsidRDefault="000C57C8" w:rsidP="00A55F7D">
      <w:pPr>
        <w:pStyle w:val="Odstavecseseznamem"/>
        <w:numPr>
          <w:ilvl w:val="0"/>
          <w:numId w:val="128"/>
        </w:numPr>
      </w:pPr>
      <w:r w:rsidRPr="00CF3FB0">
        <w:rPr>
          <w:b/>
        </w:rPr>
        <w:t>Plnění opatření v rámci jednotlivých tematických oblastí:</w:t>
      </w:r>
      <w:r>
        <w:t xml:space="preserve"> Výčet aktivit, které byly realizovány ve sledovaném období a které svou podstatou spadají pod jednotlivá opatření uvedená ve strategii Zlín 2020.</w:t>
      </w:r>
    </w:p>
    <w:p w14:paraId="58C9EAA9" w14:textId="77777777" w:rsidR="000C57C8" w:rsidRDefault="000C57C8" w:rsidP="000C57C8">
      <w:r>
        <w:t xml:space="preserve">Pro zajištění efektivity vyhodnocení naplňování dokumentu </w:t>
      </w:r>
      <w:r w:rsidRPr="00EE46CB">
        <w:t>„Strategie rozvoje statutárního města Zlína do roku 2030 – Zlín 2030“ jsou navržena následující doporučení pro tvorbu navazujícího strategickéh</w:t>
      </w:r>
      <w:r>
        <w:t>o dokumentu a jeho implementaci:</w:t>
      </w:r>
    </w:p>
    <w:p w14:paraId="553C31A1" w14:textId="77777777" w:rsidR="000C57C8" w:rsidRDefault="000C57C8" w:rsidP="00A55F7D">
      <w:pPr>
        <w:numPr>
          <w:ilvl w:val="0"/>
          <w:numId w:val="127"/>
        </w:numPr>
        <w:spacing w:before="0" w:after="120"/>
      </w:pPr>
      <w:r>
        <w:t xml:space="preserve">Nastavení monitorovacích indikátorů pro jednotlivé cíle strategického plánu včetně cílových hodnot či požadovaných trendů jejich vývoje za účelem zajištění možnosti kvantitativního vyhodnocení jeho naplnění. </w:t>
      </w:r>
    </w:p>
    <w:p w14:paraId="0148DE56" w14:textId="77777777" w:rsidR="000C57C8" w:rsidRDefault="000C57C8" w:rsidP="00A55F7D">
      <w:pPr>
        <w:numPr>
          <w:ilvl w:val="0"/>
          <w:numId w:val="127"/>
        </w:numPr>
        <w:spacing w:before="0" w:after="120"/>
      </w:pPr>
      <w:r>
        <w:t>Pokrytí celého období platnosti strategie rozvoje akčními plány.</w:t>
      </w:r>
    </w:p>
    <w:p w14:paraId="63862B7C" w14:textId="77777777" w:rsidR="000C57C8" w:rsidRDefault="000C57C8" w:rsidP="00A55F7D">
      <w:pPr>
        <w:numPr>
          <w:ilvl w:val="0"/>
          <w:numId w:val="127"/>
        </w:numPr>
        <w:spacing w:before="0" w:after="120"/>
      </w:pPr>
      <w:r>
        <w:t>Pravidelný monitoring plnění akčních plánů (1x ročně) prostřednictvím nastavených monitorovacích indikátorů výstupů.</w:t>
      </w:r>
    </w:p>
    <w:p w14:paraId="2D3F0E43" w14:textId="77777777" w:rsidR="000C57C8" w:rsidRPr="009A10E5" w:rsidRDefault="000C57C8" w:rsidP="000C57C8">
      <w:pPr>
        <w:pStyle w:val="Nadpis3"/>
        <w:ind w:left="720"/>
      </w:pPr>
      <w:bookmarkStart w:id="1049" w:name="_Toc53349016"/>
      <w:bookmarkStart w:id="1050" w:name="_Toc77074661"/>
      <w:r w:rsidRPr="009A10E5">
        <w:t>Tematická oblast 1 – Obyvatelstvo, bydlení a občanská vybavenost</w:t>
      </w:r>
      <w:bookmarkEnd w:id="1049"/>
      <w:bookmarkEnd w:id="1050"/>
    </w:p>
    <w:p w14:paraId="6712F9F4" w14:textId="77777777" w:rsidR="000C57C8" w:rsidRPr="00D90835" w:rsidRDefault="000C57C8" w:rsidP="000C57C8">
      <w:pPr>
        <w:keepNext/>
        <w:spacing w:before="240" w:after="60"/>
        <w:rPr>
          <w:i/>
          <w:u w:val="single"/>
        </w:rPr>
      </w:pPr>
      <w:r w:rsidRPr="00D90835">
        <w:rPr>
          <w:i/>
          <w:u w:val="single"/>
        </w:rPr>
        <w:t>Strategické cíle:</w:t>
      </w:r>
    </w:p>
    <w:p w14:paraId="5E0BE8C5" w14:textId="77777777" w:rsidR="000C57C8" w:rsidRDefault="000C57C8" w:rsidP="000C57C8">
      <w:pPr>
        <w:keepNext/>
        <w:rPr>
          <w:i/>
        </w:rPr>
      </w:pPr>
      <w:r w:rsidRPr="00EE46CB">
        <w:rPr>
          <w:i/>
        </w:rPr>
        <w:t>1.1 Zachování postavení města Zlína jako konkurenceschopného centra Zlínského kraje a přirozeného jádra více než 100tisícové městské aglomerace prostřednictvím nabídky vysoké kvality života v oblasti bydlení, občanské vybavenosti a bezpečnosti</w:t>
      </w:r>
    </w:p>
    <w:p w14:paraId="09EDB353" w14:textId="77777777" w:rsidR="000C57C8" w:rsidRPr="00A05F9C" w:rsidRDefault="000C57C8" w:rsidP="000C57C8">
      <w:pPr>
        <w:keepNext/>
        <w:spacing w:after="60"/>
        <w:rPr>
          <w:i/>
          <w:u w:val="single"/>
        </w:rPr>
      </w:pPr>
      <w:r w:rsidRPr="00A05F9C">
        <w:rPr>
          <w:i/>
          <w:u w:val="single"/>
        </w:rPr>
        <w:t>Vyhodnocení ukazatelů kontextu: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7"/>
        <w:gridCol w:w="6295"/>
      </w:tblGrid>
      <w:tr w:rsidR="000C57C8" w:rsidRPr="00BC1A85" w14:paraId="19B890E0" w14:textId="77777777" w:rsidTr="00FB7BF4">
        <w:tc>
          <w:tcPr>
            <w:tcW w:w="2802" w:type="dxa"/>
            <w:shd w:val="clear" w:color="auto" w:fill="EDEDED"/>
          </w:tcPr>
          <w:p w14:paraId="7F051DE3" w14:textId="77777777" w:rsidR="000C57C8" w:rsidRPr="00BC1A85" w:rsidRDefault="000C57C8" w:rsidP="00FB7BF4">
            <w:pPr>
              <w:spacing w:before="60"/>
              <w:rPr>
                <w:i/>
              </w:rPr>
            </w:pPr>
            <w:r w:rsidRPr="00BC1A85">
              <w:rPr>
                <w:i/>
              </w:rPr>
              <w:t>Hodnota migračního salda města Zlín:</w:t>
            </w:r>
          </w:p>
        </w:tc>
        <w:tc>
          <w:tcPr>
            <w:tcW w:w="6410" w:type="dxa"/>
            <w:shd w:val="clear" w:color="auto" w:fill="auto"/>
          </w:tcPr>
          <w:p w14:paraId="02588A26" w14:textId="77777777" w:rsidR="000C57C8" w:rsidRPr="00BC1A85" w:rsidRDefault="000C57C8" w:rsidP="00FB7BF4">
            <w:pPr>
              <w:spacing w:before="60"/>
              <w:rPr>
                <w:i/>
              </w:rPr>
            </w:pPr>
            <w:r w:rsidRPr="00BC1A85">
              <w:rPr>
                <w:i/>
              </w:rPr>
              <w:t>Hodnota ukazatele má ve sledovaném období střídavý trend, v letech 2018 a 2019 má migrační saldo pozitivní přírůstek.</w:t>
            </w:r>
          </w:p>
        </w:tc>
      </w:tr>
      <w:tr w:rsidR="000C57C8" w:rsidRPr="00BC1A85" w14:paraId="0A6AB243" w14:textId="77777777" w:rsidTr="00FB7BF4">
        <w:tc>
          <w:tcPr>
            <w:tcW w:w="2802" w:type="dxa"/>
            <w:shd w:val="clear" w:color="auto" w:fill="EDEDED"/>
          </w:tcPr>
          <w:p w14:paraId="589A9647" w14:textId="77777777" w:rsidR="000C57C8" w:rsidRPr="00BC1A85" w:rsidRDefault="000C57C8" w:rsidP="00FB7BF4">
            <w:pPr>
              <w:spacing w:before="60"/>
              <w:rPr>
                <w:i/>
              </w:rPr>
            </w:pPr>
            <w:r w:rsidRPr="00BC1A85">
              <w:rPr>
                <w:i/>
              </w:rPr>
              <w:t>Počet trestných činů spáchaných na území města Zlína – 2014-2019:</w:t>
            </w:r>
          </w:p>
        </w:tc>
        <w:tc>
          <w:tcPr>
            <w:tcW w:w="6410" w:type="dxa"/>
            <w:shd w:val="clear" w:color="auto" w:fill="auto"/>
          </w:tcPr>
          <w:p w14:paraId="3D83F56A" w14:textId="77777777" w:rsidR="000C57C8" w:rsidRPr="00BC1A85" w:rsidRDefault="000C57C8" w:rsidP="00FB7BF4">
            <w:pPr>
              <w:spacing w:before="60"/>
              <w:rPr>
                <w:i/>
              </w:rPr>
            </w:pPr>
            <w:r w:rsidRPr="00BC1A85">
              <w:rPr>
                <w:i/>
              </w:rPr>
              <w:t>Ve sledovaném období je patrný dlouhodobý trend poklesu kriminality, s výjimkou v roce 2018. Mezi lety 201</w:t>
            </w:r>
            <w:r>
              <w:rPr>
                <w:i/>
              </w:rPr>
              <w:t>3</w:t>
            </w:r>
            <w:r w:rsidRPr="00BC1A85">
              <w:rPr>
                <w:i/>
              </w:rPr>
              <w:t xml:space="preserve"> a 201</w:t>
            </w:r>
            <w:r>
              <w:rPr>
                <w:i/>
              </w:rPr>
              <w:t>9</w:t>
            </w:r>
            <w:r w:rsidRPr="00BC1A85">
              <w:rPr>
                <w:i/>
              </w:rPr>
              <w:t xml:space="preserve"> došlo k poklesu kriminality o 3</w:t>
            </w:r>
            <w:r>
              <w:rPr>
                <w:i/>
              </w:rPr>
              <w:t>0,5</w:t>
            </w:r>
            <w:r w:rsidRPr="00BC1A85">
              <w:rPr>
                <w:i/>
              </w:rPr>
              <w:t xml:space="preserve"> %.</w:t>
            </w:r>
          </w:p>
        </w:tc>
      </w:tr>
    </w:tbl>
    <w:p w14:paraId="3A456425" w14:textId="77777777" w:rsidR="000C57C8" w:rsidRPr="00A05F9C" w:rsidRDefault="000C57C8" w:rsidP="000C57C8">
      <w:pPr>
        <w:spacing w:before="240" w:after="60"/>
        <w:rPr>
          <w:i/>
          <w:u w:val="single"/>
        </w:rPr>
      </w:pPr>
      <w:r>
        <w:rPr>
          <w:i/>
          <w:u w:val="single"/>
        </w:rPr>
        <w:t>Podkladová data k hodnocení ukazatelů kontextu:</w:t>
      </w:r>
    </w:p>
    <w:p w14:paraId="131FB4F0" w14:textId="40256683" w:rsidR="000C57C8" w:rsidRPr="00B3487C" w:rsidRDefault="000C57C8" w:rsidP="000C57C8">
      <w:pPr>
        <w:pStyle w:val="Titulek"/>
        <w:rPr>
          <w:color w:val="FF0000"/>
        </w:rPr>
      </w:pPr>
      <w:bookmarkStart w:id="1051" w:name="_Toc54702819"/>
      <w:bookmarkStart w:id="1052" w:name="_Toc56179625"/>
      <w:bookmarkStart w:id="1053" w:name="_Toc7707496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w:t>
      </w:r>
      <w:r w:rsidR="00804AF3">
        <w:rPr>
          <w:noProof/>
        </w:rPr>
        <w:fldChar w:fldCharType="end"/>
      </w:r>
      <w:r w:rsidR="000856A7">
        <w:rPr>
          <w:noProof/>
        </w:rPr>
        <w:t>:</w:t>
      </w:r>
      <w:r w:rsidRPr="00BC683E">
        <w:t xml:space="preserve"> Migrační změna/saldo obyvatel statutárního města Zlína</w:t>
      </w:r>
      <w:bookmarkEnd w:id="1051"/>
      <w:bookmarkEnd w:id="1052"/>
      <w:bookmarkEnd w:id="1053"/>
    </w:p>
    <w:p w14:paraId="426D1854" w14:textId="77777777" w:rsidR="000C57C8" w:rsidRPr="00A05F9C" w:rsidRDefault="000C57C8" w:rsidP="000C57C8">
      <w:pPr>
        <w:pStyle w:val="Titulek"/>
      </w:pPr>
      <w:r>
        <w:rPr>
          <w:noProof/>
          <w:lang w:eastAsia="cs-CZ"/>
        </w:rPr>
        <w:drawing>
          <wp:inline distT="0" distB="0" distL="0" distR="0" wp14:anchorId="5DA94262" wp14:editId="41649161">
            <wp:extent cx="5972175" cy="2552700"/>
            <wp:effectExtent l="0" t="0" r="9525" b="0"/>
            <wp:docPr id="422" name="Obráze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6">
                      <a:extLst>
                        <a:ext uri="{28A0092B-C50C-407E-A947-70E740481C1C}">
                          <a14:useLocalDpi xmlns:a14="http://schemas.microsoft.com/office/drawing/2010/main" val="0"/>
                        </a:ext>
                      </a:extLst>
                    </a:blip>
                    <a:srcRect l="1862" t="2074" r="858" b="5300"/>
                    <a:stretch/>
                  </pic:blipFill>
                  <pic:spPr bwMode="auto">
                    <a:xfrm>
                      <a:off x="0" y="0"/>
                      <a:ext cx="5972175" cy="2552700"/>
                    </a:xfrm>
                    <a:prstGeom prst="rect">
                      <a:avLst/>
                    </a:prstGeom>
                    <a:noFill/>
                    <a:ln>
                      <a:noFill/>
                    </a:ln>
                    <a:extLst>
                      <a:ext uri="{53640926-AAD7-44D8-BBD7-CCE9431645EC}">
                        <a14:shadowObscured xmlns:a14="http://schemas.microsoft.com/office/drawing/2010/main"/>
                      </a:ext>
                    </a:extLst>
                  </pic:spPr>
                </pic:pic>
              </a:graphicData>
            </a:graphic>
          </wp:inline>
        </w:drawing>
      </w:r>
    </w:p>
    <w:p w14:paraId="6E4B30BE" w14:textId="75C37DED" w:rsidR="000C57C8" w:rsidRPr="000F3C39" w:rsidRDefault="000C57C8" w:rsidP="000C57C8">
      <w:pPr>
        <w:rPr>
          <w:i/>
          <w:iCs/>
          <w:sz w:val="18"/>
          <w:szCs w:val="18"/>
        </w:rPr>
      </w:pPr>
      <w:r w:rsidRPr="000F3C39">
        <w:rPr>
          <w:i/>
          <w:iCs/>
          <w:sz w:val="18"/>
          <w:szCs w:val="18"/>
        </w:rPr>
        <w:t>Zdroj: ČSÚ, veřejná databáze, zpracování PROCES</w:t>
      </w:r>
      <w:r w:rsidR="000856A7">
        <w:rPr>
          <w:i/>
          <w:iCs/>
          <w:sz w:val="18"/>
          <w:szCs w:val="18"/>
        </w:rPr>
        <w:t>, 2020.</w:t>
      </w:r>
    </w:p>
    <w:p w14:paraId="5599EE3F" w14:textId="77237274" w:rsidR="000C57C8" w:rsidRDefault="000C57C8" w:rsidP="000C57C8">
      <w:pPr>
        <w:pStyle w:val="Titulek"/>
      </w:pPr>
      <w:bookmarkStart w:id="1054" w:name="_Toc54702661"/>
      <w:bookmarkStart w:id="1055" w:name="_Toc56179468"/>
      <w:bookmarkStart w:id="1056" w:name="_Toc57731826"/>
      <w:bookmarkStart w:id="1057" w:name="_Toc77074810"/>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4</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1</w:t>
      </w:r>
      <w:r w:rsidR="004857C6">
        <w:rPr>
          <w:noProof/>
        </w:rPr>
        <w:fldChar w:fldCharType="end"/>
      </w:r>
      <w:r w:rsidR="000856A7">
        <w:rPr>
          <w:noProof/>
        </w:rPr>
        <w:t xml:space="preserve">: </w:t>
      </w:r>
      <w:r>
        <w:t xml:space="preserve">Změna obyvatelstva </w:t>
      </w:r>
      <w:r w:rsidR="005668E1">
        <w:t>s</w:t>
      </w:r>
      <w:r>
        <w:t>tatutárního města Zlína</w:t>
      </w:r>
      <w:bookmarkEnd w:id="1054"/>
      <w:bookmarkEnd w:id="1055"/>
      <w:bookmarkEnd w:id="1056"/>
      <w:bookmarkEnd w:id="1057"/>
    </w:p>
    <w:tbl>
      <w:tblPr>
        <w:tblW w:w="5000" w:type="pct"/>
        <w:tblCellMar>
          <w:left w:w="70" w:type="dxa"/>
          <w:right w:w="70" w:type="dxa"/>
        </w:tblCellMar>
        <w:tblLook w:val="04A0" w:firstRow="1" w:lastRow="0" w:firstColumn="1" w:lastColumn="0" w:noHBand="0" w:noVBand="1"/>
      </w:tblPr>
      <w:tblGrid>
        <w:gridCol w:w="2667"/>
        <w:gridCol w:w="711"/>
        <w:gridCol w:w="711"/>
        <w:gridCol w:w="711"/>
        <w:gridCol w:w="711"/>
        <w:gridCol w:w="711"/>
        <w:gridCol w:w="710"/>
        <w:gridCol w:w="710"/>
        <w:gridCol w:w="710"/>
        <w:gridCol w:w="710"/>
      </w:tblGrid>
      <w:tr w:rsidR="000C57C8" w:rsidRPr="009C46D3" w14:paraId="0F2CF102" w14:textId="77777777" w:rsidTr="00FB7BF4">
        <w:trPr>
          <w:trHeight w:hRule="exact" w:val="340"/>
        </w:trPr>
        <w:tc>
          <w:tcPr>
            <w:tcW w:w="1471" w:type="pct"/>
            <w:tcBorders>
              <w:top w:val="single" w:sz="4" w:space="0" w:color="auto"/>
              <w:left w:val="single" w:sz="4" w:space="0" w:color="auto"/>
              <w:bottom w:val="single" w:sz="4" w:space="0" w:color="auto"/>
              <w:right w:val="single" w:sz="4" w:space="0" w:color="auto"/>
            </w:tcBorders>
            <w:shd w:val="clear" w:color="auto" w:fill="F2F2F2"/>
            <w:hideMark/>
          </w:tcPr>
          <w:p w14:paraId="0D55BF3B" w14:textId="77777777" w:rsidR="000C57C8" w:rsidRPr="009C46D3" w:rsidRDefault="000C57C8" w:rsidP="00FB7BF4">
            <w:pPr>
              <w:spacing w:after="240"/>
              <w:rPr>
                <w:rFonts w:eastAsia="Times New Roman" w:cs="Calibri"/>
                <w:sz w:val="18"/>
                <w:szCs w:val="18"/>
                <w:lang w:eastAsia="cs-CZ"/>
              </w:rPr>
            </w:pPr>
            <w:r w:rsidRPr="009C46D3">
              <w:rPr>
                <w:rFonts w:eastAsia="Times New Roman" w:cs="Calibri"/>
                <w:sz w:val="18"/>
                <w:szCs w:val="18"/>
                <w:lang w:eastAsia="cs-CZ"/>
              </w:rPr>
              <w:t>Rok</w:t>
            </w:r>
            <w:r w:rsidRPr="009C46D3">
              <w:rPr>
                <w:rFonts w:eastAsia="Times New Roman" w:cs="Calibri"/>
                <w:sz w:val="18"/>
                <w:szCs w:val="18"/>
                <w:lang w:eastAsia="cs-CZ"/>
              </w:rPr>
              <w:br/>
            </w:r>
            <w:r w:rsidRPr="009C46D3">
              <w:rPr>
                <w:rFonts w:eastAsia="Times New Roman" w:cs="Calibri"/>
                <w:sz w:val="18"/>
                <w:szCs w:val="18"/>
                <w:lang w:eastAsia="cs-CZ"/>
              </w:rPr>
              <w:br/>
            </w:r>
            <w:r w:rsidRPr="009C46D3">
              <w:rPr>
                <w:rFonts w:eastAsia="Times New Roman" w:cs="Calibri"/>
                <w:sz w:val="18"/>
                <w:szCs w:val="18"/>
                <w:lang w:eastAsia="cs-CZ"/>
              </w:rPr>
              <w:br/>
            </w:r>
          </w:p>
        </w:tc>
        <w:tc>
          <w:tcPr>
            <w:tcW w:w="392" w:type="pct"/>
            <w:tcBorders>
              <w:top w:val="single" w:sz="4" w:space="0" w:color="auto"/>
              <w:left w:val="nil"/>
              <w:bottom w:val="single" w:sz="4" w:space="0" w:color="auto"/>
              <w:right w:val="single" w:sz="4" w:space="0" w:color="auto"/>
            </w:tcBorders>
            <w:shd w:val="clear" w:color="auto" w:fill="F2F2F2"/>
            <w:noWrap/>
            <w:hideMark/>
          </w:tcPr>
          <w:p w14:paraId="2D95F3D5" w14:textId="77777777" w:rsidR="000C57C8" w:rsidRPr="009C46D3" w:rsidRDefault="000C57C8" w:rsidP="00FB7BF4">
            <w:pPr>
              <w:jc w:val="center"/>
              <w:rPr>
                <w:rFonts w:eastAsia="Times New Roman" w:cs="Calibri"/>
                <w:color w:val="000000"/>
                <w:sz w:val="18"/>
                <w:szCs w:val="18"/>
                <w:lang w:eastAsia="cs-CZ"/>
              </w:rPr>
            </w:pPr>
            <w:r w:rsidRPr="009C46D3">
              <w:rPr>
                <w:rFonts w:eastAsia="Times New Roman" w:cs="Calibri"/>
                <w:color w:val="000000"/>
                <w:sz w:val="18"/>
                <w:szCs w:val="18"/>
                <w:lang w:eastAsia="cs-CZ"/>
              </w:rPr>
              <w:t>2011</w:t>
            </w:r>
          </w:p>
        </w:tc>
        <w:tc>
          <w:tcPr>
            <w:tcW w:w="392" w:type="pct"/>
            <w:tcBorders>
              <w:top w:val="single" w:sz="4" w:space="0" w:color="auto"/>
              <w:left w:val="nil"/>
              <w:bottom w:val="single" w:sz="4" w:space="0" w:color="auto"/>
              <w:right w:val="single" w:sz="4" w:space="0" w:color="auto"/>
            </w:tcBorders>
            <w:shd w:val="clear" w:color="auto" w:fill="F2F2F2"/>
            <w:noWrap/>
            <w:hideMark/>
          </w:tcPr>
          <w:p w14:paraId="6CB7EB19" w14:textId="77777777" w:rsidR="000C57C8" w:rsidRPr="009C46D3" w:rsidRDefault="000C57C8" w:rsidP="00FB7BF4">
            <w:pPr>
              <w:jc w:val="center"/>
              <w:rPr>
                <w:rFonts w:eastAsia="Times New Roman" w:cs="Calibri"/>
                <w:color w:val="000000"/>
                <w:sz w:val="18"/>
                <w:szCs w:val="18"/>
                <w:lang w:eastAsia="cs-CZ"/>
              </w:rPr>
            </w:pPr>
            <w:r w:rsidRPr="009C46D3">
              <w:rPr>
                <w:rFonts w:eastAsia="Times New Roman" w:cs="Calibri"/>
                <w:color w:val="000000"/>
                <w:sz w:val="18"/>
                <w:szCs w:val="18"/>
                <w:lang w:eastAsia="cs-CZ"/>
              </w:rPr>
              <w:t>2012</w:t>
            </w:r>
          </w:p>
        </w:tc>
        <w:tc>
          <w:tcPr>
            <w:tcW w:w="392" w:type="pct"/>
            <w:tcBorders>
              <w:top w:val="single" w:sz="4" w:space="0" w:color="auto"/>
              <w:left w:val="nil"/>
              <w:bottom w:val="single" w:sz="4" w:space="0" w:color="auto"/>
              <w:right w:val="single" w:sz="4" w:space="0" w:color="auto"/>
            </w:tcBorders>
            <w:shd w:val="clear" w:color="auto" w:fill="F2F2F2"/>
            <w:noWrap/>
            <w:hideMark/>
          </w:tcPr>
          <w:p w14:paraId="66C30B2D" w14:textId="77777777" w:rsidR="000C57C8" w:rsidRPr="009C46D3" w:rsidRDefault="000C57C8" w:rsidP="00FB7BF4">
            <w:pPr>
              <w:jc w:val="center"/>
              <w:rPr>
                <w:rFonts w:eastAsia="Times New Roman" w:cs="Calibri"/>
                <w:sz w:val="18"/>
                <w:szCs w:val="18"/>
                <w:lang w:eastAsia="cs-CZ"/>
              </w:rPr>
            </w:pPr>
            <w:r w:rsidRPr="009C46D3">
              <w:rPr>
                <w:rFonts w:eastAsia="Times New Roman" w:cs="Calibri"/>
                <w:sz w:val="18"/>
                <w:szCs w:val="18"/>
                <w:lang w:eastAsia="cs-CZ"/>
              </w:rPr>
              <w:t>2013</w:t>
            </w:r>
          </w:p>
        </w:tc>
        <w:tc>
          <w:tcPr>
            <w:tcW w:w="392" w:type="pct"/>
            <w:tcBorders>
              <w:top w:val="single" w:sz="4" w:space="0" w:color="auto"/>
              <w:left w:val="nil"/>
              <w:bottom w:val="single" w:sz="4" w:space="0" w:color="auto"/>
              <w:right w:val="single" w:sz="4" w:space="0" w:color="auto"/>
            </w:tcBorders>
            <w:shd w:val="clear" w:color="auto" w:fill="F2F2F2"/>
            <w:noWrap/>
            <w:hideMark/>
          </w:tcPr>
          <w:p w14:paraId="6390A92B" w14:textId="77777777" w:rsidR="000C57C8" w:rsidRPr="009C46D3" w:rsidRDefault="000C57C8" w:rsidP="00FB7BF4">
            <w:pPr>
              <w:jc w:val="center"/>
              <w:rPr>
                <w:rFonts w:eastAsia="Times New Roman" w:cs="Calibri"/>
                <w:sz w:val="18"/>
                <w:szCs w:val="18"/>
                <w:lang w:eastAsia="cs-CZ"/>
              </w:rPr>
            </w:pPr>
            <w:r w:rsidRPr="009C46D3">
              <w:rPr>
                <w:rFonts w:eastAsia="Times New Roman" w:cs="Calibri"/>
                <w:sz w:val="18"/>
                <w:szCs w:val="18"/>
                <w:lang w:eastAsia="cs-CZ"/>
              </w:rPr>
              <w:t>2014</w:t>
            </w:r>
          </w:p>
        </w:tc>
        <w:tc>
          <w:tcPr>
            <w:tcW w:w="392" w:type="pct"/>
            <w:tcBorders>
              <w:top w:val="single" w:sz="4" w:space="0" w:color="auto"/>
              <w:left w:val="nil"/>
              <w:bottom w:val="single" w:sz="4" w:space="0" w:color="auto"/>
              <w:right w:val="single" w:sz="4" w:space="0" w:color="auto"/>
            </w:tcBorders>
            <w:shd w:val="clear" w:color="auto" w:fill="F2F2F2"/>
            <w:noWrap/>
            <w:hideMark/>
          </w:tcPr>
          <w:p w14:paraId="3FB6BF12" w14:textId="77777777" w:rsidR="000C57C8" w:rsidRPr="009C46D3" w:rsidRDefault="000C57C8" w:rsidP="00FB7BF4">
            <w:pPr>
              <w:jc w:val="center"/>
              <w:rPr>
                <w:rFonts w:eastAsia="Times New Roman" w:cs="Calibri"/>
                <w:sz w:val="18"/>
                <w:szCs w:val="18"/>
                <w:lang w:eastAsia="cs-CZ"/>
              </w:rPr>
            </w:pPr>
            <w:r w:rsidRPr="009C46D3">
              <w:rPr>
                <w:rFonts w:eastAsia="Times New Roman" w:cs="Calibri"/>
                <w:sz w:val="18"/>
                <w:szCs w:val="18"/>
                <w:lang w:eastAsia="cs-CZ"/>
              </w:rPr>
              <w:t>2015</w:t>
            </w:r>
          </w:p>
        </w:tc>
        <w:tc>
          <w:tcPr>
            <w:tcW w:w="392" w:type="pct"/>
            <w:tcBorders>
              <w:top w:val="single" w:sz="4" w:space="0" w:color="auto"/>
              <w:left w:val="nil"/>
              <w:bottom w:val="single" w:sz="4" w:space="0" w:color="auto"/>
              <w:right w:val="single" w:sz="4" w:space="0" w:color="auto"/>
            </w:tcBorders>
            <w:shd w:val="clear" w:color="auto" w:fill="F2F2F2"/>
            <w:noWrap/>
            <w:hideMark/>
          </w:tcPr>
          <w:p w14:paraId="60CCF752" w14:textId="77777777" w:rsidR="000C57C8" w:rsidRPr="009C46D3" w:rsidRDefault="000C57C8" w:rsidP="00FB7BF4">
            <w:pPr>
              <w:jc w:val="center"/>
              <w:rPr>
                <w:rFonts w:eastAsia="Times New Roman" w:cs="Calibri"/>
                <w:sz w:val="18"/>
                <w:szCs w:val="18"/>
                <w:lang w:eastAsia="cs-CZ"/>
              </w:rPr>
            </w:pPr>
            <w:r w:rsidRPr="009C46D3">
              <w:rPr>
                <w:rFonts w:eastAsia="Times New Roman" w:cs="Calibri"/>
                <w:sz w:val="18"/>
                <w:szCs w:val="18"/>
                <w:lang w:eastAsia="cs-CZ"/>
              </w:rPr>
              <w:t>2016</w:t>
            </w:r>
          </w:p>
        </w:tc>
        <w:tc>
          <w:tcPr>
            <w:tcW w:w="392" w:type="pct"/>
            <w:tcBorders>
              <w:top w:val="single" w:sz="4" w:space="0" w:color="auto"/>
              <w:left w:val="nil"/>
              <w:bottom w:val="single" w:sz="4" w:space="0" w:color="auto"/>
              <w:right w:val="single" w:sz="4" w:space="0" w:color="auto"/>
            </w:tcBorders>
            <w:shd w:val="clear" w:color="auto" w:fill="F2F2F2"/>
            <w:noWrap/>
            <w:hideMark/>
          </w:tcPr>
          <w:p w14:paraId="3238E034" w14:textId="77777777" w:rsidR="000C57C8" w:rsidRPr="009C46D3" w:rsidRDefault="000C57C8" w:rsidP="00FB7BF4">
            <w:pPr>
              <w:jc w:val="center"/>
              <w:rPr>
                <w:rFonts w:eastAsia="Times New Roman" w:cs="Calibri"/>
                <w:sz w:val="18"/>
                <w:szCs w:val="18"/>
                <w:lang w:eastAsia="cs-CZ"/>
              </w:rPr>
            </w:pPr>
            <w:r w:rsidRPr="009C46D3">
              <w:rPr>
                <w:rFonts w:eastAsia="Times New Roman" w:cs="Calibri"/>
                <w:sz w:val="18"/>
                <w:szCs w:val="18"/>
                <w:lang w:eastAsia="cs-CZ"/>
              </w:rPr>
              <w:t>2017</w:t>
            </w:r>
          </w:p>
        </w:tc>
        <w:tc>
          <w:tcPr>
            <w:tcW w:w="392" w:type="pct"/>
            <w:tcBorders>
              <w:top w:val="single" w:sz="4" w:space="0" w:color="auto"/>
              <w:left w:val="nil"/>
              <w:bottom w:val="single" w:sz="4" w:space="0" w:color="auto"/>
              <w:right w:val="single" w:sz="4" w:space="0" w:color="auto"/>
            </w:tcBorders>
            <w:shd w:val="clear" w:color="auto" w:fill="F2F2F2"/>
            <w:noWrap/>
            <w:hideMark/>
          </w:tcPr>
          <w:p w14:paraId="4AFDF572" w14:textId="77777777" w:rsidR="000C57C8" w:rsidRPr="009C46D3" w:rsidRDefault="000C57C8" w:rsidP="00FB7BF4">
            <w:pPr>
              <w:jc w:val="center"/>
              <w:rPr>
                <w:rFonts w:eastAsia="Times New Roman" w:cs="Calibri"/>
                <w:sz w:val="18"/>
                <w:szCs w:val="18"/>
                <w:lang w:eastAsia="cs-CZ"/>
              </w:rPr>
            </w:pPr>
            <w:r w:rsidRPr="009C46D3">
              <w:rPr>
                <w:rFonts w:eastAsia="Times New Roman" w:cs="Calibri"/>
                <w:sz w:val="18"/>
                <w:szCs w:val="18"/>
                <w:lang w:eastAsia="cs-CZ"/>
              </w:rPr>
              <w:t>2018</w:t>
            </w:r>
          </w:p>
        </w:tc>
        <w:tc>
          <w:tcPr>
            <w:tcW w:w="392" w:type="pct"/>
            <w:tcBorders>
              <w:top w:val="single" w:sz="4" w:space="0" w:color="auto"/>
              <w:left w:val="nil"/>
              <w:bottom w:val="single" w:sz="4" w:space="0" w:color="auto"/>
              <w:right w:val="single" w:sz="4" w:space="0" w:color="auto"/>
            </w:tcBorders>
            <w:shd w:val="clear" w:color="auto" w:fill="F2F2F2"/>
            <w:noWrap/>
            <w:hideMark/>
          </w:tcPr>
          <w:p w14:paraId="0BBDE5FE" w14:textId="77777777" w:rsidR="000C57C8" w:rsidRPr="009C46D3" w:rsidRDefault="000C57C8" w:rsidP="00FB7BF4">
            <w:pPr>
              <w:jc w:val="center"/>
              <w:rPr>
                <w:rFonts w:eastAsia="Times New Roman" w:cs="Calibri"/>
                <w:sz w:val="18"/>
                <w:szCs w:val="18"/>
                <w:lang w:eastAsia="cs-CZ"/>
              </w:rPr>
            </w:pPr>
            <w:r w:rsidRPr="009C46D3">
              <w:rPr>
                <w:rFonts w:eastAsia="Times New Roman" w:cs="Calibri"/>
                <w:sz w:val="18"/>
                <w:szCs w:val="18"/>
                <w:lang w:eastAsia="cs-CZ"/>
              </w:rPr>
              <w:t>2019</w:t>
            </w:r>
          </w:p>
        </w:tc>
      </w:tr>
      <w:tr w:rsidR="000C57C8" w:rsidRPr="009C46D3" w14:paraId="305B5B00" w14:textId="77777777" w:rsidTr="00FB7BF4">
        <w:trPr>
          <w:trHeight w:hRule="exact" w:val="340"/>
        </w:trPr>
        <w:tc>
          <w:tcPr>
            <w:tcW w:w="1471" w:type="pct"/>
            <w:tcBorders>
              <w:top w:val="nil"/>
              <w:left w:val="single" w:sz="4" w:space="0" w:color="auto"/>
              <w:bottom w:val="single" w:sz="4" w:space="0" w:color="auto"/>
              <w:right w:val="single" w:sz="4" w:space="0" w:color="auto"/>
            </w:tcBorders>
            <w:shd w:val="clear" w:color="auto" w:fill="auto"/>
            <w:hideMark/>
          </w:tcPr>
          <w:p w14:paraId="4A2681E3" w14:textId="77777777" w:rsidR="000C57C8" w:rsidRPr="009C46D3" w:rsidRDefault="000C57C8" w:rsidP="00FB7BF4">
            <w:pPr>
              <w:rPr>
                <w:rFonts w:eastAsia="Times New Roman" w:cs="Calibri"/>
                <w:sz w:val="18"/>
                <w:szCs w:val="18"/>
                <w:lang w:eastAsia="cs-CZ"/>
              </w:rPr>
            </w:pPr>
            <w:r w:rsidRPr="009C46D3">
              <w:rPr>
                <w:rFonts w:eastAsia="Times New Roman" w:cs="Calibri"/>
                <w:sz w:val="18"/>
                <w:szCs w:val="18"/>
                <w:lang w:eastAsia="cs-CZ"/>
              </w:rPr>
              <w:t>Přirozený přírůstek</w:t>
            </w:r>
          </w:p>
        </w:tc>
        <w:tc>
          <w:tcPr>
            <w:tcW w:w="392" w:type="pct"/>
            <w:tcBorders>
              <w:top w:val="nil"/>
              <w:left w:val="nil"/>
              <w:bottom w:val="single" w:sz="4" w:space="0" w:color="auto"/>
              <w:right w:val="single" w:sz="4" w:space="0" w:color="auto"/>
            </w:tcBorders>
            <w:shd w:val="clear" w:color="auto" w:fill="auto"/>
            <w:noWrap/>
            <w:vAlign w:val="bottom"/>
            <w:hideMark/>
          </w:tcPr>
          <w:p w14:paraId="4251C917"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-83 </w:t>
            </w:r>
          </w:p>
        </w:tc>
        <w:tc>
          <w:tcPr>
            <w:tcW w:w="392" w:type="pct"/>
            <w:tcBorders>
              <w:top w:val="nil"/>
              <w:left w:val="nil"/>
              <w:bottom w:val="single" w:sz="4" w:space="0" w:color="auto"/>
              <w:right w:val="single" w:sz="4" w:space="0" w:color="auto"/>
            </w:tcBorders>
            <w:shd w:val="clear" w:color="auto" w:fill="auto"/>
            <w:noWrap/>
            <w:vAlign w:val="bottom"/>
            <w:hideMark/>
          </w:tcPr>
          <w:p w14:paraId="569C5936"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21 </w:t>
            </w:r>
          </w:p>
        </w:tc>
        <w:tc>
          <w:tcPr>
            <w:tcW w:w="392" w:type="pct"/>
            <w:tcBorders>
              <w:top w:val="nil"/>
              <w:left w:val="nil"/>
              <w:bottom w:val="single" w:sz="4" w:space="0" w:color="auto"/>
              <w:right w:val="single" w:sz="4" w:space="0" w:color="auto"/>
            </w:tcBorders>
            <w:shd w:val="clear" w:color="auto" w:fill="auto"/>
            <w:noWrap/>
            <w:vAlign w:val="bottom"/>
            <w:hideMark/>
          </w:tcPr>
          <w:p w14:paraId="47174EFF"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-119 </w:t>
            </w:r>
          </w:p>
        </w:tc>
        <w:tc>
          <w:tcPr>
            <w:tcW w:w="392" w:type="pct"/>
            <w:tcBorders>
              <w:top w:val="nil"/>
              <w:left w:val="nil"/>
              <w:bottom w:val="single" w:sz="4" w:space="0" w:color="auto"/>
              <w:right w:val="single" w:sz="4" w:space="0" w:color="auto"/>
            </w:tcBorders>
            <w:shd w:val="clear" w:color="auto" w:fill="auto"/>
            <w:noWrap/>
            <w:vAlign w:val="bottom"/>
            <w:hideMark/>
          </w:tcPr>
          <w:p w14:paraId="643E796E"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-40 </w:t>
            </w:r>
          </w:p>
        </w:tc>
        <w:tc>
          <w:tcPr>
            <w:tcW w:w="392" w:type="pct"/>
            <w:tcBorders>
              <w:top w:val="nil"/>
              <w:left w:val="nil"/>
              <w:bottom w:val="single" w:sz="4" w:space="0" w:color="auto"/>
              <w:right w:val="single" w:sz="4" w:space="0" w:color="auto"/>
            </w:tcBorders>
            <w:shd w:val="clear" w:color="auto" w:fill="auto"/>
            <w:noWrap/>
            <w:vAlign w:val="bottom"/>
            <w:hideMark/>
          </w:tcPr>
          <w:p w14:paraId="4BC56746"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-65 </w:t>
            </w:r>
          </w:p>
        </w:tc>
        <w:tc>
          <w:tcPr>
            <w:tcW w:w="392" w:type="pct"/>
            <w:tcBorders>
              <w:top w:val="nil"/>
              <w:left w:val="nil"/>
              <w:bottom w:val="single" w:sz="4" w:space="0" w:color="auto"/>
              <w:right w:val="single" w:sz="4" w:space="0" w:color="auto"/>
            </w:tcBorders>
            <w:shd w:val="clear" w:color="auto" w:fill="auto"/>
            <w:noWrap/>
            <w:vAlign w:val="bottom"/>
            <w:hideMark/>
          </w:tcPr>
          <w:p w14:paraId="6F17BB00"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-6 </w:t>
            </w:r>
          </w:p>
        </w:tc>
        <w:tc>
          <w:tcPr>
            <w:tcW w:w="392" w:type="pct"/>
            <w:tcBorders>
              <w:top w:val="nil"/>
              <w:left w:val="nil"/>
              <w:bottom w:val="single" w:sz="4" w:space="0" w:color="auto"/>
              <w:right w:val="single" w:sz="4" w:space="0" w:color="auto"/>
            </w:tcBorders>
            <w:shd w:val="clear" w:color="auto" w:fill="auto"/>
            <w:noWrap/>
            <w:vAlign w:val="bottom"/>
            <w:hideMark/>
          </w:tcPr>
          <w:p w14:paraId="7C6DCF48"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-79 </w:t>
            </w:r>
          </w:p>
        </w:tc>
        <w:tc>
          <w:tcPr>
            <w:tcW w:w="392" w:type="pct"/>
            <w:tcBorders>
              <w:top w:val="nil"/>
              <w:left w:val="nil"/>
              <w:bottom w:val="single" w:sz="4" w:space="0" w:color="auto"/>
              <w:right w:val="single" w:sz="4" w:space="0" w:color="auto"/>
            </w:tcBorders>
            <w:shd w:val="clear" w:color="auto" w:fill="auto"/>
            <w:noWrap/>
            <w:vAlign w:val="bottom"/>
            <w:hideMark/>
          </w:tcPr>
          <w:p w14:paraId="1BB5E6BC"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-12 </w:t>
            </w:r>
          </w:p>
        </w:tc>
        <w:tc>
          <w:tcPr>
            <w:tcW w:w="392" w:type="pct"/>
            <w:tcBorders>
              <w:top w:val="nil"/>
              <w:left w:val="nil"/>
              <w:bottom w:val="single" w:sz="4" w:space="0" w:color="auto"/>
              <w:right w:val="single" w:sz="4" w:space="0" w:color="auto"/>
            </w:tcBorders>
            <w:shd w:val="clear" w:color="auto" w:fill="auto"/>
            <w:noWrap/>
            <w:vAlign w:val="bottom"/>
            <w:hideMark/>
          </w:tcPr>
          <w:p w14:paraId="2C616B3A"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-67 </w:t>
            </w:r>
          </w:p>
        </w:tc>
      </w:tr>
      <w:tr w:rsidR="000C57C8" w:rsidRPr="009C46D3" w14:paraId="58B4E6E4" w14:textId="77777777" w:rsidTr="00FB7BF4">
        <w:trPr>
          <w:trHeight w:hRule="exact" w:val="340"/>
        </w:trPr>
        <w:tc>
          <w:tcPr>
            <w:tcW w:w="1471" w:type="pct"/>
            <w:tcBorders>
              <w:top w:val="nil"/>
              <w:left w:val="single" w:sz="4" w:space="0" w:color="auto"/>
              <w:bottom w:val="single" w:sz="4" w:space="0" w:color="auto"/>
              <w:right w:val="single" w:sz="4" w:space="0" w:color="auto"/>
            </w:tcBorders>
            <w:shd w:val="clear" w:color="auto" w:fill="auto"/>
            <w:hideMark/>
          </w:tcPr>
          <w:p w14:paraId="3BBEDB0E" w14:textId="77777777" w:rsidR="000C57C8" w:rsidRPr="009C46D3" w:rsidRDefault="000C57C8" w:rsidP="00FB7BF4">
            <w:pPr>
              <w:rPr>
                <w:rFonts w:eastAsia="Times New Roman" w:cs="Calibri"/>
                <w:sz w:val="18"/>
                <w:szCs w:val="18"/>
                <w:lang w:eastAsia="cs-CZ"/>
              </w:rPr>
            </w:pPr>
            <w:r w:rsidRPr="009C46D3">
              <w:rPr>
                <w:rFonts w:eastAsia="Times New Roman" w:cs="Calibri"/>
                <w:sz w:val="18"/>
                <w:szCs w:val="18"/>
                <w:lang w:eastAsia="cs-CZ"/>
              </w:rPr>
              <w:t xml:space="preserve">Přírůstek </w:t>
            </w:r>
            <w:r w:rsidRPr="00BC683E">
              <w:rPr>
                <w:rFonts w:eastAsia="Times New Roman" w:cs="Calibri"/>
                <w:sz w:val="18"/>
                <w:szCs w:val="18"/>
                <w:lang w:eastAsia="cs-CZ"/>
              </w:rPr>
              <w:t>stěhov./migrační saldo</w:t>
            </w:r>
          </w:p>
        </w:tc>
        <w:tc>
          <w:tcPr>
            <w:tcW w:w="392" w:type="pct"/>
            <w:tcBorders>
              <w:top w:val="nil"/>
              <w:left w:val="nil"/>
              <w:bottom w:val="single" w:sz="4" w:space="0" w:color="auto"/>
              <w:right w:val="single" w:sz="4" w:space="0" w:color="auto"/>
            </w:tcBorders>
            <w:shd w:val="clear" w:color="auto" w:fill="auto"/>
            <w:noWrap/>
            <w:vAlign w:val="bottom"/>
            <w:hideMark/>
          </w:tcPr>
          <w:p w14:paraId="23E66993"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-132 </w:t>
            </w:r>
          </w:p>
        </w:tc>
        <w:tc>
          <w:tcPr>
            <w:tcW w:w="392" w:type="pct"/>
            <w:tcBorders>
              <w:top w:val="nil"/>
              <w:left w:val="nil"/>
              <w:bottom w:val="single" w:sz="4" w:space="0" w:color="auto"/>
              <w:right w:val="single" w:sz="4" w:space="0" w:color="auto"/>
            </w:tcBorders>
            <w:shd w:val="clear" w:color="auto" w:fill="auto"/>
            <w:noWrap/>
            <w:vAlign w:val="bottom"/>
            <w:hideMark/>
          </w:tcPr>
          <w:p w14:paraId="596CFCCD"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-126 </w:t>
            </w:r>
          </w:p>
        </w:tc>
        <w:tc>
          <w:tcPr>
            <w:tcW w:w="392" w:type="pct"/>
            <w:tcBorders>
              <w:top w:val="nil"/>
              <w:left w:val="nil"/>
              <w:bottom w:val="single" w:sz="4" w:space="0" w:color="auto"/>
              <w:right w:val="single" w:sz="4" w:space="0" w:color="auto"/>
            </w:tcBorders>
            <w:shd w:val="clear" w:color="auto" w:fill="auto"/>
            <w:noWrap/>
            <w:vAlign w:val="bottom"/>
            <w:hideMark/>
          </w:tcPr>
          <w:p w14:paraId="452B1A7E"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-158 </w:t>
            </w:r>
          </w:p>
        </w:tc>
        <w:tc>
          <w:tcPr>
            <w:tcW w:w="392" w:type="pct"/>
            <w:tcBorders>
              <w:top w:val="nil"/>
              <w:left w:val="nil"/>
              <w:bottom w:val="single" w:sz="4" w:space="0" w:color="auto"/>
              <w:right w:val="single" w:sz="4" w:space="0" w:color="auto"/>
            </w:tcBorders>
            <w:shd w:val="clear" w:color="auto" w:fill="auto"/>
            <w:noWrap/>
            <w:vAlign w:val="bottom"/>
            <w:hideMark/>
          </w:tcPr>
          <w:p w14:paraId="21A41B55"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-126 </w:t>
            </w:r>
          </w:p>
        </w:tc>
        <w:tc>
          <w:tcPr>
            <w:tcW w:w="392" w:type="pct"/>
            <w:tcBorders>
              <w:top w:val="nil"/>
              <w:left w:val="nil"/>
              <w:bottom w:val="single" w:sz="4" w:space="0" w:color="auto"/>
              <w:right w:val="single" w:sz="4" w:space="0" w:color="auto"/>
            </w:tcBorders>
            <w:shd w:val="clear" w:color="auto" w:fill="auto"/>
            <w:noWrap/>
            <w:vAlign w:val="bottom"/>
            <w:hideMark/>
          </w:tcPr>
          <w:p w14:paraId="2FB95144"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124 </w:t>
            </w:r>
          </w:p>
        </w:tc>
        <w:tc>
          <w:tcPr>
            <w:tcW w:w="392" w:type="pct"/>
            <w:tcBorders>
              <w:top w:val="nil"/>
              <w:left w:val="nil"/>
              <w:bottom w:val="single" w:sz="4" w:space="0" w:color="auto"/>
              <w:right w:val="single" w:sz="4" w:space="0" w:color="auto"/>
            </w:tcBorders>
            <w:shd w:val="clear" w:color="auto" w:fill="auto"/>
            <w:noWrap/>
            <w:vAlign w:val="bottom"/>
            <w:hideMark/>
          </w:tcPr>
          <w:p w14:paraId="736F58D2"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-48 </w:t>
            </w:r>
          </w:p>
        </w:tc>
        <w:tc>
          <w:tcPr>
            <w:tcW w:w="392" w:type="pct"/>
            <w:tcBorders>
              <w:top w:val="nil"/>
              <w:left w:val="nil"/>
              <w:bottom w:val="single" w:sz="4" w:space="0" w:color="auto"/>
              <w:right w:val="single" w:sz="4" w:space="0" w:color="auto"/>
            </w:tcBorders>
            <w:shd w:val="clear" w:color="auto" w:fill="auto"/>
            <w:noWrap/>
            <w:vAlign w:val="bottom"/>
            <w:hideMark/>
          </w:tcPr>
          <w:p w14:paraId="11AF5632"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-91 </w:t>
            </w:r>
          </w:p>
        </w:tc>
        <w:tc>
          <w:tcPr>
            <w:tcW w:w="392" w:type="pct"/>
            <w:tcBorders>
              <w:top w:val="nil"/>
              <w:left w:val="nil"/>
              <w:bottom w:val="single" w:sz="4" w:space="0" w:color="auto"/>
              <w:right w:val="single" w:sz="4" w:space="0" w:color="auto"/>
            </w:tcBorders>
            <w:shd w:val="clear" w:color="auto" w:fill="auto"/>
            <w:noWrap/>
            <w:vAlign w:val="bottom"/>
            <w:hideMark/>
          </w:tcPr>
          <w:p w14:paraId="0E8A70D8"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62 </w:t>
            </w:r>
          </w:p>
        </w:tc>
        <w:tc>
          <w:tcPr>
            <w:tcW w:w="392" w:type="pct"/>
            <w:tcBorders>
              <w:top w:val="nil"/>
              <w:left w:val="nil"/>
              <w:bottom w:val="single" w:sz="4" w:space="0" w:color="auto"/>
              <w:right w:val="single" w:sz="4" w:space="0" w:color="auto"/>
            </w:tcBorders>
            <w:shd w:val="clear" w:color="auto" w:fill="auto"/>
            <w:noWrap/>
            <w:vAlign w:val="bottom"/>
            <w:hideMark/>
          </w:tcPr>
          <w:p w14:paraId="7017B62E"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5 </w:t>
            </w:r>
          </w:p>
        </w:tc>
      </w:tr>
      <w:tr w:rsidR="000C57C8" w:rsidRPr="009C46D3" w14:paraId="6D71CCBB" w14:textId="77777777" w:rsidTr="00FB7BF4">
        <w:trPr>
          <w:trHeight w:hRule="exact" w:val="340"/>
        </w:trPr>
        <w:tc>
          <w:tcPr>
            <w:tcW w:w="1471" w:type="pct"/>
            <w:tcBorders>
              <w:top w:val="nil"/>
              <w:left w:val="single" w:sz="4" w:space="0" w:color="auto"/>
              <w:bottom w:val="single" w:sz="4" w:space="0" w:color="auto"/>
              <w:right w:val="single" w:sz="4" w:space="0" w:color="auto"/>
            </w:tcBorders>
            <w:shd w:val="clear" w:color="auto" w:fill="auto"/>
            <w:hideMark/>
          </w:tcPr>
          <w:p w14:paraId="2F0A8D20" w14:textId="77777777" w:rsidR="000C57C8" w:rsidRPr="009C46D3" w:rsidRDefault="000C57C8" w:rsidP="00FB7BF4">
            <w:pPr>
              <w:rPr>
                <w:rFonts w:eastAsia="Times New Roman" w:cs="Calibri"/>
                <w:sz w:val="18"/>
                <w:szCs w:val="18"/>
                <w:lang w:eastAsia="cs-CZ"/>
              </w:rPr>
            </w:pPr>
            <w:r w:rsidRPr="009C46D3">
              <w:rPr>
                <w:rFonts w:eastAsia="Times New Roman" w:cs="Calibri"/>
                <w:sz w:val="18"/>
                <w:szCs w:val="18"/>
                <w:lang w:eastAsia="cs-CZ"/>
              </w:rPr>
              <w:t xml:space="preserve">Celkový přírůstek </w:t>
            </w:r>
          </w:p>
        </w:tc>
        <w:tc>
          <w:tcPr>
            <w:tcW w:w="392" w:type="pct"/>
            <w:tcBorders>
              <w:top w:val="nil"/>
              <w:left w:val="nil"/>
              <w:bottom w:val="single" w:sz="4" w:space="0" w:color="auto"/>
              <w:right w:val="single" w:sz="4" w:space="0" w:color="auto"/>
            </w:tcBorders>
            <w:shd w:val="clear" w:color="auto" w:fill="auto"/>
            <w:noWrap/>
            <w:vAlign w:val="bottom"/>
            <w:hideMark/>
          </w:tcPr>
          <w:p w14:paraId="42D4C55D"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-215 </w:t>
            </w:r>
          </w:p>
        </w:tc>
        <w:tc>
          <w:tcPr>
            <w:tcW w:w="392" w:type="pct"/>
            <w:tcBorders>
              <w:top w:val="nil"/>
              <w:left w:val="nil"/>
              <w:bottom w:val="single" w:sz="4" w:space="0" w:color="auto"/>
              <w:right w:val="single" w:sz="4" w:space="0" w:color="auto"/>
            </w:tcBorders>
            <w:shd w:val="clear" w:color="auto" w:fill="auto"/>
            <w:noWrap/>
            <w:vAlign w:val="bottom"/>
            <w:hideMark/>
          </w:tcPr>
          <w:p w14:paraId="77A45839"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-105 </w:t>
            </w:r>
          </w:p>
        </w:tc>
        <w:tc>
          <w:tcPr>
            <w:tcW w:w="392" w:type="pct"/>
            <w:tcBorders>
              <w:top w:val="nil"/>
              <w:left w:val="nil"/>
              <w:bottom w:val="single" w:sz="4" w:space="0" w:color="auto"/>
              <w:right w:val="single" w:sz="4" w:space="0" w:color="auto"/>
            </w:tcBorders>
            <w:shd w:val="clear" w:color="auto" w:fill="auto"/>
            <w:noWrap/>
            <w:vAlign w:val="bottom"/>
            <w:hideMark/>
          </w:tcPr>
          <w:p w14:paraId="76D981EF"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-277 </w:t>
            </w:r>
          </w:p>
        </w:tc>
        <w:tc>
          <w:tcPr>
            <w:tcW w:w="392" w:type="pct"/>
            <w:tcBorders>
              <w:top w:val="nil"/>
              <w:left w:val="nil"/>
              <w:bottom w:val="single" w:sz="4" w:space="0" w:color="auto"/>
              <w:right w:val="single" w:sz="4" w:space="0" w:color="auto"/>
            </w:tcBorders>
            <w:shd w:val="clear" w:color="auto" w:fill="auto"/>
            <w:noWrap/>
            <w:vAlign w:val="bottom"/>
            <w:hideMark/>
          </w:tcPr>
          <w:p w14:paraId="115A9827"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-166 </w:t>
            </w:r>
          </w:p>
        </w:tc>
        <w:tc>
          <w:tcPr>
            <w:tcW w:w="392" w:type="pct"/>
            <w:tcBorders>
              <w:top w:val="nil"/>
              <w:left w:val="nil"/>
              <w:bottom w:val="single" w:sz="4" w:space="0" w:color="auto"/>
              <w:right w:val="single" w:sz="4" w:space="0" w:color="auto"/>
            </w:tcBorders>
            <w:shd w:val="clear" w:color="auto" w:fill="auto"/>
            <w:noWrap/>
            <w:vAlign w:val="bottom"/>
            <w:hideMark/>
          </w:tcPr>
          <w:p w14:paraId="5B8BBA0D"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59 </w:t>
            </w:r>
          </w:p>
        </w:tc>
        <w:tc>
          <w:tcPr>
            <w:tcW w:w="392" w:type="pct"/>
            <w:tcBorders>
              <w:top w:val="nil"/>
              <w:left w:val="nil"/>
              <w:bottom w:val="single" w:sz="4" w:space="0" w:color="auto"/>
              <w:right w:val="single" w:sz="4" w:space="0" w:color="auto"/>
            </w:tcBorders>
            <w:shd w:val="clear" w:color="auto" w:fill="auto"/>
            <w:noWrap/>
            <w:vAlign w:val="bottom"/>
            <w:hideMark/>
          </w:tcPr>
          <w:p w14:paraId="1A6D732B"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-54 </w:t>
            </w:r>
          </w:p>
        </w:tc>
        <w:tc>
          <w:tcPr>
            <w:tcW w:w="392" w:type="pct"/>
            <w:tcBorders>
              <w:top w:val="nil"/>
              <w:left w:val="nil"/>
              <w:bottom w:val="single" w:sz="4" w:space="0" w:color="auto"/>
              <w:right w:val="single" w:sz="4" w:space="0" w:color="auto"/>
            </w:tcBorders>
            <w:shd w:val="clear" w:color="auto" w:fill="auto"/>
            <w:noWrap/>
            <w:vAlign w:val="bottom"/>
            <w:hideMark/>
          </w:tcPr>
          <w:p w14:paraId="73E8086B"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-170 </w:t>
            </w:r>
          </w:p>
        </w:tc>
        <w:tc>
          <w:tcPr>
            <w:tcW w:w="392" w:type="pct"/>
            <w:tcBorders>
              <w:top w:val="nil"/>
              <w:left w:val="nil"/>
              <w:bottom w:val="single" w:sz="4" w:space="0" w:color="auto"/>
              <w:right w:val="single" w:sz="4" w:space="0" w:color="auto"/>
            </w:tcBorders>
            <w:shd w:val="clear" w:color="auto" w:fill="auto"/>
            <w:noWrap/>
            <w:vAlign w:val="bottom"/>
            <w:hideMark/>
          </w:tcPr>
          <w:p w14:paraId="2797DBDF"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50 </w:t>
            </w:r>
          </w:p>
        </w:tc>
        <w:tc>
          <w:tcPr>
            <w:tcW w:w="392" w:type="pct"/>
            <w:tcBorders>
              <w:top w:val="nil"/>
              <w:left w:val="nil"/>
              <w:bottom w:val="single" w:sz="4" w:space="0" w:color="auto"/>
              <w:right w:val="single" w:sz="4" w:space="0" w:color="auto"/>
            </w:tcBorders>
            <w:shd w:val="clear" w:color="auto" w:fill="auto"/>
            <w:noWrap/>
            <w:vAlign w:val="bottom"/>
            <w:hideMark/>
          </w:tcPr>
          <w:p w14:paraId="07DABC2D" w14:textId="77777777" w:rsidR="000C57C8" w:rsidRPr="009C46D3" w:rsidRDefault="000C57C8" w:rsidP="00FB7BF4">
            <w:pPr>
              <w:jc w:val="right"/>
              <w:rPr>
                <w:rFonts w:eastAsia="Times New Roman" w:cs="Calibri"/>
                <w:color w:val="000000"/>
                <w:sz w:val="18"/>
                <w:szCs w:val="18"/>
                <w:lang w:eastAsia="cs-CZ"/>
              </w:rPr>
            </w:pPr>
            <w:r w:rsidRPr="009C46D3">
              <w:rPr>
                <w:rFonts w:eastAsia="Times New Roman" w:cs="Calibri"/>
                <w:color w:val="000000"/>
                <w:sz w:val="18"/>
                <w:szCs w:val="18"/>
                <w:lang w:eastAsia="cs-CZ"/>
              </w:rPr>
              <w:t xml:space="preserve">-62 </w:t>
            </w:r>
          </w:p>
        </w:tc>
      </w:tr>
    </w:tbl>
    <w:p w14:paraId="41C81F97" w14:textId="387C7D01" w:rsidR="000C57C8" w:rsidRPr="000F3C39" w:rsidRDefault="000C57C8" w:rsidP="000C57C8">
      <w:pPr>
        <w:rPr>
          <w:i/>
          <w:iCs/>
          <w:sz w:val="18"/>
          <w:szCs w:val="18"/>
        </w:rPr>
      </w:pPr>
      <w:r w:rsidRPr="000F3C39">
        <w:rPr>
          <w:i/>
          <w:iCs/>
          <w:sz w:val="18"/>
          <w:szCs w:val="18"/>
        </w:rPr>
        <w:t>Zdroj: ČSÚ, veřejná databáze, zpracování PROCES</w:t>
      </w:r>
      <w:r w:rsidR="000856A7">
        <w:rPr>
          <w:i/>
          <w:iCs/>
          <w:sz w:val="18"/>
          <w:szCs w:val="18"/>
        </w:rPr>
        <w:t>, 2020.</w:t>
      </w:r>
    </w:p>
    <w:p w14:paraId="3570AEDC" w14:textId="5FEA992E" w:rsidR="000C57C8" w:rsidRDefault="000C57C8" w:rsidP="000C57C8">
      <w:pPr>
        <w:pStyle w:val="Titulek"/>
        <w:keepNext/>
        <w:keepLines/>
      </w:pPr>
      <w:bookmarkStart w:id="1058" w:name="_Toc48564819"/>
      <w:bookmarkStart w:id="1059" w:name="_Toc54702662"/>
      <w:bookmarkStart w:id="1060" w:name="_Toc56179469"/>
      <w:bookmarkStart w:id="1061" w:name="_Toc57731827"/>
      <w:bookmarkStart w:id="1062" w:name="_Toc77074811"/>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4</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2</w:t>
      </w:r>
      <w:r w:rsidR="004857C6">
        <w:rPr>
          <w:noProof/>
        </w:rPr>
        <w:fldChar w:fldCharType="end"/>
      </w:r>
      <w:r>
        <w:t xml:space="preserve"> Počet tr</w:t>
      </w:r>
      <w:r w:rsidR="000856A7">
        <w:t>:</w:t>
      </w:r>
      <w:r>
        <w:t>estných činů podle klasifikace v rámci OOP Zlín 2013</w:t>
      </w:r>
      <w:r w:rsidR="000856A7">
        <w:t xml:space="preserve"> </w:t>
      </w:r>
      <w:r w:rsidR="000856A7">
        <w:sym w:font="Symbol" w:char="F02D"/>
      </w:r>
      <w:r w:rsidR="000856A7">
        <w:t xml:space="preserve"> </w:t>
      </w:r>
      <w:r>
        <w:t>2019</w:t>
      </w:r>
      <w:bookmarkEnd w:id="1058"/>
      <w:bookmarkEnd w:id="1059"/>
      <w:bookmarkEnd w:id="1060"/>
      <w:bookmarkEnd w:id="1061"/>
      <w:bookmarkEnd w:id="1062"/>
    </w:p>
    <w:p w14:paraId="3EF100F1" w14:textId="77777777" w:rsidR="000C57C8" w:rsidRDefault="000C57C8" w:rsidP="000C57C8">
      <w:pPr>
        <w:keepNext/>
      </w:pPr>
      <w:r w:rsidRPr="00C94AA3">
        <w:rPr>
          <w:noProof/>
          <w:lang w:eastAsia="cs-CZ"/>
        </w:rPr>
        <w:drawing>
          <wp:inline distT="0" distB="0" distL="0" distR="0" wp14:anchorId="4A29FFAB" wp14:editId="48421D42">
            <wp:extent cx="5562600" cy="2600325"/>
            <wp:effectExtent l="0" t="0" r="0" b="9525"/>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562600" cy="2600325"/>
                    </a:xfrm>
                    <a:prstGeom prst="rect">
                      <a:avLst/>
                    </a:prstGeom>
                    <a:noFill/>
                    <a:ln>
                      <a:noFill/>
                    </a:ln>
                  </pic:spPr>
                </pic:pic>
              </a:graphicData>
            </a:graphic>
          </wp:inline>
        </w:drawing>
      </w:r>
    </w:p>
    <w:p w14:paraId="3EBE0148" w14:textId="7F37CC8A" w:rsidR="000C57C8" w:rsidRDefault="000C57C8" w:rsidP="000C57C8">
      <w:pPr>
        <w:spacing w:before="0"/>
        <w:contextualSpacing/>
        <w:rPr>
          <w:i/>
          <w:iCs/>
          <w:sz w:val="20"/>
        </w:rPr>
      </w:pPr>
      <w:r w:rsidRPr="000F3C39">
        <w:rPr>
          <w:i/>
          <w:iCs/>
          <w:sz w:val="20"/>
        </w:rPr>
        <w:t>Zdroj: Policie České republiky, zpracování PROCES</w:t>
      </w:r>
      <w:r w:rsidR="000856A7">
        <w:rPr>
          <w:i/>
          <w:iCs/>
          <w:sz w:val="20"/>
        </w:rPr>
        <w:t>, 2020.</w:t>
      </w:r>
    </w:p>
    <w:p w14:paraId="1A43F7EE" w14:textId="77777777" w:rsidR="000C57C8" w:rsidRPr="000F3C39" w:rsidRDefault="000C57C8" w:rsidP="000C57C8">
      <w:pPr>
        <w:contextualSpacing/>
        <w:rPr>
          <w:i/>
          <w:iCs/>
          <w:sz w:val="20"/>
        </w:rPr>
      </w:pPr>
      <w:r w:rsidRPr="000F3C39">
        <w:rPr>
          <w:i/>
          <w:iCs/>
          <w:sz w:val="20"/>
        </w:rPr>
        <w:t>Pozn.: Tmavě červená barva značí nejvyšší hodnoty, tmavě modrá hodnoty nejnižší. Ve vývojových grafech je maximum označeno červenou barvou, minimum pak barvou modrou, jednotlivé sloupcové grafy jsou ve stejném měřítku a jsou tak vzájemně porovnatelné napříč jednotlivými klasifikacemi trestných činů.</w:t>
      </w:r>
    </w:p>
    <w:p w14:paraId="3C8B37F5" w14:textId="77777777" w:rsidR="000C57C8" w:rsidRDefault="000C57C8" w:rsidP="000C57C8">
      <w:pPr>
        <w:spacing w:before="240" w:after="60"/>
        <w:contextualSpacing/>
        <w:rPr>
          <w:i/>
          <w:u w:val="single"/>
        </w:rPr>
      </w:pPr>
    </w:p>
    <w:p w14:paraId="43EE8B52" w14:textId="77777777" w:rsidR="000C57C8" w:rsidRPr="000F3C39" w:rsidRDefault="000C57C8" w:rsidP="000C57C8">
      <w:pPr>
        <w:spacing w:before="240" w:after="60"/>
        <w:contextualSpacing/>
        <w:rPr>
          <w:i/>
          <w:u w:val="single"/>
        </w:rPr>
      </w:pPr>
      <w:r w:rsidRPr="000F3C39">
        <w:rPr>
          <w:i/>
          <w:u w:val="single"/>
        </w:rPr>
        <w:t>Plnění opatření v rámci TO 1</w:t>
      </w:r>
    </w:p>
    <w:p w14:paraId="3163900C" w14:textId="77777777" w:rsidR="000C57C8" w:rsidRPr="00604AEE" w:rsidRDefault="000C57C8" w:rsidP="000C57C8">
      <w:pPr>
        <w:pStyle w:val="Nadpis4"/>
      </w:pPr>
      <w:r w:rsidRPr="00604AEE">
        <w:t>Tematická podoblast 1.1 Bydlení</w:t>
      </w:r>
    </w:p>
    <w:p w14:paraId="5399EC3B" w14:textId="77777777" w:rsidR="000C57C8" w:rsidRDefault="000C57C8" w:rsidP="000856A7">
      <w:pPr>
        <w:rPr>
          <w:i/>
        </w:rPr>
      </w:pPr>
      <w:r w:rsidRPr="00B422CB">
        <w:rPr>
          <w:i/>
        </w:rPr>
        <w:t>Opatření 1.1-1: Pokračovat v procesu regenerace panelových sídlišť na území města Zlína</w:t>
      </w:r>
    </w:p>
    <w:p w14:paraId="53088566" w14:textId="77777777" w:rsidR="000C57C8" w:rsidRPr="00B422CB" w:rsidRDefault="000C57C8" w:rsidP="000856A7">
      <w:pPr>
        <w:numPr>
          <w:ilvl w:val="0"/>
          <w:numId w:val="124"/>
        </w:numPr>
        <w:spacing w:before="0" w:after="120"/>
      </w:pPr>
      <w:r>
        <w:t>Realizované projekty regenerace panelových sídlišť ve vybraných lokalitách.</w:t>
      </w:r>
    </w:p>
    <w:p w14:paraId="08F27E76" w14:textId="5E3FAA1A" w:rsidR="000C57C8" w:rsidRDefault="000C57C8" w:rsidP="000856A7">
      <w:pPr>
        <w:rPr>
          <w:i/>
        </w:rPr>
      </w:pPr>
      <w:r w:rsidRPr="00B422CB">
        <w:rPr>
          <w:i/>
        </w:rPr>
        <w:t xml:space="preserve">Opatření 1.1-2: Přispívat ke zvyšování kvality bydlení v lokalitách </w:t>
      </w:r>
      <w:r w:rsidR="006E628D">
        <w:rPr>
          <w:i/>
        </w:rPr>
        <w:t>b</w:t>
      </w:r>
      <w:r w:rsidRPr="00B422CB">
        <w:rPr>
          <w:i/>
        </w:rPr>
        <w:t>aťovských domků</w:t>
      </w:r>
    </w:p>
    <w:p w14:paraId="59EA37A1" w14:textId="0D9D41EA" w:rsidR="000C57C8" w:rsidRPr="00BD0BCB" w:rsidRDefault="000C57C8" w:rsidP="000856A7">
      <w:pPr>
        <w:numPr>
          <w:ilvl w:val="0"/>
          <w:numId w:val="124"/>
        </w:numPr>
        <w:spacing w:before="0" w:after="120"/>
      </w:pPr>
      <w:r w:rsidRPr="00BD0BCB">
        <w:t>Moder</w:t>
      </w:r>
      <w:r w:rsidR="006E628D">
        <w:t>nizace komunikací v lokalitách b</w:t>
      </w:r>
      <w:r w:rsidRPr="00BD0BCB">
        <w:t>aťovských domků.</w:t>
      </w:r>
    </w:p>
    <w:p w14:paraId="0964EF43" w14:textId="77777777" w:rsidR="000C57C8" w:rsidRDefault="000C57C8" w:rsidP="000856A7">
      <w:pPr>
        <w:rPr>
          <w:i/>
        </w:rPr>
      </w:pPr>
      <w:r w:rsidRPr="00B422CB">
        <w:rPr>
          <w:i/>
        </w:rPr>
        <w:t>Opatření 1.1-3: Podporovat přípravu nových lokalit na území města Zlína pro bytovou výstavbu</w:t>
      </w:r>
    </w:p>
    <w:p w14:paraId="003B93AB" w14:textId="77777777" w:rsidR="000C57C8" w:rsidRDefault="000C57C8" w:rsidP="000856A7">
      <w:pPr>
        <w:numPr>
          <w:ilvl w:val="0"/>
          <w:numId w:val="124"/>
        </w:numPr>
        <w:spacing w:before="0" w:after="120"/>
      </w:pPr>
      <w:r w:rsidRPr="00BD0BCB">
        <w:t>Činnosti města v oblasti vytipování pozemků ve vlastnictví města či státu jakožto potenciálních pozemků pro bytovou výstavbu k pokrytí poptávky.</w:t>
      </w:r>
    </w:p>
    <w:p w14:paraId="089CAEB0" w14:textId="77777777" w:rsidR="000C57C8" w:rsidRPr="00BD0BCB" w:rsidRDefault="000C57C8" w:rsidP="000856A7">
      <w:pPr>
        <w:numPr>
          <w:ilvl w:val="0"/>
          <w:numId w:val="124"/>
        </w:numPr>
        <w:spacing w:before="0" w:after="120"/>
      </w:pPr>
      <w:r>
        <w:t>Vytvoření a realizace dokumentu Koncepce bydlení na území statutárního města Zlína 2019 – 2023.</w:t>
      </w:r>
    </w:p>
    <w:p w14:paraId="7DE645D1" w14:textId="77777777" w:rsidR="000C57C8" w:rsidRDefault="000C57C8" w:rsidP="000856A7">
      <w:pPr>
        <w:rPr>
          <w:i/>
        </w:rPr>
      </w:pPr>
      <w:r w:rsidRPr="00B422CB">
        <w:rPr>
          <w:i/>
        </w:rPr>
        <w:t xml:space="preserve">Opatření 1.1-4: Vytvářet podmínky pro </w:t>
      </w:r>
      <w:r w:rsidRPr="00BD0BCB">
        <w:rPr>
          <w:i/>
        </w:rPr>
        <w:t>bydlení</w:t>
      </w:r>
      <w:r w:rsidRPr="00B422CB">
        <w:rPr>
          <w:i/>
        </w:rPr>
        <w:t xml:space="preserve"> specifických skupin osob na území města Zlína</w:t>
      </w:r>
    </w:p>
    <w:p w14:paraId="06114DC5" w14:textId="77777777" w:rsidR="000C57C8" w:rsidRDefault="000C57C8" w:rsidP="000856A7">
      <w:pPr>
        <w:numPr>
          <w:ilvl w:val="0"/>
          <w:numId w:val="124"/>
        </w:numPr>
        <w:spacing w:before="0" w:after="120"/>
      </w:pPr>
      <w:r>
        <w:t>Vytvoření a realizace dokumentu Koncepce bydlení na území statutárního města Zlína 2019 – 2023.</w:t>
      </w:r>
    </w:p>
    <w:p w14:paraId="60E123A7" w14:textId="77777777" w:rsidR="000C57C8" w:rsidRPr="00B0643B" w:rsidRDefault="000C57C8" w:rsidP="000856A7">
      <w:pPr>
        <w:numPr>
          <w:ilvl w:val="0"/>
          <w:numId w:val="124"/>
        </w:numPr>
        <w:spacing w:before="0" w:after="120"/>
      </w:pPr>
      <w:r w:rsidRPr="00B0643B">
        <w:t>Realizace aktivit v oblasti bydlení pro specifické skupiny osob v rámci Střednědobého plánu sociálních služeb na Zlínsku.</w:t>
      </w:r>
    </w:p>
    <w:p w14:paraId="3821BA80" w14:textId="77777777" w:rsidR="000C57C8" w:rsidRDefault="000C57C8" w:rsidP="000856A7">
      <w:pPr>
        <w:numPr>
          <w:ilvl w:val="0"/>
          <w:numId w:val="124"/>
        </w:numPr>
        <w:spacing w:before="0" w:after="120"/>
      </w:pPr>
      <w:r>
        <w:t>Zachování bytového fondu ve vlastnictví města za účelem zajištění možností pro vytváření podmínek k bydlení specifických skupin osob. Modernizace a úpravy bytového fondu za účelem bydlení specifických skupin osob.</w:t>
      </w:r>
    </w:p>
    <w:p w14:paraId="00FC8B82" w14:textId="77777777" w:rsidR="000C57C8" w:rsidRPr="00BD0BCB" w:rsidRDefault="000C57C8" w:rsidP="000856A7">
      <w:pPr>
        <w:numPr>
          <w:ilvl w:val="0"/>
          <w:numId w:val="124"/>
        </w:numPr>
        <w:spacing w:before="0" w:after="120"/>
      </w:pPr>
      <w:r>
        <w:t>Investiční půjčky obyvatelstvu na opravy a modernizaci bydlení.</w:t>
      </w:r>
    </w:p>
    <w:p w14:paraId="7380A6E2" w14:textId="77777777" w:rsidR="000C57C8" w:rsidRPr="009A10E5" w:rsidRDefault="000C57C8" w:rsidP="000C57C8">
      <w:pPr>
        <w:pStyle w:val="Nadpis4"/>
        <w:ind w:left="864" w:hanging="864"/>
      </w:pPr>
      <w:r w:rsidRPr="009A10E5">
        <w:t>Tematická podoblast 1.2 Sociální služby, sociální inkluze, bezpečnost, zdraví</w:t>
      </w:r>
    </w:p>
    <w:p w14:paraId="298F0FD6" w14:textId="77777777" w:rsidR="000C57C8" w:rsidRDefault="000C57C8" w:rsidP="000856A7">
      <w:pPr>
        <w:keepNext/>
      </w:pPr>
      <w:r w:rsidRPr="00B422CB">
        <w:rPr>
          <w:i/>
        </w:rPr>
        <w:t>Opatření 1.2-1: Podporovat poskytování sociálních služeb na území města Zlína na bázi</w:t>
      </w:r>
      <w:r>
        <w:t xml:space="preserve"> komunitního plánování a s důrazem na výhody terénních a ambulantních služeb</w:t>
      </w:r>
    </w:p>
    <w:p w14:paraId="705F3AC3" w14:textId="1AAEB74E" w:rsidR="000C57C8" w:rsidRDefault="000C57C8" w:rsidP="000856A7">
      <w:pPr>
        <w:numPr>
          <w:ilvl w:val="0"/>
          <w:numId w:val="124"/>
        </w:numPr>
        <w:spacing w:before="0" w:after="120"/>
      </w:pPr>
      <w:r>
        <w:t>Dlouhodobé plánování sociálních služeb na území města již od roku 1999, včetně tvorby střednědobých plánů sociálních služeb ve Zlíně a jejich pravidelné aktualizace. Aktuálně poslední verze zpracována v roce 2019 s platností na období let 2020 až 2024.</w:t>
      </w:r>
      <w:r w:rsidDel="00DE7F0C">
        <w:t xml:space="preserve"> </w:t>
      </w:r>
    </w:p>
    <w:p w14:paraId="105E499F" w14:textId="77777777" w:rsidR="000C57C8" w:rsidRDefault="000C57C8" w:rsidP="000856A7">
      <w:pPr>
        <w:numPr>
          <w:ilvl w:val="0"/>
          <w:numId w:val="124"/>
        </w:numPr>
        <w:spacing w:before="0" w:after="120"/>
      </w:pPr>
      <w:r>
        <w:t>Neinvestiční projekty v sociální oblasti zaměřené na specifické cílové skupiny, sociálně-právní ochrany dětí apod.</w:t>
      </w:r>
    </w:p>
    <w:p w14:paraId="0C3B1921" w14:textId="77777777" w:rsidR="000C57C8" w:rsidRDefault="000C57C8" w:rsidP="000856A7">
      <w:pPr>
        <w:rPr>
          <w:i/>
        </w:rPr>
      </w:pPr>
      <w:r w:rsidRPr="00B422CB">
        <w:rPr>
          <w:i/>
        </w:rPr>
        <w:t>Opatření 1.2-2: Posilovat sociální inkluzi a bezpečnost na území města Zlína</w:t>
      </w:r>
    </w:p>
    <w:p w14:paraId="523FBB96" w14:textId="5F1B35AB" w:rsidR="000C57C8" w:rsidRDefault="000C57C8" w:rsidP="000856A7">
      <w:pPr>
        <w:numPr>
          <w:ilvl w:val="0"/>
          <w:numId w:val="124"/>
        </w:numPr>
        <w:spacing w:before="0" w:after="120"/>
      </w:pPr>
      <w:r w:rsidRPr="00376417">
        <w:t>Stavební úpravy a rekonstrukce s důraz</w:t>
      </w:r>
      <w:r>
        <w:t>em</w:t>
      </w:r>
      <w:r w:rsidRPr="00376417">
        <w:t xml:space="preserve"> na bezbariérový přístup (MHD, veřejné budovy a</w:t>
      </w:r>
      <w:r w:rsidR="000856A7">
        <w:t> </w:t>
      </w:r>
      <w:r w:rsidRPr="00376417">
        <w:t>veřejná prostranství, komunikace, apod.)</w:t>
      </w:r>
      <w:r w:rsidR="000856A7">
        <w:t>.</w:t>
      </w:r>
    </w:p>
    <w:p w14:paraId="720C56F6" w14:textId="77777777" w:rsidR="000C57C8" w:rsidRDefault="000C57C8" w:rsidP="000856A7">
      <w:pPr>
        <w:numPr>
          <w:ilvl w:val="0"/>
          <w:numId w:val="124"/>
        </w:numPr>
        <w:spacing w:before="0" w:after="120"/>
      </w:pPr>
      <w:r>
        <w:t xml:space="preserve">Aktivity prevence kriminality realizované Městskou policií Zlín. </w:t>
      </w:r>
    </w:p>
    <w:p w14:paraId="5E7103AA" w14:textId="31E6B963" w:rsidR="000C57C8" w:rsidRDefault="000C57C8" w:rsidP="000856A7">
      <w:pPr>
        <w:numPr>
          <w:ilvl w:val="0"/>
          <w:numId w:val="124"/>
        </w:numPr>
        <w:spacing w:before="0" w:after="120"/>
      </w:pPr>
      <w:r>
        <w:t>Technické zhodnocení budov Městské Policie</w:t>
      </w:r>
      <w:r w:rsidR="000856A7">
        <w:t>.</w:t>
      </w:r>
    </w:p>
    <w:p w14:paraId="30A68AF8" w14:textId="4B6D960A" w:rsidR="000C57C8" w:rsidRDefault="000C57C8" w:rsidP="000856A7">
      <w:pPr>
        <w:numPr>
          <w:ilvl w:val="0"/>
          <w:numId w:val="124"/>
        </w:numPr>
        <w:spacing w:before="0" w:after="120"/>
      </w:pPr>
      <w:r>
        <w:t>Digitalizace rádiosítě Městské policie</w:t>
      </w:r>
      <w:r w:rsidR="006E628D">
        <w:t>.</w:t>
      </w:r>
    </w:p>
    <w:p w14:paraId="002E0964" w14:textId="77777777" w:rsidR="000C57C8" w:rsidRDefault="000C57C8" w:rsidP="000856A7">
      <w:pPr>
        <w:numPr>
          <w:ilvl w:val="0"/>
          <w:numId w:val="124"/>
        </w:numPr>
        <w:spacing w:before="0" w:after="120"/>
      </w:pPr>
      <w:r>
        <w:t>Zřízení mobilní služebny městské policie.</w:t>
      </w:r>
    </w:p>
    <w:p w14:paraId="012AE4C6" w14:textId="77777777" w:rsidR="000C57C8" w:rsidRDefault="000C57C8" w:rsidP="000856A7">
      <w:pPr>
        <w:numPr>
          <w:ilvl w:val="0"/>
          <w:numId w:val="124"/>
        </w:numPr>
        <w:spacing w:before="0" w:after="120"/>
      </w:pPr>
      <w:r>
        <w:t>Rozšíření a provoz kamerového a dohlížecího systému.</w:t>
      </w:r>
    </w:p>
    <w:p w14:paraId="6597302F" w14:textId="77777777" w:rsidR="000C57C8" w:rsidRPr="00376417" w:rsidRDefault="000C57C8" w:rsidP="000856A7">
      <w:pPr>
        <w:numPr>
          <w:ilvl w:val="0"/>
          <w:numId w:val="124"/>
        </w:numPr>
        <w:spacing w:before="0" w:after="120"/>
      </w:pPr>
      <w:r>
        <w:t>Realizace řady neinvestičních projektů zaměřených na prevenci kriminality.</w:t>
      </w:r>
    </w:p>
    <w:p w14:paraId="74206262" w14:textId="77777777" w:rsidR="000C57C8" w:rsidRPr="00B422CB" w:rsidRDefault="000C57C8" w:rsidP="000856A7">
      <w:pPr>
        <w:rPr>
          <w:i/>
        </w:rPr>
      </w:pPr>
      <w:r w:rsidRPr="00B422CB">
        <w:rPr>
          <w:i/>
        </w:rPr>
        <w:t>Opatření 1.2-3: Podporovat zdraví a zdravý životní styl obyvatel města Zlína</w:t>
      </w:r>
    </w:p>
    <w:p w14:paraId="196B50ED" w14:textId="4621DB5E" w:rsidR="000C57C8" w:rsidRDefault="000C57C8" w:rsidP="000856A7">
      <w:pPr>
        <w:numPr>
          <w:ilvl w:val="0"/>
          <w:numId w:val="124"/>
        </w:numPr>
        <w:spacing w:before="0" w:after="120"/>
      </w:pPr>
      <w:r>
        <w:t>Podpora pohybových aktivit jednotlivých skupin obyvatel města Zlína (podpora mládežnických sportovních aktivit, budování hřišť s cvičebními a pohybovými prvky zaměřenými na různé cílové skupin obyvatel včetně seniorů apod.).</w:t>
      </w:r>
    </w:p>
    <w:p w14:paraId="450C495F" w14:textId="77777777" w:rsidR="000C57C8" w:rsidRPr="002F1730" w:rsidRDefault="000C57C8" w:rsidP="000856A7">
      <w:pPr>
        <w:pStyle w:val="Nadpis4"/>
        <w:ind w:left="864" w:hanging="864"/>
      </w:pPr>
      <w:r w:rsidRPr="009A10E5">
        <w:t>Tematická podoblast 1.3 Vzdělávání</w:t>
      </w:r>
    </w:p>
    <w:p w14:paraId="0367A0F9" w14:textId="1BC84652" w:rsidR="000C57C8" w:rsidRDefault="000C57C8" w:rsidP="000856A7">
      <w:pPr>
        <w:rPr>
          <w:i/>
        </w:rPr>
      </w:pPr>
      <w:r w:rsidRPr="00B422CB">
        <w:rPr>
          <w:i/>
        </w:rPr>
        <w:t>Opatření 1.3-1: Optimalizovat síť mateřských a základních škol na území města Zlína v souladu s</w:t>
      </w:r>
      <w:r w:rsidR="000856A7">
        <w:rPr>
          <w:i/>
        </w:rPr>
        <w:t> </w:t>
      </w:r>
      <w:r w:rsidRPr="00B422CB">
        <w:rPr>
          <w:i/>
        </w:rPr>
        <w:t>demografickým vývojem</w:t>
      </w:r>
      <w:r>
        <w:rPr>
          <w:i/>
        </w:rPr>
        <w:t>:</w:t>
      </w:r>
    </w:p>
    <w:p w14:paraId="399733AB" w14:textId="77777777" w:rsidR="000C57C8" w:rsidRPr="0086296C" w:rsidRDefault="000C57C8" w:rsidP="000856A7">
      <w:pPr>
        <w:numPr>
          <w:ilvl w:val="0"/>
          <w:numId w:val="124"/>
        </w:numPr>
        <w:spacing w:before="0" w:after="120"/>
      </w:pPr>
      <w:r w:rsidRPr="0086296C">
        <w:t>Zpracování Koncepce rozvoje školství města Zlína na období 2014 – 2020 a 2021 – 2027.</w:t>
      </w:r>
    </w:p>
    <w:p w14:paraId="78A5FE56" w14:textId="77777777" w:rsidR="000C57C8" w:rsidRPr="0086296C" w:rsidRDefault="000C57C8" w:rsidP="000856A7">
      <w:pPr>
        <w:numPr>
          <w:ilvl w:val="0"/>
          <w:numId w:val="124"/>
        </w:numPr>
        <w:spacing w:before="0" w:after="120"/>
      </w:pPr>
      <w:r w:rsidRPr="0086296C">
        <w:t xml:space="preserve">Průběžné vyhodnocování potřeb kapacit MŠ a ZŠ a realizace aktivit zaměřených na optimalizaci sítě k pokrytí těchto potřeb. </w:t>
      </w:r>
    </w:p>
    <w:p w14:paraId="131B1392" w14:textId="77777777" w:rsidR="000C57C8" w:rsidRDefault="000C57C8" w:rsidP="000856A7">
      <w:pPr>
        <w:rPr>
          <w:i/>
        </w:rPr>
      </w:pPr>
      <w:r w:rsidRPr="00B422CB">
        <w:rPr>
          <w:i/>
        </w:rPr>
        <w:t>Opatření 1.3-2: Podporovat zvyšování kvality vzdělávání včetně dalšího vzdělávání na území města Zlína</w:t>
      </w:r>
    </w:p>
    <w:p w14:paraId="10CA71ED" w14:textId="117A40CA" w:rsidR="000C57C8" w:rsidRDefault="000C57C8" w:rsidP="000856A7">
      <w:pPr>
        <w:numPr>
          <w:ilvl w:val="0"/>
          <w:numId w:val="124"/>
        </w:numPr>
        <w:spacing w:before="0" w:after="120"/>
      </w:pPr>
      <w:r>
        <w:t>Na základních školách dochází k modernizaci vybavení a budování jazykových, počítačových a</w:t>
      </w:r>
      <w:r w:rsidR="000856A7">
        <w:t> </w:t>
      </w:r>
      <w:r>
        <w:t>jiných odborných tříd díky prostředkům z dotačních titulů.</w:t>
      </w:r>
    </w:p>
    <w:p w14:paraId="4181592E" w14:textId="77777777" w:rsidR="000C57C8" w:rsidRDefault="000C57C8" w:rsidP="000856A7">
      <w:pPr>
        <w:numPr>
          <w:ilvl w:val="0"/>
          <w:numId w:val="124"/>
        </w:numPr>
        <w:spacing w:before="0" w:after="120"/>
      </w:pPr>
      <w:r>
        <w:t>Doplnění a budování technického vybavení na školách – kuchyně, školní jídelny, sociální zařízení apod.</w:t>
      </w:r>
    </w:p>
    <w:p w14:paraId="1A470983" w14:textId="77777777" w:rsidR="000C57C8" w:rsidRDefault="000C57C8" w:rsidP="000856A7">
      <w:pPr>
        <w:numPr>
          <w:ilvl w:val="0"/>
          <w:numId w:val="124"/>
        </w:numPr>
        <w:spacing w:before="0" w:after="120"/>
      </w:pPr>
      <w:r w:rsidRPr="0086296C">
        <w:t>Rekonstrukce, zateplování a přístavby MŠ a SŠ na území města.</w:t>
      </w:r>
    </w:p>
    <w:p w14:paraId="3244AB3A" w14:textId="15684383" w:rsidR="000C57C8" w:rsidRDefault="000C57C8" w:rsidP="000856A7">
      <w:pPr>
        <w:numPr>
          <w:ilvl w:val="0"/>
          <w:numId w:val="124"/>
        </w:numPr>
        <w:spacing w:before="0" w:after="120"/>
      </w:pPr>
      <w:r>
        <w:t>Podpora</w:t>
      </w:r>
      <w:r w:rsidRPr="001B1CC4">
        <w:t xml:space="preserve"> spolupráce zřizovatelů, škol a ostatních aktérů ve </w:t>
      </w:r>
      <w:r>
        <w:t>vzdělávání v rámci cí</w:t>
      </w:r>
      <w:r w:rsidR="006E628D">
        <w:t>lů</w:t>
      </w:r>
      <w:r>
        <w:t xml:space="preserve"> </w:t>
      </w:r>
      <w:r w:rsidRPr="001B1CC4">
        <w:t>Místní</w:t>
      </w:r>
      <w:r>
        <w:t>ho</w:t>
      </w:r>
      <w:r w:rsidRPr="001B1CC4">
        <w:t xml:space="preserve"> akční</w:t>
      </w:r>
      <w:r>
        <w:t>ho</w:t>
      </w:r>
      <w:r w:rsidRPr="001B1CC4">
        <w:t xml:space="preserve"> plán</w:t>
      </w:r>
      <w:r>
        <w:t>u</w:t>
      </w:r>
      <w:r w:rsidRPr="001B1CC4">
        <w:t xml:space="preserve"> rozvoje vzdělávání v ORP Zlín</w:t>
      </w:r>
      <w:r>
        <w:t xml:space="preserve"> I a II.</w:t>
      </w:r>
    </w:p>
    <w:p w14:paraId="0F69923C" w14:textId="77777777" w:rsidR="000C57C8" w:rsidRDefault="000C57C8" w:rsidP="000856A7">
      <w:pPr>
        <w:numPr>
          <w:ilvl w:val="0"/>
          <w:numId w:val="124"/>
        </w:numPr>
        <w:spacing w:before="0" w:after="120"/>
      </w:pPr>
      <w:r>
        <w:t xml:space="preserve">Rozsáhlá nabídka UTB v oblasti vzdělávacích aktivit mimo akreditovaných studijních programů (přednášky, vzdělávací kurzy, </w:t>
      </w:r>
      <w:r w:rsidRPr="0086296C">
        <w:t>letní školy, pohybové aktivity, konzultace, odborné workshopy, semináře, konference, projekty, soutěže apod.</w:t>
      </w:r>
      <w:r>
        <w:t>).</w:t>
      </w:r>
    </w:p>
    <w:p w14:paraId="601BCA2F" w14:textId="77777777" w:rsidR="000C57C8" w:rsidRPr="0086296C" w:rsidRDefault="000C57C8" w:rsidP="000856A7">
      <w:pPr>
        <w:numPr>
          <w:ilvl w:val="0"/>
          <w:numId w:val="124"/>
        </w:numPr>
        <w:spacing w:before="0" w:after="120"/>
      </w:pPr>
      <w:r>
        <w:t>Budování sportovišť a dopravních hřišť v areálech základních škol.</w:t>
      </w:r>
    </w:p>
    <w:p w14:paraId="2528445E" w14:textId="77777777" w:rsidR="000C57C8" w:rsidRPr="002F1730" w:rsidRDefault="000C57C8" w:rsidP="000C57C8">
      <w:pPr>
        <w:pStyle w:val="Nadpis4"/>
        <w:ind w:left="864" w:hanging="864"/>
      </w:pPr>
      <w:r w:rsidRPr="009A10E5">
        <w:t>Tematick</w:t>
      </w:r>
      <w:r w:rsidRPr="003575BA">
        <w:rPr>
          <w:rStyle w:val="Nadpis4Char"/>
        </w:rPr>
        <w:t>á</w:t>
      </w:r>
      <w:r w:rsidRPr="009A10E5">
        <w:t xml:space="preserve"> podoblast 1.4 Kultura, sport a další volnočasové aktivity</w:t>
      </w:r>
    </w:p>
    <w:p w14:paraId="14D39514" w14:textId="77777777" w:rsidR="000C57C8" w:rsidRDefault="000C57C8" w:rsidP="000C57C8">
      <w:pPr>
        <w:keepNext/>
        <w:rPr>
          <w:i/>
        </w:rPr>
      </w:pPr>
      <w:r w:rsidRPr="00B422CB">
        <w:rPr>
          <w:i/>
        </w:rPr>
        <w:t>Opatření 1.4-1: Podporovat organizaci kulturních, sportovních a dalších volnočasových aktivit na území města Zlína</w:t>
      </w:r>
    </w:p>
    <w:p w14:paraId="140AEC52" w14:textId="3BC96A39" w:rsidR="000C57C8" w:rsidRPr="00135DE4" w:rsidRDefault="000C57C8" w:rsidP="00A55F7D">
      <w:pPr>
        <w:numPr>
          <w:ilvl w:val="0"/>
          <w:numId w:val="124"/>
        </w:numPr>
        <w:spacing w:before="0" w:after="120"/>
        <w:jc w:val="left"/>
      </w:pPr>
      <w:r>
        <w:t xml:space="preserve">Podpora aktivit prostřednictvím účelových fondů města: </w:t>
      </w:r>
      <w:r w:rsidRPr="00BF0069">
        <w:t>Fond mládeže a tělovýchovy</w:t>
      </w:r>
      <w:r>
        <w:t xml:space="preserve">, </w:t>
      </w:r>
      <w:r w:rsidRPr="00BF0069">
        <w:t>Kulturní fond města Zlína</w:t>
      </w:r>
      <w:r>
        <w:t>.</w:t>
      </w:r>
    </w:p>
    <w:p w14:paraId="0218C748" w14:textId="77777777" w:rsidR="000C57C8" w:rsidRDefault="000C57C8" w:rsidP="00A55F7D">
      <w:pPr>
        <w:numPr>
          <w:ilvl w:val="0"/>
          <w:numId w:val="124"/>
        </w:numPr>
        <w:spacing w:before="0" w:after="120"/>
        <w:jc w:val="left"/>
      </w:pPr>
      <w:r>
        <w:t>Investiční transfery kulturním, sportovním a volnočasovým organizacím.</w:t>
      </w:r>
    </w:p>
    <w:p w14:paraId="0BA1BF32" w14:textId="77777777" w:rsidR="000C57C8" w:rsidRDefault="000C57C8" w:rsidP="00A55F7D">
      <w:pPr>
        <w:numPr>
          <w:ilvl w:val="0"/>
          <w:numId w:val="124"/>
        </w:numPr>
        <w:spacing w:before="0" w:after="120"/>
        <w:jc w:val="left"/>
      </w:pPr>
      <w:r>
        <w:t>Spolupráce města s organizátory volnočasových aktivit včetně poskytnutí možností pro využití veřejných prostranství pro tyto účely.</w:t>
      </w:r>
    </w:p>
    <w:p w14:paraId="573090D2" w14:textId="77777777" w:rsidR="000C57C8" w:rsidRDefault="000C57C8" w:rsidP="000C57C8">
      <w:pPr>
        <w:rPr>
          <w:i/>
        </w:rPr>
      </w:pPr>
      <w:r w:rsidRPr="00B422CB">
        <w:rPr>
          <w:i/>
        </w:rPr>
        <w:t>Opatření 1.4-2: Podporovat novou výstavbu a modernizaci infrastruktury volného času na území města Zlína</w:t>
      </w:r>
    </w:p>
    <w:p w14:paraId="7D30A6D6" w14:textId="77777777" w:rsidR="000C57C8" w:rsidRDefault="000C57C8" w:rsidP="00A55F7D">
      <w:pPr>
        <w:numPr>
          <w:ilvl w:val="0"/>
          <w:numId w:val="121"/>
        </w:numPr>
        <w:spacing w:before="0" w:after="120"/>
      </w:pPr>
      <w:r w:rsidRPr="00252EBF">
        <w:t>Obnova dětských hřiš</w:t>
      </w:r>
      <w:r>
        <w:t>ť na území města.</w:t>
      </w:r>
    </w:p>
    <w:p w14:paraId="4E7D5980" w14:textId="77777777" w:rsidR="000C57C8" w:rsidRDefault="000C57C8" w:rsidP="00A55F7D">
      <w:pPr>
        <w:numPr>
          <w:ilvl w:val="0"/>
          <w:numId w:val="121"/>
        </w:numPr>
        <w:spacing w:before="0" w:after="120"/>
        <w:jc w:val="left"/>
      </w:pPr>
      <w:r>
        <w:t>Rekonstrukce kulturních zařízení, včetně souvisejících okolních prostor.</w:t>
      </w:r>
    </w:p>
    <w:p w14:paraId="39DF63C9" w14:textId="77777777" w:rsidR="000C57C8" w:rsidRPr="00252EBF" w:rsidRDefault="000C57C8" w:rsidP="00A55F7D">
      <w:pPr>
        <w:numPr>
          <w:ilvl w:val="0"/>
          <w:numId w:val="121"/>
        </w:numPr>
        <w:spacing w:before="0" w:after="120"/>
        <w:jc w:val="left"/>
      </w:pPr>
      <w:r>
        <w:t>Rekonstrukce sportovních areálů (rekonstruovaný atletický stadion, přípravné práce pro rekonstrukce hokejového stadionu a fotbalového stadionu, rekonstrukce krytého bazénu apod.) včetně souvisejícího zázemí.</w:t>
      </w:r>
    </w:p>
    <w:p w14:paraId="4A03D928" w14:textId="77777777" w:rsidR="000C57C8" w:rsidRDefault="000C57C8" w:rsidP="000C57C8">
      <w:pPr>
        <w:rPr>
          <w:i/>
        </w:rPr>
      </w:pPr>
      <w:r w:rsidRPr="00B422CB">
        <w:rPr>
          <w:i/>
        </w:rPr>
        <w:t>Opatření 1.4-3: V rámci integrovaného řešení regenerace chátrajících a podvyužitých částí Baťova areálu podporovat vznik zábavní a kreativní zóny města Zlína</w:t>
      </w:r>
    </w:p>
    <w:p w14:paraId="10AEA3C8" w14:textId="77777777" w:rsidR="000C57C8" w:rsidRDefault="000C57C8" w:rsidP="00A55F7D">
      <w:pPr>
        <w:numPr>
          <w:ilvl w:val="0"/>
          <w:numId w:val="121"/>
        </w:numPr>
        <w:spacing w:before="0" w:after="120"/>
        <w:jc w:val="left"/>
      </w:pPr>
      <w:r>
        <w:t>Postupná regenerace Baťova areálu prostřednictvím spolupráce skupiny aktérů včetně zřizování dopravní dostupnosti.</w:t>
      </w:r>
    </w:p>
    <w:p w14:paraId="16CDF7BD" w14:textId="77777777" w:rsidR="000C57C8" w:rsidRPr="00D90835" w:rsidRDefault="000C57C8" w:rsidP="000C57C8">
      <w:pPr>
        <w:pStyle w:val="Nadpis3"/>
        <w:ind w:left="720"/>
      </w:pPr>
      <w:bookmarkStart w:id="1063" w:name="_Toc53349017"/>
      <w:bookmarkStart w:id="1064" w:name="_Toc77074662"/>
      <w:r w:rsidRPr="00D90835">
        <w:t>Tematická oblast 2 – Ekonomický rozvoj a trh práce</w:t>
      </w:r>
      <w:bookmarkEnd w:id="1063"/>
      <w:bookmarkEnd w:id="1064"/>
    </w:p>
    <w:p w14:paraId="76A5DD75" w14:textId="77777777" w:rsidR="000C57C8" w:rsidRPr="00D90835" w:rsidRDefault="000C57C8" w:rsidP="000C57C8">
      <w:pPr>
        <w:spacing w:before="240" w:after="60"/>
        <w:rPr>
          <w:i/>
          <w:u w:val="single"/>
        </w:rPr>
      </w:pPr>
      <w:r w:rsidRPr="00D90835">
        <w:rPr>
          <w:i/>
          <w:u w:val="single"/>
        </w:rPr>
        <w:t>Strategické cíle:</w:t>
      </w:r>
    </w:p>
    <w:p w14:paraId="542DBC80" w14:textId="3AD311FB" w:rsidR="000C57C8" w:rsidRPr="000C26F9" w:rsidRDefault="000C57C8" w:rsidP="000C57C8">
      <w:r w:rsidRPr="000C26F9">
        <w:t>2.1 Posilování konkurenceschopnosti podnikatelského sektoru města Zlína, respektive zlínské aglomerace, prostřednictvím zavádění inovací do stávajících a nově zakládaných podniků v souladu s</w:t>
      </w:r>
      <w:r w:rsidR="000856A7">
        <w:t> </w:t>
      </w:r>
      <w:r w:rsidRPr="000C26F9">
        <w:t>myšlenkou inteligentní specializace</w:t>
      </w:r>
    </w:p>
    <w:p w14:paraId="79A56306" w14:textId="2E15978C" w:rsidR="000C57C8" w:rsidRPr="000C26F9" w:rsidRDefault="000C57C8" w:rsidP="000C57C8">
      <w:r w:rsidRPr="000C26F9">
        <w:t>2.2 Zlepšení přístupu k zaměstnání pro obyvatele města Zlína, se zohledněním potřeb specifických skupin osob ohrožených nezaměstnaností, prostřednictvím úzké spolupráce relevantních aktérů v</w:t>
      </w:r>
      <w:r w:rsidR="000856A7">
        <w:t> </w:t>
      </w:r>
      <w:r w:rsidRPr="000C26F9">
        <w:t>rámci paktu zaměstnanosti</w:t>
      </w:r>
    </w:p>
    <w:p w14:paraId="58D4C5EE" w14:textId="77777777" w:rsidR="000C57C8" w:rsidRPr="00A05F9C" w:rsidRDefault="000C57C8" w:rsidP="000C57C8">
      <w:pPr>
        <w:spacing w:before="240" w:after="60"/>
        <w:rPr>
          <w:i/>
          <w:u w:val="single"/>
        </w:rPr>
      </w:pPr>
      <w:r w:rsidRPr="00A05F9C">
        <w:rPr>
          <w:i/>
          <w:u w:val="single"/>
        </w:rPr>
        <w:t>Vyhodnocení ukazatelů kontextu: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6013"/>
      </w:tblGrid>
      <w:tr w:rsidR="000C57C8" w:rsidRPr="00BC1A85" w14:paraId="2C667568" w14:textId="77777777" w:rsidTr="00FB7BF4">
        <w:tc>
          <w:tcPr>
            <w:tcW w:w="3085" w:type="dxa"/>
            <w:shd w:val="clear" w:color="auto" w:fill="EDEDED"/>
          </w:tcPr>
          <w:p w14:paraId="75BA12E6" w14:textId="77777777" w:rsidR="000C57C8" w:rsidRPr="00BC1A85" w:rsidRDefault="000C57C8" w:rsidP="00FB7BF4">
            <w:pPr>
              <w:spacing w:before="60"/>
              <w:rPr>
                <w:i/>
              </w:rPr>
            </w:pPr>
            <w:r w:rsidRPr="00BC1A85">
              <w:rPr>
                <w:i/>
              </w:rPr>
              <w:t>Počet podnikatelských subjektů na území města Zlína k počtu ekonomicky aktivních obyvatel:</w:t>
            </w:r>
          </w:p>
        </w:tc>
        <w:tc>
          <w:tcPr>
            <w:tcW w:w="6127" w:type="dxa"/>
            <w:shd w:val="clear" w:color="auto" w:fill="auto"/>
          </w:tcPr>
          <w:p w14:paraId="7E7400C8" w14:textId="0D63B46C" w:rsidR="000C57C8" w:rsidRDefault="000C57C8" w:rsidP="00FB7BF4">
            <w:pPr>
              <w:spacing w:before="60"/>
              <w:rPr>
                <w:i/>
              </w:rPr>
            </w:pPr>
            <w:r w:rsidRPr="00BC1A85">
              <w:rPr>
                <w:i/>
              </w:rPr>
              <w:t>V období 201</w:t>
            </w:r>
            <w:r>
              <w:rPr>
                <w:i/>
              </w:rPr>
              <w:t>3</w:t>
            </w:r>
            <w:r w:rsidRPr="00BC1A85">
              <w:rPr>
                <w:i/>
              </w:rPr>
              <w:t xml:space="preserve"> až 2020 lze sledovat pozitivní trend vývoje počtu podnikatelských subjektů na území města</w:t>
            </w:r>
            <w:r>
              <w:rPr>
                <w:i/>
              </w:rPr>
              <w:t xml:space="preserve">. </w:t>
            </w:r>
            <w:r w:rsidRPr="00BC1A85">
              <w:rPr>
                <w:i/>
              </w:rPr>
              <w:t>Z celkového pohledu mezi lety 201</w:t>
            </w:r>
            <w:r>
              <w:rPr>
                <w:i/>
              </w:rPr>
              <w:t>3</w:t>
            </w:r>
            <w:r w:rsidRPr="00BC1A85">
              <w:rPr>
                <w:i/>
              </w:rPr>
              <w:t xml:space="preserve"> a 2019 přibylo ve Zlíně 182 podnikatelských subjektů.</w:t>
            </w:r>
          </w:p>
          <w:p w14:paraId="434EE2FB" w14:textId="77777777" w:rsidR="000C57C8" w:rsidRPr="00BC1A85" w:rsidRDefault="000C57C8" w:rsidP="00FB7BF4">
            <w:pPr>
              <w:spacing w:before="60"/>
              <w:rPr>
                <w:i/>
              </w:rPr>
            </w:pPr>
            <w:r>
              <w:rPr>
                <w:i/>
              </w:rPr>
              <w:t>Obdobný trend lze sledovat také při hodnocení počtu podniků vzhledem k ekonomicky aktivnímu obyvatelstvu, v roce 2019 bylo ve Zlíně 632,6 podniků na 1 000 ekonomicky aktivních obyvatel.</w:t>
            </w:r>
          </w:p>
          <w:p w14:paraId="4466876F" w14:textId="77777777" w:rsidR="000C57C8" w:rsidRPr="00BC1A85" w:rsidRDefault="000C57C8" w:rsidP="00FB7BF4">
            <w:pPr>
              <w:spacing w:before="60"/>
              <w:rPr>
                <w:i/>
              </w:rPr>
            </w:pPr>
            <w:r w:rsidRPr="00BC1A85">
              <w:rPr>
                <w:i/>
              </w:rPr>
              <w:t xml:space="preserve">Pozn.: </w:t>
            </w:r>
            <w:r>
              <w:rPr>
                <w:i/>
              </w:rPr>
              <w:t xml:space="preserve">Údaj o počtu ekonomicky aktivním obyvatelstvu je sledován pouze v rámci SLDB, které naposledy proběhlo v roce 2011. Pro účely tohoto hodnocení byl v jednotlivých letech vypočten předpokládaný počet ekonomicky aktivních obyvatel, prostřednictvím podílu ekonomicky aktivních obyvatel k celkovému počtu obyvatel statutárního města Zlína. </w:t>
            </w:r>
          </w:p>
        </w:tc>
      </w:tr>
      <w:tr w:rsidR="000C57C8" w:rsidRPr="00BC1A85" w14:paraId="1FBE6F5E" w14:textId="77777777" w:rsidTr="00FB7BF4">
        <w:tc>
          <w:tcPr>
            <w:tcW w:w="3085" w:type="dxa"/>
            <w:shd w:val="clear" w:color="auto" w:fill="EDEDED"/>
          </w:tcPr>
          <w:p w14:paraId="71B2E694" w14:textId="77777777" w:rsidR="000C57C8" w:rsidRPr="00BC1A85" w:rsidRDefault="000C57C8" w:rsidP="00FB7BF4">
            <w:pPr>
              <w:spacing w:before="60"/>
              <w:rPr>
                <w:i/>
              </w:rPr>
            </w:pPr>
            <w:r w:rsidRPr="00BC1A85">
              <w:rPr>
                <w:i/>
              </w:rPr>
              <w:t>Podíl nezaměstna</w:t>
            </w:r>
            <w:r>
              <w:rPr>
                <w:i/>
              </w:rPr>
              <w:t>ných osob na území města Zlína:</w:t>
            </w:r>
          </w:p>
        </w:tc>
        <w:tc>
          <w:tcPr>
            <w:tcW w:w="6127" w:type="dxa"/>
            <w:shd w:val="clear" w:color="auto" w:fill="auto"/>
          </w:tcPr>
          <w:p w14:paraId="7744A6C3" w14:textId="5AE0069D" w:rsidR="000C57C8" w:rsidRPr="00BC1A85" w:rsidRDefault="000C57C8" w:rsidP="00FB7BF4">
            <w:pPr>
              <w:spacing w:before="60"/>
              <w:rPr>
                <w:i/>
              </w:rPr>
            </w:pPr>
            <w:r w:rsidRPr="00BC1A85">
              <w:rPr>
                <w:i/>
              </w:rPr>
              <w:t xml:space="preserve">Podíl nezaměstnaných osob na území města Zlína má </w:t>
            </w:r>
            <w:r w:rsidR="00FE6952">
              <w:rPr>
                <w:i/>
              </w:rPr>
              <w:t>v období 2014 až 2019 dlouhodobě</w:t>
            </w:r>
            <w:r w:rsidRPr="00BC1A85">
              <w:rPr>
                <w:i/>
              </w:rPr>
              <w:t xml:space="preserve"> klesající trend.</w:t>
            </w:r>
          </w:p>
        </w:tc>
      </w:tr>
    </w:tbl>
    <w:p w14:paraId="67C32B9C" w14:textId="77777777" w:rsidR="000C57C8" w:rsidRPr="00A05F9C" w:rsidRDefault="000C57C8" w:rsidP="000C57C8">
      <w:pPr>
        <w:keepNext/>
        <w:spacing w:before="240" w:after="60"/>
        <w:rPr>
          <w:i/>
          <w:u w:val="single"/>
        </w:rPr>
      </w:pPr>
      <w:r>
        <w:rPr>
          <w:i/>
          <w:u w:val="single"/>
        </w:rPr>
        <w:t>Podkladová data k hodnocení ukazatelů kontextu:</w:t>
      </w:r>
    </w:p>
    <w:p w14:paraId="456CDDEF" w14:textId="08BEC9E0" w:rsidR="000C57C8" w:rsidRDefault="000C57C8" w:rsidP="000C57C8">
      <w:pPr>
        <w:pStyle w:val="Titulek"/>
        <w:keepNext/>
        <w:keepLines/>
      </w:pPr>
      <w:bookmarkStart w:id="1065" w:name="_Toc54702820"/>
      <w:bookmarkStart w:id="1066" w:name="_Toc56179626"/>
      <w:bookmarkStart w:id="1067" w:name="_Toc7707496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2</w:t>
      </w:r>
      <w:r w:rsidR="00804AF3">
        <w:rPr>
          <w:noProof/>
        </w:rPr>
        <w:fldChar w:fldCharType="end"/>
      </w:r>
      <w:r w:rsidR="00FB5D5C">
        <w:rPr>
          <w:noProof/>
        </w:rPr>
        <w:t>:</w:t>
      </w:r>
      <w:r w:rsidRPr="00A05F9C">
        <w:t xml:space="preserve"> </w:t>
      </w:r>
      <w:r>
        <w:t xml:space="preserve"> Vývoj počtu ekonomických subjektů na území města Zlína v období 2013 – 2019</w:t>
      </w:r>
      <w:bookmarkEnd w:id="1065"/>
      <w:bookmarkEnd w:id="1066"/>
      <w:bookmarkEnd w:id="1067"/>
    </w:p>
    <w:p w14:paraId="7C8AE0A1" w14:textId="77777777" w:rsidR="000C57C8" w:rsidRPr="00183BCA" w:rsidRDefault="000C57C8" w:rsidP="000C57C8">
      <w:r>
        <w:rPr>
          <w:noProof/>
          <w:lang w:eastAsia="cs-CZ"/>
        </w:rPr>
        <w:drawing>
          <wp:inline distT="0" distB="0" distL="0" distR="0" wp14:anchorId="2B695A86" wp14:editId="03C28F97">
            <wp:extent cx="5629275" cy="2133600"/>
            <wp:effectExtent l="0" t="0" r="9525" b="0"/>
            <wp:docPr id="424" name="Obráze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8">
                      <a:extLst>
                        <a:ext uri="{28A0092B-C50C-407E-A947-70E740481C1C}">
                          <a14:useLocalDpi xmlns:a14="http://schemas.microsoft.com/office/drawing/2010/main" val="0"/>
                        </a:ext>
                      </a:extLst>
                    </a:blip>
                    <a:srcRect l="992" t="1947" r="1225" b="10822"/>
                    <a:stretch/>
                  </pic:blipFill>
                  <pic:spPr bwMode="auto">
                    <a:xfrm>
                      <a:off x="0" y="0"/>
                      <a:ext cx="5632309" cy="2134750"/>
                    </a:xfrm>
                    <a:prstGeom prst="rect">
                      <a:avLst/>
                    </a:prstGeom>
                    <a:noFill/>
                    <a:ln>
                      <a:noFill/>
                    </a:ln>
                    <a:extLst>
                      <a:ext uri="{53640926-AAD7-44D8-BBD7-CCE9431645EC}">
                        <a14:shadowObscured xmlns:a14="http://schemas.microsoft.com/office/drawing/2010/main"/>
                      </a:ext>
                    </a:extLst>
                  </pic:spPr>
                </pic:pic>
              </a:graphicData>
            </a:graphic>
          </wp:inline>
        </w:drawing>
      </w:r>
    </w:p>
    <w:p w14:paraId="76D87347" w14:textId="7EC16A85" w:rsidR="000C57C8" w:rsidRDefault="000C57C8" w:rsidP="000C57C8">
      <w:pPr>
        <w:rPr>
          <w:i/>
          <w:iCs/>
          <w:sz w:val="20"/>
        </w:rPr>
      </w:pPr>
      <w:r w:rsidRPr="00F54AB6">
        <w:rPr>
          <w:i/>
          <w:iCs/>
          <w:sz w:val="20"/>
        </w:rPr>
        <w:t>Zdroj: ČSÚ, veřejná databáze,</w:t>
      </w:r>
      <w:r>
        <w:rPr>
          <w:i/>
          <w:iCs/>
          <w:sz w:val="20"/>
        </w:rPr>
        <w:t xml:space="preserve"> </w:t>
      </w:r>
      <w:r w:rsidRPr="00F54AB6">
        <w:rPr>
          <w:i/>
          <w:iCs/>
          <w:sz w:val="20"/>
        </w:rPr>
        <w:t>zpracování PROCES</w:t>
      </w:r>
      <w:r w:rsidR="00FB5D5C">
        <w:rPr>
          <w:i/>
          <w:iCs/>
          <w:sz w:val="20"/>
        </w:rPr>
        <w:t>, 2020.</w:t>
      </w:r>
    </w:p>
    <w:p w14:paraId="68CB4F1F" w14:textId="4F9186D4" w:rsidR="000C57C8" w:rsidRDefault="000C57C8" w:rsidP="000C57C8">
      <w:pPr>
        <w:pStyle w:val="Titulek"/>
        <w:keepNext/>
        <w:keepLines/>
      </w:pPr>
      <w:bookmarkStart w:id="1068" w:name="_Toc54702821"/>
      <w:bookmarkStart w:id="1069" w:name="_Toc56179627"/>
      <w:bookmarkStart w:id="1070" w:name="_Toc7707496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3</w:t>
      </w:r>
      <w:r w:rsidR="00804AF3">
        <w:rPr>
          <w:noProof/>
        </w:rPr>
        <w:fldChar w:fldCharType="end"/>
      </w:r>
      <w:r w:rsidR="00FB5D5C">
        <w:rPr>
          <w:noProof/>
        </w:rPr>
        <w:t>:</w:t>
      </w:r>
      <w:r w:rsidRPr="00A05F9C">
        <w:t xml:space="preserve"> </w:t>
      </w:r>
      <w:r>
        <w:t>Vývoj počtu ekonomických subjektů vzhledem k ekonomicky aktivnímu obyvatelstvu na území města Zlína v období 2013 – 2019</w:t>
      </w:r>
      <w:bookmarkEnd w:id="1068"/>
      <w:bookmarkEnd w:id="1069"/>
      <w:bookmarkEnd w:id="1070"/>
    </w:p>
    <w:p w14:paraId="5AA73A7E" w14:textId="77777777" w:rsidR="000C57C8" w:rsidRPr="00183BCA" w:rsidRDefault="000C57C8" w:rsidP="000C57C8">
      <w:r>
        <w:rPr>
          <w:noProof/>
          <w:lang w:eastAsia="cs-CZ"/>
        </w:rPr>
        <w:drawing>
          <wp:inline distT="0" distB="0" distL="0" distR="0" wp14:anchorId="5A0B3D37" wp14:editId="7C384B02">
            <wp:extent cx="5629275" cy="2562225"/>
            <wp:effectExtent l="0" t="0" r="9525" b="9525"/>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a:extLst>
                        <a:ext uri="{28A0092B-C50C-407E-A947-70E740481C1C}">
                          <a14:useLocalDpi xmlns:a14="http://schemas.microsoft.com/office/drawing/2010/main" val="0"/>
                        </a:ext>
                      </a:extLst>
                    </a:blip>
                    <a:srcRect l="1321" t="2074" r="1176" b="4954"/>
                    <a:stretch/>
                  </pic:blipFill>
                  <pic:spPr bwMode="auto">
                    <a:xfrm>
                      <a:off x="0" y="0"/>
                      <a:ext cx="5629275" cy="2562225"/>
                    </a:xfrm>
                    <a:prstGeom prst="rect">
                      <a:avLst/>
                    </a:prstGeom>
                    <a:noFill/>
                    <a:ln>
                      <a:noFill/>
                    </a:ln>
                    <a:extLst>
                      <a:ext uri="{53640926-AAD7-44D8-BBD7-CCE9431645EC}">
                        <a14:shadowObscured xmlns:a14="http://schemas.microsoft.com/office/drawing/2010/main"/>
                      </a:ext>
                    </a:extLst>
                  </pic:spPr>
                </pic:pic>
              </a:graphicData>
            </a:graphic>
          </wp:inline>
        </w:drawing>
      </w:r>
    </w:p>
    <w:p w14:paraId="5C7BD2A2" w14:textId="57F4ED6D" w:rsidR="000C57C8" w:rsidRDefault="000C57C8" w:rsidP="000C57C8">
      <w:pPr>
        <w:rPr>
          <w:i/>
          <w:iCs/>
          <w:sz w:val="20"/>
        </w:rPr>
      </w:pPr>
      <w:r w:rsidRPr="00F54AB6">
        <w:rPr>
          <w:i/>
          <w:iCs/>
          <w:sz w:val="20"/>
        </w:rPr>
        <w:t>Zdroj: ČSÚ, veřejná databáze,</w:t>
      </w:r>
      <w:r>
        <w:rPr>
          <w:i/>
          <w:iCs/>
          <w:sz w:val="20"/>
        </w:rPr>
        <w:t xml:space="preserve"> </w:t>
      </w:r>
      <w:r w:rsidRPr="00F54AB6">
        <w:rPr>
          <w:i/>
          <w:iCs/>
          <w:sz w:val="20"/>
        </w:rPr>
        <w:t>zpracování PROCES</w:t>
      </w:r>
      <w:r w:rsidR="00FB5D5C">
        <w:rPr>
          <w:i/>
          <w:iCs/>
          <w:sz w:val="20"/>
        </w:rPr>
        <w:t>, 2020.</w:t>
      </w:r>
    </w:p>
    <w:p w14:paraId="154C690C" w14:textId="77777777" w:rsidR="000C57C8" w:rsidRDefault="000C57C8" w:rsidP="000C57C8">
      <w:pPr>
        <w:rPr>
          <w:i/>
          <w:iCs/>
          <w:sz w:val="20"/>
        </w:rPr>
      </w:pPr>
    </w:p>
    <w:p w14:paraId="2F669CD2" w14:textId="77777777" w:rsidR="000C57C8" w:rsidRPr="00B0643B" w:rsidRDefault="000C57C8" w:rsidP="000C57C8">
      <w:pPr>
        <w:tabs>
          <w:tab w:val="left" w:pos="7665"/>
        </w:tabs>
        <w:rPr>
          <w:sz w:val="20"/>
        </w:rPr>
      </w:pPr>
      <w:r>
        <w:rPr>
          <w:sz w:val="20"/>
        </w:rPr>
        <w:tab/>
      </w:r>
    </w:p>
    <w:p w14:paraId="0E9AE541" w14:textId="449E3369" w:rsidR="000C57C8" w:rsidRDefault="000C57C8" w:rsidP="000C57C8">
      <w:pPr>
        <w:pStyle w:val="Titulek"/>
        <w:keepNext/>
        <w:keepLines/>
      </w:pPr>
      <w:bookmarkStart w:id="1071" w:name="_Toc54702822"/>
      <w:bookmarkStart w:id="1072" w:name="_Toc56179628"/>
      <w:bookmarkStart w:id="1073" w:name="_Toc77074970"/>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4</w:t>
      </w:r>
      <w:r w:rsidR="00804AF3">
        <w:rPr>
          <w:noProof/>
        </w:rPr>
        <w:fldChar w:fldCharType="end"/>
      </w:r>
      <w:r w:rsidR="00FB5D5C">
        <w:rPr>
          <w:noProof/>
        </w:rPr>
        <w:t>:</w:t>
      </w:r>
      <w:r w:rsidRPr="00A05F9C">
        <w:t xml:space="preserve"> </w:t>
      </w:r>
      <w:r>
        <w:t xml:space="preserve"> Vývoj podílu nezaměstnaných osob ve městě Zlíně, SO ORP Zlín a Zlínském kraji za jednotlivé měsíce od roku 2014</w:t>
      </w:r>
      <w:bookmarkEnd w:id="1071"/>
      <w:bookmarkEnd w:id="1072"/>
      <w:bookmarkEnd w:id="1073"/>
    </w:p>
    <w:p w14:paraId="6759B498" w14:textId="11068349" w:rsidR="000C57C8" w:rsidRPr="00FB5D5C" w:rsidRDefault="000C57C8" w:rsidP="000C57C8">
      <w:pPr>
        <w:pStyle w:val="Zdroj"/>
        <w:jc w:val="both"/>
        <w:rPr>
          <w:sz w:val="20"/>
          <w:szCs w:val="20"/>
        </w:rPr>
      </w:pPr>
      <w:r w:rsidRPr="0093440A">
        <w:rPr>
          <w:noProof/>
        </w:rPr>
        <w:drawing>
          <wp:inline distT="0" distB="0" distL="0" distR="0" wp14:anchorId="16A27860" wp14:editId="71F0BD09">
            <wp:extent cx="5772150" cy="3095625"/>
            <wp:effectExtent l="0" t="0" r="0" b="9525"/>
            <wp:docPr id="426" name="Obráze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72150" cy="3095625"/>
                    </a:xfrm>
                    <a:prstGeom prst="rect">
                      <a:avLst/>
                    </a:prstGeom>
                    <a:noFill/>
                    <a:ln>
                      <a:noFill/>
                    </a:ln>
                  </pic:spPr>
                </pic:pic>
              </a:graphicData>
            </a:graphic>
          </wp:inline>
        </w:drawing>
      </w:r>
      <w:r w:rsidRPr="00FB5D5C">
        <w:rPr>
          <w:sz w:val="20"/>
          <w:szCs w:val="20"/>
        </w:rPr>
        <w:t>Zdroj: ČSÚ, veřejná databáze, zpracování PROCES</w:t>
      </w:r>
      <w:r w:rsidR="00FB5D5C">
        <w:rPr>
          <w:sz w:val="20"/>
          <w:szCs w:val="20"/>
        </w:rPr>
        <w:t>, 2020.</w:t>
      </w:r>
    </w:p>
    <w:p w14:paraId="77721E15" w14:textId="77777777" w:rsidR="000C57C8" w:rsidRPr="000C26F9" w:rsidRDefault="000C57C8" w:rsidP="000C57C8">
      <w:pPr>
        <w:spacing w:before="240" w:after="60"/>
        <w:rPr>
          <w:i/>
          <w:u w:val="single"/>
        </w:rPr>
      </w:pPr>
      <w:r w:rsidRPr="000C26F9">
        <w:rPr>
          <w:i/>
          <w:u w:val="single"/>
        </w:rPr>
        <w:t>Plnění opatření v rámci TO 2</w:t>
      </w:r>
    </w:p>
    <w:p w14:paraId="6FF8F6EC" w14:textId="77777777" w:rsidR="000C57C8" w:rsidRPr="009A10E5" w:rsidRDefault="000C57C8" w:rsidP="000C57C8">
      <w:pPr>
        <w:pStyle w:val="Nadpis4"/>
        <w:ind w:left="864" w:hanging="864"/>
      </w:pPr>
      <w:r w:rsidRPr="009A10E5">
        <w:t>Tematická podoblast 2.1 Ekonomický rozvoj</w:t>
      </w:r>
    </w:p>
    <w:p w14:paraId="3D25C022" w14:textId="77777777" w:rsidR="000C57C8" w:rsidRDefault="000C57C8" w:rsidP="000C57C8">
      <w:pPr>
        <w:rPr>
          <w:i/>
        </w:rPr>
      </w:pPr>
      <w:r w:rsidRPr="002E7B28">
        <w:rPr>
          <w:i/>
        </w:rPr>
        <w:t>Opatření 2.1-1: Podporovat rozvoj ekonomiky města Zlína, respektive zlínské aglomerace, na bázi chytré specializace</w:t>
      </w:r>
    </w:p>
    <w:p w14:paraId="6C48B0B1" w14:textId="77777777" w:rsidR="000C57C8" w:rsidRPr="002F1730" w:rsidRDefault="000C57C8" w:rsidP="00A55F7D">
      <w:pPr>
        <w:numPr>
          <w:ilvl w:val="0"/>
          <w:numId w:val="121"/>
        </w:numPr>
        <w:spacing w:before="0" w:after="120"/>
      </w:pPr>
      <w:r w:rsidRPr="002F1730">
        <w:t xml:space="preserve">Zajištění podmínek pro zachování a rozvoj ekonomických aktivit na území města, dle možnosti vlastních kompetencí. </w:t>
      </w:r>
    </w:p>
    <w:p w14:paraId="3BAF560F" w14:textId="77777777" w:rsidR="000C57C8" w:rsidRDefault="000C57C8" w:rsidP="000C57C8">
      <w:pPr>
        <w:rPr>
          <w:i/>
        </w:rPr>
      </w:pPr>
      <w:r w:rsidRPr="00B422CB">
        <w:rPr>
          <w:i/>
        </w:rPr>
        <w:t>Opatření 2.1-2: Vytvářet podmínky pro příchod investorů na území města Zlína, respektive zlínské aglomerace</w:t>
      </w:r>
    </w:p>
    <w:p w14:paraId="50855CAF" w14:textId="77777777" w:rsidR="000C57C8" w:rsidRPr="002F1730" w:rsidRDefault="000C57C8" w:rsidP="00A55F7D">
      <w:pPr>
        <w:numPr>
          <w:ilvl w:val="0"/>
          <w:numId w:val="121"/>
        </w:numPr>
        <w:spacing w:before="0" w:after="120"/>
      </w:pPr>
      <w:r w:rsidRPr="002F1730">
        <w:t>Vymezení ploch pro rozvoj podnikání v rámci územního plánu města, jejich konkrétní využití je však omezeno vlastnickou strukturou pozemků.</w:t>
      </w:r>
    </w:p>
    <w:p w14:paraId="27417A3F" w14:textId="77777777" w:rsidR="000C57C8" w:rsidRPr="009A10E5" w:rsidRDefault="000C57C8" w:rsidP="000C57C8">
      <w:pPr>
        <w:pStyle w:val="Nadpis4"/>
        <w:ind w:left="864" w:hanging="864"/>
      </w:pPr>
      <w:r w:rsidRPr="009A10E5">
        <w:t>Tematická podoblast 2.2 Trh práce</w:t>
      </w:r>
    </w:p>
    <w:p w14:paraId="15FB801B" w14:textId="77777777" w:rsidR="000C57C8" w:rsidRDefault="000C57C8" w:rsidP="000C57C8">
      <w:pPr>
        <w:rPr>
          <w:i/>
        </w:rPr>
      </w:pPr>
      <w:r w:rsidRPr="00B422CB">
        <w:rPr>
          <w:i/>
        </w:rPr>
        <w:t>Opatření 2.2-1: Podporovat soulad nabídky a poptávky na trhu práce města Zlína</w:t>
      </w:r>
    </w:p>
    <w:p w14:paraId="6C6E4EA4" w14:textId="77777777" w:rsidR="000C57C8" w:rsidRPr="002F1730" w:rsidRDefault="000C57C8" w:rsidP="00A55F7D">
      <w:pPr>
        <w:numPr>
          <w:ilvl w:val="0"/>
          <w:numId w:val="121"/>
        </w:numPr>
        <w:spacing w:before="0" w:after="120"/>
      </w:pPr>
      <w:r w:rsidRPr="002F1730">
        <w:t>Aktivity v oblasti modernizace prostor a vybavení vzdělávacích zařízení na území města</w:t>
      </w:r>
      <w:r>
        <w:t>, s důrazem na podporu technických a přírodních věd</w:t>
      </w:r>
      <w:r w:rsidRPr="002F1730">
        <w:t xml:space="preserve"> (především ZŠ).</w:t>
      </w:r>
    </w:p>
    <w:p w14:paraId="5ECBEAAE" w14:textId="77777777" w:rsidR="000C57C8" w:rsidRDefault="000C57C8" w:rsidP="000C57C8">
      <w:pPr>
        <w:rPr>
          <w:i/>
        </w:rPr>
      </w:pPr>
      <w:r w:rsidRPr="00A12E7B">
        <w:rPr>
          <w:i/>
        </w:rPr>
        <w:t>Opatření 2.2-2: Aktivně spolupracovat s dalšími klíčovými aktéry trhu práce při řešení otázek nezaměstnanosti na území města Zlína v duchu rozvojového konceptu pakt zaměstnanosti</w:t>
      </w:r>
    </w:p>
    <w:p w14:paraId="4FF6EDDA" w14:textId="77777777" w:rsidR="000C57C8" w:rsidRDefault="000C57C8" w:rsidP="00A55F7D">
      <w:pPr>
        <w:numPr>
          <w:ilvl w:val="0"/>
          <w:numId w:val="121"/>
        </w:numPr>
        <w:spacing w:before="0" w:after="120"/>
      </w:pPr>
      <w:r w:rsidRPr="002F1730">
        <w:t>Postupn</w:t>
      </w:r>
      <w:r>
        <w:t>ý</w:t>
      </w:r>
      <w:r w:rsidRPr="002F1730">
        <w:t xml:space="preserve"> rozvoj spolupráce města a subjektů na trhu práce v rámci kompetencí města.</w:t>
      </w:r>
    </w:p>
    <w:p w14:paraId="4F0F9977" w14:textId="77777777" w:rsidR="000C57C8" w:rsidRPr="002F1730" w:rsidRDefault="000C57C8" w:rsidP="00A55F7D">
      <w:pPr>
        <w:numPr>
          <w:ilvl w:val="0"/>
          <w:numId w:val="121"/>
        </w:numPr>
        <w:spacing w:before="0" w:after="120"/>
      </w:pPr>
      <w:r>
        <w:t>Aktivity v rámci Paktu zaměstnanosti Zlínského kraje.</w:t>
      </w:r>
    </w:p>
    <w:p w14:paraId="247F38D5" w14:textId="77777777" w:rsidR="000C57C8" w:rsidRPr="009A10E5" w:rsidRDefault="000C57C8" w:rsidP="000C57C8">
      <w:pPr>
        <w:pStyle w:val="Nadpis4"/>
        <w:ind w:left="864" w:hanging="864"/>
      </w:pPr>
      <w:r w:rsidRPr="009A10E5">
        <w:t>Tematická podoblast 2.3 Cestovní ruch</w:t>
      </w:r>
    </w:p>
    <w:p w14:paraId="3FB40B9C" w14:textId="77777777" w:rsidR="000C57C8" w:rsidRDefault="000C57C8" w:rsidP="000C57C8">
      <w:pPr>
        <w:rPr>
          <w:i/>
        </w:rPr>
      </w:pPr>
      <w:r w:rsidRPr="00A12E7B">
        <w:rPr>
          <w:i/>
        </w:rPr>
        <w:t>Opatření 2.3-1: Podporovat vznik nových zážitkových atraktivit cestovního ruchu na území města Zlína</w:t>
      </w:r>
    </w:p>
    <w:p w14:paraId="792E3D67" w14:textId="77777777" w:rsidR="000C57C8" w:rsidRPr="00257C1B" w:rsidRDefault="000C57C8" w:rsidP="00A55F7D">
      <w:pPr>
        <w:numPr>
          <w:ilvl w:val="0"/>
          <w:numId w:val="121"/>
        </w:numPr>
        <w:spacing w:before="0" w:after="120"/>
      </w:pPr>
      <w:r w:rsidRPr="00257C1B">
        <w:t>Realizace projektů modernizace a rozvoje v rámci Zoologické zahrady Lešná</w:t>
      </w:r>
      <w:r>
        <w:t>, včetně neinvestičních projektů</w:t>
      </w:r>
      <w:r w:rsidRPr="00257C1B">
        <w:t>.</w:t>
      </w:r>
    </w:p>
    <w:p w14:paraId="7DF6A189" w14:textId="18875B90" w:rsidR="000C57C8" w:rsidRPr="00257C1B" w:rsidRDefault="000C57C8" w:rsidP="00A55F7D">
      <w:pPr>
        <w:numPr>
          <w:ilvl w:val="0"/>
          <w:numId w:val="121"/>
        </w:numPr>
        <w:spacing w:before="0" w:after="120"/>
      </w:pPr>
      <w:r w:rsidRPr="00257C1B">
        <w:t xml:space="preserve">Budování </w:t>
      </w:r>
      <w:r>
        <w:t xml:space="preserve">a obnova </w:t>
      </w:r>
      <w:r w:rsidRPr="00257C1B">
        <w:t>pamětních míst</w:t>
      </w:r>
      <w:r>
        <w:t xml:space="preserve"> (Památník T. Bati ve Zlíně, pamětní místa na bývalých hřbitovech, pamětní deska k</w:t>
      </w:r>
      <w:r w:rsidR="00FE6952">
        <w:t>e</w:t>
      </w:r>
      <w:r>
        <w:t> 100. výročí padlých vojáků v 1. světové válce apod.)</w:t>
      </w:r>
      <w:r w:rsidRPr="00257C1B">
        <w:t>.</w:t>
      </w:r>
    </w:p>
    <w:p w14:paraId="799FEE31" w14:textId="77777777" w:rsidR="000C57C8" w:rsidRPr="00257C1B" w:rsidRDefault="000C57C8" w:rsidP="00A55F7D">
      <w:pPr>
        <w:numPr>
          <w:ilvl w:val="0"/>
          <w:numId w:val="121"/>
        </w:numPr>
        <w:spacing w:before="0" w:after="120"/>
      </w:pPr>
      <w:r w:rsidRPr="00257C1B">
        <w:t>Rozvoj infrastruktury pro cykloturistiku.</w:t>
      </w:r>
    </w:p>
    <w:p w14:paraId="0781BD86" w14:textId="1BD069D3" w:rsidR="000C57C8" w:rsidRPr="00257C1B" w:rsidRDefault="000C57C8" w:rsidP="00A55F7D">
      <w:pPr>
        <w:numPr>
          <w:ilvl w:val="0"/>
          <w:numId w:val="121"/>
        </w:numPr>
        <w:spacing w:before="0" w:after="120"/>
      </w:pPr>
      <w:r w:rsidRPr="00257C1B">
        <w:t>Finanční podpora města Zlína pro významné akce s </w:t>
      </w:r>
      <w:r>
        <w:t>celorepublikovým</w:t>
      </w:r>
      <w:r w:rsidRPr="00257C1B">
        <w:t xml:space="preserve"> dosahem (B</w:t>
      </w:r>
      <w:r>
        <w:t>ar</w:t>
      </w:r>
      <w:r w:rsidRPr="00257C1B">
        <w:t>um Rally, filmový festival, apod.).</w:t>
      </w:r>
    </w:p>
    <w:p w14:paraId="17506A91" w14:textId="61CBC368" w:rsidR="000C57C8" w:rsidRDefault="000C57C8" w:rsidP="000C57C8">
      <w:pPr>
        <w:rPr>
          <w:i/>
        </w:rPr>
      </w:pPr>
      <w:r w:rsidRPr="00A12E7B">
        <w:rPr>
          <w:i/>
        </w:rPr>
        <w:t>Opatření 2.3-2: Podporovat spolupráci aktérů cestovního ruchu na území města Zlína respektive v</w:t>
      </w:r>
      <w:r w:rsidR="00FB5D5C">
        <w:rPr>
          <w:i/>
        </w:rPr>
        <w:t> </w:t>
      </w:r>
      <w:r w:rsidRPr="00A12E7B">
        <w:rPr>
          <w:i/>
        </w:rPr>
        <w:t>širších prostorových vztazích</w:t>
      </w:r>
    </w:p>
    <w:p w14:paraId="0314E896" w14:textId="77777777" w:rsidR="000C57C8" w:rsidRPr="00257C1B" w:rsidRDefault="000C57C8" w:rsidP="00A55F7D">
      <w:pPr>
        <w:numPr>
          <w:ilvl w:val="0"/>
          <w:numId w:val="121"/>
        </w:numPr>
        <w:spacing w:before="0" w:after="120"/>
      </w:pPr>
      <w:r w:rsidRPr="00257C1B">
        <w:t>Spolupráce s Centrálou cestovního ruchu Moravy.</w:t>
      </w:r>
    </w:p>
    <w:p w14:paraId="542B86E7" w14:textId="77777777" w:rsidR="000C57C8" w:rsidRPr="00DE1093" w:rsidRDefault="000C57C8" w:rsidP="000C57C8">
      <w:pPr>
        <w:pStyle w:val="Nadpis3"/>
        <w:ind w:left="720"/>
      </w:pPr>
      <w:bookmarkStart w:id="1074" w:name="_Toc53349018"/>
      <w:bookmarkStart w:id="1075" w:name="_Toc77074663"/>
      <w:r w:rsidRPr="00DE1093">
        <w:t>Tematická oblast 3 – Doprava a technická infrastruktura</w:t>
      </w:r>
      <w:bookmarkEnd w:id="1074"/>
      <w:bookmarkEnd w:id="1075"/>
    </w:p>
    <w:p w14:paraId="24E31F8B" w14:textId="77777777" w:rsidR="000C57C8" w:rsidRPr="00D90835" w:rsidRDefault="000C57C8" w:rsidP="000C57C8">
      <w:pPr>
        <w:spacing w:before="240" w:after="60"/>
        <w:rPr>
          <w:i/>
          <w:u w:val="single"/>
        </w:rPr>
      </w:pPr>
      <w:r w:rsidRPr="00D90835">
        <w:rPr>
          <w:i/>
          <w:u w:val="single"/>
        </w:rPr>
        <w:t>Strategické cíle:</w:t>
      </w:r>
    </w:p>
    <w:p w14:paraId="383DD6E3" w14:textId="77777777" w:rsidR="000C57C8" w:rsidRPr="00511E58" w:rsidRDefault="000C57C8" w:rsidP="000C57C8">
      <w:pPr>
        <w:rPr>
          <w:i/>
        </w:rPr>
      </w:pPr>
      <w:r>
        <w:rPr>
          <w:i/>
        </w:rPr>
        <w:t xml:space="preserve">3.1 </w:t>
      </w:r>
      <w:r w:rsidRPr="00511E58">
        <w:rPr>
          <w:i/>
        </w:rPr>
        <w:t>Zlepšení dopravní dostupnosti města Zlína prostřednictvím silniční i železniční dopravy</w:t>
      </w:r>
    </w:p>
    <w:p w14:paraId="37698F91" w14:textId="77777777" w:rsidR="000C57C8" w:rsidRPr="00511E58" w:rsidRDefault="000C57C8" w:rsidP="000C57C8">
      <w:pPr>
        <w:rPr>
          <w:i/>
        </w:rPr>
      </w:pPr>
      <w:r>
        <w:rPr>
          <w:i/>
        </w:rPr>
        <w:t xml:space="preserve">3.2 </w:t>
      </w:r>
      <w:r w:rsidRPr="00511E58">
        <w:rPr>
          <w:i/>
        </w:rPr>
        <w:t>Rozvoj nízkouhlíkových, chytrých dopravních systémů šetrných k životnímu prostředí a podpora udržitelné městské mobility</w:t>
      </w:r>
    </w:p>
    <w:p w14:paraId="67B583FE" w14:textId="77777777" w:rsidR="000C57C8" w:rsidRPr="00511E58" w:rsidRDefault="000C57C8" w:rsidP="000C57C8">
      <w:pPr>
        <w:rPr>
          <w:i/>
        </w:rPr>
      </w:pPr>
      <w:r>
        <w:rPr>
          <w:i/>
        </w:rPr>
        <w:t xml:space="preserve">3.3 </w:t>
      </w:r>
      <w:r w:rsidRPr="00511E58">
        <w:rPr>
          <w:i/>
        </w:rPr>
        <w:t>Zachování postavení města Zlína jako konkurenceschopného centra Zlínského kraje a přirozeného jádra více než 100tisícové městské aglomerace prostřednictvím nabídky vysoké kvality života v oblasti technické infrastruktury</w:t>
      </w:r>
    </w:p>
    <w:p w14:paraId="39958AB4" w14:textId="77777777" w:rsidR="000C57C8" w:rsidRPr="00A05F9C" w:rsidRDefault="000C57C8" w:rsidP="000C57C8">
      <w:pPr>
        <w:spacing w:before="240" w:after="60"/>
        <w:rPr>
          <w:i/>
          <w:u w:val="single"/>
        </w:rPr>
      </w:pPr>
      <w:r w:rsidRPr="00A05F9C">
        <w:rPr>
          <w:i/>
          <w:u w:val="single"/>
        </w:rPr>
        <w:t>Vyhodnocení ukazatelů kontextu: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5"/>
        <w:gridCol w:w="6017"/>
      </w:tblGrid>
      <w:tr w:rsidR="000C57C8" w:rsidRPr="00BC1A85" w14:paraId="3006831F" w14:textId="77777777" w:rsidTr="00FB7BF4">
        <w:tc>
          <w:tcPr>
            <w:tcW w:w="3085" w:type="dxa"/>
            <w:shd w:val="clear" w:color="auto" w:fill="EDEDED"/>
          </w:tcPr>
          <w:p w14:paraId="38F6F6A7" w14:textId="77777777" w:rsidR="000C57C8" w:rsidRPr="00BC1A85" w:rsidRDefault="000C57C8" w:rsidP="00FB7BF4">
            <w:pPr>
              <w:spacing w:before="60"/>
              <w:rPr>
                <w:i/>
              </w:rPr>
            </w:pPr>
            <w:r w:rsidRPr="00BC1A85">
              <w:rPr>
                <w:i/>
              </w:rPr>
              <w:t xml:space="preserve">Počet vozidel projíždějících centrem města Zlína </w:t>
            </w:r>
          </w:p>
        </w:tc>
        <w:tc>
          <w:tcPr>
            <w:tcW w:w="6127" w:type="dxa"/>
            <w:shd w:val="clear" w:color="auto" w:fill="auto"/>
          </w:tcPr>
          <w:p w14:paraId="756147A5" w14:textId="11B9A6BC" w:rsidR="000C57C8" w:rsidRPr="00BC1A85" w:rsidRDefault="000C57C8" w:rsidP="00FE6952">
            <w:pPr>
              <w:spacing w:before="60"/>
              <w:rPr>
                <w:i/>
              </w:rPr>
            </w:pPr>
            <w:r w:rsidRPr="00BC1A85">
              <w:rPr>
                <w:i/>
              </w:rPr>
              <w:t>V rámci sledovaného období je možné využ</w:t>
            </w:r>
            <w:r w:rsidR="00FE6952">
              <w:rPr>
                <w:i/>
              </w:rPr>
              <w:t>í</w:t>
            </w:r>
            <w:r w:rsidRPr="00BC1A85">
              <w:rPr>
                <w:i/>
              </w:rPr>
              <w:t xml:space="preserve">t pouze data </w:t>
            </w:r>
            <w:r w:rsidR="00FB5D5C">
              <w:rPr>
                <w:i/>
              </w:rPr>
              <w:t>z</w:t>
            </w:r>
            <w:r w:rsidRPr="00BC1A85">
              <w:rPr>
                <w:i/>
              </w:rPr>
              <w:t>e sčítání dopravy z let 2010 a 2016. V tomto období je patrný nárůst</w:t>
            </w:r>
            <w:r w:rsidR="00BC7AD0">
              <w:rPr>
                <w:i/>
              </w:rPr>
              <w:t xml:space="preserve"> vozidel projíždějících územím s</w:t>
            </w:r>
            <w:r w:rsidRPr="00BC1A85">
              <w:rPr>
                <w:i/>
              </w:rPr>
              <w:t>tatutárního města Zlína o téměř 13 %.</w:t>
            </w:r>
          </w:p>
        </w:tc>
      </w:tr>
      <w:tr w:rsidR="000C57C8" w:rsidRPr="00BC1A85" w14:paraId="7EC547D8" w14:textId="77777777" w:rsidTr="00FB7BF4">
        <w:tc>
          <w:tcPr>
            <w:tcW w:w="3085" w:type="dxa"/>
            <w:shd w:val="clear" w:color="auto" w:fill="EDEDED"/>
          </w:tcPr>
          <w:p w14:paraId="04E1119C" w14:textId="77777777" w:rsidR="000C57C8" w:rsidRPr="00BC1A85" w:rsidRDefault="000C57C8" w:rsidP="00FB7BF4">
            <w:pPr>
              <w:spacing w:before="60"/>
              <w:rPr>
                <w:i/>
              </w:rPr>
            </w:pPr>
            <w:r w:rsidRPr="00BC1A85">
              <w:rPr>
                <w:i/>
              </w:rPr>
              <w:t>Dělba přepravní práce (modal split)</w:t>
            </w:r>
          </w:p>
        </w:tc>
        <w:tc>
          <w:tcPr>
            <w:tcW w:w="6127" w:type="dxa"/>
            <w:shd w:val="clear" w:color="auto" w:fill="auto"/>
          </w:tcPr>
          <w:p w14:paraId="496D3CE0" w14:textId="6A2C1F56" w:rsidR="000C57C8" w:rsidRPr="00BC1A85" w:rsidRDefault="000C57C8" w:rsidP="00FE6952">
            <w:pPr>
              <w:spacing w:before="60"/>
              <w:rPr>
                <w:i/>
              </w:rPr>
            </w:pPr>
            <w:r w:rsidRPr="00BC1A85">
              <w:rPr>
                <w:i/>
              </w:rPr>
              <w:t>V rámci sledovaného období je možné využ</w:t>
            </w:r>
            <w:r w:rsidR="00FE6952">
              <w:rPr>
                <w:i/>
              </w:rPr>
              <w:t>í</w:t>
            </w:r>
            <w:r w:rsidRPr="00BC1A85">
              <w:rPr>
                <w:i/>
              </w:rPr>
              <w:t xml:space="preserve">t pouze </w:t>
            </w:r>
            <w:r>
              <w:rPr>
                <w:i/>
              </w:rPr>
              <w:t>relevantní data z let 2011 (Sčítání lidu, domů a bytů) a 2015 (analytická část Generelu dopravy pro město Zlín)</w:t>
            </w:r>
            <w:r w:rsidRPr="00BC1A85">
              <w:rPr>
                <w:i/>
              </w:rPr>
              <w:t>. V tomto období dochází ke zvýšení podílu individuální automobilové dopravy, a to zejména na úkor městské hromadné dopravy.</w:t>
            </w:r>
          </w:p>
        </w:tc>
      </w:tr>
      <w:tr w:rsidR="000C57C8" w:rsidRPr="00BC1A85" w14:paraId="55ACD4C3" w14:textId="77777777" w:rsidTr="00FB7BF4">
        <w:tc>
          <w:tcPr>
            <w:tcW w:w="3085" w:type="dxa"/>
            <w:shd w:val="clear" w:color="auto" w:fill="EDEDED"/>
          </w:tcPr>
          <w:p w14:paraId="71622DF0" w14:textId="77777777" w:rsidR="000C57C8" w:rsidRPr="00BC1A85" w:rsidRDefault="000C57C8" w:rsidP="00FB7BF4">
            <w:pPr>
              <w:spacing w:before="60"/>
              <w:rPr>
                <w:i/>
              </w:rPr>
            </w:pPr>
            <w:r w:rsidRPr="00BC1A85">
              <w:rPr>
                <w:i/>
              </w:rPr>
              <w:t>Počet cestujících městskou hromadnou dopravou města Zlína</w:t>
            </w:r>
          </w:p>
        </w:tc>
        <w:tc>
          <w:tcPr>
            <w:tcW w:w="6127" w:type="dxa"/>
            <w:shd w:val="clear" w:color="auto" w:fill="auto"/>
          </w:tcPr>
          <w:p w14:paraId="5E8955C8" w14:textId="77777777" w:rsidR="000C57C8" w:rsidRPr="00BC1A85" w:rsidRDefault="000C57C8" w:rsidP="00FB7BF4">
            <w:pPr>
              <w:spacing w:before="60"/>
              <w:rPr>
                <w:i/>
              </w:rPr>
            </w:pPr>
            <w:r w:rsidRPr="00BC1A85">
              <w:rPr>
                <w:i/>
              </w:rPr>
              <w:t>Ve sledované</w:t>
            </w:r>
            <w:r>
              <w:rPr>
                <w:i/>
              </w:rPr>
              <w:t>m</w:t>
            </w:r>
            <w:r w:rsidRPr="00BC1A85">
              <w:rPr>
                <w:i/>
              </w:rPr>
              <w:t xml:space="preserve"> období dochází k nárůstu počtu osob přepravených městskou hromadnou dopravou, roste také podíl dlouhodobého časového jízdného.</w:t>
            </w:r>
          </w:p>
        </w:tc>
      </w:tr>
    </w:tbl>
    <w:p w14:paraId="626B2763" w14:textId="77777777" w:rsidR="000C57C8" w:rsidRPr="00A05F9C" w:rsidRDefault="000C57C8" w:rsidP="000C57C8">
      <w:pPr>
        <w:keepNext/>
        <w:spacing w:before="240" w:after="60"/>
        <w:rPr>
          <w:i/>
          <w:u w:val="single"/>
        </w:rPr>
      </w:pPr>
      <w:r>
        <w:rPr>
          <w:i/>
          <w:u w:val="single"/>
        </w:rPr>
        <w:t>Podkladová data k hodnocení ukazatelů kontextu:</w:t>
      </w:r>
    </w:p>
    <w:p w14:paraId="43D2E60B" w14:textId="17EE66DE" w:rsidR="000C57C8" w:rsidRDefault="000C57C8" w:rsidP="000C57C8">
      <w:pPr>
        <w:pStyle w:val="Titulek"/>
        <w:keepNext/>
        <w:keepLines/>
      </w:pPr>
      <w:bookmarkStart w:id="1076" w:name="_Toc54702663"/>
      <w:bookmarkStart w:id="1077" w:name="_Toc56179470"/>
      <w:bookmarkStart w:id="1078" w:name="_Toc57731828"/>
      <w:bookmarkStart w:id="1079" w:name="_Toc77074812"/>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4</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3</w:t>
      </w:r>
      <w:r w:rsidR="004857C6">
        <w:rPr>
          <w:noProof/>
        </w:rPr>
        <w:fldChar w:fldCharType="end"/>
      </w:r>
      <w:r w:rsidR="00FB5D5C">
        <w:rPr>
          <w:noProof/>
        </w:rPr>
        <w:t>:</w:t>
      </w:r>
      <w:r>
        <w:t xml:space="preserve"> Počet vozidel denně projíždějících sčítacími úseky na území statutárního města Zlína</w:t>
      </w:r>
      <w:bookmarkEnd w:id="1076"/>
      <w:bookmarkEnd w:id="1077"/>
      <w:bookmarkEnd w:id="1078"/>
      <w:bookmarkEnd w:id="1079"/>
    </w:p>
    <w:tbl>
      <w:tblPr>
        <w:tblW w:w="5000" w:type="pct"/>
        <w:tblCellMar>
          <w:left w:w="70" w:type="dxa"/>
          <w:right w:w="70" w:type="dxa"/>
        </w:tblCellMar>
        <w:tblLook w:val="04A0" w:firstRow="1" w:lastRow="0" w:firstColumn="1" w:lastColumn="0" w:noHBand="0" w:noVBand="1"/>
      </w:tblPr>
      <w:tblGrid>
        <w:gridCol w:w="994"/>
        <w:gridCol w:w="2920"/>
        <w:gridCol w:w="2714"/>
        <w:gridCol w:w="1211"/>
        <w:gridCol w:w="1213"/>
      </w:tblGrid>
      <w:tr w:rsidR="000C57C8" w:rsidRPr="00C70695" w14:paraId="722F01AE" w14:textId="77777777" w:rsidTr="00FB7BF4">
        <w:trPr>
          <w:trHeight w:val="255"/>
        </w:trPr>
        <w:tc>
          <w:tcPr>
            <w:tcW w:w="549" w:type="pct"/>
            <w:vMerge w:val="restart"/>
            <w:tcBorders>
              <w:top w:val="single" w:sz="8" w:space="0" w:color="auto"/>
              <w:left w:val="single" w:sz="8" w:space="0" w:color="auto"/>
              <w:bottom w:val="single" w:sz="4" w:space="0" w:color="auto"/>
              <w:right w:val="nil"/>
            </w:tcBorders>
            <w:shd w:val="clear" w:color="auto" w:fill="auto"/>
            <w:noWrap/>
            <w:vAlign w:val="bottom"/>
            <w:hideMark/>
          </w:tcPr>
          <w:p w14:paraId="0CD00F1D" w14:textId="77777777" w:rsidR="000C57C8" w:rsidRPr="00C70695" w:rsidRDefault="000C57C8" w:rsidP="00FB7BF4">
            <w:pPr>
              <w:spacing w:before="0"/>
              <w:jc w:val="center"/>
              <w:rPr>
                <w:rFonts w:eastAsia="Times New Roman" w:cstheme="minorHAnsi"/>
                <w:b/>
                <w:bCs/>
                <w:sz w:val="18"/>
                <w:szCs w:val="18"/>
                <w:lang w:eastAsia="cs-CZ"/>
              </w:rPr>
            </w:pPr>
            <w:r w:rsidRPr="00C70695">
              <w:rPr>
                <w:rFonts w:eastAsia="Times New Roman" w:cstheme="minorHAnsi"/>
                <w:b/>
                <w:bCs/>
                <w:sz w:val="18"/>
                <w:szCs w:val="18"/>
                <w:lang w:eastAsia="cs-CZ"/>
              </w:rPr>
              <w:t>Sč. úsek</w:t>
            </w:r>
          </w:p>
        </w:tc>
        <w:tc>
          <w:tcPr>
            <w:tcW w:w="1613" w:type="pct"/>
            <w:vMerge w:val="restart"/>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24E07A38" w14:textId="77777777" w:rsidR="000C57C8" w:rsidRPr="00C70695" w:rsidRDefault="000C57C8" w:rsidP="00FB7BF4">
            <w:pPr>
              <w:spacing w:before="0"/>
              <w:jc w:val="center"/>
              <w:rPr>
                <w:rFonts w:eastAsia="Times New Roman" w:cstheme="minorHAnsi"/>
                <w:b/>
                <w:bCs/>
                <w:sz w:val="18"/>
                <w:szCs w:val="18"/>
                <w:lang w:eastAsia="cs-CZ"/>
              </w:rPr>
            </w:pPr>
            <w:r w:rsidRPr="00C70695">
              <w:rPr>
                <w:rFonts w:eastAsia="Times New Roman" w:cstheme="minorHAnsi"/>
                <w:b/>
                <w:bCs/>
                <w:sz w:val="18"/>
                <w:szCs w:val="18"/>
                <w:lang w:eastAsia="cs-CZ"/>
              </w:rPr>
              <w:t>Začátek</w:t>
            </w:r>
          </w:p>
        </w:tc>
        <w:tc>
          <w:tcPr>
            <w:tcW w:w="1499" w:type="pct"/>
            <w:vMerge w:val="restart"/>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52BD700A" w14:textId="77777777" w:rsidR="000C57C8" w:rsidRPr="00C70695" w:rsidRDefault="000C57C8" w:rsidP="00FB7BF4">
            <w:pPr>
              <w:spacing w:before="0"/>
              <w:jc w:val="center"/>
              <w:rPr>
                <w:rFonts w:eastAsia="Times New Roman" w:cstheme="minorHAnsi"/>
                <w:b/>
                <w:bCs/>
                <w:sz w:val="18"/>
                <w:szCs w:val="18"/>
                <w:lang w:eastAsia="cs-CZ"/>
              </w:rPr>
            </w:pPr>
            <w:r w:rsidRPr="00C70695">
              <w:rPr>
                <w:rFonts w:eastAsia="Times New Roman" w:cstheme="minorHAnsi"/>
                <w:b/>
                <w:bCs/>
                <w:sz w:val="18"/>
                <w:szCs w:val="18"/>
                <w:lang w:eastAsia="cs-CZ"/>
              </w:rPr>
              <w:t>Konec</w:t>
            </w:r>
          </w:p>
        </w:tc>
        <w:tc>
          <w:tcPr>
            <w:tcW w:w="1339" w:type="pct"/>
            <w:gridSpan w:val="2"/>
            <w:tcBorders>
              <w:top w:val="single" w:sz="8" w:space="0" w:color="auto"/>
              <w:left w:val="nil"/>
              <w:bottom w:val="single" w:sz="4" w:space="0" w:color="auto"/>
              <w:right w:val="single" w:sz="8" w:space="0" w:color="000000"/>
            </w:tcBorders>
            <w:shd w:val="clear" w:color="auto" w:fill="auto"/>
            <w:noWrap/>
            <w:vAlign w:val="bottom"/>
            <w:hideMark/>
          </w:tcPr>
          <w:p w14:paraId="4880043A" w14:textId="77777777" w:rsidR="000C57C8" w:rsidRPr="00C70695" w:rsidRDefault="000C57C8" w:rsidP="00FB7BF4">
            <w:pPr>
              <w:spacing w:before="0"/>
              <w:jc w:val="center"/>
              <w:rPr>
                <w:rFonts w:eastAsia="Times New Roman" w:cstheme="minorHAnsi"/>
                <w:b/>
                <w:bCs/>
                <w:sz w:val="18"/>
                <w:szCs w:val="18"/>
                <w:lang w:eastAsia="cs-CZ"/>
              </w:rPr>
            </w:pPr>
            <w:r w:rsidRPr="00C70695">
              <w:rPr>
                <w:rFonts w:eastAsia="Times New Roman" w:cstheme="minorHAnsi"/>
                <w:b/>
                <w:bCs/>
                <w:sz w:val="18"/>
                <w:szCs w:val="18"/>
                <w:lang w:eastAsia="cs-CZ"/>
              </w:rPr>
              <w:t>Vozidel/den (Po-Pá)</w:t>
            </w:r>
          </w:p>
        </w:tc>
      </w:tr>
      <w:tr w:rsidR="000C57C8" w:rsidRPr="00C70695" w14:paraId="6D34DA15" w14:textId="77777777" w:rsidTr="00FB7BF4">
        <w:trPr>
          <w:trHeight w:val="255"/>
        </w:trPr>
        <w:tc>
          <w:tcPr>
            <w:tcW w:w="549" w:type="pct"/>
            <w:vMerge/>
            <w:tcBorders>
              <w:top w:val="single" w:sz="8" w:space="0" w:color="auto"/>
              <w:left w:val="single" w:sz="8" w:space="0" w:color="auto"/>
              <w:bottom w:val="single" w:sz="4" w:space="0" w:color="auto"/>
              <w:right w:val="nil"/>
            </w:tcBorders>
            <w:vAlign w:val="center"/>
            <w:hideMark/>
          </w:tcPr>
          <w:p w14:paraId="10605D89" w14:textId="77777777" w:rsidR="000C57C8" w:rsidRPr="00553A10" w:rsidRDefault="000C57C8" w:rsidP="00FB7BF4">
            <w:pPr>
              <w:spacing w:before="0"/>
              <w:jc w:val="left"/>
              <w:rPr>
                <w:rFonts w:eastAsia="Times New Roman" w:cstheme="minorHAnsi"/>
                <w:b/>
                <w:bCs/>
                <w:sz w:val="18"/>
                <w:szCs w:val="18"/>
                <w:lang w:eastAsia="cs-CZ"/>
              </w:rPr>
            </w:pPr>
          </w:p>
        </w:tc>
        <w:tc>
          <w:tcPr>
            <w:tcW w:w="1613" w:type="pct"/>
            <w:vMerge/>
            <w:tcBorders>
              <w:top w:val="single" w:sz="8" w:space="0" w:color="auto"/>
              <w:left w:val="single" w:sz="8" w:space="0" w:color="auto"/>
              <w:bottom w:val="single" w:sz="4" w:space="0" w:color="auto"/>
              <w:right w:val="single" w:sz="8" w:space="0" w:color="auto"/>
            </w:tcBorders>
            <w:vAlign w:val="center"/>
            <w:hideMark/>
          </w:tcPr>
          <w:p w14:paraId="5BF104D8" w14:textId="77777777" w:rsidR="000C57C8" w:rsidRPr="00553A10" w:rsidRDefault="000C57C8" w:rsidP="00FB7BF4">
            <w:pPr>
              <w:spacing w:before="0"/>
              <w:jc w:val="left"/>
              <w:rPr>
                <w:rFonts w:eastAsia="Times New Roman" w:cstheme="minorHAnsi"/>
                <w:b/>
                <w:bCs/>
                <w:sz w:val="18"/>
                <w:szCs w:val="18"/>
                <w:lang w:eastAsia="cs-CZ"/>
              </w:rPr>
            </w:pPr>
          </w:p>
        </w:tc>
        <w:tc>
          <w:tcPr>
            <w:tcW w:w="1499" w:type="pct"/>
            <w:vMerge/>
            <w:tcBorders>
              <w:top w:val="single" w:sz="8" w:space="0" w:color="auto"/>
              <w:left w:val="single" w:sz="8" w:space="0" w:color="auto"/>
              <w:bottom w:val="single" w:sz="4" w:space="0" w:color="auto"/>
              <w:right w:val="single" w:sz="8" w:space="0" w:color="auto"/>
            </w:tcBorders>
            <w:vAlign w:val="center"/>
            <w:hideMark/>
          </w:tcPr>
          <w:p w14:paraId="4853B586" w14:textId="77777777" w:rsidR="000C57C8" w:rsidRPr="00553A10" w:rsidRDefault="000C57C8" w:rsidP="00FB7BF4">
            <w:pPr>
              <w:spacing w:before="0"/>
              <w:jc w:val="left"/>
              <w:rPr>
                <w:rFonts w:eastAsia="Times New Roman" w:cstheme="minorHAnsi"/>
                <w:b/>
                <w:bCs/>
                <w:sz w:val="18"/>
                <w:szCs w:val="18"/>
                <w:lang w:eastAsia="cs-CZ"/>
              </w:rPr>
            </w:pPr>
          </w:p>
        </w:tc>
        <w:tc>
          <w:tcPr>
            <w:tcW w:w="669" w:type="pct"/>
            <w:tcBorders>
              <w:top w:val="nil"/>
              <w:left w:val="nil"/>
              <w:bottom w:val="single" w:sz="4" w:space="0" w:color="auto"/>
              <w:right w:val="single" w:sz="4" w:space="0" w:color="auto"/>
            </w:tcBorders>
            <w:shd w:val="clear" w:color="auto" w:fill="auto"/>
            <w:noWrap/>
            <w:vAlign w:val="bottom"/>
            <w:hideMark/>
          </w:tcPr>
          <w:p w14:paraId="4E67B477" w14:textId="77777777" w:rsidR="000C57C8" w:rsidRPr="00553A10" w:rsidRDefault="000C57C8" w:rsidP="00FB7BF4">
            <w:pPr>
              <w:spacing w:before="0"/>
              <w:jc w:val="center"/>
              <w:rPr>
                <w:rFonts w:eastAsia="Times New Roman" w:cstheme="minorHAnsi"/>
                <w:b/>
                <w:bCs/>
                <w:sz w:val="18"/>
                <w:szCs w:val="18"/>
                <w:lang w:eastAsia="cs-CZ"/>
              </w:rPr>
            </w:pPr>
            <w:r w:rsidRPr="00553A10">
              <w:rPr>
                <w:rFonts w:eastAsia="Times New Roman" w:cstheme="minorHAnsi"/>
                <w:b/>
                <w:bCs/>
                <w:sz w:val="18"/>
                <w:szCs w:val="18"/>
                <w:lang w:eastAsia="cs-CZ"/>
              </w:rPr>
              <w:t>2010</w:t>
            </w:r>
          </w:p>
        </w:tc>
        <w:tc>
          <w:tcPr>
            <w:tcW w:w="669" w:type="pct"/>
            <w:tcBorders>
              <w:top w:val="nil"/>
              <w:left w:val="nil"/>
              <w:bottom w:val="single" w:sz="4" w:space="0" w:color="auto"/>
              <w:right w:val="single" w:sz="8" w:space="0" w:color="auto"/>
            </w:tcBorders>
            <w:shd w:val="clear" w:color="auto" w:fill="auto"/>
            <w:noWrap/>
            <w:vAlign w:val="bottom"/>
            <w:hideMark/>
          </w:tcPr>
          <w:p w14:paraId="7B830A73" w14:textId="77777777" w:rsidR="000C57C8" w:rsidRPr="00553A10" w:rsidRDefault="000C57C8" w:rsidP="00FB7BF4">
            <w:pPr>
              <w:spacing w:before="0"/>
              <w:jc w:val="center"/>
              <w:rPr>
                <w:rFonts w:eastAsia="Times New Roman" w:cstheme="minorHAnsi"/>
                <w:b/>
                <w:bCs/>
                <w:sz w:val="18"/>
                <w:szCs w:val="18"/>
                <w:lang w:eastAsia="cs-CZ"/>
              </w:rPr>
            </w:pPr>
            <w:r w:rsidRPr="00553A10">
              <w:rPr>
                <w:rFonts w:eastAsia="Times New Roman" w:cstheme="minorHAnsi"/>
                <w:b/>
                <w:bCs/>
                <w:sz w:val="18"/>
                <w:szCs w:val="18"/>
                <w:lang w:eastAsia="cs-CZ"/>
              </w:rPr>
              <w:t>2016</w:t>
            </w:r>
          </w:p>
        </w:tc>
      </w:tr>
      <w:tr w:rsidR="000C57C8" w:rsidRPr="00C70695" w14:paraId="708FB800" w14:textId="77777777" w:rsidTr="00FB7BF4">
        <w:trPr>
          <w:trHeight w:val="255"/>
        </w:trPr>
        <w:tc>
          <w:tcPr>
            <w:tcW w:w="549" w:type="pct"/>
            <w:tcBorders>
              <w:top w:val="nil"/>
              <w:left w:val="single" w:sz="8" w:space="0" w:color="auto"/>
              <w:bottom w:val="single" w:sz="4" w:space="0" w:color="auto"/>
              <w:right w:val="nil"/>
            </w:tcBorders>
            <w:shd w:val="clear" w:color="auto" w:fill="auto"/>
            <w:noWrap/>
            <w:vAlign w:val="bottom"/>
            <w:hideMark/>
          </w:tcPr>
          <w:p w14:paraId="1F9F3EA8"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6-2971</w:t>
            </w:r>
          </w:p>
        </w:tc>
        <w:tc>
          <w:tcPr>
            <w:tcW w:w="1613" w:type="pct"/>
            <w:tcBorders>
              <w:top w:val="nil"/>
              <w:left w:val="single" w:sz="8" w:space="0" w:color="auto"/>
              <w:bottom w:val="single" w:sz="4" w:space="0" w:color="auto"/>
              <w:right w:val="single" w:sz="8" w:space="0" w:color="auto"/>
            </w:tcBorders>
            <w:shd w:val="clear" w:color="auto" w:fill="auto"/>
            <w:noWrap/>
            <w:vAlign w:val="bottom"/>
            <w:hideMark/>
          </w:tcPr>
          <w:p w14:paraId="3B338394"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příjezd od Otrokovic</w:t>
            </w:r>
          </w:p>
        </w:tc>
        <w:tc>
          <w:tcPr>
            <w:tcW w:w="1499" w:type="pct"/>
            <w:tcBorders>
              <w:top w:val="nil"/>
              <w:left w:val="nil"/>
              <w:bottom w:val="single" w:sz="4" w:space="0" w:color="auto"/>
              <w:right w:val="single" w:sz="8" w:space="0" w:color="auto"/>
            </w:tcBorders>
            <w:shd w:val="clear" w:color="auto" w:fill="auto"/>
            <w:noWrap/>
            <w:vAlign w:val="bottom"/>
            <w:hideMark/>
          </w:tcPr>
          <w:p w14:paraId="424BA8B8"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křižovatka 49a s 490</w:t>
            </w:r>
          </w:p>
        </w:tc>
        <w:tc>
          <w:tcPr>
            <w:tcW w:w="669" w:type="pct"/>
            <w:tcBorders>
              <w:top w:val="nil"/>
              <w:left w:val="nil"/>
              <w:bottom w:val="single" w:sz="4" w:space="0" w:color="auto"/>
              <w:right w:val="single" w:sz="4" w:space="0" w:color="auto"/>
            </w:tcBorders>
            <w:shd w:val="clear" w:color="auto" w:fill="auto"/>
            <w:noWrap/>
            <w:vAlign w:val="bottom"/>
            <w:hideMark/>
          </w:tcPr>
          <w:p w14:paraId="6B948085"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28 398</w:t>
            </w:r>
          </w:p>
        </w:tc>
        <w:tc>
          <w:tcPr>
            <w:tcW w:w="669" w:type="pct"/>
            <w:tcBorders>
              <w:top w:val="nil"/>
              <w:left w:val="nil"/>
              <w:bottom w:val="single" w:sz="4" w:space="0" w:color="auto"/>
              <w:right w:val="single" w:sz="8" w:space="0" w:color="auto"/>
            </w:tcBorders>
            <w:shd w:val="clear" w:color="auto" w:fill="auto"/>
            <w:noWrap/>
            <w:vAlign w:val="bottom"/>
            <w:hideMark/>
          </w:tcPr>
          <w:p w14:paraId="3B135AD0"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35 359</w:t>
            </w:r>
          </w:p>
        </w:tc>
      </w:tr>
      <w:tr w:rsidR="000C57C8" w:rsidRPr="00C70695" w14:paraId="314A5147" w14:textId="77777777" w:rsidTr="00FB7BF4">
        <w:trPr>
          <w:trHeight w:val="255"/>
        </w:trPr>
        <w:tc>
          <w:tcPr>
            <w:tcW w:w="549" w:type="pct"/>
            <w:tcBorders>
              <w:top w:val="nil"/>
              <w:left w:val="single" w:sz="8" w:space="0" w:color="auto"/>
              <w:bottom w:val="single" w:sz="4" w:space="0" w:color="auto"/>
              <w:right w:val="nil"/>
            </w:tcBorders>
            <w:shd w:val="clear" w:color="auto" w:fill="auto"/>
            <w:noWrap/>
            <w:vAlign w:val="bottom"/>
            <w:hideMark/>
          </w:tcPr>
          <w:p w14:paraId="5492BB0E"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6-2974</w:t>
            </w:r>
          </w:p>
        </w:tc>
        <w:tc>
          <w:tcPr>
            <w:tcW w:w="1613" w:type="pct"/>
            <w:tcBorders>
              <w:top w:val="nil"/>
              <w:left w:val="single" w:sz="8" w:space="0" w:color="auto"/>
              <w:bottom w:val="single" w:sz="4" w:space="0" w:color="auto"/>
              <w:right w:val="single" w:sz="8" w:space="0" w:color="auto"/>
            </w:tcBorders>
            <w:shd w:val="clear" w:color="auto" w:fill="auto"/>
            <w:noWrap/>
            <w:vAlign w:val="bottom"/>
            <w:hideMark/>
          </w:tcPr>
          <w:p w14:paraId="1C1EE706"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křižovatka s 490</w:t>
            </w:r>
          </w:p>
        </w:tc>
        <w:tc>
          <w:tcPr>
            <w:tcW w:w="1499" w:type="pct"/>
            <w:tcBorders>
              <w:top w:val="nil"/>
              <w:left w:val="nil"/>
              <w:bottom w:val="single" w:sz="4" w:space="0" w:color="auto"/>
              <w:right w:val="single" w:sz="8" w:space="0" w:color="auto"/>
            </w:tcBorders>
            <w:shd w:val="clear" w:color="auto" w:fill="auto"/>
            <w:noWrap/>
            <w:vAlign w:val="bottom"/>
            <w:hideMark/>
          </w:tcPr>
          <w:p w14:paraId="689189F9"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křižovatka s 490 od Fryštáku</w:t>
            </w:r>
          </w:p>
        </w:tc>
        <w:tc>
          <w:tcPr>
            <w:tcW w:w="669" w:type="pct"/>
            <w:tcBorders>
              <w:top w:val="nil"/>
              <w:left w:val="nil"/>
              <w:bottom w:val="single" w:sz="4" w:space="0" w:color="auto"/>
              <w:right w:val="single" w:sz="4" w:space="0" w:color="auto"/>
            </w:tcBorders>
            <w:shd w:val="clear" w:color="auto" w:fill="auto"/>
            <w:noWrap/>
            <w:vAlign w:val="bottom"/>
            <w:hideMark/>
          </w:tcPr>
          <w:p w14:paraId="32670986"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16 020</w:t>
            </w:r>
          </w:p>
        </w:tc>
        <w:tc>
          <w:tcPr>
            <w:tcW w:w="669" w:type="pct"/>
            <w:tcBorders>
              <w:top w:val="nil"/>
              <w:left w:val="nil"/>
              <w:bottom w:val="single" w:sz="4" w:space="0" w:color="auto"/>
              <w:right w:val="single" w:sz="8" w:space="0" w:color="auto"/>
            </w:tcBorders>
            <w:shd w:val="clear" w:color="auto" w:fill="auto"/>
            <w:noWrap/>
            <w:vAlign w:val="bottom"/>
            <w:hideMark/>
          </w:tcPr>
          <w:p w14:paraId="35E51B05"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19 158</w:t>
            </w:r>
          </w:p>
        </w:tc>
      </w:tr>
      <w:tr w:rsidR="000C57C8" w:rsidRPr="00C70695" w14:paraId="2F1D9076" w14:textId="77777777" w:rsidTr="00FB7BF4">
        <w:trPr>
          <w:trHeight w:val="255"/>
        </w:trPr>
        <w:tc>
          <w:tcPr>
            <w:tcW w:w="549" w:type="pct"/>
            <w:tcBorders>
              <w:top w:val="nil"/>
              <w:left w:val="single" w:sz="8" w:space="0" w:color="auto"/>
              <w:bottom w:val="single" w:sz="4" w:space="0" w:color="auto"/>
              <w:right w:val="nil"/>
            </w:tcBorders>
            <w:shd w:val="clear" w:color="auto" w:fill="auto"/>
            <w:noWrap/>
            <w:vAlign w:val="bottom"/>
            <w:hideMark/>
          </w:tcPr>
          <w:p w14:paraId="0B1CEF0E"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6-2972</w:t>
            </w:r>
          </w:p>
        </w:tc>
        <w:tc>
          <w:tcPr>
            <w:tcW w:w="1613" w:type="pct"/>
            <w:tcBorders>
              <w:top w:val="nil"/>
              <w:left w:val="single" w:sz="8" w:space="0" w:color="auto"/>
              <w:bottom w:val="single" w:sz="4" w:space="0" w:color="auto"/>
              <w:right w:val="single" w:sz="8" w:space="0" w:color="auto"/>
            </w:tcBorders>
            <w:shd w:val="clear" w:color="auto" w:fill="auto"/>
            <w:noWrap/>
            <w:vAlign w:val="bottom"/>
            <w:hideMark/>
          </w:tcPr>
          <w:p w14:paraId="700BB2E4"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křižovatka 49a s 490</w:t>
            </w:r>
          </w:p>
        </w:tc>
        <w:tc>
          <w:tcPr>
            <w:tcW w:w="1499" w:type="pct"/>
            <w:tcBorders>
              <w:top w:val="nil"/>
              <w:left w:val="nil"/>
              <w:bottom w:val="single" w:sz="4" w:space="0" w:color="auto"/>
              <w:right w:val="single" w:sz="8" w:space="0" w:color="auto"/>
            </w:tcBorders>
            <w:shd w:val="clear" w:color="auto" w:fill="auto"/>
            <w:noWrap/>
            <w:vAlign w:val="bottom"/>
            <w:hideMark/>
          </w:tcPr>
          <w:p w14:paraId="0BDAC79F" w14:textId="0DEBD481"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vyús.</w:t>
            </w:r>
            <w:r w:rsidR="00E57A64">
              <w:rPr>
                <w:rFonts w:eastAsia="Times New Roman" w:cstheme="minorHAnsi"/>
                <w:sz w:val="18"/>
                <w:szCs w:val="18"/>
                <w:lang w:eastAsia="cs-CZ"/>
              </w:rPr>
              <w:t xml:space="preserve"> </w:t>
            </w:r>
            <w:r w:rsidRPr="00C70695">
              <w:rPr>
                <w:rFonts w:eastAsia="Times New Roman" w:cstheme="minorHAnsi"/>
                <w:sz w:val="18"/>
                <w:szCs w:val="18"/>
                <w:lang w:eastAsia="cs-CZ"/>
              </w:rPr>
              <w:t>49026 do Kudlova</w:t>
            </w:r>
          </w:p>
        </w:tc>
        <w:tc>
          <w:tcPr>
            <w:tcW w:w="669" w:type="pct"/>
            <w:tcBorders>
              <w:top w:val="nil"/>
              <w:left w:val="nil"/>
              <w:bottom w:val="single" w:sz="4" w:space="0" w:color="auto"/>
              <w:right w:val="single" w:sz="4" w:space="0" w:color="auto"/>
            </w:tcBorders>
            <w:shd w:val="clear" w:color="auto" w:fill="auto"/>
            <w:noWrap/>
            <w:vAlign w:val="bottom"/>
            <w:hideMark/>
          </w:tcPr>
          <w:p w14:paraId="6328DCBA"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18 802</w:t>
            </w:r>
          </w:p>
        </w:tc>
        <w:tc>
          <w:tcPr>
            <w:tcW w:w="669" w:type="pct"/>
            <w:tcBorders>
              <w:top w:val="nil"/>
              <w:left w:val="nil"/>
              <w:bottom w:val="single" w:sz="4" w:space="0" w:color="auto"/>
              <w:right w:val="single" w:sz="8" w:space="0" w:color="auto"/>
            </w:tcBorders>
            <w:shd w:val="clear" w:color="auto" w:fill="auto"/>
            <w:noWrap/>
            <w:vAlign w:val="bottom"/>
            <w:hideMark/>
          </w:tcPr>
          <w:p w14:paraId="31A8ADBA"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20 611</w:t>
            </w:r>
          </w:p>
        </w:tc>
      </w:tr>
      <w:tr w:rsidR="000C57C8" w:rsidRPr="00C70695" w14:paraId="091D207D" w14:textId="77777777" w:rsidTr="00FB7BF4">
        <w:trPr>
          <w:trHeight w:val="255"/>
        </w:trPr>
        <w:tc>
          <w:tcPr>
            <w:tcW w:w="549" w:type="pct"/>
            <w:tcBorders>
              <w:top w:val="nil"/>
              <w:left w:val="single" w:sz="8" w:space="0" w:color="auto"/>
              <w:bottom w:val="single" w:sz="4" w:space="0" w:color="auto"/>
              <w:right w:val="nil"/>
            </w:tcBorders>
            <w:shd w:val="clear" w:color="auto" w:fill="auto"/>
            <w:noWrap/>
            <w:vAlign w:val="bottom"/>
            <w:hideMark/>
          </w:tcPr>
          <w:p w14:paraId="1C3BDB2E"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6-2981</w:t>
            </w:r>
          </w:p>
        </w:tc>
        <w:tc>
          <w:tcPr>
            <w:tcW w:w="1613" w:type="pct"/>
            <w:tcBorders>
              <w:top w:val="nil"/>
              <w:left w:val="single" w:sz="8" w:space="0" w:color="auto"/>
              <w:bottom w:val="single" w:sz="4" w:space="0" w:color="auto"/>
              <w:right w:val="single" w:sz="8" w:space="0" w:color="auto"/>
            </w:tcBorders>
            <w:shd w:val="clear" w:color="auto" w:fill="auto"/>
            <w:noWrap/>
            <w:vAlign w:val="bottom"/>
            <w:hideMark/>
          </w:tcPr>
          <w:p w14:paraId="3F544529" w14:textId="150F7AEF"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vyús.</w:t>
            </w:r>
            <w:r w:rsidR="00E57A64">
              <w:rPr>
                <w:rFonts w:eastAsia="Times New Roman" w:cstheme="minorHAnsi"/>
                <w:sz w:val="18"/>
                <w:szCs w:val="18"/>
                <w:lang w:eastAsia="cs-CZ"/>
              </w:rPr>
              <w:t xml:space="preserve"> </w:t>
            </w:r>
            <w:r w:rsidRPr="00C70695">
              <w:rPr>
                <w:rFonts w:eastAsia="Times New Roman" w:cstheme="minorHAnsi"/>
                <w:sz w:val="18"/>
                <w:szCs w:val="18"/>
                <w:lang w:eastAsia="cs-CZ"/>
              </w:rPr>
              <w:t>49026 do Kudlova</w:t>
            </w:r>
          </w:p>
        </w:tc>
        <w:tc>
          <w:tcPr>
            <w:tcW w:w="1499" w:type="pct"/>
            <w:tcBorders>
              <w:top w:val="nil"/>
              <w:left w:val="nil"/>
              <w:bottom w:val="single" w:sz="4" w:space="0" w:color="auto"/>
              <w:right w:val="single" w:sz="8" w:space="0" w:color="auto"/>
            </w:tcBorders>
            <w:shd w:val="clear" w:color="auto" w:fill="auto"/>
            <w:noWrap/>
            <w:vAlign w:val="bottom"/>
            <w:hideMark/>
          </w:tcPr>
          <w:p w14:paraId="1EEDFA62"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křižovatka s 490 od Fryštáku</w:t>
            </w:r>
          </w:p>
        </w:tc>
        <w:tc>
          <w:tcPr>
            <w:tcW w:w="669" w:type="pct"/>
            <w:tcBorders>
              <w:top w:val="nil"/>
              <w:left w:val="nil"/>
              <w:bottom w:val="single" w:sz="4" w:space="0" w:color="auto"/>
              <w:right w:val="single" w:sz="4" w:space="0" w:color="auto"/>
            </w:tcBorders>
            <w:shd w:val="clear" w:color="auto" w:fill="auto"/>
            <w:noWrap/>
            <w:vAlign w:val="bottom"/>
            <w:hideMark/>
          </w:tcPr>
          <w:p w14:paraId="2AAB35D4"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16 130</w:t>
            </w:r>
          </w:p>
        </w:tc>
        <w:tc>
          <w:tcPr>
            <w:tcW w:w="669" w:type="pct"/>
            <w:tcBorders>
              <w:top w:val="nil"/>
              <w:left w:val="nil"/>
              <w:bottom w:val="single" w:sz="4" w:space="0" w:color="auto"/>
              <w:right w:val="single" w:sz="8" w:space="0" w:color="auto"/>
            </w:tcBorders>
            <w:shd w:val="clear" w:color="auto" w:fill="auto"/>
            <w:noWrap/>
            <w:vAlign w:val="bottom"/>
            <w:hideMark/>
          </w:tcPr>
          <w:p w14:paraId="053CD0A6"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19 262</w:t>
            </w:r>
          </w:p>
        </w:tc>
      </w:tr>
      <w:tr w:rsidR="000C57C8" w:rsidRPr="00C70695" w14:paraId="0C14FFFC" w14:textId="77777777" w:rsidTr="00FB7BF4">
        <w:trPr>
          <w:trHeight w:val="270"/>
        </w:trPr>
        <w:tc>
          <w:tcPr>
            <w:tcW w:w="549" w:type="pct"/>
            <w:tcBorders>
              <w:top w:val="nil"/>
              <w:left w:val="single" w:sz="8" w:space="0" w:color="auto"/>
              <w:bottom w:val="single" w:sz="8" w:space="0" w:color="auto"/>
              <w:right w:val="nil"/>
            </w:tcBorders>
            <w:shd w:val="clear" w:color="auto" w:fill="auto"/>
            <w:noWrap/>
            <w:vAlign w:val="bottom"/>
            <w:hideMark/>
          </w:tcPr>
          <w:p w14:paraId="3D740705"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6-2961</w:t>
            </w:r>
          </w:p>
        </w:tc>
        <w:tc>
          <w:tcPr>
            <w:tcW w:w="1613" w:type="pct"/>
            <w:tcBorders>
              <w:top w:val="nil"/>
              <w:left w:val="single" w:sz="8" w:space="0" w:color="auto"/>
              <w:bottom w:val="single" w:sz="8" w:space="0" w:color="auto"/>
              <w:right w:val="single" w:sz="8" w:space="0" w:color="auto"/>
            </w:tcBorders>
            <w:shd w:val="clear" w:color="auto" w:fill="auto"/>
            <w:noWrap/>
            <w:vAlign w:val="bottom"/>
            <w:hideMark/>
          </w:tcPr>
          <w:p w14:paraId="273E19B8" w14:textId="77777777"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křižovatka s 490 od Fryštáku</w:t>
            </w:r>
          </w:p>
        </w:tc>
        <w:tc>
          <w:tcPr>
            <w:tcW w:w="1499" w:type="pct"/>
            <w:tcBorders>
              <w:top w:val="nil"/>
              <w:left w:val="nil"/>
              <w:bottom w:val="single" w:sz="8" w:space="0" w:color="auto"/>
              <w:right w:val="single" w:sz="8" w:space="0" w:color="auto"/>
            </w:tcBorders>
            <w:shd w:val="clear" w:color="auto" w:fill="auto"/>
            <w:noWrap/>
            <w:vAlign w:val="bottom"/>
            <w:hideMark/>
          </w:tcPr>
          <w:p w14:paraId="146D6596" w14:textId="2B441CC0" w:rsidR="000C57C8" w:rsidRPr="00C70695" w:rsidRDefault="000C57C8" w:rsidP="00FB7BF4">
            <w:pPr>
              <w:spacing w:before="0"/>
              <w:jc w:val="left"/>
              <w:rPr>
                <w:rFonts w:eastAsia="Times New Roman" w:cstheme="minorHAnsi"/>
                <w:sz w:val="18"/>
                <w:szCs w:val="18"/>
                <w:lang w:eastAsia="cs-CZ"/>
              </w:rPr>
            </w:pPr>
            <w:r w:rsidRPr="00C70695">
              <w:rPr>
                <w:rFonts w:eastAsia="Times New Roman" w:cstheme="minorHAnsi"/>
                <w:sz w:val="18"/>
                <w:szCs w:val="18"/>
                <w:lang w:eastAsia="cs-CZ"/>
              </w:rPr>
              <w:t>křižovatka s MK - ul.</w:t>
            </w:r>
            <w:r w:rsidR="00E57A64">
              <w:rPr>
                <w:rFonts w:eastAsia="Times New Roman" w:cstheme="minorHAnsi"/>
                <w:sz w:val="18"/>
                <w:szCs w:val="18"/>
                <w:lang w:eastAsia="cs-CZ"/>
              </w:rPr>
              <w:t xml:space="preserve"> </w:t>
            </w:r>
            <w:r w:rsidRPr="00C70695">
              <w:rPr>
                <w:rFonts w:eastAsia="Times New Roman" w:cstheme="minorHAnsi"/>
                <w:sz w:val="18"/>
                <w:szCs w:val="18"/>
                <w:lang w:eastAsia="cs-CZ"/>
              </w:rPr>
              <w:t>Díly IV</w:t>
            </w:r>
          </w:p>
        </w:tc>
        <w:tc>
          <w:tcPr>
            <w:tcW w:w="669" w:type="pct"/>
            <w:tcBorders>
              <w:top w:val="nil"/>
              <w:left w:val="nil"/>
              <w:bottom w:val="single" w:sz="8" w:space="0" w:color="auto"/>
              <w:right w:val="single" w:sz="4" w:space="0" w:color="auto"/>
            </w:tcBorders>
            <w:shd w:val="clear" w:color="auto" w:fill="auto"/>
            <w:noWrap/>
            <w:vAlign w:val="bottom"/>
            <w:hideMark/>
          </w:tcPr>
          <w:p w14:paraId="43DEF8BE"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14 810</w:t>
            </w:r>
          </w:p>
        </w:tc>
        <w:tc>
          <w:tcPr>
            <w:tcW w:w="669" w:type="pct"/>
            <w:tcBorders>
              <w:top w:val="nil"/>
              <w:left w:val="nil"/>
              <w:bottom w:val="single" w:sz="8" w:space="0" w:color="auto"/>
              <w:right w:val="single" w:sz="8" w:space="0" w:color="auto"/>
            </w:tcBorders>
            <w:shd w:val="clear" w:color="auto" w:fill="auto"/>
            <w:noWrap/>
            <w:vAlign w:val="bottom"/>
            <w:hideMark/>
          </w:tcPr>
          <w:p w14:paraId="5BF97547" w14:textId="77777777" w:rsidR="000C57C8" w:rsidRPr="00C70695" w:rsidRDefault="000C57C8" w:rsidP="00FB7BF4">
            <w:pPr>
              <w:spacing w:before="0"/>
              <w:jc w:val="right"/>
              <w:rPr>
                <w:rFonts w:eastAsia="Times New Roman" w:cstheme="minorHAnsi"/>
                <w:sz w:val="18"/>
                <w:szCs w:val="18"/>
                <w:lang w:eastAsia="cs-CZ"/>
              </w:rPr>
            </w:pPr>
            <w:r w:rsidRPr="00C70695">
              <w:rPr>
                <w:rFonts w:eastAsia="Times New Roman" w:cstheme="minorHAnsi"/>
                <w:sz w:val="18"/>
                <w:szCs w:val="18"/>
                <w:lang w:eastAsia="cs-CZ"/>
              </w:rPr>
              <w:t>18 598</w:t>
            </w:r>
          </w:p>
        </w:tc>
      </w:tr>
    </w:tbl>
    <w:p w14:paraId="1CAD1C33" w14:textId="32CD5C61" w:rsidR="000C57C8" w:rsidRDefault="000C57C8" w:rsidP="000C57C8">
      <w:pPr>
        <w:rPr>
          <w:rFonts w:eastAsia="Times New Roman"/>
          <w:i/>
          <w:sz w:val="18"/>
          <w:lang w:eastAsia="cs-CZ"/>
        </w:rPr>
      </w:pPr>
      <w:r w:rsidRPr="000C26F9">
        <w:rPr>
          <w:rFonts w:eastAsia="Times New Roman"/>
          <w:i/>
          <w:sz w:val="18"/>
          <w:lang w:eastAsia="cs-CZ"/>
        </w:rPr>
        <w:t>Zdroj: ŘSD ČR – Sčítání dopravy 2010; Sčítání dopravy 2016</w:t>
      </w:r>
      <w:r w:rsidR="00FB5D5C">
        <w:rPr>
          <w:rFonts w:eastAsia="Times New Roman"/>
          <w:i/>
          <w:sz w:val="18"/>
          <w:lang w:eastAsia="cs-CZ"/>
        </w:rPr>
        <w:t>.</w:t>
      </w:r>
    </w:p>
    <w:p w14:paraId="381F861A" w14:textId="2F41054D" w:rsidR="000C57C8" w:rsidRPr="00E40D21" w:rsidRDefault="000C57C8" w:rsidP="000C57C8">
      <w:pPr>
        <w:pStyle w:val="Titulek"/>
        <w:keepNext/>
        <w:keepLines/>
      </w:pPr>
      <w:bookmarkStart w:id="1080" w:name="_Toc54702823"/>
      <w:bookmarkStart w:id="1081" w:name="_Toc56179629"/>
      <w:bookmarkStart w:id="1082" w:name="_Toc77074971"/>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5</w:t>
      </w:r>
      <w:r w:rsidR="00804AF3">
        <w:rPr>
          <w:noProof/>
        </w:rPr>
        <w:fldChar w:fldCharType="end"/>
      </w:r>
      <w:r w:rsidR="00FB5D5C">
        <w:rPr>
          <w:noProof/>
        </w:rPr>
        <w:t>:</w:t>
      </w:r>
      <w:r>
        <w:t xml:space="preserve"> Vývoj dělby přepravní práce</w:t>
      </w:r>
      <w:bookmarkEnd w:id="1080"/>
      <w:bookmarkEnd w:id="1081"/>
      <w:bookmarkEnd w:id="1082"/>
    </w:p>
    <w:p w14:paraId="2C68686A" w14:textId="77777777" w:rsidR="000C57C8" w:rsidRDefault="000C57C8" w:rsidP="000C57C8">
      <w:r>
        <w:rPr>
          <w:noProof/>
          <w:lang w:eastAsia="cs-CZ"/>
        </w:rPr>
        <w:drawing>
          <wp:inline distT="0" distB="0" distL="0" distR="0" wp14:anchorId="3B90EB05" wp14:editId="4194F642">
            <wp:extent cx="5773420" cy="2755900"/>
            <wp:effectExtent l="0" t="0" r="0" b="6350"/>
            <wp:docPr id="427" name="Obráze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3C7A8399" w14:textId="30DBF9A6" w:rsidR="000C57C8" w:rsidRPr="00E40D21" w:rsidRDefault="000C57C8" w:rsidP="000C57C8">
      <w:pPr>
        <w:rPr>
          <w:rFonts w:eastAsia="Times New Roman"/>
          <w:i/>
          <w:sz w:val="18"/>
          <w:lang w:eastAsia="cs-CZ"/>
        </w:rPr>
      </w:pPr>
      <w:r w:rsidRPr="00E40D21">
        <w:rPr>
          <w:rFonts w:eastAsia="Times New Roman"/>
          <w:i/>
          <w:sz w:val="18"/>
          <w:lang w:eastAsia="cs-CZ"/>
        </w:rPr>
        <w:t>Zdroj: ČSÚ – Sčítání lidu, domů a bytů 2011, Generel dopravy pro město Zlín – Analytická část</w:t>
      </w:r>
      <w:r w:rsidR="00FB5D5C">
        <w:rPr>
          <w:rFonts w:eastAsia="Times New Roman"/>
          <w:i/>
          <w:sz w:val="18"/>
          <w:lang w:eastAsia="cs-CZ"/>
        </w:rPr>
        <w:t>,</w:t>
      </w:r>
      <w:r w:rsidRPr="00E40D21">
        <w:rPr>
          <w:rFonts w:eastAsia="Times New Roman"/>
          <w:i/>
          <w:sz w:val="18"/>
          <w:lang w:eastAsia="cs-CZ"/>
        </w:rPr>
        <w:t xml:space="preserve"> 2015</w:t>
      </w:r>
      <w:r w:rsidR="00FB5D5C">
        <w:rPr>
          <w:rFonts w:eastAsia="Times New Roman"/>
          <w:i/>
          <w:sz w:val="18"/>
          <w:lang w:eastAsia="cs-CZ"/>
        </w:rPr>
        <w:t>.</w:t>
      </w:r>
    </w:p>
    <w:p w14:paraId="43175D4C" w14:textId="6A38610D" w:rsidR="000C57C8" w:rsidRDefault="000C57C8" w:rsidP="000C57C8">
      <w:pPr>
        <w:pStyle w:val="Titulek"/>
        <w:keepNext/>
        <w:keepLines/>
      </w:pPr>
      <w:bookmarkStart w:id="1083" w:name="_Toc48222570"/>
      <w:bookmarkStart w:id="1084" w:name="_Toc54702824"/>
      <w:bookmarkStart w:id="1085" w:name="_Toc56179630"/>
      <w:bookmarkStart w:id="1086" w:name="_Toc77074972"/>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6</w:t>
      </w:r>
      <w:r w:rsidR="00804AF3">
        <w:rPr>
          <w:noProof/>
        </w:rPr>
        <w:fldChar w:fldCharType="end"/>
      </w:r>
      <w:r w:rsidR="00FB5D5C">
        <w:rPr>
          <w:noProof/>
        </w:rPr>
        <w:t>:</w:t>
      </w:r>
      <w:r>
        <w:t xml:space="preserve"> Počet přepravených osob zlínské MHD a podíl skupin cestujících (2013</w:t>
      </w:r>
      <w:r w:rsidR="00FB5D5C">
        <w:t xml:space="preserve"> </w:t>
      </w:r>
      <w:r w:rsidR="00FB5D5C">
        <w:sym w:font="Symbol" w:char="F02D"/>
      </w:r>
      <w:r w:rsidR="00FB5D5C">
        <w:t xml:space="preserve"> </w:t>
      </w:r>
      <w:r>
        <w:t>2019)</w:t>
      </w:r>
      <w:bookmarkEnd w:id="1083"/>
      <w:bookmarkEnd w:id="1084"/>
      <w:bookmarkEnd w:id="1085"/>
      <w:bookmarkEnd w:id="1086"/>
    </w:p>
    <w:p w14:paraId="726308D8" w14:textId="77777777" w:rsidR="000C57C8" w:rsidRDefault="000C57C8" w:rsidP="000C57C8">
      <w:r>
        <w:rPr>
          <w:noProof/>
          <w:lang w:eastAsia="cs-CZ"/>
        </w:rPr>
        <w:drawing>
          <wp:inline distT="0" distB="0" distL="0" distR="0" wp14:anchorId="0AB81AD8" wp14:editId="53EA9447">
            <wp:extent cx="5773420" cy="2755900"/>
            <wp:effectExtent l="0" t="0" r="0" b="6350"/>
            <wp:docPr id="428" name="Obráze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73420" cy="2755900"/>
                    </a:xfrm>
                    <a:prstGeom prst="rect">
                      <a:avLst/>
                    </a:prstGeom>
                    <a:noFill/>
                  </pic:spPr>
                </pic:pic>
              </a:graphicData>
            </a:graphic>
          </wp:inline>
        </w:drawing>
      </w:r>
    </w:p>
    <w:p w14:paraId="5C57374F" w14:textId="625EDBAC" w:rsidR="000C57C8" w:rsidRDefault="000C57C8" w:rsidP="000C57C8">
      <w:pPr>
        <w:pStyle w:val="Zdroj"/>
      </w:pPr>
      <w:r>
        <w:t>Zdroj: DSZO</w:t>
      </w:r>
      <w:r w:rsidR="00FB5D5C">
        <w:t xml:space="preserve">, </w:t>
      </w:r>
      <w:r>
        <w:t>2020</w:t>
      </w:r>
      <w:r w:rsidR="00FB5D5C">
        <w:t>.</w:t>
      </w:r>
    </w:p>
    <w:p w14:paraId="18F1C0D2" w14:textId="77777777" w:rsidR="000C57C8" w:rsidRPr="00D90835" w:rsidRDefault="000C57C8" w:rsidP="000C57C8">
      <w:pPr>
        <w:spacing w:before="240" w:after="60"/>
        <w:rPr>
          <w:i/>
          <w:u w:val="single"/>
        </w:rPr>
      </w:pPr>
      <w:r w:rsidRPr="00D90835">
        <w:rPr>
          <w:i/>
          <w:u w:val="single"/>
        </w:rPr>
        <w:t>Plnění opatření v rámci TO 3</w:t>
      </w:r>
    </w:p>
    <w:p w14:paraId="0D7EFA14" w14:textId="77777777" w:rsidR="000C57C8" w:rsidRPr="009A10E5" w:rsidRDefault="000C57C8" w:rsidP="000C57C8">
      <w:pPr>
        <w:pStyle w:val="Nadpis4"/>
        <w:ind w:left="864" w:hanging="864"/>
      </w:pPr>
      <w:r w:rsidRPr="009A10E5">
        <w:t>Tematická podoblast 3.1 Silniční a železniční síť, technická infrastruktura</w:t>
      </w:r>
    </w:p>
    <w:p w14:paraId="5B4C972C" w14:textId="77777777" w:rsidR="000C57C8" w:rsidRDefault="000C57C8" w:rsidP="000C57C8">
      <w:pPr>
        <w:rPr>
          <w:i/>
        </w:rPr>
      </w:pPr>
      <w:r w:rsidRPr="00A12E7B">
        <w:rPr>
          <w:i/>
        </w:rPr>
        <w:t xml:space="preserve">Opatření 3.1-1: Podporovat výstavbu rychlostní silnice nadregionálního významu R49/R6 Hulín – Púchov, primárně pak staveb R4901 Hulín – </w:t>
      </w:r>
      <w:smartTag w:uri="urn:schemas-microsoft-com:office:smarttags" w:element="PersonName">
        <w:r w:rsidRPr="00A12E7B">
          <w:rPr>
            <w:i/>
          </w:rPr>
          <w:t>Fryšták</w:t>
        </w:r>
      </w:smartTag>
      <w:r w:rsidRPr="00A12E7B">
        <w:rPr>
          <w:i/>
        </w:rPr>
        <w:t xml:space="preserve"> a R4902 </w:t>
      </w:r>
      <w:smartTag w:uri="urn:schemas-microsoft-com:office:smarttags" w:element="PersonName">
        <w:r w:rsidRPr="00A12E7B">
          <w:rPr>
            <w:i/>
          </w:rPr>
          <w:t>Fryšták</w:t>
        </w:r>
      </w:smartTag>
      <w:r w:rsidRPr="00A12E7B">
        <w:rPr>
          <w:i/>
        </w:rPr>
        <w:t xml:space="preserve"> – </w:t>
      </w:r>
      <w:smartTag w:uri="urn:schemas-microsoft-com:office:smarttags" w:element="PersonName">
        <w:r w:rsidRPr="00A12E7B">
          <w:rPr>
            <w:i/>
          </w:rPr>
          <w:t>Lípa</w:t>
        </w:r>
      </w:smartTag>
      <w:r w:rsidRPr="00A12E7B">
        <w:rPr>
          <w:i/>
        </w:rPr>
        <w:t xml:space="preserve"> včetně přeložky silnice III/490 a obchvatu Zálešné </w:t>
      </w:r>
    </w:p>
    <w:p w14:paraId="24505EE2" w14:textId="188D370B" w:rsidR="000C57C8" w:rsidRPr="00257C1B" w:rsidRDefault="000C57C8" w:rsidP="00A55F7D">
      <w:pPr>
        <w:numPr>
          <w:ilvl w:val="0"/>
          <w:numId w:val="125"/>
        </w:numPr>
        <w:spacing w:before="0" w:after="120"/>
        <w:rPr>
          <w:i/>
        </w:rPr>
      </w:pPr>
      <w:r>
        <w:t>Přípravné práce pro rozvoj nadřazené komunikační sítě D49, včetně přivaděče Fryšták a</w:t>
      </w:r>
      <w:r w:rsidR="00FB5D5C">
        <w:t> </w:t>
      </w:r>
      <w:r>
        <w:t xml:space="preserve">aktivity navázané na modernizaci železniční tratě 331 Otrokovice-Vizovice, obsahující řadu významných dopravních staveb. </w:t>
      </w:r>
    </w:p>
    <w:p w14:paraId="3A54CD28" w14:textId="77777777" w:rsidR="000C57C8" w:rsidRDefault="000C57C8" w:rsidP="000C57C8">
      <w:pPr>
        <w:keepNext/>
        <w:rPr>
          <w:i/>
        </w:rPr>
      </w:pPr>
      <w:r w:rsidRPr="005A091E">
        <w:rPr>
          <w:i/>
        </w:rPr>
        <w:t>Opatření 3.1-2: Vypracovat a postupně realizovat Generel dopravy města Zlína s primárním cílem snižovat intenzitu konfliktu funkce dopr</w:t>
      </w:r>
      <w:r>
        <w:rPr>
          <w:i/>
        </w:rPr>
        <w:t>avy s funkcemi centra a bydlení</w:t>
      </w:r>
    </w:p>
    <w:p w14:paraId="624F5531" w14:textId="77777777" w:rsidR="000C57C8" w:rsidRPr="00257C1B" w:rsidRDefault="000C57C8" w:rsidP="00A55F7D">
      <w:pPr>
        <w:numPr>
          <w:ilvl w:val="0"/>
          <w:numId w:val="125"/>
        </w:numPr>
        <w:spacing w:before="0" w:after="120"/>
      </w:pPr>
      <w:r w:rsidRPr="00257C1B">
        <w:t>Vytvoření a realizace koncepčních dokumentů v oblasti dopravy: Generel dopravy (2016), strategický rámec udržitelné městské mobility (2018), Plán udržitelné městské mobility města Zlín (</w:t>
      </w:r>
      <w:r>
        <w:t>v roce 2020 se dokument nachází ve fázi zpracování)</w:t>
      </w:r>
      <w:r w:rsidRPr="00257C1B">
        <w:t>).</w:t>
      </w:r>
    </w:p>
    <w:p w14:paraId="18841497" w14:textId="77777777" w:rsidR="000C57C8" w:rsidRDefault="000C57C8" w:rsidP="000C57C8">
      <w:pPr>
        <w:rPr>
          <w:i/>
        </w:rPr>
      </w:pPr>
      <w:r w:rsidRPr="005A091E">
        <w:rPr>
          <w:i/>
        </w:rPr>
        <w:t xml:space="preserve">Opatření 3.1-3: Podporovat modernizaci železniční trati Otrokovice – Zlín – (Vizovice) </w:t>
      </w:r>
    </w:p>
    <w:p w14:paraId="1E16ABE4" w14:textId="6F0FBAF4" w:rsidR="000C57C8" w:rsidRPr="00257C1B" w:rsidRDefault="000C57C8" w:rsidP="00A55F7D">
      <w:pPr>
        <w:numPr>
          <w:ilvl w:val="0"/>
          <w:numId w:val="125"/>
        </w:numPr>
        <w:spacing w:before="0" w:after="120"/>
      </w:pPr>
      <w:r>
        <w:t>Přípravné práce pro m</w:t>
      </w:r>
      <w:r w:rsidRPr="00257C1B">
        <w:t>odernizac</w:t>
      </w:r>
      <w:r>
        <w:t>i</w:t>
      </w:r>
      <w:r w:rsidRPr="00257C1B">
        <w:t xml:space="preserve"> železniční trati 331 a stavb</w:t>
      </w:r>
      <w:r>
        <w:t>u</w:t>
      </w:r>
      <w:r w:rsidRPr="00257C1B">
        <w:t xml:space="preserve"> nového dopravního terminálu</w:t>
      </w:r>
      <w:r w:rsidR="00E57A64">
        <w:t>.</w:t>
      </w:r>
    </w:p>
    <w:p w14:paraId="66CD04CB" w14:textId="77777777" w:rsidR="000C57C8" w:rsidRDefault="000C57C8" w:rsidP="000C57C8">
      <w:pPr>
        <w:rPr>
          <w:i/>
        </w:rPr>
      </w:pPr>
      <w:r w:rsidRPr="005A091E">
        <w:rPr>
          <w:i/>
        </w:rPr>
        <w:t>Opatření 3.1-4: Podporovat výstavbu a modernizaci sítí technické infrastruktury na území města Zlína</w:t>
      </w:r>
    </w:p>
    <w:p w14:paraId="623DDE13" w14:textId="37724E92" w:rsidR="000C57C8" w:rsidRDefault="000C57C8" w:rsidP="00A55F7D">
      <w:pPr>
        <w:numPr>
          <w:ilvl w:val="0"/>
          <w:numId w:val="125"/>
        </w:numPr>
        <w:spacing w:before="0" w:after="120"/>
      </w:pPr>
      <w:r w:rsidRPr="00257C1B">
        <w:t xml:space="preserve"> Výstavba metropolitní optické datové sítě</w:t>
      </w:r>
      <w:r w:rsidR="00E57A64">
        <w:t>.</w:t>
      </w:r>
      <w:r w:rsidRPr="00257C1B">
        <w:t xml:space="preserve"> </w:t>
      </w:r>
      <w:r w:rsidR="00E57A64">
        <w:t>B</w:t>
      </w:r>
      <w:r w:rsidRPr="00257C1B">
        <w:t>yly realizovány další projekty zaměřené na posílení datové infrastruktury města</w:t>
      </w:r>
      <w:r>
        <w:t>.</w:t>
      </w:r>
    </w:p>
    <w:p w14:paraId="7A7D622E" w14:textId="77777777" w:rsidR="000C57C8" w:rsidRDefault="000C57C8" w:rsidP="00A55F7D">
      <w:pPr>
        <w:numPr>
          <w:ilvl w:val="0"/>
          <w:numId w:val="125"/>
        </w:numPr>
        <w:spacing w:before="0" w:after="120"/>
      </w:pPr>
      <w:r>
        <w:t>Budování a rekonstrukce kanalizačních sítí zejména v okrajových částí města.</w:t>
      </w:r>
    </w:p>
    <w:p w14:paraId="372C7267" w14:textId="77777777" w:rsidR="000C57C8" w:rsidRPr="00257C1B" w:rsidRDefault="000C57C8" w:rsidP="00A55F7D">
      <w:pPr>
        <w:numPr>
          <w:ilvl w:val="0"/>
          <w:numId w:val="125"/>
        </w:numPr>
        <w:spacing w:before="0" w:after="120"/>
      </w:pPr>
      <w:r>
        <w:t>Realizace neinvestičních projektů zaměřených na oblast energetiky a hospodaření s energií.</w:t>
      </w:r>
    </w:p>
    <w:p w14:paraId="3F2D9E47" w14:textId="77777777" w:rsidR="000C57C8" w:rsidRPr="00257C1B" w:rsidRDefault="000C57C8" w:rsidP="000C57C8">
      <w:pPr>
        <w:pStyle w:val="Nadpis4"/>
        <w:ind w:left="864" w:hanging="864"/>
      </w:pPr>
      <w:r w:rsidRPr="009A10E5">
        <w:t>Tematická podoblast 3.2 Udržitelné městské dopravní systémy</w:t>
      </w:r>
    </w:p>
    <w:p w14:paraId="541DE0DC" w14:textId="77777777" w:rsidR="000C57C8" w:rsidRDefault="000C57C8" w:rsidP="000C57C8">
      <w:pPr>
        <w:keepNext/>
        <w:rPr>
          <w:i/>
        </w:rPr>
      </w:pPr>
      <w:r w:rsidRPr="00D96DEB">
        <w:rPr>
          <w:i/>
        </w:rPr>
        <w:t xml:space="preserve">Opatření 3.2-1: Podporovat zklidnění dopravy v centru s preferencí městské hromadné dopravy </w:t>
      </w:r>
    </w:p>
    <w:p w14:paraId="19483450" w14:textId="7C8560D5" w:rsidR="000C57C8" w:rsidRPr="006F739D" w:rsidRDefault="000C57C8" w:rsidP="00A55F7D">
      <w:pPr>
        <w:numPr>
          <w:ilvl w:val="0"/>
          <w:numId w:val="122"/>
        </w:numPr>
        <w:spacing w:before="0" w:after="120"/>
        <w:rPr>
          <w:i/>
        </w:rPr>
      </w:pPr>
      <w:r>
        <w:t>Aktivit</w:t>
      </w:r>
      <w:r w:rsidR="00FB5D5C">
        <w:t>y</w:t>
      </w:r>
      <w:r>
        <w:t xml:space="preserve"> za účelem preference a plošné</w:t>
      </w:r>
      <w:r w:rsidRPr="00252EBF">
        <w:t xml:space="preserve"> koordinace MHD ve Zlíně</w:t>
      </w:r>
      <w:r>
        <w:t>.</w:t>
      </w:r>
    </w:p>
    <w:p w14:paraId="020B931E" w14:textId="77777777" w:rsidR="000C57C8" w:rsidRPr="009E57E8" w:rsidRDefault="000C57C8" w:rsidP="00A55F7D">
      <w:pPr>
        <w:numPr>
          <w:ilvl w:val="0"/>
          <w:numId w:val="122"/>
        </w:numPr>
        <w:spacing w:before="0" w:after="120"/>
        <w:rPr>
          <w:i/>
        </w:rPr>
      </w:pPr>
      <w:r>
        <w:t>Doplnění a úpravy systému světelné signalizace na území města.</w:t>
      </w:r>
    </w:p>
    <w:p w14:paraId="1117A644" w14:textId="77777777" w:rsidR="000C57C8" w:rsidRPr="00257C1B" w:rsidRDefault="000C57C8" w:rsidP="00A55F7D">
      <w:pPr>
        <w:numPr>
          <w:ilvl w:val="0"/>
          <w:numId w:val="122"/>
        </w:numPr>
        <w:spacing w:before="0" w:after="120"/>
        <w:rPr>
          <w:i/>
        </w:rPr>
      </w:pPr>
      <w:r>
        <w:t>Rekonstrukce zastávek MHD.</w:t>
      </w:r>
    </w:p>
    <w:p w14:paraId="5352334E" w14:textId="03FCED4A" w:rsidR="000C57C8" w:rsidRDefault="000C57C8" w:rsidP="000C57C8">
      <w:pPr>
        <w:rPr>
          <w:i/>
        </w:rPr>
      </w:pPr>
      <w:r w:rsidRPr="00D96DEB">
        <w:rPr>
          <w:i/>
        </w:rPr>
        <w:t>Opatření 3.2-2: Rozvíjet veřejnou dopravu na území města Zlína šetrnou k životnímu prostředí a</w:t>
      </w:r>
      <w:r w:rsidR="00FB5D5C">
        <w:rPr>
          <w:i/>
        </w:rPr>
        <w:t> </w:t>
      </w:r>
      <w:r w:rsidRPr="00D96DEB">
        <w:rPr>
          <w:i/>
        </w:rPr>
        <w:t xml:space="preserve">podporující chytrá řešení </w:t>
      </w:r>
    </w:p>
    <w:p w14:paraId="13871573" w14:textId="1927D799" w:rsidR="000C57C8" w:rsidRPr="0052409C" w:rsidRDefault="000C57C8" w:rsidP="00A55F7D">
      <w:pPr>
        <w:numPr>
          <w:ilvl w:val="0"/>
          <w:numId w:val="122"/>
        </w:numPr>
        <w:spacing w:before="0" w:after="120"/>
        <w:rPr>
          <w:i/>
        </w:rPr>
      </w:pPr>
      <w:r>
        <w:rPr>
          <w:i/>
        </w:rPr>
        <w:t>Vznik nových či rozšíření stávajících linek MHD</w:t>
      </w:r>
      <w:r w:rsidR="00FB5D5C">
        <w:rPr>
          <w:i/>
        </w:rPr>
        <w:t>.</w:t>
      </w:r>
    </w:p>
    <w:p w14:paraId="404E95A6" w14:textId="77777777" w:rsidR="000C57C8" w:rsidRPr="00F231E3" w:rsidRDefault="000C57C8" w:rsidP="00A55F7D">
      <w:pPr>
        <w:numPr>
          <w:ilvl w:val="0"/>
          <w:numId w:val="122"/>
        </w:numPr>
        <w:spacing w:before="0" w:after="120"/>
        <w:rPr>
          <w:i/>
        </w:rPr>
      </w:pPr>
      <w:r w:rsidRPr="007B733B">
        <w:t>Modernizace vozového parku MHD se zaměřením na ekologizaci dopravy.</w:t>
      </w:r>
    </w:p>
    <w:p w14:paraId="21CFD5FA" w14:textId="77777777" w:rsidR="000C57C8" w:rsidRDefault="000C57C8" w:rsidP="00A55F7D">
      <w:pPr>
        <w:numPr>
          <w:ilvl w:val="0"/>
          <w:numId w:val="122"/>
        </w:numPr>
        <w:spacing w:before="0" w:after="120"/>
      </w:pPr>
      <w:r>
        <w:t>Budování odstavných ploch pro vozidla MHD.</w:t>
      </w:r>
    </w:p>
    <w:p w14:paraId="3D50950A" w14:textId="77777777" w:rsidR="000C57C8" w:rsidRPr="00C37341" w:rsidRDefault="000C57C8" w:rsidP="000C57C8">
      <w:pPr>
        <w:rPr>
          <w:i/>
        </w:rPr>
      </w:pPr>
      <w:r w:rsidRPr="00C37341">
        <w:rPr>
          <w:i/>
        </w:rPr>
        <w:t xml:space="preserve">Opatření 3.2-3: Rozvíjet cyklistickou a pěší dopravu na území města Zlína </w:t>
      </w:r>
    </w:p>
    <w:p w14:paraId="57726378" w14:textId="77777777" w:rsidR="000C57C8" w:rsidRDefault="000C57C8" w:rsidP="00A55F7D">
      <w:pPr>
        <w:numPr>
          <w:ilvl w:val="0"/>
          <w:numId w:val="122"/>
        </w:numPr>
        <w:spacing w:before="0" w:after="120"/>
      </w:pPr>
      <w:r>
        <w:t>Zpracování pasportu stavu všech chodníkových ploch, v rámci projektu „Chodníky 300“ byly také sestaveny metodické pokyny, které jsou závazné pro projektování a realizaci nových chodníků, modernizaci a údržbu stávajících chodníků.</w:t>
      </w:r>
    </w:p>
    <w:p w14:paraId="5A5ECD55" w14:textId="77777777" w:rsidR="000C57C8" w:rsidRDefault="000C57C8" w:rsidP="00A55F7D">
      <w:pPr>
        <w:numPr>
          <w:ilvl w:val="0"/>
          <w:numId w:val="122"/>
        </w:numPr>
        <w:spacing w:before="0" w:after="120"/>
      </w:pPr>
      <w:r>
        <w:t>Rekonstrukce chodníků a přístupových cest, včetně zajištění bezbariérové dostupnosti na vybraných místech.</w:t>
      </w:r>
    </w:p>
    <w:p w14:paraId="01F80E73" w14:textId="77777777" w:rsidR="000C57C8" w:rsidRDefault="000C57C8" w:rsidP="00A55F7D">
      <w:pPr>
        <w:numPr>
          <w:ilvl w:val="0"/>
          <w:numId w:val="122"/>
        </w:numPr>
        <w:spacing w:before="0" w:after="120"/>
      </w:pPr>
      <w:r>
        <w:t>Rekonstrukce podchodů za účelem zvýšení kvality a bezpečnosti pěší dopravy ve městě.</w:t>
      </w:r>
    </w:p>
    <w:p w14:paraId="244EF9B7" w14:textId="77777777" w:rsidR="000C57C8" w:rsidRDefault="000C57C8" w:rsidP="00A55F7D">
      <w:pPr>
        <w:numPr>
          <w:ilvl w:val="0"/>
          <w:numId w:val="122"/>
        </w:numPr>
        <w:spacing w:before="0" w:after="120"/>
      </w:pPr>
      <w:r>
        <w:t>Budování cyklostezek na území města.</w:t>
      </w:r>
    </w:p>
    <w:p w14:paraId="04CEB435" w14:textId="77777777" w:rsidR="000C57C8" w:rsidRPr="00D96DEB" w:rsidRDefault="000C57C8" w:rsidP="000C57C8">
      <w:pPr>
        <w:rPr>
          <w:i/>
        </w:rPr>
      </w:pPr>
      <w:r w:rsidRPr="00D96DEB">
        <w:rPr>
          <w:i/>
        </w:rPr>
        <w:t xml:space="preserve">Opatření 3.2-4: Řešit problémy dopravy v klidu ve městě Zlíně </w:t>
      </w:r>
    </w:p>
    <w:p w14:paraId="08E40DC1" w14:textId="77777777" w:rsidR="000C57C8" w:rsidRPr="00A306C6" w:rsidRDefault="000C57C8" w:rsidP="00A55F7D">
      <w:pPr>
        <w:numPr>
          <w:ilvl w:val="0"/>
          <w:numId w:val="122"/>
        </w:numPr>
        <w:spacing w:before="0" w:after="120"/>
        <w:ind w:left="357" w:firstLine="0"/>
        <w:rPr>
          <w:b/>
          <w:u w:val="single"/>
        </w:rPr>
      </w:pPr>
      <w:r w:rsidRPr="007B733B">
        <w:t>Budování parkovacích míst v lokalitách s identifikovaným nedostatkem.</w:t>
      </w:r>
    </w:p>
    <w:p w14:paraId="2FF056F1" w14:textId="77777777" w:rsidR="000C57C8" w:rsidRPr="001F2CFC" w:rsidRDefault="000C57C8" w:rsidP="000C57C8">
      <w:pPr>
        <w:pStyle w:val="Nadpis3"/>
        <w:ind w:left="720"/>
        <w:rPr>
          <w:u w:val="single"/>
        </w:rPr>
      </w:pPr>
      <w:bookmarkStart w:id="1087" w:name="_Toc53349019"/>
      <w:bookmarkStart w:id="1088" w:name="_Toc77074664"/>
      <w:r w:rsidRPr="001F2CFC">
        <w:rPr>
          <w:rStyle w:val="Nadpis3Char"/>
        </w:rPr>
        <w:t>Tematická oblast 4 – Životní a fyzické prostředí města</w:t>
      </w:r>
      <w:bookmarkEnd w:id="1087"/>
      <w:bookmarkEnd w:id="1088"/>
    </w:p>
    <w:p w14:paraId="32442D60" w14:textId="77777777" w:rsidR="000C57C8" w:rsidRPr="00D90835" w:rsidRDefault="000C57C8" w:rsidP="000C57C8">
      <w:pPr>
        <w:spacing w:before="240" w:after="60"/>
        <w:rPr>
          <w:i/>
          <w:u w:val="single"/>
        </w:rPr>
      </w:pPr>
      <w:r w:rsidRPr="00D90835">
        <w:rPr>
          <w:i/>
          <w:u w:val="single"/>
        </w:rPr>
        <w:t>Strategické cíle:</w:t>
      </w:r>
    </w:p>
    <w:p w14:paraId="7C8D7CD6" w14:textId="373CF7B4" w:rsidR="000C57C8" w:rsidRPr="002971B5" w:rsidRDefault="000C57C8" w:rsidP="000C57C8">
      <w:pPr>
        <w:rPr>
          <w:i/>
        </w:rPr>
      </w:pPr>
      <w:r>
        <w:rPr>
          <w:i/>
        </w:rPr>
        <w:t xml:space="preserve">4.1 </w:t>
      </w:r>
      <w:r w:rsidRPr="002971B5">
        <w:rPr>
          <w:i/>
        </w:rPr>
        <w:t>Zachování postavení města Zlína jako konkurenceschopného centra Zlínského kraje a přirozeného jádra více než 100tisícové městské aglomerace prostřednictvím nabídky vysoké kvality života v oblasti životního prostředí</w:t>
      </w:r>
    </w:p>
    <w:p w14:paraId="5AFB0A16" w14:textId="77777777" w:rsidR="000C57C8" w:rsidRDefault="000C57C8" w:rsidP="000C57C8">
      <w:pPr>
        <w:rPr>
          <w:i/>
        </w:rPr>
      </w:pPr>
      <w:r>
        <w:rPr>
          <w:i/>
        </w:rPr>
        <w:t xml:space="preserve">4.2 </w:t>
      </w:r>
      <w:r w:rsidRPr="002971B5">
        <w:rPr>
          <w:i/>
        </w:rPr>
        <w:t>Regenerace východní části Baťova areálu jako součásti rozšířeného centra města Zlína</w:t>
      </w:r>
    </w:p>
    <w:p w14:paraId="6BBEE101" w14:textId="77777777" w:rsidR="000C57C8" w:rsidRPr="00A05F9C" w:rsidRDefault="000C57C8" w:rsidP="000C57C8">
      <w:pPr>
        <w:keepNext/>
        <w:keepLines/>
        <w:spacing w:before="240" w:after="60"/>
        <w:rPr>
          <w:i/>
          <w:u w:val="single"/>
        </w:rPr>
      </w:pPr>
      <w:r w:rsidRPr="00A05F9C">
        <w:rPr>
          <w:i/>
          <w:u w:val="single"/>
        </w:rPr>
        <w:t>Vyhodnocení ukazatelů kontextu: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6013"/>
      </w:tblGrid>
      <w:tr w:rsidR="000C57C8" w:rsidRPr="00BC1A85" w14:paraId="4643A65B" w14:textId="77777777" w:rsidTr="00FB7BF4">
        <w:tc>
          <w:tcPr>
            <w:tcW w:w="3085" w:type="dxa"/>
            <w:shd w:val="clear" w:color="auto" w:fill="EDEDED"/>
          </w:tcPr>
          <w:p w14:paraId="14CADC9A" w14:textId="26F97611" w:rsidR="000C57C8" w:rsidRPr="00BC1A85" w:rsidRDefault="000C57C8" w:rsidP="00FB7BF4">
            <w:pPr>
              <w:spacing w:before="60"/>
              <w:rPr>
                <w:i/>
              </w:rPr>
            </w:pPr>
            <w:r w:rsidRPr="00BC1A85">
              <w:rPr>
                <w:i/>
              </w:rPr>
              <w:t xml:space="preserve">Podíl veřejné zeleně na rozloze města (zdroj statutární město Zlín); alternativně </w:t>
            </w:r>
            <w:r w:rsidR="005B2E72">
              <w:rPr>
                <w:i/>
              </w:rPr>
              <w:t>p</w:t>
            </w:r>
            <w:r w:rsidRPr="00BC1A85">
              <w:rPr>
                <w:i/>
              </w:rPr>
              <w:t xml:space="preserve">odíl lesní půdy na celkové rozloze města </w:t>
            </w:r>
          </w:p>
          <w:p w14:paraId="457DAF86" w14:textId="77777777" w:rsidR="000C57C8" w:rsidRPr="00BC1A85" w:rsidRDefault="000C57C8" w:rsidP="00FB7BF4">
            <w:pPr>
              <w:spacing w:before="60"/>
              <w:rPr>
                <w:i/>
              </w:rPr>
            </w:pPr>
          </w:p>
        </w:tc>
        <w:tc>
          <w:tcPr>
            <w:tcW w:w="6127" w:type="dxa"/>
            <w:shd w:val="clear" w:color="auto" w:fill="auto"/>
          </w:tcPr>
          <w:p w14:paraId="01C38EA3" w14:textId="0AB0EF46" w:rsidR="000C57C8" w:rsidRPr="00BC1A85" w:rsidRDefault="000C57C8" w:rsidP="00E57A64">
            <w:pPr>
              <w:spacing w:before="60"/>
              <w:rPr>
                <w:i/>
              </w:rPr>
            </w:pPr>
            <w:r>
              <w:rPr>
                <w:i/>
              </w:rPr>
              <w:t xml:space="preserve">Podíl lesní půdy na celkové rozloze města se mezi lety 2013 a 2019 změnil jen mírně, a to v pozitivním přírůstku o 0,42 % (absolutně se jedná o nárůst o více než 16 ha lesní půdy na území </w:t>
            </w:r>
            <w:r w:rsidR="00E57A64">
              <w:rPr>
                <w:i/>
              </w:rPr>
              <w:t>s</w:t>
            </w:r>
            <w:r>
              <w:rPr>
                <w:i/>
              </w:rPr>
              <w:t>tatutárního města Zlín.</w:t>
            </w:r>
          </w:p>
        </w:tc>
      </w:tr>
      <w:tr w:rsidR="000C57C8" w:rsidRPr="00BC1A85" w14:paraId="1C374232" w14:textId="77777777" w:rsidTr="00FB7BF4">
        <w:tc>
          <w:tcPr>
            <w:tcW w:w="3085" w:type="dxa"/>
            <w:shd w:val="clear" w:color="auto" w:fill="EDEDED"/>
          </w:tcPr>
          <w:p w14:paraId="2C51D22B" w14:textId="77777777" w:rsidR="000C57C8" w:rsidRPr="00BC1A85" w:rsidRDefault="000C57C8" w:rsidP="00FB7BF4">
            <w:pPr>
              <w:spacing w:before="60"/>
              <w:rPr>
                <w:i/>
              </w:rPr>
            </w:pPr>
            <w:r w:rsidRPr="00BC1A85">
              <w:rPr>
                <w:i/>
              </w:rPr>
              <w:t xml:space="preserve">Podíl množství skládkovaného odpadu na celkovém množství odpadů města Zlína </w:t>
            </w:r>
          </w:p>
          <w:p w14:paraId="59F895AF" w14:textId="77777777" w:rsidR="000C57C8" w:rsidRPr="00BC1A85" w:rsidRDefault="000C57C8" w:rsidP="00FB7BF4">
            <w:pPr>
              <w:spacing w:before="60"/>
              <w:rPr>
                <w:i/>
              </w:rPr>
            </w:pPr>
          </w:p>
        </w:tc>
        <w:tc>
          <w:tcPr>
            <w:tcW w:w="6127" w:type="dxa"/>
            <w:shd w:val="clear" w:color="auto" w:fill="auto"/>
          </w:tcPr>
          <w:p w14:paraId="30934127" w14:textId="77777777" w:rsidR="000C57C8" w:rsidRPr="00BC1A85" w:rsidRDefault="000C57C8" w:rsidP="00FB7BF4">
            <w:pPr>
              <w:spacing w:before="60"/>
              <w:rPr>
                <w:i/>
              </w:rPr>
            </w:pPr>
            <w:r>
              <w:rPr>
                <w:i/>
              </w:rPr>
              <w:t>V</w:t>
            </w:r>
            <w:r w:rsidRPr="001B5EE0">
              <w:rPr>
                <w:i/>
              </w:rPr>
              <w:t xml:space="preserve">ývoj hodnot ukazatele je </w:t>
            </w:r>
            <w:r>
              <w:rPr>
                <w:i/>
              </w:rPr>
              <w:t xml:space="preserve">z dlouhodobého hlediska vzhledem k hodnotě z roku 2013 (61,8 %) </w:t>
            </w:r>
            <w:r w:rsidRPr="001B5EE0">
              <w:rPr>
                <w:i/>
              </w:rPr>
              <w:t xml:space="preserve">pozitivní, </w:t>
            </w:r>
            <w:r>
              <w:rPr>
                <w:i/>
              </w:rPr>
              <w:t>mezi lety 2017 a 2019 však došlo k nárůstu této hodnoty z 56,4 %</w:t>
            </w:r>
            <w:r w:rsidRPr="001B5EE0">
              <w:rPr>
                <w:i/>
              </w:rPr>
              <w:t xml:space="preserve"> na </w:t>
            </w:r>
            <w:r>
              <w:rPr>
                <w:i/>
              </w:rPr>
              <w:t>60,4 %.</w:t>
            </w:r>
          </w:p>
        </w:tc>
      </w:tr>
      <w:tr w:rsidR="000C57C8" w:rsidRPr="00BC1A85" w14:paraId="0E15C13C" w14:textId="77777777" w:rsidTr="00FB7BF4">
        <w:tc>
          <w:tcPr>
            <w:tcW w:w="3085" w:type="dxa"/>
            <w:shd w:val="clear" w:color="auto" w:fill="EDEDED"/>
          </w:tcPr>
          <w:p w14:paraId="0EF34784" w14:textId="77777777" w:rsidR="000C57C8" w:rsidRPr="00BC1A85" w:rsidRDefault="000C57C8" w:rsidP="00FB7BF4">
            <w:pPr>
              <w:spacing w:before="60"/>
              <w:rPr>
                <w:i/>
              </w:rPr>
            </w:pPr>
            <w:r w:rsidRPr="00BC1A85">
              <w:rPr>
                <w:i/>
              </w:rPr>
              <w:t>Rozloha regenerovaných ploch</w:t>
            </w:r>
          </w:p>
          <w:p w14:paraId="260B5425" w14:textId="77777777" w:rsidR="000C57C8" w:rsidRPr="00BC1A85" w:rsidRDefault="000C57C8" w:rsidP="00FB7BF4">
            <w:pPr>
              <w:spacing w:before="60"/>
              <w:rPr>
                <w:i/>
              </w:rPr>
            </w:pPr>
          </w:p>
        </w:tc>
        <w:tc>
          <w:tcPr>
            <w:tcW w:w="6127" w:type="dxa"/>
            <w:shd w:val="clear" w:color="auto" w:fill="auto"/>
          </w:tcPr>
          <w:p w14:paraId="1BA7C3F8" w14:textId="79F7FEF9" w:rsidR="000C57C8" w:rsidRPr="00BC1A85" w:rsidRDefault="000C57C8" w:rsidP="005B2E72">
            <w:pPr>
              <w:spacing w:before="60"/>
              <w:rPr>
                <w:i/>
              </w:rPr>
            </w:pPr>
            <w:r>
              <w:rPr>
                <w:i/>
                <w:iCs/>
              </w:rPr>
              <w:t>Východní část Baťova areálu se stala integrální součástí centra města Zlína, pokud jde o charakter využití území; většina objektů v tomto území již prošla revitalizací, kdy došlo ke konverzi průmyslové funkce na funkce administrativní a občanské vybavenosti (především komerční). Do tohoto území se nedaří zapojit funkci obytnou. Význam tohoto území výrazně vzroste v souvislosti s připravovanou výstavbou multimodálního dopravního terminálu. Rozlohu regenerovaných ploch lze odvodit z celkové rozlohy východní části areálu vymezené ve schématu ochrany a rozvoje hodnot území platného územního plánu, které zahrnuje 0., 1., 2. a 3. řadu zástavby v poloze mezi tř. T. Bati a</w:t>
            </w:r>
            <w:r w:rsidR="005B2E72">
              <w:rPr>
                <w:i/>
                <w:iCs/>
              </w:rPr>
              <w:t> </w:t>
            </w:r>
            <w:r>
              <w:rPr>
                <w:i/>
                <w:iCs/>
              </w:rPr>
              <w:t>železnicí. Z této zástavby prošla přestavbou téměř naprostá většina zástavby, ve funkci průmyslově skladové zůstal pouze objekt č. 33 a částečně objekt č. 34, na dokončení transformace pak čeká plocha po odstraněných budovách č. 24, 25 a 26, případně další možné plochy č. 16 a 36. Naplnění cíle záviselo a</w:t>
            </w:r>
            <w:r w:rsidR="005B2E72">
              <w:rPr>
                <w:i/>
                <w:iCs/>
              </w:rPr>
              <w:t> </w:t>
            </w:r>
            <w:r>
              <w:rPr>
                <w:i/>
                <w:iCs/>
              </w:rPr>
              <w:t>závisí na součinnosti řady dalších subjektů.</w:t>
            </w:r>
          </w:p>
        </w:tc>
      </w:tr>
    </w:tbl>
    <w:p w14:paraId="73A2E0DA" w14:textId="77777777" w:rsidR="000C57C8" w:rsidRPr="00A05F9C" w:rsidRDefault="000C57C8" w:rsidP="000C57C8">
      <w:pPr>
        <w:spacing w:before="240" w:after="60"/>
        <w:rPr>
          <w:i/>
          <w:u w:val="single"/>
        </w:rPr>
      </w:pPr>
      <w:r>
        <w:rPr>
          <w:i/>
          <w:u w:val="single"/>
        </w:rPr>
        <w:t>Podkladová data k hodnocení ukazatelů kontextu:</w:t>
      </w:r>
    </w:p>
    <w:p w14:paraId="4A990507" w14:textId="704A5B57" w:rsidR="000C57C8" w:rsidRPr="00A05F9C" w:rsidRDefault="000C57C8" w:rsidP="000C57C8">
      <w:pPr>
        <w:pStyle w:val="Titulek"/>
        <w:rPr>
          <w:lang w:val="pl-PL"/>
        </w:rPr>
      </w:pPr>
      <w:bookmarkStart w:id="1089" w:name="_Toc54702664"/>
      <w:bookmarkStart w:id="1090" w:name="_Toc56179471"/>
      <w:bookmarkStart w:id="1091" w:name="_Toc57731829"/>
      <w:bookmarkStart w:id="1092" w:name="_Toc77074813"/>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4</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4</w:t>
      </w:r>
      <w:r w:rsidR="004857C6">
        <w:rPr>
          <w:noProof/>
        </w:rPr>
        <w:fldChar w:fldCharType="end"/>
      </w:r>
      <w:r w:rsidR="005B2E72">
        <w:rPr>
          <w:noProof/>
        </w:rPr>
        <w:t>:</w:t>
      </w:r>
      <w:r>
        <w:t xml:space="preserve"> Struktura využití ploch města Zlína v letech 2009 a 2019</w:t>
      </w:r>
      <w:bookmarkEnd w:id="1089"/>
      <w:bookmarkEnd w:id="1090"/>
      <w:bookmarkEnd w:id="1091"/>
      <w:bookmarkEnd w:id="1092"/>
    </w:p>
    <w:tbl>
      <w:tblPr>
        <w:tblW w:w="8840" w:type="dxa"/>
        <w:tblCellMar>
          <w:left w:w="70" w:type="dxa"/>
          <w:right w:w="70" w:type="dxa"/>
        </w:tblCellMar>
        <w:tblLook w:val="04A0" w:firstRow="1" w:lastRow="0" w:firstColumn="1" w:lastColumn="0" w:noHBand="0" w:noVBand="1"/>
      </w:tblPr>
      <w:tblGrid>
        <w:gridCol w:w="1760"/>
        <w:gridCol w:w="1226"/>
        <w:gridCol w:w="1134"/>
        <w:gridCol w:w="1259"/>
        <w:gridCol w:w="1101"/>
        <w:gridCol w:w="1468"/>
        <w:gridCol w:w="892"/>
      </w:tblGrid>
      <w:tr w:rsidR="000C57C8" w:rsidRPr="00BC683E" w14:paraId="5698B5E8" w14:textId="77777777" w:rsidTr="00FB7BF4">
        <w:trPr>
          <w:trHeight w:val="270"/>
        </w:trPr>
        <w:tc>
          <w:tcPr>
            <w:tcW w:w="176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B62C4DE"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Kategorie</w:t>
            </w:r>
          </w:p>
        </w:tc>
        <w:tc>
          <w:tcPr>
            <w:tcW w:w="236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472764FF"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2013</w:t>
            </w:r>
          </w:p>
        </w:tc>
        <w:tc>
          <w:tcPr>
            <w:tcW w:w="236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4D5A574A"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2019</w:t>
            </w:r>
          </w:p>
        </w:tc>
        <w:tc>
          <w:tcPr>
            <w:tcW w:w="2360" w:type="dxa"/>
            <w:gridSpan w:val="2"/>
            <w:tcBorders>
              <w:top w:val="single" w:sz="4" w:space="0" w:color="auto"/>
              <w:left w:val="nil"/>
              <w:bottom w:val="single" w:sz="4" w:space="0" w:color="auto"/>
              <w:right w:val="single" w:sz="4" w:space="0" w:color="000000"/>
            </w:tcBorders>
            <w:shd w:val="clear" w:color="000000" w:fill="F2F2F2"/>
            <w:noWrap/>
            <w:vAlign w:val="center"/>
            <w:hideMark/>
          </w:tcPr>
          <w:p w14:paraId="1DD384C2"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Rozdíl 2019 - 2013</w:t>
            </w:r>
          </w:p>
        </w:tc>
      </w:tr>
      <w:tr w:rsidR="000C57C8" w:rsidRPr="00BC683E" w14:paraId="4F391DCB" w14:textId="77777777" w:rsidTr="00FB7BF4">
        <w:trPr>
          <w:trHeight w:val="270"/>
        </w:trPr>
        <w:tc>
          <w:tcPr>
            <w:tcW w:w="1760" w:type="dxa"/>
            <w:vMerge/>
            <w:tcBorders>
              <w:top w:val="single" w:sz="4" w:space="0" w:color="auto"/>
              <w:left w:val="single" w:sz="4" w:space="0" w:color="auto"/>
              <w:bottom w:val="single" w:sz="4" w:space="0" w:color="auto"/>
              <w:right w:val="single" w:sz="4" w:space="0" w:color="auto"/>
            </w:tcBorders>
            <w:vAlign w:val="center"/>
            <w:hideMark/>
          </w:tcPr>
          <w:p w14:paraId="3B875E4C" w14:textId="77777777" w:rsidR="000C57C8" w:rsidRPr="00BC683E" w:rsidRDefault="000C57C8" w:rsidP="00FB7BF4">
            <w:pPr>
              <w:spacing w:before="0"/>
              <w:jc w:val="left"/>
              <w:rPr>
                <w:rFonts w:ascii="Calibri" w:eastAsia="Times New Roman" w:hAnsi="Calibri" w:cs="Calibri"/>
                <w:b/>
                <w:bCs/>
                <w:color w:val="000000" w:themeColor="text1"/>
                <w:sz w:val="18"/>
                <w:szCs w:val="18"/>
                <w:lang w:eastAsia="cs-CZ"/>
              </w:rPr>
            </w:pPr>
          </w:p>
        </w:tc>
        <w:tc>
          <w:tcPr>
            <w:tcW w:w="1226" w:type="dxa"/>
            <w:tcBorders>
              <w:top w:val="nil"/>
              <w:left w:val="nil"/>
              <w:bottom w:val="single" w:sz="4" w:space="0" w:color="auto"/>
              <w:right w:val="single" w:sz="4" w:space="0" w:color="auto"/>
            </w:tcBorders>
            <w:shd w:val="clear" w:color="000000" w:fill="F2F2F2"/>
            <w:noWrap/>
            <w:vAlign w:val="center"/>
            <w:hideMark/>
          </w:tcPr>
          <w:p w14:paraId="53395B5B"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[ha]</w:t>
            </w:r>
          </w:p>
        </w:tc>
        <w:tc>
          <w:tcPr>
            <w:tcW w:w="1134" w:type="dxa"/>
            <w:tcBorders>
              <w:top w:val="nil"/>
              <w:left w:val="nil"/>
              <w:bottom w:val="single" w:sz="4" w:space="0" w:color="auto"/>
              <w:right w:val="single" w:sz="4" w:space="0" w:color="auto"/>
            </w:tcBorders>
            <w:shd w:val="clear" w:color="000000" w:fill="F2F2F2"/>
            <w:noWrap/>
            <w:vAlign w:val="center"/>
            <w:hideMark/>
          </w:tcPr>
          <w:p w14:paraId="5A72926A"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podíl</w:t>
            </w:r>
          </w:p>
        </w:tc>
        <w:tc>
          <w:tcPr>
            <w:tcW w:w="1259" w:type="dxa"/>
            <w:tcBorders>
              <w:top w:val="nil"/>
              <w:left w:val="nil"/>
              <w:bottom w:val="single" w:sz="4" w:space="0" w:color="auto"/>
              <w:right w:val="single" w:sz="4" w:space="0" w:color="auto"/>
            </w:tcBorders>
            <w:shd w:val="clear" w:color="000000" w:fill="F2F2F2"/>
            <w:noWrap/>
            <w:vAlign w:val="center"/>
            <w:hideMark/>
          </w:tcPr>
          <w:p w14:paraId="7867DCF9"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[ha]</w:t>
            </w:r>
          </w:p>
        </w:tc>
        <w:tc>
          <w:tcPr>
            <w:tcW w:w="1101" w:type="dxa"/>
            <w:tcBorders>
              <w:top w:val="nil"/>
              <w:left w:val="nil"/>
              <w:bottom w:val="single" w:sz="4" w:space="0" w:color="auto"/>
              <w:right w:val="single" w:sz="4" w:space="0" w:color="auto"/>
            </w:tcBorders>
            <w:shd w:val="clear" w:color="000000" w:fill="F2F2F2"/>
            <w:noWrap/>
            <w:vAlign w:val="center"/>
            <w:hideMark/>
          </w:tcPr>
          <w:p w14:paraId="43952EF3"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podíl</w:t>
            </w:r>
          </w:p>
        </w:tc>
        <w:tc>
          <w:tcPr>
            <w:tcW w:w="1468" w:type="dxa"/>
            <w:tcBorders>
              <w:top w:val="nil"/>
              <w:left w:val="nil"/>
              <w:bottom w:val="single" w:sz="4" w:space="0" w:color="auto"/>
              <w:right w:val="single" w:sz="4" w:space="0" w:color="auto"/>
            </w:tcBorders>
            <w:shd w:val="clear" w:color="000000" w:fill="F2F2F2"/>
            <w:noWrap/>
            <w:vAlign w:val="center"/>
            <w:hideMark/>
          </w:tcPr>
          <w:p w14:paraId="4D36E8BC"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absolutní [ha]</w:t>
            </w:r>
          </w:p>
        </w:tc>
        <w:tc>
          <w:tcPr>
            <w:tcW w:w="892" w:type="dxa"/>
            <w:tcBorders>
              <w:top w:val="nil"/>
              <w:left w:val="nil"/>
              <w:bottom w:val="single" w:sz="4" w:space="0" w:color="auto"/>
              <w:right w:val="single" w:sz="4" w:space="0" w:color="auto"/>
            </w:tcBorders>
            <w:shd w:val="clear" w:color="000000" w:fill="F2F2F2"/>
            <w:noWrap/>
            <w:vAlign w:val="center"/>
            <w:hideMark/>
          </w:tcPr>
          <w:p w14:paraId="4E8B4093" w14:textId="77777777" w:rsidR="000C57C8" w:rsidRPr="00BC683E" w:rsidRDefault="000C57C8" w:rsidP="00FB7BF4">
            <w:pPr>
              <w:spacing w:before="0"/>
              <w:jc w:val="center"/>
              <w:rPr>
                <w:rFonts w:ascii="Calibri" w:eastAsia="Times New Roman" w:hAnsi="Calibri" w:cs="Calibri"/>
                <w:b/>
                <w:bCs/>
                <w:color w:val="000000" w:themeColor="text1"/>
                <w:sz w:val="18"/>
                <w:szCs w:val="18"/>
                <w:lang w:eastAsia="cs-CZ"/>
              </w:rPr>
            </w:pPr>
            <w:r w:rsidRPr="00BC683E">
              <w:rPr>
                <w:rFonts w:ascii="Calibri" w:eastAsia="Times New Roman" w:hAnsi="Calibri" w:cs="Calibri"/>
                <w:b/>
                <w:bCs/>
                <w:color w:val="000000" w:themeColor="text1"/>
                <w:sz w:val="18"/>
                <w:szCs w:val="18"/>
                <w:lang w:eastAsia="cs-CZ"/>
              </w:rPr>
              <w:t>relativní</w:t>
            </w:r>
          </w:p>
        </w:tc>
      </w:tr>
      <w:tr w:rsidR="000C57C8" w:rsidRPr="00BC683E" w14:paraId="24E49197"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D38DF25"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Orná půda</w:t>
            </w:r>
          </w:p>
        </w:tc>
        <w:tc>
          <w:tcPr>
            <w:tcW w:w="1226" w:type="dxa"/>
            <w:tcBorders>
              <w:top w:val="nil"/>
              <w:left w:val="nil"/>
              <w:bottom w:val="single" w:sz="4" w:space="0" w:color="auto"/>
              <w:right w:val="single" w:sz="4" w:space="0" w:color="auto"/>
            </w:tcBorders>
            <w:shd w:val="clear" w:color="auto" w:fill="auto"/>
            <w:noWrap/>
            <w:vAlign w:val="bottom"/>
            <w:hideMark/>
          </w:tcPr>
          <w:p w14:paraId="69D56595"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2424,84</w:t>
            </w:r>
          </w:p>
        </w:tc>
        <w:tc>
          <w:tcPr>
            <w:tcW w:w="1134" w:type="dxa"/>
            <w:tcBorders>
              <w:top w:val="nil"/>
              <w:left w:val="nil"/>
              <w:bottom w:val="single" w:sz="4" w:space="0" w:color="auto"/>
              <w:right w:val="single" w:sz="4" w:space="0" w:color="auto"/>
            </w:tcBorders>
            <w:shd w:val="clear" w:color="auto" w:fill="auto"/>
            <w:noWrap/>
            <w:vAlign w:val="bottom"/>
            <w:hideMark/>
          </w:tcPr>
          <w:p w14:paraId="3AA6E87C" w14:textId="56EC0F08"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23,58</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3031B158"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2 309,82</w:t>
            </w:r>
          </w:p>
        </w:tc>
        <w:tc>
          <w:tcPr>
            <w:tcW w:w="1101" w:type="dxa"/>
            <w:tcBorders>
              <w:top w:val="nil"/>
              <w:left w:val="nil"/>
              <w:bottom w:val="single" w:sz="4" w:space="0" w:color="auto"/>
              <w:right w:val="single" w:sz="4" w:space="0" w:color="auto"/>
            </w:tcBorders>
            <w:shd w:val="clear" w:color="auto" w:fill="auto"/>
            <w:noWrap/>
            <w:vAlign w:val="bottom"/>
            <w:hideMark/>
          </w:tcPr>
          <w:p w14:paraId="7D6D3DB4" w14:textId="3C9C7929"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22,46</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62E52032"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-115,02</w:t>
            </w:r>
          </w:p>
        </w:tc>
        <w:tc>
          <w:tcPr>
            <w:tcW w:w="892"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B10F71C" w14:textId="27E2E264"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-4,74</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4A6BD959"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6FB20BF8"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Zahrady</w:t>
            </w:r>
          </w:p>
        </w:tc>
        <w:tc>
          <w:tcPr>
            <w:tcW w:w="1226" w:type="dxa"/>
            <w:tcBorders>
              <w:top w:val="nil"/>
              <w:left w:val="nil"/>
              <w:bottom w:val="single" w:sz="4" w:space="0" w:color="auto"/>
              <w:right w:val="single" w:sz="4" w:space="0" w:color="auto"/>
            </w:tcBorders>
            <w:shd w:val="clear" w:color="auto" w:fill="auto"/>
            <w:noWrap/>
            <w:vAlign w:val="bottom"/>
            <w:hideMark/>
          </w:tcPr>
          <w:p w14:paraId="1C821930"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627,06</w:t>
            </w:r>
          </w:p>
        </w:tc>
        <w:tc>
          <w:tcPr>
            <w:tcW w:w="1134" w:type="dxa"/>
            <w:tcBorders>
              <w:top w:val="nil"/>
              <w:left w:val="nil"/>
              <w:bottom w:val="single" w:sz="4" w:space="0" w:color="auto"/>
              <w:right w:val="single" w:sz="4" w:space="0" w:color="auto"/>
            </w:tcBorders>
            <w:shd w:val="clear" w:color="auto" w:fill="auto"/>
            <w:noWrap/>
            <w:vAlign w:val="bottom"/>
            <w:hideMark/>
          </w:tcPr>
          <w:p w14:paraId="460D1616" w14:textId="3909903B"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6,10</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7F15270D"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642,50</w:t>
            </w:r>
          </w:p>
        </w:tc>
        <w:tc>
          <w:tcPr>
            <w:tcW w:w="1101" w:type="dxa"/>
            <w:tcBorders>
              <w:top w:val="nil"/>
              <w:left w:val="nil"/>
              <w:bottom w:val="single" w:sz="4" w:space="0" w:color="auto"/>
              <w:right w:val="single" w:sz="4" w:space="0" w:color="auto"/>
            </w:tcBorders>
            <w:shd w:val="clear" w:color="auto" w:fill="auto"/>
            <w:noWrap/>
            <w:vAlign w:val="bottom"/>
            <w:hideMark/>
          </w:tcPr>
          <w:p w14:paraId="69880E7D" w14:textId="59E0FD19"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6,25</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23A0B97D"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15,44</w:t>
            </w:r>
          </w:p>
        </w:tc>
        <w:tc>
          <w:tcPr>
            <w:tcW w:w="892" w:type="dxa"/>
            <w:tcBorders>
              <w:top w:val="single" w:sz="4" w:space="0" w:color="auto"/>
              <w:left w:val="single" w:sz="4" w:space="0" w:color="auto"/>
              <w:bottom w:val="single" w:sz="4" w:space="0" w:color="auto"/>
              <w:right w:val="single" w:sz="4" w:space="0" w:color="auto"/>
            </w:tcBorders>
            <w:shd w:val="clear" w:color="000000" w:fill="FCE9EC"/>
            <w:noWrap/>
            <w:vAlign w:val="bottom"/>
            <w:hideMark/>
          </w:tcPr>
          <w:p w14:paraId="67F8AF59" w14:textId="4613CEE6"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2,46</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05A5CF8E"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67E1A61"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Ovocné sady</w:t>
            </w:r>
          </w:p>
        </w:tc>
        <w:tc>
          <w:tcPr>
            <w:tcW w:w="1226" w:type="dxa"/>
            <w:tcBorders>
              <w:top w:val="nil"/>
              <w:left w:val="nil"/>
              <w:bottom w:val="single" w:sz="4" w:space="0" w:color="auto"/>
              <w:right w:val="single" w:sz="4" w:space="0" w:color="auto"/>
            </w:tcBorders>
            <w:shd w:val="clear" w:color="auto" w:fill="auto"/>
            <w:noWrap/>
            <w:vAlign w:val="bottom"/>
            <w:hideMark/>
          </w:tcPr>
          <w:p w14:paraId="4EC6B60E"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150,76</w:t>
            </w:r>
          </w:p>
        </w:tc>
        <w:tc>
          <w:tcPr>
            <w:tcW w:w="1134" w:type="dxa"/>
            <w:tcBorders>
              <w:top w:val="nil"/>
              <w:left w:val="nil"/>
              <w:bottom w:val="single" w:sz="4" w:space="0" w:color="auto"/>
              <w:right w:val="single" w:sz="4" w:space="0" w:color="auto"/>
            </w:tcBorders>
            <w:shd w:val="clear" w:color="auto" w:fill="auto"/>
            <w:noWrap/>
            <w:vAlign w:val="bottom"/>
            <w:hideMark/>
          </w:tcPr>
          <w:p w14:paraId="3843277B" w14:textId="3EEEF79B"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1,47</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034E5ED9"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160,46</w:t>
            </w:r>
          </w:p>
        </w:tc>
        <w:tc>
          <w:tcPr>
            <w:tcW w:w="1101" w:type="dxa"/>
            <w:tcBorders>
              <w:top w:val="nil"/>
              <w:left w:val="nil"/>
              <w:bottom w:val="single" w:sz="4" w:space="0" w:color="auto"/>
              <w:right w:val="single" w:sz="4" w:space="0" w:color="auto"/>
            </w:tcBorders>
            <w:shd w:val="clear" w:color="auto" w:fill="auto"/>
            <w:noWrap/>
            <w:vAlign w:val="bottom"/>
            <w:hideMark/>
          </w:tcPr>
          <w:p w14:paraId="7099510B" w14:textId="275A94CE"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1,56</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44C70544"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9,71</w:t>
            </w:r>
          </w:p>
        </w:tc>
        <w:tc>
          <w:tcPr>
            <w:tcW w:w="892"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221CC42" w14:textId="00F52CB8"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6,439</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6A131E90"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5182A51"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Trvalé travní porosty</w:t>
            </w:r>
          </w:p>
        </w:tc>
        <w:tc>
          <w:tcPr>
            <w:tcW w:w="1226" w:type="dxa"/>
            <w:tcBorders>
              <w:top w:val="nil"/>
              <w:left w:val="nil"/>
              <w:bottom w:val="single" w:sz="4" w:space="0" w:color="auto"/>
              <w:right w:val="single" w:sz="4" w:space="0" w:color="auto"/>
            </w:tcBorders>
            <w:shd w:val="clear" w:color="auto" w:fill="auto"/>
            <w:noWrap/>
            <w:vAlign w:val="bottom"/>
            <w:hideMark/>
          </w:tcPr>
          <w:p w14:paraId="4B1C33F3"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1029,28</w:t>
            </w:r>
          </w:p>
        </w:tc>
        <w:tc>
          <w:tcPr>
            <w:tcW w:w="1134" w:type="dxa"/>
            <w:tcBorders>
              <w:top w:val="nil"/>
              <w:left w:val="nil"/>
              <w:bottom w:val="single" w:sz="4" w:space="0" w:color="auto"/>
              <w:right w:val="single" w:sz="4" w:space="0" w:color="auto"/>
            </w:tcBorders>
            <w:shd w:val="clear" w:color="auto" w:fill="auto"/>
            <w:noWrap/>
            <w:vAlign w:val="bottom"/>
            <w:hideMark/>
          </w:tcPr>
          <w:p w14:paraId="1401D8E8" w14:textId="709DDCC8"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10,01</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25EAF7C7"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1 070,49</w:t>
            </w:r>
          </w:p>
        </w:tc>
        <w:tc>
          <w:tcPr>
            <w:tcW w:w="1101" w:type="dxa"/>
            <w:tcBorders>
              <w:top w:val="nil"/>
              <w:left w:val="nil"/>
              <w:bottom w:val="single" w:sz="4" w:space="0" w:color="auto"/>
              <w:right w:val="single" w:sz="4" w:space="0" w:color="auto"/>
            </w:tcBorders>
            <w:shd w:val="clear" w:color="auto" w:fill="auto"/>
            <w:noWrap/>
            <w:vAlign w:val="bottom"/>
            <w:hideMark/>
          </w:tcPr>
          <w:p w14:paraId="42304950" w14:textId="590B6BD1"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10,41</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5179487F"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41,21</w:t>
            </w:r>
          </w:p>
        </w:tc>
        <w:tc>
          <w:tcPr>
            <w:tcW w:w="892" w:type="dxa"/>
            <w:tcBorders>
              <w:top w:val="single" w:sz="4" w:space="0" w:color="auto"/>
              <w:left w:val="single" w:sz="4" w:space="0" w:color="auto"/>
              <w:bottom w:val="single" w:sz="4" w:space="0" w:color="auto"/>
              <w:right w:val="single" w:sz="4" w:space="0" w:color="auto"/>
            </w:tcBorders>
            <w:shd w:val="clear" w:color="000000" w:fill="FBB8BA"/>
            <w:noWrap/>
            <w:vAlign w:val="bottom"/>
            <w:hideMark/>
          </w:tcPr>
          <w:p w14:paraId="34DF0016" w14:textId="58C1362E"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4,00</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02DB34FF"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A885A98"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Lesní půda</w:t>
            </w:r>
          </w:p>
        </w:tc>
        <w:tc>
          <w:tcPr>
            <w:tcW w:w="1226" w:type="dxa"/>
            <w:tcBorders>
              <w:top w:val="nil"/>
              <w:left w:val="nil"/>
              <w:bottom w:val="single" w:sz="4" w:space="0" w:color="auto"/>
              <w:right w:val="single" w:sz="4" w:space="0" w:color="auto"/>
            </w:tcBorders>
            <w:shd w:val="clear" w:color="auto" w:fill="auto"/>
            <w:noWrap/>
            <w:vAlign w:val="bottom"/>
            <w:hideMark/>
          </w:tcPr>
          <w:p w14:paraId="5C0862B7"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3875,30</w:t>
            </w:r>
          </w:p>
        </w:tc>
        <w:tc>
          <w:tcPr>
            <w:tcW w:w="1134" w:type="dxa"/>
            <w:tcBorders>
              <w:top w:val="nil"/>
              <w:left w:val="nil"/>
              <w:bottom w:val="single" w:sz="4" w:space="0" w:color="auto"/>
              <w:right w:val="single" w:sz="4" w:space="0" w:color="auto"/>
            </w:tcBorders>
            <w:shd w:val="clear" w:color="auto" w:fill="auto"/>
            <w:noWrap/>
            <w:vAlign w:val="bottom"/>
            <w:hideMark/>
          </w:tcPr>
          <w:p w14:paraId="48BFFD17" w14:textId="732BDEF0"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37,69</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085D49CE"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3 891,52</w:t>
            </w:r>
          </w:p>
        </w:tc>
        <w:tc>
          <w:tcPr>
            <w:tcW w:w="1101" w:type="dxa"/>
            <w:tcBorders>
              <w:top w:val="nil"/>
              <w:left w:val="nil"/>
              <w:bottom w:val="single" w:sz="4" w:space="0" w:color="auto"/>
              <w:right w:val="single" w:sz="4" w:space="0" w:color="auto"/>
            </w:tcBorders>
            <w:shd w:val="clear" w:color="auto" w:fill="auto"/>
            <w:noWrap/>
            <w:vAlign w:val="bottom"/>
            <w:hideMark/>
          </w:tcPr>
          <w:p w14:paraId="7DE50D45" w14:textId="2634079F"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37,85</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573AFB10"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16,22</w:t>
            </w:r>
          </w:p>
        </w:tc>
        <w:tc>
          <w:tcPr>
            <w:tcW w:w="892" w:type="dxa"/>
            <w:tcBorders>
              <w:top w:val="single" w:sz="4" w:space="0" w:color="auto"/>
              <w:left w:val="single" w:sz="4" w:space="0" w:color="auto"/>
              <w:bottom w:val="single" w:sz="4" w:space="0" w:color="auto"/>
              <w:right w:val="single" w:sz="4" w:space="0" w:color="auto"/>
            </w:tcBorders>
            <w:shd w:val="clear" w:color="000000" w:fill="DAEEE2"/>
            <w:noWrap/>
            <w:vAlign w:val="bottom"/>
            <w:hideMark/>
          </w:tcPr>
          <w:p w14:paraId="0CBE7D57" w14:textId="07486A6B"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0,42</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2D254DAE"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E8CCB91"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Vodní plochy</w:t>
            </w:r>
          </w:p>
        </w:tc>
        <w:tc>
          <w:tcPr>
            <w:tcW w:w="1226" w:type="dxa"/>
            <w:tcBorders>
              <w:top w:val="nil"/>
              <w:left w:val="nil"/>
              <w:bottom w:val="single" w:sz="4" w:space="0" w:color="auto"/>
              <w:right w:val="single" w:sz="4" w:space="0" w:color="auto"/>
            </w:tcBorders>
            <w:shd w:val="clear" w:color="auto" w:fill="auto"/>
            <w:noWrap/>
            <w:vAlign w:val="bottom"/>
            <w:hideMark/>
          </w:tcPr>
          <w:p w14:paraId="6A6A449B"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110,20</w:t>
            </w:r>
          </w:p>
        </w:tc>
        <w:tc>
          <w:tcPr>
            <w:tcW w:w="1134" w:type="dxa"/>
            <w:tcBorders>
              <w:top w:val="nil"/>
              <w:left w:val="nil"/>
              <w:bottom w:val="single" w:sz="4" w:space="0" w:color="auto"/>
              <w:right w:val="single" w:sz="4" w:space="0" w:color="auto"/>
            </w:tcBorders>
            <w:shd w:val="clear" w:color="auto" w:fill="auto"/>
            <w:noWrap/>
            <w:vAlign w:val="bottom"/>
            <w:hideMark/>
          </w:tcPr>
          <w:p w14:paraId="09D6D15E" w14:textId="751487CF"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1,07</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112ABB93"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108,90</w:t>
            </w:r>
          </w:p>
        </w:tc>
        <w:tc>
          <w:tcPr>
            <w:tcW w:w="1101" w:type="dxa"/>
            <w:tcBorders>
              <w:top w:val="nil"/>
              <w:left w:val="nil"/>
              <w:bottom w:val="single" w:sz="4" w:space="0" w:color="auto"/>
              <w:right w:val="single" w:sz="4" w:space="0" w:color="auto"/>
            </w:tcBorders>
            <w:shd w:val="clear" w:color="auto" w:fill="auto"/>
            <w:noWrap/>
            <w:vAlign w:val="bottom"/>
            <w:hideMark/>
          </w:tcPr>
          <w:p w14:paraId="2F6AA143" w14:textId="3515184F"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1,06</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28B95D49"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-1,30</w:t>
            </w:r>
          </w:p>
        </w:tc>
        <w:tc>
          <w:tcPr>
            <w:tcW w:w="892" w:type="dxa"/>
            <w:tcBorders>
              <w:top w:val="single" w:sz="4" w:space="0" w:color="auto"/>
              <w:left w:val="single" w:sz="4" w:space="0" w:color="auto"/>
              <w:bottom w:val="single" w:sz="4" w:space="0" w:color="auto"/>
              <w:right w:val="single" w:sz="4" w:space="0" w:color="auto"/>
            </w:tcBorders>
            <w:shd w:val="clear" w:color="000000" w:fill="B5DFC2"/>
            <w:noWrap/>
            <w:vAlign w:val="bottom"/>
            <w:hideMark/>
          </w:tcPr>
          <w:p w14:paraId="6A3C7A1B" w14:textId="00273270"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-1,18</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26CCBC63"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B21C6F5"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Zastavěné plochy</w:t>
            </w:r>
          </w:p>
        </w:tc>
        <w:tc>
          <w:tcPr>
            <w:tcW w:w="1226" w:type="dxa"/>
            <w:tcBorders>
              <w:top w:val="nil"/>
              <w:left w:val="nil"/>
              <w:bottom w:val="single" w:sz="4" w:space="0" w:color="auto"/>
              <w:right w:val="single" w:sz="4" w:space="0" w:color="auto"/>
            </w:tcBorders>
            <w:shd w:val="clear" w:color="auto" w:fill="auto"/>
            <w:noWrap/>
            <w:vAlign w:val="bottom"/>
            <w:hideMark/>
          </w:tcPr>
          <w:p w14:paraId="29DA6811"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478,96</w:t>
            </w:r>
          </w:p>
        </w:tc>
        <w:tc>
          <w:tcPr>
            <w:tcW w:w="1134" w:type="dxa"/>
            <w:tcBorders>
              <w:top w:val="nil"/>
              <w:left w:val="nil"/>
              <w:bottom w:val="single" w:sz="4" w:space="0" w:color="auto"/>
              <w:right w:val="single" w:sz="4" w:space="0" w:color="auto"/>
            </w:tcBorders>
            <w:shd w:val="clear" w:color="auto" w:fill="auto"/>
            <w:noWrap/>
            <w:vAlign w:val="bottom"/>
            <w:hideMark/>
          </w:tcPr>
          <w:p w14:paraId="3AD71D75" w14:textId="2FAAFC52"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4,66</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6991DDB4"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492,46</w:t>
            </w:r>
          </w:p>
        </w:tc>
        <w:tc>
          <w:tcPr>
            <w:tcW w:w="1101" w:type="dxa"/>
            <w:tcBorders>
              <w:top w:val="nil"/>
              <w:left w:val="nil"/>
              <w:bottom w:val="single" w:sz="4" w:space="0" w:color="auto"/>
              <w:right w:val="single" w:sz="4" w:space="0" w:color="auto"/>
            </w:tcBorders>
            <w:shd w:val="clear" w:color="auto" w:fill="auto"/>
            <w:noWrap/>
            <w:vAlign w:val="bottom"/>
            <w:hideMark/>
          </w:tcPr>
          <w:p w14:paraId="1BF3382E" w14:textId="0552555C"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4,79</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5CBF04DE"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13,50</w:t>
            </w:r>
          </w:p>
        </w:tc>
        <w:tc>
          <w:tcPr>
            <w:tcW w:w="892" w:type="dxa"/>
            <w:tcBorders>
              <w:top w:val="single" w:sz="4" w:space="0" w:color="auto"/>
              <w:left w:val="single" w:sz="4" w:space="0" w:color="auto"/>
              <w:bottom w:val="single" w:sz="4" w:space="0" w:color="auto"/>
              <w:right w:val="single" w:sz="4" w:space="0" w:color="auto"/>
            </w:tcBorders>
            <w:shd w:val="clear" w:color="000000" w:fill="FCDEE1"/>
            <w:noWrap/>
            <w:vAlign w:val="bottom"/>
            <w:hideMark/>
          </w:tcPr>
          <w:p w14:paraId="272A8F6B" w14:textId="7AC6A290"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2,82</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655B5328"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763E481"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Ostatní plochy</w:t>
            </w:r>
          </w:p>
        </w:tc>
        <w:tc>
          <w:tcPr>
            <w:tcW w:w="1226" w:type="dxa"/>
            <w:tcBorders>
              <w:top w:val="nil"/>
              <w:left w:val="nil"/>
              <w:bottom w:val="single" w:sz="4" w:space="0" w:color="auto"/>
              <w:right w:val="single" w:sz="4" w:space="0" w:color="auto"/>
            </w:tcBorders>
            <w:shd w:val="clear" w:color="auto" w:fill="auto"/>
            <w:noWrap/>
            <w:vAlign w:val="bottom"/>
            <w:hideMark/>
          </w:tcPr>
          <w:p w14:paraId="6E41E7BA"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1586,20</w:t>
            </w:r>
          </w:p>
        </w:tc>
        <w:tc>
          <w:tcPr>
            <w:tcW w:w="1134" w:type="dxa"/>
            <w:tcBorders>
              <w:top w:val="nil"/>
              <w:left w:val="nil"/>
              <w:bottom w:val="single" w:sz="4" w:space="0" w:color="auto"/>
              <w:right w:val="single" w:sz="4" w:space="0" w:color="auto"/>
            </w:tcBorders>
            <w:shd w:val="clear" w:color="auto" w:fill="auto"/>
            <w:noWrap/>
            <w:vAlign w:val="bottom"/>
            <w:hideMark/>
          </w:tcPr>
          <w:p w14:paraId="7163B39E" w14:textId="4D9EB3D3"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15,43</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18EEA7B7"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1 606,49</w:t>
            </w:r>
          </w:p>
        </w:tc>
        <w:tc>
          <w:tcPr>
            <w:tcW w:w="1101" w:type="dxa"/>
            <w:tcBorders>
              <w:top w:val="nil"/>
              <w:left w:val="nil"/>
              <w:bottom w:val="single" w:sz="4" w:space="0" w:color="auto"/>
              <w:right w:val="single" w:sz="4" w:space="0" w:color="auto"/>
            </w:tcBorders>
            <w:shd w:val="clear" w:color="auto" w:fill="auto"/>
            <w:noWrap/>
            <w:vAlign w:val="bottom"/>
            <w:hideMark/>
          </w:tcPr>
          <w:p w14:paraId="16A4DFF0" w14:textId="42A168EA"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15,62</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bottom"/>
            <w:hideMark/>
          </w:tcPr>
          <w:p w14:paraId="4E2FC677"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20,29</w:t>
            </w:r>
          </w:p>
        </w:tc>
        <w:tc>
          <w:tcPr>
            <w:tcW w:w="892" w:type="dxa"/>
            <w:tcBorders>
              <w:top w:val="single" w:sz="4" w:space="0" w:color="auto"/>
              <w:left w:val="single" w:sz="4" w:space="0" w:color="auto"/>
              <w:bottom w:val="single" w:sz="4" w:space="0" w:color="auto"/>
              <w:right w:val="single" w:sz="4" w:space="0" w:color="auto"/>
            </w:tcBorders>
            <w:shd w:val="clear" w:color="000000" w:fill="EEF6F3"/>
            <w:noWrap/>
            <w:vAlign w:val="bottom"/>
            <w:hideMark/>
          </w:tcPr>
          <w:p w14:paraId="19DD99A0" w14:textId="31577124"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1,28</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r>
      <w:tr w:rsidR="000C57C8" w:rsidRPr="00BC683E" w14:paraId="132A7E69" w14:textId="77777777" w:rsidTr="00FB7BF4">
        <w:trPr>
          <w:trHeight w:val="27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B922308" w14:textId="77777777" w:rsidR="000C57C8" w:rsidRPr="00BC683E" w:rsidRDefault="000C57C8" w:rsidP="00FB7BF4">
            <w:pPr>
              <w:spacing w:before="0"/>
              <w:jc w:val="lef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Celková výměra</w:t>
            </w:r>
          </w:p>
        </w:tc>
        <w:tc>
          <w:tcPr>
            <w:tcW w:w="1226" w:type="dxa"/>
            <w:tcBorders>
              <w:top w:val="nil"/>
              <w:left w:val="nil"/>
              <w:bottom w:val="single" w:sz="4" w:space="0" w:color="auto"/>
              <w:right w:val="single" w:sz="4" w:space="0" w:color="auto"/>
            </w:tcBorders>
            <w:shd w:val="clear" w:color="auto" w:fill="auto"/>
            <w:noWrap/>
            <w:vAlign w:val="bottom"/>
            <w:hideMark/>
          </w:tcPr>
          <w:p w14:paraId="3056F3A0"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10282,61</w:t>
            </w:r>
          </w:p>
        </w:tc>
        <w:tc>
          <w:tcPr>
            <w:tcW w:w="1134" w:type="dxa"/>
            <w:tcBorders>
              <w:top w:val="nil"/>
              <w:left w:val="nil"/>
              <w:bottom w:val="single" w:sz="4" w:space="0" w:color="auto"/>
              <w:right w:val="single" w:sz="4" w:space="0" w:color="auto"/>
            </w:tcBorders>
            <w:shd w:val="clear" w:color="auto" w:fill="auto"/>
            <w:noWrap/>
            <w:vAlign w:val="bottom"/>
            <w:hideMark/>
          </w:tcPr>
          <w:p w14:paraId="12CD1593" w14:textId="5C657DEB"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100,00</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259" w:type="dxa"/>
            <w:tcBorders>
              <w:top w:val="nil"/>
              <w:left w:val="nil"/>
              <w:bottom w:val="single" w:sz="4" w:space="0" w:color="auto"/>
              <w:right w:val="single" w:sz="4" w:space="0" w:color="auto"/>
            </w:tcBorders>
            <w:shd w:val="clear" w:color="auto" w:fill="auto"/>
            <w:noWrap/>
            <w:vAlign w:val="bottom"/>
            <w:hideMark/>
          </w:tcPr>
          <w:p w14:paraId="60C150B6" w14:textId="7777777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10 282,66</w:t>
            </w:r>
          </w:p>
        </w:tc>
        <w:tc>
          <w:tcPr>
            <w:tcW w:w="1101" w:type="dxa"/>
            <w:tcBorders>
              <w:top w:val="nil"/>
              <w:left w:val="nil"/>
              <w:bottom w:val="single" w:sz="4" w:space="0" w:color="auto"/>
              <w:right w:val="single" w:sz="4" w:space="0" w:color="auto"/>
            </w:tcBorders>
            <w:shd w:val="clear" w:color="auto" w:fill="auto"/>
            <w:noWrap/>
            <w:vAlign w:val="bottom"/>
            <w:hideMark/>
          </w:tcPr>
          <w:p w14:paraId="73424BAD" w14:textId="45429F37" w:rsidR="000C57C8" w:rsidRPr="00BC683E" w:rsidRDefault="000C57C8" w:rsidP="00FB7BF4">
            <w:pPr>
              <w:spacing w:before="0"/>
              <w:jc w:val="right"/>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100,00</w:t>
            </w:r>
            <w:r w:rsidR="005B2E72">
              <w:rPr>
                <w:rFonts w:ascii="Calibri" w:eastAsia="Times New Roman" w:hAnsi="Calibri" w:cs="Calibri"/>
                <w:color w:val="000000" w:themeColor="text1"/>
                <w:sz w:val="18"/>
                <w:szCs w:val="18"/>
                <w:lang w:eastAsia="cs-CZ"/>
              </w:rPr>
              <w:t xml:space="preserve"> </w:t>
            </w:r>
            <w:r w:rsidRPr="00BC683E">
              <w:rPr>
                <w:rFonts w:ascii="Calibri" w:eastAsia="Times New Roman" w:hAnsi="Calibri" w:cs="Calibri"/>
                <w:color w:val="000000" w:themeColor="text1"/>
                <w:sz w:val="18"/>
                <w:szCs w:val="18"/>
                <w:lang w:eastAsia="cs-CZ"/>
              </w:rPr>
              <w:t>%</w:t>
            </w:r>
          </w:p>
        </w:tc>
        <w:tc>
          <w:tcPr>
            <w:tcW w:w="1468" w:type="dxa"/>
            <w:tcBorders>
              <w:top w:val="nil"/>
              <w:left w:val="nil"/>
              <w:bottom w:val="single" w:sz="4" w:space="0" w:color="auto"/>
              <w:right w:val="single" w:sz="4" w:space="0" w:color="auto"/>
            </w:tcBorders>
            <w:shd w:val="clear" w:color="auto" w:fill="auto"/>
            <w:noWrap/>
            <w:vAlign w:val="center"/>
            <w:hideMark/>
          </w:tcPr>
          <w:p w14:paraId="515E2BD3" w14:textId="77777777" w:rsidR="000C57C8" w:rsidRPr="00BC683E" w:rsidRDefault="000C57C8" w:rsidP="00FB7BF4">
            <w:pPr>
              <w:spacing w:before="0"/>
              <w:jc w:val="center"/>
              <w:rPr>
                <w:rFonts w:ascii="Calibri" w:eastAsia="Times New Roman" w:hAnsi="Calibri" w:cs="Calibri"/>
                <w:color w:val="000000" w:themeColor="text1"/>
                <w:sz w:val="18"/>
                <w:szCs w:val="18"/>
                <w:lang w:eastAsia="cs-CZ"/>
              </w:rPr>
            </w:pPr>
            <w:r w:rsidRPr="00BC683E">
              <w:rPr>
                <w:rFonts w:ascii="Calibri" w:eastAsia="Times New Roman" w:hAnsi="Calibri" w:cs="Calibri"/>
                <w:color w:val="000000" w:themeColor="text1"/>
                <w:sz w:val="18"/>
                <w:szCs w:val="18"/>
                <w:lang w:eastAsia="cs-CZ"/>
              </w:rPr>
              <w:t>-</w:t>
            </w:r>
          </w:p>
        </w:tc>
        <w:tc>
          <w:tcPr>
            <w:tcW w:w="892" w:type="dxa"/>
            <w:tcBorders>
              <w:top w:val="nil"/>
              <w:left w:val="nil"/>
              <w:bottom w:val="single" w:sz="4" w:space="0" w:color="auto"/>
              <w:right w:val="single" w:sz="4" w:space="0" w:color="auto"/>
            </w:tcBorders>
            <w:shd w:val="clear" w:color="auto" w:fill="auto"/>
            <w:noWrap/>
            <w:vAlign w:val="center"/>
            <w:hideMark/>
          </w:tcPr>
          <w:p w14:paraId="24C420C9" w14:textId="77777777" w:rsidR="000C57C8" w:rsidRPr="00BC683E" w:rsidRDefault="000C57C8" w:rsidP="00FB7BF4">
            <w:pPr>
              <w:spacing w:before="0"/>
              <w:jc w:val="center"/>
              <w:rPr>
                <w:rFonts w:ascii="Calibri" w:eastAsia="Times New Roman" w:hAnsi="Calibri" w:cs="Calibri"/>
                <w:color w:val="000000" w:themeColor="text1"/>
                <w:sz w:val="18"/>
                <w:szCs w:val="18"/>
                <w:lang w:eastAsia="cs-CZ"/>
              </w:rPr>
            </w:pPr>
          </w:p>
        </w:tc>
      </w:tr>
    </w:tbl>
    <w:p w14:paraId="60404F3E" w14:textId="5180D805" w:rsidR="000C57C8" w:rsidRPr="00BC683E" w:rsidRDefault="000C57C8" w:rsidP="000C57C8">
      <w:pPr>
        <w:pStyle w:val="Zdroj"/>
        <w:rPr>
          <w:color w:val="000000" w:themeColor="text1"/>
        </w:rPr>
      </w:pPr>
      <w:r w:rsidRPr="00BC683E">
        <w:rPr>
          <w:color w:val="000000" w:themeColor="text1"/>
        </w:rPr>
        <w:t>Zdroj: ČSÚ, Územně analytické podklady, údaje za rok 2009 a 2019</w:t>
      </w:r>
      <w:r w:rsidR="005B2E72">
        <w:rPr>
          <w:color w:val="000000" w:themeColor="text1"/>
        </w:rPr>
        <w:t>.</w:t>
      </w:r>
    </w:p>
    <w:p w14:paraId="1E2CFA35" w14:textId="71BBA813" w:rsidR="000C57C8" w:rsidRDefault="000C57C8" w:rsidP="000C57C8">
      <w:pPr>
        <w:pStyle w:val="Titulek"/>
        <w:keepNext/>
        <w:keepLines/>
      </w:pPr>
      <w:bookmarkStart w:id="1093" w:name="_Toc54702825"/>
      <w:bookmarkStart w:id="1094" w:name="_Toc56179631"/>
      <w:bookmarkStart w:id="1095" w:name="_Toc77074973"/>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7</w:t>
      </w:r>
      <w:r w:rsidR="00804AF3">
        <w:rPr>
          <w:noProof/>
        </w:rPr>
        <w:fldChar w:fldCharType="end"/>
      </w:r>
      <w:r w:rsidR="005B2E72">
        <w:rPr>
          <w:noProof/>
        </w:rPr>
        <w:t>:</w:t>
      </w:r>
      <w:r>
        <w:t xml:space="preserve"> Podíl množství skládkovaného odpadu na celkovém množství odpadů města Zlína</w:t>
      </w:r>
      <w:bookmarkEnd w:id="1093"/>
      <w:bookmarkEnd w:id="1094"/>
      <w:bookmarkEnd w:id="1095"/>
    </w:p>
    <w:p w14:paraId="3E878052" w14:textId="77777777" w:rsidR="000C57C8" w:rsidRDefault="000C57C8" w:rsidP="000C57C8">
      <w:r w:rsidRPr="00EE1DD4">
        <w:rPr>
          <w:noProof/>
          <w:lang w:eastAsia="cs-CZ"/>
        </w:rPr>
        <w:drawing>
          <wp:inline distT="0" distB="0" distL="0" distR="0" wp14:anchorId="69475064" wp14:editId="6FE3FC0B">
            <wp:extent cx="5562600" cy="2590800"/>
            <wp:effectExtent l="0" t="0" r="0" b="0"/>
            <wp:docPr id="429" name="Obráze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1654" t="2079" r="1785" b="3696"/>
                    <a:stretch/>
                  </pic:blipFill>
                  <pic:spPr bwMode="auto">
                    <a:xfrm>
                      <a:off x="0" y="0"/>
                      <a:ext cx="5562600" cy="2590800"/>
                    </a:xfrm>
                    <a:prstGeom prst="rect">
                      <a:avLst/>
                    </a:prstGeom>
                    <a:ln>
                      <a:noFill/>
                    </a:ln>
                    <a:extLst>
                      <a:ext uri="{53640926-AAD7-44D8-BBD7-CCE9431645EC}">
                        <a14:shadowObscured xmlns:a14="http://schemas.microsoft.com/office/drawing/2010/main"/>
                      </a:ext>
                    </a:extLst>
                  </pic:spPr>
                </pic:pic>
              </a:graphicData>
            </a:graphic>
          </wp:inline>
        </w:drawing>
      </w:r>
    </w:p>
    <w:p w14:paraId="6F52A50D" w14:textId="77777777" w:rsidR="000C57C8" w:rsidRPr="005B2E72" w:rsidRDefault="000C57C8" w:rsidP="000C57C8">
      <w:pPr>
        <w:pStyle w:val="Zdroj"/>
        <w:rPr>
          <w:sz w:val="20"/>
          <w:szCs w:val="20"/>
        </w:rPr>
      </w:pPr>
      <w:r w:rsidRPr="005B2E72">
        <w:rPr>
          <w:sz w:val="20"/>
          <w:szCs w:val="20"/>
        </w:rPr>
        <w:t>Zdroj: Odbor životního prostředí a zemědělství MMZ.</w:t>
      </w:r>
    </w:p>
    <w:p w14:paraId="5092C6B4" w14:textId="77777777" w:rsidR="000C57C8" w:rsidRPr="00D90835" w:rsidRDefault="000C57C8" w:rsidP="000C57C8">
      <w:pPr>
        <w:keepNext/>
        <w:keepLines/>
        <w:spacing w:before="240" w:after="60"/>
        <w:rPr>
          <w:i/>
          <w:u w:val="single"/>
        </w:rPr>
      </w:pPr>
      <w:r w:rsidRPr="00D90835">
        <w:rPr>
          <w:i/>
          <w:u w:val="single"/>
        </w:rPr>
        <w:t>Plnění opatření v rámci TO 4</w:t>
      </w:r>
    </w:p>
    <w:p w14:paraId="29DDBF48" w14:textId="77777777" w:rsidR="000C57C8" w:rsidRPr="009A10E5" w:rsidRDefault="000C57C8" w:rsidP="000C57C8">
      <w:pPr>
        <w:pStyle w:val="Nadpis4"/>
        <w:ind w:left="864" w:hanging="864"/>
      </w:pPr>
      <w:r w:rsidRPr="009A10E5">
        <w:t>Tematická podoblast 4.1 Prostorová struktura města</w:t>
      </w:r>
    </w:p>
    <w:p w14:paraId="3B000978" w14:textId="77777777" w:rsidR="000C57C8" w:rsidRDefault="000C57C8" w:rsidP="000C57C8">
      <w:pPr>
        <w:rPr>
          <w:i/>
        </w:rPr>
      </w:pPr>
      <w:r w:rsidRPr="00F971F7">
        <w:rPr>
          <w:i/>
        </w:rPr>
        <w:t>Opatření 4.1-1: Vytvořit širokou platformu aktérů regenerace chátrající a podvyužité části Baťova areálu a na tomto základě přeměnit Baťův areál v multifunkční rozšířené centrum města Zlína</w:t>
      </w:r>
    </w:p>
    <w:p w14:paraId="0B78120B" w14:textId="77777777" w:rsidR="000C57C8" w:rsidRPr="0074724D" w:rsidRDefault="000C57C8" w:rsidP="00A55F7D">
      <w:pPr>
        <w:numPr>
          <w:ilvl w:val="0"/>
          <w:numId w:val="123"/>
        </w:numPr>
        <w:spacing w:before="0" w:after="120"/>
      </w:pPr>
      <w:r w:rsidRPr="0074724D">
        <w:t xml:space="preserve">Příprava postupné regenerace areálu na základě dopravně-urbanistické koncepce zpracované městem. </w:t>
      </w:r>
    </w:p>
    <w:p w14:paraId="1858F47C" w14:textId="77777777" w:rsidR="000C57C8" w:rsidRDefault="000C57C8" w:rsidP="000C57C8">
      <w:pPr>
        <w:rPr>
          <w:i/>
        </w:rPr>
      </w:pPr>
      <w:r w:rsidRPr="00325DEC">
        <w:rPr>
          <w:i/>
        </w:rPr>
        <w:t>Opatření 4.1-2: Podporovat proces regenerace dalších nevyužitých či částečně využitých lokalit na území města Zlína</w:t>
      </w:r>
    </w:p>
    <w:p w14:paraId="27A7ED46" w14:textId="00B58304" w:rsidR="000C57C8" w:rsidRPr="002F6B21" w:rsidRDefault="000C57C8" w:rsidP="00A55F7D">
      <w:pPr>
        <w:numPr>
          <w:ilvl w:val="0"/>
          <w:numId w:val="123"/>
        </w:numPr>
        <w:spacing w:before="0" w:after="120"/>
      </w:pPr>
      <w:r w:rsidRPr="002F6B21">
        <w:t xml:space="preserve">Realizované regenerace veřejných lokalit (např. </w:t>
      </w:r>
      <w:r>
        <w:t>“Demolice budovy Shopping City Zlín, Jižní Svahy“</w:t>
      </w:r>
      <w:r w:rsidR="005B2E72">
        <w:t xml:space="preserve"> </w:t>
      </w:r>
      <w:r w:rsidRPr="002F6B21">
        <w:t>aj.).</w:t>
      </w:r>
    </w:p>
    <w:p w14:paraId="7046610E" w14:textId="77777777" w:rsidR="000C57C8" w:rsidRDefault="000C57C8" w:rsidP="000C57C8">
      <w:pPr>
        <w:rPr>
          <w:i/>
        </w:rPr>
      </w:pPr>
      <w:r w:rsidRPr="00676B89">
        <w:rPr>
          <w:i/>
        </w:rPr>
        <w:t xml:space="preserve">Opatření 4.1-3: Podporovat proces regenerace Městské památkové zóny města Zlína </w:t>
      </w:r>
    </w:p>
    <w:p w14:paraId="570652FE" w14:textId="6E3FAD1A" w:rsidR="000C57C8" w:rsidRDefault="000C57C8" w:rsidP="00A55F7D">
      <w:pPr>
        <w:numPr>
          <w:ilvl w:val="0"/>
          <w:numId w:val="123"/>
        </w:numPr>
        <w:spacing w:before="0" w:after="120"/>
      </w:pPr>
      <w:r w:rsidRPr="00395222">
        <w:t>Strategický plán pro regeneraci městské památkové zóny Zlín na období 2016</w:t>
      </w:r>
      <w:r w:rsidR="005B2E72">
        <w:t xml:space="preserve"> </w:t>
      </w:r>
      <w:r w:rsidR="005B2E72">
        <w:sym w:font="Symbol" w:char="F02D"/>
      </w:r>
      <w:r w:rsidRPr="00395222">
        <w:t xml:space="preserve"> 2020</w:t>
      </w:r>
      <w:r w:rsidR="005B2E72">
        <w:t>.</w:t>
      </w:r>
    </w:p>
    <w:p w14:paraId="28AAAC52" w14:textId="77777777" w:rsidR="000C57C8" w:rsidRDefault="000C57C8" w:rsidP="00A55F7D">
      <w:pPr>
        <w:numPr>
          <w:ilvl w:val="0"/>
          <w:numId w:val="123"/>
        </w:numPr>
        <w:spacing w:before="0" w:after="120"/>
      </w:pPr>
      <w:r>
        <w:t xml:space="preserve">Obnova lokalit </w:t>
      </w:r>
      <w:r w:rsidRPr="002F6B21">
        <w:t>Městské památkové zóny města Zlína</w:t>
      </w:r>
      <w:r>
        <w:t xml:space="preserve"> (např. projekt „Město Zlín – Obnova Památníku Tomáše Bati ve Zlíně“). </w:t>
      </w:r>
    </w:p>
    <w:p w14:paraId="36A19BA8" w14:textId="4C093A89" w:rsidR="000C57C8" w:rsidRPr="00395222" w:rsidRDefault="000C57C8" w:rsidP="00A55F7D">
      <w:pPr>
        <w:numPr>
          <w:ilvl w:val="0"/>
          <w:numId w:val="123"/>
        </w:numPr>
        <w:spacing w:before="0" w:after="120"/>
      </w:pPr>
      <w:r>
        <w:t xml:space="preserve">Příprava revitalizace lokalit veřejného prostranství (např. Divadelní park, </w:t>
      </w:r>
      <w:r w:rsidR="00662B35">
        <w:t>n</w:t>
      </w:r>
      <w:r>
        <w:t xml:space="preserve">áměstí </w:t>
      </w:r>
      <w:r w:rsidR="00662B35">
        <w:t>M</w:t>
      </w:r>
      <w:r>
        <w:t xml:space="preserve">íru, </w:t>
      </w:r>
      <w:r w:rsidR="00662B35">
        <w:t>v</w:t>
      </w:r>
      <w:r>
        <w:t xml:space="preserve">lakové nádraží, </w:t>
      </w:r>
      <w:r w:rsidR="00662B35">
        <w:t>a</w:t>
      </w:r>
      <w:r>
        <w:t>utobusové nádraží, Zlínský zámek).</w:t>
      </w:r>
    </w:p>
    <w:p w14:paraId="70DD5C03" w14:textId="77777777" w:rsidR="000C57C8" w:rsidRPr="009A10E5" w:rsidRDefault="000C57C8" w:rsidP="000C57C8">
      <w:pPr>
        <w:pStyle w:val="Nadpis4"/>
        <w:ind w:left="864" w:hanging="864"/>
      </w:pPr>
      <w:r w:rsidRPr="009A10E5">
        <w:t>Tematická podoblast 4.2 Životní prostředí</w:t>
      </w:r>
    </w:p>
    <w:p w14:paraId="771FD313" w14:textId="13756C4D" w:rsidR="000C57C8" w:rsidRDefault="000C57C8" w:rsidP="000C57C8">
      <w:pPr>
        <w:rPr>
          <w:i/>
        </w:rPr>
      </w:pPr>
      <w:r w:rsidRPr="006A1F24">
        <w:rPr>
          <w:i/>
        </w:rPr>
        <w:t>Opatření 4.2-1: Minimalizovat zásahy vedoucí k redukci ploch zeleně na území města Zlína a</w:t>
      </w:r>
      <w:r w:rsidR="005B2E72">
        <w:rPr>
          <w:i/>
        </w:rPr>
        <w:t> </w:t>
      </w:r>
      <w:r w:rsidRPr="006A1F24">
        <w:rPr>
          <w:i/>
        </w:rPr>
        <w:t>podporovat vznik klidových zón na území města Zlína</w:t>
      </w:r>
    </w:p>
    <w:p w14:paraId="1AF18700" w14:textId="77777777" w:rsidR="000C57C8" w:rsidRPr="006F739D" w:rsidRDefault="000C57C8" w:rsidP="00A55F7D">
      <w:pPr>
        <w:numPr>
          <w:ilvl w:val="0"/>
          <w:numId w:val="123"/>
        </w:numPr>
        <w:spacing w:before="0" w:after="120"/>
      </w:pPr>
      <w:r>
        <w:t>Postupná realizace projektů zaměřených na obnovu městské zeleně.</w:t>
      </w:r>
    </w:p>
    <w:p w14:paraId="3ED4D1A8" w14:textId="77777777" w:rsidR="000C57C8" w:rsidRDefault="000C57C8" w:rsidP="000C57C8">
      <w:pPr>
        <w:keepNext/>
        <w:rPr>
          <w:i/>
        </w:rPr>
      </w:pPr>
      <w:r w:rsidRPr="006A1F24">
        <w:rPr>
          <w:i/>
        </w:rPr>
        <w:t xml:space="preserve">Opatření 4.2-2: Rozvíjet odpadové hospodářství města Zlína v souladu s vymezením hierarchie způsobů nakládání s odpady </w:t>
      </w:r>
    </w:p>
    <w:p w14:paraId="057BFEE3" w14:textId="77777777" w:rsidR="000C57C8" w:rsidRDefault="000C57C8" w:rsidP="00A55F7D">
      <w:pPr>
        <w:numPr>
          <w:ilvl w:val="0"/>
          <w:numId w:val="123"/>
        </w:numPr>
        <w:spacing w:before="0" w:after="120"/>
      </w:pPr>
      <w:r w:rsidRPr="008105B2">
        <w:t xml:space="preserve">Plán odpadového hospodářství statutárního města Zlína na období let 2017 </w:t>
      </w:r>
      <w:r>
        <w:t>–</w:t>
      </w:r>
      <w:r w:rsidRPr="008105B2">
        <w:t xml:space="preserve"> 2021</w:t>
      </w:r>
      <w:r>
        <w:t>.</w:t>
      </w:r>
    </w:p>
    <w:p w14:paraId="00EE10AD" w14:textId="35DA40E7" w:rsidR="000C57C8" w:rsidRPr="008105B2" w:rsidRDefault="000C57C8" w:rsidP="00A55F7D">
      <w:pPr>
        <w:numPr>
          <w:ilvl w:val="0"/>
          <w:numId w:val="123"/>
        </w:numPr>
        <w:spacing w:before="0" w:after="120"/>
      </w:pPr>
      <w:r>
        <w:t>Pořízení nádob na ukládání bioodpad</w:t>
      </w:r>
      <w:r w:rsidR="00662B35">
        <w:t>u</w:t>
      </w:r>
      <w:r>
        <w:t xml:space="preserve"> z domácností a další aktivity se zaměřením na recyklaci BRKO.</w:t>
      </w:r>
    </w:p>
    <w:p w14:paraId="480277E4" w14:textId="77777777" w:rsidR="000C57C8" w:rsidRDefault="000C57C8" w:rsidP="000C57C8">
      <w:pPr>
        <w:rPr>
          <w:i/>
        </w:rPr>
      </w:pPr>
      <w:r w:rsidRPr="006A1F24">
        <w:rPr>
          <w:i/>
        </w:rPr>
        <w:t xml:space="preserve">Opatření 4.2-3: Ve spolupráci s Povodím Moravy a dalšími aktéry podporovat realizaci protipovodňových opatření na ochranu území města Zlína </w:t>
      </w:r>
    </w:p>
    <w:p w14:paraId="21BE44C4" w14:textId="11BA4B35" w:rsidR="000C57C8" w:rsidRDefault="000C57C8" w:rsidP="00A55F7D">
      <w:pPr>
        <w:numPr>
          <w:ilvl w:val="0"/>
          <w:numId w:val="123"/>
        </w:numPr>
        <w:spacing w:before="0" w:after="120"/>
      </w:pPr>
      <w:r w:rsidRPr="008105B2">
        <w:t>Povodňový plán města Zlína</w:t>
      </w:r>
      <w:r w:rsidR="00F639F1">
        <w:t>.</w:t>
      </w:r>
    </w:p>
    <w:p w14:paraId="1B60D777" w14:textId="77777777" w:rsidR="000C57C8" w:rsidRPr="008105B2" w:rsidRDefault="000C57C8" w:rsidP="00A55F7D">
      <w:pPr>
        <w:numPr>
          <w:ilvl w:val="0"/>
          <w:numId w:val="123"/>
        </w:numPr>
        <w:spacing w:before="0" w:after="120"/>
      </w:pPr>
      <w:r>
        <w:t>Modernizace a rozšiřování povodňového varovného systému.</w:t>
      </w:r>
    </w:p>
    <w:p w14:paraId="6D36B5E9" w14:textId="77777777" w:rsidR="000C57C8" w:rsidRDefault="000C57C8" w:rsidP="000C57C8">
      <w:pPr>
        <w:rPr>
          <w:i/>
        </w:rPr>
      </w:pPr>
      <w:r w:rsidRPr="00ED1541">
        <w:rPr>
          <w:i/>
        </w:rPr>
        <w:t xml:space="preserve">Opatření 4.2-4: Podporovat projekty vedoucí ke snižování znečištění ovzduší města Zlína </w:t>
      </w:r>
    </w:p>
    <w:p w14:paraId="66EDA8FF" w14:textId="77777777" w:rsidR="000C57C8" w:rsidRDefault="000C57C8" w:rsidP="00A55F7D">
      <w:pPr>
        <w:numPr>
          <w:ilvl w:val="0"/>
          <w:numId w:val="123"/>
        </w:numPr>
        <w:spacing w:before="0" w:after="120"/>
      </w:pPr>
      <w:r w:rsidRPr="000D39A1">
        <w:t>Realizace aktivit zaměřených</w:t>
      </w:r>
      <w:r>
        <w:t xml:space="preserve"> na ekologicky šetrnou mobilitu, včetně osvětových aktivit s cílem změn dopravního chování obyvatel směrem k ekologické šetrnosti.</w:t>
      </w:r>
    </w:p>
    <w:p w14:paraId="46793A7E" w14:textId="77777777" w:rsidR="000C57C8" w:rsidRPr="000D39A1" w:rsidRDefault="000C57C8" w:rsidP="00A55F7D">
      <w:pPr>
        <w:numPr>
          <w:ilvl w:val="0"/>
          <w:numId w:val="123"/>
        </w:numPr>
        <w:spacing w:before="0" w:after="120"/>
      </w:pPr>
      <w:r>
        <w:t>Pořízení automatizované imisní monitorovací stanice pro měření znečištění ovzduší ve Zlíně.</w:t>
      </w:r>
    </w:p>
    <w:p w14:paraId="33C5D747" w14:textId="77777777" w:rsidR="000C57C8" w:rsidRPr="00C62DAC" w:rsidRDefault="000C57C8" w:rsidP="000C57C8">
      <w:pPr>
        <w:pStyle w:val="Nadpis3"/>
        <w:ind w:left="720"/>
        <w:rPr>
          <w:color w:val="FF0000"/>
        </w:rPr>
      </w:pPr>
      <w:bookmarkStart w:id="1096" w:name="_Toc53349020"/>
      <w:bookmarkStart w:id="1097" w:name="_Toc77074665"/>
      <w:r w:rsidRPr="009A10E5">
        <w:t>Tematická oblast 5 – Řízení a správa města</w:t>
      </w:r>
      <w:bookmarkEnd w:id="1096"/>
      <w:bookmarkEnd w:id="1097"/>
    </w:p>
    <w:p w14:paraId="47E0A106" w14:textId="77777777" w:rsidR="000C57C8" w:rsidRPr="00D90835" w:rsidRDefault="000C57C8" w:rsidP="000C57C8">
      <w:pPr>
        <w:spacing w:before="240" w:after="60"/>
        <w:rPr>
          <w:i/>
          <w:u w:val="single"/>
        </w:rPr>
      </w:pPr>
      <w:r w:rsidRPr="00D90835">
        <w:rPr>
          <w:i/>
          <w:u w:val="single"/>
        </w:rPr>
        <w:t>Strategické cíle:</w:t>
      </w:r>
    </w:p>
    <w:p w14:paraId="0F8E420B" w14:textId="1AD2D956" w:rsidR="000C57C8" w:rsidRDefault="00F639F1" w:rsidP="000C57C8">
      <w:r>
        <w:t>V</w:t>
      </w:r>
      <w:r w:rsidR="000C57C8">
        <w:t> případě TO 5 nejsou strategické cíle definovány</w:t>
      </w:r>
      <w:r>
        <w:t>.</w:t>
      </w:r>
    </w:p>
    <w:p w14:paraId="5F8851D2" w14:textId="77777777" w:rsidR="000C57C8" w:rsidRPr="00ED1541" w:rsidRDefault="000C57C8" w:rsidP="000C57C8">
      <w:pPr>
        <w:rPr>
          <w:i/>
        </w:rPr>
      </w:pPr>
      <w:r w:rsidRPr="00ED1541">
        <w:rPr>
          <w:i/>
        </w:rPr>
        <w:t>Opatření 5.1: Aktivně utvářet image chytrého, kreativního, podnikavého a udržitelného města</w:t>
      </w:r>
    </w:p>
    <w:p w14:paraId="0BB7DD7A" w14:textId="77777777" w:rsidR="000C57C8" w:rsidRPr="00ED1541" w:rsidRDefault="000C57C8" w:rsidP="000C57C8">
      <w:pPr>
        <w:rPr>
          <w:i/>
        </w:rPr>
      </w:pPr>
      <w:r w:rsidRPr="00ED1541">
        <w:rPr>
          <w:i/>
        </w:rPr>
        <w:t>Opatření 5.2: Založit rozvoj na hodnocení robustní datové základny</w:t>
      </w:r>
    </w:p>
    <w:p w14:paraId="27B85249" w14:textId="77777777" w:rsidR="000C57C8" w:rsidRPr="00ED1541" w:rsidRDefault="000C57C8" w:rsidP="000C57C8">
      <w:pPr>
        <w:rPr>
          <w:i/>
        </w:rPr>
      </w:pPr>
      <w:r w:rsidRPr="00ED1541">
        <w:rPr>
          <w:i/>
        </w:rPr>
        <w:t>Opatření 5.3: Aktivně spolupracovat s partnery veřejného, soukromého i neziskového sektoru při řešení svých rozvojových problémů</w:t>
      </w:r>
    </w:p>
    <w:p w14:paraId="65398080" w14:textId="77777777" w:rsidR="000C57C8" w:rsidRPr="00ED1541" w:rsidRDefault="000C57C8" w:rsidP="000C57C8">
      <w:pPr>
        <w:rPr>
          <w:i/>
        </w:rPr>
      </w:pPr>
      <w:r w:rsidRPr="00ED1541">
        <w:rPr>
          <w:i/>
        </w:rPr>
        <w:t>Opatření 5.4: Aktivně spolupracovat při řešení mezinárodních projektů s partnerskými městy</w:t>
      </w:r>
    </w:p>
    <w:p w14:paraId="6A03A15D" w14:textId="77777777" w:rsidR="000C57C8" w:rsidRDefault="000C57C8" w:rsidP="000C57C8">
      <w:pPr>
        <w:rPr>
          <w:i/>
        </w:rPr>
      </w:pPr>
      <w:r w:rsidRPr="00ED1541">
        <w:rPr>
          <w:i/>
        </w:rPr>
        <w:t>Opatření 5.5: Zajistit potřebné finanční a lidské zdroje pro realizaci strategie</w:t>
      </w:r>
    </w:p>
    <w:p w14:paraId="28525816" w14:textId="77777777" w:rsidR="000C57C8" w:rsidRDefault="000C57C8" w:rsidP="000C57C8">
      <w:pPr>
        <w:spacing w:before="240" w:after="60"/>
        <w:rPr>
          <w:i/>
          <w:u w:val="single"/>
        </w:rPr>
      </w:pPr>
      <w:r w:rsidRPr="00A05F9C">
        <w:rPr>
          <w:i/>
          <w:u w:val="single"/>
        </w:rPr>
        <w:t>Vyhodnocení ukazatelů kontextu:</w:t>
      </w:r>
    </w:p>
    <w:p w14:paraId="7A09FBA9" w14:textId="77777777" w:rsidR="000C57C8" w:rsidRPr="00A05F9C" w:rsidRDefault="000C57C8" w:rsidP="000C57C8">
      <w:r>
        <w:t>V případě tematické oblasti 5 nejsou definovány ukazatele kontextu.</w:t>
      </w:r>
    </w:p>
    <w:p w14:paraId="6C088105" w14:textId="77777777" w:rsidR="000C57C8" w:rsidRPr="00D90835" w:rsidRDefault="000C57C8" w:rsidP="000C57C8">
      <w:pPr>
        <w:spacing w:before="240" w:after="60"/>
        <w:rPr>
          <w:i/>
          <w:u w:val="single"/>
        </w:rPr>
      </w:pPr>
      <w:r w:rsidRPr="00D90835">
        <w:rPr>
          <w:i/>
          <w:u w:val="single"/>
        </w:rPr>
        <w:t>Plnění opatření v rámci TO 5</w:t>
      </w:r>
    </w:p>
    <w:p w14:paraId="1D4A9C1F" w14:textId="77777777" w:rsidR="000C57C8" w:rsidRDefault="000C57C8" w:rsidP="000C57C8">
      <w:pPr>
        <w:rPr>
          <w:i/>
        </w:rPr>
      </w:pPr>
      <w:r w:rsidRPr="00ED1541">
        <w:rPr>
          <w:i/>
        </w:rPr>
        <w:t>Opatření 5.1: Aktivně utvářet image chytrého, kreativního, podnikavého a udržitelného města</w:t>
      </w:r>
    </w:p>
    <w:p w14:paraId="52541C1D" w14:textId="77777777" w:rsidR="000C57C8" w:rsidRPr="00E06104" w:rsidRDefault="000C57C8" w:rsidP="00A55F7D">
      <w:pPr>
        <w:numPr>
          <w:ilvl w:val="0"/>
          <w:numId w:val="120"/>
        </w:numPr>
        <w:spacing w:before="0" w:after="120"/>
      </w:pPr>
      <w:r w:rsidRPr="00E06104">
        <w:t>Rozvoj datové infrastruktury města a elektronických služeb pro občany.</w:t>
      </w:r>
    </w:p>
    <w:p w14:paraId="7FC76FFB" w14:textId="77777777" w:rsidR="000C57C8" w:rsidRPr="00E06104" w:rsidRDefault="000C57C8" w:rsidP="00A55F7D">
      <w:pPr>
        <w:numPr>
          <w:ilvl w:val="0"/>
          <w:numId w:val="120"/>
        </w:numPr>
        <w:spacing w:before="0" w:after="120"/>
      </w:pPr>
      <w:r w:rsidRPr="00E06104">
        <w:t xml:space="preserve">Realizace chytrých </w:t>
      </w:r>
      <w:r>
        <w:t>projektů</w:t>
      </w:r>
      <w:r w:rsidRPr="00E06104">
        <w:t xml:space="preserve"> v oblasti udržitelné mobility.</w:t>
      </w:r>
    </w:p>
    <w:p w14:paraId="211FDC28" w14:textId="38819DDA" w:rsidR="000C57C8" w:rsidRDefault="000C57C8" w:rsidP="00A55F7D">
      <w:pPr>
        <w:numPr>
          <w:ilvl w:val="0"/>
          <w:numId w:val="120"/>
        </w:numPr>
        <w:spacing w:before="0" w:after="120"/>
      </w:pPr>
      <w:r>
        <w:t>Realizace komunikačních a propagačních kampaní</w:t>
      </w:r>
      <w:r w:rsidR="005B2E72">
        <w:t>.</w:t>
      </w:r>
    </w:p>
    <w:p w14:paraId="5E4DBAA1" w14:textId="6D8CE63E" w:rsidR="000C57C8" w:rsidRDefault="000C57C8" w:rsidP="00A55F7D">
      <w:pPr>
        <w:numPr>
          <w:ilvl w:val="0"/>
          <w:numId w:val="120"/>
        </w:numPr>
        <w:spacing w:before="0" w:after="120"/>
      </w:pPr>
      <w:r>
        <w:t>Realizace neinvestičních projektů zaměřených na rozvoj a zvýšení efektivity strategického a</w:t>
      </w:r>
      <w:r w:rsidR="005B2E72">
        <w:t> </w:t>
      </w:r>
      <w:r>
        <w:t>projektového řízení.</w:t>
      </w:r>
    </w:p>
    <w:p w14:paraId="66FD92FE" w14:textId="442C64EB" w:rsidR="000C57C8" w:rsidRPr="00E06104" w:rsidRDefault="000C57C8" w:rsidP="00A55F7D">
      <w:pPr>
        <w:numPr>
          <w:ilvl w:val="0"/>
          <w:numId w:val="120"/>
        </w:numPr>
        <w:spacing w:before="0" w:after="120"/>
      </w:pPr>
      <w:r>
        <w:t>Aktivity za účelem podpory kreativity na území města (akce Zlín Design Week, sestavení Zlínského kreativního klastru a spolupráce města s tímto klastrem atd.).</w:t>
      </w:r>
    </w:p>
    <w:p w14:paraId="28FD18AE" w14:textId="77777777" w:rsidR="000C57C8" w:rsidRDefault="000C57C8" w:rsidP="000C57C8">
      <w:pPr>
        <w:rPr>
          <w:i/>
        </w:rPr>
      </w:pPr>
      <w:r w:rsidRPr="00ED1541">
        <w:rPr>
          <w:i/>
        </w:rPr>
        <w:t>Opatření 5.2: Založit rozvoj na hodnocení robustní datové základny</w:t>
      </w:r>
    </w:p>
    <w:p w14:paraId="10A88F19" w14:textId="77777777" w:rsidR="000C57C8" w:rsidRDefault="000C57C8" w:rsidP="00A55F7D">
      <w:pPr>
        <w:numPr>
          <w:ilvl w:val="0"/>
          <w:numId w:val="120"/>
        </w:numPr>
        <w:spacing w:before="0" w:after="120"/>
      </w:pPr>
      <w:r w:rsidRPr="00E06104">
        <w:t>Realizace projektu „Zajištění přenosu dat a informací v územní samosprávě statutárního města Zlín“.</w:t>
      </w:r>
    </w:p>
    <w:p w14:paraId="2D867B4A" w14:textId="77777777" w:rsidR="000C57C8" w:rsidRDefault="000C57C8" w:rsidP="00A55F7D">
      <w:pPr>
        <w:numPr>
          <w:ilvl w:val="0"/>
          <w:numId w:val="120"/>
        </w:numPr>
        <w:spacing w:before="0" w:after="120"/>
      </w:pPr>
      <w:r>
        <w:t>Využívání dat z BBT detektorů na křižovatkách (směrové dělení dopravy, výpočty dojezdových časů).</w:t>
      </w:r>
    </w:p>
    <w:p w14:paraId="1B348B1E" w14:textId="77777777" w:rsidR="000C57C8" w:rsidRPr="00E06104" w:rsidRDefault="000C57C8" w:rsidP="00A55F7D">
      <w:pPr>
        <w:numPr>
          <w:ilvl w:val="0"/>
          <w:numId w:val="120"/>
        </w:numPr>
        <w:spacing w:before="0" w:after="120"/>
      </w:pPr>
      <w:r>
        <w:t>Využívání datové základny Městské policie.</w:t>
      </w:r>
    </w:p>
    <w:p w14:paraId="49C9D171" w14:textId="77777777" w:rsidR="000C57C8" w:rsidRDefault="000C57C8" w:rsidP="000C57C8">
      <w:pPr>
        <w:rPr>
          <w:i/>
        </w:rPr>
      </w:pPr>
      <w:r w:rsidRPr="00ED1541">
        <w:rPr>
          <w:i/>
        </w:rPr>
        <w:t>Opatření 5.3: Aktivně spolupracovat s partnery veřejného, soukromého i neziskového sektoru při řešení svých rozvojových problémů</w:t>
      </w:r>
    </w:p>
    <w:p w14:paraId="5E74CA32" w14:textId="77777777" w:rsidR="000C57C8" w:rsidRPr="00E06104" w:rsidRDefault="000C57C8" w:rsidP="00A55F7D">
      <w:pPr>
        <w:numPr>
          <w:ilvl w:val="0"/>
          <w:numId w:val="120"/>
        </w:numPr>
        <w:spacing w:before="0" w:after="120"/>
      </w:pPr>
      <w:r w:rsidRPr="00E06104">
        <w:t>Probíhající partnerská spolupráce města s relevantními partnery při řešení rozvojových programů.</w:t>
      </w:r>
    </w:p>
    <w:p w14:paraId="417DBA74" w14:textId="77777777" w:rsidR="000C57C8" w:rsidRDefault="000C57C8" w:rsidP="000C57C8">
      <w:pPr>
        <w:keepNext/>
        <w:rPr>
          <w:i/>
        </w:rPr>
      </w:pPr>
      <w:r w:rsidRPr="00ED1541">
        <w:rPr>
          <w:i/>
        </w:rPr>
        <w:t>Opatření 5.4: Aktivně spolupracovat při řešení mezinárodních projektů s partnerskými městy</w:t>
      </w:r>
    </w:p>
    <w:p w14:paraId="0F66C943" w14:textId="77777777" w:rsidR="000C57C8" w:rsidRPr="00E06104" w:rsidRDefault="000C57C8" w:rsidP="00A55F7D">
      <w:pPr>
        <w:numPr>
          <w:ilvl w:val="0"/>
          <w:numId w:val="120"/>
        </w:numPr>
        <w:spacing w:before="0" w:after="120"/>
      </w:pPr>
      <w:r w:rsidRPr="00E06104">
        <w:t>Spolupráce s partnerskými městy na základě platných partnerských smluv: Altenburg (Německo), Groningen (Nizozemí), Chorzow (Polsko), Izegem (Belgie), Möhlin (Švýcarsko), Limbach-Oberfrohna (Německo), Romans-sur-Isere (Francie), Sesto San Giovanni (Itálie), Trenčín (Slovensko).</w:t>
      </w:r>
    </w:p>
    <w:p w14:paraId="7543D000" w14:textId="77777777" w:rsidR="000C57C8" w:rsidRDefault="000C57C8" w:rsidP="000C57C8">
      <w:pPr>
        <w:rPr>
          <w:i/>
        </w:rPr>
      </w:pPr>
      <w:r w:rsidRPr="00ED1541">
        <w:rPr>
          <w:i/>
        </w:rPr>
        <w:t>Opatření 5.5: Zajistit potřebné finanční a lidské zdroje pro realizaci strategie</w:t>
      </w:r>
    </w:p>
    <w:p w14:paraId="458F86D6" w14:textId="77777777" w:rsidR="000C57C8" w:rsidRDefault="000C57C8" w:rsidP="00A55F7D">
      <w:pPr>
        <w:numPr>
          <w:ilvl w:val="0"/>
          <w:numId w:val="120"/>
        </w:numPr>
        <w:spacing w:before="0" w:after="120"/>
      </w:pPr>
      <w:r w:rsidRPr="00E06104">
        <w:t>Realizace strategie z vlastních zdrojů a dostupných dotačních titulů.</w:t>
      </w:r>
    </w:p>
    <w:p w14:paraId="7AF77C82" w14:textId="77777777" w:rsidR="000C57C8" w:rsidRDefault="000C57C8" w:rsidP="00A55F7D">
      <w:pPr>
        <w:numPr>
          <w:ilvl w:val="0"/>
          <w:numId w:val="120"/>
        </w:numPr>
        <w:spacing w:before="0" w:after="120"/>
      </w:pPr>
      <w:r>
        <w:t xml:space="preserve">Realizace strategických aktivit prostřednictvím oddělení koordinace projektů. </w:t>
      </w:r>
      <w:bookmarkStart w:id="1098" w:name="_Toc53349021"/>
    </w:p>
    <w:p w14:paraId="781D6C6E" w14:textId="037082A3" w:rsidR="000C57C8" w:rsidRDefault="000C57C8" w:rsidP="000C57C8">
      <w:pPr>
        <w:pStyle w:val="Nadpis3"/>
      </w:pPr>
      <w:bookmarkStart w:id="1099" w:name="_Toc77074666"/>
      <w:r w:rsidRPr="002F7F7E">
        <w:t xml:space="preserve">Závěrečné vyhodnocení naplňování Strategie </w:t>
      </w:r>
      <w:r>
        <w:t>„Zlín 2020“</w:t>
      </w:r>
      <w:bookmarkEnd w:id="1098"/>
      <w:bookmarkEnd w:id="1099"/>
    </w:p>
    <w:p w14:paraId="1BD5A895" w14:textId="71B0EDA4" w:rsidR="000C57C8" w:rsidRDefault="000C57C8" w:rsidP="000C57C8">
      <w:r>
        <w:t>Na základě aktuálních dostupných dat byl vyhodnocen trend kontextových ukazatelů jednotlivých strategických cílů. U většiny strategických cílů je trend kontextových ukazatelů v souladu s nastavenými strategickými cíli, dochází tak ke zlepšení situac</w:t>
      </w:r>
      <w:r w:rsidR="0069612D">
        <w:t>e</w:t>
      </w:r>
      <w:r>
        <w:t xml:space="preserve"> v jednotlivých tematických oblastech hodnocené kontextovými indikátory. Výjimkou jsou kontextové indikátory v oblasti dopravy, týkající se intenzity automobilové dopravy a dělby přepravní práce, kde dochází k relativnímu nárůstu silniční automobilové dopravy. Vyhodnocení jednotlivých ukazatelů ko</w:t>
      </w:r>
      <w:r w:rsidR="0096730F">
        <w:t>ntextu je uvedeno v tabulce 4.5.</w:t>
      </w:r>
    </w:p>
    <w:p w14:paraId="6EB10FE7" w14:textId="5F7E6B20" w:rsidR="000C57C8" w:rsidRDefault="000C57C8" w:rsidP="000C57C8">
      <w:pPr>
        <w:pStyle w:val="Titulek"/>
      </w:pPr>
      <w:bookmarkStart w:id="1100" w:name="_Toc54702665"/>
      <w:bookmarkStart w:id="1101" w:name="_Toc56179472"/>
      <w:bookmarkStart w:id="1102" w:name="_Toc57731830"/>
      <w:bookmarkStart w:id="1103" w:name="_Toc77074814"/>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4</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5</w:t>
      </w:r>
      <w:r w:rsidR="004857C6">
        <w:rPr>
          <w:noProof/>
        </w:rPr>
        <w:fldChar w:fldCharType="end"/>
      </w:r>
      <w:r w:rsidR="0069612D">
        <w:rPr>
          <w:noProof/>
        </w:rPr>
        <w:t>:</w:t>
      </w:r>
      <w:r>
        <w:t xml:space="preserve"> Vyhodnocení ukazatelů kontextu jednotlivých strategických cílů</w:t>
      </w:r>
      <w:bookmarkEnd w:id="1100"/>
      <w:bookmarkEnd w:id="1101"/>
      <w:bookmarkEnd w:id="1102"/>
      <w:bookmarkEnd w:id="1103"/>
    </w:p>
    <w:tbl>
      <w:tblPr>
        <w:tblW w:w="5007" w:type="pct"/>
        <w:tblCellMar>
          <w:left w:w="70" w:type="dxa"/>
          <w:right w:w="70" w:type="dxa"/>
        </w:tblCellMar>
        <w:tblLook w:val="04A0" w:firstRow="1" w:lastRow="0" w:firstColumn="1" w:lastColumn="0" w:noHBand="0" w:noVBand="1"/>
      </w:tblPr>
      <w:tblGrid>
        <w:gridCol w:w="3416"/>
        <w:gridCol w:w="2696"/>
        <w:gridCol w:w="2953"/>
      </w:tblGrid>
      <w:tr w:rsidR="000C57C8" w:rsidRPr="00CE602D" w14:paraId="7C199A7F" w14:textId="77777777" w:rsidTr="000C57C8">
        <w:trPr>
          <w:cantSplit/>
          <w:trHeight w:val="281"/>
          <w:tblHeader/>
        </w:trPr>
        <w:tc>
          <w:tcPr>
            <w:tcW w:w="1884" w:type="pct"/>
            <w:tcBorders>
              <w:top w:val="single" w:sz="8" w:space="0" w:color="auto"/>
              <w:left w:val="single" w:sz="8" w:space="0" w:color="auto"/>
              <w:bottom w:val="single" w:sz="8" w:space="0" w:color="auto"/>
              <w:right w:val="single" w:sz="8" w:space="0" w:color="auto"/>
            </w:tcBorders>
            <w:shd w:val="clear" w:color="000000" w:fill="D6DCE4"/>
            <w:noWrap/>
            <w:vAlign w:val="bottom"/>
            <w:hideMark/>
          </w:tcPr>
          <w:p w14:paraId="19BBFE77" w14:textId="77777777" w:rsidR="000C57C8" w:rsidRPr="00CE602D" w:rsidRDefault="000C57C8" w:rsidP="00FB7BF4">
            <w:pPr>
              <w:rPr>
                <w:rFonts w:eastAsia="Times New Roman" w:cs="Calibri"/>
                <w:b/>
                <w:bCs/>
                <w:color w:val="000000"/>
                <w:sz w:val="20"/>
                <w:szCs w:val="20"/>
                <w:lang w:eastAsia="cs-CZ"/>
              </w:rPr>
            </w:pPr>
            <w:r w:rsidRPr="00CE602D">
              <w:rPr>
                <w:rFonts w:eastAsia="Times New Roman" w:cs="Calibri"/>
                <w:b/>
                <w:bCs/>
                <w:color w:val="000000"/>
                <w:sz w:val="20"/>
                <w:szCs w:val="20"/>
                <w:lang w:eastAsia="cs-CZ"/>
              </w:rPr>
              <w:t>Strategický cíl:</w:t>
            </w:r>
          </w:p>
        </w:tc>
        <w:tc>
          <w:tcPr>
            <w:tcW w:w="1487" w:type="pct"/>
            <w:tcBorders>
              <w:top w:val="single" w:sz="8" w:space="0" w:color="auto"/>
              <w:left w:val="nil"/>
              <w:bottom w:val="single" w:sz="8" w:space="0" w:color="auto"/>
              <w:right w:val="single" w:sz="8" w:space="0" w:color="auto"/>
            </w:tcBorders>
            <w:shd w:val="clear" w:color="000000" w:fill="D6DCE4"/>
            <w:noWrap/>
            <w:vAlign w:val="bottom"/>
            <w:hideMark/>
          </w:tcPr>
          <w:p w14:paraId="5C1DE449" w14:textId="77777777" w:rsidR="000C57C8" w:rsidRPr="00CE602D" w:rsidRDefault="000C57C8" w:rsidP="00FB7BF4">
            <w:pPr>
              <w:rPr>
                <w:rFonts w:eastAsia="Times New Roman" w:cs="Calibri"/>
                <w:b/>
                <w:bCs/>
                <w:color w:val="000000"/>
                <w:sz w:val="20"/>
                <w:szCs w:val="20"/>
                <w:lang w:eastAsia="cs-CZ"/>
              </w:rPr>
            </w:pPr>
            <w:r w:rsidRPr="00CE602D">
              <w:rPr>
                <w:rFonts w:eastAsia="Times New Roman" w:cs="Calibri"/>
                <w:b/>
                <w:bCs/>
                <w:color w:val="000000"/>
                <w:sz w:val="20"/>
                <w:szCs w:val="20"/>
                <w:lang w:eastAsia="cs-CZ"/>
              </w:rPr>
              <w:t>Ukazatel kontextu</w:t>
            </w:r>
          </w:p>
        </w:tc>
        <w:tc>
          <w:tcPr>
            <w:tcW w:w="1629" w:type="pct"/>
            <w:tcBorders>
              <w:top w:val="single" w:sz="8" w:space="0" w:color="auto"/>
              <w:left w:val="nil"/>
              <w:bottom w:val="single" w:sz="8" w:space="0" w:color="auto"/>
              <w:right w:val="single" w:sz="8" w:space="0" w:color="auto"/>
            </w:tcBorders>
            <w:shd w:val="clear" w:color="000000" w:fill="D6DCE4"/>
            <w:noWrap/>
            <w:vAlign w:val="bottom"/>
            <w:hideMark/>
          </w:tcPr>
          <w:p w14:paraId="01CBA22F" w14:textId="77777777" w:rsidR="000C57C8" w:rsidRPr="00CE602D" w:rsidRDefault="000C57C8" w:rsidP="00FB7BF4">
            <w:pPr>
              <w:rPr>
                <w:rFonts w:eastAsia="Times New Roman" w:cs="Calibri"/>
                <w:b/>
                <w:bCs/>
                <w:color w:val="000000"/>
                <w:sz w:val="20"/>
                <w:szCs w:val="20"/>
                <w:lang w:eastAsia="cs-CZ"/>
              </w:rPr>
            </w:pPr>
            <w:r w:rsidRPr="00CE602D">
              <w:rPr>
                <w:rFonts w:eastAsia="Times New Roman" w:cs="Calibri"/>
                <w:b/>
                <w:bCs/>
                <w:color w:val="000000"/>
                <w:sz w:val="20"/>
                <w:szCs w:val="20"/>
                <w:lang w:eastAsia="cs-CZ"/>
              </w:rPr>
              <w:t>Hodnocení změny:</w:t>
            </w:r>
          </w:p>
        </w:tc>
      </w:tr>
      <w:tr w:rsidR="000C57C8" w:rsidRPr="00CE602D" w14:paraId="26CABAAD" w14:textId="77777777" w:rsidTr="000C57C8">
        <w:trPr>
          <w:cantSplit/>
          <w:trHeight w:val="818"/>
        </w:trPr>
        <w:tc>
          <w:tcPr>
            <w:tcW w:w="1884" w:type="pct"/>
            <w:vMerge w:val="restart"/>
            <w:tcBorders>
              <w:top w:val="nil"/>
              <w:left w:val="single" w:sz="8" w:space="0" w:color="auto"/>
              <w:bottom w:val="single" w:sz="8" w:space="0" w:color="auto"/>
              <w:right w:val="single" w:sz="8" w:space="0" w:color="auto"/>
            </w:tcBorders>
            <w:shd w:val="clear" w:color="auto" w:fill="auto"/>
            <w:vAlign w:val="center"/>
            <w:hideMark/>
          </w:tcPr>
          <w:p w14:paraId="7D48E788" w14:textId="3ED49C37" w:rsidR="000C57C8" w:rsidRPr="00CE602D" w:rsidRDefault="000C57C8" w:rsidP="0069612D">
            <w:pPr>
              <w:rPr>
                <w:rFonts w:eastAsia="Times New Roman" w:cs="Calibri"/>
                <w:color w:val="000000"/>
                <w:sz w:val="20"/>
                <w:szCs w:val="20"/>
                <w:lang w:eastAsia="cs-CZ"/>
              </w:rPr>
            </w:pPr>
            <w:r w:rsidRPr="00CE602D">
              <w:rPr>
                <w:rFonts w:eastAsia="Times New Roman" w:cs="Calibri"/>
                <w:color w:val="000000"/>
                <w:sz w:val="20"/>
                <w:szCs w:val="20"/>
                <w:lang w:eastAsia="cs-CZ"/>
              </w:rPr>
              <w:t>1.1 Zachování postavení města Zlína jako konkurenceschopného centra Zlínského kraje a přirozeného jádra více než 100tisícové městské aglomerace prostřednictvím nabídky vysoké kvality života v oblasti bydlení, občanské vybavenosti a bezpečnosti</w:t>
            </w:r>
          </w:p>
        </w:tc>
        <w:tc>
          <w:tcPr>
            <w:tcW w:w="1487" w:type="pct"/>
            <w:tcBorders>
              <w:top w:val="nil"/>
              <w:left w:val="nil"/>
              <w:bottom w:val="single" w:sz="8" w:space="0" w:color="auto"/>
              <w:right w:val="single" w:sz="8" w:space="0" w:color="auto"/>
            </w:tcBorders>
            <w:shd w:val="clear" w:color="000000" w:fill="E2EFDA"/>
            <w:vAlign w:val="center"/>
            <w:hideMark/>
          </w:tcPr>
          <w:p w14:paraId="70E744D0"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Hodnota migračního salda města Zlín:</w:t>
            </w:r>
          </w:p>
        </w:tc>
        <w:tc>
          <w:tcPr>
            <w:tcW w:w="1629" w:type="pct"/>
            <w:tcBorders>
              <w:top w:val="nil"/>
              <w:left w:val="nil"/>
              <w:bottom w:val="single" w:sz="8" w:space="0" w:color="auto"/>
              <w:right w:val="single" w:sz="8" w:space="0" w:color="auto"/>
            </w:tcBorders>
            <w:shd w:val="clear" w:color="000000" w:fill="E2EFDA"/>
            <w:vAlign w:val="center"/>
            <w:hideMark/>
          </w:tcPr>
          <w:p w14:paraId="7347DBDE"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Hodnota ukazatele má ve sledovaném období střídavý trend, v letech 2018 a 2019 má migrační saldo pozitivní přírůstek.</w:t>
            </w:r>
            <w:r>
              <w:rPr>
                <w:rFonts w:eastAsia="Times New Roman" w:cs="Calibri"/>
                <w:i/>
                <w:iCs/>
                <w:color w:val="000000"/>
                <w:sz w:val="20"/>
                <w:szCs w:val="20"/>
                <w:lang w:eastAsia="cs-CZ"/>
              </w:rPr>
              <w:t xml:space="preserve"> Ačkoliv z celkového pohledu dochází ve sledovaném období ke snižování počtu obyvatel města, je pokles mnohem mírnější ve srovnání s vývojem uvedeným v prognóze z roku 2011, vytvořené v rámci strategie Zlín 2020 (dle této prognózy byl predikován v roce 2020 počet obyvatel 71 833, přičemž skutečná hodnota ke dni 31. 12. 2019 je 74 935.</w:t>
            </w:r>
          </w:p>
        </w:tc>
      </w:tr>
      <w:tr w:rsidR="000C57C8" w:rsidRPr="00CE602D" w14:paraId="0F999DE6" w14:textId="77777777" w:rsidTr="000C57C8">
        <w:trPr>
          <w:cantSplit/>
          <w:trHeight w:val="1086"/>
        </w:trPr>
        <w:tc>
          <w:tcPr>
            <w:tcW w:w="1884" w:type="pct"/>
            <w:vMerge/>
            <w:tcBorders>
              <w:top w:val="nil"/>
              <w:left w:val="single" w:sz="8" w:space="0" w:color="auto"/>
              <w:bottom w:val="single" w:sz="8" w:space="0" w:color="auto"/>
              <w:right w:val="single" w:sz="8" w:space="0" w:color="auto"/>
            </w:tcBorders>
            <w:vAlign w:val="center"/>
            <w:hideMark/>
          </w:tcPr>
          <w:p w14:paraId="4A684F65" w14:textId="77777777" w:rsidR="000C57C8" w:rsidRPr="00CE602D" w:rsidRDefault="000C57C8" w:rsidP="00FB7BF4">
            <w:pPr>
              <w:rPr>
                <w:rFonts w:eastAsia="Times New Roman" w:cs="Calibri"/>
                <w:color w:val="000000"/>
                <w:sz w:val="20"/>
                <w:szCs w:val="20"/>
                <w:lang w:eastAsia="cs-CZ"/>
              </w:rPr>
            </w:pPr>
          </w:p>
        </w:tc>
        <w:tc>
          <w:tcPr>
            <w:tcW w:w="1487" w:type="pct"/>
            <w:tcBorders>
              <w:top w:val="nil"/>
              <w:left w:val="nil"/>
              <w:bottom w:val="single" w:sz="8" w:space="0" w:color="auto"/>
              <w:right w:val="single" w:sz="8" w:space="0" w:color="auto"/>
            </w:tcBorders>
            <w:shd w:val="clear" w:color="000000" w:fill="E2EFDA"/>
            <w:vAlign w:val="center"/>
            <w:hideMark/>
          </w:tcPr>
          <w:p w14:paraId="1EBAB9A6"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Počet trestných činů spáchaných na území města Zlína – 2014-2019:</w:t>
            </w:r>
          </w:p>
        </w:tc>
        <w:tc>
          <w:tcPr>
            <w:tcW w:w="1629" w:type="pct"/>
            <w:tcBorders>
              <w:top w:val="nil"/>
              <w:left w:val="nil"/>
              <w:bottom w:val="single" w:sz="8" w:space="0" w:color="auto"/>
              <w:right w:val="single" w:sz="8" w:space="0" w:color="auto"/>
            </w:tcBorders>
            <w:shd w:val="clear" w:color="000000" w:fill="E2EFDA"/>
            <w:vAlign w:val="center"/>
            <w:hideMark/>
          </w:tcPr>
          <w:p w14:paraId="7C70D49E" w14:textId="44629510" w:rsidR="000C57C8" w:rsidRPr="00CE602D" w:rsidRDefault="000C57C8" w:rsidP="0069612D">
            <w:pPr>
              <w:rPr>
                <w:rFonts w:eastAsia="Times New Roman" w:cs="Calibri"/>
                <w:i/>
                <w:iCs/>
                <w:color w:val="000000"/>
                <w:sz w:val="20"/>
                <w:szCs w:val="20"/>
                <w:lang w:eastAsia="cs-CZ"/>
              </w:rPr>
            </w:pPr>
            <w:r w:rsidRPr="00C94AA3">
              <w:rPr>
                <w:rFonts w:eastAsia="Times New Roman" w:cs="Calibri"/>
                <w:i/>
                <w:iCs/>
                <w:color w:val="000000"/>
                <w:sz w:val="20"/>
                <w:szCs w:val="20"/>
                <w:lang w:eastAsia="cs-CZ"/>
              </w:rPr>
              <w:t xml:space="preserve">Ve sledovaném období je patrný dlouhodobý trend poklesu kriminality, s výjimkou v </w:t>
            </w:r>
            <w:r>
              <w:rPr>
                <w:rFonts w:eastAsia="Times New Roman" w:cs="Calibri"/>
                <w:i/>
                <w:iCs/>
                <w:color w:val="000000"/>
                <w:sz w:val="20"/>
                <w:szCs w:val="20"/>
                <w:lang w:eastAsia="cs-CZ"/>
              </w:rPr>
              <w:t>roce 2018. Mezi lety 2013 a 2019</w:t>
            </w:r>
            <w:r w:rsidRPr="00C94AA3">
              <w:rPr>
                <w:rFonts w:eastAsia="Times New Roman" w:cs="Calibri"/>
                <w:i/>
                <w:iCs/>
                <w:color w:val="000000"/>
                <w:sz w:val="20"/>
                <w:szCs w:val="20"/>
                <w:lang w:eastAsia="cs-CZ"/>
              </w:rPr>
              <w:t xml:space="preserve"> došlo k</w:t>
            </w:r>
            <w:r w:rsidR="0069612D">
              <w:rPr>
                <w:rFonts w:eastAsia="Times New Roman" w:cs="Calibri"/>
                <w:i/>
                <w:iCs/>
                <w:color w:val="000000"/>
                <w:sz w:val="20"/>
                <w:szCs w:val="20"/>
                <w:lang w:eastAsia="cs-CZ"/>
              </w:rPr>
              <w:t> </w:t>
            </w:r>
            <w:r w:rsidRPr="00C94AA3">
              <w:rPr>
                <w:rFonts w:eastAsia="Times New Roman" w:cs="Calibri"/>
                <w:i/>
                <w:iCs/>
                <w:color w:val="000000"/>
                <w:sz w:val="20"/>
                <w:szCs w:val="20"/>
                <w:lang w:eastAsia="cs-CZ"/>
              </w:rPr>
              <w:t>poklesu kriminality o 30,5 %.</w:t>
            </w:r>
          </w:p>
        </w:tc>
      </w:tr>
      <w:tr w:rsidR="000C57C8" w:rsidRPr="00CE602D" w14:paraId="54460161" w14:textId="77777777" w:rsidTr="000C57C8">
        <w:trPr>
          <w:cantSplit/>
          <w:trHeight w:val="1623"/>
        </w:trPr>
        <w:tc>
          <w:tcPr>
            <w:tcW w:w="1884" w:type="pct"/>
            <w:vMerge w:val="restart"/>
            <w:tcBorders>
              <w:top w:val="nil"/>
              <w:left w:val="single" w:sz="8" w:space="0" w:color="auto"/>
              <w:bottom w:val="single" w:sz="8" w:space="0" w:color="auto"/>
              <w:right w:val="single" w:sz="8" w:space="0" w:color="auto"/>
            </w:tcBorders>
            <w:shd w:val="clear" w:color="auto" w:fill="auto"/>
            <w:vAlign w:val="center"/>
            <w:hideMark/>
          </w:tcPr>
          <w:p w14:paraId="134B34A2" w14:textId="6020E4DF" w:rsidR="000C57C8" w:rsidRPr="00CE602D" w:rsidRDefault="000C57C8" w:rsidP="0069612D">
            <w:pPr>
              <w:rPr>
                <w:rFonts w:eastAsia="Times New Roman" w:cs="Calibri"/>
                <w:color w:val="000000"/>
                <w:sz w:val="20"/>
                <w:szCs w:val="20"/>
                <w:lang w:eastAsia="cs-CZ"/>
              </w:rPr>
            </w:pPr>
            <w:r w:rsidRPr="00CE602D">
              <w:rPr>
                <w:rFonts w:eastAsia="Times New Roman" w:cs="Calibri"/>
                <w:color w:val="000000"/>
                <w:sz w:val="20"/>
                <w:szCs w:val="20"/>
                <w:lang w:eastAsia="cs-CZ"/>
              </w:rPr>
              <w:t>2.1 Posilování konkurenceschopnosti podnikatelského sektoru města Zlína, respektive zlínské aglomerace, prostřednictvím zavádění inovací do stávajících a nově zakládaných podniků v</w:t>
            </w:r>
            <w:r w:rsidR="0069612D">
              <w:rPr>
                <w:rFonts w:eastAsia="Times New Roman" w:cs="Calibri"/>
                <w:color w:val="000000"/>
                <w:sz w:val="20"/>
                <w:szCs w:val="20"/>
                <w:lang w:eastAsia="cs-CZ"/>
              </w:rPr>
              <w:t> </w:t>
            </w:r>
            <w:r w:rsidRPr="00CE602D">
              <w:rPr>
                <w:rFonts w:eastAsia="Times New Roman" w:cs="Calibri"/>
                <w:color w:val="000000"/>
                <w:sz w:val="20"/>
                <w:szCs w:val="20"/>
                <w:lang w:eastAsia="cs-CZ"/>
              </w:rPr>
              <w:t>souladu s myšlenkou inteligentní specializace</w:t>
            </w:r>
            <w:r w:rsidRPr="00CE602D">
              <w:rPr>
                <w:rFonts w:eastAsia="Times New Roman" w:cs="Calibri"/>
                <w:color w:val="000000"/>
                <w:sz w:val="20"/>
                <w:szCs w:val="20"/>
                <w:lang w:eastAsia="cs-CZ"/>
              </w:rPr>
              <w:br/>
              <w:t>2.2 Zlepšení přístupu k zaměstnání pro obyvatele města Zlína, se zohledněním potřeb specifických skupin osob ohrožených nezaměstnaností, prostřednictvím úzké spolupráce relevantních aktérů v rámci paktu zaměstnanosti</w:t>
            </w:r>
          </w:p>
        </w:tc>
        <w:tc>
          <w:tcPr>
            <w:tcW w:w="1487" w:type="pct"/>
            <w:tcBorders>
              <w:top w:val="nil"/>
              <w:left w:val="nil"/>
              <w:bottom w:val="single" w:sz="8" w:space="0" w:color="auto"/>
              <w:right w:val="single" w:sz="8" w:space="0" w:color="auto"/>
            </w:tcBorders>
            <w:shd w:val="clear" w:color="000000" w:fill="E2EFDA"/>
            <w:vAlign w:val="center"/>
            <w:hideMark/>
          </w:tcPr>
          <w:p w14:paraId="472EE78B"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Počet podnikatelských subjektů na území města Zlína k počtu ekonomicky aktivních obyvatel:</w:t>
            </w:r>
          </w:p>
        </w:tc>
        <w:tc>
          <w:tcPr>
            <w:tcW w:w="1629" w:type="pct"/>
            <w:tcBorders>
              <w:top w:val="nil"/>
              <w:left w:val="nil"/>
              <w:bottom w:val="single" w:sz="8" w:space="0" w:color="auto"/>
              <w:right w:val="single" w:sz="8" w:space="0" w:color="auto"/>
            </w:tcBorders>
            <w:shd w:val="clear" w:color="000000" w:fill="E2EFDA"/>
            <w:vAlign w:val="center"/>
            <w:hideMark/>
          </w:tcPr>
          <w:p w14:paraId="6D759E47" w14:textId="14FD64DA"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V</w:t>
            </w:r>
            <w:r w:rsidR="0069612D">
              <w:rPr>
                <w:rFonts w:eastAsia="Times New Roman" w:cs="Calibri"/>
                <w:i/>
                <w:iCs/>
                <w:color w:val="000000"/>
                <w:sz w:val="20"/>
                <w:szCs w:val="20"/>
                <w:lang w:eastAsia="cs-CZ"/>
              </w:rPr>
              <w:t>e</w:t>
            </w:r>
            <w:r w:rsidRPr="00CE602D">
              <w:rPr>
                <w:rFonts w:eastAsia="Times New Roman" w:cs="Calibri"/>
                <w:i/>
                <w:iCs/>
                <w:color w:val="000000"/>
                <w:sz w:val="20"/>
                <w:szCs w:val="20"/>
                <w:lang w:eastAsia="cs-CZ"/>
              </w:rPr>
              <w:t xml:space="preserve"> sledovaném období 2014 až 2020 lze sledovat pozitivní trend vývoje počtu podnikatelských subjektů na území města, v roce 2019 však trend opět nabírá negativní směr. Z celkového pohledu mezi lety 2014 a 2019 přibylo ve Zlíně 182 podnikatelských subjektů.</w:t>
            </w:r>
          </w:p>
        </w:tc>
      </w:tr>
      <w:tr w:rsidR="000C57C8" w:rsidRPr="00CE602D" w14:paraId="48A75172" w14:textId="77777777" w:rsidTr="000C57C8">
        <w:trPr>
          <w:cantSplit/>
          <w:trHeight w:val="818"/>
        </w:trPr>
        <w:tc>
          <w:tcPr>
            <w:tcW w:w="1884" w:type="pct"/>
            <w:vMerge/>
            <w:tcBorders>
              <w:top w:val="nil"/>
              <w:left w:val="single" w:sz="8" w:space="0" w:color="auto"/>
              <w:bottom w:val="single" w:sz="8" w:space="0" w:color="auto"/>
              <w:right w:val="single" w:sz="8" w:space="0" w:color="auto"/>
            </w:tcBorders>
            <w:vAlign w:val="center"/>
            <w:hideMark/>
          </w:tcPr>
          <w:p w14:paraId="1CAFBC2F" w14:textId="77777777" w:rsidR="000C57C8" w:rsidRPr="00CE602D" w:rsidRDefault="000C57C8" w:rsidP="00FB7BF4">
            <w:pPr>
              <w:rPr>
                <w:rFonts w:eastAsia="Times New Roman" w:cs="Calibri"/>
                <w:color w:val="000000"/>
                <w:sz w:val="20"/>
                <w:szCs w:val="20"/>
                <w:lang w:eastAsia="cs-CZ"/>
              </w:rPr>
            </w:pPr>
          </w:p>
        </w:tc>
        <w:tc>
          <w:tcPr>
            <w:tcW w:w="1487" w:type="pct"/>
            <w:tcBorders>
              <w:top w:val="nil"/>
              <w:left w:val="nil"/>
              <w:bottom w:val="single" w:sz="8" w:space="0" w:color="auto"/>
              <w:right w:val="single" w:sz="8" w:space="0" w:color="auto"/>
            </w:tcBorders>
            <w:shd w:val="clear" w:color="000000" w:fill="E2EFDA"/>
            <w:vAlign w:val="center"/>
            <w:hideMark/>
          </w:tcPr>
          <w:p w14:paraId="1CD317AA"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Podíl nezaměstnaných osob na území města Zlína:</w:t>
            </w:r>
          </w:p>
        </w:tc>
        <w:tc>
          <w:tcPr>
            <w:tcW w:w="1629" w:type="pct"/>
            <w:tcBorders>
              <w:top w:val="nil"/>
              <w:left w:val="nil"/>
              <w:bottom w:val="single" w:sz="8" w:space="0" w:color="auto"/>
              <w:right w:val="single" w:sz="8" w:space="0" w:color="auto"/>
            </w:tcBorders>
            <w:shd w:val="clear" w:color="000000" w:fill="E2EFDA"/>
            <w:vAlign w:val="center"/>
            <w:hideMark/>
          </w:tcPr>
          <w:p w14:paraId="693F9E43" w14:textId="63DD5C75" w:rsidR="000C57C8" w:rsidRPr="00CE602D" w:rsidRDefault="000C57C8" w:rsidP="00F639F1">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Podíl nezaměstnaných osob na území města Zlína má v období 2014 až 2019 dlouhodob</w:t>
            </w:r>
            <w:r w:rsidR="00F639F1">
              <w:rPr>
                <w:rFonts w:eastAsia="Times New Roman" w:cs="Calibri"/>
                <w:i/>
                <w:iCs/>
                <w:color w:val="000000"/>
                <w:sz w:val="20"/>
                <w:szCs w:val="20"/>
                <w:lang w:eastAsia="cs-CZ"/>
              </w:rPr>
              <w:t>ě</w:t>
            </w:r>
            <w:r w:rsidRPr="00CE602D">
              <w:rPr>
                <w:rFonts w:eastAsia="Times New Roman" w:cs="Calibri"/>
                <w:i/>
                <w:iCs/>
                <w:color w:val="000000"/>
                <w:sz w:val="20"/>
                <w:szCs w:val="20"/>
                <w:lang w:eastAsia="cs-CZ"/>
              </w:rPr>
              <w:t xml:space="preserve"> klesající trend.</w:t>
            </w:r>
          </w:p>
        </w:tc>
      </w:tr>
      <w:tr w:rsidR="000C57C8" w:rsidRPr="00CE602D" w14:paraId="6F71FB0B" w14:textId="77777777" w:rsidTr="000C57C8">
        <w:trPr>
          <w:cantSplit/>
          <w:trHeight w:val="1355"/>
        </w:trPr>
        <w:tc>
          <w:tcPr>
            <w:tcW w:w="1884" w:type="pct"/>
            <w:vMerge w:val="restart"/>
            <w:tcBorders>
              <w:top w:val="nil"/>
              <w:left w:val="single" w:sz="8" w:space="0" w:color="auto"/>
              <w:bottom w:val="single" w:sz="8" w:space="0" w:color="auto"/>
              <w:right w:val="single" w:sz="8" w:space="0" w:color="auto"/>
            </w:tcBorders>
            <w:shd w:val="clear" w:color="auto" w:fill="auto"/>
            <w:vAlign w:val="center"/>
            <w:hideMark/>
          </w:tcPr>
          <w:p w14:paraId="55EC6BD6" w14:textId="4DC9B65F" w:rsidR="000C57C8" w:rsidRPr="00CE602D" w:rsidRDefault="000C57C8" w:rsidP="0069612D">
            <w:pPr>
              <w:rPr>
                <w:rFonts w:eastAsia="Times New Roman" w:cs="Calibri"/>
                <w:color w:val="000000"/>
                <w:sz w:val="20"/>
                <w:szCs w:val="20"/>
                <w:lang w:eastAsia="cs-CZ"/>
              </w:rPr>
            </w:pPr>
            <w:r w:rsidRPr="00CE602D">
              <w:rPr>
                <w:rFonts w:eastAsia="Times New Roman" w:cs="Calibri"/>
                <w:color w:val="000000"/>
                <w:sz w:val="20"/>
                <w:szCs w:val="20"/>
                <w:lang w:eastAsia="cs-CZ"/>
              </w:rPr>
              <w:t>3.1 Zlepšení dopravní dostupnosti města Zlína prostřednictvím silniční i železniční dopravy</w:t>
            </w:r>
            <w:r w:rsidRPr="00CE602D">
              <w:rPr>
                <w:rFonts w:eastAsia="Times New Roman" w:cs="Calibri"/>
                <w:color w:val="000000"/>
                <w:sz w:val="20"/>
                <w:szCs w:val="20"/>
                <w:lang w:eastAsia="cs-CZ"/>
              </w:rPr>
              <w:br/>
              <w:t>3.2 Rozvoj nízkouhlíkových, chytrých dopravních systémů šetrných k</w:t>
            </w:r>
            <w:r w:rsidR="0069612D">
              <w:rPr>
                <w:rFonts w:eastAsia="Times New Roman" w:cs="Calibri"/>
                <w:color w:val="000000"/>
                <w:sz w:val="20"/>
                <w:szCs w:val="20"/>
                <w:lang w:eastAsia="cs-CZ"/>
              </w:rPr>
              <w:t> </w:t>
            </w:r>
            <w:r w:rsidRPr="00CE602D">
              <w:rPr>
                <w:rFonts w:eastAsia="Times New Roman" w:cs="Calibri"/>
                <w:color w:val="000000"/>
                <w:sz w:val="20"/>
                <w:szCs w:val="20"/>
                <w:lang w:eastAsia="cs-CZ"/>
              </w:rPr>
              <w:t>životnímu prostředí a podpora udržitelné městské mobility</w:t>
            </w:r>
            <w:r w:rsidRPr="00CE602D">
              <w:rPr>
                <w:rFonts w:eastAsia="Times New Roman" w:cs="Calibri"/>
                <w:color w:val="000000"/>
                <w:sz w:val="20"/>
                <w:szCs w:val="20"/>
                <w:lang w:eastAsia="cs-CZ"/>
              </w:rPr>
              <w:br/>
              <w:t>3.3 Zachování postavení města Zlína jako konkurenceschopného centra Zlínského kraje a přirozeného jádra více než 100tisícové městské aglomerace prostřednictvím nabídky vysoké kvality života v oblasti technické infrastruktury</w:t>
            </w:r>
          </w:p>
        </w:tc>
        <w:tc>
          <w:tcPr>
            <w:tcW w:w="1487" w:type="pct"/>
            <w:tcBorders>
              <w:top w:val="nil"/>
              <w:left w:val="nil"/>
              <w:bottom w:val="single" w:sz="8" w:space="0" w:color="auto"/>
              <w:right w:val="single" w:sz="8" w:space="0" w:color="auto"/>
            </w:tcBorders>
            <w:shd w:val="clear" w:color="000000" w:fill="FCE4D6"/>
            <w:vAlign w:val="center"/>
            <w:hideMark/>
          </w:tcPr>
          <w:p w14:paraId="69F1E062"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 xml:space="preserve">Počet vozidel projíždějících centrem města Zlína </w:t>
            </w:r>
          </w:p>
        </w:tc>
        <w:tc>
          <w:tcPr>
            <w:tcW w:w="1629" w:type="pct"/>
            <w:tcBorders>
              <w:top w:val="nil"/>
              <w:left w:val="nil"/>
              <w:bottom w:val="single" w:sz="8" w:space="0" w:color="auto"/>
              <w:right w:val="single" w:sz="8" w:space="0" w:color="auto"/>
            </w:tcBorders>
            <w:shd w:val="clear" w:color="000000" w:fill="FCE4D6"/>
            <w:vAlign w:val="center"/>
            <w:hideMark/>
          </w:tcPr>
          <w:p w14:paraId="7F3A022A" w14:textId="4FB0A5BE" w:rsidR="000C57C8" w:rsidRPr="00CE602D" w:rsidRDefault="000C57C8" w:rsidP="00BC7AD0">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V rámci sledovaného období je možné využ</w:t>
            </w:r>
            <w:r w:rsidR="00BC7AD0">
              <w:rPr>
                <w:rFonts w:eastAsia="Times New Roman" w:cs="Calibri"/>
                <w:i/>
                <w:iCs/>
                <w:color w:val="000000"/>
                <w:sz w:val="20"/>
                <w:szCs w:val="20"/>
                <w:lang w:eastAsia="cs-CZ"/>
              </w:rPr>
              <w:t>í</w:t>
            </w:r>
            <w:r w:rsidRPr="00CE602D">
              <w:rPr>
                <w:rFonts w:eastAsia="Times New Roman" w:cs="Calibri"/>
                <w:i/>
                <w:iCs/>
                <w:color w:val="000000"/>
                <w:sz w:val="20"/>
                <w:szCs w:val="20"/>
                <w:lang w:eastAsia="cs-CZ"/>
              </w:rPr>
              <w:t xml:space="preserve">t pouze data </w:t>
            </w:r>
            <w:r w:rsidR="0069612D">
              <w:rPr>
                <w:rFonts w:eastAsia="Times New Roman" w:cs="Calibri"/>
                <w:i/>
                <w:iCs/>
                <w:color w:val="000000"/>
                <w:sz w:val="20"/>
                <w:szCs w:val="20"/>
                <w:lang w:eastAsia="cs-CZ"/>
              </w:rPr>
              <w:t>z</w:t>
            </w:r>
            <w:r w:rsidRPr="00CE602D">
              <w:rPr>
                <w:rFonts w:eastAsia="Times New Roman" w:cs="Calibri"/>
                <w:i/>
                <w:iCs/>
                <w:color w:val="000000"/>
                <w:sz w:val="20"/>
                <w:szCs w:val="20"/>
                <w:lang w:eastAsia="cs-CZ"/>
              </w:rPr>
              <w:t xml:space="preserve">e sčítání dopravy z let 2010 a 2016. V tomto období je patrný nárůst vozidel projíždějících územím </w:t>
            </w:r>
            <w:r w:rsidR="00BC7AD0">
              <w:rPr>
                <w:rFonts w:eastAsia="Times New Roman" w:cs="Calibri"/>
                <w:i/>
                <w:iCs/>
                <w:color w:val="000000"/>
                <w:sz w:val="20"/>
                <w:szCs w:val="20"/>
                <w:lang w:eastAsia="cs-CZ"/>
              </w:rPr>
              <w:t>s</w:t>
            </w:r>
            <w:r w:rsidRPr="00CE602D">
              <w:rPr>
                <w:rFonts w:eastAsia="Times New Roman" w:cs="Calibri"/>
                <w:i/>
                <w:iCs/>
                <w:color w:val="000000"/>
                <w:sz w:val="20"/>
                <w:szCs w:val="20"/>
                <w:lang w:eastAsia="cs-CZ"/>
              </w:rPr>
              <w:t>tatutárního města Zlína o téměř 13 %.</w:t>
            </w:r>
          </w:p>
        </w:tc>
      </w:tr>
      <w:tr w:rsidR="000C57C8" w:rsidRPr="00CE602D" w14:paraId="4B4ECEA1" w14:textId="77777777" w:rsidTr="000C57C8">
        <w:trPr>
          <w:cantSplit/>
          <w:trHeight w:val="1355"/>
        </w:trPr>
        <w:tc>
          <w:tcPr>
            <w:tcW w:w="1884" w:type="pct"/>
            <w:vMerge/>
            <w:tcBorders>
              <w:top w:val="nil"/>
              <w:left w:val="single" w:sz="8" w:space="0" w:color="auto"/>
              <w:bottom w:val="single" w:sz="8" w:space="0" w:color="auto"/>
              <w:right w:val="single" w:sz="8" w:space="0" w:color="auto"/>
            </w:tcBorders>
            <w:vAlign w:val="center"/>
            <w:hideMark/>
          </w:tcPr>
          <w:p w14:paraId="02B8C385" w14:textId="77777777" w:rsidR="000C57C8" w:rsidRPr="00CE602D" w:rsidRDefault="000C57C8" w:rsidP="00FB7BF4">
            <w:pPr>
              <w:rPr>
                <w:rFonts w:eastAsia="Times New Roman" w:cs="Calibri"/>
                <w:color w:val="000000"/>
                <w:sz w:val="20"/>
                <w:szCs w:val="20"/>
                <w:lang w:eastAsia="cs-CZ"/>
              </w:rPr>
            </w:pPr>
          </w:p>
        </w:tc>
        <w:tc>
          <w:tcPr>
            <w:tcW w:w="1487" w:type="pct"/>
            <w:tcBorders>
              <w:top w:val="nil"/>
              <w:left w:val="nil"/>
              <w:bottom w:val="single" w:sz="8" w:space="0" w:color="auto"/>
              <w:right w:val="single" w:sz="8" w:space="0" w:color="auto"/>
            </w:tcBorders>
            <w:shd w:val="clear" w:color="000000" w:fill="FCE4D6"/>
            <w:vAlign w:val="center"/>
            <w:hideMark/>
          </w:tcPr>
          <w:p w14:paraId="053175CD"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Dělba přepravní práce (modal split)</w:t>
            </w:r>
          </w:p>
        </w:tc>
        <w:tc>
          <w:tcPr>
            <w:tcW w:w="1629" w:type="pct"/>
            <w:tcBorders>
              <w:top w:val="nil"/>
              <w:left w:val="nil"/>
              <w:bottom w:val="single" w:sz="8" w:space="0" w:color="auto"/>
              <w:right w:val="single" w:sz="8" w:space="0" w:color="auto"/>
            </w:tcBorders>
            <w:shd w:val="clear" w:color="000000" w:fill="FCE4D6"/>
            <w:vAlign w:val="center"/>
            <w:hideMark/>
          </w:tcPr>
          <w:p w14:paraId="5580DA98" w14:textId="32BF7CDF" w:rsidR="000C57C8" w:rsidRPr="00CE602D" w:rsidRDefault="000C57C8" w:rsidP="00BC7AD0">
            <w:pPr>
              <w:rPr>
                <w:rFonts w:eastAsia="Times New Roman" w:cs="Calibri"/>
                <w:i/>
                <w:iCs/>
                <w:color w:val="000000"/>
                <w:sz w:val="20"/>
                <w:szCs w:val="20"/>
                <w:lang w:eastAsia="cs-CZ"/>
              </w:rPr>
            </w:pPr>
            <w:r w:rsidRPr="007B228C">
              <w:rPr>
                <w:rFonts w:eastAsia="Times New Roman" w:cs="Calibri"/>
                <w:i/>
                <w:iCs/>
                <w:color w:val="000000"/>
                <w:sz w:val="20"/>
                <w:szCs w:val="20"/>
                <w:lang w:eastAsia="cs-CZ"/>
              </w:rPr>
              <w:t>V rámci sledovaného období je možné využ</w:t>
            </w:r>
            <w:r w:rsidR="00BC7AD0">
              <w:rPr>
                <w:rFonts w:eastAsia="Times New Roman" w:cs="Calibri"/>
                <w:i/>
                <w:iCs/>
                <w:color w:val="000000"/>
                <w:sz w:val="20"/>
                <w:szCs w:val="20"/>
                <w:lang w:eastAsia="cs-CZ"/>
              </w:rPr>
              <w:t>í</w:t>
            </w:r>
            <w:r w:rsidRPr="007B228C">
              <w:rPr>
                <w:rFonts w:eastAsia="Times New Roman" w:cs="Calibri"/>
                <w:i/>
                <w:iCs/>
                <w:color w:val="000000"/>
                <w:sz w:val="20"/>
                <w:szCs w:val="20"/>
                <w:lang w:eastAsia="cs-CZ"/>
              </w:rPr>
              <w:t>t pouze relevantní data z let 2011 (Sčítání lidu, domů a bytů) a 2015 (analytická část Generelu dopravy pro město Zlín)</w:t>
            </w:r>
            <w:r>
              <w:rPr>
                <w:rFonts w:eastAsia="Times New Roman" w:cs="Calibri"/>
                <w:i/>
                <w:iCs/>
                <w:color w:val="000000"/>
                <w:sz w:val="20"/>
                <w:szCs w:val="20"/>
                <w:lang w:eastAsia="cs-CZ"/>
              </w:rPr>
              <w:t>.</w:t>
            </w:r>
            <w:r w:rsidRPr="007B228C">
              <w:rPr>
                <w:rFonts w:eastAsia="Times New Roman" w:cs="Calibri"/>
                <w:i/>
                <w:iCs/>
                <w:color w:val="000000"/>
                <w:sz w:val="20"/>
                <w:szCs w:val="20"/>
                <w:lang w:eastAsia="cs-CZ"/>
              </w:rPr>
              <w:t xml:space="preserve"> V tomto období dochází ke zvýšení podílu individuální automobilové dopravy, a to zejména na úkor městské hromadné dopravy</w:t>
            </w:r>
            <w:r>
              <w:rPr>
                <w:rFonts w:eastAsia="Times New Roman" w:cs="Calibri"/>
                <w:i/>
                <w:iCs/>
                <w:color w:val="000000"/>
                <w:sz w:val="20"/>
                <w:szCs w:val="20"/>
                <w:lang w:eastAsia="cs-CZ"/>
              </w:rPr>
              <w:t>, i přes rozsáhlé investice v oblasti městské hromadné dopravy. Z pohledu celkového počtu přepravených osob MHD roste, podíl vzhledem k celkové dopravě v rámci dělby přepravní práce u</w:t>
            </w:r>
            <w:r w:rsidR="0069612D">
              <w:rPr>
                <w:rFonts w:eastAsia="Times New Roman" w:cs="Calibri"/>
                <w:i/>
                <w:iCs/>
                <w:color w:val="000000"/>
                <w:sz w:val="20"/>
                <w:szCs w:val="20"/>
                <w:lang w:eastAsia="cs-CZ"/>
              </w:rPr>
              <w:t> </w:t>
            </w:r>
            <w:r>
              <w:rPr>
                <w:rFonts w:eastAsia="Times New Roman" w:cs="Calibri"/>
                <w:i/>
                <w:iCs/>
                <w:color w:val="000000"/>
                <w:sz w:val="20"/>
                <w:szCs w:val="20"/>
                <w:lang w:eastAsia="cs-CZ"/>
              </w:rPr>
              <w:t>MHD klesá.</w:t>
            </w:r>
          </w:p>
        </w:tc>
      </w:tr>
      <w:tr w:rsidR="000C57C8" w:rsidRPr="00CE602D" w14:paraId="4AD74B40" w14:textId="77777777" w:rsidTr="0039045B">
        <w:trPr>
          <w:cantSplit/>
          <w:trHeight w:val="1086"/>
        </w:trPr>
        <w:tc>
          <w:tcPr>
            <w:tcW w:w="1884" w:type="pct"/>
            <w:vMerge/>
            <w:tcBorders>
              <w:top w:val="nil"/>
              <w:left w:val="single" w:sz="8" w:space="0" w:color="auto"/>
              <w:bottom w:val="single" w:sz="8" w:space="0" w:color="auto"/>
              <w:right w:val="single" w:sz="8" w:space="0" w:color="auto"/>
            </w:tcBorders>
            <w:vAlign w:val="center"/>
            <w:hideMark/>
          </w:tcPr>
          <w:p w14:paraId="2959C3BE" w14:textId="77777777" w:rsidR="000C57C8" w:rsidRPr="00CE602D" w:rsidRDefault="000C57C8" w:rsidP="00FB7BF4">
            <w:pPr>
              <w:rPr>
                <w:rFonts w:eastAsia="Times New Roman" w:cs="Calibri"/>
                <w:color w:val="000000"/>
                <w:sz w:val="20"/>
                <w:szCs w:val="20"/>
                <w:lang w:eastAsia="cs-CZ"/>
              </w:rPr>
            </w:pPr>
          </w:p>
        </w:tc>
        <w:tc>
          <w:tcPr>
            <w:tcW w:w="1487" w:type="pct"/>
            <w:tcBorders>
              <w:top w:val="nil"/>
              <w:left w:val="nil"/>
              <w:bottom w:val="single" w:sz="8" w:space="0" w:color="auto"/>
              <w:right w:val="single" w:sz="8" w:space="0" w:color="auto"/>
            </w:tcBorders>
            <w:shd w:val="clear" w:color="auto" w:fill="FBE4D5" w:themeFill="accent2" w:themeFillTint="33"/>
            <w:vAlign w:val="center"/>
            <w:hideMark/>
          </w:tcPr>
          <w:p w14:paraId="73B70DE9"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Počet cestujících městskou hromadnou dopravou města Zlína</w:t>
            </w:r>
          </w:p>
        </w:tc>
        <w:tc>
          <w:tcPr>
            <w:tcW w:w="1629" w:type="pct"/>
            <w:tcBorders>
              <w:top w:val="nil"/>
              <w:left w:val="nil"/>
              <w:bottom w:val="single" w:sz="8" w:space="0" w:color="auto"/>
              <w:right w:val="single" w:sz="8" w:space="0" w:color="auto"/>
            </w:tcBorders>
            <w:shd w:val="clear" w:color="auto" w:fill="FBE4D5" w:themeFill="accent2" w:themeFillTint="33"/>
            <w:vAlign w:val="center"/>
            <w:hideMark/>
          </w:tcPr>
          <w:p w14:paraId="509DA532"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Ve sledované období dochází k nárůstu počtu osob přepravených městskou hromadnou dopravou, roste také podíl dlouhodobého časového jízdného.</w:t>
            </w:r>
          </w:p>
        </w:tc>
      </w:tr>
      <w:tr w:rsidR="000C57C8" w:rsidRPr="00CE602D" w14:paraId="57EF8CBC" w14:textId="77777777" w:rsidTr="000C57C8">
        <w:trPr>
          <w:cantSplit/>
          <w:trHeight w:val="1355"/>
        </w:trPr>
        <w:tc>
          <w:tcPr>
            <w:tcW w:w="1884" w:type="pct"/>
            <w:vMerge w:val="restart"/>
            <w:tcBorders>
              <w:top w:val="nil"/>
              <w:left w:val="single" w:sz="8" w:space="0" w:color="auto"/>
              <w:bottom w:val="single" w:sz="8" w:space="0" w:color="auto"/>
              <w:right w:val="single" w:sz="8" w:space="0" w:color="auto"/>
            </w:tcBorders>
            <w:shd w:val="clear" w:color="auto" w:fill="auto"/>
            <w:vAlign w:val="center"/>
            <w:hideMark/>
          </w:tcPr>
          <w:p w14:paraId="406EB928" w14:textId="17B1BE8D" w:rsidR="000C57C8" w:rsidRPr="00CE602D" w:rsidRDefault="000C57C8" w:rsidP="0069612D">
            <w:pPr>
              <w:rPr>
                <w:rFonts w:eastAsia="Times New Roman" w:cs="Calibri"/>
                <w:color w:val="000000"/>
                <w:sz w:val="20"/>
                <w:szCs w:val="20"/>
                <w:lang w:eastAsia="cs-CZ"/>
              </w:rPr>
            </w:pPr>
            <w:r w:rsidRPr="00CE602D">
              <w:rPr>
                <w:rFonts w:eastAsia="Times New Roman" w:cs="Calibri"/>
                <w:color w:val="000000"/>
                <w:sz w:val="20"/>
                <w:szCs w:val="20"/>
                <w:lang w:eastAsia="cs-CZ"/>
              </w:rPr>
              <w:t>4.1 Zachování postavení města Zlína jako konkurenceschopného centra Zlínského kraje a přirozeného jádra více než 100tisícové městské aglomerace prostřednictvím nabídky vysoké kvality života v oblasti životního prostředí</w:t>
            </w:r>
            <w:r w:rsidRPr="00CE602D">
              <w:rPr>
                <w:rFonts w:eastAsia="Times New Roman" w:cs="Calibri"/>
                <w:color w:val="000000"/>
                <w:sz w:val="20"/>
                <w:szCs w:val="20"/>
                <w:lang w:eastAsia="cs-CZ"/>
              </w:rPr>
              <w:br/>
              <w:t>4.2 Regenerace východní části Baťova areálu jako součásti rozšířeného centra města Zlína</w:t>
            </w:r>
          </w:p>
        </w:tc>
        <w:tc>
          <w:tcPr>
            <w:tcW w:w="1487" w:type="pct"/>
            <w:tcBorders>
              <w:top w:val="nil"/>
              <w:left w:val="nil"/>
              <w:bottom w:val="single" w:sz="8" w:space="0" w:color="auto"/>
              <w:right w:val="single" w:sz="8" w:space="0" w:color="auto"/>
            </w:tcBorders>
            <w:shd w:val="clear" w:color="000000" w:fill="E2EFDA"/>
            <w:vAlign w:val="center"/>
            <w:hideMark/>
          </w:tcPr>
          <w:p w14:paraId="72C20460" w14:textId="262AC5DD" w:rsidR="000C57C8" w:rsidRPr="00CE602D" w:rsidRDefault="000C57C8" w:rsidP="0069612D">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 xml:space="preserve">Podíl veřejné zeleně na rozloze města (zdroj statutární město Zlín); alternativně </w:t>
            </w:r>
            <w:r w:rsidR="0069612D">
              <w:rPr>
                <w:rFonts w:eastAsia="Times New Roman" w:cs="Calibri"/>
                <w:i/>
                <w:iCs/>
                <w:color w:val="000000"/>
                <w:sz w:val="20"/>
                <w:szCs w:val="20"/>
                <w:lang w:eastAsia="cs-CZ"/>
              </w:rPr>
              <w:t>p</w:t>
            </w:r>
            <w:r w:rsidRPr="00CE602D">
              <w:rPr>
                <w:rFonts w:eastAsia="Times New Roman" w:cs="Calibri"/>
                <w:i/>
                <w:iCs/>
                <w:color w:val="000000"/>
                <w:sz w:val="20"/>
                <w:szCs w:val="20"/>
                <w:lang w:eastAsia="cs-CZ"/>
              </w:rPr>
              <w:t xml:space="preserve">odíl lesní půdy na celkové rozloze města </w:t>
            </w:r>
          </w:p>
        </w:tc>
        <w:tc>
          <w:tcPr>
            <w:tcW w:w="1629" w:type="pct"/>
            <w:tcBorders>
              <w:top w:val="nil"/>
              <w:left w:val="nil"/>
              <w:bottom w:val="single" w:sz="8" w:space="0" w:color="auto"/>
              <w:right w:val="single" w:sz="8" w:space="0" w:color="auto"/>
            </w:tcBorders>
            <w:shd w:val="clear" w:color="000000" w:fill="E2EFDA"/>
            <w:vAlign w:val="center"/>
            <w:hideMark/>
          </w:tcPr>
          <w:p w14:paraId="182ED6B5" w14:textId="6FBDCCEF"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Podíl lesní půdy na celkové rozloze města se mezi lety 2009 a 2019 změnil je</w:t>
            </w:r>
            <w:r w:rsidR="0069612D">
              <w:rPr>
                <w:rFonts w:eastAsia="Times New Roman" w:cs="Calibri"/>
                <w:i/>
                <w:iCs/>
                <w:color w:val="000000"/>
                <w:sz w:val="20"/>
                <w:szCs w:val="20"/>
                <w:lang w:eastAsia="cs-CZ"/>
              </w:rPr>
              <w:t>n</w:t>
            </w:r>
            <w:r w:rsidRPr="00CE602D">
              <w:rPr>
                <w:rFonts w:eastAsia="Times New Roman" w:cs="Calibri"/>
                <w:i/>
                <w:iCs/>
                <w:color w:val="000000"/>
                <w:sz w:val="20"/>
                <w:szCs w:val="20"/>
                <w:lang w:eastAsia="cs-CZ"/>
              </w:rPr>
              <w:t xml:space="preserve"> mírně, a to v pozitivním přírůstku o 0,36 % (absolutně se jedná o nárůst o t</w:t>
            </w:r>
            <w:r w:rsidR="005668E1">
              <w:rPr>
                <w:rFonts w:eastAsia="Times New Roman" w:cs="Calibri"/>
                <w:i/>
                <w:iCs/>
                <w:color w:val="000000"/>
                <w:sz w:val="20"/>
                <w:szCs w:val="20"/>
                <w:lang w:eastAsia="cs-CZ"/>
              </w:rPr>
              <w:t>éměř 14 ha lesní půdy na území s</w:t>
            </w:r>
            <w:r w:rsidRPr="00CE602D">
              <w:rPr>
                <w:rFonts w:eastAsia="Times New Roman" w:cs="Calibri"/>
                <w:i/>
                <w:iCs/>
                <w:color w:val="000000"/>
                <w:sz w:val="20"/>
                <w:szCs w:val="20"/>
                <w:lang w:eastAsia="cs-CZ"/>
              </w:rPr>
              <w:t>tatutárního města Zlín</w:t>
            </w:r>
            <w:r w:rsidR="0069612D">
              <w:rPr>
                <w:rFonts w:eastAsia="Times New Roman" w:cs="Calibri"/>
                <w:i/>
                <w:iCs/>
                <w:color w:val="000000"/>
                <w:sz w:val="20"/>
                <w:szCs w:val="20"/>
                <w:lang w:eastAsia="cs-CZ"/>
              </w:rPr>
              <w:t>)</w:t>
            </w:r>
            <w:r w:rsidRPr="00CE602D">
              <w:rPr>
                <w:rFonts w:eastAsia="Times New Roman" w:cs="Calibri"/>
                <w:i/>
                <w:iCs/>
                <w:color w:val="000000"/>
                <w:sz w:val="20"/>
                <w:szCs w:val="20"/>
                <w:lang w:eastAsia="cs-CZ"/>
              </w:rPr>
              <w:t>.</w:t>
            </w:r>
          </w:p>
        </w:tc>
      </w:tr>
      <w:tr w:rsidR="000C57C8" w:rsidRPr="00CE602D" w14:paraId="0D8622BB" w14:textId="77777777" w:rsidTr="000C57C8">
        <w:trPr>
          <w:cantSplit/>
          <w:trHeight w:val="1355"/>
        </w:trPr>
        <w:tc>
          <w:tcPr>
            <w:tcW w:w="1884" w:type="pct"/>
            <w:vMerge/>
            <w:tcBorders>
              <w:top w:val="nil"/>
              <w:left w:val="single" w:sz="8" w:space="0" w:color="auto"/>
              <w:bottom w:val="single" w:sz="8" w:space="0" w:color="auto"/>
              <w:right w:val="single" w:sz="8" w:space="0" w:color="auto"/>
            </w:tcBorders>
            <w:vAlign w:val="center"/>
            <w:hideMark/>
          </w:tcPr>
          <w:p w14:paraId="1BF6DDDE" w14:textId="77777777" w:rsidR="000C57C8" w:rsidRPr="00CE602D" w:rsidRDefault="000C57C8" w:rsidP="00FB7BF4">
            <w:pPr>
              <w:rPr>
                <w:rFonts w:eastAsia="Times New Roman" w:cs="Calibri"/>
                <w:color w:val="000000"/>
                <w:sz w:val="20"/>
                <w:szCs w:val="20"/>
                <w:lang w:eastAsia="cs-CZ"/>
              </w:rPr>
            </w:pPr>
          </w:p>
        </w:tc>
        <w:tc>
          <w:tcPr>
            <w:tcW w:w="1487" w:type="pct"/>
            <w:tcBorders>
              <w:top w:val="nil"/>
              <w:left w:val="nil"/>
              <w:bottom w:val="nil"/>
              <w:right w:val="single" w:sz="8" w:space="0" w:color="auto"/>
            </w:tcBorders>
            <w:shd w:val="clear" w:color="000000" w:fill="E2EFDA"/>
            <w:vAlign w:val="center"/>
            <w:hideMark/>
          </w:tcPr>
          <w:p w14:paraId="68AA51C2"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 xml:space="preserve">Podíl množství skládkovaného odpadu na celkovém množství odpadů města Zlína </w:t>
            </w:r>
          </w:p>
        </w:tc>
        <w:tc>
          <w:tcPr>
            <w:tcW w:w="1629" w:type="pct"/>
            <w:tcBorders>
              <w:top w:val="nil"/>
              <w:left w:val="nil"/>
              <w:bottom w:val="nil"/>
              <w:right w:val="single" w:sz="8" w:space="0" w:color="auto"/>
            </w:tcBorders>
            <w:shd w:val="clear" w:color="000000" w:fill="E2EFDA"/>
            <w:vAlign w:val="center"/>
            <w:hideMark/>
          </w:tcPr>
          <w:p w14:paraId="690F5D96" w14:textId="25057501" w:rsidR="000C57C8" w:rsidRPr="00CE602D" w:rsidRDefault="000C57C8" w:rsidP="0069612D">
            <w:pPr>
              <w:rPr>
                <w:rFonts w:eastAsia="Times New Roman" w:cs="Calibri"/>
                <w:i/>
                <w:iCs/>
                <w:color w:val="000000"/>
                <w:sz w:val="20"/>
                <w:szCs w:val="20"/>
                <w:lang w:eastAsia="cs-CZ"/>
              </w:rPr>
            </w:pPr>
            <w:r w:rsidRPr="00EE1DD4">
              <w:rPr>
                <w:rFonts w:eastAsia="Times New Roman" w:cs="Calibri"/>
                <w:i/>
                <w:iCs/>
                <w:color w:val="000000"/>
                <w:sz w:val="20"/>
                <w:szCs w:val="20"/>
                <w:lang w:eastAsia="cs-CZ"/>
              </w:rPr>
              <w:t>Vývoj hodnot ukazatele je z</w:t>
            </w:r>
            <w:r w:rsidR="0069612D">
              <w:rPr>
                <w:rFonts w:eastAsia="Times New Roman" w:cs="Calibri"/>
                <w:i/>
                <w:iCs/>
                <w:color w:val="000000"/>
                <w:sz w:val="20"/>
                <w:szCs w:val="20"/>
                <w:lang w:eastAsia="cs-CZ"/>
              </w:rPr>
              <w:t> </w:t>
            </w:r>
            <w:r w:rsidRPr="00EE1DD4">
              <w:rPr>
                <w:rFonts w:eastAsia="Times New Roman" w:cs="Calibri"/>
                <w:i/>
                <w:iCs/>
                <w:color w:val="000000"/>
                <w:sz w:val="20"/>
                <w:szCs w:val="20"/>
                <w:lang w:eastAsia="cs-CZ"/>
              </w:rPr>
              <w:t>dlouhodobého hlediska vzhledem k hodnotě z roku 2013 (61,8 %) pozitivní, mezi lety 2017 a 2019 však došlo k nárůstu této hodnoty z 56,4 % na 60,4 %.</w:t>
            </w:r>
          </w:p>
        </w:tc>
      </w:tr>
      <w:tr w:rsidR="000C57C8" w:rsidRPr="00CE602D" w14:paraId="4AFEE688" w14:textId="77777777" w:rsidTr="000C57C8">
        <w:trPr>
          <w:cantSplit/>
          <w:trHeight w:val="697"/>
        </w:trPr>
        <w:tc>
          <w:tcPr>
            <w:tcW w:w="1884" w:type="pct"/>
            <w:vMerge/>
            <w:tcBorders>
              <w:top w:val="nil"/>
              <w:left w:val="single" w:sz="8" w:space="0" w:color="auto"/>
              <w:bottom w:val="single" w:sz="8" w:space="0" w:color="auto"/>
              <w:right w:val="single" w:sz="8" w:space="0" w:color="auto"/>
            </w:tcBorders>
            <w:vAlign w:val="center"/>
            <w:hideMark/>
          </w:tcPr>
          <w:p w14:paraId="6DEF0E3D" w14:textId="77777777" w:rsidR="000C57C8" w:rsidRPr="00CE602D" w:rsidRDefault="000C57C8" w:rsidP="00FB7BF4">
            <w:pPr>
              <w:rPr>
                <w:rFonts w:eastAsia="Times New Roman" w:cs="Calibri"/>
                <w:color w:val="000000"/>
                <w:sz w:val="20"/>
                <w:szCs w:val="20"/>
                <w:lang w:eastAsia="cs-CZ"/>
              </w:rPr>
            </w:pPr>
          </w:p>
        </w:tc>
        <w:tc>
          <w:tcPr>
            <w:tcW w:w="1487" w:type="pct"/>
            <w:tcBorders>
              <w:top w:val="single" w:sz="8" w:space="0" w:color="auto"/>
              <w:left w:val="nil"/>
              <w:bottom w:val="single" w:sz="8" w:space="0" w:color="auto"/>
              <w:right w:val="single" w:sz="8" w:space="0" w:color="auto"/>
            </w:tcBorders>
            <w:shd w:val="clear" w:color="auto" w:fill="E2EFD9" w:themeFill="accent6" w:themeFillTint="33"/>
            <w:vAlign w:val="center"/>
            <w:hideMark/>
          </w:tcPr>
          <w:p w14:paraId="07021DBE" w14:textId="77777777" w:rsidR="000C57C8" w:rsidRPr="00CE602D" w:rsidRDefault="000C57C8" w:rsidP="00FB7BF4">
            <w:pPr>
              <w:rPr>
                <w:rFonts w:eastAsia="Times New Roman" w:cs="Calibri"/>
                <w:i/>
                <w:iCs/>
                <w:color w:val="000000"/>
                <w:sz w:val="20"/>
                <w:szCs w:val="20"/>
                <w:lang w:eastAsia="cs-CZ"/>
              </w:rPr>
            </w:pPr>
            <w:r w:rsidRPr="00CE602D">
              <w:rPr>
                <w:rFonts w:eastAsia="Times New Roman" w:cs="Calibri"/>
                <w:i/>
                <w:iCs/>
                <w:color w:val="000000"/>
                <w:sz w:val="20"/>
                <w:szCs w:val="20"/>
                <w:lang w:eastAsia="cs-CZ"/>
              </w:rPr>
              <w:t>Rozloha regenerovaných ploch</w:t>
            </w:r>
          </w:p>
        </w:tc>
        <w:tc>
          <w:tcPr>
            <w:tcW w:w="1629" w:type="pct"/>
            <w:tcBorders>
              <w:top w:val="single" w:sz="8" w:space="0" w:color="auto"/>
              <w:left w:val="nil"/>
              <w:bottom w:val="single" w:sz="8" w:space="0" w:color="auto"/>
              <w:right w:val="single" w:sz="8" w:space="0" w:color="auto"/>
            </w:tcBorders>
            <w:shd w:val="clear" w:color="auto" w:fill="E2EFD9" w:themeFill="accent6" w:themeFillTint="33"/>
            <w:vAlign w:val="center"/>
            <w:hideMark/>
          </w:tcPr>
          <w:p w14:paraId="773BC4EE" w14:textId="77777777" w:rsidR="000C57C8" w:rsidRPr="00CE602D" w:rsidRDefault="000C57C8" w:rsidP="00FB7BF4">
            <w:pPr>
              <w:rPr>
                <w:rFonts w:eastAsia="Times New Roman" w:cs="Calibri"/>
                <w:i/>
                <w:iCs/>
                <w:color w:val="000000"/>
                <w:sz w:val="20"/>
                <w:szCs w:val="20"/>
                <w:lang w:eastAsia="cs-CZ"/>
              </w:rPr>
            </w:pPr>
            <w:r>
              <w:rPr>
                <w:rFonts w:eastAsia="Times New Roman" w:cs="Calibri"/>
                <w:i/>
                <w:iCs/>
                <w:color w:val="000000"/>
                <w:sz w:val="20"/>
                <w:szCs w:val="20"/>
                <w:lang w:eastAsia="cs-CZ"/>
              </w:rPr>
              <w:t>Revitalizace ploch již proběhla ve velké části východní části Baťova areálu.</w:t>
            </w:r>
          </w:p>
        </w:tc>
      </w:tr>
    </w:tbl>
    <w:p w14:paraId="2FDEC3DA" w14:textId="6243E3E6" w:rsidR="000C57C8" w:rsidRPr="0069612D" w:rsidRDefault="000C57C8" w:rsidP="000C57C8">
      <w:pPr>
        <w:pStyle w:val="Zdroj"/>
        <w:spacing w:before="0" w:after="240"/>
        <w:rPr>
          <w:sz w:val="20"/>
          <w:szCs w:val="20"/>
        </w:rPr>
      </w:pPr>
      <w:r w:rsidRPr="0069612D">
        <w:rPr>
          <w:sz w:val="20"/>
          <w:szCs w:val="20"/>
        </w:rPr>
        <w:t>Pozn.: V rámci tematické oblasti TO5 nebyly stanoveny specifické cíle ani kontextové ukazatele. V tabulce jsou zelenou barvou označeny ukazatele s trend</w:t>
      </w:r>
      <w:r w:rsidR="0069612D">
        <w:rPr>
          <w:sz w:val="20"/>
          <w:szCs w:val="20"/>
        </w:rPr>
        <w:t>em</w:t>
      </w:r>
      <w:r w:rsidRPr="0069612D">
        <w:rPr>
          <w:sz w:val="20"/>
          <w:szCs w:val="20"/>
        </w:rPr>
        <w:t xml:space="preserve"> vyvíjejícím se pozitivně vzhledem k souvisejícím cílům, červeně naopak trendy s negativním vývojem vzhledem k cílům strategie rozvoje.</w:t>
      </w:r>
    </w:p>
    <w:p w14:paraId="100C50E0" w14:textId="4F8F90DB" w:rsidR="000C57C8" w:rsidRDefault="000C57C8" w:rsidP="000C57C8">
      <w:r>
        <w:t>V rámci strategického dokumentu nej</w:t>
      </w:r>
      <w:r w:rsidR="0069612D">
        <w:t>s</w:t>
      </w:r>
      <w:r>
        <w:t>ou pro uvedené cíle vymezeny dopadové indikátory, chybí tak jednoznačný kvantitativní popis stavu, který lze považovat za splnění navržených cílů. Tato absence indikátorů znemožňuje kvantitativní vyhodnocení naplnění cílů strategie rozvoje.</w:t>
      </w:r>
    </w:p>
    <w:p w14:paraId="43874A36" w14:textId="301CB3C3" w:rsidR="000C57C8" w:rsidRDefault="000C57C8" w:rsidP="000C57C8">
      <w:r>
        <w:t>Pro účely hodnocení byla zvolena kvalitativní metoda, kdy je ke každému opatření identifikován přehled aktivit v území, které svou podstatou přispívají k naplnění vymezených cílů. Z provedené kvalitativní analýzy lze konstatovat, že v rámci všech specifických cílů a opatření došlo v období platnosti dokumentu k jeho průběžnému naplňování, tzn., že byly realizovány aktivity, které přispěly k</w:t>
      </w:r>
      <w:r w:rsidR="00FB2A81">
        <w:t> </w:t>
      </w:r>
      <w:r>
        <w:t>řešení jednotlivých problémových okruhů.</w:t>
      </w:r>
    </w:p>
    <w:p w14:paraId="600E07FA" w14:textId="77777777" w:rsidR="00E01070" w:rsidRDefault="000C57C8" w:rsidP="00E01070">
      <w:pPr>
        <w:pStyle w:val="Nadpis2"/>
      </w:pPr>
      <w:r>
        <w:br w:type="page"/>
      </w:r>
      <w:bookmarkStart w:id="1104" w:name="_Toc53474265"/>
      <w:bookmarkStart w:id="1105" w:name="_Toc77074667"/>
      <w:r w:rsidR="00E01070">
        <w:t>Hlavní trendy a prognózy dalšího vývoje</w:t>
      </w:r>
      <w:bookmarkEnd w:id="1104"/>
      <w:bookmarkEnd w:id="1105"/>
      <w:r w:rsidR="00E01070">
        <w:t xml:space="preserve"> </w:t>
      </w:r>
    </w:p>
    <w:p w14:paraId="1554F031" w14:textId="77777777" w:rsidR="00E01070" w:rsidRDefault="00E01070" w:rsidP="00E01070">
      <w:pPr>
        <w:pStyle w:val="Nadpis3"/>
        <w:ind w:left="720"/>
      </w:pPr>
      <w:bookmarkStart w:id="1106" w:name="_Toc50389148"/>
      <w:bookmarkStart w:id="1107" w:name="_Toc53474266"/>
      <w:bookmarkStart w:id="1108" w:name="_Toc77074668"/>
      <w:r>
        <w:t>Shrnutí hlavních identifikovaných trendů</w:t>
      </w:r>
      <w:bookmarkEnd w:id="1106"/>
      <w:bookmarkEnd w:id="1107"/>
      <w:bookmarkEnd w:id="1108"/>
    </w:p>
    <w:p w14:paraId="768F50A1" w14:textId="77777777" w:rsidR="00E01070" w:rsidRPr="008468AB" w:rsidRDefault="00E01070" w:rsidP="00E01070">
      <w:r w:rsidRPr="008468AB">
        <w:t>Na základě publikace Globální megatrendy</w:t>
      </w:r>
      <w:r>
        <w:rPr>
          <w:rStyle w:val="Znakapoznpodarou"/>
        </w:rPr>
        <w:footnoteReference w:id="121"/>
      </w:r>
      <w:r w:rsidRPr="008468AB">
        <w:t xml:space="preserve"> jsou vybrány trendy, které mají bezprostředn</w:t>
      </w:r>
      <w:r>
        <w:t>í vliv na budoucnost města Zlín:</w:t>
      </w:r>
    </w:p>
    <w:p w14:paraId="73151F9B" w14:textId="77777777" w:rsidR="00E01070" w:rsidRDefault="00E01070" w:rsidP="00E01070">
      <w:pPr>
        <w:rPr>
          <w:b/>
          <w:bCs/>
          <w:highlight w:val="yellow"/>
        </w:rPr>
      </w:pPr>
    </w:p>
    <w:tbl>
      <w:tblPr>
        <w:tblStyle w:val="Mkatabulky"/>
        <w:tblW w:w="0" w:type="auto"/>
        <w:tblLook w:val="04A0" w:firstRow="1" w:lastRow="0" w:firstColumn="1" w:lastColumn="0" w:noHBand="0" w:noVBand="1"/>
      </w:tblPr>
      <w:tblGrid>
        <w:gridCol w:w="9062"/>
      </w:tblGrid>
      <w:tr w:rsidR="00E01070" w14:paraId="68C605B8" w14:textId="77777777" w:rsidTr="00FB7BF4">
        <w:tc>
          <w:tcPr>
            <w:tcW w:w="9062" w:type="dxa"/>
            <w:shd w:val="clear" w:color="auto" w:fill="2F5496" w:themeFill="accent5" w:themeFillShade="BF"/>
          </w:tcPr>
          <w:p w14:paraId="0C6A658A" w14:textId="77777777" w:rsidR="00E01070" w:rsidRPr="00926364" w:rsidRDefault="00E01070" w:rsidP="00FB7BF4">
            <w:r w:rsidRPr="00B3487C">
              <w:rPr>
                <w:b/>
                <w:bCs/>
                <w:color w:val="FFFFFF" w:themeColor="background1"/>
              </w:rPr>
              <w:t>Globální stárnutí</w:t>
            </w:r>
            <w:r w:rsidRPr="00B3487C">
              <w:rPr>
                <w:color w:val="FFFFFF" w:themeColor="background1"/>
              </w:rPr>
              <w:t xml:space="preserve"> </w:t>
            </w:r>
          </w:p>
        </w:tc>
      </w:tr>
      <w:tr w:rsidR="00E01070" w14:paraId="2C2B302A" w14:textId="77777777" w:rsidTr="00FB7BF4">
        <w:tc>
          <w:tcPr>
            <w:tcW w:w="9062" w:type="dxa"/>
            <w:shd w:val="clear" w:color="auto" w:fill="8EAADB" w:themeFill="accent5" w:themeFillTint="99"/>
          </w:tcPr>
          <w:p w14:paraId="0FD65297" w14:textId="1A3E400F" w:rsidR="00E01070" w:rsidRPr="00926364" w:rsidRDefault="00E01070" w:rsidP="00BC7AD0">
            <w:pPr>
              <w:rPr>
                <w:bCs/>
              </w:rPr>
            </w:pPr>
            <w:r w:rsidRPr="00926364">
              <w:rPr>
                <w:bCs/>
              </w:rPr>
              <w:t>S rostoucí průměrnou délkou života roste i průměrný věk světové populace a většina světových regionů konverguje ke stárnoucí společnosti. Divergentní oblasti jsou jedním ze zdrojů světových migračních proudů. Tento trend povede k významným společenským a ekonomickým změnám v</w:t>
            </w:r>
            <w:r>
              <w:rPr>
                <w:bCs/>
              </w:rPr>
              <w:t> </w:t>
            </w:r>
            <w:r w:rsidRPr="00926364">
              <w:rPr>
                <w:bCs/>
              </w:rPr>
              <w:t>rámci jednotlivých kultur. Bude se měnit např. celospolečenské vnímání stáří. V důsledku působení globálního stárnutí se bude muset restrukturalizovat funkce veřejných, zejména důchodových systémů.</w:t>
            </w:r>
          </w:p>
        </w:tc>
      </w:tr>
      <w:tr w:rsidR="00E01070" w14:paraId="28F59097" w14:textId="77777777" w:rsidTr="00FB7BF4">
        <w:tc>
          <w:tcPr>
            <w:tcW w:w="9062" w:type="dxa"/>
            <w:shd w:val="clear" w:color="auto" w:fill="D9E2F3" w:themeFill="accent5" w:themeFillTint="33"/>
          </w:tcPr>
          <w:p w14:paraId="0FE395C6" w14:textId="77777777" w:rsidR="00E01070" w:rsidRDefault="00E01070" w:rsidP="00FB7BF4">
            <w:pPr>
              <w:rPr>
                <w:b/>
                <w:bCs/>
                <w:highlight w:val="yellow"/>
              </w:rPr>
            </w:pPr>
            <w:r>
              <w:t xml:space="preserve">Jak je vidět v datech v následující kapitole, i obyvatelé města Zlína stárnou. Prognóza do roku 2040 ukazuje nárůst počtu obyvatel ve věku 65+ a u ostatních věkových kategorií je předpokládán pokles obyvatel.  Důvodem je nízká porodnost (od roku 2007 přirozený přírůstek kolísá) a také odliv obyvatel mimo město. </w:t>
            </w:r>
            <w:r w:rsidRPr="0070641F">
              <w:t>Ekonomické důsledky tohoto trendu jsou zřejmé. Vznikne nedostatek pracovních sil, sníží se spotřeba a zpomalí se hospodářský růst.</w:t>
            </w:r>
            <w:r>
              <w:t xml:space="preserve"> </w:t>
            </w:r>
            <w:r w:rsidRPr="006014D0">
              <w:t>Stárnutí obyvatel pro město také znamená větší důraz na zajištění sociálních služeb a zdravotní péče, řešení bydlení</w:t>
            </w:r>
            <w:r w:rsidRPr="004817DD">
              <w:t> pro st</w:t>
            </w:r>
            <w:r>
              <w:t>arší</w:t>
            </w:r>
            <w:r w:rsidRPr="004817DD">
              <w:t xml:space="preserve"> </w:t>
            </w:r>
            <w:r>
              <w:t>občany.</w:t>
            </w:r>
          </w:p>
        </w:tc>
      </w:tr>
    </w:tbl>
    <w:p w14:paraId="6FB8CB84" w14:textId="77777777" w:rsidR="00E01070" w:rsidRDefault="00E01070" w:rsidP="00E01070"/>
    <w:tbl>
      <w:tblPr>
        <w:tblStyle w:val="Mkatabulky"/>
        <w:tblW w:w="0" w:type="auto"/>
        <w:tblLook w:val="04A0" w:firstRow="1" w:lastRow="0" w:firstColumn="1" w:lastColumn="0" w:noHBand="0" w:noVBand="1"/>
      </w:tblPr>
      <w:tblGrid>
        <w:gridCol w:w="9062"/>
      </w:tblGrid>
      <w:tr w:rsidR="00E01070" w14:paraId="6D65A980" w14:textId="77777777" w:rsidTr="00FB7BF4">
        <w:tc>
          <w:tcPr>
            <w:tcW w:w="9062" w:type="dxa"/>
            <w:shd w:val="clear" w:color="auto" w:fill="FBD10B"/>
          </w:tcPr>
          <w:p w14:paraId="1F647EEA" w14:textId="77777777" w:rsidR="00E01070" w:rsidRDefault="00E01070" w:rsidP="00FB7BF4">
            <w:r w:rsidRPr="00846946">
              <w:rPr>
                <w:b/>
                <w:bCs/>
              </w:rPr>
              <w:t>Rostoucí individualismus a síla jednotlivců</w:t>
            </w:r>
            <w:r w:rsidRPr="008468AB">
              <w:t xml:space="preserve"> </w:t>
            </w:r>
          </w:p>
        </w:tc>
      </w:tr>
      <w:tr w:rsidR="00E01070" w14:paraId="462F12F8" w14:textId="77777777" w:rsidTr="00FB7BF4">
        <w:tc>
          <w:tcPr>
            <w:tcW w:w="9062" w:type="dxa"/>
            <w:shd w:val="clear" w:color="auto" w:fill="FDE777"/>
          </w:tcPr>
          <w:p w14:paraId="7024932D" w14:textId="77777777" w:rsidR="00E01070" w:rsidRDefault="00E01070" w:rsidP="00FB7BF4">
            <w:r>
              <w:t xml:space="preserve">Tento trend reprezentuje výrazně sílící vliv jednotlivce či malých skupin na celospolečenské, ekonomické i politické rozhodovací procesy. Roste síla jednotlivce vůči společnosti i ekonomickým subjektům. Tento trend posiluje zvyšující se vzdělanost populace, rozšiřování individuálních svobod a nové technologie. Jedná se o mladé lidé, osoby do 35 let a následně o seniory. </w:t>
            </w:r>
          </w:p>
        </w:tc>
      </w:tr>
      <w:tr w:rsidR="00E01070" w14:paraId="30916C91" w14:textId="77777777" w:rsidTr="00FB7BF4">
        <w:tc>
          <w:tcPr>
            <w:tcW w:w="9062" w:type="dxa"/>
            <w:shd w:val="clear" w:color="auto" w:fill="FEF6CE"/>
          </w:tcPr>
          <w:p w14:paraId="16F7840C" w14:textId="77777777" w:rsidR="00E01070" w:rsidRDefault="00E01070" w:rsidP="00FB7BF4">
            <w:r>
              <w:t>Vlivem odchodu rodin, které se stěhují do zázemí města, byty ve městě obsazují jednotlivci, a to je znát na celkové populaci města Zlína</w:t>
            </w:r>
            <w:r w:rsidRPr="006014D0">
              <w:t xml:space="preserve">. Vysvětluje to tedy skutečnost, že i když jsou byty ve městě obsazeny, </w:t>
            </w:r>
            <w:r>
              <w:t>p</w:t>
            </w:r>
            <w:r w:rsidRPr="006014D0">
              <w:t>očet obyvatel města klesá.</w:t>
            </w:r>
            <w:r>
              <w:t xml:space="preserve"> Zlínský kraj patří v České republice mezi kraje s nejnižší úhrnnou rozvodovostí a průměrná délka trvání manželství při rozvodu je nejvyšší v ČR (14,4 let v roce 2018). Na druhou stranu na území SO ORP Zlín je vyšší podíl věřících osob (nad 30 %), kteří mají silnější komunitní vazby v území. Rozvoj těchto komunitních vazeb a sousedských vztahů je potenciálem rozvoje do budoucna. Tato skutečnost se projevuje i vyšším podílem rodáků žijících ve stejné obci, kde se narodili.</w:t>
            </w:r>
          </w:p>
        </w:tc>
      </w:tr>
    </w:tbl>
    <w:p w14:paraId="55FED6F5" w14:textId="77777777" w:rsidR="00E01070" w:rsidRDefault="00E01070" w:rsidP="00E01070"/>
    <w:tbl>
      <w:tblPr>
        <w:tblStyle w:val="Mkatabulky"/>
        <w:tblW w:w="0" w:type="auto"/>
        <w:tblLook w:val="04A0" w:firstRow="1" w:lastRow="0" w:firstColumn="1" w:lastColumn="0" w:noHBand="0" w:noVBand="1"/>
      </w:tblPr>
      <w:tblGrid>
        <w:gridCol w:w="9062"/>
      </w:tblGrid>
      <w:tr w:rsidR="00E01070" w14:paraId="2CFB4B1D" w14:textId="77777777" w:rsidTr="00FB7BF4">
        <w:tc>
          <w:tcPr>
            <w:tcW w:w="9062" w:type="dxa"/>
            <w:shd w:val="clear" w:color="auto" w:fill="2F5496" w:themeFill="accent5" w:themeFillShade="BF"/>
          </w:tcPr>
          <w:p w14:paraId="2C895E81" w14:textId="77777777" w:rsidR="00E01070" w:rsidRDefault="00E01070" w:rsidP="00FB7BF4">
            <w:r w:rsidRPr="00B3487C">
              <w:rPr>
                <w:b/>
                <w:bCs/>
                <w:color w:val="FFFFFF" w:themeColor="background1"/>
              </w:rPr>
              <w:t xml:space="preserve">Rostoucí mobilita </w:t>
            </w:r>
          </w:p>
        </w:tc>
      </w:tr>
      <w:tr w:rsidR="00E01070" w14:paraId="47CA0032" w14:textId="77777777" w:rsidTr="00FB7BF4">
        <w:tc>
          <w:tcPr>
            <w:tcW w:w="9062" w:type="dxa"/>
            <w:shd w:val="clear" w:color="auto" w:fill="8EAADB" w:themeFill="accent5" w:themeFillTint="99"/>
          </w:tcPr>
          <w:p w14:paraId="3F7D5F9E" w14:textId="77777777" w:rsidR="00E01070" w:rsidRDefault="00E01070" w:rsidP="00FB7BF4">
            <w:r>
              <w:t xml:space="preserve">Mobilitou se nerozumí pouze mobilita ve fyzickém slova smyslu, ale i pohyb informací, zboží a služeb a i tzv. virtuální mobilita ve světové síti a sociální mobilita napříč společenskými strukturami. Vysoká mobilita umožňuje globální propojení spotřebních a výrobních vzorců, nové modely práce i sociálních kontaktů a interakcí. Mobilita je </w:t>
            </w:r>
            <w:r w:rsidRPr="00F17DE2">
              <w:t xml:space="preserve">spojená s vyšším prostorovým pohybem osob doprovázeným klesající uzavřeností lokalit. </w:t>
            </w:r>
            <w:r>
              <w:t>Ú</w:t>
            </w:r>
            <w:r w:rsidRPr="00F17DE2">
              <w:t>zemí se začíná otevírat, prostorové vazby se rozvolňují</w:t>
            </w:r>
            <w:r>
              <w:t xml:space="preserve">. </w:t>
            </w:r>
            <w:r w:rsidRPr="00F17DE2">
              <w:t>Socioekonomické procesy se</w:t>
            </w:r>
            <w:r>
              <w:t xml:space="preserve"> v současnosti</w:t>
            </w:r>
            <w:r w:rsidRPr="00F17DE2">
              <w:t xml:space="preserve"> vykazují mnohem menší prostorovou zakotveností. </w:t>
            </w:r>
            <w:r>
              <w:t>Lidé se p</w:t>
            </w:r>
            <w:r w:rsidRPr="00F17DE2">
              <w:t>ohybuj</w:t>
            </w:r>
            <w:r>
              <w:t>í</w:t>
            </w:r>
            <w:r w:rsidRPr="00F17DE2">
              <w:t xml:space="preserve"> n</w:t>
            </w:r>
            <w:r>
              <w:t>a větší vzdálenosti, dojíždí za prací každý den. P</w:t>
            </w:r>
            <w:r w:rsidRPr="00F17DE2">
              <w:t xml:space="preserve">řekonávání větší vzdálenosti není </w:t>
            </w:r>
            <w:r>
              <w:t xml:space="preserve">takový </w:t>
            </w:r>
            <w:r w:rsidRPr="00F17DE2">
              <w:t>problém</w:t>
            </w:r>
            <w:r>
              <w:t>, jak tomu bylo dříve</w:t>
            </w:r>
            <w:r w:rsidRPr="00F17DE2">
              <w:t xml:space="preserve">. </w:t>
            </w:r>
            <w:r>
              <w:t>S mobilitou souvisí nejen přesun osob, materiálů a zboží, ale i environmentální a sociální zátěže, které jsou mobilitou způsobeny.</w:t>
            </w:r>
          </w:p>
        </w:tc>
      </w:tr>
      <w:tr w:rsidR="00E01070" w14:paraId="78AD326B" w14:textId="77777777" w:rsidTr="00FB7BF4">
        <w:tc>
          <w:tcPr>
            <w:tcW w:w="9062" w:type="dxa"/>
            <w:shd w:val="clear" w:color="auto" w:fill="B4C6E7" w:themeFill="accent5" w:themeFillTint="66"/>
          </w:tcPr>
          <w:p w14:paraId="2B76692A" w14:textId="77777777" w:rsidR="00E01070" w:rsidRPr="00BC683E" w:rsidRDefault="00E01070" w:rsidP="00FB7BF4">
            <w:pPr>
              <w:rPr>
                <w:color w:val="000000" w:themeColor="text1"/>
              </w:rPr>
            </w:pPr>
            <w:r w:rsidRPr="00BC683E">
              <w:rPr>
                <w:color w:val="000000" w:themeColor="text1"/>
              </w:rPr>
              <w:t>Dopad rostoucí prostorové mobility obyvatel na město Zlín je podrobně řešen v Plánu udržitelné městské mobility města Zlína, který se v současné době zpracovává.</w:t>
            </w:r>
          </w:p>
        </w:tc>
      </w:tr>
    </w:tbl>
    <w:p w14:paraId="27741B9F" w14:textId="77777777" w:rsidR="00E01070" w:rsidRDefault="00E01070" w:rsidP="00E01070"/>
    <w:tbl>
      <w:tblPr>
        <w:tblStyle w:val="Mkatabulky"/>
        <w:tblW w:w="0" w:type="auto"/>
        <w:tblLook w:val="04A0" w:firstRow="1" w:lastRow="0" w:firstColumn="1" w:lastColumn="0" w:noHBand="0" w:noVBand="1"/>
      </w:tblPr>
      <w:tblGrid>
        <w:gridCol w:w="9062"/>
      </w:tblGrid>
      <w:tr w:rsidR="00E01070" w14:paraId="3FE0F5C2" w14:textId="77777777" w:rsidTr="00FB7BF4">
        <w:tc>
          <w:tcPr>
            <w:tcW w:w="9062" w:type="dxa"/>
            <w:shd w:val="clear" w:color="auto" w:fill="FBD10B"/>
          </w:tcPr>
          <w:p w14:paraId="2C547A34" w14:textId="77777777" w:rsidR="00E01070" w:rsidRDefault="00E01070" w:rsidP="00FB7BF4">
            <w:r w:rsidRPr="00846946">
              <w:rPr>
                <w:b/>
                <w:bCs/>
              </w:rPr>
              <w:t>Virtualizace světa</w:t>
            </w:r>
            <w:r>
              <w:t xml:space="preserve"> </w:t>
            </w:r>
          </w:p>
        </w:tc>
      </w:tr>
      <w:tr w:rsidR="00E01070" w14:paraId="368FF41F" w14:textId="77777777" w:rsidTr="00FB7BF4">
        <w:tc>
          <w:tcPr>
            <w:tcW w:w="9062" w:type="dxa"/>
            <w:shd w:val="clear" w:color="auto" w:fill="FDE777"/>
          </w:tcPr>
          <w:p w14:paraId="3440D74A" w14:textId="77777777" w:rsidR="00E01070" w:rsidRPr="00284F18" w:rsidRDefault="00E01070" w:rsidP="00FB7BF4">
            <w:pPr>
              <w:rPr>
                <w:rFonts w:cs="Times New Roman"/>
                <w:szCs w:val="18"/>
              </w:rPr>
            </w:pPr>
            <w:r>
              <w:t xml:space="preserve">Od vzniku počítačů a internetu se stále více aktivit přesouvá z fyzického světa do virtuálního kyberprostoru. Dochází k hybridnímu propojování, kdy je reálný svět úzce propojený se světem virtuálním. </w:t>
            </w:r>
            <w:r w:rsidRPr="00C11D46">
              <w:t>P</w:t>
            </w:r>
            <w:r w:rsidRPr="00C11D46">
              <w:rPr>
                <w:iCs/>
              </w:rPr>
              <w:t>roměny trhu práce mění prostorové rozlo</w:t>
            </w:r>
            <w:r>
              <w:rPr>
                <w:iCs/>
              </w:rPr>
              <w:t>žení ekonomických aktivit, změnu velikosti a zaměření podniků</w:t>
            </w:r>
            <w:r w:rsidRPr="00C11D46">
              <w:rPr>
                <w:iCs/>
              </w:rPr>
              <w:t>.</w:t>
            </w:r>
            <w:r>
              <w:rPr>
                <w:i/>
                <w:iCs/>
              </w:rPr>
              <w:t xml:space="preserve"> </w:t>
            </w:r>
            <w:r>
              <w:t xml:space="preserve">Dochází stále častěji k fenoménu virtuální přítomnosti, kdy se jednotlivec pomocí techniky virtuálně účastní různých událostí, včetně výkonu práce. </w:t>
            </w:r>
            <w:r w:rsidRPr="00496C2C">
              <w:rPr>
                <w:iCs/>
              </w:rPr>
              <w:t>Narůstá počet pracovní</w:t>
            </w:r>
            <w:r>
              <w:rPr>
                <w:iCs/>
              </w:rPr>
              <w:t>ch</w:t>
            </w:r>
            <w:r w:rsidRPr="00496C2C">
              <w:rPr>
                <w:iCs/>
              </w:rPr>
              <w:t xml:space="preserve"> možností práce z domu, což způsobuje i negativní trend. Osoba, která takto pracuje z domova, nepřichází tak často do kontaktu s lidmi, ztrácí sociální kontakt, nerozumí některým dějům ve společnosti, což může ovlivňovat její chování. </w:t>
            </w:r>
            <w:r w:rsidRPr="00A10583">
              <w:rPr>
                <w:rFonts w:cs="Times New Roman"/>
                <w:szCs w:val="18"/>
              </w:rPr>
              <w:t>Procento zaměstnaných osob ve věku 15 až 64 let, kteří obvykle pracují z</w:t>
            </w:r>
            <w:r>
              <w:rPr>
                <w:rFonts w:cs="Times New Roman"/>
                <w:szCs w:val="18"/>
              </w:rPr>
              <w:t xml:space="preserve"> domova, činilo </w:t>
            </w:r>
            <w:r w:rsidRPr="00A10583">
              <w:rPr>
                <w:rFonts w:cs="Times New Roman"/>
                <w:szCs w:val="18"/>
              </w:rPr>
              <w:t>v</w:t>
            </w:r>
            <w:r>
              <w:rPr>
                <w:rFonts w:cs="Times New Roman"/>
                <w:szCs w:val="18"/>
              </w:rPr>
              <w:t> </w:t>
            </w:r>
            <w:r w:rsidRPr="00A10583">
              <w:rPr>
                <w:rFonts w:cs="Times New Roman"/>
                <w:szCs w:val="18"/>
              </w:rPr>
              <w:t>Evropské unii (EU)</w:t>
            </w:r>
            <w:r>
              <w:rPr>
                <w:rFonts w:cs="Times New Roman"/>
                <w:szCs w:val="18"/>
              </w:rPr>
              <w:t xml:space="preserve"> v roce 2019 5,4 %.</w:t>
            </w:r>
            <w:r>
              <w:rPr>
                <w:rStyle w:val="Znakapoznpodarou"/>
                <w:rFonts w:cs="Times New Roman"/>
                <w:szCs w:val="18"/>
              </w:rPr>
              <w:footnoteReference w:id="122"/>
            </w:r>
            <w:r w:rsidRPr="00A10583">
              <w:rPr>
                <w:rFonts w:cs="Times New Roman"/>
                <w:szCs w:val="18"/>
              </w:rPr>
              <w:t xml:space="preserve"> </w:t>
            </w:r>
            <w:r>
              <w:rPr>
                <w:rFonts w:cs="Times New Roman"/>
                <w:szCs w:val="18"/>
              </w:rPr>
              <w:t>Obecně pracuje z domova</w:t>
            </w:r>
            <w:r w:rsidRPr="00A10583">
              <w:rPr>
                <w:rFonts w:cs="Times New Roman"/>
                <w:szCs w:val="18"/>
              </w:rPr>
              <w:t xml:space="preserve"> více osob samostatně výdělečně činných </w:t>
            </w:r>
            <w:r>
              <w:rPr>
                <w:rFonts w:cs="Times New Roman"/>
                <w:szCs w:val="18"/>
              </w:rPr>
              <w:t>než zaměstnanců, více</w:t>
            </w:r>
            <w:r w:rsidRPr="00A10583">
              <w:rPr>
                <w:rFonts w:cs="Times New Roman"/>
                <w:szCs w:val="18"/>
              </w:rPr>
              <w:t xml:space="preserve"> žen než mužů</w:t>
            </w:r>
            <w:r>
              <w:rPr>
                <w:rFonts w:cs="Times New Roman"/>
                <w:szCs w:val="18"/>
              </w:rPr>
              <w:t>.</w:t>
            </w:r>
            <w:r>
              <w:t xml:space="preserve"> </w:t>
            </w:r>
            <w:r w:rsidRPr="00A10583">
              <w:rPr>
                <w:rFonts w:cs="Times New Roman"/>
                <w:szCs w:val="18"/>
              </w:rPr>
              <w:t>Frekvence práce z</w:t>
            </w:r>
            <w:r>
              <w:rPr>
                <w:rFonts w:cs="Times New Roman"/>
                <w:szCs w:val="18"/>
              </w:rPr>
              <w:t> </w:t>
            </w:r>
            <w:r w:rsidRPr="00A10583">
              <w:rPr>
                <w:rFonts w:cs="Times New Roman"/>
                <w:szCs w:val="18"/>
              </w:rPr>
              <w:t>domova se s</w:t>
            </w:r>
            <w:r>
              <w:rPr>
                <w:rFonts w:cs="Times New Roman"/>
                <w:szCs w:val="18"/>
              </w:rPr>
              <w:t> </w:t>
            </w:r>
            <w:r w:rsidRPr="00A10583">
              <w:rPr>
                <w:rFonts w:cs="Times New Roman"/>
                <w:szCs w:val="18"/>
              </w:rPr>
              <w:t xml:space="preserve">věkem zvyšuje. </w:t>
            </w:r>
          </w:p>
        </w:tc>
      </w:tr>
      <w:tr w:rsidR="00E01070" w:rsidRPr="00BC683E" w14:paraId="30F80A92" w14:textId="77777777" w:rsidTr="00FB7BF4">
        <w:tc>
          <w:tcPr>
            <w:tcW w:w="9062" w:type="dxa"/>
            <w:shd w:val="clear" w:color="auto" w:fill="FEF6CE"/>
          </w:tcPr>
          <w:p w14:paraId="4B95129E" w14:textId="77777777" w:rsidR="00E01070" w:rsidRPr="00BC683E" w:rsidRDefault="00E01070" w:rsidP="00FB7BF4">
            <w:pPr>
              <w:rPr>
                <w:color w:val="000000" w:themeColor="text1"/>
              </w:rPr>
            </w:pPr>
            <w:r w:rsidRPr="00BC683E">
              <w:rPr>
                <w:rFonts w:cs="Times New Roman"/>
                <w:color w:val="000000" w:themeColor="text1"/>
                <w:szCs w:val="18"/>
              </w:rPr>
              <w:t xml:space="preserve">V důsledku pandemie koronaviru se od března roku 2020 podíl pracovníků, kteří začali pracovat na dálku, zvýšil. Některá odvětví se byla schopna přizpůsobit situaci lépe a některá hůře. Příchod pandemie ještě více zvýšil potřebu rozvíjet digitální dovednosti pracovníků, nejen aby bylo možné čelit výzvám vyplývajícím z rychlého vývoje technologií a nových způsobů práce, ale i proto, aby byly firmy schopny rychlejší reakce na současnou krizi. </w:t>
            </w:r>
            <w:r>
              <w:rPr>
                <w:rFonts w:cs="Times New Roman"/>
                <w:color w:val="000000" w:themeColor="text1"/>
                <w:szCs w:val="18"/>
              </w:rPr>
              <w:t>P</w:t>
            </w:r>
            <w:r w:rsidRPr="00BC683E">
              <w:rPr>
                <w:rFonts w:cs="Times New Roman"/>
                <w:color w:val="000000" w:themeColor="text1"/>
                <w:szCs w:val="18"/>
              </w:rPr>
              <w:t>roblemati</w:t>
            </w:r>
            <w:r>
              <w:rPr>
                <w:rFonts w:cs="Times New Roman"/>
                <w:color w:val="000000" w:themeColor="text1"/>
                <w:szCs w:val="18"/>
              </w:rPr>
              <w:t>čtější</w:t>
            </w:r>
            <w:r w:rsidRPr="00BC683E">
              <w:rPr>
                <w:rFonts w:cs="Times New Roman"/>
                <w:color w:val="000000" w:themeColor="text1"/>
                <w:szCs w:val="18"/>
              </w:rPr>
              <w:t xml:space="preserve"> se může stát řešení situace na územích a v odvětvích, kde</w:t>
            </w:r>
            <w:r>
              <w:rPr>
                <w:rFonts w:cs="Times New Roman"/>
                <w:color w:val="000000" w:themeColor="text1"/>
                <w:szCs w:val="18"/>
              </w:rPr>
              <w:t xml:space="preserve"> malé firmy</w:t>
            </w:r>
            <w:r w:rsidRPr="00BC683E">
              <w:rPr>
                <w:rFonts w:cs="Times New Roman"/>
                <w:color w:val="000000" w:themeColor="text1"/>
                <w:szCs w:val="18"/>
              </w:rPr>
              <w:t xml:space="preserve"> představují větší podíl na zaměstnanosti. </w:t>
            </w:r>
          </w:p>
        </w:tc>
      </w:tr>
    </w:tbl>
    <w:p w14:paraId="36BA4E58" w14:textId="77777777" w:rsidR="00E01070" w:rsidRPr="00BC683E" w:rsidRDefault="00E01070" w:rsidP="00E01070">
      <w:pPr>
        <w:rPr>
          <w:color w:val="000000" w:themeColor="text1"/>
        </w:rPr>
      </w:pPr>
    </w:p>
    <w:tbl>
      <w:tblPr>
        <w:tblStyle w:val="Mkatabulky"/>
        <w:tblW w:w="0" w:type="auto"/>
        <w:tblLook w:val="04A0" w:firstRow="1" w:lastRow="0" w:firstColumn="1" w:lastColumn="0" w:noHBand="0" w:noVBand="1"/>
      </w:tblPr>
      <w:tblGrid>
        <w:gridCol w:w="9062"/>
      </w:tblGrid>
      <w:tr w:rsidR="00E01070" w14:paraId="043C57C0" w14:textId="77777777" w:rsidTr="00FB7BF4">
        <w:tc>
          <w:tcPr>
            <w:tcW w:w="9062" w:type="dxa"/>
            <w:shd w:val="clear" w:color="auto" w:fill="2F5496" w:themeFill="accent5" w:themeFillShade="BF"/>
          </w:tcPr>
          <w:p w14:paraId="245C4E80" w14:textId="77777777" w:rsidR="00E01070" w:rsidRPr="00D76913" w:rsidRDefault="00E01070" w:rsidP="00FB7BF4">
            <w:r w:rsidRPr="00846946">
              <w:rPr>
                <w:b/>
                <w:bCs/>
              </w:rPr>
              <w:t>Rostoucí objem migrace</w:t>
            </w:r>
          </w:p>
        </w:tc>
      </w:tr>
      <w:tr w:rsidR="00E01070" w14:paraId="689573CD" w14:textId="77777777" w:rsidTr="00FB7BF4">
        <w:tc>
          <w:tcPr>
            <w:tcW w:w="9062" w:type="dxa"/>
            <w:shd w:val="clear" w:color="auto" w:fill="8EAADB" w:themeFill="accent5" w:themeFillTint="99"/>
          </w:tcPr>
          <w:p w14:paraId="19FF0CA9" w14:textId="77777777" w:rsidR="00E01070" w:rsidRPr="00D76913" w:rsidRDefault="00E01070" w:rsidP="00FB7BF4">
            <w:pPr>
              <w:rPr>
                <w:iCs/>
              </w:rPr>
            </w:pPr>
            <w:r w:rsidRPr="00155C54">
              <w:t>O</w:t>
            </w:r>
            <w:r w:rsidRPr="00155C54">
              <w:rPr>
                <w:iCs/>
              </w:rPr>
              <w:t xml:space="preserve">byvatelé s vyšším příjmem ve věku 25 až 35 let se společně s dětmi stěhují do zázemí měst, posilují tak proces stárnutí obyvatelstva </w:t>
            </w:r>
            <w:r>
              <w:rPr>
                <w:iCs/>
              </w:rPr>
              <w:t xml:space="preserve">ve městě </w:t>
            </w:r>
            <w:r w:rsidRPr="00155C54">
              <w:rPr>
                <w:iCs/>
              </w:rPr>
              <w:t xml:space="preserve">a jejich koncentraci do panelových sídlišť. Obyvatelé se stěhují do zázemí měst </w:t>
            </w:r>
            <w:r>
              <w:rPr>
                <w:iCs/>
              </w:rPr>
              <w:t xml:space="preserve">kvůli </w:t>
            </w:r>
            <w:r w:rsidRPr="00155C54">
              <w:rPr>
                <w:iCs/>
              </w:rPr>
              <w:t>klidnější</w:t>
            </w:r>
            <w:r>
              <w:rPr>
                <w:iCs/>
              </w:rPr>
              <w:t>mu</w:t>
            </w:r>
            <w:r w:rsidRPr="00155C54">
              <w:rPr>
                <w:iCs/>
              </w:rPr>
              <w:t xml:space="preserve"> prostředí, </w:t>
            </w:r>
            <w:r>
              <w:rPr>
                <w:iCs/>
              </w:rPr>
              <w:t xml:space="preserve">dostupnosti pozemků a </w:t>
            </w:r>
            <w:r w:rsidRPr="00155C54">
              <w:rPr>
                <w:iCs/>
              </w:rPr>
              <w:t>levnější</w:t>
            </w:r>
            <w:r>
              <w:rPr>
                <w:iCs/>
              </w:rPr>
              <w:t>m pozemkům. Zároveň pro ně dojezd představuje jen</w:t>
            </w:r>
            <w:r w:rsidRPr="00155C54">
              <w:rPr>
                <w:iCs/>
              </w:rPr>
              <w:t xml:space="preserve"> 15 až 20 min</w:t>
            </w:r>
            <w:r>
              <w:rPr>
                <w:iCs/>
              </w:rPr>
              <w:t>ut</w:t>
            </w:r>
            <w:r w:rsidRPr="00155C54">
              <w:rPr>
                <w:iCs/>
              </w:rPr>
              <w:t xml:space="preserve"> do </w:t>
            </w:r>
            <w:r>
              <w:rPr>
                <w:iCs/>
              </w:rPr>
              <w:t xml:space="preserve">města, kam dojíždějí za prací, </w:t>
            </w:r>
            <w:r w:rsidRPr="00155C54">
              <w:rPr>
                <w:iCs/>
              </w:rPr>
              <w:t>vozí tam děti do škol, nakupují, využívají</w:t>
            </w:r>
            <w:r w:rsidRPr="007E5B1A">
              <w:rPr>
                <w:iCs/>
              </w:rPr>
              <w:t xml:space="preserve"> </w:t>
            </w:r>
            <w:r w:rsidRPr="00155C54">
              <w:rPr>
                <w:iCs/>
              </w:rPr>
              <w:t>občanskou vybavenost města – sociální, zdravotní služby</w:t>
            </w:r>
            <w:r>
              <w:rPr>
                <w:iCs/>
              </w:rPr>
              <w:t>,</w:t>
            </w:r>
            <w:r w:rsidRPr="00155C54">
              <w:rPr>
                <w:iCs/>
              </w:rPr>
              <w:t xml:space="preserve"> kulturní, sportovní </w:t>
            </w:r>
            <w:r>
              <w:rPr>
                <w:iCs/>
              </w:rPr>
              <w:t>infrastrukturu</w:t>
            </w:r>
            <w:r w:rsidRPr="00155C54">
              <w:rPr>
                <w:iCs/>
              </w:rPr>
              <w:t xml:space="preserve"> </w:t>
            </w:r>
            <w:r>
              <w:rPr>
                <w:iCs/>
              </w:rPr>
              <w:t xml:space="preserve">i technickou infrastrukturu </w:t>
            </w:r>
            <w:r w:rsidRPr="00155C54">
              <w:rPr>
                <w:iCs/>
              </w:rPr>
              <w:t>apod. Město z těchto osob nem</w:t>
            </w:r>
            <w:r>
              <w:rPr>
                <w:iCs/>
              </w:rPr>
              <w:t>á</w:t>
            </w:r>
            <w:r w:rsidRPr="00155C54">
              <w:rPr>
                <w:iCs/>
              </w:rPr>
              <w:t xml:space="preserve"> žádné příjmy, ale musí pro ně zajistit tuto infrastrukturu, kterou financuje z vlastního rozpočtu. </w:t>
            </w:r>
          </w:p>
        </w:tc>
      </w:tr>
      <w:tr w:rsidR="00E01070" w14:paraId="36A84C41" w14:textId="77777777" w:rsidTr="00FB7BF4">
        <w:tc>
          <w:tcPr>
            <w:tcW w:w="9062" w:type="dxa"/>
            <w:shd w:val="clear" w:color="auto" w:fill="B4C6E7" w:themeFill="accent5" w:themeFillTint="66"/>
          </w:tcPr>
          <w:p w14:paraId="48887975" w14:textId="77777777" w:rsidR="00E01070" w:rsidRPr="00D76913" w:rsidRDefault="00E01070" w:rsidP="00FB7BF4">
            <w:r>
              <w:rPr>
                <w:iCs/>
              </w:rPr>
              <w:t xml:space="preserve">I </w:t>
            </w:r>
            <w:r w:rsidRPr="00155C54">
              <w:rPr>
                <w:iCs/>
              </w:rPr>
              <w:t>v případě Zlína je zřejmé, že lidé odcházejí z města Zlín</w:t>
            </w:r>
            <w:r>
              <w:rPr>
                <w:iCs/>
              </w:rPr>
              <w:t>a</w:t>
            </w:r>
            <w:r w:rsidRPr="00155C54">
              <w:rPr>
                <w:iCs/>
              </w:rPr>
              <w:t xml:space="preserve"> za bydlení</w:t>
            </w:r>
            <w:r>
              <w:rPr>
                <w:iCs/>
              </w:rPr>
              <w:t>m</w:t>
            </w:r>
            <w:r w:rsidRPr="00155C54">
              <w:rPr>
                <w:iCs/>
              </w:rPr>
              <w:t xml:space="preserve"> do zázemí (vzhledem k nedostatku rozvojových ploch pro bydlení) a do města každodenně migrují z výše zmíněných důvodů.</w:t>
            </w:r>
            <w:r>
              <w:rPr>
                <w:iCs/>
              </w:rPr>
              <w:t xml:space="preserve"> </w:t>
            </w:r>
            <w:r>
              <w:t xml:space="preserve">Za posledních 10 let se do města Zlína přistěhovalo 12 278 obyvatel a vystěhovalo se 13 071 obyvatel. Ztráta migrací byla ve městě Zlín za tohoto období 793 obyvatel. Zlín má velký potenciál v lidech, kteří zde žijí, ale nemají zde trvalý pobyt (např. vysokoškolští studenti UTB). </w:t>
            </w:r>
          </w:p>
        </w:tc>
      </w:tr>
    </w:tbl>
    <w:p w14:paraId="71822FC7" w14:textId="77777777" w:rsidR="00E01070" w:rsidRDefault="00E01070" w:rsidP="00E01070">
      <w:pPr>
        <w:rPr>
          <w:b/>
          <w:bCs/>
        </w:rPr>
      </w:pPr>
    </w:p>
    <w:p w14:paraId="01E31DD9" w14:textId="77777777" w:rsidR="00EB62B8" w:rsidRDefault="00EB62B8" w:rsidP="00E01070">
      <w:pPr>
        <w:rPr>
          <w:b/>
          <w:bCs/>
        </w:rPr>
      </w:pPr>
    </w:p>
    <w:p w14:paraId="00FCBD6A" w14:textId="77777777" w:rsidR="00EB62B8" w:rsidRDefault="00EB62B8" w:rsidP="00E01070">
      <w:pPr>
        <w:rPr>
          <w:b/>
          <w:bCs/>
        </w:rPr>
      </w:pPr>
    </w:p>
    <w:tbl>
      <w:tblPr>
        <w:tblStyle w:val="Mkatabulky"/>
        <w:tblW w:w="0" w:type="auto"/>
        <w:tblLook w:val="04A0" w:firstRow="1" w:lastRow="0" w:firstColumn="1" w:lastColumn="0" w:noHBand="0" w:noVBand="1"/>
      </w:tblPr>
      <w:tblGrid>
        <w:gridCol w:w="8926"/>
      </w:tblGrid>
      <w:tr w:rsidR="00E01070" w14:paraId="211D5263" w14:textId="77777777" w:rsidTr="00FB7BF4">
        <w:tc>
          <w:tcPr>
            <w:tcW w:w="8926" w:type="dxa"/>
            <w:shd w:val="clear" w:color="auto" w:fill="FBD10B"/>
          </w:tcPr>
          <w:p w14:paraId="2A6FE127" w14:textId="77777777" w:rsidR="00E01070" w:rsidRPr="00284F18" w:rsidRDefault="00E01070" w:rsidP="00FB7BF4">
            <w:r w:rsidRPr="005D764B">
              <w:rPr>
                <w:b/>
                <w:bCs/>
              </w:rPr>
              <w:t>Zintenzivňující se globalizace</w:t>
            </w:r>
            <w:r w:rsidRPr="005D764B">
              <w:rPr>
                <w:i/>
                <w:iCs/>
              </w:rPr>
              <w:t xml:space="preserve"> </w:t>
            </w:r>
          </w:p>
        </w:tc>
      </w:tr>
      <w:tr w:rsidR="00E01070" w14:paraId="60512D36" w14:textId="77777777" w:rsidTr="00FB7BF4">
        <w:tc>
          <w:tcPr>
            <w:tcW w:w="8926" w:type="dxa"/>
            <w:shd w:val="clear" w:color="auto" w:fill="FDE777"/>
          </w:tcPr>
          <w:p w14:paraId="7CEE62CC" w14:textId="4689BEB3" w:rsidR="00E01070" w:rsidRPr="00774845" w:rsidRDefault="00E01070" w:rsidP="00FB7BF4">
            <w:r>
              <w:t>Globalizace charakterizuje provázanost a vzájemnou závislost sociálně</w:t>
            </w:r>
            <w:r w:rsidR="00636678">
              <w:t>-</w:t>
            </w:r>
            <w:r>
              <w:t xml:space="preserve">kulturních, ekonomických, finančních, výrobních, přepravních, environmentálních a jiných systémů. Tato provázanost se neustále prohlubuje. </w:t>
            </w:r>
            <w:r w:rsidRPr="00B5287D">
              <w:t>Počet funkčních regionů v</w:t>
            </w:r>
            <w:r>
              <w:t> </w:t>
            </w:r>
            <w:r w:rsidRPr="00B5287D">
              <w:t>ČR klesá</w:t>
            </w:r>
            <w:r>
              <w:t xml:space="preserve"> </w:t>
            </w:r>
            <w:r w:rsidRPr="00B5287D">
              <w:t>(</w:t>
            </w:r>
            <w:r>
              <w:t>za posledních 20 let</w:t>
            </w:r>
            <w:r w:rsidRPr="00B5287D">
              <w:t xml:space="preserve"> pokles o</w:t>
            </w:r>
            <w:r>
              <w:t> </w:t>
            </w:r>
            <w:r w:rsidRPr="00B5287D">
              <w:t>20,7 %), tzn., že roste jejich velikost, a</w:t>
            </w:r>
            <w:r>
              <w:t> </w:t>
            </w:r>
            <w:r w:rsidRPr="00B5287D">
              <w:t>přesto kles</w:t>
            </w:r>
            <w:r>
              <w:t>á</w:t>
            </w:r>
            <w:r w:rsidRPr="00B5287D">
              <w:t xml:space="preserve"> jejich uzavřenost z hlediska trhu práce (tzn.</w:t>
            </w:r>
            <w:r>
              <w:t>, roste</w:t>
            </w:r>
            <w:r w:rsidRPr="00B5287D">
              <w:t xml:space="preserve"> počet doj</w:t>
            </w:r>
            <w:r>
              <w:t>í</w:t>
            </w:r>
            <w:r w:rsidRPr="00B5287D">
              <w:t>žďkových vztahů do zaměstnání přes hranice vymezených mikroregionů).</w:t>
            </w:r>
            <w:r>
              <w:t xml:space="preserve"> </w:t>
            </w:r>
            <w:r w:rsidRPr="00774845">
              <w:rPr>
                <w:color w:val="000000" w:themeColor="text1"/>
              </w:rPr>
              <w:t xml:space="preserve">Dochází k celkovému růstu otevřenosti území. </w:t>
            </w:r>
            <w:r w:rsidRPr="00B5287D">
              <w:t>Důvodem, proč dochází ke snižován</w:t>
            </w:r>
            <w:r>
              <w:t>í počtu pracovních mikroregionů,</w:t>
            </w:r>
            <w:r w:rsidRPr="00B5287D">
              <w:t xml:space="preserve"> je vliv globalizačního procesu v území spojený s vyšším prostorovým pohybem osob a</w:t>
            </w:r>
            <w:r>
              <w:t> </w:t>
            </w:r>
            <w:r w:rsidRPr="00B5287D">
              <w:t>doprovázený klesající uzavřeností lokalit. Dochází k</w:t>
            </w:r>
            <w:r>
              <w:t> </w:t>
            </w:r>
            <w:r w:rsidRPr="00B5287D">
              <w:t xml:space="preserve">celkovému růstu otevřenosti území. Socioekonomické procesy </w:t>
            </w:r>
            <w:r>
              <w:t xml:space="preserve">se </w:t>
            </w:r>
            <w:r w:rsidRPr="00B5287D">
              <w:t xml:space="preserve">v současnosti </w:t>
            </w:r>
            <w:r>
              <w:t>v</w:t>
            </w:r>
            <w:r w:rsidRPr="00B5287D">
              <w:t xml:space="preserve">ykazují mnohem menší prostorovou zakotveností. </w:t>
            </w:r>
          </w:p>
        </w:tc>
      </w:tr>
      <w:tr w:rsidR="00E01070" w14:paraId="2E473E3F" w14:textId="77777777" w:rsidTr="00FB7BF4">
        <w:tc>
          <w:tcPr>
            <w:tcW w:w="8926" w:type="dxa"/>
            <w:shd w:val="clear" w:color="auto" w:fill="FEF6CE"/>
          </w:tcPr>
          <w:p w14:paraId="25404942" w14:textId="77777777" w:rsidR="00E01070" w:rsidRPr="00284F18" w:rsidRDefault="00E01070" w:rsidP="00FB7BF4">
            <w:r w:rsidRPr="00A32C3C">
              <w:rPr>
                <w:color w:val="000000" w:themeColor="text1"/>
              </w:rPr>
              <w:t>Dopad globalizace ovlivňuje i mimo jiné sídelní strukturu</w:t>
            </w:r>
            <w:r>
              <w:rPr>
                <w:color w:val="000000" w:themeColor="text1"/>
              </w:rPr>
              <w:t xml:space="preserve">. </w:t>
            </w:r>
            <w:r>
              <w:t xml:space="preserve">Trend globalizace pro město například znamená to, že některé firmy, které jsou ve městě vlastníky podniků, sídlí mimo město Zlín nebo i mimo Českou republiku, a tím je s nimi zhoršená komunikace. Hůře chápou místní prostředí a potřeby města, jelikož jsou zvyklí na jiné poměry. Méně se zajímají o okolí firmy a méně podporují místní aktivity. </w:t>
            </w:r>
          </w:p>
        </w:tc>
      </w:tr>
    </w:tbl>
    <w:p w14:paraId="7E2BC57C" w14:textId="77777777" w:rsidR="00E01070" w:rsidRDefault="00E01070" w:rsidP="00E01070">
      <w:pPr>
        <w:rPr>
          <w:b/>
          <w:bCs/>
        </w:rPr>
      </w:pPr>
    </w:p>
    <w:tbl>
      <w:tblPr>
        <w:tblStyle w:val="Mkatabulky"/>
        <w:tblW w:w="0" w:type="auto"/>
        <w:tblLook w:val="04A0" w:firstRow="1" w:lastRow="0" w:firstColumn="1" w:lastColumn="0" w:noHBand="0" w:noVBand="1"/>
      </w:tblPr>
      <w:tblGrid>
        <w:gridCol w:w="9062"/>
      </w:tblGrid>
      <w:tr w:rsidR="00E01070" w14:paraId="7ED8B54F" w14:textId="77777777" w:rsidTr="00FB7BF4">
        <w:tc>
          <w:tcPr>
            <w:tcW w:w="9062" w:type="dxa"/>
            <w:shd w:val="clear" w:color="auto" w:fill="2F5496" w:themeFill="accent5" w:themeFillShade="BF"/>
          </w:tcPr>
          <w:p w14:paraId="704414A3" w14:textId="77777777" w:rsidR="00E01070" w:rsidRDefault="00E01070" w:rsidP="00FB7BF4">
            <w:pPr>
              <w:rPr>
                <w:b/>
                <w:bCs/>
              </w:rPr>
            </w:pPr>
            <w:r w:rsidRPr="005B17B1">
              <w:rPr>
                <w:b/>
                <w:bCs/>
                <w:color w:val="FFFFFF" w:themeColor="background1"/>
              </w:rPr>
              <w:t>Technologické změny</w:t>
            </w:r>
          </w:p>
        </w:tc>
      </w:tr>
      <w:tr w:rsidR="00E01070" w14:paraId="45193B25" w14:textId="77777777" w:rsidTr="00FB7BF4">
        <w:tc>
          <w:tcPr>
            <w:tcW w:w="9062" w:type="dxa"/>
            <w:shd w:val="clear" w:color="auto" w:fill="8EAADB" w:themeFill="accent5" w:themeFillTint="99"/>
          </w:tcPr>
          <w:p w14:paraId="5AB0A0E4" w14:textId="77777777" w:rsidR="00E01070" w:rsidRPr="006146C1" w:rsidRDefault="00E01070" w:rsidP="00FB7BF4">
            <w:pPr>
              <w:rPr>
                <w:bCs/>
              </w:rPr>
            </w:pPr>
            <w:r w:rsidRPr="006146C1">
              <w:rPr>
                <w:bCs/>
              </w:rPr>
              <w:t>Nové technologie se v posledních letech vyvíjejí nebývalou rychlostí. Dle inovačního výhledu OECD v současnosti lze indikovat 40 nových trendů v oblasti KET (key enabling technologies), které spadají do čtyř rozhodujících oblastí – digitalizace, biotechnologie, pokročilé materiály, energetika a</w:t>
            </w:r>
            <w:r>
              <w:rPr>
                <w:bCs/>
              </w:rPr>
              <w:t> </w:t>
            </w:r>
            <w:r w:rsidRPr="006146C1">
              <w:rPr>
                <w:bCs/>
              </w:rPr>
              <w:t xml:space="preserve">životní prostředí. </w:t>
            </w:r>
            <w:r>
              <w:rPr>
                <w:bCs/>
              </w:rPr>
              <w:t>R</w:t>
            </w:r>
            <w:r w:rsidRPr="002C7C1F">
              <w:rPr>
                <w:bCs/>
              </w:rPr>
              <w:t>ozh</w:t>
            </w:r>
            <w:r>
              <w:rPr>
                <w:bCs/>
              </w:rPr>
              <w:t xml:space="preserve">odujícími šesti technologickými </w:t>
            </w:r>
            <w:r w:rsidRPr="002C7C1F">
              <w:rPr>
                <w:bCs/>
              </w:rPr>
              <w:t>trendy současnosti</w:t>
            </w:r>
            <w:r>
              <w:rPr>
                <w:bCs/>
              </w:rPr>
              <w:t xml:space="preserve"> jsou</w:t>
            </w:r>
            <w:r w:rsidRPr="002C7C1F">
              <w:rPr>
                <w:bCs/>
              </w:rPr>
              <w:t xml:space="preserve"> internet (digitální přítomnost), komputerizace všeho a možnost uložit d</w:t>
            </w:r>
            <w:r>
              <w:rPr>
                <w:bCs/>
              </w:rPr>
              <w:t xml:space="preserve">ata odkudkoli </w:t>
            </w:r>
            <w:r w:rsidRPr="002C7C1F">
              <w:rPr>
                <w:bCs/>
              </w:rPr>
              <w:t>(superpočítač v kapse, využití cloudů), internet věcí („senzorizace všeho“, říze</w:t>
            </w:r>
            <w:r>
              <w:rPr>
                <w:bCs/>
              </w:rPr>
              <w:t xml:space="preserve">ní na dálku), umělá inteligence </w:t>
            </w:r>
            <w:r w:rsidRPr="002C7C1F">
              <w:rPr>
                <w:bCs/>
              </w:rPr>
              <w:t>a Big Data, sdílená ekonomika a</w:t>
            </w:r>
            <w:r>
              <w:rPr>
                <w:bCs/>
              </w:rPr>
              <w:t> </w:t>
            </w:r>
            <w:r w:rsidRPr="002C7C1F">
              <w:rPr>
                <w:bCs/>
              </w:rPr>
              <w:t xml:space="preserve">její důvěryhodnost („distribuovaná </w:t>
            </w:r>
            <w:r>
              <w:rPr>
                <w:bCs/>
              </w:rPr>
              <w:t>důvěra“) a digitalizace hmoty.</w:t>
            </w:r>
            <w:r>
              <w:rPr>
                <w:rStyle w:val="Znakapoznpodarou"/>
                <w:bCs/>
              </w:rPr>
              <w:footnoteReference w:id="123"/>
            </w:r>
          </w:p>
        </w:tc>
      </w:tr>
      <w:tr w:rsidR="00E01070" w14:paraId="13BDAD56" w14:textId="77777777" w:rsidTr="00FB7BF4">
        <w:tc>
          <w:tcPr>
            <w:tcW w:w="9062" w:type="dxa"/>
            <w:shd w:val="clear" w:color="auto" w:fill="B4C6E7" w:themeFill="accent5" w:themeFillTint="66"/>
          </w:tcPr>
          <w:p w14:paraId="73FEDEFE" w14:textId="5106D0D1" w:rsidR="00E01070" w:rsidRDefault="00E01070" w:rsidP="00636678">
            <w:pPr>
              <w:rPr>
                <w:b/>
                <w:bCs/>
              </w:rPr>
            </w:pPr>
            <w:r w:rsidRPr="00BC683E">
              <w:rPr>
                <w:rFonts w:cs="Times New Roman"/>
                <w:color w:val="000000" w:themeColor="text1"/>
                <w:szCs w:val="18"/>
              </w:rPr>
              <w:t>V rámci ČR je ve Zlínském kraji jeden z největších podílů podniků s inovacemi. Jak je uvedeno v rámci Analytické části Integrované strategie pro ITI Zlínské aglomerace pro období 2021</w:t>
            </w:r>
            <w:r w:rsidR="00636678">
              <w:rPr>
                <w:rFonts w:cs="Times New Roman"/>
                <w:color w:val="000000" w:themeColor="text1"/>
                <w:szCs w:val="18"/>
              </w:rPr>
              <w:t xml:space="preserve"> </w:t>
            </w:r>
            <w:r w:rsidR="00636678">
              <w:rPr>
                <w:rFonts w:cs="Times New Roman"/>
                <w:color w:val="000000" w:themeColor="text1"/>
                <w:szCs w:val="18"/>
              </w:rPr>
              <w:sym w:font="Symbol" w:char="F02D"/>
            </w:r>
            <w:r w:rsidR="00636678">
              <w:rPr>
                <w:rFonts w:cs="Times New Roman"/>
                <w:color w:val="000000" w:themeColor="text1"/>
                <w:szCs w:val="18"/>
              </w:rPr>
              <w:t xml:space="preserve"> </w:t>
            </w:r>
            <w:r w:rsidRPr="00BC683E">
              <w:rPr>
                <w:rFonts w:cs="Times New Roman"/>
                <w:color w:val="000000" w:themeColor="text1"/>
                <w:szCs w:val="18"/>
              </w:rPr>
              <w:t>2027</w:t>
            </w:r>
            <w:r>
              <w:rPr>
                <w:rFonts w:cs="Times New Roman"/>
                <w:color w:val="000000" w:themeColor="text1"/>
                <w:szCs w:val="18"/>
              </w:rPr>
              <w:t>,</w:t>
            </w:r>
            <w:r w:rsidRPr="00BC683E">
              <w:rPr>
                <w:rFonts w:cs="Times New Roman"/>
                <w:color w:val="000000" w:themeColor="text1"/>
                <w:szCs w:val="18"/>
              </w:rPr>
              <w:t xml:space="preserve"> o</w:t>
            </w:r>
            <w:r w:rsidRPr="00BC683E">
              <w:rPr>
                <w:color w:val="000000" w:themeColor="text1"/>
              </w:rPr>
              <w:t>d roku 2016 do roku 2018 došlo v</w:t>
            </w:r>
            <w:r w:rsidR="00636678">
              <w:rPr>
                <w:color w:val="000000" w:themeColor="text1"/>
              </w:rPr>
              <w:t>e</w:t>
            </w:r>
            <w:r w:rsidRPr="00BC683E">
              <w:rPr>
                <w:color w:val="000000" w:themeColor="text1"/>
              </w:rPr>
              <w:t> Zlínském kraji k nárůstu pracovišť vědy a výzkumu ze 191 na 221</w:t>
            </w:r>
            <w:r>
              <w:rPr>
                <w:color w:val="000000" w:themeColor="text1"/>
              </w:rPr>
              <w:t>,</w:t>
            </w:r>
            <w:r w:rsidRPr="00BC683E">
              <w:rPr>
                <w:color w:val="000000" w:themeColor="text1"/>
              </w:rPr>
              <w:t xml:space="preserve"> z toho tvoří 31,7 % pracovišť s 10 a více zaměstnanci. Na území města působí v této oblasti především Univerzita Tomáše Bati ve Zlíně, Technologické inovační centrum Zlín, s.r.o., Zlínský kreativní klastr, Plastikářský klastr.</w:t>
            </w:r>
          </w:p>
        </w:tc>
      </w:tr>
    </w:tbl>
    <w:p w14:paraId="6EAF87D8" w14:textId="77777777" w:rsidR="00E01070" w:rsidRDefault="00E01070" w:rsidP="00E01070">
      <w:pPr>
        <w:rPr>
          <w:b/>
          <w:bCs/>
        </w:rPr>
      </w:pPr>
    </w:p>
    <w:p w14:paraId="5EFB4DDF" w14:textId="77777777" w:rsidR="00E01070" w:rsidRDefault="00E01070" w:rsidP="00E01070">
      <w:pPr>
        <w:rPr>
          <w:b/>
          <w:bCs/>
        </w:rPr>
      </w:pPr>
    </w:p>
    <w:p w14:paraId="69E74D22" w14:textId="77777777" w:rsidR="00E01070" w:rsidRDefault="00E01070" w:rsidP="00E01070">
      <w:pPr>
        <w:spacing w:before="0" w:after="160" w:line="259" w:lineRule="auto"/>
        <w:jc w:val="left"/>
      </w:pPr>
      <w:r>
        <w:br w:type="page"/>
      </w:r>
    </w:p>
    <w:p w14:paraId="69870B7C" w14:textId="77777777" w:rsidR="00E01070" w:rsidRPr="003358D2" w:rsidRDefault="00E01070" w:rsidP="00E01070">
      <w:pPr>
        <w:pStyle w:val="Nadpis3"/>
        <w:ind w:left="720"/>
      </w:pPr>
      <w:bookmarkStart w:id="1109" w:name="_Toc53474267"/>
      <w:bookmarkStart w:id="1110" w:name="_Toc77074669"/>
      <w:r w:rsidRPr="003358D2">
        <w:t>Demografická prognóza obyvatel do roku 2040</w:t>
      </w:r>
      <w:bookmarkEnd w:id="1109"/>
      <w:bookmarkEnd w:id="1110"/>
    </w:p>
    <w:p w14:paraId="7CD070BB" w14:textId="77777777" w:rsidR="00E01070" w:rsidRPr="00A528AF" w:rsidRDefault="00E01070" w:rsidP="00E01070">
      <w:r w:rsidRPr="00A528AF">
        <w:t xml:space="preserve">Demografická prognóza je </w:t>
      </w:r>
      <w:r>
        <w:t>spočítána na základě</w:t>
      </w:r>
      <w:r w:rsidRPr="00A528AF">
        <w:t xml:space="preserve"> </w:t>
      </w:r>
      <w:r>
        <w:rPr>
          <w:i/>
        </w:rPr>
        <w:t>Projekce</w:t>
      </w:r>
      <w:r w:rsidRPr="00A528AF">
        <w:rPr>
          <w:i/>
        </w:rPr>
        <w:t xml:space="preserve"> obyvatelstva v krajích ČR – do roku 2070</w:t>
      </w:r>
      <w:r w:rsidRPr="00A528AF">
        <w:rPr>
          <w:rStyle w:val="Znakapoznpodarou"/>
        </w:rPr>
        <w:footnoteReference w:id="124"/>
      </w:r>
      <w:r w:rsidRPr="00A528AF">
        <w:t>, kterou v</w:t>
      </w:r>
      <w:r>
        <w:t> listopadu</w:t>
      </w:r>
      <w:r w:rsidRPr="00A528AF">
        <w:t xml:space="preserve"> 2019 zveřejnil Český statistický úřad</w:t>
      </w:r>
      <w:r>
        <w:t xml:space="preserve"> (ČSÚ)</w:t>
      </w:r>
      <w:r w:rsidRPr="00A528AF">
        <w:t>. Tato projekce navazuje na střední variantu prognózy vydané ČSÚ v listopadu 2018 pro celou ČR. Projekce pro kraje vychází z dat demografické struktury obyvatelstva k 1.</w:t>
      </w:r>
      <w:r>
        <w:t xml:space="preserve"> 1. 2019, </w:t>
      </w:r>
      <w:r w:rsidRPr="00BF048A">
        <w:t xml:space="preserve">přitom standardně očekává ve scénáři plynulý vývoj jednotlivých demografických procesů, </w:t>
      </w:r>
      <w:r>
        <w:t>protože</w:t>
      </w:r>
      <w:r w:rsidRPr="00BF048A">
        <w:t xml:space="preserve"> nemůže předvídat náhlé působení vnějších vlivů, např. hluboké ekonomické krize, výrazné změny v systému sociálních či jiných legislativních opatření, epidemie nemocí či zásadní objevy lékařské vědy, které mohou z krátkodobého i dlouhodobějšího hlediska ovlivnit demografický vývoj. Při zpracování projekce </w:t>
      </w:r>
      <w:r>
        <w:t xml:space="preserve">ČSÚ </w:t>
      </w:r>
      <w:r w:rsidRPr="00BF048A">
        <w:t xml:space="preserve">byla uvažována jak přirozená složka reprodukce (porodnost, úmrtnost), </w:t>
      </w:r>
      <w:r>
        <w:t xml:space="preserve">tak složka mechanická (migrace). </w:t>
      </w:r>
    </w:p>
    <w:p w14:paraId="6381AA38" w14:textId="77777777" w:rsidR="00E01070" w:rsidRDefault="00E01070" w:rsidP="00E01070">
      <w:r w:rsidRPr="00A528AF">
        <w:t xml:space="preserve">Předkládané hodnoty </w:t>
      </w:r>
      <w:r>
        <w:t xml:space="preserve">zpracované </w:t>
      </w:r>
      <w:r w:rsidRPr="00A528AF">
        <w:t xml:space="preserve">prognózy </w:t>
      </w:r>
      <w:r>
        <w:t xml:space="preserve">měst a SO ORP do roku 2029 </w:t>
      </w:r>
      <w:r w:rsidRPr="00A528AF">
        <w:t>s výhledem do roku</w:t>
      </w:r>
      <w:r>
        <w:t xml:space="preserve"> 2039</w:t>
      </w:r>
      <w:r w:rsidRPr="00A528AF">
        <w:t xml:space="preserve"> z výše popsané aktuální prognózy ČSÚ vycházejí</w:t>
      </w:r>
      <w:r>
        <w:t xml:space="preserve">. Data </w:t>
      </w:r>
      <w:r w:rsidRPr="00A528AF">
        <w:t>byla přepočtena na základě pětiletých věkových skupin obyvatelstva dle pohlaví</w:t>
      </w:r>
      <w:r>
        <w:t>, přičemž byla uzpůsobena dle reálných hodnot porodnosti</w:t>
      </w:r>
      <w:r w:rsidRPr="00A528AF">
        <w:t xml:space="preserve">. </w:t>
      </w:r>
      <w:r>
        <w:t>Jedná se o prognózu</w:t>
      </w:r>
      <w:r w:rsidRPr="00A528AF">
        <w:t>, která je založena na současném trendu</w:t>
      </w:r>
      <w:r>
        <w:t xml:space="preserve"> a vychází z aktuálních dat k 1. 1. 2019. </w:t>
      </w:r>
    </w:p>
    <w:p w14:paraId="006C22F4" w14:textId="73C4F38F" w:rsidR="00E01070" w:rsidRDefault="00E01070" w:rsidP="00E01070">
      <w:pPr>
        <w:pStyle w:val="Titulek"/>
      </w:pPr>
      <w:bookmarkStart w:id="1111" w:name="_Toc54702826"/>
      <w:bookmarkStart w:id="1112" w:name="_Toc56179632"/>
      <w:bookmarkStart w:id="1113" w:name="_Toc77074974"/>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8</w:t>
      </w:r>
      <w:r w:rsidR="00804AF3">
        <w:rPr>
          <w:noProof/>
        </w:rPr>
        <w:fldChar w:fldCharType="end"/>
      </w:r>
      <w:r w:rsidR="002F528D">
        <w:rPr>
          <w:noProof/>
        </w:rPr>
        <w:t>:</w:t>
      </w:r>
      <w:r w:rsidR="000423F4">
        <w:t xml:space="preserve"> </w:t>
      </w:r>
      <w:r>
        <w:t>Vývoj počtu obyvatel města a SO ORP Zlín dle prognózy do roku 2040</w:t>
      </w:r>
      <w:bookmarkEnd w:id="1111"/>
      <w:bookmarkEnd w:id="1112"/>
      <w:bookmarkEnd w:id="1113"/>
    </w:p>
    <w:p w14:paraId="4F85A0BD" w14:textId="77777777" w:rsidR="00E01070" w:rsidRDefault="00E01070" w:rsidP="00E01070">
      <w:r>
        <w:rPr>
          <w:noProof/>
          <w:lang w:eastAsia="cs-CZ"/>
        </w:rPr>
        <w:drawing>
          <wp:inline distT="0" distB="0" distL="0" distR="0" wp14:anchorId="73CB4EAC" wp14:editId="59961890">
            <wp:extent cx="5779770" cy="1932305"/>
            <wp:effectExtent l="0" t="0" r="0" b="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79770" cy="1932305"/>
                    </a:xfrm>
                    <a:prstGeom prst="rect">
                      <a:avLst/>
                    </a:prstGeom>
                    <a:noFill/>
                  </pic:spPr>
                </pic:pic>
              </a:graphicData>
            </a:graphic>
          </wp:inline>
        </w:drawing>
      </w:r>
    </w:p>
    <w:p w14:paraId="5474520B" w14:textId="77777777" w:rsidR="00E01070" w:rsidRDefault="00E01070" w:rsidP="00E01070">
      <w:r>
        <w:rPr>
          <w:rStyle w:val="ZdrojChar"/>
          <w:rFonts w:eastAsiaTheme="minorHAnsi"/>
        </w:rPr>
        <w:t>Zdroj: ČSÚ</w:t>
      </w:r>
      <w:r w:rsidRPr="00E708E8">
        <w:rPr>
          <w:rStyle w:val="ZdrojChar"/>
          <w:rFonts w:eastAsiaTheme="minorHAnsi"/>
        </w:rPr>
        <w:t xml:space="preserve">; zpracování </w:t>
      </w:r>
      <w:r>
        <w:rPr>
          <w:rStyle w:val="ZdrojChar"/>
          <w:rFonts w:eastAsiaTheme="minorHAnsi"/>
        </w:rPr>
        <w:t xml:space="preserve">a prognóza </w:t>
      </w:r>
      <w:r w:rsidRPr="00E708E8">
        <w:rPr>
          <w:rStyle w:val="ZdrojChar"/>
          <w:rFonts w:eastAsiaTheme="minorHAnsi"/>
        </w:rPr>
        <w:t>PROCES</w:t>
      </w:r>
      <w:r>
        <w:rPr>
          <w:rStyle w:val="ZdrojChar"/>
          <w:rFonts w:eastAsiaTheme="minorHAnsi"/>
        </w:rPr>
        <w:t>, 2020.</w:t>
      </w:r>
    </w:p>
    <w:p w14:paraId="0D7C5E12" w14:textId="77777777" w:rsidR="00E01070" w:rsidRDefault="00E01070" w:rsidP="00E01070">
      <w:r w:rsidRPr="00CD1AEC">
        <w:rPr>
          <w:b/>
        </w:rPr>
        <w:t>Do roku 2040 je očekáván výrazný nárůst počtu seniorů</w:t>
      </w:r>
      <w:r>
        <w:t xml:space="preserve">, tedy občanů od 65 let věku. Jejich počet se zvýší </w:t>
      </w:r>
      <w:r w:rsidRPr="00CD1AEC">
        <w:rPr>
          <w:b/>
        </w:rPr>
        <w:t>o téměř 2 400 osob</w:t>
      </w:r>
      <w:r>
        <w:t xml:space="preserve"> a budou tvořit 27,6 % celkové populace Zlína, což je o 5,2 % více než v roce 2019. </w:t>
      </w:r>
    </w:p>
    <w:p w14:paraId="7731857E" w14:textId="77777777" w:rsidR="00E01070" w:rsidRDefault="00E01070" w:rsidP="00E01070">
      <w:r>
        <w:t xml:space="preserve">Výrazný </w:t>
      </w:r>
      <w:r w:rsidRPr="00CD1AEC">
        <w:rPr>
          <w:b/>
        </w:rPr>
        <w:t>pokles je očekáván u produktivní složky obyvatelstva</w:t>
      </w:r>
      <w:r>
        <w:t xml:space="preserve"> mezi 15 a 64 lety, kterých bude v populaci o 3,5 % méně. Tento pokles představuje úbytek o 5 851 osob. </w:t>
      </w:r>
    </w:p>
    <w:p w14:paraId="41DB3260" w14:textId="41993982" w:rsidR="00E01070" w:rsidRDefault="00E01070" w:rsidP="00E01070">
      <w:r w:rsidRPr="00CD1AEC">
        <w:rPr>
          <w:b/>
        </w:rPr>
        <w:t>Značný pokles je dále očekáván u dětské složky obyvatel</w:t>
      </w:r>
      <w:r>
        <w:t xml:space="preserve">, </w:t>
      </w:r>
      <w:r w:rsidRPr="00CD1AEC">
        <w:rPr>
          <w:b/>
        </w:rPr>
        <w:t>kde ubyde</w:t>
      </w:r>
      <w:r>
        <w:t xml:space="preserve"> oproti roku 2019 </w:t>
      </w:r>
      <w:r w:rsidRPr="00CD1AEC">
        <w:rPr>
          <w:b/>
        </w:rPr>
        <w:t>téměř 2 000 dětí</w:t>
      </w:r>
      <w:r w:rsidR="00636678">
        <w:t xml:space="preserve"> (0 </w:t>
      </w:r>
      <w:r w:rsidR="00636678">
        <w:sym w:font="Symbol" w:char="F02D"/>
      </w:r>
      <w:r w:rsidR="00636678">
        <w:t xml:space="preserve"> </w:t>
      </w:r>
      <w:r>
        <w:t>14 let). Podíl dětí v populaci se sníží o 1,6 %.</w:t>
      </w:r>
    </w:p>
    <w:p w14:paraId="1128739B" w14:textId="042F83EE" w:rsidR="00E01070" w:rsidRDefault="00E01070" w:rsidP="00E01070">
      <w:pPr>
        <w:pStyle w:val="Titulek"/>
        <w:keepNext/>
      </w:pPr>
      <w:bookmarkStart w:id="1114" w:name="_Toc54702666"/>
      <w:bookmarkStart w:id="1115" w:name="_Toc56179473"/>
      <w:bookmarkStart w:id="1116" w:name="_Toc57731831"/>
      <w:bookmarkStart w:id="1117" w:name="_Toc77074815"/>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4</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6</w:t>
      </w:r>
      <w:r w:rsidR="004857C6">
        <w:rPr>
          <w:noProof/>
        </w:rPr>
        <w:fldChar w:fldCharType="end"/>
      </w:r>
      <w:r w:rsidR="002F528D">
        <w:rPr>
          <w:noProof/>
        </w:rPr>
        <w:t>:</w:t>
      </w:r>
      <w:r>
        <w:t xml:space="preserve"> Prognóza vývoje obyvatel dle věkových skupin do r. 2040</w:t>
      </w:r>
      <w:bookmarkEnd w:id="1114"/>
      <w:bookmarkEnd w:id="1115"/>
      <w:bookmarkEnd w:id="1116"/>
      <w:bookmarkEnd w:id="1117"/>
    </w:p>
    <w:tbl>
      <w:tblPr>
        <w:tblW w:w="5000" w:type="pct"/>
        <w:tblLayout w:type="fixed"/>
        <w:tblCellMar>
          <w:left w:w="70" w:type="dxa"/>
          <w:right w:w="70" w:type="dxa"/>
        </w:tblCellMar>
        <w:tblLook w:val="04A0" w:firstRow="1" w:lastRow="0" w:firstColumn="1" w:lastColumn="0" w:noHBand="0" w:noVBand="1"/>
      </w:tblPr>
      <w:tblGrid>
        <w:gridCol w:w="902"/>
        <w:gridCol w:w="902"/>
        <w:gridCol w:w="1185"/>
        <w:gridCol w:w="1186"/>
        <w:gridCol w:w="463"/>
        <w:gridCol w:w="760"/>
        <w:gridCol w:w="1259"/>
        <w:gridCol w:w="1260"/>
        <w:gridCol w:w="441"/>
        <w:gridCol w:w="684"/>
      </w:tblGrid>
      <w:tr w:rsidR="00E01070" w:rsidRPr="00B93BBF" w14:paraId="57486454" w14:textId="77777777" w:rsidTr="00FB7BF4">
        <w:trPr>
          <w:trHeight w:val="270"/>
          <w:tblHeader/>
        </w:trPr>
        <w:tc>
          <w:tcPr>
            <w:tcW w:w="499" w:type="pct"/>
            <w:vMerge w:val="restart"/>
            <w:tcBorders>
              <w:top w:val="double" w:sz="4" w:space="0" w:color="auto"/>
              <w:left w:val="double" w:sz="4" w:space="0" w:color="auto"/>
              <w:bottom w:val="single" w:sz="4" w:space="0" w:color="auto"/>
              <w:right w:val="single" w:sz="4" w:space="0" w:color="auto"/>
            </w:tcBorders>
            <w:shd w:val="clear" w:color="000000" w:fill="F2F2F2"/>
            <w:vAlign w:val="center"/>
            <w:hideMark/>
          </w:tcPr>
          <w:p w14:paraId="57E7B5E8" w14:textId="77777777" w:rsidR="00E01070" w:rsidRPr="00B93BBF" w:rsidRDefault="00E01070" w:rsidP="00FB7BF4">
            <w:pPr>
              <w:keepNext/>
              <w:spacing w:before="0"/>
              <w:jc w:val="center"/>
              <w:rPr>
                <w:rFonts w:ascii="Calibri" w:eastAsia="Times New Roman" w:hAnsi="Calibri" w:cs="Calibri"/>
                <w:b/>
                <w:bCs/>
                <w:sz w:val="20"/>
                <w:szCs w:val="20"/>
                <w:lang w:eastAsia="cs-CZ"/>
              </w:rPr>
            </w:pPr>
          </w:p>
        </w:tc>
        <w:tc>
          <w:tcPr>
            <w:tcW w:w="499" w:type="pct"/>
            <w:vMerge w:val="restart"/>
            <w:tcBorders>
              <w:top w:val="double" w:sz="4" w:space="0" w:color="auto"/>
              <w:left w:val="single" w:sz="4" w:space="0" w:color="auto"/>
              <w:bottom w:val="single" w:sz="4" w:space="0" w:color="auto"/>
              <w:right w:val="single" w:sz="4" w:space="0" w:color="auto"/>
            </w:tcBorders>
            <w:shd w:val="clear" w:color="000000" w:fill="F2F2F2"/>
            <w:vAlign w:val="center"/>
            <w:hideMark/>
          </w:tcPr>
          <w:p w14:paraId="6F3A72C0"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Věková skupina</w:t>
            </w:r>
          </w:p>
        </w:tc>
        <w:tc>
          <w:tcPr>
            <w:tcW w:w="1987" w:type="pct"/>
            <w:gridSpan w:val="4"/>
            <w:tcBorders>
              <w:top w:val="double" w:sz="4" w:space="0" w:color="auto"/>
              <w:left w:val="nil"/>
              <w:bottom w:val="single" w:sz="4" w:space="0" w:color="auto"/>
              <w:right w:val="single" w:sz="4" w:space="0" w:color="000000"/>
            </w:tcBorders>
            <w:shd w:val="clear" w:color="000000" w:fill="F2F2F2"/>
            <w:noWrap/>
            <w:vAlign w:val="center"/>
            <w:hideMark/>
          </w:tcPr>
          <w:p w14:paraId="3051180D"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Počet</w:t>
            </w:r>
          </w:p>
        </w:tc>
        <w:tc>
          <w:tcPr>
            <w:tcW w:w="2014" w:type="pct"/>
            <w:gridSpan w:val="4"/>
            <w:tcBorders>
              <w:top w:val="double" w:sz="4" w:space="0" w:color="auto"/>
              <w:left w:val="nil"/>
              <w:bottom w:val="single" w:sz="4" w:space="0" w:color="auto"/>
              <w:right w:val="double" w:sz="4" w:space="0" w:color="auto"/>
            </w:tcBorders>
            <w:shd w:val="clear" w:color="000000" w:fill="F2F2F2"/>
            <w:noWrap/>
            <w:vAlign w:val="center"/>
            <w:hideMark/>
          </w:tcPr>
          <w:p w14:paraId="32147E92"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Podíl</w:t>
            </w:r>
          </w:p>
        </w:tc>
      </w:tr>
      <w:tr w:rsidR="00E01070" w:rsidRPr="00B93BBF" w14:paraId="46568968" w14:textId="77777777" w:rsidTr="00FB7BF4">
        <w:trPr>
          <w:trHeight w:val="270"/>
          <w:tblHeader/>
        </w:trPr>
        <w:tc>
          <w:tcPr>
            <w:tcW w:w="499" w:type="pct"/>
            <w:vMerge/>
            <w:tcBorders>
              <w:top w:val="single" w:sz="4" w:space="0" w:color="auto"/>
              <w:left w:val="double" w:sz="4" w:space="0" w:color="auto"/>
              <w:bottom w:val="double" w:sz="4" w:space="0" w:color="auto"/>
              <w:right w:val="single" w:sz="4" w:space="0" w:color="auto"/>
            </w:tcBorders>
            <w:vAlign w:val="center"/>
            <w:hideMark/>
          </w:tcPr>
          <w:p w14:paraId="0F3DDAB0" w14:textId="77777777" w:rsidR="00E01070" w:rsidRPr="00B93BBF" w:rsidRDefault="00E01070" w:rsidP="00FB7BF4">
            <w:pPr>
              <w:keepNext/>
              <w:spacing w:before="0"/>
              <w:jc w:val="center"/>
              <w:rPr>
                <w:rFonts w:ascii="Calibri" w:eastAsia="Times New Roman" w:hAnsi="Calibri" w:cs="Calibri"/>
                <w:b/>
                <w:bCs/>
                <w:sz w:val="20"/>
                <w:szCs w:val="20"/>
                <w:lang w:eastAsia="cs-CZ"/>
              </w:rPr>
            </w:pPr>
          </w:p>
        </w:tc>
        <w:tc>
          <w:tcPr>
            <w:tcW w:w="499" w:type="pct"/>
            <w:vMerge/>
            <w:tcBorders>
              <w:top w:val="single" w:sz="4" w:space="0" w:color="auto"/>
              <w:left w:val="single" w:sz="4" w:space="0" w:color="auto"/>
              <w:bottom w:val="double" w:sz="4" w:space="0" w:color="auto"/>
              <w:right w:val="single" w:sz="4" w:space="0" w:color="auto"/>
            </w:tcBorders>
            <w:vAlign w:val="center"/>
            <w:hideMark/>
          </w:tcPr>
          <w:p w14:paraId="52FB4231" w14:textId="77777777" w:rsidR="00E01070" w:rsidRPr="00B93BBF" w:rsidRDefault="00E01070" w:rsidP="00FB7BF4">
            <w:pPr>
              <w:keepNext/>
              <w:spacing w:before="0"/>
              <w:jc w:val="center"/>
              <w:rPr>
                <w:rFonts w:ascii="Calibri" w:eastAsia="Times New Roman" w:hAnsi="Calibri" w:cs="Calibri"/>
                <w:b/>
                <w:bCs/>
                <w:sz w:val="20"/>
                <w:szCs w:val="20"/>
                <w:lang w:eastAsia="cs-CZ"/>
              </w:rPr>
            </w:pPr>
          </w:p>
        </w:tc>
        <w:tc>
          <w:tcPr>
            <w:tcW w:w="655" w:type="pct"/>
            <w:tcBorders>
              <w:top w:val="nil"/>
              <w:left w:val="nil"/>
              <w:bottom w:val="double" w:sz="4" w:space="0" w:color="auto"/>
              <w:right w:val="single" w:sz="4" w:space="0" w:color="auto"/>
            </w:tcBorders>
            <w:shd w:val="clear" w:color="000000" w:fill="F2F2F2"/>
            <w:noWrap/>
            <w:vAlign w:val="center"/>
            <w:hideMark/>
          </w:tcPr>
          <w:p w14:paraId="0C272ABF"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2019</w:t>
            </w:r>
          </w:p>
        </w:tc>
        <w:tc>
          <w:tcPr>
            <w:tcW w:w="656" w:type="pct"/>
            <w:tcBorders>
              <w:top w:val="nil"/>
              <w:left w:val="nil"/>
              <w:bottom w:val="double" w:sz="4" w:space="0" w:color="auto"/>
              <w:right w:val="single" w:sz="4" w:space="0" w:color="auto"/>
            </w:tcBorders>
            <w:shd w:val="clear" w:color="000000" w:fill="F2F2F2"/>
            <w:noWrap/>
            <w:vAlign w:val="center"/>
            <w:hideMark/>
          </w:tcPr>
          <w:p w14:paraId="559F85CD"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Pr>
                <w:rFonts w:ascii="Calibri" w:eastAsia="Times New Roman" w:hAnsi="Calibri" w:cs="Calibri"/>
                <w:b/>
                <w:bCs/>
                <w:sz w:val="20"/>
                <w:szCs w:val="20"/>
                <w:lang w:eastAsia="cs-CZ"/>
              </w:rPr>
              <w:t>2040</w:t>
            </w:r>
          </w:p>
        </w:tc>
        <w:tc>
          <w:tcPr>
            <w:tcW w:w="676" w:type="pct"/>
            <w:gridSpan w:val="2"/>
            <w:tcBorders>
              <w:top w:val="single" w:sz="4" w:space="0" w:color="auto"/>
              <w:left w:val="nil"/>
              <w:bottom w:val="double" w:sz="4" w:space="0" w:color="auto"/>
              <w:right w:val="single" w:sz="4" w:space="0" w:color="000000"/>
            </w:tcBorders>
            <w:shd w:val="clear" w:color="000000" w:fill="F2F2F2"/>
            <w:noWrap/>
            <w:vAlign w:val="center"/>
            <w:hideMark/>
          </w:tcPr>
          <w:p w14:paraId="63DCEDF3"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Rozdíl</w:t>
            </w:r>
          </w:p>
        </w:tc>
        <w:tc>
          <w:tcPr>
            <w:tcW w:w="696" w:type="pct"/>
            <w:tcBorders>
              <w:top w:val="single" w:sz="4" w:space="0" w:color="auto"/>
              <w:left w:val="single" w:sz="4" w:space="0" w:color="auto"/>
              <w:bottom w:val="double" w:sz="4" w:space="0" w:color="auto"/>
              <w:right w:val="single" w:sz="4" w:space="0" w:color="auto"/>
            </w:tcBorders>
            <w:shd w:val="clear" w:color="000000" w:fill="F2F2F2"/>
            <w:noWrap/>
            <w:vAlign w:val="center"/>
            <w:hideMark/>
          </w:tcPr>
          <w:p w14:paraId="2DA1735F"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2019</w:t>
            </w:r>
          </w:p>
        </w:tc>
        <w:tc>
          <w:tcPr>
            <w:tcW w:w="697" w:type="pct"/>
            <w:tcBorders>
              <w:top w:val="single" w:sz="4" w:space="0" w:color="auto"/>
              <w:left w:val="nil"/>
              <w:bottom w:val="double" w:sz="4" w:space="0" w:color="auto"/>
              <w:right w:val="single" w:sz="4" w:space="0" w:color="auto"/>
            </w:tcBorders>
            <w:shd w:val="clear" w:color="000000" w:fill="F2F2F2"/>
            <w:noWrap/>
            <w:vAlign w:val="center"/>
            <w:hideMark/>
          </w:tcPr>
          <w:p w14:paraId="25D3D32A"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Pr>
                <w:rFonts w:ascii="Calibri" w:eastAsia="Times New Roman" w:hAnsi="Calibri" w:cs="Calibri"/>
                <w:b/>
                <w:bCs/>
                <w:sz w:val="20"/>
                <w:szCs w:val="20"/>
                <w:lang w:eastAsia="cs-CZ"/>
              </w:rPr>
              <w:t>2040</w:t>
            </w:r>
          </w:p>
        </w:tc>
        <w:tc>
          <w:tcPr>
            <w:tcW w:w="622" w:type="pct"/>
            <w:gridSpan w:val="2"/>
            <w:tcBorders>
              <w:top w:val="single" w:sz="4" w:space="0" w:color="auto"/>
              <w:left w:val="single" w:sz="4" w:space="0" w:color="auto"/>
              <w:bottom w:val="double" w:sz="4" w:space="0" w:color="auto"/>
              <w:right w:val="double" w:sz="4" w:space="0" w:color="auto"/>
            </w:tcBorders>
            <w:shd w:val="clear" w:color="000000" w:fill="F2F2F2"/>
            <w:noWrap/>
            <w:vAlign w:val="center"/>
            <w:hideMark/>
          </w:tcPr>
          <w:p w14:paraId="4A58A8F5" w14:textId="77777777" w:rsidR="00E01070" w:rsidRPr="00B93BBF" w:rsidRDefault="00E01070" w:rsidP="00FB7BF4">
            <w:pPr>
              <w:keepNext/>
              <w:spacing w:before="0"/>
              <w:jc w:val="center"/>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Rozdíl</w:t>
            </w:r>
          </w:p>
        </w:tc>
      </w:tr>
      <w:tr w:rsidR="00E01070" w:rsidRPr="00B93BBF" w14:paraId="3288F3C5" w14:textId="77777777" w:rsidTr="00FB7BF4">
        <w:trPr>
          <w:cantSplit/>
          <w:trHeight w:val="255"/>
        </w:trPr>
        <w:tc>
          <w:tcPr>
            <w:tcW w:w="499" w:type="pct"/>
            <w:vMerge w:val="restart"/>
            <w:tcBorders>
              <w:top w:val="double" w:sz="4" w:space="0" w:color="auto"/>
              <w:left w:val="double" w:sz="4" w:space="0" w:color="auto"/>
              <w:bottom w:val="single" w:sz="4" w:space="0" w:color="auto"/>
              <w:right w:val="single" w:sz="4" w:space="0" w:color="auto"/>
            </w:tcBorders>
            <w:shd w:val="clear" w:color="000000" w:fill="F2F2F2"/>
            <w:vAlign w:val="center"/>
            <w:hideMark/>
          </w:tcPr>
          <w:p w14:paraId="00E242C9"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Celkem</w:t>
            </w:r>
          </w:p>
        </w:tc>
        <w:tc>
          <w:tcPr>
            <w:tcW w:w="499" w:type="pct"/>
            <w:tcBorders>
              <w:top w:val="double" w:sz="4" w:space="0" w:color="auto"/>
              <w:left w:val="nil"/>
              <w:bottom w:val="single" w:sz="4" w:space="0" w:color="auto"/>
              <w:right w:val="single" w:sz="4" w:space="0" w:color="auto"/>
            </w:tcBorders>
            <w:shd w:val="clear" w:color="000000" w:fill="F2F2F2"/>
            <w:vAlign w:val="center"/>
            <w:hideMark/>
          </w:tcPr>
          <w:p w14:paraId="0328D0FF"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0-14</w:t>
            </w:r>
          </w:p>
        </w:tc>
        <w:tc>
          <w:tcPr>
            <w:tcW w:w="655" w:type="pct"/>
            <w:tcBorders>
              <w:top w:val="double" w:sz="4" w:space="0" w:color="auto"/>
              <w:left w:val="nil"/>
              <w:bottom w:val="single" w:sz="4" w:space="0" w:color="auto"/>
              <w:right w:val="single" w:sz="4" w:space="0" w:color="auto"/>
            </w:tcBorders>
            <w:shd w:val="clear" w:color="auto" w:fill="auto"/>
            <w:noWrap/>
            <w:vAlign w:val="center"/>
            <w:hideMark/>
          </w:tcPr>
          <w:p w14:paraId="4FE66E0D"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11 328</w:t>
            </w:r>
          </w:p>
        </w:tc>
        <w:tc>
          <w:tcPr>
            <w:tcW w:w="656" w:type="pct"/>
            <w:tcBorders>
              <w:top w:val="double" w:sz="4" w:space="0" w:color="auto"/>
              <w:left w:val="nil"/>
              <w:bottom w:val="single" w:sz="4" w:space="0" w:color="auto"/>
              <w:right w:val="single" w:sz="4" w:space="0" w:color="auto"/>
            </w:tcBorders>
            <w:shd w:val="clear" w:color="auto" w:fill="auto"/>
            <w:noWrap/>
            <w:vAlign w:val="center"/>
            <w:hideMark/>
          </w:tcPr>
          <w:p w14:paraId="5618BC87"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9 376</w:t>
            </w:r>
          </w:p>
        </w:tc>
        <w:tc>
          <w:tcPr>
            <w:tcW w:w="256" w:type="pct"/>
            <w:tcBorders>
              <w:top w:val="double" w:sz="4" w:space="0" w:color="auto"/>
              <w:left w:val="single" w:sz="4" w:space="0" w:color="auto"/>
              <w:bottom w:val="single" w:sz="4" w:space="0" w:color="auto"/>
            </w:tcBorders>
            <w:shd w:val="clear" w:color="auto" w:fill="auto"/>
            <w:noWrap/>
            <w:vAlign w:val="center"/>
            <w:hideMark/>
          </w:tcPr>
          <w:p w14:paraId="0E05636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double" w:sz="4" w:space="0" w:color="auto"/>
              <w:left w:val="nil"/>
              <w:bottom w:val="single" w:sz="4" w:space="0" w:color="auto"/>
              <w:right w:val="single" w:sz="4" w:space="0" w:color="auto"/>
            </w:tcBorders>
            <w:shd w:val="clear" w:color="auto" w:fill="auto"/>
            <w:noWrap/>
            <w:vAlign w:val="center"/>
            <w:hideMark/>
          </w:tcPr>
          <w:p w14:paraId="7FC44B5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-1 952</w:t>
            </w:r>
          </w:p>
        </w:tc>
        <w:tc>
          <w:tcPr>
            <w:tcW w:w="696" w:type="pct"/>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88C889A"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15,1 </w:t>
            </w:r>
            <w:r w:rsidRPr="00B93BBF">
              <w:rPr>
                <w:rFonts w:ascii="Calibri" w:eastAsia="Times New Roman" w:hAnsi="Calibri" w:cs="Calibri"/>
                <w:sz w:val="20"/>
                <w:szCs w:val="20"/>
                <w:lang w:eastAsia="cs-CZ"/>
              </w:rPr>
              <w:t>%</w:t>
            </w:r>
          </w:p>
        </w:tc>
        <w:tc>
          <w:tcPr>
            <w:tcW w:w="697" w:type="pct"/>
            <w:tcBorders>
              <w:top w:val="double" w:sz="4" w:space="0" w:color="auto"/>
              <w:left w:val="nil"/>
              <w:bottom w:val="single" w:sz="4" w:space="0" w:color="auto"/>
              <w:right w:val="single" w:sz="4" w:space="0" w:color="auto"/>
            </w:tcBorders>
            <w:shd w:val="clear" w:color="auto" w:fill="auto"/>
            <w:noWrap/>
            <w:vAlign w:val="center"/>
            <w:hideMark/>
          </w:tcPr>
          <w:p w14:paraId="326156FC"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13,5 </w:t>
            </w:r>
            <w:r w:rsidRPr="00B93BBF">
              <w:rPr>
                <w:rFonts w:ascii="Calibri" w:eastAsia="Times New Roman" w:hAnsi="Calibri" w:cs="Calibri"/>
                <w:sz w:val="20"/>
                <w:szCs w:val="20"/>
                <w:lang w:eastAsia="cs-CZ"/>
              </w:rPr>
              <w:t>%</w:t>
            </w:r>
          </w:p>
        </w:tc>
        <w:tc>
          <w:tcPr>
            <w:tcW w:w="244" w:type="pct"/>
            <w:tcBorders>
              <w:top w:val="double" w:sz="4" w:space="0" w:color="auto"/>
              <w:left w:val="single" w:sz="4" w:space="0" w:color="auto"/>
              <w:bottom w:val="single" w:sz="4" w:space="0" w:color="auto"/>
            </w:tcBorders>
            <w:shd w:val="clear" w:color="auto" w:fill="auto"/>
            <w:noWrap/>
            <w:vAlign w:val="center"/>
            <w:hideMark/>
          </w:tcPr>
          <w:p w14:paraId="5B52CF9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378" w:type="pct"/>
            <w:tcBorders>
              <w:top w:val="double" w:sz="4" w:space="0" w:color="auto"/>
              <w:left w:val="nil"/>
              <w:bottom w:val="single" w:sz="4" w:space="0" w:color="auto"/>
              <w:right w:val="double" w:sz="4" w:space="0" w:color="auto"/>
            </w:tcBorders>
            <w:shd w:val="clear" w:color="auto" w:fill="auto"/>
            <w:noWrap/>
            <w:vAlign w:val="center"/>
            <w:hideMark/>
          </w:tcPr>
          <w:p w14:paraId="12F3EAF2"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-1,6</w:t>
            </w:r>
            <w:r>
              <w:rPr>
                <w:rFonts w:ascii="Calibri" w:eastAsia="Times New Roman" w:hAnsi="Calibri" w:cs="Calibri"/>
                <w:color w:val="FF0000"/>
                <w:sz w:val="20"/>
                <w:szCs w:val="20"/>
                <w:lang w:eastAsia="cs-CZ"/>
              </w:rPr>
              <w:t xml:space="preserve"> </w:t>
            </w:r>
            <w:r w:rsidRPr="00B93BBF">
              <w:rPr>
                <w:rFonts w:ascii="Calibri" w:eastAsia="Times New Roman" w:hAnsi="Calibri" w:cs="Calibri"/>
                <w:color w:val="FF0000"/>
                <w:sz w:val="20"/>
                <w:szCs w:val="20"/>
                <w:lang w:eastAsia="cs-CZ"/>
              </w:rPr>
              <w:t>%</w:t>
            </w:r>
          </w:p>
        </w:tc>
      </w:tr>
      <w:tr w:rsidR="00E01070" w:rsidRPr="00B93BBF" w14:paraId="5CA2DA66" w14:textId="77777777" w:rsidTr="00FB7BF4">
        <w:trPr>
          <w:cantSplit/>
          <w:trHeight w:val="255"/>
        </w:trPr>
        <w:tc>
          <w:tcPr>
            <w:tcW w:w="499" w:type="pct"/>
            <w:vMerge/>
            <w:tcBorders>
              <w:top w:val="nil"/>
              <w:left w:val="double" w:sz="4" w:space="0" w:color="auto"/>
              <w:bottom w:val="single" w:sz="4" w:space="0" w:color="auto"/>
              <w:right w:val="single" w:sz="4" w:space="0" w:color="auto"/>
            </w:tcBorders>
            <w:vAlign w:val="center"/>
            <w:hideMark/>
          </w:tcPr>
          <w:p w14:paraId="4AFCACB3"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single" w:sz="4" w:space="0" w:color="auto"/>
              <w:right w:val="single" w:sz="4" w:space="0" w:color="auto"/>
            </w:tcBorders>
            <w:shd w:val="clear" w:color="000000" w:fill="F2F2F2"/>
            <w:vAlign w:val="center"/>
            <w:hideMark/>
          </w:tcPr>
          <w:p w14:paraId="5A7A2A97"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15-64</w:t>
            </w:r>
          </w:p>
        </w:tc>
        <w:tc>
          <w:tcPr>
            <w:tcW w:w="655" w:type="pct"/>
            <w:tcBorders>
              <w:top w:val="nil"/>
              <w:left w:val="nil"/>
              <w:bottom w:val="single" w:sz="4" w:space="0" w:color="auto"/>
              <w:right w:val="single" w:sz="4" w:space="0" w:color="auto"/>
            </w:tcBorders>
            <w:shd w:val="clear" w:color="auto" w:fill="auto"/>
            <w:noWrap/>
            <w:vAlign w:val="center"/>
            <w:hideMark/>
          </w:tcPr>
          <w:p w14:paraId="1BC0BB59"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46 852</w:t>
            </w:r>
          </w:p>
        </w:tc>
        <w:tc>
          <w:tcPr>
            <w:tcW w:w="656" w:type="pct"/>
            <w:tcBorders>
              <w:top w:val="nil"/>
              <w:left w:val="nil"/>
              <w:bottom w:val="single" w:sz="4" w:space="0" w:color="auto"/>
              <w:right w:val="single" w:sz="4" w:space="0" w:color="auto"/>
            </w:tcBorders>
            <w:shd w:val="clear" w:color="auto" w:fill="auto"/>
            <w:noWrap/>
            <w:vAlign w:val="center"/>
            <w:hideMark/>
          </w:tcPr>
          <w:p w14:paraId="4BE00CAA"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41 001</w:t>
            </w:r>
          </w:p>
        </w:tc>
        <w:tc>
          <w:tcPr>
            <w:tcW w:w="256" w:type="pct"/>
            <w:tcBorders>
              <w:top w:val="single" w:sz="4" w:space="0" w:color="auto"/>
              <w:left w:val="single" w:sz="4" w:space="0" w:color="auto"/>
              <w:bottom w:val="single" w:sz="4" w:space="0" w:color="auto"/>
            </w:tcBorders>
            <w:shd w:val="clear" w:color="auto" w:fill="auto"/>
            <w:noWrap/>
            <w:vAlign w:val="center"/>
            <w:hideMark/>
          </w:tcPr>
          <w:p w14:paraId="6D52AC99"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nil"/>
              <w:left w:val="nil"/>
              <w:bottom w:val="single" w:sz="4" w:space="0" w:color="auto"/>
              <w:right w:val="single" w:sz="4" w:space="0" w:color="auto"/>
            </w:tcBorders>
            <w:shd w:val="clear" w:color="auto" w:fill="auto"/>
            <w:noWrap/>
            <w:vAlign w:val="center"/>
            <w:hideMark/>
          </w:tcPr>
          <w:p w14:paraId="17B4576E"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-5 851</w:t>
            </w:r>
          </w:p>
        </w:tc>
        <w:tc>
          <w:tcPr>
            <w:tcW w:w="696" w:type="pct"/>
            <w:tcBorders>
              <w:top w:val="nil"/>
              <w:left w:val="single" w:sz="4" w:space="0" w:color="auto"/>
              <w:bottom w:val="single" w:sz="4" w:space="0" w:color="auto"/>
              <w:right w:val="single" w:sz="4" w:space="0" w:color="auto"/>
            </w:tcBorders>
            <w:shd w:val="clear" w:color="auto" w:fill="auto"/>
            <w:noWrap/>
            <w:vAlign w:val="center"/>
            <w:hideMark/>
          </w:tcPr>
          <w:p w14:paraId="7C8AD586"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62,5 </w:t>
            </w:r>
            <w:r w:rsidRPr="00B93BBF">
              <w:rPr>
                <w:rFonts w:ascii="Calibri" w:eastAsia="Times New Roman" w:hAnsi="Calibri" w:cs="Calibri"/>
                <w:sz w:val="20"/>
                <w:szCs w:val="20"/>
                <w:lang w:eastAsia="cs-CZ"/>
              </w:rPr>
              <w:t>%</w:t>
            </w:r>
          </w:p>
        </w:tc>
        <w:tc>
          <w:tcPr>
            <w:tcW w:w="697" w:type="pct"/>
            <w:tcBorders>
              <w:top w:val="nil"/>
              <w:left w:val="nil"/>
              <w:bottom w:val="single" w:sz="4" w:space="0" w:color="auto"/>
              <w:right w:val="single" w:sz="4" w:space="0" w:color="auto"/>
            </w:tcBorders>
            <w:shd w:val="clear" w:color="auto" w:fill="auto"/>
            <w:noWrap/>
            <w:vAlign w:val="center"/>
            <w:hideMark/>
          </w:tcPr>
          <w:p w14:paraId="752E6937"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58,9 </w:t>
            </w:r>
            <w:r w:rsidRPr="00B93BBF">
              <w:rPr>
                <w:rFonts w:ascii="Calibri" w:eastAsia="Times New Roman" w:hAnsi="Calibri" w:cs="Calibri"/>
                <w:sz w:val="20"/>
                <w:szCs w:val="20"/>
                <w:lang w:eastAsia="cs-CZ"/>
              </w:rPr>
              <w:t>%</w:t>
            </w:r>
          </w:p>
        </w:tc>
        <w:tc>
          <w:tcPr>
            <w:tcW w:w="244" w:type="pct"/>
            <w:tcBorders>
              <w:top w:val="single" w:sz="4" w:space="0" w:color="auto"/>
              <w:left w:val="single" w:sz="4" w:space="0" w:color="auto"/>
              <w:bottom w:val="single" w:sz="4" w:space="0" w:color="auto"/>
            </w:tcBorders>
            <w:shd w:val="clear" w:color="auto" w:fill="auto"/>
            <w:noWrap/>
            <w:vAlign w:val="center"/>
            <w:hideMark/>
          </w:tcPr>
          <w:p w14:paraId="108766C8"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378" w:type="pct"/>
            <w:tcBorders>
              <w:top w:val="nil"/>
              <w:left w:val="nil"/>
              <w:bottom w:val="single" w:sz="4" w:space="0" w:color="auto"/>
              <w:right w:val="double" w:sz="4" w:space="0" w:color="auto"/>
            </w:tcBorders>
            <w:shd w:val="clear" w:color="auto" w:fill="auto"/>
            <w:noWrap/>
            <w:vAlign w:val="center"/>
            <w:hideMark/>
          </w:tcPr>
          <w:p w14:paraId="357ECD9D"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-3,5</w:t>
            </w:r>
            <w:r>
              <w:rPr>
                <w:rFonts w:ascii="Calibri" w:eastAsia="Times New Roman" w:hAnsi="Calibri" w:cs="Calibri"/>
                <w:color w:val="FF0000"/>
                <w:sz w:val="20"/>
                <w:szCs w:val="20"/>
                <w:lang w:eastAsia="cs-CZ"/>
              </w:rPr>
              <w:t xml:space="preserve"> </w:t>
            </w:r>
            <w:r w:rsidRPr="00B93BBF">
              <w:rPr>
                <w:rFonts w:ascii="Calibri" w:eastAsia="Times New Roman" w:hAnsi="Calibri" w:cs="Calibri"/>
                <w:color w:val="FF0000"/>
                <w:sz w:val="20"/>
                <w:szCs w:val="20"/>
                <w:lang w:eastAsia="cs-CZ"/>
              </w:rPr>
              <w:t>%</w:t>
            </w:r>
          </w:p>
        </w:tc>
      </w:tr>
      <w:tr w:rsidR="00E01070" w:rsidRPr="00B93BBF" w14:paraId="1360E9F3" w14:textId="77777777" w:rsidTr="00FB7BF4">
        <w:trPr>
          <w:cantSplit/>
          <w:trHeight w:val="255"/>
        </w:trPr>
        <w:tc>
          <w:tcPr>
            <w:tcW w:w="499" w:type="pct"/>
            <w:vMerge/>
            <w:tcBorders>
              <w:top w:val="nil"/>
              <w:left w:val="double" w:sz="4" w:space="0" w:color="auto"/>
              <w:bottom w:val="single" w:sz="4" w:space="0" w:color="auto"/>
              <w:right w:val="single" w:sz="4" w:space="0" w:color="auto"/>
            </w:tcBorders>
            <w:vAlign w:val="center"/>
            <w:hideMark/>
          </w:tcPr>
          <w:p w14:paraId="6EA15724"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single" w:sz="4" w:space="0" w:color="auto"/>
              <w:right w:val="single" w:sz="4" w:space="0" w:color="auto"/>
            </w:tcBorders>
            <w:shd w:val="clear" w:color="000000" w:fill="F2F2F2"/>
            <w:vAlign w:val="center"/>
            <w:hideMark/>
          </w:tcPr>
          <w:p w14:paraId="3E98E2FC"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65+</w:t>
            </w:r>
          </w:p>
        </w:tc>
        <w:tc>
          <w:tcPr>
            <w:tcW w:w="655" w:type="pct"/>
            <w:tcBorders>
              <w:top w:val="nil"/>
              <w:left w:val="nil"/>
              <w:bottom w:val="single" w:sz="4" w:space="0" w:color="auto"/>
              <w:right w:val="single" w:sz="4" w:space="0" w:color="auto"/>
            </w:tcBorders>
            <w:shd w:val="clear" w:color="auto" w:fill="auto"/>
            <w:noWrap/>
            <w:vAlign w:val="center"/>
            <w:hideMark/>
          </w:tcPr>
          <w:p w14:paraId="0A48AE66"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16 817</w:t>
            </w:r>
          </w:p>
        </w:tc>
        <w:tc>
          <w:tcPr>
            <w:tcW w:w="656" w:type="pct"/>
            <w:tcBorders>
              <w:top w:val="nil"/>
              <w:left w:val="nil"/>
              <w:bottom w:val="single" w:sz="4" w:space="0" w:color="auto"/>
              <w:right w:val="single" w:sz="4" w:space="0" w:color="auto"/>
            </w:tcBorders>
            <w:shd w:val="clear" w:color="auto" w:fill="auto"/>
            <w:noWrap/>
            <w:vAlign w:val="center"/>
            <w:hideMark/>
          </w:tcPr>
          <w:p w14:paraId="21573228"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19 194</w:t>
            </w:r>
          </w:p>
        </w:tc>
        <w:tc>
          <w:tcPr>
            <w:tcW w:w="256" w:type="pct"/>
            <w:tcBorders>
              <w:top w:val="single" w:sz="4" w:space="0" w:color="auto"/>
              <w:left w:val="single" w:sz="4" w:space="0" w:color="auto"/>
              <w:bottom w:val="single" w:sz="4" w:space="0" w:color="auto"/>
            </w:tcBorders>
            <w:shd w:val="clear" w:color="auto" w:fill="auto"/>
            <w:noWrap/>
            <w:vAlign w:val="center"/>
            <w:hideMark/>
          </w:tcPr>
          <w:p w14:paraId="292BFDBA"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008000"/>
                <w:sz w:val="20"/>
                <w:szCs w:val="20"/>
                <w:lang w:eastAsia="cs-CZ"/>
              </w:rPr>
              <w:t>▲</w:t>
            </w:r>
          </w:p>
        </w:tc>
        <w:tc>
          <w:tcPr>
            <w:tcW w:w="420" w:type="pct"/>
            <w:tcBorders>
              <w:top w:val="nil"/>
              <w:left w:val="nil"/>
              <w:bottom w:val="single" w:sz="4" w:space="0" w:color="auto"/>
              <w:right w:val="single" w:sz="4" w:space="0" w:color="auto"/>
            </w:tcBorders>
            <w:shd w:val="clear" w:color="auto" w:fill="auto"/>
            <w:noWrap/>
            <w:vAlign w:val="center"/>
            <w:hideMark/>
          </w:tcPr>
          <w:p w14:paraId="17B19034"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008000"/>
                <w:sz w:val="20"/>
                <w:szCs w:val="20"/>
                <w:lang w:eastAsia="cs-CZ"/>
              </w:rPr>
              <w:t>2 377</w:t>
            </w:r>
          </w:p>
        </w:tc>
        <w:tc>
          <w:tcPr>
            <w:tcW w:w="696" w:type="pct"/>
            <w:tcBorders>
              <w:top w:val="nil"/>
              <w:left w:val="single" w:sz="4" w:space="0" w:color="auto"/>
              <w:bottom w:val="single" w:sz="4" w:space="0" w:color="auto"/>
              <w:right w:val="single" w:sz="4" w:space="0" w:color="auto"/>
            </w:tcBorders>
            <w:shd w:val="clear" w:color="auto" w:fill="auto"/>
            <w:noWrap/>
            <w:vAlign w:val="center"/>
            <w:hideMark/>
          </w:tcPr>
          <w:p w14:paraId="11F5E73F"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22,4 </w:t>
            </w:r>
            <w:r w:rsidRPr="00B93BBF">
              <w:rPr>
                <w:rFonts w:ascii="Calibri" w:eastAsia="Times New Roman" w:hAnsi="Calibri" w:cs="Calibri"/>
                <w:sz w:val="20"/>
                <w:szCs w:val="20"/>
                <w:lang w:eastAsia="cs-CZ"/>
              </w:rPr>
              <w:t>%</w:t>
            </w:r>
          </w:p>
        </w:tc>
        <w:tc>
          <w:tcPr>
            <w:tcW w:w="697" w:type="pct"/>
            <w:tcBorders>
              <w:top w:val="nil"/>
              <w:left w:val="nil"/>
              <w:bottom w:val="single" w:sz="4" w:space="0" w:color="auto"/>
              <w:right w:val="single" w:sz="4" w:space="0" w:color="auto"/>
            </w:tcBorders>
            <w:shd w:val="clear" w:color="auto" w:fill="auto"/>
            <w:noWrap/>
            <w:vAlign w:val="center"/>
            <w:hideMark/>
          </w:tcPr>
          <w:p w14:paraId="21B512E3"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27,6 </w:t>
            </w:r>
            <w:r w:rsidRPr="00B93BBF">
              <w:rPr>
                <w:rFonts w:ascii="Calibri" w:eastAsia="Times New Roman" w:hAnsi="Calibri" w:cs="Calibri"/>
                <w:sz w:val="20"/>
                <w:szCs w:val="20"/>
                <w:lang w:eastAsia="cs-CZ"/>
              </w:rPr>
              <w:t>%</w:t>
            </w:r>
          </w:p>
        </w:tc>
        <w:tc>
          <w:tcPr>
            <w:tcW w:w="244" w:type="pct"/>
            <w:tcBorders>
              <w:top w:val="single" w:sz="4" w:space="0" w:color="auto"/>
              <w:left w:val="single" w:sz="4" w:space="0" w:color="auto"/>
              <w:bottom w:val="single" w:sz="4" w:space="0" w:color="auto"/>
            </w:tcBorders>
            <w:shd w:val="clear" w:color="auto" w:fill="auto"/>
            <w:noWrap/>
            <w:vAlign w:val="center"/>
            <w:hideMark/>
          </w:tcPr>
          <w:p w14:paraId="3AA24E61"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008000"/>
                <w:sz w:val="20"/>
                <w:szCs w:val="20"/>
                <w:lang w:eastAsia="cs-CZ"/>
              </w:rPr>
              <w:t>▲</w:t>
            </w:r>
          </w:p>
        </w:tc>
        <w:tc>
          <w:tcPr>
            <w:tcW w:w="378" w:type="pct"/>
            <w:tcBorders>
              <w:top w:val="nil"/>
              <w:left w:val="nil"/>
              <w:bottom w:val="single" w:sz="4" w:space="0" w:color="auto"/>
              <w:right w:val="double" w:sz="4" w:space="0" w:color="auto"/>
            </w:tcBorders>
            <w:shd w:val="clear" w:color="auto" w:fill="auto"/>
            <w:noWrap/>
            <w:vAlign w:val="center"/>
            <w:hideMark/>
          </w:tcPr>
          <w:p w14:paraId="7FA5B6C0"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008000"/>
                <w:sz w:val="20"/>
                <w:szCs w:val="20"/>
                <w:lang w:eastAsia="cs-CZ"/>
              </w:rPr>
              <w:t>5,2</w:t>
            </w:r>
            <w:r>
              <w:rPr>
                <w:rFonts w:ascii="Calibri" w:eastAsia="Times New Roman" w:hAnsi="Calibri" w:cs="Calibri"/>
                <w:color w:val="008000"/>
                <w:sz w:val="20"/>
                <w:szCs w:val="20"/>
                <w:lang w:eastAsia="cs-CZ"/>
              </w:rPr>
              <w:t xml:space="preserve"> </w:t>
            </w:r>
            <w:r w:rsidRPr="00B93BBF">
              <w:rPr>
                <w:rFonts w:ascii="Calibri" w:eastAsia="Times New Roman" w:hAnsi="Calibri" w:cs="Calibri"/>
                <w:color w:val="008000"/>
                <w:sz w:val="20"/>
                <w:szCs w:val="20"/>
                <w:lang w:eastAsia="cs-CZ"/>
              </w:rPr>
              <w:t>%</w:t>
            </w:r>
          </w:p>
        </w:tc>
      </w:tr>
      <w:tr w:rsidR="00E01070" w:rsidRPr="00B93BBF" w14:paraId="608212BE" w14:textId="77777777" w:rsidTr="00FB7BF4">
        <w:trPr>
          <w:cantSplit/>
          <w:trHeight w:val="255"/>
        </w:trPr>
        <w:tc>
          <w:tcPr>
            <w:tcW w:w="499" w:type="pct"/>
            <w:vMerge/>
            <w:tcBorders>
              <w:top w:val="nil"/>
              <w:left w:val="double" w:sz="4" w:space="0" w:color="auto"/>
              <w:bottom w:val="double" w:sz="4" w:space="0" w:color="auto"/>
              <w:right w:val="single" w:sz="4" w:space="0" w:color="auto"/>
            </w:tcBorders>
            <w:vAlign w:val="center"/>
            <w:hideMark/>
          </w:tcPr>
          <w:p w14:paraId="07FBCF0C"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double" w:sz="4" w:space="0" w:color="auto"/>
              <w:right w:val="single" w:sz="4" w:space="0" w:color="auto"/>
            </w:tcBorders>
            <w:shd w:val="clear" w:color="000000" w:fill="F2F2F2"/>
            <w:vAlign w:val="center"/>
            <w:hideMark/>
          </w:tcPr>
          <w:p w14:paraId="6242A293"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Celkem</w:t>
            </w:r>
          </w:p>
        </w:tc>
        <w:tc>
          <w:tcPr>
            <w:tcW w:w="655" w:type="pct"/>
            <w:tcBorders>
              <w:top w:val="nil"/>
              <w:left w:val="nil"/>
              <w:bottom w:val="double" w:sz="4" w:space="0" w:color="auto"/>
              <w:right w:val="single" w:sz="4" w:space="0" w:color="auto"/>
            </w:tcBorders>
            <w:shd w:val="clear" w:color="auto" w:fill="auto"/>
            <w:noWrap/>
            <w:vAlign w:val="center"/>
            <w:hideMark/>
          </w:tcPr>
          <w:p w14:paraId="3163C97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74 997</w:t>
            </w:r>
          </w:p>
        </w:tc>
        <w:tc>
          <w:tcPr>
            <w:tcW w:w="656" w:type="pct"/>
            <w:tcBorders>
              <w:top w:val="nil"/>
              <w:left w:val="nil"/>
              <w:bottom w:val="double" w:sz="4" w:space="0" w:color="auto"/>
              <w:right w:val="single" w:sz="4" w:space="0" w:color="auto"/>
            </w:tcBorders>
            <w:shd w:val="clear" w:color="auto" w:fill="auto"/>
            <w:noWrap/>
            <w:vAlign w:val="center"/>
            <w:hideMark/>
          </w:tcPr>
          <w:p w14:paraId="5C35329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69 571</w:t>
            </w:r>
          </w:p>
        </w:tc>
        <w:tc>
          <w:tcPr>
            <w:tcW w:w="256" w:type="pct"/>
            <w:tcBorders>
              <w:top w:val="single" w:sz="4" w:space="0" w:color="auto"/>
              <w:left w:val="single" w:sz="4" w:space="0" w:color="auto"/>
              <w:bottom w:val="double" w:sz="4" w:space="0" w:color="auto"/>
            </w:tcBorders>
            <w:shd w:val="clear" w:color="auto" w:fill="auto"/>
            <w:noWrap/>
            <w:vAlign w:val="center"/>
            <w:hideMark/>
          </w:tcPr>
          <w:p w14:paraId="7FE3EDC7"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nil"/>
              <w:left w:val="nil"/>
              <w:bottom w:val="double" w:sz="4" w:space="0" w:color="auto"/>
              <w:right w:val="single" w:sz="4" w:space="0" w:color="auto"/>
            </w:tcBorders>
            <w:shd w:val="clear" w:color="auto" w:fill="auto"/>
            <w:noWrap/>
            <w:vAlign w:val="center"/>
            <w:hideMark/>
          </w:tcPr>
          <w:p w14:paraId="6625DA56"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-5 426</w:t>
            </w:r>
          </w:p>
        </w:tc>
        <w:tc>
          <w:tcPr>
            <w:tcW w:w="696" w:type="pct"/>
            <w:tcBorders>
              <w:top w:val="single" w:sz="4" w:space="0" w:color="auto"/>
              <w:left w:val="nil"/>
              <w:bottom w:val="double" w:sz="4" w:space="0" w:color="auto"/>
              <w:right w:val="single" w:sz="4" w:space="0" w:color="auto"/>
            </w:tcBorders>
            <w:shd w:val="clear" w:color="auto" w:fill="auto"/>
            <w:noWrap/>
            <w:vAlign w:val="center"/>
            <w:hideMark/>
          </w:tcPr>
          <w:p w14:paraId="5535F693"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100</w:t>
            </w:r>
            <w:r>
              <w:rPr>
                <w:rFonts w:ascii="Calibri" w:eastAsia="Times New Roman" w:hAnsi="Calibri" w:cs="Calibri"/>
                <w:sz w:val="20"/>
                <w:szCs w:val="20"/>
                <w:lang w:eastAsia="cs-CZ"/>
              </w:rPr>
              <w:t xml:space="preserve"> </w:t>
            </w:r>
            <w:r w:rsidRPr="00B93BBF">
              <w:rPr>
                <w:rFonts w:ascii="Calibri" w:eastAsia="Times New Roman" w:hAnsi="Calibri" w:cs="Calibri"/>
                <w:sz w:val="20"/>
                <w:szCs w:val="20"/>
                <w:lang w:eastAsia="cs-CZ"/>
              </w:rPr>
              <w:t>%</w:t>
            </w:r>
          </w:p>
        </w:tc>
        <w:tc>
          <w:tcPr>
            <w:tcW w:w="697" w:type="pct"/>
            <w:tcBorders>
              <w:top w:val="single" w:sz="4" w:space="0" w:color="auto"/>
              <w:left w:val="nil"/>
              <w:bottom w:val="double" w:sz="4" w:space="0" w:color="auto"/>
              <w:right w:val="single" w:sz="4" w:space="0" w:color="auto"/>
            </w:tcBorders>
            <w:shd w:val="clear" w:color="auto" w:fill="auto"/>
            <w:noWrap/>
            <w:vAlign w:val="center"/>
            <w:hideMark/>
          </w:tcPr>
          <w:p w14:paraId="12413D5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100</w:t>
            </w:r>
            <w:r>
              <w:rPr>
                <w:rFonts w:ascii="Calibri" w:eastAsia="Times New Roman" w:hAnsi="Calibri" w:cs="Calibri"/>
                <w:sz w:val="20"/>
                <w:szCs w:val="20"/>
                <w:lang w:eastAsia="cs-CZ"/>
              </w:rPr>
              <w:t xml:space="preserve"> </w:t>
            </w:r>
            <w:r w:rsidRPr="00B93BBF">
              <w:rPr>
                <w:rFonts w:ascii="Calibri" w:eastAsia="Times New Roman" w:hAnsi="Calibri" w:cs="Calibri"/>
                <w:sz w:val="20"/>
                <w:szCs w:val="20"/>
                <w:lang w:eastAsia="cs-CZ"/>
              </w:rPr>
              <w:t>%</w:t>
            </w:r>
          </w:p>
        </w:tc>
        <w:tc>
          <w:tcPr>
            <w:tcW w:w="244" w:type="pct"/>
            <w:tcBorders>
              <w:top w:val="single" w:sz="4" w:space="0" w:color="auto"/>
              <w:left w:val="nil"/>
              <w:bottom w:val="double" w:sz="4" w:space="0" w:color="auto"/>
            </w:tcBorders>
            <w:shd w:val="clear" w:color="auto" w:fill="auto"/>
            <w:noWrap/>
            <w:vAlign w:val="center"/>
            <w:hideMark/>
          </w:tcPr>
          <w:p w14:paraId="6BDC226D"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 </w:t>
            </w:r>
          </w:p>
        </w:tc>
        <w:tc>
          <w:tcPr>
            <w:tcW w:w="378" w:type="pct"/>
            <w:tcBorders>
              <w:top w:val="nil"/>
              <w:left w:val="nil"/>
              <w:bottom w:val="double" w:sz="4" w:space="0" w:color="auto"/>
              <w:right w:val="double" w:sz="4" w:space="0" w:color="auto"/>
            </w:tcBorders>
            <w:shd w:val="clear" w:color="auto" w:fill="auto"/>
            <w:noWrap/>
            <w:vAlign w:val="center"/>
            <w:hideMark/>
          </w:tcPr>
          <w:p w14:paraId="7721A349"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 </w:t>
            </w:r>
            <w:r w:rsidRPr="00B93BBF">
              <w:rPr>
                <w:rFonts w:ascii="Calibri" w:eastAsia="Times New Roman" w:hAnsi="Calibri" w:cs="Calibri"/>
                <w:sz w:val="20"/>
                <w:szCs w:val="20"/>
                <w:lang w:eastAsia="cs-CZ"/>
              </w:rPr>
              <w:t> </w:t>
            </w:r>
          </w:p>
        </w:tc>
      </w:tr>
      <w:tr w:rsidR="00E01070" w:rsidRPr="00B93BBF" w14:paraId="12F9EFDC" w14:textId="77777777" w:rsidTr="00FB7BF4">
        <w:trPr>
          <w:cantSplit/>
          <w:trHeight w:val="255"/>
        </w:trPr>
        <w:tc>
          <w:tcPr>
            <w:tcW w:w="499" w:type="pct"/>
            <w:vMerge w:val="restart"/>
            <w:tcBorders>
              <w:top w:val="double" w:sz="4" w:space="0" w:color="auto"/>
              <w:left w:val="double" w:sz="4" w:space="0" w:color="auto"/>
              <w:bottom w:val="single" w:sz="4" w:space="0" w:color="auto"/>
              <w:right w:val="single" w:sz="4" w:space="0" w:color="auto"/>
            </w:tcBorders>
            <w:shd w:val="clear" w:color="000000" w:fill="F2F2F2"/>
            <w:vAlign w:val="center"/>
            <w:hideMark/>
          </w:tcPr>
          <w:p w14:paraId="7915DA29"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Muži</w:t>
            </w:r>
          </w:p>
        </w:tc>
        <w:tc>
          <w:tcPr>
            <w:tcW w:w="499" w:type="pct"/>
            <w:tcBorders>
              <w:top w:val="double" w:sz="4" w:space="0" w:color="auto"/>
              <w:left w:val="nil"/>
              <w:bottom w:val="single" w:sz="4" w:space="0" w:color="auto"/>
              <w:right w:val="single" w:sz="4" w:space="0" w:color="auto"/>
            </w:tcBorders>
            <w:shd w:val="clear" w:color="000000" w:fill="F2F2F2"/>
            <w:vAlign w:val="center"/>
            <w:hideMark/>
          </w:tcPr>
          <w:p w14:paraId="565F609D"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0-14</w:t>
            </w:r>
          </w:p>
        </w:tc>
        <w:tc>
          <w:tcPr>
            <w:tcW w:w="655" w:type="pct"/>
            <w:tcBorders>
              <w:top w:val="double" w:sz="4" w:space="0" w:color="auto"/>
              <w:left w:val="nil"/>
              <w:bottom w:val="single" w:sz="4" w:space="0" w:color="auto"/>
              <w:right w:val="single" w:sz="4" w:space="0" w:color="auto"/>
            </w:tcBorders>
            <w:shd w:val="clear" w:color="auto" w:fill="auto"/>
            <w:noWrap/>
            <w:vAlign w:val="center"/>
            <w:hideMark/>
          </w:tcPr>
          <w:p w14:paraId="240A3B7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5 778</w:t>
            </w:r>
          </w:p>
        </w:tc>
        <w:tc>
          <w:tcPr>
            <w:tcW w:w="656" w:type="pct"/>
            <w:tcBorders>
              <w:top w:val="double" w:sz="4" w:space="0" w:color="auto"/>
              <w:left w:val="nil"/>
              <w:bottom w:val="single" w:sz="4" w:space="0" w:color="auto"/>
              <w:right w:val="single" w:sz="4" w:space="0" w:color="auto"/>
            </w:tcBorders>
            <w:shd w:val="clear" w:color="auto" w:fill="auto"/>
            <w:noWrap/>
            <w:vAlign w:val="center"/>
            <w:hideMark/>
          </w:tcPr>
          <w:p w14:paraId="3798AC5C"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4 835</w:t>
            </w:r>
          </w:p>
        </w:tc>
        <w:tc>
          <w:tcPr>
            <w:tcW w:w="256" w:type="pct"/>
            <w:tcBorders>
              <w:top w:val="double" w:sz="4" w:space="0" w:color="auto"/>
              <w:left w:val="single" w:sz="4" w:space="0" w:color="auto"/>
              <w:bottom w:val="single" w:sz="4" w:space="0" w:color="auto"/>
            </w:tcBorders>
            <w:shd w:val="clear" w:color="auto" w:fill="auto"/>
            <w:noWrap/>
            <w:vAlign w:val="center"/>
            <w:hideMark/>
          </w:tcPr>
          <w:p w14:paraId="7719149E"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double" w:sz="4" w:space="0" w:color="auto"/>
              <w:left w:val="nil"/>
              <w:bottom w:val="single" w:sz="4" w:space="0" w:color="auto"/>
              <w:right w:val="single" w:sz="4" w:space="0" w:color="auto"/>
            </w:tcBorders>
            <w:shd w:val="clear" w:color="auto" w:fill="auto"/>
            <w:noWrap/>
            <w:vAlign w:val="center"/>
            <w:hideMark/>
          </w:tcPr>
          <w:p w14:paraId="1838F161"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-943</w:t>
            </w:r>
          </w:p>
        </w:tc>
        <w:tc>
          <w:tcPr>
            <w:tcW w:w="696" w:type="pct"/>
            <w:tcBorders>
              <w:top w:val="double" w:sz="4" w:space="0" w:color="auto"/>
              <w:left w:val="nil"/>
              <w:bottom w:val="single" w:sz="4" w:space="0" w:color="auto"/>
              <w:right w:val="single" w:sz="4" w:space="0" w:color="auto"/>
            </w:tcBorders>
            <w:shd w:val="clear" w:color="auto" w:fill="auto"/>
            <w:noWrap/>
            <w:vAlign w:val="center"/>
            <w:hideMark/>
          </w:tcPr>
          <w:p w14:paraId="5B90D301"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16,1 </w:t>
            </w:r>
            <w:r w:rsidRPr="00B93BBF">
              <w:rPr>
                <w:rFonts w:ascii="Calibri" w:eastAsia="Times New Roman" w:hAnsi="Calibri" w:cs="Calibri"/>
                <w:sz w:val="20"/>
                <w:szCs w:val="20"/>
                <w:lang w:eastAsia="cs-CZ"/>
              </w:rPr>
              <w:t>%</w:t>
            </w:r>
          </w:p>
        </w:tc>
        <w:tc>
          <w:tcPr>
            <w:tcW w:w="697" w:type="pct"/>
            <w:tcBorders>
              <w:top w:val="double" w:sz="4" w:space="0" w:color="auto"/>
              <w:left w:val="nil"/>
              <w:bottom w:val="single" w:sz="4" w:space="0" w:color="auto"/>
              <w:right w:val="single" w:sz="4" w:space="0" w:color="auto"/>
            </w:tcBorders>
            <w:shd w:val="clear" w:color="auto" w:fill="auto"/>
            <w:noWrap/>
            <w:vAlign w:val="center"/>
            <w:hideMark/>
          </w:tcPr>
          <w:p w14:paraId="5DFBB31D"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14,3 </w:t>
            </w:r>
            <w:r w:rsidRPr="00B93BBF">
              <w:rPr>
                <w:rFonts w:ascii="Calibri" w:eastAsia="Times New Roman" w:hAnsi="Calibri" w:cs="Calibri"/>
                <w:sz w:val="20"/>
                <w:szCs w:val="20"/>
                <w:lang w:eastAsia="cs-CZ"/>
              </w:rPr>
              <w:t>%</w:t>
            </w:r>
          </w:p>
        </w:tc>
        <w:tc>
          <w:tcPr>
            <w:tcW w:w="244" w:type="pct"/>
            <w:tcBorders>
              <w:top w:val="double" w:sz="4" w:space="0" w:color="auto"/>
              <w:left w:val="nil"/>
              <w:bottom w:val="single" w:sz="4" w:space="0" w:color="auto"/>
            </w:tcBorders>
            <w:shd w:val="clear" w:color="auto" w:fill="auto"/>
            <w:noWrap/>
            <w:vAlign w:val="center"/>
            <w:hideMark/>
          </w:tcPr>
          <w:p w14:paraId="1C135301"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378" w:type="pct"/>
            <w:tcBorders>
              <w:top w:val="double" w:sz="4" w:space="0" w:color="auto"/>
              <w:left w:val="nil"/>
              <w:bottom w:val="single" w:sz="4" w:space="0" w:color="auto"/>
              <w:right w:val="double" w:sz="4" w:space="0" w:color="auto"/>
            </w:tcBorders>
            <w:shd w:val="clear" w:color="auto" w:fill="auto"/>
            <w:noWrap/>
            <w:vAlign w:val="center"/>
            <w:hideMark/>
          </w:tcPr>
          <w:p w14:paraId="2C63FD52"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-1,8</w:t>
            </w:r>
            <w:r>
              <w:rPr>
                <w:rFonts w:ascii="Calibri" w:eastAsia="Times New Roman" w:hAnsi="Calibri" w:cs="Calibri"/>
                <w:color w:val="FF0000"/>
                <w:sz w:val="20"/>
                <w:szCs w:val="20"/>
                <w:lang w:eastAsia="cs-CZ"/>
              </w:rPr>
              <w:t xml:space="preserve"> </w:t>
            </w:r>
            <w:r w:rsidRPr="00B93BBF">
              <w:rPr>
                <w:rFonts w:ascii="Calibri" w:eastAsia="Times New Roman" w:hAnsi="Calibri" w:cs="Calibri"/>
                <w:color w:val="FF0000"/>
                <w:sz w:val="20"/>
                <w:szCs w:val="20"/>
                <w:lang w:eastAsia="cs-CZ"/>
              </w:rPr>
              <w:t>%</w:t>
            </w:r>
          </w:p>
        </w:tc>
      </w:tr>
      <w:tr w:rsidR="00E01070" w:rsidRPr="00B93BBF" w14:paraId="5749B76F" w14:textId="77777777" w:rsidTr="00FB7BF4">
        <w:trPr>
          <w:cantSplit/>
          <w:trHeight w:val="255"/>
        </w:trPr>
        <w:tc>
          <w:tcPr>
            <w:tcW w:w="499" w:type="pct"/>
            <w:vMerge/>
            <w:tcBorders>
              <w:top w:val="nil"/>
              <w:left w:val="double" w:sz="4" w:space="0" w:color="auto"/>
              <w:bottom w:val="single" w:sz="4" w:space="0" w:color="auto"/>
              <w:right w:val="single" w:sz="4" w:space="0" w:color="auto"/>
            </w:tcBorders>
            <w:vAlign w:val="center"/>
            <w:hideMark/>
          </w:tcPr>
          <w:p w14:paraId="19737FD3"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single" w:sz="4" w:space="0" w:color="auto"/>
              <w:right w:val="single" w:sz="4" w:space="0" w:color="auto"/>
            </w:tcBorders>
            <w:shd w:val="clear" w:color="000000" w:fill="F2F2F2"/>
            <w:vAlign w:val="center"/>
            <w:hideMark/>
          </w:tcPr>
          <w:p w14:paraId="7EFB7E44"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15-64</w:t>
            </w:r>
          </w:p>
        </w:tc>
        <w:tc>
          <w:tcPr>
            <w:tcW w:w="655" w:type="pct"/>
            <w:tcBorders>
              <w:top w:val="nil"/>
              <w:left w:val="nil"/>
              <w:bottom w:val="single" w:sz="4" w:space="0" w:color="auto"/>
              <w:right w:val="single" w:sz="4" w:space="0" w:color="auto"/>
            </w:tcBorders>
            <w:shd w:val="clear" w:color="auto" w:fill="auto"/>
            <w:noWrap/>
            <w:vAlign w:val="center"/>
            <w:hideMark/>
          </w:tcPr>
          <w:p w14:paraId="1127F4E3"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23 371</w:t>
            </w:r>
          </w:p>
        </w:tc>
        <w:tc>
          <w:tcPr>
            <w:tcW w:w="656" w:type="pct"/>
            <w:tcBorders>
              <w:top w:val="nil"/>
              <w:left w:val="nil"/>
              <w:bottom w:val="single" w:sz="4" w:space="0" w:color="auto"/>
              <w:right w:val="single" w:sz="4" w:space="0" w:color="auto"/>
            </w:tcBorders>
            <w:shd w:val="clear" w:color="auto" w:fill="auto"/>
            <w:noWrap/>
            <w:vAlign w:val="center"/>
            <w:hideMark/>
          </w:tcPr>
          <w:p w14:paraId="44EA5772"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20 932</w:t>
            </w:r>
          </w:p>
        </w:tc>
        <w:tc>
          <w:tcPr>
            <w:tcW w:w="256" w:type="pct"/>
            <w:tcBorders>
              <w:top w:val="single" w:sz="4" w:space="0" w:color="auto"/>
              <w:left w:val="single" w:sz="4" w:space="0" w:color="auto"/>
              <w:bottom w:val="single" w:sz="4" w:space="0" w:color="auto"/>
            </w:tcBorders>
            <w:shd w:val="clear" w:color="auto" w:fill="auto"/>
            <w:noWrap/>
            <w:vAlign w:val="center"/>
            <w:hideMark/>
          </w:tcPr>
          <w:p w14:paraId="6D2985F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nil"/>
              <w:left w:val="nil"/>
              <w:bottom w:val="single" w:sz="4" w:space="0" w:color="auto"/>
              <w:right w:val="single" w:sz="4" w:space="0" w:color="auto"/>
            </w:tcBorders>
            <w:shd w:val="clear" w:color="auto" w:fill="auto"/>
            <w:noWrap/>
            <w:vAlign w:val="center"/>
            <w:hideMark/>
          </w:tcPr>
          <w:p w14:paraId="6D05D8A7"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-2 439</w:t>
            </w:r>
          </w:p>
        </w:tc>
        <w:tc>
          <w:tcPr>
            <w:tcW w:w="696" w:type="pct"/>
            <w:tcBorders>
              <w:top w:val="nil"/>
              <w:left w:val="nil"/>
              <w:bottom w:val="single" w:sz="4" w:space="0" w:color="auto"/>
              <w:right w:val="single" w:sz="4" w:space="0" w:color="auto"/>
            </w:tcBorders>
            <w:shd w:val="clear" w:color="auto" w:fill="auto"/>
            <w:noWrap/>
            <w:vAlign w:val="center"/>
            <w:hideMark/>
          </w:tcPr>
          <w:p w14:paraId="14558338"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65,1 </w:t>
            </w:r>
            <w:r w:rsidRPr="00B93BBF">
              <w:rPr>
                <w:rFonts w:ascii="Calibri" w:eastAsia="Times New Roman" w:hAnsi="Calibri" w:cs="Calibri"/>
                <w:sz w:val="20"/>
                <w:szCs w:val="20"/>
                <w:lang w:eastAsia="cs-CZ"/>
              </w:rPr>
              <w:t>%</w:t>
            </w:r>
          </w:p>
        </w:tc>
        <w:tc>
          <w:tcPr>
            <w:tcW w:w="697" w:type="pct"/>
            <w:tcBorders>
              <w:top w:val="nil"/>
              <w:left w:val="nil"/>
              <w:bottom w:val="single" w:sz="4" w:space="0" w:color="auto"/>
              <w:right w:val="single" w:sz="4" w:space="0" w:color="auto"/>
            </w:tcBorders>
            <w:shd w:val="clear" w:color="auto" w:fill="auto"/>
            <w:noWrap/>
            <w:vAlign w:val="center"/>
            <w:hideMark/>
          </w:tcPr>
          <w:p w14:paraId="2F97BB42"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61,8 </w:t>
            </w:r>
            <w:r w:rsidRPr="00B93BBF">
              <w:rPr>
                <w:rFonts w:ascii="Calibri" w:eastAsia="Times New Roman" w:hAnsi="Calibri" w:cs="Calibri"/>
                <w:sz w:val="20"/>
                <w:szCs w:val="20"/>
                <w:lang w:eastAsia="cs-CZ"/>
              </w:rPr>
              <w:t>%</w:t>
            </w:r>
          </w:p>
        </w:tc>
        <w:tc>
          <w:tcPr>
            <w:tcW w:w="244" w:type="pct"/>
            <w:tcBorders>
              <w:top w:val="single" w:sz="4" w:space="0" w:color="auto"/>
              <w:left w:val="nil"/>
              <w:bottom w:val="single" w:sz="4" w:space="0" w:color="auto"/>
            </w:tcBorders>
            <w:shd w:val="clear" w:color="auto" w:fill="auto"/>
            <w:noWrap/>
            <w:vAlign w:val="center"/>
            <w:hideMark/>
          </w:tcPr>
          <w:p w14:paraId="6AF7AA7E"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378" w:type="pct"/>
            <w:tcBorders>
              <w:top w:val="nil"/>
              <w:left w:val="nil"/>
              <w:bottom w:val="single" w:sz="4" w:space="0" w:color="auto"/>
              <w:right w:val="double" w:sz="4" w:space="0" w:color="auto"/>
            </w:tcBorders>
            <w:shd w:val="clear" w:color="auto" w:fill="auto"/>
            <w:noWrap/>
            <w:vAlign w:val="center"/>
            <w:hideMark/>
          </w:tcPr>
          <w:p w14:paraId="3A54839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-3,3</w:t>
            </w:r>
            <w:r>
              <w:rPr>
                <w:rFonts w:ascii="Calibri" w:eastAsia="Times New Roman" w:hAnsi="Calibri" w:cs="Calibri"/>
                <w:color w:val="FF0000"/>
                <w:sz w:val="20"/>
                <w:szCs w:val="20"/>
                <w:lang w:eastAsia="cs-CZ"/>
              </w:rPr>
              <w:t xml:space="preserve"> </w:t>
            </w:r>
            <w:r w:rsidRPr="00B93BBF">
              <w:rPr>
                <w:rFonts w:ascii="Calibri" w:eastAsia="Times New Roman" w:hAnsi="Calibri" w:cs="Calibri"/>
                <w:color w:val="FF0000"/>
                <w:sz w:val="20"/>
                <w:szCs w:val="20"/>
                <w:lang w:eastAsia="cs-CZ"/>
              </w:rPr>
              <w:t>%</w:t>
            </w:r>
          </w:p>
        </w:tc>
      </w:tr>
      <w:tr w:rsidR="00E01070" w:rsidRPr="00B93BBF" w14:paraId="0AC583C5" w14:textId="77777777" w:rsidTr="00FB7BF4">
        <w:trPr>
          <w:cantSplit/>
          <w:trHeight w:val="255"/>
        </w:trPr>
        <w:tc>
          <w:tcPr>
            <w:tcW w:w="499" w:type="pct"/>
            <w:vMerge/>
            <w:tcBorders>
              <w:top w:val="nil"/>
              <w:left w:val="double" w:sz="4" w:space="0" w:color="auto"/>
              <w:bottom w:val="single" w:sz="4" w:space="0" w:color="auto"/>
              <w:right w:val="single" w:sz="4" w:space="0" w:color="auto"/>
            </w:tcBorders>
            <w:vAlign w:val="center"/>
            <w:hideMark/>
          </w:tcPr>
          <w:p w14:paraId="420F0D44"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single" w:sz="4" w:space="0" w:color="auto"/>
              <w:right w:val="single" w:sz="4" w:space="0" w:color="auto"/>
            </w:tcBorders>
            <w:shd w:val="clear" w:color="000000" w:fill="F2F2F2"/>
            <w:vAlign w:val="center"/>
            <w:hideMark/>
          </w:tcPr>
          <w:p w14:paraId="567CD1C7"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65+</w:t>
            </w:r>
          </w:p>
        </w:tc>
        <w:tc>
          <w:tcPr>
            <w:tcW w:w="655" w:type="pct"/>
            <w:tcBorders>
              <w:top w:val="nil"/>
              <w:left w:val="nil"/>
              <w:bottom w:val="single" w:sz="4" w:space="0" w:color="auto"/>
              <w:right w:val="single" w:sz="4" w:space="0" w:color="auto"/>
            </w:tcBorders>
            <w:shd w:val="clear" w:color="auto" w:fill="auto"/>
            <w:noWrap/>
            <w:vAlign w:val="center"/>
            <w:hideMark/>
          </w:tcPr>
          <w:p w14:paraId="0D88A499"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6 748</w:t>
            </w:r>
          </w:p>
        </w:tc>
        <w:tc>
          <w:tcPr>
            <w:tcW w:w="656" w:type="pct"/>
            <w:tcBorders>
              <w:top w:val="nil"/>
              <w:left w:val="nil"/>
              <w:bottom w:val="single" w:sz="4" w:space="0" w:color="auto"/>
              <w:right w:val="single" w:sz="4" w:space="0" w:color="auto"/>
            </w:tcBorders>
            <w:shd w:val="clear" w:color="auto" w:fill="auto"/>
            <w:noWrap/>
            <w:vAlign w:val="center"/>
            <w:hideMark/>
          </w:tcPr>
          <w:p w14:paraId="4E1F4B3C"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8 127</w:t>
            </w:r>
          </w:p>
        </w:tc>
        <w:tc>
          <w:tcPr>
            <w:tcW w:w="256" w:type="pct"/>
            <w:tcBorders>
              <w:top w:val="single" w:sz="4" w:space="0" w:color="auto"/>
              <w:left w:val="single" w:sz="4" w:space="0" w:color="auto"/>
              <w:bottom w:val="single" w:sz="4" w:space="0" w:color="auto"/>
            </w:tcBorders>
            <w:shd w:val="clear" w:color="auto" w:fill="auto"/>
            <w:noWrap/>
            <w:vAlign w:val="center"/>
            <w:hideMark/>
          </w:tcPr>
          <w:p w14:paraId="21962BD8"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008000"/>
                <w:sz w:val="20"/>
                <w:szCs w:val="20"/>
                <w:lang w:eastAsia="cs-CZ"/>
              </w:rPr>
              <w:t>▲</w:t>
            </w:r>
          </w:p>
        </w:tc>
        <w:tc>
          <w:tcPr>
            <w:tcW w:w="420" w:type="pct"/>
            <w:tcBorders>
              <w:top w:val="nil"/>
              <w:left w:val="nil"/>
              <w:bottom w:val="single" w:sz="4" w:space="0" w:color="auto"/>
              <w:right w:val="single" w:sz="4" w:space="0" w:color="auto"/>
            </w:tcBorders>
            <w:shd w:val="clear" w:color="auto" w:fill="auto"/>
            <w:noWrap/>
            <w:vAlign w:val="center"/>
            <w:hideMark/>
          </w:tcPr>
          <w:p w14:paraId="191CB84A"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008000"/>
                <w:sz w:val="20"/>
                <w:szCs w:val="20"/>
                <w:lang w:eastAsia="cs-CZ"/>
              </w:rPr>
              <w:t>1 379</w:t>
            </w:r>
          </w:p>
        </w:tc>
        <w:tc>
          <w:tcPr>
            <w:tcW w:w="696" w:type="pct"/>
            <w:tcBorders>
              <w:top w:val="nil"/>
              <w:left w:val="nil"/>
              <w:bottom w:val="single" w:sz="4" w:space="0" w:color="auto"/>
              <w:right w:val="single" w:sz="4" w:space="0" w:color="auto"/>
            </w:tcBorders>
            <w:shd w:val="clear" w:color="auto" w:fill="auto"/>
            <w:noWrap/>
            <w:vAlign w:val="center"/>
            <w:hideMark/>
          </w:tcPr>
          <w:p w14:paraId="7DD6B8E9"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18,8 </w:t>
            </w:r>
            <w:r w:rsidRPr="00B93BBF">
              <w:rPr>
                <w:rFonts w:ascii="Calibri" w:eastAsia="Times New Roman" w:hAnsi="Calibri" w:cs="Calibri"/>
                <w:sz w:val="20"/>
                <w:szCs w:val="20"/>
                <w:lang w:eastAsia="cs-CZ"/>
              </w:rPr>
              <w:t>%</w:t>
            </w:r>
          </w:p>
        </w:tc>
        <w:tc>
          <w:tcPr>
            <w:tcW w:w="697" w:type="pct"/>
            <w:tcBorders>
              <w:top w:val="nil"/>
              <w:left w:val="nil"/>
              <w:bottom w:val="single" w:sz="4" w:space="0" w:color="auto"/>
              <w:right w:val="single" w:sz="4" w:space="0" w:color="auto"/>
            </w:tcBorders>
            <w:shd w:val="clear" w:color="auto" w:fill="auto"/>
            <w:noWrap/>
            <w:vAlign w:val="center"/>
            <w:hideMark/>
          </w:tcPr>
          <w:p w14:paraId="3180AE2B"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24,0 </w:t>
            </w:r>
            <w:r w:rsidRPr="00B93BBF">
              <w:rPr>
                <w:rFonts w:ascii="Calibri" w:eastAsia="Times New Roman" w:hAnsi="Calibri" w:cs="Calibri"/>
                <w:sz w:val="20"/>
                <w:szCs w:val="20"/>
                <w:lang w:eastAsia="cs-CZ"/>
              </w:rPr>
              <w:t>%</w:t>
            </w:r>
          </w:p>
        </w:tc>
        <w:tc>
          <w:tcPr>
            <w:tcW w:w="244" w:type="pct"/>
            <w:tcBorders>
              <w:top w:val="single" w:sz="4" w:space="0" w:color="auto"/>
              <w:left w:val="nil"/>
              <w:bottom w:val="single" w:sz="4" w:space="0" w:color="auto"/>
            </w:tcBorders>
            <w:shd w:val="clear" w:color="auto" w:fill="auto"/>
            <w:noWrap/>
            <w:vAlign w:val="center"/>
            <w:hideMark/>
          </w:tcPr>
          <w:p w14:paraId="30A67446"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008000"/>
                <w:sz w:val="20"/>
                <w:szCs w:val="20"/>
                <w:lang w:eastAsia="cs-CZ"/>
              </w:rPr>
              <w:t>▲</w:t>
            </w:r>
          </w:p>
        </w:tc>
        <w:tc>
          <w:tcPr>
            <w:tcW w:w="378" w:type="pct"/>
            <w:tcBorders>
              <w:top w:val="nil"/>
              <w:left w:val="nil"/>
              <w:bottom w:val="single" w:sz="4" w:space="0" w:color="auto"/>
              <w:right w:val="double" w:sz="4" w:space="0" w:color="auto"/>
            </w:tcBorders>
            <w:shd w:val="clear" w:color="auto" w:fill="auto"/>
            <w:noWrap/>
            <w:vAlign w:val="center"/>
            <w:hideMark/>
          </w:tcPr>
          <w:p w14:paraId="7CC7744C"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008000"/>
                <w:sz w:val="20"/>
                <w:szCs w:val="20"/>
                <w:lang w:eastAsia="cs-CZ"/>
              </w:rPr>
              <w:t>5,2</w:t>
            </w:r>
            <w:r>
              <w:rPr>
                <w:rFonts w:ascii="Calibri" w:eastAsia="Times New Roman" w:hAnsi="Calibri" w:cs="Calibri"/>
                <w:color w:val="008000"/>
                <w:sz w:val="20"/>
                <w:szCs w:val="20"/>
                <w:lang w:eastAsia="cs-CZ"/>
              </w:rPr>
              <w:t xml:space="preserve"> </w:t>
            </w:r>
            <w:r w:rsidRPr="00B93BBF">
              <w:rPr>
                <w:rFonts w:ascii="Calibri" w:eastAsia="Times New Roman" w:hAnsi="Calibri" w:cs="Calibri"/>
                <w:color w:val="008000"/>
                <w:sz w:val="20"/>
                <w:szCs w:val="20"/>
                <w:lang w:eastAsia="cs-CZ"/>
              </w:rPr>
              <w:t>%</w:t>
            </w:r>
          </w:p>
        </w:tc>
      </w:tr>
      <w:tr w:rsidR="00E01070" w:rsidRPr="00B93BBF" w14:paraId="3DB87628" w14:textId="77777777" w:rsidTr="00FB7BF4">
        <w:trPr>
          <w:cantSplit/>
          <w:trHeight w:val="255"/>
        </w:trPr>
        <w:tc>
          <w:tcPr>
            <w:tcW w:w="499" w:type="pct"/>
            <w:vMerge/>
            <w:tcBorders>
              <w:top w:val="nil"/>
              <w:left w:val="double" w:sz="4" w:space="0" w:color="auto"/>
              <w:bottom w:val="double" w:sz="4" w:space="0" w:color="auto"/>
              <w:right w:val="single" w:sz="4" w:space="0" w:color="auto"/>
            </w:tcBorders>
            <w:vAlign w:val="center"/>
            <w:hideMark/>
          </w:tcPr>
          <w:p w14:paraId="565CCF4B"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double" w:sz="4" w:space="0" w:color="auto"/>
              <w:right w:val="single" w:sz="4" w:space="0" w:color="auto"/>
            </w:tcBorders>
            <w:shd w:val="clear" w:color="000000" w:fill="F2F2F2"/>
            <w:vAlign w:val="center"/>
            <w:hideMark/>
          </w:tcPr>
          <w:p w14:paraId="418948F6"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Celkem</w:t>
            </w:r>
          </w:p>
        </w:tc>
        <w:tc>
          <w:tcPr>
            <w:tcW w:w="655" w:type="pct"/>
            <w:tcBorders>
              <w:top w:val="nil"/>
              <w:left w:val="nil"/>
              <w:bottom w:val="double" w:sz="4" w:space="0" w:color="auto"/>
              <w:right w:val="single" w:sz="4" w:space="0" w:color="auto"/>
            </w:tcBorders>
            <w:shd w:val="clear" w:color="auto" w:fill="auto"/>
            <w:noWrap/>
            <w:vAlign w:val="center"/>
            <w:hideMark/>
          </w:tcPr>
          <w:p w14:paraId="4AC0E19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35 897</w:t>
            </w:r>
          </w:p>
        </w:tc>
        <w:tc>
          <w:tcPr>
            <w:tcW w:w="656" w:type="pct"/>
            <w:tcBorders>
              <w:top w:val="nil"/>
              <w:left w:val="nil"/>
              <w:bottom w:val="double" w:sz="4" w:space="0" w:color="auto"/>
              <w:right w:val="single" w:sz="4" w:space="0" w:color="auto"/>
            </w:tcBorders>
            <w:shd w:val="clear" w:color="auto" w:fill="auto"/>
            <w:noWrap/>
            <w:vAlign w:val="center"/>
            <w:hideMark/>
          </w:tcPr>
          <w:p w14:paraId="649BC1C9"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33 894</w:t>
            </w:r>
          </w:p>
        </w:tc>
        <w:tc>
          <w:tcPr>
            <w:tcW w:w="256" w:type="pct"/>
            <w:tcBorders>
              <w:top w:val="single" w:sz="4" w:space="0" w:color="auto"/>
              <w:left w:val="single" w:sz="4" w:space="0" w:color="auto"/>
              <w:bottom w:val="double" w:sz="4" w:space="0" w:color="auto"/>
            </w:tcBorders>
            <w:shd w:val="clear" w:color="auto" w:fill="auto"/>
            <w:noWrap/>
            <w:vAlign w:val="center"/>
            <w:hideMark/>
          </w:tcPr>
          <w:p w14:paraId="46662AFD"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nil"/>
              <w:left w:val="nil"/>
              <w:bottom w:val="double" w:sz="4" w:space="0" w:color="auto"/>
              <w:right w:val="single" w:sz="4" w:space="0" w:color="auto"/>
            </w:tcBorders>
            <w:shd w:val="clear" w:color="auto" w:fill="auto"/>
            <w:noWrap/>
            <w:vAlign w:val="center"/>
            <w:hideMark/>
          </w:tcPr>
          <w:p w14:paraId="588C061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-2 003</w:t>
            </w:r>
          </w:p>
        </w:tc>
        <w:tc>
          <w:tcPr>
            <w:tcW w:w="696" w:type="pct"/>
            <w:tcBorders>
              <w:top w:val="nil"/>
              <w:left w:val="nil"/>
              <w:bottom w:val="double" w:sz="4" w:space="0" w:color="auto"/>
              <w:right w:val="single" w:sz="4" w:space="0" w:color="auto"/>
            </w:tcBorders>
            <w:shd w:val="clear" w:color="auto" w:fill="auto"/>
            <w:noWrap/>
            <w:vAlign w:val="center"/>
            <w:hideMark/>
          </w:tcPr>
          <w:p w14:paraId="0ED3C7C7"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100</w:t>
            </w:r>
            <w:r>
              <w:rPr>
                <w:rFonts w:ascii="Calibri" w:eastAsia="Times New Roman" w:hAnsi="Calibri" w:cs="Calibri"/>
                <w:sz w:val="20"/>
                <w:szCs w:val="20"/>
                <w:lang w:eastAsia="cs-CZ"/>
              </w:rPr>
              <w:t xml:space="preserve"> </w:t>
            </w:r>
            <w:r w:rsidRPr="00B93BBF">
              <w:rPr>
                <w:rFonts w:ascii="Calibri" w:eastAsia="Times New Roman" w:hAnsi="Calibri" w:cs="Calibri"/>
                <w:sz w:val="20"/>
                <w:szCs w:val="20"/>
                <w:lang w:eastAsia="cs-CZ"/>
              </w:rPr>
              <w:t>%</w:t>
            </w:r>
          </w:p>
        </w:tc>
        <w:tc>
          <w:tcPr>
            <w:tcW w:w="697" w:type="pct"/>
            <w:tcBorders>
              <w:top w:val="nil"/>
              <w:left w:val="nil"/>
              <w:bottom w:val="double" w:sz="4" w:space="0" w:color="auto"/>
              <w:right w:val="single" w:sz="4" w:space="0" w:color="auto"/>
            </w:tcBorders>
            <w:shd w:val="clear" w:color="auto" w:fill="auto"/>
            <w:noWrap/>
            <w:vAlign w:val="center"/>
            <w:hideMark/>
          </w:tcPr>
          <w:p w14:paraId="6DA3E213"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100%</w:t>
            </w:r>
          </w:p>
        </w:tc>
        <w:tc>
          <w:tcPr>
            <w:tcW w:w="244" w:type="pct"/>
            <w:tcBorders>
              <w:top w:val="single" w:sz="4" w:space="0" w:color="auto"/>
              <w:left w:val="nil"/>
              <w:bottom w:val="double" w:sz="4" w:space="0" w:color="auto"/>
            </w:tcBorders>
            <w:shd w:val="clear" w:color="auto" w:fill="auto"/>
            <w:noWrap/>
            <w:vAlign w:val="center"/>
            <w:hideMark/>
          </w:tcPr>
          <w:p w14:paraId="4324E95D"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 </w:t>
            </w:r>
          </w:p>
        </w:tc>
        <w:tc>
          <w:tcPr>
            <w:tcW w:w="378" w:type="pct"/>
            <w:tcBorders>
              <w:top w:val="nil"/>
              <w:left w:val="nil"/>
              <w:bottom w:val="double" w:sz="4" w:space="0" w:color="auto"/>
              <w:right w:val="double" w:sz="4" w:space="0" w:color="auto"/>
            </w:tcBorders>
            <w:shd w:val="clear" w:color="auto" w:fill="auto"/>
            <w:noWrap/>
            <w:vAlign w:val="center"/>
            <w:hideMark/>
          </w:tcPr>
          <w:p w14:paraId="7A19755D"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 </w:t>
            </w:r>
            <w:r w:rsidRPr="00B93BBF">
              <w:rPr>
                <w:rFonts w:ascii="Calibri" w:eastAsia="Times New Roman" w:hAnsi="Calibri" w:cs="Calibri"/>
                <w:sz w:val="20"/>
                <w:szCs w:val="20"/>
                <w:lang w:eastAsia="cs-CZ"/>
              </w:rPr>
              <w:t> </w:t>
            </w:r>
          </w:p>
        </w:tc>
      </w:tr>
      <w:tr w:rsidR="00E01070" w:rsidRPr="00B93BBF" w14:paraId="16FEC271" w14:textId="77777777" w:rsidTr="00FB7BF4">
        <w:trPr>
          <w:trHeight w:val="255"/>
        </w:trPr>
        <w:tc>
          <w:tcPr>
            <w:tcW w:w="499" w:type="pct"/>
            <w:vMerge w:val="restart"/>
            <w:tcBorders>
              <w:top w:val="double" w:sz="4" w:space="0" w:color="auto"/>
              <w:left w:val="double" w:sz="4" w:space="0" w:color="auto"/>
              <w:bottom w:val="single" w:sz="4" w:space="0" w:color="auto"/>
              <w:right w:val="single" w:sz="4" w:space="0" w:color="auto"/>
            </w:tcBorders>
            <w:shd w:val="clear" w:color="000000" w:fill="F2F2F2"/>
            <w:vAlign w:val="center"/>
            <w:hideMark/>
          </w:tcPr>
          <w:p w14:paraId="6899C2A8"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Ženy</w:t>
            </w:r>
          </w:p>
        </w:tc>
        <w:tc>
          <w:tcPr>
            <w:tcW w:w="499" w:type="pct"/>
            <w:tcBorders>
              <w:top w:val="double" w:sz="4" w:space="0" w:color="auto"/>
              <w:left w:val="nil"/>
              <w:bottom w:val="single" w:sz="4" w:space="0" w:color="auto"/>
              <w:right w:val="single" w:sz="4" w:space="0" w:color="auto"/>
            </w:tcBorders>
            <w:shd w:val="clear" w:color="000000" w:fill="F2F2F2"/>
            <w:vAlign w:val="center"/>
            <w:hideMark/>
          </w:tcPr>
          <w:p w14:paraId="6DCD96F9"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0-14</w:t>
            </w:r>
          </w:p>
        </w:tc>
        <w:tc>
          <w:tcPr>
            <w:tcW w:w="655" w:type="pct"/>
            <w:tcBorders>
              <w:top w:val="double" w:sz="4" w:space="0" w:color="auto"/>
              <w:left w:val="nil"/>
              <w:bottom w:val="single" w:sz="4" w:space="0" w:color="auto"/>
              <w:right w:val="single" w:sz="4" w:space="0" w:color="auto"/>
            </w:tcBorders>
            <w:shd w:val="clear" w:color="auto" w:fill="auto"/>
            <w:noWrap/>
            <w:vAlign w:val="center"/>
            <w:hideMark/>
          </w:tcPr>
          <w:p w14:paraId="0325B689"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5 550</w:t>
            </w:r>
          </w:p>
        </w:tc>
        <w:tc>
          <w:tcPr>
            <w:tcW w:w="656" w:type="pct"/>
            <w:tcBorders>
              <w:top w:val="double" w:sz="4" w:space="0" w:color="auto"/>
              <w:left w:val="nil"/>
              <w:bottom w:val="single" w:sz="4" w:space="0" w:color="auto"/>
              <w:right w:val="single" w:sz="4" w:space="0" w:color="auto"/>
            </w:tcBorders>
            <w:shd w:val="clear" w:color="auto" w:fill="auto"/>
            <w:noWrap/>
            <w:vAlign w:val="center"/>
            <w:hideMark/>
          </w:tcPr>
          <w:p w14:paraId="58D864C8"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4 541</w:t>
            </w:r>
          </w:p>
        </w:tc>
        <w:tc>
          <w:tcPr>
            <w:tcW w:w="256" w:type="pct"/>
            <w:tcBorders>
              <w:top w:val="double" w:sz="4" w:space="0" w:color="auto"/>
              <w:left w:val="single" w:sz="4" w:space="0" w:color="auto"/>
              <w:bottom w:val="single" w:sz="4" w:space="0" w:color="auto"/>
            </w:tcBorders>
            <w:shd w:val="clear" w:color="auto" w:fill="auto"/>
            <w:noWrap/>
            <w:vAlign w:val="center"/>
            <w:hideMark/>
          </w:tcPr>
          <w:p w14:paraId="009F43A6"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double" w:sz="4" w:space="0" w:color="auto"/>
              <w:left w:val="nil"/>
              <w:bottom w:val="single" w:sz="4" w:space="0" w:color="auto"/>
              <w:right w:val="single" w:sz="4" w:space="0" w:color="auto"/>
            </w:tcBorders>
            <w:shd w:val="clear" w:color="auto" w:fill="auto"/>
            <w:noWrap/>
            <w:vAlign w:val="center"/>
            <w:hideMark/>
          </w:tcPr>
          <w:p w14:paraId="78F2EC80"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-1 009</w:t>
            </w:r>
          </w:p>
        </w:tc>
        <w:tc>
          <w:tcPr>
            <w:tcW w:w="696" w:type="pct"/>
            <w:tcBorders>
              <w:top w:val="double" w:sz="4" w:space="0" w:color="auto"/>
              <w:left w:val="nil"/>
              <w:bottom w:val="single" w:sz="4" w:space="0" w:color="auto"/>
              <w:right w:val="single" w:sz="4" w:space="0" w:color="auto"/>
            </w:tcBorders>
            <w:shd w:val="clear" w:color="auto" w:fill="auto"/>
            <w:noWrap/>
            <w:vAlign w:val="center"/>
            <w:hideMark/>
          </w:tcPr>
          <w:p w14:paraId="1A67E95B"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14,2 </w:t>
            </w:r>
            <w:r w:rsidRPr="00B93BBF">
              <w:rPr>
                <w:rFonts w:ascii="Calibri" w:eastAsia="Times New Roman" w:hAnsi="Calibri" w:cs="Calibri"/>
                <w:sz w:val="20"/>
                <w:szCs w:val="20"/>
                <w:lang w:eastAsia="cs-CZ"/>
              </w:rPr>
              <w:t>%</w:t>
            </w:r>
          </w:p>
        </w:tc>
        <w:tc>
          <w:tcPr>
            <w:tcW w:w="697" w:type="pct"/>
            <w:tcBorders>
              <w:top w:val="double" w:sz="4" w:space="0" w:color="auto"/>
              <w:left w:val="nil"/>
              <w:bottom w:val="single" w:sz="4" w:space="0" w:color="auto"/>
              <w:right w:val="single" w:sz="4" w:space="0" w:color="auto"/>
            </w:tcBorders>
            <w:shd w:val="clear" w:color="auto" w:fill="auto"/>
            <w:noWrap/>
            <w:vAlign w:val="center"/>
            <w:hideMark/>
          </w:tcPr>
          <w:p w14:paraId="1F701B02"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12,7 </w:t>
            </w:r>
            <w:r w:rsidRPr="00B93BBF">
              <w:rPr>
                <w:rFonts w:ascii="Calibri" w:eastAsia="Times New Roman" w:hAnsi="Calibri" w:cs="Calibri"/>
                <w:sz w:val="20"/>
                <w:szCs w:val="20"/>
                <w:lang w:eastAsia="cs-CZ"/>
              </w:rPr>
              <w:t>%</w:t>
            </w:r>
          </w:p>
        </w:tc>
        <w:tc>
          <w:tcPr>
            <w:tcW w:w="244" w:type="pct"/>
            <w:tcBorders>
              <w:top w:val="double" w:sz="4" w:space="0" w:color="auto"/>
              <w:left w:val="nil"/>
              <w:bottom w:val="single" w:sz="4" w:space="0" w:color="auto"/>
            </w:tcBorders>
            <w:shd w:val="clear" w:color="auto" w:fill="auto"/>
            <w:noWrap/>
            <w:vAlign w:val="center"/>
            <w:hideMark/>
          </w:tcPr>
          <w:p w14:paraId="2AC8D220"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378" w:type="pct"/>
            <w:tcBorders>
              <w:top w:val="double" w:sz="4" w:space="0" w:color="auto"/>
              <w:left w:val="nil"/>
              <w:bottom w:val="single" w:sz="4" w:space="0" w:color="auto"/>
              <w:right w:val="double" w:sz="4" w:space="0" w:color="auto"/>
            </w:tcBorders>
            <w:shd w:val="clear" w:color="auto" w:fill="auto"/>
            <w:noWrap/>
            <w:vAlign w:val="center"/>
            <w:hideMark/>
          </w:tcPr>
          <w:p w14:paraId="7531EA84"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-1,5</w:t>
            </w:r>
            <w:r>
              <w:rPr>
                <w:rFonts w:ascii="Calibri" w:eastAsia="Times New Roman" w:hAnsi="Calibri" w:cs="Calibri"/>
                <w:color w:val="FF0000"/>
                <w:sz w:val="20"/>
                <w:szCs w:val="20"/>
                <w:lang w:eastAsia="cs-CZ"/>
              </w:rPr>
              <w:t xml:space="preserve"> </w:t>
            </w:r>
            <w:r w:rsidRPr="00B93BBF">
              <w:rPr>
                <w:rFonts w:ascii="Calibri" w:eastAsia="Times New Roman" w:hAnsi="Calibri" w:cs="Calibri"/>
                <w:color w:val="FF0000"/>
                <w:sz w:val="20"/>
                <w:szCs w:val="20"/>
                <w:lang w:eastAsia="cs-CZ"/>
              </w:rPr>
              <w:t>%</w:t>
            </w:r>
          </w:p>
        </w:tc>
      </w:tr>
      <w:tr w:rsidR="00E01070" w:rsidRPr="00B93BBF" w14:paraId="43FF078C" w14:textId="77777777" w:rsidTr="00FB7BF4">
        <w:trPr>
          <w:trHeight w:val="255"/>
        </w:trPr>
        <w:tc>
          <w:tcPr>
            <w:tcW w:w="499" w:type="pct"/>
            <w:vMerge/>
            <w:tcBorders>
              <w:top w:val="nil"/>
              <w:left w:val="double" w:sz="4" w:space="0" w:color="auto"/>
              <w:bottom w:val="single" w:sz="4" w:space="0" w:color="auto"/>
              <w:right w:val="single" w:sz="4" w:space="0" w:color="auto"/>
            </w:tcBorders>
            <w:vAlign w:val="center"/>
            <w:hideMark/>
          </w:tcPr>
          <w:p w14:paraId="46761F86"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single" w:sz="4" w:space="0" w:color="auto"/>
              <w:right w:val="single" w:sz="4" w:space="0" w:color="auto"/>
            </w:tcBorders>
            <w:shd w:val="clear" w:color="000000" w:fill="F2F2F2"/>
            <w:vAlign w:val="center"/>
            <w:hideMark/>
          </w:tcPr>
          <w:p w14:paraId="3CA4338B"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15-64</w:t>
            </w:r>
          </w:p>
        </w:tc>
        <w:tc>
          <w:tcPr>
            <w:tcW w:w="655" w:type="pct"/>
            <w:tcBorders>
              <w:top w:val="nil"/>
              <w:left w:val="nil"/>
              <w:bottom w:val="single" w:sz="4" w:space="0" w:color="auto"/>
              <w:right w:val="single" w:sz="4" w:space="0" w:color="auto"/>
            </w:tcBorders>
            <w:shd w:val="clear" w:color="auto" w:fill="auto"/>
            <w:noWrap/>
            <w:vAlign w:val="center"/>
            <w:hideMark/>
          </w:tcPr>
          <w:p w14:paraId="025A2980"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23 481</w:t>
            </w:r>
          </w:p>
        </w:tc>
        <w:tc>
          <w:tcPr>
            <w:tcW w:w="656" w:type="pct"/>
            <w:tcBorders>
              <w:top w:val="nil"/>
              <w:left w:val="nil"/>
              <w:bottom w:val="single" w:sz="4" w:space="0" w:color="auto"/>
              <w:right w:val="single" w:sz="4" w:space="0" w:color="auto"/>
            </w:tcBorders>
            <w:shd w:val="clear" w:color="auto" w:fill="auto"/>
            <w:noWrap/>
            <w:vAlign w:val="center"/>
            <w:hideMark/>
          </w:tcPr>
          <w:p w14:paraId="57F6CA59"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20 069</w:t>
            </w:r>
          </w:p>
        </w:tc>
        <w:tc>
          <w:tcPr>
            <w:tcW w:w="256" w:type="pct"/>
            <w:tcBorders>
              <w:top w:val="single" w:sz="4" w:space="0" w:color="auto"/>
              <w:left w:val="single" w:sz="4" w:space="0" w:color="auto"/>
              <w:bottom w:val="single" w:sz="4" w:space="0" w:color="auto"/>
            </w:tcBorders>
            <w:shd w:val="clear" w:color="auto" w:fill="auto"/>
            <w:noWrap/>
            <w:vAlign w:val="center"/>
            <w:hideMark/>
          </w:tcPr>
          <w:p w14:paraId="31BD90AD"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nil"/>
              <w:left w:val="nil"/>
              <w:bottom w:val="single" w:sz="4" w:space="0" w:color="auto"/>
              <w:right w:val="single" w:sz="4" w:space="0" w:color="auto"/>
            </w:tcBorders>
            <w:shd w:val="clear" w:color="auto" w:fill="auto"/>
            <w:noWrap/>
            <w:vAlign w:val="center"/>
            <w:hideMark/>
          </w:tcPr>
          <w:p w14:paraId="50640D3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-3 412</w:t>
            </w:r>
          </w:p>
        </w:tc>
        <w:tc>
          <w:tcPr>
            <w:tcW w:w="696" w:type="pct"/>
            <w:tcBorders>
              <w:top w:val="nil"/>
              <w:left w:val="nil"/>
              <w:bottom w:val="single" w:sz="4" w:space="0" w:color="auto"/>
              <w:right w:val="single" w:sz="4" w:space="0" w:color="auto"/>
            </w:tcBorders>
            <w:shd w:val="clear" w:color="auto" w:fill="auto"/>
            <w:noWrap/>
            <w:vAlign w:val="center"/>
            <w:hideMark/>
          </w:tcPr>
          <w:p w14:paraId="295CFFE8"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60,1 </w:t>
            </w:r>
            <w:r w:rsidRPr="00B93BBF">
              <w:rPr>
                <w:rFonts w:ascii="Calibri" w:eastAsia="Times New Roman" w:hAnsi="Calibri" w:cs="Calibri"/>
                <w:sz w:val="20"/>
                <w:szCs w:val="20"/>
                <w:lang w:eastAsia="cs-CZ"/>
              </w:rPr>
              <w:t>%</w:t>
            </w:r>
          </w:p>
        </w:tc>
        <w:tc>
          <w:tcPr>
            <w:tcW w:w="697" w:type="pct"/>
            <w:tcBorders>
              <w:top w:val="nil"/>
              <w:left w:val="nil"/>
              <w:bottom w:val="single" w:sz="4" w:space="0" w:color="auto"/>
              <w:right w:val="single" w:sz="4" w:space="0" w:color="auto"/>
            </w:tcBorders>
            <w:shd w:val="clear" w:color="auto" w:fill="auto"/>
            <w:noWrap/>
            <w:vAlign w:val="center"/>
            <w:hideMark/>
          </w:tcPr>
          <w:p w14:paraId="6FD22ED6"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56,3 </w:t>
            </w:r>
            <w:r w:rsidRPr="00B93BBF">
              <w:rPr>
                <w:rFonts w:ascii="Calibri" w:eastAsia="Times New Roman" w:hAnsi="Calibri" w:cs="Calibri"/>
                <w:sz w:val="20"/>
                <w:szCs w:val="20"/>
                <w:lang w:eastAsia="cs-CZ"/>
              </w:rPr>
              <w:t>%</w:t>
            </w:r>
          </w:p>
        </w:tc>
        <w:tc>
          <w:tcPr>
            <w:tcW w:w="244" w:type="pct"/>
            <w:tcBorders>
              <w:top w:val="single" w:sz="4" w:space="0" w:color="auto"/>
              <w:left w:val="nil"/>
              <w:bottom w:val="single" w:sz="4" w:space="0" w:color="auto"/>
            </w:tcBorders>
            <w:shd w:val="clear" w:color="auto" w:fill="auto"/>
            <w:noWrap/>
            <w:vAlign w:val="center"/>
            <w:hideMark/>
          </w:tcPr>
          <w:p w14:paraId="6D5BB37D"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378" w:type="pct"/>
            <w:tcBorders>
              <w:top w:val="nil"/>
              <w:left w:val="nil"/>
              <w:bottom w:val="single" w:sz="4" w:space="0" w:color="auto"/>
              <w:right w:val="double" w:sz="4" w:space="0" w:color="auto"/>
            </w:tcBorders>
            <w:shd w:val="clear" w:color="auto" w:fill="auto"/>
            <w:noWrap/>
            <w:vAlign w:val="center"/>
            <w:hideMark/>
          </w:tcPr>
          <w:p w14:paraId="7201A40A"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-3,8</w:t>
            </w:r>
            <w:r>
              <w:rPr>
                <w:rFonts w:ascii="Calibri" w:eastAsia="Times New Roman" w:hAnsi="Calibri" w:cs="Calibri"/>
                <w:color w:val="FF0000"/>
                <w:sz w:val="20"/>
                <w:szCs w:val="20"/>
                <w:lang w:eastAsia="cs-CZ"/>
              </w:rPr>
              <w:t xml:space="preserve"> </w:t>
            </w:r>
            <w:r w:rsidRPr="00B93BBF">
              <w:rPr>
                <w:rFonts w:ascii="Calibri" w:eastAsia="Times New Roman" w:hAnsi="Calibri" w:cs="Calibri"/>
                <w:color w:val="FF0000"/>
                <w:sz w:val="20"/>
                <w:szCs w:val="20"/>
                <w:lang w:eastAsia="cs-CZ"/>
              </w:rPr>
              <w:t>%</w:t>
            </w:r>
          </w:p>
        </w:tc>
      </w:tr>
      <w:tr w:rsidR="00E01070" w:rsidRPr="00B93BBF" w14:paraId="5108B729" w14:textId="77777777" w:rsidTr="00FB7BF4">
        <w:trPr>
          <w:trHeight w:val="255"/>
        </w:trPr>
        <w:tc>
          <w:tcPr>
            <w:tcW w:w="499" w:type="pct"/>
            <w:vMerge/>
            <w:tcBorders>
              <w:top w:val="nil"/>
              <w:left w:val="double" w:sz="4" w:space="0" w:color="auto"/>
              <w:bottom w:val="single" w:sz="4" w:space="0" w:color="auto"/>
              <w:right w:val="single" w:sz="4" w:space="0" w:color="auto"/>
            </w:tcBorders>
            <w:vAlign w:val="center"/>
            <w:hideMark/>
          </w:tcPr>
          <w:p w14:paraId="29D15FB3"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single" w:sz="4" w:space="0" w:color="auto"/>
              <w:right w:val="single" w:sz="4" w:space="0" w:color="auto"/>
            </w:tcBorders>
            <w:shd w:val="clear" w:color="000000" w:fill="F2F2F2"/>
            <w:vAlign w:val="center"/>
            <w:hideMark/>
          </w:tcPr>
          <w:p w14:paraId="605127B3"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65+</w:t>
            </w:r>
          </w:p>
        </w:tc>
        <w:tc>
          <w:tcPr>
            <w:tcW w:w="655" w:type="pct"/>
            <w:tcBorders>
              <w:top w:val="nil"/>
              <w:left w:val="nil"/>
              <w:bottom w:val="single" w:sz="4" w:space="0" w:color="auto"/>
              <w:right w:val="single" w:sz="4" w:space="0" w:color="auto"/>
            </w:tcBorders>
            <w:shd w:val="clear" w:color="auto" w:fill="auto"/>
            <w:noWrap/>
            <w:vAlign w:val="center"/>
            <w:hideMark/>
          </w:tcPr>
          <w:p w14:paraId="246CD76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10 069</w:t>
            </w:r>
          </w:p>
        </w:tc>
        <w:tc>
          <w:tcPr>
            <w:tcW w:w="656" w:type="pct"/>
            <w:tcBorders>
              <w:top w:val="nil"/>
              <w:left w:val="nil"/>
              <w:bottom w:val="single" w:sz="4" w:space="0" w:color="auto"/>
              <w:right w:val="single" w:sz="4" w:space="0" w:color="auto"/>
            </w:tcBorders>
            <w:shd w:val="clear" w:color="auto" w:fill="auto"/>
            <w:noWrap/>
            <w:vAlign w:val="center"/>
            <w:hideMark/>
          </w:tcPr>
          <w:p w14:paraId="7E90F218"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11 067</w:t>
            </w:r>
          </w:p>
        </w:tc>
        <w:tc>
          <w:tcPr>
            <w:tcW w:w="256" w:type="pct"/>
            <w:tcBorders>
              <w:top w:val="single" w:sz="4" w:space="0" w:color="auto"/>
              <w:left w:val="single" w:sz="4" w:space="0" w:color="auto"/>
              <w:bottom w:val="single" w:sz="4" w:space="0" w:color="auto"/>
            </w:tcBorders>
            <w:shd w:val="clear" w:color="auto" w:fill="auto"/>
            <w:noWrap/>
            <w:vAlign w:val="center"/>
            <w:hideMark/>
          </w:tcPr>
          <w:p w14:paraId="19A474D6"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008000"/>
                <w:sz w:val="20"/>
                <w:szCs w:val="20"/>
                <w:lang w:eastAsia="cs-CZ"/>
              </w:rPr>
              <w:t>▲</w:t>
            </w:r>
          </w:p>
        </w:tc>
        <w:tc>
          <w:tcPr>
            <w:tcW w:w="420" w:type="pct"/>
            <w:tcBorders>
              <w:top w:val="nil"/>
              <w:left w:val="nil"/>
              <w:bottom w:val="single" w:sz="4" w:space="0" w:color="auto"/>
              <w:right w:val="single" w:sz="4" w:space="0" w:color="auto"/>
            </w:tcBorders>
            <w:shd w:val="clear" w:color="auto" w:fill="auto"/>
            <w:noWrap/>
            <w:vAlign w:val="center"/>
            <w:hideMark/>
          </w:tcPr>
          <w:p w14:paraId="552301C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008000"/>
                <w:sz w:val="20"/>
                <w:szCs w:val="20"/>
                <w:lang w:eastAsia="cs-CZ"/>
              </w:rPr>
              <w:t>998</w:t>
            </w:r>
          </w:p>
        </w:tc>
        <w:tc>
          <w:tcPr>
            <w:tcW w:w="696" w:type="pct"/>
            <w:tcBorders>
              <w:top w:val="nil"/>
              <w:left w:val="nil"/>
              <w:bottom w:val="single" w:sz="4" w:space="0" w:color="auto"/>
              <w:right w:val="single" w:sz="4" w:space="0" w:color="auto"/>
            </w:tcBorders>
            <w:shd w:val="clear" w:color="auto" w:fill="auto"/>
            <w:noWrap/>
            <w:vAlign w:val="center"/>
            <w:hideMark/>
          </w:tcPr>
          <w:p w14:paraId="3B08B099"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 xml:space="preserve">25,8 </w:t>
            </w:r>
            <w:r w:rsidRPr="00B93BBF">
              <w:rPr>
                <w:rFonts w:ascii="Calibri" w:eastAsia="Times New Roman" w:hAnsi="Calibri" w:cs="Calibri"/>
                <w:sz w:val="20"/>
                <w:szCs w:val="20"/>
                <w:lang w:eastAsia="cs-CZ"/>
              </w:rPr>
              <w:t>%</w:t>
            </w:r>
          </w:p>
        </w:tc>
        <w:tc>
          <w:tcPr>
            <w:tcW w:w="697" w:type="pct"/>
            <w:tcBorders>
              <w:top w:val="nil"/>
              <w:left w:val="nil"/>
              <w:bottom w:val="single" w:sz="4" w:space="0" w:color="auto"/>
              <w:right w:val="single" w:sz="4" w:space="0" w:color="auto"/>
            </w:tcBorders>
            <w:shd w:val="clear" w:color="auto" w:fill="auto"/>
            <w:noWrap/>
            <w:vAlign w:val="center"/>
            <w:hideMark/>
          </w:tcPr>
          <w:p w14:paraId="576BADFB" w14:textId="77777777" w:rsidR="00E01070" w:rsidRPr="00B93BBF" w:rsidRDefault="00E01070" w:rsidP="00FB7BF4">
            <w:pPr>
              <w:keepNext/>
              <w:spacing w:before="0"/>
              <w:jc w:val="right"/>
              <w:rPr>
                <w:rFonts w:ascii="Calibri" w:eastAsia="Times New Roman" w:hAnsi="Calibri" w:cs="Calibri"/>
                <w:sz w:val="20"/>
                <w:szCs w:val="20"/>
                <w:lang w:eastAsia="cs-CZ"/>
              </w:rPr>
            </w:pPr>
            <w:r>
              <w:rPr>
                <w:rFonts w:ascii="Calibri" w:eastAsia="Times New Roman" w:hAnsi="Calibri" w:cs="Calibri"/>
                <w:sz w:val="20"/>
                <w:szCs w:val="20"/>
                <w:lang w:eastAsia="cs-CZ"/>
              </w:rPr>
              <w:t>31,0</w:t>
            </w:r>
            <w:r w:rsidRPr="00B93BBF">
              <w:rPr>
                <w:rFonts w:ascii="Calibri" w:eastAsia="Times New Roman" w:hAnsi="Calibri" w:cs="Calibri"/>
                <w:sz w:val="20"/>
                <w:szCs w:val="20"/>
                <w:lang w:eastAsia="cs-CZ"/>
              </w:rPr>
              <w:t>%</w:t>
            </w:r>
          </w:p>
        </w:tc>
        <w:tc>
          <w:tcPr>
            <w:tcW w:w="244" w:type="pct"/>
            <w:tcBorders>
              <w:top w:val="single" w:sz="4" w:space="0" w:color="auto"/>
              <w:left w:val="nil"/>
              <w:bottom w:val="single" w:sz="4" w:space="0" w:color="auto"/>
            </w:tcBorders>
            <w:shd w:val="clear" w:color="auto" w:fill="auto"/>
            <w:noWrap/>
            <w:vAlign w:val="center"/>
            <w:hideMark/>
          </w:tcPr>
          <w:p w14:paraId="58FE4C33"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008000"/>
                <w:sz w:val="20"/>
                <w:szCs w:val="20"/>
                <w:lang w:eastAsia="cs-CZ"/>
              </w:rPr>
              <w:t>▲</w:t>
            </w:r>
          </w:p>
        </w:tc>
        <w:tc>
          <w:tcPr>
            <w:tcW w:w="378" w:type="pct"/>
            <w:tcBorders>
              <w:top w:val="nil"/>
              <w:left w:val="nil"/>
              <w:bottom w:val="single" w:sz="4" w:space="0" w:color="auto"/>
              <w:right w:val="double" w:sz="4" w:space="0" w:color="auto"/>
            </w:tcBorders>
            <w:shd w:val="clear" w:color="auto" w:fill="auto"/>
            <w:noWrap/>
            <w:vAlign w:val="center"/>
            <w:hideMark/>
          </w:tcPr>
          <w:p w14:paraId="2EBE2E73"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008000"/>
                <w:sz w:val="20"/>
                <w:szCs w:val="20"/>
                <w:lang w:eastAsia="cs-CZ"/>
              </w:rPr>
              <w:t>5,3</w:t>
            </w:r>
            <w:r>
              <w:rPr>
                <w:rFonts w:ascii="Calibri" w:eastAsia="Times New Roman" w:hAnsi="Calibri" w:cs="Calibri"/>
                <w:color w:val="008000"/>
                <w:sz w:val="20"/>
                <w:szCs w:val="20"/>
                <w:lang w:eastAsia="cs-CZ"/>
              </w:rPr>
              <w:t xml:space="preserve"> </w:t>
            </w:r>
            <w:r w:rsidRPr="00B93BBF">
              <w:rPr>
                <w:rFonts w:ascii="Calibri" w:eastAsia="Times New Roman" w:hAnsi="Calibri" w:cs="Calibri"/>
                <w:color w:val="008000"/>
                <w:sz w:val="20"/>
                <w:szCs w:val="20"/>
                <w:lang w:eastAsia="cs-CZ"/>
              </w:rPr>
              <w:t>%</w:t>
            </w:r>
          </w:p>
        </w:tc>
      </w:tr>
      <w:tr w:rsidR="00E01070" w:rsidRPr="00B93BBF" w14:paraId="14D52043" w14:textId="77777777" w:rsidTr="00FB7BF4">
        <w:trPr>
          <w:trHeight w:val="255"/>
        </w:trPr>
        <w:tc>
          <w:tcPr>
            <w:tcW w:w="499" w:type="pct"/>
            <w:vMerge/>
            <w:tcBorders>
              <w:top w:val="nil"/>
              <w:left w:val="double" w:sz="4" w:space="0" w:color="auto"/>
              <w:bottom w:val="double" w:sz="4" w:space="0" w:color="auto"/>
              <w:right w:val="single" w:sz="4" w:space="0" w:color="auto"/>
            </w:tcBorders>
            <w:vAlign w:val="center"/>
            <w:hideMark/>
          </w:tcPr>
          <w:p w14:paraId="56678160" w14:textId="77777777" w:rsidR="00E01070" w:rsidRPr="00B93BBF" w:rsidRDefault="00E01070" w:rsidP="00FB7BF4">
            <w:pPr>
              <w:keepNext/>
              <w:spacing w:before="0"/>
              <w:jc w:val="left"/>
              <w:rPr>
                <w:rFonts w:ascii="Calibri" w:eastAsia="Times New Roman" w:hAnsi="Calibri" w:cs="Calibri"/>
                <w:b/>
                <w:bCs/>
                <w:sz w:val="20"/>
                <w:szCs w:val="20"/>
                <w:lang w:eastAsia="cs-CZ"/>
              </w:rPr>
            </w:pPr>
          </w:p>
        </w:tc>
        <w:tc>
          <w:tcPr>
            <w:tcW w:w="499" w:type="pct"/>
            <w:tcBorders>
              <w:top w:val="nil"/>
              <w:left w:val="nil"/>
              <w:bottom w:val="double" w:sz="4" w:space="0" w:color="auto"/>
              <w:right w:val="single" w:sz="4" w:space="0" w:color="auto"/>
            </w:tcBorders>
            <w:shd w:val="clear" w:color="000000" w:fill="F2F2F2"/>
            <w:vAlign w:val="center"/>
            <w:hideMark/>
          </w:tcPr>
          <w:p w14:paraId="5BDB25C7" w14:textId="77777777" w:rsidR="00E01070" w:rsidRPr="00B93BBF" w:rsidRDefault="00E01070" w:rsidP="00FB7BF4">
            <w:pPr>
              <w:keepNext/>
              <w:spacing w:before="0"/>
              <w:jc w:val="left"/>
              <w:rPr>
                <w:rFonts w:ascii="Calibri" w:eastAsia="Times New Roman" w:hAnsi="Calibri" w:cs="Calibri"/>
                <w:b/>
                <w:bCs/>
                <w:sz w:val="20"/>
                <w:szCs w:val="20"/>
                <w:lang w:eastAsia="cs-CZ"/>
              </w:rPr>
            </w:pPr>
            <w:r w:rsidRPr="00B93BBF">
              <w:rPr>
                <w:rFonts w:ascii="Calibri" w:eastAsia="Times New Roman" w:hAnsi="Calibri" w:cs="Calibri"/>
                <w:b/>
                <w:bCs/>
                <w:sz w:val="20"/>
                <w:szCs w:val="20"/>
                <w:lang w:eastAsia="cs-CZ"/>
              </w:rPr>
              <w:t>Celkem</w:t>
            </w:r>
          </w:p>
        </w:tc>
        <w:tc>
          <w:tcPr>
            <w:tcW w:w="655" w:type="pct"/>
            <w:tcBorders>
              <w:top w:val="nil"/>
              <w:left w:val="nil"/>
              <w:bottom w:val="double" w:sz="4" w:space="0" w:color="auto"/>
              <w:right w:val="single" w:sz="4" w:space="0" w:color="auto"/>
            </w:tcBorders>
            <w:shd w:val="clear" w:color="auto" w:fill="auto"/>
            <w:noWrap/>
            <w:vAlign w:val="center"/>
            <w:hideMark/>
          </w:tcPr>
          <w:p w14:paraId="01451E56"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39 100</w:t>
            </w:r>
          </w:p>
        </w:tc>
        <w:tc>
          <w:tcPr>
            <w:tcW w:w="656" w:type="pct"/>
            <w:tcBorders>
              <w:top w:val="nil"/>
              <w:left w:val="nil"/>
              <w:bottom w:val="double" w:sz="4" w:space="0" w:color="auto"/>
              <w:right w:val="single" w:sz="4" w:space="0" w:color="auto"/>
            </w:tcBorders>
            <w:shd w:val="clear" w:color="auto" w:fill="auto"/>
            <w:noWrap/>
            <w:vAlign w:val="center"/>
            <w:hideMark/>
          </w:tcPr>
          <w:p w14:paraId="53A970F4"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35 677</w:t>
            </w:r>
          </w:p>
        </w:tc>
        <w:tc>
          <w:tcPr>
            <w:tcW w:w="256" w:type="pct"/>
            <w:tcBorders>
              <w:top w:val="single" w:sz="4" w:space="0" w:color="auto"/>
              <w:left w:val="single" w:sz="4" w:space="0" w:color="auto"/>
              <w:bottom w:val="double" w:sz="4" w:space="0" w:color="auto"/>
            </w:tcBorders>
            <w:shd w:val="clear" w:color="auto" w:fill="auto"/>
            <w:noWrap/>
            <w:vAlign w:val="center"/>
            <w:hideMark/>
          </w:tcPr>
          <w:p w14:paraId="265F24D3"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Arial" w:eastAsia="Times New Roman" w:hAnsi="Arial" w:cs="Arial"/>
                <w:color w:val="FF0000"/>
                <w:sz w:val="20"/>
                <w:szCs w:val="20"/>
                <w:lang w:eastAsia="cs-CZ"/>
              </w:rPr>
              <w:t>▼</w:t>
            </w:r>
          </w:p>
        </w:tc>
        <w:tc>
          <w:tcPr>
            <w:tcW w:w="420" w:type="pct"/>
            <w:tcBorders>
              <w:top w:val="nil"/>
              <w:left w:val="nil"/>
              <w:bottom w:val="double" w:sz="4" w:space="0" w:color="auto"/>
              <w:right w:val="single" w:sz="4" w:space="0" w:color="auto"/>
            </w:tcBorders>
            <w:shd w:val="clear" w:color="auto" w:fill="auto"/>
            <w:noWrap/>
            <w:vAlign w:val="center"/>
            <w:hideMark/>
          </w:tcPr>
          <w:p w14:paraId="2B146BF9"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color w:val="FF0000"/>
                <w:sz w:val="20"/>
                <w:szCs w:val="20"/>
                <w:lang w:eastAsia="cs-CZ"/>
              </w:rPr>
              <w:t>-3 423</w:t>
            </w:r>
          </w:p>
        </w:tc>
        <w:tc>
          <w:tcPr>
            <w:tcW w:w="696" w:type="pct"/>
            <w:tcBorders>
              <w:top w:val="nil"/>
              <w:left w:val="nil"/>
              <w:bottom w:val="double" w:sz="4" w:space="0" w:color="auto"/>
              <w:right w:val="single" w:sz="4" w:space="0" w:color="auto"/>
            </w:tcBorders>
            <w:shd w:val="clear" w:color="auto" w:fill="auto"/>
            <w:noWrap/>
            <w:vAlign w:val="center"/>
            <w:hideMark/>
          </w:tcPr>
          <w:p w14:paraId="497F0793"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100</w:t>
            </w:r>
            <w:r>
              <w:rPr>
                <w:rFonts w:ascii="Calibri" w:eastAsia="Times New Roman" w:hAnsi="Calibri" w:cs="Calibri"/>
                <w:sz w:val="20"/>
                <w:szCs w:val="20"/>
                <w:lang w:eastAsia="cs-CZ"/>
              </w:rPr>
              <w:t xml:space="preserve"> </w:t>
            </w:r>
            <w:r w:rsidRPr="00B93BBF">
              <w:rPr>
                <w:rFonts w:ascii="Calibri" w:eastAsia="Times New Roman" w:hAnsi="Calibri" w:cs="Calibri"/>
                <w:sz w:val="20"/>
                <w:szCs w:val="20"/>
                <w:lang w:eastAsia="cs-CZ"/>
              </w:rPr>
              <w:t>%</w:t>
            </w:r>
          </w:p>
        </w:tc>
        <w:tc>
          <w:tcPr>
            <w:tcW w:w="697" w:type="pct"/>
            <w:tcBorders>
              <w:top w:val="nil"/>
              <w:left w:val="nil"/>
              <w:bottom w:val="double" w:sz="4" w:space="0" w:color="auto"/>
              <w:right w:val="single" w:sz="4" w:space="0" w:color="auto"/>
            </w:tcBorders>
            <w:shd w:val="clear" w:color="auto" w:fill="auto"/>
            <w:noWrap/>
            <w:vAlign w:val="center"/>
            <w:hideMark/>
          </w:tcPr>
          <w:p w14:paraId="29525D42"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100</w:t>
            </w:r>
            <w:r>
              <w:rPr>
                <w:rFonts w:ascii="Calibri" w:eastAsia="Times New Roman" w:hAnsi="Calibri" w:cs="Calibri"/>
                <w:sz w:val="20"/>
                <w:szCs w:val="20"/>
                <w:lang w:eastAsia="cs-CZ"/>
              </w:rPr>
              <w:t xml:space="preserve"> </w:t>
            </w:r>
            <w:r w:rsidRPr="00B93BBF">
              <w:rPr>
                <w:rFonts w:ascii="Calibri" w:eastAsia="Times New Roman" w:hAnsi="Calibri" w:cs="Calibri"/>
                <w:sz w:val="20"/>
                <w:szCs w:val="20"/>
                <w:lang w:eastAsia="cs-CZ"/>
              </w:rPr>
              <w:t>%</w:t>
            </w:r>
          </w:p>
        </w:tc>
        <w:tc>
          <w:tcPr>
            <w:tcW w:w="244" w:type="pct"/>
            <w:tcBorders>
              <w:top w:val="single" w:sz="4" w:space="0" w:color="auto"/>
              <w:left w:val="nil"/>
              <w:bottom w:val="double" w:sz="4" w:space="0" w:color="auto"/>
            </w:tcBorders>
            <w:shd w:val="clear" w:color="auto" w:fill="auto"/>
            <w:noWrap/>
            <w:vAlign w:val="center"/>
            <w:hideMark/>
          </w:tcPr>
          <w:p w14:paraId="57D0720F"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 </w:t>
            </w:r>
          </w:p>
        </w:tc>
        <w:tc>
          <w:tcPr>
            <w:tcW w:w="378" w:type="pct"/>
            <w:tcBorders>
              <w:top w:val="nil"/>
              <w:left w:val="nil"/>
              <w:bottom w:val="double" w:sz="4" w:space="0" w:color="auto"/>
              <w:right w:val="double" w:sz="4" w:space="0" w:color="auto"/>
            </w:tcBorders>
            <w:shd w:val="clear" w:color="auto" w:fill="auto"/>
            <w:noWrap/>
            <w:vAlign w:val="center"/>
            <w:hideMark/>
          </w:tcPr>
          <w:p w14:paraId="72B4956B" w14:textId="77777777" w:rsidR="00E01070" w:rsidRPr="00B93BBF" w:rsidRDefault="00E01070" w:rsidP="00FB7BF4">
            <w:pPr>
              <w:keepNext/>
              <w:spacing w:before="0"/>
              <w:jc w:val="right"/>
              <w:rPr>
                <w:rFonts w:ascii="Calibri" w:eastAsia="Times New Roman" w:hAnsi="Calibri" w:cs="Calibri"/>
                <w:sz w:val="20"/>
                <w:szCs w:val="20"/>
                <w:lang w:eastAsia="cs-CZ"/>
              </w:rPr>
            </w:pPr>
            <w:r w:rsidRPr="00B93BBF">
              <w:rPr>
                <w:rFonts w:ascii="Calibri" w:eastAsia="Times New Roman" w:hAnsi="Calibri" w:cs="Calibri"/>
                <w:sz w:val="20"/>
                <w:szCs w:val="20"/>
                <w:lang w:eastAsia="cs-CZ"/>
              </w:rPr>
              <w:t> </w:t>
            </w:r>
          </w:p>
        </w:tc>
      </w:tr>
    </w:tbl>
    <w:p w14:paraId="4F435D84" w14:textId="77777777" w:rsidR="00E01070" w:rsidRDefault="00E01070" w:rsidP="00E01070">
      <w:r>
        <w:rPr>
          <w:rStyle w:val="ZdrojChar"/>
          <w:rFonts w:eastAsiaTheme="minorHAnsi"/>
        </w:rPr>
        <w:t>Zdroj: ČSÚ</w:t>
      </w:r>
      <w:r w:rsidRPr="00E708E8">
        <w:rPr>
          <w:rStyle w:val="ZdrojChar"/>
          <w:rFonts w:eastAsiaTheme="minorHAnsi"/>
        </w:rPr>
        <w:t xml:space="preserve">; zpracování </w:t>
      </w:r>
      <w:r>
        <w:rPr>
          <w:rStyle w:val="ZdrojChar"/>
          <w:rFonts w:eastAsiaTheme="minorHAnsi"/>
        </w:rPr>
        <w:t xml:space="preserve">a prognóza </w:t>
      </w:r>
      <w:r w:rsidRPr="00E708E8">
        <w:rPr>
          <w:rStyle w:val="ZdrojChar"/>
          <w:rFonts w:eastAsiaTheme="minorHAnsi"/>
        </w:rPr>
        <w:t>PROCES</w:t>
      </w:r>
      <w:r>
        <w:rPr>
          <w:rStyle w:val="ZdrojChar"/>
          <w:rFonts w:eastAsiaTheme="minorHAnsi"/>
        </w:rPr>
        <w:t>, 2020.</w:t>
      </w:r>
    </w:p>
    <w:p w14:paraId="66676D1D" w14:textId="210BCC41" w:rsidR="00E01070" w:rsidRDefault="00E01070" w:rsidP="00E01070">
      <w:r>
        <w:t>Změna věkové struktury obyvatelstva k roku 2040 je graficky zobrazena níže</w:t>
      </w:r>
      <w:r w:rsidR="003A743C">
        <w:t xml:space="preserve"> (obrázek 4.9)</w:t>
      </w:r>
      <w:r>
        <w:t xml:space="preserve"> formou věkové pyramidy znázorňující změny ve struktuře pětiletých věkových skupin obyvatelstva. Výrazný pokles, který je k roku 2040 předpokládán u věkových skupin 0</w:t>
      </w:r>
      <w:r w:rsidR="00636678">
        <w:t xml:space="preserve"> </w:t>
      </w:r>
      <w:r w:rsidR="00636678">
        <w:sym w:font="Symbol" w:char="F02D"/>
      </w:r>
      <w:r w:rsidR="00636678">
        <w:t xml:space="preserve"> </w:t>
      </w:r>
      <w:r>
        <w:t xml:space="preserve">14 let a dále </w:t>
      </w:r>
      <w:r w:rsidRPr="00636678">
        <w:t>25</w:t>
      </w:r>
      <w:r w:rsidR="00636678">
        <w:t xml:space="preserve"> </w:t>
      </w:r>
      <w:r w:rsidR="00636678">
        <w:sym w:font="Symbol" w:char="F02D"/>
      </w:r>
      <w:r w:rsidR="00636678">
        <w:t xml:space="preserve"> </w:t>
      </w:r>
      <w:r w:rsidRPr="00636678">
        <w:t>49</w:t>
      </w:r>
      <w:r>
        <w:t xml:space="preserve"> let, je částečně vyvážen nárůstem mladých lidí ve věku 15</w:t>
      </w:r>
      <w:r w:rsidR="00636678">
        <w:t xml:space="preserve"> </w:t>
      </w:r>
      <w:r w:rsidR="00636678">
        <w:sym w:font="Symbol" w:char="F02D"/>
      </w:r>
      <w:r w:rsidR="00636678">
        <w:t xml:space="preserve"> </w:t>
      </w:r>
      <w:r>
        <w:t>24 let. Vzroste také počet obyvatel ve věku 50</w:t>
      </w:r>
      <w:r w:rsidR="00636678">
        <w:t xml:space="preserve"> </w:t>
      </w:r>
      <w:r w:rsidR="00636678">
        <w:sym w:font="Symbol" w:char="F02D"/>
      </w:r>
      <w:r w:rsidR="00636678">
        <w:t xml:space="preserve"> </w:t>
      </w:r>
      <w:r>
        <w:t>64 let u</w:t>
      </w:r>
      <w:r w:rsidR="00636678">
        <w:t> </w:t>
      </w:r>
      <w:r>
        <w:t>mužů a 55</w:t>
      </w:r>
      <w:r w:rsidR="00636678">
        <w:t xml:space="preserve"> </w:t>
      </w:r>
      <w:r w:rsidR="00636678">
        <w:sym w:font="Symbol" w:char="F02D"/>
      </w:r>
      <w:r w:rsidR="00636678">
        <w:t xml:space="preserve"> </w:t>
      </w:r>
      <w:r>
        <w:t>64 let u žen. Poklesne počet mladších seniorek ve věku 65</w:t>
      </w:r>
      <w:r w:rsidR="00636678">
        <w:t xml:space="preserve"> </w:t>
      </w:r>
      <w:r w:rsidR="00636678">
        <w:sym w:font="Symbol" w:char="F02D"/>
      </w:r>
      <w:r w:rsidR="00636678">
        <w:t xml:space="preserve"> </w:t>
      </w:r>
      <w:r>
        <w:t>74 let a vzroste počet seniorek od 75 let. Vzroste také počet seniorů od 75 let. Procentuálně je níže vypsána také očekávaná změna v podílu dětí (0</w:t>
      </w:r>
      <w:r w:rsidR="00636678">
        <w:t xml:space="preserve"> </w:t>
      </w:r>
      <w:r w:rsidR="00636678">
        <w:sym w:font="Symbol" w:char="F02D"/>
      </w:r>
      <w:r w:rsidR="00636678">
        <w:t xml:space="preserve"> </w:t>
      </w:r>
      <w:r>
        <w:t>14 let) a seniorů (65 a více let) v populaci Zlína.</w:t>
      </w:r>
    </w:p>
    <w:p w14:paraId="28D1DB69" w14:textId="2B56E117" w:rsidR="00E01070" w:rsidRDefault="00E01070" w:rsidP="00E01070">
      <w:pPr>
        <w:pStyle w:val="Titulek"/>
        <w:keepNext/>
      </w:pPr>
      <w:bookmarkStart w:id="1118" w:name="_Toc54702827"/>
      <w:bookmarkStart w:id="1119" w:name="_Toc56179633"/>
      <w:bookmarkStart w:id="1120" w:name="_Toc77074975"/>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9</w:t>
      </w:r>
      <w:r w:rsidR="00804AF3">
        <w:rPr>
          <w:noProof/>
        </w:rPr>
        <w:fldChar w:fldCharType="end"/>
      </w:r>
      <w:r w:rsidR="002F528D">
        <w:rPr>
          <w:noProof/>
        </w:rPr>
        <w:t>:</w:t>
      </w:r>
      <w:r>
        <w:rPr>
          <w:noProof/>
        </w:rPr>
        <w:t xml:space="preserve"> </w:t>
      </w:r>
      <w:r>
        <w:t>Věková pyramida města Zlín</w:t>
      </w:r>
      <w:bookmarkEnd w:id="1118"/>
      <w:bookmarkEnd w:id="1119"/>
      <w:bookmarkEnd w:id="1120"/>
    </w:p>
    <w:p w14:paraId="15DB17E0" w14:textId="77777777" w:rsidR="00E01070" w:rsidRPr="00B93BBF" w:rsidRDefault="00E01070" w:rsidP="00E01070">
      <w:pPr>
        <w:keepNext/>
      </w:pPr>
      <w:r>
        <w:rPr>
          <w:noProof/>
          <w:lang w:eastAsia="cs-CZ"/>
        </w:rPr>
        <w:drawing>
          <wp:inline distT="0" distB="0" distL="0" distR="0" wp14:anchorId="6E3944B8" wp14:editId="260E4314">
            <wp:extent cx="5760000" cy="4288119"/>
            <wp:effectExtent l="0" t="0" r="0" b="0"/>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60000" cy="4288119"/>
                    </a:xfrm>
                    <a:prstGeom prst="rect">
                      <a:avLst/>
                    </a:prstGeom>
                    <a:noFill/>
                  </pic:spPr>
                </pic:pic>
              </a:graphicData>
            </a:graphic>
          </wp:inline>
        </w:drawing>
      </w:r>
    </w:p>
    <w:p w14:paraId="112F9FDB" w14:textId="77777777" w:rsidR="00E01070" w:rsidRDefault="00E01070" w:rsidP="00E01070">
      <w:pPr>
        <w:rPr>
          <w:rStyle w:val="ZdrojChar"/>
          <w:rFonts w:eastAsiaTheme="minorHAnsi"/>
        </w:rPr>
      </w:pPr>
      <w:r>
        <w:rPr>
          <w:rStyle w:val="ZdrojChar"/>
          <w:rFonts w:eastAsiaTheme="minorHAnsi"/>
        </w:rPr>
        <w:t>Zdroj: ČSÚ</w:t>
      </w:r>
      <w:r w:rsidRPr="00E708E8">
        <w:rPr>
          <w:rStyle w:val="ZdrojChar"/>
          <w:rFonts w:eastAsiaTheme="minorHAnsi"/>
        </w:rPr>
        <w:t xml:space="preserve">; zpracování </w:t>
      </w:r>
      <w:r>
        <w:rPr>
          <w:rStyle w:val="ZdrojChar"/>
          <w:rFonts w:eastAsiaTheme="minorHAnsi"/>
        </w:rPr>
        <w:t xml:space="preserve">a prognóza </w:t>
      </w:r>
      <w:r w:rsidRPr="00E708E8">
        <w:rPr>
          <w:rStyle w:val="ZdrojChar"/>
          <w:rFonts w:eastAsiaTheme="minorHAnsi"/>
        </w:rPr>
        <w:t>PROCES</w:t>
      </w:r>
      <w:r>
        <w:rPr>
          <w:rStyle w:val="ZdrojChar"/>
          <w:rFonts w:eastAsiaTheme="minorHAnsi"/>
        </w:rPr>
        <w:t>, 2020.</w:t>
      </w:r>
    </w:p>
    <w:p w14:paraId="6B143FDD" w14:textId="24E7A57E" w:rsidR="00E01070" w:rsidRDefault="00E01070" w:rsidP="00E01070">
      <w:r>
        <w:t>Postupné změny v podílu dětské a seniorské složky obyvatelstva od roku 2005 znázorňuje dále následující graf</w:t>
      </w:r>
      <w:r w:rsidR="00EB62B8">
        <w:t xml:space="preserve"> (obrázek 4.10)</w:t>
      </w:r>
      <w:r>
        <w:t>. U seniorské složky je vidět od roku 2005 růst z 16,2 % na 22,9 % v roce 2020, k roku 2040 se bude tento podíl i nadále postupně zvyšovat až na předpokládanou hodnotu 27,6</w:t>
      </w:r>
      <w:r w:rsidR="00636678">
        <w:t> </w:t>
      </w:r>
      <w:r>
        <w:t xml:space="preserve">% v roce 2040. </w:t>
      </w:r>
    </w:p>
    <w:p w14:paraId="02E3010B" w14:textId="5BC3B7CD" w:rsidR="00E01070" w:rsidRDefault="00E01070" w:rsidP="00E01070">
      <w:r>
        <w:t>Dětská složka obyvatel (tedy obyvatel ve věku 0</w:t>
      </w:r>
      <w:r w:rsidR="00636678">
        <w:t xml:space="preserve"> </w:t>
      </w:r>
      <w:r w:rsidR="00636678">
        <w:sym w:font="Symbol" w:char="F02D"/>
      </w:r>
      <w:r w:rsidR="00636678">
        <w:t xml:space="preserve"> </w:t>
      </w:r>
      <w:r>
        <w:t xml:space="preserve">14 let) měla v roce </w:t>
      </w:r>
      <w:r w:rsidR="00874C28" w:rsidRPr="00874C28">
        <w:rPr>
          <w:shd w:val="clear" w:color="auto" w:fill="FFFFFF" w:themeFill="background1"/>
        </w:rPr>
        <w:t>2005 podíl 13,0 % a k roku 2010</w:t>
      </w:r>
      <w:r>
        <w:t xml:space="preserve"> tato hodnota ještě mírně poklesla (o 0,1 %). Poté vzrostl podíl dětí na 15,3 % k 1. 1. 2020. Prognóza dále předpokládá velmi mírný nárůst na maximum 15,4 % v roce 2025 a následný pokles na 13,5 % obyvatel. Tato hodnota je nicméně stále vyšší než počáteční podíl dětí v populaci v letech 2005 a 2010.</w:t>
      </w:r>
    </w:p>
    <w:p w14:paraId="59ABAAEE" w14:textId="6AFB815B" w:rsidR="00E01070" w:rsidRDefault="00E01070" w:rsidP="00E01070">
      <w:pPr>
        <w:pStyle w:val="Titulek"/>
        <w:keepNext/>
        <w:keepLines/>
      </w:pPr>
      <w:bookmarkStart w:id="1121" w:name="_Toc54702828"/>
      <w:bookmarkStart w:id="1122" w:name="_Toc56179634"/>
      <w:bookmarkStart w:id="1123" w:name="_Toc77074976"/>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10</w:t>
      </w:r>
      <w:r w:rsidR="00804AF3">
        <w:rPr>
          <w:noProof/>
        </w:rPr>
        <w:fldChar w:fldCharType="end"/>
      </w:r>
      <w:r w:rsidR="002F528D">
        <w:rPr>
          <w:noProof/>
        </w:rPr>
        <w:t>:</w:t>
      </w:r>
      <w:r>
        <w:t xml:space="preserve"> Podíl dětské a seniorské složky obyvatel ve městě Zlín</w:t>
      </w:r>
      <w:bookmarkEnd w:id="1121"/>
      <w:bookmarkEnd w:id="1122"/>
      <w:bookmarkEnd w:id="1123"/>
    </w:p>
    <w:p w14:paraId="29C9658D" w14:textId="77777777" w:rsidR="00E01070" w:rsidRDefault="00E01070" w:rsidP="00E01070">
      <w:r>
        <w:rPr>
          <w:noProof/>
          <w:lang w:eastAsia="cs-CZ"/>
        </w:rPr>
        <w:drawing>
          <wp:inline distT="0" distB="0" distL="0" distR="0" wp14:anchorId="0C30100A" wp14:editId="2AE404D5">
            <wp:extent cx="5773420" cy="2121535"/>
            <wp:effectExtent l="0" t="0" r="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73420" cy="2121535"/>
                    </a:xfrm>
                    <a:prstGeom prst="rect">
                      <a:avLst/>
                    </a:prstGeom>
                    <a:noFill/>
                  </pic:spPr>
                </pic:pic>
              </a:graphicData>
            </a:graphic>
          </wp:inline>
        </w:drawing>
      </w:r>
      <w:r w:rsidRPr="00F97ED6">
        <w:rPr>
          <w:rStyle w:val="ZdrojChar"/>
          <w:rFonts w:eastAsiaTheme="minorHAnsi"/>
        </w:rPr>
        <w:t xml:space="preserve"> </w:t>
      </w:r>
      <w:r>
        <w:rPr>
          <w:rStyle w:val="ZdrojChar"/>
          <w:rFonts w:eastAsiaTheme="minorHAnsi"/>
        </w:rPr>
        <w:t>Zdroj: ČSÚ</w:t>
      </w:r>
      <w:r w:rsidRPr="00E708E8">
        <w:rPr>
          <w:rStyle w:val="ZdrojChar"/>
          <w:rFonts w:eastAsiaTheme="minorHAnsi"/>
        </w:rPr>
        <w:t xml:space="preserve">; zpracování </w:t>
      </w:r>
      <w:r>
        <w:rPr>
          <w:rStyle w:val="ZdrojChar"/>
          <w:rFonts w:eastAsiaTheme="minorHAnsi"/>
        </w:rPr>
        <w:t xml:space="preserve">a prognóza </w:t>
      </w:r>
      <w:r w:rsidRPr="00E708E8">
        <w:rPr>
          <w:rStyle w:val="ZdrojChar"/>
          <w:rFonts w:eastAsiaTheme="minorHAnsi"/>
        </w:rPr>
        <w:t>PROCES</w:t>
      </w:r>
      <w:r>
        <w:rPr>
          <w:rStyle w:val="ZdrojChar"/>
          <w:rFonts w:eastAsiaTheme="minorHAnsi"/>
        </w:rPr>
        <w:t>, 2020.</w:t>
      </w:r>
    </w:p>
    <w:p w14:paraId="2E498AB8" w14:textId="77777777" w:rsidR="00E01070" w:rsidRDefault="00E01070" w:rsidP="00E01070">
      <w:pPr>
        <w:pStyle w:val="Nadpis3"/>
        <w:ind w:left="720"/>
      </w:pPr>
      <w:bookmarkStart w:id="1124" w:name="_Toc53474268"/>
      <w:bookmarkStart w:id="1125" w:name="_Toc77074670"/>
      <w:bookmarkStart w:id="1126" w:name="_Toc50389150"/>
      <w:r>
        <w:t>Ekonomická prognóza</w:t>
      </w:r>
      <w:bookmarkEnd w:id="1124"/>
      <w:bookmarkEnd w:id="1125"/>
    </w:p>
    <w:p w14:paraId="565B8D09" w14:textId="40FF2C68" w:rsidR="00E01070" w:rsidRPr="002C7C1F" w:rsidRDefault="00E01070" w:rsidP="00E01070">
      <w:r>
        <w:t xml:space="preserve">Jedním z trendů, který se předpokládá v oblasti ekonomiky, je růst vlivu města v rámci aglomerace, což se projevuje na koncentraci pracovních míst na území města </w:t>
      </w:r>
      <w:r w:rsidRPr="00265EF5">
        <w:rPr>
          <w:color w:val="000000" w:themeColor="text1"/>
        </w:rPr>
        <w:t xml:space="preserve">(pozitivní aglomerační efekty spojené </w:t>
      </w:r>
      <w:r w:rsidRPr="008C42CF">
        <w:rPr>
          <w:color w:val="000000" w:themeColor="text1"/>
        </w:rPr>
        <w:t>s úsporami z rozsahu</w:t>
      </w:r>
      <w:r w:rsidRPr="00265EF5">
        <w:rPr>
          <w:color w:val="000000" w:themeColor="text1"/>
        </w:rPr>
        <w:t xml:space="preserve"> jsou důvodem k růstu města z hlediska koncentrace pracovních míst a počtu aktivních podnikatelských subjektů na území města). </w:t>
      </w:r>
      <w:r w:rsidRPr="00265EF5">
        <w:rPr>
          <w:rFonts w:cstheme="minorHAnsi"/>
          <w:color w:val="000000" w:themeColor="text1"/>
        </w:rPr>
        <w:t xml:space="preserve">Rozložení pracovních míst lze sledovat prostřednictvím ukazatele </w:t>
      </w:r>
      <w:r>
        <w:rPr>
          <w:rFonts w:cstheme="minorHAnsi"/>
        </w:rPr>
        <w:t>p</w:t>
      </w:r>
      <w:r>
        <w:t>očtu obsazených pracovních míst (viz obrázek</w:t>
      </w:r>
      <w:r w:rsidR="005302C0">
        <w:t xml:space="preserve"> 4.11</w:t>
      </w:r>
      <w:r>
        <w:t xml:space="preserve">). </w:t>
      </w:r>
      <w:r w:rsidRPr="002C7C1F">
        <w:t>Ve vývoji je patrný pokles způsobený ekonomickou recesí v roce 2009</w:t>
      </w:r>
      <w:r>
        <w:t xml:space="preserve">. </w:t>
      </w:r>
      <w:r w:rsidRPr="002C7C1F">
        <w:t xml:space="preserve">V posledních letech dochází k nárůstu počtu obsazených pracovních míst vzhledem k minimální míře nezaměstnanosti. </w:t>
      </w:r>
      <w:r w:rsidRPr="008E7744">
        <w:t>Počet obsazených pracovních mís</w:t>
      </w:r>
      <w:r>
        <w:t>t v z</w:t>
      </w:r>
      <w:r w:rsidRPr="002C7C1F">
        <w:t>ázemí Zlína je ve srovnání s městem Zlín</w:t>
      </w:r>
      <w:r>
        <w:t>em</w:t>
      </w:r>
      <w:r w:rsidRPr="002C7C1F">
        <w:t xml:space="preserve"> dlouhodobě přibližně třetinový</w:t>
      </w:r>
      <w:r>
        <w:t xml:space="preserve"> (p</w:t>
      </w:r>
      <w:r w:rsidRPr="007227F8">
        <w:t>odíl města Zlína</w:t>
      </w:r>
      <w:r>
        <w:t xml:space="preserve"> na počtu VPM  Zlínské aglomerace činí 65 %, viz tabulka </w:t>
      </w:r>
      <w:r w:rsidR="0096730F">
        <w:t>4.7</w:t>
      </w:r>
      <w:r>
        <w:t>)</w:t>
      </w:r>
      <w:r w:rsidRPr="002C7C1F">
        <w:t>.</w:t>
      </w:r>
    </w:p>
    <w:p w14:paraId="113E6418" w14:textId="1820A9DC" w:rsidR="00E01070" w:rsidRPr="008E7744" w:rsidRDefault="00E01070" w:rsidP="00E01070">
      <w:pPr>
        <w:pStyle w:val="Titulek"/>
      </w:pPr>
      <w:bookmarkStart w:id="1127" w:name="_Toc54702829"/>
      <w:bookmarkStart w:id="1128" w:name="_Toc56179635"/>
      <w:bookmarkStart w:id="1129" w:name="_Toc77074977"/>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11</w:t>
      </w:r>
      <w:r w:rsidR="00804AF3">
        <w:rPr>
          <w:noProof/>
        </w:rPr>
        <w:fldChar w:fldCharType="end"/>
      </w:r>
      <w:r w:rsidR="002F528D">
        <w:rPr>
          <w:noProof/>
        </w:rPr>
        <w:t>:</w:t>
      </w:r>
      <w:r>
        <w:t xml:space="preserve"> </w:t>
      </w:r>
      <w:r w:rsidRPr="008E7744">
        <w:t>Počet obsazených pracovních míst (2004</w:t>
      </w:r>
      <w:r w:rsidR="002F528D">
        <w:t xml:space="preserve"> </w:t>
      </w:r>
      <w:r w:rsidR="002F528D">
        <w:sym w:font="Symbol" w:char="F02D"/>
      </w:r>
      <w:r w:rsidR="002F528D">
        <w:t xml:space="preserve"> </w:t>
      </w:r>
      <w:r w:rsidRPr="008E7744">
        <w:t>2018)</w:t>
      </w:r>
      <w:bookmarkEnd w:id="1127"/>
      <w:bookmarkEnd w:id="1128"/>
      <w:bookmarkEnd w:id="1129"/>
    </w:p>
    <w:p w14:paraId="2192ADAF" w14:textId="77777777" w:rsidR="00E01070" w:rsidRPr="008E7744" w:rsidRDefault="00E01070" w:rsidP="00E01070">
      <w:pPr>
        <w:pStyle w:val="Zdroj"/>
        <w:rPr>
          <w:rFonts w:eastAsiaTheme="minorHAnsi"/>
        </w:rPr>
      </w:pPr>
      <w:r w:rsidRPr="00D9206B">
        <w:rPr>
          <w:rFonts w:eastAsiaTheme="minorHAnsi"/>
          <w:noProof/>
        </w:rPr>
        <w:drawing>
          <wp:inline distT="0" distB="0" distL="0" distR="0" wp14:anchorId="089A37DF" wp14:editId="1F5E2D59">
            <wp:extent cx="5760720" cy="2177468"/>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760720" cy="2177468"/>
                    </a:xfrm>
                    <a:prstGeom prst="rect">
                      <a:avLst/>
                    </a:prstGeom>
                    <a:noFill/>
                    <a:ln>
                      <a:noFill/>
                    </a:ln>
                  </pic:spPr>
                </pic:pic>
              </a:graphicData>
            </a:graphic>
          </wp:inline>
        </w:drawing>
      </w:r>
    </w:p>
    <w:p w14:paraId="131DD88F" w14:textId="77777777" w:rsidR="00E01070" w:rsidRPr="00500E54" w:rsidRDefault="00E01070" w:rsidP="00E01070">
      <w:pPr>
        <w:pStyle w:val="Zdroj"/>
        <w:rPr>
          <w:rFonts w:eastAsiaTheme="minorHAnsi" w:cstheme="minorHAnsi"/>
        </w:rPr>
      </w:pPr>
      <w:r>
        <w:rPr>
          <w:rFonts w:eastAsiaTheme="minorHAnsi" w:cstheme="minorHAnsi"/>
        </w:rPr>
        <w:t>Zdroj: MF, 2019.</w:t>
      </w:r>
    </w:p>
    <w:p w14:paraId="7B09B273" w14:textId="77777777" w:rsidR="00E01070" w:rsidRPr="00265EF5" w:rsidRDefault="00E01070" w:rsidP="00E01070">
      <w:pPr>
        <w:pStyle w:val="Zdroj"/>
        <w:jc w:val="both"/>
        <w:rPr>
          <w:rFonts w:eastAsiaTheme="minorHAnsi" w:cstheme="minorHAnsi"/>
          <w:i w:val="0"/>
          <w:color w:val="000000" w:themeColor="text1"/>
          <w:sz w:val="22"/>
        </w:rPr>
      </w:pPr>
      <w:r w:rsidRPr="00265EF5">
        <w:rPr>
          <w:rFonts w:eastAsiaTheme="minorHAnsi" w:cstheme="minorHAnsi"/>
          <w:i w:val="0"/>
          <w:color w:val="000000" w:themeColor="text1"/>
          <w:sz w:val="22"/>
        </w:rPr>
        <w:t>Ve srovnání let 2009 a 2019 vzrostl počet obsazených pracovních míst ve městě Zlíně o 27,6 %, nárůst pracovních míst v zázemí je ovlivněn především nárůstem pracovních míst v dalších střediscích aglomerace</w:t>
      </w:r>
      <w:r>
        <w:rPr>
          <w:rFonts w:eastAsiaTheme="minorHAnsi" w:cstheme="minorHAnsi"/>
          <w:i w:val="0"/>
          <w:color w:val="000000" w:themeColor="text1"/>
          <w:sz w:val="22"/>
        </w:rPr>
        <w:t>,</w:t>
      </w:r>
      <w:r w:rsidRPr="00265EF5">
        <w:rPr>
          <w:rFonts w:eastAsiaTheme="minorHAnsi" w:cstheme="minorHAnsi"/>
          <w:i w:val="0"/>
          <w:color w:val="000000" w:themeColor="text1"/>
          <w:sz w:val="22"/>
        </w:rPr>
        <w:t xml:space="preserve"> a to v Otrokovicích (stejný jako ve Zlíně) a ve Vizovicích (nárůst o 50,5 %). Tempo růstu počtu pracovních míst v aglomeraci předčilo Zlínský kraj, který zaznamenal ve stejném období nárůst o</w:t>
      </w:r>
      <w:r>
        <w:rPr>
          <w:rFonts w:eastAsiaTheme="minorHAnsi" w:cstheme="minorHAnsi"/>
          <w:i w:val="0"/>
          <w:color w:val="000000" w:themeColor="text1"/>
          <w:sz w:val="22"/>
        </w:rPr>
        <w:t> </w:t>
      </w:r>
      <w:r w:rsidRPr="00265EF5">
        <w:rPr>
          <w:rFonts w:eastAsiaTheme="minorHAnsi" w:cstheme="minorHAnsi"/>
          <w:i w:val="0"/>
          <w:color w:val="000000" w:themeColor="text1"/>
          <w:sz w:val="22"/>
        </w:rPr>
        <w:t xml:space="preserve">24,6 %. </w:t>
      </w:r>
    </w:p>
    <w:p w14:paraId="3E0FD113" w14:textId="1849E577" w:rsidR="00E01070" w:rsidRPr="00265EF5" w:rsidRDefault="00E01070" w:rsidP="00E01070">
      <w:pPr>
        <w:pStyle w:val="Titulek"/>
        <w:keepNext/>
        <w:rPr>
          <w:color w:val="000000" w:themeColor="text1"/>
        </w:rPr>
      </w:pPr>
      <w:bookmarkStart w:id="1130" w:name="_Toc54702667"/>
      <w:bookmarkStart w:id="1131" w:name="_Toc56179474"/>
      <w:bookmarkStart w:id="1132" w:name="_Toc57731832"/>
      <w:bookmarkStart w:id="1133" w:name="_Toc77074816"/>
      <w:r w:rsidRPr="00265EF5">
        <w:rPr>
          <w:color w:val="000000" w:themeColor="text1"/>
        </w:rPr>
        <w:t xml:space="preserve">Tabulka </w:t>
      </w:r>
      <w:r w:rsidR="00DC277C">
        <w:rPr>
          <w:color w:val="000000" w:themeColor="text1"/>
        </w:rPr>
        <w:fldChar w:fldCharType="begin"/>
      </w:r>
      <w:r w:rsidR="00DC277C">
        <w:rPr>
          <w:color w:val="000000" w:themeColor="text1"/>
        </w:rPr>
        <w:instrText xml:space="preserve"> STYLEREF 1 \s </w:instrText>
      </w:r>
      <w:r w:rsidR="00DC277C">
        <w:rPr>
          <w:color w:val="000000" w:themeColor="text1"/>
        </w:rPr>
        <w:fldChar w:fldCharType="separate"/>
      </w:r>
      <w:r w:rsidR="00332A29">
        <w:rPr>
          <w:noProof/>
          <w:color w:val="000000" w:themeColor="text1"/>
        </w:rPr>
        <w:t>4</w:t>
      </w:r>
      <w:r w:rsidR="00DC277C">
        <w:rPr>
          <w:color w:val="000000" w:themeColor="text1"/>
        </w:rPr>
        <w:fldChar w:fldCharType="end"/>
      </w:r>
      <w:r w:rsidR="00DC277C">
        <w:rPr>
          <w:color w:val="000000" w:themeColor="text1"/>
        </w:rPr>
        <w:t>.</w:t>
      </w:r>
      <w:r w:rsidR="00DC277C">
        <w:rPr>
          <w:color w:val="000000" w:themeColor="text1"/>
        </w:rPr>
        <w:fldChar w:fldCharType="begin"/>
      </w:r>
      <w:r w:rsidR="00DC277C">
        <w:rPr>
          <w:color w:val="000000" w:themeColor="text1"/>
        </w:rPr>
        <w:instrText xml:space="preserve"> SEQ Tabulka \* ARABIC \s 1 </w:instrText>
      </w:r>
      <w:r w:rsidR="00DC277C">
        <w:rPr>
          <w:color w:val="000000" w:themeColor="text1"/>
        </w:rPr>
        <w:fldChar w:fldCharType="separate"/>
      </w:r>
      <w:r w:rsidR="00332A29">
        <w:rPr>
          <w:noProof/>
          <w:color w:val="000000" w:themeColor="text1"/>
        </w:rPr>
        <w:t>7</w:t>
      </w:r>
      <w:r w:rsidR="00DC277C">
        <w:rPr>
          <w:color w:val="000000" w:themeColor="text1"/>
        </w:rPr>
        <w:fldChar w:fldCharType="end"/>
      </w:r>
      <w:r w:rsidR="002F528D">
        <w:rPr>
          <w:color w:val="000000" w:themeColor="text1"/>
        </w:rPr>
        <w:t>:</w:t>
      </w:r>
      <w:r w:rsidRPr="00265EF5">
        <w:rPr>
          <w:color w:val="000000" w:themeColor="text1"/>
        </w:rPr>
        <w:t xml:space="preserve"> Vývoj počtu obsazených pracovních míst mezi lety 2009 až 2019</w:t>
      </w:r>
      <w:bookmarkEnd w:id="1130"/>
      <w:bookmarkEnd w:id="1131"/>
      <w:bookmarkEnd w:id="1132"/>
      <w:bookmarkEnd w:id="1133"/>
    </w:p>
    <w:tbl>
      <w:tblPr>
        <w:tblW w:w="4919" w:type="pct"/>
        <w:tblCellMar>
          <w:left w:w="70" w:type="dxa"/>
          <w:right w:w="70" w:type="dxa"/>
        </w:tblCellMar>
        <w:tblLook w:val="04A0" w:firstRow="1" w:lastRow="0" w:firstColumn="1" w:lastColumn="0" w:noHBand="0" w:noVBand="1"/>
      </w:tblPr>
      <w:tblGrid>
        <w:gridCol w:w="671"/>
        <w:gridCol w:w="1168"/>
        <w:gridCol w:w="1146"/>
        <w:gridCol w:w="1189"/>
        <w:gridCol w:w="1023"/>
        <w:gridCol w:w="1352"/>
        <w:gridCol w:w="1186"/>
        <w:gridCol w:w="1180"/>
      </w:tblGrid>
      <w:tr w:rsidR="00E01070" w:rsidRPr="00265EF5" w14:paraId="7FAC1B42" w14:textId="77777777" w:rsidTr="00FB7BF4">
        <w:trPr>
          <w:trHeight w:val="288"/>
        </w:trPr>
        <w:tc>
          <w:tcPr>
            <w:tcW w:w="1031" w:type="pct"/>
            <w:gridSpan w:val="2"/>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7FD4A3EF"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 </w:t>
            </w:r>
          </w:p>
        </w:tc>
        <w:tc>
          <w:tcPr>
            <w:tcW w:w="1310"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1BA20675"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Počet obsazených míst</w:t>
            </w:r>
          </w:p>
        </w:tc>
        <w:tc>
          <w:tcPr>
            <w:tcW w:w="1332"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31DE6915"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Změna</w:t>
            </w:r>
          </w:p>
        </w:tc>
        <w:tc>
          <w:tcPr>
            <w:tcW w:w="1327"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3C721568"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Podíl ve Zlínské aglomeraci</w:t>
            </w:r>
          </w:p>
        </w:tc>
      </w:tr>
      <w:tr w:rsidR="00E01070" w:rsidRPr="00265EF5" w14:paraId="7315D7B6" w14:textId="77777777" w:rsidTr="00FB7BF4">
        <w:trPr>
          <w:trHeight w:val="288"/>
        </w:trPr>
        <w:tc>
          <w:tcPr>
            <w:tcW w:w="1031" w:type="pct"/>
            <w:gridSpan w:val="2"/>
            <w:vMerge/>
            <w:tcBorders>
              <w:top w:val="single" w:sz="4" w:space="0" w:color="auto"/>
              <w:left w:val="single" w:sz="4" w:space="0" w:color="auto"/>
              <w:bottom w:val="single" w:sz="4" w:space="0" w:color="000000"/>
              <w:right w:val="single" w:sz="4" w:space="0" w:color="auto"/>
            </w:tcBorders>
            <w:vAlign w:val="center"/>
            <w:hideMark/>
          </w:tcPr>
          <w:p w14:paraId="089EA313" w14:textId="77777777" w:rsidR="00E01070" w:rsidRPr="00265EF5" w:rsidRDefault="00E01070" w:rsidP="00FB7BF4">
            <w:pPr>
              <w:keepNext/>
              <w:rPr>
                <w:rFonts w:ascii="Calibri" w:eastAsia="Times New Roman" w:hAnsi="Calibri" w:cs="Calibri"/>
                <w:b/>
                <w:bCs/>
                <w:color w:val="000000" w:themeColor="text1"/>
                <w:sz w:val="18"/>
                <w:szCs w:val="18"/>
                <w:lang w:eastAsia="cs-CZ"/>
              </w:rPr>
            </w:pPr>
          </w:p>
        </w:tc>
        <w:tc>
          <w:tcPr>
            <w:tcW w:w="643" w:type="pct"/>
            <w:tcBorders>
              <w:top w:val="nil"/>
              <w:left w:val="nil"/>
              <w:bottom w:val="single" w:sz="4" w:space="0" w:color="auto"/>
              <w:right w:val="single" w:sz="4" w:space="0" w:color="auto"/>
            </w:tcBorders>
            <w:shd w:val="clear" w:color="000000" w:fill="D9D9D9"/>
            <w:noWrap/>
            <w:vAlign w:val="center"/>
            <w:hideMark/>
          </w:tcPr>
          <w:p w14:paraId="48E2B930"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2009</w:t>
            </w:r>
          </w:p>
        </w:tc>
        <w:tc>
          <w:tcPr>
            <w:tcW w:w="667" w:type="pct"/>
            <w:tcBorders>
              <w:top w:val="nil"/>
              <w:left w:val="nil"/>
              <w:bottom w:val="single" w:sz="4" w:space="0" w:color="auto"/>
              <w:right w:val="single" w:sz="4" w:space="0" w:color="auto"/>
            </w:tcBorders>
            <w:shd w:val="clear" w:color="000000" w:fill="D9D9D9"/>
            <w:noWrap/>
            <w:vAlign w:val="center"/>
            <w:hideMark/>
          </w:tcPr>
          <w:p w14:paraId="3CE74380"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2019</w:t>
            </w:r>
          </w:p>
        </w:tc>
        <w:tc>
          <w:tcPr>
            <w:tcW w:w="574" w:type="pct"/>
            <w:tcBorders>
              <w:top w:val="nil"/>
              <w:left w:val="nil"/>
              <w:bottom w:val="single" w:sz="4" w:space="0" w:color="auto"/>
              <w:right w:val="single" w:sz="4" w:space="0" w:color="auto"/>
            </w:tcBorders>
            <w:shd w:val="clear" w:color="000000" w:fill="D9D9D9"/>
            <w:noWrap/>
            <w:vAlign w:val="center"/>
            <w:hideMark/>
          </w:tcPr>
          <w:p w14:paraId="0F154FE8"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Absolutně</w:t>
            </w:r>
          </w:p>
        </w:tc>
        <w:tc>
          <w:tcPr>
            <w:tcW w:w="758" w:type="pct"/>
            <w:tcBorders>
              <w:top w:val="nil"/>
              <w:left w:val="nil"/>
              <w:bottom w:val="single" w:sz="4" w:space="0" w:color="auto"/>
              <w:right w:val="single" w:sz="4" w:space="0" w:color="auto"/>
            </w:tcBorders>
            <w:shd w:val="clear" w:color="000000" w:fill="D9D9D9"/>
            <w:noWrap/>
            <w:vAlign w:val="center"/>
            <w:hideMark/>
          </w:tcPr>
          <w:p w14:paraId="3FA738EB"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Relativně (%)</w:t>
            </w:r>
          </w:p>
        </w:tc>
        <w:tc>
          <w:tcPr>
            <w:tcW w:w="665" w:type="pct"/>
            <w:tcBorders>
              <w:top w:val="nil"/>
              <w:left w:val="nil"/>
              <w:bottom w:val="single" w:sz="4" w:space="0" w:color="auto"/>
              <w:right w:val="single" w:sz="4" w:space="0" w:color="auto"/>
            </w:tcBorders>
            <w:shd w:val="clear" w:color="000000" w:fill="D9D9D9"/>
            <w:noWrap/>
            <w:vAlign w:val="center"/>
            <w:hideMark/>
          </w:tcPr>
          <w:p w14:paraId="0D3F6DB6"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2009</w:t>
            </w:r>
          </w:p>
        </w:tc>
        <w:tc>
          <w:tcPr>
            <w:tcW w:w="662" w:type="pct"/>
            <w:tcBorders>
              <w:top w:val="nil"/>
              <w:left w:val="nil"/>
              <w:bottom w:val="single" w:sz="4" w:space="0" w:color="auto"/>
              <w:right w:val="single" w:sz="4" w:space="0" w:color="auto"/>
            </w:tcBorders>
            <w:shd w:val="clear" w:color="000000" w:fill="D9D9D9"/>
            <w:noWrap/>
            <w:vAlign w:val="center"/>
            <w:hideMark/>
          </w:tcPr>
          <w:p w14:paraId="55608687" w14:textId="77777777" w:rsidR="00E01070" w:rsidRPr="00265EF5" w:rsidRDefault="00E01070" w:rsidP="00FB7BF4">
            <w:pPr>
              <w:keepNext/>
              <w:jc w:val="center"/>
              <w:rPr>
                <w:rFonts w:ascii="Calibri" w:eastAsia="Times New Roman" w:hAnsi="Calibri" w:cs="Calibri"/>
                <w:b/>
                <w:bCs/>
                <w:color w:val="000000" w:themeColor="text1"/>
                <w:sz w:val="18"/>
                <w:szCs w:val="18"/>
                <w:lang w:eastAsia="cs-CZ"/>
              </w:rPr>
            </w:pPr>
            <w:r w:rsidRPr="00265EF5">
              <w:rPr>
                <w:rFonts w:ascii="Calibri" w:eastAsia="Times New Roman" w:hAnsi="Calibri" w:cs="Calibri"/>
                <w:b/>
                <w:bCs/>
                <w:color w:val="000000" w:themeColor="text1"/>
                <w:sz w:val="18"/>
                <w:szCs w:val="18"/>
                <w:lang w:eastAsia="cs-CZ"/>
              </w:rPr>
              <w:t>2019</w:t>
            </w:r>
          </w:p>
        </w:tc>
      </w:tr>
      <w:tr w:rsidR="00E01070" w:rsidRPr="00265EF5" w14:paraId="3E9C905B" w14:textId="77777777" w:rsidTr="00FB7BF4">
        <w:trPr>
          <w:trHeight w:val="288"/>
        </w:trPr>
        <w:tc>
          <w:tcPr>
            <w:tcW w:w="103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80145D3" w14:textId="77777777" w:rsidR="00E01070" w:rsidRPr="00265EF5" w:rsidRDefault="00E01070" w:rsidP="00FB7BF4">
            <w:pPr>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Zlínská aglomerace</w:t>
            </w:r>
          </w:p>
        </w:tc>
        <w:tc>
          <w:tcPr>
            <w:tcW w:w="643" w:type="pct"/>
            <w:tcBorders>
              <w:top w:val="nil"/>
              <w:left w:val="nil"/>
              <w:bottom w:val="single" w:sz="4" w:space="0" w:color="auto"/>
              <w:right w:val="single" w:sz="4" w:space="0" w:color="auto"/>
            </w:tcBorders>
            <w:shd w:val="clear" w:color="auto" w:fill="auto"/>
            <w:noWrap/>
            <w:vAlign w:val="bottom"/>
            <w:hideMark/>
          </w:tcPr>
          <w:p w14:paraId="53E067EC"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69 285</w:t>
            </w:r>
          </w:p>
        </w:tc>
        <w:tc>
          <w:tcPr>
            <w:tcW w:w="667" w:type="pct"/>
            <w:tcBorders>
              <w:top w:val="nil"/>
              <w:left w:val="nil"/>
              <w:bottom w:val="single" w:sz="4" w:space="0" w:color="auto"/>
              <w:right w:val="single" w:sz="4" w:space="0" w:color="auto"/>
            </w:tcBorders>
            <w:shd w:val="clear" w:color="auto" w:fill="auto"/>
            <w:noWrap/>
            <w:vAlign w:val="bottom"/>
            <w:hideMark/>
          </w:tcPr>
          <w:p w14:paraId="62FFB262"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88 558</w:t>
            </w:r>
          </w:p>
        </w:tc>
        <w:tc>
          <w:tcPr>
            <w:tcW w:w="574" w:type="pct"/>
            <w:tcBorders>
              <w:top w:val="nil"/>
              <w:left w:val="nil"/>
              <w:bottom w:val="single" w:sz="4" w:space="0" w:color="auto"/>
              <w:right w:val="single" w:sz="4" w:space="0" w:color="auto"/>
            </w:tcBorders>
            <w:shd w:val="clear" w:color="auto" w:fill="auto"/>
            <w:noWrap/>
            <w:vAlign w:val="bottom"/>
            <w:hideMark/>
          </w:tcPr>
          <w:p w14:paraId="066B37CA"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19 273</w:t>
            </w:r>
          </w:p>
        </w:tc>
        <w:tc>
          <w:tcPr>
            <w:tcW w:w="758" w:type="pct"/>
            <w:tcBorders>
              <w:top w:val="nil"/>
              <w:left w:val="nil"/>
              <w:bottom w:val="single" w:sz="4" w:space="0" w:color="auto"/>
              <w:right w:val="single" w:sz="4" w:space="0" w:color="auto"/>
            </w:tcBorders>
            <w:shd w:val="clear" w:color="auto" w:fill="auto"/>
            <w:noWrap/>
            <w:vAlign w:val="bottom"/>
            <w:hideMark/>
          </w:tcPr>
          <w:p w14:paraId="5A480038"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+27,8</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c>
          <w:tcPr>
            <w:tcW w:w="665" w:type="pct"/>
            <w:tcBorders>
              <w:top w:val="nil"/>
              <w:left w:val="nil"/>
              <w:bottom w:val="single" w:sz="4" w:space="0" w:color="auto"/>
              <w:right w:val="single" w:sz="4" w:space="0" w:color="auto"/>
            </w:tcBorders>
            <w:shd w:val="clear" w:color="auto" w:fill="auto"/>
            <w:noWrap/>
            <w:vAlign w:val="bottom"/>
            <w:hideMark/>
          </w:tcPr>
          <w:p w14:paraId="173D5B42"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100</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c>
          <w:tcPr>
            <w:tcW w:w="662" w:type="pct"/>
            <w:tcBorders>
              <w:top w:val="nil"/>
              <w:left w:val="nil"/>
              <w:bottom w:val="single" w:sz="4" w:space="0" w:color="auto"/>
              <w:right w:val="single" w:sz="4" w:space="0" w:color="auto"/>
            </w:tcBorders>
            <w:shd w:val="clear" w:color="auto" w:fill="auto"/>
            <w:noWrap/>
            <w:vAlign w:val="bottom"/>
            <w:hideMark/>
          </w:tcPr>
          <w:p w14:paraId="27E2B092"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100</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r>
      <w:tr w:rsidR="00E01070" w:rsidRPr="00265EF5" w14:paraId="68C78A65" w14:textId="77777777" w:rsidTr="00FB7BF4">
        <w:trPr>
          <w:trHeight w:val="288"/>
        </w:trPr>
        <w:tc>
          <w:tcPr>
            <w:tcW w:w="376" w:type="pct"/>
            <w:vMerge w:val="restart"/>
            <w:tcBorders>
              <w:top w:val="nil"/>
              <w:left w:val="single" w:sz="4" w:space="0" w:color="auto"/>
              <w:right w:val="single" w:sz="4" w:space="0" w:color="auto"/>
            </w:tcBorders>
            <w:shd w:val="clear" w:color="auto" w:fill="auto"/>
            <w:noWrap/>
          </w:tcPr>
          <w:p w14:paraId="175AB932" w14:textId="77777777" w:rsidR="00E01070" w:rsidRPr="00265EF5" w:rsidRDefault="00E01070" w:rsidP="00FB7BF4">
            <w:pPr>
              <w:jc w:val="lef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z toho</w:t>
            </w:r>
          </w:p>
        </w:tc>
        <w:tc>
          <w:tcPr>
            <w:tcW w:w="655" w:type="pct"/>
            <w:tcBorders>
              <w:top w:val="nil"/>
              <w:left w:val="single" w:sz="4" w:space="0" w:color="auto"/>
              <w:bottom w:val="single" w:sz="4" w:space="0" w:color="auto"/>
              <w:right w:val="single" w:sz="4" w:space="0" w:color="auto"/>
            </w:tcBorders>
            <w:shd w:val="clear" w:color="auto" w:fill="auto"/>
            <w:vAlign w:val="bottom"/>
          </w:tcPr>
          <w:p w14:paraId="0E7F673E" w14:textId="77777777" w:rsidR="00E01070" w:rsidRPr="00265EF5" w:rsidRDefault="00E01070" w:rsidP="00FB7BF4">
            <w:pPr>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Zlín</w:t>
            </w:r>
          </w:p>
        </w:tc>
        <w:tc>
          <w:tcPr>
            <w:tcW w:w="643" w:type="pct"/>
            <w:tcBorders>
              <w:top w:val="nil"/>
              <w:left w:val="nil"/>
              <w:bottom w:val="single" w:sz="4" w:space="0" w:color="auto"/>
              <w:right w:val="single" w:sz="4" w:space="0" w:color="auto"/>
            </w:tcBorders>
            <w:shd w:val="clear" w:color="auto" w:fill="auto"/>
            <w:noWrap/>
            <w:vAlign w:val="bottom"/>
            <w:hideMark/>
          </w:tcPr>
          <w:p w14:paraId="48A87237"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44 554</w:t>
            </w:r>
          </w:p>
        </w:tc>
        <w:tc>
          <w:tcPr>
            <w:tcW w:w="667" w:type="pct"/>
            <w:tcBorders>
              <w:top w:val="nil"/>
              <w:left w:val="nil"/>
              <w:bottom w:val="single" w:sz="4" w:space="0" w:color="auto"/>
              <w:right w:val="single" w:sz="4" w:space="0" w:color="auto"/>
            </w:tcBorders>
            <w:shd w:val="clear" w:color="auto" w:fill="auto"/>
            <w:noWrap/>
            <w:vAlign w:val="bottom"/>
            <w:hideMark/>
          </w:tcPr>
          <w:p w14:paraId="013286C5"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56 834</w:t>
            </w:r>
          </w:p>
        </w:tc>
        <w:tc>
          <w:tcPr>
            <w:tcW w:w="574" w:type="pct"/>
            <w:tcBorders>
              <w:top w:val="nil"/>
              <w:left w:val="nil"/>
              <w:bottom w:val="single" w:sz="4" w:space="0" w:color="auto"/>
              <w:right w:val="single" w:sz="4" w:space="0" w:color="auto"/>
            </w:tcBorders>
            <w:shd w:val="clear" w:color="auto" w:fill="auto"/>
            <w:noWrap/>
            <w:vAlign w:val="bottom"/>
            <w:hideMark/>
          </w:tcPr>
          <w:p w14:paraId="0A68DE6E"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12 280</w:t>
            </w:r>
          </w:p>
        </w:tc>
        <w:tc>
          <w:tcPr>
            <w:tcW w:w="758" w:type="pct"/>
            <w:tcBorders>
              <w:top w:val="nil"/>
              <w:left w:val="nil"/>
              <w:bottom w:val="single" w:sz="4" w:space="0" w:color="auto"/>
              <w:right w:val="single" w:sz="4" w:space="0" w:color="auto"/>
            </w:tcBorders>
            <w:shd w:val="clear" w:color="auto" w:fill="auto"/>
            <w:noWrap/>
            <w:vAlign w:val="bottom"/>
            <w:hideMark/>
          </w:tcPr>
          <w:p w14:paraId="7429D18A"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+27,6</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c>
          <w:tcPr>
            <w:tcW w:w="665" w:type="pct"/>
            <w:tcBorders>
              <w:top w:val="nil"/>
              <w:left w:val="nil"/>
              <w:bottom w:val="single" w:sz="4" w:space="0" w:color="auto"/>
              <w:right w:val="single" w:sz="4" w:space="0" w:color="auto"/>
            </w:tcBorders>
            <w:shd w:val="clear" w:color="auto" w:fill="auto"/>
            <w:noWrap/>
            <w:vAlign w:val="bottom"/>
            <w:hideMark/>
          </w:tcPr>
          <w:p w14:paraId="03588D97"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64,3</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c>
          <w:tcPr>
            <w:tcW w:w="662" w:type="pct"/>
            <w:tcBorders>
              <w:top w:val="nil"/>
              <w:left w:val="nil"/>
              <w:bottom w:val="single" w:sz="4" w:space="0" w:color="auto"/>
              <w:right w:val="single" w:sz="4" w:space="0" w:color="auto"/>
            </w:tcBorders>
            <w:shd w:val="clear" w:color="auto" w:fill="auto"/>
            <w:noWrap/>
            <w:vAlign w:val="bottom"/>
            <w:hideMark/>
          </w:tcPr>
          <w:p w14:paraId="773C8BAE"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64,2</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r>
      <w:tr w:rsidR="00E01070" w:rsidRPr="00265EF5" w14:paraId="0DAF4B91" w14:textId="77777777" w:rsidTr="00FB7BF4">
        <w:trPr>
          <w:trHeight w:val="288"/>
        </w:trPr>
        <w:tc>
          <w:tcPr>
            <w:tcW w:w="376" w:type="pct"/>
            <w:vMerge/>
            <w:tcBorders>
              <w:left w:val="single" w:sz="4" w:space="0" w:color="auto"/>
              <w:bottom w:val="single" w:sz="4" w:space="0" w:color="auto"/>
              <w:right w:val="single" w:sz="4" w:space="0" w:color="auto"/>
            </w:tcBorders>
            <w:shd w:val="clear" w:color="auto" w:fill="auto"/>
            <w:noWrap/>
            <w:vAlign w:val="bottom"/>
          </w:tcPr>
          <w:p w14:paraId="4A152C04" w14:textId="77777777" w:rsidR="00E01070" w:rsidRPr="00265EF5" w:rsidRDefault="00E01070" w:rsidP="00FB7BF4">
            <w:pPr>
              <w:rPr>
                <w:rFonts w:ascii="Calibri" w:eastAsia="Times New Roman" w:hAnsi="Calibri" w:cs="Calibri"/>
                <w:color w:val="000000" w:themeColor="text1"/>
                <w:sz w:val="18"/>
                <w:szCs w:val="18"/>
                <w:lang w:eastAsia="cs-CZ"/>
              </w:rPr>
            </w:pPr>
          </w:p>
        </w:tc>
        <w:tc>
          <w:tcPr>
            <w:tcW w:w="655" w:type="pct"/>
            <w:tcBorders>
              <w:top w:val="nil"/>
              <w:left w:val="single" w:sz="4" w:space="0" w:color="auto"/>
              <w:bottom w:val="single" w:sz="4" w:space="0" w:color="auto"/>
              <w:right w:val="single" w:sz="4" w:space="0" w:color="auto"/>
            </w:tcBorders>
            <w:shd w:val="clear" w:color="auto" w:fill="auto"/>
            <w:vAlign w:val="bottom"/>
          </w:tcPr>
          <w:p w14:paraId="294681CD" w14:textId="77777777" w:rsidR="00E01070" w:rsidRPr="00265EF5" w:rsidRDefault="00E01070" w:rsidP="00FB7BF4">
            <w:pPr>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Zázemí Zlína</w:t>
            </w:r>
          </w:p>
        </w:tc>
        <w:tc>
          <w:tcPr>
            <w:tcW w:w="643" w:type="pct"/>
            <w:tcBorders>
              <w:top w:val="nil"/>
              <w:left w:val="nil"/>
              <w:bottom w:val="single" w:sz="4" w:space="0" w:color="auto"/>
              <w:right w:val="single" w:sz="4" w:space="0" w:color="auto"/>
            </w:tcBorders>
            <w:shd w:val="clear" w:color="auto" w:fill="auto"/>
            <w:noWrap/>
            <w:vAlign w:val="bottom"/>
            <w:hideMark/>
          </w:tcPr>
          <w:p w14:paraId="10EE61FA"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24 731</w:t>
            </w:r>
          </w:p>
        </w:tc>
        <w:tc>
          <w:tcPr>
            <w:tcW w:w="667" w:type="pct"/>
            <w:tcBorders>
              <w:top w:val="nil"/>
              <w:left w:val="nil"/>
              <w:bottom w:val="single" w:sz="4" w:space="0" w:color="auto"/>
              <w:right w:val="single" w:sz="4" w:space="0" w:color="auto"/>
            </w:tcBorders>
            <w:shd w:val="clear" w:color="auto" w:fill="auto"/>
            <w:noWrap/>
            <w:vAlign w:val="bottom"/>
            <w:hideMark/>
          </w:tcPr>
          <w:p w14:paraId="243178C2"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31 724</w:t>
            </w:r>
          </w:p>
        </w:tc>
        <w:tc>
          <w:tcPr>
            <w:tcW w:w="574" w:type="pct"/>
            <w:tcBorders>
              <w:top w:val="nil"/>
              <w:left w:val="nil"/>
              <w:bottom w:val="single" w:sz="4" w:space="0" w:color="auto"/>
              <w:right w:val="single" w:sz="4" w:space="0" w:color="auto"/>
            </w:tcBorders>
            <w:shd w:val="clear" w:color="auto" w:fill="auto"/>
            <w:noWrap/>
            <w:vAlign w:val="bottom"/>
            <w:hideMark/>
          </w:tcPr>
          <w:p w14:paraId="18F26227"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6 993</w:t>
            </w:r>
          </w:p>
        </w:tc>
        <w:tc>
          <w:tcPr>
            <w:tcW w:w="758" w:type="pct"/>
            <w:tcBorders>
              <w:top w:val="nil"/>
              <w:left w:val="nil"/>
              <w:bottom w:val="single" w:sz="4" w:space="0" w:color="auto"/>
              <w:right w:val="single" w:sz="4" w:space="0" w:color="auto"/>
            </w:tcBorders>
            <w:shd w:val="clear" w:color="auto" w:fill="auto"/>
            <w:noWrap/>
            <w:vAlign w:val="bottom"/>
            <w:hideMark/>
          </w:tcPr>
          <w:p w14:paraId="25AC2412"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+28,3</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c>
          <w:tcPr>
            <w:tcW w:w="665" w:type="pct"/>
            <w:tcBorders>
              <w:top w:val="nil"/>
              <w:left w:val="nil"/>
              <w:bottom w:val="single" w:sz="4" w:space="0" w:color="auto"/>
              <w:right w:val="single" w:sz="4" w:space="0" w:color="auto"/>
            </w:tcBorders>
            <w:shd w:val="clear" w:color="auto" w:fill="auto"/>
            <w:noWrap/>
            <w:vAlign w:val="bottom"/>
            <w:hideMark/>
          </w:tcPr>
          <w:p w14:paraId="57F09F54"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35,7</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c>
          <w:tcPr>
            <w:tcW w:w="662" w:type="pct"/>
            <w:tcBorders>
              <w:top w:val="nil"/>
              <w:left w:val="nil"/>
              <w:bottom w:val="single" w:sz="4" w:space="0" w:color="auto"/>
              <w:right w:val="single" w:sz="4" w:space="0" w:color="auto"/>
            </w:tcBorders>
            <w:shd w:val="clear" w:color="auto" w:fill="auto"/>
            <w:noWrap/>
            <w:vAlign w:val="bottom"/>
            <w:hideMark/>
          </w:tcPr>
          <w:p w14:paraId="451D3CB8"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35,8</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r>
      <w:tr w:rsidR="00E01070" w:rsidRPr="00265EF5" w14:paraId="425D277B" w14:textId="77777777" w:rsidTr="00FB7BF4">
        <w:trPr>
          <w:trHeight w:val="288"/>
        </w:trPr>
        <w:tc>
          <w:tcPr>
            <w:tcW w:w="103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F2C2A9" w14:textId="77777777" w:rsidR="00E01070" w:rsidRPr="00265EF5" w:rsidRDefault="00E01070" w:rsidP="00FB7BF4">
            <w:pPr>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Zlínský kraj</w:t>
            </w:r>
          </w:p>
        </w:tc>
        <w:tc>
          <w:tcPr>
            <w:tcW w:w="643" w:type="pct"/>
            <w:tcBorders>
              <w:top w:val="nil"/>
              <w:left w:val="nil"/>
              <w:bottom w:val="single" w:sz="4" w:space="0" w:color="auto"/>
              <w:right w:val="single" w:sz="4" w:space="0" w:color="auto"/>
            </w:tcBorders>
            <w:shd w:val="clear" w:color="auto" w:fill="auto"/>
            <w:noWrap/>
            <w:vAlign w:val="bottom"/>
            <w:hideMark/>
          </w:tcPr>
          <w:p w14:paraId="34227DB9"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225 630</w:t>
            </w:r>
          </w:p>
        </w:tc>
        <w:tc>
          <w:tcPr>
            <w:tcW w:w="667" w:type="pct"/>
            <w:tcBorders>
              <w:top w:val="nil"/>
              <w:left w:val="nil"/>
              <w:bottom w:val="single" w:sz="4" w:space="0" w:color="auto"/>
              <w:right w:val="single" w:sz="4" w:space="0" w:color="auto"/>
            </w:tcBorders>
            <w:shd w:val="clear" w:color="auto" w:fill="auto"/>
            <w:noWrap/>
            <w:vAlign w:val="bottom"/>
            <w:hideMark/>
          </w:tcPr>
          <w:p w14:paraId="2A3E021E"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281 867</w:t>
            </w:r>
          </w:p>
        </w:tc>
        <w:tc>
          <w:tcPr>
            <w:tcW w:w="574" w:type="pct"/>
            <w:tcBorders>
              <w:top w:val="nil"/>
              <w:left w:val="nil"/>
              <w:bottom w:val="single" w:sz="4" w:space="0" w:color="auto"/>
              <w:right w:val="single" w:sz="4" w:space="0" w:color="auto"/>
            </w:tcBorders>
            <w:shd w:val="clear" w:color="auto" w:fill="auto"/>
            <w:noWrap/>
            <w:vAlign w:val="bottom"/>
            <w:hideMark/>
          </w:tcPr>
          <w:p w14:paraId="27E3FF8F"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56 237</w:t>
            </w:r>
          </w:p>
        </w:tc>
        <w:tc>
          <w:tcPr>
            <w:tcW w:w="758" w:type="pct"/>
            <w:tcBorders>
              <w:top w:val="nil"/>
              <w:left w:val="nil"/>
              <w:bottom w:val="single" w:sz="4" w:space="0" w:color="auto"/>
              <w:right w:val="single" w:sz="4" w:space="0" w:color="auto"/>
            </w:tcBorders>
            <w:shd w:val="clear" w:color="auto" w:fill="auto"/>
            <w:noWrap/>
            <w:vAlign w:val="bottom"/>
            <w:hideMark/>
          </w:tcPr>
          <w:p w14:paraId="70CFCF70" w14:textId="77777777" w:rsidR="00E01070" w:rsidRPr="00265EF5" w:rsidRDefault="00E01070" w:rsidP="00FB7BF4">
            <w:pPr>
              <w:jc w:val="right"/>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+24,9</w:t>
            </w:r>
            <w:r>
              <w:rPr>
                <w:rFonts w:ascii="Calibri" w:eastAsia="Times New Roman" w:hAnsi="Calibri" w:cs="Calibri"/>
                <w:color w:val="000000" w:themeColor="text1"/>
                <w:sz w:val="18"/>
                <w:szCs w:val="18"/>
                <w:lang w:eastAsia="cs-CZ"/>
              </w:rPr>
              <w:t xml:space="preserve"> </w:t>
            </w:r>
            <w:r w:rsidRPr="00265EF5">
              <w:rPr>
                <w:rFonts w:ascii="Calibri" w:eastAsia="Times New Roman" w:hAnsi="Calibri" w:cs="Calibri"/>
                <w:color w:val="000000" w:themeColor="text1"/>
                <w:sz w:val="18"/>
                <w:szCs w:val="18"/>
                <w:lang w:eastAsia="cs-CZ"/>
              </w:rPr>
              <w:t>%</w:t>
            </w:r>
          </w:p>
        </w:tc>
        <w:tc>
          <w:tcPr>
            <w:tcW w:w="665" w:type="pct"/>
            <w:tcBorders>
              <w:top w:val="nil"/>
              <w:left w:val="nil"/>
              <w:bottom w:val="single" w:sz="4" w:space="0" w:color="auto"/>
              <w:right w:val="single" w:sz="4" w:space="0" w:color="auto"/>
            </w:tcBorders>
            <w:shd w:val="clear" w:color="auto" w:fill="auto"/>
            <w:noWrap/>
            <w:vAlign w:val="bottom"/>
            <w:hideMark/>
          </w:tcPr>
          <w:p w14:paraId="6F55E842" w14:textId="77777777" w:rsidR="00E01070" w:rsidRPr="00265EF5" w:rsidRDefault="00E01070" w:rsidP="00FB7BF4">
            <w:pPr>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 </w:t>
            </w:r>
          </w:p>
        </w:tc>
        <w:tc>
          <w:tcPr>
            <w:tcW w:w="662" w:type="pct"/>
            <w:tcBorders>
              <w:top w:val="nil"/>
              <w:left w:val="nil"/>
              <w:bottom w:val="single" w:sz="4" w:space="0" w:color="auto"/>
              <w:right w:val="single" w:sz="4" w:space="0" w:color="auto"/>
            </w:tcBorders>
            <w:shd w:val="clear" w:color="auto" w:fill="auto"/>
            <w:noWrap/>
            <w:vAlign w:val="bottom"/>
            <w:hideMark/>
          </w:tcPr>
          <w:p w14:paraId="4DBC0D75" w14:textId="77777777" w:rsidR="00E01070" w:rsidRPr="00265EF5" w:rsidRDefault="00E01070" w:rsidP="00FB7BF4">
            <w:pPr>
              <w:rPr>
                <w:rFonts w:ascii="Calibri" w:eastAsia="Times New Roman" w:hAnsi="Calibri" w:cs="Calibri"/>
                <w:color w:val="000000" w:themeColor="text1"/>
                <w:sz w:val="18"/>
                <w:szCs w:val="18"/>
                <w:lang w:eastAsia="cs-CZ"/>
              </w:rPr>
            </w:pPr>
            <w:r w:rsidRPr="00265EF5">
              <w:rPr>
                <w:rFonts w:ascii="Calibri" w:eastAsia="Times New Roman" w:hAnsi="Calibri" w:cs="Calibri"/>
                <w:color w:val="000000" w:themeColor="text1"/>
                <w:sz w:val="18"/>
                <w:szCs w:val="18"/>
                <w:lang w:eastAsia="cs-CZ"/>
              </w:rPr>
              <w:t> </w:t>
            </w:r>
          </w:p>
        </w:tc>
      </w:tr>
    </w:tbl>
    <w:p w14:paraId="0AC07BB2" w14:textId="77777777" w:rsidR="00E01070" w:rsidRPr="00265EF5" w:rsidRDefault="00E01070" w:rsidP="00E01070">
      <w:pPr>
        <w:pStyle w:val="Zdroj"/>
        <w:rPr>
          <w:rFonts w:eastAsiaTheme="minorHAnsi" w:cstheme="minorHAnsi"/>
          <w:color w:val="000000" w:themeColor="text1"/>
        </w:rPr>
      </w:pPr>
      <w:r w:rsidRPr="00265EF5">
        <w:rPr>
          <w:rFonts w:eastAsiaTheme="minorHAnsi" w:cstheme="minorHAnsi"/>
          <w:color w:val="000000" w:themeColor="text1"/>
        </w:rPr>
        <w:t xml:space="preserve">Zdroj: MF, </w:t>
      </w:r>
      <w:r>
        <w:rPr>
          <w:rFonts w:eastAsiaTheme="minorHAnsi" w:cstheme="minorHAnsi"/>
          <w:color w:val="000000" w:themeColor="text1"/>
        </w:rPr>
        <w:t>2020.</w:t>
      </w:r>
    </w:p>
    <w:p w14:paraId="1555FF42" w14:textId="3A80473F" w:rsidR="00E01070" w:rsidRDefault="00E01070" w:rsidP="00E01070">
      <w:pPr>
        <w:rPr>
          <w:color w:val="000000" w:themeColor="text1"/>
        </w:rPr>
      </w:pPr>
      <w:r>
        <w:t xml:space="preserve">Rovněž lze sledovat pozitivní trend v oblasti koncentrace podaných a platných patentů a </w:t>
      </w:r>
      <w:r>
        <w:rPr>
          <w:color w:val="000000" w:themeColor="text1"/>
        </w:rPr>
        <w:t xml:space="preserve">vyšší míry </w:t>
      </w:r>
      <w:r w:rsidRPr="00807792">
        <w:rPr>
          <w:color w:val="000000" w:themeColor="text1"/>
        </w:rPr>
        <w:t>inovační aktivity podniků s 10 a více zaměstnanými osobami</w:t>
      </w:r>
      <w:r>
        <w:t xml:space="preserve"> ve Zlínské aglomeraci. </w:t>
      </w:r>
      <w:r w:rsidRPr="00807792">
        <w:rPr>
          <w:color w:val="000000" w:themeColor="text1"/>
        </w:rPr>
        <w:t>Zlínský kraj</w:t>
      </w:r>
      <w:r>
        <w:rPr>
          <w:color w:val="000000" w:themeColor="text1"/>
        </w:rPr>
        <w:t xml:space="preserve"> patří </w:t>
      </w:r>
      <w:r w:rsidRPr="00807792">
        <w:rPr>
          <w:color w:val="000000" w:themeColor="text1"/>
        </w:rPr>
        <w:t>k aktivnějším krajům (4,7 % platných p</w:t>
      </w:r>
      <w:r>
        <w:rPr>
          <w:color w:val="000000" w:themeColor="text1"/>
        </w:rPr>
        <w:t>atentů v ČR). V roce 2018 podali</w:t>
      </w:r>
      <w:r w:rsidRPr="00807792">
        <w:rPr>
          <w:color w:val="000000" w:themeColor="text1"/>
        </w:rPr>
        <w:t xml:space="preserve"> </w:t>
      </w:r>
      <w:r>
        <w:rPr>
          <w:color w:val="000000" w:themeColor="text1"/>
        </w:rPr>
        <w:t>subjekty sídlící v</w:t>
      </w:r>
      <w:r w:rsidR="00853FDD">
        <w:rPr>
          <w:color w:val="000000" w:themeColor="text1"/>
        </w:rPr>
        <w:t>e</w:t>
      </w:r>
      <w:r w:rsidRPr="00807792">
        <w:rPr>
          <w:color w:val="000000" w:themeColor="text1"/>
        </w:rPr>
        <w:t xml:space="preserve"> Zlínské</w:t>
      </w:r>
      <w:r>
        <w:rPr>
          <w:color w:val="000000" w:themeColor="text1"/>
        </w:rPr>
        <w:t>m kraji</w:t>
      </w:r>
      <w:r w:rsidRPr="00807792">
        <w:rPr>
          <w:color w:val="000000" w:themeColor="text1"/>
        </w:rPr>
        <w:t xml:space="preserve"> 29 patentů</w:t>
      </w:r>
      <w:r>
        <w:rPr>
          <w:color w:val="000000" w:themeColor="text1"/>
        </w:rPr>
        <w:t>, z toho 20 patentů bylo od subjektů z okresu Zlín</w:t>
      </w:r>
      <w:r w:rsidRPr="00807792">
        <w:rPr>
          <w:color w:val="000000" w:themeColor="text1"/>
        </w:rPr>
        <w:t>. K 31.</w:t>
      </w:r>
      <w:r>
        <w:rPr>
          <w:color w:val="000000" w:themeColor="text1"/>
        </w:rPr>
        <w:t xml:space="preserve"> </w:t>
      </w:r>
      <w:r w:rsidRPr="00807792">
        <w:rPr>
          <w:color w:val="000000" w:themeColor="text1"/>
        </w:rPr>
        <w:t>1.</w:t>
      </w:r>
      <w:r>
        <w:rPr>
          <w:color w:val="000000" w:themeColor="text1"/>
        </w:rPr>
        <w:t xml:space="preserve"> </w:t>
      </w:r>
      <w:r w:rsidRPr="00807792">
        <w:rPr>
          <w:color w:val="000000" w:themeColor="text1"/>
        </w:rPr>
        <w:t>2018 bylo platných 171 patentů</w:t>
      </w:r>
      <w:r>
        <w:rPr>
          <w:color w:val="000000" w:themeColor="text1"/>
        </w:rPr>
        <w:t>,</w:t>
      </w:r>
      <w:r w:rsidRPr="00807792">
        <w:rPr>
          <w:color w:val="000000" w:themeColor="text1"/>
        </w:rPr>
        <w:t xml:space="preserve"> z toho 52 % bylo v okrese Zlín. </w:t>
      </w:r>
    </w:p>
    <w:p w14:paraId="1F2E452B" w14:textId="3F0C633C" w:rsidR="00E01070" w:rsidRDefault="00E01070" w:rsidP="00E01070">
      <w:pPr>
        <w:pStyle w:val="Titulek"/>
      </w:pPr>
      <w:bookmarkStart w:id="1134" w:name="_Toc54702668"/>
      <w:bookmarkStart w:id="1135" w:name="_Toc56179475"/>
      <w:bookmarkStart w:id="1136" w:name="_Toc57731833"/>
      <w:bookmarkStart w:id="1137" w:name="_Toc77074817"/>
      <w:r>
        <w:t xml:space="preserve">Tabulka </w:t>
      </w:r>
      <w:r w:rsidR="004857C6">
        <w:rPr>
          <w:noProof/>
        </w:rPr>
        <w:fldChar w:fldCharType="begin"/>
      </w:r>
      <w:r w:rsidR="004857C6">
        <w:rPr>
          <w:noProof/>
        </w:rPr>
        <w:instrText xml:space="preserve"> STYLEREF 1 \s </w:instrText>
      </w:r>
      <w:r w:rsidR="004857C6">
        <w:rPr>
          <w:noProof/>
        </w:rPr>
        <w:fldChar w:fldCharType="separate"/>
      </w:r>
      <w:r w:rsidR="00332A29">
        <w:rPr>
          <w:noProof/>
        </w:rPr>
        <w:t>4</w:t>
      </w:r>
      <w:r w:rsidR="004857C6">
        <w:rPr>
          <w:noProof/>
        </w:rPr>
        <w:fldChar w:fldCharType="end"/>
      </w:r>
      <w:r w:rsidR="00DC277C">
        <w:t>.</w:t>
      </w:r>
      <w:r w:rsidR="004857C6">
        <w:rPr>
          <w:noProof/>
        </w:rPr>
        <w:fldChar w:fldCharType="begin"/>
      </w:r>
      <w:r w:rsidR="004857C6">
        <w:rPr>
          <w:noProof/>
        </w:rPr>
        <w:instrText xml:space="preserve"> SEQ Tabulka \* ARABIC \s 1 </w:instrText>
      </w:r>
      <w:r w:rsidR="004857C6">
        <w:rPr>
          <w:noProof/>
        </w:rPr>
        <w:fldChar w:fldCharType="separate"/>
      </w:r>
      <w:r w:rsidR="00332A29">
        <w:rPr>
          <w:noProof/>
        </w:rPr>
        <w:t>8</w:t>
      </w:r>
      <w:r w:rsidR="004857C6">
        <w:rPr>
          <w:noProof/>
        </w:rPr>
        <w:fldChar w:fldCharType="end"/>
      </w:r>
      <w:r w:rsidR="002F528D">
        <w:rPr>
          <w:noProof/>
        </w:rPr>
        <w:t>:</w:t>
      </w:r>
      <w:r>
        <w:t xml:space="preserve"> </w:t>
      </w:r>
      <w:r w:rsidRPr="005D2585">
        <w:t>Patentová aktivita tuzemských podniků v ČR podle okresů v roce 2018</w:t>
      </w:r>
      <w:bookmarkEnd w:id="1134"/>
      <w:bookmarkEnd w:id="1135"/>
      <w:bookmarkEnd w:id="1136"/>
      <w:bookmarkEnd w:id="1137"/>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9"/>
        <w:gridCol w:w="709"/>
        <w:gridCol w:w="1654"/>
        <w:gridCol w:w="756"/>
        <w:gridCol w:w="1768"/>
        <w:gridCol w:w="925"/>
        <w:gridCol w:w="2247"/>
      </w:tblGrid>
      <w:tr w:rsidR="00E01070" w:rsidRPr="00631200" w14:paraId="4E0F81E3" w14:textId="77777777" w:rsidTr="00FB7BF4">
        <w:trPr>
          <w:trHeight w:val="290"/>
        </w:trPr>
        <w:tc>
          <w:tcPr>
            <w:tcW w:w="1129" w:type="dxa"/>
            <w:vMerge w:val="restart"/>
            <w:shd w:val="clear" w:color="auto" w:fill="E7E6E6" w:themeFill="background2"/>
            <w:noWrap/>
            <w:vAlign w:val="center"/>
            <w:hideMark/>
          </w:tcPr>
          <w:p w14:paraId="4D205352"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Území</w:t>
            </w:r>
          </w:p>
        </w:tc>
        <w:tc>
          <w:tcPr>
            <w:tcW w:w="2363" w:type="dxa"/>
            <w:gridSpan w:val="2"/>
            <w:shd w:val="clear" w:color="auto" w:fill="E7E6E6" w:themeFill="background2"/>
            <w:noWrap/>
            <w:vAlign w:val="center"/>
            <w:hideMark/>
          </w:tcPr>
          <w:p w14:paraId="6C293C50"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Podané patentové přihlášky</w:t>
            </w:r>
          </w:p>
        </w:tc>
        <w:tc>
          <w:tcPr>
            <w:tcW w:w="2524" w:type="dxa"/>
            <w:gridSpan w:val="2"/>
            <w:shd w:val="clear" w:color="auto" w:fill="E7E6E6" w:themeFill="background2"/>
            <w:noWrap/>
            <w:vAlign w:val="center"/>
            <w:hideMark/>
          </w:tcPr>
          <w:p w14:paraId="04FBCCDE"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Udělené patenty</w:t>
            </w:r>
          </w:p>
        </w:tc>
        <w:tc>
          <w:tcPr>
            <w:tcW w:w="3172" w:type="dxa"/>
            <w:gridSpan w:val="2"/>
            <w:shd w:val="clear" w:color="auto" w:fill="E7E6E6" w:themeFill="background2"/>
            <w:noWrap/>
            <w:vAlign w:val="center"/>
            <w:hideMark/>
          </w:tcPr>
          <w:p w14:paraId="4AEF013E"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Patenty platné k 31. 12.</w:t>
            </w:r>
          </w:p>
        </w:tc>
      </w:tr>
      <w:tr w:rsidR="00E01070" w:rsidRPr="00631200" w14:paraId="0871B7DF" w14:textId="77777777" w:rsidTr="00FB7BF4">
        <w:trPr>
          <w:trHeight w:val="330"/>
        </w:trPr>
        <w:tc>
          <w:tcPr>
            <w:tcW w:w="1129" w:type="dxa"/>
            <w:vMerge/>
            <w:shd w:val="clear" w:color="auto" w:fill="E7E6E6" w:themeFill="background2"/>
            <w:noWrap/>
            <w:vAlign w:val="center"/>
            <w:hideMark/>
          </w:tcPr>
          <w:p w14:paraId="43F6BD8D" w14:textId="77777777" w:rsidR="00E01070" w:rsidRPr="00631200" w:rsidRDefault="00E01070" w:rsidP="00FB7BF4">
            <w:pPr>
              <w:spacing w:before="0"/>
              <w:jc w:val="center"/>
              <w:rPr>
                <w:rFonts w:eastAsia="Times New Roman" w:cstheme="minorHAnsi"/>
                <w:b/>
                <w:color w:val="000000"/>
                <w:sz w:val="18"/>
                <w:szCs w:val="18"/>
                <w:lang w:eastAsia="cs-CZ"/>
              </w:rPr>
            </w:pPr>
          </w:p>
        </w:tc>
        <w:tc>
          <w:tcPr>
            <w:tcW w:w="709" w:type="dxa"/>
            <w:shd w:val="clear" w:color="auto" w:fill="E7E6E6" w:themeFill="background2"/>
            <w:noWrap/>
            <w:vAlign w:val="center"/>
            <w:hideMark/>
          </w:tcPr>
          <w:p w14:paraId="6BD2AD20"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Celkem</w:t>
            </w:r>
          </w:p>
        </w:tc>
        <w:tc>
          <w:tcPr>
            <w:tcW w:w="1654" w:type="dxa"/>
            <w:shd w:val="clear" w:color="auto" w:fill="E7E6E6" w:themeFill="background2"/>
            <w:noWrap/>
            <w:vAlign w:val="center"/>
            <w:hideMark/>
          </w:tcPr>
          <w:p w14:paraId="0C489BD7"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Soukromými podniky</w:t>
            </w:r>
          </w:p>
        </w:tc>
        <w:tc>
          <w:tcPr>
            <w:tcW w:w="756" w:type="dxa"/>
            <w:shd w:val="clear" w:color="auto" w:fill="E7E6E6" w:themeFill="background2"/>
            <w:noWrap/>
            <w:vAlign w:val="center"/>
            <w:hideMark/>
          </w:tcPr>
          <w:p w14:paraId="588F3A48"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Celkem</w:t>
            </w:r>
          </w:p>
        </w:tc>
        <w:tc>
          <w:tcPr>
            <w:tcW w:w="1768" w:type="dxa"/>
            <w:shd w:val="clear" w:color="auto" w:fill="E7E6E6" w:themeFill="background2"/>
            <w:noWrap/>
            <w:vAlign w:val="center"/>
            <w:hideMark/>
          </w:tcPr>
          <w:p w14:paraId="09BBB852"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Soukromým podnikům</w:t>
            </w:r>
          </w:p>
        </w:tc>
        <w:tc>
          <w:tcPr>
            <w:tcW w:w="925" w:type="dxa"/>
            <w:shd w:val="clear" w:color="auto" w:fill="E7E6E6" w:themeFill="background2"/>
            <w:noWrap/>
            <w:vAlign w:val="center"/>
            <w:hideMark/>
          </w:tcPr>
          <w:p w14:paraId="019AE54E"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Celkem</w:t>
            </w:r>
          </w:p>
        </w:tc>
        <w:tc>
          <w:tcPr>
            <w:tcW w:w="2247" w:type="dxa"/>
            <w:shd w:val="clear" w:color="auto" w:fill="E7E6E6" w:themeFill="background2"/>
            <w:noWrap/>
            <w:vAlign w:val="center"/>
            <w:hideMark/>
          </w:tcPr>
          <w:p w14:paraId="2E5B87B3" w14:textId="77777777" w:rsidR="00E01070" w:rsidRPr="00631200" w:rsidRDefault="00E01070" w:rsidP="00FB7BF4">
            <w:pPr>
              <w:spacing w:before="0"/>
              <w:jc w:val="center"/>
              <w:rPr>
                <w:rFonts w:eastAsia="Times New Roman" w:cstheme="minorHAnsi"/>
                <w:b/>
                <w:color w:val="000000"/>
                <w:sz w:val="18"/>
                <w:szCs w:val="18"/>
                <w:lang w:eastAsia="cs-CZ"/>
              </w:rPr>
            </w:pPr>
            <w:r w:rsidRPr="00631200">
              <w:rPr>
                <w:rFonts w:eastAsia="Times New Roman" w:cstheme="minorHAnsi"/>
                <w:b/>
                <w:color w:val="000000"/>
                <w:sz w:val="18"/>
                <w:szCs w:val="18"/>
                <w:lang w:eastAsia="cs-CZ"/>
              </w:rPr>
              <w:t>Patřící soukromým podnikům</w:t>
            </w:r>
          </w:p>
        </w:tc>
      </w:tr>
      <w:tr w:rsidR="00E01070" w:rsidRPr="00631200" w14:paraId="4763B9A1" w14:textId="77777777" w:rsidTr="00FB7BF4">
        <w:trPr>
          <w:trHeight w:val="290"/>
        </w:trPr>
        <w:tc>
          <w:tcPr>
            <w:tcW w:w="1129" w:type="dxa"/>
            <w:shd w:val="clear" w:color="auto" w:fill="auto"/>
            <w:noWrap/>
            <w:vAlign w:val="bottom"/>
            <w:hideMark/>
          </w:tcPr>
          <w:p w14:paraId="0DA79CD3" w14:textId="77777777" w:rsidR="00E01070" w:rsidRPr="00631200" w:rsidRDefault="00E01070" w:rsidP="00FB7BF4">
            <w:pPr>
              <w:spacing w:before="0"/>
              <w:jc w:val="left"/>
              <w:rPr>
                <w:rFonts w:eastAsia="Times New Roman" w:cstheme="minorHAnsi"/>
                <w:color w:val="000000"/>
                <w:sz w:val="18"/>
                <w:szCs w:val="18"/>
                <w:lang w:eastAsia="cs-CZ"/>
              </w:rPr>
            </w:pPr>
            <w:r w:rsidRPr="00631200">
              <w:rPr>
                <w:rFonts w:eastAsia="Times New Roman" w:cstheme="minorHAnsi"/>
                <w:color w:val="000000"/>
                <w:sz w:val="18"/>
                <w:szCs w:val="18"/>
                <w:lang w:eastAsia="cs-CZ"/>
              </w:rPr>
              <w:t>Zlínský kraj</w:t>
            </w:r>
          </w:p>
        </w:tc>
        <w:tc>
          <w:tcPr>
            <w:tcW w:w="709" w:type="dxa"/>
            <w:shd w:val="clear" w:color="auto" w:fill="auto"/>
            <w:noWrap/>
            <w:vAlign w:val="center"/>
            <w:hideMark/>
          </w:tcPr>
          <w:p w14:paraId="72380C53"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29,0</w:t>
            </w:r>
          </w:p>
        </w:tc>
        <w:tc>
          <w:tcPr>
            <w:tcW w:w="1654" w:type="dxa"/>
            <w:shd w:val="clear" w:color="auto" w:fill="auto"/>
            <w:noWrap/>
            <w:vAlign w:val="center"/>
            <w:hideMark/>
          </w:tcPr>
          <w:p w14:paraId="6B3DC127"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11,5</w:t>
            </w:r>
          </w:p>
        </w:tc>
        <w:tc>
          <w:tcPr>
            <w:tcW w:w="756" w:type="dxa"/>
            <w:shd w:val="clear" w:color="auto" w:fill="auto"/>
            <w:noWrap/>
            <w:vAlign w:val="center"/>
            <w:hideMark/>
          </w:tcPr>
          <w:p w14:paraId="3B27D41A"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31,3</w:t>
            </w:r>
          </w:p>
        </w:tc>
        <w:tc>
          <w:tcPr>
            <w:tcW w:w="1768" w:type="dxa"/>
            <w:shd w:val="clear" w:color="auto" w:fill="auto"/>
            <w:noWrap/>
            <w:vAlign w:val="center"/>
            <w:hideMark/>
          </w:tcPr>
          <w:p w14:paraId="0200C8AF"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16,3</w:t>
            </w:r>
          </w:p>
        </w:tc>
        <w:tc>
          <w:tcPr>
            <w:tcW w:w="925" w:type="dxa"/>
            <w:shd w:val="clear" w:color="auto" w:fill="auto"/>
            <w:noWrap/>
            <w:vAlign w:val="center"/>
            <w:hideMark/>
          </w:tcPr>
          <w:p w14:paraId="731F8FE1"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170,6</w:t>
            </w:r>
          </w:p>
        </w:tc>
        <w:tc>
          <w:tcPr>
            <w:tcW w:w="2247" w:type="dxa"/>
            <w:shd w:val="clear" w:color="auto" w:fill="auto"/>
            <w:noWrap/>
            <w:vAlign w:val="center"/>
            <w:hideMark/>
          </w:tcPr>
          <w:p w14:paraId="1CDF8E53"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87,9</w:t>
            </w:r>
          </w:p>
        </w:tc>
      </w:tr>
      <w:tr w:rsidR="00E01070" w:rsidRPr="00631200" w14:paraId="005B5AAF" w14:textId="77777777" w:rsidTr="00FB7BF4">
        <w:trPr>
          <w:trHeight w:val="290"/>
        </w:trPr>
        <w:tc>
          <w:tcPr>
            <w:tcW w:w="1129" w:type="dxa"/>
            <w:shd w:val="clear" w:color="auto" w:fill="auto"/>
            <w:noWrap/>
            <w:vAlign w:val="bottom"/>
            <w:hideMark/>
          </w:tcPr>
          <w:p w14:paraId="57D52729" w14:textId="77777777" w:rsidR="00E01070" w:rsidRPr="00631200" w:rsidRDefault="00E01070" w:rsidP="00FB7BF4">
            <w:pPr>
              <w:spacing w:before="0"/>
              <w:jc w:val="left"/>
              <w:rPr>
                <w:rFonts w:eastAsia="Times New Roman" w:cstheme="minorHAnsi"/>
                <w:color w:val="000000"/>
                <w:sz w:val="18"/>
                <w:szCs w:val="18"/>
                <w:lang w:eastAsia="cs-CZ"/>
              </w:rPr>
            </w:pPr>
            <w:r w:rsidRPr="00631200">
              <w:rPr>
                <w:rFonts w:eastAsia="Times New Roman" w:cstheme="minorHAnsi"/>
                <w:color w:val="000000"/>
                <w:sz w:val="18"/>
                <w:szCs w:val="18"/>
                <w:lang w:eastAsia="cs-CZ"/>
              </w:rPr>
              <w:t>Kroměříž</w:t>
            </w:r>
          </w:p>
        </w:tc>
        <w:tc>
          <w:tcPr>
            <w:tcW w:w="709" w:type="dxa"/>
            <w:shd w:val="clear" w:color="auto" w:fill="auto"/>
            <w:noWrap/>
            <w:vAlign w:val="center"/>
            <w:hideMark/>
          </w:tcPr>
          <w:p w14:paraId="274C2949"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3,0</w:t>
            </w:r>
          </w:p>
        </w:tc>
        <w:tc>
          <w:tcPr>
            <w:tcW w:w="1654" w:type="dxa"/>
            <w:shd w:val="clear" w:color="auto" w:fill="auto"/>
            <w:noWrap/>
            <w:vAlign w:val="center"/>
            <w:hideMark/>
          </w:tcPr>
          <w:p w14:paraId="2FD8A3BF"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1,0</w:t>
            </w:r>
          </w:p>
        </w:tc>
        <w:tc>
          <w:tcPr>
            <w:tcW w:w="756" w:type="dxa"/>
            <w:shd w:val="clear" w:color="auto" w:fill="auto"/>
            <w:noWrap/>
            <w:vAlign w:val="center"/>
            <w:hideMark/>
          </w:tcPr>
          <w:p w14:paraId="250EA224"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1,0</w:t>
            </w:r>
          </w:p>
        </w:tc>
        <w:tc>
          <w:tcPr>
            <w:tcW w:w="1768" w:type="dxa"/>
            <w:shd w:val="clear" w:color="auto" w:fill="auto"/>
            <w:noWrap/>
            <w:vAlign w:val="center"/>
            <w:hideMark/>
          </w:tcPr>
          <w:p w14:paraId="3D6F0B0E"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 xml:space="preserve">- </w:t>
            </w:r>
          </w:p>
        </w:tc>
        <w:tc>
          <w:tcPr>
            <w:tcW w:w="925" w:type="dxa"/>
            <w:shd w:val="clear" w:color="auto" w:fill="auto"/>
            <w:noWrap/>
            <w:vAlign w:val="center"/>
            <w:hideMark/>
          </w:tcPr>
          <w:p w14:paraId="6807F8F7"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13,8</w:t>
            </w:r>
          </w:p>
        </w:tc>
        <w:tc>
          <w:tcPr>
            <w:tcW w:w="2247" w:type="dxa"/>
            <w:shd w:val="clear" w:color="auto" w:fill="auto"/>
            <w:noWrap/>
            <w:vAlign w:val="center"/>
            <w:hideMark/>
          </w:tcPr>
          <w:p w14:paraId="14E7169E"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11,8</w:t>
            </w:r>
          </w:p>
        </w:tc>
      </w:tr>
      <w:tr w:rsidR="00E01070" w:rsidRPr="00631200" w14:paraId="53CE58A8" w14:textId="77777777" w:rsidTr="00FB7BF4">
        <w:trPr>
          <w:trHeight w:val="290"/>
        </w:trPr>
        <w:tc>
          <w:tcPr>
            <w:tcW w:w="1129" w:type="dxa"/>
            <w:shd w:val="clear" w:color="auto" w:fill="auto"/>
            <w:noWrap/>
            <w:vAlign w:val="bottom"/>
            <w:hideMark/>
          </w:tcPr>
          <w:p w14:paraId="4BB2904A" w14:textId="77777777" w:rsidR="00E01070" w:rsidRPr="00631200" w:rsidRDefault="00E01070" w:rsidP="00FB7BF4">
            <w:pPr>
              <w:spacing w:before="0"/>
              <w:jc w:val="left"/>
              <w:rPr>
                <w:rFonts w:eastAsia="Times New Roman" w:cstheme="minorHAnsi"/>
                <w:color w:val="000000"/>
                <w:sz w:val="18"/>
                <w:szCs w:val="18"/>
                <w:lang w:eastAsia="cs-CZ"/>
              </w:rPr>
            </w:pPr>
            <w:r w:rsidRPr="00631200">
              <w:rPr>
                <w:rFonts w:eastAsia="Times New Roman" w:cstheme="minorHAnsi"/>
                <w:color w:val="000000"/>
                <w:sz w:val="18"/>
                <w:szCs w:val="18"/>
                <w:lang w:eastAsia="cs-CZ"/>
              </w:rPr>
              <w:t>Uherské Hradiště</w:t>
            </w:r>
          </w:p>
        </w:tc>
        <w:tc>
          <w:tcPr>
            <w:tcW w:w="709" w:type="dxa"/>
            <w:shd w:val="clear" w:color="auto" w:fill="auto"/>
            <w:noWrap/>
            <w:vAlign w:val="center"/>
            <w:hideMark/>
          </w:tcPr>
          <w:p w14:paraId="1C5640E0"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2,0</w:t>
            </w:r>
          </w:p>
        </w:tc>
        <w:tc>
          <w:tcPr>
            <w:tcW w:w="1654" w:type="dxa"/>
            <w:shd w:val="clear" w:color="auto" w:fill="auto"/>
            <w:noWrap/>
            <w:vAlign w:val="center"/>
            <w:hideMark/>
          </w:tcPr>
          <w:p w14:paraId="34039902"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 xml:space="preserve">- </w:t>
            </w:r>
          </w:p>
        </w:tc>
        <w:tc>
          <w:tcPr>
            <w:tcW w:w="756" w:type="dxa"/>
            <w:shd w:val="clear" w:color="auto" w:fill="auto"/>
            <w:noWrap/>
            <w:vAlign w:val="center"/>
            <w:hideMark/>
          </w:tcPr>
          <w:p w14:paraId="0911AE15"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8,0</w:t>
            </w:r>
          </w:p>
        </w:tc>
        <w:tc>
          <w:tcPr>
            <w:tcW w:w="1768" w:type="dxa"/>
            <w:shd w:val="clear" w:color="auto" w:fill="auto"/>
            <w:noWrap/>
            <w:vAlign w:val="center"/>
            <w:hideMark/>
          </w:tcPr>
          <w:p w14:paraId="065012A1"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6,0</w:t>
            </w:r>
          </w:p>
        </w:tc>
        <w:tc>
          <w:tcPr>
            <w:tcW w:w="925" w:type="dxa"/>
            <w:shd w:val="clear" w:color="auto" w:fill="auto"/>
            <w:noWrap/>
            <w:vAlign w:val="center"/>
            <w:hideMark/>
          </w:tcPr>
          <w:p w14:paraId="48E76A67"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38,8</w:t>
            </w:r>
          </w:p>
        </w:tc>
        <w:tc>
          <w:tcPr>
            <w:tcW w:w="2247" w:type="dxa"/>
            <w:shd w:val="clear" w:color="auto" w:fill="auto"/>
            <w:noWrap/>
            <w:vAlign w:val="center"/>
            <w:hideMark/>
          </w:tcPr>
          <w:p w14:paraId="70E9C8EE"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30,8</w:t>
            </w:r>
          </w:p>
        </w:tc>
      </w:tr>
      <w:tr w:rsidR="00E01070" w:rsidRPr="00631200" w14:paraId="73C36DD4" w14:textId="77777777" w:rsidTr="00FB7BF4">
        <w:trPr>
          <w:trHeight w:val="290"/>
        </w:trPr>
        <w:tc>
          <w:tcPr>
            <w:tcW w:w="1129" w:type="dxa"/>
            <w:shd w:val="clear" w:color="auto" w:fill="auto"/>
            <w:noWrap/>
            <w:vAlign w:val="bottom"/>
            <w:hideMark/>
          </w:tcPr>
          <w:p w14:paraId="2E2C0B29" w14:textId="77777777" w:rsidR="00E01070" w:rsidRPr="00631200" w:rsidRDefault="00E01070" w:rsidP="00FB7BF4">
            <w:pPr>
              <w:spacing w:before="0"/>
              <w:jc w:val="left"/>
              <w:rPr>
                <w:rFonts w:eastAsia="Times New Roman" w:cstheme="minorHAnsi"/>
                <w:color w:val="000000"/>
                <w:sz w:val="18"/>
                <w:szCs w:val="18"/>
                <w:lang w:eastAsia="cs-CZ"/>
              </w:rPr>
            </w:pPr>
            <w:r w:rsidRPr="00631200">
              <w:rPr>
                <w:rFonts w:eastAsia="Times New Roman" w:cstheme="minorHAnsi"/>
                <w:color w:val="000000"/>
                <w:sz w:val="18"/>
                <w:szCs w:val="18"/>
                <w:lang w:eastAsia="cs-CZ"/>
              </w:rPr>
              <w:t>Vsetín</w:t>
            </w:r>
          </w:p>
        </w:tc>
        <w:tc>
          <w:tcPr>
            <w:tcW w:w="709" w:type="dxa"/>
            <w:shd w:val="clear" w:color="auto" w:fill="auto"/>
            <w:noWrap/>
            <w:vAlign w:val="center"/>
            <w:hideMark/>
          </w:tcPr>
          <w:p w14:paraId="6AB4ED79"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4,0</w:t>
            </w:r>
          </w:p>
        </w:tc>
        <w:tc>
          <w:tcPr>
            <w:tcW w:w="1654" w:type="dxa"/>
            <w:shd w:val="clear" w:color="auto" w:fill="auto"/>
            <w:noWrap/>
            <w:vAlign w:val="center"/>
            <w:hideMark/>
          </w:tcPr>
          <w:p w14:paraId="3A072308"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3,0</w:t>
            </w:r>
          </w:p>
        </w:tc>
        <w:tc>
          <w:tcPr>
            <w:tcW w:w="756" w:type="dxa"/>
            <w:shd w:val="clear" w:color="auto" w:fill="auto"/>
            <w:noWrap/>
            <w:vAlign w:val="center"/>
            <w:hideMark/>
          </w:tcPr>
          <w:p w14:paraId="3ED7CF36"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2,3</w:t>
            </w:r>
          </w:p>
        </w:tc>
        <w:tc>
          <w:tcPr>
            <w:tcW w:w="1768" w:type="dxa"/>
            <w:shd w:val="clear" w:color="auto" w:fill="auto"/>
            <w:noWrap/>
            <w:vAlign w:val="center"/>
            <w:hideMark/>
          </w:tcPr>
          <w:p w14:paraId="78351445"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1,8</w:t>
            </w:r>
          </w:p>
        </w:tc>
        <w:tc>
          <w:tcPr>
            <w:tcW w:w="925" w:type="dxa"/>
            <w:shd w:val="clear" w:color="auto" w:fill="auto"/>
            <w:noWrap/>
            <w:vAlign w:val="center"/>
            <w:hideMark/>
          </w:tcPr>
          <w:p w14:paraId="27578A1D"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29,0</w:t>
            </w:r>
          </w:p>
        </w:tc>
        <w:tc>
          <w:tcPr>
            <w:tcW w:w="2247" w:type="dxa"/>
            <w:shd w:val="clear" w:color="auto" w:fill="auto"/>
            <w:noWrap/>
            <w:vAlign w:val="center"/>
            <w:hideMark/>
          </w:tcPr>
          <w:p w14:paraId="645A3580"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19,2</w:t>
            </w:r>
          </w:p>
        </w:tc>
      </w:tr>
      <w:tr w:rsidR="00E01070" w:rsidRPr="00631200" w14:paraId="6116840A" w14:textId="77777777" w:rsidTr="00FB7BF4">
        <w:trPr>
          <w:trHeight w:val="290"/>
        </w:trPr>
        <w:tc>
          <w:tcPr>
            <w:tcW w:w="1129" w:type="dxa"/>
            <w:shd w:val="clear" w:color="auto" w:fill="auto"/>
            <w:noWrap/>
            <w:vAlign w:val="bottom"/>
            <w:hideMark/>
          </w:tcPr>
          <w:p w14:paraId="2B59414C" w14:textId="77777777" w:rsidR="00E01070" w:rsidRPr="00631200" w:rsidRDefault="00E01070" w:rsidP="00FB7BF4">
            <w:pPr>
              <w:spacing w:before="0"/>
              <w:jc w:val="left"/>
              <w:rPr>
                <w:rFonts w:eastAsia="Times New Roman" w:cstheme="minorHAnsi"/>
                <w:color w:val="000000"/>
                <w:sz w:val="18"/>
                <w:szCs w:val="18"/>
                <w:lang w:eastAsia="cs-CZ"/>
              </w:rPr>
            </w:pPr>
            <w:r w:rsidRPr="00631200">
              <w:rPr>
                <w:rFonts w:eastAsia="Times New Roman" w:cstheme="minorHAnsi"/>
                <w:color w:val="000000"/>
                <w:sz w:val="18"/>
                <w:szCs w:val="18"/>
                <w:lang w:eastAsia="cs-CZ"/>
              </w:rPr>
              <w:t>Zlín</w:t>
            </w:r>
          </w:p>
        </w:tc>
        <w:tc>
          <w:tcPr>
            <w:tcW w:w="709" w:type="dxa"/>
            <w:shd w:val="clear" w:color="auto" w:fill="auto"/>
            <w:noWrap/>
            <w:vAlign w:val="center"/>
            <w:hideMark/>
          </w:tcPr>
          <w:p w14:paraId="1A2ACE03"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20,0</w:t>
            </w:r>
          </w:p>
        </w:tc>
        <w:tc>
          <w:tcPr>
            <w:tcW w:w="1654" w:type="dxa"/>
            <w:shd w:val="clear" w:color="auto" w:fill="auto"/>
            <w:noWrap/>
            <w:vAlign w:val="center"/>
            <w:hideMark/>
          </w:tcPr>
          <w:p w14:paraId="772E14EA"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7,5</w:t>
            </w:r>
          </w:p>
        </w:tc>
        <w:tc>
          <w:tcPr>
            <w:tcW w:w="756" w:type="dxa"/>
            <w:shd w:val="clear" w:color="auto" w:fill="auto"/>
            <w:noWrap/>
            <w:vAlign w:val="center"/>
            <w:hideMark/>
          </w:tcPr>
          <w:p w14:paraId="3DE54E51"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20,0</w:t>
            </w:r>
          </w:p>
        </w:tc>
        <w:tc>
          <w:tcPr>
            <w:tcW w:w="1768" w:type="dxa"/>
            <w:shd w:val="clear" w:color="auto" w:fill="auto"/>
            <w:noWrap/>
            <w:vAlign w:val="center"/>
            <w:hideMark/>
          </w:tcPr>
          <w:p w14:paraId="20FA5644"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8,5</w:t>
            </w:r>
          </w:p>
        </w:tc>
        <w:tc>
          <w:tcPr>
            <w:tcW w:w="925" w:type="dxa"/>
            <w:shd w:val="clear" w:color="auto" w:fill="auto"/>
            <w:noWrap/>
            <w:vAlign w:val="center"/>
            <w:hideMark/>
          </w:tcPr>
          <w:p w14:paraId="3ECC2434"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88,9</w:t>
            </w:r>
          </w:p>
        </w:tc>
        <w:tc>
          <w:tcPr>
            <w:tcW w:w="2247" w:type="dxa"/>
            <w:shd w:val="clear" w:color="auto" w:fill="auto"/>
            <w:noWrap/>
            <w:vAlign w:val="center"/>
            <w:hideMark/>
          </w:tcPr>
          <w:p w14:paraId="3895ACE4" w14:textId="77777777" w:rsidR="00E01070" w:rsidRPr="00631200" w:rsidRDefault="00E01070" w:rsidP="00FB7BF4">
            <w:pPr>
              <w:spacing w:before="0"/>
              <w:jc w:val="right"/>
              <w:rPr>
                <w:rFonts w:eastAsia="Times New Roman" w:cstheme="minorHAnsi"/>
                <w:color w:val="000000"/>
                <w:sz w:val="18"/>
                <w:szCs w:val="18"/>
                <w:lang w:eastAsia="cs-CZ"/>
              </w:rPr>
            </w:pPr>
            <w:r w:rsidRPr="00631200">
              <w:rPr>
                <w:rFonts w:eastAsia="Times New Roman" w:cstheme="minorHAnsi"/>
                <w:color w:val="000000"/>
                <w:sz w:val="18"/>
                <w:szCs w:val="18"/>
                <w:lang w:eastAsia="cs-CZ"/>
              </w:rPr>
              <w:t>26,0</w:t>
            </w:r>
          </w:p>
        </w:tc>
      </w:tr>
    </w:tbl>
    <w:p w14:paraId="37D44BF9" w14:textId="77777777" w:rsidR="00E01070" w:rsidRPr="00807792" w:rsidRDefault="00E01070" w:rsidP="00E01070">
      <w:pPr>
        <w:pStyle w:val="Zdroj"/>
        <w:rPr>
          <w:color w:val="000000" w:themeColor="text1"/>
        </w:rPr>
      </w:pPr>
      <w:r>
        <w:rPr>
          <w:color w:val="000000" w:themeColor="text1"/>
        </w:rPr>
        <w:t xml:space="preserve">Zdroj: </w:t>
      </w:r>
      <w:r w:rsidRPr="00631200">
        <w:rPr>
          <w:color w:val="000000" w:themeColor="text1"/>
        </w:rPr>
        <w:t>Úřad průmyslového vlastnictví ČR</w:t>
      </w:r>
      <w:r>
        <w:rPr>
          <w:color w:val="000000" w:themeColor="text1"/>
        </w:rPr>
        <w:t>.</w:t>
      </w:r>
    </w:p>
    <w:p w14:paraId="66736F37" w14:textId="77777777" w:rsidR="00E01070" w:rsidRPr="00807792" w:rsidRDefault="00E01070" w:rsidP="00E01070">
      <w:pPr>
        <w:rPr>
          <w:color w:val="000000" w:themeColor="text1"/>
        </w:rPr>
      </w:pPr>
      <w:r>
        <w:t xml:space="preserve">Ukazatel VaV, </w:t>
      </w:r>
      <w:r w:rsidRPr="00807792">
        <w:rPr>
          <w:color w:val="000000" w:themeColor="text1"/>
        </w:rPr>
        <w:t>inovační aktivity podniků s 10 a více zaměstnanými osobami</w:t>
      </w:r>
      <w:r>
        <w:rPr>
          <w:color w:val="000000" w:themeColor="text1"/>
        </w:rPr>
        <w:t xml:space="preserve"> lze sledovat pouze na úrovni kraje. </w:t>
      </w:r>
      <w:r w:rsidRPr="00807792">
        <w:rPr>
          <w:color w:val="000000" w:themeColor="text1"/>
        </w:rPr>
        <w:t xml:space="preserve">Zlínský kraj patří ke krajům s vyšší mírou inovační aktivity podniků s 10 a více zaměstnanými osobami. Podíl inovativních podniků je 50 %, přičemž inovace jsou především v oblasti podnikových procesů. </w:t>
      </w:r>
    </w:p>
    <w:p w14:paraId="757E7010" w14:textId="6CBE4882" w:rsidR="00E01070" w:rsidRPr="00807792" w:rsidRDefault="00E01070" w:rsidP="00E01070">
      <w:pPr>
        <w:pStyle w:val="Titulek"/>
        <w:rPr>
          <w:color w:val="000000" w:themeColor="text1"/>
        </w:rPr>
      </w:pPr>
      <w:bookmarkStart w:id="1138" w:name="_Toc54702669"/>
      <w:bookmarkStart w:id="1139" w:name="_Toc56179476"/>
      <w:bookmarkStart w:id="1140" w:name="_Toc57731834"/>
      <w:bookmarkStart w:id="1141" w:name="_Toc77074818"/>
      <w:r w:rsidRPr="00807792">
        <w:rPr>
          <w:color w:val="000000" w:themeColor="text1"/>
        </w:rPr>
        <w:t xml:space="preserve">Tabulka </w:t>
      </w:r>
      <w:r w:rsidR="00DC277C">
        <w:rPr>
          <w:color w:val="000000" w:themeColor="text1"/>
        </w:rPr>
        <w:fldChar w:fldCharType="begin"/>
      </w:r>
      <w:r w:rsidR="00DC277C">
        <w:rPr>
          <w:color w:val="000000" w:themeColor="text1"/>
        </w:rPr>
        <w:instrText xml:space="preserve"> STYLEREF 1 \s </w:instrText>
      </w:r>
      <w:r w:rsidR="00DC277C">
        <w:rPr>
          <w:color w:val="000000" w:themeColor="text1"/>
        </w:rPr>
        <w:fldChar w:fldCharType="separate"/>
      </w:r>
      <w:r w:rsidR="00332A29">
        <w:rPr>
          <w:noProof/>
          <w:color w:val="000000" w:themeColor="text1"/>
        </w:rPr>
        <w:t>4</w:t>
      </w:r>
      <w:r w:rsidR="00DC277C">
        <w:rPr>
          <w:color w:val="000000" w:themeColor="text1"/>
        </w:rPr>
        <w:fldChar w:fldCharType="end"/>
      </w:r>
      <w:r w:rsidR="00DC277C">
        <w:rPr>
          <w:color w:val="000000" w:themeColor="text1"/>
        </w:rPr>
        <w:t>.</w:t>
      </w:r>
      <w:r w:rsidR="00DC277C">
        <w:rPr>
          <w:color w:val="000000" w:themeColor="text1"/>
        </w:rPr>
        <w:fldChar w:fldCharType="begin"/>
      </w:r>
      <w:r w:rsidR="00DC277C">
        <w:rPr>
          <w:color w:val="000000" w:themeColor="text1"/>
        </w:rPr>
        <w:instrText xml:space="preserve"> SEQ Tabulka \* ARABIC \s 1 </w:instrText>
      </w:r>
      <w:r w:rsidR="00DC277C">
        <w:rPr>
          <w:color w:val="000000" w:themeColor="text1"/>
        </w:rPr>
        <w:fldChar w:fldCharType="separate"/>
      </w:r>
      <w:r w:rsidR="00332A29">
        <w:rPr>
          <w:noProof/>
          <w:color w:val="000000" w:themeColor="text1"/>
        </w:rPr>
        <w:t>9</w:t>
      </w:r>
      <w:r w:rsidR="00DC277C">
        <w:rPr>
          <w:color w:val="000000" w:themeColor="text1"/>
        </w:rPr>
        <w:fldChar w:fldCharType="end"/>
      </w:r>
      <w:r w:rsidR="002F528D">
        <w:rPr>
          <w:color w:val="000000" w:themeColor="text1"/>
        </w:rPr>
        <w:t>:</w:t>
      </w:r>
      <w:r w:rsidRPr="00807792">
        <w:rPr>
          <w:color w:val="000000" w:themeColor="text1"/>
        </w:rPr>
        <w:t xml:space="preserve"> Vybrané údaje o vědě a výzkumu ve Zlínském kraji</w:t>
      </w:r>
      <w:bookmarkEnd w:id="1138"/>
      <w:bookmarkEnd w:id="1139"/>
      <w:bookmarkEnd w:id="1140"/>
      <w:bookmarkEnd w:id="1141"/>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38"/>
        <w:gridCol w:w="785"/>
        <w:gridCol w:w="785"/>
        <w:gridCol w:w="785"/>
      </w:tblGrid>
      <w:tr w:rsidR="00E01070" w:rsidRPr="00807792" w14:paraId="32895CDF" w14:textId="77777777" w:rsidTr="00FB7BF4">
        <w:trPr>
          <w:trHeight w:val="15"/>
        </w:trPr>
        <w:tc>
          <w:tcPr>
            <w:tcW w:w="6638" w:type="dxa"/>
            <w:shd w:val="clear" w:color="auto" w:fill="auto"/>
            <w:noWrap/>
            <w:vAlign w:val="center"/>
            <w:hideMark/>
          </w:tcPr>
          <w:p w14:paraId="0E9E02E9" w14:textId="77777777" w:rsidR="00E01070" w:rsidRPr="00807792" w:rsidRDefault="00E01070" w:rsidP="00FB7BF4">
            <w:pPr>
              <w:spacing w:before="0"/>
              <w:jc w:val="center"/>
              <w:rPr>
                <w:rFonts w:eastAsia="Times New Roman" w:cstheme="minorHAnsi"/>
                <w:b/>
                <w:bCs/>
                <w:color w:val="000000" w:themeColor="text1"/>
                <w:sz w:val="18"/>
                <w:szCs w:val="18"/>
                <w:lang w:eastAsia="cs-CZ"/>
              </w:rPr>
            </w:pPr>
            <w:r>
              <w:rPr>
                <w:rFonts w:eastAsia="Times New Roman" w:cstheme="minorHAnsi"/>
                <w:b/>
                <w:bCs/>
                <w:color w:val="000000" w:themeColor="text1"/>
                <w:sz w:val="18"/>
                <w:szCs w:val="18"/>
                <w:lang w:eastAsia="cs-CZ"/>
              </w:rPr>
              <w:t>Ukazatel</w:t>
            </w:r>
          </w:p>
        </w:tc>
        <w:tc>
          <w:tcPr>
            <w:tcW w:w="785" w:type="dxa"/>
            <w:shd w:val="clear" w:color="auto" w:fill="auto"/>
            <w:noWrap/>
            <w:vAlign w:val="center"/>
            <w:hideMark/>
          </w:tcPr>
          <w:p w14:paraId="5EE26A1A" w14:textId="77777777" w:rsidR="00E01070" w:rsidRPr="00807792" w:rsidRDefault="00E01070" w:rsidP="00FB7BF4">
            <w:pPr>
              <w:spacing w:before="0"/>
              <w:jc w:val="center"/>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2016</w:t>
            </w:r>
          </w:p>
        </w:tc>
        <w:tc>
          <w:tcPr>
            <w:tcW w:w="785" w:type="dxa"/>
            <w:shd w:val="clear" w:color="auto" w:fill="auto"/>
            <w:noWrap/>
            <w:vAlign w:val="center"/>
            <w:hideMark/>
          </w:tcPr>
          <w:p w14:paraId="2F0D4FE6" w14:textId="77777777" w:rsidR="00E01070" w:rsidRPr="00807792" w:rsidRDefault="00E01070" w:rsidP="00FB7BF4">
            <w:pPr>
              <w:spacing w:before="0"/>
              <w:jc w:val="center"/>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2017</w:t>
            </w:r>
          </w:p>
        </w:tc>
        <w:tc>
          <w:tcPr>
            <w:tcW w:w="785" w:type="dxa"/>
            <w:shd w:val="clear" w:color="auto" w:fill="auto"/>
            <w:noWrap/>
            <w:vAlign w:val="center"/>
            <w:hideMark/>
          </w:tcPr>
          <w:p w14:paraId="2CBEE5F9" w14:textId="77777777" w:rsidR="00E01070" w:rsidRPr="00807792" w:rsidRDefault="00E01070" w:rsidP="00FB7BF4">
            <w:pPr>
              <w:spacing w:before="0"/>
              <w:jc w:val="center"/>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2018</w:t>
            </w:r>
          </w:p>
        </w:tc>
      </w:tr>
      <w:tr w:rsidR="00E01070" w:rsidRPr="00807792" w14:paraId="4F9CC766" w14:textId="77777777" w:rsidTr="00FB7BF4">
        <w:trPr>
          <w:trHeight w:val="15"/>
        </w:trPr>
        <w:tc>
          <w:tcPr>
            <w:tcW w:w="6638" w:type="dxa"/>
            <w:shd w:val="clear" w:color="auto" w:fill="auto"/>
            <w:noWrap/>
            <w:vAlign w:val="bottom"/>
            <w:hideMark/>
          </w:tcPr>
          <w:p w14:paraId="5ABCA190" w14:textId="77777777" w:rsidR="00E01070" w:rsidRPr="00807792" w:rsidRDefault="00E01070" w:rsidP="00FB7BF4">
            <w:pPr>
              <w:spacing w:before="0"/>
              <w:jc w:val="lef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Pracoviště VaV celkem</w:t>
            </w:r>
          </w:p>
        </w:tc>
        <w:tc>
          <w:tcPr>
            <w:tcW w:w="785" w:type="dxa"/>
            <w:shd w:val="clear" w:color="auto" w:fill="auto"/>
            <w:noWrap/>
            <w:vAlign w:val="bottom"/>
            <w:hideMark/>
          </w:tcPr>
          <w:p w14:paraId="118F0741"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191 </w:t>
            </w:r>
          </w:p>
        </w:tc>
        <w:tc>
          <w:tcPr>
            <w:tcW w:w="785" w:type="dxa"/>
            <w:shd w:val="clear" w:color="auto" w:fill="auto"/>
            <w:noWrap/>
            <w:vAlign w:val="bottom"/>
            <w:hideMark/>
          </w:tcPr>
          <w:p w14:paraId="3715F858"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234 </w:t>
            </w:r>
          </w:p>
        </w:tc>
        <w:tc>
          <w:tcPr>
            <w:tcW w:w="785" w:type="dxa"/>
            <w:shd w:val="clear" w:color="auto" w:fill="auto"/>
            <w:noWrap/>
            <w:vAlign w:val="bottom"/>
            <w:hideMark/>
          </w:tcPr>
          <w:p w14:paraId="60E5167E"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221 </w:t>
            </w:r>
          </w:p>
        </w:tc>
      </w:tr>
      <w:tr w:rsidR="00E01070" w:rsidRPr="00807792" w14:paraId="38F92E23" w14:textId="77777777" w:rsidTr="00FB7BF4">
        <w:trPr>
          <w:trHeight w:val="15"/>
        </w:trPr>
        <w:tc>
          <w:tcPr>
            <w:tcW w:w="6638" w:type="dxa"/>
            <w:shd w:val="clear" w:color="auto" w:fill="auto"/>
            <w:noWrap/>
            <w:vAlign w:val="bottom"/>
            <w:hideMark/>
          </w:tcPr>
          <w:p w14:paraId="4C9A75E9"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s 10 a více zaměstnanci VaV (FTE)</w:t>
            </w:r>
            <w:r w:rsidRPr="00807792">
              <w:rPr>
                <w:rFonts w:eastAsia="Times New Roman" w:cstheme="minorHAnsi"/>
                <w:color w:val="000000" w:themeColor="text1"/>
                <w:sz w:val="18"/>
                <w:szCs w:val="18"/>
                <w:vertAlign w:val="superscript"/>
                <w:lang w:eastAsia="cs-CZ"/>
              </w:rPr>
              <w:t>*</w:t>
            </w:r>
          </w:p>
        </w:tc>
        <w:tc>
          <w:tcPr>
            <w:tcW w:w="785" w:type="dxa"/>
            <w:shd w:val="clear" w:color="auto" w:fill="auto"/>
            <w:noWrap/>
            <w:vAlign w:val="bottom"/>
            <w:hideMark/>
          </w:tcPr>
          <w:p w14:paraId="5CAA4E06"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61 </w:t>
            </w:r>
          </w:p>
        </w:tc>
        <w:tc>
          <w:tcPr>
            <w:tcW w:w="785" w:type="dxa"/>
            <w:shd w:val="clear" w:color="auto" w:fill="auto"/>
            <w:noWrap/>
            <w:vAlign w:val="bottom"/>
            <w:hideMark/>
          </w:tcPr>
          <w:p w14:paraId="0C8028FB"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64 </w:t>
            </w:r>
          </w:p>
        </w:tc>
        <w:tc>
          <w:tcPr>
            <w:tcW w:w="785" w:type="dxa"/>
            <w:shd w:val="clear" w:color="auto" w:fill="auto"/>
            <w:noWrap/>
            <w:vAlign w:val="bottom"/>
            <w:hideMark/>
          </w:tcPr>
          <w:p w14:paraId="2BB0CEC5"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70 </w:t>
            </w:r>
          </w:p>
        </w:tc>
      </w:tr>
      <w:tr w:rsidR="00E01070" w:rsidRPr="00807792" w14:paraId="653B6C5C" w14:textId="77777777" w:rsidTr="00FB7BF4">
        <w:trPr>
          <w:trHeight w:val="15"/>
        </w:trPr>
        <w:tc>
          <w:tcPr>
            <w:tcW w:w="6638" w:type="dxa"/>
            <w:shd w:val="clear" w:color="auto" w:fill="auto"/>
            <w:vAlign w:val="bottom"/>
            <w:hideMark/>
          </w:tcPr>
          <w:p w14:paraId="4A6BD4FF" w14:textId="77777777" w:rsidR="00E01070" w:rsidRPr="00807792" w:rsidRDefault="00E01070" w:rsidP="00FB7BF4">
            <w:pPr>
              <w:spacing w:before="0"/>
              <w:jc w:val="lef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Zaměstnanci VaV celkem (přepočtené osoby – FTE)</w:t>
            </w:r>
            <w:r w:rsidRPr="00807792">
              <w:rPr>
                <w:rFonts w:eastAsia="Times New Roman" w:cstheme="minorHAnsi"/>
                <w:b/>
                <w:bCs/>
                <w:color w:val="000000" w:themeColor="text1"/>
                <w:sz w:val="18"/>
                <w:szCs w:val="18"/>
                <w:vertAlign w:val="superscript"/>
                <w:lang w:eastAsia="cs-CZ"/>
              </w:rPr>
              <w:t>*</w:t>
            </w:r>
          </w:p>
        </w:tc>
        <w:tc>
          <w:tcPr>
            <w:tcW w:w="785" w:type="dxa"/>
            <w:shd w:val="clear" w:color="auto" w:fill="auto"/>
            <w:noWrap/>
            <w:vAlign w:val="bottom"/>
            <w:hideMark/>
          </w:tcPr>
          <w:p w14:paraId="25D72423"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2 320 </w:t>
            </w:r>
          </w:p>
        </w:tc>
        <w:tc>
          <w:tcPr>
            <w:tcW w:w="785" w:type="dxa"/>
            <w:shd w:val="clear" w:color="auto" w:fill="auto"/>
            <w:noWrap/>
            <w:vAlign w:val="bottom"/>
            <w:hideMark/>
          </w:tcPr>
          <w:p w14:paraId="499222F6"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2 668 </w:t>
            </w:r>
          </w:p>
        </w:tc>
        <w:tc>
          <w:tcPr>
            <w:tcW w:w="785" w:type="dxa"/>
            <w:shd w:val="clear" w:color="auto" w:fill="auto"/>
            <w:noWrap/>
            <w:vAlign w:val="bottom"/>
            <w:hideMark/>
          </w:tcPr>
          <w:p w14:paraId="065425D1"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2 679 </w:t>
            </w:r>
          </w:p>
        </w:tc>
      </w:tr>
      <w:tr w:rsidR="00E01070" w:rsidRPr="00807792" w14:paraId="7BD730F8" w14:textId="77777777" w:rsidTr="00FB7BF4">
        <w:trPr>
          <w:trHeight w:val="15"/>
        </w:trPr>
        <w:tc>
          <w:tcPr>
            <w:tcW w:w="6638" w:type="dxa"/>
            <w:shd w:val="clear" w:color="auto" w:fill="auto"/>
            <w:noWrap/>
            <w:vAlign w:val="bottom"/>
            <w:hideMark/>
          </w:tcPr>
          <w:p w14:paraId="33B8F06C"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výzkumní pracovníci</w:t>
            </w:r>
          </w:p>
        </w:tc>
        <w:tc>
          <w:tcPr>
            <w:tcW w:w="785" w:type="dxa"/>
            <w:shd w:val="clear" w:color="auto" w:fill="auto"/>
            <w:noWrap/>
            <w:vAlign w:val="bottom"/>
            <w:hideMark/>
          </w:tcPr>
          <w:p w14:paraId="58EC2165"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1 197 </w:t>
            </w:r>
          </w:p>
        </w:tc>
        <w:tc>
          <w:tcPr>
            <w:tcW w:w="785" w:type="dxa"/>
            <w:shd w:val="clear" w:color="auto" w:fill="auto"/>
            <w:noWrap/>
            <w:vAlign w:val="bottom"/>
            <w:hideMark/>
          </w:tcPr>
          <w:p w14:paraId="75CA0870"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1 364 </w:t>
            </w:r>
          </w:p>
        </w:tc>
        <w:tc>
          <w:tcPr>
            <w:tcW w:w="785" w:type="dxa"/>
            <w:shd w:val="clear" w:color="auto" w:fill="auto"/>
            <w:noWrap/>
            <w:vAlign w:val="bottom"/>
            <w:hideMark/>
          </w:tcPr>
          <w:p w14:paraId="62B2AE57"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1 327 </w:t>
            </w:r>
          </w:p>
        </w:tc>
      </w:tr>
      <w:tr w:rsidR="00E01070" w:rsidRPr="00807792" w14:paraId="05184C2C" w14:textId="77777777" w:rsidTr="00FB7BF4">
        <w:trPr>
          <w:trHeight w:val="15"/>
        </w:trPr>
        <w:tc>
          <w:tcPr>
            <w:tcW w:w="6638" w:type="dxa"/>
            <w:shd w:val="clear" w:color="auto" w:fill="auto"/>
            <w:noWrap/>
            <w:vAlign w:val="bottom"/>
            <w:hideMark/>
          </w:tcPr>
          <w:p w14:paraId="097E937B" w14:textId="77777777" w:rsidR="00E01070" w:rsidRPr="00807792" w:rsidRDefault="00E01070" w:rsidP="00FB7BF4">
            <w:pPr>
              <w:spacing w:before="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podle sektorů provádění:</w:t>
            </w:r>
          </w:p>
        </w:tc>
        <w:tc>
          <w:tcPr>
            <w:tcW w:w="785" w:type="dxa"/>
            <w:shd w:val="clear" w:color="auto" w:fill="auto"/>
            <w:noWrap/>
            <w:vAlign w:val="bottom"/>
            <w:hideMark/>
          </w:tcPr>
          <w:p w14:paraId="57EC930C"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w:t>
            </w:r>
          </w:p>
        </w:tc>
        <w:tc>
          <w:tcPr>
            <w:tcW w:w="785" w:type="dxa"/>
            <w:shd w:val="clear" w:color="auto" w:fill="auto"/>
            <w:noWrap/>
            <w:vAlign w:val="bottom"/>
            <w:hideMark/>
          </w:tcPr>
          <w:p w14:paraId="29D22A7F"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w:t>
            </w:r>
          </w:p>
        </w:tc>
        <w:tc>
          <w:tcPr>
            <w:tcW w:w="785" w:type="dxa"/>
            <w:shd w:val="clear" w:color="auto" w:fill="auto"/>
            <w:noWrap/>
            <w:vAlign w:val="bottom"/>
            <w:hideMark/>
          </w:tcPr>
          <w:p w14:paraId="7EB51CA1"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w:t>
            </w:r>
          </w:p>
        </w:tc>
      </w:tr>
      <w:tr w:rsidR="00E01070" w:rsidRPr="00807792" w14:paraId="03B1FC66" w14:textId="77777777" w:rsidTr="00FB7BF4">
        <w:trPr>
          <w:trHeight w:val="15"/>
        </w:trPr>
        <w:tc>
          <w:tcPr>
            <w:tcW w:w="6638" w:type="dxa"/>
            <w:shd w:val="clear" w:color="auto" w:fill="auto"/>
            <w:noWrap/>
            <w:vAlign w:val="bottom"/>
            <w:hideMark/>
          </w:tcPr>
          <w:p w14:paraId="102ED4E2"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podnikatelský</w:t>
            </w:r>
          </w:p>
        </w:tc>
        <w:tc>
          <w:tcPr>
            <w:tcW w:w="785" w:type="dxa"/>
            <w:shd w:val="clear" w:color="auto" w:fill="auto"/>
            <w:noWrap/>
            <w:vAlign w:val="bottom"/>
            <w:hideMark/>
          </w:tcPr>
          <w:p w14:paraId="6FA98B9C"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1 956 </w:t>
            </w:r>
          </w:p>
        </w:tc>
        <w:tc>
          <w:tcPr>
            <w:tcW w:w="785" w:type="dxa"/>
            <w:shd w:val="clear" w:color="auto" w:fill="auto"/>
            <w:noWrap/>
            <w:vAlign w:val="bottom"/>
            <w:hideMark/>
          </w:tcPr>
          <w:p w14:paraId="565DD1A3"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2 341 </w:t>
            </w:r>
          </w:p>
        </w:tc>
        <w:tc>
          <w:tcPr>
            <w:tcW w:w="785" w:type="dxa"/>
            <w:shd w:val="clear" w:color="auto" w:fill="auto"/>
            <w:noWrap/>
            <w:vAlign w:val="bottom"/>
            <w:hideMark/>
          </w:tcPr>
          <w:p w14:paraId="68403EB1"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2 317 </w:t>
            </w:r>
          </w:p>
        </w:tc>
      </w:tr>
      <w:tr w:rsidR="00E01070" w:rsidRPr="00807792" w14:paraId="7D2EF36A" w14:textId="77777777" w:rsidTr="00FB7BF4">
        <w:trPr>
          <w:trHeight w:val="15"/>
        </w:trPr>
        <w:tc>
          <w:tcPr>
            <w:tcW w:w="6638" w:type="dxa"/>
            <w:shd w:val="clear" w:color="auto" w:fill="auto"/>
            <w:noWrap/>
            <w:vAlign w:val="bottom"/>
            <w:hideMark/>
          </w:tcPr>
          <w:p w14:paraId="5E2C7E57"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vládní</w:t>
            </w:r>
          </w:p>
        </w:tc>
        <w:tc>
          <w:tcPr>
            <w:tcW w:w="785" w:type="dxa"/>
            <w:shd w:val="clear" w:color="auto" w:fill="auto"/>
            <w:noWrap/>
            <w:vAlign w:val="bottom"/>
            <w:hideMark/>
          </w:tcPr>
          <w:p w14:paraId="6BF7ACAA"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12 </w:t>
            </w:r>
          </w:p>
        </w:tc>
        <w:tc>
          <w:tcPr>
            <w:tcW w:w="785" w:type="dxa"/>
            <w:shd w:val="clear" w:color="auto" w:fill="auto"/>
            <w:noWrap/>
            <w:vAlign w:val="bottom"/>
            <w:hideMark/>
          </w:tcPr>
          <w:p w14:paraId="17A7E687"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12 </w:t>
            </w:r>
          </w:p>
        </w:tc>
        <w:tc>
          <w:tcPr>
            <w:tcW w:w="785" w:type="dxa"/>
            <w:shd w:val="clear" w:color="auto" w:fill="auto"/>
            <w:noWrap/>
            <w:vAlign w:val="bottom"/>
            <w:hideMark/>
          </w:tcPr>
          <w:p w14:paraId="1F438AC2"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22 </w:t>
            </w:r>
          </w:p>
        </w:tc>
      </w:tr>
      <w:tr w:rsidR="00E01070" w:rsidRPr="00807792" w14:paraId="1867EE87" w14:textId="77777777" w:rsidTr="00FB7BF4">
        <w:trPr>
          <w:trHeight w:val="15"/>
        </w:trPr>
        <w:tc>
          <w:tcPr>
            <w:tcW w:w="6638" w:type="dxa"/>
            <w:shd w:val="clear" w:color="auto" w:fill="auto"/>
            <w:noWrap/>
            <w:vAlign w:val="bottom"/>
            <w:hideMark/>
          </w:tcPr>
          <w:p w14:paraId="0D3D1987"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vysokoškolský</w:t>
            </w:r>
          </w:p>
        </w:tc>
        <w:tc>
          <w:tcPr>
            <w:tcW w:w="785" w:type="dxa"/>
            <w:shd w:val="clear" w:color="auto" w:fill="auto"/>
            <w:noWrap/>
            <w:vAlign w:val="bottom"/>
            <w:hideMark/>
          </w:tcPr>
          <w:p w14:paraId="7C0918CC"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352 </w:t>
            </w:r>
          </w:p>
        </w:tc>
        <w:tc>
          <w:tcPr>
            <w:tcW w:w="785" w:type="dxa"/>
            <w:shd w:val="clear" w:color="auto" w:fill="auto"/>
            <w:noWrap/>
            <w:vAlign w:val="bottom"/>
            <w:hideMark/>
          </w:tcPr>
          <w:p w14:paraId="04093244"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314 </w:t>
            </w:r>
          </w:p>
        </w:tc>
        <w:tc>
          <w:tcPr>
            <w:tcW w:w="785" w:type="dxa"/>
            <w:shd w:val="clear" w:color="auto" w:fill="auto"/>
            <w:noWrap/>
            <w:vAlign w:val="bottom"/>
            <w:hideMark/>
          </w:tcPr>
          <w:p w14:paraId="6FD9FA65"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340 </w:t>
            </w:r>
          </w:p>
        </w:tc>
      </w:tr>
      <w:tr w:rsidR="00E01070" w:rsidRPr="00807792" w14:paraId="696550B2" w14:textId="77777777" w:rsidTr="00FB7BF4">
        <w:trPr>
          <w:trHeight w:val="15"/>
        </w:trPr>
        <w:tc>
          <w:tcPr>
            <w:tcW w:w="6638" w:type="dxa"/>
            <w:shd w:val="clear" w:color="auto" w:fill="auto"/>
            <w:vAlign w:val="bottom"/>
            <w:hideMark/>
          </w:tcPr>
          <w:p w14:paraId="66367201" w14:textId="77777777" w:rsidR="00E01070" w:rsidRPr="00807792" w:rsidRDefault="00E01070" w:rsidP="00FB7BF4">
            <w:pPr>
              <w:spacing w:before="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Podíl zaměstnanců VaV (FTE)</w:t>
            </w:r>
            <w:r w:rsidRPr="00807792">
              <w:rPr>
                <w:rFonts w:eastAsia="Times New Roman" w:cstheme="minorHAnsi"/>
                <w:color w:val="000000" w:themeColor="text1"/>
                <w:sz w:val="18"/>
                <w:szCs w:val="18"/>
                <w:vertAlign w:val="superscript"/>
                <w:lang w:eastAsia="cs-CZ"/>
              </w:rPr>
              <w:t xml:space="preserve">* </w:t>
            </w:r>
            <w:r w:rsidRPr="00807792">
              <w:rPr>
                <w:rFonts w:eastAsia="Times New Roman" w:cstheme="minorHAnsi"/>
                <w:color w:val="000000" w:themeColor="text1"/>
                <w:sz w:val="18"/>
                <w:szCs w:val="18"/>
                <w:lang w:eastAsia="cs-CZ"/>
              </w:rPr>
              <w:t>ze zaměstnaných v kraji celkem (%)</w:t>
            </w:r>
          </w:p>
        </w:tc>
        <w:tc>
          <w:tcPr>
            <w:tcW w:w="785" w:type="dxa"/>
            <w:shd w:val="clear" w:color="auto" w:fill="auto"/>
            <w:noWrap/>
            <w:vAlign w:val="bottom"/>
            <w:hideMark/>
          </w:tcPr>
          <w:p w14:paraId="51C07CB5"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0,8 </w:t>
            </w:r>
          </w:p>
        </w:tc>
        <w:tc>
          <w:tcPr>
            <w:tcW w:w="785" w:type="dxa"/>
            <w:shd w:val="clear" w:color="auto" w:fill="auto"/>
            <w:noWrap/>
            <w:vAlign w:val="bottom"/>
            <w:hideMark/>
          </w:tcPr>
          <w:p w14:paraId="607D1E9E"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0,9 </w:t>
            </w:r>
          </w:p>
        </w:tc>
        <w:tc>
          <w:tcPr>
            <w:tcW w:w="785" w:type="dxa"/>
            <w:shd w:val="clear" w:color="auto" w:fill="auto"/>
            <w:noWrap/>
            <w:vAlign w:val="bottom"/>
            <w:hideMark/>
          </w:tcPr>
          <w:p w14:paraId="3B0C7EB2"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 </w:t>
            </w:r>
          </w:p>
        </w:tc>
      </w:tr>
      <w:tr w:rsidR="00E01070" w:rsidRPr="00807792" w14:paraId="59A59115" w14:textId="77777777" w:rsidTr="00FB7BF4">
        <w:trPr>
          <w:trHeight w:val="15"/>
        </w:trPr>
        <w:tc>
          <w:tcPr>
            <w:tcW w:w="6638" w:type="dxa"/>
            <w:shd w:val="clear" w:color="auto" w:fill="auto"/>
            <w:noWrap/>
            <w:vAlign w:val="bottom"/>
            <w:hideMark/>
          </w:tcPr>
          <w:p w14:paraId="6ED5BB4A" w14:textId="77777777" w:rsidR="00E01070" w:rsidRPr="00807792" w:rsidRDefault="00E01070" w:rsidP="00FB7BF4">
            <w:pPr>
              <w:spacing w:before="0"/>
              <w:jc w:val="lef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Výdaje na VaV celkem (mil. Kč)</w:t>
            </w:r>
          </w:p>
        </w:tc>
        <w:tc>
          <w:tcPr>
            <w:tcW w:w="785" w:type="dxa"/>
            <w:shd w:val="clear" w:color="auto" w:fill="auto"/>
            <w:noWrap/>
            <w:vAlign w:val="bottom"/>
            <w:hideMark/>
          </w:tcPr>
          <w:p w14:paraId="187F050A"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2 622 </w:t>
            </w:r>
          </w:p>
        </w:tc>
        <w:tc>
          <w:tcPr>
            <w:tcW w:w="785" w:type="dxa"/>
            <w:shd w:val="clear" w:color="auto" w:fill="auto"/>
            <w:noWrap/>
            <w:vAlign w:val="bottom"/>
            <w:hideMark/>
          </w:tcPr>
          <w:p w14:paraId="5BF10D8C"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3 356 </w:t>
            </w:r>
          </w:p>
        </w:tc>
        <w:tc>
          <w:tcPr>
            <w:tcW w:w="785" w:type="dxa"/>
            <w:shd w:val="clear" w:color="auto" w:fill="auto"/>
            <w:noWrap/>
            <w:vAlign w:val="bottom"/>
            <w:hideMark/>
          </w:tcPr>
          <w:p w14:paraId="49A1A78C" w14:textId="77777777" w:rsidR="00E01070" w:rsidRPr="00807792" w:rsidRDefault="00E01070" w:rsidP="00FB7BF4">
            <w:pPr>
              <w:spacing w:before="0"/>
              <w:jc w:val="right"/>
              <w:rPr>
                <w:rFonts w:eastAsia="Times New Roman" w:cstheme="minorHAnsi"/>
                <w:b/>
                <w:bCs/>
                <w:color w:val="000000" w:themeColor="text1"/>
                <w:sz w:val="18"/>
                <w:szCs w:val="18"/>
                <w:lang w:eastAsia="cs-CZ"/>
              </w:rPr>
            </w:pPr>
            <w:r w:rsidRPr="00807792">
              <w:rPr>
                <w:rFonts w:eastAsia="Times New Roman" w:cstheme="minorHAnsi"/>
                <w:b/>
                <w:bCs/>
                <w:color w:val="000000" w:themeColor="text1"/>
                <w:sz w:val="18"/>
                <w:szCs w:val="18"/>
                <w:lang w:eastAsia="cs-CZ"/>
              </w:rPr>
              <w:t xml:space="preserve">3 530 </w:t>
            </w:r>
          </w:p>
        </w:tc>
      </w:tr>
      <w:tr w:rsidR="00E01070" w:rsidRPr="00807792" w14:paraId="40B14404" w14:textId="77777777" w:rsidTr="00FB7BF4">
        <w:trPr>
          <w:trHeight w:val="15"/>
        </w:trPr>
        <w:tc>
          <w:tcPr>
            <w:tcW w:w="6638" w:type="dxa"/>
            <w:shd w:val="clear" w:color="auto" w:fill="auto"/>
            <w:noWrap/>
            <w:vAlign w:val="bottom"/>
            <w:hideMark/>
          </w:tcPr>
          <w:p w14:paraId="3FBBA9B2" w14:textId="77777777" w:rsidR="00E01070" w:rsidRPr="00807792" w:rsidRDefault="00E01070" w:rsidP="00FB7BF4">
            <w:pPr>
              <w:spacing w:before="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podle druhu nákladů:</w:t>
            </w:r>
          </w:p>
        </w:tc>
        <w:tc>
          <w:tcPr>
            <w:tcW w:w="785" w:type="dxa"/>
            <w:shd w:val="clear" w:color="auto" w:fill="auto"/>
            <w:noWrap/>
            <w:vAlign w:val="bottom"/>
            <w:hideMark/>
          </w:tcPr>
          <w:p w14:paraId="1D69EE0E"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w:t>
            </w:r>
          </w:p>
        </w:tc>
        <w:tc>
          <w:tcPr>
            <w:tcW w:w="785" w:type="dxa"/>
            <w:shd w:val="clear" w:color="auto" w:fill="auto"/>
            <w:noWrap/>
            <w:vAlign w:val="bottom"/>
            <w:hideMark/>
          </w:tcPr>
          <w:p w14:paraId="03DE4124"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w:t>
            </w:r>
          </w:p>
        </w:tc>
        <w:tc>
          <w:tcPr>
            <w:tcW w:w="785" w:type="dxa"/>
            <w:shd w:val="clear" w:color="auto" w:fill="auto"/>
            <w:noWrap/>
            <w:vAlign w:val="bottom"/>
            <w:hideMark/>
          </w:tcPr>
          <w:p w14:paraId="0075C272"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w:t>
            </w:r>
          </w:p>
        </w:tc>
      </w:tr>
      <w:tr w:rsidR="00E01070" w:rsidRPr="00807792" w14:paraId="6E6E9697" w14:textId="77777777" w:rsidTr="00FB7BF4">
        <w:trPr>
          <w:trHeight w:val="15"/>
        </w:trPr>
        <w:tc>
          <w:tcPr>
            <w:tcW w:w="6638" w:type="dxa"/>
            <w:shd w:val="clear" w:color="auto" w:fill="auto"/>
            <w:noWrap/>
            <w:vAlign w:val="bottom"/>
            <w:hideMark/>
          </w:tcPr>
          <w:p w14:paraId="6B8B148F"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mzdové</w:t>
            </w:r>
          </w:p>
        </w:tc>
        <w:tc>
          <w:tcPr>
            <w:tcW w:w="785" w:type="dxa"/>
            <w:shd w:val="clear" w:color="auto" w:fill="auto"/>
            <w:noWrap/>
            <w:vAlign w:val="bottom"/>
            <w:hideMark/>
          </w:tcPr>
          <w:p w14:paraId="51A0A5B6"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1 368 </w:t>
            </w:r>
          </w:p>
        </w:tc>
        <w:tc>
          <w:tcPr>
            <w:tcW w:w="785" w:type="dxa"/>
            <w:shd w:val="clear" w:color="auto" w:fill="auto"/>
            <w:noWrap/>
            <w:vAlign w:val="bottom"/>
            <w:hideMark/>
          </w:tcPr>
          <w:p w14:paraId="1B022963"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1 944 </w:t>
            </w:r>
          </w:p>
        </w:tc>
        <w:tc>
          <w:tcPr>
            <w:tcW w:w="785" w:type="dxa"/>
            <w:shd w:val="clear" w:color="auto" w:fill="auto"/>
            <w:noWrap/>
            <w:vAlign w:val="bottom"/>
            <w:hideMark/>
          </w:tcPr>
          <w:p w14:paraId="3CFA6E84"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2 011 </w:t>
            </w:r>
          </w:p>
        </w:tc>
      </w:tr>
      <w:tr w:rsidR="00E01070" w:rsidRPr="00807792" w14:paraId="086601D8" w14:textId="77777777" w:rsidTr="00FB7BF4">
        <w:trPr>
          <w:trHeight w:val="15"/>
        </w:trPr>
        <w:tc>
          <w:tcPr>
            <w:tcW w:w="6638" w:type="dxa"/>
            <w:shd w:val="clear" w:color="auto" w:fill="auto"/>
            <w:noWrap/>
            <w:vAlign w:val="bottom"/>
            <w:hideMark/>
          </w:tcPr>
          <w:p w14:paraId="23941A7D"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ostatní běžné</w:t>
            </w:r>
          </w:p>
        </w:tc>
        <w:tc>
          <w:tcPr>
            <w:tcW w:w="785" w:type="dxa"/>
            <w:shd w:val="clear" w:color="auto" w:fill="auto"/>
            <w:noWrap/>
            <w:vAlign w:val="bottom"/>
            <w:hideMark/>
          </w:tcPr>
          <w:p w14:paraId="03C8FC2A"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1 027 </w:t>
            </w:r>
          </w:p>
        </w:tc>
        <w:tc>
          <w:tcPr>
            <w:tcW w:w="785" w:type="dxa"/>
            <w:shd w:val="clear" w:color="auto" w:fill="auto"/>
            <w:noWrap/>
            <w:vAlign w:val="bottom"/>
            <w:hideMark/>
          </w:tcPr>
          <w:p w14:paraId="507E8710"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1 135 </w:t>
            </w:r>
          </w:p>
        </w:tc>
        <w:tc>
          <w:tcPr>
            <w:tcW w:w="785" w:type="dxa"/>
            <w:shd w:val="clear" w:color="auto" w:fill="auto"/>
            <w:noWrap/>
            <w:vAlign w:val="bottom"/>
            <w:hideMark/>
          </w:tcPr>
          <w:p w14:paraId="2110464F"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1 152 </w:t>
            </w:r>
          </w:p>
        </w:tc>
      </w:tr>
      <w:tr w:rsidR="00E01070" w:rsidRPr="00807792" w14:paraId="1D217999" w14:textId="77777777" w:rsidTr="00FB7BF4">
        <w:trPr>
          <w:trHeight w:val="15"/>
        </w:trPr>
        <w:tc>
          <w:tcPr>
            <w:tcW w:w="6638" w:type="dxa"/>
            <w:shd w:val="clear" w:color="auto" w:fill="auto"/>
            <w:noWrap/>
            <w:vAlign w:val="bottom"/>
            <w:hideMark/>
          </w:tcPr>
          <w:p w14:paraId="4C617756" w14:textId="77777777" w:rsidR="00E01070" w:rsidRPr="00807792" w:rsidRDefault="00E01070" w:rsidP="00FB7BF4">
            <w:pPr>
              <w:spacing w:before="0"/>
              <w:ind w:firstLineChars="100" w:firstLine="18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investiční</w:t>
            </w:r>
          </w:p>
        </w:tc>
        <w:tc>
          <w:tcPr>
            <w:tcW w:w="785" w:type="dxa"/>
            <w:shd w:val="clear" w:color="auto" w:fill="auto"/>
            <w:noWrap/>
            <w:vAlign w:val="bottom"/>
            <w:hideMark/>
          </w:tcPr>
          <w:p w14:paraId="522BFD1A"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227 </w:t>
            </w:r>
          </w:p>
        </w:tc>
        <w:tc>
          <w:tcPr>
            <w:tcW w:w="785" w:type="dxa"/>
            <w:shd w:val="clear" w:color="auto" w:fill="auto"/>
            <w:noWrap/>
            <w:vAlign w:val="bottom"/>
            <w:hideMark/>
          </w:tcPr>
          <w:p w14:paraId="7C99A6A2"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277 </w:t>
            </w:r>
          </w:p>
        </w:tc>
        <w:tc>
          <w:tcPr>
            <w:tcW w:w="785" w:type="dxa"/>
            <w:shd w:val="clear" w:color="auto" w:fill="auto"/>
            <w:noWrap/>
            <w:vAlign w:val="bottom"/>
            <w:hideMark/>
          </w:tcPr>
          <w:p w14:paraId="2D9A8D0A"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367 </w:t>
            </w:r>
          </w:p>
        </w:tc>
      </w:tr>
      <w:tr w:rsidR="00E01070" w:rsidRPr="00807792" w14:paraId="5FA0A616" w14:textId="77777777" w:rsidTr="00FB7BF4">
        <w:trPr>
          <w:trHeight w:val="15"/>
        </w:trPr>
        <w:tc>
          <w:tcPr>
            <w:tcW w:w="6638" w:type="dxa"/>
            <w:shd w:val="clear" w:color="auto" w:fill="auto"/>
            <w:vAlign w:val="bottom"/>
            <w:hideMark/>
          </w:tcPr>
          <w:p w14:paraId="2842A891" w14:textId="77777777" w:rsidR="00E01070" w:rsidRPr="00807792" w:rsidRDefault="00E01070" w:rsidP="00FB7BF4">
            <w:pPr>
              <w:spacing w:before="0"/>
              <w:jc w:val="lef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Podíl výdajů na VaV na regionálním HDP (%)</w:t>
            </w:r>
          </w:p>
        </w:tc>
        <w:tc>
          <w:tcPr>
            <w:tcW w:w="785" w:type="dxa"/>
            <w:shd w:val="clear" w:color="auto" w:fill="auto"/>
            <w:noWrap/>
            <w:vAlign w:val="bottom"/>
            <w:hideMark/>
          </w:tcPr>
          <w:p w14:paraId="20498F2E"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1,2 </w:t>
            </w:r>
          </w:p>
        </w:tc>
        <w:tc>
          <w:tcPr>
            <w:tcW w:w="785" w:type="dxa"/>
            <w:shd w:val="clear" w:color="auto" w:fill="auto"/>
            <w:noWrap/>
            <w:vAlign w:val="bottom"/>
            <w:hideMark/>
          </w:tcPr>
          <w:p w14:paraId="41069CA5"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1,4 </w:t>
            </w:r>
          </w:p>
        </w:tc>
        <w:tc>
          <w:tcPr>
            <w:tcW w:w="785" w:type="dxa"/>
            <w:shd w:val="clear" w:color="auto" w:fill="auto"/>
            <w:noWrap/>
            <w:vAlign w:val="bottom"/>
            <w:hideMark/>
          </w:tcPr>
          <w:p w14:paraId="35B443FA" w14:textId="77777777" w:rsidR="00E01070" w:rsidRPr="00807792" w:rsidRDefault="00E01070" w:rsidP="00FB7BF4">
            <w:pPr>
              <w:spacing w:before="0"/>
              <w:jc w:val="right"/>
              <w:rPr>
                <w:rFonts w:eastAsia="Times New Roman" w:cstheme="minorHAnsi"/>
                <w:color w:val="000000" w:themeColor="text1"/>
                <w:sz w:val="18"/>
                <w:szCs w:val="18"/>
                <w:lang w:eastAsia="cs-CZ"/>
              </w:rPr>
            </w:pPr>
            <w:r w:rsidRPr="00807792">
              <w:rPr>
                <w:rFonts w:eastAsia="Times New Roman" w:cstheme="minorHAnsi"/>
                <w:color w:val="000000" w:themeColor="text1"/>
                <w:sz w:val="18"/>
                <w:szCs w:val="18"/>
                <w:lang w:eastAsia="cs-CZ"/>
              </w:rPr>
              <w:t xml:space="preserve">. </w:t>
            </w:r>
          </w:p>
        </w:tc>
      </w:tr>
    </w:tbl>
    <w:p w14:paraId="311072C9" w14:textId="77777777" w:rsidR="00E01070" w:rsidRPr="00807792" w:rsidRDefault="00E01070" w:rsidP="00E01070">
      <w:pPr>
        <w:pStyle w:val="Zdroj"/>
        <w:spacing w:before="0" w:after="0"/>
        <w:rPr>
          <w:color w:val="000000" w:themeColor="text1"/>
        </w:rPr>
      </w:pPr>
      <w:r w:rsidRPr="00807792">
        <w:rPr>
          <w:color w:val="000000" w:themeColor="text1"/>
        </w:rPr>
        <w:t>Zdroj: ČSÚ, Statistická ročenka Zlínského kraje</w:t>
      </w:r>
      <w:r>
        <w:rPr>
          <w:color w:val="000000" w:themeColor="text1"/>
        </w:rPr>
        <w:t>,</w:t>
      </w:r>
      <w:r w:rsidRPr="00807792">
        <w:rPr>
          <w:color w:val="000000" w:themeColor="text1"/>
        </w:rPr>
        <w:t xml:space="preserve"> 2019.</w:t>
      </w:r>
    </w:p>
    <w:p w14:paraId="5F1045DC" w14:textId="77777777" w:rsidR="00E01070" w:rsidRPr="00807792" w:rsidRDefault="00E01070" w:rsidP="00E01070">
      <w:pPr>
        <w:pStyle w:val="Zdroj"/>
        <w:spacing w:before="0" w:after="0"/>
        <w:rPr>
          <w:color w:val="000000" w:themeColor="text1"/>
        </w:rPr>
      </w:pPr>
      <w:r w:rsidRPr="00807792">
        <w:rPr>
          <w:color w:val="000000" w:themeColor="text1"/>
        </w:rPr>
        <w:t>Pozn.:</w:t>
      </w:r>
      <w:r>
        <w:rPr>
          <w:color w:val="000000" w:themeColor="text1"/>
        </w:rPr>
        <w:t xml:space="preserve"> </w:t>
      </w:r>
      <w:r w:rsidRPr="00807792">
        <w:rPr>
          <w:color w:val="000000" w:themeColor="text1"/>
        </w:rPr>
        <w:t>VaV: výzkum a vývoj, ÚPV ČR – Úřad průmyslového vlastnictví České republiky</w:t>
      </w:r>
      <w:r>
        <w:rPr>
          <w:color w:val="000000" w:themeColor="text1"/>
        </w:rPr>
        <w:t>.</w:t>
      </w:r>
    </w:p>
    <w:p w14:paraId="0E54F5A5" w14:textId="77777777" w:rsidR="00E01070" w:rsidRDefault="00E01070" w:rsidP="00E01070">
      <w:pPr>
        <w:pStyle w:val="Zdroj"/>
        <w:spacing w:before="0"/>
        <w:rPr>
          <w:color w:val="000000" w:themeColor="text1"/>
        </w:rPr>
      </w:pPr>
      <w:r w:rsidRPr="00807792">
        <w:rPr>
          <w:color w:val="000000" w:themeColor="text1"/>
        </w:rPr>
        <w:t>* přepočteno na plnou roční pracovní dobu věnovanou VaV činnostem (FTE)</w:t>
      </w:r>
      <w:r>
        <w:rPr>
          <w:color w:val="000000" w:themeColor="text1"/>
        </w:rPr>
        <w:t>.</w:t>
      </w:r>
    </w:p>
    <w:p w14:paraId="6C6083EB" w14:textId="2A756CD3" w:rsidR="00E01070" w:rsidRPr="00265EF5" w:rsidRDefault="00E01070" w:rsidP="00E01070">
      <w:pPr>
        <w:rPr>
          <w:color w:val="000000" w:themeColor="text1"/>
        </w:rPr>
      </w:pPr>
      <w:r w:rsidRPr="00265EF5">
        <w:rPr>
          <w:color w:val="000000" w:themeColor="text1"/>
        </w:rPr>
        <w:t>Růst české ekonomiky byl v posledních 20 letech ovlivněn přílivem zahraničních investic (PZI), které byly jedním z hlavních zdrojů růstu konkurenceschopnosti. Firmy pod zahraniční kontrolou přispěly přímo i zprostředkovaně k zavádění moderních technologií, nových způsobů řízení a umožnily propojení českého hospodářství na globální ekonomiku. Přímé zahraniční investice ve Zlínském kraji v roce 2007 činily 36 843 mil. Kč a z toho okres Zlín se podílel na této částce ze 72,5 %. Po poklesu v roce 2009 způsobené</w:t>
      </w:r>
      <w:r w:rsidR="00853FDD">
        <w:rPr>
          <w:color w:val="000000" w:themeColor="text1"/>
        </w:rPr>
        <w:t>m</w:t>
      </w:r>
      <w:r w:rsidRPr="00265EF5">
        <w:rPr>
          <w:color w:val="000000" w:themeColor="text1"/>
        </w:rPr>
        <w:t xml:space="preserve"> celosvětovou recesí došlo k navýšení PZI v roce 2018 do Zlínského kraje na hodnotu 61 611 mil. Kč. Rovněž se zvýšil PZI i do okresu Zlín na hodnotu 35 548 mil. Kč, ale podíl okresu Zlín klesl na </w:t>
      </w:r>
      <w:r w:rsidRPr="0070376D">
        <w:rPr>
          <w:color w:val="000000" w:themeColor="text1"/>
        </w:rPr>
        <w:t>57,37 %</w:t>
      </w:r>
      <w:r w:rsidRPr="00265EF5">
        <w:rPr>
          <w:color w:val="000000" w:themeColor="text1"/>
        </w:rPr>
        <w:t xml:space="preserve"> PZI v kraji. Pro srovnání kontextu je v níže uvedeném grafu</w:t>
      </w:r>
      <w:r w:rsidR="003A743C">
        <w:rPr>
          <w:color w:val="000000" w:themeColor="text1"/>
        </w:rPr>
        <w:t xml:space="preserve"> na obrázku 4.12</w:t>
      </w:r>
      <w:r w:rsidRPr="00265EF5">
        <w:rPr>
          <w:color w:val="000000" w:themeColor="text1"/>
        </w:rPr>
        <w:t xml:space="preserve"> uveden dlouhodobý vývoj podílu na ČR bez Prahy</w:t>
      </w:r>
      <w:r w:rsidRPr="00265EF5">
        <w:rPr>
          <w:rStyle w:val="Znakapoznpodarou"/>
          <w:color w:val="000000" w:themeColor="text1"/>
        </w:rPr>
        <w:footnoteReference w:id="125"/>
      </w:r>
      <w:r w:rsidRPr="00265EF5">
        <w:rPr>
          <w:color w:val="000000" w:themeColor="text1"/>
        </w:rPr>
        <w:t>, který u okresu Zlín osciluje mezi 2 až 3 % a ve Zlínském kraji je identifikován dlouhodobý rostoucí trend přerušený rokem 2018. Aktuální údaje ČNB zveřej</w:t>
      </w:r>
      <w:r>
        <w:rPr>
          <w:color w:val="000000" w:themeColor="text1"/>
        </w:rPr>
        <w:t>ň</w:t>
      </w:r>
      <w:r w:rsidRPr="00265EF5">
        <w:rPr>
          <w:color w:val="000000" w:themeColor="text1"/>
        </w:rPr>
        <w:t>uje vždy po 15 měsících, takže hodnoty za rok 2019 budou známy až v roce 2021.</w:t>
      </w:r>
    </w:p>
    <w:p w14:paraId="4DB1CB6D" w14:textId="268F333E" w:rsidR="00E01070" w:rsidRDefault="00E01070" w:rsidP="00E01070">
      <w:pPr>
        <w:pStyle w:val="Titulek"/>
        <w:keepNext/>
      </w:pPr>
      <w:bookmarkStart w:id="1142" w:name="_Toc54702830"/>
      <w:bookmarkStart w:id="1143" w:name="_Toc56179636"/>
      <w:bookmarkStart w:id="1144" w:name="_Toc77074978"/>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12</w:t>
      </w:r>
      <w:r w:rsidR="00804AF3">
        <w:rPr>
          <w:noProof/>
        </w:rPr>
        <w:fldChar w:fldCharType="end"/>
      </w:r>
      <w:r w:rsidR="002F528D">
        <w:rPr>
          <w:noProof/>
        </w:rPr>
        <w:t>:</w:t>
      </w:r>
      <w:r>
        <w:t xml:space="preserve"> Vývoj přímých</w:t>
      </w:r>
      <w:r w:rsidRPr="00C94205">
        <w:t xml:space="preserve"> zahraničních investic</w:t>
      </w:r>
      <w:r>
        <w:t xml:space="preserve"> od roku 2007 </w:t>
      </w:r>
      <w:r w:rsidR="002F528D">
        <w:sym w:font="Symbol" w:char="F02D"/>
      </w:r>
      <w:r>
        <w:t xml:space="preserve"> 2018</w:t>
      </w:r>
      <w:bookmarkEnd w:id="1142"/>
      <w:bookmarkEnd w:id="1143"/>
      <w:bookmarkEnd w:id="1144"/>
    </w:p>
    <w:p w14:paraId="38D5F495" w14:textId="77777777" w:rsidR="00E01070" w:rsidRDefault="00E01070" w:rsidP="00E01070">
      <w:pPr>
        <w:spacing w:before="0"/>
        <w:rPr>
          <w:color w:val="FF0000"/>
        </w:rPr>
      </w:pPr>
      <w:r w:rsidRPr="00501515">
        <w:rPr>
          <w:noProof/>
          <w:lang w:eastAsia="cs-CZ"/>
        </w:rPr>
        <w:drawing>
          <wp:inline distT="0" distB="0" distL="0" distR="0" wp14:anchorId="7AFE5FCF" wp14:editId="0BAE760C">
            <wp:extent cx="5760720" cy="3498259"/>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760720" cy="3498259"/>
                    </a:xfrm>
                    <a:prstGeom prst="rect">
                      <a:avLst/>
                    </a:prstGeom>
                    <a:noFill/>
                    <a:ln>
                      <a:noFill/>
                    </a:ln>
                  </pic:spPr>
                </pic:pic>
              </a:graphicData>
            </a:graphic>
          </wp:inline>
        </w:drawing>
      </w:r>
    </w:p>
    <w:p w14:paraId="0314C5C2" w14:textId="77777777" w:rsidR="00E01070" w:rsidRPr="002C7C1F" w:rsidRDefault="00E01070" w:rsidP="00E01070">
      <w:pPr>
        <w:pStyle w:val="Zdroj"/>
        <w:spacing w:before="0"/>
      </w:pPr>
      <w:r>
        <w:t>Zdroj: ČNB, S</w:t>
      </w:r>
      <w:r w:rsidRPr="00636B8B">
        <w:t xml:space="preserve">tav přímých zahraničních investic </w:t>
      </w:r>
      <w:r>
        <w:t>v ČR</w:t>
      </w:r>
      <w:r w:rsidRPr="00636B8B">
        <w:t xml:space="preserve"> k 31.</w:t>
      </w:r>
      <w:r>
        <w:t xml:space="preserve"> </w:t>
      </w:r>
      <w:r w:rsidRPr="00636B8B">
        <w:t xml:space="preserve">12. </w:t>
      </w:r>
      <w:r>
        <w:t>–</w:t>
      </w:r>
      <w:r w:rsidRPr="00636B8B">
        <w:t xml:space="preserve"> podle</w:t>
      </w:r>
      <w:r>
        <w:t xml:space="preserve"> regionů, aktuální data.</w:t>
      </w:r>
    </w:p>
    <w:p w14:paraId="4EF35DD8" w14:textId="2DA0A77C" w:rsidR="00E01070" w:rsidRPr="00D84389" w:rsidRDefault="00E01070" w:rsidP="00E01070">
      <w:pPr>
        <w:rPr>
          <w:color w:val="000000" w:themeColor="text1"/>
        </w:rPr>
      </w:pPr>
      <w:r w:rsidRPr="00D84389">
        <w:rPr>
          <w:color w:val="000000" w:themeColor="text1"/>
        </w:rPr>
        <w:t>Další vývoj ekonomiky na území města a celé aglomerace je postaven především na vývoji domácích podniků a jejich inovací. Zlínská aglomerace je zásadním územím pro rozvoj Zlínského kraje, i když v posledních letech dochází k intenzivnímu rozvoji i dalších oblastí (viz snížení podílu okresu Zlín na PZI). Klíčovým partnerem dalšího rozvoje je Univerzita Tomáše Bati a vytváření spolupráce podniků formou klastru. Určitou výhodu aglomerace je existence dalších silnějších center Otrokovice a Vizovice, kde dochází k dalšímu růstu koncentrace pracovních míst z důvodu aglomeračních efektů. Z hlediska názorů podnikatelských subjektů je klíčový rozvoj dopravy a vnější napojení města Zlína na metropolitní oblasti Brna</w:t>
      </w:r>
      <w:r w:rsidR="00853FDD">
        <w:rPr>
          <w:color w:val="000000" w:themeColor="text1"/>
        </w:rPr>
        <w:t xml:space="preserve"> a</w:t>
      </w:r>
      <w:r w:rsidRPr="00D84389">
        <w:rPr>
          <w:color w:val="000000" w:themeColor="text1"/>
        </w:rPr>
        <w:t xml:space="preserve"> Ostravy. </w:t>
      </w:r>
    </w:p>
    <w:p w14:paraId="6964146A" w14:textId="0745FF84" w:rsidR="00E01070" w:rsidRDefault="00E01070" w:rsidP="00E01070">
      <w:pPr>
        <w:rPr>
          <w:color w:val="000000" w:themeColor="text1"/>
        </w:rPr>
      </w:pPr>
      <w:r w:rsidRPr="00D84389">
        <w:rPr>
          <w:color w:val="000000" w:themeColor="text1"/>
        </w:rPr>
        <w:t xml:space="preserve">Předpokládá se rozšíření ekonomiky s vyšší </w:t>
      </w:r>
      <w:r>
        <w:rPr>
          <w:color w:val="000000" w:themeColor="text1"/>
        </w:rPr>
        <w:t>přidanou hodnotou (znalostní ekonomiky),</w:t>
      </w:r>
      <w:r w:rsidRPr="00B918A5">
        <w:rPr>
          <w:color w:val="000000" w:themeColor="text1"/>
        </w:rPr>
        <w:t xml:space="preserve"> což už se v současné době projevu</w:t>
      </w:r>
      <w:r>
        <w:rPr>
          <w:color w:val="000000" w:themeColor="text1"/>
        </w:rPr>
        <w:t>je</w:t>
      </w:r>
      <w:r w:rsidRPr="00B918A5">
        <w:rPr>
          <w:color w:val="000000" w:themeColor="text1"/>
        </w:rPr>
        <w:t xml:space="preserve"> vysokým podílem studentů vysokých škol s trvalým pobytem v okrese Zlín na počtu obyvatel ve věku 20 – 29 let, který patří mezi nejvyšší v rámci Č</w:t>
      </w:r>
      <w:r>
        <w:rPr>
          <w:color w:val="000000" w:themeColor="text1"/>
        </w:rPr>
        <w:t>eské republiky</w:t>
      </w:r>
      <w:r w:rsidRPr="00B918A5">
        <w:rPr>
          <w:color w:val="000000" w:themeColor="text1"/>
        </w:rPr>
        <w:t>.</w:t>
      </w:r>
    </w:p>
    <w:p w14:paraId="3F701B65" w14:textId="77777777" w:rsidR="00E01070" w:rsidRDefault="00E01070" w:rsidP="00E01070"/>
    <w:p w14:paraId="4AD7D951" w14:textId="52ECA4E2" w:rsidR="00E01070" w:rsidRDefault="00E01070" w:rsidP="00E01070">
      <w:pPr>
        <w:pStyle w:val="Nadpis2"/>
      </w:pPr>
      <w:bookmarkStart w:id="1145" w:name="_Toc53474269"/>
      <w:bookmarkStart w:id="1146" w:name="_Toc77074671"/>
      <w:r>
        <w:t>Problémová analýza</w:t>
      </w:r>
      <w:bookmarkEnd w:id="1126"/>
      <w:bookmarkEnd w:id="1145"/>
      <w:bookmarkEnd w:id="1146"/>
    </w:p>
    <w:p w14:paraId="55B8DA48" w14:textId="77777777" w:rsidR="00E01070" w:rsidRDefault="00E01070" w:rsidP="00E01070">
      <w:r>
        <w:t>V rámci principu koncentrace je třeba identifikovat nejvýznamnější problémy, které ovlivňují další oblasti. Pro identifikaci problémů byl využit princip triangulace a participace, kdy na základě různých zdrojů dat (dotazníkové šetření obyvatel, podniků, rozhovory s osobnostmi, analýza sekundárních dat, meta analýza strategických rozvojových dokumentů, náměty pracovních skupin) byly identifikovány ve městě Zlín primární problémy týkající se:</w:t>
      </w:r>
    </w:p>
    <w:p w14:paraId="2F9ADE8A" w14:textId="77777777" w:rsidR="00E01070" w:rsidRDefault="00E01070" w:rsidP="00E01070">
      <w:pPr>
        <w:pStyle w:val="Odstavecseseznamem"/>
        <w:numPr>
          <w:ilvl w:val="0"/>
          <w:numId w:val="131"/>
        </w:numPr>
      </w:pPr>
      <w:r>
        <w:t xml:space="preserve">rozvojových ploch v území pro bydlení a podnikání, </w:t>
      </w:r>
    </w:p>
    <w:p w14:paraId="63581A90" w14:textId="77777777" w:rsidR="00E01070" w:rsidRDefault="00E01070" w:rsidP="00E01070">
      <w:pPr>
        <w:pStyle w:val="Odstavecseseznamem"/>
        <w:numPr>
          <w:ilvl w:val="0"/>
          <w:numId w:val="131"/>
        </w:numPr>
      </w:pPr>
      <w:r>
        <w:t>dopravní infrastruktury města,</w:t>
      </w:r>
    </w:p>
    <w:p w14:paraId="45FFFCA0" w14:textId="77777777" w:rsidR="00E01070" w:rsidRDefault="00E01070" w:rsidP="00E01070">
      <w:pPr>
        <w:pStyle w:val="Odstavecseseznamem"/>
        <w:numPr>
          <w:ilvl w:val="0"/>
          <w:numId w:val="131"/>
        </w:numPr>
      </w:pPr>
      <w:r>
        <w:t>bytového fondu,</w:t>
      </w:r>
    </w:p>
    <w:p w14:paraId="088B58B3" w14:textId="77777777" w:rsidR="00E01070" w:rsidRPr="00632E0F" w:rsidRDefault="00E01070" w:rsidP="00E01070">
      <w:pPr>
        <w:pStyle w:val="Odstavecseseznamem"/>
        <w:numPr>
          <w:ilvl w:val="0"/>
          <w:numId w:val="131"/>
        </w:numPr>
        <w:rPr>
          <w:rStyle w:val="Odkaznakoment"/>
        </w:rPr>
      </w:pPr>
      <w:r>
        <w:t>demografického vývoje vč. stárnutí obyvatel.</w:t>
      </w:r>
    </w:p>
    <w:p w14:paraId="64D684F2" w14:textId="77777777" w:rsidR="00E01070" w:rsidRDefault="00E01070" w:rsidP="00E01070">
      <w:r>
        <w:t>Jednotlivé problémy jsou znázorněny ve stromu problémů včetně vyobrazení vztahů identifikovaných problémů. Na řešení těchto problémů by měla být primárně zaměřena návrhová část.</w:t>
      </w:r>
    </w:p>
    <w:p w14:paraId="14B7216B" w14:textId="77777777" w:rsidR="00E01070" w:rsidRDefault="00E01070" w:rsidP="00E01070">
      <w:pPr>
        <w:rPr>
          <w:b/>
        </w:rPr>
      </w:pPr>
      <w:r w:rsidRPr="003A3C6B">
        <w:t>Problémov</w:t>
      </w:r>
      <w:r>
        <w:t>á</w:t>
      </w:r>
      <w:r w:rsidRPr="003A3C6B">
        <w:t xml:space="preserve"> oblast:</w:t>
      </w:r>
      <w:r>
        <w:t xml:space="preserve"> </w:t>
      </w:r>
      <w:r w:rsidRPr="003A3C6B">
        <w:rPr>
          <w:b/>
        </w:rPr>
        <w:t>ROZVOJOVÉ PLOCH</w:t>
      </w:r>
      <w:r>
        <w:rPr>
          <w:b/>
        </w:rPr>
        <w:t>Y</w:t>
      </w:r>
    </w:p>
    <w:p w14:paraId="5089AFC1" w14:textId="77777777" w:rsidR="00E01070" w:rsidRDefault="00E01070" w:rsidP="00E01070">
      <w:r>
        <w:t>Město se vzhledem ke své poloze a reliéfu potýká s problematikou nedostatku rozvojových ploch. Poloha města situovaného v údolí mezi hřbety Vizovické vrchoviny není pro lokalizaci průmyslové výroby zcela ideální a možnosti lokalizace další průmyslové výroby jsou ve Zlíně výrazně omezené. Situace vyžaduje najít vhodná řešení pro kvalitní využití stávajících ploch, využití potenciálu Baťova areálu pro začlenění do širšího centra města.</w:t>
      </w:r>
      <w:r w:rsidRPr="00D35342">
        <w:t xml:space="preserve"> Na území města je </w:t>
      </w:r>
      <w:r>
        <w:t xml:space="preserve">omezena </w:t>
      </w:r>
      <w:r w:rsidRPr="00D35342">
        <w:t>kapacita ploch pro novou výstavbu hromadného bydlení.</w:t>
      </w:r>
      <w:r>
        <w:t xml:space="preserve"> </w:t>
      </w:r>
      <w:r w:rsidRPr="009A452B">
        <w:t>Limitem je také přístup vlastníků vhodných pozemků (držení pozemků v</w:t>
      </w:r>
      <w:r>
        <w:t> </w:t>
      </w:r>
      <w:r w:rsidRPr="009A452B">
        <w:t>rezervě bez konkrétního záměru, neschopnost či neochota některého z vlastník</w:t>
      </w:r>
      <w:r>
        <w:t>ů blokující další využití, spek</w:t>
      </w:r>
      <w:r w:rsidRPr="009A452B">
        <w:t>ulativní přístupy).</w:t>
      </w:r>
      <w:r>
        <w:t xml:space="preserve"> V kontextu nárůstu populační velikosti města je nutné řešit ve městě bytovou výstavbu hromadného bydlení.   </w:t>
      </w:r>
    </w:p>
    <w:p w14:paraId="4D286D8F" w14:textId="77777777" w:rsidR="00E01070" w:rsidRDefault="00E01070" w:rsidP="00E01070">
      <w:r w:rsidRPr="00824037">
        <w:t>Problém:</w:t>
      </w:r>
      <w:r>
        <w:rPr>
          <w:b/>
        </w:rPr>
        <w:t xml:space="preserve"> NEDOSTATEK ROZVOJOVÝCH PLOCH PRO PODNIKÁNÍ A BYDLENÍ </w:t>
      </w:r>
    </w:p>
    <w:p w14:paraId="22FFD6C0" w14:textId="77777777" w:rsidR="00E01070" w:rsidRPr="00617AAA" w:rsidRDefault="00E01070" w:rsidP="00E01070">
      <w:r>
        <w:rPr>
          <w:noProof/>
          <w:lang w:eastAsia="cs-CZ"/>
        </w:rPr>
        <w:drawing>
          <wp:inline distT="0" distB="0" distL="0" distR="0" wp14:anchorId="3EF368ED" wp14:editId="1B0D1947">
            <wp:extent cx="5760720" cy="2903220"/>
            <wp:effectExtent l="0" t="0" r="0" b="0"/>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60720" cy="2903220"/>
                    </a:xfrm>
                    <a:prstGeom prst="rect">
                      <a:avLst/>
                    </a:prstGeom>
                  </pic:spPr>
                </pic:pic>
              </a:graphicData>
            </a:graphic>
          </wp:inline>
        </w:drawing>
      </w:r>
    </w:p>
    <w:p w14:paraId="4BDE4862" w14:textId="77777777" w:rsidR="00E01070" w:rsidRDefault="00E01070" w:rsidP="00E01070">
      <w:r>
        <w:t xml:space="preserve">Problémová oblast: </w:t>
      </w:r>
      <w:r w:rsidRPr="00854A80">
        <w:rPr>
          <w:b/>
        </w:rPr>
        <w:t>DOPRAVNÍ</w:t>
      </w:r>
      <w:r>
        <w:t xml:space="preserve"> </w:t>
      </w:r>
      <w:r w:rsidRPr="00854A80">
        <w:rPr>
          <w:b/>
        </w:rPr>
        <w:t>INFRASTRUKTURA</w:t>
      </w:r>
    </w:p>
    <w:p w14:paraId="298BC021" w14:textId="77777777" w:rsidR="00E01070" w:rsidRDefault="00E01070" w:rsidP="00E01070">
      <w:r>
        <w:t>Rostoucí intenzita dopravy na komunikacích ve Zlíně je jedním z klíčových problémů, který úzce souvisí i s růstem počtu dopravních nehod. Největší zátěž tvoří zejména tranzitní nákladní doprava, což je způsobeno lokalizací výrobních a distribučních kapacit významných zaměstnavatelů ve městě. Příčinou nárůstu intenzity dopravy je také narůstající míra automobilizace. K nižšímu využití bezmotorové dopravy dochází mimo jiné díky nedostatečně rozvinuté cyklistické infrastruktury, špatného technického stavu chodníků pro pěší, nedostatku přechodů pro chodce. Silniční dopravě není schopna konkurovat železniční doprava. Ve městě je nedostatečně řešeno parkování v centru města, na sídlištích i v zázemí města. Tyto skutečnosti mají negativní důsledky na dopravní systém, ekonomiku i kvalitu života ve městě.</w:t>
      </w:r>
    </w:p>
    <w:p w14:paraId="7156745F" w14:textId="77777777" w:rsidR="00E01070" w:rsidRDefault="00E01070" w:rsidP="00E01070">
      <w:pPr>
        <w:keepNext/>
        <w:keepLines/>
        <w:rPr>
          <w:b/>
        </w:rPr>
      </w:pPr>
      <w:r w:rsidRPr="00824037">
        <w:t>Problém:</w:t>
      </w:r>
      <w:r>
        <w:t xml:space="preserve"> </w:t>
      </w:r>
      <w:r w:rsidRPr="00854A80">
        <w:rPr>
          <w:b/>
        </w:rPr>
        <w:t>VYSOKÁ</w:t>
      </w:r>
      <w:r>
        <w:t xml:space="preserve"> </w:t>
      </w:r>
      <w:r w:rsidRPr="00854A80">
        <w:rPr>
          <w:b/>
        </w:rPr>
        <w:t>INTENZITA DOPRAVY</w:t>
      </w:r>
    </w:p>
    <w:p w14:paraId="1CBB5E2B" w14:textId="77777777" w:rsidR="00E01070" w:rsidRPr="00854A80" w:rsidRDefault="00E01070" w:rsidP="00E01070">
      <w:pPr>
        <w:rPr>
          <w:b/>
        </w:rPr>
      </w:pPr>
      <w:r>
        <w:rPr>
          <w:noProof/>
          <w:lang w:eastAsia="cs-CZ"/>
        </w:rPr>
        <w:drawing>
          <wp:inline distT="0" distB="0" distL="0" distR="0" wp14:anchorId="608F6FB7" wp14:editId="79BD9EC9">
            <wp:extent cx="5760720" cy="2443480"/>
            <wp:effectExtent l="0" t="0" r="0" b="0"/>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60720" cy="2443480"/>
                    </a:xfrm>
                    <a:prstGeom prst="rect">
                      <a:avLst/>
                    </a:prstGeom>
                  </pic:spPr>
                </pic:pic>
              </a:graphicData>
            </a:graphic>
          </wp:inline>
        </w:drawing>
      </w:r>
    </w:p>
    <w:p w14:paraId="5B18629F" w14:textId="77777777" w:rsidR="00E01070" w:rsidRDefault="00E01070" w:rsidP="00E01070">
      <w:pPr>
        <w:pStyle w:val="Odstavecseseznamem"/>
        <w:suppressAutoHyphens/>
        <w:spacing w:before="0" w:after="160"/>
        <w:ind w:left="0"/>
        <w:jc w:val="left"/>
        <w:rPr>
          <w:b/>
        </w:rPr>
      </w:pPr>
      <w:r w:rsidRPr="00824037">
        <w:t>Problém:</w:t>
      </w:r>
      <w:r>
        <w:t xml:space="preserve"> </w:t>
      </w:r>
      <w:r>
        <w:rPr>
          <w:b/>
        </w:rPr>
        <w:t>NEDOSTATEČNĚ ROZVINUTÁ INFASTRUKTURA PRO CYKLISTY A PĚŠÍ</w:t>
      </w:r>
    </w:p>
    <w:p w14:paraId="518C6725" w14:textId="77777777" w:rsidR="00E01070" w:rsidRPr="00854A80" w:rsidRDefault="00E01070" w:rsidP="00E01070">
      <w:pPr>
        <w:pStyle w:val="Odstavecseseznamem"/>
        <w:suppressAutoHyphens/>
        <w:spacing w:before="0" w:after="160"/>
        <w:ind w:left="171"/>
        <w:jc w:val="left"/>
        <w:rPr>
          <w:b/>
        </w:rPr>
      </w:pPr>
    </w:p>
    <w:p w14:paraId="125DDA2D" w14:textId="77777777" w:rsidR="00E01070" w:rsidRDefault="00E01070" w:rsidP="00E01070">
      <w:pPr>
        <w:pStyle w:val="Odstavecseseznamem"/>
        <w:suppressAutoHyphens/>
        <w:spacing w:before="0" w:after="160"/>
        <w:ind w:left="0"/>
      </w:pPr>
      <w:r>
        <w:rPr>
          <w:noProof/>
          <w:lang w:eastAsia="cs-CZ"/>
        </w:rPr>
        <w:drawing>
          <wp:inline distT="0" distB="0" distL="0" distR="0" wp14:anchorId="7A818704" wp14:editId="5625AA59">
            <wp:extent cx="5760720" cy="255841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760720" cy="2558415"/>
                    </a:xfrm>
                    <a:prstGeom prst="rect">
                      <a:avLst/>
                    </a:prstGeom>
                  </pic:spPr>
                </pic:pic>
              </a:graphicData>
            </a:graphic>
          </wp:inline>
        </w:drawing>
      </w:r>
    </w:p>
    <w:p w14:paraId="35879AC2" w14:textId="77777777" w:rsidR="00E01070" w:rsidRDefault="00E01070" w:rsidP="00E01070">
      <w:pPr>
        <w:pStyle w:val="Odstavecseseznamem"/>
        <w:suppressAutoHyphens/>
        <w:spacing w:before="0" w:after="160"/>
        <w:ind w:left="0"/>
      </w:pPr>
    </w:p>
    <w:p w14:paraId="2E48D6F9" w14:textId="77777777" w:rsidR="00E01070" w:rsidRDefault="00E01070" w:rsidP="00E01070">
      <w:pPr>
        <w:pStyle w:val="Odstavecseseznamem"/>
        <w:suppressAutoHyphens/>
        <w:spacing w:before="0" w:after="160"/>
        <w:ind w:left="0"/>
        <w:jc w:val="left"/>
        <w:rPr>
          <w:b/>
        </w:rPr>
      </w:pPr>
      <w:r w:rsidRPr="00824037">
        <w:t>Problém:</w:t>
      </w:r>
      <w:r>
        <w:t xml:space="preserve"> </w:t>
      </w:r>
      <w:r>
        <w:rPr>
          <w:b/>
        </w:rPr>
        <w:t>NEDOSTATEČNÁ ŽELEZNIČNÍ DOPRAVA A DOPRAVNÍ TERMINÁLY</w:t>
      </w:r>
    </w:p>
    <w:p w14:paraId="3B6BE7C6" w14:textId="77777777" w:rsidR="00E01070" w:rsidRDefault="00E01070" w:rsidP="00E01070">
      <w:pPr>
        <w:pStyle w:val="Odstavecseseznamem"/>
        <w:suppressAutoHyphens/>
        <w:spacing w:before="0" w:after="160"/>
        <w:ind w:left="0"/>
        <w:jc w:val="left"/>
        <w:rPr>
          <w:b/>
        </w:rPr>
      </w:pPr>
    </w:p>
    <w:p w14:paraId="35A75E30" w14:textId="77777777" w:rsidR="00E01070" w:rsidRDefault="00E01070" w:rsidP="00E01070">
      <w:pPr>
        <w:pStyle w:val="Odstavecseseznamem"/>
        <w:suppressAutoHyphens/>
        <w:spacing w:before="0" w:after="160"/>
        <w:ind w:left="0"/>
        <w:jc w:val="left"/>
        <w:rPr>
          <w:b/>
        </w:rPr>
      </w:pPr>
      <w:r>
        <w:rPr>
          <w:noProof/>
          <w:lang w:eastAsia="cs-CZ"/>
        </w:rPr>
        <w:drawing>
          <wp:inline distT="0" distB="0" distL="0" distR="0" wp14:anchorId="7E0508F2" wp14:editId="22352C58">
            <wp:extent cx="5760720" cy="1419225"/>
            <wp:effectExtent l="0" t="0" r="0" b="9525"/>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760720" cy="1419225"/>
                    </a:xfrm>
                    <a:prstGeom prst="rect">
                      <a:avLst/>
                    </a:prstGeom>
                  </pic:spPr>
                </pic:pic>
              </a:graphicData>
            </a:graphic>
          </wp:inline>
        </w:drawing>
      </w:r>
    </w:p>
    <w:p w14:paraId="70D5274F" w14:textId="77777777" w:rsidR="00E01070" w:rsidRDefault="00E01070" w:rsidP="00E01070">
      <w:pPr>
        <w:keepNext/>
        <w:keepLines/>
      </w:pPr>
      <w:r>
        <w:t xml:space="preserve">Problém: </w:t>
      </w:r>
      <w:r w:rsidRPr="00F14A1D">
        <w:rPr>
          <w:b/>
        </w:rPr>
        <w:t>NEDOSTATEČNĚ ŘEŠENÉ PARKOVÁNÍ VE MĚSTĚ</w:t>
      </w:r>
    </w:p>
    <w:p w14:paraId="3C51F3AA" w14:textId="77777777" w:rsidR="00E01070" w:rsidRDefault="00E01070" w:rsidP="00E01070">
      <w:r>
        <w:rPr>
          <w:noProof/>
          <w:lang w:eastAsia="cs-CZ"/>
        </w:rPr>
        <w:drawing>
          <wp:inline distT="0" distB="0" distL="0" distR="0" wp14:anchorId="6CF2EC54" wp14:editId="3E6153D8">
            <wp:extent cx="5760720" cy="2330450"/>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760720" cy="2330450"/>
                    </a:xfrm>
                    <a:prstGeom prst="rect">
                      <a:avLst/>
                    </a:prstGeom>
                  </pic:spPr>
                </pic:pic>
              </a:graphicData>
            </a:graphic>
          </wp:inline>
        </w:drawing>
      </w:r>
    </w:p>
    <w:p w14:paraId="2EFDA53D" w14:textId="77777777" w:rsidR="00E01070" w:rsidRPr="00C408FA" w:rsidRDefault="00E01070" w:rsidP="00E01070">
      <w:pPr>
        <w:rPr>
          <w:b/>
        </w:rPr>
      </w:pPr>
      <w:r w:rsidRPr="003A3C6B">
        <w:t>Problémov</w:t>
      </w:r>
      <w:r>
        <w:t>á</w:t>
      </w:r>
      <w:r w:rsidRPr="003A3C6B">
        <w:t xml:space="preserve"> oblast:</w:t>
      </w:r>
      <w:r>
        <w:t xml:space="preserve"> </w:t>
      </w:r>
      <w:r w:rsidRPr="00C408FA">
        <w:rPr>
          <w:b/>
        </w:rPr>
        <w:t>BYTOVÝ FOND</w:t>
      </w:r>
    </w:p>
    <w:p w14:paraId="53B8DEE4" w14:textId="77777777" w:rsidR="00E01070" w:rsidRDefault="00E01070" w:rsidP="00E01070">
      <w:pPr>
        <w:rPr>
          <w:b/>
        </w:rPr>
      </w:pPr>
      <w:r>
        <w:t>Rozvoj bydlení je pro město Zlín hlavním tématem. Vzhledem ke kopcovitému reliéfu Zlína a jeho blízkému okolí a současné hustotě zástavby jsou možnosti nové bytové výstavby hromadného bydlení ve Zlíně omezené</w:t>
      </w:r>
      <w:r>
        <w:rPr>
          <w:b/>
        </w:rPr>
        <w:t xml:space="preserve">. </w:t>
      </w:r>
      <w:r>
        <w:t xml:space="preserve">Cena nemovitostí i nájmů bytů je ve srovnání s dalšími krajskými městy Česka spíše nadprůměrná. Roli na této skutečnosti může mít nedostatek nemovitostí na trhu a zvýšená poptávka. </w:t>
      </w:r>
      <w:r w:rsidRPr="00FB7A5B">
        <w:t>Stávaj</w:t>
      </w:r>
      <w:r>
        <w:t xml:space="preserve">ící byty jsou pro mladé rodiny </w:t>
      </w:r>
      <w:r w:rsidRPr="00FB7A5B">
        <w:t xml:space="preserve">drahé nebo jsou v nevyhovujícím </w:t>
      </w:r>
      <w:r>
        <w:t>technickém stavu, proto hledají bydlení v zázemí města a odchází za levnějším bydlením.</w:t>
      </w:r>
      <w:r w:rsidRPr="00FB7A5B">
        <w:t xml:space="preserve"> </w:t>
      </w:r>
    </w:p>
    <w:p w14:paraId="764BA079" w14:textId="77777777" w:rsidR="00E01070" w:rsidRDefault="00E01070" w:rsidP="00E01070">
      <w:pPr>
        <w:keepNext/>
        <w:keepLines/>
      </w:pPr>
      <w:r>
        <w:t xml:space="preserve">Problém: </w:t>
      </w:r>
      <w:r>
        <w:rPr>
          <w:b/>
        </w:rPr>
        <w:t>NEDOSTATEK DOSTUPNÝCH BYTŮ</w:t>
      </w:r>
    </w:p>
    <w:p w14:paraId="4E584561" w14:textId="77777777" w:rsidR="00E01070" w:rsidRDefault="00E01070" w:rsidP="00E01070">
      <w:pPr>
        <w:rPr>
          <w:b/>
        </w:rPr>
      </w:pPr>
      <w:r>
        <w:rPr>
          <w:noProof/>
          <w:lang w:eastAsia="cs-CZ"/>
        </w:rPr>
        <w:drawing>
          <wp:inline distT="0" distB="0" distL="0" distR="0" wp14:anchorId="36DA4CBA" wp14:editId="6FBE4B71">
            <wp:extent cx="5760720" cy="191008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60720" cy="1910080"/>
                    </a:xfrm>
                    <a:prstGeom prst="rect">
                      <a:avLst/>
                    </a:prstGeom>
                  </pic:spPr>
                </pic:pic>
              </a:graphicData>
            </a:graphic>
          </wp:inline>
        </w:drawing>
      </w:r>
    </w:p>
    <w:p w14:paraId="2B6A8B28" w14:textId="77777777" w:rsidR="00E01070" w:rsidRPr="00DC373F" w:rsidRDefault="00E01070" w:rsidP="00E01070">
      <w:pPr>
        <w:rPr>
          <w:b/>
        </w:rPr>
      </w:pPr>
      <w:r>
        <w:t xml:space="preserve">Problémová oblast: </w:t>
      </w:r>
      <w:r>
        <w:rPr>
          <w:b/>
        </w:rPr>
        <w:t>DEMOGRAFICKÝ VÝVOJ</w:t>
      </w:r>
    </w:p>
    <w:p w14:paraId="31694D1B" w14:textId="6374306C" w:rsidR="00E01070" w:rsidRPr="00DC373F" w:rsidRDefault="00E01070" w:rsidP="00E01070">
      <w:r>
        <w:t xml:space="preserve">Věkovou strukturu každé společnosti </w:t>
      </w:r>
      <w:r w:rsidRPr="001701F8">
        <w:t xml:space="preserve">ovlivňují tři komponenty: porodnost, úmrtnost a migrace. Ve Zlíně bude dále docházet k nárůstu počtu obyvatel ve věku 65+ a podíl ostatních věkových kategorií na celkové populaci města se bude snižovat.  Důvodem tohoto trendu ve městě je nízká </w:t>
      </w:r>
      <w:r>
        <w:t xml:space="preserve">porodnost </w:t>
      </w:r>
      <w:r w:rsidRPr="001701F8">
        <w:t>a také odliv obyvatel mimo město. Ekonomické důsledky</w:t>
      </w:r>
      <w:r w:rsidRPr="0070641F">
        <w:t xml:space="preserve"> tohoto trendu jsou zřejmé. Vznikne nedostatek pracovních sil, sníží se spotřeba a zpomalí se hospodářský růst.</w:t>
      </w:r>
      <w:r>
        <w:t xml:space="preserve"> </w:t>
      </w:r>
      <w:r w:rsidRPr="00C12DC1">
        <w:t>Stárnutí obyvatel pro město také znamená větší důraz na zajištění sociálních služeb</w:t>
      </w:r>
      <w:r>
        <w:t xml:space="preserve"> a zdravotní péče,</w:t>
      </w:r>
      <w:r w:rsidR="00442046">
        <w:t xml:space="preserve"> či</w:t>
      </w:r>
      <w:r>
        <w:t xml:space="preserve"> </w:t>
      </w:r>
      <w:r w:rsidRPr="004817DD">
        <w:t>řešení bydlení pro staré lidi</w:t>
      </w:r>
      <w:r>
        <w:t>.</w:t>
      </w:r>
      <w:r w:rsidRPr="00F14A1D">
        <w:t> </w:t>
      </w:r>
    </w:p>
    <w:p w14:paraId="2FBFDAE7" w14:textId="77777777" w:rsidR="00E01070" w:rsidRPr="00C368CB" w:rsidRDefault="00E01070" w:rsidP="00E01070">
      <w:pPr>
        <w:keepNext/>
        <w:keepLines/>
        <w:spacing w:after="120"/>
        <w:rPr>
          <w:b/>
        </w:rPr>
      </w:pPr>
      <w:r w:rsidRPr="00DC373F">
        <w:t>Problém:</w:t>
      </w:r>
      <w:r w:rsidRPr="00F14A1D">
        <w:t xml:space="preserve"> </w:t>
      </w:r>
      <w:r w:rsidRPr="00C368CB">
        <w:rPr>
          <w:b/>
        </w:rPr>
        <w:t>STÁRNUTÍ OBYVATEL</w:t>
      </w:r>
    </w:p>
    <w:p w14:paraId="6E3D9E71" w14:textId="77777777" w:rsidR="00E01070" w:rsidRPr="008468AB" w:rsidRDefault="00E01070" w:rsidP="00E01070">
      <w:pPr>
        <w:pStyle w:val="Odstavecseseznamem"/>
        <w:keepNext/>
        <w:suppressAutoHyphens/>
        <w:spacing w:before="0" w:after="160"/>
        <w:ind w:left="0"/>
      </w:pPr>
      <w:r>
        <w:rPr>
          <w:noProof/>
          <w:lang w:eastAsia="cs-CZ"/>
        </w:rPr>
        <w:drawing>
          <wp:inline distT="0" distB="0" distL="0" distR="0" wp14:anchorId="72612004" wp14:editId="13161DEF">
            <wp:extent cx="5760720" cy="2439035"/>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60720" cy="2439035"/>
                    </a:xfrm>
                    <a:prstGeom prst="rect">
                      <a:avLst/>
                    </a:prstGeom>
                  </pic:spPr>
                </pic:pic>
              </a:graphicData>
            </a:graphic>
          </wp:inline>
        </w:drawing>
      </w:r>
    </w:p>
    <w:p w14:paraId="4CF43CAD" w14:textId="77777777" w:rsidR="00E01070" w:rsidRDefault="00E01070" w:rsidP="00E01070">
      <w:pPr>
        <w:pStyle w:val="Odstavecseseznamem"/>
        <w:keepNext/>
        <w:suppressAutoHyphens/>
        <w:spacing w:before="0" w:after="160"/>
        <w:ind w:left="171"/>
        <w:jc w:val="left"/>
        <w:sectPr w:rsidR="00E01070" w:rsidSect="009C13FE">
          <w:headerReference w:type="default" r:id="rId295"/>
          <w:pgSz w:w="11906" w:h="16838"/>
          <w:pgMar w:top="1417" w:right="1417" w:bottom="1417" w:left="1417" w:header="708" w:footer="708" w:gutter="0"/>
          <w:cols w:space="708"/>
          <w:docGrid w:linePitch="360"/>
        </w:sectPr>
      </w:pPr>
    </w:p>
    <w:p w14:paraId="50C89AC7" w14:textId="3DE8D30C" w:rsidR="00E01070" w:rsidRDefault="00E01070" w:rsidP="00E01070">
      <w:pPr>
        <w:pStyle w:val="Titulek"/>
      </w:pPr>
      <w:bookmarkStart w:id="1147" w:name="_Toc54702831"/>
      <w:bookmarkStart w:id="1148" w:name="_Toc56179637"/>
      <w:bookmarkStart w:id="1149" w:name="_Toc77074979"/>
      <w:r>
        <w:t xml:space="preserve">Obrázek </w:t>
      </w:r>
      <w:r w:rsidR="00804AF3">
        <w:rPr>
          <w:noProof/>
        </w:rPr>
        <w:fldChar w:fldCharType="begin"/>
      </w:r>
      <w:r w:rsidR="00804AF3">
        <w:rPr>
          <w:noProof/>
        </w:rPr>
        <w:instrText xml:space="preserve"> STYLEREF 1 \s </w:instrText>
      </w:r>
      <w:r w:rsidR="00804AF3">
        <w:rPr>
          <w:noProof/>
        </w:rPr>
        <w:fldChar w:fldCharType="separate"/>
      </w:r>
      <w:r w:rsidR="00332A29">
        <w:rPr>
          <w:noProof/>
        </w:rPr>
        <w:t>4</w:t>
      </w:r>
      <w:r w:rsidR="00804AF3">
        <w:rPr>
          <w:noProof/>
        </w:rPr>
        <w:fldChar w:fldCharType="end"/>
      </w:r>
      <w:r w:rsidR="0096730F">
        <w:t>.</w:t>
      </w:r>
      <w:r w:rsidR="00804AF3">
        <w:rPr>
          <w:noProof/>
        </w:rPr>
        <w:fldChar w:fldCharType="begin"/>
      </w:r>
      <w:r w:rsidR="00804AF3">
        <w:rPr>
          <w:noProof/>
        </w:rPr>
        <w:instrText xml:space="preserve"> SEQ Obrázek \* ARABIC \s 1 </w:instrText>
      </w:r>
      <w:r w:rsidR="00804AF3">
        <w:rPr>
          <w:noProof/>
        </w:rPr>
        <w:fldChar w:fldCharType="separate"/>
      </w:r>
      <w:r w:rsidR="00332A29">
        <w:rPr>
          <w:noProof/>
        </w:rPr>
        <w:t>13</w:t>
      </w:r>
      <w:r w:rsidR="00804AF3">
        <w:rPr>
          <w:noProof/>
        </w:rPr>
        <w:fldChar w:fldCharType="end"/>
      </w:r>
      <w:r>
        <w:rPr>
          <w:noProof/>
        </w:rPr>
        <w:t>:</w:t>
      </w:r>
      <w:r>
        <w:t xml:space="preserve"> Strom problémů</w:t>
      </w:r>
      <w:bookmarkEnd w:id="1147"/>
      <w:bookmarkEnd w:id="1148"/>
      <w:bookmarkEnd w:id="1149"/>
    </w:p>
    <w:p w14:paraId="3AE6ADA5" w14:textId="77777777" w:rsidR="00E01070" w:rsidRPr="00D7410A" w:rsidRDefault="00E01070" w:rsidP="00E01070">
      <w:pPr>
        <w:rPr>
          <w:sz w:val="20"/>
          <w:szCs w:val="20"/>
        </w:rPr>
      </w:pPr>
      <w:r w:rsidRPr="00D7410A">
        <w:rPr>
          <w:noProof/>
          <w:sz w:val="20"/>
          <w:szCs w:val="20"/>
          <w:lang w:eastAsia="cs-CZ"/>
        </w:rPr>
        <mc:AlternateContent>
          <mc:Choice Requires="wps">
            <w:drawing>
              <wp:anchor distT="0" distB="0" distL="114300" distR="114300" simplePos="0" relativeHeight="251774976" behindDoc="0" locked="0" layoutInCell="1" allowOverlap="1" wp14:anchorId="528723A1" wp14:editId="256EAE1B">
                <wp:simplePos x="0" y="0"/>
                <wp:positionH relativeFrom="column">
                  <wp:posOffset>81280</wp:posOffset>
                </wp:positionH>
                <wp:positionV relativeFrom="paragraph">
                  <wp:posOffset>71755</wp:posOffset>
                </wp:positionV>
                <wp:extent cx="2159635" cy="666750"/>
                <wp:effectExtent l="0" t="0" r="12065" b="19050"/>
                <wp:wrapNone/>
                <wp:docPr id="230" name="Obdélník 63"/>
                <wp:cNvGraphicFramePr/>
                <a:graphic xmlns:a="http://schemas.openxmlformats.org/drawingml/2006/main">
                  <a:graphicData uri="http://schemas.microsoft.com/office/word/2010/wordprocessingShape">
                    <wps:wsp>
                      <wps:cNvSpPr/>
                      <wps:spPr>
                        <a:xfrm>
                          <a:off x="0" y="0"/>
                          <a:ext cx="2159635" cy="66675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CEAC39"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 xml:space="preserve">Nevyhovujícím způsobem odstavená vozidla, využívání </w:t>
                            </w:r>
                            <w:r w:rsidRPr="0024483E">
                              <w:rPr>
                                <w:rFonts w:asciiTheme="minorHAnsi" w:hAnsi="Calibri" w:cstheme="minorBidi"/>
                                <w:color w:val="00538E"/>
                                <w:kern w:val="24"/>
                                <w:sz w:val="18"/>
                                <w:szCs w:val="18"/>
                              </w:rPr>
                              <w:t xml:space="preserve">veřejných </w:t>
                            </w:r>
                            <w:r w:rsidRPr="00B10426">
                              <w:rPr>
                                <w:rFonts w:asciiTheme="minorHAnsi" w:hAnsi="Calibri" w:cstheme="minorBidi"/>
                                <w:color w:val="00538E"/>
                                <w:kern w:val="24"/>
                                <w:sz w:val="18"/>
                                <w:szCs w:val="18"/>
                              </w:rPr>
                              <w:t>prostor (vč. komunikací) kolem zpoplatněných oblastí v centru města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28723A1" id="Obdélník 63" o:spid="_x0000_s1042" style="position:absolute;left:0;text-align:left;margin-left:6.4pt;margin-top:5.65pt;width:170.05pt;height:5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" fillcolor="white [3212]" strokecolor="#00538e" strokeweight="1pt">
                <v:textbox>
                  <w:txbxContent>
                    <w:p w14:paraId="1FCEAC39"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 xml:space="preserve">Nevyhovujícím způsobem odstavená vozidla, využívání </w:t>
                      </w:r>
                      <w:r w:rsidRPr="0024483E">
                        <w:rPr>
                          <w:rFonts w:asciiTheme="minorHAnsi" w:hAnsi="Calibri" w:cstheme="minorBidi"/>
                          <w:color w:val="00538E"/>
                          <w:kern w:val="24"/>
                          <w:sz w:val="18"/>
                          <w:szCs w:val="18"/>
                        </w:rPr>
                        <w:t xml:space="preserve">veřejných </w:t>
                      </w:r>
                      <w:r w:rsidRPr="00B10426">
                        <w:rPr>
                          <w:rFonts w:asciiTheme="minorHAnsi" w:hAnsi="Calibri" w:cstheme="minorBidi"/>
                          <w:color w:val="00538E"/>
                          <w:kern w:val="24"/>
                          <w:sz w:val="18"/>
                          <w:szCs w:val="18"/>
                        </w:rPr>
                        <w:t>prostor (vč. komunikací) kolem zpoplatněných oblastí v centru města</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60640" behindDoc="0" locked="0" layoutInCell="1" allowOverlap="1" wp14:anchorId="221A1AC0" wp14:editId="5E810287">
                <wp:simplePos x="0" y="0"/>
                <wp:positionH relativeFrom="column">
                  <wp:posOffset>6853555</wp:posOffset>
                </wp:positionH>
                <wp:positionV relativeFrom="paragraph">
                  <wp:posOffset>3900805</wp:posOffset>
                </wp:positionV>
                <wp:extent cx="2159635" cy="504825"/>
                <wp:effectExtent l="0" t="0" r="12065" b="28575"/>
                <wp:wrapNone/>
                <wp:docPr id="231" name="Obdélník 23"/>
                <wp:cNvGraphicFramePr/>
                <a:graphic xmlns:a="http://schemas.openxmlformats.org/drawingml/2006/main">
                  <a:graphicData uri="http://schemas.microsoft.com/office/word/2010/wordprocessingShape">
                    <wps:wsp>
                      <wps:cNvSpPr/>
                      <wps:spPr>
                        <a:xfrm>
                          <a:off x="0" y="0"/>
                          <a:ext cx="2159635" cy="50482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1CEDD"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Nedostatek bydlení pro mladé rodiny s</w:t>
                            </w:r>
                            <w:r>
                              <w:rPr>
                                <w:rFonts w:asciiTheme="minorHAnsi" w:hAnsi="Calibri" w:cstheme="minorBidi"/>
                                <w:color w:val="000000" w:themeColor="text1"/>
                                <w:kern w:val="24"/>
                                <w:sz w:val="18"/>
                                <w:szCs w:val="18"/>
                              </w:rPr>
                              <w:t> </w:t>
                            </w:r>
                            <w:r w:rsidRPr="00B10426">
                              <w:rPr>
                                <w:rFonts w:asciiTheme="minorHAnsi" w:hAnsi="Calibri" w:cstheme="minorBidi"/>
                                <w:color w:val="000000" w:themeColor="text1"/>
                                <w:kern w:val="24"/>
                                <w:sz w:val="18"/>
                                <w:szCs w:val="18"/>
                              </w:rPr>
                              <w:t>dětmi, odliv obyvatel s dětmi do zázemí města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21A1AC0" id="Obdélník 23" o:spid="_x0000_s1043" style="position:absolute;left:0;text-align:left;margin-left:539.65pt;margin-top:307.15pt;width:170.05pt;height:39.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" fillcolor="white [3212]" strokecolor="#00538e" strokeweight="1pt">
                <v:textbox>
                  <w:txbxContent>
                    <w:p w14:paraId="56B1CEDD"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Nedostatek bydlení pro mladé rodiny s</w:t>
                      </w:r>
                      <w:r>
                        <w:rPr>
                          <w:rFonts w:asciiTheme="minorHAnsi" w:hAnsi="Calibri" w:cstheme="minorBidi"/>
                          <w:color w:val="000000" w:themeColor="text1"/>
                          <w:kern w:val="24"/>
                          <w:sz w:val="18"/>
                          <w:szCs w:val="18"/>
                        </w:rPr>
                        <w:t> </w:t>
                      </w:r>
                      <w:r w:rsidRPr="00B10426">
                        <w:rPr>
                          <w:rFonts w:asciiTheme="minorHAnsi" w:hAnsi="Calibri" w:cstheme="minorBidi"/>
                          <w:color w:val="000000" w:themeColor="text1"/>
                          <w:kern w:val="24"/>
                          <w:sz w:val="18"/>
                          <w:szCs w:val="18"/>
                        </w:rPr>
                        <w:t>dětmi, odliv obyvatel s dětmi do zázemí města</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61664" behindDoc="0" locked="0" layoutInCell="1" allowOverlap="1" wp14:anchorId="164AD986" wp14:editId="5087B369">
                <wp:simplePos x="0" y="0"/>
                <wp:positionH relativeFrom="column">
                  <wp:posOffset>6853555</wp:posOffset>
                </wp:positionH>
                <wp:positionV relativeFrom="paragraph">
                  <wp:posOffset>4453255</wp:posOffset>
                </wp:positionV>
                <wp:extent cx="2159635" cy="361950"/>
                <wp:effectExtent l="0" t="0" r="12065" b="19050"/>
                <wp:wrapNone/>
                <wp:docPr id="232" name="Obdélník 24"/>
                <wp:cNvGraphicFramePr/>
                <a:graphic xmlns:a="http://schemas.openxmlformats.org/drawingml/2006/main">
                  <a:graphicData uri="http://schemas.microsoft.com/office/word/2010/wordprocessingShape">
                    <wps:wsp>
                      <wps:cNvSpPr/>
                      <wps:spPr>
                        <a:xfrm>
                          <a:off x="0" y="0"/>
                          <a:ext cx="2159635" cy="36195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CB0C"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lang w:val="it-IT"/>
                              </w:rPr>
                              <w:t>Neatraktivita města pro mladé (odchází z</w:t>
                            </w:r>
                            <w:r>
                              <w:rPr>
                                <w:rFonts w:asciiTheme="minorHAnsi" w:hAnsi="Calibri" w:cstheme="minorBidi"/>
                                <w:color w:val="000000" w:themeColor="text1"/>
                                <w:kern w:val="24"/>
                                <w:sz w:val="18"/>
                                <w:szCs w:val="18"/>
                                <w:lang w:val="it-IT"/>
                              </w:rPr>
                              <w:t> </w:t>
                            </w:r>
                            <w:r w:rsidRPr="00B10426">
                              <w:rPr>
                                <w:rFonts w:asciiTheme="minorHAnsi" w:hAnsi="Calibri" w:cstheme="minorBidi"/>
                                <w:color w:val="000000" w:themeColor="text1"/>
                                <w:kern w:val="24"/>
                                <w:sz w:val="18"/>
                                <w:szCs w:val="18"/>
                                <w:lang w:val="it-IT"/>
                              </w:rPr>
                              <w:t>města)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64AD986" id="Obdélník 24" o:spid="_x0000_s1044" style="position:absolute;left:0;text-align:left;margin-left:539.65pt;margin-top:350.65pt;width:170.05pt;height:2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" fillcolor="white [3212]" strokecolor="#00538e" strokeweight="1pt">
                <v:textbox>
                  <w:txbxContent>
                    <w:p w14:paraId="7E59CB0C"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lang w:val="it-IT"/>
                        </w:rPr>
                        <w:t>Neatraktivita města pro mladé (odchází z</w:t>
                      </w:r>
                      <w:r>
                        <w:rPr>
                          <w:rFonts w:asciiTheme="minorHAnsi" w:hAnsi="Calibri" w:cstheme="minorBidi"/>
                          <w:color w:val="000000" w:themeColor="text1"/>
                          <w:kern w:val="24"/>
                          <w:sz w:val="18"/>
                          <w:szCs w:val="18"/>
                          <w:lang w:val="it-IT"/>
                        </w:rPr>
                        <w:t> </w:t>
                      </w:r>
                      <w:r w:rsidRPr="00B10426">
                        <w:rPr>
                          <w:rFonts w:asciiTheme="minorHAnsi" w:hAnsi="Calibri" w:cstheme="minorBidi"/>
                          <w:color w:val="000000" w:themeColor="text1"/>
                          <w:kern w:val="24"/>
                          <w:sz w:val="18"/>
                          <w:szCs w:val="18"/>
                          <w:lang w:val="it-IT"/>
                        </w:rPr>
                        <w:t>města)</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62688" behindDoc="0" locked="0" layoutInCell="1" allowOverlap="1" wp14:anchorId="00FA92CC" wp14:editId="27DE52CF">
                <wp:simplePos x="0" y="0"/>
                <wp:positionH relativeFrom="column">
                  <wp:posOffset>6863080</wp:posOffset>
                </wp:positionH>
                <wp:positionV relativeFrom="paragraph">
                  <wp:posOffset>4853305</wp:posOffset>
                </wp:positionV>
                <wp:extent cx="2159635" cy="238125"/>
                <wp:effectExtent l="0" t="0" r="12065" b="28575"/>
                <wp:wrapNone/>
                <wp:docPr id="234" name="Obdélník 25"/>
                <wp:cNvGraphicFramePr/>
                <a:graphic xmlns:a="http://schemas.openxmlformats.org/drawingml/2006/main">
                  <a:graphicData uri="http://schemas.microsoft.com/office/word/2010/wordprocessingShape">
                    <wps:wsp>
                      <wps:cNvSpPr/>
                      <wps:spPr>
                        <a:xfrm>
                          <a:off x="0" y="0"/>
                          <a:ext cx="2159635" cy="23812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9899"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 xml:space="preserve">Nízká porodnost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0FA92CC" id="Obdélník 25" o:spid="_x0000_s1045" style="position:absolute;left:0;text-align:left;margin-left:540.4pt;margin-top:382.15pt;width:170.05pt;height:18.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" fillcolor="white [3212]" strokecolor="#00538e" strokeweight="1pt">
                <v:textbox>
                  <w:txbxContent>
                    <w:p w14:paraId="55CF9899"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 xml:space="preserve">Nízká porodnost </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94432" behindDoc="0" locked="0" layoutInCell="1" allowOverlap="1" wp14:anchorId="171B999B" wp14:editId="18E09C73">
                <wp:simplePos x="0" y="0"/>
                <wp:positionH relativeFrom="column">
                  <wp:posOffset>7929880</wp:posOffset>
                </wp:positionH>
                <wp:positionV relativeFrom="paragraph">
                  <wp:posOffset>3592830</wp:posOffset>
                </wp:positionV>
                <wp:extent cx="0" cy="251460"/>
                <wp:effectExtent l="57150" t="38100" r="57150" b="15240"/>
                <wp:wrapNone/>
                <wp:docPr id="235" name="Přímá spojnice se šipkou 49"/>
                <wp:cNvGraphicFramePr/>
                <a:graphic xmlns:a="http://schemas.openxmlformats.org/drawingml/2006/main">
                  <a:graphicData uri="http://schemas.microsoft.com/office/word/2010/wordprocessingShape">
                    <wps:wsp>
                      <wps:cNvCnPr/>
                      <wps:spPr>
                        <a:xfrm flipV="1">
                          <a:off x="0" y="0"/>
                          <a:ext cx="0" cy="251460"/>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D0C10B" id="_x0000_t32" coordsize="21600,21600" o:spt="32" o:oned="t" path="m,l21600,21600e" filled="f">
                <v:path arrowok="t" fillok="f" o:connecttype="none"/>
                <o:lock v:ext="edit" shapetype="t"/>
              </v:shapetype>
              <v:shape id="Přímá spojnice se šipkou 49" o:spid="_x0000_s1026" type="#_x0000_t32" style="position:absolute;margin-left:624.4pt;margin-top:282.9pt;width:0;height:19.8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92384" behindDoc="0" locked="0" layoutInCell="1" allowOverlap="1" wp14:anchorId="7BDEAE65" wp14:editId="28D54D3E">
                <wp:simplePos x="0" y="0"/>
                <wp:positionH relativeFrom="column">
                  <wp:posOffset>4567555</wp:posOffset>
                </wp:positionH>
                <wp:positionV relativeFrom="paragraph">
                  <wp:posOffset>4500881</wp:posOffset>
                </wp:positionV>
                <wp:extent cx="2159635" cy="361950"/>
                <wp:effectExtent l="0" t="0" r="12065" b="19050"/>
                <wp:wrapNone/>
                <wp:docPr id="236" name="Obdélník 25"/>
                <wp:cNvGraphicFramePr/>
                <a:graphic xmlns:a="http://schemas.openxmlformats.org/drawingml/2006/main">
                  <a:graphicData uri="http://schemas.microsoft.com/office/word/2010/wordprocessingShape">
                    <wps:wsp>
                      <wps:cNvSpPr/>
                      <wps:spPr>
                        <a:xfrm>
                          <a:off x="0" y="0"/>
                          <a:ext cx="2159635" cy="36195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1E0E8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Nevyhovující technický stav městských bytů</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BDEAE65" id="_x0000_s1046" style="position:absolute;left:0;text-align:left;margin-left:359.65pt;margin-top:354.4pt;width:170.05pt;height:2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" fillcolor="white [3212]" strokecolor="#00538e" strokeweight="1pt">
                <v:textbox>
                  <w:txbxContent>
                    <w:p w14:paraId="181E0E8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Nevyhovující technický stav městských bytů</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91360" behindDoc="0" locked="0" layoutInCell="1" allowOverlap="1" wp14:anchorId="1A011F03" wp14:editId="380F879D">
                <wp:simplePos x="0" y="0"/>
                <wp:positionH relativeFrom="column">
                  <wp:posOffset>4558030</wp:posOffset>
                </wp:positionH>
                <wp:positionV relativeFrom="paragraph">
                  <wp:posOffset>4177031</wp:posOffset>
                </wp:positionV>
                <wp:extent cx="2159635" cy="266700"/>
                <wp:effectExtent l="0" t="0" r="12065" b="19050"/>
                <wp:wrapNone/>
                <wp:docPr id="238" name="Obdélník 24"/>
                <wp:cNvGraphicFramePr/>
                <a:graphic xmlns:a="http://schemas.openxmlformats.org/drawingml/2006/main">
                  <a:graphicData uri="http://schemas.microsoft.com/office/word/2010/wordprocessingShape">
                    <wps:wsp>
                      <wps:cNvSpPr/>
                      <wps:spPr>
                        <a:xfrm>
                          <a:off x="0" y="0"/>
                          <a:ext cx="2159635" cy="26670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149C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lang w:val="it-IT"/>
                              </w:rPr>
                              <w:t>Nižší intenzita výstavby bytů</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A011F03" id="_x0000_s1047" style="position:absolute;left:0;text-align:left;margin-left:358.9pt;margin-top:328.9pt;width:170.05pt;height:2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" fillcolor="white [3212]" strokecolor="#00538e" strokeweight="1pt">
                <v:textbox>
                  <w:txbxContent>
                    <w:p w14:paraId="542149C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lang w:val="it-IT"/>
                        </w:rPr>
                        <w:t>Nižší intenzita výstavby bytů</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90336" behindDoc="0" locked="0" layoutInCell="1" allowOverlap="1" wp14:anchorId="46D25D7D" wp14:editId="0F595AE1">
                <wp:simplePos x="0" y="0"/>
                <wp:positionH relativeFrom="column">
                  <wp:posOffset>4558030</wp:posOffset>
                </wp:positionH>
                <wp:positionV relativeFrom="paragraph">
                  <wp:posOffset>3900805</wp:posOffset>
                </wp:positionV>
                <wp:extent cx="2159635" cy="228600"/>
                <wp:effectExtent l="0" t="0" r="12065" b="19050"/>
                <wp:wrapNone/>
                <wp:docPr id="239" name="Obdélník 23"/>
                <wp:cNvGraphicFramePr/>
                <a:graphic xmlns:a="http://schemas.openxmlformats.org/drawingml/2006/main">
                  <a:graphicData uri="http://schemas.microsoft.com/office/word/2010/wordprocessingShape">
                    <wps:wsp>
                      <wps:cNvSpPr/>
                      <wps:spPr>
                        <a:xfrm>
                          <a:off x="0" y="0"/>
                          <a:ext cx="2159635" cy="22860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18629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Vysoké ceny bytů</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6D25D7D" id="_x0000_s1048" style="position:absolute;left:0;text-align:left;margin-left:358.9pt;margin-top:307.15pt;width:170.05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" fillcolor="white [3212]" strokecolor="#00538e" strokeweight="1pt">
                <v:textbox>
                  <w:txbxContent>
                    <w:p w14:paraId="1C18629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Vysoké ceny bytů</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93408" behindDoc="0" locked="0" layoutInCell="1" allowOverlap="1" wp14:anchorId="720034BD" wp14:editId="0CF4300C">
                <wp:simplePos x="0" y="0"/>
                <wp:positionH relativeFrom="column">
                  <wp:posOffset>5615305</wp:posOffset>
                </wp:positionH>
                <wp:positionV relativeFrom="paragraph">
                  <wp:posOffset>3596005</wp:posOffset>
                </wp:positionV>
                <wp:extent cx="0" cy="251460"/>
                <wp:effectExtent l="57150" t="38100" r="57150" b="15240"/>
                <wp:wrapNone/>
                <wp:docPr id="241" name="Přímá spojnice se šipkou 49"/>
                <wp:cNvGraphicFramePr/>
                <a:graphic xmlns:a="http://schemas.openxmlformats.org/drawingml/2006/main">
                  <a:graphicData uri="http://schemas.microsoft.com/office/word/2010/wordprocessingShape">
                    <wps:wsp>
                      <wps:cNvCnPr/>
                      <wps:spPr>
                        <a:xfrm flipV="1">
                          <a:off x="0" y="0"/>
                          <a:ext cx="0" cy="251460"/>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C9ACF0" id="Přímá spojnice se šipkou 49" o:spid="_x0000_s1026" type="#_x0000_t32" style="position:absolute;margin-left:442.15pt;margin-top:283.15pt;width:0;height:19.8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64736" behindDoc="0" locked="0" layoutInCell="1" allowOverlap="1" wp14:anchorId="0EE3F9BB" wp14:editId="5AF02557">
                <wp:simplePos x="0" y="0"/>
                <wp:positionH relativeFrom="column">
                  <wp:posOffset>3356610</wp:posOffset>
                </wp:positionH>
                <wp:positionV relativeFrom="paragraph">
                  <wp:posOffset>3598545</wp:posOffset>
                </wp:positionV>
                <wp:extent cx="0" cy="252000"/>
                <wp:effectExtent l="57150" t="38100" r="57150" b="15240"/>
                <wp:wrapNone/>
                <wp:docPr id="50" name="Přímá spojnice se šipkou 49"/>
                <wp:cNvGraphicFramePr/>
                <a:graphic xmlns:a="http://schemas.openxmlformats.org/drawingml/2006/main">
                  <a:graphicData uri="http://schemas.microsoft.com/office/word/2010/wordprocessingShape">
                    <wps:wsp>
                      <wps:cNvCnPr/>
                      <wps:spPr>
                        <a:xfrm flipV="1">
                          <a:off x="0" y="0"/>
                          <a:ext cx="0" cy="252000"/>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AD1E5D" id="Přímá spojnice se šipkou 49" o:spid="_x0000_s1026" type="#_x0000_t32" style="position:absolute;margin-left:264.3pt;margin-top:283.35pt;width:0;height:19.8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58592" behindDoc="0" locked="0" layoutInCell="1" allowOverlap="1" wp14:anchorId="49D57377" wp14:editId="1CBB758C">
                <wp:simplePos x="0" y="0"/>
                <wp:positionH relativeFrom="column">
                  <wp:posOffset>2291715</wp:posOffset>
                </wp:positionH>
                <wp:positionV relativeFrom="paragraph">
                  <wp:posOffset>4275455</wp:posOffset>
                </wp:positionV>
                <wp:extent cx="2159635" cy="352425"/>
                <wp:effectExtent l="0" t="0" r="12065" b="28575"/>
                <wp:wrapNone/>
                <wp:docPr id="242" name="Obdélník 21"/>
                <wp:cNvGraphicFramePr/>
                <a:graphic xmlns:a="http://schemas.openxmlformats.org/drawingml/2006/main">
                  <a:graphicData uri="http://schemas.microsoft.com/office/word/2010/wordprocessingShape">
                    <wps:wsp>
                      <wps:cNvSpPr/>
                      <wps:spPr>
                        <a:xfrm>
                          <a:off x="0" y="0"/>
                          <a:ext cx="2159635" cy="35242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E1AA"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 xml:space="preserve">Památkově chráněná značná část domovního a bytového fondu </w:t>
                            </w:r>
                          </w:p>
                        </w:txbxContent>
                      </wps:txbx>
                      <wps:bodyPr wrap="square" rtlCol="0" anchor="ctr"/>
                    </wps:wsp>
                  </a:graphicData>
                </a:graphic>
                <wp14:sizeRelH relativeFrom="margin">
                  <wp14:pctWidth>0</wp14:pctWidth>
                </wp14:sizeRelH>
              </wp:anchor>
            </w:drawing>
          </mc:Choice>
          <mc:Fallback>
            <w:pict>
              <v:rect w14:anchorId="49D57377" id="Obdélník 21" o:spid="_x0000_s1049" style="position:absolute;left:0;text-align:left;margin-left:180.45pt;margin-top:336.65pt;width:170.05pt;height:27.7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" fillcolor="white [3212]" strokecolor="#00538e" strokeweight="1pt">
                <v:textbox>
                  <w:txbxContent>
                    <w:p w14:paraId="6E8AE1AA"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 xml:space="preserve">Památkově chráněná značná část domovního a bytového fondu </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73952" behindDoc="0" locked="0" layoutInCell="1" allowOverlap="1" wp14:anchorId="5E99431D" wp14:editId="38B0A5C6">
                <wp:simplePos x="0" y="0"/>
                <wp:positionH relativeFrom="margin">
                  <wp:posOffset>0</wp:posOffset>
                </wp:positionH>
                <wp:positionV relativeFrom="paragraph">
                  <wp:posOffset>3862070</wp:posOffset>
                </wp:positionV>
                <wp:extent cx="2159635" cy="545465"/>
                <wp:effectExtent l="0" t="0" r="12065" b="26035"/>
                <wp:wrapNone/>
                <wp:docPr id="62" name="Obdélník 61"/>
                <wp:cNvGraphicFramePr/>
                <a:graphic xmlns:a="http://schemas.openxmlformats.org/drawingml/2006/main">
                  <a:graphicData uri="http://schemas.microsoft.com/office/word/2010/wordprocessingShape">
                    <wps:wsp>
                      <wps:cNvSpPr/>
                      <wps:spPr>
                        <a:xfrm>
                          <a:off x="0" y="0"/>
                          <a:ext cx="2159635" cy="54546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003A6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Dopravní chování obyvatel upřednostňující IAD</w:t>
                            </w:r>
                            <w:r>
                              <w:rPr>
                                <w:rFonts w:asciiTheme="minorHAnsi" w:hAnsi="Calibri" w:cstheme="minorBidi"/>
                                <w:color w:val="000000" w:themeColor="text1"/>
                                <w:kern w:val="24"/>
                                <w:sz w:val="18"/>
                                <w:szCs w:val="18"/>
                              </w:rPr>
                              <w:t>;</w:t>
                            </w:r>
                          </w:p>
                          <w:p w14:paraId="60CD872A"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Tranzitní nákladní doprava</w:t>
                            </w:r>
                          </w:p>
                        </w:txbxContent>
                      </wps:txbx>
                      <wps:bodyPr wrap="square" rtlCol="0" anchor="ctr"/>
                    </wps:wsp>
                  </a:graphicData>
                </a:graphic>
                <wp14:sizeRelH relativeFrom="margin">
                  <wp14:pctWidth>0</wp14:pctWidth>
                </wp14:sizeRelH>
              </wp:anchor>
            </w:drawing>
          </mc:Choice>
          <mc:Fallback>
            <w:pict>
              <v:rect w14:anchorId="5E99431D" id="Obdélník 61" o:spid="_x0000_s1050" style="position:absolute;left:0;text-align:left;margin-left:0;margin-top:304.1pt;width:170.05pt;height:42.95pt;z-index:251773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" fillcolor="white [3212]" strokecolor="#00538e" strokeweight="1pt">
                <v:textbox>
                  <w:txbxContent>
                    <w:p w14:paraId="61003A6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Dopravní chování obyvatel upřednostňující IAD</w:t>
                      </w:r>
                      <w:r>
                        <w:rPr>
                          <w:rFonts w:asciiTheme="minorHAnsi" w:hAnsi="Calibri" w:cstheme="minorBidi"/>
                          <w:color w:val="000000" w:themeColor="text1"/>
                          <w:kern w:val="24"/>
                          <w:sz w:val="18"/>
                          <w:szCs w:val="18"/>
                        </w:rPr>
                        <w:t>;</w:t>
                      </w:r>
                    </w:p>
                    <w:p w14:paraId="60CD872A"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Tranzitní nákladní doprava</w:t>
                      </w:r>
                    </w:p>
                  </w:txbxContent>
                </v:textbox>
                <w10:wrap anchorx="margin"/>
              </v:rect>
            </w:pict>
          </mc:Fallback>
        </mc:AlternateContent>
      </w:r>
      <w:r w:rsidRPr="00D7410A">
        <w:rPr>
          <w:noProof/>
          <w:sz w:val="20"/>
          <w:szCs w:val="20"/>
          <w:lang w:eastAsia="cs-CZ"/>
        </w:rPr>
        <mc:AlternateContent>
          <mc:Choice Requires="wps">
            <w:drawing>
              <wp:anchor distT="0" distB="0" distL="114300" distR="114300" simplePos="0" relativeHeight="251763712" behindDoc="0" locked="0" layoutInCell="1" allowOverlap="1" wp14:anchorId="6BD46888" wp14:editId="4EBB0DCF">
                <wp:simplePos x="0" y="0"/>
                <wp:positionH relativeFrom="column">
                  <wp:posOffset>1069975</wp:posOffset>
                </wp:positionH>
                <wp:positionV relativeFrom="paragraph">
                  <wp:posOffset>3566160</wp:posOffset>
                </wp:positionV>
                <wp:extent cx="0" cy="259080"/>
                <wp:effectExtent l="57150" t="38100" r="57150" b="7620"/>
                <wp:wrapNone/>
                <wp:docPr id="243" name="Přímá spojnice se šipkou 40"/>
                <wp:cNvGraphicFramePr/>
                <a:graphic xmlns:a="http://schemas.openxmlformats.org/drawingml/2006/main">
                  <a:graphicData uri="http://schemas.microsoft.com/office/word/2010/wordprocessingShape">
                    <wps:wsp>
                      <wps:cNvCnPr/>
                      <wps:spPr>
                        <a:xfrm flipV="1">
                          <a:off x="0" y="0"/>
                          <a:ext cx="0" cy="259080"/>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4CFCDEFB" id="Přímá spojnice se šipkou 40" o:spid="_x0000_s1026" type="#_x0000_t32" style="position:absolute;margin-left:84.25pt;margin-top:280.8pt;width:0;height:20.4pt;flip:y;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72928" behindDoc="0" locked="0" layoutInCell="1" allowOverlap="1" wp14:anchorId="790DA752" wp14:editId="1BD8EEED">
                <wp:simplePos x="0" y="0"/>
                <wp:positionH relativeFrom="margin">
                  <wp:align>left</wp:align>
                </wp:positionH>
                <wp:positionV relativeFrom="paragraph">
                  <wp:posOffset>4445000</wp:posOffset>
                </wp:positionV>
                <wp:extent cx="2160000" cy="628650"/>
                <wp:effectExtent l="0" t="0" r="12065" b="19050"/>
                <wp:wrapNone/>
                <wp:docPr id="244" name="Obdélník 60"/>
                <wp:cNvGraphicFramePr/>
                <a:graphic xmlns:a="http://schemas.openxmlformats.org/drawingml/2006/main">
                  <a:graphicData uri="http://schemas.microsoft.com/office/word/2010/wordprocessingShape">
                    <wps:wsp>
                      <wps:cNvSpPr/>
                      <wps:spPr>
                        <a:xfrm>
                          <a:off x="0" y="0"/>
                          <a:ext cx="2160000" cy="62865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738DD"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Nedostatečně rozvinutá cyklistická infrastruktura, špatný technický stav chodníků pro pěší, nevyhovující přechody pro chodce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90DA752" id="Obdélník 60" o:spid="_x0000_s1051" style="position:absolute;left:0;text-align:left;margin-left:0;margin-top:350pt;width:170.1pt;height:49.5pt;z-index:25177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" fillcolor="white [3212]" strokecolor="#00538e" strokeweight="1pt">
                <v:textbox>
                  <w:txbxContent>
                    <w:p w14:paraId="47C738DD"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Nedostatečně rozvinutá cyklistická infrastruktura, špatný technický stav chodníků pro pěší, nevyhovující přechody pro chodce</w:t>
                      </w:r>
                    </w:p>
                  </w:txbxContent>
                </v:textbox>
                <w10:wrap anchorx="margin"/>
              </v:rect>
            </w:pict>
          </mc:Fallback>
        </mc:AlternateContent>
      </w:r>
    </w:p>
    <w:p w14:paraId="3EA05541" w14:textId="77777777" w:rsidR="00E01070" w:rsidRDefault="00E01070" w:rsidP="00E01070">
      <w:pPr>
        <w:pStyle w:val="Titulek"/>
      </w:pPr>
      <w:r w:rsidRPr="00D7410A">
        <w:rPr>
          <w:noProof/>
          <w:sz w:val="20"/>
          <w:szCs w:val="20"/>
          <w:lang w:eastAsia="cs-CZ"/>
        </w:rPr>
        <mc:AlternateContent>
          <mc:Choice Requires="wps">
            <w:drawing>
              <wp:anchor distT="0" distB="0" distL="114300" distR="114300" simplePos="0" relativeHeight="251757568" behindDoc="0" locked="0" layoutInCell="1" allowOverlap="1" wp14:anchorId="6C52B091" wp14:editId="3B4CACE7">
                <wp:simplePos x="0" y="0"/>
                <wp:positionH relativeFrom="column">
                  <wp:posOffset>2291080</wp:posOffset>
                </wp:positionH>
                <wp:positionV relativeFrom="paragraph">
                  <wp:posOffset>4898390</wp:posOffset>
                </wp:positionV>
                <wp:extent cx="2159635" cy="485775"/>
                <wp:effectExtent l="0" t="0" r="12065" b="28575"/>
                <wp:wrapNone/>
                <wp:docPr id="245" name="Obdélník 20"/>
                <wp:cNvGraphicFramePr/>
                <a:graphic xmlns:a="http://schemas.openxmlformats.org/drawingml/2006/main">
                  <a:graphicData uri="http://schemas.microsoft.com/office/word/2010/wordprocessingShape">
                    <wps:wsp>
                      <wps:cNvSpPr/>
                      <wps:spPr>
                        <a:xfrm>
                          <a:off x="0" y="0"/>
                          <a:ext cx="2159635" cy="48577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DD519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Bariéry další územní expanze města způsobené fyzickogeografickými rysy území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C52B091" id="Obdélník 20" o:spid="_x0000_s1052" style="position:absolute;left:0;text-align:left;margin-left:180.4pt;margin-top:385.7pt;width:170.05pt;height:3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" fillcolor="white [3212]" strokecolor="#00538e" strokeweight="1pt">
                <v:textbox>
                  <w:txbxContent>
                    <w:p w14:paraId="40DD519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Bariéry další územní expanze města způsobené fyzickogeografickými rysy území</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85216" behindDoc="0" locked="0" layoutInCell="1" allowOverlap="1" wp14:anchorId="0791E812" wp14:editId="0380BF54">
                <wp:simplePos x="0" y="0"/>
                <wp:positionH relativeFrom="column">
                  <wp:posOffset>2291080</wp:posOffset>
                </wp:positionH>
                <wp:positionV relativeFrom="paragraph">
                  <wp:posOffset>4517391</wp:posOffset>
                </wp:positionV>
                <wp:extent cx="2159635" cy="342900"/>
                <wp:effectExtent l="0" t="0" r="12065" b="19050"/>
                <wp:wrapNone/>
                <wp:docPr id="47" name="Obdélník 46"/>
                <wp:cNvGraphicFramePr/>
                <a:graphic xmlns:a="http://schemas.openxmlformats.org/drawingml/2006/main">
                  <a:graphicData uri="http://schemas.microsoft.com/office/word/2010/wordprocessingShape">
                    <wps:wsp>
                      <wps:cNvSpPr/>
                      <wps:spPr>
                        <a:xfrm>
                          <a:off x="0" y="0"/>
                          <a:ext cx="2159635" cy="34290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12AB7"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dark1"/>
                                <w:kern w:val="24"/>
                                <w:sz w:val="18"/>
                                <w:szCs w:val="18"/>
                              </w:rPr>
                              <w:t>Zdlouhavý proces revitalizace Baťova areálu v centru měst</w:t>
                            </w:r>
                            <w:r>
                              <w:rPr>
                                <w:rFonts w:asciiTheme="minorHAnsi" w:hAnsi="Calibri" w:cstheme="minorBidi"/>
                                <w:color w:val="000000" w:themeColor="dark1"/>
                                <w:kern w:val="24"/>
                                <w:sz w:val="18"/>
                                <w:szCs w:val="18"/>
                              </w:rPr>
                              <w:t>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791E812" id="Obdélník 46" o:spid="_x0000_s1053" style="position:absolute;left:0;text-align:left;margin-left:180.4pt;margin-top:355.7pt;width:170.05pt;height:2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" fillcolor="white [3212]" strokecolor="#00538e" strokeweight="1pt">
                <v:textbox>
                  <w:txbxContent>
                    <w:p w14:paraId="05912AB7"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dark1"/>
                          <w:kern w:val="24"/>
                          <w:sz w:val="18"/>
                          <w:szCs w:val="18"/>
                        </w:rPr>
                        <w:t>Zdlouhavý proces revitalizace Baťova areálu v centru měst</w:t>
                      </w:r>
                      <w:r>
                        <w:rPr>
                          <w:rFonts w:asciiTheme="minorHAnsi" w:hAnsi="Calibri" w:cstheme="minorBidi"/>
                          <w:color w:val="000000" w:themeColor="dark1"/>
                          <w:kern w:val="24"/>
                          <w:sz w:val="18"/>
                          <w:szCs w:val="18"/>
                        </w:rPr>
                        <w:t>a</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59616" behindDoc="0" locked="0" layoutInCell="1" allowOverlap="1" wp14:anchorId="7D38A33F" wp14:editId="00DBAEC3">
                <wp:simplePos x="0" y="0"/>
                <wp:positionH relativeFrom="column">
                  <wp:posOffset>2291080</wp:posOffset>
                </wp:positionH>
                <wp:positionV relativeFrom="paragraph">
                  <wp:posOffset>3726815</wp:posOffset>
                </wp:positionV>
                <wp:extent cx="2159635" cy="361950"/>
                <wp:effectExtent l="0" t="0" r="12065" b="19050"/>
                <wp:wrapNone/>
                <wp:docPr id="246" name="Obdélník 22"/>
                <wp:cNvGraphicFramePr/>
                <a:graphic xmlns:a="http://schemas.openxmlformats.org/drawingml/2006/main">
                  <a:graphicData uri="http://schemas.microsoft.com/office/word/2010/wordprocessingShape">
                    <wps:wsp>
                      <wps:cNvSpPr/>
                      <wps:spPr>
                        <a:xfrm>
                          <a:off x="0" y="0"/>
                          <a:ext cx="2159635" cy="36195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05BD0"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Výšková regulace budoucí zástavby v</w:t>
                            </w:r>
                            <w:r>
                              <w:rPr>
                                <w:rFonts w:asciiTheme="minorHAnsi" w:hAnsi="Calibri" w:cstheme="minorBidi"/>
                                <w:color w:val="000000" w:themeColor="text1"/>
                                <w:kern w:val="24"/>
                                <w:sz w:val="18"/>
                                <w:szCs w:val="18"/>
                              </w:rPr>
                              <w:t> </w:t>
                            </w:r>
                            <w:r w:rsidRPr="00B10426">
                              <w:rPr>
                                <w:rFonts w:asciiTheme="minorHAnsi" w:hAnsi="Calibri" w:cstheme="minorBidi"/>
                                <w:color w:val="000000" w:themeColor="text1"/>
                                <w:kern w:val="24"/>
                                <w:sz w:val="18"/>
                                <w:szCs w:val="18"/>
                              </w:rPr>
                              <w:t xml:space="preserve">určitých lokalitách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D38A33F" id="Obdélník 22" o:spid="_x0000_s1054" style="position:absolute;left:0;text-align:left;margin-left:180.4pt;margin-top:293.45pt;width:170.05pt;height:2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" fillcolor="white [3212]" strokecolor="#00538e" strokeweight="1pt">
                <v:textbox>
                  <w:txbxContent>
                    <w:p w14:paraId="2D205BD0"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Výšková regulace budoucí zástavby v</w:t>
                      </w:r>
                      <w:r>
                        <w:rPr>
                          <w:rFonts w:asciiTheme="minorHAnsi" w:hAnsi="Calibri" w:cstheme="minorBidi"/>
                          <w:color w:val="000000" w:themeColor="text1"/>
                          <w:kern w:val="24"/>
                          <w:sz w:val="18"/>
                          <w:szCs w:val="18"/>
                        </w:rPr>
                        <w:t> </w:t>
                      </w:r>
                      <w:r w:rsidRPr="00B10426">
                        <w:rPr>
                          <w:rFonts w:asciiTheme="minorHAnsi" w:hAnsi="Calibri" w:cstheme="minorBidi"/>
                          <w:color w:val="000000" w:themeColor="text1"/>
                          <w:kern w:val="24"/>
                          <w:sz w:val="18"/>
                          <w:szCs w:val="18"/>
                        </w:rPr>
                        <w:t xml:space="preserve">určitých lokalitách </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70880" behindDoc="0" locked="0" layoutInCell="1" allowOverlap="1" wp14:anchorId="06CC2085" wp14:editId="60085233">
                <wp:simplePos x="0" y="0"/>
                <wp:positionH relativeFrom="margin">
                  <wp:posOffset>0</wp:posOffset>
                </wp:positionH>
                <wp:positionV relativeFrom="paragraph">
                  <wp:posOffset>5487035</wp:posOffset>
                </wp:positionV>
                <wp:extent cx="2159635" cy="514350"/>
                <wp:effectExtent l="0" t="0" r="12065" b="19050"/>
                <wp:wrapNone/>
                <wp:docPr id="247" name="Obdélník 58"/>
                <wp:cNvGraphicFramePr/>
                <a:graphic xmlns:a="http://schemas.openxmlformats.org/drawingml/2006/main">
                  <a:graphicData uri="http://schemas.microsoft.com/office/word/2010/wordprocessingShape">
                    <wps:wsp>
                      <wps:cNvSpPr/>
                      <wps:spPr>
                        <a:xfrm>
                          <a:off x="0" y="0"/>
                          <a:ext cx="2159635" cy="51435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6F104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Nedostatečné kapacity parkování ve městě, příliš vysoké poplatky za parkování ve městě</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6CC2085" id="Obdélník 58" o:spid="_x0000_s1055" style="position:absolute;left:0;text-align:left;margin-left:0;margin-top:432.05pt;width:170.05pt;height:40.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" fillcolor="white [3212]" strokecolor="#00538e" strokeweight="1pt">
                <v:textbox>
                  <w:txbxContent>
                    <w:p w14:paraId="4D6F104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Nedostatečné kapacity parkování ve městě, příliš vysoké poplatky za parkování ve městě</w:t>
                      </w:r>
                    </w:p>
                  </w:txbxContent>
                </v:textbox>
                <w10:wrap anchorx="margin"/>
              </v:rect>
            </w:pict>
          </mc:Fallback>
        </mc:AlternateContent>
      </w:r>
      <w:r w:rsidRPr="00D7410A">
        <w:rPr>
          <w:noProof/>
          <w:sz w:val="20"/>
          <w:szCs w:val="20"/>
          <w:lang w:eastAsia="cs-CZ"/>
        </w:rPr>
        <mc:AlternateContent>
          <mc:Choice Requires="wps">
            <w:drawing>
              <wp:anchor distT="0" distB="0" distL="114300" distR="114300" simplePos="0" relativeHeight="251771904" behindDoc="0" locked="0" layoutInCell="1" allowOverlap="1" wp14:anchorId="3A466999" wp14:editId="3A4DE681">
                <wp:simplePos x="0" y="0"/>
                <wp:positionH relativeFrom="margin">
                  <wp:posOffset>0</wp:posOffset>
                </wp:positionH>
                <wp:positionV relativeFrom="paragraph">
                  <wp:posOffset>4955540</wp:posOffset>
                </wp:positionV>
                <wp:extent cx="2159635" cy="495300"/>
                <wp:effectExtent l="0" t="0" r="12065" b="19050"/>
                <wp:wrapNone/>
                <wp:docPr id="60" name="Obdélník 59"/>
                <wp:cNvGraphicFramePr/>
                <a:graphic xmlns:a="http://schemas.openxmlformats.org/drawingml/2006/main">
                  <a:graphicData uri="http://schemas.microsoft.com/office/word/2010/wordprocessingShape">
                    <wps:wsp>
                      <wps:cNvSpPr/>
                      <wps:spPr>
                        <a:xfrm>
                          <a:off x="0" y="0"/>
                          <a:ext cx="2159635" cy="49530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06C34"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Nevyhovující stav železniční sítě a absence moderního dopravního terminálu železniční a autobusové dopravy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A466999" id="Obdélník 59" o:spid="_x0000_s1056" style="position:absolute;left:0;text-align:left;margin-left:0;margin-top:390.2pt;width:170.05pt;height:39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" fillcolor="white [3212]" strokecolor="#00538e" strokeweight="1pt">
                <v:textbox>
                  <w:txbxContent>
                    <w:p w14:paraId="38D06C34"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Nevyhovující stav železniční sítě a absence moderního dopravního terminálu železniční a autobusové dopravy</w:t>
                      </w:r>
                    </w:p>
                  </w:txbxContent>
                </v:textbox>
                <w10:wrap anchorx="margin"/>
              </v:rect>
            </w:pict>
          </mc:Fallback>
        </mc:AlternateContent>
      </w:r>
      <w:r w:rsidRPr="00D7410A">
        <w:rPr>
          <w:noProof/>
          <w:sz w:val="20"/>
          <w:szCs w:val="20"/>
          <w:lang w:eastAsia="cs-CZ"/>
        </w:rPr>
        <mc:AlternateContent>
          <mc:Choice Requires="wps">
            <w:drawing>
              <wp:anchor distT="0" distB="0" distL="114300" distR="114300" simplePos="0" relativeHeight="251781120" behindDoc="0" locked="0" layoutInCell="1" allowOverlap="1" wp14:anchorId="5990A71F" wp14:editId="1D683C50">
                <wp:simplePos x="0" y="0"/>
                <wp:positionH relativeFrom="column">
                  <wp:posOffset>6819900</wp:posOffset>
                </wp:positionH>
                <wp:positionV relativeFrom="paragraph">
                  <wp:posOffset>1873885</wp:posOffset>
                </wp:positionV>
                <wp:extent cx="2159635" cy="314325"/>
                <wp:effectExtent l="0" t="0" r="12065" b="28575"/>
                <wp:wrapNone/>
                <wp:docPr id="72" name="Obdélník 71"/>
                <wp:cNvGraphicFramePr/>
                <a:graphic xmlns:a="http://schemas.openxmlformats.org/drawingml/2006/main">
                  <a:graphicData uri="http://schemas.microsoft.com/office/word/2010/wordprocessingShape">
                    <wps:wsp>
                      <wps:cNvSpPr/>
                      <wps:spPr>
                        <a:xfrm>
                          <a:off x="0" y="0"/>
                          <a:ext cx="2159635" cy="31432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3DCC3"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pracovních sil</w:t>
                            </w:r>
                          </w:p>
                        </w:txbxContent>
                      </wps:txbx>
                      <wps:bodyPr wrap="square" rtlCol="0" anchor="ctr"/>
                    </wps:wsp>
                  </a:graphicData>
                </a:graphic>
                <wp14:sizeRelH relativeFrom="margin">
                  <wp14:pctWidth>0</wp14:pctWidth>
                </wp14:sizeRelH>
              </wp:anchor>
            </w:drawing>
          </mc:Choice>
          <mc:Fallback>
            <w:pict>
              <v:rect w14:anchorId="5990A71F" id="Obdélník 71" o:spid="_x0000_s1057" style="position:absolute;left:0;text-align:left;margin-left:537pt;margin-top:147.55pt;width:170.05pt;height:24.7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" fillcolor="white [3212]" strokecolor="#00538e" strokeweight="1pt">
                <v:textbox>
                  <w:txbxContent>
                    <w:p w14:paraId="2ED3DCC3"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pracovních sil</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79072" behindDoc="0" locked="0" layoutInCell="1" allowOverlap="1" wp14:anchorId="42DE79B1" wp14:editId="6BEF50B7">
                <wp:simplePos x="0" y="0"/>
                <wp:positionH relativeFrom="column">
                  <wp:posOffset>6815455</wp:posOffset>
                </wp:positionH>
                <wp:positionV relativeFrom="paragraph">
                  <wp:posOffset>1438910</wp:posOffset>
                </wp:positionV>
                <wp:extent cx="2159635" cy="389890"/>
                <wp:effectExtent l="0" t="0" r="12065" b="10160"/>
                <wp:wrapNone/>
                <wp:docPr id="68" name="Obdélník 67"/>
                <wp:cNvGraphicFramePr/>
                <a:graphic xmlns:a="http://schemas.openxmlformats.org/drawingml/2006/main">
                  <a:graphicData uri="http://schemas.microsoft.com/office/word/2010/wordprocessingShape">
                    <wps:wsp>
                      <wps:cNvSpPr/>
                      <wps:spPr>
                        <a:xfrm>
                          <a:off x="0" y="0"/>
                          <a:ext cx="2159635" cy="38989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C8DE77"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sociálních služeb a zdravotní péče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2DE79B1" id="Obdélník 67" o:spid="_x0000_s1058" style="position:absolute;left:0;text-align:left;margin-left:536.65pt;margin-top:113.3pt;width:170.05pt;height:30.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" fillcolor="white [3212]" strokecolor="#00538e" strokeweight="1pt">
                <v:textbox>
                  <w:txbxContent>
                    <w:p w14:paraId="10C8DE77"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sociálních služeb a zdravotní péče</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83168" behindDoc="0" locked="0" layoutInCell="1" allowOverlap="1" wp14:anchorId="56F87F61" wp14:editId="163B92AB">
                <wp:simplePos x="0" y="0"/>
                <wp:positionH relativeFrom="column">
                  <wp:posOffset>6807200</wp:posOffset>
                </wp:positionH>
                <wp:positionV relativeFrom="paragraph">
                  <wp:posOffset>988695</wp:posOffset>
                </wp:positionV>
                <wp:extent cx="2159635" cy="410845"/>
                <wp:effectExtent l="0" t="0" r="12065" b="27305"/>
                <wp:wrapNone/>
                <wp:docPr id="74" name="Obdélník 73"/>
                <wp:cNvGraphicFramePr/>
                <a:graphic xmlns:a="http://schemas.openxmlformats.org/drawingml/2006/main">
                  <a:graphicData uri="http://schemas.microsoft.com/office/word/2010/wordprocessingShape">
                    <wps:wsp>
                      <wps:cNvSpPr/>
                      <wps:spPr>
                        <a:xfrm>
                          <a:off x="0" y="0"/>
                          <a:ext cx="2159635" cy="41084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B227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Snížení spotřeby a zpomalení hospodářského růstu</w:t>
                            </w:r>
                          </w:p>
                        </w:txbxContent>
                      </wps:txbx>
                      <wps:bodyPr wrap="square" rtlCol="0" anchor="ctr"/>
                    </wps:wsp>
                  </a:graphicData>
                </a:graphic>
                <wp14:sizeRelH relativeFrom="margin">
                  <wp14:pctWidth>0</wp14:pctWidth>
                </wp14:sizeRelH>
              </wp:anchor>
            </w:drawing>
          </mc:Choice>
          <mc:Fallback>
            <w:pict>
              <v:rect w14:anchorId="56F87F61" id="Obdélník 73" o:spid="_x0000_s1059" style="position:absolute;left:0;text-align:left;margin-left:536pt;margin-top:77.85pt;width:170.05pt;height:32.3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" fillcolor="white [3212]" strokecolor="#00538e" strokeweight="1pt">
                <v:textbox>
                  <w:txbxContent>
                    <w:p w14:paraId="050B227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Snížení spotřeby a zpomalení hospodářského růstu</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84192" behindDoc="0" locked="0" layoutInCell="1" allowOverlap="1" wp14:anchorId="06766937" wp14:editId="07AF1436">
                <wp:simplePos x="0" y="0"/>
                <wp:positionH relativeFrom="column">
                  <wp:posOffset>6805930</wp:posOffset>
                </wp:positionH>
                <wp:positionV relativeFrom="paragraph">
                  <wp:posOffset>669290</wp:posOffset>
                </wp:positionV>
                <wp:extent cx="2159635" cy="266700"/>
                <wp:effectExtent l="0" t="0" r="12065" b="19050"/>
                <wp:wrapNone/>
                <wp:docPr id="248" name="Obdélník 74"/>
                <wp:cNvGraphicFramePr/>
                <a:graphic xmlns:a="http://schemas.openxmlformats.org/drawingml/2006/main">
                  <a:graphicData uri="http://schemas.microsoft.com/office/word/2010/wordprocessingShape">
                    <wps:wsp>
                      <wps:cNvSpPr/>
                      <wps:spPr>
                        <a:xfrm>
                          <a:off x="0" y="0"/>
                          <a:ext cx="2159635" cy="26670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371C82"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 xml:space="preserve">Nedostatek bydlení pro staré lidi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6766937" id="Obdélník 74" o:spid="_x0000_s1060" style="position:absolute;left:0;text-align:left;margin-left:535.9pt;margin-top:52.7pt;width:170.05pt;height:2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" fillcolor="white [3212]" strokecolor="#00538e" strokeweight="1pt">
                <v:textbox>
                  <w:txbxContent>
                    <w:p w14:paraId="17371C82"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 xml:space="preserve">Nedostatek bydlení pro staré lidi </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99552" behindDoc="0" locked="0" layoutInCell="1" allowOverlap="1" wp14:anchorId="62A71C0E" wp14:editId="3FEC2704">
                <wp:simplePos x="0" y="0"/>
                <wp:positionH relativeFrom="column">
                  <wp:posOffset>4309110</wp:posOffset>
                </wp:positionH>
                <wp:positionV relativeFrom="paragraph">
                  <wp:posOffset>1205230</wp:posOffset>
                </wp:positionV>
                <wp:extent cx="297180" cy="711835"/>
                <wp:effectExtent l="0" t="19050" r="45720" b="107315"/>
                <wp:wrapNone/>
                <wp:docPr id="249" name="Pravoúhlá spojnice 249"/>
                <wp:cNvGraphicFramePr/>
                <a:graphic xmlns:a="http://schemas.openxmlformats.org/drawingml/2006/main">
                  <a:graphicData uri="http://schemas.microsoft.com/office/word/2010/wordprocessingShape">
                    <wps:wsp>
                      <wps:cNvCnPr/>
                      <wps:spPr>
                        <a:xfrm>
                          <a:off x="0" y="0"/>
                          <a:ext cx="297180" cy="711835"/>
                        </a:xfrm>
                        <a:prstGeom prst="bentConnector3">
                          <a:avLst/>
                        </a:prstGeom>
                        <a:ln w="28575">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2CB904" id="_x0000_t34" coordsize="21600,21600" o:spt="34" o:oned="t" adj="10800" path="m,l@0,0@0,21600,21600,21600e" filled="f">
                <v:stroke joinstyle="miter"/>
                <v:formulas>
                  <v:f eqn="val #0"/>
                </v:formulas>
                <v:path arrowok="t" fillok="f" o:connecttype="none"/>
                <v:handles>
                  <v:h position="#0,center"/>
                </v:handles>
                <o:lock v:ext="edit" shapetype="t"/>
              </v:shapetype>
              <v:shape id="Pravoúhlá spojnice 249" o:spid="_x0000_s1026" type="#_x0000_t34" style="position:absolute;margin-left:339.3pt;margin-top:94.9pt;width:23.4pt;height:56.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" strokecolor="#a5a5a5 [3206]" strokeweight="2.25pt">
                <v:stroke endarrow="block"/>
              </v:shape>
            </w:pict>
          </mc:Fallback>
        </mc:AlternateContent>
      </w:r>
      <w:r w:rsidRPr="00D7410A">
        <w:rPr>
          <w:noProof/>
          <w:sz w:val="20"/>
          <w:szCs w:val="20"/>
          <w:lang w:eastAsia="cs-CZ"/>
        </w:rPr>
        <mc:AlternateContent>
          <mc:Choice Requires="wps">
            <w:drawing>
              <wp:anchor distT="0" distB="0" distL="114300" distR="114300" simplePos="0" relativeHeight="251798528" behindDoc="0" locked="0" layoutInCell="1" allowOverlap="1" wp14:anchorId="61A1ADCD" wp14:editId="12957A27">
                <wp:simplePos x="0" y="0"/>
                <wp:positionH relativeFrom="column">
                  <wp:posOffset>4298950</wp:posOffset>
                </wp:positionH>
                <wp:positionV relativeFrom="paragraph">
                  <wp:posOffset>1088390</wp:posOffset>
                </wp:positionV>
                <wp:extent cx="318770" cy="523240"/>
                <wp:effectExtent l="0" t="19050" r="43180" b="105410"/>
                <wp:wrapNone/>
                <wp:docPr id="36" name="Pravoúhlá spojnice 36"/>
                <wp:cNvGraphicFramePr/>
                <a:graphic xmlns:a="http://schemas.openxmlformats.org/drawingml/2006/main">
                  <a:graphicData uri="http://schemas.microsoft.com/office/word/2010/wordprocessingShape">
                    <wps:wsp>
                      <wps:cNvCnPr/>
                      <wps:spPr>
                        <a:xfrm>
                          <a:off x="0" y="0"/>
                          <a:ext cx="318770" cy="523240"/>
                        </a:xfrm>
                        <a:prstGeom prst="bentConnector3">
                          <a:avLst/>
                        </a:prstGeom>
                        <a:ln w="28575">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shape w14:anchorId="688E90F1" id="Pravoúhlá spojnice 36" o:spid="_x0000_s1026" type="#_x0000_t34" style="position:absolute;margin-left:338.5pt;margin-top:85.7pt;width:25.1pt;height:41.2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" strokecolor="#a5a5a5 [3206]" strokeweight="2.25pt">
                <v:stroke endarrow="block"/>
              </v:shape>
            </w:pict>
          </mc:Fallback>
        </mc:AlternateContent>
      </w:r>
      <w:r w:rsidRPr="00D7410A">
        <w:rPr>
          <w:noProof/>
          <w:sz w:val="20"/>
          <w:szCs w:val="20"/>
          <w:lang w:eastAsia="cs-CZ"/>
        </w:rPr>
        <mc:AlternateContent>
          <mc:Choice Requires="wps">
            <w:drawing>
              <wp:anchor distT="0" distB="0" distL="114300" distR="114300" simplePos="0" relativeHeight="251800576" behindDoc="0" locked="0" layoutInCell="1" allowOverlap="1" wp14:anchorId="0B7BD422" wp14:editId="2885C50A">
                <wp:simplePos x="0" y="0"/>
                <wp:positionH relativeFrom="column">
                  <wp:posOffset>4298950</wp:posOffset>
                </wp:positionH>
                <wp:positionV relativeFrom="paragraph">
                  <wp:posOffset>1588135</wp:posOffset>
                </wp:positionV>
                <wp:extent cx="318135" cy="520700"/>
                <wp:effectExtent l="0" t="19050" r="43815" b="107950"/>
                <wp:wrapNone/>
                <wp:docPr id="250" name="Pravoúhlá spojnice 250"/>
                <wp:cNvGraphicFramePr/>
                <a:graphic xmlns:a="http://schemas.openxmlformats.org/drawingml/2006/main">
                  <a:graphicData uri="http://schemas.microsoft.com/office/word/2010/wordprocessingShape">
                    <wps:wsp>
                      <wps:cNvCnPr/>
                      <wps:spPr>
                        <a:xfrm>
                          <a:off x="0" y="0"/>
                          <a:ext cx="318135" cy="520700"/>
                        </a:xfrm>
                        <a:prstGeom prst="bentConnector3">
                          <a:avLst/>
                        </a:prstGeom>
                        <a:ln w="28575">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48500D" id="Pravoúhlá spojnice 250" o:spid="_x0000_s1026" type="#_x0000_t34" style="position:absolute;margin-left:338.5pt;margin-top:125.05pt;width:25.05pt;height:4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" strokecolor="#a5a5a5 [3206]" strokeweight="2.25pt">
                <v:stroke endarrow="block"/>
              </v:shape>
            </w:pict>
          </mc:Fallback>
        </mc:AlternateContent>
      </w:r>
      <w:r w:rsidRPr="00D7410A">
        <w:rPr>
          <w:noProof/>
          <w:sz w:val="20"/>
          <w:szCs w:val="20"/>
          <w:lang w:eastAsia="cs-CZ"/>
        </w:rPr>
        <mc:AlternateContent>
          <mc:Choice Requires="wps">
            <w:drawing>
              <wp:anchor distT="0" distB="0" distL="114300" distR="114300" simplePos="0" relativeHeight="251788288" behindDoc="0" locked="0" layoutInCell="1" allowOverlap="1" wp14:anchorId="2EE4DC50" wp14:editId="1CE4AE13">
                <wp:simplePos x="0" y="0"/>
                <wp:positionH relativeFrom="column">
                  <wp:posOffset>4632325</wp:posOffset>
                </wp:positionH>
                <wp:positionV relativeFrom="paragraph">
                  <wp:posOffset>1343660</wp:posOffset>
                </wp:positionV>
                <wp:extent cx="2051685" cy="426720"/>
                <wp:effectExtent l="0" t="0" r="24765" b="11430"/>
                <wp:wrapNone/>
                <wp:docPr id="251" name="Obdélník 72"/>
                <wp:cNvGraphicFramePr/>
                <a:graphic xmlns:a="http://schemas.openxmlformats.org/drawingml/2006/main">
                  <a:graphicData uri="http://schemas.microsoft.com/office/word/2010/wordprocessingShape">
                    <wps:wsp>
                      <wps:cNvSpPr/>
                      <wps:spPr>
                        <a:xfrm>
                          <a:off x="0" y="0"/>
                          <a:ext cx="2051685" cy="42672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4D6DC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Odchod mladých rodin za levnějším bydlením</w:t>
                            </w:r>
                          </w:p>
                        </w:txbxContent>
                      </wps:txbx>
                      <wps:bodyPr wrap="square" rtlCol="0" anchor="ctr"/>
                    </wps:wsp>
                  </a:graphicData>
                </a:graphic>
                <wp14:sizeRelH relativeFrom="margin">
                  <wp14:pctWidth>0</wp14:pctWidth>
                </wp14:sizeRelH>
              </wp:anchor>
            </w:drawing>
          </mc:Choice>
          <mc:Fallback>
            <w:pict>
              <v:rect w14:anchorId="2EE4DC50" id="Obdélník 72" o:spid="_x0000_s1061" style="position:absolute;left:0;text-align:left;margin-left:364.75pt;margin-top:105.8pt;width:161.55pt;height:33.6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" fillcolor="white [3212]" strokecolor="#00538e" strokeweight="1pt">
                <v:textbox>
                  <w:txbxContent>
                    <w:p w14:paraId="384D6DC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Odchod mladých rodin za levnějším bydlením</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87264" behindDoc="0" locked="0" layoutInCell="1" allowOverlap="1" wp14:anchorId="0BF6CD8C" wp14:editId="163821A5">
                <wp:simplePos x="0" y="0"/>
                <wp:positionH relativeFrom="column">
                  <wp:posOffset>4632325</wp:posOffset>
                </wp:positionH>
                <wp:positionV relativeFrom="paragraph">
                  <wp:posOffset>1805940</wp:posOffset>
                </wp:positionV>
                <wp:extent cx="2051685" cy="376555"/>
                <wp:effectExtent l="0" t="0" r="24765" b="23495"/>
                <wp:wrapNone/>
                <wp:docPr id="252" name="Obdélník 65"/>
                <wp:cNvGraphicFramePr/>
                <a:graphic xmlns:a="http://schemas.openxmlformats.org/drawingml/2006/main">
                  <a:graphicData uri="http://schemas.microsoft.com/office/word/2010/wordprocessingShape">
                    <wps:wsp>
                      <wps:cNvSpPr/>
                      <wps:spPr>
                        <a:xfrm>
                          <a:off x="0" y="0"/>
                          <a:ext cx="2051685" cy="37655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A7C1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Odchod lidí do zázemí města</w:t>
                            </w:r>
                          </w:p>
                        </w:txbxContent>
                      </wps:txbx>
                      <wps:bodyPr wrap="square" rtlCol="0" anchor="ctr"/>
                    </wps:wsp>
                  </a:graphicData>
                </a:graphic>
                <wp14:sizeRelH relativeFrom="margin">
                  <wp14:pctWidth>0</wp14:pctWidth>
                </wp14:sizeRelH>
              </wp:anchor>
            </w:drawing>
          </mc:Choice>
          <mc:Fallback>
            <w:pict>
              <v:rect w14:anchorId="0BF6CD8C" id="Obdélník 65" o:spid="_x0000_s1062" style="position:absolute;left:0;text-align:left;margin-left:364.75pt;margin-top:142.2pt;width:161.55pt;height:29.6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" fillcolor="white [3212]" strokecolor="#00538e" strokeweight="1pt">
                <v:textbox>
                  <w:txbxContent>
                    <w:p w14:paraId="0D7A7C1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Odchod lidí do zázemí města</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82144" behindDoc="0" locked="0" layoutInCell="1" allowOverlap="1" wp14:anchorId="026F69BF" wp14:editId="07387DB6">
                <wp:simplePos x="0" y="0"/>
                <wp:positionH relativeFrom="column">
                  <wp:posOffset>2333625</wp:posOffset>
                </wp:positionH>
                <wp:positionV relativeFrom="paragraph">
                  <wp:posOffset>945515</wp:posOffset>
                </wp:positionV>
                <wp:extent cx="1943735" cy="426720"/>
                <wp:effectExtent l="0" t="0" r="18415" b="11430"/>
                <wp:wrapNone/>
                <wp:docPr id="73" name="Obdélník 72"/>
                <wp:cNvGraphicFramePr/>
                <a:graphic xmlns:a="http://schemas.openxmlformats.org/drawingml/2006/main">
                  <a:graphicData uri="http://schemas.microsoft.com/office/word/2010/wordprocessingShape">
                    <wps:wsp>
                      <wps:cNvSpPr/>
                      <wps:spPr>
                        <a:xfrm>
                          <a:off x="0" y="0"/>
                          <a:ext cx="1943735" cy="42672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72253"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Omezená možnost budování objektů hromadného bydlení</w:t>
                            </w:r>
                          </w:p>
                        </w:txbxContent>
                      </wps:txbx>
                      <wps:bodyPr wrap="square" rtlCol="0" anchor="ctr"/>
                    </wps:wsp>
                  </a:graphicData>
                </a:graphic>
                <wp14:sizeRelH relativeFrom="margin">
                  <wp14:pctWidth>0</wp14:pctWidth>
                </wp14:sizeRelH>
              </wp:anchor>
            </w:drawing>
          </mc:Choice>
          <mc:Fallback>
            <w:pict>
              <v:rect w14:anchorId="026F69BF" id="_x0000_s1063" style="position:absolute;left:0;text-align:left;margin-left:183.75pt;margin-top:74.45pt;width:153.05pt;height:33.6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" fillcolor="white [3212]" strokecolor="#00538e" strokeweight="1pt">
                <v:textbox>
                  <w:txbxContent>
                    <w:p w14:paraId="2EF72253"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Omezená možnost budování objektů hromadného bydlení</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78048" behindDoc="0" locked="0" layoutInCell="1" allowOverlap="1" wp14:anchorId="1D3B60E0" wp14:editId="0A002CDD">
                <wp:simplePos x="0" y="0"/>
                <wp:positionH relativeFrom="column">
                  <wp:posOffset>2333625</wp:posOffset>
                </wp:positionH>
                <wp:positionV relativeFrom="paragraph">
                  <wp:posOffset>1825625</wp:posOffset>
                </wp:positionV>
                <wp:extent cx="1943735" cy="387350"/>
                <wp:effectExtent l="0" t="0" r="18415" b="12700"/>
                <wp:wrapNone/>
                <wp:docPr id="67" name="Obdélník 66"/>
                <wp:cNvGraphicFramePr/>
                <a:graphic xmlns:a="http://schemas.openxmlformats.org/drawingml/2006/main">
                  <a:graphicData uri="http://schemas.microsoft.com/office/word/2010/wordprocessingShape">
                    <wps:wsp>
                      <wps:cNvSpPr/>
                      <wps:spPr>
                        <a:xfrm>
                          <a:off x="0" y="0"/>
                          <a:ext cx="1943735" cy="38735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EC84D2"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ploch pro podnikání</w:t>
                            </w:r>
                          </w:p>
                        </w:txbxContent>
                      </wps:txbx>
                      <wps:bodyPr wrap="square" rtlCol="0" anchor="ctr"/>
                    </wps:wsp>
                  </a:graphicData>
                </a:graphic>
                <wp14:sizeRelH relativeFrom="margin">
                  <wp14:pctWidth>0</wp14:pctWidth>
                </wp14:sizeRelH>
              </wp:anchor>
            </w:drawing>
          </mc:Choice>
          <mc:Fallback>
            <w:pict>
              <v:rect w14:anchorId="1D3B60E0" id="Obdélník 66" o:spid="_x0000_s1064" style="position:absolute;left:0;text-align:left;margin-left:183.75pt;margin-top:143.75pt;width:153.05pt;height:30.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" fillcolor="white [3212]" strokecolor="#00538e" strokeweight="1pt">
                <v:textbox>
                  <w:txbxContent>
                    <w:p w14:paraId="59EC84D2"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ploch pro podnikání</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77024" behindDoc="0" locked="0" layoutInCell="1" allowOverlap="1" wp14:anchorId="43C5C70E" wp14:editId="15723F17">
                <wp:simplePos x="0" y="0"/>
                <wp:positionH relativeFrom="column">
                  <wp:posOffset>2333625</wp:posOffset>
                </wp:positionH>
                <wp:positionV relativeFrom="paragraph">
                  <wp:posOffset>1407795</wp:posOffset>
                </wp:positionV>
                <wp:extent cx="1943735" cy="376555"/>
                <wp:effectExtent l="0" t="0" r="18415" b="23495"/>
                <wp:wrapNone/>
                <wp:docPr id="253" name="Obdélník 65"/>
                <wp:cNvGraphicFramePr/>
                <a:graphic xmlns:a="http://schemas.openxmlformats.org/drawingml/2006/main">
                  <a:graphicData uri="http://schemas.microsoft.com/office/word/2010/wordprocessingShape">
                    <wps:wsp>
                      <wps:cNvSpPr/>
                      <wps:spPr>
                        <a:xfrm>
                          <a:off x="0" y="0"/>
                          <a:ext cx="1943735" cy="37655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04EBE"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ploch pro bydlení</w:t>
                            </w:r>
                          </w:p>
                        </w:txbxContent>
                      </wps:txbx>
                      <wps:bodyPr wrap="square" rtlCol="0" anchor="ctr"/>
                    </wps:wsp>
                  </a:graphicData>
                </a:graphic>
                <wp14:sizeRelH relativeFrom="margin">
                  <wp14:pctWidth>0</wp14:pctWidth>
                </wp14:sizeRelH>
              </wp:anchor>
            </w:drawing>
          </mc:Choice>
          <mc:Fallback>
            <w:pict>
              <v:rect w14:anchorId="43C5C70E" id="_x0000_s1065" style="position:absolute;left:0;text-align:left;margin-left:183.75pt;margin-top:110.85pt;width:153.05pt;height:29.6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" fillcolor="white [3212]" strokecolor="#00538e" strokeweight="1pt">
                <v:textbox>
                  <w:txbxContent>
                    <w:p w14:paraId="61B04EBE"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Nedostatek ploch pro bydlení</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69856" behindDoc="0" locked="0" layoutInCell="1" allowOverlap="1" wp14:anchorId="5AEB0CCD" wp14:editId="0656FE33">
                <wp:simplePos x="0" y="0"/>
                <wp:positionH relativeFrom="column">
                  <wp:posOffset>81280</wp:posOffset>
                </wp:positionH>
                <wp:positionV relativeFrom="paragraph">
                  <wp:posOffset>1574165</wp:posOffset>
                </wp:positionV>
                <wp:extent cx="2159635" cy="638175"/>
                <wp:effectExtent l="0" t="0" r="12065" b="28575"/>
                <wp:wrapNone/>
                <wp:docPr id="56" name="Obdélník 42"/>
                <wp:cNvGraphicFramePr/>
                <a:graphic xmlns:a="http://schemas.openxmlformats.org/drawingml/2006/main">
                  <a:graphicData uri="http://schemas.microsoft.com/office/word/2010/wordprocessingShape">
                    <wps:wsp>
                      <wps:cNvSpPr/>
                      <wps:spPr>
                        <a:xfrm>
                          <a:off x="0" y="0"/>
                          <a:ext cx="2159635" cy="638175"/>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9C2CA"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Přetížení silniční sítě a vysoké prostorové nároky dopravy v klidu, rostoucí trend počtu dopravních nehod, zvýšená hlukovost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AEB0CCD" id="Obdélník 42" o:spid="_x0000_s1066" style="position:absolute;left:0;text-align:left;margin-left:6.4pt;margin-top:123.95pt;width:170.05pt;height:50.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" fillcolor="white [3212]" strokecolor="#00538e" strokeweight="1pt">
                <v:textbox>
                  <w:txbxContent>
                    <w:p w14:paraId="43C9C2CA"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Přetížení silniční sítě a vysoké prostorové nároky dopravy v klidu, rostoucí trend počtu dopravních nehod, zvýšená hlukovost</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76000" behindDoc="0" locked="0" layoutInCell="1" allowOverlap="1" wp14:anchorId="5262A951" wp14:editId="2E066A82">
                <wp:simplePos x="0" y="0"/>
                <wp:positionH relativeFrom="column">
                  <wp:posOffset>84455</wp:posOffset>
                </wp:positionH>
                <wp:positionV relativeFrom="paragraph">
                  <wp:posOffset>623570</wp:posOffset>
                </wp:positionV>
                <wp:extent cx="2159635" cy="386080"/>
                <wp:effectExtent l="0" t="0" r="12065" b="13970"/>
                <wp:wrapNone/>
                <wp:docPr id="65" name="Obdélník 64"/>
                <wp:cNvGraphicFramePr/>
                <a:graphic xmlns:a="http://schemas.openxmlformats.org/drawingml/2006/main">
                  <a:graphicData uri="http://schemas.microsoft.com/office/word/2010/wordprocessingShape">
                    <wps:wsp>
                      <wps:cNvSpPr/>
                      <wps:spPr>
                        <a:xfrm>
                          <a:off x="0" y="0"/>
                          <a:ext cx="2159635" cy="38608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28B3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Snížená konkurenceschopnost železniční dopravy a veřejné hromadné dopravy</w:t>
                            </w:r>
                          </w:p>
                        </w:txbxContent>
                      </wps:txbx>
                      <wps:bodyPr wrap="square" rtlCol="0" anchor="ctr"/>
                    </wps:wsp>
                  </a:graphicData>
                </a:graphic>
                <wp14:sizeRelH relativeFrom="margin">
                  <wp14:pctWidth>0</wp14:pctWidth>
                </wp14:sizeRelH>
              </wp:anchor>
            </w:drawing>
          </mc:Choice>
          <mc:Fallback>
            <w:pict>
              <v:rect w14:anchorId="5262A951" id="Obdélník 64" o:spid="_x0000_s1067" style="position:absolute;left:0;text-align:left;margin-left:6.65pt;margin-top:49.1pt;width:170.05pt;height:30.4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" fillcolor="white [3212]" strokecolor="#00538e" strokeweight="1pt">
                <v:textbox>
                  <w:txbxContent>
                    <w:p w14:paraId="2E428B3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Snížená konkurenceschopnost železniční dopravy a veřejné hromadné dopravy</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80096" behindDoc="0" locked="0" layoutInCell="1" allowOverlap="1" wp14:anchorId="4730CE26" wp14:editId="3661683D">
                <wp:simplePos x="0" y="0"/>
                <wp:positionH relativeFrom="column">
                  <wp:posOffset>81280</wp:posOffset>
                </wp:positionH>
                <wp:positionV relativeFrom="paragraph">
                  <wp:posOffset>1040765</wp:posOffset>
                </wp:positionV>
                <wp:extent cx="2159635" cy="495300"/>
                <wp:effectExtent l="0" t="0" r="12065" b="19050"/>
                <wp:wrapNone/>
                <wp:docPr id="71" name="Obdélník 70"/>
                <wp:cNvGraphicFramePr/>
                <a:graphic xmlns:a="http://schemas.openxmlformats.org/drawingml/2006/main">
                  <a:graphicData uri="http://schemas.microsoft.com/office/word/2010/wordprocessingShape">
                    <wps:wsp>
                      <wps:cNvSpPr/>
                      <wps:spPr>
                        <a:xfrm>
                          <a:off x="0" y="0"/>
                          <a:ext cx="2159635" cy="495300"/>
                        </a:xfrm>
                        <a:prstGeom prst="rect">
                          <a:avLst/>
                        </a:prstGeom>
                        <a:solidFill>
                          <a:schemeClr val="bg1"/>
                        </a:solidFill>
                        <a:ln>
                          <a:solidFill>
                            <a:srgbClr val="00538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36990"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Obtížná prostupnost některých částí města pro chodce i cyklisty, nižší využití bezmotorové dopravy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730CE26" id="Obdélník 70" o:spid="_x0000_s1068" style="position:absolute;left:0;text-align:left;margin-left:6.4pt;margin-top:81.95pt;width:170.05pt;height:3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" fillcolor="white [3212]" strokecolor="#00538e" strokeweight="1pt">
                <v:textbox>
                  <w:txbxContent>
                    <w:p w14:paraId="49E36990"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538E"/>
                          <w:kern w:val="24"/>
                          <w:sz w:val="18"/>
                          <w:szCs w:val="18"/>
                        </w:rPr>
                        <w:t>Obtížná prostupnost některých částí města pro chodce i cyklisty, nižší využití bezmotorové dopravy</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65760" behindDoc="0" locked="0" layoutInCell="1" allowOverlap="1" wp14:anchorId="51E8BD3B" wp14:editId="68B06ECD">
                <wp:simplePos x="0" y="0"/>
                <wp:positionH relativeFrom="column">
                  <wp:posOffset>5584825</wp:posOffset>
                </wp:positionH>
                <wp:positionV relativeFrom="paragraph">
                  <wp:posOffset>2199640</wp:posOffset>
                </wp:positionV>
                <wp:extent cx="0" cy="287655"/>
                <wp:effectExtent l="57150" t="38100" r="57150" b="17145"/>
                <wp:wrapNone/>
                <wp:docPr id="254" name="Přímá spojnice se šipkou 50"/>
                <wp:cNvGraphicFramePr/>
                <a:graphic xmlns:a="http://schemas.openxmlformats.org/drawingml/2006/main">
                  <a:graphicData uri="http://schemas.microsoft.com/office/word/2010/wordprocessingShape">
                    <wps:wsp>
                      <wps:cNvCnPr/>
                      <wps:spPr>
                        <a:xfrm flipV="1">
                          <a:off x="0" y="0"/>
                          <a:ext cx="0" cy="287655"/>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89CEAE" id="Přímá spojnice se šipkou 50" o:spid="_x0000_s1026" type="#_x0000_t32" style="position:absolute;margin-left:439.75pt;margin-top:173.2pt;width:0;height:22.6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97504" behindDoc="0" locked="0" layoutInCell="1" allowOverlap="1" wp14:anchorId="53979DAA" wp14:editId="7A8871E0">
                <wp:simplePos x="0" y="0"/>
                <wp:positionH relativeFrom="column">
                  <wp:posOffset>3724910</wp:posOffset>
                </wp:positionH>
                <wp:positionV relativeFrom="paragraph">
                  <wp:posOffset>2505710</wp:posOffset>
                </wp:positionV>
                <wp:extent cx="3412490" cy="21590"/>
                <wp:effectExtent l="19050" t="19050" r="35560" b="35560"/>
                <wp:wrapNone/>
                <wp:docPr id="255" name="Přímá spojnice 255"/>
                <wp:cNvGraphicFramePr/>
                <a:graphic xmlns:a="http://schemas.openxmlformats.org/drawingml/2006/main">
                  <a:graphicData uri="http://schemas.microsoft.com/office/word/2010/wordprocessingShape">
                    <wps:wsp>
                      <wps:cNvCnPr/>
                      <wps:spPr>
                        <a:xfrm flipV="1">
                          <a:off x="0" y="0"/>
                          <a:ext cx="3412490" cy="21590"/>
                        </a:xfrm>
                        <a:prstGeom prst="line">
                          <a:avLst/>
                        </a:prstGeom>
                        <a:ln w="285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EF37E7" id="Přímá spojnice 255"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3pt,197.3pt" to="562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" strokecolor="#a5a5a5 [3206]" strokeweight="2.25pt">
                <v:stroke joinstyle="miter"/>
              </v:line>
            </w:pict>
          </mc:Fallback>
        </mc:AlternateContent>
      </w:r>
      <w:r w:rsidRPr="00D7410A">
        <w:rPr>
          <w:noProof/>
          <w:sz w:val="20"/>
          <w:szCs w:val="20"/>
          <w:lang w:eastAsia="cs-CZ"/>
        </w:rPr>
        <mc:AlternateContent>
          <mc:Choice Requires="wps">
            <w:drawing>
              <wp:anchor distT="0" distB="0" distL="114300" distR="114300" simplePos="0" relativeHeight="251767808" behindDoc="0" locked="0" layoutInCell="1" allowOverlap="1" wp14:anchorId="5F858686" wp14:editId="2086AF1A">
                <wp:simplePos x="0" y="0"/>
                <wp:positionH relativeFrom="column">
                  <wp:posOffset>1146175</wp:posOffset>
                </wp:positionH>
                <wp:positionV relativeFrom="paragraph">
                  <wp:posOffset>2237740</wp:posOffset>
                </wp:positionV>
                <wp:extent cx="0" cy="287655"/>
                <wp:effectExtent l="57150" t="38100" r="57150" b="17145"/>
                <wp:wrapNone/>
                <wp:docPr id="54" name="Přímá spojnice se šipkou 53"/>
                <wp:cNvGraphicFramePr/>
                <a:graphic xmlns:a="http://schemas.openxmlformats.org/drawingml/2006/main">
                  <a:graphicData uri="http://schemas.microsoft.com/office/word/2010/wordprocessingShape">
                    <wps:wsp>
                      <wps:cNvCnPr/>
                      <wps:spPr>
                        <a:xfrm flipV="1">
                          <a:off x="0" y="0"/>
                          <a:ext cx="0" cy="287655"/>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08454F" id="Přímá spojnice se šipkou 53" o:spid="_x0000_s1026" type="#_x0000_t32" style="position:absolute;margin-left:90.25pt;margin-top:176.2pt;width:0;height:22.6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66784" behindDoc="0" locked="0" layoutInCell="1" allowOverlap="1" wp14:anchorId="69F84BEA" wp14:editId="7585372E">
                <wp:simplePos x="0" y="0"/>
                <wp:positionH relativeFrom="column">
                  <wp:posOffset>3318510</wp:posOffset>
                </wp:positionH>
                <wp:positionV relativeFrom="paragraph">
                  <wp:posOffset>2226310</wp:posOffset>
                </wp:positionV>
                <wp:extent cx="0" cy="283210"/>
                <wp:effectExtent l="57150" t="38100" r="57150" b="2540"/>
                <wp:wrapNone/>
                <wp:docPr id="52" name="Přímá spojnice se šipkou 51"/>
                <wp:cNvGraphicFramePr/>
                <a:graphic xmlns:a="http://schemas.openxmlformats.org/drawingml/2006/main">
                  <a:graphicData uri="http://schemas.microsoft.com/office/word/2010/wordprocessingShape">
                    <wps:wsp>
                      <wps:cNvCnPr/>
                      <wps:spPr>
                        <a:xfrm flipV="1">
                          <a:off x="0" y="0"/>
                          <a:ext cx="0" cy="283210"/>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6FB15769" id="Přímá spojnice se šipkou 51" o:spid="_x0000_s1026" type="#_x0000_t32" style="position:absolute;margin-left:261.3pt;margin-top:175.3pt;width:0;height:22.3pt;flip:y;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68832" behindDoc="0" locked="0" layoutInCell="1" allowOverlap="1" wp14:anchorId="12A2E47D" wp14:editId="0E243DCB">
                <wp:simplePos x="0" y="0"/>
                <wp:positionH relativeFrom="column">
                  <wp:posOffset>7918450</wp:posOffset>
                </wp:positionH>
                <wp:positionV relativeFrom="paragraph">
                  <wp:posOffset>2223770</wp:posOffset>
                </wp:positionV>
                <wp:extent cx="0" cy="287655"/>
                <wp:effectExtent l="57150" t="38100" r="57150" b="17145"/>
                <wp:wrapNone/>
                <wp:docPr id="288" name="Přímá spojnice se šipkou 54"/>
                <wp:cNvGraphicFramePr/>
                <a:graphic xmlns:a="http://schemas.openxmlformats.org/drawingml/2006/main">
                  <a:graphicData uri="http://schemas.microsoft.com/office/word/2010/wordprocessingShape">
                    <wps:wsp>
                      <wps:cNvCnPr/>
                      <wps:spPr>
                        <a:xfrm flipV="1">
                          <a:off x="0" y="0"/>
                          <a:ext cx="0" cy="287655"/>
                        </a:xfrm>
                        <a:prstGeom prst="straightConnector1">
                          <a:avLst/>
                        </a:prstGeom>
                        <a:ln w="44450">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10341D" id="Přímá spojnice se šipkou 54" o:spid="_x0000_s1026" type="#_x0000_t32" style="position:absolute;margin-left:623.5pt;margin-top:175.1pt;width:0;height:22.65pt;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" strokecolor="#a5a5a5 [2092]" strokeweight="3.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796480" behindDoc="0" locked="0" layoutInCell="1" allowOverlap="1" wp14:anchorId="1F6358EF" wp14:editId="4157878A">
                <wp:simplePos x="0" y="0"/>
                <wp:positionH relativeFrom="column">
                  <wp:posOffset>7130415</wp:posOffset>
                </wp:positionH>
                <wp:positionV relativeFrom="paragraph">
                  <wp:posOffset>2232025</wp:posOffset>
                </wp:positionV>
                <wp:extent cx="0" cy="283210"/>
                <wp:effectExtent l="57150" t="38100" r="57150" b="2540"/>
                <wp:wrapNone/>
                <wp:docPr id="301" name="Přímá spojnice se šipkou 51"/>
                <wp:cNvGraphicFramePr/>
                <a:graphic xmlns:a="http://schemas.openxmlformats.org/drawingml/2006/main">
                  <a:graphicData uri="http://schemas.microsoft.com/office/word/2010/wordprocessingShape">
                    <wps:wsp>
                      <wps:cNvCnPr/>
                      <wps:spPr>
                        <a:xfrm flipV="1">
                          <a:off x="0" y="0"/>
                          <a:ext cx="0" cy="283210"/>
                        </a:xfrm>
                        <a:prstGeom prst="straightConnector1">
                          <a:avLst/>
                        </a:prstGeom>
                        <a:ln w="28575">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398DC2F7" id="Přímá spojnice se šipkou 51" o:spid="_x0000_s1026" type="#_x0000_t32" style="position:absolute;margin-left:561.45pt;margin-top:175.75pt;width:0;height:22.3pt;flip:y;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" strokecolor="#a5a5a5 [2092]" strokeweight="2.25pt">
                <v:stroke endarrow="block" joinstyle="miter"/>
              </v:shape>
            </w:pict>
          </mc:Fallback>
        </mc:AlternateContent>
      </w:r>
      <w:r w:rsidRPr="00D7410A">
        <w:rPr>
          <w:noProof/>
          <w:sz w:val="20"/>
          <w:szCs w:val="20"/>
          <w:lang w:eastAsia="cs-CZ"/>
        </w:rPr>
        <mc:AlternateContent>
          <mc:Choice Requires="wps">
            <w:drawing>
              <wp:anchor distT="0" distB="0" distL="114300" distR="114300" simplePos="0" relativeHeight="251801600" behindDoc="0" locked="0" layoutInCell="1" allowOverlap="1" wp14:anchorId="55F7943F" wp14:editId="15FF09EF">
                <wp:simplePos x="0" y="0"/>
                <wp:positionH relativeFrom="column">
                  <wp:posOffset>3735070</wp:posOffset>
                </wp:positionH>
                <wp:positionV relativeFrom="paragraph">
                  <wp:posOffset>2314575</wp:posOffset>
                </wp:positionV>
                <wp:extent cx="0" cy="223520"/>
                <wp:effectExtent l="19050" t="0" r="19050" b="24130"/>
                <wp:wrapNone/>
                <wp:docPr id="302" name="Přímá spojnice 302"/>
                <wp:cNvGraphicFramePr/>
                <a:graphic xmlns:a="http://schemas.openxmlformats.org/drawingml/2006/main">
                  <a:graphicData uri="http://schemas.microsoft.com/office/word/2010/wordprocessingShape">
                    <wps:wsp>
                      <wps:cNvCnPr/>
                      <wps:spPr>
                        <a:xfrm>
                          <a:off x="0" y="0"/>
                          <a:ext cx="0" cy="223520"/>
                        </a:xfrm>
                        <a:prstGeom prst="line">
                          <a:avLst/>
                        </a:prstGeom>
                        <a:ln w="28575"/>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67D70A28" id="Přímá spojnice 302"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294.1pt,182.25pt" to="294.1pt,1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" strokecolor="#a5a5a5 [3206]" strokeweight="2.25pt">
                <v:stroke joinstyle="miter"/>
              </v:line>
            </w:pict>
          </mc:Fallback>
        </mc:AlternateContent>
      </w:r>
      <w:r w:rsidRPr="00D7410A">
        <w:rPr>
          <w:noProof/>
          <w:sz w:val="20"/>
          <w:szCs w:val="20"/>
          <w:lang w:eastAsia="cs-CZ"/>
        </w:rPr>
        <mc:AlternateContent>
          <mc:Choice Requires="wps">
            <w:drawing>
              <wp:anchor distT="0" distB="0" distL="114300" distR="114300" simplePos="0" relativeHeight="251752448" behindDoc="0" locked="0" layoutInCell="1" allowOverlap="1" wp14:anchorId="742CCF84" wp14:editId="7621F5E8">
                <wp:simplePos x="0" y="0"/>
                <wp:positionH relativeFrom="column">
                  <wp:posOffset>214630</wp:posOffset>
                </wp:positionH>
                <wp:positionV relativeFrom="paragraph">
                  <wp:posOffset>2640965</wp:posOffset>
                </wp:positionV>
                <wp:extent cx="1828800" cy="266700"/>
                <wp:effectExtent l="0" t="0" r="0" b="0"/>
                <wp:wrapNone/>
                <wp:docPr id="49" name="TextovéPole 9"/>
                <wp:cNvGraphicFramePr/>
                <a:graphic xmlns:a="http://schemas.openxmlformats.org/drawingml/2006/main">
                  <a:graphicData uri="http://schemas.microsoft.com/office/word/2010/wordprocessingShape">
                    <wps:wsp>
                      <wps:cNvSpPr txBox="1"/>
                      <wps:spPr>
                        <a:xfrm>
                          <a:off x="0" y="0"/>
                          <a:ext cx="1828800" cy="266700"/>
                        </a:xfrm>
                        <a:prstGeom prst="rect">
                          <a:avLst/>
                        </a:prstGeom>
                        <a:noFill/>
                      </wps:spPr>
                      <wps:txbx>
                        <w:txbxContent>
                          <w:p w14:paraId="34559613"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b/>
                                <w:bCs/>
                                <w:color w:val="FFFFFF" w:themeColor="background1"/>
                                <w:kern w:val="24"/>
                                <w:sz w:val="18"/>
                                <w:szCs w:val="18"/>
                              </w:rPr>
                              <w:t>PROBLEMATICKÁ DOSTUPNOST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2CCF84" id="TextovéPole 9" o:spid="_x0000_s1069" type="#_x0000_t202" style="position:absolute;left:0;text-align:left;margin-left:16.9pt;margin-top:207.95pt;width:2in;height:2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" filled="f" stroked="f">
                <v:textbox>
                  <w:txbxContent>
                    <w:p w14:paraId="34559613"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b/>
                          <w:bCs/>
                          <w:color w:val="FFFFFF" w:themeColor="background1"/>
                          <w:kern w:val="24"/>
                          <w:sz w:val="18"/>
                          <w:szCs w:val="18"/>
                        </w:rPr>
                        <w:t>PROBLEMATICKÁ DOSTUPNOST</w:t>
                      </w:r>
                    </w:p>
                  </w:txbxContent>
                </v:textbox>
              </v:shape>
            </w:pict>
          </mc:Fallback>
        </mc:AlternateContent>
      </w:r>
      <w:r w:rsidRPr="00D7410A">
        <w:rPr>
          <w:noProof/>
          <w:sz w:val="20"/>
          <w:szCs w:val="20"/>
          <w:lang w:eastAsia="cs-CZ"/>
        </w:rPr>
        <mc:AlternateContent>
          <mc:Choice Requires="wps">
            <w:drawing>
              <wp:anchor distT="0" distB="0" distL="114300" distR="114300" simplePos="0" relativeHeight="251795456" behindDoc="0" locked="0" layoutInCell="1" allowOverlap="1" wp14:anchorId="0FE3C856" wp14:editId="308932E1">
                <wp:simplePos x="0" y="0"/>
                <wp:positionH relativeFrom="column">
                  <wp:posOffset>6830695</wp:posOffset>
                </wp:positionH>
                <wp:positionV relativeFrom="paragraph">
                  <wp:posOffset>2651760</wp:posOffset>
                </wp:positionV>
                <wp:extent cx="2162175" cy="584775"/>
                <wp:effectExtent l="0" t="0" r="0" b="0"/>
                <wp:wrapNone/>
                <wp:docPr id="303" name="TextovéPole 11"/>
                <wp:cNvGraphicFramePr/>
                <a:graphic xmlns:a="http://schemas.openxmlformats.org/drawingml/2006/main">
                  <a:graphicData uri="http://schemas.microsoft.com/office/word/2010/wordprocessingShape">
                    <wps:wsp>
                      <wps:cNvSpPr txBox="1"/>
                      <wps:spPr>
                        <a:xfrm>
                          <a:off x="0" y="0"/>
                          <a:ext cx="2162175" cy="584775"/>
                        </a:xfrm>
                        <a:prstGeom prst="rect">
                          <a:avLst/>
                        </a:prstGeom>
                        <a:noFill/>
                      </wps:spPr>
                      <wps:txbx>
                        <w:txbxContent>
                          <w:p w14:paraId="526B2BCC" w14:textId="77777777" w:rsidR="00332A29" w:rsidRPr="00B10426" w:rsidRDefault="00332A29" w:rsidP="00E01070">
                            <w:pPr>
                              <w:pStyle w:val="Normlnweb"/>
                              <w:spacing w:before="0" w:beforeAutospacing="0" w:after="0" w:afterAutospacing="0"/>
                              <w:jc w:val="center"/>
                              <w:rPr>
                                <w:sz w:val="18"/>
                                <w:szCs w:val="18"/>
                              </w:rPr>
                            </w:pPr>
                            <w:r>
                              <w:rPr>
                                <w:rFonts w:asciiTheme="minorHAnsi" w:hAnsi="Calibri" w:cstheme="minorBidi"/>
                                <w:b/>
                                <w:bCs/>
                                <w:color w:val="FFFFFF" w:themeColor="background1"/>
                                <w:kern w:val="24"/>
                                <w:sz w:val="18"/>
                                <w:szCs w:val="18"/>
                              </w:rPr>
                              <w:t>STÁRNUTÍ OBYVATEL</w:t>
                            </w:r>
                          </w:p>
                        </w:txbxContent>
                      </wps:txbx>
                      <wps:bodyPr wrap="square" rtlCol="0">
                        <a:spAutoFit/>
                      </wps:bodyPr>
                    </wps:wsp>
                  </a:graphicData>
                </a:graphic>
                <wp14:sizeRelH relativeFrom="margin">
                  <wp14:pctWidth>0</wp14:pctWidth>
                </wp14:sizeRelH>
              </wp:anchor>
            </w:drawing>
          </mc:Choice>
          <mc:Fallback>
            <w:pict>
              <v:shape w14:anchorId="0FE3C856" id="TextovéPole 11" o:spid="_x0000_s1070" type="#_x0000_t202" style="position:absolute;left:0;text-align:left;margin-left:537.85pt;margin-top:208.8pt;width:170.25pt;height:46.0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" filled="f" stroked="f">
                <v:textbox style="mso-fit-shape-to-text:t">
                  <w:txbxContent>
                    <w:p w14:paraId="526B2BCC" w14:textId="77777777" w:rsidR="00332A29" w:rsidRPr="00B10426" w:rsidRDefault="00332A29" w:rsidP="00E01070">
                      <w:pPr>
                        <w:pStyle w:val="Normlnweb"/>
                        <w:spacing w:before="0" w:beforeAutospacing="0" w:after="0" w:afterAutospacing="0"/>
                        <w:jc w:val="center"/>
                        <w:rPr>
                          <w:sz w:val="18"/>
                          <w:szCs w:val="18"/>
                        </w:rPr>
                      </w:pPr>
                      <w:r>
                        <w:rPr>
                          <w:rFonts w:asciiTheme="minorHAnsi" w:hAnsi="Calibri" w:cstheme="minorBidi"/>
                          <w:b/>
                          <w:bCs/>
                          <w:color w:val="FFFFFF" w:themeColor="background1"/>
                          <w:kern w:val="24"/>
                          <w:sz w:val="18"/>
                          <w:szCs w:val="18"/>
                        </w:rPr>
                        <w:t>STÁRNUTÍ OBYVATEL</w:t>
                      </w:r>
                    </w:p>
                  </w:txbxContent>
                </v:textbox>
              </v:shape>
            </w:pict>
          </mc:Fallback>
        </mc:AlternateContent>
      </w:r>
      <w:r w:rsidRPr="00D7410A">
        <w:rPr>
          <w:noProof/>
          <w:sz w:val="20"/>
          <w:szCs w:val="20"/>
          <w:lang w:eastAsia="cs-CZ"/>
        </w:rPr>
        <mc:AlternateContent>
          <mc:Choice Requires="wps">
            <w:drawing>
              <wp:anchor distT="0" distB="0" distL="114300" distR="114300" simplePos="0" relativeHeight="251786240" behindDoc="0" locked="0" layoutInCell="1" allowOverlap="1" wp14:anchorId="1A71BEF4" wp14:editId="18B7489F">
                <wp:simplePos x="0" y="0"/>
                <wp:positionH relativeFrom="column">
                  <wp:posOffset>4523740</wp:posOffset>
                </wp:positionH>
                <wp:positionV relativeFrom="paragraph">
                  <wp:posOffset>2621915</wp:posOffset>
                </wp:positionV>
                <wp:extent cx="2162175" cy="584200"/>
                <wp:effectExtent l="0" t="0" r="0" b="0"/>
                <wp:wrapNone/>
                <wp:docPr id="304" name="TextovéPole 11"/>
                <wp:cNvGraphicFramePr/>
                <a:graphic xmlns:a="http://schemas.openxmlformats.org/drawingml/2006/main">
                  <a:graphicData uri="http://schemas.microsoft.com/office/word/2010/wordprocessingShape">
                    <wps:wsp>
                      <wps:cNvSpPr txBox="1"/>
                      <wps:spPr>
                        <a:xfrm>
                          <a:off x="0" y="0"/>
                          <a:ext cx="2162175" cy="584200"/>
                        </a:xfrm>
                        <a:prstGeom prst="rect">
                          <a:avLst/>
                        </a:prstGeom>
                        <a:noFill/>
                      </wps:spPr>
                      <wps:txbx>
                        <w:txbxContent>
                          <w:p w14:paraId="747C033A" w14:textId="77777777" w:rsidR="00332A29" w:rsidRPr="00B10426" w:rsidRDefault="00332A29" w:rsidP="00E01070">
                            <w:pPr>
                              <w:pStyle w:val="Normlnweb"/>
                              <w:spacing w:before="0" w:beforeAutospacing="0" w:after="0" w:afterAutospacing="0"/>
                              <w:jc w:val="center"/>
                              <w:rPr>
                                <w:sz w:val="18"/>
                                <w:szCs w:val="18"/>
                              </w:rPr>
                            </w:pPr>
                            <w:r w:rsidRPr="00B10426">
                              <w:rPr>
                                <w:rFonts w:asciiTheme="minorHAnsi" w:hAnsi="Calibri" w:cstheme="minorBidi"/>
                                <w:b/>
                                <w:bCs/>
                                <w:color w:val="FFFFFF" w:themeColor="background1"/>
                                <w:kern w:val="24"/>
                                <w:sz w:val="18"/>
                                <w:szCs w:val="18"/>
                              </w:rPr>
                              <w:t xml:space="preserve">NEDOSTATEK </w:t>
                            </w:r>
                            <w:r>
                              <w:rPr>
                                <w:rFonts w:asciiTheme="minorHAnsi" w:hAnsi="Calibri" w:cstheme="minorBidi"/>
                                <w:b/>
                                <w:bCs/>
                                <w:color w:val="FFFFFF" w:themeColor="background1"/>
                                <w:kern w:val="24"/>
                                <w:sz w:val="18"/>
                                <w:szCs w:val="18"/>
                              </w:rPr>
                              <w:t>DOSTUPNÝCH BYTŮ</w:t>
                            </w:r>
                          </w:p>
                        </w:txbxContent>
                      </wps:txbx>
                      <wps:bodyPr wrap="square" rtlCol="0">
                        <a:spAutoFit/>
                      </wps:bodyPr>
                    </wps:wsp>
                  </a:graphicData>
                </a:graphic>
                <wp14:sizeRelH relativeFrom="margin">
                  <wp14:pctWidth>0</wp14:pctWidth>
                </wp14:sizeRelH>
              </wp:anchor>
            </w:drawing>
          </mc:Choice>
          <mc:Fallback>
            <w:pict>
              <v:shape w14:anchorId="1A71BEF4" id="_x0000_s1071" type="#_x0000_t202" style="position:absolute;left:0;text-align:left;margin-left:356.2pt;margin-top:206.45pt;width:170.25pt;height:46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" filled="f" stroked="f">
                <v:textbox style="mso-fit-shape-to-text:t">
                  <w:txbxContent>
                    <w:p w14:paraId="747C033A" w14:textId="77777777" w:rsidR="00332A29" w:rsidRPr="00B10426" w:rsidRDefault="00332A29" w:rsidP="00E01070">
                      <w:pPr>
                        <w:pStyle w:val="Normlnweb"/>
                        <w:spacing w:before="0" w:beforeAutospacing="0" w:after="0" w:afterAutospacing="0"/>
                        <w:jc w:val="center"/>
                        <w:rPr>
                          <w:sz w:val="18"/>
                          <w:szCs w:val="18"/>
                        </w:rPr>
                      </w:pPr>
                      <w:r w:rsidRPr="00B10426">
                        <w:rPr>
                          <w:rFonts w:asciiTheme="minorHAnsi" w:hAnsi="Calibri" w:cstheme="minorBidi"/>
                          <w:b/>
                          <w:bCs/>
                          <w:color w:val="FFFFFF" w:themeColor="background1"/>
                          <w:kern w:val="24"/>
                          <w:sz w:val="18"/>
                          <w:szCs w:val="18"/>
                        </w:rPr>
                        <w:t xml:space="preserve">NEDOSTATEK </w:t>
                      </w:r>
                      <w:r>
                        <w:rPr>
                          <w:rFonts w:asciiTheme="minorHAnsi" w:hAnsi="Calibri" w:cstheme="minorBidi"/>
                          <w:b/>
                          <w:bCs/>
                          <w:color w:val="FFFFFF" w:themeColor="background1"/>
                          <w:kern w:val="24"/>
                          <w:sz w:val="18"/>
                          <w:szCs w:val="18"/>
                        </w:rPr>
                        <w:t>DOSTUPNÝCH BYTŮ</w:t>
                      </w:r>
                    </w:p>
                  </w:txbxContent>
                </v:textbox>
              </v:shape>
            </w:pict>
          </mc:Fallback>
        </mc:AlternateContent>
      </w:r>
      <w:r w:rsidRPr="00D7410A">
        <w:rPr>
          <w:noProof/>
          <w:sz w:val="20"/>
          <w:szCs w:val="20"/>
          <w:lang w:eastAsia="cs-CZ"/>
        </w:rPr>
        <mc:AlternateContent>
          <mc:Choice Requires="wps">
            <w:drawing>
              <wp:anchor distT="0" distB="0" distL="114300" distR="114300" simplePos="0" relativeHeight="251753472" behindDoc="0" locked="0" layoutInCell="1" allowOverlap="1" wp14:anchorId="4A69B528" wp14:editId="54579E9D">
                <wp:simplePos x="0" y="0"/>
                <wp:positionH relativeFrom="column">
                  <wp:posOffset>2271395</wp:posOffset>
                </wp:positionH>
                <wp:positionV relativeFrom="paragraph">
                  <wp:posOffset>2573020</wp:posOffset>
                </wp:positionV>
                <wp:extent cx="2162175" cy="584775"/>
                <wp:effectExtent l="0" t="0" r="0" b="0"/>
                <wp:wrapNone/>
                <wp:docPr id="42" name="TextovéPole 11"/>
                <wp:cNvGraphicFramePr/>
                <a:graphic xmlns:a="http://schemas.openxmlformats.org/drawingml/2006/main">
                  <a:graphicData uri="http://schemas.microsoft.com/office/word/2010/wordprocessingShape">
                    <wps:wsp>
                      <wps:cNvSpPr txBox="1"/>
                      <wps:spPr>
                        <a:xfrm>
                          <a:off x="0" y="0"/>
                          <a:ext cx="2162175" cy="584775"/>
                        </a:xfrm>
                        <a:prstGeom prst="rect">
                          <a:avLst/>
                        </a:prstGeom>
                        <a:noFill/>
                      </wps:spPr>
                      <wps:txbx>
                        <w:txbxContent>
                          <w:p w14:paraId="5494CB45" w14:textId="77777777" w:rsidR="00332A29" w:rsidRPr="00B10426" w:rsidRDefault="00332A29" w:rsidP="00E01070">
                            <w:pPr>
                              <w:pStyle w:val="Normlnweb"/>
                              <w:spacing w:before="0" w:beforeAutospacing="0" w:after="0" w:afterAutospacing="0"/>
                              <w:jc w:val="center"/>
                              <w:rPr>
                                <w:sz w:val="18"/>
                                <w:szCs w:val="18"/>
                              </w:rPr>
                            </w:pPr>
                            <w:r w:rsidRPr="00B10426">
                              <w:rPr>
                                <w:rFonts w:asciiTheme="minorHAnsi" w:hAnsi="Calibri" w:cstheme="minorBidi"/>
                                <w:b/>
                                <w:bCs/>
                                <w:color w:val="FFFFFF" w:themeColor="background1"/>
                                <w:kern w:val="24"/>
                                <w:sz w:val="18"/>
                                <w:szCs w:val="18"/>
                              </w:rPr>
                              <w:t>NEDOSTATEK PLOCH PRO ROZVOJ PODN</w:t>
                            </w:r>
                            <w:r>
                              <w:rPr>
                                <w:rFonts w:asciiTheme="minorHAnsi" w:hAnsi="Calibri" w:cstheme="minorBidi"/>
                                <w:b/>
                                <w:bCs/>
                                <w:color w:val="FFFFFF" w:themeColor="background1"/>
                                <w:kern w:val="24"/>
                                <w:sz w:val="18"/>
                                <w:szCs w:val="18"/>
                              </w:rPr>
                              <w:t>I</w:t>
                            </w:r>
                            <w:r w:rsidRPr="00B10426">
                              <w:rPr>
                                <w:rFonts w:asciiTheme="minorHAnsi" w:hAnsi="Calibri" w:cstheme="minorBidi"/>
                                <w:b/>
                                <w:bCs/>
                                <w:color w:val="FFFFFF" w:themeColor="background1"/>
                                <w:kern w:val="24"/>
                                <w:sz w:val="18"/>
                                <w:szCs w:val="18"/>
                              </w:rPr>
                              <w:t>KÁNÍ A BYDLENÍ</w:t>
                            </w:r>
                          </w:p>
                        </w:txbxContent>
                      </wps:txbx>
                      <wps:bodyPr wrap="square" rtlCol="0">
                        <a:spAutoFit/>
                      </wps:bodyPr>
                    </wps:wsp>
                  </a:graphicData>
                </a:graphic>
                <wp14:sizeRelH relativeFrom="margin">
                  <wp14:pctWidth>0</wp14:pctWidth>
                </wp14:sizeRelH>
              </wp:anchor>
            </w:drawing>
          </mc:Choice>
          <mc:Fallback>
            <w:pict>
              <v:shape w14:anchorId="4A69B528" id="_x0000_s1072" type="#_x0000_t202" style="position:absolute;left:0;text-align:left;margin-left:178.85pt;margin-top:202.6pt;width:170.25pt;height:46.0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" filled="f" stroked="f">
                <v:textbox style="mso-fit-shape-to-text:t">
                  <w:txbxContent>
                    <w:p w14:paraId="5494CB45" w14:textId="77777777" w:rsidR="00332A29" w:rsidRPr="00B10426" w:rsidRDefault="00332A29" w:rsidP="00E01070">
                      <w:pPr>
                        <w:pStyle w:val="Normlnweb"/>
                        <w:spacing w:before="0" w:beforeAutospacing="0" w:after="0" w:afterAutospacing="0"/>
                        <w:jc w:val="center"/>
                        <w:rPr>
                          <w:sz w:val="18"/>
                          <w:szCs w:val="18"/>
                        </w:rPr>
                      </w:pPr>
                      <w:r w:rsidRPr="00B10426">
                        <w:rPr>
                          <w:rFonts w:asciiTheme="minorHAnsi" w:hAnsi="Calibri" w:cstheme="minorBidi"/>
                          <w:b/>
                          <w:bCs/>
                          <w:color w:val="FFFFFF" w:themeColor="background1"/>
                          <w:kern w:val="24"/>
                          <w:sz w:val="18"/>
                          <w:szCs w:val="18"/>
                        </w:rPr>
                        <w:t>NEDOSTATEK PLOCH PRO ROZVOJ PODN</w:t>
                      </w:r>
                      <w:r>
                        <w:rPr>
                          <w:rFonts w:asciiTheme="minorHAnsi" w:hAnsi="Calibri" w:cstheme="minorBidi"/>
                          <w:b/>
                          <w:bCs/>
                          <w:color w:val="FFFFFF" w:themeColor="background1"/>
                          <w:kern w:val="24"/>
                          <w:sz w:val="18"/>
                          <w:szCs w:val="18"/>
                        </w:rPr>
                        <w:t>I</w:t>
                      </w:r>
                      <w:r w:rsidRPr="00B10426">
                        <w:rPr>
                          <w:rFonts w:asciiTheme="minorHAnsi" w:hAnsi="Calibri" w:cstheme="minorBidi"/>
                          <w:b/>
                          <w:bCs/>
                          <w:color w:val="FFFFFF" w:themeColor="background1"/>
                          <w:kern w:val="24"/>
                          <w:sz w:val="18"/>
                          <w:szCs w:val="18"/>
                        </w:rPr>
                        <w:t>KÁNÍ A BYDLENÍ</w:t>
                      </w:r>
                    </w:p>
                  </w:txbxContent>
                </v:textbox>
              </v:shape>
            </w:pict>
          </mc:Fallback>
        </mc:AlternateContent>
      </w:r>
      <w:r w:rsidRPr="00D7410A">
        <w:rPr>
          <w:noProof/>
          <w:sz w:val="20"/>
          <w:szCs w:val="20"/>
          <w:lang w:eastAsia="cs-CZ"/>
        </w:rPr>
        <mc:AlternateContent>
          <mc:Choice Requires="wps">
            <w:drawing>
              <wp:anchor distT="0" distB="0" distL="114300" distR="114300" simplePos="0" relativeHeight="251751424" behindDoc="0" locked="0" layoutInCell="1" allowOverlap="1" wp14:anchorId="406CDA22" wp14:editId="2AF90FD0">
                <wp:simplePos x="0" y="0"/>
                <wp:positionH relativeFrom="margin">
                  <wp:posOffset>0</wp:posOffset>
                </wp:positionH>
                <wp:positionV relativeFrom="paragraph">
                  <wp:posOffset>2566670</wp:posOffset>
                </wp:positionV>
                <wp:extent cx="8999855" cy="409575"/>
                <wp:effectExtent l="0" t="0" r="0" b="9525"/>
                <wp:wrapNone/>
                <wp:docPr id="305" name="Obdélník 6"/>
                <wp:cNvGraphicFramePr/>
                <a:graphic xmlns:a="http://schemas.openxmlformats.org/drawingml/2006/main">
                  <a:graphicData uri="http://schemas.microsoft.com/office/word/2010/wordprocessingShape">
                    <wps:wsp>
                      <wps:cNvSpPr/>
                      <wps:spPr>
                        <a:xfrm>
                          <a:off x="0" y="0"/>
                          <a:ext cx="8999855" cy="409575"/>
                        </a:xfrm>
                        <a:prstGeom prst="rect">
                          <a:avLst/>
                        </a:prstGeom>
                        <a:solidFill>
                          <a:srgbClr val="00538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DDC9956" id="Obdélník 6" o:spid="_x0000_s1026" style="position:absolute;margin-left:0;margin-top:202.1pt;width:708.65pt;height:32.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" fillcolor="#00538e" stroked="f" strokeweight="1pt">
                <w10:wrap anchorx="margin"/>
              </v:rect>
            </w:pict>
          </mc:Fallback>
        </mc:AlternateContent>
      </w:r>
      <w:r w:rsidRPr="00D7410A">
        <w:rPr>
          <w:noProof/>
          <w:sz w:val="20"/>
          <w:szCs w:val="20"/>
          <w:lang w:eastAsia="cs-CZ"/>
        </w:rPr>
        <mc:AlternateContent>
          <mc:Choice Requires="wps">
            <w:drawing>
              <wp:anchor distT="0" distB="0" distL="114300" distR="114300" simplePos="0" relativeHeight="251754496" behindDoc="0" locked="0" layoutInCell="1" allowOverlap="1" wp14:anchorId="2FE060A7" wp14:editId="4DE8A216">
                <wp:simplePos x="0" y="0"/>
                <wp:positionH relativeFrom="margin">
                  <wp:posOffset>0</wp:posOffset>
                </wp:positionH>
                <wp:positionV relativeFrom="paragraph">
                  <wp:posOffset>3004185</wp:posOffset>
                </wp:positionV>
                <wp:extent cx="2159635" cy="381000"/>
                <wp:effectExtent l="0" t="0" r="12065" b="19050"/>
                <wp:wrapNone/>
                <wp:docPr id="48" name="Obdélník 13"/>
                <wp:cNvGraphicFramePr/>
                <a:graphic xmlns:a="http://schemas.openxmlformats.org/drawingml/2006/main">
                  <a:graphicData uri="http://schemas.microsoft.com/office/word/2010/wordprocessingShape">
                    <wps:wsp>
                      <wps:cNvSpPr/>
                      <wps:spPr>
                        <a:xfrm>
                          <a:off x="0" y="0"/>
                          <a:ext cx="2159635" cy="381000"/>
                        </a:xfrm>
                        <a:prstGeom prst="rect">
                          <a:avLst/>
                        </a:prstGeom>
                        <a:solidFill>
                          <a:srgbClr val="FBD10B"/>
                        </a:solidFill>
                        <a:ln>
                          <a:solidFill>
                            <a:srgbClr val="FBD10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6F200"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1BBEE55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b/>
                                <w:bCs/>
                                <w:color w:val="000000" w:themeColor="text1"/>
                                <w:kern w:val="24"/>
                                <w:sz w:val="18"/>
                                <w:szCs w:val="18"/>
                              </w:rPr>
                              <w:t>DOPRAVNÍ INFRASTRUKTURA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FE060A7" id="Obdélník 13" o:spid="_x0000_s1073" style="position:absolute;left:0;text-align:left;margin-left:0;margin-top:236.55pt;width:170.05pt;height:30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" fillcolor="#fbd10b" strokecolor="#fbd10b" strokeweight="1pt">
                <v:textbox>
                  <w:txbxContent>
                    <w:p w14:paraId="6B46F200"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1BBEE556"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b/>
                          <w:bCs/>
                          <w:color w:val="000000" w:themeColor="text1"/>
                          <w:kern w:val="24"/>
                          <w:sz w:val="18"/>
                          <w:szCs w:val="18"/>
                        </w:rPr>
                        <w:t>DOPRAVNÍ INFRASTRUKTURA</w:t>
                      </w:r>
                    </w:p>
                  </w:txbxContent>
                </v:textbox>
                <w10:wrap anchorx="margin"/>
              </v:rect>
            </w:pict>
          </mc:Fallback>
        </mc:AlternateContent>
      </w:r>
      <w:r w:rsidRPr="00D7410A">
        <w:rPr>
          <w:noProof/>
          <w:sz w:val="20"/>
          <w:szCs w:val="20"/>
          <w:lang w:eastAsia="cs-CZ"/>
        </w:rPr>
        <mc:AlternateContent>
          <mc:Choice Requires="wps">
            <w:drawing>
              <wp:anchor distT="0" distB="0" distL="114300" distR="114300" simplePos="0" relativeHeight="251789312" behindDoc="0" locked="0" layoutInCell="1" allowOverlap="1" wp14:anchorId="709F0167" wp14:editId="1F05BD56">
                <wp:simplePos x="0" y="0"/>
                <wp:positionH relativeFrom="column">
                  <wp:posOffset>4543425</wp:posOffset>
                </wp:positionH>
                <wp:positionV relativeFrom="paragraph">
                  <wp:posOffset>3035935</wp:posOffset>
                </wp:positionV>
                <wp:extent cx="2159635" cy="381000"/>
                <wp:effectExtent l="0" t="0" r="12065" b="19050"/>
                <wp:wrapNone/>
                <wp:docPr id="306" name="Obdélník 15"/>
                <wp:cNvGraphicFramePr/>
                <a:graphic xmlns:a="http://schemas.openxmlformats.org/drawingml/2006/main">
                  <a:graphicData uri="http://schemas.microsoft.com/office/word/2010/wordprocessingShape">
                    <wps:wsp>
                      <wps:cNvSpPr/>
                      <wps:spPr>
                        <a:xfrm>
                          <a:off x="0" y="0"/>
                          <a:ext cx="2159635" cy="381000"/>
                        </a:xfrm>
                        <a:prstGeom prst="rect">
                          <a:avLst/>
                        </a:prstGeom>
                        <a:solidFill>
                          <a:srgbClr val="FBD10B"/>
                        </a:solidFill>
                        <a:ln>
                          <a:solidFill>
                            <a:srgbClr val="FBD10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0C71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5293B08D" w14:textId="77777777" w:rsidR="00332A29" w:rsidRPr="00B10426" w:rsidRDefault="00332A29" w:rsidP="00E01070">
                            <w:pPr>
                              <w:pStyle w:val="Normlnweb"/>
                              <w:spacing w:before="0" w:beforeAutospacing="0" w:after="0" w:afterAutospacing="0"/>
                              <w:rPr>
                                <w:sz w:val="18"/>
                                <w:szCs w:val="18"/>
                              </w:rPr>
                            </w:pPr>
                            <w:r>
                              <w:rPr>
                                <w:rFonts w:asciiTheme="minorHAnsi" w:hAnsi="Calibri" w:cstheme="minorBidi"/>
                                <w:b/>
                                <w:bCs/>
                                <w:color w:val="000000" w:themeColor="text1"/>
                                <w:kern w:val="24"/>
                                <w:sz w:val="18"/>
                                <w:szCs w:val="18"/>
                              </w:rPr>
                              <w:t>BYTOVÝ FOND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09F0167" id="Obdélník 15" o:spid="_x0000_s1074" style="position:absolute;left:0;text-align:left;margin-left:357.75pt;margin-top:239.05pt;width:170.05pt;height:3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" fillcolor="#fbd10b" strokecolor="#fbd10b" strokeweight="1pt">
                <v:textbox>
                  <w:txbxContent>
                    <w:p w14:paraId="0570C71F"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5293B08D" w14:textId="77777777" w:rsidR="00332A29" w:rsidRPr="00B10426" w:rsidRDefault="00332A29" w:rsidP="00E01070">
                      <w:pPr>
                        <w:pStyle w:val="Normlnweb"/>
                        <w:spacing w:before="0" w:beforeAutospacing="0" w:after="0" w:afterAutospacing="0"/>
                        <w:rPr>
                          <w:sz w:val="18"/>
                          <w:szCs w:val="18"/>
                        </w:rPr>
                      </w:pPr>
                      <w:r>
                        <w:rPr>
                          <w:rFonts w:asciiTheme="minorHAnsi" w:hAnsi="Calibri" w:cstheme="minorBidi"/>
                          <w:b/>
                          <w:bCs/>
                          <w:color w:val="000000" w:themeColor="text1"/>
                          <w:kern w:val="24"/>
                          <w:sz w:val="18"/>
                          <w:szCs w:val="18"/>
                        </w:rPr>
                        <w:t>BYTOVÝ FOND</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56544" behindDoc="0" locked="0" layoutInCell="1" allowOverlap="1" wp14:anchorId="3A3D5BE4" wp14:editId="5EFB16E3">
                <wp:simplePos x="0" y="0"/>
                <wp:positionH relativeFrom="column">
                  <wp:posOffset>6842760</wp:posOffset>
                </wp:positionH>
                <wp:positionV relativeFrom="paragraph">
                  <wp:posOffset>3036570</wp:posOffset>
                </wp:positionV>
                <wp:extent cx="2159635" cy="381000"/>
                <wp:effectExtent l="0" t="0" r="12065" b="19050"/>
                <wp:wrapNone/>
                <wp:docPr id="34" name="Obdélník 15"/>
                <wp:cNvGraphicFramePr/>
                <a:graphic xmlns:a="http://schemas.openxmlformats.org/drawingml/2006/main">
                  <a:graphicData uri="http://schemas.microsoft.com/office/word/2010/wordprocessingShape">
                    <wps:wsp>
                      <wps:cNvSpPr/>
                      <wps:spPr>
                        <a:xfrm>
                          <a:off x="0" y="0"/>
                          <a:ext cx="2159635" cy="381000"/>
                        </a:xfrm>
                        <a:prstGeom prst="rect">
                          <a:avLst/>
                        </a:prstGeom>
                        <a:solidFill>
                          <a:srgbClr val="FBD10B"/>
                        </a:solidFill>
                        <a:ln>
                          <a:solidFill>
                            <a:srgbClr val="FBD10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E8E539"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2FAE6093" w14:textId="77777777" w:rsidR="00332A29" w:rsidRPr="00B10426" w:rsidRDefault="00332A29" w:rsidP="00E01070">
                            <w:pPr>
                              <w:pStyle w:val="Normlnweb"/>
                              <w:spacing w:before="0" w:beforeAutospacing="0" w:after="0" w:afterAutospacing="0"/>
                              <w:rPr>
                                <w:sz w:val="18"/>
                                <w:szCs w:val="18"/>
                              </w:rPr>
                            </w:pPr>
                            <w:r>
                              <w:rPr>
                                <w:rFonts w:asciiTheme="minorHAnsi" w:hAnsi="Calibri" w:cstheme="minorBidi"/>
                                <w:b/>
                                <w:bCs/>
                                <w:color w:val="000000" w:themeColor="text1"/>
                                <w:kern w:val="24"/>
                                <w:sz w:val="18"/>
                                <w:szCs w:val="18"/>
                              </w:rPr>
                              <w:t>DEMOGRAFICKÝ VÝVOJ</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A3D5BE4" id="_x0000_s1075" style="position:absolute;left:0;text-align:left;margin-left:538.8pt;margin-top:239.1pt;width:170.05pt;height:3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" fillcolor="#fbd10b" strokecolor="#fbd10b" strokeweight="1pt">
                <v:textbox>
                  <w:txbxContent>
                    <w:p w14:paraId="06E8E539"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2FAE6093" w14:textId="77777777" w:rsidR="00332A29" w:rsidRPr="00B10426" w:rsidRDefault="00332A29" w:rsidP="00E01070">
                      <w:pPr>
                        <w:pStyle w:val="Normlnweb"/>
                        <w:spacing w:before="0" w:beforeAutospacing="0" w:after="0" w:afterAutospacing="0"/>
                        <w:rPr>
                          <w:sz w:val="18"/>
                          <w:szCs w:val="18"/>
                        </w:rPr>
                      </w:pPr>
                      <w:r>
                        <w:rPr>
                          <w:rFonts w:asciiTheme="minorHAnsi" w:hAnsi="Calibri" w:cstheme="minorBidi"/>
                          <w:b/>
                          <w:bCs/>
                          <w:color w:val="000000" w:themeColor="text1"/>
                          <w:kern w:val="24"/>
                          <w:sz w:val="18"/>
                          <w:szCs w:val="18"/>
                        </w:rPr>
                        <w:t>DEMOGRAFICKÝ VÝVOJ</w:t>
                      </w:r>
                    </w:p>
                  </w:txbxContent>
                </v:textbox>
              </v:rect>
            </w:pict>
          </mc:Fallback>
        </mc:AlternateContent>
      </w:r>
      <w:r w:rsidRPr="00D7410A">
        <w:rPr>
          <w:noProof/>
          <w:sz w:val="20"/>
          <w:szCs w:val="20"/>
          <w:lang w:eastAsia="cs-CZ"/>
        </w:rPr>
        <mc:AlternateContent>
          <mc:Choice Requires="wps">
            <w:drawing>
              <wp:anchor distT="0" distB="0" distL="114300" distR="114300" simplePos="0" relativeHeight="251755520" behindDoc="0" locked="0" layoutInCell="1" allowOverlap="1" wp14:anchorId="61A9F33B" wp14:editId="4FE5066F">
                <wp:simplePos x="0" y="0"/>
                <wp:positionH relativeFrom="column">
                  <wp:posOffset>2272030</wp:posOffset>
                </wp:positionH>
                <wp:positionV relativeFrom="paragraph">
                  <wp:posOffset>3031490</wp:posOffset>
                </wp:positionV>
                <wp:extent cx="2159635" cy="381000"/>
                <wp:effectExtent l="0" t="0" r="12065" b="19050"/>
                <wp:wrapNone/>
                <wp:docPr id="307" name="Obdélník 14"/>
                <wp:cNvGraphicFramePr/>
                <a:graphic xmlns:a="http://schemas.openxmlformats.org/drawingml/2006/main">
                  <a:graphicData uri="http://schemas.microsoft.com/office/word/2010/wordprocessingShape">
                    <wps:wsp>
                      <wps:cNvSpPr/>
                      <wps:spPr>
                        <a:xfrm>
                          <a:off x="0" y="0"/>
                          <a:ext cx="2159635" cy="381000"/>
                        </a:xfrm>
                        <a:prstGeom prst="rect">
                          <a:avLst/>
                        </a:prstGeom>
                        <a:solidFill>
                          <a:srgbClr val="FBD10B"/>
                        </a:solidFill>
                        <a:ln>
                          <a:solidFill>
                            <a:srgbClr val="FBD10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BA8F7"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6D4DE31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b/>
                                <w:bCs/>
                                <w:color w:val="000000" w:themeColor="text1"/>
                                <w:kern w:val="24"/>
                                <w:sz w:val="18"/>
                                <w:szCs w:val="18"/>
                              </w:rPr>
                              <w:t>ROZVOJOVÉ PLOCHY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1A9F33B" id="Obdélník 14" o:spid="_x0000_s1076" style="position:absolute;left:0;text-align:left;margin-left:178.9pt;margin-top:238.7pt;width:170.05pt;height:3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" fillcolor="#fbd10b" strokecolor="#fbd10b" strokeweight="1pt">
                <v:textbox>
                  <w:txbxContent>
                    <w:p w14:paraId="4FBBA8F7"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color w:val="000000" w:themeColor="text1"/>
                          <w:kern w:val="24"/>
                          <w:sz w:val="18"/>
                          <w:szCs w:val="18"/>
                        </w:rPr>
                        <w:t>problémová oblast</w:t>
                      </w:r>
                    </w:p>
                    <w:p w14:paraId="6D4DE318" w14:textId="77777777" w:rsidR="00332A29" w:rsidRPr="00B10426" w:rsidRDefault="00332A29" w:rsidP="00E01070">
                      <w:pPr>
                        <w:pStyle w:val="Normlnweb"/>
                        <w:spacing w:before="0" w:beforeAutospacing="0" w:after="0" w:afterAutospacing="0"/>
                        <w:rPr>
                          <w:sz w:val="18"/>
                          <w:szCs w:val="18"/>
                        </w:rPr>
                      </w:pPr>
                      <w:r w:rsidRPr="00B10426">
                        <w:rPr>
                          <w:rFonts w:asciiTheme="minorHAnsi" w:hAnsi="Calibri" w:cstheme="minorBidi"/>
                          <w:b/>
                          <w:bCs/>
                          <w:color w:val="000000" w:themeColor="text1"/>
                          <w:kern w:val="24"/>
                          <w:sz w:val="18"/>
                          <w:szCs w:val="18"/>
                        </w:rPr>
                        <w:t>ROZVOJOVÉ PLOCHY</w:t>
                      </w:r>
                    </w:p>
                  </w:txbxContent>
                </v:textbox>
              </v:rect>
            </w:pict>
          </mc:Fallback>
        </mc:AlternateContent>
      </w:r>
    </w:p>
    <w:p w14:paraId="27F36EF0" w14:textId="77777777" w:rsidR="00E01070" w:rsidRDefault="00E01070" w:rsidP="00E01070">
      <w:pPr>
        <w:spacing w:before="0" w:after="160" w:line="259" w:lineRule="auto"/>
        <w:jc w:val="left"/>
        <w:sectPr w:rsidR="00E01070" w:rsidSect="00FB7BF4">
          <w:headerReference w:type="default" r:id="rId296"/>
          <w:pgSz w:w="16838" w:h="11906" w:orient="landscape"/>
          <w:pgMar w:top="1417" w:right="1417" w:bottom="1417" w:left="1417" w:header="708" w:footer="708" w:gutter="0"/>
          <w:cols w:space="708"/>
          <w:docGrid w:linePitch="360"/>
        </w:sectPr>
      </w:pPr>
    </w:p>
    <w:p w14:paraId="40F3BC3D" w14:textId="77777777" w:rsidR="00E01070" w:rsidRDefault="00E01070" w:rsidP="00E01070">
      <w:pPr>
        <w:pStyle w:val="Nadpis2"/>
      </w:pPr>
      <w:bookmarkStart w:id="1150" w:name="_Toc50389151"/>
      <w:bookmarkStart w:id="1151" w:name="_Toc53474270"/>
      <w:bookmarkStart w:id="1152" w:name="_Toc77074672"/>
      <w:r>
        <w:t>Identifikovaný rozvojový potenciál města</w:t>
      </w:r>
      <w:bookmarkEnd w:id="1150"/>
      <w:bookmarkEnd w:id="1151"/>
      <w:bookmarkEnd w:id="1152"/>
    </w:p>
    <w:p w14:paraId="61893BD6" w14:textId="77777777" w:rsidR="00E01070" w:rsidRDefault="00E01070" w:rsidP="00E01070">
      <w:r>
        <w:t>R</w:t>
      </w:r>
      <w:r w:rsidRPr="00376F76">
        <w:t xml:space="preserve">ozvojový potenciál představuje souhrn </w:t>
      </w:r>
      <w:r>
        <w:t>vnitřních podmínek a zdrojů města</w:t>
      </w:r>
      <w:r w:rsidRPr="00376F76">
        <w:t xml:space="preserve">, které mohou stimulovat ekonomický, </w:t>
      </w:r>
      <w:r>
        <w:t>sociální</w:t>
      </w:r>
      <w:r w:rsidRPr="00376F76">
        <w:t xml:space="preserve"> </w:t>
      </w:r>
      <w:r>
        <w:t xml:space="preserve">a environmentální </w:t>
      </w:r>
      <w:r w:rsidRPr="00376F76">
        <w:t>rozvoj</w:t>
      </w:r>
      <w:r>
        <w:t xml:space="preserve">. Níže jsou definovány možnosti rozvoje dle tematických oblastí, které vyplývají z analýzy vnitřního prostředí. </w:t>
      </w:r>
    </w:p>
    <w:p w14:paraId="68C96C1D" w14:textId="77777777" w:rsidR="00E01070" w:rsidRDefault="00E01070" w:rsidP="00E01070"/>
    <w:tbl>
      <w:tblPr>
        <w:tblStyle w:val="Mkatabulky"/>
        <w:tblW w:w="0" w:type="auto"/>
        <w:shd w:val="clear" w:color="auto" w:fill="FFF0A3"/>
        <w:tblLook w:val="04A0" w:firstRow="1" w:lastRow="0" w:firstColumn="1" w:lastColumn="0" w:noHBand="0" w:noVBand="1"/>
      </w:tblPr>
      <w:tblGrid>
        <w:gridCol w:w="9062"/>
      </w:tblGrid>
      <w:tr w:rsidR="00E01070" w14:paraId="189C3C64" w14:textId="77777777" w:rsidTr="003708B4">
        <w:tc>
          <w:tcPr>
            <w:tcW w:w="9062" w:type="dxa"/>
            <w:shd w:val="clear" w:color="auto" w:fill="FFF0A3"/>
          </w:tcPr>
          <w:p w14:paraId="1245798B" w14:textId="77777777" w:rsidR="00E01070" w:rsidRPr="002073CE" w:rsidRDefault="00E01070" w:rsidP="00FB7BF4">
            <w:pPr>
              <w:rPr>
                <w:b/>
                <w:sz w:val="24"/>
              </w:rPr>
            </w:pPr>
            <w:r w:rsidRPr="002073CE">
              <w:rPr>
                <w:b/>
                <w:sz w:val="24"/>
              </w:rPr>
              <w:t>Tematická oblast Územní plánování a urbanismus</w:t>
            </w:r>
          </w:p>
          <w:p w14:paraId="0E547748" w14:textId="77777777" w:rsidR="00E01070" w:rsidRDefault="00E01070" w:rsidP="00FB7BF4">
            <w:pPr>
              <w:rPr>
                <w:b/>
              </w:rPr>
            </w:pPr>
            <w:r>
              <w:rPr>
                <w:b/>
              </w:rPr>
              <w:t>Potenciálem je dlouhodobý koncepční urbanistický rozvoj města s rozvojem níže uvedených dílčích oblastí:</w:t>
            </w:r>
          </w:p>
          <w:p w14:paraId="5970B7F5" w14:textId="77777777" w:rsidR="00E01070" w:rsidRDefault="00E01070" w:rsidP="00E01070">
            <w:pPr>
              <w:pStyle w:val="Odstavecseseznamem"/>
              <w:numPr>
                <w:ilvl w:val="0"/>
                <w:numId w:val="140"/>
              </w:numPr>
              <w:ind w:left="313" w:hanging="284"/>
              <w:rPr>
                <w:szCs w:val="24"/>
              </w:rPr>
            </w:pPr>
            <w:r w:rsidRPr="00C368CB">
              <w:rPr>
                <w:szCs w:val="24"/>
              </w:rPr>
              <w:t>Dosažení vysokého standardu nově vznikající architektury v souladu s tradicí Zlína.</w:t>
            </w:r>
          </w:p>
          <w:p w14:paraId="544E11B0" w14:textId="77777777" w:rsidR="00E01070" w:rsidRDefault="00E01070" w:rsidP="00E01070">
            <w:pPr>
              <w:pStyle w:val="Odstavecseseznamem"/>
              <w:numPr>
                <w:ilvl w:val="0"/>
                <w:numId w:val="140"/>
              </w:numPr>
              <w:ind w:left="313" w:hanging="284"/>
              <w:rPr>
                <w:szCs w:val="24"/>
              </w:rPr>
            </w:pPr>
            <w:r w:rsidRPr="00C368CB">
              <w:rPr>
                <w:szCs w:val="24"/>
              </w:rPr>
              <w:t>Pokračování v trendu revitalizace veřejného prostoru a památkově chráněných budov.</w:t>
            </w:r>
          </w:p>
          <w:p w14:paraId="5209650D" w14:textId="77777777" w:rsidR="00E01070" w:rsidRDefault="00E01070" w:rsidP="00E01070">
            <w:pPr>
              <w:pStyle w:val="Odstavecseseznamem"/>
              <w:numPr>
                <w:ilvl w:val="0"/>
                <w:numId w:val="140"/>
              </w:numPr>
              <w:ind w:left="313" w:hanging="284"/>
              <w:rPr>
                <w:szCs w:val="24"/>
              </w:rPr>
            </w:pPr>
            <w:r w:rsidRPr="00C368CB">
              <w:rPr>
                <w:szCs w:val="24"/>
              </w:rPr>
              <w:t>Podpora zachování vysokého podílu zelených ploch ve veřejném prostoru vycházející z koncepce zahradního města.</w:t>
            </w:r>
          </w:p>
          <w:p w14:paraId="4D7694F0" w14:textId="77777777" w:rsidR="00E01070" w:rsidRPr="00C368CB" w:rsidRDefault="00E01070" w:rsidP="00E01070">
            <w:pPr>
              <w:pStyle w:val="Odstavecseseznamem"/>
              <w:numPr>
                <w:ilvl w:val="0"/>
                <w:numId w:val="140"/>
              </w:numPr>
              <w:ind w:left="313" w:hanging="284"/>
              <w:rPr>
                <w:szCs w:val="24"/>
              </w:rPr>
            </w:pPr>
            <w:r>
              <w:t>Kvalitní obnova památkově hodnotných objektů a souborů.</w:t>
            </w:r>
          </w:p>
          <w:p w14:paraId="593CA6A2" w14:textId="77777777" w:rsidR="00E01070" w:rsidRDefault="00E01070" w:rsidP="00E01070">
            <w:pPr>
              <w:pStyle w:val="Odstavecseseznamem"/>
              <w:numPr>
                <w:ilvl w:val="0"/>
                <w:numId w:val="140"/>
              </w:numPr>
              <w:ind w:left="313" w:hanging="284"/>
              <w:rPr>
                <w:szCs w:val="24"/>
              </w:rPr>
            </w:pPr>
            <w:r w:rsidRPr="00C368CB">
              <w:rPr>
                <w:szCs w:val="24"/>
              </w:rPr>
              <w:t>Revitalizace Baťova areálu a jeho začlenění do širšího centra.</w:t>
            </w:r>
          </w:p>
          <w:p w14:paraId="06D180D4" w14:textId="77777777" w:rsidR="00E01070" w:rsidRDefault="00E01070" w:rsidP="00E01070">
            <w:pPr>
              <w:pStyle w:val="Odstavecseseznamem"/>
              <w:numPr>
                <w:ilvl w:val="0"/>
                <w:numId w:val="140"/>
              </w:numPr>
              <w:ind w:left="313" w:hanging="284"/>
              <w:rPr>
                <w:szCs w:val="24"/>
              </w:rPr>
            </w:pPr>
            <w:r w:rsidRPr="00C368CB">
              <w:rPr>
                <w:szCs w:val="24"/>
              </w:rPr>
              <w:t>Využití potenciálu Univerzity Tomáše Bati při rozvoji znalostní ekonomiky.</w:t>
            </w:r>
          </w:p>
          <w:p w14:paraId="2E47EEAD" w14:textId="77777777" w:rsidR="00E01070" w:rsidRPr="00C368CB" w:rsidRDefault="00E01070" w:rsidP="00E01070">
            <w:pPr>
              <w:pStyle w:val="Odstavecseseznamem"/>
              <w:numPr>
                <w:ilvl w:val="0"/>
                <w:numId w:val="140"/>
              </w:numPr>
              <w:ind w:left="313" w:hanging="284"/>
              <w:rPr>
                <w:szCs w:val="24"/>
              </w:rPr>
            </w:pPr>
            <w:r w:rsidRPr="00C368CB">
              <w:rPr>
                <w:szCs w:val="24"/>
              </w:rPr>
              <w:t xml:space="preserve">Zvýšení atraktivity bydlení ve městě - podpora dostupnosti bydlení, </w:t>
            </w:r>
            <w:r>
              <w:t>regenerace obytných čtvrtí včetně panelových sídlišť.</w:t>
            </w:r>
          </w:p>
        </w:tc>
      </w:tr>
    </w:tbl>
    <w:p w14:paraId="3CC57E21" w14:textId="77777777" w:rsidR="00E01070" w:rsidRDefault="00E01070" w:rsidP="00E01070">
      <w:pPr>
        <w:rPr>
          <w:b/>
          <w:sz w:val="24"/>
        </w:rPr>
      </w:pPr>
    </w:p>
    <w:tbl>
      <w:tblPr>
        <w:tblStyle w:val="Mkatabulky"/>
        <w:tblW w:w="0" w:type="auto"/>
        <w:shd w:val="clear" w:color="auto" w:fill="FF6D6D"/>
        <w:tblLook w:val="04A0" w:firstRow="1" w:lastRow="0" w:firstColumn="1" w:lastColumn="0" w:noHBand="0" w:noVBand="1"/>
      </w:tblPr>
      <w:tblGrid>
        <w:gridCol w:w="9062"/>
      </w:tblGrid>
      <w:tr w:rsidR="00E01070" w14:paraId="7239AE33" w14:textId="77777777" w:rsidTr="00FB7BF4">
        <w:tc>
          <w:tcPr>
            <w:tcW w:w="9062" w:type="dxa"/>
            <w:shd w:val="clear" w:color="auto" w:fill="FFABAB"/>
          </w:tcPr>
          <w:p w14:paraId="7F847B7F" w14:textId="77777777" w:rsidR="00E01070" w:rsidRPr="002073CE" w:rsidRDefault="00E01070" w:rsidP="00FB7BF4">
            <w:pPr>
              <w:suppressAutoHyphens/>
              <w:spacing w:before="0"/>
              <w:contextualSpacing/>
              <w:jc w:val="left"/>
              <w:rPr>
                <w:b/>
                <w:sz w:val="24"/>
                <w:szCs w:val="24"/>
              </w:rPr>
            </w:pPr>
            <w:r w:rsidRPr="002073CE">
              <w:rPr>
                <w:b/>
                <w:sz w:val="24"/>
                <w:szCs w:val="24"/>
              </w:rPr>
              <w:t>Tematická oblast Kvalita života</w:t>
            </w:r>
          </w:p>
          <w:p w14:paraId="1882AA3B" w14:textId="77777777" w:rsidR="00E01070" w:rsidRDefault="00E01070" w:rsidP="00FB7BF4">
            <w:pPr>
              <w:rPr>
                <w:b/>
              </w:rPr>
            </w:pPr>
            <w:r>
              <w:rPr>
                <w:b/>
              </w:rPr>
              <w:t>Potenciálem je udržení vysoké kvality života obyvatel s rozvojem níže uvedených dílčích oblastí:</w:t>
            </w:r>
          </w:p>
          <w:p w14:paraId="67C94CE8" w14:textId="77777777" w:rsidR="00E01070" w:rsidRPr="002073CE" w:rsidRDefault="00E01070" w:rsidP="00E01070">
            <w:pPr>
              <w:pStyle w:val="Odstavecseseznamem"/>
              <w:numPr>
                <w:ilvl w:val="0"/>
                <w:numId w:val="140"/>
              </w:numPr>
              <w:ind w:left="313" w:hanging="284"/>
              <w:rPr>
                <w:szCs w:val="24"/>
              </w:rPr>
            </w:pPr>
            <w:r w:rsidRPr="00C368CB">
              <w:rPr>
                <w:szCs w:val="24"/>
              </w:rPr>
              <w:t>Za</w:t>
            </w:r>
            <w:r w:rsidRPr="002073CE">
              <w:rPr>
                <w:szCs w:val="24"/>
              </w:rPr>
              <w:t>traktivnění města pro mladé, prorodinná politika</w:t>
            </w:r>
            <w:r>
              <w:rPr>
                <w:szCs w:val="24"/>
              </w:rPr>
              <w:t>.</w:t>
            </w:r>
          </w:p>
          <w:p w14:paraId="30985851" w14:textId="77777777" w:rsidR="00E01070" w:rsidRPr="004E4B2F" w:rsidRDefault="00E01070" w:rsidP="00E01070">
            <w:pPr>
              <w:pStyle w:val="Odstavecseseznamem"/>
              <w:numPr>
                <w:ilvl w:val="0"/>
                <w:numId w:val="140"/>
              </w:numPr>
              <w:ind w:left="313" w:hanging="284"/>
              <w:rPr>
                <w:szCs w:val="24"/>
              </w:rPr>
            </w:pPr>
            <w:r w:rsidRPr="004E4B2F">
              <w:rPr>
                <w:szCs w:val="24"/>
              </w:rPr>
              <w:t>Vytvoření podmínek pro dostatečné kapacity sociálních služeb</w:t>
            </w:r>
            <w:r>
              <w:rPr>
                <w:szCs w:val="24"/>
              </w:rPr>
              <w:t>.</w:t>
            </w:r>
          </w:p>
          <w:p w14:paraId="5F80F4D0" w14:textId="77777777" w:rsidR="00E01070" w:rsidRPr="004E4B2F" w:rsidRDefault="00E01070" w:rsidP="00E01070">
            <w:pPr>
              <w:pStyle w:val="Odstavecseseznamem"/>
              <w:numPr>
                <w:ilvl w:val="0"/>
                <w:numId w:val="140"/>
              </w:numPr>
              <w:ind w:left="313" w:hanging="284"/>
              <w:rPr>
                <w:szCs w:val="24"/>
              </w:rPr>
            </w:pPr>
            <w:r w:rsidRPr="004E4B2F">
              <w:rPr>
                <w:szCs w:val="24"/>
              </w:rPr>
              <w:t>Spolupráce města a neziskových organizací na zlepšování sociální situace</w:t>
            </w:r>
            <w:r>
              <w:rPr>
                <w:szCs w:val="24"/>
              </w:rPr>
              <w:t xml:space="preserve"> znevýhodněných skupin obyvatel.</w:t>
            </w:r>
          </w:p>
          <w:p w14:paraId="713CC426" w14:textId="77777777" w:rsidR="00E01070" w:rsidRPr="0032433D" w:rsidRDefault="00E01070" w:rsidP="00E01070">
            <w:pPr>
              <w:pStyle w:val="Odstavecseseznamem"/>
              <w:numPr>
                <w:ilvl w:val="0"/>
                <w:numId w:val="140"/>
              </w:numPr>
              <w:ind w:left="313" w:hanging="284"/>
              <w:rPr>
                <w:szCs w:val="24"/>
              </w:rPr>
            </w:pPr>
            <w:r w:rsidRPr="0032433D">
              <w:rPr>
                <w:szCs w:val="24"/>
              </w:rPr>
              <w:t>Modernizace zdravotní péče.</w:t>
            </w:r>
          </w:p>
          <w:p w14:paraId="6242E247" w14:textId="6B356E51" w:rsidR="00C032A5" w:rsidRPr="0032433D" w:rsidRDefault="00C032A5" w:rsidP="00C032A5">
            <w:pPr>
              <w:pStyle w:val="Odstavecseseznamem"/>
              <w:numPr>
                <w:ilvl w:val="0"/>
                <w:numId w:val="140"/>
              </w:numPr>
              <w:ind w:left="313" w:hanging="284"/>
              <w:rPr>
                <w:szCs w:val="24"/>
              </w:rPr>
            </w:pPr>
            <w:r w:rsidRPr="0032433D">
              <w:rPr>
                <w:szCs w:val="24"/>
              </w:rPr>
              <w:t>Podpora kultury a realizace kulturních akcí regionálního i nadregionálního významu.</w:t>
            </w:r>
          </w:p>
          <w:p w14:paraId="433DD7EC" w14:textId="77777777" w:rsidR="00E01070" w:rsidRPr="0032433D" w:rsidRDefault="00E01070" w:rsidP="00E01070">
            <w:pPr>
              <w:pStyle w:val="Odstavecseseznamem"/>
              <w:numPr>
                <w:ilvl w:val="0"/>
                <w:numId w:val="140"/>
              </w:numPr>
              <w:ind w:left="313" w:hanging="284"/>
              <w:rPr>
                <w:szCs w:val="24"/>
              </w:rPr>
            </w:pPr>
            <w:r w:rsidRPr="0032433D">
              <w:rPr>
                <w:szCs w:val="24"/>
              </w:rPr>
              <w:t>Pokračování v trendu rekultivace parků a veřejných prostranství i v okrajových částech města.</w:t>
            </w:r>
          </w:p>
          <w:p w14:paraId="369144CA" w14:textId="77777777" w:rsidR="00E01070" w:rsidRPr="004E4B2F" w:rsidRDefault="00E01070" w:rsidP="00E01070">
            <w:pPr>
              <w:pStyle w:val="Odstavecseseznamem"/>
              <w:numPr>
                <w:ilvl w:val="0"/>
                <w:numId w:val="140"/>
              </w:numPr>
              <w:ind w:left="313" w:hanging="284"/>
              <w:rPr>
                <w:szCs w:val="24"/>
              </w:rPr>
            </w:pPr>
            <w:r w:rsidRPr="0032433D">
              <w:rPr>
                <w:szCs w:val="24"/>
              </w:rPr>
              <w:t>Podpora výsadby stromů a zelených</w:t>
            </w:r>
            <w:r w:rsidRPr="004E4B2F">
              <w:rPr>
                <w:szCs w:val="24"/>
              </w:rPr>
              <w:t xml:space="preserve"> ploch v prostoru mezi zástavbou</w:t>
            </w:r>
            <w:r>
              <w:rPr>
                <w:szCs w:val="24"/>
              </w:rPr>
              <w:t>.</w:t>
            </w:r>
          </w:p>
          <w:p w14:paraId="7E08BADE" w14:textId="77777777" w:rsidR="00E01070" w:rsidRPr="004E4B2F" w:rsidRDefault="00E01070" w:rsidP="00E01070">
            <w:pPr>
              <w:pStyle w:val="Odstavecseseznamem"/>
              <w:numPr>
                <w:ilvl w:val="0"/>
                <w:numId w:val="140"/>
              </w:numPr>
              <w:ind w:left="313" w:hanging="284"/>
              <w:rPr>
                <w:szCs w:val="24"/>
              </w:rPr>
            </w:pPr>
            <w:r w:rsidRPr="004E4B2F">
              <w:rPr>
                <w:szCs w:val="24"/>
              </w:rPr>
              <w:t>Adaptační opatření reflektující klimatické změny (zachytávání a využití dešťové vody k ochlazování veřejného prostoru, zelené střechy a stěny)</w:t>
            </w:r>
            <w:r>
              <w:rPr>
                <w:szCs w:val="24"/>
              </w:rPr>
              <w:t>.</w:t>
            </w:r>
          </w:p>
          <w:p w14:paraId="2FF5CD69" w14:textId="77777777" w:rsidR="00E01070" w:rsidRPr="009E1408" w:rsidRDefault="00E01070" w:rsidP="00E01070">
            <w:pPr>
              <w:pStyle w:val="Odstavecseseznamem"/>
              <w:numPr>
                <w:ilvl w:val="0"/>
                <w:numId w:val="140"/>
              </w:numPr>
              <w:ind w:left="313" w:hanging="284"/>
              <w:rPr>
                <w:szCs w:val="24"/>
              </w:rPr>
            </w:pPr>
            <w:r w:rsidRPr="00C368CB">
              <w:rPr>
                <w:szCs w:val="24"/>
              </w:rPr>
              <w:t>Snížení světelného znečištění</w:t>
            </w:r>
            <w:r>
              <w:rPr>
                <w:szCs w:val="24"/>
              </w:rPr>
              <w:t>.</w:t>
            </w:r>
          </w:p>
          <w:p w14:paraId="03D60B3E" w14:textId="77777777" w:rsidR="00E01070" w:rsidRPr="004E4B2F" w:rsidRDefault="00E01070" w:rsidP="00E01070">
            <w:pPr>
              <w:pStyle w:val="Odstavecseseznamem"/>
              <w:numPr>
                <w:ilvl w:val="0"/>
                <w:numId w:val="140"/>
              </w:numPr>
              <w:ind w:left="313" w:hanging="284"/>
              <w:rPr>
                <w:szCs w:val="24"/>
              </w:rPr>
            </w:pPr>
            <w:r w:rsidRPr="00C368CB">
              <w:rPr>
                <w:szCs w:val="24"/>
              </w:rPr>
              <w:t>Úspora energie ve veřejných městských budovách</w:t>
            </w:r>
            <w:r>
              <w:rPr>
                <w:szCs w:val="24"/>
              </w:rPr>
              <w:t>.</w:t>
            </w:r>
          </w:p>
          <w:p w14:paraId="4579F1AF" w14:textId="77777777" w:rsidR="00E01070" w:rsidRPr="00645708" w:rsidRDefault="00E01070" w:rsidP="00E01070">
            <w:pPr>
              <w:pStyle w:val="Odstavecseseznamem"/>
              <w:numPr>
                <w:ilvl w:val="0"/>
                <w:numId w:val="140"/>
              </w:numPr>
              <w:ind w:left="313" w:hanging="284"/>
              <w:rPr>
                <w:szCs w:val="24"/>
              </w:rPr>
            </w:pPr>
            <w:r w:rsidRPr="00C368CB">
              <w:rPr>
                <w:szCs w:val="24"/>
              </w:rPr>
              <w:t>Využití potenciálu studentů i absolventů UTB pro</w:t>
            </w:r>
            <w:r w:rsidRPr="004E4B2F">
              <w:t xml:space="preserve"> další rozvoj města</w:t>
            </w:r>
            <w:r>
              <w:t>.</w:t>
            </w:r>
          </w:p>
        </w:tc>
      </w:tr>
    </w:tbl>
    <w:p w14:paraId="29DCBC63" w14:textId="77777777" w:rsidR="00E01070" w:rsidRDefault="00E01070" w:rsidP="00E01070">
      <w:pPr>
        <w:rPr>
          <w:b/>
          <w:sz w:val="24"/>
        </w:rPr>
      </w:pPr>
    </w:p>
    <w:tbl>
      <w:tblPr>
        <w:tblStyle w:val="Mkatabulky"/>
        <w:tblW w:w="0" w:type="auto"/>
        <w:shd w:val="clear" w:color="auto" w:fill="A8D08D" w:themeFill="accent6" w:themeFillTint="99"/>
        <w:tblLook w:val="04A0" w:firstRow="1" w:lastRow="0" w:firstColumn="1" w:lastColumn="0" w:noHBand="0" w:noVBand="1"/>
      </w:tblPr>
      <w:tblGrid>
        <w:gridCol w:w="9062"/>
      </w:tblGrid>
      <w:tr w:rsidR="00E01070" w14:paraId="776063D6" w14:textId="77777777" w:rsidTr="00FB7BF4">
        <w:tc>
          <w:tcPr>
            <w:tcW w:w="9062" w:type="dxa"/>
            <w:shd w:val="clear" w:color="auto" w:fill="CBE3BB"/>
          </w:tcPr>
          <w:p w14:paraId="1433DE23" w14:textId="2C700D52" w:rsidR="00E01070" w:rsidRPr="002073CE" w:rsidRDefault="00E01070" w:rsidP="00FB7BF4">
            <w:pPr>
              <w:suppressAutoHyphens/>
              <w:spacing w:before="0"/>
              <w:contextualSpacing/>
              <w:jc w:val="left"/>
              <w:rPr>
                <w:b/>
                <w:sz w:val="24"/>
                <w:szCs w:val="24"/>
              </w:rPr>
            </w:pPr>
            <w:r w:rsidRPr="002073CE">
              <w:rPr>
                <w:b/>
                <w:sz w:val="24"/>
                <w:szCs w:val="24"/>
              </w:rPr>
              <w:t>Tematická oblast</w:t>
            </w:r>
            <w:r w:rsidRPr="002073CE">
              <w:rPr>
                <w:sz w:val="24"/>
                <w:szCs w:val="24"/>
              </w:rPr>
              <w:t xml:space="preserve"> </w:t>
            </w:r>
            <w:r w:rsidRPr="002073CE">
              <w:rPr>
                <w:b/>
                <w:sz w:val="24"/>
                <w:szCs w:val="24"/>
              </w:rPr>
              <w:t>Vzdělá</w:t>
            </w:r>
            <w:r w:rsidR="00757ADA">
              <w:rPr>
                <w:b/>
                <w:sz w:val="24"/>
                <w:szCs w:val="24"/>
              </w:rPr>
              <w:t>vá</w:t>
            </w:r>
            <w:r w:rsidRPr="002073CE">
              <w:rPr>
                <w:b/>
                <w:sz w:val="24"/>
                <w:szCs w:val="24"/>
              </w:rPr>
              <w:t>ní</w:t>
            </w:r>
          </w:p>
          <w:p w14:paraId="24DD92B9" w14:textId="77777777" w:rsidR="00E01070" w:rsidRDefault="00E01070" w:rsidP="00FB7BF4">
            <w:pPr>
              <w:rPr>
                <w:b/>
              </w:rPr>
            </w:pPr>
            <w:r>
              <w:rPr>
                <w:b/>
              </w:rPr>
              <w:t xml:space="preserve">Potenciálem je </w:t>
            </w:r>
            <w:r w:rsidRPr="006A67E6">
              <w:rPr>
                <w:b/>
                <w:bCs/>
              </w:rPr>
              <w:t>budování kvalitních škol nabízející</w:t>
            </w:r>
            <w:r>
              <w:rPr>
                <w:b/>
                <w:bCs/>
              </w:rPr>
              <w:t>ch</w:t>
            </w:r>
            <w:r w:rsidRPr="006A67E6">
              <w:rPr>
                <w:b/>
                <w:bCs/>
              </w:rPr>
              <w:t xml:space="preserve"> atraktivní moderní</w:t>
            </w:r>
            <w:r>
              <w:rPr>
                <w:b/>
              </w:rPr>
              <w:t xml:space="preserve"> vzdělávání s rozvojem níže uvedených dílčích oblastí:</w:t>
            </w:r>
          </w:p>
          <w:p w14:paraId="63528AE9" w14:textId="77777777" w:rsidR="00E01070" w:rsidRPr="002073CE" w:rsidRDefault="00E01070" w:rsidP="00E01070">
            <w:pPr>
              <w:pStyle w:val="Odstavecseseznamem"/>
              <w:numPr>
                <w:ilvl w:val="0"/>
                <w:numId w:val="140"/>
              </w:numPr>
              <w:ind w:left="313" w:hanging="284"/>
              <w:rPr>
                <w:szCs w:val="24"/>
              </w:rPr>
            </w:pPr>
            <w:r w:rsidRPr="002073CE">
              <w:rPr>
                <w:szCs w:val="24"/>
              </w:rPr>
              <w:t>Zvyšování kvality vzdělávání na všech stupních - budování odborných učeben, modernizace</w:t>
            </w:r>
            <w:r>
              <w:rPr>
                <w:szCs w:val="24"/>
              </w:rPr>
              <w:t>,</w:t>
            </w:r>
            <w:r w:rsidRPr="002073CE">
              <w:rPr>
                <w:szCs w:val="24"/>
              </w:rPr>
              <w:t xml:space="preserve"> vybavení š</w:t>
            </w:r>
            <w:r w:rsidRPr="00C368CB">
              <w:rPr>
                <w:szCs w:val="24"/>
              </w:rPr>
              <w:t xml:space="preserve">kol, </w:t>
            </w:r>
            <w:r w:rsidRPr="002073CE">
              <w:rPr>
                <w:szCs w:val="24"/>
              </w:rPr>
              <w:t>optimalizace počtu žáků ve třídách i ve skupinách, t</w:t>
            </w:r>
            <w:r w:rsidRPr="00C368CB">
              <w:rPr>
                <w:szCs w:val="24"/>
              </w:rPr>
              <w:t>echnologie do škol</w:t>
            </w:r>
            <w:r>
              <w:rPr>
                <w:szCs w:val="24"/>
              </w:rPr>
              <w:t>.</w:t>
            </w:r>
          </w:p>
          <w:p w14:paraId="70A80653" w14:textId="77777777" w:rsidR="00E01070" w:rsidRPr="00985455" w:rsidRDefault="00E01070" w:rsidP="00E01070">
            <w:pPr>
              <w:pStyle w:val="Odstavecseseznamem"/>
              <w:numPr>
                <w:ilvl w:val="0"/>
                <w:numId w:val="140"/>
              </w:numPr>
              <w:ind w:left="313" w:hanging="284"/>
              <w:rPr>
                <w:szCs w:val="24"/>
              </w:rPr>
            </w:pPr>
            <w:r w:rsidRPr="00985455">
              <w:rPr>
                <w:szCs w:val="24"/>
              </w:rPr>
              <w:t>Zlepšování podmínek pro výuku mimořádně nadaných žáků na školách</w:t>
            </w:r>
            <w:r>
              <w:rPr>
                <w:szCs w:val="24"/>
              </w:rPr>
              <w:t>.</w:t>
            </w:r>
          </w:p>
          <w:p w14:paraId="79079DC1" w14:textId="77777777" w:rsidR="00E01070" w:rsidRPr="00C7168A" w:rsidRDefault="00E01070" w:rsidP="00E01070">
            <w:pPr>
              <w:pStyle w:val="Odstavecseseznamem"/>
              <w:numPr>
                <w:ilvl w:val="0"/>
                <w:numId w:val="140"/>
              </w:numPr>
              <w:ind w:left="313" w:hanging="284"/>
              <w:rPr>
                <w:szCs w:val="24"/>
              </w:rPr>
            </w:pPr>
            <w:r w:rsidRPr="00C368CB">
              <w:rPr>
                <w:szCs w:val="24"/>
              </w:rPr>
              <w:t>Zvýšení úrovně přípravy budoucích pedagogů</w:t>
            </w:r>
            <w:r>
              <w:rPr>
                <w:szCs w:val="24"/>
              </w:rPr>
              <w:t>.</w:t>
            </w:r>
          </w:p>
          <w:p w14:paraId="343BDBD7" w14:textId="77777777" w:rsidR="00E01070" w:rsidRPr="00C7168A" w:rsidRDefault="00E01070" w:rsidP="00E01070">
            <w:pPr>
              <w:pStyle w:val="Odstavecseseznamem"/>
              <w:numPr>
                <w:ilvl w:val="0"/>
                <w:numId w:val="140"/>
              </w:numPr>
              <w:ind w:left="313" w:hanging="284"/>
              <w:rPr>
                <w:szCs w:val="24"/>
              </w:rPr>
            </w:pPr>
            <w:r>
              <w:rPr>
                <w:szCs w:val="24"/>
              </w:rPr>
              <w:t>Vycházet ze vzdělávacího systému fy Baťa včetně podpory experimentálního vzdělávání.</w:t>
            </w:r>
          </w:p>
          <w:p w14:paraId="776DA224" w14:textId="77777777" w:rsidR="00E01070" w:rsidRPr="00985455" w:rsidRDefault="00E01070" w:rsidP="00E01070">
            <w:pPr>
              <w:pStyle w:val="Odstavecseseznamem"/>
              <w:numPr>
                <w:ilvl w:val="0"/>
                <w:numId w:val="140"/>
              </w:numPr>
              <w:ind w:left="313" w:hanging="284"/>
              <w:rPr>
                <w:szCs w:val="24"/>
              </w:rPr>
            </w:pPr>
            <w:r w:rsidRPr="00985455">
              <w:rPr>
                <w:szCs w:val="24"/>
              </w:rPr>
              <w:t>Podpora řemeslných oborů na školách</w:t>
            </w:r>
            <w:r>
              <w:rPr>
                <w:szCs w:val="24"/>
              </w:rPr>
              <w:t>.</w:t>
            </w:r>
          </w:p>
          <w:p w14:paraId="43F23384" w14:textId="77777777" w:rsidR="00E01070" w:rsidRPr="00772ED9" w:rsidRDefault="00E01070" w:rsidP="00E01070">
            <w:pPr>
              <w:pStyle w:val="Odstavecseseznamem"/>
              <w:numPr>
                <w:ilvl w:val="0"/>
                <w:numId w:val="140"/>
              </w:numPr>
              <w:ind w:left="313" w:hanging="284"/>
              <w:rPr>
                <w:szCs w:val="24"/>
              </w:rPr>
            </w:pPr>
            <w:r>
              <w:rPr>
                <w:szCs w:val="24"/>
              </w:rPr>
              <w:t>Udržení t</w:t>
            </w:r>
            <w:r w:rsidRPr="00772ED9">
              <w:rPr>
                <w:szCs w:val="24"/>
              </w:rPr>
              <w:t>radice technického vzdělávání v</w:t>
            </w:r>
            <w:r>
              <w:rPr>
                <w:szCs w:val="24"/>
              </w:rPr>
              <w:t> </w:t>
            </w:r>
            <w:r w:rsidRPr="00772ED9">
              <w:rPr>
                <w:szCs w:val="24"/>
              </w:rPr>
              <w:t>regionu</w:t>
            </w:r>
            <w:r>
              <w:rPr>
                <w:szCs w:val="24"/>
              </w:rPr>
              <w:t>.</w:t>
            </w:r>
          </w:p>
          <w:p w14:paraId="3DAF3348" w14:textId="77777777" w:rsidR="00E01070" w:rsidRPr="00772A8C" w:rsidRDefault="00E01070" w:rsidP="00E01070">
            <w:pPr>
              <w:pStyle w:val="Odstavecseseznamem"/>
              <w:numPr>
                <w:ilvl w:val="0"/>
                <w:numId w:val="140"/>
              </w:numPr>
              <w:ind w:left="313" w:hanging="284"/>
              <w:rPr>
                <w:szCs w:val="24"/>
              </w:rPr>
            </w:pPr>
            <w:r w:rsidRPr="00C368CB">
              <w:rPr>
                <w:szCs w:val="24"/>
              </w:rPr>
              <w:t>Rozvoj on-line výuky na školách</w:t>
            </w:r>
            <w:r>
              <w:rPr>
                <w:szCs w:val="24"/>
              </w:rPr>
              <w:t>.</w:t>
            </w:r>
          </w:p>
          <w:p w14:paraId="054F3351" w14:textId="6944C10A" w:rsidR="00E01070" w:rsidRPr="006A67E6" w:rsidRDefault="0023746C" w:rsidP="00E01070">
            <w:pPr>
              <w:pStyle w:val="Odstavecseseznamem"/>
              <w:numPr>
                <w:ilvl w:val="0"/>
                <w:numId w:val="140"/>
              </w:numPr>
              <w:ind w:left="313" w:hanging="284"/>
              <w:rPr>
                <w:szCs w:val="24"/>
              </w:rPr>
            </w:pPr>
            <w:r w:rsidRPr="0023746C">
              <w:rPr>
                <w:szCs w:val="24"/>
              </w:rPr>
              <w:t>Rozvoj oborů směřujících do tradičních i moderních odvětví s vysokou přidanou hodnotou</w:t>
            </w:r>
            <w:r w:rsidR="00E01070">
              <w:rPr>
                <w:szCs w:val="24"/>
              </w:rPr>
              <w:t>.</w:t>
            </w:r>
          </w:p>
          <w:p w14:paraId="4A705BF4" w14:textId="76F10224" w:rsidR="00E01070" w:rsidRDefault="00E01070" w:rsidP="00E01070">
            <w:pPr>
              <w:pStyle w:val="Odstavecseseznamem"/>
              <w:numPr>
                <w:ilvl w:val="0"/>
                <w:numId w:val="140"/>
              </w:numPr>
              <w:ind w:left="313" w:hanging="284"/>
              <w:rPr>
                <w:szCs w:val="24"/>
              </w:rPr>
            </w:pPr>
            <w:r w:rsidRPr="006A67E6">
              <w:rPr>
                <w:szCs w:val="24"/>
              </w:rPr>
              <w:t>Spolupráce napříč školami všech stupňů vzdělávání - pokračování v realizaci projekt</w:t>
            </w:r>
            <w:r w:rsidR="00442046">
              <w:rPr>
                <w:szCs w:val="24"/>
              </w:rPr>
              <w:t>ů</w:t>
            </w:r>
            <w:r w:rsidRPr="006A67E6">
              <w:rPr>
                <w:szCs w:val="24"/>
              </w:rPr>
              <w:t xml:space="preserve"> MAP, KAP</w:t>
            </w:r>
            <w:r>
              <w:rPr>
                <w:szCs w:val="24"/>
              </w:rPr>
              <w:t>.</w:t>
            </w:r>
          </w:p>
          <w:p w14:paraId="53847BF4" w14:textId="7B45213A" w:rsidR="00E01070" w:rsidRDefault="00E01070" w:rsidP="00E01070">
            <w:pPr>
              <w:pStyle w:val="Odstavecseseznamem"/>
              <w:numPr>
                <w:ilvl w:val="0"/>
                <w:numId w:val="140"/>
              </w:numPr>
              <w:ind w:left="313" w:hanging="284"/>
              <w:rPr>
                <w:szCs w:val="24"/>
              </w:rPr>
            </w:pPr>
            <w:r w:rsidRPr="006A67E6">
              <w:rPr>
                <w:szCs w:val="24"/>
              </w:rPr>
              <w:t>Spolupráce</w:t>
            </w:r>
            <w:r w:rsidRPr="00C368CB">
              <w:rPr>
                <w:szCs w:val="24"/>
              </w:rPr>
              <w:t xml:space="preserve"> aktérů v oblasti vzdělávání na strategických projektech (</w:t>
            </w:r>
            <w:r w:rsidR="00442046">
              <w:rPr>
                <w:szCs w:val="24"/>
              </w:rPr>
              <w:t>p</w:t>
            </w:r>
            <w:r w:rsidRPr="006A67E6">
              <w:rPr>
                <w:szCs w:val="24"/>
              </w:rPr>
              <w:t>odpora praxí studentů v podnicích)</w:t>
            </w:r>
            <w:r>
              <w:rPr>
                <w:szCs w:val="24"/>
              </w:rPr>
              <w:t>.</w:t>
            </w:r>
          </w:p>
          <w:p w14:paraId="1C941117" w14:textId="77777777" w:rsidR="00E01070" w:rsidRPr="00645708" w:rsidRDefault="00E01070" w:rsidP="00E01070">
            <w:pPr>
              <w:pStyle w:val="Odstavecseseznamem"/>
              <w:numPr>
                <w:ilvl w:val="0"/>
                <w:numId w:val="140"/>
              </w:numPr>
              <w:ind w:left="313" w:hanging="284"/>
              <w:rPr>
                <w:szCs w:val="24"/>
              </w:rPr>
            </w:pPr>
            <w:r w:rsidRPr="00C368CB">
              <w:rPr>
                <w:szCs w:val="24"/>
              </w:rPr>
              <w:t>Strategie celoživotního vzdělávání na UTB s dopadem na celé území kraje</w:t>
            </w:r>
            <w:r>
              <w:rPr>
                <w:szCs w:val="24"/>
              </w:rPr>
              <w:t>.</w:t>
            </w:r>
          </w:p>
        </w:tc>
      </w:tr>
    </w:tbl>
    <w:p w14:paraId="47E309B2" w14:textId="77777777" w:rsidR="00E01070" w:rsidRDefault="00E01070" w:rsidP="00E01070">
      <w:pPr>
        <w:suppressAutoHyphens/>
        <w:spacing w:before="0" w:after="160"/>
        <w:jc w:val="left"/>
        <w:rPr>
          <w:b/>
          <w:sz w:val="24"/>
        </w:rPr>
      </w:pPr>
    </w:p>
    <w:tbl>
      <w:tblPr>
        <w:tblStyle w:val="Mkatabulky"/>
        <w:tblW w:w="0" w:type="auto"/>
        <w:shd w:val="clear" w:color="auto" w:fill="FFD2B3"/>
        <w:tblLook w:val="04A0" w:firstRow="1" w:lastRow="0" w:firstColumn="1" w:lastColumn="0" w:noHBand="0" w:noVBand="1"/>
      </w:tblPr>
      <w:tblGrid>
        <w:gridCol w:w="9062"/>
      </w:tblGrid>
      <w:tr w:rsidR="00E01070" w14:paraId="7AAD8DC3" w14:textId="77777777" w:rsidTr="003708B4">
        <w:tc>
          <w:tcPr>
            <w:tcW w:w="9062" w:type="dxa"/>
            <w:shd w:val="clear" w:color="auto" w:fill="FFD2B3"/>
          </w:tcPr>
          <w:p w14:paraId="6BF7BC5D" w14:textId="77777777" w:rsidR="00E01070" w:rsidRPr="002073CE" w:rsidRDefault="00E01070" w:rsidP="00FB7BF4">
            <w:pPr>
              <w:suppressAutoHyphens/>
              <w:spacing w:before="0"/>
              <w:contextualSpacing/>
              <w:jc w:val="left"/>
              <w:rPr>
                <w:b/>
                <w:sz w:val="24"/>
                <w:szCs w:val="24"/>
              </w:rPr>
            </w:pPr>
            <w:r w:rsidRPr="002073CE">
              <w:rPr>
                <w:b/>
                <w:sz w:val="24"/>
                <w:szCs w:val="24"/>
              </w:rPr>
              <w:t>Tematická oblast Doprava</w:t>
            </w:r>
          </w:p>
          <w:p w14:paraId="1A023FA9" w14:textId="77777777" w:rsidR="00E01070" w:rsidRDefault="00E01070" w:rsidP="00FB7BF4">
            <w:pPr>
              <w:rPr>
                <w:b/>
              </w:rPr>
            </w:pPr>
            <w:r>
              <w:rPr>
                <w:b/>
                <w:szCs w:val="24"/>
              </w:rPr>
              <w:t>Potenciálem je p</w:t>
            </w:r>
            <w:r w:rsidRPr="006A67E6">
              <w:rPr>
                <w:b/>
                <w:szCs w:val="24"/>
              </w:rPr>
              <w:t xml:space="preserve">řívětivá doprava pro moderní rodinné město - bezpečná, ekologická, zklidněná </w:t>
            </w:r>
            <w:r w:rsidRPr="002073CE">
              <w:rPr>
                <w:b/>
              </w:rPr>
              <w:t xml:space="preserve">doprava podporující rozvoj města </w:t>
            </w:r>
            <w:r>
              <w:rPr>
                <w:b/>
              </w:rPr>
              <w:t>s rozvojem níže uvedených dílčích oblastí:</w:t>
            </w:r>
          </w:p>
          <w:p w14:paraId="6351043E" w14:textId="77777777" w:rsidR="00E01070" w:rsidRPr="002073CE" w:rsidRDefault="00E01070" w:rsidP="00E01070">
            <w:pPr>
              <w:pStyle w:val="Odstavecseseznamem"/>
              <w:numPr>
                <w:ilvl w:val="0"/>
                <w:numId w:val="140"/>
              </w:numPr>
              <w:ind w:left="313" w:hanging="284"/>
              <w:rPr>
                <w:szCs w:val="24"/>
              </w:rPr>
            </w:pPr>
            <w:r w:rsidRPr="00C368CB">
              <w:rPr>
                <w:szCs w:val="24"/>
              </w:rPr>
              <w:t>Posílení</w:t>
            </w:r>
            <w:r w:rsidRPr="002073CE">
              <w:rPr>
                <w:szCs w:val="24"/>
              </w:rPr>
              <w:t xml:space="preserve"> udržitelných forem dopravy prostřednictvím realizace „Plánu udržitelné městské mobility“.</w:t>
            </w:r>
          </w:p>
          <w:p w14:paraId="361CB429" w14:textId="77777777" w:rsidR="00E01070" w:rsidRDefault="00E01070" w:rsidP="00E01070">
            <w:pPr>
              <w:pStyle w:val="Odstavecseseznamem"/>
              <w:numPr>
                <w:ilvl w:val="0"/>
                <w:numId w:val="140"/>
              </w:numPr>
              <w:ind w:left="313" w:hanging="284"/>
              <w:rPr>
                <w:szCs w:val="24"/>
              </w:rPr>
            </w:pPr>
            <w:r>
              <w:rPr>
                <w:szCs w:val="24"/>
              </w:rPr>
              <w:t>Další napojení na celostátní a mezinárodní dálniční síť prostřednictvím dálnice D49.</w:t>
            </w:r>
          </w:p>
          <w:p w14:paraId="0638697B" w14:textId="77777777" w:rsidR="00E01070" w:rsidRDefault="00E01070" w:rsidP="00E01070">
            <w:pPr>
              <w:pStyle w:val="Odstavecseseznamem"/>
              <w:numPr>
                <w:ilvl w:val="0"/>
                <w:numId w:val="140"/>
              </w:numPr>
              <w:ind w:left="313" w:hanging="284"/>
              <w:rPr>
                <w:szCs w:val="24"/>
              </w:rPr>
            </w:pPr>
            <w:r>
              <w:rPr>
                <w:szCs w:val="24"/>
              </w:rPr>
              <w:t>Vybudování Prštenské příčky.</w:t>
            </w:r>
          </w:p>
          <w:p w14:paraId="3D334C54" w14:textId="77777777" w:rsidR="00E01070" w:rsidRDefault="00E01070" w:rsidP="00E01070">
            <w:pPr>
              <w:pStyle w:val="Odstavecseseznamem"/>
              <w:numPr>
                <w:ilvl w:val="0"/>
                <w:numId w:val="140"/>
              </w:numPr>
              <w:ind w:left="313" w:hanging="284"/>
              <w:rPr>
                <w:szCs w:val="24"/>
              </w:rPr>
            </w:pPr>
            <w:r>
              <w:rPr>
                <w:szCs w:val="24"/>
              </w:rPr>
              <w:t>Vybudování obchvatu Zálešné.</w:t>
            </w:r>
          </w:p>
          <w:p w14:paraId="740418A4" w14:textId="77777777" w:rsidR="00E01070" w:rsidRPr="00C7168A" w:rsidRDefault="00E01070" w:rsidP="00E01070">
            <w:pPr>
              <w:pStyle w:val="Odstavecseseznamem"/>
              <w:numPr>
                <w:ilvl w:val="0"/>
                <w:numId w:val="140"/>
              </w:numPr>
              <w:ind w:left="313" w:hanging="284"/>
              <w:rPr>
                <w:szCs w:val="24"/>
              </w:rPr>
            </w:pPr>
            <w:r>
              <w:rPr>
                <w:szCs w:val="24"/>
              </w:rPr>
              <w:t>Vyřešení dopravy v klidu na území celého města - vybudování záchytných parkovišť.</w:t>
            </w:r>
          </w:p>
          <w:p w14:paraId="5C323B85" w14:textId="77777777" w:rsidR="00E01070" w:rsidRPr="00C7168A" w:rsidRDefault="00E01070" w:rsidP="00E01070">
            <w:pPr>
              <w:pStyle w:val="Odstavecseseznamem"/>
              <w:numPr>
                <w:ilvl w:val="0"/>
                <w:numId w:val="140"/>
              </w:numPr>
              <w:ind w:left="313" w:hanging="284"/>
              <w:rPr>
                <w:szCs w:val="24"/>
              </w:rPr>
            </w:pPr>
            <w:r w:rsidRPr="00C7168A">
              <w:rPr>
                <w:szCs w:val="24"/>
              </w:rPr>
              <w:t>Zklidnění dopravy v centru města.</w:t>
            </w:r>
          </w:p>
          <w:p w14:paraId="0E22458C" w14:textId="77777777" w:rsidR="00E01070" w:rsidRDefault="00E01070" w:rsidP="00E01070">
            <w:pPr>
              <w:pStyle w:val="Odstavecseseznamem"/>
              <w:numPr>
                <w:ilvl w:val="0"/>
                <w:numId w:val="140"/>
              </w:numPr>
              <w:ind w:left="313" w:hanging="284"/>
              <w:rPr>
                <w:szCs w:val="24"/>
              </w:rPr>
            </w:pPr>
            <w:r>
              <w:rPr>
                <w:szCs w:val="24"/>
              </w:rPr>
              <w:t>Zlepšení dopravního napojení obytných zón.</w:t>
            </w:r>
          </w:p>
          <w:p w14:paraId="53D2B25F" w14:textId="77777777" w:rsidR="00E01070" w:rsidRDefault="00E01070" w:rsidP="00E01070">
            <w:pPr>
              <w:pStyle w:val="Odstavecseseznamem"/>
              <w:numPr>
                <w:ilvl w:val="0"/>
                <w:numId w:val="140"/>
              </w:numPr>
              <w:ind w:left="313" w:hanging="284"/>
              <w:rPr>
                <w:szCs w:val="24"/>
              </w:rPr>
            </w:pPr>
            <w:r>
              <w:rPr>
                <w:szCs w:val="24"/>
              </w:rPr>
              <w:t xml:space="preserve">Zlepšení dopravního napojení </w:t>
            </w:r>
            <w:r w:rsidRPr="00A268D4">
              <w:rPr>
                <w:szCs w:val="24"/>
              </w:rPr>
              <w:t>průmyslové zóny Zlín – východ Příluky</w:t>
            </w:r>
            <w:r>
              <w:rPr>
                <w:szCs w:val="24"/>
              </w:rPr>
              <w:t>.</w:t>
            </w:r>
          </w:p>
          <w:p w14:paraId="5511CE49" w14:textId="77777777" w:rsidR="00E01070" w:rsidRPr="00AC2549" w:rsidRDefault="00E01070" w:rsidP="00E01070">
            <w:pPr>
              <w:pStyle w:val="Odstavecseseznamem"/>
              <w:numPr>
                <w:ilvl w:val="0"/>
                <w:numId w:val="140"/>
              </w:numPr>
              <w:ind w:left="313" w:hanging="284"/>
              <w:rPr>
                <w:szCs w:val="24"/>
              </w:rPr>
            </w:pPr>
            <w:r>
              <w:rPr>
                <w:szCs w:val="24"/>
              </w:rPr>
              <w:t>Modernizace železniční trati 331 Otrokovice – Zlín – Vizovice.</w:t>
            </w:r>
          </w:p>
          <w:p w14:paraId="2723B650" w14:textId="77777777" w:rsidR="00E01070" w:rsidRDefault="00E01070" w:rsidP="00E01070">
            <w:pPr>
              <w:pStyle w:val="Odstavecseseznamem"/>
              <w:numPr>
                <w:ilvl w:val="0"/>
                <w:numId w:val="140"/>
              </w:numPr>
              <w:ind w:left="313" w:hanging="284"/>
              <w:rPr>
                <w:szCs w:val="24"/>
              </w:rPr>
            </w:pPr>
            <w:r>
              <w:rPr>
                <w:szCs w:val="24"/>
              </w:rPr>
              <w:t>Vyřešení čištění odpadních vod v místních částech, které nejsou napojeny na kanalizační síť s ČOV.</w:t>
            </w:r>
          </w:p>
          <w:p w14:paraId="2015F534" w14:textId="77777777" w:rsidR="00E01070" w:rsidRPr="00526ABA" w:rsidRDefault="00E01070" w:rsidP="00E01070">
            <w:pPr>
              <w:pStyle w:val="Odstavecseseznamem"/>
              <w:numPr>
                <w:ilvl w:val="0"/>
                <w:numId w:val="140"/>
              </w:numPr>
              <w:ind w:left="313" w:hanging="284"/>
              <w:rPr>
                <w:szCs w:val="24"/>
              </w:rPr>
            </w:pPr>
            <w:r>
              <w:rPr>
                <w:szCs w:val="24"/>
              </w:rPr>
              <w:t>Podpora i</w:t>
            </w:r>
            <w:r w:rsidRPr="00526ABA">
              <w:rPr>
                <w:szCs w:val="24"/>
              </w:rPr>
              <w:t>nfrastruktur</w:t>
            </w:r>
            <w:r>
              <w:rPr>
                <w:szCs w:val="24"/>
              </w:rPr>
              <w:t>y</w:t>
            </w:r>
            <w:r w:rsidRPr="00526ABA">
              <w:rPr>
                <w:szCs w:val="24"/>
              </w:rPr>
              <w:t xml:space="preserve"> pro sdílenou mobilitu</w:t>
            </w:r>
            <w:r>
              <w:rPr>
                <w:szCs w:val="24"/>
              </w:rPr>
              <w:t>.</w:t>
            </w:r>
          </w:p>
          <w:p w14:paraId="056C9314" w14:textId="77777777" w:rsidR="00E01070" w:rsidRPr="00814790" w:rsidRDefault="00E01070" w:rsidP="00E01070">
            <w:pPr>
              <w:pStyle w:val="Odstavecseseznamem"/>
              <w:numPr>
                <w:ilvl w:val="0"/>
                <w:numId w:val="140"/>
              </w:numPr>
              <w:ind w:left="313" w:hanging="284"/>
              <w:rPr>
                <w:szCs w:val="24"/>
              </w:rPr>
            </w:pPr>
            <w:r>
              <w:rPr>
                <w:szCs w:val="24"/>
              </w:rPr>
              <w:t>Rozvoj elektromobility a dalších bezemisních druhů dopravy.</w:t>
            </w:r>
          </w:p>
          <w:p w14:paraId="315308CF" w14:textId="77777777" w:rsidR="00E01070" w:rsidRDefault="00E01070" w:rsidP="00E01070">
            <w:pPr>
              <w:pStyle w:val="Odstavecseseznamem"/>
              <w:numPr>
                <w:ilvl w:val="0"/>
                <w:numId w:val="140"/>
              </w:numPr>
              <w:ind w:left="313" w:hanging="284"/>
              <w:rPr>
                <w:szCs w:val="24"/>
              </w:rPr>
            </w:pPr>
            <w:r>
              <w:rPr>
                <w:szCs w:val="24"/>
              </w:rPr>
              <w:t>Podpora multimodality dopravy.</w:t>
            </w:r>
          </w:p>
          <w:p w14:paraId="5985BCEC" w14:textId="77777777" w:rsidR="00E01070" w:rsidRPr="00645708" w:rsidRDefault="00E01070" w:rsidP="00E01070">
            <w:pPr>
              <w:pStyle w:val="Odstavecseseznamem"/>
              <w:numPr>
                <w:ilvl w:val="0"/>
                <w:numId w:val="140"/>
              </w:numPr>
              <w:ind w:left="313" w:hanging="284"/>
              <w:rPr>
                <w:szCs w:val="24"/>
              </w:rPr>
            </w:pPr>
            <w:r w:rsidRPr="004E4B2F">
              <w:rPr>
                <w:szCs w:val="24"/>
              </w:rPr>
              <w:t xml:space="preserve">Rozvoj preference veřejné dopravy a </w:t>
            </w:r>
            <w:r w:rsidRPr="00C368CB">
              <w:rPr>
                <w:szCs w:val="24"/>
              </w:rPr>
              <w:t>integrovaného záchranného systému na světelných křižovatkách.</w:t>
            </w:r>
          </w:p>
        </w:tc>
      </w:tr>
    </w:tbl>
    <w:p w14:paraId="6F245E7C" w14:textId="77777777" w:rsidR="00E01070" w:rsidRDefault="00E01070" w:rsidP="00E01070">
      <w:pPr>
        <w:suppressAutoHyphens/>
        <w:spacing w:before="0" w:after="160"/>
        <w:jc w:val="left"/>
        <w:rPr>
          <w:szCs w:val="24"/>
        </w:rPr>
      </w:pPr>
    </w:p>
    <w:tbl>
      <w:tblPr>
        <w:tblStyle w:val="Mkatabulky"/>
        <w:tblW w:w="0" w:type="auto"/>
        <w:shd w:val="clear" w:color="auto" w:fill="BDD6EE" w:themeFill="accent1" w:themeFillTint="66"/>
        <w:tblLook w:val="04A0" w:firstRow="1" w:lastRow="0" w:firstColumn="1" w:lastColumn="0" w:noHBand="0" w:noVBand="1"/>
      </w:tblPr>
      <w:tblGrid>
        <w:gridCol w:w="9062"/>
      </w:tblGrid>
      <w:tr w:rsidR="00E01070" w14:paraId="6C795A3E" w14:textId="77777777" w:rsidTr="00FB7BF4">
        <w:tc>
          <w:tcPr>
            <w:tcW w:w="9062" w:type="dxa"/>
            <w:shd w:val="clear" w:color="auto" w:fill="CEE0F2"/>
          </w:tcPr>
          <w:p w14:paraId="6149A392" w14:textId="77777777" w:rsidR="00E01070" w:rsidRPr="002073CE" w:rsidRDefault="00E01070" w:rsidP="00FB7BF4">
            <w:pPr>
              <w:suppressAutoHyphens/>
              <w:spacing w:before="0"/>
              <w:contextualSpacing/>
              <w:jc w:val="left"/>
              <w:rPr>
                <w:b/>
                <w:sz w:val="24"/>
                <w:szCs w:val="24"/>
              </w:rPr>
            </w:pPr>
            <w:r w:rsidRPr="002073CE">
              <w:rPr>
                <w:b/>
                <w:sz w:val="24"/>
                <w:szCs w:val="24"/>
              </w:rPr>
              <w:t>Tematická oblast Bezpečnost</w:t>
            </w:r>
          </w:p>
          <w:p w14:paraId="611500DD" w14:textId="77777777" w:rsidR="00E01070" w:rsidRPr="002073CE" w:rsidRDefault="00E01070" w:rsidP="00FB7BF4">
            <w:pPr>
              <w:rPr>
                <w:b/>
              </w:rPr>
            </w:pPr>
            <w:r>
              <w:rPr>
                <w:b/>
                <w:szCs w:val="24"/>
              </w:rPr>
              <w:t>Potenciálem je Zlín jako</w:t>
            </w:r>
            <w:r w:rsidRPr="002073CE">
              <w:rPr>
                <w:b/>
                <w:szCs w:val="24"/>
              </w:rPr>
              <w:t xml:space="preserve"> klidné, pohodové a bezpečné město pro obyvatele, podn</w:t>
            </w:r>
            <w:r>
              <w:rPr>
                <w:b/>
                <w:szCs w:val="24"/>
              </w:rPr>
              <w:t>ikatele, studenty i </w:t>
            </w:r>
            <w:r w:rsidRPr="002073CE">
              <w:rPr>
                <w:b/>
              </w:rPr>
              <w:t xml:space="preserve">návštěvníky </w:t>
            </w:r>
            <w:r>
              <w:rPr>
                <w:b/>
              </w:rPr>
              <w:t>s rozvojem níže uvedených dílčích oblastí:</w:t>
            </w:r>
          </w:p>
          <w:p w14:paraId="7DCEFC8B" w14:textId="77777777" w:rsidR="00E01070" w:rsidRPr="002073CE" w:rsidRDefault="00E01070" w:rsidP="00E01070">
            <w:pPr>
              <w:pStyle w:val="Odstavecseseznamem"/>
              <w:numPr>
                <w:ilvl w:val="0"/>
                <w:numId w:val="140"/>
              </w:numPr>
              <w:ind w:left="313" w:hanging="284"/>
              <w:rPr>
                <w:szCs w:val="24"/>
              </w:rPr>
            </w:pPr>
            <w:r w:rsidRPr="00C368CB">
              <w:rPr>
                <w:szCs w:val="24"/>
              </w:rPr>
              <w:t>Rozšiřování</w:t>
            </w:r>
            <w:r w:rsidRPr="002073CE">
              <w:rPr>
                <w:szCs w:val="24"/>
              </w:rPr>
              <w:t xml:space="preserve"> a modernizace informačních technologií pro podpor</w:t>
            </w:r>
            <w:r>
              <w:rPr>
                <w:szCs w:val="24"/>
              </w:rPr>
              <w:t>u práce bezpečnostních orgánů a </w:t>
            </w:r>
            <w:r w:rsidRPr="002073CE">
              <w:rPr>
                <w:szCs w:val="24"/>
              </w:rPr>
              <w:t>IZS (např. kamerový systém, drony, Událostní informační systém, informační dopravní systém)</w:t>
            </w:r>
            <w:r>
              <w:rPr>
                <w:szCs w:val="24"/>
              </w:rPr>
              <w:t>.</w:t>
            </w:r>
          </w:p>
          <w:p w14:paraId="08BB4DAC" w14:textId="77777777" w:rsidR="00E01070" w:rsidRDefault="00E01070" w:rsidP="00E01070">
            <w:pPr>
              <w:pStyle w:val="Odstavecseseznamem"/>
              <w:numPr>
                <w:ilvl w:val="0"/>
                <w:numId w:val="140"/>
              </w:numPr>
              <w:ind w:left="313" w:hanging="284"/>
              <w:rPr>
                <w:szCs w:val="24"/>
              </w:rPr>
            </w:pPr>
            <w:r>
              <w:rPr>
                <w:szCs w:val="24"/>
              </w:rPr>
              <w:t>Posilování důvěry občanů v policejní orgány a zvyšování pocitu bezpečí.</w:t>
            </w:r>
          </w:p>
          <w:p w14:paraId="149F65A0" w14:textId="77777777" w:rsidR="00E01070" w:rsidRPr="007B138E" w:rsidRDefault="00E01070" w:rsidP="00E01070">
            <w:pPr>
              <w:pStyle w:val="Odstavecseseznamem"/>
              <w:numPr>
                <w:ilvl w:val="0"/>
                <w:numId w:val="140"/>
              </w:numPr>
              <w:ind w:left="313" w:hanging="284"/>
              <w:rPr>
                <w:szCs w:val="24"/>
              </w:rPr>
            </w:pPr>
            <w:r>
              <w:rPr>
                <w:szCs w:val="24"/>
              </w:rPr>
              <w:t>Posílení terénní</w:t>
            </w:r>
            <w:r w:rsidRPr="007B138E">
              <w:rPr>
                <w:szCs w:val="24"/>
              </w:rPr>
              <w:t xml:space="preserve"> práce sociálních pracovníků s osobami bez přístřeší</w:t>
            </w:r>
            <w:r>
              <w:rPr>
                <w:szCs w:val="24"/>
              </w:rPr>
              <w:t>.</w:t>
            </w:r>
          </w:p>
          <w:p w14:paraId="420A700F" w14:textId="77777777" w:rsidR="00E01070" w:rsidRDefault="00E01070" w:rsidP="00E01070">
            <w:pPr>
              <w:pStyle w:val="Odstavecseseznamem"/>
              <w:numPr>
                <w:ilvl w:val="0"/>
                <w:numId w:val="140"/>
              </w:numPr>
              <w:ind w:left="313" w:hanging="284"/>
              <w:rPr>
                <w:szCs w:val="24"/>
              </w:rPr>
            </w:pPr>
            <w:r>
              <w:rPr>
                <w:szCs w:val="24"/>
              </w:rPr>
              <w:t>Zajištění kvalitní úrovně kybernetické bezpečnosti veřejných institucí.</w:t>
            </w:r>
          </w:p>
          <w:p w14:paraId="2579CD7C" w14:textId="77777777" w:rsidR="00E01070" w:rsidRDefault="00E01070" w:rsidP="00E01070">
            <w:pPr>
              <w:pStyle w:val="Odstavecseseznamem"/>
              <w:numPr>
                <w:ilvl w:val="0"/>
                <w:numId w:val="140"/>
              </w:numPr>
              <w:ind w:left="313" w:hanging="284"/>
              <w:rPr>
                <w:szCs w:val="24"/>
              </w:rPr>
            </w:pPr>
            <w:r>
              <w:rPr>
                <w:szCs w:val="24"/>
              </w:rPr>
              <w:t>Zlepšení bezpečnosti dopravy na cyklostezkách a přechodech pro chodce.</w:t>
            </w:r>
          </w:p>
          <w:p w14:paraId="4CCCE650" w14:textId="77777777" w:rsidR="00E01070" w:rsidRPr="00A176C4" w:rsidRDefault="00E01070" w:rsidP="00E01070">
            <w:pPr>
              <w:pStyle w:val="Odstavecseseznamem"/>
              <w:numPr>
                <w:ilvl w:val="0"/>
                <w:numId w:val="140"/>
              </w:numPr>
              <w:ind w:left="313" w:hanging="284"/>
              <w:rPr>
                <w:szCs w:val="24"/>
              </w:rPr>
            </w:pPr>
            <w:r w:rsidRPr="00A176C4">
              <w:rPr>
                <w:szCs w:val="24"/>
              </w:rPr>
              <w:t>Posílení program</w:t>
            </w:r>
            <w:r>
              <w:rPr>
                <w:szCs w:val="24"/>
              </w:rPr>
              <w:t>ů civilní ochrany na MŠ, ZŠ, SŠ.</w:t>
            </w:r>
          </w:p>
          <w:p w14:paraId="6BAC63DA" w14:textId="77777777" w:rsidR="00E01070" w:rsidRDefault="00E01070" w:rsidP="00E01070">
            <w:pPr>
              <w:pStyle w:val="Odstavecseseznamem"/>
              <w:numPr>
                <w:ilvl w:val="0"/>
                <w:numId w:val="140"/>
              </w:numPr>
              <w:ind w:left="313" w:hanging="284"/>
              <w:rPr>
                <w:szCs w:val="24"/>
              </w:rPr>
            </w:pPr>
            <w:r>
              <w:rPr>
                <w:szCs w:val="24"/>
              </w:rPr>
              <w:t>Větší míra informovanosti veřejnosti a zapojení zájmových skupin obyvatel do preventivních aktivit, vyšší míra připravenosti na krizové situace.</w:t>
            </w:r>
          </w:p>
          <w:p w14:paraId="4F7F8566" w14:textId="77777777" w:rsidR="00E01070" w:rsidRPr="0017322B" w:rsidRDefault="00E01070" w:rsidP="00E01070">
            <w:pPr>
              <w:pStyle w:val="Odstavecseseznamem"/>
              <w:numPr>
                <w:ilvl w:val="0"/>
                <w:numId w:val="140"/>
              </w:numPr>
              <w:ind w:left="313" w:hanging="284"/>
              <w:rPr>
                <w:szCs w:val="24"/>
              </w:rPr>
            </w:pPr>
            <w:r w:rsidRPr="0017322B">
              <w:rPr>
                <w:szCs w:val="24"/>
              </w:rPr>
              <w:t>Efektivní sys</w:t>
            </w:r>
            <w:r>
              <w:rPr>
                <w:szCs w:val="24"/>
              </w:rPr>
              <w:t xml:space="preserve">tém monitorování, vyhodnocování, spolupráce </w:t>
            </w:r>
            <w:r w:rsidRPr="0017322B">
              <w:rPr>
                <w:szCs w:val="24"/>
              </w:rPr>
              <w:t xml:space="preserve">a reakce </w:t>
            </w:r>
            <w:r>
              <w:rPr>
                <w:szCs w:val="24"/>
              </w:rPr>
              <w:t>na globální bezpečnostní rizika.</w:t>
            </w:r>
          </w:p>
          <w:p w14:paraId="6A2D86C6" w14:textId="77777777" w:rsidR="00E01070" w:rsidRDefault="00E01070" w:rsidP="00E01070">
            <w:pPr>
              <w:pStyle w:val="Odstavecseseznamem"/>
              <w:numPr>
                <w:ilvl w:val="0"/>
                <w:numId w:val="140"/>
              </w:numPr>
              <w:ind w:left="313" w:hanging="284"/>
              <w:rPr>
                <w:szCs w:val="24"/>
              </w:rPr>
            </w:pPr>
            <w:r>
              <w:rPr>
                <w:szCs w:val="24"/>
              </w:rPr>
              <w:t>Spolupráce města v oblasti bezpečnosti a krizového řízení s Univerzitou Tomáše</w:t>
            </w:r>
            <w:r w:rsidRPr="00B27286">
              <w:rPr>
                <w:szCs w:val="24"/>
              </w:rPr>
              <w:t xml:space="preserve"> Bati</w:t>
            </w:r>
            <w:r>
              <w:rPr>
                <w:szCs w:val="24"/>
              </w:rPr>
              <w:t>.</w:t>
            </w:r>
            <w:r w:rsidRPr="00B27286">
              <w:rPr>
                <w:szCs w:val="24"/>
              </w:rPr>
              <w:t xml:space="preserve"> </w:t>
            </w:r>
          </w:p>
          <w:p w14:paraId="6F984945" w14:textId="77777777" w:rsidR="00E01070" w:rsidRDefault="00E01070" w:rsidP="00E01070">
            <w:pPr>
              <w:pStyle w:val="Odstavecseseznamem"/>
              <w:numPr>
                <w:ilvl w:val="0"/>
                <w:numId w:val="140"/>
              </w:numPr>
              <w:ind w:left="313" w:hanging="284"/>
              <w:rPr>
                <w:szCs w:val="24"/>
              </w:rPr>
            </w:pPr>
            <w:r>
              <w:rPr>
                <w:szCs w:val="24"/>
              </w:rPr>
              <w:t>Využití d</w:t>
            </w:r>
            <w:r w:rsidRPr="00B27286">
              <w:rPr>
                <w:szCs w:val="24"/>
              </w:rPr>
              <w:t>otační</w:t>
            </w:r>
            <w:r>
              <w:rPr>
                <w:szCs w:val="24"/>
              </w:rPr>
              <w:t>ch titulů.</w:t>
            </w:r>
          </w:p>
          <w:p w14:paraId="403FD91F" w14:textId="77777777" w:rsidR="00E01070" w:rsidRPr="00645708" w:rsidRDefault="00E01070" w:rsidP="00E01070">
            <w:pPr>
              <w:pStyle w:val="Odstavecseseznamem"/>
              <w:numPr>
                <w:ilvl w:val="0"/>
                <w:numId w:val="140"/>
              </w:numPr>
              <w:ind w:left="313" w:hanging="284"/>
              <w:rPr>
                <w:szCs w:val="24"/>
              </w:rPr>
            </w:pPr>
            <w:r w:rsidRPr="00D84BD3">
              <w:rPr>
                <w:szCs w:val="24"/>
              </w:rPr>
              <w:t>Věnovat pozornost ochraně obyvatelstva ukrytím</w:t>
            </w:r>
            <w:r>
              <w:rPr>
                <w:szCs w:val="24"/>
              </w:rPr>
              <w:t>.</w:t>
            </w:r>
            <w:r w:rsidRPr="00D84BD3">
              <w:rPr>
                <w:szCs w:val="24"/>
              </w:rPr>
              <w:t xml:space="preserve"> </w:t>
            </w:r>
          </w:p>
        </w:tc>
      </w:tr>
    </w:tbl>
    <w:p w14:paraId="0687F084" w14:textId="77777777" w:rsidR="00E01070" w:rsidRDefault="00E01070" w:rsidP="00E01070"/>
    <w:p w14:paraId="2822B253" w14:textId="77777777" w:rsidR="00E01070" w:rsidRDefault="00E01070" w:rsidP="00E01070"/>
    <w:tbl>
      <w:tblPr>
        <w:tblStyle w:val="Mkatabulky"/>
        <w:tblW w:w="0" w:type="auto"/>
        <w:tblLook w:val="04A0" w:firstRow="1" w:lastRow="0" w:firstColumn="1" w:lastColumn="0" w:noHBand="0" w:noVBand="1"/>
      </w:tblPr>
      <w:tblGrid>
        <w:gridCol w:w="9062"/>
      </w:tblGrid>
      <w:tr w:rsidR="00E01070" w14:paraId="3A88716E" w14:textId="77777777" w:rsidTr="00FB7BF4">
        <w:tc>
          <w:tcPr>
            <w:tcW w:w="9062" w:type="dxa"/>
            <w:shd w:val="clear" w:color="auto" w:fill="FFCDFF"/>
          </w:tcPr>
          <w:p w14:paraId="561FE0BC" w14:textId="77777777" w:rsidR="00E01070" w:rsidRPr="002073CE" w:rsidRDefault="00E01070" w:rsidP="00FB7BF4">
            <w:pPr>
              <w:pStyle w:val="Default"/>
              <w:rPr>
                <w:rFonts w:cs="Times New Roman"/>
                <w:b/>
                <w:color w:val="auto"/>
                <w:szCs w:val="20"/>
              </w:rPr>
            </w:pPr>
            <w:r w:rsidRPr="002073CE">
              <w:rPr>
                <w:rFonts w:cs="Times New Roman"/>
                <w:b/>
                <w:color w:val="auto"/>
                <w:szCs w:val="20"/>
              </w:rPr>
              <w:t>Tematická oblast Vstřícné město</w:t>
            </w:r>
          </w:p>
          <w:p w14:paraId="1FFD6A2F" w14:textId="77777777" w:rsidR="00E01070" w:rsidRPr="002073CE" w:rsidRDefault="00E01070" w:rsidP="00FB7BF4">
            <w:pPr>
              <w:rPr>
                <w:b/>
              </w:rPr>
            </w:pPr>
            <w:r w:rsidRPr="002073CE">
              <w:rPr>
                <w:rFonts w:cs="Times New Roman"/>
                <w:b/>
                <w:szCs w:val="20"/>
              </w:rPr>
              <w:t>Potenciálem je vytvoření v</w:t>
            </w:r>
            <w:r w:rsidRPr="002073CE">
              <w:rPr>
                <w:b/>
                <w:bCs/>
              </w:rPr>
              <w:t>střícného města k potřebám současných i budoucích obyvatel VŠECH generací, atraktivní pro podnikatele, město přitažlivé</w:t>
            </w:r>
            <w:r>
              <w:rPr>
                <w:b/>
                <w:bCs/>
              </w:rPr>
              <w:t xml:space="preserve"> pro české i zahraniční turisty </w:t>
            </w:r>
            <w:r w:rsidRPr="002073CE">
              <w:rPr>
                <w:b/>
                <w:bCs/>
              </w:rPr>
              <w:t xml:space="preserve">s otevřenou </w:t>
            </w:r>
            <w:r w:rsidRPr="002073CE">
              <w:rPr>
                <w:b/>
              </w:rPr>
              <w:t xml:space="preserve">veřejnou správou </w:t>
            </w:r>
            <w:r>
              <w:rPr>
                <w:b/>
              </w:rPr>
              <w:t>a</w:t>
            </w:r>
            <w:r w:rsidRPr="002073CE">
              <w:rPr>
                <w:b/>
              </w:rPr>
              <w:t xml:space="preserve"> moderními prvky řízení </w:t>
            </w:r>
            <w:r>
              <w:rPr>
                <w:b/>
              </w:rPr>
              <w:t>s rozvojem níže uvedených dílčích oblastí:</w:t>
            </w:r>
          </w:p>
          <w:p w14:paraId="57DF5767" w14:textId="2029D1D2" w:rsidR="00E01070" w:rsidRPr="00C368CB" w:rsidRDefault="00335785" w:rsidP="00E01070">
            <w:pPr>
              <w:pStyle w:val="Odstavecseseznamem"/>
              <w:numPr>
                <w:ilvl w:val="0"/>
                <w:numId w:val="140"/>
              </w:numPr>
              <w:ind w:left="313" w:hanging="284"/>
              <w:rPr>
                <w:szCs w:val="24"/>
              </w:rPr>
            </w:pPr>
            <w:r w:rsidRPr="00335785">
              <w:rPr>
                <w:szCs w:val="24"/>
              </w:rPr>
              <w:t>Využití potenciálu konceptu inteligentní specializace v souladu s definovanými doménami specializace Zlínského kraje, tj. specializace na progresivní design produktů, technologií a procesů s důrazem na audiovizuální tvorbu, specializace na aplikaci polymerů v cirkulární ekonomice, specializace na inovace v konstrukčních činnostech s důrazem na letectví a strojírenství a specializace na informační, řídicí a bezpečnostní systémy</w:t>
            </w:r>
            <w:r w:rsidR="00E01070" w:rsidRPr="00C368CB">
              <w:rPr>
                <w:szCs w:val="24"/>
              </w:rPr>
              <w:t>.</w:t>
            </w:r>
          </w:p>
          <w:p w14:paraId="2E28EB74" w14:textId="77777777" w:rsidR="00E01070" w:rsidRPr="00C368CB" w:rsidRDefault="00E01070" w:rsidP="00E01070">
            <w:pPr>
              <w:pStyle w:val="Odstavecseseznamem"/>
              <w:numPr>
                <w:ilvl w:val="0"/>
                <w:numId w:val="140"/>
              </w:numPr>
              <w:ind w:left="313" w:hanging="284"/>
              <w:rPr>
                <w:szCs w:val="24"/>
              </w:rPr>
            </w:pPr>
            <w:r w:rsidRPr="00C368CB">
              <w:rPr>
                <w:szCs w:val="24"/>
              </w:rPr>
              <w:t>Využití potenciálu rozvoje pro městskou poznávací turistiku v evropském kontextu.</w:t>
            </w:r>
          </w:p>
          <w:p w14:paraId="72DD7D3B" w14:textId="77777777" w:rsidR="00E01070" w:rsidRPr="00C368CB" w:rsidRDefault="00E01070" w:rsidP="00E01070">
            <w:pPr>
              <w:pStyle w:val="Odstavecseseznamem"/>
              <w:numPr>
                <w:ilvl w:val="0"/>
                <w:numId w:val="140"/>
              </w:numPr>
              <w:ind w:left="313" w:hanging="284"/>
              <w:rPr>
                <w:szCs w:val="24"/>
              </w:rPr>
            </w:pPr>
            <w:r w:rsidRPr="00C368CB">
              <w:rPr>
                <w:szCs w:val="24"/>
              </w:rPr>
              <w:t>Budování silné značky města a její jedinečné postavení na trhu.</w:t>
            </w:r>
          </w:p>
          <w:p w14:paraId="361A3433" w14:textId="77777777" w:rsidR="00E01070" w:rsidRPr="00C368CB" w:rsidRDefault="00E01070" w:rsidP="00E01070">
            <w:pPr>
              <w:pStyle w:val="Odstavecseseznamem"/>
              <w:numPr>
                <w:ilvl w:val="0"/>
                <w:numId w:val="140"/>
              </w:numPr>
              <w:ind w:left="313" w:hanging="284"/>
              <w:rPr>
                <w:szCs w:val="24"/>
              </w:rPr>
            </w:pPr>
            <w:r w:rsidRPr="00C368CB">
              <w:rPr>
                <w:szCs w:val="24"/>
              </w:rPr>
              <w:t>Posílení strategického řízení města.</w:t>
            </w:r>
          </w:p>
          <w:p w14:paraId="2651546E" w14:textId="0EB001D3" w:rsidR="00E01070" w:rsidRPr="00C368CB" w:rsidRDefault="00335785" w:rsidP="00E01070">
            <w:pPr>
              <w:pStyle w:val="Odstavecseseznamem"/>
              <w:numPr>
                <w:ilvl w:val="0"/>
                <w:numId w:val="140"/>
              </w:numPr>
              <w:ind w:left="313" w:hanging="284"/>
              <w:rPr>
                <w:szCs w:val="24"/>
              </w:rPr>
            </w:pPr>
            <w:r w:rsidRPr="00335785">
              <w:rPr>
                <w:szCs w:val="24"/>
              </w:rPr>
              <w:t>Využití strategického nástroje ITI Zlínské aglomerace</w:t>
            </w:r>
            <w:r w:rsidR="00E01070" w:rsidRPr="00C368CB">
              <w:rPr>
                <w:szCs w:val="24"/>
              </w:rPr>
              <w:t>.</w:t>
            </w:r>
          </w:p>
          <w:p w14:paraId="1920D9E1" w14:textId="77777777" w:rsidR="00E01070" w:rsidRPr="00C368CB" w:rsidRDefault="00E01070" w:rsidP="00E01070">
            <w:pPr>
              <w:pStyle w:val="Odstavecseseznamem"/>
              <w:numPr>
                <w:ilvl w:val="0"/>
                <w:numId w:val="140"/>
              </w:numPr>
              <w:ind w:left="313" w:hanging="284"/>
              <w:rPr>
                <w:szCs w:val="24"/>
              </w:rPr>
            </w:pPr>
            <w:r w:rsidRPr="00C368CB">
              <w:rPr>
                <w:szCs w:val="24"/>
              </w:rPr>
              <w:t>Rozšíření systému moderní elektronické komunikace s občany (podpora eGovernmentu).</w:t>
            </w:r>
          </w:p>
          <w:p w14:paraId="1C533F05" w14:textId="77777777" w:rsidR="00E01070" w:rsidRPr="00C368CB" w:rsidRDefault="00E01070" w:rsidP="00E01070">
            <w:pPr>
              <w:pStyle w:val="Odstavecseseznamem"/>
              <w:numPr>
                <w:ilvl w:val="0"/>
                <w:numId w:val="140"/>
              </w:numPr>
              <w:ind w:left="313" w:hanging="284"/>
              <w:rPr>
                <w:szCs w:val="24"/>
              </w:rPr>
            </w:pPr>
            <w:r w:rsidRPr="00C368CB">
              <w:rPr>
                <w:szCs w:val="24"/>
              </w:rPr>
              <w:t>Vstřícný aktivní přístup k zahraničním kvalifikovaným pracovníkům.</w:t>
            </w:r>
          </w:p>
          <w:p w14:paraId="40A551B9" w14:textId="77777777" w:rsidR="00E01070" w:rsidRPr="00C368CB" w:rsidRDefault="00E01070" w:rsidP="00E01070">
            <w:pPr>
              <w:pStyle w:val="Odstavecseseznamem"/>
              <w:numPr>
                <w:ilvl w:val="0"/>
                <w:numId w:val="140"/>
              </w:numPr>
              <w:ind w:left="313" w:hanging="284"/>
              <w:rPr>
                <w:szCs w:val="24"/>
              </w:rPr>
            </w:pPr>
            <w:r w:rsidRPr="00C368CB">
              <w:rPr>
                <w:szCs w:val="24"/>
              </w:rPr>
              <w:t>Rozší</w:t>
            </w:r>
            <w:r>
              <w:rPr>
                <w:szCs w:val="24"/>
              </w:rPr>
              <w:t>ř</w:t>
            </w:r>
            <w:r w:rsidRPr="00C368CB">
              <w:rPr>
                <w:szCs w:val="24"/>
              </w:rPr>
              <w:t>ení spolupráce relevantních aktérů ke sjednocování propagovaných atraktivit.</w:t>
            </w:r>
          </w:p>
          <w:p w14:paraId="4380663E" w14:textId="77777777" w:rsidR="00E01070" w:rsidRPr="0023746C" w:rsidRDefault="00E01070" w:rsidP="0014391E">
            <w:pPr>
              <w:pStyle w:val="Odstavecseseznamem"/>
              <w:numPr>
                <w:ilvl w:val="0"/>
                <w:numId w:val="140"/>
              </w:numPr>
              <w:ind w:left="313" w:hanging="284"/>
              <w:rPr>
                <w:rFonts w:ascii="Calibri" w:hAnsi="Calibri" w:cs="Times New Roman"/>
                <w:szCs w:val="20"/>
              </w:rPr>
            </w:pPr>
            <w:r w:rsidRPr="00C368CB">
              <w:rPr>
                <w:szCs w:val="24"/>
              </w:rPr>
              <w:t>Uplatňování SMART řešení v oblasti řízení města, dopravy, bezpečnosti, životního prostředí, odpadového hospodářství.</w:t>
            </w:r>
          </w:p>
          <w:p w14:paraId="213CF4CF" w14:textId="0BE93515" w:rsidR="0023746C" w:rsidRPr="00645708" w:rsidRDefault="0023746C" w:rsidP="0014391E">
            <w:pPr>
              <w:pStyle w:val="Odstavecseseznamem"/>
              <w:numPr>
                <w:ilvl w:val="0"/>
                <w:numId w:val="140"/>
              </w:numPr>
              <w:ind w:left="313" w:hanging="284"/>
              <w:rPr>
                <w:rFonts w:ascii="Calibri" w:hAnsi="Calibri" w:cs="Times New Roman"/>
                <w:szCs w:val="20"/>
              </w:rPr>
            </w:pPr>
            <w:r w:rsidRPr="0023746C">
              <w:rPr>
                <w:szCs w:val="24"/>
              </w:rPr>
              <w:t>Efektivní využití potenciálu strategického partnerství mezi městem Zlín, Zlínským krajem a Univerzitou Tomáše Bati ve Zlíně</w:t>
            </w:r>
            <w:r>
              <w:rPr>
                <w:szCs w:val="24"/>
              </w:rPr>
              <w:t>.</w:t>
            </w:r>
          </w:p>
        </w:tc>
      </w:tr>
    </w:tbl>
    <w:p w14:paraId="1F7466B3" w14:textId="77777777" w:rsidR="00E01070" w:rsidRPr="00645708" w:rsidRDefault="00E01070" w:rsidP="00E01070">
      <w:pPr>
        <w:suppressAutoHyphens/>
        <w:spacing w:before="0" w:after="160"/>
        <w:jc w:val="left"/>
        <w:rPr>
          <w:szCs w:val="24"/>
        </w:rPr>
      </w:pPr>
    </w:p>
    <w:p w14:paraId="4F949D6B" w14:textId="77777777" w:rsidR="00E01070" w:rsidRDefault="00E01070" w:rsidP="00E01070">
      <w:pPr>
        <w:suppressAutoHyphens/>
        <w:spacing w:before="0"/>
        <w:contextualSpacing/>
        <w:jc w:val="left"/>
        <w:rPr>
          <w:szCs w:val="24"/>
        </w:rPr>
      </w:pPr>
    </w:p>
    <w:p w14:paraId="1367FB26" w14:textId="77777777" w:rsidR="00E01070" w:rsidRPr="00B65ACE" w:rsidRDefault="00E01070" w:rsidP="00E01070">
      <w:pPr>
        <w:suppressAutoHyphens/>
        <w:spacing w:before="0"/>
        <w:contextualSpacing/>
        <w:jc w:val="left"/>
        <w:rPr>
          <w:szCs w:val="24"/>
        </w:rPr>
      </w:pPr>
    </w:p>
    <w:p w14:paraId="171A9C27" w14:textId="77777777" w:rsidR="00E01070" w:rsidRDefault="00E01070" w:rsidP="00E01070">
      <w:pPr>
        <w:spacing w:before="0" w:after="160" w:line="259" w:lineRule="auto"/>
        <w:jc w:val="left"/>
      </w:pPr>
      <w:r>
        <w:br w:type="page"/>
      </w:r>
    </w:p>
    <w:p w14:paraId="72E5323F" w14:textId="77777777" w:rsidR="00E01070" w:rsidRDefault="00E01070" w:rsidP="00E01070">
      <w:pPr>
        <w:pStyle w:val="Nadpis2"/>
      </w:pPr>
      <w:bookmarkStart w:id="1153" w:name="_Toc50389152"/>
      <w:bookmarkStart w:id="1154" w:name="_Toc53474271"/>
      <w:bookmarkStart w:id="1155" w:name="_Toc77074673"/>
      <w:r>
        <w:t>Shrnutí hlavních analytických poznatků s důrazem na souvislosti</w:t>
      </w:r>
      <w:bookmarkEnd w:id="1153"/>
      <w:bookmarkEnd w:id="1154"/>
      <w:bookmarkEnd w:id="1155"/>
    </w:p>
    <w:p w14:paraId="5DC58FEC" w14:textId="77777777" w:rsidR="00E01070" w:rsidRDefault="00E01070" w:rsidP="00E01070">
      <w:r w:rsidRPr="00BC1EDE">
        <w:t>Zlín je statutární město na východě Moravy</w:t>
      </w:r>
      <w:r>
        <w:t xml:space="preserve"> a j</w:t>
      </w:r>
      <w:r w:rsidRPr="00BC1EDE">
        <w:t xml:space="preserve">e centrem Zlínského kraje. Leží v údolí řeky Dřevnice na rozhraní Hostýnských a Vizovických vrchů. </w:t>
      </w:r>
      <w:r>
        <w:t>Hustota zalidnění města Zlína je 728,8 obyvatel/km</w:t>
      </w:r>
      <w:r w:rsidRPr="00244170">
        <w:rPr>
          <w:vertAlign w:val="superscript"/>
        </w:rPr>
        <w:t>2</w:t>
      </w:r>
      <w:r>
        <w:t>. Město</w:t>
      </w:r>
      <w:r w:rsidRPr="00BC1EDE">
        <w:t xml:space="preserve"> má přibližně 75 tisíc obyvatel, v jeho aglomeraci žije více než 1</w:t>
      </w:r>
      <w:r>
        <w:t>3</w:t>
      </w:r>
      <w:r w:rsidRPr="00BC1EDE">
        <w:t>0 tisíc obyvatel.</w:t>
      </w:r>
      <w:r>
        <w:t xml:space="preserve"> Ve Zlíně dochází k velmi mírnému poklesu obyvatel. Od roku 2010 do roku 2020 poklesl celkový počet obyvatel o 779 osob, tedy o 1 %. Při porovnávání s vybranými městy (Zlín, Olomouc, Pardubice, České Budějovice, Opava, Liberec) měl Zlín u žen nejvyšší naději dožití při narození (83,2 let), u mužů vyšla naděje dožití jako druhá nejvyšší (77,0 let). Ve Zlíně je také z porovnávaných měst nejvyšší průměrný věk (44,2 let). Ve Zlíně a jeho okolí je patrný suburbanizační trend, nejvyšší přírůstek obyvatel (za 10 let) je v obcích Doubravy a Lípa.</w:t>
      </w:r>
    </w:p>
    <w:p w14:paraId="7F2F4671" w14:textId="77777777" w:rsidR="00E01070" w:rsidRDefault="00E01070" w:rsidP="00E01070">
      <w:r w:rsidRPr="005E5480">
        <w:rPr>
          <w:b/>
        </w:rPr>
        <w:t>Prostorové uspořádání města</w:t>
      </w:r>
      <w:r w:rsidRPr="006810BC">
        <w:t xml:space="preserve"> je předurčeno fyzickogeografickými rysy území, kde se nachází. Pro uspořádání města je charakteristická </w:t>
      </w:r>
      <w:r>
        <w:t>d</w:t>
      </w:r>
      <w:r w:rsidRPr="006810BC">
        <w:t>ominantní východo-západní osa urbanizovaného území</w:t>
      </w:r>
      <w:r>
        <w:t>, která kopíruje údolí řeky Dřevnice. Naopak severní a jižní okraj města ohraničují zalesněné svahy pásů Vizovické vrchoviny, které jsou určitými bariérami další územní expanze města.</w:t>
      </w:r>
      <w:r w:rsidRPr="00BC1EDE">
        <w:t xml:space="preserve"> </w:t>
      </w:r>
      <w:r w:rsidRPr="006810BC">
        <w:t>Podoba dnešního Zlína, jeho současná velikost a význa</w:t>
      </w:r>
      <w:r>
        <w:t>m,</w:t>
      </w:r>
      <w:r w:rsidRPr="006810BC">
        <w:t xml:space="preserve"> je neoddělitelně spjat</w:t>
      </w:r>
      <w:r>
        <w:t>a</w:t>
      </w:r>
      <w:r w:rsidRPr="006810BC">
        <w:t xml:space="preserve"> s lokalizací výrobních závodů firmy Baťa právě ve Zlíně a s tím spojeným intenzivním rozvojem průmyslu v 1. pol. 20. století. </w:t>
      </w:r>
      <w:r>
        <w:t xml:space="preserve">Zlín je ojedinělý svou unikátní moderní funkcionalistickou urbanistickou strukturou. Je z části tvořen rozsáhlou Městskou památkovou zónou zahrnující lokality historického jádra města, bývalé továrny firmy Baťa a obytných čtvrtí převážně z období 1. pol. 20. století (asi 430 ha). </w:t>
      </w:r>
      <w:r w:rsidRPr="00DC1235">
        <w:t>Industriální Baťův areál v centru města je největší problémovou lokalitou (70 ha). V poslední době prochází východní část Baťova areálu revitalizací a</w:t>
      </w:r>
      <w:r>
        <w:t> </w:t>
      </w:r>
      <w:r w:rsidRPr="00DC1235">
        <w:t xml:space="preserve">začleňuje </w:t>
      </w:r>
      <w:r>
        <w:t xml:space="preserve">se </w:t>
      </w:r>
      <w:r w:rsidRPr="00DC1235">
        <w:t>do širšího centra města, také díky umístění řady veřejných institucí. Západní část má průmyslový charakter, podstatná část zůstává zanedbaná.</w:t>
      </w:r>
      <w:r>
        <w:t xml:space="preserve"> V posledních letech byla realizována řada úspěšných projektů revitalizace veřejného prostoru. Rozvíjející se Univerzita Tomáše Bati může být ve spolupráci s inovativními firmami zdrojem rozvoje znalostní ekonomiky a kvalifikovaných pracovních příležitostí. Nová urbanistická koncepce by měla zohledňovat požadavky moderního univerzitního města a zároveň respektovat základy funkcionalistického urbanismu, který je zdrojem identity Zlína.</w:t>
      </w:r>
    </w:p>
    <w:p w14:paraId="53AE6AF7" w14:textId="219AB01E" w:rsidR="00E01070" w:rsidRDefault="00E01070" w:rsidP="00E01070">
      <w:pPr>
        <w:rPr>
          <w:highlight w:val="yellow"/>
        </w:rPr>
      </w:pPr>
      <w:r>
        <w:t xml:space="preserve">Oblast </w:t>
      </w:r>
      <w:r w:rsidRPr="003A7320">
        <w:rPr>
          <w:b/>
        </w:rPr>
        <w:t xml:space="preserve">bydlení </w:t>
      </w:r>
      <w:r>
        <w:t xml:space="preserve">je pro přilákání nových obyvatel do města klíčovým tématem. Značná část domovního a bytového fondu na území města pochází z období 1. pol. 20. století a je památkově chráněná (především zástavba baťovských domků). Město Zlín disponuje přibližně 2 000 byty, část bytového fondu je určena k podpoře bydlení znevýhodněných obyvatel. </w:t>
      </w:r>
      <w:r w:rsidRPr="008D28A5">
        <w:t>Relativně vysoký podíl rodinných domů se nachází v domovní struktuře města, relativně nižší je zastoupení nájemního bydlení.</w:t>
      </w:r>
      <w:r>
        <w:t xml:space="preserve"> Nejhustěji obydlenou zónou je </w:t>
      </w:r>
      <w:r w:rsidR="00053411">
        <w:t>sídliště Jižní S</w:t>
      </w:r>
      <w:r>
        <w:t xml:space="preserve">vahy. Ve městě je ovšem nedostatek ploch pro výstavbu nových budov hromadného bydlení. </w:t>
      </w:r>
      <w:r w:rsidRPr="008D28A5">
        <w:t xml:space="preserve">Na území Zlína se nenachází sociálně vyloučené lokality. </w:t>
      </w:r>
    </w:p>
    <w:p w14:paraId="654A60C4" w14:textId="77777777" w:rsidR="00E01070" w:rsidRDefault="00E01070" w:rsidP="00E01070">
      <w:r w:rsidRPr="003A7320">
        <w:t xml:space="preserve">Ve městě existuje široká nabídka organizací poskytujících </w:t>
      </w:r>
      <w:r w:rsidRPr="003A7320">
        <w:rPr>
          <w:b/>
        </w:rPr>
        <w:t>sociální péči</w:t>
      </w:r>
      <w:r w:rsidRPr="003A7320">
        <w:t xml:space="preserve">. Největším poskytovatelem </w:t>
      </w:r>
      <w:r w:rsidRPr="003A7320">
        <w:rPr>
          <w:b/>
        </w:rPr>
        <w:t>zdravotní péče</w:t>
      </w:r>
      <w:r w:rsidRPr="003A7320">
        <w:t xml:space="preserve"> ve městě je Krajská nemocnice Tomáše Ba</w:t>
      </w:r>
      <w:r>
        <w:t>t</w:t>
      </w:r>
      <w:r w:rsidRPr="003A7320">
        <w:t>i. Problémem je nedostatek kvalifikovaného personálu a dlouhé čekací doby v případě některých odborných vyšetření.</w:t>
      </w:r>
      <w:r>
        <w:t xml:space="preserve"> </w:t>
      </w:r>
      <w:r w:rsidRPr="003A7320">
        <w:t xml:space="preserve">Na území města Zlína působí několik významných </w:t>
      </w:r>
      <w:r w:rsidRPr="003A7320">
        <w:rPr>
          <w:b/>
        </w:rPr>
        <w:t>kulturních a sportovních</w:t>
      </w:r>
      <w:r w:rsidRPr="003A7320">
        <w:t xml:space="preserve"> </w:t>
      </w:r>
      <w:r w:rsidRPr="003A7320">
        <w:rPr>
          <w:b/>
        </w:rPr>
        <w:t>organizací</w:t>
      </w:r>
      <w:r w:rsidRPr="003A7320">
        <w:t xml:space="preserve"> s regionálním i nadregionálním významem (např. Městské divadlo Zlín, Filharmonie Bohuslava Martinů, PSG Berani Zlín aj.). Ve městě Zlín a jeho okolí se nachází významné turistické atraktivity.</w:t>
      </w:r>
    </w:p>
    <w:p w14:paraId="716F33A4" w14:textId="119C412F" w:rsidR="00E01070" w:rsidRDefault="00E01070" w:rsidP="00E01070">
      <w:r w:rsidRPr="004916DA">
        <w:rPr>
          <w:b/>
        </w:rPr>
        <w:t xml:space="preserve">Vzdělávání </w:t>
      </w:r>
      <w:r>
        <w:t xml:space="preserve">je klíčovým prvkem rozvoje města z pohledu posilování společenského a ekonomického rozvoje. </w:t>
      </w:r>
      <w:r>
        <w:rPr>
          <w:color w:val="000000"/>
        </w:rPr>
        <w:t xml:space="preserve">Ve Zlíně je </w:t>
      </w:r>
      <w:r>
        <w:t xml:space="preserve">významným </w:t>
      </w:r>
      <w:r w:rsidRPr="00FD1415">
        <w:t>odkaz</w:t>
      </w:r>
      <w:r>
        <w:t>em vzdělávací systém</w:t>
      </w:r>
      <w:r w:rsidRPr="00FD1415">
        <w:t xml:space="preserve"> fy Baťa</w:t>
      </w:r>
      <w:r>
        <w:t xml:space="preserve">. Potenciálem v rozvoji školství může být navázání na principy tohoto systému a </w:t>
      </w:r>
      <w:r w:rsidR="00A6310E">
        <w:t>jejich přizpůsobení</w:t>
      </w:r>
      <w:r>
        <w:t xml:space="preserve"> současným požadavkům na vzdělávání v kombinaci se současnými moderními trendy. Předškolní a základní vzdělávání</w:t>
      </w:r>
      <w:r w:rsidRPr="00FD1415">
        <w:t xml:space="preserve"> </w:t>
      </w:r>
      <w:r>
        <w:t>ve městě Zlíně zajišťuje 42 mateřských škol a školských zařízení (22 MŠ</w:t>
      </w:r>
      <w:r w:rsidRPr="00AA08BF">
        <w:t xml:space="preserve"> zřizovaných městem a 20 </w:t>
      </w:r>
      <w:r>
        <w:t>MŠ</w:t>
      </w:r>
      <w:r w:rsidRPr="00AA08BF">
        <w:t xml:space="preserve"> </w:t>
      </w:r>
      <w:r>
        <w:t>či školských zařízení</w:t>
      </w:r>
      <w:r w:rsidRPr="00AA08BF">
        <w:t xml:space="preserve"> zřizovaných jiným subjektem</w:t>
      </w:r>
      <w:r>
        <w:t>) a 21 základních škol (13 ZŠ zřizovaných statutárním městem Zlínem, 8 ZŠ zřizovaných jiným subjektem). Lze sledovat určitou profilaci některých MŠ i ZŠ (pouze v rámci určitých</w:t>
      </w:r>
      <w:r w:rsidRPr="00342C31">
        <w:t xml:space="preserve"> tříd</w:t>
      </w:r>
      <w:r>
        <w:t xml:space="preserve">, popř. ročníků). Pro zajištění kvalitního vzdělávání je třeba se zaměřit na zajištění zázemí a vybavení škol, budování odborných učeben. Nabídka možností předškolního a základního vzdělávání je hodnocena jako dostatečná, a to i pro následující roky. Ve městě je pestrá nabídka oborů středního vzdělávání (gymnázia s možností 4letého a 8letého studia, 11 středních škol s výběrem oborů ukončených maturitní zkouškou či závěrečnou zkouškou a výučním listem). Ze strany studentů klesá zájem o studium na vyšších odborných školách, jejich počet se dlouhodobě snižuje. Ve městě se nachází dvě vyšší odborné školy, které nabízejí možnost vyššího odborného studia zakončeného absolutoriem. </w:t>
      </w:r>
      <w:r w:rsidR="0023746C" w:rsidRPr="0023746C">
        <w:t>Ve městě působí Univerzita Tomáše Bati ve Zlíně (UTB), která je dynamicky rozvíjející se veřejnou vysokou školou nabízející široké spektrum studií v bakalářských, magisterských i doktorských studijních programech. UTB patří mezi největší zaměstnavatele ve Zlíně. Počet studentů v kombinované i prezenční formě se pohybuje nad hranicí 9 tisíc. Univerzita se také významně podílí na budování mezinárodního prostředí ve Zlíně. Vzhledem k tomu představuje UTB pro město Zlín klíčového partnera pro strategický rozvoj města</w:t>
      </w:r>
      <w:r>
        <w:t>. Kvalita vzdělávání se odvíjí také od spolupráce mezi jednotlivými aktéry v oblasti vzdělání, kteří působí na území města. Pozitivní</w:t>
      </w:r>
      <w:r w:rsidR="00A6310E">
        <w:t>m</w:t>
      </w:r>
      <w:r>
        <w:t xml:space="preserve"> faktorem je, že spolupráce ve městě probíhá na různých úrovních (MŠ, ZŠ, SŠ, UTB, Zlínský kraj, </w:t>
      </w:r>
      <w:r w:rsidR="009F4CD8">
        <w:t>s</w:t>
      </w:r>
      <w:r>
        <w:t xml:space="preserve">tatutární město </w:t>
      </w:r>
      <w:r w:rsidR="00672730">
        <w:t>Zlín</w:t>
      </w:r>
      <w:r>
        <w:t xml:space="preserve">, podniky, další organizace).  </w:t>
      </w:r>
    </w:p>
    <w:p w14:paraId="521CFEC2" w14:textId="0D874B19" w:rsidR="00E01070" w:rsidRDefault="00E01070" w:rsidP="00E01070">
      <w:r w:rsidRPr="00F6447B">
        <w:rPr>
          <w:b/>
        </w:rPr>
        <w:t>Dopravní situace</w:t>
      </w:r>
      <w:r>
        <w:t xml:space="preserve"> města je dána </w:t>
      </w:r>
      <w:r w:rsidRPr="00B641A3">
        <w:t>jeho umístění</w:t>
      </w:r>
      <w:r>
        <w:t>m</w:t>
      </w:r>
      <w:r w:rsidRPr="00B641A3">
        <w:t xml:space="preserve"> v relativně </w:t>
      </w:r>
      <w:r>
        <w:t>úzkém</w:t>
      </w:r>
      <w:r w:rsidRPr="00B641A3">
        <w:t xml:space="preserve"> údolí, </w:t>
      </w:r>
      <w:r>
        <w:t xml:space="preserve">což s sebou přináší určitá omezení. Ve Zlíně je vysoká intenzita dopravy, která má navíc rostoucí trend.  Svůj podíl na této skutečnosti má nárůst individuální automobilové dopravy a tranzitní nákladní doprava vedoucí přes město. Nepříznivým faktorem je rovněž to, že město </w:t>
      </w:r>
      <w:r w:rsidRPr="00B641A3">
        <w:t xml:space="preserve">Zlín leží </w:t>
      </w:r>
      <w:r>
        <w:t>poměrně</w:t>
      </w:r>
      <w:r w:rsidRPr="00B641A3">
        <w:t xml:space="preserve"> daleko od hlavn</w:t>
      </w:r>
      <w:r>
        <w:t xml:space="preserve">ích dopravních tras, což má dopad na různé oblasti života ve městě (podnikání, cestování, práce apod.). Situace se zlepší po napojení na D49, výstavbou Prštěnské příčky, popř. realizací tunelu v centru města. Město pociťuje nedostatečné řešení parkovacích míst v centru města i na sídlištích a v zázemí města. </w:t>
      </w:r>
      <w:r w:rsidR="009F4CD8">
        <w:t>Ke zlepšení situace</w:t>
      </w:r>
      <w:r>
        <w:t xml:space="preserve"> s vysokou intenzitou dopravy nepřispívá ani špatný technický stav chodníků pro pěší a</w:t>
      </w:r>
      <w:r w:rsidR="009F4CD8">
        <w:t> </w:t>
      </w:r>
      <w:r>
        <w:t>nedostatečně rozvinutá cyklistická infrastruktura (časté vedení cyklotras ve společném uličním prostoru s motorovou dopravou a nepropojenost cyklostezek). Nedostatečně je rovněž zajištěna železniční doprava do města.  Hlavní nádraží potřebuje nezbytnou modernizaci (vlakové i autobusové nádraží), stejně jako železniční trať 331 (elektrizace a zdvojkolejnění). SŽDC počítá se zahájením prací v roce 2023 a uvedením do provozu v roce 2027. Pozitivní je nárůst osob využívajících MHD v posledních letech.</w:t>
      </w:r>
    </w:p>
    <w:p w14:paraId="3D662CC5" w14:textId="77777777" w:rsidR="00E01070" w:rsidRDefault="00E01070" w:rsidP="00E01070">
      <w:r w:rsidRPr="003A7320">
        <w:t>Ve Zlíně jsou zajištěny dostatečné dodávky pitné vody ze dvou hlavních zdrojů, na kanalizaci je napojeno 95 % obyvatel.</w:t>
      </w:r>
    </w:p>
    <w:p w14:paraId="13D068AC" w14:textId="77777777" w:rsidR="00E01070" w:rsidRDefault="00E01070" w:rsidP="00E01070">
      <w:r>
        <w:t xml:space="preserve">Statutární město Zlín je dle dostupných dat i výsledků z anketního šetření obyvatel, provedeného v roce 2020, </w:t>
      </w:r>
      <w:r w:rsidRPr="005E5480">
        <w:rPr>
          <w:b/>
        </w:rPr>
        <w:t>bezpečným městem</w:t>
      </w:r>
      <w:r>
        <w:t xml:space="preserve">. Úroveň kriminality ve Zlíně je dlouhodobě nízká, celkový počet trestných činů poklesl mezi lety 2013 a 2019 o 30,5 % na 1 044 trestných činů v roce 2019. Klesá především počet krádeží a vloupání, naopak násilná kriminalita nebo ostatní majetková kriminalita stagnuje. </w:t>
      </w:r>
      <w:r w:rsidRPr="00C14893">
        <w:t>Většina obyvatel se cítí v místě svého bydliště bezpečně (uvedlo 8</w:t>
      </w:r>
      <w:r>
        <w:t>0,1</w:t>
      </w:r>
      <w:r w:rsidRPr="00C14893">
        <w:t xml:space="preserve"> % respondentů </w:t>
      </w:r>
      <w:r>
        <w:t xml:space="preserve">s trvalým pobytem ve Zlíně </w:t>
      </w:r>
      <w:r w:rsidRPr="00C14893">
        <w:t>v roce 2020).</w:t>
      </w:r>
      <w:r>
        <w:t xml:space="preserve"> </w:t>
      </w:r>
      <w:r w:rsidRPr="005E5480">
        <w:t>Největší obavy převládají z vý</w:t>
      </w:r>
      <w:r>
        <w:t>skytu problémových osob. K zajištění veřejného pořádku přispívá výrazná spolupráce a aktivní činnost Městské policie Zlín spolu s Územním odborem Policie ČR ve Zlíně. Městská policie Zlín provádí osvětu a podílí se na realizaci projektů a pořádání akcí pro veřejnost zaměřených na prevenci kriminality a sociálně-patologických jevů. V oblasti bezpečnosti je obecně v posledních letech zvýšena</w:t>
      </w:r>
      <w:r w:rsidRPr="005E5480">
        <w:t xml:space="preserve"> potřeba zabezpečení kritické informační infrastruktury (zaji</w:t>
      </w:r>
      <w:r>
        <w:t>štění kybernetické bezpečnosti na úřadech, v nemocnicích, školách a dalších zařízeních</w:t>
      </w:r>
      <w:r w:rsidRPr="005E5480">
        <w:t>)</w:t>
      </w:r>
      <w:r>
        <w:t>. Je žádoucí v rámci strategie města věnovat tomuto tématu zvýšenou pozornost. Město Zlín má funkční Krizový plán a Havarijní plán, existuje integrovaný portál bezpečnosti a krizového řízení sdružující organizace ochrany obyvatel. I přes aktivní snahu zvyšovat bezpečnost silniční dopravy dochází k mírnému nárůstu dopravních nehod, což je také důsledkem zvyšování intenzity dopravy.</w:t>
      </w:r>
    </w:p>
    <w:p w14:paraId="3D4C3F90" w14:textId="77777777" w:rsidR="00E01070" w:rsidRPr="003A7320" w:rsidRDefault="00E01070" w:rsidP="00E01070">
      <w:r w:rsidRPr="003A7320">
        <w:t xml:space="preserve">Město Zlín je přirozeným centrem dojížďky a vyjížďky za prací s velmi silnými vazbami zejména v rámci okresu (klíčové vazby měst Zlín a Otrokovice a to v obou směrech). Město Zlín dlouhodobě vykazuje nižší </w:t>
      </w:r>
      <w:r w:rsidRPr="003A7320">
        <w:rPr>
          <w:b/>
        </w:rPr>
        <w:t>podíl nezaměstnaných osob</w:t>
      </w:r>
      <w:r w:rsidRPr="003A7320">
        <w:t xml:space="preserve"> oproti Zlínskému kraji. Úroveň mezd v regionu patří dlouhodobě k</w:t>
      </w:r>
      <w:r>
        <w:t> </w:t>
      </w:r>
      <w:r w:rsidRPr="003A7320">
        <w:t>nižším v ČR.</w:t>
      </w:r>
    </w:p>
    <w:p w14:paraId="312F502E" w14:textId="77777777" w:rsidR="00E01070" w:rsidRPr="003A7320" w:rsidRDefault="00E01070" w:rsidP="00E01070">
      <w:r w:rsidRPr="003A7320">
        <w:t xml:space="preserve">Počet </w:t>
      </w:r>
      <w:r w:rsidRPr="003A7320">
        <w:rPr>
          <w:b/>
        </w:rPr>
        <w:t>ekonomických subjektů</w:t>
      </w:r>
      <w:r w:rsidRPr="003A7320">
        <w:t xml:space="preserve"> ve městě Zlín </w:t>
      </w:r>
      <w:r>
        <w:t>od roku 2013 zaznamenává</w:t>
      </w:r>
      <w:r w:rsidRPr="003A7320">
        <w:t xml:space="preserve"> </w:t>
      </w:r>
      <w:r>
        <w:t>ná</w:t>
      </w:r>
      <w:r w:rsidRPr="003A7320">
        <w:t xml:space="preserve">růst. V roce 2019 </w:t>
      </w:r>
      <w:r>
        <w:t>se počet ekonomických subjektů mírně snížil</w:t>
      </w:r>
      <w:r w:rsidRPr="003A7320">
        <w:t xml:space="preserve">. Město Zlín vykazuje vyšší míru ekonomické aktivity v porovnání se sledovanými městy (Olomouc, České Budějovice, Pardubice, Opava, Liberec). Pro zaměstnanost ve městě mají velký význam </w:t>
      </w:r>
      <w:r w:rsidRPr="003A7320">
        <w:rPr>
          <w:b/>
        </w:rPr>
        <w:t>průmyslová odvětví</w:t>
      </w:r>
      <w:r w:rsidRPr="003A7320">
        <w:t>, existence tradičních dobře etablovaných odvětví s</w:t>
      </w:r>
      <w:r>
        <w:t> </w:t>
      </w:r>
      <w:r w:rsidRPr="003A7320">
        <w:t xml:space="preserve">návaznostmi na aktivity v oblasti vzdělávání, vědy a výzkumu. Významné projekty Univerzity Tomáše Bati ve Zlíně v oblasti výzkumu, vývoje a inovací </w:t>
      </w:r>
      <w:r>
        <w:t xml:space="preserve">jsou potenciálem rozvoje města Zlína </w:t>
      </w:r>
      <w:r w:rsidRPr="003A7320">
        <w:t>v n</w:t>
      </w:r>
      <w:r>
        <w:t>ávaznosti na etablovaná</w:t>
      </w:r>
      <w:r w:rsidRPr="003A7320">
        <w:t xml:space="preserve"> i potenciálně progresivní odvětví.</w:t>
      </w:r>
    </w:p>
    <w:p w14:paraId="7F23B884" w14:textId="77777777" w:rsidR="00E01070" w:rsidRDefault="00E01070" w:rsidP="00E01070">
      <w:r w:rsidRPr="00AB7E21">
        <w:rPr>
          <w:b/>
        </w:rPr>
        <w:t>Životní prostředí</w:t>
      </w:r>
      <w:r>
        <w:t xml:space="preserve"> města Zlína je pozitivně ovlivněno jeho polohou, jeho okolí má zachovalý krajinný ráz s dobrou dostupností oblastí k rekreaci v přírodě. I přes bohatou průmyslovou minulost není životní prostředí města zatíženo výrazným poškozením. Město se může chlubit vysokým zastoupením zelených ploch a parků. Město má propracovaný systém údržby veřejných prostranství a snaží se posilovat ekologickou stabilitu území (péče o lokality ÚSES, volně žijící živočichy apod.). Kvalitu životního prostředí pociťují i obyvatelé města. Většina obyvatel Zlína je se stavem životního prostředí ve Zlíně spokojena. Nedostatkem je vyšší míra znečištění ovzduší a hlukové zátěže v blízkosti hlavních silničních komunikací. Příležitostí pro sledování kvality životního prostředí je zavedení SMART řešení.</w:t>
      </w:r>
    </w:p>
    <w:p w14:paraId="186AAEEB" w14:textId="77777777" w:rsidR="00E01070" w:rsidRDefault="00E01070" w:rsidP="00E01070">
      <w:r w:rsidRPr="003A7320">
        <w:rPr>
          <w:b/>
        </w:rPr>
        <w:t xml:space="preserve">Řízení města </w:t>
      </w:r>
      <w:r>
        <w:t>probíhá na základě významných strategických či koncepčních dokumentů v různých oblastech. Postupně město Zlín zavádí systémy a nástroje řízení kvality pro fungování a zlepšování výkonu veřejné správy, připravuje další projekty v této oblasti. Město vyplácí dotace na podporu různých oblastí činnosti konkrétním subjektům přímo z rozpočtu i v rámci účelových fondů.</w:t>
      </w:r>
    </w:p>
    <w:p w14:paraId="4FC536BA" w14:textId="77777777" w:rsidR="00E01070" w:rsidRDefault="00E01070" w:rsidP="00E01070">
      <w:r>
        <w:t xml:space="preserve">Pro </w:t>
      </w:r>
      <w:r w:rsidRPr="003A7320">
        <w:rPr>
          <w:b/>
        </w:rPr>
        <w:t>propagaci</w:t>
      </w:r>
      <w:r>
        <w:t xml:space="preserve"> města a komunikaci město využívá řadu komunikačních prostředků (Magazín Zlín, webové stránky, portály, sociální online platformy, mobilní aplikace a další).</w:t>
      </w:r>
    </w:p>
    <w:p w14:paraId="5BD150BD" w14:textId="77777777" w:rsidR="00E01070" w:rsidRDefault="00E01070" w:rsidP="00E01070">
      <w:r>
        <w:t xml:space="preserve">Město má plán uplatňování konceptu </w:t>
      </w:r>
      <w:r w:rsidRPr="003A7320">
        <w:rPr>
          <w:b/>
        </w:rPr>
        <w:t>Smart City</w:t>
      </w:r>
      <w:r>
        <w:t xml:space="preserve"> v řízení města, dopravě, oblasti životního prostředí včetně nastavených opatření, </w:t>
      </w:r>
      <w:r w:rsidRPr="003A7320">
        <w:t>jak občanům poskytovat služby</w:t>
      </w:r>
      <w:r>
        <w:t xml:space="preserve"> </w:t>
      </w:r>
      <w:r w:rsidRPr="003A7320">
        <w:t>kv</w:t>
      </w:r>
      <w:r>
        <w:t>alitně</w:t>
      </w:r>
      <w:r w:rsidRPr="003A7320">
        <w:t>.</w:t>
      </w:r>
    </w:p>
    <w:p w14:paraId="08135455" w14:textId="77777777" w:rsidR="00E01070" w:rsidRDefault="00E01070" w:rsidP="00E01070"/>
    <w:p w14:paraId="6896E30B" w14:textId="77777777" w:rsidR="00E01070" w:rsidRPr="00822222" w:rsidRDefault="00E01070" w:rsidP="00E01070"/>
    <w:p w14:paraId="7F91169A" w14:textId="77777777" w:rsidR="00E01070" w:rsidRPr="00822222" w:rsidRDefault="00E01070" w:rsidP="00E01070"/>
    <w:p w14:paraId="7C1D0A94" w14:textId="77777777" w:rsidR="00E01070" w:rsidRPr="00822222" w:rsidRDefault="00E01070" w:rsidP="00E01070"/>
    <w:p w14:paraId="012BBAB1" w14:textId="77777777" w:rsidR="00E01070" w:rsidRDefault="00E01070" w:rsidP="00E01070"/>
    <w:p w14:paraId="05A5D393" w14:textId="77777777" w:rsidR="00E01070" w:rsidRDefault="00E01070" w:rsidP="00E01070">
      <w:pPr>
        <w:pStyle w:val="Nadpis2"/>
      </w:pPr>
      <w:r w:rsidRPr="00822222">
        <w:br w:type="page"/>
      </w:r>
      <w:bookmarkStart w:id="1156" w:name="_Toc53474272"/>
      <w:bookmarkStart w:id="1157" w:name="_Toc77074674"/>
      <w:r>
        <w:t>SWOT analýza</w:t>
      </w:r>
      <w:bookmarkEnd w:id="1156"/>
      <w:bookmarkEnd w:id="1157"/>
    </w:p>
    <w:p w14:paraId="45B25584" w14:textId="77777777" w:rsidR="00E01070" w:rsidRPr="00EF4C6A" w:rsidRDefault="00E01070" w:rsidP="00E01070">
      <w:pPr>
        <w:pStyle w:val="Nadpis3"/>
        <w:ind w:left="720"/>
      </w:pPr>
      <w:bookmarkStart w:id="1158" w:name="_Toc50023502"/>
      <w:bookmarkStart w:id="1159" w:name="_Toc53474273"/>
      <w:bookmarkStart w:id="1160" w:name="_Toc77074675"/>
      <w:r>
        <w:t>SWOT analýza</w:t>
      </w:r>
      <w:bookmarkEnd w:id="1158"/>
      <w:r>
        <w:t xml:space="preserve"> tematické oblasti Územní plánování a urbanismus</w:t>
      </w:r>
      <w:bookmarkEnd w:id="1159"/>
      <w:bookmarkEnd w:id="1160"/>
    </w:p>
    <w:tbl>
      <w:tblPr>
        <w:tblStyle w:val="Mkatabulky2"/>
        <w:tblW w:w="0" w:type="auto"/>
        <w:tblLook w:val="04A0" w:firstRow="1" w:lastRow="0" w:firstColumn="1" w:lastColumn="0" w:noHBand="0" w:noVBand="1"/>
      </w:tblPr>
      <w:tblGrid>
        <w:gridCol w:w="4533"/>
        <w:gridCol w:w="4529"/>
      </w:tblGrid>
      <w:tr w:rsidR="00E01070" w:rsidRPr="00BC1A35" w14:paraId="3FB93919" w14:textId="77777777" w:rsidTr="00FB7BF4">
        <w:trPr>
          <w:cantSplit/>
          <w:tblHeader/>
        </w:trPr>
        <w:tc>
          <w:tcPr>
            <w:tcW w:w="4533" w:type="dxa"/>
            <w:shd w:val="clear" w:color="auto" w:fill="FF7C80"/>
          </w:tcPr>
          <w:p w14:paraId="6587873E" w14:textId="77777777" w:rsidR="00E01070" w:rsidRPr="00BC1A35" w:rsidRDefault="00E01070" w:rsidP="00FB7BF4">
            <w:pPr>
              <w:spacing w:before="0"/>
              <w:jc w:val="center"/>
              <w:rPr>
                <w:b/>
                <w:szCs w:val="24"/>
              </w:rPr>
            </w:pPr>
            <w:r w:rsidRPr="00BC1A35">
              <w:rPr>
                <w:b/>
                <w:szCs w:val="24"/>
              </w:rPr>
              <w:t>SILNÉ STRÁNKY</w:t>
            </w:r>
          </w:p>
        </w:tc>
        <w:tc>
          <w:tcPr>
            <w:tcW w:w="4530" w:type="dxa"/>
            <w:shd w:val="clear" w:color="auto" w:fill="B8CCE4"/>
          </w:tcPr>
          <w:p w14:paraId="1B5C51C2" w14:textId="77777777" w:rsidR="00E01070" w:rsidRPr="00BC1A35" w:rsidRDefault="00E01070" w:rsidP="00FB7BF4">
            <w:pPr>
              <w:spacing w:before="0"/>
              <w:jc w:val="center"/>
              <w:rPr>
                <w:b/>
                <w:szCs w:val="24"/>
              </w:rPr>
            </w:pPr>
            <w:r w:rsidRPr="00BC1A35">
              <w:rPr>
                <w:b/>
                <w:szCs w:val="24"/>
              </w:rPr>
              <w:t>SLABÉ STRÁNKY</w:t>
            </w:r>
          </w:p>
        </w:tc>
      </w:tr>
      <w:tr w:rsidR="00E01070" w:rsidRPr="00BC1A35" w14:paraId="48EECCD6" w14:textId="77777777" w:rsidTr="00FB7BF4">
        <w:trPr>
          <w:cantSplit/>
          <w:trHeight w:val="3177"/>
        </w:trPr>
        <w:tc>
          <w:tcPr>
            <w:tcW w:w="4533" w:type="dxa"/>
            <w:shd w:val="clear" w:color="auto" w:fill="FFDDDD"/>
          </w:tcPr>
          <w:p w14:paraId="3FD041B5" w14:textId="77777777" w:rsidR="00E01070" w:rsidRPr="0045137D" w:rsidRDefault="00E01070" w:rsidP="00FB7BF4">
            <w:pPr>
              <w:suppressAutoHyphens/>
              <w:spacing w:before="0"/>
              <w:ind w:left="171"/>
              <w:contextualSpacing/>
              <w:jc w:val="left"/>
              <w:rPr>
                <w:sz w:val="12"/>
                <w:szCs w:val="24"/>
              </w:rPr>
            </w:pPr>
          </w:p>
          <w:p w14:paraId="33759D7D" w14:textId="5B80326F" w:rsidR="00E01070" w:rsidRPr="008A060E" w:rsidRDefault="00E01070" w:rsidP="00E01070">
            <w:pPr>
              <w:pStyle w:val="Odstavecseseznamem"/>
              <w:numPr>
                <w:ilvl w:val="0"/>
                <w:numId w:val="12"/>
              </w:numPr>
              <w:suppressAutoHyphens/>
              <w:spacing w:before="0" w:after="160"/>
              <w:ind w:left="171" w:hanging="142"/>
              <w:jc w:val="left"/>
              <w:rPr>
                <w:szCs w:val="24"/>
              </w:rPr>
            </w:pPr>
            <w:r>
              <w:t>Historicky ucelená urbanistická koncepce města vycházející ze zásad funkcionalismu, unikátní městský soubor vysoké architektonické a urbanistické kvality, který je předmětem památkové ochrany</w:t>
            </w:r>
            <w:r w:rsidR="002F528D">
              <w:t>.</w:t>
            </w:r>
          </w:p>
          <w:p w14:paraId="42278AFE" w14:textId="601BBE4A" w:rsidR="00E01070" w:rsidRPr="008A060E" w:rsidRDefault="00E01070" w:rsidP="00E01070">
            <w:pPr>
              <w:pStyle w:val="Odstavecseseznamem"/>
              <w:numPr>
                <w:ilvl w:val="0"/>
                <w:numId w:val="12"/>
              </w:numPr>
              <w:suppressAutoHyphens/>
              <w:spacing w:before="0" w:after="160"/>
              <w:ind w:left="171" w:hanging="142"/>
              <w:jc w:val="left"/>
              <w:rPr>
                <w:szCs w:val="24"/>
              </w:rPr>
            </w:pPr>
            <w:r>
              <w:t>Koncepce města jako zahradního města, vysoký podíl zelených ploch</w:t>
            </w:r>
            <w:r w:rsidR="002F528D">
              <w:t>.</w:t>
            </w:r>
          </w:p>
          <w:p w14:paraId="020C102A" w14:textId="2360014A" w:rsidR="00E01070" w:rsidRPr="0092398A" w:rsidRDefault="00E01070" w:rsidP="00E01070">
            <w:pPr>
              <w:pStyle w:val="Odstavecseseznamem"/>
              <w:numPr>
                <w:ilvl w:val="0"/>
                <w:numId w:val="12"/>
              </w:numPr>
              <w:suppressAutoHyphens/>
              <w:spacing w:before="0" w:after="160"/>
              <w:ind w:left="171" w:hanging="142"/>
              <w:jc w:val="left"/>
              <w:rPr>
                <w:szCs w:val="24"/>
              </w:rPr>
            </w:pPr>
            <w:r>
              <w:t>Atraktivní přírodní okolí města</w:t>
            </w:r>
            <w:r w:rsidR="002F528D">
              <w:t>.</w:t>
            </w:r>
          </w:p>
          <w:p w14:paraId="23D4BF3A" w14:textId="351E36A5" w:rsidR="00E01070" w:rsidRPr="006A7F00" w:rsidRDefault="00E01070" w:rsidP="00E01070">
            <w:pPr>
              <w:pStyle w:val="Odstavecseseznamem"/>
              <w:numPr>
                <w:ilvl w:val="0"/>
                <w:numId w:val="12"/>
              </w:numPr>
              <w:suppressAutoHyphens/>
              <w:spacing w:before="0" w:after="160"/>
              <w:ind w:left="171" w:hanging="142"/>
              <w:jc w:val="left"/>
              <w:rPr>
                <w:szCs w:val="24"/>
              </w:rPr>
            </w:pPr>
            <w:r>
              <w:t>Proběhlé projekty revitalizace veřejného prostoru, které vedly k jeho zkvalitnění</w:t>
            </w:r>
            <w:r w:rsidR="002F528D">
              <w:t>.</w:t>
            </w:r>
          </w:p>
          <w:p w14:paraId="33B8CEBE" w14:textId="63232BB6" w:rsidR="00E01070" w:rsidRPr="006A7F00" w:rsidRDefault="00E01070" w:rsidP="00E01070">
            <w:pPr>
              <w:pStyle w:val="Odstavecseseznamem"/>
              <w:numPr>
                <w:ilvl w:val="0"/>
                <w:numId w:val="12"/>
              </w:numPr>
              <w:suppressAutoHyphens/>
              <w:spacing w:before="0" w:after="160"/>
              <w:ind w:left="171" w:hanging="142"/>
              <w:jc w:val="left"/>
              <w:rPr>
                <w:szCs w:val="24"/>
              </w:rPr>
            </w:pPr>
            <w:r>
              <w:t xml:space="preserve">Zlín jako centrum Zlínské aglomerace s více než </w:t>
            </w:r>
            <w:r w:rsidRPr="006A7F00">
              <w:t>130 000</w:t>
            </w:r>
            <w:r>
              <w:t xml:space="preserve"> obyvateli</w:t>
            </w:r>
            <w:r w:rsidR="002F528D">
              <w:t>.</w:t>
            </w:r>
          </w:p>
          <w:p w14:paraId="53E0221E" w14:textId="5750C1CD" w:rsidR="00E01070" w:rsidRPr="00BC1A35" w:rsidRDefault="00E01070" w:rsidP="00E01070">
            <w:pPr>
              <w:pStyle w:val="Odstavecseseznamem"/>
              <w:numPr>
                <w:ilvl w:val="0"/>
                <w:numId w:val="12"/>
              </w:numPr>
              <w:suppressAutoHyphens/>
              <w:spacing w:before="0" w:after="160"/>
              <w:ind w:left="171" w:hanging="142"/>
              <w:jc w:val="left"/>
              <w:rPr>
                <w:szCs w:val="24"/>
              </w:rPr>
            </w:pPr>
            <w:r>
              <w:t>Existence Univerzity Tomáše Bati jako silného aktéra rozvoje území</w:t>
            </w:r>
            <w:r w:rsidR="002F528D">
              <w:t>.</w:t>
            </w:r>
          </w:p>
        </w:tc>
        <w:tc>
          <w:tcPr>
            <w:tcW w:w="4530" w:type="dxa"/>
            <w:shd w:val="clear" w:color="auto" w:fill="EEF3F8"/>
          </w:tcPr>
          <w:p w14:paraId="5889C398" w14:textId="77777777" w:rsidR="00E01070" w:rsidRPr="0045137D" w:rsidRDefault="00E01070" w:rsidP="00FB7BF4">
            <w:pPr>
              <w:suppressAutoHyphens/>
              <w:spacing w:before="0"/>
              <w:ind w:left="175"/>
              <w:contextualSpacing/>
              <w:jc w:val="left"/>
              <w:rPr>
                <w:sz w:val="12"/>
                <w:szCs w:val="12"/>
              </w:rPr>
            </w:pPr>
          </w:p>
          <w:p w14:paraId="3821913C" w14:textId="7D334616" w:rsidR="00E01070" w:rsidRPr="0092398A" w:rsidRDefault="00E01070" w:rsidP="00E01070">
            <w:pPr>
              <w:numPr>
                <w:ilvl w:val="0"/>
                <w:numId w:val="33"/>
              </w:numPr>
              <w:spacing w:before="0"/>
              <w:jc w:val="left"/>
              <w:rPr>
                <w:szCs w:val="24"/>
              </w:rPr>
            </w:pPr>
            <w:r>
              <w:t>Limitující rozvoj v důsledku umístění města v</w:t>
            </w:r>
            <w:r w:rsidR="002F528D">
              <w:t> </w:t>
            </w:r>
            <w:r>
              <w:t>údolí</w:t>
            </w:r>
            <w:r w:rsidR="002F528D">
              <w:t>.</w:t>
            </w:r>
          </w:p>
          <w:p w14:paraId="7ACD7DAA" w14:textId="3314BFBE" w:rsidR="00E01070" w:rsidRPr="0092398A" w:rsidRDefault="00E01070" w:rsidP="00E01070">
            <w:pPr>
              <w:numPr>
                <w:ilvl w:val="0"/>
                <w:numId w:val="33"/>
              </w:numPr>
              <w:spacing w:before="0"/>
              <w:jc w:val="left"/>
              <w:rPr>
                <w:szCs w:val="24"/>
              </w:rPr>
            </w:pPr>
            <w:r>
              <w:t>Horší dopravní napojení na národní a mezinárodní dopravní infrastrukturu a železniční síť</w:t>
            </w:r>
            <w:r w:rsidR="002F528D">
              <w:t>.</w:t>
            </w:r>
          </w:p>
          <w:p w14:paraId="385ADEEA" w14:textId="3E0C9857" w:rsidR="00E01070" w:rsidRPr="0064283F" w:rsidRDefault="00E01070" w:rsidP="00E01070">
            <w:pPr>
              <w:numPr>
                <w:ilvl w:val="0"/>
                <w:numId w:val="33"/>
              </w:numPr>
              <w:spacing w:before="0"/>
              <w:jc w:val="left"/>
              <w:rPr>
                <w:szCs w:val="24"/>
              </w:rPr>
            </w:pPr>
            <w:r>
              <w:t>Intenzivní automobilová doprava procházející centrem města – zhoršení kvality veřejného prostoru</w:t>
            </w:r>
            <w:r w:rsidR="002F528D">
              <w:t>.</w:t>
            </w:r>
          </w:p>
          <w:p w14:paraId="1126901A" w14:textId="043D23EA" w:rsidR="00E01070" w:rsidRPr="0092398A" w:rsidRDefault="00E01070" w:rsidP="00E01070">
            <w:pPr>
              <w:numPr>
                <w:ilvl w:val="0"/>
                <w:numId w:val="33"/>
              </w:numPr>
              <w:spacing w:before="0"/>
              <w:jc w:val="left"/>
              <w:rPr>
                <w:szCs w:val="24"/>
              </w:rPr>
            </w:pPr>
            <w:r>
              <w:t>Absence dlouhodobé rozvojové urbanistické koncepce města</w:t>
            </w:r>
            <w:r w:rsidR="002F528D">
              <w:t>.</w:t>
            </w:r>
          </w:p>
          <w:p w14:paraId="0F72E7CD" w14:textId="38978779" w:rsidR="00E01070" w:rsidRDefault="00E01070" w:rsidP="00E01070">
            <w:pPr>
              <w:numPr>
                <w:ilvl w:val="0"/>
                <w:numId w:val="33"/>
              </w:numPr>
              <w:spacing w:before="0"/>
              <w:jc w:val="left"/>
              <w:rPr>
                <w:szCs w:val="24"/>
              </w:rPr>
            </w:pPr>
            <w:r>
              <w:rPr>
                <w:szCs w:val="24"/>
              </w:rPr>
              <w:t>Absence Plánu ochrany pro Městské památkové zóny Zlín</w:t>
            </w:r>
            <w:r w:rsidR="002F528D">
              <w:rPr>
                <w:szCs w:val="24"/>
              </w:rPr>
              <w:t>.</w:t>
            </w:r>
          </w:p>
          <w:p w14:paraId="46335959" w14:textId="28350107" w:rsidR="00E01070" w:rsidRDefault="00E01070" w:rsidP="00E01070">
            <w:pPr>
              <w:numPr>
                <w:ilvl w:val="0"/>
                <w:numId w:val="33"/>
              </w:numPr>
              <w:spacing w:before="0"/>
              <w:jc w:val="left"/>
              <w:rPr>
                <w:szCs w:val="24"/>
              </w:rPr>
            </w:pPr>
            <w:r>
              <w:rPr>
                <w:szCs w:val="24"/>
              </w:rPr>
              <w:t>Nerespektování památkové ochrany vlastníky objektů památkové zóny</w:t>
            </w:r>
            <w:r w:rsidR="002F528D">
              <w:rPr>
                <w:szCs w:val="24"/>
              </w:rPr>
              <w:t>.</w:t>
            </w:r>
          </w:p>
          <w:p w14:paraId="3AF775D0" w14:textId="14753BBE" w:rsidR="00E01070" w:rsidRDefault="00E01070" w:rsidP="00E01070">
            <w:pPr>
              <w:numPr>
                <w:ilvl w:val="0"/>
                <w:numId w:val="33"/>
              </w:numPr>
              <w:spacing w:before="0"/>
              <w:jc w:val="left"/>
              <w:rPr>
                <w:szCs w:val="24"/>
              </w:rPr>
            </w:pPr>
            <w:r>
              <w:rPr>
                <w:szCs w:val="24"/>
              </w:rPr>
              <w:t>Kompetence kanceláře hlavního architekta</w:t>
            </w:r>
            <w:r w:rsidR="002F528D">
              <w:rPr>
                <w:szCs w:val="24"/>
              </w:rPr>
              <w:t>.</w:t>
            </w:r>
          </w:p>
          <w:p w14:paraId="426F752B" w14:textId="77777777" w:rsidR="00E01070" w:rsidRPr="00A046EB" w:rsidRDefault="00E01070" w:rsidP="00FB7BF4">
            <w:pPr>
              <w:pStyle w:val="Odstavecseseznamem"/>
              <w:spacing w:before="0"/>
              <w:ind w:left="170"/>
              <w:jc w:val="left"/>
              <w:rPr>
                <w:szCs w:val="24"/>
              </w:rPr>
            </w:pPr>
          </w:p>
        </w:tc>
      </w:tr>
    </w:tbl>
    <w:p w14:paraId="0C34FBE5" w14:textId="77777777" w:rsidR="00E01070" w:rsidRDefault="00E01070" w:rsidP="00E01070"/>
    <w:tbl>
      <w:tblPr>
        <w:tblStyle w:val="Mkatabulky1"/>
        <w:tblW w:w="0" w:type="auto"/>
        <w:tblLook w:val="04A0" w:firstRow="1" w:lastRow="0" w:firstColumn="1" w:lastColumn="0" w:noHBand="0" w:noVBand="1"/>
      </w:tblPr>
      <w:tblGrid>
        <w:gridCol w:w="4534"/>
        <w:gridCol w:w="4528"/>
      </w:tblGrid>
      <w:tr w:rsidR="00E01070" w:rsidRPr="00BC1A35" w14:paraId="3A70E9E1" w14:textId="77777777" w:rsidTr="00FB7BF4">
        <w:trPr>
          <w:cantSplit/>
          <w:tblHeader/>
        </w:trPr>
        <w:tc>
          <w:tcPr>
            <w:tcW w:w="4535" w:type="dxa"/>
            <w:shd w:val="clear" w:color="auto" w:fill="F79646"/>
          </w:tcPr>
          <w:p w14:paraId="67B044F9" w14:textId="77777777" w:rsidR="00E01070" w:rsidRPr="00BC1A35" w:rsidRDefault="00E01070" w:rsidP="00FB7BF4">
            <w:pPr>
              <w:spacing w:before="0"/>
              <w:jc w:val="center"/>
              <w:rPr>
                <w:b/>
                <w:szCs w:val="24"/>
              </w:rPr>
            </w:pPr>
            <w:r w:rsidRPr="00BC1A35">
              <w:rPr>
                <w:b/>
                <w:szCs w:val="24"/>
              </w:rPr>
              <w:t>PŘÍLEŽITOSTI</w:t>
            </w:r>
          </w:p>
        </w:tc>
        <w:tc>
          <w:tcPr>
            <w:tcW w:w="4528" w:type="dxa"/>
            <w:shd w:val="clear" w:color="auto" w:fill="B2A1C7"/>
          </w:tcPr>
          <w:p w14:paraId="7052FAEB" w14:textId="77777777" w:rsidR="00E01070" w:rsidRPr="00BC1A35" w:rsidRDefault="00E01070" w:rsidP="00FB7BF4">
            <w:pPr>
              <w:spacing w:before="0"/>
              <w:jc w:val="center"/>
              <w:rPr>
                <w:b/>
                <w:szCs w:val="24"/>
              </w:rPr>
            </w:pPr>
            <w:r w:rsidRPr="00BC1A35">
              <w:rPr>
                <w:b/>
                <w:szCs w:val="24"/>
              </w:rPr>
              <w:t>HROZBY</w:t>
            </w:r>
          </w:p>
        </w:tc>
      </w:tr>
      <w:tr w:rsidR="00E01070" w:rsidRPr="00BC1A35" w14:paraId="5C677C33" w14:textId="77777777" w:rsidTr="00FB7BF4">
        <w:trPr>
          <w:cantSplit/>
          <w:trHeight w:val="4484"/>
        </w:trPr>
        <w:tc>
          <w:tcPr>
            <w:tcW w:w="4535" w:type="dxa"/>
            <w:shd w:val="clear" w:color="auto" w:fill="FEF7CE"/>
          </w:tcPr>
          <w:p w14:paraId="18C934C8" w14:textId="77777777" w:rsidR="00E01070" w:rsidRDefault="00E01070" w:rsidP="00FB7BF4">
            <w:pPr>
              <w:suppressAutoHyphens/>
              <w:spacing w:before="0"/>
              <w:ind w:left="171"/>
              <w:contextualSpacing/>
              <w:jc w:val="left"/>
              <w:rPr>
                <w:szCs w:val="24"/>
                <w:highlight w:val="yellow"/>
              </w:rPr>
            </w:pPr>
          </w:p>
          <w:p w14:paraId="79FAA08A" w14:textId="2A7A27E9" w:rsidR="00E01070" w:rsidRDefault="00E01070" w:rsidP="00E01070">
            <w:pPr>
              <w:pStyle w:val="Odstavecseseznamem"/>
              <w:numPr>
                <w:ilvl w:val="0"/>
                <w:numId w:val="12"/>
              </w:numPr>
              <w:suppressAutoHyphens/>
              <w:spacing w:before="0" w:after="160"/>
              <w:ind w:left="313" w:hanging="219"/>
              <w:jc w:val="left"/>
              <w:rPr>
                <w:szCs w:val="24"/>
              </w:rPr>
            </w:pPr>
            <w:r>
              <w:rPr>
                <w:szCs w:val="24"/>
              </w:rPr>
              <w:t>Vytvoření dlouhodobé rozvojové koncepce a rozvoj města v souladu s</w:t>
            </w:r>
            <w:r w:rsidR="002F528D">
              <w:rPr>
                <w:szCs w:val="24"/>
              </w:rPr>
              <w:t> </w:t>
            </w:r>
            <w:r>
              <w:rPr>
                <w:szCs w:val="24"/>
              </w:rPr>
              <w:t>koncepcí</w:t>
            </w:r>
            <w:r w:rsidR="002F528D">
              <w:rPr>
                <w:szCs w:val="24"/>
              </w:rPr>
              <w:t>.</w:t>
            </w:r>
          </w:p>
          <w:p w14:paraId="1EEDBDB4" w14:textId="2B59CFF1" w:rsidR="00E01070" w:rsidRPr="00481B13" w:rsidRDefault="00E01070" w:rsidP="00E01070">
            <w:pPr>
              <w:pStyle w:val="Odstavecseseznamem"/>
              <w:numPr>
                <w:ilvl w:val="0"/>
                <w:numId w:val="12"/>
              </w:numPr>
              <w:suppressAutoHyphens/>
              <w:spacing w:before="0" w:after="160"/>
              <w:ind w:left="313" w:hanging="219"/>
              <w:jc w:val="left"/>
              <w:rPr>
                <w:szCs w:val="24"/>
              </w:rPr>
            </w:pPr>
            <w:r>
              <w:rPr>
                <w:szCs w:val="24"/>
              </w:rPr>
              <w:t>Iniciativní role města v procesech urbanistické přestavby (komunikace, návrhy, metodiky, propagace, popularizace)</w:t>
            </w:r>
            <w:r w:rsidR="002F528D">
              <w:rPr>
                <w:szCs w:val="24"/>
              </w:rPr>
              <w:t>.</w:t>
            </w:r>
          </w:p>
          <w:p w14:paraId="219367B4" w14:textId="2F8B102B" w:rsidR="00E01070" w:rsidRDefault="00E01070" w:rsidP="00E01070">
            <w:pPr>
              <w:pStyle w:val="Odstavecseseznamem"/>
              <w:numPr>
                <w:ilvl w:val="0"/>
                <w:numId w:val="12"/>
              </w:numPr>
              <w:suppressAutoHyphens/>
              <w:spacing w:before="0" w:after="160"/>
              <w:ind w:left="313" w:hanging="219"/>
              <w:jc w:val="left"/>
              <w:rPr>
                <w:szCs w:val="24"/>
              </w:rPr>
            </w:pPr>
            <w:r>
              <w:rPr>
                <w:szCs w:val="24"/>
              </w:rPr>
              <w:t>Pokračování v trendu revitalizace veřejného prostoru a památkově chráněných budov</w:t>
            </w:r>
            <w:r w:rsidR="002F528D">
              <w:rPr>
                <w:szCs w:val="24"/>
              </w:rPr>
              <w:t>.</w:t>
            </w:r>
          </w:p>
          <w:p w14:paraId="2EFE188B" w14:textId="04F7FD45" w:rsidR="00E01070" w:rsidRDefault="00E01070" w:rsidP="00E01070">
            <w:pPr>
              <w:pStyle w:val="Odstavecseseznamem"/>
              <w:numPr>
                <w:ilvl w:val="0"/>
                <w:numId w:val="12"/>
              </w:numPr>
              <w:suppressAutoHyphens/>
              <w:spacing w:before="0" w:after="160"/>
              <w:ind w:left="313" w:hanging="219"/>
              <w:jc w:val="left"/>
              <w:rPr>
                <w:szCs w:val="24"/>
              </w:rPr>
            </w:pPr>
            <w:r>
              <w:rPr>
                <w:szCs w:val="24"/>
              </w:rPr>
              <w:t>Revitalizace Baťova areálu a jeho začlenění do širšího centra</w:t>
            </w:r>
            <w:r w:rsidR="002F528D">
              <w:rPr>
                <w:szCs w:val="24"/>
              </w:rPr>
              <w:t>.</w:t>
            </w:r>
          </w:p>
          <w:p w14:paraId="65005028" w14:textId="38BBE3A8" w:rsidR="00E01070" w:rsidRDefault="00E01070" w:rsidP="00E01070">
            <w:pPr>
              <w:pStyle w:val="Odstavecseseznamem"/>
              <w:numPr>
                <w:ilvl w:val="0"/>
                <w:numId w:val="12"/>
              </w:numPr>
              <w:suppressAutoHyphens/>
              <w:spacing w:before="0" w:after="160"/>
              <w:ind w:left="313" w:hanging="219"/>
              <w:jc w:val="left"/>
              <w:rPr>
                <w:szCs w:val="24"/>
              </w:rPr>
            </w:pPr>
            <w:r>
              <w:rPr>
                <w:szCs w:val="24"/>
              </w:rPr>
              <w:t>Dosažení vysokého standardu nově vznikající architektury v souladu s tradicí Zlína</w:t>
            </w:r>
            <w:r w:rsidR="002F528D">
              <w:rPr>
                <w:szCs w:val="24"/>
              </w:rPr>
              <w:t>.</w:t>
            </w:r>
          </w:p>
          <w:p w14:paraId="580FE931" w14:textId="1B198896" w:rsidR="00E01070" w:rsidRDefault="00E01070" w:rsidP="00E01070">
            <w:pPr>
              <w:pStyle w:val="Odstavecseseznamem"/>
              <w:numPr>
                <w:ilvl w:val="0"/>
                <w:numId w:val="12"/>
              </w:numPr>
              <w:suppressAutoHyphens/>
              <w:spacing w:before="0" w:after="160"/>
              <w:ind w:left="313" w:hanging="219"/>
              <w:jc w:val="left"/>
              <w:rPr>
                <w:szCs w:val="24"/>
              </w:rPr>
            </w:pPr>
            <w:r>
              <w:rPr>
                <w:szCs w:val="24"/>
              </w:rPr>
              <w:t>Využití potenciálu Univerzity Tomáše Bati při rozvoji znalostní ekonomiky</w:t>
            </w:r>
            <w:r w:rsidR="002F528D">
              <w:rPr>
                <w:szCs w:val="24"/>
              </w:rPr>
              <w:t>.</w:t>
            </w:r>
          </w:p>
          <w:p w14:paraId="7571F4C2" w14:textId="3D99B331" w:rsidR="00E01070" w:rsidRDefault="00E01070" w:rsidP="00E01070">
            <w:pPr>
              <w:pStyle w:val="Odstavecseseznamem"/>
              <w:numPr>
                <w:ilvl w:val="0"/>
                <w:numId w:val="12"/>
              </w:numPr>
              <w:suppressAutoHyphens/>
              <w:spacing w:before="0" w:after="160"/>
              <w:ind w:left="313" w:hanging="219"/>
              <w:jc w:val="left"/>
              <w:rPr>
                <w:szCs w:val="24"/>
              </w:rPr>
            </w:pPr>
            <w:r>
              <w:rPr>
                <w:szCs w:val="24"/>
              </w:rPr>
              <w:t>Podpora zachování vysokého podílu zelených ploch ve veřejném prostoru vycházející z koncepce zahradního města</w:t>
            </w:r>
            <w:r w:rsidR="002F528D">
              <w:rPr>
                <w:szCs w:val="24"/>
              </w:rPr>
              <w:t>.</w:t>
            </w:r>
          </w:p>
          <w:p w14:paraId="2FC7AF43" w14:textId="4C7C2A54" w:rsidR="00E01070" w:rsidRDefault="00E01070" w:rsidP="00E01070">
            <w:pPr>
              <w:pStyle w:val="Odstavecseseznamem"/>
              <w:numPr>
                <w:ilvl w:val="0"/>
                <w:numId w:val="12"/>
              </w:numPr>
              <w:suppressAutoHyphens/>
              <w:spacing w:before="0" w:after="160"/>
              <w:ind w:left="313" w:hanging="219"/>
              <w:jc w:val="left"/>
              <w:rPr>
                <w:szCs w:val="24"/>
              </w:rPr>
            </w:pPr>
            <w:r>
              <w:rPr>
                <w:szCs w:val="24"/>
              </w:rPr>
              <w:t>Rozvoj města v souladu s podporou kvalitního životního prostředí</w:t>
            </w:r>
            <w:r w:rsidR="002F528D">
              <w:rPr>
                <w:szCs w:val="24"/>
              </w:rPr>
              <w:t>.</w:t>
            </w:r>
          </w:p>
          <w:p w14:paraId="1A9B6FB0" w14:textId="5270B5F3" w:rsidR="00E01070" w:rsidRDefault="00E01070" w:rsidP="00E01070">
            <w:pPr>
              <w:pStyle w:val="Odstavecseseznamem"/>
              <w:numPr>
                <w:ilvl w:val="0"/>
                <w:numId w:val="12"/>
              </w:numPr>
              <w:suppressAutoHyphens/>
              <w:spacing w:before="0" w:after="160"/>
              <w:ind w:left="313" w:hanging="219"/>
              <w:jc w:val="left"/>
              <w:rPr>
                <w:szCs w:val="24"/>
              </w:rPr>
            </w:pPr>
            <w:r>
              <w:rPr>
                <w:szCs w:val="24"/>
              </w:rPr>
              <w:t>Podpora dostupnosti bydlení</w:t>
            </w:r>
            <w:r w:rsidR="002F528D">
              <w:rPr>
                <w:szCs w:val="24"/>
              </w:rPr>
              <w:t>.</w:t>
            </w:r>
          </w:p>
          <w:p w14:paraId="58187E50" w14:textId="49011886" w:rsidR="00E01070" w:rsidRDefault="00E01070" w:rsidP="00E01070">
            <w:pPr>
              <w:pStyle w:val="Odstavecseseznamem"/>
              <w:numPr>
                <w:ilvl w:val="0"/>
                <w:numId w:val="12"/>
              </w:numPr>
              <w:suppressAutoHyphens/>
              <w:spacing w:before="0" w:after="160"/>
              <w:ind w:left="313" w:hanging="219"/>
              <w:jc w:val="left"/>
              <w:rPr>
                <w:szCs w:val="24"/>
              </w:rPr>
            </w:pPr>
            <w:r>
              <w:rPr>
                <w:szCs w:val="24"/>
              </w:rPr>
              <w:t>Spolupráce města při modernizaci stavebního fondu</w:t>
            </w:r>
            <w:r w:rsidR="002F528D">
              <w:rPr>
                <w:szCs w:val="24"/>
              </w:rPr>
              <w:t>.</w:t>
            </w:r>
          </w:p>
          <w:p w14:paraId="3EB2B8ED" w14:textId="4A16A013" w:rsidR="00E01070" w:rsidRPr="00B221E4" w:rsidRDefault="00E01070" w:rsidP="00E01070">
            <w:pPr>
              <w:pStyle w:val="Odstavecseseznamem"/>
              <w:numPr>
                <w:ilvl w:val="0"/>
                <w:numId w:val="12"/>
              </w:numPr>
              <w:suppressAutoHyphens/>
              <w:spacing w:before="0" w:after="160"/>
              <w:ind w:left="313" w:hanging="219"/>
              <w:jc w:val="left"/>
              <w:rPr>
                <w:szCs w:val="24"/>
              </w:rPr>
            </w:pPr>
            <w:r>
              <w:t>Regenerace obytných čtvrtí včetně panelových sídlišť</w:t>
            </w:r>
            <w:r w:rsidR="002F528D">
              <w:t>.</w:t>
            </w:r>
          </w:p>
          <w:p w14:paraId="696D2B38" w14:textId="6107D91C" w:rsidR="00E01070" w:rsidRDefault="00E01070" w:rsidP="00E01070">
            <w:pPr>
              <w:pStyle w:val="Odstavecseseznamem"/>
              <w:numPr>
                <w:ilvl w:val="0"/>
                <w:numId w:val="12"/>
              </w:numPr>
              <w:suppressAutoHyphens/>
              <w:spacing w:before="0" w:after="160"/>
              <w:ind w:left="313" w:hanging="219"/>
              <w:jc w:val="left"/>
              <w:rPr>
                <w:szCs w:val="24"/>
              </w:rPr>
            </w:pPr>
            <w:r>
              <w:rPr>
                <w:szCs w:val="24"/>
              </w:rPr>
              <w:t>Přiměřená intenzifikace stávající zástavby</w:t>
            </w:r>
            <w:r w:rsidR="002F528D">
              <w:rPr>
                <w:szCs w:val="24"/>
              </w:rPr>
              <w:t>.</w:t>
            </w:r>
          </w:p>
          <w:p w14:paraId="1C1FFC5B" w14:textId="0520E9B5" w:rsidR="00E01070" w:rsidRDefault="00E01070" w:rsidP="00E01070">
            <w:pPr>
              <w:pStyle w:val="Odstavecseseznamem"/>
              <w:numPr>
                <w:ilvl w:val="0"/>
                <w:numId w:val="12"/>
              </w:numPr>
              <w:suppressAutoHyphens/>
              <w:spacing w:before="0" w:after="160"/>
              <w:ind w:left="313" w:hanging="219"/>
              <w:jc w:val="left"/>
              <w:rPr>
                <w:szCs w:val="24"/>
              </w:rPr>
            </w:pPr>
            <w:r>
              <w:t>Kvalitní obnova památkově hodnotných objektů a souborů</w:t>
            </w:r>
            <w:r w:rsidR="002F528D">
              <w:t>.</w:t>
            </w:r>
          </w:p>
          <w:p w14:paraId="1220EFF3" w14:textId="5AB272C2" w:rsidR="00E01070" w:rsidRDefault="00E01070" w:rsidP="00E01070">
            <w:pPr>
              <w:pStyle w:val="Odstavecseseznamem"/>
              <w:numPr>
                <w:ilvl w:val="0"/>
                <w:numId w:val="12"/>
              </w:numPr>
              <w:suppressAutoHyphens/>
              <w:spacing w:before="0" w:after="160"/>
              <w:ind w:left="313" w:hanging="219"/>
              <w:jc w:val="left"/>
              <w:rPr>
                <w:szCs w:val="24"/>
              </w:rPr>
            </w:pPr>
            <w:r>
              <w:rPr>
                <w:szCs w:val="24"/>
              </w:rPr>
              <w:t>Realizace opatření usměrňující dopravu v centru města</w:t>
            </w:r>
            <w:r w:rsidR="002F528D">
              <w:rPr>
                <w:szCs w:val="24"/>
              </w:rPr>
              <w:t>.</w:t>
            </w:r>
          </w:p>
          <w:p w14:paraId="14A1FC4C" w14:textId="0AE96A8D" w:rsidR="00E01070" w:rsidRPr="00C131F9" w:rsidRDefault="00E01070" w:rsidP="00E01070">
            <w:pPr>
              <w:pStyle w:val="Odstavecseseznamem"/>
              <w:numPr>
                <w:ilvl w:val="0"/>
                <w:numId w:val="12"/>
              </w:numPr>
              <w:suppressAutoHyphens/>
              <w:spacing w:before="0" w:after="160"/>
              <w:ind w:left="313" w:hanging="219"/>
              <w:jc w:val="left"/>
              <w:rPr>
                <w:szCs w:val="24"/>
              </w:rPr>
            </w:pPr>
            <w:r>
              <w:rPr>
                <w:szCs w:val="24"/>
              </w:rPr>
              <w:t>Podpora alternativních způsobů dopravy na úkor IAD (železnice, trolejbusy, cyklistika apod.)</w:t>
            </w:r>
            <w:r w:rsidR="002F528D">
              <w:rPr>
                <w:szCs w:val="24"/>
              </w:rPr>
              <w:t>.</w:t>
            </w:r>
          </w:p>
        </w:tc>
        <w:tc>
          <w:tcPr>
            <w:tcW w:w="4528" w:type="dxa"/>
            <w:shd w:val="clear" w:color="auto" w:fill="E5DFEC"/>
          </w:tcPr>
          <w:p w14:paraId="255899DF" w14:textId="77777777" w:rsidR="00E01070" w:rsidRPr="007C6AE7" w:rsidRDefault="00E01070" w:rsidP="00FB7BF4">
            <w:pPr>
              <w:suppressAutoHyphens/>
              <w:spacing w:before="0"/>
              <w:ind w:left="173"/>
              <w:contextualSpacing/>
              <w:jc w:val="left"/>
              <w:rPr>
                <w:szCs w:val="24"/>
              </w:rPr>
            </w:pPr>
          </w:p>
          <w:p w14:paraId="5313C492" w14:textId="019E05CA" w:rsidR="00E01070" w:rsidRPr="00A21DD7" w:rsidRDefault="00E01070" w:rsidP="00E01070">
            <w:pPr>
              <w:numPr>
                <w:ilvl w:val="0"/>
                <w:numId w:val="13"/>
              </w:numPr>
              <w:spacing w:before="0"/>
              <w:ind w:left="173" w:hanging="173"/>
              <w:jc w:val="left"/>
              <w:rPr>
                <w:szCs w:val="24"/>
              </w:rPr>
            </w:pPr>
            <w:r w:rsidRPr="00A21DD7">
              <w:rPr>
                <w:szCs w:val="24"/>
              </w:rPr>
              <w:t>Neorganizovaná zástavba nízké architektonické kvality, r</w:t>
            </w:r>
            <w:r>
              <w:rPr>
                <w:szCs w:val="24"/>
              </w:rPr>
              <w:t>ozšiřování ploch „urban sprawl“</w:t>
            </w:r>
            <w:r w:rsidR="001D0018">
              <w:rPr>
                <w:szCs w:val="24"/>
              </w:rPr>
              <w:t>.</w:t>
            </w:r>
          </w:p>
          <w:p w14:paraId="3868F699" w14:textId="2650CC42" w:rsidR="00E01070" w:rsidRPr="0092398A" w:rsidRDefault="00E01070" w:rsidP="00E01070">
            <w:pPr>
              <w:numPr>
                <w:ilvl w:val="0"/>
                <w:numId w:val="13"/>
              </w:numPr>
              <w:spacing w:before="0"/>
              <w:ind w:left="173" w:hanging="173"/>
              <w:jc w:val="left"/>
              <w:rPr>
                <w:szCs w:val="24"/>
              </w:rPr>
            </w:pPr>
            <w:r>
              <w:t>Nárůst intenzity dopravy, který povede k vyšší fragmentaci prostoru centra</w:t>
            </w:r>
            <w:r w:rsidR="001D0018">
              <w:t>.</w:t>
            </w:r>
          </w:p>
          <w:p w14:paraId="2DC91217" w14:textId="04B8CA76" w:rsidR="00E01070" w:rsidRDefault="00E01070" w:rsidP="00E01070">
            <w:pPr>
              <w:numPr>
                <w:ilvl w:val="0"/>
                <w:numId w:val="13"/>
              </w:numPr>
              <w:spacing w:before="0"/>
              <w:ind w:left="173" w:hanging="173"/>
              <w:jc w:val="left"/>
              <w:rPr>
                <w:szCs w:val="24"/>
              </w:rPr>
            </w:pPr>
            <w:r>
              <w:rPr>
                <w:szCs w:val="24"/>
              </w:rPr>
              <w:t>Další vylidňování města Zlína a stárnutí populace</w:t>
            </w:r>
            <w:r w:rsidR="001D0018">
              <w:rPr>
                <w:szCs w:val="24"/>
              </w:rPr>
              <w:t>.</w:t>
            </w:r>
          </w:p>
          <w:p w14:paraId="15C7D346" w14:textId="403BBE9C" w:rsidR="00E01070" w:rsidRDefault="00E01070" w:rsidP="00E01070">
            <w:pPr>
              <w:numPr>
                <w:ilvl w:val="0"/>
                <w:numId w:val="13"/>
              </w:numPr>
              <w:spacing w:before="0"/>
              <w:ind w:left="173" w:hanging="173"/>
              <w:jc w:val="left"/>
              <w:rPr>
                <w:szCs w:val="24"/>
              </w:rPr>
            </w:pPr>
            <w:r>
              <w:rPr>
                <w:szCs w:val="24"/>
              </w:rPr>
              <w:t>Limity v památkové zóně omezující další rozvoj lokalit</w:t>
            </w:r>
            <w:r w:rsidR="001D0018">
              <w:rPr>
                <w:szCs w:val="24"/>
              </w:rPr>
              <w:t>.</w:t>
            </w:r>
          </w:p>
          <w:p w14:paraId="2E00F2E2" w14:textId="4F0C4F89" w:rsidR="00E01070" w:rsidRDefault="00E01070" w:rsidP="00E01070">
            <w:pPr>
              <w:numPr>
                <w:ilvl w:val="0"/>
                <w:numId w:val="13"/>
              </w:numPr>
              <w:spacing w:before="0"/>
              <w:ind w:left="173" w:hanging="173"/>
              <w:jc w:val="left"/>
              <w:rPr>
                <w:szCs w:val="24"/>
              </w:rPr>
            </w:pPr>
            <w:r>
              <w:rPr>
                <w:szCs w:val="24"/>
              </w:rPr>
              <w:t>Nedostatečná kapacita bytového fondu, nárůst cen bydlení</w:t>
            </w:r>
            <w:r w:rsidR="001D0018">
              <w:rPr>
                <w:szCs w:val="24"/>
              </w:rPr>
              <w:t>.</w:t>
            </w:r>
          </w:p>
          <w:p w14:paraId="75728265" w14:textId="2654094C" w:rsidR="00E01070" w:rsidRDefault="00E01070" w:rsidP="00E01070">
            <w:pPr>
              <w:numPr>
                <w:ilvl w:val="0"/>
                <w:numId w:val="13"/>
              </w:numPr>
              <w:spacing w:before="0"/>
              <w:ind w:left="173" w:hanging="173"/>
              <w:jc w:val="left"/>
              <w:rPr>
                <w:szCs w:val="24"/>
              </w:rPr>
            </w:pPr>
            <w:r>
              <w:rPr>
                <w:szCs w:val="24"/>
              </w:rPr>
              <w:t>Nedostatečná spolupráce s Univerzitou Tomáše Bati, nevyužití potenciálu</w:t>
            </w:r>
            <w:r w:rsidR="001D0018">
              <w:rPr>
                <w:szCs w:val="24"/>
              </w:rPr>
              <w:t>.</w:t>
            </w:r>
          </w:p>
          <w:p w14:paraId="450142AB" w14:textId="00F569E0" w:rsidR="00E01070" w:rsidRPr="00FA35B8" w:rsidRDefault="00E01070" w:rsidP="00E01070">
            <w:pPr>
              <w:numPr>
                <w:ilvl w:val="0"/>
                <w:numId w:val="13"/>
              </w:numPr>
              <w:spacing w:before="0"/>
              <w:ind w:left="173" w:hanging="173"/>
              <w:jc w:val="left"/>
              <w:rPr>
                <w:szCs w:val="24"/>
              </w:rPr>
            </w:pPr>
            <w:r>
              <w:rPr>
                <w:szCs w:val="24"/>
              </w:rPr>
              <w:t>Nepředvídatelnost rozhodování veřejné správy v oblasti výstavby</w:t>
            </w:r>
            <w:r w:rsidR="001D0018">
              <w:rPr>
                <w:szCs w:val="24"/>
              </w:rPr>
              <w:t>.</w:t>
            </w:r>
          </w:p>
        </w:tc>
      </w:tr>
    </w:tbl>
    <w:p w14:paraId="0914A7D1" w14:textId="77777777" w:rsidR="00E01070" w:rsidRDefault="00E01070" w:rsidP="00E01070">
      <w:pPr>
        <w:pStyle w:val="Nadpis3"/>
        <w:ind w:left="720"/>
      </w:pPr>
      <w:bookmarkStart w:id="1161" w:name="_Toc50468120"/>
      <w:bookmarkStart w:id="1162" w:name="_Toc53474274"/>
      <w:bookmarkStart w:id="1163" w:name="_Toc77074676"/>
      <w:r>
        <w:t>SWOT analýza</w:t>
      </w:r>
      <w:bookmarkEnd w:id="1161"/>
      <w:r>
        <w:t xml:space="preserve"> tematické oblasti Kvalita života</w:t>
      </w:r>
      <w:bookmarkEnd w:id="1162"/>
      <w:bookmarkEnd w:id="1163"/>
    </w:p>
    <w:p w14:paraId="7876B6FE" w14:textId="77777777" w:rsidR="00E01070" w:rsidRDefault="00E01070" w:rsidP="00E0107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4530"/>
      </w:tblGrid>
      <w:tr w:rsidR="00E01070" w:rsidRPr="00BC1A35" w14:paraId="45757746" w14:textId="77777777" w:rsidTr="00FB7BF4">
        <w:trPr>
          <w:cantSplit/>
          <w:tblHeader/>
        </w:trPr>
        <w:tc>
          <w:tcPr>
            <w:tcW w:w="4533" w:type="dxa"/>
            <w:shd w:val="clear" w:color="auto" w:fill="FF7C80"/>
          </w:tcPr>
          <w:p w14:paraId="7D5725B5" w14:textId="77777777" w:rsidR="00E01070" w:rsidRPr="00BC1A35" w:rsidRDefault="00E01070" w:rsidP="00FB7BF4">
            <w:pPr>
              <w:spacing w:before="0"/>
              <w:jc w:val="center"/>
              <w:rPr>
                <w:szCs w:val="24"/>
              </w:rPr>
            </w:pPr>
            <w:r w:rsidRPr="00BC1A35">
              <w:rPr>
                <w:szCs w:val="24"/>
              </w:rPr>
              <w:t>SILNÉ STRÁNKY</w:t>
            </w:r>
          </w:p>
        </w:tc>
        <w:tc>
          <w:tcPr>
            <w:tcW w:w="4530" w:type="dxa"/>
            <w:shd w:val="clear" w:color="auto" w:fill="B8CCE4"/>
          </w:tcPr>
          <w:p w14:paraId="134E7F47" w14:textId="77777777" w:rsidR="00E01070" w:rsidRPr="00BC1A35" w:rsidRDefault="00E01070" w:rsidP="00FB7BF4">
            <w:pPr>
              <w:spacing w:before="0"/>
              <w:jc w:val="center"/>
              <w:rPr>
                <w:szCs w:val="24"/>
              </w:rPr>
            </w:pPr>
            <w:r w:rsidRPr="00BC1A35">
              <w:rPr>
                <w:szCs w:val="24"/>
              </w:rPr>
              <w:t>SLABÉ STRÁNKY</w:t>
            </w:r>
          </w:p>
        </w:tc>
      </w:tr>
      <w:tr w:rsidR="00E01070" w:rsidRPr="00BC1A35" w14:paraId="166CF690" w14:textId="77777777" w:rsidTr="00FB7BF4">
        <w:trPr>
          <w:cantSplit/>
          <w:trHeight w:val="3177"/>
        </w:trPr>
        <w:tc>
          <w:tcPr>
            <w:tcW w:w="4533" w:type="dxa"/>
            <w:shd w:val="clear" w:color="auto" w:fill="FFDDDD"/>
          </w:tcPr>
          <w:p w14:paraId="466D7FE9" w14:textId="77777777" w:rsidR="00E01070" w:rsidRPr="0045137D" w:rsidRDefault="00E01070" w:rsidP="00FB7BF4">
            <w:pPr>
              <w:suppressAutoHyphens/>
              <w:spacing w:before="0"/>
              <w:ind w:left="171"/>
              <w:contextualSpacing/>
              <w:jc w:val="left"/>
              <w:rPr>
                <w:sz w:val="12"/>
                <w:szCs w:val="24"/>
              </w:rPr>
            </w:pPr>
          </w:p>
          <w:p w14:paraId="71D0F26C" w14:textId="61EB71DE" w:rsidR="00E01070" w:rsidRPr="00EB273D" w:rsidRDefault="00E01070" w:rsidP="00E01070">
            <w:pPr>
              <w:pStyle w:val="Odstavecseseznamem"/>
              <w:numPr>
                <w:ilvl w:val="0"/>
                <w:numId w:val="12"/>
              </w:numPr>
              <w:suppressAutoHyphens/>
              <w:spacing w:before="0" w:after="160"/>
              <w:ind w:left="171" w:hanging="142"/>
              <w:jc w:val="left"/>
              <w:rPr>
                <w:sz w:val="20"/>
              </w:rPr>
            </w:pPr>
            <w:r>
              <w:rPr>
                <w:sz w:val="20"/>
              </w:rPr>
              <w:t>Vysoká naděje dožití ve srovnání s vybranými městy</w:t>
            </w:r>
            <w:r w:rsidR="001D0018">
              <w:rPr>
                <w:sz w:val="20"/>
              </w:rPr>
              <w:t>.</w:t>
            </w:r>
          </w:p>
          <w:p w14:paraId="77F0FED6" w14:textId="207C3408" w:rsidR="00E01070" w:rsidRPr="00EB273D" w:rsidRDefault="00E01070" w:rsidP="00E01070">
            <w:pPr>
              <w:pStyle w:val="Odstavecseseznamem"/>
              <w:numPr>
                <w:ilvl w:val="0"/>
                <w:numId w:val="12"/>
              </w:numPr>
              <w:suppressAutoHyphens/>
              <w:spacing w:before="0" w:after="160"/>
              <w:ind w:left="171" w:hanging="142"/>
              <w:jc w:val="left"/>
              <w:rPr>
                <w:sz w:val="20"/>
              </w:rPr>
            </w:pPr>
            <w:r w:rsidRPr="00EB273D">
              <w:rPr>
                <w:sz w:val="20"/>
              </w:rPr>
              <w:t>Atraktivita bydlení ve Zlíně</w:t>
            </w:r>
            <w:r w:rsidR="001D0018">
              <w:rPr>
                <w:sz w:val="20"/>
              </w:rPr>
              <w:t>.</w:t>
            </w:r>
          </w:p>
          <w:p w14:paraId="736D3D44" w14:textId="57E4E8CD" w:rsidR="00E01070" w:rsidRPr="00EB273D" w:rsidRDefault="00E01070" w:rsidP="00E01070">
            <w:pPr>
              <w:pStyle w:val="Odstavecseseznamem"/>
              <w:numPr>
                <w:ilvl w:val="0"/>
                <w:numId w:val="12"/>
              </w:numPr>
              <w:suppressAutoHyphens/>
              <w:spacing w:before="0" w:after="160"/>
              <w:ind w:left="171" w:hanging="142"/>
              <w:jc w:val="left"/>
              <w:rPr>
                <w:sz w:val="20"/>
              </w:rPr>
            </w:pPr>
            <w:r w:rsidRPr="00EB273D">
              <w:rPr>
                <w:sz w:val="20"/>
              </w:rPr>
              <w:t>Bytový fond ve vlastnictví města, který z</w:t>
            </w:r>
            <w:r>
              <w:rPr>
                <w:sz w:val="20"/>
              </w:rPr>
              <w:t xml:space="preserve"> </w:t>
            </w:r>
            <w:r w:rsidRPr="00EB273D">
              <w:rPr>
                <w:sz w:val="20"/>
              </w:rPr>
              <w:t>části slouží znevýhodněným skupinám obyvatel</w:t>
            </w:r>
            <w:r w:rsidR="001D0018">
              <w:rPr>
                <w:sz w:val="20"/>
              </w:rPr>
              <w:t>.</w:t>
            </w:r>
          </w:p>
          <w:p w14:paraId="40D45EB3" w14:textId="03C3EEC5" w:rsidR="00E01070" w:rsidRPr="00EB273D" w:rsidRDefault="00E01070" w:rsidP="00E01070">
            <w:pPr>
              <w:pStyle w:val="Odstavecseseznamem"/>
              <w:numPr>
                <w:ilvl w:val="0"/>
                <w:numId w:val="12"/>
              </w:numPr>
              <w:suppressAutoHyphens/>
              <w:spacing w:before="0" w:after="160"/>
              <w:ind w:left="171" w:hanging="142"/>
              <w:jc w:val="left"/>
              <w:rPr>
                <w:sz w:val="20"/>
              </w:rPr>
            </w:pPr>
            <w:r w:rsidRPr="00EB273D">
              <w:rPr>
                <w:sz w:val="20"/>
              </w:rPr>
              <w:t>Ve Zlíně se nenachází sociálně vyloučené lokality</w:t>
            </w:r>
            <w:r w:rsidR="001D0018">
              <w:rPr>
                <w:sz w:val="20"/>
              </w:rPr>
              <w:t>.</w:t>
            </w:r>
          </w:p>
          <w:p w14:paraId="2E41E2C1" w14:textId="0EABBD6F" w:rsidR="00E01070" w:rsidRPr="00EB273D" w:rsidRDefault="00E01070" w:rsidP="00E01070">
            <w:pPr>
              <w:pStyle w:val="Odstavecseseznamem"/>
              <w:numPr>
                <w:ilvl w:val="0"/>
                <w:numId w:val="12"/>
              </w:numPr>
              <w:suppressAutoHyphens/>
              <w:spacing w:before="0" w:after="160"/>
              <w:ind w:left="171" w:hanging="142"/>
              <w:jc w:val="left"/>
              <w:rPr>
                <w:sz w:val="20"/>
              </w:rPr>
            </w:pPr>
            <w:r w:rsidRPr="00EB273D">
              <w:rPr>
                <w:sz w:val="20"/>
              </w:rPr>
              <w:t xml:space="preserve">Široké spektrum </w:t>
            </w:r>
            <w:r>
              <w:rPr>
                <w:sz w:val="20"/>
              </w:rPr>
              <w:t xml:space="preserve">poskytovatelů </w:t>
            </w:r>
            <w:r w:rsidRPr="00EB273D">
              <w:rPr>
                <w:sz w:val="20"/>
              </w:rPr>
              <w:t>sociálních služeb</w:t>
            </w:r>
            <w:r w:rsidR="001D0018">
              <w:rPr>
                <w:sz w:val="20"/>
              </w:rPr>
              <w:t>.</w:t>
            </w:r>
          </w:p>
          <w:p w14:paraId="30A4C4E8" w14:textId="039565D3" w:rsidR="00E01070" w:rsidRPr="00EB273D" w:rsidRDefault="00E01070" w:rsidP="00E01070">
            <w:pPr>
              <w:pStyle w:val="Odstavecseseznamem"/>
              <w:numPr>
                <w:ilvl w:val="0"/>
                <w:numId w:val="12"/>
              </w:numPr>
              <w:suppressAutoHyphens/>
              <w:spacing w:before="0" w:after="160"/>
              <w:ind w:left="171" w:hanging="142"/>
              <w:jc w:val="left"/>
              <w:rPr>
                <w:sz w:val="20"/>
              </w:rPr>
            </w:pPr>
            <w:r w:rsidRPr="00EB273D">
              <w:rPr>
                <w:sz w:val="20"/>
              </w:rPr>
              <w:t>Poměrně nízký počet osob v</w:t>
            </w:r>
            <w:r w:rsidR="001D0018">
              <w:rPr>
                <w:sz w:val="20"/>
              </w:rPr>
              <w:t> </w:t>
            </w:r>
            <w:r w:rsidRPr="00EB273D">
              <w:rPr>
                <w:sz w:val="20"/>
              </w:rPr>
              <w:t>exekuci</w:t>
            </w:r>
            <w:r w:rsidR="001D0018">
              <w:rPr>
                <w:sz w:val="20"/>
              </w:rPr>
              <w:t>.</w:t>
            </w:r>
          </w:p>
          <w:p w14:paraId="3C22B400" w14:textId="15700A66" w:rsidR="00E01070" w:rsidRPr="00143C0B" w:rsidRDefault="00E01070" w:rsidP="00E01070">
            <w:pPr>
              <w:pStyle w:val="Odstavecseseznamem"/>
              <w:numPr>
                <w:ilvl w:val="0"/>
                <w:numId w:val="12"/>
              </w:numPr>
              <w:suppressAutoHyphens/>
              <w:spacing w:before="0" w:after="160"/>
              <w:ind w:left="171" w:hanging="142"/>
              <w:jc w:val="left"/>
              <w:rPr>
                <w:szCs w:val="24"/>
              </w:rPr>
            </w:pPr>
            <w:r w:rsidRPr="00EB273D">
              <w:rPr>
                <w:sz w:val="20"/>
              </w:rPr>
              <w:t>Fungující systém zdravotní péče ve městě</w:t>
            </w:r>
            <w:r w:rsidR="001D0018">
              <w:rPr>
                <w:sz w:val="20"/>
              </w:rPr>
              <w:t>.</w:t>
            </w:r>
          </w:p>
          <w:p w14:paraId="1A6034ED" w14:textId="064BAE1F" w:rsidR="00E01070" w:rsidRPr="00143C0B" w:rsidRDefault="00E01070" w:rsidP="00E01070">
            <w:pPr>
              <w:pStyle w:val="Odstavecseseznamem"/>
              <w:numPr>
                <w:ilvl w:val="0"/>
                <w:numId w:val="12"/>
              </w:numPr>
              <w:suppressAutoHyphens/>
              <w:spacing w:before="0" w:after="160"/>
              <w:ind w:left="171" w:hanging="142"/>
              <w:jc w:val="left"/>
              <w:rPr>
                <w:sz w:val="20"/>
                <w:szCs w:val="24"/>
              </w:rPr>
            </w:pPr>
            <w:r w:rsidRPr="00143C0B">
              <w:rPr>
                <w:sz w:val="20"/>
                <w:szCs w:val="24"/>
              </w:rPr>
              <w:t>Zřízené fondy na po</w:t>
            </w:r>
            <w:r>
              <w:rPr>
                <w:sz w:val="20"/>
                <w:szCs w:val="24"/>
              </w:rPr>
              <w:t>dporu kulturních, sportovních a </w:t>
            </w:r>
            <w:r w:rsidRPr="00143C0B">
              <w:rPr>
                <w:sz w:val="20"/>
                <w:szCs w:val="24"/>
              </w:rPr>
              <w:t>volnočasových aktivit a organizací (Kulturní fond, Filmový fond</w:t>
            </w:r>
            <w:r>
              <w:rPr>
                <w:sz w:val="20"/>
                <w:szCs w:val="24"/>
              </w:rPr>
              <w:t>,</w:t>
            </w:r>
            <w:r w:rsidRPr="00143C0B">
              <w:rPr>
                <w:sz w:val="20"/>
                <w:szCs w:val="24"/>
              </w:rPr>
              <w:t xml:space="preserve"> Fond mládeže a tělovýchovy</w:t>
            </w:r>
            <w:r>
              <w:rPr>
                <w:sz w:val="20"/>
                <w:szCs w:val="24"/>
              </w:rPr>
              <w:t xml:space="preserve"> a Fond pro-rodinných aktivit</w:t>
            </w:r>
            <w:r w:rsidRPr="00143C0B">
              <w:rPr>
                <w:sz w:val="20"/>
                <w:szCs w:val="24"/>
              </w:rPr>
              <w:t>)</w:t>
            </w:r>
            <w:r w:rsidR="001D0018">
              <w:rPr>
                <w:sz w:val="20"/>
                <w:szCs w:val="24"/>
              </w:rPr>
              <w:t>.</w:t>
            </w:r>
            <w:r w:rsidRPr="00143C0B">
              <w:rPr>
                <w:sz w:val="20"/>
                <w:szCs w:val="24"/>
              </w:rPr>
              <w:t xml:space="preserve"> </w:t>
            </w:r>
          </w:p>
          <w:p w14:paraId="77DB222A" w14:textId="20637E2E" w:rsidR="00E01070" w:rsidRDefault="00E01070" w:rsidP="00E01070">
            <w:pPr>
              <w:pStyle w:val="Odstavecseseznamem"/>
              <w:numPr>
                <w:ilvl w:val="0"/>
                <w:numId w:val="12"/>
              </w:numPr>
              <w:suppressAutoHyphens/>
              <w:spacing w:before="0" w:after="160"/>
              <w:ind w:left="171" w:hanging="142"/>
              <w:jc w:val="left"/>
              <w:rPr>
                <w:sz w:val="20"/>
                <w:szCs w:val="24"/>
              </w:rPr>
            </w:pPr>
            <w:r>
              <w:rPr>
                <w:sz w:val="20"/>
                <w:szCs w:val="24"/>
              </w:rPr>
              <w:t>Široká síť sportovní</w:t>
            </w:r>
            <w:r w:rsidRPr="00143C0B">
              <w:rPr>
                <w:sz w:val="20"/>
                <w:szCs w:val="24"/>
              </w:rPr>
              <w:t xml:space="preserve"> infrastruktury ve městě Zlín</w:t>
            </w:r>
            <w:r w:rsidR="001D0018">
              <w:rPr>
                <w:sz w:val="20"/>
                <w:szCs w:val="24"/>
              </w:rPr>
              <w:t>.</w:t>
            </w:r>
          </w:p>
          <w:p w14:paraId="2CBA9CB2" w14:textId="23EC76EA" w:rsidR="00E01070" w:rsidRPr="00143C0B" w:rsidRDefault="00E01070" w:rsidP="00E01070">
            <w:pPr>
              <w:pStyle w:val="Odstavecseseznamem"/>
              <w:numPr>
                <w:ilvl w:val="0"/>
                <w:numId w:val="12"/>
              </w:numPr>
              <w:suppressAutoHyphens/>
              <w:spacing w:before="0" w:after="160"/>
              <w:ind w:left="171" w:hanging="142"/>
              <w:jc w:val="left"/>
              <w:rPr>
                <w:sz w:val="20"/>
                <w:szCs w:val="24"/>
              </w:rPr>
            </w:pPr>
            <w:r>
              <w:rPr>
                <w:sz w:val="20"/>
                <w:szCs w:val="24"/>
              </w:rPr>
              <w:t>Existence tradičních kulturních institucí</w:t>
            </w:r>
            <w:r w:rsidR="001D0018">
              <w:rPr>
                <w:sz w:val="20"/>
                <w:szCs w:val="24"/>
              </w:rPr>
              <w:t>.</w:t>
            </w:r>
          </w:p>
          <w:p w14:paraId="0E1A20D3" w14:textId="419ABE6F" w:rsidR="00E01070" w:rsidRPr="005A2AFF" w:rsidRDefault="00E01070" w:rsidP="00E01070">
            <w:pPr>
              <w:pStyle w:val="Odstavecseseznamem"/>
              <w:numPr>
                <w:ilvl w:val="0"/>
                <w:numId w:val="12"/>
              </w:numPr>
              <w:suppressAutoHyphens/>
              <w:spacing w:before="0" w:after="160"/>
              <w:ind w:left="171" w:hanging="142"/>
              <w:jc w:val="left"/>
              <w:rPr>
                <w:szCs w:val="24"/>
              </w:rPr>
            </w:pPr>
            <w:r w:rsidRPr="005A2AFF">
              <w:rPr>
                <w:sz w:val="20"/>
                <w:szCs w:val="24"/>
              </w:rPr>
              <w:t>Kulturní a sportovní akce s</w:t>
            </w:r>
            <w:r>
              <w:rPr>
                <w:sz w:val="20"/>
                <w:szCs w:val="24"/>
              </w:rPr>
              <w:t xml:space="preserve"> mezinárodním </w:t>
            </w:r>
            <w:r w:rsidRPr="005A2AFF">
              <w:rPr>
                <w:sz w:val="20"/>
                <w:szCs w:val="24"/>
              </w:rPr>
              <w:t>významem (</w:t>
            </w:r>
            <w:r w:rsidRPr="000D6D2F">
              <w:rPr>
                <w:sz w:val="20"/>
                <w:szCs w:val="24"/>
              </w:rPr>
              <w:t>ZLÍN FILM FESTIVAL</w:t>
            </w:r>
            <w:r>
              <w:rPr>
                <w:sz w:val="20"/>
                <w:szCs w:val="24"/>
              </w:rPr>
              <w:t>, Barum Czech Rally Zlín</w:t>
            </w:r>
            <w:r w:rsidRPr="005A2AFF">
              <w:rPr>
                <w:sz w:val="20"/>
                <w:szCs w:val="24"/>
              </w:rPr>
              <w:t>)</w:t>
            </w:r>
            <w:r w:rsidR="001D0018">
              <w:rPr>
                <w:sz w:val="20"/>
                <w:szCs w:val="24"/>
              </w:rPr>
              <w:t>.</w:t>
            </w:r>
          </w:p>
          <w:p w14:paraId="1B69EF0F" w14:textId="6888707A" w:rsidR="00E01070" w:rsidRPr="00A15A0E" w:rsidRDefault="00E01070" w:rsidP="00E01070">
            <w:pPr>
              <w:pStyle w:val="Odstavecseseznamem"/>
              <w:numPr>
                <w:ilvl w:val="0"/>
                <w:numId w:val="12"/>
              </w:numPr>
              <w:suppressAutoHyphens/>
              <w:spacing w:before="0" w:after="160"/>
              <w:ind w:left="171" w:hanging="171"/>
              <w:jc w:val="left"/>
              <w:rPr>
                <w:sz w:val="20"/>
              </w:rPr>
            </w:pPr>
            <w:r w:rsidRPr="00A15A0E">
              <w:rPr>
                <w:sz w:val="20"/>
              </w:rPr>
              <w:t>Vysoké zastoupení zeleně v prostoru města</w:t>
            </w:r>
            <w:r w:rsidR="001D0018">
              <w:rPr>
                <w:sz w:val="20"/>
              </w:rPr>
              <w:t>.</w:t>
            </w:r>
          </w:p>
          <w:p w14:paraId="4A04D2F6" w14:textId="554FF573" w:rsidR="00E01070" w:rsidRPr="00A15A0E" w:rsidRDefault="00E01070" w:rsidP="00E01070">
            <w:pPr>
              <w:pStyle w:val="Odstavecseseznamem"/>
              <w:numPr>
                <w:ilvl w:val="0"/>
                <w:numId w:val="12"/>
              </w:numPr>
              <w:suppressAutoHyphens/>
              <w:spacing w:before="0" w:after="160"/>
              <w:ind w:left="171" w:hanging="171"/>
              <w:jc w:val="left"/>
              <w:rPr>
                <w:sz w:val="20"/>
              </w:rPr>
            </w:pPr>
            <w:r w:rsidRPr="00A15A0E">
              <w:rPr>
                <w:sz w:val="20"/>
              </w:rPr>
              <w:t>Dobrá dostupnost zeleně a území k rekreaci v</w:t>
            </w:r>
            <w:r>
              <w:rPr>
                <w:sz w:val="20"/>
              </w:rPr>
              <w:t> </w:t>
            </w:r>
            <w:r w:rsidRPr="00A15A0E">
              <w:rPr>
                <w:sz w:val="20"/>
              </w:rPr>
              <w:t>blízkosti města</w:t>
            </w:r>
            <w:r w:rsidR="001D0018">
              <w:rPr>
                <w:sz w:val="20"/>
              </w:rPr>
              <w:t>.</w:t>
            </w:r>
          </w:p>
          <w:p w14:paraId="361E1045" w14:textId="6B9AB9E5" w:rsidR="00E01070" w:rsidRPr="00A15A0E" w:rsidRDefault="00E01070" w:rsidP="00E01070">
            <w:pPr>
              <w:pStyle w:val="Odstavecseseznamem"/>
              <w:numPr>
                <w:ilvl w:val="0"/>
                <w:numId w:val="12"/>
              </w:numPr>
              <w:suppressAutoHyphens/>
              <w:spacing w:before="0" w:after="160"/>
              <w:ind w:left="171" w:hanging="171"/>
              <w:jc w:val="left"/>
              <w:rPr>
                <w:sz w:val="20"/>
              </w:rPr>
            </w:pPr>
            <w:r w:rsidRPr="00A15A0E">
              <w:rPr>
                <w:sz w:val="20"/>
              </w:rPr>
              <w:t>Životní prostředí města nenese zátěž průmyslového znečištění z</w:t>
            </w:r>
            <w:r w:rsidR="001D0018">
              <w:rPr>
                <w:sz w:val="20"/>
              </w:rPr>
              <w:t> </w:t>
            </w:r>
            <w:r w:rsidRPr="00A15A0E">
              <w:rPr>
                <w:sz w:val="20"/>
              </w:rPr>
              <w:t>minulosti</w:t>
            </w:r>
            <w:r w:rsidR="001D0018">
              <w:rPr>
                <w:sz w:val="20"/>
              </w:rPr>
              <w:t>.</w:t>
            </w:r>
          </w:p>
          <w:p w14:paraId="3A62E5EF" w14:textId="29DA6700" w:rsidR="00E01070" w:rsidRPr="00BC1A35" w:rsidRDefault="00E01070" w:rsidP="00E01070">
            <w:pPr>
              <w:pStyle w:val="Odstavecseseznamem"/>
              <w:numPr>
                <w:ilvl w:val="0"/>
                <w:numId w:val="12"/>
              </w:numPr>
              <w:suppressAutoHyphens/>
              <w:spacing w:before="0" w:after="160"/>
              <w:ind w:left="171" w:hanging="142"/>
              <w:jc w:val="left"/>
              <w:rPr>
                <w:szCs w:val="24"/>
              </w:rPr>
            </w:pPr>
            <w:r w:rsidRPr="00A15A0E">
              <w:rPr>
                <w:sz w:val="20"/>
              </w:rPr>
              <w:t xml:space="preserve">V prostoru města nejsou zdroje silného </w:t>
            </w:r>
            <w:r>
              <w:rPr>
                <w:sz w:val="20"/>
              </w:rPr>
              <w:t xml:space="preserve">průmyslového </w:t>
            </w:r>
            <w:r w:rsidRPr="00A15A0E">
              <w:rPr>
                <w:sz w:val="20"/>
              </w:rPr>
              <w:t>znečištění</w:t>
            </w:r>
            <w:r w:rsidR="001D0018">
              <w:rPr>
                <w:sz w:val="20"/>
              </w:rPr>
              <w:t>.</w:t>
            </w:r>
          </w:p>
        </w:tc>
        <w:tc>
          <w:tcPr>
            <w:tcW w:w="4530" w:type="dxa"/>
            <w:shd w:val="clear" w:color="auto" w:fill="EEF3F8"/>
          </w:tcPr>
          <w:p w14:paraId="7F1BC482" w14:textId="77777777" w:rsidR="00E01070" w:rsidRPr="0045137D" w:rsidRDefault="00E01070" w:rsidP="00FB7BF4">
            <w:pPr>
              <w:suppressAutoHyphens/>
              <w:spacing w:before="0"/>
              <w:ind w:left="175"/>
              <w:contextualSpacing/>
              <w:jc w:val="left"/>
              <w:rPr>
                <w:sz w:val="12"/>
                <w:szCs w:val="12"/>
              </w:rPr>
            </w:pPr>
          </w:p>
          <w:p w14:paraId="674EA264" w14:textId="3AAE388D" w:rsidR="00E01070" w:rsidRPr="00C27CEA" w:rsidRDefault="00E01070" w:rsidP="00E01070">
            <w:pPr>
              <w:pStyle w:val="Odstavecseseznamem"/>
              <w:numPr>
                <w:ilvl w:val="0"/>
                <w:numId w:val="12"/>
              </w:numPr>
              <w:suppressAutoHyphens/>
              <w:spacing w:before="0" w:after="160"/>
              <w:ind w:left="175" w:hanging="142"/>
              <w:jc w:val="left"/>
              <w:rPr>
                <w:sz w:val="20"/>
              </w:rPr>
            </w:pPr>
            <w:r w:rsidRPr="00C27CEA">
              <w:rPr>
                <w:sz w:val="20"/>
              </w:rPr>
              <w:t>Stálý mírný pokles počtu obyvatel</w:t>
            </w:r>
            <w:r w:rsidR="001D0018">
              <w:rPr>
                <w:sz w:val="20"/>
              </w:rPr>
              <w:t>.</w:t>
            </w:r>
            <w:r w:rsidRPr="00C27CEA">
              <w:rPr>
                <w:sz w:val="20"/>
              </w:rPr>
              <w:t xml:space="preserve"> </w:t>
            </w:r>
          </w:p>
          <w:p w14:paraId="4EB8B736" w14:textId="48BC52FD" w:rsidR="00E01070" w:rsidRPr="00EB273D" w:rsidRDefault="00E01070" w:rsidP="00E01070">
            <w:pPr>
              <w:pStyle w:val="Odstavecseseznamem"/>
              <w:numPr>
                <w:ilvl w:val="0"/>
                <w:numId w:val="12"/>
              </w:numPr>
              <w:spacing w:before="0"/>
              <w:ind w:left="175" w:hanging="142"/>
              <w:jc w:val="left"/>
              <w:rPr>
                <w:sz w:val="20"/>
              </w:rPr>
            </w:pPr>
            <w:r w:rsidRPr="00EB273D">
              <w:rPr>
                <w:sz w:val="20"/>
              </w:rPr>
              <w:t>Relativně vysoké stáří bytového fondu města, nutnost dalších investic do modernizace</w:t>
            </w:r>
            <w:r w:rsidR="001D0018">
              <w:rPr>
                <w:sz w:val="20"/>
              </w:rPr>
              <w:t>.</w:t>
            </w:r>
          </w:p>
          <w:p w14:paraId="1F596723" w14:textId="7BC87E9C" w:rsidR="00E01070" w:rsidRPr="00EB273D" w:rsidRDefault="00E01070" w:rsidP="00E01070">
            <w:pPr>
              <w:pStyle w:val="Odstavecseseznamem"/>
              <w:numPr>
                <w:ilvl w:val="0"/>
                <w:numId w:val="12"/>
              </w:numPr>
              <w:spacing w:before="0"/>
              <w:ind w:left="175" w:hanging="142"/>
              <w:jc w:val="left"/>
              <w:rPr>
                <w:sz w:val="20"/>
              </w:rPr>
            </w:pPr>
            <w:r w:rsidRPr="00EB273D">
              <w:rPr>
                <w:sz w:val="20"/>
              </w:rPr>
              <w:t>Vyšší ceny nájmů a nemovitostí v porovnání s podprůměrnou úrovní mezd obyvatel Zlína</w:t>
            </w:r>
            <w:r w:rsidR="001D0018">
              <w:rPr>
                <w:sz w:val="20"/>
              </w:rPr>
              <w:t>.</w:t>
            </w:r>
          </w:p>
          <w:p w14:paraId="43D67F5C" w14:textId="55AE2A8B" w:rsidR="00E01070" w:rsidRPr="00EB273D" w:rsidRDefault="00E01070" w:rsidP="00E01070">
            <w:pPr>
              <w:pStyle w:val="Odstavecseseznamem"/>
              <w:numPr>
                <w:ilvl w:val="0"/>
                <w:numId w:val="12"/>
              </w:numPr>
              <w:spacing w:before="0"/>
              <w:ind w:left="175" w:hanging="142"/>
              <w:jc w:val="left"/>
              <w:rPr>
                <w:sz w:val="20"/>
              </w:rPr>
            </w:pPr>
            <w:r w:rsidRPr="00EB273D">
              <w:rPr>
                <w:sz w:val="20"/>
              </w:rPr>
              <w:t>Nedostatek větších bytů v bytovém fondu města</w:t>
            </w:r>
            <w:r w:rsidR="001D0018">
              <w:rPr>
                <w:sz w:val="20"/>
              </w:rPr>
              <w:t>.</w:t>
            </w:r>
          </w:p>
          <w:p w14:paraId="16E0B781" w14:textId="15A30AB6" w:rsidR="00E01070" w:rsidRDefault="00E01070" w:rsidP="00E01070">
            <w:pPr>
              <w:pStyle w:val="Odstavecseseznamem"/>
              <w:numPr>
                <w:ilvl w:val="0"/>
                <w:numId w:val="12"/>
              </w:numPr>
              <w:spacing w:before="0"/>
              <w:ind w:left="175" w:hanging="142"/>
              <w:jc w:val="left"/>
              <w:rPr>
                <w:sz w:val="20"/>
              </w:rPr>
            </w:pPr>
            <w:r>
              <w:rPr>
                <w:sz w:val="20"/>
              </w:rPr>
              <w:t>Město nemá příspěvkovou organizaci poskytující sociální služby</w:t>
            </w:r>
            <w:r w:rsidR="001D0018">
              <w:rPr>
                <w:sz w:val="20"/>
              </w:rPr>
              <w:t>.</w:t>
            </w:r>
          </w:p>
          <w:p w14:paraId="45EC837D" w14:textId="2ADEB765" w:rsidR="00E01070" w:rsidRPr="00EB273D" w:rsidRDefault="00E01070" w:rsidP="00E01070">
            <w:pPr>
              <w:pStyle w:val="Odstavecseseznamem"/>
              <w:numPr>
                <w:ilvl w:val="0"/>
                <w:numId w:val="12"/>
              </w:numPr>
              <w:spacing w:before="0"/>
              <w:ind w:left="175" w:hanging="142"/>
              <w:jc w:val="left"/>
              <w:rPr>
                <w:sz w:val="20"/>
              </w:rPr>
            </w:pPr>
            <w:r w:rsidRPr="00EB273D">
              <w:rPr>
                <w:sz w:val="20"/>
              </w:rPr>
              <w:t>Nedostatečné kapa</w:t>
            </w:r>
            <w:r>
              <w:rPr>
                <w:sz w:val="20"/>
              </w:rPr>
              <w:t xml:space="preserve">city některých druhů sociálních </w:t>
            </w:r>
            <w:r w:rsidRPr="00EB273D">
              <w:rPr>
                <w:sz w:val="20"/>
              </w:rPr>
              <w:t>služeb (domovy pro seniory)</w:t>
            </w:r>
            <w:r w:rsidR="001D0018">
              <w:rPr>
                <w:sz w:val="20"/>
              </w:rPr>
              <w:t>.</w:t>
            </w:r>
          </w:p>
          <w:p w14:paraId="1D7D3205" w14:textId="3D2E57E9" w:rsidR="00E01070" w:rsidRPr="00EB273D" w:rsidRDefault="00E01070" w:rsidP="00E01070">
            <w:pPr>
              <w:pStyle w:val="Odstavecseseznamem"/>
              <w:numPr>
                <w:ilvl w:val="0"/>
                <w:numId w:val="12"/>
              </w:numPr>
              <w:suppressAutoHyphens/>
              <w:spacing w:before="0" w:after="160"/>
              <w:ind w:left="175" w:hanging="142"/>
              <w:jc w:val="left"/>
              <w:rPr>
                <w:sz w:val="20"/>
              </w:rPr>
            </w:pPr>
            <w:r w:rsidRPr="00EB273D">
              <w:rPr>
                <w:sz w:val="20"/>
              </w:rPr>
              <w:t>Nedostatek volných ploch pro novou výstavbu hromadného bydlení</w:t>
            </w:r>
            <w:r w:rsidR="001D0018">
              <w:rPr>
                <w:sz w:val="20"/>
              </w:rPr>
              <w:t>.</w:t>
            </w:r>
          </w:p>
          <w:p w14:paraId="66F4BAF6" w14:textId="35EF64A8" w:rsidR="00E01070" w:rsidRPr="00EB273D" w:rsidRDefault="00E01070" w:rsidP="00E01070">
            <w:pPr>
              <w:pStyle w:val="Odstavecseseznamem"/>
              <w:numPr>
                <w:ilvl w:val="0"/>
                <w:numId w:val="12"/>
              </w:numPr>
              <w:spacing w:before="0"/>
              <w:ind w:left="175" w:hanging="142"/>
              <w:jc w:val="left"/>
              <w:rPr>
                <w:sz w:val="20"/>
              </w:rPr>
            </w:pPr>
            <w:r w:rsidRPr="00EB273D">
              <w:rPr>
                <w:sz w:val="20"/>
              </w:rPr>
              <w:t>Kvalita zdravotní péče hodnocena veřejností nepříznivě</w:t>
            </w:r>
            <w:r w:rsidR="001D0018">
              <w:rPr>
                <w:sz w:val="20"/>
              </w:rPr>
              <w:t>.</w:t>
            </w:r>
          </w:p>
          <w:p w14:paraId="55B564B4" w14:textId="3BF540CC" w:rsidR="00E01070" w:rsidRPr="00143C0B" w:rsidRDefault="00E01070" w:rsidP="00E01070">
            <w:pPr>
              <w:pStyle w:val="Odstavecseseznamem"/>
              <w:numPr>
                <w:ilvl w:val="0"/>
                <w:numId w:val="12"/>
              </w:numPr>
              <w:suppressAutoHyphens/>
              <w:spacing w:before="0" w:after="160"/>
              <w:ind w:left="175" w:hanging="142"/>
              <w:jc w:val="left"/>
              <w:rPr>
                <w:szCs w:val="24"/>
              </w:rPr>
            </w:pPr>
            <w:r w:rsidRPr="00EB273D">
              <w:rPr>
                <w:sz w:val="20"/>
              </w:rPr>
              <w:t>Některá zdravotnická centra nejsou plně bezbariérová</w:t>
            </w:r>
            <w:r w:rsidR="001D0018">
              <w:rPr>
                <w:sz w:val="20"/>
              </w:rPr>
              <w:t>.</w:t>
            </w:r>
          </w:p>
          <w:p w14:paraId="2AE53877" w14:textId="4AC39BB0" w:rsidR="00E01070" w:rsidRPr="00143C0B" w:rsidRDefault="00E01070" w:rsidP="00E01070">
            <w:pPr>
              <w:pStyle w:val="Odstavecseseznamem"/>
              <w:numPr>
                <w:ilvl w:val="0"/>
                <w:numId w:val="12"/>
              </w:numPr>
              <w:spacing w:before="0"/>
              <w:ind w:left="175" w:hanging="142"/>
              <w:jc w:val="left"/>
              <w:rPr>
                <w:sz w:val="20"/>
                <w:szCs w:val="24"/>
              </w:rPr>
            </w:pPr>
            <w:r w:rsidRPr="00143C0B">
              <w:rPr>
                <w:sz w:val="20"/>
                <w:szCs w:val="24"/>
              </w:rPr>
              <w:t>Nedostatek pravidelných kulturních aktivit v letní sezóně (zejm. v měsíci červenec) v porovnání s jarní a podzimní sezónou</w:t>
            </w:r>
            <w:r w:rsidR="001D0018">
              <w:rPr>
                <w:sz w:val="20"/>
                <w:szCs w:val="24"/>
              </w:rPr>
              <w:t>.</w:t>
            </w:r>
          </w:p>
          <w:p w14:paraId="36B3F65D" w14:textId="4D389703" w:rsidR="00E01070" w:rsidRPr="00A15A0E" w:rsidRDefault="00E01070" w:rsidP="00E01070">
            <w:pPr>
              <w:pStyle w:val="Odstavecseseznamem"/>
              <w:numPr>
                <w:ilvl w:val="0"/>
                <w:numId w:val="12"/>
              </w:numPr>
              <w:suppressAutoHyphens/>
              <w:spacing w:before="0" w:after="160"/>
              <w:ind w:left="175" w:hanging="142"/>
              <w:jc w:val="left"/>
              <w:rPr>
                <w:szCs w:val="24"/>
              </w:rPr>
            </w:pPr>
            <w:r w:rsidRPr="00143C0B">
              <w:rPr>
                <w:sz w:val="20"/>
                <w:szCs w:val="24"/>
              </w:rPr>
              <w:t>Chybějící platné strategické dokumenty pro oblast rozvoje kultury, sportu a volnočasových aktivit na území města</w:t>
            </w:r>
            <w:r w:rsidR="001D0018">
              <w:rPr>
                <w:sz w:val="20"/>
                <w:szCs w:val="24"/>
              </w:rPr>
              <w:t>.</w:t>
            </w:r>
          </w:p>
          <w:p w14:paraId="30FF0C0D" w14:textId="0F063365" w:rsidR="00E01070" w:rsidRPr="00681F87" w:rsidRDefault="00E01070" w:rsidP="00E01070">
            <w:pPr>
              <w:pStyle w:val="Odstavecseseznamem"/>
              <w:numPr>
                <w:ilvl w:val="0"/>
                <w:numId w:val="12"/>
              </w:numPr>
              <w:spacing w:before="0"/>
              <w:ind w:left="175" w:hanging="142"/>
              <w:jc w:val="left"/>
              <w:rPr>
                <w:sz w:val="20"/>
                <w:szCs w:val="24"/>
              </w:rPr>
            </w:pPr>
            <w:r w:rsidRPr="00A15A0E">
              <w:rPr>
                <w:sz w:val="20"/>
              </w:rPr>
              <w:t>Intenzivní doprava procházející centrem města, která je zdrojem znečištění ovzduší a hlukové zátěže</w:t>
            </w:r>
            <w:r w:rsidR="001D0018">
              <w:rPr>
                <w:sz w:val="20"/>
              </w:rPr>
              <w:t>.</w:t>
            </w:r>
          </w:p>
          <w:p w14:paraId="437E2664" w14:textId="7BEE7358" w:rsidR="00E01070" w:rsidRPr="00A15A0E" w:rsidRDefault="00E01070" w:rsidP="00E01070">
            <w:pPr>
              <w:pStyle w:val="Odstavecseseznamem"/>
              <w:numPr>
                <w:ilvl w:val="0"/>
                <w:numId w:val="12"/>
              </w:numPr>
              <w:spacing w:before="0"/>
              <w:ind w:left="175" w:hanging="142"/>
              <w:jc w:val="left"/>
              <w:rPr>
                <w:sz w:val="20"/>
                <w:szCs w:val="24"/>
              </w:rPr>
            </w:pPr>
            <w:r>
              <w:rPr>
                <w:sz w:val="20"/>
                <w:szCs w:val="24"/>
              </w:rPr>
              <w:t>Snížená kvalita</w:t>
            </w:r>
            <w:r w:rsidRPr="00D538B0">
              <w:rPr>
                <w:sz w:val="20"/>
                <w:szCs w:val="24"/>
              </w:rPr>
              <w:t xml:space="preserve"> příměstské krajiny erozí půdy, dlouhodobým deficitem srá</w:t>
            </w:r>
            <w:r>
              <w:rPr>
                <w:sz w:val="20"/>
                <w:szCs w:val="24"/>
              </w:rPr>
              <w:t>žek</w:t>
            </w:r>
            <w:r w:rsidR="001D0018">
              <w:rPr>
                <w:sz w:val="20"/>
                <w:szCs w:val="24"/>
              </w:rPr>
              <w:t>.</w:t>
            </w:r>
          </w:p>
          <w:p w14:paraId="599391BC" w14:textId="05CBE604" w:rsidR="00E01070" w:rsidRPr="00A15A0E" w:rsidRDefault="00E01070" w:rsidP="00E01070">
            <w:pPr>
              <w:pStyle w:val="Odstavecseseznamem"/>
              <w:numPr>
                <w:ilvl w:val="0"/>
                <w:numId w:val="12"/>
              </w:numPr>
              <w:spacing w:before="0"/>
              <w:ind w:left="175" w:hanging="142"/>
              <w:jc w:val="left"/>
              <w:rPr>
                <w:sz w:val="20"/>
                <w:szCs w:val="24"/>
              </w:rPr>
            </w:pPr>
            <w:r w:rsidRPr="00A15A0E">
              <w:rPr>
                <w:sz w:val="20"/>
              </w:rPr>
              <w:t xml:space="preserve">Znečištění ovzduší </w:t>
            </w:r>
            <w:r>
              <w:rPr>
                <w:sz w:val="20"/>
              </w:rPr>
              <w:t>lokálními topeništi</w:t>
            </w:r>
            <w:r w:rsidR="001D0018">
              <w:rPr>
                <w:sz w:val="20"/>
              </w:rPr>
              <w:t>.</w:t>
            </w:r>
          </w:p>
          <w:p w14:paraId="0D4AB71C" w14:textId="7ED084F4" w:rsidR="00E01070" w:rsidRPr="00C72F5E" w:rsidRDefault="00E01070" w:rsidP="00E01070">
            <w:pPr>
              <w:pStyle w:val="Odstavecseseznamem"/>
              <w:numPr>
                <w:ilvl w:val="0"/>
                <w:numId w:val="12"/>
              </w:numPr>
              <w:spacing w:before="0"/>
              <w:ind w:left="175" w:hanging="142"/>
              <w:jc w:val="left"/>
              <w:rPr>
                <w:szCs w:val="24"/>
              </w:rPr>
            </w:pPr>
            <w:r>
              <w:rPr>
                <w:sz w:val="20"/>
              </w:rPr>
              <w:t>Nedostatečné technické vybavení pro nakládání s</w:t>
            </w:r>
            <w:r w:rsidR="001D0018">
              <w:rPr>
                <w:sz w:val="20"/>
              </w:rPr>
              <w:t> </w:t>
            </w:r>
            <w:r>
              <w:rPr>
                <w:sz w:val="20"/>
              </w:rPr>
              <w:t>odpady</w:t>
            </w:r>
            <w:r w:rsidR="001D0018">
              <w:rPr>
                <w:sz w:val="20"/>
              </w:rPr>
              <w:t>.</w:t>
            </w:r>
          </w:p>
          <w:p w14:paraId="065F7089" w14:textId="20898645" w:rsidR="00E01070" w:rsidRPr="00750A78" w:rsidRDefault="00E01070" w:rsidP="00E01070">
            <w:pPr>
              <w:pStyle w:val="Odstavecseseznamem"/>
              <w:numPr>
                <w:ilvl w:val="0"/>
                <w:numId w:val="12"/>
              </w:numPr>
              <w:spacing w:before="0"/>
              <w:ind w:left="175" w:hanging="142"/>
              <w:jc w:val="left"/>
              <w:rPr>
                <w:szCs w:val="24"/>
              </w:rPr>
            </w:pPr>
            <w:r w:rsidRPr="000D6D2F">
              <w:rPr>
                <w:sz w:val="20"/>
              </w:rPr>
              <w:t>Nedostatečná připravenost na čerpání fondů EU a</w:t>
            </w:r>
            <w:r>
              <w:rPr>
                <w:sz w:val="20"/>
              </w:rPr>
              <w:t> </w:t>
            </w:r>
            <w:r w:rsidRPr="000D6D2F">
              <w:rPr>
                <w:sz w:val="20"/>
              </w:rPr>
              <w:t>národních fondů</w:t>
            </w:r>
            <w:r w:rsidR="001D0018">
              <w:rPr>
                <w:sz w:val="20"/>
              </w:rPr>
              <w:t>.</w:t>
            </w:r>
          </w:p>
        </w:tc>
      </w:tr>
    </w:tbl>
    <w:p w14:paraId="6D3BAE07" w14:textId="77777777" w:rsidR="00E01070" w:rsidRDefault="00E01070" w:rsidP="00E01070"/>
    <w:tbl>
      <w:tblPr>
        <w:tblStyle w:val="Mkatabulky2"/>
        <w:tblW w:w="0" w:type="auto"/>
        <w:tblLook w:val="04A0" w:firstRow="1" w:lastRow="0" w:firstColumn="1" w:lastColumn="0" w:noHBand="0" w:noVBand="1"/>
      </w:tblPr>
      <w:tblGrid>
        <w:gridCol w:w="4534"/>
        <w:gridCol w:w="4528"/>
      </w:tblGrid>
      <w:tr w:rsidR="00E01070" w:rsidRPr="00BC1A35" w14:paraId="1A25BEDA" w14:textId="77777777" w:rsidTr="00FB7BF4">
        <w:trPr>
          <w:cantSplit/>
          <w:tblHeader/>
        </w:trPr>
        <w:tc>
          <w:tcPr>
            <w:tcW w:w="4535" w:type="dxa"/>
            <w:shd w:val="clear" w:color="auto" w:fill="F79646"/>
          </w:tcPr>
          <w:p w14:paraId="259039D5" w14:textId="77777777" w:rsidR="00E01070" w:rsidRPr="00BC1A35" w:rsidRDefault="00E01070" w:rsidP="00FB7BF4">
            <w:pPr>
              <w:spacing w:before="0"/>
              <w:jc w:val="center"/>
              <w:rPr>
                <w:b/>
                <w:szCs w:val="24"/>
              </w:rPr>
            </w:pPr>
            <w:r w:rsidRPr="00BC1A35">
              <w:rPr>
                <w:b/>
                <w:szCs w:val="24"/>
              </w:rPr>
              <w:t>PŘÍLEŽITOSTI</w:t>
            </w:r>
          </w:p>
        </w:tc>
        <w:tc>
          <w:tcPr>
            <w:tcW w:w="4528" w:type="dxa"/>
            <w:shd w:val="clear" w:color="auto" w:fill="B2A1C7"/>
          </w:tcPr>
          <w:p w14:paraId="29075A73" w14:textId="77777777" w:rsidR="00E01070" w:rsidRPr="00BC1A35" w:rsidRDefault="00E01070" w:rsidP="00FB7BF4">
            <w:pPr>
              <w:spacing w:before="0"/>
              <w:jc w:val="center"/>
              <w:rPr>
                <w:b/>
                <w:szCs w:val="24"/>
              </w:rPr>
            </w:pPr>
            <w:r w:rsidRPr="00BC1A35">
              <w:rPr>
                <w:b/>
                <w:szCs w:val="24"/>
              </w:rPr>
              <w:t>HROZBY</w:t>
            </w:r>
          </w:p>
        </w:tc>
      </w:tr>
      <w:tr w:rsidR="00E01070" w:rsidRPr="00BC1A35" w14:paraId="0E5B03FD" w14:textId="77777777" w:rsidTr="00FB7BF4">
        <w:trPr>
          <w:cantSplit/>
          <w:trHeight w:val="4484"/>
        </w:trPr>
        <w:tc>
          <w:tcPr>
            <w:tcW w:w="4535" w:type="dxa"/>
            <w:shd w:val="clear" w:color="auto" w:fill="FEF7CE"/>
          </w:tcPr>
          <w:p w14:paraId="35177934" w14:textId="77777777" w:rsidR="00E01070" w:rsidRDefault="00E01070" w:rsidP="00FB7BF4">
            <w:pPr>
              <w:suppressAutoHyphens/>
              <w:spacing w:before="0"/>
              <w:ind w:left="171"/>
              <w:contextualSpacing/>
              <w:jc w:val="left"/>
              <w:rPr>
                <w:szCs w:val="24"/>
                <w:highlight w:val="yellow"/>
              </w:rPr>
            </w:pPr>
          </w:p>
          <w:p w14:paraId="609188B8" w14:textId="56F0C1D5" w:rsidR="00E01070" w:rsidRDefault="00E01070" w:rsidP="00E01070">
            <w:pPr>
              <w:pStyle w:val="Odstavecseseznamem"/>
              <w:numPr>
                <w:ilvl w:val="0"/>
                <w:numId w:val="12"/>
              </w:numPr>
              <w:suppressAutoHyphens/>
              <w:spacing w:before="0" w:after="160"/>
              <w:ind w:left="171" w:hanging="142"/>
              <w:jc w:val="left"/>
              <w:rPr>
                <w:szCs w:val="24"/>
              </w:rPr>
            </w:pPr>
            <w:r>
              <w:rPr>
                <w:szCs w:val="24"/>
              </w:rPr>
              <w:t>Aktivní prorodinná politika, zatraktivnění města pro mladé</w:t>
            </w:r>
            <w:r w:rsidR="001D0018">
              <w:rPr>
                <w:szCs w:val="24"/>
              </w:rPr>
              <w:t>.</w:t>
            </w:r>
          </w:p>
          <w:p w14:paraId="4A36E9F6" w14:textId="50954788" w:rsidR="00E01070" w:rsidRDefault="00E01070" w:rsidP="00E01070">
            <w:pPr>
              <w:pStyle w:val="Odstavecseseznamem"/>
              <w:numPr>
                <w:ilvl w:val="0"/>
                <w:numId w:val="12"/>
              </w:numPr>
              <w:suppressAutoHyphens/>
              <w:spacing w:before="0" w:after="160"/>
              <w:ind w:left="171" w:hanging="142"/>
              <w:jc w:val="left"/>
              <w:rPr>
                <w:szCs w:val="24"/>
              </w:rPr>
            </w:pPr>
            <w:r>
              <w:rPr>
                <w:szCs w:val="24"/>
              </w:rPr>
              <w:t>Zajištění dostupného bydlení pro mladé rodiny s</w:t>
            </w:r>
            <w:r w:rsidR="001D0018">
              <w:rPr>
                <w:szCs w:val="24"/>
              </w:rPr>
              <w:t> </w:t>
            </w:r>
            <w:r>
              <w:rPr>
                <w:szCs w:val="24"/>
              </w:rPr>
              <w:t>dětmi</w:t>
            </w:r>
            <w:r w:rsidR="001D0018">
              <w:rPr>
                <w:szCs w:val="24"/>
              </w:rPr>
              <w:t>.</w:t>
            </w:r>
          </w:p>
          <w:p w14:paraId="37BA6A85" w14:textId="09E616CF" w:rsidR="00E01070" w:rsidRDefault="00E01070" w:rsidP="00E01070">
            <w:pPr>
              <w:pStyle w:val="Odstavecseseznamem"/>
              <w:numPr>
                <w:ilvl w:val="0"/>
                <w:numId w:val="12"/>
              </w:numPr>
              <w:suppressAutoHyphens/>
              <w:spacing w:before="0" w:after="160"/>
              <w:ind w:left="171" w:hanging="142"/>
              <w:jc w:val="left"/>
              <w:rPr>
                <w:szCs w:val="24"/>
              </w:rPr>
            </w:pPr>
            <w:r>
              <w:rPr>
                <w:szCs w:val="24"/>
              </w:rPr>
              <w:t>Vytvoření podmínek pro dostatečné kapacity sociálních služeb</w:t>
            </w:r>
            <w:r w:rsidR="001D0018">
              <w:rPr>
                <w:szCs w:val="24"/>
              </w:rPr>
              <w:t>.</w:t>
            </w:r>
          </w:p>
          <w:p w14:paraId="0595363A" w14:textId="04D6612E" w:rsidR="00E01070" w:rsidRPr="001D0018" w:rsidRDefault="00E01070" w:rsidP="00E01070">
            <w:pPr>
              <w:pStyle w:val="Odstavecseseznamem"/>
              <w:numPr>
                <w:ilvl w:val="0"/>
                <w:numId w:val="12"/>
              </w:numPr>
              <w:suppressAutoHyphens/>
              <w:spacing w:before="0" w:after="160"/>
              <w:ind w:left="171" w:hanging="142"/>
              <w:jc w:val="left"/>
              <w:rPr>
                <w:szCs w:val="24"/>
              </w:rPr>
            </w:pPr>
            <w:r w:rsidRPr="001D0018">
              <w:rPr>
                <w:szCs w:val="24"/>
              </w:rPr>
              <w:t>Spolupráce města a neziskových organizací na zlepšování sociální situace znevýhodněných skupin obyvatel</w:t>
            </w:r>
            <w:r w:rsidR="001D0018">
              <w:rPr>
                <w:szCs w:val="24"/>
              </w:rPr>
              <w:t>.</w:t>
            </w:r>
          </w:p>
          <w:p w14:paraId="484E149B" w14:textId="2F5ACFA5" w:rsidR="00E01070" w:rsidRDefault="00E01070" w:rsidP="00E01070">
            <w:pPr>
              <w:pStyle w:val="Odstavecseseznamem"/>
              <w:numPr>
                <w:ilvl w:val="0"/>
                <w:numId w:val="12"/>
              </w:numPr>
              <w:suppressAutoHyphens/>
              <w:spacing w:before="0" w:after="160"/>
              <w:ind w:left="171" w:hanging="142"/>
              <w:jc w:val="left"/>
              <w:rPr>
                <w:szCs w:val="24"/>
              </w:rPr>
            </w:pPr>
            <w:r>
              <w:rPr>
                <w:szCs w:val="24"/>
              </w:rPr>
              <w:t>Modernizace zdravotní péče</w:t>
            </w:r>
            <w:r w:rsidR="001D0018">
              <w:rPr>
                <w:szCs w:val="24"/>
              </w:rPr>
              <w:t>.</w:t>
            </w:r>
          </w:p>
          <w:p w14:paraId="7679475C" w14:textId="49DCADAE" w:rsidR="00E01070" w:rsidRDefault="00E01070" w:rsidP="00E01070">
            <w:pPr>
              <w:pStyle w:val="Odstavecseseznamem"/>
              <w:numPr>
                <w:ilvl w:val="0"/>
                <w:numId w:val="12"/>
              </w:numPr>
              <w:suppressAutoHyphens/>
              <w:spacing w:before="0" w:after="160"/>
              <w:ind w:left="171" w:hanging="142"/>
              <w:jc w:val="left"/>
              <w:rPr>
                <w:szCs w:val="24"/>
              </w:rPr>
            </w:pPr>
            <w:r w:rsidRPr="00C573C1">
              <w:rPr>
                <w:szCs w:val="24"/>
              </w:rPr>
              <w:t>Nové trendy v chování lidí – zdravý životní styl</w:t>
            </w:r>
            <w:r>
              <w:rPr>
                <w:szCs w:val="24"/>
              </w:rPr>
              <w:t xml:space="preserve"> a aktivní pohyb všeobecně</w:t>
            </w:r>
            <w:r w:rsidR="001D0018">
              <w:rPr>
                <w:szCs w:val="24"/>
              </w:rPr>
              <w:t>.</w:t>
            </w:r>
          </w:p>
          <w:p w14:paraId="25B39873" w14:textId="31FFC3A7" w:rsidR="00E01070" w:rsidRDefault="00E01070" w:rsidP="00E01070">
            <w:pPr>
              <w:pStyle w:val="Odstavecseseznamem"/>
              <w:numPr>
                <w:ilvl w:val="0"/>
                <w:numId w:val="12"/>
              </w:numPr>
              <w:suppressAutoHyphens/>
              <w:spacing w:before="0" w:after="160"/>
              <w:ind w:left="171" w:hanging="142"/>
              <w:jc w:val="left"/>
              <w:rPr>
                <w:szCs w:val="24"/>
              </w:rPr>
            </w:pPr>
            <w:r w:rsidRPr="008D0DB5">
              <w:rPr>
                <w:szCs w:val="24"/>
              </w:rPr>
              <w:t>Využití zkušeností jiných měst pro realizaci</w:t>
            </w:r>
            <w:r>
              <w:rPr>
                <w:szCs w:val="24"/>
              </w:rPr>
              <w:t xml:space="preserve"> nových kulturních a sportovních akcí</w:t>
            </w:r>
            <w:r w:rsidR="001D0018">
              <w:rPr>
                <w:szCs w:val="24"/>
              </w:rPr>
              <w:t>.</w:t>
            </w:r>
          </w:p>
          <w:p w14:paraId="75EC2959" w14:textId="3C01B689" w:rsidR="00E01070" w:rsidRDefault="00E01070" w:rsidP="00E01070">
            <w:pPr>
              <w:pStyle w:val="Odstavecseseznamem"/>
              <w:numPr>
                <w:ilvl w:val="0"/>
                <w:numId w:val="12"/>
              </w:numPr>
              <w:suppressAutoHyphens/>
              <w:spacing w:before="0" w:after="160"/>
              <w:ind w:left="171" w:hanging="142"/>
              <w:jc w:val="left"/>
              <w:rPr>
                <w:szCs w:val="24"/>
              </w:rPr>
            </w:pPr>
            <w:r>
              <w:t xml:space="preserve">Pokračování v revitalizaci </w:t>
            </w:r>
            <w:r w:rsidRPr="00A15A0E">
              <w:t>sídlišť</w:t>
            </w:r>
            <w:r w:rsidR="001D0018">
              <w:t>.</w:t>
            </w:r>
          </w:p>
          <w:p w14:paraId="7FFB36A9" w14:textId="28C46995" w:rsidR="00E01070" w:rsidRPr="00C72F5E" w:rsidRDefault="00E01070" w:rsidP="00E01070">
            <w:pPr>
              <w:pStyle w:val="Odstavecseseznamem"/>
              <w:numPr>
                <w:ilvl w:val="0"/>
                <w:numId w:val="12"/>
              </w:numPr>
              <w:suppressAutoHyphens/>
              <w:spacing w:before="0" w:after="160"/>
              <w:ind w:left="171" w:hanging="142"/>
              <w:jc w:val="left"/>
              <w:rPr>
                <w:szCs w:val="24"/>
              </w:rPr>
            </w:pPr>
            <w:r>
              <w:rPr>
                <w:szCs w:val="24"/>
              </w:rPr>
              <w:t>Pokračování v trendu rekultivace parků a </w:t>
            </w:r>
            <w:r w:rsidRPr="00C72F5E">
              <w:rPr>
                <w:szCs w:val="24"/>
              </w:rPr>
              <w:t xml:space="preserve">veřejných prostranství </w:t>
            </w:r>
            <w:r>
              <w:rPr>
                <w:szCs w:val="24"/>
              </w:rPr>
              <w:t xml:space="preserve">i </w:t>
            </w:r>
            <w:r w:rsidRPr="00C72F5E">
              <w:rPr>
                <w:szCs w:val="24"/>
              </w:rPr>
              <w:t>v okrajových částech města</w:t>
            </w:r>
            <w:r w:rsidR="001D0018">
              <w:rPr>
                <w:szCs w:val="24"/>
              </w:rPr>
              <w:t>.</w:t>
            </w:r>
          </w:p>
          <w:p w14:paraId="636CF0FF" w14:textId="12133B5E" w:rsidR="00E01070" w:rsidRDefault="00E01070" w:rsidP="00E01070">
            <w:pPr>
              <w:pStyle w:val="Odstavecseseznamem"/>
              <w:numPr>
                <w:ilvl w:val="0"/>
                <w:numId w:val="12"/>
              </w:numPr>
              <w:suppressAutoHyphens/>
              <w:spacing w:before="0" w:after="160"/>
              <w:ind w:left="171" w:hanging="142"/>
              <w:jc w:val="left"/>
              <w:rPr>
                <w:szCs w:val="24"/>
              </w:rPr>
            </w:pPr>
            <w:r>
              <w:rPr>
                <w:szCs w:val="24"/>
              </w:rPr>
              <w:t>Podpora výsadby stromů a zelených ploch v prostoru mezi zástavbou</w:t>
            </w:r>
            <w:r w:rsidR="001D0018">
              <w:rPr>
                <w:szCs w:val="24"/>
              </w:rPr>
              <w:t>.</w:t>
            </w:r>
          </w:p>
          <w:p w14:paraId="65664D5D" w14:textId="06D94E82" w:rsidR="00E01070" w:rsidRDefault="00E01070" w:rsidP="00E01070">
            <w:pPr>
              <w:pStyle w:val="Odstavecseseznamem"/>
              <w:numPr>
                <w:ilvl w:val="0"/>
                <w:numId w:val="12"/>
              </w:numPr>
              <w:suppressAutoHyphens/>
              <w:spacing w:before="0" w:after="160"/>
              <w:ind w:left="171" w:hanging="142"/>
              <w:jc w:val="left"/>
              <w:rPr>
                <w:szCs w:val="24"/>
              </w:rPr>
            </w:pPr>
            <w:r>
              <w:rPr>
                <w:szCs w:val="24"/>
              </w:rPr>
              <w:t>Adaptační opatření reflektující klimatické změny (zachytávání a využití dešťové vody k ochlazování veřejného prostoru, zelené střechy a stěny)</w:t>
            </w:r>
            <w:r w:rsidR="001D0018">
              <w:rPr>
                <w:szCs w:val="24"/>
              </w:rPr>
              <w:t>.</w:t>
            </w:r>
          </w:p>
          <w:p w14:paraId="20B2C3C0" w14:textId="1B93D1EF" w:rsidR="00E01070" w:rsidRPr="00D538B0" w:rsidRDefault="00E01070" w:rsidP="00E01070">
            <w:pPr>
              <w:pStyle w:val="Odstavecseseznamem"/>
              <w:numPr>
                <w:ilvl w:val="0"/>
                <w:numId w:val="12"/>
              </w:numPr>
              <w:suppressAutoHyphens/>
              <w:spacing w:before="0" w:after="160"/>
              <w:ind w:left="171" w:hanging="142"/>
              <w:jc w:val="left"/>
              <w:rPr>
                <w:szCs w:val="24"/>
              </w:rPr>
            </w:pPr>
            <w:r w:rsidRPr="00D538B0">
              <w:rPr>
                <w:szCs w:val="24"/>
              </w:rPr>
              <w:t>Zlepšení environmentální hodnoty příměstské krajiny, adaptace na klimatickou změnu, podpora realizace protierozních opatření a opatření pro retenci vody v</w:t>
            </w:r>
            <w:r w:rsidR="001D0018">
              <w:rPr>
                <w:szCs w:val="24"/>
              </w:rPr>
              <w:t> </w:t>
            </w:r>
            <w:r w:rsidRPr="00D538B0">
              <w:rPr>
                <w:szCs w:val="24"/>
              </w:rPr>
              <w:t>krajině</w:t>
            </w:r>
            <w:r w:rsidR="001D0018">
              <w:rPr>
                <w:szCs w:val="24"/>
              </w:rPr>
              <w:t>.</w:t>
            </w:r>
          </w:p>
          <w:p w14:paraId="050C63DC" w14:textId="10E99113" w:rsidR="00E01070" w:rsidRDefault="00E01070" w:rsidP="00E01070">
            <w:pPr>
              <w:pStyle w:val="Odstavecseseznamem"/>
              <w:numPr>
                <w:ilvl w:val="0"/>
                <w:numId w:val="12"/>
              </w:numPr>
              <w:suppressAutoHyphens/>
              <w:spacing w:before="0" w:after="160"/>
              <w:ind w:left="171" w:hanging="142"/>
              <w:jc w:val="left"/>
              <w:rPr>
                <w:szCs w:val="24"/>
              </w:rPr>
            </w:pPr>
            <w:r>
              <w:rPr>
                <w:szCs w:val="24"/>
              </w:rPr>
              <w:t>Snížení intenzity dopravy v centru města</w:t>
            </w:r>
            <w:r w:rsidR="001D0018">
              <w:rPr>
                <w:szCs w:val="24"/>
              </w:rPr>
              <w:t>.</w:t>
            </w:r>
          </w:p>
          <w:p w14:paraId="475FB0DC" w14:textId="6B6F31CF" w:rsidR="00E01070" w:rsidRPr="009E1408" w:rsidRDefault="00E01070" w:rsidP="00E01070">
            <w:pPr>
              <w:pStyle w:val="Odstavecseseznamem"/>
              <w:numPr>
                <w:ilvl w:val="0"/>
                <w:numId w:val="12"/>
              </w:numPr>
              <w:suppressAutoHyphens/>
              <w:spacing w:before="0" w:after="160"/>
              <w:ind w:left="171" w:hanging="142"/>
              <w:jc w:val="left"/>
              <w:rPr>
                <w:szCs w:val="24"/>
              </w:rPr>
            </w:pPr>
            <w:r>
              <w:t>Snížení světelného znečištění</w:t>
            </w:r>
            <w:r w:rsidR="001D0018">
              <w:t>.</w:t>
            </w:r>
            <w:r>
              <w:t xml:space="preserve"> </w:t>
            </w:r>
          </w:p>
          <w:p w14:paraId="3D10BBC4" w14:textId="23D6BCF9" w:rsidR="00E01070" w:rsidRPr="00CF408A" w:rsidRDefault="00E01070" w:rsidP="00E01070">
            <w:pPr>
              <w:pStyle w:val="Odstavecseseznamem"/>
              <w:numPr>
                <w:ilvl w:val="0"/>
                <w:numId w:val="12"/>
              </w:numPr>
              <w:suppressAutoHyphens/>
              <w:spacing w:before="0" w:after="160"/>
              <w:ind w:left="171" w:hanging="142"/>
              <w:jc w:val="left"/>
              <w:rPr>
                <w:szCs w:val="24"/>
              </w:rPr>
            </w:pPr>
            <w:r>
              <w:t>Realizace projektů pro zvýšení atraktivity města</w:t>
            </w:r>
            <w:r w:rsidR="001D0018">
              <w:t>.</w:t>
            </w:r>
          </w:p>
          <w:p w14:paraId="460031DC" w14:textId="001C7028" w:rsidR="00E01070" w:rsidRPr="00CF408A" w:rsidRDefault="00E01070" w:rsidP="00E01070">
            <w:pPr>
              <w:pStyle w:val="Odstavecseseznamem"/>
              <w:numPr>
                <w:ilvl w:val="0"/>
                <w:numId w:val="12"/>
              </w:numPr>
              <w:suppressAutoHyphens/>
              <w:spacing w:before="0" w:after="160"/>
              <w:ind w:left="171" w:hanging="142"/>
              <w:jc w:val="left"/>
              <w:rPr>
                <w:szCs w:val="24"/>
              </w:rPr>
            </w:pPr>
            <w:r>
              <w:t>Úspora energie ve veřejných městských budovách</w:t>
            </w:r>
            <w:r w:rsidR="001D0018">
              <w:t>.</w:t>
            </w:r>
          </w:p>
          <w:p w14:paraId="10858EBB" w14:textId="5E075DE2" w:rsidR="00E01070" w:rsidRPr="00D5145F" w:rsidRDefault="00E01070" w:rsidP="00E01070">
            <w:pPr>
              <w:pStyle w:val="Odstavecseseznamem"/>
              <w:numPr>
                <w:ilvl w:val="0"/>
                <w:numId w:val="12"/>
              </w:numPr>
              <w:suppressAutoHyphens/>
              <w:spacing w:before="0" w:after="160"/>
              <w:ind w:left="171" w:hanging="142"/>
              <w:jc w:val="left"/>
              <w:rPr>
                <w:szCs w:val="24"/>
              </w:rPr>
            </w:pPr>
            <w:r>
              <w:t>Podpora udržitelné mobility</w:t>
            </w:r>
            <w:r w:rsidR="001D0018">
              <w:t>.</w:t>
            </w:r>
          </w:p>
          <w:p w14:paraId="6EC14C2F" w14:textId="5BA99F83" w:rsidR="00E01070" w:rsidRPr="00935FE8" w:rsidRDefault="00E01070" w:rsidP="00E01070">
            <w:pPr>
              <w:pStyle w:val="Odstavecseseznamem"/>
              <w:numPr>
                <w:ilvl w:val="0"/>
                <w:numId w:val="12"/>
              </w:numPr>
              <w:suppressAutoHyphens/>
              <w:spacing w:before="0" w:after="160"/>
              <w:ind w:left="171" w:hanging="142"/>
              <w:jc w:val="left"/>
              <w:rPr>
                <w:szCs w:val="24"/>
              </w:rPr>
            </w:pPr>
            <w:r>
              <w:t>Rozvoj SMART řešení v oblasti životního prostředí</w:t>
            </w:r>
            <w:r w:rsidR="001D0018">
              <w:t>.</w:t>
            </w:r>
          </w:p>
          <w:p w14:paraId="0894A662" w14:textId="155948D9" w:rsidR="00E01070" w:rsidRPr="003D1A98" w:rsidRDefault="00E01070" w:rsidP="00E01070">
            <w:pPr>
              <w:pStyle w:val="Odstavecseseznamem"/>
              <w:numPr>
                <w:ilvl w:val="0"/>
                <w:numId w:val="12"/>
              </w:numPr>
              <w:suppressAutoHyphens/>
              <w:spacing w:before="0" w:after="160"/>
              <w:ind w:left="171" w:hanging="142"/>
              <w:jc w:val="left"/>
              <w:rPr>
                <w:szCs w:val="24"/>
              </w:rPr>
            </w:pPr>
            <w:r>
              <w:t>Využití potenciálu studentů i absolventů UTB pro další rozvoj města</w:t>
            </w:r>
            <w:r w:rsidR="001D0018">
              <w:t>.</w:t>
            </w:r>
          </w:p>
          <w:p w14:paraId="49BFA217" w14:textId="1D4C61A9" w:rsidR="00E01070" w:rsidRPr="006457F2" w:rsidRDefault="00E01070" w:rsidP="00E01070">
            <w:pPr>
              <w:pStyle w:val="Odstavecseseznamem"/>
              <w:numPr>
                <w:ilvl w:val="0"/>
                <w:numId w:val="12"/>
              </w:numPr>
              <w:suppressAutoHyphens/>
              <w:spacing w:before="0" w:after="160"/>
              <w:ind w:left="171" w:hanging="142"/>
              <w:jc w:val="left"/>
              <w:rPr>
                <w:szCs w:val="24"/>
              </w:rPr>
            </w:pPr>
            <w:r>
              <w:t>Podpora infrastruktury přívětivé k rodinám s dětmi (snižování bariér)</w:t>
            </w:r>
            <w:r w:rsidR="001D0018">
              <w:t>.</w:t>
            </w:r>
          </w:p>
        </w:tc>
        <w:tc>
          <w:tcPr>
            <w:tcW w:w="4528" w:type="dxa"/>
            <w:shd w:val="clear" w:color="auto" w:fill="E5DFEC"/>
          </w:tcPr>
          <w:p w14:paraId="57BA37CD" w14:textId="77777777" w:rsidR="00E01070" w:rsidRPr="007C6AE7" w:rsidRDefault="00E01070" w:rsidP="00FB7BF4">
            <w:pPr>
              <w:suppressAutoHyphens/>
              <w:spacing w:before="0"/>
              <w:ind w:left="173"/>
              <w:contextualSpacing/>
              <w:jc w:val="left"/>
              <w:rPr>
                <w:szCs w:val="24"/>
              </w:rPr>
            </w:pPr>
          </w:p>
          <w:p w14:paraId="1DFB9F72" w14:textId="164B460C" w:rsidR="00E01070" w:rsidRDefault="00E01070" w:rsidP="00E01070">
            <w:pPr>
              <w:numPr>
                <w:ilvl w:val="0"/>
                <w:numId w:val="13"/>
              </w:numPr>
              <w:suppressAutoHyphens/>
              <w:spacing w:before="0"/>
              <w:ind w:left="173" w:hanging="173"/>
              <w:contextualSpacing/>
              <w:jc w:val="left"/>
              <w:rPr>
                <w:szCs w:val="24"/>
              </w:rPr>
            </w:pPr>
            <w:r>
              <w:rPr>
                <w:szCs w:val="24"/>
              </w:rPr>
              <w:t>Zastarávání bytového fondu ve vlastnictví města vedoucí k nízké kvalitě bydlení</w:t>
            </w:r>
            <w:r>
              <w:t>, k haváriím rozvodů</w:t>
            </w:r>
            <w:r>
              <w:rPr>
                <w:szCs w:val="24"/>
              </w:rPr>
              <w:t xml:space="preserve"> a nízké atraktivitě</w:t>
            </w:r>
            <w:r w:rsidR="001D0018">
              <w:rPr>
                <w:szCs w:val="24"/>
              </w:rPr>
              <w:t>.</w:t>
            </w:r>
          </w:p>
          <w:p w14:paraId="5920A870" w14:textId="60CAEFEE" w:rsidR="00E01070" w:rsidRDefault="00E01070" w:rsidP="00E01070">
            <w:pPr>
              <w:numPr>
                <w:ilvl w:val="0"/>
                <w:numId w:val="13"/>
              </w:numPr>
              <w:suppressAutoHyphens/>
              <w:spacing w:before="0"/>
              <w:ind w:left="173" w:hanging="173"/>
              <w:contextualSpacing/>
              <w:jc w:val="left"/>
              <w:rPr>
                <w:szCs w:val="24"/>
              </w:rPr>
            </w:pPr>
            <w:r>
              <w:rPr>
                <w:szCs w:val="24"/>
              </w:rPr>
              <w:t>Na trend stárnutí populace nebude reagováno odpovídajícím způsobem, nebudou zajištěny dostatečné kapacity sociálních služeb pro seniory</w:t>
            </w:r>
            <w:r w:rsidR="001D0018">
              <w:rPr>
                <w:szCs w:val="24"/>
              </w:rPr>
              <w:t>.</w:t>
            </w:r>
          </w:p>
          <w:p w14:paraId="54EAAA3A" w14:textId="646378CA" w:rsidR="00E01070" w:rsidRDefault="00E01070" w:rsidP="00E01070">
            <w:pPr>
              <w:numPr>
                <w:ilvl w:val="0"/>
                <w:numId w:val="13"/>
              </w:numPr>
              <w:suppressAutoHyphens/>
              <w:spacing w:before="0"/>
              <w:ind w:left="173" w:hanging="173"/>
              <w:contextualSpacing/>
              <w:jc w:val="left"/>
              <w:rPr>
                <w:szCs w:val="24"/>
              </w:rPr>
            </w:pPr>
            <w:r>
              <w:rPr>
                <w:szCs w:val="24"/>
              </w:rPr>
              <w:t>Nízká úroveň podpory sociálně znevýhodněných obyvatel vedoucí k jejich sociálnímu vyloučení</w:t>
            </w:r>
            <w:r w:rsidR="001D0018">
              <w:rPr>
                <w:szCs w:val="24"/>
              </w:rPr>
              <w:t>.</w:t>
            </w:r>
          </w:p>
          <w:p w14:paraId="49914F3B" w14:textId="571DDCD6" w:rsidR="00E01070" w:rsidRDefault="00E01070" w:rsidP="00E01070">
            <w:pPr>
              <w:numPr>
                <w:ilvl w:val="0"/>
                <w:numId w:val="13"/>
              </w:numPr>
              <w:suppressAutoHyphens/>
              <w:spacing w:before="0"/>
              <w:ind w:left="173" w:hanging="173"/>
              <w:contextualSpacing/>
              <w:jc w:val="left"/>
              <w:rPr>
                <w:szCs w:val="24"/>
              </w:rPr>
            </w:pPr>
            <w:r>
              <w:rPr>
                <w:szCs w:val="24"/>
              </w:rPr>
              <w:t>Nedostatek zdravotnického personálu vedoucí k omezení služeb</w:t>
            </w:r>
            <w:r w:rsidR="001D0018">
              <w:rPr>
                <w:szCs w:val="24"/>
              </w:rPr>
              <w:t>.</w:t>
            </w:r>
          </w:p>
          <w:p w14:paraId="6699744E" w14:textId="2FADD675" w:rsidR="00E01070" w:rsidRDefault="00E01070" w:rsidP="00E01070">
            <w:pPr>
              <w:pStyle w:val="Odstavecseseznamem"/>
              <w:numPr>
                <w:ilvl w:val="0"/>
                <w:numId w:val="13"/>
              </w:numPr>
              <w:suppressAutoHyphens/>
              <w:spacing w:before="0" w:after="160"/>
              <w:ind w:left="173" w:hanging="173"/>
              <w:jc w:val="left"/>
              <w:rPr>
                <w:szCs w:val="24"/>
              </w:rPr>
            </w:pPr>
            <w:r>
              <w:rPr>
                <w:szCs w:val="24"/>
              </w:rPr>
              <w:t>Nedostatečná pohybová aktivita dětí</w:t>
            </w:r>
            <w:r w:rsidR="001D0018">
              <w:rPr>
                <w:szCs w:val="24"/>
              </w:rPr>
              <w:t>.</w:t>
            </w:r>
          </w:p>
          <w:p w14:paraId="280FC76D" w14:textId="3B0922BE" w:rsidR="00E01070" w:rsidRDefault="00E01070" w:rsidP="00E01070">
            <w:pPr>
              <w:pStyle w:val="Odstavecseseznamem"/>
              <w:numPr>
                <w:ilvl w:val="0"/>
                <w:numId w:val="13"/>
              </w:numPr>
              <w:suppressAutoHyphens/>
              <w:spacing w:before="0" w:after="160"/>
              <w:ind w:left="173" w:hanging="173"/>
              <w:jc w:val="left"/>
              <w:rPr>
                <w:szCs w:val="24"/>
              </w:rPr>
            </w:pPr>
            <w:r>
              <w:rPr>
                <w:szCs w:val="24"/>
              </w:rPr>
              <w:t>Krácení veřejných zdrojů pro kulturní, sportovní i volnočasové aktivity</w:t>
            </w:r>
            <w:r w:rsidR="001D0018">
              <w:rPr>
                <w:szCs w:val="24"/>
              </w:rPr>
              <w:t>.</w:t>
            </w:r>
          </w:p>
          <w:p w14:paraId="00627A71" w14:textId="49E60A59" w:rsidR="00E01070" w:rsidRDefault="00E01070" w:rsidP="00E01070">
            <w:pPr>
              <w:pStyle w:val="Odstavecseseznamem"/>
              <w:numPr>
                <w:ilvl w:val="0"/>
                <w:numId w:val="13"/>
              </w:numPr>
              <w:suppressAutoHyphens/>
              <w:spacing w:before="0" w:after="160"/>
              <w:ind w:left="173" w:hanging="173"/>
              <w:jc w:val="left"/>
              <w:rPr>
                <w:szCs w:val="24"/>
              </w:rPr>
            </w:pPr>
            <w:r>
              <w:rPr>
                <w:szCs w:val="24"/>
              </w:rPr>
              <w:t>Nedostatečné kulturní a sportovní vyžití m</w:t>
            </w:r>
            <w:r w:rsidR="001D0018">
              <w:rPr>
                <w:szCs w:val="24"/>
              </w:rPr>
              <w:t>ěsta ve srovnání s jinými městy.</w:t>
            </w:r>
          </w:p>
          <w:p w14:paraId="5CFFEC5C" w14:textId="1927E37B" w:rsidR="00E01070" w:rsidRDefault="00E01070" w:rsidP="00E01070">
            <w:pPr>
              <w:pStyle w:val="Odstavecseseznamem"/>
              <w:numPr>
                <w:ilvl w:val="0"/>
                <w:numId w:val="13"/>
              </w:numPr>
              <w:suppressAutoHyphens/>
              <w:spacing w:before="0" w:after="160"/>
              <w:ind w:left="173" w:hanging="173"/>
              <w:jc w:val="left"/>
              <w:rPr>
                <w:szCs w:val="24"/>
              </w:rPr>
            </w:pPr>
            <w:r w:rsidRPr="00143C0B">
              <w:rPr>
                <w:szCs w:val="24"/>
              </w:rPr>
              <w:t>Zhoršení stavu památek a nedostatek finančních prostředků (např. z důvodu nezískání dotací a grantů od kraje, státu, popř. z EU) na jejich údržbu a provoz)</w:t>
            </w:r>
            <w:r w:rsidR="001D0018">
              <w:rPr>
                <w:szCs w:val="24"/>
              </w:rPr>
              <w:t>.</w:t>
            </w:r>
          </w:p>
          <w:p w14:paraId="611B5ED0" w14:textId="2A4EB5C9" w:rsidR="00E01070" w:rsidRPr="00A15A0E" w:rsidRDefault="00E01070" w:rsidP="00E01070">
            <w:pPr>
              <w:pStyle w:val="Odstavecseseznamem"/>
              <w:numPr>
                <w:ilvl w:val="0"/>
                <w:numId w:val="13"/>
              </w:numPr>
              <w:suppressAutoHyphens/>
              <w:spacing w:before="0" w:after="160"/>
              <w:ind w:left="173" w:hanging="173"/>
              <w:jc w:val="left"/>
              <w:rPr>
                <w:szCs w:val="24"/>
              </w:rPr>
            </w:pPr>
            <w:r w:rsidRPr="00A15A0E">
              <w:rPr>
                <w:szCs w:val="24"/>
              </w:rPr>
              <w:t>Zhoršení péče o veřejnou zeleň</w:t>
            </w:r>
            <w:r w:rsidR="001D0018">
              <w:rPr>
                <w:szCs w:val="24"/>
              </w:rPr>
              <w:t>.</w:t>
            </w:r>
          </w:p>
          <w:p w14:paraId="72112E2C" w14:textId="2608EEDC" w:rsidR="00E01070" w:rsidRDefault="00E01070" w:rsidP="00E01070">
            <w:pPr>
              <w:pStyle w:val="Odstavecseseznamem"/>
              <w:numPr>
                <w:ilvl w:val="0"/>
                <w:numId w:val="13"/>
              </w:numPr>
              <w:suppressAutoHyphens/>
              <w:spacing w:before="0" w:after="160"/>
              <w:ind w:left="173" w:hanging="173"/>
              <w:jc w:val="left"/>
              <w:rPr>
                <w:szCs w:val="24"/>
              </w:rPr>
            </w:pPr>
            <w:r w:rsidRPr="00A15A0E">
              <w:rPr>
                <w:szCs w:val="24"/>
              </w:rPr>
              <w:t>Zanedbání opatření zmírňující vlivy klimatické změny, zhoršení kvality života v</w:t>
            </w:r>
            <w:r w:rsidR="001D0018">
              <w:rPr>
                <w:szCs w:val="24"/>
              </w:rPr>
              <w:t> </w:t>
            </w:r>
            <w:r w:rsidRPr="00A15A0E">
              <w:rPr>
                <w:szCs w:val="24"/>
              </w:rPr>
              <w:t>sídlištích</w:t>
            </w:r>
            <w:r w:rsidR="001D0018">
              <w:rPr>
                <w:szCs w:val="24"/>
              </w:rPr>
              <w:t>.</w:t>
            </w:r>
          </w:p>
          <w:p w14:paraId="18253B4F" w14:textId="3FC03721" w:rsidR="00E01070" w:rsidRDefault="00E01070" w:rsidP="00E01070">
            <w:pPr>
              <w:pStyle w:val="Odstavecseseznamem"/>
              <w:numPr>
                <w:ilvl w:val="0"/>
                <w:numId w:val="13"/>
              </w:numPr>
              <w:suppressAutoHyphens/>
              <w:spacing w:before="0" w:after="160"/>
              <w:ind w:left="173" w:hanging="173"/>
              <w:jc w:val="left"/>
              <w:rPr>
                <w:szCs w:val="24"/>
              </w:rPr>
            </w:pPr>
            <w:r>
              <w:rPr>
                <w:szCs w:val="24"/>
              </w:rPr>
              <w:t>Nepřipravenost města na požadavky nové legislativy v odpadovém hospodářství</w:t>
            </w:r>
            <w:r w:rsidR="001D0018">
              <w:rPr>
                <w:szCs w:val="24"/>
              </w:rPr>
              <w:t>.</w:t>
            </w:r>
          </w:p>
          <w:p w14:paraId="6760F9C6" w14:textId="77777777" w:rsidR="00E01070" w:rsidRPr="00143C0B" w:rsidRDefault="00E01070" w:rsidP="00FB7BF4">
            <w:pPr>
              <w:pStyle w:val="Odstavecseseznamem"/>
              <w:suppressAutoHyphens/>
              <w:spacing w:before="0" w:after="160"/>
              <w:ind w:left="173"/>
              <w:jc w:val="left"/>
              <w:rPr>
                <w:szCs w:val="24"/>
              </w:rPr>
            </w:pPr>
          </w:p>
        </w:tc>
      </w:tr>
    </w:tbl>
    <w:p w14:paraId="54B4B955" w14:textId="77777777" w:rsidR="00E01070" w:rsidRDefault="00E01070" w:rsidP="00E01070"/>
    <w:p w14:paraId="3436C31A" w14:textId="77777777" w:rsidR="00E01070" w:rsidRDefault="00E01070" w:rsidP="00E01070">
      <w:pPr>
        <w:spacing w:before="0" w:after="160" w:line="259" w:lineRule="auto"/>
        <w:jc w:val="left"/>
      </w:pPr>
      <w:r>
        <w:br w:type="page"/>
      </w:r>
    </w:p>
    <w:p w14:paraId="33E79264" w14:textId="61BBC938" w:rsidR="00E01070" w:rsidRPr="00EF4C6A" w:rsidRDefault="00E01070" w:rsidP="00E01070">
      <w:pPr>
        <w:pStyle w:val="Nadpis3"/>
        <w:ind w:left="720"/>
      </w:pPr>
      <w:bookmarkStart w:id="1164" w:name="_Toc50468825"/>
      <w:bookmarkStart w:id="1165" w:name="_Toc53474275"/>
      <w:bookmarkStart w:id="1166" w:name="_Toc77074677"/>
      <w:r>
        <w:t>SWOT analýza</w:t>
      </w:r>
      <w:bookmarkEnd w:id="1164"/>
      <w:r>
        <w:t xml:space="preserve"> tematické oblasti Vzdělá</w:t>
      </w:r>
      <w:r w:rsidR="00757ADA">
        <w:t>vá</w:t>
      </w:r>
      <w:r>
        <w:t>ní</w:t>
      </w:r>
      <w:bookmarkEnd w:id="1165"/>
      <w:bookmarkEnd w:id="1166"/>
    </w:p>
    <w:p w14:paraId="55E7C6EA" w14:textId="77777777" w:rsidR="00E01070" w:rsidRDefault="00E01070" w:rsidP="00E01070"/>
    <w:tbl>
      <w:tblPr>
        <w:tblStyle w:val="Mkatabulky2"/>
        <w:tblW w:w="0" w:type="auto"/>
        <w:tblLook w:val="04A0" w:firstRow="1" w:lastRow="0" w:firstColumn="1" w:lastColumn="0" w:noHBand="0" w:noVBand="1"/>
      </w:tblPr>
      <w:tblGrid>
        <w:gridCol w:w="4533"/>
        <w:gridCol w:w="4529"/>
      </w:tblGrid>
      <w:tr w:rsidR="00E01070" w:rsidRPr="00BC1A35" w14:paraId="1AD1A01C" w14:textId="77777777" w:rsidTr="00FB7BF4">
        <w:trPr>
          <w:cantSplit/>
          <w:tblHeader/>
        </w:trPr>
        <w:tc>
          <w:tcPr>
            <w:tcW w:w="4533" w:type="dxa"/>
            <w:shd w:val="clear" w:color="auto" w:fill="FF7C80"/>
          </w:tcPr>
          <w:p w14:paraId="37C6EEE0" w14:textId="77777777" w:rsidR="00E01070" w:rsidRPr="00BC1A35" w:rsidRDefault="00E01070" w:rsidP="00FB7BF4">
            <w:pPr>
              <w:keepNext/>
              <w:spacing w:before="0"/>
              <w:jc w:val="center"/>
              <w:rPr>
                <w:b/>
                <w:szCs w:val="24"/>
              </w:rPr>
            </w:pPr>
            <w:r w:rsidRPr="00BC1A35">
              <w:rPr>
                <w:b/>
                <w:szCs w:val="24"/>
              </w:rPr>
              <w:t>SILNÉ STRÁNKY</w:t>
            </w:r>
          </w:p>
        </w:tc>
        <w:tc>
          <w:tcPr>
            <w:tcW w:w="4529" w:type="dxa"/>
            <w:shd w:val="clear" w:color="auto" w:fill="B8CCE4"/>
          </w:tcPr>
          <w:p w14:paraId="65C6E87B" w14:textId="77777777" w:rsidR="00E01070" w:rsidRPr="00BC1A35" w:rsidRDefault="00E01070" w:rsidP="00FB7BF4">
            <w:pPr>
              <w:keepNext/>
              <w:spacing w:before="0"/>
              <w:jc w:val="center"/>
              <w:rPr>
                <w:b/>
                <w:szCs w:val="24"/>
              </w:rPr>
            </w:pPr>
            <w:r w:rsidRPr="00BC1A35">
              <w:rPr>
                <w:b/>
                <w:szCs w:val="24"/>
              </w:rPr>
              <w:t>SLABÉ STRÁNKY</w:t>
            </w:r>
          </w:p>
        </w:tc>
      </w:tr>
      <w:tr w:rsidR="00E01070" w:rsidRPr="00BC1A35" w14:paraId="744AF6DC" w14:textId="77777777" w:rsidTr="00FB7BF4">
        <w:trPr>
          <w:cantSplit/>
          <w:trHeight w:val="3177"/>
        </w:trPr>
        <w:tc>
          <w:tcPr>
            <w:tcW w:w="4533" w:type="dxa"/>
            <w:shd w:val="clear" w:color="auto" w:fill="FFDDDD"/>
          </w:tcPr>
          <w:p w14:paraId="76F81B73" w14:textId="77777777" w:rsidR="00E01070" w:rsidRPr="0045137D" w:rsidRDefault="00E01070" w:rsidP="00FB7BF4">
            <w:pPr>
              <w:keepNext/>
              <w:suppressAutoHyphens/>
              <w:spacing w:before="0"/>
              <w:ind w:left="171"/>
              <w:contextualSpacing/>
              <w:jc w:val="left"/>
              <w:rPr>
                <w:sz w:val="12"/>
                <w:szCs w:val="24"/>
              </w:rPr>
            </w:pPr>
          </w:p>
          <w:p w14:paraId="2741FD58" w14:textId="4C0FB239" w:rsidR="00E01070" w:rsidRPr="007C6AE7" w:rsidRDefault="00E01070" w:rsidP="00E01070">
            <w:pPr>
              <w:pStyle w:val="Odstavecseseznamem"/>
              <w:keepNext/>
              <w:numPr>
                <w:ilvl w:val="0"/>
                <w:numId w:val="12"/>
              </w:numPr>
              <w:suppressAutoHyphens/>
              <w:spacing w:before="0" w:after="160"/>
              <w:ind w:left="171" w:hanging="142"/>
              <w:jc w:val="left"/>
              <w:rPr>
                <w:szCs w:val="24"/>
              </w:rPr>
            </w:pPr>
            <w:r>
              <w:t>Existence strategického plánování v oblasti školství</w:t>
            </w:r>
            <w:r w:rsidR="001D0018">
              <w:t>.</w:t>
            </w:r>
          </w:p>
          <w:p w14:paraId="29A0E878" w14:textId="11350841" w:rsidR="00E01070" w:rsidRPr="007C6AE7" w:rsidRDefault="00E01070" w:rsidP="00E01070">
            <w:pPr>
              <w:pStyle w:val="Odstavecseseznamem"/>
              <w:keepNext/>
              <w:numPr>
                <w:ilvl w:val="0"/>
                <w:numId w:val="12"/>
              </w:numPr>
              <w:suppressAutoHyphens/>
              <w:spacing w:before="0" w:after="160"/>
              <w:ind w:left="171" w:hanging="142"/>
              <w:jc w:val="left"/>
              <w:rPr>
                <w:szCs w:val="24"/>
              </w:rPr>
            </w:pPr>
            <w:r>
              <w:t>Dostatečná kapacita míst v mateřských školách na území města</w:t>
            </w:r>
            <w:r w:rsidR="001D0018">
              <w:t>.</w:t>
            </w:r>
          </w:p>
          <w:p w14:paraId="1D0312B8" w14:textId="3A8A6D65" w:rsidR="00E01070" w:rsidRPr="00A0286F" w:rsidRDefault="00E01070" w:rsidP="00E01070">
            <w:pPr>
              <w:pStyle w:val="Odstavecseseznamem"/>
              <w:keepNext/>
              <w:numPr>
                <w:ilvl w:val="0"/>
                <w:numId w:val="12"/>
              </w:numPr>
              <w:suppressAutoHyphens/>
              <w:spacing w:before="0" w:after="160"/>
              <w:ind w:left="171" w:hanging="142"/>
              <w:jc w:val="left"/>
              <w:rPr>
                <w:szCs w:val="24"/>
              </w:rPr>
            </w:pPr>
            <w:r w:rsidRPr="00A0286F">
              <w:rPr>
                <w:szCs w:val="24"/>
              </w:rPr>
              <w:t>Dostatečná kapacita péče o děti do 3 let v denním režimu v jeslích zřizovaných městem</w:t>
            </w:r>
            <w:r w:rsidR="001D0018">
              <w:rPr>
                <w:szCs w:val="24"/>
              </w:rPr>
              <w:t>.</w:t>
            </w:r>
          </w:p>
          <w:p w14:paraId="19F1EF7E" w14:textId="2C2F37A4" w:rsidR="00E01070" w:rsidRPr="007C6AE7" w:rsidRDefault="00E01070" w:rsidP="00E01070">
            <w:pPr>
              <w:pStyle w:val="Odstavecseseznamem"/>
              <w:keepNext/>
              <w:numPr>
                <w:ilvl w:val="0"/>
                <w:numId w:val="12"/>
              </w:numPr>
              <w:suppressAutoHyphens/>
              <w:spacing w:before="0" w:after="160"/>
              <w:ind w:left="171" w:hanging="142"/>
              <w:jc w:val="left"/>
              <w:rPr>
                <w:szCs w:val="24"/>
              </w:rPr>
            </w:pPr>
            <w:r w:rsidRPr="00D4594B">
              <w:t>Bohatá nabídka činností v mateřských školách</w:t>
            </w:r>
            <w:r>
              <w:t xml:space="preserve"> </w:t>
            </w:r>
            <w:r w:rsidR="001B38F7" w:rsidRPr="008617D8">
              <w:t>(zaměření).</w:t>
            </w:r>
          </w:p>
          <w:p w14:paraId="717D75A9" w14:textId="73F303D8" w:rsidR="00E01070" w:rsidRPr="000C7893" w:rsidRDefault="00E01070" w:rsidP="00E01070">
            <w:pPr>
              <w:pStyle w:val="Odstavecseseznamem"/>
              <w:keepNext/>
              <w:numPr>
                <w:ilvl w:val="0"/>
                <w:numId w:val="12"/>
              </w:numPr>
              <w:suppressAutoHyphens/>
              <w:spacing w:before="0" w:after="160"/>
              <w:ind w:left="171" w:hanging="142"/>
              <w:jc w:val="left"/>
              <w:rPr>
                <w:szCs w:val="24"/>
              </w:rPr>
            </w:pPr>
            <w:r>
              <w:t xml:space="preserve">Existence </w:t>
            </w:r>
            <w:r w:rsidRPr="00127F5F">
              <w:t>mateřsk</w:t>
            </w:r>
            <w:r>
              <w:t>é školy</w:t>
            </w:r>
            <w:r w:rsidRPr="00127F5F">
              <w:t xml:space="preserve"> pro děti se speciálními vzdělávacími potřebami</w:t>
            </w:r>
            <w:r w:rsidR="001D0018">
              <w:t>.</w:t>
            </w:r>
            <w:r>
              <w:t xml:space="preserve"> </w:t>
            </w:r>
          </w:p>
          <w:p w14:paraId="7517B9C5" w14:textId="4CE7688F" w:rsidR="00E01070" w:rsidRDefault="00E01070" w:rsidP="00E01070">
            <w:pPr>
              <w:pStyle w:val="Odstavecseseznamem"/>
              <w:keepNext/>
              <w:numPr>
                <w:ilvl w:val="0"/>
                <w:numId w:val="12"/>
              </w:numPr>
              <w:suppressAutoHyphens/>
              <w:spacing w:before="0" w:after="160"/>
              <w:ind w:left="171" w:hanging="142"/>
              <w:jc w:val="left"/>
              <w:rPr>
                <w:szCs w:val="24"/>
              </w:rPr>
            </w:pPr>
            <w:r w:rsidRPr="0018322E">
              <w:rPr>
                <w:szCs w:val="24"/>
              </w:rPr>
              <w:t>Dostatečná kapacita sítě základních škol včetně školních družin a školního stravování</w:t>
            </w:r>
            <w:r w:rsidR="001D0018">
              <w:rPr>
                <w:szCs w:val="24"/>
              </w:rPr>
              <w:t>.</w:t>
            </w:r>
          </w:p>
          <w:p w14:paraId="2A3EB1A1" w14:textId="64A30FC9" w:rsidR="00E01070" w:rsidRPr="00577195" w:rsidRDefault="00E01070" w:rsidP="00E01070">
            <w:pPr>
              <w:pStyle w:val="Odstavecseseznamem"/>
              <w:keepNext/>
              <w:numPr>
                <w:ilvl w:val="0"/>
                <w:numId w:val="12"/>
              </w:numPr>
              <w:suppressAutoHyphens/>
              <w:spacing w:before="0" w:after="160"/>
              <w:ind w:left="171" w:hanging="142"/>
              <w:jc w:val="left"/>
              <w:rPr>
                <w:szCs w:val="24"/>
              </w:rPr>
            </w:pPr>
            <w:r>
              <w:t>Specificky zaměřené třídy některých škol (Ekoškola, Montessori, třída nadaných apod.)</w:t>
            </w:r>
            <w:r w:rsidR="001D0018">
              <w:t>.</w:t>
            </w:r>
          </w:p>
          <w:p w14:paraId="42313917" w14:textId="5EA18A0E" w:rsidR="00E01070" w:rsidRDefault="00E01070" w:rsidP="00E01070">
            <w:pPr>
              <w:pStyle w:val="Odstavecseseznamem"/>
              <w:keepNext/>
              <w:numPr>
                <w:ilvl w:val="0"/>
                <w:numId w:val="12"/>
              </w:numPr>
              <w:suppressAutoHyphens/>
              <w:spacing w:before="0" w:after="160"/>
              <w:ind w:left="171" w:hanging="142"/>
              <w:jc w:val="left"/>
              <w:rPr>
                <w:szCs w:val="24"/>
              </w:rPr>
            </w:pPr>
            <w:r>
              <w:t>Existence základních škol pro žáky s různými formami postižení</w:t>
            </w:r>
            <w:r w:rsidR="001D0018">
              <w:t>.</w:t>
            </w:r>
            <w:r>
              <w:rPr>
                <w:szCs w:val="24"/>
              </w:rPr>
              <w:t xml:space="preserve"> </w:t>
            </w:r>
          </w:p>
          <w:p w14:paraId="75680BC2" w14:textId="763A1479" w:rsidR="00E01070" w:rsidRPr="000C7893" w:rsidRDefault="00E01070" w:rsidP="00E01070">
            <w:pPr>
              <w:pStyle w:val="Odstavecseseznamem"/>
              <w:keepNext/>
              <w:numPr>
                <w:ilvl w:val="0"/>
                <w:numId w:val="12"/>
              </w:numPr>
              <w:suppressAutoHyphens/>
              <w:spacing w:before="0" w:after="160"/>
              <w:ind w:left="171" w:hanging="142"/>
              <w:jc w:val="left"/>
              <w:rPr>
                <w:szCs w:val="24"/>
              </w:rPr>
            </w:pPr>
            <w:r>
              <w:t>Poměrně bohatá a vysoce kvalitní nabídka základního uměleckého vzdělávání</w:t>
            </w:r>
            <w:r w:rsidR="001D0018">
              <w:t>.</w:t>
            </w:r>
          </w:p>
          <w:p w14:paraId="3397FA9A" w14:textId="2D305A8C" w:rsidR="00E01070" w:rsidRPr="000C7893" w:rsidRDefault="00E01070" w:rsidP="00E01070">
            <w:pPr>
              <w:pStyle w:val="Odstavecseseznamem"/>
              <w:keepNext/>
              <w:numPr>
                <w:ilvl w:val="0"/>
                <w:numId w:val="12"/>
              </w:numPr>
              <w:suppressAutoHyphens/>
              <w:spacing w:before="0" w:after="160"/>
              <w:ind w:left="171" w:hanging="142"/>
              <w:jc w:val="left"/>
              <w:rPr>
                <w:szCs w:val="24"/>
              </w:rPr>
            </w:pPr>
            <w:r>
              <w:rPr>
                <w:szCs w:val="24"/>
              </w:rPr>
              <w:t>Existence zařízení poskytující zájmové vzdělávání (</w:t>
            </w:r>
            <w:r w:rsidRPr="009018CB">
              <w:t>Dům dětí a mládeže ASTRA Zlín, příspěv</w:t>
            </w:r>
            <w:r>
              <w:t>ková organizace a další) a jejich spolupráce se základními školami</w:t>
            </w:r>
            <w:r w:rsidR="001D0018">
              <w:t>.</w:t>
            </w:r>
          </w:p>
          <w:p w14:paraId="6875B9CA" w14:textId="330E789D" w:rsidR="00E01070" w:rsidRPr="00362775" w:rsidRDefault="00E01070" w:rsidP="00E01070">
            <w:pPr>
              <w:pStyle w:val="Odstavecseseznamem"/>
              <w:keepNext/>
              <w:numPr>
                <w:ilvl w:val="0"/>
                <w:numId w:val="12"/>
              </w:numPr>
              <w:suppressAutoHyphens/>
              <w:spacing w:before="0" w:after="160"/>
              <w:ind w:left="171" w:hanging="142"/>
              <w:jc w:val="left"/>
              <w:rPr>
                <w:szCs w:val="24"/>
              </w:rPr>
            </w:pPr>
            <w:r w:rsidRPr="00362775">
              <w:rPr>
                <w:szCs w:val="24"/>
              </w:rPr>
              <w:t>Rehabilitační stacionář Nivy pro děti s denní i týdenní docházkou, s možností péče přes noc - pro Zlín a široké okolí</w:t>
            </w:r>
            <w:r w:rsidR="001D0018">
              <w:rPr>
                <w:szCs w:val="24"/>
              </w:rPr>
              <w:t>.</w:t>
            </w:r>
          </w:p>
          <w:p w14:paraId="07655E0B" w14:textId="4D35EB03" w:rsidR="00E01070" w:rsidRPr="00362775" w:rsidRDefault="00E01070" w:rsidP="00E01070">
            <w:pPr>
              <w:pStyle w:val="Odstavecseseznamem"/>
              <w:keepNext/>
              <w:numPr>
                <w:ilvl w:val="0"/>
                <w:numId w:val="12"/>
              </w:numPr>
              <w:suppressAutoHyphens/>
              <w:spacing w:before="0" w:after="160"/>
              <w:ind w:left="171" w:hanging="142"/>
              <w:jc w:val="left"/>
              <w:rPr>
                <w:szCs w:val="24"/>
              </w:rPr>
            </w:pPr>
            <w:r w:rsidRPr="00362775">
              <w:t>Zastoupení všech skupin oborů, které mají návaznost na regionální trh práce, na středních školách ve Zlínském kraji</w:t>
            </w:r>
            <w:r w:rsidR="001D0018">
              <w:t>.</w:t>
            </w:r>
            <w:r w:rsidRPr="00362775">
              <w:t xml:space="preserve"> </w:t>
            </w:r>
          </w:p>
          <w:p w14:paraId="56D56F70" w14:textId="2885B2F9" w:rsidR="00E01070" w:rsidRPr="00362775" w:rsidRDefault="00E01070" w:rsidP="00E01070">
            <w:pPr>
              <w:pStyle w:val="Odstavecseseznamem"/>
              <w:keepNext/>
              <w:numPr>
                <w:ilvl w:val="0"/>
                <w:numId w:val="12"/>
              </w:numPr>
              <w:suppressAutoHyphens/>
              <w:spacing w:before="0" w:after="160"/>
              <w:ind w:left="171" w:hanging="142"/>
              <w:jc w:val="left"/>
              <w:rPr>
                <w:szCs w:val="24"/>
              </w:rPr>
            </w:pPr>
            <w:r w:rsidRPr="00362775">
              <w:t>Úspěšná realizace projektů MAP, KAP</w:t>
            </w:r>
            <w:r w:rsidR="001D0018">
              <w:t>.</w:t>
            </w:r>
          </w:p>
          <w:p w14:paraId="5520F24E" w14:textId="2C2FCEFA" w:rsidR="00E01070" w:rsidRPr="00362775" w:rsidRDefault="00E01070" w:rsidP="00E01070">
            <w:pPr>
              <w:pStyle w:val="Odstavecseseznamem"/>
              <w:keepNext/>
              <w:numPr>
                <w:ilvl w:val="0"/>
                <w:numId w:val="12"/>
              </w:numPr>
              <w:suppressAutoHyphens/>
              <w:spacing w:before="0" w:after="160"/>
              <w:ind w:left="171" w:hanging="142"/>
              <w:jc w:val="left"/>
              <w:rPr>
                <w:szCs w:val="24"/>
              </w:rPr>
            </w:pPr>
            <w:r w:rsidRPr="00362775">
              <w:t>Působení Univerzity Tomáše Bati a jejích součástí ve městě</w:t>
            </w:r>
            <w:r w:rsidR="001D0018">
              <w:t>.</w:t>
            </w:r>
          </w:p>
          <w:p w14:paraId="6BFC7346" w14:textId="41242277" w:rsidR="00E01070" w:rsidRPr="00362775" w:rsidRDefault="00E01070" w:rsidP="00E01070">
            <w:pPr>
              <w:pStyle w:val="Odstavecseseznamem"/>
              <w:keepNext/>
              <w:numPr>
                <w:ilvl w:val="0"/>
                <w:numId w:val="12"/>
              </w:numPr>
              <w:suppressAutoHyphens/>
              <w:spacing w:before="0" w:after="160"/>
              <w:ind w:left="171" w:hanging="142"/>
              <w:jc w:val="left"/>
              <w:rPr>
                <w:szCs w:val="24"/>
              </w:rPr>
            </w:pPr>
            <w:r w:rsidRPr="00362775">
              <w:t>Rozšiřující se nabídka studijních programů na UTB</w:t>
            </w:r>
            <w:r w:rsidR="001D0018">
              <w:t>.</w:t>
            </w:r>
          </w:p>
          <w:p w14:paraId="4EDF3592" w14:textId="57BC3E26" w:rsidR="00E01070" w:rsidRPr="0019690C" w:rsidRDefault="00E01070" w:rsidP="00E01070">
            <w:pPr>
              <w:pStyle w:val="Odstavecseseznamem"/>
              <w:keepNext/>
              <w:numPr>
                <w:ilvl w:val="0"/>
                <w:numId w:val="12"/>
              </w:numPr>
              <w:suppressAutoHyphens/>
              <w:spacing w:before="0" w:after="160"/>
              <w:ind w:left="171" w:hanging="142"/>
              <w:jc w:val="left"/>
            </w:pPr>
            <w:r w:rsidRPr="00362775">
              <w:t>Existence silných výzkumných jednotek UTB v oblasti polymerního inženýrství, plastikářské nebo gumárenské chemie, automatizace</w:t>
            </w:r>
            <w:r w:rsidRPr="0019690C">
              <w:t xml:space="preserve"> a řízení technologických procesů, aplikované informatiky, bezpečnostních technologií a alternativních zdrojů energie, potravinář</w:t>
            </w:r>
            <w:r w:rsidR="001D0018">
              <w:t>ství nebo obouvání.</w:t>
            </w:r>
          </w:p>
          <w:p w14:paraId="641706AA" w14:textId="53E7AC93" w:rsidR="00E01070" w:rsidRDefault="00E01070" w:rsidP="00E01070">
            <w:pPr>
              <w:pStyle w:val="Odstavecseseznamem"/>
              <w:keepNext/>
              <w:numPr>
                <w:ilvl w:val="0"/>
                <w:numId w:val="12"/>
              </w:numPr>
              <w:suppressAutoHyphens/>
              <w:spacing w:before="0" w:after="160"/>
              <w:ind w:left="171" w:hanging="142"/>
              <w:jc w:val="left"/>
              <w:rPr>
                <w:szCs w:val="24"/>
              </w:rPr>
            </w:pPr>
            <w:r>
              <w:rPr>
                <w:szCs w:val="24"/>
              </w:rPr>
              <w:t>Spolupráce mezi středními školami a podniky v</w:t>
            </w:r>
            <w:r w:rsidR="001D0018">
              <w:rPr>
                <w:szCs w:val="24"/>
              </w:rPr>
              <w:t> </w:t>
            </w:r>
            <w:r>
              <w:rPr>
                <w:szCs w:val="24"/>
              </w:rPr>
              <w:t>regionu</w:t>
            </w:r>
            <w:r w:rsidR="001D0018">
              <w:rPr>
                <w:szCs w:val="24"/>
              </w:rPr>
              <w:t>.</w:t>
            </w:r>
          </w:p>
          <w:p w14:paraId="6267A5C9" w14:textId="79D46807" w:rsidR="00E01070" w:rsidRPr="00845003" w:rsidRDefault="00E01070" w:rsidP="00E01070">
            <w:pPr>
              <w:pStyle w:val="Odstavecseseznamem"/>
              <w:keepNext/>
              <w:numPr>
                <w:ilvl w:val="0"/>
                <w:numId w:val="12"/>
              </w:numPr>
              <w:suppressAutoHyphens/>
              <w:spacing w:before="0" w:after="160"/>
              <w:ind w:left="171" w:hanging="142"/>
              <w:jc w:val="left"/>
              <w:rPr>
                <w:szCs w:val="24"/>
              </w:rPr>
            </w:pPr>
            <w:r>
              <w:t>Existence informačních a vzdělávacích portálů v oblasti školství</w:t>
            </w:r>
            <w:r w:rsidR="001D0018">
              <w:t>.</w:t>
            </w:r>
          </w:p>
          <w:p w14:paraId="3D4FFDCA" w14:textId="64A7D292" w:rsidR="00E01070" w:rsidRPr="00BC1A35" w:rsidRDefault="00E01070" w:rsidP="00E01070">
            <w:pPr>
              <w:pStyle w:val="Odstavecseseznamem"/>
              <w:keepNext/>
              <w:numPr>
                <w:ilvl w:val="0"/>
                <w:numId w:val="12"/>
              </w:numPr>
              <w:suppressAutoHyphens/>
              <w:spacing w:before="0" w:after="160"/>
              <w:ind w:left="171" w:hanging="142"/>
              <w:jc w:val="left"/>
              <w:rPr>
                <w:szCs w:val="24"/>
              </w:rPr>
            </w:pPr>
            <w:r>
              <w:t>Existence Univerzity třetího věku na UTB</w:t>
            </w:r>
            <w:r w:rsidR="001D0018">
              <w:t>.</w:t>
            </w:r>
          </w:p>
        </w:tc>
        <w:tc>
          <w:tcPr>
            <w:tcW w:w="4529" w:type="dxa"/>
            <w:shd w:val="clear" w:color="auto" w:fill="EEF3F8"/>
          </w:tcPr>
          <w:p w14:paraId="40C80C31" w14:textId="77777777" w:rsidR="00E01070" w:rsidRPr="0045137D" w:rsidRDefault="00E01070" w:rsidP="00FB7BF4">
            <w:pPr>
              <w:keepNext/>
              <w:suppressAutoHyphens/>
              <w:spacing w:before="0"/>
              <w:ind w:left="175"/>
              <w:contextualSpacing/>
              <w:jc w:val="left"/>
              <w:rPr>
                <w:sz w:val="12"/>
                <w:szCs w:val="12"/>
              </w:rPr>
            </w:pPr>
          </w:p>
          <w:p w14:paraId="55889D86" w14:textId="154618F6" w:rsidR="00E01070" w:rsidRPr="00DB1CE5" w:rsidRDefault="00E01070" w:rsidP="00E01070">
            <w:pPr>
              <w:keepNext/>
              <w:numPr>
                <w:ilvl w:val="0"/>
                <w:numId w:val="12"/>
              </w:numPr>
              <w:suppressAutoHyphens/>
              <w:spacing w:before="0"/>
              <w:ind w:left="171" w:hanging="141"/>
              <w:contextualSpacing/>
              <w:jc w:val="left"/>
              <w:rPr>
                <w:szCs w:val="24"/>
              </w:rPr>
            </w:pPr>
            <w:r>
              <w:rPr>
                <w:szCs w:val="24"/>
              </w:rPr>
              <w:t xml:space="preserve">Zastaralé části některých škol a </w:t>
            </w:r>
            <w:r>
              <w:t>vybavenost odborných učeben</w:t>
            </w:r>
            <w:r w:rsidR="001D0018">
              <w:t>.</w:t>
            </w:r>
          </w:p>
          <w:p w14:paraId="751002D4" w14:textId="3D385AC0" w:rsidR="00E01070" w:rsidRDefault="00E01070" w:rsidP="00E01070">
            <w:pPr>
              <w:keepNext/>
              <w:numPr>
                <w:ilvl w:val="0"/>
                <w:numId w:val="12"/>
              </w:numPr>
              <w:suppressAutoHyphens/>
              <w:spacing w:before="0"/>
              <w:ind w:left="171" w:hanging="141"/>
              <w:contextualSpacing/>
              <w:jc w:val="left"/>
              <w:rPr>
                <w:szCs w:val="24"/>
              </w:rPr>
            </w:pPr>
            <w:r>
              <w:rPr>
                <w:szCs w:val="24"/>
              </w:rPr>
              <w:t>Nerealizované investiční požadavky některých škol</w:t>
            </w:r>
            <w:r w:rsidR="001D0018">
              <w:rPr>
                <w:szCs w:val="24"/>
              </w:rPr>
              <w:t>.</w:t>
            </w:r>
            <w:r>
              <w:rPr>
                <w:szCs w:val="24"/>
              </w:rPr>
              <w:t xml:space="preserve"> </w:t>
            </w:r>
          </w:p>
          <w:p w14:paraId="02498777" w14:textId="35FE593C" w:rsidR="00E01070" w:rsidRDefault="00E01070" w:rsidP="00E01070">
            <w:pPr>
              <w:keepNext/>
              <w:numPr>
                <w:ilvl w:val="0"/>
                <w:numId w:val="12"/>
              </w:numPr>
              <w:suppressAutoHyphens/>
              <w:spacing w:before="0"/>
              <w:ind w:left="171" w:hanging="141"/>
              <w:contextualSpacing/>
              <w:jc w:val="left"/>
              <w:rPr>
                <w:szCs w:val="24"/>
              </w:rPr>
            </w:pPr>
            <w:r w:rsidRPr="00985455">
              <w:t>Překračující finanční možnosti zřizovatele na provozní výdaje základních škol</w:t>
            </w:r>
            <w:r w:rsidR="001D0018">
              <w:t>.</w:t>
            </w:r>
          </w:p>
          <w:p w14:paraId="59DE8ADD" w14:textId="79B21255" w:rsidR="00E01070" w:rsidRDefault="00E01070" w:rsidP="00E01070">
            <w:pPr>
              <w:keepNext/>
              <w:numPr>
                <w:ilvl w:val="0"/>
                <w:numId w:val="12"/>
              </w:numPr>
              <w:suppressAutoHyphens/>
              <w:spacing w:before="0"/>
              <w:ind w:left="171" w:hanging="141"/>
              <w:contextualSpacing/>
              <w:jc w:val="left"/>
              <w:rPr>
                <w:szCs w:val="24"/>
              </w:rPr>
            </w:pPr>
            <w:r w:rsidRPr="00914918">
              <w:rPr>
                <w:szCs w:val="24"/>
              </w:rPr>
              <w:t>Nedostatečná prezentace úspěchů vzdělávacího a</w:t>
            </w:r>
            <w:r>
              <w:rPr>
                <w:szCs w:val="24"/>
              </w:rPr>
              <w:t> </w:t>
            </w:r>
            <w:r w:rsidRPr="00914918">
              <w:rPr>
                <w:szCs w:val="24"/>
              </w:rPr>
              <w:t>výchovného systému</w:t>
            </w:r>
            <w:r w:rsidR="001D0018">
              <w:rPr>
                <w:szCs w:val="24"/>
              </w:rPr>
              <w:t>.</w:t>
            </w:r>
            <w:r w:rsidRPr="00914918">
              <w:rPr>
                <w:szCs w:val="24"/>
              </w:rPr>
              <w:t xml:space="preserve"> </w:t>
            </w:r>
          </w:p>
          <w:p w14:paraId="498227B0" w14:textId="3F764848" w:rsidR="00E01070" w:rsidRDefault="00E01070" w:rsidP="00E01070">
            <w:pPr>
              <w:keepNext/>
              <w:numPr>
                <w:ilvl w:val="0"/>
                <w:numId w:val="12"/>
              </w:numPr>
              <w:suppressAutoHyphens/>
              <w:spacing w:before="0"/>
              <w:ind w:left="171" w:hanging="141"/>
              <w:contextualSpacing/>
              <w:jc w:val="left"/>
              <w:rPr>
                <w:szCs w:val="24"/>
              </w:rPr>
            </w:pPr>
            <w:r>
              <w:rPr>
                <w:szCs w:val="24"/>
              </w:rPr>
              <w:t>Nedostatečná atraktivita Zlína pro studenty z ČR i ze zahraničí</w:t>
            </w:r>
            <w:r w:rsidR="001D0018">
              <w:rPr>
                <w:szCs w:val="24"/>
              </w:rPr>
              <w:t>.</w:t>
            </w:r>
          </w:p>
          <w:p w14:paraId="21396EE5" w14:textId="77777777" w:rsidR="00E01070" w:rsidRDefault="00E01070" w:rsidP="00FB7BF4">
            <w:pPr>
              <w:keepNext/>
              <w:suppressAutoHyphens/>
              <w:spacing w:before="0"/>
              <w:ind w:left="30"/>
              <w:contextualSpacing/>
              <w:jc w:val="left"/>
              <w:rPr>
                <w:szCs w:val="24"/>
              </w:rPr>
            </w:pPr>
          </w:p>
          <w:p w14:paraId="33600682" w14:textId="77777777" w:rsidR="00E01070" w:rsidRPr="00914918" w:rsidRDefault="00E01070" w:rsidP="00FB7BF4">
            <w:pPr>
              <w:keepNext/>
              <w:suppressAutoHyphens/>
              <w:spacing w:before="0"/>
              <w:ind w:left="171"/>
              <w:contextualSpacing/>
              <w:jc w:val="left"/>
              <w:rPr>
                <w:szCs w:val="24"/>
              </w:rPr>
            </w:pPr>
          </w:p>
          <w:p w14:paraId="05E66F5D" w14:textId="77777777" w:rsidR="00E01070" w:rsidRPr="00E2660B" w:rsidRDefault="00E01070" w:rsidP="00FB7BF4">
            <w:pPr>
              <w:keepNext/>
              <w:suppressAutoHyphens/>
              <w:spacing w:before="0"/>
              <w:contextualSpacing/>
              <w:jc w:val="left"/>
              <w:rPr>
                <w:szCs w:val="24"/>
              </w:rPr>
            </w:pPr>
          </w:p>
        </w:tc>
      </w:tr>
    </w:tbl>
    <w:p w14:paraId="7AED38F9" w14:textId="77777777" w:rsidR="00E01070" w:rsidRDefault="00E01070" w:rsidP="00E01070"/>
    <w:tbl>
      <w:tblPr>
        <w:tblStyle w:val="Mkatabulky1"/>
        <w:tblW w:w="0" w:type="auto"/>
        <w:tblLook w:val="04A0" w:firstRow="1" w:lastRow="0" w:firstColumn="1" w:lastColumn="0" w:noHBand="0" w:noVBand="1"/>
      </w:tblPr>
      <w:tblGrid>
        <w:gridCol w:w="4535"/>
        <w:gridCol w:w="4527"/>
      </w:tblGrid>
      <w:tr w:rsidR="00E01070" w:rsidRPr="00BC1A35" w14:paraId="7E12BF13" w14:textId="77777777" w:rsidTr="00FB7BF4">
        <w:trPr>
          <w:cantSplit/>
          <w:tblHeader/>
        </w:trPr>
        <w:tc>
          <w:tcPr>
            <w:tcW w:w="4535" w:type="dxa"/>
            <w:shd w:val="clear" w:color="auto" w:fill="F79646"/>
          </w:tcPr>
          <w:p w14:paraId="79AFADC0" w14:textId="77777777" w:rsidR="00E01070" w:rsidRPr="00BC1A35" w:rsidRDefault="00E01070" w:rsidP="00FB7BF4">
            <w:pPr>
              <w:spacing w:before="0"/>
              <w:jc w:val="center"/>
              <w:rPr>
                <w:b/>
                <w:szCs w:val="24"/>
              </w:rPr>
            </w:pPr>
            <w:r w:rsidRPr="00BC1A35">
              <w:rPr>
                <w:b/>
                <w:szCs w:val="24"/>
              </w:rPr>
              <w:t>PŘÍLEŽITOSTI</w:t>
            </w:r>
          </w:p>
        </w:tc>
        <w:tc>
          <w:tcPr>
            <w:tcW w:w="4528" w:type="dxa"/>
            <w:shd w:val="clear" w:color="auto" w:fill="B2A1C7"/>
          </w:tcPr>
          <w:p w14:paraId="63A9A458" w14:textId="77777777" w:rsidR="00E01070" w:rsidRPr="00BC1A35" w:rsidRDefault="00E01070" w:rsidP="00FB7BF4">
            <w:pPr>
              <w:spacing w:before="0"/>
              <w:jc w:val="center"/>
              <w:rPr>
                <w:b/>
                <w:szCs w:val="24"/>
              </w:rPr>
            </w:pPr>
            <w:r w:rsidRPr="00BC1A35">
              <w:rPr>
                <w:b/>
                <w:szCs w:val="24"/>
              </w:rPr>
              <w:t>HROZBY</w:t>
            </w:r>
          </w:p>
        </w:tc>
      </w:tr>
      <w:tr w:rsidR="00E01070" w:rsidRPr="00BC1A35" w14:paraId="29B247D0" w14:textId="77777777" w:rsidTr="00FB7BF4">
        <w:trPr>
          <w:cantSplit/>
          <w:trHeight w:val="4484"/>
        </w:trPr>
        <w:tc>
          <w:tcPr>
            <w:tcW w:w="4535" w:type="dxa"/>
            <w:shd w:val="clear" w:color="auto" w:fill="FEF7CE"/>
          </w:tcPr>
          <w:p w14:paraId="30392674" w14:textId="77777777" w:rsidR="00E01070" w:rsidRDefault="00E01070" w:rsidP="00FB7BF4">
            <w:pPr>
              <w:suppressAutoHyphens/>
              <w:spacing w:before="0"/>
              <w:ind w:left="171"/>
              <w:contextualSpacing/>
              <w:jc w:val="left"/>
              <w:rPr>
                <w:szCs w:val="24"/>
                <w:highlight w:val="yellow"/>
              </w:rPr>
            </w:pPr>
          </w:p>
          <w:p w14:paraId="1B84EF02" w14:textId="52415B7C" w:rsidR="00E01070" w:rsidRPr="0024210E" w:rsidRDefault="00E01070" w:rsidP="00E01070">
            <w:pPr>
              <w:numPr>
                <w:ilvl w:val="0"/>
                <w:numId w:val="12"/>
              </w:numPr>
              <w:suppressAutoHyphens/>
              <w:spacing w:before="0"/>
              <w:ind w:left="171" w:hanging="141"/>
              <w:contextualSpacing/>
              <w:jc w:val="left"/>
              <w:rPr>
                <w:szCs w:val="24"/>
              </w:rPr>
            </w:pPr>
            <w:r>
              <w:t>Spolupráce aktérů v oblasti vzdělávání na strategických projektech</w:t>
            </w:r>
            <w:r w:rsidR="001D0018">
              <w:t>.</w:t>
            </w:r>
          </w:p>
          <w:p w14:paraId="55D1E269" w14:textId="305F7426" w:rsidR="00E01070" w:rsidRDefault="00E01070" w:rsidP="00E01070">
            <w:pPr>
              <w:numPr>
                <w:ilvl w:val="0"/>
                <w:numId w:val="12"/>
              </w:numPr>
              <w:suppressAutoHyphens/>
              <w:spacing w:before="0"/>
              <w:ind w:left="171" w:hanging="141"/>
              <w:contextualSpacing/>
              <w:jc w:val="left"/>
              <w:rPr>
                <w:szCs w:val="24"/>
              </w:rPr>
            </w:pPr>
            <w:r w:rsidRPr="00985455">
              <w:rPr>
                <w:szCs w:val="24"/>
              </w:rPr>
              <w:t>Zvyšování kvality vzdělávání na všech stupních</w:t>
            </w:r>
            <w:r w:rsidR="001D0018">
              <w:rPr>
                <w:szCs w:val="24"/>
              </w:rPr>
              <w:t>.</w:t>
            </w:r>
          </w:p>
          <w:p w14:paraId="6FE7C94F" w14:textId="58F78FF3" w:rsidR="00E01070" w:rsidRPr="00F01577" w:rsidRDefault="00E01070" w:rsidP="00E01070">
            <w:pPr>
              <w:numPr>
                <w:ilvl w:val="0"/>
                <w:numId w:val="12"/>
              </w:numPr>
              <w:suppressAutoHyphens/>
              <w:spacing w:before="0"/>
              <w:ind w:left="171" w:hanging="141"/>
              <w:contextualSpacing/>
              <w:jc w:val="left"/>
              <w:rPr>
                <w:szCs w:val="24"/>
              </w:rPr>
            </w:pPr>
            <w:r w:rsidRPr="00985455">
              <w:t>Modernizace vybavení škol</w:t>
            </w:r>
            <w:r w:rsidR="001D0018">
              <w:t>.</w:t>
            </w:r>
          </w:p>
          <w:p w14:paraId="2A22BC82" w14:textId="2C5A3552" w:rsidR="00E01070" w:rsidRPr="00985455" w:rsidRDefault="00E01070" w:rsidP="00E01070">
            <w:pPr>
              <w:numPr>
                <w:ilvl w:val="0"/>
                <w:numId w:val="12"/>
              </w:numPr>
              <w:suppressAutoHyphens/>
              <w:spacing w:before="0"/>
              <w:ind w:left="171" w:hanging="141"/>
              <w:contextualSpacing/>
              <w:jc w:val="left"/>
              <w:rPr>
                <w:szCs w:val="24"/>
              </w:rPr>
            </w:pPr>
            <w:r w:rsidRPr="00985455">
              <w:rPr>
                <w:szCs w:val="24"/>
              </w:rPr>
              <w:t>Zlepšování podmínek pro výuku mimořádně nadaných žáků na školách</w:t>
            </w:r>
            <w:r w:rsidR="001D0018">
              <w:rPr>
                <w:szCs w:val="24"/>
              </w:rPr>
              <w:t>.</w:t>
            </w:r>
          </w:p>
          <w:p w14:paraId="11A694C8" w14:textId="1BBC4EAD" w:rsidR="00E01070" w:rsidRPr="00985455" w:rsidRDefault="00E01070" w:rsidP="00E01070">
            <w:pPr>
              <w:numPr>
                <w:ilvl w:val="0"/>
                <w:numId w:val="12"/>
              </w:numPr>
              <w:suppressAutoHyphens/>
              <w:spacing w:before="0"/>
              <w:ind w:left="171" w:hanging="141"/>
              <w:contextualSpacing/>
              <w:jc w:val="left"/>
              <w:rPr>
                <w:szCs w:val="24"/>
              </w:rPr>
            </w:pPr>
            <w:r>
              <w:rPr>
                <w:szCs w:val="24"/>
              </w:rPr>
              <w:t>Optimalizace</w:t>
            </w:r>
            <w:r w:rsidRPr="00985455">
              <w:rPr>
                <w:szCs w:val="24"/>
              </w:rPr>
              <w:t xml:space="preserve"> počtu žáků ve třídách </w:t>
            </w:r>
            <w:r>
              <w:rPr>
                <w:szCs w:val="24"/>
              </w:rPr>
              <w:t>i ve skupinách</w:t>
            </w:r>
            <w:r w:rsidR="001D0018">
              <w:rPr>
                <w:szCs w:val="24"/>
              </w:rPr>
              <w:t>.</w:t>
            </w:r>
          </w:p>
          <w:p w14:paraId="3EA6700F" w14:textId="22230C0E" w:rsidR="00E01070" w:rsidRPr="00985455" w:rsidRDefault="00E01070" w:rsidP="00E01070">
            <w:pPr>
              <w:numPr>
                <w:ilvl w:val="0"/>
                <w:numId w:val="12"/>
              </w:numPr>
              <w:suppressAutoHyphens/>
              <w:spacing w:before="0"/>
              <w:ind w:left="171" w:hanging="141"/>
              <w:contextualSpacing/>
              <w:jc w:val="left"/>
              <w:rPr>
                <w:szCs w:val="24"/>
              </w:rPr>
            </w:pPr>
            <w:r w:rsidRPr="00985455">
              <w:rPr>
                <w:szCs w:val="24"/>
              </w:rPr>
              <w:t>Podpora řemeslných oborů na školách</w:t>
            </w:r>
            <w:r w:rsidR="001D0018">
              <w:rPr>
                <w:szCs w:val="24"/>
              </w:rPr>
              <w:t>.</w:t>
            </w:r>
          </w:p>
          <w:p w14:paraId="1225BA28" w14:textId="7828BE05" w:rsidR="00E01070" w:rsidRDefault="00E01070" w:rsidP="00E01070">
            <w:pPr>
              <w:numPr>
                <w:ilvl w:val="0"/>
                <w:numId w:val="12"/>
              </w:numPr>
              <w:suppressAutoHyphens/>
              <w:spacing w:before="0"/>
              <w:ind w:left="171" w:hanging="141"/>
              <w:contextualSpacing/>
              <w:jc w:val="left"/>
              <w:rPr>
                <w:szCs w:val="24"/>
              </w:rPr>
            </w:pPr>
            <w:r w:rsidRPr="00985455">
              <w:rPr>
                <w:szCs w:val="24"/>
              </w:rPr>
              <w:t>Podpora praxí studentů v</w:t>
            </w:r>
            <w:r w:rsidR="001D0018">
              <w:rPr>
                <w:szCs w:val="24"/>
              </w:rPr>
              <w:t> </w:t>
            </w:r>
            <w:r w:rsidRPr="00985455">
              <w:rPr>
                <w:szCs w:val="24"/>
              </w:rPr>
              <w:t>podnicích</w:t>
            </w:r>
            <w:r w:rsidR="001D0018">
              <w:rPr>
                <w:szCs w:val="24"/>
              </w:rPr>
              <w:t>.</w:t>
            </w:r>
          </w:p>
          <w:p w14:paraId="4C6347AE" w14:textId="4E0EC678" w:rsidR="00E01070" w:rsidRPr="00985455" w:rsidRDefault="00E01070" w:rsidP="00E01070">
            <w:pPr>
              <w:numPr>
                <w:ilvl w:val="0"/>
                <w:numId w:val="12"/>
              </w:numPr>
              <w:suppressAutoHyphens/>
              <w:spacing w:before="0"/>
              <w:ind w:left="171" w:hanging="141"/>
              <w:contextualSpacing/>
              <w:jc w:val="left"/>
              <w:rPr>
                <w:szCs w:val="24"/>
              </w:rPr>
            </w:pPr>
            <w:r w:rsidRPr="00F16D9A">
              <w:t>Zvýšení úrovně přípravy budoucích pedagogů</w:t>
            </w:r>
            <w:r w:rsidR="001D0018">
              <w:t>.</w:t>
            </w:r>
          </w:p>
          <w:p w14:paraId="17C1AC10" w14:textId="5B5A4CCE" w:rsidR="00E01070" w:rsidRPr="00772ED9" w:rsidRDefault="00E01070" w:rsidP="00E01070">
            <w:pPr>
              <w:numPr>
                <w:ilvl w:val="0"/>
                <w:numId w:val="12"/>
              </w:numPr>
              <w:suppressAutoHyphens/>
              <w:spacing w:before="0"/>
              <w:ind w:left="171" w:hanging="141"/>
              <w:contextualSpacing/>
              <w:jc w:val="left"/>
              <w:rPr>
                <w:szCs w:val="24"/>
              </w:rPr>
            </w:pPr>
            <w:r>
              <w:rPr>
                <w:szCs w:val="24"/>
              </w:rPr>
              <w:t>Udržení t</w:t>
            </w:r>
            <w:r w:rsidRPr="00772ED9">
              <w:rPr>
                <w:szCs w:val="24"/>
              </w:rPr>
              <w:t>radice technického vzdělávání v</w:t>
            </w:r>
            <w:r w:rsidR="001D0018">
              <w:rPr>
                <w:szCs w:val="24"/>
              </w:rPr>
              <w:t> </w:t>
            </w:r>
            <w:r w:rsidRPr="00772ED9">
              <w:rPr>
                <w:szCs w:val="24"/>
              </w:rPr>
              <w:t>regionu</w:t>
            </w:r>
            <w:r w:rsidR="001D0018">
              <w:rPr>
                <w:szCs w:val="24"/>
              </w:rPr>
              <w:t>.</w:t>
            </w:r>
          </w:p>
          <w:p w14:paraId="7BF2B115" w14:textId="32415846" w:rsidR="00E01070" w:rsidRDefault="00E01070" w:rsidP="00E01070">
            <w:pPr>
              <w:pStyle w:val="Odstavecseseznamem"/>
              <w:numPr>
                <w:ilvl w:val="0"/>
                <w:numId w:val="12"/>
              </w:numPr>
              <w:suppressAutoHyphens/>
              <w:spacing w:before="0" w:after="160"/>
              <w:ind w:left="171" w:hanging="142"/>
              <w:jc w:val="left"/>
              <w:rPr>
                <w:szCs w:val="24"/>
              </w:rPr>
            </w:pPr>
            <w:r>
              <w:rPr>
                <w:szCs w:val="24"/>
              </w:rPr>
              <w:t>Vycházet ze vzdělávacího systému fy Baťa včetně podpory experimentálního vzdělávání</w:t>
            </w:r>
            <w:r w:rsidR="001D0018">
              <w:rPr>
                <w:szCs w:val="24"/>
              </w:rPr>
              <w:t>.</w:t>
            </w:r>
          </w:p>
          <w:p w14:paraId="28807994" w14:textId="0FE43C51" w:rsidR="00E01070" w:rsidRPr="00772A8C" w:rsidRDefault="00E01070" w:rsidP="00E01070">
            <w:pPr>
              <w:pStyle w:val="Odstavecseseznamem"/>
              <w:numPr>
                <w:ilvl w:val="0"/>
                <w:numId w:val="12"/>
              </w:numPr>
              <w:suppressAutoHyphens/>
              <w:spacing w:before="0" w:after="160"/>
              <w:ind w:left="171" w:hanging="142"/>
              <w:jc w:val="left"/>
              <w:rPr>
                <w:szCs w:val="24"/>
              </w:rPr>
            </w:pPr>
            <w:r>
              <w:t>Rozvoj on-line výuky na školách</w:t>
            </w:r>
            <w:r w:rsidR="001D0018">
              <w:t>.</w:t>
            </w:r>
          </w:p>
          <w:p w14:paraId="63C4DB7C" w14:textId="7C635D05" w:rsidR="00E01070" w:rsidRPr="006457F2" w:rsidRDefault="0023746C" w:rsidP="00E01070">
            <w:pPr>
              <w:pStyle w:val="Odstavecseseznamem"/>
              <w:numPr>
                <w:ilvl w:val="0"/>
                <w:numId w:val="12"/>
              </w:numPr>
              <w:suppressAutoHyphens/>
              <w:spacing w:before="0" w:after="160"/>
              <w:ind w:left="171" w:hanging="142"/>
              <w:jc w:val="left"/>
              <w:rPr>
                <w:szCs w:val="24"/>
              </w:rPr>
            </w:pPr>
            <w:r w:rsidRPr="0023746C">
              <w:t>Rozvoj oborů směřujících do tradičních i moderních odvětví s vysokou přidanou hodnotou</w:t>
            </w:r>
            <w:r w:rsidR="001D0018">
              <w:t>.</w:t>
            </w:r>
          </w:p>
          <w:p w14:paraId="12251125" w14:textId="608114B6" w:rsidR="00E01070" w:rsidRPr="00845003" w:rsidRDefault="00E01070" w:rsidP="00E01070">
            <w:pPr>
              <w:pStyle w:val="Odstavecseseznamem"/>
              <w:numPr>
                <w:ilvl w:val="0"/>
                <w:numId w:val="12"/>
              </w:numPr>
              <w:suppressAutoHyphens/>
              <w:spacing w:before="0" w:after="160"/>
              <w:ind w:left="171" w:hanging="142"/>
              <w:jc w:val="left"/>
              <w:rPr>
                <w:szCs w:val="24"/>
              </w:rPr>
            </w:pPr>
            <w:r>
              <w:t xml:space="preserve">Pokračování v realizaci projektu MAP, </w:t>
            </w:r>
            <w:r w:rsidRPr="00845003">
              <w:t>KAP</w:t>
            </w:r>
            <w:r w:rsidR="001D0018">
              <w:t>.</w:t>
            </w:r>
          </w:p>
          <w:p w14:paraId="330F7DE7" w14:textId="77228902" w:rsidR="00E01070" w:rsidRPr="00845003" w:rsidRDefault="00E01070" w:rsidP="00E01070">
            <w:pPr>
              <w:pStyle w:val="Odstavecseseznamem"/>
              <w:numPr>
                <w:ilvl w:val="0"/>
                <w:numId w:val="12"/>
              </w:numPr>
              <w:suppressAutoHyphens/>
              <w:spacing w:before="0" w:after="160"/>
              <w:ind w:left="171" w:hanging="142"/>
              <w:jc w:val="left"/>
              <w:rPr>
                <w:szCs w:val="24"/>
              </w:rPr>
            </w:pPr>
            <w:r>
              <w:t xml:space="preserve">Založení Centra podpory </w:t>
            </w:r>
            <w:r w:rsidR="001468D7">
              <w:t>vzdělávání</w:t>
            </w:r>
            <w:r>
              <w:t xml:space="preserve"> na Fakultě humanitních studií</w:t>
            </w:r>
            <w:r w:rsidR="001D0018">
              <w:t>.</w:t>
            </w:r>
          </w:p>
          <w:p w14:paraId="745DC900" w14:textId="6BC8F0AC" w:rsidR="00E01070" w:rsidRPr="00845003" w:rsidRDefault="00E01070" w:rsidP="00E01070">
            <w:pPr>
              <w:pStyle w:val="Odstavecseseznamem"/>
              <w:numPr>
                <w:ilvl w:val="0"/>
                <w:numId w:val="12"/>
              </w:numPr>
              <w:suppressAutoHyphens/>
              <w:spacing w:before="0" w:after="160"/>
              <w:ind w:left="171" w:hanging="142"/>
              <w:jc w:val="left"/>
              <w:rPr>
                <w:szCs w:val="24"/>
              </w:rPr>
            </w:pPr>
            <w:r>
              <w:t>Strategie celoživotního vzdělávání na UTB s dopadem na celé území kraje</w:t>
            </w:r>
            <w:r w:rsidR="001D0018">
              <w:t>.</w:t>
            </w:r>
          </w:p>
          <w:p w14:paraId="4CF50D25" w14:textId="77777777" w:rsidR="00E01070" w:rsidRPr="00845003" w:rsidRDefault="00E01070" w:rsidP="00FB7BF4">
            <w:pPr>
              <w:suppressAutoHyphens/>
              <w:spacing w:before="0" w:after="160"/>
              <w:jc w:val="left"/>
              <w:rPr>
                <w:szCs w:val="24"/>
              </w:rPr>
            </w:pPr>
          </w:p>
        </w:tc>
        <w:tc>
          <w:tcPr>
            <w:tcW w:w="4528" w:type="dxa"/>
            <w:shd w:val="clear" w:color="auto" w:fill="E5DFEC"/>
          </w:tcPr>
          <w:p w14:paraId="70061FED" w14:textId="77777777" w:rsidR="00E01070" w:rsidRPr="007C6AE7" w:rsidRDefault="00E01070" w:rsidP="00FB7BF4">
            <w:pPr>
              <w:suppressAutoHyphens/>
              <w:spacing w:before="0"/>
              <w:ind w:left="173"/>
              <w:contextualSpacing/>
              <w:jc w:val="left"/>
              <w:rPr>
                <w:szCs w:val="24"/>
              </w:rPr>
            </w:pPr>
          </w:p>
          <w:p w14:paraId="3603BEFC" w14:textId="16C5E48F" w:rsidR="00E01070" w:rsidRPr="00914918" w:rsidRDefault="00E01070" w:rsidP="00E01070">
            <w:pPr>
              <w:numPr>
                <w:ilvl w:val="0"/>
                <w:numId w:val="13"/>
              </w:numPr>
              <w:suppressAutoHyphens/>
              <w:spacing w:before="0"/>
              <w:ind w:left="172" w:hanging="172"/>
              <w:contextualSpacing/>
              <w:jc w:val="left"/>
              <w:rPr>
                <w:szCs w:val="24"/>
              </w:rPr>
            </w:pPr>
            <w:r>
              <w:t>Nedostatek pedagogických pracovníků s potřebnou aprobací a nepedagogických pracovníků</w:t>
            </w:r>
            <w:r w:rsidR="001D0018">
              <w:t>.</w:t>
            </w:r>
          </w:p>
          <w:p w14:paraId="48C29500" w14:textId="40DDEEFB" w:rsidR="00E01070" w:rsidRPr="00B95064" w:rsidRDefault="00E01070" w:rsidP="00E01070">
            <w:pPr>
              <w:numPr>
                <w:ilvl w:val="0"/>
                <w:numId w:val="13"/>
              </w:numPr>
              <w:suppressAutoHyphens/>
              <w:spacing w:before="0"/>
              <w:ind w:left="172" w:hanging="172"/>
              <w:contextualSpacing/>
              <w:jc w:val="left"/>
              <w:rPr>
                <w:szCs w:val="24"/>
              </w:rPr>
            </w:pPr>
            <w:r w:rsidRPr="00B95064">
              <w:t>Nepříznivý demografický vývoj</w:t>
            </w:r>
            <w:r w:rsidR="001D0018">
              <w:t>.</w:t>
            </w:r>
            <w:r w:rsidRPr="00B95064">
              <w:t xml:space="preserve"> </w:t>
            </w:r>
          </w:p>
          <w:p w14:paraId="6BDAF777" w14:textId="1D25F365" w:rsidR="00E01070" w:rsidRPr="00C6673D" w:rsidRDefault="00E01070" w:rsidP="00E01070">
            <w:pPr>
              <w:numPr>
                <w:ilvl w:val="0"/>
                <w:numId w:val="13"/>
              </w:numPr>
              <w:suppressAutoHyphens/>
              <w:spacing w:before="0"/>
              <w:ind w:left="173" w:hanging="173"/>
              <w:contextualSpacing/>
              <w:jc w:val="left"/>
              <w:rPr>
                <w:szCs w:val="24"/>
              </w:rPr>
            </w:pPr>
            <w:r>
              <w:t>Úbytek dětí v soukromých zařízeních a s tím spojena vyšší poptávka po mateřských školách zřizovaných statutárním městem Zlín</w:t>
            </w:r>
            <w:r w:rsidR="001D0018">
              <w:t>.</w:t>
            </w:r>
          </w:p>
          <w:p w14:paraId="4A548199" w14:textId="53F725DC" w:rsidR="00E01070" w:rsidRPr="00A13A9A" w:rsidRDefault="00E01070" w:rsidP="00E01070">
            <w:pPr>
              <w:numPr>
                <w:ilvl w:val="0"/>
                <w:numId w:val="13"/>
              </w:numPr>
              <w:suppressAutoHyphens/>
              <w:spacing w:before="0"/>
              <w:ind w:left="173" w:hanging="173"/>
              <w:contextualSpacing/>
              <w:jc w:val="left"/>
              <w:rPr>
                <w:szCs w:val="24"/>
              </w:rPr>
            </w:pPr>
            <w:r>
              <w:t>Možný nesoulad kapacity mateřských a základních škol s územním rozložením poptávky</w:t>
            </w:r>
            <w:r w:rsidR="001D0018">
              <w:t>.</w:t>
            </w:r>
          </w:p>
          <w:p w14:paraId="26FC9DAE" w14:textId="4B743D4A" w:rsidR="00E01070" w:rsidRPr="00C02868" w:rsidRDefault="00E01070" w:rsidP="00E01070">
            <w:pPr>
              <w:numPr>
                <w:ilvl w:val="0"/>
                <w:numId w:val="13"/>
              </w:numPr>
              <w:suppressAutoHyphens/>
              <w:spacing w:before="0"/>
              <w:ind w:left="173" w:hanging="173"/>
              <w:contextualSpacing/>
              <w:jc w:val="left"/>
              <w:rPr>
                <w:szCs w:val="24"/>
              </w:rPr>
            </w:pPr>
            <w:r>
              <w:t>Změna legislativy (požadavky na přijímání dětí do MŠ, změny hygienických předpisů apod.)</w:t>
            </w:r>
            <w:r w:rsidR="001D0018">
              <w:t>.</w:t>
            </w:r>
          </w:p>
          <w:p w14:paraId="4439E08C" w14:textId="45602DF4" w:rsidR="00E01070" w:rsidRPr="00CD7CCB" w:rsidRDefault="00E01070" w:rsidP="00E01070">
            <w:pPr>
              <w:numPr>
                <w:ilvl w:val="0"/>
                <w:numId w:val="13"/>
              </w:numPr>
              <w:suppressAutoHyphens/>
              <w:spacing w:before="0"/>
              <w:ind w:left="173" w:hanging="173"/>
              <w:contextualSpacing/>
              <w:jc w:val="left"/>
              <w:rPr>
                <w:szCs w:val="24"/>
              </w:rPr>
            </w:pPr>
            <w:r>
              <w:t>Snížení rozpočtu škol v následujících letech vlivem dopadů epidemie koronaviru</w:t>
            </w:r>
            <w:r w:rsidR="001D0018">
              <w:t>.</w:t>
            </w:r>
          </w:p>
          <w:p w14:paraId="7B682782" w14:textId="15CFBCF7" w:rsidR="00E01070" w:rsidRPr="00CD7CCB" w:rsidRDefault="00E01070" w:rsidP="00E01070">
            <w:pPr>
              <w:numPr>
                <w:ilvl w:val="0"/>
                <w:numId w:val="13"/>
              </w:numPr>
              <w:suppressAutoHyphens/>
              <w:spacing w:before="0"/>
              <w:ind w:left="173" w:hanging="173"/>
              <w:contextualSpacing/>
              <w:jc w:val="left"/>
              <w:rPr>
                <w:szCs w:val="24"/>
              </w:rPr>
            </w:pPr>
            <w:r>
              <w:t>Nenaplnění potenciálů Univerzity Tomáše Bati v oblasti rozvoje s dopadem na město Zlín</w:t>
            </w:r>
            <w:r w:rsidR="001D0018">
              <w:t>.</w:t>
            </w:r>
          </w:p>
          <w:p w14:paraId="65C09F75" w14:textId="5D91029B" w:rsidR="00E01070" w:rsidRPr="00BC1A35" w:rsidRDefault="00E01070" w:rsidP="00E01070">
            <w:pPr>
              <w:numPr>
                <w:ilvl w:val="0"/>
                <w:numId w:val="13"/>
              </w:numPr>
              <w:suppressAutoHyphens/>
              <w:spacing w:before="0"/>
              <w:ind w:left="173" w:hanging="173"/>
              <w:contextualSpacing/>
              <w:jc w:val="left"/>
              <w:rPr>
                <w:szCs w:val="24"/>
              </w:rPr>
            </w:pPr>
            <w:r>
              <w:t>Pokles zájmu žáků a studentů o polytechnické a technické vzdělávání</w:t>
            </w:r>
            <w:r w:rsidR="001D0018">
              <w:t>.</w:t>
            </w:r>
          </w:p>
        </w:tc>
      </w:tr>
    </w:tbl>
    <w:p w14:paraId="3779B727" w14:textId="77777777" w:rsidR="00E01070" w:rsidRPr="00EF4C6A" w:rsidRDefault="00E01070" w:rsidP="00E01070"/>
    <w:p w14:paraId="53741CAC" w14:textId="77777777" w:rsidR="00E01070" w:rsidRDefault="00E01070" w:rsidP="00E01070">
      <w:pPr>
        <w:spacing w:before="0" w:after="160" w:line="259" w:lineRule="auto"/>
        <w:jc w:val="left"/>
      </w:pPr>
      <w:r>
        <w:br w:type="page"/>
      </w:r>
    </w:p>
    <w:p w14:paraId="287CD398" w14:textId="77777777" w:rsidR="00E01070" w:rsidRPr="00EF4C6A" w:rsidRDefault="00E01070" w:rsidP="00E01070">
      <w:pPr>
        <w:pStyle w:val="Nadpis3"/>
        <w:ind w:left="720"/>
      </w:pPr>
      <w:bookmarkStart w:id="1167" w:name="_Toc53474276"/>
      <w:bookmarkStart w:id="1168" w:name="_Toc77074678"/>
      <w:r>
        <w:t>SWOT analýza</w:t>
      </w:r>
      <w:r w:rsidRPr="000A26EF">
        <w:t xml:space="preserve"> </w:t>
      </w:r>
      <w:r>
        <w:t>tematické oblasti Doprava a technická infrastruktura</w:t>
      </w:r>
      <w:bookmarkEnd w:id="1167"/>
      <w:bookmarkEnd w:id="1168"/>
    </w:p>
    <w:p w14:paraId="57CE3147" w14:textId="77777777" w:rsidR="00E01070" w:rsidRDefault="00E01070" w:rsidP="00E01070"/>
    <w:tbl>
      <w:tblPr>
        <w:tblStyle w:val="Mkatabulky2"/>
        <w:tblW w:w="0" w:type="auto"/>
        <w:tblLook w:val="04A0" w:firstRow="1" w:lastRow="0" w:firstColumn="1" w:lastColumn="0" w:noHBand="0" w:noVBand="1"/>
      </w:tblPr>
      <w:tblGrid>
        <w:gridCol w:w="4532"/>
        <w:gridCol w:w="4530"/>
      </w:tblGrid>
      <w:tr w:rsidR="00E01070" w:rsidRPr="00BC1A35" w14:paraId="633E1E40" w14:textId="77777777" w:rsidTr="00FB7BF4">
        <w:trPr>
          <w:cantSplit/>
          <w:tblHeader/>
        </w:trPr>
        <w:tc>
          <w:tcPr>
            <w:tcW w:w="4533" w:type="dxa"/>
            <w:shd w:val="clear" w:color="auto" w:fill="FF7C80"/>
          </w:tcPr>
          <w:p w14:paraId="1C456070" w14:textId="77777777" w:rsidR="00E01070" w:rsidRPr="00BC1A35" w:rsidRDefault="00E01070" w:rsidP="00FB7BF4">
            <w:pPr>
              <w:spacing w:before="0"/>
              <w:jc w:val="center"/>
              <w:rPr>
                <w:b/>
                <w:szCs w:val="24"/>
              </w:rPr>
            </w:pPr>
            <w:r w:rsidRPr="00BC1A35">
              <w:rPr>
                <w:b/>
                <w:szCs w:val="24"/>
              </w:rPr>
              <w:t>SILNÉ STRÁNKY</w:t>
            </w:r>
          </w:p>
        </w:tc>
        <w:tc>
          <w:tcPr>
            <w:tcW w:w="4530" w:type="dxa"/>
            <w:shd w:val="clear" w:color="auto" w:fill="B8CCE4"/>
          </w:tcPr>
          <w:p w14:paraId="2C9174E4" w14:textId="77777777" w:rsidR="00E01070" w:rsidRPr="00BC1A35" w:rsidRDefault="00E01070" w:rsidP="00FB7BF4">
            <w:pPr>
              <w:spacing w:before="0"/>
              <w:jc w:val="center"/>
              <w:rPr>
                <w:b/>
                <w:szCs w:val="24"/>
              </w:rPr>
            </w:pPr>
            <w:r w:rsidRPr="00BC1A35">
              <w:rPr>
                <w:b/>
                <w:szCs w:val="24"/>
              </w:rPr>
              <w:t>SLABÉ STRÁNKY</w:t>
            </w:r>
          </w:p>
        </w:tc>
      </w:tr>
      <w:tr w:rsidR="00E01070" w:rsidRPr="00BC1A35" w14:paraId="6C7068A2" w14:textId="77777777" w:rsidTr="00FB7BF4">
        <w:trPr>
          <w:cantSplit/>
          <w:trHeight w:val="3177"/>
        </w:trPr>
        <w:tc>
          <w:tcPr>
            <w:tcW w:w="4533" w:type="dxa"/>
            <w:shd w:val="clear" w:color="auto" w:fill="FFDDDD"/>
          </w:tcPr>
          <w:p w14:paraId="611B6BC4" w14:textId="77777777" w:rsidR="00E01070" w:rsidRPr="0045137D" w:rsidRDefault="00E01070" w:rsidP="00FB7BF4">
            <w:pPr>
              <w:suppressAutoHyphens/>
              <w:spacing w:before="0"/>
              <w:ind w:left="171"/>
              <w:contextualSpacing/>
              <w:jc w:val="left"/>
              <w:rPr>
                <w:sz w:val="12"/>
                <w:szCs w:val="24"/>
              </w:rPr>
            </w:pPr>
          </w:p>
          <w:p w14:paraId="74023B55" w14:textId="1F1DDAF6" w:rsidR="00E01070" w:rsidRPr="00987385" w:rsidRDefault="00E01070" w:rsidP="00E01070">
            <w:pPr>
              <w:pStyle w:val="Odstavecseseznamem"/>
              <w:numPr>
                <w:ilvl w:val="0"/>
                <w:numId w:val="12"/>
              </w:numPr>
              <w:suppressAutoHyphens/>
              <w:spacing w:before="0" w:after="160"/>
              <w:ind w:left="171" w:hanging="171"/>
              <w:jc w:val="left"/>
            </w:pPr>
            <w:r>
              <w:t xml:space="preserve">Existence strategických dokumentů v oblasti dopravy (generel dopravy, </w:t>
            </w:r>
            <w:r w:rsidRPr="00987385">
              <w:t xml:space="preserve">Strategický rámec rozvoje veřejné dopravy, </w:t>
            </w:r>
            <w:r>
              <w:t>Plán udržitelné městské mobility – v přípravě)</w:t>
            </w:r>
            <w:r w:rsidR="001D0018">
              <w:t>.</w:t>
            </w:r>
          </w:p>
          <w:p w14:paraId="14AB12C2" w14:textId="77777777" w:rsidR="00E01070" w:rsidRDefault="00E01070" w:rsidP="00E01070">
            <w:pPr>
              <w:pStyle w:val="Odstavecseseznamem"/>
              <w:numPr>
                <w:ilvl w:val="0"/>
                <w:numId w:val="12"/>
              </w:numPr>
              <w:suppressAutoHyphens/>
              <w:spacing w:before="0" w:after="160"/>
              <w:ind w:left="171" w:hanging="142"/>
              <w:jc w:val="left"/>
              <w:rPr>
                <w:szCs w:val="24"/>
              </w:rPr>
            </w:pPr>
            <w:r>
              <w:rPr>
                <w:szCs w:val="24"/>
              </w:rPr>
              <w:t xml:space="preserve">Společný dopravní podnik </w:t>
            </w:r>
            <w:r w:rsidRPr="00A95108">
              <w:rPr>
                <w:szCs w:val="24"/>
              </w:rPr>
              <w:t>Dopravní společnost Zlín-Otrokovice, s.r.o.</w:t>
            </w:r>
          </w:p>
          <w:p w14:paraId="01FB5F18" w14:textId="5765E35C" w:rsidR="00E01070" w:rsidRDefault="00E01070" w:rsidP="00E01070">
            <w:pPr>
              <w:pStyle w:val="Odstavecseseznamem"/>
              <w:numPr>
                <w:ilvl w:val="0"/>
                <w:numId w:val="12"/>
              </w:numPr>
              <w:suppressAutoHyphens/>
              <w:spacing w:before="0" w:after="160"/>
              <w:ind w:left="171" w:hanging="142"/>
              <w:jc w:val="left"/>
              <w:rPr>
                <w:szCs w:val="24"/>
              </w:rPr>
            </w:pPr>
            <w:r>
              <w:rPr>
                <w:szCs w:val="24"/>
              </w:rPr>
              <w:t>Zvyšování podílu osob přepravovaných MHD</w:t>
            </w:r>
            <w:r w:rsidR="001D0018">
              <w:rPr>
                <w:szCs w:val="24"/>
              </w:rPr>
              <w:t>.</w:t>
            </w:r>
          </w:p>
          <w:p w14:paraId="237BBB31" w14:textId="7AD03203" w:rsidR="00E01070" w:rsidRDefault="00E01070" w:rsidP="00E01070">
            <w:pPr>
              <w:pStyle w:val="Odstavecseseznamem"/>
              <w:numPr>
                <w:ilvl w:val="0"/>
                <w:numId w:val="12"/>
              </w:numPr>
              <w:suppressAutoHyphens/>
              <w:spacing w:before="0" w:after="160"/>
              <w:ind w:left="171" w:hanging="142"/>
              <w:jc w:val="left"/>
              <w:rPr>
                <w:szCs w:val="24"/>
              </w:rPr>
            </w:pPr>
            <w:r>
              <w:rPr>
                <w:szCs w:val="24"/>
              </w:rPr>
              <w:t>Dobrá dopravní dostupnost mezinárodních letišť</w:t>
            </w:r>
            <w:r w:rsidR="001D0018">
              <w:rPr>
                <w:szCs w:val="24"/>
              </w:rPr>
              <w:t>.</w:t>
            </w:r>
          </w:p>
          <w:p w14:paraId="5CC9055E" w14:textId="201B8505" w:rsidR="00E01070" w:rsidRDefault="00E01070" w:rsidP="00E01070">
            <w:pPr>
              <w:pStyle w:val="Odstavecseseznamem"/>
              <w:numPr>
                <w:ilvl w:val="0"/>
                <w:numId w:val="12"/>
              </w:numPr>
              <w:suppressAutoHyphens/>
              <w:spacing w:before="0" w:after="160"/>
              <w:ind w:left="171" w:hanging="142"/>
              <w:jc w:val="left"/>
              <w:rPr>
                <w:szCs w:val="24"/>
              </w:rPr>
            </w:pPr>
            <w:r>
              <w:rPr>
                <w:szCs w:val="24"/>
              </w:rPr>
              <w:t>Dostatečné zdroje pro zásobování pitnou vodou</w:t>
            </w:r>
            <w:r w:rsidR="001D0018">
              <w:rPr>
                <w:szCs w:val="24"/>
              </w:rPr>
              <w:t>.</w:t>
            </w:r>
          </w:p>
          <w:p w14:paraId="26DFCB54" w14:textId="5ACAC1E5" w:rsidR="00E01070" w:rsidRDefault="00E01070" w:rsidP="00E01070">
            <w:pPr>
              <w:pStyle w:val="Odstavecseseznamem"/>
              <w:numPr>
                <w:ilvl w:val="0"/>
                <w:numId w:val="12"/>
              </w:numPr>
              <w:suppressAutoHyphens/>
              <w:spacing w:before="0" w:after="160"/>
              <w:ind w:left="171" w:hanging="142"/>
              <w:jc w:val="left"/>
              <w:rPr>
                <w:szCs w:val="24"/>
              </w:rPr>
            </w:pPr>
            <w:r>
              <w:rPr>
                <w:szCs w:val="24"/>
              </w:rPr>
              <w:t>Odkanalizováno je 95 % obyvatel Zlína</w:t>
            </w:r>
            <w:r w:rsidR="001D0018">
              <w:rPr>
                <w:szCs w:val="24"/>
              </w:rPr>
              <w:t>.</w:t>
            </w:r>
          </w:p>
          <w:p w14:paraId="728829BB" w14:textId="77777777" w:rsidR="00E01070" w:rsidRPr="00BC1A35" w:rsidRDefault="00E01070" w:rsidP="00FB7BF4">
            <w:pPr>
              <w:pStyle w:val="Odstavecseseznamem"/>
              <w:suppressAutoHyphens/>
              <w:spacing w:before="0" w:after="160"/>
              <w:ind w:left="171"/>
              <w:jc w:val="left"/>
              <w:rPr>
                <w:szCs w:val="24"/>
              </w:rPr>
            </w:pPr>
          </w:p>
        </w:tc>
        <w:tc>
          <w:tcPr>
            <w:tcW w:w="4530" w:type="dxa"/>
            <w:shd w:val="clear" w:color="auto" w:fill="EEF3F8"/>
          </w:tcPr>
          <w:p w14:paraId="6CB5F16D" w14:textId="77777777" w:rsidR="00E01070" w:rsidRPr="0045137D" w:rsidRDefault="00E01070" w:rsidP="00FB7BF4">
            <w:pPr>
              <w:suppressAutoHyphens/>
              <w:spacing w:before="0"/>
              <w:ind w:left="175"/>
              <w:contextualSpacing/>
              <w:jc w:val="left"/>
              <w:rPr>
                <w:sz w:val="12"/>
                <w:szCs w:val="12"/>
              </w:rPr>
            </w:pPr>
          </w:p>
          <w:p w14:paraId="1AFBE49A" w14:textId="2F7D470F" w:rsidR="00E01070" w:rsidRDefault="00E01070" w:rsidP="00E01070">
            <w:pPr>
              <w:numPr>
                <w:ilvl w:val="0"/>
                <w:numId w:val="33"/>
              </w:numPr>
              <w:spacing w:before="0"/>
              <w:jc w:val="left"/>
            </w:pPr>
            <w:r>
              <w:t>Poloha Zlína poměrně daleko od hlavních dopravních transevropských koridorů TEN-T</w:t>
            </w:r>
            <w:r w:rsidR="001D0018">
              <w:t>.</w:t>
            </w:r>
          </w:p>
          <w:p w14:paraId="4C7DA11D" w14:textId="741BCE42" w:rsidR="00E01070" w:rsidRDefault="00E01070" w:rsidP="00E01070">
            <w:pPr>
              <w:numPr>
                <w:ilvl w:val="0"/>
                <w:numId w:val="33"/>
              </w:numPr>
              <w:spacing w:before="0"/>
              <w:jc w:val="left"/>
            </w:pPr>
            <w:r w:rsidRPr="00DC3D7A">
              <w:rPr>
                <w:szCs w:val="24"/>
              </w:rPr>
              <w:t>Vysoká intenzita dopravy na silnici I/49 na trase Otrokovice-Zlín</w:t>
            </w:r>
            <w:r>
              <w:rPr>
                <w:szCs w:val="24"/>
              </w:rPr>
              <w:t xml:space="preserve">, včetně </w:t>
            </w:r>
            <w:r>
              <w:t>tranzitní nákladní dopravy projíždějící centrem města</w:t>
            </w:r>
            <w:r w:rsidR="001D0018">
              <w:t>.</w:t>
            </w:r>
          </w:p>
          <w:p w14:paraId="0A9AC615" w14:textId="69C4A293" w:rsidR="00E01070" w:rsidRPr="000B10EB" w:rsidRDefault="00E01070" w:rsidP="00E01070">
            <w:pPr>
              <w:numPr>
                <w:ilvl w:val="0"/>
                <w:numId w:val="33"/>
              </w:numPr>
              <w:spacing w:before="0"/>
              <w:jc w:val="left"/>
            </w:pPr>
            <w:r>
              <w:rPr>
                <w:szCs w:val="24"/>
              </w:rPr>
              <w:t>Absence moderního dopravního terminálu železniční a autobusové dopravy</w:t>
            </w:r>
            <w:r w:rsidR="001D0018">
              <w:rPr>
                <w:szCs w:val="24"/>
              </w:rPr>
              <w:t>.</w:t>
            </w:r>
          </w:p>
          <w:p w14:paraId="6EADC05C" w14:textId="4189E90A" w:rsidR="00E01070" w:rsidRPr="00A95108" w:rsidRDefault="00E01070" w:rsidP="00E01070">
            <w:pPr>
              <w:numPr>
                <w:ilvl w:val="0"/>
                <w:numId w:val="33"/>
              </w:numPr>
              <w:spacing w:before="0"/>
              <w:jc w:val="left"/>
            </w:pPr>
            <w:r>
              <w:rPr>
                <w:szCs w:val="24"/>
              </w:rPr>
              <w:t>Neelektrizovaná, jednokolejná železniční trať 331 Otrokovice-Vizovice</w:t>
            </w:r>
            <w:r w:rsidR="001D0018">
              <w:rPr>
                <w:szCs w:val="24"/>
              </w:rPr>
              <w:t>.</w:t>
            </w:r>
          </w:p>
          <w:p w14:paraId="1AB9741F" w14:textId="62BDF361" w:rsidR="00E01070" w:rsidRPr="008E2431" w:rsidRDefault="00E01070" w:rsidP="00E01070">
            <w:pPr>
              <w:numPr>
                <w:ilvl w:val="0"/>
                <w:numId w:val="33"/>
              </w:numPr>
              <w:spacing w:before="0"/>
              <w:jc w:val="left"/>
            </w:pPr>
            <w:r>
              <w:rPr>
                <w:szCs w:val="24"/>
              </w:rPr>
              <w:t>Nepropojenost cyklostezek v rámci města i v rámci nadregionálních tras</w:t>
            </w:r>
            <w:r w:rsidR="001D0018">
              <w:rPr>
                <w:szCs w:val="24"/>
              </w:rPr>
              <w:t>.</w:t>
            </w:r>
          </w:p>
          <w:p w14:paraId="57A895EA" w14:textId="2C2ECCC5" w:rsidR="00E01070" w:rsidRPr="00A95108" w:rsidRDefault="00E01070" w:rsidP="00E01070">
            <w:pPr>
              <w:numPr>
                <w:ilvl w:val="0"/>
                <w:numId w:val="33"/>
              </w:numPr>
              <w:spacing w:before="0"/>
              <w:jc w:val="left"/>
            </w:pPr>
            <w:r>
              <w:rPr>
                <w:szCs w:val="24"/>
              </w:rPr>
              <w:t>Časté vedení cyklotras ve společném uličním prostoru s motorovou dopravou</w:t>
            </w:r>
            <w:r w:rsidR="001D0018">
              <w:rPr>
                <w:szCs w:val="24"/>
              </w:rPr>
              <w:t>.</w:t>
            </w:r>
          </w:p>
          <w:p w14:paraId="798C04E0" w14:textId="1A727710" w:rsidR="00E01070" w:rsidRDefault="00E01070" w:rsidP="00E01070">
            <w:pPr>
              <w:numPr>
                <w:ilvl w:val="0"/>
                <w:numId w:val="33"/>
              </w:numPr>
              <w:spacing w:before="0"/>
              <w:jc w:val="left"/>
            </w:pPr>
            <w:r>
              <w:t>Nízký podíl cyklistů na dělbě přepravní práce</w:t>
            </w:r>
            <w:r w:rsidR="001D0018">
              <w:t>.</w:t>
            </w:r>
          </w:p>
          <w:p w14:paraId="0BA40189" w14:textId="344E5DF4" w:rsidR="00E01070" w:rsidRPr="00DC6200" w:rsidRDefault="00E01070" w:rsidP="00E01070">
            <w:pPr>
              <w:numPr>
                <w:ilvl w:val="0"/>
                <w:numId w:val="33"/>
              </w:numPr>
              <w:spacing w:before="0"/>
              <w:jc w:val="left"/>
            </w:pPr>
            <w:r w:rsidRPr="00DC6200">
              <w:t xml:space="preserve">Vysoká poptávka </w:t>
            </w:r>
            <w:r>
              <w:t>po parkovacích místech ve městě</w:t>
            </w:r>
            <w:r w:rsidR="001D0018">
              <w:t>.</w:t>
            </w:r>
          </w:p>
          <w:p w14:paraId="2DDB977F" w14:textId="3D773BDF" w:rsidR="00E01070" w:rsidRDefault="00E01070" w:rsidP="00E01070">
            <w:pPr>
              <w:numPr>
                <w:ilvl w:val="0"/>
                <w:numId w:val="33"/>
              </w:numPr>
              <w:spacing w:before="0"/>
              <w:jc w:val="left"/>
            </w:pPr>
            <w:r>
              <w:t>Úzké ulice v obytné zástavbě (špatná dopravní obslužnost např. vozidly integrovaného záchranného systému)</w:t>
            </w:r>
            <w:r w:rsidR="001D0018">
              <w:t>.</w:t>
            </w:r>
          </w:p>
          <w:p w14:paraId="5C4FBBDA" w14:textId="2240B8E0" w:rsidR="00E01070" w:rsidRDefault="00E01070" w:rsidP="00E01070">
            <w:pPr>
              <w:numPr>
                <w:ilvl w:val="0"/>
                <w:numId w:val="33"/>
              </w:numPr>
              <w:spacing w:before="0"/>
              <w:jc w:val="left"/>
            </w:pPr>
            <w:r>
              <w:t>Rostoucí trend počtu dopravních nehod</w:t>
            </w:r>
            <w:r w:rsidR="001D0018">
              <w:t>.</w:t>
            </w:r>
          </w:p>
          <w:p w14:paraId="79E6766E" w14:textId="28011B34" w:rsidR="00E01070" w:rsidRDefault="00E01070" w:rsidP="00E01070">
            <w:pPr>
              <w:numPr>
                <w:ilvl w:val="0"/>
                <w:numId w:val="33"/>
              </w:numPr>
              <w:spacing w:before="0"/>
              <w:jc w:val="left"/>
            </w:pPr>
            <w:r>
              <w:t xml:space="preserve">Špatný technický stav </w:t>
            </w:r>
            <w:r w:rsidRPr="00E36D84">
              <w:t xml:space="preserve">některých </w:t>
            </w:r>
            <w:r>
              <w:t>komunikací včetně chodníků</w:t>
            </w:r>
            <w:r w:rsidR="001D0018">
              <w:t>.</w:t>
            </w:r>
          </w:p>
          <w:p w14:paraId="195A4ACE" w14:textId="4D7D6BB6" w:rsidR="00E01070" w:rsidRPr="00A33C48" w:rsidRDefault="00E01070" w:rsidP="00E01070">
            <w:pPr>
              <w:numPr>
                <w:ilvl w:val="0"/>
                <w:numId w:val="33"/>
              </w:numPr>
              <w:spacing w:before="0"/>
              <w:jc w:val="left"/>
              <w:rPr>
                <w:szCs w:val="24"/>
              </w:rPr>
            </w:pPr>
            <w:r>
              <w:t>Existence nevyhovujících přechodů pro chodce</w:t>
            </w:r>
            <w:r w:rsidR="001D0018">
              <w:t>.</w:t>
            </w:r>
          </w:p>
          <w:p w14:paraId="37F48998" w14:textId="5F9A0C71" w:rsidR="00E01070" w:rsidRPr="00340349" w:rsidRDefault="00E01070" w:rsidP="00E01070">
            <w:pPr>
              <w:numPr>
                <w:ilvl w:val="0"/>
                <w:numId w:val="33"/>
              </w:numPr>
              <w:spacing w:before="0"/>
              <w:jc w:val="left"/>
              <w:rPr>
                <w:szCs w:val="24"/>
              </w:rPr>
            </w:pPr>
            <w:r>
              <w:t>Chybějící vyhrazené pruhy pro veřejnou dopravu a integrovaný záchranný systém</w:t>
            </w:r>
            <w:r w:rsidR="001D0018">
              <w:t>.</w:t>
            </w:r>
          </w:p>
          <w:p w14:paraId="3B4F4E02" w14:textId="77777777" w:rsidR="00E01070" w:rsidRPr="00E2660B" w:rsidRDefault="00E01070" w:rsidP="00FB7BF4">
            <w:pPr>
              <w:spacing w:before="0"/>
              <w:jc w:val="left"/>
              <w:rPr>
                <w:szCs w:val="24"/>
              </w:rPr>
            </w:pPr>
          </w:p>
        </w:tc>
      </w:tr>
    </w:tbl>
    <w:p w14:paraId="2F6AFAC0" w14:textId="77777777" w:rsidR="00E01070" w:rsidRDefault="00E01070" w:rsidP="00E01070"/>
    <w:tbl>
      <w:tblPr>
        <w:tblStyle w:val="Mkatabulky1"/>
        <w:tblW w:w="0" w:type="auto"/>
        <w:tblLook w:val="04A0" w:firstRow="1" w:lastRow="0" w:firstColumn="1" w:lastColumn="0" w:noHBand="0" w:noVBand="1"/>
      </w:tblPr>
      <w:tblGrid>
        <w:gridCol w:w="4534"/>
        <w:gridCol w:w="4528"/>
      </w:tblGrid>
      <w:tr w:rsidR="00E01070" w:rsidRPr="00BC1A35" w14:paraId="79C88FEC" w14:textId="77777777" w:rsidTr="00FB7BF4">
        <w:trPr>
          <w:cantSplit/>
          <w:tblHeader/>
        </w:trPr>
        <w:tc>
          <w:tcPr>
            <w:tcW w:w="4535" w:type="dxa"/>
            <w:shd w:val="clear" w:color="auto" w:fill="F79646"/>
          </w:tcPr>
          <w:p w14:paraId="362260CE" w14:textId="77777777" w:rsidR="00E01070" w:rsidRPr="00BC1A35" w:rsidRDefault="00E01070" w:rsidP="00FB7BF4">
            <w:pPr>
              <w:spacing w:before="0"/>
              <w:jc w:val="center"/>
              <w:rPr>
                <w:b/>
                <w:szCs w:val="24"/>
              </w:rPr>
            </w:pPr>
            <w:r w:rsidRPr="00BC1A35">
              <w:rPr>
                <w:b/>
                <w:szCs w:val="24"/>
              </w:rPr>
              <w:t>PŘÍLEŽITOSTI</w:t>
            </w:r>
          </w:p>
        </w:tc>
        <w:tc>
          <w:tcPr>
            <w:tcW w:w="4528" w:type="dxa"/>
            <w:shd w:val="clear" w:color="auto" w:fill="B2A1C7"/>
          </w:tcPr>
          <w:p w14:paraId="5FE89C7F" w14:textId="77777777" w:rsidR="00E01070" w:rsidRPr="00BC1A35" w:rsidRDefault="00E01070" w:rsidP="00FB7BF4">
            <w:pPr>
              <w:spacing w:before="0"/>
              <w:jc w:val="center"/>
              <w:rPr>
                <w:b/>
                <w:szCs w:val="24"/>
              </w:rPr>
            </w:pPr>
            <w:r w:rsidRPr="00BC1A35">
              <w:rPr>
                <w:b/>
                <w:szCs w:val="24"/>
              </w:rPr>
              <w:t>HROZBY</w:t>
            </w:r>
          </w:p>
        </w:tc>
      </w:tr>
      <w:tr w:rsidR="00E01070" w:rsidRPr="00BC1A35" w14:paraId="316BC60D" w14:textId="77777777" w:rsidTr="00FB7BF4">
        <w:trPr>
          <w:cantSplit/>
          <w:trHeight w:val="4484"/>
        </w:trPr>
        <w:tc>
          <w:tcPr>
            <w:tcW w:w="4535" w:type="dxa"/>
            <w:shd w:val="clear" w:color="auto" w:fill="FEF7CE"/>
          </w:tcPr>
          <w:p w14:paraId="1E463E22" w14:textId="77777777" w:rsidR="00E01070" w:rsidRDefault="00E01070" w:rsidP="00FB7BF4">
            <w:pPr>
              <w:suppressAutoHyphens/>
              <w:spacing w:before="0"/>
              <w:ind w:left="171"/>
              <w:contextualSpacing/>
              <w:jc w:val="left"/>
              <w:rPr>
                <w:szCs w:val="24"/>
                <w:highlight w:val="yellow"/>
              </w:rPr>
            </w:pPr>
          </w:p>
          <w:p w14:paraId="07CA5953" w14:textId="33DC3766" w:rsidR="00E01070" w:rsidRDefault="00E01070" w:rsidP="00E01070">
            <w:pPr>
              <w:pStyle w:val="Odstavecseseznamem"/>
              <w:numPr>
                <w:ilvl w:val="0"/>
                <w:numId w:val="12"/>
              </w:numPr>
              <w:suppressAutoHyphens/>
              <w:spacing w:before="0" w:after="160"/>
              <w:ind w:left="171" w:hanging="142"/>
              <w:jc w:val="left"/>
              <w:rPr>
                <w:szCs w:val="24"/>
              </w:rPr>
            </w:pPr>
            <w:r>
              <w:rPr>
                <w:szCs w:val="24"/>
              </w:rPr>
              <w:t>Posílení udržitelných forem dopravy prostřednictvím realizace „Plánu udržitelné městské mobility“</w:t>
            </w:r>
            <w:r w:rsidR="001D0018">
              <w:rPr>
                <w:szCs w:val="24"/>
              </w:rPr>
              <w:t>.</w:t>
            </w:r>
          </w:p>
          <w:p w14:paraId="78D176C0" w14:textId="2246108F" w:rsidR="00E01070" w:rsidRDefault="00E01070" w:rsidP="00E01070">
            <w:pPr>
              <w:pStyle w:val="Odstavecseseznamem"/>
              <w:numPr>
                <w:ilvl w:val="0"/>
                <w:numId w:val="12"/>
              </w:numPr>
              <w:suppressAutoHyphens/>
              <w:spacing w:before="0" w:after="160"/>
              <w:ind w:left="171" w:hanging="142"/>
              <w:jc w:val="left"/>
              <w:rPr>
                <w:szCs w:val="24"/>
              </w:rPr>
            </w:pPr>
            <w:r>
              <w:rPr>
                <w:szCs w:val="24"/>
              </w:rPr>
              <w:t>Další napojení na celostátní a mezinárodní dálniční síť prostřednictvím dálnice D49</w:t>
            </w:r>
            <w:r w:rsidR="001D0018">
              <w:rPr>
                <w:szCs w:val="24"/>
              </w:rPr>
              <w:t>.</w:t>
            </w:r>
          </w:p>
          <w:p w14:paraId="16C5AD65" w14:textId="74F602E1" w:rsidR="00E01070" w:rsidRDefault="00E01070" w:rsidP="00E01070">
            <w:pPr>
              <w:pStyle w:val="Odstavecseseznamem"/>
              <w:numPr>
                <w:ilvl w:val="0"/>
                <w:numId w:val="12"/>
              </w:numPr>
              <w:suppressAutoHyphens/>
              <w:spacing w:before="0" w:after="160"/>
              <w:ind w:left="171" w:hanging="142"/>
              <w:jc w:val="left"/>
              <w:rPr>
                <w:szCs w:val="24"/>
              </w:rPr>
            </w:pPr>
            <w:r>
              <w:rPr>
                <w:szCs w:val="24"/>
              </w:rPr>
              <w:t>Vybudování Prštenské příčky</w:t>
            </w:r>
            <w:r w:rsidR="001D0018">
              <w:rPr>
                <w:szCs w:val="24"/>
              </w:rPr>
              <w:t>.</w:t>
            </w:r>
          </w:p>
          <w:p w14:paraId="3899C918" w14:textId="1CD97624" w:rsidR="00E01070" w:rsidRDefault="00E01070" w:rsidP="00E01070">
            <w:pPr>
              <w:pStyle w:val="Odstavecseseznamem"/>
              <w:numPr>
                <w:ilvl w:val="0"/>
                <w:numId w:val="12"/>
              </w:numPr>
              <w:suppressAutoHyphens/>
              <w:spacing w:before="0" w:after="160"/>
              <w:ind w:left="171" w:hanging="142"/>
              <w:jc w:val="left"/>
              <w:rPr>
                <w:szCs w:val="24"/>
              </w:rPr>
            </w:pPr>
            <w:r>
              <w:rPr>
                <w:szCs w:val="24"/>
              </w:rPr>
              <w:t>Vybudování obchvatu Zálešné</w:t>
            </w:r>
            <w:r w:rsidR="001D0018">
              <w:rPr>
                <w:szCs w:val="24"/>
              </w:rPr>
              <w:t>.</w:t>
            </w:r>
          </w:p>
          <w:p w14:paraId="7EC4698B" w14:textId="5D95F50E" w:rsidR="00E01070" w:rsidRDefault="00E01070" w:rsidP="00E01070">
            <w:pPr>
              <w:pStyle w:val="Odstavecseseznamem"/>
              <w:numPr>
                <w:ilvl w:val="0"/>
                <w:numId w:val="12"/>
              </w:numPr>
              <w:suppressAutoHyphens/>
              <w:spacing w:before="0" w:after="160"/>
              <w:ind w:left="171" w:hanging="142"/>
              <w:jc w:val="left"/>
              <w:rPr>
                <w:szCs w:val="24"/>
              </w:rPr>
            </w:pPr>
            <w:r>
              <w:rPr>
                <w:szCs w:val="24"/>
              </w:rPr>
              <w:t>Zklidnění dopravy v centru města</w:t>
            </w:r>
            <w:r w:rsidR="001D0018">
              <w:rPr>
                <w:szCs w:val="24"/>
              </w:rPr>
              <w:t>.</w:t>
            </w:r>
          </w:p>
          <w:p w14:paraId="5011F2CE" w14:textId="5CE6F9D8" w:rsidR="00E01070" w:rsidRDefault="00E01070" w:rsidP="00E01070">
            <w:pPr>
              <w:pStyle w:val="Odstavecseseznamem"/>
              <w:numPr>
                <w:ilvl w:val="0"/>
                <w:numId w:val="12"/>
              </w:numPr>
              <w:suppressAutoHyphens/>
              <w:spacing w:before="0" w:after="160"/>
              <w:ind w:left="171" w:hanging="142"/>
              <w:jc w:val="left"/>
              <w:rPr>
                <w:szCs w:val="24"/>
              </w:rPr>
            </w:pPr>
            <w:r>
              <w:rPr>
                <w:szCs w:val="24"/>
              </w:rPr>
              <w:t>Zlepšení dopravního napojení obytných zón</w:t>
            </w:r>
            <w:r w:rsidR="001D0018">
              <w:rPr>
                <w:szCs w:val="24"/>
              </w:rPr>
              <w:t>.</w:t>
            </w:r>
          </w:p>
          <w:p w14:paraId="5B9CA5AC" w14:textId="240BB28E" w:rsidR="00E01070" w:rsidRDefault="00E01070" w:rsidP="00E01070">
            <w:pPr>
              <w:pStyle w:val="Odstavecseseznamem"/>
              <w:numPr>
                <w:ilvl w:val="0"/>
                <w:numId w:val="12"/>
              </w:numPr>
              <w:suppressAutoHyphens/>
              <w:spacing w:before="0" w:after="160"/>
              <w:ind w:left="171" w:hanging="142"/>
              <w:jc w:val="left"/>
              <w:rPr>
                <w:szCs w:val="24"/>
              </w:rPr>
            </w:pPr>
            <w:r>
              <w:rPr>
                <w:szCs w:val="24"/>
              </w:rPr>
              <w:t xml:space="preserve">Zlepšení dopravního napojení </w:t>
            </w:r>
            <w:r w:rsidRPr="00A268D4">
              <w:rPr>
                <w:szCs w:val="24"/>
              </w:rPr>
              <w:t>průmyslové zóny Zlín – východ Příluky</w:t>
            </w:r>
            <w:r w:rsidR="001D0018">
              <w:rPr>
                <w:szCs w:val="24"/>
              </w:rPr>
              <w:t>.</w:t>
            </w:r>
          </w:p>
          <w:p w14:paraId="238C9359" w14:textId="6FCDB851" w:rsidR="00E01070" w:rsidRPr="00AC2549" w:rsidRDefault="00E01070" w:rsidP="00E01070">
            <w:pPr>
              <w:pStyle w:val="Odstavecseseznamem"/>
              <w:numPr>
                <w:ilvl w:val="0"/>
                <w:numId w:val="12"/>
              </w:numPr>
              <w:suppressAutoHyphens/>
              <w:spacing w:before="0" w:after="160"/>
              <w:ind w:left="171" w:hanging="142"/>
              <w:jc w:val="left"/>
              <w:rPr>
                <w:szCs w:val="24"/>
              </w:rPr>
            </w:pPr>
            <w:r>
              <w:rPr>
                <w:szCs w:val="24"/>
              </w:rPr>
              <w:t>Modernizace železniční trati 331 Otrokovice – Zlín – Vizovice</w:t>
            </w:r>
            <w:r w:rsidR="001D0018">
              <w:rPr>
                <w:szCs w:val="24"/>
              </w:rPr>
              <w:t>.</w:t>
            </w:r>
          </w:p>
          <w:p w14:paraId="62FD8B55" w14:textId="49F558E5" w:rsidR="00E01070" w:rsidRDefault="00E01070" w:rsidP="00E01070">
            <w:pPr>
              <w:pStyle w:val="Odstavecseseznamem"/>
              <w:numPr>
                <w:ilvl w:val="0"/>
                <w:numId w:val="12"/>
              </w:numPr>
              <w:suppressAutoHyphens/>
              <w:spacing w:before="0" w:after="160"/>
              <w:ind w:left="171" w:hanging="142"/>
              <w:jc w:val="left"/>
              <w:rPr>
                <w:szCs w:val="24"/>
              </w:rPr>
            </w:pPr>
            <w:r>
              <w:rPr>
                <w:szCs w:val="24"/>
              </w:rPr>
              <w:t>Vyřešení čistění odpadních vod v místních částech, které nejsou napojeny na kanalizační síť s</w:t>
            </w:r>
            <w:r w:rsidR="001D0018">
              <w:rPr>
                <w:szCs w:val="24"/>
              </w:rPr>
              <w:t> </w:t>
            </w:r>
            <w:r>
              <w:rPr>
                <w:szCs w:val="24"/>
              </w:rPr>
              <w:t>ČOV</w:t>
            </w:r>
            <w:r w:rsidR="001D0018">
              <w:rPr>
                <w:szCs w:val="24"/>
              </w:rPr>
              <w:t>.</w:t>
            </w:r>
          </w:p>
          <w:p w14:paraId="33D71917" w14:textId="6460207B" w:rsidR="00E01070" w:rsidRDefault="00E01070" w:rsidP="00E01070">
            <w:pPr>
              <w:pStyle w:val="Odstavecseseznamem"/>
              <w:numPr>
                <w:ilvl w:val="0"/>
                <w:numId w:val="12"/>
              </w:numPr>
              <w:suppressAutoHyphens/>
              <w:spacing w:before="0" w:after="160"/>
              <w:ind w:left="171" w:hanging="142"/>
              <w:jc w:val="left"/>
              <w:rPr>
                <w:szCs w:val="24"/>
              </w:rPr>
            </w:pPr>
            <w:r>
              <w:rPr>
                <w:szCs w:val="24"/>
              </w:rPr>
              <w:t>Rozvoj a podpora bezpečnosti silničního provozu prostřednictvím výchovných a osvětových akcí, zaměřených především na děti a mládež</w:t>
            </w:r>
            <w:r w:rsidR="001D0018">
              <w:rPr>
                <w:szCs w:val="24"/>
              </w:rPr>
              <w:t>.</w:t>
            </w:r>
          </w:p>
          <w:p w14:paraId="5DEA5FB2" w14:textId="56CAFFF9" w:rsidR="00E01070" w:rsidRPr="00526ABA" w:rsidRDefault="00E01070" w:rsidP="00E01070">
            <w:pPr>
              <w:pStyle w:val="Odstavecseseznamem"/>
              <w:numPr>
                <w:ilvl w:val="0"/>
                <w:numId w:val="12"/>
              </w:numPr>
              <w:suppressAutoHyphens/>
              <w:spacing w:before="0" w:after="160"/>
              <w:ind w:left="171" w:hanging="142"/>
              <w:jc w:val="left"/>
              <w:rPr>
                <w:szCs w:val="24"/>
              </w:rPr>
            </w:pPr>
            <w:r>
              <w:rPr>
                <w:szCs w:val="24"/>
              </w:rPr>
              <w:t>Podpora i</w:t>
            </w:r>
            <w:r w:rsidRPr="00526ABA">
              <w:rPr>
                <w:szCs w:val="24"/>
              </w:rPr>
              <w:t>nfrastruktur</w:t>
            </w:r>
            <w:r>
              <w:rPr>
                <w:szCs w:val="24"/>
              </w:rPr>
              <w:t>y</w:t>
            </w:r>
            <w:r w:rsidRPr="00526ABA">
              <w:rPr>
                <w:szCs w:val="24"/>
              </w:rPr>
              <w:t xml:space="preserve"> pro sdílenou mobilitu</w:t>
            </w:r>
            <w:r w:rsidR="001D0018">
              <w:rPr>
                <w:szCs w:val="24"/>
              </w:rPr>
              <w:t>.</w:t>
            </w:r>
          </w:p>
          <w:p w14:paraId="03660F6D" w14:textId="44CAE5DF" w:rsidR="00E01070" w:rsidRPr="00814790" w:rsidRDefault="00E01070" w:rsidP="00E01070">
            <w:pPr>
              <w:pStyle w:val="Odstavecseseznamem"/>
              <w:numPr>
                <w:ilvl w:val="0"/>
                <w:numId w:val="12"/>
              </w:numPr>
              <w:suppressAutoHyphens/>
              <w:spacing w:before="0" w:after="160"/>
              <w:ind w:left="171" w:hanging="142"/>
              <w:jc w:val="left"/>
              <w:rPr>
                <w:szCs w:val="24"/>
              </w:rPr>
            </w:pPr>
            <w:r>
              <w:rPr>
                <w:szCs w:val="24"/>
              </w:rPr>
              <w:t>Rozvoj elektromobility a dalších bezemisních druhů dopravy</w:t>
            </w:r>
            <w:r w:rsidR="001D0018">
              <w:rPr>
                <w:szCs w:val="24"/>
              </w:rPr>
              <w:t>.</w:t>
            </w:r>
          </w:p>
          <w:p w14:paraId="7D6A8151" w14:textId="36E183DD" w:rsidR="00E01070" w:rsidRDefault="00E01070" w:rsidP="00E01070">
            <w:pPr>
              <w:pStyle w:val="Odstavecseseznamem"/>
              <w:numPr>
                <w:ilvl w:val="0"/>
                <w:numId w:val="12"/>
              </w:numPr>
              <w:suppressAutoHyphens/>
              <w:spacing w:before="0" w:after="160"/>
              <w:ind w:left="171" w:hanging="142"/>
              <w:jc w:val="left"/>
              <w:rPr>
                <w:szCs w:val="24"/>
              </w:rPr>
            </w:pPr>
            <w:r>
              <w:rPr>
                <w:szCs w:val="24"/>
              </w:rPr>
              <w:t>Vybudování záchytných parkovišť</w:t>
            </w:r>
            <w:r w:rsidR="001D0018">
              <w:rPr>
                <w:szCs w:val="24"/>
              </w:rPr>
              <w:t>.</w:t>
            </w:r>
          </w:p>
          <w:p w14:paraId="79EFED85" w14:textId="048C85B0" w:rsidR="00E01070" w:rsidRDefault="00E01070" w:rsidP="00E01070">
            <w:pPr>
              <w:pStyle w:val="Odstavecseseznamem"/>
              <w:numPr>
                <w:ilvl w:val="0"/>
                <w:numId w:val="12"/>
              </w:numPr>
              <w:suppressAutoHyphens/>
              <w:spacing w:before="0" w:after="160"/>
              <w:ind w:left="171" w:hanging="142"/>
              <w:jc w:val="left"/>
              <w:rPr>
                <w:szCs w:val="24"/>
              </w:rPr>
            </w:pPr>
            <w:r>
              <w:rPr>
                <w:szCs w:val="24"/>
              </w:rPr>
              <w:t>Vyřešení dopravy v klidu na území celého města</w:t>
            </w:r>
            <w:r w:rsidR="001D0018">
              <w:rPr>
                <w:szCs w:val="24"/>
              </w:rPr>
              <w:t>.</w:t>
            </w:r>
          </w:p>
          <w:p w14:paraId="0477F324" w14:textId="1DF16098" w:rsidR="00E01070" w:rsidRDefault="00E01070" w:rsidP="00E01070">
            <w:pPr>
              <w:pStyle w:val="Odstavecseseznamem"/>
              <w:numPr>
                <w:ilvl w:val="0"/>
                <w:numId w:val="12"/>
              </w:numPr>
              <w:suppressAutoHyphens/>
              <w:spacing w:before="0" w:after="160"/>
              <w:ind w:left="171" w:hanging="142"/>
              <w:jc w:val="left"/>
              <w:rPr>
                <w:szCs w:val="24"/>
              </w:rPr>
            </w:pPr>
            <w:r>
              <w:rPr>
                <w:szCs w:val="24"/>
              </w:rPr>
              <w:t>Podpora multimodality dopravy</w:t>
            </w:r>
            <w:r w:rsidR="001D0018">
              <w:rPr>
                <w:szCs w:val="24"/>
              </w:rPr>
              <w:t>.</w:t>
            </w:r>
          </w:p>
          <w:p w14:paraId="20C8BFDB" w14:textId="77777777" w:rsidR="00E01070" w:rsidRPr="008622EA" w:rsidRDefault="00E01070" w:rsidP="00E01070">
            <w:pPr>
              <w:pStyle w:val="Odstavecseseznamem"/>
              <w:numPr>
                <w:ilvl w:val="0"/>
                <w:numId w:val="12"/>
              </w:numPr>
              <w:suppressAutoHyphens/>
              <w:spacing w:before="0" w:after="160"/>
              <w:ind w:left="171" w:hanging="142"/>
              <w:jc w:val="left"/>
              <w:rPr>
                <w:szCs w:val="24"/>
              </w:rPr>
            </w:pPr>
            <w:r>
              <w:rPr>
                <w:szCs w:val="24"/>
              </w:rPr>
              <w:t>Rozvoj preference veřejné dopravy a </w:t>
            </w:r>
            <w:r>
              <w:t>integrovaného záchranného systému na světelných křižovatkách</w:t>
            </w:r>
            <w:r w:rsidR="001D0018">
              <w:t>.</w:t>
            </w:r>
          </w:p>
          <w:p w14:paraId="5074F705" w14:textId="77777777" w:rsidR="008622EA" w:rsidRPr="00D64BC5" w:rsidRDefault="008622EA" w:rsidP="008622EA">
            <w:pPr>
              <w:pStyle w:val="Odstavecseseznamem"/>
              <w:numPr>
                <w:ilvl w:val="0"/>
                <w:numId w:val="12"/>
              </w:numPr>
              <w:suppressAutoHyphens/>
              <w:spacing w:before="0" w:after="160"/>
              <w:ind w:left="171" w:hanging="142"/>
              <w:jc w:val="left"/>
              <w:rPr>
                <w:szCs w:val="24"/>
              </w:rPr>
            </w:pPr>
            <w:r>
              <w:rPr>
                <w:szCs w:val="24"/>
              </w:rPr>
              <w:t>Vyhotovení nového</w:t>
            </w:r>
            <w:r w:rsidRPr="00D64BC5">
              <w:rPr>
                <w:szCs w:val="24"/>
              </w:rPr>
              <w:t xml:space="preserve"> pasport</w:t>
            </w:r>
            <w:r>
              <w:rPr>
                <w:szCs w:val="24"/>
              </w:rPr>
              <w:t xml:space="preserve">u, </w:t>
            </w:r>
            <w:r w:rsidRPr="00D64BC5">
              <w:rPr>
                <w:szCs w:val="24"/>
              </w:rPr>
              <w:t>Generel</w:t>
            </w:r>
            <w:r>
              <w:rPr>
                <w:szCs w:val="24"/>
              </w:rPr>
              <w:t>u</w:t>
            </w:r>
            <w:r w:rsidRPr="00D64BC5">
              <w:rPr>
                <w:szCs w:val="24"/>
              </w:rPr>
              <w:t xml:space="preserve"> </w:t>
            </w:r>
            <w:r>
              <w:rPr>
                <w:szCs w:val="24"/>
              </w:rPr>
              <w:t>veřejného osvětlení, standardů</w:t>
            </w:r>
            <w:r w:rsidRPr="00D64BC5">
              <w:rPr>
                <w:szCs w:val="24"/>
              </w:rPr>
              <w:t xml:space="preserve"> pro </w:t>
            </w:r>
            <w:r>
              <w:rPr>
                <w:szCs w:val="24"/>
              </w:rPr>
              <w:t>veřejné osvětlení</w:t>
            </w:r>
            <w:r w:rsidRPr="00D64BC5">
              <w:rPr>
                <w:szCs w:val="24"/>
              </w:rPr>
              <w:t xml:space="preserve"> </w:t>
            </w:r>
            <w:r>
              <w:rPr>
                <w:szCs w:val="24"/>
              </w:rPr>
              <w:t>(nových</w:t>
            </w:r>
            <w:r w:rsidRPr="00D64BC5">
              <w:rPr>
                <w:szCs w:val="24"/>
              </w:rPr>
              <w:t xml:space="preserve"> nebo aktualizace stávajících)</w:t>
            </w:r>
            <w:r>
              <w:rPr>
                <w:szCs w:val="24"/>
              </w:rPr>
              <w:t>.</w:t>
            </w:r>
          </w:p>
          <w:p w14:paraId="08B76E3E" w14:textId="32355914" w:rsidR="008622EA" w:rsidRPr="006457F2" w:rsidRDefault="008622EA" w:rsidP="008622EA">
            <w:pPr>
              <w:pStyle w:val="Odstavecseseznamem"/>
              <w:numPr>
                <w:ilvl w:val="0"/>
                <w:numId w:val="12"/>
              </w:numPr>
              <w:suppressAutoHyphens/>
              <w:spacing w:before="0" w:after="160"/>
              <w:ind w:left="171" w:hanging="142"/>
              <w:jc w:val="left"/>
              <w:rPr>
                <w:szCs w:val="24"/>
              </w:rPr>
            </w:pPr>
            <w:r>
              <w:rPr>
                <w:szCs w:val="24"/>
              </w:rPr>
              <w:t xml:space="preserve"> M</w:t>
            </w:r>
            <w:r w:rsidRPr="00D64BC5">
              <w:rPr>
                <w:szCs w:val="24"/>
              </w:rPr>
              <w:t>odernizac</w:t>
            </w:r>
            <w:r>
              <w:rPr>
                <w:szCs w:val="24"/>
              </w:rPr>
              <w:t>e</w:t>
            </w:r>
            <w:r w:rsidRPr="00D64BC5">
              <w:rPr>
                <w:szCs w:val="24"/>
              </w:rPr>
              <w:t xml:space="preserve"> a obnov</w:t>
            </w:r>
            <w:r>
              <w:rPr>
                <w:szCs w:val="24"/>
              </w:rPr>
              <w:t>a</w:t>
            </w:r>
            <w:r w:rsidRPr="00D64BC5">
              <w:rPr>
                <w:szCs w:val="24"/>
              </w:rPr>
              <w:t xml:space="preserve"> sítě </w:t>
            </w:r>
            <w:r>
              <w:rPr>
                <w:szCs w:val="24"/>
              </w:rPr>
              <w:t>veřejného osvětlení.</w:t>
            </w:r>
          </w:p>
        </w:tc>
        <w:tc>
          <w:tcPr>
            <w:tcW w:w="4528" w:type="dxa"/>
            <w:shd w:val="clear" w:color="auto" w:fill="E5DFEC"/>
          </w:tcPr>
          <w:p w14:paraId="000D02EA" w14:textId="77777777" w:rsidR="00E01070" w:rsidRPr="007C6AE7" w:rsidRDefault="00E01070" w:rsidP="00FB7BF4">
            <w:pPr>
              <w:suppressAutoHyphens/>
              <w:spacing w:before="0"/>
              <w:ind w:left="173"/>
              <w:contextualSpacing/>
              <w:jc w:val="left"/>
              <w:rPr>
                <w:szCs w:val="24"/>
              </w:rPr>
            </w:pPr>
          </w:p>
          <w:p w14:paraId="0E357BF0" w14:textId="148D8DAE" w:rsidR="00E01070" w:rsidRDefault="00E01070" w:rsidP="00E01070">
            <w:pPr>
              <w:numPr>
                <w:ilvl w:val="0"/>
                <w:numId w:val="13"/>
              </w:numPr>
              <w:spacing w:before="0"/>
              <w:ind w:left="173" w:hanging="173"/>
              <w:jc w:val="left"/>
            </w:pPr>
            <w:r>
              <w:t>Další nárůst dopravní intenzity</w:t>
            </w:r>
            <w:r w:rsidR="001D0018">
              <w:t>.</w:t>
            </w:r>
          </w:p>
          <w:p w14:paraId="34E0711E" w14:textId="15810755" w:rsidR="00E01070" w:rsidRPr="00E949A5" w:rsidRDefault="00E01070" w:rsidP="00E01070">
            <w:pPr>
              <w:numPr>
                <w:ilvl w:val="0"/>
                <w:numId w:val="13"/>
              </w:numPr>
              <w:spacing w:before="0"/>
              <w:ind w:left="173" w:hanging="173"/>
              <w:jc w:val="left"/>
            </w:pPr>
            <w:r>
              <w:t>Ovlivnění využití veřejné hromadné dopravy např. pandemií</w:t>
            </w:r>
            <w:r w:rsidR="001D0018">
              <w:t>.</w:t>
            </w:r>
          </w:p>
          <w:p w14:paraId="2160659C" w14:textId="1203076C" w:rsidR="00E01070" w:rsidRDefault="00E01070" w:rsidP="00E01070">
            <w:pPr>
              <w:numPr>
                <w:ilvl w:val="0"/>
                <w:numId w:val="13"/>
              </w:numPr>
              <w:suppressAutoHyphens/>
              <w:spacing w:before="0"/>
              <w:ind w:left="173" w:hanging="173"/>
              <w:contextualSpacing/>
              <w:jc w:val="left"/>
              <w:rPr>
                <w:szCs w:val="24"/>
              </w:rPr>
            </w:pPr>
            <w:r>
              <w:rPr>
                <w:szCs w:val="24"/>
              </w:rPr>
              <w:t>Zpoždění ve výstavbě důležitých dopravních staveb</w:t>
            </w:r>
            <w:r w:rsidR="001D0018">
              <w:rPr>
                <w:szCs w:val="24"/>
              </w:rPr>
              <w:t>.</w:t>
            </w:r>
          </w:p>
          <w:p w14:paraId="0A26CD8B" w14:textId="19406EE9" w:rsidR="00E01070" w:rsidRDefault="00E01070" w:rsidP="00E01070">
            <w:pPr>
              <w:numPr>
                <w:ilvl w:val="0"/>
                <w:numId w:val="13"/>
              </w:numPr>
              <w:suppressAutoHyphens/>
              <w:spacing w:before="0"/>
              <w:ind w:left="173" w:hanging="173"/>
              <w:contextualSpacing/>
              <w:jc w:val="left"/>
              <w:rPr>
                <w:szCs w:val="24"/>
              </w:rPr>
            </w:pPr>
            <w:r>
              <w:rPr>
                <w:szCs w:val="24"/>
              </w:rPr>
              <w:t>Růst další automobilizace obyvatelstva</w:t>
            </w:r>
            <w:r w:rsidR="001D0018">
              <w:rPr>
                <w:szCs w:val="24"/>
              </w:rPr>
              <w:t>.</w:t>
            </w:r>
          </w:p>
          <w:p w14:paraId="0DA805FF" w14:textId="57EBAEB8" w:rsidR="00E01070" w:rsidRDefault="00E01070" w:rsidP="00E01070">
            <w:pPr>
              <w:numPr>
                <w:ilvl w:val="0"/>
                <w:numId w:val="13"/>
              </w:numPr>
              <w:suppressAutoHyphens/>
              <w:spacing w:before="0"/>
              <w:ind w:left="173" w:hanging="173"/>
              <w:contextualSpacing/>
              <w:jc w:val="left"/>
              <w:rPr>
                <w:szCs w:val="24"/>
              </w:rPr>
            </w:pPr>
            <w:r>
              <w:rPr>
                <w:szCs w:val="24"/>
              </w:rPr>
              <w:t>Přetížení dopravního systému z důvodu developerské výstavby, změn v občanské vybavenosti a dalších veřejných služeb</w:t>
            </w:r>
            <w:r w:rsidR="001D0018">
              <w:rPr>
                <w:szCs w:val="24"/>
              </w:rPr>
              <w:t>.</w:t>
            </w:r>
          </w:p>
          <w:p w14:paraId="01FAB978" w14:textId="079AAD07" w:rsidR="00E01070" w:rsidRDefault="00E01070" w:rsidP="00E01070">
            <w:pPr>
              <w:numPr>
                <w:ilvl w:val="0"/>
                <w:numId w:val="13"/>
              </w:numPr>
              <w:suppressAutoHyphens/>
              <w:spacing w:before="0"/>
              <w:ind w:left="173" w:hanging="173"/>
              <w:contextualSpacing/>
              <w:jc w:val="left"/>
              <w:rPr>
                <w:szCs w:val="24"/>
              </w:rPr>
            </w:pPr>
            <w:r>
              <w:rPr>
                <w:szCs w:val="24"/>
              </w:rPr>
              <w:t>V rámci modernizace sportovišť může dojít k nedostatečnému řešení systému parkování při pořádání velkých sportovních akcí (již v současné době jsou na hranici své kapacity)</w:t>
            </w:r>
            <w:r w:rsidR="001D0018">
              <w:rPr>
                <w:szCs w:val="24"/>
              </w:rPr>
              <w:t>.</w:t>
            </w:r>
          </w:p>
          <w:p w14:paraId="0AA9DC0E" w14:textId="77777777" w:rsidR="00E01070" w:rsidRPr="00BC1A35" w:rsidRDefault="00E01070" w:rsidP="00FB7BF4">
            <w:pPr>
              <w:suppressAutoHyphens/>
              <w:spacing w:before="0"/>
              <w:ind w:left="360"/>
              <w:contextualSpacing/>
              <w:jc w:val="left"/>
              <w:rPr>
                <w:szCs w:val="24"/>
              </w:rPr>
            </w:pPr>
          </w:p>
        </w:tc>
      </w:tr>
    </w:tbl>
    <w:p w14:paraId="0E99BDB4" w14:textId="77777777" w:rsidR="00E01070" w:rsidRDefault="00E01070" w:rsidP="00E01070"/>
    <w:p w14:paraId="3B0F5694" w14:textId="77777777" w:rsidR="00E01070" w:rsidRDefault="00E01070" w:rsidP="00E01070">
      <w:pPr>
        <w:spacing w:before="0" w:after="160" w:line="259" w:lineRule="auto"/>
        <w:jc w:val="left"/>
      </w:pPr>
      <w:r>
        <w:br w:type="page"/>
      </w:r>
    </w:p>
    <w:p w14:paraId="56794617" w14:textId="77777777" w:rsidR="00E01070" w:rsidRDefault="00E01070" w:rsidP="00E01070">
      <w:pPr>
        <w:pStyle w:val="Nadpis3"/>
        <w:ind w:left="720"/>
      </w:pPr>
      <w:bookmarkStart w:id="1169" w:name="_Toc50034519"/>
      <w:bookmarkStart w:id="1170" w:name="_Toc53474277"/>
      <w:bookmarkStart w:id="1171" w:name="_Toc77074679"/>
      <w:r>
        <w:t>SWOT analýza</w:t>
      </w:r>
      <w:bookmarkEnd w:id="1169"/>
      <w:r>
        <w:t xml:space="preserve"> tematické oblasti Bezpečnost</w:t>
      </w:r>
      <w:bookmarkEnd w:id="1170"/>
      <w:bookmarkEnd w:id="1171"/>
    </w:p>
    <w:p w14:paraId="0582CC1B" w14:textId="77777777" w:rsidR="00E01070" w:rsidRPr="00540857" w:rsidRDefault="00E01070" w:rsidP="00E01070">
      <w:pPr>
        <w:keepNext/>
        <w:keepLines/>
      </w:pPr>
      <w:r>
        <w:t xml:space="preserve">Výroky ve SWOT analýzy vychází z analytických podkladů a ze SWOT analýzy Plánu preventivních aktivit města Zlína na léta 2020 – 2022. </w:t>
      </w:r>
    </w:p>
    <w:tbl>
      <w:tblPr>
        <w:tblStyle w:val="Mkatabulky2"/>
        <w:tblW w:w="0" w:type="auto"/>
        <w:tblLook w:val="04A0" w:firstRow="1" w:lastRow="0" w:firstColumn="1" w:lastColumn="0" w:noHBand="0" w:noVBand="1"/>
      </w:tblPr>
      <w:tblGrid>
        <w:gridCol w:w="4533"/>
        <w:gridCol w:w="4529"/>
      </w:tblGrid>
      <w:tr w:rsidR="00E01070" w:rsidRPr="00BC1A35" w14:paraId="76A6CF09" w14:textId="77777777" w:rsidTr="00FB7BF4">
        <w:trPr>
          <w:cantSplit/>
          <w:tblHeader/>
        </w:trPr>
        <w:tc>
          <w:tcPr>
            <w:tcW w:w="4533" w:type="dxa"/>
            <w:shd w:val="clear" w:color="auto" w:fill="FF7C80"/>
          </w:tcPr>
          <w:p w14:paraId="05DCE2EE" w14:textId="77777777" w:rsidR="00E01070" w:rsidRPr="00BC1A35" w:rsidRDefault="00E01070" w:rsidP="00FB7BF4">
            <w:pPr>
              <w:spacing w:before="0"/>
              <w:jc w:val="center"/>
              <w:rPr>
                <w:b/>
                <w:szCs w:val="24"/>
              </w:rPr>
            </w:pPr>
            <w:r w:rsidRPr="00BC1A35">
              <w:rPr>
                <w:b/>
                <w:szCs w:val="24"/>
              </w:rPr>
              <w:t>SILNÉ STRÁNKY</w:t>
            </w:r>
          </w:p>
        </w:tc>
        <w:tc>
          <w:tcPr>
            <w:tcW w:w="4530" w:type="dxa"/>
            <w:shd w:val="clear" w:color="auto" w:fill="B8CCE4"/>
          </w:tcPr>
          <w:p w14:paraId="05FA8401" w14:textId="77777777" w:rsidR="00E01070" w:rsidRPr="00BC1A35" w:rsidRDefault="00E01070" w:rsidP="00FB7BF4">
            <w:pPr>
              <w:spacing w:before="0"/>
              <w:jc w:val="center"/>
              <w:rPr>
                <w:b/>
                <w:szCs w:val="24"/>
              </w:rPr>
            </w:pPr>
            <w:r w:rsidRPr="00BC1A35">
              <w:rPr>
                <w:b/>
                <w:szCs w:val="24"/>
              </w:rPr>
              <w:t>SLABÉ STRÁNKY</w:t>
            </w:r>
          </w:p>
        </w:tc>
      </w:tr>
      <w:tr w:rsidR="00E01070" w:rsidRPr="00BC1A35" w14:paraId="6DE7B918" w14:textId="77777777" w:rsidTr="00FB7BF4">
        <w:trPr>
          <w:cantSplit/>
          <w:trHeight w:val="3177"/>
        </w:trPr>
        <w:tc>
          <w:tcPr>
            <w:tcW w:w="4533" w:type="dxa"/>
            <w:shd w:val="clear" w:color="auto" w:fill="FFDDDD"/>
          </w:tcPr>
          <w:p w14:paraId="786180B4" w14:textId="77777777" w:rsidR="00E01070" w:rsidRPr="0045137D" w:rsidRDefault="00E01070" w:rsidP="00FB7BF4">
            <w:pPr>
              <w:suppressAutoHyphens/>
              <w:spacing w:before="0"/>
              <w:ind w:left="171"/>
              <w:contextualSpacing/>
              <w:jc w:val="left"/>
              <w:rPr>
                <w:sz w:val="12"/>
                <w:szCs w:val="24"/>
              </w:rPr>
            </w:pPr>
          </w:p>
          <w:p w14:paraId="4F938415" w14:textId="53EC9366" w:rsidR="00E01070" w:rsidRPr="00F12BA3" w:rsidRDefault="00E01070" w:rsidP="00E01070">
            <w:pPr>
              <w:pStyle w:val="Odstavecseseznamem"/>
              <w:numPr>
                <w:ilvl w:val="0"/>
                <w:numId w:val="12"/>
              </w:numPr>
              <w:suppressAutoHyphens/>
              <w:spacing w:before="0" w:after="160"/>
              <w:ind w:left="171" w:hanging="171"/>
              <w:jc w:val="left"/>
              <w:rPr>
                <w:szCs w:val="24"/>
              </w:rPr>
            </w:pPr>
            <w:r>
              <w:t>Nízká úroveň kriminality s klesajícím trendem v rámci srovnání se stejně velkými krajskými městy</w:t>
            </w:r>
            <w:r w:rsidR="001D0018">
              <w:t>.</w:t>
            </w:r>
          </w:p>
          <w:p w14:paraId="693EFBDC" w14:textId="35DF9030" w:rsidR="00E01070" w:rsidRDefault="00E01070" w:rsidP="00E01070">
            <w:pPr>
              <w:pStyle w:val="Odstavecseseznamem"/>
              <w:numPr>
                <w:ilvl w:val="0"/>
                <w:numId w:val="12"/>
              </w:numPr>
              <w:suppressAutoHyphens/>
              <w:spacing w:before="0" w:after="160"/>
              <w:ind w:left="171" w:hanging="171"/>
              <w:jc w:val="left"/>
            </w:pPr>
            <w:r>
              <w:t>Občané se ve městě cítí bezpečně</w:t>
            </w:r>
            <w:r w:rsidR="001D0018">
              <w:t>.</w:t>
            </w:r>
          </w:p>
          <w:p w14:paraId="305105C8" w14:textId="06C6BE28" w:rsidR="00E01070" w:rsidRDefault="00E01070" w:rsidP="00E01070">
            <w:pPr>
              <w:pStyle w:val="Odstavecseseznamem"/>
              <w:numPr>
                <w:ilvl w:val="0"/>
                <w:numId w:val="12"/>
              </w:numPr>
              <w:suppressAutoHyphens/>
              <w:spacing w:before="0" w:after="160"/>
              <w:ind w:left="171" w:hanging="171"/>
              <w:jc w:val="left"/>
            </w:pPr>
            <w:r>
              <w:t>Plán preventivních aktivit města Zlína na léta 2020</w:t>
            </w:r>
            <w:r w:rsidR="001D0018">
              <w:t> </w:t>
            </w:r>
            <w:r w:rsidR="001D0018">
              <w:sym w:font="Symbol" w:char="F02D"/>
            </w:r>
            <w:r>
              <w:t xml:space="preserve"> 2022</w:t>
            </w:r>
            <w:r w:rsidR="001D0018">
              <w:t>.</w:t>
            </w:r>
          </w:p>
          <w:p w14:paraId="2F57A1D9" w14:textId="1179AA39" w:rsidR="00E01070" w:rsidRPr="00F15AAD" w:rsidRDefault="00E01070" w:rsidP="00E01070">
            <w:pPr>
              <w:pStyle w:val="Odstavecseseznamem"/>
              <w:numPr>
                <w:ilvl w:val="0"/>
                <w:numId w:val="12"/>
              </w:numPr>
              <w:suppressAutoHyphens/>
              <w:spacing w:before="0" w:after="160"/>
              <w:ind w:left="171" w:hanging="171"/>
              <w:jc w:val="left"/>
              <w:rPr>
                <w:szCs w:val="24"/>
              </w:rPr>
            </w:pPr>
            <w:r>
              <w:t>Kvalitně zpracovaný a funkční Krizový plán a Havarijní plán ORP Zlín</w:t>
            </w:r>
            <w:r w:rsidR="001D0018">
              <w:t>.</w:t>
            </w:r>
          </w:p>
          <w:p w14:paraId="4FE8D3A7" w14:textId="281BBE55" w:rsidR="00E01070" w:rsidRPr="00F15AAD" w:rsidRDefault="00E01070" w:rsidP="00E01070">
            <w:pPr>
              <w:pStyle w:val="Odstavecseseznamem"/>
              <w:numPr>
                <w:ilvl w:val="0"/>
                <w:numId w:val="12"/>
              </w:numPr>
              <w:suppressAutoHyphens/>
              <w:spacing w:before="0" w:after="160"/>
              <w:ind w:left="171" w:hanging="171"/>
              <w:jc w:val="left"/>
              <w:rPr>
                <w:szCs w:val="24"/>
              </w:rPr>
            </w:pPr>
            <w:r>
              <w:t>Digitální povodňový plán města s provázaností na výstražný informační systém ochrany (VISO)</w:t>
            </w:r>
            <w:r w:rsidR="001D0018">
              <w:t>.</w:t>
            </w:r>
          </w:p>
          <w:p w14:paraId="320C94FF" w14:textId="4B618A6F" w:rsidR="00E01070" w:rsidRPr="000E4D63" w:rsidRDefault="00E01070" w:rsidP="00E01070">
            <w:pPr>
              <w:pStyle w:val="Odstavecseseznamem"/>
              <w:numPr>
                <w:ilvl w:val="0"/>
                <w:numId w:val="12"/>
              </w:numPr>
              <w:suppressAutoHyphens/>
              <w:spacing w:before="0" w:after="160"/>
              <w:ind w:left="171" w:hanging="171"/>
              <w:jc w:val="left"/>
              <w:rPr>
                <w:szCs w:val="24"/>
              </w:rPr>
            </w:pPr>
            <w:r>
              <w:rPr>
                <w:bCs/>
              </w:rPr>
              <w:t>Velmi dobrá spolupráce s</w:t>
            </w:r>
            <w:r w:rsidRPr="000E4D63">
              <w:rPr>
                <w:bCs/>
              </w:rPr>
              <w:t>lož</w:t>
            </w:r>
            <w:r>
              <w:rPr>
                <w:bCs/>
              </w:rPr>
              <w:t>ek integrovaného záchranného</w:t>
            </w:r>
            <w:r w:rsidRPr="000E4D63">
              <w:rPr>
                <w:bCs/>
              </w:rPr>
              <w:t xml:space="preserve"> systém</w:t>
            </w:r>
            <w:r>
              <w:rPr>
                <w:bCs/>
              </w:rPr>
              <w:t>u</w:t>
            </w:r>
            <w:r w:rsidR="001D0018">
              <w:rPr>
                <w:bCs/>
              </w:rPr>
              <w:t>.</w:t>
            </w:r>
          </w:p>
          <w:p w14:paraId="27BCC09F" w14:textId="7808B011" w:rsidR="00E01070" w:rsidRDefault="00E01070" w:rsidP="00E01070">
            <w:pPr>
              <w:pStyle w:val="Odstavecseseznamem"/>
              <w:numPr>
                <w:ilvl w:val="0"/>
                <w:numId w:val="12"/>
              </w:numPr>
              <w:suppressAutoHyphens/>
              <w:spacing w:before="0" w:after="160"/>
              <w:ind w:left="171" w:hanging="171"/>
              <w:jc w:val="left"/>
            </w:pPr>
            <w:r>
              <w:t>Městská policie Zlín využívající moderní trendy policejní práce</w:t>
            </w:r>
            <w:r w:rsidR="001D0018">
              <w:t>.</w:t>
            </w:r>
            <w:r>
              <w:t xml:space="preserve"> </w:t>
            </w:r>
          </w:p>
          <w:p w14:paraId="0F366044" w14:textId="00578406" w:rsidR="00E01070" w:rsidRDefault="00E01070" w:rsidP="00E01070">
            <w:pPr>
              <w:pStyle w:val="Odstavecseseznamem"/>
              <w:numPr>
                <w:ilvl w:val="0"/>
                <w:numId w:val="12"/>
              </w:numPr>
              <w:suppressAutoHyphens/>
              <w:spacing w:before="0" w:after="160"/>
              <w:ind w:left="171" w:hanging="171"/>
              <w:jc w:val="left"/>
            </w:pPr>
            <w:r>
              <w:t>Digitální městský kamerový dohlížecí systém</w:t>
            </w:r>
            <w:r w:rsidR="001D0018">
              <w:t>.</w:t>
            </w:r>
            <w:r>
              <w:t xml:space="preserve"> </w:t>
            </w:r>
          </w:p>
          <w:p w14:paraId="3417D5A3" w14:textId="387099CB" w:rsidR="00E01070" w:rsidRDefault="00E01070" w:rsidP="00E01070">
            <w:pPr>
              <w:pStyle w:val="Odstavecseseznamem"/>
              <w:numPr>
                <w:ilvl w:val="0"/>
                <w:numId w:val="12"/>
              </w:numPr>
              <w:suppressAutoHyphens/>
              <w:spacing w:before="0" w:after="160"/>
              <w:ind w:left="171" w:hanging="171"/>
              <w:jc w:val="left"/>
            </w:pPr>
            <w:r>
              <w:t>Preventivní akce a projekty v oblasti rizikových projevů chování pro děti, mládež, veřejnost</w:t>
            </w:r>
            <w:r w:rsidR="001D0018">
              <w:t>.</w:t>
            </w:r>
            <w:r>
              <w:t xml:space="preserve">  </w:t>
            </w:r>
          </w:p>
          <w:p w14:paraId="116BAC41" w14:textId="52C8E2C1" w:rsidR="00E01070" w:rsidRDefault="00E01070" w:rsidP="00E01070">
            <w:pPr>
              <w:pStyle w:val="Odstavecseseznamem"/>
              <w:numPr>
                <w:ilvl w:val="0"/>
                <w:numId w:val="12"/>
              </w:numPr>
              <w:suppressAutoHyphens/>
              <w:spacing w:before="0" w:after="160"/>
              <w:ind w:left="171" w:hanging="171"/>
              <w:jc w:val="left"/>
            </w:pPr>
            <w:r>
              <w:t>Preventivní aktivity v oblasti dopravní bezpečnosti u dětí a mládeže</w:t>
            </w:r>
            <w:r w:rsidR="001D0018">
              <w:t>.</w:t>
            </w:r>
          </w:p>
          <w:p w14:paraId="6ABBEB83" w14:textId="736B7F18" w:rsidR="00E01070" w:rsidRDefault="00E01070" w:rsidP="00E01070">
            <w:pPr>
              <w:pStyle w:val="Odstavecseseznamem"/>
              <w:numPr>
                <w:ilvl w:val="0"/>
                <w:numId w:val="12"/>
              </w:numPr>
              <w:suppressAutoHyphens/>
              <w:spacing w:before="0" w:after="160"/>
              <w:ind w:left="171" w:hanging="171"/>
              <w:jc w:val="left"/>
            </w:pPr>
            <w:r>
              <w:t xml:space="preserve">Dobrá spolupráce aktérů v oblasti bezpečnosti (např. spolupráce UTB – samospráva, UTB </w:t>
            </w:r>
            <w:r w:rsidR="0023746C">
              <w:t>–</w:t>
            </w:r>
            <w:r>
              <w:t xml:space="preserve"> soukromý sektor)</w:t>
            </w:r>
            <w:r w:rsidR="001D0018">
              <w:t>.</w:t>
            </w:r>
          </w:p>
          <w:p w14:paraId="4646FFBE" w14:textId="2CCE41CA" w:rsidR="00E01070" w:rsidRPr="00101C8B" w:rsidRDefault="00E01070" w:rsidP="00E01070">
            <w:pPr>
              <w:pStyle w:val="Odstavecseseznamem"/>
              <w:numPr>
                <w:ilvl w:val="0"/>
                <w:numId w:val="12"/>
              </w:numPr>
              <w:suppressAutoHyphens/>
              <w:spacing w:before="0" w:after="160"/>
              <w:ind w:left="171" w:hanging="171"/>
              <w:jc w:val="left"/>
            </w:pPr>
            <w:r>
              <w:t>Široká možnost vzdělávání v oblasti bezpečnostních programů na střed</w:t>
            </w:r>
            <w:r w:rsidR="001D0018">
              <w:t>oškolské a vysokoškolské úrovni.</w:t>
            </w:r>
          </w:p>
        </w:tc>
        <w:tc>
          <w:tcPr>
            <w:tcW w:w="4530" w:type="dxa"/>
            <w:shd w:val="clear" w:color="auto" w:fill="EEF3F8"/>
          </w:tcPr>
          <w:p w14:paraId="2CCDFF3B" w14:textId="77777777" w:rsidR="00E01070" w:rsidRPr="0045137D" w:rsidRDefault="00E01070" w:rsidP="00FB7BF4">
            <w:pPr>
              <w:suppressAutoHyphens/>
              <w:spacing w:before="0"/>
              <w:ind w:left="175"/>
              <w:contextualSpacing/>
              <w:jc w:val="left"/>
              <w:rPr>
                <w:sz w:val="12"/>
                <w:szCs w:val="12"/>
              </w:rPr>
            </w:pPr>
          </w:p>
          <w:p w14:paraId="75C540CA" w14:textId="7FBEB70C" w:rsidR="00E01070" w:rsidRPr="00944DC5" w:rsidRDefault="00E01070" w:rsidP="00E01070">
            <w:pPr>
              <w:numPr>
                <w:ilvl w:val="0"/>
                <w:numId w:val="33"/>
              </w:numPr>
              <w:spacing w:before="0"/>
              <w:jc w:val="left"/>
            </w:pPr>
            <w:r w:rsidRPr="00944DC5">
              <w:t xml:space="preserve">Koncentrace rizikových osob na vybraných </w:t>
            </w:r>
            <w:r>
              <w:t>místech ve městě</w:t>
            </w:r>
            <w:r w:rsidR="001D0018">
              <w:t>.</w:t>
            </w:r>
          </w:p>
          <w:p w14:paraId="2B5374BA" w14:textId="5281514D" w:rsidR="00E01070" w:rsidRDefault="00E01070" w:rsidP="00E01070">
            <w:pPr>
              <w:numPr>
                <w:ilvl w:val="0"/>
                <w:numId w:val="33"/>
              </w:numPr>
              <w:spacing w:before="0"/>
              <w:jc w:val="left"/>
            </w:pPr>
            <w:r w:rsidRPr="00540857">
              <w:t>Dochází k</w:t>
            </w:r>
            <w:r>
              <w:t> </w:t>
            </w:r>
            <w:r w:rsidRPr="00540857">
              <w:t>mírnému nárůstu dopravních nehod, což je také důsledkem zvyšování intenzity dopravy</w:t>
            </w:r>
            <w:r w:rsidR="001D0018">
              <w:t>.</w:t>
            </w:r>
          </w:p>
          <w:p w14:paraId="3BB1DA6A" w14:textId="4618E03F" w:rsidR="00E01070" w:rsidRDefault="00E01070" w:rsidP="00E01070">
            <w:pPr>
              <w:numPr>
                <w:ilvl w:val="0"/>
                <w:numId w:val="33"/>
              </w:numPr>
              <w:spacing w:before="0"/>
              <w:jc w:val="left"/>
            </w:pPr>
            <w:r>
              <w:t>Omezená průjezdnost vozidel IZS v obytných zónách</w:t>
            </w:r>
            <w:r w:rsidR="001D0018">
              <w:t>.</w:t>
            </w:r>
          </w:p>
          <w:p w14:paraId="3114DBFE" w14:textId="1AA4596F" w:rsidR="00E01070" w:rsidRDefault="00E01070" w:rsidP="00E01070">
            <w:pPr>
              <w:numPr>
                <w:ilvl w:val="0"/>
                <w:numId w:val="33"/>
              </w:numPr>
              <w:spacing w:before="0"/>
              <w:jc w:val="left"/>
            </w:pPr>
            <w:r>
              <w:t>Nízká úroveň zabezpečení veřejných institucí a orgánů veřejné správy v oblasti kybernetické bezpečnosti</w:t>
            </w:r>
            <w:r w:rsidR="001D0018">
              <w:t>.</w:t>
            </w:r>
          </w:p>
          <w:p w14:paraId="08485DB1" w14:textId="2E07C686" w:rsidR="00E01070" w:rsidRDefault="00E01070" w:rsidP="00E01070">
            <w:pPr>
              <w:numPr>
                <w:ilvl w:val="0"/>
                <w:numId w:val="33"/>
              </w:numPr>
              <w:spacing w:before="0"/>
              <w:jc w:val="left"/>
            </w:pPr>
            <w:r>
              <w:t>Absence pracovní skupiny prevence kriminality ve struktuře samosprávy města</w:t>
            </w:r>
            <w:r w:rsidR="001D0018">
              <w:t>.</w:t>
            </w:r>
          </w:p>
          <w:p w14:paraId="5B3F0E8A" w14:textId="7B57DC4A" w:rsidR="00E01070" w:rsidRDefault="00E01070" w:rsidP="00E01070">
            <w:pPr>
              <w:numPr>
                <w:ilvl w:val="0"/>
                <w:numId w:val="33"/>
              </w:numPr>
              <w:spacing w:before="0"/>
              <w:jc w:val="left"/>
              <w:rPr>
                <w:szCs w:val="24"/>
              </w:rPr>
            </w:pPr>
            <w:r>
              <w:rPr>
                <w:szCs w:val="24"/>
              </w:rPr>
              <w:t>Nevhodně legislativně nastavený systém výměny informací mezi Krizovým štábem ORP Zlín a Krajskou hygienou stanicí</w:t>
            </w:r>
            <w:r w:rsidR="001D0018">
              <w:rPr>
                <w:szCs w:val="24"/>
              </w:rPr>
              <w:t>.</w:t>
            </w:r>
          </w:p>
          <w:p w14:paraId="1D1DA9AA" w14:textId="74AB0C60" w:rsidR="00E01070" w:rsidRDefault="00E01070" w:rsidP="00E01070">
            <w:pPr>
              <w:numPr>
                <w:ilvl w:val="0"/>
                <w:numId w:val="33"/>
              </w:numPr>
              <w:spacing w:before="0"/>
              <w:jc w:val="left"/>
              <w:rPr>
                <w:szCs w:val="24"/>
              </w:rPr>
            </w:pPr>
            <w:r>
              <w:rPr>
                <w:szCs w:val="24"/>
              </w:rPr>
              <w:t>Potenciální bezpečností riziko vyplývající z blízkosti státní hranice</w:t>
            </w:r>
            <w:r w:rsidR="001D0018">
              <w:rPr>
                <w:szCs w:val="24"/>
              </w:rPr>
              <w:t>.</w:t>
            </w:r>
          </w:p>
          <w:p w14:paraId="160296F5" w14:textId="6106A4B3" w:rsidR="00E01070" w:rsidRPr="007B138E" w:rsidRDefault="00E01070" w:rsidP="00E01070">
            <w:pPr>
              <w:pStyle w:val="Odstavecseseznamem"/>
              <w:numPr>
                <w:ilvl w:val="0"/>
                <w:numId w:val="33"/>
              </w:numPr>
              <w:suppressAutoHyphens/>
              <w:spacing w:before="0" w:after="160"/>
              <w:jc w:val="left"/>
              <w:rPr>
                <w:szCs w:val="24"/>
              </w:rPr>
            </w:pPr>
            <w:r>
              <w:rPr>
                <w:szCs w:val="24"/>
              </w:rPr>
              <w:t xml:space="preserve">Nedostatečný počet </w:t>
            </w:r>
            <w:r w:rsidRPr="007B138E">
              <w:rPr>
                <w:szCs w:val="24"/>
              </w:rPr>
              <w:t>strážníků</w:t>
            </w:r>
            <w:r>
              <w:rPr>
                <w:szCs w:val="24"/>
              </w:rPr>
              <w:t xml:space="preserve"> i policistů na okrskových </w:t>
            </w:r>
            <w:r w:rsidRPr="007B138E">
              <w:rPr>
                <w:szCs w:val="24"/>
              </w:rPr>
              <w:t>pracovišt</w:t>
            </w:r>
            <w:r>
              <w:rPr>
                <w:szCs w:val="24"/>
              </w:rPr>
              <w:t>ích</w:t>
            </w:r>
            <w:r w:rsidRPr="007B138E">
              <w:rPr>
                <w:szCs w:val="24"/>
              </w:rPr>
              <w:t xml:space="preserve"> a místní</w:t>
            </w:r>
            <w:r>
              <w:rPr>
                <w:szCs w:val="24"/>
              </w:rPr>
              <w:t>ch částech města</w:t>
            </w:r>
            <w:r w:rsidRPr="007B138E">
              <w:rPr>
                <w:szCs w:val="24"/>
              </w:rPr>
              <w:t xml:space="preserve"> Zlína</w:t>
            </w:r>
            <w:r w:rsidR="001D0018">
              <w:rPr>
                <w:szCs w:val="24"/>
              </w:rPr>
              <w:t>.</w:t>
            </w:r>
          </w:p>
          <w:p w14:paraId="7C65F151" w14:textId="77777777" w:rsidR="00E01070" w:rsidRPr="00846EEE" w:rsidRDefault="00E01070" w:rsidP="00FB7BF4">
            <w:pPr>
              <w:spacing w:before="0"/>
              <w:ind w:left="170"/>
              <w:jc w:val="left"/>
              <w:rPr>
                <w:szCs w:val="24"/>
              </w:rPr>
            </w:pPr>
          </w:p>
        </w:tc>
      </w:tr>
    </w:tbl>
    <w:p w14:paraId="6DB4B38B" w14:textId="77777777" w:rsidR="00E01070" w:rsidRDefault="00E01070" w:rsidP="00E01070"/>
    <w:tbl>
      <w:tblPr>
        <w:tblStyle w:val="Mkatabulky1"/>
        <w:tblW w:w="0" w:type="auto"/>
        <w:tblLook w:val="04A0" w:firstRow="1" w:lastRow="0" w:firstColumn="1" w:lastColumn="0" w:noHBand="0" w:noVBand="1"/>
      </w:tblPr>
      <w:tblGrid>
        <w:gridCol w:w="4534"/>
        <w:gridCol w:w="4528"/>
      </w:tblGrid>
      <w:tr w:rsidR="00E01070" w:rsidRPr="00BC1A35" w14:paraId="6A74A398" w14:textId="77777777" w:rsidTr="00FB7BF4">
        <w:trPr>
          <w:cantSplit/>
          <w:tblHeader/>
        </w:trPr>
        <w:tc>
          <w:tcPr>
            <w:tcW w:w="4534" w:type="dxa"/>
            <w:shd w:val="clear" w:color="auto" w:fill="F79646"/>
          </w:tcPr>
          <w:p w14:paraId="4858D601" w14:textId="77777777" w:rsidR="00E01070" w:rsidRPr="00BC1A35" w:rsidRDefault="00E01070" w:rsidP="00FB7BF4">
            <w:pPr>
              <w:spacing w:before="0"/>
              <w:jc w:val="center"/>
              <w:rPr>
                <w:b/>
                <w:szCs w:val="24"/>
              </w:rPr>
            </w:pPr>
            <w:r w:rsidRPr="00BC1A35">
              <w:rPr>
                <w:b/>
                <w:szCs w:val="24"/>
              </w:rPr>
              <w:t>PŘÍLEŽITOSTI</w:t>
            </w:r>
          </w:p>
        </w:tc>
        <w:tc>
          <w:tcPr>
            <w:tcW w:w="4528" w:type="dxa"/>
            <w:shd w:val="clear" w:color="auto" w:fill="B2A1C7"/>
          </w:tcPr>
          <w:p w14:paraId="1316BD9B" w14:textId="77777777" w:rsidR="00E01070" w:rsidRPr="00BC1A35" w:rsidRDefault="00E01070" w:rsidP="00FB7BF4">
            <w:pPr>
              <w:spacing w:before="0"/>
              <w:jc w:val="center"/>
              <w:rPr>
                <w:b/>
                <w:szCs w:val="24"/>
              </w:rPr>
            </w:pPr>
            <w:r w:rsidRPr="00BC1A35">
              <w:rPr>
                <w:b/>
                <w:szCs w:val="24"/>
              </w:rPr>
              <w:t>HROZBY</w:t>
            </w:r>
          </w:p>
        </w:tc>
      </w:tr>
      <w:tr w:rsidR="00E01070" w:rsidRPr="00BC1A35" w14:paraId="050479D1" w14:textId="77777777" w:rsidTr="00FB7BF4">
        <w:trPr>
          <w:cantSplit/>
          <w:trHeight w:val="4484"/>
        </w:trPr>
        <w:tc>
          <w:tcPr>
            <w:tcW w:w="4534" w:type="dxa"/>
            <w:shd w:val="clear" w:color="auto" w:fill="FEF7CE"/>
          </w:tcPr>
          <w:p w14:paraId="17B4F894" w14:textId="77777777" w:rsidR="00E01070" w:rsidRDefault="00E01070" w:rsidP="00FB7BF4">
            <w:pPr>
              <w:suppressAutoHyphens/>
              <w:spacing w:before="0"/>
              <w:ind w:left="171"/>
              <w:contextualSpacing/>
              <w:jc w:val="left"/>
              <w:rPr>
                <w:szCs w:val="24"/>
                <w:highlight w:val="yellow"/>
              </w:rPr>
            </w:pPr>
          </w:p>
          <w:p w14:paraId="14B110FF" w14:textId="56E96189" w:rsidR="00E01070" w:rsidRDefault="00E01070" w:rsidP="00E01070">
            <w:pPr>
              <w:numPr>
                <w:ilvl w:val="0"/>
                <w:numId w:val="12"/>
              </w:numPr>
              <w:spacing w:before="0"/>
              <w:ind w:left="313" w:hanging="284"/>
              <w:jc w:val="left"/>
            </w:pPr>
            <w:r>
              <w:t>Nastavení vhodných komunikačních kanálů s ústředními správními orgány a městem a dalšími aktéry v oblasti prevence kriminality a krizového řízení</w:t>
            </w:r>
            <w:r w:rsidR="001D0018">
              <w:t>.</w:t>
            </w:r>
          </w:p>
          <w:p w14:paraId="67E5C832" w14:textId="524F9DEF" w:rsidR="00E01070" w:rsidRPr="007B138E" w:rsidRDefault="00E01070" w:rsidP="00E01070">
            <w:pPr>
              <w:pStyle w:val="Odstavecseseznamem"/>
              <w:numPr>
                <w:ilvl w:val="0"/>
                <w:numId w:val="12"/>
              </w:numPr>
              <w:suppressAutoHyphens/>
              <w:spacing w:before="0" w:after="160"/>
              <w:ind w:left="313" w:hanging="284"/>
              <w:jc w:val="left"/>
              <w:rPr>
                <w:szCs w:val="24"/>
              </w:rPr>
            </w:pPr>
            <w:r>
              <w:rPr>
                <w:szCs w:val="24"/>
              </w:rPr>
              <w:t xml:space="preserve">Rozšiřování a modernizace informačních technologií pro podporu práce bezpečnostních orgánů a IZS (např. kamerový </w:t>
            </w:r>
            <w:r w:rsidRPr="007B138E">
              <w:rPr>
                <w:szCs w:val="24"/>
              </w:rPr>
              <w:t>systém, drony, Událostní informační systém</w:t>
            </w:r>
            <w:r>
              <w:rPr>
                <w:szCs w:val="24"/>
              </w:rPr>
              <w:t>, informační dopravní systém</w:t>
            </w:r>
            <w:r w:rsidRPr="007B138E">
              <w:rPr>
                <w:szCs w:val="24"/>
              </w:rPr>
              <w:t>)</w:t>
            </w:r>
            <w:r w:rsidR="001D0018">
              <w:rPr>
                <w:szCs w:val="24"/>
              </w:rPr>
              <w:t>.</w:t>
            </w:r>
          </w:p>
          <w:p w14:paraId="753E23E4" w14:textId="536AB982" w:rsidR="00E01070" w:rsidRDefault="00E01070" w:rsidP="00E01070">
            <w:pPr>
              <w:pStyle w:val="Odstavecseseznamem"/>
              <w:numPr>
                <w:ilvl w:val="0"/>
                <w:numId w:val="12"/>
              </w:numPr>
              <w:suppressAutoHyphens/>
              <w:spacing w:before="0" w:after="160"/>
              <w:ind w:left="313" w:hanging="284"/>
              <w:jc w:val="left"/>
              <w:rPr>
                <w:szCs w:val="24"/>
              </w:rPr>
            </w:pPr>
            <w:r>
              <w:rPr>
                <w:szCs w:val="24"/>
              </w:rPr>
              <w:t>Posilování důvěry občanů v policejní orgány a zvyšování pocitu bezpečí</w:t>
            </w:r>
            <w:r w:rsidR="001D0018">
              <w:rPr>
                <w:szCs w:val="24"/>
              </w:rPr>
              <w:t>.</w:t>
            </w:r>
          </w:p>
          <w:p w14:paraId="6BF3DA16" w14:textId="405B8858" w:rsidR="00E01070" w:rsidRPr="007B138E" w:rsidRDefault="00E01070" w:rsidP="00E01070">
            <w:pPr>
              <w:pStyle w:val="Odstavecseseznamem"/>
              <w:numPr>
                <w:ilvl w:val="0"/>
                <w:numId w:val="12"/>
              </w:numPr>
              <w:suppressAutoHyphens/>
              <w:spacing w:before="0" w:after="160"/>
              <w:ind w:left="313" w:hanging="284"/>
              <w:jc w:val="left"/>
              <w:rPr>
                <w:szCs w:val="24"/>
              </w:rPr>
            </w:pPr>
            <w:r>
              <w:rPr>
                <w:szCs w:val="24"/>
              </w:rPr>
              <w:t>Posílení terénní</w:t>
            </w:r>
            <w:r w:rsidRPr="007B138E">
              <w:rPr>
                <w:szCs w:val="24"/>
              </w:rPr>
              <w:t xml:space="preserve"> práce sociálních pracovníků s osobami bez přístřeší</w:t>
            </w:r>
            <w:r w:rsidR="001D0018">
              <w:rPr>
                <w:szCs w:val="24"/>
              </w:rPr>
              <w:t>.</w:t>
            </w:r>
          </w:p>
          <w:p w14:paraId="05026C5E" w14:textId="128A62D3" w:rsidR="00E01070" w:rsidRDefault="00E01070" w:rsidP="00E01070">
            <w:pPr>
              <w:pStyle w:val="Odstavecseseznamem"/>
              <w:numPr>
                <w:ilvl w:val="0"/>
                <w:numId w:val="12"/>
              </w:numPr>
              <w:suppressAutoHyphens/>
              <w:spacing w:before="0" w:after="160"/>
              <w:ind w:left="313" w:hanging="284"/>
              <w:jc w:val="left"/>
              <w:rPr>
                <w:szCs w:val="24"/>
              </w:rPr>
            </w:pPr>
            <w:r>
              <w:rPr>
                <w:szCs w:val="24"/>
              </w:rPr>
              <w:t>Zajištění kvalitní úrovně kybernetické bezpečnosti veřejných institucí</w:t>
            </w:r>
            <w:r w:rsidR="001D0018">
              <w:rPr>
                <w:szCs w:val="24"/>
              </w:rPr>
              <w:t>.</w:t>
            </w:r>
          </w:p>
          <w:p w14:paraId="4903F4B1" w14:textId="61FDFDBC" w:rsidR="00E01070" w:rsidRDefault="00E01070" w:rsidP="00E01070">
            <w:pPr>
              <w:pStyle w:val="Odstavecseseznamem"/>
              <w:numPr>
                <w:ilvl w:val="0"/>
                <w:numId w:val="12"/>
              </w:numPr>
              <w:suppressAutoHyphens/>
              <w:spacing w:before="0" w:after="160"/>
              <w:ind w:left="313" w:hanging="284"/>
              <w:jc w:val="left"/>
              <w:rPr>
                <w:szCs w:val="24"/>
              </w:rPr>
            </w:pPr>
            <w:r>
              <w:rPr>
                <w:szCs w:val="24"/>
              </w:rPr>
              <w:t>Zlepšení bezpečnosti dopravy na cyklostezkách a přechodech pro chodce</w:t>
            </w:r>
            <w:r w:rsidR="001D0018">
              <w:rPr>
                <w:szCs w:val="24"/>
              </w:rPr>
              <w:t>.</w:t>
            </w:r>
          </w:p>
          <w:p w14:paraId="37CEFA06" w14:textId="49C98417" w:rsidR="00E01070" w:rsidRPr="00A176C4" w:rsidRDefault="00E01070" w:rsidP="00E01070">
            <w:pPr>
              <w:pStyle w:val="Odstavecseseznamem"/>
              <w:numPr>
                <w:ilvl w:val="0"/>
                <w:numId w:val="12"/>
              </w:numPr>
              <w:suppressAutoHyphens/>
              <w:spacing w:before="0" w:after="160"/>
              <w:ind w:left="313" w:hanging="284"/>
              <w:jc w:val="left"/>
              <w:rPr>
                <w:szCs w:val="24"/>
              </w:rPr>
            </w:pPr>
            <w:r w:rsidRPr="00A176C4">
              <w:rPr>
                <w:szCs w:val="24"/>
              </w:rPr>
              <w:t>Posílení programů civilní ochrany na MŠ, ZŠ, SŠ</w:t>
            </w:r>
            <w:r w:rsidR="001D0018">
              <w:rPr>
                <w:szCs w:val="24"/>
              </w:rPr>
              <w:t>.</w:t>
            </w:r>
          </w:p>
          <w:p w14:paraId="1A5A9C36" w14:textId="52DD3FE5" w:rsidR="00E01070" w:rsidRDefault="00E01070" w:rsidP="00E01070">
            <w:pPr>
              <w:pStyle w:val="Odstavecseseznamem"/>
              <w:numPr>
                <w:ilvl w:val="0"/>
                <w:numId w:val="12"/>
              </w:numPr>
              <w:suppressAutoHyphens/>
              <w:spacing w:before="0" w:after="160"/>
              <w:ind w:left="313" w:hanging="284"/>
              <w:jc w:val="left"/>
              <w:rPr>
                <w:szCs w:val="24"/>
              </w:rPr>
            </w:pPr>
            <w:r>
              <w:rPr>
                <w:szCs w:val="24"/>
              </w:rPr>
              <w:t>Větší míra informovanosti veřejnosti a zapojení zájmových skupin obyvatel do preventivních aktivit, vyšší míra připravenosti na krizové situace</w:t>
            </w:r>
            <w:r w:rsidR="001D0018">
              <w:rPr>
                <w:szCs w:val="24"/>
              </w:rPr>
              <w:t>.</w:t>
            </w:r>
          </w:p>
          <w:p w14:paraId="212789E7" w14:textId="0CE9105B" w:rsidR="00E01070" w:rsidRPr="0017322B" w:rsidRDefault="00E01070" w:rsidP="00E01070">
            <w:pPr>
              <w:pStyle w:val="Odstavecseseznamem"/>
              <w:numPr>
                <w:ilvl w:val="0"/>
                <w:numId w:val="12"/>
              </w:numPr>
              <w:suppressAutoHyphens/>
              <w:spacing w:before="0" w:after="160"/>
              <w:ind w:left="313" w:hanging="284"/>
              <w:jc w:val="left"/>
              <w:rPr>
                <w:szCs w:val="24"/>
              </w:rPr>
            </w:pPr>
            <w:r w:rsidRPr="0017322B">
              <w:rPr>
                <w:szCs w:val="24"/>
              </w:rPr>
              <w:t>Efektivní sys</w:t>
            </w:r>
            <w:r>
              <w:rPr>
                <w:szCs w:val="24"/>
              </w:rPr>
              <w:t xml:space="preserve">tém monitorování, vyhodnocování, spolupráce </w:t>
            </w:r>
            <w:r w:rsidRPr="0017322B">
              <w:rPr>
                <w:szCs w:val="24"/>
              </w:rPr>
              <w:t xml:space="preserve">a reakce </w:t>
            </w:r>
            <w:r>
              <w:rPr>
                <w:szCs w:val="24"/>
              </w:rPr>
              <w:t>na globální bezpečnostní rizika</w:t>
            </w:r>
            <w:r w:rsidR="001D0018">
              <w:rPr>
                <w:szCs w:val="24"/>
              </w:rPr>
              <w:t>.</w:t>
            </w:r>
          </w:p>
          <w:p w14:paraId="04E224EF" w14:textId="64253691" w:rsidR="00E01070" w:rsidRDefault="00E01070" w:rsidP="00E01070">
            <w:pPr>
              <w:pStyle w:val="Odstavecseseznamem"/>
              <w:numPr>
                <w:ilvl w:val="0"/>
                <w:numId w:val="12"/>
              </w:numPr>
              <w:suppressAutoHyphens/>
              <w:spacing w:before="0" w:after="160"/>
              <w:ind w:left="313" w:hanging="284"/>
              <w:jc w:val="left"/>
              <w:rPr>
                <w:szCs w:val="24"/>
              </w:rPr>
            </w:pPr>
            <w:r>
              <w:rPr>
                <w:szCs w:val="24"/>
              </w:rPr>
              <w:t>Spolupráce města v oblasti bezpečnosti a krizového řízení s Univerzitou Tomáše</w:t>
            </w:r>
            <w:r w:rsidRPr="00B27286">
              <w:rPr>
                <w:szCs w:val="24"/>
              </w:rPr>
              <w:t xml:space="preserve"> Bati</w:t>
            </w:r>
            <w:r w:rsidR="001D0018">
              <w:rPr>
                <w:szCs w:val="24"/>
              </w:rPr>
              <w:t>.</w:t>
            </w:r>
            <w:r w:rsidRPr="00B27286">
              <w:rPr>
                <w:szCs w:val="24"/>
              </w:rPr>
              <w:t xml:space="preserve"> </w:t>
            </w:r>
          </w:p>
          <w:p w14:paraId="72AF9945" w14:textId="02AB4BC5" w:rsidR="00E01070" w:rsidRDefault="00E01070" w:rsidP="00E01070">
            <w:pPr>
              <w:pStyle w:val="Odstavecseseznamem"/>
              <w:numPr>
                <w:ilvl w:val="0"/>
                <w:numId w:val="12"/>
              </w:numPr>
              <w:suppressAutoHyphens/>
              <w:spacing w:before="0" w:after="160"/>
              <w:ind w:left="313" w:hanging="284"/>
              <w:jc w:val="left"/>
              <w:rPr>
                <w:szCs w:val="24"/>
              </w:rPr>
            </w:pPr>
            <w:r>
              <w:rPr>
                <w:szCs w:val="24"/>
              </w:rPr>
              <w:t>Využití d</w:t>
            </w:r>
            <w:r w:rsidRPr="00B27286">
              <w:rPr>
                <w:szCs w:val="24"/>
              </w:rPr>
              <w:t>otační</w:t>
            </w:r>
            <w:r>
              <w:rPr>
                <w:szCs w:val="24"/>
              </w:rPr>
              <w:t>ch titulů</w:t>
            </w:r>
            <w:r w:rsidR="001D0018">
              <w:rPr>
                <w:szCs w:val="24"/>
              </w:rPr>
              <w:t>.</w:t>
            </w:r>
          </w:p>
          <w:p w14:paraId="5597F1F6" w14:textId="0086780C" w:rsidR="00E01070" w:rsidRPr="000A720B" w:rsidRDefault="00E01070" w:rsidP="00E01070">
            <w:pPr>
              <w:pStyle w:val="Odstavecseseznamem"/>
              <w:numPr>
                <w:ilvl w:val="0"/>
                <w:numId w:val="12"/>
              </w:numPr>
              <w:suppressAutoHyphens/>
              <w:spacing w:before="0" w:after="160"/>
              <w:ind w:left="313" w:hanging="284"/>
              <w:jc w:val="left"/>
              <w:rPr>
                <w:szCs w:val="24"/>
              </w:rPr>
            </w:pPr>
            <w:r>
              <w:rPr>
                <w:szCs w:val="24"/>
              </w:rPr>
              <w:t>Věnovat pozornost ochraně obyvatelstva ukrytím</w:t>
            </w:r>
            <w:r w:rsidR="001D0018">
              <w:rPr>
                <w:szCs w:val="24"/>
              </w:rPr>
              <w:t>.</w:t>
            </w:r>
          </w:p>
        </w:tc>
        <w:tc>
          <w:tcPr>
            <w:tcW w:w="4528" w:type="dxa"/>
            <w:shd w:val="clear" w:color="auto" w:fill="E5DFEC"/>
          </w:tcPr>
          <w:p w14:paraId="412A5AFC" w14:textId="77777777" w:rsidR="00E01070" w:rsidRPr="007C6AE7" w:rsidRDefault="00E01070" w:rsidP="00FB7BF4">
            <w:pPr>
              <w:suppressAutoHyphens/>
              <w:spacing w:before="0"/>
              <w:ind w:left="173"/>
              <w:contextualSpacing/>
              <w:jc w:val="left"/>
              <w:rPr>
                <w:szCs w:val="24"/>
              </w:rPr>
            </w:pPr>
          </w:p>
          <w:p w14:paraId="10F14F9D" w14:textId="41B80FAC" w:rsidR="00E01070" w:rsidRDefault="00E01070" w:rsidP="00E01070">
            <w:pPr>
              <w:numPr>
                <w:ilvl w:val="0"/>
                <w:numId w:val="13"/>
              </w:numPr>
              <w:spacing w:before="0"/>
              <w:jc w:val="left"/>
            </w:pPr>
            <w:r>
              <w:t>Nelegální migrace osob</w:t>
            </w:r>
            <w:r w:rsidR="001D0018">
              <w:t>.</w:t>
            </w:r>
          </w:p>
          <w:p w14:paraId="1487FA40" w14:textId="4D3E0382" w:rsidR="00E01070" w:rsidRDefault="00E01070" w:rsidP="00E01070">
            <w:pPr>
              <w:numPr>
                <w:ilvl w:val="0"/>
                <w:numId w:val="13"/>
              </w:numPr>
              <w:spacing w:before="0"/>
              <w:jc w:val="left"/>
            </w:pPr>
            <w:r>
              <w:t>Omezení finančních zdrojů na aktivity zaměřené na prevenci kriminality a ochranu obyvatelstva</w:t>
            </w:r>
            <w:r w:rsidR="001D0018">
              <w:t>.</w:t>
            </w:r>
          </w:p>
          <w:p w14:paraId="3F983647" w14:textId="6D1CFC4D" w:rsidR="00E01070" w:rsidRDefault="00E01070" w:rsidP="00E01070">
            <w:pPr>
              <w:numPr>
                <w:ilvl w:val="0"/>
                <w:numId w:val="13"/>
              </w:numPr>
              <w:spacing w:before="0"/>
              <w:jc w:val="left"/>
            </w:pPr>
            <w:r>
              <w:t>Zvýšené negativní reakce obyvate</w:t>
            </w:r>
            <w:r w:rsidR="001D0018">
              <w:t>l na sociálně vyloučené skupiny.</w:t>
            </w:r>
          </w:p>
          <w:p w14:paraId="4D671124" w14:textId="0C08174D" w:rsidR="00E01070" w:rsidRPr="007B138E" w:rsidRDefault="00E01070" w:rsidP="00E01070">
            <w:pPr>
              <w:numPr>
                <w:ilvl w:val="0"/>
                <w:numId w:val="13"/>
              </w:numPr>
              <w:spacing w:before="0"/>
              <w:jc w:val="left"/>
            </w:pPr>
            <w:r w:rsidRPr="007B138E">
              <w:t>Nárůst počtu sociálně vyloučených osob, větší počet osob bez domova</w:t>
            </w:r>
            <w:r>
              <w:t>, snižování věkové hranice</w:t>
            </w:r>
            <w:r w:rsidRPr="007B138E">
              <w:t>, zvýšená agresivita jedinců</w:t>
            </w:r>
            <w:r w:rsidR="001D0018">
              <w:t>.</w:t>
            </w:r>
          </w:p>
          <w:p w14:paraId="060979A2" w14:textId="2D72AC3B" w:rsidR="00E01070" w:rsidRPr="007B138E" w:rsidRDefault="00E01070" w:rsidP="00E01070">
            <w:pPr>
              <w:numPr>
                <w:ilvl w:val="0"/>
                <w:numId w:val="13"/>
              </w:numPr>
              <w:spacing w:before="0"/>
              <w:jc w:val="left"/>
            </w:pPr>
            <w:r>
              <w:t>Omezená legislativa</w:t>
            </w:r>
            <w:r w:rsidRPr="007B138E">
              <w:t xml:space="preserve"> </w:t>
            </w:r>
            <w:r>
              <w:t>ne</w:t>
            </w:r>
            <w:r w:rsidRPr="007B138E">
              <w:t>umožňující bezpečnostním složkám efektivně zajišťovat veřejný pořádek</w:t>
            </w:r>
            <w:r w:rsidR="001D0018">
              <w:t>.</w:t>
            </w:r>
          </w:p>
          <w:p w14:paraId="348BF061" w14:textId="2346234F" w:rsidR="00E01070" w:rsidRPr="00E855DB" w:rsidRDefault="00E01070" w:rsidP="00E01070">
            <w:pPr>
              <w:numPr>
                <w:ilvl w:val="0"/>
                <w:numId w:val="13"/>
              </w:numPr>
              <w:spacing w:before="0"/>
              <w:jc w:val="left"/>
            </w:pPr>
            <w:r>
              <w:t xml:space="preserve">Nárůst rizikových projevů chování u dětí a mladistvých včetně </w:t>
            </w:r>
            <w:r w:rsidRPr="00E855DB">
              <w:t>zneužívání alkoholu a </w:t>
            </w:r>
            <w:r>
              <w:t>návykových látek</w:t>
            </w:r>
            <w:r w:rsidR="001D0018">
              <w:t>.</w:t>
            </w:r>
          </w:p>
          <w:p w14:paraId="77917960" w14:textId="31FFC361" w:rsidR="00E01070" w:rsidRDefault="00E01070" w:rsidP="00E01070">
            <w:pPr>
              <w:numPr>
                <w:ilvl w:val="0"/>
                <w:numId w:val="13"/>
              </w:numPr>
              <w:spacing w:before="0"/>
              <w:jc w:val="left"/>
            </w:pPr>
            <w:r>
              <w:t>Nedostatek nízkoprahových volnočasových aktivit pro rizikové skupiny</w:t>
            </w:r>
            <w:r w:rsidRPr="003E7884">
              <w:t xml:space="preserve"> mládež</w:t>
            </w:r>
            <w:r>
              <w:t>e</w:t>
            </w:r>
            <w:r w:rsidR="001D0018">
              <w:t>.</w:t>
            </w:r>
          </w:p>
          <w:p w14:paraId="22EA444C" w14:textId="3BF72300" w:rsidR="00E01070" w:rsidRDefault="00E01070" w:rsidP="00E01070">
            <w:pPr>
              <w:numPr>
                <w:ilvl w:val="0"/>
                <w:numId w:val="13"/>
              </w:numPr>
              <w:spacing w:before="0"/>
              <w:jc w:val="left"/>
            </w:pPr>
            <w:r>
              <w:t>Zadlužování obyvatel</w:t>
            </w:r>
            <w:r w:rsidR="001D0018">
              <w:t>.</w:t>
            </w:r>
          </w:p>
          <w:p w14:paraId="104AEB28" w14:textId="13068AC6" w:rsidR="00E01070" w:rsidRPr="00EA7A95" w:rsidRDefault="00E01070" w:rsidP="00E01070">
            <w:pPr>
              <w:numPr>
                <w:ilvl w:val="0"/>
                <w:numId w:val="13"/>
              </w:numPr>
              <w:spacing w:before="0"/>
              <w:jc w:val="left"/>
              <w:rPr>
                <w:szCs w:val="24"/>
              </w:rPr>
            </w:pPr>
            <w:r>
              <w:t>Zvyšující se počet dopravních nehod</w:t>
            </w:r>
            <w:r w:rsidR="001D0018">
              <w:t>.</w:t>
            </w:r>
          </w:p>
          <w:p w14:paraId="252C2551" w14:textId="7D068440" w:rsidR="00E01070" w:rsidRPr="00450E3B" w:rsidRDefault="00E01070" w:rsidP="00E01070">
            <w:pPr>
              <w:numPr>
                <w:ilvl w:val="0"/>
                <w:numId w:val="13"/>
              </w:numPr>
              <w:spacing w:before="0"/>
              <w:jc w:val="left"/>
              <w:rPr>
                <w:szCs w:val="24"/>
              </w:rPr>
            </w:pPr>
            <w:r>
              <w:t>Nedostatečné zajištění kybernetické bezpečnosti, ohrožení fungování kritických infrastruktur</w:t>
            </w:r>
            <w:r w:rsidR="001D0018">
              <w:t>.</w:t>
            </w:r>
          </w:p>
          <w:p w14:paraId="29A0485A" w14:textId="0E03018D" w:rsidR="00E01070" w:rsidRPr="00BC1A35" w:rsidRDefault="00E01070" w:rsidP="00E01070">
            <w:pPr>
              <w:numPr>
                <w:ilvl w:val="0"/>
                <w:numId w:val="13"/>
              </w:numPr>
              <w:spacing w:before="0"/>
              <w:jc w:val="left"/>
              <w:rPr>
                <w:szCs w:val="24"/>
              </w:rPr>
            </w:pPr>
            <w:r>
              <w:t>Nedostatečné zohlednění bezpečnostních rizik při pořádání hromadných akcí a budování nových objektů pro tyto akce (sportovní i kulturní)</w:t>
            </w:r>
            <w:r w:rsidR="001D0018">
              <w:t>.</w:t>
            </w:r>
            <w:r>
              <w:t xml:space="preserve"> </w:t>
            </w:r>
          </w:p>
        </w:tc>
      </w:tr>
    </w:tbl>
    <w:p w14:paraId="17C20797" w14:textId="77777777" w:rsidR="00E01070" w:rsidRDefault="00E01070" w:rsidP="00E01070"/>
    <w:p w14:paraId="09A9FC55" w14:textId="77777777" w:rsidR="00E01070" w:rsidRDefault="00E01070" w:rsidP="00E01070"/>
    <w:p w14:paraId="5941FF80" w14:textId="77777777" w:rsidR="00E01070" w:rsidRPr="000A26EF" w:rsidRDefault="00E01070" w:rsidP="00E01070"/>
    <w:p w14:paraId="53F3BB4C" w14:textId="77777777" w:rsidR="00E01070" w:rsidRDefault="00E01070" w:rsidP="00E01070">
      <w:pPr>
        <w:pStyle w:val="Nadpis3"/>
        <w:ind w:left="720"/>
      </w:pPr>
      <w:r w:rsidRPr="000A26EF">
        <w:br w:type="page"/>
      </w:r>
      <w:bookmarkStart w:id="1172" w:name="_Toc50466298"/>
      <w:bookmarkStart w:id="1173" w:name="_Toc53474278"/>
      <w:bookmarkStart w:id="1174" w:name="_Toc77074680"/>
      <w:r>
        <w:t>SWOT analýza</w:t>
      </w:r>
      <w:bookmarkEnd w:id="1172"/>
      <w:r>
        <w:t xml:space="preserve"> tematické oblasti Vstřícné město</w:t>
      </w:r>
      <w:bookmarkEnd w:id="1173"/>
      <w:bookmarkEnd w:id="1174"/>
    </w:p>
    <w:p w14:paraId="48653EBB" w14:textId="77777777" w:rsidR="00E01070" w:rsidRDefault="00E01070" w:rsidP="00E01070"/>
    <w:tbl>
      <w:tblPr>
        <w:tblStyle w:val="Mkatabulky2"/>
        <w:tblW w:w="0" w:type="auto"/>
        <w:tblLook w:val="04A0" w:firstRow="1" w:lastRow="0" w:firstColumn="1" w:lastColumn="0" w:noHBand="0" w:noVBand="1"/>
      </w:tblPr>
      <w:tblGrid>
        <w:gridCol w:w="4533"/>
        <w:gridCol w:w="4529"/>
      </w:tblGrid>
      <w:tr w:rsidR="00E01070" w:rsidRPr="00BC1A35" w14:paraId="76666365" w14:textId="77777777" w:rsidTr="00FB7BF4">
        <w:trPr>
          <w:cantSplit/>
          <w:tblHeader/>
        </w:trPr>
        <w:tc>
          <w:tcPr>
            <w:tcW w:w="4533" w:type="dxa"/>
            <w:shd w:val="clear" w:color="auto" w:fill="FF7C80"/>
          </w:tcPr>
          <w:p w14:paraId="6F2469E4" w14:textId="77777777" w:rsidR="00E01070" w:rsidRPr="00BC1A35" w:rsidRDefault="00E01070" w:rsidP="00FB7BF4">
            <w:pPr>
              <w:spacing w:before="0"/>
              <w:jc w:val="center"/>
              <w:rPr>
                <w:b/>
                <w:szCs w:val="24"/>
              </w:rPr>
            </w:pPr>
            <w:r w:rsidRPr="00BC1A35">
              <w:rPr>
                <w:b/>
                <w:szCs w:val="24"/>
              </w:rPr>
              <w:t>SILNÉ STRÁNKY</w:t>
            </w:r>
          </w:p>
        </w:tc>
        <w:tc>
          <w:tcPr>
            <w:tcW w:w="4530" w:type="dxa"/>
            <w:shd w:val="clear" w:color="auto" w:fill="B8CCE4"/>
          </w:tcPr>
          <w:p w14:paraId="62FF477D" w14:textId="77777777" w:rsidR="00E01070" w:rsidRPr="00BC1A35" w:rsidRDefault="00E01070" w:rsidP="00FB7BF4">
            <w:pPr>
              <w:spacing w:before="0"/>
              <w:jc w:val="center"/>
              <w:rPr>
                <w:b/>
                <w:szCs w:val="24"/>
              </w:rPr>
            </w:pPr>
            <w:r w:rsidRPr="00BC1A35">
              <w:rPr>
                <w:b/>
                <w:szCs w:val="24"/>
              </w:rPr>
              <w:t>SLABÉ STRÁNKY</w:t>
            </w:r>
          </w:p>
        </w:tc>
      </w:tr>
      <w:tr w:rsidR="00E01070" w:rsidRPr="00BC1A35" w14:paraId="2DE435E8" w14:textId="77777777" w:rsidTr="00FB7BF4">
        <w:trPr>
          <w:cantSplit/>
          <w:trHeight w:val="3177"/>
        </w:trPr>
        <w:tc>
          <w:tcPr>
            <w:tcW w:w="4533" w:type="dxa"/>
            <w:shd w:val="clear" w:color="auto" w:fill="FFDDDD"/>
          </w:tcPr>
          <w:p w14:paraId="5100037D" w14:textId="77777777" w:rsidR="00E01070" w:rsidRPr="0045137D" w:rsidRDefault="00E01070" w:rsidP="00FB7BF4">
            <w:pPr>
              <w:suppressAutoHyphens/>
              <w:spacing w:before="0"/>
              <w:ind w:left="171"/>
              <w:contextualSpacing/>
              <w:jc w:val="left"/>
              <w:rPr>
                <w:sz w:val="12"/>
                <w:szCs w:val="24"/>
              </w:rPr>
            </w:pPr>
          </w:p>
          <w:p w14:paraId="0892BE89" w14:textId="245F4555" w:rsidR="00E01070" w:rsidRDefault="00E01070" w:rsidP="00E01070">
            <w:pPr>
              <w:numPr>
                <w:ilvl w:val="0"/>
                <w:numId w:val="12"/>
              </w:numPr>
              <w:suppressAutoHyphens/>
              <w:spacing w:before="0"/>
              <w:ind w:left="171" w:hanging="141"/>
              <w:contextualSpacing/>
              <w:jc w:val="left"/>
              <w:rPr>
                <w:szCs w:val="24"/>
              </w:rPr>
            </w:pPr>
            <w:r>
              <w:rPr>
                <w:szCs w:val="24"/>
              </w:rPr>
              <w:t>Dlouhodobě nízký podíl nezaměstnaných osob</w:t>
            </w:r>
            <w:r w:rsidR="001D0018">
              <w:rPr>
                <w:szCs w:val="24"/>
              </w:rPr>
              <w:t>.</w:t>
            </w:r>
          </w:p>
          <w:p w14:paraId="00A4455F" w14:textId="75F38FD0" w:rsidR="00E01070" w:rsidRPr="00017A0A" w:rsidRDefault="00E01070" w:rsidP="00E01070">
            <w:pPr>
              <w:numPr>
                <w:ilvl w:val="0"/>
                <w:numId w:val="12"/>
              </w:numPr>
              <w:suppressAutoHyphens/>
              <w:spacing w:before="0"/>
              <w:ind w:left="171" w:hanging="141"/>
              <w:contextualSpacing/>
              <w:jc w:val="left"/>
              <w:rPr>
                <w:szCs w:val="24"/>
              </w:rPr>
            </w:pPr>
            <w:r>
              <w:rPr>
                <w:szCs w:val="24"/>
              </w:rPr>
              <w:t xml:space="preserve">Dlouhodobý pozitivní vývoj počtu </w:t>
            </w:r>
            <w:r w:rsidRPr="00C052CE">
              <w:t>obsazených pracovních míst</w:t>
            </w:r>
            <w:r w:rsidR="001D0018">
              <w:t>.</w:t>
            </w:r>
          </w:p>
          <w:p w14:paraId="3905F872" w14:textId="1BE118C6" w:rsidR="00E01070" w:rsidRDefault="00E01070" w:rsidP="00E01070">
            <w:pPr>
              <w:numPr>
                <w:ilvl w:val="0"/>
                <w:numId w:val="12"/>
              </w:numPr>
              <w:suppressAutoHyphens/>
              <w:spacing w:before="0"/>
              <w:ind w:left="171" w:hanging="141"/>
              <w:contextualSpacing/>
              <w:jc w:val="left"/>
            </w:pPr>
            <w:r>
              <w:t>Dlouhodobě vysoká</w:t>
            </w:r>
            <w:r w:rsidRPr="001A096F">
              <w:t xml:space="preserve"> míra podnikatelské aktivity </w:t>
            </w:r>
            <w:r>
              <w:t>v porovnání se</w:t>
            </w:r>
            <w:r w:rsidRPr="001A096F">
              <w:t xml:space="preserve"> sledovanými městy</w:t>
            </w:r>
            <w:r w:rsidR="001D0018">
              <w:t>.</w:t>
            </w:r>
          </w:p>
          <w:p w14:paraId="35190A54" w14:textId="2580214C" w:rsidR="00E01070" w:rsidRPr="001A096F" w:rsidRDefault="00E01070" w:rsidP="00E01070">
            <w:pPr>
              <w:numPr>
                <w:ilvl w:val="0"/>
                <w:numId w:val="12"/>
              </w:numPr>
              <w:suppressAutoHyphens/>
              <w:spacing w:before="0"/>
              <w:ind w:left="171" w:hanging="141"/>
              <w:contextualSpacing/>
              <w:jc w:val="left"/>
            </w:pPr>
            <w:r w:rsidRPr="00097759">
              <w:t>Významní zaměstnavatelé</w:t>
            </w:r>
            <w:r>
              <w:t xml:space="preserve"> ve městě</w:t>
            </w:r>
            <w:r w:rsidR="001D0018">
              <w:t>.</w:t>
            </w:r>
          </w:p>
          <w:p w14:paraId="1CAE0073" w14:textId="3F8A3162" w:rsidR="00E01070" w:rsidRDefault="00E01070" w:rsidP="00E01070">
            <w:pPr>
              <w:numPr>
                <w:ilvl w:val="0"/>
                <w:numId w:val="12"/>
              </w:numPr>
              <w:suppressAutoHyphens/>
              <w:spacing w:before="0"/>
              <w:ind w:left="171" w:hanging="141"/>
              <w:contextualSpacing/>
              <w:jc w:val="left"/>
              <w:rPr>
                <w:szCs w:val="24"/>
              </w:rPr>
            </w:pPr>
            <w:r w:rsidRPr="00BC1A35">
              <w:rPr>
                <w:szCs w:val="24"/>
              </w:rPr>
              <w:t>Existence</w:t>
            </w:r>
            <w:r>
              <w:rPr>
                <w:szCs w:val="24"/>
              </w:rPr>
              <w:t xml:space="preserve"> </w:t>
            </w:r>
            <w:r w:rsidRPr="00BC1A35">
              <w:rPr>
                <w:szCs w:val="24"/>
              </w:rPr>
              <w:t>průmyslov</w:t>
            </w:r>
            <w:r>
              <w:rPr>
                <w:szCs w:val="24"/>
              </w:rPr>
              <w:t>ých zón ve městě a blízkost významných průmyslových zón v jeho okolí</w:t>
            </w:r>
            <w:r w:rsidR="001D0018">
              <w:rPr>
                <w:szCs w:val="24"/>
              </w:rPr>
              <w:t>.</w:t>
            </w:r>
          </w:p>
          <w:p w14:paraId="5A53FDA3" w14:textId="33954F19" w:rsidR="00E01070" w:rsidRPr="00985272" w:rsidRDefault="00E01070" w:rsidP="00E01070">
            <w:pPr>
              <w:pStyle w:val="Odstavecseseznamem"/>
              <w:numPr>
                <w:ilvl w:val="0"/>
                <w:numId w:val="12"/>
              </w:numPr>
              <w:suppressAutoHyphens/>
              <w:spacing w:before="0" w:after="160"/>
              <w:ind w:left="171" w:hanging="142"/>
              <w:jc w:val="left"/>
              <w:rPr>
                <w:szCs w:val="24"/>
              </w:rPr>
            </w:pPr>
            <w:r>
              <w:t>Město Zlín a jeho okolí je přirozeným centrem výzkumu a vývoje Zlínského kraje</w:t>
            </w:r>
            <w:r w:rsidR="001D0018">
              <w:t>.</w:t>
            </w:r>
          </w:p>
          <w:p w14:paraId="63364974" w14:textId="02084B67" w:rsidR="00E01070" w:rsidRPr="00985272" w:rsidRDefault="00E01070" w:rsidP="00E01070">
            <w:pPr>
              <w:pStyle w:val="Odstavecseseznamem"/>
              <w:numPr>
                <w:ilvl w:val="0"/>
                <w:numId w:val="12"/>
              </w:numPr>
              <w:suppressAutoHyphens/>
              <w:spacing w:before="0" w:after="160"/>
              <w:ind w:left="171" w:hanging="142"/>
              <w:jc w:val="left"/>
              <w:rPr>
                <w:szCs w:val="24"/>
              </w:rPr>
            </w:pPr>
            <w:r>
              <w:t>Působení klastrů ve městě (</w:t>
            </w:r>
            <w:r w:rsidRPr="00985272">
              <w:t>Plastikářský klastr</w:t>
            </w:r>
            <w:r>
              <w:t>,</w:t>
            </w:r>
            <w:r w:rsidRPr="00985272">
              <w:t xml:space="preserve"> Zlínský kreativní klastr</w:t>
            </w:r>
            <w:r>
              <w:t>)</w:t>
            </w:r>
            <w:r w:rsidR="001D0018">
              <w:t>.</w:t>
            </w:r>
          </w:p>
          <w:p w14:paraId="34ACCEEB" w14:textId="13414F51" w:rsidR="00E01070" w:rsidRPr="000721D2" w:rsidRDefault="00E01070" w:rsidP="00E01070">
            <w:pPr>
              <w:pStyle w:val="Odstavecseseznamem"/>
              <w:numPr>
                <w:ilvl w:val="0"/>
                <w:numId w:val="12"/>
              </w:numPr>
              <w:suppressAutoHyphens/>
              <w:spacing w:before="0" w:after="160"/>
              <w:ind w:left="171" w:hanging="142"/>
              <w:jc w:val="left"/>
              <w:rPr>
                <w:szCs w:val="24"/>
              </w:rPr>
            </w:pPr>
            <w:r>
              <w:rPr>
                <w:szCs w:val="24"/>
              </w:rPr>
              <w:t xml:space="preserve">Existence Centrály cestovního ruchu Východní Morava, o.p.s., Destinačního managementu </w:t>
            </w:r>
            <w:r w:rsidRPr="00273588">
              <w:t>Zlínsko a Luhačovicko</w:t>
            </w:r>
            <w:r w:rsidR="001D0018">
              <w:t>.</w:t>
            </w:r>
          </w:p>
          <w:p w14:paraId="648AD6CD" w14:textId="4B8C7FF0" w:rsidR="00E01070" w:rsidRPr="00B1472C" w:rsidRDefault="00E01070" w:rsidP="00E01070">
            <w:pPr>
              <w:pStyle w:val="Odstavecseseznamem"/>
              <w:numPr>
                <w:ilvl w:val="0"/>
                <w:numId w:val="12"/>
              </w:numPr>
              <w:suppressAutoHyphens/>
              <w:spacing w:before="0" w:after="160"/>
              <w:ind w:left="171" w:hanging="142"/>
              <w:jc w:val="left"/>
              <w:rPr>
                <w:szCs w:val="24"/>
              </w:rPr>
            </w:pPr>
            <w:r>
              <w:rPr>
                <w:szCs w:val="24"/>
              </w:rPr>
              <w:t>P</w:t>
            </w:r>
            <w:r w:rsidRPr="000721D2">
              <w:rPr>
                <w:szCs w:val="24"/>
              </w:rPr>
              <w:t xml:space="preserve">ozitivní trend v návštěvnosti </w:t>
            </w:r>
            <w:r>
              <w:rPr>
                <w:szCs w:val="24"/>
              </w:rPr>
              <w:t>města</w:t>
            </w:r>
            <w:r w:rsidR="001D0018">
              <w:rPr>
                <w:szCs w:val="24"/>
              </w:rPr>
              <w:t>.</w:t>
            </w:r>
          </w:p>
          <w:p w14:paraId="3D5F509D" w14:textId="6814FCCA" w:rsidR="00E01070" w:rsidRDefault="00E01070" w:rsidP="00E01070">
            <w:pPr>
              <w:pStyle w:val="Odstavecseseznamem"/>
              <w:numPr>
                <w:ilvl w:val="0"/>
                <w:numId w:val="12"/>
              </w:numPr>
              <w:suppressAutoHyphens/>
              <w:spacing w:before="0" w:after="160"/>
              <w:ind w:left="171" w:hanging="142"/>
              <w:jc w:val="left"/>
              <w:rPr>
                <w:szCs w:val="24"/>
              </w:rPr>
            </w:pPr>
            <w:r>
              <w:rPr>
                <w:szCs w:val="24"/>
              </w:rPr>
              <w:t>Ve Zlíně se nachází řada atraktivit v oblasti gastronomických podniků</w:t>
            </w:r>
            <w:r w:rsidR="001D0018">
              <w:rPr>
                <w:szCs w:val="24"/>
              </w:rPr>
              <w:t>.</w:t>
            </w:r>
          </w:p>
          <w:p w14:paraId="0CA45E38" w14:textId="0832D316" w:rsidR="00E01070" w:rsidRPr="007A22CB" w:rsidRDefault="00E01070" w:rsidP="00E01070">
            <w:pPr>
              <w:pStyle w:val="Odstavecseseznamem"/>
              <w:numPr>
                <w:ilvl w:val="0"/>
                <w:numId w:val="12"/>
              </w:numPr>
              <w:suppressAutoHyphens/>
              <w:spacing w:before="0" w:after="160"/>
              <w:ind w:left="171" w:hanging="142"/>
              <w:jc w:val="left"/>
              <w:rPr>
                <w:szCs w:val="24"/>
              </w:rPr>
            </w:pPr>
            <w:r>
              <w:rPr>
                <w:szCs w:val="24"/>
              </w:rPr>
              <w:t>Zlín má zcela jednoznačný, jedinečný a silný</w:t>
            </w:r>
            <w:r w:rsidRPr="007A22CB">
              <w:rPr>
                <w:szCs w:val="24"/>
              </w:rPr>
              <w:t xml:space="preserve"> pr</w:t>
            </w:r>
            <w:r>
              <w:rPr>
                <w:szCs w:val="24"/>
              </w:rPr>
              <w:t>vek</w:t>
            </w:r>
            <w:r w:rsidRPr="007A22CB">
              <w:rPr>
                <w:szCs w:val="24"/>
              </w:rPr>
              <w:t xml:space="preserve"> </w:t>
            </w:r>
            <w:r>
              <w:rPr>
                <w:szCs w:val="24"/>
              </w:rPr>
              <w:t>v podobě baťovské architektury a</w:t>
            </w:r>
            <w:r w:rsidRPr="007A22CB">
              <w:rPr>
                <w:szCs w:val="24"/>
              </w:rPr>
              <w:t xml:space="preserve"> „fenomén</w:t>
            </w:r>
            <w:r>
              <w:rPr>
                <w:szCs w:val="24"/>
              </w:rPr>
              <w:t>u Baťa“</w:t>
            </w:r>
            <w:r w:rsidR="001D0018">
              <w:rPr>
                <w:szCs w:val="24"/>
              </w:rPr>
              <w:t>.</w:t>
            </w:r>
          </w:p>
          <w:p w14:paraId="18BF5340" w14:textId="20D8B694" w:rsidR="00E01070" w:rsidRDefault="00E01070" w:rsidP="00E01070">
            <w:pPr>
              <w:pStyle w:val="Odstavecseseznamem"/>
              <w:numPr>
                <w:ilvl w:val="0"/>
                <w:numId w:val="12"/>
              </w:numPr>
              <w:suppressAutoHyphens/>
              <w:spacing w:before="0" w:after="160"/>
              <w:ind w:left="171" w:hanging="142"/>
              <w:jc w:val="left"/>
              <w:rPr>
                <w:szCs w:val="24"/>
              </w:rPr>
            </w:pPr>
            <w:r>
              <w:rPr>
                <w:szCs w:val="24"/>
              </w:rPr>
              <w:t>Ve Zlíně se nachází nejnavštěvovanější turistické cíle v kraji a další významné atraktivity a akce</w:t>
            </w:r>
            <w:r w:rsidR="001D0018">
              <w:rPr>
                <w:szCs w:val="24"/>
              </w:rPr>
              <w:t>.</w:t>
            </w:r>
          </w:p>
          <w:p w14:paraId="7EE98DF8" w14:textId="34E11F76" w:rsidR="00E01070" w:rsidRPr="00CF38BC" w:rsidRDefault="00E01070" w:rsidP="00E01070">
            <w:pPr>
              <w:pStyle w:val="Odstavecseseznamem"/>
              <w:numPr>
                <w:ilvl w:val="0"/>
                <w:numId w:val="12"/>
              </w:numPr>
              <w:suppressAutoHyphens/>
              <w:spacing w:before="0" w:after="160"/>
              <w:ind w:left="171" w:hanging="142"/>
              <w:jc w:val="left"/>
              <w:rPr>
                <w:szCs w:val="24"/>
              </w:rPr>
            </w:pPr>
            <w:r>
              <w:t>Realizace projektů pro rozvoj informačních a komunikačních technologií na Magistrátu města Zlína</w:t>
            </w:r>
            <w:r w:rsidR="001D0018">
              <w:t>.</w:t>
            </w:r>
          </w:p>
          <w:p w14:paraId="60F86D7C" w14:textId="78435EFF" w:rsidR="00E01070" w:rsidRPr="00CF38BC" w:rsidRDefault="00E01070" w:rsidP="00E01070">
            <w:pPr>
              <w:pStyle w:val="Odstavecseseznamem"/>
              <w:numPr>
                <w:ilvl w:val="0"/>
                <w:numId w:val="12"/>
              </w:numPr>
              <w:suppressAutoHyphens/>
              <w:spacing w:before="0" w:after="160"/>
              <w:ind w:left="171" w:hanging="142"/>
              <w:jc w:val="left"/>
              <w:rPr>
                <w:szCs w:val="24"/>
              </w:rPr>
            </w:pPr>
            <w:r>
              <w:t>Přehledně zveřejněný rozpočet města „rozklikávací“ formou</w:t>
            </w:r>
            <w:r w:rsidR="00805674">
              <w:t>.</w:t>
            </w:r>
          </w:p>
          <w:p w14:paraId="358D1AC5" w14:textId="4BA062FC" w:rsidR="00E01070" w:rsidRPr="00CF38BC" w:rsidRDefault="00E01070" w:rsidP="00E01070">
            <w:pPr>
              <w:pStyle w:val="Odstavecseseznamem"/>
              <w:numPr>
                <w:ilvl w:val="0"/>
                <w:numId w:val="12"/>
              </w:numPr>
              <w:suppressAutoHyphens/>
              <w:spacing w:before="0" w:after="160"/>
              <w:ind w:left="171" w:hanging="142"/>
              <w:jc w:val="left"/>
              <w:rPr>
                <w:szCs w:val="24"/>
              </w:rPr>
            </w:pPr>
            <w:r>
              <w:t>Existence účelových fondů, poskytované dotace z rozpočtu města</w:t>
            </w:r>
            <w:r w:rsidR="00805674">
              <w:t>.</w:t>
            </w:r>
          </w:p>
          <w:p w14:paraId="0148C08D" w14:textId="63022B3F" w:rsidR="00E01070" w:rsidRPr="00D405FF" w:rsidRDefault="00E01070" w:rsidP="00E01070">
            <w:pPr>
              <w:pStyle w:val="Odstavecseseznamem"/>
              <w:numPr>
                <w:ilvl w:val="0"/>
                <w:numId w:val="12"/>
              </w:numPr>
              <w:suppressAutoHyphens/>
              <w:spacing w:before="0" w:after="160"/>
              <w:ind w:left="171" w:hanging="142"/>
              <w:jc w:val="left"/>
              <w:rPr>
                <w:szCs w:val="24"/>
              </w:rPr>
            </w:pPr>
            <w:r>
              <w:t xml:space="preserve">Existence </w:t>
            </w:r>
            <w:r w:rsidRPr="00CF38BC">
              <w:t>Komunikační strategi</w:t>
            </w:r>
            <w:r>
              <w:t>e</w:t>
            </w:r>
            <w:r w:rsidRPr="00CF38BC">
              <w:t xml:space="preserve"> pro statutární město Zlín v oblasti kulturních, sportovních a</w:t>
            </w:r>
            <w:r>
              <w:t> </w:t>
            </w:r>
            <w:r w:rsidRPr="00CF38BC">
              <w:t>volnočasových aktivit</w:t>
            </w:r>
            <w:r w:rsidR="00805674">
              <w:t>.</w:t>
            </w:r>
          </w:p>
          <w:p w14:paraId="5F0F918D" w14:textId="77777777" w:rsidR="00E01070" w:rsidRPr="00B96109" w:rsidRDefault="00E01070" w:rsidP="00E01070">
            <w:pPr>
              <w:pStyle w:val="Odstavecseseznamem"/>
              <w:numPr>
                <w:ilvl w:val="0"/>
                <w:numId w:val="12"/>
              </w:numPr>
              <w:suppressAutoHyphens/>
              <w:spacing w:before="0" w:after="160"/>
              <w:ind w:left="171" w:hanging="142"/>
              <w:jc w:val="left"/>
              <w:rPr>
                <w:szCs w:val="24"/>
              </w:rPr>
            </w:pPr>
            <w:r>
              <w:t xml:space="preserve">Existence internetového portálu </w:t>
            </w:r>
            <w:hyperlink r:id="rId297" w:history="1">
              <w:r w:rsidRPr="00702576">
                <w:rPr>
                  <w:rStyle w:val="Hypertextovodkaz"/>
                  <w:rFonts w:eastAsiaTheme="majorEastAsia"/>
                </w:rPr>
                <w:t>www.ic-zlin.cz</w:t>
              </w:r>
            </w:hyperlink>
          </w:p>
          <w:p w14:paraId="734FAE21" w14:textId="6541F796" w:rsidR="00E01070" w:rsidRPr="00CF38BC" w:rsidRDefault="00E01070" w:rsidP="00E01070">
            <w:pPr>
              <w:pStyle w:val="Odstavecseseznamem"/>
              <w:numPr>
                <w:ilvl w:val="0"/>
                <w:numId w:val="12"/>
              </w:numPr>
              <w:suppressAutoHyphens/>
              <w:spacing w:before="0" w:after="160"/>
              <w:ind w:left="171" w:hanging="142"/>
              <w:jc w:val="left"/>
              <w:rPr>
                <w:szCs w:val="24"/>
              </w:rPr>
            </w:pPr>
            <w:r>
              <w:t>Existence mobilních aplikací pro občany a turisty</w:t>
            </w:r>
            <w:r w:rsidR="00805674">
              <w:t>.</w:t>
            </w:r>
          </w:p>
          <w:p w14:paraId="52D82079" w14:textId="2EC41E51" w:rsidR="00E01070" w:rsidRPr="00D4769A" w:rsidRDefault="00E01070" w:rsidP="00E01070">
            <w:pPr>
              <w:pStyle w:val="Odstavecseseznamem"/>
              <w:numPr>
                <w:ilvl w:val="0"/>
                <w:numId w:val="12"/>
              </w:numPr>
              <w:suppressAutoHyphens/>
              <w:spacing w:before="0" w:after="160"/>
              <w:ind w:left="171" w:hanging="142"/>
              <w:jc w:val="left"/>
              <w:rPr>
                <w:szCs w:val="24"/>
              </w:rPr>
            </w:pPr>
            <w:r w:rsidRPr="00C56241">
              <w:t xml:space="preserve">Realizace </w:t>
            </w:r>
            <w:r>
              <w:t>projektů komisí místních částí a </w:t>
            </w:r>
            <w:r w:rsidRPr="00C56241">
              <w:t>participativního rozpočtu „TVOŘÍME ZLÍN“</w:t>
            </w:r>
            <w:r w:rsidR="00805674">
              <w:t>.</w:t>
            </w:r>
          </w:p>
        </w:tc>
        <w:tc>
          <w:tcPr>
            <w:tcW w:w="4530" w:type="dxa"/>
            <w:shd w:val="clear" w:color="auto" w:fill="EEF3F8"/>
          </w:tcPr>
          <w:p w14:paraId="48629ECB" w14:textId="77777777" w:rsidR="00E01070" w:rsidRPr="0045137D" w:rsidRDefault="00E01070" w:rsidP="00FB7BF4">
            <w:pPr>
              <w:suppressAutoHyphens/>
              <w:spacing w:before="0"/>
              <w:ind w:left="175"/>
              <w:contextualSpacing/>
              <w:jc w:val="left"/>
              <w:rPr>
                <w:sz w:val="12"/>
                <w:szCs w:val="12"/>
              </w:rPr>
            </w:pPr>
          </w:p>
          <w:p w14:paraId="0A72AD9D" w14:textId="34CBE7B0" w:rsidR="00E01070" w:rsidRDefault="00E01070" w:rsidP="00E01070">
            <w:pPr>
              <w:numPr>
                <w:ilvl w:val="0"/>
                <w:numId w:val="12"/>
              </w:numPr>
              <w:suppressAutoHyphens/>
              <w:spacing w:before="0" w:after="160"/>
              <w:ind w:left="171" w:hanging="142"/>
              <w:contextualSpacing/>
              <w:jc w:val="left"/>
              <w:rPr>
                <w:szCs w:val="24"/>
              </w:rPr>
            </w:pPr>
            <w:r>
              <w:rPr>
                <w:szCs w:val="24"/>
              </w:rPr>
              <w:t>Stárnutí obyvatel</w:t>
            </w:r>
            <w:r w:rsidR="00805674">
              <w:rPr>
                <w:szCs w:val="24"/>
              </w:rPr>
              <w:t>.</w:t>
            </w:r>
          </w:p>
          <w:p w14:paraId="6C7B07AB" w14:textId="0D8411C0" w:rsidR="00E01070" w:rsidRPr="000E7B9C" w:rsidRDefault="00E01070" w:rsidP="00E01070">
            <w:pPr>
              <w:numPr>
                <w:ilvl w:val="0"/>
                <w:numId w:val="12"/>
              </w:numPr>
              <w:suppressAutoHyphens/>
              <w:spacing w:before="0" w:after="160"/>
              <w:ind w:left="171" w:hanging="142"/>
              <w:contextualSpacing/>
              <w:jc w:val="left"/>
              <w:rPr>
                <w:szCs w:val="24"/>
              </w:rPr>
            </w:pPr>
            <w:r>
              <w:rPr>
                <w:szCs w:val="24"/>
              </w:rPr>
              <w:t>Nesoulad mezi nabídkou a poptávkou po pracovní síle</w:t>
            </w:r>
            <w:r w:rsidR="00805674">
              <w:rPr>
                <w:szCs w:val="24"/>
              </w:rPr>
              <w:t>.</w:t>
            </w:r>
          </w:p>
          <w:p w14:paraId="46E22EB2" w14:textId="1EA998D1" w:rsidR="00E01070" w:rsidRPr="000E7B9C" w:rsidRDefault="00E01070" w:rsidP="00E01070">
            <w:pPr>
              <w:numPr>
                <w:ilvl w:val="0"/>
                <w:numId w:val="12"/>
              </w:numPr>
              <w:suppressAutoHyphens/>
              <w:spacing w:before="0" w:after="160"/>
              <w:ind w:left="171" w:hanging="142"/>
              <w:contextualSpacing/>
              <w:jc w:val="left"/>
              <w:rPr>
                <w:szCs w:val="24"/>
              </w:rPr>
            </w:pPr>
            <w:r>
              <w:t>Nižší úroveň mezd</w:t>
            </w:r>
            <w:r w:rsidR="00805674">
              <w:t>.</w:t>
            </w:r>
          </w:p>
          <w:p w14:paraId="6E263B01" w14:textId="64CCB696" w:rsidR="00E01070" w:rsidRPr="00985272" w:rsidRDefault="00E01070" w:rsidP="00E01070">
            <w:pPr>
              <w:numPr>
                <w:ilvl w:val="0"/>
                <w:numId w:val="12"/>
              </w:numPr>
              <w:suppressAutoHyphens/>
              <w:spacing w:before="0" w:after="160"/>
              <w:ind w:left="171" w:hanging="142"/>
              <w:contextualSpacing/>
              <w:jc w:val="left"/>
              <w:rPr>
                <w:szCs w:val="24"/>
              </w:rPr>
            </w:pPr>
            <w:r>
              <w:t>Nedostupné bydlení pro mladou generaci</w:t>
            </w:r>
            <w:r w:rsidR="00805674">
              <w:t>.</w:t>
            </w:r>
          </w:p>
          <w:p w14:paraId="4BB2751F" w14:textId="1C8582BE" w:rsidR="00E01070" w:rsidRDefault="00E01070" w:rsidP="00E01070">
            <w:pPr>
              <w:numPr>
                <w:ilvl w:val="0"/>
                <w:numId w:val="12"/>
              </w:numPr>
              <w:suppressAutoHyphens/>
              <w:spacing w:before="0" w:after="160"/>
              <w:ind w:left="171" w:hanging="142"/>
              <w:contextualSpacing/>
              <w:jc w:val="left"/>
            </w:pPr>
            <w:r>
              <w:t>Omezená nabídka</w:t>
            </w:r>
            <w:r w:rsidRPr="00985272">
              <w:t xml:space="preserve"> rozvojových ploch pro smíšenou výrobu</w:t>
            </w:r>
            <w:r w:rsidR="00805674">
              <w:t>.</w:t>
            </w:r>
          </w:p>
          <w:p w14:paraId="18440580" w14:textId="48F57C3A" w:rsidR="00E01070" w:rsidRDefault="00E01070" w:rsidP="00E01070">
            <w:pPr>
              <w:numPr>
                <w:ilvl w:val="0"/>
                <w:numId w:val="12"/>
              </w:numPr>
              <w:suppressAutoHyphens/>
              <w:spacing w:before="0" w:after="160"/>
              <w:ind w:left="171" w:hanging="142"/>
              <w:contextualSpacing/>
              <w:jc w:val="left"/>
            </w:pPr>
            <w:r>
              <w:t>Vysoké ceny komerčních nemovitostí</w:t>
            </w:r>
            <w:r w:rsidR="00805674">
              <w:t>.</w:t>
            </w:r>
          </w:p>
          <w:p w14:paraId="0493ADCF" w14:textId="0CABA8AC" w:rsidR="00E01070" w:rsidRDefault="00E01070" w:rsidP="00E01070">
            <w:pPr>
              <w:numPr>
                <w:ilvl w:val="0"/>
                <w:numId w:val="12"/>
              </w:numPr>
              <w:suppressAutoHyphens/>
              <w:spacing w:before="0" w:after="160"/>
              <w:ind w:left="171" w:hanging="142"/>
              <w:contextualSpacing/>
              <w:jc w:val="left"/>
            </w:pPr>
            <w:r>
              <w:t>Nevyhovující současný stav Baťova areálu a dalších nevyužívaných lokalit</w:t>
            </w:r>
            <w:r w:rsidR="00805674">
              <w:t>.</w:t>
            </w:r>
          </w:p>
          <w:p w14:paraId="307F9B6B" w14:textId="30727BAB" w:rsidR="00E01070" w:rsidRDefault="00E01070" w:rsidP="00E01070">
            <w:pPr>
              <w:numPr>
                <w:ilvl w:val="0"/>
                <w:numId w:val="12"/>
              </w:numPr>
              <w:suppressAutoHyphens/>
              <w:spacing w:before="0" w:after="160"/>
              <w:ind w:left="171" w:hanging="142"/>
              <w:contextualSpacing/>
              <w:jc w:val="left"/>
              <w:rPr>
                <w:szCs w:val="24"/>
              </w:rPr>
            </w:pPr>
            <w:r w:rsidRPr="00017A0A">
              <w:rPr>
                <w:szCs w:val="24"/>
              </w:rPr>
              <w:t>Chyb</w:t>
            </w:r>
            <w:r>
              <w:rPr>
                <w:rFonts w:hint="eastAsia"/>
                <w:szCs w:val="24"/>
              </w:rPr>
              <w:t>ějící</w:t>
            </w:r>
            <w:r w:rsidRPr="00017A0A">
              <w:rPr>
                <w:szCs w:val="24"/>
              </w:rPr>
              <w:t xml:space="preserve"> atraktivn</w:t>
            </w:r>
            <w:r w:rsidRPr="00017A0A">
              <w:rPr>
                <w:rFonts w:hint="eastAsia"/>
                <w:szCs w:val="24"/>
              </w:rPr>
              <w:t>í</w:t>
            </w:r>
            <w:r w:rsidRPr="00017A0A">
              <w:rPr>
                <w:szCs w:val="24"/>
              </w:rPr>
              <w:t xml:space="preserve"> brand destinace</w:t>
            </w:r>
            <w:r w:rsidR="00805674">
              <w:rPr>
                <w:szCs w:val="24"/>
              </w:rPr>
              <w:t>.</w:t>
            </w:r>
          </w:p>
          <w:p w14:paraId="2A7A1AB5" w14:textId="32FF16E7" w:rsidR="00E01070" w:rsidRPr="00622470" w:rsidRDefault="00E01070" w:rsidP="00E01070">
            <w:pPr>
              <w:numPr>
                <w:ilvl w:val="0"/>
                <w:numId w:val="12"/>
              </w:numPr>
              <w:suppressAutoHyphens/>
              <w:spacing w:before="0" w:after="160"/>
              <w:ind w:left="171" w:hanging="142"/>
              <w:contextualSpacing/>
              <w:jc w:val="left"/>
              <w:rPr>
                <w:szCs w:val="24"/>
              </w:rPr>
            </w:pPr>
            <w:r>
              <w:rPr>
                <w:szCs w:val="24"/>
              </w:rPr>
              <w:t>Chybějící</w:t>
            </w:r>
            <w:r w:rsidRPr="00017A0A">
              <w:rPr>
                <w:szCs w:val="24"/>
              </w:rPr>
              <w:t xml:space="preserve"> jednoduché produkty typu City Card </w:t>
            </w:r>
            <w:r>
              <w:rPr>
                <w:szCs w:val="24"/>
              </w:rPr>
              <w:t>propojené se vstupem do atraktivit</w:t>
            </w:r>
            <w:r w:rsidR="00805674">
              <w:rPr>
                <w:szCs w:val="24"/>
              </w:rPr>
              <w:t>.</w:t>
            </w:r>
          </w:p>
          <w:p w14:paraId="295F6C7E" w14:textId="7F1E7634" w:rsidR="00E01070" w:rsidRDefault="00E01070" w:rsidP="00E01070">
            <w:pPr>
              <w:numPr>
                <w:ilvl w:val="0"/>
                <w:numId w:val="12"/>
              </w:numPr>
              <w:suppressAutoHyphens/>
              <w:spacing w:before="0" w:after="160"/>
              <w:ind w:left="171" w:hanging="142"/>
              <w:contextualSpacing/>
              <w:jc w:val="left"/>
              <w:rPr>
                <w:szCs w:val="24"/>
              </w:rPr>
            </w:pPr>
            <w:r w:rsidRPr="00017A0A">
              <w:t xml:space="preserve">Nedostatek parkovacích míst ve </w:t>
            </w:r>
            <w:r>
              <w:t>Zlíně a jeho okolí</w:t>
            </w:r>
            <w:r w:rsidRPr="00017A0A">
              <w:t xml:space="preserve"> s</w:t>
            </w:r>
            <w:r>
              <w:t> </w:t>
            </w:r>
            <w:r w:rsidRPr="00017A0A">
              <w:t>předpoklady pro rozvoj turismu</w:t>
            </w:r>
            <w:r w:rsidR="00805674">
              <w:t>.</w:t>
            </w:r>
          </w:p>
          <w:p w14:paraId="4CD1F657" w14:textId="5874F99B" w:rsidR="00E01070" w:rsidRPr="00017A0A" w:rsidRDefault="00E01070" w:rsidP="00E01070">
            <w:pPr>
              <w:numPr>
                <w:ilvl w:val="0"/>
                <w:numId w:val="12"/>
              </w:numPr>
              <w:suppressAutoHyphens/>
              <w:spacing w:before="0" w:after="160"/>
              <w:ind w:left="171" w:hanging="142"/>
              <w:contextualSpacing/>
              <w:jc w:val="left"/>
              <w:rPr>
                <w:szCs w:val="24"/>
              </w:rPr>
            </w:pPr>
            <w:r w:rsidRPr="00017A0A">
              <w:t>Nedokončená síť cyklostezek v</w:t>
            </w:r>
            <w:r w:rsidR="00805674">
              <w:t> </w:t>
            </w:r>
            <w:r w:rsidRPr="00017A0A">
              <w:t>regionu</w:t>
            </w:r>
            <w:r w:rsidR="00805674">
              <w:t>.</w:t>
            </w:r>
          </w:p>
        </w:tc>
      </w:tr>
    </w:tbl>
    <w:p w14:paraId="26F4D801" w14:textId="77777777" w:rsidR="00E01070" w:rsidRDefault="00E01070" w:rsidP="00E01070"/>
    <w:tbl>
      <w:tblPr>
        <w:tblStyle w:val="Mkatabulky1"/>
        <w:tblW w:w="0" w:type="auto"/>
        <w:tblLook w:val="04A0" w:firstRow="1" w:lastRow="0" w:firstColumn="1" w:lastColumn="0" w:noHBand="0" w:noVBand="1"/>
      </w:tblPr>
      <w:tblGrid>
        <w:gridCol w:w="4534"/>
        <w:gridCol w:w="4528"/>
      </w:tblGrid>
      <w:tr w:rsidR="00E01070" w:rsidRPr="00BC1A35" w14:paraId="08810BF2" w14:textId="77777777" w:rsidTr="00FB7BF4">
        <w:trPr>
          <w:cantSplit/>
          <w:tblHeader/>
        </w:trPr>
        <w:tc>
          <w:tcPr>
            <w:tcW w:w="4535" w:type="dxa"/>
            <w:shd w:val="clear" w:color="auto" w:fill="F79646"/>
          </w:tcPr>
          <w:p w14:paraId="1A0F6639" w14:textId="77777777" w:rsidR="00E01070" w:rsidRPr="00BC1A35" w:rsidRDefault="00E01070" w:rsidP="00FB7BF4">
            <w:pPr>
              <w:spacing w:before="0"/>
              <w:jc w:val="center"/>
              <w:rPr>
                <w:b/>
                <w:szCs w:val="24"/>
              </w:rPr>
            </w:pPr>
            <w:r w:rsidRPr="00BC1A35">
              <w:rPr>
                <w:b/>
                <w:szCs w:val="24"/>
              </w:rPr>
              <w:t>PŘÍLEŽITOSTI</w:t>
            </w:r>
          </w:p>
        </w:tc>
        <w:tc>
          <w:tcPr>
            <w:tcW w:w="4528" w:type="dxa"/>
            <w:shd w:val="clear" w:color="auto" w:fill="B2A1C7"/>
          </w:tcPr>
          <w:p w14:paraId="5BD15399" w14:textId="77777777" w:rsidR="00E01070" w:rsidRPr="00BC1A35" w:rsidRDefault="00E01070" w:rsidP="00FB7BF4">
            <w:pPr>
              <w:spacing w:before="0"/>
              <w:jc w:val="center"/>
              <w:rPr>
                <w:b/>
                <w:szCs w:val="24"/>
              </w:rPr>
            </w:pPr>
            <w:r w:rsidRPr="00BC1A35">
              <w:rPr>
                <w:b/>
                <w:szCs w:val="24"/>
              </w:rPr>
              <w:t>HROZBY</w:t>
            </w:r>
          </w:p>
        </w:tc>
      </w:tr>
      <w:tr w:rsidR="00E01070" w:rsidRPr="00BC1A35" w14:paraId="34FFD815" w14:textId="77777777" w:rsidTr="00FB7BF4">
        <w:trPr>
          <w:cantSplit/>
          <w:trHeight w:val="4484"/>
        </w:trPr>
        <w:tc>
          <w:tcPr>
            <w:tcW w:w="4535" w:type="dxa"/>
            <w:shd w:val="clear" w:color="auto" w:fill="FEF7CE"/>
          </w:tcPr>
          <w:p w14:paraId="59B403F3" w14:textId="77777777" w:rsidR="00E01070" w:rsidRDefault="00E01070" w:rsidP="00FB7BF4">
            <w:pPr>
              <w:suppressAutoHyphens/>
              <w:spacing w:before="0"/>
              <w:ind w:left="171"/>
              <w:contextualSpacing/>
              <w:jc w:val="left"/>
              <w:rPr>
                <w:szCs w:val="24"/>
                <w:highlight w:val="yellow"/>
              </w:rPr>
            </w:pPr>
          </w:p>
          <w:p w14:paraId="6A087497" w14:textId="5F7F4C64" w:rsidR="00E01070" w:rsidRPr="0055375C" w:rsidRDefault="00335785" w:rsidP="00E01070">
            <w:pPr>
              <w:pStyle w:val="Default"/>
              <w:numPr>
                <w:ilvl w:val="0"/>
                <w:numId w:val="54"/>
              </w:numPr>
              <w:ind w:left="171" w:hanging="171"/>
              <w:rPr>
                <w:color w:val="auto"/>
                <w:sz w:val="20"/>
                <w:szCs w:val="20"/>
              </w:rPr>
            </w:pPr>
            <w:r w:rsidRPr="00335785">
              <w:rPr>
                <w:rFonts w:cs="Times New Roman"/>
                <w:color w:val="auto"/>
                <w:sz w:val="20"/>
                <w:szCs w:val="20"/>
              </w:rPr>
              <w:t>Využití potenciálu konceptu inteligentní specializace v souladu s definovanými doménami specializace Zlínského kraje, tj. specializace na progresivní design produktů, technologií a procesů s důrazem na audiovizuální tvorbu, specializace na aplikaci polymerů v cirkulární ekonomice, specializace na inovace v konstrukčních činnostech s důrazem na letectví a strojírenství a specializace na informační, řídicí a bezpečnostní systémy</w:t>
            </w:r>
            <w:r w:rsidR="00805674">
              <w:rPr>
                <w:rStyle w:val="Siln"/>
                <w:b w:val="0"/>
                <w:sz w:val="20"/>
                <w:szCs w:val="20"/>
              </w:rPr>
              <w:t>.</w:t>
            </w:r>
          </w:p>
          <w:p w14:paraId="616DB399" w14:textId="694B030B" w:rsidR="00E01070" w:rsidRPr="002A1EC8" w:rsidRDefault="00E01070" w:rsidP="00E01070">
            <w:pPr>
              <w:pStyle w:val="Odstavecseseznamem"/>
              <w:numPr>
                <w:ilvl w:val="0"/>
                <w:numId w:val="12"/>
              </w:numPr>
              <w:suppressAutoHyphens/>
              <w:spacing w:before="0" w:after="160"/>
              <w:ind w:left="171" w:hanging="142"/>
              <w:jc w:val="left"/>
              <w:rPr>
                <w:szCs w:val="24"/>
              </w:rPr>
            </w:pPr>
            <w:r>
              <w:t>Využití potenciálu rozvoje pro městskou poznávací turistiku v evropském kontextu</w:t>
            </w:r>
            <w:r w:rsidR="00805674">
              <w:t>.</w:t>
            </w:r>
          </w:p>
          <w:p w14:paraId="488FE041" w14:textId="7DC0A91D" w:rsidR="00E01070" w:rsidRPr="00CF38BC" w:rsidRDefault="00E01070" w:rsidP="00E01070">
            <w:pPr>
              <w:pStyle w:val="Odstavecseseznamem"/>
              <w:numPr>
                <w:ilvl w:val="0"/>
                <w:numId w:val="12"/>
              </w:numPr>
              <w:suppressAutoHyphens/>
              <w:spacing w:before="0" w:after="160"/>
              <w:ind w:left="171" w:hanging="142"/>
              <w:jc w:val="left"/>
            </w:pPr>
            <w:r>
              <w:t xml:space="preserve">Budování </w:t>
            </w:r>
            <w:r w:rsidRPr="00817A33">
              <w:t xml:space="preserve">silné značky </w:t>
            </w:r>
            <w:r>
              <w:t xml:space="preserve">města a její jedinečné </w:t>
            </w:r>
            <w:r w:rsidRPr="00817A33">
              <w:t>postavení na trhu</w:t>
            </w:r>
            <w:r w:rsidR="00805674">
              <w:t>.</w:t>
            </w:r>
          </w:p>
          <w:p w14:paraId="529AF820" w14:textId="6324C1DB" w:rsidR="00E01070" w:rsidRPr="0086029B" w:rsidRDefault="00E01070" w:rsidP="00E01070">
            <w:pPr>
              <w:pStyle w:val="Odstavecseseznamem"/>
              <w:numPr>
                <w:ilvl w:val="0"/>
                <w:numId w:val="12"/>
              </w:numPr>
              <w:suppressAutoHyphens/>
              <w:spacing w:before="0" w:after="160"/>
              <w:ind w:left="171" w:hanging="142"/>
              <w:jc w:val="left"/>
            </w:pPr>
            <w:r>
              <w:rPr>
                <w:szCs w:val="24"/>
              </w:rPr>
              <w:t>Posílení strategického řízení města</w:t>
            </w:r>
            <w:r w:rsidR="00805674">
              <w:rPr>
                <w:szCs w:val="24"/>
              </w:rPr>
              <w:t>.</w:t>
            </w:r>
          </w:p>
          <w:p w14:paraId="1E2DCDA7" w14:textId="278BC847" w:rsidR="00E01070" w:rsidRPr="00CF38BC" w:rsidRDefault="00335785" w:rsidP="00E01070">
            <w:pPr>
              <w:pStyle w:val="Odstavecseseznamem"/>
              <w:numPr>
                <w:ilvl w:val="0"/>
                <w:numId w:val="12"/>
              </w:numPr>
              <w:suppressAutoHyphens/>
              <w:spacing w:before="0" w:after="160"/>
              <w:ind w:left="171" w:hanging="142"/>
              <w:jc w:val="left"/>
            </w:pPr>
            <w:r w:rsidRPr="00335785">
              <w:rPr>
                <w:szCs w:val="24"/>
              </w:rPr>
              <w:t>Využití strategického nástroje ITI Zlínské aglomerace</w:t>
            </w:r>
            <w:r w:rsidR="00805674">
              <w:rPr>
                <w:szCs w:val="24"/>
              </w:rPr>
              <w:t>.</w:t>
            </w:r>
          </w:p>
          <w:p w14:paraId="5E3733F7" w14:textId="1AF126B4" w:rsidR="00E01070" w:rsidRDefault="00E01070" w:rsidP="00E01070">
            <w:pPr>
              <w:pStyle w:val="Odstavecseseznamem"/>
              <w:numPr>
                <w:ilvl w:val="0"/>
                <w:numId w:val="12"/>
              </w:numPr>
              <w:suppressAutoHyphens/>
              <w:spacing w:before="0" w:after="160"/>
              <w:ind w:left="171" w:hanging="142"/>
              <w:jc w:val="left"/>
            </w:pPr>
            <w:r>
              <w:t>Rozšíření</w:t>
            </w:r>
            <w:r w:rsidRPr="00CF38BC">
              <w:t xml:space="preserve"> systém</w:t>
            </w:r>
            <w:r>
              <w:t>u</w:t>
            </w:r>
            <w:r w:rsidRPr="00CF38BC">
              <w:t xml:space="preserve"> moderní elektronické komunikace s</w:t>
            </w:r>
            <w:r>
              <w:t> </w:t>
            </w:r>
            <w:r w:rsidRPr="00CF38BC">
              <w:t>občany</w:t>
            </w:r>
            <w:r>
              <w:t xml:space="preserve"> (podpora eGovernmentu)</w:t>
            </w:r>
            <w:r w:rsidR="00805674">
              <w:t>.</w:t>
            </w:r>
          </w:p>
          <w:p w14:paraId="06D182B2" w14:textId="30667792" w:rsidR="00E01070" w:rsidRPr="00CF38BC" w:rsidRDefault="00E01070" w:rsidP="00E01070">
            <w:pPr>
              <w:pStyle w:val="Odstavecseseznamem"/>
              <w:numPr>
                <w:ilvl w:val="0"/>
                <w:numId w:val="12"/>
              </w:numPr>
              <w:suppressAutoHyphens/>
              <w:spacing w:before="0" w:after="160"/>
              <w:ind w:left="171" w:hanging="142"/>
              <w:jc w:val="left"/>
            </w:pPr>
            <w:r>
              <w:t>Implementace prvků SMART CITY v řízení města</w:t>
            </w:r>
            <w:r w:rsidR="00805674">
              <w:t>.</w:t>
            </w:r>
          </w:p>
          <w:p w14:paraId="2E8F92B9" w14:textId="6605EE02" w:rsidR="00E01070" w:rsidRPr="00E6665E" w:rsidRDefault="00E01070" w:rsidP="00E01070">
            <w:pPr>
              <w:pStyle w:val="Odstavecseseznamem"/>
              <w:numPr>
                <w:ilvl w:val="0"/>
                <w:numId w:val="12"/>
              </w:numPr>
              <w:suppressAutoHyphens/>
              <w:spacing w:before="0" w:after="160"/>
              <w:ind w:left="171" w:hanging="142"/>
              <w:jc w:val="left"/>
              <w:rPr>
                <w:szCs w:val="24"/>
              </w:rPr>
            </w:pPr>
            <w:r>
              <w:t>Vstřícný aktivní přístup k zahraničním kvalifikovaným pracovníkům</w:t>
            </w:r>
            <w:r w:rsidR="00805674">
              <w:t>.</w:t>
            </w:r>
          </w:p>
          <w:p w14:paraId="54FC958D" w14:textId="0C88B7FE" w:rsidR="00E01070" w:rsidRPr="00B1472C" w:rsidRDefault="00E01070" w:rsidP="00E01070">
            <w:pPr>
              <w:pStyle w:val="Odstavecseseznamem"/>
              <w:numPr>
                <w:ilvl w:val="0"/>
                <w:numId w:val="12"/>
              </w:numPr>
              <w:suppressAutoHyphens/>
              <w:spacing w:before="0" w:after="160"/>
              <w:ind w:left="171" w:hanging="142"/>
              <w:jc w:val="left"/>
              <w:rPr>
                <w:szCs w:val="24"/>
              </w:rPr>
            </w:pPr>
            <w:r>
              <w:t>Rozšíření spolupráce</w:t>
            </w:r>
            <w:r w:rsidRPr="008F19C2">
              <w:t xml:space="preserve"> relevantních aktérů ke sjednocování propagovaných atraktivit</w:t>
            </w:r>
            <w:r w:rsidR="00805674">
              <w:t>.</w:t>
            </w:r>
          </w:p>
        </w:tc>
        <w:tc>
          <w:tcPr>
            <w:tcW w:w="4528" w:type="dxa"/>
            <w:shd w:val="clear" w:color="auto" w:fill="E5DFEC"/>
          </w:tcPr>
          <w:p w14:paraId="790233F6" w14:textId="77777777" w:rsidR="00E01070" w:rsidRPr="007C6AE7" w:rsidRDefault="00E01070" w:rsidP="00FB7BF4">
            <w:pPr>
              <w:suppressAutoHyphens/>
              <w:spacing w:before="0"/>
              <w:ind w:left="173"/>
              <w:contextualSpacing/>
              <w:jc w:val="left"/>
              <w:rPr>
                <w:szCs w:val="24"/>
              </w:rPr>
            </w:pPr>
          </w:p>
          <w:p w14:paraId="64905A3A" w14:textId="74074903" w:rsidR="00E01070" w:rsidRPr="009F7B36" w:rsidRDefault="00E01070" w:rsidP="00E01070">
            <w:pPr>
              <w:pStyle w:val="Odstavecseseznamem"/>
              <w:numPr>
                <w:ilvl w:val="0"/>
                <w:numId w:val="12"/>
              </w:numPr>
              <w:suppressAutoHyphens/>
              <w:spacing w:before="0" w:after="160"/>
              <w:ind w:left="171" w:hanging="142"/>
              <w:jc w:val="left"/>
            </w:pPr>
            <w:r>
              <w:t>Ekonomická recese s dopadem na r</w:t>
            </w:r>
            <w:r w:rsidRPr="00C13254">
              <w:rPr>
                <w:szCs w:val="18"/>
              </w:rPr>
              <w:t>ostoucí podíl nezaměstnaných osob</w:t>
            </w:r>
            <w:r w:rsidR="00805674">
              <w:rPr>
                <w:szCs w:val="18"/>
              </w:rPr>
              <w:t>.</w:t>
            </w:r>
          </w:p>
          <w:p w14:paraId="10E258A3" w14:textId="5688EBB4" w:rsidR="00E01070" w:rsidRPr="0099743F" w:rsidRDefault="00E01070" w:rsidP="00E01070">
            <w:pPr>
              <w:pStyle w:val="Odstavecseseznamem"/>
              <w:numPr>
                <w:ilvl w:val="0"/>
                <w:numId w:val="12"/>
              </w:numPr>
              <w:suppressAutoHyphens/>
              <w:spacing w:before="0" w:after="160"/>
              <w:ind w:left="171" w:hanging="142"/>
              <w:jc w:val="left"/>
            </w:pPr>
            <w:r w:rsidRPr="00477842">
              <w:t xml:space="preserve">Snížení </w:t>
            </w:r>
            <w:r>
              <w:t>ekonomické síly území</w:t>
            </w:r>
            <w:r w:rsidR="00805674">
              <w:t>.</w:t>
            </w:r>
          </w:p>
          <w:p w14:paraId="566F1877" w14:textId="5DC73CB8" w:rsidR="00E01070" w:rsidRPr="0099743F" w:rsidRDefault="00E01070" w:rsidP="00E01070">
            <w:pPr>
              <w:pStyle w:val="Odstavecseseznamem"/>
              <w:numPr>
                <w:ilvl w:val="0"/>
                <w:numId w:val="12"/>
              </w:numPr>
              <w:suppressAutoHyphens/>
              <w:spacing w:before="0" w:after="160"/>
              <w:ind w:left="171" w:hanging="142"/>
              <w:jc w:val="left"/>
            </w:pPr>
            <w:r>
              <w:t>Prohlubující se nesoulad</w:t>
            </w:r>
            <w:r w:rsidRPr="00477842">
              <w:t xml:space="preserve"> mezi vzděláním a</w:t>
            </w:r>
            <w:r>
              <w:t> </w:t>
            </w:r>
            <w:r w:rsidRPr="00477842">
              <w:t>požadavky trhu práce</w:t>
            </w:r>
            <w:r w:rsidR="00805674">
              <w:t>.</w:t>
            </w:r>
          </w:p>
          <w:p w14:paraId="7F0A705B" w14:textId="3F714100" w:rsidR="00E01070" w:rsidRPr="0099743F" w:rsidRDefault="00E01070" w:rsidP="00E01070">
            <w:pPr>
              <w:pStyle w:val="Odstavecseseznamem"/>
              <w:numPr>
                <w:ilvl w:val="0"/>
                <w:numId w:val="12"/>
              </w:numPr>
              <w:suppressAutoHyphens/>
              <w:spacing w:before="0" w:after="160"/>
              <w:ind w:left="171" w:hanging="142"/>
              <w:jc w:val="left"/>
            </w:pPr>
            <w:r w:rsidRPr="00477842">
              <w:t>Nedostatek kvalifikované</w:t>
            </w:r>
            <w:r>
              <w:t xml:space="preserve"> pracovní síly</w:t>
            </w:r>
            <w:r w:rsidR="00805674">
              <w:t>.</w:t>
            </w:r>
          </w:p>
          <w:p w14:paraId="4E855F2D" w14:textId="76D774E3" w:rsidR="00E01070" w:rsidRPr="00477842" w:rsidRDefault="00E01070" w:rsidP="00E01070">
            <w:pPr>
              <w:pStyle w:val="Odstavecseseznamem"/>
              <w:numPr>
                <w:ilvl w:val="0"/>
                <w:numId w:val="12"/>
              </w:numPr>
              <w:suppressAutoHyphens/>
              <w:spacing w:before="0" w:after="160"/>
              <w:ind w:left="171" w:hanging="142"/>
              <w:jc w:val="left"/>
            </w:pPr>
            <w:r w:rsidRPr="00477842">
              <w:t>Odchod velkých zaměstnavatelů</w:t>
            </w:r>
            <w:r w:rsidR="00805674">
              <w:t>.</w:t>
            </w:r>
          </w:p>
          <w:p w14:paraId="6DA10E99" w14:textId="42AC2B24" w:rsidR="00E01070" w:rsidRPr="00477842" w:rsidRDefault="00E01070" w:rsidP="00E01070">
            <w:pPr>
              <w:pStyle w:val="Odstavecseseznamem"/>
              <w:numPr>
                <w:ilvl w:val="0"/>
                <w:numId w:val="12"/>
              </w:numPr>
              <w:suppressAutoHyphens/>
              <w:spacing w:before="0" w:after="160"/>
              <w:ind w:left="171" w:hanging="142"/>
              <w:jc w:val="left"/>
            </w:pPr>
            <w:r>
              <w:t>Další snižování počtu přenocování ve městě</w:t>
            </w:r>
            <w:r w:rsidR="00805674">
              <w:t>.</w:t>
            </w:r>
          </w:p>
          <w:p w14:paraId="56B9E7D6" w14:textId="61FFD586" w:rsidR="00E01070" w:rsidRPr="00616857" w:rsidRDefault="00E01070" w:rsidP="00E01070">
            <w:pPr>
              <w:pStyle w:val="Odstavecseseznamem"/>
              <w:numPr>
                <w:ilvl w:val="0"/>
                <w:numId w:val="12"/>
              </w:numPr>
              <w:suppressAutoHyphens/>
              <w:spacing w:before="0" w:after="160"/>
              <w:ind w:left="171" w:hanging="142"/>
              <w:jc w:val="left"/>
            </w:pPr>
            <w:r>
              <w:t>Vyšší aktivita konkurenčních destinací</w:t>
            </w:r>
            <w:r w:rsidR="00805674">
              <w:t>.</w:t>
            </w:r>
          </w:p>
        </w:tc>
      </w:tr>
    </w:tbl>
    <w:p w14:paraId="56116137" w14:textId="77777777" w:rsidR="00E01070" w:rsidRPr="00577E7E" w:rsidRDefault="00E01070" w:rsidP="00E01070"/>
    <w:p w14:paraId="3836D33B" w14:textId="77777777" w:rsidR="000C57C8" w:rsidRDefault="000C57C8" w:rsidP="000C57C8">
      <w:pPr>
        <w:spacing w:before="0" w:after="160" w:line="259" w:lineRule="auto"/>
        <w:jc w:val="left"/>
      </w:pPr>
    </w:p>
    <w:sectPr w:rsidR="000C57C8" w:rsidSect="006E1FCB">
      <w:headerReference w:type="default" r:id="rId298"/>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8494CC" w16cex:dateUtc="2020-06-05T07:54:00Z"/>
  <w16cex:commentExtensible w16cex:durableId="228499BB" w16cex:dateUtc="2020-06-05T08:15:00Z"/>
  <w16cex:commentExtensible w16cex:durableId="228499FD" w16cex:dateUtc="2020-06-05T08:16:00Z"/>
  <w16cex:commentExtensible w16cex:durableId="2283BC8D" w16cex:dateUtc="2020-06-04T16:31:00Z"/>
  <w16cex:commentExtensible w16cex:durableId="2283BECB" w16cex:dateUtc="2020-06-04T16:41:00Z"/>
  <w16cex:commentExtensible w16cex:durableId="2283BF25" w16cex:dateUtc="2020-06-04T16:42:00Z"/>
  <w16cex:commentExtensible w16cex:durableId="2283BF5A" w16cex:dateUtc="2020-06-04T16: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1EEB887" w16cid:durableId="2283BB51"/>
  <w16cid:commentId w16cid:paraId="3B034985" w16cid:durableId="228494CC"/>
  <w16cid:commentId w16cid:paraId="1E6C47FC" w16cid:durableId="2283BB52"/>
  <w16cid:commentId w16cid:paraId="3F51E2A8" w16cid:durableId="228499BB"/>
  <w16cid:commentId w16cid:paraId="273F4DA1" w16cid:durableId="2283BB53"/>
  <w16cid:commentId w16cid:paraId="06311858" w16cid:durableId="2283BB54"/>
  <w16cid:commentId w16cid:paraId="5F83071B" w16cid:durableId="2283BB55"/>
  <w16cid:commentId w16cid:paraId="2861FF8F" w16cid:durableId="228499FD"/>
  <w16cid:commentId w16cid:paraId="305D6078" w16cid:durableId="2283BB56"/>
  <w16cid:commentId w16cid:paraId="5DDF0EDC" w16cid:durableId="2283BB57"/>
  <w16cid:commentId w16cid:paraId="0DDE6EFE" w16cid:durableId="2283BB58"/>
  <w16cid:commentId w16cid:paraId="10A57000" w16cid:durableId="2283BB59"/>
  <w16cid:commentId w16cid:paraId="7ED9BA35" w16cid:durableId="2283BB5A"/>
  <w16cid:commentId w16cid:paraId="315EFFBE" w16cid:durableId="2283BC8D"/>
  <w16cid:commentId w16cid:paraId="571DACB9" w16cid:durableId="2283BECB"/>
  <w16cid:commentId w16cid:paraId="1F15BAD3" w16cid:durableId="2283BF25"/>
  <w16cid:commentId w16cid:paraId="0C0F7496" w16cid:durableId="2283BF5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F5C087" w14:textId="77777777" w:rsidR="00183F7E" w:rsidRDefault="00183F7E" w:rsidP="00F346DA">
      <w:r>
        <w:separator/>
      </w:r>
    </w:p>
  </w:endnote>
  <w:endnote w:type="continuationSeparator" w:id="0">
    <w:p w14:paraId="48EB1B2F" w14:textId="77777777" w:rsidR="00183F7E" w:rsidRDefault="00183F7E" w:rsidP="00F346DA">
      <w:r>
        <w:continuationSeparator/>
      </w:r>
    </w:p>
  </w:endnote>
  <w:endnote w:type="continuationNotice" w:id="1">
    <w:p w14:paraId="5CDD3448" w14:textId="77777777" w:rsidR="00183F7E" w:rsidRDefault="00183F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reightonPro 8">
    <w:altName w:val="CreightonPro 8"/>
    <w:panose1 w:val="00000000000000000000"/>
    <w:charset w:val="EE"/>
    <w:family w:val="swiss"/>
    <w:notTrueType/>
    <w:pitch w:val="default"/>
    <w:sig w:usb0="00000005" w:usb1="00000000" w:usb2="00000000" w:usb3="00000000" w:csb0="00000002" w:csb1="00000000"/>
  </w:font>
  <w:font w:name="MS Mincho">
    <w:altName w:val="Yu Gothic UI"/>
    <w:panose1 w:val="02020609040205080304"/>
    <w:charset w:val="80"/>
    <w:family w:val="roman"/>
    <w:notTrueType/>
    <w:pitch w:val="fixed"/>
    <w:sig w:usb0="00000000"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 w:name="Switzerland">
    <w:altName w:val="Times New Roman"/>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panose1 w:val="00000000000000000000"/>
    <w:charset w:val="00"/>
    <w:family w:val="roman"/>
    <w:notTrueType/>
    <w:pitch w:val="default"/>
  </w:font>
  <w:font w:name="Cronos Pro">
    <w:altName w:val="Lucida Sans Unicode"/>
    <w:panose1 w:val="00000000000000000000"/>
    <w:charset w:val="00"/>
    <w:family w:val="swiss"/>
    <w:notTrueType/>
    <w:pitch w:val="variable"/>
    <w:sig w:usb0="00000003" w:usb1="00000000" w:usb2="00000000" w:usb3="00000000" w:csb0="00000001" w:csb1="00000000"/>
  </w:font>
  <w:font w:name="Constantia">
    <w:panose1 w:val="02030602050306030303"/>
    <w:charset w:val="EE"/>
    <w:family w:val="roman"/>
    <w:pitch w:val="variable"/>
    <w:sig w:usb0="A00002EF" w:usb1="4000204B" w:usb2="00000000" w:usb3="00000000" w:csb0="0000019F" w:csb1="00000000"/>
  </w:font>
  <w:font w:name="Trebuchet MS">
    <w:panose1 w:val="020B0603020202020204"/>
    <w:charset w:val="EE"/>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Arial CE">
    <w:panose1 w:val="020B0604020202020204"/>
    <w:charset w:val="EE"/>
    <w:family w:val="swiss"/>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272214"/>
      <w:docPartObj>
        <w:docPartGallery w:val="Page Numbers (Bottom of Page)"/>
        <w:docPartUnique/>
      </w:docPartObj>
    </w:sdtPr>
    <w:sdtEndPr/>
    <w:sdtContent>
      <w:p w14:paraId="77ECC40A" w14:textId="25230C73" w:rsidR="00332A29" w:rsidRDefault="00332A29">
        <w:pPr>
          <w:pStyle w:val="Zpat"/>
          <w:jc w:val="center"/>
        </w:pPr>
        <w:r>
          <w:fldChar w:fldCharType="begin"/>
        </w:r>
        <w:r>
          <w:instrText>PAGE   \* MERGEFORMAT</w:instrText>
        </w:r>
        <w:r>
          <w:fldChar w:fldCharType="separate"/>
        </w:r>
        <w:r w:rsidR="000A4D66">
          <w:rPr>
            <w:noProof/>
          </w:rPr>
          <w:t>8</w:t>
        </w:r>
        <w:r>
          <w:fldChar w:fldCharType="end"/>
        </w:r>
      </w:p>
    </w:sdtContent>
  </w:sdt>
  <w:p w14:paraId="1E594AD9" w14:textId="77777777" w:rsidR="00332A29" w:rsidRDefault="00332A2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5587601"/>
      <w:docPartObj>
        <w:docPartGallery w:val="Page Numbers (Bottom of Page)"/>
        <w:docPartUnique/>
      </w:docPartObj>
    </w:sdtPr>
    <w:sdtEndPr/>
    <w:sdtContent>
      <w:p w14:paraId="11863AC4" w14:textId="5716B9C8" w:rsidR="00332A29" w:rsidRDefault="00332A29">
        <w:pPr>
          <w:pStyle w:val="Zpat"/>
          <w:jc w:val="center"/>
        </w:pPr>
        <w:r>
          <w:fldChar w:fldCharType="begin"/>
        </w:r>
        <w:r>
          <w:instrText>PAGE   \* MERGEFORMAT</w:instrText>
        </w:r>
        <w:r>
          <w:fldChar w:fldCharType="separate"/>
        </w:r>
        <w:r w:rsidR="000A4D66">
          <w:rPr>
            <w:noProof/>
          </w:rPr>
          <w:t>218</w:t>
        </w:r>
        <w:r>
          <w:fldChar w:fldCharType="end"/>
        </w:r>
      </w:p>
    </w:sdtContent>
  </w:sdt>
  <w:p w14:paraId="65892AAC" w14:textId="77777777" w:rsidR="00332A29" w:rsidRDefault="00332A2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073A3F" w14:textId="77777777" w:rsidR="00183F7E" w:rsidRDefault="00183F7E" w:rsidP="00F346DA">
      <w:r>
        <w:separator/>
      </w:r>
    </w:p>
  </w:footnote>
  <w:footnote w:type="continuationSeparator" w:id="0">
    <w:p w14:paraId="13E534FC" w14:textId="77777777" w:rsidR="00183F7E" w:rsidRDefault="00183F7E" w:rsidP="00F346DA">
      <w:r>
        <w:continuationSeparator/>
      </w:r>
    </w:p>
  </w:footnote>
  <w:footnote w:type="continuationNotice" w:id="1">
    <w:p w14:paraId="1E0D53D8" w14:textId="77777777" w:rsidR="00183F7E" w:rsidRDefault="00183F7E"/>
  </w:footnote>
  <w:footnote w:id="2">
    <w:p w14:paraId="258D4426" w14:textId="77777777" w:rsidR="00332A29" w:rsidRPr="00E34E01" w:rsidRDefault="00332A29" w:rsidP="00AF371C">
      <w:pPr>
        <w:pStyle w:val="Textpoznpodarou"/>
        <w:spacing w:before="0"/>
        <w:rPr>
          <w:rFonts w:cstheme="minorHAnsi"/>
        </w:rPr>
      </w:pPr>
      <w:r>
        <w:rPr>
          <w:rStyle w:val="Znakapoznpodarou"/>
        </w:rPr>
        <w:footnoteRef/>
      </w:r>
      <w:r w:rsidRPr="00E34E01">
        <w:t xml:space="preserve"> </w:t>
      </w:r>
      <w:r w:rsidRPr="00E34E01">
        <w:rPr>
          <w:rFonts w:cstheme="minorHAnsi"/>
        </w:rPr>
        <w:t>MMR: Politika územního rozvoje České republiky, ve znění Aktualizací č. 1, 2 a 3</w:t>
      </w:r>
    </w:p>
    <w:p w14:paraId="377C195B" w14:textId="77777777" w:rsidR="00332A29" w:rsidRPr="009E5648" w:rsidRDefault="00183F7E" w:rsidP="00AF371C">
      <w:pPr>
        <w:pStyle w:val="Textpoznpodarou"/>
        <w:spacing w:before="0"/>
        <w:rPr>
          <w:rFonts w:cstheme="minorHAnsi"/>
        </w:rPr>
      </w:pPr>
      <w:hyperlink r:id="rId1" w:history="1">
        <w:r w:rsidR="00332A29" w:rsidRPr="009E5648">
          <w:rPr>
            <w:rStyle w:val="Hypertextovodkaz"/>
            <w:color w:val="auto"/>
            <w:u w:val="none"/>
          </w:rPr>
          <w:t>https://www.mmr.cz/getmedia/647ac23c-05f7-469f-a200-af8d3be4e4ae/PUR-CR_ve_zneni_Aktualizaci_c_1_2_3_uplne_zneni.pdf.aspx?ext=.pdf</w:t>
        </w:r>
      </w:hyperlink>
    </w:p>
  </w:footnote>
  <w:footnote w:id="3">
    <w:p w14:paraId="2EE590B3" w14:textId="77777777" w:rsidR="00332A29" w:rsidRPr="00371B3A" w:rsidRDefault="00332A29" w:rsidP="00AF371C">
      <w:pPr>
        <w:rPr>
          <w:rFonts w:cstheme="minorHAnsi"/>
          <w:sz w:val="20"/>
          <w:szCs w:val="20"/>
        </w:rPr>
      </w:pPr>
      <w:r w:rsidRPr="00371B3A">
        <w:rPr>
          <w:rStyle w:val="Znakapoznpodarou"/>
          <w:sz w:val="20"/>
          <w:szCs w:val="20"/>
        </w:rPr>
        <w:footnoteRef/>
      </w:r>
      <w:r w:rsidRPr="00371B3A">
        <w:rPr>
          <w:sz w:val="20"/>
          <w:szCs w:val="20"/>
        </w:rPr>
        <w:t xml:space="preserve"> </w:t>
      </w:r>
      <w:r w:rsidRPr="00371B3A">
        <w:rPr>
          <w:rFonts w:cstheme="minorHAnsi"/>
          <w:sz w:val="20"/>
          <w:szCs w:val="20"/>
        </w:rPr>
        <w:t>Zlínský kraj (2018): Úplné znění zásad územního rozvoje zlínského kraje po vydání aktualizace č. 2</w:t>
      </w:r>
    </w:p>
    <w:p w14:paraId="37ECF84C" w14:textId="77777777" w:rsidR="00332A29" w:rsidRPr="009E5648" w:rsidRDefault="00183F7E" w:rsidP="00AF371C">
      <w:pPr>
        <w:pStyle w:val="Textpoznpodarou"/>
        <w:spacing w:before="0"/>
      </w:pPr>
      <w:hyperlink r:id="rId2" w:history="1">
        <w:r w:rsidR="00332A29" w:rsidRPr="009E5648">
          <w:rPr>
            <w:rStyle w:val="Hypertextovodkaz"/>
            <w:color w:val="auto"/>
            <w:u w:val="none"/>
          </w:rPr>
          <w:t>file:///C:/Users/%C5%A0%C5%A5ep%C3%A1n%20Strnadel/Downloads/priloha-c--1--textova-cast-uplneho-zneni-zur-zk-po-vydani-aktualizace-c--2%20(1).pdf</w:t>
        </w:r>
      </w:hyperlink>
    </w:p>
  </w:footnote>
  <w:footnote w:id="4">
    <w:p w14:paraId="18FE4A36" w14:textId="77777777" w:rsidR="00332A29" w:rsidRPr="00187EEA" w:rsidRDefault="00332A29" w:rsidP="00AF371C">
      <w:pPr>
        <w:spacing w:before="0" w:after="120"/>
        <w:rPr>
          <w:sz w:val="20"/>
          <w:szCs w:val="20"/>
        </w:rPr>
      </w:pPr>
      <w:r w:rsidRPr="00371B3A">
        <w:rPr>
          <w:rStyle w:val="Znakapoznpodarou"/>
          <w:sz w:val="20"/>
          <w:szCs w:val="20"/>
        </w:rPr>
        <w:footnoteRef/>
      </w:r>
      <w:r w:rsidRPr="00371B3A">
        <w:rPr>
          <w:sz w:val="20"/>
          <w:szCs w:val="20"/>
        </w:rPr>
        <w:t xml:space="preserve"> OUŘEDNÍČEK, M., NEMEŠKAL, J., POSPÍŠILOVÁ, L. (2020): Vymezení území pro Integrované teritoriální investice (ITI) v ČR. Závěrečný dok</w:t>
      </w:r>
      <w:r>
        <w:rPr>
          <w:sz w:val="20"/>
          <w:szCs w:val="20"/>
        </w:rPr>
        <w:t>ument, Třetí verze Praha, 70 s.</w:t>
      </w:r>
    </w:p>
  </w:footnote>
  <w:footnote w:id="5">
    <w:p w14:paraId="6E71C1D8" w14:textId="77777777" w:rsidR="00332A29" w:rsidRDefault="00332A29" w:rsidP="00AF371C">
      <w:pPr>
        <w:pStyle w:val="Textpoznpodarou"/>
        <w:spacing w:before="0"/>
      </w:pPr>
      <w:r>
        <w:rPr>
          <w:rStyle w:val="Znakapoznpodarou"/>
        </w:rPr>
        <w:footnoteRef/>
      </w:r>
      <w:r>
        <w:t xml:space="preserve"> MMR: Strategie regionálního rozvoje ČR 2021+</w:t>
      </w:r>
    </w:p>
    <w:p w14:paraId="1D267F92" w14:textId="77777777" w:rsidR="00332A29" w:rsidRPr="009E5648" w:rsidRDefault="00183F7E" w:rsidP="00AF371C">
      <w:pPr>
        <w:pStyle w:val="Textpoznpodarou"/>
        <w:spacing w:before="0"/>
      </w:pPr>
      <w:hyperlink r:id="rId3" w:history="1">
        <w:r w:rsidR="00332A29" w:rsidRPr="009E5648">
          <w:rPr>
            <w:rStyle w:val="Hypertextovodkaz"/>
            <w:color w:val="auto"/>
            <w:u w:val="none"/>
          </w:rPr>
          <w:t>https://mmr.cz/getmedia/58c57a22-202d-4374-af5d-cbd8f9454adb/SRR21.pdf.aspx?ext=.pdf</w:t>
        </w:r>
      </w:hyperlink>
    </w:p>
  </w:footnote>
  <w:footnote w:id="6">
    <w:p w14:paraId="68F8C081" w14:textId="61716046" w:rsidR="00332A29" w:rsidRPr="004F66D5" w:rsidRDefault="00332A29" w:rsidP="00AF371C">
      <w:pPr>
        <w:pStyle w:val="Textpoznpodarou"/>
        <w:rPr>
          <w:rFonts w:cstheme="minorHAnsi"/>
          <w:color w:val="000000" w:themeColor="text1"/>
        </w:rPr>
      </w:pPr>
      <w:r w:rsidRPr="004F66D5">
        <w:rPr>
          <w:rStyle w:val="Znakapoznpodarou"/>
          <w:rFonts w:cstheme="minorHAnsi"/>
        </w:rPr>
        <w:footnoteRef/>
      </w:r>
      <w:r w:rsidRPr="004F66D5">
        <w:rPr>
          <w:rFonts w:cstheme="minorHAnsi"/>
        </w:rPr>
        <w:t xml:space="preserve"> </w:t>
      </w:r>
      <w:r w:rsidRPr="004F66D5">
        <w:rPr>
          <w:rFonts w:cstheme="minorHAnsi"/>
          <w:color w:val="000000" w:themeColor="text1"/>
        </w:rPr>
        <w:t>Autorem urbanistické koncepce uspořádání městského prostoru ve Zlíně je zlínský rodák F. L. Gahura, ž</w:t>
      </w:r>
      <w:r>
        <w:rPr>
          <w:rFonts w:cstheme="minorHAnsi"/>
          <w:color w:val="000000" w:themeColor="text1"/>
        </w:rPr>
        <w:t>á</w:t>
      </w:r>
      <w:r w:rsidRPr="004F66D5">
        <w:rPr>
          <w:rFonts w:cstheme="minorHAnsi"/>
          <w:color w:val="000000" w:themeColor="text1"/>
        </w:rPr>
        <w:t xml:space="preserve">k </w:t>
      </w:r>
      <w:r>
        <w:rPr>
          <w:rFonts w:cstheme="minorHAnsi"/>
          <w:color w:val="000000" w:themeColor="text1"/>
        </w:rPr>
        <w:t>J. </w:t>
      </w:r>
      <w:r w:rsidRPr="004F66D5">
        <w:rPr>
          <w:rFonts w:cstheme="minorHAnsi"/>
          <w:color w:val="000000" w:themeColor="text1"/>
        </w:rPr>
        <w:t xml:space="preserve">Kotěry, který princip zlínského urbanismu shrnul v roce 1934 v </w:t>
      </w:r>
      <w:r w:rsidRPr="004F66D5">
        <w:rPr>
          <w:rFonts w:cstheme="minorHAnsi"/>
          <w:color w:val="000000" w:themeColor="text1"/>
          <w:shd w:val="clear" w:color="auto" w:fill="FFFFFF"/>
        </w:rPr>
        <w:t>Upravovacím plánu obcí velkého Zlína, základní regulační ko</w:t>
      </w:r>
      <w:r>
        <w:rPr>
          <w:rFonts w:cstheme="minorHAnsi"/>
          <w:color w:val="000000" w:themeColor="text1"/>
          <w:shd w:val="clear" w:color="auto" w:fill="FFFFFF"/>
        </w:rPr>
        <w:t>ncepci</w:t>
      </w:r>
      <w:r w:rsidRPr="004F66D5">
        <w:rPr>
          <w:rFonts w:cstheme="minorHAnsi"/>
          <w:color w:val="000000" w:themeColor="text1"/>
          <w:shd w:val="clear" w:color="auto" w:fill="FFFFFF"/>
        </w:rPr>
        <w:t>, kter</w:t>
      </w:r>
      <w:r>
        <w:rPr>
          <w:rFonts w:cstheme="minorHAnsi"/>
          <w:color w:val="000000" w:themeColor="text1"/>
          <w:shd w:val="clear" w:color="auto" w:fill="FFFFFF"/>
        </w:rPr>
        <w:t>ou se rozvoj města řídil v následujících desetiletích.</w:t>
      </w:r>
    </w:p>
  </w:footnote>
  <w:footnote w:id="7">
    <w:p w14:paraId="29FE051C" w14:textId="77777777" w:rsidR="00332A29" w:rsidRPr="001E76FE" w:rsidRDefault="00332A29" w:rsidP="00AF371C">
      <w:r>
        <w:rPr>
          <w:rStyle w:val="Znakapoznpodarou"/>
        </w:rPr>
        <w:footnoteRef/>
      </w:r>
      <w:r>
        <w:t xml:space="preserve"> </w:t>
      </w:r>
      <w:r w:rsidRPr="00CA04AF">
        <w:rPr>
          <w:sz w:val="20"/>
          <w:szCs w:val="20"/>
        </w:rPr>
        <w:t>Statutární město Zlín (2016): Strategický plán pro regeneraci Městské památkové zóny Zlín na období 2016 – 2020</w:t>
      </w:r>
      <w:r>
        <w:rPr>
          <w:sz w:val="20"/>
          <w:szCs w:val="20"/>
        </w:rPr>
        <w:t xml:space="preserve">, </w:t>
      </w:r>
      <w:hyperlink r:id="rId4" w:history="1">
        <w:r w:rsidRPr="001E76FE">
          <w:rPr>
            <w:rStyle w:val="Hypertextovodkaz"/>
            <w:color w:val="auto"/>
            <w:sz w:val="20"/>
            <w:szCs w:val="20"/>
            <w:u w:val="none"/>
          </w:rPr>
          <w:t>https://www.zlin.eu/strategicky-plan-2016-2020-programu-regenerace-mpz-zlin-cl-3443.html</w:t>
        </w:r>
      </w:hyperlink>
    </w:p>
  </w:footnote>
  <w:footnote w:id="8">
    <w:p w14:paraId="1116BA66" w14:textId="77777777" w:rsidR="00332A29" w:rsidRDefault="00332A29" w:rsidP="00AF371C">
      <w:pPr>
        <w:pStyle w:val="Textpoznpodarou"/>
        <w:rPr>
          <w:i/>
        </w:rPr>
      </w:pPr>
      <w:r>
        <w:rPr>
          <w:rStyle w:val="Znakapoznpodarou"/>
        </w:rPr>
        <w:footnoteRef/>
      </w:r>
      <w:r>
        <w:t xml:space="preserve">Zlínský kraj (2010): </w:t>
      </w:r>
      <w:r w:rsidRPr="00A61EC8">
        <w:rPr>
          <w:i/>
        </w:rPr>
        <w:t>Strategie využití brownfields ve Zlínském kraji</w:t>
      </w:r>
    </w:p>
    <w:p w14:paraId="2FF98983" w14:textId="77777777" w:rsidR="00332A29" w:rsidRPr="0039788E" w:rsidRDefault="00183F7E" w:rsidP="00AF371C">
      <w:pPr>
        <w:pStyle w:val="Textpoznpodarou"/>
      </w:pPr>
      <w:hyperlink r:id="rId5" w:history="1">
        <w:r w:rsidR="00332A29" w:rsidRPr="0039788E">
          <w:rPr>
            <w:rStyle w:val="Hypertextovodkaz"/>
            <w:color w:val="auto"/>
            <w:u w:val="none"/>
          </w:rPr>
          <w:t>https://portal.cenia.cz/eiasea/download/U0VBX01aUDA5OEtfdnlob2Rub2NlbmlfMS5wZGY/MZP098K_vyhodnoceni.pdf</w:t>
        </w:r>
      </w:hyperlink>
    </w:p>
  </w:footnote>
  <w:footnote w:id="9">
    <w:p w14:paraId="1418A18A" w14:textId="77777777" w:rsidR="00332A29" w:rsidRPr="00BC088E" w:rsidRDefault="00332A29" w:rsidP="00047BE4">
      <w:pPr>
        <w:rPr>
          <w:sz w:val="20"/>
          <w:szCs w:val="20"/>
        </w:rPr>
      </w:pPr>
      <w:r>
        <w:rPr>
          <w:rStyle w:val="Znakapoznpodarou"/>
        </w:rPr>
        <w:footnoteRef/>
      </w:r>
      <w:r>
        <w:t xml:space="preserve"> </w:t>
      </w:r>
      <w:r w:rsidRPr="00BC088E">
        <w:rPr>
          <w:sz w:val="20"/>
          <w:szCs w:val="20"/>
        </w:rPr>
        <w:t>Magistrát města Zlína (2020): Koncepce bydlení na území statutárního města Zlína na období let 2020 – 2025.</w:t>
      </w:r>
    </w:p>
    <w:p w14:paraId="0FF9DB64" w14:textId="77777777" w:rsidR="00332A29" w:rsidRDefault="00332A29" w:rsidP="00047BE4">
      <w:pPr>
        <w:pStyle w:val="Textpoznpodarou"/>
      </w:pPr>
    </w:p>
  </w:footnote>
  <w:footnote w:id="10">
    <w:p w14:paraId="7F623DE7" w14:textId="77777777" w:rsidR="00332A29" w:rsidRDefault="00332A29" w:rsidP="00047BE4">
      <w:pPr>
        <w:pStyle w:val="Textpoznpodarou"/>
      </w:pPr>
      <w:r>
        <w:rPr>
          <w:rStyle w:val="Znakapoznpodarou"/>
        </w:rPr>
        <w:footnoteRef/>
      </w:r>
      <w:r>
        <w:t xml:space="preserve"> </w:t>
      </w:r>
      <w:r w:rsidRPr="00BC088E">
        <w:t>Magistrát města Zlína (2020): Koncepce bydlení na území statutárního města Zlína na období let 2020 – 2025.</w:t>
      </w:r>
    </w:p>
  </w:footnote>
  <w:footnote w:id="11">
    <w:p w14:paraId="76EDB80F" w14:textId="77777777" w:rsidR="00332A29" w:rsidRPr="00DF6936" w:rsidRDefault="00332A29" w:rsidP="00047BE4">
      <w:pPr>
        <w:pStyle w:val="Textpoznpodarou"/>
      </w:pPr>
      <w:r>
        <w:rPr>
          <w:rStyle w:val="Znakapoznpodarou"/>
        </w:rPr>
        <w:footnoteRef/>
      </w:r>
      <w:r>
        <w:t xml:space="preserve"> Realitymix (2020): Statistika nemovitostí, </w:t>
      </w:r>
      <w:hyperlink r:id="rId6" w:history="1">
        <w:r w:rsidRPr="00DF6936">
          <w:rPr>
            <w:rStyle w:val="Hypertextovodkaz"/>
            <w:color w:val="auto"/>
            <w:u w:val="none"/>
          </w:rPr>
          <w:t>https://realitymix.cz/statistika-nemovitosti/byty-pronajem-prumerna-cena-pronajmu-1m2-mesic.html</w:t>
        </w:r>
      </w:hyperlink>
    </w:p>
  </w:footnote>
  <w:footnote w:id="12">
    <w:p w14:paraId="18BAFC15" w14:textId="77777777" w:rsidR="00332A29" w:rsidRDefault="00332A29" w:rsidP="00047BE4">
      <w:pPr>
        <w:pStyle w:val="Textpoznpodarou"/>
      </w:pPr>
      <w:r>
        <w:rPr>
          <w:rStyle w:val="Znakapoznpodarou"/>
        </w:rPr>
        <w:footnoteRef/>
      </w:r>
      <w:r>
        <w:t xml:space="preserve"> V meziročním srovnání zaznamenala průměrná cena pronájmu m</w:t>
      </w:r>
      <w:r w:rsidRPr="00F63ECC">
        <w:rPr>
          <w:vertAlign w:val="superscript"/>
        </w:rPr>
        <w:t>2</w:t>
      </w:r>
      <w:r>
        <w:t xml:space="preserve"> bytů ve Zlíně pokles o 20 %; nejvyšší mírou se na tomto poklesu podílí situace na trhu s nemovitostmi v důsledku pandemie COVID-19</w:t>
      </w:r>
    </w:p>
  </w:footnote>
  <w:footnote w:id="13">
    <w:p w14:paraId="58656301" w14:textId="4F33701B" w:rsidR="00332A29" w:rsidRDefault="00332A29" w:rsidP="00047BE4">
      <w:pPr>
        <w:pStyle w:val="Textpoznpodarou"/>
      </w:pPr>
      <w:r>
        <w:rPr>
          <w:rStyle w:val="Znakapoznpodarou"/>
        </w:rPr>
        <w:footnoteRef/>
      </w:r>
      <w:r>
        <w:t xml:space="preserve"> Beran V., Říhová L. (2017): Dostupnost dat mezi zainteresovanými institucemi v oblasti exekucí. VÚPSV.</w:t>
      </w:r>
    </w:p>
  </w:footnote>
  <w:footnote w:id="14">
    <w:p w14:paraId="4494121A" w14:textId="77777777" w:rsidR="00332A29" w:rsidRPr="008E652E" w:rsidRDefault="00332A29" w:rsidP="00047BE4">
      <w:pPr>
        <w:rPr>
          <w:sz w:val="20"/>
          <w:szCs w:val="20"/>
        </w:rPr>
      </w:pPr>
      <w:r w:rsidRPr="001E2AFD">
        <w:rPr>
          <w:rStyle w:val="Znakapoznpodarou"/>
          <w:sz w:val="20"/>
          <w:szCs w:val="20"/>
        </w:rPr>
        <w:footnoteRef/>
      </w:r>
      <w:r w:rsidRPr="001E2AFD">
        <w:rPr>
          <w:sz w:val="20"/>
          <w:szCs w:val="20"/>
        </w:rPr>
        <w:t xml:space="preserve"> Mapa nezaměstnanosti a sociální nejistoty (2020), </w:t>
      </w:r>
      <w:hyperlink r:id="rId7" w:history="1">
        <w:r w:rsidRPr="008E652E">
          <w:rPr>
            <w:rStyle w:val="Hypertextovodkaz"/>
            <w:color w:val="auto"/>
            <w:sz w:val="20"/>
            <w:szCs w:val="20"/>
            <w:u w:val="none"/>
          </w:rPr>
          <w:t>https://mapanezamestnanosti.cz/</w:t>
        </w:r>
      </w:hyperlink>
    </w:p>
  </w:footnote>
  <w:footnote w:id="15">
    <w:p w14:paraId="7F874922" w14:textId="77777777" w:rsidR="00332A29" w:rsidRDefault="00332A29" w:rsidP="00047BE4">
      <w:r w:rsidRPr="008D5C8E">
        <w:rPr>
          <w:rStyle w:val="Znakapoznpodarou"/>
          <w:sz w:val="20"/>
          <w:szCs w:val="20"/>
        </w:rPr>
        <w:footnoteRef/>
      </w:r>
      <w:r w:rsidRPr="008D5C8E">
        <w:rPr>
          <w:sz w:val="20"/>
          <w:szCs w:val="20"/>
        </w:rPr>
        <w:t xml:space="preserve"> VÚPSV (2019): Sčítání osob bez domova v České republice 2019</w:t>
      </w:r>
      <w:r w:rsidRPr="00822247">
        <w:rPr>
          <w:sz w:val="20"/>
          <w:szCs w:val="20"/>
        </w:rPr>
        <w:t xml:space="preserve">, </w:t>
      </w:r>
      <w:hyperlink r:id="rId8" w:history="1">
        <w:r w:rsidRPr="00822247">
          <w:rPr>
            <w:rStyle w:val="Hypertextovodkaz"/>
            <w:color w:val="auto"/>
            <w:sz w:val="20"/>
            <w:szCs w:val="20"/>
            <w:u w:val="none"/>
          </w:rPr>
          <w:t>http://praha.vupsv.cz/Fulltext/vz_458.pdf</w:t>
        </w:r>
      </w:hyperlink>
    </w:p>
  </w:footnote>
  <w:footnote w:id="16">
    <w:p w14:paraId="040D8774" w14:textId="77777777" w:rsidR="00332A29" w:rsidRDefault="00332A29" w:rsidP="00047BE4">
      <w:pPr>
        <w:pStyle w:val="Textpoznpodarou"/>
      </w:pPr>
      <w:r>
        <w:rPr>
          <w:rStyle w:val="Znakapoznpodarou"/>
        </w:rPr>
        <w:footnoteRef/>
      </w:r>
      <w:r>
        <w:t xml:space="preserve"> Odbor sociálních věcí Magistrátu Města Zlína (2015): Vybrané instituce ve Zlíně, Fryštáku, Lípě, Lukově, Sazovicích a Želechovicích nad Dřevnicí z pohledu (bez)bariérovosti; </w:t>
      </w:r>
      <w:r w:rsidRPr="00B50AEB">
        <w:t>http://www.bezbarierzlin.cz/</w:t>
      </w:r>
    </w:p>
  </w:footnote>
  <w:footnote w:id="17">
    <w:p w14:paraId="16122869" w14:textId="77777777" w:rsidR="00332A29" w:rsidRDefault="00332A29" w:rsidP="00047BE4">
      <w:pPr>
        <w:pStyle w:val="Textpoznpodarou"/>
      </w:pPr>
      <w:r>
        <w:rPr>
          <w:rStyle w:val="Znakapoznpodarou"/>
        </w:rPr>
        <w:footnoteRef/>
      </w:r>
      <w:r>
        <w:t xml:space="preserve"> Zlínský kraj (2019): Koncepce rodinné a seniorské politiky pro období 2020 – 2022.</w:t>
      </w:r>
    </w:p>
  </w:footnote>
  <w:footnote w:id="18">
    <w:p w14:paraId="51A5119F" w14:textId="5C77CFF5" w:rsidR="00332A29" w:rsidRDefault="00332A29" w:rsidP="00D471C1">
      <w:pPr>
        <w:pStyle w:val="Textpoznpodarou"/>
        <w:spacing w:before="0"/>
      </w:pPr>
      <w:r>
        <w:rPr>
          <w:rStyle w:val="Znakapoznpodarou"/>
        </w:rPr>
        <w:footnoteRef/>
      </w:r>
      <w:r>
        <w:t xml:space="preserve"> </w:t>
      </w:r>
      <w:r w:rsidRPr="00B7213A">
        <w:t>Výroční zpráva Magistrátu města Zlína a Městské policie Zlín za rok 2018</w:t>
      </w:r>
      <w:r>
        <w:t>.</w:t>
      </w:r>
    </w:p>
  </w:footnote>
  <w:footnote w:id="19">
    <w:p w14:paraId="44A1D38F" w14:textId="77777777" w:rsidR="00332A29" w:rsidRDefault="00332A29" w:rsidP="00D471C1">
      <w:pPr>
        <w:pStyle w:val="Textpoznpodarou"/>
        <w:spacing w:before="0"/>
      </w:pPr>
      <w:r>
        <w:rPr>
          <w:rStyle w:val="Znakapoznpodarou"/>
        </w:rPr>
        <w:footnoteRef/>
      </w:r>
      <w:r>
        <w:t xml:space="preserve"> Na základě rozhovoru s ředitelem Knihovny Univerzity Tomáše Bati.</w:t>
      </w:r>
    </w:p>
  </w:footnote>
  <w:footnote w:id="20">
    <w:p w14:paraId="0F3DE3C7" w14:textId="77777777" w:rsidR="00332A29" w:rsidRDefault="00332A29" w:rsidP="00D471C1">
      <w:pPr>
        <w:pStyle w:val="Textpoznpodarou"/>
        <w:spacing w:before="0"/>
      </w:pPr>
      <w:r>
        <w:rPr>
          <w:rStyle w:val="Znakapoznpodarou"/>
        </w:rPr>
        <w:footnoteRef/>
      </w:r>
      <w:r>
        <w:t xml:space="preserve"> </w:t>
      </w:r>
      <w:r w:rsidRPr="002A197C">
        <w:t>https://www.14-15.cz/24866-pronajem</w:t>
      </w:r>
    </w:p>
  </w:footnote>
  <w:footnote w:id="21">
    <w:p w14:paraId="54580011" w14:textId="77777777" w:rsidR="00332A29" w:rsidRDefault="00332A29" w:rsidP="00047BE4">
      <w:pPr>
        <w:pStyle w:val="Textpoznpodarou"/>
        <w:spacing w:before="0"/>
      </w:pPr>
      <w:r>
        <w:rPr>
          <w:rStyle w:val="Znakapoznpodarou"/>
        </w:rPr>
        <w:footnoteRef/>
      </w:r>
      <w:r>
        <w:t xml:space="preserve"> </w:t>
      </w:r>
      <w:r w:rsidRPr="007608B1">
        <w:t>https://www.zlin.eu/uzivatele-cl-2397.html</w:t>
      </w:r>
    </w:p>
  </w:footnote>
  <w:footnote w:id="22">
    <w:p w14:paraId="4F075D8C" w14:textId="77777777" w:rsidR="00332A29" w:rsidRDefault="00332A29" w:rsidP="00047BE4">
      <w:pPr>
        <w:pStyle w:val="Textpoznpodarou"/>
        <w:spacing w:before="0"/>
      </w:pPr>
      <w:r>
        <w:rPr>
          <w:rStyle w:val="Znakapoznpodarou"/>
        </w:rPr>
        <w:footnoteRef/>
      </w:r>
      <w:r>
        <w:t xml:space="preserve"> Family Point je m</w:t>
      </w:r>
      <w:r w:rsidRPr="00F12CAD">
        <w:t>ísto přátelské rodině vybavené dětským koutkem, přebalovacím pultem, mikrovlnkou, sedačkou na kojení a veřejným internetem. Senior P</w:t>
      </w:r>
      <w:r>
        <w:t>oint</w:t>
      </w:r>
      <w:r w:rsidRPr="00F12CAD">
        <w:t xml:space="preserve"> </w:t>
      </w:r>
      <w:r>
        <w:t xml:space="preserve">je kontaktní místo přátelské </w:t>
      </w:r>
      <w:r w:rsidRPr="00F12CAD">
        <w:t>seniorům</w:t>
      </w:r>
      <w:r>
        <w:t xml:space="preserve"> nabízející poradenské služby, ale také volnočasové vyžití pro seniory.</w:t>
      </w:r>
      <w:r w:rsidRPr="00F12CAD">
        <w:t xml:space="preserve"> </w:t>
      </w:r>
      <w:r>
        <w:t>Jejich</w:t>
      </w:r>
      <w:r w:rsidRPr="00F12CAD">
        <w:t xml:space="preserve"> provoz zajišťuje Centrum pro rodinu Zlín</w:t>
      </w:r>
      <w:r>
        <w:t>, z.s.</w:t>
      </w:r>
    </w:p>
  </w:footnote>
  <w:footnote w:id="23">
    <w:p w14:paraId="689CA7BD" w14:textId="77777777" w:rsidR="00332A29" w:rsidRDefault="00332A29" w:rsidP="00047BE4">
      <w:pPr>
        <w:pStyle w:val="Textpoznpodarou"/>
        <w:spacing w:before="0"/>
      </w:pPr>
      <w:r>
        <w:rPr>
          <w:rStyle w:val="Znakapoznpodarou"/>
        </w:rPr>
        <w:footnoteRef/>
      </w:r>
      <w:r>
        <w:t xml:space="preserve"> Kongresové centrum Zlín. O budově. Dostupné na: </w:t>
      </w:r>
      <w:r w:rsidRPr="002D209B">
        <w:t>http://www.kc-zlin.cz/24857-o-budove</w:t>
      </w:r>
    </w:p>
  </w:footnote>
  <w:footnote w:id="24">
    <w:p w14:paraId="5CDBDC5E" w14:textId="77777777" w:rsidR="00332A29" w:rsidRPr="00CD5FCF" w:rsidRDefault="00332A29" w:rsidP="00047BE4">
      <w:pPr>
        <w:pStyle w:val="Textpoznpodarou"/>
      </w:pPr>
      <w:r>
        <w:rPr>
          <w:rStyle w:val="Znakapoznpodarou"/>
        </w:rPr>
        <w:footnoteRef/>
      </w:r>
      <w:r>
        <w:t xml:space="preserve"> </w:t>
      </w:r>
      <w:hyperlink r:id="rId9" w:history="1">
        <w:r w:rsidRPr="00CD5FCF">
          <w:rPr>
            <w:rStyle w:val="Hypertextovodkaz"/>
            <w:color w:val="auto"/>
            <w:u w:val="none"/>
          </w:rPr>
          <w:t>http://www.ic-zlin.cz/</w:t>
        </w:r>
      </w:hyperlink>
    </w:p>
  </w:footnote>
  <w:footnote w:id="25">
    <w:p w14:paraId="79A1F2C3" w14:textId="77777777" w:rsidR="00332A29" w:rsidRDefault="00332A29" w:rsidP="00047BE4">
      <w:pPr>
        <w:pStyle w:val="Textpoznpodarou"/>
      </w:pPr>
      <w:r>
        <w:rPr>
          <w:rStyle w:val="Znakapoznpodarou"/>
        </w:rPr>
        <w:footnoteRef/>
      </w:r>
      <w:r>
        <w:t xml:space="preserve"> </w:t>
      </w:r>
      <w:r w:rsidRPr="002A197C">
        <w:t>https://www.dkzlin.com/</w:t>
      </w:r>
    </w:p>
  </w:footnote>
  <w:footnote w:id="26">
    <w:p w14:paraId="54EB2344" w14:textId="77777777" w:rsidR="00332A29" w:rsidRDefault="00332A29" w:rsidP="00047BE4">
      <w:pPr>
        <w:pStyle w:val="Textpoznpodarou"/>
      </w:pPr>
      <w:r>
        <w:rPr>
          <w:rStyle w:val="Znakapoznpodarou"/>
        </w:rPr>
        <w:footnoteRef/>
      </w:r>
      <w:r>
        <w:t xml:space="preserve"> </w:t>
      </w:r>
      <w:r w:rsidRPr="006F5027">
        <w:t>https://www.sopa.cz/</w:t>
      </w:r>
    </w:p>
  </w:footnote>
  <w:footnote w:id="27">
    <w:p w14:paraId="5BB4CE6E" w14:textId="77777777" w:rsidR="00332A29" w:rsidRDefault="00332A29" w:rsidP="00047BE4">
      <w:pPr>
        <w:pStyle w:val="Textpoznpodarou"/>
      </w:pPr>
      <w:r>
        <w:rPr>
          <w:rStyle w:val="Znakapoznpodarou"/>
        </w:rPr>
        <w:footnoteRef/>
      </w:r>
      <w:r>
        <w:t xml:space="preserve"> Pravidla kulturního fondu statutárního města Zlína a Statut Kulturního fondu statutárního města Zlína, dostupné na: </w:t>
      </w:r>
      <w:hyperlink r:id="rId10" w:history="1">
        <w:r w:rsidRPr="00034C72">
          <w:rPr>
            <w:rStyle w:val="Hypertextovodkaz"/>
            <w:color w:val="auto"/>
            <w:u w:val="none"/>
          </w:rPr>
          <w:t>https://www.zlin.eu/statut-a-pravidla-cl-930.html</w:t>
        </w:r>
      </w:hyperlink>
    </w:p>
  </w:footnote>
  <w:footnote w:id="28">
    <w:p w14:paraId="42602CED" w14:textId="1DDEBA2D" w:rsidR="00332A29" w:rsidRDefault="00332A29" w:rsidP="00047BE4">
      <w:pPr>
        <w:pStyle w:val="Textpoznpodarou"/>
      </w:pPr>
      <w:r>
        <w:rPr>
          <w:rStyle w:val="Znakapoznpodarou"/>
        </w:rPr>
        <w:footnoteRef/>
      </w:r>
      <w:r>
        <w:t xml:space="preserve"> Škála 0 </w:t>
      </w:r>
      <w:r>
        <w:sym w:font="Symbol" w:char="F02D"/>
      </w:r>
      <w:r>
        <w:t xml:space="preserve"> 100, </w:t>
      </w:r>
      <w:r w:rsidRPr="00DC4D67">
        <w:t xml:space="preserve">kde 0 </w:t>
      </w:r>
      <w:r>
        <w:t>znamená</w:t>
      </w:r>
      <w:r w:rsidRPr="00DC4D67">
        <w:t xml:space="preserve"> </w:t>
      </w:r>
      <w:r>
        <w:t>zcela nespokojen</w:t>
      </w:r>
      <w:r w:rsidRPr="00DC4D67">
        <w:t xml:space="preserve"> a 100 </w:t>
      </w:r>
      <w:r>
        <w:t>zcela spokojen</w:t>
      </w:r>
      <w:r w:rsidRPr="00DC4D67">
        <w:t>.</w:t>
      </w:r>
    </w:p>
  </w:footnote>
  <w:footnote w:id="29">
    <w:p w14:paraId="7EA84733" w14:textId="35FE3427" w:rsidR="00332A29" w:rsidRDefault="00332A29" w:rsidP="00047BE4">
      <w:pPr>
        <w:pStyle w:val="Textpoznpodarou"/>
      </w:pPr>
      <w:r>
        <w:rPr>
          <w:rStyle w:val="Znakapoznpodarou"/>
        </w:rPr>
        <w:footnoteRef/>
      </w:r>
      <w:r>
        <w:t xml:space="preserve"> </w:t>
      </w:r>
      <w:r w:rsidRPr="00572FA6">
        <w:t>Výroční zpráva Magistrátu města Zlína a Městské policie Zlín za rok 2018</w:t>
      </w:r>
      <w:r>
        <w:t>.</w:t>
      </w:r>
    </w:p>
  </w:footnote>
  <w:footnote w:id="30">
    <w:p w14:paraId="18C07E32" w14:textId="77777777" w:rsidR="00332A29" w:rsidRDefault="00332A29" w:rsidP="00047BE4">
      <w:pPr>
        <w:pStyle w:val="Textpoznpodarou"/>
      </w:pPr>
      <w:r>
        <w:rPr>
          <w:rStyle w:val="Znakapoznpodarou"/>
        </w:rPr>
        <w:footnoteRef/>
      </w:r>
      <w:r>
        <w:t xml:space="preserve"> </w:t>
      </w:r>
      <w:r w:rsidRPr="00BA13A2">
        <w:t>https://www.zlin.eu/en/berani-zlin-s-r-o--cl-107.html</w:t>
      </w:r>
    </w:p>
  </w:footnote>
  <w:footnote w:id="31">
    <w:p w14:paraId="2BB5F1A6" w14:textId="77777777" w:rsidR="00332A29" w:rsidRDefault="00332A29" w:rsidP="00047BE4">
      <w:pPr>
        <w:pStyle w:val="Textpoznpodarou"/>
      </w:pPr>
      <w:r>
        <w:rPr>
          <w:rStyle w:val="Znakapoznpodarou"/>
        </w:rPr>
        <w:footnoteRef/>
      </w:r>
      <w:r>
        <w:t xml:space="preserve"> </w:t>
      </w:r>
      <w:r w:rsidRPr="00BA13A2">
        <w:t>http://www.plaveckaskolazlin.cz/infoskola.htm</w:t>
      </w:r>
    </w:p>
  </w:footnote>
  <w:footnote w:id="32">
    <w:p w14:paraId="7E042A98" w14:textId="77777777" w:rsidR="00332A29" w:rsidRDefault="00332A29" w:rsidP="00047BE4">
      <w:pPr>
        <w:pStyle w:val="Textpoznpodarou"/>
      </w:pPr>
      <w:r>
        <w:rPr>
          <w:rStyle w:val="Znakapoznpodarou"/>
        </w:rPr>
        <w:footnoteRef/>
      </w:r>
      <w:r>
        <w:t xml:space="preserve"> </w:t>
      </w:r>
      <w:r w:rsidRPr="00BA13A2">
        <w:t>https://www.zlin.eu/detska-materska-centra-a-kluby-pro-mladez-cl-698.html</w:t>
      </w:r>
    </w:p>
  </w:footnote>
  <w:footnote w:id="33">
    <w:p w14:paraId="00E2F964" w14:textId="77777777" w:rsidR="00332A29" w:rsidRDefault="00332A29" w:rsidP="00047BE4">
      <w:pPr>
        <w:pStyle w:val="Textpoznpodarou"/>
      </w:pPr>
      <w:r>
        <w:rPr>
          <w:rStyle w:val="Znakapoznpodarou"/>
        </w:rPr>
        <w:footnoteRef/>
      </w:r>
      <w:r>
        <w:t xml:space="preserve"> </w:t>
      </w:r>
      <w:r w:rsidRPr="00F51F73">
        <w:t>https://www.zlin.eu/fond-mladeze-a-telovychovy-cl-368.html</w:t>
      </w:r>
    </w:p>
  </w:footnote>
  <w:footnote w:id="34">
    <w:p w14:paraId="1E8621A9" w14:textId="77777777" w:rsidR="00332A29" w:rsidRDefault="00332A29" w:rsidP="00047BE4">
      <w:pPr>
        <w:pStyle w:val="Textpoznpodarou"/>
      </w:pPr>
      <w:r>
        <w:rPr>
          <w:rStyle w:val="Znakapoznpodarou"/>
        </w:rPr>
        <w:footnoteRef/>
      </w:r>
      <w:r>
        <w:t xml:space="preserve"> MAGISTRÁT MĚSTA ZLÍNA (2012): Strategie rozvoje statutárního města Zlína do roku 2020 – Zlín 2020.</w:t>
      </w:r>
    </w:p>
    <w:p w14:paraId="1AC609F1" w14:textId="77777777" w:rsidR="00332A29" w:rsidRPr="00E86479" w:rsidRDefault="00183F7E" w:rsidP="00047BE4">
      <w:pPr>
        <w:pStyle w:val="Textpoznpodarou"/>
      </w:pPr>
      <w:hyperlink r:id="rId11" w:history="1">
        <w:r w:rsidR="00332A29" w:rsidRPr="00E86479">
          <w:rPr>
            <w:rStyle w:val="Hypertextovodkaz"/>
            <w:color w:val="auto"/>
            <w:u w:val="none"/>
          </w:rPr>
          <w:t>https://www.zlin.eu/strategie-rozvoje-statutarniho-mesta-zlina-do-roku-2020-zlin-2020-cl-750.html</w:t>
        </w:r>
      </w:hyperlink>
    </w:p>
  </w:footnote>
  <w:footnote w:id="35">
    <w:p w14:paraId="3A7834B6" w14:textId="77777777" w:rsidR="00332A29" w:rsidRDefault="00332A29" w:rsidP="00047BE4">
      <w:pPr>
        <w:pStyle w:val="Textpoznpodarou"/>
      </w:pPr>
      <w:r>
        <w:rPr>
          <w:rStyle w:val="Znakapoznpodarou"/>
        </w:rPr>
        <w:footnoteRef/>
      </w:r>
      <w:r>
        <w:t xml:space="preserve"> MAGISTRÁT MĚSTA ZLÍNA (2019): Výroční zpráva Magistrátu města Zlína a Městské policie Zlín za rok 2018.</w:t>
      </w:r>
    </w:p>
    <w:p w14:paraId="308AF742" w14:textId="77777777" w:rsidR="00332A29" w:rsidRPr="00E86479" w:rsidRDefault="00183F7E" w:rsidP="00047BE4">
      <w:pPr>
        <w:pStyle w:val="Textpoznpodarou"/>
      </w:pPr>
      <w:hyperlink r:id="rId12" w:history="1">
        <w:r w:rsidR="00332A29" w:rsidRPr="00E86479">
          <w:rPr>
            <w:rStyle w:val="Hypertextovodkaz"/>
            <w:color w:val="auto"/>
            <w:u w:val="none"/>
          </w:rPr>
          <w:t>https://www.zlin.eu/vyrocni-zprava-magistratu-mesta-zlina-cl-101.html</w:t>
        </w:r>
      </w:hyperlink>
    </w:p>
  </w:footnote>
  <w:footnote w:id="36">
    <w:p w14:paraId="5E3C658F" w14:textId="77777777" w:rsidR="00332A29" w:rsidRDefault="00332A29" w:rsidP="00047BE4">
      <w:pPr>
        <w:pStyle w:val="Textpoznpodarou"/>
      </w:pPr>
      <w:r>
        <w:rPr>
          <w:rStyle w:val="Znakapoznpodarou"/>
        </w:rPr>
        <w:footnoteRef/>
      </w:r>
      <w:r>
        <w:t xml:space="preserve"> Odbor životního prostředí a zemědělství Magistrátu města Zlína (2016): Životní prostředí Zlínska a jeho ochrana.</w:t>
      </w:r>
    </w:p>
    <w:p w14:paraId="4E10FCD5" w14:textId="77777777" w:rsidR="00332A29" w:rsidRPr="00E86479" w:rsidRDefault="00183F7E" w:rsidP="00047BE4">
      <w:pPr>
        <w:pStyle w:val="Textpoznpodarou"/>
      </w:pPr>
      <w:hyperlink r:id="rId13" w:history="1">
        <w:r w:rsidR="00332A29" w:rsidRPr="00E86479">
          <w:rPr>
            <w:rStyle w:val="Hypertextovodkaz"/>
            <w:color w:val="auto"/>
            <w:u w:val="none"/>
          </w:rPr>
          <w:t>https://www.zlin.eu/zivotni-prostredi-a-zemedelstvi-cl-228.html</w:t>
        </w:r>
      </w:hyperlink>
    </w:p>
  </w:footnote>
  <w:footnote w:id="37">
    <w:p w14:paraId="7CC06811" w14:textId="51E40524" w:rsidR="00332A29" w:rsidRDefault="00332A29" w:rsidP="00047BE4">
      <w:pPr>
        <w:pStyle w:val="Textpoznpodarou"/>
      </w:pPr>
      <w:r>
        <w:rPr>
          <w:rStyle w:val="Znakapoznpodarou"/>
        </w:rPr>
        <w:footnoteRef/>
      </w:r>
      <w:r>
        <w:t xml:space="preserve"> ENVITECH BOHEMIA (2020): Vyhodnocení kvality ovzduší v lokalitě Zlín – Kvítková. Rok 2019.</w:t>
      </w:r>
    </w:p>
    <w:p w14:paraId="7C655B91" w14:textId="77777777" w:rsidR="00332A29" w:rsidRPr="00A14159" w:rsidRDefault="00183F7E" w:rsidP="00047BE4">
      <w:pPr>
        <w:pStyle w:val="Textpoznpodarou"/>
      </w:pPr>
      <w:hyperlink r:id="rId14" w:history="1">
        <w:r w:rsidR="00332A29" w:rsidRPr="00A14159">
          <w:rPr>
            <w:rStyle w:val="Hypertextovodkaz"/>
            <w:color w:val="auto"/>
            <w:sz w:val="22"/>
            <w:szCs w:val="22"/>
            <w:u w:val="none"/>
          </w:rPr>
          <w:t>http://www.zlin.eu/clanky/dokumenty/7839/914433lx5wk8-zprava-o-kvalite-ovzdusi-v-lokalite-zlin-kvitkova-za-rok-2019.pdf</w:t>
        </w:r>
      </w:hyperlink>
    </w:p>
  </w:footnote>
  <w:footnote w:id="38">
    <w:p w14:paraId="5776D292" w14:textId="77777777" w:rsidR="00332A29" w:rsidRPr="009B6C08" w:rsidRDefault="00332A29" w:rsidP="00047BE4">
      <w:pPr>
        <w:pStyle w:val="Textpoznpodarou"/>
        <w:spacing w:before="0"/>
      </w:pPr>
      <w:r w:rsidRPr="009B6C08">
        <w:rPr>
          <w:rStyle w:val="Znakapoznpodarou"/>
        </w:rPr>
        <w:footnoteRef/>
      </w:r>
      <w:r w:rsidRPr="009B6C08">
        <w:t xml:space="preserve"> ENVITECH BOHEMIA (2015): Analýza ovzduší ve Zlínském kraji ve vztahu k lokálním topeništím</w:t>
      </w:r>
    </w:p>
    <w:p w14:paraId="0478FF7D" w14:textId="77777777" w:rsidR="00332A29" w:rsidRPr="001620D7" w:rsidRDefault="00183F7E" w:rsidP="00047BE4">
      <w:pPr>
        <w:pStyle w:val="Textpoznpodarou"/>
        <w:spacing w:before="0"/>
      </w:pPr>
      <w:hyperlink r:id="rId15" w:history="1">
        <w:r w:rsidR="00332A29" w:rsidRPr="001620D7">
          <w:rPr>
            <w:rStyle w:val="Hypertextovodkaz"/>
            <w:color w:val="auto"/>
            <w:u w:val="none"/>
          </w:rPr>
          <w:t>http://mail.envitech.sk/ovzdusizlin/spravy/AnalyzaOvzdusiZKTopeniste2015.pdf</w:t>
        </w:r>
      </w:hyperlink>
    </w:p>
  </w:footnote>
  <w:footnote w:id="39">
    <w:p w14:paraId="30EE06B9" w14:textId="77777777" w:rsidR="00332A29" w:rsidRPr="009B6C08" w:rsidRDefault="00332A29" w:rsidP="00047BE4">
      <w:pPr>
        <w:pStyle w:val="Textpoznpodarou"/>
        <w:spacing w:before="0"/>
      </w:pPr>
      <w:r w:rsidRPr="009B6C08">
        <w:rPr>
          <w:rStyle w:val="Znakapoznpodarou"/>
        </w:rPr>
        <w:footnoteRef/>
      </w:r>
      <w:r w:rsidRPr="009B6C08">
        <w:t xml:space="preserve"> ČHMÚ (2020): Pětileté průměrné koncentrace</w:t>
      </w:r>
    </w:p>
    <w:p w14:paraId="3684B668" w14:textId="77777777" w:rsidR="00332A29" w:rsidRPr="001620D7" w:rsidRDefault="00183F7E" w:rsidP="00047BE4">
      <w:pPr>
        <w:pStyle w:val="Textpoznpodarou"/>
        <w:spacing w:before="0"/>
      </w:pPr>
      <w:hyperlink r:id="rId16" w:history="1">
        <w:r w:rsidR="00332A29" w:rsidRPr="001620D7">
          <w:rPr>
            <w:rStyle w:val="Hypertextovodkaz"/>
            <w:color w:val="auto"/>
            <w:u w:val="none"/>
          </w:rPr>
          <w:t>http://portal.chmi.cz/files/portal/docs/uoco/isko/ozko/ozko_CZ.html</w:t>
        </w:r>
      </w:hyperlink>
    </w:p>
  </w:footnote>
  <w:footnote w:id="40">
    <w:p w14:paraId="1C568D66" w14:textId="77777777" w:rsidR="00332A29" w:rsidRDefault="00332A29" w:rsidP="00047BE4">
      <w:pPr>
        <w:pStyle w:val="Textpoznpodarou"/>
        <w:spacing w:before="0"/>
      </w:pPr>
      <w:r>
        <w:rPr>
          <w:rStyle w:val="Znakapoznpodarou"/>
        </w:rPr>
        <w:footnoteRef/>
      </w:r>
      <w:r>
        <w:t xml:space="preserve"> ČHMÚ (2019): Znečištění ovzduší na území České republiky v roce 2018</w:t>
      </w:r>
    </w:p>
    <w:p w14:paraId="3F7B3ED2" w14:textId="77777777" w:rsidR="00332A29" w:rsidRPr="001620D7" w:rsidRDefault="00183F7E" w:rsidP="00047BE4">
      <w:pPr>
        <w:pStyle w:val="Textpoznpodarou"/>
        <w:spacing w:before="0"/>
        <w:rPr>
          <w:sz w:val="22"/>
          <w:szCs w:val="22"/>
        </w:rPr>
      </w:pPr>
      <w:hyperlink r:id="rId17" w:history="1">
        <w:r w:rsidR="00332A29" w:rsidRPr="001620D7">
          <w:rPr>
            <w:rStyle w:val="Hypertextovodkaz"/>
            <w:color w:val="auto"/>
            <w:u w:val="none"/>
          </w:rPr>
          <w:t>http://portal.chmi.cz/files/portal/docs/uoco/isko/grafroc/18groc/gr18cz/KO_rocenka_2018.pdf</w:t>
        </w:r>
      </w:hyperlink>
    </w:p>
    <w:p w14:paraId="7625E40A" w14:textId="77777777" w:rsidR="00332A29" w:rsidRDefault="00332A29" w:rsidP="00047BE4">
      <w:pPr>
        <w:pStyle w:val="Textpoznpodarou"/>
      </w:pPr>
    </w:p>
  </w:footnote>
  <w:footnote w:id="41">
    <w:p w14:paraId="26AA4719" w14:textId="600E9DB0" w:rsidR="00332A29" w:rsidRDefault="00332A29" w:rsidP="00047BE4">
      <w:pPr>
        <w:pStyle w:val="Textpoznpodarou"/>
        <w:spacing w:before="0"/>
      </w:pPr>
      <w:r>
        <w:rPr>
          <w:rStyle w:val="Znakapoznpodarou"/>
        </w:rPr>
        <w:footnoteRef/>
      </w:r>
      <w:r>
        <w:t xml:space="preserve"> CENIA (2020): Zpráva o životním prostředí ve Zlínském kraji v roce 2018.</w:t>
      </w:r>
    </w:p>
    <w:p w14:paraId="6D766079" w14:textId="77777777" w:rsidR="00332A29" w:rsidRPr="001620D7" w:rsidRDefault="00183F7E" w:rsidP="00047BE4">
      <w:pPr>
        <w:pStyle w:val="Textpoznpodarou"/>
        <w:spacing w:before="0"/>
      </w:pPr>
      <w:hyperlink r:id="rId18" w:history="1">
        <w:r w:rsidR="00332A29" w:rsidRPr="001620D7">
          <w:rPr>
            <w:rStyle w:val="Hypertextovodkaz"/>
            <w:color w:val="auto"/>
            <w:u w:val="none"/>
          </w:rPr>
          <w:t>https://www.cenia.cz/publikace/krajske-zpravy/zpravy-o-zivotnim-prostredi-v-krajich-2018/</w:t>
        </w:r>
      </w:hyperlink>
    </w:p>
  </w:footnote>
  <w:footnote w:id="42">
    <w:p w14:paraId="715FEC5A" w14:textId="77777777" w:rsidR="00332A29" w:rsidRDefault="00332A29" w:rsidP="00047BE4">
      <w:pPr>
        <w:pStyle w:val="Textpoznpodarou"/>
        <w:spacing w:before="0"/>
      </w:pPr>
      <w:r>
        <w:rPr>
          <w:rStyle w:val="Znakapoznpodarou"/>
        </w:rPr>
        <w:footnoteRef/>
      </w:r>
      <w:r>
        <w:t xml:space="preserve"> Ministerstvo dopravy (2019): Akční plán protihlukových opatření pro hlavní pozemní komunikace ve správě ŘSD ČR – 3. kolo, Zlínský kraj</w:t>
      </w:r>
    </w:p>
    <w:p w14:paraId="07FB3634" w14:textId="77777777" w:rsidR="00332A29" w:rsidRDefault="00332A29" w:rsidP="00047BE4">
      <w:pPr>
        <w:pStyle w:val="Textpoznpodarou"/>
        <w:spacing w:before="0"/>
      </w:pPr>
      <w:r w:rsidRPr="00600031">
        <w:t>https://www.mdcr.cz/MDCR/media/MDCR/AP_RSD_ZLN.pdf</w:t>
      </w:r>
    </w:p>
  </w:footnote>
  <w:footnote w:id="43">
    <w:p w14:paraId="4B5B25F5" w14:textId="77777777" w:rsidR="00332A29" w:rsidRDefault="00332A29" w:rsidP="00047BE4">
      <w:pPr>
        <w:pStyle w:val="Textpoznpodarou"/>
        <w:spacing w:before="0"/>
      </w:pPr>
      <w:r>
        <w:rPr>
          <w:rStyle w:val="Znakapoznpodarou"/>
        </w:rPr>
        <w:footnoteRef/>
      </w:r>
      <w:r>
        <w:t xml:space="preserve"> Zlínský kraj (2019): Akční plán protihlukových opatření pro hlavní pozemní komunikace ve vlastnictví Zlínského kraje</w:t>
      </w:r>
    </w:p>
    <w:p w14:paraId="02CC0345" w14:textId="77777777" w:rsidR="00332A29" w:rsidRDefault="00332A29" w:rsidP="00047BE4">
      <w:pPr>
        <w:pStyle w:val="Textpoznpodarou"/>
        <w:spacing w:before="0"/>
      </w:pPr>
      <w:r w:rsidRPr="00261FF0">
        <w:t>https://www.kr-zlinsky.cz/akcni-plan-protihlukovych-opatreni-pro-hlavni-pozemni-komunikace-ve-vlastnictvi-zlinskeho-kraje-cl-4673.html</w:t>
      </w:r>
    </w:p>
  </w:footnote>
  <w:footnote w:id="44">
    <w:p w14:paraId="67A62AAE" w14:textId="77777777" w:rsidR="00332A29" w:rsidRPr="00372622" w:rsidRDefault="00332A29" w:rsidP="00047BE4">
      <w:pPr>
        <w:pStyle w:val="Textpoznpodarou"/>
        <w:spacing w:before="0"/>
      </w:pPr>
      <w:r>
        <w:rPr>
          <w:rStyle w:val="Znakapoznpodarou"/>
        </w:rPr>
        <w:footnoteRef/>
      </w:r>
      <w:r>
        <w:t xml:space="preserve"> L</w:t>
      </w:r>
      <w:r w:rsidRPr="001711E5">
        <w:rPr>
          <w:vertAlign w:val="subscript"/>
        </w:rPr>
        <w:t>n</w:t>
      </w:r>
      <w:r>
        <w:rPr>
          <w:vertAlign w:val="subscript"/>
        </w:rPr>
        <w:t xml:space="preserve"> </w:t>
      </w:r>
      <w:r>
        <w:t>značí hlukové zatížení v noci</w:t>
      </w:r>
    </w:p>
  </w:footnote>
  <w:footnote w:id="45">
    <w:p w14:paraId="6CC05364" w14:textId="77777777" w:rsidR="00332A29" w:rsidRDefault="00332A29" w:rsidP="00047BE4">
      <w:pPr>
        <w:pStyle w:val="Textpoznpodarou"/>
        <w:spacing w:before="0"/>
      </w:pPr>
      <w:r>
        <w:rPr>
          <w:rStyle w:val="Znakapoznpodarou"/>
        </w:rPr>
        <w:footnoteRef/>
      </w:r>
      <w:r>
        <w:t xml:space="preserve"> ŘSD (2020): Dálnice D49 Fryšták – Lípa, 2. etapa</w:t>
      </w:r>
    </w:p>
  </w:footnote>
  <w:footnote w:id="46">
    <w:p w14:paraId="294C0FAD" w14:textId="1D0D2A4B" w:rsidR="00332A29" w:rsidRDefault="00332A29" w:rsidP="00047BE4">
      <w:pPr>
        <w:pStyle w:val="Textpoznpodarou"/>
        <w:spacing w:before="0"/>
      </w:pPr>
      <w:r>
        <w:rPr>
          <w:rStyle w:val="Znakapoznpodarou"/>
        </w:rPr>
        <w:footnoteRef/>
      </w:r>
      <w:r>
        <w:t xml:space="preserve"> ENVIPROJEKT (2017): Plán </w:t>
      </w:r>
      <w:r w:rsidRPr="00A265F0">
        <w:t>odpadového hospodářst</w:t>
      </w:r>
      <w:r>
        <w:t>ví S</w:t>
      </w:r>
      <w:r w:rsidRPr="00A265F0">
        <w:t>tatutárního města Zlína</w:t>
      </w:r>
      <w:r>
        <w:t xml:space="preserve"> </w:t>
      </w:r>
      <w:r w:rsidRPr="00A265F0">
        <w:t>(2017</w:t>
      </w:r>
      <w:r>
        <w:t xml:space="preserve"> </w:t>
      </w:r>
      <w:r w:rsidRPr="00A265F0">
        <w:t>–</w:t>
      </w:r>
      <w:r>
        <w:t xml:space="preserve"> </w:t>
      </w:r>
      <w:r w:rsidRPr="00A265F0">
        <w:t>2021)</w:t>
      </w:r>
      <w:r>
        <w:t>.</w:t>
      </w:r>
    </w:p>
    <w:p w14:paraId="66022C7F" w14:textId="77777777" w:rsidR="00332A29" w:rsidRPr="005D5CBF" w:rsidRDefault="00183F7E" w:rsidP="00047BE4">
      <w:pPr>
        <w:pStyle w:val="Textpoznpodarou"/>
        <w:spacing w:before="0"/>
      </w:pPr>
      <w:hyperlink r:id="rId19" w:history="1">
        <w:r w:rsidR="00332A29" w:rsidRPr="005D5CBF">
          <w:rPr>
            <w:rStyle w:val="Hypertextovodkaz"/>
            <w:color w:val="auto"/>
            <w:u w:val="none"/>
          </w:rPr>
          <w:t>https://www.zlin.eu/clanky/dokumenty/2599/657edibw058v-plan-odpadoveho-hospodarstvi-smz-2017-2021.pdf</w:t>
        </w:r>
      </w:hyperlink>
    </w:p>
  </w:footnote>
  <w:footnote w:id="47">
    <w:p w14:paraId="7C71FD5E" w14:textId="7920601A" w:rsidR="00332A29" w:rsidRDefault="00332A29" w:rsidP="00047BE4">
      <w:pPr>
        <w:pStyle w:val="Textpoznpodarou"/>
        <w:spacing w:before="0"/>
      </w:pPr>
      <w:r w:rsidRPr="009102E9">
        <w:rPr>
          <w:rStyle w:val="Znakapoznpodarou"/>
        </w:rPr>
        <w:footnoteRef/>
      </w:r>
      <w:r w:rsidRPr="009102E9">
        <w:t xml:space="preserve"> </w:t>
      </w:r>
      <w:r>
        <w:t>SMZ</w:t>
      </w:r>
      <w:r w:rsidRPr="009102E9">
        <w:t xml:space="preserve"> (2017): Plán odpadového hospodář</w:t>
      </w:r>
      <w:r>
        <w:t>ství s</w:t>
      </w:r>
      <w:r w:rsidRPr="009102E9">
        <w:t>tatutárního města Zlína (2017</w:t>
      </w:r>
      <w:r>
        <w:t xml:space="preserve"> </w:t>
      </w:r>
      <w:r w:rsidRPr="009102E9">
        <w:t>–</w:t>
      </w:r>
      <w:r>
        <w:t xml:space="preserve"> </w:t>
      </w:r>
      <w:r w:rsidRPr="009102E9">
        <w:t>2021)</w:t>
      </w:r>
      <w:r>
        <w:t>.</w:t>
      </w:r>
    </w:p>
  </w:footnote>
  <w:footnote w:id="48">
    <w:p w14:paraId="3C11FB4E" w14:textId="03CA8836" w:rsidR="00332A29" w:rsidRDefault="00332A29" w:rsidP="00047BE4">
      <w:pPr>
        <w:pStyle w:val="Textpoznpodarou"/>
        <w:spacing w:before="0"/>
      </w:pPr>
      <w:r>
        <w:rPr>
          <w:rStyle w:val="Znakapoznpodarou"/>
        </w:rPr>
        <w:footnoteRef/>
      </w:r>
      <w:r>
        <w:t xml:space="preserve"> ZLÍNSKÝ KRAJ (2016): Plán odpadového hospodářství Zlínského kraje 2016 </w:t>
      </w:r>
      <w:r>
        <w:sym w:font="Symbol" w:char="F02D"/>
      </w:r>
      <w:r>
        <w:t xml:space="preserve"> 2025.</w:t>
      </w:r>
    </w:p>
  </w:footnote>
  <w:footnote w:id="49">
    <w:p w14:paraId="18E2B86E" w14:textId="0BD83CC3" w:rsidR="00332A29" w:rsidRDefault="00332A29" w:rsidP="00047BE4">
      <w:pPr>
        <w:pStyle w:val="Textpoznpodarou"/>
        <w:spacing w:before="0"/>
      </w:pPr>
      <w:r>
        <w:rPr>
          <w:rStyle w:val="Znakapoznpodarou"/>
        </w:rPr>
        <w:footnoteRef/>
      </w:r>
      <w:r>
        <w:t xml:space="preserve"> SMZ (2017): Plán odpadového hospodářství statutárního města Zlína (2017 – 2021).</w:t>
      </w:r>
    </w:p>
  </w:footnote>
  <w:footnote w:id="50">
    <w:p w14:paraId="4CCA0650" w14:textId="41F71370" w:rsidR="00332A29" w:rsidRPr="009102E9" w:rsidRDefault="00332A29" w:rsidP="00047BE4">
      <w:pPr>
        <w:pStyle w:val="Textpoznpodarou"/>
        <w:spacing w:before="0"/>
      </w:pPr>
      <w:r w:rsidRPr="009102E9">
        <w:rPr>
          <w:rStyle w:val="Znakapoznpodarou"/>
        </w:rPr>
        <w:footnoteRef/>
      </w:r>
      <w:r w:rsidRPr="009102E9">
        <w:t xml:space="preserve"> MAGISTRÁT MĚSTA ZLÍNA (2017): Digitální povodňový plán města Zlína</w:t>
      </w:r>
      <w:r>
        <w:t>.</w:t>
      </w:r>
    </w:p>
    <w:p w14:paraId="7D61074C" w14:textId="77777777" w:rsidR="00332A29" w:rsidRPr="00FB0205" w:rsidRDefault="00183F7E" w:rsidP="00047BE4">
      <w:pPr>
        <w:pStyle w:val="Textpoznpodarou"/>
        <w:spacing w:before="0"/>
      </w:pPr>
      <w:hyperlink r:id="rId20" w:history="1">
        <w:r w:rsidR="00332A29" w:rsidRPr="00FB0205">
          <w:rPr>
            <w:rStyle w:val="Hypertextovodkaz"/>
            <w:color w:val="auto"/>
            <w:u w:val="none"/>
          </w:rPr>
          <w:t>https://www.zlin.eu/ochrana-pred-povodnemi-cl-230.html</w:t>
        </w:r>
      </w:hyperlink>
    </w:p>
  </w:footnote>
  <w:footnote w:id="51">
    <w:p w14:paraId="0E61DF74" w14:textId="3006B61C" w:rsidR="00332A29" w:rsidRDefault="00332A29" w:rsidP="00047BE4">
      <w:pPr>
        <w:pStyle w:val="Textpoznpodarou"/>
      </w:pPr>
      <w:r>
        <w:rPr>
          <w:rStyle w:val="Znakapoznpodarou"/>
        </w:rPr>
        <w:footnoteRef/>
      </w:r>
      <w:r>
        <w:t xml:space="preserve"> MŽP (2015): Strategie přizpůsobení se změně klimatu v podmínkách ČR.</w:t>
      </w:r>
    </w:p>
    <w:p w14:paraId="5BC62DE5" w14:textId="77777777" w:rsidR="00332A29" w:rsidRPr="00FB0205" w:rsidRDefault="00183F7E" w:rsidP="00047BE4">
      <w:pPr>
        <w:pStyle w:val="Textpoznpodarou"/>
      </w:pPr>
      <w:hyperlink r:id="rId21" w:history="1">
        <w:r w:rsidR="00332A29" w:rsidRPr="00FB0205">
          <w:rPr>
            <w:rStyle w:val="Hypertextovodkaz"/>
            <w:color w:val="auto"/>
            <w:u w:val="none"/>
          </w:rPr>
          <w:t>https://www.mzp.cz/C1257458002F0DC7/cz/zmena_klimatu_adaptacni_strategie/$FILE/OEOK-Adaptacni_strategie-20151029.pdf</w:t>
        </w:r>
      </w:hyperlink>
    </w:p>
  </w:footnote>
  <w:footnote w:id="52">
    <w:p w14:paraId="4B55A48F" w14:textId="6AC30AA5" w:rsidR="00332A29" w:rsidRDefault="00332A29" w:rsidP="00BB4766">
      <w:pPr>
        <w:pStyle w:val="Textpoznpodarou"/>
        <w:spacing w:before="0"/>
      </w:pPr>
      <w:r>
        <w:rPr>
          <w:rStyle w:val="Znakapoznpodarou"/>
        </w:rPr>
        <w:footnoteRef/>
      </w:r>
      <w:r>
        <w:t xml:space="preserve"> Baťa, T. Úvahy a projevy. Zlín: UTB, 2002.</w:t>
      </w:r>
    </w:p>
  </w:footnote>
  <w:footnote w:id="53">
    <w:p w14:paraId="2F96D319" w14:textId="577C418B" w:rsidR="00332A29" w:rsidRDefault="00332A29" w:rsidP="00BB4766">
      <w:pPr>
        <w:pStyle w:val="Textpoznpodarou"/>
        <w:spacing w:before="0"/>
      </w:pPr>
      <w:r>
        <w:rPr>
          <w:rStyle w:val="Znakapoznpodarou"/>
        </w:rPr>
        <w:footnoteRef/>
      </w:r>
      <w:r>
        <w:t xml:space="preserve"> Kostka, K. Tomáš Baťa a baťovské školství. Frýdek-Místek, 2018.</w:t>
      </w:r>
    </w:p>
  </w:footnote>
  <w:footnote w:id="54">
    <w:p w14:paraId="482D350E" w14:textId="77777777" w:rsidR="00332A29" w:rsidRPr="005D300A" w:rsidRDefault="00332A29" w:rsidP="00BB4766">
      <w:pPr>
        <w:pStyle w:val="Textkomente"/>
        <w:rPr>
          <w:i/>
          <w:iCs/>
        </w:rPr>
      </w:pPr>
      <w:r>
        <w:rPr>
          <w:rStyle w:val="Znakapoznpodarou"/>
        </w:rPr>
        <w:footnoteRef/>
      </w:r>
      <w:r>
        <w:t xml:space="preserve"> </w:t>
      </w:r>
      <w:r>
        <w:rPr>
          <w:i/>
          <w:iCs/>
        </w:rPr>
        <w:t>N</w:t>
      </w:r>
      <w:r w:rsidRPr="00FA7F4E">
        <w:rPr>
          <w:i/>
          <w:iCs/>
        </w:rPr>
        <w:t xml:space="preserve">aplněnost </w:t>
      </w:r>
      <w:r>
        <w:rPr>
          <w:i/>
          <w:iCs/>
        </w:rPr>
        <w:t xml:space="preserve">MŠ na 100 %, i když je návštěvnost </w:t>
      </w:r>
      <w:r w:rsidRPr="00BD2799">
        <w:rPr>
          <w:i/>
          <w:iCs/>
        </w:rPr>
        <w:t>2268</w:t>
      </w:r>
      <w:r>
        <w:rPr>
          <w:i/>
          <w:iCs/>
        </w:rPr>
        <w:t xml:space="preserve"> dětí, </w:t>
      </w:r>
      <w:r w:rsidRPr="00FA7F4E">
        <w:rPr>
          <w:i/>
          <w:iCs/>
        </w:rPr>
        <w:t xml:space="preserve">je </w:t>
      </w:r>
      <w:r>
        <w:rPr>
          <w:i/>
          <w:iCs/>
        </w:rPr>
        <w:t>dána skutečností</w:t>
      </w:r>
      <w:r w:rsidRPr="00FA7F4E">
        <w:rPr>
          <w:i/>
          <w:iCs/>
        </w:rPr>
        <w:t xml:space="preserve">, že </w:t>
      </w:r>
      <w:r>
        <w:rPr>
          <w:i/>
          <w:iCs/>
        </w:rPr>
        <w:t>se</w:t>
      </w:r>
      <w:r w:rsidRPr="00FA7F4E">
        <w:rPr>
          <w:i/>
          <w:iCs/>
        </w:rPr>
        <w:t xml:space="preserve"> v</w:t>
      </w:r>
      <w:r>
        <w:rPr>
          <w:i/>
          <w:iCs/>
        </w:rPr>
        <w:t xml:space="preserve"> některých třídách nachází</w:t>
      </w:r>
      <w:r w:rsidRPr="00FA7F4E">
        <w:rPr>
          <w:i/>
          <w:iCs/>
        </w:rPr>
        <w:t xml:space="preserve"> d</w:t>
      </w:r>
      <w:r>
        <w:rPr>
          <w:i/>
          <w:iCs/>
        </w:rPr>
        <w:t>ěti</w:t>
      </w:r>
      <w:r w:rsidRPr="00FA7F4E">
        <w:rPr>
          <w:i/>
          <w:iCs/>
        </w:rPr>
        <w:t xml:space="preserve"> mladší 3 let, případně integrované dítě, </w:t>
      </w:r>
      <w:r>
        <w:rPr>
          <w:i/>
          <w:iCs/>
        </w:rPr>
        <w:t>čímž se dle platné legislativy snižuje</w:t>
      </w:r>
      <w:r w:rsidRPr="00FA7F4E">
        <w:rPr>
          <w:i/>
          <w:iCs/>
        </w:rPr>
        <w:t xml:space="preserve"> počet dětí ve třídě. Někdy také změna legislativy v oblasti hygieny nedovoluje naplnit do 100 % rejstříkové kapacity.</w:t>
      </w:r>
    </w:p>
  </w:footnote>
  <w:footnote w:id="55">
    <w:p w14:paraId="0959452A" w14:textId="4C85B52B" w:rsidR="00332A29" w:rsidRDefault="00332A29" w:rsidP="00BB4766">
      <w:pPr>
        <w:pStyle w:val="Textpoznpodarou"/>
        <w:spacing w:before="0"/>
      </w:pPr>
      <w:r>
        <w:rPr>
          <w:rStyle w:val="Znakapoznpodarou"/>
        </w:rPr>
        <w:footnoteRef/>
      </w:r>
      <w:r>
        <w:t xml:space="preserve"> SMZ, Koncepce rozvoje školství statutárního města Zlína na období let 2021 – 2027.</w:t>
      </w:r>
    </w:p>
  </w:footnote>
  <w:footnote w:id="56">
    <w:p w14:paraId="40BEFF06" w14:textId="1FE710E4" w:rsidR="00332A29" w:rsidRDefault="00332A29" w:rsidP="00BB4766">
      <w:pPr>
        <w:pStyle w:val="Textpoznpodarou"/>
        <w:spacing w:before="0"/>
      </w:pPr>
      <w:r>
        <w:rPr>
          <w:rStyle w:val="Znakapoznpodarou"/>
        </w:rPr>
        <w:footnoteRef/>
      </w:r>
      <w:r>
        <w:t xml:space="preserve"> Koncepce rozvoje školství statutárního města Zlína na období let 2021 – 2027.</w:t>
      </w:r>
    </w:p>
  </w:footnote>
  <w:footnote w:id="57">
    <w:p w14:paraId="7A4A6DCE" w14:textId="77777777" w:rsidR="00332A29" w:rsidRDefault="00332A29" w:rsidP="00BB4766">
      <w:pPr>
        <w:pStyle w:val="Textpoznpodarou"/>
      </w:pPr>
      <w:r>
        <w:rPr>
          <w:rStyle w:val="Znakapoznpodarou"/>
        </w:rPr>
        <w:footnoteRef/>
      </w:r>
      <w:r>
        <w:t xml:space="preserve"> Vytíženost škol je počítána jako podíl počtu žáků na celkovou kapacitu škol (včetně kmenových tříd a odborných učeben).</w:t>
      </w:r>
    </w:p>
  </w:footnote>
  <w:footnote w:id="58">
    <w:p w14:paraId="146375DE" w14:textId="5D1B553C" w:rsidR="00332A29" w:rsidRDefault="00332A29" w:rsidP="00BB4766">
      <w:pPr>
        <w:pStyle w:val="Textpoznpodarou"/>
      </w:pPr>
      <w:r>
        <w:rPr>
          <w:rStyle w:val="Znakapoznpodarou"/>
        </w:rPr>
        <w:footnoteRef/>
      </w:r>
      <w:r>
        <w:t xml:space="preserve"> SMZ, </w:t>
      </w:r>
      <w:r w:rsidRPr="00857270">
        <w:t>Koncepc</w:t>
      </w:r>
      <w:r>
        <w:t>e</w:t>
      </w:r>
      <w:r w:rsidRPr="00857270">
        <w:t xml:space="preserve"> rozvoje školství statutárního města Zlína na období let 2021 – 2027</w:t>
      </w:r>
      <w:r>
        <w:t>.</w:t>
      </w:r>
    </w:p>
  </w:footnote>
  <w:footnote w:id="59">
    <w:p w14:paraId="46AD8D34" w14:textId="008491DD" w:rsidR="00332A29" w:rsidRDefault="00332A29" w:rsidP="00BB4766">
      <w:pPr>
        <w:pStyle w:val="Textpoznpodarou"/>
      </w:pPr>
      <w:r>
        <w:rPr>
          <w:rStyle w:val="Znakapoznpodarou"/>
        </w:rPr>
        <w:footnoteRef/>
      </w:r>
      <w:r>
        <w:t xml:space="preserve"> SMZ, </w:t>
      </w:r>
      <w:r w:rsidRPr="00857270">
        <w:t>Koncepc</w:t>
      </w:r>
      <w:r>
        <w:t>e</w:t>
      </w:r>
      <w:r w:rsidRPr="00857270">
        <w:t xml:space="preserve"> rozvoje školství statutárního města Zlína na období let 2021 – 2027</w:t>
      </w:r>
      <w:r>
        <w:t>.</w:t>
      </w:r>
    </w:p>
  </w:footnote>
  <w:footnote w:id="60">
    <w:p w14:paraId="0B0EEFA4" w14:textId="77777777" w:rsidR="00332A29" w:rsidRDefault="00332A29" w:rsidP="00BB4766">
      <w:pPr>
        <w:pStyle w:val="Textpoznpodarou"/>
        <w:spacing w:before="0"/>
      </w:pPr>
      <w:r>
        <w:rPr>
          <w:rStyle w:val="Znakapoznpodarou"/>
        </w:rPr>
        <w:footnoteRef/>
      </w:r>
      <w:r>
        <w:t xml:space="preserve"> www.utb.cz</w:t>
      </w:r>
    </w:p>
  </w:footnote>
  <w:footnote w:id="61">
    <w:p w14:paraId="570C21B2" w14:textId="77777777" w:rsidR="00332A29" w:rsidRDefault="00332A29" w:rsidP="00BB4766">
      <w:pPr>
        <w:pStyle w:val="Textpoznpodarou"/>
        <w:spacing w:before="0"/>
      </w:pPr>
      <w:r>
        <w:rPr>
          <w:rStyle w:val="Znakapoznpodarou"/>
        </w:rPr>
        <w:footnoteRef/>
      </w:r>
      <w:r>
        <w:t xml:space="preserve"> Výroční zpráva o činnosti 2019, Univerzita Tomáše Bati ve Zlíně</w:t>
      </w:r>
    </w:p>
  </w:footnote>
  <w:footnote w:id="62">
    <w:p w14:paraId="07758F92" w14:textId="77777777" w:rsidR="00332A29" w:rsidRDefault="00332A29" w:rsidP="00BB4766">
      <w:pPr>
        <w:pStyle w:val="Textpoznpodarou"/>
      </w:pPr>
      <w:r>
        <w:rPr>
          <w:rStyle w:val="Znakapoznpodarou"/>
        </w:rPr>
        <w:footnoteRef/>
      </w:r>
      <w:r>
        <w:t xml:space="preserve"> www.utb.cz</w:t>
      </w:r>
    </w:p>
  </w:footnote>
  <w:footnote w:id="63">
    <w:p w14:paraId="441188B7" w14:textId="77777777" w:rsidR="00332A29" w:rsidRDefault="00332A29" w:rsidP="00BB4766">
      <w:pPr>
        <w:pStyle w:val="Textpoznpodarou"/>
        <w:spacing w:before="0"/>
      </w:pPr>
      <w:r>
        <w:rPr>
          <w:rStyle w:val="Znakapoznpodarou"/>
        </w:rPr>
        <w:footnoteRef/>
      </w:r>
      <w:r>
        <w:t xml:space="preserve"> www.zlin.eu</w:t>
      </w:r>
    </w:p>
  </w:footnote>
  <w:footnote w:id="64">
    <w:p w14:paraId="6FB6A28E" w14:textId="355D0540" w:rsidR="00332A29" w:rsidRDefault="00332A29" w:rsidP="00BB4766">
      <w:pPr>
        <w:pStyle w:val="Textpoznpodarou"/>
        <w:spacing w:before="0"/>
      </w:pPr>
      <w:r>
        <w:rPr>
          <w:rStyle w:val="Znakapoznpodarou"/>
        </w:rPr>
        <w:footnoteRef/>
      </w:r>
      <w:r>
        <w:t xml:space="preserve"> </w:t>
      </w:r>
      <w:r w:rsidRPr="00857270">
        <w:t>Koncepc</w:t>
      </w:r>
      <w:r>
        <w:t>e</w:t>
      </w:r>
      <w:r w:rsidRPr="00857270">
        <w:t xml:space="preserve"> rozvoje školství statutárního města Zlína na období let 2021 – 2027</w:t>
      </w:r>
      <w:r>
        <w:t>.</w:t>
      </w:r>
    </w:p>
  </w:footnote>
  <w:footnote w:id="65">
    <w:p w14:paraId="4C8705C4" w14:textId="4FECD74A" w:rsidR="00332A29" w:rsidRDefault="00332A29" w:rsidP="00BB4766">
      <w:pPr>
        <w:pStyle w:val="Textpoznpodarou"/>
        <w:spacing w:before="0"/>
      </w:pPr>
      <w:r>
        <w:rPr>
          <w:rStyle w:val="Znakapoznpodarou"/>
        </w:rPr>
        <w:footnoteRef/>
      </w:r>
      <w:r>
        <w:t xml:space="preserve"> Dokument Krajského akčního plánu rozvoje vzdělávání pro území Zlínského kraje.</w:t>
      </w:r>
    </w:p>
  </w:footnote>
  <w:footnote w:id="66">
    <w:p w14:paraId="72F5047F" w14:textId="22732666" w:rsidR="00332A29" w:rsidRDefault="00332A29" w:rsidP="00BB4766">
      <w:pPr>
        <w:pStyle w:val="Textpoznpodarou"/>
        <w:spacing w:before="0"/>
      </w:pPr>
      <w:r>
        <w:rPr>
          <w:rStyle w:val="Znakapoznpodarou"/>
        </w:rPr>
        <w:footnoteRef/>
      </w:r>
      <w:r>
        <w:t xml:space="preserve"> Zpráva představenstva o činnosti Krajské hospodářské komory Zlínského kraje k 31. 10. 2019.</w:t>
      </w:r>
    </w:p>
  </w:footnote>
  <w:footnote w:id="67">
    <w:p w14:paraId="3CBA633D" w14:textId="6E3093F4" w:rsidR="00332A29" w:rsidRDefault="00332A29" w:rsidP="00BB4766">
      <w:pPr>
        <w:pStyle w:val="Textpoznpodarou"/>
        <w:spacing w:before="0"/>
      </w:pPr>
      <w:r>
        <w:rPr>
          <w:rStyle w:val="Znakapoznpodarou"/>
        </w:rPr>
        <w:footnoteRef/>
      </w:r>
      <w:r>
        <w:t xml:space="preserve"> </w:t>
      </w:r>
      <w:r w:rsidRPr="00857270">
        <w:t>Koncepc</w:t>
      </w:r>
      <w:r>
        <w:t>e</w:t>
      </w:r>
      <w:r w:rsidRPr="00857270">
        <w:t xml:space="preserve"> rozvoje školství statutárního města Zlína na období let 2021 – 2027</w:t>
      </w:r>
      <w:r>
        <w:t>.</w:t>
      </w:r>
    </w:p>
  </w:footnote>
  <w:footnote w:id="68">
    <w:p w14:paraId="557DF29A" w14:textId="58A8F6A5" w:rsidR="00332A29" w:rsidRDefault="00332A29" w:rsidP="00BB4766">
      <w:pPr>
        <w:pStyle w:val="Textpoznpodarou"/>
      </w:pPr>
      <w:r>
        <w:rPr>
          <w:rStyle w:val="Znakapoznpodarou"/>
        </w:rPr>
        <w:footnoteRef/>
      </w:r>
      <w:r>
        <w:t xml:space="preserve"> Výroční zpráva o činnosti 2019, Univerzita Tomáše Bati ve Zlíně.</w:t>
      </w:r>
    </w:p>
  </w:footnote>
  <w:footnote w:id="69">
    <w:p w14:paraId="65230599" w14:textId="77777777" w:rsidR="00332A29" w:rsidRPr="00B24C4B" w:rsidRDefault="00332A29" w:rsidP="00216E8B">
      <w:pPr>
        <w:pStyle w:val="Textpoznpodarou"/>
      </w:pPr>
      <w:r>
        <w:rPr>
          <w:rStyle w:val="Znakapoznpodarou"/>
        </w:rPr>
        <w:footnoteRef/>
      </w:r>
      <w:r>
        <w:t xml:space="preserve"> UDIMO,</w:t>
      </w:r>
      <w:r w:rsidRPr="00DD61B1">
        <w:t xml:space="preserve"> </w:t>
      </w:r>
      <w:r>
        <w:t xml:space="preserve">Generel dopravy pro město Zlín, 2016, </w:t>
      </w:r>
      <w:hyperlink r:id="rId22" w:history="1">
        <w:r w:rsidRPr="00B24C4B">
          <w:rPr>
            <w:rStyle w:val="Hypertextovodkaz"/>
            <w:color w:val="auto"/>
            <w:u w:val="none"/>
          </w:rPr>
          <w:t>https://www.zlin.eu/generel-dopravy-pro-mesto-zlin-cl-2238.html</w:t>
        </w:r>
      </w:hyperlink>
    </w:p>
  </w:footnote>
  <w:footnote w:id="70">
    <w:p w14:paraId="0B9ABCB1" w14:textId="12C0DCB9" w:rsidR="00332A29" w:rsidRDefault="00332A29" w:rsidP="00216E8B">
      <w:pPr>
        <w:pStyle w:val="Textpoznpodarou"/>
      </w:pPr>
      <w:r>
        <w:rPr>
          <w:rStyle w:val="Znakapoznpodarou"/>
        </w:rPr>
        <w:footnoteRef/>
      </w:r>
      <w:r>
        <w:t xml:space="preserve"> </w:t>
      </w:r>
      <w:r w:rsidRPr="00E52477">
        <w:t>HaskoningDHV Czech Republic, spol. s r.o.</w:t>
      </w:r>
      <w:r>
        <w:t xml:space="preserve">, </w:t>
      </w:r>
      <w:r w:rsidRPr="00E52477">
        <w:t>SUMF – Strategický rámec udržitelné městské mobility</w:t>
      </w:r>
      <w:r>
        <w:t>,</w:t>
      </w:r>
      <w:r w:rsidRPr="00E52477">
        <w:t xml:space="preserve"> </w:t>
      </w:r>
      <w:r>
        <w:t>2018.</w:t>
      </w:r>
    </w:p>
  </w:footnote>
  <w:footnote w:id="71">
    <w:p w14:paraId="4A457A50" w14:textId="77777777" w:rsidR="00332A29" w:rsidRDefault="00332A29" w:rsidP="00216E8B">
      <w:pPr>
        <w:pStyle w:val="Textpoznpodarou"/>
      </w:pPr>
      <w:r>
        <w:rPr>
          <w:rStyle w:val="Znakapoznpodarou"/>
        </w:rPr>
        <w:footnoteRef/>
      </w:r>
      <w:r>
        <w:t xml:space="preserve"> Aktuální výsledky měření intenzity dopravy za rok 2020 budou součástí analytické části zpracovávaného Plánu udržitelné městské mobility města Zlín, který se v současnosti zpracovává.</w:t>
      </w:r>
    </w:p>
  </w:footnote>
  <w:footnote w:id="72">
    <w:p w14:paraId="667228C0" w14:textId="77777777" w:rsidR="00332A29" w:rsidRPr="00B24C4B" w:rsidRDefault="00332A29" w:rsidP="00216E8B">
      <w:pPr>
        <w:pStyle w:val="Textpoznpodarou"/>
      </w:pPr>
      <w:r>
        <w:rPr>
          <w:rStyle w:val="Znakapoznpodarou"/>
        </w:rPr>
        <w:footnoteRef/>
      </w:r>
      <w:r>
        <w:t xml:space="preserve"> UDIMO,</w:t>
      </w:r>
      <w:r w:rsidRPr="00DD61B1">
        <w:t xml:space="preserve"> </w:t>
      </w:r>
      <w:r>
        <w:t xml:space="preserve">Generel dopravy pro město Zlín, 2016, </w:t>
      </w:r>
      <w:hyperlink r:id="rId23" w:history="1">
        <w:r w:rsidRPr="00B24C4B">
          <w:rPr>
            <w:rStyle w:val="Hypertextovodkaz"/>
            <w:color w:val="auto"/>
            <w:u w:val="none"/>
          </w:rPr>
          <w:t>https://www.zlin.eu/generel-dopravy-pro-mesto-zlin-cl-2238.html</w:t>
        </w:r>
      </w:hyperlink>
    </w:p>
  </w:footnote>
  <w:footnote w:id="73">
    <w:p w14:paraId="449237D9" w14:textId="77777777" w:rsidR="00332A29" w:rsidRPr="00B24C4B" w:rsidRDefault="00332A29" w:rsidP="00216E8B">
      <w:pPr>
        <w:pStyle w:val="Textpoznpodarou"/>
      </w:pPr>
      <w:r>
        <w:rPr>
          <w:rStyle w:val="Znakapoznpodarou"/>
        </w:rPr>
        <w:footnoteRef/>
      </w:r>
      <w:r>
        <w:t xml:space="preserve"> UDIMO,</w:t>
      </w:r>
      <w:r w:rsidRPr="00DD61B1">
        <w:t xml:space="preserve"> </w:t>
      </w:r>
      <w:r>
        <w:t xml:space="preserve">Generel dopravy pro město Zlín, 2016, </w:t>
      </w:r>
      <w:hyperlink r:id="rId24" w:history="1">
        <w:r w:rsidRPr="00B24C4B">
          <w:rPr>
            <w:rStyle w:val="Hypertextovodkaz"/>
            <w:color w:val="auto"/>
            <w:u w:val="none"/>
          </w:rPr>
          <w:t>https://www.zlin.eu/generel-dopravy-pro-mesto-zlin-cl-2238.html</w:t>
        </w:r>
      </w:hyperlink>
    </w:p>
  </w:footnote>
  <w:footnote w:id="74">
    <w:p w14:paraId="38756177" w14:textId="2B4B089C" w:rsidR="00332A29" w:rsidRPr="00C42DC4" w:rsidRDefault="00332A29" w:rsidP="00216E8B">
      <w:pPr>
        <w:pStyle w:val="Textpoznpodarou"/>
      </w:pPr>
      <w:r>
        <w:rPr>
          <w:rStyle w:val="Znakapoznpodarou"/>
        </w:rPr>
        <w:footnoteRef/>
      </w:r>
      <w:r>
        <w:t xml:space="preserve"> Stav v roce 2015 – UDIMO (2015): Generel dopravy pro město Zlín, 188 s. </w:t>
      </w:r>
      <w:hyperlink r:id="rId25" w:history="1">
        <w:r w:rsidRPr="00C42DC4">
          <w:rPr>
            <w:rStyle w:val="Hypertextovodkaz"/>
            <w:color w:val="auto"/>
            <w:u w:val="none"/>
          </w:rPr>
          <w:t>https://www.zlin.eu/clanky/dokumenty/6515/gdz-analyticka-cast.pdf</w:t>
        </w:r>
      </w:hyperlink>
    </w:p>
    <w:p w14:paraId="0A28DFB6" w14:textId="77777777" w:rsidR="00332A29" w:rsidRDefault="00332A29" w:rsidP="00216E8B">
      <w:pPr>
        <w:pStyle w:val="Textpoznpodarou"/>
      </w:pPr>
    </w:p>
  </w:footnote>
  <w:footnote w:id="75">
    <w:p w14:paraId="5D1AF58C" w14:textId="77777777" w:rsidR="00332A29" w:rsidRPr="004F6B08" w:rsidRDefault="00332A29" w:rsidP="00216E8B">
      <w:pPr>
        <w:pStyle w:val="Textpoznpodarou"/>
      </w:pPr>
      <w:r>
        <w:rPr>
          <w:rStyle w:val="Znakapoznpodarou"/>
        </w:rPr>
        <w:footnoteRef/>
      </w:r>
      <w:r>
        <w:t xml:space="preserve"> Statutární město Zlín. </w:t>
      </w:r>
      <w:r w:rsidRPr="0008046A">
        <w:t>SUMF – strategi</w:t>
      </w:r>
      <w:r>
        <w:t xml:space="preserve">cký rámec udržitelné mobility. Generel bezmotorové dopravy pro město Zlín (2018). Dostupné z: </w:t>
      </w:r>
      <w:hyperlink r:id="rId26" w:history="1">
        <w:r w:rsidRPr="004F6B08">
          <w:rPr>
            <w:rStyle w:val="Hypertextovodkaz"/>
            <w:color w:val="auto"/>
            <w:u w:val="none"/>
          </w:rPr>
          <w:t>https://www.zlin.eu/sumf-strategicky-ramec-udrzitelne-mestske-mobility-cl-3770.html</w:t>
        </w:r>
      </w:hyperlink>
    </w:p>
  </w:footnote>
  <w:footnote w:id="76">
    <w:p w14:paraId="6E4AF10B" w14:textId="77777777" w:rsidR="00332A29" w:rsidRDefault="00332A29" w:rsidP="00216E8B">
      <w:pPr>
        <w:pStyle w:val="Textpoznpodarou"/>
      </w:pPr>
      <w:r>
        <w:rPr>
          <w:rStyle w:val="Znakapoznpodarou"/>
        </w:rPr>
        <w:footnoteRef/>
      </w:r>
      <w:r>
        <w:t xml:space="preserve"> VINOD Kumar, T. M., &amp; DAHIYA, B, 2017. Smart Economy in Smart Cities [online]. Dostupné z: https://doi.org/10.1007/978-981-10-1610-3_1</w:t>
      </w:r>
    </w:p>
  </w:footnote>
  <w:footnote w:id="77">
    <w:p w14:paraId="4C0E367F" w14:textId="6D4ADFA2" w:rsidR="00332A29" w:rsidRDefault="00332A29" w:rsidP="00216E8B">
      <w:pPr>
        <w:pStyle w:val="Textpoznpodarou"/>
      </w:pPr>
      <w:r>
        <w:rPr>
          <w:rStyle w:val="Znakapoznpodarou"/>
        </w:rPr>
        <w:footnoteRef/>
      </w:r>
      <w:r>
        <w:t xml:space="preserve"> Posuzování stavu povrchu vozovek pozemních komunikací realizovala pro Ředitelství silnic Zlínského kraje firma PavEx Consulting, s. r. o., Brno.</w:t>
      </w:r>
    </w:p>
  </w:footnote>
  <w:footnote w:id="78">
    <w:p w14:paraId="584D7795" w14:textId="4C22293F" w:rsidR="00332A29" w:rsidRDefault="00332A29" w:rsidP="00216E8B">
      <w:pPr>
        <w:pStyle w:val="Textpoznpodarou"/>
      </w:pPr>
      <w:r>
        <w:rPr>
          <w:rStyle w:val="Znakapoznpodarou"/>
        </w:rPr>
        <w:footnoteRef/>
      </w:r>
      <w:r>
        <w:t xml:space="preserve"> Podrobněji viz textová část PRVK obce Tlumačov.</w:t>
      </w:r>
    </w:p>
  </w:footnote>
  <w:footnote w:id="79">
    <w:p w14:paraId="1807ABBB" w14:textId="77777777" w:rsidR="00332A29" w:rsidRDefault="00332A29" w:rsidP="006704AF">
      <w:pPr>
        <w:pStyle w:val="Textpoznpodarou"/>
      </w:pPr>
      <w:r>
        <w:rPr>
          <w:rStyle w:val="Znakapoznpodarou"/>
        </w:rPr>
        <w:footnoteRef/>
      </w:r>
      <w:r>
        <w:t xml:space="preserve"> Magistrát města Zlína (2012): Koncepce</w:t>
      </w:r>
      <w:r w:rsidRPr="00546891">
        <w:t xml:space="preserve"> prevence kriminal</w:t>
      </w:r>
      <w:r>
        <w:t>ity na období 2012 – 2015.</w:t>
      </w:r>
    </w:p>
  </w:footnote>
  <w:footnote w:id="80">
    <w:p w14:paraId="7953D735" w14:textId="77777777" w:rsidR="00332A29" w:rsidRDefault="00332A29" w:rsidP="006704AF">
      <w:pPr>
        <w:pStyle w:val="Textpoznpodarou"/>
        <w:spacing w:before="0"/>
      </w:pPr>
      <w:r>
        <w:rPr>
          <w:rStyle w:val="Znakapoznpodarou"/>
        </w:rPr>
        <w:footnoteRef/>
      </w:r>
      <w:r>
        <w:t xml:space="preserve"> Zlínský kraj (2019): Strategie rozvoje Zlínského kraje 2030.</w:t>
      </w:r>
    </w:p>
    <w:p w14:paraId="207407E3" w14:textId="77777777" w:rsidR="00332A29" w:rsidRPr="00312DCB" w:rsidRDefault="00183F7E" w:rsidP="006704AF">
      <w:pPr>
        <w:pStyle w:val="Textpoznpodarou"/>
        <w:spacing w:before="0"/>
      </w:pPr>
      <w:hyperlink r:id="rId27" w:history="1">
        <w:r w:rsidR="00332A29" w:rsidRPr="00312DCB">
          <w:rPr>
            <w:rStyle w:val="Hypertextovodkaz"/>
            <w:color w:val="auto"/>
            <w:u w:val="none"/>
          </w:rPr>
          <w:t>https://www.kr-zlinsky.cz/strategie-rozvoje-zlinskeho-kraje-2030-cl-4623.html</w:t>
        </w:r>
      </w:hyperlink>
    </w:p>
  </w:footnote>
  <w:footnote w:id="81">
    <w:p w14:paraId="1E5F5E38" w14:textId="77777777" w:rsidR="00332A29" w:rsidRDefault="00332A29" w:rsidP="006704AF">
      <w:pPr>
        <w:pStyle w:val="Textpoznpodarou"/>
      </w:pPr>
      <w:r>
        <w:rPr>
          <w:rStyle w:val="Znakapoznpodarou"/>
        </w:rPr>
        <w:footnoteRef/>
      </w:r>
      <w:r>
        <w:t xml:space="preserve"> Anketní šetření spokojenosti obyvatelstva provedené v červnu a červenci 2020 pro účely zpracování „</w:t>
      </w:r>
      <w:r w:rsidRPr="001115F3">
        <w:rPr>
          <w:rFonts w:cstheme="minorHAnsi"/>
        </w:rPr>
        <w:t>Strategie rozvoje statutárního města Zlína do roku 2030 – Zlín 2030</w:t>
      </w:r>
      <w:r>
        <w:rPr>
          <w:rFonts w:cstheme="minorHAnsi"/>
        </w:rPr>
        <w:t xml:space="preserve">“ společností </w:t>
      </w:r>
      <w:r w:rsidRPr="00DA7ABE">
        <w:rPr>
          <w:rFonts w:cstheme="minorHAnsi"/>
        </w:rPr>
        <w:t>PROCES - Centrum pro rozvoj obcí a regionů, s.r.o. ve spolupráci s realizačním týmem přípravy strategie Magistrátu města Zlína</w:t>
      </w:r>
      <w:r>
        <w:rPr>
          <w:rFonts w:cstheme="minorHAnsi"/>
        </w:rPr>
        <w:t>. Celkem se zúčastnilo 993 respondentů.</w:t>
      </w:r>
    </w:p>
  </w:footnote>
  <w:footnote w:id="82">
    <w:p w14:paraId="4BAE3A26" w14:textId="7E707BEF" w:rsidR="00332A29" w:rsidRDefault="00332A29" w:rsidP="006704AF">
      <w:pPr>
        <w:pStyle w:val="Textpoznpodarou"/>
        <w:spacing w:before="0"/>
      </w:pPr>
      <w:r>
        <w:rPr>
          <w:rStyle w:val="Znakapoznpodarou"/>
        </w:rPr>
        <w:footnoteRef/>
      </w:r>
      <w:r>
        <w:t xml:space="preserve"> MVČR (2020): Kybernetické hrozby. </w:t>
      </w:r>
    </w:p>
    <w:p w14:paraId="75F9994B" w14:textId="77777777" w:rsidR="00332A29" w:rsidRPr="000C3A76" w:rsidRDefault="00183F7E" w:rsidP="006704AF">
      <w:pPr>
        <w:pStyle w:val="Textpoznpodarou"/>
        <w:spacing w:before="0"/>
      </w:pPr>
      <w:hyperlink r:id="rId28" w:history="1">
        <w:r w:rsidR="00332A29" w:rsidRPr="000C3A76">
          <w:rPr>
            <w:rStyle w:val="Hypertextovodkaz"/>
            <w:color w:val="auto"/>
            <w:u w:val="none"/>
          </w:rPr>
          <w:t>https://www.mvcr.cz/clanek/bezpecnostni-hrozby-337414.aspx?q=Y2hudW09Mw%3D%3D</w:t>
        </w:r>
      </w:hyperlink>
    </w:p>
  </w:footnote>
  <w:footnote w:id="83">
    <w:p w14:paraId="5B74F9AF" w14:textId="77777777" w:rsidR="00332A29" w:rsidRDefault="00332A29" w:rsidP="006704AF">
      <w:pPr>
        <w:pStyle w:val="Textpoznpodarou"/>
        <w:spacing w:before="0"/>
      </w:pPr>
      <w:r>
        <w:rPr>
          <w:rStyle w:val="Znakapoznpodarou"/>
        </w:rPr>
        <w:footnoteRef/>
      </w:r>
      <w:r>
        <w:t xml:space="preserve"> NBÚ (2015): Národní strategie kybernetické bezpečnosti České republiky na období let 2015 až 2020. </w:t>
      </w:r>
    </w:p>
    <w:p w14:paraId="1B5B26C5" w14:textId="3C4F868C" w:rsidR="00332A29" w:rsidRPr="000C3A76" w:rsidRDefault="00183F7E" w:rsidP="006704AF">
      <w:pPr>
        <w:pStyle w:val="Textpoznpodarou"/>
        <w:spacing w:before="0"/>
      </w:pPr>
      <w:hyperlink r:id="rId29" w:history="1">
        <w:r w:rsidR="00332A29" w:rsidRPr="000C3A76">
          <w:rPr>
            <w:rStyle w:val="Hypertextovodkaz"/>
            <w:color w:val="auto"/>
            <w:u w:val="none"/>
          </w:rPr>
          <w:t>https://www.govcert.cz/cs/informacni-servis/strategie-akcni-plan/</w:t>
        </w:r>
      </w:hyperlink>
    </w:p>
  </w:footnote>
  <w:footnote w:id="84">
    <w:p w14:paraId="5E3A9A00" w14:textId="205F2DE5" w:rsidR="00332A29" w:rsidRPr="000C3A76" w:rsidRDefault="00332A29" w:rsidP="006704AF">
      <w:pPr>
        <w:spacing w:before="0"/>
        <w:rPr>
          <w:sz w:val="20"/>
          <w:szCs w:val="20"/>
        </w:rPr>
      </w:pPr>
      <w:r w:rsidRPr="000C3A76">
        <w:rPr>
          <w:rStyle w:val="Znakapoznpodarou"/>
        </w:rPr>
        <w:footnoteRef/>
      </w:r>
      <w:r w:rsidRPr="000C3A76">
        <w:t xml:space="preserve"> </w:t>
      </w:r>
      <w:r w:rsidRPr="000C3A76">
        <w:rPr>
          <w:sz w:val="20"/>
          <w:szCs w:val="20"/>
        </w:rPr>
        <w:t>Magistrát města Zlína (2019): Informační strategie statutárního města Zlín na období let 2019 – 2024.</w:t>
      </w:r>
      <w:r>
        <w:rPr>
          <w:sz w:val="20"/>
          <w:szCs w:val="20"/>
        </w:rPr>
        <w:t xml:space="preserve"> </w:t>
      </w:r>
      <w:hyperlink r:id="rId30" w:history="1">
        <w:r w:rsidRPr="000C3A76">
          <w:rPr>
            <w:rStyle w:val="Hypertextovodkaz"/>
            <w:color w:val="auto"/>
            <w:sz w:val="20"/>
            <w:szCs w:val="20"/>
            <w:u w:val="none"/>
          </w:rPr>
          <w:t>https://www.zlin.eu/informacni-strategie-statutarniho-mesta-zlina-na-obdobi-let-2019-2024-cl-3589.html</w:t>
        </w:r>
      </w:hyperlink>
    </w:p>
  </w:footnote>
  <w:footnote w:id="85">
    <w:p w14:paraId="0932EA30" w14:textId="77777777" w:rsidR="00332A29" w:rsidRPr="00D63448" w:rsidRDefault="00332A29" w:rsidP="006704AF">
      <w:pPr>
        <w:pStyle w:val="Textpoznpodarou"/>
      </w:pPr>
      <w:r>
        <w:rPr>
          <w:rStyle w:val="Znakapoznpodarou"/>
        </w:rPr>
        <w:footnoteRef/>
      </w:r>
      <w:r>
        <w:t xml:space="preserve"> Centrum dopravního výzkumu (2012): Strategie bezpečnosti silničního provozu ve Zlínském kraji na období 2012–2020. </w:t>
      </w:r>
      <w:hyperlink r:id="rId31" w:history="1">
        <w:r w:rsidRPr="00D63448">
          <w:rPr>
            <w:rStyle w:val="Hypertextovodkaz"/>
            <w:color w:val="auto"/>
            <w:u w:val="none"/>
          </w:rPr>
          <w:t>https://www.kr-zlinsky.cz/strategie-bezpecnosti-silnicniho-provozu-zlinskeho-kraje-na-obdobi-2012-2020-cl-2014.html</w:t>
        </w:r>
      </w:hyperlink>
    </w:p>
  </w:footnote>
  <w:footnote w:id="86">
    <w:p w14:paraId="014EF468" w14:textId="77777777" w:rsidR="00332A29" w:rsidRDefault="00332A29" w:rsidP="006704AF">
      <w:pPr>
        <w:pStyle w:val="Textpoznpodarou"/>
      </w:pPr>
      <w:r>
        <w:rPr>
          <w:rStyle w:val="Znakapoznpodarou"/>
        </w:rPr>
        <w:footnoteRef/>
      </w:r>
      <w:r>
        <w:t xml:space="preserve"> Anketní šetření spokojenosti obyvatelstva provedené v červnu a červenci 2020 pro účely zpracování „</w:t>
      </w:r>
      <w:r w:rsidRPr="001115F3">
        <w:rPr>
          <w:rFonts w:cstheme="minorHAnsi"/>
        </w:rPr>
        <w:t>Strategie rozvoje statutárního města Zlína do roku 2030 – Zlín 2030</w:t>
      </w:r>
      <w:r>
        <w:rPr>
          <w:rFonts w:cstheme="minorHAnsi"/>
        </w:rPr>
        <w:t xml:space="preserve">“ společností </w:t>
      </w:r>
      <w:r w:rsidRPr="00DA7ABE">
        <w:rPr>
          <w:rFonts w:cstheme="minorHAnsi"/>
        </w:rPr>
        <w:t>PROCES - Centrum pro rozvoj obcí a regionů, s.r.o. ve spolupráci s realizačním týmem přípravy strategie Magistrátu města Zlína</w:t>
      </w:r>
      <w:r>
        <w:rPr>
          <w:rFonts w:cstheme="minorHAnsi"/>
        </w:rPr>
        <w:t>. Celkem se zúčastnilo 993 respondentů.</w:t>
      </w:r>
    </w:p>
  </w:footnote>
  <w:footnote w:id="87">
    <w:p w14:paraId="4B08FC04" w14:textId="77777777" w:rsidR="00332A29" w:rsidRDefault="00332A29" w:rsidP="00954688">
      <w:pPr>
        <w:pStyle w:val="Textpoznpodarou"/>
      </w:pPr>
      <w:r>
        <w:rPr>
          <w:rStyle w:val="Znakapoznpodarou"/>
        </w:rPr>
        <w:footnoteRef/>
      </w:r>
      <w:r>
        <w:t xml:space="preserve"> Porovnávanými městy jsou krajská města a město Opava, která byla vybrána vzhledem ke srovnatelnému počtu obyvatel a jedná se o univerzitní města. </w:t>
      </w:r>
    </w:p>
  </w:footnote>
  <w:footnote w:id="88">
    <w:p w14:paraId="32B91074" w14:textId="77777777" w:rsidR="00332A29" w:rsidRDefault="00332A29" w:rsidP="00954688">
      <w:pPr>
        <w:pStyle w:val="Textpoznpodarou"/>
      </w:pPr>
      <w:r>
        <w:rPr>
          <w:rStyle w:val="Znakapoznpodarou"/>
        </w:rPr>
        <w:footnoteRef/>
      </w:r>
      <w:r>
        <w:t xml:space="preserve"> Údaj zveřejněný v rámci </w:t>
      </w:r>
      <w:r w:rsidRPr="005D62C3">
        <w:t>Registr</w:t>
      </w:r>
      <w:r>
        <w:t>u</w:t>
      </w:r>
      <w:r w:rsidRPr="005D62C3">
        <w:t xml:space="preserve"> ekonomických subjektů</w:t>
      </w:r>
      <w:r>
        <w:t xml:space="preserve">. </w:t>
      </w:r>
      <w:r w:rsidRPr="005D62C3">
        <w:t xml:space="preserve">Jedná se o firmy se sídlem ve městě </w:t>
      </w:r>
      <w:r>
        <w:t>Zlíně</w:t>
      </w:r>
      <w:r w:rsidRPr="005D62C3">
        <w:t xml:space="preserve">, kdy velikostní kategorie zaměstnanců </w:t>
      </w:r>
      <w:r>
        <w:t>mohou obsahovat</w:t>
      </w:r>
      <w:r w:rsidRPr="005D62C3">
        <w:t xml:space="preserve"> i počty zaměstnanců v závodech vyskytujících se mimo </w:t>
      </w:r>
      <w:r>
        <w:t>území města Zlína</w:t>
      </w:r>
      <w:r w:rsidRPr="005D62C3">
        <w:t>.</w:t>
      </w:r>
    </w:p>
  </w:footnote>
  <w:footnote w:id="89">
    <w:p w14:paraId="00B8F44E" w14:textId="557E3740" w:rsidR="00332A29" w:rsidRPr="004254BD" w:rsidRDefault="00332A29" w:rsidP="00954688">
      <w:pPr>
        <w:pStyle w:val="Textpoznpodarou"/>
        <w:spacing w:before="0"/>
      </w:pPr>
      <w:r>
        <w:rPr>
          <w:rStyle w:val="Znakapoznpodarou"/>
        </w:rPr>
        <w:footnoteRef/>
      </w:r>
      <w:r>
        <w:t xml:space="preserve"> Webové stránky </w:t>
      </w:r>
      <w:hyperlink r:id="rId32" w:history="1">
        <w:r w:rsidRPr="004254BD">
          <w:rPr>
            <w:rStyle w:val="Hypertextovodkaz"/>
            <w:color w:val="auto"/>
            <w:u w:val="none"/>
          </w:rPr>
          <w:t>http://www.hptronic.cz</w:t>
        </w:r>
      </w:hyperlink>
    </w:p>
  </w:footnote>
  <w:footnote w:id="90">
    <w:p w14:paraId="528116B9" w14:textId="77777777" w:rsidR="00332A29" w:rsidRPr="004254BD" w:rsidRDefault="00332A29" w:rsidP="00954688">
      <w:pPr>
        <w:pStyle w:val="Textpoznpodarou"/>
        <w:spacing w:before="0"/>
      </w:pPr>
      <w:r>
        <w:rPr>
          <w:rStyle w:val="Znakapoznpodarou"/>
        </w:rPr>
        <w:footnoteRef/>
      </w:r>
      <w:r>
        <w:t xml:space="preserve"> Webové stránky </w:t>
      </w:r>
      <w:hyperlink r:id="rId33" w:history="1">
        <w:r w:rsidRPr="004254BD">
          <w:rPr>
            <w:rStyle w:val="Hypertextovodkaz"/>
            <w:color w:val="auto"/>
            <w:u w:val="none"/>
          </w:rPr>
          <w:t>https://www.trelleborg.com/cs/wheels</w:t>
        </w:r>
      </w:hyperlink>
    </w:p>
  </w:footnote>
  <w:footnote w:id="91">
    <w:p w14:paraId="3D518E80" w14:textId="77777777" w:rsidR="00332A29" w:rsidRDefault="00332A29" w:rsidP="00954688">
      <w:pPr>
        <w:pStyle w:val="Textpoznpodarou"/>
        <w:spacing w:before="0"/>
      </w:pPr>
      <w:r>
        <w:rPr>
          <w:rStyle w:val="Znakapoznpodarou"/>
        </w:rPr>
        <w:footnoteRef/>
      </w:r>
      <w:r>
        <w:t xml:space="preserve"> Webové stránky </w:t>
      </w:r>
      <w:hyperlink r:id="rId34" w:history="1">
        <w:r w:rsidRPr="004254BD">
          <w:rPr>
            <w:rStyle w:val="Hypertextovodkaz"/>
            <w:color w:val="auto"/>
            <w:u w:val="none"/>
          </w:rPr>
          <w:t>https://www.kntb.cz/nemocnice</w:t>
        </w:r>
      </w:hyperlink>
    </w:p>
  </w:footnote>
  <w:footnote w:id="92">
    <w:p w14:paraId="7CD49AE4" w14:textId="77777777" w:rsidR="00332A29" w:rsidRPr="004254BD" w:rsidRDefault="00332A29" w:rsidP="00954688">
      <w:pPr>
        <w:pStyle w:val="Textpoznpodarou"/>
        <w:spacing w:before="0"/>
      </w:pPr>
      <w:r>
        <w:rPr>
          <w:rStyle w:val="Znakapoznpodarou"/>
        </w:rPr>
        <w:footnoteRef/>
      </w:r>
      <w:r>
        <w:t xml:space="preserve"> Webové stránky </w:t>
      </w:r>
      <w:hyperlink r:id="rId35" w:history="1">
        <w:r w:rsidRPr="004254BD">
          <w:rPr>
            <w:rStyle w:val="Hypertextovodkaz"/>
            <w:color w:val="auto"/>
            <w:u w:val="none"/>
          </w:rPr>
          <w:t>https://www.bata.cz/</w:t>
        </w:r>
      </w:hyperlink>
    </w:p>
  </w:footnote>
  <w:footnote w:id="93">
    <w:p w14:paraId="0347073B" w14:textId="77777777" w:rsidR="00332A29" w:rsidRPr="004254BD" w:rsidRDefault="00332A29" w:rsidP="00954688">
      <w:pPr>
        <w:pStyle w:val="Textpoznpodarou"/>
        <w:spacing w:before="0"/>
      </w:pPr>
      <w:r>
        <w:rPr>
          <w:rStyle w:val="Znakapoznpodarou"/>
        </w:rPr>
        <w:footnoteRef/>
      </w:r>
      <w:r>
        <w:t xml:space="preserve"> Webové stránky </w:t>
      </w:r>
      <w:hyperlink r:id="rId36" w:history="1">
        <w:r w:rsidRPr="004254BD">
          <w:rPr>
            <w:rStyle w:val="Hypertextovodkaz"/>
            <w:color w:val="auto"/>
            <w:u w:val="none"/>
          </w:rPr>
          <w:t>https://www.elkov.cz/</w:t>
        </w:r>
      </w:hyperlink>
    </w:p>
  </w:footnote>
  <w:footnote w:id="94">
    <w:p w14:paraId="56ED1336" w14:textId="77777777" w:rsidR="00332A29" w:rsidRPr="004254BD" w:rsidRDefault="00332A29" w:rsidP="00954688">
      <w:pPr>
        <w:pStyle w:val="Textpoznpodarou"/>
        <w:spacing w:before="0"/>
      </w:pPr>
      <w:r>
        <w:rPr>
          <w:rStyle w:val="Znakapoznpodarou"/>
        </w:rPr>
        <w:footnoteRef/>
      </w:r>
      <w:r>
        <w:t xml:space="preserve"> Webové stránky </w:t>
      </w:r>
      <w:hyperlink r:id="rId37" w:history="1">
        <w:r w:rsidRPr="004254BD">
          <w:rPr>
            <w:rStyle w:val="Hypertextovodkaz"/>
            <w:color w:val="auto"/>
            <w:u w:val="none"/>
          </w:rPr>
          <w:t>https://www.tajmac-zps.cz/</w:t>
        </w:r>
      </w:hyperlink>
    </w:p>
  </w:footnote>
  <w:footnote w:id="95">
    <w:p w14:paraId="6006E1F9" w14:textId="338C434D" w:rsidR="00332A29" w:rsidRDefault="00332A29" w:rsidP="00954688">
      <w:pPr>
        <w:pStyle w:val="Textpoznpodarou"/>
        <w:spacing w:before="0"/>
      </w:pPr>
      <w:r>
        <w:rPr>
          <w:rStyle w:val="Znakapoznpodarou"/>
        </w:rPr>
        <w:footnoteRef/>
      </w:r>
      <w:r>
        <w:t xml:space="preserve"> AMSP ČR, Analýza maloobchodu 2019.</w:t>
      </w:r>
    </w:p>
  </w:footnote>
  <w:footnote w:id="96">
    <w:p w14:paraId="0317F8C2" w14:textId="77777777" w:rsidR="00332A29" w:rsidRDefault="00332A29" w:rsidP="00954688">
      <w:pPr>
        <w:pStyle w:val="Textpoznpodarou"/>
        <w:spacing w:before="0"/>
      </w:pPr>
      <w:r>
        <w:rPr>
          <w:rStyle w:val="Znakapoznpodarou"/>
        </w:rPr>
        <w:footnoteRef/>
      </w:r>
      <w:r>
        <w:t xml:space="preserve"> Vlastní</w:t>
      </w:r>
      <w:r w:rsidRPr="0050398A">
        <w:t xml:space="preserve"> šetření Krajské hospodářské komory Zlínského kraje</w:t>
      </w:r>
    </w:p>
  </w:footnote>
  <w:footnote w:id="97">
    <w:p w14:paraId="49AEE226" w14:textId="77777777" w:rsidR="00332A29" w:rsidRDefault="00332A29" w:rsidP="00954688">
      <w:pPr>
        <w:pStyle w:val="Textpoznpodarou"/>
      </w:pPr>
      <w:r>
        <w:rPr>
          <w:rStyle w:val="Znakapoznpodarou"/>
        </w:rPr>
        <w:footnoteRef/>
      </w:r>
      <w:r>
        <w:t xml:space="preserve"> www.utb.cz</w:t>
      </w:r>
    </w:p>
  </w:footnote>
  <w:footnote w:id="98">
    <w:p w14:paraId="5526A412" w14:textId="53958506" w:rsidR="00332A29" w:rsidRPr="00B165CB" w:rsidRDefault="00332A29" w:rsidP="00954688">
      <w:pPr>
        <w:pStyle w:val="Textpoznpodarou"/>
      </w:pPr>
      <w:r>
        <w:rPr>
          <w:rStyle w:val="Znakapoznpodarou"/>
        </w:rPr>
        <w:footnoteRef/>
      </w:r>
      <w:r>
        <w:t>K</w:t>
      </w:r>
      <w:r w:rsidRPr="00CD756C">
        <w:t>on</w:t>
      </w:r>
      <w:r>
        <w:t>cepce rozvoje cestovního ruchu Z</w:t>
      </w:r>
      <w:r w:rsidRPr="00CD756C">
        <w:t>línského kraje na období 2020 – 2030</w:t>
      </w:r>
      <w:r>
        <w:t xml:space="preserve">. </w:t>
      </w:r>
      <w:hyperlink r:id="rId38" w:history="1">
        <w:r w:rsidRPr="00B165CB">
          <w:rPr>
            <w:rStyle w:val="Hypertextovodkaz"/>
            <w:color w:val="auto"/>
            <w:u w:val="none"/>
          </w:rPr>
          <w:t>https://www.kr-zlinsky.cz/koncepce-rozvoje-cestovniho-ruchu-zlinskeho-kraje-na-obdobi-2020-2030-cl-4873.html</w:t>
        </w:r>
      </w:hyperlink>
    </w:p>
  </w:footnote>
  <w:footnote w:id="99">
    <w:p w14:paraId="46713655" w14:textId="77777777" w:rsidR="00332A29" w:rsidRDefault="00332A29" w:rsidP="00954688">
      <w:pPr>
        <w:pStyle w:val="Textpoznpodarou"/>
      </w:pPr>
      <w:r>
        <w:rPr>
          <w:rStyle w:val="Znakapoznpodarou"/>
        </w:rPr>
        <w:footnoteRef/>
      </w:r>
      <w:r>
        <w:t xml:space="preserve"> Údaje jsou monitorovány ČSÚ, provozovatelé ubytovacích zařízení však nemají povinnost vykazovat počty návštěvníků ani informace o délce pobytu. Proto je nutné na uvedená data pohlížet s určitou mírou zkreslení.</w:t>
      </w:r>
    </w:p>
  </w:footnote>
  <w:footnote w:id="100">
    <w:p w14:paraId="003E3506" w14:textId="77777777" w:rsidR="00332A29" w:rsidRDefault="00332A29" w:rsidP="00954688">
      <w:pPr>
        <w:pStyle w:val="Textpoznpodarou"/>
      </w:pPr>
      <w:r>
        <w:rPr>
          <w:rStyle w:val="Znakapoznpodarou"/>
        </w:rPr>
        <w:footnoteRef/>
      </w:r>
      <w:r>
        <w:t xml:space="preserve"> MMZ, </w:t>
      </w:r>
      <w:hyperlink r:id="rId39" w:history="1">
        <w:r w:rsidRPr="007C0986">
          <w:rPr>
            <w:rStyle w:val="Hypertextovodkaz"/>
            <w:color w:val="auto"/>
            <w:u w:val="none"/>
          </w:rPr>
          <w:t>https://www.zlin.eu/oddeleni-koordinace-projektu-cl-352.html</w:t>
        </w:r>
      </w:hyperlink>
    </w:p>
  </w:footnote>
  <w:footnote w:id="101">
    <w:p w14:paraId="6D84C7FF" w14:textId="28801FA7" w:rsidR="00332A29" w:rsidRDefault="00332A29" w:rsidP="00954688">
      <w:pPr>
        <w:pStyle w:val="Textpoznpodarou"/>
        <w:jc w:val="left"/>
      </w:pPr>
      <w:r>
        <w:rPr>
          <w:rStyle w:val="Znakapoznpodarou"/>
        </w:rPr>
        <w:footnoteRef/>
      </w:r>
      <w:r>
        <w:t xml:space="preserve"> MMZ, Výroční zpráva Magistrátu města Zlína a Městské policie Zlín za rok 2018. </w:t>
      </w:r>
      <w:hyperlink r:id="rId40" w:history="1">
        <w:r w:rsidRPr="00A832B4">
          <w:rPr>
            <w:rStyle w:val="Hypertextovodkaz"/>
            <w:color w:val="auto"/>
            <w:u w:val="none"/>
          </w:rPr>
          <w:t>https://www.zlin.eu/clanky/dokumenty/2558/ska4d809d6f5-mesto-zlin---vyrocni-zprava-2018.pd</w:t>
        </w:r>
      </w:hyperlink>
    </w:p>
  </w:footnote>
  <w:footnote w:id="102">
    <w:p w14:paraId="19F970E9" w14:textId="77777777" w:rsidR="00332A29" w:rsidRPr="00A832B4" w:rsidRDefault="00332A29" w:rsidP="00954688">
      <w:pPr>
        <w:pStyle w:val="Textpoznpodarou"/>
      </w:pPr>
      <w:r>
        <w:rPr>
          <w:rStyle w:val="Znakapoznpodarou"/>
        </w:rPr>
        <w:footnoteRef/>
      </w:r>
      <w:r>
        <w:t xml:space="preserve"> MMZ, </w:t>
      </w:r>
      <w:hyperlink r:id="rId41" w:history="1">
        <w:r w:rsidRPr="00A832B4">
          <w:rPr>
            <w:rStyle w:val="Hypertextovodkaz"/>
            <w:color w:val="auto"/>
            <w:u w:val="none"/>
          </w:rPr>
          <w:t>https://www.zlin.eu/prispevkove-organizace-zrizene-smz-cl-112.html</w:t>
        </w:r>
      </w:hyperlink>
    </w:p>
  </w:footnote>
  <w:footnote w:id="103">
    <w:p w14:paraId="116D5278" w14:textId="77777777" w:rsidR="00332A29" w:rsidRPr="00A832B4" w:rsidRDefault="00332A29" w:rsidP="00954688">
      <w:pPr>
        <w:pStyle w:val="Textpoznpodarou"/>
      </w:pPr>
      <w:r>
        <w:rPr>
          <w:rStyle w:val="Znakapoznpodarou"/>
        </w:rPr>
        <w:footnoteRef/>
      </w:r>
      <w:r>
        <w:t xml:space="preserve"> MMZ, </w:t>
      </w:r>
      <w:hyperlink r:id="rId42" w:history="1">
        <w:r w:rsidRPr="00A832B4">
          <w:rPr>
            <w:rStyle w:val="Hypertextovodkaz"/>
            <w:color w:val="auto"/>
            <w:u w:val="none"/>
          </w:rPr>
          <w:t>https://www.zlin.eu/organizacni-slozky-statutarniho-mesta-zlina-bez-pravni-subjektivity-cl-123.html</w:t>
        </w:r>
      </w:hyperlink>
    </w:p>
  </w:footnote>
  <w:footnote w:id="104">
    <w:p w14:paraId="2A01856F" w14:textId="24EDEC2E" w:rsidR="00332A29" w:rsidRDefault="00332A29" w:rsidP="00954688">
      <w:pPr>
        <w:pStyle w:val="Textpoznpodarou"/>
      </w:pPr>
      <w:r>
        <w:rPr>
          <w:rStyle w:val="Znakapoznpodarou"/>
        </w:rPr>
        <w:footnoteRef/>
      </w:r>
      <w:r>
        <w:t xml:space="preserve"> Směrnice č. 4/2011 o rozpočtu statutárního měst Zlína.</w:t>
      </w:r>
    </w:p>
  </w:footnote>
  <w:footnote w:id="105">
    <w:p w14:paraId="1768C3E0" w14:textId="6C2C12B3" w:rsidR="00332A29" w:rsidRPr="00FD6881" w:rsidRDefault="00332A29" w:rsidP="00954688">
      <w:pPr>
        <w:pStyle w:val="Textpoznpodarou"/>
      </w:pPr>
      <w:r>
        <w:rPr>
          <w:rStyle w:val="Znakapoznpodarou"/>
        </w:rPr>
        <w:footnoteRef/>
      </w:r>
      <w:r>
        <w:t xml:space="preserve"> MMZ, </w:t>
      </w:r>
      <w:r w:rsidRPr="00FD6881">
        <w:t>Komunikační strategii pro statutární město Zlín v oblasti kulturních, sportovních a volnočasových aktivit</w:t>
      </w:r>
      <w:r>
        <w:t xml:space="preserve"> 2019 – 2030.</w:t>
      </w:r>
    </w:p>
  </w:footnote>
  <w:footnote w:id="106">
    <w:p w14:paraId="292F25F8" w14:textId="3C97D869" w:rsidR="00332A29" w:rsidRDefault="00332A29" w:rsidP="00954688">
      <w:pPr>
        <w:pStyle w:val="Textpoznpodarou"/>
      </w:pPr>
      <w:r>
        <w:rPr>
          <w:rStyle w:val="Znakapoznpodarou"/>
        </w:rPr>
        <w:footnoteRef/>
      </w:r>
      <w:r>
        <w:t xml:space="preserve"> MMZ, </w:t>
      </w:r>
      <w:r w:rsidRPr="006926D2">
        <w:t>Informační strategie statutárního města Zlín na období let 2019 – 2024</w:t>
      </w:r>
      <w:r>
        <w:t>.</w:t>
      </w:r>
    </w:p>
  </w:footnote>
  <w:footnote w:id="107">
    <w:p w14:paraId="4C2D3DAB" w14:textId="77777777" w:rsidR="00332A29" w:rsidRDefault="00332A29" w:rsidP="00FB35A4">
      <w:pPr>
        <w:pStyle w:val="Textpoznpodarou"/>
      </w:pPr>
      <w:r>
        <w:rPr>
          <w:rStyle w:val="Znakapoznpodarou"/>
        </w:rPr>
        <w:footnoteRef/>
      </w:r>
      <w:r>
        <w:t xml:space="preserve"> V</w:t>
      </w:r>
      <w:r w:rsidRPr="006D13E9">
        <w:rPr>
          <w:rFonts w:eastAsia="Times New Roman" w:cstheme="minorHAnsi"/>
          <w:bCs/>
          <w:color w:val="000000"/>
          <w:sz w:val="18"/>
          <w:szCs w:val="18"/>
          <w:lang w:eastAsia="cs-CZ"/>
        </w:rPr>
        <w:t xml:space="preserve"> roce 2019 (počet osob)</w:t>
      </w:r>
      <w:r>
        <w:rPr>
          <w:rFonts w:eastAsia="Times New Roman" w:cstheme="minorHAnsi"/>
          <w:bCs/>
          <w:color w:val="000000"/>
          <w:sz w:val="18"/>
          <w:szCs w:val="18"/>
          <w:lang w:eastAsia="cs-CZ"/>
        </w:rPr>
        <w:t>.</w:t>
      </w:r>
    </w:p>
  </w:footnote>
  <w:footnote w:id="108">
    <w:p w14:paraId="17450222" w14:textId="77777777" w:rsidR="00332A29" w:rsidRDefault="00332A29" w:rsidP="007175FE">
      <w:pPr>
        <w:pStyle w:val="Textpoznpodarou"/>
        <w:rPr>
          <w:rFonts w:cstheme="minorHAnsi"/>
          <w:sz w:val="18"/>
          <w:szCs w:val="18"/>
        </w:rPr>
      </w:pPr>
      <w:r>
        <w:rPr>
          <w:rStyle w:val="Znakapoznpodarou"/>
        </w:rPr>
        <w:footnoteRef/>
      </w:r>
      <w:r>
        <w:t xml:space="preserve"> </w:t>
      </w:r>
      <w:r>
        <w:rPr>
          <w:i/>
          <w:sz w:val="18"/>
        </w:rPr>
        <w:t>Nejedná se o nejčastější odpovědi, výroky byly většinou zmiňovány jednou nebo dvakrát. V případě, že byl velmi specifický problém vč. místního určení zmiňován víckrát, je tato skutečnost uvedena v závorce. Výjimkou je odpověď „lidé bez domova“, kde byly lokality „autobusové a vlakové nádraží a přilehlý podchod a park“, „park u zámku“, „další parky“, „centrum všeobecně“ a „MHD“ v souvislosti s výskytem této skupiny obyvatel zmiňovány poměrně často.</w:t>
      </w:r>
    </w:p>
    <w:p w14:paraId="4D6F8707" w14:textId="77777777" w:rsidR="00332A29" w:rsidRDefault="00332A29" w:rsidP="007175FE">
      <w:pPr>
        <w:pStyle w:val="Textpoznpodarou"/>
      </w:pPr>
    </w:p>
  </w:footnote>
  <w:footnote w:id="109">
    <w:p w14:paraId="4A9BE59E" w14:textId="357B7E0A" w:rsidR="00332A29" w:rsidRDefault="00332A29" w:rsidP="007175FE">
      <w:pPr>
        <w:pStyle w:val="Textpoznpodarou"/>
      </w:pPr>
      <w:r>
        <w:rPr>
          <w:rStyle w:val="Znakapoznpodarou"/>
        </w:rPr>
        <w:footnoteRef/>
      </w:r>
      <w:r>
        <w:t xml:space="preserve"> Hodnoceno na škále 0 </w:t>
      </w:r>
      <w:r>
        <w:sym w:font="Symbol" w:char="F02D"/>
      </w:r>
      <w:r>
        <w:t xml:space="preserve"> 100 kde 0 je nejmenší spokojenost a 100 je největší spokojenost.</w:t>
      </w:r>
    </w:p>
  </w:footnote>
  <w:footnote w:id="110">
    <w:p w14:paraId="4BC06F9C" w14:textId="42D0E4ED" w:rsidR="00332A29" w:rsidRPr="00E71EA8" w:rsidRDefault="00332A29" w:rsidP="00ED238E">
      <w:pPr>
        <w:rPr>
          <w:rFonts w:cstheme="minorHAnsi"/>
          <w:sz w:val="20"/>
          <w:szCs w:val="20"/>
        </w:rPr>
      </w:pPr>
      <w:r w:rsidRPr="00E71EA8">
        <w:rPr>
          <w:rStyle w:val="Znakapoznpodarou"/>
          <w:sz w:val="20"/>
          <w:szCs w:val="20"/>
        </w:rPr>
        <w:footnoteRef/>
      </w:r>
      <w:r w:rsidRPr="00E71EA8">
        <w:rPr>
          <w:sz w:val="20"/>
          <w:szCs w:val="20"/>
        </w:rPr>
        <w:t xml:space="preserve"> MMR (2019) Metodika přípravy veřejných strategií ve znění aktualizace 2019. Dostupná z: </w:t>
      </w:r>
      <w:hyperlink r:id="rId43" w:history="1">
        <w:r w:rsidRPr="00E71EA8">
          <w:rPr>
            <w:rStyle w:val="Hypertextovodkaz"/>
            <w:color w:val="auto"/>
            <w:sz w:val="20"/>
            <w:szCs w:val="20"/>
            <w:u w:val="none"/>
          </w:rPr>
          <w:t>https://mmr.cz/cs/microsites/portal-strategicke-prace-v-ceske-republice/nastroje-a-metodicka-podpora/vystupy-projektu</w:t>
        </w:r>
      </w:hyperlink>
      <w:r w:rsidRPr="00E71EA8">
        <w:rPr>
          <w:sz w:val="20"/>
          <w:szCs w:val="20"/>
        </w:rPr>
        <w:t xml:space="preserve"> </w:t>
      </w:r>
    </w:p>
  </w:footnote>
  <w:footnote w:id="111">
    <w:p w14:paraId="595FD705" w14:textId="5145C8BF" w:rsidR="00332A29" w:rsidRPr="00805674" w:rsidRDefault="00332A29" w:rsidP="00F63C14">
      <w:pPr>
        <w:pStyle w:val="Textpoznpodarou"/>
        <w:jc w:val="left"/>
      </w:pPr>
      <w:r w:rsidRPr="00805674">
        <w:rPr>
          <w:rStyle w:val="Znakapoznpodarou"/>
        </w:rPr>
        <w:footnoteRef/>
      </w:r>
      <w:r w:rsidRPr="00805674">
        <w:t xml:space="preserve"> Prezidentovi ČR důvěřuje 44 % občanů, vládě 40 % občanů, Poslanecké sněmovně 32 % a Senátu 34 % občanů. Na úrovni obcí mají starostové důvěru u 61 % občanů, obecní zastupitelstva u 60 % občanů. Zdroj: Centrum pro výzkum veřejného mínění; Důvěra ústavním institucím v červnu 2020, dostupné na: </w:t>
      </w:r>
      <w:hyperlink r:id="rId44" w:history="1">
        <w:r w:rsidRPr="00805674">
          <w:rPr>
            <w:rStyle w:val="Hypertextovodkaz"/>
            <w:color w:val="auto"/>
            <w:u w:val="none"/>
          </w:rPr>
          <w:t>https://cvvm.soc.cas.cz/media/com_form2content/documents/c2/a5233/f9/pi200716.pdf</w:t>
        </w:r>
      </w:hyperlink>
    </w:p>
  </w:footnote>
  <w:footnote w:id="112">
    <w:p w14:paraId="4CC8C1FE" w14:textId="77777777" w:rsidR="00332A29" w:rsidRPr="00805674" w:rsidRDefault="00332A29" w:rsidP="00F63C14">
      <w:pPr>
        <w:pStyle w:val="Textpoznpodarou"/>
        <w:jc w:val="left"/>
      </w:pPr>
      <w:r w:rsidRPr="00805674">
        <w:rPr>
          <w:rStyle w:val="Znakapoznpodarou"/>
        </w:rPr>
        <w:footnoteRef/>
      </w:r>
      <w:r w:rsidRPr="00805674">
        <w:t xml:space="preserve"> Rozpočet EU: Regionální rozvoj a politika soudržnosti po roce 2020; dostupné na: </w:t>
      </w:r>
      <w:hyperlink r:id="rId45" w:history="1">
        <w:r w:rsidRPr="00805674">
          <w:rPr>
            <w:rStyle w:val="Hypertextovodkaz"/>
            <w:color w:val="auto"/>
            <w:u w:val="none"/>
          </w:rPr>
          <w:t>https://ec.europa.eu/commission/presscorner/detail/cs/IP_18_3885</w:t>
        </w:r>
      </w:hyperlink>
      <w:r w:rsidRPr="00805674">
        <w:t xml:space="preserve"> </w:t>
      </w:r>
    </w:p>
  </w:footnote>
  <w:footnote w:id="113">
    <w:p w14:paraId="4CC70BAF" w14:textId="77777777" w:rsidR="00332A29" w:rsidRPr="00805674" w:rsidRDefault="00332A29" w:rsidP="000C49A5">
      <w:pPr>
        <w:pStyle w:val="Textpoznpodarou"/>
        <w:jc w:val="left"/>
      </w:pPr>
      <w:r w:rsidRPr="00805674">
        <w:rPr>
          <w:rStyle w:val="Znakapoznpodarou"/>
        </w:rPr>
        <w:footnoteRef/>
      </w:r>
      <w:r w:rsidRPr="00805674">
        <w:t xml:space="preserve"> Návrh Dohody o partnerství na období 2021 – 2027; leden 2020.</w:t>
      </w:r>
    </w:p>
  </w:footnote>
  <w:footnote w:id="114">
    <w:p w14:paraId="0B180D52" w14:textId="77777777" w:rsidR="00332A29" w:rsidRPr="00805674" w:rsidRDefault="00332A29" w:rsidP="000C49A5">
      <w:pPr>
        <w:pStyle w:val="Textpoznpodarou"/>
      </w:pPr>
      <w:r w:rsidRPr="00805674">
        <w:rPr>
          <w:rStyle w:val="Znakapoznpodarou"/>
        </w:rPr>
        <w:footnoteRef/>
      </w:r>
      <w:r w:rsidRPr="00805674">
        <w:t xml:space="preserve"> Zdroj: Dopady digitalizace na trh práce v ČR s EU; OSTEU; 2015.</w:t>
      </w:r>
    </w:p>
  </w:footnote>
  <w:footnote w:id="115">
    <w:p w14:paraId="34C3C6FA" w14:textId="079C86A0" w:rsidR="00332A29" w:rsidRPr="00805674" w:rsidRDefault="00332A29" w:rsidP="000C49A5">
      <w:pPr>
        <w:pStyle w:val="Textpoznpodarou"/>
        <w:jc w:val="left"/>
      </w:pPr>
      <w:r w:rsidRPr="00805674">
        <w:rPr>
          <w:rStyle w:val="Znakapoznpodarou"/>
        </w:rPr>
        <w:footnoteRef/>
      </w:r>
      <w:r w:rsidRPr="00805674">
        <w:t xml:space="preserve"> Ministerstvo financí ČR; Konvergenční program České republiky; 2020. Dostupné na: </w:t>
      </w:r>
      <w:hyperlink r:id="rId46" w:history="1">
        <w:r w:rsidRPr="00805674">
          <w:rPr>
            <w:rStyle w:val="Hypertextovodkaz"/>
            <w:color w:val="auto"/>
            <w:u w:val="none"/>
          </w:rPr>
          <w:t>https://ec.europa.eu/info/sites/info/files/2020-european-semester-convergence-programme-czechia_cs.pdf</w:t>
        </w:r>
      </w:hyperlink>
      <w:r w:rsidRPr="00805674">
        <w:t xml:space="preserve"> </w:t>
      </w:r>
    </w:p>
  </w:footnote>
  <w:footnote w:id="116">
    <w:p w14:paraId="55B52389" w14:textId="77777777" w:rsidR="00332A29" w:rsidRPr="00805674" w:rsidRDefault="00332A29" w:rsidP="000C49A5">
      <w:pPr>
        <w:pStyle w:val="Textpoznpodarou"/>
      </w:pPr>
      <w:r w:rsidRPr="00805674">
        <w:rPr>
          <w:rStyle w:val="Znakapoznpodarou"/>
        </w:rPr>
        <w:footnoteRef/>
      </w:r>
      <w:r w:rsidRPr="00805674">
        <w:t xml:space="preserve"> Ministerstvo financí; tisková zpráva „Sněmovna schválila novelu zákona o státním rozpočtu na rok 2020“. Dostupné na: </w:t>
      </w:r>
      <w:hyperlink r:id="rId47" w:history="1">
        <w:r w:rsidRPr="00805674">
          <w:rPr>
            <w:rStyle w:val="Hypertextovodkaz"/>
            <w:color w:val="auto"/>
            <w:u w:val="none"/>
          </w:rPr>
          <w:t>https://www.mfcr.cz/cs/aktualne/tiskove-zpravy/2020/snemovna-schvalila-novelu-zakona-o-statn-38941</w:t>
        </w:r>
      </w:hyperlink>
      <w:r w:rsidRPr="00805674">
        <w:t xml:space="preserve"> </w:t>
      </w:r>
    </w:p>
  </w:footnote>
  <w:footnote w:id="117">
    <w:p w14:paraId="212119E2" w14:textId="77777777" w:rsidR="00332A29" w:rsidRPr="00805674" w:rsidRDefault="00332A29" w:rsidP="000C49A5">
      <w:pPr>
        <w:pStyle w:val="Textpoznpodarou"/>
      </w:pPr>
      <w:r w:rsidRPr="00805674">
        <w:rPr>
          <w:rStyle w:val="Znakapoznpodarou"/>
        </w:rPr>
        <w:footnoteRef/>
      </w:r>
      <w:r w:rsidRPr="00805674">
        <w:t xml:space="preserve"> Celkové výdaje na veřejné vzdělávání včetně vysokých škol činily 3,5 % HDP, což je hluboko pod průměrnými pěti procenty zemí OECD. (Zdroj: OECD, 2018)</w:t>
      </w:r>
    </w:p>
  </w:footnote>
  <w:footnote w:id="118">
    <w:p w14:paraId="0DEAC826" w14:textId="542C21B9" w:rsidR="00332A29" w:rsidRPr="00805674" w:rsidRDefault="00332A29" w:rsidP="000C49A5">
      <w:pPr>
        <w:pStyle w:val="Textpoznpodarou"/>
      </w:pPr>
      <w:r w:rsidRPr="00805674">
        <w:rPr>
          <w:rStyle w:val="Znakapoznpodarou"/>
        </w:rPr>
        <w:footnoteRef/>
      </w:r>
      <w:r w:rsidRPr="00805674">
        <w:t xml:space="preserve"> Průměrný výdaj na podnikový aplikovaný výzkum je v ČR 233,9 EUR na 1 obyvatele, zatímco průměrná hodnota za celou EU je 438,2 EUR. (Zdroj: EUROSTAT, 2018)</w:t>
      </w:r>
    </w:p>
  </w:footnote>
  <w:footnote w:id="119">
    <w:p w14:paraId="030D1381" w14:textId="77777777" w:rsidR="00332A29" w:rsidRPr="00805674" w:rsidRDefault="00332A29" w:rsidP="000C49A5">
      <w:pPr>
        <w:pStyle w:val="Textpoznpodarou"/>
      </w:pPr>
      <w:r w:rsidRPr="00805674">
        <w:rPr>
          <w:rStyle w:val="Znakapoznpodarou"/>
        </w:rPr>
        <w:footnoteRef/>
      </w:r>
      <w:r w:rsidRPr="00805674">
        <w:t xml:space="preserve"> Zdroj: Analýza technologických trendů identifikovaných domén specializace Zlínského kraje a mapování technologických trendů na přesahu těchto odvětví; Technologické centrum AV ČR; 2019.</w:t>
      </w:r>
    </w:p>
  </w:footnote>
  <w:footnote w:id="120">
    <w:p w14:paraId="27B1EA19" w14:textId="52FE16A0" w:rsidR="00332A29" w:rsidRDefault="00332A29" w:rsidP="000C49A5">
      <w:pPr>
        <w:pStyle w:val="Textpoznpodarou"/>
      </w:pPr>
      <w:r>
        <w:rPr>
          <w:rStyle w:val="Znakapoznpodarou"/>
        </w:rPr>
        <w:footnoteRef/>
      </w:r>
      <w:r>
        <w:t xml:space="preserve"> </w:t>
      </w:r>
      <w:r w:rsidRPr="00B1453C">
        <w:t>Návrh Nařízení Evropského parlamentu a Rady o společných ustanoveních o Evropském fondu pro regionální rozvoj, Evropském sociálním fondu plus, Fondu soudržnosti, a Evropském námořním a rybářském fondu a</w:t>
      </w:r>
      <w:r>
        <w:t> </w:t>
      </w:r>
      <w:r w:rsidRPr="00F804DE">
        <w:t>o</w:t>
      </w:r>
      <w:r>
        <w:t> </w:t>
      </w:r>
      <w:r w:rsidRPr="00F804DE">
        <w:t>finančních</w:t>
      </w:r>
      <w:r w:rsidRPr="00B1453C">
        <w:t xml:space="preserve"> pravidlech pro tyto fondy a pro Azylový a migrační fond, Fond pro vnitřní bezpečnost a Nástroj pro správu hranic a víza, ze dne 29. 5. 2018.</w:t>
      </w:r>
    </w:p>
  </w:footnote>
  <w:footnote w:id="121">
    <w:p w14:paraId="2034AEA9" w14:textId="77777777" w:rsidR="00332A29" w:rsidRPr="00846946" w:rsidRDefault="00332A29" w:rsidP="00E01070">
      <w:pPr>
        <w:pStyle w:val="Textpoznpodarou"/>
      </w:pPr>
      <w:r>
        <w:rPr>
          <w:rStyle w:val="Znakapoznpodarou"/>
        </w:rPr>
        <w:footnoteRef/>
      </w:r>
      <w:r>
        <w:t xml:space="preserve"> </w:t>
      </w:r>
      <w:r w:rsidRPr="00846946">
        <w:rPr>
          <w:i/>
          <w:iCs/>
        </w:rPr>
        <w:t>HAVRÁNEK, M. – POKORNÝ, O. (2016) Globální megatrendy pro aktualizovaný Strategický rámec udržitelného rozvoje. Praha: Úřad vlády ČR</w:t>
      </w:r>
      <w:r w:rsidRPr="00846946">
        <w:t xml:space="preserve">. </w:t>
      </w:r>
    </w:p>
    <w:p w14:paraId="201D572C" w14:textId="77777777" w:rsidR="00332A29" w:rsidRDefault="00332A29" w:rsidP="00E01070">
      <w:pPr>
        <w:pStyle w:val="Textpoznpodarou"/>
      </w:pPr>
    </w:p>
  </w:footnote>
  <w:footnote w:id="122">
    <w:p w14:paraId="20A5FB4B" w14:textId="77777777" w:rsidR="00332A29" w:rsidRDefault="00332A29" w:rsidP="00E01070">
      <w:pPr>
        <w:pStyle w:val="Textpoznpodarou"/>
        <w:jc w:val="left"/>
      </w:pPr>
      <w:r>
        <w:rPr>
          <w:rStyle w:val="Znakapoznpodarou"/>
        </w:rPr>
        <w:footnoteRef/>
      </w:r>
      <w:r>
        <w:t xml:space="preserve"> European Union, 2020, </w:t>
      </w:r>
      <w:r w:rsidRPr="00B07325">
        <w:t>ttps://ec.europa.eu/jrc/sites/jrcsh/files/jrc120945_policy_brief_-_covid_and_telework_final.pdf</w:t>
      </w:r>
    </w:p>
  </w:footnote>
  <w:footnote w:id="123">
    <w:p w14:paraId="1AA62A97" w14:textId="77777777" w:rsidR="00332A29" w:rsidRPr="002C7C1F" w:rsidRDefault="00332A29" w:rsidP="00E01070">
      <w:pPr>
        <w:pStyle w:val="Textpoznpodarou"/>
        <w:rPr>
          <w:szCs w:val="22"/>
        </w:rPr>
      </w:pPr>
      <w:r>
        <w:rPr>
          <w:rStyle w:val="Znakapoznpodarou"/>
        </w:rPr>
        <w:footnoteRef/>
      </w:r>
      <w:r>
        <w:t xml:space="preserve"> </w:t>
      </w:r>
      <w:r w:rsidRPr="002C7C1F">
        <w:rPr>
          <w:rFonts w:cstheme="minorHAnsi"/>
          <w:szCs w:val="22"/>
        </w:rPr>
        <w:t>OECD (2016): OECD Science, Technology and Innovation Outlook 2016. OECD Publishing, Paris. Dostupné z: http://dx.doi.org/10.1787/sti_in_outlook-2016-en</w:t>
      </w:r>
    </w:p>
  </w:footnote>
  <w:footnote w:id="124">
    <w:p w14:paraId="73BC9B20" w14:textId="77777777" w:rsidR="00332A29" w:rsidRPr="002F528D" w:rsidRDefault="00332A29" w:rsidP="00E01070">
      <w:pPr>
        <w:pStyle w:val="Textpoznpodarou"/>
      </w:pPr>
      <w:r w:rsidRPr="002F528D">
        <w:rPr>
          <w:rStyle w:val="Znakapoznpodarou"/>
        </w:rPr>
        <w:footnoteRef/>
      </w:r>
      <w:r w:rsidRPr="002F528D">
        <w:t xml:space="preserve"> </w:t>
      </w:r>
      <w:hyperlink r:id="rId48" w:history="1">
        <w:r w:rsidRPr="002F528D">
          <w:rPr>
            <w:rStyle w:val="Hypertextovodkaz"/>
            <w:color w:val="auto"/>
            <w:u w:val="none"/>
          </w:rPr>
          <w:t>https://www.czso.cz/csu/czso/projekce-obyvatelstva-v-krajich-cr-do-roku-2070</w:t>
        </w:r>
      </w:hyperlink>
    </w:p>
  </w:footnote>
  <w:footnote w:id="125">
    <w:p w14:paraId="25980447" w14:textId="77777777" w:rsidR="00332A29" w:rsidRDefault="00332A29" w:rsidP="00E01070">
      <w:pPr>
        <w:pStyle w:val="Textpoznpodarou"/>
      </w:pPr>
      <w:r>
        <w:rPr>
          <w:rStyle w:val="Znakapoznpodarou"/>
        </w:rPr>
        <w:footnoteRef/>
      </w:r>
      <w:r>
        <w:t xml:space="preserve"> </w:t>
      </w:r>
      <w:r>
        <w:rPr>
          <w:color w:val="000000" w:themeColor="text1"/>
        </w:rPr>
        <w:t>Praha dosahuje extrémně vysokých hodnot a došlo by ke zkreslení vývoje podílů.</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0D6CF" w14:textId="77777777" w:rsidR="00332A29" w:rsidRPr="009C2F0E" w:rsidRDefault="00332A29" w:rsidP="00C027A1">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05A69" w14:textId="77777777" w:rsidR="00332A29" w:rsidRPr="009C2F0E" w:rsidRDefault="00332A29" w:rsidP="00C027A1">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EE76E" w14:textId="77777777" w:rsidR="00332A29" w:rsidRPr="009C2F0E" w:rsidRDefault="00332A29" w:rsidP="00C027A1">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5F338" w14:textId="77777777" w:rsidR="00332A29" w:rsidRPr="009C2F0E" w:rsidRDefault="00332A29" w:rsidP="00C027A1">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8CFC3" w14:textId="77777777" w:rsidR="00332A29" w:rsidRPr="009C2F0E" w:rsidRDefault="00332A29" w:rsidP="00C027A1">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9E87D" w14:textId="77777777" w:rsidR="00332A29" w:rsidRPr="009C2F0E" w:rsidRDefault="00332A29" w:rsidP="00C027A1">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F97FE3" w14:textId="77777777" w:rsidR="00332A29" w:rsidRPr="009C2F0E" w:rsidRDefault="00332A29" w:rsidP="00C027A1">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4F06EDC4"/>
    <w:lvl w:ilvl="0">
      <w:start w:val="1"/>
      <w:numFmt w:val="decimal"/>
      <w:pStyle w:val="slovanseznam3"/>
      <w:lvlText w:val="%1."/>
      <w:lvlJc w:val="left"/>
      <w:pPr>
        <w:tabs>
          <w:tab w:val="num" w:pos="1209"/>
        </w:tabs>
        <w:ind w:left="1209" w:hanging="360"/>
      </w:pPr>
      <w:rPr>
        <w:rFonts w:cs="Times New Roman"/>
      </w:rPr>
    </w:lvl>
  </w:abstractNum>
  <w:abstractNum w:abstractNumId="1" w15:restartNumberingAfterBreak="0">
    <w:nsid w:val="FFFFFF82"/>
    <w:multiLevelType w:val="singleLevel"/>
    <w:tmpl w:val="2E0CF6AA"/>
    <w:lvl w:ilvl="0">
      <w:start w:val="1"/>
      <w:numFmt w:val="bullet"/>
      <w:pStyle w:val="Seznamsodrkami3"/>
      <w:lvlText w:val=""/>
      <w:lvlJc w:val="left"/>
      <w:pPr>
        <w:tabs>
          <w:tab w:val="num" w:pos="926"/>
        </w:tabs>
        <w:ind w:left="926" w:hanging="360"/>
      </w:pPr>
      <w:rPr>
        <w:rFonts w:ascii="Symbol" w:hAnsi="Symbol" w:hint="default"/>
      </w:rPr>
    </w:lvl>
  </w:abstractNum>
  <w:abstractNum w:abstractNumId="2" w15:restartNumberingAfterBreak="0">
    <w:nsid w:val="007F2E03"/>
    <w:multiLevelType w:val="hybridMultilevel"/>
    <w:tmpl w:val="5816AF92"/>
    <w:lvl w:ilvl="0" w:tplc="BAB06CEE">
      <w:start w:val="5"/>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1B40D64"/>
    <w:multiLevelType w:val="hybridMultilevel"/>
    <w:tmpl w:val="C18484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2B62A0F"/>
    <w:multiLevelType w:val="hybridMultilevel"/>
    <w:tmpl w:val="6BC6EF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3672B17"/>
    <w:multiLevelType w:val="hybridMultilevel"/>
    <w:tmpl w:val="86BA29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3DB1534"/>
    <w:multiLevelType w:val="hybridMultilevel"/>
    <w:tmpl w:val="F30E179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41B30C6"/>
    <w:multiLevelType w:val="hybridMultilevel"/>
    <w:tmpl w:val="191EECAC"/>
    <w:lvl w:ilvl="0" w:tplc="04050011">
      <w:start w:val="1"/>
      <w:numFmt w:val="decimal"/>
      <w:lvlText w:val="%1)"/>
      <w:lvlJc w:val="left"/>
      <w:pPr>
        <w:ind w:left="4472" w:hanging="360"/>
      </w:pPr>
      <w:rPr>
        <w:rFonts w:hint="default"/>
      </w:rPr>
    </w:lvl>
    <w:lvl w:ilvl="1" w:tplc="04050019" w:tentative="1">
      <w:start w:val="1"/>
      <w:numFmt w:val="lowerLetter"/>
      <w:lvlText w:val="%2."/>
      <w:lvlJc w:val="left"/>
      <w:pPr>
        <w:ind w:left="5192" w:hanging="360"/>
      </w:pPr>
    </w:lvl>
    <w:lvl w:ilvl="2" w:tplc="0405001B" w:tentative="1">
      <w:start w:val="1"/>
      <w:numFmt w:val="lowerRoman"/>
      <w:lvlText w:val="%3."/>
      <w:lvlJc w:val="right"/>
      <w:pPr>
        <w:ind w:left="5912" w:hanging="180"/>
      </w:pPr>
    </w:lvl>
    <w:lvl w:ilvl="3" w:tplc="0405000F" w:tentative="1">
      <w:start w:val="1"/>
      <w:numFmt w:val="decimal"/>
      <w:lvlText w:val="%4."/>
      <w:lvlJc w:val="left"/>
      <w:pPr>
        <w:ind w:left="6632" w:hanging="360"/>
      </w:pPr>
    </w:lvl>
    <w:lvl w:ilvl="4" w:tplc="04050019" w:tentative="1">
      <w:start w:val="1"/>
      <w:numFmt w:val="lowerLetter"/>
      <w:lvlText w:val="%5."/>
      <w:lvlJc w:val="left"/>
      <w:pPr>
        <w:ind w:left="7352" w:hanging="360"/>
      </w:pPr>
    </w:lvl>
    <w:lvl w:ilvl="5" w:tplc="0405001B" w:tentative="1">
      <w:start w:val="1"/>
      <w:numFmt w:val="lowerRoman"/>
      <w:lvlText w:val="%6."/>
      <w:lvlJc w:val="right"/>
      <w:pPr>
        <w:ind w:left="8072" w:hanging="180"/>
      </w:pPr>
    </w:lvl>
    <w:lvl w:ilvl="6" w:tplc="0405000F" w:tentative="1">
      <w:start w:val="1"/>
      <w:numFmt w:val="decimal"/>
      <w:lvlText w:val="%7."/>
      <w:lvlJc w:val="left"/>
      <w:pPr>
        <w:ind w:left="8792" w:hanging="360"/>
      </w:pPr>
    </w:lvl>
    <w:lvl w:ilvl="7" w:tplc="04050019" w:tentative="1">
      <w:start w:val="1"/>
      <w:numFmt w:val="lowerLetter"/>
      <w:lvlText w:val="%8."/>
      <w:lvlJc w:val="left"/>
      <w:pPr>
        <w:ind w:left="9512" w:hanging="360"/>
      </w:pPr>
    </w:lvl>
    <w:lvl w:ilvl="8" w:tplc="0405001B" w:tentative="1">
      <w:start w:val="1"/>
      <w:numFmt w:val="lowerRoman"/>
      <w:lvlText w:val="%9."/>
      <w:lvlJc w:val="right"/>
      <w:pPr>
        <w:ind w:left="10232" w:hanging="180"/>
      </w:pPr>
    </w:lvl>
  </w:abstractNum>
  <w:abstractNum w:abstractNumId="8" w15:restartNumberingAfterBreak="0">
    <w:nsid w:val="059020FB"/>
    <w:multiLevelType w:val="hybridMultilevel"/>
    <w:tmpl w:val="CFDE31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6B326A5"/>
    <w:multiLevelType w:val="hybridMultilevel"/>
    <w:tmpl w:val="668EDD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9BB7E87"/>
    <w:multiLevelType w:val="hybridMultilevel"/>
    <w:tmpl w:val="CA969A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9D019B5"/>
    <w:multiLevelType w:val="hybridMultilevel"/>
    <w:tmpl w:val="DAB865B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0CEB4F3A"/>
    <w:multiLevelType w:val="hybridMultilevel"/>
    <w:tmpl w:val="54220DA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0D92425A"/>
    <w:multiLevelType w:val="hybridMultilevel"/>
    <w:tmpl w:val="75DE48E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0DA5121F"/>
    <w:multiLevelType w:val="hybridMultilevel"/>
    <w:tmpl w:val="B010CE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0DBF1D91"/>
    <w:multiLevelType w:val="hybridMultilevel"/>
    <w:tmpl w:val="C8A8935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0E935497"/>
    <w:multiLevelType w:val="hybridMultilevel"/>
    <w:tmpl w:val="9788C5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0EC2518C"/>
    <w:multiLevelType w:val="hybridMultilevel"/>
    <w:tmpl w:val="5EF40C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0F5E3AD2"/>
    <w:multiLevelType w:val="hybridMultilevel"/>
    <w:tmpl w:val="6E68E408"/>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1A0678D"/>
    <w:multiLevelType w:val="hybridMultilevel"/>
    <w:tmpl w:val="02C80298"/>
    <w:lvl w:ilvl="0" w:tplc="4D9A8C1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127C5641"/>
    <w:multiLevelType w:val="hybridMultilevel"/>
    <w:tmpl w:val="9DDC8B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51917A0"/>
    <w:multiLevelType w:val="hybridMultilevel"/>
    <w:tmpl w:val="AB14C87E"/>
    <w:lvl w:ilvl="0" w:tplc="BDC49B8A">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16894C48"/>
    <w:multiLevelType w:val="hybridMultilevel"/>
    <w:tmpl w:val="638A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7147CFF"/>
    <w:multiLevelType w:val="hybridMultilevel"/>
    <w:tmpl w:val="51D6122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76B070F"/>
    <w:multiLevelType w:val="hybridMultilevel"/>
    <w:tmpl w:val="F1421A7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176D5694"/>
    <w:multiLevelType w:val="hybridMultilevel"/>
    <w:tmpl w:val="F30E179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17E72E17"/>
    <w:multiLevelType w:val="hybridMultilevel"/>
    <w:tmpl w:val="2BB29C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8687601"/>
    <w:multiLevelType w:val="hybridMultilevel"/>
    <w:tmpl w:val="BF4E862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95C14F7"/>
    <w:multiLevelType w:val="hybridMultilevel"/>
    <w:tmpl w:val="1E248FC4"/>
    <w:lvl w:ilvl="0" w:tplc="C6E4B65E">
      <w:start w:val="1"/>
      <w:numFmt w:val="bullet"/>
      <w:lvlText w:val=""/>
      <w:lvlJc w:val="left"/>
      <w:pPr>
        <w:ind w:left="502"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1CA47C18"/>
    <w:multiLevelType w:val="hybridMultilevel"/>
    <w:tmpl w:val="CF7C77E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1D0043C0"/>
    <w:multiLevelType w:val="hybridMultilevel"/>
    <w:tmpl w:val="C7A8FEB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1D021B46"/>
    <w:multiLevelType w:val="hybridMultilevel"/>
    <w:tmpl w:val="CD2228BA"/>
    <w:lvl w:ilvl="0" w:tplc="04050001">
      <w:start w:val="1"/>
      <w:numFmt w:val="bullet"/>
      <w:lvlText w:val=""/>
      <w:lvlJc w:val="left"/>
      <w:pPr>
        <w:ind w:left="720" w:hanging="360"/>
      </w:pPr>
      <w:rPr>
        <w:rFonts w:ascii="Symbol" w:hAnsi="Symbol" w:hint="default"/>
      </w:rPr>
    </w:lvl>
    <w:lvl w:ilvl="1" w:tplc="BE729ED4">
      <w:start w:val="1"/>
      <w:numFmt w:val="bullet"/>
      <w:lvlText w:val="o"/>
      <w:lvlJc w:val="left"/>
      <w:pPr>
        <w:ind w:left="1440" w:hanging="360"/>
      </w:pPr>
      <w:rPr>
        <w:rFonts w:ascii="Courier New" w:hAnsi="Courier New" w:cs="Courier New" w:hint="default"/>
        <w:strike w:val="0"/>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1D5503DA"/>
    <w:multiLevelType w:val="hybridMultilevel"/>
    <w:tmpl w:val="CB0C154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1D620256"/>
    <w:multiLevelType w:val="hybridMultilevel"/>
    <w:tmpl w:val="ADE81F3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1F8F5B2A"/>
    <w:multiLevelType w:val="hybridMultilevel"/>
    <w:tmpl w:val="6374D88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1FE269FA"/>
    <w:multiLevelType w:val="hybridMultilevel"/>
    <w:tmpl w:val="C0A4043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1FE425C4"/>
    <w:multiLevelType w:val="hybridMultilevel"/>
    <w:tmpl w:val="296A41B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0FF0EC8"/>
    <w:multiLevelType w:val="hybridMultilevel"/>
    <w:tmpl w:val="6E68E408"/>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21F0242C"/>
    <w:multiLevelType w:val="hybridMultilevel"/>
    <w:tmpl w:val="DE7616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1F6091C"/>
    <w:multiLevelType w:val="multilevel"/>
    <w:tmpl w:val="0A4C7B12"/>
    <w:lvl w:ilvl="0">
      <w:start w:val="1"/>
      <w:numFmt w:val="decimal"/>
      <w:lvlText w:val="%1."/>
      <w:lvlJc w:val="left"/>
      <w:pPr>
        <w:tabs>
          <w:tab w:val="num" w:pos="720"/>
        </w:tabs>
        <w:ind w:left="720" w:hanging="360"/>
      </w:pPr>
      <w:rPr>
        <w:rFonts w:asciiTheme="minorHAnsi" w:eastAsia="Times New Roman" w:hAnsiTheme="minorHAnsi" w:cstheme="minorHAnsi"/>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23F0ED4"/>
    <w:multiLevelType w:val="hybridMultilevel"/>
    <w:tmpl w:val="3724B93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22623908"/>
    <w:multiLevelType w:val="hybridMultilevel"/>
    <w:tmpl w:val="610EB5F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23A404A4"/>
    <w:multiLevelType w:val="hybridMultilevel"/>
    <w:tmpl w:val="427AC606"/>
    <w:lvl w:ilvl="0" w:tplc="A2565A58">
      <w:start w:val="1"/>
      <w:numFmt w:val="bullet"/>
      <w:lvlText w:val="-"/>
      <w:lvlJc w:val="left"/>
      <w:pPr>
        <w:ind w:left="1440" w:hanging="360"/>
      </w:pPr>
      <w:rPr>
        <w:rFonts w:ascii="Calibri" w:eastAsiaTheme="minorHAnsi" w:hAnsi="Calibri" w:cs="Calibri"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43" w15:restartNumberingAfterBreak="0">
    <w:nsid w:val="2481249A"/>
    <w:multiLevelType w:val="hybridMultilevel"/>
    <w:tmpl w:val="E25EDB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248B0FFD"/>
    <w:multiLevelType w:val="hybridMultilevel"/>
    <w:tmpl w:val="89AE4CCE"/>
    <w:lvl w:ilvl="0" w:tplc="BF468C8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24EE041A"/>
    <w:multiLevelType w:val="hybridMultilevel"/>
    <w:tmpl w:val="0EE002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28061C28"/>
    <w:multiLevelType w:val="hybridMultilevel"/>
    <w:tmpl w:val="AED6EF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28F32C6D"/>
    <w:multiLevelType w:val="hybridMultilevel"/>
    <w:tmpl w:val="1E82E6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2966789E"/>
    <w:multiLevelType w:val="hybridMultilevel"/>
    <w:tmpl w:val="127808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2A4A0378"/>
    <w:multiLevelType w:val="hybridMultilevel"/>
    <w:tmpl w:val="A406E5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2B1A2D2D"/>
    <w:multiLevelType w:val="hybridMultilevel"/>
    <w:tmpl w:val="8FE493D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2B5925E6"/>
    <w:multiLevelType w:val="hybridMultilevel"/>
    <w:tmpl w:val="7D62AE68"/>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2BDF4347"/>
    <w:multiLevelType w:val="hybridMultilevel"/>
    <w:tmpl w:val="7F16E18A"/>
    <w:lvl w:ilvl="0" w:tplc="80FE1BB4">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2C707F86"/>
    <w:multiLevelType w:val="hybridMultilevel"/>
    <w:tmpl w:val="FAA427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2DF55620"/>
    <w:multiLevelType w:val="hybridMultilevel"/>
    <w:tmpl w:val="0FCAF8E2"/>
    <w:lvl w:ilvl="0" w:tplc="BEB81362">
      <w:start w:val="1"/>
      <w:numFmt w:val="bullet"/>
      <w:pStyle w:val="Hlavnzjitn"/>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2E1A5229"/>
    <w:multiLevelType w:val="hybridMultilevel"/>
    <w:tmpl w:val="66FAEA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2E9E0E8B"/>
    <w:multiLevelType w:val="hybridMultilevel"/>
    <w:tmpl w:val="7818A89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2F3F4381"/>
    <w:multiLevelType w:val="hybridMultilevel"/>
    <w:tmpl w:val="E4DC4DC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2F63327B"/>
    <w:multiLevelType w:val="hybridMultilevel"/>
    <w:tmpl w:val="CA084B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300972D7"/>
    <w:multiLevelType w:val="hybridMultilevel"/>
    <w:tmpl w:val="C78E4D1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305B405C"/>
    <w:multiLevelType w:val="hybridMultilevel"/>
    <w:tmpl w:val="90BAC75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15:restartNumberingAfterBreak="0">
    <w:nsid w:val="305D266A"/>
    <w:multiLevelType w:val="hybridMultilevel"/>
    <w:tmpl w:val="F30E179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30BE3127"/>
    <w:multiLevelType w:val="hybridMultilevel"/>
    <w:tmpl w:val="37D44082"/>
    <w:lvl w:ilvl="0" w:tplc="157C88B0">
      <w:start w:val="1"/>
      <w:numFmt w:val="bullet"/>
      <w:lvlText w:val=""/>
      <w:lvlJc w:val="left"/>
      <w:pPr>
        <w:ind w:left="720" w:hanging="360"/>
      </w:pPr>
      <w:rPr>
        <w:rFonts w:ascii="Wingdings" w:hAnsi="Wingdings" w:hint="default"/>
        <w:color w:val="2F5496" w:themeColor="accent5" w:themeShade="BF"/>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30C07600"/>
    <w:multiLevelType w:val="hybridMultilevel"/>
    <w:tmpl w:val="BBECCAC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315C49CD"/>
    <w:multiLevelType w:val="hybridMultilevel"/>
    <w:tmpl w:val="1F80E176"/>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5" w15:restartNumberingAfterBreak="0">
    <w:nsid w:val="326E61C3"/>
    <w:multiLevelType w:val="singleLevel"/>
    <w:tmpl w:val="8E62CC40"/>
    <w:lvl w:ilvl="0">
      <w:start w:val="1"/>
      <w:numFmt w:val="bullet"/>
      <w:lvlText w:val="-"/>
      <w:lvlJc w:val="left"/>
      <w:pPr>
        <w:tabs>
          <w:tab w:val="num" w:pos="360"/>
        </w:tabs>
        <w:ind w:left="360" w:hanging="360"/>
      </w:pPr>
      <w:rPr>
        <w:rFonts w:hint="default"/>
      </w:rPr>
    </w:lvl>
  </w:abstractNum>
  <w:abstractNum w:abstractNumId="66" w15:restartNumberingAfterBreak="0">
    <w:nsid w:val="34654FE1"/>
    <w:multiLevelType w:val="hybridMultilevel"/>
    <w:tmpl w:val="66CADC5A"/>
    <w:lvl w:ilvl="0" w:tplc="C6E4B65E">
      <w:start w:val="1"/>
      <w:numFmt w:val="bullet"/>
      <w:lvlText w:val=""/>
      <w:lvlJc w:val="left"/>
      <w:pPr>
        <w:ind w:left="502"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35287D10"/>
    <w:multiLevelType w:val="hybridMultilevel"/>
    <w:tmpl w:val="F5AEB61A"/>
    <w:lvl w:ilvl="0" w:tplc="04050001">
      <w:start w:val="1"/>
      <w:numFmt w:val="bullet"/>
      <w:lvlText w:val=""/>
      <w:lvlJc w:val="left"/>
      <w:pPr>
        <w:ind w:left="1440" w:hanging="360"/>
      </w:pPr>
      <w:rPr>
        <w:rFonts w:ascii="Symbol" w:hAnsi="Symbol" w:hint="default"/>
      </w:rPr>
    </w:lvl>
    <w:lvl w:ilvl="1" w:tplc="04050003">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8" w15:restartNumberingAfterBreak="0">
    <w:nsid w:val="367A1E3E"/>
    <w:multiLevelType w:val="hybridMultilevel"/>
    <w:tmpl w:val="AD1207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367F5303"/>
    <w:multiLevelType w:val="hybridMultilevel"/>
    <w:tmpl w:val="A08451E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36BA3FF5"/>
    <w:multiLevelType w:val="hybridMultilevel"/>
    <w:tmpl w:val="B452640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15:restartNumberingAfterBreak="0">
    <w:nsid w:val="36DD0A1D"/>
    <w:multiLevelType w:val="hybridMultilevel"/>
    <w:tmpl w:val="3522C9CE"/>
    <w:lvl w:ilvl="0" w:tplc="5FDA8B6C">
      <w:numFmt w:val="bullet"/>
      <w:lvlText w:val="-"/>
      <w:lvlJc w:val="left"/>
      <w:pPr>
        <w:ind w:left="393" w:hanging="360"/>
      </w:pPr>
      <w:rPr>
        <w:rFonts w:ascii="Calibri" w:eastAsiaTheme="minorHAnsi" w:hAnsi="Calibri" w:cs="Calibri" w:hint="default"/>
      </w:rPr>
    </w:lvl>
    <w:lvl w:ilvl="1" w:tplc="04050003" w:tentative="1">
      <w:start w:val="1"/>
      <w:numFmt w:val="bullet"/>
      <w:lvlText w:val="o"/>
      <w:lvlJc w:val="left"/>
      <w:pPr>
        <w:ind w:left="1113" w:hanging="360"/>
      </w:pPr>
      <w:rPr>
        <w:rFonts w:ascii="Courier New" w:hAnsi="Courier New" w:cs="Courier New" w:hint="default"/>
      </w:rPr>
    </w:lvl>
    <w:lvl w:ilvl="2" w:tplc="04050005" w:tentative="1">
      <w:start w:val="1"/>
      <w:numFmt w:val="bullet"/>
      <w:lvlText w:val=""/>
      <w:lvlJc w:val="left"/>
      <w:pPr>
        <w:ind w:left="1833" w:hanging="360"/>
      </w:pPr>
      <w:rPr>
        <w:rFonts w:ascii="Wingdings" w:hAnsi="Wingdings" w:hint="default"/>
      </w:rPr>
    </w:lvl>
    <w:lvl w:ilvl="3" w:tplc="04050001" w:tentative="1">
      <w:start w:val="1"/>
      <w:numFmt w:val="bullet"/>
      <w:lvlText w:val=""/>
      <w:lvlJc w:val="left"/>
      <w:pPr>
        <w:ind w:left="2553" w:hanging="360"/>
      </w:pPr>
      <w:rPr>
        <w:rFonts w:ascii="Symbol" w:hAnsi="Symbol" w:hint="default"/>
      </w:rPr>
    </w:lvl>
    <w:lvl w:ilvl="4" w:tplc="04050003" w:tentative="1">
      <w:start w:val="1"/>
      <w:numFmt w:val="bullet"/>
      <w:lvlText w:val="o"/>
      <w:lvlJc w:val="left"/>
      <w:pPr>
        <w:ind w:left="3273" w:hanging="360"/>
      </w:pPr>
      <w:rPr>
        <w:rFonts w:ascii="Courier New" w:hAnsi="Courier New" w:cs="Courier New" w:hint="default"/>
      </w:rPr>
    </w:lvl>
    <w:lvl w:ilvl="5" w:tplc="04050005" w:tentative="1">
      <w:start w:val="1"/>
      <w:numFmt w:val="bullet"/>
      <w:lvlText w:val=""/>
      <w:lvlJc w:val="left"/>
      <w:pPr>
        <w:ind w:left="3993" w:hanging="360"/>
      </w:pPr>
      <w:rPr>
        <w:rFonts w:ascii="Wingdings" w:hAnsi="Wingdings" w:hint="default"/>
      </w:rPr>
    </w:lvl>
    <w:lvl w:ilvl="6" w:tplc="04050001" w:tentative="1">
      <w:start w:val="1"/>
      <w:numFmt w:val="bullet"/>
      <w:lvlText w:val=""/>
      <w:lvlJc w:val="left"/>
      <w:pPr>
        <w:ind w:left="4713" w:hanging="360"/>
      </w:pPr>
      <w:rPr>
        <w:rFonts w:ascii="Symbol" w:hAnsi="Symbol" w:hint="default"/>
      </w:rPr>
    </w:lvl>
    <w:lvl w:ilvl="7" w:tplc="04050003" w:tentative="1">
      <w:start w:val="1"/>
      <w:numFmt w:val="bullet"/>
      <w:lvlText w:val="o"/>
      <w:lvlJc w:val="left"/>
      <w:pPr>
        <w:ind w:left="5433" w:hanging="360"/>
      </w:pPr>
      <w:rPr>
        <w:rFonts w:ascii="Courier New" w:hAnsi="Courier New" w:cs="Courier New" w:hint="default"/>
      </w:rPr>
    </w:lvl>
    <w:lvl w:ilvl="8" w:tplc="04050005" w:tentative="1">
      <w:start w:val="1"/>
      <w:numFmt w:val="bullet"/>
      <w:lvlText w:val=""/>
      <w:lvlJc w:val="left"/>
      <w:pPr>
        <w:ind w:left="6153" w:hanging="360"/>
      </w:pPr>
      <w:rPr>
        <w:rFonts w:ascii="Wingdings" w:hAnsi="Wingdings" w:hint="default"/>
      </w:rPr>
    </w:lvl>
  </w:abstractNum>
  <w:abstractNum w:abstractNumId="72" w15:restartNumberingAfterBreak="0">
    <w:nsid w:val="375A2EF6"/>
    <w:multiLevelType w:val="hybridMultilevel"/>
    <w:tmpl w:val="8CFC1BE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38677B78"/>
    <w:multiLevelType w:val="hybridMultilevel"/>
    <w:tmpl w:val="ED569516"/>
    <w:lvl w:ilvl="0" w:tplc="A2565A58">
      <w:start w:val="1"/>
      <w:numFmt w:val="bullet"/>
      <w:lvlText w:val="-"/>
      <w:lvlJc w:val="left"/>
      <w:pPr>
        <w:ind w:left="720" w:hanging="360"/>
      </w:pPr>
      <w:rPr>
        <w:rFonts w:ascii="Calibri" w:eastAsiaTheme="minorHAnsi" w:hAnsi="Calibri" w:cs="Calibri" w:hint="default"/>
      </w:rPr>
    </w:lvl>
    <w:lvl w:ilvl="1" w:tplc="A2565A58">
      <w:start w:val="1"/>
      <w:numFmt w:val="bullet"/>
      <w:lvlText w:val="-"/>
      <w:lvlJc w:val="left"/>
      <w:pPr>
        <w:ind w:left="1440" w:hanging="360"/>
      </w:pPr>
      <w:rPr>
        <w:rFonts w:ascii="Calibri" w:eastAsiaTheme="minorHAnsi" w:hAnsi="Calibri" w:cs="Calibri"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394E2292"/>
    <w:multiLevelType w:val="hybridMultilevel"/>
    <w:tmpl w:val="E90279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397C16AF"/>
    <w:multiLevelType w:val="hybridMultilevel"/>
    <w:tmpl w:val="6EBCC0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15:restartNumberingAfterBreak="0">
    <w:nsid w:val="3CB82B54"/>
    <w:multiLevelType w:val="hybridMultilevel"/>
    <w:tmpl w:val="EC3AF5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15:restartNumberingAfterBreak="0">
    <w:nsid w:val="3E9B09B9"/>
    <w:multiLevelType w:val="hybridMultilevel"/>
    <w:tmpl w:val="3B6293FC"/>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start w:val="1"/>
      <w:numFmt w:val="bullet"/>
      <w:lvlText w:val=""/>
      <w:lvlJc w:val="left"/>
      <w:pPr>
        <w:ind w:left="1800" w:hanging="360"/>
      </w:pPr>
      <w:rPr>
        <w:rFonts w:ascii="Wingdings" w:hAnsi="Wingdings" w:hint="default"/>
      </w:rPr>
    </w:lvl>
    <w:lvl w:ilvl="3" w:tplc="04050001">
      <w:start w:val="1"/>
      <w:numFmt w:val="bullet"/>
      <w:lvlText w:val=""/>
      <w:lvlJc w:val="left"/>
      <w:pPr>
        <w:ind w:left="2520" w:hanging="360"/>
      </w:pPr>
      <w:rPr>
        <w:rFonts w:ascii="Symbol" w:hAnsi="Symbol" w:hint="default"/>
      </w:rPr>
    </w:lvl>
    <w:lvl w:ilvl="4" w:tplc="04050003">
      <w:start w:val="1"/>
      <w:numFmt w:val="bullet"/>
      <w:lvlText w:val="o"/>
      <w:lvlJc w:val="left"/>
      <w:pPr>
        <w:ind w:left="3240" w:hanging="360"/>
      </w:pPr>
      <w:rPr>
        <w:rFonts w:ascii="Courier New" w:hAnsi="Courier New" w:cs="Courier New" w:hint="default"/>
      </w:rPr>
    </w:lvl>
    <w:lvl w:ilvl="5" w:tplc="04050005">
      <w:start w:val="1"/>
      <w:numFmt w:val="bullet"/>
      <w:lvlText w:val=""/>
      <w:lvlJc w:val="left"/>
      <w:pPr>
        <w:ind w:left="3960" w:hanging="360"/>
      </w:pPr>
      <w:rPr>
        <w:rFonts w:ascii="Wingdings" w:hAnsi="Wingdings" w:hint="default"/>
      </w:rPr>
    </w:lvl>
    <w:lvl w:ilvl="6" w:tplc="04050001">
      <w:start w:val="1"/>
      <w:numFmt w:val="bullet"/>
      <w:lvlText w:val=""/>
      <w:lvlJc w:val="left"/>
      <w:pPr>
        <w:ind w:left="4680" w:hanging="360"/>
      </w:pPr>
      <w:rPr>
        <w:rFonts w:ascii="Symbol" w:hAnsi="Symbol" w:hint="default"/>
      </w:rPr>
    </w:lvl>
    <w:lvl w:ilvl="7" w:tplc="04050003">
      <w:start w:val="1"/>
      <w:numFmt w:val="bullet"/>
      <w:lvlText w:val="o"/>
      <w:lvlJc w:val="left"/>
      <w:pPr>
        <w:ind w:left="5400" w:hanging="360"/>
      </w:pPr>
      <w:rPr>
        <w:rFonts w:ascii="Courier New" w:hAnsi="Courier New" w:cs="Courier New" w:hint="default"/>
      </w:rPr>
    </w:lvl>
    <w:lvl w:ilvl="8" w:tplc="04050005">
      <w:start w:val="1"/>
      <w:numFmt w:val="bullet"/>
      <w:lvlText w:val=""/>
      <w:lvlJc w:val="left"/>
      <w:pPr>
        <w:ind w:left="6120" w:hanging="360"/>
      </w:pPr>
      <w:rPr>
        <w:rFonts w:ascii="Wingdings" w:hAnsi="Wingdings" w:hint="default"/>
      </w:rPr>
    </w:lvl>
  </w:abstractNum>
  <w:abstractNum w:abstractNumId="78" w15:restartNumberingAfterBreak="0">
    <w:nsid w:val="3ED070FC"/>
    <w:multiLevelType w:val="hybridMultilevel"/>
    <w:tmpl w:val="99AA83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402C1D38"/>
    <w:multiLevelType w:val="hybridMultilevel"/>
    <w:tmpl w:val="456A48B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0" w15:restartNumberingAfterBreak="0">
    <w:nsid w:val="40326C7E"/>
    <w:multiLevelType w:val="hybridMultilevel"/>
    <w:tmpl w:val="B3A41AD2"/>
    <w:lvl w:ilvl="0" w:tplc="04050001">
      <w:start w:val="1"/>
      <w:numFmt w:val="bullet"/>
      <w:lvlText w:val=""/>
      <w:lvlJc w:val="left"/>
      <w:pPr>
        <w:ind w:left="775" w:hanging="360"/>
      </w:pPr>
      <w:rPr>
        <w:rFonts w:ascii="Symbol" w:hAnsi="Symbol" w:hint="default"/>
      </w:rPr>
    </w:lvl>
    <w:lvl w:ilvl="1" w:tplc="04050003" w:tentative="1">
      <w:start w:val="1"/>
      <w:numFmt w:val="bullet"/>
      <w:lvlText w:val="o"/>
      <w:lvlJc w:val="left"/>
      <w:pPr>
        <w:ind w:left="1495" w:hanging="360"/>
      </w:pPr>
      <w:rPr>
        <w:rFonts w:ascii="Courier New" w:hAnsi="Courier New" w:cs="Courier New" w:hint="default"/>
      </w:rPr>
    </w:lvl>
    <w:lvl w:ilvl="2" w:tplc="04050005" w:tentative="1">
      <w:start w:val="1"/>
      <w:numFmt w:val="bullet"/>
      <w:lvlText w:val=""/>
      <w:lvlJc w:val="left"/>
      <w:pPr>
        <w:ind w:left="2215" w:hanging="360"/>
      </w:pPr>
      <w:rPr>
        <w:rFonts w:ascii="Wingdings" w:hAnsi="Wingdings" w:hint="default"/>
      </w:rPr>
    </w:lvl>
    <w:lvl w:ilvl="3" w:tplc="04050001" w:tentative="1">
      <w:start w:val="1"/>
      <w:numFmt w:val="bullet"/>
      <w:lvlText w:val=""/>
      <w:lvlJc w:val="left"/>
      <w:pPr>
        <w:ind w:left="2935" w:hanging="360"/>
      </w:pPr>
      <w:rPr>
        <w:rFonts w:ascii="Symbol" w:hAnsi="Symbol" w:hint="default"/>
      </w:rPr>
    </w:lvl>
    <w:lvl w:ilvl="4" w:tplc="04050003" w:tentative="1">
      <w:start w:val="1"/>
      <w:numFmt w:val="bullet"/>
      <w:lvlText w:val="o"/>
      <w:lvlJc w:val="left"/>
      <w:pPr>
        <w:ind w:left="3655" w:hanging="360"/>
      </w:pPr>
      <w:rPr>
        <w:rFonts w:ascii="Courier New" w:hAnsi="Courier New" w:cs="Courier New" w:hint="default"/>
      </w:rPr>
    </w:lvl>
    <w:lvl w:ilvl="5" w:tplc="04050005" w:tentative="1">
      <w:start w:val="1"/>
      <w:numFmt w:val="bullet"/>
      <w:lvlText w:val=""/>
      <w:lvlJc w:val="left"/>
      <w:pPr>
        <w:ind w:left="4375" w:hanging="360"/>
      </w:pPr>
      <w:rPr>
        <w:rFonts w:ascii="Wingdings" w:hAnsi="Wingdings" w:hint="default"/>
      </w:rPr>
    </w:lvl>
    <w:lvl w:ilvl="6" w:tplc="04050001" w:tentative="1">
      <w:start w:val="1"/>
      <w:numFmt w:val="bullet"/>
      <w:lvlText w:val=""/>
      <w:lvlJc w:val="left"/>
      <w:pPr>
        <w:ind w:left="5095" w:hanging="360"/>
      </w:pPr>
      <w:rPr>
        <w:rFonts w:ascii="Symbol" w:hAnsi="Symbol" w:hint="default"/>
      </w:rPr>
    </w:lvl>
    <w:lvl w:ilvl="7" w:tplc="04050003" w:tentative="1">
      <w:start w:val="1"/>
      <w:numFmt w:val="bullet"/>
      <w:lvlText w:val="o"/>
      <w:lvlJc w:val="left"/>
      <w:pPr>
        <w:ind w:left="5815" w:hanging="360"/>
      </w:pPr>
      <w:rPr>
        <w:rFonts w:ascii="Courier New" w:hAnsi="Courier New" w:cs="Courier New" w:hint="default"/>
      </w:rPr>
    </w:lvl>
    <w:lvl w:ilvl="8" w:tplc="04050005" w:tentative="1">
      <w:start w:val="1"/>
      <w:numFmt w:val="bullet"/>
      <w:lvlText w:val=""/>
      <w:lvlJc w:val="left"/>
      <w:pPr>
        <w:ind w:left="6535" w:hanging="360"/>
      </w:pPr>
      <w:rPr>
        <w:rFonts w:ascii="Wingdings" w:hAnsi="Wingdings" w:hint="default"/>
      </w:rPr>
    </w:lvl>
  </w:abstractNum>
  <w:abstractNum w:abstractNumId="81" w15:restartNumberingAfterBreak="0">
    <w:nsid w:val="426C7E7A"/>
    <w:multiLevelType w:val="hybridMultilevel"/>
    <w:tmpl w:val="B1B03F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431F3EFA"/>
    <w:multiLevelType w:val="hybridMultilevel"/>
    <w:tmpl w:val="A0D8060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3" w15:restartNumberingAfterBreak="0">
    <w:nsid w:val="43EB4576"/>
    <w:multiLevelType w:val="hybridMultilevel"/>
    <w:tmpl w:val="0178DA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440B0BDD"/>
    <w:multiLevelType w:val="hybridMultilevel"/>
    <w:tmpl w:val="50647778"/>
    <w:lvl w:ilvl="0" w:tplc="946A1152">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44716895"/>
    <w:multiLevelType w:val="hybridMultilevel"/>
    <w:tmpl w:val="ECEA682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44E55798"/>
    <w:multiLevelType w:val="multilevel"/>
    <w:tmpl w:val="2C949522"/>
    <w:styleLink w:val="seznamliteratury"/>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87" w15:restartNumberingAfterBreak="0">
    <w:nsid w:val="47721C2C"/>
    <w:multiLevelType w:val="hybridMultilevel"/>
    <w:tmpl w:val="A2BCAC46"/>
    <w:lvl w:ilvl="0" w:tplc="6910FF08">
      <w:start w:val="1"/>
      <w:numFmt w:val="bullet"/>
      <w:lvlText w:val="-"/>
      <w:lvlJc w:val="left"/>
      <w:pPr>
        <w:ind w:left="1440" w:hanging="360"/>
      </w:pPr>
      <w:rPr>
        <w:rFonts w:ascii="Calibri" w:eastAsiaTheme="minorHAnsi" w:hAnsi="Calibri" w:cs="Calibri"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8" w15:restartNumberingAfterBreak="0">
    <w:nsid w:val="47B07EAC"/>
    <w:multiLevelType w:val="hybridMultilevel"/>
    <w:tmpl w:val="9E1078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485774FE"/>
    <w:multiLevelType w:val="hybridMultilevel"/>
    <w:tmpl w:val="138AE8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0" w15:restartNumberingAfterBreak="0">
    <w:nsid w:val="4ACD5B40"/>
    <w:multiLevelType w:val="hybridMultilevel"/>
    <w:tmpl w:val="9668C2C8"/>
    <w:lvl w:ilvl="0" w:tplc="3D7872B6">
      <w:start w:val="1"/>
      <w:numFmt w:val="decimal"/>
      <w:lvlText w:val="(%1)"/>
      <w:lvlJc w:val="left"/>
      <w:pPr>
        <w:ind w:left="720" w:hanging="360"/>
      </w:pPr>
      <w:rPr>
        <w:rFont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4CFC2081"/>
    <w:multiLevelType w:val="hybridMultilevel"/>
    <w:tmpl w:val="7C903D74"/>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92" w15:restartNumberingAfterBreak="0">
    <w:nsid w:val="4D4D527D"/>
    <w:multiLevelType w:val="hybridMultilevel"/>
    <w:tmpl w:val="DBF871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4DE918B2"/>
    <w:multiLevelType w:val="hybridMultilevel"/>
    <w:tmpl w:val="1026F25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4E985858"/>
    <w:multiLevelType w:val="hybridMultilevel"/>
    <w:tmpl w:val="EDECF9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4EA41DBF"/>
    <w:multiLevelType w:val="hybridMultilevel"/>
    <w:tmpl w:val="A434F8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15:restartNumberingAfterBreak="0">
    <w:nsid w:val="506D3834"/>
    <w:multiLevelType w:val="multilevel"/>
    <w:tmpl w:val="A826471A"/>
    <w:lvl w:ilvl="0">
      <w:start w:val="1"/>
      <w:numFmt w:val="decimal"/>
      <w:pStyle w:val="StylNadpis1Ped6b"/>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52177EDA"/>
    <w:multiLevelType w:val="hybridMultilevel"/>
    <w:tmpl w:val="740C8C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8" w15:restartNumberingAfterBreak="0">
    <w:nsid w:val="53F63B46"/>
    <w:multiLevelType w:val="hybridMultilevel"/>
    <w:tmpl w:val="4C9C90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54AE65A1"/>
    <w:multiLevelType w:val="hybridMultilevel"/>
    <w:tmpl w:val="2022FB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55D0455A"/>
    <w:multiLevelType w:val="hybridMultilevel"/>
    <w:tmpl w:val="BC185B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1" w15:restartNumberingAfterBreak="0">
    <w:nsid w:val="57CE432F"/>
    <w:multiLevelType w:val="hybridMultilevel"/>
    <w:tmpl w:val="44468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58835CD3"/>
    <w:multiLevelType w:val="hybridMultilevel"/>
    <w:tmpl w:val="9992E8CA"/>
    <w:lvl w:ilvl="0" w:tplc="C6E4B65E">
      <w:start w:val="1"/>
      <w:numFmt w:val="bullet"/>
      <w:lvlText w:val=""/>
      <w:lvlJc w:val="left"/>
      <w:pPr>
        <w:ind w:left="502"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15:restartNumberingAfterBreak="0">
    <w:nsid w:val="5ADA1415"/>
    <w:multiLevelType w:val="hybridMultilevel"/>
    <w:tmpl w:val="3842A1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4" w15:restartNumberingAfterBreak="0">
    <w:nsid w:val="5AF82708"/>
    <w:multiLevelType w:val="hybridMultilevel"/>
    <w:tmpl w:val="0F10170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5" w15:restartNumberingAfterBreak="0">
    <w:nsid w:val="5B5045A4"/>
    <w:multiLevelType w:val="hybridMultilevel"/>
    <w:tmpl w:val="C728C9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15:restartNumberingAfterBreak="0">
    <w:nsid w:val="5B7613EF"/>
    <w:multiLevelType w:val="hybridMultilevel"/>
    <w:tmpl w:val="C03C31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15:restartNumberingAfterBreak="0">
    <w:nsid w:val="5D1C415E"/>
    <w:multiLevelType w:val="hybridMultilevel"/>
    <w:tmpl w:val="D11226EE"/>
    <w:lvl w:ilvl="0" w:tplc="04050001">
      <w:start w:val="1"/>
      <w:numFmt w:val="bullet"/>
      <w:lvlText w:val=""/>
      <w:lvlJc w:val="left"/>
      <w:pPr>
        <w:ind w:left="774" w:hanging="360"/>
      </w:pPr>
      <w:rPr>
        <w:rFonts w:ascii="Symbol" w:hAnsi="Symbol" w:hint="default"/>
      </w:rPr>
    </w:lvl>
    <w:lvl w:ilvl="1" w:tplc="04050003" w:tentative="1">
      <w:start w:val="1"/>
      <w:numFmt w:val="bullet"/>
      <w:lvlText w:val="o"/>
      <w:lvlJc w:val="left"/>
      <w:pPr>
        <w:ind w:left="1494" w:hanging="360"/>
      </w:pPr>
      <w:rPr>
        <w:rFonts w:ascii="Courier New" w:hAnsi="Courier New" w:cs="Courier New" w:hint="default"/>
      </w:rPr>
    </w:lvl>
    <w:lvl w:ilvl="2" w:tplc="04050005" w:tentative="1">
      <w:start w:val="1"/>
      <w:numFmt w:val="bullet"/>
      <w:lvlText w:val=""/>
      <w:lvlJc w:val="left"/>
      <w:pPr>
        <w:ind w:left="2214" w:hanging="360"/>
      </w:pPr>
      <w:rPr>
        <w:rFonts w:ascii="Wingdings" w:hAnsi="Wingdings" w:hint="default"/>
      </w:rPr>
    </w:lvl>
    <w:lvl w:ilvl="3" w:tplc="04050001" w:tentative="1">
      <w:start w:val="1"/>
      <w:numFmt w:val="bullet"/>
      <w:lvlText w:val=""/>
      <w:lvlJc w:val="left"/>
      <w:pPr>
        <w:ind w:left="2934" w:hanging="360"/>
      </w:pPr>
      <w:rPr>
        <w:rFonts w:ascii="Symbol" w:hAnsi="Symbol" w:hint="default"/>
      </w:rPr>
    </w:lvl>
    <w:lvl w:ilvl="4" w:tplc="04050003" w:tentative="1">
      <w:start w:val="1"/>
      <w:numFmt w:val="bullet"/>
      <w:lvlText w:val="o"/>
      <w:lvlJc w:val="left"/>
      <w:pPr>
        <w:ind w:left="3654" w:hanging="360"/>
      </w:pPr>
      <w:rPr>
        <w:rFonts w:ascii="Courier New" w:hAnsi="Courier New" w:cs="Courier New" w:hint="default"/>
      </w:rPr>
    </w:lvl>
    <w:lvl w:ilvl="5" w:tplc="04050005" w:tentative="1">
      <w:start w:val="1"/>
      <w:numFmt w:val="bullet"/>
      <w:lvlText w:val=""/>
      <w:lvlJc w:val="left"/>
      <w:pPr>
        <w:ind w:left="4374" w:hanging="360"/>
      </w:pPr>
      <w:rPr>
        <w:rFonts w:ascii="Wingdings" w:hAnsi="Wingdings" w:hint="default"/>
      </w:rPr>
    </w:lvl>
    <w:lvl w:ilvl="6" w:tplc="04050001" w:tentative="1">
      <w:start w:val="1"/>
      <w:numFmt w:val="bullet"/>
      <w:lvlText w:val=""/>
      <w:lvlJc w:val="left"/>
      <w:pPr>
        <w:ind w:left="5094" w:hanging="360"/>
      </w:pPr>
      <w:rPr>
        <w:rFonts w:ascii="Symbol" w:hAnsi="Symbol" w:hint="default"/>
      </w:rPr>
    </w:lvl>
    <w:lvl w:ilvl="7" w:tplc="04050003" w:tentative="1">
      <w:start w:val="1"/>
      <w:numFmt w:val="bullet"/>
      <w:lvlText w:val="o"/>
      <w:lvlJc w:val="left"/>
      <w:pPr>
        <w:ind w:left="5814" w:hanging="360"/>
      </w:pPr>
      <w:rPr>
        <w:rFonts w:ascii="Courier New" w:hAnsi="Courier New" w:cs="Courier New" w:hint="default"/>
      </w:rPr>
    </w:lvl>
    <w:lvl w:ilvl="8" w:tplc="04050005" w:tentative="1">
      <w:start w:val="1"/>
      <w:numFmt w:val="bullet"/>
      <w:lvlText w:val=""/>
      <w:lvlJc w:val="left"/>
      <w:pPr>
        <w:ind w:left="6534" w:hanging="360"/>
      </w:pPr>
      <w:rPr>
        <w:rFonts w:ascii="Wingdings" w:hAnsi="Wingdings" w:hint="default"/>
      </w:rPr>
    </w:lvl>
  </w:abstractNum>
  <w:abstractNum w:abstractNumId="108" w15:restartNumberingAfterBreak="0">
    <w:nsid w:val="5E693F6D"/>
    <w:multiLevelType w:val="hybridMultilevel"/>
    <w:tmpl w:val="0F86F6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9" w15:restartNumberingAfterBreak="0">
    <w:nsid w:val="607231D2"/>
    <w:multiLevelType w:val="hybridMultilevel"/>
    <w:tmpl w:val="090A1E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0" w15:restartNumberingAfterBreak="0">
    <w:nsid w:val="62E117ED"/>
    <w:multiLevelType w:val="hybridMultilevel"/>
    <w:tmpl w:val="4F2220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1" w15:restartNumberingAfterBreak="0">
    <w:nsid w:val="64345A8F"/>
    <w:multiLevelType w:val="multilevel"/>
    <w:tmpl w:val="B33A3EB0"/>
    <w:styleLink w:val="WW8Num3"/>
    <w:lvl w:ilvl="0">
      <w:numFmt w:val="bullet"/>
      <w:lvlText w:val=""/>
      <w:lvlJc w:val="left"/>
      <w:pPr>
        <w:ind w:left="720" w:hanging="360"/>
      </w:pPr>
      <w:rPr>
        <w:rFonts w:ascii="Symbol" w:hAnsi="Symbol" w:cs="Arial"/>
      </w:rPr>
    </w:lvl>
    <w:lvl w:ilvl="1">
      <w:numFmt w:val="bullet"/>
      <w:lvlText w:val=""/>
      <w:lvlJc w:val="left"/>
      <w:pPr>
        <w:ind w:left="1080" w:hanging="360"/>
      </w:pPr>
      <w:rPr>
        <w:rFonts w:ascii="Symbol" w:hAnsi="Symbol" w:cs="Arial"/>
      </w:rPr>
    </w:lvl>
    <w:lvl w:ilvl="2">
      <w:numFmt w:val="bullet"/>
      <w:lvlText w:val=""/>
      <w:lvlJc w:val="left"/>
      <w:pPr>
        <w:ind w:left="1440" w:hanging="360"/>
      </w:pPr>
      <w:rPr>
        <w:rFonts w:ascii="Symbol" w:hAnsi="Symbol" w:cs="Arial"/>
      </w:rPr>
    </w:lvl>
    <w:lvl w:ilvl="3">
      <w:numFmt w:val="bullet"/>
      <w:lvlText w:val=""/>
      <w:lvlJc w:val="left"/>
      <w:pPr>
        <w:ind w:left="1800" w:hanging="360"/>
      </w:pPr>
      <w:rPr>
        <w:rFonts w:ascii="Symbol" w:hAnsi="Symbol" w:cs="Arial"/>
      </w:rPr>
    </w:lvl>
    <w:lvl w:ilvl="4">
      <w:numFmt w:val="bullet"/>
      <w:lvlText w:val=""/>
      <w:lvlJc w:val="left"/>
      <w:pPr>
        <w:ind w:left="2160" w:hanging="360"/>
      </w:pPr>
      <w:rPr>
        <w:rFonts w:ascii="Symbol" w:hAnsi="Symbol" w:cs="Arial"/>
      </w:rPr>
    </w:lvl>
    <w:lvl w:ilvl="5">
      <w:numFmt w:val="bullet"/>
      <w:lvlText w:val=""/>
      <w:lvlJc w:val="left"/>
      <w:pPr>
        <w:ind w:left="2520" w:hanging="360"/>
      </w:pPr>
      <w:rPr>
        <w:rFonts w:ascii="Symbol" w:hAnsi="Symbol" w:cs="Arial"/>
      </w:rPr>
    </w:lvl>
    <w:lvl w:ilvl="6">
      <w:numFmt w:val="bullet"/>
      <w:lvlText w:val=""/>
      <w:lvlJc w:val="left"/>
      <w:pPr>
        <w:ind w:left="2880" w:hanging="360"/>
      </w:pPr>
      <w:rPr>
        <w:rFonts w:ascii="Symbol" w:hAnsi="Symbol" w:cs="Arial"/>
      </w:rPr>
    </w:lvl>
    <w:lvl w:ilvl="7">
      <w:numFmt w:val="bullet"/>
      <w:lvlText w:val=""/>
      <w:lvlJc w:val="left"/>
      <w:pPr>
        <w:ind w:left="3240" w:hanging="360"/>
      </w:pPr>
      <w:rPr>
        <w:rFonts w:ascii="Symbol" w:hAnsi="Symbol" w:cs="Arial"/>
      </w:rPr>
    </w:lvl>
    <w:lvl w:ilvl="8">
      <w:numFmt w:val="bullet"/>
      <w:lvlText w:val=""/>
      <w:lvlJc w:val="left"/>
      <w:pPr>
        <w:ind w:left="3600" w:hanging="360"/>
      </w:pPr>
      <w:rPr>
        <w:rFonts w:ascii="Symbol" w:hAnsi="Symbol" w:cs="Arial"/>
      </w:rPr>
    </w:lvl>
  </w:abstractNum>
  <w:abstractNum w:abstractNumId="112" w15:restartNumberingAfterBreak="0">
    <w:nsid w:val="65052E73"/>
    <w:multiLevelType w:val="hybridMultilevel"/>
    <w:tmpl w:val="530679CE"/>
    <w:lvl w:ilvl="0" w:tplc="3E98D28C">
      <w:start w:val="1"/>
      <w:numFmt w:val="bullet"/>
      <w:lvlText w:val=""/>
      <w:lvlJc w:val="left"/>
      <w:pPr>
        <w:tabs>
          <w:tab w:val="num" w:pos="170"/>
        </w:tabs>
        <w:ind w:left="170" w:hanging="17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5275CCD"/>
    <w:multiLevelType w:val="hybridMultilevel"/>
    <w:tmpl w:val="EFECB5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4" w15:restartNumberingAfterBreak="0">
    <w:nsid w:val="6A2A1345"/>
    <w:multiLevelType w:val="hybridMultilevel"/>
    <w:tmpl w:val="DB527D8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5" w15:restartNumberingAfterBreak="0">
    <w:nsid w:val="6AAF1A1F"/>
    <w:multiLevelType w:val="multilevel"/>
    <w:tmpl w:val="0042572E"/>
    <w:lvl w:ilvl="0">
      <w:start w:val="1"/>
      <w:numFmt w:val="decimal"/>
      <w:pStyle w:val="Textodstavce"/>
      <w:isLgl/>
      <w:lvlText w:val="(%1)"/>
      <w:lvlJc w:val="left"/>
      <w:pPr>
        <w:tabs>
          <w:tab w:val="num" w:pos="1077"/>
        </w:tabs>
        <w:ind w:left="295" w:firstLine="425"/>
      </w:pPr>
      <w:rPr>
        <w:rFonts w:cs="Times New Roman"/>
        <w:color w:val="auto"/>
        <w:sz w:val="24"/>
        <w:szCs w:val="24"/>
        <w:vertAlign w:val="baseline"/>
      </w:rPr>
    </w:lvl>
    <w:lvl w:ilvl="1">
      <w:start w:val="1"/>
      <w:numFmt w:val="lowerLetter"/>
      <w:pStyle w:val="Textpsmene"/>
      <w:lvlText w:val="%2)"/>
      <w:lvlJc w:val="left"/>
      <w:pPr>
        <w:tabs>
          <w:tab w:val="num" w:pos="425"/>
        </w:tabs>
        <w:ind w:left="425" w:hanging="425"/>
      </w:pPr>
      <w:rPr>
        <w:rFonts w:ascii="Times New Roman" w:eastAsia="Times New Roman" w:hAnsi="Times New Roman" w:cs="Times New Roman"/>
      </w:rPr>
    </w:lvl>
    <w:lvl w:ilvl="2">
      <w:start w:val="1"/>
      <w:numFmt w:val="decimal"/>
      <w:pStyle w:val="Textbodu"/>
      <w:isLgl/>
      <w:lvlText w:val="%3."/>
      <w:lvlJc w:val="left"/>
      <w:pPr>
        <w:tabs>
          <w:tab w:val="num" w:pos="850"/>
        </w:tabs>
        <w:ind w:left="850" w:hanging="425"/>
      </w:pPr>
      <w:rPr>
        <w:rFonts w:cs="Times New Roman"/>
      </w:rPr>
    </w:lvl>
    <w:lvl w:ilvl="3">
      <w:start w:val="1"/>
      <w:numFmt w:val="decimal"/>
      <w:lvlText w:val="(%4)"/>
      <w:lvlJc w:val="left"/>
      <w:pPr>
        <w:tabs>
          <w:tab w:val="num" w:pos="1440"/>
        </w:tabs>
        <w:ind w:left="1440" w:hanging="360"/>
      </w:pPr>
      <w:rPr>
        <w:rFonts w:ascii="Times New Roman" w:eastAsia="Times New Roman" w:hAnsi="Times New Roman"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52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600"/>
        </w:tabs>
        <w:ind w:left="3240" w:hanging="360"/>
      </w:pPr>
      <w:rPr>
        <w:rFonts w:cs="Times New Roman"/>
      </w:rPr>
    </w:lvl>
  </w:abstractNum>
  <w:abstractNum w:abstractNumId="116" w15:restartNumberingAfterBreak="0">
    <w:nsid w:val="6AFB65B6"/>
    <w:multiLevelType w:val="hybridMultilevel"/>
    <w:tmpl w:val="6D1079E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7" w15:restartNumberingAfterBreak="0">
    <w:nsid w:val="6B476309"/>
    <w:multiLevelType w:val="hybridMultilevel"/>
    <w:tmpl w:val="1236E8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8" w15:restartNumberingAfterBreak="0">
    <w:nsid w:val="6B5D16EC"/>
    <w:multiLevelType w:val="hybridMultilevel"/>
    <w:tmpl w:val="C7A8FEB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9" w15:restartNumberingAfterBreak="0">
    <w:nsid w:val="6B6E3584"/>
    <w:multiLevelType w:val="hybridMultilevel"/>
    <w:tmpl w:val="FAF0950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20" w15:restartNumberingAfterBreak="0">
    <w:nsid w:val="6C3F6AE2"/>
    <w:multiLevelType w:val="hybridMultilevel"/>
    <w:tmpl w:val="3D5A162A"/>
    <w:lvl w:ilvl="0" w:tplc="86EEDDB0">
      <w:start w:val="1"/>
      <w:numFmt w:val="decimal"/>
      <w:lvlText w:val="%1."/>
      <w:lvlJc w:val="left"/>
      <w:pPr>
        <w:tabs>
          <w:tab w:val="num" w:pos="720"/>
        </w:tabs>
        <w:ind w:left="720" w:hanging="360"/>
      </w:pPr>
    </w:lvl>
    <w:lvl w:ilvl="1" w:tplc="4FB06B6C" w:tentative="1">
      <w:start w:val="1"/>
      <w:numFmt w:val="decimal"/>
      <w:lvlText w:val="%2."/>
      <w:lvlJc w:val="left"/>
      <w:pPr>
        <w:tabs>
          <w:tab w:val="num" w:pos="1440"/>
        </w:tabs>
        <w:ind w:left="1440" w:hanging="360"/>
      </w:pPr>
    </w:lvl>
    <w:lvl w:ilvl="2" w:tplc="7170319A" w:tentative="1">
      <w:start w:val="1"/>
      <w:numFmt w:val="decimal"/>
      <w:lvlText w:val="%3."/>
      <w:lvlJc w:val="left"/>
      <w:pPr>
        <w:tabs>
          <w:tab w:val="num" w:pos="2160"/>
        </w:tabs>
        <w:ind w:left="2160" w:hanging="360"/>
      </w:pPr>
    </w:lvl>
    <w:lvl w:ilvl="3" w:tplc="27A401E4" w:tentative="1">
      <w:start w:val="1"/>
      <w:numFmt w:val="decimal"/>
      <w:lvlText w:val="%4."/>
      <w:lvlJc w:val="left"/>
      <w:pPr>
        <w:tabs>
          <w:tab w:val="num" w:pos="2880"/>
        </w:tabs>
        <w:ind w:left="2880" w:hanging="360"/>
      </w:pPr>
    </w:lvl>
    <w:lvl w:ilvl="4" w:tplc="F1D4EADC" w:tentative="1">
      <w:start w:val="1"/>
      <w:numFmt w:val="decimal"/>
      <w:lvlText w:val="%5."/>
      <w:lvlJc w:val="left"/>
      <w:pPr>
        <w:tabs>
          <w:tab w:val="num" w:pos="3600"/>
        </w:tabs>
        <w:ind w:left="3600" w:hanging="360"/>
      </w:pPr>
    </w:lvl>
    <w:lvl w:ilvl="5" w:tplc="B4B63230" w:tentative="1">
      <w:start w:val="1"/>
      <w:numFmt w:val="decimal"/>
      <w:lvlText w:val="%6."/>
      <w:lvlJc w:val="left"/>
      <w:pPr>
        <w:tabs>
          <w:tab w:val="num" w:pos="4320"/>
        </w:tabs>
        <w:ind w:left="4320" w:hanging="360"/>
      </w:pPr>
    </w:lvl>
    <w:lvl w:ilvl="6" w:tplc="DB8AFDB8" w:tentative="1">
      <w:start w:val="1"/>
      <w:numFmt w:val="decimal"/>
      <w:lvlText w:val="%7."/>
      <w:lvlJc w:val="left"/>
      <w:pPr>
        <w:tabs>
          <w:tab w:val="num" w:pos="5040"/>
        </w:tabs>
        <w:ind w:left="5040" w:hanging="360"/>
      </w:pPr>
    </w:lvl>
    <w:lvl w:ilvl="7" w:tplc="24A080DC" w:tentative="1">
      <w:start w:val="1"/>
      <w:numFmt w:val="decimal"/>
      <w:lvlText w:val="%8."/>
      <w:lvlJc w:val="left"/>
      <w:pPr>
        <w:tabs>
          <w:tab w:val="num" w:pos="5760"/>
        </w:tabs>
        <w:ind w:left="5760" w:hanging="360"/>
      </w:pPr>
    </w:lvl>
    <w:lvl w:ilvl="8" w:tplc="DD1C3F7E" w:tentative="1">
      <w:start w:val="1"/>
      <w:numFmt w:val="decimal"/>
      <w:lvlText w:val="%9."/>
      <w:lvlJc w:val="left"/>
      <w:pPr>
        <w:tabs>
          <w:tab w:val="num" w:pos="6480"/>
        </w:tabs>
        <w:ind w:left="6480" w:hanging="360"/>
      </w:pPr>
    </w:lvl>
  </w:abstractNum>
  <w:abstractNum w:abstractNumId="121" w15:restartNumberingAfterBreak="0">
    <w:nsid w:val="6CA12DD5"/>
    <w:multiLevelType w:val="hybridMultilevel"/>
    <w:tmpl w:val="9236A8F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2" w15:restartNumberingAfterBreak="0">
    <w:nsid w:val="6D3966CF"/>
    <w:multiLevelType w:val="hybridMultilevel"/>
    <w:tmpl w:val="439077E0"/>
    <w:lvl w:ilvl="0" w:tplc="5942AE04">
      <w:start w:val="1"/>
      <w:numFmt w:val="bullet"/>
      <w:pStyle w:val="odrazky"/>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23" w15:restartNumberingAfterBreak="0">
    <w:nsid w:val="6D4C51F1"/>
    <w:multiLevelType w:val="hybridMultilevel"/>
    <w:tmpl w:val="B55C16D4"/>
    <w:lvl w:ilvl="0" w:tplc="04050001">
      <w:start w:val="1"/>
      <w:numFmt w:val="bullet"/>
      <w:lvlText w:val=""/>
      <w:lvlJc w:val="left"/>
      <w:pPr>
        <w:ind w:left="360" w:hanging="360"/>
      </w:pPr>
      <w:rPr>
        <w:rFonts w:ascii="Symbol" w:hAnsi="Symbol" w:hint="default"/>
        <w:b/>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24" w15:restartNumberingAfterBreak="0">
    <w:nsid w:val="6F19583B"/>
    <w:multiLevelType w:val="singleLevel"/>
    <w:tmpl w:val="FC060CD6"/>
    <w:lvl w:ilvl="0">
      <w:start w:val="1"/>
      <w:numFmt w:val="bullet"/>
      <w:pStyle w:val="odrky"/>
      <w:lvlText w:val=""/>
      <w:lvlJc w:val="left"/>
      <w:pPr>
        <w:tabs>
          <w:tab w:val="num" w:pos="644"/>
        </w:tabs>
        <w:ind w:left="624" w:hanging="340"/>
      </w:pPr>
      <w:rPr>
        <w:rFonts w:ascii="Symbol" w:hAnsi="Symbol" w:hint="default"/>
      </w:rPr>
    </w:lvl>
  </w:abstractNum>
  <w:abstractNum w:abstractNumId="125" w15:restartNumberingAfterBreak="0">
    <w:nsid w:val="71BA3752"/>
    <w:multiLevelType w:val="hybridMultilevel"/>
    <w:tmpl w:val="0ECAAAC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26" w15:restartNumberingAfterBreak="0">
    <w:nsid w:val="71CC6444"/>
    <w:multiLevelType w:val="multilevel"/>
    <w:tmpl w:val="3FC83D18"/>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538" w:hanging="576"/>
      </w:pPr>
    </w:lvl>
    <w:lvl w:ilvl="2">
      <w:start w:val="1"/>
      <w:numFmt w:val="decimal"/>
      <w:pStyle w:val="Nadpis3"/>
      <w:lvlText w:val="%1.%2.%3"/>
      <w:lvlJc w:val="left"/>
      <w:pPr>
        <w:ind w:left="1288" w:hanging="720"/>
      </w:pPr>
      <w:rPr>
        <w:color w:val="5B9BD5" w:themeColor="accent1"/>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27" w15:restartNumberingAfterBreak="0">
    <w:nsid w:val="71CC6C56"/>
    <w:multiLevelType w:val="hybridMultilevel"/>
    <w:tmpl w:val="BFFE003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8" w15:restartNumberingAfterBreak="0">
    <w:nsid w:val="72D47014"/>
    <w:multiLevelType w:val="hybridMultilevel"/>
    <w:tmpl w:val="129643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9" w15:restartNumberingAfterBreak="0">
    <w:nsid w:val="73C92EBE"/>
    <w:multiLevelType w:val="hybridMultilevel"/>
    <w:tmpl w:val="FD3A593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0" w15:restartNumberingAfterBreak="0">
    <w:nsid w:val="76236FA4"/>
    <w:multiLevelType w:val="hybridMultilevel"/>
    <w:tmpl w:val="59D49F06"/>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1" w15:restartNumberingAfterBreak="0">
    <w:nsid w:val="779E2F7E"/>
    <w:multiLevelType w:val="multilevel"/>
    <w:tmpl w:val="4EE8A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8BE5BDA"/>
    <w:multiLevelType w:val="hybridMultilevel"/>
    <w:tmpl w:val="185267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3" w15:restartNumberingAfterBreak="0">
    <w:nsid w:val="78FA4FA6"/>
    <w:multiLevelType w:val="hybridMultilevel"/>
    <w:tmpl w:val="9236A8F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4" w15:restartNumberingAfterBreak="0">
    <w:nsid w:val="7CF33889"/>
    <w:multiLevelType w:val="hybridMultilevel"/>
    <w:tmpl w:val="52B8C8F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5" w15:restartNumberingAfterBreak="0">
    <w:nsid w:val="7D711EAD"/>
    <w:multiLevelType w:val="hybridMultilevel"/>
    <w:tmpl w:val="3586CE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6" w15:restartNumberingAfterBreak="0">
    <w:nsid w:val="7D840AAC"/>
    <w:multiLevelType w:val="hybridMultilevel"/>
    <w:tmpl w:val="2C341862"/>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7" w15:restartNumberingAfterBreak="0">
    <w:nsid w:val="7DB6027B"/>
    <w:multiLevelType w:val="hybridMultilevel"/>
    <w:tmpl w:val="B3F8D3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8" w15:restartNumberingAfterBreak="0">
    <w:nsid w:val="7DD2237F"/>
    <w:multiLevelType w:val="hybridMultilevel"/>
    <w:tmpl w:val="E0C207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9" w15:restartNumberingAfterBreak="0">
    <w:nsid w:val="7DD64897"/>
    <w:multiLevelType w:val="hybridMultilevel"/>
    <w:tmpl w:val="7C9CFAAA"/>
    <w:lvl w:ilvl="0" w:tplc="D09A31D2">
      <w:start w:val="1"/>
      <w:numFmt w:val="decimal"/>
      <w:lvlText w:val="%1."/>
      <w:lvlJc w:val="left"/>
      <w:pPr>
        <w:ind w:left="36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0" w15:restartNumberingAfterBreak="0">
    <w:nsid w:val="7F023A07"/>
    <w:multiLevelType w:val="hybridMultilevel"/>
    <w:tmpl w:val="FE861326"/>
    <w:lvl w:ilvl="0" w:tplc="E466CE1E">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41" w15:restartNumberingAfterBreak="0">
    <w:nsid w:val="7FF40EAF"/>
    <w:multiLevelType w:val="hybridMultilevel"/>
    <w:tmpl w:val="6E68E408"/>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96"/>
  </w:num>
  <w:num w:numId="2">
    <w:abstractNumId w:val="39"/>
  </w:num>
  <w:num w:numId="3">
    <w:abstractNumId w:val="62"/>
  </w:num>
  <w:num w:numId="4">
    <w:abstractNumId w:val="126"/>
  </w:num>
  <w:num w:numId="5">
    <w:abstractNumId w:val="24"/>
  </w:num>
  <w:num w:numId="6">
    <w:abstractNumId w:val="84"/>
  </w:num>
  <w:num w:numId="7">
    <w:abstractNumId w:val="131"/>
    <w:lvlOverride w:ilvl="0">
      <w:lvl w:ilvl="0">
        <w:numFmt w:val="bullet"/>
        <w:lvlText w:val=""/>
        <w:lvlJc w:val="left"/>
        <w:pPr>
          <w:tabs>
            <w:tab w:val="num" w:pos="720"/>
          </w:tabs>
          <w:ind w:left="720" w:hanging="360"/>
        </w:pPr>
        <w:rPr>
          <w:rFonts w:ascii="Wingdings" w:hAnsi="Wingdings" w:hint="default"/>
          <w:sz w:val="20"/>
        </w:rPr>
      </w:lvl>
    </w:lvlOverride>
  </w:num>
  <w:num w:numId="8">
    <w:abstractNumId w:val="29"/>
  </w:num>
  <w:num w:numId="9">
    <w:abstractNumId w:val="45"/>
  </w:num>
  <w:num w:numId="10">
    <w:abstractNumId w:val="2"/>
  </w:num>
  <w:num w:numId="11">
    <w:abstractNumId w:val="42"/>
  </w:num>
  <w:num w:numId="12">
    <w:abstractNumId w:val="136"/>
  </w:num>
  <w:num w:numId="13">
    <w:abstractNumId w:val="1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2"/>
  </w:num>
  <w:num w:numId="15">
    <w:abstractNumId w:val="81"/>
  </w:num>
  <w:num w:numId="16">
    <w:abstractNumId w:val="51"/>
  </w:num>
  <w:num w:numId="17">
    <w:abstractNumId w:val="75"/>
  </w:num>
  <w:num w:numId="18">
    <w:abstractNumId w:val="118"/>
  </w:num>
  <w:num w:numId="19">
    <w:abstractNumId w:val="30"/>
  </w:num>
  <w:num w:numId="20">
    <w:abstractNumId w:val="82"/>
  </w:num>
  <w:num w:numId="21">
    <w:abstractNumId w:val="56"/>
  </w:num>
  <w:num w:numId="22">
    <w:abstractNumId w:val="104"/>
  </w:num>
  <w:num w:numId="23">
    <w:abstractNumId w:val="119"/>
  </w:num>
  <w:num w:numId="24">
    <w:abstractNumId w:val="48"/>
  </w:num>
  <w:num w:numId="25">
    <w:abstractNumId w:val="105"/>
  </w:num>
  <w:num w:numId="26">
    <w:abstractNumId w:val="14"/>
  </w:num>
  <w:num w:numId="27">
    <w:abstractNumId w:val="22"/>
  </w:num>
  <w:num w:numId="28">
    <w:abstractNumId w:val="55"/>
  </w:num>
  <w:num w:numId="29">
    <w:abstractNumId w:val="117"/>
  </w:num>
  <w:num w:numId="30">
    <w:abstractNumId w:val="83"/>
  </w:num>
  <w:num w:numId="31">
    <w:abstractNumId w:val="3"/>
  </w:num>
  <w:num w:numId="32">
    <w:abstractNumId w:val="132"/>
  </w:num>
  <w:num w:numId="33">
    <w:abstractNumId w:val="112"/>
  </w:num>
  <w:num w:numId="34">
    <w:abstractNumId w:val="65"/>
  </w:num>
  <w:num w:numId="35">
    <w:abstractNumId w:val="74"/>
  </w:num>
  <w:num w:numId="36">
    <w:abstractNumId w:val="80"/>
  </w:num>
  <w:num w:numId="37">
    <w:abstractNumId w:val="5"/>
  </w:num>
  <w:num w:numId="38">
    <w:abstractNumId w:val="138"/>
  </w:num>
  <w:num w:numId="39">
    <w:abstractNumId w:val="114"/>
  </w:num>
  <w:num w:numId="40">
    <w:abstractNumId w:val="58"/>
  </w:num>
  <w:num w:numId="41">
    <w:abstractNumId w:val="78"/>
  </w:num>
  <w:num w:numId="42">
    <w:abstractNumId w:val="98"/>
  </w:num>
  <w:num w:numId="43">
    <w:abstractNumId w:val="107"/>
  </w:num>
  <w:num w:numId="44">
    <w:abstractNumId w:val="26"/>
  </w:num>
  <w:num w:numId="45">
    <w:abstractNumId w:val="128"/>
  </w:num>
  <w:num w:numId="46">
    <w:abstractNumId w:val="53"/>
  </w:num>
  <w:num w:numId="47">
    <w:abstractNumId w:val="113"/>
  </w:num>
  <w:num w:numId="48">
    <w:abstractNumId w:val="76"/>
  </w:num>
  <w:num w:numId="49">
    <w:abstractNumId w:val="130"/>
  </w:num>
  <w:num w:numId="50">
    <w:abstractNumId w:val="38"/>
  </w:num>
  <w:num w:numId="51">
    <w:abstractNumId w:val="95"/>
  </w:num>
  <w:num w:numId="52">
    <w:abstractNumId w:val="46"/>
  </w:num>
  <w:num w:numId="53">
    <w:abstractNumId w:val="88"/>
  </w:num>
  <w:num w:numId="54">
    <w:abstractNumId w:val="20"/>
  </w:num>
  <w:num w:numId="55">
    <w:abstractNumId w:val="21"/>
  </w:num>
  <w:num w:numId="56">
    <w:abstractNumId w:val="100"/>
  </w:num>
  <w:num w:numId="57">
    <w:abstractNumId w:val="106"/>
  </w:num>
  <w:num w:numId="58">
    <w:abstractNumId w:val="90"/>
  </w:num>
  <w:num w:numId="59">
    <w:abstractNumId w:val="67"/>
  </w:num>
  <w:num w:numId="60">
    <w:abstractNumId w:val="91"/>
  </w:num>
  <w:num w:numId="61">
    <w:abstractNumId w:val="125"/>
  </w:num>
  <w:num w:numId="62">
    <w:abstractNumId w:val="99"/>
  </w:num>
  <w:num w:numId="63">
    <w:abstractNumId w:val="19"/>
  </w:num>
  <w:num w:numId="64">
    <w:abstractNumId w:val="0"/>
  </w:num>
  <w:num w:numId="65">
    <w:abstractNumId w:val="124"/>
  </w:num>
  <w:num w:numId="66">
    <w:abstractNumId w:val="1"/>
  </w:num>
  <w:num w:numId="67">
    <w:abstractNumId w:val="86"/>
  </w:num>
  <w:num w:numId="68">
    <w:abstractNumId w:val="115"/>
  </w:num>
  <w:num w:numId="69">
    <w:abstractNumId w:val="122"/>
  </w:num>
  <w:num w:numId="70">
    <w:abstractNumId w:val="54"/>
  </w:num>
  <w:num w:numId="71">
    <w:abstractNumId w:val="111"/>
  </w:num>
  <w:num w:numId="72">
    <w:abstractNumId w:val="16"/>
  </w:num>
  <w:num w:numId="73">
    <w:abstractNumId w:val="93"/>
  </w:num>
  <w:num w:numId="74">
    <w:abstractNumId w:val="137"/>
  </w:num>
  <w:num w:numId="75">
    <w:abstractNumId w:val="77"/>
  </w:num>
  <w:num w:numId="76">
    <w:abstractNumId w:val="7"/>
  </w:num>
  <w:num w:numId="77">
    <w:abstractNumId w:val="35"/>
  </w:num>
  <w:num w:numId="78">
    <w:abstractNumId w:val="33"/>
  </w:num>
  <w:num w:numId="79">
    <w:abstractNumId w:val="31"/>
  </w:num>
  <w:num w:numId="80">
    <w:abstractNumId w:val="49"/>
  </w:num>
  <w:num w:numId="81">
    <w:abstractNumId w:val="70"/>
  </w:num>
  <w:num w:numId="82">
    <w:abstractNumId w:val="109"/>
  </w:num>
  <w:num w:numId="83">
    <w:abstractNumId w:val="103"/>
  </w:num>
  <w:num w:numId="84">
    <w:abstractNumId w:val="43"/>
  </w:num>
  <w:num w:numId="85">
    <w:abstractNumId w:val="97"/>
  </w:num>
  <w:num w:numId="86">
    <w:abstractNumId w:val="68"/>
  </w:num>
  <w:num w:numId="87">
    <w:abstractNumId w:val="47"/>
  </w:num>
  <w:num w:numId="88">
    <w:abstractNumId w:val="110"/>
  </w:num>
  <w:num w:numId="89">
    <w:abstractNumId w:val="94"/>
  </w:num>
  <w:num w:numId="90">
    <w:abstractNumId w:val="135"/>
  </w:num>
  <w:num w:numId="91">
    <w:abstractNumId w:val="9"/>
  </w:num>
  <w:num w:numId="92">
    <w:abstractNumId w:val="92"/>
  </w:num>
  <w:num w:numId="93">
    <w:abstractNumId w:val="4"/>
  </w:num>
  <w:num w:numId="94">
    <w:abstractNumId w:val="101"/>
  </w:num>
  <w:num w:numId="95">
    <w:abstractNumId w:val="44"/>
  </w:num>
  <w:num w:numId="96">
    <w:abstractNumId w:val="139"/>
  </w:num>
  <w:num w:numId="97">
    <w:abstractNumId w:val="72"/>
  </w:num>
  <w:num w:numId="98">
    <w:abstractNumId w:val="18"/>
  </w:num>
  <w:num w:numId="99">
    <w:abstractNumId w:val="133"/>
  </w:num>
  <w:num w:numId="100">
    <w:abstractNumId w:val="60"/>
  </w:num>
  <w:num w:numId="101">
    <w:abstractNumId w:val="127"/>
  </w:num>
  <w:num w:numId="102">
    <w:abstractNumId w:val="41"/>
  </w:num>
  <w:num w:numId="103">
    <w:abstractNumId w:val="37"/>
  </w:num>
  <w:num w:numId="104">
    <w:abstractNumId w:val="141"/>
  </w:num>
  <w:num w:numId="105">
    <w:abstractNumId w:val="121"/>
  </w:num>
  <w:num w:numId="106">
    <w:abstractNumId w:val="25"/>
  </w:num>
  <w:num w:numId="107">
    <w:abstractNumId w:val="61"/>
  </w:num>
  <w:num w:numId="108">
    <w:abstractNumId w:val="6"/>
  </w:num>
  <w:num w:numId="109">
    <w:abstractNumId w:val="15"/>
  </w:num>
  <w:num w:numId="110">
    <w:abstractNumId w:val="40"/>
  </w:num>
  <w:num w:numId="111">
    <w:abstractNumId w:val="32"/>
  </w:num>
  <w:num w:numId="112">
    <w:abstractNumId w:val="63"/>
  </w:num>
  <w:num w:numId="113">
    <w:abstractNumId w:val="23"/>
  </w:num>
  <w:num w:numId="114">
    <w:abstractNumId w:val="59"/>
  </w:num>
  <w:num w:numId="115">
    <w:abstractNumId w:val="116"/>
  </w:num>
  <w:num w:numId="116">
    <w:abstractNumId w:val="13"/>
  </w:num>
  <w:num w:numId="117">
    <w:abstractNumId w:val="57"/>
  </w:num>
  <w:num w:numId="118">
    <w:abstractNumId w:val="12"/>
  </w:num>
  <w:num w:numId="119">
    <w:abstractNumId w:val="34"/>
  </w:num>
  <w:num w:numId="120">
    <w:abstractNumId w:val="27"/>
  </w:num>
  <w:num w:numId="121">
    <w:abstractNumId w:val="129"/>
  </w:num>
  <w:num w:numId="122">
    <w:abstractNumId w:val="11"/>
  </w:num>
  <w:num w:numId="123">
    <w:abstractNumId w:val="50"/>
  </w:num>
  <w:num w:numId="124">
    <w:abstractNumId w:val="36"/>
  </w:num>
  <w:num w:numId="125">
    <w:abstractNumId w:val="69"/>
  </w:num>
  <w:num w:numId="126">
    <w:abstractNumId w:val="85"/>
  </w:num>
  <w:num w:numId="127">
    <w:abstractNumId w:val="134"/>
  </w:num>
  <w:num w:numId="128">
    <w:abstractNumId w:val="79"/>
  </w:num>
  <w:num w:numId="129">
    <w:abstractNumId w:val="71"/>
  </w:num>
  <w:num w:numId="130">
    <w:abstractNumId w:val="73"/>
  </w:num>
  <w:num w:numId="131">
    <w:abstractNumId w:val="8"/>
  </w:num>
  <w:num w:numId="132">
    <w:abstractNumId w:val="89"/>
  </w:num>
  <w:num w:numId="133">
    <w:abstractNumId w:val="66"/>
  </w:num>
  <w:num w:numId="134">
    <w:abstractNumId w:val="102"/>
  </w:num>
  <w:num w:numId="135">
    <w:abstractNumId w:val="28"/>
  </w:num>
  <w:num w:numId="136">
    <w:abstractNumId w:val="140"/>
  </w:num>
  <w:num w:numId="137">
    <w:abstractNumId w:val="87"/>
  </w:num>
  <w:num w:numId="138">
    <w:abstractNumId w:val="120"/>
  </w:num>
  <w:num w:numId="139">
    <w:abstractNumId w:val="123"/>
  </w:num>
  <w:num w:numId="140">
    <w:abstractNumId w:val="10"/>
  </w:num>
  <w:num w:numId="141">
    <w:abstractNumId w:val="108"/>
  </w:num>
  <w:num w:numId="142">
    <w:abstractNumId w:val="17"/>
  </w:num>
  <w:num w:numId="143">
    <w:abstractNumId w:val="64"/>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1E75"/>
    <w:rsid w:val="00002A69"/>
    <w:rsid w:val="0000473A"/>
    <w:rsid w:val="00004A20"/>
    <w:rsid w:val="00005C28"/>
    <w:rsid w:val="00010601"/>
    <w:rsid w:val="00010A43"/>
    <w:rsid w:val="00013289"/>
    <w:rsid w:val="0001489B"/>
    <w:rsid w:val="0002057E"/>
    <w:rsid w:val="00021127"/>
    <w:rsid w:val="000211C0"/>
    <w:rsid w:val="00022D91"/>
    <w:rsid w:val="000237CC"/>
    <w:rsid w:val="000239A6"/>
    <w:rsid w:val="000244DD"/>
    <w:rsid w:val="00031038"/>
    <w:rsid w:val="00031BDC"/>
    <w:rsid w:val="000323C0"/>
    <w:rsid w:val="0003292E"/>
    <w:rsid w:val="00033333"/>
    <w:rsid w:val="00034AB0"/>
    <w:rsid w:val="00034C72"/>
    <w:rsid w:val="00037C88"/>
    <w:rsid w:val="00040B4D"/>
    <w:rsid w:val="00041214"/>
    <w:rsid w:val="00041657"/>
    <w:rsid w:val="000423F4"/>
    <w:rsid w:val="00045AF4"/>
    <w:rsid w:val="00045F60"/>
    <w:rsid w:val="00047BE4"/>
    <w:rsid w:val="0005015C"/>
    <w:rsid w:val="000512C1"/>
    <w:rsid w:val="000513CC"/>
    <w:rsid w:val="00053411"/>
    <w:rsid w:val="00064183"/>
    <w:rsid w:val="000647A3"/>
    <w:rsid w:val="000654E2"/>
    <w:rsid w:val="0007255B"/>
    <w:rsid w:val="00081B47"/>
    <w:rsid w:val="000856A7"/>
    <w:rsid w:val="00086DB0"/>
    <w:rsid w:val="00086EB9"/>
    <w:rsid w:val="00087264"/>
    <w:rsid w:val="000931EA"/>
    <w:rsid w:val="00094216"/>
    <w:rsid w:val="00094895"/>
    <w:rsid w:val="000A1E75"/>
    <w:rsid w:val="000A3F35"/>
    <w:rsid w:val="000A4CEF"/>
    <w:rsid w:val="000A4D66"/>
    <w:rsid w:val="000A6A89"/>
    <w:rsid w:val="000B03CB"/>
    <w:rsid w:val="000B0C8B"/>
    <w:rsid w:val="000B1BC9"/>
    <w:rsid w:val="000B1FCC"/>
    <w:rsid w:val="000B2566"/>
    <w:rsid w:val="000B3DC6"/>
    <w:rsid w:val="000B52A4"/>
    <w:rsid w:val="000B75A5"/>
    <w:rsid w:val="000C1EF6"/>
    <w:rsid w:val="000C26CB"/>
    <w:rsid w:val="000C2910"/>
    <w:rsid w:val="000C3A76"/>
    <w:rsid w:val="000C49A5"/>
    <w:rsid w:val="000C57C8"/>
    <w:rsid w:val="000C7BED"/>
    <w:rsid w:val="000D030A"/>
    <w:rsid w:val="000D0DBD"/>
    <w:rsid w:val="000D29A5"/>
    <w:rsid w:val="000D56A8"/>
    <w:rsid w:val="000E4A27"/>
    <w:rsid w:val="000E52B9"/>
    <w:rsid w:val="000E699E"/>
    <w:rsid w:val="000F101A"/>
    <w:rsid w:val="000F155F"/>
    <w:rsid w:val="000F42E3"/>
    <w:rsid w:val="000F718D"/>
    <w:rsid w:val="00103462"/>
    <w:rsid w:val="00107280"/>
    <w:rsid w:val="001168BC"/>
    <w:rsid w:val="00117854"/>
    <w:rsid w:val="00122205"/>
    <w:rsid w:val="00122ED2"/>
    <w:rsid w:val="00123736"/>
    <w:rsid w:val="001238AB"/>
    <w:rsid w:val="001256F1"/>
    <w:rsid w:val="001277CE"/>
    <w:rsid w:val="00127F5F"/>
    <w:rsid w:val="00130BE0"/>
    <w:rsid w:val="00131908"/>
    <w:rsid w:val="00131F5C"/>
    <w:rsid w:val="00134FBC"/>
    <w:rsid w:val="0013718F"/>
    <w:rsid w:val="0014391E"/>
    <w:rsid w:val="001468D7"/>
    <w:rsid w:val="001472D8"/>
    <w:rsid w:val="00147923"/>
    <w:rsid w:val="00147F3D"/>
    <w:rsid w:val="0015133E"/>
    <w:rsid w:val="00151D71"/>
    <w:rsid w:val="00154834"/>
    <w:rsid w:val="00154E4A"/>
    <w:rsid w:val="0015519A"/>
    <w:rsid w:val="001620D7"/>
    <w:rsid w:val="0016335B"/>
    <w:rsid w:val="00164472"/>
    <w:rsid w:val="00164DB8"/>
    <w:rsid w:val="001657E4"/>
    <w:rsid w:val="00166B76"/>
    <w:rsid w:val="001709FD"/>
    <w:rsid w:val="00173B67"/>
    <w:rsid w:val="00175F37"/>
    <w:rsid w:val="00177418"/>
    <w:rsid w:val="0018055E"/>
    <w:rsid w:val="0018210D"/>
    <w:rsid w:val="00183292"/>
    <w:rsid w:val="00183F7E"/>
    <w:rsid w:val="0018756A"/>
    <w:rsid w:val="00191F16"/>
    <w:rsid w:val="00193D86"/>
    <w:rsid w:val="00195223"/>
    <w:rsid w:val="001A069E"/>
    <w:rsid w:val="001A0C6E"/>
    <w:rsid w:val="001A1C4D"/>
    <w:rsid w:val="001A2615"/>
    <w:rsid w:val="001A2AEF"/>
    <w:rsid w:val="001A657F"/>
    <w:rsid w:val="001B38F7"/>
    <w:rsid w:val="001B470C"/>
    <w:rsid w:val="001B6BF4"/>
    <w:rsid w:val="001C48C1"/>
    <w:rsid w:val="001C5EA4"/>
    <w:rsid w:val="001C61D7"/>
    <w:rsid w:val="001C71DB"/>
    <w:rsid w:val="001D0018"/>
    <w:rsid w:val="001D15A7"/>
    <w:rsid w:val="001E3A57"/>
    <w:rsid w:val="001E76FE"/>
    <w:rsid w:val="001F2CFC"/>
    <w:rsid w:val="001F5ACE"/>
    <w:rsid w:val="002014D2"/>
    <w:rsid w:val="0020332B"/>
    <w:rsid w:val="00203A62"/>
    <w:rsid w:val="0020529F"/>
    <w:rsid w:val="00205721"/>
    <w:rsid w:val="00210D56"/>
    <w:rsid w:val="00214BA7"/>
    <w:rsid w:val="00216E8B"/>
    <w:rsid w:val="00217F62"/>
    <w:rsid w:val="00221CB5"/>
    <w:rsid w:val="002228F6"/>
    <w:rsid w:val="00223194"/>
    <w:rsid w:val="00234BAE"/>
    <w:rsid w:val="0023746C"/>
    <w:rsid w:val="00241DAB"/>
    <w:rsid w:val="0024325B"/>
    <w:rsid w:val="00243934"/>
    <w:rsid w:val="002447A1"/>
    <w:rsid w:val="00251BD5"/>
    <w:rsid w:val="00252776"/>
    <w:rsid w:val="00252E51"/>
    <w:rsid w:val="00252FC0"/>
    <w:rsid w:val="002624FE"/>
    <w:rsid w:val="0026271A"/>
    <w:rsid w:val="00262A43"/>
    <w:rsid w:val="0026322C"/>
    <w:rsid w:val="00263EF2"/>
    <w:rsid w:val="002659A5"/>
    <w:rsid w:val="00267F31"/>
    <w:rsid w:val="002707AD"/>
    <w:rsid w:val="002707EA"/>
    <w:rsid w:val="00275411"/>
    <w:rsid w:val="0027737D"/>
    <w:rsid w:val="00280BCB"/>
    <w:rsid w:val="00282A86"/>
    <w:rsid w:val="00283CE7"/>
    <w:rsid w:val="00283CFF"/>
    <w:rsid w:val="00284BEF"/>
    <w:rsid w:val="00284D99"/>
    <w:rsid w:val="00285659"/>
    <w:rsid w:val="00285D85"/>
    <w:rsid w:val="00291BA7"/>
    <w:rsid w:val="00294173"/>
    <w:rsid w:val="00296C7E"/>
    <w:rsid w:val="002A0B95"/>
    <w:rsid w:val="002A52D0"/>
    <w:rsid w:val="002A5E12"/>
    <w:rsid w:val="002A67B8"/>
    <w:rsid w:val="002B22B8"/>
    <w:rsid w:val="002B2812"/>
    <w:rsid w:val="002B3618"/>
    <w:rsid w:val="002B56A4"/>
    <w:rsid w:val="002C0124"/>
    <w:rsid w:val="002D1D7A"/>
    <w:rsid w:val="002E0074"/>
    <w:rsid w:val="002E2AC6"/>
    <w:rsid w:val="002E5B2D"/>
    <w:rsid w:val="002E69CC"/>
    <w:rsid w:val="002E730E"/>
    <w:rsid w:val="002F0ABE"/>
    <w:rsid w:val="002F2AC5"/>
    <w:rsid w:val="002F528D"/>
    <w:rsid w:val="002F67AE"/>
    <w:rsid w:val="0030151D"/>
    <w:rsid w:val="00301E88"/>
    <w:rsid w:val="00306364"/>
    <w:rsid w:val="0031087E"/>
    <w:rsid w:val="003110D6"/>
    <w:rsid w:val="00312DCB"/>
    <w:rsid w:val="003154E7"/>
    <w:rsid w:val="00321D7B"/>
    <w:rsid w:val="003232EA"/>
    <w:rsid w:val="003237F0"/>
    <w:rsid w:val="0032433D"/>
    <w:rsid w:val="00330D20"/>
    <w:rsid w:val="00332A29"/>
    <w:rsid w:val="00335785"/>
    <w:rsid w:val="003417B2"/>
    <w:rsid w:val="00342C31"/>
    <w:rsid w:val="00342F44"/>
    <w:rsid w:val="0034728B"/>
    <w:rsid w:val="003516B8"/>
    <w:rsid w:val="003533B0"/>
    <w:rsid w:val="00355743"/>
    <w:rsid w:val="00355A94"/>
    <w:rsid w:val="00361FA9"/>
    <w:rsid w:val="0037083F"/>
    <w:rsid w:val="003708B4"/>
    <w:rsid w:val="00377950"/>
    <w:rsid w:val="003800E2"/>
    <w:rsid w:val="003810F1"/>
    <w:rsid w:val="0038474E"/>
    <w:rsid w:val="0039045B"/>
    <w:rsid w:val="0039199E"/>
    <w:rsid w:val="00392809"/>
    <w:rsid w:val="00395B8D"/>
    <w:rsid w:val="0039788E"/>
    <w:rsid w:val="003A3D81"/>
    <w:rsid w:val="003A743C"/>
    <w:rsid w:val="003A751B"/>
    <w:rsid w:val="003B55CE"/>
    <w:rsid w:val="003B5ADB"/>
    <w:rsid w:val="003B5F7C"/>
    <w:rsid w:val="003B6F27"/>
    <w:rsid w:val="003C3351"/>
    <w:rsid w:val="003C378D"/>
    <w:rsid w:val="003C47B2"/>
    <w:rsid w:val="003C5FE9"/>
    <w:rsid w:val="003D28B7"/>
    <w:rsid w:val="003D4F74"/>
    <w:rsid w:val="003D6293"/>
    <w:rsid w:val="003E0A68"/>
    <w:rsid w:val="003E1058"/>
    <w:rsid w:val="003E1B15"/>
    <w:rsid w:val="003E69E9"/>
    <w:rsid w:val="003E6BB6"/>
    <w:rsid w:val="003F08EA"/>
    <w:rsid w:val="003F1A70"/>
    <w:rsid w:val="003F38CF"/>
    <w:rsid w:val="003F659F"/>
    <w:rsid w:val="003F6CF5"/>
    <w:rsid w:val="003F7755"/>
    <w:rsid w:val="003F7FB5"/>
    <w:rsid w:val="0040259E"/>
    <w:rsid w:val="0040412D"/>
    <w:rsid w:val="00404C5C"/>
    <w:rsid w:val="004076C5"/>
    <w:rsid w:val="00407BF3"/>
    <w:rsid w:val="00410D43"/>
    <w:rsid w:val="0041131C"/>
    <w:rsid w:val="00412CFB"/>
    <w:rsid w:val="0041397C"/>
    <w:rsid w:val="00415279"/>
    <w:rsid w:val="0042151B"/>
    <w:rsid w:val="00423A1B"/>
    <w:rsid w:val="004254BD"/>
    <w:rsid w:val="004261CD"/>
    <w:rsid w:val="00427FF4"/>
    <w:rsid w:val="00432ED3"/>
    <w:rsid w:val="00434006"/>
    <w:rsid w:val="004343BD"/>
    <w:rsid w:val="004349D5"/>
    <w:rsid w:val="004358B8"/>
    <w:rsid w:val="00437F78"/>
    <w:rsid w:val="00442046"/>
    <w:rsid w:val="00443858"/>
    <w:rsid w:val="00453721"/>
    <w:rsid w:val="00463815"/>
    <w:rsid w:val="00464D3D"/>
    <w:rsid w:val="00470EA7"/>
    <w:rsid w:val="00473DD5"/>
    <w:rsid w:val="00476554"/>
    <w:rsid w:val="0048293A"/>
    <w:rsid w:val="004846A1"/>
    <w:rsid w:val="004857C6"/>
    <w:rsid w:val="004868EA"/>
    <w:rsid w:val="00486D67"/>
    <w:rsid w:val="004923D5"/>
    <w:rsid w:val="00492D32"/>
    <w:rsid w:val="0049576C"/>
    <w:rsid w:val="004A0026"/>
    <w:rsid w:val="004A4647"/>
    <w:rsid w:val="004A51FB"/>
    <w:rsid w:val="004A56F0"/>
    <w:rsid w:val="004B0424"/>
    <w:rsid w:val="004B1217"/>
    <w:rsid w:val="004B1FBA"/>
    <w:rsid w:val="004B3E59"/>
    <w:rsid w:val="004B445B"/>
    <w:rsid w:val="004B69CE"/>
    <w:rsid w:val="004B7236"/>
    <w:rsid w:val="004C504F"/>
    <w:rsid w:val="004C621E"/>
    <w:rsid w:val="004D4BC4"/>
    <w:rsid w:val="004D63C5"/>
    <w:rsid w:val="004E090C"/>
    <w:rsid w:val="004E1A5C"/>
    <w:rsid w:val="004E2259"/>
    <w:rsid w:val="004E2ED8"/>
    <w:rsid w:val="004E6815"/>
    <w:rsid w:val="004E7B1C"/>
    <w:rsid w:val="004F287B"/>
    <w:rsid w:val="004F6509"/>
    <w:rsid w:val="004F6B03"/>
    <w:rsid w:val="004F6B08"/>
    <w:rsid w:val="004F6F56"/>
    <w:rsid w:val="004F7877"/>
    <w:rsid w:val="004F79A2"/>
    <w:rsid w:val="0050074C"/>
    <w:rsid w:val="0050092B"/>
    <w:rsid w:val="00501A49"/>
    <w:rsid w:val="00501DF8"/>
    <w:rsid w:val="00505A0F"/>
    <w:rsid w:val="00506677"/>
    <w:rsid w:val="00512C61"/>
    <w:rsid w:val="00514EF3"/>
    <w:rsid w:val="00517624"/>
    <w:rsid w:val="0052785F"/>
    <w:rsid w:val="005302C0"/>
    <w:rsid w:val="00542AA9"/>
    <w:rsid w:val="00544A37"/>
    <w:rsid w:val="00553A10"/>
    <w:rsid w:val="0055639C"/>
    <w:rsid w:val="00557807"/>
    <w:rsid w:val="005623E4"/>
    <w:rsid w:val="00565376"/>
    <w:rsid w:val="005668E1"/>
    <w:rsid w:val="00567D65"/>
    <w:rsid w:val="0057266A"/>
    <w:rsid w:val="00574A2A"/>
    <w:rsid w:val="005756F9"/>
    <w:rsid w:val="00576AC4"/>
    <w:rsid w:val="00577C35"/>
    <w:rsid w:val="00577E7E"/>
    <w:rsid w:val="00585CA7"/>
    <w:rsid w:val="00585CAD"/>
    <w:rsid w:val="00593A07"/>
    <w:rsid w:val="0059414C"/>
    <w:rsid w:val="00594BE6"/>
    <w:rsid w:val="005968FB"/>
    <w:rsid w:val="005A5B8B"/>
    <w:rsid w:val="005A5E1F"/>
    <w:rsid w:val="005A6207"/>
    <w:rsid w:val="005B259B"/>
    <w:rsid w:val="005B2E72"/>
    <w:rsid w:val="005B3249"/>
    <w:rsid w:val="005B51BF"/>
    <w:rsid w:val="005C2280"/>
    <w:rsid w:val="005C3921"/>
    <w:rsid w:val="005D5CBF"/>
    <w:rsid w:val="005D6904"/>
    <w:rsid w:val="005F1072"/>
    <w:rsid w:val="005F2E50"/>
    <w:rsid w:val="005F6466"/>
    <w:rsid w:val="00602924"/>
    <w:rsid w:val="0060513D"/>
    <w:rsid w:val="00605768"/>
    <w:rsid w:val="00607E91"/>
    <w:rsid w:val="00611484"/>
    <w:rsid w:val="00617983"/>
    <w:rsid w:val="0062050C"/>
    <w:rsid w:val="00626E1E"/>
    <w:rsid w:val="00630EC9"/>
    <w:rsid w:val="006315EE"/>
    <w:rsid w:val="00634E9F"/>
    <w:rsid w:val="00636581"/>
    <w:rsid w:val="00636678"/>
    <w:rsid w:val="006371EF"/>
    <w:rsid w:val="006432F3"/>
    <w:rsid w:val="006448F0"/>
    <w:rsid w:val="0064598B"/>
    <w:rsid w:val="00650C53"/>
    <w:rsid w:val="00651523"/>
    <w:rsid w:val="0065175A"/>
    <w:rsid w:val="00651DC2"/>
    <w:rsid w:val="006566CA"/>
    <w:rsid w:val="0065744B"/>
    <w:rsid w:val="0066067B"/>
    <w:rsid w:val="00660FC5"/>
    <w:rsid w:val="00662B35"/>
    <w:rsid w:val="00663C04"/>
    <w:rsid w:val="006704AF"/>
    <w:rsid w:val="00672730"/>
    <w:rsid w:val="00672892"/>
    <w:rsid w:val="00673332"/>
    <w:rsid w:val="00685240"/>
    <w:rsid w:val="00686F14"/>
    <w:rsid w:val="00694C39"/>
    <w:rsid w:val="0069612D"/>
    <w:rsid w:val="006973FF"/>
    <w:rsid w:val="006A0D2B"/>
    <w:rsid w:val="006A1748"/>
    <w:rsid w:val="006A29D2"/>
    <w:rsid w:val="006A52DD"/>
    <w:rsid w:val="006A6228"/>
    <w:rsid w:val="006B0CCD"/>
    <w:rsid w:val="006B1B6F"/>
    <w:rsid w:val="006B462B"/>
    <w:rsid w:val="006B585C"/>
    <w:rsid w:val="006B58C8"/>
    <w:rsid w:val="006B5B80"/>
    <w:rsid w:val="006C0C14"/>
    <w:rsid w:val="006D081F"/>
    <w:rsid w:val="006D3F31"/>
    <w:rsid w:val="006E0DC3"/>
    <w:rsid w:val="006E1FCB"/>
    <w:rsid w:val="006E628D"/>
    <w:rsid w:val="006E6E44"/>
    <w:rsid w:val="006F0D0B"/>
    <w:rsid w:val="006F0FED"/>
    <w:rsid w:val="006F13F9"/>
    <w:rsid w:val="006F3505"/>
    <w:rsid w:val="006F3CC1"/>
    <w:rsid w:val="006F529A"/>
    <w:rsid w:val="006F769B"/>
    <w:rsid w:val="007018A7"/>
    <w:rsid w:val="00704F5C"/>
    <w:rsid w:val="007058A5"/>
    <w:rsid w:val="007058D0"/>
    <w:rsid w:val="007079AA"/>
    <w:rsid w:val="0071042A"/>
    <w:rsid w:val="007107E7"/>
    <w:rsid w:val="00712C99"/>
    <w:rsid w:val="007175FE"/>
    <w:rsid w:val="0071775E"/>
    <w:rsid w:val="00723007"/>
    <w:rsid w:val="00725882"/>
    <w:rsid w:val="007273DC"/>
    <w:rsid w:val="007308F8"/>
    <w:rsid w:val="007311C8"/>
    <w:rsid w:val="007321E6"/>
    <w:rsid w:val="00734737"/>
    <w:rsid w:val="00737B4F"/>
    <w:rsid w:val="00742130"/>
    <w:rsid w:val="00742454"/>
    <w:rsid w:val="007428F6"/>
    <w:rsid w:val="007435AC"/>
    <w:rsid w:val="00746A20"/>
    <w:rsid w:val="00746AC8"/>
    <w:rsid w:val="007511A1"/>
    <w:rsid w:val="00757ADA"/>
    <w:rsid w:val="0076070C"/>
    <w:rsid w:val="007646E5"/>
    <w:rsid w:val="007657E3"/>
    <w:rsid w:val="00765D15"/>
    <w:rsid w:val="0077270D"/>
    <w:rsid w:val="00775080"/>
    <w:rsid w:val="00775DC0"/>
    <w:rsid w:val="00776250"/>
    <w:rsid w:val="00780530"/>
    <w:rsid w:val="00780817"/>
    <w:rsid w:val="00780FB3"/>
    <w:rsid w:val="007947B1"/>
    <w:rsid w:val="0079633A"/>
    <w:rsid w:val="00796FD6"/>
    <w:rsid w:val="007A5819"/>
    <w:rsid w:val="007A5C52"/>
    <w:rsid w:val="007B2C9E"/>
    <w:rsid w:val="007B2D43"/>
    <w:rsid w:val="007B2E9D"/>
    <w:rsid w:val="007B3C77"/>
    <w:rsid w:val="007B70B1"/>
    <w:rsid w:val="007B79AF"/>
    <w:rsid w:val="007C0420"/>
    <w:rsid w:val="007C0986"/>
    <w:rsid w:val="007C2474"/>
    <w:rsid w:val="007C6DC6"/>
    <w:rsid w:val="007C7263"/>
    <w:rsid w:val="007C7D7E"/>
    <w:rsid w:val="007D00BC"/>
    <w:rsid w:val="007D19DD"/>
    <w:rsid w:val="007D3CF0"/>
    <w:rsid w:val="007E14BD"/>
    <w:rsid w:val="007E479D"/>
    <w:rsid w:val="007E74C9"/>
    <w:rsid w:val="007F66B5"/>
    <w:rsid w:val="00803A12"/>
    <w:rsid w:val="00804AF3"/>
    <w:rsid w:val="00805674"/>
    <w:rsid w:val="00810672"/>
    <w:rsid w:val="00813340"/>
    <w:rsid w:val="00820C9F"/>
    <w:rsid w:val="00821F7B"/>
    <w:rsid w:val="00822247"/>
    <w:rsid w:val="008232AD"/>
    <w:rsid w:val="0082451D"/>
    <w:rsid w:val="008248BA"/>
    <w:rsid w:val="008252B9"/>
    <w:rsid w:val="00827953"/>
    <w:rsid w:val="00831B56"/>
    <w:rsid w:val="008331A6"/>
    <w:rsid w:val="00836409"/>
    <w:rsid w:val="008373D1"/>
    <w:rsid w:val="00840708"/>
    <w:rsid w:val="0084257C"/>
    <w:rsid w:val="00844A4B"/>
    <w:rsid w:val="00852F9B"/>
    <w:rsid w:val="00853380"/>
    <w:rsid w:val="00853D7F"/>
    <w:rsid w:val="00853FDD"/>
    <w:rsid w:val="0085675D"/>
    <w:rsid w:val="00856C35"/>
    <w:rsid w:val="00857270"/>
    <w:rsid w:val="00860333"/>
    <w:rsid w:val="008617D8"/>
    <w:rsid w:val="00861D0A"/>
    <w:rsid w:val="008622EA"/>
    <w:rsid w:val="0086272A"/>
    <w:rsid w:val="00866212"/>
    <w:rsid w:val="00870073"/>
    <w:rsid w:val="00874C28"/>
    <w:rsid w:val="008757CB"/>
    <w:rsid w:val="00877265"/>
    <w:rsid w:val="0088028A"/>
    <w:rsid w:val="00880AF0"/>
    <w:rsid w:val="00880CEF"/>
    <w:rsid w:val="008831FD"/>
    <w:rsid w:val="00883787"/>
    <w:rsid w:val="008845D0"/>
    <w:rsid w:val="008849CA"/>
    <w:rsid w:val="00890EC2"/>
    <w:rsid w:val="00896FD2"/>
    <w:rsid w:val="00897A22"/>
    <w:rsid w:val="008A062E"/>
    <w:rsid w:val="008A3BE1"/>
    <w:rsid w:val="008A3CE4"/>
    <w:rsid w:val="008A597E"/>
    <w:rsid w:val="008A733D"/>
    <w:rsid w:val="008B009B"/>
    <w:rsid w:val="008B5C7B"/>
    <w:rsid w:val="008B68C2"/>
    <w:rsid w:val="008B6BFC"/>
    <w:rsid w:val="008C0697"/>
    <w:rsid w:val="008C325F"/>
    <w:rsid w:val="008C42CF"/>
    <w:rsid w:val="008D07C3"/>
    <w:rsid w:val="008D28AE"/>
    <w:rsid w:val="008D4513"/>
    <w:rsid w:val="008D6E1E"/>
    <w:rsid w:val="008D7DFD"/>
    <w:rsid w:val="008E5BC3"/>
    <w:rsid w:val="008E652E"/>
    <w:rsid w:val="008F0238"/>
    <w:rsid w:val="008F0A3C"/>
    <w:rsid w:val="008F0B07"/>
    <w:rsid w:val="008F290B"/>
    <w:rsid w:val="008F3784"/>
    <w:rsid w:val="008F47B7"/>
    <w:rsid w:val="008F7651"/>
    <w:rsid w:val="00900EFE"/>
    <w:rsid w:val="009018CB"/>
    <w:rsid w:val="00903AE4"/>
    <w:rsid w:val="00904813"/>
    <w:rsid w:val="00905362"/>
    <w:rsid w:val="009101DB"/>
    <w:rsid w:val="0091057F"/>
    <w:rsid w:val="00910FCE"/>
    <w:rsid w:val="00911E5A"/>
    <w:rsid w:val="00921240"/>
    <w:rsid w:val="009251CD"/>
    <w:rsid w:val="00925362"/>
    <w:rsid w:val="009345A2"/>
    <w:rsid w:val="00940B35"/>
    <w:rsid w:val="00941EC0"/>
    <w:rsid w:val="0094260D"/>
    <w:rsid w:val="0094285B"/>
    <w:rsid w:val="009502F9"/>
    <w:rsid w:val="009512A6"/>
    <w:rsid w:val="00954688"/>
    <w:rsid w:val="009546E1"/>
    <w:rsid w:val="00956851"/>
    <w:rsid w:val="00957CFB"/>
    <w:rsid w:val="0096240C"/>
    <w:rsid w:val="00963175"/>
    <w:rsid w:val="009639ED"/>
    <w:rsid w:val="0096633B"/>
    <w:rsid w:val="00966C2A"/>
    <w:rsid w:val="0096730F"/>
    <w:rsid w:val="00967619"/>
    <w:rsid w:val="00970218"/>
    <w:rsid w:val="00976AEA"/>
    <w:rsid w:val="00976C6B"/>
    <w:rsid w:val="00977197"/>
    <w:rsid w:val="00981979"/>
    <w:rsid w:val="0098612D"/>
    <w:rsid w:val="009875F8"/>
    <w:rsid w:val="00992DA6"/>
    <w:rsid w:val="00992DCB"/>
    <w:rsid w:val="009A1EEC"/>
    <w:rsid w:val="009A2449"/>
    <w:rsid w:val="009B2952"/>
    <w:rsid w:val="009C07E4"/>
    <w:rsid w:val="009C13FE"/>
    <w:rsid w:val="009C653C"/>
    <w:rsid w:val="009D068D"/>
    <w:rsid w:val="009D4735"/>
    <w:rsid w:val="009D5803"/>
    <w:rsid w:val="009D6843"/>
    <w:rsid w:val="009D7037"/>
    <w:rsid w:val="009E1DCF"/>
    <w:rsid w:val="009E5648"/>
    <w:rsid w:val="009E6C8E"/>
    <w:rsid w:val="009E734E"/>
    <w:rsid w:val="009E7B3A"/>
    <w:rsid w:val="009F19AD"/>
    <w:rsid w:val="009F4CD8"/>
    <w:rsid w:val="009F60CE"/>
    <w:rsid w:val="00A01EFC"/>
    <w:rsid w:val="00A046A4"/>
    <w:rsid w:val="00A06548"/>
    <w:rsid w:val="00A11B61"/>
    <w:rsid w:val="00A1317F"/>
    <w:rsid w:val="00A14159"/>
    <w:rsid w:val="00A20E3C"/>
    <w:rsid w:val="00A25025"/>
    <w:rsid w:val="00A267C9"/>
    <w:rsid w:val="00A360E4"/>
    <w:rsid w:val="00A400F0"/>
    <w:rsid w:val="00A445AE"/>
    <w:rsid w:val="00A4798B"/>
    <w:rsid w:val="00A50670"/>
    <w:rsid w:val="00A55F7D"/>
    <w:rsid w:val="00A57EA4"/>
    <w:rsid w:val="00A6070D"/>
    <w:rsid w:val="00A6310E"/>
    <w:rsid w:val="00A66512"/>
    <w:rsid w:val="00A67007"/>
    <w:rsid w:val="00A70676"/>
    <w:rsid w:val="00A70EEC"/>
    <w:rsid w:val="00A73173"/>
    <w:rsid w:val="00A73C35"/>
    <w:rsid w:val="00A76987"/>
    <w:rsid w:val="00A832B4"/>
    <w:rsid w:val="00A851C9"/>
    <w:rsid w:val="00A87DA3"/>
    <w:rsid w:val="00A91C05"/>
    <w:rsid w:val="00A91FE3"/>
    <w:rsid w:val="00A9266C"/>
    <w:rsid w:val="00A93313"/>
    <w:rsid w:val="00A93778"/>
    <w:rsid w:val="00A95243"/>
    <w:rsid w:val="00A95B5A"/>
    <w:rsid w:val="00A95F1F"/>
    <w:rsid w:val="00A9641D"/>
    <w:rsid w:val="00AA18A5"/>
    <w:rsid w:val="00AA19E8"/>
    <w:rsid w:val="00AA5EAA"/>
    <w:rsid w:val="00AB4741"/>
    <w:rsid w:val="00AB7564"/>
    <w:rsid w:val="00AC0B9F"/>
    <w:rsid w:val="00AC1B44"/>
    <w:rsid w:val="00AC1D9D"/>
    <w:rsid w:val="00AC2CA4"/>
    <w:rsid w:val="00AD02AB"/>
    <w:rsid w:val="00AD5348"/>
    <w:rsid w:val="00AE7048"/>
    <w:rsid w:val="00AE70A0"/>
    <w:rsid w:val="00AE71F3"/>
    <w:rsid w:val="00AE7F63"/>
    <w:rsid w:val="00AF24B6"/>
    <w:rsid w:val="00AF2ED5"/>
    <w:rsid w:val="00AF371C"/>
    <w:rsid w:val="00AF6489"/>
    <w:rsid w:val="00AF739C"/>
    <w:rsid w:val="00AF7B4A"/>
    <w:rsid w:val="00B06CEA"/>
    <w:rsid w:val="00B10219"/>
    <w:rsid w:val="00B1067B"/>
    <w:rsid w:val="00B1436C"/>
    <w:rsid w:val="00B165CB"/>
    <w:rsid w:val="00B21322"/>
    <w:rsid w:val="00B22835"/>
    <w:rsid w:val="00B24C4B"/>
    <w:rsid w:val="00B2515C"/>
    <w:rsid w:val="00B25295"/>
    <w:rsid w:val="00B2626E"/>
    <w:rsid w:val="00B31A20"/>
    <w:rsid w:val="00B3207F"/>
    <w:rsid w:val="00B3331E"/>
    <w:rsid w:val="00B37375"/>
    <w:rsid w:val="00B410ED"/>
    <w:rsid w:val="00B42CE6"/>
    <w:rsid w:val="00B43401"/>
    <w:rsid w:val="00B453CA"/>
    <w:rsid w:val="00B458F0"/>
    <w:rsid w:val="00B50055"/>
    <w:rsid w:val="00B536BB"/>
    <w:rsid w:val="00B55FB4"/>
    <w:rsid w:val="00B64A00"/>
    <w:rsid w:val="00B64DB2"/>
    <w:rsid w:val="00B67EB5"/>
    <w:rsid w:val="00B70705"/>
    <w:rsid w:val="00B70B1E"/>
    <w:rsid w:val="00B80AC3"/>
    <w:rsid w:val="00B84795"/>
    <w:rsid w:val="00B85615"/>
    <w:rsid w:val="00B92527"/>
    <w:rsid w:val="00B92F20"/>
    <w:rsid w:val="00B94421"/>
    <w:rsid w:val="00B95064"/>
    <w:rsid w:val="00B96B1C"/>
    <w:rsid w:val="00BA0065"/>
    <w:rsid w:val="00BA092F"/>
    <w:rsid w:val="00BA2958"/>
    <w:rsid w:val="00BA29AC"/>
    <w:rsid w:val="00BA4693"/>
    <w:rsid w:val="00BA5007"/>
    <w:rsid w:val="00BA5DFF"/>
    <w:rsid w:val="00BA6808"/>
    <w:rsid w:val="00BA7A71"/>
    <w:rsid w:val="00BB4766"/>
    <w:rsid w:val="00BB5485"/>
    <w:rsid w:val="00BB66F4"/>
    <w:rsid w:val="00BB6B46"/>
    <w:rsid w:val="00BB74D3"/>
    <w:rsid w:val="00BC458D"/>
    <w:rsid w:val="00BC4C1A"/>
    <w:rsid w:val="00BC4F39"/>
    <w:rsid w:val="00BC5D01"/>
    <w:rsid w:val="00BC6914"/>
    <w:rsid w:val="00BC7AD0"/>
    <w:rsid w:val="00BC7C8A"/>
    <w:rsid w:val="00BD4F37"/>
    <w:rsid w:val="00BD5732"/>
    <w:rsid w:val="00BE0723"/>
    <w:rsid w:val="00BE084D"/>
    <w:rsid w:val="00BE36CC"/>
    <w:rsid w:val="00BE4A7F"/>
    <w:rsid w:val="00BE6D54"/>
    <w:rsid w:val="00BF26AA"/>
    <w:rsid w:val="00BF3DA7"/>
    <w:rsid w:val="00C00322"/>
    <w:rsid w:val="00C027A1"/>
    <w:rsid w:val="00C02B6B"/>
    <w:rsid w:val="00C032A5"/>
    <w:rsid w:val="00C03A1A"/>
    <w:rsid w:val="00C057A1"/>
    <w:rsid w:val="00C078B1"/>
    <w:rsid w:val="00C10B9C"/>
    <w:rsid w:val="00C1375B"/>
    <w:rsid w:val="00C1467B"/>
    <w:rsid w:val="00C16DA5"/>
    <w:rsid w:val="00C20A13"/>
    <w:rsid w:val="00C2194A"/>
    <w:rsid w:val="00C24968"/>
    <w:rsid w:val="00C24FF2"/>
    <w:rsid w:val="00C2726D"/>
    <w:rsid w:val="00C27E38"/>
    <w:rsid w:val="00C34E41"/>
    <w:rsid w:val="00C41E4A"/>
    <w:rsid w:val="00C42DC4"/>
    <w:rsid w:val="00C43907"/>
    <w:rsid w:val="00C46148"/>
    <w:rsid w:val="00C47467"/>
    <w:rsid w:val="00C61861"/>
    <w:rsid w:val="00C61D35"/>
    <w:rsid w:val="00C621D9"/>
    <w:rsid w:val="00C703B2"/>
    <w:rsid w:val="00C80928"/>
    <w:rsid w:val="00C85CC5"/>
    <w:rsid w:val="00C86F4A"/>
    <w:rsid w:val="00C9114D"/>
    <w:rsid w:val="00C92B1E"/>
    <w:rsid w:val="00C92D75"/>
    <w:rsid w:val="00CA267E"/>
    <w:rsid w:val="00CA3891"/>
    <w:rsid w:val="00CA47F3"/>
    <w:rsid w:val="00CA57E6"/>
    <w:rsid w:val="00CA5C40"/>
    <w:rsid w:val="00CB1405"/>
    <w:rsid w:val="00CB2FC9"/>
    <w:rsid w:val="00CB4CBD"/>
    <w:rsid w:val="00CB6867"/>
    <w:rsid w:val="00CB776F"/>
    <w:rsid w:val="00CB7B49"/>
    <w:rsid w:val="00CC0915"/>
    <w:rsid w:val="00CC239E"/>
    <w:rsid w:val="00CC4E09"/>
    <w:rsid w:val="00CD1243"/>
    <w:rsid w:val="00CD1295"/>
    <w:rsid w:val="00CD4A81"/>
    <w:rsid w:val="00CD5501"/>
    <w:rsid w:val="00CD588A"/>
    <w:rsid w:val="00CD5FCF"/>
    <w:rsid w:val="00CD6AE1"/>
    <w:rsid w:val="00CD7983"/>
    <w:rsid w:val="00CE1776"/>
    <w:rsid w:val="00CE3112"/>
    <w:rsid w:val="00CE7182"/>
    <w:rsid w:val="00CF0998"/>
    <w:rsid w:val="00CF0C83"/>
    <w:rsid w:val="00D01E88"/>
    <w:rsid w:val="00D042C9"/>
    <w:rsid w:val="00D046E4"/>
    <w:rsid w:val="00D04A28"/>
    <w:rsid w:val="00D06078"/>
    <w:rsid w:val="00D06C30"/>
    <w:rsid w:val="00D11702"/>
    <w:rsid w:val="00D11DE4"/>
    <w:rsid w:val="00D13577"/>
    <w:rsid w:val="00D17897"/>
    <w:rsid w:val="00D20FFC"/>
    <w:rsid w:val="00D25B17"/>
    <w:rsid w:val="00D2626F"/>
    <w:rsid w:val="00D2662B"/>
    <w:rsid w:val="00D4057A"/>
    <w:rsid w:val="00D41D00"/>
    <w:rsid w:val="00D42A51"/>
    <w:rsid w:val="00D43E81"/>
    <w:rsid w:val="00D4597E"/>
    <w:rsid w:val="00D45B0B"/>
    <w:rsid w:val="00D471C1"/>
    <w:rsid w:val="00D47DDF"/>
    <w:rsid w:val="00D528FA"/>
    <w:rsid w:val="00D5314D"/>
    <w:rsid w:val="00D55B21"/>
    <w:rsid w:val="00D6320E"/>
    <w:rsid w:val="00D6341F"/>
    <w:rsid w:val="00D63448"/>
    <w:rsid w:val="00D64BC5"/>
    <w:rsid w:val="00D70772"/>
    <w:rsid w:val="00D7219B"/>
    <w:rsid w:val="00D7306A"/>
    <w:rsid w:val="00D818C7"/>
    <w:rsid w:val="00D85207"/>
    <w:rsid w:val="00D90048"/>
    <w:rsid w:val="00D9121D"/>
    <w:rsid w:val="00D917E5"/>
    <w:rsid w:val="00D91DDA"/>
    <w:rsid w:val="00D94FFC"/>
    <w:rsid w:val="00D95227"/>
    <w:rsid w:val="00D9605D"/>
    <w:rsid w:val="00D967D1"/>
    <w:rsid w:val="00D97091"/>
    <w:rsid w:val="00DA24A2"/>
    <w:rsid w:val="00DB1F18"/>
    <w:rsid w:val="00DB7276"/>
    <w:rsid w:val="00DC16A0"/>
    <w:rsid w:val="00DC277C"/>
    <w:rsid w:val="00DC4A6C"/>
    <w:rsid w:val="00DD0A0C"/>
    <w:rsid w:val="00DD42BC"/>
    <w:rsid w:val="00DD61CA"/>
    <w:rsid w:val="00DD6B5C"/>
    <w:rsid w:val="00DD74B4"/>
    <w:rsid w:val="00DE5AD5"/>
    <w:rsid w:val="00DE5EED"/>
    <w:rsid w:val="00DE6AA3"/>
    <w:rsid w:val="00DF1E8F"/>
    <w:rsid w:val="00DF23BB"/>
    <w:rsid w:val="00DF2BED"/>
    <w:rsid w:val="00DF6936"/>
    <w:rsid w:val="00E01070"/>
    <w:rsid w:val="00E053CC"/>
    <w:rsid w:val="00E07C1F"/>
    <w:rsid w:val="00E07CCD"/>
    <w:rsid w:val="00E111E6"/>
    <w:rsid w:val="00E15816"/>
    <w:rsid w:val="00E220FB"/>
    <w:rsid w:val="00E254AB"/>
    <w:rsid w:val="00E2632F"/>
    <w:rsid w:val="00E30824"/>
    <w:rsid w:val="00E37765"/>
    <w:rsid w:val="00E37D33"/>
    <w:rsid w:val="00E37D39"/>
    <w:rsid w:val="00E4319F"/>
    <w:rsid w:val="00E43C3F"/>
    <w:rsid w:val="00E45FAC"/>
    <w:rsid w:val="00E52970"/>
    <w:rsid w:val="00E53E84"/>
    <w:rsid w:val="00E5406A"/>
    <w:rsid w:val="00E550FD"/>
    <w:rsid w:val="00E56338"/>
    <w:rsid w:val="00E569E4"/>
    <w:rsid w:val="00E57A64"/>
    <w:rsid w:val="00E60FC1"/>
    <w:rsid w:val="00E6256B"/>
    <w:rsid w:val="00E62A2C"/>
    <w:rsid w:val="00E63CD2"/>
    <w:rsid w:val="00E63D53"/>
    <w:rsid w:val="00E7023F"/>
    <w:rsid w:val="00E71EA8"/>
    <w:rsid w:val="00E762E8"/>
    <w:rsid w:val="00E8102A"/>
    <w:rsid w:val="00E86479"/>
    <w:rsid w:val="00E864DB"/>
    <w:rsid w:val="00E91F32"/>
    <w:rsid w:val="00E94453"/>
    <w:rsid w:val="00E9706D"/>
    <w:rsid w:val="00EA1422"/>
    <w:rsid w:val="00EA1437"/>
    <w:rsid w:val="00EA1564"/>
    <w:rsid w:val="00EA15CF"/>
    <w:rsid w:val="00EA32FD"/>
    <w:rsid w:val="00EA4CBD"/>
    <w:rsid w:val="00EB0D37"/>
    <w:rsid w:val="00EB143D"/>
    <w:rsid w:val="00EB1FBD"/>
    <w:rsid w:val="00EB423F"/>
    <w:rsid w:val="00EB4905"/>
    <w:rsid w:val="00EB62B8"/>
    <w:rsid w:val="00EB7C7E"/>
    <w:rsid w:val="00EB7E34"/>
    <w:rsid w:val="00EC1776"/>
    <w:rsid w:val="00EC22C4"/>
    <w:rsid w:val="00EC35F2"/>
    <w:rsid w:val="00ED238E"/>
    <w:rsid w:val="00EE1EE6"/>
    <w:rsid w:val="00EE30B5"/>
    <w:rsid w:val="00EF285E"/>
    <w:rsid w:val="00EF2FC1"/>
    <w:rsid w:val="00EF30EE"/>
    <w:rsid w:val="00EF4C6A"/>
    <w:rsid w:val="00F03134"/>
    <w:rsid w:val="00F07F77"/>
    <w:rsid w:val="00F14C29"/>
    <w:rsid w:val="00F150DB"/>
    <w:rsid w:val="00F15354"/>
    <w:rsid w:val="00F23932"/>
    <w:rsid w:val="00F245B0"/>
    <w:rsid w:val="00F24BFC"/>
    <w:rsid w:val="00F24CFE"/>
    <w:rsid w:val="00F25452"/>
    <w:rsid w:val="00F32BCC"/>
    <w:rsid w:val="00F346DA"/>
    <w:rsid w:val="00F411D9"/>
    <w:rsid w:val="00F41ABC"/>
    <w:rsid w:val="00F430B9"/>
    <w:rsid w:val="00F44B88"/>
    <w:rsid w:val="00F46431"/>
    <w:rsid w:val="00F468CE"/>
    <w:rsid w:val="00F62DD8"/>
    <w:rsid w:val="00F639F1"/>
    <w:rsid w:val="00F63C14"/>
    <w:rsid w:val="00F64217"/>
    <w:rsid w:val="00F6577A"/>
    <w:rsid w:val="00F703FB"/>
    <w:rsid w:val="00F737D8"/>
    <w:rsid w:val="00F764DF"/>
    <w:rsid w:val="00F773B9"/>
    <w:rsid w:val="00F77D63"/>
    <w:rsid w:val="00F804DE"/>
    <w:rsid w:val="00F82076"/>
    <w:rsid w:val="00F83AB5"/>
    <w:rsid w:val="00F84A63"/>
    <w:rsid w:val="00F908A1"/>
    <w:rsid w:val="00F90AE5"/>
    <w:rsid w:val="00F94486"/>
    <w:rsid w:val="00F95723"/>
    <w:rsid w:val="00F959D7"/>
    <w:rsid w:val="00F95BE1"/>
    <w:rsid w:val="00F96401"/>
    <w:rsid w:val="00FA427E"/>
    <w:rsid w:val="00FA4E10"/>
    <w:rsid w:val="00FA5B54"/>
    <w:rsid w:val="00FB0205"/>
    <w:rsid w:val="00FB1903"/>
    <w:rsid w:val="00FB2A81"/>
    <w:rsid w:val="00FB35A4"/>
    <w:rsid w:val="00FB3768"/>
    <w:rsid w:val="00FB5D5C"/>
    <w:rsid w:val="00FB73E1"/>
    <w:rsid w:val="00FB7414"/>
    <w:rsid w:val="00FB7BF4"/>
    <w:rsid w:val="00FC135B"/>
    <w:rsid w:val="00FC54DC"/>
    <w:rsid w:val="00FD089C"/>
    <w:rsid w:val="00FD0ECC"/>
    <w:rsid w:val="00FD2E44"/>
    <w:rsid w:val="00FD5028"/>
    <w:rsid w:val="00FD5477"/>
    <w:rsid w:val="00FD7C06"/>
    <w:rsid w:val="00FE1181"/>
    <w:rsid w:val="00FE13B5"/>
    <w:rsid w:val="00FE14B9"/>
    <w:rsid w:val="00FE6952"/>
    <w:rsid w:val="00FF456D"/>
    <w:rsid w:val="00FF4A0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4:docId w14:val="615F270E"/>
  <w15:chartTrackingRefBased/>
  <w15:docId w15:val="{4098C1C5-965B-4B35-9A70-F9387DC0F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896FD2"/>
    <w:pPr>
      <w:spacing w:before="120" w:after="0" w:line="240" w:lineRule="auto"/>
      <w:jc w:val="both"/>
    </w:pPr>
  </w:style>
  <w:style w:type="paragraph" w:styleId="Nadpis1">
    <w:name w:val="heading 1"/>
    <w:aliases w:val="N 1,Dipl 1,_Nadpis 1"/>
    <w:basedOn w:val="Normln"/>
    <w:next w:val="Normln"/>
    <w:link w:val="Nadpis1Char"/>
    <w:uiPriority w:val="9"/>
    <w:qFormat/>
    <w:rsid w:val="007A5C52"/>
    <w:pPr>
      <w:keepNext/>
      <w:keepLines/>
      <w:numPr>
        <w:numId w:val="4"/>
      </w:numPr>
      <w:spacing w:before="240" w:after="240"/>
      <w:ind w:left="431" w:hanging="431"/>
      <w:outlineLvl w:val="0"/>
    </w:pPr>
    <w:rPr>
      <w:rFonts w:eastAsiaTheme="majorEastAsia" w:cstheme="majorBidi"/>
      <w:b/>
      <w:color w:val="323E4F" w:themeColor="text2" w:themeShade="BF"/>
      <w:sz w:val="32"/>
      <w:szCs w:val="32"/>
    </w:rPr>
  </w:style>
  <w:style w:type="paragraph" w:styleId="Nadpis2">
    <w:name w:val="heading 2"/>
    <w:aliases w:val="Nadpis 2 Z,Dipl2,N 2"/>
    <w:basedOn w:val="Normln"/>
    <w:next w:val="Normln"/>
    <w:link w:val="Nadpis2Char"/>
    <w:uiPriority w:val="9"/>
    <w:unhideWhenUsed/>
    <w:qFormat/>
    <w:rsid w:val="00737B4F"/>
    <w:pPr>
      <w:keepNext/>
      <w:keepLines/>
      <w:numPr>
        <w:ilvl w:val="1"/>
        <w:numId w:val="4"/>
      </w:numPr>
      <w:spacing w:after="120" w:line="312" w:lineRule="auto"/>
      <w:ind w:left="578" w:hanging="578"/>
      <w:jc w:val="left"/>
      <w:outlineLvl w:val="1"/>
    </w:pPr>
    <w:rPr>
      <w:rFonts w:eastAsiaTheme="majorEastAsia" w:cstheme="majorBidi"/>
      <w:b/>
      <w:color w:val="2E74B5" w:themeColor="accent1" w:themeShade="BF"/>
      <w:sz w:val="26"/>
      <w:szCs w:val="26"/>
    </w:rPr>
  </w:style>
  <w:style w:type="paragraph" w:styleId="Nadpis3">
    <w:name w:val="heading 3"/>
    <w:aliases w:val="Nadpis 3 Z,Dipl3"/>
    <w:basedOn w:val="Normln"/>
    <w:next w:val="Normln"/>
    <w:link w:val="Nadpis3Char"/>
    <w:uiPriority w:val="9"/>
    <w:unhideWhenUsed/>
    <w:qFormat/>
    <w:rsid w:val="00CB2FC9"/>
    <w:pPr>
      <w:keepNext/>
      <w:keepLines/>
      <w:numPr>
        <w:ilvl w:val="2"/>
        <w:numId w:val="4"/>
      </w:numPr>
      <w:spacing w:before="240"/>
      <w:outlineLvl w:val="2"/>
    </w:pPr>
    <w:rPr>
      <w:rFonts w:eastAsiaTheme="majorEastAsia" w:cstheme="majorBidi"/>
      <w:color w:val="5B9BD5" w:themeColor="accent1"/>
      <w:sz w:val="24"/>
      <w:szCs w:val="24"/>
    </w:rPr>
  </w:style>
  <w:style w:type="paragraph" w:styleId="Nadpis4">
    <w:name w:val="heading 4"/>
    <w:aliases w:val="Nadpis 4 Z"/>
    <w:basedOn w:val="Normln"/>
    <w:next w:val="Normln"/>
    <w:link w:val="Nadpis4Char"/>
    <w:uiPriority w:val="9"/>
    <w:unhideWhenUsed/>
    <w:qFormat/>
    <w:rsid w:val="00CB2FC9"/>
    <w:pPr>
      <w:keepNext/>
      <w:keepLines/>
      <w:numPr>
        <w:ilvl w:val="3"/>
        <w:numId w:val="4"/>
      </w:numPr>
      <w:spacing w:before="240"/>
      <w:ind w:left="862" w:hanging="862"/>
      <w:outlineLvl w:val="3"/>
    </w:pPr>
    <w:rPr>
      <w:rFonts w:ascii="Calibri" w:eastAsiaTheme="majorEastAsia" w:hAnsi="Calibri" w:cstheme="majorBidi"/>
      <w:i/>
      <w:iCs/>
      <w:color w:val="5B9BD5" w:themeColor="accent1"/>
    </w:rPr>
  </w:style>
  <w:style w:type="paragraph" w:styleId="Nadpis5">
    <w:name w:val="heading 5"/>
    <w:basedOn w:val="Normln"/>
    <w:next w:val="Normln"/>
    <w:link w:val="Nadpis5Char"/>
    <w:uiPriority w:val="9"/>
    <w:unhideWhenUsed/>
    <w:qFormat/>
    <w:rsid w:val="004E1A5C"/>
    <w:pPr>
      <w:keepNext/>
      <w:keepLines/>
      <w:numPr>
        <w:ilvl w:val="4"/>
        <w:numId w:val="4"/>
      </w:numPr>
      <w:spacing w:before="240"/>
      <w:ind w:left="1009" w:hanging="1009"/>
      <w:outlineLvl w:val="4"/>
    </w:pPr>
    <w:rPr>
      <w:rFonts w:eastAsiaTheme="majorEastAsia" w:cstheme="majorBidi"/>
      <w:color w:val="2E74B5" w:themeColor="accent1" w:themeShade="BF"/>
    </w:rPr>
  </w:style>
  <w:style w:type="paragraph" w:styleId="Nadpis6">
    <w:name w:val="heading 6"/>
    <w:basedOn w:val="Normln"/>
    <w:next w:val="Normln"/>
    <w:link w:val="Nadpis6Char"/>
    <w:uiPriority w:val="9"/>
    <w:unhideWhenUsed/>
    <w:qFormat/>
    <w:rsid w:val="00CD1243"/>
    <w:pPr>
      <w:keepNext/>
      <w:keepLines/>
      <w:numPr>
        <w:ilvl w:val="5"/>
        <w:numId w:val="4"/>
      </w:numPr>
      <w:spacing w:before="4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unhideWhenUsed/>
    <w:qFormat/>
    <w:rsid w:val="00CD1243"/>
    <w:pPr>
      <w:keepNext/>
      <w:keepLines/>
      <w:numPr>
        <w:ilvl w:val="6"/>
        <w:numId w:val="4"/>
      </w:numPr>
      <w:spacing w:before="4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unhideWhenUsed/>
    <w:qFormat/>
    <w:rsid w:val="00CD1243"/>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unhideWhenUsed/>
    <w:qFormat/>
    <w:rsid w:val="00CD1243"/>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N 1 Char,Dipl 1 Char,_Nadpis 1 Char"/>
    <w:basedOn w:val="Standardnpsmoodstavce"/>
    <w:link w:val="Nadpis1"/>
    <w:uiPriority w:val="9"/>
    <w:rsid w:val="007A5C52"/>
    <w:rPr>
      <w:rFonts w:eastAsiaTheme="majorEastAsia" w:cstheme="majorBidi"/>
      <w:b/>
      <w:color w:val="323E4F" w:themeColor="text2" w:themeShade="BF"/>
      <w:sz w:val="32"/>
      <w:szCs w:val="32"/>
    </w:rPr>
  </w:style>
  <w:style w:type="character" w:customStyle="1" w:styleId="Nadpis2Char">
    <w:name w:val="Nadpis 2 Char"/>
    <w:aliases w:val="Nadpis 2 Z Char,Dipl2 Char,N 2 Char"/>
    <w:basedOn w:val="Standardnpsmoodstavce"/>
    <w:link w:val="Nadpis2"/>
    <w:uiPriority w:val="9"/>
    <w:rsid w:val="00737B4F"/>
    <w:rPr>
      <w:rFonts w:eastAsiaTheme="majorEastAsia" w:cstheme="majorBidi"/>
      <w:b/>
      <w:color w:val="2E74B5" w:themeColor="accent1" w:themeShade="BF"/>
      <w:sz w:val="26"/>
      <w:szCs w:val="26"/>
    </w:rPr>
  </w:style>
  <w:style w:type="character" w:customStyle="1" w:styleId="Nadpis3Char">
    <w:name w:val="Nadpis 3 Char"/>
    <w:aliases w:val="Nadpis 3 Z Char,Dipl3 Char"/>
    <w:basedOn w:val="Standardnpsmoodstavce"/>
    <w:link w:val="Nadpis3"/>
    <w:uiPriority w:val="9"/>
    <w:rsid w:val="00CB2FC9"/>
    <w:rPr>
      <w:rFonts w:eastAsiaTheme="majorEastAsia" w:cstheme="majorBidi"/>
      <w:color w:val="5B9BD5" w:themeColor="accent1"/>
      <w:sz w:val="24"/>
      <w:szCs w:val="24"/>
    </w:rPr>
  </w:style>
  <w:style w:type="character" w:customStyle="1" w:styleId="Nadpis4Char">
    <w:name w:val="Nadpis 4 Char"/>
    <w:aliases w:val="Nadpis 4 Z Char"/>
    <w:basedOn w:val="Standardnpsmoodstavce"/>
    <w:link w:val="Nadpis4"/>
    <w:uiPriority w:val="9"/>
    <w:rsid w:val="00CB2FC9"/>
    <w:rPr>
      <w:rFonts w:ascii="Calibri" w:eastAsiaTheme="majorEastAsia" w:hAnsi="Calibri" w:cstheme="majorBidi"/>
      <w:i/>
      <w:iCs/>
      <w:color w:val="5B9BD5" w:themeColor="accent1"/>
    </w:rPr>
  </w:style>
  <w:style w:type="character" w:customStyle="1" w:styleId="Nadpis5Char">
    <w:name w:val="Nadpis 5 Char"/>
    <w:basedOn w:val="Standardnpsmoodstavce"/>
    <w:link w:val="Nadpis5"/>
    <w:uiPriority w:val="9"/>
    <w:rsid w:val="004E1A5C"/>
    <w:rPr>
      <w:rFonts w:eastAsiaTheme="majorEastAsia" w:cstheme="majorBidi"/>
      <w:color w:val="2E74B5" w:themeColor="accent1" w:themeShade="BF"/>
    </w:rPr>
  </w:style>
  <w:style w:type="character" w:customStyle="1" w:styleId="Nadpis6Char">
    <w:name w:val="Nadpis 6 Char"/>
    <w:basedOn w:val="Standardnpsmoodstavce"/>
    <w:link w:val="Nadpis6"/>
    <w:uiPriority w:val="9"/>
    <w:rsid w:val="00CD1243"/>
    <w:rPr>
      <w:rFonts w:asciiTheme="majorHAnsi" w:eastAsiaTheme="majorEastAsia" w:hAnsiTheme="majorHAnsi" w:cstheme="majorBidi"/>
      <w:color w:val="1F4D78" w:themeColor="accent1" w:themeShade="7F"/>
    </w:rPr>
  </w:style>
  <w:style w:type="character" w:customStyle="1" w:styleId="Nadpis7Char">
    <w:name w:val="Nadpis 7 Char"/>
    <w:basedOn w:val="Standardnpsmoodstavce"/>
    <w:link w:val="Nadpis7"/>
    <w:uiPriority w:val="9"/>
    <w:rsid w:val="00CD1243"/>
    <w:rPr>
      <w:rFonts w:asciiTheme="majorHAnsi" w:eastAsiaTheme="majorEastAsia" w:hAnsiTheme="majorHAnsi" w:cstheme="majorBidi"/>
      <w:i/>
      <w:iCs/>
      <w:color w:val="1F4D78" w:themeColor="accent1" w:themeShade="7F"/>
    </w:rPr>
  </w:style>
  <w:style w:type="character" w:customStyle="1" w:styleId="Nadpis8Char">
    <w:name w:val="Nadpis 8 Char"/>
    <w:basedOn w:val="Standardnpsmoodstavce"/>
    <w:link w:val="Nadpis8"/>
    <w:uiPriority w:val="9"/>
    <w:rsid w:val="00CD1243"/>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rsid w:val="00CD1243"/>
    <w:rPr>
      <w:rFonts w:asciiTheme="majorHAnsi" w:eastAsiaTheme="majorEastAsia" w:hAnsiTheme="majorHAnsi" w:cstheme="majorBidi"/>
      <w:i/>
      <w:iCs/>
      <w:color w:val="272727" w:themeColor="text1" w:themeTint="D8"/>
      <w:sz w:val="21"/>
      <w:szCs w:val="21"/>
    </w:rPr>
  </w:style>
  <w:style w:type="character" w:styleId="Zdraznn">
    <w:name w:val="Emphasis"/>
    <w:basedOn w:val="Standardnpsmoodstavce"/>
    <w:uiPriority w:val="20"/>
    <w:qFormat/>
    <w:rsid w:val="000A1E75"/>
    <w:rPr>
      <w:i/>
      <w:iCs/>
    </w:rPr>
  </w:style>
  <w:style w:type="character" w:styleId="Hypertextovodkaz">
    <w:name w:val="Hyperlink"/>
    <w:basedOn w:val="Standardnpsmoodstavce"/>
    <w:uiPriority w:val="99"/>
    <w:unhideWhenUsed/>
    <w:rsid w:val="003A751B"/>
    <w:rPr>
      <w:color w:val="0000FF"/>
      <w:u w:val="single"/>
    </w:rPr>
  </w:style>
  <w:style w:type="paragraph" w:styleId="Normlnweb">
    <w:name w:val="Normal (Web)"/>
    <w:basedOn w:val="Normln"/>
    <w:uiPriority w:val="99"/>
    <w:unhideWhenUsed/>
    <w:rsid w:val="0026322C"/>
    <w:pPr>
      <w:spacing w:before="100" w:beforeAutospacing="1" w:after="100" w:afterAutospacing="1"/>
    </w:pPr>
    <w:rPr>
      <w:rFonts w:ascii="Times New Roman" w:eastAsia="Times New Roman" w:hAnsi="Times New Roman" w:cs="Times New Roman"/>
      <w:sz w:val="24"/>
      <w:szCs w:val="24"/>
      <w:lang w:eastAsia="cs-CZ"/>
    </w:rPr>
  </w:style>
  <w:style w:type="character" w:styleId="Sledovanodkaz">
    <w:name w:val="FollowedHyperlink"/>
    <w:basedOn w:val="Standardnpsmoodstavce"/>
    <w:uiPriority w:val="99"/>
    <w:unhideWhenUsed/>
    <w:rsid w:val="000A3F35"/>
    <w:rPr>
      <w:color w:val="954F72" w:themeColor="followedHyperlink"/>
      <w:u w:val="single"/>
    </w:rPr>
  </w:style>
  <w:style w:type="table" w:styleId="Mkatabulky">
    <w:name w:val="Table Grid"/>
    <w:basedOn w:val="Normlntabulka"/>
    <w:uiPriority w:val="39"/>
    <w:rsid w:val="003015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aliases w:val="_Odstavec se seznamem,Seznam - odrážky,Tučné,Nad,List Paragraph,Odstavec cíl se seznamem,Odstavec se seznamem5,Odstavec_muj,Bullet Number,A-Odrážky1,Odstavec_muj1,Odstavec_muj2,Odstavec_muj3,Nad1,Odstavec_muj4,Nad2,List Paragraph2"/>
    <w:basedOn w:val="Normln"/>
    <w:link w:val="OdstavecseseznamemChar"/>
    <w:uiPriority w:val="34"/>
    <w:qFormat/>
    <w:rsid w:val="00F346DA"/>
    <w:pPr>
      <w:ind w:left="720"/>
      <w:contextualSpacing/>
    </w:pPr>
  </w:style>
  <w:style w:type="character" w:customStyle="1" w:styleId="OdstavecseseznamemChar">
    <w:name w:val="Odstavec se seznamem Char"/>
    <w:aliases w:val="_Odstavec se seznamem Char,Seznam - odrážky Char,Tučné Char,Nad Char,List Paragraph Char,Odstavec cíl se seznamem Char,Odstavec se seznamem5 Char,Odstavec_muj Char,Bullet Number Char,A-Odrážky1 Char,Odstavec_muj1 Char,Nad1 Char"/>
    <w:link w:val="Odstavecseseznamem"/>
    <w:uiPriority w:val="34"/>
    <w:qFormat/>
    <w:locked/>
    <w:rsid w:val="00827953"/>
  </w:style>
  <w:style w:type="paragraph" w:styleId="Textpoznpodarou">
    <w:name w:val="footnote text"/>
    <w:aliases w:val="Text poznámky pod čiarou 007,_Poznámka pod čiarou,Poznámka,pozn. pod čarou,Footnote text,Fußnotentextf,Char1,Schriftart: 9 pt,Schriftart: 10 pt,Schriftart: 8 pt,Geneva 9,Font: Geneva 9,Boston 10,f,Text pozn. pod čarou1,Char13,o,Char"/>
    <w:basedOn w:val="Normln"/>
    <w:link w:val="TextpoznpodarouChar"/>
    <w:uiPriority w:val="99"/>
    <w:unhideWhenUsed/>
    <w:qFormat/>
    <w:rsid w:val="00F346DA"/>
    <w:rPr>
      <w:sz w:val="20"/>
      <w:szCs w:val="20"/>
    </w:rPr>
  </w:style>
  <w:style w:type="character" w:customStyle="1" w:styleId="TextpoznpodarouChar">
    <w:name w:val="Text pozn. pod čarou Char"/>
    <w:aliases w:val="Text poznámky pod čiarou 007 Char,_Poznámka pod čiarou Char,Poznámka Char,pozn. pod čarou Char,Footnote text Char,Fußnotentextf Char,Char1 Char,Schriftart: 9 pt Char,Schriftart: 10 pt Char,Schriftart: 8 pt Char,Geneva 9 Char"/>
    <w:basedOn w:val="Standardnpsmoodstavce"/>
    <w:link w:val="Textpoznpodarou"/>
    <w:uiPriority w:val="99"/>
    <w:qFormat/>
    <w:rsid w:val="00F346DA"/>
    <w:rPr>
      <w:sz w:val="20"/>
      <w:szCs w:val="20"/>
    </w:rPr>
  </w:style>
  <w:style w:type="character" w:styleId="Znakapoznpodarou">
    <w:name w:val="footnote reference"/>
    <w:aliases w:val="Footnote symbol,Footnote,PGI Fußnote Ziffer,BVI fnr,Footnote Reference Superscript,Appel note de bas de p,Appel note de bas de page,Légende,Char Car Car Car Car,Voetnootverwijzing,Légende;Char Car Car Car Car,ESPON Footnote No,fr"/>
    <w:basedOn w:val="Standardnpsmoodstavce"/>
    <w:link w:val="stylishCar"/>
    <w:uiPriority w:val="99"/>
    <w:unhideWhenUsed/>
    <w:qFormat/>
    <w:rsid w:val="00F346DA"/>
    <w:rPr>
      <w:vertAlign w:val="superscript"/>
    </w:rPr>
  </w:style>
  <w:style w:type="paragraph" w:customStyle="1" w:styleId="Default">
    <w:name w:val="Default"/>
    <w:qFormat/>
    <w:rsid w:val="004B69CE"/>
    <w:pPr>
      <w:autoSpaceDE w:val="0"/>
      <w:autoSpaceDN w:val="0"/>
      <w:adjustRightInd w:val="0"/>
      <w:spacing w:after="0" w:line="240" w:lineRule="auto"/>
    </w:pPr>
    <w:rPr>
      <w:rFonts w:ascii="Calibri" w:hAnsi="Calibri" w:cs="Calibri"/>
      <w:color w:val="000000"/>
      <w:sz w:val="24"/>
      <w:szCs w:val="24"/>
    </w:rPr>
  </w:style>
  <w:style w:type="table" w:styleId="Tabulkasmkou4zvraznn2">
    <w:name w:val="Grid Table 4 Accent 2"/>
    <w:basedOn w:val="Normlntabulka"/>
    <w:uiPriority w:val="49"/>
    <w:rsid w:val="00DD6B5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Svtltabulkasmkou1">
    <w:name w:val="Grid Table 1 Light"/>
    <w:basedOn w:val="Normlntabulka"/>
    <w:uiPriority w:val="46"/>
    <w:rsid w:val="00DD6B5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itulek">
    <w:name w:val="caption"/>
    <w:aliases w:val="Titulek tabulky,Title for table,picture,graph,formula,Zdroj_moje,titulek tabulka,Tabulka-PK,Tabulka,Tabulka_nadpis,Podpis pod rysunkiem,Nagłówek Tabeli,Nag3ówek Tabeli,Podpis pod obiektem rys,Tabela nr,Legenda Znak Znak Znak,Legenda Znak Znak Z"/>
    <w:basedOn w:val="Normln"/>
    <w:next w:val="Normln"/>
    <w:link w:val="TitulekChar"/>
    <w:uiPriority w:val="99"/>
    <w:unhideWhenUsed/>
    <w:qFormat/>
    <w:rsid w:val="00C027A1"/>
    <w:pPr>
      <w:spacing w:after="200"/>
    </w:pPr>
    <w:rPr>
      <w:b/>
      <w:iCs/>
      <w:sz w:val="18"/>
      <w:szCs w:val="18"/>
    </w:rPr>
  </w:style>
  <w:style w:type="character" w:customStyle="1" w:styleId="TitulekChar">
    <w:name w:val="Titulek Char"/>
    <w:aliases w:val="Titulek tabulky Char,Title for table Char,picture Char,graph Char,formula Char,Zdroj_moje Char,titulek tabulka Char,Tabulka-PK Char,Tabulka Char,Tabulka_nadpis Char,Podpis pod rysunkiem Char,Nagłówek Tabeli Char,Nag3ówek Tabeli Char"/>
    <w:link w:val="Titulek"/>
    <w:uiPriority w:val="99"/>
    <w:qFormat/>
    <w:locked/>
    <w:rsid w:val="006F3CC1"/>
    <w:rPr>
      <w:b/>
      <w:iCs/>
      <w:sz w:val="18"/>
      <w:szCs w:val="18"/>
    </w:rPr>
  </w:style>
  <w:style w:type="character" w:styleId="Siln">
    <w:name w:val="Strong"/>
    <w:basedOn w:val="Standardnpsmoodstavce"/>
    <w:uiPriority w:val="22"/>
    <w:qFormat/>
    <w:rsid w:val="001A0C6E"/>
    <w:rPr>
      <w:b/>
      <w:bCs/>
    </w:rPr>
  </w:style>
  <w:style w:type="paragraph" w:styleId="Zhlav">
    <w:name w:val="header"/>
    <w:aliases w:val="Záhlaví a zápatí"/>
    <w:basedOn w:val="Normln"/>
    <w:link w:val="ZhlavChar"/>
    <w:uiPriority w:val="99"/>
    <w:unhideWhenUsed/>
    <w:rsid w:val="00C00322"/>
    <w:pPr>
      <w:tabs>
        <w:tab w:val="center" w:pos="4536"/>
        <w:tab w:val="right" w:pos="9072"/>
      </w:tabs>
    </w:pPr>
  </w:style>
  <w:style w:type="character" w:customStyle="1" w:styleId="ZhlavChar">
    <w:name w:val="Záhlaví Char"/>
    <w:aliases w:val="Záhlaví a zápatí Char"/>
    <w:basedOn w:val="Standardnpsmoodstavce"/>
    <w:link w:val="Zhlav"/>
    <w:uiPriority w:val="99"/>
    <w:rsid w:val="00C00322"/>
  </w:style>
  <w:style w:type="paragraph" w:styleId="Zpat">
    <w:name w:val="footer"/>
    <w:aliases w:val="Char10"/>
    <w:basedOn w:val="Normln"/>
    <w:link w:val="ZpatChar"/>
    <w:uiPriority w:val="99"/>
    <w:unhideWhenUsed/>
    <w:rsid w:val="00C00322"/>
    <w:pPr>
      <w:tabs>
        <w:tab w:val="center" w:pos="4536"/>
        <w:tab w:val="right" w:pos="9072"/>
      </w:tabs>
    </w:pPr>
  </w:style>
  <w:style w:type="character" w:customStyle="1" w:styleId="ZpatChar">
    <w:name w:val="Zápatí Char"/>
    <w:aliases w:val="Char10 Char"/>
    <w:basedOn w:val="Standardnpsmoodstavce"/>
    <w:link w:val="Zpat"/>
    <w:uiPriority w:val="99"/>
    <w:rsid w:val="00C00322"/>
  </w:style>
  <w:style w:type="paragraph" w:styleId="Revize">
    <w:name w:val="Revision"/>
    <w:hidden/>
    <w:uiPriority w:val="99"/>
    <w:semiHidden/>
    <w:rsid w:val="00C00322"/>
    <w:pPr>
      <w:spacing w:after="0" w:line="240" w:lineRule="auto"/>
    </w:pPr>
  </w:style>
  <w:style w:type="paragraph" w:styleId="Textbubliny">
    <w:name w:val="Balloon Text"/>
    <w:basedOn w:val="Normln"/>
    <w:link w:val="TextbublinyChar"/>
    <w:uiPriority w:val="99"/>
    <w:unhideWhenUsed/>
    <w:rsid w:val="00C00322"/>
    <w:rPr>
      <w:rFonts w:ascii="Segoe UI" w:hAnsi="Segoe UI" w:cs="Segoe UI"/>
      <w:sz w:val="18"/>
      <w:szCs w:val="18"/>
    </w:rPr>
  </w:style>
  <w:style w:type="character" w:customStyle="1" w:styleId="TextbublinyChar">
    <w:name w:val="Text bubliny Char"/>
    <w:basedOn w:val="Standardnpsmoodstavce"/>
    <w:link w:val="Textbubliny"/>
    <w:uiPriority w:val="99"/>
    <w:rsid w:val="00C00322"/>
    <w:rPr>
      <w:rFonts w:ascii="Segoe UI" w:hAnsi="Segoe UI" w:cs="Segoe UI"/>
      <w:sz w:val="18"/>
      <w:szCs w:val="18"/>
    </w:rPr>
  </w:style>
  <w:style w:type="paragraph" w:styleId="Nadpisobsahu">
    <w:name w:val="TOC Heading"/>
    <w:basedOn w:val="Nadpis1"/>
    <w:next w:val="Normln"/>
    <w:uiPriority w:val="39"/>
    <w:unhideWhenUsed/>
    <w:qFormat/>
    <w:rsid w:val="00CB776F"/>
    <w:pPr>
      <w:numPr>
        <w:numId w:val="0"/>
      </w:numPr>
      <w:spacing w:after="0"/>
      <w:outlineLvl w:val="9"/>
    </w:pPr>
    <w:rPr>
      <w:lang w:eastAsia="cs-CZ"/>
    </w:rPr>
  </w:style>
  <w:style w:type="paragraph" w:styleId="Obsah1">
    <w:name w:val="toc 1"/>
    <w:basedOn w:val="Normln"/>
    <w:next w:val="Normln"/>
    <w:autoRedefine/>
    <w:uiPriority w:val="39"/>
    <w:unhideWhenUsed/>
    <w:rsid w:val="00CB776F"/>
    <w:pPr>
      <w:tabs>
        <w:tab w:val="right" w:leader="dot" w:pos="9062"/>
      </w:tabs>
      <w:spacing w:after="100"/>
    </w:pPr>
  </w:style>
  <w:style w:type="paragraph" w:styleId="Obsah2">
    <w:name w:val="toc 2"/>
    <w:basedOn w:val="Normln"/>
    <w:next w:val="Normln"/>
    <w:autoRedefine/>
    <w:uiPriority w:val="39"/>
    <w:unhideWhenUsed/>
    <w:rsid w:val="00CB776F"/>
    <w:pPr>
      <w:spacing w:after="100"/>
      <w:ind w:left="220"/>
    </w:pPr>
  </w:style>
  <w:style w:type="paragraph" w:styleId="Obsah3">
    <w:name w:val="toc 3"/>
    <w:basedOn w:val="Normln"/>
    <w:next w:val="Normln"/>
    <w:autoRedefine/>
    <w:uiPriority w:val="39"/>
    <w:unhideWhenUsed/>
    <w:rsid w:val="00CB776F"/>
    <w:pPr>
      <w:spacing w:after="100"/>
      <w:ind w:left="440"/>
    </w:pPr>
  </w:style>
  <w:style w:type="character" w:styleId="Odkaznakoment">
    <w:name w:val="annotation reference"/>
    <w:basedOn w:val="Standardnpsmoodstavce"/>
    <w:uiPriority w:val="99"/>
    <w:unhideWhenUsed/>
    <w:rsid w:val="00723007"/>
    <w:rPr>
      <w:sz w:val="16"/>
      <w:szCs w:val="16"/>
    </w:rPr>
  </w:style>
  <w:style w:type="paragraph" w:styleId="Textkomente">
    <w:name w:val="annotation text"/>
    <w:basedOn w:val="Normln"/>
    <w:link w:val="TextkomenteChar"/>
    <w:uiPriority w:val="99"/>
    <w:unhideWhenUsed/>
    <w:rsid w:val="00723007"/>
    <w:rPr>
      <w:sz w:val="20"/>
      <w:szCs w:val="20"/>
    </w:rPr>
  </w:style>
  <w:style w:type="character" w:customStyle="1" w:styleId="TextkomenteChar">
    <w:name w:val="Text komentáře Char"/>
    <w:basedOn w:val="Standardnpsmoodstavce"/>
    <w:link w:val="Textkomente"/>
    <w:uiPriority w:val="99"/>
    <w:rsid w:val="00723007"/>
    <w:rPr>
      <w:sz w:val="20"/>
      <w:szCs w:val="20"/>
    </w:rPr>
  </w:style>
  <w:style w:type="paragraph" w:styleId="Pedmtkomente">
    <w:name w:val="annotation subject"/>
    <w:basedOn w:val="Textkomente"/>
    <w:next w:val="Textkomente"/>
    <w:link w:val="PedmtkomenteChar"/>
    <w:uiPriority w:val="99"/>
    <w:unhideWhenUsed/>
    <w:rsid w:val="00723007"/>
    <w:rPr>
      <w:b/>
      <w:bCs/>
    </w:rPr>
  </w:style>
  <w:style w:type="character" w:customStyle="1" w:styleId="PedmtkomenteChar">
    <w:name w:val="Předmět komentáře Char"/>
    <w:basedOn w:val="TextkomenteChar"/>
    <w:link w:val="Pedmtkomente"/>
    <w:uiPriority w:val="99"/>
    <w:rsid w:val="00723007"/>
    <w:rPr>
      <w:b/>
      <w:bCs/>
      <w:sz w:val="20"/>
      <w:szCs w:val="20"/>
    </w:rPr>
  </w:style>
  <w:style w:type="table" w:styleId="Svtltabulkasmkou1zvraznn1">
    <w:name w:val="Grid Table 1 Light Accent 1"/>
    <w:basedOn w:val="Normlntabulka"/>
    <w:uiPriority w:val="46"/>
    <w:rsid w:val="00AB756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tsubjname">
    <w:name w:val="tsubjname"/>
    <w:basedOn w:val="Standardnpsmoodstavce"/>
    <w:rsid w:val="00203A62"/>
  </w:style>
  <w:style w:type="paragraph" w:customStyle="1" w:styleId="Zdroj">
    <w:name w:val="Zdroj"/>
    <w:basedOn w:val="Normln"/>
    <w:link w:val="ZdrojChar"/>
    <w:qFormat/>
    <w:rsid w:val="00C027A1"/>
    <w:pPr>
      <w:spacing w:after="120"/>
      <w:jc w:val="left"/>
    </w:pPr>
    <w:rPr>
      <w:rFonts w:eastAsia="Times New Roman" w:cs="Times New Roman"/>
      <w:i/>
      <w:sz w:val="18"/>
      <w:szCs w:val="24"/>
      <w:lang w:eastAsia="cs-CZ"/>
    </w:rPr>
  </w:style>
  <w:style w:type="character" w:customStyle="1" w:styleId="ZdrojChar">
    <w:name w:val="Zdroj Char"/>
    <w:basedOn w:val="Standardnpsmoodstavce"/>
    <w:link w:val="Zdroj"/>
    <w:locked/>
    <w:rsid w:val="00C027A1"/>
    <w:rPr>
      <w:rFonts w:eastAsia="Times New Roman" w:cs="Times New Roman"/>
      <w:i/>
      <w:sz w:val="18"/>
      <w:szCs w:val="24"/>
      <w:lang w:eastAsia="cs-CZ"/>
    </w:rPr>
  </w:style>
  <w:style w:type="paragraph" w:customStyle="1" w:styleId="l31">
    <w:name w:val="l31"/>
    <w:basedOn w:val="Normln"/>
    <w:rsid w:val="00D06C30"/>
    <w:pPr>
      <w:spacing w:before="144" w:after="144"/>
    </w:pPr>
    <w:rPr>
      <w:rFonts w:ascii="Times New Roman" w:eastAsia="Times New Roman" w:hAnsi="Times New Roman" w:cs="Times New Roman"/>
      <w:sz w:val="24"/>
      <w:szCs w:val="24"/>
      <w:lang w:eastAsia="cs-CZ"/>
    </w:rPr>
  </w:style>
  <w:style w:type="paragraph" w:customStyle="1" w:styleId="l41">
    <w:name w:val="l41"/>
    <w:basedOn w:val="Normln"/>
    <w:rsid w:val="00D06C30"/>
    <w:pPr>
      <w:spacing w:before="144" w:after="144"/>
    </w:pPr>
    <w:rPr>
      <w:rFonts w:ascii="Times New Roman" w:eastAsia="Times New Roman" w:hAnsi="Times New Roman" w:cs="Times New Roman"/>
      <w:sz w:val="24"/>
      <w:szCs w:val="24"/>
      <w:lang w:eastAsia="cs-CZ"/>
    </w:rPr>
  </w:style>
  <w:style w:type="table" w:customStyle="1" w:styleId="Svtltabulkasmkou11">
    <w:name w:val="Světlá tabulka s mřížkou 11"/>
    <w:basedOn w:val="Normlntabulka"/>
    <w:next w:val="Svtltabulkasmkou1"/>
    <w:uiPriority w:val="46"/>
    <w:rsid w:val="00A91C0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2">
    <w:name w:val="Světlá tabulka s mřížkou 12"/>
    <w:basedOn w:val="Normlntabulka"/>
    <w:next w:val="Svtltabulkasmkou1"/>
    <w:uiPriority w:val="46"/>
    <w:rsid w:val="00A91C0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3">
    <w:name w:val="Světlá tabulka s mřížkou 13"/>
    <w:basedOn w:val="Normlntabulka"/>
    <w:next w:val="Svtltabulkasmkou1"/>
    <w:uiPriority w:val="46"/>
    <w:rsid w:val="00A91C0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4">
    <w:name w:val="Světlá tabulka s mřížkou 14"/>
    <w:basedOn w:val="Normlntabulka"/>
    <w:next w:val="Svtltabulkasmkou1"/>
    <w:uiPriority w:val="46"/>
    <w:rsid w:val="00A91C0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5">
    <w:name w:val="Světlá tabulka s mřížkou 15"/>
    <w:basedOn w:val="Normlntabulka"/>
    <w:next w:val="Svtltabulkasmkou1"/>
    <w:uiPriority w:val="46"/>
    <w:rsid w:val="00A91C0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6">
    <w:name w:val="Světlá tabulka s mřížkou 16"/>
    <w:basedOn w:val="Normlntabulka"/>
    <w:next w:val="Svtltabulkasmkou1"/>
    <w:uiPriority w:val="46"/>
    <w:rsid w:val="00A91C0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7">
    <w:name w:val="Světlá tabulka s mřížkou 17"/>
    <w:basedOn w:val="Normlntabulka"/>
    <w:next w:val="Svtltabulkasmkou1"/>
    <w:uiPriority w:val="46"/>
    <w:rsid w:val="009A244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8">
    <w:name w:val="Světlá tabulka s mřížkou 18"/>
    <w:basedOn w:val="Normlntabulka"/>
    <w:next w:val="Svtltabulkasmkou1"/>
    <w:uiPriority w:val="46"/>
    <w:rsid w:val="009A244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9">
    <w:name w:val="Světlá tabulka s mřížkou 19"/>
    <w:basedOn w:val="Normlntabulka"/>
    <w:next w:val="Svtltabulkasmkou1"/>
    <w:uiPriority w:val="46"/>
    <w:rsid w:val="009A244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10">
    <w:name w:val="Světlá tabulka s mřížkou 110"/>
    <w:basedOn w:val="Normlntabulka"/>
    <w:next w:val="Svtltabulkasmkou1"/>
    <w:uiPriority w:val="46"/>
    <w:rsid w:val="009A244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11">
    <w:name w:val="Světlá tabulka s mřížkou 111"/>
    <w:basedOn w:val="Normlntabulka"/>
    <w:next w:val="Svtltabulkasmkou1"/>
    <w:uiPriority w:val="46"/>
    <w:rsid w:val="009A244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12">
    <w:name w:val="Světlá tabulka s mřížkou 112"/>
    <w:basedOn w:val="Normlntabulka"/>
    <w:next w:val="Svtltabulkasmkou1"/>
    <w:uiPriority w:val="46"/>
    <w:rsid w:val="009A244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zvraznn11">
    <w:name w:val="Světlá tabulka s mřížkou 1 – zvýraznění 11"/>
    <w:basedOn w:val="Normlntabulka"/>
    <w:next w:val="Svtltabulkasmkou1zvraznn1"/>
    <w:uiPriority w:val="46"/>
    <w:rsid w:val="009A2449"/>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ff0">
    <w:name w:val="ff0"/>
    <w:rsid w:val="00585CAD"/>
  </w:style>
  <w:style w:type="character" w:customStyle="1" w:styleId="cf3">
    <w:name w:val="cf3"/>
    <w:rsid w:val="00585CAD"/>
  </w:style>
  <w:style w:type="paragraph" w:customStyle="1" w:styleId="Popisektabulekaobrzk">
    <w:name w:val="Popisek tabulek a obrázků"/>
    <w:basedOn w:val="Normln"/>
    <w:rsid w:val="00F46431"/>
    <w:pPr>
      <w:spacing w:before="0" w:line="288" w:lineRule="auto"/>
    </w:pPr>
    <w:rPr>
      <w:rFonts w:ascii="Calibri" w:eastAsia="Times New Roman" w:hAnsi="Calibri" w:cs="Times New Roman"/>
      <w:b/>
      <w:bCs/>
      <w:szCs w:val="20"/>
      <w:lang w:eastAsia="cs-CZ"/>
    </w:rPr>
  </w:style>
  <w:style w:type="table" w:customStyle="1" w:styleId="Mkatabulky2">
    <w:name w:val="Mřížka tabulky2"/>
    <w:basedOn w:val="Normlntabulka"/>
    <w:next w:val="Mkatabulky"/>
    <w:uiPriority w:val="39"/>
    <w:rsid w:val="006F3CC1"/>
    <w:pPr>
      <w:spacing w:after="0" w:line="240" w:lineRule="auto"/>
    </w:pPr>
    <w:rPr>
      <w:rFonts w:ascii="Calibri" w:eastAsia="Times New Roman"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next w:val="Mkatabulky"/>
    <w:uiPriority w:val="39"/>
    <w:rsid w:val="006F3CC1"/>
    <w:pPr>
      <w:spacing w:after="0" w:line="240" w:lineRule="auto"/>
    </w:pPr>
    <w:rPr>
      <w:rFonts w:ascii="Calibri" w:eastAsia="Times New Roman"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link w:val="BezmezerChar"/>
    <w:uiPriority w:val="1"/>
    <w:qFormat/>
    <w:rsid w:val="006F3CC1"/>
    <w:pPr>
      <w:spacing w:after="0" w:line="240" w:lineRule="auto"/>
      <w:jc w:val="both"/>
    </w:pPr>
  </w:style>
  <w:style w:type="paragraph" w:styleId="Nzev">
    <w:name w:val="Title"/>
    <w:basedOn w:val="Normln"/>
    <w:next w:val="Normln"/>
    <w:link w:val="NzevChar"/>
    <w:qFormat/>
    <w:rsid w:val="006F3CC1"/>
    <w:pPr>
      <w:spacing w:before="0"/>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rsid w:val="006F3CC1"/>
    <w:rPr>
      <w:rFonts w:asciiTheme="majorHAnsi" w:eastAsiaTheme="majorEastAsia" w:hAnsiTheme="majorHAnsi" w:cstheme="majorBidi"/>
      <w:spacing w:val="-10"/>
      <w:kern w:val="28"/>
      <w:sz w:val="56"/>
      <w:szCs w:val="56"/>
    </w:rPr>
  </w:style>
  <w:style w:type="paragraph" w:styleId="Podnadpis">
    <w:name w:val="Subtitle"/>
    <w:aliases w:val="Podstyl"/>
    <w:basedOn w:val="Normln"/>
    <w:next w:val="Normln"/>
    <w:link w:val="PodnadpisChar"/>
    <w:uiPriority w:val="99"/>
    <w:qFormat/>
    <w:rsid w:val="006F3CC1"/>
    <w:pPr>
      <w:numPr>
        <w:ilvl w:val="1"/>
      </w:numPr>
      <w:spacing w:after="160"/>
    </w:pPr>
    <w:rPr>
      <w:rFonts w:eastAsiaTheme="minorEastAsia"/>
      <w:color w:val="5A5A5A" w:themeColor="text1" w:themeTint="A5"/>
      <w:spacing w:val="15"/>
    </w:rPr>
  </w:style>
  <w:style w:type="character" w:customStyle="1" w:styleId="PodnadpisChar">
    <w:name w:val="Podnadpis Char"/>
    <w:aliases w:val="Podstyl Char"/>
    <w:basedOn w:val="Standardnpsmoodstavce"/>
    <w:link w:val="Podnadpis"/>
    <w:uiPriority w:val="99"/>
    <w:rsid w:val="006F3CC1"/>
    <w:rPr>
      <w:rFonts w:eastAsiaTheme="minorEastAsia"/>
      <w:color w:val="5A5A5A" w:themeColor="text1" w:themeTint="A5"/>
      <w:spacing w:val="15"/>
    </w:rPr>
  </w:style>
  <w:style w:type="character" w:styleId="Zdraznnjemn">
    <w:name w:val="Subtle Emphasis"/>
    <w:basedOn w:val="Standardnpsmoodstavce"/>
    <w:uiPriority w:val="19"/>
    <w:qFormat/>
    <w:rsid w:val="006F3CC1"/>
    <w:rPr>
      <w:i/>
      <w:iCs/>
      <w:color w:val="404040" w:themeColor="text1" w:themeTint="BF"/>
    </w:rPr>
  </w:style>
  <w:style w:type="paragraph" w:styleId="Citt">
    <w:name w:val="Quote"/>
    <w:basedOn w:val="Normln"/>
    <w:next w:val="Normln"/>
    <w:link w:val="CittChar"/>
    <w:uiPriority w:val="29"/>
    <w:qFormat/>
    <w:rsid w:val="006F3CC1"/>
    <w:pPr>
      <w:spacing w:before="0" w:line="276" w:lineRule="auto"/>
      <w:jc w:val="left"/>
    </w:pPr>
    <w:rPr>
      <w:i/>
      <w:iCs/>
      <w:color w:val="000000" w:themeColor="text1"/>
      <w:sz w:val="18"/>
    </w:rPr>
  </w:style>
  <w:style w:type="character" w:customStyle="1" w:styleId="CittChar">
    <w:name w:val="Citát Char"/>
    <w:basedOn w:val="Standardnpsmoodstavce"/>
    <w:link w:val="Citt"/>
    <w:uiPriority w:val="29"/>
    <w:rsid w:val="006F3CC1"/>
    <w:rPr>
      <w:i/>
      <w:iCs/>
      <w:color w:val="000000" w:themeColor="text1"/>
      <w:sz w:val="18"/>
    </w:rPr>
  </w:style>
  <w:style w:type="paragraph" w:styleId="Seznamobrzk">
    <w:name w:val="table of figures"/>
    <w:basedOn w:val="Normln"/>
    <w:next w:val="Normln"/>
    <w:uiPriority w:val="99"/>
    <w:unhideWhenUsed/>
    <w:rsid w:val="006F3CC1"/>
  </w:style>
  <w:style w:type="table" w:customStyle="1" w:styleId="Tabulkasmkou21">
    <w:name w:val="Tabulka s mřížkou 21"/>
    <w:basedOn w:val="Normlntabulka"/>
    <w:uiPriority w:val="47"/>
    <w:rsid w:val="006F3CC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lkasmkou31">
    <w:name w:val="Tabulka s mřížkou 31"/>
    <w:basedOn w:val="Normlntabulka"/>
    <w:uiPriority w:val="48"/>
    <w:rsid w:val="006F3CC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color26">
    <w:name w:val="color_26"/>
    <w:basedOn w:val="Standardnpsmoodstavce"/>
    <w:rsid w:val="006F3CC1"/>
  </w:style>
  <w:style w:type="character" w:customStyle="1" w:styleId="zdrojChar0">
    <w:name w:val="zdroj Char"/>
    <w:link w:val="zdroj0"/>
    <w:locked/>
    <w:rsid w:val="006F3CC1"/>
    <w:rPr>
      <w:rFonts w:ascii="Segoe UI" w:eastAsia="Times New Roman" w:hAnsi="Segoe UI" w:cs="Times New Roman"/>
      <w:i/>
      <w:sz w:val="18"/>
      <w:szCs w:val="24"/>
      <w:lang w:eastAsia="cs-CZ"/>
    </w:rPr>
  </w:style>
  <w:style w:type="paragraph" w:customStyle="1" w:styleId="zdroj0">
    <w:name w:val="zdroj"/>
    <w:basedOn w:val="Normln"/>
    <w:link w:val="zdrojChar0"/>
    <w:qFormat/>
    <w:rsid w:val="006F3CC1"/>
    <w:pPr>
      <w:spacing w:before="0" w:after="240"/>
      <w:jc w:val="left"/>
    </w:pPr>
    <w:rPr>
      <w:rFonts w:ascii="Segoe UI" w:eastAsia="Times New Roman" w:hAnsi="Segoe UI" w:cs="Times New Roman"/>
      <w:i/>
      <w:sz w:val="18"/>
      <w:szCs w:val="24"/>
      <w:lang w:eastAsia="cs-CZ"/>
    </w:rPr>
  </w:style>
  <w:style w:type="paragraph" w:customStyle="1" w:styleId="podnadpis0">
    <w:name w:val="podnadpis"/>
    <w:basedOn w:val="Normln"/>
    <w:link w:val="podnadpisChar0"/>
    <w:qFormat/>
    <w:rsid w:val="00F64217"/>
    <w:pPr>
      <w:keepNext/>
      <w:keepLines/>
    </w:pPr>
    <w:rPr>
      <w:rFonts w:eastAsia="Times New Roman" w:cs="Times New Roman"/>
      <w:b/>
      <w:szCs w:val="24"/>
      <w:lang w:eastAsia="cs-CZ"/>
    </w:rPr>
  </w:style>
  <w:style w:type="character" w:customStyle="1" w:styleId="podnadpisChar0">
    <w:name w:val="podnadpis Char"/>
    <w:basedOn w:val="Standardnpsmoodstavce"/>
    <w:link w:val="podnadpis0"/>
    <w:locked/>
    <w:rsid w:val="00F64217"/>
    <w:rPr>
      <w:rFonts w:eastAsia="Times New Roman" w:cs="Times New Roman"/>
      <w:b/>
      <w:szCs w:val="24"/>
      <w:lang w:eastAsia="cs-CZ"/>
    </w:rPr>
  </w:style>
  <w:style w:type="paragraph" w:styleId="Zkladntext">
    <w:name w:val="Body Text"/>
    <w:basedOn w:val="Normln"/>
    <w:link w:val="ZkladntextChar"/>
    <w:uiPriority w:val="99"/>
    <w:qFormat/>
    <w:rsid w:val="00F64217"/>
    <w:pPr>
      <w:spacing w:before="0"/>
      <w:jc w:val="left"/>
    </w:pPr>
    <w:rPr>
      <w:rFonts w:ascii="Arial" w:eastAsia="Times New Roman" w:hAnsi="Arial" w:cs="Times New Roman"/>
      <w:snapToGrid w:val="0"/>
      <w:sz w:val="24"/>
      <w:szCs w:val="20"/>
      <w:lang w:eastAsia="cs-CZ"/>
    </w:rPr>
  </w:style>
  <w:style w:type="character" w:customStyle="1" w:styleId="ZkladntextChar">
    <w:name w:val="Základní text Char"/>
    <w:basedOn w:val="Standardnpsmoodstavce"/>
    <w:link w:val="Zkladntext"/>
    <w:uiPriority w:val="99"/>
    <w:rsid w:val="00F64217"/>
    <w:rPr>
      <w:rFonts w:ascii="Arial" w:eastAsia="Times New Roman" w:hAnsi="Arial" w:cs="Times New Roman"/>
      <w:snapToGrid w:val="0"/>
      <w:sz w:val="24"/>
      <w:szCs w:val="20"/>
      <w:lang w:eastAsia="cs-CZ"/>
    </w:rPr>
  </w:style>
  <w:style w:type="paragraph" w:styleId="Zkladntext2">
    <w:name w:val="Body Text 2"/>
    <w:basedOn w:val="Normln"/>
    <w:link w:val="Zkladntext2Char"/>
    <w:uiPriority w:val="99"/>
    <w:unhideWhenUsed/>
    <w:rsid w:val="00F64217"/>
    <w:pPr>
      <w:spacing w:after="120" w:line="480" w:lineRule="auto"/>
    </w:pPr>
  </w:style>
  <w:style w:type="character" w:customStyle="1" w:styleId="Zkladntext2Char">
    <w:name w:val="Základní text 2 Char"/>
    <w:basedOn w:val="Standardnpsmoodstavce"/>
    <w:link w:val="Zkladntext2"/>
    <w:uiPriority w:val="99"/>
    <w:rsid w:val="00F64217"/>
  </w:style>
  <w:style w:type="paragraph" w:customStyle="1" w:styleId="1">
    <w:name w:val="1"/>
    <w:qFormat/>
    <w:rsid w:val="00E37D33"/>
    <w:pPr>
      <w:jc w:val="both"/>
    </w:pPr>
    <w:rPr>
      <w:rFonts w:ascii="Segoe UI" w:eastAsia="Times New Roman" w:hAnsi="Segoe UI" w:cs="Times New Roman"/>
      <w:sz w:val="20"/>
    </w:rPr>
  </w:style>
  <w:style w:type="character" w:customStyle="1" w:styleId="calendarselectedmonth">
    <w:name w:val="calendar_selected_month"/>
    <w:basedOn w:val="Standardnpsmoodstavce"/>
    <w:rsid w:val="00E37D33"/>
  </w:style>
  <w:style w:type="paragraph" w:customStyle="1" w:styleId="Pa1">
    <w:name w:val="Pa1"/>
    <w:basedOn w:val="Default"/>
    <w:next w:val="Default"/>
    <w:uiPriority w:val="99"/>
    <w:rsid w:val="00E37D33"/>
    <w:pPr>
      <w:spacing w:line="241" w:lineRule="atLeast"/>
    </w:pPr>
    <w:rPr>
      <w:rFonts w:ascii="CreightonPro 8" w:hAnsi="CreightonPro 8" w:cstheme="minorBidi"/>
      <w:color w:val="auto"/>
    </w:rPr>
  </w:style>
  <w:style w:type="character" w:customStyle="1" w:styleId="A2">
    <w:name w:val="A2"/>
    <w:uiPriority w:val="99"/>
    <w:rsid w:val="00E37D33"/>
    <w:rPr>
      <w:rFonts w:cs="CreightonPro 8"/>
      <w:color w:val="000000"/>
      <w:sz w:val="40"/>
      <w:szCs w:val="40"/>
    </w:rPr>
  </w:style>
  <w:style w:type="paragraph" w:customStyle="1" w:styleId="Pa3">
    <w:name w:val="Pa3"/>
    <w:basedOn w:val="Default"/>
    <w:next w:val="Default"/>
    <w:uiPriority w:val="99"/>
    <w:rsid w:val="00E37D33"/>
    <w:pPr>
      <w:spacing w:line="381" w:lineRule="atLeast"/>
    </w:pPr>
    <w:rPr>
      <w:rFonts w:ascii="CreightonPro 8" w:hAnsi="CreightonPro 8" w:cstheme="minorBidi"/>
      <w:color w:val="auto"/>
    </w:rPr>
  </w:style>
  <w:style w:type="paragraph" w:customStyle="1" w:styleId="nzev0">
    <w:name w:val="název"/>
    <w:basedOn w:val="Normln"/>
    <w:uiPriority w:val="99"/>
    <w:rsid w:val="00E37D33"/>
    <w:pPr>
      <w:overflowPunct w:val="0"/>
      <w:autoSpaceDE w:val="0"/>
      <w:autoSpaceDN w:val="0"/>
      <w:adjustRightInd w:val="0"/>
      <w:spacing w:before="240" w:after="240"/>
      <w:jc w:val="left"/>
      <w:textAlignment w:val="baseline"/>
    </w:pPr>
    <w:rPr>
      <w:rFonts w:ascii="Arial" w:eastAsia="Times New Roman" w:hAnsi="Arial" w:cs="Courier New"/>
      <w:b/>
      <w:sz w:val="44"/>
      <w:szCs w:val="44"/>
      <w:lang w:eastAsia="cs-CZ"/>
    </w:rPr>
  </w:style>
  <w:style w:type="table" w:customStyle="1" w:styleId="TableNormal">
    <w:name w:val="Table Normal"/>
    <w:uiPriority w:val="2"/>
    <w:semiHidden/>
    <w:unhideWhenUsed/>
    <w:qFormat/>
    <w:rsid w:val="007F66B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extpoznpodarouChar1">
    <w:name w:val="Text pozn. pod čarou Char1"/>
    <w:aliases w:val="Text poznámky pod čiarou 007 Char1,_Poznámka pod čiarou Char1,Poznámka Char1,pozn. pod čarou Char1,Fußnotentextf Char1,Char1 Char1,Schriftart: 9 pt Char1,Schriftart: 10 pt Char1,Schriftart: 8 pt Char1,Geneva 9 Char1,f Char"/>
    <w:basedOn w:val="Standardnpsmoodstavce"/>
    <w:uiPriority w:val="99"/>
    <w:semiHidden/>
    <w:rsid w:val="006E1FCB"/>
    <w:rPr>
      <w:rFonts w:ascii="Segoe UI" w:eastAsia="Times New Roman" w:hAnsi="Segoe UI" w:cs="Times New Roman"/>
      <w:sz w:val="20"/>
      <w:szCs w:val="20"/>
      <w:lang w:eastAsia="cs-CZ"/>
    </w:rPr>
  </w:style>
  <w:style w:type="character" w:customStyle="1" w:styleId="TextpoznpodarouChar11">
    <w:name w:val="Text pozn. pod čarou Char11"/>
    <w:aliases w:val="Text poznámky pod čiarou 007 Char11,_Poznámka pod čiarou Char11,Poznámka Char11,pozn. pod čarou Char11,Footnote text Char1,Fußnotentextf Char11,Char1 Char11,Schriftart: 9 pt Char11,Schriftart: 10 pt Char11"/>
    <w:basedOn w:val="Standardnpsmoodstavce"/>
    <w:uiPriority w:val="99"/>
    <w:semiHidden/>
    <w:rsid w:val="006E1FCB"/>
    <w:rPr>
      <w:rFonts w:ascii="Segoe UI" w:eastAsia="Times New Roman" w:hAnsi="Segoe UI" w:cs="Times New Roman"/>
      <w:sz w:val="20"/>
      <w:szCs w:val="20"/>
    </w:rPr>
  </w:style>
  <w:style w:type="character" w:styleId="Zdraznnintenzivn">
    <w:name w:val="Intense Emphasis"/>
    <w:basedOn w:val="Standardnpsmoodstavce"/>
    <w:uiPriority w:val="21"/>
    <w:qFormat/>
    <w:rsid w:val="006E1FCB"/>
    <w:rPr>
      <w:rFonts w:cs="Times New Roman"/>
      <w:b/>
      <w:bCs/>
      <w:iCs/>
      <w:color w:val="5B9BD5" w:themeColor="accent1"/>
      <w:sz w:val="32"/>
    </w:rPr>
  </w:style>
  <w:style w:type="paragraph" w:styleId="Textvysvtlivek">
    <w:name w:val="endnote text"/>
    <w:basedOn w:val="Normln"/>
    <w:link w:val="TextvysvtlivekChar"/>
    <w:uiPriority w:val="99"/>
    <w:semiHidden/>
    <w:unhideWhenUsed/>
    <w:rsid w:val="006E1FCB"/>
    <w:rPr>
      <w:rFonts w:ascii="Segoe UI" w:eastAsia="Times New Roman" w:hAnsi="Segoe UI" w:cs="Times New Roman"/>
      <w:sz w:val="20"/>
      <w:szCs w:val="20"/>
      <w:lang w:eastAsia="cs-CZ"/>
    </w:rPr>
  </w:style>
  <w:style w:type="character" w:customStyle="1" w:styleId="TextvysvtlivekChar">
    <w:name w:val="Text vysvětlivek Char"/>
    <w:basedOn w:val="Standardnpsmoodstavce"/>
    <w:link w:val="Textvysvtlivek"/>
    <w:uiPriority w:val="99"/>
    <w:semiHidden/>
    <w:rsid w:val="006E1FCB"/>
    <w:rPr>
      <w:rFonts w:ascii="Segoe UI" w:eastAsia="Times New Roman" w:hAnsi="Segoe UI" w:cs="Times New Roman"/>
      <w:sz w:val="20"/>
      <w:szCs w:val="20"/>
      <w:lang w:eastAsia="cs-CZ"/>
    </w:rPr>
  </w:style>
  <w:style w:type="character" w:styleId="Odkaznavysvtlivky">
    <w:name w:val="endnote reference"/>
    <w:basedOn w:val="Standardnpsmoodstavce"/>
    <w:uiPriority w:val="99"/>
    <w:semiHidden/>
    <w:unhideWhenUsed/>
    <w:rsid w:val="006E1FCB"/>
    <w:rPr>
      <w:rFonts w:cs="Times New Roman"/>
      <w:vertAlign w:val="superscript"/>
    </w:rPr>
  </w:style>
  <w:style w:type="table" w:styleId="Svtlseznamzvraznn2">
    <w:name w:val="Light List Accent 2"/>
    <w:basedOn w:val="Normlntabulka"/>
    <w:uiPriority w:val="61"/>
    <w:rsid w:val="006E1FCB"/>
    <w:pPr>
      <w:spacing w:after="0" w:line="240" w:lineRule="auto"/>
    </w:pPr>
    <w:rPr>
      <w:rFonts w:ascii="Calibri" w:eastAsia="Times New Roman" w:hAnsi="Calibri" w:cs="Times New Roman"/>
      <w:sz w:val="20"/>
      <w:szCs w:val="20"/>
      <w:lang w:eastAsia="cs-CZ"/>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pPr>
      <w:rPr>
        <w:rFonts w:cs="Times New Roman"/>
        <w:b/>
        <w:bCs/>
        <w:color w:val="FFFFFF" w:themeColor="background1"/>
      </w:rPr>
      <w:tblPr/>
      <w:tcPr>
        <w:shd w:val="clear" w:color="auto" w:fill="ED7D31" w:themeFill="accent2"/>
      </w:tcPr>
    </w:tblStylePr>
    <w:tblStylePr w:type="lastRow">
      <w:pPr>
        <w:spacing w:before="0" w:after="0"/>
      </w:pPr>
      <w:rPr>
        <w:rFonts w:cs="Times New Roman"/>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rPr>
        <w:rFonts w:cs="Times New Roman"/>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customStyle="1" w:styleId="norm">
    <w:name w:val="norm"/>
    <w:basedOn w:val="Normln"/>
    <w:rsid w:val="006E1FCB"/>
    <w:pPr>
      <w:spacing w:before="240" w:after="240" w:line="276" w:lineRule="auto"/>
    </w:pPr>
    <w:rPr>
      <w:rFonts w:ascii="Times New Roman" w:eastAsia="MS Mincho" w:hAnsi="Times New Roman" w:cs="Times New Roman"/>
      <w:sz w:val="24"/>
      <w:szCs w:val="24"/>
      <w:lang w:eastAsia="ja-JP"/>
    </w:rPr>
  </w:style>
  <w:style w:type="character" w:customStyle="1" w:styleId="N6normlnChar">
    <w:name w:val="N6_normální Char"/>
    <w:link w:val="N6normln"/>
    <w:locked/>
    <w:rsid w:val="006E1FCB"/>
    <w:rPr>
      <w:rFonts w:ascii="Times New Roman" w:eastAsia="Times New Roman" w:hAnsi="Times New Roman"/>
      <w:sz w:val="24"/>
    </w:rPr>
  </w:style>
  <w:style w:type="paragraph" w:customStyle="1" w:styleId="N6normln">
    <w:name w:val="N6_normální"/>
    <w:basedOn w:val="Normln"/>
    <w:link w:val="N6normlnChar"/>
    <w:rsid w:val="006E1FCB"/>
    <w:pPr>
      <w:ind w:firstLine="709"/>
    </w:pPr>
    <w:rPr>
      <w:rFonts w:ascii="Times New Roman" w:eastAsia="Times New Roman" w:hAnsi="Times New Roman"/>
      <w:sz w:val="24"/>
    </w:rPr>
  </w:style>
  <w:style w:type="paragraph" w:customStyle="1" w:styleId="Tab">
    <w:name w:val="Tab"/>
    <w:basedOn w:val="Normln"/>
    <w:link w:val="TabChar"/>
    <w:qFormat/>
    <w:rsid w:val="006E1FCB"/>
    <w:pPr>
      <w:spacing w:before="20" w:after="20"/>
      <w:jc w:val="center"/>
    </w:pPr>
    <w:rPr>
      <w:rFonts w:ascii="Segoe UI" w:eastAsia="Times New Roman" w:hAnsi="Segoe UI" w:cs="Times New Roman"/>
      <w:color w:val="000000"/>
      <w:sz w:val="18"/>
      <w:szCs w:val="24"/>
      <w:lang w:eastAsia="cs-CZ"/>
    </w:rPr>
  </w:style>
  <w:style w:type="character" w:customStyle="1" w:styleId="TabChar">
    <w:name w:val="Tab Char"/>
    <w:basedOn w:val="Standardnpsmoodstavce"/>
    <w:link w:val="Tab"/>
    <w:locked/>
    <w:rsid w:val="006E1FCB"/>
    <w:rPr>
      <w:rFonts w:ascii="Segoe UI" w:eastAsia="Times New Roman" w:hAnsi="Segoe UI" w:cs="Times New Roman"/>
      <w:color w:val="000000"/>
      <w:sz w:val="18"/>
      <w:szCs w:val="24"/>
      <w:lang w:eastAsia="cs-CZ"/>
    </w:rPr>
  </w:style>
  <w:style w:type="paragraph" w:customStyle="1" w:styleId="podnadpis2">
    <w:name w:val="podnadpis2"/>
    <w:basedOn w:val="N6normln"/>
    <w:link w:val="podnadpis2Char"/>
    <w:qFormat/>
    <w:rsid w:val="006E1FCB"/>
    <w:pPr>
      <w:keepNext/>
      <w:ind w:firstLine="0"/>
    </w:pPr>
    <w:rPr>
      <w:rFonts w:ascii="Segoe UI" w:hAnsi="Segoe UI" w:cs="Segoe UI"/>
      <w:b/>
      <w:sz w:val="20"/>
    </w:rPr>
  </w:style>
  <w:style w:type="character" w:customStyle="1" w:styleId="podnadpis2Char">
    <w:name w:val="podnadpis2 Char"/>
    <w:basedOn w:val="N6normlnChar"/>
    <w:link w:val="podnadpis2"/>
    <w:locked/>
    <w:rsid w:val="006E1FCB"/>
    <w:rPr>
      <w:rFonts w:ascii="Segoe UI" w:eastAsia="Times New Roman" w:hAnsi="Segoe UI" w:cs="Segoe UI"/>
      <w:b/>
      <w:sz w:val="20"/>
    </w:rPr>
  </w:style>
  <w:style w:type="character" w:customStyle="1" w:styleId="mw-headline">
    <w:name w:val="mw-headline"/>
    <w:basedOn w:val="Standardnpsmoodstavce"/>
    <w:rsid w:val="006E1FCB"/>
    <w:rPr>
      <w:rFonts w:cs="Times New Roman"/>
    </w:rPr>
  </w:style>
  <w:style w:type="paragraph" w:customStyle="1" w:styleId="GACRtext">
    <w:name w:val="GACR_text"/>
    <w:basedOn w:val="Normln"/>
    <w:link w:val="GACRtextChar"/>
    <w:rsid w:val="006E1FCB"/>
    <w:pPr>
      <w:ind w:firstLine="709"/>
    </w:pPr>
    <w:rPr>
      <w:rFonts w:ascii="Cambria" w:eastAsia="Times New Roman" w:hAnsi="Cambria" w:cs="Times New Roman"/>
      <w:szCs w:val="24"/>
      <w:lang w:eastAsia="cs-CZ"/>
    </w:rPr>
  </w:style>
  <w:style w:type="character" w:customStyle="1" w:styleId="GACRtextChar">
    <w:name w:val="GACR_text Char"/>
    <w:basedOn w:val="Standardnpsmoodstavce"/>
    <w:link w:val="GACRtext"/>
    <w:locked/>
    <w:rsid w:val="006E1FCB"/>
    <w:rPr>
      <w:rFonts w:ascii="Cambria" w:eastAsia="Times New Roman" w:hAnsi="Cambria" w:cs="Times New Roman"/>
      <w:szCs w:val="24"/>
      <w:lang w:eastAsia="cs-CZ"/>
    </w:rPr>
  </w:style>
  <w:style w:type="paragraph" w:customStyle="1" w:styleId="gacrobr">
    <w:name w:val="gacr_obr"/>
    <w:basedOn w:val="Normln"/>
    <w:rsid w:val="006E1FCB"/>
    <w:pPr>
      <w:keepNext/>
      <w:spacing w:after="120" w:line="360" w:lineRule="auto"/>
      <w:jc w:val="center"/>
    </w:pPr>
    <w:rPr>
      <w:rFonts w:ascii="Times New Roman" w:eastAsia="Times New Roman" w:hAnsi="Times New Roman" w:cs="Times New Roman"/>
      <w:sz w:val="24"/>
      <w:szCs w:val="24"/>
      <w:lang w:eastAsia="cs-CZ"/>
    </w:rPr>
  </w:style>
  <w:style w:type="paragraph" w:customStyle="1" w:styleId="Popisky">
    <w:name w:val="Popisky"/>
    <w:basedOn w:val="Titulek"/>
    <w:link w:val="PopiskyChar"/>
    <w:qFormat/>
    <w:rsid w:val="006E1FCB"/>
    <w:pPr>
      <w:keepNext/>
      <w:spacing w:after="0"/>
    </w:pPr>
    <w:rPr>
      <w:rFonts w:ascii="Segoe UI" w:eastAsia="Times New Roman" w:hAnsi="Segoe UI" w:cs="Segoe UI"/>
      <w:bCs/>
      <w:iCs w:val="0"/>
      <w:lang w:eastAsia="cs-CZ"/>
    </w:rPr>
  </w:style>
  <w:style w:type="character" w:customStyle="1" w:styleId="PopiskyChar">
    <w:name w:val="Popisky Char"/>
    <w:basedOn w:val="Standardnpsmoodstavce"/>
    <w:link w:val="Popisky"/>
    <w:locked/>
    <w:rsid w:val="006E1FCB"/>
    <w:rPr>
      <w:rFonts w:ascii="Segoe UI" w:eastAsia="Times New Roman" w:hAnsi="Segoe UI" w:cs="Segoe UI"/>
      <w:b/>
      <w:bCs/>
      <w:sz w:val="18"/>
      <w:szCs w:val="18"/>
      <w:lang w:eastAsia="cs-CZ"/>
    </w:rPr>
  </w:style>
  <w:style w:type="character" w:styleId="Zstupntext">
    <w:name w:val="Placeholder Text"/>
    <w:basedOn w:val="Standardnpsmoodstavce"/>
    <w:uiPriority w:val="99"/>
    <w:semiHidden/>
    <w:rsid w:val="006E1FCB"/>
    <w:rPr>
      <w:rFonts w:cs="Times New Roman"/>
      <w:color w:val="808080"/>
    </w:rPr>
  </w:style>
  <w:style w:type="table" w:styleId="Svtlstnovnzvraznn2">
    <w:name w:val="Light Shading Accent 2"/>
    <w:basedOn w:val="Normlntabulka"/>
    <w:uiPriority w:val="60"/>
    <w:rsid w:val="006E1FCB"/>
    <w:pPr>
      <w:spacing w:after="0" w:line="240" w:lineRule="auto"/>
    </w:pPr>
    <w:rPr>
      <w:rFonts w:ascii="Calibri" w:eastAsia="Times New Roman" w:hAnsi="Calibri" w:cs="Times New Roman"/>
      <w:color w:val="C45911" w:themeColor="accent2" w:themeShade="BF"/>
      <w:sz w:val="20"/>
      <w:szCs w:val="20"/>
      <w:lang w:eastAsia="cs-CZ"/>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pPr>
      <w:rPr>
        <w:rFonts w:cs="Times New Roman"/>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pPr>
      <w:rPr>
        <w:rFonts w:cs="Times New Roman"/>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ADECB" w:themeFill="accent2" w:themeFillTint="3F"/>
      </w:tcPr>
    </w:tblStylePr>
    <w:tblStylePr w:type="band1Horz">
      <w:rPr>
        <w:rFonts w:cs="Times New Roman"/>
      </w:rPr>
      <w:tblPr/>
      <w:tcPr>
        <w:tcBorders>
          <w:left w:val="nil"/>
          <w:right w:val="nil"/>
          <w:insideH w:val="nil"/>
          <w:insideV w:val="nil"/>
        </w:tcBorders>
        <w:shd w:val="clear" w:color="auto" w:fill="FADECB" w:themeFill="accent2" w:themeFillTint="3F"/>
      </w:tcPr>
    </w:tblStylePr>
  </w:style>
  <w:style w:type="paragraph" w:customStyle="1" w:styleId="Popisek">
    <w:name w:val="Popisek"/>
    <w:basedOn w:val="Normln"/>
    <w:link w:val="PopisekChar"/>
    <w:qFormat/>
    <w:rsid w:val="006E1FCB"/>
    <w:rPr>
      <w:rFonts w:eastAsia="Times New Roman" w:cs="Times New Roman"/>
      <w:i/>
      <w:color w:val="44546A" w:themeColor="text2"/>
      <w:sz w:val="18"/>
      <w:szCs w:val="24"/>
      <w:lang w:eastAsia="cs-CZ"/>
    </w:rPr>
  </w:style>
  <w:style w:type="character" w:customStyle="1" w:styleId="PopisekChar">
    <w:name w:val="Popisek Char"/>
    <w:basedOn w:val="Standardnpsmoodstavce"/>
    <w:link w:val="Popisek"/>
    <w:locked/>
    <w:rsid w:val="006E1FCB"/>
    <w:rPr>
      <w:rFonts w:eastAsia="Times New Roman" w:cs="Times New Roman"/>
      <w:i/>
      <w:color w:val="44546A" w:themeColor="text2"/>
      <w:sz w:val="18"/>
      <w:szCs w:val="24"/>
      <w:lang w:eastAsia="cs-CZ"/>
    </w:rPr>
  </w:style>
  <w:style w:type="paragraph" w:customStyle="1" w:styleId="podnapis1">
    <w:name w:val="podnapis1"/>
    <w:basedOn w:val="podnadpis2"/>
    <w:qFormat/>
    <w:rsid w:val="006E1FCB"/>
    <w:rPr>
      <w:color w:val="C00000"/>
    </w:rPr>
  </w:style>
  <w:style w:type="paragraph" w:customStyle="1" w:styleId="xl112">
    <w:name w:val="xl112"/>
    <w:basedOn w:val="Normln"/>
    <w:rsid w:val="006E1FC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b/>
      <w:bCs/>
      <w:color w:val="000000"/>
      <w:sz w:val="18"/>
      <w:szCs w:val="18"/>
      <w:lang w:eastAsia="cs-CZ"/>
    </w:rPr>
  </w:style>
  <w:style w:type="paragraph" w:customStyle="1" w:styleId="xl113">
    <w:name w:val="xl113"/>
    <w:basedOn w:val="Normln"/>
    <w:rsid w:val="006E1FC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cs-CZ"/>
    </w:rPr>
  </w:style>
  <w:style w:type="paragraph" w:customStyle="1" w:styleId="xl114">
    <w:name w:val="xl114"/>
    <w:basedOn w:val="Normln"/>
    <w:rsid w:val="006E1FC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eastAsia="cs-CZ"/>
    </w:rPr>
  </w:style>
  <w:style w:type="table" w:customStyle="1" w:styleId="Tabulkasmkou2zvraznn51">
    <w:name w:val="Tabulka s mřížkou 2 – zvýraznění 51"/>
    <w:basedOn w:val="Normlntabulka"/>
    <w:uiPriority w:val="47"/>
    <w:rsid w:val="006E1FCB"/>
    <w:pPr>
      <w:spacing w:after="0" w:line="240" w:lineRule="auto"/>
    </w:pPr>
    <w:rPr>
      <w:rFonts w:ascii="Calibri" w:eastAsia="Times New Roman" w:hAnsi="Calibri" w:cs="Times New Roman"/>
      <w:sz w:val="20"/>
      <w:szCs w:val="20"/>
      <w:lang w:eastAsia="cs-CZ"/>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rFonts w:cs="Times New Roman"/>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rFonts w:cs="Times New Roman"/>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E2F3" w:themeFill="accent5" w:themeFillTint="33"/>
      </w:tcPr>
    </w:tblStylePr>
    <w:tblStylePr w:type="band1Horz">
      <w:rPr>
        <w:rFonts w:cs="Times New Roman"/>
      </w:rPr>
      <w:tblPr/>
      <w:tcPr>
        <w:shd w:val="clear" w:color="auto" w:fill="D9E2F3" w:themeFill="accent5" w:themeFillTint="33"/>
      </w:tcPr>
    </w:tblStylePr>
  </w:style>
  <w:style w:type="paragraph" w:customStyle="1" w:styleId="Odstavec">
    <w:name w:val="Odstavec"/>
    <w:basedOn w:val="Normln"/>
    <w:link w:val="OdstavecChar"/>
    <w:qFormat/>
    <w:rsid w:val="006E1FCB"/>
    <w:pPr>
      <w:spacing w:after="120" w:line="312" w:lineRule="auto"/>
      <w:ind w:firstLine="397"/>
    </w:pPr>
    <w:rPr>
      <w:rFonts w:ascii="Times New Roman" w:eastAsia="Times New Roman" w:hAnsi="Times New Roman" w:cs="Times New Roman"/>
      <w:sz w:val="20"/>
      <w:szCs w:val="20"/>
      <w:lang w:eastAsia="cs-CZ"/>
    </w:rPr>
  </w:style>
  <w:style w:type="character" w:customStyle="1" w:styleId="OdstavecChar">
    <w:name w:val="Odstavec Char"/>
    <w:link w:val="Odstavec"/>
    <w:locked/>
    <w:rsid w:val="006E1FCB"/>
    <w:rPr>
      <w:rFonts w:ascii="Times New Roman" w:eastAsia="Times New Roman" w:hAnsi="Times New Roman" w:cs="Times New Roman"/>
      <w:sz w:val="20"/>
      <w:szCs w:val="20"/>
      <w:lang w:eastAsia="cs-CZ"/>
    </w:rPr>
  </w:style>
  <w:style w:type="character" w:customStyle="1" w:styleId="ZdrojeChar">
    <w:name w:val="Zdroje Char"/>
    <w:basedOn w:val="Standardnpsmoodstavce"/>
    <w:link w:val="Zdroje"/>
    <w:locked/>
    <w:rsid w:val="006E1FCB"/>
    <w:rPr>
      <w:rFonts w:ascii="Cambria" w:hAnsi="Cambria" w:cs="Times New Roman"/>
      <w:bCs/>
      <w:i/>
      <w:iCs/>
      <w:sz w:val="24"/>
      <w:szCs w:val="24"/>
    </w:rPr>
  </w:style>
  <w:style w:type="paragraph" w:customStyle="1" w:styleId="Zdroje">
    <w:name w:val="Zdroje"/>
    <w:basedOn w:val="Normln"/>
    <w:link w:val="ZdrojeChar"/>
    <w:rsid w:val="006E1FCB"/>
    <w:pPr>
      <w:spacing w:after="120"/>
    </w:pPr>
    <w:rPr>
      <w:rFonts w:ascii="Cambria" w:hAnsi="Cambria" w:cs="Times New Roman"/>
      <w:bCs/>
      <w:i/>
      <w:iCs/>
      <w:sz w:val="24"/>
      <w:szCs w:val="24"/>
    </w:rPr>
  </w:style>
  <w:style w:type="character" w:customStyle="1" w:styleId="ico-article-date">
    <w:name w:val="ico-article-date"/>
    <w:basedOn w:val="Standardnpsmoodstavce"/>
    <w:rsid w:val="006E1FCB"/>
    <w:rPr>
      <w:rFonts w:cs="Times New Roman"/>
    </w:rPr>
  </w:style>
  <w:style w:type="character" w:customStyle="1" w:styleId="st">
    <w:name w:val="st"/>
    <w:basedOn w:val="Standardnpsmoodstavce"/>
    <w:rsid w:val="006E1FCB"/>
    <w:rPr>
      <w:rFonts w:cs="Times New Roman"/>
    </w:rPr>
  </w:style>
  <w:style w:type="paragraph" w:customStyle="1" w:styleId="xl67">
    <w:name w:val="xl67"/>
    <w:basedOn w:val="Normln"/>
    <w:rsid w:val="006E1FC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cs-CZ"/>
    </w:rPr>
  </w:style>
  <w:style w:type="paragraph" w:customStyle="1" w:styleId="xl68">
    <w:name w:val="xl68"/>
    <w:basedOn w:val="Normln"/>
    <w:rsid w:val="006E1FC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cs-CZ"/>
    </w:rPr>
  </w:style>
  <w:style w:type="paragraph" w:customStyle="1" w:styleId="xl69">
    <w:name w:val="xl69"/>
    <w:basedOn w:val="Normln"/>
    <w:rsid w:val="006E1FC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39"/>
    <w:unhideWhenUsed/>
    <w:rsid w:val="006E1FCB"/>
    <w:pPr>
      <w:spacing w:after="100" w:line="276" w:lineRule="auto"/>
      <w:ind w:left="660"/>
      <w:jc w:val="left"/>
    </w:pPr>
    <w:rPr>
      <w:rFonts w:eastAsiaTheme="minorEastAsia" w:cs="Times New Roman"/>
      <w:szCs w:val="24"/>
      <w:lang w:eastAsia="cs-CZ"/>
    </w:rPr>
  </w:style>
  <w:style w:type="paragraph" w:styleId="Obsah5">
    <w:name w:val="toc 5"/>
    <w:basedOn w:val="Normln"/>
    <w:next w:val="Normln"/>
    <w:autoRedefine/>
    <w:uiPriority w:val="39"/>
    <w:unhideWhenUsed/>
    <w:rsid w:val="006E1FCB"/>
    <w:pPr>
      <w:spacing w:after="100" w:line="276" w:lineRule="auto"/>
      <w:ind w:left="880"/>
      <w:jc w:val="left"/>
    </w:pPr>
    <w:rPr>
      <w:rFonts w:eastAsiaTheme="minorEastAsia" w:cs="Times New Roman"/>
      <w:szCs w:val="24"/>
      <w:lang w:eastAsia="cs-CZ"/>
    </w:rPr>
  </w:style>
  <w:style w:type="paragraph" w:styleId="Obsah6">
    <w:name w:val="toc 6"/>
    <w:basedOn w:val="Normln"/>
    <w:next w:val="Normln"/>
    <w:autoRedefine/>
    <w:uiPriority w:val="39"/>
    <w:unhideWhenUsed/>
    <w:rsid w:val="006E1FCB"/>
    <w:pPr>
      <w:spacing w:after="100" w:line="276" w:lineRule="auto"/>
      <w:ind w:left="1100"/>
      <w:jc w:val="left"/>
    </w:pPr>
    <w:rPr>
      <w:rFonts w:eastAsiaTheme="minorEastAsia" w:cs="Times New Roman"/>
      <w:szCs w:val="24"/>
      <w:lang w:eastAsia="cs-CZ"/>
    </w:rPr>
  </w:style>
  <w:style w:type="paragraph" w:styleId="Obsah7">
    <w:name w:val="toc 7"/>
    <w:basedOn w:val="Normln"/>
    <w:next w:val="Normln"/>
    <w:autoRedefine/>
    <w:uiPriority w:val="39"/>
    <w:unhideWhenUsed/>
    <w:rsid w:val="006E1FCB"/>
    <w:pPr>
      <w:spacing w:after="100" w:line="276" w:lineRule="auto"/>
      <w:ind w:left="1320"/>
      <w:jc w:val="left"/>
    </w:pPr>
    <w:rPr>
      <w:rFonts w:eastAsiaTheme="minorEastAsia" w:cs="Times New Roman"/>
      <w:szCs w:val="24"/>
      <w:lang w:eastAsia="cs-CZ"/>
    </w:rPr>
  </w:style>
  <w:style w:type="paragraph" w:styleId="Obsah8">
    <w:name w:val="toc 8"/>
    <w:basedOn w:val="Normln"/>
    <w:next w:val="Normln"/>
    <w:autoRedefine/>
    <w:uiPriority w:val="39"/>
    <w:unhideWhenUsed/>
    <w:rsid w:val="006E1FCB"/>
    <w:pPr>
      <w:spacing w:after="100" w:line="276" w:lineRule="auto"/>
      <w:ind w:left="1540"/>
      <w:jc w:val="left"/>
    </w:pPr>
    <w:rPr>
      <w:rFonts w:eastAsiaTheme="minorEastAsia" w:cs="Times New Roman"/>
      <w:szCs w:val="24"/>
      <w:lang w:eastAsia="cs-CZ"/>
    </w:rPr>
  </w:style>
  <w:style w:type="paragraph" w:styleId="Obsah9">
    <w:name w:val="toc 9"/>
    <w:basedOn w:val="Normln"/>
    <w:next w:val="Normln"/>
    <w:autoRedefine/>
    <w:uiPriority w:val="39"/>
    <w:unhideWhenUsed/>
    <w:rsid w:val="006E1FCB"/>
    <w:pPr>
      <w:spacing w:after="100" w:line="276" w:lineRule="auto"/>
      <w:ind w:left="1760"/>
      <w:jc w:val="left"/>
    </w:pPr>
    <w:rPr>
      <w:rFonts w:eastAsiaTheme="minorEastAsia" w:cs="Times New Roman"/>
      <w:szCs w:val="24"/>
      <w:lang w:eastAsia="cs-CZ"/>
    </w:rPr>
  </w:style>
  <w:style w:type="paragraph" w:styleId="slovanseznam3">
    <w:name w:val="List Number 3"/>
    <w:basedOn w:val="Normln"/>
    <w:uiPriority w:val="99"/>
    <w:rsid w:val="006E1FCB"/>
    <w:pPr>
      <w:numPr>
        <w:numId w:val="64"/>
      </w:numPr>
      <w:autoSpaceDE w:val="0"/>
      <w:autoSpaceDN w:val="0"/>
      <w:spacing w:after="120"/>
    </w:pPr>
    <w:rPr>
      <w:rFonts w:ascii="Times New Roman" w:eastAsia="Times New Roman" w:hAnsi="Times New Roman" w:cs="Times New Roman"/>
      <w:sz w:val="24"/>
      <w:szCs w:val="24"/>
      <w:lang w:eastAsia="cs-CZ"/>
    </w:rPr>
  </w:style>
  <w:style w:type="character" w:styleId="slostrnky">
    <w:name w:val="page number"/>
    <w:basedOn w:val="Standardnpsmoodstavce"/>
    <w:uiPriority w:val="99"/>
    <w:rsid w:val="006E1FCB"/>
    <w:rPr>
      <w:sz w:val="20"/>
    </w:rPr>
  </w:style>
  <w:style w:type="paragraph" w:customStyle="1" w:styleId="Zhlav-akce">
    <w:name w:val="Záhlaví-akce"/>
    <w:basedOn w:val="Normln"/>
    <w:rsid w:val="006E1FCB"/>
    <w:pPr>
      <w:widowControl w:val="0"/>
    </w:pPr>
    <w:rPr>
      <w:rFonts w:ascii="Times New Roman" w:eastAsia="Times New Roman" w:hAnsi="Times New Roman" w:cs="Times New Roman"/>
      <w:i/>
      <w:sz w:val="20"/>
      <w:szCs w:val="20"/>
      <w:lang w:eastAsia="cs-CZ"/>
    </w:rPr>
  </w:style>
  <w:style w:type="character" w:customStyle="1" w:styleId="zklstylpsma">
    <w:name w:val="zákl. styl písma"/>
    <w:rsid w:val="006E1FCB"/>
    <w:rPr>
      <w:rFonts w:ascii="Switzerland" w:hAnsi="Switzerland"/>
      <w:kern w:val="16"/>
      <w:sz w:val="20"/>
    </w:rPr>
  </w:style>
  <w:style w:type="paragraph" w:styleId="slovanseznam">
    <w:name w:val="List Number"/>
    <w:basedOn w:val="Normln"/>
    <w:uiPriority w:val="99"/>
    <w:rsid w:val="006E1FCB"/>
    <w:pPr>
      <w:widowControl w:val="0"/>
      <w:ind w:left="283" w:hanging="283"/>
    </w:pPr>
    <w:rPr>
      <w:rFonts w:ascii="Times New Roman" w:eastAsia="Times New Roman" w:hAnsi="Times New Roman" w:cs="Times New Roman"/>
      <w:sz w:val="20"/>
      <w:szCs w:val="20"/>
      <w:lang w:eastAsia="cs-CZ"/>
    </w:rPr>
  </w:style>
  <w:style w:type="paragraph" w:customStyle="1" w:styleId="Zhlav-kap">
    <w:name w:val="Záhlaví - kap."/>
    <w:basedOn w:val="Normln"/>
    <w:rsid w:val="006E1FCB"/>
    <w:pPr>
      <w:widowControl w:val="0"/>
      <w:jc w:val="right"/>
    </w:pPr>
    <w:rPr>
      <w:rFonts w:ascii="Times New Roman" w:eastAsia="Times New Roman" w:hAnsi="Times New Roman" w:cs="Times New Roman"/>
      <w:i/>
      <w:sz w:val="20"/>
      <w:szCs w:val="20"/>
      <w:lang w:eastAsia="cs-CZ"/>
    </w:rPr>
  </w:style>
  <w:style w:type="paragraph" w:styleId="slovanseznam2">
    <w:name w:val="List Number 2"/>
    <w:basedOn w:val="Normln"/>
    <w:uiPriority w:val="99"/>
    <w:rsid w:val="006E1FCB"/>
    <w:pPr>
      <w:widowControl w:val="0"/>
      <w:ind w:left="566" w:hanging="283"/>
    </w:pPr>
    <w:rPr>
      <w:rFonts w:ascii="Times New Roman" w:eastAsia="Times New Roman" w:hAnsi="Times New Roman" w:cs="Times New Roman"/>
      <w:sz w:val="20"/>
      <w:szCs w:val="20"/>
      <w:lang w:eastAsia="cs-CZ"/>
    </w:rPr>
  </w:style>
  <w:style w:type="paragraph" w:styleId="slovanseznam4">
    <w:name w:val="List Number 4"/>
    <w:basedOn w:val="Normln"/>
    <w:uiPriority w:val="99"/>
    <w:rsid w:val="006E1FCB"/>
    <w:pPr>
      <w:widowControl w:val="0"/>
      <w:ind w:left="1132" w:hanging="283"/>
    </w:pPr>
    <w:rPr>
      <w:rFonts w:ascii="Times New Roman" w:eastAsia="Times New Roman" w:hAnsi="Times New Roman" w:cs="Times New Roman"/>
      <w:sz w:val="20"/>
      <w:szCs w:val="20"/>
      <w:lang w:eastAsia="cs-CZ"/>
    </w:rPr>
  </w:style>
  <w:style w:type="paragraph" w:styleId="slovanseznam5">
    <w:name w:val="List Number 5"/>
    <w:basedOn w:val="Normln"/>
    <w:uiPriority w:val="99"/>
    <w:rsid w:val="006E1FCB"/>
    <w:pPr>
      <w:widowControl w:val="0"/>
      <w:ind w:left="1415" w:hanging="283"/>
    </w:pPr>
    <w:rPr>
      <w:rFonts w:ascii="Times New Roman" w:eastAsia="Times New Roman" w:hAnsi="Times New Roman" w:cs="Times New Roman"/>
      <w:sz w:val="20"/>
      <w:szCs w:val="20"/>
      <w:lang w:eastAsia="cs-CZ"/>
    </w:rPr>
  </w:style>
  <w:style w:type="paragraph" w:styleId="Rejstk1">
    <w:name w:val="index 1"/>
    <w:basedOn w:val="Normln"/>
    <w:next w:val="Normln"/>
    <w:uiPriority w:val="99"/>
    <w:rsid w:val="006E1FCB"/>
    <w:pPr>
      <w:widowControl w:val="0"/>
      <w:tabs>
        <w:tab w:val="right" w:leader="dot" w:pos="8788"/>
      </w:tabs>
      <w:ind w:left="200" w:hanging="200"/>
    </w:pPr>
    <w:rPr>
      <w:rFonts w:ascii="Times New Roman" w:eastAsia="Times New Roman" w:hAnsi="Times New Roman" w:cs="Times New Roman"/>
      <w:sz w:val="20"/>
      <w:szCs w:val="20"/>
      <w:lang w:eastAsia="cs-CZ"/>
    </w:rPr>
  </w:style>
  <w:style w:type="paragraph" w:styleId="Normlnodsazen">
    <w:name w:val="Normal Indent"/>
    <w:aliases w:val="záhlaví"/>
    <w:basedOn w:val="Normln"/>
    <w:next w:val="Normln"/>
    <w:uiPriority w:val="99"/>
    <w:rsid w:val="006E1FCB"/>
    <w:pPr>
      <w:widowControl w:val="0"/>
      <w:ind w:left="709"/>
    </w:pPr>
    <w:rPr>
      <w:rFonts w:ascii="Times New Roman" w:eastAsia="Times New Roman" w:hAnsi="Times New Roman" w:cs="Times New Roman"/>
      <w:sz w:val="20"/>
      <w:szCs w:val="20"/>
      <w:lang w:eastAsia="cs-CZ"/>
    </w:rPr>
  </w:style>
  <w:style w:type="paragraph" w:customStyle="1" w:styleId="Bntext">
    <w:name w:val="Běžný text"/>
    <w:basedOn w:val="Normln"/>
    <w:rsid w:val="006E1FCB"/>
    <w:pPr>
      <w:widowControl w:val="0"/>
      <w:ind w:firstLine="567"/>
    </w:pPr>
    <w:rPr>
      <w:rFonts w:ascii="Tahoma" w:eastAsia="Times New Roman" w:hAnsi="Tahoma" w:cs="Times New Roman"/>
      <w:sz w:val="20"/>
      <w:szCs w:val="20"/>
      <w:lang w:eastAsia="cs-CZ"/>
    </w:rPr>
  </w:style>
  <w:style w:type="paragraph" w:customStyle="1" w:styleId="Bntextodsazen">
    <w:name w:val="Běžný text odsazený"/>
    <w:basedOn w:val="Normln"/>
    <w:rsid w:val="006E1FCB"/>
    <w:pPr>
      <w:widowControl w:val="0"/>
      <w:spacing w:before="60"/>
      <w:ind w:left="567"/>
    </w:pPr>
    <w:rPr>
      <w:rFonts w:ascii="Times New Roman" w:eastAsia="Times New Roman" w:hAnsi="Times New Roman" w:cs="Times New Roman"/>
      <w:sz w:val="20"/>
      <w:szCs w:val="20"/>
      <w:lang w:eastAsia="cs-CZ"/>
    </w:rPr>
  </w:style>
  <w:style w:type="paragraph" w:styleId="Seznamsodrkami">
    <w:name w:val="List Bullet"/>
    <w:basedOn w:val="Normln"/>
    <w:uiPriority w:val="99"/>
    <w:rsid w:val="006E1FCB"/>
    <w:pPr>
      <w:widowControl w:val="0"/>
      <w:ind w:left="568" w:hanging="284"/>
    </w:pPr>
    <w:rPr>
      <w:rFonts w:ascii="Times New Roman" w:eastAsia="Times New Roman" w:hAnsi="Times New Roman" w:cs="Times New Roman"/>
      <w:sz w:val="20"/>
      <w:szCs w:val="20"/>
      <w:lang w:eastAsia="cs-CZ"/>
    </w:rPr>
  </w:style>
  <w:style w:type="paragraph" w:styleId="Seznamsodrkami2">
    <w:name w:val="List Bullet 2"/>
    <w:basedOn w:val="Normln"/>
    <w:uiPriority w:val="99"/>
    <w:rsid w:val="006E1FCB"/>
    <w:pPr>
      <w:widowControl w:val="0"/>
      <w:ind w:left="850" w:hanging="283"/>
    </w:pPr>
    <w:rPr>
      <w:rFonts w:ascii="Times New Roman" w:eastAsia="Times New Roman" w:hAnsi="Times New Roman" w:cs="Times New Roman"/>
      <w:sz w:val="20"/>
      <w:szCs w:val="20"/>
      <w:lang w:eastAsia="cs-CZ"/>
    </w:rPr>
  </w:style>
  <w:style w:type="paragraph" w:styleId="Zptenadresanaoblku">
    <w:name w:val="envelope return"/>
    <w:basedOn w:val="Normln"/>
    <w:uiPriority w:val="99"/>
    <w:rsid w:val="006E1FCB"/>
    <w:pPr>
      <w:widowControl w:val="0"/>
    </w:pPr>
    <w:rPr>
      <w:rFonts w:ascii="Times New Roman" w:eastAsia="Times New Roman" w:hAnsi="Times New Roman" w:cs="Times New Roman"/>
      <w:sz w:val="20"/>
      <w:szCs w:val="20"/>
      <w:lang w:eastAsia="cs-CZ"/>
    </w:rPr>
  </w:style>
  <w:style w:type="paragraph" w:styleId="Seznam">
    <w:name w:val="List"/>
    <w:basedOn w:val="Normln"/>
    <w:uiPriority w:val="99"/>
    <w:rsid w:val="006E1FCB"/>
    <w:pPr>
      <w:widowControl w:val="0"/>
      <w:ind w:left="283" w:hanging="283"/>
    </w:pPr>
    <w:rPr>
      <w:rFonts w:ascii="Times New Roman" w:eastAsia="Times New Roman" w:hAnsi="Times New Roman" w:cs="Times New Roman"/>
      <w:sz w:val="20"/>
      <w:szCs w:val="20"/>
      <w:lang w:eastAsia="cs-CZ"/>
    </w:rPr>
  </w:style>
  <w:style w:type="paragraph" w:styleId="Seznam2">
    <w:name w:val="List 2"/>
    <w:basedOn w:val="Normln"/>
    <w:uiPriority w:val="99"/>
    <w:rsid w:val="006E1FCB"/>
    <w:pPr>
      <w:widowControl w:val="0"/>
      <w:ind w:left="566" w:hanging="283"/>
    </w:pPr>
    <w:rPr>
      <w:rFonts w:ascii="Times New Roman" w:eastAsia="Times New Roman" w:hAnsi="Times New Roman" w:cs="Times New Roman"/>
      <w:sz w:val="20"/>
      <w:szCs w:val="20"/>
      <w:lang w:eastAsia="cs-CZ"/>
    </w:rPr>
  </w:style>
  <w:style w:type="paragraph" w:styleId="Seznam3">
    <w:name w:val="List 3"/>
    <w:basedOn w:val="Normln"/>
    <w:uiPriority w:val="99"/>
    <w:rsid w:val="006E1FCB"/>
    <w:pPr>
      <w:widowControl w:val="0"/>
      <w:ind w:left="849" w:hanging="283"/>
    </w:pPr>
    <w:rPr>
      <w:rFonts w:ascii="Times New Roman" w:eastAsia="Times New Roman" w:hAnsi="Times New Roman" w:cs="Times New Roman"/>
      <w:sz w:val="20"/>
      <w:szCs w:val="20"/>
      <w:lang w:eastAsia="cs-CZ"/>
    </w:rPr>
  </w:style>
  <w:style w:type="paragraph" w:styleId="Zkladntextodsazen">
    <w:name w:val="Body Text Indent"/>
    <w:basedOn w:val="Normln"/>
    <w:link w:val="ZkladntextodsazenChar"/>
    <w:uiPriority w:val="99"/>
    <w:rsid w:val="006E1FCB"/>
    <w:pPr>
      <w:widowControl w:val="0"/>
      <w:spacing w:after="120"/>
      <w:ind w:left="283"/>
    </w:pPr>
    <w:rPr>
      <w:rFonts w:ascii="Times New Roman" w:eastAsia="Times New Roman" w:hAnsi="Times New Roman" w:cs="Times New Roman"/>
      <w:szCs w:val="20"/>
      <w:lang w:eastAsia="cs-CZ"/>
    </w:rPr>
  </w:style>
  <w:style w:type="character" w:customStyle="1" w:styleId="ZkladntextodsazenChar">
    <w:name w:val="Základní text odsazený Char"/>
    <w:basedOn w:val="Standardnpsmoodstavce"/>
    <w:link w:val="Zkladntextodsazen"/>
    <w:uiPriority w:val="99"/>
    <w:rsid w:val="006E1FCB"/>
    <w:rPr>
      <w:rFonts w:ascii="Times New Roman" w:eastAsia="Times New Roman" w:hAnsi="Times New Roman" w:cs="Times New Roman"/>
      <w:szCs w:val="20"/>
      <w:lang w:eastAsia="cs-CZ"/>
    </w:rPr>
  </w:style>
  <w:style w:type="paragraph" w:customStyle="1" w:styleId="uvodnitext">
    <w:name w:val="uvodni text"/>
    <w:rsid w:val="006E1FCB"/>
    <w:pPr>
      <w:widowControl w:val="0"/>
      <w:spacing w:after="0" w:line="240" w:lineRule="auto"/>
    </w:pPr>
    <w:rPr>
      <w:rFonts w:ascii="Times New Roman" w:eastAsia="Times New Roman" w:hAnsi="Times New Roman" w:cs="Times New Roman"/>
      <w:sz w:val="24"/>
      <w:szCs w:val="20"/>
      <w:lang w:eastAsia="cs-CZ"/>
    </w:rPr>
  </w:style>
  <w:style w:type="paragraph" w:customStyle="1" w:styleId="Popisobjektu">
    <w:name w:val="Popis objektu"/>
    <w:rsid w:val="006E1FCB"/>
    <w:pPr>
      <w:widowControl w:val="0"/>
      <w:spacing w:after="0" w:line="240" w:lineRule="auto"/>
    </w:pPr>
    <w:rPr>
      <w:rFonts w:ascii="Times New Roman" w:eastAsia="Times New Roman" w:hAnsi="Times New Roman" w:cs="Times New Roman"/>
      <w:sz w:val="24"/>
      <w:szCs w:val="20"/>
      <w:lang w:eastAsia="cs-CZ"/>
    </w:rPr>
  </w:style>
  <w:style w:type="paragraph" w:customStyle="1" w:styleId="Zkladntext21">
    <w:name w:val="Základní text 21"/>
    <w:basedOn w:val="Normln"/>
    <w:rsid w:val="006E1FCB"/>
    <w:pPr>
      <w:widowControl w:val="0"/>
    </w:pPr>
    <w:rPr>
      <w:rFonts w:ascii="Times New Roman" w:eastAsia="Times New Roman" w:hAnsi="Times New Roman" w:cs="Times New Roman"/>
      <w:sz w:val="24"/>
      <w:szCs w:val="20"/>
      <w:lang w:eastAsia="cs-CZ"/>
    </w:rPr>
  </w:style>
  <w:style w:type="paragraph" w:customStyle="1" w:styleId="Zkladntext31">
    <w:name w:val="Základní text 31"/>
    <w:basedOn w:val="Normln"/>
    <w:rsid w:val="006E1FCB"/>
    <w:pPr>
      <w:widowControl w:val="0"/>
    </w:pPr>
    <w:rPr>
      <w:rFonts w:ascii="Times New Roman" w:eastAsia="Times New Roman" w:hAnsi="Times New Roman" w:cs="Times New Roman"/>
      <w:i/>
      <w:sz w:val="24"/>
      <w:szCs w:val="20"/>
      <w:lang w:eastAsia="cs-CZ"/>
    </w:rPr>
  </w:style>
  <w:style w:type="paragraph" w:customStyle="1" w:styleId="Bintext">
    <w:name w:val="Bižný text"/>
    <w:basedOn w:val="Normln"/>
    <w:rsid w:val="006E1FCB"/>
    <w:pPr>
      <w:widowControl w:val="0"/>
      <w:spacing w:before="60"/>
      <w:ind w:firstLine="567"/>
    </w:pPr>
    <w:rPr>
      <w:rFonts w:ascii="Times New Roman" w:eastAsia="Times New Roman" w:hAnsi="Times New Roman" w:cs="Times New Roman"/>
      <w:sz w:val="20"/>
      <w:szCs w:val="20"/>
      <w:lang w:eastAsia="cs-CZ"/>
    </w:rPr>
  </w:style>
  <w:style w:type="paragraph" w:styleId="Prosttext">
    <w:name w:val="Plain Text"/>
    <w:basedOn w:val="Normln"/>
    <w:link w:val="ProsttextChar"/>
    <w:uiPriority w:val="99"/>
    <w:rsid w:val="006E1FCB"/>
    <w:pPr>
      <w:widowControl w:val="0"/>
    </w:pPr>
    <w:rPr>
      <w:rFonts w:ascii="Courier New" w:eastAsia="Times New Roman" w:hAnsi="Courier New" w:cs="Times New Roman"/>
      <w:sz w:val="20"/>
      <w:szCs w:val="20"/>
      <w:lang w:eastAsia="cs-CZ"/>
    </w:rPr>
  </w:style>
  <w:style w:type="character" w:customStyle="1" w:styleId="ProsttextChar">
    <w:name w:val="Prostý text Char"/>
    <w:basedOn w:val="Standardnpsmoodstavce"/>
    <w:link w:val="Prosttext"/>
    <w:uiPriority w:val="99"/>
    <w:rsid w:val="006E1FCB"/>
    <w:rPr>
      <w:rFonts w:ascii="Courier New" w:eastAsia="Times New Roman" w:hAnsi="Courier New" w:cs="Times New Roman"/>
      <w:sz w:val="20"/>
      <w:szCs w:val="20"/>
      <w:lang w:eastAsia="cs-CZ"/>
    </w:rPr>
  </w:style>
  <w:style w:type="paragraph" w:customStyle="1" w:styleId="Zkladntextodsazen31">
    <w:name w:val="Základní text odsazený 31"/>
    <w:basedOn w:val="Normln"/>
    <w:rsid w:val="006E1FCB"/>
    <w:pPr>
      <w:widowControl w:val="0"/>
      <w:ind w:firstLine="708"/>
    </w:pPr>
    <w:rPr>
      <w:rFonts w:ascii="Times New Roman" w:eastAsia="Times New Roman" w:hAnsi="Times New Roman" w:cs="Times New Roman"/>
      <w:sz w:val="20"/>
      <w:szCs w:val="20"/>
      <w:lang w:eastAsia="cs-CZ"/>
    </w:rPr>
  </w:style>
  <w:style w:type="paragraph" w:customStyle="1" w:styleId="font5">
    <w:name w:val="font5"/>
    <w:basedOn w:val="Normln"/>
    <w:rsid w:val="006E1FCB"/>
    <w:pPr>
      <w:spacing w:before="100" w:beforeAutospacing="1" w:after="100" w:afterAutospacing="1"/>
    </w:pPr>
    <w:rPr>
      <w:rFonts w:ascii="Times New Roman" w:eastAsia="Times New Roman" w:hAnsi="Times New Roman" w:cs="Times New Roman"/>
      <w:sz w:val="14"/>
      <w:szCs w:val="14"/>
      <w:lang w:eastAsia="cs-CZ"/>
    </w:rPr>
  </w:style>
  <w:style w:type="paragraph" w:customStyle="1" w:styleId="xl27">
    <w:name w:val="xl27"/>
    <w:basedOn w:val="Normln"/>
    <w:rsid w:val="006E1FCB"/>
    <w:pPr>
      <w:pBdr>
        <w:top w:val="single" w:sz="8" w:space="0" w:color="auto"/>
        <w:left w:val="single" w:sz="8" w:space="0" w:color="auto"/>
        <w:bottom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sz w:val="14"/>
      <w:szCs w:val="14"/>
      <w:lang w:eastAsia="cs-CZ"/>
    </w:rPr>
  </w:style>
  <w:style w:type="paragraph" w:customStyle="1" w:styleId="xl28">
    <w:name w:val="xl28"/>
    <w:basedOn w:val="Normln"/>
    <w:rsid w:val="006E1FCB"/>
    <w:pPr>
      <w:pBdr>
        <w:top w:val="single" w:sz="8" w:space="0" w:color="auto"/>
        <w:bottom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sz w:val="14"/>
      <w:szCs w:val="14"/>
      <w:lang w:eastAsia="cs-CZ"/>
    </w:rPr>
  </w:style>
  <w:style w:type="paragraph" w:customStyle="1" w:styleId="xl29">
    <w:name w:val="xl29"/>
    <w:basedOn w:val="Normln"/>
    <w:rsid w:val="006E1FCB"/>
    <w:pPr>
      <w:pBdr>
        <w:top w:val="single" w:sz="8" w:space="0" w:color="auto"/>
        <w:bottom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b/>
      <w:bCs/>
      <w:sz w:val="14"/>
      <w:szCs w:val="14"/>
      <w:lang w:eastAsia="cs-CZ"/>
    </w:rPr>
  </w:style>
  <w:style w:type="paragraph" w:customStyle="1" w:styleId="xl30">
    <w:name w:val="xl30"/>
    <w:basedOn w:val="Normln"/>
    <w:rsid w:val="006E1FCB"/>
    <w:pPr>
      <w:pBdr>
        <w:top w:val="single" w:sz="8" w:space="0" w:color="auto"/>
        <w:bottom w:val="single" w:sz="8" w:space="0" w:color="auto"/>
        <w:right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sz w:val="14"/>
      <w:szCs w:val="14"/>
      <w:lang w:eastAsia="cs-CZ"/>
    </w:rPr>
  </w:style>
  <w:style w:type="paragraph" w:customStyle="1" w:styleId="xl31">
    <w:name w:val="xl31"/>
    <w:basedOn w:val="Normln"/>
    <w:rsid w:val="006E1FCB"/>
    <w:pPr>
      <w:pBdr>
        <w:bottom w:val="single" w:sz="4" w:space="0" w:color="auto"/>
        <w:right w:val="single" w:sz="8" w:space="0" w:color="auto"/>
      </w:pBdr>
      <w:shd w:val="clear" w:color="auto" w:fill="FFFF00"/>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32">
    <w:name w:val="xl32"/>
    <w:basedOn w:val="Normln"/>
    <w:rsid w:val="006E1FCB"/>
    <w:pPr>
      <w:pBdr>
        <w:bottom w:val="single" w:sz="4" w:space="0" w:color="auto"/>
        <w:right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33">
    <w:name w:val="xl33"/>
    <w:basedOn w:val="Normln"/>
    <w:rsid w:val="006E1FCB"/>
    <w:pPr>
      <w:pBdr>
        <w:top w:val="single" w:sz="4" w:space="0" w:color="auto"/>
        <w:bottom w:val="single" w:sz="4"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34">
    <w:name w:val="xl34"/>
    <w:basedOn w:val="Normln"/>
    <w:rsid w:val="006E1FCB"/>
    <w:pPr>
      <w:pBdr>
        <w:top w:val="single" w:sz="4" w:space="0" w:color="auto"/>
        <w:left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35">
    <w:name w:val="xl35"/>
    <w:basedOn w:val="Normln"/>
    <w:rsid w:val="006E1FCB"/>
    <w:pPr>
      <w:pBdr>
        <w:top w:val="single" w:sz="4"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36">
    <w:name w:val="xl36"/>
    <w:basedOn w:val="Normln"/>
    <w:rsid w:val="006E1FCB"/>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37">
    <w:name w:val="xl37"/>
    <w:basedOn w:val="Normln"/>
    <w:rsid w:val="006E1FCB"/>
    <w:pPr>
      <w:pBdr>
        <w:top w:val="single" w:sz="4" w:space="0" w:color="auto"/>
        <w:bottom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38">
    <w:name w:val="xl38"/>
    <w:basedOn w:val="Normln"/>
    <w:rsid w:val="006E1FCB"/>
    <w:pPr>
      <w:pBdr>
        <w:top w:val="single" w:sz="4" w:space="0" w:color="auto"/>
        <w:bottom w:val="single" w:sz="4" w:space="0" w:color="auto"/>
        <w:right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39">
    <w:name w:val="xl39"/>
    <w:basedOn w:val="Normln"/>
    <w:rsid w:val="006E1FCB"/>
    <w:pPr>
      <w:pBdr>
        <w:top w:val="single" w:sz="8" w:space="0" w:color="auto"/>
        <w:left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40">
    <w:name w:val="xl40"/>
    <w:basedOn w:val="Normln"/>
    <w:rsid w:val="006E1FCB"/>
    <w:pPr>
      <w:pBdr>
        <w:top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41">
    <w:name w:val="xl41"/>
    <w:basedOn w:val="Normln"/>
    <w:rsid w:val="006E1FCB"/>
    <w:pPr>
      <w:pBdr>
        <w:top w:val="single" w:sz="8" w:space="0" w:color="auto"/>
        <w:bottom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42">
    <w:name w:val="xl42"/>
    <w:basedOn w:val="Normln"/>
    <w:rsid w:val="006E1FCB"/>
    <w:pPr>
      <w:pBdr>
        <w:top w:val="single" w:sz="8"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43">
    <w:name w:val="xl43"/>
    <w:basedOn w:val="Normln"/>
    <w:rsid w:val="006E1FCB"/>
    <w:pPr>
      <w:pBdr>
        <w:top w:val="single" w:sz="8" w:space="0" w:color="auto"/>
        <w:bottom w:val="single" w:sz="4"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44">
    <w:name w:val="xl44"/>
    <w:basedOn w:val="Normln"/>
    <w:rsid w:val="006E1FCB"/>
    <w:pPr>
      <w:pBdr>
        <w:bottom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45">
    <w:name w:val="xl45"/>
    <w:basedOn w:val="Normln"/>
    <w:rsid w:val="006E1FCB"/>
    <w:pPr>
      <w:pBdr>
        <w:bottom w:val="single" w:sz="8"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46">
    <w:name w:val="xl46"/>
    <w:basedOn w:val="Normln"/>
    <w:rsid w:val="006E1FCB"/>
    <w:pPr>
      <w:pBdr>
        <w:top w:val="single" w:sz="4" w:space="0" w:color="auto"/>
        <w:left w:val="single" w:sz="4"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47">
    <w:name w:val="xl47"/>
    <w:basedOn w:val="Normln"/>
    <w:rsid w:val="006E1FCB"/>
    <w:pPr>
      <w:pBdr>
        <w:top w:val="single" w:sz="4" w:space="0" w:color="auto"/>
        <w:left w:val="single" w:sz="8" w:space="0" w:color="auto"/>
        <w:bottom w:val="single" w:sz="4" w:space="0" w:color="auto"/>
        <w:right w:val="single" w:sz="4" w:space="0" w:color="auto"/>
      </w:pBdr>
      <w:shd w:val="clear" w:color="auto" w:fill="00FFFF"/>
      <w:spacing w:before="100" w:beforeAutospacing="1" w:after="100" w:afterAutospacing="1"/>
      <w:jc w:val="center"/>
      <w:textAlignment w:val="center"/>
    </w:pPr>
    <w:rPr>
      <w:rFonts w:ascii="Times New Roman" w:eastAsia="Times New Roman" w:hAnsi="Times New Roman" w:cs="Times New Roman"/>
      <w:sz w:val="14"/>
      <w:szCs w:val="14"/>
      <w:lang w:eastAsia="cs-CZ"/>
    </w:rPr>
  </w:style>
  <w:style w:type="paragraph" w:customStyle="1" w:styleId="xl48">
    <w:name w:val="xl48"/>
    <w:basedOn w:val="Normln"/>
    <w:rsid w:val="006E1F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4"/>
      <w:szCs w:val="14"/>
      <w:lang w:eastAsia="cs-CZ"/>
    </w:rPr>
  </w:style>
  <w:style w:type="paragraph" w:customStyle="1" w:styleId="xl49">
    <w:name w:val="xl49"/>
    <w:basedOn w:val="Normln"/>
    <w:rsid w:val="006E1FC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Times New Roman" w:eastAsia="Times New Roman" w:hAnsi="Times New Roman" w:cs="Times New Roman"/>
      <w:sz w:val="14"/>
      <w:szCs w:val="14"/>
      <w:lang w:eastAsia="cs-CZ"/>
    </w:rPr>
  </w:style>
  <w:style w:type="paragraph" w:customStyle="1" w:styleId="xl50">
    <w:name w:val="xl50"/>
    <w:basedOn w:val="Normln"/>
    <w:rsid w:val="006E1FCB"/>
    <w:pPr>
      <w:pBdr>
        <w:top w:val="single" w:sz="4" w:space="0" w:color="auto"/>
        <w:left w:val="single" w:sz="4" w:space="0" w:color="auto"/>
        <w:bottom w:val="single" w:sz="4" w:space="0" w:color="auto"/>
      </w:pBdr>
      <w:shd w:val="clear" w:color="auto" w:fill="00FFFF"/>
      <w:spacing w:before="100" w:beforeAutospacing="1" w:after="100" w:afterAutospacing="1"/>
      <w:jc w:val="center"/>
      <w:textAlignment w:val="center"/>
    </w:pPr>
    <w:rPr>
      <w:rFonts w:ascii="Times New Roman" w:eastAsia="Times New Roman" w:hAnsi="Times New Roman" w:cs="Times New Roman"/>
      <w:sz w:val="14"/>
      <w:szCs w:val="14"/>
      <w:lang w:eastAsia="cs-CZ"/>
    </w:rPr>
  </w:style>
  <w:style w:type="paragraph" w:customStyle="1" w:styleId="xl51">
    <w:name w:val="xl51"/>
    <w:basedOn w:val="Normln"/>
    <w:rsid w:val="006E1FCB"/>
    <w:pPr>
      <w:pBdr>
        <w:top w:val="single" w:sz="4" w:space="0" w:color="auto"/>
        <w:left w:val="single" w:sz="4" w:space="0" w:color="auto"/>
        <w:bottom w:val="single" w:sz="4" w:space="0" w:color="auto"/>
      </w:pBdr>
      <w:shd w:val="clear" w:color="auto" w:fill="00FFFF"/>
      <w:spacing w:before="100" w:beforeAutospacing="1" w:after="100" w:afterAutospacing="1"/>
      <w:jc w:val="center"/>
      <w:textAlignment w:val="center"/>
    </w:pPr>
    <w:rPr>
      <w:rFonts w:ascii="Times New Roman" w:eastAsia="Times New Roman" w:hAnsi="Times New Roman" w:cs="Times New Roman"/>
      <w:sz w:val="14"/>
      <w:szCs w:val="14"/>
      <w:lang w:eastAsia="cs-CZ"/>
    </w:rPr>
  </w:style>
  <w:style w:type="paragraph" w:customStyle="1" w:styleId="xl52">
    <w:name w:val="xl52"/>
    <w:basedOn w:val="Normln"/>
    <w:rsid w:val="006E1FCB"/>
    <w:pPr>
      <w:pBdr>
        <w:top w:val="single" w:sz="4" w:space="0" w:color="auto"/>
        <w:left w:val="single" w:sz="4" w:space="0" w:color="auto"/>
        <w:bottom w:val="single" w:sz="8" w:space="0" w:color="auto"/>
        <w:right w:val="single" w:sz="4" w:space="0" w:color="auto"/>
      </w:pBdr>
      <w:shd w:val="clear" w:color="auto" w:fill="00FFFF"/>
      <w:spacing w:before="100" w:beforeAutospacing="1" w:after="100" w:afterAutospacing="1"/>
      <w:textAlignment w:val="center"/>
    </w:pPr>
    <w:rPr>
      <w:rFonts w:ascii="Times New Roman" w:eastAsia="Times New Roman" w:hAnsi="Times New Roman" w:cs="Times New Roman"/>
      <w:sz w:val="14"/>
      <w:szCs w:val="14"/>
      <w:lang w:eastAsia="cs-CZ"/>
    </w:rPr>
  </w:style>
  <w:style w:type="paragraph" w:customStyle="1" w:styleId="xl53">
    <w:name w:val="xl53"/>
    <w:basedOn w:val="Normln"/>
    <w:rsid w:val="006E1FCB"/>
    <w:pPr>
      <w:pBdr>
        <w:top w:val="single" w:sz="8" w:space="0" w:color="auto"/>
        <w:left w:val="single" w:sz="4"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54">
    <w:name w:val="xl54"/>
    <w:basedOn w:val="Normln"/>
    <w:rsid w:val="006E1FCB"/>
    <w:pPr>
      <w:pBdr>
        <w:top w:val="single" w:sz="8" w:space="0" w:color="auto"/>
        <w:left w:val="single" w:sz="4" w:space="0" w:color="auto"/>
        <w:bottom w:val="single" w:sz="8"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55">
    <w:name w:val="xl55"/>
    <w:basedOn w:val="Normln"/>
    <w:rsid w:val="006E1FCB"/>
    <w:pPr>
      <w:pBdr>
        <w:top w:val="single" w:sz="8"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6"/>
      <w:szCs w:val="16"/>
      <w:lang w:eastAsia="cs-CZ"/>
    </w:rPr>
  </w:style>
  <w:style w:type="paragraph" w:customStyle="1" w:styleId="xl56">
    <w:name w:val="xl56"/>
    <w:basedOn w:val="Normln"/>
    <w:rsid w:val="006E1FCB"/>
    <w:pPr>
      <w:pBdr>
        <w:top w:val="single" w:sz="8"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6"/>
      <w:szCs w:val="16"/>
      <w:lang w:eastAsia="cs-CZ"/>
    </w:rPr>
  </w:style>
  <w:style w:type="paragraph" w:customStyle="1" w:styleId="xl57">
    <w:name w:val="xl57"/>
    <w:basedOn w:val="Normln"/>
    <w:rsid w:val="006E1FCB"/>
    <w:pPr>
      <w:pBdr>
        <w:top w:val="single" w:sz="8" w:space="0" w:color="auto"/>
        <w:left w:val="single" w:sz="4" w:space="0" w:color="auto"/>
        <w:bottom w:val="single" w:sz="4" w:space="0" w:color="auto"/>
        <w:right w:val="single" w:sz="4" w:space="0" w:color="auto"/>
      </w:pBdr>
      <w:shd w:val="clear" w:color="auto" w:fill="00FFFF"/>
      <w:spacing w:before="100" w:beforeAutospacing="1" w:after="100" w:afterAutospacing="1"/>
      <w:jc w:val="right"/>
    </w:pPr>
    <w:rPr>
      <w:rFonts w:ascii="Times New Roman" w:eastAsia="Times New Roman" w:hAnsi="Times New Roman" w:cs="Times New Roman"/>
      <w:sz w:val="16"/>
      <w:szCs w:val="16"/>
      <w:lang w:eastAsia="cs-CZ"/>
    </w:rPr>
  </w:style>
  <w:style w:type="paragraph" w:customStyle="1" w:styleId="xl58">
    <w:name w:val="xl58"/>
    <w:basedOn w:val="Normln"/>
    <w:rsid w:val="006E1FCB"/>
    <w:pPr>
      <w:pBdr>
        <w:top w:val="single" w:sz="8" w:space="0" w:color="auto"/>
        <w:left w:val="single" w:sz="4" w:space="0" w:color="auto"/>
        <w:bottom w:val="single" w:sz="4"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6"/>
      <w:szCs w:val="16"/>
      <w:lang w:eastAsia="cs-CZ"/>
    </w:rPr>
  </w:style>
  <w:style w:type="paragraph" w:customStyle="1" w:styleId="xl59">
    <w:name w:val="xl59"/>
    <w:basedOn w:val="Normln"/>
    <w:rsid w:val="006E1FCB"/>
    <w:pPr>
      <w:pBdr>
        <w:top w:val="single" w:sz="4"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60">
    <w:name w:val="xl60"/>
    <w:basedOn w:val="Normln"/>
    <w:rsid w:val="006E1FCB"/>
    <w:pPr>
      <w:pBdr>
        <w:top w:val="single" w:sz="4" w:space="0" w:color="auto"/>
        <w:left w:val="single" w:sz="4"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6"/>
      <w:szCs w:val="16"/>
      <w:lang w:eastAsia="cs-CZ"/>
    </w:rPr>
  </w:style>
  <w:style w:type="paragraph" w:customStyle="1" w:styleId="xl61">
    <w:name w:val="xl61"/>
    <w:basedOn w:val="Normln"/>
    <w:rsid w:val="006E1FCB"/>
    <w:pPr>
      <w:pBdr>
        <w:top w:val="single" w:sz="4" w:space="0" w:color="auto"/>
        <w:left w:val="single" w:sz="4"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6"/>
      <w:szCs w:val="16"/>
      <w:lang w:eastAsia="cs-CZ"/>
    </w:rPr>
  </w:style>
  <w:style w:type="paragraph" w:customStyle="1" w:styleId="xl62">
    <w:name w:val="xl62"/>
    <w:basedOn w:val="Normln"/>
    <w:rsid w:val="006E1FCB"/>
    <w:pPr>
      <w:pBdr>
        <w:top w:val="single" w:sz="4" w:space="0" w:color="auto"/>
        <w:left w:val="single" w:sz="4" w:space="0" w:color="auto"/>
        <w:bottom w:val="single" w:sz="8" w:space="0" w:color="auto"/>
        <w:right w:val="single" w:sz="4" w:space="0" w:color="auto"/>
      </w:pBdr>
      <w:shd w:val="clear" w:color="auto" w:fill="00FFFF"/>
      <w:spacing w:before="100" w:beforeAutospacing="1" w:after="100" w:afterAutospacing="1"/>
      <w:jc w:val="right"/>
    </w:pPr>
    <w:rPr>
      <w:rFonts w:ascii="Times New Roman" w:eastAsia="Times New Roman" w:hAnsi="Times New Roman" w:cs="Times New Roman"/>
      <w:sz w:val="16"/>
      <w:szCs w:val="16"/>
      <w:lang w:eastAsia="cs-CZ"/>
    </w:rPr>
  </w:style>
  <w:style w:type="paragraph" w:customStyle="1" w:styleId="xl63">
    <w:name w:val="xl63"/>
    <w:basedOn w:val="Normln"/>
    <w:rsid w:val="006E1FCB"/>
    <w:pPr>
      <w:pBdr>
        <w:top w:val="single" w:sz="4" w:space="0" w:color="auto"/>
        <w:left w:val="single" w:sz="4" w:space="0" w:color="auto"/>
        <w:bottom w:val="single" w:sz="8"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6"/>
      <w:szCs w:val="16"/>
      <w:lang w:eastAsia="cs-CZ"/>
    </w:rPr>
  </w:style>
  <w:style w:type="paragraph" w:customStyle="1" w:styleId="xl64">
    <w:name w:val="xl64"/>
    <w:basedOn w:val="Normln"/>
    <w:rsid w:val="006E1FCB"/>
    <w:pPr>
      <w:pBdr>
        <w:top w:val="single" w:sz="4" w:space="0" w:color="auto"/>
        <w:left w:val="single" w:sz="4"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65">
    <w:name w:val="xl65"/>
    <w:basedOn w:val="Normln"/>
    <w:rsid w:val="006E1FCB"/>
    <w:pPr>
      <w:pBdr>
        <w:left w:val="single" w:sz="4" w:space="0" w:color="auto"/>
        <w:bottom w:val="single" w:sz="8" w:space="0" w:color="auto"/>
        <w:right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66">
    <w:name w:val="xl66"/>
    <w:basedOn w:val="Normln"/>
    <w:rsid w:val="006E1FCB"/>
    <w:pPr>
      <w:pBdr>
        <w:top w:val="single" w:sz="8" w:space="0" w:color="auto"/>
        <w:left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font6">
    <w:name w:val="font6"/>
    <w:basedOn w:val="Normln"/>
    <w:rsid w:val="006E1FCB"/>
    <w:pPr>
      <w:spacing w:before="100" w:beforeAutospacing="1" w:after="100" w:afterAutospacing="1"/>
    </w:pPr>
    <w:rPr>
      <w:rFonts w:ascii="Tahoma" w:eastAsia="Times New Roman" w:hAnsi="Tahoma" w:cs="Tahoma"/>
      <w:color w:val="000000"/>
      <w:sz w:val="16"/>
      <w:szCs w:val="16"/>
      <w:lang w:eastAsia="cs-CZ"/>
    </w:rPr>
  </w:style>
  <w:style w:type="paragraph" w:customStyle="1" w:styleId="xl70">
    <w:name w:val="xl70"/>
    <w:basedOn w:val="Normln"/>
    <w:rsid w:val="006E1FCB"/>
    <w:pPr>
      <w:pBdr>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cs-CZ"/>
    </w:rPr>
  </w:style>
  <w:style w:type="paragraph" w:customStyle="1" w:styleId="xl71">
    <w:name w:val="xl71"/>
    <w:basedOn w:val="Normln"/>
    <w:rsid w:val="006E1FCB"/>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72">
    <w:name w:val="xl72"/>
    <w:basedOn w:val="Normln"/>
    <w:rsid w:val="006E1FCB"/>
    <w:pPr>
      <w:pBdr>
        <w:top w:val="single" w:sz="8" w:space="0" w:color="auto"/>
        <w:left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73">
    <w:name w:val="xl73"/>
    <w:basedOn w:val="Normln"/>
    <w:rsid w:val="006E1FCB"/>
    <w:pPr>
      <w:pBdr>
        <w:top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74">
    <w:name w:val="xl74"/>
    <w:basedOn w:val="Normln"/>
    <w:rsid w:val="006E1FCB"/>
    <w:pPr>
      <w:pBdr>
        <w:top w:val="single" w:sz="8" w:space="0" w:color="auto"/>
        <w:left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75">
    <w:name w:val="xl75"/>
    <w:basedOn w:val="Normln"/>
    <w:rsid w:val="006E1FCB"/>
    <w:pPr>
      <w:pBdr>
        <w:top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76">
    <w:name w:val="xl76"/>
    <w:basedOn w:val="Normln"/>
    <w:rsid w:val="006E1FCB"/>
    <w:pPr>
      <w:pBdr>
        <w:top w:val="single" w:sz="8" w:space="0" w:color="auto"/>
        <w:bottom w:val="single" w:sz="4" w:space="0" w:color="auto"/>
        <w:right w:val="single" w:sz="4" w:space="0" w:color="auto"/>
      </w:pBdr>
      <w:shd w:val="clear" w:color="auto"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77">
    <w:name w:val="xl77"/>
    <w:basedOn w:val="Normln"/>
    <w:rsid w:val="006E1FCB"/>
    <w:pPr>
      <w:pBdr>
        <w:top w:val="single" w:sz="4"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78">
    <w:name w:val="xl78"/>
    <w:basedOn w:val="Normln"/>
    <w:rsid w:val="006E1FCB"/>
    <w:pPr>
      <w:pBdr>
        <w:top w:val="single" w:sz="4"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79">
    <w:name w:val="xl79"/>
    <w:basedOn w:val="Normln"/>
    <w:rsid w:val="006E1FCB"/>
    <w:pPr>
      <w:pBdr>
        <w:top w:val="single" w:sz="4" w:space="0" w:color="auto"/>
        <w:bottom w:val="single" w:sz="8" w:space="0" w:color="auto"/>
        <w:right w:val="single" w:sz="4" w:space="0" w:color="auto"/>
      </w:pBdr>
      <w:shd w:val="clear" w:color="auto"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80">
    <w:name w:val="xl80"/>
    <w:basedOn w:val="Normln"/>
    <w:rsid w:val="006E1FCB"/>
    <w:pPr>
      <w:pBdr>
        <w:top w:val="single" w:sz="8" w:space="0" w:color="auto"/>
        <w:left w:val="single" w:sz="8" w:space="0" w:color="auto"/>
        <w:bottom w:val="single" w:sz="4"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81">
    <w:name w:val="xl81"/>
    <w:basedOn w:val="Normln"/>
    <w:rsid w:val="006E1FCB"/>
    <w:pPr>
      <w:pBdr>
        <w:top w:val="single" w:sz="8" w:space="0" w:color="auto"/>
        <w:bottom w:val="single" w:sz="4"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82">
    <w:name w:val="xl82"/>
    <w:basedOn w:val="Normln"/>
    <w:rsid w:val="006E1FCB"/>
    <w:pPr>
      <w:pBdr>
        <w:top w:val="single" w:sz="8" w:space="0" w:color="auto"/>
        <w:bottom w:val="single" w:sz="4" w:space="0" w:color="auto"/>
        <w:right w:val="single" w:sz="4"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83">
    <w:name w:val="xl83"/>
    <w:basedOn w:val="Normln"/>
    <w:rsid w:val="006E1FCB"/>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84">
    <w:name w:val="xl84"/>
    <w:basedOn w:val="Normln"/>
    <w:rsid w:val="006E1FCB"/>
    <w:pPr>
      <w:pBdr>
        <w:top w:val="single" w:sz="8"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85">
    <w:name w:val="xl85"/>
    <w:basedOn w:val="Normln"/>
    <w:rsid w:val="006E1FCB"/>
    <w:pPr>
      <w:pBdr>
        <w:top w:val="single" w:sz="4" w:space="0" w:color="auto"/>
        <w:left w:val="single" w:sz="8" w:space="0" w:color="auto"/>
        <w:bottom w:val="single" w:sz="4"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86">
    <w:name w:val="xl86"/>
    <w:basedOn w:val="Normln"/>
    <w:rsid w:val="006E1FCB"/>
    <w:pPr>
      <w:pBdr>
        <w:top w:val="single" w:sz="4" w:space="0" w:color="auto"/>
        <w:bottom w:val="single" w:sz="4"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87">
    <w:name w:val="xl87"/>
    <w:basedOn w:val="Normln"/>
    <w:rsid w:val="006E1FCB"/>
    <w:pPr>
      <w:pBdr>
        <w:top w:val="single" w:sz="4" w:space="0" w:color="auto"/>
        <w:bottom w:val="single" w:sz="4" w:space="0" w:color="auto"/>
        <w:right w:val="single" w:sz="4"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88">
    <w:name w:val="xl88"/>
    <w:basedOn w:val="Normln"/>
    <w:rsid w:val="006E1FCB"/>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89">
    <w:name w:val="xl89"/>
    <w:basedOn w:val="Normln"/>
    <w:rsid w:val="006E1F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90">
    <w:name w:val="xl90"/>
    <w:basedOn w:val="Normln"/>
    <w:rsid w:val="006E1FCB"/>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91">
    <w:name w:val="xl91"/>
    <w:basedOn w:val="Normln"/>
    <w:rsid w:val="006E1FCB"/>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92">
    <w:name w:val="xl92"/>
    <w:basedOn w:val="Normln"/>
    <w:rsid w:val="006E1FCB"/>
    <w:pPr>
      <w:pBdr>
        <w:top w:val="single" w:sz="4" w:space="0" w:color="auto"/>
        <w:left w:val="single" w:sz="8" w:space="0" w:color="auto"/>
        <w:bottom w:val="single" w:sz="8"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93">
    <w:name w:val="xl93"/>
    <w:basedOn w:val="Normln"/>
    <w:rsid w:val="006E1FCB"/>
    <w:pPr>
      <w:pBdr>
        <w:top w:val="single" w:sz="4" w:space="0" w:color="auto"/>
        <w:bottom w:val="single" w:sz="8"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94">
    <w:name w:val="xl94"/>
    <w:basedOn w:val="Normln"/>
    <w:rsid w:val="006E1FCB"/>
    <w:pPr>
      <w:pBdr>
        <w:top w:val="single" w:sz="4" w:space="0" w:color="auto"/>
        <w:bottom w:val="single" w:sz="8" w:space="0" w:color="auto"/>
        <w:right w:val="single" w:sz="4" w:space="0" w:color="auto"/>
      </w:pBdr>
      <w:shd w:val="clear" w:color="auto" w:fill="FFFF00"/>
      <w:spacing w:before="100" w:beforeAutospacing="1" w:after="100" w:afterAutospacing="1"/>
    </w:pPr>
    <w:rPr>
      <w:rFonts w:ascii="Times New Roman" w:eastAsia="Times New Roman" w:hAnsi="Times New Roman" w:cs="Times New Roman"/>
      <w:sz w:val="24"/>
      <w:szCs w:val="24"/>
      <w:lang w:eastAsia="cs-CZ"/>
    </w:rPr>
  </w:style>
  <w:style w:type="paragraph" w:customStyle="1" w:styleId="xl95">
    <w:name w:val="xl95"/>
    <w:basedOn w:val="Normln"/>
    <w:rsid w:val="006E1FCB"/>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96">
    <w:name w:val="xl96"/>
    <w:basedOn w:val="Normln"/>
    <w:rsid w:val="006E1FCB"/>
    <w:pPr>
      <w:pBdr>
        <w:top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font7">
    <w:name w:val="font7"/>
    <w:basedOn w:val="Normln"/>
    <w:rsid w:val="006E1FCB"/>
    <w:pPr>
      <w:spacing w:before="100" w:beforeAutospacing="1" w:after="100" w:afterAutospacing="1"/>
    </w:pPr>
    <w:rPr>
      <w:rFonts w:ascii="Tahoma" w:eastAsia="Times New Roman" w:hAnsi="Tahoma" w:cs="Tahoma"/>
      <w:color w:val="000000"/>
      <w:sz w:val="16"/>
      <w:szCs w:val="16"/>
      <w:lang w:eastAsia="cs-CZ"/>
    </w:rPr>
  </w:style>
  <w:style w:type="paragraph" w:customStyle="1" w:styleId="xl97">
    <w:name w:val="xl97"/>
    <w:basedOn w:val="Normln"/>
    <w:rsid w:val="006E1FCB"/>
    <w:pPr>
      <w:pBdr>
        <w:top w:val="single" w:sz="8" w:space="0" w:color="auto"/>
        <w:bottom w:val="single" w:sz="8" w:space="0" w:color="auto"/>
      </w:pBdr>
      <w:shd w:val="clear" w:color="auto" w:fill="00FFFF"/>
      <w:spacing w:before="100" w:beforeAutospacing="1" w:after="100" w:afterAutospacing="1"/>
      <w:jc w:val="center"/>
    </w:pPr>
    <w:rPr>
      <w:rFonts w:ascii="Times New Roman" w:eastAsia="Times New Roman" w:hAnsi="Times New Roman" w:cs="Times New Roman"/>
      <w:i/>
      <w:iCs/>
      <w:sz w:val="24"/>
      <w:szCs w:val="24"/>
      <w:lang w:eastAsia="cs-CZ"/>
    </w:rPr>
  </w:style>
  <w:style w:type="paragraph" w:customStyle="1" w:styleId="xl98">
    <w:name w:val="xl98"/>
    <w:basedOn w:val="Normln"/>
    <w:rsid w:val="006E1FCB"/>
    <w:pPr>
      <w:pBdr>
        <w:top w:val="single" w:sz="8" w:space="0" w:color="auto"/>
        <w:left w:val="single" w:sz="4"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i/>
      <w:iCs/>
      <w:sz w:val="24"/>
      <w:szCs w:val="24"/>
      <w:lang w:eastAsia="cs-CZ"/>
    </w:rPr>
  </w:style>
  <w:style w:type="paragraph" w:customStyle="1" w:styleId="xl99">
    <w:name w:val="xl99"/>
    <w:basedOn w:val="Normln"/>
    <w:rsid w:val="006E1FCB"/>
    <w:pPr>
      <w:pBdr>
        <w:top w:val="single" w:sz="8" w:space="0" w:color="auto"/>
        <w:left w:val="single" w:sz="4" w:space="0" w:color="auto"/>
        <w:bottom w:val="single" w:sz="8" w:space="0" w:color="auto"/>
        <w:right w:val="single" w:sz="8" w:space="0" w:color="auto"/>
      </w:pBdr>
      <w:shd w:val="clear" w:color="auto" w:fill="00FFFF"/>
      <w:spacing w:before="100" w:beforeAutospacing="1" w:after="100" w:afterAutospacing="1"/>
      <w:jc w:val="center"/>
    </w:pPr>
    <w:rPr>
      <w:rFonts w:ascii="Times New Roman" w:eastAsia="Times New Roman" w:hAnsi="Times New Roman" w:cs="Times New Roman"/>
      <w:i/>
      <w:iCs/>
      <w:sz w:val="24"/>
      <w:szCs w:val="24"/>
      <w:lang w:eastAsia="cs-CZ"/>
    </w:rPr>
  </w:style>
  <w:style w:type="paragraph" w:customStyle="1" w:styleId="xl100">
    <w:name w:val="xl100"/>
    <w:basedOn w:val="Normln"/>
    <w:rsid w:val="006E1FCB"/>
    <w:pPr>
      <w:pBdr>
        <w:top w:val="single" w:sz="8" w:space="0" w:color="auto"/>
        <w:left w:val="single" w:sz="8" w:space="0" w:color="auto"/>
        <w:bottom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b/>
      <w:bCs/>
      <w:sz w:val="24"/>
      <w:szCs w:val="24"/>
      <w:lang w:eastAsia="cs-CZ"/>
    </w:rPr>
  </w:style>
  <w:style w:type="paragraph" w:customStyle="1" w:styleId="xl101">
    <w:name w:val="xl101"/>
    <w:basedOn w:val="Normln"/>
    <w:rsid w:val="006E1FCB"/>
    <w:pPr>
      <w:pBdr>
        <w:top w:val="single" w:sz="8" w:space="0" w:color="auto"/>
        <w:bottom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b/>
      <w:bCs/>
      <w:sz w:val="24"/>
      <w:szCs w:val="24"/>
      <w:lang w:eastAsia="cs-CZ"/>
    </w:rPr>
  </w:style>
  <w:style w:type="paragraph" w:customStyle="1" w:styleId="xl102">
    <w:name w:val="xl102"/>
    <w:basedOn w:val="Normln"/>
    <w:rsid w:val="006E1FCB"/>
    <w:pPr>
      <w:pBdr>
        <w:top w:val="single" w:sz="8" w:space="0" w:color="auto"/>
        <w:bottom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sz w:val="24"/>
      <w:szCs w:val="24"/>
      <w:lang w:eastAsia="cs-CZ"/>
    </w:rPr>
  </w:style>
  <w:style w:type="paragraph" w:customStyle="1" w:styleId="xl103">
    <w:name w:val="xl103"/>
    <w:basedOn w:val="Normln"/>
    <w:rsid w:val="006E1FCB"/>
    <w:pPr>
      <w:pBdr>
        <w:top w:val="single" w:sz="8" w:space="0" w:color="auto"/>
        <w:bottom w:val="single" w:sz="8" w:space="0" w:color="auto"/>
        <w:right w:val="single" w:sz="8" w:space="0" w:color="auto"/>
      </w:pBdr>
      <w:shd w:val="clear" w:color="auto" w:fill="00FFFF"/>
      <w:spacing w:before="100" w:beforeAutospacing="1" w:after="100" w:afterAutospacing="1"/>
      <w:textAlignment w:val="center"/>
    </w:pPr>
    <w:rPr>
      <w:rFonts w:ascii="Times New Roman" w:eastAsia="Times New Roman" w:hAnsi="Times New Roman" w:cs="Times New Roman"/>
      <w:sz w:val="24"/>
      <w:szCs w:val="24"/>
      <w:lang w:eastAsia="cs-CZ"/>
    </w:rPr>
  </w:style>
  <w:style w:type="paragraph" w:customStyle="1" w:styleId="xl104">
    <w:name w:val="xl104"/>
    <w:basedOn w:val="Normln"/>
    <w:rsid w:val="006E1FCB"/>
    <w:pPr>
      <w:pBdr>
        <w:top w:val="single" w:sz="8" w:space="0" w:color="auto"/>
        <w:left w:val="single" w:sz="8"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105">
    <w:name w:val="xl105"/>
    <w:basedOn w:val="Normln"/>
    <w:rsid w:val="006E1FCB"/>
    <w:pPr>
      <w:pBdr>
        <w:top w:val="single" w:sz="4"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106">
    <w:name w:val="xl106"/>
    <w:basedOn w:val="Normln"/>
    <w:rsid w:val="006E1FCB"/>
    <w:pPr>
      <w:pBdr>
        <w:top w:val="single" w:sz="8" w:space="0" w:color="auto"/>
        <w:left w:val="single" w:sz="8" w:space="0" w:color="auto"/>
        <w:bottom w:val="single" w:sz="4" w:space="0" w:color="auto"/>
      </w:pBdr>
      <w:spacing w:before="100" w:beforeAutospacing="1" w:after="100" w:afterAutospacing="1"/>
    </w:pPr>
    <w:rPr>
      <w:rFonts w:ascii="Times New Roman" w:eastAsia="Times New Roman" w:hAnsi="Times New Roman" w:cs="Times New Roman"/>
      <w:sz w:val="24"/>
      <w:szCs w:val="24"/>
      <w:lang w:eastAsia="cs-CZ"/>
    </w:rPr>
  </w:style>
  <w:style w:type="paragraph" w:customStyle="1" w:styleId="xl107">
    <w:name w:val="xl107"/>
    <w:basedOn w:val="Normln"/>
    <w:rsid w:val="006E1FCB"/>
    <w:pPr>
      <w:pBdr>
        <w:top w:val="single" w:sz="4" w:space="0" w:color="auto"/>
        <w:left w:val="single" w:sz="8" w:space="0" w:color="auto"/>
        <w:bottom w:val="single" w:sz="4" w:space="0" w:color="auto"/>
      </w:pBdr>
      <w:spacing w:before="100" w:beforeAutospacing="1" w:after="100" w:afterAutospacing="1"/>
    </w:pPr>
    <w:rPr>
      <w:rFonts w:ascii="Times New Roman" w:eastAsia="Times New Roman" w:hAnsi="Times New Roman" w:cs="Times New Roman"/>
      <w:sz w:val="24"/>
      <w:szCs w:val="24"/>
      <w:lang w:eastAsia="cs-CZ"/>
    </w:rPr>
  </w:style>
  <w:style w:type="paragraph" w:customStyle="1" w:styleId="xl108">
    <w:name w:val="xl108"/>
    <w:basedOn w:val="Normln"/>
    <w:rsid w:val="006E1FCB"/>
    <w:pPr>
      <w:pBdr>
        <w:top w:val="single" w:sz="4" w:space="0" w:color="auto"/>
        <w:left w:val="single" w:sz="8" w:space="0" w:color="auto"/>
        <w:bottom w:val="single" w:sz="8" w:space="0" w:color="auto"/>
      </w:pBdr>
      <w:spacing w:before="100" w:beforeAutospacing="1" w:after="100" w:afterAutospacing="1"/>
    </w:pPr>
    <w:rPr>
      <w:rFonts w:ascii="Times New Roman" w:eastAsia="Times New Roman" w:hAnsi="Times New Roman" w:cs="Times New Roman"/>
      <w:sz w:val="24"/>
      <w:szCs w:val="24"/>
      <w:lang w:eastAsia="cs-CZ"/>
    </w:rPr>
  </w:style>
  <w:style w:type="paragraph" w:customStyle="1" w:styleId="xl109">
    <w:name w:val="xl109"/>
    <w:basedOn w:val="Normln"/>
    <w:rsid w:val="006E1FCB"/>
    <w:pPr>
      <w:pBdr>
        <w:top w:val="single" w:sz="8" w:space="0" w:color="auto"/>
        <w:bottom w:val="single" w:sz="8" w:space="0" w:color="auto"/>
      </w:pBdr>
      <w:shd w:val="clear" w:color="auto" w:fill="00FFFF"/>
      <w:spacing w:before="100" w:beforeAutospacing="1" w:after="100" w:afterAutospacing="1"/>
      <w:jc w:val="center"/>
    </w:pPr>
    <w:rPr>
      <w:rFonts w:ascii="Times New Roman" w:eastAsia="Times New Roman" w:hAnsi="Times New Roman" w:cs="Times New Roman"/>
      <w:b/>
      <w:bCs/>
      <w:sz w:val="24"/>
      <w:szCs w:val="24"/>
      <w:lang w:eastAsia="cs-CZ"/>
    </w:rPr>
  </w:style>
  <w:style w:type="paragraph" w:customStyle="1" w:styleId="xl110">
    <w:name w:val="xl110"/>
    <w:basedOn w:val="Normln"/>
    <w:rsid w:val="006E1FCB"/>
    <w:pPr>
      <w:pBdr>
        <w:top w:val="single" w:sz="8"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b/>
      <w:bCs/>
      <w:sz w:val="24"/>
      <w:szCs w:val="24"/>
      <w:lang w:eastAsia="cs-CZ"/>
    </w:rPr>
  </w:style>
  <w:style w:type="paragraph" w:customStyle="1" w:styleId="xl111">
    <w:name w:val="xl111"/>
    <w:basedOn w:val="Normln"/>
    <w:rsid w:val="006E1FCB"/>
    <w:pPr>
      <w:pBdr>
        <w:top w:val="single" w:sz="4"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115">
    <w:name w:val="xl115"/>
    <w:basedOn w:val="Normln"/>
    <w:rsid w:val="006E1FCB"/>
    <w:pPr>
      <w:pBdr>
        <w:top w:val="single" w:sz="4" w:space="0" w:color="auto"/>
        <w:left w:val="single" w:sz="4"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b/>
      <w:bCs/>
      <w:sz w:val="24"/>
      <w:szCs w:val="24"/>
      <w:lang w:eastAsia="cs-CZ"/>
    </w:rPr>
  </w:style>
  <w:style w:type="paragraph" w:customStyle="1" w:styleId="xl116">
    <w:name w:val="xl116"/>
    <w:basedOn w:val="Normln"/>
    <w:rsid w:val="006E1FCB"/>
    <w:pPr>
      <w:pBdr>
        <w:top w:val="single" w:sz="4" w:space="0" w:color="auto"/>
        <w:left w:val="single" w:sz="4" w:space="0" w:color="auto"/>
        <w:bottom w:val="single" w:sz="8" w:space="0" w:color="auto"/>
        <w:right w:val="single" w:sz="8" w:space="0" w:color="auto"/>
      </w:pBdr>
      <w:shd w:val="clear" w:color="auto" w:fill="00FFFF"/>
      <w:spacing w:before="100" w:beforeAutospacing="1" w:after="100" w:afterAutospacing="1"/>
      <w:jc w:val="center"/>
    </w:pPr>
    <w:rPr>
      <w:rFonts w:ascii="Times New Roman" w:eastAsia="Times New Roman" w:hAnsi="Times New Roman" w:cs="Times New Roman"/>
      <w:b/>
      <w:bCs/>
      <w:sz w:val="24"/>
      <w:szCs w:val="24"/>
      <w:lang w:eastAsia="cs-CZ"/>
    </w:rPr>
  </w:style>
  <w:style w:type="paragraph" w:customStyle="1" w:styleId="font8">
    <w:name w:val="font8"/>
    <w:basedOn w:val="Normln"/>
    <w:rsid w:val="006E1FCB"/>
    <w:pPr>
      <w:spacing w:before="100" w:beforeAutospacing="1" w:after="100" w:afterAutospacing="1"/>
    </w:pPr>
    <w:rPr>
      <w:rFonts w:ascii="Tahoma" w:eastAsia="Times New Roman" w:hAnsi="Tahoma" w:cs="Tahoma"/>
      <w:color w:val="000000"/>
      <w:sz w:val="16"/>
      <w:szCs w:val="16"/>
      <w:lang w:eastAsia="cs-CZ"/>
    </w:rPr>
  </w:style>
  <w:style w:type="paragraph" w:customStyle="1" w:styleId="font9">
    <w:name w:val="font9"/>
    <w:basedOn w:val="Normln"/>
    <w:rsid w:val="006E1FCB"/>
    <w:pPr>
      <w:spacing w:before="100" w:beforeAutospacing="1" w:after="100" w:afterAutospacing="1"/>
    </w:pPr>
    <w:rPr>
      <w:rFonts w:ascii="Times New Roman" w:eastAsia="Times New Roman" w:hAnsi="Times New Roman" w:cs="Times New Roman"/>
      <w:sz w:val="16"/>
      <w:szCs w:val="16"/>
      <w:lang w:eastAsia="cs-CZ"/>
    </w:rPr>
  </w:style>
  <w:style w:type="paragraph" w:customStyle="1" w:styleId="xl117">
    <w:name w:val="xl117"/>
    <w:basedOn w:val="Normln"/>
    <w:rsid w:val="006E1FCB"/>
    <w:pPr>
      <w:pBdr>
        <w:left w:val="single" w:sz="8" w:space="0" w:color="auto"/>
        <w:bottom w:val="double" w:sz="6"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18">
    <w:name w:val="xl118"/>
    <w:basedOn w:val="Normln"/>
    <w:rsid w:val="006E1FCB"/>
    <w:pPr>
      <w:pBdr>
        <w:bottom w:val="double" w:sz="6"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19">
    <w:name w:val="xl119"/>
    <w:basedOn w:val="Normln"/>
    <w:rsid w:val="006E1FCB"/>
    <w:pPr>
      <w:pBdr>
        <w:top w:val="single" w:sz="4" w:space="0" w:color="auto"/>
        <w:left w:val="single" w:sz="4" w:space="0" w:color="auto"/>
        <w:bottom w:val="double" w:sz="6"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20">
    <w:name w:val="xl120"/>
    <w:basedOn w:val="Normln"/>
    <w:rsid w:val="006E1FCB"/>
    <w:pPr>
      <w:pBdr>
        <w:bottom w:val="double" w:sz="6"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21">
    <w:name w:val="xl121"/>
    <w:basedOn w:val="Normln"/>
    <w:rsid w:val="006E1FCB"/>
    <w:pPr>
      <w:pBdr>
        <w:bottom w:val="double" w:sz="6" w:space="0" w:color="auto"/>
        <w:right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22">
    <w:name w:val="xl122"/>
    <w:basedOn w:val="Normln"/>
    <w:rsid w:val="006E1FCB"/>
    <w:pPr>
      <w:pBdr>
        <w:bottom w:val="single" w:sz="4" w:space="0" w:color="auto"/>
        <w:right w:val="single" w:sz="8" w:space="0" w:color="auto"/>
      </w:pBdr>
      <w:shd w:val="clear" w:color="auto" w:fill="FFFF00"/>
      <w:spacing w:before="100" w:beforeAutospacing="1" w:after="100" w:afterAutospacing="1"/>
    </w:pPr>
    <w:rPr>
      <w:rFonts w:ascii="Times New Roman" w:eastAsia="Times New Roman" w:hAnsi="Times New Roman" w:cs="Times New Roman"/>
      <w:sz w:val="14"/>
      <w:szCs w:val="14"/>
      <w:lang w:eastAsia="cs-CZ"/>
    </w:rPr>
  </w:style>
  <w:style w:type="paragraph" w:customStyle="1" w:styleId="xl123">
    <w:name w:val="xl123"/>
    <w:basedOn w:val="Normln"/>
    <w:rsid w:val="006E1FCB"/>
    <w:pPr>
      <w:pBdr>
        <w:bottom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24">
    <w:name w:val="xl124"/>
    <w:basedOn w:val="Normln"/>
    <w:rsid w:val="006E1FCB"/>
    <w:pPr>
      <w:pBdr>
        <w:top w:val="single" w:sz="4" w:space="0" w:color="auto"/>
        <w:bottom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25">
    <w:name w:val="xl125"/>
    <w:basedOn w:val="Normln"/>
    <w:rsid w:val="006E1FCB"/>
    <w:pPr>
      <w:pBdr>
        <w:left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26">
    <w:name w:val="xl126"/>
    <w:basedOn w:val="Normln"/>
    <w:rsid w:val="006E1FCB"/>
    <w:pP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27">
    <w:name w:val="xl127"/>
    <w:basedOn w:val="Normln"/>
    <w:rsid w:val="006E1FCB"/>
    <w:pP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28">
    <w:name w:val="xl128"/>
    <w:basedOn w:val="Normln"/>
    <w:rsid w:val="006E1FCB"/>
    <w:pP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29">
    <w:name w:val="xl129"/>
    <w:basedOn w:val="Normln"/>
    <w:rsid w:val="006E1FCB"/>
    <w:pPr>
      <w:pBdr>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130">
    <w:name w:val="xl130"/>
    <w:basedOn w:val="Normln"/>
    <w:rsid w:val="006E1FCB"/>
    <w:pPr>
      <w:pBdr>
        <w:top w:val="single" w:sz="4" w:space="0" w:color="auto"/>
        <w:bottom w:val="single" w:sz="4" w:space="0" w:color="auto"/>
        <w:right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31">
    <w:name w:val="xl131"/>
    <w:basedOn w:val="Normln"/>
    <w:rsid w:val="006E1FCB"/>
    <w:pPr>
      <w:pBdr>
        <w:top w:val="single" w:sz="8"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b/>
      <w:bCs/>
      <w:sz w:val="14"/>
      <w:szCs w:val="14"/>
      <w:lang w:eastAsia="cs-CZ"/>
    </w:rPr>
  </w:style>
  <w:style w:type="paragraph" w:customStyle="1" w:styleId="xl132">
    <w:name w:val="xl132"/>
    <w:basedOn w:val="Normln"/>
    <w:rsid w:val="006E1FCB"/>
    <w:pPr>
      <w:pBdr>
        <w:top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b/>
      <w:bCs/>
      <w:sz w:val="14"/>
      <w:szCs w:val="14"/>
      <w:lang w:eastAsia="cs-CZ"/>
    </w:rPr>
  </w:style>
  <w:style w:type="paragraph" w:customStyle="1" w:styleId="xl133">
    <w:name w:val="xl133"/>
    <w:basedOn w:val="Normln"/>
    <w:rsid w:val="006E1FCB"/>
    <w:pPr>
      <w:pBdr>
        <w:top w:val="single" w:sz="8" w:space="0" w:color="auto"/>
        <w:bottom w:val="single" w:sz="8" w:space="0" w:color="auto"/>
        <w:right w:val="single" w:sz="8" w:space="0" w:color="auto"/>
      </w:pBdr>
      <w:shd w:val="clear" w:color="auto" w:fill="00FFFF"/>
      <w:spacing w:before="100" w:beforeAutospacing="1" w:after="100" w:afterAutospacing="1"/>
    </w:pPr>
    <w:rPr>
      <w:rFonts w:ascii="Times New Roman" w:eastAsia="Times New Roman" w:hAnsi="Times New Roman" w:cs="Times New Roman"/>
      <w:b/>
      <w:bCs/>
      <w:sz w:val="14"/>
      <w:szCs w:val="14"/>
      <w:lang w:eastAsia="cs-CZ"/>
    </w:rPr>
  </w:style>
  <w:style w:type="paragraph" w:customStyle="1" w:styleId="xl134">
    <w:name w:val="xl134"/>
    <w:basedOn w:val="Normln"/>
    <w:rsid w:val="006E1FCB"/>
    <w:pPr>
      <w:pBdr>
        <w:top w:val="single" w:sz="8"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35">
    <w:name w:val="xl135"/>
    <w:basedOn w:val="Normln"/>
    <w:rsid w:val="006E1FCB"/>
    <w:pPr>
      <w:pBdr>
        <w:top w:val="single" w:sz="8"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b/>
      <w:bCs/>
      <w:sz w:val="14"/>
      <w:szCs w:val="14"/>
      <w:lang w:eastAsia="cs-CZ"/>
    </w:rPr>
  </w:style>
  <w:style w:type="paragraph" w:customStyle="1" w:styleId="xl136">
    <w:name w:val="xl136"/>
    <w:basedOn w:val="Normln"/>
    <w:rsid w:val="006E1FCB"/>
    <w:pPr>
      <w:pBdr>
        <w:top w:val="single" w:sz="8" w:space="0" w:color="auto"/>
        <w:bottom w:val="single" w:sz="8" w:space="0" w:color="auto"/>
      </w:pBdr>
      <w:shd w:val="clear" w:color="auto" w:fill="FFFF00"/>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37">
    <w:name w:val="xl137"/>
    <w:basedOn w:val="Normln"/>
    <w:rsid w:val="006E1FCB"/>
    <w:pPr>
      <w:pBdr>
        <w:top w:val="single" w:sz="4" w:space="0" w:color="auto"/>
        <w:bottom w:val="single" w:sz="4" w:space="0" w:color="auto"/>
      </w:pBdr>
      <w:shd w:val="clear" w:color="auto" w:fill="FFFF00"/>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38">
    <w:name w:val="xl138"/>
    <w:basedOn w:val="Normln"/>
    <w:rsid w:val="006E1FCB"/>
    <w:pPr>
      <w:pBdr>
        <w:top w:val="single" w:sz="4" w:space="0" w:color="auto"/>
        <w:bottom w:val="single" w:sz="4"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39">
    <w:name w:val="xl139"/>
    <w:basedOn w:val="Normln"/>
    <w:rsid w:val="006E1FCB"/>
    <w:pPr>
      <w:pBdr>
        <w:top w:val="single" w:sz="4" w:space="0" w:color="auto"/>
        <w:bottom w:val="single" w:sz="4"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140">
    <w:name w:val="xl140"/>
    <w:basedOn w:val="Normln"/>
    <w:rsid w:val="006E1FCB"/>
    <w:pPr>
      <w:pBdr>
        <w:top w:val="single" w:sz="4" w:space="0" w:color="auto"/>
        <w:left w:val="single" w:sz="4" w:space="0" w:color="auto"/>
        <w:bottom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41">
    <w:name w:val="xl141"/>
    <w:basedOn w:val="Normln"/>
    <w:rsid w:val="006E1FCB"/>
    <w:pPr>
      <w:pBdr>
        <w:bottom w:val="single" w:sz="4"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142">
    <w:name w:val="xl142"/>
    <w:basedOn w:val="Normln"/>
    <w:rsid w:val="006E1FCB"/>
    <w:pPr>
      <w:pBdr>
        <w:top w:val="single" w:sz="4" w:space="0" w:color="auto"/>
        <w:bottom w:val="single" w:sz="4" w:space="0" w:color="auto"/>
        <w:right w:val="single" w:sz="8" w:space="0" w:color="auto"/>
      </w:pBdr>
      <w:shd w:val="clear" w:color="auto" w:fill="00FFFF"/>
      <w:spacing w:before="100" w:beforeAutospacing="1" w:after="100" w:afterAutospacing="1"/>
    </w:pPr>
    <w:rPr>
      <w:rFonts w:ascii="Times New Roman" w:eastAsia="Times New Roman" w:hAnsi="Times New Roman" w:cs="Times New Roman"/>
      <w:sz w:val="14"/>
      <w:szCs w:val="14"/>
      <w:lang w:eastAsia="cs-CZ"/>
    </w:rPr>
  </w:style>
  <w:style w:type="paragraph" w:customStyle="1" w:styleId="xl143">
    <w:name w:val="xl143"/>
    <w:basedOn w:val="Normln"/>
    <w:rsid w:val="006E1FCB"/>
    <w:pPr>
      <w:pBdr>
        <w:top w:val="single" w:sz="4" w:space="0" w:color="auto"/>
        <w:bottom w:val="single" w:sz="8"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144">
    <w:name w:val="xl144"/>
    <w:basedOn w:val="Normln"/>
    <w:rsid w:val="006E1FCB"/>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14"/>
      <w:szCs w:val="14"/>
      <w:lang w:eastAsia="cs-CZ"/>
    </w:rPr>
  </w:style>
  <w:style w:type="paragraph" w:customStyle="1" w:styleId="xl145">
    <w:name w:val="xl145"/>
    <w:basedOn w:val="Normln"/>
    <w:rsid w:val="006E1FCB"/>
    <w:pPr>
      <w:pBdr>
        <w:top w:val="single" w:sz="8" w:space="0" w:color="auto"/>
        <w:left w:val="single" w:sz="4" w:space="0" w:color="auto"/>
        <w:bottom w:val="single" w:sz="8"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46">
    <w:name w:val="xl146"/>
    <w:basedOn w:val="Normln"/>
    <w:rsid w:val="006E1FCB"/>
    <w:pPr>
      <w:pBdr>
        <w:top w:val="single" w:sz="8"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47">
    <w:name w:val="xl147"/>
    <w:basedOn w:val="Normln"/>
    <w:rsid w:val="006E1FCB"/>
    <w:pPr>
      <w:pBdr>
        <w:top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48">
    <w:name w:val="xl148"/>
    <w:basedOn w:val="Normln"/>
    <w:rsid w:val="006E1FCB"/>
    <w:pPr>
      <w:pBdr>
        <w:top w:val="single" w:sz="8" w:space="0" w:color="auto"/>
        <w:bottom w:val="single" w:sz="4"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49">
    <w:name w:val="xl149"/>
    <w:basedOn w:val="Normln"/>
    <w:rsid w:val="006E1FCB"/>
    <w:pPr>
      <w:pBdr>
        <w:top w:val="single" w:sz="4" w:space="0" w:color="auto"/>
        <w:left w:val="single" w:sz="4" w:space="0" w:color="auto"/>
        <w:bottom w:val="single" w:sz="8" w:space="0" w:color="auto"/>
        <w:right w:val="single" w:sz="8" w:space="0" w:color="auto"/>
      </w:pBdr>
      <w:shd w:val="clear" w:color="auto" w:fill="00FFFF"/>
      <w:spacing w:before="100" w:beforeAutospacing="1" w:after="100" w:afterAutospacing="1"/>
      <w:jc w:val="right"/>
    </w:pPr>
    <w:rPr>
      <w:rFonts w:ascii="Times New Roman" w:eastAsia="Times New Roman" w:hAnsi="Times New Roman" w:cs="Times New Roman"/>
      <w:sz w:val="14"/>
      <w:szCs w:val="14"/>
      <w:lang w:eastAsia="cs-CZ"/>
    </w:rPr>
  </w:style>
  <w:style w:type="paragraph" w:customStyle="1" w:styleId="xl150">
    <w:name w:val="xl150"/>
    <w:basedOn w:val="Normln"/>
    <w:rsid w:val="006E1FCB"/>
    <w:pPr>
      <w:pBdr>
        <w:top w:val="single" w:sz="8" w:space="0" w:color="auto"/>
        <w:left w:val="single" w:sz="8" w:space="0" w:color="auto"/>
        <w:bottom w:val="single" w:sz="8" w:space="0" w:color="auto"/>
      </w:pBdr>
      <w:shd w:val="clear" w:color="auto" w:fill="00FFFF"/>
      <w:spacing w:before="100" w:beforeAutospacing="1" w:after="100" w:afterAutospacing="1"/>
    </w:pPr>
    <w:rPr>
      <w:rFonts w:ascii="Times New Roman" w:eastAsia="Times New Roman" w:hAnsi="Times New Roman" w:cs="Times New Roman"/>
      <w:b/>
      <w:bCs/>
      <w:sz w:val="14"/>
      <w:szCs w:val="14"/>
      <w:lang w:eastAsia="cs-CZ"/>
    </w:rPr>
  </w:style>
  <w:style w:type="paragraph" w:customStyle="1" w:styleId="xl151">
    <w:name w:val="xl151"/>
    <w:basedOn w:val="Normln"/>
    <w:rsid w:val="006E1FCB"/>
    <w:pPr>
      <w:pBdr>
        <w:top w:val="single" w:sz="8" w:space="0" w:color="auto"/>
        <w:left w:val="single" w:sz="8" w:space="0" w:color="auto"/>
        <w:bottom w:val="single" w:sz="8" w:space="0" w:color="auto"/>
        <w:right w:val="single" w:sz="4"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52">
    <w:name w:val="xl152"/>
    <w:basedOn w:val="Normln"/>
    <w:rsid w:val="006E1FCB"/>
    <w:pPr>
      <w:pBdr>
        <w:top w:val="single" w:sz="8" w:space="0" w:color="auto"/>
        <w:left w:val="single" w:sz="4" w:space="0" w:color="auto"/>
        <w:bottom w:val="single" w:sz="8"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paragraph" w:customStyle="1" w:styleId="xl153">
    <w:name w:val="xl153"/>
    <w:basedOn w:val="Normln"/>
    <w:rsid w:val="006E1FCB"/>
    <w:pPr>
      <w:pBdr>
        <w:top w:val="single" w:sz="8" w:space="0" w:color="auto"/>
        <w:left w:val="single" w:sz="4" w:space="0" w:color="auto"/>
        <w:bottom w:val="single" w:sz="8" w:space="0" w:color="auto"/>
        <w:right w:val="single" w:sz="8" w:space="0" w:color="auto"/>
      </w:pBdr>
      <w:shd w:val="clear" w:color="auto" w:fill="00FFFF"/>
      <w:spacing w:before="100" w:beforeAutospacing="1" w:after="100" w:afterAutospacing="1"/>
      <w:jc w:val="center"/>
    </w:pPr>
    <w:rPr>
      <w:rFonts w:ascii="Times New Roman" w:eastAsia="Times New Roman" w:hAnsi="Times New Roman" w:cs="Times New Roman"/>
      <w:sz w:val="14"/>
      <w:szCs w:val="14"/>
      <w:lang w:eastAsia="cs-CZ"/>
    </w:rPr>
  </w:style>
  <w:style w:type="character" w:customStyle="1" w:styleId="titulninadpis">
    <w:name w:val="titulni nadpis"/>
    <w:rsid w:val="006E1FCB"/>
    <w:rPr>
      <w:b/>
      <w:sz w:val="20"/>
    </w:rPr>
  </w:style>
  <w:style w:type="paragraph" w:customStyle="1" w:styleId="zaveradresa">
    <w:name w:val="zaver adresa"/>
    <w:rsid w:val="006E1FCB"/>
    <w:pPr>
      <w:widowControl w:val="0"/>
      <w:spacing w:after="0" w:line="240" w:lineRule="auto"/>
    </w:pPr>
    <w:rPr>
      <w:rFonts w:ascii="Times New Roman" w:eastAsia="Times New Roman" w:hAnsi="Times New Roman" w:cs="Times New Roman"/>
      <w:sz w:val="24"/>
      <w:szCs w:val="20"/>
      <w:lang w:eastAsia="cs-CZ"/>
    </w:rPr>
  </w:style>
  <w:style w:type="paragraph" w:styleId="Zkladntext3">
    <w:name w:val="Body Text 3"/>
    <w:basedOn w:val="Normln"/>
    <w:link w:val="Zkladntext3Char"/>
    <w:uiPriority w:val="99"/>
    <w:rsid w:val="006E1FCB"/>
    <w:rPr>
      <w:rFonts w:ascii="Times New Roman" w:eastAsia="Times New Roman" w:hAnsi="Times New Roman" w:cs="Times New Roman"/>
      <w:sz w:val="20"/>
      <w:szCs w:val="20"/>
      <w:lang w:eastAsia="cs-CZ"/>
    </w:rPr>
  </w:style>
  <w:style w:type="character" w:customStyle="1" w:styleId="Zkladntext3Char">
    <w:name w:val="Základní text 3 Char"/>
    <w:basedOn w:val="Standardnpsmoodstavce"/>
    <w:link w:val="Zkladntext3"/>
    <w:uiPriority w:val="99"/>
    <w:rsid w:val="006E1FCB"/>
    <w:rPr>
      <w:rFonts w:ascii="Times New Roman" w:eastAsia="Times New Roman" w:hAnsi="Times New Roman" w:cs="Times New Roman"/>
      <w:sz w:val="20"/>
      <w:szCs w:val="20"/>
      <w:lang w:eastAsia="cs-CZ"/>
    </w:rPr>
  </w:style>
  <w:style w:type="paragraph" w:styleId="Zkladntextodsazen2">
    <w:name w:val="Body Text Indent 2"/>
    <w:basedOn w:val="Normln"/>
    <w:link w:val="Zkladntextodsazen2Char"/>
    <w:uiPriority w:val="99"/>
    <w:rsid w:val="006E1FCB"/>
    <w:pPr>
      <w:ind w:left="780"/>
    </w:pPr>
    <w:rPr>
      <w:rFonts w:ascii="Times New Roman" w:eastAsia="Times New Roman" w:hAnsi="Times New Roman" w:cs="Times New Roman"/>
      <w:sz w:val="24"/>
      <w:szCs w:val="24"/>
      <w:lang w:eastAsia="cs-CZ"/>
    </w:rPr>
  </w:style>
  <w:style w:type="character" w:customStyle="1" w:styleId="Zkladntextodsazen2Char">
    <w:name w:val="Základní text odsazený 2 Char"/>
    <w:basedOn w:val="Standardnpsmoodstavce"/>
    <w:link w:val="Zkladntextodsazen2"/>
    <w:uiPriority w:val="99"/>
    <w:rsid w:val="006E1FCB"/>
    <w:rPr>
      <w:rFonts w:ascii="Times New Roman" w:eastAsia="Times New Roman" w:hAnsi="Times New Roman" w:cs="Times New Roman"/>
      <w:sz w:val="24"/>
      <w:szCs w:val="24"/>
      <w:lang w:eastAsia="cs-CZ"/>
    </w:rPr>
  </w:style>
  <w:style w:type="paragraph" w:customStyle="1" w:styleId="font10">
    <w:name w:val="font10"/>
    <w:basedOn w:val="Normln"/>
    <w:rsid w:val="006E1FCB"/>
    <w:pPr>
      <w:spacing w:before="100" w:beforeAutospacing="1" w:after="100" w:afterAutospacing="1"/>
    </w:pPr>
    <w:rPr>
      <w:rFonts w:ascii="Tahoma" w:eastAsia="Arial Unicode MS" w:hAnsi="Tahoma" w:cs="Tahoma"/>
      <w:color w:val="000000"/>
      <w:sz w:val="16"/>
      <w:szCs w:val="16"/>
      <w:lang w:eastAsia="cs-CZ"/>
    </w:rPr>
  </w:style>
  <w:style w:type="paragraph" w:customStyle="1" w:styleId="Aconstext">
    <w:name w:val="Acons text"/>
    <w:basedOn w:val="Normln"/>
    <w:rsid w:val="006E1FCB"/>
    <w:rPr>
      <w:rFonts w:ascii="Times New Roman" w:eastAsia="Times New Roman" w:hAnsi="Times New Roman" w:cs="Times New Roman"/>
      <w:sz w:val="24"/>
      <w:szCs w:val="20"/>
      <w:lang w:eastAsia="cs-CZ"/>
    </w:rPr>
  </w:style>
  <w:style w:type="paragraph" w:customStyle="1" w:styleId="Bntext-posudek">
    <w:name w:val="Běžný text - posudek"/>
    <w:basedOn w:val="Zkladntext"/>
    <w:autoRedefine/>
    <w:rsid w:val="006E1FCB"/>
    <w:pPr>
      <w:overflowPunct w:val="0"/>
      <w:autoSpaceDE w:val="0"/>
      <w:autoSpaceDN w:val="0"/>
      <w:adjustRightInd w:val="0"/>
      <w:spacing w:before="120"/>
      <w:jc w:val="both"/>
      <w:textAlignment w:val="baseline"/>
    </w:pPr>
    <w:rPr>
      <w:rFonts w:ascii="Tahoma" w:hAnsi="Tahoma"/>
      <w:snapToGrid/>
      <w:sz w:val="20"/>
    </w:rPr>
  </w:style>
  <w:style w:type="paragraph" w:customStyle="1" w:styleId="Bintext-posudek">
    <w:name w:val="Bižný text - posudek"/>
    <w:basedOn w:val="Zkladntext"/>
    <w:rsid w:val="006E1FCB"/>
    <w:pPr>
      <w:overflowPunct w:val="0"/>
      <w:autoSpaceDE w:val="0"/>
      <w:autoSpaceDN w:val="0"/>
      <w:adjustRightInd w:val="0"/>
      <w:spacing w:before="120"/>
      <w:jc w:val="both"/>
      <w:textAlignment w:val="baseline"/>
    </w:pPr>
    <w:rPr>
      <w:rFonts w:ascii="Tahoma" w:hAnsi="Tahoma"/>
      <w:snapToGrid/>
      <w:sz w:val="20"/>
    </w:rPr>
  </w:style>
  <w:style w:type="paragraph" w:customStyle="1" w:styleId="inz-info">
    <w:name w:val="inz-info"/>
    <w:basedOn w:val="Normln"/>
    <w:rsid w:val="006E1FCB"/>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price">
    <w:name w:val="price"/>
    <w:rsid w:val="006E1FCB"/>
  </w:style>
  <w:style w:type="paragraph" w:customStyle="1" w:styleId="inz-text">
    <w:name w:val="inz-text"/>
    <w:basedOn w:val="Normln"/>
    <w:rsid w:val="006E1FCB"/>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StylZkladntextTahomazarovnnnasted">
    <w:name w:val="Styl Základní text + Tahoma zarovnání na střed"/>
    <w:basedOn w:val="Zkladntext"/>
    <w:autoRedefine/>
    <w:rsid w:val="006E1FCB"/>
    <w:pPr>
      <w:widowControl w:val="0"/>
      <w:tabs>
        <w:tab w:val="left" w:pos="6804"/>
      </w:tabs>
      <w:spacing w:before="120" w:after="120"/>
      <w:ind w:right="-28"/>
      <w:jc w:val="both"/>
    </w:pPr>
    <w:rPr>
      <w:rFonts w:ascii="Times New Roman" w:hAnsi="Times New Roman"/>
      <w:snapToGrid/>
      <w:color w:val="000000"/>
      <w:sz w:val="20"/>
    </w:rPr>
  </w:style>
  <w:style w:type="character" w:customStyle="1" w:styleId="platne">
    <w:name w:val="platne"/>
    <w:rsid w:val="006E1FCB"/>
  </w:style>
  <w:style w:type="character" w:customStyle="1" w:styleId="new-vykrik">
    <w:name w:val="new-vykrik"/>
    <w:rsid w:val="006E1FCB"/>
  </w:style>
  <w:style w:type="character" w:customStyle="1" w:styleId="t9pt">
    <w:name w:val="t9pt"/>
    <w:rsid w:val="006E1FCB"/>
  </w:style>
  <w:style w:type="character" w:customStyle="1" w:styleId="12pt">
    <w:name w:val="12pt"/>
    <w:rsid w:val="006E1FCB"/>
  </w:style>
  <w:style w:type="character" w:customStyle="1" w:styleId="BezmezerChar">
    <w:name w:val="Bez mezer Char"/>
    <w:link w:val="Bezmezer"/>
    <w:uiPriority w:val="1"/>
    <w:locked/>
    <w:rsid w:val="006E1FCB"/>
  </w:style>
  <w:style w:type="character" w:customStyle="1" w:styleId="8pt">
    <w:name w:val="8pt"/>
    <w:rsid w:val="006E1FCB"/>
  </w:style>
  <w:style w:type="paragraph" w:styleId="z-Zatekformule">
    <w:name w:val="HTML Top of Form"/>
    <w:basedOn w:val="Normln"/>
    <w:next w:val="Normln"/>
    <w:link w:val="z-ZatekformuleChar"/>
    <w:hidden/>
    <w:uiPriority w:val="99"/>
    <w:unhideWhenUsed/>
    <w:rsid w:val="006E1FCB"/>
    <w:pPr>
      <w:pBdr>
        <w:bottom w:val="single" w:sz="6" w:space="1" w:color="auto"/>
      </w:pBdr>
      <w:jc w:val="center"/>
    </w:pPr>
    <w:rPr>
      <w:rFonts w:ascii="Arial" w:eastAsia="Times New Roman" w:hAnsi="Arial" w:cs="Times New Roman"/>
      <w:vanish/>
      <w:sz w:val="16"/>
      <w:szCs w:val="16"/>
      <w:lang w:eastAsia="cs-CZ"/>
    </w:rPr>
  </w:style>
  <w:style w:type="character" w:customStyle="1" w:styleId="z-ZatekformuleChar">
    <w:name w:val="z-Začátek formuláře Char"/>
    <w:basedOn w:val="Standardnpsmoodstavce"/>
    <w:link w:val="z-Zatekformule"/>
    <w:uiPriority w:val="99"/>
    <w:rsid w:val="006E1FCB"/>
    <w:rPr>
      <w:rFonts w:ascii="Arial" w:eastAsia="Times New Roman" w:hAnsi="Arial" w:cs="Times New Roman"/>
      <w:vanish/>
      <w:sz w:val="16"/>
      <w:szCs w:val="16"/>
      <w:lang w:eastAsia="cs-CZ"/>
    </w:rPr>
  </w:style>
  <w:style w:type="paragraph" w:styleId="z-Konecformule">
    <w:name w:val="HTML Bottom of Form"/>
    <w:basedOn w:val="Normln"/>
    <w:next w:val="Normln"/>
    <w:link w:val="z-KonecformuleChar"/>
    <w:hidden/>
    <w:uiPriority w:val="99"/>
    <w:unhideWhenUsed/>
    <w:rsid w:val="006E1FCB"/>
    <w:pPr>
      <w:pBdr>
        <w:top w:val="single" w:sz="6" w:space="1" w:color="auto"/>
      </w:pBdr>
      <w:jc w:val="center"/>
    </w:pPr>
    <w:rPr>
      <w:rFonts w:ascii="Arial" w:eastAsia="Times New Roman" w:hAnsi="Arial" w:cs="Times New Roman"/>
      <w:vanish/>
      <w:sz w:val="16"/>
      <w:szCs w:val="16"/>
      <w:lang w:eastAsia="cs-CZ"/>
    </w:rPr>
  </w:style>
  <w:style w:type="character" w:customStyle="1" w:styleId="z-KonecformuleChar">
    <w:name w:val="z-Konec formuláře Char"/>
    <w:basedOn w:val="Standardnpsmoodstavce"/>
    <w:link w:val="z-Konecformule"/>
    <w:uiPriority w:val="99"/>
    <w:rsid w:val="006E1FCB"/>
    <w:rPr>
      <w:rFonts w:ascii="Arial" w:eastAsia="Times New Roman" w:hAnsi="Arial" w:cs="Times New Roman"/>
      <w:vanish/>
      <w:sz w:val="16"/>
      <w:szCs w:val="16"/>
      <w:lang w:eastAsia="cs-CZ"/>
    </w:rPr>
  </w:style>
  <w:style w:type="character" w:customStyle="1" w:styleId="text12pt">
    <w:name w:val="text12pt"/>
    <w:rsid w:val="006E1FCB"/>
  </w:style>
  <w:style w:type="character" w:customStyle="1" w:styleId="skypepnhprintcontainer">
    <w:name w:val="skype_pnh_print_container"/>
    <w:rsid w:val="006E1FCB"/>
  </w:style>
  <w:style w:type="character" w:customStyle="1" w:styleId="skypepnhcontainer">
    <w:name w:val="skype_pnh_container"/>
    <w:rsid w:val="006E1FCB"/>
  </w:style>
  <w:style w:type="character" w:customStyle="1" w:styleId="skypepnhmark">
    <w:name w:val="skype_pnh_mark"/>
    <w:rsid w:val="006E1FCB"/>
  </w:style>
  <w:style w:type="character" w:customStyle="1" w:styleId="skypepnhleftspan">
    <w:name w:val="skype_pnh_left_span"/>
    <w:rsid w:val="006E1FCB"/>
  </w:style>
  <w:style w:type="character" w:customStyle="1" w:styleId="skypepnhdropartspan">
    <w:name w:val="skype_pnh_dropart_span"/>
    <w:rsid w:val="006E1FCB"/>
  </w:style>
  <w:style w:type="character" w:customStyle="1" w:styleId="skypepnhdropartflagspan">
    <w:name w:val="skype_pnh_dropart_flag_span"/>
    <w:rsid w:val="006E1FCB"/>
  </w:style>
  <w:style w:type="character" w:customStyle="1" w:styleId="skypepnhtextspan">
    <w:name w:val="skype_pnh_text_span"/>
    <w:rsid w:val="006E1FCB"/>
  </w:style>
  <w:style w:type="character" w:customStyle="1" w:styleId="skypepnhrightspan">
    <w:name w:val="skype_pnh_right_span"/>
    <w:rsid w:val="006E1FCB"/>
  </w:style>
  <w:style w:type="character" w:customStyle="1" w:styleId="7pt">
    <w:name w:val="7pt"/>
    <w:rsid w:val="006E1FCB"/>
  </w:style>
  <w:style w:type="paragraph" w:customStyle="1" w:styleId="Eerveninormln">
    <w:name w:val="Eerveni normální"/>
    <w:basedOn w:val="Normln"/>
    <w:rsid w:val="006E1FCB"/>
    <w:pPr>
      <w:overflowPunct w:val="0"/>
      <w:autoSpaceDE w:val="0"/>
      <w:autoSpaceDN w:val="0"/>
      <w:adjustRightInd w:val="0"/>
      <w:textAlignment w:val="baseline"/>
    </w:pPr>
    <w:rPr>
      <w:rFonts w:ascii="Times New Roman" w:eastAsia="Times New Roman" w:hAnsi="Times New Roman" w:cs="Times New Roman"/>
      <w:color w:val="FF0000"/>
      <w:sz w:val="20"/>
      <w:szCs w:val="20"/>
      <w:lang w:eastAsia="cs-CZ"/>
    </w:rPr>
  </w:style>
  <w:style w:type="paragraph" w:customStyle="1" w:styleId="Zeleninormln">
    <w:name w:val="Zeleni normální"/>
    <w:basedOn w:val="Normln"/>
    <w:rsid w:val="006E1FCB"/>
    <w:pPr>
      <w:overflowPunct w:val="0"/>
      <w:autoSpaceDE w:val="0"/>
      <w:autoSpaceDN w:val="0"/>
      <w:adjustRightInd w:val="0"/>
      <w:textAlignment w:val="baseline"/>
    </w:pPr>
    <w:rPr>
      <w:rFonts w:ascii="Times New Roman" w:eastAsia="Times New Roman" w:hAnsi="Times New Roman" w:cs="Times New Roman"/>
      <w:color w:val="00FF00"/>
      <w:sz w:val="20"/>
      <w:szCs w:val="20"/>
      <w:lang w:eastAsia="cs-CZ"/>
    </w:rPr>
  </w:style>
  <w:style w:type="paragraph" w:customStyle="1" w:styleId="Modoenormln">
    <w:name w:val="Modoe normální"/>
    <w:basedOn w:val="Zeleninormln"/>
    <w:rsid w:val="006E1FCB"/>
    <w:rPr>
      <w:color w:val="0000FF"/>
    </w:rPr>
  </w:style>
  <w:style w:type="paragraph" w:customStyle="1" w:styleId="Hlavnnadpis">
    <w:name w:val="Hlavní nadpis"/>
    <w:basedOn w:val="Normln"/>
    <w:rsid w:val="006E1FCB"/>
    <w:pPr>
      <w:overflowPunct w:val="0"/>
      <w:autoSpaceDE w:val="0"/>
      <w:autoSpaceDN w:val="0"/>
      <w:adjustRightInd w:val="0"/>
      <w:jc w:val="center"/>
      <w:textAlignment w:val="baseline"/>
    </w:pPr>
    <w:rPr>
      <w:rFonts w:ascii="Arial" w:eastAsia="Times New Roman" w:hAnsi="Arial" w:cs="Times New Roman"/>
      <w:b/>
      <w:smallCaps/>
      <w:sz w:val="48"/>
      <w:szCs w:val="20"/>
      <w:lang w:eastAsia="cs-CZ"/>
    </w:rPr>
  </w:style>
  <w:style w:type="paragraph" w:customStyle="1" w:styleId="BodyText21">
    <w:name w:val="Body Text 21"/>
    <w:basedOn w:val="Normln"/>
    <w:rsid w:val="006E1FCB"/>
    <w:pPr>
      <w:overflowPunct w:val="0"/>
      <w:autoSpaceDE w:val="0"/>
      <w:autoSpaceDN w:val="0"/>
      <w:adjustRightInd w:val="0"/>
      <w:spacing w:after="120"/>
      <w:ind w:left="283"/>
      <w:textAlignment w:val="baseline"/>
    </w:pPr>
    <w:rPr>
      <w:rFonts w:ascii="Times New Roman" w:eastAsia="Times New Roman" w:hAnsi="Times New Roman" w:cs="Times New Roman"/>
      <w:sz w:val="20"/>
      <w:szCs w:val="20"/>
      <w:lang w:eastAsia="cs-CZ"/>
    </w:rPr>
  </w:style>
  <w:style w:type="paragraph" w:customStyle="1" w:styleId="BodyText31">
    <w:name w:val="Body Text 31"/>
    <w:basedOn w:val="BodyText21"/>
    <w:rsid w:val="006E1FCB"/>
  </w:style>
  <w:style w:type="paragraph" w:styleId="FormtovanvHTML">
    <w:name w:val="HTML Preformatted"/>
    <w:basedOn w:val="Normln"/>
    <w:link w:val="FormtovanvHTMLChar"/>
    <w:uiPriority w:val="99"/>
    <w:unhideWhenUsed/>
    <w:rsid w:val="006E1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eastAsia="cs-CZ"/>
    </w:rPr>
  </w:style>
  <w:style w:type="character" w:customStyle="1" w:styleId="FormtovanvHTMLChar">
    <w:name w:val="Formátovaný v HTML Char"/>
    <w:basedOn w:val="Standardnpsmoodstavce"/>
    <w:link w:val="FormtovanvHTML"/>
    <w:uiPriority w:val="99"/>
    <w:rsid w:val="006E1FCB"/>
    <w:rPr>
      <w:rFonts w:ascii="Courier New" w:eastAsia="Times New Roman" w:hAnsi="Courier New" w:cs="Times New Roman"/>
      <w:sz w:val="20"/>
      <w:szCs w:val="20"/>
      <w:lang w:eastAsia="cs-CZ"/>
    </w:rPr>
  </w:style>
  <w:style w:type="paragraph" w:customStyle="1" w:styleId="StylNadpis1Ped6b">
    <w:name w:val="Styl Nadpis 1 + Před:  6 b."/>
    <w:basedOn w:val="Nadpis1"/>
    <w:autoRedefine/>
    <w:rsid w:val="006E1FCB"/>
    <w:pPr>
      <w:keepLines w:val="0"/>
      <w:numPr>
        <w:numId w:val="1"/>
      </w:numPr>
      <w:tabs>
        <w:tab w:val="num" w:pos="432"/>
      </w:tabs>
      <w:overflowPunct w:val="0"/>
      <w:autoSpaceDE w:val="0"/>
      <w:autoSpaceDN w:val="0"/>
      <w:adjustRightInd w:val="0"/>
      <w:spacing w:before="120" w:after="0"/>
      <w:ind w:left="431" w:hanging="431"/>
      <w:jc w:val="left"/>
      <w:textAlignment w:val="baseline"/>
    </w:pPr>
    <w:rPr>
      <w:rFonts w:ascii="Times New Roman" w:eastAsia="Times New Roman" w:hAnsi="Times New Roman" w:cs="Times New Roman"/>
      <w:bCs/>
      <w:color w:val="auto"/>
      <w:kern w:val="28"/>
      <w:sz w:val="28"/>
      <w:szCs w:val="20"/>
    </w:rPr>
  </w:style>
  <w:style w:type="paragraph" w:customStyle="1" w:styleId="import18">
    <w:name w:val="import18"/>
    <w:basedOn w:val="Normln"/>
    <w:rsid w:val="006E1FCB"/>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address">
    <w:name w:val="address"/>
    <w:rsid w:val="006E1FCB"/>
  </w:style>
  <w:style w:type="character" w:customStyle="1" w:styleId="street-address">
    <w:name w:val="street-address"/>
    <w:rsid w:val="006E1FCB"/>
  </w:style>
  <w:style w:type="character" w:customStyle="1" w:styleId="id">
    <w:name w:val="id"/>
    <w:rsid w:val="006E1FCB"/>
  </w:style>
  <w:style w:type="paragraph" w:customStyle="1" w:styleId="BodyText22">
    <w:name w:val="Body Text 22"/>
    <w:basedOn w:val="Normln"/>
    <w:rsid w:val="006E1FCB"/>
    <w:pPr>
      <w:overflowPunct w:val="0"/>
      <w:autoSpaceDE w:val="0"/>
      <w:autoSpaceDN w:val="0"/>
      <w:adjustRightInd w:val="0"/>
      <w:spacing w:after="120"/>
      <w:ind w:left="283"/>
      <w:textAlignment w:val="baseline"/>
    </w:pPr>
    <w:rPr>
      <w:rFonts w:ascii="Times New Roman" w:eastAsia="Times New Roman" w:hAnsi="Times New Roman" w:cs="Times New Roman"/>
      <w:sz w:val="20"/>
      <w:szCs w:val="20"/>
      <w:lang w:eastAsia="cs-CZ"/>
    </w:rPr>
  </w:style>
  <w:style w:type="paragraph" w:customStyle="1" w:styleId="xl154">
    <w:name w:val="xl154"/>
    <w:basedOn w:val="Normln"/>
    <w:rsid w:val="006E1FCB"/>
    <w:pPr>
      <w:pBdr>
        <w:left w:val="single" w:sz="4" w:space="0" w:color="auto"/>
        <w:bottom w:val="single" w:sz="4" w:space="0" w:color="auto"/>
        <w:right w:val="single" w:sz="8" w:space="0" w:color="auto"/>
      </w:pBdr>
      <w:shd w:val="clear" w:color="000000" w:fill="CC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55">
    <w:name w:val="xl155"/>
    <w:basedOn w:val="Normln"/>
    <w:rsid w:val="006E1FCB"/>
    <w:pPr>
      <w:pBdr>
        <w:bottom w:val="single" w:sz="4" w:space="0" w:color="auto"/>
      </w:pBdr>
      <w:shd w:val="clear" w:color="000000" w:fill="CCCC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56">
    <w:name w:val="xl156"/>
    <w:basedOn w:val="Normln"/>
    <w:rsid w:val="006E1FCB"/>
    <w:pPr>
      <w:pBdr>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57">
    <w:name w:val="xl157"/>
    <w:basedOn w:val="Normln"/>
    <w:rsid w:val="006E1FCB"/>
    <w:pPr>
      <w:pBdr>
        <w:left w:val="single" w:sz="4" w:space="0" w:color="auto"/>
        <w:bottom w:val="single" w:sz="4" w:space="0" w:color="auto"/>
        <w:right w:val="single" w:sz="8" w:space="0" w:color="auto"/>
      </w:pBdr>
      <w:shd w:val="clear" w:color="000000" w:fill="CCCC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58">
    <w:name w:val="xl158"/>
    <w:basedOn w:val="Normln"/>
    <w:rsid w:val="006E1FCB"/>
    <w:pPr>
      <w:pBdr>
        <w:bottom w:val="single" w:sz="4" w:space="0" w:color="auto"/>
      </w:pBdr>
      <w:shd w:val="clear" w:color="000000" w:fill="33CCCC"/>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59">
    <w:name w:val="xl159"/>
    <w:basedOn w:val="Normln"/>
    <w:rsid w:val="006E1FCB"/>
    <w:pPr>
      <w:pBdr>
        <w:left w:val="single" w:sz="4" w:space="0" w:color="auto"/>
        <w:bottom w:val="single" w:sz="4" w:space="0" w:color="auto"/>
        <w:right w:val="single" w:sz="4" w:space="0" w:color="auto"/>
      </w:pBdr>
      <w:shd w:val="clear" w:color="000000" w:fill="33CCCC"/>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60">
    <w:name w:val="xl160"/>
    <w:basedOn w:val="Normln"/>
    <w:rsid w:val="006E1FCB"/>
    <w:pPr>
      <w:pBdr>
        <w:left w:val="single" w:sz="4" w:space="0" w:color="auto"/>
        <w:bottom w:val="single" w:sz="4" w:space="0" w:color="auto"/>
        <w:right w:val="single" w:sz="8" w:space="0" w:color="auto"/>
      </w:pBdr>
      <w:shd w:val="clear" w:color="000000" w:fill="33CCCC"/>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61">
    <w:name w:val="xl161"/>
    <w:basedOn w:val="Normln"/>
    <w:rsid w:val="006E1FCB"/>
    <w:pPr>
      <w:pBdr>
        <w:bottom w:val="single" w:sz="4" w:space="0" w:color="auto"/>
      </w:pBdr>
      <w:shd w:val="clear" w:color="000000" w:fill="C0C0C0"/>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62">
    <w:name w:val="xl162"/>
    <w:basedOn w:val="Normln"/>
    <w:rsid w:val="006E1FCB"/>
    <w:pPr>
      <w:pBdr>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63">
    <w:name w:val="xl163"/>
    <w:basedOn w:val="Normln"/>
    <w:rsid w:val="006E1FCB"/>
    <w:pPr>
      <w:pBdr>
        <w:left w:val="single" w:sz="4"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64">
    <w:name w:val="xl164"/>
    <w:basedOn w:val="Normln"/>
    <w:rsid w:val="006E1FCB"/>
    <w:pPr>
      <w:pBdr>
        <w:top w:val="single" w:sz="4" w:space="0" w:color="auto"/>
        <w:bottom w:val="single" w:sz="8" w:space="0" w:color="auto"/>
      </w:pBdr>
      <w:shd w:val="clear" w:color="000000" w:fill="C0C0C0"/>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65">
    <w:name w:val="xl165"/>
    <w:basedOn w:val="Normln"/>
    <w:rsid w:val="006E1FCB"/>
    <w:pPr>
      <w:pBdr>
        <w:top w:val="single" w:sz="8" w:space="0" w:color="auto"/>
        <w:bottom w:val="single" w:sz="8"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66">
    <w:name w:val="xl166"/>
    <w:basedOn w:val="Normln"/>
    <w:rsid w:val="006E1FCB"/>
    <w:pPr>
      <w:pBdr>
        <w:top w:val="single" w:sz="8" w:space="0" w:color="auto"/>
        <w:left w:val="single" w:sz="4" w:space="0" w:color="auto"/>
        <w:bottom w:val="single" w:sz="8" w:space="0" w:color="auto"/>
        <w:right w:val="single" w:sz="8"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b/>
      <w:bCs/>
      <w:sz w:val="18"/>
      <w:szCs w:val="18"/>
      <w:lang w:eastAsia="cs-CZ"/>
    </w:rPr>
  </w:style>
  <w:style w:type="paragraph" w:customStyle="1" w:styleId="xl167">
    <w:name w:val="xl167"/>
    <w:basedOn w:val="Normln"/>
    <w:rsid w:val="006E1FCB"/>
    <w:pPr>
      <w:pBdr>
        <w:top w:val="single" w:sz="8" w:space="0" w:color="auto"/>
        <w:bottom w:val="single" w:sz="8" w:space="0" w:color="auto"/>
      </w:pBdr>
      <w:shd w:val="clear" w:color="000000" w:fill="00FFFF"/>
      <w:spacing w:before="100" w:beforeAutospacing="1" w:after="100" w:afterAutospacing="1"/>
      <w:textAlignment w:val="center"/>
    </w:pPr>
    <w:rPr>
      <w:rFonts w:ascii="Times New Roman" w:eastAsia="Times New Roman" w:hAnsi="Times New Roman" w:cs="Times New Roman"/>
      <w:b/>
      <w:bCs/>
      <w:sz w:val="18"/>
      <w:szCs w:val="18"/>
      <w:lang w:eastAsia="cs-CZ"/>
    </w:rPr>
  </w:style>
  <w:style w:type="paragraph" w:customStyle="1" w:styleId="xl168">
    <w:name w:val="xl168"/>
    <w:basedOn w:val="Normln"/>
    <w:rsid w:val="006E1FCB"/>
    <w:pPr>
      <w:pBdr>
        <w:top w:val="single" w:sz="8" w:space="0" w:color="auto"/>
        <w:bottom w:val="single" w:sz="8"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69">
    <w:name w:val="xl169"/>
    <w:basedOn w:val="Normln"/>
    <w:rsid w:val="006E1FCB"/>
    <w:pPr>
      <w:pBdr>
        <w:top w:val="single" w:sz="8" w:space="0" w:color="auto"/>
        <w:bottom w:val="single" w:sz="8"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70">
    <w:name w:val="xl170"/>
    <w:basedOn w:val="Normln"/>
    <w:rsid w:val="006E1FCB"/>
    <w:pPr>
      <w:pBdr>
        <w:top w:val="single" w:sz="8" w:space="0" w:color="auto"/>
        <w:left w:val="single" w:sz="4" w:space="0" w:color="auto"/>
        <w:bottom w:val="single" w:sz="8" w:space="0" w:color="auto"/>
        <w:right w:val="single" w:sz="4"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b/>
      <w:bCs/>
      <w:sz w:val="18"/>
      <w:szCs w:val="18"/>
      <w:lang w:eastAsia="cs-CZ"/>
    </w:rPr>
  </w:style>
  <w:style w:type="paragraph" w:customStyle="1" w:styleId="xl171">
    <w:name w:val="xl171"/>
    <w:basedOn w:val="Normln"/>
    <w:rsid w:val="006E1FCB"/>
    <w:pPr>
      <w:pBdr>
        <w:top w:val="single" w:sz="8" w:space="0" w:color="auto"/>
        <w:left w:val="single" w:sz="4" w:space="0" w:color="auto"/>
        <w:bottom w:val="single" w:sz="8" w:space="0" w:color="auto"/>
        <w:right w:val="single" w:sz="8" w:space="0" w:color="auto"/>
      </w:pBdr>
      <w:shd w:val="clear" w:color="000000" w:fill="FF8080"/>
      <w:spacing w:before="100" w:beforeAutospacing="1" w:after="100" w:afterAutospacing="1"/>
      <w:jc w:val="center"/>
      <w:textAlignment w:val="center"/>
    </w:pPr>
    <w:rPr>
      <w:rFonts w:ascii="Times New Roman" w:eastAsia="Times New Roman" w:hAnsi="Times New Roman" w:cs="Times New Roman"/>
      <w:b/>
      <w:bCs/>
      <w:sz w:val="18"/>
      <w:szCs w:val="18"/>
      <w:lang w:eastAsia="cs-CZ"/>
    </w:rPr>
  </w:style>
  <w:style w:type="paragraph" w:customStyle="1" w:styleId="xl172">
    <w:name w:val="xl172"/>
    <w:basedOn w:val="Normln"/>
    <w:rsid w:val="006E1FCB"/>
    <w:pPr>
      <w:pBdr>
        <w:top w:val="single" w:sz="8" w:space="0" w:color="auto"/>
        <w:left w:val="single" w:sz="8" w:space="0" w:color="auto"/>
        <w:bottom w:val="single" w:sz="4" w:space="0" w:color="auto"/>
      </w:pBdr>
      <w:shd w:val="clear" w:color="000000"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173">
    <w:name w:val="xl173"/>
    <w:basedOn w:val="Normln"/>
    <w:rsid w:val="006E1FCB"/>
    <w:pPr>
      <w:pBdr>
        <w:top w:val="single" w:sz="8" w:space="0" w:color="auto"/>
        <w:bottom w:val="single" w:sz="4" w:space="0" w:color="auto"/>
      </w:pBdr>
      <w:shd w:val="clear" w:color="000000"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174">
    <w:name w:val="xl174"/>
    <w:basedOn w:val="Normln"/>
    <w:rsid w:val="006E1FCB"/>
    <w:pPr>
      <w:pBdr>
        <w:top w:val="single" w:sz="8" w:space="0" w:color="auto"/>
        <w:bottom w:val="single" w:sz="4" w:space="0" w:color="auto"/>
        <w:right w:val="single" w:sz="8" w:space="0" w:color="auto"/>
      </w:pBdr>
      <w:shd w:val="clear" w:color="000000"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175">
    <w:name w:val="xl175"/>
    <w:basedOn w:val="Normln"/>
    <w:rsid w:val="006E1FCB"/>
    <w:pPr>
      <w:pBdr>
        <w:top w:val="single" w:sz="4" w:space="0" w:color="auto"/>
        <w:left w:val="single" w:sz="4" w:space="0" w:color="auto"/>
        <w:bottom w:val="single" w:sz="4" w:space="0" w:color="auto"/>
        <w:right w:val="single" w:sz="8" w:space="0" w:color="auto"/>
      </w:pBdr>
      <w:shd w:val="clear" w:color="000000" w:fill="00FF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176">
    <w:name w:val="xl176"/>
    <w:basedOn w:val="Normln"/>
    <w:rsid w:val="006E1FCB"/>
    <w:pPr>
      <w:pBdr>
        <w:top w:val="single" w:sz="4" w:space="0" w:color="auto"/>
        <w:left w:val="single" w:sz="4" w:space="0" w:color="auto"/>
        <w:bottom w:val="single" w:sz="4" w:space="0" w:color="auto"/>
        <w:right w:val="single" w:sz="8" w:space="0" w:color="auto"/>
      </w:pBdr>
      <w:shd w:val="clear" w:color="000000" w:fill="00FF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177">
    <w:name w:val="xl177"/>
    <w:basedOn w:val="Normln"/>
    <w:rsid w:val="006E1FCB"/>
    <w:pPr>
      <w:pBdr>
        <w:left w:val="single" w:sz="8" w:space="0" w:color="auto"/>
        <w:bottom w:val="single" w:sz="4" w:space="0" w:color="auto"/>
      </w:pBdr>
      <w:shd w:val="clear" w:color="000000"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178">
    <w:name w:val="xl178"/>
    <w:basedOn w:val="Normln"/>
    <w:rsid w:val="006E1FCB"/>
    <w:pPr>
      <w:pBdr>
        <w:bottom w:val="single" w:sz="4" w:space="0" w:color="auto"/>
      </w:pBdr>
      <w:shd w:val="clear" w:color="000000"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179">
    <w:name w:val="xl179"/>
    <w:basedOn w:val="Normln"/>
    <w:rsid w:val="006E1FCB"/>
    <w:pPr>
      <w:pBdr>
        <w:bottom w:val="single" w:sz="4" w:space="0" w:color="auto"/>
      </w:pBdr>
      <w:shd w:val="clear" w:color="000000" w:fill="00FF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xl180">
    <w:name w:val="xl180"/>
    <w:basedOn w:val="Normln"/>
    <w:rsid w:val="006E1FCB"/>
    <w:pPr>
      <w:pBdr>
        <w:top w:val="single" w:sz="8" w:space="0" w:color="auto"/>
        <w:left w:val="single" w:sz="4" w:space="0" w:color="auto"/>
        <w:bottom w:val="double" w:sz="6"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81">
    <w:name w:val="xl181"/>
    <w:basedOn w:val="Normln"/>
    <w:rsid w:val="006E1FCB"/>
    <w:pPr>
      <w:pBdr>
        <w:top w:val="single" w:sz="8" w:space="0" w:color="auto"/>
        <w:bottom w:val="double" w:sz="6" w:space="0" w:color="auto"/>
        <w:right w:val="single" w:sz="4"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82">
    <w:name w:val="xl182"/>
    <w:basedOn w:val="Normln"/>
    <w:rsid w:val="006E1FCB"/>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83">
    <w:name w:val="xl183"/>
    <w:basedOn w:val="Normln"/>
    <w:rsid w:val="006E1FCB"/>
    <w:pPr>
      <w:pBdr>
        <w:top w:val="single" w:sz="4" w:space="0" w:color="auto"/>
        <w:bottom w:val="single" w:sz="4" w:space="0" w:color="auto"/>
        <w:right w:val="single" w:sz="4"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84">
    <w:name w:val="xl184"/>
    <w:basedOn w:val="Normln"/>
    <w:rsid w:val="006E1FCB"/>
    <w:pPr>
      <w:pBdr>
        <w:top w:val="single" w:sz="4" w:space="0" w:color="auto"/>
        <w:left w:val="single" w:sz="4" w:space="0" w:color="auto"/>
        <w:bottom w:val="double" w:sz="6" w:space="0" w:color="auto"/>
      </w:pBdr>
      <w:shd w:val="clear" w:color="000000" w:fill="FFFF00"/>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85">
    <w:name w:val="xl185"/>
    <w:basedOn w:val="Normln"/>
    <w:rsid w:val="006E1FCB"/>
    <w:pPr>
      <w:pBdr>
        <w:top w:val="single" w:sz="4" w:space="0" w:color="auto"/>
        <w:bottom w:val="double" w:sz="6" w:space="0" w:color="auto"/>
        <w:right w:val="single" w:sz="4"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186">
    <w:name w:val="xl186"/>
    <w:basedOn w:val="Normln"/>
    <w:rsid w:val="006E1FCB"/>
    <w:pPr>
      <w:pBdr>
        <w:top w:val="single" w:sz="8" w:space="0" w:color="auto"/>
        <w:bottom w:val="single" w:sz="8" w:space="0" w:color="auto"/>
      </w:pBdr>
      <w:shd w:val="clear" w:color="000000"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187">
    <w:name w:val="xl187"/>
    <w:basedOn w:val="Normln"/>
    <w:rsid w:val="006E1FCB"/>
    <w:pPr>
      <w:pBdr>
        <w:top w:val="single" w:sz="8" w:space="0" w:color="auto"/>
        <w:bottom w:val="single" w:sz="8" w:space="0" w:color="auto"/>
        <w:right w:val="single" w:sz="8" w:space="0" w:color="auto"/>
      </w:pBdr>
      <w:shd w:val="clear" w:color="000000"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188">
    <w:name w:val="xl188"/>
    <w:basedOn w:val="Normln"/>
    <w:rsid w:val="006E1FCB"/>
    <w:pPr>
      <w:pBdr>
        <w:top w:val="single" w:sz="4" w:space="0" w:color="auto"/>
        <w:bottom w:val="single" w:sz="4" w:space="0" w:color="auto"/>
      </w:pBdr>
      <w:shd w:val="clear" w:color="000000" w:fill="FFFFCC"/>
      <w:spacing w:before="100" w:beforeAutospacing="1" w:after="100" w:afterAutospacing="1"/>
    </w:pPr>
    <w:rPr>
      <w:rFonts w:ascii="Times New Roman" w:eastAsia="Times New Roman" w:hAnsi="Times New Roman" w:cs="Times New Roman"/>
      <w:sz w:val="24"/>
      <w:szCs w:val="24"/>
      <w:lang w:eastAsia="cs-CZ"/>
    </w:rPr>
  </w:style>
  <w:style w:type="paragraph" w:customStyle="1" w:styleId="xl189">
    <w:name w:val="xl189"/>
    <w:basedOn w:val="Normln"/>
    <w:rsid w:val="006E1FCB"/>
    <w:pPr>
      <w:pBdr>
        <w:bottom w:val="single" w:sz="4" w:space="0" w:color="auto"/>
        <w:right w:val="single" w:sz="8" w:space="0" w:color="auto"/>
      </w:pBdr>
      <w:shd w:val="clear" w:color="000000" w:fill="FFFFCC"/>
      <w:spacing w:before="100" w:beforeAutospacing="1" w:after="100" w:afterAutospacing="1"/>
    </w:pPr>
    <w:rPr>
      <w:rFonts w:ascii="Times New Roman" w:eastAsia="Times New Roman" w:hAnsi="Times New Roman" w:cs="Times New Roman"/>
      <w:sz w:val="24"/>
      <w:szCs w:val="24"/>
      <w:lang w:eastAsia="cs-CZ"/>
    </w:rPr>
  </w:style>
  <w:style w:type="paragraph" w:customStyle="1" w:styleId="xl190">
    <w:name w:val="xl190"/>
    <w:basedOn w:val="Normln"/>
    <w:rsid w:val="006E1FCB"/>
    <w:pPr>
      <w:pBdr>
        <w:left w:val="single" w:sz="8" w:space="0" w:color="auto"/>
        <w:right w:val="single" w:sz="4" w:space="0" w:color="auto"/>
      </w:pBdr>
      <w:shd w:val="clear" w:color="000000" w:fill="00FFFF"/>
      <w:spacing w:before="100" w:beforeAutospacing="1" w:after="100" w:afterAutospacing="1"/>
      <w:jc w:val="center"/>
    </w:pPr>
    <w:rPr>
      <w:rFonts w:ascii="Times New Roman" w:eastAsia="Times New Roman" w:hAnsi="Times New Roman" w:cs="Times New Roman"/>
      <w:i/>
      <w:iCs/>
      <w:sz w:val="18"/>
      <w:szCs w:val="18"/>
      <w:lang w:eastAsia="cs-CZ"/>
    </w:rPr>
  </w:style>
  <w:style w:type="paragraph" w:customStyle="1" w:styleId="xl191">
    <w:name w:val="xl191"/>
    <w:basedOn w:val="Normln"/>
    <w:rsid w:val="006E1FCB"/>
    <w:pPr>
      <w:pBdr>
        <w:left w:val="single" w:sz="8" w:space="0" w:color="auto"/>
        <w:bottom w:val="single" w:sz="8" w:space="0" w:color="auto"/>
        <w:right w:val="single" w:sz="4" w:space="0" w:color="auto"/>
      </w:pBdr>
      <w:shd w:val="clear" w:color="000000" w:fill="00FFFF"/>
      <w:spacing w:before="100" w:beforeAutospacing="1" w:after="100" w:afterAutospacing="1"/>
    </w:pPr>
    <w:rPr>
      <w:rFonts w:ascii="Times New Roman" w:eastAsia="Times New Roman" w:hAnsi="Times New Roman" w:cs="Times New Roman"/>
      <w:i/>
      <w:iCs/>
      <w:sz w:val="18"/>
      <w:szCs w:val="18"/>
      <w:lang w:eastAsia="cs-CZ"/>
    </w:rPr>
  </w:style>
  <w:style w:type="paragraph" w:customStyle="1" w:styleId="xl192">
    <w:name w:val="xl192"/>
    <w:basedOn w:val="Normln"/>
    <w:rsid w:val="006E1FCB"/>
    <w:pPr>
      <w:pBdr>
        <w:top w:val="single" w:sz="8" w:space="0" w:color="auto"/>
        <w:left w:val="single" w:sz="8" w:space="0" w:color="auto"/>
        <w:bottom w:val="single" w:sz="8" w:space="0" w:color="auto"/>
      </w:pBdr>
      <w:shd w:val="clear" w:color="000000" w:fill="00FFFF"/>
      <w:spacing w:before="100" w:beforeAutospacing="1" w:after="100" w:afterAutospacing="1"/>
      <w:jc w:val="center"/>
      <w:textAlignment w:val="top"/>
    </w:pPr>
    <w:rPr>
      <w:rFonts w:ascii="Times New Roman" w:eastAsia="Times New Roman" w:hAnsi="Times New Roman" w:cs="Times New Roman"/>
      <w:sz w:val="18"/>
      <w:szCs w:val="18"/>
      <w:lang w:eastAsia="cs-CZ"/>
    </w:rPr>
  </w:style>
  <w:style w:type="paragraph" w:customStyle="1" w:styleId="xl193">
    <w:name w:val="xl193"/>
    <w:basedOn w:val="Normln"/>
    <w:rsid w:val="006E1FCB"/>
    <w:pPr>
      <w:pBdr>
        <w:top w:val="single" w:sz="8" w:space="0" w:color="auto"/>
        <w:bottom w:val="single" w:sz="8" w:space="0" w:color="auto"/>
      </w:pBdr>
      <w:shd w:val="clear" w:color="000000" w:fill="00FFFF"/>
      <w:spacing w:before="100" w:beforeAutospacing="1" w:after="100" w:afterAutospacing="1"/>
      <w:textAlignment w:val="top"/>
    </w:pPr>
    <w:rPr>
      <w:rFonts w:ascii="Times New Roman" w:eastAsia="Times New Roman" w:hAnsi="Times New Roman" w:cs="Times New Roman"/>
      <w:sz w:val="18"/>
      <w:szCs w:val="18"/>
      <w:lang w:eastAsia="cs-CZ"/>
    </w:rPr>
  </w:style>
  <w:style w:type="paragraph" w:customStyle="1" w:styleId="xl194">
    <w:name w:val="xl194"/>
    <w:basedOn w:val="Normln"/>
    <w:rsid w:val="006E1FCB"/>
    <w:pPr>
      <w:pBdr>
        <w:top w:val="single" w:sz="8" w:space="0" w:color="auto"/>
        <w:bottom w:val="single" w:sz="8" w:space="0" w:color="auto"/>
      </w:pBdr>
      <w:shd w:val="clear" w:color="000000" w:fill="00FFFF"/>
      <w:spacing w:before="100" w:beforeAutospacing="1" w:after="100" w:afterAutospacing="1"/>
      <w:jc w:val="center"/>
      <w:textAlignment w:val="top"/>
    </w:pPr>
    <w:rPr>
      <w:rFonts w:ascii="Times New Roman" w:eastAsia="Times New Roman" w:hAnsi="Times New Roman" w:cs="Times New Roman"/>
      <w:sz w:val="18"/>
      <w:szCs w:val="18"/>
      <w:lang w:eastAsia="cs-CZ"/>
    </w:rPr>
  </w:style>
  <w:style w:type="paragraph" w:customStyle="1" w:styleId="xl195">
    <w:name w:val="xl195"/>
    <w:basedOn w:val="Normln"/>
    <w:rsid w:val="006E1FCB"/>
    <w:pPr>
      <w:pBdr>
        <w:top w:val="single" w:sz="8" w:space="0" w:color="auto"/>
        <w:left w:val="single" w:sz="4" w:space="0" w:color="auto"/>
        <w:bottom w:val="single" w:sz="8" w:space="0" w:color="auto"/>
        <w:right w:val="single" w:sz="8"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196">
    <w:name w:val="xl196"/>
    <w:basedOn w:val="Normln"/>
    <w:rsid w:val="006E1FCB"/>
    <w:pPr>
      <w:pBdr>
        <w:top w:val="single" w:sz="8" w:space="0" w:color="auto"/>
        <w:left w:val="single" w:sz="8" w:space="0" w:color="auto"/>
        <w:bottom w:val="single" w:sz="4" w:space="0" w:color="auto"/>
      </w:pBdr>
      <w:shd w:val="clear" w:color="000000" w:fill="00FFFF"/>
      <w:spacing w:before="100" w:beforeAutospacing="1" w:after="100" w:afterAutospacing="1"/>
      <w:jc w:val="center"/>
      <w:textAlignment w:val="top"/>
    </w:pPr>
    <w:rPr>
      <w:rFonts w:ascii="Times New Roman" w:eastAsia="Times New Roman" w:hAnsi="Times New Roman" w:cs="Times New Roman"/>
      <w:b/>
      <w:bCs/>
      <w:sz w:val="18"/>
      <w:szCs w:val="18"/>
      <w:lang w:eastAsia="cs-CZ"/>
    </w:rPr>
  </w:style>
  <w:style w:type="paragraph" w:customStyle="1" w:styleId="xl197">
    <w:name w:val="xl197"/>
    <w:basedOn w:val="Normln"/>
    <w:rsid w:val="006E1FCB"/>
    <w:pPr>
      <w:pBdr>
        <w:top w:val="single" w:sz="8" w:space="0" w:color="auto"/>
        <w:bottom w:val="single" w:sz="4" w:space="0" w:color="auto"/>
      </w:pBdr>
      <w:shd w:val="clear" w:color="000000" w:fill="00FFFF"/>
      <w:spacing w:before="100" w:beforeAutospacing="1" w:after="100" w:afterAutospacing="1"/>
      <w:textAlignment w:val="top"/>
    </w:pPr>
    <w:rPr>
      <w:rFonts w:ascii="Times New Roman" w:eastAsia="Times New Roman" w:hAnsi="Times New Roman" w:cs="Times New Roman"/>
      <w:b/>
      <w:bCs/>
      <w:sz w:val="18"/>
      <w:szCs w:val="18"/>
      <w:lang w:eastAsia="cs-CZ"/>
    </w:rPr>
  </w:style>
  <w:style w:type="paragraph" w:customStyle="1" w:styleId="xl198">
    <w:name w:val="xl198"/>
    <w:basedOn w:val="Normln"/>
    <w:rsid w:val="006E1FCB"/>
    <w:pPr>
      <w:pBdr>
        <w:top w:val="single" w:sz="8" w:space="0" w:color="auto"/>
        <w:bottom w:val="single" w:sz="4" w:space="0" w:color="auto"/>
      </w:pBdr>
      <w:shd w:val="clear" w:color="000000" w:fill="00FFFF"/>
      <w:spacing w:before="100" w:beforeAutospacing="1" w:after="100" w:afterAutospacing="1"/>
      <w:textAlignment w:val="top"/>
    </w:pPr>
    <w:rPr>
      <w:rFonts w:ascii="Times New Roman" w:eastAsia="Times New Roman" w:hAnsi="Times New Roman" w:cs="Times New Roman"/>
      <w:sz w:val="18"/>
      <w:szCs w:val="18"/>
      <w:lang w:eastAsia="cs-CZ"/>
    </w:rPr>
  </w:style>
  <w:style w:type="paragraph" w:customStyle="1" w:styleId="xl199">
    <w:name w:val="xl199"/>
    <w:basedOn w:val="Normln"/>
    <w:rsid w:val="006E1FCB"/>
    <w:pPr>
      <w:pBdr>
        <w:top w:val="single" w:sz="8" w:space="0" w:color="auto"/>
        <w:bottom w:val="single" w:sz="4"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200">
    <w:name w:val="xl200"/>
    <w:basedOn w:val="Normln"/>
    <w:rsid w:val="006E1FCB"/>
    <w:pPr>
      <w:pBdr>
        <w:top w:val="single" w:sz="8" w:space="0" w:color="auto"/>
        <w:bottom w:val="single" w:sz="4"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201">
    <w:name w:val="xl201"/>
    <w:basedOn w:val="Normln"/>
    <w:rsid w:val="006E1FCB"/>
    <w:pPr>
      <w:pBdr>
        <w:top w:val="single" w:sz="8" w:space="0" w:color="auto"/>
        <w:bottom w:val="single" w:sz="4" w:space="0" w:color="auto"/>
        <w:right w:val="single" w:sz="8"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202">
    <w:name w:val="xl202"/>
    <w:basedOn w:val="Normln"/>
    <w:rsid w:val="006E1FCB"/>
    <w:pPr>
      <w:pBdr>
        <w:top w:val="single" w:sz="8" w:space="0" w:color="auto"/>
        <w:left w:val="single" w:sz="8" w:space="0" w:color="auto"/>
        <w:bottom w:val="single" w:sz="8"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203">
    <w:name w:val="xl203"/>
    <w:basedOn w:val="Normln"/>
    <w:rsid w:val="006E1FCB"/>
    <w:pPr>
      <w:pBdr>
        <w:top w:val="single" w:sz="8" w:space="0" w:color="auto"/>
        <w:bottom w:val="single" w:sz="8" w:space="0" w:color="auto"/>
      </w:pBdr>
      <w:shd w:val="clear" w:color="000000" w:fill="00FFFF"/>
      <w:spacing w:before="100" w:beforeAutospacing="1" w:after="100" w:afterAutospacing="1"/>
      <w:jc w:val="right"/>
      <w:textAlignment w:val="center"/>
    </w:pPr>
    <w:rPr>
      <w:rFonts w:ascii="Times New Roman" w:eastAsia="Times New Roman" w:hAnsi="Times New Roman" w:cs="Times New Roman"/>
      <w:sz w:val="18"/>
      <w:szCs w:val="18"/>
      <w:lang w:eastAsia="cs-CZ"/>
    </w:rPr>
  </w:style>
  <w:style w:type="paragraph" w:customStyle="1" w:styleId="xl204">
    <w:name w:val="xl204"/>
    <w:basedOn w:val="Normln"/>
    <w:rsid w:val="006E1FCB"/>
    <w:pPr>
      <w:pBdr>
        <w:top w:val="single" w:sz="8" w:space="0" w:color="auto"/>
        <w:left w:val="single" w:sz="8" w:space="0" w:color="auto"/>
        <w:bottom w:val="double" w:sz="6"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205">
    <w:name w:val="xl205"/>
    <w:basedOn w:val="Normln"/>
    <w:rsid w:val="006E1FCB"/>
    <w:pPr>
      <w:pBdr>
        <w:top w:val="single" w:sz="8" w:space="0" w:color="auto"/>
        <w:bottom w:val="double" w:sz="6" w:space="0" w:color="auto"/>
      </w:pBdr>
      <w:shd w:val="clear" w:color="000000" w:fill="00FFFF"/>
      <w:spacing w:before="100" w:beforeAutospacing="1" w:after="100" w:afterAutospacing="1"/>
      <w:textAlignment w:val="center"/>
    </w:pPr>
    <w:rPr>
      <w:rFonts w:ascii="Times New Roman" w:eastAsia="Times New Roman" w:hAnsi="Times New Roman" w:cs="Times New Roman"/>
      <w:b/>
      <w:bCs/>
      <w:sz w:val="18"/>
      <w:szCs w:val="18"/>
      <w:lang w:eastAsia="cs-CZ"/>
    </w:rPr>
  </w:style>
  <w:style w:type="paragraph" w:customStyle="1" w:styleId="xl206">
    <w:name w:val="xl206"/>
    <w:basedOn w:val="Normln"/>
    <w:rsid w:val="006E1FCB"/>
    <w:pPr>
      <w:pBdr>
        <w:top w:val="single" w:sz="8" w:space="0" w:color="auto"/>
        <w:left w:val="single" w:sz="4" w:space="0" w:color="auto"/>
        <w:bottom w:val="double" w:sz="6" w:space="0" w:color="auto"/>
        <w:right w:val="single" w:sz="4"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207">
    <w:name w:val="xl207"/>
    <w:basedOn w:val="Normln"/>
    <w:rsid w:val="006E1FCB"/>
    <w:pPr>
      <w:pBdr>
        <w:top w:val="single" w:sz="8" w:space="0" w:color="auto"/>
        <w:left w:val="single" w:sz="4" w:space="0" w:color="auto"/>
        <w:bottom w:val="double" w:sz="6" w:space="0" w:color="auto"/>
        <w:right w:val="single" w:sz="8" w:space="0" w:color="auto"/>
      </w:pBdr>
      <w:shd w:val="clear" w:color="000000" w:fill="00FFFF"/>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208">
    <w:name w:val="xl208"/>
    <w:basedOn w:val="Normln"/>
    <w:rsid w:val="006E1FCB"/>
    <w:pPr>
      <w:pBdr>
        <w:top w:val="single" w:sz="8" w:space="0" w:color="auto"/>
        <w:left w:val="single" w:sz="8" w:space="0" w:color="auto"/>
        <w:bottom w:val="single" w:sz="8" w:space="0" w:color="auto"/>
      </w:pBdr>
      <w:shd w:val="clear" w:color="000000" w:fill="00FFFF"/>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209">
    <w:name w:val="xl209"/>
    <w:basedOn w:val="Normln"/>
    <w:rsid w:val="006E1FCB"/>
    <w:pPr>
      <w:pBdr>
        <w:top w:val="single" w:sz="8" w:space="0" w:color="auto"/>
        <w:left w:val="single" w:sz="8" w:space="0" w:color="auto"/>
        <w:bottom w:val="single" w:sz="8" w:space="0" w:color="auto"/>
      </w:pBdr>
      <w:shd w:val="clear" w:color="000000" w:fill="00FFFF"/>
      <w:spacing w:before="100" w:beforeAutospacing="1" w:after="100" w:afterAutospacing="1"/>
      <w:textAlignment w:val="center"/>
    </w:pPr>
    <w:rPr>
      <w:rFonts w:ascii="Times New Roman" w:eastAsia="Times New Roman" w:hAnsi="Times New Roman" w:cs="Times New Roman"/>
      <w:b/>
      <w:bCs/>
      <w:sz w:val="18"/>
      <w:szCs w:val="18"/>
      <w:lang w:eastAsia="cs-CZ"/>
    </w:rPr>
  </w:style>
  <w:style w:type="paragraph" w:customStyle="1" w:styleId="xl210">
    <w:name w:val="xl210"/>
    <w:basedOn w:val="Normln"/>
    <w:rsid w:val="006E1FCB"/>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textAlignment w:val="center"/>
    </w:pPr>
    <w:rPr>
      <w:rFonts w:ascii="Times New Roman" w:eastAsia="Times New Roman" w:hAnsi="Times New Roman" w:cs="Times New Roman"/>
      <w:sz w:val="18"/>
      <w:szCs w:val="18"/>
      <w:lang w:eastAsia="cs-CZ"/>
    </w:rPr>
  </w:style>
  <w:style w:type="paragraph" w:customStyle="1" w:styleId="xl211">
    <w:name w:val="xl211"/>
    <w:basedOn w:val="Normln"/>
    <w:rsid w:val="006E1FCB"/>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Times New Roman" w:eastAsia="Times New Roman" w:hAnsi="Times New Roman" w:cs="Times New Roman"/>
      <w:sz w:val="18"/>
      <w:szCs w:val="18"/>
      <w:lang w:eastAsia="cs-CZ"/>
    </w:rPr>
  </w:style>
  <w:style w:type="paragraph" w:customStyle="1" w:styleId="xl212">
    <w:name w:val="xl212"/>
    <w:basedOn w:val="Normln"/>
    <w:rsid w:val="006E1FCB"/>
    <w:pPr>
      <w:pBdr>
        <w:top w:val="single" w:sz="4" w:space="0" w:color="auto"/>
        <w:bottom w:val="single" w:sz="4" w:space="0" w:color="auto"/>
      </w:pBdr>
      <w:shd w:val="clear" w:color="000000"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213">
    <w:name w:val="xl213"/>
    <w:basedOn w:val="Normln"/>
    <w:rsid w:val="006E1FCB"/>
    <w:pPr>
      <w:pBdr>
        <w:top w:val="single" w:sz="4" w:space="0" w:color="auto"/>
        <w:bottom w:val="single" w:sz="4" w:space="0" w:color="auto"/>
        <w:right w:val="single" w:sz="8" w:space="0" w:color="auto"/>
      </w:pBdr>
      <w:shd w:val="clear" w:color="000000" w:fill="00FFFF"/>
      <w:spacing w:before="100" w:beforeAutospacing="1" w:after="100" w:afterAutospacing="1"/>
    </w:pPr>
    <w:rPr>
      <w:rFonts w:ascii="Times New Roman" w:eastAsia="Times New Roman" w:hAnsi="Times New Roman" w:cs="Times New Roman"/>
      <w:sz w:val="24"/>
      <w:szCs w:val="24"/>
      <w:lang w:eastAsia="cs-CZ"/>
    </w:rPr>
  </w:style>
  <w:style w:type="paragraph" w:customStyle="1" w:styleId="xl214">
    <w:name w:val="xl214"/>
    <w:basedOn w:val="Normln"/>
    <w:rsid w:val="006E1FCB"/>
    <w:pPr>
      <w:pBdr>
        <w:top w:val="single" w:sz="8" w:space="0" w:color="auto"/>
        <w:left w:val="single" w:sz="8" w:space="0" w:color="auto"/>
        <w:bottom w:val="single" w:sz="8" w:space="0" w:color="auto"/>
      </w:pBdr>
      <w:shd w:val="clear" w:color="000000" w:fill="00FFFF"/>
      <w:spacing w:before="100" w:beforeAutospacing="1" w:after="100" w:afterAutospacing="1"/>
    </w:pPr>
    <w:rPr>
      <w:rFonts w:ascii="Times New Roman" w:eastAsia="Times New Roman" w:hAnsi="Times New Roman" w:cs="Times New Roman"/>
      <w:b/>
      <w:bCs/>
      <w:sz w:val="24"/>
      <w:szCs w:val="24"/>
      <w:lang w:eastAsia="cs-CZ"/>
    </w:rPr>
  </w:style>
  <w:style w:type="paragraph" w:customStyle="1" w:styleId="xl215">
    <w:name w:val="xl215"/>
    <w:basedOn w:val="Normln"/>
    <w:rsid w:val="006E1FCB"/>
    <w:pPr>
      <w:pBdr>
        <w:top w:val="single" w:sz="4" w:space="0" w:color="auto"/>
        <w:bottom w:val="single" w:sz="4" w:space="0" w:color="auto"/>
      </w:pBdr>
      <w:shd w:val="clear" w:color="000000" w:fill="99CCFF"/>
      <w:spacing w:before="100" w:beforeAutospacing="1" w:after="100" w:afterAutospacing="1"/>
      <w:jc w:val="right"/>
    </w:pPr>
    <w:rPr>
      <w:rFonts w:ascii="Times New Roman" w:eastAsia="Times New Roman" w:hAnsi="Times New Roman" w:cs="Times New Roman"/>
      <w:sz w:val="24"/>
      <w:szCs w:val="24"/>
      <w:lang w:eastAsia="cs-CZ"/>
    </w:rPr>
  </w:style>
  <w:style w:type="paragraph" w:customStyle="1" w:styleId="xl216">
    <w:name w:val="xl216"/>
    <w:basedOn w:val="Normln"/>
    <w:rsid w:val="006E1FCB"/>
    <w:pPr>
      <w:pBdr>
        <w:top w:val="single" w:sz="4" w:space="0" w:color="auto"/>
        <w:bottom w:val="single" w:sz="4" w:space="0" w:color="auto"/>
      </w:pBdr>
      <w:shd w:val="clear" w:color="000000" w:fill="99CCFF"/>
      <w:spacing w:before="100" w:beforeAutospacing="1" w:after="100" w:afterAutospacing="1"/>
      <w:jc w:val="center"/>
    </w:pPr>
    <w:rPr>
      <w:rFonts w:ascii="Times New Roman" w:eastAsia="Times New Roman" w:hAnsi="Times New Roman" w:cs="Times New Roman"/>
      <w:sz w:val="24"/>
      <w:szCs w:val="24"/>
      <w:lang w:eastAsia="cs-CZ"/>
    </w:rPr>
  </w:style>
  <w:style w:type="paragraph" w:customStyle="1" w:styleId="HBText">
    <w:name w:val="HB Text"/>
    <w:uiPriority w:val="99"/>
    <w:rsid w:val="006E1FCB"/>
    <w:pPr>
      <w:widowControl w:val="0"/>
      <w:autoSpaceDE w:val="0"/>
      <w:autoSpaceDN w:val="0"/>
      <w:adjustRightInd w:val="0"/>
      <w:spacing w:before="30" w:after="30" w:line="240" w:lineRule="auto"/>
    </w:pPr>
    <w:rPr>
      <w:rFonts w:ascii="Arial" w:eastAsia="Times New Roman" w:hAnsi="Arial" w:cs="Arial"/>
      <w:color w:val="000000"/>
      <w:sz w:val="18"/>
      <w:szCs w:val="18"/>
      <w:lang w:eastAsia="cs-CZ"/>
    </w:rPr>
  </w:style>
  <w:style w:type="character" w:customStyle="1" w:styleId="RozvrendokumentuChar">
    <w:name w:val="Rozvržení dokumentu Char"/>
    <w:rsid w:val="006E1FCB"/>
    <w:rPr>
      <w:rFonts w:ascii="Tahoma" w:hAnsi="Tahoma"/>
      <w:shd w:val="clear" w:color="auto" w:fill="000080"/>
      <w:lang w:val="cs-CZ" w:eastAsia="cs-CZ"/>
    </w:rPr>
  </w:style>
  <w:style w:type="paragraph" w:customStyle="1" w:styleId="odrky">
    <w:name w:val="odrážky"/>
    <w:basedOn w:val="Normln"/>
    <w:rsid w:val="006E1FCB"/>
    <w:pPr>
      <w:numPr>
        <w:numId w:val="65"/>
      </w:numPr>
      <w:spacing w:line="360" w:lineRule="auto"/>
    </w:pPr>
    <w:rPr>
      <w:rFonts w:ascii="Times New Roman" w:eastAsia="Times New Roman" w:hAnsi="Times New Roman" w:cs="Times New Roman"/>
      <w:sz w:val="24"/>
      <w:szCs w:val="24"/>
      <w:lang w:eastAsia="cs-CZ"/>
    </w:rPr>
  </w:style>
  <w:style w:type="paragraph" w:customStyle="1" w:styleId="StylZkladntextTun">
    <w:name w:val="Styl Základní text + Tučné"/>
    <w:basedOn w:val="Zkladntext"/>
    <w:link w:val="StylZkladntextTunChar"/>
    <w:autoRedefine/>
    <w:rsid w:val="006E1FCB"/>
    <w:pPr>
      <w:overflowPunct w:val="0"/>
      <w:autoSpaceDE w:val="0"/>
      <w:autoSpaceDN w:val="0"/>
      <w:adjustRightInd w:val="0"/>
      <w:spacing w:before="120"/>
      <w:jc w:val="both"/>
      <w:textAlignment w:val="baseline"/>
    </w:pPr>
    <w:rPr>
      <w:rFonts w:ascii="Times New Roman" w:hAnsi="Times New Roman"/>
      <w:b/>
      <w:bCs/>
      <w:snapToGrid/>
      <w:color w:val="000000"/>
      <w:sz w:val="20"/>
      <w:lang w:eastAsia="en-US"/>
    </w:rPr>
  </w:style>
  <w:style w:type="character" w:customStyle="1" w:styleId="StylZkladntextTunChar">
    <w:name w:val="Styl Základní text + Tučné Char"/>
    <w:link w:val="StylZkladntextTun"/>
    <w:locked/>
    <w:rsid w:val="006E1FCB"/>
    <w:rPr>
      <w:rFonts w:ascii="Times New Roman" w:eastAsia="Times New Roman" w:hAnsi="Times New Roman" w:cs="Times New Roman"/>
      <w:b/>
      <w:bCs/>
      <w:color w:val="000000"/>
      <w:sz w:val="20"/>
      <w:szCs w:val="20"/>
    </w:rPr>
  </w:style>
  <w:style w:type="character" w:customStyle="1" w:styleId="locality">
    <w:name w:val="locality"/>
    <w:rsid w:val="006E1FCB"/>
  </w:style>
  <w:style w:type="paragraph" w:customStyle="1" w:styleId="Odstavecseseznamem1">
    <w:name w:val="Odstavec se seznamem1"/>
    <w:basedOn w:val="Normln"/>
    <w:uiPriority w:val="34"/>
    <w:qFormat/>
    <w:rsid w:val="006E1FCB"/>
    <w:pPr>
      <w:overflowPunct w:val="0"/>
      <w:autoSpaceDE w:val="0"/>
      <w:autoSpaceDN w:val="0"/>
      <w:adjustRightInd w:val="0"/>
      <w:ind w:left="708"/>
      <w:textAlignment w:val="baseline"/>
    </w:pPr>
    <w:rPr>
      <w:rFonts w:ascii="Times New Roman" w:eastAsia="Times New Roman" w:hAnsi="Times New Roman" w:cs="Times New Roman"/>
      <w:sz w:val="20"/>
      <w:szCs w:val="20"/>
      <w:lang w:eastAsia="cs-CZ"/>
    </w:rPr>
  </w:style>
  <w:style w:type="paragraph" w:styleId="Seznamsodrkami3">
    <w:name w:val="List Bullet 3"/>
    <w:basedOn w:val="Normln"/>
    <w:uiPriority w:val="99"/>
    <w:unhideWhenUsed/>
    <w:rsid w:val="006E1FCB"/>
    <w:pPr>
      <w:numPr>
        <w:numId w:val="66"/>
      </w:numPr>
      <w:overflowPunct w:val="0"/>
      <w:autoSpaceDE w:val="0"/>
      <w:autoSpaceDN w:val="0"/>
      <w:adjustRightInd w:val="0"/>
      <w:contextualSpacing/>
      <w:textAlignment w:val="baseline"/>
    </w:pPr>
    <w:rPr>
      <w:rFonts w:ascii="Times New Roman" w:eastAsia="Times New Roman" w:hAnsi="Times New Roman" w:cs="Times New Roman"/>
      <w:sz w:val="20"/>
      <w:szCs w:val="20"/>
      <w:lang w:eastAsia="cs-CZ"/>
    </w:rPr>
  </w:style>
  <w:style w:type="paragraph" w:customStyle="1" w:styleId="Styl">
    <w:name w:val="Styl"/>
    <w:basedOn w:val="Normln"/>
    <w:uiPriority w:val="99"/>
    <w:rsid w:val="006E1FCB"/>
    <w:pPr>
      <w:spacing w:line="240" w:lineRule="exact"/>
    </w:pPr>
    <w:rPr>
      <w:rFonts w:ascii="Times New Roman Bold" w:eastAsia="Times New Roman" w:hAnsi="Times New Roman Bold" w:cs="Times New Roman"/>
      <w:b/>
      <w:sz w:val="26"/>
      <w:szCs w:val="26"/>
      <w:lang w:val="sk-SK" w:eastAsia="cs-CZ"/>
    </w:rPr>
  </w:style>
  <w:style w:type="paragraph" w:customStyle="1" w:styleId="row">
    <w:name w:val="row"/>
    <w:basedOn w:val="Normln"/>
    <w:rsid w:val="006E1FCB"/>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description">
    <w:name w:val="description"/>
    <w:basedOn w:val="Normln"/>
    <w:rsid w:val="006E1FCB"/>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BodyText32">
    <w:name w:val="Body Text 32"/>
    <w:basedOn w:val="Normln"/>
    <w:rsid w:val="006E1FCB"/>
    <w:pPr>
      <w:overflowPunct w:val="0"/>
      <w:autoSpaceDE w:val="0"/>
      <w:autoSpaceDN w:val="0"/>
      <w:adjustRightInd w:val="0"/>
      <w:spacing w:after="120"/>
      <w:textAlignment w:val="baseline"/>
    </w:pPr>
    <w:rPr>
      <w:rFonts w:ascii="Times New Roman" w:eastAsia="Times New Roman" w:hAnsi="Times New Roman" w:cs="Times New Roman"/>
      <w:sz w:val="20"/>
      <w:szCs w:val="20"/>
      <w:lang w:eastAsia="cs-CZ"/>
    </w:rPr>
  </w:style>
  <w:style w:type="paragraph" w:styleId="Rozloendokumentu">
    <w:name w:val="Document Map"/>
    <w:basedOn w:val="Normln"/>
    <w:link w:val="RozloendokumentuChar"/>
    <w:uiPriority w:val="99"/>
    <w:rsid w:val="006E1FCB"/>
    <w:pPr>
      <w:jc w:val="left"/>
    </w:pPr>
    <w:rPr>
      <w:rFonts w:ascii="Segoe UI" w:eastAsia="Times New Roman" w:hAnsi="Segoe UI" w:cs="Times New Roman"/>
      <w:sz w:val="16"/>
      <w:szCs w:val="16"/>
      <w:lang w:eastAsia="cs-CZ"/>
    </w:rPr>
  </w:style>
  <w:style w:type="character" w:customStyle="1" w:styleId="RozloendokumentuChar">
    <w:name w:val="Rozložení dokumentu Char"/>
    <w:basedOn w:val="Standardnpsmoodstavce"/>
    <w:link w:val="Rozloendokumentu"/>
    <w:uiPriority w:val="99"/>
    <w:rsid w:val="006E1FCB"/>
    <w:rPr>
      <w:rFonts w:ascii="Segoe UI" w:eastAsia="Times New Roman" w:hAnsi="Segoe UI" w:cs="Times New Roman"/>
      <w:sz w:val="16"/>
      <w:szCs w:val="16"/>
      <w:lang w:eastAsia="cs-CZ"/>
    </w:rPr>
  </w:style>
  <w:style w:type="paragraph" w:customStyle="1" w:styleId="Textodstavce">
    <w:name w:val="Text odstavce"/>
    <w:basedOn w:val="Normln"/>
    <w:uiPriority w:val="99"/>
    <w:rsid w:val="006E1FCB"/>
    <w:pPr>
      <w:numPr>
        <w:numId w:val="68"/>
      </w:numPr>
      <w:tabs>
        <w:tab w:val="left" w:pos="851"/>
      </w:tabs>
      <w:spacing w:after="120"/>
      <w:outlineLvl w:val="6"/>
    </w:pPr>
    <w:rPr>
      <w:rFonts w:ascii="Times New Roman" w:eastAsia="Times New Roman" w:hAnsi="Times New Roman" w:cs="Times New Roman"/>
      <w:sz w:val="24"/>
      <w:szCs w:val="20"/>
      <w:lang w:eastAsia="cs-CZ"/>
    </w:rPr>
  </w:style>
  <w:style w:type="paragraph" w:customStyle="1" w:styleId="Textbodu">
    <w:name w:val="Text bodu"/>
    <w:basedOn w:val="Normln"/>
    <w:uiPriority w:val="99"/>
    <w:rsid w:val="006E1FCB"/>
    <w:pPr>
      <w:numPr>
        <w:ilvl w:val="2"/>
        <w:numId w:val="68"/>
      </w:numPr>
      <w:outlineLvl w:val="8"/>
    </w:pPr>
    <w:rPr>
      <w:rFonts w:ascii="Times New Roman" w:eastAsia="Times New Roman" w:hAnsi="Times New Roman" w:cs="Times New Roman"/>
      <w:sz w:val="24"/>
      <w:szCs w:val="20"/>
      <w:lang w:eastAsia="cs-CZ"/>
    </w:rPr>
  </w:style>
  <w:style w:type="paragraph" w:customStyle="1" w:styleId="Textpsmene">
    <w:name w:val="Text písmene"/>
    <w:basedOn w:val="Normln"/>
    <w:uiPriority w:val="99"/>
    <w:rsid w:val="006E1FCB"/>
    <w:pPr>
      <w:numPr>
        <w:ilvl w:val="1"/>
        <w:numId w:val="68"/>
      </w:numPr>
      <w:outlineLvl w:val="7"/>
    </w:pPr>
    <w:rPr>
      <w:rFonts w:ascii="Times New Roman" w:eastAsia="Times New Roman" w:hAnsi="Times New Roman" w:cs="Times New Roman"/>
      <w:sz w:val="24"/>
      <w:szCs w:val="20"/>
      <w:lang w:eastAsia="cs-CZ"/>
    </w:rPr>
  </w:style>
  <w:style w:type="character" w:customStyle="1" w:styleId="TextbublinyChar1">
    <w:name w:val="Text bubliny Char1"/>
    <w:uiPriority w:val="99"/>
    <w:semiHidden/>
    <w:rsid w:val="006E1FCB"/>
    <w:rPr>
      <w:rFonts w:ascii="Segoe UI" w:hAnsi="Segoe UI"/>
      <w:sz w:val="18"/>
      <w:lang w:eastAsia="cs-CZ"/>
    </w:rPr>
  </w:style>
  <w:style w:type="paragraph" w:styleId="Textvbloku">
    <w:name w:val="Block Text"/>
    <w:basedOn w:val="Normln"/>
    <w:uiPriority w:val="99"/>
    <w:rsid w:val="006E1FCB"/>
    <w:pPr>
      <w:ind w:left="540" w:right="332"/>
    </w:pPr>
    <w:rPr>
      <w:rFonts w:ascii="Times New Roman" w:eastAsia="Times New Roman" w:hAnsi="Times New Roman" w:cs="Times New Roman"/>
      <w:sz w:val="24"/>
      <w:szCs w:val="24"/>
      <w:lang w:eastAsia="cs-CZ"/>
    </w:rPr>
  </w:style>
  <w:style w:type="numbering" w:customStyle="1" w:styleId="seznamliteratury">
    <w:name w:val="seznam literatury"/>
    <w:rsid w:val="006E1FCB"/>
    <w:pPr>
      <w:numPr>
        <w:numId w:val="67"/>
      </w:numPr>
    </w:pPr>
  </w:style>
  <w:style w:type="character" w:customStyle="1" w:styleId="foto-foto">
    <w:name w:val="foto-foto"/>
    <w:basedOn w:val="Standardnpsmoodstavce"/>
    <w:rsid w:val="006E1FCB"/>
  </w:style>
  <w:style w:type="paragraph" w:styleId="Vrazncitt">
    <w:name w:val="Intense Quote"/>
    <w:basedOn w:val="Normln"/>
    <w:next w:val="Normln"/>
    <w:link w:val="VrazncittChar"/>
    <w:uiPriority w:val="30"/>
    <w:qFormat/>
    <w:rsid w:val="006E1FCB"/>
    <w:pPr>
      <w:pBdr>
        <w:top w:val="single" w:sz="4" w:space="10" w:color="5B9BD5" w:themeColor="accent1"/>
        <w:bottom w:val="single" w:sz="4" w:space="10" w:color="5B9BD5" w:themeColor="accent1"/>
      </w:pBdr>
      <w:spacing w:before="360" w:after="360"/>
      <w:ind w:left="864" w:right="864"/>
      <w:jc w:val="center"/>
    </w:pPr>
    <w:rPr>
      <w:i/>
      <w:iCs/>
      <w:color w:val="5B9BD5" w:themeColor="accent1"/>
      <w:szCs w:val="24"/>
      <w:lang w:eastAsia="cs-CZ"/>
    </w:rPr>
  </w:style>
  <w:style w:type="character" w:customStyle="1" w:styleId="VrazncittChar">
    <w:name w:val="Výrazný citát Char"/>
    <w:basedOn w:val="Standardnpsmoodstavce"/>
    <w:link w:val="Vrazncitt"/>
    <w:uiPriority w:val="30"/>
    <w:rsid w:val="006E1FCB"/>
    <w:rPr>
      <w:i/>
      <w:iCs/>
      <w:color w:val="5B9BD5" w:themeColor="accent1"/>
      <w:szCs w:val="24"/>
      <w:lang w:eastAsia="cs-CZ"/>
    </w:rPr>
  </w:style>
  <w:style w:type="table" w:customStyle="1" w:styleId="Tabulkasmkou4zvraznn31">
    <w:name w:val="Tabulka s mřížkou 4 – zvýraznění 31"/>
    <w:basedOn w:val="Normlntabulka"/>
    <w:uiPriority w:val="49"/>
    <w:rsid w:val="006E1FC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ertex">
    <w:name w:val="pertex"/>
    <w:basedOn w:val="Normln"/>
    <w:rsid w:val="006E1FCB"/>
    <w:pPr>
      <w:spacing w:before="100" w:beforeAutospacing="1" w:after="100" w:afterAutospacing="1"/>
      <w:jc w:val="left"/>
    </w:pPr>
    <w:rPr>
      <w:rFonts w:ascii="Times New Roman" w:eastAsia="Times New Roman" w:hAnsi="Times New Roman" w:cs="Times New Roman"/>
      <w:sz w:val="24"/>
      <w:szCs w:val="24"/>
      <w:lang w:eastAsia="cs-CZ"/>
    </w:rPr>
  </w:style>
  <w:style w:type="paragraph" w:customStyle="1" w:styleId="autor">
    <w:name w:val="autor"/>
    <w:basedOn w:val="Normln"/>
    <w:rsid w:val="006E1FCB"/>
    <w:pPr>
      <w:spacing w:before="100" w:beforeAutospacing="1" w:after="100" w:afterAutospacing="1"/>
      <w:jc w:val="left"/>
    </w:pPr>
    <w:rPr>
      <w:rFonts w:ascii="Times New Roman" w:eastAsia="Times New Roman" w:hAnsi="Times New Roman" w:cs="Times New Roman"/>
      <w:sz w:val="24"/>
      <w:szCs w:val="24"/>
      <w:lang w:eastAsia="cs-CZ"/>
    </w:rPr>
  </w:style>
  <w:style w:type="paragraph" w:customStyle="1" w:styleId="right">
    <w:name w:val="right"/>
    <w:basedOn w:val="Normln"/>
    <w:rsid w:val="006E1FCB"/>
    <w:pPr>
      <w:spacing w:before="100" w:beforeAutospacing="1" w:after="100" w:afterAutospacing="1"/>
      <w:jc w:val="left"/>
    </w:pPr>
    <w:rPr>
      <w:rFonts w:ascii="Times New Roman" w:eastAsia="Times New Roman" w:hAnsi="Times New Roman" w:cs="Times New Roman"/>
      <w:sz w:val="24"/>
      <w:szCs w:val="24"/>
      <w:lang w:eastAsia="cs-CZ"/>
    </w:rPr>
  </w:style>
  <w:style w:type="paragraph" w:customStyle="1" w:styleId="radek">
    <w:name w:val="radek"/>
    <w:basedOn w:val="Normln"/>
    <w:rsid w:val="006E1FCB"/>
    <w:pPr>
      <w:spacing w:before="100" w:beforeAutospacing="1" w:after="100" w:afterAutospacing="1"/>
      <w:jc w:val="left"/>
    </w:pPr>
    <w:rPr>
      <w:rFonts w:ascii="Times New Roman" w:eastAsia="Times New Roman" w:hAnsi="Times New Roman" w:cs="Times New Roman"/>
      <w:sz w:val="24"/>
      <w:szCs w:val="24"/>
      <w:lang w:eastAsia="cs-CZ"/>
    </w:rPr>
  </w:style>
  <w:style w:type="character" w:customStyle="1" w:styleId="text1">
    <w:name w:val="text1"/>
    <w:basedOn w:val="Standardnpsmoodstavce"/>
    <w:rsid w:val="006E1FCB"/>
  </w:style>
  <w:style w:type="paragraph" w:customStyle="1" w:styleId="LK">
    <w:name w:val="LK"/>
    <w:basedOn w:val="Normln"/>
    <w:link w:val="LKChar"/>
    <w:qFormat/>
    <w:rsid w:val="006E1FCB"/>
    <w:pPr>
      <w:spacing w:after="200" w:line="276" w:lineRule="auto"/>
    </w:pPr>
    <w:rPr>
      <w:rFonts w:ascii="Cronos Pro" w:eastAsia="Calibri" w:hAnsi="Cronos Pro" w:cs="Times New Roman"/>
      <w:color w:val="404040"/>
      <w:sz w:val="19"/>
      <w:szCs w:val="20"/>
      <w:lang w:eastAsia="cs-CZ"/>
    </w:rPr>
  </w:style>
  <w:style w:type="character" w:customStyle="1" w:styleId="LKChar">
    <w:name w:val="LK Char"/>
    <w:link w:val="LK"/>
    <w:rsid w:val="006E1FCB"/>
    <w:rPr>
      <w:rFonts w:ascii="Cronos Pro" w:eastAsia="Calibri" w:hAnsi="Cronos Pro" w:cs="Times New Roman"/>
      <w:color w:val="404040"/>
      <w:sz w:val="19"/>
      <w:szCs w:val="20"/>
      <w:lang w:eastAsia="cs-CZ"/>
    </w:rPr>
  </w:style>
  <w:style w:type="character" w:customStyle="1" w:styleId="h3rok2">
    <w:name w:val="h3_rok2"/>
    <w:basedOn w:val="Standardnpsmoodstavce"/>
    <w:rsid w:val="006E1FCB"/>
    <w:rPr>
      <w:rFonts w:ascii="Tahoma" w:hAnsi="Tahoma" w:cs="Tahoma" w:hint="default"/>
      <w:sz w:val="13"/>
      <w:szCs w:val="13"/>
    </w:rPr>
  </w:style>
  <w:style w:type="paragraph" w:customStyle="1" w:styleId="Styl1">
    <w:name w:val="Styl1"/>
    <w:basedOn w:val="Normln"/>
    <w:qFormat/>
    <w:rsid w:val="006E1FCB"/>
    <w:rPr>
      <w:rFonts w:ascii="Arial" w:eastAsia="Constantia" w:hAnsi="Arial" w:cs="Times New Roman"/>
      <w:b/>
      <w:sz w:val="20"/>
      <w:szCs w:val="24"/>
      <w:lang w:eastAsia="cs-CZ"/>
    </w:rPr>
  </w:style>
  <w:style w:type="table" w:customStyle="1" w:styleId="Mkatabulky3">
    <w:name w:val="Mřížka tabulky3"/>
    <w:basedOn w:val="Normlntabulka"/>
    <w:next w:val="Mkatabulky"/>
    <w:rsid w:val="006E1FCB"/>
    <w:pPr>
      <w:spacing w:after="0" w:line="240" w:lineRule="auto"/>
    </w:pPr>
    <w:rPr>
      <w:rFonts w:ascii="Calibri" w:eastAsia="Times New Roman"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4">
    <w:name w:val="Mřížka tabulky4"/>
    <w:basedOn w:val="Normlntabulka"/>
    <w:next w:val="Mkatabulky"/>
    <w:rsid w:val="006E1FCB"/>
    <w:pPr>
      <w:spacing w:after="0" w:line="240" w:lineRule="auto"/>
    </w:pPr>
    <w:rPr>
      <w:rFonts w:ascii="Calibri" w:eastAsia="Times New Roman"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1">
    <w:name w:val="Mřížka tabulky21"/>
    <w:basedOn w:val="Normlntabulka"/>
    <w:next w:val="Mkatabulky"/>
    <w:uiPriority w:val="39"/>
    <w:rsid w:val="006E1FCB"/>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eznamu1">
    <w:name w:val="Bez seznamu1"/>
    <w:next w:val="Bezseznamu"/>
    <w:uiPriority w:val="99"/>
    <w:semiHidden/>
    <w:unhideWhenUsed/>
    <w:rsid w:val="006E1FCB"/>
  </w:style>
  <w:style w:type="table" w:customStyle="1" w:styleId="Mkatabulky5">
    <w:name w:val="Mřížka tabulky5"/>
    <w:basedOn w:val="Normlntabulka"/>
    <w:next w:val="Mkatabulky"/>
    <w:rsid w:val="006E1FCB"/>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kna">
    <w:name w:val="okna"/>
    <w:basedOn w:val="Normln"/>
    <w:next w:val="Normln"/>
    <w:rsid w:val="006E1FCB"/>
    <w:pPr>
      <w:widowControl w:val="0"/>
      <w:suppressAutoHyphens/>
      <w:overflowPunct w:val="0"/>
      <w:autoSpaceDE w:val="0"/>
      <w:spacing w:after="120"/>
      <w:textAlignment w:val="baseline"/>
    </w:pPr>
    <w:rPr>
      <w:rFonts w:ascii="Times New Roman" w:eastAsia="Times New Roman" w:hAnsi="Times New Roman" w:cs="Times New Roman"/>
      <w:sz w:val="24"/>
      <w:szCs w:val="20"/>
      <w:lang w:eastAsia="ar-SA"/>
    </w:rPr>
  </w:style>
  <w:style w:type="character" w:customStyle="1" w:styleId="Nevyeenzmnka1">
    <w:name w:val="Nevyřešená zmínka1"/>
    <w:basedOn w:val="Standardnpsmoodstavce"/>
    <w:uiPriority w:val="99"/>
    <w:semiHidden/>
    <w:unhideWhenUsed/>
    <w:rsid w:val="006E1FCB"/>
    <w:rPr>
      <w:color w:val="808080"/>
      <w:shd w:val="clear" w:color="auto" w:fill="E6E6E6"/>
    </w:rPr>
  </w:style>
  <w:style w:type="paragraph" w:customStyle="1" w:styleId="BDONADPIS1">
    <w:name w:val="BDO_NADPIS_1"/>
    <w:basedOn w:val="Nadpis1"/>
    <w:next w:val="Normln"/>
    <w:rsid w:val="006E1FCB"/>
    <w:pPr>
      <w:keepNext w:val="0"/>
      <w:keepLines w:val="0"/>
      <w:numPr>
        <w:numId w:val="0"/>
      </w:numPr>
      <w:tabs>
        <w:tab w:val="num" w:pos="360"/>
      </w:tabs>
      <w:spacing w:before="480"/>
    </w:pPr>
    <w:rPr>
      <w:rFonts w:ascii="Trebuchet MS" w:eastAsia="Times New Roman" w:hAnsi="Trebuchet MS" w:cs="Times New Roman"/>
      <w:caps/>
      <w:noProof/>
      <w:color w:val="ED1A3B"/>
      <w:sz w:val="22"/>
      <w:szCs w:val="20"/>
      <w:lang w:eastAsia="cs-CZ"/>
    </w:rPr>
  </w:style>
  <w:style w:type="paragraph" w:customStyle="1" w:styleId="BDONADPIS2">
    <w:name w:val="BDO_NADPIS_2"/>
    <w:basedOn w:val="Nadpis2"/>
    <w:next w:val="Normln"/>
    <w:rsid w:val="006E1FCB"/>
    <w:pPr>
      <w:numPr>
        <w:ilvl w:val="0"/>
        <w:numId w:val="0"/>
      </w:numPr>
      <w:tabs>
        <w:tab w:val="num" w:pos="360"/>
      </w:tabs>
      <w:spacing w:before="360" w:line="240" w:lineRule="auto"/>
      <w:contextualSpacing/>
      <w:jc w:val="both"/>
    </w:pPr>
    <w:rPr>
      <w:rFonts w:ascii="Trebuchet MS" w:eastAsia="Times New Roman" w:hAnsi="Trebuchet MS" w:cs="Times New Roman"/>
      <w:bCs/>
      <w:noProof/>
      <w:color w:val="auto"/>
      <w:sz w:val="22"/>
      <w:szCs w:val="22"/>
      <w:lang w:eastAsia="cs-CZ"/>
    </w:rPr>
  </w:style>
  <w:style w:type="paragraph" w:customStyle="1" w:styleId="BDONADPIS3">
    <w:name w:val="BDO_NADPIS_3"/>
    <w:basedOn w:val="Normln"/>
    <w:next w:val="Normln"/>
    <w:rsid w:val="006E1FCB"/>
    <w:pPr>
      <w:spacing w:before="240" w:after="120"/>
      <w:ind w:left="397" w:hanging="40"/>
      <w:contextualSpacing/>
      <w:jc w:val="left"/>
      <w:outlineLvl w:val="2"/>
    </w:pPr>
    <w:rPr>
      <w:rFonts w:ascii="Trebuchet MS" w:eastAsia="Times New Roman" w:hAnsi="Trebuchet MS" w:cs="Times New Roman"/>
      <w:b/>
      <w:i/>
      <w:szCs w:val="20"/>
      <w:lang w:eastAsia="cs-CZ"/>
    </w:rPr>
  </w:style>
  <w:style w:type="table" w:customStyle="1" w:styleId="TableGrid">
    <w:name w:val="TableGrid"/>
    <w:rsid w:val="006E1FCB"/>
    <w:pPr>
      <w:spacing w:after="0" w:line="240" w:lineRule="auto"/>
    </w:pPr>
    <w:rPr>
      <w:rFonts w:eastAsiaTheme="minorEastAsia"/>
      <w:lang w:eastAsia="cs-CZ"/>
    </w:rPr>
    <w:tblPr>
      <w:tblCellMar>
        <w:top w:w="0" w:type="dxa"/>
        <w:left w:w="0" w:type="dxa"/>
        <w:bottom w:w="0" w:type="dxa"/>
        <w:right w:w="0" w:type="dxa"/>
      </w:tblCellMar>
    </w:tblPr>
  </w:style>
  <w:style w:type="paragraph" w:customStyle="1" w:styleId="Zdroj1">
    <w:name w:val="Zdroj1"/>
    <w:basedOn w:val="Normln"/>
    <w:link w:val="Zdroj1Char"/>
    <w:rsid w:val="006E1FCB"/>
    <w:pPr>
      <w:spacing w:before="0" w:after="160"/>
    </w:pPr>
    <w:rPr>
      <w:rFonts w:ascii="Segoe UI" w:eastAsia="Times New Roman" w:hAnsi="Segoe UI" w:cs="Times New Roman"/>
      <w:i/>
      <w:sz w:val="16"/>
      <w:szCs w:val="16"/>
      <w:lang w:eastAsia="cs-CZ"/>
    </w:rPr>
  </w:style>
  <w:style w:type="character" w:customStyle="1" w:styleId="Zdroj1Char">
    <w:name w:val="Zdroj1 Char"/>
    <w:basedOn w:val="Standardnpsmoodstavce"/>
    <w:link w:val="Zdroj1"/>
    <w:rsid w:val="006E1FCB"/>
    <w:rPr>
      <w:rFonts w:ascii="Segoe UI" w:eastAsia="Times New Roman" w:hAnsi="Segoe UI" w:cs="Times New Roman"/>
      <w:i/>
      <w:sz w:val="16"/>
      <w:szCs w:val="16"/>
      <w:lang w:eastAsia="cs-CZ"/>
    </w:rPr>
  </w:style>
  <w:style w:type="paragraph" w:customStyle="1" w:styleId="Table">
    <w:name w:val="Table"/>
    <w:basedOn w:val="Normln"/>
    <w:autoRedefine/>
    <w:uiPriority w:val="99"/>
    <w:qFormat/>
    <w:rsid w:val="006E1FCB"/>
    <w:pPr>
      <w:keepNext/>
      <w:spacing w:before="0" w:line="276" w:lineRule="auto"/>
      <w:jc w:val="left"/>
    </w:pPr>
    <w:rPr>
      <w:rFonts w:eastAsia="Calibri" w:cs="Arial"/>
      <w:sz w:val="20"/>
      <w:szCs w:val="20"/>
      <w:lang w:eastAsia="cs-CZ"/>
    </w:rPr>
  </w:style>
  <w:style w:type="paragraph" w:customStyle="1" w:styleId="Poznmkapodarou">
    <w:name w:val="Poznámka pod čarou"/>
    <w:basedOn w:val="Zdroj"/>
    <w:link w:val="PoznmkapodarouChar"/>
    <w:qFormat/>
    <w:rsid w:val="006E1FCB"/>
    <w:pPr>
      <w:tabs>
        <w:tab w:val="left" w:pos="567"/>
      </w:tabs>
      <w:spacing w:before="0" w:after="0"/>
      <w:ind w:left="567" w:hanging="567"/>
    </w:pPr>
    <w:rPr>
      <w:rFonts w:ascii="Segoe UI" w:hAnsi="Segoe UI" w:cs="Arial"/>
      <w:bCs/>
      <w:i w:val="0"/>
      <w:iCs/>
      <w:szCs w:val="16"/>
    </w:rPr>
  </w:style>
  <w:style w:type="character" w:customStyle="1" w:styleId="PoznmkapodarouChar">
    <w:name w:val="Poznámka pod čarou Char"/>
    <w:basedOn w:val="ZdrojChar"/>
    <w:link w:val="Poznmkapodarou"/>
    <w:rsid w:val="006E1FCB"/>
    <w:rPr>
      <w:rFonts w:ascii="Segoe UI" w:eastAsia="Times New Roman" w:hAnsi="Segoe UI" w:cs="Arial"/>
      <w:bCs/>
      <w:i w:val="0"/>
      <w:iCs/>
      <w:sz w:val="18"/>
      <w:szCs w:val="16"/>
      <w:lang w:eastAsia="cs-CZ"/>
    </w:rPr>
  </w:style>
  <w:style w:type="character" w:customStyle="1" w:styleId="odkaz-style-wrapper">
    <w:name w:val="odkaz-style-wrapper"/>
    <w:basedOn w:val="Standardnpsmoodstavce"/>
    <w:rsid w:val="006E1FCB"/>
  </w:style>
  <w:style w:type="paragraph" w:customStyle="1" w:styleId="1text">
    <w:name w:val="1 text"/>
    <w:qFormat/>
    <w:rsid w:val="006E1FCB"/>
    <w:pPr>
      <w:jc w:val="both"/>
    </w:pPr>
    <w:rPr>
      <w:rFonts w:ascii="Segoe UI" w:eastAsia="Times New Roman" w:hAnsi="Segoe UI" w:cs="Times New Roman"/>
      <w:sz w:val="20"/>
    </w:rPr>
  </w:style>
  <w:style w:type="paragraph" w:customStyle="1" w:styleId="article-perex">
    <w:name w:val="article-perex"/>
    <w:basedOn w:val="Normln"/>
    <w:rsid w:val="006E1FCB"/>
    <w:pPr>
      <w:spacing w:before="100" w:beforeAutospacing="1" w:after="100" w:afterAutospacing="1"/>
      <w:jc w:val="left"/>
    </w:pPr>
    <w:rPr>
      <w:rFonts w:ascii="Times New Roman" w:eastAsia="Times New Roman" w:hAnsi="Times New Roman" w:cs="Times New Roman"/>
      <w:sz w:val="24"/>
      <w:szCs w:val="24"/>
      <w:lang w:eastAsia="cs-CZ"/>
    </w:rPr>
  </w:style>
  <w:style w:type="character" w:styleId="Nzevknihy">
    <w:name w:val="Book Title"/>
    <w:basedOn w:val="Standardnpsmoodstavce"/>
    <w:uiPriority w:val="33"/>
    <w:qFormat/>
    <w:rsid w:val="006E1FCB"/>
    <w:rPr>
      <w:b/>
      <w:bCs/>
      <w:smallCaps/>
      <w:spacing w:val="5"/>
    </w:rPr>
  </w:style>
  <w:style w:type="paragraph" w:styleId="Zkladntextodsazen3">
    <w:name w:val="Body Text Indent 3"/>
    <w:basedOn w:val="Normln"/>
    <w:link w:val="Zkladntextodsazen3Char"/>
    <w:uiPriority w:val="99"/>
    <w:semiHidden/>
    <w:unhideWhenUsed/>
    <w:rsid w:val="006E1FCB"/>
    <w:pPr>
      <w:spacing w:after="120"/>
      <w:ind w:left="283"/>
    </w:pPr>
    <w:rPr>
      <w:rFonts w:ascii="Segoe UI" w:eastAsia="Times New Roman" w:hAnsi="Segoe UI" w:cs="Times New Roman"/>
      <w:sz w:val="16"/>
      <w:szCs w:val="16"/>
      <w:lang w:eastAsia="cs-CZ"/>
    </w:rPr>
  </w:style>
  <w:style w:type="character" w:customStyle="1" w:styleId="Zkladntextodsazen3Char">
    <w:name w:val="Základní text odsazený 3 Char"/>
    <w:basedOn w:val="Standardnpsmoodstavce"/>
    <w:link w:val="Zkladntextodsazen3"/>
    <w:uiPriority w:val="99"/>
    <w:semiHidden/>
    <w:rsid w:val="006E1FCB"/>
    <w:rPr>
      <w:rFonts w:ascii="Segoe UI" w:eastAsia="Times New Roman" w:hAnsi="Segoe UI" w:cs="Times New Roman"/>
      <w:sz w:val="16"/>
      <w:szCs w:val="16"/>
      <w:lang w:eastAsia="cs-CZ"/>
    </w:rPr>
  </w:style>
  <w:style w:type="paragraph" w:customStyle="1" w:styleId="Styl2">
    <w:name w:val="Styl2"/>
    <w:basedOn w:val="Bezmezer"/>
    <w:qFormat/>
    <w:locked/>
    <w:rsid w:val="006E1FCB"/>
    <w:pPr>
      <w:spacing w:before="120" w:after="120" w:line="276" w:lineRule="auto"/>
      <w:ind w:left="851" w:hanging="851"/>
    </w:pPr>
    <w:rPr>
      <w:rFonts w:ascii="Arial" w:eastAsia="Calibri" w:hAnsi="Arial" w:cs="Arial"/>
      <w:lang w:eastAsia="cs-CZ"/>
    </w:rPr>
  </w:style>
  <w:style w:type="paragraph" w:customStyle="1" w:styleId="Psmena">
    <w:name w:val="Písmena"/>
    <w:link w:val="PsmenaChar"/>
    <w:qFormat/>
    <w:locked/>
    <w:rsid w:val="006E1FCB"/>
    <w:pPr>
      <w:spacing w:after="0" w:line="276" w:lineRule="auto"/>
      <w:ind w:left="851" w:hanging="284"/>
      <w:jc w:val="both"/>
    </w:pPr>
    <w:rPr>
      <w:rFonts w:ascii="Arial" w:eastAsiaTheme="majorEastAsia" w:hAnsi="Arial" w:cs="Arial"/>
      <w:bCs/>
    </w:rPr>
  </w:style>
  <w:style w:type="character" w:customStyle="1" w:styleId="PsmenaChar">
    <w:name w:val="Písmena Char"/>
    <w:basedOn w:val="Standardnpsmoodstavce"/>
    <w:link w:val="Psmena"/>
    <w:rsid w:val="006E1FCB"/>
    <w:rPr>
      <w:rFonts w:ascii="Arial" w:eastAsiaTheme="majorEastAsia" w:hAnsi="Arial" w:cs="Arial"/>
      <w:bCs/>
    </w:rPr>
  </w:style>
  <w:style w:type="paragraph" w:customStyle="1" w:styleId="rovezanadpis">
    <w:name w:val="Úroveň za nadpis"/>
    <w:basedOn w:val="Normln"/>
    <w:link w:val="rovezanadpisChar"/>
    <w:qFormat/>
    <w:locked/>
    <w:rsid w:val="006E1FCB"/>
    <w:pPr>
      <w:tabs>
        <w:tab w:val="left" w:pos="1021"/>
      </w:tabs>
      <w:spacing w:before="60" w:after="60" w:line="276" w:lineRule="auto"/>
      <w:ind w:left="851" w:hanging="851"/>
    </w:pPr>
    <w:rPr>
      <w:rFonts w:ascii="Arial" w:eastAsia="Times New Roman" w:hAnsi="Arial" w:cs="Arial"/>
      <w:color w:val="000000" w:themeColor="text1"/>
      <w:lang w:eastAsia="cs-CZ"/>
    </w:rPr>
  </w:style>
  <w:style w:type="character" w:customStyle="1" w:styleId="rovezanadpisChar">
    <w:name w:val="Úroveň za nadpis Char"/>
    <w:basedOn w:val="Standardnpsmoodstavce"/>
    <w:link w:val="rovezanadpis"/>
    <w:rsid w:val="006E1FCB"/>
    <w:rPr>
      <w:rFonts w:ascii="Arial" w:eastAsia="Times New Roman" w:hAnsi="Arial" w:cs="Arial"/>
      <w:color w:val="000000" w:themeColor="text1"/>
      <w:lang w:eastAsia="cs-CZ"/>
    </w:rPr>
  </w:style>
  <w:style w:type="character" w:customStyle="1" w:styleId="textfont">
    <w:name w:val="textfont"/>
    <w:basedOn w:val="Standardnpsmoodstavce"/>
    <w:qFormat/>
    <w:rsid w:val="006E1FCB"/>
  </w:style>
  <w:style w:type="paragraph" w:customStyle="1" w:styleId="Standard">
    <w:name w:val="Standard"/>
    <w:rsid w:val="006E1FCB"/>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customStyle="1" w:styleId="Heading">
    <w:name w:val="Heading"/>
    <w:basedOn w:val="Standard"/>
    <w:next w:val="Textbody"/>
    <w:rsid w:val="006E1FCB"/>
    <w:pPr>
      <w:keepNext/>
      <w:spacing w:before="240" w:after="120"/>
    </w:pPr>
    <w:rPr>
      <w:rFonts w:ascii="Arial" w:eastAsia="Microsoft YaHei" w:hAnsi="Arial"/>
      <w:sz w:val="28"/>
      <w:szCs w:val="28"/>
    </w:rPr>
  </w:style>
  <w:style w:type="paragraph" w:customStyle="1" w:styleId="Textbody">
    <w:name w:val="Text body"/>
    <w:basedOn w:val="Standard"/>
    <w:rsid w:val="006E1FCB"/>
    <w:pPr>
      <w:spacing w:after="120"/>
    </w:pPr>
  </w:style>
  <w:style w:type="paragraph" w:customStyle="1" w:styleId="Index">
    <w:name w:val="Index"/>
    <w:basedOn w:val="Standard"/>
    <w:rsid w:val="006E1FCB"/>
    <w:pPr>
      <w:suppressLineNumbers/>
    </w:pPr>
  </w:style>
  <w:style w:type="paragraph" w:customStyle="1" w:styleId="TableContents">
    <w:name w:val="Table Contents"/>
    <w:basedOn w:val="Standard"/>
    <w:rsid w:val="006E1FCB"/>
    <w:pPr>
      <w:suppressLineNumbers/>
    </w:pPr>
  </w:style>
  <w:style w:type="character" w:customStyle="1" w:styleId="WW8Num3z0">
    <w:name w:val="WW8Num3z0"/>
    <w:rsid w:val="006E1FCB"/>
    <w:rPr>
      <w:rFonts w:cs="Arial"/>
    </w:rPr>
  </w:style>
  <w:style w:type="numbering" w:customStyle="1" w:styleId="WW8Num3">
    <w:name w:val="WW8Num3"/>
    <w:basedOn w:val="Bezseznamu"/>
    <w:rsid w:val="006E1FCB"/>
    <w:pPr>
      <w:numPr>
        <w:numId w:val="71"/>
      </w:numPr>
    </w:pPr>
  </w:style>
  <w:style w:type="character" w:customStyle="1" w:styleId="author2">
    <w:name w:val="author2"/>
    <w:basedOn w:val="Standardnpsmoodstavce"/>
    <w:uiPriority w:val="99"/>
    <w:rsid w:val="006E1FCB"/>
  </w:style>
  <w:style w:type="character" w:customStyle="1" w:styleId="Nevyeenzmnka2">
    <w:name w:val="Nevyřešená zmínka2"/>
    <w:basedOn w:val="Standardnpsmoodstavce"/>
    <w:uiPriority w:val="99"/>
    <w:semiHidden/>
    <w:unhideWhenUsed/>
    <w:rsid w:val="006E1FCB"/>
    <w:rPr>
      <w:color w:val="808080"/>
      <w:shd w:val="clear" w:color="auto" w:fill="E6E6E6"/>
    </w:rPr>
  </w:style>
  <w:style w:type="table" w:customStyle="1" w:styleId="Prosttabulka41">
    <w:name w:val="Prostá tabulka 41"/>
    <w:basedOn w:val="Normlntabulka"/>
    <w:uiPriority w:val="44"/>
    <w:rsid w:val="006E1FCB"/>
    <w:pPr>
      <w:spacing w:after="0" w:line="240" w:lineRule="auto"/>
    </w:pPr>
    <w:rPr>
      <w:rFonts w:eastAsia="Times New Roman" w:cstheme="minorHAns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rosttabulka11">
    <w:name w:val="Prostá tabulka 11"/>
    <w:basedOn w:val="Normlntabulka"/>
    <w:uiPriority w:val="41"/>
    <w:rsid w:val="006E1FCB"/>
    <w:pPr>
      <w:spacing w:after="0" w:line="240" w:lineRule="auto"/>
    </w:pPr>
    <w:rPr>
      <w:rFonts w:eastAsia="Times New Roman" w:cstheme="minorHAns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odrazky">
    <w:name w:val="odrazky"/>
    <w:basedOn w:val="Odstavecseseznamem"/>
    <w:link w:val="odrazkyChar"/>
    <w:qFormat/>
    <w:rsid w:val="006E1FCB"/>
    <w:pPr>
      <w:numPr>
        <w:numId w:val="69"/>
      </w:numPr>
      <w:suppressAutoHyphens/>
    </w:pPr>
    <w:rPr>
      <w:rFonts w:ascii="Segoe UI" w:eastAsia="Times New Roman" w:hAnsi="Segoe UI" w:cs="Times New Roman"/>
      <w:sz w:val="20"/>
      <w:szCs w:val="24"/>
      <w:lang w:eastAsia="cs-CZ"/>
    </w:rPr>
  </w:style>
  <w:style w:type="character" w:customStyle="1" w:styleId="odrazkyChar">
    <w:name w:val="odrazky Char"/>
    <w:basedOn w:val="OdstavecseseznamemChar"/>
    <w:link w:val="odrazky"/>
    <w:rsid w:val="006E1FCB"/>
    <w:rPr>
      <w:rFonts w:ascii="Segoe UI" w:eastAsia="Times New Roman" w:hAnsi="Segoe UI" w:cs="Times New Roman"/>
      <w:sz w:val="20"/>
      <w:szCs w:val="24"/>
      <w:lang w:eastAsia="cs-CZ"/>
    </w:rPr>
  </w:style>
  <w:style w:type="paragraph" w:customStyle="1" w:styleId="Hlavnzjitn">
    <w:name w:val="Hlavní zjištění"/>
    <w:basedOn w:val="Odstavecseseznamem"/>
    <w:link w:val="HlavnzjitnChar"/>
    <w:qFormat/>
    <w:rsid w:val="006E1FCB"/>
    <w:pPr>
      <w:keepNext/>
      <w:numPr>
        <w:numId w:val="70"/>
      </w:numPr>
      <w:pBdr>
        <w:top w:val="single" w:sz="4" w:space="1" w:color="auto"/>
        <w:left w:val="single" w:sz="4" w:space="3" w:color="auto"/>
        <w:bottom w:val="single" w:sz="4" w:space="1" w:color="auto"/>
        <w:right w:val="single" w:sz="4" w:space="4" w:color="auto"/>
      </w:pBdr>
      <w:shd w:val="clear" w:color="auto" w:fill="D5DCE4" w:themeFill="text2" w:themeFillTint="33"/>
      <w:autoSpaceDE w:val="0"/>
      <w:autoSpaceDN w:val="0"/>
      <w:adjustRightInd w:val="0"/>
      <w:spacing w:before="0"/>
      <w:ind w:left="567" w:hanging="567"/>
      <w:contextualSpacing w:val="0"/>
    </w:pPr>
    <w:rPr>
      <w:rFonts w:ascii="Segoe UI" w:eastAsia="Times New Roman" w:hAnsi="Segoe UI" w:cs="Times New Roman"/>
      <w:i/>
      <w:sz w:val="20"/>
      <w:szCs w:val="24"/>
      <w:lang w:eastAsia="cs-CZ"/>
    </w:rPr>
  </w:style>
  <w:style w:type="character" w:customStyle="1" w:styleId="HlavnzjitnChar">
    <w:name w:val="Hlavní zjištění Char"/>
    <w:basedOn w:val="OdstavecseseznamemChar"/>
    <w:link w:val="Hlavnzjitn"/>
    <w:rsid w:val="006E1FCB"/>
    <w:rPr>
      <w:rFonts w:ascii="Segoe UI" w:eastAsia="Times New Roman" w:hAnsi="Segoe UI" w:cs="Times New Roman"/>
      <w:i/>
      <w:sz w:val="20"/>
      <w:szCs w:val="24"/>
      <w:shd w:val="clear" w:color="auto" w:fill="D5DCE4" w:themeFill="text2" w:themeFillTint="33"/>
      <w:lang w:eastAsia="cs-CZ"/>
    </w:rPr>
  </w:style>
  <w:style w:type="table" w:customStyle="1" w:styleId="Barevntabulkasmkou6zvraznn61">
    <w:name w:val="Barevná tabulka s mřížkou 6 – zvýraznění 61"/>
    <w:basedOn w:val="Normlntabulka"/>
    <w:uiPriority w:val="51"/>
    <w:rsid w:val="006E1FCB"/>
    <w:pPr>
      <w:keepNext/>
      <w:keepLines/>
      <w:spacing w:after="0" w:line="240" w:lineRule="auto"/>
    </w:pPr>
    <w:rPr>
      <w:sz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4"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rosttabulka1">
    <w:name w:val="Plain Table 1"/>
    <w:basedOn w:val="Normlntabulka"/>
    <w:uiPriority w:val="41"/>
    <w:rsid w:val="006E1FC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ylishCar">
    <w:name w:val="stylish Car"/>
    <w:aliases w:val="Footnote Refernece Car,BVI fnr Car,Fußnotenzeichen_Raxen Car,callout Car,Footnote Reference Number Car,Footnote Reference Superscript Car,Footnote symbol Car,Footnote reference number Car,Footnotemark Car,FR Car,FR1 C"/>
    <w:basedOn w:val="Normln"/>
    <w:link w:val="Znakapoznpodarou"/>
    <w:uiPriority w:val="99"/>
    <w:rsid w:val="001A1C4D"/>
    <w:pPr>
      <w:spacing w:before="0" w:after="160" w:line="240" w:lineRule="exact"/>
    </w:pPr>
    <w:rPr>
      <w:vertAlign w:val="superscript"/>
    </w:rPr>
  </w:style>
  <w:style w:type="character" w:styleId="AkronymHTML">
    <w:name w:val="HTML Acronym"/>
    <w:basedOn w:val="Standardnpsmoodstavce"/>
    <w:uiPriority w:val="99"/>
    <w:semiHidden/>
    <w:unhideWhenUsed/>
    <w:rsid w:val="00033333"/>
  </w:style>
  <w:style w:type="table" w:styleId="Tabulkasmkou2">
    <w:name w:val="Grid Table 2"/>
    <w:basedOn w:val="Normlntabulka"/>
    <w:uiPriority w:val="47"/>
    <w:rsid w:val="0068524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mkou3">
    <w:name w:val="Grid Table 3"/>
    <w:basedOn w:val="Normlntabulka"/>
    <w:uiPriority w:val="48"/>
    <w:rsid w:val="0068524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hgkelc">
    <w:name w:val="hgkelc"/>
    <w:basedOn w:val="Standardnpsmoodstavce"/>
    <w:rsid w:val="00E0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54849">
      <w:bodyDiv w:val="1"/>
      <w:marLeft w:val="0"/>
      <w:marRight w:val="0"/>
      <w:marTop w:val="0"/>
      <w:marBottom w:val="0"/>
      <w:divBdr>
        <w:top w:val="none" w:sz="0" w:space="0" w:color="auto"/>
        <w:left w:val="none" w:sz="0" w:space="0" w:color="auto"/>
        <w:bottom w:val="none" w:sz="0" w:space="0" w:color="auto"/>
        <w:right w:val="none" w:sz="0" w:space="0" w:color="auto"/>
      </w:divBdr>
    </w:div>
    <w:div w:id="13768507">
      <w:bodyDiv w:val="1"/>
      <w:marLeft w:val="0"/>
      <w:marRight w:val="0"/>
      <w:marTop w:val="0"/>
      <w:marBottom w:val="0"/>
      <w:divBdr>
        <w:top w:val="none" w:sz="0" w:space="0" w:color="auto"/>
        <w:left w:val="none" w:sz="0" w:space="0" w:color="auto"/>
        <w:bottom w:val="none" w:sz="0" w:space="0" w:color="auto"/>
        <w:right w:val="none" w:sz="0" w:space="0" w:color="auto"/>
      </w:divBdr>
      <w:divsChild>
        <w:div w:id="331568854">
          <w:marLeft w:val="-30"/>
          <w:marRight w:val="0"/>
          <w:marTop w:val="0"/>
          <w:marBottom w:val="195"/>
          <w:divBdr>
            <w:top w:val="none" w:sz="0" w:space="0" w:color="auto"/>
            <w:left w:val="none" w:sz="0" w:space="0" w:color="auto"/>
            <w:bottom w:val="none" w:sz="0" w:space="0" w:color="auto"/>
            <w:right w:val="none" w:sz="0" w:space="0" w:color="auto"/>
          </w:divBdr>
          <w:divsChild>
            <w:div w:id="881207629">
              <w:marLeft w:val="0"/>
              <w:marRight w:val="0"/>
              <w:marTop w:val="0"/>
              <w:marBottom w:val="0"/>
              <w:divBdr>
                <w:top w:val="none" w:sz="0" w:space="0" w:color="auto"/>
                <w:left w:val="none" w:sz="0" w:space="0" w:color="auto"/>
                <w:bottom w:val="none" w:sz="0" w:space="0" w:color="auto"/>
                <w:right w:val="none" w:sz="0" w:space="0" w:color="auto"/>
              </w:divBdr>
              <w:divsChild>
                <w:div w:id="123320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32269">
      <w:bodyDiv w:val="1"/>
      <w:marLeft w:val="0"/>
      <w:marRight w:val="0"/>
      <w:marTop w:val="0"/>
      <w:marBottom w:val="0"/>
      <w:divBdr>
        <w:top w:val="none" w:sz="0" w:space="0" w:color="auto"/>
        <w:left w:val="none" w:sz="0" w:space="0" w:color="auto"/>
        <w:bottom w:val="none" w:sz="0" w:space="0" w:color="auto"/>
        <w:right w:val="none" w:sz="0" w:space="0" w:color="auto"/>
      </w:divBdr>
    </w:div>
    <w:div w:id="97220092">
      <w:bodyDiv w:val="1"/>
      <w:marLeft w:val="0"/>
      <w:marRight w:val="0"/>
      <w:marTop w:val="0"/>
      <w:marBottom w:val="0"/>
      <w:divBdr>
        <w:top w:val="none" w:sz="0" w:space="0" w:color="auto"/>
        <w:left w:val="none" w:sz="0" w:space="0" w:color="auto"/>
        <w:bottom w:val="none" w:sz="0" w:space="0" w:color="auto"/>
        <w:right w:val="none" w:sz="0" w:space="0" w:color="auto"/>
      </w:divBdr>
    </w:div>
    <w:div w:id="139079201">
      <w:bodyDiv w:val="1"/>
      <w:marLeft w:val="0"/>
      <w:marRight w:val="0"/>
      <w:marTop w:val="0"/>
      <w:marBottom w:val="0"/>
      <w:divBdr>
        <w:top w:val="none" w:sz="0" w:space="0" w:color="auto"/>
        <w:left w:val="none" w:sz="0" w:space="0" w:color="auto"/>
        <w:bottom w:val="none" w:sz="0" w:space="0" w:color="auto"/>
        <w:right w:val="none" w:sz="0" w:space="0" w:color="auto"/>
      </w:divBdr>
    </w:div>
    <w:div w:id="139805893">
      <w:bodyDiv w:val="1"/>
      <w:marLeft w:val="0"/>
      <w:marRight w:val="0"/>
      <w:marTop w:val="0"/>
      <w:marBottom w:val="0"/>
      <w:divBdr>
        <w:top w:val="none" w:sz="0" w:space="0" w:color="auto"/>
        <w:left w:val="none" w:sz="0" w:space="0" w:color="auto"/>
        <w:bottom w:val="none" w:sz="0" w:space="0" w:color="auto"/>
        <w:right w:val="none" w:sz="0" w:space="0" w:color="auto"/>
      </w:divBdr>
    </w:div>
    <w:div w:id="157040678">
      <w:bodyDiv w:val="1"/>
      <w:marLeft w:val="0"/>
      <w:marRight w:val="0"/>
      <w:marTop w:val="0"/>
      <w:marBottom w:val="0"/>
      <w:divBdr>
        <w:top w:val="none" w:sz="0" w:space="0" w:color="auto"/>
        <w:left w:val="none" w:sz="0" w:space="0" w:color="auto"/>
        <w:bottom w:val="none" w:sz="0" w:space="0" w:color="auto"/>
        <w:right w:val="none" w:sz="0" w:space="0" w:color="auto"/>
      </w:divBdr>
      <w:divsChild>
        <w:div w:id="1041319280">
          <w:marLeft w:val="-30"/>
          <w:marRight w:val="0"/>
          <w:marTop w:val="0"/>
          <w:marBottom w:val="195"/>
          <w:divBdr>
            <w:top w:val="none" w:sz="0" w:space="0" w:color="auto"/>
            <w:left w:val="none" w:sz="0" w:space="0" w:color="auto"/>
            <w:bottom w:val="none" w:sz="0" w:space="0" w:color="auto"/>
            <w:right w:val="none" w:sz="0" w:space="0" w:color="auto"/>
          </w:divBdr>
          <w:divsChild>
            <w:div w:id="2050761972">
              <w:marLeft w:val="0"/>
              <w:marRight w:val="0"/>
              <w:marTop w:val="0"/>
              <w:marBottom w:val="0"/>
              <w:divBdr>
                <w:top w:val="none" w:sz="0" w:space="0" w:color="auto"/>
                <w:left w:val="none" w:sz="0" w:space="0" w:color="auto"/>
                <w:bottom w:val="none" w:sz="0" w:space="0" w:color="auto"/>
                <w:right w:val="none" w:sz="0" w:space="0" w:color="auto"/>
              </w:divBdr>
              <w:divsChild>
                <w:div w:id="212068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9230">
      <w:bodyDiv w:val="1"/>
      <w:marLeft w:val="0"/>
      <w:marRight w:val="0"/>
      <w:marTop w:val="0"/>
      <w:marBottom w:val="0"/>
      <w:divBdr>
        <w:top w:val="none" w:sz="0" w:space="0" w:color="auto"/>
        <w:left w:val="none" w:sz="0" w:space="0" w:color="auto"/>
        <w:bottom w:val="none" w:sz="0" w:space="0" w:color="auto"/>
        <w:right w:val="none" w:sz="0" w:space="0" w:color="auto"/>
      </w:divBdr>
    </w:div>
    <w:div w:id="220603656">
      <w:bodyDiv w:val="1"/>
      <w:marLeft w:val="0"/>
      <w:marRight w:val="0"/>
      <w:marTop w:val="0"/>
      <w:marBottom w:val="0"/>
      <w:divBdr>
        <w:top w:val="none" w:sz="0" w:space="0" w:color="auto"/>
        <w:left w:val="none" w:sz="0" w:space="0" w:color="auto"/>
        <w:bottom w:val="none" w:sz="0" w:space="0" w:color="auto"/>
        <w:right w:val="none" w:sz="0" w:space="0" w:color="auto"/>
      </w:divBdr>
    </w:div>
    <w:div w:id="232666462">
      <w:bodyDiv w:val="1"/>
      <w:marLeft w:val="0"/>
      <w:marRight w:val="0"/>
      <w:marTop w:val="0"/>
      <w:marBottom w:val="0"/>
      <w:divBdr>
        <w:top w:val="none" w:sz="0" w:space="0" w:color="auto"/>
        <w:left w:val="none" w:sz="0" w:space="0" w:color="auto"/>
        <w:bottom w:val="none" w:sz="0" w:space="0" w:color="auto"/>
        <w:right w:val="none" w:sz="0" w:space="0" w:color="auto"/>
      </w:divBdr>
    </w:div>
    <w:div w:id="245189032">
      <w:bodyDiv w:val="1"/>
      <w:marLeft w:val="0"/>
      <w:marRight w:val="0"/>
      <w:marTop w:val="0"/>
      <w:marBottom w:val="0"/>
      <w:divBdr>
        <w:top w:val="none" w:sz="0" w:space="0" w:color="auto"/>
        <w:left w:val="none" w:sz="0" w:space="0" w:color="auto"/>
        <w:bottom w:val="none" w:sz="0" w:space="0" w:color="auto"/>
        <w:right w:val="none" w:sz="0" w:space="0" w:color="auto"/>
      </w:divBdr>
    </w:div>
    <w:div w:id="256906667">
      <w:bodyDiv w:val="1"/>
      <w:marLeft w:val="0"/>
      <w:marRight w:val="0"/>
      <w:marTop w:val="0"/>
      <w:marBottom w:val="0"/>
      <w:divBdr>
        <w:top w:val="none" w:sz="0" w:space="0" w:color="auto"/>
        <w:left w:val="none" w:sz="0" w:space="0" w:color="auto"/>
        <w:bottom w:val="none" w:sz="0" w:space="0" w:color="auto"/>
        <w:right w:val="none" w:sz="0" w:space="0" w:color="auto"/>
      </w:divBdr>
    </w:div>
    <w:div w:id="264002624">
      <w:bodyDiv w:val="1"/>
      <w:marLeft w:val="0"/>
      <w:marRight w:val="0"/>
      <w:marTop w:val="0"/>
      <w:marBottom w:val="0"/>
      <w:divBdr>
        <w:top w:val="none" w:sz="0" w:space="0" w:color="auto"/>
        <w:left w:val="none" w:sz="0" w:space="0" w:color="auto"/>
        <w:bottom w:val="none" w:sz="0" w:space="0" w:color="auto"/>
        <w:right w:val="none" w:sz="0" w:space="0" w:color="auto"/>
      </w:divBdr>
      <w:divsChild>
        <w:div w:id="1399933968">
          <w:marLeft w:val="-30"/>
          <w:marRight w:val="0"/>
          <w:marTop w:val="0"/>
          <w:marBottom w:val="195"/>
          <w:divBdr>
            <w:top w:val="none" w:sz="0" w:space="0" w:color="auto"/>
            <w:left w:val="none" w:sz="0" w:space="0" w:color="auto"/>
            <w:bottom w:val="none" w:sz="0" w:space="0" w:color="auto"/>
            <w:right w:val="none" w:sz="0" w:space="0" w:color="auto"/>
          </w:divBdr>
          <w:divsChild>
            <w:div w:id="850293363">
              <w:marLeft w:val="0"/>
              <w:marRight w:val="0"/>
              <w:marTop w:val="0"/>
              <w:marBottom w:val="0"/>
              <w:divBdr>
                <w:top w:val="none" w:sz="0" w:space="0" w:color="auto"/>
                <w:left w:val="none" w:sz="0" w:space="0" w:color="auto"/>
                <w:bottom w:val="none" w:sz="0" w:space="0" w:color="auto"/>
                <w:right w:val="none" w:sz="0" w:space="0" w:color="auto"/>
              </w:divBdr>
              <w:divsChild>
                <w:div w:id="80894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815105">
      <w:bodyDiv w:val="1"/>
      <w:marLeft w:val="0"/>
      <w:marRight w:val="0"/>
      <w:marTop w:val="0"/>
      <w:marBottom w:val="0"/>
      <w:divBdr>
        <w:top w:val="none" w:sz="0" w:space="0" w:color="auto"/>
        <w:left w:val="none" w:sz="0" w:space="0" w:color="auto"/>
        <w:bottom w:val="none" w:sz="0" w:space="0" w:color="auto"/>
        <w:right w:val="none" w:sz="0" w:space="0" w:color="auto"/>
      </w:divBdr>
      <w:divsChild>
        <w:div w:id="1673413851">
          <w:marLeft w:val="-30"/>
          <w:marRight w:val="0"/>
          <w:marTop w:val="0"/>
          <w:marBottom w:val="195"/>
          <w:divBdr>
            <w:top w:val="none" w:sz="0" w:space="0" w:color="auto"/>
            <w:left w:val="none" w:sz="0" w:space="0" w:color="auto"/>
            <w:bottom w:val="none" w:sz="0" w:space="0" w:color="auto"/>
            <w:right w:val="none" w:sz="0" w:space="0" w:color="auto"/>
          </w:divBdr>
          <w:divsChild>
            <w:div w:id="1407147247">
              <w:marLeft w:val="0"/>
              <w:marRight w:val="0"/>
              <w:marTop w:val="0"/>
              <w:marBottom w:val="0"/>
              <w:divBdr>
                <w:top w:val="none" w:sz="0" w:space="0" w:color="auto"/>
                <w:left w:val="none" w:sz="0" w:space="0" w:color="auto"/>
                <w:bottom w:val="none" w:sz="0" w:space="0" w:color="auto"/>
                <w:right w:val="none" w:sz="0" w:space="0" w:color="auto"/>
              </w:divBdr>
              <w:divsChild>
                <w:div w:id="70294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797698">
      <w:bodyDiv w:val="1"/>
      <w:marLeft w:val="0"/>
      <w:marRight w:val="0"/>
      <w:marTop w:val="0"/>
      <w:marBottom w:val="0"/>
      <w:divBdr>
        <w:top w:val="none" w:sz="0" w:space="0" w:color="auto"/>
        <w:left w:val="none" w:sz="0" w:space="0" w:color="auto"/>
        <w:bottom w:val="none" w:sz="0" w:space="0" w:color="auto"/>
        <w:right w:val="none" w:sz="0" w:space="0" w:color="auto"/>
      </w:divBdr>
      <w:divsChild>
        <w:div w:id="318921201">
          <w:marLeft w:val="-30"/>
          <w:marRight w:val="0"/>
          <w:marTop w:val="0"/>
          <w:marBottom w:val="195"/>
          <w:divBdr>
            <w:top w:val="none" w:sz="0" w:space="0" w:color="auto"/>
            <w:left w:val="none" w:sz="0" w:space="0" w:color="auto"/>
            <w:bottom w:val="none" w:sz="0" w:space="0" w:color="auto"/>
            <w:right w:val="none" w:sz="0" w:space="0" w:color="auto"/>
          </w:divBdr>
          <w:divsChild>
            <w:div w:id="518278600">
              <w:marLeft w:val="0"/>
              <w:marRight w:val="0"/>
              <w:marTop w:val="0"/>
              <w:marBottom w:val="0"/>
              <w:divBdr>
                <w:top w:val="none" w:sz="0" w:space="0" w:color="auto"/>
                <w:left w:val="none" w:sz="0" w:space="0" w:color="auto"/>
                <w:bottom w:val="none" w:sz="0" w:space="0" w:color="auto"/>
                <w:right w:val="none" w:sz="0" w:space="0" w:color="auto"/>
              </w:divBdr>
              <w:divsChild>
                <w:div w:id="120548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948521">
      <w:bodyDiv w:val="1"/>
      <w:marLeft w:val="0"/>
      <w:marRight w:val="0"/>
      <w:marTop w:val="0"/>
      <w:marBottom w:val="0"/>
      <w:divBdr>
        <w:top w:val="none" w:sz="0" w:space="0" w:color="auto"/>
        <w:left w:val="none" w:sz="0" w:space="0" w:color="auto"/>
        <w:bottom w:val="none" w:sz="0" w:space="0" w:color="auto"/>
        <w:right w:val="none" w:sz="0" w:space="0" w:color="auto"/>
      </w:divBdr>
    </w:div>
    <w:div w:id="373311121">
      <w:bodyDiv w:val="1"/>
      <w:marLeft w:val="0"/>
      <w:marRight w:val="0"/>
      <w:marTop w:val="0"/>
      <w:marBottom w:val="0"/>
      <w:divBdr>
        <w:top w:val="none" w:sz="0" w:space="0" w:color="auto"/>
        <w:left w:val="none" w:sz="0" w:space="0" w:color="auto"/>
        <w:bottom w:val="none" w:sz="0" w:space="0" w:color="auto"/>
        <w:right w:val="none" w:sz="0" w:space="0" w:color="auto"/>
      </w:divBdr>
    </w:div>
    <w:div w:id="392506841">
      <w:bodyDiv w:val="1"/>
      <w:marLeft w:val="0"/>
      <w:marRight w:val="0"/>
      <w:marTop w:val="0"/>
      <w:marBottom w:val="0"/>
      <w:divBdr>
        <w:top w:val="none" w:sz="0" w:space="0" w:color="auto"/>
        <w:left w:val="none" w:sz="0" w:space="0" w:color="auto"/>
        <w:bottom w:val="none" w:sz="0" w:space="0" w:color="auto"/>
        <w:right w:val="none" w:sz="0" w:space="0" w:color="auto"/>
      </w:divBdr>
    </w:div>
    <w:div w:id="417556846">
      <w:bodyDiv w:val="1"/>
      <w:marLeft w:val="0"/>
      <w:marRight w:val="0"/>
      <w:marTop w:val="0"/>
      <w:marBottom w:val="0"/>
      <w:divBdr>
        <w:top w:val="none" w:sz="0" w:space="0" w:color="auto"/>
        <w:left w:val="none" w:sz="0" w:space="0" w:color="auto"/>
        <w:bottom w:val="none" w:sz="0" w:space="0" w:color="auto"/>
        <w:right w:val="none" w:sz="0" w:space="0" w:color="auto"/>
      </w:divBdr>
    </w:div>
    <w:div w:id="467237513">
      <w:bodyDiv w:val="1"/>
      <w:marLeft w:val="0"/>
      <w:marRight w:val="0"/>
      <w:marTop w:val="0"/>
      <w:marBottom w:val="0"/>
      <w:divBdr>
        <w:top w:val="none" w:sz="0" w:space="0" w:color="auto"/>
        <w:left w:val="none" w:sz="0" w:space="0" w:color="auto"/>
        <w:bottom w:val="none" w:sz="0" w:space="0" w:color="auto"/>
        <w:right w:val="none" w:sz="0" w:space="0" w:color="auto"/>
      </w:divBdr>
    </w:div>
    <w:div w:id="491412035">
      <w:bodyDiv w:val="1"/>
      <w:marLeft w:val="0"/>
      <w:marRight w:val="0"/>
      <w:marTop w:val="0"/>
      <w:marBottom w:val="0"/>
      <w:divBdr>
        <w:top w:val="none" w:sz="0" w:space="0" w:color="auto"/>
        <w:left w:val="none" w:sz="0" w:space="0" w:color="auto"/>
        <w:bottom w:val="none" w:sz="0" w:space="0" w:color="auto"/>
        <w:right w:val="none" w:sz="0" w:space="0" w:color="auto"/>
      </w:divBdr>
    </w:div>
    <w:div w:id="501436438">
      <w:bodyDiv w:val="1"/>
      <w:marLeft w:val="0"/>
      <w:marRight w:val="0"/>
      <w:marTop w:val="0"/>
      <w:marBottom w:val="0"/>
      <w:divBdr>
        <w:top w:val="none" w:sz="0" w:space="0" w:color="auto"/>
        <w:left w:val="none" w:sz="0" w:space="0" w:color="auto"/>
        <w:bottom w:val="none" w:sz="0" w:space="0" w:color="auto"/>
        <w:right w:val="none" w:sz="0" w:space="0" w:color="auto"/>
      </w:divBdr>
    </w:div>
    <w:div w:id="526137042">
      <w:bodyDiv w:val="1"/>
      <w:marLeft w:val="0"/>
      <w:marRight w:val="0"/>
      <w:marTop w:val="0"/>
      <w:marBottom w:val="0"/>
      <w:divBdr>
        <w:top w:val="none" w:sz="0" w:space="0" w:color="auto"/>
        <w:left w:val="none" w:sz="0" w:space="0" w:color="auto"/>
        <w:bottom w:val="none" w:sz="0" w:space="0" w:color="auto"/>
        <w:right w:val="none" w:sz="0" w:space="0" w:color="auto"/>
      </w:divBdr>
      <w:divsChild>
        <w:div w:id="204418065">
          <w:marLeft w:val="-30"/>
          <w:marRight w:val="0"/>
          <w:marTop w:val="0"/>
          <w:marBottom w:val="195"/>
          <w:divBdr>
            <w:top w:val="none" w:sz="0" w:space="0" w:color="auto"/>
            <w:left w:val="none" w:sz="0" w:space="0" w:color="auto"/>
            <w:bottom w:val="none" w:sz="0" w:space="0" w:color="auto"/>
            <w:right w:val="none" w:sz="0" w:space="0" w:color="auto"/>
          </w:divBdr>
          <w:divsChild>
            <w:div w:id="633095170">
              <w:marLeft w:val="0"/>
              <w:marRight w:val="0"/>
              <w:marTop w:val="0"/>
              <w:marBottom w:val="0"/>
              <w:divBdr>
                <w:top w:val="none" w:sz="0" w:space="0" w:color="auto"/>
                <w:left w:val="none" w:sz="0" w:space="0" w:color="auto"/>
                <w:bottom w:val="none" w:sz="0" w:space="0" w:color="auto"/>
                <w:right w:val="none" w:sz="0" w:space="0" w:color="auto"/>
              </w:divBdr>
              <w:divsChild>
                <w:div w:id="46065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444396">
      <w:bodyDiv w:val="1"/>
      <w:marLeft w:val="0"/>
      <w:marRight w:val="0"/>
      <w:marTop w:val="0"/>
      <w:marBottom w:val="0"/>
      <w:divBdr>
        <w:top w:val="none" w:sz="0" w:space="0" w:color="auto"/>
        <w:left w:val="none" w:sz="0" w:space="0" w:color="auto"/>
        <w:bottom w:val="none" w:sz="0" w:space="0" w:color="auto"/>
        <w:right w:val="none" w:sz="0" w:space="0" w:color="auto"/>
      </w:divBdr>
    </w:div>
    <w:div w:id="544946661">
      <w:bodyDiv w:val="1"/>
      <w:marLeft w:val="0"/>
      <w:marRight w:val="0"/>
      <w:marTop w:val="0"/>
      <w:marBottom w:val="0"/>
      <w:divBdr>
        <w:top w:val="none" w:sz="0" w:space="0" w:color="auto"/>
        <w:left w:val="none" w:sz="0" w:space="0" w:color="auto"/>
        <w:bottom w:val="none" w:sz="0" w:space="0" w:color="auto"/>
        <w:right w:val="none" w:sz="0" w:space="0" w:color="auto"/>
      </w:divBdr>
    </w:div>
    <w:div w:id="571083410">
      <w:bodyDiv w:val="1"/>
      <w:marLeft w:val="0"/>
      <w:marRight w:val="0"/>
      <w:marTop w:val="0"/>
      <w:marBottom w:val="0"/>
      <w:divBdr>
        <w:top w:val="none" w:sz="0" w:space="0" w:color="auto"/>
        <w:left w:val="none" w:sz="0" w:space="0" w:color="auto"/>
        <w:bottom w:val="none" w:sz="0" w:space="0" w:color="auto"/>
        <w:right w:val="none" w:sz="0" w:space="0" w:color="auto"/>
      </w:divBdr>
    </w:div>
    <w:div w:id="572815943">
      <w:bodyDiv w:val="1"/>
      <w:marLeft w:val="0"/>
      <w:marRight w:val="0"/>
      <w:marTop w:val="0"/>
      <w:marBottom w:val="0"/>
      <w:divBdr>
        <w:top w:val="none" w:sz="0" w:space="0" w:color="auto"/>
        <w:left w:val="none" w:sz="0" w:space="0" w:color="auto"/>
        <w:bottom w:val="none" w:sz="0" w:space="0" w:color="auto"/>
        <w:right w:val="none" w:sz="0" w:space="0" w:color="auto"/>
      </w:divBdr>
    </w:div>
    <w:div w:id="598293472">
      <w:bodyDiv w:val="1"/>
      <w:marLeft w:val="0"/>
      <w:marRight w:val="0"/>
      <w:marTop w:val="0"/>
      <w:marBottom w:val="0"/>
      <w:divBdr>
        <w:top w:val="none" w:sz="0" w:space="0" w:color="auto"/>
        <w:left w:val="none" w:sz="0" w:space="0" w:color="auto"/>
        <w:bottom w:val="none" w:sz="0" w:space="0" w:color="auto"/>
        <w:right w:val="none" w:sz="0" w:space="0" w:color="auto"/>
      </w:divBdr>
    </w:div>
    <w:div w:id="653531178">
      <w:bodyDiv w:val="1"/>
      <w:marLeft w:val="0"/>
      <w:marRight w:val="0"/>
      <w:marTop w:val="0"/>
      <w:marBottom w:val="0"/>
      <w:divBdr>
        <w:top w:val="none" w:sz="0" w:space="0" w:color="auto"/>
        <w:left w:val="none" w:sz="0" w:space="0" w:color="auto"/>
        <w:bottom w:val="none" w:sz="0" w:space="0" w:color="auto"/>
        <w:right w:val="none" w:sz="0" w:space="0" w:color="auto"/>
      </w:divBdr>
    </w:div>
    <w:div w:id="698899264">
      <w:bodyDiv w:val="1"/>
      <w:marLeft w:val="0"/>
      <w:marRight w:val="0"/>
      <w:marTop w:val="0"/>
      <w:marBottom w:val="0"/>
      <w:divBdr>
        <w:top w:val="none" w:sz="0" w:space="0" w:color="auto"/>
        <w:left w:val="none" w:sz="0" w:space="0" w:color="auto"/>
        <w:bottom w:val="none" w:sz="0" w:space="0" w:color="auto"/>
        <w:right w:val="none" w:sz="0" w:space="0" w:color="auto"/>
      </w:divBdr>
      <w:divsChild>
        <w:div w:id="8455696">
          <w:marLeft w:val="-30"/>
          <w:marRight w:val="0"/>
          <w:marTop w:val="0"/>
          <w:marBottom w:val="195"/>
          <w:divBdr>
            <w:top w:val="none" w:sz="0" w:space="0" w:color="auto"/>
            <w:left w:val="none" w:sz="0" w:space="0" w:color="auto"/>
            <w:bottom w:val="none" w:sz="0" w:space="0" w:color="auto"/>
            <w:right w:val="none" w:sz="0" w:space="0" w:color="auto"/>
          </w:divBdr>
          <w:divsChild>
            <w:div w:id="1074932235">
              <w:marLeft w:val="0"/>
              <w:marRight w:val="0"/>
              <w:marTop w:val="0"/>
              <w:marBottom w:val="0"/>
              <w:divBdr>
                <w:top w:val="none" w:sz="0" w:space="0" w:color="auto"/>
                <w:left w:val="none" w:sz="0" w:space="0" w:color="auto"/>
                <w:bottom w:val="none" w:sz="0" w:space="0" w:color="auto"/>
                <w:right w:val="none" w:sz="0" w:space="0" w:color="auto"/>
              </w:divBdr>
              <w:divsChild>
                <w:div w:id="149614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765671">
      <w:bodyDiv w:val="1"/>
      <w:marLeft w:val="0"/>
      <w:marRight w:val="0"/>
      <w:marTop w:val="0"/>
      <w:marBottom w:val="0"/>
      <w:divBdr>
        <w:top w:val="none" w:sz="0" w:space="0" w:color="auto"/>
        <w:left w:val="none" w:sz="0" w:space="0" w:color="auto"/>
        <w:bottom w:val="none" w:sz="0" w:space="0" w:color="auto"/>
        <w:right w:val="none" w:sz="0" w:space="0" w:color="auto"/>
      </w:divBdr>
    </w:div>
    <w:div w:id="752240458">
      <w:bodyDiv w:val="1"/>
      <w:marLeft w:val="0"/>
      <w:marRight w:val="0"/>
      <w:marTop w:val="0"/>
      <w:marBottom w:val="0"/>
      <w:divBdr>
        <w:top w:val="none" w:sz="0" w:space="0" w:color="auto"/>
        <w:left w:val="none" w:sz="0" w:space="0" w:color="auto"/>
        <w:bottom w:val="none" w:sz="0" w:space="0" w:color="auto"/>
        <w:right w:val="none" w:sz="0" w:space="0" w:color="auto"/>
      </w:divBdr>
      <w:divsChild>
        <w:div w:id="379138383">
          <w:marLeft w:val="-30"/>
          <w:marRight w:val="0"/>
          <w:marTop w:val="0"/>
          <w:marBottom w:val="195"/>
          <w:divBdr>
            <w:top w:val="none" w:sz="0" w:space="0" w:color="auto"/>
            <w:left w:val="none" w:sz="0" w:space="0" w:color="auto"/>
            <w:bottom w:val="none" w:sz="0" w:space="0" w:color="auto"/>
            <w:right w:val="none" w:sz="0" w:space="0" w:color="auto"/>
          </w:divBdr>
          <w:divsChild>
            <w:div w:id="160315913">
              <w:marLeft w:val="0"/>
              <w:marRight w:val="0"/>
              <w:marTop w:val="0"/>
              <w:marBottom w:val="0"/>
              <w:divBdr>
                <w:top w:val="none" w:sz="0" w:space="0" w:color="auto"/>
                <w:left w:val="none" w:sz="0" w:space="0" w:color="auto"/>
                <w:bottom w:val="none" w:sz="0" w:space="0" w:color="auto"/>
                <w:right w:val="none" w:sz="0" w:space="0" w:color="auto"/>
              </w:divBdr>
              <w:divsChild>
                <w:div w:id="15858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22978">
      <w:bodyDiv w:val="1"/>
      <w:marLeft w:val="0"/>
      <w:marRight w:val="0"/>
      <w:marTop w:val="0"/>
      <w:marBottom w:val="0"/>
      <w:divBdr>
        <w:top w:val="none" w:sz="0" w:space="0" w:color="auto"/>
        <w:left w:val="none" w:sz="0" w:space="0" w:color="auto"/>
        <w:bottom w:val="none" w:sz="0" w:space="0" w:color="auto"/>
        <w:right w:val="none" w:sz="0" w:space="0" w:color="auto"/>
      </w:divBdr>
    </w:div>
    <w:div w:id="800148771">
      <w:bodyDiv w:val="1"/>
      <w:marLeft w:val="0"/>
      <w:marRight w:val="0"/>
      <w:marTop w:val="0"/>
      <w:marBottom w:val="0"/>
      <w:divBdr>
        <w:top w:val="none" w:sz="0" w:space="0" w:color="auto"/>
        <w:left w:val="none" w:sz="0" w:space="0" w:color="auto"/>
        <w:bottom w:val="none" w:sz="0" w:space="0" w:color="auto"/>
        <w:right w:val="none" w:sz="0" w:space="0" w:color="auto"/>
      </w:divBdr>
    </w:div>
    <w:div w:id="805202420">
      <w:bodyDiv w:val="1"/>
      <w:marLeft w:val="0"/>
      <w:marRight w:val="0"/>
      <w:marTop w:val="0"/>
      <w:marBottom w:val="0"/>
      <w:divBdr>
        <w:top w:val="none" w:sz="0" w:space="0" w:color="auto"/>
        <w:left w:val="none" w:sz="0" w:space="0" w:color="auto"/>
        <w:bottom w:val="none" w:sz="0" w:space="0" w:color="auto"/>
        <w:right w:val="none" w:sz="0" w:space="0" w:color="auto"/>
      </w:divBdr>
    </w:div>
    <w:div w:id="819151455">
      <w:bodyDiv w:val="1"/>
      <w:marLeft w:val="0"/>
      <w:marRight w:val="0"/>
      <w:marTop w:val="0"/>
      <w:marBottom w:val="0"/>
      <w:divBdr>
        <w:top w:val="none" w:sz="0" w:space="0" w:color="auto"/>
        <w:left w:val="none" w:sz="0" w:space="0" w:color="auto"/>
        <w:bottom w:val="none" w:sz="0" w:space="0" w:color="auto"/>
        <w:right w:val="none" w:sz="0" w:space="0" w:color="auto"/>
      </w:divBdr>
    </w:div>
    <w:div w:id="881357093">
      <w:bodyDiv w:val="1"/>
      <w:marLeft w:val="0"/>
      <w:marRight w:val="0"/>
      <w:marTop w:val="0"/>
      <w:marBottom w:val="0"/>
      <w:divBdr>
        <w:top w:val="none" w:sz="0" w:space="0" w:color="auto"/>
        <w:left w:val="none" w:sz="0" w:space="0" w:color="auto"/>
        <w:bottom w:val="none" w:sz="0" w:space="0" w:color="auto"/>
        <w:right w:val="none" w:sz="0" w:space="0" w:color="auto"/>
      </w:divBdr>
    </w:div>
    <w:div w:id="886913484">
      <w:bodyDiv w:val="1"/>
      <w:marLeft w:val="0"/>
      <w:marRight w:val="0"/>
      <w:marTop w:val="0"/>
      <w:marBottom w:val="0"/>
      <w:divBdr>
        <w:top w:val="none" w:sz="0" w:space="0" w:color="auto"/>
        <w:left w:val="none" w:sz="0" w:space="0" w:color="auto"/>
        <w:bottom w:val="none" w:sz="0" w:space="0" w:color="auto"/>
        <w:right w:val="none" w:sz="0" w:space="0" w:color="auto"/>
      </w:divBdr>
    </w:div>
    <w:div w:id="905526778">
      <w:bodyDiv w:val="1"/>
      <w:marLeft w:val="0"/>
      <w:marRight w:val="0"/>
      <w:marTop w:val="0"/>
      <w:marBottom w:val="0"/>
      <w:divBdr>
        <w:top w:val="none" w:sz="0" w:space="0" w:color="auto"/>
        <w:left w:val="none" w:sz="0" w:space="0" w:color="auto"/>
        <w:bottom w:val="none" w:sz="0" w:space="0" w:color="auto"/>
        <w:right w:val="none" w:sz="0" w:space="0" w:color="auto"/>
      </w:divBdr>
    </w:div>
    <w:div w:id="964695585">
      <w:bodyDiv w:val="1"/>
      <w:marLeft w:val="0"/>
      <w:marRight w:val="0"/>
      <w:marTop w:val="0"/>
      <w:marBottom w:val="0"/>
      <w:divBdr>
        <w:top w:val="none" w:sz="0" w:space="0" w:color="auto"/>
        <w:left w:val="none" w:sz="0" w:space="0" w:color="auto"/>
        <w:bottom w:val="none" w:sz="0" w:space="0" w:color="auto"/>
        <w:right w:val="none" w:sz="0" w:space="0" w:color="auto"/>
      </w:divBdr>
    </w:div>
    <w:div w:id="966425746">
      <w:bodyDiv w:val="1"/>
      <w:marLeft w:val="0"/>
      <w:marRight w:val="0"/>
      <w:marTop w:val="0"/>
      <w:marBottom w:val="0"/>
      <w:divBdr>
        <w:top w:val="none" w:sz="0" w:space="0" w:color="auto"/>
        <w:left w:val="none" w:sz="0" w:space="0" w:color="auto"/>
        <w:bottom w:val="none" w:sz="0" w:space="0" w:color="auto"/>
        <w:right w:val="none" w:sz="0" w:space="0" w:color="auto"/>
      </w:divBdr>
    </w:div>
    <w:div w:id="973557262">
      <w:bodyDiv w:val="1"/>
      <w:marLeft w:val="0"/>
      <w:marRight w:val="0"/>
      <w:marTop w:val="0"/>
      <w:marBottom w:val="0"/>
      <w:divBdr>
        <w:top w:val="none" w:sz="0" w:space="0" w:color="auto"/>
        <w:left w:val="none" w:sz="0" w:space="0" w:color="auto"/>
        <w:bottom w:val="none" w:sz="0" w:space="0" w:color="auto"/>
        <w:right w:val="none" w:sz="0" w:space="0" w:color="auto"/>
      </w:divBdr>
    </w:div>
    <w:div w:id="985477204">
      <w:bodyDiv w:val="1"/>
      <w:marLeft w:val="0"/>
      <w:marRight w:val="0"/>
      <w:marTop w:val="0"/>
      <w:marBottom w:val="0"/>
      <w:divBdr>
        <w:top w:val="none" w:sz="0" w:space="0" w:color="auto"/>
        <w:left w:val="none" w:sz="0" w:space="0" w:color="auto"/>
        <w:bottom w:val="none" w:sz="0" w:space="0" w:color="auto"/>
        <w:right w:val="none" w:sz="0" w:space="0" w:color="auto"/>
      </w:divBdr>
    </w:div>
    <w:div w:id="991829245">
      <w:bodyDiv w:val="1"/>
      <w:marLeft w:val="0"/>
      <w:marRight w:val="0"/>
      <w:marTop w:val="0"/>
      <w:marBottom w:val="0"/>
      <w:divBdr>
        <w:top w:val="none" w:sz="0" w:space="0" w:color="auto"/>
        <w:left w:val="none" w:sz="0" w:space="0" w:color="auto"/>
        <w:bottom w:val="none" w:sz="0" w:space="0" w:color="auto"/>
        <w:right w:val="none" w:sz="0" w:space="0" w:color="auto"/>
      </w:divBdr>
      <w:divsChild>
        <w:div w:id="990518626">
          <w:marLeft w:val="0"/>
          <w:marRight w:val="0"/>
          <w:marTop w:val="0"/>
          <w:marBottom w:val="195"/>
          <w:divBdr>
            <w:top w:val="none" w:sz="0" w:space="0" w:color="auto"/>
            <w:left w:val="none" w:sz="0" w:space="0" w:color="auto"/>
            <w:bottom w:val="none" w:sz="0" w:space="0" w:color="auto"/>
            <w:right w:val="none" w:sz="0" w:space="0" w:color="auto"/>
          </w:divBdr>
          <w:divsChild>
            <w:div w:id="153450629">
              <w:marLeft w:val="0"/>
              <w:marRight w:val="0"/>
              <w:marTop w:val="0"/>
              <w:marBottom w:val="0"/>
              <w:divBdr>
                <w:top w:val="none" w:sz="0" w:space="0" w:color="auto"/>
                <w:left w:val="none" w:sz="0" w:space="0" w:color="auto"/>
                <w:bottom w:val="none" w:sz="0" w:space="0" w:color="auto"/>
                <w:right w:val="none" w:sz="0" w:space="0" w:color="auto"/>
              </w:divBdr>
              <w:divsChild>
                <w:div w:id="196302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590605">
      <w:bodyDiv w:val="1"/>
      <w:marLeft w:val="0"/>
      <w:marRight w:val="0"/>
      <w:marTop w:val="0"/>
      <w:marBottom w:val="0"/>
      <w:divBdr>
        <w:top w:val="none" w:sz="0" w:space="0" w:color="auto"/>
        <w:left w:val="none" w:sz="0" w:space="0" w:color="auto"/>
        <w:bottom w:val="none" w:sz="0" w:space="0" w:color="auto"/>
        <w:right w:val="none" w:sz="0" w:space="0" w:color="auto"/>
      </w:divBdr>
    </w:div>
    <w:div w:id="1024331674">
      <w:bodyDiv w:val="1"/>
      <w:marLeft w:val="0"/>
      <w:marRight w:val="0"/>
      <w:marTop w:val="0"/>
      <w:marBottom w:val="0"/>
      <w:divBdr>
        <w:top w:val="none" w:sz="0" w:space="0" w:color="auto"/>
        <w:left w:val="none" w:sz="0" w:space="0" w:color="auto"/>
        <w:bottom w:val="none" w:sz="0" w:space="0" w:color="auto"/>
        <w:right w:val="none" w:sz="0" w:space="0" w:color="auto"/>
      </w:divBdr>
    </w:div>
    <w:div w:id="1050346456">
      <w:bodyDiv w:val="1"/>
      <w:marLeft w:val="0"/>
      <w:marRight w:val="0"/>
      <w:marTop w:val="0"/>
      <w:marBottom w:val="0"/>
      <w:divBdr>
        <w:top w:val="none" w:sz="0" w:space="0" w:color="auto"/>
        <w:left w:val="none" w:sz="0" w:space="0" w:color="auto"/>
        <w:bottom w:val="none" w:sz="0" w:space="0" w:color="auto"/>
        <w:right w:val="none" w:sz="0" w:space="0" w:color="auto"/>
      </w:divBdr>
    </w:div>
    <w:div w:id="1083139000">
      <w:bodyDiv w:val="1"/>
      <w:marLeft w:val="0"/>
      <w:marRight w:val="0"/>
      <w:marTop w:val="0"/>
      <w:marBottom w:val="0"/>
      <w:divBdr>
        <w:top w:val="none" w:sz="0" w:space="0" w:color="auto"/>
        <w:left w:val="none" w:sz="0" w:space="0" w:color="auto"/>
        <w:bottom w:val="none" w:sz="0" w:space="0" w:color="auto"/>
        <w:right w:val="none" w:sz="0" w:space="0" w:color="auto"/>
      </w:divBdr>
    </w:div>
    <w:div w:id="1138642934">
      <w:bodyDiv w:val="1"/>
      <w:marLeft w:val="0"/>
      <w:marRight w:val="0"/>
      <w:marTop w:val="0"/>
      <w:marBottom w:val="0"/>
      <w:divBdr>
        <w:top w:val="none" w:sz="0" w:space="0" w:color="auto"/>
        <w:left w:val="none" w:sz="0" w:space="0" w:color="auto"/>
        <w:bottom w:val="none" w:sz="0" w:space="0" w:color="auto"/>
        <w:right w:val="none" w:sz="0" w:space="0" w:color="auto"/>
      </w:divBdr>
    </w:div>
    <w:div w:id="1172061074">
      <w:bodyDiv w:val="1"/>
      <w:marLeft w:val="0"/>
      <w:marRight w:val="0"/>
      <w:marTop w:val="0"/>
      <w:marBottom w:val="0"/>
      <w:divBdr>
        <w:top w:val="none" w:sz="0" w:space="0" w:color="auto"/>
        <w:left w:val="none" w:sz="0" w:space="0" w:color="auto"/>
        <w:bottom w:val="none" w:sz="0" w:space="0" w:color="auto"/>
        <w:right w:val="none" w:sz="0" w:space="0" w:color="auto"/>
      </w:divBdr>
    </w:div>
    <w:div w:id="1206985117">
      <w:bodyDiv w:val="1"/>
      <w:marLeft w:val="0"/>
      <w:marRight w:val="0"/>
      <w:marTop w:val="0"/>
      <w:marBottom w:val="0"/>
      <w:divBdr>
        <w:top w:val="none" w:sz="0" w:space="0" w:color="auto"/>
        <w:left w:val="none" w:sz="0" w:space="0" w:color="auto"/>
        <w:bottom w:val="none" w:sz="0" w:space="0" w:color="auto"/>
        <w:right w:val="none" w:sz="0" w:space="0" w:color="auto"/>
      </w:divBdr>
    </w:div>
    <w:div w:id="1263685958">
      <w:bodyDiv w:val="1"/>
      <w:marLeft w:val="0"/>
      <w:marRight w:val="0"/>
      <w:marTop w:val="0"/>
      <w:marBottom w:val="0"/>
      <w:divBdr>
        <w:top w:val="none" w:sz="0" w:space="0" w:color="auto"/>
        <w:left w:val="none" w:sz="0" w:space="0" w:color="auto"/>
        <w:bottom w:val="none" w:sz="0" w:space="0" w:color="auto"/>
        <w:right w:val="none" w:sz="0" w:space="0" w:color="auto"/>
      </w:divBdr>
    </w:div>
    <w:div w:id="1293823799">
      <w:bodyDiv w:val="1"/>
      <w:marLeft w:val="0"/>
      <w:marRight w:val="0"/>
      <w:marTop w:val="0"/>
      <w:marBottom w:val="0"/>
      <w:divBdr>
        <w:top w:val="none" w:sz="0" w:space="0" w:color="auto"/>
        <w:left w:val="none" w:sz="0" w:space="0" w:color="auto"/>
        <w:bottom w:val="none" w:sz="0" w:space="0" w:color="auto"/>
        <w:right w:val="none" w:sz="0" w:space="0" w:color="auto"/>
      </w:divBdr>
      <w:divsChild>
        <w:div w:id="1401446395">
          <w:marLeft w:val="-30"/>
          <w:marRight w:val="0"/>
          <w:marTop w:val="0"/>
          <w:marBottom w:val="195"/>
          <w:divBdr>
            <w:top w:val="none" w:sz="0" w:space="0" w:color="auto"/>
            <w:left w:val="none" w:sz="0" w:space="0" w:color="auto"/>
            <w:bottom w:val="none" w:sz="0" w:space="0" w:color="auto"/>
            <w:right w:val="none" w:sz="0" w:space="0" w:color="auto"/>
          </w:divBdr>
          <w:divsChild>
            <w:div w:id="1080057554">
              <w:marLeft w:val="0"/>
              <w:marRight w:val="0"/>
              <w:marTop w:val="0"/>
              <w:marBottom w:val="0"/>
              <w:divBdr>
                <w:top w:val="none" w:sz="0" w:space="0" w:color="auto"/>
                <w:left w:val="none" w:sz="0" w:space="0" w:color="auto"/>
                <w:bottom w:val="none" w:sz="0" w:space="0" w:color="auto"/>
                <w:right w:val="none" w:sz="0" w:space="0" w:color="auto"/>
              </w:divBdr>
              <w:divsChild>
                <w:div w:id="80257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702609">
      <w:bodyDiv w:val="1"/>
      <w:marLeft w:val="0"/>
      <w:marRight w:val="0"/>
      <w:marTop w:val="0"/>
      <w:marBottom w:val="0"/>
      <w:divBdr>
        <w:top w:val="none" w:sz="0" w:space="0" w:color="auto"/>
        <w:left w:val="none" w:sz="0" w:space="0" w:color="auto"/>
        <w:bottom w:val="none" w:sz="0" w:space="0" w:color="auto"/>
        <w:right w:val="none" w:sz="0" w:space="0" w:color="auto"/>
      </w:divBdr>
    </w:div>
    <w:div w:id="1400666616">
      <w:bodyDiv w:val="1"/>
      <w:marLeft w:val="0"/>
      <w:marRight w:val="0"/>
      <w:marTop w:val="0"/>
      <w:marBottom w:val="0"/>
      <w:divBdr>
        <w:top w:val="none" w:sz="0" w:space="0" w:color="auto"/>
        <w:left w:val="none" w:sz="0" w:space="0" w:color="auto"/>
        <w:bottom w:val="none" w:sz="0" w:space="0" w:color="auto"/>
        <w:right w:val="none" w:sz="0" w:space="0" w:color="auto"/>
      </w:divBdr>
    </w:div>
    <w:div w:id="1407924369">
      <w:bodyDiv w:val="1"/>
      <w:marLeft w:val="0"/>
      <w:marRight w:val="0"/>
      <w:marTop w:val="0"/>
      <w:marBottom w:val="0"/>
      <w:divBdr>
        <w:top w:val="none" w:sz="0" w:space="0" w:color="auto"/>
        <w:left w:val="none" w:sz="0" w:space="0" w:color="auto"/>
        <w:bottom w:val="none" w:sz="0" w:space="0" w:color="auto"/>
        <w:right w:val="none" w:sz="0" w:space="0" w:color="auto"/>
      </w:divBdr>
    </w:div>
    <w:div w:id="1409157696">
      <w:bodyDiv w:val="1"/>
      <w:marLeft w:val="0"/>
      <w:marRight w:val="0"/>
      <w:marTop w:val="0"/>
      <w:marBottom w:val="0"/>
      <w:divBdr>
        <w:top w:val="none" w:sz="0" w:space="0" w:color="auto"/>
        <w:left w:val="none" w:sz="0" w:space="0" w:color="auto"/>
        <w:bottom w:val="none" w:sz="0" w:space="0" w:color="auto"/>
        <w:right w:val="none" w:sz="0" w:space="0" w:color="auto"/>
      </w:divBdr>
    </w:div>
    <w:div w:id="1422991123">
      <w:bodyDiv w:val="1"/>
      <w:marLeft w:val="0"/>
      <w:marRight w:val="0"/>
      <w:marTop w:val="0"/>
      <w:marBottom w:val="0"/>
      <w:divBdr>
        <w:top w:val="none" w:sz="0" w:space="0" w:color="auto"/>
        <w:left w:val="none" w:sz="0" w:space="0" w:color="auto"/>
        <w:bottom w:val="none" w:sz="0" w:space="0" w:color="auto"/>
        <w:right w:val="none" w:sz="0" w:space="0" w:color="auto"/>
      </w:divBdr>
    </w:div>
    <w:div w:id="1428962778">
      <w:bodyDiv w:val="1"/>
      <w:marLeft w:val="0"/>
      <w:marRight w:val="0"/>
      <w:marTop w:val="0"/>
      <w:marBottom w:val="0"/>
      <w:divBdr>
        <w:top w:val="none" w:sz="0" w:space="0" w:color="auto"/>
        <w:left w:val="none" w:sz="0" w:space="0" w:color="auto"/>
        <w:bottom w:val="none" w:sz="0" w:space="0" w:color="auto"/>
        <w:right w:val="none" w:sz="0" w:space="0" w:color="auto"/>
      </w:divBdr>
    </w:div>
    <w:div w:id="1449932258">
      <w:bodyDiv w:val="1"/>
      <w:marLeft w:val="0"/>
      <w:marRight w:val="0"/>
      <w:marTop w:val="0"/>
      <w:marBottom w:val="0"/>
      <w:divBdr>
        <w:top w:val="none" w:sz="0" w:space="0" w:color="auto"/>
        <w:left w:val="none" w:sz="0" w:space="0" w:color="auto"/>
        <w:bottom w:val="none" w:sz="0" w:space="0" w:color="auto"/>
        <w:right w:val="none" w:sz="0" w:space="0" w:color="auto"/>
      </w:divBdr>
    </w:div>
    <w:div w:id="1454178673">
      <w:bodyDiv w:val="1"/>
      <w:marLeft w:val="0"/>
      <w:marRight w:val="0"/>
      <w:marTop w:val="0"/>
      <w:marBottom w:val="0"/>
      <w:divBdr>
        <w:top w:val="none" w:sz="0" w:space="0" w:color="auto"/>
        <w:left w:val="none" w:sz="0" w:space="0" w:color="auto"/>
        <w:bottom w:val="none" w:sz="0" w:space="0" w:color="auto"/>
        <w:right w:val="none" w:sz="0" w:space="0" w:color="auto"/>
      </w:divBdr>
      <w:divsChild>
        <w:div w:id="977690466">
          <w:marLeft w:val="-30"/>
          <w:marRight w:val="0"/>
          <w:marTop w:val="0"/>
          <w:marBottom w:val="195"/>
          <w:divBdr>
            <w:top w:val="none" w:sz="0" w:space="0" w:color="auto"/>
            <w:left w:val="none" w:sz="0" w:space="0" w:color="auto"/>
            <w:bottom w:val="none" w:sz="0" w:space="0" w:color="auto"/>
            <w:right w:val="none" w:sz="0" w:space="0" w:color="auto"/>
          </w:divBdr>
          <w:divsChild>
            <w:div w:id="405954088">
              <w:marLeft w:val="0"/>
              <w:marRight w:val="0"/>
              <w:marTop w:val="0"/>
              <w:marBottom w:val="0"/>
              <w:divBdr>
                <w:top w:val="none" w:sz="0" w:space="0" w:color="auto"/>
                <w:left w:val="none" w:sz="0" w:space="0" w:color="auto"/>
                <w:bottom w:val="none" w:sz="0" w:space="0" w:color="auto"/>
                <w:right w:val="none" w:sz="0" w:space="0" w:color="auto"/>
              </w:divBdr>
              <w:divsChild>
                <w:div w:id="18167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020629">
      <w:bodyDiv w:val="1"/>
      <w:marLeft w:val="0"/>
      <w:marRight w:val="0"/>
      <w:marTop w:val="0"/>
      <w:marBottom w:val="0"/>
      <w:divBdr>
        <w:top w:val="none" w:sz="0" w:space="0" w:color="auto"/>
        <w:left w:val="none" w:sz="0" w:space="0" w:color="auto"/>
        <w:bottom w:val="none" w:sz="0" w:space="0" w:color="auto"/>
        <w:right w:val="none" w:sz="0" w:space="0" w:color="auto"/>
      </w:divBdr>
    </w:div>
    <w:div w:id="1500779199">
      <w:bodyDiv w:val="1"/>
      <w:marLeft w:val="0"/>
      <w:marRight w:val="0"/>
      <w:marTop w:val="0"/>
      <w:marBottom w:val="0"/>
      <w:divBdr>
        <w:top w:val="none" w:sz="0" w:space="0" w:color="auto"/>
        <w:left w:val="none" w:sz="0" w:space="0" w:color="auto"/>
        <w:bottom w:val="none" w:sz="0" w:space="0" w:color="auto"/>
        <w:right w:val="none" w:sz="0" w:space="0" w:color="auto"/>
      </w:divBdr>
    </w:div>
    <w:div w:id="1505241730">
      <w:bodyDiv w:val="1"/>
      <w:marLeft w:val="0"/>
      <w:marRight w:val="0"/>
      <w:marTop w:val="0"/>
      <w:marBottom w:val="0"/>
      <w:divBdr>
        <w:top w:val="none" w:sz="0" w:space="0" w:color="auto"/>
        <w:left w:val="none" w:sz="0" w:space="0" w:color="auto"/>
        <w:bottom w:val="none" w:sz="0" w:space="0" w:color="auto"/>
        <w:right w:val="none" w:sz="0" w:space="0" w:color="auto"/>
      </w:divBdr>
    </w:div>
    <w:div w:id="1513648239">
      <w:bodyDiv w:val="1"/>
      <w:marLeft w:val="0"/>
      <w:marRight w:val="0"/>
      <w:marTop w:val="0"/>
      <w:marBottom w:val="0"/>
      <w:divBdr>
        <w:top w:val="none" w:sz="0" w:space="0" w:color="auto"/>
        <w:left w:val="none" w:sz="0" w:space="0" w:color="auto"/>
        <w:bottom w:val="none" w:sz="0" w:space="0" w:color="auto"/>
        <w:right w:val="none" w:sz="0" w:space="0" w:color="auto"/>
      </w:divBdr>
    </w:div>
    <w:div w:id="1531380411">
      <w:bodyDiv w:val="1"/>
      <w:marLeft w:val="0"/>
      <w:marRight w:val="0"/>
      <w:marTop w:val="0"/>
      <w:marBottom w:val="0"/>
      <w:divBdr>
        <w:top w:val="none" w:sz="0" w:space="0" w:color="auto"/>
        <w:left w:val="none" w:sz="0" w:space="0" w:color="auto"/>
        <w:bottom w:val="none" w:sz="0" w:space="0" w:color="auto"/>
        <w:right w:val="none" w:sz="0" w:space="0" w:color="auto"/>
      </w:divBdr>
    </w:div>
    <w:div w:id="1536894312">
      <w:bodyDiv w:val="1"/>
      <w:marLeft w:val="0"/>
      <w:marRight w:val="0"/>
      <w:marTop w:val="0"/>
      <w:marBottom w:val="0"/>
      <w:divBdr>
        <w:top w:val="none" w:sz="0" w:space="0" w:color="auto"/>
        <w:left w:val="none" w:sz="0" w:space="0" w:color="auto"/>
        <w:bottom w:val="none" w:sz="0" w:space="0" w:color="auto"/>
        <w:right w:val="none" w:sz="0" w:space="0" w:color="auto"/>
      </w:divBdr>
    </w:div>
    <w:div w:id="1539048151">
      <w:bodyDiv w:val="1"/>
      <w:marLeft w:val="0"/>
      <w:marRight w:val="0"/>
      <w:marTop w:val="0"/>
      <w:marBottom w:val="0"/>
      <w:divBdr>
        <w:top w:val="none" w:sz="0" w:space="0" w:color="auto"/>
        <w:left w:val="none" w:sz="0" w:space="0" w:color="auto"/>
        <w:bottom w:val="none" w:sz="0" w:space="0" w:color="auto"/>
        <w:right w:val="none" w:sz="0" w:space="0" w:color="auto"/>
      </w:divBdr>
    </w:div>
    <w:div w:id="1553154394">
      <w:bodyDiv w:val="1"/>
      <w:marLeft w:val="0"/>
      <w:marRight w:val="0"/>
      <w:marTop w:val="0"/>
      <w:marBottom w:val="0"/>
      <w:divBdr>
        <w:top w:val="none" w:sz="0" w:space="0" w:color="auto"/>
        <w:left w:val="none" w:sz="0" w:space="0" w:color="auto"/>
        <w:bottom w:val="none" w:sz="0" w:space="0" w:color="auto"/>
        <w:right w:val="none" w:sz="0" w:space="0" w:color="auto"/>
      </w:divBdr>
    </w:div>
    <w:div w:id="1589653203">
      <w:bodyDiv w:val="1"/>
      <w:marLeft w:val="0"/>
      <w:marRight w:val="0"/>
      <w:marTop w:val="0"/>
      <w:marBottom w:val="0"/>
      <w:divBdr>
        <w:top w:val="none" w:sz="0" w:space="0" w:color="auto"/>
        <w:left w:val="none" w:sz="0" w:space="0" w:color="auto"/>
        <w:bottom w:val="none" w:sz="0" w:space="0" w:color="auto"/>
        <w:right w:val="none" w:sz="0" w:space="0" w:color="auto"/>
      </w:divBdr>
    </w:div>
    <w:div w:id="1608342224">
      <w:bodyDiv w:val="1"/>
      <w:marLeft w:val="0"/>
      <w:marRight w:val="0"/>
      <w:marTop w:val="0"/>
      <w:marBottom w:val="0"/>
      <w:divBdr>
        <w:top w:val="none" w:sz="0" w:space="0" w:color="auto"/>
        <w:left w:val="none" w:sz="0" w:space="0" w:color="auto"/>
        <w:bottom w:val="none" w:sz="0" w:space="0" w:color="auto"/>
        <w:right w:val="none" w:sz="0" w:space="0" w:color="auto"/>
      </w:divBdr>
    </w:div>
    <w:div w:id="1609386753">
      <w:bodyDiv w:val="1"/>
      <w:marLeft w:val="0"/>
      <w:marRight w:val="0"/>
      <w:marTop w:val="0"/>
      <w:marBottom w:val="0"/>
      <w:divBdr>
        <w:top w:val="none" w:sz="0" w:space="0" w:color="auto"/>
        <w:left w:val="none" w:sz="0" w:space="0" w:color="auto"/>
        <w:bottom w:val="none" w:sz="0" w:space="0" w:color="auto"/>
        <w:right w:val="none" w:sz="0" w:space="0" w:color="auto"/>
      </w:divBdr>
    </w:div>
    <w:div w:id="1610239128">
      <w:bodyDiv w:val="1"/>
      <w:marLeft w:val="0"/>
      <w:marRight w:val="0"/>
      <w:marTop w:val="0"/>
      <w:marBottom w:val="0"/>
      <w:divBdr>
        <w:top w:val="none" w:sz="0" w:space="0" w:color="auto"/>
        <w:left w:val="none" w:sz="0" w:space="0" w:color="auto"/>
        <w:bottom w:val="none" w:sz="0" w:space="0" w:color="auto"/>
        <w:right w:val="none" w:sz="0" w:space="0" w:color="auto"/>
      </w:divBdr>
      <w:divsChild>
        <w:div w:id="1618637120">
          <w:marLeft w:val="0"/>
          <w:marRight w:val="0"/>
          <w:marTop w:val="90"/>
          <w:marBottom w:val="0"/>
          <w:divBdr>
            <w:top w:val="none" w:sz="0" w:space="0" w:color="auto"/>
            <w:left w:val="none" w:sz="0" w:space="0" w:color="auto"/>
            <w:bottom w:val="none" w:sz="0" w:space="0" w:color="auto"/>
            <w:right w:val="none" w:sz="0" w:space="0" w:color="auto"/>
          </w:divBdr>
          <w:divsChild>
            <w:div w:id="1984693394">
              <w:marLeft w:val="0"/>
              <w:marRight w:val="0"/>
              <w:marTop w:val="0"/>
              <w:marBottom w:val="420"/>
              <w:divBdr>
                <w:top w:val="none" w:sz="0" w:space="0" w:color="auto"/>
                <w:left w:val="none" w:sz="0" w:space="0" w:color="auto"/>
                <w:bottom w:val="none" w:sz="0" w:space="0" w:color="auto"/>
                <w:right w:val="none" w:sz="0" w:space="0" w:color="auto"/>
              </w:divBdr>
              <w:divsChild>
                <w:div w:id="1132372">
                  <w:marLeft w:val="0"/>
                  <w:marRight w:val="0"/>
                  <w:marTop w:val="0"/>
                  <w:marBottom w:val="0"/>
                  <w:divBdr>
                    <w:top w:val="none" w:sz="0" w:space="0" w:color="auto"/>
                    <w:left w:val="none" w:sz="0" w:space="0" w:color="auto"/>
                    <w:bottom w:val="none" w:sz="0" w:space="0" w:color="auto"/>
                    <w:right w:val="none" w:sz="0" w:space="0" w:color="auto"/>
                  </w:divBdr>
                  <w:divsChild>
                    <w:div w:id="1218516146">
                      <w:marLeft w:val="0"/>
                      <w:marRight w:val="0"/>
                      <w:marTop w:val="0"/>
                      <w:marBottom w:val="0"/>
                      <w:divBdr>
                        <w:top w:val="none" w:sz="0" w:space="0" w:color="auto"/>
                        <w:left w:val="none" w:sz="0" w:space="0" w:color="auto"/>
                        <w:bottom w:val="none" w:sz="0" w:space="0" w:color="auto"/>
                        <w:right w:val="none" w:sz="0" w:space="0" w:color="auto"/>
                      </w:divBdr>
                      <w:divsChild>
                        <w:div w:id="182997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428296">
      <w:bodyDiv w:val="1"/>
      <w:marLeft w:val="0"/>
      <w:marRight w:val="0"/>
      <w:marTop w:val="0"/>
      <w:marBottom w:val="0"/>
      <w:divBdr>
        <w:top w:val="none" w:sz="0" w:space="0" w:color="auto"/>
        <w:left w:val="none" w:sz="0" w:space="0" w:color="auto"/>
        <w:bottom w:val="none" w:sz="0" w:space="0" w:color="auto"/>
        <w:right w:val="none" w:sz="0" w:space="0" w:color="auto"/>
      </w:divBdr>
    </w:div>
    <w:div w:id="1629698331">
      <w:bodyDiv w:val="1"/>
      <w:marLeft w:val="0"/>
      <w:marRight w:val="0"/>
      <w:marTop w:val="0"/>
      <w:marBottom w:val="0"/>
      <w:divBdr>
        <w:top w:val="none" w:sz="0" w:space="0" w:color="auto"/>
        <w:left w:val="none" w:sz="0" w:space="0" w:color="auto"/>
        <w:bottom w:val="none" w:sz="0" w:space="0" w:color="auto"/>
        <w:right w:val="none" w:sz="0" w:space="0" w:color="auto"/>
      </w:divBdr>
    </w:div>
    <w:div w:id="1656491314">
      <w:bodyDiv w:val="1"/>
      <w:marLeft w:val="0"/>
      <w:marRight w:val="0"/>
      <w:marTop w:val="0"/>
      <w:marBottom w:val="0"/>
      <w:divBdr>
        <w:top w:val="none" w:sz="0" w:space="0" w:color="auto"/>
        <w:left w:val="none" w:sz="0" w:space="0" w:color="auto"/>
        <w:bottom w:val="none" w:sz="0" w:space="0" w:color="auto"/>
        <w:right w:val="none" w:sz="0" w:space="0" w:color="auto"/>
      </w:divBdr>
    </w:div>
    <w:div w:id="1656839873">
      <w:bodyDiv w:val="1"/>
      <w:marLeft w:val="0"/>
      <w:marRight w:val="0"/>
      <w:marTop w:val="0"/>
      <w:marBottom w:val="0"/>
      <w:divBdr>
        <w:top w:val="none" w:sz="0" w:space="0" w:color="auto"/>
        <w:left w:val="none" w:sz="0" w:space="0" w:color="auto"/>
        <w:bottom w:val="none" w:sz="0" w:space="0" w:color="auto"/>
        <w:right w:val="none" w:sz="0" w:space="0" w:color="auto"/>
      </w:divBdr>
    </w:div>
    <w:div w:id="1677922407">
      <w:bodyDiv w:val="1"/>
      <w:marLeft w:val="0"/>
      <w:marRight w:val="0"/>
      <w:marTop w:val="0"/>
      <w:marBottom w:val="0"/>
      <w:divBdr>
        <w:top w:val="none" w:sz="0" w:space="0" w:color="auto"/>
        <w:left w:val="none" w:sz="0" w:space="0" w:color="auto"/>
        <w:bottom w:val="none" w:sz="0" w:space="0" w:color="auto"/>
        <w:right w:val="none" w:sz="0" w:space="0" w:color="auto"/>
      </w:divBdr>
    </w:div>
    <w:div w:id="1720936743">
      <w:bodyDiv w:val="1"/>
      <w:marLeft w:val="0"/>
      <w:marRight w:val="0"/>
      <w:marTop w:val="0"/>
      <w:marBottom w:val="0"/>
      <w:divBdr>
        <w:top w:val="none" w:sz="0" w:space="0" w:color="auto"/>
        <w:left w:val="none" w:sz="0" w:space="0" w:color="auto"/>
        <w:bottom w:val="none" w:sz="0" w:space="0" w:color="auto"/>
        <w:right w:val="none" w:sz="0" w:space="0" w:color="auto"/>
      </w:divBdr>
    </w:div>
    <w:div w:id="1722513370">
      <w:bodyDiv w:val="1"/>
      <w:marLeft w:val="0"/>
      <w:marRight w:val="0"/>
      <w:marTop w:val="0"/>
      <w:marBottom w:val="0"/>
      <w:divBdr>
        <w:top w:val="none" w:sz="0" w:space="0" w:color="auto"/>
        <w:left w:val="none" w:sz="0" w:space="0" w:color="auto"/>
        <w:bottom w:val="none" w:sz="0" w:space="0" w:color="auto"/>
        <w:right w:val="none" w:sz="0" w:space="0" w:color="auto"/>
      </w:divBdr>
    </w:div>
    <w:div w:id="1749115611">
      <w:bodyDiv w:val="1"/>
      <w:marLeft w:val="0"/>
      <w:marRight w:val="0"/>
      <w:marTop w:val="0"/>
      <w:marBottom w:val="0"/>
      <w:divBdr>
        <w:top w:val="none" w:sz="0" w:space="0" w:color="auto"/>
        <w:left w:val="none" w:sz="0" w:space="0" w:color="auto"/>
        <w:bottom w:val="none" w:sz="0" w:space="0" w:color="auto"/>
        <w:right w:val="none" w:sz="0" w:space="0" w:color="auto"/>
      </w:divBdr>
      <w:divsChild>
        <w:div w:id="1607467391">
          <w:marLeft w:val="-675"/>
          <w:marRight w:val="-675"/>
          <w:marTop w:val="0"/>
          <w:marBottom w:val="0"/>
          <w:divBdr>
            <w:top w:val="none" w:sz="0" w:space="0" w:color="auto"/>
            <w:left w:val="none" w:sz="0" w:space="0" w:color="auto"/>
            <w:bottom w:val="none" w:sz="0" w:space="0" w:color="auto"/>
            <w:right w:val="none" w:sz="0" w:space="0" w:color="auto"/>
          </w:divBdr>
          <w:divsChild>
            <w:div w:id="40337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115278">
      <w:bodyDiv w:val="1"/>
      <w:marLeft w:val="0"/>
      <w:marRight w:val="0"/>
      <w:marTop w:val="0"/>
      <w:marBottom w:val="0"/>
      <w:divBdr>
        <w:top w:val="none" w:sz="0" w:space="0" w:color="auto"/>
        <w:left w:val="none" w:sz="0" w:space="0" w:color="auto"/>
        <w:bottom w:val="none" w:sz="0" w:space="0" w:color="auto"/>
        <w:right w:val="none" w:sz="0" w:space="0" w:color="auto"/>
      </w:divBdr>
      <w:divsChild>
        <w:div w:id="113646700">
          <w:marLeft w:val="-30"/>
          <w:marRight w:val="0"/>
          <w:marTop w:val="0"/>
          <w:marBottom w:val="195"/>
          <w:divBdr>
            <w:top w:val="none" w:sz="0" w:space="0" w:color="auto"/>
            <w:left w:val="none" w:sz="0" w:space="0" w:color="auto"/>
            <w:bottom w:val="none" w:sz="0" w:space="0" w:color="auto"/>
            <w:right w:val="none" w:sz="0" w:space="0" w:color="auto"/>
          </w:divBdr>
          <w:divsChild>
            <w:div w:id="2062361699">
              <w:marLeft w:val="0"/>
              <w:marRight w:val="0"/>
              <w:marTop w:val="0"/>
              <w:marBottom w:val="0"/>
              <w:divBdr>
                <w:top w:val="none" w:sz="0" w:space="0" w:color="auto"/>
                <w:left w:val="none" w:sz="0" w:space="0" w:color="auto"/>
                <w:bottom w:val="none" w:sz="0" w:space="0" w:color="auto"/>
                <w:right w:val="none" w:sz="0" w:space="0" w:color="auto"/>
              </w:divBdr>
              <w:divsChild>
                <w:div w:id="12623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069945">
      <w:bodyDiv w:val="1"/>
      <w:marLeft w:val="0"/>
      <w:marRight w:val="0"/>
      <w:marTop w:val="0"/>
      <w:marBottom w:val="0"/>
      <w:divBdr>
        <w:top w:val="none" w:sz="0" w:space="0" w:color="auto"/>
        <w:left w:val="none" w:sz="0" w:space="0" w:color="auto"/>
        <w:bottom w:val="none" w:sz="0" w:space="0" w:color="auto"/>
        <w:right w:val="none" w:sz="0" w:space="0" w:color="auto"/>
      </w:divBdr>
    </w:div>
    <w:div w:id="1800611460">
      <w:bodyDiv w:val="1"/>
      <w:marLeft w:val="0"/>
      <w:marRight w:val="0"/>
      <w:marTop w:val="0"/>
      <w:marBottom w:val="0"/>
      <w:divBdr>
        <w:top w:val="none" w:sz="0" w:space="0" w:color="auto"/>
        <w:left w:val="none" w:sz="0" w:space="0" w:color="auto"/>
        <w:bottom w:val="none" w:sz="0" w:space="0" w:color="auto"/>
        <w:right w:val="none" w:sz="0" w:space="0" w:color="auto"/>
      </w:divBdr>
    </w:div>
    <w:div w:id="1888104111">
      <w:bodyDiv w:val="1"/>
      <w:marLeft w:val="0"/>
      <w:marRight w:val="0"/>
      <w:marTop w:val="0"/>
      <w:marBottom w:val="0"/>
      <w:divBdr>
        <w:top w:val="none" w:sz="0" w:space="0" w:color="auto"/>
        <w:left w:val="none" w:sz="0" w:space="0" w:color="auto"/>
        <w:bottom w:val="none" w:sz="0" w:space="0" w:color="auto"/>
        <w:right w:val="none" w:sz="0" w:space="0" w:color="auto"/>
      </w:divBdr>
    </w:div>
    <w:div w:id="1921137807">
      <w:bodyDiv w:val="1"/>
      <w:marLeft w:val="0"/>
      <w:marRight w:val="0"/>
      <w:marTop w:val="0"/>
      <w:marBottom w:val="0"/>
      <w:divBdr>
        <w:top w:val="none" w:sz="0" w:space="0" w:color="auto"/>
        <w:left w:val="none" w:sz="0" w:space="0" w:color="auto"/>
        <w:bottom w:val="none" w:sz="0" w:space="0" w:color="auto"/>
        <w:right w:val="none" w:sz="0" w:space="0" w:color="auto"/>
      </w:divBdr>
      <w:divsChild>
        <w:div w:id="453912909">
          <w:marLeft w:val="-30"/>
          <w:marRight w:val="0"/>
          <w:marTop w:val="0"/>
          <w:marBottom w:val="195"/>
          <w:divBdr>
            <w:top w:val="none" w:sz="0" w:space="0" w:color="auto"/>
            <w:left w:val="none" w:sz="0" w:space="0" w:color="auto"/>
            <w:bottom w:val="none" w:sz="0" w:space="0" w:color="auto"/>
            <w:right w:val="none" w:sz="0" w:space="0" w:color="auto"/>
          </w:divBdr>
          <w:divsChild>
            <w:div w:id="798572299">
              <w:marLeft w:val="0"/>
              <w:marRight w:val="0"/>
              <w:marTop w:val="0"/>
              <w:marBottom w:val="0"/>
              <w:divBdr>
                <w:top w:val="none" w:sz="0" w:space="0" w:color="auto"/>
                <w:left w:val="none" w:sz="0" w:space="0" w:color="auto"/>
                <w:bottom w:val="none" w:sz="0" w:space="0" w:color="auto"/>
                <w:right w:val="none" w:sz="0" w:space="0" w:color="auto"/>
              </w:divBdr>
              <w:divsChild>
                <w:div w:id="15808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042868">
      <w:bodyDiv w:val="1"/>
      <w:marLeft w:val="0"/>
      <w:marRight w:val="0"/>
      <w:marTop w:val="0"/>
      <w:marBottom w:val="0"/>
      <w:divBdr>
        <w:top w:val="none" w:sz="0" w:space="0" w:color="auto"/>
        <w:left w:val="none" w:sz="0" w:space="0" w:color="auto"/>
        <w:bottom w:val="none" w:sz="0" w:space="0" w:color="auto"/>
        <w:right w:val="none" w:sz="0" w:space="0" w:color="auto"/>
      </w:divBdr>
      <w:divsChild>
        <w:div w:id="1697147344">
          <w:marLeft w:val="-30"/>
          <w:marRight w:val="0"/>
          <w:marTop w:val="0"/>
          <w:marBottom w:val="195"/>
          <w:divBdr>
            <w:top w:val="none" w:sz="0" w:space="0" w:color="auto"/>
            <w:left w:val="none" w:sz="0" w:space="0" w:color="auto"/>
            <w:bottom w:val="none" w:sz="0" w:space="0" w:color="auto"/>
            <w:right w:val="none" w:sz="0" w:space="0" w:color="auto"/>
          </w:divBdr>
          <w:divsChild>
            <w:div w:id="1351376945">
              <w:marLeft w:val="0"/>
              <w:marRight w:val="0"/>
              <w:marTop w:val="0"/>
              <w:marBottom w:val="0"/>
              <w:divBdr>
                <w:top w:val="none" w:sz="0" w:space="0" w:color="auto"/>
                <w:left w:val="none" w:sz="0" w:space="0" w:color="auto"/>
                <w:bottom w:val="none" w:sz="0" w:space="0" w:color="auto"/>
                <w:right w:val="none" w:sz="0" w:space="0" w:color="auto"/>
              </w:divBdr>
              <w:divsChild>
                <w:div w:id="106568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579564">
      <w:bodyDiv w:val="1"/>
      <w:marLeft w:val="0"/>
      <w:marRight w:val="0"/>
      <w:marTop w:val="0"/>
      <w:marBottom w:val="0"/>
      <w:divBdr>
        <w:top w:val="none" w:sz="0" w:space="0" w:color="auto"/>
        <w:left w:val="none" w:sz="0" w:space="0" w:color="auto"/>
        <w:bottom w:val="none" w:sz="0" w:space="0" w:color="auto"/>
        <w:right w:val="none" w:sz="0" w:space="0" w:color="auto"/>
      </w:divBdr>
    </w:div>
    <w:div w:id="1942957647">
      <w:bodyDiv w:val="1"/>
      <w:marLeft w:val="0"/>
      <w:marRight w:val="0"/>
      <w:marTop w:val="0"/>
      <w:marBottom w:val="0"/>
      <w:divBdr>
        <w:top w:val="none" w:sz="0" w:space="0" w:color="auto"/>
        <w:left w:val="none" w:sz="0" w:space="0" w:color="auto"/>
        <w:bottom w:val="none" w:sz="0" w:space="0" w:color="auto"/>
        <w:right w:val="none" w:sz="0" w:space="0" w:color="auto"/>
      </w:divBdr>
      <w:divsChild>
        <w:div w:id="407920389">
          <w:marLeft w:val="-30"/>
          <w:marRight w:val="0"/>
          <w:marTop w:val="0"/>
          <w:marBottom w:val="195"/>
          <w:divBdr>
            <w:top w:val="none" w:sz="0" w:space="0" w:color="auto"/>
            <w:left w:val="none" w:sz="0" w:space="0" w:color="auto"/>
            <w:bottom w:val="none" w:sz="0" w:space="0" w:color="auto"/>
            <w:right w:val="none" w:sz="0" w:space="0" w:color="auto"/>
          </w:divBdr>
          <w:divsChild>
            <w:div w:id="1991597010">
              <w:marLeft w:val="0"/>
              <w:marRight w:val="0"/>
              <w:marTop w:val="0"/>
              <w:marBottom w:val="0"/>
              <w:divBdr>
                <w:top w:val="none" w:sz="0" w:space="0" w:color="auto"/>
                <w:left w:val="none" w:sz="0" w:space="0" w:color="auto"/>
                <w:bottom w:val="none" w:sz="0" w:space="0" w:color="auto"/>
                <w:right w:val="none" w:sz="0" w:space="0" w:color="auto"/>
              </w:divBdr>
              <w:divsChild>
                <w:div w:id="5069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276157">
      <w:bodyDiv w:val="1"/>
      <w:marLeft w:val="0"/>
      <w:marRight w:val="0"/>
      <w:marTop w:val="0"/>
      <w:marBottom w:val="0"/>
      <w:divBdr>
        <w:top w:val="none" w:sz="0" w:space="0" w:color="auto"/>
        <w:left w:val="none" w:sz="0" w:space="0" w:color="auto"/>
        <w:bottom w:val="none" w:sz="0" w:space="0" w:color="auto"/>
        <w:right w:val="none" w:sz="0" w:space="0" w:color="auto"/>
      </w:divBdr>
    </w:div>
    <w:div w:id="1957368465">
      <w:bodyDiv w:val="1"/>
      <w:marLeft w:val="0"/>
      <w:marRight w:val="0"/>
      <w:marTop w:val="0"/>
      <w:marBottom w:val="0"/>
      <w:divBdr>
        <w:top w:val="none" w:sz="0" w:space="0" w:color="auto"/>
        <w:left w:val="none" w:sz="0" w:space="0" w:color="auto"/>
        <w:bottom w:val="none" w:sz="0" w:space="0" w:color="auto"/>
        <w:right w:val="none" w:sz="0" w:space="0" w:color="auto"/>
      </w:divBdr>
    </w:div>
    <w:div w:id="1968317580">
      <w:bodyDiv w:val="1"/>
      <w:marLeft w:val="0"/>
      <w:marRight w:val="0"/>
      <w:marTop w:val="0"/>
      <w:marBottom w:val="0"/>
      <w:divBdr>
        <w:top w:val="none" w:sz="0" w:space="0" w:color="auto"/>
        <w:left w:val="none" w:sz="0" w:space="0" w:color="auto"/>
        <w:bottom w:val="none" w:sz="0" w:space="0" w:color="auto"/>
        <w:right w:val="none" w:sz="0" w:space="0" w:color="auto"/>
      </w:divBdr>
    </w:div>
    <w:div w:id="2011986336">
      <w:bodyDiv w:val="1"/>
      <w:marLeft w:val="0"/>
      <w:marRight w:val="0"/>
      <w:marTop w:val="0"/>
      <w:marBottom w:val="0"/>
      <w:divBdr>
        <w:top w:val="none" w:sz="0" w:space="0" w:color="auto"/>
        <w:left w:val="none" w:sz="0" w:space="0" w:color="auto"/>
        <w:bottom w:val="none" w:sz="0" w:space="0" w:color="auto"/>
        <w:right w:val="none" w:sz="0" w:space="0" w:color="auto"/>
      </w:divBdr>
    </w:div>
    <w:div w:id="2013488029">
      <w:bodyDiv w:val="1"/>
      <w:marLeft w:val="0"/>
      <w:marRight w:val="0"/>
      <w:marTop w:val="0"/>
      <w:marBottom w:val="0"/>
      <w:divBdr>
        <w:top w:val="none" w:sz="0" w:space="0" w:color="auto"/>
        <w:left w:val="none" w:sz="0" w:space="0" w:color="auto"/>
        <w:bottom w:val="none" w:sz="0" w:space="0" w:color="auto"/>
        <w:right w:val="none" w:sz="0" w:space="0" w:color="auto"/>
      </w:divBdr>
      <w:divsChild>
        <w:div w:id="719788600">
          <w:marLeft w:val="-30"/>
          <w:marRight w:val="0"/>
          <w:marTop w:val="0"/>
          <w:marBottom w:val="195"/>
          <w:divBdr>
            <w:top w:val="none" w:sz="0" w:space="0" w:color="auto"/>
            <w:left w:val="none" w:sz="0" w:space="0" w:color="auto"/>
            <w:bottom w:val="none" w:sz="0" w:space="0" w:color="auto"/>
            <w:right w:val="none" w:sz="0" w:space="0" w:color="auto"/>
          </w:divBdr>
          <w:divsChild>
            <w:div w:id="1654750151">
              <w:marLeft w:val="0"/>
              <w:marRight w:val="0"/>
              <w:marTop w:val="0"/>
              <w:marBottom w:val="0"/>
              <w:divBdr>
                <w:top w:val="none" w:sz="0" w:space="0" w:color="auto"/>
                <w:left w:val="none" w:sz="0" w:space="0" w:color="auto"/>
                <w:bottom w:val="none" w:sz="0" w:space="0" w:color="auto"/>
                <w:right w:val="none" w:sz="0" w:space="0" w:color="auto"/>
              </w:divBdr>
              <w:divsChild>
                <w:div w:id="205901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094373">
      <w:bodyDiv w:val="1"/>
      <w:marLeft w:val="0"/>
      <w:marRight w:val="0"/>
      <w:marTop w:val="0"/>
      <w:marBottom w:val="0"/>
      <w:divBdr>
        <w:top w:val="none" w:sz="0" w:space="0" w:color="auto"/>
        <w:left w:val="none" w:sz="0" w:space="0" w:color="auto"/>
        <w:bottom w:val="none" w:sz="0" w:space="0" w:color="auto"/>
        <w:right w:val="none" w:sz="0" w:space="0" w:color="auto"/>
      </w:divBdr>
    </w:div>
    <w:div w:id="2042171736">
      <w:bodyDiv w:val="1"/>
      <w:marLeft w:val="0"/>
      <w:marRight w:val="0"/>
      <w:marTop w:val="0"/>
      <w:marBottom w:val="0"/>
      <w:divBdr>
        <w:top w:val="none" w:sz="0" w:space="0" w:color="auto"/>
        <w:left w:val="none" w:sz="0" w:space="0" w:color="auto"/>
        <w:bottom w:val="none" w:sz="0" w:space="0" w:color="auto"/>
        <w:right w:val="none" w:sz="0" w:space="0" w:color="auto"/>
      </w:divBdr>
    </w:div>
    <w:div w:id="2071803132">
      <w:bodyDiv w:val="1"/>
      <w:marLeft w:val="0"/>
      <w:marRight w:val="0"/>
      <w:marTop w:val="0"/>
      <w:marBottom w:val="0"/>
      <w:divBdr>
        <w:top w:val="none" w:sz="0" w:space="0" w:color="auto"/>
        <w:left w:val="none" w:sz="0" w:space="0" w:color="auto"/>
        <w:bottom w:val="none" w:sz="0" w:space="0" w:color="auto"/>
        <w:right w:val="none" w:sz="0" w:space="0" w:color="auto"/>
      </w:divBdr>
    </w:div>
    <w:div w:id="2101028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0.xml"/><Relationship Id="rId299" Type="http://schemas.openxmlformats.org/officeDocument/2006/relationships/fontTable" Target="fontTable.xml"/><Relationship Id="rId303" Type="http://schemas.microsoft.com/office/2016/09/relationships/commentsIds" Target="commentsIds.xml"/><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42.jpg"/><Relationship Id="rId84" Type="http://schemas.openxmlformats.org/officeDocument/2006/relationships/image" Target="media/image50.png"/><Relationship Id="rId138" Type="http://schemas.openxmlformats.org/officeDocument/2006/relationships/image" Target="media/image91.jpeg"/><Relationship Id="rId159" Type="http://schemas.openxmlformats.org/officeDocument/2006/relationships/hyperlink" Target="http://www.ic-zlin.cz" TargetMode="External"/><Relationship Id="rId170" Type="http://schemas.openxmlformats.org/officeDocument/2006/relationships/hyperlink" Target="http://portal.chmi.cz/files/portal/docs/uoco/isko/grafroc/18groc/gr18cz/KO_rocenka_2018.pdf" TargetMode="External"/><Relationship Id="rId191" Type="http://schemas.openxmlformats.org/officeDocument/2006/relationships/hyperlink" Target="https://www.zlin.eu/strategie-rozvoje-statutarniho-mesta-zlina-do-roku-2020-zlin-2020-cl-750.html" TargetMode="External"/><Relationship Id="rId205" Type="http://schemas.openxmlformats.org/officeDocument/2006/relationships/hyperlink" Target="https://www.zlin.eu/zivotni-prostredi-a-zemedelstvi-cl-228.html" TargetMode="External"/><Relationship Id="rId226" Type="http://schemas.openxmlformats.org/officeDocument/2006/relationships/image" Target="media/image107.png"/><Relationship Id="rId247" Type="http://schemas.openxmlformats.org/officeDocument/2006/relationships/hyperlink" Target="https://mmr.cz/cs/microsites/portal-strategicke-prace-v-ceske-republice/nastroje-a-metodicka-podpora/vystupy-projektu" TargetMode="External"/><Relationship Id="rId107" Type="http://schemas.openxmlformats.org/officeDocument/2006/relationships/image" Target="media/image72.png"/><Relationship Id="rId268" Type="http://schemas.openxmlformats.org/officeDocument/2006/relationships/hyperlink" Target="mailto:lubor.hruska@accendo.cz" TargetMode="External"/><Relationship Id="rId289" Type="http://schemas.openxmlformats.org/officeDocument/2006/relationships/image" Target="media/image156.png"/><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chart" Target="charts/chart1.xml"/><Relationship Id="rId74" Type="http://schemas.openxmlformats.org/officeDocument/2006/relationships/image" Target="media/image46.png"/><Relationship Id="rId128" Type="http://schemas.openxmlformats.org/officeDocument/2006/relationships/image" Target="media/image84.png"/><Relationship Id="rId149" Type="http://schemas.openxmlformats.org/officeDocument/2006/relationships/hyperlink" Target="http://www.zlin.eu" TargetMode="External"/><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header" Target="header3.xml"/><Relationship Id="rId181" Type="http://schemas.openxmlformats.org/officeDocument/2006/relationships/hyperlink" Target="https://www.zlin.eu/clanky/dokumenty/2625/0hhiy4dk-vnimani-pocitu-bezpeci-obyvatel-zlina.pdf" TargetMode="External"/><Relationship Id="rId216" Type="http://schemas.openxmlformats.org/officeDocument/2006/relationships/hyperlink" Target="https://www.zlin.eu/generel-dopravy-pro-mesto-zlin-cl-2238.html" TargetMode="External"/><Relationship Id="rId237" Type="http://schemas.openxmlformats.org/officeDocument/2006/relationships/image" Target="media/image118.png"/><Relationship Id="rId258" Type="http://schemas.openxmlformats.org/officeDocument/2006/relationships/image" Target="media/image131.png"/><Relationship Id="rId279" Type="http://schemas.openxmlformats.org/officeDocument/2006/relationships/image" Target="media/image146.png"/><Relationship Id="rId22" Type="http://schemas.openxmlformats.org/officeDocument/2006/relationships/image" Target="media/image12.png"/><Relationship Id="rId43" Type="http://schemas.openxmlformats.org/officeDocument/2006/relationships/image" Target="media/image32.png"/><Relationship Id="rId64" Type="http://schemas.openxmlformats.org/officeDocument/2006/relationships/image" Target="media/image43.png"/><Relationship Id="rId118" Type="http://schemas.openxmlformats.org/officeDocument/2006/relationships/hyperlink" Target="https://www.hzscr.cz/clanek/statisticka-rocenka-hzs-zlinskeho-kraje.aspx" TargetMode="External"/><Relationship Id="rId139" Type="http://schemas.openxmlformats.org/officeDocument/2006/relationships/image" Target="media/image92.png"/><Relationship Id="rId290" Type="http://schemas.openxmlformats.org/officeDocument/2006/relationships/image" Target="media/image157.png"/><Relationship Id="rId304" Type="http://schemas.microsoft.com/office/2018/08/relationships/commentsExtensible" Target="commentsExtensible.xml"/><Relationship Id="rId85" Type="http://schemas.openxmlformats.org/officeDocument/2006/relationships/image" Target="media/image51.png"/><Relationship Id="rId150" Type="http://schemas.openxmlformats.org/officeDocument/2006/relationships/image" Target="media/image102.png"/><Relationship Id="rId171" Type="http://schemas.openxmlformats.org/officeDocument/2006/relationships/hyperlink" Target="https://vdb.czso.cz/" TargetMode="External"/><Relationship Id="rId192" Type="http://schemas.openxmlformats.org/officeDocument/2006/relationships/hyperlink" Target="https://www.zlin.eu/ochrana-pred-povodnemi-cl-230.html" TargetMode="External"/><Relationship Id="rId206" Type="http://schemas.openxmlformats.org/officeDocument/2006/relationships/hyperlink" Target="https://www.zlin.eu/vyrocni-zprava-magistratu-mesta-zlina-cl-101.html" TargetMode="External"/><Relationship Id="rId227" Type="http://schemas.openxmlformats.org/officeDocument/2006/relationships/image" Target="media/image108.png"/><Relationship Id="rId248" Type="http://schemas.openxmlformats.org/officeDocument/2006/relationships/image" Target="media/image124.emf"/><Relationship Id="rId269" Type="http://schemas.openxmlformats.org/officeDocument/2006/relationships/hyperlink" Target="mailto:martina.melarova@rozvoj-obce.cz" TargetMode="External"/><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image" Target="media/image73.png"/><Relationship Id="rId129" Type="http://schemas.openxmlformats.org/officeDocument/2006/relationships/image" Target="media/image85.png"/><Relationship Id="rId280" Type="http://schemas.openxmlformats.org/officeDocument/2006/relationships/image" Target="media/image147.png"/><Relationship Id="rId54" Type="http://schemas.openxmlformats.org/officeDocument/2006/relationships/chart" Target="charts/chart2.xml"/><Relationship Id="rId75" Type="http://schemas.openxmlformats.org/officeDocument/2006/relationships/hyperlink" Target="http://cds.chmi.cz/?lang=cs" TargetMode="External"/><Relationship Id="rId96" Type="http://schemas.openxmlformats.org/officeDocument/2006/relationships/image" Target="media/image62.png"/><Relationship Id="rId140" Type="http://schemas.openxmlformats.org/officeDocument/2006/relationships/image" Target="media/image93.png"/><Relationship Id="rId161" Type="http://schemas.openxmlformats.org/officeDocument/2006/relationships/footer" Target="footer2.xml"/><Relationship Id="rId182" Type="http://schemas.openxmlformats.org/officeDocument/2006/relationships/hyperlink" Target="https://www.hzscr.cz/clanek/statisticka-rocenka-hzs-zlinskeho-kraje.aspx" TargetMode="External"/><Relationship Id="rId217" Type="http://schemas.openxmlformats.org/officeDocument/2006/relationships/hyperlink" Target="https://www.zlin.eu/zlin-cl-3586.html" TargetMode="External"/><Relationship Id="rId6" Type="http://schemas.openxmlformats.org/officeDocument/2006/relationships/footnotes" Target="footnotes.xml"/><Relationship Id="rId238" Type="http://schemas.openxmlformats.org/officeDocument/2006/relationships/image" Target="media/image119.png"/><Relationship Id="rId259" Type="http://schemas.openxmlformats.org/officeDocument/2006/relationships/image" Target="media/image132.png"/><Relationship Id="rId23" Type="http://schemas.openxmlformats.org/officeDocument/2006/relationships/hyperlink" Target="https://geoportal.kr-zlinsky.cz/bf/" TargetMode="External"/><Relationship Id="rId119" Type="http://schemas.openxmlformats.org/officeDocument/2006/relationships/chart" Target="charts/chart11.xml"/><Relationship Id="rId270" Type="http://schemas.openxmlformats.org/officeDocument/2006/relationships/hyperlink" Target="mailto:petrstiglitz@zlin.eu" TargetMode="External"/><Relationship Id="rId291" Type="http://schemas.openxmlformats.org/officeDocument/2006/relationships/image" Target="media/image158.png"/><Relationship Id="rId44" Type="http://schemas.openxmlformats.org/officeDocument/2006/relationships/image" Target="media/image33.png"/><Relationship Id="rId65" Type="http://schemas.openxmlformats.org/officeDocument/2006/relationships/image" Target="media/image44.png"/><Relationship Id="rId86" Type="http://schemas.openxmlformats.org/officeDocument/2006/relationships/image" Target="media/image52.png"/><Relationship Id="rId130" Type="http://schemas.openxmlformats.org/officeDocument/2006/relationships/image" Target="media/image86.png"/><Relationship Id="rId151" Type="http://schemas.openxmlformats.org/officeDocument/2006/relationships/hyperlink" Target="http://rozpocet.zlin.eu/GReportViewer/index.html%20od%20roku%202013" TargetMode="External"/><Relationship Id="rId172" Type="http://schemas.openxmlformats.org/officeDocument/2006/relationships/hyperlink" Target="https://www.czso.cz/csu/czso/csu_a_uzemne_analyticke_podklady" TargetMode="External"/><Relationship Id="rId193" Type="http://schemas.openxmlformats.org/officeDocument/2006/relationships/hyperlink" Target="https://www.zlin.eu/vyrocni-zprava-magistratu-mesta-zlina-cl-101.html" TargetMode="External"/><Relationship Id="rId207" Type="http://schemas.openxmlformats.org/officeDocument/2006/relationships/hyperlink" Target="http://www.stredniskoly.cz" TargetMode="External"/><Relationship Id="rId228" Type="http://schemas.openxmlformats.org/officeDocument/2006/relationships/image" Target="media/image109.png"/><Relationship Id="rId249" Type="http://schemas.openxmlformats.org/officeDocument/2006/relationships/hyperlink" Target="mailto:lubor.hruska@accendo.cz" TargetMode="External"/><Relationship Id="rId13" Type="http://schemas.openxmlformats.org/officeDocument/2006/relationships/hyperlink" Target="https://www.zlin.eu/odbor-kultury-a-pamatkove-pece-cl-117.html" TargetMode="External"/><Relationship Id="rId109" Type="http://schemas.openxmlformats.org/officeDocument/2006/relationships/image" Target="media/image74.png"/><Relationship Id="rId260" Type="http://schemas.openxmlformats.org/officeDocument/2006/relationships/image" Target="media/image133.png"/><Relationship Id="rId281" Type="http://schemas.openxmlformats.org/officeDocument/2006/relationships/image" Target="media/image148.png"/><Relationship Id="rId34" Type="http://schemas.openxmlformats.org/officeDocument/2006/relationships/image" Target="media/image23.emf"/><Relationship Id="rId55" Type="http://schemas.openxmlformats.org/officeDocument/2006/relationships/hyperlink" Target="http://portal.chmi.cz/historicka-data/pocasi/uzemni-srazky" TargetMode="External"/><Relationship Id="rId76" Type="http://schemas.openxmlformats.org/officeDocument/2006/relationships/chart" Target="charts/chart7.xml"/><Relationship Id="rId97" Type="http://schemas.openxmlformats.org/officeDocument/2006/relationships/image" Target="media/image63.png"/><Relationship Id="rId120" Type="http://schemas.openxmlformats.org/officeDocument/2006/relationships/hyperlink" Target="https://www.hzscr.cz/clanek/statisticka-rocenka-hzs-zlinskeho-kraje.aspx" TargetMode="External"/><Relationship Id="rId141" Type="http://schemas.openxmlformats.org/officeDocument/2006/relationships/image" Target="media/image94.png"/><Relationship Id="rId7" Type="http://schemas.openxmlformats.org/officeDocument/2006/relationships/endnotes" Target="endnotes.xml"/><Relationship Id="rId162" Type="http://schemas.openxmlformats.org/officeDocument/2006/relationships/header" Target="header4.xml"/><Relationship Id="rId183" Type="http://schemas.openxmlformats.org/officeDocument/2006/relationships/hyperlink" Target="https://www.zlin.eu/sumf-strategicky-ramec-udrzitelne-mestske-mobility-cl-3770.html" TargetMode="External"/><Relationship Id="rId218" Type="http://schemas.openxmlformats.org/officeDocument/2006/relationships/hyperlink" Target="https://www.zlin.eu/clanky/dokumenty/2558/ska4d809d6f5-mesto-zlin---vyrocni-zprava-2018.pd" TargetMode="External"/><Relationship Id="rId239" Type="http://schemas.openxmlformats.org/officeDocument/2006/relationships/image" Target="media/image120.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hyperlink" Target="mailto:martina.melarova@rozvoj-obce.cz" TargetMode="External"/><Relationship Id="rId255" Type="http://schemas.openxmlformats.org/officeDocument/2006/relationships/image" Target="media/image128.png"/><Relationship Id="rId271" Type="http://schemas.openxmlformats.org/officeDocument/2006/relationships/image" Target="media/image139.png"/><Relationship Id="rId276" Type="http://schemas.openxmlformats.org/officeDocument/2006/relationships/image" Target="media/image143.png"/><Relationship Id="rId292" Type="http://schemas.openxmlformats.org/officeDocument/2006/relationships/image" Target="media/image159.png"/><Relationship Id="rId297" Type="http://schemas.openxmlformats.org/officeDocument/2006/relationships/hyperlink" Target="http://www.ic-zlin.cz" TargetMode="External"/><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https://www.zlin.eu/" TargetMode="External"/><Relationship Id="rId66" Type="http://schemas.openxmlformats.org/officeDocument/2006/relationships/hyperlink" Target="https://geoportal.mzcr.cz/shm/" TargetMode="External"/><Relationship Id="rId87" Type="http://schemas.openxmlformats.org/officeDocument/2006/relationships/image" Target="media/image53.png"/><Relationship Id="rId110" Type="http://schemas.openxmlformats.org/officeDocument/2006/relationships/image" Target="media/image75.png"/><Relationship Id="rId115" Type="http://schemas.openxmlformats.org/officeDocument/2006/relationships/chart" Target="charts/chart8.xml"/><Relationship Id="rId131" Type="http://schemas.openxmlformats.org/officeDocument/2006/relationships/chart" Target="charts/chart13.xml"/><Relationship Id="rId136" Type="http://schemas.openxmlformats.org/officeDocument/2006/relationships/image" Target="media/image90.png"/><Relationship Id="rId157" Type="http://schemas.openxmlformats.org/officeDocument/2006/relationships/hyperlink" Target="http://www.ic-zlin.cz" TargetMode="External"/><Relationship Id="rId178" Type="http://schemas.openxmlformats.org/officeDocument/2006/relationships/hyperlink" Target="https://www.zlin.eu/clanky/dokumenty/2599/657edibw058v-plan-odpadoveho-hospodarstvi-smz-2017-2021.pdf" TargetMode="External"/><Relationship Id="rId61" Type="http://schemas.openxmlformats.org/officeDocument/2006/relationships/hyperlink" Target="http://www.zlin.eu/mapy-cl-125.html" TargetMode="External"/><Relationship Id="rId82" Type="http://schemas.openxmlformats.org/officeDocument/2006/relationships/header" Target="header1.xml"/><Relationship Id="rId152" Type="http://schemas.openxmlformats.org/officeDocument/2006/relationships/image" Target="media/image103.png"/><Relationship Id="rId173" Type="http://schemas.openxmlformats.org/officeDocument/2006/relationships/hyperlink" Target="https://geoportal.cuzk.cz/" TargetMode="External"/><Relationship Id="rId194" Type="http://schemas.openxmlformats.org/officeDocument/2006/relationships/hyperlink" Target="https://mapanezamestnanosti.cz/" TargetMode="External"/><Relationship Id="rId199" Type="http://schemas.openxmlformats.org/officeDocument/2006/relationships/hyperlink" Target="https://geoportal.mzcr.cz/shm/" TargetMode="External"/><Relationship Id="rId203" Type="http://schemas.openxmlformats.org/officeDocument/2006/relationships/hyperlink" Target="https://www.mvcr.cz/clanek/bezpecnostni-hrozby-337414.aspx?q=Y2hudW09Mw%3D%3D" TargetMode="External"/><Relationship Id="rId208" Type="http://schemas.openxmlformats.org/officeDocument/2006/relationships/hyperlink" Target="http://www.utb.cz" TargetMode="External"/><Relationship Id="rId229" Type="http://schemas.openxmlformats.org/officeDocument/2006/relationships/image" Target="media/image110.png"/><Relationship Id="rId19" Type="http://schemas.openxmlformats.org/officeDocument/2006/relationships/image" Target="media/image9.jpeg"/><Relationship Id="rId224" Type="http://schemas.openxmlformats.org/officeDocument/2006/relationships/hyperlink" Target="file:///C:/Users/%C5%A0%C5%A5ep%C3%A1n%20Strnadel/Downloads/priloha-c--1--textova-cast-uplneho-zneni-zur-zk-po-vydani-aktualizace-c--2%20(1).pdf" TargetMode="External"/><Relationship Id="rId240" Type="http://schemas.openxmlformats.org/officeDocument/2006/relationships/image" Target="media/image121.png"/><Relationship Id="rId245" Type="http://schemas.openxmlformats.org/officeDocument/2006/relationships/hyperlink" Target="https://www.zlin.eu/berani-zlin-s-r-o--cl-107.html" TargetMode="External"/><Relationship Id="rId261" Type="http://schemas.openxmlformats.org/officeDocument/2006/relationships/image" Target="media/image134.png"/><Relationship Id="rId266" Type="http://schemas.openxmlformats.org/officeDocument/2006/relationships/image" Target="media/image137.png"/><Relationship Id="rId287" Type="http://schemas.openxmlformats.org/officeDocument/2006/relationships/image" Target="media/image154.emf"/><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36.png"/><Relationship Id="rId77" Type="http://schemas.openxmlformats.org/officeDocument/2006/relationships/image" Target="media/image47.png"/><Relationship Id="rId100" Type="http://schemas.openxmlformats.org/officeDocument/2006/relationships/hyperlink" Target="http://mapy.smv.cz/udalosti/smv.html" TargetMode="External"/><Relationship Id="rId105" Type="http://schemas.openxmlformats.org/officeDocument/2006/relationships/image" Target="media/image70.emf"/><Relationship Id="rId126" Type="http://schemas.openxmlformats.org/officeDocument/2006/relationships/image" Target="media/image82.png"/><Relationship Id="rId147" Type="http://schemas.openxmlformats.org/officeDocument/2006/relationships/image" Target="media/image100.png"/><Relationship Id="rId168" Type="http://schemas.openxmlformats.org/officeDocument/2006/relationships/hyperlink" Target="http://portal.chmi.cz/historicka-data/pocasi/uzemni-srazky" TargetMode="External"/><Relationship Id="rId282" Type="http://schemas.openxmlformats.org/officeDocument/2006/relationships/image" Target="media/image149.png"/><Relationship Id="rId8" Type="http://schemas.openxmlformats.org/officeDocument/2006/relationships/image" Target="media/image1.jpeg"/><Relationship Id="rId51" Type="http://schemas.openxmlformats.org/officeDocument/2006/relationships/hyperlink" Target="https://www.zlin.eu/" TargetMode="External"/><Relationship Id="rId72" Type="http://schemas.openxmlformats.org/officeDocument/2006/relationships/image" Target="media/image45.png"/><Relationship Id="rId93" Type="http://schemas.openxmlformats.org/officeDocument/2006/relationships/image" Target="media/image59.jpeg"/><Relationship Id="rId98" Type="http://schemas.openxmlformats.org/officeDocument/2006/relationships/image" Target="media/image64.png"/><Relationship Id="rId121" Type="http://schemas.openxmlformats.org/officeDocument/2006/relationships/image" Target="media/image80.png"/><Relationship Id="rId142" Type="http://schemas.openxmlformats.org/officeDocument/2006/relationships/image" Target="media/image95.png"/><Relationship Id="rId163" Type="http://schemas.openxmlformats.org/officeDocument/2006/relationships/image" Target="media/image105.png"/><Relationship Id="rId184" Type="http://schemas.openxmlformats.org/officeDocument/2006/relationships/hyperlink" Target="https://www.zlin.eu/clanky/dokumenty/5648/c74l5e4wti8t-integrovany-plan-rozvoje-uzemi-zlin-pro-obdobi-2014-2020---verze-2-9.pdf" TargetMode="External"/><Relationship Id="rId189" Type="http://schemas.openxmlformats.org/officeDocument/2006/relationships/hyperlink" Target="https://www.zlin.eu/informacni-strategie-statutarniho-mesta-zlina-na-obdobi-let-2019-2024-cl-3589.html" TargetMode="External"/><Relationship Id="rId219" Type="http://schemas.openxmlformats.org/officeDocument/2006/relationships/hyperlink" Target="https://statistikakultury.cz/wp-content/uploads/2019/10/Statistika_2018_DIVADLA.pdf" TargetMode="External"/><Relationship Id="rId3" Type="http://schemas.openxmlformats.org/officeDocument/2006/relationships/styles" Target="styles.xml"/><Relationship Id="rId214" Type="http://schemas.openxmlformats.org/officeDocument/2006/relationships/hyperlink" Target="https://www.zlin.eu/strategie-rozvoje-statutarniho-mesta-zlina-do-roku-2020-zlin-2020-cl-750.html" TargetMode="External"/><Relationship Id="rId230" Type="http://schemas.openxmlformats.org/officeDocument/2006/relationships/image" Target="media/image111.png"/><Relationship Id="rId235" Type="http://schemas.openxmlformats.org/officeDocument/2006/relationships/image" Target="media/image116.png"/><Relationship Id="rId251" Type="http://schemas.openxmlformats.org/officeDocument/2006/relationships/hyperlink" Target="mailto:petrstiglitz@zlin.eu" TargetMode="External"/><Relationship Id="rId256" Type="http://schemas.openxmlformats.org/officeDocument/2006/relationships/image" Target="media/image129.png"/><Relationship Id="rId277" Type="http://schemas.openxmlformats.org/officeDocument/2006/relationships/image" Target="media/image144.emf"/><Relationship Id="rId298" Type="http://schemas.openxmlformats.org/officeDocument/2006/relationships/header" Target="header7.xml"/><Relationship Id="rId25" Type="http://schemas.openxmlformats.org/officeDocument/2006/relationships/image" Target="media/image14.png"/><Relationship Id="rId46" Type="http://schemas.openxmlformats.org/officeDocument/2006/relationships/hyperlink" Target="https://cs.wikipedia.org/wiki/Zoologick%C3%A1_zahrada_Zl%C3%ADn" TargetMode="External"/><Relationship Id="rId67" Type="http://schemas.openxmlformats.org/officeDocument/2006/relationships/chart" Target="charts/chart3.xml"/><Relationship Id="rId116" Type="http://schemas.openxmlformats.org/officeDocument/2006/relationships/chart" Target="charts/chart9.xml"/><Relationship Id="rId137" Type="http://schemas.openxmlformats.org/officeDocument/2006/relationships/hyperlink" Target="https://www.tajmac-zps.cz/" TargetMode="External"/><Relationship Id="rId158" Type="http://schemas.openxmlformats.org/officeDocument/2006/relationships/header" Target="header2.xml"/><Relationship Id="rId272" Type="http://schemas.openxmlformats.org/officeDocument/2006/relationships/hyperlink" Target="https://www.czso.cz/csu/czso/projekce-obyvatelstva-ceske-republiky-2018-2100" TargetMode="External"/><Relationship Id="rId293" Type="http://schemas.openxmlformats.org/officeDocument/2006/relationships/image" Target="media/image160.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41.emf"/><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76.emf"/><Relationship Id="rId132" Type="http://schemas.openxmlformats.org/officeDocument/2006/relationships/image" Target="media/image87.png"/><Relationship Id="rId153" Type="http://schemas.openxmlformats.org/officeDocument/2006/relationships/image" Target="media/image104.png"/><Relationship Id="rId174" Type="http://schemas.openxmlformats.org/officeDocument/2006/relationships/hyperlink" Target="https://www.kr-zlinsky.cz/krajsky-akcni-plan-rozvoje-vzdelavani-cl-4067.html" TargetMode="External"/><Relationship Id="rId179" Type="http://schemas.openxmlformats.org/officeDocument/2006/relationships/hyperlink" Target="http://mail.envitech.sk/ovzdusizlin/spravy/AnalyzaOvzdusiZKTopeniste2015.pdf" TargetMode="External"/><Relationship Id="rId195" Type="http://schemas.openxmlformats.org/officeDocument/2006/relationships/hyperlink" Target="http://mapaexekuci.cz/" TargetMode="External"/><Relationship Id="rId209" Type="http://schemas.openxmlformats.org/officeDocument/2006/relationships/hyperlink" Target="http://www.zlin.eu" TargetMode="External"/><Relationship Id="rId190" Type="http://schemas.openxmlformats.org/officeDocument/2006/relationships/hyperlink" Target="https://www.zlin.eu/vyrocni-zprava-magistratu-mesta-zlina-cl-101.html" TargetMode="External"/><Relationship Id="rId204" Type="http://schemas.openxmlformats.org/officeDocument/2006/relationships/hyperlink" Target="https://www.govcert.cz/cs/informacni-servis/strategie-akcni-plan/" TargetMode="External"/><Relationship Id="rId220" Type="http://schemas.openxmlformats.org/officeDocument/2006/relationships/hyperlink" Target="http://praha.vupsv.cz/Fulltext/vz_458.pdf" TargetMode="External"/><Relationship Id="rId225" Type="http://schemas.openxmlformats.org/officeDocument/2006/relationships/image" Target="media/image106.png"/><Relationship Id="rId241" Type="http://schemas.openxmlformats.org/officeDocument/2006/relationships/image" Target="media/image122.png"/><Relationship Id="rId246" Type="http://schemas.openxmlformats.org/officeDocument/2006/relationships/hyperlink" Target="https://www.zlin.eu/pohrebnictvi-zlin-spol-s-r-o--cl-93.html" TargetMode="External"/><Relationship Id="rId267" Type="http://schemas.openxmlformats.org/officeDocument/2006/relationships/image" Target="media/image138.png"/><Relationship Id="rId288" Type="http://schemas.openxmlformats.org/officeDocument/2006/relationships/image" Target="media/image155.png"/><Relationship Id="rId15" Type="http://schemas.openxmlformats.org/officeDocument/2006/relationships/hyperlink" Target="https://www.zlin.eu/strategicky-plan-2016-2020-programu-regenerace-mpz-zlin-cl-3443.html" TargetMode="External"/><Relationship Id="rId36" Type="http://schemas.openxmlformats.org/officeDocument/2006/relationships/image" Target="media/image25.png"/><Relationship Id="rId57" Type="http://schemas.openxmlformats.org/officeDocument/2006/relationships/image" Target="media/image37.emf"/><Relationship Id="rId106" Type="http://schemas.openxmlformats.org/officeDocument/2006/relationships/image" Target="media/image71.png"/><Relationship Id="rId127" Type="http://schemas.openxmlformats.org/officeDocument/2006/relationships/image" Target="media/image83.png"/><Relationship Id="rId262" Type="http://schemas.openxmlformats.org/officeDocument/2006/relationships/image" Target="media/image135.png"/><Relationship Id="rId283" Type="http://schemas.openxmlformats.org/officeDocument/2006/relationships/image" Target="media/image150.png"/><Relationship Id="rId10" Type="http://schemas.openxmlformats.org/officeDocument/2006/relationships/image" Target="media/image2.emf"/><Relationship Id="rId31" Type="http://schemas.openxmlformats.org/officeDocument/2006/relationships/image" Target="media/image20.png"/><Relationship Id="rId52" Type="http://schemas.openxmlformats.org/officeDocument/2006/relationships/image" Target="media/image35.png"/><Relationship Id="rId73" Type="http://schemas.openxmlformats.org/officeDocument/2006/relationships/hyperlink" Target="https://isoh.mzp.cz/visoh" TargetMode="External"/><Relationship Id="rId78" Type="http://schemas.openxmlformats.org/officeDocument/2006/relationships/hyperlink" Target="http://www.zkola.cz-" TargetMode="External"/><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6.png"/><Relationship Id="rId122" Type="http://schemas.openxmlformats.org/officeDocument/2006/relationships/chart" Target="charts/chart12.xml"/><Relationship Id="rId143" Type="http://schemas.openxmlformats.org/officeDocument/2006/relationships/image" Target="media/image96.png"/><Relationship Id="rId148" Type="http://schemas.openxmlformats.org/officeDocument/2006/relationships/image" Target="media/image101.png"/><Relationship Id="rId164" Type="http://schemas.openxmlformats.org/officeDocument/2006/relationships/hyperlink" Target="https://www.arcdata.cz/produkty/geograficka-data/arccr-500" TargetMode="External"/><Relationship Id="rId169" Type="http://schemas.openxmlformats.org/officeDocument/2006/relationships/hyperlink" Target="http://portal.chmi.cz/files/portal/docs/uoco/isko/ozko/ozko_CZ.html" TargetMode="External"/><Relationship Id="rId185" Type="http://schemas.openxmlformats.org/officeDocument/2006/relationships/hyperlink" Target="https://www.irz.cz/"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zlin.eu/clanky/dokumenty/7839/914433lx5wk8-zprava-o-kvalite-ovzdusi-v-lokalite-zlin-kvitkova-za-rok-2019.pdf" TargetMode="External"/><Relationship Id="rId210" Type="http://schemas.openxmlformats.org/officeDocument/2006/relationships/hyperlink" Target="http://www.jdvm.cz/" TargetMode="External"/><Relationship Id="rId215" Type="http://schemas.openxmlformats.org/officeDocument/2006/relationships/hyperlink" Target="https://www.zlin.eu/strategicky-plan-2016-2020-programu-regenerace-mpz-zlin-cl-3443.html" TargetMode="External"/><Relationship Id="rId236" Type="http://schemas.openxmlformats.org/officeDocument/2006/relationships/image" Target="media/image117.png"/><Relationship Id="rId257" Type="http://schemas.openxmlformats.org/officeDocument/2006/relationships/image" Target="media/image130.png"/><Relationship Id="rId278" Type="http://schemas.openxmlformats.org/officeDocument/2006/relationships/image" Target="media/image145.png"/><Relationship Id="rId26" Type="http://schemas.openxmlformats.org/officeDocument/2006/relationships/image" Target="media/image15.png"/><Relationship Id="rId231" Type="http://schemas.openxmlformats.org/officeDocument/2006/relationships/image" Target="media/image112.png"/><Relationship Id="rId252" Type="http://schemas.openxmlformats.org/officeDocument/2006/relationships/image" Target="media/image125.png"/><Relationship Id="rId273" Type="http://schemas.openxmlformats.org/officeDocument/2006/relationships/image" Target="media/image140.png"/><Relationship Id="rId294" Type="http://schemas.openxmlformats.org/officeDocument/2006/relationships/image" Target="media/image161.png"/><Relationship Id="rId47" Type="http://schemas.openxmlformats.org/officeDocument/2006/relationships/hyperlink" Target="https://cs.wikipedia.org/wiki/Le%C5%A1n%C3%A1_(z%C3%A1mek,_Zl%C3%ADn)" TargetMode="External"/><Relationship Id="rId68" Type="http://schemas.openxmlformats.org/officeDocument/2006/relationships/chart" Target="charts/chart4.xml"/><Relationship Id="rId89" Type="http://schemas.openxmlformats.org/officeDocument/2006/relationships/image" Target="media/image55.png"/><Relationship Id="rId112" Type="http://schemas.openxmlformats.org/officeDocument/2006/relationships/image" Target="media/image77.png"/><Relationship Id="rId133" Type="http://schemas.openxmlformats.org/officeDocument/2006/relationships/chart" Target="charts/chart14.xml"/><Relationship Id="rId154" Type="http://schemas.openxmlformats.org/officeDocument/2006/relationships/hyperlink" Target="http://www.ic-zlin.cz/24839-spoty" TargetMode="External"/><Relationship Id="rId175" Type="http://schemas.openxmlformats.org/officeDocument/2006/relationships/hyperlink" Target="https://www.kr-zlinsky.cz/strategicke-a-koncepcni-dokumenty-cl-47.html" TargetMode="External"/><Relationship Id="rId196" Type="http://schemas.openxmlformats.org/officeDocument/2006/relationships/hyperlink" Target="https://www.zlin.eu/mistni-akcni-plan-rozvoje-vzdelavani-v-orp-zlin-ii-cl-3489.html" TargetMode="External"/><Relationship Id="rId200" Type="http://schemas.openxmlformats.org/officeDocument/2006/relationships/hyperlink" Target="http://cds.chmi.cz/?lang=cs" TargetMode="External"/><Relationship Id="rId16" Type="http://schemas.openxmlformats.org/officeDocument/2006/relationships/image" Target="media/image6.png"/><Relationship Id="rId221" Type="http://schemas.openxmlformats.org/officeDocument/2006/relationships/hyperlink" Target="https://www.khkzk.cz/media/files/package/item/files-9/final_zprava-predstavenstva-o-cinnosti-khk-zk-2019.pdf" TargetMode="External"/><Relationship Id="rId242" Type="http://schemas.openxmlformats.org/officeDocument/2006/relationships/image" Target="media/image123.png"/><Relationship Id="rId263" Type="http://schemas.openxmlformats.org/officeDocument/2006/relationships/chart" Target="charts/chart15.xml"/><Relationship Id="rId284" Type="http://schemas.openxmlformats.org/officeDocument/2006/relationships/image" Target="media/image151.png"/><Relationship Id="rId37" Type="http://schemas.openxmlformats.org/officeDocument/2006/relationships/image" Target="media/image26.png"/><Relationship Id="rId58" Type="http://schemas.openxmlformats.org/officeDocument/2006/relationships/image" Target="media/image38.png"/><Relationship Id="rId79" Type="http://schemas.openxmlformats.org/officeDocument/2006/relationships/hyperlink" Target="http://www.burzaskol.cz" TargetMode="External"/><Relationship Id="rId102" Type="http://schemas.openxmlformats.org/officeDocument/2006/relationships/image" Target="media/image67.png"/><Relationship Id="rId123" Type="http://schemas.openxmlformats.org/officeDocument/2006/relationships/hyperlink" Target="https://vdb.czso.cz/" TargetMode="External"/><Relationship Id="rId144" Type="http://schemas.openxmlformats.org/officeDocument/2006/relationships/image" Target="media/image97.png"/><Relationship Id="rId90" Type="http://schemas.openxmlformats.org/officeDocument/2006/relationships/image" Target="media/image56.jpeg"/><Relationship Id="rId165" Type="http://schemas.openxmlformats.org/officeDocument/2006/relationships/hyperlink" Target="https://geoportal.gov.cz/web/guest/home" TargetMode="External"/><Relationship Id="rId186" Type="http://schemas.openxmlformats.org/officeDocument/2006/relationships/hyperlink" Target="https://www.kntb.cz/dokumenty-uverejnovane-dle-zakona-c-902012-sb-o-obchodnich-korporacich" TargetMode="External"/><Relationship Id="rId211" Type="http://schemas.openxmlformats.org/officeDocument/2006/relationships/hyperlink" Target="https://www.mapakriminality.cz/" TargetMode="External"/><Relationship Id="rId232" Type="http://schemas.openxmlformats.org/officeDocument/2006/relationships/image" Target="media/image113.png"/><Relationship Id="rId253" Type="http://schemas.openxmlformats.org/officeDocument/2006/relationships/image" Target="media/image126.png"/><Relationship Id="rId274" Type="http://schemas.openxmlformats.org/officeDocument/2006/relationships/image" Target="media/image141.png"/><Relationship Id="rId295" Type="http://schemas.openxmlformats.org/officeDocument/2006/relationships/header" Target="header5.xml"/><Relationship Id="rId27" Type="http://schemas.openxmlformats.org/officeDocument/2006/relationships/image" Target="media/image16.png"/><Relationship Id="rId48" Type="http://schemas.openxmlformats.org/officeDocument/2006/relationships/hyperlink" Target="https://www.zlin.eu/" TargetMode="External"/><Relationship Id="rId69" Type="http://schemas.openxmlformats.org/officeDocument/2006/relationships/hyperlink" Target="https://geoportal.mzcr.cz/shm/" TargetMode="External"/><Relationship Id="rId113" Type="http://schemas.openxmlformats.org/officeDocument/2006/relationships/image" Target="media/image78.png"/><Relationship Id="rId134" Type="http://schemas.openxmlformats.org/officeDocument/2006/relationships/image" Target="media/image88.png"/><Relationship Id="rId80" Type="http://schemas.openxmlformats.org/officeDocument/2006/relationships/hyperlink" Target="http://www.monitorzk.cz" TargetMode="External"/><Relationship Id="rId155" Type="http://schemas.openxmlformats.org/officeDocument/2006/relationships/hyperlink" Target="http://www.ic-zlin.cz/brozury-mapy" TargetMode="External"/><Relationship Id="rId176" Type="http://schemas.openxmlformats.org/officeDocument/2006/relationships/hyperlink" Target="https://www.dkzlin.com/" TargetMode="External"/><Relationship Id="rId197" Type="http://schemas.openxmlformats.org/officeDocument/2006/relationships/hyperlink" Target="https://www.mmr.cz/getmedia/647ac23c-05f7-469f-a200-af8d3be4e4ae/PUR-CR_ve_zneni_Aktualizaci_c_1_2_3_uplne_zneni.pdf.aspx?ext=.pdf" TargetMode="External"/><Relationship Id="rId201" Type="http://schemas.openxmlformats.org/officeDocument/2006/relationships/hyperlink" Target="https://www.mzp.cz/C1257458002F0DC7/cz/zmena_klimatu_adaptacni_strategie/$FILE/OEOK-Adaptacni_strategie-20151029.pdf" TargetMode="External"/><Relationship Id="rId222" Type="http://schemas.openxmlformats.org/officeDocument/2006/relationships/hyperlink" Target="https://www.kr-zlinsky.cz/plan-rozvoje-vodovodu-a-kanalizaci-zlinskeho-kraje-cl-617.html" TargetMode="External"/><Relationship Id="rId243" Type="http://schemas.openxmlformats.org/officeDocument/2006/relationships/hyperlink" Target="https://www.zlin.eu/berani-zlin-s-r-o--cl-107.html" TargetMode="External"/><Relationship Id="rId264" Type="http://schemas.openxmlformats.org/officeDocument/2006/relationships/chart" Target="charts/chart16.xml"/><Relationship Id="rId285" Type="http://schemas.openxmlformats.org/officeDocument/2006/relationships/image" Target="media/image152.png"/><Relationship Id="rId17" Type="http://schemas.openxmlformats.org/officeDocument/2006/relationships/image" Target="media/image7.emf"/><Relationship Id="rId38" Type="http://schemas.openxmlformats.org/officeDocument/2006/relationships/image" Target="media/image27.png"/><Relationship Id="rId59" Type="http://schemas.openxmlformats.org/officeDocument/2006/relationships/image" Target="media/image39.jpeg"/><Relationship Id="rId103" Type="http://schemas.openxmlformats.org/officeDocument/2006/relationships/image" Target="media/image68.png"/><Relationship Id="rId124" Type="http://schemas.openxmlformats.org/officeDocument/2006/relationships/image" Target="media/image81.png"/><Relationship Id="rId70" Type="http://schemas.openxmlformats.org/officeDocument/2006/relationships/chart" Target="charts/chart5.xml"/><Relationship Id="rId91" Type="http://schemas.openxmlformats.org/officeDocument/2006/relationships/image" Target="media/image57.png"/><Relationship Id="rId145" Type="http://schemas.openxmlformats.org/officeDocument/2006/relationships/image" Target="media/image98.png"/><Relationship Id="rId166" Type="http://schemas.openxmlformats.org/officeDocument/2006/relationships/hyperlink" Target="https://www.cenia.cz/publikace/krajske-zpravy/zpravy-o-zivotnim-prostredi-v-krajich-2018/" TargetMode="External"/><Relationship Id="rId187" Type="http://schemas.openxmlformats.org/officeDocument/2006/relationships/hyperlink" Target="https://www.kntb.cz/dokumenty-uverejnovane-dle-zakona-c-902012-sb-o-obchodnich-korporacich" TargetMode="External"/><Relationship Id="rId1" Type="http://schemas.openxmlformats.org/officeDocument/2006/relationships/customXml" Target="../customXml/item1.xml"/><Relationship Id="rId212" Type="http://schemas.openxmlformats.org/officeDocument/2006/relationships/hyperlink" Target="https://www.rsd.cz/wps/portal/web/mapa-projektu/!ut/p/a1/jY_LDoIwEEW_xQVbOshTdwUMILjTCN0YMLVgCiUF4fdFdiaKzm5uzsnMRQSliDT5ULG8r0ST89dOrEscxZHmehAHOmiALX-nm8kRALQJyCbAC3Bo2MmUGM4aIt8NfXtzAIis_3z4Mhh--WdEZmTpgxlYOLFHhHFRzHUz3BS6wxCR9EYllepDTnHZ9223VUCBcRxVJgTjVL2KWoFPSim6HqXvJGrrUwp3kw8JXj0BvudosA!!/" TargetMode="External"/><Relationship Id="rId233" Type="http://schemas.openxmlformats.org/officeDocument/2006/relationships/image" Target="media/image114.png"/><Relationship Id="rId254" Type="http://schemas.openxmlformats.org/officeDocument/2006/relationships/image" Target="media/image127.png"/><Relationship Id="rId28" Type="http://schemas.openxmlformats.org/officeDocument/2006/relationships/image" Target="media/image17.png"/><Relationship Id="rId49" Type="http://schemas.openxmlformats.org/officeDocument/2006/relationships/image" Target="media/image34.png"/><Relationship Id="rId114" Type="http://schemas.openxmlformats.org/officeDocument/2006/relationships/image" Target="media/image79.png"/><Relationship Id="rId275" Type="http://schemas.openxmlformats.org/officeDocument/2006/relationships/image" Target="media/image142.png"/><Relationship Id="rId296" Type="http://schemas.openxmlformats.org/officeDocument/2006/relationships/header" Target="header6.xml"/><Relationship Id="rId300" Type="http://schemas.openxmlformats.org/officeDocument/2006/relationships/theme" Target="theme/theme1.xml"/><Relationship Id="rId60" Type="http://schemas.openxmlformats.org/officeDocument/2006/relationships/image" Target="media/image40.jpg"/><Relationship Id="rId81" Type="http://schemas.openxmlformats.org/officeDocument/2006/relationships/image" Target="media/image48.png"/><Relationship Id="rId135" Type="http://schemas.openxmlformats.org/officeDocument/2006/relationships/image" Target="media/image89.png"/><Relationship Id="rId156" Type="http://schemas.openxmlformats.org/officeDocument/2006/relationships/hyperlink" Target="http://www.tvorimezlin.cz" TargetMode="External"/><Relationship Id="rId177" Type="http://schemas.openxmlformats.org/officeDocument/2006/relationships/hyperlink" Target="https://www.kr-zlinsky.cz/akcni-plan-protihlukovych-opatreni-pro-hlavni-pozemni-komunikace-ve-vlastnictvi-zlinskeho-kraje-cl-4673.html" TargetMode="External"/><Relationship Id="rId198" Type="http://schemas.openxmlformats.org/officeDocument/2006/relationships/hyperlink" Target="https://mmr.cz/getmedia/58c57a22-202d-4374-af5d-cbd8f9454adb/SRR21.pdf.aspx?ext=.pdf" TargetMode="External"/><Relationship Id="rId202" Type="http://schemas.openxmlformats.org/officeDocument/2006/relationships/hyperlink" Target="https://nrpzs.uzis.cz/" TargetMode="External"/><Relationship Id="rId223" Type="http://schemas.openxmlformats.org/officeDocument/2006/relationships/hyperlink" Target="https://portal.cenia.cz/eiasea/download/U0VBX01aUDA5OEtfdnlob2Rub2NlbmlfMS5wZGY/MZP098K_vyhodnoceni.pdf" TargetMode="External"/><Relationship Id="rId244" Type="http://schemas.openxmlformats.org/officeDocument/2006/relationships/hyperlink" Target="https://www.zlin.eu/pohrebnictvi-zlin-spol-s-r-o--cl-93.html" TargetMode="External"/><Relationship Id="rId18" Type="http://schemas.openxmlformats.org/officeDocument/2006/relationships/image" Target="media/image8.jpeg"/><Relationship Id="rId39" Type="http://schemas.openxmlformats.org/officeDocument/2006/relationships/image" Target="media/image28.png"/><Relationship Id="rId265" Type="http://schemas.openxmlformats.org/officeDocument/2006/relationships/image" Target="media/image136.png"/><Relationship Id="rId286" Type="http://schemas.openxmlformats.org/officeDocument/2006/relationships/image" Target="media/image153.emf"/><Relationship Id="rId50" Type="http://schemas.openxmlformats.org/officeDocument/2006/relationships/hyperlink" Target="https://www.cuscz.cz/" TargetMode="External"/><Relationship Id="rId104" Type="http://schemas.openxmlformats.org/officeDocument/2006/relationships/image" Target="media/image69.png"/><Relationship Id="rId125" Type="http://schemas.openxmlformats.org/officeDocument/2006/relationships/hyperlink" Target="https://vdb.czso.cz/" TargetMode="External"/><Relationship Id="rId146" Type="http://schemas.openxmlformats.org/officeDocument/2006/relationships/image" Target="media/image99.png"/><Relationship Id="rId167" Type="http://schemas.openxmlformats.org/officeDocument/2006/relationships/hyperlink" Target="https://www.kr-zlinsky.cz/strategie-bezpecnosti-silnicniho-provozu-zlinskeho-kraje-na-obdobi-2012-2020-cl-2014.html" TargetMode="External"/><Relationship Id="rId188" Type="http://schemas.openxmlformats.org/officeDocument/2006/relationships/hyperlink" Target="https://www.kr-zlinsky.cz/koncepce-rozvoje-cestovniho-ruchu-zlinskeho-kraje-na-obdobi-2020-2030-cl-4873.html" TargetMode="External"/><Relationship Id="rId71" Type="http://schemas.openxmlformats.org/officeDocument/2006/relationships/chart" Target="charts/chart6.xml"/><Relationship Id="rId92" Type="http://schemas.openxmlformats.org/officeDocument/2006/relationships/image" Target="media/image58.png"/><Relationship Id="rId213" Type="http://schemas.openxmlformats.org/officeDocument/2006/relationships/hyperlink" Target="https://www.zlin.eu/prehled-kulturnich-organizaci-cl-665.html" TargetMode="External"/><Relationship Id="rId234" Type="http://schemas.openxmlformats.org/officeDocument/2006/relationships/image" Target="media/image115.png"/></Relationships>
</file>

<file path=word/_rels/footnotes.xml.rels><?xml version="1.0" encoding="UTF-8" standalone="yes"?>
<Relationships xmlns="http://schemas.openxmlformats.org/package/2006/relationships"><Relationship Id="rId8" Type="http://schemas.openxmlformats.org/officeDocument/2006/relationships/hyperlink" Target="http://praha.vupsv.cz/Fulltext/vz_458.pdf" TargetMode="External"/><Relationship Id="rId13" Type="http://schemas.openxmlformats.org/officeDocument/2006/relationships/hyperlink" Target="https://www.zlin.eu/zivotni-prostredi-a-zemedelstvi-cl-228.html" TargetMode="External"/><Relationship Id="rId18" Type="http://schemas.openxmlformats.org/officeDocument/2006/relationships/hyperlink" Target="https://www.cenia.cz/publikace/krajske-zpravy/zpravy-o-zivotnim-prostredi-v-krajich-2018/" TargetMode="External"/><Relationship Id="rId26" Type="http://schemas.openxmlformats.org/officeDocument/2006/relationships/hyperlink" Target="https://www.zlin.eu/sumf-strategicky-ramec-udrzitelne-mestske-mobility-cl-3770.html" TargetMode="External"/><Relationship Id="rId39" Type="http://schemas.openxmlformats.org/officeDocument/2006/relationships/hyperlink" Target="https://www.zlin.eu/oddeleni-koordinace-projektu-cl-352.html" TargetMode="External"/><Relationship Id="rId3" Type="http://schemas.openxmlformats.org/officeDocument/2006/relationships/hyperlink" Target="https://mmr.cz/getmedia/58c57a22-202d-4374-af5d-cbd8f9454adb/SRR21.pdf.aspx?ext=.pdf" TargetMode="External"/><Relationship Id="rId21" Type="http://schemas.openxmlformats.org/officeDocument/2006/relationships/hyperlink" Target="https://www.mzp.cz/C1257458002F0DC7/cz/zmena_klimatu_adaptacni_strategie/$FILE/OEOK-Adaptacni_strategie-20151029.pdf" TargetMode="External"/><Relationship Id="rId34" Type="http://schemas.openxmlformats.org/officeDocument/2006/relationships/hyperlink" Target="https://www.kntb.cz/nemocnice" TargetMode="External"/><Relationship Id="rId42" Type="http://schemas.openxmlformats.org/officeDocument/2006/relationships/hyperlink" Target="https://www.zlin.eu/organizacni-slozky-statutarniho-mesta-zlina-bez-pravni-subjektivity-cl-123.html" TargetMode="External"/><Relationship Id="rId47" Type="http://schemas.openxmlformats.org/officeDocument/2006/relationships/hyperlink" Target="https://www.mfcr.cz/cs/aktualne/tiskove-zpravy/2020/snemovna-schvalila-novelu-zakona-o-statn-38941" TargetMode="External"/><Relationship Id="rId7" Type="http://schemas.openxmlformats.org/officeDocument/2006/relationships/hyperlink" Target="https://mapanezamestnanosti.cz/" TargetMode="External"/><Relationship Id="rId12" Type="http://schemas.openxmlformats.org/officeDocument/2006/relationships/hyperlink" Target="https://www.zlin.eu/vyrocni-zprava-magistratu-mesta-zlina-cl-101.html" TargetMode="External"/><Relationship Id="rId17" Type="http://schemas.openxmlformats.org/officeDocument/2006/relationships/hyperlink" Target="http://portal.chmi.cz/files/portal/docs/uoco/isko/grafroc/18groc/gr18cz/KO_rocenka_2018.pdf" TargetMode="External"/><Relationship Id="rId25" Type="http://schemas.openxmlformats.org/officeDocument/2006/relationships/hyperlink" Target="https://www.zlin.eu/clanky/dokumenty/6515/gdz-analyticka-cast.pdf" TargetMode="External"/><Relationship Id="rId33" Type="http://schemas.openxmlformats.org/officeDocument/2006/relationships/hyperlink" Target="https://www.trelleborg.com/cs/wheels" TargetMode="External"/><Relationship Id="rId38" Type="http://schemas.openxmlformats.org/officeDocument/2006/relationships/hyperlink" Target="https://www.kr-zlinsky.cz/koncepce-rozvoje-cestovniho-ruchu-zlinskeho-kraje-na-obdobi-2020-2030-cl-4873.html" TargetMode="External"/><Relationship Id="rId46" Type="http://schemas.openxmlformats.org/officeDocument/2006/relationships/hyperlink" Target="https://ec.europa.eu/info/sites/info/files/2020-european-semester-convergence-programme-czechia_cs.pdf" TargetMode="External"/><Relationship Id="rId2" Type="http://schemas.openxmlformats.org/officeDocument/2006/relationships/hyperlink" Target="file:///C:/Users/%C5%A0%C5%A5ep%C3%A1n%20Strnadel/Downloads/priloha-c--1--textova-cast-uplneho-zneni-zur-zk-po-vydani-aktualizace-c--2%20(1).pdf" TargetMode="External"/><Relationship Id="rId16" Type="http://schemas.openxmlformats.org/officeDocument/2006/relationships/hyperlink" Target="http://portal.chmi.cz/files/portal/docs/uoco/isko/ozko/ozko_CZ.html" TargetMode="External"/><Relationship Id="rId20" Type="http://schemas.openxmlformats.org/officeDocument/2006/relationships/hyperlink" Target="https://www.zlin.eu/ochrana-pred-povodnemi-cl-230.html" TargetMode="External"/><Relationship Id="rId29" Type="http://schemas.openxmlformats.org/officeDocument/2006/relationships/hyperlink" Target="https://www.govcert.cz/cs/informacni-servis/strategie-akcni-plan/" TargetMode="External"/><Relationship Id="rId41" Type="http://schemas.openxmlformats.org/officeDocument/2006/relationships/hyperlink" Target="https://www.zlin.eu/prispevkove-organizace-zrizene-smz-cl-112.html" TargetMode="External"/><Relationship Id="rId1" Type="http://schemas.openxmlformats.org/officeDocument/2006/relationships/hyperlink" Target="https://www.mmr.cz/getmedia/647ac23c-05f7-469f-a200-af8d3be4e4ae/PUR-CR_ve_zneni_Aktualizaci_c_1_2_3_uplne_zneni.pdf.aspx?ext=.pdf" TargetMode="External"/><Relationship Id="rId6" Type="http://schemas.openxmlformats.org/officeDocument/2006/relationships/hyperlink" Target="https://realitymix.cz/statistika-nemovitosti/byty-pronajem-prumerna-cena-pronajmu-1m2-mesic.html" TargetMode="External"/><Relationship Id="rId11" Type="http://schemas.openxmlformats.org/officeDocument/2006/relationships/hyperlink" Target="https://www.zlin.eu/strategie-rozvoje-statutarniho-mesta-zlina-do-roku-2020-zlin-2020-cl-750.html" TargetMode="External"/><Relationship Id="rId24" Type="http://schemas.openxmlformats.org/officeDocument/2006/relationships/hyperlink" Target="https://www.zlin.eu/generel-dopravy-pro-mesto-zlin-cl-2238.html" TargetMode="External"/><Relationship Id="rId32" Type="http://schemas.openxmlformats.org/officeDocument/2006/relationships/hyperlink" Target="http://www.hptronic.cz/" TargetMode="External"/><Relationship Id="rId37" Type="http://schemas.openxmlformats.org/officeDocument/2006/relationships/hyperlink" Target="https://www.tajmac-zps.cz/" TargetMode="External"/><Relationship Id="rId40" Type="http://schemas.openxmlformats.org/officeDocument/2006/relationships/hyperlink" Target="https://www.zlin.eu/clanky/dokumenty/2558/ska4d809d6f5-mesto-zlin---vyrocni-zprava-2018.pd" TargetMode="External"/><Relationship Id="rId45" Type="http://schemas.openxmlformats.org/officeDocument/2006/relationships/hyperlink" Target="https://ec.europa.eu/commission/presscorner/detail/cs/IP_18_3885" TargetMode="External"/><Relationship Id="rId5" Type="http://schemas.openxmlformats.org/officeDocument/2006/relationships/hyperlink" Target="https://portal.cenia.cz/eiasea/download/U0VBX01aUDA5OEtfdnlob2Rub2NlbmlfMS5wZGY/MZP098K_vyhodnoceni.pdf" TargetMode="External"/><Relationship Id="rId15" Type="http://schemas.openxmlformats.org/officeDocument/2006/relationships/hyperlink" Target="http://mail.envitech.sk/ovzdusizlin/spravy/AnalyzaOvzdusiZKTopeniste2015.pdf" TargetMode="External"/><Relationship Id="rId23" Type="http://schemas.openxmlformats.org/officeDocument/2006/relationships/hyperlink" Target="https://www.zlin.eu/generel-dopravy-pro-mesto-zlin-cl-2238.html" TargetMode="External"/><Relationship Id="rId28" Type="http://schemas.openxmlformats.org/officeDocument/2006/relationships/hyperlink" Target="https://www.mvcr.cz/clanek/bezpecnostni-hrozby-337414.aspx?q=Y2hudW09Mw%3D%3D" TargetMode="External"/><Relationship Id="rId36" Type="http://schemas.openxmlformats.org/officeDocument/2006/relationships/hyperlink" Target="https://www.elkov.cz/" TargetMode="External"/><Relationship Id="rId10" Type="http://schemas.openxmlformats.org/officeDocument/2006/relationships/hyperlink" Target="https://www.zlin.eu/statut-a-pravidla-cl-930.html" TargetMode="External"/><Relationship Id="rId19" Type="http://schemas.openxmlformats.org/officeDocument/2006/relationships/hyperlink" Target="https://www.zlin.eu/clanky/dokumenty/2599/657edibw058v-plan-odpadoveho-hospodarstvi-smz-2017-2021.pdf" TargetMode="External"/><Relationship Id="rId31" Type="http://schemas.openxmlformats.org/officeDocument/2006/relationships/hyperlink" Target="https://www.kr-zlinsky.cz/strategie-bezpecnosti-silnicniho-provozu-zlinskeho-kraje-na-obdobi-2012-2020-cl-2014.html" TargetMode="External"/><Relationship Id="rId44" Type="http://schemas.openxmlformats.org/officeDocument/2006/relationships/hyperlink" Target="https://cvvm.soc.cas.cz/media/com_form2content/documents/c2/a5233/f9/pi200716.pdf" TargetMode="External"/><Relationship Id="rId4" Type="http://schemas.openxmlformats.org/officeDocument/2006/relationships/hyperlink" Target="https://www.zlin.eu/strategicky-plan-2016-2020-programu-regenerace-mpz-zlin-cl-3443.html" TargetMode="External"/><Relationship Id="rId9" Type="http://schemas.openxmlformats.org/officeDocument/2006/relationships/hyperlink" Target="http://www.ic-zlin.cz/" TargetMode="External"/><Relationship Id="rId14" Type="http://schemas.openxmlformats.org/officeDocument/2006/relationships/hyperlink" Target="http://www.zlin.eu/clanky/dokumenty/7839/914433lx5wk8-zprava-o-kvalite-ovzdusi-v-lokalite-zlin-kvitkova-za-rok-2019.pdf" TargetMode="External"/><Relationship Id="rId22" Type="http://schemas.openxmlformats.org/officeDocument/2006/relationships/hyperlink" Target="https://www.zlin.eu/generel-dopravy-pro-mesto-zlin-cl-2238.html" TargetMode="External"/><Relationship Id="rId27" Type="http://schemas.openxmlformats.org/officeDocument/2006/relationships/hyperlink" Target="https://www.kr-zlinsky.cz/strategie-rozvoje-zlinskeho-kraje-2030-cl-4623.html" TargetMode="External"/><Relationship Id="rId30" Type="http://schemas.openxmlformats.org/officeDocument/2006/relationships/hyperlink" Target="https://www.zlin.eu/informacni-strategie-statutarniho-mesta-zlina-na-obdobi-let-2019-2024-cl-3589.html" TargetMode="External"/><Relationship Id="rId35" Type="http://schemas.openxmlformats.org/officeDocument/2006/relationships/hyperlink" Target="https://www.bata.cz/" TargetMode="External"/><Relationship Id="rId43" Type="http://schemas.openxmlformats.org/officeDocument/2006/relationships/hyperlink" Target="https://mmr.cz/cs/microsites/portal-strategicke-prace-v-ceske-republice/nastroje-a-metodicka-podpora/vystupy-projektu" TargetMode="External"/><Relationship Id="rId48" Type="http://schemas.openxmlformats.org/officeDocument/2006/relationships/hyperlink" Target="https://www.czso.cz/csu/czso/projekce-obyvatelstva-v-krajich-cr-do-roku-207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_Dokumenty\_ACCENDO_PROCES\Strategicky_plan_rozvoje_ZLIN\_tabulky\prumer_srazek.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1" Type="http://schemas.openxmlformats.org/officeDocument/2006/relationships/oleObject" Target="file:///C:\_PRACE\Strategicky_plan_rozvoje_ZLIN\__bezpecnost\Bezpecnost\Data\nehody_okres%20Zl&#237;n.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artina%20Mel&#225;rov&#225;\Desktop\vyj&#237;&#382;&#271;ka_zlin.xls" TargetMode="External"/><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2" Type="http://schemas.openxmlformats.org/officeDocument/2006/relationships/oleObject" Target="file:///\\192.168.1.138\Projektove\02_PROCES\02_Zpracovavane_projekty\2020\2020_07_Roznov_ME\06_podkladove_materialy\B_Podklady_vlastni\Analytick&#225;%20&#269;&#225;st\tabulky\THFK\makroekonom.ukazateke_Zl&#237;n_13-15.xlsx" TargetMode="External"/><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artina%20Mel&#225;rov&#225;\AppData\Local\Temp\Dotazniky_matice_Zlin-2.xlsx" TargetMode="External"/><Relationship Id="rId2" Type="http://schemas.microsoft.com/office/2011/relationships/chartColorStyle" Target="colors11.xml"/><Relationship Id="rId1" Type="http://schemas.microsoft.com/office/2011/relationships/chartStyle" Target="style11.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artina%20Mel&#225;rov&#225;\AppData\Local\Temp\Dotazniky_matice_Zlin-2.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_Dokumenty\_ACCENDO_PROCES\Strategicky_plan_rozvoje_ZLIN\_tabulky\prumer_srazek.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_PRACE\Strategicky_plan_rozvoje_ZLIN\__kapitola_&#381;P\_zaloha\hluk.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_PRACE\Strategicky_plan_rozvoje_ZLIN\__kapitola_&#381;P\_zaloha\hluk.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_PRACE\Strategicky_plan_rozvoje_ZLIN\_tabulky\odpady_prac.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Se&#353;it2"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1.138\Projektove\02_PROCES\02_Zpracovavane_projekty\2020\2020_06_SP_Zl&#237;n\06_podkladove_materialy\B_Podklady_vlastni\04_analytick&#225;_&#269;&#225;st\Podklady\Vzd&#283;l&#225;n&#237;\Data\Studenti%20UTB\Celkov&#253;%20po&#269;et%202014-2019.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file:///C:\_PRACE\Strategicky_plan_rozvoje_ZLIN\__bezpecnost\Bezpecnost\Data\mestska_policie.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List_aplikac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FF9379"/>
            </a:solidFill>
            <a:ln w="9525">
              <a:noFill/>
            </a:ln>
            <a:effectLst/>
          </c:spPr>
          <c:invertIfNegative val="0"/>
          <c:dLbls>
            <c:dLbl>
              <c:idx val="0"/>
              <c:layout>
                <c:manualLayout>
                  <c:x val="0"/>
                  <c:y val="-3.26530658886305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189-4C4C-9936-C692EE24CEC6}"/>
                </c:ext>
              </c:extLst>
            </c:dLbl>
            <c:dLbl>
              <c:idx val="2"/>
              <c:layout>
                <c:manualLayout>
                  <c:x val="5.167957604842858E-3"/>
                  <c:y val="-3.43738009396212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89-4C4C-9936-C692EE24CEC6}"/>
                </c:ext>
              </c:extLst>
            </c:dLbl>
            <c:dLbl>
              <c:idx val="6"/>
              <c:layout>
                <c:manualLayout>
                  <c:x val="2.8811249316922118E-3"/>
                  <c:y val="-3.5090975785458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89-4C4C-9936-C692EE24CEC6}"/>
                </c:ext>
              </c:extLst>
            </c:dLbl>
            <c:dLbl>
              <c:idx val="7"/>
              <c:layout>
                <c:manualLayout>
                  <c:x val="2.8810346332510057E-3"/>
                  <c:y val="2.17665375291531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89-4C4C-9936-C692EE24CEC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graf_teplota!$B$3:$B$12</c:f>
              <c:numCache>
                <c:formatCode>0</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graf_teplota!$C$3:$C$12</c:f>
              <c:numCache>
                <c:formatCode>General</c:formatCode>
                <c:ptCount val="10"/>
                <c:pt idx="0">
                  <c:v>7.7</c:v>
                </c:pt>
                <c:pt idx="1">
                  <c:v>8.6</c:v>
                </c:pt>
                <c:pt idx="2">
                  <c:v>8.6999999999999993</c:v>
                </c:pt>
                <c:pt idx="3">
                  <c:v>8.4</c:v>
                </c:pt>
                <c:pt idx="4">
                  <c:v>9.5</c:v>
                </c:pt>
                <c:pt idx="5">
                  <c:v>9.5</c:v>
                </c:pt>
                <c:pt idx="6">
                  <c:v>8.9</c:v>
                </c:pt>
                <c:pt idx="7">
                  <c:v>8.8000000000000007</c:v>
                </c:pt>
                <c:pt idx="8">
                  <c:v>10</c:v>
                </c:pt>
                <c:pt idx="9">
                  <c:v>9.9</c:v>
                </c:pt>
              </c:numCache>
            </c:numRef>
          </c:val>
          <c:extLst>
            <c:ext xmlns:c16="http://schemas.microsoft.com/office/drawing/2014/chart" uri="{C3380CC4-5D6E-409C-BE32-E72D297353CC}">
              <c16:uniqueId val="{00000004-2189-4C4C-9936-C692EE24CEC6}"/>
            </c:ext>
          </c:extLst>
        </c:ser>
        <c:dLbls>
          <c:dLblPos val="outEnd"/>
          <c:showLegendKey val="0"/>
          <c:showVal val="1"/>
          <c:showCatName val="0"/>
          <c:showSerName val="0"/>
          <c:showPercent val="0"/>
          <c:showBubbleSize val="0"/>
        </c:dLbls>
        <c:gapWidth val="40"/>
        <c:axId val="287490456"/>
        <c:axId val="287494768"/>
      </c:barChart>
      <c:lineChart>
        <c:grouping val="standard"/>
        <c:varyColors val="0"/>
        <c:ser>
          <c:idx val="4"/>
          <c:order val="2"/>
          <c:tx>
            <c:strRef>
              <c:f>graf_teplota!$D$2</c:f>
              <c:strCache>
                <c:ptCount val="1"/>
                <c:pt idx="0">
                  <c:v>dlouhodobý průměr (1981-2010), Zlínský kraj</c:v>
                </c:pt>
              </c:strCache>
            </c:strRef>
          </c:tx>
          <c:spPr>
            <a:ln w="28575" cap="rnd">
              <a:solidFill>
                <a:srgbClr val="FFC000"/>
              </a:solidFill>
              <a:round/>
            </a:ln>
            <a:effectLst/>
          </c:spPr>
          <c:marker>
            <c:symbol val="none"/>
          </c:marker>
          <c:val>
            <c:numRef>
              <c:f>graf_teplota!$D$3:$D$12</c:f>
              <c:numCache>
                <c:formatCode>General</c:formatCode>
                <c:ptCount val="10"/>
                <c:pt idx="0">
                  <c:v>8.1999999999999993</c:v>
                </c:pt>
                <c:pt idx="1">
                  <c:v>8.1999999999999993</c:v>
                </c:pt>
                <c:pt idx="2">
                  <c:v>8.1999999999999993</c:v>
                </c:pt>
                <c:pt idx="3">
                  <c:v>8.1999999999999993</c:v>
                </c:pt>
                <c:pt idx="4">
                  <c:v>8.1999999999999993</c:v>
                </c:pt>
                <c:pt idx="5">
                  <c:v>8.1999999999999993</c:v>
                </c:pt>
                <c:pt idx="6">
                  <c:v>8.1999999999999993</c:v>
                </c:pt>
                <c:pt idx="7">
                  <c:v>8.1999999999999993</c:v>
                </c:pt>
                <c:pt idx="8">
                  <c:v>8.1999999999999993</c:v>
                </c:pt>
                <c:pt idx="9">
                  <c:v>8.1999999999999993</c:v>
                </c:pt>
              </c:numCache>
            </c:numRef>
          </c:val>
          <c:smooth val="0"/>
          <c:extLst>
            <c:ext xmlns:c16="http://schemas.microsoft.com/office/drawing/2014/chart" uri="{C3380CC4-5D6E-409C-BE32-E72D297353CC}">
              <c16:uniqueId val="{00000005-2189-4C4C-9936-C692EE24CEC6}"/>
            </c:ext>
          </c:extLst>
        </c:ser>
        <c:ser>
          <c:idx val="2"/>
          <c:order val="3"/>
          <c:tx>
            <c:strRef>
              <c:f>graf_teplota!$E$2</c:f>
              <c:strCache>
                <c:ptCount val="1"/>
                <c:pt idx="0">
                  <c:v>dlouhodobý průměr (1981-2010), Česká republika</c:v>
                </c:pt>
              </c:strCache>
            </c:strRef>
          </c:tx>
          <c:spPr>
            <a:ln w="28575" cap="rnd">
              <a:solidFill>
                <a:srgbClr val="FF0000"/>
              </a:solidFill>
              <a:round/>
            </a:ln>
            <a:effectLst/>
          </c:spPr>
          <c:marker>
            <c:symbol val="none"/>
          </c:marker>
          <c:val>
            <c:numRef>
              <c:f>graf_teplota!$E$3:$E$12</c:f>
              <c:numCache>
                <c:formatCode>General</c:formatCode>
                <c:ptCount val="10"/>
                <c:pt idx="0">
                  <c:v>7.9</c:v>
                </c:pt>
                <c:pt idx="1">
                  <c:v>7.9</c:v>
                </c:pt>
                <c:pt idx="2">
                  <c:v>7.9</c:v>
                </c:pt>
                <c:pt idx="3">
                  <c:v>7.9</c:v>
                </c:pt>
                <c:pt idx="4">
                  <c:v>7.9</c:v>
                </c:pt>
                <c:pt idx="5">
                  <c:v>7.9</c:v>
                </c:pt>
                <c:pt idx="6">
                  <c:v>7.9</c:v>
                </c:pt>
                <c:pt idx="7">
                  <c:v>7.9</c:v>
                </c:pt>
                <c:pt idx="8">
                  <c:v>7.9</c:v>
                </c:pt>
                <c:pt idx="9">
                  <c:v>7.9</c:v>
                </c:pt>
              </c:numCache>
            </c:numRef>
          </c:val>
          <c:smooth val="0"/>
          <c:extLst>
            <c:ext xmlns:c16="http://schemas.microsoft.com/office/drawing/2014/chart" uri="{C3380CC4-5D6E-409C-BE32-E72D297353CC}">
              <c16:uniqueId val="{00000006-2189-4C4C-9936-C692EE24CEC6}"/>
            </c:ext>
          </c:extLst>
        </c:ser>
        <c:ser>
          <c:idx val="3"/>
          <c:order val="4"/>
          <c:spPr>
            <a:ln w="28575" cap="rnd">
              <a:solidFill>
                <a:schemeClr val="accent4"/>
              </a:solidFill>
              <a:round/>
            </a:ln>
            <a:effectLst/>
          </c:spPr>
          <c:marker>
            <c:symbol val="none"/>
          </c:marker>
          <c:val>
            <c:numRef>
              <c:f>graf_teplota!$F$3:$F$12</c:f>
              <c:numCache>
                <c:formatCode>General</c:formatCode>
                <c:ptCount val="10"/>
              </c:numCache>
            </c:numRef>
          </c:val>
          <c:smooth val="0"/>
          <c:extLst>
            <c:ext xmlns:c16="http://schemas.microsoft.com/office/drawing/2014/chart" uri="{C3380CC4-5D6E-409C-BE32-E72D297353CC}">
              <c16:uniqueId val="{00000007-2189-4C4C-9936-C692EE24CEC6}"/>
            </c:ext>
          </c:extLst>
        </c:ser>
        <c:dLbls>
          <c:showLegendKey val="0"/>
          <c:showVal val="0"/>
          <c:showCatName val="0"/>
          <c:showSerName val="0"/>
          <c:showPercent val="0"/>
          <c:showBubbleSize val="0"/>
        </c:dLbls>
        <c:marker val="1"/>
        <c:smooth val="0"/>
        <c:axId val="287490456"/>
        <c:axId val="287494768"/>
        <c:extLst>
          <c:ext xmlns:c15="http://schemas.microsoft.com/office/drawing/2012/chart" uri="{02D57815-91ED-43cb-92C2-25804820EDAC}">
            <c15:filteredLineSeries>
              <c15:ser>
                <c:idx val="1"/>
                <c:order val="1"/>
                <c:tx>
                  <c:strRef>
                    <c:extLst>
                      <c:ext uri="{02D57815-91ED-43cb-92C2-25804820EDAC}">
                        <c15:formulaRef>
                          <c15:sqref>graf_teplota!$D$3:$D$12</c15:sqref>
                        </c15:formulaRef>
                      </c:ext>
                    </c:extLst>
                    <c:strCache>
                      <c:ptCount val="10"/>
                      <c:pt idx="0">
                        <c:v>8,2</c:v>
                      </c:pt>
                      <c:pt idx="1">
                        <c:v>8,2</c:v>
                      </c:pt>
                      <c:pt idx="2">
                        <c:v>8,2</c:v>
                      </c:pt>
                      <c:pt idx="3">
                        <c:v>8,2</c:v>
                      </c:pt>
                      <c:pt idx="4">
                        <c:v>8,2</c:v>
                      </c:pt>
                      <c:pt idx="5">
                        <c:v>8,2</c:v>
                      </c:pt>
                      <c:pt idx="6">
                        <c:v>8,2</c:v>
                      </c:pt>
                      <c:pt idx="7">
                        <c:v>8,2</c:v>
                      </c:pt>
                      <c:pt idx="8">
                        <c:v>8,2</c:v>
                      </c:pt>
                      <c:pt idx="9">
                        <c:v>8,2</c:v>
                      </c:pt>
                    </c:strCache>
                  </c:strRef>
                </c:tx>
                <c:spPr>
                  <a:ln w="28575" cap="rnd">
                    <a:solidFill>
                      <a:schemeClr val="accent2"/>
                    </a:solidFill>
                    <a:round/>
                  </a:ln>
                  <a:effectLst/>
                </c:spPr>
                <c:marker>
                  <c:symbol val="none"/>
                </c:marker>
                <c:val>
                  <c:numRef>
                    <c:extLst>
                      <c:ext uri="{02D57815-91ED-43cb-92C2-25804820EDAC}">
                        <c15:formulaRef>
                          <c15:sqref>graf_teplota!$D$3:$D$12</c15:sqref>
                        </c15:formulaRef>
                      </c:ext>
                    </c:extLst>
                    <c:numCache>
                      <c:formatCode>General</c:formatCode>
                      <c:ptCount val="10"/>
                      <c:pt idx="0">
                        <c:v>8.1999999999999993</c:v>
                      </c:pt>
                      <c:pt idx="1">
                        <c:v>8.1999999999999993</c:v>
                      </c:pt>
                      <c:pt idx="2">
                        <c:v>8.1999999999999993</c:v>
                      </c:pt>
                      <c:pt idx="3">
                        <c:v>8.1999999999999993</c:v>
                      </c:pt>
                      <c:pt idx="4">
                        <c:v>8.1999999999999993</c:v>
                      </c:pt>
                      <c:pt idx="5">
                        <c:v>8.1999999999999993</c:v>
                      </c:pt>
                      <c:pt idx="6">
                        <c:v>8.1999999999999993</c:v>
                      </c:pt>
                      <c:pt idx="7">
                        <c:v>8.1999999999999993</c:v>
                      </c:pt>
                      <c:pt idx="8">
                        <c:v>8.1999999999999993</c:v>
                      </c:pt>
                      <c:pt idx="9">
                        <c:v>8.1999999999999993</c:v>
                      </c:pt>
                    </c:numCache>
                  </c:numRef>
                </c:val>
                <c:smooth val="0"/>
                <c:extLst>
                  <c:ext xmlns:c16="http://schemas.microsoft.com/office/drawing/2014/chart" uri="{C3380CC4-5D6E-409C-BE32-E72D297353CC}">
                    <c16:uniqueId val="{00000008-2189-4C4C-9936-C692EE24CEC6}"/>
                  </c:ext>
                </c:extLst>
              </c15:ser>
            </c15:filteredLineSeries>
          </c:ext>
        </c:extLst>
      </c:lineChart>
      <c:dateAx>
        <c:axId val="28749045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39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87494768"/>
        <c:crosses val="autoZero"/>
        <c:auto val="0"/>
        <c:lblOffset val="100"/>
        <c:baseTimeUnit val="days"/>
      </c:dateAx>
      <c:valAx>
        <c:axId val="287494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Průměrná roční teplota vzduchu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87490456"/>
        <c:crosses val="autoZero"/>
        <c:crossBetween val="between"/>
      </c:valAx>
      <c:spPr>
        <a:noFill/>
        <a:ln>
          <a:noFill/>
        </a:ln>
        <a:effectLst/>
      </c:spPr>
    </c:plotArea>
    <c:legend>
      <c:legendPos val="b"/>
      <c:legendEntry>
        <c:idx val="0"/>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a:noFill/>
            </a:ln>
          </c:spPr>
          <c:dPt>
            <c:idx val="0"/>
            <c:bubble3D val="0"/>
            <c:spPr>
              <a:solidFill>
                <a:srgbClr val="C00000"/>
              </a:solidFill>
              <a:ln w="19050">
                <a:noFill/>
              </a:ln>
              <a:effectLst/>
            </c:spPr>
            <c:extLst>
              <c:ext xmlns:c16="http://schemas.microsoft.com/office/drawing/2014/chart" uri="{C3380CC4-5D6E-409C-BE32-E72D297353CC}">
                <c16:uniqueId val="{00000001-6CD2-472C-8FD6-16D3D654C37B}"/>
              </c:ext>
            </c:extLst>
          </c:dPt>
          <c:dPt>
            <c:idx val="1"/>
            <c:bubble3D val="0"/>
            <c:spPr>
              <a:solidFill>
                <a:schemeClr val="accent6"/>
              </a:solidFill>
              <a:ln w="19050">
                <a:noFill/>
              </a:ln>
              <a:effectLst/>
            </c:spPr>
            <c:extLst>
              <c:ext xmlns:c16="http://schemas.microsoft.com/office/drawing/2014/chart" uri="{C3380CC4-5D6E-409C-BE32-E72D297353CC}">
                <c16:uniqueId val="{00000003-6CD2-472C-8FD6-16D3D654C37B}"/>
              </c:ext>
            </c:extLst>
          </c:dPt>
          <c:dPt>
            <c:idx val="2"/>
            <c:bubble3D val="0"/>
            <c:spPr>
              <a:solidFill>
                <a:srgbClr val="7030A0"/>
              </a:solidFill>
              <a:ln w="19050">
                <a:noFill/>
              </a:ln>
              <a:effectLst/>
            </c:spPr>
            <c:extLst>
              <c:ext xmlns:c16="http://schemas.microsoft.com/office/drawing/2014/chart" uri="{C3380CC4-5D6E-409C-BE32-E72D297353CC}">
                <c16:uniqueId val="{00000005-6CD2-472C-8FD6-16D3D654C37B}"/>
              </c:ext>
            </c:extLst>
          </c:dPt>
          <c:dPt>
            <c:idx val="3"/>
            <c:bubble3D val="0"/>
            <c:spPr>
              <a:solidFill>
                <a:schemeClr val="accent5"/>
              </a:solidFill>
              <a:ln w="19050">
                <a:noFill/>
              </a:ln>
              <a:effectLst/>
            </c:spPr>
            <c:extLst>
              <c:ext xmlns:c16="http://schemas.microsoft.com/office/drawing/2014/chart" uri="{C3380CC4-5D6E-409C-BE32-E72D297353CC}">
                <c16:uniqueId val="{00000007-6CD2-472C-8FD6-16D3D654C37B}"/>
              </c:ext>
            </c:extLst>
          </c:dPt>
          <c:dPt>
            <c:idx val="4"/>
            <c:bubble3D val="0"/>
            <c:spPr>
              <a:solidFill>
                <a:schemeClr val="bg1">
                  <a:lumMod val="65000"/>
                </a:schemeClr>
              </a:solidFill>
              <a:ln w="19050">
                <a:noFill/>
              </a:ln>
              <a:effectLst/>
            </c:spPr>
            <c:extLst>
              <c:ext xmlns:c16="http://schemas.microsoft.com/office/drawing/2014/chart" uri="{C3380CC4-5D6E-409C-BE32-E72D297353CC}">
                <c16:uniqueId val="{00000009-6CD2-472C-8FD6-16D3D654C37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Zlín!$A$1:$A$5</c:f>
              <c:strCache>
                <c:ptCount val="5"/>
                <c:pt idx="0">
                  <c:v>Požár</c:v>
                </c:pt>
                <c:pt idx="1">
                  <c:v>Dopravní nehoda</c:v>
                </c:pt>
                <c:pt idx="2">
                  <c:v>Únik nebezpečných látek</c:v>
                </c:pt>
                <c:pt idx="3">
                  <c:v>Technická pomoc</c:v>
                </c:pt>
                <c:pt idx="4">
                  <c:v>Planý poplach</c:v>
                </c:pt>
              </c:strCache>
            </c:strRef>
          </c:cat>
          <c:val>
            <c:numRef>
              <c:f>Zlín!$B$1:$B$5</c:f>
              <c:numCache>
                <c:formatCode>General</c:formatCode>
                <c:ptCount val="5"/>
                <c:pt idx="0">
                  <c:v>74</c:v>
                </c:pt>
                <c:pt idx="1">
                  <c:v>99</c:v>
                </c:pt>
                <c:pt idx="2">
                  <c:v>43</c:v>
                </c:pt>
                <c:pt idx="3">
                  <c:v>445</c:v>
                </c:pt>
                <c:pt idx="4">
                  <c:v>64</c:v>
                </c:pt>
              </c:numCache>
            </c:numRef>
          </c:val>
          <c:extLst>
            <c:ext xmlns:c16="http://schemas.microsoft.com/office/drawing/2014/chart" uri="{C3380CC4-5D6E-409C-BE32-E72D297353CC}">
              <c16:uniqueId val="{0000000A-6CD2-472C-8FD6-16D3D654C37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8050034722222219"/>
          <c:y val="0.26025972499706196"/>
          <c:w val="0.27760729166666664"/>
          <c:h val="0.469530301249657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'okres Zlín'!$B$1</c:f>
              <c:strCache>
                <c:ptCount val="1"/>
                <c:pt idx="0">
                  <c:v>počet_událostí</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'okres Zlín'!$A$2:$A$6</c:f>
              <c:numCache>
                <c:formatCode>General</c:formatCode>
                <c:ptCount val="5"/>
                <c:pt idx="0">
                  <c:v>2015</c:v>
                </c:pt>
                <c:pt idx="1">
                  <c:v>2016</c:v>
                </c:pt>
                <c:pt idx="2">
                  <c:v>2017</c:v>
                </c:pt>
                <c:pt idx="3">
                  <c:v>2018</c:v>
                </c:pt>
                <c:pt idx="4">
                  <c:v>2019</c:v>
                </c:pt>
              </c:numCache>
            </c:numRef>
          </c:cat>
          <c:val>
            <c:numRef>
              <c:f>'okres Zlín'!$B$2:$B$6</c:f>
              <c:numCache>
                <c:formatCode>General</c:formatCode>
                <c:ptCount val="5"/>
                <c:pt idx="0">
                  <c:v>1481</c:v>
                </c:pt>
                <c:pt idx="1">
                  <c:v>1436</c:v>
                </c:pt>
                <c:pt idx="2">
                  <c:v>2011</c:v>
                </c:pt>
                <c:pt idx="3">
                  <c:v>1680</c:v>
                </c:pt>
                <c:pt idx="4">
                  <c:v>1886</c:v>
                </c:pt>
              </c:numCache>
            </c:numRef>
          </c:val>
          <c:extLst>
            <c:ext xmlns:c16="http://schemas.microsoft.com/office/drawing/2014/chart" uri="{C3380CC4-5D6E-409C-BE32-E72D297353CC}">
              <c16:uniqueId val="{00000000-7B5C-4309-BF6E-87D537CF47F2}"/>
            </c:ext>
          </c:extLst>
        </c:ser>
        <c:dLbls>
          <c:dLblPos val="outEnd"/>
          <c:showLegendKey val="0"/>
          <c:showVal val="1"/>
          <c:showCatName val="0"/>
          <c:showSerName val="0"/>
          <c:showPercent val="0"/>
          <c:showBubbleSize val="0"/>
        </c:dLbls>
        <c:gapWidth val="150"/>
        <c:axId val="455735616"/>
        <c:axId val="455737184"/>
        <c:extLst>
          <c:ext xmlns:c15="http://schemas.microsoft.com/office/drawing/2012/chart" uri="{02D57815-91ED-43cb-92C2-25804820EDAC}">
            <c15:filteredBarSeries>
              <c15:ser>
                <c:idx val="0"/>
                <c:order val="0"/>
                <c:tx>
                  <c:strRef>
                    <c:extLst>
                      <c:ext uri="{02D57815-91ED-43cb-92C2-25804820EDAC}">
                        <c15:formulaRef>
                          <c15:sqref>'okres Zlín'!$A$1</c15:sqref>
                        </c15:formulaRef>
                      </c:ext>
                    </c:extLst>
                    <c:strCache>
                      <c:ptCount val="1"/>
                      <c:pt idx="0">
                        <c:v>rok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'okres Zlín'!$A$2:$A$6</c15:sqref>
                        </c15:formulaRef>
                      </c:ext>
                    </c:extLst>
                    <c:numCache>
                      <c:formatCode>General</c:formatCode>
                      <c:ptCount val="5"/>
                      <c:pt idx="0">
                        <c:v>2015</c:v>
                      </c:pt>
                      <c:pt idx="1">
                        <c:v>2016</c:v>
                      </c:pt>
                      <c:pt idx="2">
                        <c:v>2017</c:v>
                      </c:pt>
                      <c:pt idx="3">
                        <c:v>2018</c:v>
                      </c:pt>
                      <c:pt idx="4">
                        <c:v>2019</c:v>
                      </c:pt>
                    </c:numCache>
                  </c:numRef>
                </c:cat>
                <c:val>
                  <c:numRef>
                    <c:extLst>
                      <c:ext uri="{02D57815-91ED-43cb-92C2-25804820EDAC}">
                        <c15:formulaRef>
                          <c15:sqref>'okres Zlín'!$A$2:$A$6</c15:sqref>
                        </c15:formulaRef>
                      </c:ext>
                    </c:extLst>
                    <c:numCache>
                      <c:formatCode>General</c:formatCode>
                      <c:ptCount val="5"/>
                      <c:pt idx="0">
                        <c:v>2015</c:v>
                      </c:pt>
                      <c:pt idx="1">
                        <c:v>2016</c:v>
                      </c:pt>
                      <c:pt idx="2">
                        <c:v>2017</c:v>
                      </c:pt>
                      <c:pt idx="3">
                        <c:v>2018</c:v>
                      </c:pt>
                      <c:pt idx="4">
                        <c:v>2019</c:v>
                      </c:pt>
                    </c:numCache>
                  </c:numRef>
                </c:val>
                <c:extLst>
                  <c:ext xmlns:c16="http://schemas.microsoft.com/office/drawing/2014/chart" uri="{C3380CC4-5D6E-409C-BE32-E72D297353CC}">
                    <c16:uniqueId val="{00000001-7B5C-4309-BF6E-87D537CF47F2}"/>
                  </c:ext>
                </c:extLst>
              </c15:ser>
            </c15:filteredBarSeries>
          </c:ext>
        </c:extLst>
      </c:barChart>
      <c:catAx>
        <c:axId val="455735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37184"/>
        <c:crosses val="autoZero"/>
        <c:auto val="1"/>
        <c:lblAlgn val="ctr"/>
        <c:lblOffset val="100"/>
        <c:noMultiLvlLbl val="0"/>
      </c:catAx>
      <c:valAx>
        <c:axId val="45573718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Počet událostí</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35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List1!$A$3:$A$9</c:f>
              <c:strCache>
                <c:ptCount val="7"/>
                <c:pt idx="0">
                  <c:v>2012</c:v>
                </c:pt>
                <c:pt idx="1">
                  <c:v>2013</c:v>
                </c:pt>
                <c:pt idx="2">
                  <c:v>2014</c:v>
                </c:pt>
                <c:pt idx="3">
                  <c:v>2015</c:v>
                </c:pt>
                <c:pt idx="4">
                  <c:v>2016</c:v>
                </c:pt>
                <c:pt idx="5">
                  <c:v>2017</c:v>
                </c:pt>
                <c:pt idx="6">
                  <c:v>2018</c:v>
                </c:pt>
              </c:strCache>
            </c:strRef>
          </c:cat>
          <c:val>
            <c:numRef>
              <c:f>List1!$B$3:$B$9</c:f>
              <c:numCache>
                <c:formatCode>0</c:formatCode>
                <c:ptCount val="7"/>
                <c:pt idx="0">
                  <c:v>1106</c:v>
                </c:pt>
                <c:pt idx="1">
                  <c:v>1183</c:v>
                </c:pt>
                <c:pt idx="2">
                  <c:v>1275</c:v>
                </c:pt>
                <c:pt idx="3">
                  <c:v>1317</c:v>
                </c:pt>
                <c:pt idx="4">
                  <c:v>1523</c:v>
                </c:pt>
                <c:pt idx="5">
                  <c:v>1534</c:v>
                </c:pt>
                <c:pt idx="6">
                  <c:v>1473</c:v>
                </c:pt>
              </c:numCache>
            </c:numRef>
          </c:val>
          <c:extLst>
            <c:ext xmlns:c16="http://schemas.microsoft.com/office/drawing/2014/chart" uri="{C3380CC4-5D6E-409C-BE32-E72D297353CC}">
              <c16:uniqueId val="{00000000-1339-4627-A089-D30F8A7D44AA}"/>
            </c:ext>
          </c:extLst>
        </c:ser>
        <c:dLbls>
          <c:showLegendKey val="0"/>
          <c:showVal val="0"/>
          <c:showCatName val="0"/>
          <c:showSerName val="0"/>
          <c:showPercent val="0"/>
          <c:showBubbleSize val="0"/>
        </c:dLbls>
        <c:gapWidth val="72"/>
        <c:axId val="455733656"/>
        <c:axId val="455740320"/>
      </c:barChart>
      <c:catAx>
        <c:axId val="455733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40320"/>
        <c:crosses val="autoZero"/>
        <c:auto val="1"/>
        <c:lblAlgn val="ctr"/>
        <c:lblOffset val="100"/>
        <c:noMultiLvlLbl val="0"/>
      </c:catAx>
      <c:valAx>
        <c:axId val="455740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Celkový počet dopravních nehod</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33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List1!$A$41:$A$50</c:f>
              <c:strCache>
                <c:ptCount val="10"/>
                <c:pt idx="0">
                  <c:v>Uherské Hradiště</c:v>
                </c:pt>
                <c:pt idx="1">
                  <c:v>Holešov</c:v>
                </c:pt>
                <c:pt idx="2">
                  <c:v>Tečovice</c:v>
                </c:pt>
                <c:pt idx="3">
                  <c:v>Vizovice</c:v>
                </c:pt>
                <c:pt idx="4">
                  <c:v>Brno</c:v>
                </c:pt>
                <c:pt idx="5">
                  <c:v>Fryšták</c:v>
                </c:pt>
                <c:pt idx="6">
                  <c:v>Napajedla</c:v>
                </c:pt>
                <c:pt idx="7">
                  <c:v>Slušovice</c:v>
                </c:pt>
                <c:pt idx="8">
                  <c:v>Praha</c:v>
                </c:pt>
                <c:pt idx="9">
                  <c:v>Otrokovice</c:v>
                </c:pt>
              </c:strCache>
            </c:strRef>
          </c:cat>
          <c:val>
            <c:numRef>
              <c:f>List1!$B$41:$B$50</c:f>
              <c:numCache>
                <c:formatCode>#,##0</c:formatCode>
                <c:ptCount val="10"/>
                <c:pt idx="0">
                  <c:v>102</c:v>
                </c:pt>
                <c:pt idx="1">
                  <c:v>110</c:v>
                </c:pt>
                <c:pt idx="2">
                  <c:v>113</c:v>
                </c:pt>
                <c:pt idx="3">
                  <c:v>146</c:v>
                </c:pt>
                <c:pt idx="4">
                  <c:v>154</c:v>
                </c:pt>
                <c:pt idx="5">
                  <c:v>155</c:v>
                </c:pt>
                <c:pt idx="6">
                  <c:v>176</c:v>
                </c:pt>
                <c:pt idx="7">
                  <c:v>203</c:v>
                </c:pt>
                <c:pt idx="8">
                  <c:v>282</c:v>
                </c:pt>
                <c:pt idx="9">
                  <c:v>1320</c:v>
                </c:pt>
              </c:numCache>
            </c:numRef>
          </c:val>
          <c:extLst>
            <c:ext xmlns:c16="http://schemas.microsoft.com/office/drawing/2014/chart" uri="{C3380CC4-5D6E-409C-BE32-E72D297353CC}">
              <c16:uniqueId val="{00000000-1CA7-4291-AEE0-8E16982435C1}"/>
            </c:ext>
          </c:extLst>
        </c:ser>
        <c:dLbls>
          <c:dLblPos val="outEnd"/>
          <c:showLegendKey val="0"/>
          <c:showVal val="1"/>
          <c:showCatName val="0"/>
          <c:showSerName val="0"/>
          <c:showPercent val="0"/>
          <c:showBubbleSize val="0"/>
        </c:dLbls>
        <c:gapWidth val="182"/>
        <c:axId val="455739144"/>
        <c:axId val="455738360"/>
      </c:barChart>
      <c:catAx>
        <c:axId val="45573914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cs-CZ"/>
                  <a:t>Obec dojížďky</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38360"/>
        <c:crosses val="autoZero"/>
        <c:auto val="1"/>
        <c:lblAlgn val="ctr"/>
        <c:lblOffset val="100"/>
        <c:noMultiLvlLbl val="0"/>
      </c:catAx>
      <c:valAx>
        <c:axId val="455738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cs-CZ"/>
                  <a:t>Počet osoby vyjíždějících ze Zlína do zaměstnání</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39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n-lt"/>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'[makroekonom.ukazateke_Zlín_13-15.xlsx]ZLK (2)'!$A$10</c:f>
              <c:strCache>
                <c:ptCount val="1"/>
                <c:pt idx="0">
                  <c:v>A      Zemědělství, lesnictví
         a rybářství</c:v>
                </c:pt>
              </c:strCache>
            </c:strRef>
          </c:tx>
          <c:spPr>
            <a:solidFill>
              <a:schemeClr val="accent1"/>
            </a:solidFill>
            <a:ln>
              <a:noFill/>
            </a:ln>
            <a:effectLst/>
          </c:spPr>
          <c:invertIfNegative val="0"/>
          <c:cat>
            <c:numRef>
              <c:f>'[makroekonom.ukazateke_Zlín_13-15.xlsx]ZLK (2)'!$B$9:$G$9</c:f>
              <c:numCache>
                <c:formatCode>General</c:formatCode>
                <c:ptCount val="6"/>
                <c:pt idx="0">
                  <c:v>2013</c:v>
                </c:pt>
                <c:pt idx="1">
                  <c:v>2014</c:v>
                </c:pt>
                <c:pt idx="2">
                  <c:v>2015</c:v>
                </c:pt>
                <c:pt idx="3">
                  <c:v>2016</c:v>
                </c:pt>
                <c:pt idx="4">
                  <c:v>2017</c:v>
                </c:pt>
                <c:pt idx="5">
                  <c:v>2018</c:v>
                </c:pt>
              </c:numCache>
            </c:numRef>
          </c:cat>
          <c:val>
            <c:numRef>
              <c:f>'[makroekonom.ukazateke_Zlín_13-15.xlsx]ZLK (2)'!$B$10:$G$10</c:f>
              <c:numCache>
                <c:formatCode>#\ ##0.0_ ;\-#\ ##0.0\ </c:formatCode>
                <c:ptCount val="6"/>
                <c:pt idx="0">
                  <c:v>2.5763402726602802</c:v>
                </c:pt>
                <c:pt idx="1">
                  <c:v>2.5636254625896751</c:v>
                </c:pt>
                <c:pt idx="2">
                  <c:v>2.3993653581335943</c:v>
                </c:pt>
                <c:pt idx="3">
                  <c:v>2.2991778132286167</c:v>
                </c:pt>
                <c:pt idx="4">
                  <c:v>2.4472395943128848</c:v>
                </c:pt>
                <c:pt idx="5">
                  <c:v>2.6331263999425434</c:v>
                </c:pt>
              </c:numCache>
            </c:numRef>
          </c:val>
          <c:extLst>
            <c:ext xmlns:c16="http://schemas.microsoft.com/office/drawing/2014/chart" uri="{C3380CC4-5D6E-409C-BE32-E72D297353CC}">
              <c16:uniqueId val="{00000000-AEAB-473F-A33F-6B7059DA595B}"/>
            </c:ext>
          </c:extLst>
        </c:ser>
        <c:ser>
          <c:idx val="1"/>
          <c:order val="1"/>
          <c:tx>
            <c:strRef>
              <c:f>'[makroekonom.ukazateke_Zlín_13-15.xlsx]ZLK (2)'!$A$11</c:f>
              <c:strCache>
                <c:ptCount val="1"/>
                <c:pt idx="0">
                  <c:v>B-E   Průmysl     </c:v>
                </c:pt>
              </c:strCache>
            </c:strRef>
          </c:tx>
          <c:spPr>
            <a:solidFill>
              <a:schemeClr val="accent2"/>
            </a:solidFill>
            <a:ln>
              <a:noFill/>
            </a:ln>
            <a:effectLst/>
          </c:spPr>
          <c:invertIfNegative val="0"/>
          <c:cat>
            <c:numRef>
              <c:f>'[makroekonom.ukazateke_Zlín_13-15.xlsx]ZLK (2)'!$B$9:$G$9</c:f>
              <c:numCache>
                <c:formatCode>General</c:formatCode>
                <c:ptCount val="6"/>
                <c:pt idx="0">
                  <c:v>2013</c:v>
                </c:pt>
                <c:pt idx="1">
                  <c:v>2014</c:v>
                </c:pt>
                <c:pt idx="2">
                  <c:v>2015</c:v>
                </c:pt>
                <c:pt idx="3">
                  <c:v>2016</c:v>
                </c:pt>
                <c:pt idx="4">
                  <c:v>2017</c:v>
                </c:pt>
                <c:pt idx="5">
                  <c:v>2018</c:v>
                </c:pt>
              </c:numCache>
            </c:numRef>
          </c:cat>
          <c:val>
            <c:numRef>
              <c:f>'[makroekonom.ukazateke_Zlín_13-15.xlsx]ZLK (2)'!$B$11:$G$11</c:f>
              <c:numCache>
                <c:formatCode>#\ ##0.0_ ;\-#\ ##0.0\ </c:formatCode>
                <c:ptCount val="6"/>
                <c:pt idx="0">
                  <c:v>44.318234156226971</c:v>
                </c:pt>
                <c:pt idx="1">
                  <c:v>46.708635696417126</c:v>
                </c:pt>
                <c:pt idx="2">
                  <c:v>47.049813399325444</c:v>
                </c:pt>
                <c:pt idx="3">
                  <c:v>46.220640569395016</c:v>
                </c:pt>
                <c:pt idx="4">
                  <c:v>46.132621272808187</c:v>
                </c:pt>
                <c:pt idx="5">
                  <c:v>43.883794108009354</c:v>
                </c:pt>
              </c:numCache>
            </c:numRef>
          </c:val>
          <c:extLst>
            <c:ext xmlns:c16="http://schemas.microsoft.com/office/drawing/2014/chart" uri="{C3380CC4-5D6E-409C-BE32-E72D297353CC}">
              <c16:uniqueId val="{00000001-AEAB-473F-A33F-6B7059DA595B}"/>
            </c:ext>
          </c:extLst>
        </c:ser>
        <c:ser>
          <c:idx val="2"/>
          <c:order val="2"/>
          <c:tx>
            <c:strRef>
              <c:f>'[makroekonom.ukazateke_Zlín_13-15.xlsx]ZLK (2)'!$A$12</c:f>
              <c:strCache>
                <c:ptCount val="1"/>
                <c:pt idx="0">
                  <c:v>F      Stavebnictví</c:v>
                </c:pt>
              </c:strCache>
            </c:strRef>
          </c:tx>
          <c:spPr>
            <a:solidFill>
              <a:schemeClr val="accent3"/>
            </a:solidFill>
            <a:ln>
              <a:noFill/>
            </a:ln>
            <a:effectLst/>
          </c:spPr>
          <c:invertIfNegative val="0"/>
          <c:cat>
            <c:numRef>
              <c:f>'[makroekonom.ukazateke_Zlín_13-15.xlsx]ZLK (2)'!$B$9:$G$9</c:f>
              <c:numCache>
                <c:formatCode>General</c:formatCode>
                <c:ptCount val="6"/>
                <c:pt idx="0">
                  <c:v>2013</c:v>
                </c:pt>
                <c:pt idx="1">
                  <c:v>2014</c:v>
                </c:pt>
                <c:pt idx="2">
                  <c:v>2015</c:v>
                </c:pt>
                <c:pt idx="3">
                  <c:v>2016</c:v>
                </c:pt>
                <c:pt idx="4">
                  <c:v>2017</c:v>
                </c:pt>
                <c:pt idx="5">
                  <c:v>2018</c:v>
                </c:pt>
              </c:numCache>
            </c:numRef>
          </c:cat>
          <c:val>
            <c:numRef>
              <c:f>'[makroekonom.ukazateke_Zlín_13-15.xlsx]ZLK (2)'!$B$12:$G$12</c:f>
              <c:numCache>
                <c:formatCode>#\ ##0.0_ ;\-#\ ##0.0\ </c:formatCode>
                <c:ptCount val="6"/>
                <c:pt idx="0">
                  <c:v>6.5798866985998528</c:v>
                </c:pt>
                <c:pt idx="1">
                  <c:v>6.2819161032892961</c:v>
                </c:pt>
                <c:pt idx="2">
                  <c:v>6.3868321791366478</c:v>
                </c:pt>
                <c:pt idx="3">
                  <c:v>6.3467910173027358</c:v>
                </c:pt>
                <c:pt idx="4">
                  <c:v>6.046892933267749</c:v>
                </c:pt>
                <c:pt idx="5">
                  <c:v>6.5697984980496189</c:v>
                </c:pt>
              </c:numCache>
            </c:numRef>
          </c:val>
          <c:extLst>
            <c:ext xmlns:c16="http://schemas.microsoft.com/office/drawing/2014/chart" uri="{C3380CC4-5D6E-409C-BE32-E72D297353CC}">
              <c16:uniqueId val="{00000002-AEAB-473F-A33F-6B7059DA595B}"/>
            </c:ext>
          </c:extLst>
        </c:ser>
        <c:ser>
          <c:idx val="3"/>
          <c:order val="3"/>
          <c:tx>
            <c:strRef>
              <c:f>'[makroekonom.ukazateke_Zlín_13-15.xlsx]ZLK (2)'!$A$13</c:f>
              <c:strCache>
                <c:ptCount val="1"/>
                <c:pt idx="0">
                  <c:v>G-U  Služby</c:v>
                </c:pt>
              </c:strCache>
            </c:strRef>
          </c:tx>
          <c:spPr>
            <a:solidFill>
              <a:schemeClr val="accent4"/>
            </a:solidFill>
            <a:ln>
              <a:noFill/>
            </a:ln>
            <a:effectLst/>
          </c:spPr>
          <c:invertIfNegative val="0"/>
          <c:cat>
            <c:numRef>
              <c:f>'[makroekonom.ukazateke_Zlín_13-15.xlsx]ZLK (2)'!$B$9:$G$9</c:f>
              <c:numCache>
                <c:formatCode>General</c:formatCode>
                <c:ptCount val="6"/>
                <c:pt idx="0">
                  <c:v>2013</c:v>
                </c:pt>
                <c:pt idx="1">
                  <c:v>2014</c:v>
                </c:pt>
                <c:pt idx="2">
                  <c:v>2015</c:v>
                </c:pt>
                <c:pt idx="3">
                  <c:v>2016</c:v>
                </c:pt>
                <c:pt idx="4">
                  <c:v>2017</c:v>
                </c:pt>
                <c:pt idx="5">
                  <c:v>2018</c:v>
                </c:pt>
              </c:numCache>
            </c:numRef>
          </c:cat>
          <c:val>
            <c:numRef>
              <c:f>'[makroekonom.ukazateke_Zlín_13-15.xlsx]ZLK (2)'!$B$13:$G$13</c:f>
              <c:numCache>
                <c:formatCode>#\ ##0.0_ ;\-#\ ##0.0\ </c:formatCode>
                <c:ptCount val="6"/>
                <c:pt idx="0">
                  <c:v>46.525538872512897</c:v>
                </c:pt>
                <c:pt idx="1">
                  <c:v>44.445822737703899</c:v>
                </c:pt>
                <c:pt idx="2">
                  <c:v>44.163989063404316</c:v>
                </c:pt>
                <c:pt idx="3">
                  <c:v>45.133390600073632</c:v>
                </c:pt>
                <c:pt idx="4">
                  <c:v>45.373246199611181</c:v>
                </c:pt>
                <c:pt idx="5">
                  <c:v>46.913280993998484</c:v>
                </c:pt>
              </c:numCache>
            </c:numRef>
          </c:val>
          <c:extLst>
            <c:ext xmlns:c16="http://schemas.microsoft.com/office/drawing/2014/chart" uri="{C3380CC4-5D6E-409C-BE32-E72D297353CC}">
              <c16:uniqueId val="{00000003-AEAB-473F-A33F-6B7059DA595B}"/>
            </c:ext>
          </c:extLst>
        </c:ser>
        <c:dLbls>
          <c:showLegendKey val="0"/>
          <c:showVal val="0"/>
          <c:showCatName val="0"/>
          <c:showSerName val="0"/>
          <c:showPercent val="0"/>
          <c:showBubbleSize val="0"/>
        </c:dLbls>
        <c:gapWidth val="150"/>
        <c:overlap val="100"/>
        <c:axId val="455736792"/>
        <c:axId val="455738752"/>
      </c:barChart>
      <c:catAx>
        <c:axId val="455736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38752"/>
        <c:crosses val="autoZero"/>
        <c:auto val="1"/>
        <c:lblAlgn val="ctr"/>
        <c:lblOffset val="100"/>
        <c:noMultiLvlLbl val="0"/>
      </c:catAx>
      <c:valAx>
        <c:axId val="4557387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736792"/>
        <c:crosses val="autoZero"/>
        <c:crossBetween val="between"/>
      </c:valAx>
      <c:spPr>
        <a:noFill/>
        <a:ln>
          <a:noFill/>
        </a:ln>
        <a:effectLst/>
      </c:spPr>
    </c:plotArea>
    <c:legend>
      <c:legendPos val="b"/>
      <c:layout>
        <c:manualLayout>
          <c:xMode val="edge"/>
          <c:yMode val="edge"/>
          <c:x val="1.6535763888888888E-2"/>
          <c:y val="0.83364027272519103"/>
          <c:w val="0.96251874999999998"/>
          <c:h val="0.136784871646290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Prodat</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30514930555555553"/>
          <c:y val="0.17171288371562252"/>
          <c:w val="0.49394375000000001"/>
          <c:h val="0.53547567423637266"/>
        </c:manualLayout>
      </c:layout>
      <c:barChart>
        <c:barDir val="bar"/>
        <c:grouping val="percentStacked"/>
        <c:varyColors val="0"/>
        <c:ser>
          <c:idx val="2"/>
          <c:order val="2"/>
          <c:tx>
            <c:strRef>
              <c:f>'[Dotazniky_matice_Zlin-2.xlsx]18'!$C$16</c:f>
              <c:strCache>
                <c:ptCount val="1"/>
              </c:strCache>
            </c:strRef>
          </c:tx>
          <c:spPr>
            <a:solidFill>
              <a:schemeClr val="bg1"/>
            </a:solidFill>
            <a:ln>
              <a:noFill/>
            </a:ln>
            <a:effectLst/>
          </c:spPr>
          <c:invertIfNegative val="0"/>
          <c:dLbls>
            <c:dLbl>
              <c:idx val="0"/>
              <c:layout>
                <c:manualLayout>
                  <c:x val="0.35542916666666668"/>
                  <c:y val="-1.1808773943670719E-16"/>
                </c:manualLayout>
              </c:layout>
              <c:tx>
                <c:rich>
                  <a:bodyPr/>
                  <a:lstStyle/>
                  <a:p>
                    <a:fld id="{847A5CE5-3440-4EC0-BFCE-B4E79DB929EC}" type="CELLRANGE">
                      <a:rPr lang="en-US"/>
                      <a:pPr/>
                      <a:t>[OBLAST BUNĚK]</a:t>
                    </a:fld>
                    <a:endParaRPr lang="cs-C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0680-416E-9086-9590823E2DD6}"/>
                </c:ext>
              </c:extLst>
            </c:dLbl>
            <c:dLbl>
              <c:idx val="1"/>
              <c:layout>
                <c:manualLayout>
                  <c:x val="0.35453611111111111"/>
                  <c:y val="0"/>
                </c:manualLayout>
              </c:layout>
              <c:tx>
                <c:rich>
                  <a:bodyPr/>
                  <a:lstStyle/>
                  <a:p>
                    <a:fld id="{3EC5BB51-82B4-4CA3-B064-B600ECDC5977}" type="CELLRANGE">
                      <a:rPr lang="en-US"/>
                      <a:pPr/>
                      <a:t>[OBLAST BUNĚK]</a:t>
                    </a:fld>
                    <a:endParaRPr lang="cs-C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0680-416E-9086-9590823E2DD6}"/>
                </c:ext>
              </c:extLst>
            </c:dLbl>
            <c:dLbl>
              <c:idx val="2"/>
              <c:layout>
                <c:manualLayout>
                  <c:x val="0.35894583333333352"/>
                  <c:y val="0"/>
                </c:manualLayout>
              </c:layout>
              <c:tx>
                <c:rich>
                  <a:bodyPr/>
                  <a:lstStyle/>
                  <a:p>
                    <a:fld id="{A2450917-7091-4A17-9851-FD7F5A7AFBDD}" type="CELLRANGE">
                      <a:rPr lang="en-US"/>
                      <a:pPr/>
                      <a:t>[OBLAST BUNĚK]</a:t>
                    </a:fld>
                    <a:endParaRPr lang="cs-CZ"/>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0680-416E-9086-9590823E2DD6}"/>
                </c:ext>
              </c:extLst>
            </c:dLbl>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chemeClr val="bg1">
                        <a:lumMod val="50000"/>
                      </a:schemeClr>
                    </a:solidFill>
                    <a:latin typeface="+mn-lt"/>
                    <a:ea typeface="+mn-ea"/>
                    <a:cs typeface="+mn-cs"/>
                  </a:defRPr>
                </a:pPr>
                <a:endParaRPr lang="cs-CZ"/>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'[Dotazniky_matice_Zlin-2.xlsx]18'!$D$13:$F$13</c:f>
              <c:strCache>
                <c:ptCount val="3"/>
                <c:pt idx="0">
                  <c:v>Malé firmy</c:v>
                </c:pt>
                <c:pt idx="1">
                  <c:v>Střední a velké firmy</c:v>
                </c:pt>
                <c:pt idx="2">
                  <c:v>Veškeré firmy</c:v>
                </c:pt>
              </c:strCache>
            </c:strRef>
          </c:cat>
          <c:val>
            <c:numRef>
              <c:f>'[Dotazniky_matice_Zlin-2.xlsx]18'!$D$16:$F$16</c:f>
              <c:numCache>
                <c:formatCode>0</c:formatCode>
                <c:ptCount val="3"/>
                <c:pt idx="0">
                  <c:v>3</c:v>
                </c:pt>
                <c:pt idx="1">
                  <c:v>6</c:v>
                </c:pt>
                <c:pt idx="2">
                  <c:v>9</c:v>
                </c:pt>
              </c:numCache>
            </c:numRef>
          </c:val>
          <c:extLst>
            <c:ext xmlns:c15="http://schemas.microsoft.com/office/drawing/2012/chart" uri="{02D57815-91ED-43cb-92C2-25804820EDAC}">
              <c15:datalabelsRange>
                <c15:f>'[Dotazniky_matice_Zlin-2.xlsx]18'!$D$17:$F$17</c15:f>
                <c15:dlblRangeCache>
                  <c:ptCount val="3"/>
                  <c:pt idx="0">
                    <c:v>3 firmy</c:v>
                  </c:pt>
                  <c:pt idx="1">
                    <c:v>6 firem</c:v>
                  </c:pt>
                  <c:pt idx="2">
                    <c:v>9 firem</c:v>
                  </c:pt>
                </c15:dlblRangeCache>
              </c15:datalabelsRange>
            </c:ext>
            <c:ext xmlns:c16="http://schemas.microsoft.com/office/drawing/2014/chart" uri="{C3380CC4-5D6E-409C-BE32-E72D297353CC}">
              <c16:uniqueId val="{00000003-0680-416E-9086-9590823E2DD6}"/>
            </c:ext>
          </c:extLst>
        </c:ser>
        <c:dLbls>
          <c:showLegendKey val="0"/>
          <c:showVal val="0"/>
          <c:showCatName val="0"/>
          <c:showSerName val="0"/>
          <c:showPercent val="0"/>
          <c:showBubbleSize val="0"/>
        </c:dLbls>
        <c:gapWidth val="50"/>
        <c:overlap val="100"/>
        <c:axId val="455739536"/>
        <c:axId val="455732872"/>
      </c:barChart>
      <c:barChart>
        <c:barDir val="bar"/>
        <c:grouping val="percentStacked"/>
        <c:varyColors val="0"/>
        <c:ser>
          <c:idx val="0"/>
          <c:order val="0"/>
          <c:tx>
            <c:strRef>
              <c:f>'[Dotazniky_matice_Zlin-2.xlsx]18'!$C$14</c:f>
              <c:strCache>
                <c:ptCount val="1"/>
                <c:pt idx="0">
                  <c:v>Ano</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'[Dotazniky_matice_Zlin-2.xlsx]18'!$D$13:$F$13</c:f>
              <c:strCache>
                <c:ptCount val="3"/>
                <c:pt idx="0">
                  <c:v>Malé firmy</c:v>
                </c:pt>
                <c:pt idx="1">
                  <c:v>Střední a velké firmy</c:v>
                </c:pt>
                <c:pt idx="2">
                  <c:v>Veškeré firmy</c:v>
                </c:pt>
              </c:strCache>
            </c:strRef>
          </c:cat>
          <c:val>
            <c:numRef>
              <c:f>'[Dotazniky_matice_Zlin-2.xlsx]18'!$D$14:$F$14</c:f>
              <c:numCache>
                <c:formatCode>0.0%</c:formatCode>
                <c:ptCount val="3"/>
                <c:pt idx="0">
                  <c:v>0.33333333333333331</c:v>
                </c:pt>
                <c:pt idx="1">
                  <c:v>0.5</c:v>
                </c:pt>
                <c:pt idx="2">
                  <c:v>0.44444444444444442</c:v>
                </c:pt>
              </c:numCache>
            </c:numRef>
          </c:val>
          <c:extLst>
            <c:ext xmlns:c16="http://schemas.microsoft.com/office/drawing/2014/chart" uri="{C3380CC4-5D6E-409C-BE32-E72D297353CC}">
              <c16:uniqueId val="{00000004-0680-416E-9086-9590823E2DD6}"/>
            </c:ext>
          </c:extLst>
        </c:ser>
        <c:ser>
          <c:idx val="1"/>
          <c:order val="1"/>
          <c:tx>
            <c:strRef>
              <c:f>'[Dotazniky_matice_Zlin-2.xlsx]18'!$C$15</c:f>
              <c:strCache>
                <c:ptCount val="1"/>
                <c:pt idx="0">
                  <c:v>Ne</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'[Dotazniky_matice_Zlin-2.xlsx]18'!$D$13:$F$13</c:f>
              <c:strCache>
                <c:ptCount val="3"/>
                <c:pt idx="0">
                  <c:v>Malé firmy</c:v>
                </c:pt>
                <c:pt idx="1">
                  <c:v>Střední a velké firmy</c:v>
                </c:pt>
                <c:pt idx="2">
                  <c:v>Veškeré firmy</c:v>
                </c:pt>
              </c:strCache>
            </c:strRef>
          </c:cat>
          <c:val>
            <c:numRef>
              <c:f>'[Dotazniky_matice_Zlin-2.xlsx]18'!$D$15:$F$15</c:f>
              <c:numCache>
                <c:formatCode>0.0%</c:formatCode>
                <c:ptCount val="3"/>
                <c:pt idx="0">
                  <c:v>0.66666666666666663</c:v>
                </c:pt>
                <c:pt idx="1">
                  <c:v>0.5</c:v>
                </c:pt>
                <c:pt idx="2">
                  <c:v>0.55555555555555558</c:v>
                </c:pt>
              </c:numCache>
            </c:numRef>
          </c:val>
          <c:extLst>
            <c:ext xmlns:c16="http://schemas.microsoft.com/office/drawing/2014/chart" uri="{C3380CC4-5D6E-409C-BE32-E72D297353CC}">
              <c16:uniqueId val="{00000005-0680-416E-9086-9590823E2DD6}"/>
            </c:ext>
          </c:extLst>
        </c:ser>
        <c:dLbls>
          <c:showLegendKey val="0"/>
          <c:showVal val="0"/>
          <c:showCatName val="0"/>
          <c:showSerName val="0"/>
          <c:showPercent val="0"/>
          <c:showBubbleSize val="0"/>
        </c:dLbls>
        <c:gapWidth val="50"/>
        <c:overlap val="100"/>
        <c:axId val="455737968"/>
        <c:axId val="455739928"/>
      </c:barChart>
      <c:catAx>
        <c:axId val="455739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s-CZ"/>
          </a:p>
        </c:txPr>
        <c:crossAx val="455732872"/>
        <c:crosses val="autoZero"/>
        <c:auto val="1"/>
        <c:lblAlgn val="ctr"/>
        <c:lblOffset val="100"/>
        <c:noMultiLvlLbl val="0"/>
      </c:catAx>
      <c:valAx>
        <c:axId val="45573287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s-CZ"/>
          </a:p>
        </c:txPr>
        <c:crossAx val="455739536"/>
        <c:crosses val="autoZero"/>
        <c:crossBetween val="between"/>
      </c:valAx>
      <c:valAx>
        <c:axId val="455739928"/>
        <c:scaling>
          <c:orientation val="minMax"/>
        </c:scaling>
        <c:delete val="1"/>
        <c:axPos val="t"/>
        <c:numFmt formatCode="0%" sourceLinked="1"/>
        <c:majorTickMark val="out"/>
        <c:minorTickMark val="none"/>
        <c:tickLblPos val="nextTo"/>
        <c:crossAx val="455737968"/>
        <c:crosses val="max"/>
        <c:crossBetween val="between"/>
      </c:valAx>
      <c:catAx>
        <c:axId val="455737968"/>
        <c:scaling>
          <c:orientation val="minMax"/>
        </c:scaling>
        <c:delete val="1"/>
        <c:axPos val="l"/>
        <c:numFmt formatCode="General" sourceLinked="1"/>
        <c:majorTickMark val="out"/>
        <c:minorTickMark val="none"/>
        <c:tickLblPos val="nextTo"/>
        <c:crossAx val="455739928"/>
        <c:crosses val="autoZero"/>
        <c:auto val="1"/>
        <c:lblAlgn val="ctr"/>
        <c:lblOffset val="100"/>
        <c:noMultiLvlLbl val="0"/>
      </c:catAx>
      <c:spPr>
        <a:noFill/>
        <a:ln>
          <a:noFill/>
        </a:ln>
        <a:effectLst/>
      </c:spPr>
    </c:plotArea>
    <c:legend>
      <c:legendPos val="b"/>
      <c:overlay val="1"/>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Pronajmout</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30514930555555553"/>
          <c:y val="0.17171288371562252"/>
          <c:w val="0.48953402777777777"/>
          <c:h val="0.53547567423637266"/>
        </c:manualLayout>
      </c:layout>
      <c:barChart>
        <c:barDir val="bar"/>
        <c:grouping val="stacked"/>
        <c:varyColors val="0"/>
        <c:ser>
          <c:idx val="0"/>
          <c:order val="0"/>
          <c:tx>
            <c:strRef>
              <c:f>'[Dotazniky_matice_Zlin-2.xlsx]18'!$C$20</c:f>
              <c:strCache>
                <c:ptCount val="1"/>
                <c:pt idx="0">
                  <c:v>Ano</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'[Dotazniky_matice_Zlin-2.xlsx]18'!$D$13:$F$13</c:f>
              <c:strCache>
                <c:ptCount val="3"/>
                <c:pt idx="0">
                  <c:v>Malé firmy</c:v>
                </c:pt>
                <c:pt idx="1">
                  <c:v>Střední a velké firmy</c:v>
                </c:pt>
                <c:pt idx="2">
                  <c:v>Veškeré firmy</c:v>
                </c:pt>
              </c:strCache>
            </c:strRef>
          </c:cat>
          <c:val>
            <c:numRef>
              <c:f>'[Dotazniky_matice_Zlin-2.xlsx]18'!$D$20:$F$20</c:f>
              <c:numCache>
                <c:formatCode>0.0%</c:formatCode>
                <c:ptCount val="3"/>
                <c:pt idx="0">
                  <c:v>0.5</c:v>
                </c:pt>
                <c:pt idx="1">
                  <c:v>0.81818181818181823</c:v>
                </c:pt>
                <c:pt idx="2">
                  <c:v>0.76923076923076927</c:v>
                </c:pt>
              </c:numCache>
            </c:numRef>
          </c:val>
          <c:extLst>
            <c:ext xmlns:c16="http://schemas.microsoft.com/office/drawing/2014/chart" uri="{C3380CC4-5D6E-409C-BE32-E72D297353CC}">
              <c16:uniqueId val="{00000000-A604-4E4C-B1B6-81AAE6344383}"/>
            </c:ext>
          </c:extLst>
        </c:ser>
        <c:ser>
          <c:idx val="1"/>
          <c:order val="1"/>
          <c:tx>
            <c:strRef>
              <c:f>'[Dotazniky_matice_Zlin-2.xlsx]18'!$C$21</c:f>
              <c:strCache>
                <c:ptCount val="1"/>
                <c:pt idx="0">
                  <c:v>Ne</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'[Dotazniky_matice_Zlin-2.xlsx]18'!$D$13:$F$13</c:f>
              <c:strCache>
                <c:ptCount val="3"/>
                <c:pt idx="0">
                  <c:v>Malé firmy</c:v>
                </c:pt>
                <c:pt idx="1">
                  <c:v>Střední a velké firmy</c:v>
                </c:pt>
                <c:pt idx="2">
                  <c:v>Veškeré firmy</c:v>
                </c:pt>
              </c:strCache>
            </c:strRef>
          </c:cat>
          <c:val>
            <c:numRef>
              <c:f>'[Dotazniky_matice_Zlin-2.xlsx]18'!$D$21:$F$21</c:f>
              <c:numCache>
                <c:formatCode>0.0%</c:formatCode>
                <c:ptCount val="3"/>
                <c:pt idx="0">
                  <c:v>0.5</c:v>
                </c:pt>
                <c:pt idx="1">
                  <c:v>0.18181818181818182</c:v>
                </c:pt>
                <c:pt idx="2">
                  <c:v>0.23076923076923078</c:v>
                </c:pt>
              </c:numCache>
            </c:numRef>
          </c:val>
          <c:extLst>
            <c:ext xmlns:c16="http://schemas.microsoft.com/office/drawing/2014/chart" uri="{C3380CC4-5D6E-409C-BE32-E72D297353CC}">
              <c16:uniqueId val="{00000001-A604-4E4C-B1B6-81AAE6344383}"/>
            </c:ext>
          </c:extLst>
        </c:ser>
        <c:ser>
          <c:idx val="2"/>
          <c:order val="2"/>
          <c:spPr>
            <a:solidFill>
              <a:sysClr val="window" lastClr="FFFFFF"/>
            </a:solidFill>
            <a:ln>
              <a:noFill/>
            </a:ln>
            <a:effectLst/>
          </c:spPr>
          <c:invertIfNegative val="0"/>
          <c:dLbls>
            <c:dLbl>
              <c:idx val="0"/>
              <c:tx>
                <c:rich>
                  <a:bodyPr/>
                  <a:lstStyle/>
                  <a:p>
                    <a:fld id="{76276789-7D6D-4248-8FF5-550D85ACD93B}" type="CELLRANGE">
                      <a:rPr lang="en-US"/>
                      <a:pPr/>
                      <a:t>[OBLAST BUNĚK]</a:t>
                    </a:fld>
                    <a:endParaRPr lang="cs-CZ"/>
                  </a:p>
                </c:rich>
              </c:tx>
              <c:dLblPos val="inBase"/>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A604-4E4C-B1B6-81AAE6344383}"/>
                </c:ext>
              </c:extLst>
            </c:dLbl>
            <c:dLbl>
              <c:idx val="1"/>
              <c:tx>
                <c:rich>
                  <a:bodyPr/>
                  <a:lstStyle/>
                  <a:p>
                    <a:fld id="{D132562E-C4A3-49E1-B474-FF065FEE6C69}" type="CELLRANGE">
                      <a:rPr lang="cs-CZ"/>
                      <a:pPr/>
                      <a:t>[OBLAST BUNĚK]</a:t>
                    </a:fld>
                    <a:endParaRPr lang="cs-CZ"/>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A604-4E4C-B1B6-81AAE6344383}"/>
                </c:ext>
              </c:extLst>
            </c:dLbl>
            <c:dLbl>
              <c:idx val="2"/>
              <c:tx>
                <c:rich>
                  <a:bodyPr/>
                  <a:lstStyle/>
                  <a:p>
                    <a:fld id="{83E8E2BE-19C7-42D7-AF0F-F39B4E37A373}" type="CELLRANGE">
                      <a:rPr lang="cs-CZ"/>
                      <a:pPr/>
                      <a:t>[OBLAST BUNĚK]</a:t>
                    </a:fld>
                    <a:endParaRPr lang="cs-CZ"/>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A604-4E4C-B1B6-81AAE6344383}"/>
                </c:ext>
              </c:extLst>
            </c:dLbl>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chemeClr val="bg1">
                        <a:lumMod val="50000"/>
                      </a:schemeClr>
                    </a:solidFill>
                    <a:latin typeface="+mn-lt"/>
                    <a:ea typeface="+mn-ea"/>
                    <a:cs typeface="+mn-cs"/>
                  </a:defRPr>
                </a:pPr>
                <a:endParaRPr lang="cs-CZ"/>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'[Dotazniky_matice_Zlin-2.xlsx]18'!$D$22:$F$22</c:f>
              <c:numCache>
                <c:formatCode>General</c:formatCode>
                <c:ptCount val="3"/>
                <c:pt idx="0">
                  <c:v>2</c:v>
                </c:pt>
                <c:pt idx="1">
                  <c:v>11</c:v>
                </c:pt>
                <c:pt idx="2">
                  <c:v>13</c:v>
                </c:pt>
              </c:numCache>
            </c:numRef>
          </c:val>
          <c:extLst>
            <c:ext xmlns:c15="http://schemas.microsoft.com/office/drawing/2012/chart" uri="{02D57815-91ED-43cb-92C2-25804820EDAC}">
              <c15:datalabelsRange>
                <c15:f>'[Dotazniky_matice_Zlin-2.xlsx]18'!$D$23:$F$23</c15:f>
                <c15:dlblRangeCache>
                  <c:ptCount val="3"/>
                  <c:pt idx="0">
                    <c:v>2 firmy</c:v>
                  </c:pt>
                  <c:pt idx="1">
                    <c:v>11 firem</c:v>
                  </c:pt>
                  <c:pt idx="2">
                    <c:v>13 firem</c:v>
                  </c:pt>
                </c15:dlblRangeCache>
              </c15:datalabelsRange>
            </c:ext>
            <c:ext xmlns:c16="http://schemas.microsoft.com/office/drawing/2014/chart" uri="{C3380CC4-5D6E-409C-BE32-E72D297353CC}">
              <c16:uniqueId val="{00000005-A604-4E4C-B1B6-81AAE6344383}"/>
            </c:ext>
          </c:extLst>
        </c:ser>
        <c:dLbls>
          <c:dLblPos val="inBase"/>
          <c:showLegendKey val="0"/>
          <c:showVal val="1"/>
          <c:showCatName val="0"/>
          <c:showSerName val="0"/>
          <c:showPercent val="0"/>
          <c:showBubbleSize val="0"/>
        </c:dLbls>
        <c:gapWidth val="50"/>
        <c:overlap val="100"/>
        <c:axId val="455734440"/>
        <c:axId val="455734832"/>
      </c:barChart>
      <c:catAx>
        <c:axId val="455734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s-CZ"/>
          </a:p>
        </c:txPr>
        <c:crossAx val="455734832"/>
        <c:crosses val="autoZero"/>
        <c:auto val="1"/>
        <c:lblAlgn val="ctr"/>
        <c:lblOffset val="100"/>
        <c:noMultiLvlLbl val="0"/>
      </c:catAx>
      <c:valAx>
        <c:axId val="4557348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s-CZ"/>
          </a:p>
        </c:txPr>
        <c:crossAx val="455734440"/>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cs-CZ"/>
          </a:p>
        </c:txPr>
      </c:legendEntry>
      <c:layout>
        <c:manualLayout>
          <c:xMode val="edge"/>
          <c:yMode val="edge"/>
          <c:x val="0.39837430555555553"/>
          <c:y val="0.85265624405644946"/>
          <c:w val="0.41491805555555555"/>
          <c:h val="0.1086964129483814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w="9525">
              <a:noFill/>
            </a:ln>
            <a:effectLst/>
          </c:spPr>
          <c:invertIfNegative val="0"/>
          <c:dLbls>
            <c:dLbl>
              <c:idx val="2"/>
              <c:layout>
                <c:manualLayout>
                  <c:x val="-4.1928236815434624E-17"/>
                  <c:y val="-4.83495977553604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BC-4506-B21E-2AAFA9CDA34D}"/>
                </c:ext>
              </c:extLst>
            </c:dLbl>
            <c:dLbl>
              <c:idx val="6"/>
              <c:layout>
                <c:manualLayout>
                  <c:x val="-2.2870211549457669E-3"/>
                  <c:y val="-3.71919982733541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BC-4506-B21E-2AAFA9CDA34D}"/>
                </c:ext>
              </c:extLst>
            </c:dLbl>
            <c:dLbl>
              <c:idx val="7"/>
              <c:layout>
                <c:manualLayout>
                  <c:x val="-2.2870211549457669E-3"/>
                  <c:y val="-4.83495977553604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BC-4506-B21E-2AAFA9CDA34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graf_srazky!$B$3:$B$12</c:f>
              <c:numCache>
                <c:formatCode>0</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graf_srazky!$C$3:$C$12</c:f>
              <c:numCache>
                <c:formatCode>General</c:formatCode>
                <c:ptCount val="10"/>
                <c:pt idx="0">
                  <c:v>995</c:v>
                </c:pt>
                <c:pt idx="1">
                  <c:v>775</c:v>
                </c:pt>
                <c:pt idx="2">
                  <c:v>723</c:v>
                </c:pt>
                <c:pt idx="3">
                  <c:v>769</c:v>
                </c:pt>
                <c:pt idx="4">
                  <c:v>758</c:v>
                </c:pt>
                <c:pt idx="5">
                  <c:v>580</c:v>
                </c:pt>
                <c:pt idx="6">
                  <c:v>738</c:v>
                </c:pt>
                <c:pt idx="7">
                  <c:v>721</c:v>
                </c:pt>
                <c:pt idx="8">
                  <c:v>563</c:v>
                </c:pt>
                <c:pt idx="9">
                  <c:v>818</c:v>
                </c:pt>
              </c:numCache>
            </c:numRef>
          </c:val>
          <c:extLst>
            <c:ext xmlns:c16="http://schemas.microsoft.com/office/drawing/2014/chart" uri="{C3380CC4-5D6E-409C-BE32-E72D297353CC}">
              <c16:uniqueId val="{00000003-B6BC-4506-B21E-2AAFA9CDA34D}"/>
            </c:ext>
          </c:extLst>
        </c:ser>
        <c:dLbls>
          <c:dLblPos val="outEnd"/>
          <c:showLegendKey val="0"/>
          <c:showVal val="1"/>
          <c:showCatName val="0"/>
          <c:showSerName val="0"/>
          <c:showPercent val="0"/>
          <c:showBubbleSize val="0"/>
        </c:dLbls>
        <c:gapWidth val="40"/>
        <c:axId val="287492808"/>
        <c:axId val="287496728"/>
      </c:barChart>
      <c:lineChart>
        <c:grouping val="standard"/>
        <c:varyColors val="0"/>
        <c:ser>
          <c:idx val="2"/>
          <c:order val="2"/>
          <c:tx>
            <c:strRef>
              <c:f>graf_srazky!$E$2</c:f>
              <c:strCache>
                <c:ptCount val="1"/>
                <c:pt idx="0">
                  <c:v>dlouhodobý průměr (1981-2010), Zlínský kraj</c:v>
                </c:pt>
              </c:strCache>
            </c:strRef>
          </c:tx>
          <c:spPr>
            <a:ln w="28575" cap="rnd">
              <a:solidFill>
                <a:srgbClr val="FFC000"/>
              </a:solidFill>
              <a:round/>
            </a:ln>
            <a:effectLst/>
          </c:spPr>
          <c:marker>
            <c:symbol val="none"/>
          </c:marker>
          <c:val>
            <c:numRef>
              <c:f>graf_srazky!$E$3:$E$12</c:f>
              <c:numCache>
                <c:formatCode>General</c:formatCode>
                <c:ptCount val="10"/>
                <c:pt idx="0">
                  <c:v>775</c:v>
                </c:pt>
                <c:pt idx="1">
                  <c:v>775</c:v>
                </c:pt>
                <c:pt idx="2">
                  <c:v>775</c:v>
                </c:pt>
                <c:pt idx="3">
                  <c:v>775</c:v>
                </c:pt>
                <c:pt idx="4">
                  <c:v>775</c:v>
                </c:pt>
                <c:pt idx="5">
                  <c:v>775</c:v>
                </c:pt>
                <c:pt idx="6">
                  <c:v>775</c:v>
                </c:pt>
                <c:pt idx="7">
                  <c:v>775</c:v>
                </c:pt>
                <c:pt idx="8">
                  <c:v>775</c:v>
                </c:pt>
                <c:pt idx="9">
                  <c:v>775</c:v>
                </c:pt>
              </c:numCache>
            </c:numRef>
          </c:val>
          <c:smooth val="0"/>
          <c:extLst>
            <c:ext xmlns:c16="http://schemas.microsoft.com/office/drawing/2014/chart" uri="{C3380CC4-5D6E-409C-BE32-E72D297353CC}">
              <c16:uniqueId val="{00000004-B6BC-4506-B21E-2AAFA9CDA34D}"/>
            </c:ext>
          </c:extLst>
        </c:ser>
        <c:ser>
          <c:idx val="3"/>
          <c:order val="3"/>
          <c:tx>
            <c:strRef>
              <c:f>graf_srazky!$D$2</c:f>
              <c:strCache>
                <c:ptCount val="1"/>
                <c:pt idx="0">
                  <c:v>dlouhodobý průměr (1981-2010), Česká republika</c:v>
                </c:pt>
              </c:strCache>
            </c:strRef>
          </c:tx>
          <c:spPr>
            <a:ln w="28575" cap="rnd">
              <a:solidFill>
                <a:srgbClr val="FF0000"/>
              </a:solidFill>
              <a:round/>
            </a:ln>
            <a:effectLst/>
          </c:spPr>
          <c:marker>
            <c:symbol val="none"/>
          </c:marker>
          <c:val>
            <c:numRef>
              <c:f>graf_srazky!$F$3:$F$12</c:f>
              <c:numCache>
                <c:formatCode>General</c:formatCode>
                <c:ptCount val="10"/>
                <c:pt idx="0">
                  <c:v>686</c:v>
                </c:pt>
                <c:pt idx="1">
                  <c:v>686</c:v>
                </c:pt>
                <c:pt idx="2">
                  <c:v>686</c:v>
                </c:pt>
                <c:pt idx="3">
                  <c:v>686</c:v>
                </c:pt>
                <c:pt idx="4">
                  <c:v>686</c:v>
                </c:pt>
                <c:pt idx="5">
                  <c:v>686</c:v>
                </c:pt>
                <c:pt idx="6">
                  <c:v>686</c:v>
                </c:pt>
                <c:pt idx="7">
                  <c:v>686</c:v>
                </c:pt>
                <c:pt idx="8">
                  <c:v>686</c:v>
                </c:pt>
                <c:pt idx="9">
                  <c:v>686</c:v>
                </c:pt>
              </c:numCache>
            </c:numRef>
          </c:val>
          <c:smooth val="0"/>
          <c:extLst>
            <c:ext xmlns:c16="http://schemas.microsoft.com/office/drawing/2014/chart" uri="{C3380CC4-5D6E-409C-BE32-E72D297353CC}">
              <c16:uniqueId val="{00000005-B6BC-4506-B21E-2AAFA9CDA34D}"/>
            </c:ext>
          </c:extLst>
        </c:ser>
        <c:dLbls>
          <c:showLegendKey val="0"/>
          <c:showVal val="0"/>
          <c:showCatName val="0"/>
          <c:showSerName val="0"/>
          <c:showPercent val="0"/>
          <c:showBubbleSize val="0"/>
        </c:dLbls>
        <c:marker val="1"/>
        <c:smooth val="0"/>
        <c:axId val="287492808"/>
        <c:axId val="287496728"/>
        <c:extLst>
          <c:ext xmlns:c15="http://schemas.microsoft.com/office/drawing/2012/chart" uri="{02D57815-91ED-43cb-92C2-25804820EDAC}">
            <c15:filteredLineSeries>
              <c15:ser>
                <c:idx val="1"/>
                <c:order val="1"/>
                <c:tx>
                  <c:strRef>
                    <c:extLst>
                      <c:ext uri="{02D57815-91ED-43cb-92C2-25804820EDAC}">
                        <c15:formulaRef>
                          <c15:sqref>graf_srazky!$D$3:$D$12</c15:sqref>
                        </c15:formulaRef>
                      </c:ext>
                    </c:extLst>
                    <c:strCache>
                      <c:ptCount val="10"/>
                      <c:pt idx="0">
                        <c:v>995</c:v>
                      </c:pt>
                      <c:pt idx="1">
                        <c:v>775</c:v>
                      </c:pt>
                      <c:pt idx="2">
                        <c:v>723</c:v>
                      </c:pt>
                      <c:pt idx="3">
                        <c:v>769</c:v>
                      </c:pt>
                      <c:pt idx="4">
                        <c:v>758</c:v>
                      </c:pt>
                      <c:pt idx="5">
                        <c:v>580</c:v>
                      </c:pt>
                      <c:pt idx="6">
                        <c:v>738</c:v>
                      </c:pt>
                      <c:pt idx="7">
                        <c:v>721</c:v>
                      </c:pt>
                      <c:pt idx="8">
                        <c:v>563</c:v>
                      </c:pt>
                      <c:pt idx="9">
                        <c:v>818</c:v>
                      </c:pt>
                    </c:strCache>
                  </c:strRef>
                </c:tx>
                <c:spPr>
                  <a:ln w="28575" cap="rnd">
                    <a:solidFill>
                      <a:schemeClr val="accent2"/>
                    </a:solidFill>
                    <a:round/>
                  </a:ln>
                  <a:effectLst/>
                </c:spPr>
                <c:marker>
                  <c:symbol val="none"/>
                </c:marker>
                <c:val>
                  <c:numRef>
                    <c:extLst>
                      <c:ext uri="{02D57815-91ED-43cb-92C2-25804820EDAC}">
                        <c15:formulaRef>
                          <c15:sqref>graf_srazky!$D$3:$D$12</c15:sqref>
                        </c15:formulaRef>
                      </c:ext>
                    </c:extLst>
                    <c:numCache>
                      <c:formatCode>General</c:formatCode>
                      <c:ptCount val="10"/>
                    </c:numCache>
                  </c:numRef>
                </c:val>
                <c:smooth val="0"/>
                <c:extLst>
                  <c:ext xmlns:c16="http://schemas.microsoft.com/office/drawing/2014/chart" uri="{C3380CC4-5D6E-409C-BE32-E72D297353CC}">
                    <c16:uniqueId val="{00000006-B6BC-4506-B21E-2AAFA9CDA34D}"/>
                  </c:ext>
                </c:extLst>
              </c15:ser>
            </c15:filteredLineSeries>
          </c:ext>
        </c:extLst>
      </c:lineChart>
      <c:dateAx>
        <c:axId val="28749280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39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87496728"/>
        <c:crosses val="autoZero"/>
        <c:auto val="0"/>
        <c:lblOffset val="100"/>
        <c:baseTimeUnit val="days"/>
      </c:dateAx>
      <c:valAx>
        <c:axId val="287496728"/>
        <c:scaling>
          <c:orientation val="minMax"/>
          <c:max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Roční úhrn srážek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87492808"/>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'List1 (2)'!$C$1</c:f>
              <c:strCache>
                <c:ptCount val="1"/>
                <c:pt idx="0">
                  <c:v>počet budov</c:v>
                </c:pt>
              </c:strCache>
            </c:strRef>
          </c:tx>
          <c:spPr>
            <a:solidFill>
              <a:schemeClr val="accent1"/>
            </a:solidFill>
            <a:ln>
              <a:noFill/>
            </a:ln>
            <a:effectLst/>
          </c:spPr>
          <c:invertIfNegative val="0"/>
          <c:dPt>
            <c:idx val="0"/>
            <c:invertIfNegative val="0"/>
            <c:bubble3D val="0"/>
            <c:spPr>
              <a:solidFill>
                <a:schemeClr val="accent1">
                  <a:lumMod val="20000"/>
                  <a:lumOff val="80000"/>
                </a:schemeClr>
              </a:solidFill>
              <a:ln>
                <a:noFill/>
              </a:ln>
              <a:effectLst/>
            </c:spPr>
            <c:extLst>
              <c:ext xmlns:c16="http://schemas.microsoft.com/office/drawing/2014/chart" uri="{C3380CC4-5D6E-409C-BE32-E72D297353CC}">
                <c16:uniqueId val="{00000001-4899-4E57-B9E7-F856644718A7}"/>
              </c:ext>
            </c:extLst>
          </c:dPt>
          <c:dPt>
            <c:idx val="1"/>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3-4899-4E57-B9E7-F856644718A7}"/>
              </c:ext>
            </c:extLst>
          </c:dPt>
          <c:dPt>
            <c:idx val="2"/>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5-4899-4E57-B9E7-F856644718A7}"/>
              </c:ext>
            </c:extLst>
          </c:dPt>
          <c:dPt>
            <c:idx val="4"/>
            <c:invertIfNegative val="0"/>
            <c:bubble3D val="0"/>
            <c:spPr>
              <a:solidFill>
                <a:schemeClr val="accent1">
                  <a:lumMod val="75000"/>
                </a:schemeClr>
              </a:solidFill>
              <a:ln>
                <a:noFill/>
              </a:ln>
              <a:effectLst/>
            </c:spPr>
            <c:extLst>
              <c:ext xmlns:c16="http://schemas.microsoft.com/office/drawing/2014/chart" uri="{C3380CC4-5D6E-409C-BE32-E72D297353CC}">
                <c16:uniqueId val="{00000007-4899-4E57-B9E7-F856644718A7}"/>
              </c:ext>
            </c:extLst>
          </c:dPt>
          <c:cat>
            <c:strRef>
              <c:f>'List1 (2)'!$A$2:$A$6</c:f>
              <c:strCache>
                <c:ptCount val="5"/>
                <c:pt idx="0">
                  <c:v>50-54 dB</c:v>
                </c:pt>
                <c:pt idx="1">
                  <c:v>55-59 dB</c:v>
                </c:pt>
                <c:pt idx="2">
                  <c:v>60-64 dB</c:v>
                </c:pt>
                <c:pt idx="3">
                  <c:v>65-69 dB</c:v>
                </c:pt>
                <c:pt idx="4">
                  <c:v>70-74 dB</c:v>
                </c:pt>
              </c:strCache>
            </c:strRef>
          </c:cat>
          <c:val>
            <c:numRef>
              <c:f>'List1 (2)'!$C$2:$C$6</c:f>
              <c:numCache>
                <c:formatCode>0</c:formatCode>
                <c:ptCount val="5"/>
                <c:pt idx="0">
                  <c:v>2219</c:v>
                </c:pt>
                <c:pt idx="1">
                  <c:v>895</c:v>
                </c:pt>
                <c:pt idx="2">
                  <c:v>355</c:v>
                </c:pt>
                <c:pt idx="3">
                  <c:v>209</c:v>
                </c:pt>
                <c:pt idx="4">
                  <c:v>119</c:v>
                </c:pt>
              </c:numCache>
            </c:numRef>
          </c:val>
          <c:extLst>
            <c:ext xmlns:c16="http://schemas.microsoft.com/office/drawing/2014/chart" uri="{C3380CC4-5D6E-409C-BE32-E72D297353CC}">
              <c16:uniqueId val="{00000008-4899-4E57-B9E7-F856644718A7}"/>
            </c:ext>
          </c:extLst>
        </c:ser>
        <c:dLbls>
          <c:showLegendKey val="0"/>
          <c:showVal val="0"/>
          <c:showCatName val="0"/>
          <c:showSerName val="0"/>
          <c:showPercent val="0"/>
          <c:showBubbleSize val="0"/>
        </c:dLbls>
        <c:gapWidth val="23"/>
        <c:overlap val="-27"/>
        <c:axId val="287493592"/>
        <c:axId val="287495160"/>
      </c:barChart>
      <c:catAx>
        <c:axId val="28749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87495160"/>
        <c:crosses val="autoZero"/>
        <c:auto val="1"/>
        <c:lblAlgn val="ctr"/>
        <c:lblOffset val="100"/>
        <c:noMultiLvlLbl val="0"/>
      </c:catAx>
      <c:valAx>
        <c:axId val="287495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Počet obytných budov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87493592"/>
        <c:crosses val="autoZero"/>
        <c:crossBetween val="between"/>
        <c:majorUnit val="2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lumMod val="20000"/>
                  <a:lumOff val="80000"/>
                </a:schemeClr>
              </a:solidFill>
              <a:ln>
                <a:noFill/>
              </a:ln>
              <a:effectLst/>
            </c:spPr>
            <c:extLst>
              <c:ext xmlns:c16="http://schemas.microsoft.com/office/drawing/2014/chart" uri="{C3380CC4-5D6E-409C-BE32-E72D297353CC}">
                <c16:uniqueId val="{00000001-A362-4B60-91C0-557E8D098958}"/>
              </c:ext>
            </c:extLst>
          </c:dPt>
          <c:dPt>
            <c:idx val="1"/>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3-A362-4B60-91C0-557E8D098958}"/>
              </c:ext>
            </c:extLst>
          </c:dPt>
          <c:dPt>
            <c:idx val="2"/>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5-A362-4B60-91C0-557E8D098958}"/>
              </c:ext>
            </c:extLst>
          </c:dPt>
          <c:dPt>
            <c:idx val="3"/>
            <c:invertIfNegative val="0"/>
            <c:bubble3D val="0"/>
            <c:spPr>
              <a:solidFill>
                <a:schemeClr val="accent2">
                  <a:lumMod val="75000"/>
                </a:schemeClr>
              </a:solidFill>
              <a:ln>
                <a:noFill/>
              </a:ln>
              <a:effectLst/>
            </c:spPr>
            <c:extLst>
              <c:ext xmlns:c16="http://schemas.microsoft.com/office/drawing/2014/chart" uri="{C3380CC4-5D6E-409C-BE32-E72D297353CC}">
                <c16:uniqueId val="{00000007-A362-4B60-91C0-557E8D098958}"/>
              </c:ext>
            </c:extLst>
          </c:dPt>
          <c:dPt>
            <c:idx val="4"/>
            <c:invertIfNegative val="0"/>
            <c:bubble3D val="0"/>
            <c:spPr>
              <a:solidFill>
                <a:schemeClr val="accent2">
                  <a:lumMod val="50000"/>
                </a:schemeClr>
              </a:solidFill>
              <a:ln>
                <a:noFill/>
              </a:ln>
              <a:effectLst/>
            </c:spPr>
            <c:extLst>
              <c:ext xmlns:c16="http://schemas.microsoft.com/office/drawing/2014/chart" uri="{C3380CC4-5D6E-409C-BE32-E72D297353CC}">
                <c16:uniqueId val="{00000009-A362-4B60-91C0-557E8D098958}"/>
              </c:ext>
            </c:extLst>
          </c:dPt>
          <c:cat>
            <c:strRef>
              <c:f>'List1 (2)'!$A$2:$A$6</c:f>
              <c:strCache>
                <c:ptCount val="5"/>
                <c:pt idx="0">
                  <c:v>50-54 dB</c:v>
                </c:pt>
                <c:pt idx="1">
                  <c:v>55-59 dB</c:v>
                </c:pt>
                <c:pt idx="2">
                  <c:v>60-64 dB</c:v>
                </c:pt>
                <c:pt idx="3">
                  <c:v>65-69 dB</c:v>
                </c:pt>
                <c:pt idx="4">
                  <c:v>70-74 dB</c:v>
                </c:pt>
              </c:strCache>
            </c:strRef>
          </c:cat>
          <c:val>
            <c:numRef>
              <c:f>'List1 (2)'!$B$2:$B$6</c:f>
              <c:numCache>
                <c:formatCode>0</c:formatCode>
                <c:ptCount val="5"/>
                <c:pt idx="0">
                  <c:v>16916</c:v>
                </c:pt>
                <c:pt idx="1">
                  <c:v>8175</c:v>
                </c:pt>
                <c:pt idx="2">
                  <c:v>6570</c:v>
                </c:pt>
                <c:pt idx="3">
                  <c:v>2683</c:v>
                </c:pt>
                <c:pt idx="4">
                  <c:v>816</c:v>
                </c:pt>
              </c:numCache>
            </c:numRef>
          </c:val>
          <c:extLst>
            <c:ext xmlns:c16="http://schemas.microsoft.com/office/drawing/2014/chart" uri="{C3380CC4-5D6E-409C-BE32-E72D297353CC}">
              <c16:uniqueId val="{0000000A-A362-4B60-91C0-557E8D098958}"/>
            </c:ext>
          </c:extLst>
        </c:ser>
        <c:dLbls>
          <c:showLegendKey val="0"/>
          <c:showVal val="0"/>
          <c:showCatName val="0"/>
          <c:showSerName val="0"/>
          <c:showPercent val="0"/>
          <c:showBubbleSize val="0"/>
        </c:dLbls>
        <c:gapWidth val="23"/>
        <c:overlap val="-27"/>
        <c:axId val="455939984"/>
        <c:axId val="455938416"/>
      </c:barChart>
      <c:catAx>
        <c:axId val="45593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38416"/>
        <c:crosses val="autoZero"/>
        <c:auto val="1"/>
        <c:lblAlgn val="ctr"/>
        <c:lblOffset val="100"/>
        <c:noMultiLvlLbl val="0"/>
      </c:catAx>
      <c:valAx>
        <c:axId val="455938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Počet osob</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39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aseline="0">
                <a:latin typeface="Calibri" panose="020F0502020204030204" pitchFamily="34" charset="0"/>
              </a:rPr>
              <a:t>Směsný komunální odpad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'List2 (2)'!$A$6</c:f>
              <c:strCache>
                <c:ptCount val="1"/>
                <c:pt idx="0">
                  <c:v>Směsný komunální odpad</c:v>
                </c:pt>
              </c:strCache>
            </c:strRef>
          </c:tx>
          <c:spPr>
            <a:solidFill>
              <a:schemeClr val="bg1">
                <a:lumMod val="65000"/>
              </a:schemeClr>
            </a:solidFill>
            <a:ln w="12700">
              <a:noFill/>
            </a:ln>
            <a:effectLst/>
          </c:spPr>
          <c:invertIfNegative val="0"/>
          <c:cat>
            <c:numRef>
              <c:f>'List2 (2)'!$B$1:$G$1</c:f>
              <c:numCache>
                <c:formatCode>General</c:formatCode>
                <c:ptCount val="6"/>
                <c:pt idx="0">
                  <c:v>2014</c:v>
                </c:pt>
                <c:pt idx="1">
                  <c:v>2015</c:v>
                </c:pt>
                <c:pt idx="2">
                  <c:v>2016</c:v>
                </c:pt>
                <c:pt idx="3">
                  <c:v>2017</c:v>
                </c:pt>
                <c:pt idx="4">
                  <c:v>2018</c:v>
                </c:pt>
                <c:pt idx="5">
                  <c:v>2019</c:v>
                </c:pt>
              </c:numCache>
            </c:numRef>
          </c:cat>
          <c:val>
            <c:numRef>
              <c:f>'List2 (2)'!$B$6:$G$6</c:f>
              <c:numCache>
                <c:formatCode>#,##0</c:formatCode>
                <c:ptCount val="6"/>
                <c:pt idx="0" formatCode="General">
                  <c:v>14061</c:v>
                </c:pt>
                <c:pt idx="1">
                  <c:v>13101</c:v>
                </c:pt>
                <c:pt idx="2" formatCode="General">
                  <c:v>13029</c:v>
                </c:pt>
                <c:pt idx="3">
                  <c:v>12469</c:v>
                </c:pt>
                <c:pt idx="4">
                  <c:v>13440</c:v>
                </c:pt>
                <c:pt idx="5">
                  <c:v>12692</c:v>
                </c:pt>
              </c:numCache>
            </c:numRef>
          </c:val>
          <c:extLst>
            <c:ext xmlns:c16="http://schemas.microsoft.com/office/drawing/2014/chart" uri="{C3380CC4-5D6E-409C-BE32-E72D297353CC}">
              <c16:uniqueId val="{00000000-BB4F-43E5-9B92-49091F0AC4DE}"/>
            </c:ext>
          </c:extLst>
        </c:ser>
        <c:dLbls>
          <c:showLegendKey val="0"/>
          <c:showVal val="0"/>
          <c:showCatName val="0"/>
          <c:showSerName val="0"/>
          <c:showPercent val="0"/>
          <c:showBubbleSize val="0"/>
        </c:dLbls>
        <c:gapWidth val="26"/>
        <c:overlap val="-27"/>
        <c:axId val="455940768"/>
        <c:axId val="455940376"/>
      </c:barChart>
      <c:catAx>
        <c:axId val="45594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40376"/>
        <c:crosses val="autoZero"/>
        <c:auto val="1"/>
        <c:lblAlgn val="ctr"/>
        <c:lblOffset val="100"/>
        <c:noMultiLvlLbl val="0"/>
      </c:catAx>
      <c:valAx>
        <c:axId val="455940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Hmotnost</a:t>
                </a:r>
                <a:r>
                  <a:rPr lang="cs-CZ" baseline="0"/>
                  <a:t> odpadů </a:t>
                </a:r>
                <a:r>
                  <a:rPr lang="en-US" baseline="0"/>
                  <a:t>[t]</a:t>
                </a:r>
                <a:endParaRPr lang="cs-C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40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'List2 (2)'!$A$2</c:f>
              <c:strCache>
                <c:ptCount val="1"/>
                <c:pt idx="0">
                  <c:v>Papír</c:v>
                </c:pt>
              </c:strCache>
            </c:strRef>
          </c:tx>
          <c:spPr>
            <a:solidFill>
              <a:schemeClr val="accent1"/>
            </a:solidFill>
            <a:ln>
              <a:noFill/>
            </a:ln>
            <a:effectLst/>
          </c:spPr>
          <c:invertIfNegative val="0"/>
          <c:cat>
            <c:numRef>
              <c:f>'List2 (2)'!$B$1:$G$1</c:f>
              <c:numCache>
                <c:formatCode>General</c:formatCode>
                <c:ptCount val="6"/>
                <c:pt idx="0">
                  <c:v>2014</c:v>
                </c:pt>
                <c:pt idx="1">
                  <c:v>2015</c:v>
                </c:pt>
                <c:pt idx="2">
                  <c:v>2016</c:v>
                </c:pt>
                <c:pt idx="3">
                  <c:v>2017</c:v>
                </c:pt>
                <c:pt idx="4">
                  <c:v>2018</c:v>
                </c:pt>
                <c:pt idx="5">
                  <c:v>2019</c:v>
                </c:pt>
              </c:numCache>
            </c:numRef>
          </c:cat>
          <c:val>
            <c:numRef>
              <c:f>'List2 (2)'!$B$2:$G$2</c:f>
              <c:numCache>
                <c:formatCode>General</c:formatCode>
                <c:ptCount val="6"/>
                <c:pt idx="0">
                  <c:v>1993</c:v>
                </c:pt>
                <c:pt idx="1">
                  <c:v>2213</c:v>
                </c:pt>
                <c:pt idx="2">
                  <c:v>2327</c:v>
                </c:pt>
                <c:pt idx="3">
                  <c:v>2209</c:v>
                </c:pt>
                <c:pt idx="4">
                  <c:v>2098</c:v>
                </c:pt>
                <c:pt idx="5" formatCode="#,##0">
                  <c:v>2114</c:v>
                </c:pt>
              </c:numCache>
            </c:numRef>
          </c:val>
          <c:extLst>
            <c:ext xmlns:c16="http://schemas.microsoft.com/office/drawing/2014/chart" uri="{C3380CC4-5D6E-409C-BE32-E72D297353CC}">
              <c16:uniqueId val="{00000000-BDFE-47FB-B193-A8DA2A2AF0E1}"/>
            </c:ext>
          </c:extLst>
        </c:ser>
        <c:ser>
          <c:idx val="1"/>
          <c:order val="1"/>
          <c:tx>
            <c:strRef>
              <c:f>'List2 (2)'!$A$3</c:f>
              <c:strCache>
                <c:ptCount val="1"/>
                <c:pt idx="0">
                  <c:v>Plasty a nápojové kartony</c:v>
                </c:pt>
              </c:strCache>
            </c:strRef>
          </c:tx>
          <c:spPr>
            <a:solidFill>
              <a:srgbClr val="FFFF00"/>
            </a:solidFill>
            <a:ln>
              <a:noFill/>
            </a:ln>
            <a:effectLst/>
          </c:spPr>
          <c:invertIfNegative val="0"/>
          <c:cat>
            <c:numRef>
              <c:f>'List2 (2)'!$B$1:$G$1</c:f>
              <c:numCache>
                <c:formatCode>General</c:formatCode>
                <c:ptCount val="6"/>
                <c:pt idx="0">
                  <c:v>2014</c:v>
                </c:pt>
                <c:pt idx="1">
                  <c:v>2015</c:v>
                </c:pt>
                <c:pt idx="2">
                  <c:v>2016</c:v>
                </c:pt>
                <c:pt idx="3">
                  <c:v>2017</c:v>
                </c:pt>
                <c:pt idx="4">
                  <c:v>2018</c:v>
                </c:pt>
                <c:pt idx="5">
                  <c:v>2019</c:v>
                </c:pt>
              </c:numCache>
            </c:numRef>
          </c:cat>
          <c:val>
            <c:numRef>
              <c:f>'List2 (2)'!$B$3:$G$3</c:f>
              <c:numCache>
                <c:formatCode>General</c:formatCode>
                <c:ptCount val="6"/>
                <c:pt idx="0">
                  <c:v>451</c:v>
                </c:pt>
                <c:pt idx="1">
                  <c:v>519</c:v>
                </c:pt>
                <c:pt idx="2">
                  <c:v>659</c:v>
                </c:pt>
                <c:pt idx="3">
                  <c:v>690</c:v>
                </c:pt>
                <c:pt idx="4">
                  <c:v>714</c:v>
                </c:pt>
                <c:pt idx="5">
                  <c:v>840</c:v>
                </c:pt>
              </c:numCache>
            </c:numRef>
          </c:val>
          <c:extLst>
            <c:ext xmlns:c16="http://schemas.microsoft.com/office/drawing/2014/chart" uri="{C3380CC4-5D6E-409C-BE32-E72D297353CC}">
              <c16:uniqueId val="{00000001-BDFE-47FB-B193-A8DA2A2AF0E1}"/>
            </c:ext>
          </c:extLst>
        </c:ser>
        <c:ser>
          <c:idx val="2"/>
          <c:order val="2"/>
          <c:tx>
            <c:strRef>
              <c:f>'List2 (2)'!$A$4</c:f>
              <c:strCache>
                <c:ptCount val="1"/>
                <c:pt idx="0">
                  <c:v>Sklo</c:v>
                </c:pt>
              </c:strCache>
            </c:strRef>
          </c:tx>
          <c:spPr>
            <a:solidFill>
              <a:srgbClr val="00B050"/>
            </a:solidFill>
            <a:ln>
              <a:noFill/>
            </a:ln>
            <a:effectLst/>
          </c:spPr>
          <c:invertIfNegative val="0"/>
          <c:cat>
            <c:numRef>
              <c:f>'List2 (2)'!$B$1:$G$1</c:f>
              <c:numCache>
                <c:formatCode>General</c:formatCode>
                <c:ptCount val="6"/>
                <c:pt idx="0">
                  <c:v>2014</c:v>
                </c:pt>
                <c:pt idx="1">
                  <c:v>2015</c:v>
                </c:pt>
                <c:pt idx="2">
                  <c:v>2016</c:v>
                </c:pt>
                <c:pt idx="3">
                  <c:v>2017</c:v>
                </c:pt>
                <c:pt idx="4">
                  <c:v>2018</c:v>
                </c:pt>
                <c:pt idx="5">
                  <c:v>2019</c:v>
                </c:pt>
              </c:numCache>
            </c:numRef>
          </c:cat>
          <c:val>
            <c:numRef>
              <c:f>'List2 (2)'!$B$4:$G$4</c:f>
              <c:numCache>
                <c:formatCode>General</c:formatCode>
                <c:ptCount val="6"/>
                <c:pt idx="0">
                  <c:v>675</c:v>
                </c:pt>
                <c:pt idx="1">
                  <c:v>681</c:v>
                </c:pt>
                <c:pt idx="2">
                  <c:v>723</c:v>
                </c:pt>
                <c:pt idx="3">
                  <c:v>798</c:v>
                </c:pt>
                <c:pt idx="4">
                  <c:v>802</c:v>
                </c:pt>
                <c:pt idx="5">
                  <c:v>871</c:v>
                </c:pt>
              </c:numCache>
            </c:numRef>
          </c:val>
          <c:extLst>
            <c:ext xmlns:c16="http://schemas.microsoft.com/office/drawing/2014/chart" uri="{C3380CC4-5D6E-409C-BE32-E72D297353CC}">
              <c16:uniqueId val="{00000002-BDFE-47FB-B193-A8DA2A2AF0E1}"/>
            </c:ext>
          </c:extLst>
        </c:ser>
        <c:ser>
          <c:idx val="3"/>
          <c:order val="3"/>
          <c:tx>
            <c:strRef>
              <c:f>'List2 (2)'!$A$5</c:f>
              <c:strCache>
                <c:ptCount val="1"/>
                <c:pt idx="0">
                  <c:v>BRKO*</c:v>
                </c:pt>
              </c:strCache>
            </c:strRef>
          </c:tx>
          <c:spPr>
            <a:solidFill>
              <a:schemeClr val="accent4">
                <a:lumMod val="75000"/>
              </a:schemeClr>
            </a:solidFill>
            <a:ln>
              <a:noFill/>
            </a:ln>
            <a:effectLst/>
          </c:spPr>
          <c:invertIfNegative val="0"/>
          <c:cat>
            <c:numRef>
              <c:f>'List2 (2)'!$B$1:$G$1</c:f>
              <c:numCache>
                <c:formatCode>General</c:formatCode>
                <c:ptCount val="6"/>
                <c:pt idx="0">
                  <c:v>2014</c:v>
                </c:pt>
                <c:pt idx="1">
                  <c:v>2015</c:v>
                </c:pt>
                <c:pt idx="2">
                  <c:v>2016</c:v>
                </c:pt>
                <c:pt idx="3">
                  <c:v>2017</c:v>
                </c:pt>
                <c:pt idx="4">
                  <c:v>2018</c:v>
                </c:pt>
                <c:pt idx="5">
                  <c:v>2019</c:v>
                </c:pt>
              </c:numCache>
            </c:numRef>
          </c:cat>
          <c:val>
            <c:numRef>
              <c:f>'List2 (2)'!$B$5:$G$5</c:f>
              <c:numCache>
                <c:formatCode>General</c:formatCode>
                <c:ptCount val="6"/>
                <c:pt idx="0">
                  <c:v>2041</c:v>
                </c:pt>
                <c:pt idx="1">
                  <c:v>2545</c:v>
                </c:pt>
                <c:pt idx="2">
                  <c:v>2907</c:v>
                </c:pt>
                <c:pt idx="3">
                  <c:v>2651</c:v>
                </c:pt>
                <c:pt idx="4">
                  <c:v>3168</c:v>
                </c:pt>
                <c:pt idx="5" formatCode="#,##0">
                  <c:v>3325</c:v>
                </c:pt>
              </c:numCache>
            </c:numRef>
          </c:val>
          <c:extLst>
            <c:ext xmlns:c16="http://schemas.microsoft.com/office/drawing/2014/chart" uri="{C3380CC4-5D6E-409C-BE32-E72D297353CC}">
              <c16:uniqueId val="{00000003-BDFE-47FB-B193-A8DA2A2AF0E1}"/>
            </c:ext>
          </c:extLst>
        </c:ser>
        <c:dLbls>
          <c:showLegendKey val="0"/>
          <c:showVal val="0"/>
          <c:showCatName val="0"/>
          <c:showSerName val="0"/>
          <c:showPercent val="0"/>
          <c:showBubbleSize val="0"/>
        </c:dLbls>
        <c:gapWidth val="150"/>
        <c:axId val="455938024"/>
        <c:axId val="455941160"/>
        <c:extLst>
          <c:ext xmlns:c15="http://schemas.microsoft.com/office/drawing/2012/chart" uri="{02D57815-91ED-43cb-92C2-25804820EDAC}">
            <c15:filteredBarSeries>
              <c15:ser>
                <c:idx val="4"/>
                <c:order val="4"/>
                <c:tx>
                  <c:strRef>
                    <c:extLst>
                      <c:ext uri="{02D57815-91ED-43cb-92C2-25804820EDAC}">
                        <c15:formulaRef>
                          <c15:sqref>'List2 (2)'!$A$6</c15:sqref>
                        </c15:formulaRef>
                      </c:ext>
                    </c:extLst>
                    <c:strCache>
                      <c:ptCount val="1"/>
                      <c:pt idx="0">
                        <c:v>Směsný komunální odpad</c:v>
                      </c:pt>
                    </c:strCache>
                  </c:strRef>
                </c:tx>
                <c:spPr>
                  <a:solidFill>
                    <a:schemeClr val="accent5"/>
                  </a:solidFill>
                  <a:ln>
                    <a:noFill/>
                  </a:ln>
                  <a:effectLst/>
                </c:spPr>
                <c:invertIfNegative val="0"/>
                <c:cat>
                  <c:numRef>
                    <c:extLst>
                      <c:ext uri="{02D57815-91ED-43cb-92C2-25804820EDAC}">
                        <c15:formulaRef>
                          <c15:sqref>'List2 (2)'!$B$1:$G$1</c15:sqref>
                        </c15:formulaRef>
                      </c:ext>
                    </c:extLst>
                    <c:numCache>
                      <c:formatCode>General</c:formatCode>
                      <c:ptCount val="6"/>
                      <c:pt idx="0">
                        <c:v>2014</c:v>
                      </c:pt>
                      <c:pt idx="1">
                        <c:v>2015</c:v>
                      </c:pt>
                      <c:pt idx="2">
                        <c:v>2016</c:v>
                      </c:pt>
                      <c:pt idx="3">
                        <c:v>2017</c:v>
                      </c:pt>
                      <c:pt idx="4">
                        <c:v>2018</c:v>
                      </c:pt>
                      <c:pt idx="5">
                        <c:v>2019</c:v>
                      </c:pt>
                    </c:numCache>
                  </c:numRef>
                </c:cat>
                <c:val>
                  <c:numRef>
                    <c:extLst>
                      <c:ext uri="{02D57815-91ED-43cb-92C2-25804820EDAC}">
                        <c15:formulaRef>
                          <c15:sqref>'List2 (2)'!$C$6:$G$6</c15:sqref>
                        </c15:formulaRef>
                      </c:ext>
                    </c:extLst>
                    <c:numCache>
                      <c:formatCode>General</c:formatCode>
                      <c:ptCount val="5"/>
                      <c:pt idx="0" formatCode="#,##0">
                        <c:v>13101</c:v>
                      </c:pt>
                      <c:pt idx="1">
                        <c:v>13029</c:v>
                      </c:pt>
                      <c:pt idx="2" formatCode="#,##0">
                        <c:v>12469</c:v>
                      </c:pt>
                      <c:pt idx="3" formatCode="#,##0">
                        <c:v>13440</c:v>
                      </c:pt>
                      <c:pt idx="4" formatCode="#,##0">
                        <c:v>12692</c:v>
                      </c:pt>
                    </c:numCache>
                  </c:numRef>
                </c:val>
                <c:extLst>
                  <c:ext xmlns:c16="http://schemas.microsoft.com/office/drawing/2014/chart" uri="{C3380CC4-5D6E-409C-BE32-E72D297353CC}">
                    <c16:uniqueId val="{00000004-BDFE-47FB-B193-A8DA2A2AF0E1}"/>
                  </c:ext>
                </c:extLst>
              </c15:ser>
            </c15:filteredBarSeries>
          </c:ext>
        </c:extLst>
      </c:barChart>
      <c:catAx>
        <c:axId val="455938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41160"/>
        <c:crosses val="autoZero"/>
        <c:auto val="1"/>
        <c:lblAlgn val="ctr"/>
        <c:lblOffset val="100"/>
        <c:noMultiLvlLbl val="0"/>
      </c:catAx>
      <c:valAx>
        <c:axId val="455941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Hmotnost</a:t>
                </a:r>
                <a:r>
                  <a:rPr lang="cs-CZ" baseline="0"/>
                  <a:t> odpadů </a:t>
                </a:r>
                <a:r>
                  <a:rPr lang="en-US" baseline="0"/>
                  <a:t>[t]</a:t>
                </a:r>
                <a:endParaRPr lang="cs-CZ"/>
              </a:p>
            </c:rich>
          </c:tx>
          <c:layout>
            <c:manualLayout>
              <c:xMode val="edge"/>
              <c:yMode val="edge"/>
              <c:x val="2.5000000000000001E-2"/>
              <c:y val="0.2422898662057486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38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'vystup-aktivni-3 (3)'!$A$22</c:f>
              <c:strCache>
                <c:ptCount val="1"/>
                <c:pt idx="0">
                  <c:v>Fakulta technologická</c:v>
                </c:pt>
              </c:strCache>
            </c:strRef>
          </c:tx>
          <c:spPr>
            <a:solidFill>
              <a:schemeClr val="accent1"/>
            </a:solidFill>
            <a:ln>
              <a:noFill/>
            </a:ln>
            <a:effectLst/>
          </c:spPr>
          <c:cat>
            <c:numRef>
              <c:f>'vystup-aktivni-3 (3)'!$B$21:$G$21</c:f>
              <c:numCache>
                <c:formatCode>General</c:formatCode>
                <c:ptCount val="6"/>
                <c:pt idx="0">
                  <c:v>2014</c:v>
                </c:pt>
                <c:pt idx="1">
                  <c:v>2015</c:v>
                </c:pt>
                <c:pt idx="2">
                  <c:v>2016</c:v>
                </c:pt>
                <c:pt idx="3">
                  <c:v>2017</c:v>
                </c:pt>
                <c:pt idx="4">
                  <c:v>2018</c:v>
                </c:pt>
                <c:pt idx="5">
                  <c:v>2019</c:v>
                </c:pt>
              </c:numCache>
            </c:numRef>
          </c:cat>
          <c:val>
            <c:numRef>
              <c:f>'vystup-aktivni-3 (3)'!$B$22:$G$22</c:f>
              <c:numCache>
                <c:formatCode>General</c:formatCode>
                <c:ptCount val="6"/>
                <c:pt idx="0">
                  <c:v>2002</c:v>
                </c:pt>
                <c:pt idx="1">
                  <c:v>2018</c:v>
                </c:pt>
                <c:pt idx="2">
                  <c:v>1886</c:v>
                </c:pt>
                <c:pt idx="3">
                  <c:v>1764</c:v>
                </c:pt>
                <c:pt idx="4">
                  <c:v>1780</c:v>
                </c:pt>
                <c:pt idx="5">
                  <c:v>1662</c:v>
                </c:pt>
              </c:numCache>
            </c:numRef>
          </c:val>
          <c:extLst>
            <c:ext xmlns:c16="http://schemas.microsoft.com/office/drawing/2014/chart" uri="{C3380CC4-5D6E-409C-BE32-E72D297353CC}">
              <c16:uniqueId val="{00000000-D095-4168-8E75-01D8517A3A95}"/>
            </c:ext>
          </c:extLst>
        </c:ser>
        <c:ser>
          <c:idx val="1"/>
          <c:order val="1"/>
          <c:tx>
            <c:strRef>
              <c:f>'vystup-aktivni-3 (3)'!$A$23</c:f>
              <c:strCache>
                <c:ptCount val="1"/>
                <c:pt idx="0">
                  <c:v>Fakulta managementu a ekonomiky</c:v>
                </c:pt>
              </c:strCache>
            </c:strRef>
          </c:tx>
          <c:spPr>
            <a:solidFill>
              <a:schemeClr val="accent2"/>
            </a:solidFill>
            <a:ln>
              <a:noFill/>
            </a:ln>
            <a:effectLst/>
          </c:spPr>
          <c:cat>
            <c:numRef>
              <c:f>'vystup-aktivni-3 (3)'!$B$21:$G$21</c:f>
              <c:numCache>
                <c:formatCode>General</c:formatCode>
                <c:ptCount val="6"/>
                <c:pt idx="0">
                  <c:v>2014</c:v>
                </c:pt>
                <c:pt idx="1">
                  <c:v>2015</c:v>
                </c:pt>
                <c:pt idx="2">
                  <c:v>2016</c:v>
                </c:pt>
                <c:pt idx="3">
                  <c:v>2017</c:v>
                </c:pt>
                <c:pt idx="4">
                  <c:v>2018</c:v>
                </c:pt>
                <c:pt idx="5">
                  <c:v>2019</c:v>
                </c:pt>
              </c:numCache>
            </c:numRef>
          </c:cat>
          <c:val>
            <c:numRef>
              <c:f>'vystup-aktivni-3 (3)'!$B$23:$G$23</c:f>
              <c:numCache>
                <c:formatCode>General</c:formatCode>
                <c:ptCount val="6"/>
                <c:pt idx="0">
                  <c:v>2613</c:v>
                </c:pt>
                <c:pt idx="1">
                  <c:v>2294</c:v>
                </c:pt>
                <c:pt idx="2">
                  <c:v>2209</c:v>
                </c:pt>
                <c:pt idx="3">
                  <c:v>2243</c:v>
                </c:pt>
                <c:pt idx="4">
                  <c:v>2138</c:v>
                </c:pt>
                <c:pt idx="5">
                  <c:v>2092</c:v>
                </c:pt>
              </c:numCache>
            </c:numRef>
          </c:val>
          <c:extLst>
            <c:ext xmlns:c16="http://schemas.microsoft.com/office/drawing/2014/chart" uri="{C3380CC4-5D6E-409C-BE32-E72D297353CC}">
              <c16:uniqueId val="{00000001-D095-4168-8E75-01D8517A3A95}"/>
            </c:ext>
          </c:extLst>
        </c:ser>
        <c:ser>
          <c:idx val="2"/>
          <c:order val="2"/>
          <c:tx>
            <c:strRef>
              <c:f>'vystup-aktivni-3 (3)'!$A$24</c:f>
              <c:strCache>
                <c:ptCount val="1"/>
                <c:pt idx="0">
                  <c:v>Fakulta multimediálních komunikací</c:v>
                </c:pt>
              </c:strCache>
            </c:strRef>
          </c:tx>
          <c:spPr>
            <a:solidFill>
              <a:schemeClr val="accent3"/>
            </a:solidFill>
            <a:ln>
              <a:noFill/>
            </a:ln>
            <a:effectLst/>
          </c:spPr>
          <c:cat>
            <c:numRef>
              <c:f>'vystup-aktivni-3 (3)'!$B$21:$G$21</c:f>
              <c:numCache>
                <c:formatCode>General</c:formatCode>
                <c:ptCount val="6"/>
                <c:pt idx="0">
                  <c:v>2014</c:v>
                </c:pt>
                <c:pt idx="1">
                  <c:v>2015</c:v>
                </c:pt>
                <c:pt idx="2">
                  <c:v>2016</c:v>
                </c:pt>
                <c:pt idx="3">
                  <c:v>2017</c:v>
                </c:pt>
                <c:pt idx="4">
                  <c:v>2018</c:v>
                </c:pt>
                <c:pt idx="5">
                  <c:v>2019</c:v>
                </c:pt>
              </c:numCache>
            </c:numRef>
          </c:cat>
          <c:val>
            <c:numRef>
              <c:f>'vystup-aktivni-3 (3)'!$B$24:$G$24</c:f>
              <c:numCache>
                <c:formatCode>General</c:formatCode>
                <c:ptCount val="6"/>
                <c:pt idx="0">
                  <c:v>1127</c:v>
                </c:pt>
                <c:pt idx="1">
                  <c:v>1117</c:v>
                </c:pt>
                <c:pt idx="2">
                  <c:v>1096</c:v>
                </c:pt>
                <c:pt idx="3">
                  <c:v>1140</c:v>
                </c:pt>
                <c:pt idx="4">
                  <c:v>1148</c:v>
                </c:pt>
                <c:pt idx="5">
                  <c:v>1162</c:v>
                </c:pt>
              </c:numCache>
            </c:numRef>
          </c:val>
          <c:extLst>
            <c:ext xmlns:c16="http://schemas.microsoft.com/office/drawing/2014/chart" uri="{C3380CC4-5D6E-409C-BE32-E72D297353CC}">
              <c16:uniqueId val="{00000002-D095-4168-8E75-01D8517A3A95}"/>
            </c:ext>
          </c:extLst>
        </c:ser>
        <c:ser>
          <c:idx val="3"/>
          <c:order val="3"/>
          <c:tx>
            <c:strRef>
              <c:f>'vystup-aktivni-3 (3)'!$A$25</c:f>
              <c:strCache>
                <c:ptCount val="1"/>
                <c:pt idx="0">
                  <c:v>Fakulta aplikované informatiky</c:v>
                </c:pt>
              </c:strCache>
            </c:strRef>
          </c:tx>
          <c:spPr>
            <a:solidFill>
              <a:schemeClr val="accent4"/>
            </a:solidFill>
            <a:ln>
              <a:noFill/>
            </a:ln>
            <a:effectLst/>
          </c:spPr>
          <c:cat>
            <c:numRef>
              <c:f>'vystup-aktivni-3 (3)'!$B$21:$G$21</c:f>
              <c:numCache>
                <c:formatCode>General</c:formatCode>
                <c:ptCount val="6"/>
                <c:pt idx="0">
                  <c:v>2014</c:v>
                </c:pt>
                <c:pt idx="1">
                  <c:v>2015</c:v>
                </c:pt>
                <c:pt idx="2">
                  <c:v>2016</c:v>
                </c:pt>
                <c:pt idx="3">
                  <c:v>2017</c:v>
                </c:pt>
                <c:pt idx="4">
                  <c:v>2018</c:v>
                </c:pt>
                <c:pt idx="5">
                  <c:v>2019</c:v>
                </c:pt>
              </c:numCache>
            </c:numRef>
          </c:cat>
          <c:val>
            <c:numRef>
              <c:f>'vystup-aktivni-3 (3)'!$B$25:$G$25</c:f>
              <c:numCache>
                <c:formatCode>General</c:formatCode>
                <c:ptCount val="6"/>
                <c:pt idx="0">
                  <c:v>1614</c:v>
                </c:pt>
                <c:pt idx="1">
                  <c:v>1486</c:v>
                </c:pt>
                <c:pt idx="2">
                  <c:v>1464</c:v>
                </c:pt>
                <c:pt idx="3">
                  <c:v>1390</c:v>
                </c:pt>
                <c:pt idx="4">
                  <c:v>1352</c:v>
                </c:pt>
                <c:pt idx="5">
                  <c:v>1443</c:v>
                </c:pt>
              </c:numCache>
            </c:numRef>
          </c:val>
          <c:extLst>
            <c:ext xmlns:c16="http://schemas.microsoft.com/office/drawing/2014/chart" uri="{C3380CC4-5D6E-409C-BE32-E72D297353CC}">
              <c16:uniqueId val="{00000003-D095-4168-8E75-01D8517A3A95}"/>
            </c:ext>
          </c:extLst>
        </c:ser>
        <c:ser>
          <c:idx val="4"/>
          <c:order val="4"/>
          <c:tx>
            <c:strRef>
              <c:f>'vystup-aktivni-3 (3)'!$A$26</c:f>
              <c:strCache>
                <c:ptCount val="1"/>
                <c:pt idx="0">
                  <c:v>Fakulta humanitních studií</c:v>
                </c:pt>
              </c:strCache>
            </c:strRef>
          </c:tx>
          <c:spPr>
            <a:solidFill>
              <a:schemeClr val="accent5"/>
            </a:solidFill>
            <a:ln>
              <a:noFill/>
            </a:ln>
            <a:effectLst/>
          </c:spPr>
          <c:cat>
            <c:numRef>
              <c:f>'vystup-aktivni-3 (3)'!$B$21:$G$21</c:f>
              <c:numCache>
                <c:formatCode>General</c:formatCode>
                <c:ptCount val="6"/>
                <c:pt idx="0">
                  <c:v>2014</c:v>
                </c:pt>
                <c:pt idx="1">
                  <c:v>2015</c:v>
                </c:pt>
                <c:pt idx="2">
                  <c:v>2016</c:v>
                </c:pt>
                <c:pt idx="3">
                  <c:v>2017</c:v>
                </c:pt>
                <c:pt idx="4">
                  <c:v>2018</c:v>
                </c:pt>
                <c:pt idx="5">
                  <c:v>2019</c:v>
                </c:pt>
              </c:numCache>
            </c:numRef>
          </c:cat>
          <c:val>
            <c:numRef>
              <c:f>'vystup-aktivni-3 (3)'!$B$26:$G$26</c:f>
              <c:numCache>
                <c:formatCode>General</c:formatCode>
                <c:ptCount val="6"/>
                <c:pt idx="0">
                  <c:v>2766</c:v>
                </c:pt>
                <c:pt idx="1">
                  <c:v>2412</c:v>
                </c:pt>
                <c:pt idx="2">
                  <c:v>2201</c:v>
                </c:pt>
                <c:pt idx="3">
                  <c:v>2055</c:v>
                </c:pt>
                <c:pt idx="4">
                  <c:v>1920</c:v>
                </c:pt>
                <c:pt idx="5">
                  <c:v>1955</c:v>
                </c:pt>
              </c:numCache>
            </c:numRef>
          </c:val>
          <c:extLst>
            <c:ext xmlns:c16="http://schemas.microsoft.com/office/drawing/2014/chart" uri="{C3380CC4-5D6E-409C-BE32-E72D297353CC}">
              <c16:uniqueId val="{00000004-D095-4168-8E75-01D8517A3A95}"/>
            </c:ext>
          </c:extLst>
        </c:ser>
        <c:ser>
          <c:idx val="5"/>
          <c:order val="5"/>
          <c:tx>
            <c:strRef>
              <c:f>'vystup-aktivni-3 (3)'!$A$27</c:f>
              <c:strCache>
                <c:ptCount val="1"/>
                <c:pt idx="0">
                  <c:v>Fakulta logistiky a krizového řízení</c:v>
                </c:pt>
              </c:strCache>
            </c:strRef>
          </c:tx>
          <c:spPr>
            <a:solidFill>
              <a:schemeClr val="accent6"/>
            </a:solidFill>
            <a:ln>
              <a:noFill/>
            </a:ln>
            <a:effectLst/>
          </c:spPr>
          <c:cat>
            <c:numRef>
              <c:f>'vystup-aktivni-3 (3)'!$B$21:$G$21</c:f>
              <c:numCache>
                <c:formatCode>General</c:formatCode>
                <c:ptCount val="6"/>
                <c:pt idx="0">
                  <c:v>2014</c:v>
                </c:pt>
                <c:pt idx="1">
                  <c:v>2015</c:v>
                </c:pt>
                <c:pt idx="2">
                  <c:v>2016</c:v>
                </c:pt>
                <c:pt idx="3">
                  <c:v>2017</c:v>
                </c:pt>
                <c:pt idx="4">
                  <c:v>2018</c:v>
                </c:pt>
                <c:pt idx="5">
                  <c:v>2019</c:v>
                </c:pt>
              </c:numCache>
            </c:numRef>
          </c:cat>
          <c:val>
            <c:numRef>
              <c:f>'vystup-aktivni-3 (3)'!$B$27:$G$27</c:f>
              <c:numCache>
                <c:formatCode>General</c:formatCode>
                <c:ptCount val="6"/>
                <c:pt idx="0">
                  <c:v>868</c:v>
                </c:pt>
                <c:pt idx="1">
                  <c:v>787</c:v>
                </c:pt>
                <c:pt idx="2">
                  <c:v>836</c:v>
                </c:pt>
                <c:pt idx="3">
                  <c:v>794</c:v>
                </c:pt>
                <c:pt idx="4">
                  <c:v>859</c:v>
                </c:pt>
                <c:pt idx="5">
                  <c:v>1049</c:v>
                </c:pt>
              </c:numCache>
            </c:numRef>
          </c:val>
          <c:extLst>
            <c:ext xmlns:c16="http://schemas.microsoft.com/office/drawing/2014/chart" uri="{C3380CC4-5D6E-409C-BE32-E72D297353CC}">
              <c16:uniqueId val="{00000005-D095-4168-8E75-01D8517A3A95}"/>
            </c:ext>
          </c:extLst>
        </c:ser>
        <c:ser>
          <c:idx val="6"/>
          <c:order val="6"/>
          <c:tx>
            <c:strRef>
              <c:f>'vystup-aktivni-3 (3)'!$A$28</c:f>
              <c:strCache>
                <c:ptCount val="1"/>
                <c:pt idx="0">
                  <c:v>Celoškolská pracoviště (studium mimo fakulty)</c:v>
                </c:pt>
              </c:strCache>
            </c:strRef>
          </c:tx>
          <c:spPr>
            <a:solidFill>
              <a:schemeClr val="accent1">
                <a:lumMod val="60000"/>
              </a:schemeClr>
            </a:solidFill>
            <a:ln>
              <a:noFill/>
            </a:ln>
            <a:effectLst/>
          </c:spPr>
          <c:cat>
            <c:numRef>
              <c:f>'vystup-aktivni-3 (3)'!$B$21:$G$21</c:f>
              <c:numCache>
                <c:formatCode>General</c:formatCode>
                <c:ptCount val="6"/>
                <c:pt idx="0">
                  <c:v>2014</c:v>
                </c:pt>
                <c:pt idx="1">
                  <c:v>2015</c:v>
                </c:pt>
                <c:pt idx="2">
                  <c:v>2016</c:v>
                </c:pt>
                <c:pt idx="3">
                  <c:v>2017</c:v>
                </c:pt>
                <c:pt idx="4">
                  <c:v>2018</c:v>
                </c:pt>
                <c:pt idx="5">
                  <c:v>2019</c:v>
                </c:pt>
              </c:numCache>
            </c:numRef>
          </c:cat>
          <c:val>
            <c:numRef>
              <c:f>'vystup-aktivni-3 (3)'!$B$28:$G$28</c:f>
              <c:numCache>
                <c:formatCode>General</c:formatCode>
                <c:ptCount val="6"/>
                <c:pt idx="0">
                  <c:v>0</c:v>
                </c:pt>
                <c:pt idx="1">
                  <c:v>0</c:v>
                </c:pt>
                <c:pt idx="2">
                  <c:v>5</c:v>
                </c:pt>
                <c:pt idx="3">
                  <c:v>22</c:v>
                </c:pt>
                <c:pt idx="4">
                  <c:v>29</c:v>
                </c:pt>
                <c:pt idx="5">
                  <c:v>34</c:v>
                </c:pt>
              </c:numCache>
            </c:numRef>
          </c:val>
          <c:extLst>
            <c:ext xmlns:c16="http://schemas.microsoft.com/office/drawing/2014/chart" uri="{C3380CC4-5D6E-409C-BE32-E72D297353CC}">
              <c16:uniqueId val="{00000006-D095-4168-8E75-01D8517A3A95}"/>
            </c:ext>
          </c:extLst>
        </c:ser>
        <c:dLbls>
          <c:showLegendKey val="0"/>
          <c:showVal val="0"/>
          <c:showCatName val="0"/>
          <c:showSerName val="0"/>
          <c:showPercent val="0"/>
          <c:showBubbleSize val="0"/>
        </c:dLbls>
        <c:axId val="455936456"/>
        <c:axId val="455938808"/>
      </c:areaChart>
      <c:catAx>
        <c:axId val="455936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38808"/>
        <c:crosses val="autoZero"/>
        <c:auto val="1"/>
        <c:lblAlgn val="ctr"/>
        <c:lblOffset val="100"/>
        <c:noMultiLvlLbl val="0"/>
      </c:catAx>
      <c:valAx>
        <c:axId val="455938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364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'počet přestupků'!$B$1</c:f>
              <c:strCache>
                <c:ptCount val="1"/>
                <c:pt idx="0">
                  <c:v>CPP na místě</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'počet přestupků'!$A$2:$A$9</c:f>
              <c:numCache>
                <c:formatCode>General</c:formatCode>
                <c:ptCount val="8"/>
                <c:pt idx="0">
                  <c:v>2012</c:v>
                </c:pt>
                <c:pt idx="1">
                  <c:v>2013</c:v>
                </c:pt>
                <c:pt idx="2">
                  <c:v>2014</c:v>
                </c:pt>
                <c:pt idx="3">
                  <c:v>2015</c:v>
                </c:pt>
                <c:pt idx="4">
                  <c:v>2016</c:v>
                </c:pt>
                <c:pt idx="5">
                  <c:v>2017</c:v>
                </c:pt>
                <c:pt idx="6">
                  <c:v>2018</c:v>
                </c:pt>
                <c:pt idx="7">
                  <c:v>2019</c:v>
                </c:pt>
              </c:numCache>
            </c:numRef>
          </c:cat>
          <c:val>
            <c:numRef>
              <c:f>'počet přestupků'!$B$2:$B$9</c:f>
              <c:numCache>
                <c:formatCode>General</c:formatCode>
                <c:ptCount val="8"/>
                <c:pt idx="0">
                  <c:v>8303</c:v>
                </c:pt>
                <c:pt idx="1">
                  <c:v>8153</c:v>
                </c:pt>
                <c:pt idx="2">
                  <c:v>10992</c:v>
                </c:pt>
                <c:pt idx="3">
                  <c:v>7623</c:v>
                </c:pt>
                <c:pt idx="4">
                  <c:v>7814</c:v>
                </c:pt>
                <c:pt idx="5">
                  <c:v>9847</c:v>
                </c:pt>
                <c:pt idx="6">
                  <c:v>10670</c:v>
                </c:pt>
                <c:pt idx="7">
                  <c:v>9203</c:v>
                </c:pt>
              </c:numCache>
            </c:numRef>
          </c:val>
          <c:extLst>
            <c:ext xmlns:c16="http://schemas.microsoft.com/office/drawing/2014/chart" uri="{C3380CC4-5D6E-409C-BE32-E72D297353CC}">
              <c16:uniqueId val="{00000000-0C39-4039-95D2-E482976583AC}"/>
            </c:ext>
          </c:extLst>
        </c:ser>
        <c:dLbls>
          <c:showLegendKey val="0"/>
          <c:showVal val="0"/>
          <c:showCatName val="0"/>
          <c:showSerName val="0"/>
          <c:showPercent val="0"/>
          <c:showBubbleSize val="0"/>
        </c:dLbls>
        <c:gapWidth val="79"/>
        <c:overlap val="-27"/>
        <c:axId val="455942336"/>
        <c:axId val="455939200"/>
      </c:barChart>
      <c:catAx>
        <c:axId val="455942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39200"/>
        <c:crosses val="autoZero"/>
        <c:auto val="1"/>
        <c:lblAlgn val="ctr"/>
        <c:lblOffset val="100"/>
        <c:noMultiLvlLbl val="0"/>
      </c:catAx>
      <c:valAx>
        <c:axId val="455939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Celkový počet přestupků projednaných</a:t>
                </a:r>
                <a:r>
                  <a:rPr lang="cs-CZ" baseline="0"/>
                  <a:t> příkazem na místě (pokuta)</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5942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List1!$B$1</c:f>
              <c:strCache>
                <c:ptCount val="1"/>
                <c:pt idx="0">
                  <c:v>Sloupec1</c:v>
                </c:pt>
              </c:strCache>
            </c:strRef>
          </c:tx>
          <c:spPr>
            <a:solidFill>
              <a:srgbClr val="0070C0"/>
            </a:solidFill>
          </c:spPr>
          <c:invertIfNegative val="0"/>
          <c:dLbls>
            <c:spPr>
              <a:noFill/>
              <a:ln>
                <a:noFill/>
              </a:ln>
              <a:effectLst/>
            </c:spPr>
            <c:txPr>
              <a:bodyPr/>
              <a:lstStyle/>
              <a:p>
                <a:pPr>
                  <a:defRPr sz="900" b="1">
                    <a:solidFill>
                      <a:schemeClr val="tx1">
                        <a:lumMod val="75000"/>
                        <a:lumOff val="25000"/>
                      </a:schemeClr>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List1!$A$2:$A$9</c:f>
              <c:numCache>
                <c:formatCode>General</c:formatCode>
                <c:ptCount val="8"/>
                <c:pt idx="0">
                  <c:v>2012</c:v>
                </c:pt>
                <c:pt idx="1">
                  <c:v>2013</c:v>
                </c:pt>
                <c:pt idx="2">
                  <c:v>2014</c:v>
                </c:pt>
                <c:pt idx="3">
                  <c:v>2015</c:v>
                </c:pt>
                <c:pt idx="4">
                  <c:v>2016</c:v>
                </c:pt>
                <c:pt idx="5">
                  <c:v>2017</c:v>
                </c:pt>
                <c:pt idx="6">
                  <c:v>2018</c:v>
                </c:pt>
                <c:pt idx="7">
                  <c:v>2019</c:v>
                </c:pt>
              </c:numCache>
            </c:numRef>
          </c:cat>
          <c:val>
            <c:numRef>
              <c:f>List1!$B$2:$B$9</c:f>
              <c:numCache>
                <c:formatCode>General</c:formatCode>
                <c:ptCount val="8"/>
                <c:pt idx="0">
                  <c:v>3300</c:v>
                </c:pt>
                <c:pt idx="1">
                  <c:v>4645</c:v>
                </c:pt>
                <c:pt idx="2" formatCode="#,##0">
                  <c:v>4912</c:v>
                </c:pt>
                <c:pt idx="3" formatCode="#,##0">
                  <c:v>3487</c:v>
                </c:pt>
                <c:pt idx="4" formatCode="#,##0">
                  <c:v>2032</c:v>
                </c:pt>
                <c:pt idx="5" formatCode="#,##0">
                  <c:v>3205</c:v>
                </c:pt>
                <c:pt idx="6" formatCode="#,##0">
                  <c:v>5319</c:v>
                </c:pt>
                <c:pt idx="7">
                  <c:v>5107</c:v>
                </c:pt>
              </c:numCache>
            </c:numRef>
          </c:val>
          <c:extLst>
            <c:ext xmlns:c16="http://schemas.microsoft.com/office/drawing/2014/chart" uri="{C3380CC4-5D6E-409C-BE32-E72D297353CC}">
              <c16:uniqueId val="{00000000-5AC3-4429-A2D4-BDDD9EA87B3E}"/>
            </c:ext>
          </c:extLst>
        </c:ser>
        <c:dLbls>
          <c:dLblPos val="outEnd"/>
          <c:showLegendKey val="0"/>
          <c:showVal val="1"/>
          <c:showCatName val="0"/>
          <c:showSerName val="0"/>
          <c:showPercent val="0"/>
          <c:showBubbleSize val="0"/>
        </c:dLbls>
        <c:gapWidth val="79"/>
        <c:overlap val="-27"/>
        <c:axId val="455943512"/>
        <c:axId val="455937240"/>
      </c:barChart>
      <c:catAx>
        <c:axId val="455943512"/>
        <c:scaling>
          <c:orientation val="minMax"/>
        </c:scaling>
        <c:delete val="0"/>
        <c:axPos val="b"/>
        <c:majorGridlines>
          <c:spPr>
            <a:ln>
              <a:solidFill>
                <a:schemeClr val="bg2"/>
              </a:solidFill>
            </a:ln>
          </c:spPr>
        </c:majorGridlines>
        <c:numFmt formatCode="General" sourceLinked="1"/>
        <c:majorTickMark val="none"/>
        <c:minorTickMark val="none"/>
        <c:tickLblPos val="nextTo"/>
        <c:spPr>
          <a:ln>
            <a:solidFill>
              <a:schemeClr val="bg2"/>
            </a:solidFill>
          </a:ln>
        </c:spPr>
        <c:txPr>
          <a:bodyPr/>
          <a:lstStyle/>
          <a:p>
            <a:pPr>
              <a:defRPr sz="900">
                <a:solidFill>
                  <a:schemeClr val="tx1">
                    <a:lumMod val="65000"/>
                    <a:lumOff val="35000"/>
                  </a:schemeClr>
                </a:solidFill>
              </a:defRPr>
            </a:pPr>
            <a:endParaRPr lang="cs-CZ"/>
          </a:p>
        </c:txPr>
        <c:crossAx val="455937240"/>
        <c:crosses val="autoZero"/>
        <c:auto val="1"/>
        <c:lblAlgn val="ctr"/>
        <c:lblOffset val="100"/>
        <c:noMultiLvlLbl val="0"/>
      </c:catAx>
      <c:valAx>
        <c:axId val="455937240"/>
        <c:scaling>
          <c:orientation val="minMax"/>
        </c:scaling>
        <c:delete val="0"/>
        <c:axPos val="l"/>
        <c:majorGridlines>
          <c:spPr>
            <a:ln>
              <a:solidFill>
                <a:schemeClr val="bg2"/>
              </a:solidFill>
            </a:ln>
          </c:spPr>
        </c:majorGridlines>
        <c:title>
          <c:tx>
            <c:rich>
              <a:bodyPr/>
              <a:lstStyle/>
              <a:p>
                <a:pPr>
                  <a:defRPr>
                    <a:solidFill>
                      <a:schemeClr val="tx1">
                        <a:lumMod val="65000"/>
                        <a:lumOff val="35000"/>
                      </a:schemeClr>
                    </a:solidFill>
                  </a:defRPr>
                </a:pPr>
                <a:r>
                  <a:rPr lang="cs-CZ" sz="1000" b="0" i="0" baseline="0">
                    <a:solidFill>
                      <a:schemeClr val="tx1">
                        <a:lumMod val="65000"/>
                        <a:lumOff val="35000"/>
                      </a:schemeClr>
                    </a:solidFill>
                    <a:effectLst/>
                  </a:rPr>
                  <a:t>Celkový počet podezření ze spáchání přestupků oznámených přísl. orgánům</a:t>
                </a:r>
              </a:p>
              <a:p>
                <a:pPr>
                  <a:defRPr>
                    <a:solidFill>
                      <a:schemeClr val="tx1">
                        <a:lumMod val="65000"/>
                        <a:lumOff val="35000"/>
                      </a:schemeClr>
                    </a:solidFill>
                  </a:defRPr>
                </a:pPr>
                <a:endParaRPr lang="cs-CZ" sz="1000">
                  <a:solidFill>
                    <a:schemeClr val="tx1">
                      <a:lumMod val="65000"/>
                      <a:lumOff val="35000"/>
                    </a:schemeClr>
                  </a:solidFill>
                  <a:effectLst/>
                </a:endParaRPr>
              </a:p>
            </c:rich>
          </c:tx>
          <c:overlay val="0"/>
        </c:title>
        <c:numFmt formatCode="General" sourceLinked="1"/>
        <c:majorTickMark val="none"/>
        <c:minorTickMark val="none"/>
        <c:tickLblPos val="nextTo"/>
        <c:spPr>
          <a:noFill/>
          <a:ln>
            <a:solidFill>
              <a:schemeClr val="bg2"/>
            </a:solidFill>
          </a:ln>
        </c:spPr>
        <c:txPr>
          <a:bodyPr/>
          <a:lstStyle/>
          <a:p>
            <a:pPr>
              <a:defRPr sz="900">
                <a:solidFill>
                  <a:schemeClr val="tx1">
                    <a:lumMod val="65000"/>
                    <a:lumOff val="35000"/>
                  </a:schemeClr>
                </a:solidFill>
              </a:defRPr>
            </a:pPr>
            <a:endParaRPr lang="cs-CZ"/>
          </a:p>
        </c:txPr>
        <c:crossAx val="455943512"/>
        <c:crosses val="autoZero"/>
        <c:crossBetween val="between"/>
      </c:valAx>
      <c:spPr>
        <a:ln>
          <a:solidFill>
            <a:schemeClr val="bg2"/>
          </a:solidFill>
        </a:ln>
      </c:spPr>
    </c:plotArea>
    <c:plotVisOnly val="1"/>
    <c:dispBlanksAs val="gap"/>
    <c:showDLblsOverMax val="0"/>
  </c:chart>
  <c:spPr>
    <a:ln>
      <a:solidFill>
        <a:schemeClr val="bg2"/>
      </a:solid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706BB-A990-498C-B517-E4BA8BC07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218</Pages>
  <Words>126249</Words>
  <Characters>744870</Characters>
  <Application>Microsoft Office Word</Application>
  <DocSecurity>0</DocSecurity>
  <Lines>6207</Lines>
  <Paragraphs>1738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869381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Melárová</dc:creator>
  <cp:keywords/>
  <dc:description/>
  <cp:lastModifiedBy>Linhartová Marta</cp:lastModifiedBy>
  <cp:revision>3</cp:revision>
  <cp:lastPrinted>2020-12-14T10:14:00Z</cp:lastPrinted>
  <dcterms:created xsi:type="dcterms:W3CDTF">2021-11-03T09:14:00Z</dcterms:created>
  <dcterms:modified xsi:type="dcterms:W3CDTF">2021-11-03T09:38:00Z</dcterms:modified>
</cp:coreProperties>
</file>